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7.xml" ContentType="application/vnd.openxmlformats-officedocument.wordprocessingml.header+xml"/>
  <Override PartName="/word/footer2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footer2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3.xml" ContentType="application/vnd.openxmlformats-officedocument.wordprocessingml.header+xml"/>
  <Override PartName="/word/footer3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footer34.xml" ContentType="application/vnd.openxmlformats-officedocument.wordprocessingml.footer+xml"/>
  <Override PartName="/word/header2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8.xml" ContentType="application/vnd.openxmlformats-officedocument.wordprocessingml.header+xml"/>
  <Override PartName="/word/footer3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1.xml" ContentType="application/vnd.openxmlformats-officedocument.wordprocessingml.header+xml"/>
  <Override PartName="/word/footer40.xml" ContentType="application/vnd.openxmlformats-officedocument.wordprocessingml.footer+xml"/>
  <Override PartName="/word/header3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3.xml" ContentType="application/vnd.openxmlformats-officedocument.wordprocessingml.header+xml"/>
  <Override PartName="/word/footer43.xml" ContentType="application/vnd.openxmlformats-officedocument.wordprocessingml.footer+xml"/>
  <Override PartName="/word/header3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5.xml" ContentType="application/vnd.openxmlformats-officedocument.wordprocessingml.header+xml"/>
  <Override PartName="/word/footer46.xml" ContentType="application/vnd.openxmlformats-officedocument.wordprocessingml.footer+xml"/>
  <Override PartName="/word/header3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37.xml" ContentType="application/vnd.openxmlformats-officedocument.wordprocessingml.header+xml"/>
  <Override PartName="/word/footer4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0.xml" ContentType="application/vnd.openxmlformats-officedocument.wordprocessingml.header+xml"/>
  <Override PartName="/word/footer52.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43.xml" ContentType="application/vnd.openxmlformats-officedocument.wordprocessingml.header+xml"/>
  <Override PartName="/word/footer58.xml" ContentType="application/vnd.openxmlformats-officedocument.wordprocessingml.footer+xml"/>
  <Override PartName="/word/header44.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45.xml" ContentType="application/vnd.openxmlformats-officedocument.wordprocessingml.header+xml"/>
  <Override PartName="/word/footer6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48.xml" ContentType="application/vnd.openxmlformats-officedocument.wordprocessingml.header+xml"/>
  <Override PartName="/word/footer6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1.xml" ContentType="application/vnd.openxmlformats-officedocument.wordprocessingml.header+xml"/>
  <Override PartName="/word/footer6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54.xml" ContentType="application/vnd.openxmlformats-officedocument.wordprocessingml.header+xml"/>
  <Override PartName="/word/footer7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57.xml" ContentType="application/vnd.openxmlformats-officedocument.wordprocessingml.header+xml"/>
  <Override PartName="/word/footer7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60.xml" ContentType="application/vnd.openxmlformats-officedocument.wordprocessingml.header+xml"/>
  <Override PartName="/word/footer7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63.xml" ContentType="application/vnd.openxmlformats-officedocument.wordprocessingml.header+xml"/>
  <Override PartName="/word/footer7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66.xml" ContentType="application/vnd.openxmlformats-officedocument.wordprocessingml.header+xml"/>
  <Override PartName="/word/footer8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69.xml" ContentType="application/vnd.openxmlformats-officedocument.wordprocessingml.header+xml"/>
  <Override PartName="/word/footer8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72.xml" ContentType="application/vnd.openxmlformats-officedocument.wordprocessingml.header+xml"/>
  <Override PartName="/word/footer88.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75.xml" ContentType="application/vnd.openxmlformats-officedocument.wordprocessingml.header+xml"/>
  <Override PartName="/word/footer9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78.xml" ContentType="application/vnd.openxmlformats-officedocument.wordprocessingml.header+xml"/>
  <Override PartName="/word/footer94.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81.xml" ContentType="application/vnd.openxmlformats-officedocument.wordprocessingml.header+xml"/>
  <Override PartName="/word/footer97.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84.xml" ContentType="application/vnd.openxmlformats-officedocument.wordprocessingml.header+xml"/>
  <Override PartName="/word/footer100.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87.xml" ContentType="application/vnd.openxmlformats-officedocument.wordprocessingml.header+xml"/>
  <Override PartName="/word/footer103.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90.xml" ContentType="application/vnd.openxmlformats-officedocument.wordprocessingml.header+xml"/>
  <Override PartName="/word/footer106.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93.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header94.xml" ContentType="application/vnd.openxmlformats-officedocument.wordprocessingml.header+xml"/>
  <Override PartName="/word/footer112.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97.xml" ContentType="application/vnd.openxmlformats-officedocument.wordprocessingml.header+xml"/>
  <Override PartName="/word/footer115.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00.xml" ContentType="application/vnd.openxmlformats-officedocument.wordprocessingml.header+xml"/>
  <Override PartName="/word/footer118.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03.xml" ContentType="application/vnd.openxmlformats-officedocument.wordprocessingml.header+xml"/>
  <Override PartName="/word/footer121.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06.xml" ContentType="application/vnd.openxmlformats-officedocument.wordprocessingml.header+xml"/>
  <Override PartName="/word/footer124.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09.xml" ContentType="application/vnd.openxmlformats-officedocument.wordprocessingml.header+xml"/>
  <Override PartName="/word/footer127.xml" ContentType="application/vnd.openxmlformats-officedocument.wordprocessingml.footer+xml"/>
  <Override PartName="/word/header110.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1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header112.xml" ContentType="application/vnd.openxmlformats-officedocument.wordprocessingml.header+xml"/>
  <Override PartName="/word/footer133.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15.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header116.xml" ContentType="application/vnd.openxmlformats-officedocument.wordprocessingml.header+xml"/>
  <Override PartName="/word/footer139.xml" ContentType="application/vnd.openxmlformats-officedocument.wordprocessingml.footer+xml"/>
  <Override PartName="/word/header117.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18.xml" ContentType="application/vnd.openxmlformats-officedocument.wordprocessingml.header+xml"/>
  <Override PartName="/word/footer142.xml" ContentType="application/vnd.openxmlformats-officedocument.wordprocessingml.footer+xml"/>
  <Override PartName="/word/header119.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20.xml" ContentType="application/vnd.openxmlformats-officedocument.wordprocessingml.header+xml"/>
  <Override PartName="/word/footer145.xml" ContentType="application/vnd.openxmlformats-officedocument.wordprocessingml.footer+xml"/>
  <Override PartName="/word/header121.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22.xml" ContentType="application/vnd.openxmlformats-officedocument.wordprocessingml.header+xml"/>
  <Override PartName="/word/footer148.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25.xml" ContentType="application/vnd.openxmlformats-officedocument.wordprocessingml.header+xml"/>
  <Override PartName="/word/footer15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28.xml" ContentType="application/vnd.openxmlformats-officedocument.wordprocessingml.header+xml"/>
  <Override PartName="/word/footer154.xml" ContentType="application/vnd.openxmlformats-officedocument.wordprocessingml.footer+xml"/>
  <Override PartName="/word/header129.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30.xml" ContentType="application/vnd.openxmlformats-officedocument.wordprocessingml.header+xml"/>
  <Override PartName="/word/footer157.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33.xml" ContentType="application/vnd.openxmlformats-officedocument.wordprocessingml.header+xml"/>
  <Override PartName="/word/footer160.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36.xml" ContentType="application/vnd.openxmlformats-officedocument.wordprocessingml.header+xml"/>
  <Override PartName="/word/footer163.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39.xml" ContentType="application/vnd.openxmlformats-officedocument.wordprocessingml.header+xml"/>
  <Override PartName="/word/footer166.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42.xml" ContentType="application/vnd.openxmlformats-officedocument.wordprocessingml.header+xml"/>
  <Override PartName="/word/footer169.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45.xml" ContentType="application/vnd.openxmlformats-officedocument.wordprocessingml.header+xml"/>
  <Override PartName="/word/footer172.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48.xml" ContentType="application/vnd.openxmlformats-officedocument.wordprocessingml.header+xml"/>
  <Override PartName="/word/footer175.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51.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header15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header161.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170.xml" ContentType="application/vnd.openxmlformats-officedocument.wordprocessingml.header+xml"/>
  <Override PartName="/word/footer205.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ink/ink1.xml" ContentType="application/inkml+xml"/>
  <Override PartName="/word/header177.xml" ContentType="application/vnd.openxmlformats-officedocument.wordprocessingml.header+xml"/>
  <Override PartName="/word/header178.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185.xml" ContentType="application/vnd.openxmlformats-officedocument.wordprocessingml.header+xml"/>
  <Override PartName="/word/footer221.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193.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196.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197.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44BF9D" w14:textId="0C3A2E54" w:rsidR="007035DA" w:rsidRDefault="00C73094" w:rsidP="00C73094">
      <w:pPr>
        <w:jc w:val="left"/>
      </w:pPr>
      <w:r>
        <w:rPr>
          <w:noProof/>
        </w:rPr>
        <w:drawing>
          <wp:anchor distT="0" distB="0" distL="114300" distR="114300" simplePos="0" relativeHeight="251685888" behindDoc="0" locked="0" layoutInCell="1" allowOverlap="1" wp14:anchorId="53E6701D" wp14:editId="3CE84567">
            <wp:simplePos x="0" y="0"/>
            <wp:positionH relativeFrom="page">
              <wp:posOffset>646430</wp:posOffset>
            </wp:positionH>
            <wp:positionV relativeFrom="page">
              <wp:posOffset>668655</wp:posOffset>
            </wp:positionV>
            <wp:extent cx="6374765" cy="9014460"/>
            <wp:effectExtent l="0" t="0" r="698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74765" cy="9014460"/>
                    </a:xfrm>
                    <a:prstGeom prst="rect">
                      <a:avLst/>
                    </a:prstGeom>
                  </pic:spPr>
                </pic:pic>
              </a:graphicData>
            </a:graphic>
            <wp14:sizeRelH relativeFrom="margin">
              <wp14:pctWidth>0</wp14:pctWidth>
            </wp14:sizeRelH>
            <wp14:sizeRelV relativeFrom="margin">
              <wp14:pctHeight>0</wp14:pctHeight>
            </wp14:sizeRelV>
          </wp:anchor>
        </w:drawing>
      </w:r>
    </w:p>
    <w:p w14:paraId="3B6AE3B1" w14:textId="3A6C0D3D" w:rsidR="007035DA" w:rsidRDefault="007035DA" w:rsidP="007035DA">
      <w:pPr>
        <w:sectPr w:rsidR="007035DA" w:rsidSect="007035DA">
          <w:footerReference w:type="even" r:id="rId9"/>
          <w:footerReference w:type="default" r:id="rId10"/>
          <w:headerReference w:type="first" r:id="rId11"/>
          <w:footnotePr>
            <w:numRestart w:val="eachSect"/>
          </w:footnotePr>
          <w:pgSz w:w="11907" w:h="16840" w:code="9"/>
          <w:pgMar w:top="720" w:right="720" w:bottom="720" w:left="720" w:header="567" w:footer="567" w:gutter="0"/>
          <w:cols w:space="720"/>
          <w:vAlign w:val="both"/>
          <w:titlePg/>
          <w:docGrid w:linePitch="299"/>
        </w:sectPr>
      </w:pPr>
    </w:p>
    <w:p w14:paraId="50EB22E8" w14:textId="2A4FDC90" w:rsidR="006E55E5" w:rsidRPr="007035DA" w:rsidRDefault="006E55E5" w:rsidP="007035DA"/>
    <w:tbl>
      <w:tblPr>
        <w:tblW w:w="5000" w:type="pct"/>
        <w:tblLayout w:type="fixed"/>
        <w:tblLook w:val="0000" w:firstRow="0" w:lastRow="0" w:firstColumn="0" w:lastColumn="0" w:noHBand="0" w:noVBand="0"/>
      </w:tblPr>
      <w:tblGrid>
        <w:gridCol w:w="10251"/>
      </w:tblGrid>
      <w:tr w:rsidR="00734C7A" w:rsidRPr="00380B40" w14:paraId="72B1D693" w14:textId="77777777" w:rsidTr="00967D4D">
        <w:trPr>
          <w:trHeight w:hRule="exact" w:val="1804"/>
        </w:trPr>
        <w:tc>
          <w:tcPr>
            <w:tcW w:w="10241" w:type="dxa"/>
            <w:shd w:val="clear" w:color="auto" w:fill="auto"/>
          </w:tcPr>
          <w:p w14:paraId="504B8DC2" w14:textId="77777777" w:rsidR="00734C7A" w:rsidRPr="00380B40" w:rsidRDefault="00734C7A" w:rsidP="00734C7A">
            <w:pPr>
              <w:pStyle w:val="Normal16pt"/>
              <w:jc w:val="center"/>
            </w:pPr>
            <w:r w:rsidRPr="00380B40">
              <w:t>International Te</w:t>
            </w:r>
            <w:bookmarkStart w:id="0" w:name="_GoBack"/>
            <w:bookmarkEnd w:id="0"/>
            <w:r w:rsidRPr="00380B40">
              <w:t>lecommunication Union</w:t>
            </w:r>
          </w:p>
          <w:p w14:paraId="7D8A1AE6" w14:textId="77777777" w:rsidR="00734C7A" w:rsidRPr="00380B40" w:rsidRDefault="00734C7A" w:rsidP="00734C7A">
            <w:pPr>
              <w:pStyle w:val="Normal16pt"/>
              <w:jc w:val="center"/>
            </w:pPr>
          </w:p>
          <w:p w14:paraId="3636D813" w14:textId="77777777" w:rsidR="00734C7A" w:rsidRPr="00380B40" w:rsidRDefault="00734C7A" w:rsidP="00734C7A">
            <w:pPr>
              <w:pStyle w:val="Normal16pt"/>
              <w:jc w:val="center"/>
            </w:pPr>
          </w:p>
          <w:p w14:paraId="710C27BE" w14:textId="77777777" w:rsidR="009C3FC1" w:rsidRPr="00380B40" w:rsidRDefault="009C3FC1" w:rsidP="00734C7A">
            <w:pPr>
              <w:pStyle w:val="Normal16pt"/>
              <w:jc w:val="center"/>
            </w:pPr>
          </w:p>
          <w:p w14:paraId="7A5D91DD" w14:textId="77777777" w:rsidR="00734C7A" w:rsidRPr="00380B40" w:rsidRDefault="00734C7A" w:rsidP="00734C7A">
            <w:pPr>
              <w:pStyle w:val="Normal16pt"/>
              <w:jc w:val="center"/>
            </w:pPr>
          </w:p>
        </w:tc>
      </w:tr>
      <w:tr w:rsidR="008A1180" w:rsidRPr="00380B40" w14:paraId="2AA3B2C9" w14:textId="77777777" w:rsidTr="00967D4D">
        <w:trPr>
          <w:trHeight w:hRule="exact" w:val="992"/>
        </w:trPr>
        <w:tc>
          <w:tcPr>
            <w:tcW w:w="10241" w:type="dxa"/>
            <w:shd w:val="clear" w:color="auto" w:fill="auto"/>
          </w:tcPr>
          <w:p w14:paraId="2B81B905" w14:textId="77777777" w:rsidR="008A1180" w:rsidRPr="00380B40" w:rsidRDefault="008A1180" w:rsidP="004E3740">
            <w:pPr>
              <w:rPr>
                <w:lang w:val="en-GB"/>
              </w:rPr>
            </w:pPr>
          </w:p>
        </w:tc>
      </w:tr>
      <w:tr w:rsidR="008A1180" w:rsidRPr="00380B40" w14:paraId="7909F773" w14:textId="77777777" w:rsidTr="00967D4D">
        <w:trPr>
          <w:trHeight w:hRule="exact" w:val="992"/>
        </w:trPr>
        <w:tc>
          <w:tcPr>
            <w:tcW w:w="10241" w:type="dxa"/>
            <w:shd w:val="clear" w:color="auto" w:fill="auto"/>
          </w:tcPr>
          <w:p w14:paraId="650E84CF" w14:textId="77777777" w:rsidR="008A1180" w:rsidRPr="00380B40" w:rsidRDefault="008A1180" w:rsidP="006E55E5">
            <w:pPr>
              <w:pStyle w:val="Normal36pt"/>
            </w:pPr>
            <w:r w:rsidRPr="00380B40">
              <w:t>ITU-T</w:t>
            </w:r>
          </w:p>
        </w:tc>
      </w:tr>
      <w:tr w:rsidR="008A1180" w:rsidRPr="00380B40" w14:paraId="50DB7D31" w14:textId="77777777" w:rsidTr="00967D4D">
        <w:trPr>
          <w:trHeight w:hRule="exact" w:val="2271"/>
        </w:trPr>
        <w:tc>
          <w:tcPr>
            <w:tcW w:w="10241" w:type="dxa"/>
            <w:shd w:val="clear" w:color="auto" w:fill="auto"/>
          </w:tcPr>
          <w:p w14:paraId="0E66F975" w14:textId="77777777" w:rsidR="008A1180" w:rsidRPr="00380B40" w:rsidRDefault="008A1180" w:rsidP="00A7240D">
            <w:pPr>
              <w:jc w:val="left"/>
              <w:rPr>
                <w:rFonts w:ascii="Arial" w:hAnsi="Arial"/>
                <w:sz w:val="20"/>
                <w:lang w:val="en-GB"/>
              </w:rPr>
            </w:pPr>
            <w:r w:rsidRPr="00380B40">
              <w:rPr>
                <w:rFonts w:ascii="Arial" w:hAnsi="Arial"/>
                <w:sz w:val="20"/>
                <w:lang w:val="en-GB"/>
              </w:rPr>
              <w:t>TELECOMMUNICATION</w:t>
            </w:r>
            <w:r w:rsidRPr="00380B40">
              <w:rPr>
                <w:rFonts w:ascii="Arial" w:hAnsi="Arial" w:cs="Arial"/>
                <w:sz w:val="20"/>
                <w:lang w:val="en-GB"/>
              </w:rPr>
              <w:br/>
            </w:r>
            <w:r w:rsidRPr="00380B40">
              <w:rPr>
                <w:rFonts w:ascii="Arial" w:hAnsi="Arial"/>
                <w:sz w:val="20"/>
                <w:lang w:val="en-GB"/>
              </w:rPr>
              <w:t>STANDARDIZATION SECTOR</w:t>
            </w:r>
            <w:r w:rsidRPr="00380B40">
              <w:rPr>
                <w:rFonts w:ascii="Arial" w:hAnsi="Arial"/>
                <w:sz w:val="20"/>
                <w:lang w:val="en-GB"/>
              </w:rPr>
              <w:br/>
              <w:t>OF ITU</w:t>
            </w:r>
          </w:p>
          <w:p w14:paraId="1F7CA897" w14:textId="77777777" w:rsidR="008A1180" w:rsidRPr="00380B40" w:rsidRDefault="008A1180" w:rsidP="00A7240D">
            <w:pPr>
              <w:jc w:val="left"/>
              <w:rPr>
                <w:rFonts w:ascii="Arial" w:hAnsi="Arial"/>
                <w:sz w:val="20"/>
                <w:lang w:val="en-GB"/>
              </w:rPr>
            </w:pPr>
          </w:p>
          <w:p w14:paraId="0C5C6D58" w14:textId="77777777" w:rsidR="008A1180" w:rsidRPr="00380B40" w:rsidRDefault="008A1180" w:rsidP="00A7240D">
            <w:pPr>
              <w:jc w:val="left"/>
              <w:rPr>
                <w:lang w:val="en-GB"/>
              </w:rPr>
            </w:pPr>
          </w:p>
        </w:tc>
      </w:tr>
      <w:tr w:rsidR="008A1180" w:rsidRPr="00380B40" w14:paraId="01A3824E" w14:textId="77777777" w:rsidTr="00967D4D">
        <w:trPr>
          <w:trHeight w:hRule="exact" w:val="1871"/>
        </w:trPr>
        <w:tc>
          <w:tcPr>
            <w:tcW w:w="10241" w:type="dxa"/>
            <w:tcBorders>
              <w:bottom w:val="single" w:sz="4" w:space="0" w:color="auto"/>
            </w:tcBorders>
            <w:shd w:val="clear" w:color="auto" w:fill="auto"/>
          </w:tcPr>
          <w:p w14:paraId="0F5EB1CC" w14:textId="77777777" w:rsidR="008A1180" w:rsidRPr="00380B40" w:rsidRDefault="008A1180" w:rsidP="006E55E5">
            <w:pPr>
              <w:pStyle w:val="Normal16pt"/>
            </w:pPr>
            <w:r w:rsidRPr="00380B40">
              <w:t>PROCEEDINGS OF THE WORLD TELECOMMUNICATION STANDARDIZATION ASSEMBLY</w:t>
            </w:r>
          </w:p>
          <w:p w14:paraId="3ED78F4A" w14:textId="77777777" w:rsidR="008A1180" w:rsidRPr="00380B40" w:rsidRDefault="008A1180" w:rsidP="006E55E5">
            <w:pPr>
              <w:pStyle w:val="Normal16pt"/>
            </w:pPr>
            <w:r w:rsidRPr="00380B40">
              <w:t>Geneva, Switzerland, 1-9 March 2022</w:t>
            </w:r>
          </w:p>
          <w:p w14:paraId="0F3BBBE2" w14:textId="77777777" w:rsidR="008A1180" w:rsidRPr="00380B40" w:rsidRDefault="008A1180" w:rsidP="004E3740">
            <w:pPr>
              <w:tabs>
                <w:tab w:val="right" w:pos="9639"/>
              </w:tabs>
              <w:jc w:val="left"/>
              <w:rPr>
                <w:rFonts w:ascii="Arial" w:hAnsi="Arial" w:cs="Arial"/>
                <w:sz w:val="32"/>
                <w:lang w:val="en-GB"/>
              </w:rPr>
            </w:pPr>
          </w:p>
        </w:tc>
      </w:tr>
      <w:tr w:rsidR="00967D4D" w:rsidRPr="00380B40" w14:paraId="3BB7CD3B" w14:textId="77777777" w:rsidTr="00967D4D">
        <w:trPr>
          <w:trHeight w:hRule="exact" w:val="3760"/>
        </w:trPr>
        <w:tc>
          <w:tcPr>
            <w:tcW w:w="10241" w:type="dxa"/>
            <w:tcBorders>
              <w:top w:val="single" w:sz="4" w:space="0" w:color="auto"/>
            </w:tcBorders>
            <w:shd w:val="clear" w:color="auto" w:fill="auto"/>
          </w:tcPr>
          <w:p w14:paraId="55BFD769" w14:textId="77777777" w:rsidR="00967D4D" w:rsidRPr="00380B40" w:rsidRDefault="00967D4D" w:rsidP="006E55E5">
            <w:pPr>
              <w:pStyle w:val="Normal16pt"/>
            </w:pPr>
          </w:p>
        </w:tc>
      </w:tr>
      <w:tr w:rsidR="004E3740" w:rsidRPr="00380B40" w14:paraId="0FE14891" w14:textId="77777777" w:rsidTr="00967D4D">
        <w:trPr>
          <w:trHeight w:hRule="exact" w:val="1418"/>
        </w:trPr>
        <w:tc>
          <w:tcPr>
            <w:tcW w:w="10241" w:type="dxa"/>
            <w:shd w:val="clear" w:color="auto" w:fill="auto"/>
          </w:tcPr>
          <w:p w14:paraId="78CA9C76" w14:textId="77777777" w:rsidR="004E3740" w:rsidRPr="00380B40" w:rsidRDefault="006E55E5" w:rsidP="006E55E5">
            <w:pPr>
              <w:pStyle w:val="Normalrightaligned"/>
              <w:rPr>
                <w:rFonts w:ascii="Arial" w:hAnsi="Arial"/>
                <w:sz w:val="32"/>
              </w:rPr>
            </w:pPr>
            <w:r w:rsidRPr="00380B40">
              <w:rPr>
                <w:noProof/>
                <w:lang w:val="en-US" w:eastAsia="zh-CN"/>
              </w:rPr>
              <w:drawing>
                <wp:inline distT="0" distB="0" distL="0" distR="0" wp14:anchorId="2F7D8610" wp14:editId="7D8CDA8B">
                  <wp:extent cx="769620" cy="780415"/>
                  <wp:effectExtent l="0" t="0" r="0" b="0"/>
                  <wp:docPr id="385" name="Picture 3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9620" cy="780415"/>
                          </a:xfrm>
                          <a:prstGeom prst="rect">
                            <a:avLst/>
                          </a:prstGeom>
                          <a:noFill/>
                          <a:ln>
                            <a:noFill/>
                          </a:ln>
                        </pic:spPr>
                      </pic:pic>
                    </a:graphicData>
                  </a:graphic>
                </wp:inline>
              </w:drawing>
            </w:r>
          </w:p>
        </w:tc>
      </w:tr>
    </w:tbl>
    <w:p w14:paraId="50A99EB1" w14:textId="77777777" w:rsidR="004E3740" w:rsidRPr="00380B40" w:rsidRDefault="004E3740" w:rsidP="004E3740">
      <w:pPr>
        <w:rPr>
          <w:lang w:val="en-GB"/>
        </w:rPr>
        <w:sectPr w:rsidR="004E3740" w:rsidRPr="00380B40" w:rsidSect="007035DA">
          <w:footnotePr>
            <w:numRestart w:val="eachSect"/>
          </w:footnotePr>
          <w:type w:val="oddPage"/>
          <w:pgSz w:w="11907" w:h="16840" w:code="9"/>
          <w:pgMar w:top="1089" w:right="567" w:bottom="1304" w:left="1089" w:header="567" w:footer="567" w:gutter="0"/>
          <w:cols w:space="720"/>
          <w:vAlign w:val="both"/>
          <w:titlePg/>
        </w:sectPr>
      </w:pPr>
    </w:p>
    <w:p w14:paraId="1639D919" w14:textId="77777777" w:rsidR="00697B35" w:rsidRPr="00380B40" w:rsidRDefault="00697B35" w:rsidP="00A7240D">
      <w:pPr>
        <w:pStyle w:val="Normalcenteraligned"/>
        <w:rPr>
          <w:b/>
          <w:bCs/>
        </w:rPr>
      </w:pPr>
      <w:r w:rsidRPr="00380B40">
        <w:rPr>
          <w:b/>
          <w:bCs/>
        </w:rPr>
        <w:t>FOREWORD</w:t>
      </w:r>
    </w:p>
    <w:p w14:paraId="444A6408" w14:textId="77777777" w:rsidR="00697B35" w:rsidRPr="00380B40" w:rsidRDefault="00697B35" w:rsidP="00697B35">
      <w:pPr>
        <w:pStyle w:val="Normalaftertitle"/>
        <w:spacing w:line="240" w:lineRule="exact"/>
        <w:rPr>
          <w:sz w:val="20"/>
          <w:lang w:val="en-GB"/>
        </w:rPr>
      </w:pPr>
      <w:r w:rsidRPr="00380B40">
        <w:rPr>
          <w:sz w:val="20"/>
          <w:lang w:val="en-GB"/>
        </w:rPr>
        <w:t>The International Telecommunication Union (ITU) is the United Nations specialized agency in the field of tele</w:t>
      </w:r>
      <w:r w:rsidRPr="00380B40">
        <w:rPr>
          <w:sz w:val="20"/>
          <w:lang w:val="en-GB"/>
        </w:rPr>
        <w:softHyphen/>
        <w:t>com</w:t>
      </w:r>
      <w:r w:rsidRPr="00380B40">
        <w:rPr>
          <w:sz w:val="20"/>
          <w:lang w:val="en-GB"/>
        </w:rPr>
        <w:softHyphen/>
        <w:t>mu</w:t>
      </w:r>
      <w:r w:rsidRPr="00380B40">
        <w:rPr>
          <w:sz w:val="20"/>
          <w:lang w:val="en-GB"/>
        </w:rPr>
        <w:softHyphen/>
        <w:t>ni</w:t>
      </w:r>
      <w:r w:rsidRPr="00380B40">
        <w:rPr>
          <w:sz w:val="20"/>
          <w:lang w:val="en-GB"/>
        </w:rPr>
        <w:softHyphen/>
        <w:t>ca</w:t>
      </w:r>
      <w:r w:rsidRPr="00380B40">
        <w:rPr>
          <w:sz w:val="20"/>
          <w:lang w:val="en-GB"/>
        </w:rPr>
        <w:softHyphen/>
        <w:t>tions.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74EC5979" w14:textId="77777777" w:rsidR="00697B35" w:rsidRPr="00380B40" w:rsidRDefault="00697B35" w:rsidP="00697B35">
      <w:pPr>
        <w:spacing w:line="240" w:lineRule="exact"/>
        <w:rPr>
          <w:sz w:val="20"/>
          <w:lang w:val="en-GB"/>
        </w:rPr>
      </w:pPr>
      <w:r w:rsidRPr="00380B40">
        <w:rPr>
          <w:sz w:val="20"/>
          <w:lang w:val="en-GB"/>
        </w:rPr>
        <w:t>The World Telecommunication Standardization Assembly (WTSA), which meets every four years, establishes the topics for study by the ITU</w:t>
      </w:r>
      <w:r w:rsidRPr="00380B40">
        <w:rPr>
          <w:sz w:val="20"/>
          <w:lang w:val="en-GB"/>
        </w:rPr>
        <w:noBreakHyphen/>
        <w:t>T study groups which, in turn, produce Recommendations on these topics.</w:t>
      </w:r>
    </w:p>
    <w:p w14:paraId="2A317D9B" w14:textId="25260C52" w:rsidR="00697B35" w:rsidRDefault="00697B35" w:rsidP="00697B35">
      <w:pPr>
        <w:spacing w:line="240" w:lineRule="exact"/>
        <w:rPr>
          <w:sz w:val="20"/>
          <w:lang w:val="en-GB"/>
        </w:rPr>
      </w:pPr>
      <w:r w:rsidRPr="00380B40">
        <w:rPr>
          <w:sz w:val="20"/>
          <w:lang w:val="en-GB"/>
        </w:rPr>
        <w:t>The approval of ITU-T Recommendations is covered by the procedure laid down in WTSA Resolution 1.</w:t>
      </w:r>
    </w:p>
    <w:p w14:paraId="0CCB8C04" w14:textId="77777777" w:rsidR="00867E13" w:rsidRPr="00F81B8E" w:rsidRDefault="00867E13" w:rsidP="00867E13">
      <w:pPr>
        <w:spacing w:line="240" w:lineRule="exact"/>
        <w:jc w:val="center"/>
        <w:rPr>
          <w:sz w:val="20"/>
          <w:lang w:val="en-GB"/>
        </w:rPr>
      </w:pPr>
    </w:p>
    <w:p w14:paraId="77C73E5B" w14:textId="77777777" w:rsidR="00867E13" w:rsidRPr="00F81B8E" w:rsidRDefault="00867E13" w:rsidP="00867E13">
      <w:pPr>
        <w:spacing w:line="240" w:lineRule="exact"/>
        <w:jc w:val="center"/>
        <w:rPr>
          <w:sz w:val="20"/>
          <w:lang w:val="en-GB"/>
        </w:rPr>
      </w:pPr>
    </w:p>
    <w:p w14:paraId="31B01F26" w14:textId="77777777" w:rsidR="00867E13" w:rsidRPr="00F81B8E" w:rsidRDefault="00867E13" w:rsidP="00867E13">
      <w:pPr>
        <w:spacing w:line="240" w:lineRule="exact"/>
        <w:jc w:val="center"/>
        <w:rPr>
          <w:sz w:val="20"/>
          <w:lang w:val="en-GB"/>
        </w:rPr>
      </w:pPr>
    </w:p>
    <w:p w14:paraId="4CA7B278" w14:textId="77777777" w:rsidR="00867E13" w:rsidRPr="00F81B8E" w:rsidRDefault="00867E13" w:rsidP="00867E13">
      <w:pPr>
        <w:spacing w:line="240" w:lineRule="exact"/>
        <w:jc w:val="center"/>
        <w:rPr>
          <w:sz w:val="20"/>
          <w:lang w:val="en-GB"/>
        </w:rPr>
      </w:pPr>
    </w:p>
    <w:p w14:paraId="5876923D" w14:textId="77777777" w:rsidR="00867E13" w:rsidRPr="00F81B8E" w:rsidRDefault="00867E13" w:rsidP="00867E13">
      <w:pPr>
        <w:spacing w:line="240" w:lineRule="exact"/>
        <w:jc w:val="center"/>
        <w:rPr>
          <w:sz w:val="20"/>
          <w:lang w:val="en-GB"/>
        </w:rPr>
      </w:pPr>
    </w:p>
    <w:p w14:paraId="57D51689" w14:textId="77777777" w:rsidR="00867E13" w:rsidRPr="00F81B8E" w:rsidRDefault="00867E13" w:rsidP="00867E13">
      <w:pPr>
        <w:spacing w:line="240" w:lineRule="exact"/>
        <w:jc w:val="center"/>
        <w:rPr>
          <w:sz w:val="20"/>
          <w:lang w:val="en-GB"/>
        </w:rPr>
      </w:pPr>
    </w:p>
    <w:p w14:paraId="24CE6096" w14:textId="77777777" w:rsidR="00867E13" w:rsidRPr="00F81B8E" w:rsidRDefault="00867E13" w:rsidP="00867E13">
      <w:pPr>
        <w:spacing w:line="240" w:lineRule="exact"/>
        <w:jc w:val="center"/>
        <w:rPr>
          <w:sz w:val="20"/>
          <w:lang w:val="en-GB"/>
        </w:rPr>
      </w:pPr>
    </w:p>
    <w:p w14:paraId="1C5C13AA" w14:textId="77777777" w:rsidR="00867E13" w:rsidRPr="00F81B8E" w:rsidRDefault="00867E13" w:rsidP="00867E13">
      <w:pPr>
        <w:spacing w:line="240" w:lineRule="exact"/>
        <w:jc w:val="center"/>
        <w:rPr>
          <w:sz w:val="20"/>
          <w:lang w:val="en-GB"/>
        </w:rPr>
      </w:pPr>
    </w:p>
    <w:p w14:paraId="136B2AF1" w14:textId="77777777" w:rsidR="00867E13" w:rsidRPr="00F81B8E" w:rsidRDefault="00867E13" w:rsidP="00867E13">
      <w:pPr>
        <w:spacing w:line="240" w:lineRule="exact"/>
        <w:jc w:val="center"/>
        <w:rPr>
          <w:sz w:val="20"/>
          <w:lang w:val="en-GB"/>
        </w:rPr>
      </w:pPr>
    </w:p>
    <w:p w14:paraId="115B0C49" w14:textId="77777777" w:rsidR="00867E13" w:rsidRPr="00F81B8E" w:rsidRDefault="00867E13" w:rsidP="00867E13">
      <w:pPr>
        <w:spacing w:line="240" w:lineRule="exact"/>
        <w:jc w:val="center"/>
        <w:rPr>
          <w:sz w:val="20"/>
          <w:lang w:val="en-GB"/>
        </w:rPr>
      </w:pPr>
    </w:p>
    <w:p w14:paraId="6CF310DA" w14:textId="77777777" w:rsidR="00867E13" w:rsidRPr="00F81B8E" w:rsidRDefault="00867E13" w:rsidP="00867E13">
      <w:pPr>
        <w:spacing w:line="240" w:lineRule="exact"/>
        <w:jc w:val="center"/>
        <w:rPr>
          <w:sz w:val="20"/>
          <w:lang w:val="en-GB"/>
        </w:rPr>
      </w:pPr>
    </w:p>
    <w:p w14:paraId="43DA6E36" w14:textId="77777777" w:rsidR="00867E13" w:rsidRPr="00F81B8E" w:rsidRDefault="00867E13" w:rsidP="00867E13">
      <w:pPr>
        <w:spacing w:line="240" w:lineRule="exact"/>
        <w:jc w:val="center"/>
        <w:rPr>
          <w:sz w:val="20"/>
          <w:lang w:val="en-GB"/>
        </w:rPr>
      </w:pPr>
    </w:p>
    <w:p w14:paraId="2DC2E090" w14:textId="77777777" w:rsidR="00867E13" w:rsidRPr="00F81B8E" w:rsidRDefault="00867E13" w:rsidP="00867E13">
      <w:pPr>
        <w:spacing w:line="240" w:lineRule="exact"/>
        <w:jc w:val="center"/>
        <w:rPr>
          <w:sz w:val="20"/>
          <w:lang w:val="en-GB"/>
        </w:rPr>
      </w:pPr>
    </w:p>
    <w:p w14:paraId="282DD113" w14:textId="77777777" w:rsidR="00867E13" w:rsidRPr="00F81B8E" w:rsidRDefault="00867E13" w:rsidP="00867E13">
      <w:pPr>
        <w:spacing w:line="240" w:lineRule="exact"/>
        <w:jc w:val="center"/>
        <w:rPr>
          <w:sz w:val="20"/>
          <w:lang w:val="en-GB"/>
        </w:rPr>
      </w:pPr>
    </w:p>
    <w:p w14:paraId="00BA9ACD" w14:textId="77777777" w:rsidR="00867E13" w:rsidRPr="00F81B8E" w:rsidRDefault="00867E13" w:rsidP="00867E13">
      <w:pPr>
        <w:spacing w:line="240" w:lineRule="exact"/>
        <w:jc w:val="center"/>
        <w:rPr>
          <w:sz w:val="20"/>
          <w:lang w:val="en-GB"/>
        </w:rPr>
      </w:pPr>
    </w:p>
    <w:p w14:paraId="11D1563C" w14:textId="77777777" w:rsidR="00867E13" w:rsidRPr="00F81B8E" w:rsidRDefault="00867E13" w:rsidP="00867E13">
      <w:pPr>
        <w:spacing w:line="240" w:lineRule="exact"/>
        <w:jc w:val="center"/>
        <w:rPr>
          <w:sz w:val="20"/>
          <w:lang w:val="en-GB"/>
        </w:rPr>
      </w:pPr>
    </w:p>
    <w:p w14:paraId="26E5F246" w14:textId="1921750C" w:rsidR="00867E13" w:rsidRPr="00F81B8E" w:rsidRDefault="00867E13" w:rsidP="00867E13">
      <w:pPr>
        <w:spacing w:line="240" w:lineRule="exact"/>
        <w:jc w:val="center"/>
        <w:rPr>
          <w:sz w:val="20"/>
          <w:lang w:val="en-GB"/>
        </w:rPr>
      </w:pPr>
    </w:p>
    <w:p w14:paraId="5E8C286E" w14:textId="6EC2482C" w:rsidR="00867E13" w:rsidRPr="00F81B8E" w:rsidRDefault="00867E13" w:rsidP="00867E13">
      <w:pPr>
        <w:spacing w:line="240" w:lineRule="exact"/>
        <w:jc w:val="center"/>
        <w:rPr>
          <w:sz w:val="20"/>
          <w:lang w:val="en-GB"/>
        </w:rPr>
      </w:pPr>
    </w:p>
    <w:p w14:paraId="41F7E09C" w14:textId="5A92FEEE" w:rsidR="00867E13" w:rsidRPr="00F81B8E" w:rsidRDefault="00867E13" w:rsidP="00867E13">
      <w:pPr>
        <w:spacing w:line="240" w:lineRule="exact"/>
        <w:jc w:val="center"/>
        <w:rPr>
          <w:sz w:val="20"/>
          <w:lang w:val="en-GB"/>
        </w:rPr>
      </w:pPr>
    </w:p>
    <w:p w14:paraId="5D709E55" w14:textId="544ACB46" w:rsidR="00867E13" w:rsidRPr="00F81B8E" w:rsidRDefault="003370B7" w:rsidP="00867E13">
      <w:pPr>
        <w:spacing w:line="240" w:lineRule="exact"/>
        <w:jc w:val="center"/>
        <w:rPr>
          <w:sz w:val="20"/>
          <w:lang w:val="en-GB"/>
        </w:rPr>
      </w:pPr>
      <w:r>
        <w:rPr>
          <w:noProof/>
        </w:rPr>
        <w:drawing>
          <wp:anchor distT="0" distB="0" distL="114300" distR="114300" simplePos="0" relativeHeight="251686912" behindDoc="0" locked="0" layoutInCell="1" allowOverlap="1" wp14:anchorId="4D356697" wp14:editId="73B16EA0">
            <wp:simplePos x="0" y="0"/>
            <wp:positionH relativeFrom="column">
              <wp:posOffset>1176655</wp:posOffset>
            </wp:positionH>
            <wp:positionV relativeFrom="paragraph">
              <wp:posOffset>252095</wp:posOffset>
            </wp:positionV>
            <wp:extent cx="3590925" cy="514350"/>
            <wp:effectExtent l="0" t="0" r="9525"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90925" cy="514350"/>
                    </a:xfrm>
                    <a:prstGeom prst="rect">
                      <a:avLst/>
                    </a:prstGeom>
                  </pic:spPr>
                </pic:pic>
              </a:graphicData>
            </a:graphic>
            <wp14:sizeRelH relativeFrom="margin">
              <wp14:pctWidth>0</wp14:pctWidth>
            </wp14:sizeRelH>
            <wp14:sizeRelV relativeFrom="margin">
              <wp14:pctHeight>0</wp14:pctHeight>
            </wp14:sizeRelV>
          </wp:anchor>
        </w:drawing>
      </w:r>
    </w:p>
    <w:p w14:paraId="4476FEAB" w14:textId="77777777" w:rsidR="00867E13" w:rsidRPr="00F81B8E" w:rsidRDefault="00867E13" w:rsidP="00867E13">
      <w:pPr>
        <w:spacing w:line="240" w:lineRule="exact"/>
        <w:jc w:val="center"/>
        <w:rPr>
          <w:sz w:val="20"/>
          <w:lang w:val="en-GB"/>
        </w:rPr>
      </w:pPr>
    </w:p>
    <w:p w14:paraId="2414AD28" w14:textId="06770A02" w:rsidR="00867E13" w:rsidRPr="00F81B8E" w:rsidRDefault="00867E13" w:rsidP="00867E13">
      <w:pPr>
        <w:spacing w:line="240" w:lineRule="exact"/>
        <w:jc w:val="center"/>
        <w:rPr>
          <w:sz w:val="20"/>
          <w:lang w:val="en-GB"/>
        </w:rPr>
      </w:pPr>
    </w:p>
    <w:p w14:paraId="1E379750" w14:textId="77777777" w:rsidR="00867E13" w:rsidRPr="00F81B8E" w:rsidRDefault="00867E13" w:rsidP="00867E13">
      <w:pPr>
        <w:spacing w:line="240" w:lineRule="exact"/>
        <w:jc w:val="center"/>
        <w:rPr>
          <w:sz w:val="20"/>
          <w:lang w:val="en-GB"/>
        </w:rPr>
      </w:pPr>
      <w:r w:rsidRPr="00F81B8E">
        <w:rPr>
          <w:sz w:val="20"/>
          <w:lang w:val="en-GB"/>
        </w:rPr>
        <w:sym w:font="Symbol" w:char="F0E3"/>
      </w:r>
      <w:r w:rsidRPr="00F81B8E">
        <w:rPr>
          <w:sz w:val="20"/>
          <w:lang w:val="en-GB"/>
        </w:rPr>
        <w:t xml:space="preserve"> ITU </w:t>
      </w:r>
      <w:bookmarkStart w:id="1" w:name="iiannee"/>
      <w:bookmarkEnd w:id="1"/>
      <w:r>
        <w:rPr>
          <w:sz w:val="20"/>
          <w:lang w:val="en-GB"/>
        </w:rPr>
        <w:t>2022</w:t>
      </w:r>
    </w:p>
    <w:p w14:paraId="55B491E9" w14:textId="256AC955" w:rsidR="00867E13" w:rsidRPr="00F81B8E" w:rsidRDefault="00867E13" w:rsidP="00867E13">
      <w:pPr>
        <w:spacing w:line="240" w:lineRule="exact"/>
        <w:rPr>
          <w:sz w:val="20"/>
          <w:lang w:val="en-GB"/>
        </w:rPr>
      </w:pPr>
      <w:r w:rsidRPr="00F81B8E">
        <w:rPr>
          <w:sz w:val="20"/>
          <w:lang w:val="en-GB"/>
        </w:rPr>
        <w:t>All rights reserved. No part of this publication may be reproduced, by any means whatsoever, without the prior written permission of ITU.</w:t>
      </w:r>
    </w:p>
    <w:p w14:paraId="0B4E6AD2" w14:textId="77777777" w:rsidR="00867E13" w:rsidRPr="00F81B8E" w:rsidRDefault="00867E13" w:rsidP="00867E13">
      <w:pPr>
        <w:pStyle w:val="ChapNo"/>
        <w:rPr>
          <w:b w:val="0"/>
          <w:lang w:val="en-GB"/>
        </w:rPr>
        <w:sectPr w:rsidR="00867E13" w:rsidRPr="00F81B8E" w:rsidSect="004E3740">
          <w:headerReference w:type="default" r:id="rId14"/>
          <w:footerReference w:type="even" r:id="rId15"/>
          <w:footnotePr>
            <w:numRestart w:val="eachSect"/>
          </w:footnotePr>
          <w:pgSz w:w="11907" w:h="16840" w:code="9"/>
          <w:pgMar w:top="1134" w:right="1134" w:bottom="1134" w:left="1134" w:header="567" w:footer="567" w:gutter="0"/>
          <w:pgNumType w:fmt="lowerRoman"/>
          <w:cols w:space="720"/>
          <w:vAlign w:val="both"/>
        </w:sectPr>
      </w:pPr>
    </w:p>
    <w:p w14:paraId="2350921A" w14:textId="77777777" w:rsidR="0037311B" w:rsidRPr="00380B40" w:rsidRDefault="0037311B" w:rsidP="00697B35">
      <w:pPr>
        <w:spacing w:line="240" w:lineRule="exact"/>
        <w:rPr>
          <w:sz w:val="20"/>
          <w:lang w:val="en-GB"/>
        </w:rPr>
      </w:pPr>
    </w:p>
    <w:p w14:paraId="7AF0F2BA" w14:textId="77777777" w:rsidR="004E3740" w:rsidRPr="00380B40" w:rsidRDefault="004E3740" w:rsidP="00BE5A02">
      <w:pPr>
        <w:pStyle w:val="Headingb"/>
        <w:rPr>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B55C16" w:rsidRPr="004E0F36" w14:paraId="0082B370" w14:textId="77777777" w:rsidTr="00C73094">
        <w:tc>
          <w:tcPr>
            <w:tcW w:w="5000" w:type="pct"/>
            <w:shd w:val="clear" w:color="auto" w:fill="auto"/>
          </w:tcPr>
          <w:p w14:paraId="089CC01C" w14:textId="77777777" w:rsidR="00B55C16" w:rsidRPr="00380B40" w:rsidRDefault="00B55C16" w:rsidP="00B55C16">
            <w:pPr>
              <w:pStyle w:val="Normal16pt"/>
              <w:jc w:val="center"/>
            </w:pPr>
            <w:r w:rsidRPr="00380B40">
              <w:t>Proceedings of the World Telecommunication Standardization Assembly</w:t>
            </w:r>
          </w:p>
        </w:tc>
      </w:tr>
      <w:tr w:rsidR="00B55C16" w:rsidRPr="00380B40" w14:paraId="78B75D39" w14:textId="77777777" w:rsidTr="00C73094">
        <w:tc>
          <w:tcPr>
            <w:tcW w:w="5000" w:type="pct"/>
            <w:shd w:val="clear" w:color="auto" w:fill="auto"/>
          </w:tcPr>
          <w:p w14:paraId="312A8B2F" w14:textId="77777777" w:rsidR="00B55C16" w:rsidRPr="00380B40" w:rsidRDefault="00B55C16" w:rsidP="00B55C16">
            <w:pPr>
              <w:jc w:val="center"/>
              <w:rPr>
                <w:lang w:val="en-GB"/>
              </w:rPr>
            </w:pPr>
            <w:bookmarkStart w:id="2" w:name="_Toc89761998"/>
            <w:bookmarkStart w:id="3" w:name="_Toc89767301"/>
            <w:bookmarkStart w:id="4" w:name="_Toc104472181"/>
            <w:r w:rsidRPr="00380B40">
              <w:rPr>
                <w:lang w:val="en-GB"/>
              </w:rPr>
              <w:t>(Geneva, 2022)</w:t>
            </w:r>
            <w:bookmarkEnd w:id="2"/>
            <w:bookmarkEnd w:id="3"/>
            <w:bookmarkEnd w:id="4"/>
          </w:p>
          <w:p w14:paraId="482A4618" w14:textId="77777777" w:rsidR="00B55C16" w:rsidRPr="00380B40" w:rsidRDefault="00B55C16" w:rsidP="00B55C16">
            <w:pPr>
              <w:tabs>
                <w:tab w:val="clear" w:pos="794"/>
                <w:tab w:val="clear" w:pos="1191"/>
                <w:tab w:val="clear" w:pos="1588"/>
                <w:tab w:val="clear" w:pos="1985"/>
              </w:tabs>
              <w:jc w:val="center"/>
              <w:rPr>
                <w:lang w:val="en-GB"/>
              </w:rPr>
            </w:pPr>
          </w:p>
          <w:p w14:paraId="18CFD8A8" w14:textId="77777777" w:rsidR="00B55C16" w:rsidRPr="00380B40" w:rsidRDefault="00B55C16" w:rsidP="00B55C16">
            <w:pPr>
              <w:tabs>
                <w:tab w:val="clear" w:pos="794"/>
                <w:tab w:val="clear" w:pos="1191"/>
                <w:tab w:val="clear" w:pos="1588"/>
                <w:tab w:val="clear" w:pos="1985"/>
              </w:tabs>
              <w:jc w:val="center"/>
              <w:rPr>
                <w:lang w:val="en-GB"/>
              </w:rPr>
            </w:pPr>
          </w:p>
        </w:tc>
      </w:tr>
      <w:tr w:rsidR="00B55C16" w:rsidRPr="00380B40" w14:paraId="30731422" w14:textId="77777777" w:rsidTr="00C73094">
        <w:tc>
          <w:tcPr>
            <w:tcW w:w="5000" w:type="pct"/>
            <w:shd w:val="clear" w:color="auto" w:fill="auto"/>
          </w:tcPr>
          <w:p w14:paraId="2D805CC1" w14:textId="77777777" w:rsidR="00B55C16" w:rsidRPr="00380B40" w:rsidRDefault="00B55C16" w:rsidP="004E4CA9">
            <w:pPr>
              <w:tabs>
                <w:tab w:val="clear" w:pos="794"/>
                <w:tab w:val="clear" w:pos="1191"/>
                <w:tab w:val="clear" w:pos="1588"/>
                <w:tab w:val="clear" w:pos="1985"/>
              </w:tabs>
              <w:rPr>
                <w:lang w:val="en-GB"/>
              </w:rPr>
            </w:pPr>
          </w:p>
        </w:tc>
      </w:tr>
      <w:tr w:rsidR="00B55C16" w:rsidRPr="00380B40" w14:paraId="03BB48F9" w14:textId="77777777" w:rsidTr="00C73094">
        <w:tc>
          <w:tcPr>
            <w:tcW w:w="5000" w:type="pct"/>
            <w:shd w:val="clear" w:color="auto" w:fill="auto"/>
          </w:tcPr>
          <w:p w14:paraId="49D822C9" w14:textId="77777777" w:rsidR="00B55C16" w:rsidRPr="00380B40" w:rsidRDefault="00B55C16" w:rsidP="00B55C16">
            <w:pPr>
              <w:tabs>
                <w:tab w:val="clear" w:pos="794"/>
                <w:tab w:val="clear" w:pos="1191"/>
                <w:tab w:val="clear" w:pos="1588"/>
                <w:tab w:val="clear" w:pos="1985"/>
              </w:tabs>
              <w:jc w:val="center"/>
              <w:rPr>
                <w:lang w:val="en-GB"/>
              </w:rPr>
            </w:pPr>
            <w:r w:rsidRPr="00380B40">
              <w:rPr>
                <w:b/>
                <w:lang w:val="en-GB"/>
              </w:rPr>
              <w:t>CONTENTS</w:t>
            </w:r>
          </w:p>
        </w:tc>
      </w:tr>
      <w:tr w:rsidR="00B55C16" w:rsidRPr="00380B40" w14:paraId="51EA6E0A" w14:textId="77777777" w:rsidTr="00C73094">
        <w:tc>
          <w:tcPr>
            <w:tcW w:w="5000" w:type="pct"/>
            <w:shd w:val="clear" w:color="auto" w:fill="auto"/>
          </w:tcPr>
          <w:p w14:paraId="42EB24AA" w14:textId="77777777" w:rsidR="00B55C16" w:rsidRPr="00380B40" w:rsidRDefault="00B55C16" w:rsidP="004E4CA9">
            <w:pPr>
              <w:tabs>
                <w:tab w:val="clear" w:pos="794"/>
                <w:tab w:val="clear" w:pos="1191"/>
                <w:tab w:val="clear" w:pos="1588"/>
                <w:tab w:val="clear" w:pos="1985"/>
              </w:tabs>
              <w:rPr>
                <w:lang w:val="en-GB"/>
              </w:rPr>
            </w:pPr>
          </w:p>
        </w:tc>
      </w:tr>
    </w:tbl>
    <w:p w14:paraId="4B485F6A" w14:textId="106BD2FD" w:rsidR="00327885" w:rsidRPr="00380B40" w:rsidRDefault="006A0076" w:rsidP="00327885">
      <w:pPr>
        <w:tabs>
          <w:tab w:val="clear" w:pos="794"/>
          <w:tab w:val="clear" w:pos="1191"/>
          <w:tab w:val="clear" w:pos="1588"/>
          <w:tab w:val="clear" w:pos="1985"/>
          <w:tab w:val="left" w:pos="2036"/>
        </w:tabs>
        <w:ind w:left="2036" w:hanging="1928"/>
        <w:jc w:val="left"/>
        <w:rPr>
          <w:lang w:val="en-GB"/>
        </w:rPr>
      </w:pPr>
      <w:hyperlink w:anchor="PartI" w:history="1">
        <w:r w:rsidR="00327885" w:rsidRPr="00E716C4">
          <w:rPr>
            <w:rStyle w:val="Hyperlink"/>
            <w:lang w:val="en-GB"/>
          </w:rPr>
          <w:t>PART I</w:t>
        </w:r>
        <w:r w:rsidR="00327885" w:rsidRPr="00E716C4">
          <w:rPr>
            <w:rStyle w:val="Hyperlink"/>
            <w:lang w:val="en-GB"/>
          </w:rPr>
          <w:tab/>
          <w:t>Resolutions and Opinions adopted by the Assembly of the ITU Telecommunication Standardization Sector</w:t>
        </w:r>
      </w:hyperlink>
    </w:p>
    <w:p w14:paraId="328144AB" w14:textId="5DCDB594" w:rsidR="00327885" w:rsidRPr="00380B40" w:rsidRDefault="006A0076" w:rsidP="00327885">
      <w:pPr>
        <w:tabs>
          <w:tab w:val="clear" w:pos="794"/>
          <w:tab w:val="clear" w:pos="1191"/>
          <w:tab w:val="clear" w:pos="1588"/>
          <w:tab w:val="clear" w:pos="1985"/>
          <w:tab w:val="left" w:pos="2036"/>
        </w:tabs>
        <w:ind w:left="2036" w:hanging="1928"/>
        <w:jc w:val="left"/>
        <w:rPr>
          <w:lang w:val="en-GB"/>
        </w:rPr>
      </w:pPr>
      <w:hyperlink w:anchor="PartII" w:history="1">
        <w:r w:rsidR="00327885" w:rsidRPr="00E716C4">
          <w:rPr>
            <w:rStyle w:val="Hyperlink"/>
            <w:lang w:val="en-GB"/>
          </w:rPr>
          <w:t>PART II</w:t>
        </w:r>
        <w:r w:rsidR="00327885" w:rsidRPr="00E716C4">
          <w:rPr>
            <w:rStyle w:val="Hyperlink"/>
            <w:lang w:val="en-GB"/>
          </w:rPr>
          <w:tab/>
          <w:t>ITU-T A-series Recommendations and Supplements: Organization of the work of the ITU Telecommunication Standardization Sector</w:t>
        </w:r>
      </w:hyperlink>
    </w:p>
    <w:p w14:paraId="243421D3" w14:textId="4199A4C6" w:rsidR="00327885" w:rsidRPr="00380B40" w:rsidRDefault="006A0076" w:rsidP="00327885">
      <w:pPr>
        <w:tabs>
          <w:tab w:val="clear" w:pos="794"/>
          <w:tab w:val="clear" w:pos="1191"/>
          <w:tab w:val="clear" w:pos="1588"/>
          <w:tab w:val="clear" w:pos="1985"/>
          <w:tab w:val="left" w:pos="2036"/>
        </w:tabs>
        <w:ind w:left="2036" w:hanging="1928"/>
        <w:jc w:val="left"/>
        <w:rPr>
          <w:lang w:val="en-GB"/>
        </w:rPr>
      </w:pPr>
      <w:hyperlink w:anchor="PartIII" w:history="1">
        <w:r w:rsidR="00327885" w:rsidRPr="00E716C4">
          <w:rPr>
            <w:rStyle w:val="Hyperlink"/>
            <w:lang w:val="en-GB"/>
          </w:rPr>
          <w:t>PART III</w:t>
        </w:r>
        <w:r w:rsidR="00327885" w:rsidRPr="00E716C4">
          <w:rPr>
            <w:rStyle w:val="Hyperlink"/>
            <w:lang w:val="en-GB"/>
          </w:rPr>
          <w:tab/>
          <w:t>Chairmen and vice chairmen of TSAG, the ITU telecommunication standardization study groups and the Standardization Committee for Vocabulary appointed by WTSA-20</w:t>
        </w:r>
      </w:hyperlink>
    </w:p>
    <w:p w14:paraId="7F025CFC" w14:textId="67D8D3A3" w:rsidR="00327885" w:rsidRPr="00380B40" w:rsidRDefault="006A0076" w:rsidP="00327885">
      <w:pPr>
        <w:tabs>
          <w:tab w:val="clear" w:pos="794"/>
          <w:tab w:val="clear" w:pos="1191"/>
          <w:tab w:val="clear" w:pos="1588"/>
          <w:tab w:val="clear" w:pos="1985"/>
          <w:tab w:val="left" w:pos="2036"/>
        </w:tabs>
        <w:ind w:left="2036" w:hanging="1928"/>
        <w:jc w:val="left"/>
        <w:rPr>
          <w:lang w:val="en-GB"/>
        </w:rPr>
      </w:pPr>
      <w:hyperlink w:anchor="PartIV" w:history="1">
        <w:r w:rsidR="00327885" w:rsidRPr="00E716C4">
          <w:rPr>
            <w:rStyle w:val="Hyperlink"/>
            <w:lang w:val="en-GB"/>
          </w:rPr>
          <w:t>PART IV</w:t>
        </w:r>
        <w:r w:rsidR="00327885" w:rsidRPr="00E716C4">
          <w:rPr>
            <w:rStyle w:val="Hyperlink"/>
            <w:lang w:val="en-GB"/>
          </w:rPr>
          <w:tab/>
          <w:t>Titles of the Questions approved for study by the Telecommunication Standardization Sector</w:t>
        </w:r>
      </w:hyperlink>
    </w:p>
    <w:p w14:paraId="18B63EBD" w14:textId="0F22F364" w:rsidR="00327885" w:rsidRPr="00380B40" w:rsidRDefault="006A0076" w:rsidP="00327885">
      <w:pPr>
        <w:tabs>
          <w:tab w:val="clear" w:pos="794"/>
          <w:tab w:val="clear" w:pos="1191"/>
          <w:tab w:val="clear" w:pos="1588"/>
          <w:tab w:val="clear" w:pos="1985"/>
          <w:tab w:val="left" w:pos="2036"/>
        </w:tabs>
        <w:ind w:left="2036" w:hanging="1928"/>
        <w:jc w:val="left"/>
        <w:rPr>
          <w:lang w:val="en-GB"/>
        </w:rPr>
      </w:pPr>
      <w:hyperlink w:anchor="PartV" w:history="1">
        <w:r w:rsidR="00327885" w:rsidRPr="00E716C4">
          <w:rPr>
            <w:rStyle w:val="Hyperlink"/>
            <w:lang w:val="en-GB"/>
          </w:rPr>
          <w:t>PART V</w:t>
        </w:r>
        <w:r w:rsidR="00327885" w:rsidRPr="00E716C4">
          <w:rPr>
            <w:rStyle w:val="Hyperlink"/>
            <w:lang w:val="en-GB"/>
          </w:rPr>
          <w:tab/>
          <w:t>Reports and documents of the Assembly</w:t>
        </w:r>
      </w:hyperlink>
    </w:p>
    <w:p w14:paraId="3F3567D4" w14:textId="1D862C94" w:rsidR="004E3740" w:rsidRDefault="004E3740" w:rsidP="004E3740">
      <w:pPr>
        <w:rPr>
          <w:lang w:val="en-GB"/>
        </w:rPr>
      </w:pPr>
    </w:p>
    <w:p w14:paraId="3F68E0C3" w14:textId="35837F1E" w:rsidR="008930E6" w:rsidRDefault="008930E6" w:rsidP="004E3740">
      <w:pPr>
        <w:rPr>
          <w:lang w:val="en-GB"/>
        </w:rPr>
      </w:pPr>
    </w:p>
    <w:p w14:paraId="10B0796B" w14:textId="5D2EB757" w:rsidR="008930E6" w:rsidRDefault="008930E6" w:rsidP="004E3740">
      <w:pPr>
        <w:rPr>
          <w:lang w:val="en-GB"/>
        </w:rPr>
      </w:pPr>
    </w:p>
    <w:p w14:paraId="643C6AA8" w14:textId="7CD49801" w:rsidR="008930E6" w:rsidRDefault="008930E6" w:rsidP="004E3740">
      <w:pPr>
        <w:rPr>
          <w:lang w:val="en-GB"/>
        </w:rPr>
      </w:pPr>
    </w:p>
    <w:p w14:paraId="02D84A90" w14:textId="3EB134E1" w:rsidR="008930E6" w:rsidRDefault="008930E6" w:rsidP="004E3740">
      <w:pPr>
        <w:rPr>
          <w:lang w:val="en-GB"/>
        </w:rPr>
      </w:pPr>
    </w:p>
    <w:p w14:paraId="2F4668EB" w14:textId="3B33CD4C" w:rsidR="008930E6" w:rsidRDefault="008930E6" w:rsidP="004E3740">
      <w:pPr>
        <w:rPr>
          <w:lang w:val="en-GB"/>
        </w:rPr>
      </w:pPr>
    </w:p>
    <w:p w14:paraId="4D57B2DA" w14:textId="387531A8" w:rsidR="008930E6" w:rsidRDefault="008930E6" w:rsidP="004E3740">
      <w:pPr>
        <w:rPr>
          <w:lang w:val="en-GB"/>
        </w:rPr>
      </w:pPr>
    </w:p>
    <w:p w14:paraId="02FED96B" w14:textId="1C65BBEE" w:rsidR="008930E6" w:rsidRDefault="008930E6" w:rsidP="004E3740">
      <w:pPr>
        <w:rPr>
          <w:lang w:val="en-GB"/>
        </w:rPr>
      </w:pPr>
    </w:p>
    <w:p w14:paraId="05E74E70" w14:textId="33798B62" w:rsidR="008930E6" w:rsidRDefault="008930E6" w:rsidP="004E3740">
      <w:pPr>
        <w:rPr>
          <w:lang w:val="en-GB"/>
        </w:rPr>
      </w:pPr>
    </w:p>
    <w:p w14:paraId="58E510C2" w14:textId="474D0502" w:rsidR="008930E6" w:rsidRDefault="008930E6" w:rsidP="004E3740">
      <w:pPr>
        <w:rPr>
          <w:lang w:val="en-GB"/>
        </w:rPr>
      </w:pPr>
    </w:p>
    <w:p w14:paraId="70C5F610" w14:textId="10CC701D" w:rsidR="008930E6" w:rsidRDefault="008930E6" w:rsidP="004E3740">
      <w:pPr>
        <w:rPr>
          <w:lang w:val="en-GB"/>
        </w:rPr>
      </w:pPr>
    </w:p>
    <w:p w14:paraId="0DF5B0C6" w14:textId="258B642A" w:rsidR="008930E6" w:rsidRDefault="008930E6" w:rsidP="004E3740">
      <w:pPr>
        <w:rPr>
          <w:lang w:val="en-GB"/>
        </w:rPr>
      </w:pPr>
    </w:p>
    <w:p w14:paraId="6F8E56A1" w14:textId="77777777" w:rsidR="008930E6" w:rsidRPr="00380B40" w:rsidRDefault="008930E6" w:rsidP="004E3740">
      <w:pPr>
        <w:rPr>
          <w:lang w:val="en-GB"/>
        </w:rPr>
      </w:pPr>
    </w:p>
    <w:p w14:paraId="2E0B634E" w14:textId="77777777" w:rsidR="004E3740" w:rsidRDefault="004E3740" w:rsidP="004E3740">
      <w:pPr>
        <w:rPr>
          <w:lang w:val="en-GB"/>
        </w:rPr>
      </w:pPr>
    </w:p>
    <w:p w14:paraId="7EDD0D00" w14:textId="73EEDFC4" w:rsidR="0037311B" w:rsidRPr="00380B40" w:rsidRDefault="0037311B" w:rsidP="004E3740">
      <w:pPr>
        <w:rPr>
          <w:lang w:val="en-GB"/>
        </w:rPr>
        <w:sectPr w:rsidR="0037311B" w:rsidRPr="00380B40" w:rsidSect="004E3740">
          <w:footerReference w:type="default" r:id="rId16"/>
          <w:footnotePr>
            <w:numRestart w:val="eachSect"/>
          </w:footnotePr>
          <w:pgSz w:w="11907" w:h="16840" w:code="9"/>
          <w:pgMar w:top="1134" w:right="1134" w:bottom="1134" w:left="1134" w:header="567" w:footer="567" w:gutter="0"/>
          <w:pgNumType w:fmt="lowerRoman"/>
          <w:cols w:space="720"/>
          <w:vAlign w:val="both"/>
        </w:sectPr>
      </w:pPr>
    </w:p>
    <w:p w14:paraId="0148A2CE" w14:textId="1F9FE6D8" w:rsidR="002B0F14" w:rsidRDefault="00C777D4" w:rsidP="004E4CA9">
      <w:pPr>
        <w:pStyle w:val="Heading1"/>
        <w:jc w:val="center"/>
        <w:rPr>
          <w:lang w:val="en-GB"/>
        </w:rPr>
      </w:pPr>
      <w:bookmarkStart w:id="5" w:name="_Toc111636695"/>
      <w:r w:rsidRPr="00CC133D">
        <w:rPr>
          <w:lang w:val="en-GB"/>
        </w:rPr>
        <w:t>TABLE OF CONTENTS</w:t>
      </w:r>
      <w:bookmarkEnd w:id="5"/>
    </w:p>
    <w:p w14:paraId="576814A1" w14:textId="3893179F" w:rsidR="00B26F5B" w:rsidRDefault="00B26F5B" w:rsidP="00C777D4">
      <w:pPr>
        <w:pStyle w:val="TOC1"/>
        <w:tabs>
          <w:tab w:val="right" w:leader="dot" w:pos="9629"/>
        </w:tabs>
        <w:spacing w:before="360"/>
        <w:rPr>
          <w:rFonts w:eastAsiaTheme="minorEastAsia" w:cstheme="minorBidi"/>
          <w:b w:val="0"/>
          <w:bCs w:val="0"/>
          <w:caps w:val="0"/>
          <w:noProof/>
          <w:sz w:val="22"/>
          <w:szCs w:val="22"/>
          <w:lang w:val="en-US"/>
        </w:rPr>
      </w:pPr>
      <w:r>
        <w:rPr>
          <w:b w:val="0"/>
          <w:bCs w:val="0"/>
          <w:caps w:val="0"/>
        </w:rPr>
        <w:fldChar w:fldCharType="begin"/>
      </w:r>
      <w:r>
        <w:rPr>
          <w:b w:val="0"/>
          <w:bCs w:val="0"/>
          <w:caps w:val="0"/>
        </w:rPr>
        <w:instrText xml:space="preserve"> TOC \h \z \t "Chap_No,1,Rec_No,2,Rec_title,3,Res_No,2,Res_title,3,Proposal,2,Section_titlecolor,2" </w:instrText>
      </w:r>
      <w:r>
        <w:rPr>
          <w:b w:val="0"/>
          <w:bCs w:val="0"/>
          <w:caps w:val="0"/>
        </w:rPr>
        <w:fldChar w:fldCharType="separate"/>
      </w:r>
      <w:hyperlink w:anchor="_Toc111638393" w:history="1">
        <w:r w:rsidRPr="003771A2">
          <w:rPr>
            <w:rStyle w:val="Hyperlink"/>
            <w:noProof/>
            <w:lang w:val="en-GB"/>
          </w:rPr>
          <w:t>PART I    Resolutions and Opinions adopted by the Assembly of the ITU Telecommunication Standardization Sector</w:t>
        </w:r>
        <w:r>
          <w:rPr>
            <w:noProof/>
            <w:webHidden/>
          </w:rPr>
          <w:tab/>
        </w:r>
        <w:r>
          <w:rPr>
            <w:noProof/>
            <w:webHidden/>
          </w:rPr>
          <w:fldChar w:fldCharType="begin"/>
        </w:r>
        <w:r>
          <w:rPr>
            <w:noProof/>
            <w:webHidden/>
          </w:rPr>
          <w:instrText xml:space="preserve"> PAGEREF _Toc111638393 \h </w:instrText>
        </w:r>
        <w:r>
          <w:rPr>
            <w:noProof/>
            <w:webHidden/>
          </w:rPr>
        </w:r>
        <w:r>
          <w:rPr>
            <w:noProof/>
            <w:webHidden/>
          </w:rPr>
          <w:fldChar w:fldCharType="separate"/>
        </w:r>
        <w:r w:rsidR="006A0076">
          <w:rPr>
            <w:noProof/>
            <w:webHidden/>
          </w:rPr>
          <w:t>1</w:t>
        </w:r>
        <w:r>
          <w:rPr>
            <w:noProof/>
            <w:webHidden/>
          </w:rPr>
          <w:fldChar w:fldCharType="end"/>
        </w:r>
      </w:hyperlink>
    </w:p>
    <w:p w14:paraId="4EEC50AF" w14:textId="09C5D838" w:rsidR="00B26F5B" w:rsidRDefault="006A0076">
      <w:pPr>
        <w:pStyle w:val="TOC2"/>
        <w:tabs>
          <w:tab w:val="right" w:leader="dot" w:pos="9629"/>
        </w:tabs>
        <w:rPr>
          <w:rFonts w:eastAsiaTheme="minorEastAsia" w:cstheme="minorBidi"/>
          <w:smallCaps w:val="0"/>
          <w:noProof/>
          <w:sz w:val="22"/>
          <w:szCs w:val="22"/>
          <w:lang w:val="en-US"/>
        </w:rPr>
      </w:pPr>
      <w:hyperlink w:anchor="_Toc111638394" w:history="1">
        <w:r w:rsidR="00B26F5B" w:rsidRPr="003771A2">
          <w:rPr>
            <w:rStyle w:val="Hyperlink"/>
            <w:noProof/>
            <w:lang w:val="en-GB"/>
          </w:rPr>
          <w:t>RESOLUTION 1 (Rev. Geneva, 2022)</w:t>
        </w:r>
        <w:r w:rsidR="00B26F5B">
          <w:rPr>
            <w:noProof/>
            <w:webHidden/>
          </w:rPr>
          <w:tab/>
        </w:r>
        <w:r w:rsidR="00B26F5B">
          <w:rPr>
            <w:noProof/>
            <w:webHidden/>
          </w:rPr>
          <w:fldChar w:fldCharType="begin"/>
        </w:r>
        <w:r w:rsidR="00B26F5B">
          <w:rPr>
            <w:noProof/>
            <w:webHidden/>
          </w:rPr>
          <w:instrText xml:space="preserve"> PAGEREF _Toc111638394 \h </w:instrText>
        </w:r>
        <w:r w:rsidR="00B26F5B">
          <w:rPr>
            <w:noProof/>
            <w:webHidden/>
          </w:rPr>
        </w:r>
        <w:r w:rsidR="00B26F5B">
          <w:rPr>
            <w:noProof/>
            <w:webHidden/>
          </w:rPr>
          <w:fldChar w:fldCharType="separate"/>
        </w:r>
        <w:r>
          <w:rPr>
            <w:noProof/>
            <w:webHidden/>
          </w:rPr>
          <w:t>3</w:t>
        </w:r>
        <w:r w:rsidR="00B26F5B">
          <w:rPr>
            <w:noProof/>
            <w:webHidden/>
          </w:rPr>
          <w:fldChar w:fldCharType="end"/>
        </w:r>
      </w:hyperlink>
    </w:p>
    <w:p w14:paraId="5AE02E80" w14:textId="4AE35BA3" w:rsidR="00B26F5B" w:rsidRDefault="006A0076">
      <w:pPr>
        <w:pStyle w:val="TOC3"/>
        <w:tabs>
          <w:tab w:val="right" w:leader="dot" w:pos="9629"/>
        </w:tabs>
        <w:rPr>
          <w:rFonts w:eastAsiaTheme="minorEastAsia" w:cstheme="minorBidi"/>
          <w:i w:val="0"/>
          <w:iCs w:val="0"/>
          <w:noProof/>
          <w:sz w:val="22"/>
          <w:szCs w:val="22"/>
          <w:lang w:val="en-US"/>
        </w:rPr>
      </w:pPr>
      <w:hyperlink w:anchor="_Toc111638395" w:history="1">
        <w:r w:rsidR="00B26F5B" w:rsidRPr="003771A2">
          <w:rPr>
            <w:rStyle w:val="Hyperlink"/>
            <w:noProof/>
            <w:lang w:val="en-GB"/>
          </w:rPr>
          <w:t>Rules of procedure of the ITU Telecommunication  Standardization Sector</w:t>
        </w:r>
      </w:hyperlink>
    </w:p>
    <w:p w14:paraId="6564D80A" w14:textId="76A9CCFF" w:rsidR="00B26F5B" w:rsidRDefault="006A0076">
      <w:pPr>
        <w:pStyle w:val="TOC2"/>
        <w:tabs>
          <w:tab w:val="right" w:leader="dot" w:pos="9629"/>
        </w:tabs>
        <w:rPr>
          <w:rFonts w:eastAsiaTheme="minorEastAsia" w:cstheme="minorBidi"/>
          <w:smallCaps w:val="0"/>
          <w:noProof/>
          <w:sz w:val="22"/>
          <w:szCs w:val="22"/>
          <w:lang w:val="en-US"/>
        </w:rPr>
      </w:pPr>
      <w:hyperlink w:anchor="_Toc111638396" w:history="1">
        <w:r w:rsidR="00B26F5B" w:rsidRPr="003771A2">
          <w:rPr>
            <w:rStyle w:val="Hyperlink"/>
            <w:noProof/>
            <w:lang w:val="en-GB"/>
          </w:rPr>
          <w:t>RESOLUTION 2 (Rev. Geneva, 2022)</w:t>
        </w:r>
        <w:r w:rsidR="00B26F5B">
          <w:rPr>
            <w:noProof/>
            <w:webHidden/>
          </w:rPr>
          <w:tab/>
        </w:r>
        <w:r w:rsidR="00B26F5B">
          <w:rPr>
            <w:noProof/>
            <w:webHidden/>
          </w:rPr>
          <w:fldChar w:fldCharType="begin"/>
        </w:r>
        <w:r w:rsidR="00B26F5B">
          <w:rPr>
            <w:noProof/>
            <w:webHidden/>
          </w:rPr>
          <w:instrText xml:space="preserve"> PAGEREF _Toc111638396 \h </w:instrText>
        </w:r>
        <w:r w:rsidR="00B26F5B">
          <w:rPr>
            <w:noProof/>
            <w:webHidden/>
          </w:rPr>
        </w:r>
        <w:r w:rsidR="00B26F5B">
          <w:rPr>
            <w:noProof/>
            <w:webHidden/>
          </w:rPr>
          <w:fldChar w:fldCharType="separate"/>
        </w:r>
        <w:r>
          <w:rPr>
            <w:noProof/>
            <w:webHidden/>
          </w:rPr>
          <w:t>37</w:t>
        </w:r>
        <w:r w:rsidR="00B26F5B">
          <w:rPr>
            <w:noProof/>
            <w:webHidden/>
          </w:rPr>
          <w:fldChar w:fldCharType="end"/>
        </w:r>
      </w:hyperlink>
    </w:p>
    <w:p w14:paraId="68C0D4EB" w14:textId="40E162F4" w:rsidR="00B26F5B" w:rsidRDefault="006A0076">
      <w:pPr>
        <w:pStyle w:val="TOC3"/>
        <w:tabs>
          <w:tab w:val="right" w:leader="dot" w:pos="9629"/>
        </w:tabs>
        <w:rPr>
          <w:rFonts w:eastAsiaTheme="minorEastAsia" w:cstheme="minorBidi"/>
          <w:i w:val="0"/>
          <w:iCs w:val="0"/>
          <w:noProof/>
          <w:sz w:val="22"/>
          <w:szCs w:val="22"/>
          <w:lang w:val="en-US"/>
        </w:rPr>
      </w:pPr>
      <w:hyperlink w:anchor="_Toc111638397" w:history="1">
        <w:r w:rsidR="00B26F5B" w:rsidRPr="003771A2">
          <w:rPr>
            <w:rStyle w:val="Hyperlink"/>
            <w:rFonts w:eastAsia="DengXian"/>
            <w:noProof/>
            <w:lang w:val="en-GB" w:eastAsia="ja-JP"/>
          </w:rPr>
          <w:t>ITU Telecommunication Standardization Sector study group  responsibility and mandates</w:t>
        </w:r>
      </w:hyperlink>
    </w:p>
    <w:p w14:paraId="48B51AAE" w14:textId="4DBF41A2" w:rsidR="00B26F5B" w:rsidRDefault="006A0076">
      <w:pPr>
        <w:pStyle w:val="TOC2"/>
        <w:tabs>
          <w:tab w:val="right" w:leader="dot" w:pos="9629"/>
        </w:tabs>
        <w:rPr>
          <w:rFonts w:eastAsiaTheme="minorEastAsia" w:cstheme="minorBidi"/>
          <w:smallCaps w:val="0"/>
          <w:noProof/>
          <w:sz w:val="22"/>
          <w:szCs w:val="22"/>
          <w:lang w:val="en-US"/>
        </w:rPr>
      </w:pPr>
      <w:hyperlink w:anchor="_Toc111638398" w:history="1">
        <w:r w:rsidR="00B26F5B" w:rsidRPr="003771A2">
          <w:rPr>
            <w:rStyle w:val="Hyperlink"/>
            <w:noProof/>
            <w:lang w:val="en-GB"/>
          </w:rPr>
          <w:t>RESOLUTION 7 (Rev. Geneva, 2022)</w:t>
        </w:r>
        <w:r w:rsidR="00B26F5B">
          <w:rPr>
            <w:noProof/>
            <w:webHidden/>
          </w:rPr>
          <w:tab/>
        </w:r>
        <w:r w:rsidR="00B26F5B">
          <w:rPr>
            <w:noProof/>
            <w:webHidden/>
          </w:rPr>
          <w:fldChar w:fldCharType="begin"/>
        </w:r>
        <w:r w:rsidR="00B26F5B">
          <w:rPr>
            <w:noProof/>
            <w:webHidden/>
          </w:rPr>
          <w:instrText xml:space="preserve"> PAGEREF _Toc111638398 \h </w:instrText>
        </w:r>
        <w:r w:rsidR="00B26F5B">
          <w:rPr>
            <w:noProof/>
            <w:webHidden/>
          </w:rPr>
        </w:r>
        <w:r w:rsidR="00B26F5B">
          <w:rPr>
            <w:noProof/>
            <w:webHidden/>
          </w:rPr>
          <w:fldChar w:fldCharType="separate"/>
        </w:r>
        <w:r>
          <w:rPr>
            <w:noProof/>
            <w:webHidden/>
          </w:rPr>
          <w:t>63</w:t>
        </w:r>
        <w:r w:rsidR="00B26F5B">
          <w:rPr>
            <w:noProof/>
            <w:webHidden/>
          </w:rPr>
          <w:fldChar w:fldCharType="end"/>
        </w:r>
      </w:hyperlink>
    </w:p>
    <w:p w14:paraId="66CD60D9" w14:textId="0CBBE45D" w:rsidR="00B26F5B" w:rsidRDefault="006A0076">
      <w:pPr>
        <w:pStyle w:val="TOC3"/>
        <w:tabs>
          <w:tab w:val="right" w:leader="dot" w:pos="9629"/>
        </w:tabs>
        <w:rPr>
          <w:rFonts w:eastAsiaTheme="minorEastAsia" w:cstheme="minorBidi"/>
          <w:i w:val="0"/>
          <w:iCs w:val="0"/>
          <w:noProof/>
          <w:sz w:val="22"/>
          <w:szCs w:val="22"/>
          <w:lang w:val="en-US"/>
        </w:rPr>
      </w:pPr>
      <w:hyperlink w:anchor="_Toc111638399" w:history="1">
        <w:r w:rsidR="00B26F5B" w:rsidRPr="003771A2">
          <w:rPr>
            <w:rStyle w:val="Hyperlink"/>
            <w:noProof/>
            <w:lang w:val="en-GB"/>
          </w:rPr>
          <w:t>Collaboration with the International Organization for Standardization and the International Electrotechnical Commission</w:t>
        </w:r>
      </w:hyperlink>
    </w:p>
    <w:p w14:paraId="7009444A" w14:textId="38B033C8" w:rsidR="00B26F5B" w:rsidRDefault="006A0076">
      <w:pPr>
        <w:pStyle w:val="TOC2"/>
        <w:tabs>
          <w:tab w:val="right" w:leader="dot" w:pos="9629"/>
        </w:tabs>
        <w:rPr>
          <w:rFonts w:eastAsiaTheme="minorEastAsia" w:cstheme="minorBidi"/>
          <w:smallCaps w:val="0"/>
          <w:noProof/>
          <w:sz w:val="22"/>
          <w:szCs w:val="22"/>
          <w:lang w:val="en-US"/>
        </w:rPr>
      </w:pPr>
      <w:hyperlink w:anchor="_Toc111638400" w:history="1">
        <w:r w:rsidR="00B26F5B" w:rsidRPr="003771A2">
          <w:rPr>
            <w:rStyle w:val="Hyperlink"/>
            <w:noProof/>
            <w:lang w:val="en-GB"/>
          </w:rPr>
          <w:t>RESOLUTION 11 (Rev. Hammamet, 2016)</w:t>
        </w:r>
        <w:r w:rsidR="00B26F5B">
          <w:rPr>
            <w:noProof/>
            <w:webHidden/>
          </w:rPr>
          <w:tab/>
        </w:r>
        <w:r w:rsidR="00B26F5B">
          <w:rPr>
            <w:noProof/>
            <w:webHidden/>
          </w:rPr>
          <w:fldChar w:fldCharType="begin"/>
        </w:r>
        <w:r w:rsidR="00B26F5B">
          <w:rPr>
            <w:noProof/>
            <w:webHidden/>
          </w:rPr>
          <w:instrText xml:space="preserve"> PAGEREF _Toc111638400 \h </w:instrText>
        </w:r>
        <w:r w:rsidR="00B26F5B">
          <w:rPr>
            <w:noProof/>
            <w:webHidden/>
          </w:rPr>
        </w:r>
        <w:r w:rsidR="00B26F5B">
          <w:rPr>
            <w:noProof/>
            <w:webHidden/>
          </w:rPr>
          <w:fldChar w:fldCharType="separate"/>
        </w:r>
        <w:r>
          <w:rPr>
            <w:noProof/>
            <w:webHidden/>
          </w:rPr>
          <w:t>66</w:t>
        </w:r>
        <w:r w:rsidR="00B26F5B">
          <w:rPr>
            <w:noProof/>
            <w:webHidden/>
          </w:rPr>
          <w:fldChar w:fldCharType="end"/>
        </w:r>
      </w:hyperlink>
    </w:p>
    <w:p w14:paraId="2E8DB475" w14:textId="31B9DC29" w:rsidR="00B26F5B" w:rsidRDefault="006A0076">
      <w:pPr>
        <w:pStyle w:val="TOC3"/>
        <w:tabs>
          <w:tab w:val="right" w:leader="dot" w:pos="9629"/>
        </w:tabs>
        <w:rPr>
          <w:rFonts w:eastAsiaTheme="minorEastAsia" w:cstheme="minorBidi"/>
          <w:i w:val="0"/>
          <w:iCs w:val="0"/>
          <w:noProof/>
          <w:sz w:val="22"/>
          <w:szCs w:val="22"/>
          <w:lang w:val="en-US"/>
        </w:rPr>
      </w:pPr>
      <w:hyperlink w:anchor="_Toc111638401" w:history="1">
        <w:r w:rsidR="00B26F5B" w:rsidRPr="003771A2">
          <w:rPr>
            <w:rStyle w:val="Hyperlink"/>
            <w:noProof/>
            <w:lang w:val="en-GB"/>
          </w:rPr>
          <w:t xml:space="preserve">Collaboration with the Postal Operations Council of the Universal Postal Union in the study of services </w:t>
        </w:r>
        <w:r w:rsidR="008930E6">
          <w:rPr>
            <w:rStyle w:val="Hyperlink"/>
            <w:noProof/>
            <w:lang w:val="en-GB"/>
          </w:rPr>
          <w:br/>
        </w:r>
        <w:r w:rsidR="00B26F5B" w:rsidRPr="003771A2">
          <w:rPr>
            <w:rStyle w:val="Hyperlink"/>
            <w:noProof/>
            <w:lang w:val="en-GB"/>
          </w:rPr>
          <w:t>concerning both the postal  and the telecommunication sectors</w:t>
        </w:r>
      </w:hyperlink>
    </w:p>
    <w:p w14:paraId="0D50C3CC" w14:textId="7A072CBC" w:rsidR="00B26F5B" w:rsidRDefault="006A0076">
      <w:pPr>
        <w:pStyle w:val="TOC2"/>
        <w:tabs>
          <w:tab w:val="right" w:leader="dot" w:pos="9629"/>
        </w:tabs>
        <w:rPr>
          <w:rFonts w:eastAsiaTheme="minorEastAsia" w:cstheme="minorBidi"/>
          <w:smallCaps w:val="0"/>
          <w:noProof/>
          <w:sz w:val="22"/>
          <w:szCs w:val="22"/>
          <w:lang w:val="en-US"/>
        </w:rPr>
      </w:pPr>
      <w:hyperlink w:anchor="_Toc111638402" w:history="1">
        <w:r w:rsidR="00B26F5B" w:rsidRPr="003771A2">
          <w:rPr>
            <w:rStyle w:val="Hyperlink"/>
            <w:noProof/>
            <w:lang w:val="en-GB"/>
          </w:rPr>
          <w:t>RESOLUTION 18 (Rev. Geneva, 2022)</w:t>
        </w:r>
        <w:r w:rsidR="00B26F5B">
          <w:rPr>
            <w:noProof/>
            <w:webHidden/>
          </w:rPr>
          <w:tab/>
        </w:r>
        <w:r w:rsidR="00B26F5B">
          <w:rPr>
            <w:noProof/>
            <w:webHidden/>
          </w:rPr>
          <w:fldChar w:fldCharType="begin"/>
        </w:r>
        <w:r w:rsidR="00B26F5B">
          <w:rPr>
            <w:noProof/>
            <w:webHidden/>
          </w:rPr>
          <w:instrText xml:space="preserve"> PAGEREF _Toc111638402 \h </w:instrText>
        </w:r>
        <w:r w:rsidR="00B26F5B">
          <w:rPr>
            <w:noProof/>
            <w:webHidden/>
          </w:rPr>
        </w:r>
        <w:r w:rsidR="00B26F5B">
          <w:rPr>
            <w:noProof/>
            <w:webHidden/>
          </w:rPr>
          <w:fldChar w:fldCharType="separate"/>
        </w:r>
        <w:r>
          <w:rPr>
            <w:noProof/>
            <w:webHidden/>
          </w:rPr>
          <w:t>68</w:t>
        </w:r>
        <w:r w:rsidR="00B26F5B">
          <w:rPr>
            <w:noProof/>
            <w:webHidden/>
          </w:rPr>
          <w:fldChar w:fldCharType="end"/>
        </w:r>
      </w:hyperlink>
    </w:p>
    <w:p w14:paraId="6E743409" w14:textId="768C48A7" w:rsidR="00B26F5B" w:rsidRDefault="006A0076">
      <w:pPr>
        <w:pStyle w:val="TOC3"/>
        <w:tabs>
          <w:tab w:val="right" w:leader="dot" w:pos="9629"/>
        </w:tabs>
        <w:rPr>
          <w:rFonts w:eastAsiaTheme="minorEastAsia" w:cstheme="minorBidi"/>
          <w:i w:val="0"/>
          <w:iCs w:val="0"/>
          <w:noProof/>
          <w:sz w:val="22"/>
          <w:szCs w:val="22"/>
          <w:lang w:val="en-US"/>
        </w:rPr>
      </w:pPr>
      <w:hyperlink w:anchor="_Toc111638403" w:history="1">
        <w:r w:rsidR="00B26F5B" w:rsidRPr="003771A2">
          <w:rPr>
            <w:rStyle w:val="Hyperlink"/>
            <w:noProof/>
            <w:lang w:val="en-GB"/>
          </w:rPr>
          <w:t xml:space="preserve">Principles and procedures for the allocation of work to, and strengthening coordination and cooperation </w:t>
        </w:r>
        <w:r w:rsidR="008930E6">
          <w:rPr>
            <w:rStyle w:val="Hyperlink"/>
            <w:noProof/>
            <w:lang w:val="en-GB"/>
          </w:rPr>
          <w:br/>
        </w:r>
        <w:r w:rsidR="00B26F5B" w:rsidRPr="003771A2">
          <w:rPr>
            <w:rStyle w:val="Hyperlink"/>
            <w:noProof/>
            <w:lang w:val="en-GB"/>
          </w:rPr>
          <w:t>among, the ITU Radiocommunication,  ITU Telecommunication Standardization and ITU  Telecommunication Development Sectors</w:t>
        </w:r>
      </w:hyperlink>
    </w:p>
    <w:p w14:paraId="7AFD2FAF" w14:textId="06473667" w:rsidR="00B26F5B" w:rsidRDefault="006A0076">
      <w:pPr>
        <w:pStyle w:val="TOC2"/>
        <w:tabs>
          <w:tab w:val="right" w:leader="dot" w:pos="9629"/>
        </w:tabs>
        <w:rPr>
          <w:rFonts w:eastAsiaTheme="minorEastAsia" w:cstheme="minorBidi"/>
          <w:smallCaps w:val="0"/>
          <w:noProof/>
          <w:sz w:val="22"/>
          <w:szCs w:val="22"/>
          <w:lang w:val="en-US"/>
        </w:rPr>
      </w:pPr>
      <w:hyperlink w:anchor="_Toc111638404" w:history="1">
        <w:r w:rsidR="00B26F5B" w:rsidRPr="003771A2">
          <w:rPr>
            <w:rStyle w:val="Hyperlink"/>
            <w:noProof/>
            <w:lang w:val="en-GB"/>
          </w:rPr>
          <w:t>RESOLUTION 20 (Rev. Geneva, 2022)</w:t>
        </w:r>
        <w:r w:rsidR="00B26F5B">
          <w:rPr>
            <w:noProof/>
            <w:webHidden/>
          </w:rPr>
          <w:tab/>
        </w:r>
        <w:r w:rsidR="00B26F5B">
          <w:rPr>
            <w:noProof/>
            <w:webHidden/>
          </w:rPr>
          <w:fldChar w:fldCharType="begin"/>
        </w:r>
        <w:r w:rsidR="00B26F5B">
          <w:rPr>
            <w:noProof/>
            <w:webHidden/>
          </w:rPr>
          <w:instrText xml:space="preserve"> PAGEREF _Toc111638404 \h </w:instrText>
        </w:r>
        <w:r w:rsidR="00B26F5B">
          <w:rPr>
            <w:noProof/>
            <w:webHidden/>
          </w:rPr>
        </w:r>
        <w:r w:rsidR="00B26F5B">
          <w:rPr>
            <w:noProof/>
            <w:webHidden/>
          </w:rPr>
          <w:fldChar w:fldCharType="separate"/>
        </w:r>
        <w:r>
          <w:rPr>
            <w:noProof/>
            <w:webHidden/>
          </w:rPr>
          <w:t>73</w:t>
        </w:r>
        <w:r w:rsidR="00B26F5B">
          <w:rPr>
            <w:noProof/>
            <w:webHidden/>
          </w:rPr>
          <w:fldChar w:fldCharType="end"/>
        </w:r>
      </w:hyperlink>
    </w:p>
    <w:p w14:paraId="5E1B3480" w14:textId="18B5CBDC" w:rsidR="00B26F5B" w:rsidRDefault="006A0076">
      <w:pPr>
        <w:pStyle w:val="TOC3"/>
        <w:tabs>
          <w:tab w:val="right" w:leader="dot" w:pos="9629"/>
        </w:tabs>
        <w:rPr>
          <w:rFonts w:eastAsiaTheme="minorEastAsia" w:cstheme="minorBidi"/>
          <w:i w:val="0"/>
          <w:iCs w:val="0"/>
          <w:noProof/>
          <w:sz w:val="22"/>
          <w:szCs w:val="22"/>
          <w:lang w:val="en-US"/>
        </w:rPr>
      </w:pPr>
      <w:hyperlink w:anchor="_Toc111638405" w:history="1">
        <w:r w:rsidR="00B26F5B" w:rsidRPr="003771A2">
          <w:rPr>
            <w:rStyle w:val="Hyperlink"/>
            <w:noProof/>
            <w:lang w:val="en-GB"/>
          </w:rPr>
          <w:t xml:space="preserve">Procedures for allocation and management of international telecommunication numbering, naming, </w:t>
        </w:r>
        <w:r w:rsidR="008930E6">
          <w:rPr>
            <w:rStyle w:val="Hyperlink"/>
            <w:noProof/>
            <w:lang w:val="en-GB"/>
          </w:rPr>
          <w:br/>
        </w:r>
        <w:r w:rsidR="00B26F5B" w:rsidRPr="003771A2">
          <w:rPr>
            <w:rStyle w:val="Hyperlink"/>
            <w:noProof/>
            <w:lang w:val="en-GB"/>
          </w:rPr>
          <w:t>addressing and identification resources</w:t>
        </w:r>
      </w:hyperlink>
    </w:p>
    <w:p w14:paraId="54B9E9F1" w14:textId="6E37BA58" w:rsidR="00B26F5B" w:rsidRDefault="006A0076">
      <w:pPr>
        <w:pStyle w:val="TOC2"/>
        <w:tabs>
          <w:tab w:val="right" w:leader="dot" w:pos="9629"/>
        </w:tabs>
        <w:rPr>
          <w:rFonts w:eastAsiaTheme="minorEastAsia" w:cstheme="minorBidi"/>
          <w:smallCaps w:val="0"/>
          <w:noProof/>
          <w:sz w:val="22"/>
          <w:szCs w:val="22"/>
          <w:lang w:val="en-US"/>
        </w:rPr>
      </w:pPr>
      <w:hyperlink w:anchor="_Toc111638406" w:history="1">
        <w:r w:rsidR="00B26F5B" w:rsidRPr="003771A2">
          <w:rPr>
            <w:rStyle w:val="Hyperlink"/>
            <w:noProof/>
            <w:lang w:val="en-GB"/>
          </w:rPr>
          <w:t>RESOLUTION 22 (Rev. Geneva, 2022)</w:t>
        </w:r>
        <w:r w:rsidR="00B26F5B">
          <w:rPr>
            <w:noProof/>
            <w:webHidden/>
          </w:rPr>
          <w:tab/>
        </w:r>
        <w:r w:rsidR="00B26F5B">
          <w:rPr>
            <w:noProof/>
            <w:webHidden/>
          </w:rPr>
          <w:fldChar w:fldCharType="begin"/>
        </w:r>
        <w:r w:rsidR="00B26F5B">
          <w:rPr>
            <w:noProof/>
            <w:webHidden/>
          </w:rPr>
          <w:instrText xml:space="preserve"> PAGEREF _Toc111638406 \h </w:instrText>
        </w:r>
        <w:r w:rsidR="00B26F5B">
          <w:rPr>
            <w:noProof/>
            <w:webHidden/>
          </w:rPr>
        </w:r>
        <w:r w:rsidR="00B26F5B">
          <w:rPr>
            <w:noProof/>
            <w:webHidden/>
          </w:rPr>
          <w:fldChar w:fldCharType="separate"/>
        </w:r>
        <w:r>
          <w:rPr>
            <w:noProof/>
            <w:webHidden/>
          </w:rPr>
          <w:t>76</w:t>
        </w:r>
        <w:r w:rsidR="00B26F5B">
          <w:rPr>
            <w:noProof/>
            <w:webHidden/>
          </w:rPr>
          <w:fldChar w:fldCharType="end"/>
        </w:r>
      </w:hyperlink>
    </w:p>
    <w:p w14:paraId="7B509B6A" w14:textId="4C0B4623" w:rsidR="00B26F5B" w:rsidRDefault="006A0076">
      <w:pPr>
        <w:pStyle w:val="TOC3"/>
        <w:tabs>
          <w:tab w:val="right" w:leader="dot" w:pos="9629"/>
        </w:tabs>
        <w:rPr>
          <w:rFonts w:eastAsiaTheme="minorEastAsia" w:cstheme="minorBidi"/>
          <w:i w:val="0"/>
          <w:iCs w:val="0"/>
          <w:noProof/>
          <w:sz w:val="22"/>
          <w:szCs w:val="22"/>
          <w:lang w:val="en-US"/>
        </w:rPr>
      </w:pPr>
      <w:hyperlink w:anchor="_Toc111638407" w:history="1">
        <w:r w:rsidR="00B26F5B" w:rsidRPr="003771A2">
          <w:rPr>
            <w:rStyle w:val="Hyperlink"/>
            <w:noProof/>
            <w:lang w:val="en-GB"/>
          </w:rPr>
          <w:t>Authorization for the Telecommunication Standardization Advisory Group to act between world telecommunication standardization assemblies</w:t>
        </w:r>
      </w:hyperlink>
    </w:p>
    <w:p w14:paraId="5E671BAE" w14:textId="467FD522" w:rsidR="00B26F5B" w:rsidRDefault="006A0076">
      <w:pPr>
        <w:pStyle w:val="TOC2"/>
        <w:tabs>
          <w:tab w:val="right" w:leader="dot" w:pos="9629"/>
        </w:tabs>
        <w:rPr>
          <w:rFonts w:eastAsiaTheme="minorEastAsia" w:cstheme="minorBidi"/>
          <w:smallCaps w:val="0"/>
          <w:noProof/>
          <w:sz w:val="22"/>
          <w:szCs w:val="22"/>
          <w:lang w:val="en-US"/>
        </w:rPr>
      </w:pPr>
      <w:hyperlink w:anchor="_Toc111638408" w:history="1">
        <w:r w:rsidR="00B26F5B" w:rsidRPr="003771A2">
          <w:rPr>
            <w:rStyle w:val="Hyperlink"/>
            <w:noProof/>
            <w:lang w:val="en-GB"/>
          </w:rPr>
          <w:t>RESOLUTION 29 (Rev. Geneva, 2022)</w:t>
        </w:r>
        <w:r w:rsidR="00B26F5B">
          <w:rPr>
            <w:noProof/>
            <w:webHidden/>
          </w:rPr>
          <w:tab/>
        </w:r>
        <w:r w:rsidR="00B26F5B">
          <w:rPr>
            <w:noProof/>
            <w:webHidden/>
          </w:rPr>
          <w:fldChar w:fldCharType="begin"/>
        </w:r>
        <w:r w:rsidR="00B26F5B">
          <w:rPr>
            <w:noProof/>
            <w:webHidden/>
          </w:rPr>
          <w:instrText xml:space="preserve"> PAGEREF _Toc111638408 \h </w:instrText>
        </w:r>
        <w:r w:rsidR="00B26F5B">
          <w:rPr>
            <w:noProof/>
            <w:webHidden/>
          </w:rPr>
        </w:r>
        <w:r w:rsidR="00B26F5B">
          <w:rPr>
            <w:noProof/>
            <w:webHidden/>
          </w:rPr>
          <w:fldChar w:fldCharType="separate"/>
        </w:r>
        <w:r>
          <w:rPr>
            <w:noProof/>
            <w:webHidden/>
          </w:rPr>
          <w:t>81</w:t>
        </w:r>
        <w:r w:rsidR="00B26F5B">
          <w:rPr>
            <w:noProof/>
            <w:webHidden/>
          </w:rPr>
          <w:fldChar w:fldCharType="end"/>
        </w:r>
      </w:hyperlink>
    </w:p>
    <w:p w14:paraId="349DCAE3" w14:textId="1AA571F5" w:rsidR="00B26F5B" w:rsidRDefault="006A0076">
      <w:pPr>
        <w:pStyle w:val="TOC3"/>
        <w:tabs>
          <w:tab w:val="right" w:leader="dot" w:pos="9629"/>
        </w:tabs>
        <w:rPr>
          <w:rFonts w:eastAsiaTheme="minorEastAsia" w:cstheme="minorBidi"/>
          <w:i w:val="0"/>
          <w:iCs w:val="0"/>
          <w:noProof/>
          <w:sz w:val="22"/>
          <w:szCs w:val="22"/>
          <w:lang w:val="en-US"/>
        </w:rPr>
      </w:pPr>
      <w:hyperlink w:anchor="_Toc111638409" w:history="1">
        <w:r w:rsidR="00B26F5B" w:rsidRPr="003771A2">
          <w:rPr>
            <w:rStyle w:val="Hyperlink"/>
            <w:noProof/>
            <w:lang w:val="en-GB"/>
          </w:rPr>
          <w:t>Alternative calling procedures on international telecommunication networks</w:t>
        </w:r>
      </w:hyperlink>
    </w:p>
    <w:p w14:paraId="247D36CA" w14:textId="415502C4" w:rsidR="00B26F5B" w:rsidRDefault="006A0076">
      <w:pPr>
        <w:pStyle w:val="TOC2"/>
        <w:tabs>
          <w:tab w:val="right" w:leader="dot" w:pos="9629"/>
        </w:tabs>
        <w:rPr>
          <w:rFonts w:eastAsiaTheme="minorEastAsia" w:cstheme="minorBidi"/>
          <w:smallCaps w:val="0"/>
          <w:noProof/>
          <w:sz w:val="22"/>
          <w:szCs w:val="22"/>
          <w:lang w:val="en-US"/>
        </w:rPr>
      </w:pPr>
      <w:hyperlink w:anchor="_Toc111638410" w:history="1">
        <w:r w:rsidR="00B26F5B" w:rsidRPr="003771A2">
          <w:rPr>
            <w:rStyle w:val="Hyperlink"/>
            <w:noProof/>
            <w:lang w:val="en-GB"/>
          </w:rPr>
          <w:t>RESOLUTION 31 (Rev. Dubai, 2012)</w:t>
        </w:r>
        <w:r w:rsidR="00B26F5B">
          <w:rPr>
            <w:noProof/>
            <w:webHidden/>
          </w:rPr>
          <w:tab/>
        </w:r>
        <w:r w:rsidR="00B26F5B">
          <w:rPr>
            <w:noProof/>
            <w:webHidden/>
          </w:rPr>
          <w:fldChar w:fldCharType="begin"/>
        </w:r>
        <w:r w:rsidR="00B26F5B">
          <w:rPr>
            <w:noProof/>
            <w:webHidden/>
          </w:rPr>
          <w:instrText xml:space="preserve"> PAGEREF _Toc111638410 \h </w:instrText>
        </w:r>
        <w:r w:rsidR="00B26F5B">
          <w:rPr>
            <w:noProof/>
            <w:webHidden/>
          </w:rPr>
        </w:r>
        <w:r w:rsidR="00B26F5B">
          <w:rPr>
            <w:noProof/>
            <w:webHidden/>
          </w:rPr>
          <w:fldChar w:fldCharType="separate"/>
        </w:r>
        <w:r>
          <w:rPr>
            <w:noProof/>
            <w:webHidden/>
          </w:rPr>
          <w:t>85</w:t>
        </w:r>
        <w:r w:rsidR="00B26F5B">
          <w:rPr>
            <w:noProof/>
            <w:webHidden/>
          </w:rPr>
          <w:fldChar w:fldCharType="end"/>
        </w:r>
      </w:hyperlink>
    </w:p>
    <w:p w14:paraId="72ABB26E" w14:textId="44ED1892" w:rsidR="00B26F5B" w:rsidRDefault="006A0076">
      <w:pPr>
        <w:pStyle w:val="TOC3"/>
        <w:tabs>
          <w:tab w:val="right" w:leader="dot" w:pos="9629"/>
        </w:tabs>
        <w:rPr>
          <w:rFonts w:eastAsiaTheme="minorEastAsia" w:cstheme="minorBidi"/>
          <w:i w:val="0"/>
          <w:iCs w:val="0"/>
          <w:noProof/>
          <w:sz w:val="22"/>
          <w:szCs w:val="22"/>
          <w:lang w:val="en-US"/>
        </w:rPr>
      </w:pPr>
      <w:hyperlink w:anchor="_Toc111638411" w:history="1">
        <w:r w:rsidR="00B26F5B" w:rsidRPr="003771A2">
          <w:rPr>
            <w:rStyle w:val="Hyperlink"/>
            <w:noProof/>
            <w:lang w:val="en-GB"/>
          </w:rPr>
          <w:t>Admission of entities or organizations to participate as Associates in the work of the ITU Telecommunication Standardization Sector</w:t>
        </w:r>
      </w:hyperlink>
    </w:p>
    <w:p w14:paraId="3FE91801" w14:textId="47C9590D" w:rsidR="00B26F5B" w:rsidRDefault="006A0076">
      <w:pPr>
        <w:pStyle w:val="TOC2"/>
        <w:tabs>
          <w:tab w:val="right" w:leader="dot" w:pos="9629"/>
        </w:tabs>
        <w:rPr>
          <w:rFonts w:eastAsiaTheme="minorEastAsia" w:cstheme="minorBidi"/>
          <w:smallCaps w:val="0"/>
          <w:noProof/>
          <w:sz w:val="22"/>
          <w:szCs w:val="22"/>
          <w:lang w:val="en-US"/>
        </w:rPr>
      </w:pPr>
      <w:hyperlink w:anchor="_Toc111638412" w:history="1">
        <w:r w:rsidR="00B26F5B" w:rsidRPr="003771A2">
          <w:rPr>
            <w:rStyle w:val="Hyperlink"/>
            <w:noProof/>
            <w:lang w:val="en-GB"/>
          </w:rPr>
          <w:t>RESOLUTION 32 (Rev. Hammamet, 2016)</w:t>
        </w:r>
        <w:r w:rsidR="00B26F5B">
          <w:rPr>
            <w:noProof/>
            <w:webHidden/>
          </w:rPr>
          <w:tab/>
        </w:r>
        <w:r w:rsidR="00B26F5B">
          <w:rPr>
            <w:noProof/>
            <w:webHidden/>
          </w:rPr>
          <w:fldChar w:fldCharType="begin"/>
        </w:r>
        <w:r w:rsidR="00B26F5B">
          <w:rPr>
            <w:noProof/>
            <w:webHidden/>
          </w:rPr>
          <w:instrText xml:space="preserve"> PAGEREF _Toc111638412 \h </w:instrText>
        </w:r>
        <w:r w:rsidR="00B26F5B">
          <w:rPr>
            <w:noProof/>
            <w:webHidden/>
          </w:rPr>
        </w:r>
        <w:r w:rsidR="00B26F5B">
          <w:rPr>
            <w:noProof/>
            <w:webHidden/>
          </w:rPr>
          <w:fldChar w:fldCharType="separate"/>
        </w:r>
        <w:r>
          <w:rPr>
            <w:noProof/>
            <w:webHidden/>
          </w:rPr>
          <w:t>87</w:t>
        </w:r>
        <w:r w:rsidR="00B26F5B">
          <w:rPr>
            <w:noProof/>
            <w:webHidden/>
          </w:rPr>
          <w:fldChar w:fldCharType="end"/>
        </w:r>
      </w:hyperlink>
    </w:p>
    <w:p w14:paraId="6C4AA385" w14:textId="5E1C2022" w:rsidR="00B26F5B" w:rsidRDefault="006A0076">
      <w:pPr>
        <w:pStyle w:val="TOC3"/>
        <w:tabs>
          <w:tab w:val="right" w:leader="dot" w:pos="9629"/>
        </w:tabs>
        <w:rPr>
          <w:rFonts w:eastAsiaTheme="minorEastAsia" w:cstheme="minorBidi"/>
          <w:i w:val="0"/>
          <w:iCs w:val="0"/>
          <w:noProof/>
          <w:sz w:val="22"/>
          <w:szCs w:val="22"/>
          <w:lang w:val="en-US"/>
        </w:rPr>
      </w:pPr>
      <w:hyperlink w:anchor="_Toc111638413" w:history="1">
        <w:r w:rsidR="00B26F5B" w:rsidRPr="003771A2">
          <w:rPr>
            <w:rStyle w:val="Hyperlink"/>
            <w:noProof/>
            <w:lang w:val="en-GB"/>
          </w:rPr>
          <w:t>Strengthening electronic working methods for the work of the ITU Telecommunication Standardization Sector</w:t>
        </w:r>
      </w:hyperlink>
    </w:p>
    <w:p w14:paraId="06701843" w14:textId="0C0C6932" w:rsidR="00B26F5B" w:rsidRDefault="006A0076">
      <w:pPr>
        <w:pStyle w:val="TOC2"/>
        <w:tabs>
          <w:tab w:val="right" w:leader="dot" w:pos="9629"/>
        </w:tabs>
        <w:rPr>
          <w:rFonts w:eastAsiaTheme="minorEastAsia" w:cstheme="minorBidi"/>
          <w:smallCaps w:val="0"/>
          <w:noProof/>
          <w:sz w:val="22"/>
          <w:szCs w:val="22"/>
          <w:lang w:val="en-US"/>
        </w:rPr>
      </w:pPr>
      <w:hyperlink w:anchor="_Toc111638414" w:history="1">
        <w:r w:rsidR="00B26F5B" w:rsidRPr="003771A2">
          <w:rPr>
            <w:rStyle w:val="Hyperlink"/>
            <w:noProof/>
            <w:lang w:val="en-GB"/>
          </w:rPr>
          <w:t>RESOLUTION 34 (Rev. Geneva, 2022)</w:t>
        </w:r>
        <w:r w:rsidR="00B26F5B">
          <w:rPr>
            <w:noProof/>
            <w:webHidden/>
          </w:rPr>
          <w:tab/>
        </w:r>
        <w:r w:rsidR="00B26F5B">
          <w:rPr>
            <w:noProof/>
            <w:webHidden/>
          </w:rPr>
          <w:fldChar w:fldCharType="begin"/>
        </w:r>
        <w:r w:rsidR="00B26F5B">
          <w:rPr>
            <w:noProof/>
            <w:webHidden/>
          </w:rPr>
          <w:instrText xml:space="preserve"> PAGEREF _Toc111638414 \h </w:instrText>
        </w:r>
        <w:r w:rsidR="00B26F5B">
          <w:rPr>
            <w:noProof/>
            <w:webHidden/>
          </w:rPr>
        </w:r>
        <w:r w:rsidR="00B26F5B">
          <w:rPr>
            <w:noProof/>
            <w:webHidden/>
          </w:rPr>
          <w:fldChar w:fldCharType="separate"/>
        </w:r>
        <w:r>
          <w:rPr>
            <w:noProof/>
            <w:webHidden/>
          </w:rPr>
          <w:t>91</w:t>
        </w:r>
        <w:r w:rsidR="00B26F5B">
          <w:rPr>
            <w:noProof/>
            <w:webHidden/>
          </w:rPr>
          <w:fldChar w:fldCharType="end"/>
        </w:r>
      </w:hyperlink>
    </w:p>
    <w:p w14:paraId="155F6808" w14:textId="509D2970" w:rsidR="00B26F5B" w:rsidRDefault="006A0076">
      <w:pPr>
        <w:pStyle w:val="TOC3"/>
        <w:tabs>
          <w:tab w:val="right" w:leader="dot" w:pos="9629"/>
        </w:tabs>
        <w:rPr>
          <w:rFonts w:eastAsiaTheme="minorEastAsia" w:cstheme="minorBidi"/>
          <w:i w:val="0"/>
          <w:iCs w:val="0"/>
          <w:noProof/>
          <w:sz w:val="22"/>
          <w:szCs w:val="22"/>
          <w:lang w:val="en-US"/>
        </w:rPr>
      </w:pPr>
      <w:hyperlink w:anchor="_Toc111638415" w:history="1">
        <w:r w:rsidR="00B26F5B" w:rsidRPr="003771A2">
          <w:rPr>
            <w:rStyle w:val="Hyperlink"/>
            <w:noProof/>
            <w:lang w:val="en-GB"/>
          </w:rPr>
          <w:t>Voluntary contributions</w:t>
        </w:r>
      </w:hyperlink>
    </w:p>
    <w:p w14:paraId="0826BC66" w14:textId="67D959AE" w:rsidR="00B26F5B" w:rsidRDefault="006A0076">
      <w:pPr>
        <w:pStyle w:val="TOC2"/>
        <w:tabs>
          <w:tab w:val="right" w:leader="dot" w:pos="9629"/>
        </w:tabs>
        <w:rPr>
          <w:rFonts w:eastAsiaTheme="minorEastAsia" w:cstheme="minorBidi"/>
          <w:smallCaps w:val="0"/>
          <w:noProof/>
          <w:sz w:val="22"/>
          <w:szCs w:val="22"/>
          <w:lang w:val="en-US"/>
        </w:rPr>
      </w:pPr>
      <w:hyperlink w:anchor="_Toc111638416" w:history="1">
        <w:r w:rsidR="00B26F5B" w:rsidRPr="003771A2">
          <w:rPr>
            <w:rStyle w:val="Hyperlink"/>
            <w:noProof/>
            <w:lang w:val="en-GB"/>
          </w:rPr>
          <w:t>RESOLUTION 40 (Rev. Geneva, 2022)</w:t>
        </w:r>
        <w:r w:rsidR="00B26F5B">
          <w:rPr>
            <w:noProof/>
            <w:webHidden/>
          </w:rPr>
          <w:tab/>
        </w:r>
        <w:r w:rsidR="00B26F5B">
          <w:rPr>
            <w:noProof/>
            <w:webHidden/>
          </w:rPr>
          <w:fldChar w:fldCharType="begin"/>
        </w:r>
        <w:r w:rsidR="00B26F5B">
          <w:rPr>
            <w:noProof/>
            <w:webHidden/>
          </w:rPr>
          <w:instrText xml:space="preserve"> PAGEREF _Toc111638416 \h </w:instrText>
        </w:r>
        <w:r w:rsidR="00B26F5B">
          <w:rPr>
            <w:noProof/>
            <w:webHidden/>
          </w:rPr>
        </w:r>
        <w:r w:rsidR="00B26F5B">
          <w:rPr>
            <w:noProof/>
            <w:webHidden/>
          </w:rPr>
          <w:fldChar w:fldCharType="separate"/>
        </w:r>
        <w:r>
          <w:rPr>
            <w:noProof/>
            <w:webHidden/>
          </w:rPr>
          <w:t>93</w:t>
        </w:r>
        <w:r w:rsidR="00B26F5B">
          <w:rPr>
            <w:noProof/>
            <w:webHidden/>
          </w:rPr>
          <w:fldChar w:fldCharType="end"/>
        </w:r>
      </w:hyperlink>
    </w:p>
    <w:p w14:paraId="51163F17" w14:textId="24B80F9E" w:rsidR="00B26F5B" w:rsidRDefault="006A0076">
      <w:pPr>
        <w:pStyle w:val="TOC3"/>
        <w:tabs>
          <w:tab w:val="right" w:leader="dot" w:pos="9629"/>
        </w:tabs>
        <w:rPr>
          <w:rFonts w:eastAsiaTheme="minorEastAsia" w:cstheme="minorBidi"/>
          <w:i w:val="0"/>
          <w:iCs w:val="0"/>
          <w:noProof/>
          <w:sz w:val="22"/>
          <w:szCs w:val="22"/>
          <w:lang w:val="en-US"/>
        </w:rPr>
      </w:pPr>
      <w:hyperlink w:anchor="_Toc111638417" w:history="1">
        <w:r w:rsidR="00B26F5B" w:rsidRPr="003771A2">
          <w:rPr>
            <w:rStyle w:val="Hyperlink"/>
            <w:noProof/>
            <w:lang w:val="en-GB"/>
          </w:rPr>
          <w:t>Regulatory and policy aspects of the work of the ITU Telecommunication Standardization Sector</w:t>
        </w:r>
      </w:hyperlink>
    </w:p>
    <w:p w14:paraId="5D7F2B5F" w14:textId="26F63BCF" w:rsidR="00B26F5B" w:rsidRDefault="006A0076">
      <w:pPr>
        <w:pStyle w:val="TOC2"/>
        <w:tabs>
          <w:tab w:val="right" w:leader="dot" w:pos="9629"/>
        </w:tabs>
        <w:rPr>
          <w:rFonts w:eastAsiaTheme="minorEastAsia" w:cstheme="minorBidi"/>
          <w:smallCaps w:val="0"/>
          <w:noProof/>
          <w:sz w:val="22"/>
          <w:szCs w:val="22"/>
          <w:lang w:val="en-US"/>
        </w:rPr>
      </w:pPr>
      <w:hyperlink w:anchor="_Toc111638418" w:history="1">
        <w:r w:rsidR="00B26F5B" w:rsidRPr="003771A2">
          <w:rPr>
            <w:rStyle w:val="Hyperlink"/>
            <w:noProof/>
            <w:lang w:val="en-GB"/>
          </w:rPr>
          <w:t>RESOLUTION 43 (Rev. Geneva, 2022)</w:t>
        </w:r>
        <w:r w:rsidR="00B26F5B">
          <w:rPr>
            <w:noProof/>
            <w:webHidden/>
          </w:rPr>
          <w:tab/>
        </w:r>
        <w:r w:rsidR="00B26F5B">
          <w:rPr>
            <w:noProof/>
            <w:webHidden/>
          </w:rPr>
          <w:fldChar w:fldCharType="begin"/>
        </w:r>
        <w:r w:rsidR="00B26F5B">
          <w:rPr>
            <w:noProof/>
            <w:webHidden/>
          </w:rPr>
          <w:instrText xml:space="preserve"> PAGEREF _Toc111638418 \h </w:instrText>
        </w:r>
        <w:r w:rsidR="00B26F5B">
          <w:rPr>
            <w:noProof/>
            <w:webHidden/>
          </w:rPr>
        </w:r>
        <w:r w:rsidR="00B26F5B">
          <w:rPr>
            <w:noProof/>
            <w:webHidden/>
          </w:rPr>
          <w:fldChar w:fldCharType="separate"/>
        </w:r>
        <w:r>
          <w:rPr>
            <w:noProof/>
            <w:webHidden/>
          </w:rPr>
          <w:t>95</w:t>
        </w:r>
        <w:r w:rsidR="00B26F5B">
          <w:rPr>
            <w:noProof/>
            <w:webHidden/>
          </w:rPr>
          <w:fldChar w:fldCharType="end"/>
        </w:r>
      </w:hyperlink>
    </w:p>
    <w:p w14:paraId="72AFC96E" w14:textId="2162D889" w:rsidR="00B26F5B" w:rsidRDefault="006A0076">
      <w:pPr>
        <w:pStyle w:val="TOC3"/>
        <w:tabs>
          <w:tab w:val="right" w:leader="dot" w:pos="9629"/>
        </w:tabs>
        <w:rPr>
          <w:rFonts w:eastAsiaTheme="minorEastAsia" w:cstheme="minorBidi"/>
          <w:i w:val="0"/>
          <w:iCs w:val="0"/>
          <w:noProof/>
          <w:sz w:val="22"/>
          <w:szCs w:val="22"/>
          <w:lang w:val="en-US"/>
        </w:rPr>
      </w:pPr>
      <w:hyperlink w:anchor="_Toc111638419" w:history="1">
        <w:r w:rsidR="00B26F5B" w:rsidRPr="003771A2">
          <w:rPr>
            <w:rStyle w:val="Hyperlink"/>
            <w:noProof/>
            <w:lang w:val="en-GB"/>
          </w:rPr>
          <w:t>Regional preparations for world telecommunication standardization assemblies</w:t>
        </w:r>
      </w:hyperlink>
    </w:p>
    <w:p w14:paraId="5CCF6CB5" w14:textId="620FF1E8" w:rsidR="00B26F5B" w:rsidRDefault="006A0076">
      <w:pPr>
        <w:pStyle w:val="TOC2"/>
        <w:tabs>
          <w:tab w:val="right" w:leader="dot" w:pos="9629"/>
        </w:tabs>
        <w:rPr>
          <w:rFonts w:eastAsiaTheme="minorEastAsia" w:cstheme="minorBidi"/>
          <w:smallCaps w:val="0"/>
          <w:noProof/>
          <w:sz w:val="22"/>
          <w:szCs w:val="22"/>
          <w:lang w:val="en-US"/>
        </w:rPr>
      </w:pPr>
      <w:hyperlink w:anchor="_Toc111638420" w:history="1">
        <w:r w:rsidR="00B26F5B" w:rsidRPr="003771A2">
          <w:rPr>
            <w:rStyle w:val="Hyperlink"/>
            <w:noProof/>
            <w:lang w:val="en-GB"/>
          </w:rPr>
          <w:t>RESOLUTION 44 (Rev. Geneva, 2022)</w:t>
        </w:r>
        <w:r w:rsidR="00B26F5B">
          <w:rPr>
            <w:noProof/>
            <w:webHidden/>
          </w:rPr>
          <w:tab/>
        </w:r>
        <w:r w:rsidR="00B26F5B">
          <w:rPr>
            <w:noProof/>
            <w:webHidden/>
          </w:rPr>
          <w:fldChar w:fldCharType="begin"/>
        </w:r>
        <w:r w:rsidR="00B26F5B">
          <w:rPr>
            <w:noProof/>
            <w:webHidden/>
          </w:rPr>
          <w:instrText xml:space="preserve"> PAGEREF _Toc111638420 \h </w:instrText>
        </w:r>
        <w:r w:rsidR="00B26F5B">
          <w:rPr>
            <w:noProof/>
            <w:webHidden/>
          </w:rPr>
        </w:r>
        <w:r w:rsidR="00B26F5B">
          <w:rPr>
            <w:noProof/>
            <w:webHidden/>
          </w:rPr>
          <w:fldChar w:fldCharType="separate"/>
        </w:r>
        <w:r>
          <w:rPr>
            <w:noProof/>
            <w:webHidden/>
          </w:rPr>
          <w:t>98</w:t>
        </w:r>
        <w:r w:rsidR="00B26F5B">
          <w:rPr>
            <w:noProof/>
            <w:webHidden/>
          </w:rPr>
          <w:fldChar w:fldCharType="end"/>
        </w:r>
      </w:hyperlink>
    </w:p>
    <w:p w14:paraId="1C8A3D63" w14:textId="4DACD07C" w:rsidR="00B26F5B" w:rsidRDefault="006A0076">
      <w:pPr>
        <w:pStyle w:val="TOC3"/>
        <w:tabs>
          <w:tab w:val="right" w:leader="dot" w:pos="9629"/>
        </w:tabs>
        <w:rPr>
          <w:rFonts w:eastAsiaTheme="minorEastAsia" w:cstheme="minorBidi"/>
          <w:i w:val="0"/>
          <w:iCs w:val="0"/>
          <w:noProof/>
          <w:sz w:val="22"/>
          <w:szCs w:val="22"/>
          <w:lang w:val="en-US"/>
        </w:rPr>
      </w:pPr>
      <w:hyperlink w:anchor="_Toc111638421" w:history="1">
        <w:r w:rsidR="00B26F5B" w:rsidRPr="003771A2">
          <w:rPr>
            <w:rStyle w:val="Hyperlink"/>
            <w:noProof/>
            <w:lang w:val="en-GB"/>
          </w:rPr>
          <w:t>Bridging the standardization gap between developing and developed countries</w:t>
        </w:r>
      </w:hyperlink>
    </w:p>
    <w:p w14:paraId="7E61CC70" w14:textId="23D7E12C" w:rsidR="00B26F5B" w:rsidRDefault="006A0076">
      <w:pPr>
        <w:pStyle w:val="TOC2"/>
        <w:tabs>
          <w:tab w:val="right" w:leader="dot" w:pos="9629"/>
        </w:tabs>
        <w:rPr>
          <w:rFonts w:eastAsiaTheme="minorEastAsia" w:cstheme="minorBidi"/>
          <w:smallCaps w:val="0"/>
          <w:noProof/>
          <w:sz w:val="22"/>
          <w:szCs w:val="22"/>
          <w:lang w:val="en-US"/>
        </w:rPr>
      </w:pPr>
      <w:hyperlink w:anchor="_Toc111638422" w:history="1">
        <w:r w:rsidR="00B26F5B" w:rsidRPr="003771A2">
          <w:rPr>
            <w:rStyle w:val="Hyperlink"/>
            <w:noProof/>
            <w:lang w:val="en-GB"/>
          </w:rPr>
          <w:t>RESOLUTION 47 (Rev. Dubai, 2012)</w:t>
        </w:r>
        <w:r w:rsidR="00B26F5B">
          <w:rPr>
            <w:noProof/>
            <w:webHidden/>
          </w:rPr>
          <w:tab/>
        </w:r>
        <w:r w:rsidR="00B26F5B">
          <w:rPr>
            <w:noProof/>
            <w:webHidden/>
          </w:rPr>
          <w:fldChar w:fldCharType="begin"/>
        </w:r>
        <w:r w:rsidR="00B26F5B">
          <w:rPr>
            <w:noProof/>
            <w:webHidden/>
          </w:rPr>
          <w:instrText xml:space="preserve"> PAGEREF _Toc111638422 \h </w:instrText>
        </w:r>
        <w:r w:rsidR="00B26F5B">
          <w:rPr>
            <w:noProof/>
            <w:webHidden/>
          </w:rPr>
        </w:r>
        <w:r w:rsidR="00B26F5B">
          <w:rPr>
            <w:noProof/>
            <w:webHidden/>
          </w:rPr>
          <w:fldChar w:fldCharType="separate"/>
        </w:r>
        <w:r>
          <w:rPr>
            <w:noProof/>
            <w:webHidden/>
          </w:rPr>
          <w:t>110</w:t>
        </w:r>
        <w:r w:rsidR="00B26F5B">
          <w:rPr>
            <w:noProof/>
            <w:webHidden/>
          </w:rPr>
          <w:fldChar w:fldCharType="end"/>
        </w:r>
      </w:hyperlink>
    </w:p>
    <w:p w14:paraId="08ECDDDA" w14:textId="5AEA74B7" w:rsidR="00B26F5B" w:rsidRDefault="006A0076">
      <w:pPr>
        <w:pStyle w:val="TOC3"/>
        <w:tabs>
          <w:tab w:val="right" w:leader="dot" w:pos="9629"/>
        </w:tabs>
        <w:rPr>
          <w:rFonts w:eastAsiaTheme="minorEastAsia" w:cstheme="minorBidi"/>
          <w:i w:val="0"/>
          <w:iCs w:val="0"/>
          <w:noProof/>
          <w:sz w:val="22"/>
          <w:szCs w:val="22"/>
          <w:lang w:val="en-US"/>
        </w:rPr>
      </w:pPr>
      <w:hyperlink w:anchor="_Toc111638423" w:history="1">
        <w:r w:rsidR="00B26F5B" w:rsidRPr="003771A2">
          <w:rPr>
            <w:rStyle w:val="Hyperlink"/>
            <w:noProof/>
            <w:lang w:val="en-GB"/>
          </w:rPr>
          <w:t>Country code top-level domain names</w:t>
        </w:r>
      </w:hyperlink>
    </w:p>
    <w:p w14:paraId="02079CBC" w14:textId="33CB1DEF" w:rsidR="00B26F5B" w:rsidRDefault="006A0076">
      <w:pPr>
        <w:pStyle w:val="TOC2"/>
        <w:tabs>
          <w:tab w:val="right" w:leader="dot" w:pos="9629"/>
        </w:tabs>
        <w:rPr>
          <w:rFonts w:eastAsiaTheme="minorEastAsia" w:cstheme="minorBidi"/>
          <w:smallCaps w:val="0"/>
          <w:noProof/>
          <w:sz w:val="22"/>
          <w:szCs w:val="22"/>
          <w:lang w:val="en-US"/>
        </w:rPr>
      </w:pPr>
      <w:hyperlink w:anchor="_Toc111638424" w:history="1">
        <w:r w:rsidR="00B26F5B" w:rsidRPr="003771A2">
          <w:rPr>
            <w:rStyle w:val="Hyperlink"/>
            <w:noProof/>
            <w:lang w:val="en-GB"/>
          </w:rPr>
          <w:t>RESOLUTION 48 (Rev. Geneva, 2022)</w:t>
        </w:r>
        <w:r w:rsidR="00B26F5B">
          <w:rPr>
            <w:noProof/>
            <w:webHidden/>
          </w:rPr>
          <w:tab/>
        </w:r>
        <w:r w:rsidR="00B26F5B">
          <w:rPr>
            <w:noProof/>
            <w:webHidden/>
          </w:rPr>
          <w:fldChar w:fldCharType="begin"/>
        </w:r>
        <w:r w:rsidR="00B26F5B">
          <w:rPr>
            <w:noProof/>
            <w:webHidden/>
          </w:rPr>
          <w:instrText xml:space="preserve"> PAGEREF _Toc111638424 \h </w:instrText>
        </w:r>
        <w:r w:rsidR="00B26F5B">
          <w:rPr>
            <w:noProof/>
            <w:webHidden/>
          </w:rPr>
        </w:r>
        <w:r w:rsidR="00B26F5B">
          <w:rPr>
            <w:noProof/>
            <w:webHidden/>
          </w:rPr>
          <w:fldChar w:fldCharType="separate"/>
        </w:r>
        <w:r>
          <w:rPr>
            <w:noProof/>
            <w:webHidden/>
          </w:rPr>
          <w:t>112</w:t>
        </w:r>
        <w:r w:rsidR="00B26F5B">
          <w:rPr>
            <w:noProof/>
            <w:webHidden/>
          </w:rPr>
          <w:fldChar w:fldCharType="end"/>
        </w:r>
      </w:hyperlink>
    </w:p>
    <w:p w14:paraId="79149609" w14:textId="4C6E51DB" w:rsidR="00B26F5B" w:rsidRDefault="006A0076">
      <w:pPr>
        <w:pStyle w:val="TOC3"/>
        <w:tabs>
          <w:tab w:val="right" w:leader="dot" w:pos="9629"/>
        </w:tabs>
        <w:rPr>
          <w:rFonts w:eastAsiaTheme="minorEastAsia" w:cstheme="minorBidi"/>
          <w:i w:val="0"/>
          <w:iCs w:val="0"/>
          <w:noProof/>
          <w:sz w:val="22"/>
          <w:szCs w:val="22"/>
          <w:lang w:val="en-US"/>
        </w:rPr>
      </w:pPr>
      <w:hyperlink w:anchor="_Toc111638425" w:history="1">
        <w:r w:rsidR="00B26F5B" w:rsidRPr="003771A2">
          <w:rPr>
            <w:rStyle w:val="Hyperlink"/>
            <w:noProof/>
            <w:lang w:val="en-GB"/>
          </w:rPr>
          <w:t>Internationalized (multilingual) domain names</w:t>
        </w:r>
      </w:hyperlink>
    </w:p>
    <w:p w14:paraId="25CCCAE3" w14:textId="77FB4687" w:rsidR="00B26F5B" w:rsidRDefault="006A0076">
      <w:pPr>
        <w:pStyle w:val="TOC2"/>
        <w:tabs>
          <w:tab w:val="right" w:leader="dot" w:pos="9629"/>
        </w:tabs>
        <w:rPr>
          <w:rFonts w:eastAsiaTheme="minorEastAsia" w:cstheme="minorBidi"/>
          <w:smallCaps w:val="0"/>
          <w:noProof/>
          <w:sz w:val="22"/>
          <w:szCs w:val="22"/>
          <w:lang w:val="en-US"/>
        </w:rPr>
      </w:pPr>
      <w:hyperlink w:anchor="_Toc111638426" w:history="1">
        <w:r w:rsidR="00B26F5B" w:rsidRPr="003771A2">
          <w:rPr>
            <w:rStyle w:val="Hyperlink"/>
            <w:noProof/>
            <w:lang w:val="en-GB"/>
          </w:rPr>
          <w:t>RESOLUTION 49 (Rev. Hammamet, 2016)</w:t>
        </w:r>
        <w:r w:rsidR="00B26F5B">
          <w:rPr>
            <w:noProof/>
            <w:webHidden/>
          </w:rPr>
          <w:tab/>
        </w:r>
        <w:r w:rsidR="00B26F5B">
          <w:rPr>
            <w:noProof/>
            <w:webHidden/>
          </w:rPr>
          <w:fldChar w:fldCharType="begin"/>
        </w:r>
        <w:r w:rsidR="00B26F5B">
          <w:rPr>
            <w:noProof/>
            <w:webHidden/>
          </w:rPr>
          <w:instrText xml:space="preserve"> PAGEREF _Toc111638426 \h </w:instrText>
        </w:r>
        <w:r w:rsidR="00B26F5B">
          <w:rPr>
            <w:noProof/>
            <w:webHidden/>
          </w:rPr>
        </w:r>
        <w:r w:rsidR="00B26F5B">
          <w:rPr>
            <w:noProof/>
            <w:webHidden/>
          </w:rPr>
          <w:fldChar w:fldCharType="separate"/>
        </w:r>
        <w:r>
          <w:rPr>
            <w:noProof/>
            <w:webHidden/>
          </w:rPr>
          <w:t>114</w:t>
        </w:r>
        <w:r w:rsidR="00B26F5B">
          <w:rPr>
            <w:noProof/>
            <w:webHidden/>
          </w:rPr>
          <w:fldChar w:fldCharType="end"/>
        </w:r>
      </w:hyperlink>
    </w:p>
    <w:p w14:paraId="3C903B5C" w14:textId="1E34017A" w:rsidR="00B26F5B" w:rsidRDefault="004E4CA9">
      <w:pPr>
        <w:pStyle w:val="TOC3"/>
        <w:tabs>
          <w:tab w:val="right" w:leader="dot" w:pos="9629"/>
        </w:tabs>
        <w:rPr>
          <w:rFonts w:eastAsiaTheme="minorEastAsia" w:cstheme="minorBidi"/>
          <w:i w:val="0"/>
          <w:iCs w:val="0"/>
          <w:noProof/>
          <w:sz w:val="22"/>
          <w:szCs w:val="22"/>
          <w:lang w:val="en-US"/>
        </w:rPr>
      </w:pPr>
      <w:hyperlink w:anchor="_Toc111638427" w:history="1">
        <w:r w:rsidR="00B26F5B" w:rsidRPr="003771A2">
          <w:rPr>
            <w:rStyle w:val="Hyperlink"/>
            <w:noProof/>
            <w:lang w:val="en-GB"/>
          </w:rPr>
          <w:t>ENUM</w:t>
        </w:r>
      </w:hyperlink>
    </w:p>
    <w:p w14:paraId="2CD0BE01" w14:textId="77777777" w:rsidR="00AE0ADB" w:rsidRDefault="00AE0ADB">
      <w:pPr>
        <w:pStyle w:val="TOC2"/>
        <w:tabs>
          <w:tab w:val="right" w:leader="dot" w:pos="9629"/>
        </w:tabs>
        <w:rPr>
          <w:noProof/>
        </w:rPr>
      </w:pPr>
      <w:r>
        <w:rPr>
          <w:noProof/>
        </w:rPr>
        <w:br w:type="page"/>
      </w:r>
    </w:p>
    <w:p w14:paraId="04420A8C" w14:textId="567DE0A6" w:rsidR="00B26F5B" w:rsidRDefault="006A0076">
      <w:pPr>
        <w:pStyle w:val="TOC2"/>
        <w:tabs>
          <w:tab w:val="right" w:leader="dot" w:pos="9629"/>
        </w:tabs>
        <w:rPr>
          <w:rFonts w:eastAsiaTheme="minorEastAsia" w:cstheme="minorBidi"/>
          <w:smallCaps w:val="0"/>
          <w:noProof/>
          <w:sz w:val="22"/>
          <w:szCs w:val="22"/>
          <w:lang w:val="en-US"/>
        </w:rPr>
      </w:pPr>
      <w:hyperlink w:anchor="_Toc111638428" w:history="1">
        <w:r w:rsidR="00B26F5B" w:rsidRPr="003771A2">
          <w:rPr>
            <w:rStyle w:val="Hyperlink"/>
            <w:noProof/>
            <w:lang w:val="en-GB"/>
          </w:rPr>
          <w:t>RESOLUTION 50 (Rev. Geneva, 2022)</w:t>
        </w:r>
        <w:r w:rsidR="00B26F5B">
          <w:rPr>
            <w:noProof/>
            <w:webHidden/>
          </w:rPr>
          <w:tab/>
        </w:r>
        <w:r w:rsidR="00B26F5B">
          <w:rPr>
            <w:noProof/>
            <w:webHidden/>
          </w:rPr>
          <w:fldChar w:fldCharType="begin"/>
        </w:r>
        <w:r w:rsidR="00B26F5B">
          <w:rPr>
            <w:noProof/>
            <w:webHidden/>
          </w:rPr>
          <w:instrText xml:space="preserve"> PAGEREF _Toc111638428 \h </w:instrText>
        </w:r>
        <w:r w:rsidR="00B26F5B">
          <w:rPr>
            <w:noProof/>
            <w:webHidden/>
          </w:rPr>
        </w:r>
        <w:r w:rsidR="00B26F5B">
          <w:rPr>
            <w:noProof/>
            <w:webHidden/>
          </w:rPr>
          <w:fldChar w:fldCharType="separate"/>
        </w:r>
        <w:r>
          <w:rPr>
            <w:noProof/>
            <w:webHidden/>
          </w:rPr>
          <w:t>116</w:t>
        </w:r>
        <w:r w:rsidR="00B26F5B">
          <w:rPr>
            <w:noProof/>
            <w:webHidden/>
          </w:rPr>
          <w:fldChar w:fldCharType="end"/>
        </w:r>
      </w:hyperlink>
    </w:p>
    <w:p w14:paraId="749B5354" w14:textId="7A8F15F7" w:rsidR="00B26F5B" w:rsidRDefault="006A0076">
      <w:pPr>
        <w:pStyle w:val="TOC3"/>
        <w:tabs>
          <w:tab w:val="right" w:leader="dot" w:pos="9629"/>
        </w:tabs>
        <w:rPr>
          <w:rFonts w:eastAsiaTheme="minorEastAsia" w:cstheme="minorBidi"/>
          <w:i w:val="0"/>
          <w:iCs w:val="0"/>
          <w:noProof/>
          <w:sz w:val="22"/>
          <w:szCs w:val="22"/>
          <w:lang w:val="en-US"/>
        </w:rPr>
      </w:pPr>
      <w:hyperlink w:anchor="_Toc111638429" w:history="1">
        <w:r w:rsidR="00B26F5B" w:rsidRPr="003771A2">
          <w:rPr>
            <w:rStyle w:val="Hyperlink"/>
            <w:noProof/>
            <w:lang w:val="en-GB"/>
          </w:rPr>
          <w:t>Cybersecurity</w:t>
        </w:r>
      </w:hyperlink>
    </w:p>
    <w:p w14:paraId="05D8BFBF" w14:textId="0AB9F68B" w:rsidR="00B26F5B" w:rsidRDefault="006A0076">
      <w:pPr>
        <w:pStyle w:val="TOC2"/>
        <w:tabs>
          <w:tab w:val="right" w:leader="dot" w:pos="9629"/>
        </w:tabs>
        <w:rPr>
          <w:rFonts w:eastAsiaTheme="minorEastAsia" w:cstheme="minorBidi"/>
          <w:smallCaps w:val="0"/>
          <w:noProof/>
          <w:sz w:val="22"/>
          <w:szCs w:val="22"/>
          <w:lang w:val="en-US"/>
        </w:rPr>
      </w:pPr>
      <w:hyperlink w:anchor="_Toc111638430" w:history="1">
        <w:r w:rsidR="00B26F5B" w:rsidRPr="003771A2">
          <w:rPr>
            <w:rStyle w:val="Hyperlink"/>
            <w:noProof/>
            <w:lang w:val="en-GB"/>
          </w:rPr>
          <w:t>RESOLUTION 52 (Rev. Hammamet, 2016)</w:t>
        </w:r>
        <w:r w:rsidR="00B26F5B">
          <w:rPr>
            <w:noProof/>
            <w:webHidden/>
          </w:rPr>
          <w:tab/>
        </w:r>
        <w:r w:rsidR="00B26F5B">
          <w:rPr>
            <w:noProof/>
            <w:webHidden/>
          </w:rPr>
          <w:fldChar w:fldCharType="begin"/>
        </w:r>
        <w:r w:rsidR="00B26F5B">
          <w:rPr>
            <w:noProof/>
            <w:webHidden/>
          </w:rPr>
          <w:instrText xml:space="preserve"> PAGEREF _Toc111638430 \h </w:instrText>
        </w:r>
        <w:r w:rsidR="00B26F5B">
          <w:rPr>
            <w:noProof/>
            <w:webHidden/>
          </w:rPr>
        </w:r>
        <w:r w:rsidR="00B26F5B">
          <w:rPr>
            <w:noProof/>
            <w:webHidden/>
          </w:rPr>
          <w:fldChar w:fldCharType="separate"/>
        </w:r>
        <w:r>
          <w:rPr>
            <w:noProof/>
            <w:webHidden/>
          </w:rPr>
          <w:t>123</w:t>
        </w:r>
        <w:r w:rsidR="00B26F5B">
          <w:rPr>
            <w:noProof/>
            <w:webHidden/>
          </w:rPr>
          <w:fldChar w:fldCharType="end"/>
        </w:r>
      </w:hyperlink>
    </w:p>
    <w:p w14:paraId="6740AA2C" w14:textId="5E4A95CC" w:rsidR="00B26F5B" w:rsidRDefault="006A0076">
      <w:pPr>
        <w:pStyle w:val="TOC3"/>
        <w:tabs>
          <w:tab w:val="right" w:leader="dot" w:pos="9629"/>
        </w:tabs>
        <w:rPr>
          <w:rFonts w:eastAsiaTheme="minorEastAsia" w:cstheme="minorBidi"/>
          <w:i w:val="0"/>
          <w:iCs w:val="0"/>
          <w:noProof/>
          <w:sz w:val="22"/>
          <w:szCs w:val="22"/>
          <w:lang w:val="en-US"/>
        </w:rPr>
      </w:pPr>
      <w:hyperlink w:anchor="_Toc111638431" w:history="1">
        <w:r w:rsidR="00B26F5B" w:rsidRPr="003771A2">
          <w:rPr>
            <w:rStyle w:val="Hyperlink"/>
            <w:noProof/>
            <w:lang w:val="en-GB"/>
          </w:rPr>
          <w:t>Countering and combating spam</w:t>
        </w:r>
      </w:hyperlink>
    </w:p>
    <w:p w14:paraId="36CD4522" w14:textId="345D2CD9" w:rsidR="00B26F5B" w:rsidRDefault="006A0076">
      <w:pPr>
        <w:pStyle w:val="TOC2"/>
        <w:tabs>
          <w:tab w:val="right" w:leader="dot" w:pos="9629"/>
        </w:tabs>
        <w:rPr>
          <w:rFonts w:eastAsiaTheme="minorEastAsia" w:cstheme="minorBidi"/>
          <w:smallCaps w:val="0"/>
          <w:noProof/>
          <w:sz w:val="22"/>
          <w:szCs w:val="22"/>
          <w:lang w:val="en-US"/>
        </w:rPr>
      </w:pPr>
      <w:hyperlink w:anchor="_Toc111638432" w:history="1">
        <w:r w:rsidR="00B26F5B" w:rsidRPr="003771A2">
          <w:rPr>
            <w:rStyle w:val="Hyperlink"/>
            <w:noProof/>
            <w:lang w:val="en-GB"/>
          </w:rPr>
          <w:t>RESOLUTION 54 (Rev. Geneva, 2022)</w:t>
        </w:r>
        <w:r w:rsidR="00B26F5B">
          <w:rPr>
            <w:noProof/>
            <w:webHidden/>
          </w:rPr>
          <w:tab/>
        </w:r>
        <w:r w:rsidR="00B26F5B">
          <w:rPr>
            <w:noProof/>
            <w:webHidden/>
          </w:rPr>
          <w:fldChar w:fldCharType="begin"/>
        </w:r>
        <w:r w:rsidR="00B26F5B">
          <w:rPr>
            <w:noProof/>
            <w:webHidden/>
          </w:rPr>
          <w:instrText xml:space="preserve"> PAGEREF _Toc111638432 \h </w:instrText>
        </w:r>
        <w:r w:rsidR="00B26F5B">
          <w:rPr>
            <w:noProof/>
            <w:webHidden/>
          </w:rPr>
        </w:r>
        <w:r w:rsidR="00B26F5B">
          <w:rPr>
            <w:noProof/>
            <w:webHidden/>
          </w:rPr>
          <w:fldChar w:fldCharType="separate"/>
        </w:r>
        <w:r>
          <w:rPr>
            <w:noProof/>
            <w:webHidden/>
          </w:rPr>
          <w:t>126</w:t>
        </w:r>
        <w:r w:rsidR="00B26F5B">
          <w:rPr>
            <w:noProof/>
            <w:webHidden/>
          </w:rPr>
          <w:fldChar w:fldCharType="end"/>
        </w:r>
      </w:hyperlink>
    </w:p>
    <w:p w14:paraId="7BE1F972" w14:textId="6E6190B1" w:rsidR="00B26F5B" w:rsidRDefault="006A0076">
      <w:pPr>
        <w:pStyle w:val="TOC3"/>
        <w:tabs>
          <w:tab w:val="right" w:leader="dot" w:pos="9629"/>
        </w:tabs>
        <w:rPr>
          <w:rFonts w:eastAsiaTheme="minorEastAsia" w:cstheme="minorBidi"/>
          <w:i w:val="0"/>
          <w:iCs w:val="0"/>
          <w:noProof/>
          <w:sz w:val="22"/>
          <w:szCs w:val="22"/>
          <w:lang w:val="en-US"/>
        </w:rPr>
      </w:pPr>
      <w:hyperlink w:anchor="_Toc111638433" w:history="1">
        <w:r w:rsidR="00B26F5B" w:rsidRPr="003771A2">
          <w:rPr>
            <w:rStyle w:val="Hyperlink"/>
            <w:noProof/>
            <w:lang w:val="en-GB"/>
          </w:rPr>
          <w:t>Regional groups of study groups of the ITU Telecommunication  Standardization Sector</w:t>
        </w:r>
      </w:hyperlink>
    </w:p>
    <w:p w14:paraId="272B9149" w14:textId="7252FD7B" w:rsidR="00B26F5B" w:rsidRDefault="006A0076">
      <w:pPr>
        <w:pStyle w:val="TOC2"/>
        <w:tabs>
          <w:tab w:val="right" w:leader="dot" w:pos="9629"/>
        </w:tabs>
        <w:rPr>
          <w:rFonts w:eastAsiaTheme="minorEastAsia" w:cstheme="minorBidi"/>
          <w:smallCaps w:val="0"/>
          <w:noProof/>
          <w:sz w:val="22"/>
          <w:szCs w:val="22"/>
          <w:lang w:val="en-US"/>
        </w:rPr>
      </w:pPr>
      <w:hyperlink w:anchor="_Toc111638434" w:history="1">
        <w:r w:rsidR="00B26F5B" w:rsidRPr="003771A2">
          <w:rPr>
            <w:rStyle w:val="Hyperlink"/>
            <w:noProof/>
            <w:lang w:val="en-GB"/>
          </w:rPr>
          <w:t>RESOLUTION 55 (Rev. Geneva, 2022)</w:t>
        </w:r>
        <w:r w:rsidR="00B26F5B">
          <w:rPr>
            <w:noProof/>
            <w:webHidden/>
          </w:rPr>
          <w:tab/>
        </w:r>
        <w:r w:rsidR="00B26F5B">
          <w:rPr>
            <w:noProof/>
            <w:webHidden/>
          </w:rPr>
          <w:fldChar w:fldCharType="begin"/>
        </w:r>
        <w:r w:rsidR="00B26F5B">
          <w:rPr>
            <w:noProof/>
            <w:webHidden/>
          </w:rPr>
          <w:instrText xml:space="preserve"> PAGEREF _Toc111638434 \h </w:instrText>
        </w:r>
        <w:r w:rsidR="00B26F5B">
          <w:rPr>
            <w:noProof/>
            <w:webHidden/>
          </w:rPr>
        </w:r>
        <w:r w:rsidR="00B26F5B">
          <w:rPr>
            <w:noProof/>
            <w:webHidden/>
          </w:rPr>
          <w:fldChar w:fldCharType="separate"/>
        </w:r>
        <w:r>
          <w:rPr>
            <w:noProof/>
            <w:webHidden/>
          </w:rPr>
          <w:t>132</w:t>
        </w:r>
        <w:r w:rsidR="00B26F5B">
          <w:rPr>
            <w:noProof/>
            <w:webHidden/>
          </w:rPr>
          <w:fldChar w:fldCharType="end"/>
        </w:r>
      </w:hyperlink>
    </w:p>
    <w:p w14:paraId="4D71758F" w14:textId="2FF8D17C" w:rsidR="00B26F5B" w:rsidRDefault="006A0076">
      <w:pPr>
        <w:pStyle w:val="TOC3"/>
        <w:tabs>
          <w:tab w:val="right" w:leader="dot" w:pos="9629"/>
        </w:tabs>
        <w:rPr>
          <w:rFonts w:eastAsiaTheme="minorEastAsia" w:cstheme="minorBidi"/>
          <w:i w:val="0"/>
          <w:iCs w:val="0"/>
          <w:noProof/>
          <w:sz w:val="22"/>
          <w:szCs w:val="22"/>
          <w:lang w:val="en-US"/>
        </w:rPr>
      </w:pPr>
      <w:hyperlink w:anchor="_Toc111638435" w:history="1">
        <w:r w:rsidR="00B26F5B" w:rsidRPr="003771A2">
          <w:rPr>
            <w:rStyle w:val="Hyperlink"/>
            <w:noProof/>
            <w:lang w:val="en-GB"/>
          </w:rPr>
          <w:t>Promoting gender equality in ITU Telecommunication  Standardization Sector activities</w:t>
        </w:r>
      </w:hyperlink>
    </w:p>
    <w:p w14:paraId="14B7D933" w14:textId="67C614E7" w:rsidR="00B26F5B" w:rsidRDefault="006A0076">
      <w:pPr>
        <w:pStyle w:val="TOC2"/>
        <w:tabs>
          <w:tab w:val="right" w:leader="dot" w:pos="9629"/>
        </w:tabs>
        <w:rPr>
          <w:rFonts w:eastAsiaTheme="minorEastAsia" w:cstheme="minorBidi"/>
          <w:smallCaps w:val="0"/>
          <w:noProof/>
          <w:sz w:val="22"/>
          <w:szCs w:val="22"/>
          <w:lang w:val="en-US"/>
        </w:rPr>
      </w:pPr>
      <w:hyperlink w:anchor="_Toc111638436" w:history="1">
        <w:r w:rsidR="00B26F5B" w:rsidRPr="003771A2">
          <w:rPr>
            <w:rStyle w:val="Hyperlink"/>
            <w:noProof/>
            <w:lang w:val="en-GB"/>
          </w:rPr>
          <w:t>RESOLUTION 58 (Rev. Geneva, 2022)</w:t>
        </w:r>
        <w:r w:rsidR="00B26F5B">
          <w:rPr>
            <w:noProof/>
            <w:webHidden/>
          </w:rPr>
          <w:tab/>
        </w:r>
        <w:r w:rsidR="00B26F5B">
          <w:rPr>
            <w:noProof/>
            <w:webHidden/>
          </w:rPr>
          <w:fldChar w:fldCharType="begin"/>
        </w:r>
        <w:r w:rsidR="00B26F5B">
          <w:rPr>
            <w:noProof/>
            <w:webHidden/>
          </w:rPr>
          <w:instrText xml:space="preserve"> PAGEREF _Toc111638436 \h </w:instrText>
        </w:r>
        <w:r w:rsidR="00B26F5B">
          <w:rPr>
            <w:noProof/>
            <w:webHidden/>
          </w:rPr>
        </w:r>
        <w:r w:rsidR="00B26F5B">
          <w:rPr>
            <w:noProof/>
            <w:webHidden/>
          </w:rPr>
          <w:fldChar w:fldCharType="separate"/>
        </w:r>
        <w:r>
          <w:rPr>
            <w:noProof/>
            <w:webHidden/>
          </w:rPr>
          <w:t>137</w:t>
        </w:r>
        <w:r w:rsidR="00B26F5B">
          <w:rPr>
            <w:noProof/>
            <w:webHidden/>
          </w:rPr>
          <w:fldChar w:fldCharType="end"/>
        </w:r>
      </w:hyperlink>
    </w:p>
    <w:p w14:paraId="6C1442BB" w14:textId="77894D32" w:rsidR="00B26F5B" w:rsidRDefault="006A0076">
      <w:pPr>
        <w:pStyle w:val="TOC3"/>
        <w:tabs>
          <w:tab w:val="right" w:leader="dot" w:pos="9629"/>
        </w:tabs>
        <w:rPr>
          <w:rFonts w:eastAsiaTheme="minorEastAsia" w:cstheme="minorBidi"/>
          <w:i w:val="0"/>
          <w:iCs w:val="0"/>
          <w:noProof/>
          <w:sz w:val="22"/>
          <w:szCs w:val="22"/>
          <w:lang w:val="en-US"/>
        </w:rPr>
      </w:pPr>
      <w:hyperlink w:anchor="_Toc111638437" w:history="1">
        <w:r w:rsidR="00B26F5B" w:rsidRPr="003771A2">
          <w:rPr>
            <w:rStyle w:val="Hyperlink"/>
            <w:noProof/>
            <w:lang w:val="en-GB"/>
          </w:rPr>
          <w:t>Encouraging the creation of national computer incident response teams, particularly for developing countries</w:t>
        </w:r>
      </w:hyperlink>
    </w:p>
    <w:p w14:paraId="6050EB87" w14:textId="2F131CD5" w:rsidR="00B26F5B" w:rsidRDefault="006A0076">
      <w:pPr>
        <w:pStyle w:val="TOC2"/>
        <w:tabs>
          <w:tab w:val="right" w:leader="dot" w:pos="9629"/>
        </w:tabs>
        <w:rPr>
          <w:rFonts w:eastAsiaTheme="minorEastAsia" w:cstheme="minorBidi"/>
          <w:smallCaps w:val="0"/>
          <w:noProof/>
          <w:sz w:val="22"/>
          <w:szCs w:val="22"/>
          <w:lang w:val="en-US"/>
        </w:rPr>
      </w:pPr>
      <w:hyperlink w:anchor="_Toc111638438" w:history="1">
        <w:r w:rsidR="00B26F5B" w:rsidRPr="003771A2">
          <w:rPr>
            <w:rStyle w:val="Hyperlink"/>
            <w:noProof/>
            <w:lang w:val="en-GB"/>
          </w:rPr>
          <w:t>RESOLUTION 60 (Rev. Geneva, 2022)</w:t>
        </w:r>
        <w:r w:rsidR="00B26F5B">
          <w:rPr>
            <w:noProof/>
            <w:webHidden/>
          </w:rPr>
          <w:tab/>
        </w:r>
        <w:r w:rsidR="00B26F5B">
          <w:rPr>
            <w:noProof/>
            <w:webHidden/>
          </w:rPr>
          <w:fldChar w:fldCharType="begin"/>
        </w:r>
        <w:r w:rsidR="00B26F5B">
          <w:rPr>
            <w:noProof/>
            <w:webHidden/>
          </w:rPr>
          <w:instrText xml:space="preserve"> PAGEREF _Toc111638438 \h </w:instrText>
        </w:r>
        <w:r w:rsidR="00B26F5B">
          <w:rPr>
            <w:noProof/>
            <w:webHidden/>
          </w:rPr>
        </w:r>
        <w:r w:rsidR="00B26F5B">
          <w:rPr>
            <w:noProof/>
            <w:webHidden/>
          </w:rPr>
          <w:fldChar w:fldCharType="separate"/>
        </w:r>
        <w:r>
          <w:rPr>
            <w:noProof/>
            <w:webHidden/>
          </w:rPr>
          <w:t>139</w:t>
        </w:r>
        <w:r w:rsidR="00B26F5B">
          <w:rPr>
            <w:noProof/>
            <w:webHidden/>
          </w:rPr>
          <w:fldChar w:fldCharType="end"/>
        </w:r>
      </w:hyperlink>
    </w:p>
    <w:p w14:paraId="1B6893F4" w14:textId="69637E7B" w:rsidR="00B26F5B" w:rsidRDefault="006A0076">
      <w:pPr>
        <w:pStyle w:val="TOC3"/>
        <w:tabs>
          <w:tab w:val="right" w:leader="dot" w:pos="9629"/>
        </w:tabs>
        <w:rPr>
          <w:rFonts w:eastAsiaTheme="minorEastAsia" w:cstheme="minorBidi"/>
          <w:i w:val="0"/>
          <w:iCs w:val="0"/>
          <w:noProof/>
          <w:sz w:val="22"/>
          <w:szCs w:val="22"/>
          <w:lang w:val="en-US"/>
        </w:rPr>
      </w:pPr>
      <w:hyperlink w:anchor="_Toc111638439" w:history="1">
        <w:r w:rsidR="00B26F5B" w:rsidRPr="003771A2">
          <w:rPr>
            <w:rStyle w:val="Hyperlink"/>
            <w:noProof/>
            <w:lang w:val="en-GB"/>
          </w:rPr>
          <w:t xml:space="preserve">Responding to the challenges of the evolution of the identification/numbering system and its convergence </w:t>
        </w:r>
        <w:r w:rsidR="00AE0ADB">
          <w:rPr>
            <w:rStyle w:val="Hyperlink"/>
            <w:noProof/>
            <w:lang w:val="en-GB"/>
          </w:rPr>
          <w:br/>
        </w:r>
        <w:r w:rsidR="00B26F5B" w:rsidRPr="003771A2">
          <w:rPr>
            <w:rStyle w:val="Hyperlink"/>
            <w:noProof/>
            <w:lang w:val="en-GB"/>
          </w:rPr>
          <w:t>with Internet Protocol-based systems/networks</w:t>
        </w:r>
      </w:hyperlink>
    </w:p>
    <w:p w14:paraId="1600BF6D" w14:textId="14860B8E" w:rsidR="00B26F5B" w:rsidRDefault="006A0076">
      <w:pPr>
        <w:pStyle w:val="TOC2"/>
        <w:tabs>
          <w:tab w:val="right" w:leader="dot" w:pos="9629"/>
        </w:tabs>
        <w:rPr>
          <w:rFonts w:eastAsiaTheme="minorEastAsia" w:cstheme="minorBidi"/>
          <w:smallCaps w:val="0"/>
          <w:noProof/>
          <w:sz w:val="22"/>
          <w:szCs w:val="22"/>
          <w:lang w:val="en-US"/>
        </w:rPr>
      </w:pPr>
      <w:hyperlink w:anchor="_Toc111638440" w:history="1">
        <w:r w:rsidR="00B26F5B" w:rsidRPr="003771A2">
          <w:rPr>
            <w:rStyle w:val="Hyperlink"/>
            <w:noProof/>
            <w:lang w:val="en-GB"/>
          </w:rPr>
          <w:t>RESOLUTION 61 (Rev. Geneva, 2022)</w:t>
        </w:r>
        <w:r w:rsidR="00B26F5B">
          <w:rPr>
            <w:noProof/>
            <w:webHidden/>
          </w:rPr>
          <w:tab/>
        </w:r>
        <w:r w:rsidR="00B26F5B">
          <w:rPr>
            <w:noProof/>
            <w:webHidden/>
          </w:rPr>
          <w:fldChar w:fldCharType="begin"/>
        </w:r>
        <w:r w:rsidR="00B26F5B">
          <w:rPr>
            <w:noProof/>
            <w:webHidden/>
          </w:rPr>
          <w:instrText xml:space="preserve"> PAGEREF _Toc111638440 \h </w:instrText>
        </w:r>
        <w:r w:rsidR="00B26F5B">
          <w:rPr>
            <w:noProof/>
            <w:webHidden/>
          </w:rPr>
        </w:r>
        <w:r w:rsidR="00B26F5B">
          <w:rPr>
            <w:noProof/>
            <w:webHidden/>
          </w:rPr>
          <w:fldChar w:fldCharType="separate"/>
        </w:r>
        <w:r>
          <w:rPr>
            <w:noProof/>
            <w:webHidden/>
          </w:rPr>
          <w:t>141</w:t>
        </w:r>
        <w:r w:rsidR="00B26F5B">
          <w:rPr>
            <w:noProof/>
            <w:webHidden/>
          </w:rPr>
          <w:fldChar w:fldCharType="end"/>
        </w:r>
      </w:hyperlink>
    </w:p>
    <w:p w14:paraId="35BC6C86" w14:textId="28F836B0" w:rsidR="00B26F5B" w:rsidRDefault="006A0076">
      <w:pPr>
        <w:pStyle w:val="TOC3"/>
        <w:tabs>
          <w:tab w:val="right" w:leader="dot" w:pos="9629"/>
        </w:tabs>
        <w:rPr>
          <w:rFonts w:eastAsiaTheme="minorEastAsia" w:cstheme="minorBidi"/>
          <w:i w:val="0"/>
          <w:iCs w:val="0"/>
          <w:noProof/>
          <w:sz w:val="22"/>
          <w:szCs w:val="22"/>
          <w:lang w:val="en-US"/>
        </w:rPr>
      </w:pPr>
      <w:hyperlink w:anchor="_Toc111638441" w:history="1">
        <w:r w:rsidR="00B26F5B" w:rsidRPr="003771A2">
          <w:rPr>
            <w:rStyle w:val="Hyperlink"/>
            <w:noProof/>
            <w:lang w:val="en-GB"/>
          </w:rPr>
          <w:t>Countering and combating misappropriation and misuse of international telecommunication numbering resources</w:t>
        </w:r>
      </w:hyperlink>
    </w:p>
    <w:p w14:paraId="189C25CD" w14:textId="4A7A0450" w:rsidR="00B26F5B" w:rsidRDefault="006A0076">
      <w:pPr>
        <w:pStyle w:val="TOC2"/>
        <w:tabs>
          <w:tab w:val="right" w:leader="dot" w:pos="9629"/>
        </w:tabs>
        <w:rPr>
          <w:rFonts w:eastAsiaTheme="minorEastAsia" w:cstheme="minorBidi"/>
          <w:smallCaps w:val="0"/>
          <w:noProof/>
          <w:sz w:val="22"/>
          <w:szCs w:val="22"/>
          <w:lang w:val="en-US"/>
        </w:rPr>
      </w:pPr>
      <w:hyperlink w:anchor="_Toc111638442" w:history="1">
        <w:r w:rsidR="00B26F5B" w:rsidRPr="003771A2">
          <w:rPr>
            <w:rStyle w:val="Hyperlink"/>
            <w:noProof/>
            <w:lang w:val="en-GB"/>
          </w:rPr>
          <w:t>RESOLUTION 62 (Rev. Dubai, 2012)</w:t>
        </w:r>
        <w:r w:rsidR="00B26F5B">
          <w:rPr>
            <w:noProof/>
            <w:webHidden/>
          </w:rPr>
          <w:tab/>
        </w:r>
        <w:r w:rsidR="00B26F5B">
          <w:rPr>
            <w:noProof/>
            <w:webHidden/>
          </w:rPr>
          <w:fldChar w:fldCharType="begin"/>
        </w:r>
        <w:r w:rsidR="00B26F5B">
          <w:rPr>
            <w:noProof/>
            <w:webHidden/>
          </w:rPr>
          <w:instrText xml:space="preserve"> PAGEREF _Toc111638442 \h </w:instrText>
        </w:r>
        <w:r w:rsidR="00B26F5B">
          <w:rPr>
            <w:noProof/>
            <w:webHidden/>
          </w:rPr>
        </w:r>
        <w:r w:rsidR="00B26F5B">
          <w:rPr>
            <w:noProof/>
            <w:webHidden/>
          </w:rPr>
          <w:fldChar w:fldCharType="separate"/>
        </w:r>
        <w:r>
          <w:rPr>
            <w:noProof/>
            <w:webHidden/>
          </w:rPr>
          <w:t>146</w:t>
        </w:r>
        <w:r w:rsidR="00B26F5B">
          <w:rPr>
            <w:noProof/>
            <w:webHidden/>
          </w:rPr>
          <w:fldChar w:fldCharType="end"/>
        </w:r>
      </w:hyperlink>
    </w:p>
    <w:p w14:paraId="3962EA23" w14:textId="5556B708" w:rsidR="00B26F5B" w:rsidRDefault="006A0076">
      <w:pPr>
        <w:pStyle w:val="TOC3"/>
        <w:tabs>
          <w:tab w:val="right" w:leader="dot" w:pos="9629"/>
        </w:tabs>
        <w:rPr>
          <w:rFonts w:eastAsiaTheme="minorEastAsia" w:cstheme="minorBidi"/>
          <w:i w:val="0"/>
          <w:iCs w:val="0"/>
          <w:noProof/>
          <w:sz w:val="22"/>
          <w:szCs w:val="22"/>
          <w:lang w:val="en-US"/>
        </w:rPr>
      </w:pPr>
      <w:hyperlink w:anchor="_Toc111638443" w:history="1">
        <w:r w:rsidR="00B26F5B" w:rsidRPr="003771A2">
          <w:rPr>
            <w:rStyle w:val="Hyperlink"/>
            <w:noProof/>
            <w:lang w:val="en-GB"/>
          </w:rPr>
          <w:t>Dispute settlement</w:t>
        </w:r>
      </w:hyperlink>
    </w:p>
    <w:p w14:paraId="22BD1131" w14:textId="2BF9E5C4" w:rsidR="00B26F5B" w:rsidRDefault="006A0076">
      <w:pPr>
        <w:pStyle w:val="TOC2"/>
        <w:tabs>
          <w:tab w:val="right" w:leader="dot" w:pos="9629"/>
        </w:tabs>
        <w:rPr>
          <w:rFonts w:eastAsiaTheme="minorEastAsia" w:cstheme="minorBidi"/>
          <w:smallCaps w:val="0"/>
          <w:noProof/>
          <w:sz w:val="22"/>
          <w:szCs w:val="22"/>
          <w:lang w:val="en-US"/>
        </w:rPr>
      </w:pPr>
      <w:hyperlink w:anchor="_Toc111638444" w:history="1">
        <w:r w:rsidR="00B26F5B" w:rsidRPr="003771A2">
          <w:rPr>
            <w:rStyle w:val="Hyperlink"/>
            <w:noProof/>
            <w:lang w:val="en-GB"/>
          </w:rPr>
          <w:t>RESOLUTION 64 (Rev. Geneva, 2022)</w:t>
        </w:r>
        <w:r w:rsidR="00B26F5B">
          <w:rPr>
            <w:noProof/>
            <w:webHidden/>
          </w:rPr>
          <w:tab/>
        </w:r>
        <w:r w:rsidR="00B26F5B">
          <w:rPr>
            <w:noProof/>
            <w:webHidden/>
          </w:rPr>
          <w:fldChar w:fldCharType="begin"/>
        </w:r>
        <w:r w:rsidR="00B26F5B">
          <w:rPr>
            <w:noProof/>
            <w:webHidden/>
          </w:rPr>
          <w:instrText xml:space="preserve"> PAGEREF _Toc111638444 \h </w:instrText>
        </w:r>
        <w:r w:rsidR="00B26F5B">
          <w:rPr>
            <w:noProof/>
            <w:webHidden/>
          </w:rPr>
        </w:r>
        <w:r w:rsidR="00B26F5B">
          <w:rPr>
            <w:noProof/>
            <w:webHidden/>
          </w:rPr>
          <w:fldChar w:fldCharType="separate"/>
        </w:r>
        <w:r>
          <w:rPr>
            <w:noProof/>
            <w:webHidden/>
          </w:rPr>
          <w:t>148</w:t>
        </w:r>
        <w:r w:rsidR="00B26F5B">
          <w:rPr>
            <w:noProof/>
            <w:webHidden/>
          </w:rPr>
          <w:fldChar w:fldCharType="end"/>
        </w:r>
      </w:hyperlink>
    </w:p>
    <w:p w14:paraId="4A493B6C" w14:textId="7AB8977A" w:rsidR="00B26F5B" w:rsidRDefault="006A0076">
      <w:pPr>
        <w:pStyle w:val="TOC3"/>
        <w:tabs>
          <w:tab w:val="right" w:leader="dot" w:pos="9629"/>
        </w:tabs>
        <w:rPr>
          <w:rFonts w:eastAsiaTheme="minorEastAsia" w:cstheme="minorBidi"/>
          <w:i w:val="0"/>
          <w:iCs w:val="0"/>
          <w:noProof/>
          <w:sz w:val="22"/>
          <w:szCs w:val="22"/>
          <w:lang w:val="en-US"/>
        </w:rPr>
      </w:pPr>
      <w:hyperlink w:anchor="_Toc111638445" w:history="1">
        <w:r w:rsidR="00B26F5B" w:rsidRPr="003771A2">
          <w:rPr>
            <w:rStyle w:val="Hyperlink"/>
            <w:noProof/>
            <w:lang w:val="en-GB"/>
          </w:rPr>
          <w:t xml:space="preserve">Internet Protocol address allocation and facilitating the transition to and deployment of Internet Protocol </w:t>
        </w:r>
        <w:r w:rsidR="00AE0ADB">
          <w:rPr>
            <w:rStyle w:val="Hyperlink"/>
            <w:noProof/>
            <w:lang w:val="en-GB"/>
          </w:rPr>
          <w:br/>
        </w:r>
        <w:r w:rsidR="00B26F5B" w:rsidRPr="003771A2">
          <w:rPr>
            <w:rStyle w:val="Hyperlink"/>
            <w:noProof/>
            <w:lang w:val="en-GB"/>
          </w:rPr>
          <w:t>version 6</w:t>
        </w:r>
      </w:hyperlink>
    </w:p>
    <w:p w14:paraId="76798808" w14:textId="1CAB4A7C" w:rsidR="00B26F5B" w:rsidRDefault="006A0076">
      <w:pPr>
        <w:pStyle w:val="TOC2"/>
        <w:tabs>
          <w:tab w:val="right" w:leader="dot" w:pos="9629"/>
        </w:tabs>
        <w:rPr>
          <w:rFonts w:eastAsiaTheme="minorEastAsia" w:cstheme="minorBidi"/>
          <w:smallCaps w:val="0"/>
          <w:noProof/>
          <w:sz w:val="22"/>
          <w:szCs w:val="22"/>
          <w:lang w:val="en-US"/>
        </w:rPr>
      </w:pPr>
      <w:hyperlink w:anchor="_Toc111638446" w:history="1">
        <w:r w:rsidR="00B26F5B" w:rsidRPr="003771A2">
          <w:rPr>
            <w:rStyle w:val="Hyperlink"/>
            <w:noProof/>
            <w:lang w:val="en-GB"/>
          </w:rPr>
          <w:t>RESOLUTION 65 (Rev. Geneva, 2022)</w:t>
        </w:r>
        <w:r w:rsidR="00B26F5B">
          <w:rPr>
            <w:noProof/>
            <w:webHidden/>
          </w:rPr>
          <w:tab/>
        </w:r>
        <w:r w:rsidR="00B26F5B">
          <w:rPr>
            <w:noProof/>
            <w:webHidden/>
          </w:rPr>
          <w:fldChar w:fldCharType="begin"/>
        </w:r>
        <w:r w:rsidR="00B26F5B">
          <w:rPr>
            <w:noProof/>
            <w:webHidden/>
          </w:rPr>
          <w:instrText xml:space="preserve"> PAGEREF _Toc111638446 \h </w:instrText>
        </w:r>
        <w:r w:rsidR="00B26F5B">
          <w:rPr>
            <w:noProof/>
            <w:webHidden/>
          </w:rPr>
        </w:r>
        <w:r w:rsidR="00B26F5B">
          <w:rPr>
            <w:noProof/>
            <w:webHidden/>
          </w:rPr>
          <w:fldChar w:fldCharType="separate"/>
        </w:r>
        <w:r>
          <w:rPr>
            <w:noProof/>
            <w:webHidden/>
          </w:rPr>
          <w:t>152</w:t>
        </w:r>
        <w:r w:rsidR="00B26F5B">
          <w:rPr>
            <w:noProof/>
            <w:webHidden/>
          </w:rPr>
          <w:fldChar w:fldCharType="end"/>
        </w:r>
      </w:hyperlink>
    </w:p>
    <w:p w14:paraId="2F648707" w14:textId="549984D1" w:rsidR="00B26F5B" w:rsidRDefault="006A0076">
      <w:pPr>
        <w:pStyle w:val="TOC3"/>
        <w:tabs>
          <w:tab w:val="right" w:leader="dot" w:pos="9629"/>
        </w:tabs>
        <w:rPr>
          <w:rFonts w:eastAsiaTheme="minorEastAsia" w:cstheme="minorBidi"/>
          <w:i w:val="0"/>
          <w:iCs w:val="0"/>
          <w:noProof/>
          <w:sz w:val="22"/>
          <w:szCs w:val="22"/>
          <w:lang w:val="en-US"/>
        </w:rPr>
      </w:pPr>
      <w:hyperlink w:anchor="_Toc111638447" w:history="1">
        <w:r w:rsidR="00B26F5B" w:rsidRPr="003771A2">
          <w:rPr>
            <w:rStyle w:val="Hyperlink"/>
            <w:noProof/>
            <w:lang w:val="en-GB"/>
          </w:rPr>
          <w:t>Calling party number delivery, calling line identification and origin identification information</w:t>
        </w:r>
      </w:hyperlink>
    </w:p>
    <w:p w14:paraId="3E9CF594" w14:textId="48082B75" w:rsidR="00B26F5B" w:rsidRDefault="006A0076">
      <w:pPr>
        <w:pStyle w:val="TOC2"/>
        <w:tabs>
          <w:tab w:val="right" w:leader="dot" w:pos="9629"/>
        </w:tabs>
        <w:rPr>
          <w:rFonts w:eastAsiaTheme="minorEastAsia" w:cstheme="minorBidi"/>
          <w:smallCaps w:val="0"/>
          <w:noProof/>
          <w:sz w:val="22"/>
          <w:szCs w:val="22"/>
          <w:lang w:val="en-US"/>
        </w:rPr>
      </w:pPr>
      <w:hyperlink w:anchor="_Toc111638448" w:history="1">
        <w:r w:rsidR="00B26F5B" w:rsidRPr="003771A2">
          <w:rPr>
            <w:rStyle w:val="Hyperlink"/>
            <w:noProof/>
            <w:lang w:val="en-GB"/>
          </w:rPr>
          <w:t>RESOLUTION 67 (Rev. Geneva, 2022)</w:t>
        </w:r>
        <w:r w:rsidR="00B26F5B">
          <w:rPr>
            <w:noProof/>
            <w:webHidden/>
          </w:rPr>
          <w:tab/>
        </w:r>
        <w:r w:rsidR="00B26F5B">
          <w:rPr>
            <w:noProof/>
            <w:webHidden/>
          </w:rPr>
          <w:fldChar w:fldCharType="begin"/>
        </w:r>
        <w:r w:rsidR="00B26F5B">
          <w:rPr>
            <w:noProof/>
            <w:webHidden/>
          </w:rPr>
          <w:instrText xml:space="preserve"> PAGEREF _Toc111638448 \h </w:instrText>
        </w:r>
        <w:r w:rsidR="00B26F5B">
          <w:rPr>
            <w:noProof/>
            <w:webHidden/>
          </w:rPr>
        </w:r>
        <w:r w:rsidR="00B26F5B">
          <w:rPr>
            <w:noProof/>
            <w:webHidden/>
          </w:rPr>
          <w:fldChar w:fldCharType="separate"/>
        </w:r>
        <w:r>
          <w:rPr>
            <w:noProof/>
            <w:webHidden/>
          </w:rPr>
          <w:t>155</w:t>
        </w:r>
        <w:r w:rsidR="00B26F5B">
          <w:rPr>
            <w:noProof/>
            <w:webHidden/>
          </w:rPr>
          <w:fldChar w:fldCharType="end"/>
        </w:r>
      </w:hyperlink>
    </w:p>
    <w:p w14:paraId="26860708" w14:textId="0474072F" w:rsidR="00B26F5B" w:rsidRDefault="006A0076">
      <w:pPr>
        <w:pStyle w:val="TOC3"/>
        <w:tabs>
          <w:tab w:val="right" w:leader="dot" w:pos="9629"/>
        </w:tabs>
        <w:rPr>
          <w:rFonts w:eastAsiaTheme="minorEastAsia" w:cstheme="minorBidi"/>
          <w:i w:val="0"/>
          <w:iCs w:val="0"/>
          <w:noProof/>
          <w:sz w:val="22"/>
          <w:szCs w:val="22"/>
          <w:lang w:val="en-US"/>
        </w:rPr>
      </w:pPr>
      <w:hyperlink w:anchor="_Toc111638449" w:history="1">
        <w:r w:rsidR="00B26F5B" w:rsidRPr="003771A2">
          <w:rPr>
            <w:rStyle w:val="Hyperlink"/>
            <w:noProof/>
            <w:lang w:val="en-GB"/>
          </w:rPr>
          <w:t xml:space="preserve">Use in the ITU Telecommunication Standardization Sector of  the languages of the Union on an equal </w:t>
        </w:r>
        <w:r w:rsidR="00AE0ADB">
          <w:rPr>
            <w:rStyle w:val="Hyperlink"/>
            <w:noProof/>
            <w:lang w:val="en-GB"/>
          </w:rPr>
          <w:br/>
        </w:r>
        <w:r w:rsidR="00B26F5B" w:rsidRPr="003771A2">
          <w:rPr>
            <w:rStyle w:val="Hyperlink"/>
            <w:noProof/>
            <w:lang w:val="en-GB"/>
          </w:rPr>
          <w:t>footing and the Standardization Committee for Vocabulary</w:t>
        </w:r>
      </w:hyperlink>
    </w:p>
    <w:p w14:paraId="7EC896B1" w14:textId="205FFB18" w:rsidR="00B26F5B" w:rsidRDefault="006A0076">
      <w:pPr>
        <w:pStyle w:val="TOC2"/>
        <w:tabs>
          <w:tab w:val="right" w:leader="dot" w:pos="9629"/>
        </w:tabs>
        <w:rPr>
          <w:rFonts w:eastAsiaTheme="minorEastAsia" w:cstheme="minorBidi"/>
          <w:smallCaps w:val="0"/>
          <w:noProof/>
          <w:sz w:val="22"/>
          <w:szCs w:val="22"/>
          <w:lang w:val="en-US"/>
        </w:rPr>
      </w:pPr>
      <w:hyperlink w:anchor="_Toc111638450" w:history="1">
        <w:r w:rsidR="00B26F5B" w:rsidRPr="003771A2">
          <w:rPr>
            <w:rStyle w:val="Hyperlink"/>
            <w:noProof/>
            <w:lang w:val="en-GB"/>
          </w:rPr>
          <w:t>RESOLUTION 68 (Rev. Hammamet, 2016)</w:t>
        </w:r>
        <w:r w:rsidR="00B26F5B">
          <w:rPr>
            <w:noProof/>
            <w:webHidden/>
          </w:rPr>
          <w:tab/>
        </w:r>
        <w:r w:rsidR="00B26F5B">
          <w:rPr>
            <w:noProof/>
            <w:webHidden/>
          </w:rPr>
          <w:fldChar w:fldCharType="begin"/>
        </w:r>
        <w:r w:rsidR="00B26F5B">
          <w:rPr>
            <w:noProof/>
            <w:webHidden/>
          </w:rPr>
          <w:instrText xml:space="preserve"> PAGEREF _Toc111638450 \h </w:instrText>
        </w:r>
        <w:r w:rsidR="00B26F5B">
          <w:rPr>
            <w:noProof/>
            <w:webHidden/>
          </w:rPr>
        </w:r>
        <w:r w:rsidR="00B26F5B">
          <w:rPr>
            <w:noProof/>
            <w:webHidden/>
          </w:rPr>
          <w:fldChar w:fldCharType="separate"/>
        </w:r>
        <w:r>
          <w:rPr>
            <w:noProof/>
            <w:webHidden/>
          </w:rPr>
          <w:t>159</w:t>
        </w:r>
        <w:r w:rsidR="00B26F5B">
          <w:rPr>
            <w:noProof/>
            <w:webHidden/>
          </w:rPr>
          <w:fldChar w:fldCharType="end"/>
        </w:r>
      </w:hyperlink>
    </w:p>
    <w:p w14:paraId="704A0DDE" w14:textId="196A338F" w:rsidR="00B26F5B" w:rsidRDefault="006A0076">
      <w:pPr>
        <w:pStyle w:val="TOC3"/>
        <w:tabs>
          <w:tab w:val="right" w:leader="dot" w:pos="9629"/>
        </w:tabs>
        <w:rPr>
          <w:rFonts w:eastAsiaTheme="minorEastAsia" w:cstheme="minorBidi"/>
          <w:i w:val="0"/>
          <w:iCs w:val="0"/>
          <w:noProof/>
          <w:sz w:val="22"/>
          <w:szCs w:val="22"/>
          <w:lang w:val="en-US"/>
        </w:rPr>
      </w:pPr>
      <w:hyperlink w:anchor="_Toc111638451" w:history="1">
        <w:r w:rsidR="00B26F5B" w:rsidRPr="003771A2">
          <w:rPr>
            <w:rStyle w:val="Hyperlink"/>
            <w:noProof/>
            <w:lang w:val="en-GB"/>
          </w:rPr>
          <w:t>Evolving role of industry in the ITU Telecommunication  Standardization Sector</w:t>
        </w:r>
      </w:hyperlink>
    </w:p>
    <w:p w14:paraId="6402EA5E" w14:textId="6B8AD573" w:rsidR="00B26F5B" w:rsidRDefault="006A0076">
      <w:pPr>
        <w:pStyle w:val="TOC2"/>
        <w:tabs>
          <w:tab w:val="right" w:leader="dot" w:pos="9629"/>
        </w:tabs>
        <w:rPr>
          <w:rFonts w:eastAsiaTheme="minorEastAsia" w:cstheme="minorBidi"/>
          <w:smallCaps w:val="0"/>
          <w:noProof/>
          <w:sz w:val="22"/>
          <w:szCs w:val="22"/>
          <w:lang w:val="en-US"/>
        </w:rPr>
      </w:pPr>
      <w:hyperlink w:anchor="_Toc111638452" w:history="1">
        <w:r w:rsidR="00B26F5B" w:rsidRPr="003771A2">
          <w:rPr>
            <w:rStyle w:val="Hyperlink"/>
            <w:noProof/>
            <w:lang w:val="en-GB"/>
          </w:rPr>
          <w:t>RESOLUTION 69 (Rev. Hammamet, 2016)</w:t>
        </w:r>
        <w:r w:rsidR="00B26F5B">
          <w:rPr>
            <w:noProof/>
            <w:webHidden/>
          </w:rPr>
          <w:tab/>
        </w:r>
        <w:r w:rsidR="00B26F5B">
          <w:rPr>
            <w:noProof/>
            <w:webHidden/>
          </w:rPr>
          <w:fldChar w:fldCharType="begin"/>
        </w:r>
        <w:r w:rsidR="00B26F5B">
          <w:rPr>
            <w:noProof/>
            <w:webHidden/>
          </w:rPr>
          <w:instrText xml:space="preserve"> PAGEREF _Toc111638452 \h </w:instrText>
        </w:r>
        <w:r w:rsidR="00B26F5B">
          <w:rPr>
            <w:noProof/>
            <w:webHidden/>
          </w:rPr>
        </w:r>
        <w:r w:rsidR="00B26F5B">
          <w:rPr>
            <w:noProof/>
            <w:webHidden/>
          </w:rPr>
          <w:fldChar w:fldCharType="separate"/>
        </w:r>
        <w:r>
          <w:rPr>
            <w:noProof/>
            <w:webHidden/>
          </w:rPr>
          <w:t>162</w:t>
        </w:r>
        <w:r w:rsidR="00B26F5B">
          <w:rPr>
            <w:noProof/>
            <w:webHidden/>
          </w:rPr>
          <w:fldChar w:fldCharType="end"/>
        </w:r>
      </w:hyperlink>
    </w:p>
    <w:p w14:paraId="5EE60791" w14:textId="1A48B098" w:rsidR="00B26F5B" w:rsidRDefault="006A0076">
      <w:pPr>
        <w:pStyle w:val="TOC3"/>
        <w:tabs>
          <w:tab w:val="right" w:leader="dot" w:pos="9629"/>
        </w:tabs>
        <w:rPr>
          <w:rFonts w:eastAsiaTheme="minorEastAsia" w:cstheme="minorBidi"/>
          <w:i w:val="0"/>
          <w:iCs w:val="0"/>
          <w:noProof/>
          <w:sz w:val="22"/>
          <w:szCs w:val="22"/>
          <w:lang w:val="en-US"/>
        </w:rPr>
      </w:pPr>
      <w:hyperlink w:anchor="_Toc111638453" w:history="1">
        <w:r w:rsidR="00B26F5B" w:rsidRPr="003771A2">
          <w:rPr>
            <w:rStyle w:val="Hyperlink"/>
            <w:noProof/>
            <w:lang w:val="en-GB"/>
          </w:rPr>
          <w:t>Non</w:t>
        </w:r>
        <w:r w:rsidR="00B26F5B" w:rsidRPr="003771A2">
          <w:rPr>
            <w:rStyle w:val="Hyperlink"/>
            <w:noProof/>
            <w:lang w:val="en-GB"/>
          </w:rPr>
          <w:noBreakHyphen/>
          <w:t>discriminatory access and use of Internet resources and telecommunications/information and communication technologies</w:t>
        </w:r>
      </w:hyperlink>
    </w:p>
    <w:p w14:paraId="39BD2356" w14:textId="49F8F489" w:rsidR="00B26F5B" w:rsidRDefault="006A0076">
      <w:pPr>
        <w:pStyle w:val="TOC2"/>
        <w:tabs>
          <w:tab w:val="right" w:leader="dot" w:pos="9629"/>
        </w:tabs>
        <w:rPr>
          <w:rFonts w:eastAsiaTheme="minorEastAsia" w:cstheme="minorBidi"/>
          <w:smallCaps w:val="0"/>
          <w:noProof/>
          <w:sz w:val="22"/>
          <w:szCs w:val="22"/>
          <w:lang w:val="en-US"/>
        </w:rPr>
      </w:pPr>
      <w:hyperlink w:anchor="_Toc111638454" w:history="1">
        <w:r w:rsidR="00B26F5B" w:rsidRPr="003771A2">
          <w:rPr>
            <w:rStyle w:val="Hyperlink"/>
            <w:noProof/>
            <w:lang w:val="en-GB"/>
          </w:rPr>
          <w:t>RESOLUTION 70 (Rev. Geneva, 2022)</w:t>
        </w:r>
        <w:r w:rsidR="00B26F5B">
          <w:rPr>
            <w:noProof/>
            <w:webHidden/>
          </w:rPr>
          <w:tab/>
        </w:r>
        <w:r w:rsidR="00B26F5B">
          <w:rPr>
            <w:noProof/>
            <w:webHidden/>
          </w:rPr>
          <w:fldChar w:fldCharType="begin"/>
        </w:r>
        <w:r w:rsidR="00B26F5B">
          <w:rPr>
            <w:noProof/>
            <w:webHidden/>
          </w:rPr>
          <w:instrText xml:space="preserve"> PAGEREF _Toc111638454 \h </w:instrText>
        </w:r>
        <w:r w:rsidR="00B26F5B">
          <w:rPr>
            <w:noProof/>
            <w:webHidden/>
          </w:rPr>
        </w:r>
        <w:r w:rsidR="00B26F5B">
          <w:rPr>
            <w:noProof/>
            <w:webHidden/>
          </w:rPr>
          <w:fldChar w:fldCharType="separate"/>
        </w:r>
        <w:r>
          <w:rPr>
            <w:noProof/>
            <w:webHidden/>
          </w:rPr>
          <w:t>165</w:t>
        </w:r>
        <w:r w:rsidR="00B26F5B">
          <w:rPr>
            <w:noProof/>
            <w:webHidden/>
          </w:rPr>
          <w:fldChar w:fldCharType="end"/>
        </w:r>
      </w:hyperlink>
    </w:p>
    <w:p w14:paraId="28017608" w14:textId="71AB812C" w:rsidR="00B26F5B" w:rsidRDefault="006A0076">
      <w:pPr>
        <w:pStyle w:val="TOC3"/>
        <w:tabs>
          <w:tab w:val="right" w:leader="dot" w:pos="9629"/>
        </w:tabs>
        <w:rPr>
          <w:rFonts w:eastAsiaTheme="minorEastAsia" w:cstheme="minorBidi"/>
          <w:i w:val="0"/>
          <w:iCs w:val="0"/>
          <w:noProof/>
          <w:sz w:val="22"/>
          <w:szCs w:val="22"/>
          <w:lang w:val="en-US"/>
        </w:rPr>
      </w:pPr>
      <w:hyperlink w:anchor="_Toc111638455" w:history="1">
        <w:r w:rsidR="00B26F5B" w:rsidRPr="003771A2">
          <w:rPr>
            <w:rStyle w:val="Hyperlink"/>
            <w:noProof/>
            <w:lang w:val="en-GB"/>
          </w:rPr>
          <w:t xml:space="preserve">Telecommunication/information and communication technology  accessibility for persons with disabilities </w:t>
        </w:r>
        <w:r w:rsidR="00AE0ADB">
          <w:rPr>
            <w:rStyle w:val="Hyperlink"/>
            <w:noProof/>
            <w:lang w:val="en-GB"/>
          </w:rPr>
          <w:br/>
        </w:r>
        <w:r w:rsidR="00B26F5B" w:rsidRPr="003771A2">
          <w:rPr>
            <w:rStyle w:val="Hyperlink"/>
            <w:noProof/>
            <w:lang w:val="en-GB"/>
          </w:rPr>
          <w:t>and persons  with specific needs</w:t>
        </w:r>
      </w:hyperlink>
    </w:p>
    <w:p w14:paraId="5B19D7F0" w14:textId="59CCC63F" w:rsidR="00B26F5B" w:rsidRDefault="006A0076">
      <w:pPr>
        <w:pStyle w:val="TOC2"/>
        <w:tabs>
          <w:tab w:val="right" w:leader="dot" w:pos="9629"/>
        </w:tabs>
        <w:rPr>
          <w:rFonts w:eastAsiaTheme="minorEastAsia" w:cstheme="minorBidi"/>
          <w:smallCaps w:val="0"/>
          <w:noProof/>
          <w:sz w:val="22"/>
          <w:szCs w:val="22"/>
          <w:lang w:val="en-US"/>
        </w:rPr>
      </w:pPr>
      <w:hyperlink w:anchor="_Toc111638456" w:history="1">
        <w:r w:rsidR="00B26F5B" w:rsidRPr="003771A2">
          <w:rPr>
            <w:rStyle w:val="Hyperlink"/>
            <w:noProof/>
            <w:lang w:val="en-GB"/>
          </w:rPr>
          <w:t>RESOLUTION 72 (Rev. Geneva, 2022)</w:t>
        </w:r>
        <w:r w:rsidR="00B26F5B">
          <w:rPr>
            <w:noProof/>
            <w:webHidden/>
          </w:rPr>
          <w:tab/>
        </w:r>
        <w:r w:rsidR="00B26F5B">
          <w:rPr>
            <w:noProof/>
            <w:webHidden/>
          </w:rPr>
          <w:fldChar w:fldCharType="begin"/>
        </w:r>
        <w:r w:rsidR="00B26F5B">
          <w:rPr>
            <w:noProof/>
            <w:webHidden/>
          </w:rPr>
          <w:instrText xml:space="preserve"> PAGEREF _Toc111638456 \h </w:instrText>
        </w:r>
        <w:r w:rsidR="00B26F5B">
          <w:rPr>
            <w:noProof/>
            <w:webHidden/>
          </w:rPr>
        </w:r>
        <w:r w:rsidR="00B26F5B">
          <w:rPr>
            <w:noProof/>
            <w:webHidden/>
          </w:rPr>
          <w:fldChar w:fldCharType="separate"/>
        </w:r>
        <w:r>
          <w:rPr>
            <w:noProof/>
            <w:webHidden/>
          </w:rPr>
          <w:t>171</w:t>
        </w:r>
        <w:r w:rsidR="00B26F5B">
          <w:rPr>
            <w:noProof/>
            <w:webHidden/>
          </w:rPr>
          <w:fldChar w:fldCharType="end"/>
        </w:r>
      </w:hyperlink>
    </w:p>
    <w:p w14:paraId="097DF386" w14:textId="5B875989" w:rsidR="00B26F5B" w:rsidRDefault="006A0076">
      <w:pPr>
        <w:pStyle w:val="TOC3"/>
        <w:tabs>
          <w:tab w:val="right" w:leader="dot" w:pos="9629"/>
        </w:tabs>
        <w:rPr>
          <w:rFonts w:eastAsiaTheme="minorEastAsia" w:cstheme="minorBidi"/>
          <w:i w:val="0"/>
          <w:iCs w:val="0"/>
          <w:noProof/>
          <w:sz w:val="22"/>
          <w:szCs w:val="22"/>
          <w:lang w:val="en-US"/>
        </w:rPr>
      </w:pPr>
      <w:hyperlink w:anchor="_Toc111638457" w:history="1">
        <w:r w:rsidR="00B26F5B" w:rsidRPr="003771A2">
          <w:rPr>
            <w:rStyle w:val="Hyperlink"/>
            <w:noProof/>
            <w:lang w:val="en-GB"/>
          </w:rPr>
          <w:t>Measurement and assessment concerns related to human exposure to electromagnetic fields</w:t>
        </w:r>
      </w:hyperlink>
    </w:p>
    <w:p w14:paraId="3FF40D48" w14:textId="2A2A9524" w:rsidR="00B26F5B" w:rsidRDefault="006A0076">
      <w:pPr>
        <w:pStyle w:val="TOC2"/>
        <w:tabs>
          <w:tab w:val="right" w:leader="dot" w:pos="9629"/>
        </w:tabs>
        <w:rPr>
          <w:rFonts w:eastAsiaTheme="minorEastAsia" w:cstheme="minorBidi"/>
          <w:smallCaps w:val="0"/>
          <w:noProof/>
          <w:sz w:val="22"/>
          <w:szCs w:val="22"/>
          <w:lang w:val="en-US"/>
        </w:rPr>
      </w:pPr>
      <w:hyperlink w:anchor="_Toc111638458" w:history="1">
        <w:r w:rsidR="00B26F5B" w:rsidRPr="003771A2">
          <w:rPr>
            <w:rStyle w:val="Hyperlink"/>
            <w:noProof/>
            <w:lang w:val="en-GB"/>
          </w:rPr>
          <w:t>RESOLUTION 73 (Rev. Geneva, 2022)</w:t>
        </w:r>
        <w:r w:rsidR="00B26F5B">
          <w:rPr>
            <w:noProof/>
            <w:webHidden/>
          </w:rPr>
          <w:tab/>
        </w:r>
        <w:r w:rsidR="00B26F5B">
          <w:rPr>
            <w:noProof/>
            <w:webHidden/>
          </w:rPr>
          <w:fldChar w:fldCharType="begin"/>
        </w:r>
        <w:r w:rsidR="00B26F5B">
          <w:rPr>
            <w:noProof/>
            <w:webHidden/>
          </w:rPr>
          <w:instrText xml:space="preserve"> PAGEREF _Toc111638458 \h </w:instrText>
        </w:r>
        <w:r w:rsidR="00B26F5B">
          <w:rPr>
            <w:noProof/>
            <w:webHidden/>
          </w:rPr>
        </w:r>
        <w:r w:rsidR="00B26F5B">
          <w:rPr>
            <w:noProof/>
            <w:webHidden/>
          </w:rPr>
          <w:fldChar w:fldCharType="separate"/>
        </w:r>
        <w:r>
          <w:rPr>
            <w:noProof/>
            <w:webHidden/>
          </w:rPr>
          <w:t>176</w:t>
        </w:r>
        <w:r w:rsidR="00B26F5B">
          <w:rPr>
            <w:noProof/>
            <w:webHidden/>
          </w:rPr>
          <w:fldChar w:fldCharType="end"/>
        </w:r>
      </w:hyperlink>
    </w:p>
    <w:p w14:paraId="10AE6670" w14:textId="7282D3FA" w:rsidR="00B26F5B" w:rsidRDefault="006A0076">
      <w:pPr>
        <w:pStyle w:val="TOC3"/>
        <w:tabs>
          <w:tab w:val="right" w:leader="dot" w:pos="9629"/>
        </w:tabs>
        <w:rPr>
          <w:rFonts w:eastAsiaTheme="minorEastAsia" w:cstheme="minorBidi"/>
          <w:i w:val="0"/>
          <w:iCs w:val="0"/>
          <w:noProof/>
          <w:sz w:val="22"/>
          <w:szCs w:val="22"/>
          <w:lang w:val="en-US"/>
        </w:rPr>
      </w:pPr>
      <w:hyperlink w:anchor="_Toc111638459" w:history="1">
        <w:r w:rsidR="00B26F5B" w:rsidRPr="003771A2">
          <w:rPr>
            <w:rStyle w:val="Hyperlink"/>
            <w:noProof/>
            <w:lang w:val="en-GB"/>
          </w:rPr>
          <w:t>Information and communication technologies, environment,  climate change and circular economy</w:t>
        </w:r>
      </w:hyperlink>
    </w:p>
    <w:p w14:paraId="0D9CA404" w14:textId="5BB6D494" w:rsidR="00B26F5B" w:rsidRDefault="006A0076">
      <w:pPr>
        <w:pStyle w:val="TOC2"/>
        <w:tabs>
          <w:tab w:val="right" w:leader="dot" w:pos="9629"/>
        </w:tabs>
        <w:rPr>
          <w:rFonts w:eastAsiaTheme="minorEastAsia" w:cstheme="minorBidi"/>
          <w:smallCaps w:val="0"/>
          <w:noProof/>
          <w:sz w:val="22"/>
          <w:szCs w:val="22"/>
          <w:lang w:val="en-US"/>
        </w:rPr>
      </w:pPr>
      <w:hyperlink w:anchor="_Toc111638460" w:history="1">
        <w:r w:rsidR="00B26F5B" w:rsidRPr="003771A2">
          <w:rPr>
            <w:rStyle w:val="Hyperlink"/>
            <w:noProof/>
            <w:lang w:val="en-GB"/>
          </w:rPr>
          <w:t>RESOLUTION 74 (Rev. Geneva, 2022)</w:t>
        </w:r>
        <w:r w:rsidR="00B26F5B">
          <w:rPr>
            <w:noProof/>
            <w:webHidden/>
          </w:rPr>
          <w:tab/>
        </w:r>
        <w:r w:rsidR="00B26F5B">
          <w:rPr>
            <w:noProof/>
            <w:webHidden/>
          </w:rPr>
          <w:fldChar w:fldCharType="begin"/>
        </w:r>
        <w:r w:rsidR="00B26F5B">
          <w:rPr>
            <w:noProof/>
            <w:webHidden/>
          </w:rPr>
          <w:instrText xml:space="preserve"> PAGEREF _Toc111638460 \h </w:instrText>
        </w:r>
        <w:r w:rsidR="00B26F5B">
          <w:rPr>
            <w:noProof/>
            <w:webHidden/>
          </w:rPr>
        </w:r>
        <w:r w:rsidR="00B26F5B">
          <w:rPr>
            <w:noProof/>
            <w:webHidden/>
          </w:rPr>
          <w:fldChar w:fldCharType="separate"/>
        </w:r>
        <w:r>
          <w:rPr>
            <w:noProof/>
            <w:webHidden/>
          </w:rPr>
          <w:t>181</w:t>
        </w:r>
        <w:r w:rsidR="00B26F5B">
          <w:rPr>
            <w:noProof/>
            <w:webHidden/>
          </w:rPr>
          <w:fldChar w:fldCharType="end"/>
        </w:r>
      </w:hyperlink>
    </w:p>
    <w:p w14:paraId="4D4CF250" w14:textId="200B1DA6" w:rsidR="00B26F5B" w:rsidRDefault="006A0076">
      <w:pPr>
        <w:pStyle w:val="TOC3"/>
        <w:tabs>
          <w:tab w:val="right" w:leader="dot" w:pos="9629"/>
        </w:tabs>
        <w:rPr>
          <w:rFonts w:eastAsiaTheme="minorEastAsia" w:cstheme="minorBidi"/>
          <w:i w:val="0"/>
          <w:iCs w:val="0"/>
          <w:noProof/>
          <w:sz w:val="22"/>
          <w:szCs w:val="22"/>
          <w:lang w:val="en-US"/>
        </w:rPr>
      </w:pPr>
      <w:hyperlink w:anchor="_Toc111638461" w:history="1">
        <w:r w:rsidR="00B26F5B" w:rsidRPr="003771A2">
          <w:rPr>
            <w:rStyle w:val="Hyperlink"/>
            <w:noProof/>
            <w:lang w:val="en-GB"/>
          </w:rPr>
          <w:t xml:space="preserve">Enhancing participation of Sector Members from developing countries in the work of the ITU </w:t>
        </w:r>
        <w:r w:rsidR="00AE0ADB">
          <w:rPr>
            <w:rStyle w:val="Hyperlink"/>
            <w:noProof/>
            <w:lang w:val="en-GB"/>
          </w:rPr>
          <w:br/>
        </w:r>
        <w:r w:rsidR="00B26F5B" w:rsidRPr="003771A2">
          <w:rPr>
            <w:rStyle w:val="Hyperlink"/>
            <w:noProof/>
            <w:lang w:val="en-GB"/>
          </w:rPr>
          <w:t>Telecommunication Standardization Sector</w:t>
        </w:r>
      </w:hyperlink>
    </w:p>
    <w:p w14:paraId="1BF8BE22" w14:textId="536B05CE" w:rsidR="00B26F5B" w:rsidRDefault="006A0076">
      <w:pPr>
        <w:pStyle w:val="TOC2"/>
        <w:tabs>
          <w:tab w:val="right" w:leader="dot" w:pos="9629"/>
        </w:tabs>
        <w:rPr>
          <w:rFonts w:eastAsiaTheme="minorEastAsia" w:cstheme="minorBidi"/>
          <w:smallCaps w:val="0"/>
          <w:noProof/>
          <w:sz w:val="22"/>
          <w:szCs w:val="22"/>
          <w:lang w:val="en-US"/>
        </w:rPr>
      </w:pPr>
      <w:hyperlink w:anchor="_Toc111638462" w:history="1">
        <w:r w:rsidR="00B26F5B" w:rsidRPr="003771A2">
          <w:rPr>
            <w:rStyle w:val="Hyperlink"/>
            <w:noProof/>
            <w:lang w:val="en-GB"/>
          </w:rPr>
          <w:t>RESOLUTION 75 (Rev. Geneva, 2022)</w:t>
        </w:r>
        <w:r w:rsidR="00B26F5B">
          <w:rPr>
            <w:noProof/>
            <w:webHidden/>
          </w:rPr>
          <w:tab/>
        </w:r>
        <w:r w:rsidR="00B26F5B">
          <w:rPr>
            <w:noProof/>
            <w:webHidden/>
          </w:rPr>
          <w:fldChar w:fldCharType="begin"/>
        </w:r>
        <w:r w:rsidR="00B26F5B">
          <w:rPr>
            <w:noProof/>
            <w:webHidden/>
          </w:rPr>
          <w:instrText xml:space="preserve"> PAGEREF _Toc111638462 \h </w:instrText>
        </w:r>
        <w:r w:rsidR="00B26F5B">
          <w:rPr>
            <w:noProof/>
            <w:webHidden/>
          </w:rPr>
        </w:r>
        <w:r w:rsidR="00B26F5B">
          <w:rPr>
            <w:noProof/>
            <w:webHidden/>
          </w:rPr>
          <w:fldChar w:fldCharType="separate"/>
        </w:r>
        <w:r>
          <w:rPr>
            <w:noProof/>
            <w:webHidden/>
          </w:rPr>
          <w:t>183</w:t>
        </w:r>
        <w:r w:rsidR="00B26F5B">
          <w:rPr>
            <w:noProof/>
            <w:webHidden/>
          </w:rPr>
          <w:fldChar w:fldCharType="end"/>
        </w:r>
      </w:hyperlink>
    </w:p>
    <w:p w14:paraId="30A2D460" w14:textId="657D3EA5" w:rsidR="00B26F5B" w:rsidRDefault="006A0076">
      <w:pPr>
        <w:pStyle w:val="TOC3"/>
        <w:tabs>
          <w:tab w:val="right" w:leader="dot" w:pos="9629"/>
        </w:tabs>
        <w:rPr>
          <w:rFonts w:eastAsiaTheme="minorEastAsia" w:cstheme="minorBidi"/>
          <w:i w:val="0"/>
          <w:iCs w:val="0"/>
          <w:noProof/>
          <w:sz w:val="22"/>
          <w:szCs w:val="22"/>
          <w:lang w:val="en-US"/>
        </w:rPr>
      </w:pPr>
      <w:hyperlink w:anchor="_Toc111638463" w:history="1">
        <w:r w:rsidR="00B26F5B" w:rsidRPr="003771A2">
          <w:rPr>
            <w:rStyle w:val="Hyperlink"/>
            <w:noProof/>
            <w:lang w:val="en-GB"/>
          </w:rPr>
          <w:t xml:space="preserve">The ITU Telecommunication Standardization Sector's contribution in implementing the outcomes of the </w:t>
        </w:r>
        <w:r w:rsidR="00AE0ADB">
          <w:rPr>
            <w:rStyle w:val="Hyperlink"/>
            <w:noProof/>
            <w:lang w:val="en-GB"/>
          </w:rPr>
          <w:br/>
        </w:r>
        <w:r w:rsidR="00B26F5B" w:rsidRPr="003771A2">
          <w:rPr>
            <w:rStyle w:val="Hyperlink"/>
            <w:noProof/>
            <w:lang w:val="en-GB"/>
          </w:rPr>
          <w:t>World Summit on the Information Society, taking into account the 2030 Agenda for Sustainable Development</w:t>
        </w:r>
      </w:hyperlink>
    </w:p>
    <w:p w14:paraId="71BA3F4A" w14:textId="380A15BD" w:rsidR="00B26F5B" w:rsidRDefault="006A0076">
      <w:pPr>
        <w:pStyle w:val="TOC2"/>
        <w:tabs>
          <w:tab w:val="right" w:leader="dot" w:pos="9629"/>
        </w:tabs>
        <w:rPr>
          <w:rFonts w:eastAsiaTheme="minorEastAsia" w:cstheme="minorBidi"/>
          <w:smallCaps w:val="0"/>
          <w:noProof/>
          <w:sz w:val="22"/>
          <w:szCs w:val="22"/>
          <w:lang w:val="en-US"/>
        </w:rPr>
      </w:pPr>
      <w:hyperlink w:anchor="_Toc111638464" w:history="1">
        <w:r w:rsidR="00B26F5B" w:rsidRPr="003771A2">
          <w:rPr>
            <w:rStyle w:val="Hyperlink"/>
            <w:noProof/>
            <w:lang w:val="en-GB"/>
          </w:rPr>
          <w:t>RESOLUTION 76 (Rev. Geneva, 2022)</w:t>
        </w:r>
        <w:r w:rsidR="00B26F5B">
          <w:rPr>
            <w:noProof/>
            <w:webHidden/>
          </w:rPr>
          <w:tab/>
        </w:r>
        <w:r w:rsidR="00B26F5B">
          <w:rPr>
            <w:noProof/>
            <w:webHidden/>
          </w:rPr>
          <w:fldChar w:fldCharType="begin"/>
        </w:r>
        <w:r w:rsidR="00B26F5B">
          <w:rPr>
            <w:noProof/>
            <w:webHidden/>
          </w:rPr>
          <w:instrText xml:space="preserve"> PAGEREF _Toc111638464 \h </w:instrText>
        </w:r>
        <w:r w:rsidR="00B26F5B">
          <w:rPr>
            <w:noProof/>
            <w:webHidden/>
          </w:rPr>
        </w:r>
        <w:r w:rsidR="00B26F5B">
          <w:rPr>
            <w:noProof/>
            <w:webHidden/>
          </w:rPr>
          <w:fldChar w:fldCharType="separate"/>
        </w:r>
        <w:r>
          <w:rPr>
            <w:noProof/>
            <w:webHidden/>
          </w:rPr>
          <w:t>189</w:t>
        </w:r>
        <w:r w:rsidR="00B26F5B">
          <w:rPr>
            <w:noProof/>
            <w:webHidden/>
          </w:rPr>
          <w:fldChar w:fldCharType="end"/>
        </w:r>
      </w:hyperlink>
    </w:p>
    <w:p w14:paraId="111AE09D" w14:textId="10D93BE0" w:rsidR="00B26F5B" w:rsidRDefault="006A0076">
      <w:pPr>
        <w:pStyle w:val="TOC3"/>
        <w:tabs>
          <w:tab w:val="right" w:leader="dot" w:pos="9629"/>
        </w:tabs>
        <w:rPr>
          <w:rFonts w:eastAsiaTheme="minorEastAsia" w:cstheme="minorBidi"/>
          <w:i w:val="0"/>
          <w:iCs w:val="0"/>
          <w:noProof/>
          <w:sz w:val="22"/>
          <w:szCs w:val="22"/>
          <w:lang w:val="en-US"/>
        </w:rPr>
      </w:pPr>
      <w:hyperlink w:anchor="_Toc111638465" w:history="1">
        <w:r w:rsidR="00B26F5B" w:rsidRPr="003771A2">
          <w:rPr>
            <w:rStyle w:val="Hyperlink"/>
            <w:noProof/>
            <w:lang w:val="en-GB"/>
          </w:rPr>
          <w:t xml:space="preserve">Studies related to conformance and interoperability testing, assistance to developing countries, and a </w:t>
        </w:r>
        <w:r w:rsidR="00AE0ADB">
          <w:rPr>
            <w:rStyle w:val="Hyperlink"/>
            <w:noProof/>
            <w:lang w:val="en-GB"/>
          </w:rPr>
          <w:br/>
        </w:r>
        <w:r w:rsidR="00B26F5B" w:rsidRPr="003771A2">
          <w:rPr>
            <w:rStyle w:val="Hyperlink"/>
            <w:noProof/>
            <w:lang w:val="en-GB"/>
          </w:rPr>
          <w:t>possible future ITU Mark programme</w:t>
        </w:r>
      </w:hyperlink>
    </w:p>
    <w:p w14:paraId="57354EAA" w14:textId="77777777" w:rsidR="00AE0ADB" w:rsidRDefault="00AE0ADB">
      <w:pPr>
        <w:pStyle w:val="TOC2"/>
        <w:tabs>
          <w:tab w:val="right" w:leader="dot" w:pos="9629"/>
        </w:tabs>
        <w:rPr>
          <w:noProof/>
        </w:rPr>
      </w:pPr>
      <w:r>
        <w:rPr>
          <w:noProof/>
        </w:rPr>
        <w:br w:type="page"/>
      </w:r>
    </w:p>
    <w:p w14:paraId="4F279BB6" w14:textId="31CEFBC2" w:rsidR="00B26F5B" w:rsidRDefault="006A0076">
      <w:pPr>
        <w:pStyle w:val="TOC2"/>
        <w:tabs>
          <w:tab w:val="right" w:leader="dot" w:pos="9629"/>
        </w:tabs>
        <w:rPr>
          <w:rFonts w:eastAsiaTheme="minorEastAsia" w:cstheme="minorBidi"/>
          <w:smallCaps w:val="0"/>
          <w:noProof/>
          <w:sz w:val="22"/>
          <w:szCs w:val="22"/>
          <w:lang w:val="en-US"/>
        </w:rPr>
      </w:pPr>
      <w:hyperlink w:anchor="_Toc111638466" w:history="1">
        <w:r w:rsidR="00B26F5B" w:rsidRPr="003771A2">
          <w:rPr>
            <w:rStyle w:val="Hyperlink"/>
            <w:noProof/>
            <w:lang w:val="en-GB"/>
          </w:rPr>
          <w:t>RESOLUTION 77 (Rev. Hammamet, 2016)</w:t>
        </w:r>
        <w:r w:rsidR="00B26F5B">
          <w:rPr>
            <w:noProof/>
            <w:webHidden/>
          </w:rPr>
          <w:tab/>
        </w:r>
        <w:r w:rsidR="00B26F5B">
          <w:rPr>
            <w:noProof/>
            <w:webHidden/>
          </w:rPr>
          <w:fldChar w:fldCharType="begin"/>
        </w:r>
        <w:r w:rsidR="00B26F5B">
          <w:rPr>
            <w:noProof/>
            <w:webHidden/>
          </w:rPr>
          <w:instrText xml:space="preserve"> PAGEREF _Toc111638466 \h </w:instrText>
        </w:r>
        <w:r w:rsidR="00B26F5B">
          <w:rPr>
            <w:noProof/>
            <w:webHidden/>
          </w:rPr>
        </w:r>
        <w:r w:rsidR="00B26F5B">
          <w:rPr>
            <w:noProof/>
            <w:webHidden/>
          </w:rPr>
          <w:fldChar w:fldCharType="separate"/>
        </w:r>
        <w:r>
          <w:rPr>
            <w:noProof/>
            <w:webHidden/>
          </w:rPr>
          <w:t>195</w:t>
        </w:r>
        <w:r w:rsidR="00B26F5B">
          <w:rPr>
            <w:noProof/>
            <w:webHidden/>
          </w:rPr>
          <w:fldChar w:fldCharType="end"/>
        </w:r>
      </w:hyperlink>
    </w:p>
    <w:p w14:paraId="3D8D6331" w14:textId="78DAC47B" w:rsidR="00B26F5B" w:rsidRDefault="006A0076">
      <w:pPr>
        <w:pStyle w:val="TOC3"/>
        <w:tabs>
          <w:tab w:val="right" w:leader="dot" w:pos="9629"/>
        </w:tabs>
        <w:rPr>
          <w:rFonts w:eastAsiaTheme="minorEastAsia" w:cstheme="minorBidi"/>
          <w:i w:val="0"/>
          <w:iCs w:val="0"/>
          <w:noProof/>
          <w:sz w:val="22"/>
          <w:szCs w:val="22"/>
          <w:lang w:val="en-US"/>
        </w:rPr>
      </w:pPr>
      <w:hyperlink w:anchor="_Toc111638467" w:history="1">
        <w:r w:rsidR="00B26F5B" w:rsidRPr="003771A2">
          <w:rPr>
            <w:rStyle w:val="Hyperlink"/>
            <w:noProof/>
            <w:lang w:val="en-GB"/>
          </w:rPr>
          <w:t>Enhancing the standardization work in the ITU Telecommunication Standardization Sector for software-</w:t>
        </w:r>
        <w:r w:rsidR="00AE0ADB">
          <w:rPr>
            <w:rStyle w:val="Hyperlink"/>
            <w:noProof/>
            <w:lang w:val="en-GB"/>
          </w:rPr>
          <w:br/>
        </w:r>
        <w:r w:rsidR="00B26F5B" w:rsidRPr="003771A2">
          <w:rPr>
            <w:rStyle w:val="Hyperlink"/>
            <w:noProof/>
            <w:lang w:val="en-GB"/>
          </w:rPr>
          <w:t>defined networking</w:t>
        </w:r>
      </w:hyperlink>
    </w:p>
    <w:p w14:paraId="742332FA" w14:textId="62FCBAC9" w:rsidR="00B26F5B" w:rsidRDefault="006A0076">
      <w:pPr>
        <w:pStyle w:val="TOC2"/>
        <w:tabs>
          <w:tab w:val="right" w:leader="dot" w:pos="9629"/>
        </w:tabs>
        <w:rPr>
          <w:rFonts w:eastAsiaTheme="minorEastAsia" w:cstheme="minorBidi"/>
          <w:smallCaps w:val="0"/>
          <w:noProof/>
          <w:sz w:val="22"/>
          <w:szCs w:val="22"/>
          <w:lang w:val="en-US"/>
        </w:rPr>
      </w:pPr>
      <w:hyperlink w:anchor="_Toc111638468" w:history="1">
        <w:r w:rsidR="00B26F5B" w:rsidRPr="003771A2">
          <w:rPr>
            <w:rStyle w:val="Hyperlink"/>
            <w:noProof/>
            <w:lang w:val="en-GB"/>
          </w:rPr>
          <w:t>RESOLUTION 78 (Rev. Geneva, 2022)</w:t>
        </w:r>
        <w:r w:rsidR="00B26F5B">
          <w:rPr>
            <w:noProof/>
            <w:webHidden/>
          </w:rPr>
          <w:tab/>
        </w:r>
        <w:r w:rsidR="00B26F5B">
          <w:rPr>
            <w:noProof/>
            <w:webHidden/>
          </w:rPr>
          <w:fldChar w:fldCharType="begin"/>
        </w:r>
        <w:r w:rsidR="00B26F5B">
          <w:rPr>
            <w:noProof/>
            <w:webHidden/>
          </w:rPr>
          <w:instrText xml:space="preserve"> PAGEREF _Toc111638468 \h </w:instrText>
        </w:r>
        <w:r w:rsidR="00B26F5B">
          <w:rPr>
            <w:noProof/>
            <w:webHidden/>
          </w:rPr>
        </w:r>
        <w:r w:rsidR="00B26F5B">
          <w:rPr>
            <w:noProof/>
            <w:webHidden/>
          </w:rPr>
          <w:fldChar w:fldCharType="separate"/>
        </w:r>
        <w:r>
          <w:rPr>
            <w:noProof/>
            <w:webHidden/>
          </w:rPr>
          <w:t>198</w:t>
        </w:r>
        <w:r w:rsidR="00B26F5B">
          <w:rPr>
            <w:noProof/>
            <w:webHidden/>
          </w:rPr>
          <w:fldChar w:fldCharType="end"/>
        </w:r>
      </w:hyperlink>
    </w:p>
    <w:p w14:paraId="05679B68" w14:textId="7BB0A727" w:rsidR="00B26F5B" w:rsidRDefault="006A0076">
      <w:pPr>
        <w:pStyle w:val="TOC3"/>
        <w:tabs>
          <w:tab w:val="right" w:leader="dot" w:pos="9629"/>
        </w:tabs>
        <w:rPr>
          <w:rFonts w:eastAsiaTheme="minorEastAsia" w:cstheme="minorBidi"/>
          <w:i w:val="0"/>
          <w:iCs w:val="0"/>
          <w:noProof/>
          <w:sz w:val="22"/>
          <w:szCs w:val="22"/>
          <w:lang w:val="en-US"/>
        </w:rPr>
      </w:pPr>
      <w:hyperlink w:anchor="_Toc111638469" w:history="1">
        <w:r w:rsidR="00B26F5B" w:rsidRPr="003771A2">
          <w:rPr>
            <w:rStyle w:val="Hyperlink"/>
            <w:noProof/>
            <w:lang w:val="en-GB"/>
          </w:rPr>
          <w:t xml:space="preserve">Information and communication technology applications and standards for improved access to e-health </w:t>
        </w:r>
        <w:r w:rsidR="00AE0ADB">
          <w:rPr>
            <w:rStyle w:val="Hyperlink"/>
            <w:noProof/>
            <w:lang w:val="en-GB"/>
          </w:rPr>
          <w:br/>
        </w:r>
        <w:r w:rsidR="00B26F5B" w:rsidRPr="003771A2">
          <w:rPr>
            <w:rStyle w:val="Hyperlink"/>
            <w:noProof/>
            <w:lang w:val="en-GB"/>
          </w:rPr>
          <w:t>services</w:t>
        </w:r>
      </w:hyperlink>
    </w:p>
    <w:p w14:paraId="72C19E8C" w14:textId="6FD55A85" w:rsidR="00B26F5B" w:rsidRDefault="006A0076">
      <w:pPr>
        <w:pStyle w:val="TOC2"/>
        <w:tabs>
          <w:tab w:val="right" w:leader="dot" w:pos="9629"/>
        </w:tabs>
        <w:rPr>
          <w:rFonts w:eastAsiaTheme="minorEastAsia" w:cstheme="minorBidi"/>
          <w:smallCaps w:val="0"/>
          <w:noProof/>
          <w:sz w:val="22"/>
          <w:szCs w:val="22"/>
          <w:lang w:val="en-US"/>
        </w:rPr>
      </w:pPr>
      <w:hyperlink w:anchor="_Toc111638470" w:history="1">
        <w:r w:rsidR="00B26F5B" w:rsidRPr="003771A2">
          <w:rPr>
            <w:rStyle w:val="Hyperlink"/>
            <w:noProof/>
            <w:lang w:val="en-GB"/>
          </w:rPr>
          <w:t>RESOLUTION 79 (Rev. Geneva, 2022)</w:t>
        </w:r>
        <w:r w:rsidR="00B26F5B">
          <w:rPr>
            <w:noProof/>
            <w:webHidden/>
          </w:rPr>
          <w:tab/>
        </w:r>
        <w:r w:rsidR="00B26F5B">
          <w:rPr>
            <w:noProof/>
            <w:webHidden/>
          </w:rPr>
          <w:fldChar w:fldCharType="begin"/>
        </w:r>
        <w:r w:rsidR="00B26F5B">
          <w:rPr>
            <w:noProof/>
            <w:webHidden/>
          </w:rPr>
          <w:instrText xml:space="preserve"> PAGEREF _Toc111638470 \h </w:instrText>
        </w:r>
        <w:r w:rsidR="00B26F5B">
          <w:rPr>
            <w:noProof/>
            <w:webHidden/>
          </w:rPr>
        </w:r>
        <w:r w:rsidR="00B26F5B">
          <w:rPr>
            <w:noProof/>
            <w:webHidden/>
          </w:rPr>
          <w:fldChar w:fldCharType="separate"/>
        </w:r>
        <w:r>
          <w:rPr>
            <w:noProof/>
            <w:webHidden/>
          </w:rPr>
          <w:t>202</w:t>
        </w:r>
        <w:r w:rsidR="00B26F5B">
          <w:rPr>
            <w:noProof/>
            <w:webHidden/>
          </w:rPr>
          <w:fldChar w:fldCharType="end"/>
        </w:r>
      </w:hyperlink>
    </w:p>
    <w:p w14:paraId="08EC62CA" w14:textId="430988C4" w:rsidR="00B26F5B" w:rsidRDefault="006A0076">
      <w:pPr>
        <w:pStyle w:val="TOC3"/>
        <w:tabs>
          <w:tab w:val="right" w:leader="dot" w:pos="9629"/>
        </w:tabs>
        <w:rPr>
          <w:rFonts w:eastAsiaTheme="minorEastAsia" w:cstheme="minorBidi"/>
          <w:i w:val="0"/>
          <w:iCs w:val="0"/>
          <w:noProof/>
          <w:sz w:val="22"/>
          <w:szCs w:val="22"/>
          <w:lang w:val="en-US"/>
        </w:rPr>
      </w:pPr>
      <w:hyperlink w:anchor="_Toc111638471" w:history="1">
        <w:r w:rsidR="00B26F5B" w:rsidRPr="003771A2">
          <w:rPr>
            <w:rStyle w:val="Hyperlink"/>
            <w:noProof/>
            <w:lang w:val="en-GB"/>
          </w:rPr>
          <w:t xml:space="preserve">The role of telecommunications/information and communication technologies in handling and controlling </w:t>
        </w:r>
        <w:r w:rsidR="00AE0ADB">
          <w:rPr>
            <w:rStyle w:val="Hyperlink"/>
            <w:noProof/>
            <w:lang w:val="en-GB"/>
          </w:rPr>
          <w:br/>
        </w:r>
        <w:r w:rsidR="00B26F5B" w:rsidRPr="003771A2">
          <w:rPr>
            <w:rStyle w:val="Hyperlink"/>
            <w:noProof/>
            <w:lang w:val="en-GB"/>
          </w:rPr>
          <w:t>e-waste from telecommunication and information technology equipment and methods of treating it</w:t>
        </w:r>
      </w:hyperlink>
    </w:p>
    <w:p w14:paraId="6F9691A8" w14:textId="50472CBD" w:rsidR="00B26F5B" w:rsidRDefault="006A0076">
      <w:pPr>
        <w:pStyle w:val="TOC2"/>
        <w:tabs>
          <w:tab w:val="right" w:leader="dot" w:pos="9629"/>
        </w:tabs>
        <w:rPr>
          <w:rFonts w:eastAsiaTheme="minorEastAsia" w:cstheme="minorBidi"/>
          <w:smallCaps w:val="0"/>
          <w:noProof/>
          <w:sz w:val="22"/>
          <w:szCs w:val="22"/>
          <w:lang w:val="en-US"/>
        </w:rPr>
      </w:pPr>
      <w:hyperlink w:anchor="_Toc111638472" w:history="1">
        <w:r w:rsidR="00B26F5B" w:rsidRPr="003771A2">
          <w:rPr>
            <w:rStyle w:val="Hyperlink"/>
            <w:noProof/>
            <w:lang w:val="en-GB"/>
          </w:rPr>
          <w:t>RESOLUTION 80 (Rev. Hammamet, 2016)</w:t>
        </w:r>
        <w:r w:rsidR="00B26F5B">
          <w:rPr>
            <w:noProof/>
            <w:webHidden/>
          </w:rPr>
          <w:tab/>
        </w:r>
        <w:r w:rsidR="00B26F5B">
          <w:rPr>
            <w:noProof/>
            <w:webHidden/>
          </w:rPr>
          <w:fldChar w:fldCharType="begin"/>
        </w:r>
        <w:r w:rsidR="00B26F5B">
          <w:rPr>
            <w:noProof/>
            <w:webHidden/>
          </w:rPr>
          <w:instrText xml:space="preserve"> PAGEREF _Toc111638472 \h </w:instrText>
        </w:r>
        <w:r w:rsidR="00B26F5B">
          <w:rPr>
            <w:noProof/>
            <w:webHidden/>
          </w:rPr>
        </w:r>
        <w:r w:rsidR="00B26F5B">
          <w:rPr>
            <w:noProof/>
            <w:webHidden/>
          </w:rPr>
          <w:fldChar w:fldCharType="separate"/>
        </w:r>
        <w:r>
          <w:rPr>
            <w:noProof/>
            <w:webHidden/>
          </w:rPr>
          <w:t>206</w:t>
        </w:r>
        <w:r w:rsidR="00B26F5B">
          <w:rPr>
            <w:noProof/>
            <w:webHidden/>
          </w:rPr>
          <w:fldChar w:fldCharType="end"/>
        </w:r>
      </w:hyperlink>
    </w:p>
    <w:p w14:paraId="7E5ED5A9" w14:textId="5FD09BF2" w:rsidR="00B26F5B" w:rsidRDefault="006A0076">
      <w:pPr>
        <w:pStyle w:val="TOC3"/>
        <w:tabs>
          <w:tab w:val="right" w:leader="dot" w:pos="9629"/>
        </w:tabs>
        <w:rPr>
          <w:rFonts w:eastAsiaTheme="minorEastAsia" w:cstheme="minorBidi"/>
          <w:i w:val="0"/>
          <w:iCs w:val="0"/>
          <w:noProof/>
          <w:sz w:val="22"/>
          <w:szCs w:val="22"/>
          <w:lang w:val="en-US"/>
        </w:rPr>
      </w:pPr>
      <w:hyperlink w:anchor="_Toc111638473" w:history="1">
        <w:r w:rsidR="00B26F5B" w:rsidRPr="003771A2">
          <w:rPr>
            <w:rStyle w:val="Hyperlink"/>
            <w:noProof/>
            <w:lang w:val="en-GB"/>
          </w:rPr>
          <w:t>Acknowledging the active involvement of the membership in the development of ITU Telecommunication Standardization Sector deliverables</w:t>
        </w:r>
      </w:hyperlink>
    </w:p>
    <w:p w14:paraId="1737A983" w14:textId="7B3CFC37" w:rsidR="00B26F5B" w:rsidRDefault="006A0076">
      <w:pPr>
        <w:pStyle w:val="TOC2"/>
        <w:tabs>
          <w:tab w:val="right" w:leader="dot" w:pos="9629"/>
        </w:tabs>
        <w:rPr>
          <w:rFonts w:eastAsiaTheme="minorEastAsia" w:cstheme="minorBidi"/>
          <w:smallCaps w:val="0"/>
          <w:noProof/>
          <w:sz w:val="22"/>
          <w:szCs w:val="22"/>
          <w:lang w:val="en-US"/>
        </w:rPr>
      </w:pPr>
      <w:hyperlink w:anchor="_Toc111638474" w:history="1">
        <w:r w:rsidR="00B26F5B" w:rsidRPr="003771A2">
          <w:rPr>
            <w:rStyle w:val="Hyperlink"/>
            <w:noProof/>
            <w:lang w:val="en-GB"/>
          </w:rPr>
          <w:t>RESOLUTION 83 (Hammamet, 2016)</w:t>
        </w:r>
        <w:r w:rsidR="00B26F5B">
          <w:rPr>
            <w:noProof/>
            <w:webHidden/>
          </w:rPr>
          <w:tab/>
        </w:r>
        <w:r w:rsidR="00B26F5B">
          <w:rPr>
            <w:noProof/>
            <w:webHidden/>
          </w:rPr>
          <w:fldChar w:fldCharType="begin"/>
        </w:r>
        <w:r w:rsidR="00B26F5B">
          <w:rPr>
            <w:noProof/>
            <w:webHidden/>
          </w:rPr>
          <w:instrText xml:space="preserve"> PAGEREF _Toc111638474 \h </w:instrText>
        </w:r>
        <w:r w:rsidR="00B26F5B">
          <w:rPr>
            <w:noProof/>
            <w:webHidden/>
          </w:rPr>
        </w:r>
        <w:r w:rsidR="00B26F5B">
          <w:rPr>
            <w:noProof/>
            <w:webHidden/>
          </w:rPr>
          <w:fldChar w:fldCharType="separate"/>
        </w:r>
        <w:r>
          <w:rPr>
            <w:noProof/>
            <w:webHidden/>
          </w:rPr>
          <w:t>208</w:t>
        </w:r>
        <w:r w:rsidR="00B26F5B">
          <w:rPr>
            <w:noProof/>
            <w:webHidden/>
          </w:rPr>
          <w:fldChar w:fldCharType="end"/>
        </w:r>
      </w:hyperlink>
    </w:p>
    <w:p w14:paraId="4D6EB678" w14:textId="60FB7D76" w:rsidR="00B26F5B" w:rsidRDefault="006A0076">
      <w:pPr>
        <w:pStyle w:val="TOC3"/>
        <w:tabs>
          <w:tab w:val="right" w:leader="dot" w:pos="9629"/>
        </w:tabs>
        <w:rPr>
          <w:rFonts w:eastAsiaTheme="minorEastAsia" w:cstheme="minorBidi"/>
          <w:i w:val="0"/>
          <w:iCs w:val="0"/>
          <w:noProof/>
          <w:sz w:val="22"/>
          <w:szCs w:val="22"/>
          <w:lang w:val="en-US"/>
        </w:rPr>
      </w:pPr>
      <w:hyperlink w:anchor="_Toc111638475" w:history="1">
        <w:r w:rsidR="00B26F5B" w:rsidRPr="003771A2">
          <w:rPr>
            <w:rStyle w:val="Hyperlink"/>
            <w:noProof/>
            <w:lang w:val="en-GB"/>
          </w:rPr>
          <w:t>Evaluation of the implementation of resolutions of the World Telecommunication Standardization Assembly</w:t>
        </w:r>
      </w:hyperlink>
    </w:p>
    <w:p w14:paraId="2B5AF60F" w14:textId="63D976D2" w:rsidR="00B26F5B" w:rsidRDefault="006A0076">
      <w:pPr>
        <w:pStyle w:val="TOC2"/>
        <w:tabs>
          <w:tab w:val="right" w:leader="dot" w:pos="9629"/>
        </w:tabs>
        <w:rPr>
          <w:rFonts w:eastAsiaTheme="minorEastAsia" w:cstheme="minorBidi"/>
          <w:smallCaps w:val="0"/>
          <w:noProof/>
          <w:sz w:val="22"/>
          <w:szCs w:val="22"/>
          <w:lang w:val="en-US"/>
        </w:rPr>
      </w:pPr>
      <w:hyperlink w:anchor="_Toc111638476" w:history="1">
        <w:r w:rsidR="00B26F5B" w:rsidRPr="003771A2">
          <w:rPr>
            <w:rStyle w:val="Hyperlink"/>
            <w:noProof/>
            <w:lang w:val="en-GB"/>
          </w:rPr>
          <w:t>RESOLUTION 84 (Rev. Geneva, 2022)</w:t>
        </w:r>
        <w:r w:rsidR="00B26F5B">
          <w:rPr>
            <w:noProof/>
            <w:webHidden/>
          </w:rPr>
          <w:tab/>
        </w:r>
        <w:r w:rsidR="00B26F5B">
          <w:rPr>
            <w:noProof/>
            <w:webHidden/>
          </w:rPr>
          <w:fldChar w:fldCharType="begin"/>
        </w:r>
        <w:r w:rsidR="00B26F5B">
          <w:rPr>
            <w:noProof/>
            <w:webHidden/>
          </w:rPr>
          <w:instrText xml:space="preserve"> PAGEREF _Toc111638476 \h </w:instrText>
        </w:r>
        <w:r w:rsidR="00B26F5B">
          <w:rPr>
            <w:noProof/>
            <w:webHidden/>
          </w:rPr>
        </w:r>
        <w:r w:rsidR="00B26F5B">
          <w:rPr>
            <w:noProof/>
            <w:webHidden/>
          </w:rPr>
          <w:fldChar w:fldCharType="separate"/>
        </w:r>
        <w:r>
          <w:rPr>
            <w:noProof/>
            <w:webHidden/>
          </w:rPr>
          <w:t>209</w:t>
        </w:r>
        <w:r w:rsidR="00B26F5B">
          <w:rPr>
            <w:noProof/>
            <w:webHidden/>
          </w:rPr>
          <w:fldChar w:fldCharType="end"/>
        </w:r>
      </w:hyperlink>
    </w:p>
    <w:p w14:paraId="5B9E5678" w14:textId="2B08FCF2" w:rsidR="00B26F5B" w:rsidRDefault="006A0076">
      <w:pPr>
        <w:pStyle w:val="TOC3"/>
        <w:tabs>
          <w:tab w:val="right" w:leader="dot" w:pos="9629"/>
        </w:tabs>
        <w:rPr>
          <w:rFonts w:eastAsiaTheme="minorEastAsia" w:cstheme="minorBidi"/>
          <w:i w:val="0"/>
          <w:iCs w:val="0"/>
          <w:noProof/>
          <w:sz w:val="22"/>
          <w:szCs w:val="22"/>
          <w:lang w:val="en-US"/>
        </w:rPr>
      </w:pPr>
      <w:hyperlink w:anchor="_Toc111638477" w:history="1">
        <w:r w:rsidR="00B26F5B" w:rsidRPr="003771A2">
          <w:rPr>
            <w:rStyle w:val="Hyperlink"/>
            <w:noProof/>
            <w:lang w:val="en-GB"/>
          </w:rPr>
          <w:t>Studies concerning the protection of users of telecommunication/information and communication technology services</w:t>
        </w:r>
      </w:hyperlink>
    </w:p>
    <w:p w14:paraId="64681C33" w14:textId="0B80A4A9" w:rsidR="00B26F5B" w:rsidRDefault="006A0076">
      <w:pPr>
        <w:pStyle w:val="TOC2"/>
        <w:tabs>
          <w:tab w:val="right" w:leader="dot" w:pos="9629"/>
        </w:tabs>
        <w:rPr>
          <w:rFonts w:eastAsiaTheme="minorEastAsia" w:cstheme="minorBidi"/>
          <w:smallCaps w:val="0"/>
          <w:noProof/>
          <w:sz w:val="22"/>
          <w:szCs w:val="22"/>
          <w:lang w:val="en-US"/>
        </w:rPr>
      </w:pPr>
      <w:hyperlink w:anchor="_Toc111638478" w:history="1">
        <w:r w:rsidR="00B26F5B" w:rsidRPr="003771A2">
          <w:rPr>
            <w:rStyle w:val="Hyperlink"/>
            <w:noProof/>
            <w:lang w:val="en-GB"/>
          </w:rPr>
          <w:t>RESOLUTION 85 (Hammamet, 2016)</w:t>
        </w:r>
        <w:r w:rsidR="00B26F5B">
          <w:rPr>
            <w:noProof/>
            <w:webHidden/>
          </w:rPr>
          <w:tab/>
        </w:r>
        <w:r w:rsidR="00B26F5B">
          <w:rPr>
            <w:noProof/>
            <w:webHidden/>
          </w:rPr>
          <w:fldChar w:fldCharType="begin"/>
        </w:r>
        <w:r w:rsidR="00B26F5B">
          <w:rPr>
            <w:noProof/>
            <w:webHidden/>
          </w:rPr>
          <w:instrText xml:space="preserve"> PAGEREF _Toc111638478 \h </w:instrText>
        </w:r>
        <w:r w:rsidR="00B26F5B">
          <w:rPr>
            <w:noProof/>
            <w:webHidden/>
          </w:rPr>
        </w:r>
        <w:r w:rsidR="00B26F5B">
          <w:rPr>
            <w:noProof/>
            <w:webHidden/>
          </w:rPr>
          <w:fldChar w:fldCharType="separate"/>
        </w:r>
        <w:r>
          <w:rPr>
            <w:noProof/>
            <w:webHidden/>
          </w:rPr>
          <w:t>212</w:t>
        </w:r>
        <w:r w:rsidR="00B26F5B">
          <w:rPr>
            <w:noProof/>
            <w:webHidden/>
          </w:rPr>
          <w:fldChar w:fldCharType="end"/>
        </w:r>
      </w:hyperlink>
    </w:p>
    <w:p w14:paraId="090EABDE" w14:textId="12DCAB08" w:rsidR="00B26F5B" w:rsidRDefault="006A0076">
      <w:pPr>
        <w:pStyle w:val="TOC3"/>
        <w:tabs>
          <w:tab w:val="right" w:leader="dot" w:pos="9629"/>
        </w:tabs>
        <w:rPr>
          <w:rFonts w:eastAsiaTheme="minorEastAsia" w:cstheme="minorBidi"/>
          <w:i w:val="0"/>
          <w:iCs w:val="0"/>
          <w:noProof/>
          <w:sz w:val="22"/>
          <w:szCs w:val="22"/>
          <w:lang w:val="en-US"/>
        </w:rPr>
      </w:pPr>
      <w:hyperlink w:anchor="_Toc111638479" w:history="1">
        <w:r w:rsidR="00B26F5B" w:rsidRPr="003771A2">
          <w:rPr>
            <w:rStyle w:val="Hyperlink"/>
            <w:noProof/>
            <w:lang w:val="en-GB"/>
          </w:rPr>
          <w:t>Strengthening and diversifying the resources of the  ITU Telecommunication Standardization Sector</w:t>
        </w:r>
      </w:hyperlink>
    </w:p>
    <w:p w14:paraId="12E4273D" w14:textId="7CFF4BC3" w:rsidR="00B26F5B" w:rsidRDefault="006A0076">
      <w:pPr>
        <w:pStyle w:val="TOC2"/>
        <w:tabs>
          <w:tab w:val="right" w:leader="dot" w:pos="9629"/>
        </w:tabs>
        <w:rPr>
          <w:rFonts w:eastAsiaTheme="minorEastAsia" w:cstheme="minorBidi"/>
          <w:smallCaps w:val="0"/>
          <w:noProof/>
          <w:sz w:val="22"/>
          <w:szCs w:val="22"/>
          <w:lang w:val="en-US"/>
        </w:rPr>
      </w:pPr>
      <w:hyperlink w:anchor="_Toc111638480" w:history="1">
        <w:r w:rsidR="00B26F5B" w:rsidRPr="003771A2">
          <w:rPr>
            <w:rStyle w:val="Hyperlink"/>
            <w:noProof/>
            <w:lang w:val="en-GB"/>
          </w:rPr>
          <w:t>RESOLUTION 86 (Hammamet, 2016)</w:t>
        </w:r>
        <w:r w:rsidR="00B26F5B">
          <w:rPr>
            <w:noProof/>
            <w:webHidden/>
          </w:rPr>
          <w:tab/>
        </w:r>
        <w:r w:rsidR="00B26F5B">
          <w:rPr>
            <w:noProof/>
            <w:webHidden/>
          </w:rPr>
          <w:fldChar w:fldCharType="begin"/>
        </w:r>
        <w:r w:rsidR="00B26F5B">
          <w:rPr>
            <w:noProof/>
            <w:webHidden/>
          </w:rPr>
          <w:instrText xml:space="preserve"> PAGEREF _Toc111638480 \h </w:instrText>
        </w:r>
        <w:r w:rsidR="00B26F5B">
          <w:rPr>
            <w:noProof/>
            <w:webHidden/>
          </w:rPr>
        </w:r>
        <w:r w:rsidR="00B26F5B">
          <w:rPr>
            <w:noProof/>
            <w:webHidden/>
          </w:rPr>
          <w:fldChar w:fldCharType="separate"/>
        </w:r>
        <w:r>
          <w:rPr>
            <w:noProof/>
            <w:webHidden/>
          </w:rPr>
          <w:t>213</w:t>
        </w:r>
        <w:r w:rsidR="00B26F5B">
          <w:rPr>
            <w:noProof/>
            <w:webHidden/>
          </w:rPr>
          <w:fldChar w:fldCharType="end"/>
        </w:r>
      </w:hyperlink>
    </w:p>
    <w:p w14:paraId="55C1FC7E" w14:textId="369A0096" w:rsidR="00B26F5B" w:rsidRDefault="006A0076">
      <w:pPr>
        <w:pStyle w:val="TOC3"/>
        <w:tabs>
          <w:tab w:val="right" w:leader="dot" w:pos="9629"/>
        </w:tabs>
        <w:rPr>
          <w:rFonts w:eastAsiaTheme="minorEastAsia" w:cstheme="minorBidi"/>
          <w:i w:val="0"/>
          <w:iCs w:val="0"/>
          <w:noProof/>
          <w:sz w:val="22"/>
          <w:szCs w:val="22"/>
          <w:lang w:val="en-US"/>
        </w:rPr>
      </w:pPr>
      <w:hyperlink w:anchor="_Toc111638481" w:history="1">
        <w:r w:rsidR="00B26F5B" w:rsidRPr="003771A2">
          <w:rPr>
            <w:rStyle w:val="Hyperlink"/>
            <w:noProof/>
            <w:lang w:val="en-GB"/>
          </w:rPr>
          <w:t>Facilitating the implementation of the Smart Africa Manifesto</w:t>
        </w:r>
      </w:hyperlink>
    </w:p>
    <w:p w14:paraId="0E00437F" w14:textId="519510C7" w:rsidR="00B26F5B" w:rsidRDefault="006A0076">
      <w:pPr>
        <w:pStyle w:val="TOC2"/>
        <w:tabs>
          <w:tab w:val="right" w:leader="dot" w:pos="9629"/>
        </w:tabs>
        <w:rPr>
          <w:rFonts w:eastAsiaTheme="minorEastAsia" w:cstheme="minorBidi"/>
          <w:smallCaps w:val="0"/>
          <w:noProof/>
          <w:sz w:val="22"/>
          <w:szCs w:val="22"/>
          <w:lang w:val="en-US"/>
        </w:rPr>
      </w:pPr>
      <w:hyperlink w:anchor="_Toc111638482" w:history="1">
        <w:r w:rsidR="00B26F5B" w:rsidRPr="003771A2">
          <w:rPr>
            <w:rStyle w:val="Hyperlink"/>
            <w:noProof/>
            <w:lang w:val="en-GB"/>
          </w:rPr>
          <w:t>RESOLUTION 87 (Hammamet, 2016)</w:t>
        </w:r>
        <w:r w:rsidR="00B26F5B">
          <w:rPr>
            <w:noProof/>
            <w:webHidden/>
          </w:rPr>
          <w:tab/>
        </w:r>
        <w:r w:rsidR="00B26F5B">
          <w:rPr>
            <w:noProof/>
            <w:webHidden/>
          </w:rPr>
          <w:fldChar w:fldCharType="begin"/>
        </w:r>
        <w:r w:rsidR="00B26F5B">
          <w:rPr>
            <w:noProof/>
            <w:webHidden/>
          </w:rPr>
          <w:instrText xml:space="preserve"> PAGEREF _Toc111638482 \h </w:instrText>
        </w:r>
        <w:r w:rsidR="00B26F5B">
          <w:rPr>
            <w:noProof/>
            <w:webHidden/>
          </w:rPr>
        </w:r>
        <w:r w:rsidR="00B26F5B">
          <w:rPr>
            <w:noProof/>
            <w:webHidden/>
          </w:rPr>
          <w:fldChar w:fldCharType="separate"/>
        </w:r>
        <w:r>
          <w:rPr>
            <w:noProof/>
            <w:webHidden/>
          </w:rPr>
          <w:t>215</w:t>
        </w:r>
        <w:r w:rsidR="00B26F5B">
          <w:rPr>
            <w:noProof/>
            <w:webHidden/>
          </w:rPr>
          <w:fldChar w:fldCharType="end"/>
        </w:r>
      </w:hyperlink>
    </w:p>
    <w:p w14:paraId="3B2A0AD2" w14:textId="4D155A8D" w:rsidR="00B26F5B" w:rsidRDefault="006A0076">
      <w:pPr>
        <w:pStyle w:val="TOC3"/>
        <w:tabs>
          <w:tab w:val="right" w:leader="dot" w:pos="9629"/>
        </w:tabs>
        <w:rPr>
          <w:rFonts w:eastAsiaTheme="minorEastAsia" w:cstheme="minorBidi"/>
          <w:i w:val="0"/>
          <w:iCs w:val="0"/>
          <w:noProof/>
          <w:sz w:val="22"/>
          <w:szCs w:val="22"/>
          <w:lang w:val="en-US"/>
        </w:rPr>
      </w:pPr>
      <w:hyperlink w:anchor="_Toc111638483" w:history="1">
        <w:r w:rsidR="00B26F5B" w:rsidRPr="003771A2">
          <w:rPr>
            <w:rStyle w:val="Hyperlink"/>
            <w:noProof/>
            <w:lang w:val="en-GB"/>
          </w:rPr>
          <w:t>Participation of the ITU Telecommunication Standardization Sector  in the periodic review and revision of the International  Telecommunication Regulations</w:t>
        </w:r>
      </w:hyperlink>
    </w:p>
    <w:p w14:paraId="56EDF028" w14:textId="5A1F1415" w:rsidR="00B26F5B" w:rsidRDefault="006A0076">
      <w:pPr>
        <w:pStyle w:val="TOC2"/>
        <w:tabs>
          <w:tab w:val="right" w:leader="dot" w:pos="9629"/>
        </w:tabs>
        <w:rPr>
          <w:rFonts w:eastAsiaTheme="minorEastAsia" w:cstheme="minorBidi"/>
          <w:smallCaps w:val="0"/>
          <w:noProof/>
          <w:sz w:val="22"/>
          <w:szCs w:val="22"/>
          <w:lang w:val="en-US"/>
        </w:rPr>
      </w:pPr>
      <w:hyperlink w:anchor="_Toc111638484" w:history="1">
        <w:r w:rsidR="00B26F5B" w:rsidRPr="003771A2">
          <w:rPr>
            <w:rStyle w:val="Hyperlink"/>
            <w:noProof/>
            <w:lang w:val="en-GB"/>
          </w:rPr>
          <w:t>RESOLUTION 88 (Hammamet, 2016)</w:t>
        </w:r>
        <w:r w:rsidR="00B26F5B">
          <w:rPr>
            <w:noProof/>
            <w:webHidden/>
          </w:rPr>
          <w:tab/>
        </w:r>
        <w:r w:rsidR="00B26F5B">
          <w:rPr>
            <w:noProof/>
            <w:webHidden/>
          </w:rPr>
          <w:fldChar w:fldCharType="begin"/>
        </w:r>
        <w:r w:rsidR="00B26F5B">
          <w:rPr>
            <w:noProof/>
            <w:webHidden/>
          </w:rPr>
          <w:instrText xml:space="preserve"> PAGEREF _Toc111638484 \h </w:instrText>
        </w:r>
        <w:r w:rsidR="00B26F5B">
          <w:rPr>
            <w:noProof/>
            <w:webHidden/>
          </w:rPr>
        </w:r>
        <w:r w:rsidR="00B26F5B">
          <w:rPr>
            <w:noProof/>
            <w:webHidden/>
          </w:rPr>
          <w:fldChar w:fldCharType="separate"/>
        </w:r>
        <w:r>
          <w:rPr>
            <w:noProof/>
            <w:webHidden/>
          </w:rPr>
          <w:t>217</w:t>
        </w:r>
        <w:r w:rsidR="00B26F5B">
          <w:rPr>
            <w:noProof/>
            <w:webHidden/>
          </w:rPr>
          <w:fldChar w:fldCharType="end"/>
        </w:r>
      </w:hyperlink>
    </w:p>
    <w:p w14:paraId="01230E85" w14:textId="473FA7D1" w:rsidR="00B26F5B" w:rsidRDefault="006A0076">
      <w:pPr>
        <w:pStyle w:val="TOC3"/>
        <w:tabs>
          <w:tab w:val="right" w:leader="dot" w:pos="9629"/>
        </w:tabs>
        <w:rPr>
          <w:rFonts w:eastAsiaTheme="minorEastAsia" w:cstheme="minorBidi"/>
          <w:i w:val="0"/>
          <w:iCs w:val="0"/>
          <w:noProof/>
          <w:sz w:val="22"/>
          <w:szCs w:val="22"/>
          <w:lang w:val="en-US"/>
        </w:rPr>
      </w:pPr>
      <w:hyperlink w:anchor="_Toc111638485" w:history="1">
        <w:r w:rsidR="00B26F5B" w:rsidRPr="003771A2">
          <w:rPr>
            <w:rStyle w:val="Hyperlink"/>
            <w:noProof/>
            <w:lang w:val="en-GB"/>
          </w:rPr>
          <w:t>International mobile roaming</w:t>
        </w:r>
      </w:hyperlink>
    </w:p>
    <w:p w14:paraId="38F0AB94" w14:textId="721DEB4E" w:rsidR="00B26F5B" w:rsidRDefault="006A0076">
      <w:pPr>
        <w:pStyle w:val="TOC2"/>
        <w:tabs>
          <w:tab w:val="right" w:leader="dot" w:pos="9629"/>
        </w:tabs>
        <w:rPr>
          <w:rFonts w:eastAsiaTheme="minorEastAsia" w:cstheme="minorBidi"/>
          <w:smallCaps w:val="0"/>
          <w:noProof/>
          <w:sz w:val="22"/>
          <w:szCs w:val="22"/>
          <w:lang w:val="en-US"/>
        </w:rPr>
      </w:pPr>
      <w:hyperlink w:anchor="_Toc111638486" w:history="1">
        <w:r w:rsidR="00B26F5B" w:rsidRPr="003771A2">
          <w:rPr>
            <w:rStyle w:val="Hyperlink"/>
            <w:noProof/>
            <w:lang w:val="en-GB"/>
          </w:rPr>
          <w:t>RESOLUTION 89 (Rev. Geneva, 2022)</w:t>
        </w:r>
        <w:r w:rsidR="00B26F5B">
          <w:rPr>
            <w:noProof/>
            <w:webHidden/>
          </w:rPr>
          <w:tab/>
        </w:r>
        <w:r w:rsidR="00B26F5B">
          <w:rPr>
            <w:noProof/>
            <w:webHidden/>
          </w:rPr>
          <w:fldChar w:fldCharType="begin"/>
        </w:r>
        <w:r w:rsidR="00B26F5B">
          <w:rPr>
            <w:noProof/>
            <w:webHidden/>
          </w:rPr>
          <w:instrText xml:space="preserve"> PAGEREF _Toc111638486 \h </w:instrText>
        </w:r>
        <w:r w:rsidR="00B26F5B">
          <w:rPr>
            <w:noProof/>
            <w:webHidden/>
          </w:rPr>
        </w:r>
        <w:r w:rsidR="00B26F5B">
          <w:rPr>
            <w:noProof/>
            <w:webHidden/>
          </w:rPr>
          <w:fldChar w:fldCharType="separate"/>
        </w:r>
        <w:r>
          <w:rPr>
            <w:noProof/>
            <w:webHidden/>
          </w:rPr>
          <w:t>219</w:t>
        </w:r>
        <w:r w:rsidR="00B26F5B">
          <w:rPr>
            <w:noProof/>
            <w:webHidden/>
          </w:rPr>
          <w:fldChar w:fldCharType="end"/>
        </w:r>
      </w:hyperlink>
    </w:p>
    <w:p w14:paraId="03F32D81" w14:textId="7015D989" w:rsidR="00B26F5B" w:rsidRDefault="006A0076">
      <w:pPr>
        <w:pStyle w:val="TOC3"/>
        <w:tabs>
          <w:tab w:val="right" w:leader="dot" w:pos="9629"/>
        </w:tabs>
        <w:rPr>
          <w:rFonts w:eastAsiaTheme="minorEastAsia" w:cstheme="minorBidi"/>
          <w:i w:val="0"/>
          <w:iCs w:val="0"/>
          <w:noProof/>
          <w:sz w:val="22"/>
          <w:szCs w:val="22"/>
          <w:lang w:val="en-US"/>
        </w:rPr>
      </w:pPr>
      <w:hyperlink w:anchor="_Toc111638487" w:history="1">
        <w:r w:rsidR="00B26F5B" w:rsidRPr="003771A2">
          <w:rPr>
            <w:rStyle w:val="Hyperlink"/>
            <w:noProof/>
            <w:lang w:val="en-GB"/>
          </w:rPr>
          <w:t>Promoting the use of information and communication technologies  to bridge the financial inclusion gap</w:t>
        </w:r>
      </w:hyperlink>
    </w:p>
    <w:p w14:paraId="2325598C" w14:textId="1DF1A407" w:rsidR="00B26F5B" w:rsidRDefault="006A0076">
      <w:pPr>
        <w:pStyle w:val="TOC2"/>
        <w:tabs>
          <w:tab w:val="right" w:leader="dot" w:pos="9629"/>
        </w:tabs>
        <w:rPr>
          <w:rFonts w:eastAsiaTheme="minorEastAsia" w:cstheme="minorBidi"/>
          <w:smallCaps w:val="0"/>
          <w:noProof/>
          <w:sz w:val="22"/>
          <w:szCs w:val="22"/>
          <w:lang w:val="en-US"/>
        </w:rPr>
      </w:pPr>
      <w:hyperlink w:anchor="_Toc111638488" w:history="1">
        <w:r w:rsidR="00B26F5B" w:rsidRPr="003771A2">
          <w:rPr>
            <w:rStyle w:val="Hyperlink"/>
            <w:noProof/>
            <w:lang w:val="en-GB"/>
          </w:rPr>
          <w:t>RESOLUTION 90 (Hammamet, 2016)</w:t>
        </w:r>
        <w:r w:rsidR="00B26F5B">
          <w:rPr>
            <w:noProof/>
            <w:webHidden/>
          </w:rPr>
          <w:tab/>
        </w:r>
        <w:r w:rsidR="00B26F5B">
          <w:rPr>
            <w:noProof/>
            <w:webHidden/>
          </w:rPr>
          <w:fldChar w:fldCharType="begin"/>
        </w:r>
        <w:r w:rsidR="00B26F5B">
          <w:rPr>
            <w:noProof/>
            <w:webHidden/>
          </w:rPr>
          <w:instrText xml:space="preserve"> PAGEREF _Toc111638488 \h </w:instrText>
        </w:r>
        <w:r w:rsidR="00B26F5B">
          <w:rPr>
            <w:noProof/>
            <w:webHidden/>
          </w:rPr>
        </w:r>
        <w:r w:rsidR="00B26F5B">
          <w:rPr>
            <w:noProof/>
            <w:webHidden/>
          </w:rPr>
          <w:fldChar w:fldCharType="separate"/>
        </w:r>
        <w:r>
          <w:rPr>
            <w:noProof/>
            <w:webHidden/>
          </w:rPr>
          <w:t>224</w:t>
        </w:r>
        <w:r w:rsidR="00B26F5B">
          <w:rPr>
            <w:noProof/>
            <w:webHidden/>
          </w:rPr>
          <w:fldChar w:fldCharType="end"/>
        </w:r>
      </w:hyperlink>
    </w:p>
    <w:p w14:paraId="6AE925BA" w14:textId="11474A18" w:rsidR="00B26F5B" w:rsidRDefault="006A0076">
      <w:pPr>
        <w:pStyle w:val="TOC3"/>
        <w:tabs>
          <w:tab w:val="right" w:leader="dot" w:pos="9629"/>
        </w:tabs>
        <w:rPr>
          <w:rFonts w:eastAsiaTheme="minorEastAsia" w:cstheme="minorBidi"/>
          <w:i w:val="0"/>
          <w:iCs w:val="0"/>
          <w:noProof/>
          <w:sz w:val="22"/>
          <w:szCs w:val="22"/>
          <w:lang w:val="en-US"/>
        </w:rPr>
      </w:pPr>
      <w:hyperlink w:anchor="_Toc111638489" w:history="1">
        <w:r w:rsidR="00B26F5B" w:rsidRPr="003771A2">
          <w:rPr>
            <w:rStyle w:val="Hyperlink"/>
            <w:noProof/>
            <w:lang w:val="en-GB"/>
          </w:rPr>
          <w:t>Open source in the ITU Telecommunication Standardization Sector</w:t>
        </w:r>
      </w:hyperlink>
    </w:p>
    <w:p w14:paraId="0D59308F" w14:textId="3E4BC1A3" w:rsidR="00B26F5B" w:rsidRDefault="006A0076">
      <w:pPr>
        <w:pStyle w:val="TOC2"/>
        <w:tabs>
          <w:tab w:val="right" w:leader="dot" w:pos="9629"/>
        </w:tabs>
        <w:rPr>
          <w:rFonts w:eastAsiaTheme="minorEastAsia" w:cstheme="minorBidi"/>
          <w:smallCaps w:val="0"/>
          <w:noProof/>
          <w:sz w:val="22"/>
          <w:szCs w:val="22"/>
          <w:lang w:val="en-US"/>
        </w:rPr>
      </w:pPr>
      <w:hyperlink w:anchor="_Toc111638490" w:history="1">
        <w:r w:rsidR="00B26F5B" w:rsidRPr="003771A2">
          <w:rPr>
            <w:rStyle w:val="Hyperlink"/>
            <w:noProof/>
            <w:lang w:val="en-GB"/>
          </w:rPr>
          <w:t>RESOLUTION 91 (Rev. Geneva, 2022)</w:t>
        </w:r>
        <w:r w:rsidR="00B26F5B">
          <w:rPr>
            <w:noProof/>
            <w:webHidden/>
          </w:rPr>
          <w:tab/>
        </w:r>
        <w:r w:rsidR="00B26F5B">
          <w:rPr>
            <w:noProof/>
            <w:webHidden/>
          </w:rPr>
          <w:fldChar w:fldCharType="begin"/>
        </w:r>
        <w:r w:rsidR="00B26F5B">
          <w:rPr>
            <w:noProof/>
            <w:webHidden/>
          </w:rPr>
          <w:instrText xml:space="preserve"> PAGEREF _Toc111638490 \h </w:instrText>
        </w:r>
        <w:r w:rsidR="00B26F5B">
          <w:rPr>
            <w:noProof/>
            <w:webHidden/>
          </w:rPr>
        </w:r>
        <w:r w:rsidR="00B26F5B">
          <w:rPr>
            <w:noProof/>
            <w:webHidden/>
          </w:rPr>
          <w:fldChar w:fldCharType="separate"/>
        </w:r>
        <w:r>
          <w:rPr>
            <w:noProof/>
            <w:webHidden/>
          </w:rPr>
          <w:t>226</w:t>
        </w:r>
        <w:r w:rsidR="00B26F5B">
          <w:rPr>
            <w:noProof/>
            <w:webHidden/>
          </w:rPr>
          <w:fldChar w:fldCharType="end"/>
        </w:r>
      </w:hyperlink>
    </w:p>
    <w:p w14:paraId="31A8854A" w14:textId="76F22ECA" w:rsidR="00B26F5B" w:rsidRDefault="006A0076">
      <w:pPr>
        <w:pStyle w:val="TOC3"/>
        <w:tabs>
          <w:tab w:val="right" w:leader="dot" w:pos="9629"/>
        </w:tabs>
        <w:rPr>
          <w:rFonts w:eastAsiaTheme="minorEastAsia" w:cstheme="minorBidi"/>
          <w:i w:val="0"/>
          <w:iCs w:val="0"/>
          <w:noProof/>
          <w:sz w:val="22"/>
          <w:szCs w:val="22"/>
          <w:lang w:val="en-US"/>
        </w:rPr>
      </w:pPr>
      <w:hyperlink w:anchor="_Toc111638491" w:history="1">
        <w:r w:rsidR="00B26F5B" w:rsidRPr="003771A2">
          <w:rPr>
            <w:rStyle w:val="Hyperlink"/>
            <w:noProof/>
            <w:lang w:val="en-GB"/>
          </w:rPr>
          <w:t>Enhancing access to an electronic repository of information on numbering plans published by the ITU Telecommunication Standardization Sector</w:t>
        </w:r>
      </w:hyperlink>
    </w:p>
    <w:p w14:paraId="290E2939" w14:textId="559424D6" w:rsidR="00B26F5B" w:rsidRDefault="006A0076">
      <w:pPr>
        <w:pStyle w:val="TOC2"/>
        <w:tabs>
          <w:tab w:val="right" w:leader="dot" w:pos="9629"/>
        </w:tabs>
        <w:rPr>
          <w:rFonts w:eastAsiaTheme="minorEastAsia" w:cstheme="minorBidi"/>
          <w:smallCaps w:val="0"/>
          <w:noProof/>
          <w:sz w:val="22"/>
          <w:szCs w:val="22"/>
          <w:lang w:val="en-US"/>
        </w:rPr>
      </w:pPr>
      <w:hyperlink w:anchor="_Toc111638492" w:history="1">
        <w:r w:rsidR="00B26F5B" w:rsidRPr="003771A2">
          <w:rPr>
            <w:rStyle w:val="Hyperlink"/>
            <w:noProof/>
            <w:lang w:val="en-GB"/>
          </w:rPr>
          <w:t>RESOLUTION 92 (Rev. Geneva, 2022)</w:t>
        </w:r>
        <w:r w:rsidR="00B26F5B">
          <w:rPr>
            <w:noProof/>
            <w:webHidden/>
          </w:rPr>
          <w:tab/>
        </w:r>
        <w:r w:rsidR="00B26F5B">
          <w:rPr>
            <w:noProof/>
            <w:webHidden/>
          </w:rPr>
          <w:fldChar w:fldCharType="begin"/>
        </w:r>
        <w:r w:rsidR="00B26F5B">
          <w:rPr>
            <w:noProof/>
            <w:webHidden/>
          </w:rPr>
          <w:instrText xml:space="preserve"> PAGEREF _Toc111638492 \h </w:instrText>
        </w:r>
        <w:r w:rsidR="00B26F5B">
          <w:rPr>
            <w:noProof/>
            <w:webHidden/>
          </w:rPr>
        </w:r>
        <w:r w:rsidR="00B26F5B">
          <w:rPr>
            <w:noProof/>
            <w:webHidden/>
          </w:rPr>
          <w:fldChar w:fldCharType="separate"/>
        </w:r>
        <w:r>
          <w:rPr>
            <w:noProof/>
            <w:webHidden/>
          </w:rPr>
          <w:t>228</w:t>
        </w:r>
        <w:r w:rsidR="00B26F5B">
          <w:rPr>
            <w:noProof/>
            <w:webHidden/>
          </w:rPr>
          <w:fldChar w:fldCharType="end"/>
        </w:r>
      </w:hyperlink>
    </w:p>
    <w:p w14:paraId="1F50322C" w14:textId="43FA04CD" w:rsidR="00B26F5B" w:rsidRDefault="006A0076">
      <w:pPr>
        <w:pStyle w:val="TOC3"/>
        <w:tabs>
          <w:tab w:val="right" w:leader="dot" w:pos="9629"/>
        </w:tabs>
        <w:rPr>
          <w:rFonts w:eastAsiaTheme="minorEastAsia" w:cstheme="minorBidi"/>
          <w:i w:val="0"/>
          <w:iCs w:val="0"/>
          <w:noProof/>
          <w:sz w:val="22"/>
          <w:szCs w:val="22"/>
          <w:lang w:val="en-US"/>
        </w:rPr>
      </w:pPr>
      <w:hyperlink w:anchor="_Toc111638493" w:history="1">
        <w:r w:rsidR="00B26F5B" w:rsidRPr="003771A2">
          <w:rPr>
            <w:rStyle w:val="Hyperlink"/>
            <w:noProof/>
            <w:lang w:val="en-GB"/>
          </w:rPr>
          <w:t>Enhancing the standardization activities in the ITU Telecommunication Standardization Sector related to non-radio aspects of international  mobile telecommunications</w:t>
        </w:r>
      </w:hyperlink>
    </w:p>
    <w:p w14:paraId="62A179E1" w14:textId="11744638" w:rsidR="00B26F5B" w:rsidRDefault="006A0076">
      <w:pPr>
        <w:pStyle w:val="TOC2"/>
        <w:tabs>
          <w:tab w:val="right" w:leader="dot" w:pos="9629"/>
        </w:tabs>
        <w:rPr>
          <w:rFonts w:eastAsiaTheme="minorEastAsia" w:cstheme="minorBidi"/>
          <w:smallCaps w:val="0"/>
          <w:noProof/>
          <w:sz w:val="22"/>
          <w:szCs w:val="22"/>
          <w:lang w:val="en-US"/>
        </w:rPr>
      </w:pPr>
      <w:hyperlink w:anchor="_Toc111638494" w:history="1">
        <w:r w:rsidR="00B26F5B" w:rsidRPr="003771A2">
          <w:rPr>
            <w:rStyle w:val="Hyperlink"/>
            <w:noProof/>
            <w:lang w:val="en-GB"/>
          </w:rPr>
          <w:t>RESOLUTION 93 (Hammamet, 2016)</w:t>
        </w:r>
        <w:r w:rsidR="00B26F5B">
          <w:rPr>
            <w:noProof/>
            <w:webHidden/>
          </w:rPr>
          <w:tab/>
        </w:r>
        <w:r w:rsidR="00B26F5B">
          <w:rPr>
            <w:noProof/>
            <w:webHidden/>
          </w:rPr>
          <w:fldChar w:fldCharType="begin"/>
        </w:r>
        <w:r w:rsidR="00B26F5B">
          <w:rPr>
            <w:noProof/>
            <w:webHidden/>
          </w:rPr>
          <w:instrText xml:space="preserve"> PAGEREF _Toc111638494 \h </w:instrText>
        </w:r>
        <w:r w:rsidR="00B26F5B">
          <w:rPr>
            <w:noProof/>
            <w:webHidden/>
          </w:rPr>
        </w:r>
        <w:r w:rsidR="00B26F5B">
          <w:rPr>
            <w:noProof/>
            <w:webHidden/>
          </w:rPr>
          <w:fldChar w:fldCharType="separate"/>
        </w:r>
        <w:r>
          <w:rPr>
            <w:noProof/>
            <w:webHidden/>
          </w:rPr>
          <w:t>233</w:t>
        </w:r>
        <w:r w:rsidR="00B26F5B">
          <w:rPr>
            <w:noProof/>
            <w:webHidden/>
          </w:rPr>
          <w:fldChar w:fldCharType="end"/>
        </w:r>
      </w:hyperlink>
    </w:p>
    <w:p w14:paraId="67CD99E8" w14:textId="69970B68" w:rsidR="00B26F5B" w:rsidRDefault="006A0076">
      <w:pPr>
        <w:pStyle w:val="TOC3"/>
        <w:tabs>
          <w:tab w:val="right" w:leader="dot" w:pos="9629"/>
        </w:tabs>
        <w:rPr>
          <w:rFonts w:eastAsiaTheme="minorEastAsia" w:cstheme="minorBidi"/>
          <w:i w:val="0"/>
          <w:iCs w:val="0"/>
          <w:noProof/>
          <w:sz w:val="22"/>
          <w:szCs w:val="22"/>
          <w:lang w:val="en-US"/>
        </w:rPr>
      </w:pPr>
      <w:hyperlink w:anchor="_Toc111638495" w:history="1">
        <w:r w:rsidR="00B26F5B" w:rsidRPr="003771A2">
          <w:rPr>
            <w:rStyle w:val="Hyperlink"/>
            <w:noProof/>
            <w:lang w:val="en-GB"/>
          </w:rPr>
          <w:t>Interconnection of 4G, IMT-2020 networks and beyond</w:t>
        </w:r>
      </w:hyperlink>
    </w:p>
    <w:p w14:paraId="55964C12" w14:textId="584CE591" w:rsidR="00B26F5B" w:rsidRDefault="006A0076">
      <w:pPr>
        <w:pStyle w:val="TOC2"/>
        <w:tabs>
          <w:tab w:val="right" w:leader="dot" w:pos="9629"/>
        </w:tabs>
        <w:rPr>
          <w:rFonts w:eastAsiaTheme="minorEastAsia" w:cstheme="minorBidi"/>
          <w:smallCaps w:val="0"/>
          <w:noProof/>
          <w:sz w:val="22"/>
          <w:szCs w:val="22"/>
          <w:lang w:val="en-US"/>
        </w:rPr>
      </w:pPr>
      <w:hyperlink w:anchor="_Toc111638496" w:history="1">
        <w:r w:rsidR="00B26F5B" w:rsidRPr="003771A2">
          <w:rPr>
            <w:rStyle w:val="Hyperlink"/>
            <w:noProof/>
            <w:lang w:val="en-GB"/>
          </w:rPr>
          <w:t>RESOLUTION 94 (Hammamet, 2016)</w:t>
        </w:r>
        <w:r w:rsidR="00B26F5B">
          <w:rPr>
            <w:noProof/>
            <w:webHidden/>
          </w:rPr>
          <w:tab/>
        </w:r>
        <w:r w:rsidR="00B26F5B">
          <w:rPr>
            <w:noProof/>
            <w:webHidden/>
          </w:rPr>
          <w:fldChar w:fldCharType="begin"/>
        </w:r>
        <w:r w:rsidR="00B26F5B">
          <w:rPr>
            <w:noProof/>
            <w:webHidden/>
          </w:rPr>
          <w:instrText xml:space="preserve"> PAGEREF _Toc111638496 \h </w:instrText>
        </w:r>
        <w:r w:rsidR="00B26F5B">
          <w:rPr>
            <w:noProof/>
            <w:webHidden/>
          </w:rPr>
        </w:r>
        <w:r w:rsidR="00B26F5B">
          <w:rPr>
            <w:noProof/>
            <w:webHidden/>
          </w:rPr>
          <w:fldChar w:fldCharType="separate"/>
        </w:r>
        <w:r>
          <w:rPr>
            <w:noProof/>
            <w:webHidden/>
          </w:rPr>
          <w:t>236</w:t>
        </w:r>
        <w:r w:rsidR="00B26F5B">
          <w:rPr>
            <w:noProof/>
            <w:webHidden/>
          </w:rPr>
          <w:fldChar w:fldCharType="end"/>
        </w:r>
      </w:hyperlink>
    </w:p>
    <w:p w14:paraId="01F132DF" w14:textId="629D73F0" w:rsidR="00B26F5B" w:rsidRDefault="006A0076">
      <w:pPr>
        <w:pStyle w:val="TOC3"/>
        <w:tabs>
          <w:tab w:val="right" w:leader="dot" w:pos="9629"/>
        </w:tabs>
        <w:rPr>
          <w:rFonts w:eastAsiaTheme="minorEastAsia" w:cstheme="minorBidi"/>
          <w:i w:val="0"/>
          <w:iCs w:val="0"/>
          <w:noProof/>
          <w:sz w:val="22"/>
          <w:szCs w:val="22"/>
          <w:lang w:val="en-US"/>
        </w:rPr>
      </w:pPr>
      <w:hyperlink w:anchor="_Toc111638497" w:history="1">
        <w:r w:rsidR="00B26F5B" w:rsidRPr="003771A2">
          <w:rPr>
            <w:rStyle w:val="Hyperlink"/>
            <w:noProof/>
            <w:lang w:val="en-GB"/>
          </w:rPr>
          <w:t>Standardization work in the ITU Telecommunication Standardization  Sector for cloud</w:t>
        </w:r>
        <w:r w:rsidR="00B26F5B" w:rsidRPr="003771A2">
          <w:rPr>
            <w:rStyle w:val="Hyperlink"/>
            <w:noProof/>
            <w:lang w:val="en-GB"/>
          </w:rPr>
          <w:noBreakHyphen/>
          <w:t>based event data technology</w:t>
        </w:r>
      </w:hyperlink>
    </w:p>
    <w:p w14:paraId="1D3950CF" w14:textId="0BEE3814" w:rsidR="00B26F5B" w:rsidRDefault="006A0076">
      <w:pPr>
        <w:pStyle w:val="TOC2"/>
        <w:tabs>
          <w:tab w:val="right" w:leader="dot" w:pos="9629"/>
        </w:tabs>
        <w:rPr>
          <w:rFonts w:eastAsiaTheme="minorEastAsia" w:cstheme="minorBidi"/>
          <w:smallCaps w:val="0"/>
          <w:noProof/>
          <w:sz w:val="22"/>
          <w:szCs w:val="22"/>
          <w:lang w:val="en-US"/>
        </w:rPr>
      </w:pPr>
      <w:hyperlink w:anchor="_Toc111638498" w:history="1">
        <w:r w:rsidR="00B26F5B" w:rsidRPr="003771A2">
          <w:rPr>
            <w:rStyle w:val="Hyperlink"/>
            <w:noProof/>
            <w:lang w:val="en-GB"/>
          </w:rPr>
          <w:t>RESOLUTION 95 (Rev. Geneva, 2022)</w:t>
        </w:r>
        <w:r w:rsidR="00B26F5B">
          <w:rPr>
            <w:noProof/>
            <w:webHidden/>
          </w:rPr>
          <w:tab/>
        </w:r>
        <w:r w:rsidR="00B26F5B">
          <w:rPr>
            <w:noProof/>
            <w:webHidden/>
          </w:rPr>
          <w:fldChar w:fldCharType="begin"/>
        </w:r>
        <w:r w:rsidR="00B26F5B">
          <w:rPr>
            <w:noProof/>
            <w:webHidden/>
          </w:rPr>
          <w:instrText xml:space="preserve"> PAGEREF _Toc111638498 \h </w:instrText>
        </w:r>
        <w:r w:rsidR="00B26F5B">
          <w:rPr>
            <w:noProof/>
            <w:webHidden/>
          </w:rPr>
        </w:r>
        <w:r w:rsidR="00B26F5B">
          <w:rPr>
            <w:noProof/>
            <w:webHidden/>
          </w:rPr>
          <w:fldChar w:fldCharType="separate"/>
        </w:r>
        <w:r>
          <w:rPr>
            <w:noProof/>
            <w:webHidden/>
          </w:rPr>
          <w:t>238</w:t>
        </w:r>
        <w:r w:rsidR="00B26F5B">
          <w:rPr>
            <w:noProof/>
            <w:webHidden/>
          </w:rPr>
          <w:fldChar w:fldCharType="end"/>
        </w:r>
      </w:hyperlink>
    </w:p>
    <w:p w14:paraId="3ADDC6BB" w14:textId="4D75B240" w:rsidR="00B26F5B" w:rsidRDefault="006A0076">
      <w:pPr>
        <w:pStyle w:val="TOC3"/>
        <w:tabs>
          <w:tab w:val="right" w:leader="dot" w:pos="9629"/>
        </w:tabs>
        <w:rPr>
          <w:rFonts w:eastAsiaTheme="minorEastAsia" w:cstheme="minorBidi"/>
          <w:i w:val="0"/>
          <w:iCs w:val="0"/>
          <w:noProof/>
          <w:sz w:val="22"/>
          <w:szCs w:val="22"/>
          <w:lang w:val="en-US"/>
        </w:rPr>
      </w:pPr>
      <w:hyperlink w:anchor="_Toc111638499" w:history="1">
        <w:r w:rsidR="00B26F5B" w:rsidRPr="003771A2">
          <w:rPr>
            <w:rStyle w:val="Hyperlink"/>
            <w:noProof/>
            <w:lang w:val="en-GB"/>
          </w:rPr>
          <w:t>ITU Telecommunication Standardization Sector initiatives  to raise awareness on best practices and policies related  to service quality</w:t>
        </w:r>
      </w:hyperlink>
    </w:p>
    <w:p w14:paraId="691DC0E2" w14:textId="4A96A217" w:rsidR="00B26F5B" w:rsidRDefault="006A0076">
      <w:pPr>
        <w:pStyle w:val="TOC2"/>
        <w:tabs>
          <w:tab w:val="right" w:leader="dot" w:pos="9629"/>
        </w:tabs>
        <w:rPr>
          <w:rFonts w:eastAsiaTheme="minorEastAsia" w:cstheme="minorBidi"/>
          <w:smallCaps w:val="0"/>
          <w:noProof/>
          <w:sz w:val="22"/>
          <w:szCs w:val="22"/>
          <w:lang w:val="en-US"/>
        </w:rPr>
      </w:pPr>
      <w:hyperlink w:anchor="_Toc111638500" w:history="1">
        <w:r w:rsidR="00B26F5B" w:rsidRPr="003771A2">
          <w:rPr>
            <w:rStyle w:val="Hyperlink"/>
            <w:noProof/>
            <w:lang w:val="en-GB"/>
          </w:rPr>
          <w:t>RESOLUTION 96 (Hammamet, 2016)</w:t>
        </w:r>
        <w:r w:rsidR="00B26F5B">
          <w:rPr>
            <w:noProof/>
            <w:webHidden/>
          </w:rPr>
          <w:tab/>
        </w:r>
        <w:r w:rsidR="00B26F5B">
          <w:rPr>
            <w:noProof/>
            <w:webHidden/>
          </w:rPr>
          <w:fldChar w:fldCharType="begin"/>
        </w:r>
        <w:r w:rsidR="00B26F5B">
          <w:rPr>
            <w:noProof/>
            <w:webHidden/>
          </w:rPr>
          <w:instrText xml:space="preserve"> PAGEREF _Toc111638500 \h </w:instrText>
        </w:r>
        <w:r w:rsidR="00B26F5B">
          <w:rPr>
            <w:noProof/>
            <w:webHidden/>
          </w:rPr>
        </w:r>
        <w:r w:rsidR="00B26F5B">
          <w:rPr>
            <w:noProof/>
            <w:webHidden/>
          </w:rPr>
          <w:fldChar w:fldCharType="separate"/>
        </w:r>
        <w:r>
          <w:rPr>
            <w:noProof/>
            <w:webHidden/>
          </w:rPr>
          <w:t>242</w:t>
        </w:r>
        <w:r w:rsidR="00B26F5B">
          <w:rPr>
            <w:noProof/>
            <w:webHidden/>
          </w:rPr>
          <w:fldChar w:fldCharType="end"/>
        </w:r>
      </w:hyperlink>
    </w:p>
    <w:p w14:paraId="357D8CD9" w14:textId="374428F4" w:rsidR="00B26F5B" w:rsidRDefault="006A0076">
      <w:pPr>
        <w:pStyle w:val="TOC3"/>
        <w:tabs>
          <w:tab w:val="right" w:leader="dot" w:pos="9629"/>
        </w:tabs>
        <w:rPr>
          <w:rFonts w:eastAsiaTheme="minorEastAsia" w:cstheme="minorBidi"/>
          <w:i w:val="0"/>
          <w:iCs w:val="0"/>
          <w:noProof/>
          <w:sz w:val="22"/>
          <w:szCs w:val="22"/>
          <w:lang w:val="en-US"/>
        </w:rPr>
      </w:pPr>
      <w:hyperlink w:anchor="_Toc111638501" w:history="1">
        <w:r w:rsidR="00B26F5B" w:rsidRPr="003771A2">
          <w:rPr>
            <w:rStyle w:val="Hyperlink"/>
            <w:noProof/>
            <w:lang w:val="en-GB"/>
          </w:rPr>
          <w:t>ITU Telecommunication Standardization Sector studies for combating counterfeit telecommunication/</w:t>
        </w:r>
        <w:r w:rsidR="00AE0ADB">
          <w:rPr>
            <w:rStyle w:val="Hyperlink"/>
            <w:noProof/>
            <w:lang w:val="en-GB"/>
          </w:rPr>
          <w:br/>
        </w:r>
        <w:r w:rsidR="00B26F5B" w:rsidRPr="003771A2">
          <w:rPr>
            <w:rStyle w:val="Hyperlink"/>
            <w:noProof/>
            <w:lang w:val="en-GB"/>
          </w:rPr>
          <w:t>information and communication  technology devices</w:t>
        </w:r>
      </w:hyperlink>
    </w:p>
    <w:p w14:paraId="5F9B62B6" w14:textId="77777777" w:rsidR="00AE0ADB" w:rsidRDefault="00AE0ADB">
      <w:pPr>
        <w:pStyle w:val="TOC2"/>
        <w:tabs>
          <w:tab w:val="right" w:leader="dot" w:pos="9629"/>
        </w:tabs>
        <w:rPr>
          <w:noProof/>
        </w:rPr>
      </w:pPr>
      <w:r>
        <w:rPr>
          <w:noProof/>
        </w:rPr>
        <w:br w:type="page"/>
      </w:r>
    </w:p>
    <w:p w14:paraId="2C912624" w14:textId="002F91F1" w:rsidR="00B26F5B" w:rsidRDefault="006A0076">
      <w:pPr>
        <w:pStyle w:val="TOC2"/>
        <w:tabs>
          <w:tab w:val="right" w:leader="dot" w:pos="9629"/>
        </w:tabs>
        <w:rPr>
          <w:rFonts w:eastAsiaTheme="minorEastAsia" w:cstheme="minorBidi"/>
          <w:smallCaps w:val="0"/>
          <w:noProof/>
          <w:sz w:val="22"/>
          <w:szCs w:val="22"/>
          <w:lang w:val="en-US"/>
        </w:rPr>
      </w:pPr>
      <w:hyperlink w:anchor="_Toc111638502" w:history="1">
        <w:r w:rsidR="00B26F5B" w:rsidRPr="003771A2">
          <w:rPr>
            <w:rStyle w:val="Hyperlink"/>
            <w:noProof/>
            <w:lang w:val="en-GB"/>
          </w:rPr>
          <w:t>RESOLUTION 97 (Rev. Geneva, 2022)</w:t>
        </w:r>
        <w:r w:rsidR="00B26F5B">
          <w:rPr>
            <w:noProof/>
            <w:webHidden/>
          </w:rPr>
          <w:tab/>
        </w:r>
        <w:r w:rsidR="00B26F5B">
          <w:rPr>
            <w:noProof/>
            <w:webHidden/>
          </w:rPr>
          <w:fldChar w:fldCharType="begin"/>
        </w:r>
        <w:r w:rsidR="00B26F5B">
          <w:rPr>
            <w:noProof/>
            <w:webHidden/>
          </w:rPr>
          <w:instrText xml:space="preserve"> PAGEREF _Toc111638502 \h </w:instrText>
        </w:r>
        <w:r w:rsidR="00B26F5B">
          <w:rPr>
            <w:noProof/>
            <w:webHidden/>
          </w:rPr>
        </w:r>
        <w:r w:rsidR="00B26F5B">
          <w:rPr>
            <w:noProof/>
            <w:webHidden/>
          </w:rPr>
          <w:fldChar w:fldCharType="separate"/>
        </w:r>
        <w:r>
          <w:rPr>
            <w:noProof/>
            <w:webHidden/>
          </w:rPr>
          <w:t>248</w:t>
        </w:r>
        <w:r w:rsidR="00B26F5B">
          <w:rPr>
            <w:noProof/>
            <w:webHidden/>
          </w:rPr>
          <w:fldChar w:fldCharType="end"/>
        </w:r>
      </w:hyperlink>
    </w:p>
    <w:p w14:paraId="57710D97" w14:textId="4CE3DB1A" w:rsidR="00B26F5B" w:rsidRDefault="006A0076">
      <w:pPr>
        <w:pStyle w:val="TOC3"/>
        <w:tabs>
          <w:tab w:val="right" w:leader="dot" w:pos="9629"/>
        </w:tabs>
        <w:rPr>
          <w:rFonts w:eastAsiaTheme="minorEastAsia" w:cstheme="minorBidi"/>
          <w:i w:val="0"/>
          <w:iCs w:val="0"/>
          <w:noProof/>
          <w:sz w:val="22"/>
          <w:szCs w:val="22"/>
          <w:lang w:val="en-US"/>
        </w:rPr>
      </w:pPr>
      <w:hyperlink w:anchor="_Toc111638503" w:history="1">
        <w:r w:rsidR="00B26F5B" w:rsidRPr="003771A2">
          <w:rPr>
            <w:rStyle w:val="Hyperlink"/>
            <w:noProof/>
            <w:lang w:val="en-GB"/>
          </w:rPr>
          <w:t>Combating mobile telecommunication device theft</w:t>
        </w:r>
      </w:hyperlink>
    </w:p>
    <w:p w14:paraId="272343E1" w14:textId="2DD0DD3C" w:rsidR="00B26F5B" w:rsidRDefault="006A0076">
      <w:pPr>
        <w:pStyle w:val="TOC2"/>
        <w:tabs>
          <w:tab w:val="right" w:leader="dot" w:pos="9629"/>
        </w:tabs>
        <w:rPr>
          <w:rFonts w:eastAsiaTheme="minorEastAsia" w:cstheme="minorBidi"/>
          <w:smallCaps w:val="0"/>
          <w:noProof/>
          <w:sz w:val="22"/>
          <w:szCs w:val="22"/>
          <w:lang w:val="en-US"/>
        </w:rPr>
      </w:pPr>
      <w:hyperlink w:anchor="_Toc111638504" w:history="1">
        <w:r w:rsidR="00B26F5B" w:rsidRPr="003771A2">
          <w:rPr>
            <w:rStyle w:val="Hyperlink"/>
            <w:noProof/>
            <w:lang w:val="en-GB"/>
          </w:rPr>
          <w:t>RESOLUTION 98 (Rev. Geneva, 2022)</w:t>
        </w:r>
        <w:r w:rsidR="00B26F5B">
          <w:rPr>
            <w:noProof/>
            <w:webHidden/>
          </w:rPr>
          <w:tab/>
        </w:r>
        <w:r w:rsidR="00B26F5B">
          <w:rPr>
            <w:noProof/>
            <w:webHidden/>
          </w:rPr>
          <w:fldChar w:fldCharType="begin"/>
        </w:r>
        <w:r w:rsidR="00B26F5B">
          <w:rPr>
            <w:noProof/>
            <w:webHidden/>
          </w:rPr>
          <w:instrText xml:space="preserve"> PAGEREF _Toc111638504 \h </w:instrText>
        </w:r>
        <w:r w:rsidR="00B26F5B">
          <w:rPr>
            <w:noProof/>
            <w:webHidden/>
          </w:rPr>
        </w:r>
        <w:r w:rsidR="00B26F5B">
          <w:rPr>
            <w:noProof/>
            <w:webHidden/>
          </w:rPr>
          <w:fldChar w:fldCharType="separate"/>
        </w:r>
        <w:r>
          <w:rPr>
            <w:noProof/>
            <w:webHidden/>
          </w:rPr>
          <w:t>251</w:t>
        </w:r>
        <w:r w:rsidR="00B26F5B">
          <w:rPr>
            <w:noProof/>
            <w:webHidden/>
          </w:rPr>
          <w:fldChar w:fldCharType="end"/>
        </w:r>
      </w:hyperlink>
    </w:p>
    <w:p w14:paraId="0EEFE968" w14:textId="5C5952B4" w:rsidR="00B26F5B" w:rsidRDefault="006A0076">
      <w:pPr>
        <w:pStyle w:val="TOC3"/>
        <w:tabs>
          <w:tab w:val="right" w:leader="dot" w:pos="9629"/>
        </w:tabs>
        <w:rPr>
          <w:rFonts w:eastAsiaTheme="minorEastAsia" w:cstheme="minorBidi"/>
          <w:i w:val="0"/>
          <w:iCs w:val="0"/>
          <w:noProof/>
          <w:sz w:val="22"/>
          <w:szCs w:val="22"/>
          <w:lang w:val="en-US"/>
        </w:rPr>
      </w:pPr>
      <w:hyperlink w:anchor="_Toc111638505" w:history="1">
        <w:r w:rsidR="00B26F5B" w:rsidRPr="003771A2">
          <w:rPr>
            <w:rStyle w:val="Hyperlink"/>
            <w:noProof/>
            <w:lang w:val="en-GB"/>
          </w:rPr>
          <w:t xml:space="preserve">Enhancing the standardization of Internet of Things and  smart cities and communities for global </w:t>
        </w:r>
        <w:r w:rsidR="00AE0ADB">
          <w:rPr>
            <w:rStyle w:val="Hyperlink"/>
            <w:noProof/>
            <w:lang w:val="en-GB"/>
          </w:rPr>
          <w:br/>
        </w:r>
        <w:r w:rsidR="00B26F5B" w:rsidRPr="003771A2">
          <w:rPr>
            <w:rStyle w:val="Hyperlink"/>
            <w:noProof/>
            <w:lang w:val="en-GB"/>
          </w:rPr>
          <w:t>development</w:t>
        </w:r>
      </w:hyperlink>
    </w:p>
    <w:p w14:paraId="24D9E604" w14:textId="3CA0FBDB" w:rsidR="00B26F5B" w:rsidRDefault="006A0076">
      <w:pPr>
        <w:pStyle w:val="TOC2"/>
        <w:tabs>
          <w:tab w:val="right" w:leader="dot" w:pos="9629"/>
        </w:tabs>
        <w:rPr>
          <w:rFonts w:eastAsiaTheme="minorEastAsia" w:cstheme="minorBidi"/>
          <w:smallCaps w:val="0"/>
          <w:noProof/>
          <w:sz w:val="22"/>
          <w:szCs w:val="22"/>
          <w:lang w:val="en-US"/>
        </w:rPr>
      </w:pPr>
      <w:hyperlink w:anchor="_Toc111638506" w:history="1">
        <w:r w:rsidR="00B26F5B" w:rsidRPr="003771A2">
          <w:rPr>
            <w:rStyle w:val="Hyperlink"/>
            <w:noProof/>
            <w:lang w:val="en-GB"/>
          </w:rPr>
          <w:t>RESOLUTION 99 (Geneva, 2022)</w:t>
        </w:r>
        <w:r w:rsidR="00B26F5B">
          <w:rPr>
            <w:noProof/>
            <w:webHidden/>
          </w:rPr>
          <w:tab/>
        </w:r>
        <w:r w:rsidR="00B26F5B">
          <w:rPr>
            <w:noProof/>
            <w:webHidden/>
          </w:rPr>
          <w:fldChar w:fldCharType="begin"/>
        </w:r>
        <w:r w:rsidR="00B26F5B">
          <w:rPr>
            <w:noProof/>
            <w:webHidden/>
          </w:rPr>
          <w:instrText xml:space="preserve"> PAGEREF _Toc111638506 \h </w:instrText>
        </w:r>
        <w:r w:rsidR="00B26F5B">
          <w:rPr>
            <w:noProof/>
            <w:webHidden/>
          </w:rPr>
        </w:r>
        <w:r w:rsidR="00B26F5B">
          <w:rPr>
            <w:noProof/>
            <w:webHidden/>
          </w:rPr>
          <w:fldChar w:fldCharType="separate"/>
        </w:r>
        <w:r>
          <w:rPr>
            <w:noProof/>
            <w:webHidden/>
          </w:rPr>
          <w:t>256</w:t>
        </w:r>
        <w:r w:rsidR="00B26F5B">
          <w:rPr>
            <w:noProof/>
            <w:webHidden/>
          </w:rPr>
          <w:fldChar w:fldCharType="end"/>
        </w:r>
      </w:hyperlink>
    </w:p>
    <w:p w14:paraId="5659F9E0" w14:textId="69C6B08F" w:rsidR="00B26F5B" w:rsidRDefault="006A0076">
      <w:pPr>
        <w:pStyle w:val="TOC3"/>
        <w:tabs>
          <w:tab w:val="right" w:leader="dot" w:pos="9629"/>
        </w:tabs>
        <w:rPr>
          <w:rFonts w:eastAsiaTheme="minorEastAsia" w:cstheme="minorBidi"/>
          <w:i w:val="0"/>
          <w:iCs w:val="0"/>
          <w:noProof/>
          <w:sz w:val="22"/>
          <w:szCs w:val="22"/>
          <w:lang w:val="en-US"/>
        </w:rPr>
      </w:pPr>
      <w:hyperlink w:anchor="_Toc111638507" w:history="1">
        <w:r w:rsidR="00B26F5B" w:rsidRPr="003771A2">
          <w:rPr>
            <w:rStyle w:val="Hyperlink"/>
            <w:noProof/>
            <w:lang w:val="en-GB"/>
          </w:rPr>
          <w:t>Consideration of organizational reform of the ITU Telecommunication Standardization Sector study groups</w:t>
        </w:r>
      </w:hyperlink>
    </w:p>
    <w:p w14:paraId="54D3D8B8" w14:textId="7B14095C" w:rsidR="00B26F5B" w:rsidRDefault="006A0076">
      <w:pPr>
        <w:pStyle w:val="TOC2"/>
        <w:tabs>
          <w:tab w:val="right" w:leader="dot" w:pos="9629"/>
        </w:tabs>
        <w:rPr>
          <w:rFonts w:eastAsiaTheme="minorEastAsia" w:cstheme="minorBidi"/>
          <w:smallCaps w:val="0"/>
          <w:noProof/>
          <w:sz w:val="22"/>
          <w:szCs w:val="22"/>
          <w:lang w:val="en-US"/>
        </w:rPr>
      </w:pPr>
      <w:hyperlink w:anchor="_Toc111638508" w:history="1">
        <w:r w:rsidR="00B26F5B" w:rsidRPr="003771A2">
          <w:rPr>
            <w:rStyle w:val="Hyperlink"/>
            <w:noProof/>
            <w:lang w:val="en-GB"/>
          </w:rPr>
          <w:t>RESOLUTION 100 (Geneva, 2022)</w:t>
        </w:r>
        <w:r w:rsidR="00B26F5B">
          <w:rPr>
            <w:noProof/>
            <w:webHidden/>
          </w:rPr>
          <w:tab/>
        </w:r>
        <w:r w:rsidR="00B26F5B">
          <w:rPr>
            <w:noProof/>
            <w:webHidden/>
          </w:rPr>
          <w:fldChar w:fldCharType="begin"/>
        </w:r>
        <w:r w:rsidR="00B26F5B">
          <w:rPr>
            <w:noProof/>
            <w:webHidden/>
          </w:rPr>
          <w:instrText xml:space="preserve"> PAGEREF _Toc111638508 \h </w:instrText>
        </w:r>
        <w:r w:rsidR="00B26F5B">
          <w:rPr>
            <w:noProof/>
            <w:webHidden/>
          </w:rPr>
        </w:r>
        <w:r w:rsidR="00B26F5B">
          <w:rPr>
            <w:noProof/>
            <w:webHidden/>
          </w:rPr>
          <w:fldChar w:fldCharType="separate"/>
        </w:r>
        <w:r>
          <w:rPr>
            <w:noProof/>
            <w:webHidden/>
          </w:rPr>
          <w:t>258</w:t>
        </w:r>
        <w:r w:rsidR="00B26F5B">
          <w:rPr>
            <w:noProof/>
            <w:webHidden/>
          </w:rPr>
          <w:fldChar w:fldCharType="end"/>
        </w:r>
      </w:hyperlink>
    </w:p>
    <w:p w14:paraId="5E2DFC95" w14:textId="067050BE" w:rsidR="00B26F5B" w:rsidRDefault="006A0076">
      <w:pPr>
        <w:pStyle w:val="TOC3"/>
        <w:tabs>
          <w:tab w:val="right" w:leader="dot" w:pos="9629"/>
        </w:tabs>
        <w:rPr>
          <w:rFonts w:eastAsiaTheme="minorEastAsia" w:cstheme="minorBidi"/>
          <w:i w:val="0"/>
          <w:iCs w:val="0"/>
          <w:noProof/>
          <w:sz w:val="22"/>
          <w:szCs w:val="22"/>
          <w:lang w:val="en-US"/>
        </w:rPr>
      </w:pPr>
      <w:hyperlink w:anchor="_Toc111638509" w:history="1">
        <w:r w:rsidR="00B26F5B" w:rsidRPr="003771A2">
          <w:rPr>
            <w:rStyle w:val="Hyperlink"/>
            <w:noProof/>
            <w:lang w:val="en-GB"/>
          </w:rPr>
          <w:t>A common emergency number for Africa</w:t>
        </w:r>
      </w:hyperlink>
    </w:p>
    <w:p w14:paraId="253FD5FE" w14:textId="133554F1" w:rsidR="00B26F5B" w:rsidRDefault="006A0076">
      <w:pPr>
        <w:pStyle w:val="TOC2"/>
        <w:tabs>
          <w:tab w:val="right" w:leader="dot" w:pos="9629"/>
        </w:tabs>
        <w:rPr>
          <w:rFonts w:eastAsiaTheme="minorEastAsia" w:cstheme="minorBidi"/>
          <w:smallCaps w:val="0"/>
          <w:noProof/>
          <w:sz w:val="22"/>
          <w:szCs w:val="22"/>
          <w:lang w:val="en-US"/>
        </w:rPr>
      </w:pPr>
      <w:hyperlink w:anchor="_Toc111638510" w:history="1">
        <w:r w:rsidR="00B26F5B" w:rsidRPr="003771A2">
          <w:rPr>
            <w:rStyle w:val="Hyperlink"/>
            <w:noProof/>
            <w:lang w:val="en-GB"/>
          </w:rPr>
          <w:t>OPINION 1 (Dubai, 2012)</w:t>
        </w:r>
        <w:r w:rsidR="00B26F5B">
          <w:rPr>
            <w:noProof/>
            <w:webHidden/>
          </w:rPr>
          <w:tab/>
        </w:r>
        <w:r w:rsidR="00B26F5B">
          <w:rPr>
            <w:noProof/>
            <w:webHidden/>
          </w:rPr>
          <w:fldChar w:fldCharType="begin"/>
        </w:r>
        <w:r w:rsidR="00B26F5B">
          <w:rPr>
            <w:noProof/>
            <w:webHidden/>
          </w:rPr>
          <w:instrText xml:space="preserve"> PAGEREF _Toc111638510 \h </w:instrText>
        </w:r>
        <w:r w:rsidR="00B26F5B">
          <w:rPr>
            <w:noProof/>
            <w:webHidden/>
          </w:rPr>
        </w:r>
        <w:r w:rsidR="00B26F5B">
          <w:rPr>
            <w:noProof/>
            <w:webHidden/>
          </w:rPr>
          <w:fldChar w:fldCharType="separate"/>
        </w:r>
        <w:r>
          <w:rPr>
            <w:noProof/>
            <w:webHidden/>
          </w:rPr>
          <w:t>261</w:t>
        </w:r>
        <w:r w:rsidR="00B26F5B">
          <w:rPr>
            <w:noProof/>
            <w:webHidden/>
          </w:rPr>
          <w:fldChar w:fldCharType="end"/>
        </w:r>
      </w:hyperlink>
    </w:p>
    <w:p w14:paraId="1D014066" w14:textId="64C2E63D" w:rsidR="00B26F5B" w:rsidRDefault="006A0076">
      <w:pPr>
        <w:pStyle w:val="TOC3"/>
        <w:tabs>
          <w:tab w:val="right" w:leader="dot" w:pos="9629"/>
        </w:tabs>
        <w:rPr>
          <w:rFonts w:eastAsiaTheme="minorEastAsia" w:cstheme="minorBidi"/>
          <w:i w:val="0"/>
          <w:iCs w:val="0"/>
          <w:noProof/>
          <w:sz w:val="22"/>
          <w:szCs w:val="22"/>
          <w:lang w:val="en-US"/>
        </w:rPr>
      </w:pPr>
      <w:hyperlink w:anchor="_Toc111638511" w:history="1">
        <w:r w:rsidR="00B26F5B" w:rsidRPr="003771A2">
          <w:rPr>
            <w:rStyle w:val="Hyperlink"/>
            <w:noProof/>
            <w:lang w:val="en-GB"/>
          </w:rPr>
          <w:t>Practical application of network externality premium</w:t>
        </w:r>
      </w:hyperlink>
    </w:p>
    <w:p w14:paraId="54105BB3" w14:textId="5D2842E4" w:rsidR="00B26F5B" w:rsidRDefault="006A0076">
      <w:pPr>
        <w:pStyle w:val="TOC2"/>
        <w:tabs>
          <w:tab w:val="right" w:leader="dot" w:pos="9629"/>
        </w:tabs>
        <w:rPr>
          <w:rFonts w:eastAsiaTheme="minorEastAsia" w:cstheme="minorBidi"/>
          <w:smallCaps w:val="0"/>
          <w:noProof/>
          <w:sz w:val="22"/>
          <w:szCs w:val="22"/>
          <w:lang w:val="en-US"/>
        </w:rPr>
      </w:pPr>
      <w:hyperlink w:anchor="_Toc111638512" w:history="1">
        <w:r w:rsidR="00B26F5B" w:rsidRPr="003771A2">
          <w:rPr>
            <w:rStyle w:val="Hyperlink"/>
            <w:noProof/>
          </w:rPr>
          <w:t>Resolutions suppressed by WTSA-20</w:t>
        </w:r>
        <w:r w:rsidR="00B26F5B">
          <w:rPr>
            <w:noProof/>
            <w:webHidden/>
          </w:rPr>
          <w:tab/>
        </w:r>
        <w:r w:rsidR="00B26F5B">
          <w:rPr>
            <w:noProof/>
            <w:webHidden/>
          </w:rPr>
          <w:fldChar w:fldCharType="begin"/>
        </w:r>
        <w:r w:rsidR="00B26F5B">
          <w:rPr>
            <w:noProof/>
            <w:webHidden/>
          </w:rPr>
          <w:instrText xml:space="preserve"> PAGEREF _Toc111638512 \h </w:instrText>
        </w:r>
        <w:r w:rsidR="00B26F5B">
          <w:rPr>
            <w:noProof/>
            <w:webHidden/>
          </w:rPr>
        </w:r>
        <w:r w:rsidR="00B26F5B">
          <w:rPr>
            <w:noProof/>
            <w:webHidden/>
          </w:rPr>
          <w:fldChar w:fldCharType="separate"/>
        </w:r>
        <w:r>
          <w:rPr>
            <w:noProof/>
            <w:webHidden/>
          </w:rPr>
          <w:t>262</w:t>
        </w:r>
        <w:r w:rsidR="00B26F5B">
          <w:rPr>
            <w:noProof/>
            <w:webHidden/>
          </w:rPr>
          <w:fldChar w:fldCharType="end"/>
        </w:r>
      </w:hyperlink>
    </w:p>
    <w:p w14:paraId="129AC948" w14:textId="13D206C8" w:rsidR="00B26F5B" w:rsidRDefault="006A0076">
      <w:pPr>
        <w:pStyle w:val="TOC2"/>
        <w:tabs>
          <w:tab w:val="right" w:leader="dot" w:pos="9629"/>
        </w:tabs>
        <w:rPr>
          <w:rFonts w:eastAsiaTheme="minorEastAsia" w:cstheme="minorBidi"/>
          <w:smallCaps w:val="0"/>
          <w:noProof/>
          <w:sz w:val="22"/>
          <w:szCs w:val="22"/>
          <w:lang w:val="en-US"/>
        </w:rPr>
      </w:pPr>
      <w:hyperlink w:anchor="_Toc111638513" w:history="1">
        <w:r w:rsidR="00B26F5B" w:rsidRPr="003771A2">
          <w:rPr>
            <w:rStyle w:val="Hyperlink"/>
            <w:noProof/>
            <w:lang w:val="en-GB"/>
          </w:rPr>
          <w:t>RESOLUTION 35 (Rev. Hammamet, 2016)</w:t>
        </w:r>
        <w:r w:rsidR="00B26F5B">
          <w:rPr>
            <w:noProof/>
            <w:webHidden/>
          </w:rPr>
          <w:tab/>
        </w:r>
        <w:r w:rsidR="00B26F5B">
          <w:rPr>
            <w:noProof/>
            <w:webHidden/>
          </w:rPr>
          <w:fldChar w:fldCharType="begin"/>
        </w:r>
        <w:r w:rsidR="00B26F5B">
          <w:rPr>
            <w:noProof/>
            <w:webHidden/>
          </w:rPr>
          <w:instrText xml:space="preserve"> PAGEREF _Toc111638513 \h </w:instrText>
        </w:r>
        <w:r w:rsidR="00B26F5B">
          <w:rPr>
            <w:noProof/>
            <w:webHidden/>
          </w:rPr>
        </w:r>
        <w:r w:rsidR="00B26F5B">
          <w:rPr>
            <w:noProof/>
            <w:webHidden/>
          </w:rPr>
          <w:fldChar w:fldCharType="separate"/>
        </w:r>
        <w:r>
          <w:rPr>
            <w:noProof/>
            <w:webHidden/>
          </w:rPr>
          <w:t>262</w:t>
        </w:r>
        <w:r w:rsidR="00B26F5B">
          <w:rPr>
            <w:noProof/>
            <w:webHidden/>
          </w:rPr>
          <w:fldChar w:fldCharType="end"/>
        </w:r>
      </w:hyperlink>
    </w:p>
    <w:p w14:paraId="57288E2B" w14:textId="470C3DF0" w:rsidR="00B26F5B" w:rsidRDefault="006A0076">
      <w:pPr>
        <w:pStyle w:val="TOC3"/>
        <w:tabs>
          <w:tab w:val="right" w:leader="dot" w:pos="9629"/>
        </w:tabs>
        <w:rPr>
          <w:rFonts w:eastAsiaTheme="minorEastAsia" w:cstheme="minorBidi"/>
          <w:i w:val="0"/>
          <w:iCs w:val="0"/>
          <w:noProof/>
          <w:sz w:val="22"/>
          <w:szCs w:val="22"/>
          <w:lang w:val="en-US"/>
        </w:rPr>
      </w:pPr>
      <w:hyperlink w:anchor="_Toc111638514" w:history="1">
        <w:r w:rsidR="00B26F5B" w:rsidRPr="003771A2">
          <w:rPr>
            <w:rStyle w:val="Hyperlink"/>
            <w:noProof/>
            <w:lang w:val="en-GB"/>
          </w:rPr>
          <w:t>Appointment and maximum term of office for chairmen and vice</w:t>
        </w:r>
        <w:r w:rsidR="00B26F5B" w:rsidRPr="003771A2">
          <w:rPr>
            <w:rStyle w:val="Hyperlink"/>
            <w:noProof/>
            <w:lang w:val="en-GB"/>
          </w:rPr>
          <w:noBreakHyphen/>
          <w:t>chairmen  of study groups of the Telecommunication Standardization Sector  and of the Telecommunication Standardization Advisory Group</w:t>
        </w:r>
      </w:hyperlink>
    </w:p>
    <w:p w14:paraId="49E2FE9B" w14:textId="6AD334F7" w:rsidR="00B26F5B" w:rsidRDefault="006A0076">
      <w:pPr>
        <w:pStyle w:val="TOC2"/>
        <w:tabs>
          <w:tab w:val="right" w:leader="dot" w:pos="9629"/>
        </w:tabs>
        <w:rPr>
          <w:rFonts w:eastAsiaTheme="minorEastAsia" w:cstheme="minorBidi"/>
          <w:smallCaps w:val="0"/>
          <w:noProof/>
          <w:sz w:val="22"/>
          <w:szCs w:val="22"/>
          <w:lang w:val="en-US"/>
        </w:rPr>
      </w:pPr>
      <w:hyperlink w:anchor="_Toc111638515" w:history="1">
        <w:r w:rsidR="00B26F5B" w:rsidRPr="003771A2">
          <w:rPr>
            <w:rStyle w:val="Hyperlink"/>
            <w:noProof/>
            <w:lang w:val="en-GB"/>
          </w:rPr>
          <w:t>RESOLUTION 45 (Rev. Hammamet, 2016)</w:t>
        </w:r>
        <w:r w:rsidR="00B26F5B">
          <w:rPr>
            <w:noProof/>
            <w:webHidden/>
          </w:rPr>
          <w:tab/>
        </w:r>
        <w:r w:rsidR="00B26F5B">
          <w:rPr>
            <w:noProof/>
            <w:webHidden/>
          </w:rPr>
          <w:fldChar w:fldCharType="begin"/>
        </w:r>
        <w:r w:rsidR="00B26F5B">
          <w:rPr>
            <w:noProof/>
            <w:webHidden/>
          </w:rPr>
          <w:instrText xml:space="preserve"> PAGEREF _Toc111638515 \h </w:instrText>
        </w:r>
        <w:r w:rsidR="00B26F5B">
          <w:rPr>
            <w:noProof/>
            <w:webHidden/>
          </w:rPr>
        </w:r>
        <w:r w:rsidR="00B26F5B">
          <w:rPr>
            <w:noProof/>
            <w:webHidden/>
          </w:rPr>
          <w:fldChar w:fldCharType="separate"/>
        </w:r>
        <w:r>
          <w:rPr>
            <w:noProof/>
            <w:webHidden/>
          </w:rPr>
          <w:t>262</w:t>
        </w:r>
        <w:r w:rsidR="00B26F5B">
          <w:rPr>
            <w:noProof/>
            <w:webHidden/>
          </w:rPr>
          <w:fldChar w:fldCharType="end"/>
        </w:r>
      </w:hyperlink>
    </w:p>
    <w:p w14:paraId="244E6B3C" w14:textId="3BB0F395" w:rsidR="00B26F5B" w:rsidRDefault="006A0076">
      <w:pPr>
        <w:pStyle w:val="TOC3"/>
        <w:tabs>
          <w:tab w:val="right" w:leader="dot" w:pos="9629"/>
        </w:tabs>
        <w:rPr>
          <w:rFonts w:eastAsiaTheme="minorEastAsia" w:cstheme="minorBidi"/>
          <w:i w:val="0"/>
          <w:iCs w:val="0"/>
          <w:noProof/>
          <w:sz w:val="22"/>
          <w:szCs w:val="22"/>
          <w:lang w:val="en-US"/>
        </w:rPr>
      </w:pPr>
      <w:hyperlink w:anchor="_Toc111638516" w:history="1">
        <w:r w:rsidR="00B26F5B" w:rsidRPr="003771A2">
          <w:rPr>
            <w:rStyle w:val="Hyperlink"/>
            <w:noProof/>
            <w:lang w:val="en-GB"/>
          </w:rPr>
          <w:t>Effective coordination of standardization work across study groups in the  ITU Telecommunication Standardization Sector and the role of the  ITU Telecommunication Standardization Advisory Group</w:t>
        </w:r>
      </w:hyperlink>
    </w:p>
    <w:p w14:paraId="6F7497FD" w14:textId="7F6AAB92" w:rsidR="00B26F5B" w:rsidRDefault="006A0076">
      <w:pPr>
        <w:pStyle w:val="TOC2"/>
        <w:tabs>
          <w:tab w:val="right" w:leader="dot" w:pos="9629"/>
        </w:tabs>
        <w:rPr>
          <w:rFonts w:eastAsiaTheme="minorEastAsia" w:cstheme="minorBidi"/>
          <w:smallCaps w:val="0"/>
          <w:noProof/>
          <w:sz w:val="22"/>
          <w:szCs w:val="22"/>
          <w:lang w:val="en-US"/>
        </w:rPr>
      </w:pPr>
      <w:hyperlink w:anchor="_Toc111638517" w:history="1">
        <w:r w:rsidR="00B26F5B" w:rsidRPr="003771A2">
          <w:rPr>
            <w:rStyle w:val="Hyperlink"/>
            <w:noProof/>
            <w:lang w:val="en-GB"/>
          </w:rPr>
          <w:t>RESOLUTION 59 (Rev. Dubai, 2012)</w:t>
        </w:r>
        <w:r w:rsidR="00B26F5B">
          <w:rPr>
            <w:noProof/>
            <w:webHidden/>
          </w:rPr>
          <w:tab/>
        </w:r>
        <w:r w:rsidR="00B26F5B">
          <w:rPr>
            <w:noProof/>
            <w:webHidden/>
          </w:rPr>
          <w:fldChar w:fldCharType="begin"/>
        </w:r>
        <w:r w:rsidR="00B26F5B">
          <w:rPr>
            <w:noProof/>
            <w:webHidden/>
          </w:rPr>
          <w:instrText xml:space="preserve"> PAGEREF _Toc111638517 \h </w:instrText>
        </w:r>
        <w:r w:rsidR="00B26F5B">
          <w:rPr>
            <w:noProof/>
            <w:webHidden/>
          </w:rPr>
        </w:r>
        <w:r w:rsidR="00B26F5B">
          <w:rPr>
            <w:noProof/>
            <w:webHidden/>
          </w:rPr>
          <w:fldChar w:fldCharType="separate"/>
        </w:r>
        <w:r>
          <w:rPr>
            <w:noProof/>
            <w:webHidden/>
          </w:rPr>
          <w:t>262</w:t>
        </w:r>
        <w:r w:rsidR="00B26F5B">
          <w:rPr>
            <w:noProof/>
            <w:webHidden/>
          </w:rPr>
          <w:fldChar w:fldCharType="end"/>
        </w:r>
      </w:hyperlink>
    </w:p>
    <w:p w14:paraId="66F7B1C7" w14:textId="1019A44D" w:rsidR="00B26F5B" w:rsidRDefault="006A0076">
      <w:pPr>
        <w:pStyle w:val="TOC3"/>
        <w:tabs>
          <w:tab w:val="right" w:leader="dot" w:pos="9629"/>
        </w:tabs>
        <w:rPr>
          <w:rFonts w:eastAsiaTheme="minorEastAsia" w:cstheme="minorBidi"/>
          <w:i w:val="0"/>
          <w:iCs w:val="0"/>
          <w:noProof/>
          <w:sz w:val="22"/>
          <w:szCs w:val="22"/>
          <w:lang w:val="en-US"/>
        </w:rPr>
      </w:pPr>
      <w:hyperlink w:anchor="_Toc111638518" w:history="1">
        <w:r w:rsidR="00B26F5B" w:rsidRPr="003771A2">
          <w:rPr>
            <w:rStyle w:val="Hyperlink"/>
            <w:noProof/>
            <w:lang w:val="en-GB"/>
          </w:rPr>
          <w:t>Enhancing participation of telecommunication operators  from developing countries</w:t>
        </w:r>
      </w:hyperlink>
    </w:p>
    <w:p w14:paraId="476C1CA6" w14:textId="04AE3645" w:rsidR="00B26F5B" w:rsidRDefault="006A0076">
      <w:pPr>
        <w:pStyle w:val="TOC2"/>
        <w:tabs>
          <w:tab w:val="right" w:leader="dot" w:pos="9629"/>
        </w:tabs>
        <w:rPr>
          <w:rFonts w:eastAsiaTheme="minorEastAsia" w:cstheme="minorBidi"/>
          <w:smallCaps w:val="0"/>
          <w:noProof/>
          <w:sz w:val="22"/>
          <w:szCs w:val="22"/>
          <w:lang w:val="en-US"/>
        </w:rPr>
      </w:pPr>
      <w:hyperlink w:anchor="_Toc111638519" w:history="1">
        <w:r w:rsidR="00B26F5B" w:rsidRPr="003771A2">
          <w:rPr>
            <w:rStyle w:val="Hyperlink"/>
            <w:noProof/>
            <w:lang w:val="en-GB"/>
          </w:rPr>
          <w:t>RESOLUTION 66 (Rev. Dubai, 2012)</w:t>
        </w:r>
        <w:r w:rsidR="00B26F5B">
          <w:rPr>
            <w:noProof/>
            <w:webHidden/>
          </w:rPr>
          <w:tab/>
        </w:r>
        <w:r w:rsidR="00B26F5B">
          <w:rPr>
            <w:noProof/>
            <w:webHidden/>
          </w:rPr>
          <w:fldChar w:fldCharType="begin"/>
        </w:r>
        <w:r w:rsidR="00B26F5B">
          <w:rPr>
            <w:noProof/>
            <w:webHidden/>
          </w:rPr>
          <w:instrText xml:space="preserve"> PAGEREF _Toc111638519 \h </w:instrText>
        </w:r>
        <w:r w:rsidR="00B26F5B">
          <w:rPr>
            <w:noProof/>
            <w:webHidden/>
          </w:rPr>
        </w:r>
        <w:r w:rsidR="00B26F5B">
          <w:rPr>
            <w:noProof/>
            <w:webHidden/>
          </w:rPr>
          <w:fldChar w:fldCharType="separate"/>
        </w:r>
        <w:r>
          <w:rPr>
            <w:noProof/>
            <w:webHidden/>
          </w:rPr>
          <w:t>262</w:t>
        </w:r>
        <w:r w:rsidR="00B26F5B">
          <w:rPr>
            <w:noProof/>
            <w:webHidden/>
          </w:rPr>
          <w:fldChar w:fldCharType="end"/>
        </w:r>
      </w:hyperlink>
    </w:p>
    <w:p w14:paraId="1993E1BA" w14:textId="7EF174C5" w:rsidR="00B26F5B" w:rsidRDefault="006A0076">
      <w:pPr>
        <w:pStyle w:val="TOC3"/>
        <w:tabs>
          <w:tab w:val="right" w:leader="dot" w:pos="9629"/>
        </w:tabs>
        <w:rPr>
          <w:rFonts w:eastAsiaTheme="minorEastAsia" w:cstheme="minorBidi"/>
          <w:i w:val="0"/>
          <w:iCs w:val="0"/>
          <w:noProof/>
          <w:sz w:val="22"/>
          <w:szCs w:val="22"/>
          <w:lang w:val="en-US"/>
        </w:rPr>
      </w:pPr>
      <w:hyperlink w:anchor="_Toc111638520" w:history="1">
        <w:r w:rsidR="00B26F5B" w:rsidRPr="003771A2">
          <w:rPr>
            <w:rStyle w:val="Hyperlink"/>
            <w:noProof/>
            <w:lang w:val="en-GB"/>
          </w:rPr>
          <w:t>Technology Watch in the Telecommunication Standardization Bureau</w:t>
        </w:r>
      </w:hyperlink>
    </w:p>
    <w:p w14:paraId="594752BE" w14:textId="74603A1F" w:rsidR="00B26F5B" w:rsidRDefault="006A0076" w:rsidP="00AE0ADB">
      <w:pPr>
        <w:pStyle w:val="TOC1"/>
        <w:tabs>
          <w:tab w:val="right" w:leader="dot" w:pos="9629"/>
        </w:tabs>
        <w:spacing w:before="240"/>
        <w:rPr>
          <w:rFonts w:eastAsiaTheme="minorEastAsia" w:cstheme="minorBidi"/>
          <w:b w:val="0"/>
          <w:bCs w:val="0"/>
          <w:caps w:val="0"/>
          <w:noProof/>
          <w:sz w:val="22"/>
          <w:szCs w:val="22"/>
          <w:lang w:val="en-US"/>
        </w:rPr>
      </w:pPr>
      <w:hyperlink w:anchor="_Toc111638521" w:history="1">
        <w:r w:rsidR="00B26F5B" w:rsidRPr="003771A2">
          <w:rPr>
            <w:rStyle w:val="Hyperlink"/>
            <w:noProof/>
            <w:lang w:val="en-GB"/>
          </w:rPr>
          <w:t>PART II    ITU-T A-series Recommendations and Supplements: Organization of the work of the ITU Telecommunication Standardization Sector</w:t>
        </w:r>
        <w:r w:rsidR="00B26F5B">
          <w:rPr>
            <w:noProof/>
            <w:webHidden/>
          </w:rPr>
          <w:tab/>
        </w:r>
        <w:r w:rsidR="00B26F5B">
          <w:rPr>
            <w:noProof/>
            <w:webHidden/>
          </w:rPr>
          <w:fldChar w:fldCharType="begin"/>
        </w:r>
        <w:r w:rsidR="00B26F5B">
          <w:rPr>
            <w:noProof/>
            <w:webHidden/>
          </w:rPr>
          <w:instrText xml:space="preserve"> PAGEREF _Toc111638521 \h </w:instrText>
        </w:r>
        <w:r w:rsidR="00B26F5B">
          <w:rPr>
            <w:noProof/>
            <w:webHidden/>
          </w:rPr>
        </w:r>
        <w:r w:rsidR="00B26F5B">
          <w:rPr>
            <w:noProof/>
            <w:webHidden/>
          </w:rPr>
          <w:fldChar w:fldCharType="separate"/>
        </w:r>
        <w:r>
          <w:rPr>
            <w:noProof/>
            <w:webHidden/>
          </w:rPr>
          <w:t>263</w:t>
        </w:r>
        <w:r w:rsidR="00B26F5B">
          <w:rPr>
            <w:noProof/>
            <w:webHidden/>
          </w:rPr>
          <w:fldChar w:fldCharType="end"/>
        </w:r>
      </w:hyperlink>
    </w:p>
    <w:p w14:paraId="203E2961" w14:textId="3B96ADBF" w:rsidR="00B26F5B" w:rsidRDefault="006A0076">
      <w:pPr>
        <w:pStyle w:val="TOC2"/>
        <w:tabs>
          <w:tab w:val="right" w:leader="dot" w:pos="9629"/>
        </w:tabs>
        <w:rPr>
          <w:rFonts w:eastAsiaTheme="minorEastAsia" w:cstheme="minorBidi"/>
          <w:smallCaps w:val="0"/>
          <w:noProof/>
          <w:sz w:val="22"/>
          <w:szCs w:val="22"/>
          <w:lang w:val="en-US"/>
        </w:rPr>
      </w:pPr>
      <w:hyperlink w:anchor="_Toc111638522" w:history="1">
        <w:r w:rsidR="00B26F5B" w:rsidRPr="003771A2">
          <w:rPr>
            <w:rStyle w:val="Hyperlink"/>
            <w:noProof/>
            <w:lang w:val="en-GB"/>
          </w:rPr>
          <w:t>Recommendation ITU-T A.1</w:t>
        </w:r>
        <w:r w:rsidR="00B26F5B">
          <w:rPr>
            <w:noProof/>
            <w:webHidden/>
          </w:rPr>
          <w:tab/>
        </w:r>
        <w:r w:rsidR="00B26F5B">
          <w:rPr>
            <w:noProof/>
            <w:webHidden/>
          </w:rPr>
          <w:fldChar w:fldCharType="begin"/>
        </w:r>
        <w:r w:rsidR="00B26F5B">
          <w:rPr>
            <w:noProof/>
            <w:webHidden/>
          </w:rPr>
          <w:instrText xml:space="preserve"> PAGEREF _Toc111638522 \h </w:instrText>
        </w:r>
        <w:r w:rsidR="00B26F5B">
          <w:rPr>
            <w:noProof/>
            <w:webHidden/>
          </w:rPr>
        </w:r>
        <w:r w:rsidR="00B26F5B">
          <w:rPr>
            <w:noProof/>
            <w:webHidden/>
          </w:rPr>
          <w:fldChar w:fldCharType="separate"/>
        </w:r>
        <w:r>
          <w:rPr>
            <w:noProof/>
            <w:webHidden/>
          </w:rPr>
          <w:t>265</w:t>
        </w:r>
        <w:r w:rsidR="00B26F5B">
          <w:rPr>
            <w:noProof/>
            <w:webHidden/>
          </w:rPr>
          <w:fldChar w:fldCharType="end"/>
        </w:r>
      </w:hyperlink>
    </w:p>
    <w:p w14:paraId="0BC6265D" w14:textId="42C0E5D4" w:rsidR="00B26F5B" w:rsidRDefault="006A0076">
      <w:pPr>
        <w:pStyle w:val="TOC3"/>
        <w:tabs>
          <w:tab w:val="right" w:leader="dot" w:pos="9629"/>
        </w:tabs>
        <w:rPr>
          <w:rFonts w:eastAsiaTheme="minorEastAsia" w:cstheme="minorBidi"/>
          <w:i w:val="0"/>
          <w:iCs w:val="0"/>
          <w:noProof/>
          <w:sz w:val="22"/>
          <w:szCs w:val="22"/>
          <w:lang w:val="en-US"/>
        </w:rPr>
      </w:pPr>
      <w:hyperlink w:anchor="_Toc111638523" w:history="1">
        <w:r w:rsidR="00B26F5B" w:rsidRPr="003771A2">
          <w:rPr>
            <w:rStyle w:val="Hyperlink"/>
            <w:noProof/>
            <w:lang w:val="en-GB"/>
          </w:rPr>
          <w:t>Working methods for study groups of the ITU Telecommunication Standardization Sector</w:t>
        </w:r>
      </w:hyperlink>
    </w:p>
    <w:p w14:paraId="4BBA7322" w14:textId="37B69430" w:rsidR="00B26F5B" w:rsidRDefault="006A0076">
      <w:pPr>
        <w:pStyle w:val="TOC2"/>
        <w:tabs>
          <w:tab w:val="right" w:leader="dot" w:pos="9629"/>
        </w:tabs>
        <w:rPr>
          <w:rFonts w:eastAsiaTheme="minorEastAsia" w:cstheme="minorBidi"/>
          <w:smallCaps w:val="0"/>
          <w:noProof/>
          <w:sz w:val="22"/>
          <w:szCs w:val="22"/>
          <w:lang w:val="en-US"/>
        </w:rPr>
      </w:pPr>
      <w:hyperlink w:anchor="_Toc111638524" w:history="1">
        <w:r w:rsidR="00B26F5B" w:rsidRPr="003771A2">
          <w:rPr>
            <w:rStyle w:val="Hyperlink"/>
            <w:noProof/>
            <w:lang w:val="en-GB"/>
          </w:rPr>
          <w:t>Recommendation ITU-T A.2</w:t>
        </w:r>
        <w:r w:rsidR="00B26F5B">
          <w:rPr>
            <w:noProof/>
            <w:webHidden/>
          </w:rPr>
          <w:tab/>
        </w:r>
        <w:r w:rsidR="00B26F5B">
          <w:rPr>
            <w:noProof/>
            <w:webHidden/>
          </w:rPr>
          <w:fldChar w:fldCharType="begin"/>
        </w:r>
        <w:r w:rsidR="00B26F5B">
          <w:rPr>
            <w:noProof/>
            <w:webHidden/>
          </w:rPr>
          <w:instrText xml:space="preserve"> PAGEREF _Toc111638524 \h </w:instrText>
        </w:r>
        <w:r w:rsidR="00B26F5B">
          <w:rPr>
            <w:noProof/>
            <w:webHidden/>
          </w:rPr>
        </w:r>
        <w:r w:rsidR="00B26F5B">
          <w:rPr>
            <w:noProof/>
            <w:webHidden/>
          </w:rPr>
          <w:fldChar w:fldCharType="separate"/>
        </w:r>
        <w:r>
          <w:rPr>
            <w:noProof/>
            <w:webHidden/>
          </w:rPr>
          <w:t>288</w:t>
        </w:r>
        <w:r w:rsidR="00B26F5B">
          <w:rPr>
            <w:noProof/>
            <w:webHidden/>
          </w:rPr>
          <w:fldChar w:fldCharType="end"/>
        </w:r>
      </w:hyperlink>
    </w:p>
    <w:p w14:paraId="4ADFC5C7" w14:textId="7D3DD745" w:rsidR="00B26F5B" w:rsidRDefault="006A0076">
      <w:pPr>
        <w:pStyle w:val="TOC3"/>
        <w:tabs>
          <w:tab w:val="right" w:leader="dot" w:pos="9629"/>
        </w:tabs>
        <w:rPr>
          <w:rFonts w:eastAsiaTheme="minorEastAsia" w:cstheme="minorBidi"/>
          <w:i w:val="0"/>
          <w:iCs w:val="0"/>
          <w:noProof/>
          <w:sz w:val="22"/>
          <w:szCs w:val="22"/>
          <w:lang w:val="en-US"/>
        </w:rPr>
      </w:pPr>
      <w:hyperlink w:anchor="_Toc111638525" w:history="1">
        <w:r w:rsidR="00B26F5B" w:rsidRPr="003771A2">
          <w:rPr>
            <w:rStyle w:val="Hyperlink"/>
            <w:noProof/>
            <w:lang w:val="en-GB"/>
          </w:rPr>
          <w:t>Presentation of contributions to the ITU Telecommunication Standardization Sector</w:t>
        </w:r>
      </w:hyperlink>
    </w:p>
    <w:p w14:paraId="05B348C0" w14:textId="5F3298E3" w:rsidR="00B26F5B" w:rsidRDefault="006A0076">
      <w:pPr>
        <w:pStyle w:val="TOC2"/>
        <w:tabs>
          <w:tab w:val="right" w:leader="dot" w:pos="9629"/>
        </w:tabs>
        <w:rPr>
          <w:rFonts w:eastAsiaTheme="minorEastAsia" w:cstheme="minorBidi"/>
          <w:smallCaps w:val="0"/>
          <w:noProof/>
          <w:sz w:val="22"/>
          <w:szCs w:val="22"/>
          <w:lang w:val="en-US"/>
        </w:rPr>
      </w:pPr>
      <w:hyperlink w:anchor="_Toc111638526" w:history="1">
        <w:r w:rsidR="00B26F5B" w:rsidRPr="003771A2">
          <w:rPr>
            <w:rStyle w:val="Hyperlink"/>
            <w:noProof/>
            <w:lang w:val="en-GB"/>
          </w:rPr>
          <w:t>Recommendation ITU-T A.4</w:t>
        </w:r>
        <w:r w:rsidR="00B26F5B">
          <w:rPr>
            <w:noProof/>
            <w:webHidden/>
          </w:rPr>
          <w:tab/>
        </w:r>
        <w:r w:rsidR="00B26F5B">
          <w:rPr>
            <w:noProof/>
            <w:webHidden/>
          </w:rPr>
          <w:fldChar w:fldCharType="begin"/>
        </w:r>
        <w:r w:rsidR="00B26F5B">
          <w:rPr>
            <w:noProof/>
            <w:webHidden/>
          </w:rPr>
          <w:instrText xml:space="preserve"> PAGEREF _Toc111638526 \h </w:instrText>
        </w:r>
        <w:r w:rsidR="00B26F5B">
          <w:rPr>
            <w:noProof/>
            <w:webHidden/>
          </w:rPr>
        </w:r>
        <w:r w:rsidR="00B26F5B">
          <w:rPr>
            <w:noProof/>
            <w:webHidden/>
          </w:rPr>
          <w:fldChar w:fldCharType="separate"/>
        </w:r>
        <w:r>
          <w:rPr>
            <w:noProof/>
            <w:webHidden/>
          </w:rPr>
          <w:t>293</w:t>
        </w:r>
        <w:r w:rsidR="00B26F5B">
          <w:rPr>
            <w:noProof/>
            <w:webHidden/>
          </w:rPr>
          <w:fldChar w:fldCharType="end"/>
        </w:r>
      </w:hyperlink>
    </w:p>
    <w:p w14:paraId="49FA9EFA" w14:textId="4878696D" w:rsidR="00B26F5B" w:rsidRDefault="006A0076">
      <w:pPr>
        <w:pStyle w:val="TOC3"/>
        <w:tabs>
          <w:tab w:val="right" w:leader="dot" w:pos="9629"/>
        </w:tabs>
        <w:rPr>
          <w:rFonts w:eastAsiaTheme="minorEastAsia" w:cstheme="minorBidi"/>
          <w:i w:val="0"/>
          <w:iCs w:val="0"/>
          <w:noProof/>
          <w:sz w:val="22"/>
          <w:szCs w:val="22"/>
          <w:lang w:val="en-US"/>
        </w:rPr>
      </w:pPr>
      <w:hyperlink w:anchor="_Toc111638527" w:history="1">
        <w:r w:rsidR="00B26F5B" w:rsidRPr="003771A2">
          <w:rPr>
            <w:rStyle w:val="Hyperlink"/>
            <w:noProof/>
            <w:lang w:val="en-GB"/>
          </w:rPr>
          <w:t xml:space="preserve">Communication process between the ITU Telecommunication Standardization Sector and forums </w:t>
        </w:r>
        <w:r w:rsidR="00AE0ADB">
          <w:rPr>
            <w:rStyle w:val="Hyperlink"/>
            <w:noProof/>
            <w:lang w:val="en-GB"/>
          </w:rPr>
          <w:br/>
        </w:r>
        <w:r w:rsidR="00B26F5B" w:rsidRPr="003771A2">
          <w:rPr>
            <w:rStyle w:val="Hyperlink"/>
            <w:noProof/>
            <w:lang w:val="en-GB"/>
          </w:rPr>
          <w:t>and consortia</w:t>
        </w:r>
      </w:hyperlink>
    </w:p>
    <w:p w14:paraId="2EB1C3A0" w14:textId="74A7D61A" w:rsidR="00B26F5B" w:rsidRDefault="006A0076">
      <w:pPr>
        <w:pStyle w:val="TOC2"/>
        <w:tabs>
          <w:tab w:val="right" w:leader="dot" w:pos="9629"/>
        </w:tabs>
        <w:rPr>
          <w:rFonts w:eastAsiaTheme="minorEastAsia" w:cstheme="minorBidi"/>
          <w:smallCaps w:val="0"/>
          <w:noProof/>
          <w:sz w:val="22"/>
          <w:szCs w:val="22"/>
          <w:lang w:val="en-US"/>
        </w:rPr>
      </w:pPr>
      <w:hyperlink w:anchor="_Toc111638528" w:history="1">
        <w:r w:rsidR="00B26F5B" w:rsidRPr="003771A2">
          <w:rPr>
            <w:rStyle w:val="Hyperlink"/>
            <w:rFonts w:eastAsia="Batang"/>
            <w:noProof/>
            <w:lang w:val="en-GB"/>
          </w:rPr>
          <w:t>Recommendation</w:t>
        </w:r>
        <w:r w:rsidR="00B26F5B" w:rsidRPr="003771A2">
          <w:rPr>
            <w:rStyle w:val="Hyperlink"/>
            <w:noProof/>
            <w:lang w:val="en-GB"/>
          </w:rPr>
          <w:t xml:space="preserve"> </w:t>
        </w:r>
        <w:r w:rsidR="00B26F5B" w:rsidRPr="003771A2">
          <w:rPr>
            <w:rStyle w:val="Hyperlink"/>
            <w:rFonts w:eastAsia="Batang"/>
            <w:noProof/>
            <w:lang w:val="en-GB"/>
          </w:rPr>
          <w:t>ITU</w:t>
        </w:r>
        <w:r w:rsidR="00B26F5B" w:rsidRPr="003771A2">
          <w:rPr>
            <w:rStyle w:val="Hyperlink"/>
            <w:rFonts w:eastAsia="Batang"/>
            <w:noProof/>
            <w:lang w:val="en-GB"/>
          </w:rPr>
          <w:noBreakHyphen/>
          <w:t>T A.5</w:t>
        </w:r>
        <w:r w:rsidR="00B26F5B">
          <w:rPr>
            <w:noProof/>
            <w:webHidden/>
          </w:rPr>
          <w:tab/>
        </w:r>
        <w:r w:rsidR="00B26F5B">
          <w:rPr>
            <w:noProof/>
            <w:webHidden/>
          </w:rPr>
          <w:fldChar w:fldCharType="begin"/>
        </w:r>
        <w:r w:rsidR="00B26F5B">
          <w:rPr>
            <w:noProof/>
            <w:webHidden/>
          </w:rPr>
          <w:instrText xml:space="preserve"> PAGEREF _Toc111638528 \h </w:instrText>
        </w:r>
        <w:r w:rsidR="00B26F5B">
          <w:rPr>
            <w:noProof/>
            <w:webHidden/>
          </w:rPr>
        </w:r>
        <w:r w:rsidR="00B26F5B">
          <w:rPr>
            <w:noProof/>
            <w:webHidden/>
          </w:rPr>
          <w:fldChar w:fldCharType="separate"/>
        </w:r>
        <w:r>
          <w:rPr>
            <w:noProof/>
            <w:webHidden/>
          </w:rPr>
          <w:t>300</w:t>
        </w:r>
        <w:r w:rsidR="00B26F5B">
          <w:rPr>
            <w:noProof/>
            <w:webHidden/>
          </w:rPr>
          <w:fldChar w:fldCharType="end"/>
        </w:r>
      </w:hyperlink>
    </w:p>
    <w:p w14:paraId="74AA8CB1" w14:textId="4E716213" w:rsidR="00B26F5B" w:rsidRDefault="006A0076">
      <w:pPr>
        <w:pStyle w:val="TOC3"/>
        <w:tabs>
          <w:tab w:val="right" w:leader="dot" w:pos="9629"/>
        </w:tabs>
        <w:rPr>
          <w:rFonts w:eastAsiaTheme="minorEastAsia" w:cstheme="minorBidi"/>
          <w:i w:val="0"/>
          <w:iCs w:val="0"/>
          <w:noProof/>
          <w:sz w:val="22"/>
          <w:szCs w:val="22"/>
          <w:lang w:val="en-US"/>
        </w:rPr>
      </w:pPr>
      <w:hyperlink w:anchor="_Toc111638529" w:history="1">
        <w:r w:rsidR="00B26F5B" w:rsidRPr="003771A2">
          <w:rPr>
            <w:rStyle w:val="Hyperlink"/>
            <w:noProof/>
            <w:lang w:val="en-GB"/>
          </w:rPr>
          <w:t>Generic procedures for including references to documents of other organizations in ITU</w:t>
        </w:r>
        <w:r w:rsidR="00B26F5B" w:rsidRPr="003771A2">
          <w:rPr>
            <w:rStyle w:val="Hyperlink"/>
            <w:noProof/>
            <w:lang w:val="en-GB"/>
          </w:rPr>
          <w:noBreakHyphen/>
          <w:t>T Recommendations</w:t>
        </w:r>
      </w:hyperlink>
    </w:p>
    <w:p w14:paraId="4DE44BA6" w14:textId="1E1A1CE6" w:rsidR="00B26F5B" w:rsidRDefault="006A0076">
      <w:pPr>
        <w:pStyle w:val="TOC2"/>
        <w:tabs>
          <w:tab w:val="right" w:leader="dot" w:pos="9629"/>
        </w:tabs>
        <w:rPr>
          <w:rFonts w:eastAsiaTheme="minorEastAsia" w:cstheme="minorBidi"/>
          <w:smallCaps w:val="0"/>
          <w:noProof/>
          <w:sz w:val="22"/>
          <w:szCs w:val="22"/>
          <w:lang w:val="en-US"/>
        </w:rPr>
      </w:pPr>
      <w:hyperlink w:anchor="_Toc111638530" w:history="1">
        <w:r w:rsidR="00B26F5B" w:rsidRPr="003771A2">
          <w:rPr>
            <w:rStyle w:val="Hyperlink"/>
            <w:noProof/>
            <w:lang w:val="en-GB"/>
          </w:rPr>
          <w:t>Recommendation ITU-T A.6</w:t>
        </w:r>
        <w:r w:rsidR="00B26F5B">
          <w:rPr>
            <w:noProof/>
            <w:webHidden/>
          </w:rPr>
          <w:tab/>
        </w:r>
        <w:r w:rsidR="00B26F5B">
          <w:rPr>
            <w:noProof/>
            <w:webHidden/>
          </w:rPr>
          <w:fldChar w:fldCharType="begin"/>
        </w:r>
        <w:r w:rsidR="00B26F5B">
          <w:rPr>
            <w:noProof/>
            <w:webHidden/>
          </w:rPr>
          <w:instrText xml:space="preserve"> PAGEREF _Toc111638530 \h </w:instrText>
        </w:r>
        <w:r w:rsidR="00B26F5B">
          <w:rPr>
            <w:noProof/>
            <w:webHidden/>
          </w:rPr>
        </w:r>
        <w:r w:rsidR="00B26F5B">
          <w:rPr>
            <w:noProof/>
            <w:webHidden/>
          </w:rPr>
          <w:fldChar w:fldCharType="separate"/>
        </w:r>
        <w:r>
          <w:rPr>
            <w:noProof/>
            <w:webHidden/>
          </w:rPr>
          <w:t>309</w:t>
        </w:r>
        <w:r w:rsidR="00B26F5B">
          <w:rPr>
            <w:noProof/>
            <w:webHidden/>
          </w:rPr>
          <w:fldChar w:fldCharType="end"/>
        </w:r>
      </w:hyperlink>
    </w:p>
    <w:p w14:paraId="4A370821" w14:textId="6ECC46D2" w:rsidR="00B26F5B" w:rsidRDefault="006A0076">
      <w:pPr>
        <w:pStyle w:val="TOC3"/>
        <w:tabs>
          <w:tab w:val="right" w:leader="dot" w:pos="9629"/>
        </w:tabs>
        <w:rPr>
          <w:rFonts w:eastAsiaTheme="minorEastAsia" w:cstheme="minorBidi"/>
          <w:i w:val="0"/>
          <w:iCs w:val="0"/>
          <w:noProof/>
          <w:sz w:val="22"/>
          <w:szCs w:val="22"/>
          <w:lang w:val="en-US"/>
        </w:rPr>
      </w:pPr>
      <w:hyperlink w:anchor="_Toc111638531" w:history="1">
        <w:r w:rsidR="00B26F5B" w:rsidRPr="003771A2">
          <w:rPr>
            <w:rStyle w:val="Hyperlink"/>
            <w:noProof/>
            <w:lang w:val="en-GB"/>
          </w:rPr>
          <w:t>Cooperation and exchange of information between the ITU Telecommunication Standardization Sector and national and regional standards development organizations</w:t>
        </w:r>
      </w:hyperlink>
    </w:p>
    <w:p w14:paraId="3C3FB840" w14:textId="4928FACB" w:rsidR="00B26F5B" w:rsidRDefault="006A0076">
      <w:pPr>
        <w:pStyle w:val="TOC2"/>
        <w:tabs>
          <w:tab w:val="right" w:leader="dot" w:pos="9629"/>
        </w:tabs>
        <w:rPr>
          <w:rFonts w:eastAsiaTheme="minorEastAsia" w:cstheme="minorBidi"/>
          <w:smallCaps w:val="0"/>
          <w:noProof/>
          <w:sz w:val="22"/>
          <w:szCs w:val="22"/>
          <w:lang w:val="en-US"/>
        </w:rPr>
      </w:pPr>
      <w:hyperlink w:anchor="_Toc111638532" w:history="1">
        <w:r w:rsidR="00B26F5B" w:rsidRPr="003771A2">
          <w:rPr>
            <w:rStyle w:val="Hyperlink"/>
            <w:noProof/>
            <w:lang w:val="en-GB"/>
          </w:rPr>
          <w:t>Recommendation ITU-T A.7</w:t>
        </w:r>
        <w:r w:rsidR="00B26F5B">
          <w:rPr>
            <w:noProof/>
            <w:webHidden/>
          </w:rPr>
          <w:tab/>
        </w:r>
        <w:r w:rsidR="00B26F5B">
          <w:rPr>
            <w:noProof/>
            <w:webHidden/>
          </w:rPr>
          <w:fldChar w:fldCharType="begin"/>
        </w:r>
        <w:r w:rsidR="00B26F5B">
          <w:rPr>
            <w:noProof/>
            <w:webHidden/>
          </w:rPr>
          <w:instrText xml:space="preserve"> PAGEREF _Toc111638532 \h </w:instrText>
        </w:r>
        <w:r w:rsidR="00B26F5B">
          <w:rPr>
            <w:noProof/>
            <w:webHidden/>
          </w:rPr>
        </w:r>
        <w:r w:rsidR="00B26F5B">
          <w:rPr>
            <w:noProof/>
            <w:webHidden/>
          </w:rPr>
          <w:fldChar w:fldCharType="separate"/>
        </w:r>
        <w:r>
          <w:rPr>
            <w:noProof/>
            <w:webHidden/>
          </w:rPr>
          <w:t>316</w:t>
        </w:r>
        <w:r w:rsidR="00B26F5B">
          <w:rPr>
            <w:noProof/>
            <w:webHidden/>
          </w:rPr>
          <w:fldChar w:fldCharType="end"/>
        </w:r>
      </w:hyperlink>
    </w:p>
    <w:p w14:paraId="738C360E" w14:textId="2DC5D0EA" w:rsidR="00B26F5B" w:rsidRDefault="006A0076">
      <w:pPr>
        <w:pStyle w:val="TOC3"/>
        <w:tabs>
          <w:tab w:val="right" w:leader="dot" w:pos="9629"/>
        </w:tabs>
        <w:rPr>
          <w:rFonts w:eastAsiaTheme="minorEastAsia" w:cstheme="minorBidi"/>
          <w:i w:val="0"/>
          <w:iCs w:val="0"/>
          <w:noProof/>
          <w:sz w:val="22"/>
          <w:szCs w:val="22"/>
          <w:lang w:val="en-US"/>
        </w:rPr>
      </w:pPr>
      <w:hyperlink w:anchor="_Toc111638533" w:history="1">
        <w:r w:rsidR="00B26F5B" w:rsidRPr="003771A2">
          <w:rPr>
            <w:rStyle w:val="Hyperlink"/>
            <w:noProof/>
            <w:lang w:val="en-GB"/>
          </w:rPr>
          <w:t>Focus groups: Establishment and working procedures</w:t>
        </w:r>
      </w:hyperlink>
    </w:p>
    <w:p w14:paraId="6502A9E0" w14:textId="1DEEA622" w:rsidR="00B26F5B" w:rsidRDefault="006A0076">
      <w:pPr>
        <w:pStyle w:val="TOC2"/>
        <w:tabs>
          <w:tab w:val="right" w:leader="dot" w:pos="9629"/>
        </w:tabs>
        <w:rPr>
          <w:rFonts w:eastAsiaTheme="minorEastAsia" w:cstheme="minorBidi"/>
          <w:smallCaps w:val="0"/>
          <w:noProof/>
          <w:sz w:val="22"/>
          <w:szCs w:val="22"/>
          <w:lang w:val="en-US"/>
        </w:rPr>
      </w:pPr>
      <w:hyperlink w:anchor="_Toc111638534" w:history="1">
        <w:r w:rsidR="00B26F5B" w:rsidRPr="003771A2">
          <w:rPr>
            <w:rStyle w:val="Hyperlink"/>
            <w:noProof/>
            <w:lang w:val="en-GB"/>
          </w:rPr>
          <w:t>Recommendation ITU-T A.8</w:t>
        </w:r>
        <w:r w:rsidR="00B26F5B">
          <w:rPr>
            <w:noProof/>
            <w:webHidden/>
          </w:rPr>
          <w:tab/>
        </w:r>
        <w:r w:rsidR="00B26F5B">
          <w:rPr>
            <w:noProof/>
            <w:webHidden/>
          </w:rPr>
          <w:fldChar w:fldCharType="begin"/>
        </w:r>
        <w:r w:rsidR="00B26F5B">
          <w:rPr>
            <w:noProof/>
            <w:webHidden/>
          </w:rPr>
          <w:instrText xml:space="preserve"> PAGEREF _Toc111638534 \h </w:instrText>
        </w:r>
        <w:r w:rsidR="00B26F5B">
          <w:rPr>
            <w:noProof/>
            <w:webHidden/>
          </w:rPr>
        </w:r>
        <w:r w:rsidR="00B26F5B">
          <w:rPr>
            <w:noProof/>
            <w:webHidden/>
          </w:rPr>
          <w:fldChar w:fldCharType="separate"/>
        </w:r>
        <w:r>
          <w:rPr>
            <w:noProof/>
            <w:webHidden/>
          </w:rPr>
          <w:t>326</w:t>
        </w:r>
        <w:r w:rsidR="00B26F5B">
          <w:rPr>
            <w:noProof/>
            <w:webHidden/>
          </w:rPr>
          <w:fldChar w:fldCharType="end"/>
        </w:r>
      </w:hyperlink>
    </w:p>
    <w:p w14:paraId="323BDAB5" w14:textId="23BF2E0B" w:rsidR="00B26F5B" w:rsidRDefault="006A0076">
      <w:pPr>
        <w:pStyle w:val="TOC3"/>
        <w:tabs>
          <w:tab w:val="right" w:leader="dot" w:pos="9629"/>
        </w:tabs>
        <w:rPr>
          <w:rFonts w:eastAsiaTheme="minorEastAsia" w:cstheme="minorBidi"/>
          <w:i w:val="0"/>
          <w:iCs w:val="0"/>
          <w:noProof/>
          <w:sz w:val="22"/>
          <w:szCs w:val="22"/>
          <w:lang w:val="en-US"/>
        </w:rPr>
      </w:pPr>
      <w:hyperlink w:anchor="_Toc111638535" w:history="1">
        <w:r w:rsidR="00B26F5B" w:rsidRPr="003771A2">
          <w:rPr>
            <w:rStyle w:val="Hyperlink"/>
            <w:noProof/>
            <w:lang w:val="en-GB"/>
          </w:rPr>
          <w:t>Alternative approval process for new and revised  ITU</w:t>
        </w:r>
        <w:r w:rsidR="00B26F5B" w:rsidRPr="003771A2">
          <w:rPr>
            <w:rStyle w:val="Hyperlink"/>
            <w:noProof/>
            <w:lang w:val="en-GB"/>
          </w:rPr>
          <w:noBreakHyphen/>
          <w:t>T Recommendations</w:t>
        </w:r>
      </w:hyperlink>
    </w:p>
    <w:p w14:paraId="3D420D8C" w14:textId="20716327" w:rsidR="00B26F5B" w:rsidRDefault="006A0076">
      <w:pPr>
        <w:pStyle w:val="TOC2"/>
        <w:tabs>
          <w:tab w:val="right" w:leader="dot" w:pos="9629"/>
        </w:tabs>
        <w:rPr>
          <w:rFonts w:eastAsiaTheme="minorEastAsia" w:cstheme="minorBidi"/>
          <w:smallCaps w:val="0"/>
          <w:noProof/>
          <w:sz w:val="22"/>
          <w:szCs w:val="22"/>
          <w:lang w:val="en-US"/>
        </w:rPr>
      </w:pPr>
      <w:hyperlink w:anchor="_Toc111638536" w:history="1">
        <w:r w:rsidR="00B26F5B" w:rsidRPr="003771A2">
          <w:rPr>
            <w:rStyle w:val="Hyperlink"/>
            <w:noProof/>
            <w:lang w:val="en-GB"/>
          </w:rPr>
          <w:t>Recommendation ITU-T A.11</w:t>
        </w:r>
        <w:r w:rsidR="00B26F5B">
          <w:rPr>
            <w:noProof/>
            <w:webHidden/>
          </w:rPr>
          <w:tab/>
        </w:r>
        <w:r w:rsidR="00B26F5B">
          <w:rPr>
            <w:noProof/>
            <w:webHidden/>
          </w:rPr>
          <w:fldChar w:fldCharType="begin"/>
        </w:r>
        <w:r w:rsidR="00B26F5B">
          <w:rPr>
            <w:noProof/>
            <w:webHidden/>
          </w:rPr>
          <w:instrText xml:space="preserve"> PAGEREF _Toc111638536 \h </w:instrText>
        </w:r>
        <w:r w:rsidR="00B26F5B">
          <w:rPr>
            <w:noProof/>
            <w:webHidden/>
          </w:rPr>
        </w:r>
        <w:r w:rsidR="00B26F5B">
          <w:rPr>
            <w:noProof/>
            <w:webHidden/>
          </w:rPr>
          <w:fldChar w:fldCharType="separate"/>
        </w:r>
        <w:r>
          <w:rPr>
            <w:noProof/>
            <w:webHidden/>
          </w:rPr>
          <w:t>335</w:t>
        </w:r>
        <w:r w:rsidR="00B26F5B">
          <w:rPr>
            <w:noProof/>
            <w:webHidden/>
          </w:rPr>
          <w:fldChar w:fldCharType="end"/>
        </w:r>
      </w:hyperlink>
    </w:p>
    <w:p w14:paraId="2A0E8BC0" w14:textId="3489E547" w:rsidR="00B26F5B" w:rsidRDefault="006A0076">
      <w:pPr>
        <w:pStyle w:val="TOC3"/>
        <w:tabs>
          <w:tab w:val="right" w:leader="dot" w:pos="9629"/>
        </w:tabs>
        <w:rPr>
          <w:rFonts w:eastAsiaTheme="minorEastAsia" w:cstheme="minorBidi"/>
          <w:i w:val="0"/>
          <w:iCs w:val="0"/>
          <w:noProof/>
          <w:sz w:val="22"/>
          <w:szCs w:val="22"/>
          <w:lang w:val="en-US"/>
        </w:rPr>
      </w:pPr>
      <w:hyperlink w:anchor="_Toc111638537" w:history="1">
        <w:r w:rsidR="00B26F5B" w:rsidRPr="003771A2">
          <w:rPr>
            <w:rStyle w:val="Hyperlink"/>
            <w:noProof/>
            <w:lang w:val="en-GB"/>
          </w:rPr>
          <w:t>Publication of ITU</w:t>
        </w:r>
        <w:r w:rsidR="00B26F5B" w:rsidRPr="003771A2">
          <w:rPr>
            <w:rStyle w:val="Hyperlink"/>
            <w:noProof/>
            <w:lang w:val="en-GB"/>
          </w:rPr>
          <w:noBreakHyphen/>
          <w:t>T Recommendations and World Telecommunication Standardization Assembly proceedings</w:t>
        </w:r>
      </w:hyperlink>
    </w:p>
    <w:p w14:paraId="0B142111" w14:textId="42CC0A20" w:rsidR="00B26F5B" w:rsidRDefault="006A0076">
      <w:pPr>
        <w:pStyle w:val="TOC2"/>
        <w:tabs>
          <w:tab w:val="right" w:leader="dot" w:pos="9629"/>
        </w:tabs>
        <w:rPr>
          <w:rFonts w:eastAsiaTheme="minorEastAsia" w:cstheme="minorBidi"/>
          <w:smallCaps w:val="0"/>
          <w:noProof/>
          <w:sz w:val="22"/>
          <w:szCs w:val="22"/>
          <w:lang w:val="en-US"/>
        </w:rPr>
      </w:pPr>
      <w:hyperlink w:anchor="_Toc111638538" w:history="1">
        <w:r w:rsidR="00B26F5B" w:rsidRPr="003771A2">
          <w:rPr>
            <w:rStyle w:val="Hyperlink"/>
            <w:noProof/>
            <w:lang w:val="en-GB"/>
          </w:rPr>
          <w:t>Recommendation ITU-T A.12</w:t>
        </w:r>
        <w:r w:rsidR="00B26F5B">
          <w:rPr>
            <w:noProof/>
            <w:webHidden/>
          </w:rPr>
          <w:tab/>
        </w:r>
        <w:r w:rsidR="00B26F5B">
          <w:rPr>
            <w:noProof/>
            <w:webHidden/>
          </w:rPr>
          <w:fldChar w:fldCharType="begin"/>
        </w:r>
        <w:r w:rsidR="00B26F5B">
          <w:rPr>
            <w:noProof/>
            <w:webHidden/>
          </w:rPr>
          <w:instrText xml:space="preserve"> PAGEREF _Toc111638538 \h </w:instrText>
        </w:r>
        <w:r w:rsidR="00B26F5B">
          <w:rPr>
            <w:noProof/>
            <w:webHidden/>
          </w:rPr>
        </w:r>
        <w:r w:rsidR="00B26F5B">
          <w:rPr>
            <w:noProof/>
            <w:webHidden/>
          </w:rPr>
          <w:fldChar w:fldCharType="separate"/>
        </w:r>
        <w:r>
          <w:rPr>
            <w:noProof/>
            <w:webHidden/>
          </w:rPr>
          <w:t>338</w:t>
        </w:r>
        <w:r w:rsidR="00B26F5B">
          <w:rPr>
            <w:noProof/>
            <w:webHidden/>
          </w:rPr>
          <w:fldChar w:fldCharType="end"/>
        </w:r>
      </w:hyperlink>
    </w:p>
    <w:p w14:paraId="1E453443" w14:textId="4867A795" w:rsidR="00B26F5B" w:rsidRDefault="006A0076">
      <w:pPr>
        <w:pStyle w:val="TOC3"/>
        <w:tabs>
          <w:tab w:val="right" w:leader="dot" w:pos="9629"/>
        </w:tabs>
        <w:rPr>
          <w:rFonts w:eastAsiaTheme="minorEastAsia" w:cstheme="minorBidi"/>
          <w:i w:val="0"/>
          <w:iCs w:val="0"/>
          <w:noProof/>
          <w:sz w:val="22"/>
          <w:szCs w:val="22"/>
          <w:lang w:val="en-US"/>
        </w:rPr>
      </w:pPr>
      <w:hyperlink w:anchor="_Toc111638539" w:history="1">
        <w:r w:rsidR="00B26F5B" w:rsidRPr="003771A2">
          <w:rPr>
            <w:rStyle w:val="Hyperlink"/>
            <w:noProof/>
            <w:lang w:val="en-GB"/>
          </w:rPr>
          <w:t>Identification and layout of ITU</w:t>
        </w:r>
        <w:r w:rsidR="00B26F5B" w:rsidRPr="003771A2">
          <w:rPr>
            <w:rStyle w:val="Hyperlink"/>
            <w:noProof/>
            <w:lang w:val="en-GB"/>
          </w:rPr>
          <w:noBreakHyphen/>
          <w:t>T Recommendations</w:t>
        </w:r>
      </w:hyperlink>
    </w:p>
    <w:p w14:paraId="5FF2B2D3" w14:textId="1828CE19" w:rsidR="00B26F5B" w:rsidRDefault="006A0076">
      <w:pPr>
        <w:pStyle w:val="TOC2"/>
        <w:tabs>
          <w:tab w:val="right" w:leader="dot" w:pos="9629"/>
        </w:tabs>
        <w:rPr>
          <w:rFonts w:eastAsiaTheme="minorEastAsia" w:cstheme="minorBidi"/>
          <w:smallCaps w:val="0"/>
          <w:noProof/>
          <w:sz w:val="22"/>
          <w:szCs w:val="22"/>
          <w:lang w:val="en-US"/>
        </w:rPr>
      </w:pPr>
      <w:hyperlink w:anchor="_Toc111638540" w:history="1">
        <w:r w:rsidR="00B26F5B" w:rsidRPr="003771A2">
          <w:rPr>
            <w:rStyle w:val="Hyperlink"/>
            <w:noProof/>
            <w:lang w:val="fr-CH"/>
          </w:rPr>
          <w:t>Recommendation ITU-T A.13</w:t>
        </w:r>
        <w:r w:rsidR="00B26F5B">
          <w:rPr>
            <w:noProof/>
            <w:webHidden/>
          </w:rPr>
          <w:tab/>
        </w:r>
        <w:r w:rsidR="00B26F5B">
          <w:rPr>
            <w:noProof/>
            <w:webHidden/>
          </w:rPr>
          <w:fldChar w:fldCharType="begin"/>
        </w:r>
        <w:r w:rsidR="00B26F5B">
          <w:rPr>
            <w:noProof/>
            <w:webHidden/>
          </w:rPr>
          <w:instrText xml:space="preserve"> PAGEREF _Toc111638540 \h </w:instrText>
        </w:r>
        <w:r w:rsidR="00B26F5B">
          <w:rPr>
            <w:noProof/>
            <w:webHidden/>
          </w:rPr>
        </w:r>
        <w:r w:rsidR="00B26F5B">
          <w:rPr>
            <w:noProof/>
            <w:webHidden/>
          </w:rPr>
          <w:fldChar w:fldCharType="separate"/>
        </w:r>
        <w:r>
          <w:rPr>
            <w:noProof/>
            <w:webHidden/>
          </w:rPr>
          <w:t>340</w:t>
        </w:r>
        <w:r w:rsidR="00B26F5B">
          <w:rPr>
            <w:noProof/>
            <w:webHidden/>
          </w:rPr>
          <w:fldChar w:fldCharType="end"/>
        </w:r>
      </w:hyperlink>
    </w:p>
    <w:p w14:paraId="7CC3233D" w14:textId="4B94D0E0" w:rsidR="00B26F5B" w:rsidRDefault="006A0076">
      <w:pPr>
        <w:pStyle w:val="TOC3"/>
        <w:tabs>
          <w:tab w:val="right" w:leader="dot" w:pos="9629"/>
        </w:tabs>
        <w:rPr>
          <w:rFonts w:eastAsiaTheme="minorEastAsia" w:cstheme="minorBidi"/>
          <w:i w:val="0"/>
          <w:iCs w:val="0"/>
          <w:noProof/>
          <w:sz w:val="22"/>
          <w:szCs w:val="22"/>
          <w:lang w:val="en-US"/>
        </w:rPr>
      </w:pPr>
      <w:hyperlink w:anchor="_Toc111638541" w:history="1">
        <w:r w:rsidR="00B26F5B" w:rsidRPr="003771A2">
          <w:rPr>
            <w:rStyle w:val="Hyperlink"/>
            <w:noProof/>
            <w:lang w:val="fr-CH"/>
          </w:rPr>
          <w:t>Non-normative ITU-T publications, including Supplements to ITU</w:t>
        </w:r>
        <w:r w:rsidR="00B26F5B" w:rsidRPr="003771A2">
          <w:rPr>
            <w:rStyle w:val="Hyperlink"/>
            <w:noProof/>
            <w:lang w:val="fr-CH"/>
          </w:rPr>
          <w:noBreakHyphen/>
          <w:t>T Recommendations</w:t>
        </w:r>
      </w:hyperlink>
    </w:p>
    <w:p w14:paraId="25201EAF" w14:textId="77777777" w:rsidR="00AE0ADB" w:rsidRDefault="00AE0ADB">
      <w:pPr>
        <w:pStyle w:val="TOC2"/>
        <w:tabs>
          <w:tab w:val="right" w:leader="dot" w:pos="9629"/>
        </w:tabs>
        <w:rPr>
          <w:noProof/>
        </w:rPr>
      </w:pPr>
      <w:r>
        <w:rPr>
          <w:noProof/>
        </w:rPr>
        <w:br w:type="page"/>
      </w:r>
    </w:p>
    <w:p w14:paraId="652BCC26" w14:textId="2D7D4CB9" w:rsidR="00B26F5B" w:rsidRDefault="006A0076">
      <w:pPr>
        <w:pStyle w:val="TOC2"/>
        <w:tabs>
          <w:tab w:val="right" w:leader="dot" w:pos="9629"/>
        </w:tabs>
        <w:rPr>
          <w:rFonts w:eastAsiaTheme="minorEastAsia" w:cstheme="minorBidi"/>
          <w:smallCaps w:val="0"/>
          <w:noProof/>
          <w:sz w:val="22"/>
          <w:szCs w:val="22"/>
          <w:lang w:val="en-US"/>
        </w:rPr>
      </w:pPr>
      <w:hyperlink w:anchor="_Toc111638542" w:history="1">
        <w:r w:rsidR="00B26F5B" w:rsidRPr="003771A2">
          <w:rPr>
            <w:rStyle w:val="Hyperlink"/>
            <w:noProof/>
            <w:lang w:val="en-US"/>
          </w:rPr>
          <w:t>Recommendation ITU-T A.23</w:t>
        </w:r>
        <w:r w:rsidR="00B26F5B">
          <w:rPr>
            <w:noProof/>
            <w:webHidden/>
          </w:rPr>
          <w:tab/>
        </w:r>
        <w:r w:rsidR="00B26F5B">
          <w:rPr>
            <w:noProof/>
            <w:webHidden/>
          </w:rPr>
          <w:fldChar w:fldCharType="begin"/>
        </w:r>
        <w:r w:rsidR="00B26F5B">
          <w:rPr>
            <w:noProof/>
            <w:webHidden/>
          </w:rPr>
          <w:instrText xml:space="preserve"> PAGEREF _Toc111638542 \h </w:instrText>
        </w:r>
        <w:r w:rsidR="00B26F5B">
          <w:rPr>
            <w:noProof/>
            <w:webHidden/>
          </w:rPr>
        </w:r>
        <w:r w:rsidR="00B26F5B">
          <w:rPr>
            <w:noProof/>
            <w:webHidden/>
          </w:rPr>
          <w:fldChar w:fldCharType="separate"/>
        </w:r>
        <w:r>
          <w:rPr>
            <w:noProof/>
            <w:webHidden/>
          </w:rPr>
          <w:t>346</w:t>
        </w:r>
        <w:r w:rsidR="00B26F5B">
          <w:rPr>
            <w:noProof/>
            <w:webHidden/>
          </w:rPr>
          <w:fldChar w:fldCharType="end"/>
        </w:r>
      </w:hyperlink>
    </w:p>
    <w:p w14:paraId="5C43CAB5" w14:textId="271E01BC" w:rsidR="00B26F5B" w:rsidRDefault="006A0076">
      <w:pPr>
        <w:pStyle w:val="TOC3"/>
        <w:tabs>
          <w:tab w:val="right" w:leader="dot" w:pos="9629"/>
        </w:tabs>
        <w:rPr>
          <w:rFonts w:eastAsiaTheme="minorEastAsia" w:cstheme="minorBidi"/>
          <w:i w:val="0"/>
          <w:iCs w:val="0"/>
          <w:noProof/>
          <w:sz w:val="22"/>
          <w:szCs w:val="22"/>
          <w:lang w:val="en-US"/>
        </w:rPr>
      </w:pPr>
      <w:hyperlink w:anchor="_Toc111638543" w:history="1">
        <w:r w:rsidR="00B26F5B" w:rsidRPr="003771A2">
          <w:rPr>
            <w:rStyle w:val="Hyperlink"/>
            <w:noProof/>
            <w:lang w:val="en-GB"/>
          </w:rPr>
          <w:t>Collaboration with the International Organization for Standardization (ISO) and the International Electrotechnical Commission (IEC) on information technology</w:t>
        </w:r>
      </w:hyperlink>
    </w:p>
    <w:p w14:paraId="2FC47A17" w14:textId="6915484F" w:rsidR="00B26F5B" w:rsidRDefault="006A0076">
      <w:pPr>
        <w:pStyle w:val="TOC2"/>
        <w:tabs>
          <w:tab w:val="right" w:leader="dot" w:pos="9629"/>
        </w:tabs>
        <w:rPr>
          <w:rFonts w:eastAsiaTheme="minorEastAsia" w:cstheme="minorBidi"/>
          <w:smallCaps w:val="0"/>
          <w:noProof/>
          <w:sz w:val="22"/>
          <w:szCs w:val="22"/>
          <w:lang w:val="en-US"/>
        </w:rPr>
      </w:pPr>
      <w:hyperlink w:anchor="_Toc111638544" w:history="1">
        <w:r w:rsidR="00B26F5B" w:rsidRPr="003771A2">
          <w:rPr>
            <w:rStyle w:val="Hyperlink"/>
            <w:rFonts w:eastAsia="Batang"/>
            <w:noProof/>
            <w:lang w:val="en-GB"/>
          </w:rPr>
          <w:t>Recommendation</w:t>
        </w:r>
        <w:r w:rsidR="00B26F5B" w:rsidRPr="003771A2">
          <w:rPr>
            <w:rStyle w:val="Hyperlink"/>
            <w:noProof/>
            <w:lang w:val="en-GB"/>
          </w:rPr>
          <w:t xml:space="preserve"> </w:t>
        </w:r>
        <w:r w:rsidR="00B26F5B" w:rsidRPr="003771A2">
          <w:rPr>
            <w:rStyle w:val="Hyperlink"/>
            <w:rFonts w:eastAsia="Batang"/>
            <w:noProof/>
            <w:lang w:val="en-GB"/>
          </w:rPr>
          <w:t>ITU</w:t>
        </w:r>
        <w:r w:rsidR="00B26F5B" w:rsidRPr="003771A2">
          <w:rPr>
            <w:rStyle w:val="Hyperlink"/>
            <w:rFonts w:eastAsia="Batang"/>
            <w:noProof/>
            <w:lang w:val="en-GB"/>
          </w:rPr>
          <w:noBreakHyphen/>
          <w:t>T A.25</w:t>
        </w:r>
        <w:r w:rsidR="00B26F5B">
          <w:rPr>
            <w:noProof/>
            <w:webHidden/>
          </w:rPr>
          <w:tab/>
        </w:r>
        <w:r w:rsidR="00B26F5B">
          <w:rPr>
            <w:noProof/>
            <w:webHidden/>
          </w:rPr>
          <w:fldChar w:fldCharType="begin"/>
        </w:r>
        <w:r w:rsidR="00B26F5B">
          <w:rPr>
            <w:noProof/>
            <w:webHidden/>
          </w:rPr>
          <w:instrText xml:space="preserve"> PAGEREF _Toc111638544 \h </w:instrText>
        </w:r>
        <w:r w:rsidR="00B26F5B">
          <w:rPr>
            <w:noProof/>
            <w:webHidden/>
          </w:rPr>
        </w:r>
        <w:r w:rsidR="00B26F5B">
          <w:rPr>
            <w:noProof/>
            <w:webHidden/>
          </w:rPr>
          <w:fldChar w:fldCharType="separate"/>
        </w:r>
        <w:r>
          <w:rPr>
            <w:noProof/>
            <w:webHidden/>
          </w:rPr>
          <w:t>397</w:t>
        </w:r>
        <w:r w:rsidR="00B26F5B">
          <w:rPr>
            <w:noProof/>
            <w:webHidden/>
          </w:rPr>
          <w:fldChar w:fldCharType="end"/>
        </w:r>
      </w:hyperlink>
    </w:p>
    <w:p w14:paraId="1F8C9342" w14:textId="0EF42257" w:rsidR="00B26F5B" w:rsidRDefault="006A0076">
      <w:pPr>
        <w:pStyle w:val="TOC3"/>
        <w:tabs>
          <w:tab w:val="right" w:leader="dot" w:pos="9629"/>
        </w:tabs>
        <w:rPr>
          <w:rFonts w:eastAsiaTheme="minorEastAsia" w:cstheme="minorBidi"/>
          <w:i w:val="0"/>
          <w:iCs w:val="0"/>
          <w:noProof/>
          <w:sz w:val="22"/>
          <w:szCs w:val="22"/>
          <w:lang w:val="en-US"/>
        </w:rPr>
      </w:pPr>
      <w:hyperlink w:anchor="_Toc111638545" w:history="1">
        <w:r w:rsidR="00B26F5B" w:rsidRPr="003771A2">
          <w:rPr>
            <w:rStyle w:val="Hyperlink"/>
            <w:noProof/>
            <w:lang w:val="en-GB"/>
          </w:rPr>
          <w:t>Generic procedures for incorporating text between ITU</w:t>
        </w:r>
        <w:r w:rsidR="00B26F5B" w:rsidRPr="003771A2">
          <w:rPr>
            <w:rStyle w:val="Hyperlink"/>
            <w:noProof/>
            <w:lang w:val="en-GB"/>
          </w:rPr>
          <w:noBreakHyphen/>
          <w:t>T and other organizations</w:t>
        </w:r>
        <w:r w:rsidR="00B26F5B">
          <w:rPr>
            <w:noProof/>
            <w:webHidden/>
          </w:rPr>
          <w:fldChar w:fldCharType="begin"/>
        </w:r>
        <w:r w:rsidR="00B26F5B">
          <w:rPr>
            <w:noProof/>
            <w:webHidden/>
          </w:rPr>
          <w:instrText xml:space="preserve"> PAGEREF _Toc111638545 \h </w:instrText>
        </w:r>
        <w:r w:rsidR="00B26F5B">
          <w:rPr>
            <w:noProof/>
            <w:webHidden/>
          </w:rPr>
        </w:r>
        <w:r w:rsidR="00B26F5B">
          <w:rPr>
            <w:noProof/>
            <w:webHidden/>
          </w:rPr>
          <w:fldChar w:fldCharType="separate"/>
        </w:r>
        <w:r>
          <w:rPr>
            <w:noProof/>
            <w:webHidden/>
          </w:rPr>
          <w:t>397</w:t>
        </w:r>
        <w:r w:rsidR="00B26F5B">
          <w:rPr>
            <w:noProof/>
            <w:webHidden/>
          </w:rPr>
          <w:fldChar w:fldCharType="end"/>
        </w:r>
      </w:hyperlink>
    </w:p>
    <w:p w14:paraId="6EFA08B7" w14:textId="1F2647F5" w:rsidR="00B26F5B" w:rsidRDefault="006A0076">
      <w:pPr>
        <w:pStyle w:val="TOC2"/>
        <w:tabs>
          <w:tab w:val="right" w:leader="dot" w:pos="9629"/>
        </w:tabs>
        <w:rPr>
          <w:rFonts w:eastAsiaTheme="minorEastAsia" w:cstheme="minorBidi"/>
          <w:smallCaps w:val="0"/>
          <w:noProof/>
          <w:sz w:val="22"/>
          <w:szCs w:val="22"/>
          <w:lang w:val="en-US"/>
        </w:rPr>
      </w:pPr>
      <w:hyperlink w:anchor="_Toc111638546" w:history="1">
        <w:r w:rsidR="00B26F5B" w:rsidRPr="003771A2">
          <w:rPr>
            <w:rStyle w:val="Hyperlink"/>
            <w:noProof/>
            <w:lang w:val="en-GB"/>
          </w:rPr>
          <w:t>Recommendation ITU-T A.31</w:t>
        </w:r>
        <w:r w:rsidR="00B26F5B">
          <w:rPr>
            <w:noProof/>
            <w:webHidden/>
          </w:rPr>
          <w:tab/>
        </w:r>
        <w:r w:rsidR="00B26F5B">
          <w:rPr>
            <w:noProof/>
            <w:webHidden/>
          </w:rPr>
          <w:fldChar w:fldCharType="begin"/>
        </w:r>
        <w:r w:rsidR="00B26F5B">
          <w:rPr>
            <w:noProof/>
            <w:webHidden/>
          </w:rPr>
          <w:instrText xml:space="preserve"> PAGEREF _Toc111638546 \h </w:instrText>
        </w:r>
        <w:r w:rsidR="00B26F5B">
          <w:rPr>
            <w:noProof/>
            <w:webHidden/>
          </w:rPr>
        </w:r>
        <w:r w:rsidR="00B26F5B">
          <w:rPr>
            <w:noProof/>
            <w:webHidden/>
          </w:rPr>
          <w:fldChar w:fldCharType="separate"/>
        </w:r>
        <w:r>
          <w:rPr>
            <w:noProof/>
            <w:webHidden/>
          </w:rPr>
          <w:t>407</w:t>
        </w:r>
        <w:r w:rsidR="00B26F5B">
          <w:rPr>
            <w:noProof/>
            <w:webHidden/>
          </w:rPr>
          <w:fldChar w:fldCharType="end"/>
        </w:r>
      </w:hyperlink>
    </w:p>
    <w:p w14:paraId="092D4819" w14:textId="29CD628C" w:rsidR="00B26F5B" w:rsidRDefault="006A0076">
      <w:pPr>
        <w:pStyle w:val="TOC3"/>
        <w:tabs>
          <w:tab w:val="right" w:leader="dot" w:pos="9629"/>
        </w:tabs>
        <w:rPr>
          <w:rFonts w:eastAsiaTheme="minorEastAsia" w:cstheme="minorBidi"/>
          <w:i w:val="0"/>
          <w:iCs w:val="0"/>
          <w:noProof/>
          <w:sz w:val="22"/>
          <w:szCs w:val="22"/>
          <w:lang w:val="en-US"/>
        </w:rPr>
      </w:pPr>
      <w:hyperlink w:anchor="_Toc111638547" w:history="1">
        <w:r w:rsidR="00B26F5B" w:rsidRPr="003771A2">
          <w:rPr>
            <w:rStyle w:val="Hyperlink"/>
            <w:noProof/>
            <w:lang w:val="en-GB"/>
          </w:rPr>
          <w:t>Guidelines and coordination requirements  for the organization of ITU-T workshops and seminars</w:t>
        </w:r>
      </w:hyperlink>
    </w:p>
    <w:p w14:paraId="2933A50D" w14:textId="048C273C" w:rsidR="00B26F5B" w:rsidRDefault="006A0076">
      <w:pPr>
        <w:pStyle w:val="TOC2"/>
        <w:tabs>
          <w:tab w:val="right" w:leader="dot" w:pos="9629"/>
        </w:tabs>
        <w:rPr>
          <w:rFonts w:eastAsiaTheme="minorEastAsia" w:cstheme="minorBidi"/>
          <w:smallCaps w:val="0"/>
          <w:noProof/>
          <w:sz w:val="22"/>
          <w:szCs w:val="22"/>
          <w:lang w:val="en-US"/>
        </w:rPr>
      </w:pPr>
      <w:hyperlink w:anchor="_Toc111638548" w:history="1">
        <w:r w:rsidR="00B26F5B" w:rsidRPr="003771A2">
          <w:rPr>
            <w:rStyle w:val="Hyperlink"/>
            <w:noProof/>
            <w:lang w:val="en-GB"/>
          </w:rPr>
          <w:t>Supplement 2 to ITU-T A-series Recommendations</w:t>
        </w:r>
        <w:r w:rsidR="00B26F5B">
          <w:rPr>
            <w:noProof/>
            <w:webHidden/>
          </w:rPr>
          <w:tab/>
        </w:r>
        <w:r w:rsidR="00B26F5B">
          <w:rPr>
            <w:noProof/>
            <w:webHidden/>
          </w:rPr>
          <w:fldChar w:fldCharType="begin"/>
        </w:r>
        <w:r w:rsidR="00B26F5B">
          <w:rPr>
            <w:noProof/>
            <w:webHidden/>
          </w:rPr>
          <w:instrText xml:space="preserve"> PAGEREF _Toc111638548 \h </w:instrText>
        </w:r>
        <w:r w:rsidR="00B26F5B">
          <w:rPr>
            <w:noProof/>
            <w:webHidden/>
          </w:rPr>
        </w:r>
        <w:r w:rsidR="00B26F5B">
          <w:rPr>
            <w:noProof/>
            <w:webHidden/>
          </w:rPr>
          <w:fldChar w:fldCharType="separate"/>
        </w:r>
        <w:r>
          <w:rPr>
            <w:noProof/>
            <w:webHidden/>
          </w:rPr>
          <w:t>415</w:t>
        </w:r>
        <w:r w:rsidR="00B26F5B">
          <w:rPr>
            <w:noProof/>
            <w:webHidden/>
          </w:rPr>
          <w:fldChar w:fldCharType="end"/>
        </w:r>
      </w:hyperlink>
    </w:p>
    <w:p w14:paraId="3D4F9F84" w14:textId="474A5D51" w:rsidR="00B26F5B" w:rsidRDefault="006A0076">
      <w:pPr>
        <w:pStyle w:val="TOC3"/>
        <w:tabs>
          <w:tab w:val="right" w:leader="dot" w:pos="9629"/>
        </w:tabs>
        <w:rPr>
          <w:rFonts w:eastAsiaTheme="minorEastAsia" w:cstheme="minorBidi"/>
          <w:i w:val="0"/>
          <w:iCs w:val="0"/>
          <w:noProof/>
          <w:sz w:val="22"/>
          <w:szCs w:val="22"/>
          <w:lang w:val="en-US"/>
        </w:rPr>
      </w:pPr>
      <w:hyperlink w:anchor="_Toc111638549" w:history="1">
        <w:r w:rsidR="00B26F5B" w:rsidRPr="003771A2">
          <w:rPr>
            <w:rStyle w:val="Hyperlink"/>
            <w:noProof/>
            <w:lang w:val="en-GB"/>
          </w:rPr>
          <w:t>Guidelines on interoperability experiments</w:t>
        </w:r>
      </w:hyperlink>
    </w:p>
    <w:p w14:paraId="32A762D8" w14:textId="4FBDA7F6" w:rsidR="00B26F5B" w:rsidRDefault="006A0076">
      <w:pPr>
        <w:pStyle w:val="TOC2"/>
        <w:tabs>
          <w:tab w:val="right" w:leader="dot" w:pos="9629"/>
        </w:tabs>
        <w:rPr>
          <w:rFonts w:eastAsiaTheme="minorEastAsia" w:cstheme="minorBidi"/>
          <w:smallCaps w:val="0"/>
          <w:noProof/>
          <w:sz w:val="22"/>
          <w:szCs w:val="22"/>
          <w:lang w:val="en-US"/>
        </w:rPr>
      </w:pPr>
      <w:hyperlink w:anchor="_Toc111638550" w:history="1">
        <w:r w:rsidR="00B26F5B" w:rsidRPr="003771A2">
          <w:rPr>
            <w:rStyle w:val="Hyperlink"/>
            <w:noProof/>
            <w:lang w:val="en-GB"/>
          </w:rPr>
          <w:t>Supplement 3 to ITU-T A-series Recommendations</w:t>
        </w:r>
        <w:r w:rsidR="00B26F5B">
          <w:rPr>
            <w:noProof/>
            <w:webHidden/>
          </w:rPr>
          <w:tab/>
        </w:r>
        <w:r w:rsidR="00B26F5B">
          <w:rPr>
            <w:noProof/>
            <w:webHidden/>
          </w:rPr>
          <w:fldChar w:fldCharType="begin"/>
        </w:r>
        <w:r w:rsidR="00B26F5B">
          <w:rPr>
            <w:noProof/>
            <w:webHidden/>
          </w:rPr>
          <w:instrText xml:space="preserve"> PAGEREF _Toc111638550 \h </w:instrText>
        </w:r>
        <w:r w:rsidR="00B26F5B">
          <w:rPr>
            <w:noProof/>
            <w:webHidden/>
          </w:rPr>
        </w:r>
        <w:r w:rsidR="00B26F5B">
          <w:rPr>
            <w:noProof/>
            <w:webHidden/>
          </w:rPr>
          <w:fldChar w:fldCharType="separate"/>
        </w:r>
        <w:r>
          <w:rPr>
            <w:noProof/>
            <w:webHidden/>
          </w:rPr>
          <w:t>417</w:t>
        </w:r>
        <w:r w:rsidR="00B26F5B">
          <w:rPr>
            <w:noProof/>
            <w:webHidden/>
          </w:rPr>
          <w:fldChar w:fldCharType="end"/>
        </w:r>
      </w:hyperlink>
    </w:p>
    <w:p w14:paraId="5A87D4C7" w14:textId="297FC8EE" w:rsidR="00B26F5B" w:rsidRDefault="006A0076">
      <w:pPr>
        <w:pStyle w:val="TOC3"/>
        <w:tabs>
          <w:tab w:val="right" w:leader="dot" w:pos="9629"/>
        </w:tabs>
        <w:rPr>
          <w:rFonts w:eastAsiaTheme="minorEastAsia" w:cstheme="minorBidi"/>
          <w:i w:val="0"/>
          <w:iCs w:val="0"/>
          <w:noProof/>
          <w:sz w:val="22"/>
          <w:szCs w:val="22"/>
          <w:lang w:val="en-US"/>
        </w:rPr>
      </w:pPr>
      <w:hyperlink w:anchor="_Toc111638551" w:history="1">
        <w:r w:rsidR="00B26F5B" w:rsidRPr="003771A2">
          <w:rPr>
            <w:rStyle w:val="Hyperlink"/>
            <w:noProof/>
            <w:lang w:val="en-GB"/>
          </w:rPr>
          <w:t>IETF and ITU-T collaboration guidelines</w:t>
        </w:r>
      </w:hyperlink>
    </w:p>
    <w:p w14:paraId="27FACE1B" w14:textId="170596FB" w:rsidR="00B26F5B" w:rsidRDefault="006A0076">
      <w:pPr>
        <w:pStyle w:val="TOC2"/>
        <w:tabs>
          <w:tab w:val="right" w:leader="dot" w:pos="9629"/>
        </w:tabs>
        <w:rPr>
          <w:rFonts w:eastAsiaTheme="minorEastAsia" w:cstheme="minorBidi"/>
          <w:smallCaps w:val="0"/>
          <w:noProof/>
          <w:sz w:val="22"/>
          <w:szCs w:val="22"/>
          <w:lang w:val="en-US"/>
        </w:rPr>
      </w:pPr>
      <w:hyperlink w:anchor="_Toc111638552" w:history="1">
        <w:r w:rsidR="00B26F5B" w:rsidRPr="003771A2">
          <w:rPr>
            <w:rStyle w:val="Hyperlink"/>
            <w:noProof/>
            <w:lang w:val="en-GB"/>
          </w:rPr>
          <w:t>Supplement 4 to ITU-T A-series Recommendations</w:t>
        </w:r>
        <w:r w:rsidR="00B26F5B">
          <w:rPr>
            <w:noProof/>
            <w:webHidden/>
          </w:rPr>
          <w:tab/>
        </w:r>
        <w:r w:rsidR="00B26F5B">
          <w:rPr>
            <w:noProof/>
            <w:webHidden/>
          </w:rPr>
          <w:fldChar w:fldCharType="begin"/>
        </w:r>
        <w:r w:rsidR="00B26F5B">
          <w:rPr>
            <w:noProof/>
            <w:webHidden/>
          </w:rPr>
          <w:instrText xml:space="preserve"> PAGEREF _Toc111638552 \h </w:instrText>
        </w:r>
        <w:r w:rsidR="00B26F5B">
          <w:rPr>
            <w:noProof/>
            <w:webHidden/>
          </w:rPr>
        </w:r>
        <w:r w:rsidR="00B26F5B">
          <w:rPr>
            <w:noProof/>
            <w:webHidden/>
          </w:rPr>
          <w:fldChar w:fldCharType="separate"/>
        </w:r>
        <w:r>
          <w:rPr>
            <w:noProof/>
            <w:webHidden/>
          </w:rPr>
          <w:t>426</w:t>
        </w:r>
        <w:r w:rsidR="00B26F5B">
          <w:rPr>
            <w:noProof/>
            <w:webHidden/>
          </w:rPr>
          <w:fldChar w:fldCharType="end"/>
        </w:r>
      </w:hyperlink>
    </w:p>
    <w:p w14:paraId="5BC1A64B" w14:textId="4AAAE6D2" w:rsidR="00B26F5B" w:rsidRDefault="006A0076">
      <w:pPr>
        <w:pStyle w:val="TOC3"/>
        <w:tabs>
          <w:tab w:val="right" w:leader="dot" w:pos="9629"/>
        </w:tabs>
        <w:rPr>
          <w:rFonts w:eastAsiaTheme="minorEastAsia" w:cstheme="minorBidi"/>
          <w:i w:val="0"/>
          <w:iCs w:val="0"/>
          <w:noProof/>
          <w:sz w:val="22"/>
          <w:szCs w:val="22"/>
          <w:lang w:val="en-US"/>
        </w:rPr>
      </w:pPr>
      <w:hyperlink w:anchor="_Toc111638553" w:history="1">
        <w:r w:rsidR="00B26F5B" w:rsidRPr="003771A2">
          <w:rPr>
            <w:rStyle w:val="Hyperlink"/>
            <w:noProof/>
            <w:lang w:val="en-GB"/>
          </w:rPr>
          <w:t>Supplement on guidelines for remote participation</w:t>
        </w:r>
      </w:hyperlink>
    </w:p>
    <w:p w14:paraId="2F1565D6" w14:textId="11B2F7F7" w:rsidR="00B26F5B" w:rsidRDefault="006A0076">
      <w:pPr>
        <w:pStyle w:val="TOC2"/>
        <w:tabs>
          <w:tab w:val="right" w:leader="dot" w:pos="9629"/>
        </w:tabs>
        <w:rPr>
          <w:rFonts w:eastAsiaTheme="minorEastAsia" w:cstheme="minorBidi"/>
          <w:smallCaps w:val="0"/>
          <w:noProof/>
          <w:sz w:val="22"/>
          <w:szCs w:val="22"/>
          <w:lang w:val="en-US"/>
        </w:rPr>
      </w:pPr>
      <w:hyperlink w:anchor="_Toc111638554" w:history="1">
        <w:r w:rsidR="00B26F5B" w:rsidRPr="003771A2">
          <w:rPr>
            <w:rStyle w:val="Hyperlink"/>
            <w:noProof/>
            <w:lang w:val="en-GB"/>
          </w:rPr>
          <w:t>Supplement 5 to ITU-T A-series Recommendations</w:t>
        </w:r>
        <w:r w:rsidR="00B26F5B">
          <w:rPr>
            <w:noProof/>
            <w:webHidden/>
          </w:rPr>
          <w:tab/>
        </w:r>
        <w:r w:rsidR="00B26F5B">
          <w:rPr>
            <w:noProof/>
            <w:webHidden/>
          </w:rPr>
          <w:fldChar w:fldCharType="begin"/>
        </w:r>
        <w:r w:rsidR="00B26F5B">
          <w:rPr>
            <w:noProof/>
            <w:webHidden/>
          </w:rPr>
          <w:instrText xml:space="preserve"> PAGEREF _Toc111638554 \h </w:instrText>
        </w:r>
        <w:r w:rsidR="00B26F5B">
          <w:rPr>
            <w:noProof/>
            <w:webHidden/>
          </w:rPr>
        </w:r>
        <w:r w:rsidR="00B26F5B">
          <w:rPr>
            <w:noProof/>
            <w:webHidden/>
          </w:rPr>
          <w:fldChar w:fldCharType="separate"/>
        </w:r>
        <w:r>
          <w:rPr>
            <w:noProof/>
            <w:webHidden/>
          </w:rPr>
          <w:t>432</w:t>
        </w:r>
        <w:r w:rsidR="00B26F5B">
          <w:rPr>
            <w:noProof/>
            <w:webHidden/>
          </w:rPr>
          <w:fldChar w:fldCharType="end"/>
        </w:r>
      </w:hyperlink>
    </w:p>
    <w:p w14:paraId="62F08D5E" w14:textId="66331F0F" w:rsidR="00B26F5B" w:rsidRDefault="006A0076">
      <w:pPr>
        <w:pStyle w:val="TOC3"/>
        <w:tabs>
          <w:tab w:val="right" w:leader="dot" w:pos="9629"/>
        </w:tabs>
        <w:rPr>
          <w:rFonts w:eastAsiaTheme="minorEastAsia" w:cstheme="minorBidi"/>
          <w:i w:val="0"/>
          <w:iCs w:val="0"/>
          <w:noProof/>
          <w:sz w:val="22"/>
          <w:szCs w:val="22"/>
          <w:lang w:val="en-US"/>
        </w:rPr>
      </w:pPr>
      <w:hyperlink w:anchor="_Toc111638555" w:history="1">
        <w:r w:rsidR="00B26F5B" w:rsidRPr="003771A2">
          <w:rPr>
            <w:rStyle w:val="Hyperlink"/>
            <w:noProof/>
            <w:lang w:val="en-GB"/>
          </w:rPr>
          <w:t>Guidelines for collaboration and exchange of information with other organizations</w:t>
        </w:r>
      </w:hyperlink>
    </w:p>
    <w:p w14:paraId="416C4C0E" w14:textId="2E88D1C5" w:rsidR="00B26F5B" w:rsidRDefault="006A0076" w:rsidP="00AE0ADB">
      <w:pPr>
        <w:pStyle w:val="TOC1"/>
        <w:tabs>
          <w:tab w:val="right" w:leader="dot" w:pos="9629"/>
        </w:tabs>
        <w:spacing w:before="240"/>
        <w:rPr>
          <w:rFonts w:eastAsiaTheme="minorEastAsia" w:cstheme="minorBidi"/>
          <w:b w:val="0"/>
          <w:bCs w:val="0"/>
          <w:caps w:val="0"/>
          <w:noProof/>
          <w:sz w:val="22"/>
          <w:szCs w:val="22"/>
          <w:lang w:val="en-US"/>
        </w:rPr>
      </w:pPr>
      <w:hyperlink w:anchor="_Toc111638556" w:history="1">
        <w:r w:rsidR="00B26F5B" w:rsidRPr="003771A2">
          <w:rPr>
            <w:rStyle w:val="Hyperlink"/>
            <w:noProof/>
            <w:lang w:val="en-GB"/>
          </w:rPr>
          <w:t>PART III    Chairmen and vice</w:t>
        </w:r>
        <w:r w:rsidR="00B26F5B" w:rsidRPr="003771A2">
          <w:rPr>
            <w:rStyle w:val="Hyperlink"/>
            <w:noProof/>
            <w:lang w:val="en-GB"/>
          </w:rPr>
          <w:noBreakHyphen/>
          <w:t xml:space="preserve">chairmen of TSAG, the ITU telecommunication standardization </w:t>
        </w:r>
        <w:r w:rsidR="00AE0ADB">
          <w:rPr>
            <w:rStyle w:val="Hyperlink"/>
            <w:noProof/>
            <w:lang w:val="en-GB"/>
          </w:rPr>
          <w:br/>
        </w:r>
        <w:r w:rsidR="00B26F5B" w:rsidRPr="003771A2">
          <w:rPr>
            <w:rStyle w:val="Hyperlink"/>
            <w:noProof/>
            <w:lang w:val="en-GB"/>
          </w:rPr>
          <w:t>study groups and the Standardization Committee for Vocabulary appointed by WTSA-20</w:t>
        </w:r>
        <w:r w:rsidR="00B26F5B">
          <w:rPr>
            <w:noProof/>
            <w:webHidden/>
          </w:rPr>
          <w:tab/>
        </w:r>
        <w:r w:rsidR="00B26F5B">
          <w:rPr>
            <w:noProof/>
            <w:webHidden/>
          </w:rPr>
          <w:fldChar w:fldCharType="begin"/>
        </w:r>
        <w:r w:rsidR="00B26F5B">
          <w:rPr>
            <w:noProof/>
            <w:webHidden/>
          </w:rPr>
          <w:instrText xml:space="preserve"> PAGEREF _Toc111638556 \h </w:instrText>
        </w:r>
        <w:r w:rsidR="00B26F5B">
          <w:rPr>
            <w:noProof/>
            <w:webHidden/>
          </w:rPr>
        </w:r>
        <w:r w:rsidR="00B26F5B">
          <w:rPr>
            <w:noProof/>
            <w:webHidden/>
          </w:rPr>
          <w:fldChar w:fldCharType="separate"/>
        </w:r>
        <w:r>
          <w:rPr>
            <w:noProof/>
            <w:webHidden/>
          </w:rPr>
          <w:t>453</w:t>
        </w:r>
        <w:r w:rsidR="00B26F5B">
          <w:rPr>
            <w:noProof/>
            <w:webHidden/>
          </w:rPr>
          <w:fldChar w:fldCharType="end"/>
        </w:r>
      </w:hyperlink>
    </w:p>
    <w:p w14:paraId="72AE870E" w14:textId="3B0CA938" w:rsidR="00B26F5B" w:rsidRDefault="006A0076" w:rsidP="00AE0ADB">
      <w:pPr>
        <w:pStyle w:val="TOC1"/>
        <w:tabs>
          <w:tab w:val="right" w:leader="dot" w:pos="9629"/>
        </w:tabs>
        <w:spacing w:before="240"/>
        <w:rPr>
          <w:rFonts w:eastAsiaTheme="minorEastAsia" w:cstheme="minorBidi"/>
          <w:b w:val="0"/>
          <w:bCs w:val="0"/>
          <w:caps w:val="0"/>
          <w:noProof/>
          <w:sz w:val="22"/>
          <w:szCs w:val="22"/>
          <w:lang w:val="en-US"/>
        </w:rPr>
      </w:pPr>
      <w:hyperlink w:anchor="_Toc111638557" w:history="1">
        <w:r w:rsidR="00B26F5B" w:rsidRPr="003771A2">
          <w:rPr>
            <w:rStyle w:val="Hyperlink"/>
            <w:noProof/>
            <w:lang w:val="en-US"/>
          </w:rPr>
          <w:t xml:space="preserve">PART IV    Titles of the Questions approved for study by the Telecommunication </w:t>
        </w:r>
        <w:r w:rsidR="00AE0ADB">
          <w:rPr>
            <w:rStyle w:val="Hyperlink"/>
            <w:noProof/>
            <w:lang w:val="en-US"/>
          </w:rPr>
          <w:br/>
        </w:r>
        <w:r w:rsidR="00B26F5B" w:rsidRPr="003771A2">
          <w:rPr>
            <w:rStyle w:val="Hyperlink"/>
            <w:noProof/>
            <w:lang w:val="en-US"/>
          </w:rPr>
          <w:t>Standardization Sector</w:t>
        </w:r>
        <w:r w:rsidR="00B26F5B">
          <w:rPr>
            <w:noProof/>
            <w:webHidden/>
          </w:rPr>
          <w:tab/>
        </w:r>
        <w:r w:rsidR="00B26F5B">
          <w:rPr>
            <w:noProof/>
            <w:webHidden/>
          </w:rPr>
          <w:fldChar w:fldCharType="begin"/>
        </w:r>
        <w:r w:rsidR="00B26F5B">
          <w:rPr>
            <w:noProof/>
            <w:webHidden/>
          </w:rPr>
          <w:instrText xml:space="preserve"> PAGEREF _Toc111638557 \h </w:instrText>
        </w:r>
        <w:r w:rsidR="00B26F5B">
          <w:rPr>
            <w:noProof/>
            <w:webHidden/>
          </w:rPr>
        </w:r>
        <w:r w:rsidR="00B26F5B">
          <w:rPr>
            <w:noProof/>
            <w:webHidden/>
          </w:rPr>
          <w:fldChar w:fldCharType="separate"/>
        </w:r>
        <w:r>
          <w:rPr>
            <w:noProof/>
            <w:webHidden/>
          </w:rPr>
          <w:t>463</w:t>
        </w:r>
        <w:r w:rsidR="00B26F5B">
          <w:rPr>
            <w:noProof/>
            <w:webHidden/>
          </w:rPr>
          <w:fldChar w:fldCharType="end"/>
        </w:r>
      </w:hyperlink>
    </w:p>
    <w:p w14:paraId="2C80195A" w14:textId="62007E6C" w:rsidR="00B26F5B" w:rsidRDefault="006A0076" w:rsidP="00AE0ADB">
      <w:pPr>
        <w:pStyle w:val="TOC1"/>
        <w:tabs>
          <w:tab w:val="right" w:leader="dot" w:pos="9629"/>
        </w:tabs>
        <w:spacing w:before="240"/>
        <w:rPr>
          <w:rFonts w:eastAsiaTheme="minorEastAsia" w:cstheme="minorBidi"/>
          <w:b w:val="0"/>
          <w:bCs w:val="0"/>
          <w:caps w:val="0"/>
          <w:noProof/>
          <w:sz w:val="22"/>
          <w:szCs w:val="22"/>
          <w:lang w:val="en-US"/>
        </w:rPr>
      </w:pPr>
      <w:hyperlink w:anchor="_Toc111638558" w:history="1">
        <w:r w:rsidR="00B26F5B" w:rsidRPr="003771A2">
          <w:rPr>
            <w:rStyle w:val="Hyperlink"/>
            <w:noProof/>
            <w:lang w:val="en-GB"/>
          </w:rPr>
          <w:t>Part V    Reports and documents of the Assembly</w:t>
        </w:r>
        <w:r w:rsidR="00B26F5B">
          <w:rPr>
            <w:noProof/>
            <w:webHidden/>
          </w:rPr>
          <w:tab/>
        </w:r>
        <w:r w:rsidR="00B26F5B">
          <w:rPr>
            <w:noProof/>
            <w:webHidden/>
          </w:rPr>
          <w:fldChar w:fldCharType="begin"/>
        </w:r>
        <w:r w:rsidR="00B26F5B">
          <w:rPr>
            <w:noProof/>
            <w:webHidden/>
          </w:rPr>
          <w:instrText xml:space="preserve"> PAGEREF _Toc111638558 \h </w:instrText>
        </w:r>
        <w:r w:rsidR="00B26F5B">
          <w:rPr>
            <w:noProof/>
            <w:webHidden/>
          </w:rPr>
        </w:r>
        <w:r w:rsidR="00B26F5B">
          <w:rPr>
            <w:noProof/>
            <w:webHidden/>
          </w:rPr>
          <w:fldChar w:fldCharType="separate"/>
        </w:r>
        <w:r>
          <w:rPr>
            <w:noProof/>
            <w:webHidden/>
          </w:rPr>
          <w:t>475</w:t>
        </w:r>
        <w:r w:rsidR="00B26F5B">
          <w:rPr>
            <w:noProof/>
            <w:webHidden/>
          </w:rPr>
          <w:fldChar w:fldCharType="end"/>
        </w:r>
      </w:hyperlink>
    </w:p>
    <w:p w14:paraId="49594F83" w14:textId="17DEC09C" w:rsidR="00B26F5B" w:rsidRDefault="006A0076">
      <w:pPr>
        <w:pStyle w:val="TOC2"/>
        <w:tabs>
          <w:tab w:val="right" w:leader="dot" w:pos="9629"/>
        </w:tabs>
        <w:rPr>
          <w:rFonts w:eastAsiaTheme="minorEastAsia" w:cstheme="minorBidi"/>
          <w:smallCaps w:val="0"/>
          <w:noProof/>
          <w:sz w:val="22"/>
          <w:szCs w:val="22"/>
          <w:lang w:val="en-US"/>
        </w:rPr>
      </w:pPr>
      <w:hyperlink w:anchor="_Toc111638559" w:history="1">
        <w:r w:rsidR="00B26F5B" w:rsidRPr="003771A2">
          <w:rPr>
            <w:rStyle w:val="Hyperlink"/>
            <w:noProof/>
          </w:rPr>
          <w:t>Section V-1 – Plenary reports</w:t>
        </w:r>
        <w:r w:rsidR="00B26F5B">
          <w:rPr>
            <w:noProof/>
            <w:webHidden/>
          </w:rPr>
          <w:tab/>
        </w:r>
        <w:r w:rsidR="00B26F5B">
          <w:rPr>
            <w:noProof/>
            <w:webHidden/>
          </w:rPr>
          <w:fldChar w:fldCharType="begin"/>
        </w:r>
        <w:r w:rsidR="00B26F5B">
          <w:rPr>
            <w:noProof/>
            <w:webHidden/>
          </w:rPr>
          <w:instrText xml:space="preserve"> PAGEREF _Toc111638559 \h </w:instrText>
        </w:r>
        <w:r w:rsidR="00B26F5B">
          <w:rPr>
            <w:noProof/>
            <w:webHidden/>
          </w:rPr>
        </w:r>
        <w:r w:rsidR="00B26F5B">
          <w:rPr>
            <w:noProof/>
            <w:webHidden/>
          </w:rPr>
          <w:fldChar w:fldCharType="separate"/>
        </w:r>
        <w:r>
          <w:rPr>
            <w:noProof/>
            <w:webHidden/>
          </w:rPr>
          <w:t>477</w:t>
        </w:r>
        <w:r w:rsidR="00B26F5B">
          <w:rPr>
            <w:noProof/>
            <w:webHidden/>
          </w:rPr>
          <w:fldChar w:fldCharType="end"/>
        </w:r>
      </w:hyperlink>
    </w:p>
    <w:p w14:paraId="024C28D0" w14:textId="435D4C64" w:rsidR="00B26F5B" w:rsidRDefault="006A0076">
      <w:pPr>
        <w:pStyle w:val="TOC2"/>
        <w:tabs>
          <w:tab w:val="right" w:leader="dot" w:pos="9629"/>
        </w:tabs>
        <w:rPr>
          <w:rFonts w:eastAsiaTheme="minorEastAsia" w:cstheme="minorBidi"/>
          <w:smallCaps w:val="0"/>
          <w:noProof/>
          <w:sz w:val="22"/>
          <w:szCs w:val="22"/>
          <w:lang w:val="en-US"/>
        </w:rPr>
      </w:pPr>
      <w:hyperlink w:anchor="_Toc111638560" w:history="1">
        <w:r w:rsidR="00B26F5B" w:rsidRPr="003771A2">
          <w:rPr>
            <w:rStyle w:val="Hyperlink"/>
            <w:noProof/>
          </w:rPr>
          <w:t>Section V-2 – Committee reports to the Plenary</w:t>
        </w:r>
        <w:r w:rsidR="00B26F5B">
          <w:rPr>
            <w:noProof/>
            <w:webHidden/>
          </w:rPr>
          <w:tab/>
        </w:r>
        <w:r w:rsidR="00B26F5B">
          <w:rPr>
            <w:noProof/>
            <w:webHidden/>
          </w:rPr>
          <w:fldChar w:fldCharType="begin"/>
        </w:r>
        <w:r w:rsidR="00B26F5B">
          <w:rPr>
            <w:noProof/>
            <w:webHidden/>
          </w:rPr>
          <w:instrText xml:space="preserve"> PAGEREF _Toc111638560 \h </w:instrText>
        </w:r>
        <w:r w:rsidR="00B26F5B">
          <w:rPr>
            <w:noProof/>
            <w:webHidden/>
          </w:rPr>
        </w:r>
        <w:r w:rsidR="00B26F5B">
          <w:rPr>
            <w:noProof/>
            <w:webHidden/>
          </w:rPr>
          <w:fldChar w:fldCharType="separate"/>
        </w:r>
        <w:r>
          <w:rPr>
            <w:noProof/>
            <w:webHidden/>
          </w:rPr>
          <w:t>518</w:t>
        </w:r>
        <w:r w:rsidR="00B26F5B">
          <w:rPr>
            <w:noProof/>
            <w:webHidden/>
          </w:rPr>
          <w:fldChar w:fldCharType="end"/>
        </w:r>
      </w:hyperlink>
    </w:p>
    <w:p w14:paraId="3EC66D55" w14:textId="0FB828A4" w:rsidR="00B26F5B" w:rsidRDefault="006A0076">
      <w:pPr>
        <w:pStyle w:val="TOC2"/>
        <w:tabs>
          <w:tab w:val="right" w:leader="dot" w:pos="9629"/>
        </w:tabs>
        <w:rPr>
          <w:rFonts w:eastAsiaTheme="minorEastAsia" w:cstheme="minorBidi"/>
          <w:smallCaps w:val="0"/>
          <w:noProof/>
          <w:sz w:val="22"/>
          <w:szCs w:val="22"/>
          <w:lang w:val="en-US"/>
        </w:rPr>
      </w:pPr>
      <w:hyperlink w:anchor="_Toc111638561" w:history="1">
        <w:r w:rsidR="00B26F5B" w:rsidRPr="003771A2">
          <w:rPr>
            <w:rStyle w:val="Hyperlink"/>
            <w:noProof/>
          </w:rPr>
          <w:t>Section V-3 – Other reports and documents</w:t>
        </w:r>
        <w:r w:rsidR="00B26F5B">
          <w:rPr>
            <w:noProof/>
            <w:webHidden/>
          </w:rPr>
          <w:tab/>
        </w:r>
        <w:r w:rsidR="00B26F5B">
          <w:rPr>
            <w:noProof/>
            <w:webHidden/>
          </w:rPr>
          <w:fldChar w:fldCharType="begin"/>
        </w:r>
        <w:r w:rsidR="00B26F5B">
          <w:rPr>
            <w:noProof/>
            <w:webHidden/>
          </w:rPr>
          <w:instrText xml:space="preserve"> PAGEREF _Toc111638561 \h </w:instrText>
        </w:r>
        <w:r w:rsidR="00B26F5B">
          <w:rPr>
            <w:noProof/>
            <w:webHidden/>
          </w:rPr>
        </w:r>
        <w:r w:rsidR="00B26F5B">
          <w:rPr>
            <w:noProof/>
            <w:webHidden/>
          </w:rPr>
          <w:fldChar w:fldCharType="separate"/>
        </w:r>
        <w:r>
          <w:rPr>
            <w:noProof/>
            <w:webHidden/>
          </w:rPr>
          <w:t>549</w:t>
        </w:r>
        <w:r w:rsidR="00B26F5B">
          <w:rPr>
            <w:noProof/>
            <w:webHidden/>
          </w:rPr>
          <w:fldChar w:fldCharType="end"/>
        </w:r>
      </w:hyperlink>
    </w:p>
    <w:p w14:paraId="7C9BBA21" w14:textId="7CFB9A08" w:rsidR="00CC133D" w:rsidRDefault="00B26F5B" w:rsidP="00CC133D">
      <w:pPr>
        <w:rPr>
          <w:rFonts w:asciiTheme="minorHAnsi" w:hAnsiTheme="minorHAnsi" w:cstheme="minorHAnsi"/>
          <w:b/>
          <w:bCs/>
          <w:caps/>
          <w:sz w:val="20"/>
          <w:szCs w:val="24"/>
        </w:rPr>
      </w:pPr>
      <w:r>
        <w:rPr>
          <w:rFonts w:asciiTheme="minorHAnsi" w:hAnsiTheme="minorHAnsi" w:cstheme="minorHAnsi"/>
          <w:b/>
          <w:bCs/>
          <w:caps/>
          <w:sz w:val="20"/>
          <w:szCs w:val="24"/>
        </w:rPr>
        <w:fldChar w:fldCharType="end"/>
      </w:r>
    </w:p>
    <w:p w14:paraId="5B51239C" w14:textId="52CFF781" w:rsidR="00B26F5B" w:rsidRDefault="00B26F5B" w:rsidP="00CC133D">
      <w:pPr>
        <w:rPr>
          <w:rFonts w:asciiTheme="minorHAnsi" w:hAnsiTheme="minorHAnsi" w:cstheme="minorHAnsi"/>
          <w:b/>
          <w:bCs/>
          <w:caps/>
          <w:sz w:val="20"/>
          <w:szCs w:val="24"/>
        </w:rPr>
      </w:pPr>
    </w:p>
    <w:p w14:paraId="0F56F5EB" w14:textId="2BB5B0D4" w:rsidR="00B26F5B" w:rsidRDefault="00B26F5B" w:rsidP="00CC133D">
      <w:pPr>
        <w:rPr>
          <w:rFonts w:asciiTheme="minorHAnsi" w:hAnsiTheme="minorHAnsi" w:cstheme="minorHAnsi"/>
          <w:b/>
          <w:bCs/>
          <w:caps/>
          <w:sz w:val="20"/>
          <w:szCs w:val="24"/>
        </w:rPr>
      </w:pPr>
    </w:p>
    <w:p w14:paraId="744D90CD" w14:textId="77777777" w:rsidR="00B26F5B" w:rsidRDefault="00B26F5B" w:rsidP="00CC133D">
      <w:pPr>
        <w:rPr>
          <w:rFonts w:asciiTheme="minorHAnsi" w:hAnsiTheme="minorHAnsi" w:cstheme="minorHAnsi"/>
          <w:b/>
          <w:bCs/>
          <w:caps/>
          <w:sz w:val="20"/>
          <w:szCs w:val="24"/>
        </w:rPr>
      </w:pPr>
    </w:p>
    <w:p w14:paraId="5C03634B" w14:textId="2A77C83B" w:rsidR="00B26F5B" w:rsidRDefault="00B26F5B" w:rsidP="00CC133D">
      <w:pPr>
        <w:rPr>
          <w:rFonts w:asciiTheme="minorHAnsi" w:hAnsiTheme="minorHAnsi" w:cstheme="minorHAnsi"/>
          <w:b/>
          <w:bCs/>
          <w:caps/>
          <w:sz w:val="20"/>
          <w:szCs w:val="24"/>
        </w:rPr>
      </w:pPr>
    </w:p>
    <w:p w14:paraId="504944BE" w14:textId="4307EC69" w:rsidR="00B26F5B" w:rsidRDefault="00B26F5B" w:rsidP="00CC133D">
      <w:pPr>
        <w:rPr>
          <w:rFonts w:asciiTheme="minorHAnsi" w:hAnsiTheme="minorHAnsi" w:cstheme="minorHAnsi"/>
          <w:b/>
          <w:bCs/>
          <w:caps/>
          <w:sz w:val="20"/>
          <w:szCs w:val="24"/>
        </w:rPr>
      </w:pPr>
    </w:p>
    <w:p w14:paraId="68050356" w14:textId="527F5292" w:rsidR="00B26F5B" w:rsidRDefault="00B26F5B" w:rsidP="00CC133D">
      <w:pPr>
        <w:rPr>
          <w:rFonts w:asciiTheme="minorHAnsi" w:hAnsiTheme="minorHAnsi" w:cstheme="minorHAnsi"/>
          <w:b/>
          <w:bCs/>
          <w:caps/>
          <w:sz w:val="20"/>
          <w:szCs w:val="24"/>
        </w:rPr>
      </w:pPr>
    </w:p>
    <w:p w14:paraId="798F9D60" w14:textId="7659C1E4" w:rsidR="008930E6" w:rsidRDefault="008930E6" w:rsidP="00CC133D">
      <w:pPr>
        <w:rPr>
          <w:rFonts w:asciiTheme="minorHAnsi" w:hAnsiTheme="minorHAnsi" w:cstheme="minorHAnsi"/>
          <w:b/>
          <w:bCs/>
          <w:caps/>
          <w:sz w:val="20"/>
          <w:szCs w:val="24"/>
        </w:rPr>
      </w:pPr>
    </w:p>
    <w:p w14:paraId="6C704E06" w14:textId="77777777" w:rsidR="008930E6" w:rsidRDefault="008930E6" w:rsidP="00CC133D">
      <w:pPr>
        <w:rPr>
          <w:rFonts w:asciiTheme="minorHAnsi" w:hAnsiTheme="minorHAnsi" w:cstheme="minorHAnsi"/>
          <w:b/>
          <w:bCs/>
          <w:caps/>
          <w:sz w:val="20"/>
          <w:szCs w:val="24"/>
        </w:rPr>
      </w:pPr>
    </w:p>
    <w:p w14:paraId="238E62E9" w14:textId="77777777" w:rsidR="00B26F5B" w:rsidRPr="008E01A0" w:rsidRDefault="00B26F5B" w:rsidP="00CC133D"/>
    <w:p w14:paraId="1C17FB9A" w14:textId="42F15B56" w:rsidR="00CC133D" w:rsidRDefault="00CC133D"/>
    <w:p w14:paraId="30D252F0" w14:textId="77777777" w:rsidR="00CC133D" w:rsidRPr="00CC133D" w:rsidRDefault="00CC133D" w:rsidP="00CC133D">
      <w:pPr>
        <w:rPr>
          <w:lang w:val="en-GB"/>
        </w:rPr>
      </w:pPr>
    </w:p>
    <w:p w14:paraId="73517FED" w14:textId="77777777" w:rsidR="00CC133D" w:rsidRPr="00380B40" w:rsidRDefault="00CC133D" w:rsidP="006216CC">
      <w:pPr>
        <w:rPr>
          <w:lang w:val="en-GB"/>
        </w:rPr>
      </w:pPr>
    </w:p>
    <w:p w14:paraId="5A9A583B" w14:textId="77777777" w:rsidR="004E3740" w:rsidRPr="00380B40" w:rsidRDefault="004E3740" w:rsidP="00AD56E1">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E37AD64" w14:textId="77777777" w:rsidR="004E3740" w:rsidRPr="00380B40" w:rsidRDefault="004E3740" w:rsidP="006216CC">
      <w:pPr>
        <w:rPr>
          <w:lang w:val="en-GB"/>
        </w:rPr>
        <w:sectPr w:rsidR="004E3740" w:rsidRPr="00380B40" w:rsidSect="004E4CA9">
          <w:footerReference w:type="even" r:id="rId17"/>
          <w:footerReference w:type="default" r:id="rId18"/>
          <w:footerReference w:type="first" r:id="rId19"/>
          <w:pgSz w:w="11907" w:h="16840" w:code="9"/>
          <w:pgMar w:top="1134" w:right="1134" w:bottom="1134" w:left="1134" w:header="567" w:footer="567" w:gutter="0"/>
          <w:pgNumType w:fmt="lowerRoman"/>
          <w:cols w:space="720"/>
          <w:vAlign w:val="both"/>
          <w:titlePg/>
          <w:docGrid w:linePitch="326"/>
        </w:sectPr>
      </w:pPr>
    </w:p>
    <w:p w14:paraId="079AB5FF" w14:textId="30861943" w:rsidR="008930E6" w:rsidRDefault="008930E6" w:rsidP="008930E6">
      <w:pPr>
        <w:rPr>
          <w:lang w:val="en-GB"/>
        </w:rPr>
      </w:pPr>
      <w:bookmarkStart w:id="6" w:name="_Toc104472182"/>
      <w:bookmarkStart w:id="7" w:name="_Toc104530918"/>
      <w:bookmarkStart w:id="8" w:name="_Toc111636696"/>
      <w:bookmarkStart w:id="9" w:name="_Toc111638393"/>
      <w:bookmarkStart w:id="10" w:name="_Toc104459693"/>
      <w:bookmarkStart w:id="11" w:name="_Toc104476501"/>
    </w:p>
    <w:p w14:paraId="2383F9A1" w14:textId="6730FE07" w:rsidR="008930E6" w:rsidRDefault="008930E6" w:rsidP="008930E6">
      <w:pPr>
        <w:rPr>
          <w:lang w:val="en-GB"/>
        </w:rPr>
      </w:pPr>
    </w:p>
    <w:p w14:paraId="5D8E3EAA" w14:textId="5442A07F" w:rsidR="008930E6" w:rsidRDefault="008930E6" w:rsidP="008930E6">
      <w:pPr>
        <w:rPr>
          <w:lang w:val="en-GB"/>
        </w:rPr>
      </w:pPr>
    </w:p>
    <w:p w14:paraId="1B141862" w14:textId="324C421C" w:rsidR="008930E6" w:rsidRDefault="008930E6" w:rsidP="008930E6">
      <w:pPr>
        <w:rPr>
          <w:lang w:val="en-GB"/>
        </w:rPr>
      </w:pPr>
    </w:p>
    <w:p w14:paraId="32910D21" w14:textId="717F74EC" w:rsidR="008930E6" w:rsidRDefault="008930E6" w:rsidP="008930E6">
      <w:pPr>
        <w:rPr>
          <w:lang w:val="en-GB"/>
        </w:rPr>
      </w:pPr>
    </w:p>
    <w:p w14:paraId="41B56F34" w14:textId="7ACC5C7C" w:rsidR="008930E6" w:rsidRDefault="008930E6" w:rsidP="008930E6">
      <w:pPr>
        <w:rPr>
          <w:lang w:val="en-GB"/>
        </w:rPr>
      </w:pPr>
    </w:p>
    <w:p w14:paraId="0D04F198" w14:textId="333F9B41" w:rsidR="008930E6" w:rsidRDefault="008930E6" w:rsidP="008930E6">
      <w:pPr>
        <w:rPr>
          <w:lang w:val="en-GB"/>
        </w:rPr>
      </w:pPr>
    </w:p>
    <w:p w14:paraId="2A33E03C" w14:textId="77777777" w:rsidR="008930E6" w:rsidRDefault="008930E6" w:rsidP="008930E6">
      <w:pPr>
        <w:rPr>
          <w:lang w:val="en-GB"/>
        </w:rPr>
      </w:pPr>
    </w:p>
    <w:p w14:paraId="57C1BFCE" w14:textId="2AA70786" w:rsidR="008930E6" w:rsidRDefault="008930E6" w:rsidP="008930E6">
      <w:pPr>
        <w:rPr>
          <w:lang w:val="en-GB"/>
        </w:rPr>
      </w:pPr>
    </w:p>
    <w:p w14:paraId="64D85C25" w14:textId="009A4F43" w:rsidR="008930E6" w:rsidRDefault="008930E6" w:rsidP="008930E6">
      <w:pPr>
        <w:rPr>
          <w:lang w:val="en-GB"/>
        </w:rPr>
      </w:pPr>
    </w:p>
    <w:p w14:paraId="3ADF6D38" w14:textId="61962C8C" w:rsidR="008930E6" w:rsidRDefault="008930E6" w:rsidP="008930E6">
      <w:pPr>
        <w:rPr>
          <w:lang w:val="en-GB"/>
        </w:rPr>
      </w:pPr>
    </w:p>
    <w:p w14:paraId="5937D5B8" w14:textId="77777777" w:rsidR="008930E6" w:rsidRPr="008930E6" w:rsidRDefault="008930E6" w:rsidP="008930E6">
      <w:pPr>
        <w:rPr>
          <w:lang w:val="en-GB"/>
        </w:rPr>
      </w:pPr>
    </w:p>
    <w:p w14:paraId="6903D873" w14:textId="4972E4D6" w:rsidR="00C21E0C" w:rsidRPr="00380B40" w:rsidRDefault="00C21E0C" w:rsidP="00CA1F38">
      <w:pPr>
        <w:pStyle w:val="ChapNo"/>
        <w:rPr>
          <w:lang w:val="en-GB"/>
        </w:rPr>
      </w:pPr>
      <w:bookmarkStart w:id="12" w:name="PartI"/>
      <w:bookmarkEnd w:id="12"/>
      <w:r w:rsidRPr="00380B40">
        <w:rPr>
          <w:lang w:val="en-GB"/>
        </w:rPr>
        <w:t>PART I</w:t>
      </w:r>
      <w:r w:rsidR="00202A50" w:rsidRPr="00380B40">
        <w:rPr>
          <w:lang w:val="en-GB"/>
        </w:rPr>
        <w:t xml:space="preserve"> </w:t>
      </w:r>
      <w:r w:rsidR="00CA1F38" w:rsidRPr="00380B40">
        <w:rPr>
          <w:lang w:val="en-GB"/>
        </w:rPr>
        <w:br/>
      </w:r>
      <w:r w:rsidR="005E731C" w:rsidRPr="00380B40">
        <w:rPr>
          <w:lang w:val="en-GB"/>
        </w:rPr>
        <w:br/>
      </w:r>
      <w:r w:rsidR="00B55C16" w:rsidRPr="00380B40">
        <w:rPr>
          <w:lang w:val="en-GB"/>
        </w:rPr>
        <w:br/>
      </w:r>
      <w:r w:rsidRPr="00380B40">
        <w:rPr>
          <w:lang w:val="en-GB"/>
        </w:rPr>
        <w:t>Resolutions and Opinions adopted by the Assembly of the</w:t>
      </w:r>
      <w:r w:rsidRPr="00380B40">
        <w:rPr>
          <w:lang w:val="en-GB"/>
        </w:rPr>
        <w:br/>
        <w:t>ITU Telecommunication Standardization Sector</w:t>
      </w:r>
      <w:bookmarkEnd w:id="6"/>
      <w:bookmarkEnd w:id="7"/>
      <w:r w:rsidR="00FD162E" w:rsidRPr="00380B40">
        <w:rPr>
          <w:rStyle w:val="FootnoteReference"/>
          <w:lang w:val="en-GB"/>
        </w:rPr>
        <w:footnoteReference w:id="1"/>
      </w:r>
      <w:bookmarkEnd w:id="8"/>
      <w:bookmarkEnd w:id="9"/>
    </w:p>
    <w:p w14:paraId="5393AF2F" w14:textId="77777777" w:rsidR="00453000" w:rsidRPr="00380B40" w:rsidRDefault="00453000" w:rsidP="00453000">
      <w:pPr>
        <w:rPr>
          <w:lang w:val="en-GB"/>
        </w:rPr>
      </w:pPr>
    </w:p>
    <w:p w14:paraId="2A5ED304" w14:textId="77777777" w:rsidR="00C75AF1" w:rsidRDefault="00C75AF1">
      <w:pPr>
        <w:tabs>
          <w:tab w:val="clear" w:pos="794"/>
          <w:tab w:val="clear" w:pos="1191"/>
          <w:tab w:val="clear" w:pos="1588"/>
          <w:tab w:val="clear" w:pos="1985"/>
        </w:tabs>
        <w:overflowPunct/>
        <w:autoSpaceDE/>
        <w:autoSpaceDN/>
        <w:adjustRightInd/>
        <w:spacing w:before="0" w:line="240" w:lineRule="auto"/>
        <w:jc w:val="left"/>
        <w:textAlignment w:val="auto"/>
        <w:rPr>
          <w:lang w:val="en-GB"/>
        </w:rPr>
        <w:sectPr w:rsidR="00C75AF1" w:rsidSect="008930E6">
          <w:headerReference w:type="even" r:id="rId20"/>
          <w:headerReference w:type="default" r:id="rId21"/>
          <w:footerReference w:type="even" r:id="rId22"/>
          <w:footerReference w:type="default" r:id="rId23"/>
          <w:headerReference w:type="first" r:id="rId24"/>
          <w:footerReference w:type="first" r:id="rId25"/>
          <w:footnotePr>
            <w:numRestart w:val="eachSect"/>
          </w:footnotePr>
          <w:type w:val="oddPage"/>
          <w:pgSz w:w="11907" w:h="16834" w:code="9"/>
          <w:pgMar w:top="1134" w:right="1134" w:bottom="1134" w:left="1134" w:header="567" w:footer="567" w:gutter="0"/>
          <w:paperSrc w:first="261" w:other="261"/>
          <w:pgNumType w:start="1"/>
          <w:cols w:space="720"/>
          <w:titlePg/>
          <w:docGrid w:linePitch="299"/>
        </w:sectPr>
      </w:pPr>
    </w:p>
    <w:p w14:paraId="1E57B2F3" w14:textId="77777777" w:rsidR="00AA1264" w:rsidRPr="00380B40" w:rsidRDefault="00AA1264" w:rsidP="00AC491A">
      <w:pPr>
        <w:pStyle w:val="ResNo"/>
        <w:rPr>
          <w:lang w:val="en-GB"/>
        </w:rPr>
      </w:pPr>
      <w:bookmarkStart w:id="13" w:name="_Toc111636697"/>
      <w:bookmarkStart w:id="14" w:name="_Toc111638394"/>
      <w:r w:rsidRPr="00380B40">
        <w:rPr>
          <w:lang w:val="en-GB"/>
        </w:rPr>
        <w:t xml:space="preserve">RESOLUTION </w:t>
      </w:r>
      <w:r w:rsidRPr="00380B40">
        <w:rPr>
          <w:rStyle w:val="href"/>
          <w:lang w:val="en-GB"/>
        </w:rPr>
        <w:t>1</w:t>
      </w:r>
      <w:r w:rsidRPr="00380B40">
        <w:rPr>
          <w:lang w:val="en-GB"/>
        </w:rPr>
        <w:t xml:space="preserve"> </w:t>
      </w:r>
      <w:r w:rsidR="00AC491A" w:rsidRPr="00380B40">
        <w:rPr>
          <w:lang w:val="en-GB"/>
        </w:rPr>
        <w:t>(R</w:t>
      </w:r>
      <w:r w:rsidR="00AC491A" w:rsidRPr="00380B40">
        <w:rPr>
          <w:caps w:val="0"/>
          <w:lang w:val="en-GB"/>
        </w:rPr>
        <w:t>ev</w:t>
      </w:r>
      <w:r w:rsidR="00AC491A" w:rsidRPr="00380B40">
        <w:rPr>
          <w:lang w:val="en-GB"/>
        </w:rPr>
        <w:t>. G</w:t>
      </w:r>
      <w:r w:rsidR="00AC491A" w:rsidRPr="00380B40">
        <w:rPr>
          <w:caps w:val="0"/>
          <w:lang w:val="en-GB"/>
        </w:rPr>
        <w:t>eneva</w:t>
      </w:r>
      <w:r w:rsidR="00AC491A" w:rsidRPr="00380B40">
        <w:rPr>
          <w:lang w:val="en-GB"/>
        </w:rPr>
        <w:t>, 2022)</w:t>
      </w:r>
      <w:bookmarkEnd w:id="10"/>
      <w:bookmarkEnd w:id="11"/>
      <w:bookmarkEnd w:id="13"/>
      <w:bookmarkEnd w:id="14"/>
    </w:p>
    <w:p w14:paraId="2578CA87" w14:textId="77777777" w:rsidR="00AC491A" w:rsidRPr="00380B40" w:rsidRDefault="00AC491A" w:rsidP="00AC491A">
      <w:pPr>
        <w:pStyle w:val="Restitle"/>
        <w:rPr>
          <w:lang w:val="en-GB"/>
        </w:rPr>
      </w:pPr>
      <w:bookmarkStart w:id="15" w:name="_Toc104459694"/>
      <w:bookmarkStart w:id="16" w:name="_Toc104476502"/>
      <w:bookmarkStart w:id="17" w:name="_Toc111638395"/>
      <w:bookmarkStart w:id="18" w:name="_Hlk98406883"/>
      <w:r w:rsidRPr="00380B40">
        <w:rPr>
          <w:lang w:val="en-GB"/>
        </w:rPr>
        <w:t xml:space="preserve">Rules of procedure of the ITU Telecommunication </w:t>
      </w:r>
      <w:r w:rsidRPr="00380B40">
        <w:rPr>
          <w:lang w:val="en-GB"/>
        </w:rPr>
        <w:br/>
        <w:t>Standardization Sector</w:t>
      </w:r>
      <w:bookmarkEnd w:id="15"/>
      <w:bookmarkEnd w:id="16"/>
      <w:bookmarkEnd w:id="17"/>
    </w:p>
    <w:bookmarkEnd w:id="18"/>
    <w:p w14:paraId="25FE6401" w14:textId="77777777" w:rsidR="00AC491A" w:rsidRPr="00380B40" w:rsidRDefault="00AC491A" w:rsidP="00AC491A">
      <w:pPr>
        <w:pStyle w:val="Resref"/>
        <w:rPr>
          <w:lang w:val="en-GB"/>
        </w:rPr>
      </w:pPr>
      <w:r w:rsidRPr="00380B40">
        <w:rPr>
          <w:lang w:val="en-GB"/>
        </w:rPr>
        <w:t>(Geneva, 2022)</w:t>
      </w:r>
      <w:r w:rsidR="00FD162E" w:rsidRPr="00380B40">
        <w:rPr>
          <w:rStyle w:val="FootnoteReference"/>
          <w:lang w:val="en-GB"/>
        </w:rPr>
        <w:footnoteReference w:id="2"/>
      </w:r>
    </w:p>
    <w:p w14:paraId="2B4F2E5D" w14:textId="77777777" w:rsidR="00AC491A" w:rsidRPr="00380B40" w:rsidRDefault="00AC491A" w:rsidP="00AC491A">
      <w:pPr>
        <w:pStyle w:val="Normalaftertitle0"/>
      </w:pPr>
      <w:r w:rsidRPr="00380B40">
        <w:t>The World Telecommunication Standardization Assembly (Geneva, 2022),</w:t>
      </w:r>
    </w:p>
    <w:p w14:paraId="17B281E0" w14:textId="77777777" w:rsidR="00AC491A" w:rsidRPr="00380B40" w:rsidRDefault="00AC491A" w:rsidP="00AC491A">
      <w:pPr>
        <w:pStyle w:val="Call"/>
        <w:rPr>
          <w:lang w:val="en-GB"/>
        </w:rPr>
      </w:pPr>
      <w:r w:rsidRPr="00380B40">
        <w:rPr>
          <w:lang w:val="en-GB"/>
        </w:rPr>
        <w:t>considering</w:t>
      </w:r>
    </w:p>
    <w:p w14:paraId="362D2AEB" w14:textId="77777777" w:rsidR="00AC491A" w:rsidRPr="00380B40" w:rsidRDefault="00AC491A" w:rsidP="00AC491A">
      <w:pPr>
        <w:rPr>
          <w:lang w:val="en-GB"/>
        </w:rPr>
      </w:pPr>
      <w:r w:rsidRPr="00380B40">
        <w:rPr>
          <w:i/>
          <w:iCs/>
          <w:lang w:val="en-GB"/>
        </w:rPr>
        <w:t>a)</w:t>
      </w:r>
      <w:r w:rsidRPr="00380B40">
        <w:rPr>
          <w:lang w:val="en-GB"/>
        </w:rPr>
        <w:tab/>
        <w:t>that the functions, duties and organization of the ITU Telecommunication Standardization Sector (ITU</w:t>
      </w:r>
      <w:r w:rsidRPr="00380B40">
        <w:rPr>
          <w:lang w:val="en-GB"/>
        </w:rPr>
        <w:noBreakHyphen/>
        <w:t>T) are stated in Articles 17, 18, 19, 20 of the ITU Constitution and Articles 13, 14, 14A, 15 and 20 of the ITU Convention;</w:t>
      </w:r>
    </w:p>
    <w:p w14:paraId="7DD44A37" w14:textId="77777777" w:rsidR="00AC491A" w:rsidRPr="00380B40" w:rsidRDefault="00AC491A" w:rsidP="00AC491A">
      <w:pPr>
        <w:rPr>
          <w:lang w:val="en-GB"/>
        </w:rPr>
      </w:pPr>
      <w:r w:rsidRPr="00380B40">
        <w:rPr>
          <w:i/>
          <w:iCs/>
          <w:lang w:val="en-GB"/>
        </w:rPr>
        <w:t>b)</w:t>
      </w:r>
      <w:r w:rsidRPr="00380B40">
        <w:rPr>
          <w:lang w:val="en-GB"/>
        </w:rPr>
        <w:tab/>
        <w:t>that, in accordance with the above articles of the Constitution and Convention, ITU</w:t>
      </w:r>
      <w:r w:rsidRPr="00380B40">
        <w:rPr>
          <w:lang w:val="en-GB"/>
        </w:rPr>
        <w:noBreakHyphen/>
        <w:t>T shall study technical, operating and tariff questions and adopt Recommendations with a view to standardizing telecommunications on a worldwide basis;</w:t>
      </w:r>
    </w:p>
    <w:p w14:paraId="54301FCF" w14:textId="77777777" w:rsidR="00AC491A" w:rsidRPr="00380B40" w:rsidRDefault="00AC491A" w:rsidP="00AC491A">
      <w:pPr>
        <w:rPr>
          <w:lang w:val="en-GB"/>
        </w:rPr>
      </w:pPr>
      <w:r w:rsidRPr="00380B40">
        <w:rPr>
          <w:i/>
          <w:iCs/>
          <w:lang w:val="en-GB"/>
        </w:rPr>
        <w:t>b)bis</w:t>
      </w:r>
      <w:r w:rsidRPr="00380B40">
        <w:rPr>
          <w:lang w:val="en-GB"/>
        </w:rPr>
        <w:tab/>
        <w:t>that the International Telecommunication Regulations (ITRs) contain references to relevant ITU</w:t>
      </w:r>
      <w:r w:rsidRPr="00380B40">
        <w:rPr>
          <w:lang w:val="en-GB"/>
        </w:rPr>
        <w:noBreakHyphen/>
        <w:t>T Recommendations;</w:t>
      </w:r>
    </w:p>
    <w:p w14:paraId="55411D8B" w14:textId="77777777" w:rsidR="00AC491A" w:rsidRPr="00380B40" w:rsidRDefault="00AC491A" w:rsidP="00AC491A">
      <w:pPr>
        <w:rPr>
          <w:lang w:val="en-GB"/>
        </w:rPr>
      </w:pPr>
      <w:r w:rsidRPr="00380B40">
        <w:rPr>
          <w:i/>
          <w:iCs/>
          <w:lang w:val="en-GB"/>
        </w:rPr>
        <w:t>c)</w:t>
      </w:r>
      <w:r w:rsidRPr="00380B40">
        <w:rPr>
          <w:lang w:val="en-GB"/>
        </w:rPr>
        <w:tab/>
        <w:t>that the ITU</w:t>
      </w:r>
      <w:r w:rsidRPr="00380B40">
        <w:rPr>
          <w:lang w:val="en-GB"/>
        </w:rPr>
        <w:noBreakHyphen/>
        <w:t>T Recommendations resulting from these studies shall be in harmony with the ITRs in force, complement the basic principles therein and assist all those concerned in the provision and operation of telecommunication services to meet the objectives set down in the relevant articles of those Regulations;</w:t>
      </w:r>
    </w:p>
    <w:p w14:paraId="3E173311" w14:textId="77777777" w:rsidR="00AC491A" w:rsidRPr="00380B40" w:rsidRDefault="00AC491A" w:rsidP="00AC491A">
      <w:pPr>
        <w:rPr>
          <w:lang w:val="en-GB"/>
        </w:rPr>
      </w:pPr>
      <w:r w:rsidRPr="00380B40">
        <w:rPr>
          <w:i/>
          <w:iCs/>
          <w:lang w:val="en-GB"/>
        </w:rPr>
        <w:t>d)</w:t>
      </w:r>
      <w:r w:rsidRPr="00380B40">
        <w:rPr>
          <w:lang w:val="en-GB"/>
        </w:rPr>
        <w:tab/>
        <w:t>that, accordingly, the rapid developments in telecommunication technology and services require rapid, timely and reliable ITU</w:t>
      </w:r>
      <w:r w:rsidRPr="00380B40">
        <w:rPr>
          <w:lang w:val="en-GB"/>
        </w:rPr>
        <w:noBreakHyphen/>
        <w:t>T Recommendations in order to keep abreast of the needs of the telecommunication/information and communication technology sector, including the industry sector, to assist all Member States, especially the ITU-T members, in the development of their telecommunications;</w:t>
      </w:r>
    </w:p>
    <w:p w14:paraId="1B0ED74A" w14:textId="77777777" w:rsidR="00AC491A" w:rsidRPr="00380B40" w:rsidRDefault="00AC491A" w:rsidP="00AC491A">
      <w:pPr>
        <w:rPr>
          <w:lang w:val="en-GB"/>
        </w:rPr>
      </w:pPr>
      <w:r w:rsidRPr="00380B40">
        <w:rPr>
          <w:i/>
          <w:iCs/>
          <w:lang w:val="en-GB"/>
        </w:rPr>
        <w:t>e)</w:t>
      </w:r>
      <w:r w:rsidRPr="00380B40">
        <w:rPr>
          <w:lang w:val="en-GB"/>
        </w:rPr>
        <w:tab/>
        <w:t>the General Rules of conferences, assemblies and meetings of the Union adopted by the Plenipotentiary Conference;</w:t>
      </w:r>
    </w:p>
    <w:p w14:paraId="2365E9A2" w14:textId="77777777" w:rsidR="00AC491A" w:rsidRPr="00380B40" w:rsidRDefault="00AC491A" w:rsidP="00AC491A">
      <w:pPr>
        <w:rPr>
          <w:i/>
          <w:iCs/>
          <w:lang w:val="en-GB"/>
        </w:rPr>
      </w:pPr>
      <w:r w:rsidRPr="00380B40">
        <w:rPr>
          <w:i/>
          <w:iCs/>
          <w:lang w:val="en-GB"/>
        </w:rPr>
        <w:t>f)</w:t>
      </w:r>
      <w:r w:rsidRPr="00380B40">
        <w:rPr>
          <w:lang w:val="en-GB"/>
        </w:rPr>
        <w:tab/>
        <w:t xml:space="preserve">that the General Rules of conferences, assemblies and meetings of the Union adopted by the Plenipotentiary Conference, and Resolution 165 </w:t>
      </w:r>
      <w:bookmarkStart w:id="19" w:name="_Hlk98407152"/>
      <w:r w:rsidRPr="00380B40">
        <w:rPr>
          <w:lang w:val="en-GB"/>
        </w:rPr>
        <w:t xml:space="preserve">(Rev. Dubai, 2018) </w:t>
      </w:r>
      <w:bookmarkEnd w:id="19"/>
      <w:r w:rsidRPr="00380B40">
        <w:rPr>
          <w:lang w:val="en-GB"/>
        </w:rPr>
        <w:t>of the Plenipotentiary Conference, on deadlines for the submission of proposals and procedures for the registration of participants for conferences and assemblies of the Union, apply to the World Telecommunication Standardization Assembly (WTSA);</w:t>
      </w:r>
    </w:p>
    <w:p w14:paraId="17C0A4BA" w14:textId="77777777" w:rsidR="00AC491A" w:rsidRPr="00380B40" w:rsidRDefault="00AC491A" w:rsidP="00AC491A">
      <w:pPr>
        <w:rPr>
          <w:lang w:val="en-GB"/>
        </w:rPr>
      </w:pPr>
      <w:r w:rsidRPr="00380B40">
        <w:rPr>
          <w:i/>
          <w:iCs/>
          <w:lang w:val="en-GB"/>
        </w:rPr>
        <w:t>g)</w:t>
      </w:r>
      <w:r w:rsidRPr="00380B40">
        <w:rPr>
          <w:lang w:val="en-GB"/>
        </w:rPr>
        <w:tab/>
        <w:t>that, in accordance with No. 184A of the Convention, WTSA is authorized to adopt the working methods and procedures for the management of the activities of ITU</w:t>
      </w:r>
      <w:r w:rsidRPr="00380B40">
        <w:rPr>
          <w:lang w:val="en-GB"/>
        </w:rPr>
        <w:noBreakHyphen/>
        <w:t>T in accordance with No. 145A of the Constitution;</w:t>
      </w:r>
    </w:p>
    <w:p w14:paraId="547C21E0" w14:textId="77777777" w:rsidR="00AC491A" w:rsidRPr="00380B40" w:rsidRDefault="00AC491A" w:rsidP="00AC491A">
      <w:pPr>
        <w:rPr>
          <w:lang w:val="en-GB"/>
        </w:rPr>
      </w:pPr>
      <w:r w:rsidRPr="00380B40">
        <w:rPr>
          <w:i/>
          <w:iCs/>
          <w:lang w:val="en-GB"/>
        </w:rPr>
        <w:t>h)</w:t>
      </w:r>
      <w:r w:rsidRPr="00380B40">
        <w:rPr>
          <w:lang w:val="en-GB"/>
        </w:rPr>
        <w:tab/>
        <w:t>that careful review of the more detailed working arrangements has been made in order to adapt them to meet the increasing demand for developing Recommendations with the most effective use of the limited resources available to Member States, Sector Members and ITU headquarters;</w:t>
      </w:r>
    </w:p>
    <w:p w14:paraId="392C71F5" w14:textId="77777777" w:rsidR="00AC491A" w:rsidRPr="00380B40" w:rsidRDefault="00AC491A" w:rsidP="00AC491A">
      <w:pPr>
        <w:rPr>
          <w:lang w:val="en-GB"/>
        </w:rPr>
      </w:pPr>
      <w:r w:rsidRPr="00380B40">
        <w:rPr>
          <w:i/>
          <w:iCs/>
          <w:lang w:val="en-GB"/>
        </w:rPr>
        <w:t>i)</w:t>
      </w:r>
      <w:r w:rsidRPr="00380B40">
        <w:rPr>
          <w:lang w:val="en-GB"/>
        </w:rPr>
        <w:tab/>
        <w:t>Resolution 54 (Rev. Geneva, 2022) of this assembly, on the creation of, and assistance to, regional groups;</w:t>
      </w:r>
    </w:p>
    <w:p w14:paraId="791C86D6" w14:textId="77777777" w:rsidR="008F7A95" w:rsidRPr="00380B40" w:rsidRDefault="008F7A95" w:rsidP="00AC491A">
      <w:pPr>
        <w:rPr>
          <w:i/>
          <w:iCs/>
          <w:lang w:val="en-GB"/>
        </w:rPr>
      </w:pPr>
      <w:r w:rsidRPr="00380B40">
        <w:rPr>
          <w:i/>
          <w:iCs/>
          <w:lang w:val="en-GB"/>
        </w:rPr>
        <w:br w:type="page"/>
      </w:r>
    </w:p>
    <w:p w14:paraId="566DC0D8" w14:textId="77777777" w:rsidR="00AC491A" w:rsidRPr="00380B40" w:rsidRDefault="00AC491A" w:rsidP="00AC491A">
      <w:pPr>
        <w:rPr>
          <w:lang w:val="en-GB"/>
        </w:rPr>
      </w:pPr>
      <w:r w:rsidRPr="00380B40">
        <w:rPr>
          <w:i/>
          <w:iCs/>
          <w:lang w:val="en-GB"/>
        </w:rPr>
        <w:t>j)</w:t>
      </w:r>
      <w:r w:rsidRPr="00380B40">
        <w:rPr>
          <w:lang w:val="en-GB"/>
        </w:rPr>
        <w:tab/>
        <w:t>that Resolution 208 (Dubai, 2018) of the Plenipotentiary Conference establishes the appointment procedure and maximum term of office for chairmen and vice-chairmen of Sector advisory groups, study groups and other groups;</w:t>
      </w:r>
    </w:p>
    <w:p w14:paraId="4B8BF71C" w14:textId="77777777" w:rsidR="00AC491A" w:rsidRPr="00380B40" w:rsidRDefault="00AC491A" w:rsidP="00AC491A">
      <w:pPr>
        <w:rPr>
          <w:lang w:val="en-GB"/>
        </w:rPr>
      </w:pPr>
      <w:r w:rsidRPr="00380B40">
        <w:rPr>
          <w:i/>
          <w:iCs/>
          <w:lang w:val="en-GB"/>
        </w:rPr>
        <w:t>k)</w:t>
      </w:r>
      <w:r w:rsidRPr="00380B40">
        <w:rPr>
          <w:lang w:val="en-GB"/>
        </w:rPr>
        <w:tab/>
        <w:t>that Resolution 191 (Rev. Dubai, 2018) of the Plenipotentiary Conference establishes methods and approaches for the coordination of efforts among the three Sectors of the Union;</w:t>
      </w:r>
    </w:p>
    <w:p w14:paraId="5393C270" w14:textId="77777777" w:rsidR="00AC491A" w:rsidRPr="00380B40" w:rsidRDefault="00AC491A" w:rsidP="00AC491A">
      <w:pPr>
        <w:rPr>
          <w:i/>
          <w:iCs/>
          <w:lang w:val="en-GB"/>
        </w:rPr>
      </w:pPr>
      <w:r w:rsidRPr="00380B40">
        <w:rPr>
          <w:i/>
          <w:iCs/>
          <w:lang w:val="en-GB"/>
        </w:rPr>
        <w:t>l)</w:t>
      </w:r>
      <w:r w:rsidRPr="00380B40">
        <w:rPr>
          <w:i/>
          <w:iCs/>
          <w:lang w:val="en-GB"/>
        </w:rPr>
        <w:tab/>
      </w:r>
      <w:r w:rsidRPr="00380B40">
        <w:rPr>
          <w:lang w:val="en-GB"/>
        </w:rPr>
        <w:t>that Resolution 154 (Rev. Dubai, 2018) of the Plenipotentiary Conference establishes methods and approaches for the use of the six official languages of the Union on an equal footing,</w:t>
      </w:r>
    </w:p>
    <w:p w14:paraId="669737A6" w14:textId="77777777" w:rsidR="00AC491A" w:rsidRPr="00380B40" w:rsidRDefault="00AC491A" w:rsidP="00AC491A">
      <w:pPr>
        <w:pStyle w:val="Call"/>
        <w:rPr>
          <w:lang w:val="en-GB"/>
        </w:rPr>
      </w:pPr>
      <w:r w:rsidRPr="00380B40">
        <w:rPr>
          <w:lang w:val="en-GB"/>
        </w:rPr>
        <w:t>resolves</w:t>
      </w:r>
    </w:p>
    <w:p w14:paraId="523EC9E6" w14:textId="77777777" w:rsidR="00AC491A" w:rsidRPr="00380B40" w:rsidRDefault="00AC491A" w:rsidP="00AC491A">
      <w:pPr>
        <w:rPr>
          <w:lang w:val="en-GB"/>
        </w:rPr>
      </w:pPr>
      <w:r w:rsidRPr="00380B40">
        <w:rPr>
          <w:lang w:val="en-GB"/>
        </w:rPr>
        <w:t xml:space="preserve">that the provisions referred to in </w:t>
      </w:r>
      <w:r w:rsidRPr="00380B40">
        <w:rPr>
          <w:i/>
          <w:iCs/>
          <w:lang w:val="en-GB"/>
        </w:rPr>
        <w:t>considering</w:t>
      </w:r>
      <w:r w:rsidRPr="00380B40">
        <w:rPr>
          <w:lang w:val="en-GB"/>
        </w:rPr>
        <w:t> </w:t>
      </w:r>
      <w:r w:rsidRPr="00380B40">
        <w:rPr>
          <w:i/>
          <w:iCs/>
          <w:lang w:val="en-GB"/>
        </w:rPr>
        <w:t xml:space="preserve">e) </w:t>
      </w:r>
      <w:r w:rsidRPr="00380B40">
        <w:rPr>
          <w:lang w:val="en-GB"/>
        </w:rPr>
        <w:t>to</w:t>
      </w:r>
      <w:r w:rsidRPr="00380B40">
        <w:rPr>
          <w:i/>
          <w:iCs/>
          <w:lang w:val="en-GB"/>
        </w:rPr>
        <w:t xml:space="preserve"> l)</w:t>
      </w:r>
      <w:r w:rsidRPr="00380B40">
        <w:rPr>
          <w:lang w:val="en-GB"/>
        </w:rPr>
        <w:t xml:space="preserve"> above shall be further elaborated by the provisions of this resolution and the resolutions to which they refer, bearing in mind that, in the case of inconsistency, the Constitution, the Convention, the ITRs and the General Rules of conferences, assemblies and meetings of the Union (in that order) shall prevail over this resolution.</w:t>
      </w:r>
    </w:p>
    <w:p w14:paraId="4DD45A4A" w14:textId="77777777" w:rsidR="00AC491A" w:rsidRPr="00380B40" w:rsidRDefault="00AC491A" w:rsidP="00AC491A">
      <w:pPr>
        <w:pStyle w:val="SectionNo"/>
        <w:rPr>
          <w:lang w:val="en-GB"/>
        </w:rPr>
      </w:pPr>
      <w:bookmarkStart w:id="20" w:name="_Toc111636698"/>
      <w:r w:rsidRPr="00380B40">
        <w:rPr>
          <w:lang w:val="en-GB"/>
        </w:rPr>
        <w:t>SECTION 1</w:t>
      </w:r>
      <w:bookmarkEnd w:id="20"/>
    </w:p>
    <w:p w14:paraId="6698ABA3" w14:textId="77777777" w:rsidR="00AC491A" w:rsidRPr="00380B40" w:rsidRDefault="00AC491A" w:rsidP="00202A50">
      <w:pPr>
        <w:pStyle w:val="Sectiontitle"/>
      </w:pPr>
      <w:bookmarkStart w:id="21" w:name="_Toc111636699"/>
      <w:r w:rsidRPr="00380B40">
        <w:t>World Telecommunication Standardization Assembly</w:t>
      </w:r>
      <w:bookmarkEnd w:id="21"/>
    </w:p>
    <w:p w14:paraId="09FD757E" w14:textId="77777777" w:rsidR="00AC491A" w:rsidRPr="00380B40" w:rsidRDefault="00AC491A" w:rsidP="00AC491A">
      <w:pPr>
        <w:pStyle w:val="Normalaftertitle0"/>
      </w:pPr>
      <w:r w:rsidRPr="00380B40">
        <w:rPr>
          <w:b/>
          <w:bCs/>
          <w:szCs w:val="22"/>
        </w:rPr>
        <w:t>1.1</w:t>
      </w:r>
      <w:r w:rsidRPr="00380B40">
        <w:tab/>
        <w:t>The World Telecommunication Standardization Assembly (WTSA), in undertaking the duties assigned to it in Article 18 of the ITU Constitution, Article 13 of the ITU Convention and the General Rules of conferences, assemblies and meetings of the Union, shall:</w:t>
      </w:r>
    </w:p>
    <w:p w14:paraId="5B911E1E" w14:textId="77777777" w:rsidR="00AC491A" w:rsidRPr="00380B40" w:rsidRDefault="00AC491A" w:rsidP="00AC491A">
      <w:pPr>
        <w:pStyle w:val="enumlev1"/>
        <w:rPr>
          <w:lang w:val="en-GB"/>
        </w:rPr>
      </w:pPr>
      <w:r w:rsidRPr="00380B40">
        <w:rPr>
          <w:lang w:val="en-GB"/>
        </w:rPr>
        <w:t>a)</w:t>
      </w:r>
      <w:r w:rsidRPr="00380B40">
        <w:rPr>
          <w:lang w:val="en-GB"/>
        </w:rPr>
        <w:tab/>
        <w:t>establish and adopt working methods and procedures for the management of the activities of the Sectors (see No. 145A of the Constitution);</w:t>
      </w:r>
    </w:p>
    <w:p w14:paraId="693D3957" w14:textId="77777777" w:rsidR="00AC491A" w:rsidRPr="00380B40" w:rsidRDefault="00AC491A" w:rsidP="00AC491A">
      <w:pPr>
        <w:pStyle w:val="enumlev1"/>
        <w:rPr>
          <w:lang w:val="en-GB"/>
        </w:rPr>
      </w:pPr>
      <w:r w:rsidRPr="00380B40">
        <w:rPr>
          <w:lang w:val="en-GB"/>
        </w:rPr>
        <w:t>b)</w:t>
      </w:r>
      <w:r w:rsidRPr="00380B40">
        <w:rPr>
          <w:lang w:val="en-GB"/>
        </w:rPr>
        <w:tab/>
        <w:t xml:space="preserve">consider the reports of study groups prepared in accordance with No. 194 of the Convention (see No. 187 </w:t>
      </w:r>
      <w:bookmarkStart w:id="22" w:name="_Hlk98451403"/>
      <w:r w:rsidRPr="00380B40">
        <w:rPr>
          <w:lang w:val="en-GB"/>
        </w:rPr>
        <w:t>of the Convention</w:t>
      </w:r>
      <w:bookmarkEnd w:id="22"/>
      <w:r w:rsidRPr="00380B40">
        <w:rPr>
          <w:lang w:val="en-GB"/>
        </w:rPr>
        <w:t>);</w:t>
      </w:r>
    </w:p>
    <w:p w14:paraId="6CCDB3A4" w14:textId="77777777" w:rsidR="00AC491A" w:rsidRPr="00380B40" w:rsidRDefault="00AC491A" w:rsidP="00AC491A">
      <w:pPr>
        <w:pStyle w:val="enumlev1"/>
        <w:rPr>
          <w:lang w:val="en-GB"/>
        </w:rPr>
      </w:pPr>
      <w:r w:rsidRPr="00380B40">
        <w:rPr>
          <w:lang w:val="en-GB"/>
        </w:rPr>
        <w:t>c)</w:t>
      </w:r>
      <w:r w:rsidRPr="00380B40">
        <w:rPr>
          <w:lang w:val="en-GB"/>
        </w:rPr>
        <w:tab/>
        <w:t>approve, modify or reject draft Recommendations contained in those reports (see No. 187 of the Convention);</w:t>
      </w:r>
    </w:p>
    <w:p w14:paraId="2A719024" w14:textId="77777777" w:rsidR="00AC491A" w:rsidRPr="00380B40" w:rsidRDefault="00AC491A" w:rsidP="00AC491A">
      <w:pPr>
        <w:pStyle w:val="enumlev1"/>
        <w:rPr>
          <w:lang w:val="en-GB"/>
        </w:rPr>
      </w:pPr>
      <w:r w:rsidRPr="00380B40">
        <w:rPr>
          <w:lang w:val="en-GB"/>
        </w:rPr>
        <w:t>d)</w:t>
      </w:r>
      <w:r w:rsidRPr="00380B40">
        <w:rPr>
          <w:lang w:val="en-GB"/>
        </w:rPr>
        <w:tab/>
        <w:t>consider the reports of the Telecommunication Standardization Advisory Group (TSAG) in accordance with Nos. 197H and 197I of the Convention (see No. 187 of the Convention);</w:t>
      </w:r>
    </w:p>
    <w:p w14:paraId="61B38EC4" w14:textId="77777777" w:rsidR="00AC491A" w:rsidRPr="00380B40" w:rsidRDefault="00AC491A" w:rsidP="00AC491A">
      <w:pPr>
        <w:pStyle w:val="enumlev1"/>
        <w:rPr>
          <w:lang w:val="en-GB"/>
        </w:rPr>
      </w:pPr>
      <w:r w:rsidRPr="00380B40">
        <w:rPr>
          <w:lang w:val="en-GB"/>
        </w:rPr>
        <w:t>e)</w:t>
      </w:r>
      <w:r w:rsidRPr="00380B40">
        <w:rPr>
          <w:lang w:val="en-GB"/>
        </w:rPr>
        <w:tab/>
        <w:t>bearing in mind the need to keep the demands on the resources of the Union to a minimum, approve the programme of work arising from the review of existing Questions and new Questions and determine the priority, urgency, estimated financial implications and time-scale for the completion of their study (see No. 188 of the Convention);</w:t>
      </w:r>
    </w:p>
    <w:p w14:paraId="4078DF4D" w14:textId="77777777" w:rsidR="00AC491A" w:rsidRPr="00380B40" w:rsidRDefault="00AC491A" w:rsidP="00AC491A">
      <w:pPr>
        <w:pStyle w:val="enumlev1"/>
        <w:rPr>
          <w:lang w:val="en-GB"/>
        </w:rPr>
      </w:pPr>
      <w:r w:rsidRPr="00380B40">
        <w:rPr>
          <w:lang w:val="en-GB"/>
        </w:rPr>
        <w:t>f)</w:t>
      </w:r>
      <w:r w:rsidRPr="00380B40">
        <w:rPr>
          <w:lang w:val="en-GB"/>
        </w:rPr>
        <w:tab/>
        <w:t>decide, in the light of the approved programme of work derived from No. 188 of the Convention, on the need to maintain, terminate or establish study groups and allocate to each of them the Questions to be studied (see No. 189 of the Convention);</w:t>
      </w:r>
    </w:p>
    <w:p w14:paraId="781B6E9A" w14:textId="77777777" w:rsidR="00FA0AF5" w:rsidRPr="00380B40" w:rsidRDefault="00FA0AF5" w:rsidP="00AC491A">
      <w:pPr>
        <w:pStyle w:val="enumlev1"/>
        <w:rPr>
          <w:lang w:val="en-GB"/>
        </w:rPr>
      </w:pPr>
      <w:r w:rsidRPr="00380B40">
        <w:rPr>
          <w:lang w:val="en-GB"/>
        </w:rPr>
        <w:br w:type="page"/>
      </w:r>
    </w:p>
    <w:p w14:paraId="4F6EFDC9" w14:textId="77777777" w:rsidR="00AC491A" w:rsidRPr="00380B40" w:rsidRDefault="00AC491A" w:rsidP="00AC491A">
      <w:pPr>
        <w:pStyle w:val="enumlev1"/>
        <w:rPr>
          <w:lang w:val="en-GB"/>
        </w:rPr>
      </w:pPr>
      <w:r w:rsidRPr="00380B40">
        <w:rPr>
          <w:lang w:val="en-GB"/>
        </w:rPr>
        <w:t>g)</w:t>
      </w:r>
      <w:r w:rsidRPr="00380B40">
        <w:rPr>
          <w:lang w:val="en-GB"/>
        </w:rPr>
        <w:tab/>
        <w:t>group, as far as practicable, Questions of interest to the developing countries</w:t>
      </w:r>
      <w:r w:rsidR="00FD162E" w:rsidRPr="00380B40">
        <w:rPr>
          <w:rStyle w:val="FootnoteReference"/>
          <w:lang w:val="en-GB"/>
        </w:rPr>
        <w:footnoteReference w:id="3"/>
      </w:r>
      <w:r w:rsidRPr="00380B40">
        <w:rPr>
          <w:lang w:val="en-GB"/>
        </w:rPr>
        <w:t xml:space="preserve"> to facilitate their participation in these studies (see No. 190 of the Convention);</w:t>
      </w:r>
    </w:p>
    <w:p w14:paraId="700ADAF6" w14:textId="77777777" w:rsidR="00AC491A" w:rsidRPr="00380B40" w:rsidRDefault="00AC491A" w:rsidP="00AC491A">
      <w:pPr>
        <w:pStyle w:val="enumlev1"/>
        <w:rPr>
          <w:lang w:val="en-GB"/>
        </w:rPr>
      </w:pPr>
      <w:r w:rsidRPr="00380B40">
        <w:rPr>
          <w:lang w:val="en-GB"/>
        </w:rPr>
        <w:t>h)</w:t>
      </w:r>
      <w:r w:rsidRPr="00380B40">
        <w:rPr>
          <w:lang w:val="en-GB"/>
        </w:rPr>
        <w:tab/>
        <w:t>consider and approve the report of the Director of the Telecommunication Standardization Bureau (TSB) on the activities of the Sector since the last conference (see No. 191 of the Convention);</w:t>
      </w:r>
    </w:p>
    <w:p w14:paraId="6B7F127D" w14:textId="77777777" w:rsidR="00AC491A" w:rsidRPr="00380B40" w:rsidRDefault="00AC491A" w:rsidP="00AC491A">
      <w:pPr>
        <w:pStyle w:val="enumlev1"/>
        <w:rPr>
          <w:lang w:val="en-GB"/>
        </w:rPr>
      </w:pPr>
      <w:r w:rsidRPr="00380B40">
        <w:rPr>
          <w:lang w:val="en-GB"/>
        </w:rPr>
        <w:t>i)</w:t>
      </w:r>
      <w:r w:rsidRPr="00380B40">
        <w:rPr>
          <w:lang w:val="en-GB"/>
        </w:rPr>
        <w:tab/>
        <w:t>decide on the need to maintain, terminate or establish other groups and appoint their chairmen and vice-chairmen (see No. 191A of the Convention) in accordance with provisions of Resolution</w:t>
      </w:r>
      <w:r w:rsidR="00F91E67" w:rsidRPr="00380B40">
        <w:rPr>
          <w:lang w:val="en-GB"/>
        </w:rPr>
        <w:t> </w:t>
      </w:r>
      <w:r w:rsidRPr="00380B40">
        <w:rPr>
          <w:lang w:val="en-GB"/>
        </w:rPr>
        <w:t>208 (Dubai, 2018) of the Plenipotentiary Conference and taking into account the proposals of the meeting of the heads of delegation (see 1.10 below);</w:t>
      </w:r>
    </w:p>
    <w:p w14:paraId="04F540D2" w14:textId="77777777" w:rsidR="00AC491A" w:rsidRPr="00380B40" w:rsidRDefault="00AC491A" w:rsidP="00AC491A">
      <w:pPr>
        <w:pStyle w:val="enumlev1"/>
        <w:rPr>
          <w:lang w:val="en-GB"/>
        </w:rPr>
      </w:pPr>
      <w:r w:rsidRPr="00380B40">
        <w:rPr>
          <w:lang w:val="en-GB"/>
        </w:rPr>
        <w:t>j)</w:t>
      </w:r>
      <w:r w:rsidRPr="00380B40">
        <w:rPr>
          <w:lang w:val="en-GB"/>
        </w:rPr>
        <w:tab/>
        <w:t>establish the terms of reference for the groups referred to in No. 191A of the Convention; such groups shall not adopt Questions or Recommendations (see No. 191B of the Convention);</w:t>
      </w:r>
    </w:p>
    <w:p w14:paraId="4FC4720F" w14:textId="77777777" w:rsidR="00AC491A" w:rsidRPr="00380B40" w:rsidRDefault="00AC491A" w:rsidP="00AC491A">
      <w:pPr>
        <w:pStyle w:val="enumlev1"/>
        <w:rPr>
          <w:lang w:val="en-GB"/>
        </w:rPr>
      </w:pPr>
      <w:r w:rsidRPr="00380B40">
        <w:rPr>
          <w:lang w:val="en-GB"/>
        </w:rPr>
        <w:t>k)</w:t>
      </w:r>
      <w:r w:rsidRPr="00380B40">
        <w:rPr>
          <w:lang w:val="en-GB"/>
        </w:rPr>
        <w:tab/>
        <w:t>take into account, when adopting resolutions and decisions, the foreseeable financial implications; in so doing, it should avoid adopting resolutions and decisions which might give rise to expenditure in excess of the financial limits laid down by the Plenipotentiary Conference (see No. 115 of the Constitution);</w:t>
      </w:r>
    </w:p>
    <w:p w14:paraId="3E588503" w14:textId="77777777" w:rsidR="00AC491A" w:rsidRPr="00380B40" w:rsidRDefault="00AC491A" w:rsidP="00AC491A">
      <w:pPr>
        <w:pStyle w:val="enumlev1"/>
        <w:rPr>
          <w:w w:val="105"/>
          <w:lang w:val="en-GB"/>
        </w:rPr>
      </w:pPr>
      <w:r w:rsidRPr="00380B40">
        <w:rPr>
          <w:lang w:val="en-GB"/>
        </w:rPr>
        <w:t>l)</w:t>
      </w:r>
      <w:r w:rsidRPr="00380B40">
        <w:rPr>
          <w:lang w:val="en-GB"/>
        </w:rPr>
        <w:tab/>
        <w:t>undertake any other duties assigned by the Plenipotentiary Conference.</w:t>
      </w:r>
    </w:p>
    <w:p w14:paraId="64F39C94" w14:textId="77777777" w:rsidR="00AC491A" w:rsidRPr="00380B40" w:rsidRDefault="00AC491A" w:rsidP="00AC491A">
      <w:pPr>
        <w:rPr>
          <w:lang w:val="en-GB"/>
        </w:rPr>
      </w:pPr>
      <w:r w:rsidRPr="00380B40">
        <w:rPr>
          <w:b/>
          <w:bCs/>
          <w:lang w:val="en-GB"/>
        </w:rPr>
        <w:t>1.1</w:t>
      </w:r>
      <w:r w:rsidRPr="00380B40">
        <w:rPr>
          <w:rStyle w:val="Bolditalic"/>
          <w:lang w:val="en-GB"/>
        </w:rPr>
        <w:t>bis</w:t>
      </w:r>
      <w:r w:rsidRPr="00380B40">
        <w:rPr>
          <w:lang w:val="en-GB"/>
        </w:rPr>
        <w:tab/>
        <w:t>WTSA may assign specific matters within its competence to TSAG indicating the action required on those matters (see No. 191C of the Convention).</w:t>
      </w:r>
    </w:p>
    <w:p w14:paraId="70CAC775" w14:textId="77777777" w:rsidR="00AC491A" w:rsidRPr="00380B40" w:rsidRDefault="00AC491A" w:rsidP="00AC491A">
      <w:pPr>
        <w:rPr>
          <w:lang w:val="en-GB"/>
        </w:rPr>
      </w:pPr>
      <w:r w:rsidRPr="00380B40">
        <w:rPr>
          <w:b/>
          <w:bCs/>
          <w:lang w:val="en-GB"/>
        </w:rPr>
        <w:t>1.2</w:t>
      </w:r>
      <w:r w:rsidRPr="00380B40">
        <w:rPr>
          <w:lang w:val="en-GB"/>
        </w:rPr>
        <w:tab/>
        <w:t>WTSA shall establish a Steering Committee, presided over by the chairman of the assembly, and composed of the vice-chairman of the assembly and the chairmen and vice-chairmen of the committees and any group(s) created by the assembly.</w:t>
      </w:r>
    </w:p>
    <w:p w14:paraId="2E52D0B6" w14:textId="77777777" w:rsidR="00AC491A" w:rsidRPr="00380B40" w:rsidRDefault="00AC491A" w:rsidP="00AC491A">
      <w:pPr>
        <w:rPr>
          <w:lang w:val="en-GB"/>
        </w:rPr>
      </w:pPr>
      <w:r w:rsidRPr="00380B40">
        <w:rPr>
          <w:b/>
          <w:bCs/>
          <w:lang w:val="en-GB"/>
        </w:rPr>
        <w:t>1.3</w:t>
      </w:r>
      <w:r w:rsidRPr="00380B40">
        <w:rPr>
          <w:lang w:val="en-GB"/>
        </w:rPr>
        <w:tab/>
        <w:t>Prior to and during the process of developing resolutions which define working methods and identify priority issues, WTSA should take into consideration the following questions:</w:t>
      </w:r>
    </w:p>
    <w:p w14:paraId="3A1D9DAD" w14:textId="77777777" w:rsidR="00AC491A" w:rsidRPr="00380B40" w:rsidRDefault="00AC491A" w:rsidP="00AC491A">
      <w:pPr>
        <w:pStyle w:val="enumlev1"/>
        <w:rPr>
          <w:lang w:val="en-GB"/>
        </w:rPr>
      </w:pPr>
      <w:r w:rsidRPr="00380B40">
        <w:rPr>
          <w:lang w:val="en-GB"/>
        </w:rPr>
        <w:t>a)</w:t>
      </w:r>
      <w:r w:rsidRPr="00380B40">
        <w:rPr>
          <w:lang w:val="en-GB"/>
        </w:rPr>
        <w:tab/>
        <w:t>If an existing Plenipotentiary Conference resolution identifies a priority issue, the need for a similar WTSA resolution should be questioned.</w:t>
      </w:r>
    </w:p>
    <w:p w14:paraId="1D36BB3C" w14:textId="77777777" w:rsidR="00AC491A" w:rsidRPr="00380B40" w:rsidRDefault="00AC491A" w:rsidP="00AC491A">
      <w:pPr>
        <w:pStyle w:val="enumlev1"/>
        <w:rPr>
          <w:lang w:val="en-GB"/>
        </w:rPr>
      </w:pPr>
      <w:r w:rsidRPr="00380B40">
        <w:rPr>
          <w:lang w:val="en-GB"/>
        </w:rPr>
        <w:t>b)</w:t>
      </w:r>
      <w:r w:rsidRPr="00380B40">
        <w:rPr>
          <w:lang w:val="en-GB"/>
        </w:rPr>
        <w:tab/>
        <w:t>If an existing resolution identifies a priority issue, the need to recycle this resolution at various conferences or assemblies should be questioned.</w:t>
      </w:r>
    </w:p>
    <w:p w14:paraId="57B9A7EA" w14:textId="77777777" w:rsidR="00AC491A" w:rsidRPr="00380B40" w:rsidRDefault="00AC491A" w:rsidP="00AC491A">
      <w:pPr>
        <w:pStyle w:val="enumlev1"/>
        <w:rPr>
          <w:lang w:val="en-GB"/>
        </w:rPr>
      </w:pPr>
      <w:r w:rsidRPr="00380B40">
        <w:rPr>
          <w:lang w:val="en-GB"/>
        </w:rPr>
        <w:t>c)</w:t>
      </w:r>
      <w:r w:rsidRPr="00380B40">
        <w:rPr>
          <w:lang w:val="en-GB"/>
        </w:rPr>
        <w:tab/>
        <w:t>If only editorial updates are required to a WTSA resolution, the need to produce a revised version should be questioned.</w:t>
      </w:r>
    </w:p>
    <w:p w14:paraId="086BA1EA" w14:textId="77777777" w:rsidR="00AC491A" w:rsidRPr="00380B40" w:rsidRDefault="00AC491A" w:rsidP="00AC491A">
      <w:pPr>
        <w:pStyle w:val="enumlev1"/>
        <w:rPr>
          <w:lang w:val="en-GB"/>
        </w:rPr>
      </w:pPr>
      <w:r w:rsidRPr="00380B40">
        <w:rPr>
          <w:lang w:val="en-GB"/>
        </w:rPr>
        <w:t>d)</w:t>
      </w:r>
      <w:r w:rsidRPr="00380B40">
        <w:rPr>
          <w:lang w:val="en-GB"/>
        </w:rPr>
        <w:tab/>
        <w:t>If the actions proposed have been accomplished, the resolution should be viewed as fulfilled and the need for it should be questioned.</w:t>
      </w:r>
    </w:p>
    <w:p w14:paraId="242F42AF" w14:textId="77777777" w:rsidR="00AC491A" w:rsidRPr="00380B40" w:rsidRDefault="00AC491A" w:rsidP="00AC491A">
      <w:pPr>
        <w:rPr>
          <w:lang w:val="en-GB"/>
        </w:rPr>
      </w:pPr>
      <w:r w:rsidRPr="00380B40">
        <w:rPr>
          <w:b/>
          <w:bCs/>
          <w:lang w:val="en-GB"/>
        </w:rPr>
        <w:t>1.4</w:t>
      </w:r>
      <w:r w:rsidRPr="00380B40">
        <w:rPr>
          <w:lang w:val="en-GB"/>
        </w:rPr>
        <w:tab/>
        <w:t>WTSA shall establish a Budget Control Committee and an Editorial Committee, the tasks and responsibilities of which are set out in the General Rules of conferences, assemblies and meetings of the Union (General Rules, Nos. 69-74):</w:t>
      </w:r>
    </w:p>
    <w:p w14:paraId="441E01A6" w14:textId="77777777" w:rsidR="00AC491A" w:rsidRPr="00380B40" w:rsidRDefault="00AC491A" w:rsidP="00AC491A">
      <w:pPr>
        <w:pStyle w:val="enumlev1"/>
        <w:rPr>
          <w:lang w:val="en-GB"/>
        </w:rPr>
      </w:pPr>
      <w:r w:rsidRPr="00380B40">
        <w:rPr>
          <w:iCs/>
          <w:lang w:val="en-GB"/>
        </w:rPr>
        <w:t>a)</w:t>
      </w:r>
      <w:r w:rsidRPr="00380B40">
        <w:rPr>
          <w:lang w:val="en-GB"/>
        </w:rPr>
        <w:tab/>
        <w:t xml:space="preserve">The "Budget Control Committee", </w:t>
      </w:r>
      <w:r w:rsidRPr="00380B40">
        <w:rPr>
          <w:i/>
          <w:lang w:val="en-GB"/>
        </w:rPr>
        <w:t>inter alia</w:t>
      </w:r>
      <w:r w:rsidRPr="00380B40">
        <w:rPr>
          <w:lang w:val="en-GB"/>
        </w:rPr>
        <w:t>, examines the estimated total expenditure of the assembly and estimates the financial needs of the ITU Telecommunication Standardization Sector (ITU</w:t>
      </w:r>
      <w:r w:rsidRPr="00380B40">
        <w:rPr>
          <w:lang w:val="en-GB"/>
        </w:rPr>
        <w:noBreakHyphen/>
        <w:t>T) up to the next WTSA and the costs to ITU-T and ITU as a whole entailed by the execution of the decisions of the assembly.</w:t>
      </w:r>
    </w:p>
    <w:p w14:paraId="4E32217C" w14:textId="77777777" w:rsidR="00FA0AF5" w:rsidRPr="00380B40" w:rsidRDefault="00FA0AF5" w:rsidP="00AC491A">
      <w:pPr>
        <w:pStyle w:val="enumlev1"/>
        <w:rPr>
          <w:lang w:val="en-GB"/>
        </w:rPr>
      </w:pPr>
      <w:r w:rsidRPr="00380B40">
        <w:rPr>
          <w:lang w:val="en-GB"/>
        </w:rPr>
        <w:br w:type="page"/>
      </w:r>
    </w:p>
    <w:p w14:paraId="743B6643" w14:textId="77777777" w:rsidR="00AC491A" w:rsidRPr="00380B40" w:rsidRDefault="00AC491A" w:rsidP="00AC491A">
      <w:pPr>
        <w:pStyle w:val="enumlev1"/>
        <w:rPr>
          <w:lang w:val="en-GB"/>
        </w:rPr>
      </w:pPr>
      <w:r w:rsidRPr="00380B40">
        <w:rPr>
          <w:lang w:val="en-GB"/>
        </w:rPr>
        <w:t>b)</w:t>
      </w:r>
      <w:r w:rsidRPr="00380B40">
        <w:rPr>
          <w:lang w:val="en-GB"/>
        </w:rPr>
        <w:tab/>
        <w:t>The "Editorial Committee" perfects the wording of texts arising from WTSA deliberations, such as resolutions, without altering their sense and substance, and aligns the texts in the official languages of the Union.</w:t>
      </w:r>
    </w:p>
    <w:p w14:paraId="25CF1ED7" w14:textId="77777777" w:rsidR="00AC491A" w:rsidRPr="00380B40" w:rsidRDefault="00AC491A" w:rsidP="00AC491A">
      <w:pPr>
        <w:rPr>
          <w:lang w:val="en-GB"/>
        </w:rPr>
      </w:pPr>
      <w:r w:rsidRPr="00380B40">
        <w:rPr>
          <w:b/>
          <w:bCs/>
          <w:lang w:val="en-GB"/>
        </w:rPr>
        <w:t>1.5</w:t>
      </w:r>
      <w:r w:rsidRPr="00380B40">
        <w:rPr>
          <w:lang w:val="en-GB"/>
        </w:rPr>
        <w:tab/>
        <w:t>In addition to the steering, budget control and editorial committees, the two following committees are set up:</w:t>
      </w:r>
    </w:p>
    <w:p w14:paraId="15DED362" w14:textId="77777777" w:rsidR="00AC491A" w:rsidRPr="00380B40" w:rsidRDefault="00AC491A" w:rsidP="00AC491A">
      <w:pPr>
        <w:pStyle w:val="enumlev1"/>
        <w:rPr>
          <w:lang w:val="en-GB"/>
        </w:rPr>
      </w:pPr>
      <w:r w:rsidRPr="00380B40">
        <w:rPr>
          <w:lang w:val="en-GB"/>
        </w:rPr>
        <w:t>a)</w:t>
      </w:r>
      <w:r w:rsidRPr="00380B40">
        <w:rPr>
          <w:lang w:val="en-GB"/>
        </w:rPr>
        <w:tab/>
        <w:t>The "Committee on Working Methods of ITU</w:t>
      </w:r>
      <w:r w:rsidRPr="00380B40">
        <w:rPr>
          <w:lang w:val="en-GB"/>
        </w:rPr>
        <w:noBreakHyphen/>
        <w:t>T", which submits to the plenary meeting reports including proposals on the ITU</w:t>
      </w:r>
      <w:r w:rsidRPr="00380B40">
        <w:rPr>
          <w:lang w:val="en-GB"/>
        </w:rPr>
        <w:noBreakHyphen/>
        <w:t>T working methods for implementation of the ITU</w:t>
      </w:r>
      <w:r w:rsidRPr="00380B40">
        <w:rPr>
          <w:lang w:val="en-GB"/>
        </w:rPr>
        <w:noBreakHyphen/>
        <w:t>T work programme, on the basis of the TSAG reports submitted to the assembly and the proposals of ITU Member States and ITU</w:t>
      </w:r>
      <w:r w:rsidRPr="00380B40">
        <w:rPr>
          <w:lang w:val="en-GB"/>
        </w:rPr>
        <w:noBreakHyphen/>
        <w:t>T Sector Members.</w:t>
      </w:r>
    </w:p>
    <w:p w14:paraId="20600FB3" w14:textId="77777777" w:rsidR="00AC491A" w:rsidRPr="00380B40" w:rsidRDefault="00AC491A" w:rsidP="00AC491A">
      <w:pPr>
        <w:pStyle w:val="enumlev1"/>
        <w:rPr>
          <w:lang w:val="en-GB"/>
        </w:rPr>
      </w:pPr>
      <w:r w:rsidRPr="00380B40">
        <w:rPr>
          <w:lang w:val="en-GB"/>
        </w:rPr>
        <w:t>b)</w:t>
      </w:r>
      <w:r w:rsidRPr="00380B40">
        <w:rPr>
          <w:lang w:val="en-GB"/>
        </w:rPr>
        <w:tab/>
        <w:t>The "Committee on the ITU</w:t>
      </w:r>
      <w:r w:rsidRPr="00380B40">
        <w:rPr>
          <w:lang w:val="en-GB"/>
        </w:rPr>
        <w:noBreakHyphen/>
        <w:t>T Work Programme and Organization", which submits to the plenary meeting reports including proposals on the programme and organization of the work of ITU</w:t>
      </w:r>
      <w:r w:rsidRPr="00380B40">
        <w:rPr>
          <w:lang w:val="en-GB"/>
        </w:rPr>
        <w:noBreakHyphen/>
        <w:t>T consistent with ITU</w:t>
      </w:r>
      <w:r w:rsidRPr="00380B40">
        <w:rPr>
          <w:lang w:val="en-GB"/>
        </w:rPr>
        <w:noBreakHyphen/>
        <w:t>T strategy and priorities. It shall specifically:</w:t>
      </w:r>
    </w:p>
    <w:p w14:paraId="2047093E" w14:textId="77777777" w:rsidR="00AC491A" w:rsidRPr="00380B40" w:rsidRDefault="00AC491A" w:rsidP="00AC491A">
      <w:pPr>
        <w:pStyle w:val="enumlev2"/>
        <w:rPr>
          <w:lang w:val="en-GB"/>
        </w:rPr>
      </w:pPr>
      <w:r w:rsidRPr="00380B40">
        <w:rPr>
          <w:lang w:val="en-GB"/>
        </w:rPr>
        <w:t>i)</w:t>
      </w:r>
      <w:r w:rsidRPr="00380B40">
        <w:rPr>
          <w:lang w:val="en-GB"/>
        </w:rPr>
        <w:tab/>
        <w:t>propose the maintenance, establishment or termination of study groups;</w:t>
      </w:r>
    </w:p>
    <w:p w14:paraId="603A4060" w14:textId="77777777" w:rsidR="00AC491A" w:rsidRPr="00380B40" w:rsidRDefault="00AC491A" w:rsidP="00AC491A">
      <w:pPr>
        <w:pStyle w:val="enumlev2"/>
        <w:rPr>
          <w:lang w:val="en-GB"/>
        </w:rPr>
      </w:pPr>
      <w:r w:rsidRPr="00380B40">
        <w:rPr>
          <w:lang w:val="en-GB"/>
        </w:rPr>
        <w:t>ii)</w:t>
      </w:r>
      <w:r w:rsidRPr="00380B40">
        <w:rPr>
          <w:lang w:val="en-GB"/>
        </w:rPr>
        <w:tab/>
        <w:t>review the general structure of study groups and Questions set for study or further study;</w:t>
      </w:r>
    </w:p>
    <w:p w14:paraId="35C48D33" w14:textId="77777777" w:rsidR="00AC491A" w:rsidRPr="00380B40" w:rsidRDefault="00AC491A" w:rsidP="00AC491A">
      <w:pPr>
        <w:pStyle w:val="enumlev2"/>
        <w:rPr>
          <w:lang w:val="en-GB"/>
        </w:rPr>
      </w:pPr>
      <w:r w:rsidRPr="00380B40">
        <w:rPr>
          <w:lang w:val="en-GB"/>
        </w:rPr>
        <w:t>iii)</w:t>
      </w:r>
      <w:r w:rsidRPr="00380B40">
        <w:rPr>
          <w:lang w:val="en-GB"/>
        </w:rPr>
        <w:tab/>
        <w:t>produce a clear description of the general area of responsibility within which each study group may maintain existing and develop new Recommendations, in collaboration with other groups, as appropriate;</w:t>
      </w:r>
    </w:p>
    <w:p w14:paraId="5069ADB3" w14:textId="77777777" w:rsidR="00AC491A" w:rsidRPr="00380B40" w:rsidRDefault="00AC491A" w:rsidP="00AC491A">
      <w:pPr>
        <w:pStyle w:val="enumlev2"/>
        <w:rPr>
          <w:lang w:val="en-GB"/>
        </w:rPr>
      </w:pPr>
      <w:r w:rsidRPr="00380B40">
        <w:rPr>
          <w:lang w:val="en-GB"/>
        </w:rPr>
        <w:t>iv)</w:t>
      </w:r>
      <w:r w:rsidRPr="00380B40">
        <w:rPr>
          <w:lang w:val="en-GB"/>
        </w:rPr>
        <w:tab/>
        <w:t>propose the allocation of Questions to study groups, as appropriate;</w:t>
      </w:r>
    </w:p>
    <w:p w14:paraId="01399382" w14:textId="77777777" w:rsidR="00AC491A" w:rsidRPr="00380B40" w:rsidRDefault="00AC491A" w:rsidP="00AC491A">
      <w:pPr>
        <w:pStyle w:val="enumlev2"/>
        <w:rPr>
          <w:lang w:val="en-GB"/>
        </w:rPr>
      </w:pPr>
      <w:r w:rsidRPr="00380B40">
        <w:rPr>
          <w:lang w:val="en-GB"/>
        </w:rPr>
        <w:t>v)</w:t>
      </w:r>
      <w:r w:rsidRPr="00380B40">
        <w:rPr>
          <w:lang w:val="en-GB"/>
        </w:rPr>
        <w:tab/>
        <w:t>recommend, when a Question or group of closely related Questions concerns several study groups, whether:</w:t>
      </w:r>
    </w:p>
    <w:p w14:paraId="18DC8FC9" w14:textId="77777777" w:rsidR="00AC491A" w:rsidRPr="00380B40" w:rsidRDefault="00AC491A" w:rsidP="00AC491A">
      <w:pPr>
        <w:pStyle w:val="enumlev3"/>
        <w:rPr>
          <w:lang w:val="en-GB"/>
        </w:rPr>
      </w:pPr>
      <w:bookmarkStart w:id="23" w:name="_Hlk96264086"/>
      <w:r w:rsidRPr="00380B40">
        <w:rPr>
          <w:lang w:val="en-GB"/>
        </w:rPr>
        <w:t>a)</w:t>
      </w:r>
      <w:r w:rsidRPr="00380B40">
        <w:rPr>
          <w:lang w:val="en-GB"/>
        </w:rPr>
        <w:tab/>
        <w:t>to accept proposals of ITU Member States or the recommendation of TSAG (where they differ);</w:t>
      </w:r>
      <w:bookmarkEnd w:id="23"/>
    </w:p>
    <w:p w14:paraId="6084D647" w14:textId="77777777" w:rsidR="00AC491A" w:rsidRPr="00380B40" w:rsidRDefault="00AC491A" w:rsidP="00AC491A">
      <w:pPr>
        <w:pStyle w:val="enumlev3"/>
        <w:rPr>
          <w:lang w:val="en-GB"/>
        </w:rPr>
      </w:pPr>
      <w:r w:rsidRPr="00380B40">
        <w:rPr>
          <w:lang w:val="en-GB"/>
        </w:rPr>
        <w:t>b)</w:t>
      </w:r>
      <w:r w:rsidRPr="00380B40">
        <w:rPr>
          <w:lang w:val="en-GB"/>
        </w:rPr>
        <w:tab/>
        <w:t>to entrust the study to a single study group; or</w:t>
      </w:r>
    </w:p>
    <w:p w14:paraId="631D5957" w14:textId="77777777" w:rsidR="00AC491A" w:rsidRPr="00380B40" w:rsidRDefault="00AC491A" w:rsidP="00AC491A">
      <w:pPr>
        <w:pStyle w:val="enumlev3"/>
        <w:rPr>
          <w:lang w:val="en-GB"/>
        </w:rPr>
      </w:pPr>
      <w:r w:rsidRPr="00380B40">
        <w:rPr>
          <w:lang w:val="en-GB"/>
        </w:rPr>
        <w:t>c)</w:t>
      </w:r>
      <w:r w:rsidRPr="00380B40">
        <w:rPr>
          <w:lang w:val="en-GB"/>
        </w:rPr>
        <w:tab/>
        <w:t>to adopt an alternative arrangement;</w:t>
      </w:r>
    </w:p>
    <w:p w14:paraId="77F94435" w14:textId="77777777" w:rsidR="00AC491A" w:rsidRPr="00380B40" w:rsidRDefault="00AC491A" w:rsidP="00AC491A">
      <w:pPr>
        <w:pStyle w:val="enumlev2"/>
        <w:rPr>
          <w:lang w:val="en-GB"/>
        </w:rPr>
      </w:pPr>
      <w:r w:rsidRPr="00380B40">
        <w:rPr>
          <w:lang w:val="en-GB"/>
        </w:rPr>
        <w:t>vi)</w:t>
      </w:r>
      <w:r w:rsidRPr="00380B40">
        <w:rPr>
          <w:lang w:val="en-GB"/>
        </w:rPr>
        <w:tab/>
        <w:t>review, and adjust as necessary, the lists of Recommendations for which each study group is responsible;</w:t>
      </w:r>
    </w:p>
    <w:p w14:paraId="30BA8AC8" w14:textId="77777777" w:rsidR="00AC491A" w:rsidRPr="00380B40" w:rsidRDefault="00AC491A" w:rsidP="00AC491A">
      <w:pPr>
        <w:pStyle w:val="enumlev2"/>
        <w:rPr>
          <w:lang w:val="en-GB"/>
        </w:rPr>
      </w:pPr>
      <w:r w:rsidRPr="00380B40">
        <w:rPr>
          <w:lang w:val="en-GB"/>
        </w:rPr>
        <w:t>vii)</w:t>
      </w:r>
      <w:r w:rsidRPr="00380B40">
        <w:rPr>
          <w:lang w:val="en-GB"/>
        </w:rPr>
        <w:tab/>
        <w:t>propose the maintenance, establishment or termination of other groups in accordance with Nos. 191A and 191B of the Convention.</w:t>
      </w:r>
    </w:p>
    <w:p w14:paraId="7F6AF94A" w14:textId="77777777" w:rsidR="00AC491A" w:rsidRPr="00380B40" w:rsidRDefault="00AC491A" w:rsidP="00AC491A">
      <w:pPr>
        <w:rPr>
          <w:lang w:val="en-GB"/>
        </w:rPr>
      </w:pPr>
      <w:r w:rsidRPr="00380B40">
        <w:rPr>
          <w:b/>
          <w:bCs/>
          <w:lang w:val="en-GB"/>
        </w:rPr>
        <w:t>1.6</w:t>
      </w:r>
      <w:r w:rsidRPr="00380B40">
        <w:rPr>
          <w:lang w:val="en-GB"/>
        </w:rPr>
        <w:tab/>
        <w:t>The chairmen of study groups, the chairman of TSAG and the chairmen of other groups set up by the preceding WTSA should make themselves available to participate in the Committee on the Work Programme and Organization.</w:t>
      </w:r>
    </w:p>
    <w:p w14:paraId="45EA7588" w14:textId="77777777" w:rsidR="00AC491A" w:rsidRPr="00380B40" w:rsidRDefault="00AC491A" w:rsidP="00AC491A">
      <w:pPr>
        <w:rPr>
          <w:lang w:val="en-GB"/>
        </w:rPr>
      </w:pPr>
      <w:r w:rsidRPr="00380B40">
        <w:rPr>
          <w:b/>
          <w:bCs/>
          <w:lang w:val="en-GB"/>
        </w:rPr>
        <w:t>1.7</w:t>
      </w:r>
      <w:r w:rsidRPr="00380B40">
        <w:rPr>
          <w:lang w:val="en-GB"/>
        </w:rPr>
        <w:tab/>
        <w:t>The plenary meeting of a WTSA may set up other committees in accordance with No. 63 of the General Rules of conferences, assemblies and meetings of the Union. The terms of reference should be contained in a document of the plenary meeting, taking into account the appropriate distribution of workload between the committees.</w:t>
      </w:r>
    </w:p>
    <w:p w14:paraId="4EABC0BE" w14:textId="77777777" w:rsidR="00AC491A" w:rsidRPr="00380B40" w:rsidRDefault="00AC491A" w:rsidP="00AC491A">
      <w:pPr>
        <w:rPr>
          <w:lang w:val="en-GB"/>
        </w:rPr>
      </w:pPr>
      <w:r w:rsidRPr="00380B40">
        <w:rPr>
          <w:b/>
          <w:bCs/>
          <w:lang w:val="en-GB"/>
        </w:rPr>
        <w:t>1.8</w:t>
      </w:r>
      <w:r w:rsidRPr="00380B40">
        <w:rPr>
          <w:lang w:val="en-GB"/>
        </w:rPr>
        <w:tab/>
        <w:t>All committees and groups referred to in 1.2 to 1.7 above shall normally cease to exist with the closing of WTSA except, if required and subject to the approval of the assembly and within the budgetary limits, the Editorial Committee. The Editorial Committee may therefore hold meetings after the closing of the assembly to complete its tasks as assigned by the assembly.</w:t>
      </w:r>
    </w:p>
    <w:p w14:paraId="2E0E06CD" w14:textId="77777777" w:rsidR="00FA0AF5" w:rsidRPr="00380B40" w:rsidRDefault="00FA0AF5" w:rsidP="00AC491A">
      <w:pPr>
        <w:rPr>
          <w:b/>
          <w:bCs/>
          <w:lang w:val="en-GB"/>
        </w:rPr>
      </w:pPr>
      <w:r w:rsidRPr="00380B40">
        <w:rPr>
          <w:b/>
          <w:bCs/>
          <w:lang w:val="en-GB"/>
        </w:rPr>
        <w:br w:type="page"/>
      </w:r>
    </w:p>
    <w:p w14:paraId="6B27AEC7" w14:textId="77777777" w:rsidR="00AC491A" w:rsidRPr="00380B40" w:rsidRDefault="00AC491A" w:rsidP="00AC491A">
      <w:pPr>
        <w:rPr>
          <w:lang w:val="en-GB"/>
        </w:rPr>
      </w:pPr>
      <w:r w:rsidRPr="00380B40">
        <w:rPr>
          <w:b/>
          <w:bCs/>
          <w:lang w:val="en-GB"/>
        </w:rPr>
        <w:t>1.9</w:t>
      </w:r>
      <w:r w:rsidRPr="00380B40">
        <w:rPr>
          <w:lang w:val="en-GB"/>
        </w:rPr>
        <w:tab/>
        <w:t>Prior to the inaugural meeting of WTSA, in accordance with No. 49 of the General Rules of conferences, assemblies and meetings of the Union, the heads of delegation shall meet to prepare the agenda for the first plenary meeting and make proposals for the organization of the assembly, including proposals for chairmanships and vice</w:t>
      </w:r>
      <w:r w:rsidRPr="00380B40">
        <w:rPr>
          <w:lang w:val="en-GB"/>
        </w:rPr>
        <w:noBreakHyphen/>
        <w:t>chairmanships of WTSA and its committees and group(s).</w:t>
      </w:r>
    </w:p>
    <w:p w14:paraId="6C68ECFF" w14:textId="77777777" w:rsidR="00AC491A" w:rsidRPr="00380B40" w:rsidRDefault="00AC491A" w:rsidP="00AC491A">
      <w:pPr>
        <w:rPr>
          <w:lang w:val="en-GB"/>
        </w:rPr>
      </w:pPr>
      <w:r w:rsidRPr="00380B40">
        <w:rPr>
          <w:b/>
          <w:bCs/>
          <w:lang w:val="en-GB"/>
        </w:rPr>
        <w:t>1.10</w:t>
      </w:r>
      <w:r w:rsidRPr="00380B40">
        <w:rPr>
          <w:lang w:val="en-GB"/>
        </w:rPr>
        <w:tab/>
        <w:t>During WTSA, the heads of delegation shall meet:</w:t>
      </w:r>
    </w:p>
    <w:p w14:paraId="1058D146" w14:textId="77777777" w:rsidR="00AC491A" w:rsidRPr="00380B40" w:rsidRDefault="00AC491A" w:rsidP="00AC491A">
      <w:pPr>
        <w:pStyle w:val="enumlev1"/>
        <w:rPr>
          <w:lang w:val="en-GB"/>
        </w:rPr>
      </w:pPr>
      <w:r w:rsidRPr="00380B40">
        <w:rPr>
          <w:lang w:val="en-GB"/>
        </w:rPr>
        <w:t>a)</w:t>
      </w:r>
      <w:r w:rsidRPr="00380B40">
        <w:rPr>
          <w:lang w:val="en-GB"/>
        </w:rPr>
        <w:tab/>
        <w:t>to consider the proposals of the Committee on the ITU</w:t>
      </w:r>
      <w:r w:rsidRPr="00380B40">
        <w:rPr>
          <w:lang w:val="en-GB"/>
        </w:rPr>
        <w:noBreakHyphen/>
        <w:t>T Work Programme and Organization concerning the work programme and the constitution of study groups in particular;</w:t>
      </w:r>
    </w:p>
    <w:p w14:paraId="3A612DCA" w14:textId="77777777" w:rsidR="00AC491A" w:rsidRPr="00380B40" w:rsidRDefault="00AC491A" w:rsidP="00AC491A">
      <w:pPr>
        <w:pStyle w:val="enumlev1"/>
        <w:rPr>
          <w:lang w:val="en-GB"/>
        </w:rPr>
      </w:pPr>
      <w:r w:rsidRPr="00380B40">
        <w:rPr>
          <w:lang w:val="en-GB"/>
        </w:rPr>
        <w:t>b)</w:t>
      </w:r>
      <w:r w:rsidRPr="00380B40">
        <w:rPr>
          <w:lang w:val="en-GB"/>
        </w:rPr>
        <w:tab/>
        <w:t>to draw up proposals concerning the designation of chairmen and vice</w:t>
      </w:r>
      <w:r w:rsidRPr="00380B40">
        <w:rPr>
          <w:lang w:val="en-GB"/>
        </w:rPr>
        <w:noBreakHyphen/>
        <w:t>chairmen of study groups, TSAG and any other groups established by WTSA (see Section 2).</w:t>
      </w:r>
    </w:p>
    <w:p w14:paraId="3D268389" w14:textId="77777777" w:rsidR="00AC491A" w:rsidRPr="00380B40" w:rsidRDefault="00AC491A" w:rsidP="00AC491A">
      <w:pPr>
        <w:rPr>
          <w:lang w:val="en-GB"/>
        </w:rPr>
      </w:pPr>
      <w:r w:rsidRPr="00380B40">
        <w:rPr>
          <w:b/>
          <w:bCs/>
          <w:lang w:val="en-GB"/>
        </w:rPr>
        <w:t>1.10</w:t>
      </w:r>
      <w:r w:rsidRPr="00380B40">
        <w:rPr>
          <w:rStyle w:val="Bolditalic"/>
          <w:lang w:val="en-GB"/>
        </w:rPr>
        <w:t>bis</w:t>
      </w:r>
      <w:r w:rsidRPr="00380B40">
        <w:rPr>
          <w:lang w:val="en-GB"/>
        </w:rPr>
        <w:tab/>
        <w:t>The heads of delegation can also meet if the need arises and at the invitation of the chairman of the assembly to consider any pending issues, with the aim of consulting and coordinating to reach consensus.</w:t>
      </w:r>
    </w:p>
    <w:p w14:paraId="099100DB" w14:textId="77777777" w:rsidR="00AC491A" w:rsidRPr="00380B40" w:rsidRDefault="00AC491A" w:rsidP="00AC491A">
      <w:pPr>
        <w:rPr>
          <w:lang w:val="en-GB"/>
        </w:rPr>
      </w:pPr>
      <w:r w:rsidRPr="00380B40">
        <w:rPr>
          <w:b/>
          <w:bCs/>
          <w:lang w:val="en-GB"/>
        </w:rPr>
        <w:t>1.11</w:t>
      </w:r>
      <w:r w:rsidRPr="00380B40">
        <w:rPr>
          <w:lang w:val="en-GB"/>
        </w:rPr>
        <w:tab/>
        <w:t>The programme of work of WTSA shall be designed to provide adequate time for consideration of the important administrative and organizational aspects of ITU</w:t>
      </w:r>
      <w:r w:rsidRPr="00380B40">
        <w:rPr>
          <w:lang w:val="en-GB"/>
        </w:rPr>
        <w:noBreakHyphen/>
        <w:t>T. As a general rule:</w:t>
      </w:r>
    </w:p>
    <w:p w14:paraId="1ADA7C1F" w14:textId="77777777" w:rsidR="00AC491A" w:rsidRPr="00380B40" w:rsidRDefault="00AC491A" w:rsidP="00AC491A">
      <w:pPr>
        <w:rPr>
          <w:lang w:val="en-GB"/>
        </w:rPr>
      </w:pPr>
      <w:r w:rsidRPr="00380B40">
        <w:rPr>
          <w:b/>
          <w:bCs/>
          <w:lang w:val="en-GB"/>
        </w:rPr>
        <w:t>1.11.1</w:t>
      </w:r>
      <w:r w:rsidRPr="00380B40">
        <w:rPr>
          <w:lang w:val="en-GB"/>
        </w:rPr>
        <w:tab/>
        <w:t>While WTSA is in session, study group chairmen shall make themselves available to WTSA to supply information on matters which concern their study groups.</w:t>
      </w:r>
    </w:p>
    <w:p w14:paraId="4AD86B55" w14:textId="77777777" w:rsidR="00AC491A" w:rsidRPr="00380B40" w:rsidRDefault="00AC491A" w:rsidP="00AC491A">
      <w:pPr>
        <w:rPr>
          <w:lang w:val="en-GB"/>
        </w:rPr>
      </w:pPr>
      <w:r w:rsidRPr="00380B40">
        <w:rPr>
          <w:b/>
          <w:bCs/>
          <w:lang w:val="en-GB"/>
        </w:rPr>
        <w:t>1.11.2</w:t>
      </w:r>
      <w:r w:rsidRPr="00380B40">
        <w:rPr>
          <w:lang w:val="en-GB"/>
        </w:rPr>
        <w:tab/>
        <w:t>In those cases as indicated in Section 9, a WTSA may be asked to consider approval of one or more Recommendations. The report of any study group(s) or TSAG proposing such action should include information on why such action is proposed.</w:t>
      </w:r>
    </w:p>
    <w:p w14:paraId="6B9A6CF3" w14:textId="77777777" w:rsidR="00AC491A" w:rsidRPr="00380B40" w:rsidRDefault="00AC491A" w:rsidP="00AC491A">
      <w:pPr>
        <w:rPr>
          <w:lang w:val="en-GB"/>
        </w:rPr>
      </w:pPr>
      <w:r w:rsidRPr="00380B40">
        <w:rPr>
          <w:b/>
          <w:bCs/>
          <w:lang w:val="en-GB"/>
        </w:rPr>
        <w:t>1.11.3</w:t>
      </w:r>
      <w:r w:rsidRPr="00380B40">
        <w:rPr>
          <w:lang w:val="en-GB"/>
        </w:rPr>
        <w:tab/>
        <w:t>WTSA shall receive and consider the reports, including proposals, of the committees it has established, and take final decisions on those proposals and on the reports submitted to it by those committees and groups. On the basis of the proposals by the Committee on the Work Programme and Organization of ITU</w:t>
      </w:r>
      <w:r w:rsidRPr="00380B40">
        <w:rPr>
          <w:lang w:val="en-GB"/>
        </w:rPr>
        <w:noBreakHyphen/>
        <w:t>T, it shall set up study groups and, where appropriate, other groups, and, taking into account consideration by the heads of delegation, appoint the chairmen and vice</w:t>
      </w:r>
      <w:r w:rsidRPr="00380B40">
        <w:rPr>
          <w:lang w:val="en-GB"/>
        </w:rPr>
        <w:noBreakHyphen/>
        <w:t>chairmen of study groups, of TSAG and of any other groups it has established, taking account of Article 20 of the Convention, Resolution 208 (Dubai, 2018) of the Plenipotentiary Conference and Section 3 below.</w:t>
      </w:r>
    </w:p>
    <w:p w14:paraId="1E5294A6" w14:textId="77777777" w:rsidR="00AC491A" w:rsidRPr="00380B40" w:rsidRDefault="00AC491A" w:rsidP="00AC491A">
      <w:pPr>
        <w:rPr>
          <w:lang w:val="en-GB"/>
        </w:rPr>
      </w:pPr>
      <w:r w:rsidRPr="00380B40">
        <w:rPr>
          <w:b/>
          <w:bCs/>
          <w:lang w:val="en-GB"/>
        </w:rPr>
        <w:t>1.11.4</w:t>
      </w:r>
      <w:r w:rsidRPr="00380B40">
        <w:rPr>
          <w:lang w:val="en-GB"/>
        </w:rPr>
        <w:tab/>
        <w:t>In accordance with Resolution 191 (Rev. Dubai, 2018) of the Plenipotentiary Conference, WTSA identifies areas it has in common with other Sectors where work is to be done and that require internal coordination within ITU.</w:t>
      </w:r>
    </w:p>
    <w:p w14:paraId="611D6D35" w14:textId="77777777" w:rsidR="00AC491A" w:rsidRPr="00380B40" w:rsidRDefault="00AC491A" w:rsidP="00AC491A">
      <w:pPr>
        <w:rPr>
          <w:lang w:val="en-GB"/>
        </w:rPr>
      </w:pPr>
      <w:r w:rsidRPr="00380B40">
        <w:rPr>
          <w:b/>
          <w:bCs/>
          <w:lang w:val="en-GB"/>
        </w:rPr>
        <w:t>1.12</w:t>
      </w:r>
      <w:r w:rsidRPr="00380B40">
        <w:rPr>
          <w:lang w:val="en-GB"/>
        </w:rPr>
        <w:tab/>
        <w:t>In accordance with No. 191C of the Convention, WTSA may assign specific matters within its competence to TSAG indicating the action required on these matters.</w:t>
      </w:r>
    </w:p>
    <w:p w14:paraId="40F38057" w14:textId="77777777" w:rsidR="00AC491A" w:rsidRPr="00380B40" w:rsidRDefault="00AC491A" w:rsidP="00AC491A">
      <w:pPr>
        <w:pStyle w:val="Headingb"/>
        <w:rPr>
          <w:lang w:val="en-GB"/>
        </w:rPr>
      </w:pPr>
      <w:r w:rsidRPr="00380B40">
        <w:rPr>
          <w:lang w:val="en-GB"/>
        </w:rPr>
        <w:t>1.13</w:t>
      </w:r>
      <w:r w:rsidRPr="00380B40">
        <w:rPr>
          <w:lang w:val="en-GB"/>
        </w:rPr>
        <w:tab/>
        <w:t>Voting</w:t>
      </w:r>
    </w:p>
    <w:p w14:paraId="588F6DA2" w14:textId="77777777" w:rsidR="00AC491A" w:rsidRPr="00380B40" w:rsidRDefault="00AC491A" w:rsidP="00AC491A">
      <w:pPr>
        <w:rPr>
          <w:lang w:val="en-GB"/>
        </w:rPr>
      </w:pPr>
      <w:r w:rsidRPr="00380B40">
        <w:rPr>
          <w:lang w:val="en-GB"/>
        </w:rPr>
        <w:t>Should there be a need for a vote by Member States at WTSA, the vote shall be conducted according to the relevant sections of the Constitution, the Convention and the General Rules of conferences, assemblies and meetings of the Union.</w:t>
      </w:r>
    </w:p>
    <w:p w14:paraId="116DCC80" w14:textId="77777777" w:rsidR="00FA0AF5" w:rsidRPr="00380B40" w:rsidRDefault="00FA0AF5" w:rsidP="00AC491A">
      <w:pPr>
        <w:rPr>
          <w:lang w:val="en-GB"/>
        </w:rPr>
      </w:pPr>
      <w:r w:rsidRPr="00380B40">
        <w:rPr>
          <w:lang w:val="en-GB"/>
        </w:rPr>
        <w:br w:type="page"/>
      </w:r>
    </w:p>
    <w:p w14:paraId="3C4B0C83" w14:textId="77777777" w:rsidR="00AC491A" w:rsidRPr="00380B40" w:rsidRDefault="00AC491A" w:rsidP="00AC491A">
      <w:pPr>
        <w:pStyle w:val="SectionNo"/>
        <w:rPr>
          <w:lang w:val="fr-CH"/>
        </w:rPr>
      </w:pPr>
      <w:bookmarkStart w:id="24" w:name="_Toc111636700"/>
      <w:r w:rsidRPr="00380B40">
        <w:rPr>
          <w:lang w:val="fr-CH"/>
        </w:rPr>
        <w:t>Section 1</w:t>
      </w:r>
      <w:r w:rsidR="00A10525" w:rsidRPr="00C5126D">
        <w:rPr>
          <w:rStyle w:val="Coloredbolditalic"/>
          <w:i/>
          <w:iCs/>
          <w:lang w:val="fr-CH"/>
        </w:rPr>
        <w:t>BIS</w:t>
      </w:r>
      <w:bookmarkEnd w:id="24"/>
    </w:p>
    <w:p w14:paraId="262BD868" w14:textId="77777777" w:rsidR="00AC491A" w:rsidRPr="00380B40" w:rsidRDefault="00AC491A" w:rsidP="00202A50">
      <w:pPr>
        <w:pStyle w:val="Sectiontitle"/>
        <w:rPr>
          <w:lang w:val="fr-CH"/>
        </w:rPr>
      </w:pPr>
      <w:bookmarkStart w:id="25" w:name="_Toc111636701"/>
      <w:r w:rsidRPr="00380B40">
        <w:rPr>
          <w:lang w:val="fr-CH"/>
        </w:rPr>
        <w:t>Documentation of ITU</w:t>
      </w:r>
      <w:r w:rsidRPr="00380B40">
        <w:rPr>
          <w:lang w:val="fr-CH"/>
        </w:rPr>
        <w:noBreakHyphen/>
        <w:t>T</w:t>
      </w:r>
      <w:bookmarkEnd w:id="25"/>
    </w:p>
    <w:p w14:paraId="7B19C6F3" w14:textId="77777777" w:rsidR="00AC491A" w:rsidRPr="00380B40" w:rsidRDefault="00F55448" w:rsidP="00AC491A">
      <w:pPr>
        <w:pStyle w:val="Headingb"/>
        <w:rPr>
          <w:lang w:val="en-GB"/>
        </w:rPr>
      </w:pPr>
      <w:r w:rsidRPr="00380B40">
        <w:rPr>
          <w:bCs/>
          <w:lang w:val="en-GB" w:eastAsia="ja-JP"/>
        </w:rPr>
        <w:t>1</w:t>
      </w:r>
      <w:r w:rsidRPr="004E4CA9">
        <w:rPr>
          <w:rStyle w:val="Bolditalic"/>
          <w:b/>
          <w:bCs/>
          <w:lang w:val="en-GB"/>
        </w:rPr>
        <w:t>bis</w:t>
      </w:r>
      <w:r w:rsidR="009E40E5" w:rsidRPr="00380B40">
        <w:rPr>
          <w:bCs/>
          <w:lang w:val="en-GB" w:eastAsia="ja-JP"/>
        </w:rPr>
        <w:t>.</w:t>
      </w:r>
      <w:r w:rsidR="00AC491A" w:rsidRPr="00380B40">
        <w:rPr>
          <w:lang w:val="en-GB"/>
        </w:rPr>
        <w:t>1</w:t>
      </w:r>
      <w:r w:rsidR="00AC491A" w:rsidRPr="00380B40">
        <w:rPr>
          <w:lang w:val="en-GB"/>
        </w:rPr>
        <w:tab/>
        <w:t>General principles</w:t>
      </w:r>
    </w:p>
    <w:p w14:paraId="26F248D2" w14:textId="77777777" w:rsidR="00AC491A" w:rsidRPr="00380B40" w:rsidRDefault="00AC491A" w:rsidP="00AC491A">
      <w:pPr>
        <w:tabs>
          <w:tab w:val="clear" w:pos="794"/>
          <w:tab w:val="clear" w:pos="1191"/>
          <w:tab w:val="clear" w:pos="1588"/>
          <w:tab w:val="clear" w:pos="1985"/>
          <w:tab w:val="left" w:pos="1134"/>
          <w:tab w:val="left" w:pos="1871"/>
          <w:tab w:val="left" w:pos="2268"/>
        </w:tabs>
        <w:rPr>
          <w:lang w:val="en-GB" w:eastAsia="ja-JP"/>
        </w:rPr>
      </w:pPr>
      <w:r w:rsidRPr="00380B40">
        <w:rPr>
          <w:lang w:val="en-GB" w:eastAsia="ja-JP"/>
        </w:rPr>
        <w:t>In 1</w:t>
      </w:r>
      <w:r w:rsidRPr="00380B40">
        <w:rPr>
          <w:i/>
          <w:iCs/>
          <w:lang w:val="en-GB" w:eastAsia="ja-JP"/>
        </w:rPr>
        <w:t>bis</w:t>
      </w:r>
      <w:r w:rsidRPr="00380B40">
        <w:rPr>
          <w:lang w:val="en-GB" w:eastAsia="ja-JP"/>
        </w:rPr>
        <w:t>.1.1 and 1</w:t>
      </w:r>
      <w:r w:rsidRPr="00380B40">
        <w:rPr>
          <w:i/>
          <w:iCs/>
          <w:lang w:val="en-GB" w:eastAsia="ja-JP"/>
        </w:rPr>
        <w:t>bis</w:t>
      </w:r>
      <w:r w:rsidRPr="00380B40">
        <w:rPr>
          <w:lang w:val="en-GB" w:eastAsia="ja-JP"/>
        </w:rPr>
        <w:t>.1.2 below, the term "texts" is used for resolutions, Questions, opinions, Recommendations, and non-normative documents defined in Recommendation ITU-T A.13.</w:t>
      </w:r>
    </w:p>
    <w:p w14:paraId="37E07389" w14:textId="77777777" w:rsidR="00AC491A" w:rsidRPr="00380B40" w:rsidRDefault="00F55448" w:rsidP="00AC491A">
      <w:pPr>
        <w:pStyle w:val="Headingb"/>
        <w:rPr>
          <w:lang w:val="en-GB"/>
        </w:rPr>
      </w:pPr>
      <w:r w:rsidRPr="00380B40">
        <w:rPr>
          <w:bCs/>
          <w:lang w:val="en-GB" w:eastAsia="ja-JP"/>
        </w:rPr>
        <w:t>1</w:t>
      </w:r>
      <w:r w:rsidRPr="004E4CA9">
        <w:rPr>
          <w:rStyle w:val="Bolditalic"/>
          <w:b/>
          <w:bCs/>
          <w:lang w:val="en-GB"/>
        </w:rPr>
        <w:t>bis</w:t>
      </w:r>
      <w:r w:rsidR="009E40E5" w:rsidRPr="00380B40">
        <w:rPr>
          <w:bCs/>
          <w:lang w:val="en-GB" w:eastAsia="ja-JP"/>
        </w:rPr>
        <w:t>.</w:t>
      </w:r>
      <w:r w:rsidR="00AC491A" w:rsidRPr="00380B40">
        <w:rPr>
          <w:lang w:val="en-GB"/>
        </w:rPr>
        <w:t>1.1</w:t>
      </w:r>
      <w:r w:rsidR="00AC491A" w:rsidRPr="00380B40">
        <w:rPr>
          <w:lang w:val="en-GB"/>
        </w:rPr>
        <w:tab/>
        <w:t>Presentation of texts</w:t>
      </w:r>
    </w:p>
    <w:p w14:paraId="38BD210B" w14:textId="77777777" w:rsidR="00AC491A" w:rsidRPr="00380B40" w:rsidRDefault="00F55448" w:rsidP="00AC491A">
      <w:pPr>
        <w:rPr>
          <w:szCs w:val="24"/>
          <w:lang w:val="en-GB"/>
        </w:rPr>
      </w:pPr>
      <w:r w:rsidRPr="00380B40">
        <w:rPr>
          <w:b/>
          <w:bCs/>
          <w:lang w:val="en-GB" w:eastAsia="ja-JP"/>
        </w:rPr>
        <w:t>1</w:t>
      </w:r>
      <w:r w:rsidRPr="00380B40">
        <w:rPr>
          <w:rStyle w:val="Bolditalic"/>
          <w:lang w:val="en-GB"/>
        </w:rPr>
        <w:t>bis</w:t>
      </w:r>
      <w:r w:rsidR="00AC491A" w:rsidRPr="00380B40">
        <w:rPr>
          <w:b/>
          <w:bCs/>
          <w:lang w:val="en-GB" w:eastAsia="ja-JP"/>
        </w:rPr>
        <w:t>.</w:t>
      </w:r>
      <w:r w:rsidR="00AC491A" w:rsidRPr="00380B40">
        <w:rPr>
          <w:b/>
          <w:bCs/>
          <w:lang w:val="en-GB"/>
        </w:rPr>
        <w:t>1.1.1</w:t>
      </w:r>
      <w:r w:rsidR="00AC491A" w:rsidRPr="00380B40">
        <w:rPr>
          <w:lang w:val="en-GB"/>
        </w:rPr>
        <w:tab/>
        <w:t>Texts should be as brief as possible, taking account of the necessary content, and should relate directly to the Question/topic or part of the Question/topic being studied.</w:t>
      </w:r>
    </w:p>
    <w:p w14:paraId="4AA96768" w14:textId="77777777" w:rsidR="00AC491A" w:rsidRPr="00380B40" w:rsidRDefault="00AC491A" w:rsidP="00AC491A">
      <w:pPr>
        <w:rPr>
          <w:lang w:val="en-GB"/>
        </w:rPr>
      </w:pPr>
      <w:r w:rsidRPr="00380B40">
        <w:rPr>
          <w:b/>
          <w:bCs/>
          <w:lang w:val="en-GB" w:eastAsia="ja-JP"/>
        </w:rPr>
        <w:t>1</w:t>
      </w:r>
      <w:r w:rsidRPr="00380B40">
        <w:rPr>
          <w:rStyle w:val="Bolditalic"/>
          <w:lang w:val="en-GB"/>
        </w:rPr>
        <w:t>bis</w:t>
      </w:r>
      <w:r w:rsidRPr="00380B40">
        <w:rPr>
          <w:b/>
          <w:bCs/>
          <w:lang w:val="en-GB" w:eastAsia="ja-JP"/>
        </w:rPr>
        <w:t>.</w:t>
      </w:r>
      <w:r w:rsidRPr="00380B40">
        <w:rPr>
          <w:b/>
          <w:bCs/>
          <w:lang w:val="en-GB"/>
        </w:rPr>
        <w:t>1.1.2</w:t>
      </w:r>
      <w:r w:rsidRPr="00380B40">
        <w:rPr>
          <w:lang w:val="en-GB"/>
        </w:rPr>
        <w:tab/>
        <w:t>Each text should include a reference to related texts and, where appropriate, to relevant provisions of the International Telecommunication Regulations (ITRs), without any interpretation or qualification of the ITRs or suggesting any change to them.</w:t>
      </w:r>
    </w:p>
    <w:p w14:paraId="5FF0D466" w14:textId="77777777" w:rsidR="00AC491A" w:rsidRPr="00380B40" w:rsidRDefault="00AC491A" w:rsidP="00AC491A">
      <w:pPr>
        <w:rPr>
          <w:lang w:val="en-GB"/>
        </w:rPr>
      </w:pPr>
      <w:r w:rsidRPr="00380B40">
        <w:rPr>
          <w:b/>
          <w:bCs/>
          <w:lang w:val="en-GB" w:eastAsia="ja-JP"/>
        </w:rPr>
        <w:t>1</w:t>
      </w:r>
      <w:r w:rsidRPr="00380B40">
        <w:rPr>
          <w:rStyle w:val="Bolditalic"/>
          <w:lang w:val="en-GB"/>
        </w:rPr>
        <w:t>bis</w:t>
      </w:r>
      <w:r w:rsidRPr="00380B40">
        <w:rPr>
          <w:b/>
          <w:bCs/>
          <w:lang w:val="en-GB" w:eastAsia="ja-JP"/>
        </w:rPr>
        <w:t>.</w:t>
      </w:r>
      <w:r w:rsidRPr="00380B40">
        <w:rPr>
          <w:b/>
          <w:bCs/>
          <w:lang w:val="en-GB"/>
        </w:rPr>
        <w:t>1.1.3</w:t>
      </w:r>
      <w:r w:rsidRPr="00380B40">
        <w:rPr>
          <w:lang w:val="en-GB"/>
        </w:rPr>
        <w:tab/>
        <w:t xml:space="preserve">Texts (including resolutions, </w:t>
      </w:r>
      <w:r w:rsidRPr="00380B40">
        <w:rPr>
          <w:lang w:val="en-GB" w:eastAsia="ja-JP"/>
        </w:rPr>
        <w:t xml:space="preserve">Questions, opinions, Recommendations, </w:t>
      </w:r>
      <w:r w:rsidRPr="00380B40">
        <w:rPr>
          <w:lang w:val="en-GB"/>
        </w:rPr>
        <w:t xml:space="preserve">and </w:t>
      </w:r>
      <w:r w:rsidRPr="00380B40">
        <w:rPr>
          <w:lang w:val="en-GB" w:eastAsia="ja-JP"/>
        </w:rPr>
        <w:t>non-normative documents defined in Recommendation ITU-T A.13)</w:t>
      </w:r>
      <w:r w:rsidRPr="00380B40">
        <w:rPr>
          <w:lang w:val="en-GB"/>
        </w:rPr>
        <w:t xml:space="preserve"> shall be presented showing their number, their title and an indication of the year of their initial approval, and, where appropriate, the year of approval of any revisions.</w:t>
      </w:r>
    </w:p>
    <w:p w14:paraId="3511422B" w14:textId="77777777" w:rsidR="00AC491A" w:rsidRPr="00380B40" w:rsidRDefault="00AC491A" w:rsidP="00AC491A">
      <w:pPr>
        <w:rPr>
          <w:lang w:val="en-GB"/>
        </w:rPr>
      </w:pPr>
      <w:r w:rsidRPr="00380B40">
        <w:rPr>
          <w:b/>
          <w:bCs/>
          <w:lang w:val="en-GB" w:eastAsia="ja-JP"/>
        </w:rPr>
        <w:t>1</w:t>
      </w:r>
      <w:r w:rsidRPr="00380B40">
        <w:rPr>
          <w:rStyle w:val="Bolditalic"/>
          <w:lang w:val="en-GB"/>
        </w:rPr>
        <w:t>bis</w:t>
      </w:r>
      <w:r w:rsidRPr="00380B40">
        <w:rPr>
          <w:b/>
          <w:bCs/>
          <w:lang w:val="en-GB" w:eastAsia="ja-JP"/>
        </w:rPr>
        <w:t>.</w:t>
      </w:r>
      <w:r w:rsidRPr="00380B40">
        <w:rPr>
          <w:b/>
          <w:bCs/>
          <w:lang w:val="en-GB"/>
        </w:rPr>
        <w:t>1.1.4</w:t>
      </w:r>
      <w:r w:rsidRPr="00380B40">
        <w:rPr>
          <w:b/>
          <w:bCs/>
          <w:lang w:val="en-GB"/>
        </w:rPr>
        <w:tab/>
      </w:r>
      <w:r w:rsidRPr="00380B40">
        <w:rPr>
          <w:lang w:val="en-GB"/>
        </w:rPr>
        <w:t>Annexes to any of these texts should be considered as having equivalent status, unless otherwise specified.</w:t>
      </w:r>
    </w:p>
    <w:p w14:paraId="722441C9" w14:textId="77777777" w:rsidR="00AC491A" w:rsidRPr="00380B40" w:rsidRDefault="00AC491A" w:rsidP="00AC491A">
      <w:pPr>
        <w:rPr>
          <w:lang w:val="en-GB"/>
        </w:rPr>
      </w:pPr>
      <w:r w:rsidRPr="00380B40">
        <w:rPr>
          <w:b/>
          <w:bCs/>
          <w:lang w:val="en-GB" w:eastAsia="ja-JP"/>
        </w:rPr>
        <w:t>1</w:t>
      </w:r>
      <w:r w:rsidRPr="00380B40">
        <w:rPr>
          <w:rStyle w:val="Bolditalic"/>
          <w:lang w:val="en-GB"/>
        </w:rPr>
        <w:t>bis</w:t>
      </w:r>
      <w:r w:rsidRPr="00380B40">
        <w:rPr>
          <w:b/>
          <w:bCs/>
          <w:lang w:val="en-GB" w:eastAsia="ja-JP"/>
        </w:rPr>
        <w:t>.</w:t>
      </w:r>
      <w:r w:rsidRPr="00380B40">
        <w:rPr>
          <w:b/>
          <w:bCs/>
          <w:lang w:val="en-GB"/>
        </w:rPr>
        <w:t>1.1.5</w:t>
      </w:r>
      <w:r w:rsidRPr="00380B40">
        <w:rPr>
          <w:b/>
          <w:bCs/>
          <w:lang w:val="en-GB"/>
        </w:rPr>
        <w:tab/>
      </w:r>
      <w:r w:rsidRPr="00380B40">
        <w:rPr>
          <w:lang w:val="en-GB"/>
        </w:rPr>
        <w:t>Supplements to Recommendations do not constitute an integral part of the Recommendations and shall not be considered as having equivalent status to Recommendations or annexes to Recommendations.</w:t>
      </w:r>
    </w:p>
    <w:p w14:paraId="73FCB7E0" w14:textId="77777777" w:rsidR="00AC491A" w:rsidRPr="00380B40" w:rsidRDefault="00F55448" w:rsidP="00AC491A">
      <w:pPr>
        <w:pStyle w:val="Headingb"/>
        <w:rPr>
          <w:rFonts w:eastAsia="Arial Unicode MS"/>
          <w:lang w:val="en-GB"/>
        </w:rPr>
      </w:pPr>
      <w:r w:rsidRPr="00380B40">
        <w:rPr>
          <w:bCs/>
          <w:lang w:val="en-GB" w:eastAsia="ja-JP"/>
        </w:rPr>
        <w:t>1</w:t>
      </w:r>
      <w:r w:rsidRPr="004E4CA9">
        <w:rPr>
          <w:rStyle w:val="Bolditalic"/>
          <w:b/>
          <w:bCs/>
          <w:lang w:val="en-GB"/>
        </w:rPr>
        <w:t>bis</w:t>
      </w:r>
      <w:r w:rsidR="009E40E5" w:rsidRPr="00380B40">
        <w:rPr>
          <w:bCs/>
          <w:lang w:val="en-GB" w:eastAsia="ja-JP"/>
        </w:rPr>
        <w:t>.</w:t>
      </w:r>
      <w:r w:rsidR="00AC491A" w:rsidRPr="00380B40">
        <w:rPr>
          <w:lang w:val="en-GB"/>
        </w:rPr>
        <w:t>1.2</w:t>
      </w:r>
      <w:r w:rsidR="00AC491A" w:rsidRPr="00380B40">
        <w:rPr>
          <w:lang w:val="en-GB"/>
        </w:rPr>
        <w:tab/>
        <w:t>Publication of texts</w:t>
      </w:r>
    </w:p>
    <w:p w14:paraId="4126EFF4" w14:textId="77777777" w:rsidR="00AC491A" w:rsidRPr="00380B40" w:rsidRDefault="009E40E5" w:rsidP="00AC491A">
      <w:pPr>
        <w:rPr>
          <w:lang w:val="en-GB"/>
        </w:rPr>
      </w:pPr>
      <w:r w:rsidRPr="00380B40">
        <w:rPr>
          <w:b/>
          <w:bCs/>
          <w:lang w:val="en-GB" w:eastAsia="ja-JP"/>
        </w:rPr>
        <w:t>1</w:t>
      </w:r>
      <w:r w:rsidRPr="00380B40">
        <w:rPr>
          <w:b/>
          <w:bCs/>
          <w:i/>
          <w:iCs/>
          <w:lang w:val="en-GB" w:eastAsia="ja-JP"/>
        </w:rPr>
        <w:t>bis</w:t>
      </w:r>
      <w:r w:rsidRPr="00380B40">
        <w:rPr>
          <w:b/>
          <w:bCs/>
          <w:lang w:val="en-GB" w:eastAsia="ja-JP"/>
        </w:rPr>
        <w:t>.</w:t>
      </w:r>
      <w:r w:rsidR="00AC491A" w:rsidRPr="00380B40">
        <w:rPr>
          <w:b/>
          <w:bCs/>
          <w:lang w:val="en-GB"/>
        </w:rPr>
        <w:t>1.2.1</w:t>
      </w:r>
      <w:r w:rsidR="00AC491A" w:rsidRPr="00380B40">
        <w:rPr>
          <w:lang w:val="en-GB"/>
        </w:rPr>
        <w:tab/>
        <w:t>All texts shall be published in electronic form as soon as possible after approval and may also be made available in paper form according to the publication policy of ITU.</w:t>
      </w:r>
    </w:p>
    <w:p w14:paraId="0DD04CEB" w14:textId="77777777" w:rsidR="00AC491A" w:rsidRPr="00380B40" w:rsidRDefault="00AC491A" w:rsidP="00AC491A">
      <w:pPr>
        <w:rPr>
          <w:lang w:val="en-GB"/>
        </w:rPr>
      </w:pPr>
      <w:r w:rsidRPr="00380B40">
        <w:rPr>
          <w:b/>
          <w:bCs/>
          <w:lang w:val="en-GB" w:eastAsia="ja-JP"/>
        </w:rPr>
        <w:t>1</w:t>
      </w:r>
      <w:r w:rsidRPr="00380B40">
        <w:rPr>
          <w:b/>
          <w:bCs/>
          <w:i/>
          <w:iCs/>
          <w:lang w:val="en-GB" w:eastAsia="ja-JP"/>
        </w:rPr>
        <w:t>bis</w:t>
      </w:r>
      <w:r w:rsidRPr="00380B40">
        <w:rPr>
          <w:b/>
          <w:bCs/>
          <w:lang w:val="en-GB" w:eastAsia="ja-JP"/>
        </w:rPr>
        <w:t>.</w:t>
      </w:r>
      <w:r w:rsidRPr="00380B40">
        <w:rPr>
          <w:b/>
          <w:bCs/>
          <w:lang w:val="en-GB"/>
        </w:rPr>
        <w:t>1.2.2</w:t>
      </w:r>
      <w:r w:rsidRPr="00380B40">
        <w:rPr>
          <w:lang w:val="en-GB"/>
        </w:rPr>
        <w:tab/>
        <w:t>Approved new or revised resolutions, opinions, Questions and Recommendations shall be published by ITU in the official languages of the Union as soon as practicable. Non-normative documents shall be published, as soon as possible, in English only or in the six official languages of the Union, depending on the decision of the relevant group.</w:t>
      </w:r>
    </w:p>
    <w:p w14:paraId="0B238EB8" w14:textId="77777777" w:rsidR="00AC491A" w:rsidRPr="004E4CA9" w:rsidRDefault="00805B55" w:rsidP="00AC491A">
      <w:pPr>
        <w:pStyle w:val="Headingb"/>
        <w:rPr>
          <w:bCs/>
          <w:lang w:val="en-GB"/>
        </w:rPr>
      </w:pPr>
      <w:r w:rsidRPr="004E4CA9">
        <w:rPr>
          <w:bCs/>
          <w:lang w:val="en-GB" w:eastAsia="ja-JP"/>
        </w:rPr>
        <w:t>1</w:t>
      </w:r>
      <w:r w:rsidRPr="004E4CA9">
        <w:rPr>
          <w:rStyle w:val="Bolditalic"/>
          <w:b/>
          <w:lang w:val="en-GB"/>
        </w:rPr>
        <w:t>bis</w:t>
      </w:r>
      <w:r w:rsidRPr="004E4CA9">
        <w:rPr>
          <w:bCs/>
          <w:lang w:val="en-GB" w:eastAsia="ja-JP"/>
        </w:rPr>
        <w:t>.</w:t>
      </w:r>
      <w:r w:rsidR="00AC491A" w:rsidRPr="004E4CA9">
        <w:rPr>
          <w:bCs/>
          <w:lang w:val="en-GB"/>
        </w:rPr>
        <w:t>2</w:t>
      </w:r>
      <w:r w:rsidR="00AC491A" w:rsidRPr="004E4CA9">
        <w:rPr>
          <w:bCs/>
          <w:lang w:val="en-GB"/>
        </w:rPr>
        <w:tab/>
        <w:t>WTSA resolutions</w:t>
      </w:r>
    </w:p>
    <w:p w14:paraId="6E26D6EC" w14:textId="77777777" w:rsidR="00AC491A" w:rsidRPr="004E4CA9" w:rsidRDefault="00805B55" w:rsidP="00AC491A">
      <w:pPr>
        <w:pStyle w:val="Headingb"/>
        <w:rPr>
          <w:bCs/>
          <w:lang w:val="en-GB"/>
        </w:rPr>
      </w:pPr>
      <w:r w:rsidRPr="004E4CA9">
        <w:rPr>
          <w:bCs/>
          <w:lang w:val="en-GB" w:eastAsia="ja-JP"/>
        </w:rPr>
        <w:t>1</w:t>
      </w:r>
      <w:r w:rsidR="00E90DD4" w:rsidRPr="004E4CA9">
        <w:rPr>
          <w:rStyle w:val="Bolditalic"/>
          <w:b/>
          <w:lang w:val="en-GB"/>
        </w:rPr>
        <w:t>bis</w:t>
      </w:r>
      <w:r w:rsidRPr="004E4CA9">
        <w:rPr>
          <w:bCs/>
          <w:lang w:val="en-GB" w:eastAsia="ja-JP"/>
        </w:rPr>
        <w:t>.</w:t>
      </w:r>
      <w:r w:rsidR="00AC491A" w:rsidRPr="004E4CA9">
        <w:rPr>
          <w:bCs/>
          <w:lang w:val="en-GB"/>
        </w:rPr>
        <w:t>2.1</w:t>
      </w:r>
      <w:r w:rsidR="00AC491A" w:rsidRPr="004E4CA9">
        <w:rPr>
          <w:bCs/>
          <w:lang w:val="en-GB"/>
        </w:rPr>
        <w:tab/>
        <w:t>Definition</w:t>
      </w:r>
    </w:p>
    <w:p w14:paraId="631010C5" w14:textId="77777777" w:rsidR="00AC491A" w:rsidRPr="00380B40" w:rsidRDefault="00AC491A" w:rsidP="00AC491A">
      <w:pPr>
        <w:rPr>
          <w:lang w:val="en-GB"/>
        </w:rPr>
      </w:pPr>
      <w:r w:rsidRPr="00380B40">
        <w:rPr>
          <w:b/>
          <w:bCs/>
          <w:lang w:val="en-GB"/>
        </w:rPr>
        <w:t>WTSA resolution</w:t>
      </w:r>
      <w:r w:rsidRPr="00380B40">
        <w:rPr>
          <w:lang w:val="en-GB"/>
        </w:rPr>
        <w:t>: A text of the World Telecommunication Standardization Assembly containing provisions on the organization, working methods and programmes of the ITU Telecommunication Standardization Sector and Questions/topics to be studied.</w:t>
      </w:r>
    </w:p>
    <w:p w14:paraId="7A604B47" w14:textId="77777777" w:rsidR="00AC491A" w:rsidRPr="00380B40" w:rsidRDefault="00805B55" w:rsidP="00AC491A">
      <w:pPr>
        <w:pStyle w:val="Headingb"/>
        <w:rPr>
          <w:rFonts w:eastAsia="Arial Unicode MS"/>
          <w:lang w:val="en-GB"/>
        </w:rPr>
      </w:pPr>
      <w:r w:rsidRPr="00380B40">
        <w:rPr>
          <w:bCs/>
          <w:lang w:val="en-GB" w:eastAsia="ja-JP"/>
        </w:rPr>
        <w:t>1</w:t>
      </w:r>
      <w:r w:rsidRPr="004E4CA9">
        <w:rPr>
          <w:rStyle w:val="Bolditalic"/>
          <w:b/>
          <w:bCs/>
          <w:lang w:val="en-GB"/>
        </w:rPr>
        <w:t>bis</w:t>
      </w:r>
      <w:r w:rsidRPr="00380B40">
        <w:rPr>
          <w:bCs/>
          <w:lang w:val="en-GB" w:eastAsia="ja-JP"/>
        </w:rPr>
        <w:t>.</w:t>
      </w:r>
      <w:r w:rsidR="00AC491A" w:rsidRPr="00380B40">
        <w:rPr>
          <w:lang w:val="en-GB"/>
        </w:rPr>
        <w:t>2.2</w:t>
      </w:r>
      <w:r w:rsidR="00AC491A" w:rsidRPr="00380B40">
        <w:rPr>
          <w:lang w:val="en-GB"/>
        </w:rPr>
        <w:tab/>
        <w:t>Adoption</w:t>
      </w:r>
    </w:p>
    <w:p w14:paraId="5B34CA58" w14:textId="77777777" w:rsidR="00AC491A" w:rsidRPr="00380B40" w:rsidRDefault="00AC491A" w:rsidP="00AC491A">
      <w:pPr>
        <w:rPr>
          <w:lang w:val="en-GB"/>
        </w:rPr>
      </w:pPr>
      <w:r w:rsidRPr="00380B40">
        <w:rPr>
          <w:lang w:val="en-GB"/>
        </w:rPr>
        <w:t>WTSA shall examine and may adopt revised or new WTSA resolutions proposed by Member States and Sector Members or suggested by TSAG.</w:t>
      </w:r>
    </w:p>
    <w:p w14:paraId="13436D02" w14:textId="77777777" w:rsidR="00FA0AF5" w:rsidRPr="00380B40" w:rsidRDefault="00FA0AF5" w:rsidP="00AC491A">
      <w:pPr>
        <w:pStyle w:val="Headingb"/>
        <w:rPr>
          <w:bCs/>
          <w:lang w:val="en-GB" w:eastAsia="ja-JP"/>
        </w:rPr>
      </w:pPr>
      <w:r w:rsidRPr="00380B40">
        <w:rPr>
          <w:bCs/>
          <w:lang w:val="en-GB" w:eastAsia="ja-JP"/>
        </w:rPr>
        <w:br w:type="page"/>
      </w:r>
    </w:p>
    <w:p w14:paraId="1CB9B3CE" w14:textId="77777777" w:rsidR="00AC491A" w:rsidRPr="00380B40" w:rsidRDefault="00E90DD4" w:rsidP="00AC491A">
      <w:pPr>
        <w:pStyle w:val="Headingb"/>
        <w:rPr>
          <w:rFonts w:eastAsia="Arial Unicode MS"/>
          <w:lang w:val="en-GB"/>
        </w:rPr>
      </w:pPr>
      <w:r w:rsidRPr="00380B40">
        <w:rPr>
          <w:bCs/>
          <w:lang w:val="en-GB" w:eastAsia="ja-JP"/>
        </w:rPr>
        <w:t>1</w:t>
      </w:r>
      <w:r w:rsidRPr="004E4CA9">
        <w:rPr>
          <w:rStyle w:val="Bolditalic"/>
          <w:b/>
          <w:bCs/>
          <w:lang w:val="en-GB"/>
        </w:rPr>
        <w:t>bis</w:t>
      </w:r>
      <w:r w:rsidR="00805B55" w:rsidRPr="00380B40">
        <w:rPr>
          <w:bCs/>
          <w:lang w:val="en-GB" w:eastAsia="ja-JP"/>
        </w:rPr>
        <w:t>.</w:t>
      </w:r>
      <w:r w:rsidR="00AC491A" w:rsidRPr="00380B40">
        <w:rPr>
          <w:lang w:val="en-GB"/>
        </w:rPr>
        <w:t>2.3</w:t>
      </w:r>
      <w:r w:rsidR="00AC491A" w:rsidRPr="00380B40">
        <w:rPr>
          <w:lang w:val="en-GB"/>
        </w:rPr>
        <w:tab/>
        <w:t>Deletion</w:t>
      </w:r>
    </w:p>
    <w:p w14:paraId="1B33A3A8" w14:textId="77777777" w:rsidR="00AC491A" w:rsidRPr="00380B40" w:rsidRDefault="00AC491A" w:rsidP="00AC491A">
      <w:pPr>
        <w:rPr>
          <w:lang w:val="en-GB"/>
        </w:rPr>
      </w:pPr>
      <w:r w:rsidRPr="00380B40">
        <w:rPr>
          <w:lang w:val="en-GB"/>
        </w:rPr>
        <w:t>WTSA may delete resolutions based on proposals from Member States and Sector Members and/or taking into account suggestions provided by TSAG.</w:t>
      </w:r>
    </w:p>
    <w:p w14:paraId="271A11E4" w14:textId="77777777" w:rsidR="00AC491A" w:rsidRPr="00380B40" w:rsidRDefault="00E90DD4" w:rsidP="00AC491A">
      <w:pPr>
        <w:pStyle w:val="Headingb"/>
        <w:rPr>
          <w:lang w:val="en-GB"/>
        </w:rPr>
      </w:pPr>
      <w:r w:rsidRPr="00380B40">
        <w:rPr>
          <w:bCs/>
          <w:lang w:val="en-GB" w:eastAsia="ja-JP"/>
        </w:rPr>
        <w:t>1</w:t>
      </w:r>
      <w:r w:rsidRPr="004E4CA9">
        <w:rPr>
          <w:rStyle w:val="Bolditalic"/>
          <w:b/>
          <w:bCs/>
          <w:lang w:val="en-GB"/>
        </w:rPr>
        <w:t>bis</w:t>
      </w:r>
      <w:r w:rsidR="00805B55" w:rsidRPr="00380B40">
        <w:rPr>
          <w:bCs/>
          <w:lang w:val="en-GB" w:eastAsia="ja-JP"/>
        </w:rPr>
        <w:t>.</w:t>
      </w:r>
      <w:r w:rsidR="00AC491A" w:rsidRPr="00380B40">
        <w:rPr>
          <w:lang w:val="en-GB"/>
        </w:rPr>
        <w:t>3</w:t>
      </w:r>
      <w:r w:rsidR="00AC491A" w:rsidRPr="00380B40">
        <w:rPr>
          <w:lang w:val="en-GB"/>
        </w:rPr>
        <w:tab/>
        <w:t>Opinions</w:t>
      </w:r>
    </w:p>
    <w:p w14:paraId="2E2D1199" w14:textId="77777777" w:rsidR="00AC491A" w:rsidRPr="00380B40" w:rsidRDefault="00E90DD4" w:rsidP="00AC491A">
      <w:pPr>
        <w:pStyle w:val="Headingb"/>
        <w:rPr>
          <w:lang w:val="en-GB"/>
        </w:rPr>
      </w:pPr>
      <w:r w:rsidRPr="00380B40">
        <w:rPr>
          <w:bCs/>
          <w:lang w:val="en-GB" w:eastAsia="ja-JP"/>
        </w:rPr>
        <w:t>1</w:t>
      </w:r>
      <w:r w:rsidRPr="004E4CA9">
        <w:rPr>
          <w:rStyle w:val="Bolditalic"/>
          <w:b/>
          <w:bCs/>
          <w:lang w:val="en-GB"/>
        </w:rPr>
        <w:t>bis</w:t>
      </w:r>
      <w:r w:rsidR="00805B55" w:rsidRPr="00380B40">
        <w:rPr>
          <w:bCs/>
          <w:lang w:val="en-GB" w:eastAsia="ja-JP"/>
        </w:rPr>
        <w:t>.</w:t>
      </w:r>
      <w:r w:rsidR="00AC491A" w:rsidRPr="00380B40">
        <w:rPr>
          <w:lang w:val="en-GB"/>
        </w:rPr>
        <w:t>3.1</w:t>
      </w:r>
      <w:r w:rsidR="00AC491A" w:rsidRPr="00380B40">
        <w:rPr>
          <w:lang w:val="en-GB"/>
        </w:rPr>
        <w:tab/>
        <w:t>Definition</w:t>
      </w:r>
    </w:p>
    <w:p w14:paraId="1208F626" w14:textId="77777777" w:rsidR="00AC491A" w:rsidRPr="00380B40" w:rsidRDefault="00AC491A" w:rsidP="00AC491A">
      <w:pPr>
        <w:tabs>
          <w:tab w:val="clear" w:pos="794"/>
          <w:tab w:val="clear" w:pos="1191"/>
          <w:tab w:val="clear" w:pos="1588"/>
          <w:tab w:val="clear" w:pos="1985"/>
          <w:tab w:val="left" w:pos="1134"/>
          <w:tab w:val="left" w:pos="1871"/>
          <w:tab w:val="left" w:pos="2268"/>
        </w:tabs>
        <w:rPr>
          <w:lang w:val="en-GB"/>
        </w:rPr>
      </w:pPr>
      <w:r w:rsidRPr="00380B40">
        <w:rPr>
          <w:b/>
          <w:lang w:val="en-GB"/>
        </w:rPr>
        <w:t>Opinion</w:t>
      </w:r>
      <w:r w:rsidRPr="00380B40">
        <w:rPr>
          <w:lang w:val="en-GB"/>
        </w:rPr>
        <w:t>:</w:t>
      </w:r>
      <w:r w:rsidRPr="00380B40">
        <w:rPr>
          <w:b/>
          <w:lang w:val="en-GB"/>
        </w:rPr>
        <w:t xml:space="preserve"> </w:t>
      </w:r>
      <w:r w:rsidRPr="00380B40">
        <w:rPr>
          <w:lang w:val="en-GB"/>
        </w:rPr>
        <w:t xml:space="preserve">A text containing a viewpoint, proposal or query aimed at study groups </w:t>
      </w:r>
      <w:r w:rsidRPr="00380B40">
        <w:rPr>
          <w:bCs/>
          <w:lang w:val="en-GB"/>
        </w:rPr>
        <w:t xml:space="preserve">of </w:t>
      </w:r>
      <w:r w:rsidRPr="00380B40">
        <w:rPr>
          <w:lang w:val="en-GB"/>
        </w:rPr>
        <w:t>the ITU Telecommunication Standardization Sector and the other ITU Sectors or international organizations, etc., and not necessarily related to a technical issue.</w:t>
      </w:r>
    </w:p>
    <w:p w14:paraId="7CD7C1EE" w14:textId="77777777" w:rsidR="00AC491A" w:rsidRPr="00380B40" w:rsidRDefault="00E90DD4" w:rsidP="00AC491A">
      <w:pPr>
        <w:pStyle w:val="Headingb"/>
        <w:rPr>
          <w:rFonts w:eastAsia="Arial Unicode MS"/>
          <w:lang w:val="en-GB"/>
        </w:rPr>
      </w:pPr>
      <w:r w:rsidRPr="00380B40">
        <w:rPr>
          <w:bCs/>
          <w:lang w:val="en-GB" w:eastAsia="ja-JP"/>
        </w:rPr>
        <w:t>1</w:t>
      </w:r>
      <w:r w:rsidRPr="004E4CA9">
        <w:rPr>
          <w:rStyle w:val="Bolditalic"/>
          <w:b/>
          <w:bCs/>
          <w:lang w:val="en-GB"/>
        </w:rPr>
        <w:t>bis</w:t>
      </w:r>
      <w:r w:rsidR="00805B55" w:rsidRPr="00380B40">
        <w:rPr>
          <w:bCs/>
          <w:lang w:val="en-GB" w:eastAsia="ja-JP"/>
        </w:rPr>
        <w:t>.</w:t>
      </w:r>
      <w:r w:rsidR="00AC491A" w:rsidRPr="00380B40">
        <w:rPr>
          <w:lang w:val="en-GB"/>
        </w:rPr>
        <w:t>3.2</w:t>
      </w:r>
      <w:r w:rsidR="00AC491A" w:rsidRPr="00380B40">
        <w:rPr>
          <w:lang w:val="en-GB"/>
        </w:rPr>
        <w:tab/>
        <w:t>Adoption</w:t>
      </w:r>
    </w:p>
    <w:p w14:paraId="7C37B527" w14:textId="77777777" w:rsidR="00AC491A" w:rsidRPr="00380B40" w:rsidRDefault="00AC491A" w:rsidP="00AC491A">
      <w:pPr>
        <w:tabs>
          <w:tab w:val="clear" w:pos="794"/>
          <w:tab w:val="clear" w:pos="1191"/>
          <w:tab w:val="clear" w:pos="1588"/>
          <w:tab w:val="clear" w:pos="1985"/>
          <w:tab w:val="left" w:pos="1134"/>
          <w:tab w:val="left" w:pos="1871"/>
          <w:tab w:val="left" w:pos="2268"/>
        </w:tabs>
        <w:rPr>
          <w:lang w:val="en-GB"/>
        </w:rPr>
      </w:pPr>
      <w:r w:rsidRPr="00380B40">
        <w:rPr>
          <w:lang w:val="en-GB"/>
        </w:rPr>
        <w:t>WTSA shall examine and may adopt revised or new opinions based on proposals from Member States and Sector Members or suggested by TSAG.</w:t>
      </w:r>
    </w:p>
    <w:p w14:paraId="002D9661" w14:textId="77777777" w:rsidR="00AC491A" w:rsidRPr="00380B40" w:rsidRDefault="00E90DD4" w:rsidP="00AC491A">
      <w:pPr>
        <w:pStyle w:val="Headingb"/>
        <w:rPr>
          <w:rFonts w:eastAsia="Arial Unicode MS"/>
          <w:lang w:val="en-GB"/>
        </w:rPr>
      </w:pPr>
      <w:r w:rsidRPr="00380B40">
        <w:rPr>
          <w:bCs/>
          <w:lang w:val="en-GB" w:eastAsia="ja-JP"/>
        </w:rPr>
        <w:t>1</w:t>
      </w:r>
      <w:r w:rsidRPr="004E4CA9">
        <w:rPr>
          <w:rStyle w:val="Bolditalic"/>
          <w:b/>
          <w:bCs/>
          <w:lang w:val="en-GB"/>
        </w:rPr>
        <w:t>bis</w:t>
      </w:r>
      <w:r w:rsidR="00805B55" w:rsidRPr="00380B40">
        <w:rPr>
          <w:bCs/>
          <w:lang w:val="en-GB" w:eastAsia="ja-JP"/>
        </w:rPr>
        <w:t>.</w:t>
      </w:r>
      <w:r w:rsidR="00AC491A" w:rsidRPr="00380B40">
        <w:rPr>
          <w:lang w:val="en-GB"/>
        </w:rPr>
        <w:t>3.3</w:t>
      </w:r>
      <w:r w:rsidR="00AC491A" w:rsidRPr="00380B40">
        <w:rPr>
          <w:lang w:val="en-GB"/>
        </w:rPr>
        <w:tab/>
        <w:t>Deletion</w:t>
      </w:r>
    </w:p>
    <w:p w14:paraId="6FEEA86E" w14:textId="77777777" w:rsidR="00AC491A" w:rsidRPr="00380B40" w:rsidRDefault="00AC491A" w:rsidP="00AC491A">
      <w:pPr>
        <w:rPr>
          <w:lang w:val="en-GB"/>
        </w:rPr>
      </w:pPr>
      <w:r w:rsidRPr="00380B40">
        <w:rPr>
          <w:lang w:val="en-GB"/>
        </w:rPr>
        <w:t>WTSA may delete an opinion based on proposals from Member States and Sector Members or suggested by TSAG.</w:t>
      </w:r>
    </w:p>
    <w:p w14:paraId="31C06FB6" w14:textId="77777777" w:rsidR="00AC491A" w:rsidRPr="00380B40" w:rsidRDefault="00E90DD4" w:rsidP="00AC491A">
      <w:pPr>
        <w:pStyle w:val="Headingb"/>
        <w:rPr>
          <w:lang w:val="fr-CH"/>
        </w:rPr>
      </w:pPr>
      <w:r w:rsidRPr="00380B40">
        <w:rPr>
          <w:bCs/>
          <w:lang w:val="fr-CH" w:eastAsia="ja-JP"/>
        </w:rPr>
        <w:t>1</w:t>
      </w:r>
      <w:r w:rsidRPr="004E4CA9">
        <w:rPr>
          <w:rStyle w:val="Bolditalic"/>
          <w:b/>
          <w:bCs/>
          <w:lang w:val="fr-CH"/>
        </w:rPr>
        <w:t>bis</w:t>
      </w:r>
      <w:r w:rsidR="00805B55" w:rsidRPr="00380B40">
        <w:rPr>
          <w:bCs/>
          <w:lang w:val="fr-CH" w:eastAsia="ja-JP"/>
        </w:rPr>
        <w:t>.</w:t>
      </w:r>
      <w:r w:rsidR="00AC491A" w:rsidRPr="00380B40">
        <w:rPr>
          <w:lang w:val="fr-CH"/>
        </w:rPr>
        <w:t>4</w:t>
      </w:r>
      <w:r w:rsidR="00AC491A" w:rsidRPr="00380B40">
        <w:rPr>
          <w:lang w:val="fr-CH"/>
        </w:rPr>
        <w:tab/>
        <w:t>ITU</w:t>
      </w:r>
      <w:r w:rsidR="00AC491A" w:rsidRPr="00380B40">
        <w:rPr>
          <w:lang w:val="fr-CH"/>
        </w:rPr>
        <w:noBreakHyphen/>
        <w:t>T Questions</w:t>
      </w:r>
    </w:p>
    <w:p w14:paraId="3E8A629F" w14:textId="77777777" w:rsidR="00AC491A" w:rsidRPr="00380B40" w:rsidRDefault="00E90DD4" w:rsidP="00AC491A">
      <w:pPr>
        <w:pStyle w:val="Headingb"/>
        <w:rPr>
          <w:lang w:val="fr-CH"/>
        </w:rPr>
      </w:pPr>
      <w:r w:rsidRPr="00380B40">
        <w:rPr>
          <w:bCs/>
          <w:lang w:val="fr-CH" w:eastAsia="ja-JP"/>
        </w:rPr>
        <w:t>1</w:t>
      </w:r>
      <w:r w:rsidRPr="004E4CA9">
        <w:rPr>
          <w:rStyle w:val="Bolditalic"/>
          <w:b/>
          <w:bCs/>
          <w:lang w:val="fr-CH"/>
        </w:rPr>
        <w:t>bis</w:t>
      </w:r>
      <w:r w:rsidR="00805B55" w:rsidRPr="00380B40">
        <w:rPr>
          <w:bCs/>
          <w:lang w:val="fr-CH" w:eastAsia="ja-JP"/>
        </w:rPr>
        <w:t>.</w:t>
      </w:r>
      <w:r w:rsidR="00AC491A" w:rsidRPr="00380B40">
        <w:rPr>
          <w:lang w:val="fr-CH"/>
        </w:rPr>
        <w:t>4.1</w:t>
      </w:r>
      <w:r w:rsidR="00AC491A" w:rsidRPr="00380B40">
        <w:rPr>
          <w:lang w:val="fr-CH"/>
        </w:rPr>
        <w:tab/>
        <w:t>Definition</w:t>
      </w:r>
    </w:p>
    <w:p w14:paraId="5DF64EDE" w14:textId="77777777" w:rsidR="00AC491A" w:rsidRPr="00380B40" w:rsidRDefault="00AC491A" w:rsidP="00AC491A">
      <w:pPr>
        <w:rPr>
          <w:lang w:val="en-GB"/>
        </w:rPr>
      </w:pPr>
      <w:r w:rsidRPr="00380B40">
        <w:rPr>
          <w:b/>
          <w:bCs/>
          <w:lang w:val="en-GB"/>
        </w:rPr>
        <w:t>Question</w:t>
      </w:r>
      <w:r w:rsidRPr="00380B40">
        <w:rPr>
          <w:lang w:val="en-GB"/>
        </w:rPr>
        <w:t>: Description of an area of work to be studied, normally leading to the production of one or more new or revised Recommendations and/or new or revised non-normative documents as defined in Recommendation ITU-T A.13.</w:t>
      </w:r>
    </w:p>
    <w:p w14:paraId="4D3C8412" w14:textId="77777777" w:rsidR="00AC491A" w:rsidRPr="00380B40" w:rsidRDefault="00E90DD4" w:rsidP="00AC491A">
      <w:pPr>
        <w:pStyle w:val="Headingb"/>
        <w:rPr>
          <w:rFonts w:eastAsia="Arial Unicode MS"/>
          <w:lang w:val="en-GB"/>
        </w:rPr>
      </w:pPr>
      <w:r w:rsidRPr="00380B40">
        <w:rPr>
          <w:bCs/>
          <w:lang w:val="en-GB" w:eastAsia="ja-JP"/>
        </w:rPr>
        <w:t>1</w:t>
      </w:r>
      <w:r w:rsidRPr="004E4CA9">
        <w:rPr>
          <w:rStyle w:val="Bolditalic"/>
          <w:b/>
          <w:bCs/>
          <w:lang w:val="en-GB"/>
        </w:rPr>
        <w:t>bis</w:t>
      </w:r>
      <w:r w:rsidR="00805B55" w:rsidRPr="00380B40">
        <w:rPr>
          <w:bCs/>
          <w:lang w:val="en-GB" w:eastAsia="ja-JP"/>
        </w:rPr>
        <w:t>.</w:t>
      </w:r>
      <w:r w:rsidR="00AC491A" w:rsidRPr="00380B40">
        <w:rPr>
          <w:lang w:val="en-GB"/>
        </w:rPr>
        <w:t>4.2</w:t>
      </w:r>
      <w:r w:rsidR="00AC491A" w:rsidRPr="00380B40">
        <w:rPr>
          <w:lang w:val="en-GB"/>
        </w:rPr>
        <w:tab/>
        <w:t>Approval</w:t>
      </w:r>
    </w:p>
    <w:p w14:paraId="25A3962F" w14:textId="77777777" w:rsidR="00AC491A" w:rsidRPr="00380B40" w:rsidRDefault="00AC491A" w:rsidP="00AC491A">
      <w:pPr>
        <w:tabs>
          <w:tab w:val="clear" w:pos="794"/>
          <w:tab w:val="clear" w:pos="1191"/>
          <w:tab w:val="clear" w:pos="1588"/>
          <w:tab w:val="clear" w:pos="1985"/>
          <w:tab w:val="left" w:pos="1134"/>
          <w:tab w:val="left" w:pos="1871"/>
          <w:tab w:val="left" w:pos="2268"/>
        </w:tabs>
        <w:rPr>
          <w:lang w:val="en-GB"/>
        </w:rPr>
      </w:pPr>
      <w:r w:rsidRPr="00380B40">
        <w:rPr>
          <w:lang w:val="en-GB"/>
        </w:rPr>
        <w:t>The procedure for approving Questions is set out in Section 7 of this resolution.</w:t>
      </w:r>
    </w:p>
    <w:p w14:paraId="0FC55548" w14:textId="77777777" w:rsidR="00AC491A" w:rsidRPr="00380B40" w:rsidRDefault="00E90DD4" w:rsidP="00AC491A">
      <w:pPr>
        <w:pStyle w:val="Headingb"/>
        <w:rPr>
          <w:rFonts w:eastAsia="Arial Unicode MS"/>
          <w:lang w:val="en-GB"/>
        </w:rPr>
      </w:pPr>
      <w:r w:rsidRPr="00380B40">
        <w:rPr>
          <w:bCs/>
          <w:lang w:val="en-GB" w:eastAsia="ja-JP"/>
        </w:rPr>
        <w:t>1</w:t>
      </w:r>
      <w:r w:rsidRPr="004E4CA9">
        <w:rPr>
          <w:rStyle w:val="Bolditalic"/>
          <w:b/>
          <w:bCs/>
          <w:lang w:val="en-GB"/>
        </w:rPr>
        <w:t>bis</w:t>
      </w:r>
      <w:r w:rsidR="00805B55" w:rsidRPr="00380B40">
        <w:rPr>
          <w:bCs/>
          <w:lang w:val="en-GB" w:eastAsia="ja-JP"/>
        </w:rPr>
        <w:t>.</w:t>
      </w:r>
      <w:r w:rsidR="00AC491A" w:rsidRPr="00380B40">
        <w:rPr>
          <w:lang w:val="en-GB"/>
        </w:rPr>
        <w:t>4.3</w:t>
      </w:r>
      <w:r w:rsidR="00AC491A" w:rsidRPr="00380B40">
        <w:rPr>
          <w:lang w:val="en-GB"/>
        </w:rPr>
        <w:tab/>
        <w:t>Deletion</w:t>
      </w:r>
    </w:p>
    <w:p w14:paraId="20655438" w14:textId="77777777" w:rsidR="00AC491A" w:rsidRPr="00380B40" w:rsidRDefault="00AC491A" w:rsidP="00AC491A">
      <w:pPr>
        <w:rPr>
          <w:b/>
          <w:lang w:val="en-GB" w:eastAsia="ja-JP"/>
        </w:rPr>
      </w:pPr>
      <w:r w:rsidRPr="00380B40">
        <w:rPr>
          <w:lang w:val="en-GB"/>
        </w:rPr>
        <w:t>The procedure for deleting Questions is set out in Section 7 of this resolution.</w:t>
      </w:r>
    </w:p>
    <w:p w14:paraId="6A5CB07F" w14:textId="77777777" w:rsidR="00AC491A" w:rsidRPr="00380B40" w:rsidRDefault="00E90DD4" w:rsidP="00AC491A">
      <w:pPr>
        <w:pStyle w:val="Headingb"/>
        <w:rPr>
          <w:lang w:val="fr-CH"/>
        </w:rPr>
      </w:pPr>
      <w:r w:rsidRPr="00380B40">
        <w:rPr>
          <w:bCs/>
          <w:lang w:val="fr-CH" w:eastAsia="ja-JP"/>
        </w:rPr>
        <w:t>1</w:t>
      </w:r>
      <w:r w:rsidRPr="004E4CA9">
        <w:rPr>
          <w:rStyle w:val="Bolditalic"/>
          <w:b/>
          <w:bCs/>
          <w:lang w:val="fr-CH"/>
        </w:rPr>
        <w:t>bis</w:t>
      </w:r>
      <w:r w:rsidR="00805B55" w:rsidRPr="00380B40">
        <w:rPr>
          <w:bCs/>
          <w:lang w:val="fr-CH" w:eastAsia="ja-JP"/>
        </w:rPr>
        <w:t>.</w:t>
      </w:r>
      <w:r w:rsidR="00AC491A" w:rsidRPr="00380B40">
        <w:rPr>
          <w:lang w:val="fr-CH"/>
        </w:rPr>
        <w:t>5</w:t>
      </w:r>
      <w:r w:rsidR="00AC491A" w:rsidRPr="00380B40">
        <w:rPr>
          <w:lang w:val="fr-CH"/>
        </w:rPr>
        <w:tab/>
        <w:t>ITU</w:t>
      </w:r>
      <w:r w:rsidR="00AC491A" w:rsidRPr="00380B40">
        <w:rPr>
          <w:lang w:val="fr-CH"/>
        </w:rPr>
        <w:noBreakHyphen/>
        <w:t>T Recommendations</w:t>
      </w:r>
    </w:p>
    <w:p w14:paraId="00EBF545" w14:textId="77777777" w:rsidR="00AC491A" w:rsidRPr="00380B40" w:rsidRDefault="00E90DD4" w:rsidP="00AC491A">
      <w:pPr>
        <w:pStyle w:val="Headingb"/>
        <w:rPr>
          <w:rFonts w:eastAsia="Arial Unicode MS"/>
          <w:lang w:val="fr-CH"/>
        </w:rPr>
      </w:pPr>
      <w:r w:rsidRPr="00380B40">
        <w:rPr>
          <w:bCs/>
          <w:lang w:val="fr-CH" w:eastAsia="ja-JP"/>
        </w:rPr>
        <w:t>1</w:t>
      </w:r>
      <w:r w:rsidRPr="004E4CA9">
        <w:rPr>
          <w:rStyle w:val="Bolditalic"/>
          <w:b/>
          <w:bCs/>
          <w:lang w:val="fr-CH"/>
        </w:rPr>
        <w:t>bis</w:t>
      </w:r>
      <w:r w:rsidR="00805B55" w:rsidRPr="00380B40">
        <w:rPr>
          <w:bCs/>
          <w:lang w:val="fr-CH" w:eastAsia="ja-JP"/>
        </w:rPr>
        <w:t>.</w:t>
      </w:r>
      <w:r w:rsidR="00AC491A" w:rsidRPr="00380B40">
        <w:rPr>
          <w:lang w:val="fr-CH"/>
        </w:rPr>
        <w:t>5.1</w:t>
      </w:r>
      <w:r w:rsidR="00AC491A" w:rsidRPr="00380B40">
        <w:rPr>
          <w:lang w:val="fr-CH"/>
        </w:rPr>
        <w:tab/>
        <w:t>Definition</w:t>
      </w:r>
    </w:p>
    <w:p w14:paraId="772D1894" w14:textId="77777777" w:rsidR="00AC491A" w:rsidRPr="00380B40" w:rsidRDefault="00AC491A" w:rsidP="00AC491A">
      <w:pPr>
        <w:rPr>
          <w:lang w:val="en-GB"/>
        </w:rPr>
      </w:pPr>
      <w:r w:rsidRPr="00380B40">
        <w:rPr>
          <w:b/>
          <w:bCs/>
          <w:lang w:val="en-GB"/>
        </w:rPr>
        <w:t>Recommendation</w:t>
      </w:r>
      <w:r w:rsidRPr="00380B40">
        <w:rPr>
          <w:lang w:val="en-GB"/>
        </w:rPr>
        <w:t>: An answer to a Question or part of a Question, or a text developed by the Telecommunication Standardization Advisory Group for the organization of the work of the ITU Telecommunication Standardization Sector.</w:t>
      </w:r>
    </w:p>
    <w:p w14:paraId="1814CEAB" w14:textId="77777777" w:rsidR="00AC491A" w:rsidRPr="00380B40" w:rsidRDefault="00AC491A" w:rsidP="00AC491A">
      <w:pPr>
        <w:pStyle w:val="Note"/>
        <w:rPr>
          <w:b/>
          <w:lang w:val="en-GB" w:eastAsia="ja-JP"/>
        </w:rPr>
      </w:pPr>
      <w:r w:rsidRPr="00380B40">
        <w:rPr>
          <w:lang w:val="en-GB"/>
        </w:rPr>
        <w:t>NOTE – This answer, which is a normative text, within the scope of existing knowledge and the research carried out by study groups and adopted in accordance with established procedures, may provide guidance on technical, organizational, tariff-related and operational matters, including working methods, may describe a preferred method or proposed solution for undertaking a specific task, or may recommend procedures for specific applications. These Recommendations should be sufficient to serve as a basis for international cooperation.</w:t>
      </w:r>
    </w:p>
    <w:p w14:paraId="71494086" w14:textId="77777777" w:rsidR="00FA0AF5" w:rsidRPr="00380B40" w:rsidRDefault="00FA0AF5" w:rsidP="00AC491A">
      <w:pPr>
        <w:pStyle w:val="Headingb"/>
        <w:rPr>
          <w:bCs/>
          <w:lang w:val="en-GB" w:eastAsia="ja-JP"/>
        </w:rPr>
      </w:pPr>
      <w:r w:rsidRPr="00380B40">
        <w:rPr>
          <w:bCs/>
          <w:lang w:val="en-GB" w:eastAsia="ja-JP"/>
        </w:rPr>
        <w:br w:type="page"/>
      </w:r>
    </w:p>
    <w:p w14:paraId="223D3CAF" w14:textId="77777777" w:rsidR="00AC491A" w:rsidRPr="00380B40" w:rsidRDefault="00E90DD4" w:rsidP="00AC491A">
      <w:pPr>
        <w:pStyle w:val="Headingb"/>
        <w:rPr>
          <w:rFonts w:eastAsia="Arial Unicode MS"/>
          <w:lang w:val="en-GB"/>
        </w:rPr>
      </w:pPr>
      <w:r w:rsidRPr="00380B40">
        <w:rPr>
          <w:bCs/>
          <w:lang w:val="en-GB" w:eastAsia="ja-JP"/>
        </w:rPr>
        <w:t>1</w:t>
      </w:r>
      <w:r w:rsidRPr="004E4CA9">
        <w:rPr>
          <w:rStyle w:val="Bolditalic"/>
          <w:b/>
          <w:bCs/>
          <w:lang w:val="en-GB"/>
        </w:rPr>
        <w:t>bis</w:t>
      </w:r>
      <w:r w:rsidR="00805B55" w:rsidRPr="00380B40">
        <w:rPr>
          <w:bCs/>
          <w:lang w:val="en-GB" w:eastAsia="ja-JP"/>
        </w:rPr>
        <w:t>.</w:t>
      </w:r>
      <w:r w:rsidR="00AC491A" w:rsidRPr="00380B40">
        <w:rPr>
          <w:lang w:val="en-GB"/>
        </w:rPr>
        <w:t>5.2</w:t>
      </w:r>
      <w:r w:rsidR="00AC491A" w:rsidRPr="00380B40">
        <w:rPr>
          <w:lang w:val="en-GB"/>
        </w:rPr>
        <w:tab/>
        <w:t>Approval</w:t>
      </w:r>
    </w:p>
    <w:p w14:paraId="224DBD8C" w14:textId="77777777" w:rsidR="00AC491A" w:rsidRPr="00380B40" w:rsidRDefault="00AC491A" w:rsidP="00AC491A">
      <w:pPr>
        <w:tabs>
          <w:tab w:val="clear" w:pos="794"/>
          <w:tab w:val="clear" w:pos="1191"/>
          <w:tab w:val="clear" w:pos="1588"/>
          <w:tab w:val="clear" w:pos="1985"/>
          <w:tab w:val="left" w:pos="1134"/>
          <w:tab w:val="left" w:pos="1871"/>
          <w:tab w:val="left" w:pos="2268"/>
        </w:tabs>
        <w:rPr>
          <w:lang w:val="en-GB"/>
        </w:rPr>
      </w:pPr>
      <w:r w:rsidRPr="00380B40">
        <w:rPr>
          <w:lang w:val="en-GB"/>
        </w:rPr>
        <w:t>The traditional approval procedure is set out in Section 9 of this resolution. The alternative approval procedure is set out in Recommendation ITU-T A.8. The selection of the approval process is set out in Section 8 of this resolution.</w:t>
      </w:r>
    </w:p>
    <w:p w14:paraId="1B6D71A3" w14:textId="77777777" w:rsidR="00AC491A" w:rsidRPr="00380B40" w:rsidRDefault="00E90DD4" w:rsidP="00AC491A">
      <w:pPr>
        <w:pStyle w:val="Headingb"/>
        <w:rPr>
          <w:rFonts w:eastAsia="Arial Unicode MS"/>
          <w:lang w:val="en-GB"/>
        </w:rPr>
      </w:pPr>
      <w:r w:rsidRPr="00380B40">
        <w:rPr>
          <w:bCs/>
          <w:lang w:val="en-GB" w:eastAsia="ja-JP"/>
        </w:rPr>
        <w:t>1</w:t>
      </w:r>
      <w:r w:rsidRPr="004E4CA9">
        <w:rPr>
          <w:rStyle w:val="Bolditalic"/>
          <w:b/>
          <w:bCs/>
          <w:lang w:val="en-GB"/>
        </w:rPr>
        <w:t>bis</w:t>
      </w:r>
      <w:r w:rsidR="00805B55" w:rsidRPr="00380B40">
        <w:rPr>
          <w:bCs/>
          <w:lang w:val="en-GB" w:eastAsia="ja-JP"/>
        </w:rPr>
        <w:t>.</w:t>
      </w:r>
      <w:r w:rsidR="00AC491A" w:rsidRPr="00380B40">
        <w:rPr>
          <w:lang w:val="en-GB"/>
        </w:rPr>
        <w:t>5.3</w:t>
      </w:r>
      <w:r w:rsidR="00AC491A" w:rsidRPr="00380B40">
        <w:rPr>
          <w:lang w:val="en-GB"/>
        </w:rPr>
        <w:tab/>
        <w:t>Deletion</w:t>
      </w:r>
    </w:p>
    <w:p w14:paraId="50AD4285" w14:textId="77777777" w:rsidR="00AC491A" w:rsidRPr="00380B40" w:rsidRDefault="00AC491A" w:rsidP="00AC491A">
      <w:pPr>
        <w:tabs>
          <w:tab w:val="clear" w:pos="794"/>
          <w:tab w:val="clear" w:pos="1191"/>
          <w:tab w:val="clear" w:pos="1588"/>
          <w:tab w:val="clear" w:pos="1985"/>
          <w:tab w:val="left" w:pos="1134"/>
          <w:tab w:val="left" w:pos="1871"/>
          <w:tab w:val="left" w:pos="2268"/>
        </w:tabs>
        <w:rPr>
          <w:lang w:val="en-GB"/>
        </w:rPr>
      </w:pPr>
      <w:r w:rsidRPr="00380B40">
        <w:rPr>
          <w:lang w:val="en-GB"/>
        </w:rPr>
        <w:t>The procedure for deleting Recommendations is set out in 9.8 of this resolution.</w:t>
      </w:r>
    </w:p>
    <w:p w14:paraId="21DDCD06" w14:textId="77777777" w:rsidR="00AC491A" w:rsidRPr="00380B40" w:rsidRDefault="00E90DD4" w:rsidP="00AC491A">
      <w:pPr>
        <w:pStyle w:val="Headingb"/>
        <w:rPr>
          <w:lang w:val="fr-CH"/>
        </w:rPr>
      </w:pPr>
      <w:r w:rsidRPr="00380B40">
        <w:rPr>
          <w:bCs/>
          <w:lang w:val="fr-CH" w:eastAsia="ja-JP"/>
        </w:rPr>
        <w:t>1</w:t>
      </w:r>
      <w:r w:rsidRPr="004E4CA9">
        <w:rPr>
          <w:rStyle w:val="Bolditalic"/>
          <w:b/>
          <w:bCs/>
          <w:lang w:val="fr-CH"/>
        </w:rPr>
        <w:t>bis</w:t>
      </w:r>
      <w:r w:rsidR="00805B55" w:rsidRPr="00380B40">
        <w:rPr>
          <w:bCs/>
          <w:lang w:val="fr-CH" w:eastAsia="ja-JP"/>
        </w:rPr>
        <w:t>.</w:t>
      </w:r>
      <w:r w:rsidR="00AC491A" w:rsidRPr="00380B40">
        <w:rPr>
          <w:lang w:val="fr-CH"/>
        </w:rPr>
        <w:t>6</w:t>
      </w:r>
      <w:r w:rsidR="00AC491A" w:rsidRPr="00380B40">
        <w:rPr>
          <w:lang w:val="fr-CH"/>
        </w:rPr>
        <w:tab/>
        <w:t>Non-normative documents</w:t>
      </w:r>
    </w:p>
    <w:p w14:paraId="550F1773" w14:textId="77777777" w:rsidR="00AC491A" w:rsidRPr="00380B40" w:rsidRDefault="00AC491A" w:rsidP="00AC491A">
      <w:pPr>
        <w:tabs>
          <w:tab w:val="clear" w:pos="794"/>
          <w:tab w:val="clear" w:pos="1191"/>
          <w:tab w:val="clear" w:pos="1588"/>
          <w:tab w:val="clear" w:pos="1985"/>
          <w:tab w:val="left" w:pos="1134"/>
          <w:tab w:val="left" w:pos="1871"/>
          <w:tab w:val="left" w:pos="2268"/>
        </w:tabs>
        <w:rPr>
          <w:lang w:val="fr-CH"/>
        </w:rPr>
      </w:pPr>
      <w:r w:rsidRPr="00380B40">
        <w:rPr>
          <w:lang w:val="fr-CH"/>
        </w:rPr>
        <w:t>Non-normative documents are defined in Recommendation ITU-T A.13.</w:t>
      </w:r>
    </w:p>
    <w:p w14:paraId="3F03806D" w14:textId="77777777" w:rsidR="00AC491A" w:rsidRPr="00380B40" w:rsidRDefault="00AC491A" w:rsidP="00AC491A">
      <w:pPr>
        <w:pStyle w:val="SectionNo"/>
        <w:rPr>
          <w:lang w:val="en-GB"/>
        </w:rPr>
      </w:pPr>
      <w:bookmarkStart w:id="26" w:name="_Toc111636702"/>
      <w:r w:rsidRPr="00380B40">
        <w:rPr>
          <w:lang w:val="en-GB"/>
        </w:rPr>
        <w:t>SECTION 2</w:t>
      </w:r>
      <w:bookmarkEnd w:id="26"/>
    </w:p>
    <w:p w14:paraId="0462B3C9" w14:textId="77777777" w:rsidR="00AC491A" w:rsidRPr="00380B40" w:rsidRDefault="00AC491A" w:rsidP="00202A50">
      <w:pPr>
        <w:pStyle w:val="Sectiontitle"/>
      </w:pPr>
      <w:bookmarkStart w:id="27" w:name="_Toc111636703"/>
      <w:r w:rsidRPr="00380B40">
        <w:t>Study groups and their relevant groups</w:t>
      </w:r>
      <w:bookmarkEnd w:id="27"/>
    </w:p>
    <w:p w14:paraId="5997E5DB" w14:textId="77777777" w:rsidR="00AC491A" w:rsidRPr="00380B40" w:rsidRDefault="00AC491A" w:rsidP="00AC491A">
      <w:pPr>
        <w:pStyle w:val="Heading2"/>
        <w:rPr>
          <w:lang w:val="en-GB"/>
        </w:rPr>
      </w:pPr>
      <w:bookmarkStart w:id="28" w:name="_Toc111636704"/>
      <w:r w:rsidRPr="00380B40">
        <w:rPr>
          <w:lang w:val="en-GB"/>
        </w:rPr>
        <w:t>2.1</w:t>
      </w:r>
      <w:r w:rsidRPr="00380B40">
        <w:rPr>
          <w:lang w:val="en-GB"/>
        </w:rPr>
        <w:tab/>
        <w:t>Classification of study groups and their relevant groups</w:t>
      </w:r>
      <w:bookmarkEnd w:id="28"/>
    </w:p>
    <w:p w14:paraId="3359F979" w14:textId="77777777" w:rsidR="00AC491A" w:rsidRPr="00380B40" w:rsidRDefault="00AC491A" w:rsidP="00AC491A">
      <w:pPr>
        <w:rPr>
          <w:lang w:val="en-GB"/>
        </w:rPr>
      </w:pPr>
      <w:r w:rsidRPr="00380B40">
        <w:rPr>
          <w:b/>
          <w:bCs/>
          <w:lang w:val="en-GB"/>
        </w:rPr>
        <w:t>2.1.1</w:t>
      </w:r>
      <w:r w:rsidRPr="00380B40">
        <w:rPr>
          <w:lang w:val="en-GB"/>
        </w:rPr>
        <w:tab/>
        <w:t>In accordance with Article 14 of the ITU Convention, WTSA establishes study groups in order for each of them:</w:t>
      </w:r>
    </w:p>
    <w:p w14:paraId="1DC4548D" w14:textId="77777777" w:rsidR="00AC491A" w:rsidRPr="00380B40" w:rsidRDefault="00AC491A" w:rsidP="00AC491A">
      <w:pPr>
        <w:pStyle w:val="enumlev1"/>
        <w:rPr>
          <w:lang w:val="en-GB"/>
        </w:rPr>
      </w:pPr>
      <w:r w:rsidRPr="00380B40">
        <w:rPr>
          <w:iCs/>
          <w:lang w:val="en-GB"/>
        </w:rPr>
        <w:t>a)</w:t>
      </w:r>
      <w:r w:rsidRPr="00380B40">
        <w:rPr>
          <w:lang w:val="en-GB"/>
        </w:rPr>
        <w:tab/>
        <w:t>to pursue the goals laid down in a set of Questions related to a particular area of study in a task-oriented fashion;</w:t>
      </w:r>
    </w:p>
    <w:p w14:paraId="0FEC648A" w14:textId="77777777" w:rsidR="00AC491A" w:rsidRPr="00380B40" w:rsidRDefault="00AC491A" w:rsidP="00AC491A">
      <w:pPr>
        <w:pStyle w:val="enumlev1"/>
        <w:rPr>
          <w:lang w:val="en-GB"/>
        </w:rPr>
      </w:pPr>
      <w:r w:rsidRPr="00380B40">
        <w:rPr>
          <w:lang w:val="en-GB"/>
        </w:rPr>
        <w:t>b)</w:t>
      </w:r>
      <w:r w:rsidRPr="00380B40">
        <w:rPr>
          <w:lang w:val="en-GB"/>
        </w:rPr>
        <w:tab/>
        <w:t>to prepare draft Recommendations within its general area of responsibility (as defined by WTSA), in collaboration with its relevant groups as appropriate, in order to be adopted and/or approved;</w:t>
      </w:r>
    </w:p>
    <w:p w14:paraId="7AD9C843" w14:textId="77777777" w:rsidR="00AC491A" w:rsidRPr="00380B40" w:rsidRDefault="00AC491A" w:rsidP="00AC491A">
      <w:pPr>
        <w:pStyle w:val="enumlev1"/>
        <w:rPr>
          <w:lang w:val="en-GB"/>
        </w:rPr>
      </w:pPr>
      <w:r w:rsidRPr="00380B40">
        <w:rPr>
          <w:lang w:val="en-GB"/>
        </w:rPr>
        <w:t>c)</w:t>
      </w:r>
      <w:r w:rsidRPr="00380B40">
        <w:rPr>
          <w:lang w:val="en-GB"/>
        </w:rPr>
        <w:tab/>
        <w:t>to prepare draft non-normative documents, which are defined in Recommendation ITU-T A.13, within its general area of responsibility (as defined by WTSA), in collaboration with its relevant groups, as appropriate, in order to be agreed;</w:t>
      </w:r>
    </w:p>
    <w:p w14:paraId="0FE4B325" w14:textId="77777777" w:rsidR="00AC491A" w:rsidRPr="00380B40" w:rsidRDefault="00AC491A" w:rsidP="00AC491A">
      <w:pPr>
        <w:pStyle w:val="enumlev1"/>
        <w:rPr>
          <w:lang w:val="en-GB"/>
        </w:rPr>
      </w:pPr>
      <w:r w:rsidRPr="00380B40">
        <w:rPr>
          <w:lang w:val="en-GB"/>
        </w:rPr>
        <w:t>d)</w:t>
      </w:r>
      <w:r w:rsidRPr="00380B40">
        <w:rPr>
          <w:lang w:val="en-GB"/>
        </w:rPr>
        <w:tab/>
        <w:t>to review and, as necessary, to recommend amendment or deletion of existing Recommendations and definitions within its general area of responsibility (as defined by WTSA), in collaboration with its relevant groups, as appropriate;</w:t>
      </w:r>
    </w:p>
    <w:p w14:paraId="53B94F35" w14:textId="77777777" w:rsidR="00AC491A" w:rsidRPr="00380B40" w:rsidRDefault="00AC491A" w:rsidP="00AC491A">
      <w:pPr>
        <w:pStyle w:val="enumlev1"/>
        <w:rPr>
          <w:lang w:val="en-GB"/>
        </w:rPr>
      </w:pPr>
      <w:r w:rsidRPr="00380B40">
        <w:rPr>
          <w:lang w:val="en-GB"/>
        </w:rPr>
        <w:t>e)</w:t>
      </w:r>
      <w:r w:rsidRPr="00380B40">
        <w:rPr>
          <w:lang w:val="en-GB"/>
        </w:rPr>
        <w:tab/>
        <w:t>to review and, as necessary, to recommend amendment of existing opinions within its general area of responsibility (as defined by WTSA), in collaboration with its relevant groups, as appropriate.</w:t>
      </w:r>
    </w:p>
    <w:p w14:paraId="07208A03" w14:textId="77777777" w:rsidR="00AC491A" w:rsidRPr="00380B40" w:rsidRDefault="00AC491A" w:rsidP="00AC491A">
      <w:pPr>
        <w:rPr>
          <w:lang w:val="en-GB"/>
        </w:rPr>
      </w:pPr>
      <w:r w:rsidRPr="00380B40">
        <w:rPr>
          <w:b/>
          <w:bCs/>
          <w:lang w:val="en-GB"/>
        </w:rPr>
        <w:t>2.1.2</w:t>
      </w:r>
      <w:r w:rsidRPr="00380B40">
        <w:rPr>
          <w:lang w:val="en-GB"/>
        </w:rPr>
        <w:tab/>
        <w:t>To facilitate their work, study groups may set up working parties, joint working parties and rapporteur groups to deal with the tasks assigned to them (see Recommendation ITU</w:t>
      </w:r>
      <w:r w:rsidRPr="00380B40">
        <w:rPr>
          <w:lang w:val="en-GB"/>
        </w:rPr>
        <w:noBreakHyphen/>
        <w:t>T A.1).</w:t>
      </w:r>
    </w:p>
    <w:p w14:paraId="065B3BD5" w14:textId="77777777" w:rsidR="00F32E9A" w:rsidRPr="00380B40" w:rsidRDefault="00F32E9A" w:rsidP="00AC491A">
      <w:pPr>
        <w:rPr>
          <w:b/>
          <w:bCs/>
          <w:lang w:val="en-GB"/>
        </w:rPr>
      </w:pPr>
      <w:r w:rsidRPr="00380B40">
        <w:rPr>
          <w:b/>
          <w:bCs/>
          <w:lang w:val="en-GB"/>
        </w:rPr>
        <w:br w:type="page"/>
      </w:r>
    </w:p>
    <w:p w14:paraId="75130A55" w14:textId="77777777" w:rsidR="00AC491A" w:rsidRPr="00380B40" w:rsidRDefault="00AC491A" w:rsidP="00AC491A">
      <w:pPr>
        <w:rPr>
          <w:lang w:val="en-GB"/>
        </w:rPr>
      </w:pPr>
      <w:r w:rsidRPr="00380B40">
        <w:rPr>
          <w:b/>
          <w:bCs/>
          <w:lang w:val="en-GB"/>
        </w:rPr>
        <w:t>2.1.3</w:t>
      </w:r>
      <w:r w:rsidRPr="00380B40">
        <w:rPr>
          <w:lang w:val="en-GB"/>
        </w:rPr>
        <w:tab/>
        <w:t>A joint working party shall submit draft Recommendations to its lead study group.</w:t>
      </w:r>
    </w:p>
    <w:p w14:paraId="7680424E" w14:textId="77777777" w:rsidR="00AC491A" w:rsidRPr="00380B40" w:rsidRDefault="00AC491A" w:rsidP="00AC491A">
      <w:pPr>
        <w:rPr>
          <w:lang w:val="en-GB"/>
        </w:rPr>
      </w:pPr>
      <w:r w:rsidRPr="00380B40">
        <w:rPr>
          <w:b/>
          <w:bCs/>
          <w:lang w:val="en-GB"/>
        </w:rPr>
        <w:t>2.1.4</w:t>
      </w:r>
      <w:r w:rsidRPr="00380B40">
        <w:rPr>
          <w:lang w:val="en-GB"/>
        </w:rPr>
        <w:tab/>
        <w:t xml:space="preserve">The establishment of regional groups of ITU-T study groups shall be in accordance with WTSA Resolution 54 (Rev. Geneva, 2022), on regional groups of ITU-T study groups. </w:t>
      </w:r>
    </w:p>
    <w:p w14:paraId="317CAC0A" w14:textId="77777777" w:rsidR="00AC491A" w:rsidRPr="00380B40" w:rsidRDefault="00AC491A" w:rsidP="00AC491A">
      <w:pPr>
        <w:rPr>
          <w:lang w:val="en-GB"/>
        </w:rPr>
      </w:pPr>
      <w:r w:rsidRPr="00380B40">
        <w:rPr>
          <w:b/>
          <w:bCs/>
          <w:lang w:val="en-GB"/>
        </w:rPr>
        <w:t>2.1.5</w:t>
      </w:r>
      <w:r w:rsidRPr="00380B40">
        <w:rPr>
          <w:lang w:val="en-GB"/>
        </w:rPr>
        <w:tab/>
        <w:t>A study group may be designated by WTSA or TSAG as the lead study group for ITU</w:t>
      </w:r>
      <w:r w:rsidRPr="00380B40">
        <w:rPr>
          <w:lang w:val="en-GB"/>
        </w:rPr>
        <w:noBreakHyphen/>
        <w:t>T studies forming a defined programme of work involving a number of study groups. This lead study group is responsible for the study of the appropriate core Questions. In addition, in consultation with the relevant study groups and, where appropriate, giving due consideration to the work of national, regional and other international standardization organizations (No. 196 of the Convention), the lead study group has the responsibility to define and maintain the overall framework and to coordinate, assign (in consultation with, and recognizing the mandates of, the relevant study groups) and prioritize the studies to be carried out by the study groups, and to ensure the preparation of consistent, complete and timely Recommendations. The lead study group shall inform TSAG on the progress of the work as defined in the scope of the lead study group activity. Issues which cannot be resolved by the study group should be raised for TSAG to offer advice and proposals for the direction of the work.</w:t>
      </w:r>
    </w:p>
    <w:p w14:paraId="16E0BF4C" w14:textId="77777777" w:rsidR="00AC491A" w:rsidRPr="00380B40" w:rsidRDefault="00AC491A" w:rsidP="00AC491A">
      <w:pPr>
        <w:pStyle w:val="Heading2"/>
        <w:rPr>
          <w:lang w:val="en-GB"/>
        </w:rPr>
      </w:pPr>
      <w:bookmarkStart w:id="29" w:name="_Toc111636705"/>
      <w:r w:rsidRPr="00380B40">
        <w:rPr>
          <w:lang w:val="en-GB"/>
        </w:rPr>
        <w:t>2.2</w:t>
      </w:r>
      <w:r w:rsidRPr="00380B40">
        <w:rPr>
          <w:lang w:val="en-GB"/>
        </w:rPr>
        <w:tab/>
        <w:t>Meetings outside Geneva</w:t>
      </w:r>
      <w:bookmarkEnd w:id="29"/>
    </w:p>
    <w:p w14:paraId="47177AE9" w14:textId="77777777" w:rsidR="00AC491A" w:rsidRPr="00380B40" w:rsidRDefault="00AC491A" w:rsidP="00AC491A">
      <w:pPr>
        <w:rPr>
          <w:lang w:val="en-GB"/>
        </w:rPr>
      </w:pPr>
      <w:r w:rsidRPr="00380B40">
        <w:rPr>
          <w:b/>
          <w:bCs/>
          <w:lang w:val="en-GB"/>
        </w:rPr>
        <w:t>2.2.1</w:t>
      </w:r>
      <w:r w:rsidRPr="00380B40">
        <w:rPr>
          <w:lang w:val="en-GB"/>
        </w:rPr>
        <w:tab/>
        <w:t>Study groups or working parties may meet outside Geneva if invited to do so by Member States, ITU</w:t>
      </w:r>
      <w:r w:rsidRPr="00380B40">
        <w:rPr>
          <w:lang w:val="en-GB"/>
        </w:rPr>
        <w:noBreakHyphen/>
        <w:t>T Sector Members or entities authorized in this respect by a Member State of the Union, and if the holding of a meeting outside Geneva is desirable (e.g. in association with symposia or seminars). Such invitations shall be considered only if they are submitted to a WTSA or to an ITU</w:t>
      </w:r>
      <w:r w:rsidRPr="00380B40">
        <w:rPr>
          <w:lang w:val="en-GB"/>
        </w:rPr>
        <w:noBreakHyphen/>
        <w:t>T study group meeting and they shall be finally planned and organized after consultation with the Director of TSB and if they are within the credits allocated to ITU</w:t>
      </w:r>
      <w:r w:rsidRPr="00380B40">
        <w:rPr>
          <w:lang w:val="en-GB"/>
        </w:rPr>
        <w:noBreakHyphen/>
        <w:t>T by the ITU Council.</w:t>
      </w:r>
    </w:p>
    <w:p w14:paraId="6AD30E3D" w14:textId="77777777" w:rsidR="00AC491A" w:rsidRPr="00380B40" w:rsidRDefault="00AC491A" w:rsidP="00AC491A">
      <w:pPr>
        <w:rPr>
          <w:lang w:val="en-GB"/>
        </w:rPr>
      </w:pPr>
      <w:r w:rsidRPr="00380B40">
        <w:rPr>
          <w:b/>
          <w:bCs/>
          <w:lang w:val="en-GB"/>
        </w:rPr>
        <w:t>2.2.2</w:t>
      </w:r>
      <w:r w:rsidRPr="00380B40">
        <w:rPr>
          <w:lang w:val="en-GB"/>
        </w:rPr>
        <w:tab/>
        <w:t>For meetings held outside Geneva, the provisions of Resolution 5 (Kyoto, 1994) of the Plenipotentiary Conference as well as of Council Decision 304 shall apply. Invitations to hold meetings of the study groups or their working parties away from Geneva shall be accompanied by a statement indicating the host's agreement to defray the additional expenditure involved and a commitment to provide at least adequate premises and the necessary furniture and equipment free of charge, except that in the case of developing countries</w:t>
      </w:r>
      <w:r w:rsidR="00FD162E" w:rsidRPr="00380B40">
        <w:rPr>
          <w:rStyle w:val="FootnoteReference"/>
          <w:lang w:val="en-GB"/>
        </w:rPr>
        <w:footnoteReference w:id="4"/>
      </w:r>
      <w:r w:rsidRPr="00380B40">
        <w:rPr>
          <w:lang w:val="en-GB"/>
        </w:rPr>
        <w:t xml:space="preserve"> equipment need not necessarily be provided free of charge if the government of the host so requests.</w:t>
      </w:r>
    </w:p>
    <w:p w14:paraId="3DD632F2" w14:textId="77777777" w:rsidR="00AC491A" w:rsidRPr="00380B40" w:rsidRDefault="00AC491A" w:rsidP="00AC491A">
      <w:pPr>
        <w:rPr>
          <w:lang w:val="en-GB"/>
        </w:rPr>
      </w:pPr>
      <w:r w:rsidRPr="00380B40">
        <w:rPr>
          <w:b/>
          <w:bCs/>
          <w:lang w:val="en-GB"/>
        </w:rPr>
        <w:t>2.2.3</w:t>
      </w:r>
      <w:r w:rsidRPr="00380B40">
        <w:rPr>
          <w:lang w:val="en-GB"/>
        </w:rPr>
        <w:tab/>
        <w:t>Should an invitation be cancelled for any reason, it shall be proposed to Member States or to other duly authorized entities that the meeting be convened in Geneva, in principle on the dates originally planned.</w:t>
      </w:r>
    </w:p>
    <w:p w14:paraId="5D6D4042" w14:textId="77777777" w:rsidR="009269CA" w:rsidRPr="00380B40" w:rsidRDefault="009269CA" w:rsidP="009269CA">
      <w:pPr>
        <w:rPr>
          <w:lang w:val="en-GB"/>
        </w:rPr>
      </w:pPr>
      <w:r w:rsidRPr="00380B40">
        <w:rPr>
          <w:lang w:val="en-GB"/>
        </w:rPr>
        <w:br w:type="page"/>
      </w:r>
    </w:p>
    <w:p w14:paraId="434715B8" w14:textId="77777777" w:rsidR="00AC491A" w:rsidRPr="00380B40" w:rsidRDefault="00AC491A" w:rsidP="00AC491A">
      <w:pPr>
        <w:pStyle w:val="Heading2"/>
        <w:rPr>
          <w:lang w:val="en-GB"/>
        </w:rPr>
      </w:pPr>
      <w:bookmarkStart w:id="30" w:name="_Toc111636706"/>
      <w:r w:rsidRPr="00380B40">
        <w:rPr>
          <w:lang w:val="en-GB"/>
        </w:rPr>
        <w:t>2.3</w:t>
      </w:r>
      <w:r w:rsidRPr="00380B40">
        <w:rPr>
          <w:lang w:val="en-GB"/>
        </w:rPr>
        <w:tab/>
        <w:t>Participation in meetings</w:t>
      </w:r>
      <w:bookmarkEnd w:id="30"/>
    </w:p>
    <w:p w14:paraId="19190358" w14:textId="77777777" w:rsidR="00AC491A" w:rsidRPr="00380B40" w:rsidRDefault="00AC491A" w:rsidP="00AC491A">
      <w:pPr>
        <w:rPr>
          <w:b/>
          <w:bCs/>
          <w:lang w:val="en-GB"/>
        </w:rPr>
      </w:pPr>
      <w:r w:rsidRPr="00380B40">
        <w:rPr>
          <w:b/>
          <w:bCs/>
          <w:lang w:val="en-GB"/>
        </w:rPr>
        <w:t>2.3.1</w:t>
      </w:r>
      <w:r w:rsidRPr="00380B40">
        <w:rPr>
          <w:lang w:val="en-GB"/>
        </w:rPr>
        <w:tab/>
        <w:t>Member States and other duly authorized entities pursuant to Article 19 of the Convention shall be represented in the study groups and their relevant groups, such as working parties and rapporteur groups, in whose work they wish to take part, by participants registered by name and chosen by them as qualified to investigate satisfactory solutions to the Questions under study. Exceptionally, however, registration by Member States and other duly authorized entities with a study group or its relevant group may be made without specifying the name of the participants concerned. Chairmen of meetings may invite individual experts as appropriate. Experts may present reports and submissions for information at the request of the chairmen of meetings; they may also participate in relevant discussions without taking part in the decision-making process or liaison activity of that meeting.</w:t>
      </w:r>
    </w:p>
    <w:p w14:paraId="6FA21617" w14:textId="77777777" w:rsidR="00AC491A" w:rsidRPr="00380B40" w:rsidRDefault="00AC491A" w:rsidP="00AC491A">
      <w:pPr>
        <w:rPr>
          <w:lang w:val="en-GB"/>
        </w:rPr>
      </w:pPr>
      <w:r w:rsidRPr="00380B40">
        <w:rPr>
          <w:b/>
          <w:bCs/>
          <w:lang w:val="en-GB"/>
        </w:rPr>
        <w:t>2.3.2</w:t>
      </w:r>
      <w:r w:rsidRPr="00380B40">
        <w:rPr>
          <w:lang w:val="en-GB"/>
        </w:rPr>
        <w:tab/>
        <w:t xml:space="preserve">Participation at the meetings of regional groups of ITU-T study groups shall be in accordance with WTSA Resolution 54 </w:t>
      </w:r>
      <w:bookmarkStart w:id="31" w:name="_Hlk98422867"/>
      <w:r w:rsidRPr="00380B40">
        <w:rPr>
          <w:lang w:val="en-GB"/>
        </w:rPr>
        <w:t>(Rev. Geneva, 2022)</w:t>
      </w:r>
      <w:bookmarkEnd w:id="31"/>
      <w:r w:rsidRPr="00380B40">
        <w:rPr>
          <w:lang w:val="en-GB"/>
        </w:rPr>
        <w:t xml:space="preserve">, on regional groups of ITU-T study groups. </w:t>
      </w:r>
    </w:p>
    <w:p w14:paraId="3836695E" w14:textId="77777777" w:rsidR="00AC491A" w:rsidRPr="00380B40" w:rsidRDefault="00AC491A" w:rsidP="00AC491A">
      <w:pPr>
        <w:rPr>
          <w:lang w:val="en-GB"/>
        </w:rPr>
      </w:pPr>
      <w:r w:rsidRPr="00380B40">
        <w:rPr>
          <w:b/>
          <w:bCs/>
          <w:lang w:val="en-GB"/>
        </w:rPr>
        <w:t>2.3.3</w:t>
      </w:r>
      <w:r w:rsidRPr="00380B40">
        <w:rPr>
          <w:lang w:val="en-GB"/>
        </w:rPr>
        <w:tab/>
        <w:t>Study group meetings should normally not be held in parallel with the meetings of TSAG, especially if the meetings of the study groups or the meetings of TSAG are held outside ITU headquarters.</w:t>
      </w:r>
    </w:p>
    <w:p w14:paraId="1A74FC1D" w14:textId="77777777" w:rsidR="00AC491A" w:rsidRPr="00380B40" w:rsidRDefault="00AC491A" w:rsidP="00AC491A">
      <w:pPr>
        <w:rPr>
          <w:lang w:val="en-GB"/>
        </w:rPr>
      </w:pPr>
      <w:r w:rsidRPr="00380B40">
        <w:rPr>
          <w:b/>
          <w:bCs/>
          <w:lang w:val="en-GB"/>
        </w:rPr>
        <w:t>2.3.4</w:t>
      </w:r>
      <w:r w:rsidRPr="00380B40">
        <w:rPr>
          <w:lang w:val="en-GB"/>
        </w:rPr>
        <w:tab/>
        <w:t>As far as practical, every effort should be made so that the schedule of study group meetings does not coincide with any major religious, national or regional holiday periods.</w:t>
      </w:r>
    </w:p>
    <w:p w14:paraId="14F8AA85" w14:textId="77777777" w:rsidR="00AC491A" w:rsidRPr="00380B40" w:rsidRDefault="00AC491A" w:rsidP="00AC491A">
      <w:pPr>
        <w:pStyle w:val="Heading2"/>
        <w:rPr>
          <w:lang w:val="en-GB"/>
        </w:rPr>
      </w:pPr>
      <w:bookmarkStart w:id="32" w:name="_Toc111636707"/>
      <w:r w:rsidRPr="00380B40">
        <w:rPr>
          <w:lang w:val="en-GB"/>
        </w:rPr>
        <w:t>2.4</w:t>
      </w:r>
      <w:r w:rsidRPr="00380B40">
        <w:rPr>
          <w:lang w:val="en-GB"/>
        </w:rPr>
        <w:tab/>
        <w:t>Reports of study groups to WTSA</w:t>
      </w:r>
      <w:bookmarkEnd w:id="32"/>
    </w:p>
    <w:p w14:paraId="22B27CD2" w14:textId="77777777" w:rsidR="00AC491A" w:rsidRPr="00380B40" w:rsidRDefault="00AC491A" w:rsidP="00AC491A">
      <w:pPr>
        <w:rPr>
          <w:lang w:val="en-GB"/>
        </w:rPr>
      </w:pPr>
      <w:r w:rsidRPr="00380B40">
        <w:rPr>
          <w:b/>
          <w:bCs/>
          <w:lang w:val="en-GB"/>
        </w:rPr>
        <w:t>2.4.1</w:t>
      </w:r>
      <w:r w:rsidRPr="00380B40">
        <w:rPr>
          <w:lang w:val="en-GB"/>
        </w:rPr>
        <w:tab/>
        <w:t>All study groups shall meet sufficiently in advance of WTSA for the report of each study group to WTSA to reach administrations of Member States and Sector Members no later than 35 calendar days before the opening of WTSA.</w:t>
      </w:r>
    </w:p>
    <w:p w14:paraId="346B4939" w14:textId="77777777" w:rsidR="00AC491A" w:rsidRPr="00380B40" w:rsidRDefault="00AC491A" w:rsidP="00AC491A">
      <w:pPr>
        <w:rPr>
          <w:lang w:val="en-GB"/>
        </w:rPr>
      </w:pPr>
      <w:r w:rsidRPr="00380B40">
        <w:rPr>
          <w:b/>
          <w:bCs/>
          <w:lang w:val="en-GB"/>
        </w:rPr>
        <w:t>2.4.2</w:t>
      </w:r>
      <w:r w:rsidRPr="00380B40">
        <w:rPr>
          <w:lang w:val="en-GB"/>
        </w:rPr>
        <w:tab/>
        <w:t>The report of each study group to WTSA should be developed by the study group chairman, in consultation with the study group, and shall include:</w:t>
      </w:r>
    </w:p>
    <w:p w14:paraId="12E4EDBF" w14:textId="77777777" w:rsidR="00AC491A" w:rsidRPr="00380B40" w:rsidRDefault="00AC491A" w:rsidP="00AC491A">
      <w:pPr>
        <w:pStyle w:val="enumlev1"/>
        <w:rPr>
          <w:lang w:val="en-GB"/>
        </w:rPr>
      </w:pPr>
      <w:r w:rsidRPr="00380B40">
        <w:rPr>
          <w:lang w:val="en-GB"/>
        </w:rPr>
        <w:t>a)</w:t>
      </w:r>
      <w:r w:rsidRPr="00380B40">
        <w:rPr>
          <w:lang w:val="en-GB"/>
        </w:rPr>
        <w:tab/>
        <w:t>a short but comprehensive summary of the results achieved in the study period, and observations concerning future work;</w:t>
      </w:r>
    </w:p>
    <w:p w14:paraId="73816A49" w14:textId="77777777" w:rsidR="00AC491A" w:rsidRPr="00380B40" w:rsidRDefault="00AC491A" w:rsidP="00AC491A">
      <w:pPr>
        <w:pStyle w:val="enumlev1"/>
        <w:rPr>
          <w:lang w:val="en-GB"/>
        </w:rPr>
      </w:pPr>
      <w:r w:rsidRPr="00380B40">
        <w:rPr>
          <w:lang w:val="en-GB"/>
        </w:rPr>
        <w:t>b)</w:t>
      </w:r>
      <w:r w:rsidRPr="00380B40">
        <w:rPr>
          <w:lang w:val="en-GB"/>
        </w:rPr>
        <w:tab/>
        <w:t>reference to all Recommendations (new or revised) that have been approved by the Member States during the study period, with a statistical analysis of activities per study group Question;</w:t>
      </w:r>
    </w:p>
    <w:p w14:paraId="46D771AC" w14:textId="77777777" w:rsidR="00AC491A" w:rsidRPr="00380B40" w:rsidRDefault="00AC491A" w:rsidP="00AC491A">
      <w:pPr>
        <w:pStyle w:val="enumlev1"/>
        <w:rPr>
          <w:lang w:val="en-GB"/>
        </w:rPr>
      </w:pPr>
      <w:r w:rsidRPr="00380B40">
        <w:rPr>
          <w:lang w:val="en-GB"/>
        </w:rPr>
        <w:t>c)</w:t>
      </w:r>
      <w:r w:rsidRPr="00380B40">
        <w:rPr>
          <w:lang w:val="en-GB"/>
        </w:rPr>
        <w:tab/>
        <w:t>reference to all Recommendations deleted during the study period;</w:t>
      </w:r>
    </w:p>
    <w:p w14:paraId="5230B6C3" w14:textId="77777777" w:rsidR="00AC491A" w:rsidRPr="00380B40" w:rsidRDefault="00AC491A" w:rsidP="00AC491A">
      <w:pPr>
        <w:pStyle w:val="enumlev1"/>
        <w:rPr>
          <w:lang w:val="en-GB"/>
        </w:rPr>
      </w:pPr>
      <w:r w:rsidRPr="00380B40">
        <w:rPr>
          <w:lang w:val="en-GB"/>
        </w:rPr>
        <w:t>d)</w:t>
      </w:r>
      <w:r w:rsidRPr="00380B40">
        <w:rPr>
          <w:lang w:val="en-GB"/>
        </w:rPr>
        <w:tab/>
        <w:t>reference to the final text of all draft Recommendations (new or revised) that are forwarded for consideration by WTSA;</w:t>
      </w:r>
    </w:p>
    <w:p w14:paraId="31E04A88" w14:textId="77777777" w:rsidR="00AC491A" w:rsidRPr="00380B40" w:rsidRDefault="00AC491A" w:rsidP="00AC491A">
      <w:pPr>
        <w:pStyle w:val="enumlev1"/>
        <w:rPr>
          <w:lang w:val="en-GB"/>
        </w:rPr>
      </w:pPr>
      <w:r w:rsidRPr="00380B40">
        <w:rPr>
          <w:lang w:val="en-GB"/>
        </w:rPr>
        <w:t>e)</w:t>
      </w:r>
      <w:r w:rsidRPr="00380B40">
        <w:rPr>
          <w:lang w:val="en-GB"/>
        </w:rPr>
        <w:tab/>
        <w:t xml:space="preserve">the list of new or revised Questions proposed for study; </w:t>
      </w:r>
    </w:p>
    <w:p w14:paraId="04980845" w14:textId="77777777" w:rsidR="00AC491A" w:rsidRPr="00380B40" w:rsidRDefault="00AC491A" w:rsidP="00AC491A">
      <w:pPr>
        <w:pStyle w:val="enumlev1"/>
        <w:rPr>
          <w:lang w:val="en-GB"/>
        </w:rPr>
      </w:pPr>
      <w:r w:rsidRPr="00380B40">
        <w:rPr>
          <w:lang w:val="en-GB"/>
        </w:rPr>
        <w:t>f)</w:t>
      </w:r>
      <w:r w:rsidRPr="00380B40">
        <w:rPr>
          <w:lang w:val="en-GB"/>
        </w:rPr>
        <w:tab/>
        <w:t>review of joint coordination activities for which it is the lead study group;</w:t>
      </w:r>
    </w:p>
    <w:p w14:paraId="5781EFC5" w14:textId="77777777" w:rsidR="00AC491A" w:rsidRPr="00380B40" w:rsidRDefault="00AC491A" w:rsidP="00AC491A">
      <w:pPr>
        <w:pStyle w:val="enumlev1"/>
        <w:rPr>
          <w:lang w:val="en-GB"/>
        </w:rPr>
      </w:pPr>
      <w:r w:rsidRPr="00380B40">
        <w:rPr>
          <w:lang w:val="en-GB"/>
        </w:rPr>
        <w:t>g)</w:t>
      </w:r>
      <w:r w:rsidRPr="00380B40">
        <w:rPr>
          <w:lang w:val="en-GB"/>
        </w:rPr>
        <w:tab/>
        <w:t>a draft standardization action plan for the following study period.</w:t>
      </w:r>
    </w:p>
    <w:p w14:paraId="2ED834F4" w14:textId="77777777" w:rsidR="009269CA" w:rsidRPr="00380B40" w:rsidRDefault="009269CA" w:rsidP="00AC491A">
      <w:pPr>
        <w:pStyle w:val="enumlev1"/>
        <w:rPr>
          <w:lang w:val="en-GB"/>
        </w:rPr>
      </w:pPr>
      <w:r w:rsidRPr="00380B40">
        <w:rPr>
          <w:lang w:val="en-GB"/>
        </w:rPr>
        <w:br w:type="page"/>
      </w:r>
    </w:p>
    <w:p w14:paraId="37744D0F" w14:textId="77777777" w:rsidR="00AC491A" w:rsidRPr="00380B40" w:rsidRDefault="00AC491A" w:rsidP="00AC491A">
      <w:pPr>
        <w:pStyle w:val="SectionNo"/>
        <w:rPr>
          <w:lang w:val="en-GB"/>
        </w:rPr>
      </w:pPr>
      <w:bookmarkStart w:id="33" w:name="_Toc111636708"/>
      <w:r w:rsidRPr="00380B40">
        <w:rPr>
          <w:lang w:val="en-GB"/>
        </w:rPr>
        <w:t>SECTION 3</w:t>
      </w:r>
      <w:bookmarkEnd w:id="33"/>
    </w:p>
    <w:p w14:paraId="03BCF8D1" w14:textId="77777777" w:rsidR="00AC491A" w:rsidRPr="00380B40" w:rsidRDefault="00AC491A" w:rsidP="00202A50">
      <w:pPr>
        <w:pStyle w:val="Sectiontitle"/>
      </w:pPr>
      <w:bookmarkStart w:id="34" w:name="_Toc111636709"/>
      <w:r w:rsidRPr="00380B40">
        <w:t>Study group management</w:t>
      </w:r>
      <w:bookmarkEnd w:id="34"/>
    </w:p>
    <w:p w14:paraId="03A21E88" w14:textId="77777777" w:rsidR="00AC491A" w:rsidRPr="00380B40" w:rsidRDefault="00AC491A" w:rsidP="00AC491A">
      <w:pPr>
        <w:rPr>
          <w:b/>
          <w:bCs/>
          <w:lang w:val="en-GB"/>
        </w:rPr>
      </w:pPr>
      <w:r w:rsidRPr="00380B40">
        <w:rPr>
          <w:rFonts w:eastAsia="Arial Unicode MS"/>
          <w:b/>
          <w:bCs/>
          <w:lang w:val="en-GB"/>
        </w:rPr>
        <w:t>3.1</w:t>
      </w:r>
      <w:r w:rsidRPr="00380B40">
        <w:rPr>
          <w:lang w:val="en-GB"/>
        </w:rPr>
        <w:tab/>
        <w:t xml:space="preserve">Within the mandate set out in WTSA Resolution 2 (Rev. Geneva, 2022), study group chairmen shall be responsible for the establishment of an appropriate structure for the distribution and coordination of work, after consulting with study group vice-chairmen. The study group chairmen perform the duties required of them within their study groups or within joint coordination activities. </w:t>
      </w:r>
    </w:p>
    <w:p w14:paraId="7D79E826" w14:textId="77777777" w:rsidR="00AC1010" w:rsidRPr="00380B40" w:rsidRDefault="00AC491A" w:rsidP="00AC1010">
      <w:pPr>
        <w:rPr>
          <w:lang w:val="en-GB"/>
        </w:rPr>
      </w:pPr>
      <w:r w:rsidRPr="00380B40">
        <w:rPr>
          <w:b/>
          <w:bCs/>
          <w:lang w:val="en-GB"/>
        </w:rPr>
        <w:t>3.2</w:t>
      </w:r>
      <w:r w:rsidRPr="00380B40">
        <w:rPr>
          <w:lang w:val="en-GB"/>
        </w:rPr>
        <w:tab/>
        <w:t>Appointment of chairmen and vice</w:t>
      </w:r>
      <w:r w:rsidRPr="00380B40">
        <w:rPr>
          <w:lang w:val="en-GB"/>
        </w:rPr>
        <w:noBreakHyphen/>
        <w:t>chairmen shall be based upon the provisions of Resolution</w:t>
      </w:r>
      <w:r w:rsidR="00F91E67" w:rsidRPr="00380B40">
        <w:rPr>
          <w:lang w:val="en-GB"/>
        </w:rPr>
        <w:t> </w:t>
      </w:r>
      <w:r w:rsidRPr="00380B40">
        <w:rPr>
          <w:lang w:val="en-GB"/>
        </w:rPr>
        <w:t>208 (Dubai, 2018) of the Plenipotentiary Conference, on the appointment and maximum term of office for chairmen and vice-chairmen of Sector advisory groups, study groups and other groups.</w:t>
      </w:r>
    </w:p>
    <w:p w14:paraId="48CBE21B" w14:textId="77777777" w:rsidR="00AC491A" w:rsidRPr="00380B40" w:rsidRDefault="00AC491A" w:rsidP="00AC491A">
      <w:pPr>
        <w:rPr>
          <w:lang w:val="en-GB"/>
        </w:rPr>
      </w:pPr>
      <w:r w:rsidRPr="00380B40">
        <w:rPr>
          <w:b/>
          <w:bCs/>
          <w:lang w:val="en-GB"/>
        </w:rPr>
        <w:t>3.3</w:t>
      </w:r>
      <w:r w:rsidRPr="00380B40">
        <w:rPr>
          <w:lang w:val="en-GB"/>
        </w:rPr>
        <w:tab/>
        <w:t>The chairman of a study group should establish a management team, composed of all vice-chairmen, working party chairmen, etc., to assist in the organization of the work. The mandate of a vice</w:t>
      </w:r>
      <w:r w:rsidRPr="00380B40">
        <w:rPr>
          <w:lang w:val="en-GB"/>
        </w:rPr>
        <w:noBreakHyphen/>
        <w:t>chairman shall be to assist the chairman in matters relating to the management of the study group, including substitution for the chairman at official ITU</w:t>
      </w:r>
      <w:r w:rsidRPr="00380B40">
        <w:rPr>
          <w:lang w:val="en-GB"/>
        </w:rPr>
        <w:noBreakHyphen/>
        <w:t>T meetings or replacement of the chairman should he or she be unable to continue with study group duties. Each working party chairman provides technical and administrative leadership and should be recognized as having a role of equal importance to that of a study group vice</w:t>
      </w:r>
      <w:r w:rsidRPr="00380B40">
        <w:rPr>
          <w:lang w:val="en-GB"/>
        </w:rPr>
        <w:noBreakHyphen/>
        <w:t>chairman. Each vice</w:t>
      </w:r>
      <w:r w:rsidRPr="00380B40">
        <w:rPr>
          <w:lang w:val="en-GB"/>
        </w:rPr>
        <w:noBreakHyphen/>
        <w:t>chairman should be assigned specific functions based upon the study group's programme of work. The management team is encouraged to assist the chairman in the study group management role, for example in responsibilities for liaison activities, cooperation and collaboration with other standardization organizations, forums and consortia outside ITU, and promotion of the related study group activities.</w:t>
      </w:r>
    </w:p>
    <w:p w14:paraId="50ADF9A7" w14:textId="77777777" w:rsidR="00AC491A" w:rsidRPr="00380B40" w:rsidRDefault="00AC491A" w:rsidP="00AC491A">
      <w:pPr>
        <w:rPr>
          <w:lang w:val="en-GB"/>
        </w:rPr>
      </w:pPr>
      <w:r w:rsidRPr="00380B40">
        <w:rPr>
          <w:b/>
          <w:bCs/>
          <w:lang w:val="en-GB"/>
        </w:rPr>
        <w:t>3.4</w:t>
      </w:r>
      <w:r w:rsidRPr="00380B40">
        <w:rPr>
          <w:lang w:val="en-GB"/>
        </w:rPr>
        <w:tab/>
        <w:t>On the basis of 3.2 above, appointed vice</w:t>
      </w:r>
      <w:r w:rsidRPr="00380B40">
        <w:rPr>
          <w:lang w:val="en-GB"/>
        </w:rPr>
        <w:noBreakHyphen/>
        <w:t xml:space="preserve">chairmen should be considered first in the appointment of working party chairmen. However, that does not prevent other competent experts being appointed as working party chairmen. </w:t>
      </w:r>
    </w:p>
    <w:p w14:paraId="3D4F5F53" w14:textId="77777777" w:rsidR="00AC491A" w:rsidRPr="00380B40" w:rsidRDefault="00AC491A" w:rsidP="00AC491A">
      <w:pPr>
        <w:rPr>
          <w:lang w:val="en-GB"/>
        </w:rPr>
      </w:pPr>
      <w:r w:rsidRPr="00380B40">
        <w:rPr>
          <w:b/>
          <w:bCs/>
          <w:lang w:val="en-GB"/>
        </w:rPr>
        <w:t>3.5</w:t>
      </w:r>
      <w:r w:rsidRPr="00380B40">
        <w:rPr>
          <w:lang w:val="en-GB"/>
        </w:rPr>
        <w:tab/>
        <w:t>To the extent possible, in accordance with Resolution 208 (Dubai, 2018) of the Plenipotentiary Conference, and taking into account the need for demonstrated competence, appointment or selection to the management team should utilize the resources of as broad a range of Member States and Sector Members as possible, at the same time recognizing the need to appoint only the number of vice</w:t>
      </w:r>
      <w:r w:rsidRPr="00380B40">
        <w:rPr>
          <w:lang w:val="en-GB"/>
        </w:rPr>
        <w:noBreakHyphen/>
        <w:t>chairmen and working party chairmen necessary for the efficient and effective management and functioning of the study group, consistent with the projected structure and work programme.</w:t>
      </w:r>
    </w:p>
    <w:p w14:paraId="2908BCF5" w14:textId="77777777" w:rsidR="00AC491A" w:rsidRPr="00380B40" w:rsidRDefault="00AC491A" w:rsidP="00AC491A">
      <w:pPr>
        <w:rPr>
          <w:lang w:val="en-GB"/>
        </w:rPr>
      </w:pPr>
      <w:r w:rsidRPr="00380B40">
        <w:rPr>
          <w:b/>
          <w:bCs/>
          <w:lang w:val="en-GB"/>
        </w:rPr>
        <w:t>3.6</w:t>
      </w:r>
      <w:r w:rsidRPr="00380B40">
        <w:rPr>
          <w:lang w:val="en-GB"/>
        </w:rPr>
        <w:tab/>
        <w:t>A chairman, vice-chairman or working party chairman, on accepting this role, is expected to have the necessary support of the Member State or Sector Member to fulfil this commitment throughout the period to the next WTSA.</w:t>
      </w:r>
    </w:p>
    <w:p w14:paraId="4F45D99F" w14:textId="77777777" w:rsidR="009269CA" w:rsidRPr="00380B40" w:rsidRDefault="009269CA" w:rsidP="00AC491A">
      <w:pPr>
        <w:rPr>
          <w:b/>
          <w:bCs/>
          <w:lang w:val="en-GB"/>
        </w:rPr>
      </w:pPr>
      <w:r w:rsidRPr="00380B40">
        <w:rPr>
          <w:b/>
          <w:bCs/>
          <w:lang w:val="en-GB"/>
        </w:rPr>
        <w:br w:type="page"/>
      </w:r>
    </w:p>
    <w:p w14:paraId="45BA81B4" w14:textId="77777777" w:rsidR="00AC491A" w:rsidRPr="00380B40" w:rsidRDefault="00AC491A" w:rsidP="00AC491A">
      <w:pPr>
        <w:rPr>
          <w:lang w:val="en-GB"/>
        </w:rPr>
      </w:pPr>
      <w:r w:rsidRPr="00380B40">
        <w:rPr>
          <w:b/>
          <w:bCs/>
          <w:lang w:val="en-GB"/>
        </w:rPr>
        <w:t>3.7</w:t>
      </w:r>
      <w:r w:rsidRPr="00380B40">
        <w:rPr>
          <w:lang w:val="en-GB"/>
        </w:rPr>
        <w:tab/>
        <w:t>Study group chairmen should participate in WTSA and TSAG to represent their respective study groups.</w:t>
      </w:r>
    </w:p>
    <w:p w14:paraId="1F0EA12C" w14:textId="77777777" w:rsidR="00AC491A" w:rsidRPr="00380B40" w:rsidRDefault="00AC491A" w:rsidP="00AC491A">
      <w:pPr>
        <w:rPr>
          <w:lang w:val="en-GB"/>
        </w:rPr>
      </w:pPr>
      <w:r w:rsidRPr="00380B40">
        <w:rPr>
          <w:b/>
          <w:bCs/>
          <w:lang w:val="en-GB"/>
        </w:rPr>
        <w:t>3.8</w:t>
      </w:r>
      <w:r w:rsidRPr="00380B40">
        <w:rPr>
          <w:b/>
          <w:bCs/>
          <w:lang w:val="en-GB"/>
        </w:rPr>
        <w:tab/>
      </w:r>
      <w:r w:rsidRPr="00380B40">
        <w:rPr>
          <w:lang w:val="en-GB"/>
        </w:rPr>
        <w:t>The study group chairman shall comply with the provisions of the ITU Constitution, the ITU Convention, the General Rules of conferences, assemblies and meetings of the Union, this resolution, and ITU-T A-series Recommendations. Support and advice from TSB staff shall be provided in this regard.</w:t>
      </w:r>
    </w:p>
    <w:p w14:paraId="0F49D31A" w14:textId="77777777" w:rsidR="00AC491A" w:rsidRPr="00380B40" w:rsidRDefault="00AC491A" w:rsidP="00AC491A">
      <w:pPr>
        <w:rPr>
          <w:b/>
          <w:bCs/>
          <w:lang w:val="en-GB"/>
        </w:rPr>
      </w:pPr>
      <w:r w:rsidRPr="00380B40">
        <w:rPr>
          <w:b/>
          <w:bCs/>
          <w:lang w:val="en-GB"/>
        </w:rPr>
        <w:t>3.9</w:t>
      </w:r>
      <w:r w:rsidRPr="00380B40">
        <w:rPr>
          <w:b/>
          <w:bCs/>
          <w:lang w:val="en-GB"/>
        </w:rPr>
        <w:tab/>
      </w:r>
      <w:r w:rsidRPr="00380B40">
        <w:rPr>
          <w:lang w:val="en-GB"/>
        </w:rPr>
        <w:t>Chairmen and vice-chairmen of study groups, working parties and other groups, rapporteurs and editors shall be impartial in the performance of their duties.</w:t>
      </w:r>
    </w:p>
    <w:p w14:paraId="1E34562D" w14:textId="77777777" w:rsidR="00AC491A" w:rsidRPr="00380B40" w:rsidRDefault="00AC491A" w:rsidP="00AC491A">
      <w:pPr>
        <w:pStyle w:val="SectionNo"/>
        <w:rPr>
          <w:lang w:val="en-GB"/>
        </w:rPr>
      </w:pPr>
      <w:bookmarkStart w:id="35" w:name="_Toc111636710"/>
      <w:r w:rsidRPr="00380B40">
        <w:rPr>
          <w:lang w:val="en-GB"/>
        </w:rPr>
        <w:t>SECTION 4</w:t>
      </w:r>
      <w:bookmarkEnd w:id="35"/>
    </w:p>
    <w:p w14:paraId="58DACBFF" w14:textId="77777777" w:rsidR="00AC491A" w:rsidRPr="00380B40" w:rsidRDefault="00AC491A" w:rsidP="00202A50">
      <w:pPr>
        <w:pStyle w:val="Sectiontitle"/>
      </w:pPr>
      <w:bookmarkStart w:id="36" w:name="_Toc111636711"/>
      <w:r w:rsidRPr="00380B40">
        <w:t>Telecommunication Standardization Advisory Group</w:t>
      </w:r>
      <w:bookmarkEnd w:id="36"/>
    </w:p>
    <w:p w14:paraId="5CD0D2B2" w14:textId="77777777" w:rsidR="009269CA" w:rsidRPr="00380B40" w:rsidRDefault="00AC491A" w:rsidP="00AC1010">
      <w:pPr>
        <w:rPr>
          <w:lang w:val="en-GB"/>
        </w:rPr>
      </w:pPr>
      <w:r w:rsidRPr="00380B40">
        <w:rPr>
          <w:b/>
          <w:bCs/>
          <w:lang w:val="en-GB"/>
        </w:rPr>
        <w:t>4.1</w:t>
      </w:r>
      <w:r w:rsidRPr="00380B40">
        <w:rPr>
          <w:lang w:val="en-GB"/>
        </w:rPr>
        <w:tab/>
        <w:t>In accordance with Article 14A of the ITU Convention, the Telecommunication Standardization Advisory Group (TSAG) shall be open to representatives of administrations of Member States and representatives of ITU</w:t>
      </w:r>
      <w:r w:rsidRPr="00380B40">
        <w:rPr>
          <w:lang w:val="en-GB"/>
        </w:rPr>
        <w:noBreakHyphen/>
        <w:t>T Sector Members and other duly authorized entities and to chairmen of the study groups and other groups or their designated representatives. The Director of TSB or the Director's designated representatives shall participate in TSAG. The chairmen of the study groups and other groups, according to the case, or their designated representatives (e.g. vice-chairmen) shall also participate in TSAG.</w:t>
      </w:r>
    </w:p>
    <w:p w14:paraId="522FE76E" w14:textId="77777777" w:rsidR="00AC491A" w:rsidRPr="00380B40" w:rsidRDefault="00AC491A" w:rsidP="00AC491A">
      <w:pPr>
        <w:rPr>
          <w:lang w:val="en-GB"/>
        </w:rPr>
      </w:pPr>
      <w:r w:rsidRPr="00380B40">
        <w:rPr>
          <w:b/>
          <w:bCs/>
          <w:lang w:val="en-GB"/>
        </w:rPr>
        <w:t>4.2</w:t>
      </w:r>
      <w:r w:rsidRPr="00380B40">
        <w:rPr>
          <w:lang w:val="en-GB"/>
        </w:rPr>
        <w:tab/>
        <w:t>In accordance with Article 14A of the Convention and the tasks further elaborated in this resolution, TSAG's principal duties are to review priorities, programmes, operations, financial matters and strategies for ITU</w:t>
      </w:r>
      <w:r w:rsidRPr="00380B40">
        <w:rPr>
          <w:lang w:val="en-GB"/>
        </w:rPr>
        <w:noBreakHyphen/>
        <w:t>T's activities, to review progress in the implementation of ITU</w:t>
      </w:r>
      <w:r w:rsidRPr="00380B40">
        <w:rPr>
          <w:lang w:val="en-GB"/>
        </w:rPr>
        <w:noBreakHyphen/>
        <w:t xml:space="preserve">T's work programme, to provide guidelines for the work of the study groups and to recommend measures, </w:t>
      </w:r>
      <w:r w:rsidRPr="00380B40">
        <w:rPr>
          <w:i/>
          <w:lang w:val="en-GB"/>
        </w:rPr>
        <w:t>inter alia</w:t>
      </w:r>
      <w:r w:rsidRPr="00380B40">
        <w:rPr>
          <w:lang w:val="en-GB"/>
        </w:rPr>
        <w:t>, to foster cooperation and coordination with other relevant bodies, within ITU</w:t>
      </w:r>
      <w:r w:rsidRPr="00380B40">
        <w:rPr>
          <w:lang w:val="en-GB"/>
        </w:rPr>
        <w:noBreakHyphen/>
        <w:t>T and with the Radiocommunication (ITU-R) and Telecommunication Development (ITU</w:t>
      </w:r>
      <w:r w:rsidRPr="00380B40">
        <w:rPr>
          <w:lang w:val="en-GB"/>
        </w:rPr>
        <w:noBreakHyphen/>
        <w:t xml:space="preserve">D) Sectors and the General Secretariat, and with other standardization organizations, forums and consortia outside ITU, including the Universal Postal Union. </w:t>
      </w:r>
    </w:p>
    <w:p w14:paraId="12CE4EF7" w14:textId="77777777" w:rsidR="00AC491A" w:rsidRPr="00380B40" w:rsidRDefault="00AC491A" w:rsidP="00AC491A">
      <w:pPr>
        <w:rPr>
          <w:lang w:val="en-GB"/>
        </w:rPr>
      </w:pPr>
      <w:r w:rsidRPr="00380B40">
        <w:rPr>
          <w:b/>
          <w:bCs/>
          <w:lang w:val="en-GB"/>
        </w:rPr>
        <w:t>4.3</w:t>
      </w:r>
      <w:r w:rsidRPr="00380B40">
        <w:rPr>
          <w:lang w:val="en-GB"/>
        </w:rPr>
        <w:tab/>
        <w:t>TSAG shall identify changing requirements and provide advice on appropriate changes to be made to the priority of work in ITU</w:t>
      </w:r>
      <w:r w:rsidRPr="00380B40">
        <w:rPr>
          <w:lang w:val="en-GB"/>
        </w:rPr>
        <w:noBreakHyphen/>
        <w:t>T study groups, planning, and allocation of work between study groups (and the coordination of that work with other Sectors), giving due regard to the cost and availability of resources within TSB and the study groups. TSAG shall monitor the activities of any joint coordination activities and may also recommend the establishment of such activities, if appropriate. TSAG may also advise on further improvements to ITU</w:t>
      </w:r>
      <w:r w:rsidRPr="00380B40">
        <w:rPr>
          <w:lang w:val="en-GB"/>
        </w:rPr>
        <w:noBreakHyphen/>
        <w:t>T working methods. TSAG shall monitor the activities of the lead study groups and advise on the progress report as presented to TSAG. TSAG shall endeavour to ensure that the programmes of work across the study groups are successfully completed.</w:t>
      </w:r>
    </w:p>
    <w:p w14:paraId="0FB811B5" w14:textId="77777777" w:rsidR="009269CA" w:rsidRPr="00380B40" w:rsidRDefault="009269CA" w:rsidP="00AC491A">
      <w:pPr>
        <w:rPr>
          <w:b/>
          <w:bCs/>
          <w:lang w:val="en-GB"/>
        </w:rPr>
      </w:pPr>
      <w:r w:rsidRPr="00380B40">
        <w:rPr>
          <w:b/>
          <w:bCs/>
          <w:lang w:val="en-GB"/>
        </w:rPr>
        <w:br w:type="page"/>
      </w:r>
    </w:p>
    <w:p w14:paraId="238BF42B" w14:textId="77777777" w:rsidR="00AC491A" w:rsidRPr="00380B40" w:rsidRDefault="00AC491A" w:rsidP="00AC491A">
      <w:pPr>
        <w:rPr>
          <w:lang w:val="en-GB"/>
        </w:rPr>
      </w:pPr>
      <w:r w:rsidRPr="00380B40">
        <w:rPr>
          <w:b/>
          <w:bCs/>
          <w:lang w:val="en-GB"/>
        </w:rPr>
        <w:t>4.3</w:t>
      </w:r>
      <w:r w:rsidRPr="00380B40">
        <w:rPr>
          <w:b/>
          <w:bCs/>
          <w:i/>
          <w:iCs/>
          <w:lang w:val="en-GB"/>
        </w:rPr>
        <w:t>bis</w:t>
      </w:r>
      <w:r w:rsidRPr="00380B40">
        <w:rPr>
          <w:lang w:val="en-GB"/>
        </w:rPr>
        <w:tab/>
        <w:t>WTSA shall appoint the chairman and vice-chairmen of TSAG in accordance with Resolution 208 (Dubai, 2018) of the Plenipotentiary Conference.</w:t>
      </w:r>
    </w:p>
    <w:p w14:paraId="4B22DDED" w14:textId="77777777" w:rsidR="00AC491A" w:rsidRPr="00380B40" w:rsidRDefault="00AC491A" w:rsidP="00AC491A">
      <w:pPr>
        <w:rPr>
          <w:lang w:val="en-GB"/>
        </w:rPr>
      </w:pPr>
      <w:r w:rsidRPr="00380B40">
        <w:rPr>
          <w:b/>
          <w:bCs/>
          <w:lang w:val="en-GB"/>
        </w:rPr>
        <w:t>4.4</w:t>
      </w:r>
      <w:r w:rsidRPr="00380B40">
        <w:rPr>
          <w:lang w:val="en-GB"/>
        </w:rPr>
        <w:tab/>
        <w:t>In accordance with 1.1</w:t>
      </w:r>
      <w:r w:rsidRPr="00380B40">
        <w:rPr>
          <w:i/>
          <w:iCs/>
          <w:lang w:val="en-GB"/>
        </w:rPr>
        <w:t>bis</w:t>
      </w:r>
      <w:r w:rsidRPr="00380B40">
        <w:rPr>
          <w:lang w:val="en-GB"/>
        </w:rPr>
        <w:t xml:space="preserve"> above, TSAG shall take the necessary steps to consider matters under temporary authority assigned to it by WTSA. WTSA may assign temporary authority to TSAG between two consecutive WTSAs to consider and act on matters specified by WTSA. WTSA should assure itself that the special functions entrusted to TSAG do not require financial expenses exceeding the ITU</w:t>
      </w:r>
      <w:r w:rsidRPr="00380B40">
        <w:rPr>
          <w:lang w:val="en-GB"/>
        </w:rPr>
        <w:noBreakHyphen/>
        <w:t>T budget. TSAG may consult with the Director on these matters, if necessary. TSAG should report to the next WTSA on its activities on the fulfilment of specific functions assigned to it, pursuant to No. 197I of the Convention and WTSA Resolution 22 (Rev. Geneva, 2022).</w:t>
      </w:r>
    </w:p>
    <w:p w14:paraId="13A8B1CE" w14:textId="77777777" w:rsidR="00AC491A" w:rsidRPr="00380B40" w:rsidRDefault="00AC491A" w:rsidP="00AC491A">
      <w:pPr>
        <w:rPr>
          <w:lang w:val="en-GB"/>
        </w:rPr>
      </w:pPr>
      <w:r w:rsidRPr="00380B40">
        <w:rPr>
          <w:b/>
          <w:bCs/>
          <w:lang w:val="en-GB"/>
        </w:rPr>
        <w:t>4.5</w:t>
      </w:r>
      <w:r w:rsidRPr="00380B40">
        <w:rPr>
          <w:lang w:val="en-GB"/>
        </w:rPr>
        <w:tab/>
        <w:t>TSAG shall hold regular scheduled meetings, included on the ITU</w:t>
      </w:r>
      <w:r w:rsidRPr="00380B40">
        <w:rPr>
          <w:lang w:val="en-GB"/>
        </w:rPr>
        <w:noBreakHyphen/>
        <w:t>T timetable of meetings. The meetings should take place as necessary, but at least once a year.</w:t>
      </w:r>
      <w:r w:rsidR="00FD162E" w:rsidRPr="00380B40">
        <w:rPr>
          <w:rStyle w:val="FootnoteReference"/>
          <w:lang w:val="en-GB"/>
        </w:rPr>
        <w:footnoteReference w:id="5"/>
      </w:r>
    </w:p>
    <w:p w14:paraId="49B9E41B" w14:textId="77777777" w:rsidR="00AC491A" w:rsidRPr="00380B40" w:rsidRDefault="00AC491A" w:rsidP="00AC491A">
      <w:pPr>
        <w:rPr>
          <w:lang w:val="en-GB"/>
        </w:rPr>
      </w:pPr>
      <w:r w:rsidRPr="00380B40">
        <w:rPr>
          <w:b/>
          <w:bCs/>
          <w:lang w:val="en-GB"/>
        </w:rPr>
        <w:t>4.5</w:t>
      </w:r>
      <w:r w:rsidRPr="00380B40">
        <w:rPr>
          <w:rStyle w:val="Bolditalic"/>
          <w:lang w:val="en-GB"/>
        </w:rPr>
        <w:t>bis</w:t>
      </w:r>
      <w:r w:rsidRPr="00380B40">
        <w:rPr>
          <w:lang w:val="en-GB"/>
        </w:rPr>
        <w:tab/>
        <w:t>As far as practical, every effort should be made so that the schedule of TSAG meetings does not coincide with any major religious, national or regional holiday periods.</w:t>
      </w:r>
    </w:p>
    <w:p w14:paraId="7B70C974" w14:textId="77777777" w:rsidR="00AC491A" w:rsidRPr="00380B40" w:rsidRDefault="00AC491A" w:rsidP="00AC491A">
      <w:pPr>
        <w:rPr>
          <w:lang w:val="en-GB"/>
        </w:rPr>
      </w:pPr>
      <w:r w:rsidRPr="00380B40">
        <w:rPr>
          <w:b/>
          <w:bCs/>
          <w:lang w:val="en-GB"/>
        </w:rPr>
        <w:t>4.6</w:t>
      </w:r>
      <w:r w:rsidRPr="00380B40">
        <w:rPr>
          <w:lang w:val="en-GB"/>
        </w:rPr>
        <w:tab/>
        <w:t>In the interest of minimizing the length and costs of the meetings, the chairman of TSAG should collaborate with the Director in making appropriate advance preparation, for example by identifying the major issues for discussion.</w:t>
      </w:r>
    </w:p>
    <w:p w14:paraId="30ED6BB1" w14:textId="77777777" w:rsidR="00AC491A" w:rsidRPr="00380B40" w:rsidRDefault="00AC491A" w:rsidP="00AC491A">
      <w:pPr>
        <w:rPr>
          <w:b/>
          <w:bCs/>
          <w:lang w:val="en-GB"/>
        </w:rPr>
      </w:pPr>
      <w:r w:rsidRPr="00380B40">
        <w:rPr>
          <w:b/>
          <w:bCs/>
          <w:lang w:val="en-GB"/>
        </w:rPr>
        <w:t>4.7</w:t>
      </w:r>
      <w:r w:rsidRPr="00380B40">
        <w:rPr>
          <w:lang w:val="en-GB"/>
        </w:rPr>
        <w:tab/>
        <w:t>In general, the same rules of procedure that apply to study groups shall also apply to TSAG and its meetings. However, at the discretion of the chairman, written proposals may be submitted during the TSAG meeting provided they are based on ongoing discussions taking place during the meeting and are intended to assist in resolving conflicting views which exist during the meeting.</w:t>
      </w:r>
    </w:p>
    <w:p w14:paraId="1F492538" w14:textId="77777777" w:rsidR="00AC491A" w:rsidRPr="00380B40" w:rsidRDefault="00AC491A" w:rsidP="00AC491A">
      <w:pPr>
        <w:rPr>
          <w:lang w:val="en-GB"/>
        </w:rPr>
      </w:pPr>
      <w:r w:rsidRPr="00380B40">
        <w:rPr>
          <w:b/>
          <w:bCs/>
          <w:lang w:val="en-GB"/>
        </w:rPr>
        <w:t>4.8</w:t>
      </w:r>
      <w:r w:rsidRPr="00380B40">
        <w:rPr>
          <w:lang w:val="en-GB"/>
        </w:rPr>
        <w:tab/>
        <w:t>A report on its activities shall be prepared by TSAG after each meeting. This report is to be made available not later than three weeks after the closure of the meeting. The report shall be distributed in accordance with normal ITU</w:t>
      </w:r>
      <w:r w:rsidRPr="00380B40">
        <w:rPr>
          <w:lang w:val="en-GB"/>
        </w:rPr>
        <w:noBreakHyphen/>
        <w:t>T procedures and made available in all official languages of the Union.</w:t>
      </w:r>
    </w:p>
    <w:p w14:paraId="5425867F" w14:textId="77777777" w:rsidR="00AC491A" w:rsidRPr="00380B40" w:rsidRDefault="00AC491A" w:rsidP="00AC491A">
      <w:pPr>
        <w:rPr>
          <w:lang w:val="en-GB"/>
        </w:rPr>
      </w:pPr>
      <w:r w:rsidRPr="00380B40">
        <w:rPr>
          <w:b/>
          <w:bCs/>
          <w:lang w:val="en-GB"/>
        </w:rPr>
        <w:t>4.9</w:t>
      </w:r>
      <w:r w:rsidRPr="00380B40">
        <w:rPr>
          <w:lang w:val="en-GB"/>
        </w:rPr>
        <w:tab/>
        <w:t>TSAG shall prepare a report for the assembly on the matters assigned to TSAG by the previous WTSA. At its last meeting prior to WTSA, TSAG shall, pursuant to No. 197H of the Convention, prepare a report which summarizes its activities since the previous WTSA. This report shall offer advice on the allocation of work, and proposals on ITU</w:t>
      </w:r>
      <w:r w:rsidRPr="00380B40">
        <w:rPr>
          <w:lang w:val="en-GB"/>
        </w:rPr>
        <w:noBreakHyphen/>
        <w:t>T working methods and on strategies and relations with other ITU Sectors and other relevant bodies outside ITU, as appropriate (No. 19A of the ITU Constitution). The TSAG report to WTSA should also include proposals for WTSA Resolution 2, i.e. the titles of study groups with their responsibilities and mandates. These reports shall be submitted to the assembly by the Director.</w:t>
      </w:r>
    </w:p>
    <w:p w14:paraId="3EA595F8" w14:textId="77777777" w:rsidR="00AC491A" w:rsidRPr="00380B40" w:rsidRDefault="00AC491A" w:rsidP="00AC491A">
      <w:pPr>
        <w:rPr>
          <w:lang w:val="en-GB"/>
        </w:rPr>
      </w:pPr>
      <w:r w:rsidRPr="00380B40">
        <w:rPr>
          <w:b/>
          <w:bCs/>
          <w:lang w:val="en-GB"/>
        </w:rPr>
        <w:t>4.10</w:t>
      </w:r>
      <w:r w:rsidRPr="00380B40">
        <w:rPr>
          <w:lang w:val="en-GB"/>
        </w:rPr>
        <w:tab/>
        <w:t>TSAG shall be made aware of the non-attendance of chairmen and vice-chairmen at study group meetings, and raise the issue through the Director with the Member State concerned in an attempt to secure participation in these roles in the study group concerned to which the Member State has committed.</w:t>
      </w:r>
    </w:p>
    <w:p w14:paraId="71773125" w14:textId="77777777" w:rsidR="009269CA" w:rsidRPr="00380B40" w:rsidRDefault="009269CA" w:rsidP="00AC491A">
      <w:pPr>
        <w:rPr>
          <w:lang w:val="en-GB"/>
        </w:rPr>
      </w:pPr>
      <w:r w:rsidRPr="00380B40">
        <w:rPr>
          <w:lang w:val="en-GB"/>
        </w:rPr>
        <w:br w:type="page"/>
      </w:r>
    </w:p>
    <w:p w14:paraId="04A5416B" w14:textId="77777777" w:rsidR="00AC491A" w:rsidRPr="00380B40" w:rsidRDefault="00AC491A" w:rsidP="00AC491A">
      <w:pPr>
        <w:pStyle w:val="SectionNo"/>
        <w:rPr>
          <w:lang w:val="en-GB"/>
        </w:rPr>
      </w:pPr>
      <w:bookmarkStart w:id="37" w:name="_Toc111636712"/>
      <w:r w:rsidRPr="00380B40">
        <w:rPr>
          <w:lang w:val="en-GB"/>
        </w:rPr>
        <w:t>SECTION 5</w:t>
      </w:r>
      <w:bookmarkEnd w:id="37"/>
    </w:p>
    <w:p w14:paraId="52CB6BC7" w14:textId="77777777" w:rsidR="00AC491A" w:rsidRPr="00380B40" w:rsidRDefault="00AC491A" w:rsidP="00202A50">
      <w:pPr>
        <w:pStyle w:val="Sectiontitle"/>
      </w:pPr>
      <w:bookmarkStart w:id="38" w:name="_Toc111636713"/>
      <w:r w:rsidRPr="00380B40">
        <w:t>Duties of the Director</w:t>
      </w:r>
      <w:bookmarkEnd w:id="38"/>
    </w:p>
    <w:p w14:paraId="60F29D30" w14:textId="77777777" w:rsidR="00AC491A" w:rsidRPr="00380B40" w:rsidRDefault="00AC491A" w:rsidP="00AC491A">
      <w:pPr>
        <w:rPr>
          <w:lang w:val="en-GB"/>
        </w:rPr>
      </w:pPr>
      <w:r w:rsidRPr="00380B40">
        <w:rPr>
          <w:b/>
          <w:bCs/>
          <w:lang w:val="en-GB"/>
        </w:rPr>
        <w:t>5.1</w:t>
      </w:r>
      <w:r w:rsidRPr="00380B40">
        <w:rPr>
          <w:lang w:val="en-GB"/>
        </w:rPr>
        <w:tab/>
        <w:t>The duties of the Director of the Telecommunication Standardization Bureau (TSB) are outlined in Article 15 and relevant provisions of Article 20 of the ITU Convention. These duties are further elaborated in this resolution.</w:t>
      </w:r>
    </w:p>
    <w:p w14:paraId="568529DB" w14:textId="77777777" w:rsidR="00AC491A" w:rsidRPr="00380B40" w:rsidRDefault="00AC491A" w:rsidP="00AC491A">
      <w:pPr>
        <w:rPr>
          <w:lang w:val="en-GB"/>
        </w:rPr>
      </w:pPr>
      <w:r w:rsidRPr="00380B40">
        <w:rPr>
          <w:b/>
          <w:bCs/>
          <w:lang w:val="en-GB"/>
        </w:rPr>
        <w:t>5.2</w:t>
      </w:r>
      <w:r w:rsidRPr="00380B40">
        <w:rPr>
          <w:lang w:val="en-GB"/>
        </w:rPr>
        <w:tab/>
        <w:t>The Director of TSB shall take the necessary preparatory measures for meetings of WTSA, TSAG, study groups and other groups, and coordinate their work so that the meetings produce the best results in the shortest possible time. The Director shall fix, by agreement with TSAG and study group chairmen, the dates and programmes of TSAG, study group and working party meetings and shall group these meetings in time according to the nature of the work and the availability of TSB and other ITU resources.</w:t>
      </w:r>
    </w:p>
    <w:p w14:paraId="4DA39438" w14:textId="77777777" w:rsidR="00AC491A" w:rsidRPr="00380B40" w:rsidRDefault="00AC491A" w:rsidP="00AC491A">
      <w:pPr>
        <w:rPr>
          <w:szCs w:val="24"/>
          <w:lang w:val="en-GB" w:eastAsia="ja-JP"/>
        </w:rPr>
      </w:pPr>
      <w:r w:rsidRPr="00380B40">
        <w:rPr>
          <w:b/>
          <w:szCs w:val="24"/>
          <w:lang w:val="en-GB"/>
        </w:rPr>
        <w:t>5.2</w:t>
      </w:r>
      <w:r w:rsidRPr="00380B40">
        <w:rPr>
          <w:b/>
          <w:i/>
          <w:iCs/>
          <w:szCs w:val="24"/>
          <w:lang w:val="en-GB"/>
        </w:rPr>
        <w:t>bis</w:t>
      </w:r>
      <w:r w:rsidRPr="00380B40">
        <w:rPr>
          <w:szCs w:val="24"/>
          <w:lang w:val="en-GB"/>
        </w:rPr>
        <w:tab/>
      </w:r>
      <w:r w:rsidRPr="00380B40">
        <w:rPr>
          <w:szCs w:val="24"/>
          <w:lang w:val="en-GB" w:eastAsia="ja-JP"/>
        </w:rPr>
        <w:t>The Director shall ensure that the secretariat assigned to the study groups and regional groups works to support the membership in order to accomplish the objectives defined in the strategic plan (Resolution</w:t>
      </w:r>
      <w:r w:rsidR="00F91E67" w:rsidRPr="00380B40">
        <w:rPr>
          <w:szCs w:val="24"/>
          <w:lang w:val="en-GB" w:eastAsia="ja-JP"/>
        </w:rPr>
        <w:t> </w:t>
      </w:r>
      <w:r w:rsidRPr="00380B40">
        <w:rPr>
          <w:szCs w:val="24"/>
          <w:lang w:val="en-GB" w:eastAsia="ja-JP"/>
        </w:rPr>
        <w:t>71 (Rev. Dubai, 2018) of the Plenipotentiary Conference).</w:t>
      </w:r>
    </w:p>
    <w:p w14:paraId="177A0422" w14:textId="77777777" w:rsidR="00AC491A" w:rsidRPr="00380B40" w:rsidRDefault="00AC491A" w:rsidP="00AC491A">
      <w:pPr>
        <w:rPr>
          <w:lang w:val="en-GB"/>
        </w:rPr>
      </w:pPr>
      <w:r w:rsidRPr="00380B40">
        <w:rPr>
          <w:b/>
          <w:bCs/>
          <w:lang w:val="en-GB"/>
        </w:rPr>
        <w:t>5.3</w:t>
      </w:r>
      <w:r w:rsidRPr="00380B40">
        <w:rPr>
          <w:lang w:val="en-GB"/>
        </w:rPr>
        <w:tab/>
        <w:t>The Director shall suggest editorial updates to WTSA resolutions and provide a recommendation as to whether the modifications are significant enough to warrant the production of a revised version and be published as documents of WTSA no later than 35 days before the opening of WTSA.</w:t>
      </w:r>
    </w:p>
    <w:p w14:paraId="3EFD5362" w14:textId="77777777" w:rsidR="00AC491A" w:rsidRPr="00380B40" w:rsidRDefault="00AC491A" w:rsidP="00AC491A">
      <w:pPr>
        <w:rPr>
          <w:lang w:val="en-GB"/>
        </w:rPr>
      </w:pPr>
      <w:r w:rsidRPr="00380B40">
        <w:rPr>
          <w:b/>
          <w:bCs/>
          <w:lang w:val="en-GB"/>
        </w:rPr>
        <w:t>5.4</w:t>
      </w:r>
      <w:r w:rsidRPr="00380B40">
        <w:rPr>
          <w:lang w:val="en-GB"/>
        </w:rPr>
        <w:tab/>
        <w:t>The Director shall manage the allocation of the ITU</w:t>
      </w:r>
      <w:r w:rsidRPr="00380B40">
        <w:rPr>
          <w:lang w:val="en-GB"/>
        </w:rPr>
        <w:noBreakHyphen/>
        <w:t>T financial and TSB human resources required for meetings administered by TSB in a manner that is consistent with the approved strategic and financial plans of the Sector and the budget approved by the Council, for publication of the associated documents to ITU Member States and Sector Members (meeting reports, contributions, etc.), for the authorized operational support functions for the international telecommunication network and services (Operational Bulletin, code assignments, etc.) and for the operation of TSB.</w:t>
      </w:r>
    </w:p>
    <w:p w14:paraId="1774B7F0" w14:textId="77777777" w:rsidR="00AC491A" w:rsidRPr="00380B40" w:rsidRDefault="00AC491A" w:rsidP="00AC491A">
      <w:pPr>
        <w:rPr>
          <w:b/>
          <w:bCs/>
          <w:lang w:val="en-GB"/>
        </w:rPr>
      </w:pPr>
      <w:r w:rsidRPr="00380B40">
        <w:rPr>
          <w:b/>
          <w:lang w:val="en-GB"/>
        </w:rPr>
        <w:t>5.4</w:t>
      </w:r>
      <w:r w:rsidRPr="00380B40">
        <w:rPr>
          <w:b/>
          <w:i/>
          <w:iCs/>
          <w:lang w:val="en-GB"/>
        </w:rPr>
        <w:t>bis</w:t>
      </w:r>
      <w:r w:rsidRPr="00380B40">
        <w:rPr>
          <w:lang w:val="en-GB"/>
        </w:rPr>
        <w:tab/>
        <w:t>The Director shall promote the active participation of the membership, in particular developing countries</w:t>
      </w:r>
      <w:r w:rsidR="00FD162E" w:rsidRPr="00380B40">
        <w:rPr>
          <w:rStyle w:val="FootnoteReference"/>
          <w:lang w:val="en-GB"/>
        </w:rPr>
        <w:footnoteReference w:id="6"/>
      </w:r>
      <w:r w:rsidRPr="00380B40">
        <w:rPr>
          <w:lang w:val="en-GB"/>
        </w:rPr>
        <w:t>, in the contribution-driven work of ITU</w:t>
      </w:r>
      <w:r w:rsidRPr="00380B40">
        <w:rPr>
          <w:lang w:val="en-GB"/>
        </w:rPr>
        <w:noBreakHyphen/>
        <w:t xml:space="preserve">T and shall publish, in the chairman's report of each meeting of a study group or regional group, a complete account of resources used and fellowships requested and provided along with any extrabudgetary resources expended. </w:t>
      </w:r>
    </w:p>
    <w:p w14:paraId="73C123CA" w14:textId="77777777" w:rsidR="00AC491A" w:rsidRPr="00380B40" w:rsidRDefault="00AC491A" w:rsidP="00AC491A">
      <w:pPr>
        <w:rPr>
          <w:lang w:val="en-GB"/>
        </w:rPr>
      </w:pPr>
      <w:r w:rsidRPr="00380B40">
        <w:rPr>
          <w:b/>
          <w:bCs/>
          <w:lang w:val="en-GB"/>
        </w:rPr>
        <w:t>5.5</w:t>
      </w:r>
      <w:r w:rsidRPr="00380B40">
        <w:rPr>
          <w:lang w:val="en-GB"/>
        </w:rPr>
        <w:tab/>
        <w:t>The Director shall provide the required liaison between ITU</w:t>
      </w:r>
      <w:r w:rsidRPr="00380B40">
        <w:rPr>
          <w:lang w:val="en-GB"/>
        </w:rPr>
        <w:noBreakHyphen/>
        <w:t>T and the other ITU Sectors, ITU regional and area offices and the ITU General Secretariat and with other standards-development organizations.</w:t>
      </w:r>
    </w:p>
    <w:p w14:paraId="5386DFA9" w14:textId="77777777" w:rsidR="00AC491A" w:rsidRPr="00380B40" w:rsidRDefault="00AC491A" w:rsidP="00AC491A">
      <w:pPr>
        <w:rPr>
          <w:lang w:val="en-GB"/>
        </w:rPr>
      </w:pPr>
      <w:r w:rsidRPr="00380B40">
        <w:rPr>
          <w:b/>
          <w:bCs/>
          <w:lang w:val="en-GB"/>
        </w:rPr>
        <w:t>5.6</w:t>
      </w:r>
      <w:r w:rsidRPr="00380B40">
        <w:rPr>
          <w:lang w:val="en-GB"/>
        </w:rPr>
        <w:tab/>
        <w:t>In the Director's estimate of the financial needs of ITU</w:t>
      </w:r>
      <w:r w:rsidRPr="00380B40">
        <w:rPr>
          <w:lang w:val="en-GB"/>
        </w:rPr>
        <w:noBreakHyphen/>
        <w:t>T until the next WTSA as part of the biennial budgetary preparatory process of the Union, the Director shall prepare the financial estimates in accordance with relevant provisions of the Financial Regulations and Financial Rules, taking into account the relevant decisions of WTSA, including priorities for the work of the Sector.</w:t>
      </w:r>
    </w:p>
    <w:p w14:paraId="783F4A28" w14:textId="77777777" w:rsidR="009269CA" w:rsidRPr="00380B40" w:rsidRDefault="009269CA" w:rsidP="00AC491A">
      <w:pPr>
        <w:rPr>
          <w:b/>
          <w:bCs/>
          <w:lang w:val="en-GB"/>
        </w:rPr>
      </w:pPr>
      <w:r w:rsidRPr="00380B40">
        <w:rPr>
          <w:b/>
          <w:bCs/>
          <w:lang w:val="en-GB"/>
        </w:rPr>
        <w:br w:type="page"/>
      </w:r>
    </w:p>
    <w:p w14:paraId="2F0CD2B9" w14:textId="77777777" w:rsidR="00AC491A" w:rsidRPr="00380B40" w:rsidRDefault="00AC491A" w:rsidP="00AC491A">
      <w:pPr>
        <w:rPr>
          <w:lang w:val="en-GB"/>
        </w:rPr>
      </w:pPr>
      <w:r w:rsidRPr="00380B40">
        <w:rPr>
          <w:b/>
          <w:bCs/>
          <w:lang w:val="en-GB"/>
        </w:rPr>
        <w:t>5.7</w:t>
      </w:r>
      <w:r w:rsidRPr="00380B40">
        <w:rPr>
          <w:lang w:val="en-GB"/>
        </w:rPr>
        <w:tab/>
        <w:t>The Director shall provide to WTSA (for information) a summary of the accounts for the years which have elapsed since the preceding WTSA, and the estimated expenses of ITU</w:t>
      </w:r>
      <w:r w:rsidRPr="00380B40">
        <w:rPr>
          <w:lang w:val="en-GB"/>
        </w:rPr>
        <w:noBreakHyphen/>
        <w:t>T to cover its financial requirements until the next WTSA for the subsequent biennial budgets and financial plan, as appropriate, taking into account the pertinent results of WTSA, including priorities.</w:t>
      </w:r>
    </w:p>
    <w:p w14:paraId="19FCD628" w14:textId="77777777" w:rsidR="00AC491A" w:rsidRPr="00380B40" w:rsidRDefault="00AC491A" w:rsidP="00AC491A">
      <w:pPr>
        <w:rPr>
          <w:lang w:val="en-GB"/>
        </w:rPr>
      </w:pPr>
      <w:r w:rsidRPr="00380B40">
        <w:rPr>
          <w:b/>
          <w:bCs/>
          <w:lang w:val="en-GB"/>
        </w:rPr>
        <w:t>5.8</w:t>
      </w:r>
      <w:r w:rsidRPr="00380B40">
        <w:rPr>
          <w:lang w:val="en-GB"/>
        </w:rPr>
        <w:tab/>
        <w:t>The Director shall submit for preliminary examination by the Budget Control Committee, and thereafter for approval by WTSA, the accounts for expenses incurred for the current WTSA.</w:t>
      </w:r>
    </w:p>
    <w:p w14:paraId="13B072EF" w14:textId="77777777" w:rsidR="00AC491A" w:rsidRPr="00380B40" w:rsidRDefault="00AC491A" w:rsidP="00AC491A">
      <w:pPr>
        <w:rPr>
          <w:lang w:val="en-GB"/>
        </w:rPr>
      </w:pPr>
      <w:r w:rsidRPr="00380B40">
        <w:rPr>
          <w:b/>
          <w:bCs/>
          <w:lang w:val="en-GB"/>
        </w:rPr>
        <w:t>5.9</w:t>
      </w:r>
      <w:r w:rsidRPr="00380B40">
        <w:rPr>
          <w:lang w:val="en-GB"/>
        </w:rPr>
        <w:tab/>
        <w:t>The Director shall submit to WTSA a report on the proposals that have been received from TSAG (see 4.9) concerning the organization, terms of reference and work programme of study groups and other groups for the next study period, as well as proposals on ways and means to increase ITU resources through ITU</w:t>
      </w:r>
      <w:r w:rsidRPr="00380B40">
        <w:rPr>
          <w:lang w:val="en-GB"/>
        </w:rPr>
        <w:noBreakHyphen/>
        <w:t>T. The Director may give views on these proposals.</w:t>
      </w:r>
    </w:p>
    <w:p w14:paraId="7335E95A" w14:textId="77777777" w:rsidR="00AC491A" w:rsidRPr="00380B40" w:rsidRDefault="00AC491A" w:rsidP="00AC491A">
      <w:pPr>
        <w:rPr>
          <w:lang w:val="en-GB"/>
        </w:rPr>
      </w:pPr>
      <w:r w:rsidRPr="00380B40">
        <w:rPr>
          <w:b/>
          <w:bCs/>
          <w:lang w:val="en-GB"/>
        </w:rPr>
        <w:t>5.10</w:t>
      </w:r>
      <w:r w:rsidRPr="00380B40">
        <w:rPr>
          <w:lang w:val="en-GB"/>
        </w:rPr>
        <w:tab/>
        <w:t>In addition, the Director may, within the limits specified in the Convention, submit to WTSA any report or advice which would help to improve the work of ITU</w:t>
      </w:r>
      <w:r w:rsidRPr="00380B40">
        <w:rPr>
          <w:lang w:val="en-GB"/>
        </w:rPr>
        <w:noBreakHyphen/>
        <w:t>T. In particular, the Director shall submit to WTSA such advice concerning the organization and terms of reference of the study groups for the next study period as may be considered necessary.</w:t>
      </w:r>
    </w:p>
    <w:p w14:paraId="76461A2D" w14:textId="77777777" w:rsidR="00AC491A" w:rsidRPr="00380B40" w:rsidRDefault="00AC491A" w:rsidP="00AC491A">
      <w:pPr>
        <w:rPr>
          <w:lang w:val="en-GB"/>
        </w:rPr>
      </w:pPr>
      <w:r w:rsidRPr="00380B40">
        <w:rPr>
          <w:b/>
          <w:bCs/>
          <w:lang w:val="en-GB"/>
        </w:rPr>
        <w:t>5.11</w:t>
      </w:r>
      <w:r w:rsidRPr="00380B40">
        <w:rPr>
          <w:lang w:val="en-GB"/>
        </w:rPr>
        <w:tab/>
        <w:t>The Director may consult study group and TSAG chairmen regarding proposals for potential candidates for study group and TSAG chairmanships and vice</w:t>
      </w:r>
      <w:r w:rsidRPr="00380B40">
        <w:rPr>
          <w:lang w:val="en-GB"/>
        </w:rPr>
        <w:noBreakHyphen/>
        <w:t>chairmanships, for consideration by the heads of delegation.</w:t>
      </w:r>
    </w:p>
    <w:p w14:paraId="7A67338B" w14:textId="77777777" w:rsidR="00AC491A" w:rsidRPr="00380B40" w:rsidRDefault="00AC491A" w:rsidP="00AC491A">
      <w:pPr>
        <w:rPr>
          <w:lang w:val="en-GB"/>
        </w:rPr>
      </w:pPr>
      <w:r w:rsidRPr="00380B40">
        <w:rPr>
          <w:b/>
          <w:bCs/>
          <w:lang w:val="en-GB"/>
        </w:rPr>
        <w:t>5.12</w:t>
      </w:r>
      <w:r w:rsidRPr="00380B40">
        <w:rPr>
          <w:lang w:val="en-GB"/>
        </w:rPr>
        <w:tab/>
        <w:t>After the close of WTSA, the Director shall supply administrations of Member States and Sector Members and other duly authorized entities taking part in the activities of ITU</w:t>
      </w:r>
      <w:r w:rsidRPr="00380B40">
        <w:rPr>
          <w:lang w:val="en-GB"/>
        </w:rPr>
        <w:noBreakHyphen/>
        <w:t>T with a list of the study groups and other groups set up by WTSA, indicating the general areas of responsibility and the Questions that have been referred to the various groups for study.</w:t>
      </w:r>
    </w:p>
    <w:p w14:paraId="64315DCB" w14:textId="77777777" w:rsidR="00AC491A" w:rsidRPr="00380B40" w:rsidRDefault="00AC491A" w:rsidP="00AC491A">
      <w:pPr>
        <w:rPr>
          <w:lang w:val="en-GB"/>
        </w:rPr>
      </w:pPr>
      <w:r w:rsidRPr="00380B40">
        <w:rPr>
          <w:lang w:val="en-GB"/>
        </w:rPr>
        <w:t>Furthermore, the Director shall supply appropriate international organizations with a list of the study groups and other groups set up by WTSA, asking them to advise the Director of the study groups or other groups in which they wish to participate in an advisory capacity.</w:t>
      </w:r>
    </w:p>
    <w:p w14:paraId="54E83027" w14:textId="77777777" w:rsidR="00AC491A" w:rsidRPr="00380B40" w:rsidRDefault="00AC491A" w:rsidP="00AC491A">
      <w:pPr>
        <w:rPr>
          <w:lang w:val="en-GB"/>
        </w:rPr>
      </w:pPr>
      <w:r w:rsidRPr="00380B40">
        <w:rPr>
          <w:b/>
          <w:bCs/>
          <w:lang w:val="en-GB"/>
        </w:rPr>
        <w:t>5.13</w:t>
      </w:r>
      <w:r w:rsidRPr="00380B40">
        <w:rPr>
          <w:lang w:val="en-GB"/>
        </w:rPr>
        <w:tab/>
        <w:t>Administrations of Member States, Sector Members and other participating organizations are invited to supply these particulars after each WTSA as soon as possible, and not later than two months after they have received the Director's circular, and to update them regularly.</w:t>
      </w:r>
    </w:p>
    <w:p w14:paraId="6A8C2839" w14:textId="77777777" w:rsidR="00AC491A" w:rsidRPr="00380B40" w:rsidRDefault="00AC491A" w:rsidP="00AC491A">
      <w:pPr>
        <w:rPr>
          <w:b/>
          <w:bCs/>
          <w:lang w:val="en-GB"/>
        </w:rPr>
      </w:pPr>
      <w:r w:rsidRPr="00380B40">
        <w:rPr>
          <w:b/>
          <w:bCs/>
          <w:lang w:val="en-GB"/>
        </w:rPr>
        <w:t>5.14</w:t>
      </w:r>
      <w:r w:rsidRPr="00380B40">
        <w:rPr>
          <w:lang w:val="en-GB"/>
        </w:rPr>
        <w:tab/>
        <w:t>In the interval between WTSAs, when circumstances so demand, the Director is authorized to take exceptional measures to ensure the efficiency of the work of ITU</w:t>
      </w:r>
      <w:r w:rsidRPr="00380B40">
        <w:rPr>
          <w:lang w:val="en-GB"/>
        </w:rPr>
        <w:noBreakHyphen/>
        <w:t>T within the limits of the appropriations available.</w:t>
      </w:r>
    </w:p>
    <w:p w14:paraId="1DF00DAB" w14:textId="77777777" w:rsidR="009269CA" w:rsidRPr="00380B40" w:rsidRDefault="009269CA" w:rsidP="00AC1010">
      <w:pPr>
        <w:rPr>
          <w:b/>
          <w:bCs/>
          <w:lang w:val="en-GB"/>
        </w:rPr>
      </w:pPr>
      <w:r w:rsidRPr="00380B40">
        <w:rPr>
          <w:b/>
          <w:bCs/>
          <w:lang w:val="en-GB"/>
        </w:rPr>
        <w:br w:type="page"/>
      </w:r>
    </w:p>
    <w:p w14:paraId="1D490F5F" w14:textId="77777777" w:rsidR="00AC1010" w:rsidRPr="00380B40" w:rsidRDefault="00AC491A" w:rsidP="00AC1010">
      <w:pPr>
        <w:rPr>
          <w:lang w:val="en-GB"/>
        </w:rPr>
      </w:pPr>
      <w:r w:rsidRPr="00380B40">
        <w:rPr>
          <w:b/>
          <w:bCs/>
          <w:lang w:val="en-GB"/>
        </w:rPr>
        <w:t>5.15</w:t>
      </w:r>
      <w:r w:rsidRPr="00380B40">
        <w:rPr>
          <w:lang w:val="en-GB"/>
        </w:rPr>
        <w:tab/>
        <w:t>In the interval between WTSAs, the Director may request assistance from the chairmen of study groups and the chairman of TSAG regarding the allocation of available financial and human resources so to be able to ensure the most efficient work of ITU</w:t>
      </w:r>
      <w:r w:rsidRPr="00380B40">
        <w:rPr>
          <w:lang w:val="en-GB"/>
        </w:rPr>
        <w:noBreakHyphen/>
        <w:t>T.</w:t>
      </w:r>
    </w:p>
    <w:p w14:paraId="16DF7679" w14:textId="77777777" w:rsidR="00AC491A" w:rsidRPr="00380B40" w:rsidRDefault="00AC491A" w:rsidP="00AC491A">
      <w:pPr>
        <w:rPr>
          <w:lang w:val="en-GB"/>
        </w:rPr>
      </w:pPr>
      <w:r w:rsidRPr="00380B40">
        <w:rPr>
          <w:b/>
          <w:bCs/>
          <w:lang w:val="en-GB"/>
        </w:rPr>
        <w:t>5.16</w:t>
      </w:r>
      <w:r w:rsidRPr="00380B40">
        <w:rPr>
          <w:lang w:val="en-GB"/>
        </w:rPr>
        <w:tab/>
        <w:t>In consultation with the chairmen of study groups and the chairman of TSAG, the Director shall ensure an appropriate flow of executive summary information on the work of the study groups. This information should be designed to assist in following and appreciating the overall significance of the work progressing in ITU</w:t>
      </w:r>
      <w:r w:rsidRPr="00380B40">
        <w:rPr>
          <w:lang w:val="en-GB"/>
        </w:rPr>
        <w:noBreakHyphen/>
        <w:t>T.</w:t>
      </w:r>
    </w:p>
    <w:p w14:paraId="15D0B3F6" w14:textId="77777777" w:rsidR="00AC491A" w:rsidRPr="00380B40" w:rsidRDefault="00AC491A" w:rsidP="00AC491A">
      <w:pPr>
        <w:rPr>
          <w:lang w:val="en-GB"/>
        </w:rPr>
      </w:pPr>
      <w:r w:rsidRPr="00380B40">
        <w:rPr>
          <w:b/>
          <w:bCs/>
          <w:lang w:val="en-GB"/>
        </w:rPr>
        <w:t>5.17</w:t>
      </w:r>
      <w:r w:rsidRPr="00380B40">
        <w:rPr>
          <w:lang w:val="en-GB"/>
        </w:rPr>
        <w:tab/>
        <w:t>The Director shall foster cooperation and coordination with the other standardization organizations for the benefit of all members and report to TSAG on these efforts.</w:t>
      </w:r>
    </w:p>
    <w:p w14:paraId="02949A18" w14:textId="77777777" w:rsidR="00AC491A" w:rsidRPr="00380B40" w:rsidRDefault="00AC491A" w:rsidP="00AC491A">
      <w:pPr>
        <w:pStyle w:val="SectionNo"/>
        <w:rPr>
          <w:lang w:val="en-GB"/>
        </w:rPr>
      </w:pPr>
      <w:bookmarkStart w:id="39" w:name="_Toc111636714"/>
      <w:r w:rsidRPr="00380B40">
        <w:rPr>
          <w:lang w:val="en-GB"/>
        </w:rPr>
        <w:t>SECTION 6</w:t>
      </w:r>
      <w:bookmarkEnd w:id="39"/>
    </w:p>
    <w:p w14:paraId="19E84743" w14:textId="77777777" w:rsidR="00AC491A" w:rsidRPr="00380B40" w:rsidRDefault="00AC491A" w:rsidP="00202A50">
      <w:pPr>
        <w:pStyle w:val="Sectiontitle"/>
      </w:pPr>
      <w:bookmarkStart w:id="40" w:name="_Toc111636715"/>
      <w:r w:rsidRPr="00380B40">
        <w:t>Contributions</w:t>
      </w:r>
      <w:bookmarkEnd w:id="40"/>
    </w:p>
    <w:p w14:paraId="7F02A630" w14:textId="77777777" w:rsidR="00AC491A" w:rsidRPr="00380B40" w:rsidRDefault="00AC491A" w:rsidP="00AC491A">
      <w:pPr>
        <w:rPr>
          <w:lang w:val="en-GB"/>
        </w:rPr>
      </w:pPr>
      <w:r w:rsidRPr="00380B40">
        <w:rPr>
          <w:b/>
          <w:bCs/>
          <w:lang w:val="en-GB"/>
        </w:rPr>
        <w:t>6.1</w:t>
      </w:r>
      <w:r w:rsidRPr="00380B40">
        <w:rPr>
          <w:lang w:val="en-GB"/>
        </w:rPr>
        <w:tab/>
        <w:t>Contributions should be submitted not later than one month before the opening of WTSA, and at any event the submission deadline for all contributions to WTSA, in accordance with Resolution 165 (Rev. Dubai, 2018) of the Plenipotentiary Conference, shall be not later than 21 calendar days before the opening of WTSA in order to allow for their timely translation and thorough consideration by delegations. TSB shall immediately publish all contributions submitted to WTSA in their original language(s) on the WTSA website, even before their translation into the other official languages of the Union.</w:t>
      </w:r>
    </w:p>
    <w:p w14:paraId="23AE6FE8" w14:textId="77777777" w:rsidR="00AC491A" w:rsidRPr="00380B40" w:rsidRDefault="00AC491A" w:rsidP="00AC491A">
      <w:pPr>
        <w:rPr>
          <w:lang w:val="en-GB"/>
        </w:rPr>
      </w:pPr>
      <w:r w:rsidRPr="00380B40">
        <w:rPr>
          <w:lang w:val="en-GB"/>
        </w:rPr>
        <w:t>Inputs from the ITU secretariat, including reports from the study groups, TSAG, the Director of TSB, and others, shall be published no later than 35 calendar days before the opening of WTSA in order to ensure timely translation and careful consideration of such documents by delegations.</w:t>
      </w:r>
    </w:p>
    <w:p w14:paraId="7607E37B" w14:textId="77777777" w:rsidR="00AC491A" w:rsidRPr="00380B40" w:rsidRDefault="00AC491A" w:rsidP="00AC491A">
      <w:pPr>
        <w:rPr>
          <w:lang w:val="en-GB"/>
        </w:rPr>
      </w:pPr>
      <w:r w:rsidRPr="00380B40">
        <w:rPr>
          <w:b/>
          <w:lang w:val="en-GB"/>
        </w:rPr>
        <w:t>6.2</w:t>
      </w:r>
      <w:r w:rsidRPr="00380B40">
        <w:rPr>
          <w:lang w:val="en-GB"/>
        </w:rPr>
        <w:tab/>
        <w:t>Contributions to meetings of study groups, working parties and TSAG shall be formatted in accordance with Recommendation ITU</w:t>
      </w:r>
      <w:r w:rsidRPr="00380B40">
        <w:rPr>
          <w:lang w:val="en-GB"/>
        </w:rPr>
        <w:noBreakHyphen/>
        <w:t xml:space="preserve">T A.2. </w:t>
      </w:r>
    </w:p>
    <w:p w14:paraId="27AEDB79" w14:textId="77777777" w:rsidR="00AC491A" w:rsidRPr="00380B40" w:rsidRDefault="00AC491A" w:rsidP="00AC491A">
      <w:pPr>
        <w:rPr>
          <w:lang w:val="en-GB"/>
        </w:rPr>
      </w:pPr>
      <w:r w:rsidRPr="00380B40">
        <w:rPr>
          <w:b/>
          <w:bCs/>
          <w:lang w:val="en-GB"/>
        </w:rPr>
        <w:t xml:space="preserve">6.3 </w:t>
      </w:r>
      <w:r w:rsidRPr="00380B40">
        <w:rPr>
          <w:b/>
          <w:bCs/>
          <w:lang w:val="en-GB"/>
        </w:rPr>
        <w:tab/>
      </w:r>
      <w:r w:rsidRPr="00380B40">
        <w:rPr>
          <w:lang w:val="en-GB"/>
        </w:rPr>
        <w:t>Submission and processing of contributions to meetings of study groups, working parties and TSAG shall be in accordance with the provisions of Recommendation ITU-T A.1.</w:t>
      </w:r>
    </w:p>
    <w:p w14:paraId="7A26791C" w14:textId="77777777" w:rsidR="009269CA" w:rsidRPr="00380B40" w:rsidRDefault="009269CA" w:rsidP="00AC491A">
      <w:pPr>
        <w:rPr>
          <w:lang w:val="en-GB"/>
        </w:rPr>
      </w:pPr>
    </w:p>
    <w:p w14:paraId="3101244E" w14:textId="77777777" w:rsidR="009269CA" w:rsidRPr="00380B40" w:rsidRDefault="009269CA" w:rsidP="00AC491A">
      <w:pPr>
        <w:rPr>
          <w:lang w:val="en-GB"/>
        </w:rPr>
      </w:pPr>
    </w:p>
    <w:p w14:paraId="13DA8501" w14:textId="77777777" w:rsidR="009269CA" w:rsidRPr="00380B40" w:rsidRDefault="009269CA" w:rsidP="00AC491A">
      <w:pPr>
        <w:rPr>
          <w:lang w:val="en-GB"/>
        </w:rPr>
      </w:pPr>
    </w:p>
    <w:p w14:paraId="412D2179" w14:textId="77777777" w:rsidR="009269CA" w:rsidRPr="00380B40" w:rsidRDefault="009269CA" w:rsidP="00AC491A">
      <w:pPr>
        <w:rPr>
          <w:lang w:val="en-GB"/>
        </w:rPr>
      </w:pPr>
      <w:r w:rsidRPr="00380B40">
        <w:rPr>
          <w:lang w:val="en-GB"/>
        </w:rPr>
        <w:br w:type="page"/>
      </w:r>
    </w:p>
    <w:p w14:paraId="7B69FBF1" w14:textId="77777777" w:rsidR="00AC491A" w:rsidRPr="00380B40" w:rsidRDefault="00AC491A" w:rsidP="00AC491A">
      <w:pPr>
        <w:pStyle w:val="SectionNo"/>
        <w:rPr>
          <w:lang w:val="en-GB"/>
        </w:rPr>
      </w:pPr>
      <w:bookmarkStart w:id="41" w:name="_Toc111636716"/>
      <w:r w:rsidRPr="00380B40">
        <w:rPr>
          <w:lang w:val="en-GB"/>
        </w:rPr>
        <w:t>SECTION 7</w:t>
      </w:r>
      <w:bookmarkEnd w:id="41"/>
    </w:p>
    <w:p w14:paraId="2BF3365A" w14:textId="77777777" w:rsidR="00AC491A" w:rsidRPr="00380B40" w:rsidRDefault="00AC491A" w:rsidP="00202A50">
      <w:pPr>
        <w:pStyle w:val="Sectiontitle"/>
        <w:rPr>
          <w:bCs/>
          <w:caps/>
        </w:rPr>
      </w:pPr>
      <w:bookmarkStart w:id="42" w:name="_Toc111636717"/>
      <w:r w:rsidRPr="00380B40">
        <w:t>Development, adoption and approval of new and revised Questions</w:t>
      </w:r>
      <w:bookmarkEnd w:id="42"/>
    </w:p>
    <w:p w14:paraId="2C78E074" w14:textId="77777777" w:rsidR="00AC491A" w:rsidRPr="00380B40" w:rsidRDefault="00AC491A" w:rsidP="00AC491A">
      <w:pPr>
        <w:pStyle w:val="Heading2"/>
        <w:rPr>
          <w:lang w:val="en-GB"/>
        </w:rPr>
      </w:pPr>
      <w:bookmarkStart w:id="43" w:name="_Toc111636718"/>
      <w:r w:rsidRPr="00380B40">
        <w:rPr>
          <w:lang w:val="en-GB"/>
        </w:rPr>
        <w:t>7.1</w:t>
      </w:r>
      <w:r w:rsidRPr="00380B40">
        <w:rPr>
          <w:lang w:val="en-GB"/>
        </w:rPr>
        <w:tab/>
        <w:t>Common elements of the development and revision of Questions</w:t>
      </w:r>
      <w:bookmarkEnd w:id="43"/>
    </w:p>
    <w:p w14:paraId="3447A01A" w14:textId="77777777" w:rsidR="00AC491A" w:rsidRPr="00380B40" w:rsidRDefault="00AC491A" w:rsidP="00AC491A">
      <w:pPr>
        <w:rPr>
          <w:lang w:val="en-GB"/>
        </w:rPr>
      </w:pPr>
      <w:r w:rsidRPr="00380B40">
        <w:rPr>
          <w:b/>
          <w:lang w:val="en-GB"/>
        </w:rPr>
        <w:t>7.1.0</w:t>
      </w:r>
      <w:r w:rsidRPr="00380B40">
        <w:rPr>
          <w:lang w:val="en-GB"/>
        </w:rPr>
        <w:tab/>
        <w:t>Development of a draft new or revised Question for approval and inclusion in the work programme of ITU</w:t>
      </w:r>
      <w:r w:rsidRPr="00380B40">
        <w:rPr>
          <w:lang w:val="en-GB"/>
        </w:rPr>
        <w:noBreakHyphen/>
        <w:t xml:space="preserve">T may be processed, preferably: </w:t>
      </w:r>
    </w:p>
    <w:p w14:paraId="3AD5D6BE" w14:textId="77777777" w:rsidR="00AC491A" w:rsidRPr="00380B40" w:rsidRDefault="00AC491A" w:rsidP="00AC491A">
      <w:pPr>
        <w:pStyle w:val="enumlev1"/>
        <w:rPr>
          <w:lang w:val="en-GB"/>
        </w:rPr>
      </w:pPr>
      <w:r w:rsidRPr="00380B40">
        <w:rPr>
          <w:iCs/>
          <w:lang w:val="en-GB"/>
        </w:rPr>
        <w:t>a)</w:t>
      </w:r>
      <w:r w:rsidRPr="00380B40">
        <w:rPr>
          <w:lang w:val="en-GB"/>
        </w:rPr>
        <w:tab/>
        <w:t>through a study group and further consideration in TSAG;</w:t>
      </w:r>
    </w:p>
    <w:p w14:paraId="389C13EF" w14:textId="77777777" w:rsidR="00AC491A" w:rsidRPr="00380B40" w:rsidRDefault="00AC491A" w:rsidP="00AC491A">
      <w:pPr>
        <w:pStyle w:val="enumlev1"/>
        <w:rPr>
          <w:lang w:val="en-GB"/>
        </w:rPr>
      </w:pPr>
      <w:r w:rsidRPr="00380B40">
        <w:rPr>
          <w:lang w:val="en-GB"/>
        </w:rPr>
        <w:t>b)</w:t>
      </w:r>
      <w:r w:rsidRPr="00380B40">
        <w:rPr>
          <w:lang w:val="en-GB"/>
        </w:rPr>
        <w:tab/>
        <w:t>through a study group and further consideration in the relevant committee of WTSA, when the study group meeting is its last in the study period prior to a WTSA;</w:t>
      </w:r>
    </w:p>
    <w:p w14:paraId="56B59AA7" w14:textId="77777777" w:rsidR="00AC491A" w:rsidRPr="00380B40" w:rsidRDefault="00AC491A" w:rsidP="00AC491A">
      <w:pPr>
        <w:pStyle w:val="enumlev1"/>
        <w:rPr>
          <w:lang w:val="en-GB"/>
        </w:rPr>
      </w:pPr>
      <w:r w:rsidRPr="00380B40">
        <w:rPr>
          <w:lang w:val="en-GB"/>
        </w:rPr>
        <w:t>c)</w:t>
      </w:r>
      <w:r w:rsidRPr="00380B40">
        <w:rPr>
          <w:lang w:val="en-GB"/>
        </w:rPr>
        <w:tab/>
        <w:t>through a study group where urgent treatment is justified;</w:t>
      </w:r>
    </w:p>
    <w:p w14:paraId="0FFAE8EA" w14:textId="77777777" w:rsidR="00AC491A" w:rsidRPr="00380B40" w:rsidRDefault="00AC491A" w:rsidP="00AC1010">
      <w:pPr>
        <w:rPr>
          <w:lang w:val="en-GB"/>
        </w:rPr>
      </w:pPr>
      <w:r w:rsidRPr="00380B40">
        <w:rPr>
          <w:lang w:val="en-GB"/>
        </w:rPr>
        <w:t>or,</w:t>
      </w:r>
    </w:p>
    <w:p w14:paraId="27C6103B" w14:textId="77777777" w:rsidR="00AC491A" w:rsidRPr="00380B40" w:rsidRDefault="00AC491A" w:rsidP="00AC491A">
      <w:pPr>
        <w:pStyle w:val="enumlev1"/>
        <w:rPr>
          <w:lang w:val="en-GB"/>
        </w:rPr>
      </w:pPr>
      <w:r w:rsidRPr="00380B40">
        <w:rPr>
          <w:lang w:val="en-GB"/>
        </w:rPr>
        <w:t>d)</w:t>
      </w:r>
      <w:r w:rsidRPr="00380B40">
        <w:rPr>
          <w:lang w:val="en-GB"/>
        </w:rPr>
        <w:tab/>
        <w:t>through WTSA (see 7.4.1).</w:t>
      </w:r>
    </w:p>
    <w:p w14:paraId="74697C40" w14:textId="77777777" w:rsidR="00AC491A" w:rsidRPr="00380B40" w:rsidRDefault="00AC491A" w:rsidP="00AC491A">
      <w:pPr>
        <w:rPr>
          <w:lang w:val="en-GB"/>
        </w:rPr>
      </w:pPr>
      <w:r w:rsidRPr="00380B40">
        <w:rPr>
          <w:lang w:val="en-GB"/>
        </w:rPr>
        <w:t>Figures 7.1a and 7.1b illustrate the adoption and approval process for new and revised Questions between WTSAs and at a WTSA, respectively.</w:t>
      </w:r>
    </w:p>
    <w:p w14:paraId="0DD094C5" w14:textId="77777777" w:rsidR="00AC491A" w:rsidRPr="00380B40" w:rsidRDefault="00AC491A" w:rsidP="00AC491A">
      <w:pPr>
        <w:rPr>
          <w:lang w:val="en-GB"/>
        </w:rPr>
      </w:pPr>
      <w:r w:rsidRPr="00380B40">
        <w:rPr>
          <w:b/>
          <w:bCs/>
          <w:lang w:val="en-GB"/>
        </w:rPr>
        <w:t>7.1.1</w:t>
      </w:r>
      <w:r w:rsidRPr="00380B40">
        <w:rPr>
          <w:lang w:val="en-GB"/>
        </w:rPr>
        <w:tab/>
        <w:t>Member States, and other duly authorized entities, shall submit proposed new or revised Questions as contributions to the study group meeting which will consider the new or revised Question(s).</w:t>
      </w:r>
    </w:p>
    <w:p w14:paraId="15E8043D" w14:textId="77777777" w:rsidR="00AC491A" w:rsidRPr="00380B40" w:rsidRDefault="00AC491A" w:rsidP="00AC491A">
      <w:pPr>
        <w:rPr>
          <w:lang w:val="en-GB"/>
        </w:rPr>
      </w:pPr>
      <w:r w:rsidRPr="00380B40">
        <w:rPr>
          <w:b/>
          <w:bCs/>
          <w:lang w:val="en-GB"/>
        </w:rPr>
        <w:t>7.1.2</w:t>
      </w:r>
      <w:r w:rsidRPr="00380B40">
        <w:rPr>
          <w:lang w:val="en-GB"/>
        </w:rPr>
        <w:tab/>
        <w:t>Each proposed Question should be formulated in terms of one or more specific task objectives and shall be accompanied by appropriate information as listed in Appendix I to this resolution, with the aim of managing as efficiently as possible the scarce ITU resources and optimizing the use of resources. This information should clearly justify the reasons for proposing the Question and indicate the degree of urgency, while taking into account the relationship with the work of other study groups and standardization bodies and No. 196 of the ITU Convention.</w:t>
      </w:r>
    </w:p>
    <w:p w14:paraId="00F75442" w14:textId="77777777" w:rsidR="00AC491A" w:rsidRPr="00380B40" w:rsidRDefault="00AC491A" w:rsidP="00AC491A">
      <w:pPr>
        <w:rPr>
          <w:lang w:val="en-GB"/>
        </w:rPr>
      </w:pPr>
      <w:r w:rsidRPr="00380B40">
        <w:rPr>
          <w:b/>
          <w:bCs/>
          <w:lang w:val="en-GB"/>
        </w:rPr>
        <w:t>7.1.3</w:t>
      </w:r>
      <w:r w:rsidRPr="00380B40">
        <w:rPr>
          <w:lang w:val="en-GB"/>
        </w:rPr>
        <w:tab/>
        <w:t>The proposed new or revised Questions shall be made available on the ITU website for consideration in accordance with the deadline for contributions described in Recommendation ITU-T A.1 (clause 3.1.9).</w:t>
      </w:r>
    </w:p>
    <w:p w14:paraId="2B680F04" w14:textId="77777777" w:rsidR="00AC491A" w:rsidRPr="00380B40" w:rsidRDefault="00AC491A" w:rsidP="00AC491A">
      <w:pPr>
        <w:rPr>
          <w:lang w:val="en-GB"/>
        </w:rPr>
      </w:pPr>
      <w:r w:rsidRPr="00380B40">
        <w:rPr>
          <w:b/>
          <w:bCs/>
          <w:lang w:val="en-GB"/>
        </w:rPr>
        <w:t>7.1.4</w:t>
      </w:r>
      <w:r w:rsidRPr="00380B40">
        <w:rPr>
          <w:lang w:val="en-GB"/>
        </w:rPr>
        <w:tab/>
        <w:t>New or revised Questions may also be proposed by a study group itself during a meeting.</w:t>
      </w:r>
    </w:p>
    <w:p w14:paraId="5214D848" w14:textId="77777777" w:rsidR="00AC491A" w:rsidRPr="00380B40" w:rsidRDefault="00AC491A" w:rsidP="00AC491A">
      <w:pPr>
        <w:rPr>
          <w:lang w:val="en-GB"/>
        </w:rPr>
      </w:pPr>
      <w:r w:rsidRPr="00380B40">
        <w:rPr>
          <w:b/>
          <w:bCs/>
          <w:lang w:val="en-GB"/>
        </w:rPr>
        <w:t>7.1.5</w:t>
      </w:r>
      <w:r w:rsidRPr="00380B40">
        <w:rPr>
          <w:b/>
          <w:bCs/>
          <w:lang w:val="en-GB"/>
        </w:rPr>
        <w:tab/>
      </w:r>
      <w:r w:rsidRPr="00380B40">
        <w:rPr>
          <w:lang w:val="en-GB"/>
        </w:rPr>
        <w:t>Each study group shall consider the proposed new or revised Questions to determine:</w:t>
      </w:r>
    </w:p>
    <w:p w14:paraId="04BA209B" w14:textId="77777777" w:rsidR="00AC491A" w:rsidRPr="00380B40" w:rsidRDefault="00AC491A" w:rsidP="00AC491A">
      <w:pPr>
        <w:pStyle w:val="enumlev1"/>
        <w:rPr>
          <w:lang w:val="en-GB"/>
        </w:rPr>
      </w:pPr>
      <w:r w:rsidRPr="00380B40">
        <w:rPr>
          <w:lang w:val="en-GB"/>
        </w:rPr>
        <w:t>i)</w:t>
      </w:r>
      <w:r w:rsidRPr="00380B40">
        <w:rPr>
          <w:lang w:val="en-GB"/>
        </w:rPr>
        <w:tab/>
        <w:t>the clear purpose of each proposed Question;</w:t>
      </w:r>
    </w:p>
    <w:p w14:paraId="73819F64" w14:textId="77777777" w:rsidR="009269CA" w:rsidRPr="00380B40" w:rsidRDefault="009269CA" w:rsidP="00AC491A">
      <w:pPr>
        <w:pStyle w:val="enumlev1"/>
        <w:rPr>
          <w:lang w:val="en-GB"/>
        </w:rPr>
      </w:pPr>
      <w:r w:rsidRPr="00380B40">
        <w:rPr>
          <w:lang w:val="en-GB"/>
        </w:rPr>
        <w:br w:type="page"/>
      </w:r>
    </w:p>
    <w:p w14:paraId="4ECCAB4D" w14:textId="77777777" w:rsidR="00AC491A" w:rsidRPr="00380B40" w:rsidRDefault="00AC491A" w:rsidP="00AC491A">
      <w:pPr>
        <w:pStyle w:val="enumlev1"/>
        <w:rPr>
          <w:lang w:val="en-GB"/>
        </w:rPr>
      </w:pPr>
      <w:r w:rsidRPr="00380B40">
        <w:rPr>
          <w:lang w:val="en-GB"/>
        </w:rPr>
        <w:t>ii)</w:t>
      </w:r>
      <w:r w:rsidRPr="00380B40">
        <w:rPr>
          <w:lang w:val="en-GB"/>
        </w:rPr>
        <w:tab/>
        <w:t>the priority and urgency of new Recommendation(s) desired, or changes to existing Recommendations resulting from the study of the Questions;</w:t>
      </w:r>
    </w:p>
    <w:p w14:paraId="1CD47913" w14:textId="77777777" w:rsidR="00AC491A" w:rsidRPr="00380B40" w:rsidRDefault="00AC491A" w:rsidP="00AC491A">
      <w:pPr>
        <w:pStyle w:val="enumlev1"/>
        <w:rPr>
          <w:lang w:val="en-GB"/>
        </w:rPr>
      </w:pPr>
      <w:r w:rsidRPr="00380B40">
        <w:rPr>
          <w:lang w:val="en-GB"/>
        </w:rPr>
        <w:t>iii)</w:t>
      </w:r>
      <w:r w:rsidRPr="00380B40">
        <w:rPr>
          <w:lang w:val="en-GB"/>
        </w:rPr>
        <w:tab/>
        <w:t>that there be as little overlap of work as possible between the proposed new or revised Questions both within the study group concerned and with Questions of other study groups. The work of other standardization organizations should also be considered.</w:t>
      </w:r>
    </w:p>
    <w:p w14:paraId="1E35880D" w14:textId="77777777" w:rsidR="00AC491A" w:rsidRPr="00380B40" w:rsidRDefault="00AC491A" w:rsidP="00AC491A">
      <w:pPr>
        <w:rPr>
          <w:lang w:val="en-GB"/>
        </w:rPr>
      </w:pPr>
      <w:r w:rsidRPr="00380B40">
        <w:rPr>
          <w:b/>
          <w:bCs/>
          <w:lang w:val="en-GB"/>
        </w:rPr>
        <w:t>7.1.5</w:t>
      </w:r>
      <w:r w:rsidRPr="00380B40">
        <w:rPr>
          <w:rStyle w:val="Bolditalic"/>
          <w:lang w:val="en-GB"/>
        </w:rPr>
        <w:t>bis</w:t>
      </w:r>
      <w:r w:rsidRPr="00380B40">
        <w:rPr>
          <w:lang w:val="en-GB"/>
        </w:rPr>
        <w:tab/>
        <w:t>Some Member States and Sector Members (normally at least four) have to commit themselves to support the work, e.g. by contributions, provision of rapporteurs or editors and/or hosting of meetings. The names of the supporting entities should be recorded in the meeting report, together with the type of support to which they are committing.</w:t>
      </w:r>
    </w:p>
    <w:p w14:paraId="06B10C67" w14:textId="77777777" w:rsidR="00AC491A" w:rsidRPr="00380B40" w:rsidRDefault="00AC491A" w:rsidP="00AC491A">
      <w:pPr>
        <w:rPr>
          <w:lang w:val="en-GB"/>
        </w:rPr>
      </w:pPr>
      <w:r w:rsidRPr="00380B40">
        <w:rPr>
          <w:b/>
          <w:bCs/>
          <w:lang w:val="en-GB"/>
        </w:rPr>
        <w:t>7.1.6</w:t>
      </w:r>
      <w:r w:rsidRPr="00380B40">
        <w:rPr>
          <w:lang w:val="en-GB"/>
        </w:rPr>
        <w:tab/>
        <w:t>Agreement by a study group to submit proposed new or revised Questions for approval is achieved by reaching consensus among the Member States and Sector Members present at the study group meeting where the proposed new or revised Question is discussed that the criteria in 7.1.5 have been satisfied.</w:t>
      </w:r>
    </w:p>
    <w:p w14:paraId="51358F4D" w14:textId="77777777" w:rsidR="00AC491A" w:rsidRPr="00380B40" w:rsidRDefault="00AC491A" w:rsidP="00AC491A">
      <w:pPr>
        <w:rPr>
          <w:lang w:val="en-GB"/>
        </w:rPr>
      </w:pPr>
      <w:r w:rsidRPr="00380B40">
        <w:rPr>
          <w:b/>
          <w:bCs/>
          <w:lang w:val="en-GB"/>
        </w:rPr>
        <w:t>7.1.7</w:t>
      </w:r>
      <w:r w:rsidRPr="00380B40">
        <w:rPr>
          <w:lang w:val="en-GB"/>
        </w:rPr>
        <w:tab/>
        <w:t>TSAG shall be made aware by liaison statement from the study groups of all proposed new or revised Questions, in order to allow it to consider the possible implications for the work of all ITU</w:t>
      </w:r>
      <w:r w:rsidRPr="00380B40">
        <w:rPr>
          <w:lang w:val="en-GB"/>
        </w:rPr>
        <w:noBreakHyphen/>
        <w:t>T study groups or other groups. In collaboration with the author(s) of proposed Questions, TSAG shall review and, if appropriate, may recommend changes to these Questions, taking into account the criteria in 7.1.5 above.</w:t>
      </w:r>
    </w:p>
    <w:p w14:paraId="0EC76C8B" w14:textId="77777777" w:rsidR="00AC491A" w:rsidRPr="00380B40" w:rsidRDefault="00AC491A" w:rsidP="00AC491A">
      <w:pPr>
        <w:rPr>
          <w:lang w:val="en-GB"/>
        </w:rPr>
      </w:pPr>
      <w:r w:rsidRPr="00380B40">
        <w:rPr>
          <w:b/>
          <w:bCs/>
          <w:lang w:val="en-GB"/>
        </w:rPr>
        <w:t>7.1.8</w:t>
      </w:r>
      <w:r w:rsidRPr="00380B40">
        <w:rPr>
          <w:lang w:val="en-GB"/>
        </w:rPr>
        <w:tab/>
        <w:t>The opportunity for review of the Questions by TSAG prior to approval may be dispensed with only where urgent approval of the proposed Question is justified in the opinion of the Director of TSB, after consulting the chairman of TSAG and the chairman of any other study groups where overlap or liaison problems could arise. This shall not apply to proposed new or revised Questions that have policy or regulatory implications, or about the scope of which there is any doubt (see Nos. 246D, 246F and 246H of the Convention).</w:t>
      </w:r>
    </w:p>
    <w:p w14:paraId="139BD5BC" w14:textId="77777777" w:rsidR="00AC491A" w:rsidRPr="00380B40" w:rsidRDefault="00AC491A" w:rsidP="00AC491A">
      <w:pPr>
        <w:rPr>
          <w:b/>
          <w:bCs/>
          <w:lang w:val="en-GB"/>
        </w:rPr>
      </w:pPr>
      <w:r w:rsidRPr="00380B40">
        <w:rPr>
          <w:b/>
          <w:bCs/>
          <w:lang w:val="en-GB"/>
        </w:rPr>
        <w:t>7.1.9</w:t>
      </w:r>
      <w:r w:rsidRPr="00380B40">
        <w:rPr>
          <w:lang w:val="en-GB"/>
        </w:rPr>
        <w:tab/>
        <w:t>A study group may agree to commence work on a draft new or revised Question before its approval.</w:t>
      </w:r>
    </w:p>
    <w:p w14:paraId="5C633A7A" w14:textId="77777777" w:rsidR="00AC491A" w:rsidRPr="00380B40" w:rsidRDefault="00AC491A" w:rsidP="00AC491A">
      <w:pPr>
        <w:rPr>
          <w:lang w:val="en-GB"/>
        </w:rPr>
      </w:pPr>
      <w:r w:rsidRPr="00380B40">
        <w:rPr>
          <w:b/>
          <w:bCs/>
          <w:lang w:val="en-GB"/>
        </w:rPr>
        <w:t>7.1.10</w:t>
      </w:r>
      <w:r w:rsidRPr="00380B40">
        <w:rPr>
          <w:b/>
          <w:bCs/>
          <w:lang w:val="en-GB"/>
        </w:rPr>
        <w:tab/>
      </w:r>
      <w:r w:rsidRPr="00380B40">
        <w:rPr>
          <w:lang w:val="en-GB"/>
        </w:rPr>
        <w:t>Questions approved between WTSAs have the same status as Questions approved at a WTSA.</w:t>
      </w:r>
    </w:p>
    <w:p w14:paraId="65C74877" w14:textId="77777777" w:rsidR="00AC491A" w:rsidRPr="00380B40" w:rsidRDefault="00AC491A" w:rsidP="00AC491A">
      <w:pPr>
        <w:rPr>
          <w:lang w:val="en-GB"/>
        </w:rPr>
      </w:pPr>
      <w:r w:rsidRPr="00380B40">
        <w:rPr>
          <w:b/>
          <w:bCs/>
          <w:lang w:val="en-GB"/>
        </w:rPr>
        <w:t>7.1.11</w:t>
      </w:r>
      <w:r w:rsidRPr="00380B40">
        <w:rPr>
          <w:lang w:val="en-GB"/>
        </w:rPr>
        <w:tab/>
        <w:t>In order to allow for the specific characteristics of countries with economies in transition, developing countries</w:t>
      </w:r>
      <w:r w:rsidR="00FD162E" w:rsidRPr="00380B40">
        <w:rPr>
          <w:rStyle w:val="FootnoteReference"/>
          <w:lang w:val="en-GB"/>
        </w:rPr>
        <w:footnoteReference w:id="7"/>
      </w:r>
      <w:r w:rsidRPr="00380B40">
        <w:rPr>
          <w:lang w:val="en-GB"/>
        </w:rPr>
        <w:t>, and especially the least developed countries, TSB shall take account of the relevant provisions of WTSA Resolution 44 (Rev. Geneva, 2022) in responding to any request submitted by such countries through the Telecommunication Development Bureau (BDT), particularly with regard to matters related to training, information, examination of questions which are not covered by the ITU</w:t>
      </w:r>
      <w:r w:rsidRPr="00380B40">
        <w:rPr>
          <w:lang w:val="en-GB"/>
        </w:rPr>
        <w:noBreakHyphen/>
        <w:t>D study groups, and technical assistance required for the examination of certain questions by the ITU</w:t>
      </w:r>
      <w:r w:rsidRPr="00380B40">
        <w:rPr>
          <w:lang w:val="en-GB"/>
        </w:rPr>
        <w:noBreakHyphen/>
        <w:t>D study groups.</w:t>
      </w:r>
    </w:p>
    <w:p w14:paraId="2933D785" w14:textId="77777777" w:rsidR="009269CA" w:rsidRPr="00380B40" w:rsidRDefault="009269CA" w:rsidP="00AC491A">
      <w:pPr>
        <w:rPr>
          <w:lang w:val="en-GB"/>
        </w:rPr>
      </w:pPr>
      <w:r w:rsidRPr="00380B40">
        <w:rPr>
          <w:lang w:val="en-GB"/>
        </w:rPr>
        <w:br w:type="page"/>
      </w:r>
    </w:p>
    <w:p w14:paraId="44DFDE6F" w14:textId="77777777" w:rsidR="00AC491A" w:rsidRPr="00380B40" w:rsidRDefault="00AC491A" w:rsidP="00AC491A">
      <w:pPr>
        <w:pStyle w:val="Heading2"/>
        <w:rPr>
          <w:lang w:val="en-GB"/>
        </w:rPr>
      </w:pPr>
      <w:bookmarkStart w:id="44" w:name="_Toc111636719"/>
      <w:r w:rsidRPr="00380B40">
        <w:rPr>
          <w:lang w:val="en-GB"/>
        </w:rPr>
        <w:t>7.2</w:t>
      </w:r>
      <w:r w:rsidRPr="00380B40">
        <w:rPr>
          <w:lang w:val="en-GB"/>
        </w:rPr>
        <w:tab/>
        <w:t>Adoption of new or revised Questions between WTSAs</w:t>
      </w:r>
      <w:bookmarkEnd w:id="44"/>
    </w:p>
    <w:p w14:paraId="5B652F59" w14:textId="77777777" w:rsidR="00AC491A" w:rsidRPr="00380B40" w:rsidRDefault="00AC491A" w:rsidP="00AC491A">
      <w:pPr>
        <w:rPr>
          <w:lang w:val="en-GB"/>
        </w:rPr>
      </w:pPr>
      <w:r w:rsidRPr="00380B40">
        <w:rPr>
          <w:b/>
          <w:lang w:val="en-GB"/>
        </w:rPr>
        <w:t>7.2.1</w:t>
      </w:r>
      <w:r w:rsidRPr="00380B40">
        <w:rPr>
          <w:b/>
          <w:lang w:val="en-GB"/>
        </w:rPr>
        <w:tab/>
      </w:r>
      <w:r w:rsidRPr="00380B40">
        <w:rPr>
          <w:lang w:val="en-GB"/>
        </w:rPr>
        <w:t>Agreement by a study group to submit proposed new or revised Questions for review by TSAG is achieved by reaching consensus among the Member States and Sector Members present at the study group meeting. The text of such Questions shall satisfy the criteria listed in 7.1.5 above.</w:t>
      </w:r>
    </w:p>
    <w:p w14:paraId="53D6602B" w14:textId="77777777" w:rsidR="00AC491A" w:rsidRPr="00380B40" w:rsidRDefault="00AC491A" w:rsidP="00AC491A">
      <w:pPr>
        <w:pStyle w:val="Figure"/>
        <w:rPr>
          <w:lang w:val="en-GB"/>
        </w:rPr>
      </w:pPr>
      <w:r w:rsidRPr="00380B40">
        <w:rPr>
          <w:noProof/>
          <w:lang w:val="en-US" w:eastAsia="zh-CN"/>
        </w:rPr>
        <mc:AlternateContent>
          <mc:Choice Requires="wps">
            <w:drawing>
              <wp:anchor distT="0" distB="0" distL="114300" distR="114300" simplePos="0" relativeHeight="251674624" behindDoc="0" locked="0" layoutInCell="1" allowOverlap="1" wp14:anchorId="1FA8F252" wp14:editId="2F64F5F4">
                <wp:simplePos x="0" y="0"/>
                <wp:positionH relativeFrom="column">
                  <wp:posOffset>0</wp:posOffset>
                </wp:positionH>
                <wp:positionV relativeFrom="paragraph">
                  <wp:posOffset>0</wp:posOffset>
                </wp:positionV>
                <wp:extent cx="635000" cy="635000"/>
                <wp:effectExtent l="0" t="0" r="3175" b="3175"/>
                <wp:wrapNone/>
                <wp:docPr id="1991" name="Rectangle 19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D023103" id="Rectangle 1991"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380B40">
        <w:rPr>
          <w:noProof/>
          <w:lang w:val="en-US" w:eastAsia="zh-CN"/>
        </w:rPr>
        <mc:AlternateContent>
          <mc:Choice Requires="wps">
            <w:drawing>
              <wp:anchor distT="0" distB="0" distL="114300" distR="114300" simplePos="0" relativeHeight="251675648" behindDoc="0" locked="0" layoutInCell="1" allowOverlap="1" wp14:anchorId="4F3C5407" wp14:editId="587067D5">
                <wp:simplePos x="0" y="0"/>
                <wp:positionH relativeFrom="column">
                  <wp:posOffset>0</wp:posOffset>
                </wp:positionH>
                <wp:positionV relativeFrom="paragraph">
                  <wp:posOffset>0</wp:posOffset>
                </wp:positionV>
                <wp:extent cx="635000" cy="635000"/>
                <wp:effectExtent l="0" t="0" r="3175" b="3175"/>
                <wp:wrapNone/>
                <wp:docPr id="1990" name="Rectangle 199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6CE0524" id="Rectangle 1990"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380B40">
        <w:rPr>
          <w:noProof/>
          <w:lang w:val="en-US" w:eastAsia="zh-CN"/>
        </w:rPr>
        <mc:AlternateContent>
          <mc:Choice Requires="wps">
            <w:drawing>
              <wp:anchor distT="0" distB="0" distL="114300" distR="114300" simplePos="0" relativeHeight="251676672" behindDoc="0" locked="0" layoutInCell="1" allowOverlap="1" wp14:anchorId="6B4C47AB" wp14:editId="68665D89">
                <wp:simplePos x="0" y="0"/>
                <wp:positionH relativeFrom="column">
                  <wp:posOffset>0</wp:posOffset>
                </wp:positionH>
                <wp:positionV relativeFrom="paragraph">
                  <wp:posOffset>0</wp:posOffset>
                </wp:positionV>
                <wp:extent cx="635000" cy="635000"/>
                <wp:effectExtent l="0" t="0" r="3175" b="3175"/>
                <wp:wrapNone/>
                <wp:docPr id="1988" name="Rectangle 198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DA1FC1B" id="Rectangle 1988"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A0AF5" w:rsidRPr="00380B40">
        <w:rPr>
          <w:lang w:val="en-GB"/>
        </w:rPr>
        <w:object w:dxaOrig="15431" w:dyaOrig="9751" w14:anchorId="3A1F3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05pt;height:307.9pt" o:ole="">
            <v:imagedata r:id="rId26" o:title=""/>
          </v:shape>
          <o:OLEObject Type="Embed" ProgID="Visio.Drawing.15" ShapeID="_x0000_i1025" DrawAspect="Icon" ObjectID="_1724761176" r:id="rId27"/>
        </w:object>
      </w:r>
    </w:p>
    <w:p w14:paraId="06ECDA1C" w14:textId="77777777" w:rsidR="00AC491A" w:rsidRPr="00380B40" w:rsidRDefault="00AC491A" w:rsidP="00AC491A">
      <w:pPr>
        <w:pStyle w:val="Figuretitle"/>
      </w:pPr>
      <w:r w:rsidRPr="00380B40">
        <w:t>Figure 7.1a – Adoption and approval of new or revised Questions between WTSAs</w:t>
      </w:r>
    </w:p>
    <w:p w14:paraId="477829EE" w14:textId="77777777" w:rsidR="00AC491A" w:rsidRPr="00380B40" w:rsidRDefault="00AC491A" w:rsidP="00AC491A">
      <w:pPr>
        <w:rPr>
          <w:b/>
          <w:lang w:val="en-GB"/>
        </w:rPr>
      </w:pPr>
      <w:r w:rsidRPr="00380B40">
        <w:rPr>
          <w:b/>
          <w:lang w:val="en-GB"/>
        </w:rPr>
        <w:t>7.2.2</w:t>
      </w:r>
      <w:r w:rsidRPr="00380B40">
        <w:rPr>
          <w:b/>
          <w:lang w:val="en-GB"/>
        </w:rPr>
        <w:tab/>
      </w:r>
      <w:r w:rsidRPr="00380B40">
        <w:rPr>
          <w:lang w:val="en-GB"/>
        </w:rPr>
        <w:t>TSAG shall be made aware by liaison statement from the study groups of all proposed new or revised Questions, in order to allow it to consider the possible implications for the work of all ITU</w:t>
      </w:r>
      <w:r w:rsidRPr="00380B40">
        <w:rPr>
          <w:lang w:val="en-GB"/>
        </w:rPr>
        <w:noBreakHyphen/>
        <w:t>T study groups or other groups. TSAG shall review and, if appropriate, may recommend changes to these Questions, taking into account the criteria listed in 7.1.5 above.</w:t>
      </w:r>
    </w:p>
    <w:p w14:paraId="67ED6D6B" w14:textId="77777777" w:rsidR="00AC491A" w:rsidRPr="00380B40" w:rsidRDefault="00AC491A" w:rsidP="00AC491A">
      <w:pPr>
        <w:rPr>
          <w:b/>
          <w:lang w:val="en-GB"/>
        </w:rPr>
      </w:pPr>
      <w:r w:rsidRPr="00380B40">
        <w:rPr>
          <w:b/>
          <w:lang w:val="en-GB"/>
        </w:rPr>
        <w:t>7.2.3</w:t>
      </w:r>
      <w:r w:rsidRPr="00380B40">
        <w:rPr>
          <w:b/>
          <w:lang w:val="en-GB"/>
        </w:rPr>
        <w:tab/>
      </w:r>
      <w:r w:rsidRPr="00380B40">
        <w:rPr>
          <w:lang w:val="en-GB"/>
        </w:rPr>
        <w:t>In particular, TSAG shall review any new or revised Question to determine whether it is in line with the mandate of the study group. TSAG may then:</w:t>
      </w:r>
    </w:p>
    <w:p w14:paraId="1A8B9989" w14:textId="77777777" w:rsidR="00AC491A" w:rsidRPr="00380B40" w:rsidRDefault="00AC491A" w:rsidP="00AC491A">
      <w:pPr>
        <w:pStyle w:val="enumlev1"/>
        <w:rPr>
          <w:lang w:val="en-GB"/>
        </w:rPr>
      </w:pPr>
      <w:r w:rsidRPr="00380B40">
        <w:rPr>
          <w:lang w:val="en-GB"/>
        </w:rPr>
        <w:t>a)</w:t>
      </w:r>
      <w:r w:rsidRPr="00380B40">
        <w:rPr>
          <w:lang w:val="en-GB"/>
        </w:rPr>
        <w:tab/>
        <w:t>adopt the text of any proposed new or revised Question, in which case the proposed draft new or revised Question is submitted for approval according to the provisions set out in 7.3 below; or</w:t>
      </w:r>
    </w:p>
    <w:p w14:paraId="788DD350" w14:textId="77777777" w:rsidR="00AC491A" w:rsidRPr="00380B40" w:rsidRDefault="00AC491A" w:rsidP="00AC491A">
      <w:pPr>
        <w:pStyle w:val="enumlev1"/>
        <w:rPr>
          <w:lang w:val="en-GB"/>
        </w:rPr>
      </w:pPr>
      <w:r w:rsidRPr="00380B40">
        <w:rPr>
          <w:lang w:val="en-GB"/>
        </w:rPr>
        <w:t>b)</w:t>
      </w:r>
      <w:r w:rsidRPr="00380B40">
        <w:rPr>
          <w:lang w:val="en-GB"/>
        </w:rPr>
        <w:tab/>
        <w:t>recommend that it be modified, in which case the Question shall be returned to the relevant study group for reconsideration.</w:t>
      </w:r>
    </w:p>
    <w:p w14:paraId="73F0AD41" w14:textId="77777777" w:rsidR="009269CA" w:rsidRPr="00380B40" w:rsidRDefault="009269CA" w:rsidP="00AC491A">
      <w:pPr>
        <w:rPr>
          <w:b/>
          <w:bCs/>
          <w:lang w:val="en-GB"/>
        </w:rPr>
      </w:pPr>
      <w:r w:rsidRPr="00380B40">
        <w:rPr>
          <w:b/>
          <w:bCs/>
          <w:lang w:val="en-GB"/>
        </w:rPr>
        <w:br w:type="page"/>
      </w:r>
    </w:p>
    <w:p w14:paraId="733386EE" w14:textId="77777777" w:rsidR="00AC491A" w:rsidRPr="00380B40" w:rsidRDefault="00AC491A" w:rsidP="00AC491A">
      <w:pPr>
        <w:rPr>
          <w:lang w:val="en-GB"/>
        </w:rPr>
      </w:pPr>
      <w:r w:rsidRPr="00380B40">
        <w:rPr>
          <w:b/>
          <w:bCs/>
          <w:lang w:val="en-GB"/>
        </w:rPr>
        <w:t>7.2.4</w:t>
      </w:r>
      <w:r w:rsidRPr="00380B40">
        <w:rPr>
          <w:lang w:val="en-GB"/>
        </w:rPr>
        <w:tab/>
        <w:t>If TSAG recommends modifying the draft new or revised Question (7.2.3b) above), then the relevant study group may:</w:t>
      </w:r>
    </w:p>
    <w:p w14:paraId="1ACC3D18" w14:textId="77777777" w:rsidR="00AC491A" w:rsidRPr="00380B40" w:rsidRDefault="00AC491A" w:rsidP="00AC491A">
      <w:pPr>
        <w:pStyle w:val="enumlev1"/>
        <w:rPr>
          <w:lang w:val="en-GB"/>
        </w:rPr>
      </w:pPr>
      <w:r w:rsidRPr="00380B40">
        <w:rPr>
          <w:lang w:val="en-GB"/>
        </w:rPr>
        <w:t>a)</w:t>
      </w:r>
      <w:r w:rsidRPr="00380B40">
        <w:rPr>
          <w:lang w:val="en-GB"/>
        </w:rPr>
        <w:tab/>
        <w:t>adopt the new or revised Question incorporating the recommendations from TSAG and submit it for approval in accordance with the provisions of 7.3 below;</w:t>
      </w:r>
    </w:p>
    <w:p w14:paraId="28507319" w14:textId="77777777" w:rsidR="00AC491A" w:rsidRPr="00380B40" w:rsidRDefault="00AC491A" w:rsidP="00AC491A">
      <w:pPr>
        <w:pStyle w:val="enumlev1"/>
        <w:rPr>
          <w:lang w:val="en-GB"/>
        </w:rPr>
      </w:pPr>
      <w:r w:rsidRPr="00380B40">
        <w:rPr>
          <w:lang w:val="en-GB"/>
        </w:rPr>
        <w:t>b)</w:t>
      </w:r>
      <w:r w:rsidRPr="00380B40">
        <w:rPr>
          <w:lang w:val="en-GB"/>
        </w:rPr>
        <w:tab/>
        <w:t>consider the recommendations from TSAG and, in the event of difficulties with their implementation, provide TSAG with additional information for further consideration;</w:t>
      </w:r>
    </w:p>
    <w:p w14:paraId="315C5475" w14:textId="77777777" w:rsidR="00AC491A" w:rsidRPr="00380B40" w:rsidRDefault="00AC491A" w:rsidP="00AC491A">
      <w:pPr>
        <w:pStyle w:val="enumlev1"/>
        <w:rPr>
          <w:lang w:val="en-GB"/>
        </w:rPr>
      </w:pPr>
      <w:r w:rsidRPr="00380B40">
        <w:rPr>
          <w:lang w:val="en-GB"/>
        </w:rPr>
        <w:t>c)</w:t>
      </w:r>
      <w:r w:rsidRPr="00380B40">
        <w:rPr>
          <w:lang w:val="en-GB"/>
        </w:rPr>
        <w:tab/>
        <w:t>submit the proposed draft new or revised Question for approval by WTSA.</w:t>
      </w:r>
    </w:p>
    <w:p w14:paraId="3E20E632" w14:textId="77777777" w:rsidR="00AC491A" w:rsidRPr="00380B40" w:rsidRDefault="00AC491A" w:rsidP="00AC491A">
      <w:pPr>
        <w:rPr>
          <w:lang w:val="en-GB"/>
        </w:rPr>
      </w:pPr>
      <w:r w:rsidRPr="00380B40">
        <w:rPr>
          <w:b/>
          <w:bCs/>
          <w:lang w:val="en-GB"/>
        </w:rPr>
        <w:t>7.2.5</w:t>
      </w:r>
      <w:r w:rsidRPr="00380B40">
        <w:rPr>
          <w:lang w:val="en-GB"/>
        </w:rPr>
        <w:tab/>
        <w:t>A review by TSAG is not required for the urgent Questions referred to in 7.1.8 above.</w:t>
      </w:r>
    </w:p>
    <w:p w14:paraId="0F2BCFE7" w14:textId="77777777" w:rsidR="00AC491A" w:rsidRPr="00380B40" w:rsidRDefault="00AC491A" w:rsidP="00AC491A">
      <w:pPr>
        <w:rPr>
          <w:lang w:val="en-GB"/>
        </w:rPr>
      </w:pPr>
      <w:r w:rsidRPr="00380B40">
        <w:rPr>
          <w:b/>
          <w:bCs/>
          <w:lang w:val="en-GB"/>
        </w:rPr>
        <w:t>7.2.6</w:t>
      </w:r>
      <w:r w:rsidRPr="00380B40">
        <w:rPr>
          <w:lang w:val="en-GB"/>
        </w:rPr>
        <w:tab/>
        <w:t>If there are no study group meetings remaining before the next WTSA, the study group chairman shall include the proposed new or revised Questions agreed by the study group in the report that the study group submits for consideration by WTSA.</w:t>
      </w:r>
    </w:p>
    <w:p w14:paraId="1ED38C30" w14:textId="77777777" w:rsidR="00AC491A" w:rsidRPr="00380B40" w:rsidRDefault="00AC491A" w:rsidP="00AC491A">
      <w:pPr>
        <w:pStyle w:val="Heading2"/>
        <w:rPr>
          <w:lang w:val="en-GB"/>
        </w:rPr>
      </w:pPr>
      <w:bookmarkStart w:id="45" w:name="_Toc111636720"/>
      <w:r w:rsidRPr="00380B40">
        <w:rPr>
          <w:lang w:val="en-GB"/>
        </w:rPr>
        <w:t>7.3</w:t>
      </w:r>
      <w:r w:rsidRPr="00380B40">
        <w:rPr>
          <w:lang w:val="en-GB"/>
        </w:rPr>
        <w:tab/>
        <w:t>Approval of new or revised Questions between WTSAs</w:t>
      </w:r>
      <w:bookmarkEnd w:id="45"/>
    </w:p>
    <w:p w14:paraId="34B5DAEA" w14:textId="77777777" w:rsidR="00AC491A" w:rsidRPr="00380B40" w:rsidRDefault="00AC491A" w:rsidP="00AC491A">
      <w:pPr>
        <w:rPr>
          <w:lang w:val="en-GB"/>
        </w:rPr>
      </w:pPr>
      <w:r w:rsidRPr="00380B40">
        <w:rPr>
          <w:b/>
          <w:bCs/>
          <w:lang w:val="en-GB"/>
        </w:rPr>
        <w:t>7.3.1</w:t>
      </w:r>
      <w:r w:rsidRPr="00380B40">
        <w:rPr>
          <w:lang w:val="en-GB"/>
        </w:rPr>
        <w:tab/>
        <w:t>Between WTSAs, and after development of proposed new or revised Questions (see 7.1 above), the approval procedure for new or revised Questions is set out in the clauses below.</w:t>
      </w:r>
    </w:p>
    <w:p w14:paraId="3F9C15CE" w14:textId="77777777" w:rsidR="00AC491A" w:rsidRPr="00380B40" w:rsidRDefault="00AC491A" w:rsidP="00AC491A">
      <w:pPr>
        <w:pStyle w:val="Heading3"/>
        <w:rPr>
          <w:lang w:val="en-GB"/>
        </w:rPr>
      </w:pPr>
      <w:bookmarkStart w:id="46" w:name="_Toc111636721"/>
      <w:r w:rsidRPr="00380B40">
        <w:rPr>
          <w:bCs/>
          <w:lang w:val="en-GB"/>
        </w:rPr>
        <w:t>7.3.2</w:t>
      </w:r>
      <w:r w:rsidRPr="00380B40">
        <w:rPr>
          <w:lang w:val="en-GB"/>
        </w:rPr>
        <w:tab/>
        <w:t>Approval of adopted new or revised Questions through formal consultation with Member States</w:t>
      </w:r>
      <w:bookmarkEnd w:id="46"/>
    </w:p>
    <w:p w14:paraId="61FD4EA9" w14:textId="77777777" w:rsidR="00AC491A" w:rsidRPr="00380B40" w:rsidRDefault="00AC491A" w:rsidP="00AC491A">
      <w:pPr>
        <w:rPr>
          <w:lang w:val="en-GB"/>
        </w:rPr>
      </w:pPr>
      <w:r w:rsidRPr="00380B40">
        <w:rPr>
          <w:b/>
          <w:bCs/>
          <w:lang w:val="en-GB"/>
        </w:rPr>
        <w:t>7.3.2.1</w:t>
      </w:r>
      <w:r w:rsidRPr="00380B40">
        <w:rPr>
          <w:lang w:val="en-GB"/>
        </w:rPr>
        <w:tab/>
        <w:t>Under Nos. 246D, 246F and 246H of the Convention, the approval of adopted new or revised Questions that have policy or regulatory implications, or about the scope of which there is any doubt, requires formal consultation with Member States.</w:t>
      </w:r>
    </w:p>
    <w:p w14:paraId="4DBF8688" w14:textId="77777777" w:rsidR="00AC491A" w:rsidRPr="00380B40" w:rsidRDefault="00AC491A" w:rsidP="00AC491A">
      <w:pPr>
        <w:rPr>
          <w:lang w:val="en-GB"/>
        </w:rPr>
      </w:pPr>
      <w:r w:rsidRPr="00380B40">
        <w:rPr>
          <w:b/>
          <w:bCs/>
          <w:lang w:val="en-GB"/>
        </w:rPr>
        <w:t>7.3.2.2</w:t>
      </w:r>
      <w:r w:rsidRPr="00380B40">
        <w:rPr>
          <w:lang w:val="en-GB"/>
        </w:rPr>
        <w:tab/>
        <w:t>The Director shall request that Member States indicate within two months from the date of the request whether or not they support approval of the adopted new or revised Questions. This request shall be accompanied by the complete final text of the adopted new or revised Questions.</w:t>
      </w:r>
    </w:p>
    <w:p w14:paraId="4798E0C7" w14:textId="77777777" w:rsidR="00AC491A" w:rsidRPr="00380B40" w:rsidRDefault="00AC491A" w:rsidP="00AC491A">
      <w:pPr>
        <w:rPr>
          <w:lang w:val="en-GB"/>
        </w:rPr>
      </w:pPr>
      <w:r w:rsidRPr="00380B40">
        <w:rPr>
          <w:b/>
          <w:bCs/>
          <w:lang w:val="en-GB"/>
        </w:rPr>
        <w:t>7.3.2.3</w:t>
      </w:r>
      <w:r w:rsidRPr="00380B40">
        <w:rPr>
          <w:lang w:val="en-GB"/>
        </w:rPr>
        <w:tab/>
        <w:t>If 70 per cent or more of the replies received during the consultation period indicate approval (or if there are no replies), the adopted new or revised Questions shall be considered as approved. If the adopted new or revised Questions are not approved, they shall be referred back to the study group. Any comments received with replies to the consultation are forwarded to the study group.</w:t>
      </w:r>
    </w:p>
    <w:p w14:paraId="4EF4162C" w14:textId="77777777" w:rsidR="00AC491A" w:rsidRPr="00380B40" w:rsidRDefault="00AC491A" w:rsidP="00AC491A">
      <w:pPr>
        <w:pStyle w:val="Note"/>
        <w:rPr>
          <w:lang w:val="en-GB"/>
        </w:rPr>
      </w:pPr>
      <w:r w:rsidRPr="00380B40">
        <w:rPr>
          <w:lang w:val="en-GB"/>
        </w:rPr>
        <w:t>NOTE – Only those replies that either explicitly support approval or explicitly do not support approval are counted.</w:t>
      </w:r>
    </w:p>
    <w:p w14:paraId="050374B3" w14:textId="77777777" w:rsidR="009269CA" w:rsidRPr="00380B40" w:rsidRDefault="009269CA" w:rsidP="009269CA">
      <w:pPr>
        <w:rPr>
          <w:lang w:val="en-GB"/>
        </w:rPr>
      </w:pPr>
      <w:r w:rsidRPr="00380B40">
        <w:rPr>
          <w:lang w:val="en-GB"/>
        </w:rPr>
        <w:br w:type="page"/>
      </w:r>
    </w:p>
    <w:p w14:paraId="70A09AEA" w14:textId="77777777" w:rsidR="00AC491A" w:rsidRPr="00380B40" w:rsidRDefault="00AC491A" w:rsidP="00AC491A">
      <w:pPr>
        <w:pStyle w:val="Heading3"/>
        <w:rPr>
          <w:lang w:val="en-GB"/>
        </w:rPr>
      </w:pPr>
      <w:bookmarkStart w:id="47" w:name="_Toc111636722"/>
      <w:r w:rsidRPr="00380B40">
        <w:rPr>
          <w:lang w:val="en-GB"/>
        </w:rPr>
        <w:t>7.3.3</w:t>
      </w:r>
      <w:r w:rsidRPr="00380B40">
        <w:rPr>
          <w:lang w:val="en-GB"/>
        </w:rPr>
        <w:tab/>
        <w:t>Approval of adopted new or revised Questions that do not require consultation with the Member States</w:t>
      </w:r>
      <w:bookmarkEnd w:id="47"/>
      <w:r w:rsidRPr="00380B40">
        <w:rPr>
          <w:lang w:val="en-GB"/>
        </w:rPr>
        <w:t xml:space="preserve"> </w:t>
      </w:r>
    </w:p>
    <w:p w14:paraId="5C64036F" w14:textId="77777777" w:rsidR="00AC491A" w:rsidRPr="00380B40" w:rsidRDefault="00AC491A" w:rsidP="00AC491A">
      <w:pPr>
        <w:rPr>
          <w:lang w:val="en-GB"/>
        </w:rPr>
      </w:pPr>
      <w:r w:rsidRPr="00380B40">
        <w:rPr>
          <w:lang w:val="en-GB"/>
        </w:rPr>
        <w:t>Any adopted new or revised Questions, with the exception of Questions that fall under Nos. 246D, 246F or 246H of the Convention, shall be considered as approved.</w:t>
      </w:r>
    </w:p>
    <w:p w14:paraId="03E4A00E" w14:textId="77777777" w:rsidR="00AC491A" w:rsidRPr="00380B40" w:rsidRDefault="00AC491A" w:rsidP="00AC491A">
      <w:pPr>
        <w:pStyle w:val="Heading3"/>
        <w:rPr>
          <w:lang w:val="en-GB"/>
        </w:rPr>
      </w:pPr>
      <w:bookmarkStart w:id="48" w:name="_Toc111636723"/>
      <w:r w:rsidRPr="00380B40">
        <w:rPr>
          <w:lang w:val="en-GB"/>
        </w:rPr>
        <w:t>7.3.4</w:t>
      </w:r>
      <w:r w:rsidRPr="00380B40">
        <w:rPr>
          <w:lang w:val="en-GB"/>
        </w:rPr>
        <w:tab/>
        <w:t>Approval of proposed new or revised urgent Questions</w:t>
      </w:r>
      <w:bookmarkEnd w:id="48"/>
    </w:p>
    <w:p w14:paraId="74DCEDAF" w14:textId="77777777" w:rsidR="00AC491A" w:rsidRPr="00380B40" w:rsidRDefault="00AC491A" w:rsidP="00AC491A">
      <w:pPr>
        <w:tabs>
          <w:tab w:val="clear" w:pos="794"/>
          <w:tab w:val="clear" w:pos="1191"/>
          <w:tab w:val="clear" w:pos="1588"/>
          <w:tab w:val="clear" w:pos="1985"/>
          <w:tab w:val="left" w:pos="1134"/>
          <w:tab w:val="left" w:pos="1871"/>
          <w:tab w:val="left" w:pos="2268"/>
        </w:tabs>
        <w:rPr>
          <w:lang w:val="en-GB"/>
        </w:rPr>
      </w:pPr>
      <w:r w:rsidRPr="00380B40">
        <w:rPr>
          <w:lang w:val="en-GB"/>
        </w:rPr>
        <w:t>Proposed new or revised urgent Questions, as stated in 7.1.8 above, may be approved by a study group if consensus at the study group meeting is achieved.</w:t>
      </w:r>
    </w:p>
    <w:p w14:paraId="5A97400B" w14:textId="77777777" w:rsidR="00AC491A" w:rsidRPr="00380B40" w:rsidRDefault="00AC491A" w:rsidP="00AC491A">
      <w:pPr>
        <w:pStyle w:val="Heading3"/>
        <w:rPr>
          <w:lang w:val="en-GB"/>
        </w:rPr>
      </w:pPr>
      <w:bookmarkStart w:id="49" w:name="_Toc111636724"/>
      <w:r w:rsidRPr="00380B40">
        <w:rPr>
          <w:lang w:val="en-GB"/>
        </w:rPr>
        <w:t>7.3.5</w:t>
      </w:r>
      <w:r w:rsidRPr="00380B40">
        <w:rPr>
          <w:lang w:val="en-GB"/>
        </w:rPr>
        <w:tab/>
        <w:t>Notification of approval of new or revised Questions</w:t>
      </w:r>
      <w:bookmarkEnd w:id="49"/>
    </w:p>
    <w:p w14:paraId="7780CE5E" w14:textId="77777777" w:rsidR="00AC491A" w:rsidRPr="00380B40" w:rsidRDefault="00AC491A" w:rsidP="00AC491A">
      <w:pPr>
        <w:rPr>
          <w:lang w:val="en-GB"/>
        </w:rPr>
      </w:pPr>
      <w:r w:rsidRPr="00380B40">
        <w:rPr>
          <w:lang w:val="en-GB"/>
        </w:rPr>
        <w:t>The Director shall notify the approval of new or revised Questions between WTSAs by circular.</w:t>
      </w:r>
    </w:p>
    <w:p w14:paraId="2379ED54" w14:textId="77777777" w:rsidR="00AC491A" w:rsidRPr="00380B40" w:rsidRDefault="00AC491A" w:rsidP="00AC491A">
      <w:pPr>
        <w:pStyle w:val="Heading2"/>
        <w:rPr>
          <w:lang w:val="en-GB"/>
        </w:rPr>
      </w:pPr>
      <w:bookmarkStart w:id="50" w:name="_Toc111636725"/>
      <w:r w:rsidRPr="00380B40">
        <w:rPr>
          <w:lang w:val="en-GB"/>
        </w:rPr>
        <w:t>7.4</w:t>
      </w:r>
      <w:r w:rsidRPr="00380B40">
        <w:rPr>
          <w:lang w:val="en-GB"/>
        </w:rPr>
        <w:tab/>
        <w:t>Approval of Questions by WTSA</w:t>
      </w:r>
      <w:bookmarkEnd w:id="50"/>
    </w:p>
    <w:p w14:paraId="179268B0" w14:textId="77777777" w:rsidR="00AC491A" w:rsidRPr="00380B40" w:rsidRDefault="00AC491A" w:rsidP="00AC491A">
      <w:pPr>
        <w:rPr>
          <w:lang w:val="en-GB"/>
        </w:rPr>
      </w:pPr>
      <w:r w:rsidRPr="00380B40">
        <w:rPr>
          <w:b/>
          <w:lang w:val="en-GB"/>
        </w:rPr>
        <w:t>7.4.1</w:t>
      </w:r>
      <w:r w:rsidRPr="00380B40">
        <w:rPr>
          <w:lang w:val="en-GB"/>
        </w:rPr>
        <w:tab/>
        <w:t>If, despite the above provisions, a Member State or Sector Member proposes a Question directly to a WTSA, the latter either approves the new or revised Question, or invites the Member State or Sector Member to submit the proposed Question to the next meeting of the relevant study group(s).</w:t>
      </w:r>
    </w:p>
    <w:p w14:paraId="66C6F21D" w14:textId="77777777" w:rsidR="00AC491A" w:rsidRPr="00380B40" w:rsidRDefault="00AC491A" w:rsidP="00AC491A">
      <w:pPr>
        <w:rPr>
          <w:lang w:val="en-GB"/>
        </w:rPr>
      </w:pPr>
      <w:r w:rsidRPr="00380B40">
        <w:rPr>
          <w:b/>
          <w:bCs/>
          <w:lang w:val="en-GB"/>
        </w:rPr>
        <w:t>7.4.2</w:t>
      </w:r>
      <w:r w:rsidRPr="00380B40">
        <w:rPr>
          <w:lang w:val="en-GB"/>
        </w:rPr>
        <w:tab/>
        <w:t>Adopted new or revised Questions may be submitted for consideration by WTSA as described in 7.2.6 above.</w:t>
      </w:r>
    </w:p>
    <w:p w14:paraId="79433BFE" w14:textId="77777777" w:rsidR="00AC491A" w:rsidRPr="00380B40" w:rsidRDefault="00AC491A" w:rsidP="00AC491A">
      <w:pPr>
        <w:rPr>
          <w:lang w:val="en-GB"/>
        </w:rPr>
      </w:pPr>
      <w:r w:rsidRPr="00380B40">
        <w:rPr>
          <w:b/>
          <w:bCs/>
          <w:lang w:val="en-GB"/>
        </w:rPr>
        <w:t>7.4.3</w:t>
      </w:r>
      <w:r w:rsidRPr="00380B40">
        <w:rPr>
          <w:lang w:val="en-GB"/>
        </w:rPr>
        <w:tab/>
        <w:t>At least two months prior to WTSA, TSAG shall meet to consider, review and, where appropriate, recommend changes to Questions for consideration by WTSA, while ensuring that the Questions respond to the overall needs and priorities of the ITU</w:t>
      </w:r>
      <w:r w:rsidRPr="00380B40">
        <w:rPr>
          <w:lang w:val="en-GB"/>
        </w:rPr>
        <w:noBreakHyphen/>
        <w:t>T work programme and are duly harmonized to:</w:t>
      </w:r>
    </w:p>
    <w:p w14:paraId="236169F9" w14:textId="77777777" w:rsidR="00AC491A" w:rsidRPr="00380B40" w:rsidRDefault="00AC491A" w:rsidP="00AC491A">
      <w:pPr>
        <w:pStyle w:val="enumlev1"/>
        <w:rPr>
          <w:lang w:val="en-GB"/>
        </w:rPr>
      </w:pPr>
      <w:r w:rsidRPr="00380B40">
        <w:rPr>
          <w:lang w:val="en-GB"/>
        </w:rPr>
        <w:t>i)</w:t>
      </w:r>
      <w:r w:rsidRPr="00380B40">
        <w:rPr>
          <w:lang w:val="en-GB"/>
        </w:rPr>
        <w:tab/>
        <w:t>avoid duplication of effort;</w:t>
      </w:r>
    </w:p>
    <w:p w14:paraId="6B2B421B" w14:textId="77777777" w:rsidR="00AC491A" w:rsidRPr="00380B40" w:rsidRDefault="00AC491A" w:rsidP="00AC491A">
      <w:pPr>
        <w:pStyle w:val="enumlev1"/>
        <w:rPr>
          <w:lang w:val="en-GB"/>
        </w:rPr>
      </w:pPr>
      <w:r w:rsidRPr="00380B40">
        <w:rPr>
          <w:lang w:val="en-GB"/>
        </w:rPr>
        <w:t>ii)</w:t>
      </w:r>
      <w:r w:rsidRPr="00380B40">
        <w:rPr>
          <w:lang w:val="en-GB"/>
        </w:rPr>
        <w:tab/>
        <w:t>provide a coherent basis for interaction between study groups;</w:t>
      </w:r>
    </w:p>
    <w:p w14:paraId="7593FF0A" w14:textId="77777777" w:rsidR="009269CA" w:rsidRPr="00380B40" w:rsidRDefault="009269CA" w:rsidP="00AC491A">
      <w:pPr>
        <w:pStyle w:val="enumlev1"/>
        <w:rPr>
          <w:lang w:val="en-GB"/>
        </w:rPr>
      </w:pPr>
      <w:r w:rsidRPr="00380B40">
        <w:rPr>
          <w:lang w:val="en-GB"/>
        </w:rPr>
        <w:br w:type="page"/>
      </w:r>
    </w:p>
    <w:p w14:paraId="49AC1EF0" w14:textId="77777777" w:rsidR="00AC491A" w:rsidRPr="00380B40" w:rsidRDefault="00AC491A" w:rsidP="00AC491A">
      <w:pPr>
        <w:pStyle w:val="enumlev1"/>
        <w:rPr>
          <w:lang w:val="en-GB"/>
        </w:rPr>
      </w:pPr>
      <w:r w:rsidRPr="00380B40">
        <w:rPr>
          <w:lang w:val="en-GB"/>
        </w:rPr>
        <w:t>iii)</w:t>
      </w:r>
      <w:r w:rsidRPr="00380B40">
        <w:rPr>
          <w:lang w:val="en-GB"/>
        </w:rPr>
        <w:tab/>
        <w:t>facilitate monitoring overall progress in the drafting of Recommendations and other ITU</w:t>
      </w:r>
      <w:r w:rsidRPr="00380B40">
        <w:rPr>
          <w:lang w:val="en-GB"/>
        </w:rPr>
        <w:noBreakHyphen/>
        <w:t>T publications;</w:t>
      </w:r>
    </w:p>
    <w:p w14:paraId="6B2BC436" w14:textId="77777777" w:rsidR="00AC491A" w:rsidRPr="00380B40" w:rsidRDefault="00AC491A" w:rsidP="00AC491A">
      <w:pPr>
        <w:pStyle w:val="enumlev1"/>
        <w:rPr>
          <w:b/>
          <w:bCs/>
          <w:lang w:val="en-GB"/>
        </w:rPr>
      </w:pPr>
      <w:r w:rsidRPr="00380B40">
        <w:rPr>
          <w:lang w:val="en-GB"/>
        </w:rPr>
        <w:t>iv)</w:t>
      </w:r>
      <w:r w:rsidRPr="00380B40">
        <w:rPr>
          <w:lang w:val="en-GB"/>
        </w:rPr>
        <w:tab/>
        <w:t>facilitate cooperative efforts with other standardization organizations.</w:t>
      </w:r>
    </w:p>
    <w:p w14:paraId="09134275" w14:textId="77777777" w:rsidR="00AC491A" w:rsidRPr="00380B40" w:rsidRDefault="00AC491A" w:rsidP="00AC491A">
      <w:pPr>
        <w:tabs>
          <w:tab w:val="clear" w:pos="794"/>
          <w:tab w:val="clear" w:pos="1191"/>
          <w:tab w:val="clear" w:pos="1588"/>
          <w:tab w:val="clear" w:pos="1985"/>
          <w:tab w:val="left" w:pos="1134"/>
          <w:tab w:val="left" w:pos="1871"/>
          <w:tab w:val="left" w:pos="2268"/>
        </w:tabs>
        <w:rPr>
          <w:lang w:val="en-GB"/>
        </w:rPr>
      </w:pPr>
      <w:r w:rsidRPr="00380B40">
        <w:rPr>
          <w:b/>
          <w:bCs/>
          <w:lang w:val="en-GB"/>
        </w:rPr>
        <w:t>7.4.4</w:t>
      </w:r>
      <w:r w:rsidRPr="00380B40">
        <w:rPr>
          <w:lang w:val="en-GB"/>
        </w:rPr>
        <w:tab/>
        <w:t>No later than 35 days before WTSA, the Director shall inform the Member States and Sector Members of the list of proposed new and revised Questions.</w:t>
      </w:r>
    </w:p>
    <w:p w14:paraId="42E93947" w14:textId="77777777" w:rsidR="00AC491A" w:rsidRPr="00380B40" w:rsidRDefault="00AC491A" w:rsidP="00AC491A">
      <w:pPr>
        <w:tabs>
          <w:tab w:val="clear" w:pos="794"/>
          <w:tab w:val="clear" w:pos="1191"/>
          <w:tab w:val="clear" w:pos="1588"/>
          <w:tab w:val="clear" w:pos="1985"/>
          <w:tab w:val="left" w:pos="1134"/>
          <w:tab w:val="left" w:pos="1871"/>
          <w:tab w:val="left" w:pos="2268"/>
        </w:tabs>
        <w:rPr>
          <w:lang w:val="en-GB"/>
        </w:rPr>
      </w:pPr>
      <w:r w:rsidRPr="00380B40">
        <w:rPr>
          <w:b/>
          <w:bCs/>
          <w:lang w:val="en-GB"/>
        </w:rPr>
        <w:t>7.4.5</w:t>
      </w:r>
      <w:r w:rsidRPr="00380B40">
        <w:rPr>
          <w:lang w:val="en-GB"/>
        </w:rPr>
        <w:tab/>
        <w:t>The proposed new and revised Questions may be approved by WTSA in accordance with the General Rules of conferences, assemblies and meetings of the Union.</w:t>
      </w:r>
    </w:p>
    <w:p w14:paraId="08472A2B" w14:textId="77777777" w:rsidR="00F26640" w:rsidRPr="00380B40" w:rsidRDefault="00F26640" w:rsidP="00AC491A">
      <w:pPr>
        <w:tabs>
          <w:tab w:val="clear" w:pos="794"/>
          <w:tab w:val="clear" w:pos="1191"/>
          <w:tab w:val="clear" w:pos="1588"/>
          <w:tab w:val="clear" w:pos="1985"/>
          <w:tab w:val="left" w:pos="1134"/>
          <w:tab w:val="left" w:pos="1871"/>
          <w:tab w:val="left" w:pos="2268"/>
        </w:tabs>
        <w:rPr>
          <w:lang w:val="en-GB"/>
        </w:rPr>
      </w:pPr>
    </w:p>
    <w:p w14:paraId="2D297124" w14:textId="77777777" w:rsidR="00AC491A" w:rsidRPr="00380B40" w:rsidRDefault="00FA0AF5" w:rsidP="00AC491A">
      <w:pPr>
        <w:pStyle w:val="Figure"/>
        <w:rPr>
          <w:lang w:val="en-GB"/>
        </w:rPr>
      </w:pPr>
      <w:r w:rsidRPr="00380B40">
        <w:rPr>
          <w:lang w:val="en-GB"/>
        </w:rPr>
        <w:object w:dxaOrig="15511" w:dyaOrig="7441" w14:anchorId="5ACEDC07">
          <v:shape id="_x0000_i1026" type="#_x0000_t75" style="width:483.05pt;height:231.05pt" o:ole="">
            <v:imagedata r:id="rId28" o:title=""/>
          </v:shape>
          <o:OLEObject Type="Embed" ProgID="Visio.Drawing.15" ShapeID="_x0000_i1026" DrawAspect="Icon" ObjectID="_1724761177" r:id="rId29"/>
        </w:object>
      </w:r>
    </w:p>
    <w:p w14:paraId="7DF661D9" w14:textId="77777777" w:rsidR="00AC1010" w:rsidRPr="00380B40" w:rsidRDefault="00AC491A" w:rsidP="008F7A95">
      <w:pPr>
        <w:pStyle w:val="Figuretitle"/>
      </w:pPr>
      <w:r w:rsidRPr="00380B40">
        <w:t>Figure 7.1b – Adoption and approval of new or revised Questions at WTSA</w:t>
      </w:r>
    </w:p>
    <w:p w14:paraId="7014C242" w14:textId="77777777" w:rsidR="00AC491A" w:rsidRPr="00380B40" w:rsidRDefault="00AC491A" w:rsidP="00AC491A">
      <w:pPr>
        <w:pStyle w:val="Heading2"/>
        <w:rPr>
          <w:lang w:val="en-GB"/>
        </w:rPr>
      </w:pPr>
      <w:bookmarkStart w:id="51" w:name="_Toc111636726"/>
      <w:r w:rsidRPr="00380B40">
        <w:rPr>
          <w:lang w:val="en-GB"/>
        </w:rPr>
        <w:t>7.5</w:t>
      </w:r>
      <w:r w:rsidRPr="00380B40">
        <w:rPr>
          <w:lang w:val="en-GB"/>
        </w:rPr>
        <w:tab/>
        <w:t>Deletion of Questions</w:t>
      </w:r>
      <w:bookmarkEnd w:id="51"/>
    </w:p>
    <w:p w14:paraId="676D44B4" w14:textId="77777777" w:rsidR="00AC491A" w:rsidRPr="00380B40" w:rsidRDefault="00AC491A" w:rsidP="00AC491A">
      <w:pPr>
        <w:rPr>
          <w:lang w:val="en-GB"/>
        </w:rPr>
      </w:pPr>
      <w:r w:rsidRPr="00380B40">
        <w:rPr>
          <w:lang w:val="en-GB"/>
        </w:rPr>
        <w:t>Study groups may decide in each individual case which of the following alternatives is the most appropriate for the deletion of a Question.</w:t>
      </w:r>
    </w:p>
    <w:p w14:paraId="65F1886D" w14:textId="77777777" w:rsidR="00F26640" w:rsidRPr="00380B40" w:rsidRDefault="00F26640" w:rsidP="00AC491A">
      <w:pPr>
        <w:rPr>
          <w:lang w:val="en-GB"/>
        </w:rPr>
      </w:pPr>
    </w:p>
    <w:p w14:paraId="7E0BB208" w14:textId="77777777" w:rsidR="00F26640" w:rsidRPr="00380B40" w:rsidRDefault="00F26640" w:rsidP="00AC491A">
      <w:pPr>
        <w:rPr>
          <w:lang w:val="en-GB"/>
        </w:rPr>
      </w:pPr>
      <w:r w:rsidRPr="00380B40">
        <w:rPr>
          <w:lang w:val="en-GB"/>
        </w:rPr>
        <w:br w:type="page"/>
      </w:r>
    </w:p>
    <w:p w14:paraId="21B9E773" w14:textId="77777777" w:rsidR="00AC491A" w:rsidRPr="00380B40" w:rsidRDefault="00AC491A" w:rsidP="00AC491A">
      <w:pPr>
        <w:pStyle w:val="Heading3"/>
        <w:rPr>
          <w:lang w:val="en-GB"/>
        </w:rPr>
      </w:pPr>
      <w:bookmarkStart w:id="52" w:name="_Toc111636727"/>
      <w:r w:rsidRPr="00380B40">
        <w:rPr>
          <w:lang w:val="en-GB"/>
        </w:rPr>
        <w:t>7.5.1</w:t>
      </w:r>
      <w:r w:rsidRPr="00380B40">
        <w:rPr>
          <w:lang w:val="en-GB"/>
        </w:rPr>
        <w:tab/>
        <w:t>Deletion of a Question between WTSAs</w:t>
      </w:r>
      <w:bookmarkEnd w:id="52"/>
      <w:r w:rsidRPr="00380B40">
        <w:rPr>
          <w:lang w:val="en-GB"/>
        </w:rPr>
        <w:t xml:space="preserve"> </w:t>
      </w:r>
    </w:p>
    <w:p w14:paraId="73F0FB12" w14:textId="77777777" w:rsidR="00AC491A" w:rsidRPr="00380B40" w:rsidRDefault="00AC491A" w:rsidP="00AC491A">
      <w:pPr>
        <w:rPr>
          <w:lang w:val="en-GB"/>
        </w:rPr>
      </w:pPr>
      <w:r w:rsidRPr="00380B40">
        <w:rPr>
          <w:b/>
          <w:bCs/>
          <w:lang w:val="en-GB"/>
        </w:rPr>
        <w:t>7.5.1.1</w:t>
      </w:r>
      <w:r w:rsidRPr="00380B40">
        <w:rPr>
          <w:lang w:val="en-GB"/>
        </w:rPr>
        <w:tab/>
        <w:t>At a study group meeting, it may be agreed by consensus among those present to delete a Question, e.g. either because work has been terminated or because no contributions have been received at that meeting and at the previous two study group meetings. Notification of this agreement, including an explanatory summary of the reasons for the deletion, shall be provided by a circular. If a simple majority of the Member States responding has no objection to the deletion within two months, or in the event that there are no replies, the deletion comes into force. Otherwise, the issue shall be referred back to the study group.</w:t>
      </w:r>
    </w:p>
    <w:p w14:paraId="7EDCC8A3" w14:textId="77777777" w:rsidR="00AC491A" w:rsidRPr="00380B40" w:rsidRDefault="00AC491A" w:rsidP="00AC491A">
      <w:pPr>
        <w:rPr>
          <w:b/>
          <w:bCs/>
          <w:lang w:val="en-GB"/>
        </w:rPr>
      </w:pPr>
      <w:r w:rsidRPr="00380B40">
        <w:rPr>
          <w:b/>
          <w:bCs/>
          <w:lang w:val="en-GB"/>
        </w:rPr>
        <w:t>7.5.1.2</w:t>
      </w:r>
      <w:r w:rsidRPr="00380B40">
        <w:rPr>
          <w:lang w:val="en-GB"/>
        </w:rPr>
        <w:tab/>
        <w:t>Those Member States which indicate disapproval are requested to provide their reasons and to indicate the possible changes that would facilitate further study of the Question.</w:t>
      </w:r>
    </w:p>
    <w:p w14:paraId="770A1304" w14:textId="77777777" w:rsidR="00AC491A" w:rsidRPr="00380B40" w:rsidRDefault="00AC491A" w:rsidP="00AC491A">
      <w:pPr>
        <w:rPr>
          <w:lang w:val="en-GB"/>
        </w:rPr>
      </w:pPr>
      <w:r w:rsidRPr="00380B40">
        <w:rPr>
          <w:b/>
          <w:bCs/>
          <w:lang w:val="en-GB"/>
        </w:rPr>
        <w:t>7.5.1.3</w:t>
      </w:r>
      <w:r w:rsidRPr="00380B40">
        <w:rPr>
          <w:lang w:val="en-GB"/>
        </w:rPr>
        <w:tab/>
        <w:t>Notification of the result shall be given in a circular, and TSAG shall be informed by the Director. In addition, the Director shall publish a list of deleted Questions whenever appropriate, but at least once by the middle of a study period.</w:t>
      </w:r>
    </w:p>
    <w:p w14:paraId="58887FC1" w14:textId="77777777" w:rsidR="00AC491A" w:rsidRPr="00380B40" w:rsidRDefault="00AC491A" w:rsidP="00AC491A">
      <w:pPr>
        <w:pStyle w:val="Heading3"/>
        <w:rPr>
          <w:lang w:val="en-GB"/>
        </w:rPr>
      </w:pPr>
      <w:bookmarkStart w:id="53" w:name="_Toc111636728"/>
      <w:r w:rsidRPr="00380B40">
        <w:rPr>
          <w:lang w:val="en-GB"/>
        </w:rPr>
        <w:t>7.5.2</w:t>
      </w:r>
      <w:r w:rsidRPr="00380B40">
        <w:rPr>
          <w:lang w:val="en-GB"/>
        </w:rPr>
        <w:tab/>
        <w:t>Deletion of a Question by WTSA</w:t>
      </w:r>
      <w:bookmarkEnd w:id="53"/>
    </w:p>
    <w:p w14:paraId="079A0055" w14:textId="77777777" w:rsidR="00AC491A" w:rsidRPr="00380B40" w:rsidRDefault="00AC491A" w:rsidP="00AC491A">
      <w:pPr>
        <w:rPr>
          <w:lang w:val="en-GB"/>
        </w:rPr>
      </w:pPr>
      <w:r w:rsidRPr="00380B40">
        <w:rPr>
          <w:lang w:val="en-GB"/>
        </w:rPr>
        <w:t>Upon the decision of the study group, the chairman shall include a request to delete a Question in the chairman</w:t>
      </w:r>
      <w:r w:rsidR="00F82355" w:rsidRPr="00380B40">
        <w:rPr>
          <w:lang w:val="en-GB"/>
        </w:rPr>
        <w:t>'</w:t>
      </w:r>
      <w:r w:rsidRPr="00380B40">
        <w:rPr>
          <w:lang w:val="en-GB"/>
        </w:rPr>
        <w:t>s report to WTSA. WTSA shall decide as appropriate.</w:t>
      </w:r>
    </w:p>
    <w:p w14:paraId="3A0B81F7" w14:textId="77777777" w:rsidR="00AC491A" w:rsidRPr="00380B40" w:rsidRDefault="00AC491A" w:rsidP="00AC491A">
      <w:pPr>
        <w:pStyle w:val="SectionNo"/>
        <w:rPr>
          <w:lang w:val="en-GB"/>
        </w:rPr>
      </w:pPr>
      <w:bookmarkStart w:id="54" w:name="_Toc111636729"/>
      <w:r w:rsidRPr="00380B40">
        <w:rPr>
          <w:lang w:val="en-GB"/>
        </w:rPr>
        <w:t>SECTION 8</w:t>
      </w:r>
      <w:bookmarkEnd w:id="54"/>
    </w:p>
    <w:p w14:paraId="6685A656" w14:textId="77777777" w:rsidR="00AC491A" w:rsidRPr="00380B40" w:rsidRDefault="00AC491A" w:rsidP="00202A50">
      <w:pPr>
        <w:pStyle w:val="Sectiontitle"/>
      </w:pPr>
      <w:bookmarkStart w:id="55" w:name="_Toc111636730"/>
      <w:r w:rsidRPr="00380B40">
        <w:t>Recommendation development and approval processes</w:t>
      </w:r>
      <w:bookmarkEnd w:id="55"/>
    </w:p>
    <w:p w14:paraId="304B27A1" w14:textId="77777777" w:rsidR="00AC491A" w:rsidRPr="00380B40" w:rsidRDefault="00AC491A" w:rsidP="00AC491A">
      <w:pPr>
        <w:pStyle w:val="Heading2"/>
        <w:rPr>
          <w:lang w:val="en-GB"/>
        </w:rPr>
      </w:pPr>
      <w:bookmarkStart w:id="56" w:name="_Toc111636731"/>
      <w:r w:rsidRPr="00380B40">
        <w:rPr>
          <w:lang w:val="en-GB"/>
        </w:rPr>
        <w:t>8.1</w:t>
      </w:r>
      <w:r w:rsidRPr="00380B40">
        <w:rPr>
          <w:lang w:val="en-GB"/>
        </w:rPr>
        <w:tab/>
        <w:t>ITU</w:t>
      </w:r>
      <w:r w:rsidRPr="00380B40">
        <w:rPr>
          <w:lang w:val="en-GB"/>
        </w:rPr>
        <w:noBreakHyphen/>
        <w:t>T Recommendation approval processes and selection of the approval process</w:t>
      </w:r>
      <w:bookmarkEnd w:id="56"/>
    </w:p>
    <w:p w14:paraId="4E3C2507" w14:textId="77777777" w:rsidR="00AC491A" w:rsidRPr="00380B40" w:rsidRDefault="00AC491A" w:rsidP="00AC491A">
      <w:pPr>
        <w:rPr>
          <w:lang w:val="en-GB"/>
        </w:rPr>
      </w:pPr>
      <w:r w:rsidRPr="00380B40">
        <w:rPr>
          <w:lang w:val="en-GB"/>
        </w:rPr>
        <w:t>Procedures for approval of Recommendations which require formal consultation of Member States (traditional approval process, TAP) are specified in Section 9 of this resolution. Procedures for approval of Recommendations which do not require formal consultation of Member States (alternative approval process, AAP) are specified in Recommendation ITU</w:t>
      </w:r>
      <w:r w:rsidRPr="00380B40">
        <w:rPr>
          <w:lang w:val="en-GB"/>
        </w:rPr>
        <w:noBreakHyphen/>
        <w:t>T A.8. In accordance with the ITU Convention, the status of Recommendations approved is the same for both methods of approval.</w:t>
      </w:r>
    </w:p>
    <w:p w14:paraId="746559B4" w14:textId="77777777" w:rsidR="00AC491A" w:rsidRPr="00380B40" w:rsidRDefault="00AC491A" w:rsidP="00AC491A">
      <w:pPr>
        <w:rPr>
          <w:lang w:val="en-GB"/>
        </w:rPr>
      </w:pPr>
      <w:r w:rsidRPr="00380B40">
        <w:rPr>
          <w:lang w:val="en-GB"/>
        </w:rPr>
        <w:t xml:space="preserve">"Selection" refers to the act of choosing AAP or choosing TAP for the development and approval of new and revised Recommendations. </w:t>
      </w:r>
    </w:p>
    <w:p w14:paraId="6F2F3843" w14:textId="77777777" w:rsidR="00F26640" w:rsidRPr="00380B40" w:rsidRDefault="00F26640" w:rsidP="00F26640">
      <w:pPr>
        <w:rPr>
          <w:lang w:val="en-GB"/>
        </w:rPr>
      </w:pPr>
      <w:r w:rsidRPr="00380B40">
        <w:rPr>
          <w:lang w:val="en-GB"/>
        </w:rPr>
        <w:br w:type="page"/>
      </w:r>
    </w:p>
    <w:p w14:paraId="018E5582" w14:textId="77777777" w:rsidR="00AC491A" w:rsidRPr="00380B40" w:rsidRDefault="00AC491A" w:rsidP="00AC491A">
      <w:pPr>
        <w:pStyle w:val="Heading3"/>
        <w:rPr>
          <w:lang w:val="en-GB"/>
        </w:rPr>
      </w:pPr>
      <w:bookmarkStart w:id="57" w:name="_Toc111636732"/>
      <w:r w:rsidRPr="00380B40">
        <w:rPr>
          <w:lang w:val="en-GB"/>
        </w:rPr>
        <w:t>8.1.1</w:t>
      </w:r>
      <w:r w:rsidRPr="00380B40">
        <w:rPr>
          <w:lang w:val="en-GB"/>
        </w:rPr>
        <w:tab/>
        <w:t>Selection at a study group meeting</w:t>
      </w:r>
      <w:bookmarkEnd w:id="57"/>
    </w:p>
    <w:p w14:paraId="4C7316BF" w14:textId="77777777" w:rsidR="00AC491A" w:rsidRPr="00380B40" w:rsidRDefault="00AC491A" w:rsidP="00AC491A">
      <w:pPr>
        <w:rPr>
          <w:lang w:val="en-GB"/>
        </w:rPr>
      </w:pPr>
      <w:r w:rsidRPr="00380B40">
        <w:rPr>
          <w:lang w:val="en-GB"/>
        </w:rPr>
        <w:t>As a general approach, ITU</w:t>
      </w:r>
      <w:r w:rsidRPr="00380B40">
        <w:rPr>
          <w:lang w:val="en-GB"/>
        </w:rPr>
        <w:noBreakHyphen/>
        <w:t>T Recommendations having policy or regulatory implications, such as tariff and accounting issues and relevant numbering and addressing plans, or Recommendations where there is any doubt about their scope, are assumed to follow TAP in accordance with Nos. 246D, 246F and 246H of the Convention. Likewise, ITU</w:t>
      </w:r>
      <w:r w:rsidRPr="00380B40">
        <w:rPr>
          <w:lang w:val="en-GB"/>
        </w:rPr>
        <w:noBreakHyphen/>
        <w:t>T Recommendations relating to other issues are assumed in general to follow AAP. However, explicit action at the study group meeting can change the selection from AAP to TAP, and vice versa, if so decided by consensus of the Member States and Sector Members present at the meeting.</w:t>
      </w:r>
    </w:p>
    <w:p w14:paraId="763C71E7" w14:textId="77777777" w:rsidR="00AC491A" w:rsidRPr="00380B40" w:rsidRDefault="00AC491A" w:rsidP="00AC491A">
      <w:pPr>
        <w:rPr>
          <w:lang w:val="en-GB"/>
        </w:rPr>
      </w:pPr>
      <w:r w:rsidRPr="00380B40">
        <w:rPr>
          <w:lang w:val="en-GB"/>
        </w:rPr>
        <w:t xml:space="preserve">When determining whether a new or revised draft Recommendation has policy or regulatory implications, such as tariff and accounting issues and relevant numbering and addressing plans, study groups should refer to WTSA </w:t>
      </w:r>
      <w:r w:rsidRPr="00380B40">
        <w:rPr>
          <w:lang w:val="en-GB" w:eastAsia="zh-CN"/>
        </w:rPr>
        <w:t xml:space="preserve">Resolution 40 (Rev. Geneva, 2022). </w:t>
      </w:r>
    </w:p>
    <w:p w14:paraId="07EAB264" w14:textId="77777777" w:rsidR="00AC491A" w:rsidRPr="00380B40" w:rsidRDefault="00AC491A" w:rsidP="00AC491A">
      <w:pPr>
        <w:rPr>
          <w:lang w:val="en-GB"/>
        </w:rPr>
      </w:pPr>
      <w:r w:rsidRPr="00380B40">
        <w:rPr>
          <w:lang w:val="en-GB"/>
        </w:rPr>
        <w:t>If consensus is not achieved, the same process used at a WTSA, as described in 1.13 above, shall be used to decide the selection.</w:t>
      </w:r>
    </w:p>
    <w:p w14:paraId="51CA6963" w14:textId="77777777" w:rsidR="00AC491A" w:rsidRPr="00380B40" w:rsidRDefault="00AC491A" w:rsidP="00AC491A">
      <w:pPr>
        <w:pStyle w:val="Heading3"/>
        <w:rPr>
          <w:lang w:val="en-GB"/>
        </w:rPr>
      </w:pPr>
      <w:bookmarkStart w:id="58" w:name="_Toc111636733"/>
      <w:r w:rsidRPr="00380B40">
        <w:rPr>
          <w:lang w:val="en-GB"/>
        </w:rPr>
        <w:t>8.1.2</w:t>
      </w:r>
      <w:r w:rsidRPr="00380B40">
        <w:rPr>
          <w:lang w:val="en-GB"/>
        </w:rPr>
        <w:tab/>
        <w:t>Selection at WTSA</w:t>
      </w:r>
      <w:bookmarkEnd w:id="58"/>
    </w:p>
    <w:p w14:paraId="5D39EA9B" w14:textId="77777777" w:rsidR="00AC491A" w:rsidRPr="00380B40" w:rsidRDefault="00AC491A" w:rsidP="00AC491A">
      <w:pPr>
        <w:tabs>
          <w:tab w:val="clear" w:pos="794"/>
          <w:tab w:val="clear" w:pos="1191"/>
          <w:tab w:val="clear" w:pos="1588"/>
          <w:tab w:val="clear" w:pos="1985"/>
          <w:tab w:val="left" w:pos="1134"/>
          <w:tab w:val="left" w:pos="1871"/>
          <w:tab w:val="left" w:pos="2268"/>
        </w:tabs>
        <w:rPr>
          <w:lang w:val="en-GB"/>
        </w:rPr>
      </w:pPr>
      <w:r w:rsidRPr="00380B40">
        <w:rPr>
          <w:lang w:val="en-GB"/>
        </w:rPr>
        <w:t>As a general approach, ITU</w:t>
      </w:r>
      <w:r w:rsidRPr="00380B40">
        <w:rPr>
          <w:lang w:val="en-GB"/>
        </w:rPr>
        <w:noBreakHyphen/>
        <w:t>T Recommendations having policy or regulatory implications, such as tariff and accounting issues and relevant numbering and addressing plans, or Recommendations where there is any doubt about their scope, are assumed to follow TAP. Likewise, ITU</w:t>
      </w:r>
      <w:r w:rsidRPr="00380B40">
        <w:rPr>
          <w:lang w:val="en-GB"/>
        </w:rPr>
        <w:noBreakHyphen/>
        <w:t>T Recommendations relating to other issues are assumed to follow AAP. However, explicit action at WTSA can change the selection from AAP to TAP, and vice versa.</w:t>
      </w:r>
    </w:p>
    <w:p w14:paraId="11EA2EE1" w14:textId="77777777" w:rsidR="00AC491A" w:rsidRPr="00380B40" w:rsidRDefault="00AC491A" w:rsidP="00AC491A">
      <w:pPr>
        <w:pStyle w:val="Heading2"/>
        <w:rPr>
          <w:lang w:val="en-GB"/>
        </w:rPr>
      </w:pPr>
      <w:bookmarkStart w:id="59" w:name="_Toc111636734"/>
      <w:r w:rsidRPr="00380B40">
        <w:rPr>
          <w:lang w:val="en-GB"/>
        </w:rPr>
        <w:t>8.2</w:t>
      </w:r>
      <w:r w:rsidRPr="00380B40">
        <w:rPr>
          <w:lang w:val="en-GB"/>
        </w:rPr>
        <w:tab/>
        <w:t>Notification of the selection</w:t>
      </w:r>
      <w:bookmarkEnd w:id="59"/>
    </w:p>
    <w:p w14:paraId="601516CC" w14:textId="77777777" w:rsidR="00AC491A" w:rsidRPr="00380B40" w:rsidRDefault="00AC491A" w:rsidP="00AC491A">
      <w:pPr>
        <w:rPr>
          <w:lang w:val="en-GB"/>
        </w:rPr>
      </w:pPr>
      <w:r w:rsidRPr="00380B40">
        <w:rPr>
          <w:lang w:val="en-GB"/>
        </w:rPr>
        <w:t>When the Director of TSB notifies the membership that a Question has been approved, the Director shall also include notification of the proposed selection for the resulting Recommendations. If there are any objections, which shall be based on the provisions of Nos. 246D, 246F or 246H of the Convention, they shall be forwarded to the next study group meeting, in writing, where there can be a reconsideration of the selection (see 8.3 below).</w:t>
      </w:r>
    </w:p>
    <w:p w14:paraId="24187EA1" w14:textId="77777777" w:rsidR="00AC491A" w:rsidRPr="00380B40" w:rsidRDefault="00AC491A" w:rsidP="00AC491A">
      <w:pPr>
        <w:pStyle w:val="Heading2"/>
        <w:rPr>
          <w:lang w:val="en-GB"/>
        </w:rPr>
      </w:pPr>
      <w:bookmarkStart w:id="60" w:name="_Toc111636735"/>
      <w:r w:rsidRPr="00380B40">
        <w:rPr>
          <w:lang w:val="en-GB"/>
        </w:rPr>
        <w:t>8.3</w:t>
      </w:r>
      <w:r w:rsidRPr="00380B40">
        <w:rPr>
          <w:lang w:val="en-GB"/>
        </w:rPr>
        <w:tab/>
        <w:t>Reconsideration of the selection</w:t>
      </w:r>
      <w:bookmarkEnd w:id="60"/>
    </w:p>
    <w:p w14:paraId="5ABEBD41" w14:textId="77777777" w:rsidR="00AC491A" w:rsidRPr="00380B40" w:rsidRDefault="00AC491A" w:rsidP="00AC491A">
      <w:pPr>
        <w:rPr>
          <w:lang w:val="en-GB"/>
        </w:rPr>
      </w:pPr>
      <w:r w:rsidRPr="00380B40">
        <w:rPr>
          <w:b/>
          <w:bCs/>
          <w:lang w:val="en-GB"/>
        </w:rPr>
        <w:t>8.3.1</w:t>
      </w:r>
      <w:r w:rsidRPr="00380B40">
        <w:rPr>
          <w:lang w:val="en-GB"/>
        </w:rPr>
        <w:tab/>
        <w:t xml:space="preserve">At any time, up to the decision to put a draft new or revised Recommendation into the "Last Call" comment process, the selection can be reconsidered based on the provisions of Nos. 246D, 246F or 246H of the Convention. Any request for reconsideration shall be in writing (e.g. a contribution or, if submitted after the expiry of the deadline for a contribution, a written document that is then reflected in a TD) to a study group or working party meeting, accompanied by the reasons for reconsideration of the selection. A proposal from a Member State or Sector Member to change the selection has to be seconded before it can be addressed by the meeting. </w:t>
      </w:r>
    </w:p>
    <w:p w14:paraId="626F4D7D" w14:textId="77777777" w:rsidR="00F26640" w:rsidRPr="00380B40" w:rsidRDefault="00F26640" w:rsidP="00AC491A">
      <w:pPr>
        <w:rPr>
          <w:b/>
          <w:bCs/>
          <w:lang w:val="en-GB"/>
        </w:rPr>
      </w:pPr>
      <w:r w:rsidRPr="00380B40">
        <w:rPr>
          <w:b/>
          <w:bCs/>
          <w:lang w:val="en-GB"/>
        </w:rPr>
        <w:br w:type="page"/>
      </w:r>
    </w:p>
    <w:p w14:paraId="62FC9D4F" w14:textId="77777777" w:rsidR="00AC491A" w:rsidRPr="00380B40" w:rsidRDefault="00AC491A" w:rsidP="00AC491A">
      <w:pPr>
        <w:rPr>
          <w:lang w:val="en-GB"/>
        </w:rPr>
      </w:pPr>
      <w:r w:rsidRPr="00380B40">
        <w:rPr>
          <w:b/>
          <w:bCs/>
          <w:lang w:val="en-GB"/>
        </w:rPr>
        <w:t>8.3.2</w:t>
      </w:r>
      <w:r w:rsidRPr="00380B40">
        <w:rPr>
          <w:lang w:val="en-GB"/>
        </w:rPr>
        <w:tab/>
        <w:t xml:space="preserve">Using the same procedures as described in 8.1.1, the study group shall decide if the selection remains as is, or if it is changed. </w:t>
      </w:r>
    </w:p>
    <w:p w14:paraId="102BC4EE" w14:textId="77777777" w:rsidR="00AC491A" w:rsidRPr="00380B40" w:rsidRDefault="00AC491A" w:rsidP="00AC491A">
      <w:pPr>
        <w:rPr>
          <w:lang w:val="en-GB"/>
        </w:rPr>
      </w:pPr>
      <w:r w:rsidRPr="00380B40">
        <w:rPr>
          <w:b/>
          <w:bCs/>
          <w:lang w:val="en-GB"/>
        </w:rPr>
        <w:t>8.3.3</w:t>
      </w:r>
      <w:r w:rsidRPr="00380B40">
        <w:rPr>
          <w:lang w:val="en-GB"/>
        </w:rPr>
        <w:tab/>
        <w:t>Any agreed change of a Recommendation</w:t>
      </w:r>
      <w:r w:rsidR="00F82355" w:rsidRPr="00380B40">
        <w:rPr>
          <w:lang w:val="en-GB"/>
        </w:rPr>
        <w:t>'</w:t>
      </w:r>
      <w:r w:rsidRPr="00380B40">
        <w:rPr>
          <w:lang w:val="en-GB"/>
        </w:rPr>
        <w:t>s approval process shall be clearly announced at the time by the chairman of the meeting. It shall also be included in the meeting report and in the ITU-T work programme for the Recommendation.</w:t>
      </w:r>
    </w:p>
    <w:p w14:paraId="7A2EA125" w14:textId="77777777" w:rsidR="00AC491A" w:rsidRPr="00380B40" w:rsidRDefault="00AC491A" w:rsidP="00AC491A">
      <w:pPr>
        <w:rPr>
          <w:lang w:val="en-GB"/>
        </w:rPr>
      </w:pPr>
      <w:r w:rsidRPr="00380B40">
        <w:rPr>
          <w:b/>
          <w:bCs/>
          <w:lang w:val="en-GB"/>
        </w:rPr>
        <w:t>8.3.4</w:t>
      </w:r>
      <w:r w:rsidRPr="00380B40">
        <w:rPr>
          <w:lang w:val="en-GB"/>
        </w:rPr>
        <w:tab/>
        <w:t>The selection may be changed once the Recommendation has been consented (according to Recommendation ITU-T A.8, clause 5.2). The selection may not be changed once the Recommendation has been determined (see 9.3.1 below).</w:t>
      </w:r>
    </w:p>
    <w:p w14:paraId="69E8FB9B" w14:textId="77777777" w:rsidR="00AC491A" w:rsidRPr="00380B40" w:rsidRDefault="00AC491A" w:rsidP="00AC491A">
      <w:pPr>
        <w:pStyle w:val="SectionNo"/>
        <w:rPr>
          <w:lang w:val="en-GB"/>
        </w:rPr>
      </w:pPr>
      <w:bookmarkStart w:id="61" w:name="_Toc111636736"/>
      <w:r w:rsidRPr="00380B40">
        <w:rPr>
          <w:lang w:val="en-GB"/>
        </w:rPr>
        <w:t>SECTION 9</w:t>
      </w:r>
      <w:bookmarkEnd w:id="61"/>
    </w:p>
    <w:p w14:paraId="2A094A31" w14:textId="77777777" w:rsidR="00AC491A" w:rsidRPr="00380B40" w:rsidRDefault="00AC491A" w:rsidP="00202A50">
      <w:pPr>
        <w:pStyle w:val="Sectiontitle"/>
      </w:pPr>
      <w:bookmarkStart w:id="62" w:name="_Toc111636737"/>
      <w:r w:rsidRPr="00380B40">
        <w:t xml:space="preserve">Approval of new and revised Recommendations </w:t>
      </w:r>
      <w:r w:rsidRPr="00380B40">
        <w:br/>
        <w:t>using the traditional approval process</w:t>
      </w:r>
      <w:bookmarkEnd w:id="62"/>
    </w:p>
    <w:p w14:paraId="41700E52" w14:textId="77777777" w:rsidR="00AC491A" w:rsidRPr="00380B40" w:rsidRDefault="00AC491A" w:rsidP="00AC491A">
      <w:pPr>
        <w:pStyle w:val="Heading2"/>
        <w:rPr>
          <w:lang w:val="en-GB"/>
        </w:rPr>
      </w:pPr>
      <w:bookmarkStart w:id="63" w:name="_Toc111636738"/>
      <w:r w:rsidRPr="00380B40">
        <w:rPr>
          <w:lang w:val="en-GB"/>
        </w:rPr>
        <w:t>9.1</w:t>
      </w:r>
      <w:r w:rsidRPr="00380B40">
        <w:rPr>
          <w:lang w:val="en-GB"/>
        </w:rPr>
        <w:tab/>
        <w:t>General</w:t>
      </w:r>
      <w:bookmarkEnd w:id="63"/>
    </w:p>
    <w:p w14:paraId="02E23570" w14:textId="77777777" w:rsidR="00AC491A" w:rsidRPr="00380B40" w:rsidRDefault="00AC491A" w:rsidP="00AC491A">
      <w:pPr>
        <w:rPr>
          <w:lang w:val="en-GB"/>
        </w:rPr>
      </w:pPr>
      <w:r w:rsidRPr="00380B40">
        <w:rPr>
          <w:b/>
          <w:bCs/>
          <w:lang w:val="en-GB"/>
        </w:rPr>
        <w:t>9.1.1</w:t>
      </w:r>
      <w:r w:rsidRPr="00380B40">
        <w:rPr>
          <w:lang w:val="en-GB"/>
        </w:rPr>
        <w:tab/>
        <w:t>This section sets out procedures for approval of new or revised Recommendations which require formal consultation of Member States under Nos. 246D, 246F or 246H of the ITU Convention (traditional approval process, TAP). According to No. 246B of the Convention, draft new or revised ITU</w:t>
      </w:r>
      <w:r w:rsidRPr="00380B40">
        <w:rPr>
          <w:lang w:val="en-GB"/>
        </w:rPr>
        <w:noBreakHyphen/>
        <w:t>T Recommendations are adopted by a study group in accordance with procedures established by WTSA, and Recommendations which do not require formal consultation of Member States for their approval are considered approved. Procedures for such approval of Recommendations (alternative approval process, AAP) are found in Recommendation ITU</w:t>
      </w:r>
      <w:r w:rsidRPr="00380B40">
        <w:rPr>
          <w:lang w:val="en-GB"/>
        </w:rPr>
        <w:noBreakHyphen/>
        <w:t>T A.8. In accordance with the Convention, the status of Recommendations approved is the same for both methods of approval.</w:t>
      </w:r>
    </w:p>
    <w:p w14:paraId="3B28AE67" w14:textId="77777777" w:rsidR="00AC491A" w:rsidRPr="00380B40" w:rsidRDefault="00AC491A" w:rsidP="00AC491A">
      <w:pPr>
        <w:rPr>
          <w:lang w:val="en-GB"/>
        </w:rPr>
      </w:pPr>
      <w:r w:rsidRPr="00380B40">
        <w:rPr>
          <w:b/>
          <w:bCs/>
          <w:lang w:val="en-GB"/>
        </w:rPr>
        <w:t>9.1.2</w:t>
      </w:r>
      <w:r w:rsidRPr="00380B40">
        <w:rPr>
          <w:lang w:val="en-GB"/>
        </w:rPr>
        <w:tab/>
        <w:t>In the interests of speed and efficiency, approval should normally be sought as soon as the relevant texts are mature, by a formal consultation in which the Director of TSB asks Member States to delegate authority to the relevant study group to proceed with the approval process and subsequent agreement at a formal meeting of the study group.</w:t>
      </w:r>
    </w:p>
    <w:p w14:paraId="22B77F69" w14:textId="77777777" w:rsidR="00AC491A" w:rsidRPr="00380B40" w:rsidRDefault="00AC491A" w:rsidP="00AC491A">
      <w:pPr>
        <w:rPr>
          <w:b/>
          <w:bCs/>
          <w:lang w:val="en-GB"/>
        </w:rPr>
      </w:pPr>
      <w:r w:rsidRPr="00380B40">
        <w:rPr>
          <w:lang w:val="en-GB"/>
        </w:rPr>
        <w:t>The relevant study group may also seek approval at a WTSA.</w:t>
      </w:r>
    </w:p>
    <w:p w14:paraId="749FAF64" w14:textId="77777777" w:rsidR="00AC491A" w:rsidRPr="00380B40" w:rsidRDefault="00AC491A" w:rsidP="00AC491A">
      <w:pPr>
        <w:rPr>
          <w:lang w:val="en-GB"/>
        </w:rPr>
      </w:pPr>
      <w:r w:rsidRPr="00380B40">
        <w:rPr>
          <w:b/>
          <w:bCs/>
          <w:lang w:val="en-GB"/>
        </w:rPr>
        <w:t>9.1.3</w:t>
      </w:r>
      <w:r w:rsidRPr="00380B40">
        <w:rPr>
          <w:lang w:val="en-GB"/>
        </w:rPr>
        <w:tab/>
        <w:t>In accordance with No. 247A of the Convention, the status of Recommendations approved is the same whether approval is at a study group meeting or at a WTSA.</w:t>
      </w:r>
    </w:p>
    <w:p w14:paraId="2D187DC6" w14:textId="77777777" w:rsidR="00F26640" w:rsidRPr="00380B40" w:rsidRDefault="00F26640" w:rsidP="00AC491A">
      <w:pPr>
        <w:rPr>
          <w:lang w:val="en-GB"/>
        </w:rPr>
      </w:pPr>
      <w:r w:rsidRPr="00380B40">
        <w:rPr>
          <w:lang w:val="en-GB"/>
        </w:rPr>
        <w:br w:type="page"/>
      </w:r>
    </w:p>
    <w:p w14:paraId="1F9DE4E1" w14:textId="77777777" w:rsidR="00AC491A" w:rsidRPr="00380B40" w:rsidRDefault="00AC491A" w:rsidP="00AC491A">
      <w:pPr>
        <w:pStyle w:val="Heading2"/>
        <w:rPr>
          <w:lang w:val="en-GB"/>
        </w:rPr>
      </w:pPr>
      <w:bookmarkStart w:id="64" w:name="_Toc111636739"/>
      <w:r w:rsidRPr="00380B40">
        <w:rPr>
          <w:lang w:val="en-GB"/>
        </w:rPr>
        <w:t>9.2</w:t>
      </w:r>
      <w:r w:rsidRPr="00380B40">
        <w:rPr>
          <w:lang w:val="en-GB"/>
        </w:rPr>
        <w:tab/>
        <w:t>Process</w:t>
      </w:r>
      <w:bookmarkEnd w:id="64"/>
    </w:p>
    <w:p w14:paraId="07625E50" w14:textId="77777777" w:rsidR="00AC491A" w:rsidRPr="00380B40" w:rsidRDefault="00AC491A" w:rsidP="00AC491A">
      <w:pPr>
        <w:rPr>
          <w:lang w:val="en-GB"/>
        </w:rPr>
      </w:pPr>
      <w:r w:rsidRPr="00380B40">
        <w:rPr>
          <w:b/>
          <w:bCs/>
          <w:lang w:val="en-GB"/>
        </w:rPr>
        <w:t>9.2.1</w:t>
      </w:r>
      <w:r w:rsidRPr="00380B40">
        <w:rPr>
          <w:lang w:val="en-GB"/>
        </w:rPr>
        <w:tab/>
        <w:t>Study groups shall apply the process described below for seeking the approval of all draft new and revised Recommendations, when they have been developed to a mature state. See Figure 9.1 for the sequence of events.</w:t>
      </w:r>
    </w:p>
    <w:p w14:paraId="63C8DCFB" w14:textId="77777777" w:rsidR="00AC491A" w:rsidRPr="00380B40" w:rsidRDefault="00AC491A" w:rsidP="00AC491A">
      <w:pPr>
        <w:rPr>
          <w:lang w:val="en-GB"/>
        </w:rPr>
      </w:pPr>
      <w:r w:rsidRPr="00380B40">
        <w:rPr>
          <w:b/>
          <w:bCs/>
          <w:lang w:val="en-GB"/>
        </w:rPr>
        <w:t>9.2.1.1</w:t>
      </w:r>
      <w:r w:rsidRPr="00380B40">
        <w:rPr>
          <w:b/>
          <w:bCs/>
          <w:lang w:val="en-GB"/>
        </w:rPr>
        <w:tab/>
      </w:r>
      <w:r w:rsidRPr="00380B40">
        <w:rPr>
          <w:lang w:val="en-GB"/>
        </w:rPr>
        <w:t>A Study Group 3 regional group shall decide on its own to apply this procedure for settling telecommunication questions which are such that they may be treated on a regional basis, including the establishment of regional tariffs. Any Recommendation adopted according to this procedure shall only apply to the Member States that are part of the regional group. The chairman of Study Group 3 shall be informed of the decision to apply this approval procedure and Study Group 3 at its next plenary meeting will examine the draft Recommendation in broad terms. If there is no objection as regards principles and methodology, the procedure shall be initiated. Only the Member States of the Study Group 3 regional group shall be consulted by the Director for the approval of the draft Recommendation concerned.</w:t>
      </w:r>
    </w:p>
    <w:p w14:paraId="2BD272AF" w14:textId="77777777" w:rsidR="00AC491A" w:rsidRPr="00380B40" w:rsidRDefault="00AC491A" w:rsidP="00AC491A">
      <w:pPr>
        <w:rPr>
          <w:lang w:val="en-GB"/>
        </w:rPr>
      </w:pPr>
      <w:r w:rsidRPr="00380B40">
        <w:rPr>
          <w:b/>
          <w:bCs/>
          <w:lang w:val="en-GB"/>
        </w:rPr>
        <w:t>9.2.2</w:t>
      </w:r>
      <w:r w:rsidRPr="00380B40">
        <w:rPr>
          <w:lang w:val="en-GB"/>
        </w:rPr>
        <w:tab/>
        <w:t>Cases where approval of new or revised Recommendations shall be deferred for consideration at a WTSA are:</w:t>
      </w:r>
    </w:p>
    <w:p w14:paraId="438673D3" w14:textId="77777777" w:rsidR="00AC491A" w:rsidRPr="00380B40" w:rsidRDefault="00AC491A" w:rsidP="00AC491A">
      <w:pPr>
        <w:pStyle w:val="enumlev1"/>
        <w:rPr>
          <w:lang w:val="en-GB"/>
        </w:rPr>
      </w:pPr>
      <w:r w:rsidRPr="00380B40">
        <w:rPr>
          <w:iCs/>
          <w:lang w:val="en-GB"/>
        </w:rPr>
        <w:t>a)</w:t>
      </w:r>
      <w:r w:rsidRPr="00380B40">
        <w:rPr>
          <w:lang w:val="en-GB"/>
        </w:rPr>
        <w:tab/>
        <w:t>Recommendations of an administrative nature concerning ITU</w:t>
      </w:r>
      <w:r w:rsidRPr="00380B40">
        <w:rPr>
          <w:lang w:val="en-GB"/>
        </w:rPr>
        <w:noBreakHyphen/>
        <w:t>T as a whole;</w:t>
      </w:r>
    </w:p>
    <w:p w14:paraId="18162DBC" w14:textId="77777777" w:rsidR="00AC491A" w:rsidRPr="00380B40" w:rsidRDefault="00AC491A" w:rsidP="00AC491A">
      <w:pPr>
        <w:pStyle w:val="enumlev1"/>
        <w:rPr>
          <w:lang w:val="en-GB"/>
        </w:rPr>
      </w:pPr>
      <w:r w:rsidRPr="00380B40">
        <w:rPr>
          <w:lang w:val="en-GB"/>
        </w:rPr>
        <w:t>b)</w:t>
      </w:r>
      <w:r w:rsidRPr="00380B40">
        <w:rPr>
          <w:lang w:val="en-GB"/>
        </w:rPr>
        <w:tab/>
        <w:t>where the study group concerned considers it desirable that WTSA itself shall debate and resolve particularly difficult or delicate issues;</w:t>
      </w:r>
    </w:p>
    <w:p w14:paraId="25E55519" w14:textId="77777777" w:rsidR="00AC491A" w:rsidRPr="00380B40" w:rsidRDefault="00AC491A" w:rsidP="00AC491A">
      <w:pPr>
        <w:pStyle w:val="enumlev1"/>
        <w:rPr>
          <w:lang w:val="en-GB"/>
        </w:rPr>
      </w:pPr>
      <w:r w:rsidRPr="00380B40">
        <w:rPr>
          <w:lang w:val="en-GB"/>
        </w:rPr>
        <w:t>c)</w:t>
      </w:r>
      <w:r w:rsidRPr="00380B40">
        <w:rPr>
          <w:lang w:val="en-GB"/>
        </w:rPr>
        <w:tab/>
        <w:t>where attempts to achieve agreement within the study groups have failed.</w:t>
      </w:r>
    </w:p>
    <w:p w14:paraId="69FE64B7" w14:textId="77777777" w:rsidR="00AC491A" w:rsidRPr="00380B40" w:rsidRDefault="00AC491A" w:rsidP="00AC491A">
      <w:pPr>
        <w:pStyle w:val="Heading2"/>
        <w:rPr>
          <w:lang w:val="en-GB"/>
        </w:rPr>
      </w:pPr>
      <w:bookmarkStart w:id="65" w:name="_Toc111636740"/>
      <w:r w:rsidRPr="00380B40">
        <w:rPr>
          <w:lang w:val="en-GB"/>
        </w:rPr>
        <w:t>9.3</w:t>
      </w:r>
      <w:r w:rsidRPr="00380B40">
        <w:rPr>
          <w:lang w:val="en-GB"/>
        </w:rPr>
        <w:tab/>
        <w:t>Prerequisites</w:t>
      </w:r>
      <w:bookmarkEnd w:id="65"/>
    </w:p>
    <w:p w14:paraId="5F6AA901" w14:textId="77777777" w:rsidR="00AC491A" w:rsidRPr="00380B40" w:rsidRDefault="00AC491A" w:rsidP="00AC491A">
      <w:pPr>
        <w:rPr>
          <w:lang w:val="en-GB"/>
        </w:rPr>
      </w:pPr>
      <w:r w:rsidRPr="00380B40">
        <w:rPr>
          <w:b/>
          <w:bCs/>
          <w:lang w:val="en-GB"/>
        </w:rPr>
        <w:t>9.3.1</w:t>
      </w:r>
      <w:r w:rsidRPr="00380B40">
        <w:rPr>
          <w:lang w:val="en-GB"/>
        </w:rPr>
        <w:tab/>
        <w:t>Upon request of the study group chairman, the Director shall explicitly announce the intention to apply the approval procedure set out in this resolution when convening the meeting of the study group. Such requests shall be based upon a determination at a study group or working party meeting or, exceptionally, at a WTSA, that work on a draft Recommendation is sufficiently mature for such action. At this stage the draft Recommendation is considered to be "determined". The Director shall include the summary of the Recommendation. Reference shall be provided to the report or other documents where the text of the draft new or revised Recommendation to be considered may be found. This information shall also be distributed to all Member States and Sector Members.</w:t>
      </w:r>
    </w:p>
    <w:p w14:paraId="19E2741E" w14:textId="77777777" w:rsidR="00AC491A" w:rsidRPr="00380B40" w:rsidRDefault="00AC491A" w:rsidP="00AC491A">
      <w:pPr>
        <w:rPr>
          <w:b/>
          <w:bCs/>
          <w:lang w:val="en-GB"/>
        </w:rPr>
      </w:pPr>
      <w:r w:rsidRPr="00380B40">
        <w:rPr>
          <w:b/>
          <w:bCs/>
          <w:lang w:val="en-GB"/>
        </w:rPr>
        <w:t>9.3.2</w:t>
      </w:r>
      <w:r w:rsidRPr="00380B40">
        <w:rPr>
          <w:lang w:val="en-GB"/>
        </w:rPr>
        <w:tab/>
        <w:t>Study groups are encouraged to establish an editing group in each study group to review the texts of new and revised Recommendations for suitability in each of the official languages.</w:t>
      </w:r>
    </w:p>
    <w:p w14:paraId="1F8D53D4" w14:textId="77777777" w:rsidR="00F26640" w:rsidRPr="00380B40" w:rsidRDefault="00F26640" w:rsidP="00AC491A">
      <w:pPr>
        <w:rPr>
          <w:b/>
          <w:bCs/>
          <w:lang w:val="en-GB"/>
        </w:rPr>
      </w:pPr>
      <w:r w:rsidRPr="00380B40">
        <w:rPr>
          <w:b/>
          <w:bCs/>
          <w:lang w:val="en-GB"/>
        </w:rPr>
        <w:br w:type="page"/>
      </w:r>
    </w:p>
    <w:p w14:paraId="0BD5B6F3" w14:textId="77777777" w:rsidR="00AC491A" w:rsidRPr="00380B40" w:rsidRDefault="00AC491A" w:rsidP="00AC491A">
      <w:pPr>
        <w:rPr>
          <w:lang w:val="en-GB"/>
        </w:rPr>
      </w:pPr>
      <w:r w:rsidRPr="00380B40">
        <w:rPr>
          <w:b/>
          <w:bCs/>
          <w:lang w:val="en-GB"/>
        </w:rPr>
        <w:t>9.3.3</w:t>
      </w:r>
      <w:r w:rsidRPr="00380B40">
        <w:rPr>
          <w:lang w:val="en-GB"/>
        </w:rPr>
        <w:tab/>
        <w:t>The text of the draft new or revised Recommendation shall be available to TSB in a final edited form in at least one of the official languages at the time that the Director makes the announcement of the intended application of the approval procedure set out in this resolution. Any associated electronic material included in the Recommendation (e.g. software, test vectors, etc.) shall also be made available to TSB at the same time. A summary that reflects the final edited form of the draft Recommendation shall also be provided to TSB in accordance with 9.3.4 below. The invitation to the meeting, together with the summary of the draft new or revised Recommendation, announcing the intended application of this approval procedure, shall be sent by the Director to all Member States and Sector Members so as to be received at least three months before the meeting. The invitation and the enclosed summary shall be distributed according to normal procedures, which include the use of the appropriate official languages.</w:t>
      </w:r>
    </w:p>
    <w:p w14:paraId="20D82DF8" w14:textId="77777777" w:rsidR="00AC491A" w:rsidRPr="00380B40" w:rsidRDefault="00AC491A" w:rsidP="00AC491A">
      <w:pPr>
        <w:rPr>
          <w:lang w:val="en-GB"/>
        </w:rPr>
      </w:pPr>
      <w:r w:rsidRPr="00380B40">
        <w:rPr>
          <w:b/>
          <w:bCs/>
          <w:lang w:val="en-GB"/>
        </w:rPr>
        <w:t>9.3.4</w:t>
      </w:r>
      <w:r w:rsidRPr="00380B40">
        <w:rPr>
          <w:lang w:val="en-GB"/>
        </w:rPr>
        <w:tab/>
        <w:t>The summary shall be prepared in accordance with the Author's guide for drafting ITU</w:t>
      </w:r>
      <w:r w:rsidRPr="00380B40">
        <w:rPr>
          <w:lang w:val="en-GB"/>
        </w:rPr>
        <w:noBreakHyphen/>
        <w:t>T Recommendations. It is a brief outline of the purpose and content of the new or revised draft Recommendation and, where appropriate, the intent of the revisions. No Recommendation shall be considered as complete and ready for approval without this summary statement.</w:t>
      </w:r>
    </w:p>
    <w:p w14:paraId="20684495" w14:textId="77777777" w:rsidR="00AC491A" w:rsidRPr="00380B40" w:rsidRDefault="00AC491A" w:rsidP="00AC491A">
      <w:pPr>
        <w:rPr>
          <w:lang w:val="en-GB"/>
        </w:rPr>
      </w:pPr>
      <w:r w:rsidRPr="00380B40">
        <w:rPr>
          <w:b/>
          <w:bCs/>
          <w:lang w:val="en-GB"/>
        </w:rPr>
        <w:t>9.3.5</w:t>
      </w:r>
      <w:r w:rsidRPr="00380B40">
        <w:rPr>
          <w:lang w:val="en-GB"/>
        </w:rPr>
        <w:tab/>
        <w:t>The text of the draft new or revised Recommendation shall have been distributed in the official languages at least one month prior to the announced meeting.</w:t>
      </w:r>
    </w:p>
    <w:p w14:paraId="5B1BD887" w14:textId="77777777" w:rsidR="00AC491A" w:rsidRPr="00380B40" w:rsidRDefault="00AC491A" w:rsidP="00AC491A">
      <w:pPr>
        <w:rPr>
          <w:lang w:val="en-GB"/>
        </w:rPr>
      </w:pPr>
      <w:r w:rsidRPr="00380B40">
        <w:rPr>
          <w:b/>
          <w:bCs/>
          <w:lang w:val="en-GB"/>
        </w:rPr>
        <w:t>9.3.6</w:t>
      </w:r>
      <w:r w:rsidRPr="00380B40">
        <w:rPr>
          <w:lang w:val="en-GB"/>
        </w:rPr>
        <w:tab/>
        <w:t>Approval may only be sought for a draft new or revised Recommendation within the study group's mandate as defined by the Questions allocated to it, in accordance with No. 192 of the Convention. Alternatively, or additionally, approval may be sought for amendment of an existing Recommendation within the study group's responsibility and mandate (see WTSA Resolution 2).</w:t>
      </w:r>
    </w:p>
    <w:p w14:paraId="564E890F" w14:textId="77777777" w:rsidR="00AC491A" w:rsidRPr="00380B40" w:rsidRDefault="00AC491A" w:rsidP="00AC491A">
      <w:pPr>
        <w:rPr>
          <w:lang w:val="en-GB"/>
        </w:rPr>
      </w:pPr>
      <w:r w:rsidRPr="00380B40">
        <w:rPr>
          <w:b/>
          <w:bCs/>
          <w:lang w:val="en-GB"/>
        </w:rPr>
        <w:t>9.3.7</w:t>
      </w:r>
      <w:r w:rsidRPr="00380B40">
        <w:rPr>
          <w:lang w:val="en-GB"/>
        </w:rPr>
        <w:tab/>
        <w:t>Where a draft new or revised Recommendation falls within the mandate of more than one study group, the chairman of the study group proposing the approval should consult and take into account the views of any other study group chairmen concerned before proceeding with the application of this approval procedure.</w:t>
      </w:r>
    </w:p>
    <w:p w14:paraId="1DECF25F" w14:textId="77777777" w:rsidR="00AC491A" w:rsidRPr="00380B40" w:rsidRDefault="00AC491A" w:rsidP="00AC491A">
      <w:pPr>
        <w:rPr>
          <w:lang w:val="en-GB"/>
        </w:rPr>
      </w:pPr>
      <w:r w:rsidRPr="00380B40">
        <w:rPr>
          <w:b/>
          <w:bCs/>
          <w:lang w:val="en-GB"/>
        </w:rPr>
        <w:t>9.3.8</w:t>
      </w:r>
      <w:r w:rsidRPr="00380B40">
        <w:rPr>
          <w:lang w:val="en-GB"/>
        </w:rPr>
        <w:tab/>
        <w:t>ITU</w:t>
      </w:r>
      <w:r w:rsidRPr="00380B40">
        <w:rPr>
          <w:lang w:val="en-GB"/>
        </w:rPr>
        <w:noBreakHyphen/>
        <w:t>T Recommendations are to be elaborated with a view to being applied as broadly and openly as possible, so as to ensure their widespread use. Recommendations are to be elaborated keeping in mind the requirements relating to intellectual property rights and in accordance with the Common Patent Policy for ITU</w:t>
      </w:r>
      <w:r w:rsidRPr="00380B40">
        <w:rPr>
          <w:lang w:val="en-GB"/>
        </w:rPr>
        <w:noBreakHyphen/>
        <w:t>T/ITU</w:t>
      </w:r>
      <w:r w:rsidRPr="00380B40">
        <w:rPr>
          <w:lang w:val="en-GB"/>
        </w:rPr>
        <w:noBreakHyphen/>
        <w:t xml:space="preserve">R/ISO/IEC available at </w:t>
      </w:r>
      <w:hyperlink r:id="rId30" w:history="1">
        <w:r w:rsidR="007F7EB9" w:rsidRPr="00380B40">
          <w:rPr>
            <w:rStyle w:val="Hyperlink"/>
            <w:lang w:val="en-GB"/>
          </w:rPr>
          <w:t>https://www.itu.int/en/ITU-T/ipr/</w:t>
        </w:r>
      </w:hyperlink>
      <w:r w:rsidRPr="00380B40">
        <w:rPr>
          <w:lang w:val="en-GB"/>
        </w:rPr>
        <w:t>. For example:</w:t>
      </w:r>
    </w:p>
    <w:p w14:paraId="261AEBE6" w14:textId="77777777" w:rsidR="00AC491A" w:rsidRPr="00380B40" w:rsidRDefault="00AC491A" w:rsidP="00AC491A">
      <w:pPr>
        <w:rPr>
          <w:lang w:val="en-GB"/>
        </w:rPr>
      </w:pPr>
      <w:r w:rsidRPr="00380B40">
        <w:rPr>
          <w:b/>
          <w:bCs/>
          <w:lang w:val="en-GB"/>
        </w:rPr>
        <w:t>9.3.8.1</w:t>
      </w:r>
      <w:r w:rsidRPr="00380B40">
        <w:rPr>
          <w:lang w:val="en-GB"/>
        </w:rPr>
        <w:tab/>
        <w:t>Any party participating in the work of ITU</w:t>
      </w:r>
      <w:r w:rsidRPr="00380B40">
        <w:rPr>
          <w:lang w:val="en-GB"/>
        </w:rPr>
        <w:noBreakHyphen/>
        <w:t>T should, from the outset, draw the attention of the Director to any known patent or to any known pending patent application, either of their own or of other organizations. The "Patent Statement and Licensing Declaration" form available at the ITU</w:t>
      </w:r>
      <w:r w:rsidRPr="00380B40">
        <w:rPr>
          <w:lang w:val="en-GB"/>
        </w:rPr>
        <w:noBreakHyphen/>
        <w:t xml:space="preserve">T website is to be used. </w:t>
      </w:r>
    </w:p>
    <w:p w14:paraId="71D891AC" w14:textId="77777777" w:rsidR="00AC491A" w:rsidRPr="00380B40" w:rsidRDefault="00AC491A" w:rsidP="00AC491A">
      <w:pPr>
        <w:rPr>
          <w:b/>
          <w:bCs/>
          <w:lang w:val="en-GB"/>
        </w:rPr>
      </w:pPr>
      <w:r w:rsidRPr="00380B40">
        <w:rPr>
          <w:b/>
          <w:bCs/>
          <w:lang w:val="en-GB"/>
        </w:rPr>
        <w:t>9.3.8.2</w:t>
      </w:r>
      <w:r w:rsidRPr="00380B40">
        <w:rPr>
          <w:lang w:val="en-GB"/>
        </w:rPr>
        <w:tab/>
        <w:t>ITU</w:t>
      </w:r>
      <w:r w:rsidRPr="00380B40">
        <w:rPr>
          <w:lang w:val="en-GB"/>
        </w:rPr>
        <w:noBreakHyphen/>
        <w:t>T non-member organizations that hold patent(s) or pending patent application(s), the use of which may be required in order to implement an ITU</w:t>
      </w:r>
      <w:r w:rsidRPr="00380B40">
        <w:rPr>
          <w:lang w:val="en-GB"/>
        </w:rPr>
        <w:noBreakHyphen/>
        <w:t>T Recommendation, can submit a "Patent Statement and Licensing Declaration" to TSB using the form available at the ITU</w:t>
      </w:r>
      <w:r w:rsidRPr="00380B40">
        <w:rPr>
          <w:lang w:val="en-GB"/>
        </w:rPr>
        <w:noBreakHyphen/>
        <w:t>T website.</w:t>
      </w:r>
    </w:p>
    <w:p w14:paraId="1C595964" w14:textId="77777777" w:rsidR="00F26640" w:rsidRPr="00380B40" w:rsidRDefault="00F26640" w:rsidP="00AC491A">
      <w:pPr>
        <w:rPr>
          <w:b/>
          <w:bCs/>
          <w:lang w:val="en-GB"/>
        </w:rPr>
      </w:pPr>
      <w:r w:rsidRPr="00380B40">
        <w:rPr>
          <w:b/>
          <w:bCs/>
          <w:lang w:val="en-GB"/>
        </w:rPr>
        <w:br w:type="page"/>
      </w:r>
    </w:p>
    <w:p w14:paraId="2AC70601" w14:textId="77777777" w:rsidR="00AC491A" w:rsidRPr="00380B40" w:rsidRDefault="00AC491A" w:rsidP="00AC491A">
      <w:pPr>
        <w:rPr>
          <w:lang w:val="en-GB"/>
        </w:rPr>
      </w:pPr>
      <w:r w:rsidRPr="00380B40">
        <w:rPr>
          <w:b/>
          <w:bCs/>
          <w:lang w:val="en-GB"/>
        </w:rPr>
        <w:t>9.3.9</w:t>
      </w:r>
      <w:r w:rsidRPr="00380B40">
        <w:rPr>
          <w:lang w:val="en-GB"/>
        </w:rPr>
        <w:tab/>
        <w:t>In the interests of stability, once a new or revised Recommendation has been approved, approval should not normally be sought within a reasonable period of time for any further amendment of the new text or the revised portion, respectively, unless the proposed amendment complements rather than changes the agreement reached in the previous approval process or a significant error or omission is discovered. As a guideline, in this context "a reasonable period of time" would be at least two years in most cases.</w:t>
      </w:r>
    </w:p>
    <w:p w14:paraId="303E2271" w14:textId="77777777" w:rsidR="00AC491A" w:rsidRPr="00380B40" w:rsidRDefault="00AC491A" w:rsidP="00AC491A">
      <w:pPr>
        <w:rPr>
          <w:lang w:val="en-GB"/>
        </w:rPr>
      </w:pPr>
      <w:r w:rsidRPr="00380B40">
        <w:rPr>
          <w:b/>
          <w:bCs/>
          <w:lang w:val="en-GB"/>
        </w:rPr>
        <w:t>9.3.10</w:t>
      </w:r>
      <w:r w:rsidRPr="00380B40">
        <w:rPr>
          <w:lang w:val="en-GB"/>
        </w:rPr>
        <w:tab/>
        <w:t>Any Member States considering themselves to be adversely affected by a Recommendation approved in the course of a study period may refer their case to the Director, who shall submit it to the relevant study group for prompt attention.</w:t>
      </w:r>
    </w:p>
    <w:p w14:paraId="5ABC06DE" w14:textId="77777777" w:rsidR="00AC491A" w:rsidRPr="00380B40" w:rsidRDefault="00AC491A" w:rsidP="00AC491A">
      <w:pPr>
        <w:rPr>
          <w:lang w:val="en-GB"/>
        </w:rPr>
      </w:pPr>
      <w:r w:rsidRPr="00380B40">
        <w:rPr>
          <w:b/>
          <w:bCs/>
          <w:lang w:val="en-GB"/>
        </w:rPr>
        <w:t>9.3.11</w:t>
      </w:r>
      <w:r w:rsidRPr="00380B40">
        <w:rPr>
          <w:lang w:val="en-GB"/>
        </w:rPr>
        <w:tab/>
        <w:t>The Director shall inform the next WTSA of all cases notified under 9.3.10 above.</w:t>
      </w:r>
    </w:p>
    <w:p w14:paraId="7A6046DD" w14:textId="77777777" w:rsidR="00AC491A" w:rsidRPr="00380B40" w:rsidRDefault="00AC491A" w:rsidP="00AC491A">
      <w:pPr>
        <w:pStyle w:val="Heading2"/>
        <w:rPr>
          <w:lang w:val="en-GB"/>
        </w:rPr>
      </w:pPr>
      <w:bookmarkStart w:id="66" w:name="_Toc111636741"/>
      <w:r w:rsidRPr="00380B40">
        <w:rPr>
          <w:lang w:val="en-GB"/>
        </w:rPr>
        <w:t>9.4</w:t>
      </w:r>
      <w:r w:rsidRPr="00380B40">
        <w:rPr>
          <w:lang w:val="en-GB"/>
        </w:rPr>
        <w:tab/>
        <w:t>Consultation</w:t>
      </w:r>
      <w:bookmarkEnd w:id="66"/>
    </w:p>
    <w:p w14:paraId="5A8B92C8" w14:textId="77777777" w:rsidR="00AC491A" w:rsidRPr="00380B40" w:rsidRDefault="00AC491A" w:rsidP="00AC491A">
      <w:pPr>
        <w:rPr>
          <w:lang w:val="en-GB"/>
        </w:rPr>
      </w:pPr>
      <w:r w:rsidRPr="00380B40">
        <w:rPr>
          <w:b/>
          <w:bCs/>
          <w:lang w:val="en-GB"/>
        </w:rPr>
        <w:t>9.4.1</w:t>
      </w:r>
      <w:r w:rsidRPr="00380B40">
        <w:rPr>
          <w:lang w:val="en-GB"/>
        </w:rPr>
        <w:tab/>
        <w:t>Consultation of the Member States encompasses the time period and procedures beginning with the announcement by the Director of the intention to apply the approval procedure (9.3.1) up to seven working days before the beginning of the study group meeting. The Director shall request Member States' opinions within this period on whether they assign authority to the study group that the draft new or revised Recommendations should be considered for approval at the study group meeting. Only Member States are entitled to respond to this consultation.</w:t>
      </w:r>
    </w:p>
    <w:p w14:paraId="378ADE4B" w14:textId="77777777" w:rsidR="00AC491A" w:rsidRPr="00380B40" w:rsidRDefault="00AC491A" w:rsidP="00AC491A">
      <w:pPr>
        <w:rPr>
          <w:lang w:val="en-GB"/>
        </w:rPr>
      </w:pPr>
      <w:r w:rsidRPr="00380B40">
        <w:rPr>
          <w:b/>
          <w:bCs/>
          <w:lang w:val="en-GB"/>
        </w:rPr>
        <w:t>9.4.2</w:t>
      </w:r>
      <w:r w:rsidRPr="00380B40">
        <w:rPr>
          <w:lang w:val="en-GB"/>
        </w:rPr>
        <w:tab/>
        <w:t>If TSB has received a statement (or statements) indicating that the use of intellectual property, e.g. the existence of a patent, or a copyright claim, may be required in order to implement a draft Recommendation, the Director shall indicate this situation in the circular announcing the intention to invoke the WTSA Resolution 1 approval process (see Appendix II to this resolution).</w:t>
      </w:r>
    </w:p>
    <w:p w14:paraId="657EC2B4" w14:textId="77777777" w:rsidR="00AC491A" w:rsidRPr="00380B40" w:rsidRDefault="00AC491A" w:rsidP="00AC491A">
      <w:pPr>
        <w:rPr>
          <w:lang w:val="en-GB"/>
        </w:rPr>
      </w:pPr>
      <w:r w:rsidRPr="00380B40">
        <w:rPr>
          <w:b/>
          <w:bCs/>
          <w:lang w:val="en-GB"/>
        </w:rPr>
        <w:t>9.4.3</w:t>
      </w:r>
      <w:r w:rsidRPr="00380B40">
        <w:rPr>
          <w:lang w:val="en-GB"/>
        </w:rPr>
        <w:tab/>
        <w:t>The Director shall inform the Directors of the other two Bureaux, as well as recognized operating agencies, scientific and industrial organizations and international organizations participating in the work of the study group in question, that Member States are being asked to respond to a consultation on a proposed new or revised Recommendation. Only Member States are entitled to respond (see 9.5.2 below).</w:t>
      </w:r>
    </w:p>
    <w:p w14:paraId="4B005CF7" w14:textId="77777777" w:rsidR="00AC491A" w:rsidRPr="00380B40" w:rsidRDefault="00AC491A" w:rsidP="00AC491A">
      <w:pPr>
        <w:rPr>
          <w:lang w:val="en-GB"/>
        </w:rPr>
      </w:pPr>
      <w:r w:rsidRPr="00380B40">
        <w:rPr>
          <w:b/>
          <w:bCs/>
          <w:lang w:val="en-GB"/>
        </w:rPr>
        <w:t>9.4.4</w:t>
      </w:r>
      <w:r w:rsidRPr="00380B40">
        <w:rPr>
          <w:lang w:val="en-GB"/>
        </w:rPr>
        <w:tab/>
        <w:t>Should any Member States be of the opinion that consideration for approval shall not proceed, they should advise their reasons for disapproving and indicate the possible changes that would facilitate further consideration and approval of the draft new or revised Recommendation.</w:t>
      </w:r>
    </w:p>
    <w:p w14:paraId="67FB46F2" w14:textId="77777777" w:rsidR="00AC491A" w:rsidRPr="00380B40" w:rsidRDefault="00AC491A" w:rsidP="00FA0AF5">
      <w:pPr>
        <w:rPr>
          <w:lang w:val="en-GB"/>
        </w:rPr>
      </w:pPr>
      <w:r w:rsidRPr="00380B40">
        <w:rPr>
          <w:b/>
          <w:bCs/>
          <w:lang w:val="en-GB"/>
        </w:rPr>
        <w:t>9.4.5</w:t>
      </w:r>
      <w:r w:rsidRPr="00380B40">
        <w:rPr>
          <w:lang w:val="en-GB"/>
        </w:rPr>
        <w:tab/>
        <w:t>If 70 per cent or more of the replies from Member States support consideration for approval at the study group meeting (or if there are no replies), the Director shall advise the chairman that consideration of the approval may proceed. (With the authorization given by Member States that the study group may proceed with the approval process, they also recognize that the study group may make the necessary technical and editorial changes in accordance with 9.5.2 below.)</w:t>
      </w:r>
    </w:p>
    <w:p w14:paraId="2DDD9C3D" w14:textId="77777777" w:rsidR="00F26640" w:rsidRPr="00380B40" w:rsidRDefault="00F26640" w:rsidP="00AC491A">
      <w:pPr>
        <w:rPr>
          <w:b/>
          <w:bCs/>
          <w:lang w:val="en-GB"/>
        </w:rPr>
      </w:pPr>
      <w:r w:rsidRPr="00380B40">
        <w:rPr>
          <w:b/>
          <w:bCs/>
          <w:lang w:val="en-GB"/>
        </w:rPr>
        <w:br w:type="page"/>
      </w:r>
    </w:p>
    <w:p w14:paraId="29BFA056" w14:textId="77777777" w:rsidR="00AC491A" w:rsidRPr="00380B40" w:rsidRDefault="00AC491A" w:rsidP="00AC491A">
      <w:pPr>
        <w:rPr>
          <w:lang w:val="en-GB"/>
        </w:rPr>
      </w:pPr>
      <w:r w:rsidRPr="00380B40">
        <w:rPr>
          <w:b/>
          <w:bCs/>
          <w:lang w:val="en-GB"/>
        </w:rPr>
        <w:t>9.4.6</w:t>
      </w:r>
      <w:r w:rsidRPr="00380B40">
        <w:rPr>
          <w:lang w:val="en-GB"/>
        </w:rPr>
        <w:tab/>
        <w:t>If less than 70 per cent of the replies received by the due date support consideration for approval at the study group meeting, the Director shall advise the chairman that consideration of the approval may not proceed at that meeting. (Nevertheless, the study group should consider the information provided under 9.4.4 above.)</w:t>
      </w:r>
    </w:p>
    <w:p w14:paraId="3776C45B" w14:textId="77777777" w:rsidR="00AC491A" w:rsidRPr="00380B40" w:rsidRDefault="00AC491A" w:rsidP="00AC491A">
      <w:pPr>
        <w:pStyle w:val="Note"/>
        <w:rPr>
          <w:b/>
          <w:bCs/>
          <w:lang w:val="en-GB"/>
        </w:rPr>
      </w:pPr>
      <w:r w:rsidRPr="00380B40">
        <w:rPr>
          <w:lang w:val="en-GB"/>
        </w:rPr>
        <w:t>NOTE – Only those replies that either explicitly support or explicitly do not support consideration for approval at the study group meeting are counted.</w:t>
      </w:r>
    </w:p>
    <w:p w14:paraId="6257AAFA" w14:textId="77777777" w:rsidR="00273C61" w:rsidRPr="00380B40" w:rsidRDefault="00AC491A" w:rsidP="00CD4A69">
      <w:pPr>
        <w:rPr>
          <w:lang w:val="en-GB"/>
        </w:rPr>
      </w:pPr>
      <w:r w:rsidRPr="00380B40">
        <w:rPr>
          <w:b/>
          <w:bCs/>
          <w:lang w:val="en-GB"/>
        </w:rPr>
        <w:t>9.4.7</w:t>
      </w:r>
      <w:r w:rsidRPr="00380B40">
        <w:rPr>
          <w:lang w:val="en-GB"/>
        </w:rPr>
        <w:tab/>
        <w:t>Any comments received along with all responses to the consultation shall be collected by TSB and submitted as a TD to the next meeting of the study group.</w:t>
      </w:r>
    </w:p>
    <w:p w14:paraId="58472371" w14:textId="77777777" w:rsidR="00AC491A" w:rsidRPr="00380B40" w:rsidRDefault="00AC491A" w:rsidP="00AC491A">
      <w:pPr>
        <w:pStyle w:val="Heading2"/>
        <w:rPr>
          <w:lang w:val="en-GB"/>
        </w:rPr>
      </w:pPr>
      <w:bookmarkStart w:id="67" w:name="_Toc111636742"/>
      <w:r w:rsidRPr="00380B40">
        <w:rPr>
          <w:lang w:val="en-GB"/>
        </w:rPr>
        <w:t>9.5</w:t>
      </w:r>
      <w:r w:rsidRPr="00380B40">
        <w:rPr>
          <w:lang w:val="en-GB"/>
        </w:rPr>
        <w:tab/>
        <w:t>Procedure at study group meetings</w:t>
      </w:r>
      <w:bookmarkEnd w:id="67"/>
    </w:p>
    <w:p w14:paraId="3C279219" w14:textId="77777777" w:rsidR="00AC491A" w:rsidRPr="00380B40" w:rsidRDefault="00AC491A" w:rsidP="00AC491A">
      <w:pPr>
        <w:rPr>
          <w:lang w:val="en-GB"/>
        </w:rPr>
      </w:pPr>
      <w:r w:rsidRPr="00380B40">
        <w:rPr>
          <w:b/>
          <w:bCs/>
          <w:lang w:val="en-GB"/>
        </w:rPr>
        <w:t>9.5.1</w:t>
      </w:r>
      <w:r w:rsidRPr="00380B40">
        <w:rPr>
          <w:lang w:val="en-GB"/>
        </w:rPr>
        <w:tab/>
        <w:t>The study group should review the text of the draft new or revised Recommendation as referred to in 9.3.1 and 9.3.3 above. The meeting may then accept any editorial corrections or other amendments not affecting the substance of the Recommendation. The study group shall assess the summary statement referred to in 9.3.4 in terms of its completeness and ability to concisely convey the intent of the draft new or revised Recommendation to a telecommunication expert who has not participated in the study group work.</w:t>
      </w:r>
    </w:p>
    <w:p w14:paraId="551CA013" w14:textId="77777777" w:rsidR="00AC491A" w:rsidRPr="00380B40" w:rsidRDefault="00AC491A" w:rsidP="00AC491A">
      <w:pPr>
        <w:rPr>
          <w:lang w:val="en-GB"/>
        </w:rPr>
      </w:pPr>
      <w:r w:rsidRPr="00380B40">
        <w:rPr>
          <w:b/>
          <w:bCs/>
          <w:lang w:val="en-GB"/>
        </w:rPr>
        <w:t>9.5.2</w:t>
      </w:r>
      <w:r w:rsidRPr="00380B40">
        <w:rPr>
          <w:lang w:val="en-GB"/>
        </w:rPr>
        <w:tab/>
        <w:t>Technical and editorial changes may only be made during the meeting as a consequence of written contributions, of results from the consultation process (see 9.4 above) or of liaison statements. Where proposals for such revisions are found to be justified but to have a major impact on the intent of the Recommendation or to depart from points of principle agreed at the previous study group or working party meeting, consideration of this approval procedure should be deferred to another meeting. However, in justified circumstances the approval procedure may still be applied if the chairman of the study group, in consultation with TSB, considers:</w:t>
      </w:r>
    </w:p>
    <w:p w14:paraId="4635CE52" w14:textId="77777777" w:rsidR="00AC491A" w:rsidRPr="00380B40" w:rsidRDefault="00AC491A" w:rsidP="00AC491A">
      <w:pPr>
        <w:pStyle w:val="enumlev1"/>
        <w:rPr>
          <w:lang w:val="en-GB"/>
        </w:rPr>
      </w:pPr>
      <w:r w:rsidRPr="00380B40">
        <w:rPr>
          <w:lang w:val="en-GB"/>
        </w:rPr>
        <w:t>a)</w:t>
      </w:r>
      <w:r w:rsidRPr="00380B40">
        <w:rPr>
          <w:lang w:val="en-GB"/>
        </w:rPr>
        <w:tab/>
        <w:t>that the proposed changes are reasonable (in the context of the advice issued under 9.4 above) for those Member States not represented at the meeting, or not represented adequately under the changed circumstances; and</w:t>
      </w:r>
    </w:p>
    <w:p w14:paraId="1938FC54" w14:textId="77777777" w:rsidR="00AC491A" w:rsidRPr="00380B40" w:rsidRDefault="00AC491A" w:rsidP="00AC491A">
      <w:pPr>
        <w:pStyle w:val="enumlev1"/>
        <w:rPr>
          <w:lang w:val="en-GB"/>
        </w:rPr>
      </w:pPr>
      <w:r w:rsidRPr="00380B40">
        <w:rPr>
          <w:lang w:val="en-GB"/>
        </w:rPr>
        <w:t>b)</w:t>
      </w:r>
      <w:r w:rsidRPr="00380B40">
        <w:rPr>
          <w:lang w:val="en-GB"/>
        </w:rPr>
        <w:tab/>
        <w:t>that the proposed text is stable.</w:t>
      </w:r>
    </w:p>
    <w:p w14:paraId="3A34E281" w14:textId="77777777" w:rsidR="00AC491A" w:rsidRPr="00380B40" w:rsidRDefault="00AC491A" w:rsidP="00AC491A">
      <w:pPr>
        <w:rPr>
          <w:lang w:val="en-GB"/>
        </w:rPr>
      </w:pPr>
      <w:r w:rsidRPr="00380B40">
        <w:rPr>
          <w:b/>
          <w:bCs/>
          <w:lang w:val="en-GB"/>
        </w:rPr>
        <w:t>9.5.3</w:t>
      </w:r>
      <w:r w:rsidRPr="00380B40">
        <w:rPr>
          <w:lang w:val="en-GB"/>
        </w:rPr>
        <w:tab/>
        <w:t xml:space="preserve">After debate at the study group meeting, the decision of the delegations of Member States (see No.1005 in the Annex to the Constitution) to approve the Recommendation under this approval procedure shall be unopposed (but see 9.5.4, regarding reservations, 9.5.5 and 9.5.6) (see No. 239 of the Convention). </w:t>
      </w:r>
    </w:p>
    <w:p w14:paraId="19E24D5A" w14:textId="77777777" w:rsidR="00AC491A" w:rsidRPr="00380B40" w:rsidRDefault="00AC491A" w:rsidP="00AC491A">
      <w:pPr>
        <w:rPr>
          <w:lang w:val="en-GB"/>
        </w:rPr>
      </w:pPr>
      <w:r w:rsidRPr="00380B40">
        <w:rPr>
          <w:b/>
          <w:bCs/>
          <w:lang w:val="en-GB"/>
        </w:rPr>
        <w:t>9.5.4</w:t>
      </w:r>
      <w:r w:rsidRPr="00380B40">
        <w:rPr>
          <w:lang w:val="en-GB"/>
        </w:rPr>
        <w:tab/>
        <w:t>In cases where a delegation does not elect to oppose approval of a text, but would like to register a degree of reservation on one or more aspects, this shall be noted in the report of the meeting. Such reservations shall be mentioned in a concise note appended to the text of the Recommendation concerned.</w:t>
      </w:r>
    </w:p>
    <w:p w14:paraId="19BE2B0C" w14:textId="77777777" w:rsidR="00F26640" w:rsidRPr="00380B40" w:rsidRDefault="00F26640" w:rsidP="00AC491A">
      <w:pPr>
        <w:rPr>
          <w:b/>
          <w:bCs/>
          <w:lang w:val="en-GB"/>
        </w:rPr>
      </w:pPr>
      <w:r w:rsidRPr="00380B40">
        <w:rPr>
          <w:b/>
          <w:bCs/>
          <w:lang w:val="en-GB"/>
        </w:rPr>
        <w:br w:type="page"/>
      </w:r>
    </w:p>
    <w:p w14:paraId="2F862B6D" w14:textId="77777777" w:rsidR="00AC491A" w:rsidRPr="00380B40" w:rsidRDefault="00AC491A" w:rsidP="00AC491A">
      <w:pPr>
        <w:rPr>
          <w:b/>
          <w:bCs/>
          <w:lang w:val="en-GB"/>
        </w:rPr>
      </w:pPr>
      <w:r w:rsidRPr="00380B40">
        <w:rPr>
          <w:b/>
          <w:bCs/>
          <w:lang w:val="en-GB"/>
        </w:rPr>
        <w:t>9.5.5</w:t>
      </w:r>
      <w:r w:rsidRPr="00380B40">
        <w:rPr>
          <w:lang w:val="en-GB"/>
        </w:rPr>
        <w:tab/>
        <w:t>A decision shall be reached during the meeting on the basis of a text available in its final form to all participants at the meeting. Exceptionally, but only during the meeting, a delegation may request more time to consider its position. Unless the Director is advised of formal opposition from the Member State to which the delegation belongs within a period of four weeks from the end of the meeting, the Director shall proceed in accordance with 9.6.1.</w:t>
      </w:r>
    </w:p>
    <w:p w14:paraId="493CB3B0" w14:textId="77777777" w:rsidR="00AC491A" w:rsidRPr="00380B40" w:rsidRDefault="00AC491A" w:rsidP="00AC491A">
      <w:pPr>
        <w:rPr>
          <w:b/>
          <w:bCs/>
          <w:lang w:val="en-GB"/>
        </w:rPr>
      </w:pPr>
      <w:r w:rsidRPr="00380B40">
        <w:rPr>
          <w:b/>
          <w:bCs/>
          <w:lang w:val="en-GB"/>
        </w:rPr>
        <w:t>9.5.5.1</w:t>
      </w:r>
      <w:r w:rsidRPr="00380B40">
        <w:rPr>
          <w:lang w:val="en-GB"/>
        </w:rPr>
        <w:tab/>
        <w:t>A Member State which requested more time to consider its position and which then indicates disapproval within the four</w:t>
      </w:r>
      <w:r w:rsidRPr="00380B40">
        <w:rPr>
          <w:lang w:val="en-GB"/>
        </w:rPr>
        <w:noBreakHyphen/>
        <w:t>week interval specified in 9.5.5 above is requested to state its reasons and to indicate the possible changes that would facilitate further consideration and future approval of the draft new or revised Recommendation.</w:t>
      </w:r>
    </w:p>
    <w:p w14:paraId="38C63E88" w14:textId="77777777" w:rsidR="00AC491A" w:rsidRPr="00380B40" w:rsidRDefault="00AC491A" w:rsidP="00AC491A">
      <w:pPr>
        <w:rPr>
          <w:lang w:val="en-GB"/>
        </w:rPr>
      </w:pPr>
      <w:r w:rsidRPr="00380B40">
        <w:rPr>
          <w:b/>
          <w:bCs/>
          <w:lang w:val="en-GB"/>
        </w:rPr>
        <w:t>9.5.5.2</w:t>
      </w:r>
      <w:r w:rsidRPr="00380B40">
        <w:rPr>
          <w:lang w:val="en-GB"/>
        </w:rPr>
        <w:tab/>
        <w:t>If the Director is advised of formal opposition, the matter shall be returned to the study group, and the study group chairman, after consultation with the parties concerned, may proceed according to 9.3.1 above, without further determination at a subsequent working party or study group meeting.</w:t>
      </w:r>
    </w:p>
    <w:p w14:paraId="2859A7D9" w14:textId="77777777" w:rsidR="00AC491A" w:rsidRPr="00380B40" w:rsidRDefault="00AC491A" w:rsidP="00AC491A">
      <w:pPr>
        <w:tabs>
          <w:tab w:val="clear" w:pos="794"/>
          <w:tab w:val="clear" w:pos="1191"/>
          <w:tab w:val="clear" w:pos="1588"/>
          <w:tab w:val="clear" w:pos="1985"/>
          <w:tab w:val="left" w:pos="1134"/>
          <w:tab w:val="left" w:pos="1871"/>
          <w:tab w:val="left" w:pos="2268"/>
        </w:tabs>
        <w:rPr>
          <w:lang w:val="en-GB"/>
        </w:rPr>
      </w:pPr>
      <w:r w:rsidRPr="00380B40">
        <w:rPr>
          <w:b/>
          <w:bCs/>
          <w:lang w:val="en-GB"/>
        </w:rPr>
        <w:t>9.5.6</w:t>
      </w:r>
      <w:r w:rsidRPr="00380B40">
        <w:rPr>
          <w:lang w:val="en-GB"/>
        </w:rPr>
        <w:tab/>
        <w:t>A delegation may advise at the meeting that it is abstaining from the decision to apply the procedure. This delegation's presence shall then be ignored for the purposes of 9.5.3 above. Such an abstention may subsequently be revoked, but only during the course of the meeting.</w:t>
      </w:r>
    </w:p>
    <w:p w14:paraId="1288EB67" w14:textId="77777777" w:rsidR="00AC491A" w:rsidRPr="00380B40" w:rsidRDefault="00AC491A" w:rsidP="00AC491A">
      <w:pPr>
        <w:pStyle w:val="Heading2"/>
        <w:rPr>
          <w:lang w:val="en-GB"/>
        </w:rPr>
      </w:pPr>
      <w:bookmarkStart w:id="68" w:name="_Toc111636743"/>
      <w:r w:rsidRPr="00380B40">
        <w:rPr>
          <w:lang w:val="en-GB"/>
        </w:rPr>
        <w:t>9.6</w:t>
      </w:r>
      <w:r w:rsidRPr="00380B40">
        <w:rPr>
          <w:lang w:val="en-GB"/>
        </w:rPr>
        <w:tab/>
        <w:t>Notification</w:t>
      </w:r>
      <w:bookmarkEnd w:id="68"/>
    </w:p>
    <w:p w14:paraId="29BB9168" w14:textId="77777777" w:rsidR="008F7A95" w:rsidRPr="00380B40" w:rsidRDefault="00AC491A" w:rsidP="008F7A95">
      <w:pPr>
        <w:tabs>
          <w:tab w:val="clear" w:pos="794"/>
          <w:tab w:val="clear" w:pos="1191"/>
          <w:tab w:val="clear" w:pos="1588"/>
          <w:tab w:val="clear" w:pos="1985"/>
          <w:tab w:val="left" w:pos="1134"/>
          <w:tab w:val="left" w:pos="1871"/>
          <w:tab w:val="left" w:pos="2268"/>
        </w:tabs>
        <w:rPr>
          <w:lang w:val="en-GB"/>
        </w:rPr>
      </w:pPr>
      <w:r w:rsidRPr="00380B40">
        <w:rPr>
          <w:b/>
          <w:bCs/>
          <w:lang w:val="en-GB"/>
        </w:rPr>
        <w:t>9.6.1</w:t>
      </w:r>
      <w:r w:rsidRPr="00380B40">
        <w:rPr>
          <w:lang w:val="en-GB"/>
        </w:rPr>
        <w:tab/>
        <w:t>Within four weeks of the closing date of the study group meeting or, exceptionally, four weeks after the period described in 9.5.5, the Director shall notify whether the text is approved or not, by circular. The Director shall arrange that this information is also included in the next available ITU Notification. Within this same time period, the Director shall also ensure that any Recommendation agreed to during the study group decision meeting is available online in at least one official language, with an indication that the Recommendation may not be in its final publication form.</w:t>
      </w:r>
    </w:p>
    <w:p w14:paraId="1BC60518" w14:textId="77777777" w:rsidR="00AC491A" w:rsidRPr="00380B40" w:rsidRDefault="00AC491A" w:rsidP="00AC491A">
      <w:pPr>
        <w:tabs>
          <w:tab w:val="clear" w:pos="794"/>
          <w:tab w:val="clear" w:pos="1191"/>
          <w:tab w:val="clear" w:pos="1588"/>
          <w:tab w:val="clear" w:pos="1985"/>
          <w:tab w:val="left" w:pos="1134"/>
          <w:tab w:val="left" w:pos="1871"/>
          <w:tab w:val="left" w:pos="2268"/>
        </w:tabs>
        <w:rPr>
          <w:lang w:val="en-GB"/>
        </w:rPr>
      </w:pPr>
      <w:r w:rsidRPr="00380B40">
        <w:rPr>
          <w:b/>
          <w:bCs/>
          <w:lang w:val="en-GB"/>
        </w:rPr>
        <w:t>9.6.2</w:t>
      </w:r>
      <w:r w:rsidRPr="00380B40">
        <w:rPr>
          <w:lang w:val="en-GB"/>
        </w:rPr>
        <w:tab/>
        <w:t>Should minor, purely editorial amendments or corrections of evident oversights or inconsistencies in the text as presented for approval be necessary, TSB may correct these with the approval of the chairman of the study group.</w:t>
      </w:r>
    </w:p>
    <w:p w14:paraId="16BE3A0B" w14:textId="77777777" w:rsidR="00AC491A" w:rsidRPr="00380B40" w:rsidRDefault="00AC491A" w:rsidP="00AC491A">
      <w:pPr>
        <w:tabs>
          <w:tab w:val="clear" w:pos="794"/>
          <w:tab w:val="clear" w:pos="1191"/>
          <w:tab w:val="clear" w:pos="1588"/>
          <w:tab w:val="clear" w:pos="1985"/>
          <w:tab w:val="left" w:pos="1134"/>
          <w:tab w:val="left" w:pos="1871"/>
          <w:tab w:val="left" w:pos="2268"/>
        </w:tabs>
        <w:rPr>
          <w:lang w:val="en-GB"/>
        </w:rPr>
      </w:pPr>
      <w:r w:rsidRPr="00380B40">
        <w:rPr>
          <w:b/>
          <w:bCs/>
          <w:lang w:val="en-GB"/>
        </w:rPr>
        <w:t>9.6.3</w:t>
      </w:r>
      <w:r w:rsidRPr="00380B40">
        <w:rPr>
          <w:lang w:val="en-GB"/>
        </w:rPr>
        <w:tab/>
        <w:t>The Secretary-General shall publish the approved new or revised Recommendations in the official languages as soon as practicable, indicating, as necessary, a date of entry into effect. However, in accordance with Recommendation ITU</w:t>
      </w:r>
      <w:r w:rsidRPr="00380B40">
        <w:rPr>
          <w:lang w:val="en-GB"/>
        </w:rPr>
        <w:noBreakHyphen/>
        <w:t>T A.11, minor amendments may be covered by corrigenda rather than a complete reissue. Also, where appropriate, texts may be grouped to suit market needs.</w:t>
      </w:r>
    </w:p>
    <w:p w14:paraId="1AC5870C" w14:textId="77777777" w:rsidR="00F26640" w:rsidRPr="00380B40" w:rsidRDefault="00F26640" w:rsidP="00AC491A">
      <w:pPr>
        <w:tabs>
          <w:tab w:val="clear" w:pos="794"/>
          <w:tab w:val="clear" w:pos="1191"/>
          <w:tab w:val="clear" w:pos="1588"/>
          <w:tab w:val="clear" w:pos="1985"/>
          <w:tab w:val="left" w:pos="1134"/>
          <w:tab w:val="left" w:pos="1871"/>
          <w:tab w:val="left" w:pos="2268"/>
        </w:tabs>
        <w:rPr>
          <w:b/>
          <w:bCs/>
          <w:lang w:val="en-GB"/>
        </w:rPr>
      </w:pPr>
      <w:r w:rsidRPr="00380B40">
        <w:rPr>
          <w:b/>
          <w:bCs/>
          <w:lang w:val="en-GB"/>
        </w:rPr>
        <w:br w:type="page"/>
      </w:r>
    </w:p>
    <w:p w14:paraId="26DAA30A" w14:textId="77777777" w:rsidR="00AC491A" w:rsidRPr="00380B40" w:rsidRDefault="00AC491A" w:rsidP="00AC491A">
      <w:pPr>
        <w:tabs>
          <w:tab w:val="clear" w:pos="794"/>
          <w:tab w:val="clear" w:pos="1191"/>
          <w:tab w:val="clear" w:pos="1588"/>
          <w:tab w:val="clear" w:pos="1985"/>
          <w:tab w:val="left" w:pos="1134"/>
          <w:tab w:val="left" w:pos="1871"/>
          <w:tab w:val="left" w:pos="2268"/>
        </w:tabs>
        <w:rPr>
          <w:lang w:val="en-GB"/>
        </w:rPr>
      </w:pPr>
      <w:r w:rsidRPr="00380B40">
        <w:rPr>
          <w:b/>
          <w:bCs/>
          <w:lang w:val="en-GB"/>
        </w:rPr>
        <w:t>9.6.4</w:t>
      </w:r>
      <w:r w:rsidRPr="00380B40">
        <w:rPr>
          <w:lang w:val="en-GB"/>
        </w:rPr>
        <w:tab/>
        <w:t>Text shall be added to the cover sheets of all new and revised Recommendations urging users to consult the ITU</w:t>
      </w:r>
      <w:r w:rsidRPr="00380B40">
        <w:rPr>
          <w:lang w:val="en-GB"/>
        </w:rPr>
        <w:noBreakHyphen/>
        <w:t>T patent database and the ITU</w:t>
      </w:r>
      <w:r w:rsidRPr="00380B40">
        <w:rPr>
          <w:lang w:val="en-GB"/>
        </w:rPr>
        <w:noBreakHyphen/>
        <w:t>T software copyright database. Suggested wording is:</w:t>
      </w:r>
    </w:p>
    <w:p w14:paraId="2CAD7BA5" w14:textId="77777777" w:rsidR="00AC491A" w:rsidRPr="00380B40" w:rsidRDefault="00AC491A" w:rsidP="00AC491A">
      <w:pPr>
        <w:pStyle w:val="enumlev1"/>
        <w:rPr>
          <w:lang w:val="en-GB"/>
        </w:rPr>
      </w:pPr>
      <w:r w:rsidRPr="00380B40">
        <w:rPr>
          <w:lang w:val="en-GB"/>
        </w:rPr>
        <w:t>a)</w:t>
      </w:r>
      <w:r w:rsidRPr="00380B40">
        <w:rPr>
          <w:lang w:val="en-GB"/>
        </w:rPr>
        <w:tab/>
        <w:t>"ITU 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 States and Sector Members or by others outside of the Recommendation development process."</w:t>
      </w:r>
    </w:p>
    <w:p w14:paraId="166D2796" w14:textId="77777777" w:rsidR="00AC491A" w:rsidRPr="00380B40" w:rsidRDefault="00AC491A" w:rsidP="00AC491A">
      <w:pPr>
        <w:pStyle w:val="enumlev1"/>
        <w:rPr>
          <w:lang w:val="en-GB"/>
        </w:rPr>
      </w:pPr>
      <w:r w:rsidRPr="00380B40">
        <w:rPr>
          <w:lang w:val="en-GB"/>
        </w:rPr>
        <w:t>b)</w:t>
      </w:r>
      <w:r w:rsidRPr="00380B40">
        <w:rPr>
          <w:lang w:val="en-GB"/>
        </w:rPr>
        <w:tab/>
        <w:t>"As of the date of approval of this Recommendation, ITU had/had not received notice of intellectual property, protected by patents/software copyrights, which may be required to implement this Recommendation. However, implementers are cautioned that this may not represent the latest information and are therefore strongly urged to consult the appropriate ITU</w:t>
      </w:r>
      <w:r w:rsidRPr="00380B40">
        <w:rPr>
          <w:lang w:val="en-GB"/>
        </w:rPr>
        <w:noBreakHyphen/>
        <w:t>T databases available via the ITU</w:t>
      </w:r>
      <w:r w:rsidRPr="00380B40">
        <w:rPr>
          <w:lang w:val="en-GB"/>
        </w:rPr>
        <w:noBreakHyphen/>
        <w:t>T website."</w:t>
      </w:r>
    </w:p>
    <w:p w14:paraId="74945345" w14:textId="77777777" w:rsidR="00AC491A" w:rsidRPr="00380B40" w:rsidRDefault="00AC491A" w:rsidP="00AC491A">
      <w:pPr>
        <w:tabs>
          <w:tab w:val="clear" w:pos="794"/>
          <w:tab w:val="clear" w:pos="1191"/>
          <w:tab w:val="clear" w:pos="1588"/>
          <w:tab w:val="clear" w:pos="1985"/>
          <w:tab w:val="left" w:pos="1134"/>
          <w:tab w:val="left" w:pos="1871"/>
          <w:tab w:val="left" w:pos="2268"/>
        </w:tabs>
        <w:rPr>
          <w:b/>
          <w:lang w:val="en-GB"/>
        </w:rPr>
      </w:pPr>
      <w:r w:rsidRPr="00380B40">
        <w:rPr>
          <w:b/>
          <w:bCs/>
          <w:lang w:val="en-GB"/>
        </w:rPr>
        <w:t>9.6.5</w:t>
      </w:r>
      <w:r w:rsidRPr="00380B40">
        <w:rPr>
          <w:lang w:val="en-GB"/>
        </w:rPr>
        <w:tab/>
        <w:t>See also Recommendation ITU</w:t>
      </w:r>
      <w:r w:rsidRPr="00380B40">
        <w:rPr>
          <w:lang w:val="en-GB"/>
        </w:rPr>
        <w:noBreakHyphen/>
        <w:t>T A.11 concerning the publication of lists of new and revised Recommendations.</w:t>
      </w:r>
    </w:p>
    <w:p w14:paraId="794B7D97" w14:textId="77777777" w:rsidR="00AC491A" w:rsidRPr="00380B40" w:rsidRDefault="00AC491A" w:rsidP="00AC491A">
      <w:pPr>
        <w:pStyle w:val="Heading2"/>
        <w:rPr>
          <w:lang w:val="en-GB"/>
        </w:rPr>
      </w:pPr>
      <w:bookmarkStart w:id="69" w:name="_Toc111636744"/>
      <w:r w:rsidRPr="00380B40">
        <w:rPr>
          <w:lang w:val="en-GB"/>
        </w:rPr>
        <w:t>9.7</w:t>
      </w:r>
      <w:r w:rsidRPr="00380B40">
        <w:rPr>
          <w:lang w:val="en-GB"/>
        </w:rPr>
        <w:tab/>
        <w:t>Correction of defects</w:t>
      </w:r>
      <w:bookmarkEnd w:id="69"/>
    </w:p>
    <w:p w14:paraId="601E100D" w14:textId="77777777" w:rsidR="00AC491A" w:rsidRPr="00380B40" w:rsidRDefault="00AC491A" w:rsidP="00AC491A">
      <w:pPr>
        <w:tabs>
          <w:tab w:val="clear" w:pos="794"/>
          <w:tab w:val="clear" w:pos="1191"/>
          <w:tab w:val="clear" w:pos="1588"/>
          <w:tab w:val="clear" w:pos="1985"/>
          <w:tab w:val="left" w:pos="1134"/>
          <w:tab w:val="left" w:pos="1871"/>
          <w:tab w:val="left" w:pos="2268"/>
        </w:tabs>
        <w:rPr>
          <w:lang w:val="en-GB"/>
        </w:rPr>
      </w:pPr>
      <w:r w:rsidRPr="00380B40">
        <w:rPr>
          <w:lang w:val="en-GB"/>
        </w:rPr>
        <w:t>When a study group identifies the need for implementers to be made aware of defects (e.g. typographical errors, editorial errors, ambiguities, omissions or inconsistencies and technical errors) in a Recommendation, one mechanism that may be employed is an implementers' guide. This guide is an historical document recording all identified defects and their status of correction, from their identification to final resolution. Implementers' guides shall be agreed by the study group or agreed by one of its existing working parties with the concurrence of the study group chairman. Implementers' guides shall be made available by posting on the ITU</w:t>
      </w:r>
      <w:r w:rsidRPr="00380B40">
        <w:rPr>
          <w:lang w:val="en-GB"/>
        </w:rPr>
        <w:noBreakHyphen/>
        <w:t>T website with open access.</w:t>
      </w:r>
    </w:p>
    <w:p w14:paraId="7C5AA8D9" w14:textId="77777777" w:rsidR="00AC491A" w:rsidRPr="00380B40" w:rsidRDefault="00AC491A" w:rsidP="00AC491A">
      <w:pPr>
        <w:pStyle w:val="Heading2"/>
        <w:rPr>
          <w:lang w:val="en-GB"/>
        </w:rPr>
      </w:pPr>
      <w:bookmarkStart w:id="70" w:name="_Toc111636745"/>
      <w:r w:rsidRPr="00380B40">
        <w:rPr>
          <w:lang w:val="en-GB"/>
        </w:rPr>
        <w:t>9.8</w:t>
      </w:r>
      <w:r w:rsidRPr="00380B40">
        <w:rPr>
          <w:lang w:val="en-GB"/>
        </w:rPr>
        <w:tab/>
        <w:t>Deletion of Recommendations</w:t>
      </w:r>
      <w:bookmarkEnd w:id="70"/>
    </w:p>
    <w:p w14:paraId="3D0C7CC7" w14:textId="77777777" w:rsidR="00AC491A" w:rsidRPr="00380B40" w:rsidRDefault="00AC491A" w:rsidP="00AC491A">
      <w:pPr>
        <w:tabs>
          <w:tab w:val="clear" w:pos="794"/>
          <w:tab w:val="clear" w:pos="1191"/>
          <w:tab w:val="clear" w:pos="1588"/>
          <w:tab w:val="clear" w:pos="1985"/>
          <w:tab w:val="left" w:pos="1134"/>
          <w:tab w:val="left" w:pos="1871"/>
          <w:tab w:val="left" w:pos="2268"/>
        </w:tabs>
        <w:rPr>
          <w:lang w:val="en-GB"/>
        </w:rPr>
      </w:pPr>
      <w:r w:rsidRPr="00380B40">
        <w:rPr>
          <w:lang w:val="en-GB"/>
        </w:rPr>
        <w:t>Study groups may decide in each individual case which of the following alternatives is the most appropriate for the deletion of Recommendations.</w:t>
      </w:r>
    </w:p>
    <w:p w14:paraId="231BA028" w14:textId="77777777" w:rsidR="00F26640" w:rsidRPr="00380B40" w:rsidRDefault="00F26640" w:rsidP="00F26640">
      <w:pPr>
        <w:rPr>
          <w:lang w:val="en-GB"/>
        </w:rPr>
      </w:pPr>
    </w:p>
    <w:p w14:paraId="75DBEB68" w14:textId="77777777" w:rsidR="00F26640" w:rsidRPr="00380B40" w:rsidRDefault="00F26640" w:rsidP="00F26640">
      <w:pPr>
        <w:rPr>
          <w:lang w:val="en-GB"/>
        </w:rPr>
      </w:pPr>
    </w:p>
    <w:p w14:paraId="10E2DC8F" w14:textId="77777777" w:rsidR="00F26640" w:rsidRPr="00380B40" w:rsidRDefault="00F26640" w:rsidP="00F26640">
      <w:pPr>
        <w:rPr>
          <w:lang w:val="en-GB"/>
        </w:rPr>
      </w:pPr>
      <w:r w:rsidRPr="00380B40">
        <w:rPr>
          <w:lang w:val="en-GB"/>
        </w:rPr>
        <w:br w:type="page"/>
      </w:r>
    </w:p>
    <w:p w14:paraId="6A342374" w14:textId="77777777" w:rsidR="00AC491A" w:rsidRPr="00380B40" w:rsidRDefault="00AC491A" w:rsidP="00AC491A">
      <w:pPr>
        <w:pStyle w:val="Heading3"/>
        <w:rPr>
          <w:lang w:val="en-GB"/>
        </w:rPr>
      </w:pPr>
      <w:bookmarkStart w:id="71" w:name="_Toc111636746"/>
      <w:r w:rsidRPr="00380B40">
        <w:rPr>
          <w:lang w:val="en-GB"/>
        </w:rPr>
        <w:t>9.8.1</w:t>
      </w:r>
      <w:r w:rsidRPr="00380B40">
        <w:rPr>
          <w:lang w:val="en-GB"/>
        </w:rPr>
        <w:tab/>
        <w:t>Deletion of Recommendations by WTSA</w:t>
      </w:r>
      <w:bookmarkEnd w:id="71"/>
    </w:p>
    <w:p w14:paraId="6D40FA3F" w14:textId="77777777" w:rsidR="00AC491A" w:rsidRPr="00380B40" w:rsidRDefault="00AC491A" w:rsidP="00AC491A">
      <w:pPr>
        <w:tabs>
          <w:tab w:val="clear" w:pos="794"/>
          <w:tab w:val="clear" w:pos="1191"/>
          <w:tab w:val="clear" w:pos="1588"/>
          <w:tab w:val="clear" w:pos="1985"/>
          <w:tab w:val="left" w:pos="1134"/>
          <w:tab w:val="left" w:pos="1871"/>
          <w:tab w:val="left" w:pos="2268"/>
        </w:tabs>
        <w:rPr>
          <w:lang w:val="en-GB"/>
        </w:rPr>
      </w:pPr>
      <w:r w:rsidRPr="00380B40">
        <w:rPr>
          <w:lang w:val="en-GB"/>
        </w:rPr>
        <w:t xml:space="preserve">Upon the decision of the study group, the chairman shall include in his or her report to WTSA the request to delete a Recommendation. WTSA shall consider the request and act as appropriate. </w:t>
      </w:r>
    </w:p>
    <w:p w14:paraId="70CD2C4F" w14:textId="77777777" w:rsidR="00AC491A" w:rsidRPr="00380B40" w:rsidRDefault="00AC491A" w:rsidP="00AC491A">
      <w:pPr>
        <w:pStyle w:val="Heading3"/>
        <w:rPr>
          <w:lang w:val="en-GB"/>
        </w:rPr>
      </w:pPr>
      <w:bookmarkStart w:id="72" w:name="_Toc111636747"/>
      <w:r w:rsidRPr="00380B40">
        <w:rPr>
          <w:lang w:val="en-GB"/>
        </w:rPr>
        <w:t>9.8.2</w:t>
      </w:r>
      <w:r w:rsidRPr="00380B40">
        <w:rPr>
          <w:lang w:val="en-GB"/>
        </w:rPr>
        <w:tab/>
        <w:t>Deletion of Recommendations between WTSAs</w:t>
      </w:r>
      <w:bookmarkEnd w:id="72"/>
    </w:p>
    <w:p w14:paraId="0A29C26C" w14:textId="77777777" w:rsidR="00273C61" w:rsidRPr="00380B40" w:rsidRDefault="00AC491A" w:rsidP="008F7A95">
      <w:pPr>
        <w:tabs>
          <w:tab w:val="clear" w:pos="794"/>
          <w:tab w:val="clear" w:pos="1191"/>
          <w:tab w:val="clear" w:pos="1588"/>
          <w:tab w:val="clear" w:pos="1985"/>
          <w:tab w:val="left" w:pos="1134"/>
          <w:tab w:val="left" w:pos="1871"/>
          <w:tab w:val="left" w:pos="2268"/>
        </w:tabs>
        <w:rPr>
          <w:lang w:val="en-GB"/>
        </w:rPr>
      </w:pPr>
      <w:r w:rsidRPr="00380B40">
        <w:rPr>
          <w:b/>
          <w:bCs/>
          <w:lang w:val="en-GB"/>
        </w:rPr>
        <w:t>9.8.2.1</w:t>
      </w:r>
      <w:r w:rsidRPr="00380B40">
        <w:rPr>
          <w:lang w:val="en-GB"/>
        </w:rPr>
        <w:tab/>
        <w:t>At a study group meeting it may be agreed to delete a Recommendation, either because it has been superseded by another Recommendation or because it has become obsolete. This agreement shall be unopposed by the Member States and any Sector Members acting on behalf of Member States under No. 239 of the Convention. Information about this agreement, including an explanatory summary about the reasons for the deletion, shall be provided by a circular. If no objection to the deletion is received within three months, the deletion will come into force. In the case of objection, the matter shall be referred back to the study group.</w:t>
      </w:r>
    </w:p>
    <w:p w14:paraId="7F14561D" w14:textId="77777777" w:rsidR="00AC491A" w:rsidRPr="00380B40" w:rsidRDefault="00AC491A" w:rsidP="00AC491A">
      <w:pPr>
        <w:tabs>
          <w:tab w:val="clear" w:pos="794"/>
          <w:tab w:val="clear" w:pos="1191"/>
          <w:tab w:val="clear" w:pos="1588"/>
          <w:tab w:val="clear" w:pos="1985"/>
          <w:tab w:val="left" w:pos="1134"/>
          <w:tab w:val="left" w:pos="1871"/>
          <w:tab w:val="left" w:pos="2268"/>
        </w:tabs>
        <w:rPr>
          <w:lang w:val="en-GB"/>
        </w:rPr>
      </w:pPr>
      <w:r w:rsidRPr="00380B40">
        <w:rPr>
          <w:b/>
          <w:bCs/>
          <w:lang w:val="en-GB"/>
        </w:rPr>
        <w:t>9.8.2.2</w:t>
      </w:r>
      <w:r w:rsidRPr="00380B40">
        <w:rPr>
          <w:lang w:val="en-GB"/>
        </w:rPr>
        <w:tab/>
        <w:t>Notification of the result shall be included in another circular, and TSAG shall be informed by a report from the Director. In addition, the Director shall publish a list of deleted Recommendations whenever appropriate, but at least once by the middle of a study period.</w:t>
      </w:r>
    </w:p>
    <w:p w14:paraId="4A388F2B" w14:textId="77777777" w:rsidR="00C47505" w:rsidRPr="00380B40" w:rsidRDefault="00C47505" w:rsidP="00AC491A">
      <w:pPr>
        <w:tabs>
          <w:tab w:val="clear" w:pos="794"/>
          <w:tab w:val="clear" w:pos="1191"/>
          <w:tab w:val="clear" w:pos="1588"/>
          <w:tab w:val="clear" w:pos="1985"/>
          <w:tab w:val="left" w:pos="1134"/>
          <w:tab w:val="left" w:pos="1871"/>
          <w:tab w:val="left" w:pos="2268"/>
        </w:tabs>
        <w:rPr>
          <w:lang w:val="en-GB"/>
        </w:rPr>
      </w:pPr>
    </w:p>
    <w:p w14:paraId="76D94F8A" w14:textId="77777777" w:rsidR="00F26640" w:rsidRPr="00380B40" w:rsidRDefault="00F26640" w:rsidP="00AC491A">
      <w:pPr>
        <w:tabs>
          <w:tab w:val="clear" w:pos="794"/>
          <w:tab w:val="clear" w:pos="1191"/>
          <w:tab w:val="clear" w:pos="1588"/>
          <w:tab w:val="clear" w:pos="1985"/>
          <w:tab w:val="left" w:pos="1134"/>
          <w:tab w:val="left" w:pos="1871"/>
          <w:tab w:val="left" w:pos="2268"/>
        </w:tabs>
        <w:rPr>
          <w:lang w:val="en-GB"/>
        </w:rPr>
      </w:pPr>
    </w:p>
    <w:p w14:paraId="09CD690E" w14:textId="77777777" w:rsidR="00F26640" w:rsidRPr="00380B40" w:rsidRDefault="00F26640" w:rsidP="00AC491A">
      <w:pPr>
        <w:tabs>
          <w:tab w:val="clear" w:pos="794"/>
          <w:tab w:val="clear" w:pos="1191"/>
          <w:tab w:val="clear" w:pos="1588"/>
          <w:tab w:val="clear" w:pos="1985"/>
          <w:tab w:val="left" w:pos="1134"/>
          <w:tab w:val="left" w:pos="1871"/>
          <w:tab w:val="left" w:pos="2268"/>
        </w:tabs>
        <w:rPr>
          <w:lang w:val="en-GB"/>
        </w:rPr>
      </w:pPr>
    </w:p>
    <w:p w14:paraId="284404BF" w14:textId="77777777" w:rsidR="00F26640" w:rsidRPr="00380B40" w:rsidRDefault="00F26640" w:rsidP="00AC491A">
      <w:pPr>
        <w:tabs>
          <w:tab w:val="clear" w:pos="794"/>
          <w:tab w:val="clear" w:pos="1191"/>
          <w:tab w:val="clear" w:pos="1588"/>
          <w:tab w:val="clear" w:pos="1985"/>
          <w:tab w:val="left" w:pos="1134"/>
          <w:tab w:val="left" w:pos="1871"/>
          <w:tab w:val="left" w:pos="2268"/>
        </w:tabs>
        <w:rPr>
          <w:lang w:val="en-GB"/>
        </w:rPr>
      </w:pPr>
    </w:p>
    <w:p w14:paraId="5476D1E0" w14:textId="77777777" w:rsidR="00C47505" w:rsidRPr="00380B40" w:rsidRDefault="00C47505" w:rsidP="00AC491A">
      <w:pPr>
        <w:tabs>
          <w:tab w:val="clear" w:pos="794"/>
          <w:tab w:val="clear" w:pos="1191"/>
          <w:tab w:val="clear" w:pos="1588"/>
          <w:tab w:val="clear" w:pos="1985"/>
          <w:tab w:val="left" w:pos="1134"/>
          <w:tab w:val="left" w:pos="1871"/>
          <w:tab w:val="left" w:pos="2268"/>
        </w:tabs>
        <w:rPr>
          <w:lang w:val="en-GB"/>
        </w:rPr>
      </w:pPr>
    </w:p>
    <w:p w14:paraId="6D5E6AF2" w14:textId="77777777" w:rsidR="00C47505" w:rsidRPr="00380B40" w:rsidRDefault="00C47505" w:rsidP="00AC491A">
      <w:pPr>
        <w:tabs>
          <w:tab w:val="clear" w:pos="794"/>
          <w:tab w:val="clear" w:pos="1191"/>
          <w:tab w:val="clear" w:pos="1588"/>
          <w:tab w:val="clear" w:pos="1985"/>
          <w:tab w:val="left" w:pos="1134"/>
          <w:tab w:val="left" w:pos="1871"/>
          <w:tab w:val="left" w:pos="2268"/>
        </w:tabs>
        <w:rPr>
          <w:lang w:val="en-GB"/>
        </w:rPr>
      </w:pPr>
    </w:p>
    <w:p w14:paraId="5A39A752" w14:textId="77777777" w:rsidR="00C47505" w:rsidRPr="00380B40" w:rsidRDefault="00C47505" w:rsidP="00AC491A">
      <w:pPr>
        <w:tabs>
          <w:tab w:val="clear" w:pos="794"/>
          <w:tab w:val="clear" w:pos="1191"/>
          <w:tab w:val="clear" w:pos="1588"/>
          <w:tab w:val="clear" w:pos="1985"/>
          <w:tab w:val="left" w:pos="1134"/>
          <w:tab w:val="left" w:pos="1871"/>
          <w:tab w:val="left" w:pos="2268"/>
        </w:tabs>
        <w:rPr>
          <w:lang w:val="en-GB"/>
        </w:rPr>
      </w:pPr>
    </w:p>
    <w:p w14:paraId="70D4D3B8" w14:textId="77777777" w:rsidR="00273C61" w:rsidRPr="00380B40" w:rsidRDefault="00273C61" w:rsidP="00AC491A">
      <w:pPr>
        <w:tabs>
          <w:tab w:val="clear" w:pos="794"/>
          <w:tab w:val="clear" w:pos="1191"/>
          <w:tab w:val="clear" w:pos="1588"/>
          <w:tab w:val="clear" w:pos="1985"/>
          <w:tab w:val="left" w:pos="1134"/>
          <w:tab w:val="left" w:pos="1871"/>
          <w:tab w:val="left" w:pos="2268"/>
        </w:tabs>
        <w:rPr>
          <w:lang w:val="en-GB"/>
        </w:rPr>
      </w:pPr>
      <w:r w:rsidRPr="00380B40">
        <w:rPr>
          <w:lang w:val="en-GB"/>
        </w:rPr>
        <w:br w:type="page"/>
      </w:r>
    </w:p>
    <w:p w14:paraId="2FCB3F5E" w14:textId="77777777" w:rsidR="00AC491A" w:rsidRPr="00380B40" w:rsidRDefault="00AC491A" w:rsidP="00AC491A">
      <w:pPr>
        <w:pStyle w:val="Figure"/>
        <w:rPr>
          <w:lang w:val="en-GB"/>
        </w:rPr>
      </w:pPr>
      <w:r w:rsidRPr="00380B40">
        <w:rPr>
          <w:noProof/>
          <w:lang w:val="en-US" w:eastAsia="zh-CN"/>
        </w:rPr>
        <w:drawing>
          <wp:inline distT="0" distB="0" distL="0" distR="0" wp14:anchorId="4CDBF0CD" wp14:editId="6DD999F9">
            <wp:extent cx="5985460" cy="3468414"/>
            <wp:effectExtent l="0" t="0" r="0" b="0"/>
            <wp:docPr id="1987" name="Picture 4" descr="Figure 9.1 – Approval of new and revised Recommendations using TAP – Sequence of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Picture 4" descr="Figure 9.1 – Approval of new and revised Recommendations using TAP – Sequence of event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0882" cy="3471556"/>
                    </a:xfrm>
                    <a:prstGeom prst="rect">
                      <a:avLst/>
                    </a:prstGeom>
                    <a:noFill/>
                    <a:ln>
                      <a:noFill/>
                    </a:ln>
                  </pic:spPr>
                </pic:pic>
              </a:graphicData>
            </a:graphic>
          </wp:inline>
        </w:drawing>
      </w:r>
    </w:p>
    <w:p w14:paraId="06C11A47" w14:textId="77777777" w:rsidR="00AC491A" w:rsidRPr="00380B40" w:rsidRDefault="00AC491A" w:rsidP="006F1E99">
      <w:pPr>
        <w:pStyle w:val="Sourcetext"/>
      </w:pPr>
      <w:r w:rsidRPr="00380B40">
        <w:t>NOTE 1 – Exceptionally, an additional period of up to four weeks would be added if a delegation requested more time under 9.5.5.</w:t>
      </w:r>
    </w:p>
    <w:p w14:paraId="3919D003" w14:textId="77777777" w:rsidR="00AC491A" w:rsidRPr="00380B40" w:rsidRDefault="00AC491A" w:rsidP="006F1E99">
      <w:pPr>
        <w:pStyle w:val="Sourcetext"/>
      </w:pPr>
      <w:r w:rsidRPr="00380B40">
        <w:t>NOTE 2 – SG or WP DETERMINATION: The study group or working party determines that work on a draft Recommendation is sufficiently mature and requests the SG chairman to make the request to the Director (9.3.1).</w:t>
      </w:r>
    </w:p>
    <w:p w14:paraId="2E4DE21A" w14:textId="77777777" w:rsidR="00AC491A" w:rsidRPr="00380B40" w:rsidRDefault="00AC491A" w:rsidP="006F1E99">
      <w:pPr>
        <w:pStyle w:val="Sourcetext"/>
      </w:pPr>
      <w:r w:rsidRPr="00380B40">
        <w:t>NOTE 3 – CHAIRMAN'S REQUEST: The SG chairman requests that the Director announce the intention to seek approval (9.3.1).</w:t>
      </w:r>
    </w:p>
    <w:p w14:paraId="7CE7BF35" w14:textId="77777777" w:rsidR="00AC491A" w:rsidRPr="00380B40" w:rsidRDefault="00AC491A" w:rsidP="006F1E99">
      <w:pPr>
        <w:pStyle w:val="Sourcetext"/>
      </w:pPr>
      <w:r w:rsidRPr="00380B40">
        <w:t>NOTE 4 – EDITED TEXT AVAILABLE: Text of the draft Recommendation, including the required summary, shall be available to TSB in final edited form in at least one official language (9.3.3). Any associated electronic material included in the Recommendation must also be made available to TSB at the same time.</w:t>
      </w:r>
    </w:p>
    <w:p w14:paraId="619F4432" w14:textId="77777777" w:rsidR="00AC491A" w:rsidRPr="00380B40" w:rsidRDefault="00AC491A" w:rsidP="006F1E99">
      <w:pPr>
        <w:pStyle w:val="Sourcetext"/>
      </w:pPr>
      <w:r w:rsidRPr="00380B40">
        <w:t>NOTE 5 – DIRECTOR'S ANNOUNCEMENT: The Director announces the intention to seek approval of the draft Recommendation at the next SG meeting. The invitation to the meeting with the announcement of the intention to apply the approval procedure should be sent to all Member States and Sector Members so as to be received at least three months before the meeting (9.3.1 and 9.3.3).</w:t>
      </w:r>
    </w:p>
    <w:p w14:paraId="36081A64" w14:textId="77777777" w:rsidR="00AC491A" w:rsidRPr="00380B40" w:rsidRDefault="00AC491A" w:rsidP="006F1E99">
      <w:pPr>
        <w:pStyle w:val="Sourcetext"/>
      </w:pPr>
      <w:r w:rsidRPr="00380B40">
        <w:t>NOTE 6 – DIRECTOR'S REQUEST: The Director requests Member States to inform the Director whether they approve or do not approve the proposal (9.4.1 and 9.4.2). This request shall contain the summary and reference to the complete final text.</w:t>
      </w:r>
    </w:p>
    <w:p w14:paraId="6FE93B34" w14:textId="77777777" w:rsidR="00AC491A" w:rsidRPr="00380B40" w:rsidRDefault="00AC491A" w:rsidP="006F1E99">
      <w:pPr>
        <w:pStyle w:val="Sourcetext"/>
      </w:pPr>
      <w:r w:rsidRPr="00380B40">
        <w:t>NOTE 7 – TEXT DISTRIBUTED: Text of the draft Recommendation shall have been distributed in the official languages at least one month before the announced meeting (9.3.5).</w:t>
      </w:r>
    </w:p>
    <w:p w14:paraId="619121AA" w14:textId="77777777" w:rsidR="00AC491A" w:rsidRPr="00380B40" w:rsidRDefault="00AC491A" w:rsidP="006F1E99">
      <w:pPr>
        <w:pStyle w:val="Sourcetext"/>
      </w:pPr>
      <w:r w:rsidRPr="00380B40">
        <w:t>NOTE 8 – DEADLINE FOR MEMBER STATES' REPLIES: If 70% of replies received during the consultation period indicate approval, the proposal shall be accepted (9.4.1, 9.4.5 and 9.4.7).</w:t>
      </w:r>
    </w:p>
    <w:p w14:paraId="17C566A1" w14:textId="77777777" w:rsidR="00AC491A" w:rsidRPr="00380B40" w:rsidRDefault="00AC491A" w:rsidP="006F1E99">
      <w:pPr>
        <w:pStyle w:val="Sourcetext"/>
      </w:pPr>
      <w:r w:rsidRPr="00380B40">
        <w:t>NOTE 9 – STUDY GROUP DECISION: After debate, the study group reaches unopposed agreement to apply the approval procedure (9.5.3 and 9.5.2). A delegation can register a degree of reservation (9.5.4), can request more time to consider its position (9.5.5) or can abstain from the decision (9.5.6).</w:t>
      </w:r>
    </w:p>
    <w:p w14:paraId="0AFEE93C" w14:textId="77777777" w:rsidR="00AC491A" w:rsidRPr="00380B40" w:rsidRDefault="00AC491A" w:rsidP="006F1E99">
      <w:pPr>
        <w:pStyle w:val="Sourcetext"/>
      </w:pPr>
      <w:r w:rsidRPr="00380B40">
        <w:t>NOTE 10 – DIRECTOR'S NOTIFICATION: The Director notifies whether the draft Recommendation is approved or not (9.6.1).</w:t>
      </w:r>
    </w:p>
    <w:p w14:paraId="704665DB" w14:textId="77777777" w:rsidR="00AC491A" w:rsidRPr="00380B40" w:rsidRDefault="00AC491A" w:rsidP="00D106CE">
      <w:pPr>
        <w:pStyle w:val="Figuretitle"/>
        <w:spacing w:before="240"/>
      </w:pPr>
      <w:r w:rsidRPr="00380B40">
        <w:t>Figure 9.1 – Approval of new and revised Recommendations using TAP – Sequence of events</w:t>
      </w:r>
    </w:p>
    <w:p w14:paraId="57BE7233" w14:textId="77777777" w:rsidR="00AC491A" w:rsidRPr="00380B40" w:rsidRDefault="00AC491A" w:rsidP="00AC491A">
      <w:pPr>
        <w:tabs>
          <w:tab w:val="clear" w:pos="794"/>
          <w:tab w:val="clear" w:pos="1191"/>
          <w:tab w:val="clear" w:pos="1588"/>
          <w:tab w:val="clear" w:pos="1985"/>
        </w:tabs>
        <w:overflowPunct/>
        <w:autoSpaceDE/>
        <w:autoSpaceDN/>
        <w:adjustRightInd/>
        <w:spacing w:before="0"/>
        <w:textAlignment w:val="auto"/>
        <w:rPr>
          <w:caps/>
          <w:sz w:val="28"/>
          <w:lang w:val="en-GB"/>
        </w:rPr>
      </w:pPr>
      <w:r w:rsidRPr="00380B40">
        <w:rPr>
          <w:lang w:val="en-GB"/>
        </w:rPr>
        <w:br w:type="page"/>
      </w:r>
    </w:p>
    <w:p w14:paraId="4030013E" w14:textId="77777777" w:rsidR="00AC491A" w:rsidRPr="00380B40" w:rsidRDefault="00AC491A" w:rsidP="00AC491A">
      <w:pPr>
        <w:pStyle w:val="AppendixNo"/>
      </w:pPr>
      <w:r w:rsidRPr="00380B40">
        <w:t>APPENDIX I</w:t>
      </w:r>
      <w:r w:rsidRPr="00380B40">
        <w:rPr>
          <w:b/>
        </w:rPr>
        <w:br/>
      </w:r>
      <w:r w:rsidRPr="00380B40">
        <w:rPr>
          <w:caps w:val="0"/>
        </w:rPr>
        <w:t>(to Resolution 1 (Rev. Geneva, 2022))</w:t>
      </w:r>
    </w:p>
    <w:p w14:paraId="0CAC84E3" w14:textId="77777777" w:rsidR="00AC491A" w:rsidRPr="00380B40" w:rsidRDefault="00AC491A" w:rsidP="00AC491A">
      <w:pPr>
        <w:pStyle w:val="Appendixtitle"/>
      </w:pPr>
      <w:r w:rsidRPr="00380B40">
        <w:t>Information for submission of a Question</w:t>
      </w:r>
    </w:p>
    <w:p w14:paraId="5172B861" w14:textId="77777777" w:rsidR="00AC491A" w:rsidRPr="00380B40" w:rsidRDefault="00AC491A" w:rsidP="00AC491A">
      <w:pPr>
        <w:pStyle w:val="enumlev1"/>
        <w:rPr>
          <w:lang w:val="en-GB"/>
        </w:rPr>
      </w:pPr>
      <w:r w:rsidRPr="00380B40">
        <w:rPr>
          <w:lang w:val="en-GB"/>
        </w:rPr>
        <w:t>•</w:t>
      </w:r>
      <w:r w:rsidRPr="00380B40">
        <w:rPr>
          <w:lang w:val="en-GB"/>
        </w:rPr>
        <w:tab/>
        <w:t>Source</w:t>
      </w:r>
    </w:p>
    <w:p w14:paraId="391838C1" w14:textId="77777777" w:rsidR="00AC491A" w:rsidRPr="00380B40" w:rsidRDefault="00AC491A" w:rsidP="00AC491A">
      <w:pPr>
        <w:pStyle w:val="enumlev1"/>
        <w:rPr>
          <w:lang w:val="en-GB"/>
        </w:rPr>
      </w:pPr>
      <w:r w:rsidRPr="00380B40">
        <w:rPr>
          <w:lang w:val="en-GB"/>
        </w:rPr>
        <w:t>•</w:t>
      </w:r>
      <w:r w:rsidRPr="00380B40">
        <w:rPr>
          <w:lang w:val="en-GB"/>
        </w:rPr>
        <w:tab/>
        <w:t>Short title</w:t>
      </w:r>
    </w:p>
    <w:p w14:paraId="714623F2" w14:textId="77777777" w:rsidR="00AC491A" w:rsidRPr="00380B40" w:rsidRDefault="00AC491A" w:rsidP="00AC491A">
      <w:pPr>
        <w:pStyle w:val="enumlev1"/>
        <w:rPr>
          <w:lang w:val="en-GB"/>
        </w:rPr>
      </w:pPr>
      <w:r w:rsidRPr="00380B40">
        <w:rPr>
          <w:lang w:val="en-GB"/>
        </w:rPr>
        <w:t>•</w:t>
      </w:r>
      <w:r w:rsidRPr="00380B40">
        <w:rPr>
          <w:lang w:val="en-GB"/>
        </w:rPr>
        <w:tab/>
        <w:t>Type of Question or proposal</w:t>
      </w:r>
      <w:r w:rsidR="00FD162E" w:rsidRPr="00380B40">
        <w:rPr>
          <w:rStyle w:val="FootnoteReference"/>
          <w:lang w:val="en-GB"/>
        </w:rPr>
        <w:footnoteReference w:id="8"/>
      </w:r>
    </w:p>
    <w:p w14:paraId="2ADDE0F8" w14:textId="77777777" w:rsidR="00AC491A" w:rsidRPr="00380B40" w:rsidRDefault="00AC491A" w:rsidP="00AC491A">
      <w:pPr>
        <w:pStyle w:val="enumlev1"/>
        <w:rPr>
          <w:lang w:val="en-GB"/>
        </w:rPr>
      </w:pPr>
      <w:r w:rsidRPr="00380B40">
        <w:rPr>
          <w:lang w:val="en-GB"/>
        </w:rPr>
        <w:t>•</w:t>
      </w:r>
      <w:r w:rsidRPr="00380B40">
        <w:rPr>
          <w:lang w:val="en-GB"/>
        </w:rPr>
        <w:tab/>
        <w:t>Reasons or experience motivating the proposed Question or proposal, taking into account No. 196 of the ITU Convention</w:t>
      </w:r>
    </w:p>
    <w:p w14:paraId="1D0C4CDB" w14:textId="77777777" w:rsidR="00AC491A" w:rsidRPr="00380B40" w:rsidRDefault="00AC491A" w:rsidP="00AC491A">
      <w:pPr>
        <w:pStyle w:val="enumlev1"/>
        <w:rPr>
          <w:lang w:val="en-GB"/>
        </w:rPr>
      </w:pPr>
      <w:r w:rsidRPr="00380B40">
        <w:rPr>
          <w:lang w:val="en-GB"/>
        </w:rPr>
        <w:t>•</w:t>
      </w:r>
      <w:r w:rsidRPr="00380B40">
        <w:rPr>
          <w:lang w:val="en-GB"/>
        </w:rPr>
        <w:tab/>
        <w:t>Draft text of Question or proposal</w:t>
      </w:r>
    </w:p>
    <w:p w14:paraId="7BED4153" w14:textId="77777777" w:rsidR="00AC491A" w:rsidRPr="00380B40" w:rsidRDefault="00AC491A" w:rsidP="00AC491A">
      <w:pPr>
        <w:pStyle w:val="enumlev1"/>
        <w:rPr>
          <w:lang w:val="en-GB"/>
        </w:rPr>
      </w:pPr>
      <w:r w:rsidRPr="00380B40">
        <w:rPr>
          <w:lang w:val="en-GB"/>
        </w:rPr>
        <w:t>•</w:t>
      </w:r>
      <w:r w:rsidRPr="00380B40">
        <w:rPr>
          <w:lang w:val="en-GB"/>
        </w:rPr>
        <w:tab/>
        <w:t>Specific task objective(s) with expected time-frames for completion</w:t>
      </w:r>
    </w:p>
    <w:p w14:paraId="57F01033" w14:textId="77777777" w:rsidR="00AC491A" w:rsidRPr="00380B40" w:rsidRDefault="00AC491A" w:rsidP="00AC491A">
      <w:pPr>
        <w:pStyle w:val="enumlev1"/>
        <w:rPr>
          <w:lang w:val="en-GB"/>
        </w:rPr>
      </w:pPr>
      <w:r w:rsidRPr="00380B40">
        <w:rPr>
          <w:lang w:val="en-GB"/>
        </w:rPr>
        <w:t>•</w:t>
      </w:r>
      <w:r w:rsidRPr="00380B40">
        <w:rPr>
          <w:lang w:val="en-GB"/>
        </w:rPr>
        <w:tab/>
        <w:t>Relationship of this study activity to:</w:t>
      </w:r>
    </w:p>
    <w:p w14:paraId="2FAA68E4" w14:textId="77777777" w:rsidR="00AC491A" w:rsidRPr="00380B40" w:rsidRDefault="00AC491A" w:rsidP="00AC491A">
      <w:pPr>
        <w:pStyle w:val="enumlev2"/>
        <w:rPr>
          <w:lang w:val="en-GB"/>
        </w:rPr>
      </w:pPr>
      <w:r w:rsidRPr="00380B40">
        <w:rPr>
          <w:lang w:val="en-GB"/>
        </w:rPr>
        <w:t>–</w:t>
      </w:r>
      <w:r w:rsidRPr="00380B40">
        <w:rPr>
          <w:lang w:val="en-GB"/>
        </w:rPr>
        <w:tab/>
        <w:t>Recommendations</w:t>
      </w:r>
    </w:p>
    <w:p w14:paraId="3786D00A" w14:textId="77777777" w:rsidR="00AC491A" w:rsidRPr="00380B40" w:rsidRDefault="00AC491A" w:rsidP="00AC491A">
      <w:pPr>
        <w:pStyle w:val="enumlev2"/>
        <w:rPr>
          <w:lang w:val="en-GB"/>
        </w:rPr>
      </w:pPr>
      <w:r w:rsidRPr="00380B40">
        <w:rPr>
          <w:lang w:val="en-GB"/>
        </w:rPr>
        <w:t>–</w:t>
      </w:r>
      <w:r w:rsidRPr="00380B40">
        <w:rPr>
          <w:lang w:val="en-GB"/>
        </w:rPr>
        <w:tab/>
        <w:t>Questions</w:t>
      </w:r>
    </w:p>
    <w:p w14:paraId="49E7E7F9" w14:textId="77777777" w:rsidR="00AC491A" w:rsidRPr="00380B40" w:rsidRDefault="00AC491A" w:rsidP="00AC491A">
      <w:pPr>
        <w:pStyle w:val="enumlev2"/>
        <w:rPr>
          <w:lang w:val="en-GB"/>
        </w:rPr>
      </w:pPr>
      <w:r w:rsidRPr="00380B40">
        <w:rPr>
          <w:lang w:val="en-GB"/>
        </w:rPr>
        <w:t>–</w:t>
      </w:r>
      <w:r w:rsidRPr="00380B40">
        <w:rPr>
          <w:lang w:val="en-GB"/>
        </w:rPr>
        <w:tab/>
        <w:t>study groups</w:t>
      </w:r>
    </w:p>
    <w:p w14:paraId="60BB1B37" w14:textId="77777777" w:rsidR="00AC491A" w:rsidRPr="00380B40" w:rsidRDefault="00AC491A" w:rsidP="00AC491A">
      <w:pPr>
        <w:pStyle w:val="enumlev2"/>
        <w:rPr>
          <w:lang w:val="en-GB"/>
        </w:rPr>
      </w:pPr>
      <w:r w:rsidRPr="00380B40">
        <w:rPr>
          <w:lang w:val="en-GB"/>
        </w:rPr>
        <w:t>–</w:t>
      </w:r>
      <w:r w:rsidRPr="00380B40">
        <w:rPr>
          <w:lang w:val="en-GB"/>
        </w:rPr>
        <w:tab/>
        <w:t>relevant standardization organizations</w:t>
      </w:r>
    </w:p>
    <w:p w14:paraId="050FEC12" w14:textId="77777777" w:rsidR="00AC491A" w:rsidRPr="00380B40" w:rsidRDefault="00AC491A" w:rsidP="00AC491A">
      <w:pPr>
        <w:rPr>
          <w:lang w:val="en-GB"/>
        </w:rPr>
      </w:pPr>
      <w:r w:rsidRPr="00380B40">
        <w:rPr>
          <w:lang w:val="en-GB"/>
        </w:rPr>
        <w:t>Guidelines for drafting Question text are available on the ITU</w:t>
      </w:r>
      <w:r w:rsidRPr="00380B40">
        <w:rPr>
          <w:lang w:val="en-GB"/>
        </w:rPr>
        <w:noBreakHyphen/>
        <w:t>T website.</w:t>
      </w:r>
    </w:p>
    <w:p w14:paraId="4EE00EE8" w14:textId="77777777" w:rsidR="00D106CE" w:rsidRPr="00380B40" w:rsidRDefault="00D106CE" w:rsidP="00AC491A">
      <w:pPr>
        <w:rPr>
          <w:lang w:val="en-GB"/>
        </w:rPr>
      </w:pPr>
    </w:p>
    <w:p w14:paraId="04A8C61B" w14:textId="77777777" w:rsidR="00D106CE" w:rsidRPr="00380B40" w:rsidRDefault="00D106CE" w:rsidP="00AC491A">
      <w:pPr>
        <w:rPr>
          <w:lang w:val="en-GB"/>
        </w:rPr>
      </w:pPr>
    </w:p>
    <w:p w14:paraId="59C4BBE5" w14:textId="77777777" w:rsidR="00AC491A" w:rsidRPr="00380B40" w:rsidRDefault="00AC491A" w:rsidP="00AC491A">
      <w:pPr>
        <w:pStyle w:val="AppendixNo"/>
      </w:pPr>
      <w:r w:rsidRPr="00380B40">
        <w:rPr>
          <w:bCs/>
        </w:rPr>
        <w:t>APPENDIX II</w:t>
      </w:r>
      <w:r w:rsidRPr="00380B40">
        <w:rPr>
          <w:bCs/>
        </w:rPr>
        <w:br/>
      </w:r>
      <w:r w:rsidRPr="00380B40">
        <w:t>(</w:t>
      </w:r>
      <w:r w:rsidRPr="00380B40">
        <w:rPr>
          <w:caps w:val="0"/>
        </w:rPr>
        <w:t>to Resolution 1 (Rev. Geneva, 2022))</w:t>
      </w:r>
    </w:p>
    <w:p w14:paraId="6B6921F8" w14:textId="77777777" w:rsidR="00AC491A" w:rsidRPr="00380B40" w:rsidRDefault="00AC491A" w:rsidP="00AC491A">
      <w:pPr>
        <w:pStyle w:val="Appendixtitle"/>
      </w:pPr>
      <w:r w:rsidRPr="00380B40">
        <w:t>Suggested text of the note to be included in the circular</w:t>
      </w:r>
    </w:p>
    <w:p w14:paraId="3B4928DF" w14:textId="77777777" w:rsidR="00AC491A" w:rsidRPr="00380B40" w:rsidRDefault="00AC491A" w:rsidP="00AC491A">
      <w:pPr>
        <w:rPr>
          <w:lang w:val="en-GB"/>
        </w:rPr>
      </w:pPr>
      <w:r w:rsidRPr="00380B40">
        <w:rPr>
          <w:lang w:val="en-GB"/>
        </w:rPr>
        <w:t>TSB has received a statement(s) indicating that the use of intellectual property, protected by one or more issued or pending patent(s) and/or software copyright(s), may be required to implement this draft Recommendation. Available patent and software copyright information can be accessed via the ITU</w:t>
      </w:r>
      <w:r w:rsidRPr="00380B40">
        <w:rPr>
          <w:lang w:val="en-GB"/>
        </w:rPr>
        <w:noBreakHyphen/>
        <w:t>T website.</w:t>
      </w:r>
    </w:p>
    <w:p w14:paraId="00B1BD92" w14:textId="77777777" w:rsidR="00D106CE" w:rsidRPr="00380B40" w:rsidRDefault="00D106CE" w:rsidP="00AC491A">
      <w:pPr>
        <w:rPr>
          <w:lang w:val="en-GB"/>
        </w:rPr>
      </w:pPr>
    </w:p>
    <w:p w14:paraId="3DC23340" w14:textId="77777777" w:rsidR="002E401C" w:rsidRPr="00380B40" w:rsidRDefault="002E401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E34F458" w14:textId="77777777" w:rsidR="002E401C" w:rsidRPr="00380B40" w:rsidRDefault="002E401C">
      <w:pPr>
        <w:tabs>
          <w:tab w:val="clear" w:pos="794"/>
          <w:tab w:val="clear" w:pos="1191"/>
          <w:tab w:val="clear" w:pos="1588"/>
          <w:tab w:val="clear" w:pos="1985"/>
        </w:tabs>
        <w:overflowPunct/>
        <w:autoSpaceDE/>
        <w:autoSpaceDN/>
        <w:adjustRightInd/>
        <w:spacing w:before="0" w:line="240" w:lineRule="auto"/>
        <w:jc w:val="left"/>
        <w:textAlignment w:val="auto"/>
        <w:rPr>
          <w:lang w:val="en-GB"/>
        </w:rPr>
        <w:sectPr w:rsidR="002E401C" w:rsidRPr="00380B40" w:rsidSect="00AC491A">
          <w:footerReference w:type="even" r:id="rId32"/>
          <w:footerReference w:type="default" r:id="rId33"/>
          <w:footerReference w:type="first" r:id="rId34"/>
          <w:footnotePr>
            <w:numRestart w:val="eachSect"/>
          </w:footnotePr>
          <w:type w:val="oddPage"/>
          <w:pgSz w:w="11907" w:h="16834" w:code="9"/>
          <w:pgMar w:top="1134" w:right="1134" w:bottom="1134" w:left="1134" w:header="567" w:footer="567" w:gutter="0"/>
          <w:paperSrc w:first="15" w:other="15"/>
          <w:cols w:space="720"/>
          <w:vAlign w:val="both"/>
          <w:titlePg/>
          <w:docGrid w:linePitch="299"/>
        </w:sectPr>
      </w:pPr>
    </w:p>
    <w:p w14:paraId="308EADF5" w14:textId="77777777" w:rsidR="00E74C56" w:rsidRPr="00380B40" w:rsidRDefault="00E74C56" w:rsidP="00AC491A">
      <w:pPr>
        <w:pStyle w:val="ResNo"/>
        <w:rPr>
          <w:lang w:val="en-GB"/>
        </w:rPr>
      </w:pPr>
      <w:bookmarkStart w:id="73" w:name="_Toc104459695"/>
      <w:bookmarkStart w:id="74" w:name="_Toc104476503"/>
      <w:bookmarkStart w:id="75" w:name="_Toc111636748"/>
      <w:bookmarkStart w:id="76" w:name="_Toc111638396"/>
      <w:r w:rsidRPr="00380B40">
        <w:rPr>
          <w:lang w:val="en-GB"/>
        </w:rPr>
        <w:t xml:space="preserve">RESOLUTION </w:t>
      </w:r>
      <w:r w:rsidRPr="00380B40">
        <w:rPr>
          <w:rStyle w:val="href"/>
          <w:lang w:val="en-GB"/>
        </w:rPr>
        <w:t>2</w:t>
      </w:r>
      <w:r w:rsidRPr="00380B40">
        <w:rPr>
          <w:lang w:val="en-GB"/>
        </w:rPr>
        <w:t xml:space="preserve"> </w:t>
      </w:r>
      <w:r w:rsidR="00AC491A" w:rsidRPr="00380B40">
        <w:rPr>
          <w:lang w:val="en-GB"/>
        </w:rPr>
        <w:t>(R</w:t>
      </w:r>
      <w:r w:rsidR="00AC491A" w:rsidRPr="00380B40">
        <w:rPr>
          <w:caps w:val="0"/>
          <w:lang w:val="en-GB"/>
        </w:rPr>
        <w:t>ev</w:t>
      </w:r>
      <w:r w:rsidR="00AC491A" w:rsidRPr="00380B40">
        <w:rPr>
          <w:lang w:val="en-GB"/>
        </w:rPr>
        <w:t>. G</w:t>
      </w:r>
      <w:r w:rsidR="00AC491A" w:rsidRPr="00380B40">
        <w:rPr>
          <w:caps w:val="0"/>
          <w:lang w:val="en-GB"/>
        </w:rPr>
        <w:t>eneva</w:t>
      </w:r>
      <w:r w:rsidR="00AC491A" w:rsidRPr="00380B40">
        <w:rPr>
          <w:lang w:val="en-GB"/>
        </w:rPr>
        <w:t>, 2022)</w:t>
      </w:r>
      <w:bookmarkEnd w:id="73"/>
      <w:bookmarkEnd w:id="74"/>
      <w:bookmarkEnd w:id="75"/>
      <w:bookmarkEnd w:id="76"/>
    </w:p>
    <w:p w14:paraId="6CB46F9C" w14:textId="77777777" w:rsidR="00AC491A" w:rsidRPr="00380B40" w:rsidRDefault="00AC491A" w:rsidP="00AC491A">
      <w:pPr>
        <w:pStyle w:val="Restitle"/>
        <w:rPr>
          <w:rFonts w:eastAsia="DengXian"/>
          <w:lang w:val="en-GB" w:eastAsia="ja-JP"/>
        </w:rPr>
      </w:pPr>
      <w:bookmarkStart w:id="77" w:name="_Toc104459696"/>
      <w:bookmarkStart w:id="78" w:name="_Toc104476504"/>
      <w:bookmarkStart w:id="79" w:name="_Toc111638397"/>
      <w:r w:rsidRPr="00380B40">
        <w:rPr>
          <w:rFonts w:eastAsia="DengXian"/>
          <w:lang w:val="en-GB" w:eastAsia="ja-JP"/>
        </w:rPr>
        <w:t xml:space="preserve">ITU Telecommunication Standardization Sector study group </w:t>
      </w:r>
      <w:r w:rsidRPr="00380B40">
        <w:rPr>
          <w:rFonts w:eastAsia="DengXian"/>
          <w:lang w:val="en-GB" w:eastAsia="ja-JP"/>
        </w:rPr>
        <w:br/>
        <w:t>responsibility and mandates</w:t>
      </w:r>
      <w:bookmarkEnd w:id="77"/>
      <w:bookmarkEnd w:id="78"/>
      <w:bookmarkEnd w:id="79"/>
    </w:p>
    <w:p w14:paraId="612AAB2E" w14:textId="77777777" w:rsidR="00AC491A" w:rsidRPr="00380B40" w:rsidRDefault="00AC491A" w:rsidP="00AC491A">
      <w:pPr>
        <w:pStyle w:val="Resref"/>
        <w:rPr>
          <w:rFonts w:eastAsia="DengXian"/>
          <w:lang w:val="en-GB" w:eastAsia="ja-JP"/>
        </w:rPr>
      </w:pPr>
      <w:r w:rsidRPr="00380B40">
        <w:rPr>
          <w:rFonts w:eastAsia="DengXian"/>
          <w:lang w:val="en-GB" w:eastAsia="ja-JP"/>
        </w:rPr>
        <w:t xml:space="preserve">(Helsinki, 1993; Geneva, 1996; Montreal, 2000; Florianópolis, 2004; </w:t>
      </w:r>
      <w:r w:rsidRPr="00380B40">
        <w:rPr>
          <w:rFonts w:eastAsia="DengXian"/>
          <w:lang w:val="en-GB" w:eastAsia="ja-JP"/>
        </w:rPr>
        <w:br/>
        <w:t>Johannesburg, 2008; 2009</w:t>
      </w:r>
      <w:r w:rsidR="00FD162E" w:rsidRPr="00380B40">
        <w:rPr>
          <w:rStyle w:val="FootnoteReference"/>
          <w:rFonts w:eastAsia="DengXian"/>
          <w:lang w:val="en-GB" w:eastAsia="ja-JP"/>
        </w:rPr>
        <w:footnoteReference w:id="9"/>
      </w:r>
      <w:r w:rsidRPr="00380B40">
        <w:rPr>
          <w:rFonts w:eastAsia="DengXian"/>
          <w:lang w:val="en-GB" w:eastAsia="ja-JP"/>
        </w:rPr>
        <w:t>; Dubai, 2012; 2015</w:t>
      </w:r>
      <w:r w:rsidR="00FD162E" w:rsidRPr="00380B40">
        <w:rPr>
          <w:rStyle w:val="FootnoteReference"/>
          <w:rFonts w:eastAsia="DengXian"/>
          <w:lang w:val="en-GB" w:eastAsia="ja-JP"/>
        </w:rPr>
        <w:footnoteReference w:id="10"/>
      </w:r>
      <w:r w:rsidRPr="00380B40">
        <w:rPr>
          <w:rFonts w:eastAsia="DengXian"/>
          <w:lang w:val="en-GB" w:eastAsia="ja-JP"/>
        </w:rPr>
        <w:t>; 2016</w:t>
      </w:r>
      <w:r w:rsidR="00FD162E" w:rsidRPr="00380B40">
        <w:rPr>
          <w:rStyle w:val="FootnoteReference"/>
          <w:rFonts w:eastAsia="DengXian"/>
          <w:lang w:val="en-GB" w:eastAsia="ja-JP"/>
        </w:rPr>
        <w:footnoteReference w:id="11"/>
      </w:r>
      <w:r w:rsidRPr="00380B40">
        <w:rPr>
          <w:rFonts w:eastAsia="DengXian"/>
          <w:lang w:val="en-GB" w:eastAsia="ja-JP"/>
        </w:rPr>
        <w:t>; Hammamet, 2016; Geneva, 2022)</w:t>
      </w:r>
    </w:p>
    <w:p w14:paraId="3CF5F920" w14:textId="77777777" w:rsidR="00AC491A" w:rsidRPr="00380B40" w:rsidRDefault="00AC491A" w:rsidP="00AC491A">
      <w:pPr>
        <w:pStyle w:val="Normalaftertitle0"/>
        <w:rPr>
          <w:rFonts w:eastAsia="DengXian"/>
          <w:lang w:eastAsia="ja-JP"/>
        </w:rPr>
      </w:pPr>
      <w:r w:rsidRPr="00380B40">
        <w:rPr>
          <w:rFonts w:eastAsia="DengXian"/>
          <w:lang w:eastAsia="ja-JP"/>
        </w:rPr>
        <w:t>The World Telecommunication Standardization Assembly (Geneva, 2022),</w:t>
      </w:r>
    </w:p>
    <w:p w14:paraId="43630C4D" w14:textId="77777777" w:rsidR="00AC491A" w:rsidRPr="00380B40" w:rsidRDefault="00AC491A" w:rsidP="00AC491A">
      <w:pPr>
        <w:pStyle w:val="Call"/>
        <w:rPr>
          <w:rFonts w:eastAsia="DengXian"/>
          <w:iCs/>
          <w:lang w:val="en-GB" w:eastAsia="ja-JP"/>
        </w:rPr>
      </w:pPr>
      <w:r w:rsidRPr="00380B40">
        <w:rPr>
          <w:rFonts w:eastAsia="DengXian"/>
          <w:lang w:val="en-GB" w:eastAsia="ja-JP"/>
        </w:rPr>
        <w:t>recognizing</w:t>
      </w:r>
    </w:p>
    <w:p w14:paraId="49DBD158" w14:textId="77777777" w:rsidR="00AC491A" w:rsidRPr="00380B40" w:rsidRDefault="00AC491A" w:rsidP="00AC491A">
      <w:pPr>
        <w:rPr>
          <w:rFonts w:eastAsia="DengXian"/>
          <w:lang w:val="en-GB" w:eastAsia="ja-JP"/>
        </w:rPr>
      </w:pPr>
      <w:r w:rsidRPr="00380B40">
        <w:rPr>
          <w:rFonts w:eastAsia="DengXian"/>
          <w:i/>
          <w:iCs/>
          <w:lang w:val="en-GB" w:eastAsia="ja-JP"/>
        </w:rPr>
        <w:t>a)</w:t>
      </w:r>
      <w:r w:rsidRPr="00380B40">
        <w:rPr>
          <w:rFonts w:ascii="Calibri" w:eastAsia="DengXian" w:hAnsi="Calibri" w:cs="Calibri"/>
          <w:lang w:val="en-GB" w:eastAsia="ja-JP"/>
        </w:rPr>
        <w:tab/>
      </w:r>
      <w:r w:rsidRPr="00380B40">
        <w:rPr>
          <w:rFonts w:eastAsia="DengXian"/>
          <w:lang w:val="en-GB" w:eastAsia="ja-JP"/>
        </w:rPr>
        <w:t>that the ITU Telecommunication Standardization Sector (ITU-T) is entitled to study and develop outputs on technical, economic and policy issues related to the telecommunication/information and communication technology (ICT) field, as stated in Articles 17, 18, 19, 20 of the ITU Constitution and Articles 13, 14, 14A, 15 and 20 of the ITU Convention;</w:t>
      </w:r>
    </w:p>
    <w:p w14:paraId="10FB01FA" w14:textId="77777777" w:rsidR="00AC491A" w:rsidRPr="00380B40" w:rsidRDefault="00AC491A" w:rsidP="00AC491A">
      <w:pPr>
        <w:rPr>
          <w:rFonts w:eastAsia="DengXian"/>
          <w:lang w:val="en-GB" w:eastAsia="ja-JP"/>
        </w:rPr>
      </w:pPr>
      <w:r w:rsidRPr="00380B40">
        <w:rPr>
          <w:rFonts w:eastAsia="DengXian"/>
          <w:i/>
          <w:iCs/>
          <w:lang w:val="en-GB" w:eastAsia="ja-JP"/>
        </w:rPr>
        <w:t>b)</w:t>
      </w:r>
      <w:r w:rsidRPr="00380B40">
        <w:rPr>
          <w:rFonts w:ascii="Calibri" w:eastAsia="DengXian" w:hAnsi="Calibri" w:cs="Calibri"/>
          <w:lang w:val="en-GB" w:eastAsia="ja-JP"/>
        </w:rPr>
        <w:tab/>
      </w:r>
      <w:r w:rsidRPr="00380B40">
        <w:rPr>
          <w:rFonts w:eastAsia="DengXian"/>
          <w:lang w:val="en-GB" w:eastAsia="ja-JP"/>
        </w:rPr>
        <w:t>relevant resolutions of the ITU Plenipotentiary Conference which mandate ITU-T to study and develop outputs, including Recommendations, in many areas;</w:t>
      </w:r>
    </w:p>
    <w:p w14:paraId="0887819B" w14:textId="77777777" w:rsidR="00AC491A" w:rsidRPr="00380B40" w:rsidRDefault="00AC491A" w:rsidP="00AC491A">
      <w:pPr>
        <w:rPr>
          <w:rFonts w:eastAsia="DengXian"/>
          <w:lang w:val="en-GB" w:eastAsia="ja-JP"/>
        </w:rPr>
      </w:pPr>
      <w:r w:rsidRPr="00380B40">
        <w:rPr>
          <w:rFonts w:eastAsia="DengXian"/>
          <w:i/>
          <w:iCs/>
          <w:lang w:val="en-GB" w:eastAsia="ja-JP"/>
        </w:rPr>
        <w:t>c)</w:t>
      </w:r>
      <w:r w:rsidRPr="00380B40">
        <w:rPr>
          <w:rFonts w:ascii="Calibri" w:eastAsia="DengXian" w:hAnsi="Calibri" w:cs="Calibri"/>
          <w:lang w:val="en-GB" w:eastAsia="ja-JP"/>
        </w:rPr>
        <w:tab/>
      </w:r>
      <w:r w:rsidRPr="00380B40">
        <w:rPr>
          <w:rFonts w:eastAsia="DengXian"/>
          <w:lang w:val="en-GB" w:eastAsia="ja-JP"/>
        </w:rPr>
        <w:t>that new and emerging technologies will have a noticeable impact on telecommunications/ICTs, and ITU-T needs to address the interests of its membership by keeping pace with these advances in technology to advance telecommunications/ICT;</w:t>
      </w:r>
    </w:p>
    <w:p w14:paraId="5183CA1C" w14:textId="77777777" w:rsidR="00AC491A" w:rsidRPr="00380B40" w:rsidRDefault="00AC491A" w:rsidP="00AC491A">
      <w:pPr>
        <w:rPr>
          <w:rFonts w:eastAsia="DengXian"/>
          <w:lang w:val="en-GB" w:eastAsia="ja-JP"/>
        </w:rPr>
      </w:pPr>
      <w:r w:rsidRPr="00380B40">
        <w:rPr>
          <w:rFonts w:eastAsia="DengXian"/>
          <w:i/>
          <w:iCs/>
          <w:lang w:val="en-GB" w:eastAsia="ja-JP"/>
        </w:rPr>
        <w:t>d)</w:t>
      </w:r>
      <w:r w:rsidRPr="00380B40">
        <w:rPr>
          <w:rFonts w:ascii="Calibri" w:eastAsia="DengXian" w:hAnsi="Calibri" w:cs="Calibri"/>
          <w:lang w:val="en-GB" w:eastAsia="ja-JP"/>
        </w:rPr>
        <w:tab/>
      </w:r>
      <w:r w:rsidRPr="00380B40">
        <w:rPr>
          <w:rFonts w:eastAsia="DengXian"/>
          <w:lang w:val="en-GB" w:eastAsia="ja-JP"/>
        </w:rPr>
        <w:t>the resolutions adopted by this assembly, which contain many instructions and implications for the work of the relevant study groups,</w:t>
      </w:r>
    </w:p>
    <w:p w14:paraId="47ED73DB" w14:textId="77777777" w:rsidR="00AC491A" w:rsidRPr="00380B40" w:rsidRDefault="00AC491A" w:rsidP="00AC491A">
      <w:pPr>
        <w:pStyle w:val="Call"/>
        <w:rPr>
          <w:rFonts w:eastAsia="DengXian"/>
          <w:lang w:val="en-GB" w:eastAsia="ja-JP"/>
        </w:rPr>
      </w:pPr>
      <w:r w:rsidRPr="00380B40">
        <w:rPr>
          <w:rFonts w:eastAsia="DengXian"/>
          <w:lang w:val="en-GB" w:eastAsia="ja-JP"/>
        </w:rPr>
        <w:t>considering</w:t>
      </w:r>
    </w:p>
    <w:p w14:paraId="7B8270AC" w14:textId="77777777" w:rsidR="00AC491A" w:rsidRPr="00380B40" w:rsidRDefault="00AC491A" w:rsidP="00AC491A">
      <w:pPr>
        <w:rPr>
          <w:rFonts w:eastAsia="DengXian"/>
          <w:lang w:val="en-GB" w:eastAsia="ja-JP"/>
        </w:rPr>
      </w:pPr>
      <w:r w:rsidRPr="00380B40">
        <w:rPr>
          <w:rFonts w:eastAsia="DengXian"/>
          <w:i/>
          <w:iCs/>
          <w:lang w:val="en-GB" w:eastAsia="ja-JP"/>
        </w:rPr>
        <w:t>a)</w:t>
      </w:r>
      <w:r w:rsidRPr="00380B40">
        <w:rPr>
          <w:rFonts w:eastAsia="DengXian"/>
          <w:lang w:val="en-GB" w:eastAsia="ja-JP"/>
        </w:rPr>
        <w:tab/>
        <w:t>that the mandate for each study group needs to be clearly defined in order to minimize duplication of work between study groups and to ensure the coherence of the overall work programme of ITU</w:t>
      </w:r>
      <w:r w:rsidRPr="00380B40">
        <w:rPr>
          <w:rFonts w:eastAsia="DengXian"/>
          <w:lang w:val="en-GB" w:eastAsia="ja-JP"/>
        </w:rPr>
        <w:noBreakHyphen/>
        <w:t>T;</w:t>
      </w:r>
    </w:p>
    <w:p w14:paraId="562967B3" w14:textId="77777777" w:rsidR="00AC491A" w:rsidRPr="00380B40" w:rsidRDefault="00AC491A" w:rsidP="00AC491A">
      <w:pPr>
        <w:rPr>
          <w:rFonts w:eastAsia="DengXian"/>
          <w:lang w:val="en-GB" w:eastAsia="ja-JP"/>
        </w:rPr>
      </w:pPr>
      <w:r w:rsidRPr="00380B40">
        <w:rPr>
          <w:rFonts w:eastAsia="DengXian"/>
          <w:i/>
          <w:iCs/>
          <w:lang w:val="en-GB" w:eastAsia="ja-JP"/>
        </w:rPr>
        <w:t>b)</w:t>
      </w:r>
      <w:r w:rsidRPr="00380B40">
        <w:rPr>
          <w:rFonts w:eastAsia="DengXian"/>
          <w:lang w:val="en-GB" w:eastAsia="ja-JP"/>
        </w:rPr>
        <w:tab/>
        <w:t>that ITU</w:t>
      </w:r>
      <w:r w:rsidRPr="00380B40">
        <w:rPr>
          <w:rFonts w:eastAsia="DengXian"/>
          <w:lang w:val="en-GB" w:eastAsia="ja-JP"/>
        </w:rPr>
        <w:noBreakHyphen/>
        <w:t>T has to evolve in order to stay relevant to the changing telecommunication environment and to its membership interests;</w:t>
      </w:r>
    </w:p>
    <w:p w14:paraId="0D7C298E" w14:textId="77777777" w:rsidR="00AC491A" w:rsidRPr="00380B40" w:rsidRDefault="00AC491A" w:rsidP="00AC491A">
      <w:pPr>
        <w:rPr>
          <w:rFonts w:eastAsia="DengXian"/>
          <w:lang w:val="en-GB" w:eastAsia="ja-JP"/>
        </w:rPr>
      </w:pPr>
      <w:r w:rsidRPr="00380B40">
        <w:rPr>
          <w:rFonts w:eastAsia="DengXian"/>
          <w:i/>
          <w:iCs/>
          <w:lang w:val="en-GB" w:eastAsia="ja-JP"/>
        </w:rPr>
        <w:t>c)</w:t>
      </w:r>
      <w:r w:rsidRPr="00380B40">
        <w:rPr>
          <w:rFonts w:eastAsia="DengXian"/>
          <w:lang w:val="en-GB" w:eastAsia="ja-JP"/>
        </w:rPr>
        <w:tab/>
        <w:t>that collocation of study group, working party or rapporteur group meetings has also been a means to minimize duplication of work and to improve efficiency of work; in practice, collocation enables:</w:t>
      </w:r>
    </w:p>
    <w:p w14:paraId="6F52D2CC"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attendees' participation in the work of more than one study group;</w:t>
      </w:r>
    </w:p>
    <w:p w14:paraId="576DCE60"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reduction in the need for exchange of liaison statements between the study groups concerned;</w:t>
      </w:r>
    </w:p>
    <w:p w14:paraId="2A9312DE"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saving costs for ITU and for ITU members and other experts;</w:t>
      </w:r>
    </w:p>
    <w:p w14:paraId="674787E4" w14:textId="77777777" w:rsidR="00EE5BCC" w:rsidRPr="00380B40" w:rsidRDefault="00EE5BCC" w:rsidP="00AC491A">
      <w:pPr>
        <w:rPr>
          <w:rFonts w:eastAsia="DengXian"/>
          <w:i/>
          <w:iCs/>
          <w:lang w:val="en-GB" w:eastAsia="ja-JP"/>
        </w:rPr>
      </w:pPr>
      <w:r w:rsidRPr="00380B40">
        <w:rPr>
          <w:rFonts w:eastAsia="DengXian"/>
          <w:i/>
          <w:iCs/>
          <w:lang w:val="en-GB" w:eastAsia="ja-JP"/>
        </w:rPr>
        <w:br w:type="page"/>
      </w:r>
    </w:p>
    <w:p w14:paraId="3E352D57" w14:textId="77777777" w:rsidR="00AC491A" w:rsidRPr="00380B40" w:rsidRDefault="00AC491A" w:rsidP="00AC491A">
      <w:pPr>
        <w:rPr>
          <w:rFonts w:eastAsia="DengXian"/>
          <w:i/>
          <w:lang w:val="en-GB" w:eastAsia="ja-JP"/>
        </w:rPr>
      </w:pPr>
      <w:r w:rsidRPr="00380B40">
        <w:rPr>
          <w:rFonts w:eastAsia="DengXian"/>
          <w:i/>
          <w:iCs/>
          <w:lang w:val="en-GB" w:eastAsia="ja-JP"/>
        </w:rPr>
        <w:t>d)</w:t>
      </w:r>
      <w:r w:rsidRPr="00380B40">
        <w:rPr>
          <w:rFonts w:eastAsia="DengXian"/>
          <w:lang w:val="en-GB" w:eastAsia="ja-JP"/>
        </w:rPr>
        <w:tab/>
        <w:t>that the World Telecommunication Standardization Assembly (WTSA), through Resolution 22, assigns authority to the Telecommunication Standardization Advisory Group (TSAG) in the interval between WTSAs to restructure and establish ITU</w:t>
      </w:r>
      <w:r w:rsidRPr="00380B40">
        <w:rPr>
          <w:rFonts w:eastAsia="DengXian"/>
          <w:lang w:val="en-GB" w:eastAsia="ja-JP"/>
        </w:rPr>
        <w:noBreakHyphen/>
        <w:t>T study groups in response to changes in the telecommunication marketplace,</w:t>
      </w:r>
    </w:p>
    <w:p w14:paraId="19193195" w14:textId="77777777" w:rsidR="00AC491A" w:rsidRPr="00380B40" w:rsidRDefault="00AC491A" w:rsidP="00AC491A">
      <w:pPr>
        <w:pStyle w:val="Call"/>
        <w:rPr>
          <w:rFonts w:eastAsia="DengXian"/>
          <w:lang w:val="en-GB" w:eastAsia="ja-JP"/>
        </w:rPr>
      </w:pPr>
      <w:r w:rsidRPr="00380B40">
        <w:rPr>
          <w:rFonts w:eastAsia="DengXian"/>
          <w:lang w:val="en-GB" w:eastAsia="ja-JP"/>
        </w:rPr>
        <w:t>noting</w:t>
      </w:r>
    </w:p>
    <w:p w14:paraId="768FE5D6" w14:textId="77777777" w:rsidR="00AC491A" w:rsidRPr="00380B40" w:rsidRDefault="00AC491A" w:rsidP="00AC491A">
      <w:pPr>
        <w:rPr>
          <w:rFonts w:eastAsia="DengXian"/>
          <w:lang w:val="en-GB" w:eastAsia="ja-JP"/>
        </w:rPr>
      </w:pPr>
      <w:r w:rsidRPr="00380B40">
        <w:rPr>
          <w:rFonts w:eastAsia="DengXian"/>
          <w:lang w:val="en-GB" w:eastAsia="ja-JP"/>
        </w:rPr>
        <w:t>that the study group structure, responsibilities and mandates agreed at WTSA may be modified in the interval between WTSAs, and that the current study group structure, responsibility and mandates may be found on the ITU</w:t>
      </w:r>
      <w:r w:rsidRPr="00380B40">
        <w:rPr>
          <w:rFonts w:eastAsia="DengXian"/>
          <w:lang w:val="en-GB" w:eastAsia="ja-JP"/>
        </w:rPr>
        <w:noBreakHyphen/>
        <w:t>T website or obtained from the Telecommunication Standardization Bureau (TSB),</w:t>
      </w:r>
    </w:p>
    <w:p w14:paraId="0971323D" w14:textId="77777777" w:rsidR="00AC491A" w:rsidRPr="00380B40" w:rsidRDefault="00AC491A" w:rsidP="00AC491A">
      <w:pPr>
        <w:pStyle w:val="Call"/>
        <w:rPr>
          <w:rFonts w:eastAsia="DengXian"/>
          <w:lang w:val="en-GB" w:eastAsia="ja-JP"/>
        </w:rPr>
      </w:pPr>
      <w:r w:rsidRPr="00380B40">
        <w:rPr>
          <w:rFonts w:eastAsia="DengXian"/>
          <w:lang w:val="en-GB" w:eastAsia="ja-JP"/>
        </w:rPr>
        <w:t>resolves</w:t>
      </w:r>
    </w:p>
    <w:p w14:paraId="56A10C6D" w14:textId="77777777" w:rsidR="00AC491A" w:rsidRPr="00380B40" w:rsidRDefault="00AC491A" w:rsidP="00AC491A">
      <w:pPr>
        <w:rPr>
          <w:rFonts w:eastAsia="DengXian"/>
          <w:lang w:val="en-GB" w:eastAsia="ja-JP"/>
        </w:rPr>
      </w:pPr>
      <w:r w:rsidRPr="00380B40">
        <w:rPr>
          <w:rFonts w:eastAsia="DengXian"/>
          <w:lang w:val="en-GB" w:eastAsia="ja-JP"/>
        </w:rPr>
        <w:t>1</w:t>
      </w:r>
      <w:r w:rsidRPr="00380B40">
        <w:rPr>
          <w:rFonts w:eastAsia="DengXian"/>
          <w:lang w:val="en-GB" w:eastAsia="ja-JP"/>
        </w:rPr>
        <w:tab/>
        <w:t xml:space="preserve">that the mandate of each study group, which it shall use as the basis for organizing its study programme, taking into account </w:t>
      </w:r>
      <w:r w:rsidRPr="00380B40">
        <w:rPr>
          <w:rFonts w:eastAsia="DengXian"/>
          <w:i/>
          <w:lang w:val="en-GB" w:eastAsia="ja-JP"/>
        </w:rPr>
        <w:t>recognizing</w:t>
      </w:r>
      <w:r w:rsidRPr="00380B40">
        <w:rPr>
          <w:rFonts w:eastAsia="DengXian"/>
          <w:lang w:val="en-GB" w:eastAsia="ja-JP"/>
        </w:rPr>
        <w:t xml:space="preserve"> </w:t>
      </w:r>
      <w:r w:rsidRPr="00380B40">
        <w:rPr>
          <w:rFonts w:eastAsia="DengXian"/>
          <w:i/>
          <w:iCs/>
          <w:lang w:val="en-GB" w:eastAsia="ja-JP"/>
        </w:rPr>
        <w:t>a), b), c),</w:t>
      </w:r>
      <w:r w:rsidRPr="00380B40">
        <w:rPr>
          <w:rFonts w:eastAsia="DengXian"/>
          <w:lang w:val="en-GB" w:eastAsia="ja-JP"/>
        </w:rPr>
        <w:t xml:space="preserve"> and </w:t>
      </w:r>
      <w:r w:rsidRPr="00380B40">
        <w:rPr>
          <w:rFonts w:eastAsia="DengXian"/>
          <w:i/>
          <w:iCs/>
          <w:lang w:val="en-GB" w:eastAsia="ja-JP"/>
        </w:rPr>
        <w:t>d)</w:t>
      </w:r>
      <w:r w:rsidRPr="00380B40">
        <w:rPr>
          <w:rFonts w:eastAsia="DengXian"/>
          <w:lang w:val="en-GB" w:eastAsia="ja-JP"/>
        </w:rPr>
        <w:t xml:space="preserve"> above, shall consist of:</w:t>
      </w:r>
    </w:p>
    <w:p w14:paraId="7B668943"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a general area of responsibility, as set out in Annex A to this resolution, within which the study group may amend existing Recommendations, in collaboration with other groups, as appropriate; and</w:t>
      </w:r>
    </w:p>
    <w:p w14:paraId="27ACBD1D"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a set of Questions related to particular areas of study, which are compatible with the general area of responsibility and which should be results-oriented (refer to Section 7 of Resolution 1 (Rev. Geneva, 2022) of this assembly);</w:t>
      </w:r>
    </w:p>
    <w:p w14:paraId="28DFB90F" w14:textId="77777777" w:rsidR="00AC491A" w:rsidRPr="00380B40" w:rsidRDefault="00AC491A" w:rsidP="00AC491A">
      <w:pPr>
        <w:rPr>
          <w:rFonts w:eastAsia="DengXian"/>
          <w:lang w:val="en-GB" w:eastAsia="ja-JP"/>
        </w:rPr>
      </w:pPr>
      <w:r w:rsidRPr="00380B40">
        <w:rPr>
          <w:rFonts w:eastAsia="DengXian"/>
          <w:lang w:val="en-GB" w:eastAsia="ja-JP"/>
        </w:rPr>
        <w:t>2</w:t>
      </w:r>
      <w:r w:rsidRPr="00380B40">
        <w:rPr>
          <w:rFonts w:eastAsia="DengXian"/>
          <w:lang w:val="en-GB" w:eastAsia="ja-JP"/>
        </w:rPr>
        <w:tab/>
        <w:t>to encourage the study groups to consider collocation (e.g. of study group plenaries, working parties or rapporteur meetings) as a means to improve cooperation in some areas of work; the study groups involved will need to identify the areas in which they need to cooperate, based on their mandates, and keep TSAG and TSB informed;</w:t>
      </w:r>
    </w:p>
    <w:p w14:paraId="29CB3EC8" w14:textId="77777777" w:rsidR="00AC491A" w:rsidRPr="00380B40" w:rsidRDefault="00AC491A" w:rsidP="00AC491A">
      <w:pPr>
        <w:rPr>
          <w:rFonts w:eastAsia="DengXian"/>
          <w:lang w:val="en-GB" w:eastAsia="ja-JP"/>
        </w:rPr>
      </w:pPr>
      <w:r w:rsidRPr="00380B40">
        <w:rPr>
          <w:rFonts w:eastAsia="DengXian"/>
          <w:lang w:val="en-GB" w:eastAsia="ja-JP"/>
        </w:rPr>
        <w:t>3</w:t>
      </w:r>
      <w:r w:rsidRPr="00380B40">
        <w:rPr>
          <w:rFonts w:eastAsia="DengXian"/>
          <w:lang w:val="en-GB" w:eastAsia="ja-JP"/>
        </w:rPr>
        <w:tab/>
        <w:t>to encourage ITU-T study groups to conduct work on how to ensure wider implementation of ITU</w:t>
      </w:r>
      <w:r w:rsidRPr="00380B40">
        <w:rPr>
          <w:rFonts w:eastAsia="DengXian"/>
          <w:lang w:val="en-GB" w:eastAsia="ja-JP"/>
        </w:rPr>
        <w:noBreakHyphen/>
        <w:t>T Recommendations at the national level in collaboration with the study groups of the ITU Telecommunication Development Sector;</w:t>
      </w:r>
    </w:p>
    <w:p w14:paraId="75343952" w14:textId="77777777" w:rsidR="00AC491A" w:rsidRPr="00380B40" w:rsidRDefault="00AC491A" w:rsidP="00AC491A">
      <w:pPr>
        <w:pStyle w:val="Call"/>
        <w:rPr>
          <w:rFonts w:eastAsia="DengXian"/>
          <w:lang w:val="en-GB" w:eastAsia="ja-JP"/>
        </w:rPr>
      </w:pPr>
      <w:r w:rsidRPr="00380B40">
        <w:rPr>
          <w:rFonts w:eastAsia="DengXian"/>
          <w:lang w:val="en-GB" w:eastAsia="ja-JP"/>
        </w:rPr>
        <w:t>instructs the Telecommunication Standardization Bureau</w:t>
      </w:r>
    </w:p>
    <w:p w14:paraId="6F88079B" w14:textId="77777777" w:rsidR="00AC491A" w:rsidRPr="00380B40" w:rsidRDefault="00AC491A" w:rsidP="00AC491A">
      <w:pPr>
        <w:rPr>
          <w:rFonts w:eastAsia="DengXian"/>
          <w:lang w:val="en-GB" w:eastAsia="ja-JP"/>
        </w:rPr>
      </w:pPr>
      <w:r w:rsidRPr="00380B40">
        <w:rPr>
          <w:rFonts w:eastAsia="DengXian"/>
          <w:lang w:val="en-GB" w:eastAsia="ja-JP"/>
        </w:rPr>
        <w:t>to support and facilitate the operational aspects of such collocation.</w:t>
      </w:r>
    </w:p>
    <w:p w14:paraId="5098B939" w14:textId="77777777" w:rsidR="00D106CE" w:rsidRPr="00380B40" w:rsidRDefault="00D106CE" w:rsidP="00AC491A">
      <w:pPr>
        <w:rPr>
          <w:rFonts w:eastAsia="DengXian"/>
          <w:lang w:val="en-GB" w:eastAsia="ja-JP"/>
        </w:rPr>
      </w:pPr>
    </w:p>
    <w:p w14:paraId="0E06998D" w14:textId="77777777" w:rsidR="00AC491A" w:rsidRPr="00380B40" w:rsidRDefault="00AC491A" w:rsidP="00AC491A">
      <w:pPr>
        <w:pStyle w:val="AnnexNo"/>
        <w:rPr>
          <w:rFonts w:eastAsia="DengXian"/>
        </w:rPr>
      </w:pPr>
      <w:bookmarkStart w:id="80" w:name="_Toc111636749"/>
      <w:r w:rsidRPr="00380B40">
        <w:rPr>
          <w:rFonts w:eastAsia="DengXian"/>
          <w:lang w:eastAsia="ja-JP"/>
        </w:rPr>
        <w:t>Annex A</w:t>
      </w:r>
      <w:r w:rsidRPr="00380B40">
        <w:rPr>
          <w:rFonts w:eastAsia="DengXian"/>
          <w:lang w:eastAsia="ja-JP"/>
        </w:rPr>
        <w:br/>
      </w:r>
      <w:r w:rsidRPr="00380B40">
        <w:rPr>
          <w:rFonts w:eastAsia="DengXian"/>
          <w:caps w:val="0"/>
        </w:rPr>
        <w:t>(to Resolution 2 (Rev. Geneva, 2022))</w:t>
      </w:r>
      <w:bookmarkEnd w:id="80"/>
    </w:p>
    <w:p w14:paraId="2E3D6188" w14:textId="77777777" w:rsidR="00AC491A" w:rsidRPr="00380B40" w:rsidRDefault="00AC491A" w:rsidP="00AC491A">
      <w:pPr>
        <w:pStyle w:val="PartNo"/>
        <w:rPr>
          <w:rFonts w:eastAsia="DengXian"/>
          <w:lang w:val="en-GB" w:eastAsia="ja-JP"/>
        </w:rPr>
      </w:pPr>
      <w:r w:rsidRPr="00380B40">
        <w:rPr>
          <w:rFonts w:eastAsia="DengXian"/>
          <w:lang w:val="en-GB" w:eastAsia="ja-JP"/>
        </w:rPr>
        <w:t>Part 1 – General areas of study</w:t>
      </w:r>
    </w:p>
    <w:p w14:paraId="03D377CD" w14:textId="77777777" w:rsidR="00AC491A" w:rsidRPr="00380B40" w:rsidRDefault="00AC491A" w:rsidP="00AC491A">
      <w:pPr>
        <w:pStyle w:val="Headingb"/>
        <w:rPr>
          <w:rFonts w:eastAsia="DengXian"/>
          <w:lang w:val="en-GB" w:eastAsia="ja-JP"/>
        </w:rPr>
      </w:pPr>
      <w:bookmarkStart w:id="81" w:name="_Toc509631348"/>
      <w:r w:rsidRPr="00380B40">
        <w:rPr>
          <w:rFonts w:eastAsia="DengXian"/>
          <w:lang w:val="en-GB" w:eastAsia="ja-JP"/>
        </w:rPr>
        <w:t>ITU</w:t>
      </w:r>
      <w:r w:rsidRPr="00380B40">
        <w:rPr>
          <w:rFonts w:eastAsia="DengXian"/>
          <w:lang w:val="en-GB" w:eastAsia="ja-JP"/>
        </w:rPr>
        <w:noBreakHyphen/>
        <w:t>T Study Group 2</w:t>
      </w:r>
    </w:p>
    <w:p w14:paraId="62A79B55" w14:textId="77777777" w:rsidR="00AC491A" w:rsidRPr="00380B40" w:rsidRDefault="00AC491A" w:rsidP="00AC491A">
      <w:pPr>
        <w:pStyle w:val="Headingb"/>
        <w:rPr>
          <w:lang w:val="en-GB"/>
        </w:rPr>
      </w:pPr>
      <w:r w:rsidRPr="00380B40">
        <w:rPr>
          <w:lang w:val="en-GB"/>
        </w:rPr>
        <w:t>Operational aspects of service provision and telecommunication management</w:t>
      </w:r>
    </w:p>
    <w:p w14:paraId="52FEFDFE"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ITU</w:t>
      </w:r>
      <w:r w:rsidRPr="00380B40">
        <w:rPr>
          <w:rFonts w:eastAsia="DengXian"/>
          <w:szCs w:val="24"/>
          <w:lang w:val="en-GB" w:eastAsia="ja-JP"/>
        </w:rPr>
        <w:noBreakHyphen/>
        <w:t>T Study Group 2 is responsible for studies relating to:</w:t>
      </w:r>
    </w:p>
    <w:p w14:paraId="1B62EB9E"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continued deployment of numbering, naming, addressing and identification (NNAI) requirements and resource assignment, including criteria and procedures for reservation, assignment and reclamation;</w:t>
      </w:r>
    </w:p>
    <w:p w14:paraId="3CF5C6EB" w14:textId="77777777" w:rsidR="00EE5BCC" w:rsidRPr="00380B40" w:rsidRDefault="00EE5BCC" w:rsidP="00AC491A">
      <w:pPr>
        <w:pStyle w:val="enumlev1"/>
        <w:rPr>
          <w:rFonts w:eastAsia="DengXian"/>
          <w:lang w:val="en-GB" w:eastAsia="ja-JP"/>
        </w:rPr>
      </w:pPr>
      <w:r w:rsidRPr="00380B40">
        <w:rPr>
          <w:rFonts w:eastAsia="DengXian"/>
          <w:lang w:val="en-GB" w:eastAsia="ja-JP"/>
        </w:rPr>
        <w:br w:type="page"/>
      </w:r>
    </w:p>
    <w:p w14:paraId="3BDCF9E4"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evolution of and specification of use of NNAI requirements and resource assignment, including criteria and procedures for reservation, assignment and reclamation for future telecommunication/ICT architectures, capabilities, technologies, applications and services;</w:t>
      </w:r>
    </w:p>
    <w:p w14:paraId="276B7579"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principles of administering global NNAI resources;</w:t>
      </w:r>
    </w:p>
    <w:p w14:paraId="60866E09"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principles and operational aspects of routing, interworking, number portability and carrier switching;</w:t>
      </w:r>
    </w:p>
    <w:p w14:paraId="20382943"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principles of service provision, definition and operational requirements for current and future telecommunication/ICT architectures, capabilities, technologies, applications and services;</w:t>
      </w:r>
    </w:p>
    <w:p w14:paraId="2593A896"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operational and management aspects of networks, including network traffic management, designations and transport-related operations procedures;</w:t>
      </w:r>
    </w:p>
    <w:p w14:paraId="2CB753A4"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 xml:space="preserve">operational aspects of interworking between traditional telecommunication networks and evolving and emerging telecommunication/ICT architectures, capabilities, technologies, applications and services; </w:t>
      </w:r>
    </w:p>
    <w:p w14:paraId="1010898E"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evaluation of feedback from operators, manufacturing companies and users on different aspects of network operation;</w:t>
      </w:r>
    </w:p>
    <w:p w14:paraId="6579D14B"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management of future telecommunication/ICT architectures, capabilities, technologies, applications and services;</w:t>
      </w:r>
    </w:p>
    <w:p w14:paraId="0D5F19BE"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 xml:space="preserve">evolution of the management interface specification methodology; </w:t>
      </w:r>
    </w:p>
    <w:p w14:paraId="146B4C4B"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specifying interfaces to management systems to support the communication of identity information within or between organizational domains; and</w:t>
      </w:r>
    </w:p>
    <w:p w14:paraId="735A8A8C"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the operational impact of the Internet, convergence (services or infrastructure) and future services, such as over-the-top (OTT), on international telecommunication services and networks.</w:t>
      </w:r>
    </w:p>
    <w:p w14:paraId="73820AA0" w14:textId="77777777" w:rsidR="00AC491A" w:rsidRPr="00380B40" w:rsidRDefault="00AC491A" w:rsidP="00AC491A">
      <w:pPr>
        <w:pStyle w:val="Headingb"/>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w:t>
      </w:r>
      <w:bookmarkEnd w:id="81"/>
      <w:r w:rsidRPr="00380B40">
        <w:rPr>
          <w:rFonts w:eastAsia="DengXian"/>
          <w:lang w:val="en-GB" w:eastAsia="ja-JP"/>
        </w:rPr>
        <w:t>3</w:t>
      </w:r>
    </w:p>
    <w:p w14:paraId="5EDEA05F" w14:textId="77777777" w:rsidR="00AC491A" w:rsidRPr="00380B40" w:rsidRDefault="00AC491A" w:rsidP="00AC491A">
      <w:pPr>
        <w:pStyle w:val="Headingb"/>
        <w:rPr>
          <w:lang w:val="en-GB"/>
        </w:rPr>
      </w:pPr>
      <w:r w:rsidRPr="00380B40">
        <w:rPr>
          <w:lang w:val="en-GB"/>
        </w:rPr>
        <w:t>Tariff and accounting principles and international telecommunication/ICT economic and policy issues</w:t>
      </w:r>
    </w:p>
    <w:p w14:paraId="1DBB4D48" w14:textId="77777777" w:rsidR="00AC491A" w:rsidRPr="00380B40" w:rsidRDefault="00AC491A" w:rsidP="00AC491A">
      <w:pPr>
        <w:rPr>
          <w:rFonts w:eastAsia="DengXian"/>
          <w:lang w:val="en-GB" w:eastAsia="ja-JP"/>
        </w:rPr>
      </w:pPr>
      <w:r w:rsidRPr="00380B40">
        <w:rPr>
          <w:rFonts w:eastAsia="DengXian"/>
          <w:lang w:val="en-GB" w:eastAsia="ja-JP"/>
        </w:rPr>
        <w:t>ITU</w:t>
      </w:r>
      <w:r w:rsidRPr="00380B40">
        <w:rPr>
          <w:rFonts w:eastAsia="DengXian"/>
          <w:lang w:val="en-GB" w:eastAsia="ja-JP"/>
        </w:rPr>
        <w:noBreakHyphen/>
        <w:t xml:space="preserve">T Study Group 3 is responsible, </w:t>
      </w:r>
      <w:r w:rsidRPr="00380B40">
        <w:rPr>
          <w:rFonts w:eastAsia="DengXian"/>
          <w:i/>
          <w:iCs/>
          <w:lang w:val="en-GB" w:eastAsia="ja-JP"/>
        </w:rPr>
        <w:t>inter alia</w:t>
      </w:r>
      <w:r w:rsidRPr="00380B40">
        <w:rPr>
          <w:rFonts w:eastAsia="DengXian"/>
          <w:lang w:val="en-GB" w:eastAsia="ja-JP"/>
        </w:rPr>
        <w:t>, for studying international telecommunication/ICT policy and economic issues and tariff and accounting matters (including costing principles and methodologies), with a view to informing the development of enabling regulatory models and frameworks. To this end, Study Group 3 shall in particular foster collaboration among its participants with a view to the establishment of rates at levels as low as possible consistent with an efficient service and taking into account the necessity of maintaining independent financial administration of telecommunications on a sound basis. Additionally, Study Group 3 will study the economic and regulatory impact of the Internet, new and emerging technologies, convergence (services or infrastructure) and new services, such as over-the-top (OTT), on international telecommunication services and networks.</w:t>
      </w:r>
    </w:p>
    <w:p w14:paraId="359084CB" w14:textId="77777777" w:rsidR="00AC491A" w:rsidRPr="00380B40" w:rsidRDefault="00AC491A" w:rsidP="00AC491A">
      <w:pPr>
        <w:pStyle w:val="Headingb"/>
        <w:rPr>
          <w:rFonts w:eastAsia="DengXian"/>
          <w:lang w:val="en-GB" w:eastAsia="ja-JP"/>
        </w:rPr>
      </w:pPr>
      <w:bookmarkStart w:id="82" w:name="_Toc509631353"/>
      <w:bookmarkEnd w:id="82"/>
      <w:r w:rsidRPr="00380B40">
        <w:rPr>
          <w:rFonts w:eastAsia="DengXian"/>
          <w:lang w:val="en-GB" w:eastAsia="ja-JP"/>
        </w:rPr>
        <w:t>ITU</w:t>
      </w:r>
      <w:r w:rsidRPr="00380B40">
        <w:rPr>
          <w:rFonts w:eastAsia="DengXian"/>
          <w:lang w:val="en-GB" w:eastAsia="ja-JP"/>
        </w:rPr>
        <w:noBreakHyphen/>
        <w:t>T Study Group 5</w:t>
      </w:r>
    </w:p>
    <w:p w14:paraId="04433E16" w14:textId="77777777" w:rsidR="00AC491A" w:rsidRPr="00380B40" w:rsidRDefault="00AC491A" w:rsidP="00AC491A">
      <w:pPr>
        <w:pStyle w:val="Headingb"/>
        <w:rPr>
          <w:lang w:val="en-GB"/>
        </w:rPr>
      </w:pPr>
      <w:r w:rsidRPr="00380B40">
        <w:rPr>
          <w:lang w:val="en-GB"/>
        </w:rPr>
        <w:t>Electromagnetic fields, environment, climate action, sustainable digitalization and circular economy</w:t>
      </w:r>
    </w:p>
    <w:p w14:paraId="22B17968" w14:textId="77777777" w:rsidR="00AC491A" w:rsidRPr="00380B40" w:rsidRDefault="00AC491A" w:rsidP="00AC491A">
      <w:pPr>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5 is responsible for the development of standards on the environmental aspects of ICT and digital technologies and protection of the environment, including electromagnetic phenomena and climate change.</w:t>
      </w:r>
    </w:p>
    <w:p w14:paraId="0D8B5317" w14:textId="77777777" w:rsidR="00EE5BCC" w:rsidRPr="00380B40" w:rsidRDefault="00EE5BCC"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br w:type="page"/>
      </w:r>
    </w:p>
    <w:p w14:paraId="34FF57B2"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Study Group 5 will study how the digital transformation can be shaped to ensure it supports transitions towards more sustainable societies.</w:t>
      </w:r>
    </w:p>
    <w:p w14:paraId="42D4264C"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Study Group 5 will also study issues related to resistibility, human exposure to electromagnetic fields (EMF), circular economy, energy efficiency and climate</w:t>
      </w:r>
      <w:r w:rsidRPr="00380B40">
        <w:rPr>
          <w:rFonts w:eastAsia="DengXian"/>
          <w:szCs w:val="24"/>
          <w:lang w:val="en-GB" w:eastAsia="ja-JP"/>
        </w:rPr>
        <w:noBreakHyphen/>
        <w:t>change adaptation and mitigation. It will develop international standards, guidelines, technical papers and assessment frameworks that support the sustainable use and deployment of ICTs and digital technologies, and evaluate the environmental performance, including biodiversity, of digital technologies such as, but not limited to, 5G, artificial intelligence (AI), smart manufacturing, automation, etc.</w:t>
      </w:r>
    </w:p>
    <w:p w14:paraId="5FCE1B42"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Study Group 5 is also responsible for studying design methodologies and frameworks to reduce the volume and adverse environmental effects of e-waste and to support the transition towards a circular economy.</w:t>
      </w:r>
    </w:p>
    <w:p w14:paraId="00F8912A"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Study Group 5 has an extended role in evaluating the impact of ICTs in accelerating climate-change adaptation and mitigation actions, particularly in industries (including the ICT sector), cities, rural areas and communities. To this end, it is also working to develop standards and guidelines for building resilient ICT infrastructures in rural areas and communities, as well as to develop assessment methodologies for the trajectories of the ICT sector in connection with the United Nations Sustainable Development Agenda 2030 and the Paris Agreement.</w:t>
      </w:r>
    </w:p>
    <w:p w14:paraId="5AE5B818" w14:textId="77777777" w:rsidR="00AC491A" w:rsidRPr="00380B40" w:rsidRDefault="00AC491A" w:rsidP="00D106CE">
      <w:pPr>
        <w:rPr>
          <w:rFonts w:eastAsia="DengXian"/>
          <w:lang w:val="en-GB" w:eastAsia="ja-JP"/>
        </w:rPr>
      </w:pPr>
      <w:r w:rsidRPr="00380B40">
        <w:rPr>
          <w:rFonts w:eastAsia="DengXian"/>
          <w:lang w:val="en-GB" w:eastAsia="ja-JP"/>
        </w:rPr>
        <w:t>In addition to its climate-focused activities, Study Group 5 has five other objectives. The first is to protect ICT (including telecommunication equipment and installations) against damage and malfunction due to electromagnetic phenomena, such as lightning, as well as from particle radiations. In this field, Study Group 5 is one of the world's most experienced and respected standardization bodies. The second is to ensure safety of personnel and users of networks in relation to electrical hazards existing in ICT networks. The third is to avoid health risks from EMF produced by telecommunication devices and installations. Study Group 5 will develop standards to give operators, manufacturers, and government agencies the tools required to assess EMF levels and to verify compliance with the World Health Organization (WHO) recommended human exposure guidelines and limits. The fourth is to guarantee good reliability and low latency for high-speed network services by providing requirements on resistibility and electromagnetic compatibility (EMC). The fifth is EMC, which is another key component of Study Group 5</w:t>
      </w:r>
      <w:r w:rsidR="00F82355" w:rsidRPr="00380B40">
        <w:rPr>
          <w:rFonts w:eastAsia="DengXian"/>
          <w:lang w:val="en-GB" w:eastAsia="ja-JP"/>
        </w:rPr>
        <w:t>'</w:t>
      </w:r>
      <w:r w:rsidRPr="00380B40">
        <w:rPr>
          <w:rFonts w:eastAsia="DengXian"/>
          <w:lang w:val="en-GB" w:eastAsia="ja-JP"/>
        </w:rPr>
        <w:t>s work, by ensuring that the functionality of telecommunication equipment is not compromised by electromagnetic interference related to radiated and conducted disturbances emitted by other electrical or communications systems. EMC is becoming particularly relevant in taking into account the convergence of telecommunication and IT equipment, as well as in ensuring the efficient operation of home networks.</w:t>
      </w:r>
    </w:p>
    <w:p w14:paraId="39D467A2"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Study Group 5 is responsible for studies on how to use ICTs and digital technologies to tackle environmental challenges in line with the Sustainable Development Goals (SDGs).</w:t>
      </w:r>
    </w:p>
    <w:p w14:paraId="24987AE9" w14:textId="77777777" w:rsidR="009C3FC1" w:rsidRPr="00380B40" w:rsidRDefault="009C3FC1"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br w:type="page"/>
      </w:r>
    </w:p>
    <w:p w14:paraId="08AFF3F2" w14:textId="77777777" w:rsidR="00AC491A" w:rsidRPr="00380B40" w:rsidRDefault="00AC491A" w:rsidP="00AC491A">
      <w:pPr>
        <w:pStyle w:val="Headingb"/>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9</w:t>
      </w:r>
    </w:p>
    <w:p w14:paraId="612E4056" w14:textId="77777777" w:rsidR="00AC491A" w:rsidRPr="00380B40" w:rsidRDefault="00AC491A" w:rsidP="00AC491A">
      <w:pPr>
        <w:pStyle w:val="Headingb"/>
        <w:rPr>
          <w:lang w:val="en-GB"/>
        </w:rPr>
      </w:pPr>
      <w:r w:rsidRPr="00380B40">
        <w:rPr>
          <w:lang w:val="en-GB"/>
        </w:rPr>
        <w:t>Audiovisual content transmission and integrated broadband cable networks</w:t>
      </w:r>
    </w:p>
    <w:p w14:paraId="466710A3"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ITU</w:t>
      </w:r>
      <w:r w:rsidRPr="00380B40">
        <w:rPr>
          <w:rFonts w:eastAsia="DengXian"/>
          <w:szCs w:val="24"/>
          <w:lang w:val="en-GB" w:eastAsia="ja-JP"/>
        </w:rPr>
        <w:noBreakHyphen/>
        <w:t>T Study Group 9 is responsible for studies relating to:</w:t>
      </w:r>
    </w:p>
    <w:p w14:paraId="7AF61E8B"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use of telecommunication systems for contribution, primary distribution and secondary distribution of audiovisual content, e.g. television programmes and related data services, including interactive services and applications, providing advanced capabilities, e.g. ultra-high definition and high-dynamic range, 3D, virtual reality, augmented reality and multiview;</w:t>
      </w:r>
    </w:p>
    <w:p w14:paraId="4EFEB8D3"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use of cable networks, e.g. coaxial cable, optical fibre, hybrid fibre coaxial (HFC), etc., to also provide integrated broadband services. The cable network, primarily designed for audiovisual content delivery to the home, also carries time</w:t>
      </w:r>
      <w:r w:rsidRPr="00380B40">
        <w:rPr>
          <w:rFonts w:eastAsia="DengXian"/>
          <w:lang w:val="en-GB" w:eastAsia="ja-JP"/>
        </w:rPr>
        <w:noBreakHyphen/>
        <w:t>critical services like voice, gaming, video-on-demand, interactive and multiscreen services, etc. to customer premises equipment (CPE) in the home or enterprise;</w:t>
      </w:r>
    </w:p>
    <w:p w14:paraId="1D055A16"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use of cloud computing, artificial intelligence (AI) and other advanced technologies to enhance audiovisual content contribution and distribution as well as integrated broadband services over the cable networks;</w:t>
      </w:r>
    </w:p>
    <w:p w14:paraId="715DB2E4"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use of accessibility services (like captioning, audio caption) and new interaction technologies (like haptic, gesture, eye tracking and so on) to enhance accessibility of audiovisual content and related data services for people with different ranges of abilities.</w:t>
      </w:r>
    </w:p>
    <w:p w14:paraId="32A4B7CF" w14:textId="77777777" w:rsidR="00AC491A" w:rsidRPr="00380B40" w:rsidRDefault="00AC491A" w:rsidP="00AC491A">
      <w:pPr>
        <w:pStyle w:val="Headingb"/>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11</w:t>
      </w:r>
    </w:p>
    <w:p w14:paraId="742C5816" w14:textId="77777777" w:rsidR="00AC491A" w:rsidRPr="00380B40" w:rsidRDefault="00AC491A" w:rsidP="00667039">
      <w:pPr>
        <w:pStyle w:val="Headingb"/>
        <w:ind w:left="0" w:firstLine="0"/>
        <w:rPr>
          <w:lang w:val="en-GB"/>
        </w:rPr>
      </w:pPr>
      <w:r w:rsidRPr="00380B40">
        <w:rPr>
          <w:lang w:val="en-GB"/>
        </w:rPr>
        <w:t>Signalling requirements, protocols, test specifications and combating counterfeit telecommunication/ICT devices</w:t>
      </w:r>
    </w:p>
    <w:p w14:paraId="643C46AA" w14:textId="77777777" w:rsidR="00AC491A" w:rsidRPr="00380B40" w:rsidRDefault="00AC491A" w:rsidP="00AC491A">
      <w:pPr>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11 has been attributed the responsibility for studies related to signalling-system architecture, signalling requirements and protocols, for all types of networks such as future networks (FN), cloud-computing networks, VoLTE/ViLTE</w:t>
      </w:r>
      <w:r w:rsidRPr="00380B40">
        <w:rPr>
          <w:rFonts w:eastAsia="DengXian"/>
          <w:lang w:val="en-GB" w:eastAsia="ja-JP"/>
        </w:rPr>
        <w:noBreakHyphen/>
        <w:t>based network interconnection, virtual networks, multimedia, next-generation networks (NGN), signalling for legacy network interworking, satellite-terrestrial networks, software-defined networking (SDN) technologies, network function virtualization (NFV) technologies, IMT-2020 networks and beyond, quantum key distribution network (QKDN) and related technologies, and augmented reality.</w:t>
      </w:r>
    </w:p>
    <w:p w14:paraId="776FDF91" w14:textId="77777777" w:rsidR="00AC491A" w:rsidRPr="00380B40" w:rsidRDefault="00AC491A" w:rsidP="00AC491A">
      <w:pPr>
        <w:rPr>
          <w:rFonts w:eastAsia="DengXian"/>
          <w:lang w:val="en-GB" w:eastAsia="ja-JP"/>
        </w:rPr>
      </w:pPr>
      <w:r w:rsidRPr="00380B40">
        <w:rPr>
          <w:rFonts w:eastAsia="DengXian"/>
          <w:lang w:val="en-GB" w:eastAsia="ja-JP"/>
        </w:rPr>
        <w:t>Study Group 11 is also responsible for studies to combat counterfeit telecommunication/ICT devices and mobile device theft.</w:t>
      </w:r>
    </w:p>
    <w:p w14:paraId="19E0A887" w14:textId="77777777" w:rsidR="00AC491A" w:rsidRPr="00380B40" w:rsidRDefault="00AC491A" w:rsidP="00AC491A">
      <w:pPr>
        <w:rPr>
          <w:rFonts w:eastAsia="DengXian"/>
          <w:lang w:val="en-GB" w:eastAsia="ja-JP"/>
        </w:rPr>
      </w:pPr>
      <w:r w:rsidRPr="00380B40">
        <w:rPr>
          <w:rFonts w:eastAsia="DengXian"/>
          <w:lang w:val="en-GB" w:eastAsia="ja-JP"/>
        </w:rPr>
        <w:t>Study Group 11 will also develop test specifications for testing conformance and interoperability (C&amp;I) for all types of networks, technologies and services, a testing methodology and test suites for standardized network parameters in relation to the framework for Internet-related performance measurement, as well as for existing and emerging technologies.</w:t>
      </w:r>
    </w:p>
    <w:p w14:paraId="5AADF76B" w14:textId="77777777" w:rsidR="009C3FC1" w:rsidRPr="00380B40" w:rsidRDefault="009C3FC1" w:rsidP="00AC491A">
      <w:pPr>
        <w:rPr>
          <w:rFonts w:eastAsia="DengXian"/>
          <w:lang w:val="en-GB" w:eastAsia="ja-JP"/>
        </w:rPr>
      </w:pPr>
      <w:r w:rsidRPr="00380B40">
        <w:rPr>
          <w:rFonts w:eastAsia="DengXian"/>
          <w:lang w:val="en-GB" w:eastAsia="ja-JP"/>
        </w:rPr>
        <w:br w:type="page"/>
      </w:r>
    </w:p>
    <w:p w14:paraId="5EF99C6F" w14:textId="77777777" w:rsidR="00AC491A" w:rsidRPr="00380B40" w:rsidRDefault="00AC491A" w:rsidP="00AC491A">
      <w:pPr>
        <w:rPr>
          <w:rFonts w:eastAsia="DengXian"/>
          <w:lang w:val="en-GB" w:eastAsia="ja-JP"/>
        </w:rPr>
      </w:pPr>
      <w:r w:rsidRPr="00380B40">
        <w:rPr>
          <w:rFonts w:eastAsia="DengXian"/>
          <w:lang w:val="en-GB" w:eastAsia="ja-JP"/>
        </w:rPr>
        <w:t>In addition, Study Group 11 will study a way to implement a testing laboratory recognition procedure in ITU</w:t>
      </w:r>
      <w:r w:rsidRPr="00380B40">
        <w:rPr>
          <w:rFonts w:eastAsia="DengXian"/>
          <w:lang w:val="en-GB" w:eastAsia="ja-JP"/>
        </w:rPr>
        <w:noBreakHyphen/>
        <w:t>T through the work of the ITU</w:t>
      </w:r>
      <w:r w:rsidRPr="00380B40">
        <w:rPr>
          <w:rFonts w:eastAsia="DengXian"/>
          <w:lang w:val="en-GB" w:eastAsia="ja-JP"/>
        </w:rPr>
        <w:noBreakHyphen/>
        <w:t>T Conformity Assessment Steering Committee (CASC).</w:t>
      </w:r>
    </w:p>
    <w:p w14:paraId="28F342FD" w14:textId="77777777" w:rsidR="00AC491A" w:rsidRPr="00380B40" w:rsidRDefault="00AC491A" w:rsidP="00AC491A">
      <w:pPr>
        <w:pStyle w:val="Headingb"/>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12</w:t>
      </w:r>
    </w:p>
    <w:p w14:paraId="175DB6A2" w14:textId="77777777" w:rsidR="00AC491A" w:rsidRPr="00380B40" w:rsidRDefault="00AC491A" w:rsidP="00AC491A">
      <w:pPr>
        <w:pStyle w:val="Headingb"/>
        <w:rPr>
          <w:lang w:val="en-GB"/>
        </w:rPr>
      </w:pPr>
      <w:r w:rsidRPr="00380B40">
        <w:rPr>
          <w:lang w:val="en-GB"/>
        </w:rPr>
        <w:t>Performance, quality of service and quality of experience</w:t>
      </w:r>
    </w:p>
    <w:p w14:paraId="01342CB6" w14:textId="77777777" w:rsidR="00AC491A" w:rsidRPr="00380B40" w:rsidRDefault="00AC491A" w:rsidP="00AC491A">
      <w:pPr>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12 is responsible for Recommendations on performance, quality of service (QoS) and quality of experience (QoE) for the full spectrum of terminals, networks, services and applications ranging from speech over fixed circuit-based networks to multimedia applications over networks that are mobile and packet based. Included in this scope are the operational aspects of performance, QoS and QoE; the end-to-end quality aspects of interoperability; and the development of multimedia quality assessment methodologies, both subjective and objective.</w:t>
      </w:r>
    </w:p>
    <w:p w14:paraId="49A3FD03" w14:textId="77777777" w:rsidR="00AC491A" w:rsidRPr="00380B40" w:rsidRDefault="00AC491A" w:rsidP="00AC491A">
      <w:pPr>
        <w:pStyle w:val="Headingb"/>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13</w:t>
      </w:r>
    </w:p>
    <w:p w14:paraId="332E2D17" w14:textId="77777777" w:rsidR="00AC491A" w:rsidRPr="00380B40" w:rsidRDefault="00AC491A" w:rsidP="00AC491A">
      <w:pPr>
        <w:pStyle w:val="Headingb"/>
        <w:rPr>
          <w:lang w:val="en-GB"/>
        </w:rPr>
      </w:pPr>
      <w:r w:rsidRPr="00380B40">
        <w:rPr>
          <w:lang w:val="en-GB"/>
        </w:rPr>
        <w:t xml:space="preserve">Future networks and emerging network technologies </w:t>
      </w:r>
    </w:p>
    <w:p w14:paraId="0D8497DC"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ITU</w:t>
      </w:r>
      <w:r w:rsidRPr="00380B40">
        <w:rPr>
          <w:rFonts w:eastAsia="DengXian"/>
          <w:szCs w:val="24"/>
          <w:lang w:val="en-GB" w:eastAsia="ja-JP"/>
        </w:rPr>
        <w:noBreakHyphen/>
        <w:t>T Study Group 13 is responsible for studies relating to the requirements, architectures, capabilities and application programming interfaces (APIs) as well as softwarization and orchestration aspects of converged future networks (FN), including the application of machine learning technologies. It develops standards related to information-centric networking (ICN) and content-centric networking (CCN). Regarding IMT-2020 and beyond, it particularly focuses on non-radio related parts. Study Group 13's responsibility also includes IMT</w:t>
      </w:r>
      <w:r w:rsidR="00667039" w:rsidRPr="00380B40">
        <w:rPr>
          <w:rFonts w:eastAsia="DengXian"/>
          <w:szCs w:val="24"/>
          <w:lang w:val="en-GB" w:eastAsia="ja-JP"/>
        </w:rPr>
        <w:noBreakHyphen/>
      </w:r>
      <w:r w:rsidRPr="00380B40">
        <w:rPr>
          <w:rFonts w:eastAsia="DengXian"/>
          <w:szCs w:val="24"/>
          <w:lang w:val="en-GB" w:eastAsia="ja-JP"/>
        </w:rPr>
        <w:t>2020 and beyond project management coordination across all ITU</w:t>
      </w:r>
      <w:r w:rsidRPr="00380B40">
        <w:rPr>
          <w:rFonts w:eastAsia="DengXian"/>
          <w:szCs w:val="24"/>
          <w:lang w:val="en-GB" w:eastAsia="ja-JP"/>
        </w:rPr>
        <w:noBreakHyphen/>
        <w:t>T study groups, and release planning.</w:t>
      </w:r>
    </w:p>
    <w:p w14:paraId="32C297DB" w14:textId="77777777" w:rsidR="00AC491A" w:rsidRPr="00380B40" w:rsidRDefault="00AC491A" w:rsidP="00AC491A">
      <w:pPr>
        <w:rPr>
          <w:rFonts w:eastAsia="DengXian"/>
          <w:lang w:val="en-GB" w:eastAsia="ja-JP"/>
        </w:rPr>
      </w:pPr>
      <w:r w:rsidRPr="00380B40">
        <w:rPr>
          <w:rFonts w:eastAsia="DengXian"/>
          <w:lang w:val="en-GB" w:eastAsia="ja-JP"/>
        </w:rPr>
        <w:t>It is also responsible for studies relating to future computing, including cloud computing and data handling in telecommunication networks. This covers capabilities and technologies from the network side to support data utilization, exchange, sharing, and data quality assessment and computing-aware networking, as well as end-to-end awareness, control and management of future computing, including cloud, cloud security and data handling.</w:t>
      </w:r>
    </w:p>
    <w:p w14:paraId="6E488A97"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Study Group 13 studies aspects relating to fixed, mobile and satellite convergence for multi-access networks, mobility management, and enhancements to existing ITU</w:t>
      </w:r>
      <w:r w:rsidRPr="00380B40">
        <w:rPr>
          <w:rFonts w:eastAsia="DengXian"/>
          <w:szCs w:val="24"/>
          <w:lang w:val="en-GB" w:eastAsia="ja-JP"/>
        </w:rPr>
        <w:noBreakHyphen/>
        <w:t>T Recommendations on mobile communications, including the energy-saving aspects. It develops standards for quantum key distribution networks (QKDN) and related technologies. It further studies the concepts and mechanisms to enable trusted ICT, including framework, requirements, capabilities, architectures and implementation scenarios of trusted network infrastructures and trusted cloud solutions in coordination with all study groups concerned.</w:t>
      </w:r>
    </w:p>
    <w:p w14:paraId="6FF9C17B" w14:textId="77777777" w:rsidR="009C3FC1" w:rsidRPr="00380B40" w:rsidRDefault="009C3FC1"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br w:type="page"/>
      </w:r>
    </w:p>
    <w:p w14:paraId="5B808AFC" w14:textId="77777777" w:rsidR="00AC491A" w:rsidRPr="00380B40" w:rsidRDefault="00AC491A" w:rsidP="00AC491A">
      <w:pPr>
        <w:pStyle w:val="Headingb"/>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15</w:t>
      </w:r>
    </w:p>
    <w:p w14:paraId="6D60D6C3" w14:textId="77777777" w:rsidR="00AC491A" w:rsidRPr="00380B40" w:rsidRDefault="00AC491A" w:rsidP="00AC491A">
      <w:pPr>
        <w:pStyle w:val="Headingb"/>
        <w:rPr>
          <w:lang w:val="en-GB"/>
        </w:rPr>
      </w:pPr>
      <w:r w:rsidRPr="00380B40">
        <w:rPr>
          <w:lang w:val="en-GB"/>
        </w:rPr>
        <w:t>Networks, technologies and infrastructures for transport, access and home</w:t>
      </w:r>
    </w:p>
    <w:p w14:paraId="371BE24A"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ITU</w:t>
      </w:r>
      <w:r w:rsidRPr="00380B40">
        <w:rPr>
          <w:rFonts w:eastAsia="DengXian"/>
          <w:szCs w:val="24"/>
          <w:lang w:val="en-GB" w:eastAsia="ja-JP"/>
        </w:rPr>
        <w:noBreakHyphen/>
        <w:t>T Study Group 15 is responsible in ITU</w:t>
      </w:r>
      <w:r w:rsidRPr="00380B40">
        <w:rPr>
          <w:rFonts w:eastAsia="DengXian"/>
          <w:szCs w:val="24"/>
          <w:lang w:val="en-GB" w:eastAsia="ja-JP"/>
        </w:rPr>
        <w:noBreakHyphen/>
        <w:t>T for the development of standards for the optical transport network, access network, home network and power utility network infrastructures, systems, equipment, optical fibres and cables. This includes related installation, maintenance, management, test, instrumentation and measurement techniques, and control plane technologies to enable the evolution toward intelligent transport networks, including the support of smart-grid applications.</w:t>
      </w:r>
    </w:p>
    <w:p w14:paraId="43C4F6A4" w14:textId="77777777" w:rsidR="00AC491A" w:rsidRPr="00380B40" w:rsidRDefault="00AC491A" w:rsidP="00AC491A">
      <w:pPr>
        <w:pStyle w:val="Headingb"/>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16</w:t>
      </w:r>
    </w:p>
    <w:p w14:paraId="7636CF89" w14:textId="77777777" w:rsidR="00AC491A" w:rsidRPr="00380B40" w:rsidRDefault="00AC491A" w:rsidP="00AC491A">
      <w:pPr>
        <w:pStyle w:val="Headingb"/>
        <w:rPr>
          <w:lang w:val="en-GB"/>
        </w:rPr>
      </w:pPr>
      <w:r w:rsidRPr="00380B40">
        <w:rPr>
          <w:lang w:val="en-GB"/>
        </w:rPr>
        <w:t>Multimedia and related digital technologies</w:t>
      </w:r>
    </w:p>
    <w:p w14:paraId="2FC4B26E"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ITU</w:t>
      </w:r>
      <w:r w:rsidRPr="00380B40">
        <w:rPr>
          <w:rFonts w:eastAsia="DengXian"/>
          <w:szCs w:val="24"/>
          <w:lang w:val="en-GB" w:eastAsia="ja-JP"/>
        </w:rPr>
        <w:noBreakHyphen/>
        <w:t xml:space="preserve">T Study Group 16 is responsible for studies relating to ubiquitous multimedia applications, multimedia capabilities, multimedia services and multimedia applications for existing and future networks. </w:t>
      </w:r>
    </w:p>
    <w:p w14:paraId="27FE02F3"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This encompasses ICTs for multimedia systems, applications, terminals and delivery platforms; accessibility for digital inclusion; ICTs for active assisted living; human interfaces; multimedia aspects of distributed ledger technologies; media and signal coding and systems; and digital multimedia services in various verticals (health, culture, mobility, etc.).</w:t>
      </w:r>
    </w:p>
    <w:p w14:paraId="56C3E7B6" w14:textId="77777777" w:rsidR="00AC491A" w:rsidRPr="00380B40" w:rsidRDefault="00AC491A" w:rsidP="00AC491A">
      <w:pPr>
        <w:pStyle w:val="Note"/>
        <w:rPr>
          <w:lang w:val="en-GB"/>
        </w:rPr>
      </w:pPr>
      <w:r w:rsidRPr="00380B40">
        <w:rPr>
          <w:lang w:val="en-GB"/>
        </w:rPr>
        <w:t>NOTE – When ITU-T Study Group 16 was created in 1996, one of its mandates was to continue ITU-T Study Group 1's studies on multimedia services. Accordingly, reference to "services" in the context of Study Group 16's mandate is to be understood as "multimedia services".</w:t>
      </w:r>
    </w:p>
    <w:p w14:paraId="349D1D3D" w14:textId="77777777" w:rsidR="00AC491A" w:rsidRPr="00380B40" w:rsidRDefault="00AC491A" w:rsidP="00AC491A">
      <w:pPr>
        <w:pStyle w:val="Headingb"/>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17</w:t>
      </w:r>
    </w:p>
    <w:p w14:paraId="0A778B20" w14:textId="77777777" w:rsidR="00AC491A" w:rsidRPr="00380B40" w:rsidRDefault="00AC491A" w:rsidP="00AC491A">
      <w:pPr>
        <w:pStyle w:val="Headingb"/>
        <w:rPr>
          <w:lang w:val="en-GB"/>
        </w:rPr>
      </w:pPr>
      <w:r w:rsidRPr="00380B40">
        <w:rPr>
          <w:lang w:val="en-GB"/>
        </w:rPr>
        <w:t>Security</w:t>
      </w:r>
    </w:p>
    <w:p w14:paraId="2720F590"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ITU</w:t>
      </w:r>
      <w:r w:rsidRPr="00380B40">
        <w:rPr>
          <w:rFonts w:eastAsia="DengXian"/>
          <w:szCs w:val="24"/>
          <w:lang w:val="en-GB" w:eastAsia="ja-JP"/>
        </w:rPr>
        <w:noBreakHyphen/>
        <w:t>T Study Group 17 is responsible for building confidence and security in the use of ICTs.</w:t>
      </w:r>
    </w:p>
    <w:p w14:paraId="36794BDC" w14:textId="77777777" w:rsidR="00AC491A" w:rsidRPr="00380B40" w:rsidRDefault="00AC491A" w:rsidP="00AC491A">
      <w:pPr>
        <w:rPr>
          <w:rFonts w:eastAsia="DengXian"/>
          <w:lang w:val="en-GB" w:eastAsia="ja-JP"/>
        </w:rPr>
      </w:pPr>
      <w:r w:rsidRPr="00380B40">
        <w:rPr>
          <w:rFonts w:eastAsia="DengXian"/>
          <w:lang w:val="en-GB" w:eastAsia="ja-JP"/>
        </w:rPr>
        <w:t>Providing security by ICTs and ensuring security for ICTs are both major study areas for Study Group 17. This includes studies relating to cybersecurity, managed security services, endpoint detection and response, security management, countering spam and identity management. It also includes security architecture and framework, quantum-based security, distributed ledger technology (DLT) security, intelligent transport system (ITS) security, security aspects related to artificial intelligence (AI), and security of networks, applications and services such as Internet of things (IoT) and smart cities, various kinds of networks including IMT-2020/5G and beyond, smart grid, industrial control systems (ICS), supply chain, smartphone, software</w:t>
      </w:r>
      <w:r w:rsidRPr="00380B40">
        <w:rPr>
          <w:rFonts w:eastAsia="DengXian"/>
          <w:lang w:val="en-GB" w:eastAsia="ja-JP"/>
        </w:rPr>
        <w:noBreakHyphen/>
        <w:t>defined networking (SDN), network function virtualization (NFV), Internet Protocol television (IPTV), web services, over-the-top (OTT), social network, cloud computing, big data analytics, digital financial system (DFS) and telebiometrics.</w:t>
      </w:r>
    </w:p>
    <w:p w14:paraId="666019C0"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Building confidence and security in the use of ICTs also includes protecting personally identifiable information (PII), such as technical and operational aspects of data protection with respect to ensuring confidentiality, integrity and availability of PII.</w:t>
      </w:r>
    </w:p>
    <w:p w14:paraId="0FC8CAFF" w14:textId="77777777" w:rsidR="009C3FC1" w:rsidRPr="00380B40" w:rsidRDefault="009C3FC1" w:rsidP="00AC491A">
      <w:pPr>
        <w:rPr>
          <w:rFonts w:eastAsia="DengXian"/>
          <w:lang w:val="en-GB" w:eastAsia="ja-JP"/>
        </w:rPr>
      </w:pPr>
      <w:r w:rsidRPr="00380B40">
        <w:rPr>
          <w:rFonts w:eastAsia="DengXian"/>
          <w:lang w:val="en-GB" w:eastAsia="ja-JP"/>
        </w:rPr>
        <w:br w:type="page"/>
      </w:r>
    </w:p>
    <w:p w14:paraId="25204FDC" w14:textId="77777777" w:rsidR="00AC491A" w:rsidRPr="00380B40" w:rsidRDefault="00AC491A" w:rsidP="00AC491A">
      <w:pPr>
        <w:rPr>
          <w:rFonts w:eastAsia="DengXian"/>
          <w:lang w:val="en-GB" w:eastAsia="ja-JP"/>
        </w:rPr>
      </w:pPr>
      <w:r w:rsidRPr="00380B40">
        <w:rPr>
          <w:rFonts w:eastAsia="DengXian"/>
          <w:lang w:val="en-GB" w:eastAsia="ja-JP"/>
        </w:rPr>
        <w:t>Study Group 17 is also responsible for the application of open system communications, including directory and object identifiers, and for technical languages, the method for their usage and other issues related to the software aspects of telecommunication systems, and for test specification languages in support of conformance testing to improve the quality of Recommendations.</w:t>
      </w:r>
    </w:p>
    <w:p w14:paraId="63A47FBD" w14:textId="77777777" w:rsidR="00AC491A" w:rsidRPr="00380B40" w:rsidRDefault="00AC491A" w:rsidP="00AC491A">
      <w:pPr>
        <w:pStyle w:val="Headingb"/>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20</w:t>
      </w:r>
    </w:p>
    <w:p w14:paraId="38C5672D" w14:textId="77777777" w:rsidR="00AC491A" w:rsidRPr="00380B40" w:rsidRDefault="00AC491A" w:rsidP="00AC491A">
      <w:pPr>
        <w:pStyle w:val="Headingb"/>
        <w:rPr>
          <w:lang w:val="en-GB"/>
        </w:rPr>
      </w:pPr>
      <w:r w:rsidRPr="00380B40">
        <w:rPr>
          <w:lang w:val="en-GB"/>
        </w:rPr>
        <w:t>Internet of Things and smart cities and communities</w:t>
      </w:r>
    </w:p>
    <w:p w14:paraId="08140A4F" w14:textId="77777777" w:rsidR="00AC491A" w:rsidRPr="00380B40" w:rsidRDefault="00AC491A" w:rsidP="00AC491A">
      <w:pPr>
        <w:rPr>
          <w:rFonts w:eastAsia="DengXian"/>
          <w:lang w:val="en-GB" w:eastAsia="ja-JP"/>
        </w:rPr>
      </w:pPr>
      <w:r w:rsidRPr="00380B40">
        <w:rPr>
          <w:rFonts w:eastAsia="DengXian"/>
          <w:lang w:val="en-GB" w:eastAsia="ja-JP"/>
        </w:rPr>
        <w:t xml:space="preserve">Study Group 20 is responsible for studies relating to Internet of Things (IoT) and its applications, </w:t>
      </w:r>
      <w:r w:rsidRPr="00380B40">
        <w:rPr>
          <w:rFonts w:eastAsia="DengXian"/>
          <w:lang w:val="en-GB" w:eastAsia="zh-CN"/>
        </w:rPr>
        <w:t>and smart cities and communities (SC&amp;C).</w:t>
      </w:r>
      <w:r w:rsidRPr="00380B40">
        <w:rPr>
          <w:rFonts w:eastAsia="DengXian"/>
          <w:lang w:val="en-GB" w:eastAsia="ja-JP"/>
        </w:rPr>
        <w:t xml:space="preserve"> This includes studies relating to </w:t>
      </w:r>
      <w:r w:rsidRPr="00380B40">
        <w:rPr>
          <w:rFonts w:eastAsia="DengXian"/>
          <w:color w:val="000000"/>
          <w:lang w:val="en-GB" w:eastAsia="ja-JP"/>
        </w:rPr>
        <w:t xml:space="preserve">big data aspects of IoT and SC&amp;C, </w:t>
      </w:r>
      <w:r w:rsidRPr="00380B40">
        <w:rPr>
          <w:rFonts w:eastAsia="DengXian"/>
          <w:lang w:val="en-GB" w:eastAsia="ja-JP"/>
        </w:rPr>
        <w:t>digital services for SC&amp;C, and digital transformation relevant IoT and SC&amp;C aspects.</w:t>
      </w:r>
    </w:p>
    <w:p w14:paraId="03DC2DD4" w14:textId="77777777" w:rsidR="00AC491A" w:rsidRPr="00380B40" w:rsidRDefault="00AC491A" w:rsidP="00AC491A">
      <w:pPr>
        <w:pStyle w:val="PartNo"/>
        <w:rPr>
          <w:rFonts w:eastAsia="DengXian"/>
          <w:lang w:val="en-GB"/>
        </w:rPr>
      </w:pPr>
      <w:r w:rsidRPr="00380B40">
        <w:rPr>
          <w:rFonts w:eastAsia="DengXian"/>
          <w:lang w:val="en-GB"/>
        </w:rPr>
        <w:t>Part 2 – Lead ITU</w:t>
      </w:r>
      <w:r w:rsidRPr="00380B40">
        <w:rPr>
          <w:rFonts w:eastAsia="DengXian"/>
          <w:lang w:val="en-GB"/>
        </w:rPr>
        <w:noBreakHyphen/>
        <w:t>T study groups in specific areas of study</w:t>
      </w:r>
    </w:p>
    <w:tbl>
      <w:tblPr>
        <w:tblW w:w="5003" w:type="pct"/>
        <w:tblLayout w:type="fixed"/>
        <w:tblLook w:val="0000" w:firstRow="0" w:lastRow="0" w:firstColumn="0" w:lastColumn="0" w:noHBand="0" w:noVBand="0"/>
      </w:tblPr>
      <w:tblGrid>
        <w:gridCol w:w="991"/>
        <w:gridCol w:w="8654"/>
      </w:tblGrid>
      <w:tr w:rsidR="00F91908" w:rsidRPr="004E0F36" w14:paraId="39A324F1" w14:textId="77777777" w:rsidTr="009A2D3B">
        <w:tc>
          <w:tcPr>
            <w:tcW w:w="990" w:type="dxa"/>
            <w:shd w:val="clear" w:color="auto" w:fill="auto"/>
          </w:tcPr>
          <w:p w14:paraId="30D6C92D" w14:textId="77777777" w:rsidR="00F91908" w:rsidRPr="00380B40" w:rsidRDefault="00F91908" w:rsidP="00F91908">
            <w:pPr>
              <w:rPr>
                <w:rFonts w:eastAsia="DengXian"/>
                <w:lang w:val="en-GB"/>
              </w:rPr>
            </w:pPr>
            <w:r w:rsidRPr="00380B40">
              <w:rPr>
                <w:rFonts w:eastAsia="DengXian"/>
                <w:lang w:val="en-GB" w:eastAsia="ja-JP"/>
              </w:rPr>
              <w:t>SG2</w:t>
            </w:r>
          </w:p>
        </w:tc>
        <w:tc>
          <w:tcPr>
            <w:tcW w:w="8649" w:type="dxa"/>
            <w:shd w:val="clear" w:color="auto" w:fill="auto"/>
          </w:tcPr>
          <w:p w14:paraId="3AF08ECD" w14:textId="77777777" w:rsidR="00F91908" w:rsidRPr="00380B40" w:rsidRDefault="00F91908" w:rsidP="00F91908">
            <w:pPr>
              <w:jc w:val="left"/>
              <w:rPr>
                <w:rFonts w:eastAsia="DengXian"/>
                <w:lang w:val="en-GB"/>
              </w:rPr>
            </w:pPr>
            <w:r w:rsidRPr="00380B40">
              <w:rPr>
                <w:rFonts w:eastAsia="DengXian"/>
                <w:lang w:val="en-GB" w:eastAsia="ja-JP"/>
              </w:rPr>
              <w:t>Lead study group on numbering, naming, addressing and identification</w:t>
            </w:r>
            <w:r w:rsidRPr="00380B40">
              <w:rPr>
                <w:rFonts w:eastAsia="DengXian"/>
                <w:lang w:val="en-GB" w:eastAsia="ja-JP"/>
              </w:rPr>
              <w:br/>
              <w:t>Lead study group on administration of global numbering, naming, addressing and identification resources</w:t>
            </w:r>
            <w:r w:rsidRPr="00380B40">
              <w:rPr>
                <w:rFonts w:eastAsia="DengXian"/>
                <w:lang w:val="en-GB" w:eastAsia="ja-JP"/>
              </w:rPr>
              <w:br/>
              <w:t>Lead study group on routing and interworking</w:t>
            </w:r>
            <w:r w:rsidRPr="00380B40">
              <w:rPr>
                <w:rFonts w:eastAsia="DengXian"/>
                <w:lang w:val="en-GB" w:eastAsia="ja-JP"/>
              </w:rPr>
              <w:br/>
              <w:t>Lead study group on number portability and carrier switching</w:t>
            </w:r>
            <w:r w:rsidRPr="00380B40">
              <w:rPr>
                <w:rFonts w:eastAsia="DengXian"/>
                <w:lang w:val="en-GB" w:eastAsia="ja-JP"/>
              </w:rPr>
              <w:br/>
              <w:t>Lead study group on telecommunication/ICT capabilities and applications</w:t>
            </w:r>
            <w:r w:rsidRPr="00380B40">
              <w:rPr>
                <w:rFonts w:eastAsia="DengXian"/>
                <w:lang w:val="en-GB" w:eastAsia="ja-JP"/>
              </w:rPr>
              <w:br/>
              <w:t>Lead study group on telecommunication/ICT service definition</w:t>
            </w:r>
            <w:r w:rsidRPr="00380B40">
              <w:rPr>
                <w:rFonts w:eastAsia="DengXian"/>
                <w:lang w:val="en-GB" w:eastAsia="ja-JP"/>
              </w:rPr>
              <w:br/>
              <w:t>Lead study group on telecommunications for disaster relief/early warning, network resilience and recovery</w:t>
            </w:r>
            <w:r w:rsidRPr="00380B40">
              <w:rPr>
                <w:rFonts w:eastAsia="DengXian"/>
                <w:lang w:val="en-GB" w:eastAsia="ja-JP"/>
              </w:rPr>
              <w:br/>
              <w:t>Lead study group on telecommunication management</w:t>
            </w:r>
          </w:p>
        </w:tc>
      </w:tr>
      <w:tr w:rsidR="00F91908" w:rsidRPr="004E0F36" w14:paraId="53616C0A" w14:textId="77777777" w:rsidTr="009A2D3B">
        <w:tc>
          <w:tcPr>
            <w:tcW w:w="990" w:type="dxa"/>
            <w:shd w:val="clear" w:color="auto" w:fill="auto"/>
          </w:tcPr>
          <w:p w14:paraId="42CCFC8E" w14:textId="77777777" w:rsidR="00F91908" w:rsidRPr="00380B40" w:rsidRDefault="00F91908" w:rsidP="00F91908">
            <w:pPr>
              <w:rPr>
                <w:rFonts w:eastAsia="DengXian"/>
                <w:lang w:val="en-GB"/>
              </w:rPr>
            </w:pPr>
            <w:r w:rsidRPr="00380B40">
              <w:rPr>
                <w:rFonts w:eastAsia="DengXian"/>
                <w:lang w:val="en-GB" w:eastAsia="ja-JP"/>
              </w:rPr>
              <w:t>SG3</w:t>
            </w:r>
          </w:p>
        </w:tc>
        <w:tc>
          <w:tcPr>
            <w:tcW w:w="8649" w:type="dxa"/>
            <w:shd w:val="clear" w:color="auto" w:fill="auto"/>
          </w:tcPr>
          <w:p w14:paraId="4D01A69B" w14:textId="77777777" w:rsidR="00F91908" w:rsidRPr="00380B40" w:rsidRDefault="00F91908" w:rsidP="00F91908">
            <w:pPr>
              <w:jc w:val="left"/>
              <w:rPr>
                <w:rFonts w:eastAsia="DengXian"/>
                <w:lang w:val="en-GB"/>
              </w:rPr>
            </w:pPr>
            <w:r w:rsidRPr="00380B40">
              <w:rPr>
                <w:rFonts w:eastAsia="DengXian"/>
                <w:lang w:val="en-GB" w:eastAsia="ja-JP"/>
              </w:rPr>
              <w:t>Lead study group on tariff and accounting principles relating to international telecommunications/ICT</w:t>
            </w:r>
            <w:r w:rsidRPr="00380B40">
              <w:rPr>
                <w:rFonts w:eastAsia="DengXian"/>
                <w:lang w:val="en-GB" w:eastAsia="ja-JP"/>
              </w:rPr>
              <w:br/>
              <w:t>Lead study group on economic issues relating to international telecommunications/ICT</w:t>
            </w:r>
            <w:r w:rsidRPr="00380B40">
              <w:rPr>
                <w:rFonts w:eastAsia="DengXian"/>
                <w:lang w:val="en-GB" w:eastAsia="ja-JP"/>
              </w:rPr>
              <w:br/>
              <w:t>Lead study group on policy issues relating to international telecommunications/ICT</w:t>
            </w:r>
          </w:p>
        </w:tc>
      </w:tr>
      <w:tr w:rsidR="009C3FC1" w:rsidRPr="004E0F36" w14:paraId="6C6D311B" w14:textId="77777777" w:rsidTr="009A2D3B">
        <w:tc>
          <w:tcPr>
            <w:tcW w:w="990" w:type="dxa"/>
            <w:shd w:val="clear" w:color="auto" w:fill="auto"/>
          </w:tcPr>
          <w:p w14:paraId="5B7A8C67" w14:textId="77777777" w:rsidR="009C3FC1" w:rsidRPr="00380B40" w:rsidRDefault="009C3FC1" w:rsidP="004E4CA9">
            <w:pPr>
              <w:rPr>
                <w:rFonts w:eastAsia="DengXian"/>
                <w:lang w:val="en-GB" w:eastAsia="ja-JP"/>
              </w:rPr>
            </w:pPr>
            <w:r w:rsidRPr="00380B40">
              <w:rPr>
                <w:rFonts w:eastAsia="DengXian"/>
                <w:lang w:val="en-GB" w:eastAsia="ja-JP"/>
              </w:rPr>
              <w:t>SG5</w:t>
            </w:r>
          </w:p>
        </w:tc>
        <w:tc>
          <w:tcPr>
            <w:tcW w:w="8649" w:type="dxa"/>
            <w:shd w:val="clear" w:color="auto" w:fill="auto"/>
          </w:tcPr>
          <w:p w14:paraId="07694448" w14:textId="77777777" w:rsidR="009C3FC1" w:rsidRPr="00380B40" w:rsidRDefault="009C3FC1" w:rsidP="004E4CA9">
            <w:pPr>
              <w:jc w:val="left"/>
              <w:rPr>
                <w:rFonts w:eastAsia="DengXian"/>
                <w:lang w:val="en-GB" w:eastAsia="ja-JP"/>
              </w:rPr>
            </w:pPr>
            <w:r w:rsidRPr="00380B40">
              <w:rPr>
                <w:rFonts w:eastAsia="DengXian"/>
                <w:lang w:val="en-GB" w:eastAsia="ja-JP"/>
              </w:rPr>
              <w:t>Lead study group on electromagnetic compatibility, resistibility and lightning protection</w:t>
            </w:r>
            <w:r w:rsidRPr="00380B40">
              <w:rPr>
                <w:rFonts w:eastAsia="DengXian"/>
                <w:lang w:val="en-GB" w:eastAsia="ja-JP"/>
              </w:rPr>
              <w:br/>
              <w:t>Lead study group on soft error caused by particle radiations</w:t>
            </w:r>
            <w:r w:rsidRPr="00380B40">
              <w:rPr>
                <w:rFonts w:eastAsia="DengXian"/>
                <w:lang w:val="en-GB" w:eastAsia="ja-JP"/>
              </w:rPr>
              <w:br/>
              <w:t>Lead study group on human exposure to electromagnetic fields</w:t>
            </w:r>
            <w:r w:rsidRPr="00380B40">
              <w:rPr>
                <w:rFonts w:eastAsia="DengXian"/>
                <w:lang w:val="en-GB" w:eastAsia="ja-JP"/>
              </w:rPr>
              <w:br/>
              <w:t>Lead study group on circular economy and e</w:t>
            </w:r>
            <w:r w:rsidRPr="00380B40">
              <w:rPr>
                <w:rFonts w:eastAsia="DengXian"/>
                <w:lang w:val="en-GB" w:eastAsia="ja-JP"/>
              </w:rPr>
              <w:noBreakHyphen/>
              <w:t>waste management</w:t>
            </w:r>
            <w:r w:rsidRPr="00380B40">
              <w:rPr>
                <w:rFonts w:eastAsia="DengXian"/>
                <w:lang w:val="en-GB" w:eastAsia="ja-JP"/>
              </w:rPr>
              <w:br/>
              <w:t>Lead study group on ICTs related to the environment, energy efficiency, clean energy and sustainable digitalization for climate actions</w:t>
            </w:r>
          </w:p>
        </w:tc>
      </w:tr>
      <w:tr w:rsidR="009C3FC1" w:rsidRPr="004E0F36" w14:paraId="2C887238" w14:textId="77777777" w:rsidTr="009A2D3B">
        <w:tc>
          <w:tcPr>
            <w:tcW w:w="990" w:type="dxa"/>
            <w:shd w:val="clear" w:color="auto" w:fill="auto"/>
          </w:tcPr>
          <w:p w14:paraId="3401C66E" w14:textId="77777777" w:rsidR="009C3FC1" w:rsidRPr="00380B40" w:rsidRDefault="009C3FC1" w:rsidP="004E4CA9">
            <w:pPr>
              <w:rPr>
                <w:rFonts w:eastAsia="DengXian"/>
                <w:lang w:val="en-GB" w:eastAsia="ja-JP"/>
              </w:rPr>
            </w:pPr>
            <w:r w:rsidRPr="00380B40">
              <w:rPr>
                <w:rFonts w:eastAsia="DengXian"/>
                <w:lang w:val="en-GB" w:eastAsia="ja-JP"/>
              </w:rPr>
              <w:t>SG9</w:t>
            </w:r>
          </w:p>
        </w:tc>
        <w:tc>
          <w:tcPr>
            <w:tcW w:w="8649" w:type="dxa"/>
            <w:shd w:val="clear" w:color="auto" w:fill="auto"/>
          </w:tcPr>
          <w:p w14:paraId="432639E9" w14:textId="77777777" w:rsidR="009C3FC1" w:rsidRPr="00380B40" w:rsidRDefault="009C3FC1" w:rsidP="004E4CA9">
            <w:pPr>
              <w:jc w:val="left"/>
              <w:rPr>
                <w:rFonts w:eastAsia="DengXian"/>
                <w:lang w:val="en-GB" w:eastAsia="ja-JP"/>
              </w:rPr>
            </w:pPr>
            <w:r w:rsidRPr="00380B40">
              <w:rPr>
                <w:rFonts w:eastAsia="DengXian"/>
                <w:lang w:val="en-GB" w:eastAsia="ja-JP"/>
              </w:rPr>
              <w:t>Lead study group on integrated broadband cable networks</w:t>
            </w:r>
            <w:r w:rsidRPr="00380B40">
              <w:rPr>
                <w:rFonts w:eastAsia="DengXian"/>
                <w:lang w:val="en-GB" w:eastAsia="ja-JP"/>
              </w:rPr>
              <w:br/>
              <w:t>Lead study group on audiovisual content delivery over cable networks</w:t>
            </w:r>
          </w:p>
        </w:tc>
      </w:tr>
    </w:tbl>
    <w:p w14:paraId="09928844" w14:textId="77777777" w:rsidR="00795C53" w:rsidRPr="00380B40" w:rsidRDefault="00795C53" w:rsidP="00F91908">
      <w:pPr>
        <w:pStyle w:val="enumlev1"/>
        <w:jc w:val="left"/>
        <w:rPr>
          <w:rFonts w:eastAsia="DengXian"/>
          <w:lang w:val="en-GB" w:eastAsia="ja-JP"/>
        </w:rPr>
      </w:pPr>
    </w:p>
    <w:p w14:paraId="55825BD6" w14:textId="77777777" w:rsidR="00795C53" w:rsidRPr="00380B40" w:rsidRDefault="00795C53" w:rsidP="00F91908">
      <w:pPr>
        <w:pStyle w:val="enumlev1"/>
        <w:jc w:val="left"/>
        <w:rPr>
          <w:rFonts w:eastAsia="DengXian"/>
          <w:lang w:val="en-GB" w:eastAsia="ja-JP"/>
        </w:rPr>
      </w:pPr>
    </w:p>
    <w:p w14:paraId="050A175C" w14:textId="77777777" w:rsidR="00795C53" w:rsidRPr="00380B40" w:rsidRDefault="00795C53" w:rsidP="00F91908">
      <w:pPr>
        <w:pStyle w:val="enumlev1"/>
        <w:jc w:val="left"/>
        <w:rPr>
          <w:rFonts w:eastAsia="DengXian"/>
          <w:lang w:val="en-GB" w:eastAsia="ja-JP"/>
        </w:rPr>
      </w:pPr>
    </w:p>
    <w:p w14:paraId="6F2EC623" w14:textId="77777777" w:rsidR="00795C53" w:rsidRPr="00380B40" w:rsidRDefault="00795C53" w:rsidP="00F91908">
      <w:pPr>
        <w:pStyle w:val="enumlev1"/>
        <w:jc w:val="left"/>
        <w:rPr>
          <w:rFonts w:eastAsia="DengXian"/>
          <w:lang w:val="en-GB" w:eastAsia="ja-JP"/>
        </w:rPr>
      </w:pPr>
    </w:p>
    <w:p w14:paraId="707422E0" w14:textId="77777777" w:rsidR="008F7A95" w:rsidRPr="00380B40" w:rsidRDefault="008F7A95" w:rsidP="00795C53">
      <w:pPr>
        <w:rPr>
          <w:rFonts w:eastAsia="DengXian"/>
          <w:lang w:val="en-GB" w:eastAsia="ja-JP"/>
        </w:rPr>
      </w:pPr>
      <w:r w:rsidRPr="00380B40">
        <w:rPr>
          <w:rFonts w:eastAsia="DengXian"/>
          <w:lang w:val="en-GB" w:eastAsia="ja-JP"/>
        </w:rPr>
        <w:br w:type="page"/>
      </w:r>
    </w:p>
    <w:tbl>
      <w:tblPr>
        <w:tblW w:w="5003" w:type="pct"/>
        <w:tblLayout w:type="fixed"/>
        <w:tblLook w:val="0000" w:firstRow="0" w:lastRow="0" w:firstColumn="0" w:lastColumn="0" w:noHBand="0" w:noVBand="0"/>
      </w:tblPr>
      <w:tblGrid>
        <w:gridCol w:w="991"/>
        <w:gridCol w:w="8654"/>
      </w:tblGrid>
      <w:tr w:rsidR="00EE5BCC" w:rsidRPr="004E0F36" w14:paraId="099202C9" w14:textId="77777777" w:rsidTr="009A2D3B">
        <w:tc>
          <w:tcPr>
            <w:tcW w:w="990" w:type="dxa"/>
            <w:shd w:val="clear" w:color="auto" w:fill="auto"/>
          </w:tcPr>
          <w:p w14:paraId="326AD673" w14:textId="77777777" w:rsidR="00EE5BCC" w:rsidRPr="00380B40" w:rsidRDefault="00EE5BCC" w:rsidP="004E4CA9">
            <w:pPr>
              <w:rPr>
                <w:rFonts w:eastAsia="DengXian"/>
                <w:lang w:val="en-GB"/>
              </w:rPr>
            </w:pPr>
            <w:r w:rsidRPr="00380B40">
              <w:rPr>
                <w:rFonts w:eastAsia="DengXian"/>
                <w:lang w:val="en-GB" w:eastAsia="ja-JP"/>
              </w:rPr>
              <w:t>SG11</w:t>
            </w:r>
          </w:p>
        </w:tc>
        <w:tc>
          <w:tcPr>
            <w:tcW w:w="8649" w:type="dxa"/>
            <w:shd w:val="clear" w:color="auto" w:fill="auto"/>
          </w:tcPr>
          <w:p w14:paraId="47B1C2FB" w14:textId="77777777" w:rsidR="00EE5BCC" w:rsidRPr="00380B40" w:rsidRDefault="00EE5BCC" w:rsidP="004E4CA9">
            <w:pPr>
              <w:jc w:val="left"/>
              <w:rPr>
                <w:rFonts w:eastAsia="DengXian"/>
                <w:lang w:val="en-GB"/>
              </w:rPr>
            </w:pPr>
            <w:r w:rsidRPr="00380B40">
              <w:rPr>
                <w:rFonts w:eastAsia="DengXian"/>
                <w:lang w:val="en-GB" w:eastAsia="ja-JP"/>
              </w:rPr>
              <w:t>Lead study group on signalling and protocols</w:t>
            </w:r>
            <w:r w:rsidRPr="00380B40">
              <w:rPr>
                <w:rFonts w:eastAsia="DengXian"/>
                <w:lang w:val="en-GB" w:eastAsia="ja-JP"/>
              </w:rPr>
              <w:br/>
              <w:t>Lead study group on establishing test specifications, conformance and interoperability testing for all types of networks, technologies and services that are the subject of study and standardization by all ITU</w:t>
            </w:r>
            <w:r w:rsidRPr="00380B40">
              <w:rPr>
                <w:rFonts w:eastAsia="DengXian"/>
                <w:lang w:val="en-GB" w:eastAsia="ja-JP"/>
              </w:rPr>
              <w:noBreakHyphen/>
              <w:t>T study groups</w:t>
            </w:r>
            <w:r w:rsidRPr="00380B40">
              <w:rPr>
                <w:rFonts w:eastAsia="DengXian"/>
                <w:lang w:val="en-GB" w:eastAsia="ja-JP"/>
              </w:rPr>
              <w:br/>
              <w:t>Lead study group on combating counterfeiting of ICT devices</w:t>
            </w:r>
            <w:r w:rsidRPr="00380B40">
              <w:rPr>
                <w:rFonts w:eastAsia="DengXian"/>
                <w:lang w:val="en-GB" w:eastAsia="ja-JP"/>
              </w:rPr>
              <w:br/>
              <w:t>Lead study group on combating the use of stolen ICT devices</w:t>
            </w:r>
          </w:p>
        </w:tc>
      </w:tr>
      <w:tr w:rsidR="00EE5BCC" w:rsidRPr="004E0F36" w14:paraId="07EBE0C7" w14:textId="77777777" w:rsidTr="009A2D3B">
        <w:tc>
          <w:tcPr>
            <w:tcW w:w="990" w:type="dxa"/>
            <w:shd w:val="clear" w:color="auto" w:fill="auto"/>
          </w:tcPr>
          <w:p w14:paraId="41818634" w14:textId="77777777" w:rsidR="00EE5BCC" w:rsidRPr="00380B40" w:rsidRDefault="00EE5BCC" w:rsidP="004E4CA9">
            <w:pPr>
              <w:rPr>
                <w:rFonts w:eastAsia="DengXian"/>
                <w:lang w:val="en-GB"/>
              </w:rPr>
            </w:pPr>
            <w:r w:rsidRPr="00380B40">
              <w:rPr>
                <w:rFonts w:eastAsia="DengXian"/>
                <w:lang w:val="en-GB" w:eastAsia="ja-JP"/>
              </w:rPr>
              <w:t>SG12</w:t>
            </w:r>
          </w:p>
        </w:tc>
        <w:tc>
          <w:tcPr>
            <w:tcW w:w="8649" w:type="dxa"/>
            <w:shd w:val="clear" w:color="auto" w:fill="auto"/>
          </w:tcPr>
          <w:p w14:paraId="210640AD" w14:textId="77777777" w:rsidR="00EE5BCC" w:rsidRPr="00380B40" w:rsidRDefault="00EE5BCC" w:rsidP="004E4CA9">
            <w:pPr>
              <w:jc w:val="left"/>
              <w:rPr>
                <w:rFonts w:eastAsia="DengXian"/>
                <w:lang w:val="en-GB"/>
              </w:rPr>
            </w:pPr>
            <w:r w:rsidRPr="00380B40">
              <w:rPr>
                <w:rFonts w:eastAsia="DengXian"/>
                <w:lang w:val="en-GB" w:eastAsia="ja-JP"/>
              </w:rPr>
              <w:t>Lead study group on quality of service and quality of experience</w:t>
            </w:r>
            <w:r w:rsidRPr="00380B40">
              <w:rPr>
                <w:rFonts w:eastAsia="DengXian"/>
                <w:lang w:val="en-GB" w:eastAsia="ja-JP"/>
              </w:rPr>
              <w:br/>
              <w:t>Lead study group on driver distraction and voice aspects of car communications</w:t>
            </w:r>
            <w:r w:rsidRPr="00380B40">
              <w:rPr>
                <w:rFonts w:eastAsia="DengXian"/>
                <w:lang w:val="en-GB" w:eastAsia="ja-JP"/>
              </w:rPr>
              <w:br/>
              <w:t>Lead study group on quality assessment of video communications and applications</w:t>
            </w:r>
          </w:p>
        </w:tc>
      </w:tr>
      <w:tr w:rsidR="002343E9" w:rsidRPr="004E0F36" w14:paraId="213C5684" w14:textId="77777777" w:rsidTr="009A2D3B">
        <w:tc>
          <w:tcPr>
            <w:tcW w:w="990" w:type="dxa"/>
            <w:shd w:val="clear" w:color="auto" w:fill="auto"/>
          </w:tcPr>
          <w:p w14:paraId="7F1AE10B" w14:textId="77777777" w:rsidR="002343E9" w:rsidRPr="00380B40" w:rsidRDefault="002343E9" w:rsidP="004E4CA9">
            <w:pPr>
              <w:rPr>
                <w:rFonts w:eastAsia="DengXian"/>
                <w:lang w:val="en-GB"/>
              </w:rPr>
            </w:pPr>
            <w:r w:rsidRPr="00380B40">
              <w:rPr>
                <w:rFonts w:eastAsia="DengXian"/>
                <w:lang w:val="en-GB" w:eastAsia="ja-JP"/>
              </w:rPr>
              <w:t>SG13</w:t>
            </w:r>
          </w:p>
        </w:tc>
        <w:tc>
          <w:tcPr>
            <w:tcW w:w="8649" w:type="dxa"/>
            <w:shd w:val="clear" w:color="auto" w:fill="auto"/>
          </w:tcPr>
          <w:p w14:paraId="45387063" w14:textId="77777777" w:rsidR="002343E9" w:rsidRPr="00380B40" w:rsidRDefault="002343E9" w:rsidP="004E4CA9">
            <w:pPr>
              <w:jc w:val="left"/>
              <w:rPr>
                <w:rFonts w:eastAsia="DengXian"/>
                <w:lang w:val="en-GB"/>
              </w:rPr>
            </w:pPr>
            <w:r w:rsidRPr="00380B40">
              <w:rPr>
                <w:rFonts w:eastAsia="DengXian"/>
                <w:lang w:val="en-GB" w:eastAsia="ja-JP"/>
              </w:rPr>
              <w:t xml:space="preserve">Lead study group on future networks such as IMT-2020 networks and beyond (non-radio related parts) </w:t>
            </w:r>
            <w:r w:rsidRPr="00380B40">
              <w:rPr>
                <w:rFonts w:eastAsia="DengXian"/>
                <w:lang w:val="en-GB" w:eastAsia="ja-JP"/>
              </w:rPr>
              <w:br/>
              <w:t>Lead study group on fixed-mobile convergence</w:t>
            </w:r>
            <w:r w:rsidRPr="00380B40">
              <w:rPr>
                <w:rFonts w:eastAsia="DengXian"/>
                <w:lang w:val="en-GB" w:eastAsia="ja-JP"/>
              </w:rPr>
              <w:br/>
              <w:t xml:space="preserve">Lead study group on cloud computing </w:t>
            </w:r>
            <w:r w:rsidRPr="00380B40">
              <w:rPr>
                <w:rFonts w:eastAsia="DengXian"/>
                <w:lang w:val="en-GB" w:eastAsia="ja-JP"/>
              </w:rPr>
              <w:br/>
              <w:t>Lead study group on machine learning</w:t>
            </w:r>
          </w:p>
        </w:tc>
      </w:tr>
      <w:tr w:rsidR="00F91908" w:rsidRPr="004E0F36" w14:paraId="2D07317B" w14:textId="77777777" w:rsidTr="009A2D3B">
        <w:tc>
          <w:tcPr>
            <w:tcW w:w="990" w:type="dxa"/>
            <w:shd w:val="clear" w:color="auto" w:fill="auto"/>
          </w:tcPr>
          <w:p w14:paraId="22CFC38C" w14:textId="77777777" w:rsidR="00F91908" w:rsidRPr="00380B40" w:rsidRDefault="00F91908" w:rsidP="004E4CA9">
            <w:pPr>
              <w:rPr>
                <w:rFonts w:eastAsia="DengXian"/>
                <w:lang w:val="en-GB"/>
              </w:rPr>
            </w:pPr>
            <w:r w:rsidRPr="00380B40">
              <w:rPr>
                <w:rFonts w:eastAsia="DengXian"/>
                <w:lang w:val="en-GB" w:eastAsia="ja-JP"/>
              </w:rPr>
              <w:t>SG15</w:t>
            </w:r>
          </w:p>
        </w:tc>
        <w:tc>
          <w:tcPr>
            <w:tcW w:w="8649" w:type="dxa"/>
            <w:shd w:val="clear" w:color="auto" w:fill="auto"/>
          </w:tcPr>
          <w:p w14:paraId="178D912D" w14:textId="77777777" w:rsidR="00F91908" w:rsidRPr="00380B40" w:rsidRDefault="00F91908" w:rsidP="004E4CA9">
            <w:pPr>
              <w:jc w:val="left"/>
              <w:rPr>
                <w:rFonts w:eastAsia="DengXian"/>
                <w:lang w:val="en-GB"/>
              </w:rPr>
            </w:pPr>
            <w:r w:rsidRPr="00380B40">
              <w:rPr>
                <w:rFonts w:eastAsia="DengXian"/>
                <w:lang w:val="en-GB" w:eastAsia="ja-JP"/>
              </w:rPr>
              <w:t>Lead study group on access network transport</w:t>
            </w:r>
            <w:r w:rsidRPr="00380B40">
              <w:rPr>
                <w:rFonts w:eastAsia="DengXian"/>
                <w:lang w:val="en-GB" w:eastAsia="ja-JP"/>
              </w:rPr>
              <w:br/>
              <w:t>Lead study group on home networking</w:t>
            </w:r>
            <w:r w:rsidRPr="00380B40">
              <w:rPr>
                <w:rFonts w:eastAsia="DengXian"/>
                <w:lang w:val="en-GB" w:eastAsia="ja-JP"/>
              </w:rPr>
              <w:br/>
              <w:t>Lead study group on optical technology</w:t>
            </w:r>
          </w:p>
        </w:tc>
      </w:tr>
      <w:tr w:rsidR="00F91908" w:rsidRPr="004E0F36" w14:paraId="4888B036" w14:textId="77777777" w:rsidTr="009A2D3B">
        <w:tc>
          <w:tcPr>
            <w:tcW w:w="990" w:type="dxa"/>
            <w:shd w:val="clear" w:color="auto" w:fill="auto"/>
          </w:tcPr>
          <w:p w14:paraId="08021620" w14:textId="77777777" w:rsidR="00F91908" w:rsidRPr="00380B40" w:rsidRDefault="00F91908" w:rsidP="004E4CA9">
            <w:pPr>
              <w:rPr>
                <w:rFonts w:eastAsia="DengXian"/>
                <w:lang w:val="en-GB"/>
              </w:rPr>
            </w:pPr>
            <w:r w:rsidRPr="00380B40">
              <w:rPr>
                <w:rFonts w:eastAsia="DengXian"/>
                <w:lang w:val="en-GB" w:eastAsia="ja-JP"/>
              </w:rPr>
              <w:t>SG16</w:t>
            </w:r>
          </w:p>
        </w:tc>
        <w:tc>
          <w:tcPr>
            <w:tcW w:w="8649" w:type="dxa"/>
            <w:shd w:val="clear" w:color="auto" w:fill="auto"/>
          </w:tcPr>
          <w:p w14:paraId="53178651" w14:textId="77777777" w:rsidR="00F91908" w:rsidRPr="00380B40" w:rsidRDefault="00F91908" w:rsidP="004E4CA9">
            <w:pPr>
              <w:jc w:val="left"/>
              <w:rPr>
                <w:rFonts w:eastAsia="DengXian"/>
                <w:lang w:val="en-GB"/>
              </w:rPr>
            </w:pPr>
            <w:r w:rsidRPr="00380B40">
              <w:rPr>
                <w:rFonts w:eastAsia="DengXian"/>
                <w:lang w:val="en-GB" w:eastAsia="ja-JP"/>
              </w:rPr>
              <w:t>Lead study group on multimedia technologies, applications, systems and services</w:t>
            </w:r>
            <w:r w:rsidRPr="00380B40">
              <w:rPr>
                <w:rFonts w:eastAsia="DengXian"/>
                <w:lang w:val="en-GB" w:eastAsia="ja-JP"/>
              </w:rPr>
              <w:br/>
              <w:t>Lead study group on IP-based television services and digital signage</w:t>
            </w:r>
            <w:r w:rsidRPr="00380B40">
              <w:rPr>
                <w:rFonts w:eastAsia="DengXian"/>
                <w:lang w:val="en-GB" w:eastAsia="ja-JP"/>
              </w:rPr>
              <w:br/>
            </w:r>
            <w:r w:rsidRPr="00380B40">
              <w:rPr>
                <w:rFonts w:eastAsia="MS Mincho"/>
                <w:szCs w:val="22"/>
                <w:lang w:val="en-GB" w:eastAsia="ja-JP"/>
              </w:rPr>
              <w:t>Lead study group on human factors and ICT accessibility for digital inclusion</w:t>
            </w:r>
            <w:r w:rsidRPr="00380B40">
              <w:rPr>
                <w:rFonts w:eastAsia="MS Mincho"/>
                <w:szCs w:val="22"/>
                <w:lang w:val="en-GB" w:eastAsia="ja-JP"/>
              </w:rPr>
              <w:br/>
              <w:t>Lead study group on multimedia aspects of automotive-related intelligent services</w:t>
            </w:r>
            <w:r w:rsidRPr="00380B40">
              <w:rPr>
                <w:rFonts w:eastAsia="DengXian"/>
                <w:lang w:val="en-GB" w:eastAsia="ja-JP"/>
              </w:rPr>
              <w:t xml:space="preserve"> </w:t>
            </w:r>
            <w:r w:rsidRPr="00380B40">
              <w:rPr>
                <w:rFonts w:eastAsia="DengXian"/>
                <w:lang w:val="en-GB" w:eastAsia="ja-JP"/>
              </w:rPr>
              <w:br/>
              <w:t>Lead study group on multimedia aspects of digital health</w:t>
            </w:r>
            <w:r w:rsidRPr="00380B40">
              <w:rPr>
                <w:rFonts w:eastAsia="DengXian"/>
                <w:lang w:val="en-GB" w:eastAsia="ja-JP"/>
              </w:rPr>
              <w:br/>
              <w:t>Lead study group on digital culture</w:t>
            </w:r>
            <w:r w:rsidRPr="00380B40">
              <w:rPr>
                <w:rFonts w:eastAsia="DengXian"/>
                <w:lang w:val="en-GB" w:eastAsia="ja-JP"/>
              </w:rPr>
              <w:br/>
              <w:t>Lead study group on multimedia aspects of distributed ledger technology and its applications</w:t>
            </w:r>
          </w:p>
        </w:tc>
      </w:tr>
      <w:tr w:rsidR="00F91908" w:rsidRPr="004E0F36" w14:paraId="395E6150" w14:textId="77777777" w:rsidTr="009A2D3B">
        <w:tc>
          <w:tcPr>
            <w:tcW w:w="990" w:type="dxa"/>
            <w:shd w:val="clear" w:color="auto" w:fill="auto"/>
          </w:tcPr>
          <w:p w14:paraId="3EDCD8D7" w14:textId="77777777" w:rsidR="00F91908" w:rsidRPr="00380B40" w:rsidRDefault="00F91908" w:rsidP="004E4CA9">
            <w:pPr>
              <w:rPr>
                <w:rFonts w:eastAsia="DengXian"/>
                <w:lang w:val="en-GB"/>
              </w:rPr>
            </w:pPr>
            <w:r w:rsidRPr="00380B40">
              <w:rPr>
                <w:rFonts w:eastAsia="DengXian"/>
                <w:lang w:val="en-GB" w:eastAsia="ja-JP"/>
              </w:rPr>
              <w:t>SG17</w:t>
            </w:r>
          </w:p>
        </w:tc>
        <w:tc>
          <w:tcPr>
            <w:tcW w:w="8649" w:type="dxa"/>
            <w:shd w:val="clear" w:color="auto" w:fill="auto"/>
          </w:tcPr>
          <w:p w14:paraId="3977860D" w14:textId="77777777" w:rsidR="00F91908" w:rsidRPr="00380B40" w:rsidRDefault="00F91908" w:rsidP="004E4CA9">
            <w:pPr>
              <w:jc w:val="left"/>
              <w:rPr>
                <w:rFonts w:eastAsia="DengXian"/>
                <w:lang w:val="en-GB"/>
              </w:rPr>
            </w:pPr>
            <w:r w:rsidRPr="00380B40">
              <w:rPr>
                <w:rFonts w:eastAsia="DengXian"/>
                <w:lang w:val="en-GB" w:eastAsia="ja-JP"/>
              </w:rPr>
              <w:t>Lead study group on security</w:t>
            </w:r>
            <w:r w:rsidRPr="00380B40">
              <w:rPr>
                <w:rFonts w:eastAsia="DengXian"/>
                <w:lang w:val="en-GB" w:eastAsia="ja-JP"/>
              </w:rPr>
              <w:br/>
              <w:t xml:space="preserve">Lead study group on identity management </w:t>
            </w:r>
            <w:r w:rsidRPr="00380B40">
              <w:rPr>
                <w:rFonts w:eastAsia="DengXian"/>
                <w:lang w:val="en-GB" w:eastAsia="ja-JP"/>
              </w:rPr>
              <w:br/>
              <w:t>Lead study group on languages and description techniques</w:t>
            </w:r>
          </w:p>
        </w:tc>
      </w:tr>
      <w:tr w:rsidR="00F91908" w:rsidRPr="004E0F36" w14:paraId="32008C15" w14:textId="77777777" w:rsidTr="009A2D3B">
        <w:tc>
          <w:tcPr>
            <w:tcW w:w="990" w:type="dxa"/>
            <w:shd w:val="clear" w:color="auto" w:fill="auto"/>
          </w:tcPr>
          <w:p w14:paraId="74C80390" w14:textId="77777777" w:rsidR="00F91908" w:rsidRPr="00380B40" w:rsidRDefault="00F91908" w:rsidP="004E4CA9">
            <w:pPr>
              <w:rPr>
                <w:rFonts w:eastAsia="DengXian"/>
                <w:lang w:val="en-GB"/>
              </w:rPr>
            </w:pPr>
            <w:r w:rsidRPr="00380B40">
              <w:rPr>
                <w:rFonts w:eastAsia="DengXian"/>
                <w:lang w:val="en-GB" w:eastAsia="ja-JP"/>
              </w:rPr>
              <w:t>SG20</w:t>
            </w:r>
          </w:p>
        </w:tc>
        <w:tc>
          <w:tcPr>
            <w:tcW w:w="8649" w:type="dxa"/>
            <w:shd w:val="clear" w:color="auto" w:fill="auto"/>
          </w:tcPr>
          <w:p w14:paraId="383DB2C9" w14:textId="77777777" w:rsidR="00F91908" w:rsidRPr="00380B40" w:rsidRDefault="00F91908" w:rsidP="00F91908">
            <w:pPr>
              <w:jc w:val="left"/>
              <w:rPr>
                <w:rFonts w:eastAsia="DengXian"/>
                <w:lang w:val="en-GB"/>
              </w:rPr>
            </w:pPr>
            <w:r w:rsidRPr="00380B40">
              <w:rPr>
                <w:rFonts w:eastAsia="DengXian"/>
                <w:lang w:val="en-GB" w:eastAsia="ja-JP"/>
              </w:rPr>
              <w:t>Lead study group on Internet of Things and its applications</w:t>
            </w:r>
            <w:r w:rsidRPr="00380B40">
              <w:rPr>
                <w:rFonts w:eastAsia="DengXian"/>
                <w:lang w:val="en-GB" w:eastAsia="ja-JP"/>
              </w:rPr>
              <w:br/>
              <w:t>Lead study group on smart cities and communities and related digital services</w:t>
            </w:r>
            <w:r w:rsidRPr="00380B40">
              <w:rPr>
                <w:rFonts w:eastAsia="DengXian"/>
                <w:lang w:val="en-GB" w:eastAsia="ja-JP"/>
              </w:rPr>
              <w:br/>
              <w:t>Lead study group for Internet of Things identification</w:t>
            </w:r>
            <w:r w:rsidRPr="00380B40">
              <w:rPr>
                <w:rFonts w:eastAsia="DengXian"/>
                <w:lang w:val="en-GB" w:eastAsia="ja-JP"/>
              </w:rPr>
              <w:br/>
              <w:t>Lead study group on digital health related to</w:t>
            </w:r>
            <w:r w:rsidRPr="00380B40">
              <w:rPr>
                <w:lang w:val="en-GB"/>
              </w:rPr>
              <w:t xml:space="preserve"> </w:t>
            </w:r>
            <w:r w:rsidRPr="00380B40">
              <w:rPr>
                <w:rFonts w:eastAsia="DengXian"/>
                <w:lang w:val="en-GB" w:eastAsia="ja-JP"/>
              </w:rPr>
              <w:t>Internet of Things and smart cities and communities</w:t>
            </w:r>
          </w:p>
        </w:tc>
      </w:tr>
    </w:tbl>
    <w:p w14:paraId="5A0ACAE8" w14:textId="77777777" w:rsidR="00795C53" w:rsidRPr="00380B40" w:rsidRDefault="00795C53" w:rsidP="00795C53">
      <w:pPr>
        <w:rPr>
          <w:rFonts w:eastAsia="DengXian"/>
          <w:lang w:val="en-GB" w:eastAsia="ja-JP"/>
        </w:rPr>
      </w:pPr>
    </w:p>
    <w:p w14:paraId="6B1718D8" w14:textId="77777777" w:rsidR="00795C53" w:rsidRPr="00380B40" w:rsidRDefault="00795C53" w:rsidP="00795C53">
      <w:pPr>
        <w:rPr>
          <w:rFonts w:eastAsia="DengXian"/>
          <w:lang w:val="en-GB" w:eastAsia="ja-JP"/>
        </w:rPr>
      </w:pPr>
    </w:p>
    <w:p w14:paraId="70210C41" w14:textId="77777777" w:rsidR="00795C53" w:rsidRPr="00380B40" w:rsidRDefault="00795C53" w:rsidP="00795C53">
      <w:pPr>
        <w:rPr>
          <w:rFonts w:eastAsia="DengXian"/>
          <w:lang w:val="en-GB" w:eastAsia="ja-JP"/>
        </w:rPr>
      </w:pPr>
    </w:p>
    <w:p w14:paraId="3EE00822" w14:textId="77777777" w:rsidR="00795C53" w:rsidRPr="00380B40" w:rsidRDefault="00795C53" w:rsidP="00795C53">
      <w:pPr>
        <w:rPr>
          <w:rFonts w:eastAsia="DengXian"/>
          <w:lang w:val="en-GB" w:eastAsia="ja-JP"/>
        </w:rPr>
      </w:pPr>
    </w:p>
    <w:p w14:paraId="33A4D732" w14:textId="77777777" w:rsidR="00795C53" w:rsidRPr="00380B40" w:rsidRDefault="00795C53" w:rsidP="00795C53">
      <w:pPr>
        <w:rPr>
          <w:rFonts w:eastAsia="DengXian"/>
          <w:lang w:val="en-GB" w:eastAsia="ja-JP"/>
        </w:rPr>
      </w:pPr>
    </w:p>
    <w:p w14:paraId="55E060A5" w14:textId="77777777" w:rsidR="00EE5BCC" w:rsidRPr="00380B40" w:rsidRDefault="00EE5BCC" w:rsidP="00795C53">
      <w:pPr>
        <w:rPr>
          <w:rFonts w:eastAsia="DengXian"/>
          <w:lang w:val="en-GB" w:eastAsia="ja-JP"/>
        </w:rPr>
      </w:pPr>
      <w:r w:rsidRPr="00380B40">
        <w:rPr>
          <w:rFonts w:eastAsia="DengXian"/>
          <w:lang w:val="en-GB" w:eastAsia="ja-JP"/>
        </w:rPr>
        <w:br w:type="page"/>
      </w:r>
    </w:p>
    <w:p w14:paraId="1BE87EB9" w14:textId="77777777" w:rsidR="00AC491A" w:rsidRPr="00380B40" w:rsidRDefault="00AC491A" w:rsidP="00AC491A">
      <w:pPr>
        <w:pStyle w:val="AnnexNo"/>
        <w:rPr>
          <w:rFonts w:eastAsia="DengXian"/>
          <w:caps w:val="0"/>
          <w:lang w:eastAsia="ja-JP"/>
        </w:rPr>
      </w:pPr>
      <w:bookmarkStart w:id="83" w:name="_Toc111636750"/>
      <w:r w:rsidRPr="00380B40">
        <w:rPr>
          <w:rFonts w:eastAsia="DengXian"/>
        </w:rPr>
        <w:t>Annex B</w:t>
      </w:r>
      <w:r w:rsidRPr="00380B40">
        <w:rPr>
          <w:rFonts w:eastAsia="DengXian"/>
          <w:caps w:val="0"/>
          <w:lang w:eastAsia="ja-JP"/>
        </w:rPr>
        <w:br/>
        <w:t>(to Resolution 2 (Rev. Geneva, 2022))</w:t>
      </w:r>
      <w:bookmarkEnd w:id="83"/>
    </w:p>
    <w:p w14:paraId="41523E72" w14:textId="77777777" w:rsidR="00AC491A" w:rsidRPr="00380B40" w:rsidRDefault="00AC491A" w:rsidP="00AC491A">
      <w:pPr>
        <w:pStyle w:val="Annextitle"/>
        <w:rPr>
          <w:rFonts w:eastAsia="DengXian"/>
          <w:lang w:eastAsia="ja-JP"/>
        </w:rPr>
      </w:pPr>
      <w:r w:rsidRPr="00380B40">
        <w:rPr>
          <w:rFonts w:eastAsia="DengXian"/>
          <w:lang w:eastAsia="ja-JP"/>
        </w:rPr>
        <w:t>Points of guidance to ITU</w:t>
      </w:r>
      <w:r w:rsidRPr="00380B40">
        <w:rPr>
          <w:rFonts w:eastAsia="DengXian"/>
          <w:lang w:eastAsia="ja-JP"/>
        </w:rPr>
        <w:noBreakHyphen/>
        <w:t>T study groups for development</w:t>
      </w:r>
      <w:r w:rsidRPr="00380B40">
        <w:rPr>
          <w:rFonts w:eastAsia="DengXian"/>
          <w:lang w:eastAsia="ja-JP"/>
        </w:rPr>
        <w:br/>
        <w:t>of the post-2022 work programme</w:t>
      </w:r>
    </w:p>
    <w:p w14:paraId="0B3280F2" w14:textId="77777777" w:rsidR="00AC491A" w:rsidRPr="00380B40" w:rsidRDefault="00AC491A" w:rsidP="00D106CE">
      <w:pPr>
        <w:pStyle w:val="Normalaftertitle0"/>
        <w:rPr>
          <w:rFonts w:eastAsia="DengXian"/>
          <w:lang w:eastAsia="ja-JP"/>
        </w:rPr>
      </w:pPr>
      <w:r w:rsidRPr="00380B40">
        <w:rPr>
          <w:rFonts w:eastAsia="DengXian"/>
          <w:b/>
          <w:bCs/>
          <w:lang w:eastAsia="ja-JP"/>
        </w:rPr>
        <w:t>B.1</w:t>
      </w:r>
      <w:r w:rsidRPr="00380B40">
        <w:rPr>
          <w:rFonts w:eastAsia="DengXian"/>
          <w:lang w:eastAsia="ja-JP"/>
        </w:rPr>
        <w:tab/>
        <w:t>This annex provides points of guidance to study groups for the development of post</w:t>
      </w:r>
      <w:r w:rsidRPr="00380B40">
        <w:rPr>
          <w:rFonts w:eastAsia="DengXian"/>
          <w:lang w:eastAsia="ja-JP"/>
        </w:rPr>
        <w:noBreakHyphen/>
        <w:t>2022 study Questions in accordance with their proposed structure and general areas of responsibility. The points of guidance are intended to clarify, where appropriate, interaction between study groups in certain areas of common responsibility, and are not intended to provide a comprehensive list of such responsibilities.</w:t>
      </w:r>
    </w:p>
    <w:p w14:paraId="2B897C1D" w14:textId="77777777" w:rsidR="00AC491A" w:rsidRPr="00380B40" w:rsidRDefault="00AC491A" w:rsidP="00AC491A">
      <w:pPr>
        <w:rPr>
          <w:rFonts w:eastAsia="DengXian"/>
          <w:lang w:val="en-GB" w:eastAsia="ja-JP"/>
        </w:rPr>
      </w:pPr>
      <w:r w:rsidRPr="00380B40">
        <w:rPr>
          <w:rFonts w:eastAsia="DengXian"/>
          <w:b/>
          <w:bCs/>
          <w:lang w:val="en-GB" w:eastAsia="ja-JP"/>
        </w:rPr>
        <w:t>B.2</w:t>
      </w:r>
      <w:r w:rsidRPr="00380B40">
        <w:rPr>
          <w:rFonts w:eastAsia="DengXian"/>
          <w:lang w:val="en-GB" w:eastAsia="ja-JP"/>
        </w:rPr>
        <w:tab/>
        <w:t>This annex will be reviewed by the Telecommunication Standardization Advisory Group (TSAG) as necessary to facilitate interaction between study groups, to minimize duplication of effort and to harmonize the overall ITU</w:t>
      </w:r>
      <w:r w:rsidRPr="00380B40">
        <w:rPr>
          <w:rFonts w:eastAsia="DengXian"/>
          <w:lang w:val="en-GB" w:eastAsia="ja-JP"/>
        </w:rPr>
        <w:noBreakHyphen/>
        <w:t>T work programme.</w:t>
      </w:r>
    </w:p>
    <w:p w14:paraId="546B20DA" w14:textId="77777777" w:rsidR="00AC491A" w:rsidRPr="00380B40" w:rsidRDefault="00AC491A" w:rsidP="00AC491A">
      <w:pPr>
        <w:pStyle w:val="Headingb"/>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2</w:t>
      </w:r>
    </w:p>
    <w:p w14:paraId="2CD82D81" w14:textId="77777777" w:rsidR="00AC491A" w:rsidRPr="00380B40" w:rsidRDefault="00AC491A" w:rsidP="00AC491A">
      <w:pPr>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2 is the lead study group for numbering, naming, addressing and identification (NNAI), routing and interworking, and service definition (including future telecommunication/ICT architectures, capabilities, technologies, applications and services) and will continue to be responsible for creating principles of service and operational requirements, including NNAI aspects, billing and operational quality of service/network performance. Service principles and operational requirements will also continue to be developed for current and evolving telecommunications/ICTs.</w:t>
      </w:r>
    </w:p>
    <w:p w14:paraId="7C566D53" w14:textId="77777777" w:rsidR="00AC491A" w:rsidRPr="00380B40" w:rsidRDefault="00AC491A" w:rsidP="00AC491A">
      <w:pPr>
        <w:rPr>
          <w:rFonts w:eastAsia="DengXian"/>
          <w:lang w:val="en-GB" w:eastAsia="ja-JP"/>
        </w:rPr>
      </w:pPr>
      <w:r w:rsidRPr="00380B40">
        <w:rPr>
          <w:rFonts w:eastAsia="DengXian"/>
          <w:lang w:val="en-GB" w:eastAsia="ja-JP"/>
        </w:rPr>
        <w:t>Study Group 2 is responsible for studying, developing and recommending general principles of NNAI as well as routing for all types of future and evolving telecommunication/ICT architectures, capabilities, technologies, applications and services and operational aspects relating to end-to-end routing for all types of current and future networks.</w:t>
      </w:r>
    </w:p>
    <w:p w14:paraId="1AAD0396" w14:textId="77777777" w:rsidR="00AC491A" w:rsidRPr="00380B40" w:rsidRDefault="00AC491A" w:rsidP="00AC491A">
      <w:pPr>
        <w:rPr>
          <w:rFonts w:eastAsia="DengXian"/>
          <w:lang w:val="en-GB" w:eastAsia="ja-JP"/>
        </w:rPr>
      </w:pPr>
      <w:r w:rsidRPr="00380B40">
        <w:rPr>
          <w:rFonts w:eastAsia="DengXian"/>
          <w:lang w:val="en-GB" w:eastAsia="ja-JP"/>
        </w:rPr>
        <w:t>Study Group 2 is responsible for studying, developing and recommending general principles and operational aspects related to interworking, number portability and carrier switching.</w:t>
      </w:r>
    </w:p>
    <w:p w14:paraId="7A6F63D6" w14:textId="77777777" w:rsidR="00AC491A" w:rsidRPr="00380B40" w:rsidRDefault="00AC491A" w:rsidP="00AC491A">
      <w:pPr>
        <w:rPr>
          <w:rFonts w:eastAsia="DengXian"/>
          <w:lang w:val="en-GB" w:eastAsia="ja-JP"/>
        </w:rPr>
      </w:pPr>
      <w:r w:rsidRPr="00380B40">
        <w:rPr>
          <w:rFonts w:eastAsia="DengXian"/>
          <w:lang w:val="en-GB" w:eastAsia="ja-JP"/>
        </w:rPr>
        <w:t>Study Group 2 will study and describe services and capabilities from a user's point of view to facilitate global interconnection and interoperation and, to the extent practicable, ensure compatibility with the International Telecommunication Regulations and related intergovernmental agreements.</w:t>
      </w:r>
    </w:p>
    <w:p w14:paraId="1E55FA7C" w14:textId="77777777" w:rsidR="00AC491A" w:rsidRPr="00380B40" w:rsidRDefault="00AC491A" w:rsidP="00AC491A">
      <w:pPr>
        <w:rPr>
          <w:rFonts w:eastAsia="DengXian"/>
          <w:lang w:val="en-GB" w:eastAsia="ja-JP"/>
        </w:rPr>
      </w:pPr>
      <w:r w:rsidRPr="00380B40">
        <w:rPr>
          <w:rFonts w:eastAsia="DengXian"/>
          <w:lang w:val="en-GB" w:eastAsia="ja-JP"/>
        </w:rPr>
        <w:t>Study Group 2 should continue to study service policy aspects, including those that may arise in the operation and provision of transborder, global and/or regional services, taking due account of national sovereignty.</w:t>
      </w:r>
    </w:p>
    <w:p w14:paraId="637736B2" w14:textId="77777777" w:rsidR="00AC491A" w:rsidRPr="00380B40" w:rsidRDefault="00AC491A" w:rsidP="00AC491A">
      <w:pPr>
        <w:rPr>
          <w:rFonts w:eastAsia="DengXian"/>
          <w:lang w:val="en-GB" w:eastAsia="ja-JP"/>
        </w:rPr>
      </w:pPr>
      <w:r w:rsidRPr="00380B40">
        <w:rPr>
          <w:rFonts w:eastAsia="DengXian"/>
          <w:lang w:val="en-GB" w:eastAsia="ja-JP"/>
        </w:rPr>
        <w:t>The chairman of Study Group 2 (or, if necessary, the chairman's delegated representative), and the designated advisers through the Numbering Coordination Team (NCT), shall provide technical advice to the Director of TSB concerning general principles for NNAI, assignment, reassignment and/or reclamation of international NNAI directly assigned global resources and routing, and the effect on allocation of directly assigned NNAI resources.</w:t>
      </w:r>
    </w:p>
    <w:p w14:paraId="6F7A27B9" w14:textId="77777777" w:rsidR="00EE5BCC" w:rsidRPr="00380B40" w:rsidRDefault="00EE5BCC" w:rsidP="00AC491A">
      <w:pPr>
        <w:rPr>
          <w:rFonts w:eastAsia="DengXian"/>
          <w:lang w:val="en-GB" w:eastAsia="ja-JP"/>
        </w:rPr>
      </w:pPr>
      <w:r w:rsidRPr="00380B40">
        <w:rPr>
          <w:rFonts w:eastAsia="DengXian"/>
          <w:lang w:val="en-GB" w:eastAsia="ja-JP"/>
        </w:rPr>
        <w:br w:type="page"/>
      </w:r>
    </w:p>
    <w:p w14:paraId="3C52D4FA" w14:textId="77777777" w:rsidR="00AC491A" w:rsidRPr="00380B40" w:rsidRDefault="00AC491A" w:rsidP="00AC491A">
      <w:pPr>
        <w:rPr>
          <w:rFonts w:eastAsia="DengXian"/>
          <w:lang w:val="en-GB" w:eastAsia="ja-JP"/>
        </w:rPr>
      </w:pPr>
      <w:r w:rsidRPr="00380B40">
        <w:rPr>
          <w:rFonts w:eastAsia="DengXian"/>
          <w:lang w:val="en-GB" w:eastAsia="ja-JP"/>
        </w:rPr>
        <w:t>Study Group 2 shall provide the Director of TSB with advice on technical, functional and operational aspects in the assignment, reassignment and/or reclamation of international numbering and addressing resources in accordance with the relevant ITU</w:t>
      </w:r>
      <w:r w:rsidRPr="00380B40">
        <w:rPr>
          <w:rFonts w:eastAsia="DengXian"/>
          <w:lang w:val="en-GB" w:eastAsia="ja-JP"/>
        </w:rPr>
        <w:noBreakHyphen/>
        <w:t>T E</w:t>
      </w:r>
      <w:r w:rsidRPr="00380B40">
        <w:rPr>
          <w:rFonts w:eastAsia="DengXian"/>
          <w:lang w:val="en-GB" w:eastAsia="ja-JP"/>
        </w:rPr>
        <w:noBreakHyphen/>
        <w:t xml:space="preserve"> and F</w:t>
      </w:r>
      <w:r w:rsidRPr="00380B40">
        <w:rPr>
          <w:rFonts w:eastAsia="DengXian"/>
          <w:lang w:val="en-GB" w:eastAsia="ja-JP"/>
        </w:rPr>
        <w:noBreakHyphen/>
        <w:t>series Recommendations, taking into account the results of any ongoing studies, or requests raised by NCT.</w:t>
      </w:r>
    </w:p>
    <w:p w14:paraId="50C13C88" w14:textId="77777777" w:rsidR="00AC491A" w:rsidRPr="00380B40" w:rsidRDefault="00AC491A" w:rsidP="00AC491A">
      <w:pPr>
        <w:rPr>
          <w:rFonts w:eastAsia="DengXian"/>
          <w:lang w:val="en-GB" w:eastAsia="ja-JP"/>
        </w:rPr>
      </w:pPr>
      <w:r w:rsidRPr="00380B40">
        <w:rPr>
          <w:rFonts w:eastAsia="DengXian"/>
          <w:lang w:val="en-GB" w:eastAsia="ja-JP"/>
        </w:rPr>
        <w:t>Study Group 2 should recommend measures to be taken to ensure operational performance of all networks (including network management) in order to meet the requisite in</w:t>
      </w:r>
      <w:r w:rsidRPr="00380B40">
        <w:rPr>
          <w:rFonts w:eastAsia="DengXian"/>
          <w:lang w:val="en-GB" w:eastAsia="ja-JP"/>
        </w:rPr>
        <w:noBreakHyphen/>
        <w:t>service network performance and quality of service.</w:t>
      </w:r>
    </w:p>
    <w:p w14:paraId="203C12B6" w14:textId="77777777" w:rsidR="00AC491A" w:rsidRPr="00380B40" w:rsidRDefault="00AC491A" w:rsidP="00AC491A">
      <w:pPr>
        <w:rPr>
          <w:rFonts w:eastAsia="DengXian"/>
          <w:lang w:val="en-GB" w:eastAsia="ja-JP"/>
        </w:rPr>
      </w:pPr>
      <w:r w:rsidRPr="00380B40">
        <w:rPr>
          <w:rFonts w:eastAsia="DengXian"/>
          <w:lang w:val="en-GB" w:eastAsia="ja-JP"/>
        </w:rPr>
        <w:t>As the lead study group on telecommunication management, Study Group 2 is also responsible for the development and maintenance of a consistent ITU</w:t>
      </w:r>
      <w:r w:rsidRPr="00380B40">
        <w:rPr>
          <w:rFonts w:eastAsia="DengXian"/>
          <w:lang w:val="en-GB" w:eastAsia="ja-JP"/>
        </w:rPr>
        <w:noBreakHyphen/>
        <w:t>T work plan, prepared with the cooperation of relevant ITU</w:t>
      </w:r>
      <w:r w:rsidRPr="00380B40">
        <w:rPr>
          <w:rFonts w:eastAsia="DengXian"/>
          <w:lang w:val="en-GB" w:eastAsia="ja-JP"/>
        </w:rPr>
        <w:noBreakHyphen/>
        <w:t>T study groups, on activities associated with telecommunication management and with operations, administration and management (OAM). In particular, this work plan will focus on activities involving two types of interfaces:</w:t>
      </w:r>
    </w:p>
    <w:p w14:paraId="3BA699C6"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fault, configuration, accounting, performance and security management (FCAPS) interfaces between network elements and management systems, and between management systems; and</w:t>
      </w:r>
    </w:p>
    <w:p w14:paraId="0166099D"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transmission interfaces between network elements.</w:t>
      </w:r>
    </w:p>
    <w:p w14:paraId="428B86DB" w14:textId="77777777" w:rsidR="00AC491A" w:rsidRPr="00380B40" w:rsidRDefault="00AC491A" w:rsidP="00AC491A">
      <w:pPr>
        <w:rPr>
          <w:rFonts w:eastAsia="DengXian"/>
          <w:lang w:val="en-GB" w:eastAsia="ja-JP"/>
        </w:rPr>
      </w:pPr>
      <w:r w:rsidRPr="00380B40">
        <w:rPr>
          <w:rFonts w:eastAsia="DengXian"/>
          <w:lang w:val="en-GB" w:eastAsia="ja-JP"/>
        </w:rPr>
        <w:t>In support of market-acceptable FCAPS interface solutions, Study Group 2 studies will identify service-provider and network-operator requirements and priorities for telecommunication management, continue the evolution of the telecommunication management framework currently based on telecommunication management network (TMN), next-generation network (NGN), software-defined networking (SDN) and network function virtualization (NFV) concepts, and address the management of NGN, cloud computing, future networks (including future telecommunication/ICT architectures, capabilities, technologies, applications and services), SDN, NFV, IMT</w:t>
      </w:r>
      <w:r w:rsidRPr="00380B40">
        <w:rPr>
          <w:rFonts w:eastAsia="DengXian"/>
          <w:lang w:val="en-GB" w:eastAsia="ja-JP"/>
        </w:rPr>
        <w:noBreakHyphen/>
        <w:t>2020 and distributed ledger technology (DLT).</w:t>
      </w:r>
    </w:p>
    <w:p w14:paraId="7DC14996" w14:textId="77777777" w:rsidR="00AC491A" w:rsidRPr="00380B40" w:rsidRDefault="00AC491A" w:rsidP="00AC491A">
      <w:pPr>
        <w:rPr>
          <w:rFonts w:eastAsia="DengXian"/>
          <w:lang w:val="en-GB" w:eastAsia="ja-JP"/>
        </w:rPr>
      </w:pPr>
      <w:r w:rsidRPr="00380B40">
        <w:rPr>
          <w:rFonts w:eastAsia="DengXian"/>
          <w:lang w:val="en-GB" w:eastAsia="ja-JP"/>
        </w:rPr>
        <w:t>Study Group 2 will study FCAPS interface solutions that will specify reusable management information definitions via protocol-neutral techniques, continue management information modelling for the major telecommunication technologies, such as optical and IP-based networking, and extend management technology choices consistent with market needs, industry recognized value, and major emerging technical directions.</w:t>
      </w:r>
    </w:p>
    <w:p w14:paraId="7B30F67A" w14:textId="77777777" w:rsidR="00AC491A" w:rsidRPr="00380B40" w:rsidRDefault="00AC491A" w:rsidP="00AC491A">
      <w:pPr>
        <w:rPr>
          <w:rFonts w:eastAsia="DengXian"/>
          <w:lang w:val="en-GB" w:eastAsia="ja-JP"/>
        </w:rPr>
      </w:pPr>
      <w:r w:rsidRPr="00380B40">
        <w:rPr>
          <w:rFonts w:eastAsia="DengXian"/>
          <w:lang w:val="en-GB" w:eastAsia="ja-JP"/>
        </w:rPr>
        <w:t>Additional studies will also cover network and service operational requirements and procedures, including support for network traffic management, support for the Service and Network Operations (SNO) group, and designations for interconnections among network operators.</w:t>
      </w:r>
    </w:p>
    <w:p w14:paraId="206C913F" w14:textId="77777777" w:rsidR="00AC491A" w:rsidRPr="00380B40" w:rsidRDefault="00AC491A" w:rsidP="00AC491A">
      <w:pPr>
        <w:rPr>
          <w:rFonts w:eastAsia="DengXian"/>
          <w:lang w:val="en-GB" w:eastAsia="ja-JP"/>
        </w:rPr>
      </w:pPr>
      <w:r w:rsidRPr="00380B40">
        <w:rPr>
          <w:rFonts w:eastAsia="DengXian"/>
          <w:lang w:val="en-GB" w:eastAsia="ja-JP"/>
        </w:rPr>
        <w:t>To support the generation of such interface solutions, Study Group 2 will strengthen the collaborative relationships with standards-development organizations, forums, consortia and other experts as appropriate.</w:t>
      </w:r>
    </w:p>
    <w:p w14:paraId="000CD929" w14:textId="77777777" w:rsidR="00AC491A" w:rsidRPr="00380B40" w:rsidRDefault="00AC491A" w:rsidP="00AC491A">
      <w:pPr>
        <w:rPr>
          <w:rFonts w:eastAsia="DengXian"/>
          <w:lang w:val="en-GB" w:eastAsia="ja-JP"/>
        </w:rPr>
      </w:pPr>
      <w:r w:rsidRPr="00380B40">
        <w:rPr>
          <w:rFonts w:eastAsia="DengXian"/>
          <w:lang w:val="en-GB" w:eastAsia="ja-JP"/>
        </w:rPr>
        <w:t>Study Group 2 will work on relevant identification aspects in collaboration with Study Group 20 for Internet of Things (IoT) and with Study Group 17, as per the mandate of each study group.</w:t>
      </w:r>
    </w:p>
    <w:p w14:paraId="07F3A103" w14:textId="77777777" w:rsidR="00EE5BCC" w:rsidRPr="00380B40" w:rsidRDefault="00EE5BCC" w:rsidP="00AC491A">
      <w:pPr>
        <w:pStyle w:val="Headingb"/>
        <w:rPr>
          <w:rFonts w:eastAsia="DengXian"/>
          <w:lang w:val="en-GB" w:eastAsia="ja-JP"/>
        </w:rPr>
      </w:pPr>
      <w:r w:rsidRPr="00380B40">
        <w:rPr>
          <w:rFonts w:eastAsia="DengXian"/>
          <w:lang w:val="en-GB" w:eastAsia="ja-JP"/>
        </w:rPr>
        <w:br w:type="page"/>
      </w:r>
    </w:p>
    <w:p w14:paraId="28749C87" w14:textId="77777777" w:rsidR="00AC491A" w:rsidRPr="00380B40" w:rsidRDefault="00AC491A" w:rsidP="00AC491A">
      <w:pPr>
        <w:pStyle w:val="Headingb"/>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3</w:t>
      </w:r>
    </w:p>
    <w:p w14:paraId="1CA59D2A" w14:textId="77777777" w:rsidR="00AC491A" w:rsidRPr="00380B40" w:rsidRDefault="00AC491A" w:rsidP="00AC491A">
      <w:pPr>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3 should study and develop Recommendations, technical reports, handbooks and other publications for members to respond positively and proactively to the development of international telecommunication/ICT markets, in order to ensure that policy and regulatory frameworks remain supportive of innovation, competition and investment, for the benefit of users and the global economy.</w:t>
      </w:r>
    </w:p>
    <w:p w14:paraId="188B056A" w14:textId="77777777" w:rsidR="00AC491A" w:rsidRPr="00380B40" w:rsidRDefault="00AC491A" w:rsidP="00AC491A">
      <w:pPr>
        <w:rPr>
          <w:rFonts w:eastAsia="DengXian"/>
          <w:lang w:val="en-GB" w:eastAsia="ja-JP"/>
        </w:rPr>
      </w:pPr>
      <w:r w:rsidRPr="00380B40">
        <w:rPr>
          <w:rFonts w:eastAsia="DengXian"/>
          <w:lang w:val="en-GB" w:eastAsia="ja-JP"/>
        </w:rPr>
        <w:t>In particular, Study Group 3 should ensure that tariffs, economic policies and regulatory frameworks related to international telecommunication/ICT services and networks are forward-looking and serve to encourage take</w:t>
      </w:r>
      <w:r w:rsidRPr="00380B40">
        <w:rPr>
          <w:rFonts w:eastAsia="DengXian"/>
          <w:lang w:val="en-GB" w:eastAsia="ja-JP"/>
        </w:rPr>
        <w:noBreakHyphen/>
        <w:t xml:space="preserve">up and use, as well as industry innovation and investment. Furthermore, these frameworks need to be adequately flexible to adjust to rapidly evolving markets, technologies, and business models, while ensuring the necessary competitive safeguards and the protection of consumers. </w:t>
      </w:r>
    </w:p>
    <w:p w14:paraId="285B6CFB" w14:textId="77777777" w:rsidR="00AC491A" w:rsidRPr="00380B40" w:rsidRDefault="00AC491A" w:rsidP="00AC491A">
      <w:pPr>
        <w:rPr>
          <w:rFonts w:eastAsia="DengXian"/>
          <w:lang w:val="en-GB" w:eastAsia="ja-JP"/>
        </w:rPr>
      </w:pPr>
      <w:r w:rsidRPr="00380B40">
        <w:rPr>
          <w:rFonts w:eastAsia="DengXian"/>
          <w:lang w:val="en-GB" w:eastAsia="ja-JP"/>
        </w:rPr>
        <w:t>In this context, the work of Study Group 3 should also consider new and emerging technologies and services so its work will help drive new economic opportunities and enhance societal benefits in different areas, including health care, education and sustainable development.</w:t>
      </w:r>
    </w:p>
    <w:p w14:paraId="567098DF" w14:textId="77777777" w:rsidR="00AC491A" w:rsidRPr="00380B40" w:rsidRDefault="00AC491A" w:rsidP="00AC491A">
      <w:pPr>
        <w:rPr>
          <w:rFonts w:eastAsia="DengXian"/>
          <w:lang w:val="en-GB" w:eastAsia="ja-JP"/>
        </w:rPr>
      </w:pPr>
      <w:r w:rsidRPr="00380B40">
        <w:rPr>
          <w:rFonts w:eastAsia="DengXian"/>
          <w:lang w:val="en-GB" w:eastAsia="ja-JP"/>
        </w:rPr>
        <w:t>Study Group 3 should study and develop appropriate instruments, with a view to creating an enabling policy environment for the transformation of markets and industries, through the promotion of open, innovation-driven and accountable institutions.</w:t>
      </w:r>
    </w:p>
    <w:p w14:paraId="38A58BFD" w14:textId="77777777" w:rsidR="00AC491A" w:rsidRPr="00380B40" w:rsidRDefault="00AC491A" w:rsidP="00AC491A">
      <w:pPr>
        <w:rPr>
          <w:rFonts w:ascii="Times New Roman Bold" w:eastAsia="DengXian" w:hAnsi="Times New Roman Bold" w:cs="Times New Roman Bold"/>
          <w:b/>
          <w:lang w:val="en-GB" w:eastAsia="ja-JP"/>
        </w:rPr>
      </w:pPr>
      <w:r w:rsidRPr="00380B40">
        <w:rPr>
          <w:rFonts w:eastAsia="DengXian"/>
          <w:lang w:val="en-GB" w:eastAsia="ja-JP"/>
        </w:rPr>
        <w:t>All study groups shall notify Study Group 3 at the earliest opportunity of any development that may have an impact on tariff and accounting principles and international telecommunication/ICT economic and policy issues.</w:t>
      </w:r>
    </w:p>
    <w:p w14:paraId="41F82EBE" w14:textId="77777777" w:rsidR="00AC491A" w:rsidRPr="00380B40" w:rsidRDefault="00AC491A" w:rsidP="00AC491A">
      <w:pPr>
        <w:pStyle w:val="Headingb"/>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5</w:t>
      </w:r>
    </w:p>
    <w:p w14:paraId="692613F3"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ITU</w:t>
      </w:r>
      <w:r w:rsidRPr="00380B40">
        <w:rPr>
          <w:rFonts w:eastAsia="DengXian"/>
          <w:szCs w:val="24"/>
          <w:lang w:val="en-GB" w:eastAsia="ja-JP"/>
        </w:rPr>
        <w:noBreakHyphen/>
        <w:t>T Study Group 5 will develop Recommendations, supplements and other publications to:</w:t>
      </w:r>
    </w:p>
    <w:p w14:paraId="74D844D0" w14:textId="77777777" w:rsidR="00AC491A" w:rsidRPr="00380B40" w:rsidRDefault="00AC491A" w:rsidP="00AC491A">
      <w:pPr>
        <w:pStyle w:val="enumlev1"/>
        <w:rPr>
          <w:rFonts w:eastAsia="DengXian"/>
          <w:lang w:val="en-GB" w:eastAsia="ja-JP"/>
        </w:rPr>
      </w:pPr>
      <w:bookmarkStart w:id="84" w:name="_Toc509631366"/>
      <w:bookmarkEnd w:id="84"/>
      <w:r w:rsidRPr="00380B40">
        <w:rPr>
          <w:rFonts w:eastAsia="DengXian"/>
          <w:lang w:val="en-GB" w:eastAsia="ja-JP"/>
        </w:rPr>
        <w:t>•</w:t>
      </w:r>
      <w:r w:rsidRPr="00380B40">
        <w:rPr>
          <w:rFonts w:eastAsia="DengXian"/>
          <w:lang w:val="en-GB" w:eastAsia="ja-JP"/>
        </w:rPr>
        <w:tab/>
        <w:t>study the environmental performance of ICTs and digital technologies and their effects on climate change, biodiversity and other environmental impacts;</w:t>
      </w:r>
    </w:p>
    <w:p w14:paraId="27D4E337"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accelerate climate-change adaptation and mitigation actions through the use of ICTs and other digital technologies;</w:t>
      </w:r>
    </w:p>
    <w:p w14:paraId="2D1D6E01"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study the environmental aspects of ICTs and digital technologies, including issues related to electromagnetic fields (EMF), electromagnetic compatibility (EMC), energy feeding and efficiency, and resistibility;</w:t>
      </w:r>
    </w:p>
    <w:p w14:paraId="5D11D89B"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play an active role in reducing the volume of e-waste and facilitate its management, in order to enhance the transition to a circular economy;</w:t>
      </w:r>
    </w:p>
    <w:p w14:paraId="10AF8DA6"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study lifecycle and rare-metal recycling approaches for ICT equipment to minimize the environmental and health impact of e</w:t>
      </w:r>
      <w:r w:rsidRPr="00380B40">
        <w:rPr>
          <w:rFonts w:eastAsia="DengXian"/>
          <w:lang w:val="en-GB" w:eastAsia="ja-JP"/>
        </w:rPr>
        <w:noBreakHyphen/>
        <w:t>waste;</w:t>
      </w:r>
    </w:p>
    <w:p w14:paraId="39D9DCE4"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achieve energy efficiency and sustainable clean energy use in ICTs and digital technologies, including, but not limited to, labelling, procurement practices, standardized power supplies/connectors, eco-rating schemes, etc.;</w:t>
      </w:r>
    </w:p>
    <w:p w14:paraId="75FBEA85"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build resilient and sustainable ICT infrastructures in urban and rural areas as well as in cities and communities;</w:t>
      </w:r>
    </w:p>
    <w:p w14:paraId="5C60EC65" w14:textId="77777777" w:rsidR="00D106CE" w:rsidRPr="00380B40" w:rsidRDefault="00D106CE" w:rsidP="00AC491A">
      <w:pPr>
        <w:pStyle w:val="enumlev1"/>
        <w:rPr>
          <w:rFonts w:eastAsia="DengXian"/>
          <w:lang w:val="en-GB" w:eastAsia="ja-JP"/>
        </w:rPr>
      </w:pPr>
      <w:r w:rsidRPr="00380B40">
        <w:rPr>
          <w:rFonts w:eastAsia="DengXian"/>
          <w:lang w:val="en-GB" w:eastAsia="ja-JP"/>
        </w:rPr>
        <w:br w:type="page"/>
      </w:r>
    </w:p>
    <w:p w14:paraId="0D59D71B"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study the role of ICTs and digital technologies in climate-change adaptation and mitigation;</w:t>
      </w:r>
    </w:p>
    <w:p w14:paraId="4A9DD650"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reduce the volume of e-waste and its environmental impacts (including the environmental impact of counterfeit devices);</w:t>
      </w:r>
    </w:p>
    <w:p w14:paraId="24339B0C"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study the transition to a circular economy and implementing circular actions in cities;</w:t>
      </w:r>
    </w:p>
    <w:p w14:paraId="6ACFE8FC"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study the role of ICTs and digital technologies to achieve net zero within the ICT sector and other sectors as well as in cities;</w:t>
      </w:r>
    </w:p>
    <w:p w14:paraId="4529EC48"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develop methodologies for assessing the environmental impact of ICT and other digital technologies;</w:t>
      </w:r>
    </w:p>
    <w:p w14:paraId="745A4CD0"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develop standards and guidelines for using ICTs and other digital technologies in an eco-friendly way and enhancing rare-metal recycling and energy efficiency of ICT, including infrastructures/facilities</w:t>
      </w:r>
    </w:p>
    <w:p w14:paraId="4741AC6A"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develop standards, guidelines and metrics/key performance indicators (KPIs) for aligning the environmental performance of the ICT sector and digital technologies with the United Nations Sustainable Development Agenda 2030, the Paris Agreement and the Connect 2030 Agenda;</w:t>
      </w:r>
    </w:p>
    <w:p w14:paraId="3D804B3B"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develop energy efficiency/performance metrics/KPIs and related measurement methodologies for ICTs and digital technologies, including infrastructures and facilities;</w:t>
      </w:r>
    </w:p>
    <w:p w14:paraId="7DD2DF69"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develop tools and guidance on proper, effective and simple communication to reach out to the general public on environmental issues, including EMF, EMC, resistibility, climate-change adaptation and mitigation, etc.;</w:t>
      </w:r>
    </w:p>
    <w:p w14:paraId="1DD1BC34"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study of methodologies for assessing the environmental impact of ICT, in terms of both its own emissions and power usage and the savings created through ICT applications in other industry sectors;</w:t>
      </w:r>
    </w:p>
    <w:p w14:paraId="122DD083"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study of power-feeding methodologies that effectively reduce power consumption and resource usage, increase safety and increase global standardization for economic gains;</w:t>
      </w:r>
    </w:p>
    <w:p w14:paraId="02A4FF38"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set up a low-cost sustainable ICT infrastructure to connect the unconnected;</w:t>
      </w:r>
    </w:p>
    <w:p w14:paraId="0EDFC1B7"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study how to use ICTs to help countries and the ICT sector to adapt and build resilience to the effects of environmental challenges, including climate change;</w:t>
      </w:r>
    </w:p>
    <w:p w14:paraId="39175011"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assess the sustainability impact of ICT to promote the Sustainable Development Goals (SDGs);</w:t>
      </w:r>
    </w:p>
    <w:p w14:paraId="4E676AB3"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study the protection of ICT networks and equipment from interference, lightning and power faults;</w:t>
      </w:r>
    </w:p>
    <w:p w14:paraId="70753CA7"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develop standards related to the assessment of human exposure to EMF produced by ICT installations and devices;</w:t>
      </w:r>
    </w:p>
    <w:p w14:paraId="5CA4B486"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develop standards related to safety and implementation aspects related to ICT powering and to powering through networks and sites;</w:t>
      </w:r>
    </w:p>
    <w:p w14:paraId="35AE5B36"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develop standards related to components and application references for protection of ICT equipment and the telecommunication network;</w:t>
      </w:r>
    </w:p>
    <w:p w14:paraId="7CEDFAFC" w14:textId="77777777" w:rsidR="00EE5BCC" w:rsidRPr="00380B40" w:rsidRDefault="00EE5BCC" w:rsidP="00AC491A">
      <w:pPr>
        <w:pStyle w:val="enumlev1"/>
        <w:rPr>
          <w:rFonts w:eastAsia="DengXian"/>
          <w:lang w:val="en-GB" w:eastAsia="ja-JP"/>
        </w:rPr>
      </w:pPr>
      <w:r w:rsidRPr="00380B40">
        <w:rPr>
          <w:rFonts w:eastAsia="DengXian"/>
          <w:lang w:val="en-GB" w:eastAsia="ja-JP"/>
        </w:rPr>
        <w:br w:type="page"/>
      </w:r>
    </w:p>
    <w:p w14:paraId="50C2839E"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develop standards related to EMC, particle radiation effects, and assessment of human exposure to EMF produced by ICT installations and devices, including cellular phones, IoT devices and radio base stations;</w:t>
      </w:r>
    </w:p>
    <w:p w14:paraId="514017CB"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develop standards on the reutilization of the existing copper network outside plant and related indoor installations;</w:t>
      </w:r>
    </w:p>
    <w:p w14:paraId="22DDA6F5"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develop standards to guarantee good reliability and low latency for high-speed network services by providing requirements on resistibility and EMC.</w:t>
      </w:r>
    </w:p>
    <w:p w14:paraId="2C5AC12C" w14:textId="77777777" w:rsidR="00AC491A" w:rsidRPr="00380B40" w:rsidRDefault="00AC491A" w:rsidP="00AC491A">
      <w:pPr>
        <w:rPr>
          <w:rFonts w:eastAsia="DengXian"/>
          <w:lang w:val="en-GB" w:eastAsia="ja-JP"/>
        </w:rPr>
      </w:pPr>
      <w:r w:rsidRPr="00380B40">
        <w:rPr>
          <w:rFonts w:eastAsia="DengXian"/>
          <w:lang w:val="en-GB" w:eastAsia="ja-JP"/>
        </w:rPr>
        <w:t>The meetings of Study Group 5 and its working parties/Questions should as far as practicable be collocated with other study groups/working parties/Questions involved in the study of environment, circular economy, energy efficiency and climate change to address the SDGs.</w:t>
      </w:r>
    </w:p>
    <w:p w14:paraId="30B1895B" w14:textId="77777777" w:rsidR="00AC491A" w:rsidRPr="00380B40" w:rsidRDefault="00AC491A" w:rsidP="00AC491A">
      <w:pPr>
        <w:pStyle w:val="Headingb"/>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9</w:t>
      </w:r>
    </w:p>
    <w:p w14:paraId="25EF2FC4" w14:textId="77777777" w:rsidR="00AC491A" w:rsidRPr="00380B40" w:rsidRDefault="00AC491A" w:rsidP="00AC491A">
      <w:pPr>
        <w:rPr>
          <w:rFonts w:eastAsia="DengXian"/>
          <w:lang w:val="en-GB" w:eastAsia="ja-JP"/>
        </w:rPr>
      </w:pPr>
      <w:r w:rsidRPr="00380B40">
        <w:rPr>
          <w:rFonts w:eastAsia="DengXian"/>
          <w:lang w:val="en-GB" w:eastAsia="ja-JP"/>
        </w:rPr>
        <w:t>Within its general area of responsibility, ITU</w:t>
      </w:r>
      <w:r w:rsidRPr="00380B40">
        <w:rPr>
          <w:rFonts w:eastAsia="DengXian"/>
          <w:lang w:val="en-GB" w:eastAsia="ja-JP"/>
        </w:rPr>
        <w:noBreakHyphen/>
        <w:t>T Study Group 9 will develop and maintain Recommendations on:</w:t>
      </w:r>
    </w:p>
    <w:p w14:paraId="64084586"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audiovisual content systems for contribution and distribution, including broadcasting, over cable networks, e.g. coaxial cable, optical fibre or hybrid fibre coaxial (HFC), etc.;</w:t>
      </w:r>
    </w:p>
    <w:p w14:paraId="2C5FFEEC"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procedures for the operation of audiovisual content delivery over cable networks;</w:t>
      </w:r>
    </w:p>
    <w:p w14:paraId="79C36405"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 xml:space="preserve">the use of IP or other appropriate protocols, middleware and operating systems to provide time-critical services, services on demand or interactive services over cable networks; </w:t>
      </w:r>
    </w:p>
    <w:p w14:paraId="57E10E2C"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artificial intelligence (AI)-assisted delivery and transmission systems for audiovisual content and other data services over cable networks;</w:t>
      </w:r>
    </w:p>
    <w:p w14:paraId="6FE99FA6"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cable network terminals and related interfaces (e.g. interfaces to home network devices, such as IoT devices, interfaces to the cloud);</w:t>
      </w:r>
    </w:p>
    <w:p w14:paraId="709E9232"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end-to-end integrated platforms for cable networks;</w:t>
      </w:r>
    </w:p>
    <w:p w14:paraId="0E5B81C7"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advanced, interactive, time-critical and other services and applications over cable networks;</w:t>
      </w:r>
    </w:p>
    <w:p w14:paraId="678E5B46"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cloud-based systems for audiovisual content services and control over cable networks;</w:t>
      </w:r>
    </w:p>
    <w:p w14:paraId="5B507E2B"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secured audiovisual content contribution and distribution, for example conditional access (CA) systems and digital rights management (DRM), over cable networks;</w:t>
      </w:r>
    </w:p>
    <w:p w14:paraId="3A052D7C"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accessibility applications to access audiovisual content over cable networks;</w:t>
      </w:r>
    </w:p>
    <w:p w14:paraId="73AEBD2B"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common user profile and participation taxonomy for broadband cable-TV accessibility.</w:t>
      </w:r>
    </w:p>
    <w:p w14:paraId="119C13A2" w14:textId="77777777" w:rsidR="00AC491A" w:rsidRPr="00380B40" w:rsidRDefault="00AC491A" w:rsidP="00AC491A">
      <w:pPr>
        <w:rPr>
          <w:rFonts w:eastAsia="DengXian"/>
          <w:lang w:val="en-GB" w:eastAsia="ja-JP"/>
        </w:rPr>
      </w:pPr>
      <w:r w:rsidRPr="00380B40">
        <w:rPr>
          <w:rFonts w:eastAsia="DengXian"/>
          <w:lang w:val="en-GB" w:eastAsia="ja-JP"/>
        </w:rPr>
        <w:t>Study Group 9 will develop and maintain implementation guidelines to support the deployment of audiovisual content contribution and distribution in developing countries.</w:t>
      </w:r>
    </w:p>
    <w:p w14:paraId="2BA9EED1" w14:textId="77777777" w:rsidR="00AC491A" w:rsidRPr="00380B40" w:rsidRDefault="00AC491A" w:rsidP="00AC491A">
      <w:pPr>
        <w:rPr>
          <w:rFonts w:eastAsia="DengXian"/>
          <w:lang w:val="en-GB" w:eastAsia="ja-JP"/>
        </w:rPr>
      </w:pPr>
      <w:r w:rsidRPr="00380B40">
        <w:rPr>
          <w:rFonts w:eastAsia="DengXian"/>
          <w:lang w:val="en-GB" w:eastAsia="ja-JP"/>
        </w:rPr>
        <w:t>Study Group 9 is responsible for coordination with the ITU Radiocommunication Sector (ITU</w:t>
      </w:r>
      <w:r w:rsidRPr="00380B40">
        <w:rPr>
          <w:rFonts w:eastAsia="DengXian"/>
          <w:lang w:val="en-GB" w:eastAsia="ja-JP"/>
        </w:rPr>
        <w:noBreakHyphen/>
        <w:t>R) on broadcasting matters.</w:t>
      </w:r>
    </w:p>
    <w:p w14:paraId="313B8DE9" w14:textId="77777777" w:rsidR="00AC491A" w:rsidRPr="00380B40" w:rsidRDefault="00AC491A" w:rsidP="00AC491A">
      <w:pPr>
        <w:rPr>
          <w:rFonts w:eastAsia="DengXian"/>
          <w:lang w:val="en-GB" w:eastAsia="ja-JP"/>
        </w:rPr>
      </w:pPr>
      <w:r w:rsidRPr="00380B40">
        <w:rPr>
          <w:rFonts w:eastAsia="DengXian"/>
          <w:lang w:val="en-GB" w:eastAsia="ja-JP"/>
        </w:rPr>
        <w:t>Inter-Sector rapporteur group activities of different Sectors and/or joint rapporteur group activities of different study groups shall be seen as complying with the WTSA expectations for collaboration and coordination.</w:t>
      </w:r>
    </w:p>
    <w:p w14:paraId="54BFF025" w14:textId="77777777" w:rsidR="00EE5BCC" w:rsidRPr="00380B40" w:rsidRDefault="00EE5BCC" w:rsidP="00AC491A">
      <w:pPr>
        <w:pStyle w:val="Headingb"/>
        <w:rPr>
          <w:rFonts w:eastAsia="DengXian"/>
          <w:lang w:val="en-GB" w:eastAsia="ja-JP"/>
        </w:rPr>
      </w:pPr>
      <w:r w:rsidRPr="00380B40">
        <w:rPr>
          <w:rFonts w:eastAsia="DengXian"/>
          <w:lang w:val="en-GB" w:eastAsia="ja-JP"/>
        </w:rPr>
        <w:br w:type="page"/>
      </w:r>
    </w:p>
    <w:p w14:paraId="626CA6BD" w14:textId="77777777" w:rsidR="00AC491A" w:rsidRPr="00380B40" w:rsidRDefault="00AC491A" w:rsidP="00AC491A">
      <w:pPr>
        <w:pStyle w:val="Headingb"/>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11</w:t>
      </w:r>
    </w:p>
    <w:p w14:paraId="7D457EB1" w14:textId="77777777" w:rsidR="00AC491A" w:rsidRPr="00380B40" w:rsidRDefault="00AC491A" w:rsidP="00AC491A">
      <w:pPr>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11 will develop Recommendations on the following subjects:</w:t>
      </w:r>
    </w:p>
    <w:p w14:paraId="6E1A4AED"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network signalling and control architectures in existing and emerging telecommunication environments (e.g. software-defined networking (SDN), network function virtualization (NFV), future networks (FN), cloud computing, VoLTE/ViLTE, IMT-2020 network and beyond, quantum key distribution networks (QKDN) and related technologies, etc.);</w:t>
      </w:r>
    </w:p>
    <w:p w14:paraId="01B96568"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signalling requirements and protocols for services and applications;</w:t>
      </w:r>
    </w:p>
    <w:p w14:paraId="4073EB46"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security of signalling protocols;</w:t>
      </w:r>
    </w:p>
    <w:p w14:paraId="3A15A184"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session control and signalling requirements and protocols;</w:t>
      </w:r>
    </w:p>
    <w:p w14:paraId="6AE22190"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resource control and signalling requirements and protocols;</w:t>
      </w:r>
    </w:p>
    <w:p w14:paraId="002E7EA3"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signalling and control requirements and protocols to support attachment in emerging telecommunication environments;</w:t>
      </w:r>
    </w:p>
    <w:p w14:paraId="12BCE74B"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signalling and control requirements and protocols to support broadband network gateways;</w:t>
      </w:r>
    </w:p>
    <w:p w14:paraId="7401E4F0"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signalling and control requirements and protocols to support emerging multimedia services;</w:t>
      </w:r>
    </w:p>
    <w:p w14:paraId="07B8B858"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signalling and control requirements and protocols to support emergency telecommunication services (ETS);</w:t>
      </w:r>
    </w:p>
    <w:p w14:paraId="5484B5E6"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signalling requirements for establishing the interconnection of packet-based networks, including VoLTE/ViLTE-based networks, IMT-2020 and beyond;</w:t>
      </w:r>
    </w:p>
    <w:p w14:paraId="02431FA9"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test methodologies and test suites as well as monitoring of parameters set for emerging network technologies and their applications, including cloud computing, SDN, NFV, IoT, VoLTE/ViLTE, IMT-2020 technologies, etc., to enhance interoperability;</w:t>
      </w:r>
    </w:p>
    <w:p w14:paraId="64224778"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conformance, interoperability testing and network/system/service/device testing, including benchmark testing, a testing methodology and testing specification of standardized network parameters in relation to the framework for Internet-related performance measurement, etc.;</w:t>
      </w:r>
    </w:p>
    <w:p w14:paraId="121CC5D4"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combating counterfeiting of ICT devices;</w:t>
      </w:r>
    </w:p>
    <w:p w14:paraId="74DE0A76"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combating the use of stolen ICT devices.</w:t>
      </w:r>
    </w:p>
    <w:p w14:paraId="054456C5" w14:textId="77777777" w:rsidR="00AC491A" w:rsidRPr="00380B40" w:rsidRDefault="00AC491A" w:rsidP="00AC491A">
      <w:pPr>
        <w:rPr>
          <w:rFonts w:eastAsia="DengXian"/>
          <w:lang w:val="en-GB" w:eastAsia="ja-JP"/>
        </w:rPr>
      </w:pPr>
      <w:r w:rsidRPr="00380B40">
        <w:rPr>
          <w:rFonts w:eastAsia="DengXian"/>
          <w:lang w:val="en-GB" w:eastAsia="ja-JP"/>
        </w:rPr>
        <w:t>Study Group 11 is to lend assistance to developing countries in the preparation of technical reports and guidelines on the deployment of packet-based networks as well as emerging networks.</w:t>
      </w:r>
    </w:p>
    <w:p w14:paraId="29C16775" w14:textId="77777777" w:rsidR="00AC491A" w:rsidRPr="00380B40" w:rsidRDefault="00AC491A" w:rsidP="00AC491A">
      <w:pPr>
        <w:rPr>
          <w:rFonts w:eastAsia="DengXian"/>
          <w:lang w:val="en-GB" w:eastAsia="ja-JP"/>
        </w:rPr>
      </w:pPr>
      <w:r w:rsidRPr="00380B40">
        <w:rPr>
          <w:rFonts w:eastAsia="DengXian"/>
          <w:lang w:val="en-GB" w:eastAsia="ja-JP"/>
        </w:rPr>
        <w:t>The development of signalling requirements, protocols and test specifications will be as follows:</w:t>
      </w:r>
    </w:p>
    <w:p w14:paraId="7BAACD90"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Study and develop signalling requirements</w:t>
      </w:r>
    </w:p>
    <w:p w14:paraId="629D1A40"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Develop protocols to meet the signalling requirements</w:t>
      </w:r>
    </w:p>
    <w:p w14:paraId="4004FCB7"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Develop protocols to meet the signalling requirements of new services and technologies</w:t>
      </w:r>
    </w:p>
    <w:p w14:paraId="1A5FCECD"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Develop protocol profiles for the existing protocols</w:t>
      </w:r>
    </w:p>
    <w:p w14:paraId="688D4B89" w14:textId="77777777" w:rsidR="00EE5BCC" w:rsidRPr="00380B40" w:rsidRDefault="00EE5BCC" w:rsidP="00AC491A">
      <w:pPr>
        <w:pStyle w:val="enumlev1"/>
        <w:rPr>
          <w:rFonts w:eastAsia="DengXian"/>
          <w:lang w:val="en-GB" w:eastAsia="ja-JP"/>
        </w:rPr>
      </w:pPr>
      <w:r w:rsidRPr="00380B40">
        <w:rPr>
          <w:rFonts w:eastAsia="DengXian"/>
          <w:lang w:val="en-GB" w:eastAsia="ja-JP"/>
        </w:rPr>
        <w:br w:type="page"/>
      </w:r>
    </w:p>
    <w:p w14:paraId="0F97C866"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Study existing protocols to determine if they meet the requirements, and work with the relevant standards-development organizations to avoid duplication and for necessary enhancements or extensions</w:t>
      </w:r>
    </w:p>
    <w:p w14:paraId="4CEFADAC"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Study existing open-source codes from open-source communities (OSCs) to support the implementation of ITU</w:t>
      </w:r>
      <w:r w:rsidRPr="00380B40">
        <w:rPr>
          <w:rFonts w:eastAsia="DengXian"/>
          <w:lang w:val="en-GB" w:eastAsia="ja-JP"/>
        </w:rPr>
        <w:noBreakHyphen/>
        <w:t>T Recommendations</w:t>
      </w:r>
    </w:p>
    <w:p w14:paraId="21E6774D"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Develop signalling requirements and relevant test suites for interworking between new signalling protocols and existing ones</w:t>
      </w:r>
    </w:p>
    <w:p w14:paraId="217B9A51"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Develop signalling requirements and relevant test suites for interconnection between packet-based networks (e.g. VoLTE/ViLTE</w:t>
      </w:r>
      <w:r w:rsidRPr="00380B40">
        <w:rPr>
          <w:rFonts w:eastAsia="DengXian"/>
          <w:lang w:val="en-GB" w:eastAsia="ja-JP"/>
        </w:rPr>
        <w:noBreakHyphen/>
        <w:t>based networks, IMT-2020 and beyond)</w:t>
      </w:r>
    </w:p>
    <w:p w14:paraId="1DDBEAFF"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Develop test methodologies and test suites for the relevant signalling protocols.</w:t>
      </w:r>
    </w:p>
    <w:p w14:paraId="18D2FCC0" w14:textId="77777777" w:rsidR="00AC491A" w:rsidRPr="00380B40" w:rsidRDefault="00AC491A" w:rsidP="00AC491A">
      <w:pPr>
        <w:rPr>
          <w:rFonts w:eastAsia="DengXian"/>
          <w:lang w:val="en-GB" w:eastAsia="ja-JP"/>
        </w:rPr>
      </w:pPr>
      <w:r w:rsidRPr="00380B40">
        <w:rPr>
          <w:rFonts w:eastAsia="DengXian"/>
          <w:lang w:val="en-GB" w:eastAsia="ja-JP"/>
        </w:rPr>
        <w:t>Study Group 11 will collaborate with ITU-T Study Group 17 on security matters.</w:t>
      </w:r>
    </w:p>
    <w:p w14:paraId="7137097E" w14:textId="77777777" w:rsidR="00AC491A" w:rsidRPr="00380B40" w:rsidRDefault="00AC491A" w:rsidP="00AC491A">
      <w:pPr>
        <w:rPr>
          <w:rFonts w:eastAsia="DengXian"/>
          <w:lang w:val="en-GB" w:eastAsia="ja-JP"/>
        </w:rPr>
      </w:pPr>
      <w:r w:rsidRPr="00380B40">
        <w:rPr>
          <w:rFonts w:eastAsia="DengXian"/>
          <w:lang w:val="en-GB" w:eastAsia="ja-JP"/>
        </w:rPr>
        <w:t>Study Group 11 is to work on enhancements to existing Recommendations on signalling protocols of legacy networks and new networks to ensure signalling security. The objective is to satisfy business needs of member organizations that wish to offer new features and services using networks based on existing Recommendations.</w:t>
      </w:r>
    </w:p>
    <w:p w14:paraId="67742C5E" w14:textId="77777777" w:rsidR="00AC491A" w:rsidRPr="00380B40" w:rsidRDefault="00AC491A" w:rsidP="00AC491A">
      <w:pPr>
        <w:rPr>
          <w:rFonts w:eastAsia="DengXian"/>
          <w:color w:val="000000"/>
          <w:lang w:val="en-GB" w:eastAsia="ja-JP"/>
        </w:rPr>
      </w:pPr>
      <w:r w:rsidRPr="00380B40">
        <w:rPr>
          <w:rFonts w:eastAsia="DengXian"/>
          <w:lang w:val="en-GB" w:eastAsia="ja-JP"/>
        </w:rPr>
        <w:t xml:space="preserve">Study Group 11 is to continue coordination with the International Laboratory Accreditation Cooperation (ILAC) on the ITU </w:t>
      </w:r>
      <w:r w:rsidRPr="00380B40">
        <w:rPr>
          <w:rFonts w:eastAsia="DengXian"/>
          <w:color w:val="000000"/>
          <w:lang w:val="en-GB" w:eastAsia="ja-JP"/>
        </w:rPr>
        <w:t xml:space="preserve">Testing Laboratories recognition procedure and establishing collaboration with existing conformance assessment programmes. </w:t>
      </w:r>
    </w:p>
    <w:p w14:paraId="6ED70D41" w14:textId="77777777" w:rsidR="00AC491A" w:rsidRPr="00380B40" w:rsidRDefault="00AC491A" w:rsidP="00AC491A">
      <w:pPr>
        <w:rPr>
          <w:rFonts w:eastAsia="DengXian"/>
          <w:color w:val="000000"/>
          <w:lang w:val="en-GB" w:eastAsia="ja-JP"/>
        </w:rPr>
      </w:pPr>
      <w:r w:rsidRPr="00380B40">
        <w:rPr>
          <w:rFonts w:eastAsia="DengXian"/>
          <w:lang w:val="en-GB" w:eastAsia="ja-JP"/>
        </w:rPr>
        <w:t>Study Group 11 is to continue its work on any test specifications for use in benchmarks testing and testing specification for standardized network parameters in relation to the framework for Internet-related measurements.</w:t>
      </w:r>
    </w:p>
    <w:p w14:paraId="4B246129" w14:textId="77777777" w:rsidR="00AC491A" w:rsidRPr="00380B40" w:rsidRDefault="00AC491A" w:rsidP="00AC491A">
      <w:pPr>
        <w:rPr>
          <w:rFonts w:eastAsia="DengXian"/>
          <w:lang w:val="en-GB" w:eastAsia="ja-JP"/>
        </w:rPr>
      </w:pPr>
      <w:r w:rsidRPr="00380B40">
        <w:rPr>
          <w:rFonts w:eastAsia="DengXian"/>
          <w:color w:val="000000"/>
          <w:lang w:val="en-GB" w:eastAsia="ja-JP"/>
        </w:rPr>
        <w:t>Study Group 11 is to continue its work with relevant standards organizations and forums on subject areas established by the cooperation agreement.</w:t>
      </w:r>
    </w:p>
    <w:p w14:paraId="4DB0471F" w14:textId="77777777" w:rsidR="00AC491A" w:rsidRPr="00380B40" w:rsidRDefault="00AC491A" w:rsidP="00AC491A">
      <w:pPr>
        <w:rPr>
          <w:rFonts w:eastAsia="DengXian"/>
          <w:lang w:val="en-GB" w:eastAsia="ja-JP"/>
        </w:rPr>
      </w:pPr>
      <w:r w:rsidRPr="00380B40">
        <w:rPr>
          <w:rFonts w:eastAsia="DengXian"/>
          <w:lang w:val="en-GB" w:eastAsia="ja-JP"/>
        </w:rPr>
        <w:t>Study Group 11 is to continue its work in developing ITU-T Recommendations, technical reports and guidelines to assist ITU Member States in combating counterfeiting, tampering and theft of ICT equipment and the adverse implications thereof.</w:t>
      </w:r>
    </w:p>
    <w:p w14:paraId="7EA5594F" w14:textId="77777777" w:rsidR="00AC491A" w:rsidRPr="00380B40" w:rsidRDefault="00AC491A" w:rsidP="00AC491A">
      <w:pPr>
        <w:pStyle w:val="Headingb"/>
        <w:rPr>
          <w:rFonts w:eastAsia="DengXian"/>
          <w:lang w:val="en-GB"/>
        </w:rPr>
      </w:pPr>
      <w:r w:rsidRPr="00380B40">
        <w:rPr>
          <w:rFonts w:eastAsia="DengXian"/>
          <w:lang w:val="en-GB"/>
        </w:rPr>
        <w:t>ITU</w:t>
      </w:r>
      <w:r w:rsidRPr="00380B40">
        <w:rPr>
          <w:rFonts w:eastAsia="DengXian"/>
          <w:lang w:val="en-GB"/>
        </w:rPr>
        <w:noBreakHyphen/>
        <w:t>T Study Group 12</w:t>
      </w:r>
    </w:p>
    <w:p w14:paraId="28601EDE" w14:textId="77777777" w:rsidR="00AC491A" w:rsidRPr="00380B40" w:rsidRDefault="00AC491A" w:rsidP="00AC491A">
      <w:pPr>
        <w:rPr>
          <w:rFonts w:eastAsia="DengXian"/>
          <w:lang w:val="en-GB" w:eastAsia="ja-JP"/>
        </w:rPr>
      </w:pPr>
      <w:r w:rsidRPr="00380B40">
        <w:rPr>
          <w:rFonts w:eastAsia="DengXian"/>
          <w:lang w:val="en-GB" w:eastAsia="ja-JP"/>
        </w:rPr>
        <w:t>A particular focus of ITU</w:t>
      </w:r>
      <w:r w:rsidRPr="00380B40">
        <w:rPr>
          <w:rFonts w:eastAsia="DengXian"/>
          <w:lang w:val="en-GB" w:eastAsia="ja-JP"/>
        </w:rPr>
        <w:noBreakHyphen/>
        <w:t>T Study Group 12 is on the end-to-end quality (as perceived by the customer) delivered using a path that, with increasing frequency, involves complex interactions between terminals and network technologies (e.g. mobile terminals, multiplexers, gateway and network signal processing equipment, and IP-based networks).</w:t>
      </w:r>
    </w:p>
    <w:p w14:paraId="0A8CE52C" w14:textId="77777777" w:rsidR="00AC491A" w:rsidRPr="00380B40" w:rsidRDefault="00AC491A" w:rsidP="00AC491A">
      <w:pPr>
        <w:rPr>
          <w:rFonts w:eastAsia="DengXian"/>
          <w:lang w:val="en-GB" w:eastAsia="ja-JP"/>
        </w:rPr>
      </w:pPr>
      <w:r w:rsidRPr="00380B40">
        <w:rPr>
          <w:rFonts w:eastAsia="DengXian"/>
          <w:lang w:val="en-GB" w:eastAsia="ja-JP"/>
        </w:rPr>
        <w:t>As the lead study group for quality of service (QoS) and quality of experience (QoE), Study Group 12 coordinates QoS and QoE activities not only within ITU</w:t>
      </w:r>
      <w:r w:rsidRPr="00380B40">
        <w:rPr>
          <w:rFonts w:eastAsia="DengXian"/>
          <w:lang w:val="en-GB" w:eastAsia="ja-JP"/>
        </w:rPr>
        <w:noBreakHyphen/>
        <w:t>T, but also with other standards-development organizations and forums, and develops frameworks to improve collaboration.</w:t>
      </w:r>
    </w:p>
    <w:p w14:paraId="5A407724" w14:textId="77777777" w:rsidR="00AC491A" w:rsidRPr="00380B40" w:rsidRDefault="00AC491A" w:rsidP="00AC491A">
      <w:pPr>
        <w:rPr>
          <w:rFonts w:eastAsia="DengXian"/>
          <w:lang w:val="en-GB" w:eastAsia="ja-JP"/>
        </w:rPr>
      </w:pPr>
      <w:r w:rsidRPr="00380B40">
        <w:rPr>
          <w:rFonts w:eastAsia="DengXian"/>
          <w:lang w:val="en-GB" w:eastAsia="ja-JP"/>
        </w:rPr>
        <w:t>Study Group 12 is the parent group for the Quality of Service Development Group (QSDG); and the Regional Group of Study Group 12 on QoS for the Africa region (SG12RG-AFR).</w:t>
      </w:r>
    </w:p>
    <w:p w14:paraId="762775B8" w14:textId="77777777" w:rsidR="00EE5BCC" w:rsidRPr="00380B40" w:rsidRDefault="00EE5BCC" w:rsidP="00AC491A">
      <w:pPr>
        <w:rPr>
          <w:rFonts w:eastAsia="DengXian"/>
          <w:lang w:val="en-GB" w:eastAsia="ja-JP"/>
        </w:rPr>
      </w:pPr>
      <w:r w:rsidRPr="00380B40">
        <w:rPr>
          <w:rFonts w:eastAsia="DengXian"/>
          <w:lang w:val="en-GB" w:eastAsia="ja-JP"/>
        </w:rPr>
        <w:br w:type="page"/>
      </w:r>
    </w:p>
    <w:p w14:paraId="62DC0549" w14:textId="77777777" w:rsidR="00AC491A" w:rsidRPr="00380B40" w:rsidRDefault="00AC491A" w:rsidP="00AC491A">
      <w:pPr>
        <w:rPr>
          <w:rFonts w:eastAsia="DengXian"/>
          <w:lang w:val="en-GB" w:eastAsia="ja-JP"/>
        </w:rPr>
      </w:pPr>
      <w:r w:rsidRPr="00380B40">
        <w:rPr>
          <w:rFonts w:eastAsia="DengXian"/>
          <w:lang w:val="en-GB" w:eastAsia="ja-JP"/>
        </w:rPr>
        <w:t xml:space="preserve">Examples of the work Study Group 12 plans to undertake: </w:t>
      </w:r>
    </w:p>
    <w:p w14:paraId="2DC39BA9"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end-to-end QoS planning, focusing on all-packet networks, but also considering hybrid IP/digital circuit-based paths;</w:t>
      </w:r>
    </w:p>
    <w:p w14:paraId="44376994"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QoS operational aspects and related interworking guidance and resource management to support QoS;</w:t>
      </w:r>
    </w:p>
    <w:p w14:paraId="1CDA1BAC"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technology-specific (e.g. IP, Ethernet, multiprotocol label switching (MPLS)) performance guidance;</w:t>
      </w:r>
    </w:p>
    <w:p w14:paraId="76646535"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application-specific (e.g. smart grid, Internet of Things (IoT), machine-to-machine (M2M), home network (HN), over-the-top (OTT)) performance guidance;</w:t>
      </w:r>
    </w:p>
    <w:p w14:paraId="048B864A"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definition of QoE requirements and performance targets, and associated evaluation methodologies, for multimedia services;</w:t>
      </w:r>
    </w:p>
    <w:p w14:paraId="77AB64E0"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definition of objective prediction models based on subjective assessment methodologies, data collection via crowdsourcing and customer surveys;</w:t>
      </w:r>
    </w:p>
    <w:p w14:paraId="0549D4B9"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definition of crowdsourcing-based methodologies for the assessment of QoS and QoE;</w:t>
      </w:r>
    </w:p>
    <w:p w14:paraId="7C726DAF"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subjective quality assessment methodologies for existing and emerging technologies (e.g. telepresence, virtual reality (VR) and augmented reality (AR));</w:t>
      </w:r>
    </w:p>
    <w:p w14:paraId="4CE6C06B"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quality modelling (psychophysical models, parametric models, intrusive and non-intrusive methods, opinion models) for multimedia and speech (including wideband, superwideband and fullband);</w:t>
      </w:r>
    </w:p>
    <w:p w14:paraId="4B70ADCD"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speech-based services in vehicles and aspects of mitigating driver distraction;</w:t>
      </w:r>
    </w:p>
    <w:p w14:paraId="3CC85EA6"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speech terminal characteristics and electro-acoustic measurement methods (including wideband, superwideband and fullband);</w:t>
      </w:r>
    </w:p>
    <w:p w14:paraId="6DE3E397"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definition of QoS parameters and assessment methods related to artificial intelligence (AI) and machine learning;</w:t>
      </w:r>
    </w:p>
    <w:p w14:paraId="5A9EF72A"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development of test specifications for ITU-T Recommendations on performance, QoS and QoE.</w:t>
      </w:r>
    </w:p>
    <w:p w14:paraId="1F7CE1E6" w14:textId="77777777" w:rsidR="00AC491A" w:rsidRPr="00380B40" w:rsidRDefault="00AC491A" w:rsidP="00AC491A">
      <w:pPr>
        <w:pStyle w:val="Headingb"/>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13</w:t>
      </w:r>
    </w:p>
    <w:p w14:paraId="14F2EDA7" w14:textId="77777777" w:rsidR="00AC491A" w:rsidRPr="00380B40" w:rsidRDefault="00AC491A" w:rsidP="00AC491A">
      <w:pPr>
        <w:rPr>
          <w:rFonts w:eastAsia="DengXian"/>
          <w:lang w:val="en-GB" w:eastAsia="ja-JP"/>
        </w:rPr>
      </w:pPr>
      <w:r w:rsidRPr="00380B40">
        <w:rPr>
          <w:rFonts w:eastAsia="DengXian"/>
          <w:lang w:val="en-GB" w:eastAsia="ja-JP"/>
        </w:rPr>
        <w:t>The key areas of competence of ITU</w:t>
      </w:r>
      <w:r w:rsidRPr="00380B40">
        <w:rPr>
          <w:rFonts w:eastAsia="DengXian"/>
          <w:lang w:val="en-GB" w:eastAsia="ja-JP"/>
        </w:rPr>
        <w:noBreakHyphen/>
        <w:t>T Study Group 13 include:</w:t>
      </w:r>
    </w:p>
    <w:p w14:paraId="4693E2E1"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IMT-2020 and beyond network aspects: Studies on the requirements and capabilities for networks based on the service scenarios of IMT-2020 and beyond. This includes development of Recommendations on the framework and architecture design, including also network-related aspects of reliability, quality of service (QoS) and security. Furthermore, it includes interworking with current networks including IMT-Advanced, etc.</w:t>
      </w:r>
    </w:p>
    <w:p w14:paraId="3273A8F5"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Application of machine learning technology aspects for future networks: Studies on how to incorporate network intelligence into IMT-2020 and beyond. Development of Recommendations on overall requirements, functional architecture and application support capabilities for networks, which include artificial intelligence (AI) and machine learning mechanisms, based on, but not limited to, the gap analysis identified by the Focus Group on machine learning for future networks, including 5G.</w:t>
      </w:r>
    </w:p>
    <w:p w14:paraId="1A2582F7" w14:textId="77777777" w:rsidR="00EE5BCC" w:rsidRPr="00380B40" w:rsidRDefault="00EE5BCC" w:rsidP="00AC491A">
      <w:pPr>
        <w:pStyle w:val="enumlev1"/>
        <w:rPr>
          <w:rFonts w:eastAsia="DengXian"/>
          <w:lang w:val="en-GB" w:eastAsia="ja-JP"/>
        </w:rPr>
      </w:pPr>
      <w:r w:rsidRPr="00380B40">
        <w:rPr>
          <w:rFonts w:eastAsia="DengXian"/>
          <w:lang w:val="en-GB" w:eastAsia="ja-JP"/>
        </w:rPr>
        <w:br w:type="page"/>
      </w:r>
    </w:p>
    <w:p w14:paraId="2C1E0DE8"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Software</w:t>
      </w:r>
      <w:r w:rsidRPr="00380B40">
        <w:rPr>
          <w:rFonts w:eastAsia="DengXian"/>
          <w:lang w:val="en-GB" w:eastAsia="ja-JP"/>
        </w:rPr>
        <w:noBreakHyphen/>
        <w:t>defined networking (SDN), network slicing and orchestration aspects: Studies on SDN and data plane programmability to support functions such as network virtualization and network slicing necessary for exploding and diversifying services taking into account scalability, security and distribution of functions. Development of Recommendations on the orchestration and related management-control continuum capabilities/policies of network function components, softwarized network and network slices, including enhancement and support of distributed networking capabilities.</w:t>
      </w:r>
    </w:p>
    <w:p w14:paraId="18083E66"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Information-centric networking (ICN) and public packet telecom data network aspects: Studies related to analysis of ICN applicability to IMT-2020 and beyond. Development of new Recommendations on ICN general requirements, functional architecture and mechanisms of ICN networking and use</w:t>
      </w:r>
      <w:r w:rsidRPr="00380B40">
        <w:rPr>
          <w:rFonts w:eastAsia="DengXian"/>
          <w:lang w:val="en-GB" w:eastAsia="ja-JP"/>
        </w:rPr>
        <w:noBreakHyphen/>
        <w:t xml:space="preserve">case specific mechanisms and architectures, including deployment of corresponding identifiers. Development of Recommendations on packet data network based on the study of requirements, frameworks and candidate mechanisms. Development of Recommendations on architecture, network virtualization, resource control and other technical issues of future packet-based network (FPBN), including migration from the conventional IP-based network to FPBN. </w:t>
      </w:r>
    </w:p>
    <w:p w14:paraId="0F4E7C9D"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Fixed, mobile and satellite convergence aspects: Studies related to access-agnostic core, which integrates fixed, mobile and satellite, and the application of innovative technologies to enhance such convergence, such as AI/machine learning., etc. This also includes the development of Recommendations on full connectivity for various types of user equipment.</w:t>
      </w:r>
    </w:p>
    <w:p w14:paraId="510F574B"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Knowledge-centric trustworthy networking and services aspects: Studies related to requirements and functions to support the building of trusted ICT infrastructures. Development of Recommendations regarding environmental and socio-economic awareness in order to minimize the environmental impact of future networks, as well as to reduce the barriers to entry for various actors involved in the network ecosystem.</w:t>
      </w:r>
    </w:p>
    <w:p w14:paraId="5494C44B"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Quantum-enhanced networks: Studies related to quantum key distribution networks (QKDN). Furthermore, development of new Recommendations related to user networks interacting with quantum-enhanced networks.</w:t>
      </w:r>
    </w:p>
    <w:p w14:paraId="6A3B483C"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Aspects related to future computing, including cloud computing and data handling in telecommunication networks: Studies of the requirements, functional architectures and their capabilities, mechanisms and deployment models of future computing, including cloud computing and data handling, covering inter- and intra-cloud scenarios as well as the applications of future computing in vertical domains. Studies include the development of technologies from the network side to support end-to-end awareness, control and management of future computing, including cloud, cloud security and data handling.</w:t>
      </w:r>
    </w:p>
    <w:p w14:paraId="7F4F2193" w14:textId="77777777" w:rsidR="00AC491A" w:rsidRPr="00380B40" w:rsidRDefault="00AC491A" w:rsidP="00AC491A">
      <w:pPr>
        <w:rPr>
          <w:rFonts w:eastAsia="DengXian"/>
          <w:lang w:val="en-GB" w:eastAsia="ja-JP"/>
        </w:rPr>
      </w:pPr>
      <w:r w:rsidRPr="00380B40">
        <w:rPr>
          <w:rFonts w:eastAsia="DengXian"/>
          <w:lang w:val="en-GB" w:eastAsia="ja-JP"/>
        </w:rPr>
        <w:t>Study Group 13 activities will also cover regulatory implications, including deep packet inspection, and lower energy consumption networks. Furthermore, it includes activities related to innovative service scenarios, deployment models and migration issues based on future networks.</w:t>
      </w:r>
    </w:p>
    <w:p w14:paraId="19C8074E" w14:textId="77777777" w:rsidR="00612190" w:rsidRPr="00380B40" w:rsidRDefault="00612190" w:rsidP="00AC491A">
      <w:pPr>
        <w:rPr>
          <w:rFonts w:eastAsia="DengXian"/>
          <w:lang w:val="en-GB" w:eastAsia="ja-JP"/>
        </w:rPr>
      </w:pPr>
      <w:r w:rsidRPr="00380B40">
        <w:rPr>
          <w:rFonts w:eastAsia="DengXian"/>
          <w:lang w:val="en-GB" w:eastAsia="ja-JP"/>
        </w:rPr>
        <w:br w:type="page"/>
      </w:r>
    </w:p>
    <w:p w14:paraId="29CCFB67" w14:textId="77777777" w:rsidR="00AC491A" w:rsidRPr="00380B40" w:rsidRDefault="00AC491A" w:rsidP="00AC491A">
      <w:pPr>
        <w:rPr>
          <w:rFonts w:eastAsia="DengXian"/>
          <w:lang w:val="en-GB" w:eastAsia="ja-JP"/>
        </w:rPr>
      </w:pPr>
      <w:r w:rsidRPr="00380B40">
        <w:rPr>
          <w:rFonts w:eastAsia="DengXian"/>
          <w:lang w:val="en-GB" w:eastAsia="ja-JP"/>
        </w:rPr>
        <w:t>In order to assist countries with economies in transition, developing countries and especially the least developed countries in the application of networks of the future, including IMT-2020 and beyond and other innovative technologies, Study Group 13 maintains a dedicated Question on this topic, and its regional group for Africa. Consultations should thereby be enabled with representatives of the ITU Telecommunication Development Sector (ITU-D) with a view to identifying how this assistance might best be provided through an appropriate activity conducted in conjunction with ITU</w:t>
      </w:r>
      <w:r w:rsidRPr="00380B40">
        <w:rPr>
          <w:rFonts w:eastAsia="DengXian"/>
          <w:lang w:val="en-GB" w:eastAsia="ja-JP"/>
        </w:rPr>
        <w:noBreakHyphen/>
        <w:t>D.</w:t>
      </w:r>
    </w:p>
    <w:p w14:paraId="37D55D82" w14:textId="77777777" w:rsidR="00AC491A" w:rsidRPr="00380B40" w:rsidRDefault="00AC491A" w:rsidP="00AC491A">
      <w:pPr>
        <w:rPr>
          <w:rFonts w:eastAsia="DengXian"/>
          <w:lang w:val="en-GB" w:eastAsia="ja-JP"/>
        </w:rPr>
      </w:pPr>
      <w:r w:rsidRPr="00380B40">
        <w:rPr>
          <w:rFonts w:eastAsia="DengXian"/>
          <w:lang w:val="en-GB" w:eastAsia="ja-JP"/>
        </w:rPr>
        <w:t>Joint rapporteur group activities of different study groups shall be seen as complying with the WTSA expectations for collocation.</w:t>
      </w:r>
    </w:p>
    <w:p w14:paraId="0F711BD2" w14:textId="77777777" w:rsidR="00AC491A" w:rsidRPr="00380B40" w:rsidRDefault="00AC491A" w:rsidP="00AC491A">
      <w:pPr>
        <w:pStyle w:val="Headingb"/>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15</w:t>
      </w:r>
    </w:p>
    <w:p w14:paraId="014507BB" w14:textId="77777777" w:rsidR="00AC491A" w:rsidRPr="00380B40" w:rsidRDefault="00AC491A" w:rsidP="00AC491A">
      <w:pPr>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15 is the focal point in ITU</w:t>
      </w:r>
      <w:r w:rsidRPr="00380B40">
        <w:rPr>
          <w:rFonts w:eastAsia="DengXian"/>
          <w:lang w:val="en-GB" w:eastAsia="ja-JP"/>
        </w:rPr>
        <w:noBreakHyphen/>
        <w:t xml:space="preserve">T for the development of standards on networks, technologies and infrastructures for transport, access and home. This encompasses the development of related standards for the customer premises, access, metropolitan and long-haul sections of communication networks. </w:t>
      </w:r>
    </w:p>
    <w:p w14:paraId="50464C80" w14:textId="77777777" w:rsidR="00AC491A" w:rsidRPr="00380B40" w:rsidRDefault="00AC491A" w:rsidP="00AC491A">
      <w:pPr>
        <w:rPr>
          <w:rFonts w:eastAsia="DengXian"/>
          <w:lang w:val="en-GB" w:eastAsia="ja-JP"/>
        </w:rPr>
      </w:pPr>
      <w:r w:rsidRPr="00380B40">
        <w:rPr>
          <w:rFonts w:eastAsia="DengXian"/>
          <w:lang w:val="en-GB" w:eastAsia="ja-JP"/>
        </w:rPr>
        <w:t>Particular emphasis is given to providing global standards for a high-capacity (terabit) optical transport network (OTN) infrastructure, and for high</w:t>
      </w:r>
      <w:r w:rsidRPr="00380B40">
        <w:rPr>
          <w:rFonts w:eastAsia="DengXian"/>
          <w:lang w:val="en-GB" w:eastAsia="ja-JP"/>
        </w:rPr>
        <w:noBreakHyphen/>
        <w:t>speed (multi</w:t>
      </w:r>
      <w:r w:rsidRPr="00380B40">
        <w:rPr>
          <w:rFonts w:eastAsia="DengXian"/>
          <w:lang w:val="en-GB" w:eastAsia="ja-JP"/>
        </w:rPr>
        <w:noBreakHyphen/>
        <w:t>Mbit/s and Gbit/s) network access and home networking. This includes the related work on modelling for network, system and equipment management, transport network architectures and layer interworking. Special consideration is being given to the changing telecommunication environment, for example, supporting the evolving needs of mobile communication networks.</w:t>
      </w:r>
    </w:p>
    <w:p w14:paraId="33F1B3DA" w14:textId="77777777" w:rsidR="00AC491A" w:rsidRPr="00380B40" w:rsidRDefault="00AC491A" w:rsidP="00AC491A">
      <w:pPr>
        <w:rPr>
          <w:rFonts w:eastAsia="DengXian"/>
          <w:lang w:val="en-GB" w:eastAsia="ja-JP"/>
        </w:rPr>
      </w:pPr>
      <w:r w:rsidRPr="00380B40">
        <w:rPr>
          <w:rFonts w:eastAsia="DengXian"/>
          <w:lang w:val="en-GB" w:eastAsia="ja-JP"/>
        </w:rPr>
        <w:t>Access network technologies addressed by the study group include passive optical network (PON), point-to-point optical, and copper-based digital subscriber line (DSL) technologies, including ADSL, VDSL, HDSL, SHDSL, G.fast and MGfast. These access technologies find application in their traditional uses as well as in backhaul and fronthaul networks for emerging services such as broadband wireless and data centre interconnect. Home networking technologies include wired broadband, wired narrowband, wireless narrowband, optical fibre and free-space optical communications. Both access and home networking for smart-grid applications are supported.</w:t>
      </w:r>
    </w:p>
    <w:p w14:paraId="5A8D7FF8" w14:textId="77777777" w:rsidR="00AC491A" w:rsidRPr="00380B40" w:rsidRDefault="00AC491A" w:rsidP="00AC491A">
      <w:pPr>
        <w:rPr>
          <w:rFonts w:eastAsia="DengXian"/>
          <w:lang w:val="en-GB" w:eastAsia="ja-JP"/>
        </w:rPr>
      </w:pPr>
      <w:r w:rsidRPr="00380B40">
        <w:rPr>
          <w:rFonts w:eastAsia="DengXian"/>
          <w:lang w:val="en-GB" w:eastAsia="ja-JP"/>
        </w:rPr>
        <w:t xml:space="preserve">Network, system and equipment features covered include: routing, switching, interfaces, multiplexers; secure transport; network synchronization (including frequency, time and phase); cross-connect (including optical cross-connect (OXC)), add/drop multiplexers (including fixed or reconfigurable optical add/drop multiplexers (ROADM)), amplifiers, transceivers, repeaters, regenerators; multilayer network protection switching and restoration; operations, administration and maintenance (OAM); transport resource management and control capabilities to enable increased transport network agility, resource optimization, and scalability (e.g. the application of software-defined networking (SDN) to transport networks, together with enabling the use of artificial intelligence (AI)/machine learning (ML) to support the automation of transport network operations). Many of these topics are addressed for various media and transport technologies, such as metallic and terrestrial/submarine optical fibre cables, dense and coarse wavelength-division multiplexing (DWDM and CWDM) optical systems for fixed and flex-grid networks, optical transport network (OTN), including the evolution of OTN beyond 400 Gbit/s rates, Ethernet and other packet-based data services. </w:t>
      </w:r>
    </w:p>
    <w:p w14:paraId="01733BC4" w14:textId="77777777" w:rsidR="00612190" w:rsidRPr="00380B40" w:rsidRDefault="00612190" w:rsidP="00AC491A">
      <w:pPr>
        <w:rPr>
          <w:rFonts w:eastAsia="DengXian"/>
          <w:lang w:val="en-GB" w:eastAsia="ja-JP"/>
        </w:rPr>
      </w:pPr>
      <w:r w:rsidRPr="00380B40">
        <w:rPr>
          <w:rFonts w:eastAsia="DengXian"/>
          <w:lang w:val="en-GB" w:eastAsia="ja-JP"/>
        </w:rPr>
        <w:br w:type="page"/>
      </w:r>
    </w:p>
    <w:p w14:paraId="3CC88C8B" w14:textId="77777777" w:rsidR="00AC491A" w:rsidRPr="00380B40" w:rsidRDefault="00AC491A" w:rsidP="00AC491A">
      <w:pPr>
        <w:rPr>
          <w:rFonts w:eastAsia="DengXian"/>
          <w:lang w:val="en-GB" w:eastAsia="ja-JP"/>
        </w:rPr>
      </w:pPr>
      <w:r w:rsidRPr="00380B40">
        <w:rPr>
          <w:rFonts w:eastAsia="DengXian"/>
          <w:lang w:val="en-GB" w:eastAsia="ja-JP"/>
        </w:rPr>
        <w:t>The study group will handle the entire range of fibre and cable performance (including test methods), field deployment and installation, taking into account the need for additional specifications driven by new optical fibre technologies and new applications. The activity on field deployment and installation will address reliability, security aspects and social issues, such as the reduction of excavation, the problems caused to traffic and the generation of construction noise, and will include the investigation and standardization of new techniques allowing faster, cost-effective and safer cable installation. Planning, construction, maintenance and management of the physical infrastructure will take into account the advantages of emerging technologies. Approaches that improve network resilience and recovery from disasters will be studied.</w:t>
      </w:r>
    </w:p>
    <w:p w14:paraId="74C48F21" w14:textId="77777777" w:rsidR="00AC491A" w:rsidRPr="00380B40" w:rsidRDefault="00AC491A" w:rsidP="00AC491A">
      <w:pPr>
        <w:rPr>
          <w:rFonts w:eastAsia="DengXian"/>
          <w:lang w:val="en-GB" w:eastAsia="ja-JP"/>
        </w:rPr>
      </w:pPr>
      <w:r w:rsidRPr="00380B40">
        <w:rPr>
          <w:rFonts w:eastAsia="DengXian"/>
          <w:lang w:val="en-GB" w:eastAsia="ja-JP"/>
        </w:rPr>
        <w:t>In its work, Study Group 15 will take into account related activities in other ITU study groups, standards-development organizations, forums and consortia, and will collaborate with them to avoid duplication of effort and identify any gaps in the development of global standards.</w:t>
      </w:r>
    </w:p>
    <w:p w14:paraId="33B3DA1A" w14:textId="77777777" w:rsidR="00AC491A" w:rsidRPr="00380B40" w:rsidRDefault="00AC491A" w:rsidP="00AC491A">
      <w:pPr>
        <w:rPr>
          <w:rFonts w:eastAsia="DengXian"/>
          <w:lang w:val="en-GB" w:eastAsia="ja-JP"/>
        </w:rPr>
      </w:pPr>
      <w:r w:rsidRPr="00380B40">
        <w:rPr>
          <w:rFonts w:eastAsia="DengXian"/>
          <w:lang w:val="en-GB" w:eastAsia="ja-JP"/>
        </w:rPr>
        <w:t xml:space="preserve">Study Group 15 has developed standards on networks, technologies and infrastructures for transport, access and home related to Action Line C2 </w:t>
      </w:r>
      <w:r w:rsidRPr="00380B40">
        <w:rPr>
          <w:lang w:val="en-GB"/>
        </w:rPr>
        <w:t>(</w:t>
      </w:r>
      <w:r w:rsidRPr="00380B40">
        <w:rPr>
          <w:rFonts w:eastAsia="DengXian"/>
          <w:lang w:val="en-GB" w:eastAsia="ja-JP"/>
        </w:rPr>
        <w:t>Information and communication infrastructure</w:t>
      </w:r>
      <w:r w:rsidRPr="00380B40">
        <w:rPr>
          <w:lang w:val="en-GB"/>
        </w:rPr>
        <w:t>)</w:t>
      </w:r>
      <w:r w:rsidRPr="00380B40">
        <w:rPr>
          <w:rFonts w:eastAsia="DengXian"/>
          <w:lang w:val="en-GB" w:eastAsia="ja-JP"/>
        </w:rPr>
        <w:t xml:space="preserve"> of the World Summit on the Information Society (WSIS) and United Nations Sustainable Development Goal 9 </w:t>
      </w:r>
      <w:r w:rsidRPr="00380B40">
        <w:rPr>
          <w:lang w:val="en-GB"/>
        </w:rPr>
        <w:t>(</w:t>
      </w:r>
      <w:r w:rsidRPr="00380B40">
        <w:rPr>
          <w:rFonts w:eastAsia="DengXian"/>
          <w:lang w:val="en-GB" w:eastAsia="ja-JP"/>
        </w:rPr>
        <w:t>Industry, innovation and infrastructure</w:t>
      </w:r>
      <w:r w:rsidRPr="00380B40">
        <w:rPr>
          <w:lang w:val="en-GB"/>
        </w:rPr>
        <w:t>)</w:t>
      </w:r>
      <w:r w:rsidRPr="00380B40">
        <w:rPr>
          <w:rFonts w:eastAsia="DengXian"/>
          <w:lang w:val="en-GB" w:eastAsia="ja-JP"/>
        </w:rPr>
        <w:t>.</w:t>
      </w:r>
    </w:p>
    <w:p w14:paraId="15C2EDB1" w14:textId="77777777" w:rsidR="00AC491A" w:rsidRPr="00380B40" w:rsidRDefault="00AC491A" w:rsidP="00AC491A">
      <w:pPr>
        <w:pStyle w:val="Headingb"/>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16</w:t>
      </w:r>
    </w:p>
    <w:p w14:paraId="72255565" w14:textId="77777777" w:rsidR="00AC491A" w:rsidRPr="00380B40" w:rsidRDefault="00AC491A" w:rsidP="00AC491A">
      <w:pPr>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16 will work on the following items:</w:t>
      </w:r>
    </w:p>
    <w:p w14:paraId="1D4A0971"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terminology for various multimedia services;</w:t>
      </w:r>
    </w:p>
    <w:p w14:paraId="3C58F05E"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operation of multimedia systems and applications, including interoperability, scalability and interworking over different networks;</w:t>
      </w:r>
    </w:p>
    <w:p w14:paraId="3B0A2874"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ubiquitous multimedia services and applications;</w:t>
      </w:r>
    </w:p>
    <w:p w14:paraId="0FBECFF9"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multimedia aspects of digital services;</w:t>
      </w:r>
    </w:p>
    <w:p w14:paraId="263D312A"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multimedia system and service accessibility for digital inclusion;</w:t>
      </w:r>
    </w:p>
    <w:p w14:paraId="1493EA75"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development of multimedia end-to-end architectures, including vehicle gateway for intelligent transport systems (ITS);</w:t>
      </w:r>
    </w:p>
    <w:p w14:paraId="099647F3"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high-layer protocols and middleware for multimedia systems and applications, including IP-based television services (managed and non-managed networks), Internet-based streaming media services and digital signage;</w:t>
      </w:r>
    </w:p>
    <w:p w14:paraId="6552E6A7"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media and signal coding;</w:t>
      </w:r>
    </w:p>
    <w:p w14:paraId="38678968"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multimedia and multimode terminals;</w:t>
      </w:r>
    </w:p>
    <w:p w14:paraId="770F3478"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human-machine interaction;</w:t>
      </w:r>
    </w:p>
    <w:p w14:paraId="1D5CC9B2"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signal processing network equipment and terminals, gateway implementations, and characteristics;</w:t>
      </w:r>
    </w:p>
    <w:p w14:paraId="0BB26CF0"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quality of service (QoS), quality of experience (QoE) and end-to-end performance in multimedia systems;</w:t>
      </w:r>
    </w:p>
    <w:p w14:paraId="5709DA4D"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security of multimedia systems and services;</w:t>
      </w:r>
    </w:p>
    <w:p w14:paraId="30088EC5"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multimedia aspects of distributed ledger technology (DLT) and its applications;</w:t>
      </w:r>
    </w:p>
    <w:p w14:paraId="5359EA64"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digital multimedia services and applications in various vertical industries;</w:t>
      </w:r>
    </w:p>
    <w:p w14:paraId="3B81DB77"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 xml:space="preserve">AI-enabled </w:t>
      </w:r>
      <w:r w:rsidRPr="00380B40">
        <w:rPr>
          <w:rFonts w:eastAsia="DengXian"/>
          <w:iCs/>
          <w:lang w:val="en-GB" w:eastAsia="ja-JP"/>
        </w:rPr>
        <w:t>multimedia</w:t>
      </w:r>
      <w:r w:rsidRPr="00380B40">
        <w:rPr>
          <w:rFonts w:eastAsia="DengXian"/>
          <w:lang w:val="en-GB" w:eastAsia="ja-JP"/>
        </w:rPr>
        <w:t xml:space="preserve"> applications.</w:t>
      </w:r>
    </w:p>
    <w:p w14:paraId="7FCD3599" w14:textId="77777777" w:rsidR="00AC491A" w:rsidRPr="00380B40" w:rsidRDefault="00AC491A" w:rsidP="00AC491A">
      <w:pPr>
        <w:rPr>
          <w:rFonts w:eastAsia="DengXian"/>
          <w:lang w:val="en-GB" w:eastAsia="ja-JP"/>
        </w:rPr>
      </w:pPr>
      <w:r w:rsidRPr="00380B40">
        <w:rPr>
          <w:rFonts w:eastAsia="DengXian"/>
          <w:lang w:val="en-GB" w:eastAsia="ja-JP"/>
        </w:rPr>
        <w:t>In developing its studies, Study Group 16 will take into consideration societal and ethical aspects of intelligent applications.</w:t>
      </w:r>
    </w:p>
    <w:p w14:paraId="7E8E38D2" w14:textId="77777777" w:rsidR="00612190" w:rsidRPr="00380B40" w:rsidRDefault="00612190" w:rsidP="00AC491A">
      <w:pPr>
        <w:rPr>
          <w:rFonts w:eastAsia="DengXian"/>
          <w:lang w:val="en-GB" w:eastAsia="ja-JP"/>
        </w:rPr>
      </w:pPr>
      <w:r w:rsidRPr="00380B40">
        <w:rPr>
          <w:rFonts w:eastAsia="DengXian"/>
          <w:lang w:val="en-GB" w:eastAsia="ja-JP"/>
        </w:rPr>
        <w:br w:type="page"/>
      </w:r>
    </w:p>
    <w:p w14:paraId="3126D570" w14:textId="77777777" w:rsidR="00AC491A" w:rsidRPr="00380B40" w:rsidRDefault="00AC491A" w:rsidP="00AC491A">
      <w:pPr>
        <w:rPr>
          <w:rFonts w:eastAsia="DengXian"/>
          <w:lang w:val="en-GB" w:eastAsia="ja-JP"/>
        </w:rPr>
      </w:pPr>
      <w:r w:rsidRPr="00380B40">
        <w:rPr>
          <w:rFonts w:eastAsia="DengXian"/>
          <w:lang w:val="en-GB" w:eastAsia="ja-JP"/>
        </w:rPr>
        <w:t>ITU-T Study Group 16 will work collaboratively with all stakeholders working in the standardization areas within its mandate, in particular with ITU-T Study Groups 2, 9, 12 and 20 and other ITU study groups, other United Nations agencies, the International Organization for Standardization (ISO), the International Electrotechnical Commission (IEC), industry forums and consortia, and regional and international standards-development organizations.</w:t>
      </w:r>
    </w:p>
    <w:p w14:paraId="39D6FAFC" w14:textId="77777777" w:rsidR="00AC491A" w:rsidRPr="00380B40" w:rsidRDefault="00AC491A" w:rsidP="00AC491A">
      <w:pPr>
        <w:pStyle w:val="Headingb"/>
        <w:rPr>
          <w:rFonts w:eastAsia="DengXian"/>
          <w:lang w:val="en-GB" w:eastAsia="ja-JP"/>
        </w:rPr>
      </w:pPr>
      <w:bookmarkStart w:id="85" w:name="_Toc77606667"/>
      <w:bookmarkEnd w:id="85"/>
      <w:r w:rsidRPr="00380B40">
        <w:rPr>
          <w:rFonts w:eastAsia="DengXian"/>
          <w:lang w:val="en-GB" w:eastAsia="ja-JP"/>
        </w:rPr>
        <w:t>ITU</w:t>
      </w:r>
      <w:r w:rsidRPr="00380B40">
        <w:rPr>
          <w:rFonts w:eastAsia="DengXian"/>
          <w:lang w:val="en-GB" w:eastAsia="ja-JP"/>
        </w:rPr>
        <w:noBreakHyphen/>
        <w:t>T Study Group 17</w:t>
      </w:r>
    </w:p>
    <w:p w14:paraId="07677276" w14:textId="77777777" w:rsidR="00AC491A" w:rsidRPr="00380B40" w:rsidRDefault="00AC491A" w:rsidP="00AC491A">
      <w:pPr>
        <w:rPr>
          <w:rFonts w:eastAsia="DengXian"/>
          <w:lang w:val="en-GB" w:eastAsia="ja-JP"/>
        </w:rPr>
      </w:pPr>
      <w:r w:rsidRPr="00380B40">
        <w:rPr>
          <w:rFonts w:eastAsia="DengXian"/>
          <w:lang w:val="en-GB" w:eastAsia="ja-JP"/>
        </w:rPr>
        <w:t>ITU</w:t>
      </w:r>
      <w:r w:rsidRPr="00380B40">
        <w:rPr>
          <w:rFonts w:eastAsia="DengXian"/>
          <w:lang w:val="en-GB" w:eastAsia="ja-JP"/>
        </w:rPr>
        <w:noBreakHyphen/>
        <w:t xml:space="preserve">T Study Group 17 is responsible for developing key technical Recommendations in supporting building confidence and security in the use of ICTs. </w:t>
      </w:r>
    </w:p>
    <w:p w14:paraId="269ED556" w14:textId="77777777" w:rsidR="00AC491A" w:rsidRPr="00380B40" w:rsidRDefault="00AC491A" w:rsidP="00AC491A">
      <w:pPr>
        <w:rPr>
          <w:rFonts w:eastAsia="DengXian"/>
          <w:lang w:val="en-GB" w:eastAsia="ja-JP"/>
        </w:rPr>
      </w:pPr>
      <w:r w:rsidRPr="00380B40">
        <w:rPr>
          <w:rFonts w:eastAsia="DengXian"/>
          <w:lang w:val="en-GB" w:eastAsia="ja-JP"/>
        </w:rPr>
        <w:t>To this end, this includes studies relating to security, including cybersecurity, countering spam and identity management. It also includes security architecture and framework, security management, and security of networks, applications and services such as the Internet of Things (IoT), intelligent transport systems (ITS), secure application services, social networks, cloud computing, distributed ledger technology (DLT) and telebiometrics. Study Group 17 is also responsible for the application of open system communications, including directory and object identifiers, and for technical languages, the method for their usage and other issues related to the software aspects of telecommunication systems, and for conformance testing to improve the quality of Recommendations.</w:t>
      </w:r>
    </w:p>
    <w:p w14:paraId="366B0E1F" w14:textId="77777777" w:rsidR="00AC491A" w:rsidRPr="00380B40" w:rsidRDefault="00AC491A" w:rsidP="00AC491A">
      <w:pPr>
        <w:rPr>
          <w:rFonts w:eastAsia="DengXian"/>
          <w:lang w:val="en-GB" w:eastAsia="ja-JP"/>
        </w:rPr>
      </w:pPr>
      <w:r w:rsidRPr="00380B40">
        <w:rPr>
          <w:rFonts w:eastAsia="DengXian"/>
          <w:lang w:val="en-GB" w:eastAsia="ja-JP"/>
        </w:rPr>
        <w:t>Study Group 17</w:t>
      </w:r>
      <w:r w:rsidR="00F82355" w:rsidRPr="00380B40">
        <w:rPr>
          <w:rFonts w:eastAsia="DengXian"/>
          <w:lang w:val="en-GB" w:eastAsia="ja-JP"/>
        </w:rPr>
        <w:t>'</w:t>
      </w:r>
      <w:r w:rsidRPr="00380B40">
        <w:rPr>
          <w:rFonts w:eastAsia="DengXian"/>
          <w:lang w:val="en-GB" w:eastAsia="ja-JP"/>
        </w:rPr>
        <w:t>s role is to provide technical solutions for addressing security for ICTs and ensuring security by ICTs. Studies focus especially on security for new emerging areas, such as security for IMT-2020/5G and beyond, IoT, smart cities, DLT, big data analytics, ITS, security aspects related to artificial intelligence (AI) and quantum-related technologies. Its study areas also include the management of personally identifiable information (PII), such as technical and operational aspects of data protection with respect to ensuring confidentiality, integrity and availability of PII.</w:t>
      </w:r>
    </w:p>
    <w:p w14:paraId="440998D9" w14:textId="77777777" w:rsidR="00AC491A" w:rsidRPr="00380B40" w:rsidRDefault="00AC491A" w:rsidP="00AC491A">
      <w:pPr>
        <w:rPr>
          <w:rFonts w:eastAsia="DengXian"/>
          <w:lang w:val="en-GB" w:eastAsia="ja-JP"/>
        </w:rPr>
      </w:pPr>
      <w:r w:rsidRPr="00380B40">
        <w:rPr>
          <w:rFonts w:eastAsia="DengXian"/>
          <w:lang w:val="en-GB" w:eastAsia="ja-JP"/>
        </w:rPr>
        <w:t xml:space="preserve">In the area of security, Study Group 17 is responsible for developing the core Recommendations on ICT security, such as security architecture and frameworks; the fundamentals related to cybersecurity, including threats, vulnerabilities and risks, incident handling/response and digital forensics; security management, including management of PII, such as technical and operational aspects of data protection; and countering spam by technical means. </w:t>
      </w:r>
    </w:p>
    <w:p w14:paraId="3F3991A7" w14:textId="77777777" w:rsidR="00AC491A" w:rsidRPr="00380B40" w:rsidRDefault="00AC491A" w:rsidP="00AC491A">
      <w:pPr>
        <w:rPr>
          <w:rFonts w:eastAsia="DengXian"/>
          <w:lang w:val="en-GB" w:eastAsia="ja-JP"/>
        </w:rPr>
      </w:pPr>
      <w:r w:rsidRPr="00380B40">
        <w:rPr>
          <w:rFonts w:eastAsia="DengXian"/>
          <w:lang w:val="en-GB" w:eastAsia="ja-JP"/>
        </w:rPr>
        <w:t>Study Group 17 provides overall coordination of security work in ITU</w:t>
      </w:r>
      <w:r w:rsidRPr="00380B40">
        <w:rPr>
          <w:rFonts w:eastAsia="DengXian"/>
          <w:lang w:val="en-GB" w:eastAsia="ja-JP"/>
        </w:rPr>
        <w:noBreakHyphen/>
        <w:t>T in its capacity as lead study group on security, on identity management, and on languages and description techniques.</w:t>
      </w:r>
    </w:p>
    <w:p w14:paraId="1E957ED3" w14:textId="77777777" w:rsidR="00AC491A" w:rsidRPr="00380B40" w:rsidRDefault="00AC491A" w:rsidP="00AC491A">
      <w:pPr>
        <w:rPr>
          <w:rFonts w:eastAsia="DengXian"/>
          <w:lang w:val="en-GB" w:eastAsia="ja-JP"/>
        </w:rPr>
      </w:pPr>
      <w:r w:rsidRPr="00380B40">
        <w:rPr>
          <w:rFonts w:eastAsia="DengXian"/>
          <w:lang w:val="en-GB" w:eastAsia="ja-JP"/>
        </w:rPr>
        <w:t>In addition, Study Group 17 is responsible for developing the core Recommendations on security for DLT, security for ITS, security aspects of applications and services in the areas of Internet Protocol television (IPTV), various kinds of networks, including IMT-2020/5G and beyond, smart grid, industrial control systems (ICS), supply chains, IoT and smart cities, software-defined networking (SDN), network function virtualization (NFV), social networks, cloud computing, big data analytics, smartphones, digital financial systems and telebiometrics.</w:t>
      </w:r>
    </w:p>
    <w:p w14:paraId="682F1F3F" w14:textId="77777777" w:rsidR="00612190" w:rsidRPr="00380B40" w:rsidRDefault="00612190" w:rsidP="00AC491A">
      <w:pPr>
        <w:rPr>
          <w:rFonts w:eastAsia="DengXian"/>
          <w:lang w:val="en-GB" w:eastAsia="ja-JP"/>
        </w:rPr>
      </w:pPr>
      <w:r w:rsidRPr="00380B40">
        <w:rPr>
          <w:rFonts w:eastAsia="DengXian"/>
          <w:lang w:val="en-GB" w:eastAsia="ja-JP"/>
        </w:rPr>
        <w:br w:type="page"/>
      </w:r>
    </w:p>
    <w:p w14:paraId="72CE8F5F" w14:textId="77777777" w:rsidR="00AC491A" w:rsidRPr="00380B40" w:rsidRDefault="00AC491A" w:rsidP="00AC491A">
      <w:pPr>
        <w:rPr>
          <w:rFonts w:eastAsia="DengXian"/>
          <w:lang w:val="en-GB" w:eastAsia="ja-JP"/>
        </w:rPr>
      </w:pPr>
      <w:r w:rsidRPr="00380B40">
        <w:rPr>
          <w:rFonts w:eastAsia="DengXian"/>
          <w:lang w:val="en-GB" w:eastAsia="ja-JP"/>
        </w:rPr>
        <w:t>Study Group 17 is also responsible for developing the core Recommendations on a generic identity management model that is independent of network technologies and supports the secure exchange of identity information between entities. This work also includes studying the process for discovery of authoritative sources of identity information; generic mechanisms for the bridging/interoperability of a diverse set of identity information formats; identity management threats; the mechanisms to counter these threats; the protection of PII; and the development of mechanisms to ensure that access to PII is only authorized when appropriate.</w:t>
      </w:r>
    </w:p>
    <w:p w14:paraId="795F2765" w14:textId="77777777" w:rsidR="00AC491A" w:rsidRPr="00380B40" w:rsidRDefault="00AC491A" w:rsidP="00AC491A">
      <w:pPr>
        <w:rPr>
          <w:rFonts w:eastAsia="DengXian"/>
          <w:lang w:val="en-GB" w:eastAsia="ja-JP"/>
        </w:rPr>
      </w:pPr>
      <w:r w:rsidRPr="00380B40">
        <w:rPr>
          <w:rFonts w:eastAsia="DengXian"/>
          <w:lang w:val="en-GB" w:eastAsia="ja-JP"/>
        </w:rPr>
        <w:t>In the area of open system communication, Study Group 17 is responsible for Recommendations in the following areas:</w:t>
      </w:r>
    </w:p>
    <w:p w14:paraId="52773F82"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directory services and systems, including public key infrastructure (PKI) (ITU</w:t>
      </w:r>
      <w:r w:rsidRPr="00380B40">
        <w:rPr>
          <w:rFonts w:eastAsia="DengXian"/>
          <w:lang w:val="en-GB" w:eastAsia="ja-JP"/>
        </w:rPr>
        <w:noBreakHyphen/>
        <w:t>T F.500- and ITU</w:t>
      </w:r>
      <w:r w:rsidRPr="00380B40">
        <w:rPr>
          <w:rFonts w:eastAsia="DengXian"/>
          <w:lang w:val="en-GB" w:eastAsia="ja-JP"/>
        </w:rPr>
        <w:noBreakHyphen/>
        <w:t>T X.500-series);</w:t>
      </w:r>
    </w:p>
    <w:p w14:paraId="43CC34C5"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object identifiers (OIDs) and associated registration authorities (ITU</w:t>
      </w:r>
      <w:r w:rsidRPr="00380B40">
        <w:rPr>
          <w:rFonts w:eastAsia="DengXian"/>
          <w:lang w:val="en-GB" w:eastAsia="ja-JP"/>
        </w:rPr>
        <w:noBreakHyphen/>
        <w:t>T X.660/ITU</w:t>
      </w:r>
      <w:r w:rsidRPr="00380B40">
        <w:rPr>
          <w:rFonts w:eastAsia="DengXian"/>
          <w:lang w:val="en-GB" w:eastAsia="ja-JP"/>
        </w:rPr>
        <w:noBreakHyphen/>
        <w:t>T X.670-series);</w:t>
      </w:r>
    </w:p>
    <w:p w14:paraId="0C113B8B"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open systems interconnection (OSI), including Abstract Syntax Notation One (ASN.1) (ITU</w:t>
      </w:r>
      <w:r w:rsidRPr="00380B40">
        <w:rPr>
          <w:rFonts w:eastAsia="DengXian"/>
          <w:lang w:val="en-GB" w:eastAsia="ja-JP"/>
        </w:rPr>
        <w:noBreakHyphen/>
        <w:t>T F.400</w:t>
      </w:r>
      <w:r w:rsidRPr="00380B40">
        <w:rPr>
          <w:rFonts w:eastAsia="DengXian"/>
          <w:lang w:val="en-GB" w:eastAsia="ja-JP"/>
        </w:rPr>
        <w:noBreakHyphen/>
        <w:t>, ITU</w:t>
      </w:r>
      <w:r w:rsidRPr="00380B40">
        <w:rPr>
          <w:rFonts w:eastAsia="DengXian"/>
          <w:lang w:val="en-GB" w:eastAsia="ja-JP"/>
        </w:rPr>
        <w:noBreakHyphen/>
        <w:t>T X.200-, ITU</w:t>
      </w:r>
      <w:r w:rsidRPr="00380B40">
        <w:rPr>
          <w:rFonts w:eastAsia="DengXian"/>
          <w:lang w:val="en-GB" w:eastAsia="ja-JP"/>
        </w:rPr>
        <w:noBreakHyphen/>
        <w:t>T X.400-, ITU</w:t>
      </w:r>
      <w:r w:rsidRPr="00380B40">
        <w:rPr>
          <w:rFonts w:eastAsia="DengXian"/>
          <w:lang w:val="en-GB" w:eastAsia="ja-JP"/>
        </w:rPr>
        <w:noBreakHyphen/>
        <w:t>T X.600-, ITU</w:t>
      </w:r>
      <w:r w:rsidRPr="00380B40">
        <w:rPr>
          <w:rFonts w:eastAsia="DengXian"/>
          <w:lang w:val="en-GB" w:eastAsia="ja-JP"/>
        </w:rPr>
        <w:noBreakHyphen/>
        <w:t>T X.800-series); and</w:t>
      </w:r>
    </w:p>
    <w:p w14:paraId="0C25EC09"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open distributed processing (ODP) (ITU</w:t>
      </w:r>
      <w:r w:rsidRPr="00380B40">
        <w:rPr>
          <w:rFonts w:eastAsia="DengXian"/>
          <w:lang w:val="en-GB" w:eastAsia="ja-JP"/>
        </w:rPr>
        <w:noBreakHyphen/>
        <w:t>T X.900</w:t>
      </w:r>
      <w:r w:rsidRPr="00380B40">
        <w:rPr>
          <w:rFonts w:eastAsia="DengXian"/>
          <w:lang w:val="en-GB" w:eastAsia="ja-JP"/>
        </w:rPr>
        <w:noBreakHyphen/>
        <w:t>series).</w:t>
      </w:r>
    </w:p>
    <w:p w14:paraId="25DCD303" w14:textId="77777777" w:rsidR="00AC491A" w:rsidRPr="00380B40" w:rsidRDefault="00AC491A" w:rsidP="00AC491A">
      <w:pPr>
        <w:rPr>
          <w:rFonts w:eastAsia="SimSun"/>
          <w:lang w:val="en-GB" w:eastAsia="ja-JP"/>
        </w:rPr>
      </w:pPr>
      <w:r w:rsidRPr="00380B40">
        <w:rPr>
          <w:rFonts w:eastAsia="DengXian"/>
          <w:lang w:val="en-GB" w:eastAsia="ja-JP"/>
        </w:rPr>
        <w:t xml:space="preserve">In the area of languages, Study Group 17 is responsible for studies on modelling, specification and description techniques, which includes languages such as ASN.1, SDL, </w:t>
      </w:r>
      <w:r w:rsidRPr="00380B40">
        <w:rPr>
          <w:rFonts w:eastAsia="SimSun"/>
          <w:lang w:val="en-GB" w:eastAsia="ja-JP"/>
        </w:rPr>
        <w:t xml:space="preserve">MSC, URN and TTCN-3. </w:t>
      </w:r>
    </w:p>
    <w:p w14:paraId="2397E758" w14:textId="77777777" w:rsidR="00AC491A" w:rsidRPr="00380B40" w:rsidRDefault="00AC491A" w:rsidP="00AC491A">
      <w:pPr>
        <w:rPr>
          <w:rFonts w:eastAsia="DengXian"/>
          <w:lang w:val="en-GB" w:eastAsia="ja-JP"/>
        </w:rPr>
      </w:pPr>
      <w:r w:rsidRPr="00380B40">
        <w:rPr>
          <w:rFonts w:eastAsia="SimSun"/>
          <w:lang w:val="en-GB" w:eastAsia="ja-JP"/>
        </w:rPr>
        <w:t xml:space="preserve">Study Group 17 coordinates security work across all study groups in ITU-T. This work will </w:t>
      </w:r>
      <w:r w:rsidRPr="00380B40">
        <w:rPr>
          <w:rFonts w:eastAsia="DengXian"/>
          <w:lang w:val="en-GB" w:eastAsia="ja-JP"/>
        </w:rPr>
        <w:t>be developed in line with the requirements of, and in cooperation with, the relevant study groups such as ITU-T Study Groups 2, 9, 11, 13, 15, 16 and 20.</w:t>
      </w:r>
    </w:p>
    <w:p w14:paraId="1592D8DD" w14:textId="77777777" w:rsidR="00AC491A" w:rsidRPr="00380B40" w:rsidRDefault="00AC491A" w:rsidP="00AC491A">
      <w:pPr>
        <w:rPr>
          <w:rFonts w:eastAsia="DengXian"/>
          <w:lang w:val="en-GB" w:eastAsia="ja-JP"/>
        </w:rPr>
      </w:pPr>
      <w:r w:rsidRPr="00380B40">
        <w:rPr>
          <w:rFonts w:eastAsia="DengXian"/>
          <w:lang w:val="en-GB" w:eastAsia="ja-JP"/>
        </w:rPr>
        <w:t>Study Group 17 will work on relevant identity management aspects in collaboration with Study Group 20 and Study Group 2, as per the mandate of each study group.</w:t>
      </w:r>
    </w:p>
    <w:p w14:paraId="3D964B1C" w14:textId="77777777" w:rsidR="00AC491A" w:rsidRPr="00380B40" w:rsidRDefault="00AC491A" w:rsidP="00AC491A">
      <w:pPr>
        <w:pStyle w:val="Headingb"/>
        <w:rPr>
          <w:rFonts w:eastAsia="DengXian"/>
          <w:lang w:val="en-GB" w:eastAsia="ja-JP"/>
        </w:rPr>
      </w:pPr>
      <w:r w:rsidRPr="00380B40">
        <w:rPr>
          <w:rFonts w:eastAsia="DengXian"/>
          <w:lang w:val="en-GB" w:eastAsia="ja-JP"/>
        </w:rPr>
        <w:t>ITU</w:t>
      </w:r>
      <w:r w:rsidRPr="00380B40">
        <w:rPr>
          <w:rFonts w:eastAsia="DengXian"/>
          <w:lang w:val="en-GB" w:eastAsia="ja-JP"/>
        </w:rPr>
        <w:noBreakHyphen/>
        <w:t>T Study Group 20</w:t>
      </w:r>
    </w:p>
    <w:p w14:paraId="49CC4D2F" w14:textId="77777777" w:rsidR="00AC491A" w:rsidRPr="00380B40" w:rsidRDefault="00AC491A" w:rsidP="00AC491A">
      <w:pPr>
        <w:rPr>
          <w:rFonts w:eastAsia="DengXian"/>
          <w:lang w:val="en-GB" w:eastAsia="zh-CN"/>
        </w:rPr>
      </w:pPr>
      <w:r w:rsidRPr="00380B40">
        <w:rPr>
          <w:rFonts w:eastAsia="DengXian"/>
          <w:lang w:val="en-GB" w:eastAsia="zh-CN"/>
        </w:rPr>
        <w:t>ITU</w:t>
      </w:r>
      <w:r w:rsidRPr="00380B40">
        <w:rPr>
          <w:rFonts w:eastAsia="DengXian"/>
          <w:lang w:val="en-GB" w:eastAsia="zh-CN"/>
        </w:rPr>
        <w:noBreakHyphen/>
        <w:t xml:space="preserve">T Study Group 20 will work on the following items: </w:t>
      </w:r>
    </w:p>
    <w:p w14:paraId="3DB9E003"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framework and roadmaps for the harmonized and coordinated development of Internet of things (IoT), including machine-to-machine (M2M) communications, ubiquitous sensor networks and smart sustainable cities, in ITU</w:t>
      </w:r>
      <w:r w:rsidRPr="00380B40">
        <w:rPr>
          <w:rFonts w:eastAsia="DengXian"/>
          <w:lang w:val="en-GB" w:eastAsia="ja-JP"/>
        </w:rPr>
        <w:noBreakHyphen/>
        <w:t>T and in close cooperation with the ITU Radiocommunication Sector (ITU</w:t>
      </w:r>
      <w:r w:rsidRPr="00380B40">
        <w:rPr>
          <w:rFonts w:eastAsia="DengXian"/>
          <w:lang w:val="en-GB" w:eastAsia="ja-JP"/>
        </w:rPr>
        <w:noBreakHyphen/>
        <w:t>R) and ITU Telecommunication Development Sector (ITU</w:t>
      </w:r>
      <w:r w:rsidRPr="00380B40">
        <w:rPr>
          <w:rFonts w:eastAsia="DengXian"/>
          <w:lang w:val="en-GB" w:eastAsia="ja-JP"/>
        </w:rPr>
        <w:noBreakHyphen/>
        <w:t>D) study groups and other regional and international standards organizations and industry forums;</w:t>
      </w:r>
    </w:p>
    <w:p w14:paraId="1ED3A810"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requirements and capabilities for IoT and smart cities and communities (SC&amp;C) including verticals;</w:t>
      </w:r>
    </w:p>
    <w:p w14:paraId="38E3208A"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definitions and terminology for IoT and SC&amp;C;</w:t>
      </w:r>
    </w:p>
    <w:p w14:paraId="7C6426D8"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solutions provided by emerging digital technologies and their technical impact on IoT and SC&amp;C;</w:t>
      </w:r>
    </w:p>
    <w:p w14:paraId="29332F12"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IoT and SC&amp;C network infrastructure, connectivity and devices and digital services and applications, including architectures and architecture frameworks for IoT and SC&amp;C;</w:t>
      </w:r>
    </w:p>
    <w:p w14:paraId="2BA19018"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evaluation, assessment, service analysis and infrastructure for SC&amp;C for the use of emerging digital technologies</w:t>
      </w:r>
      <w:r w:rsidRPr="00380B40" w:rsidDel="00C73FE9">
        <w:rPr>
          <w:rFonts w:eastAsia="DengXian"/>
          <w:lang w:val="en-GB" w:eastAsia="ja-JP"/>
        </w:rPr>
        <w:t xml:space="preserve"> </w:t>
      </w:r>
      <w:r w:rsidRPr="00380B40">
        <w:rPr>
          <w:rFonts w:eastAsia="DengXian"/>
          <w:lang w:val="en-GB" w:eastAsia="ja-JP"/>
        </w:rPr>
        <w:t>in the smartness of cities;</w:t>
      </w:r>
    </w:p>
    <w:p w14:paraId="7021B84A"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guidelines, methodologies and best practices related to standards to help cities, communities, rural areas and villages deliver services using emerging digital technologies;</w:t>
      </w:r>
    </w:p>
    <w:p w14:paraId="58A7EB56"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identification aspects of IoT and SC&amp;C in collaboration with other study groups, as appropriate;</w:t>
      </w:r>
    </w:p>
    <w:p w14:paraId="3CFC3735" w14:textId="77777777" w:rsidR="00055A02" w:rsidRPr="00380B40" w:rsidRDefault="00055A02" w:rsidP="00AC491A">
      <w:pPr>
        <w:pStyle w:val="enumlev1"/>
        <w:rPr>
          <w:rFonts w:eastAsia="DengXian"/>
          <w:lang w:val="en-GB" w:eastAsia="ja-JP"/>
        </w:rPr>
      </w:pPr>
      <w:r w:rsidRPr="00380B40">
        <w:rPr>
          <w:rFonts w:eastAsia="DengXian"/>
          <w:lang w:val="en-GB" w:eastAsia="ja-JP"/>
        </w:rPr>
        <w:br w:type="page"/>
      </w:r>
    </w:p>
    <w:p w14:paraId="32DEB47C"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protocols and interfaces for IoT and SC&amp;C systems, services and applications;</w:t>
      </w:r>
    </w:p>
    <w:p w14:paraId="24BED6C9"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platforms for IoT and SC&amp;C;</w:t>
      </w:r>
    </w:p>
    <w:p w14:paraId="48429969"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 xml:space="preserve">interoperability and interworking of IoT and SC&amp;C systems, services and applications; </w:t>
      </w:r>
    </w:p>
    <w:p w14:paraId="3E043A6B"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quality of service (QoS) and end-to-end performance for IoT and SC&amp;C, in collaboration with Study Group 12, as appropriate;</w:t>
      </w:r>
    </w:p>
    <w:p w14:paraId="4341FC94" w14:textId="77777777" w:rsidR="00AC491A" w:rsidRPr="00C777D4" w:rsidRDefault="00AC491A" w:rsidP="00843D88">
      <w:pPr>
        <w:pStyle w:val="enumlev1"/>
        <w:rPr>
          <w:rFonts w:eastAsia="DengXian"/>
          <w:lang w:val="en-GB"/>
        </w:rPr>
      </w:pPr>
      <w:r w:rsidRPr="00C777D4">
        <w:rPr>
          <w:rFonts w:eastAsia="DengXian"/>
          <w:lang w:val="en-GB"/>
        </w:rPr>
        <w:t>•</w:t>
      </w:r>
      <w:r w:rsidRPr="00C777D4">
        <w:rPr>
          <w:rFonts w:eastAsia="DengXian"/>
          <w:lang w:val="en-GB"/>
        </w:rPr>
        <w:tab/>
        <w:t>security, privacy</w:t>
      </w:r>
      <w:r w:rsidR="00843D88" w:rsidRPr="00380B40">
        <w:rPr>
          <w:rStyle w:val="FootnoteReference"/>
          <w:rFonts w:eastAsia="DengXian"/>
          <w:lang w:val="en-GB" w:eastAsia="ja-JP"/>
        </w:rPr>
        <w:footnoteReference w:id="12"/>
      </w:r>
      <w:r w:rsidRPr="00C777D4">
        <w:rPr>
          <w:rFonts w:eastAsia="DengXian"/>
          <w:lang w:val="en-GB"/>
        </w:rPr>
        <w:t xml:space="preserve"> and trustworthiness</w:t>
      </w:r>
      <w:r w:rsidR="00095F28" w:rsidRPr="00C777D4">
        <w:rPr>
          <w:rFonts w:eastAsia="DengXian"/>
          <w:vertAlign w:val="superscript"/>
          <w:lang w:val="en-GB"/>
        </w:rPr>
        <w:t>4</w:t>
      </w:r>
      <w:r w:rsidRPr="00C777D4">
        <w:rPr>
          <w:rFonts w:eastAsia="DengXian"/>
          <w:lang w:val="en-GB"/>
        </w:rPr>
        <w:t xml:space="preserve"> of IoT and SC&amp;C systems, services and applications;</w:t>
      </w:r>
    </w:p>
    <w:p w14:paraId="55838E35"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 xml:space="preserve">database maintenance of IoT and SC&amp;C standards; </w:t>
      </w:r>
    </w:p>
    <w:p w14:paraId="32F37C4B"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 xml:space="preserve">big data aspects, including big data ecosystems, of IoT and SC&amp;C; </w:t>
      </w:r>
    </w:p>
    <w:p w14:paraId="41F41872"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 xml:space="preserve">digital and smart services for SC&amp;C; </w:t>
      </w:r>
    </w:p>
    <w:p w14:paraId="4C5AA707"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IoT and SC&amp;C data processing and management, including data analytics, and AI-enabled applications;</w:t>
      </w:r>
    </w:p>
    <w:p w14:paraId="4CC69AAC"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technical aspects of data value chain for IoT and SC&amp;C, in collaboration with Study Group 3, as appropriate;</w:t>
      </w:r>
    </w:p>
    <w:p w14:paraId="7A289E3C" w14:textId="77777777" w:rsidR="00AC491A" w:rsidRPr="00380B40" w:rsidRDefault="00AC491A" w:rsidP="00AC491A">
      <w:pPr>
        <w:pStyle w:val="enumlev1"/>
        <w:rPr>
          <w:rFonts w:eastAsia="DengXian"/>
          <w:lang w:val="en-GB" w:eastAsia="ja-JP"/>
        </w:rPr>
      </w:pPr>
      <w:r w:rsidRPr="00380B40">
        <w:rPr>
          <w:rFonts w:eastAsia="DengXian"/>
          <w:lang w:val="en-GB" w:eastAsia="ja-JP"/>
        </w:rPr>
        <w:t>•</w:t>
      </w:r>
      <w:r w:rsidRPr="00380B40">
        <w:rPr>
          <w:rFonts w:eastAsia="DengXian"/>
          <w:lang w:val="en-GB" w:eastAsia="ja-JP"/>
        </w:rPr>
        <w:tab/>
        <w:t>datasets and semantics-based capabilities for IoT and SC&amp;C including verticals.</w:t>
      </w:r>
    </w:p>
    <w:p w14:paraId="034B5744" w14:textId="77777777" w:rsidR="00D106CE" w:rsidRPr="00380B40" w:rsidRDefault="00D106CE" w:rsidP="00AC491A">
      <w:pPr>
        <w:pStyle w:val="enumlev1"/>
        <w:rPr>
          <w:rFonts w:eastAsia="DengXian"/>
          <w:lang w:val="en-GB" w:eastAsia="ja-JP"/>
        </w:rPr>
      </w:pPr>
    </w:p>
    <w:p w14:paraId="7C5F7BBB" w14:textId="77777777" w:rsidR="00AC491A" w:rsidRPr="00380B40" w:rsidRDefault="00AC491A" w:rsidP="00AC491A">
      <w:pPr>
        <w:pStyle w:val="AnnexNo"/>
        <w:rPr>
          <w:rFonts w:eastAsia="DengXian"/>
          <w:lang w:eastAsia="ja-JP"/>
        </w:rPr>
      </w:pPr>
      <w:bookmarkStart w:id="86" w:name="_Toc111636751"/>
      <w:r w:rsidRPr="00380B40">
        <w:rPr>
          <w:rFonts w:eastAsia="DengXian"/>
          <w:lang w:eastAsia="ja-JP"/>
        </w:rPr>
        <w:t>Annex C</w:t>
      </w:r>
      <w:r w:rsidRPr="00380B40">
        <w:rPr>
          <w:rFonts w:eastAsia="DengXian"/>
          <w:lang w:eastAsia="ja-JP"/>
        </w:rPr>
        <w:br/>
      </w:r>
      <w:r w:rsidRPr="00380B40">
        <w:rPr>
          <w:rFonts w:eastAsia="DengXian"/>
          <w:caps w:val="0"/>
          <w:lang w:eastAsia="ja-JP"/>
        </w:rPr>
        <w:t>(to Resolution 2 (Rev. Geneva, 2022))</w:t>
      </w:r>
      <w:bookmarkEnd w:id="86"/>
    </w:p>
    <w:p w14:paraId="761A9F55" w14:textId="77777777" w:rsidR="00AC491A" w:rsidRPr="00380B40" w:rsidRDefault="00AC491A" w:rsidP="00BD2768">
      <w:pPr>
        <w:pStyle w:val="Annextitle"/>
        <w:rPr>
          <w:rFonts w:eastAsia="DengXian"/>
        </w:rPr>
      </w:pPr>
      <w:r w:rsidRPr="00380B40">
        <w:rPr>
          <w:rFonts w:eastAsia="DengXian"/>
        </w:rPr>
        <w:t xml:space="preserve">List of Recommendations under the responsibility of the respective </w:t>
      </w:r>
      <w:r w:rsidRPr="00380B40">
        <w:rPr>
          <w:rFonts w:eastAsia="DengXian"/>
        </w:rPr>
        <w:br/>
        <w:t>ITU</w:t>
      </w:r>
      <w:r w:rsidRPr="00380B40">
        <w:rPr>
          <w:rFonts w:eastAsia="DengXian"/>
        </w:rPr>
        <w:noBreakHyphen/>
        <w:t>T study groups and TSAG in the 2022-2024 study period</w:t>
      </w:r>
    </w:p>
    <w:p w14:paraId="765F6E18" w14:textId="77777777" w:rsidR="00AC491A" w:rsidRPr="00380B40" w:rsidRDefault="00AC491A" w:rsidP="00AC491A">
      <w:pPr>
        <w:pStyle w:val="Headingb"/>
        <w:rPr>
          <w:lang w:val="en-GB"/>
        </w:rPr>
      </w:pPr>
      <w:r w:rsidRPr="00380B40">
        <w:rPr>
          <w:lang w:val="en-GB"/>
        </w:rPr>
        <w:t>ITU</w:t>
      </w:r>
      <w:r w:rsidRPr="00380B40">
        <w:rPr>
          <w:lang w:val="en-GB"/>
        </w:rPr>
        <w:noBreakHyphen/>
        <w:t>T Study Group 2</w:t>
      </w:r>
    </w:p>
    <w:p w14:paraId="460F966A" w14:textId="77777777" w:rsidR="00AC491A" w:rsidRPr="00380B40" w:rsidRDefault="00AC491A" w:rsidP="00AC491A">
      <w:pPr>
        <w:rPr>
          <w:rFonts w:eastAsia="DengXian"/>
          <w:lang w:val="en-GB" w:eastAsia="ja-JP"/>
        </w:rPr>
      </w:pPr>
      <w:r w:rsidRPr="00380B40">
        <w:rPr>
          <w:rFonts w:eastAsia="DengXian"/>
          <w:lang w:val="en-GB" w:eastAsia="ja-JP"/>
        </w:rPr>
        <w:t>ITU</w:t>
      </w:r>
      <w:r w:rsidRPr="00380B40">
        <w:rPr>
          <w:rFonts w:eastAsia="DengXian"/>
          <w:lang w:val="en-GB" w:eastAsia="ja-JP"/>
        </w:rPr>
        <w:noBreakHyphen/>
        <w:t>T E</w:t>
      </w:r>
      <w:r w:rsidRPr="00380B40">
        <w:rPr>
          <w:rFonts w:eastAsia="DengXian"/>
          <w:lang w:val="en-GB" w:eastAsia="ja-JP"/>
        </w:rPr>
        <w:noBreakHyphen/>
        <w:t>series, except those in conjunction with Study Group 17 or under the responsibility of Study Groups 3, 12 and 16</w:t>
      </w:r>
    </w:p>
    <w:p w14:paraId="5F0A388C" w14:textId="77777777" w:rsidR="00AC491A" w:rsidRPr="00380B40" w:rsidRDefault="00AC491A" w:rsidP="00AC491A">
      <w:pPr>
        <w:rPr>
          <w:rFonts w:eastAsia="DengXian"/>
          <w:lang w:val="en-GB" w:eastAsia="ja-JP"/>
        </w:rPr>
      </w:pPr>
      <w:r w:rsidRPr="00380B40">
        <w:rPr>
          <w:rFonts w:eastAsia="DengXian"/>
          <w:lang w:val="en-GB" w:eastAsia="ja-JP"/>
        </w:rPr>
        <w:t>ITU</w:t>
      </w:r>
      <w:r w:rsidRPr="00380B40">
        <w:rPr>
          <w:rFonts w:eastAsia="DengXian"/>
          <w:lang w:val="en-GB" w:eastAsia="ja-JP"/>
        </w:rPr>
        <w:noBreakHyphen/>
        <w:t>T F-series, except those under the responsibility of Study Groups 13, 16 and 17</w:t>
      </w:r>
    </w:p>
    <w:p w14:paraId="26283D1C" w14:textId="77777777" w:rsidR="00612190" w:rsidRPr="00380B40" w:rsidRDefault="00612190" w:rsidP="00612190">
      <w:pPr>
        <w:rPr>
          <w:rFonts w:eastAsia="DengXian"/>
          <w:lang w:val="fr-CH" w:eastAsia="ja-JP"/>
        </w:rPr>
      </w:pPr>
      <w:r w:rsidRPr="00380B40">
        <w:rPr>
          <w:rFonts w:eastAsia="DengXian"/>
          <w:lang w:val="fr-CH" w:eastAsia="ja-JP"/>
        </w:rPr>
        <w:t>ITU</w:t>
      </w:r>
      <w:r w:rsidRPr="00380B40">
        <w:rPr>
          <w:rFonts w:eastAsia="DengXian"/>
          <w:lang w:val="fr-CH" w:eastAsia="ja-JP"/>
        </w:rPr>
        <w:noBreakHyphen/>
        <w:t>T G.850-series</w:t>
      </w:r>
    </w:p>
    <w:p w14:paraId="70BD2460" w14:textId="77777777" w:rsidR="00AC491A" w:rsidRPr="00C777D4" w:rsidRDefault="00AC491A" w:rsidP="00AC491A">
      <w:pPr>
        <w:rPr>
          <w:rFonts w:eastAsia="DengXian"/>
          <w:lang w:eastAsia="ja-JP"/>
        </w:rPr>
      </w:pPr>
      <w:r w:rsidRPr="00C777D4">
        <w:rPr>
          <w:rFonts w:eastAsia="DengXian"/>
          <w:lang w:eastAsia="ja-JP"/>
        </w:rPr>
        <w:t>Recommendations of the ITU</w:t>
      </w:r>
      <w:r w:rsidRPr="00C777D4">
        <w:rPr>
          <w:rFonts w:eastAsia="DengXian"/>
          <w:lang w:eastAsia="ja-JP"/>
        </w:rPr>
        <w:noBreakHyphen/>
        <w:t>T I.220-, ITU</w:t>
      </w:r>
      <w:r w:rsidRPr="00C777D4">
        <w:rPr>
          <w:rFonts w:eastAsia="DengXian"/>
          <w:lang w:eastAsia="ja-JP"/>
        </w:rPr>
        <w:noBreakHyphen/>
        <w:t>T I.230-, ITU</w:t>
      </w:r>
      <w:r w:rsidRPr="00C777D4">
        <w:rPr>
          <w:rFonts w:eastAsia="DengXian"/>
          <w:lang w:eastAsia="ja-JP"/>
        </w:rPr>
        <w:noBreakHyphen/>
        <w:t>T I.240-, ITU</w:t>
      </w:r>
      <w:r w:rsidRPr="00C777D4">
        <w:rPr>
          <w:rFonts w:eastAsia="DengXian"/>
          <w:lang w:eastAsia="ja-JP"/>
        </w:rPr>
        <w:noBreakHyphen/>
        <w:t>T I.250-series and ITU</w:t>
      </w:r>
      <w:r w:rsidRPr="00C777D4">
        <w:rPr>
          <w:rFonts w:eastAsia="DengXian"/>
          <w:lang w:eastAsia="ja-JP"/>
        </w:rPr>
        <w:noBreakHyphen/>
        <w:t>T I.750-series</w:t>
      </w:r>
    </w:p>
    <w:p w14:paraId="23296279" w14:textId="77777777" w:rsidR="00AC491A" w:rsidRPr="00380B40" w:rsidRDefault="00AC491A" w:rsidP="00AC491A">
      <w:pPr>
        <w:rPr>
          <w:rFonts w:eastAsia="DengXian"/>
          <w:lang w:val="fr-CH" w:eastAsia="ja-JP"/>
        </w:rPr>
      </w:pPr>
      <w:r w:rsidRPr="00380B40">
        <w:rPr>
          <w:rFonts w:eastAsia="DengXian"/>
          <w:lang w:val="fr-CH" w:eastAsia="ja-JP"/>
        </w:rPr>
        <w:t>ITU</w:t>
      </w:r>
      <w:r w:rsidRPr="00380B40">
        <w:rPr>
          <w:rFonts w:eastAsia="DengXian"/>
          <w:lang w:val="fr-CH" w:eastAsia="ja-JP"/>
        </w:rPr>
        <w:noBreakHyphen/>
        <w:t>T M-series</w:t>
      </w:r>
    </w:p>
    <w:p w14:paraId="05B38F82" w14:textId="77777777" w:rsidR="00AC491A" w:rsidRPr="00380B40" w:rsidRDefault="00AC491A" w:rsidP="00AC491A">
      <w:pPr>
        <w:rPr>
          <w:rFonts w:eastAsia="DengXian"/>
          <w:lang w:val="fr-CH" w:eastAsia="ja-JP"/>
        </w:rPr>
      </w:pPr>
      <w:r w:rsidRPr="00380B40">
        <w:rPr>
          <w:rFonts w:eastAsia="DengXian"/>
          <w:lang w:val="fr-CH" w:eastAsia="ja-JP"/>
        </w:rPr>
        <w:t>ITU</w:t>
      </w:r>
      <w:r w:rsidRPr="00380B40">
        <w:rPr>
          <w:rFonts w:eastAsia="DengXian"/>
          <w:lang w:val="fr-CH" w:eastAsia="ja-JP"/>
        </w:rPr>
        <w:noBreakHyphen/>
        <w:t>T O.220-series</w:t>
      </w:r>
    </w:p>
    <w:p w14:paraId="54950FA5" w14:textId="77777777" w:rsidR="00AC491A" w:rsidRPr="00380B40" w:rsidRDefault="00AC491A" w:rsidP="00AC491A">
      <w:pPr>
        <w:rPr>
          <w:rFonts w:eastAsia="DengXian"/>
          <w:lang w:val="fr-CH" w:eastAsia="ja-JP"/>
        </w:rPr>
      </w:pPr>
      <w:r w:rsidRPr="00380B40">
        <w:rPr>
          <w:rFonts w:eastAsia="DengXian"/>
          <w:lang w:val="fr-CH" w:eastAsia="ja-JP"/>
        </w:rPr>
        <w:t>ITU</w:t>
      </w:r>
      <w:r w:rsidRPr="00380B40">
        <w:rPr>
          <w:rFonts w:eastAsia="DengXian"/>
          <w:lang w:val="fr-CH" w:eastAsia="ja-JP"/>
        </w:rPr>
        <w:noBreakHyphen/>
        <w:t>T Q.513, ITU</w:t>
      </w:r>
      <w:r w:rsidRPr="00380B40">
        <w:rPr>
          <w:rFonts w:eastAsia="DengXian"/>
          <w:lang w:val="fr-CH" w:eastAsia="ja-JP"/>
        </w:rPr>
        <w:noBreakHyphen/>
        <w:t xml:space="preserve">T Q.800 </w:t>
      </w:r>
      <w:r w:rsidR="00BA623A" w:rsidRPr="00380B40">
        <w:rPr>
          <w:rFonts w:ascii="Avenir Next LT Pro" w:eastAsia="Symbol" w:hAnsi="Avenir Next LT Pro" w:cs="Symbol"/>
          <w:szCs w:val="24"/>
          <w:lang w:val="fr-CH" w:eastAsia="ja-JP"/>
        </w:rPr>
        <w:t>—</w:t>
      </w:r>
      <w:r w:rsidRPr="00380B40">
        <w:rPr>
          <w:rFonts w:eastAsia="DengXian"/>
          <w:lang w:val="fr-CH" w:eastAsia="ja-JP"/>
        </w:rPr>
        <w:t xml:space="preserve"> ITU</w:t>
      </w:r>
      <w:r w:rsidRPr="00380B40">
        <w:rPr>
          <w:rFonts w:eastAsia="DengXian"/>
          <w:lang w:val="fr-CH" w:eastAsia="ja-JP"/>
        </w:rPr>
        <w:noBreakHyphen/>
        <w:t>T Q.849, ITU</w:t>
      </w:r>
      <w:r w:rsidRPr="00380B40">
        <w:rPr>
          <w:rFonts w:eastAsia="DengXian"/>
          <w:lang w:val="fr-CH" w:eastAsia="ja-JP"/>
        </w:rPr>
        <w:noBreakHyphen/>
        <w:t>T Q.940-series</w:t>
      </w:r>
    </w:p>
    <w:p w14:paraId="7586073A" w14:textId="77777777" w:rsidR="00055A02" w:rsidRPr="00380B40" w:rsidRDefault="00055A02" w:rsidP="00AC491A">
      <w:pPr>
        <w:rPr>
          <w:rFonts w:eastAsia="DengXian"/>
          <w:lang w:val="fr-CH" w:eastAsia="ja-JP"/>
        </w:rPr>
      </w:pPr>
      <w:r w:rsidRPr="00380B40">
        <w:rPr>
          <w:rFonts w:eastAsia="DengXian"/>
          <w:lang w:val="fr-CH" w:eastAsia="ja-JP"/>
        </w:rPr>
        <w:br w:type="page"/>
      </w:r>
    </w:p>
    <w:p w14:paraId="31D0378E" w14:textId="77777777" w:rsidR="00AC491A" w:rsidRPr="00380B40" w:rsidRDefault="00AC491A" w:rsidP="00AC491A">
      <w:pPr>
        <w:rPr>
          <w:rFonts w:eastAsia="DengXian"/>
          <w:lang w:val="en-GB" w:eastAsia="ja-JP"/>
        </w:rPr>
      </w:pPr>
      <w:r w:rsidRPr="00380B40">
        <w:rPr>
          <w:rFonts w:eastAsia="DengXian"/>
          <w:lang w:val="en-GB" w:eastAsia="ja-JP"/>
        </w:rPr>
        <w:t>Maintenance of the ITU</w:t>
      </w:r>
      <w:r w:rsidRPr="00380B40">
        <w:rPr>
          <w:rFonts w:eastAsia="DengXian"/>
          <w:lang w:val="en-GB" w:eastAsia="ja-JP"/>
        </w:rPr>
        <w:noBreakHyphen/>
        <w:t>T S-series</w:t>
      </w:r>
    </w:p>
    <w:p w14:paraId="1BF00340" w14:textId="77777777" w:rsidR="00AC491A" w:rsidRPr="00380B40" w:rsidRDefault="00AC491A" w:rsidP="00AC491A">
      <w:pPr>
        <w:rPr>
          <w:rFonts w:eastAsia="DengXian"/>
          <w:lang w:val="fr-CH" w:eastAsia="ja-JP"/>
        </w:rPr>
      </w:pPr>
      <w:r w:rsidRPr="00380B40">
        <w:rPr>
          <w:rFonts w:eastAsia="DengXian"/>
          <w:lang w:val="fr-CH" w:eastAsia="ja-JP"/>
        </w:rPr>
        <w:t>ITU</w:t>
      </w:r>
      <w:r w:rsidRPr="00380B40">
        <w:rPr>
          <w:rFonts w:eastAsia="DengXian"/>
          <w:lang w:val="fr-CH" w:eastAsia="ja-JP"/>
        </w:rPr>
        <w:noBreakHyphen/>
        <w:t>T V.51/M.729</w:t>
      </w:r>
    </w:p>
    <w:p w14:paraId="61B97EB9" w14:textId="77777777" w:rsidR="00AC491A" w:rsidRPr="00380B40" w:rsidRDefault="00AC491A" w:rsidP="00AC491A">
      <w:pPr>
        <w:rPr>
          <w:rFonts w:eastAsia="DengXian"/>
          <w:lang w:val="fr-CH" w:eastAsia="ja-JP"/>
        </w:rPr>
      </w:pPr>
      <w:r w:rsidRPr="00380B40">
        <w:rPr>
          <w:rFonts w:eastAsia="DengXian"/>
          <w:lang w:val="fr-CH" w:eastAsia="ja-JP"/>
        </w:rPr>
        <w:t>ITU</w:t>
      </w:r>
      <w:r w:rsidRPr="00380B40">
        <w:rPr>
          <w:rFonts w:eastAsia="DengXian"/>
          <w:lang w:val="fr-CH" w:eastAsia="ja-JP"/>
        </w:rPr>
        <w:noBreakHyphen/>
        <w:t>T X.160-, ITU</w:t>
      </w:r>
      <w:r w:rsidRPr="00380B40">
        <w:rPr>
          <w:rFonts w:eastAsia="DengXian"/>
          <w:lang w:val="fr-CH" w:eastAsia="ja-JP"/>
        </w:rPr>
        <w:noBreakHyphen/>
        <w:t>T X.170-, ITU</w:t>
      </w:r>
      <w:r w:rsidRPr="00380B40">
        <w:rPr>
          <w:rFonts w:eastAsia="DengXian"/>
          <w:lang w:val="fr-CH" w:eastAsia="ja-JP"/>
        </w:rPr>
        <w:noBreakHyphen/>
        <w:t>T X.700-series</w:t>
      </w:r>
    </w:p>
    <w:p w14:paraId="243F5C32" w14:textId="77777777" w:rsidR="00AC491A" w:rsidRPr="00380B40" w:rsidRDefault="00AC491A" w:rsidP="00AC491A">
      <w:pPr>
        <w:rPr>
          <w:rFonts w:eastAsia="DengXian"/>
          <w:lang w:val="fr-CH" w:eastAsia="ja-JP"/>
        </w:rPr>
      </w:pPr>
      <w:r w:rsidRPr="00380B40">
        <w:rPr>
          <w:rFonts w:eastAsia="DengXian"/>
          <w:lang w:val="fr-CH" w:eastAsia="ja-JP"/>
        </w:rPr>
        <w:t>ITU</w:t>
      </w:r>
      <w:r w:rsidRPr="00380B40">
        <w:rPr>
          <w:rFonts w:eastAsia="DengXian"/>
          <w:lang w:val="fr-CH" w:eastAsia="ja-JP"/>
        </w:rPr>
        <w:noBreakHyphen/>
        <w:t>T Z.300-series</w:t>
      </w:r>
    </w:p>
    <w:p w14:paraId="2DC0AD9A" w14:textId="77777777" w:rsidR="00AC491A" w:rsidRPr="00380B40" w:rsidRDefault="00AC491A" w:rsidP="00AC491A">
      <w:pPr>
        <w:pStyle w:val="Headingb"/>
        <w:rPr>
          <w:lang w:val="fr-CH"/>
        </w:rPr>
      </w:pPr>
      <w:r w:rsidRPr="00380B40">
        <w:rPr>
          <w:lang w:val="fr-CH"/>
        </w:rPr>
        <w:t>ITU</w:t>
      </w:r>
      <w:r w:rsidRPr="00380B40">
        <w:rPr>
          <w:lang w:val="fr-CH"/>
        </w:rPr>
        <w:noBreakHyphen/>
        <w:t>T Study Group 3</w:t>
      </w:r>
    </w:p>
    <w:p w14:paraId="53D0B2B4" w14:textId="77777777" w:rsidR="00AC491A" w:rsidRPr="00380B40" w:rsidRDefault="00AC491A" w:rsidP="00AC491A">
      <w:pPr>
        <w:rPr>
          <w:rFonts w:eastAsia="DengXian"/>
          <w:lang w:val="fr-CH" w:eastAsia="ja-JP"/>
        </w:rPr>
      </w:pPr>
      <w:r w:rsidRPr="00380B40">
        <w:rPr>
          <w:rFonts w:eastAsia="DengXian"/>
          <w:lang w:val="fr-CH" w:eastAsia="ja-JP"/>
        </w:rPr>
        <w:t>ITU</w:t>
      </w:r>
      <w:r w:rsidRPr="00380B40">
        <w:rPr>
          <w:rFonts w:eastAsia="DengXian"/>
          <w:lang w:val="fr-CH" w:eastAsia="ja-JP"/>
        </w:rPr>
        <w:noBreakHyphen/>
        <w:t>T D-series</w:t>
      </w:r>
    </w:p>
    <w:p w14:paraId="0864815B" w14:textId="77777777" w:rsidR="00AC491A" w:rsidRPr="00380B40" w:rsidRDefault="00AC491A" w:rsidP="00AC491A">
      <w:pPr>
        <w:rPr>
          <w:rFonts w:eastAsia="DengXian"/>
          <w:lang w:val="fr-CH" w:eastAsia="ja-JP"/>
        </w:rPr>
      </w:pPr>
      <w:r w:rsidRPr="00380B40">
        <w:rPr>
          <w:rFonts w:eastAsia="DengXian"/>
          <w:lang w:val="fr-CH" w:eastAsia="ja-JP"/>
        </w:rPr>
        <w:t>ITU-T D.103/E.231</w:t>
      </w:r>
    </w:p>
    <w:p w14:paraId="12C32AFF" w14:textId="77777777" w:rsidR="00AC491A" w:rsidRPr="00380B40" w:rsidRDefault="00AC491A" w:rsidP="00AC491A">
      <w:pPr>
        <w:rPr>
          <w:rFonts w:eastAsia="DengXian"/>
          <w:lang w:val="fr-CH" w:eastAsia="ja-JP"/>
        </w:rPr>
      </w:pPr>
      <w:r w:rsidRPr="00380B40">
        <w:rPr>
          <w:rFonts w:eastAsia="DengXian"/>
          <w:lang w:val="fr-CH" w:eastAsia="ja-JP"/>
        </w:rPr>
        <w:t>ITU-T D.104/E.232</w:t>
      </w:r>
    </w:p>
    <w:p w14:paraId="64552F2F" w14:textId="77777777" w:rsidR="00AC491A" w:rsidRPr="00380B40" w:rsidRDefault="00AC491A" w:rsidP="00AC491A">
      <w:pPr>
        <w:rPr>
          <w:rFonts w:eastAsia="DengXian"/>
          <w:lang w:val="fr-CH" w:eastAsia="ja-JP"/>
        </w:rPr>
      </w:pPr>
      <w:r w:rsidRPr="00380B40">
        <w:rPr>
          <w:rFonts w:eastAsia="DengXian"/>
          <w:lang w:val="fr-CH" w:eastAsia="ja-JP"/>
        </w:rPr>
        <w:t>ITU-T D.1140/X.1261</w:t>
      </w:r>
    </w:p>
    <w:p w14:paraId="330000E8" w14:textId="77777777" w:rsidR="00AC491A" w:rsidRPr="00380B40" w:rsidRDefault="00AC491A" w:rsidP="00AC491A">
      <w:pPr>
        <w:pStyle w:val="Headingb"/>
        <w:rPr>
          <w:lang w:val="en-GB"/>
        </w:rPr>
      </w:pPr>
      <w:r w:rsidRPr="00380B40">
        <w:rPr>
          <w:lang w:val="en-GB"/>
        </w:rPr>
        <w:t>ITU</w:t>
      </w:r>
      <w:r w:rsidRPr="00380B40">
        <w:rPr>
          <w:lang w:val="en-GB"/>
        </w:rPr>
        <w:noBreakHyphen/>
        <w:t>T Study Group 5</w:t>
      </w:r>
    </w:p>
    <w:p w14:paraId="222F8E2A" w14:textId="77777777" w:rsidR="00AC491A" w:rsidRPr="00380B40" w:rsidRDefault="00AC491A" w:rsidP="00AC491A">
      <w:pPr>
        <w:rPr>
          <w:rFonts w:eastAsia="DengXian"/>
          <w:lang w:val="en-GB" w:eastAsia="ja-JP"/>
        </w:rPr>
      </w:pPr>
      <w:r w:rsidRPr="00380B40">
        <w:rPr>
          <w:rFonts w:eastAsia="DengXian"/>
          <w:lang w:val="en-GB" w:eastAsia="ja-JP"/>
        </w:rPr>
        <w:t>ITU</w:t>
      </w:r>
      <w:r w:rsidRPr="00380B40">
        <w:rPr>
          <w:rFonts w:eastAsia="DengXian"/>
          <w:lang w:val="en-GB" w:eastAsia="ja-JP"/>
        </w:rPr>
        <w:noBreakHyphen/>
        <w:t>T K-series</w:t>
      </w:r>
    </w:p>
    <w:p w14:paraId="156D987C" w14:textId="77777777" w:rsidR="00AC491A" w:rsidRPr="00380B40" w:rsidRDefault="00AC491A" w:rsidP="00AC491A">
      <w:pPr>
        <w:rPr>
          <w:rFonts w:eastAsia="DengXian"/>
          <w:lang w:val="fr-CH" w:eastAsia="ja-JP"/>
        </w:rPr>
      </w:pPr>
      <w:r w:rsidRPr="00380B40">
        <w:rPr>
          <w:rFonts w:eastAsia="DengXian"/>
          <w:lang w:val="fr-CH" w:eastAsia="ja-JP"/>
        </w:rPr>
        <w:t>ITU</w:t>
      </w:r>
      <w:r w:rsidRPr="00380B40">
        <w:rPr>
          <w:rFonts w:eastAsia="DengXian"/>
          <w:lang w:val="fr-CH" w:eastAsia="ja-JP"/>
        </w:rPr>
        <w:noBreakHyphen/>
        <w:t xml:space="preserve">T L.1 </w:t>
      </w:r>
      <w:r w:rsidR="00BA623A" w:rsidRPr="00380B40">
        <w:rPr>
          <w:rFonts w:ascii="Avenir Next LT Pro" w:eastAsia="Symbol" w:hAnsi="Avenir Next LT Pro" w:cs="Symbol"/>
          <w:szCs w:val="24"/>
          <w:lang w:val="fr-CH" w:eastAsia="ja-JP"/>
        </w:rPr>
        <w:t>—</w:t>
      </w:r>
      <w:r w:rsidR="009A7354" w:rsidRPr="00380B40">
        <w:rPr>
          <w:rFonts w:eastAsia="DengXian"/>
          <w:szCs w:val="24"/>
          <w:lang w:val="fr-CH" w:eastAsia="ja-JP"/>
        </w:rPr>
        <w:t xml:space="preserve"> </w:t>
      </w:r>
      <w:r w:rsidRPr="00380B40">
        <w:rPr>
          <w:rFonts w:eastAsia="DengXian"/>
          <w:lang w:val="fr-CH" w:eastAsia="ja-JP"/>
        </w:rPr>
        <w:t>ITU</w:t>
      </w:r>
      <w:r w:rsidRPr="00380B40">
        <w:rPr>
          <w:rFonts w:eastAsia="DengXian"/>
          <w:lang w:val="fr-CH" w:eastAsia="ja-JP"/>
        </w:rPr>
        <w:noBreakHyphen/>
        <w:t>T L.9, ITU</w:t>
      </w:r>
      <w:r w:rsidRPr="00380B40">
        <w:rPr>
          <w:rFonts w:eastAsia="DengXian"/>
          <w:lang w:val="fr-CH" w:eastAsia="ja-JP"/>
        </w:rPr>
        <w:noBreakHyphen/>
        <w:t xml:space="preserve">T L.18 </w:t>
      </w:r>
      <w:r w:rsidR="00BA623A" w:rsidRPr="00380B40">
        <w:rPr>
          <w:rFonts w:ascii="Avenir Next LT Pro" w:eastAsia="Symbol" w:hAnsi="Avenir Next LT Pro" w:cs="Symbol"/>
          <w:szCs w:val="24"/>
          <w:lang w:val="fr-CH" w:eastAsia="ja-JP"/>
        </w:rPr>
        <w:t>—</w:t>
      </w:r>
      <w:r w:rsidR="009A7354" w:rsidRPr="00380B40">
        <w:rPr>
          <w:rFonts w:eastAsia="DengXian"/>
          <w:szCs w:val="24"/>
          <w:lang w:val="fr-CH" w:eastAsia="ja-JP"/>
        </w:rPr>
        <w:t xml:space="preserve"> </w:t>
      </w:r>
      <w:r w:rsidRPr="00380B40">
        <w:rPr>
          <w:rFonts w:eastAsia="DengXian"/>
          <w:lang w:val="fr-CH" w:eastAsia="ja-JP"/>
        </w:rPr>
        <w:t>ITU</w:t>
      </w:r>
      <w:r w:rsidRPr="00380B40">
        <w:rPr>
          <w:rFonts w:eastAsia="DengXian"/>
          <w:lang w:val="fr-CH" w:eastAsia="ja-JP"/>
        </w:rPr>
        <w:noBreakHyphen/>
        <w:t>T L.24, ITU</w:t>
      </w:r>
      <w:r w:rsidRPr="00380B40">
        <w:rPr>
          <w:rFonts w:eastAsia="DengXian"/>
          <w:lang w:val="fr-CH" w:eastAsia="ja-JP"/>
        </w:rPr>
        <w:noBreakHyphen/>
        <w:t>T L.32, ITU</w:t>
      </w:r>
      <w:r w:rsidRPr="00380B40">
        <w:rPr>
          <w:rFonts w:eastAsia="DengXian"/>
          <w:lang w:val="fr-CH" w:eastAsia="ja-JP"/>
        </w:rPr>
        <w:noBreakHyphen/>
        <w:t>T L.33, ITU</w:t>
      </w:r>
      <w:r w:rsidRPr="00380B40">
        <w:rPr>
          <w:rFonts w:eastAsia="DengXian"/>
          <w:lang w:val="fr-CH" w:eastAsia="ja-JP"/>
        </w:rPr>
        <w:noBreakHyphen/>
        <w:t>T L.71, ITU</w:t>
      </w:r>
      <w:r w:rsidRPr="00380B40">
        <w:rPr>
          <w:rFonts w:eastAsia="DengXian"/>
          <w:lang w:val="fr-CH" w:eastAsia="ja-JP"/>
        </w:rPr>
        <w:noBreakHyphen/>
        <w:t>T L.75, ITU</w:t>
      </w:r>
      <w:r w:rsidRPr="00380B40">
        <w:rPr>
          <w:rFonts w:eastAsia="DengXian"/>
          <w:lang w:val="fr-CH" w:eastAsia="ja-JP"/>
        </w:rPr>
        <w:noBreakHyphen/>
        <w:t>T L.76, ITU</w:t>
      </w:r>
      <w:r w:rsidRPr="00380B40">
        <w:rPr>
          <w:rFonts w:eastAsia="DengXian"/>
          <w:lang w:val="fr-CH" w:eastAsia="ja-JP"/>
        </w:rPr>
        <w:noBreakHyphen/>
        <w:t>T L.1000-series</w:t>
      </w:r>
    </w:p>
    <w:p w14:paraId="287F7B81" w14:textId="77777777" w:rsidR="00AC491A" w:rsidRPr="00380B40" w:rsidRDefault="00AC491A" w:rsidP="00AC491A">
      <w:pPr>
        <w:pStyle w:val="Headingb"/>
        <w:rPr>
          <w:lang w:val="en-GB"/>
        </w:rPr>
      </w:pPr>
      <w:r w:rsidRPr="00380B40">
        <w:rPr>
          <w:lang w:val="en-GB"/>
        </w:rPr>
        <w:t>ITU</w:t>
      </w:r>
      <w:r w:rsidRPr="00380B40">
        <w:rPr>
          <w:lang w:val="en-GB"/>
        </w:rPr>
        <w:noBreakHyphen/>
        <w:t>T Study Group 9</w:t>
      </w:r>
    </w:p>
    <w:p w14:paraId="3DB1CF04"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ITU</w:t>
      </w:r>
      <w:r w:rsidRPr="00380B40">
        <w:rPr>
          <w:rFonts w:eastAsia="DengXian"/>
          <w:szCs w:val="24"/>
          <w:lang w:val="en-GB" w:eastAsia="ja-JP"/>
        </w:rPr>
        <w:noBreakHyphen/>
        <w:t>T J-series, except those under the responsibility of Study Groups 12 and 15</w:t>
      </w:r>
    </w:p>
    <w:p w14:paraId="695FAD68"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ITU</w:t>
      </w:r>
      <w:r w:rsidRPr="00380B40">
        <w:rPr>
          <w:rFonts w:eastAsia="DengXian"/>
          <w:szCs w:val="24"/>
          <w:lang w:val="en-GB" w:eastAsia="ja-JP"/>
        </w:rPr>
        <w:noBreakHyphen/>
        <w:t>T N-series</w:t>
      </w:r>
    </w:p>
    <w:p w14:paraId="168C70A3" w14:textId="77777777" w:rsidR="00AC491A" w:rsidRPr="00380B40" w:rsidRDefault="00AC491A" w:rsidP="00AC491A">
      <w:pPr>
        <w:pStyle w:val="Headingb"/>
        <w:rPr>
          <w:lang w:val="en-GB"/>
        </w:rPr>
      </w:pPr>
      <w:r w:rsidRPr="00380B40">
        <w:rPr>
          <w:lang w:val="en-GB"/>
        </w:rPr>
        <w:t>ITU</w:t>
      </w:r>
      <w:r w:rsidRPr="00380B40">
        <w:rPr>
          <w:lang w:val="en-GB"/>
        </w:rPr>
        <w:noBreakHyphen/>
        <w:t>T Study Group 11</w:t>
      </w:r>
    </w:p>
    <w:p w14:paraId="24C9C860"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ITU</w:t>
      </w:r>
      <w:r w:rsidRPr="00380B40">
        <w:rPr>
          <w:rFonts w:eastAsia="DengXian"/>
          <w:szCs w:val="24"/>
          <w:lang w:val="en-GB" w:eastAsia="ja-JP"/>
        </w:rPr>
        <w:noBreakHyphen/>
        <w:t>T Q-series, except those under the responsibility of Study Groups 2, 13, 15, 16 and 20</w:t>
      </w:r>
    </w:p>
    <w:p w14:paraId="6C18D653"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Maintenance of the ITU</w:t>
      </w:r>
      <w:r w:rsidRPr="00380B40">
        <w:rPr>
          <w:rFonts w:eastAsia="DengXian"/>
          <w:szCs w:val="24"/>
          <w:lang w:val="en-GB" w:eastAsia="ja-JP"/>
        </w:rPr>
        <w:noBreakHyphen/>
        <w:t>T U-series</w:t>
      </w:r>
    </w:p>
    <w:p w14:paraId="0FE32AFC"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X.290-series (except ITU</w:t>
      </w:r>
      <w:r w:rsidRPr="00380B40">
        <w:rPr>
          <w:rFonts w:eastAsia="DengXian"/>
          <w:szCs w:val="24"/>
          <w:lang w:val="fr-CH" w:eastAsia="ja-JP"/>
        </w:rPr>
        <w:noBreakHyphen/>
        <w:t>T X.292) and ITU</w:t>
      </w:r>
      <w:r w:rsidRPr="00380B40">
        <w:rPr>
          <w:rFonts w:eastAsia="DengXian"/>
          <w:szCs w:val="24"/>
          <w:lang w:val="fr-CH" w:eastAsia="ja-JP"/>
        </w:rPr>
        <w:noBreakHyphen/>
        <w:t xml:space="preserve">T X.600 </w:t>
      </w:r>
      <w:r w:rsidR="00BA623A" w:rsidRPr="00380B40">
        <w:rPr>
          <w:rFonts w:ascii="Avenir Next LT Pro" w:eastAsia="Symbol" w:hAnsi="Avenir Next LT Pro" w:cs="Symbol"/>
          <w:szCs w:val="24"/>
          <w:lang w:val="fr-CH" w:eastAsia="ja-JP"/>
        </w:rPr>
        <w:t>—</w:t>
      </w:r>
      <w:r w:rsidRPr="00380B40">
        <w:rPr>
          <w:rFonts w:eastAsia="DengXian"/>
          <w:szCs w:val="24"/>
          <w:lang w:val="fr-CH" w:eastAsia="ja-JP"/>
        </w:rPr>
        <w:t xml:space="preserve"> ITU</w:t>
      </w:r>
      <w:r w:rsidRPr="00380B40">
        <w:rPr>
          <w:rFonts w:eastAsia="DengXian"/>
          <w:szCs w:val="24"/>
          <w:lang w:val="fr-CH" w:eastAsia="ja-JP"/>
        </w:rPr>
        <w:noBreakHyphen/>
        <w:t>T X.609</w:t>
      </w:r>
    </w:p>
    <w:p w14:paraId="18F4D0B4"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Z.500-series</w:t>
      </w:r>
    </w:p>
    <w:p w14:paraId="02F743FD" w14:textId="77777777" w:rsidR="00AC491A" w:rsidRPr="00380B40" w:rsidRDefault="00AC491A" w:rsidP="00AC491A">
      <w:pPr>
        <w:pStyle w:val="Headingb"/>
        <w:rPr>
          <w:lang w:val="fr-CH"/>
        </w:rPr>
      </w:pPr>
      <w:r w:rsidRPr="00380B40">
        <w:rPr>
          <w:lang w:val="fr-CH"/>
        </w:rPr>
        <w:t>ITU</w:t>
      </w:r>
      <w:r w:rsidRPr="00380B40">
        <w:rPr>
          <w:lang w:val="fr-CH"/>
        </w:rPr>
        <w:noBreakHyphen/>
        <w:t>T Study Group 12</w:t>
      </w:r>
    </w:p>
    <w:p w14:paraId="62F7F608"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 xml:space="preserve">T E.420 </w:t>
      </w:r>
      <w:r w:rsidR="00BA623A" w:rsidRPr="00380B40">
        <w:rPr>
          <w:rFonts w:ascii="Avenir Next LT Pro" w:eastAsia="Symbol" w:hAnsi="Avenir Next LT Pro" w:cs="Symbol"/>
          <w:szCs w:val="24"/>
          <w:lang w:val="fr-CH" w:eastAsia="ja-JP"/>
        </w:rPr>
        <w:t>—</w:t>
      </w:r>
      <w:r w:rsidR="009A7354" w:rsidRPr="00380B40">
        <w:rPr>
          <w:rFonts w:eastAsia="DengXian"/>
          <w:szCs w:val="24"/>
          <w:lang w:val="fr-CH" w:eastAsia="ja-JP"/>
        </w:rPr>
        <w:t xml:space="preserve"> </w:t>
      </w:r>
      <w:r w:rsidRPr="00380B40">
        <w:rPr>
          <w:rFonts w:eastAsia="DengXian"/>
          <w:szCs w:val="24"/>
          <w:lang w:val="fr-CH" w:eastAsia="ja-JP"/>
        </w:rPr>
        <w:t>ITU</w:t>
      </w:r>
      <w:r w:rsidRPr="00380B40">
        <w:rPr>
          <w:rFonts w:eastAsia="DengXian"/>
          <w:szCs w:val="24"/>
          <w:lang w:val="fr-CH" w:eastAsia="ja-JP"/>
        </w:rPr>
        <w:noBreakHyphen/>
        <w:t>T E.479, ITU</w:t>
      </w:r>
      <w:r w:rsidRPr="00380B40">
        <w:rPr>
          <w:rFonts w:eastAsia="DengXian"/>
          <w:szCs w:val="24"/>
          <w:lang w:val="fr-CH" w:eastAsia="ja-JP"/>
        </w:rPr>
        <w:noBreakHyphen/>
        <w:t xml:space="preserve">T E.800 </w:t>
      </w:r>
      <w:r w:rsidR="00BA623A" w:rsidRPr="00380B40">
        <w:rPr>
          <w:rFonts w:ascii="Avenir Next LT Pro" w:eastAsia="Symbol" w:hAnsi="Avenir Next LT Pro" w:cs="Symbol"/>
          <w:szCs w:val="24"/>
          <w:lang w:val="fr-CH" w:eastAsia="ja-JP"/>
        </w:rPr>
        <w:t>—</w:t>
      </w:r>
      <w:r w:rsidR="009A7354" w:rsidRPr="00380B40">
        <w:rPr>
          <w:rFonts w:eastAsia="DengXian"/>
          <w:szCs w:val="24"/>
          <w:lang w:val="fr-CH" w:eastAsia="ja-JP"/>
        </w:rPr>
        <w:t xml:space="preserve"> </w:t>
      </w:r>
      <w:r w:rsidRPr="00380B40">
        <w:rPr>
          <w:rFonts w:eastAsia="DengXian"/>
          <w:szCs w:val="24"/>
          <w:lang w:val="fr-CH" w:eastAsia="ja-JP"/>
        </w:rPr>
        <w:t>ITU</w:t>
      </w:r>
      <w:r w:rsidRPr="00380B40">
        <w:rPr>
          <w:rFonts w:eastAsia="DengXian"/>
          <w:szCs w:val="24"/>
          <w:lang w:val="fr-CH" w:eastAsia="ja-JP"/>
        </w:rPr>
        <w:noBreakHyphen/>
        <w:t>T E.859</w:t>
      </w:r>
    </w:p>
    <w:p w14:paraId="5DA688CB"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G.100-series, except ITU</w:t>
      </w:r>
      <w:r w:rsidRPr="00380B40">
        <w:rPr>
          <w:rFonts w:eastAsia="DengXian"/>
          <w:szCs w:val="24"/>
          <w:lang w:val="fr-CH" w:eastAsia="ja-JP"/>
        </w:rPr>
        <w:noBreakHyphen/>
        <w:t>T G.160- and ITU</w:t>
      </w:r>
      <w:r w:rsidRPr="00380B40">
        <w:rPr>
          <w:rFonts w:eastAsia="DengXian"/>
          <w:szCs w:val="24"/>
          <w:lang w:val="fr-CH" w:eastAsia="ja-JP"/>
        </w:rPr>
        <w:noBreakHyphen/>
        <w:t>T G.180-series</w:t>
      </w:r>
    </w:p>
    <w:p w14:paraId="58DAB633" w14:textId="77777777" w:rsidR="00055A02" w:rsidRPr="00380B40" w:rsidRDefault="00055A02"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br w:type="page"/>
      </w:r>
    </w:p>
    <w:p w14:paraId="598CB64A"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G.1000-series</w:t>
      </w:r>
    </w:p>
    <w:p w14:paraId="063A2714"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I.350-series (including ITU</w:t>
      </w:r>
      <w:r w:rsidRPr="00380B40">
        <w:rPr>
          <w:rFonts w:eastAsia="DengXian"/>
          <w:szCs w:val="24"/>
          <w:lang w:val="fr-CH" w:eastAsia="ja-JP"/>
        </w:rPr>
        <w:noBreakHyphen/>
        <w:t>T G.820/I.351/Y.1501), ITU</w:t>
      </w:r>
      <w:r w:rsidRPr="00380B40">
        <w:rPr>
          <w:rFonts w:eastAsia="DengXian"/>
          <w:szCs w:val="24"/>
          <w:lang w:val="fr-CH" w:eastAsia="ja-JP"/>
        </w:rPr>
        <w:noBreakHyphen/>
        <w:t>T I.371, ITU</w:t>
      </w:r>
      <w:r w:rsidRPr="00380B40">
        <w:rPr>
          <w:rFonts w:eastAsia="DengXian"/>
          <w:szCs w:val="24"/>
          <w:lang w:val="fr-CH" w:eastAsia="ja-JP"/>
        </w:rPr>
        <w:noBreakHyphen/>
        <w:t>T I.378, ITU</w:t>
      </w:r>
      <w:r w:rsidRPr="00380B40">
        <w:rPr>
          <w:rFonts w:eastAsia="DengXian"/>
          <w:szCs w:val="24"/>
          <w:lang w:val="fr-CH" w:eastAsia="ja-JP"/>
        </w:rPr>
        <w:noBreakHyphen/>
        <w:t>T I.381</w:t>
      </w:r>
    </w:p>
    <w:p w14:paraId="7FF9D6D8"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ITU-T J.140-, ITU-T J.240- and ITU-T J.340-series</w:t>
      </w:r>
    </w:p>
    <w:p w14:paraId="2EB41F98"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P-series</w:t>
      </w:r>
    </w:p>
    <w:p w14:paraId="4F2CDF43"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Y.1220-, ITU</w:t>
      </w:r>
      <w:r w:rsidRPr="00380B40">
        <w:rPr>
          <w:rFonts w:eastAsia="DengXian"/>
          <w:szCs w:val="24"/>
          <w:lang w:val="fr-CH" w:eastAsia="ja-JP"/>
        </w:rPr>
        <w:noBreakHyphen/>
        <w:t>T Y.1530-, ITU</w:t>
      </w:r>
      <w:r w:rsidRPr="00380B40">
        <w:rPr>
          <w:rFonts w:eastAsia="DengXian"/>
          <w:szCs w:val="24"/>
          <w:lang w:val="fr-CH" w:eastAsia="ja-JP"/>
        </w:rPr>
        <w:noBreakHyphen/>
        <w:t>T Y.1540-, ITU</w:t>
      </w:r>
      <w:r w:rsidRPr="00380B40">
        <w:rPr>
          <w:rFonts w:eastAsia="DengXian"/>
          <w:szCs w:val="24"/>
          <w:lang w:val="fr-CH" w:eastAsia="ja-JP"/>
        </w:rPr>
        <w:noBreakHyphen/>
        <w:t>T Y.1550- and ITU</w:t>
      </w:r>
      <w:r w:rsidRPr="00380B40">
        <w:rPr>
          <w:rFonts w:eastAsia="DengXian"/>
          <w:szCs w:val="24"/>
          <w:lang w:val="fr-CH" w:eastAsia="ja-JP"/>
        </w:rPr>
        <w:noBreakHyphen/>
        <w:t>T Y.1560-series</w:t>
      </w:r>
    </w:p>
    <w:p w14:paraId="077DED67" w14:textId="77777777" w:rsidR="00AC491A" w:rsidRPr="004E4CA9" w:rsidRDefault="00AC491A" w:rsidP="00AC491A">
      <w:pPr>
        <w:pStyle w:val="Headingb"/>
        <w:rPr>
          <w:lang w:val="fr-CH"/>
        </w:rPr>
      </w:pPr>
      <w:r w:rsidRPr="004E4CA9">
        <w:rPr>
          <w:lang w:val="fr-CH"/>
        </w:rPr>
        <w:t>ITU</w:t>
      </w:r>
      <w:r w:rsidRPr="004E4CA9">
        <w:rPr>
          <w:lang w:val="fr-CH"/>
        </w:rPr>
        <w:noBreakHyphen/>
        <w:t>T Study Group 13</w:t>
      </w:r>
    </w:p>
    <w:p w14:paraId="050936A7" w14:textId="77777777" w:rsidR="00AC491A" w:rsidRPr="004E4CA9"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4E4CA9">
        <w:rPr>
          <w:rFonts w:eastAsia="DengXian"/>
          <w:szCs w:val="24"/>
          <w:lang w:val="fr-CH" w:eastAsia="ja-JP"/>
        </w:rPr>
        <w:t>ITU</w:t>
      </w:r>
      <w:r w:rsidRPr="004E4CA9">
        <w:rPr>
          <w:rFonts w:eastAsia="DengXian"/>
          <w:szCs w:val="24"/>
          <w:lang w:val="fr-CH" w:eastAsia="ja-JP"/>
        </w:rPr>
        <w:noBreakHyphen/>
        <w:t>T F.600-series</w:t>
      </w:r>
    </w:p>
    <w:p w14:paraId="4D825AEA"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G.801, ITU</w:t>
      </w:r>
      <w:r w:rsidRPr="00380B40">
        <w:rPr>
          <w:rFonts w:eastAsia="DengXian"/>
          <w:szCs w:val="24"/>
          <w:lang w:val="fr-CH" w:eastAsia="ja-JP"/>
        </w:rPr>
        <w:noBreakHyphen/>
        <w:t>T G.802, ITU</w:t>
      </w:r>
      <w:r w:rsidRPr="00380B40">
        <w:rPr>
          <w:rFonts w:eastAsia="DengXian"/>
          <w:szCs w:val="24"/>
          <w:lang w:val="fr-CH" w:eastAsia="ja-JP"/>
        </w:rPr>
        <w:noBreakHyphen/>
        <w:t>T G.860-series</w:t>
      </w:r>
    </w:p>
    <w:p w14:paraId="1CE6B055" w14:textId="77777777" w:rsidR="00AC491A" w:rsidRPr="00380B40" w:rsidRDefault="00AC491A" w:rsidP="00AC491A">
      <w:pPr>
        <w:rPr>
          <w:rFonts w:eastAsia="DengXian"/>
          <w:lang w:val="en-GB" w:eastAsia="ja-JP"/>
        </w:rPr>
      </w:pPr>
      <w:r w:rsidRPr="00380B40">
        <w:rPr>
          <w:rFonts w:eastAsia="DengXian"/>
          <w:lang w:val="en-GB" w:eastAsia="ja-JP"/>
        </w:rPr>
        <w:t>ITU</w:t>
      </w:r>
      <w:r w:rsidRPr="00380B40">
        <w:rPr>
          <w:rFonts w:eastAsia="DengXian"/>
          <w:lang w:val="en-GB" w:eastAsia="ja-JP"/>
        </w:rPr>
        <w:noBreakHyphen/>
        <w:t>T I-series, except those under the responsibility of Study Groups 2, 12 and 15, and those having double/triple numbering in other series</w:t>
      </w:r>
    </w:p>
    <w:p w14:paraId="590760E1"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Q.933, ITU</w:t>
      </w:r>
      <w:r w:rsidRPr="00380B40">
        <w:rPr>
          <w:rFonts w:eastAsia="DengXian"/>
          <w:szCs w:val="24"/>
          <w:lang w:val="fr-CH" w:eastAsia="ja-JP"/>
        </w:rPr>
        <w:noBreakHyphen/>
        <w:t>T Q.933</w:t>
      </w:r>
      <w:r w:rsidRPr="00380B40">
        <w:rPr>
          <w:rFonts w:eastAsia="DengXian"/>
          <w:i/>
          <w:iCs/>
          <w:szCs w:val="24"/>
          <w:lang w:val="fr-CH" w:eastAsia="ja-JP"/>
        </w:rPr>
        <w:t>bis</w:t>
      </w:r>
      <w:r w:rsidRPr="00380B40">
        <w:rPr>
          <w:rFonts w:eastAsia="DengXian"/>
          <w:szCs w:val="24"/>
          <w:lang w:val="fr-CH" w:eastAsia="ja-JP"/>
        </w:rPr>
        <w:t>, ITU</w:t>
      </w:r>
      <w:r w:rsidRPr="00380B40">
        <w:rPr>
          <w:rFonts w:eastAsia="DengXian"/>
          <w:szCs w:val="24"/>
          <w:lang w:val="fr-CH" w:eastAsia="ja-JP"/>
        </w:rPr>
        <w:noBreakHyphen/>
        <w:t>T Q.10xx-series and ITU</w:t>
      </w:r>
      <w:r w:rsidRPr="00380B40">
        <w:rPr>
          <w:rFonts w:eastAsia="DengXian"/>
          <w:szCs w:val="24"/>
          <w:lang w:val="fr-CH" w:eastAsia="ja-JP"/>
        </w:rPr>
        <w:noBreakHyphen/>
        <w:t>T Q.1700-series</w:t>
      </w:r>
    </w:p>
    <w:p w14:paraId="0B1C73D4"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 xml:space="preserve">T X.1 </w:t>
      </w:r>
      <w:r w:rsidR="004127D9" w:rsidRPr="00380B40">
        <w:rPr>
          <w:rFonts w:ascii="Avenir Next LT Pro" w:eastAsia="Symbol" w:hAnsi="Avenir Next LT Pro" w:cs="Symbol"/>
          <w:szCs w:val="24"/>
          <w:lang w:val="fr-CH" w:eastAsia="ja-JP"/>
        </w:rPr>
        <w:t>—</w:t>
      </w:r>
      <w:r w:rsidRPr="00380B40">
        <w:rPr>
          <w:rFonts w:eastAsia="DengXian"/>
          <w:szCs w:val="24"/>
          <w:lang w:val="fr-CH" w:eastAsia="ja-JP"/>
        </w:rPr>
        <w:t xml:space="preserve"> ITU</w:t>
      </w:r>
      <w:r w:rsidRPr="00380B40">
        <w:rPr>
          <w:rFonts w:eastAsia="DengXian"/>
          <w:szCs w:val="24"/>
          <w:lang w:val="fr-CH" w:eastAsia="ja-JP"/>
        </w:rPr>
        <w:noBreakHyphen/>
        <w:t>T X.25, ITU</w:t>
      </w:r>
      <w:r w:rsidRPr="00380B40">
        <w:rPr>
          <w:rFonts w:eastAsia="DengXian"/>
          <w:szCs w:val="24"/>
          <w:lang w:val="fr-CH" w:eastAsia="ja-JP"/>
        </w:rPr>
        <w:noBreakHyphen/>
        <w:t>T X.28</w:t>
      </w:r>
      <w:r w:rsidR="004127D9" w:rsidRPr="00380B40">
        <w:rPr>
          <w:rFonts w:eastAsia="DengXian"/>
          <w:szCs w:val="24"/>
          <w:lang w:val="fr-CH" w:eastAsia="ja-JP"/>
        </w:rPr>
        <w:t xml:space="preserve"> </w:t>
      </w:r>
      <w:r w:rsidR="004127D9" w:rsidRPr="00380B40">
        <w:rPr>
          <w:rFonts w:ascii="Avenir Next LT Pro" w:eastAsia="Symbol" w:hAnsi="Avenir Next LT Pro" w:cs="Symbol"/>
          <w:szCs w:val="24"/>
          <w:lang w:val="fr-CH" w:eastAsia="ja-JP"/>
        </w:rPr>
        <w:t>—</w:t>
      </w:r>
      <w:r w:rsidRPr="00380B40">
        <w:rPr>
          <w:rFonts w:eastAsia="DengXian"/>
          <w:szCs w:val="24"/>
          <w:lang w:val="fr-CH" w:eastAsia="ja-JP"/>
        </w:rPr>
        <w:t xml:space="preserve"> ITU</w:t>
      </w:r>
      <w:r w:rsidRPr="00380B40">
        <w:rPr>
          <w:rFonts w:eastAsia="DengXian"/>
          <w:szCs w:val="24"/>
          <w:lang w:val="fr-CH" w:eastAsia="ja-JP"/>
        </w:rPr>
        <w:noBreakHyphen/>
        <w:t>T X.49, ITU</w:t>
      </w:r>
      <w:r w:rsidRPr="00380B40">
        <w:rPr>
          <w:rFonts w:eastAsia="DengXian"/>
          <w:szCs w:val="24"/>
          <w:lang w:val="fr-CH" w:eastAsia="ja-JP"/>
        </w:rPr>
        <w:noBreakHyphen/>
        <w:t xml:space="preserve">T X.60 </w:t>
      </w:r>
      <w:r w:rsidR="004127D9" w:rsidRPr="00380B40">
        <w:rPr>
          <w:rFonts w:ascii="Avenir Next LT Pro" w:eastAsia="Symbol" w:hAnsi="Avenir Next LT Pro" w:cs="Symbol"/>
          <w:szCs w:val="24"/>
          <w:lang w:val="fr-CH" w:eastAsia="ja-JP"/>
        </w:rPr>
        <w:t>—</w:t>
      </w:r>
      <w:r w:rsidRPr="00380B40">
        <w:rPr>
          <w:rFonts w:eastAsia="DengXian"/>
          <w:szCs w:val="24"/>
          <w:lang w:val="fr-CH" w:eastAsia="ja-JP"/>
        </w:rPr>
        <w:t xml:space="preserve"> ITU</w:t>
      </w:r>
      <w:r w:rsidRPr="00380B40">
        <w:rPr>
          <w:rFonts w:eastAsia="DengXian"/>
          <w:szCs w:val="24"/>
          <w:lang w:val="fr-CH" w:eastAsia="ja-JP"/>
        </w:rPr>
        <w:noBreakHyphen/>
        <w:t>T X.84, ITU</w:t>
      </w:r>
      <w:r w:rsidRPr="00380B40">
        <w:rPr>
          <w:rFonts w:eastAsia="DengXian"/>
          <w:szCs w:val="24"/>
          <w:lang w:val="fr-CH" w:eastAsia="ja-JP"/>
        </w:rPr>
        <w:noBreakHyphen/>
        <w:t>T X.90</w:t>
      </w:r>
      <w:r w:rsidR="004127D9" w:rsidRPr="00380B40">
        <w:rPr>
          <w:rFonts w:eastAsia="DengXian"/>
          <w:szCs w:val="24"/>
          <w:lang w:val="fr-CH" w:eastAsia="ja-JP"/>
        </w:rPr>
        <w:t xml:space="preserve"> </w:t>
      </w:r>
      <w:r w:rsidR="004127D9" w:rsidRPr="00380B40">
        <w:rPr>
          <w:rFonts w:ascii="Avenir Next LT Pro" w:eastAsia="Symbol" w:hAnsi="Avenir Next LT Pro" w:cs="Symbol"/>
          <w:szCs w:val="24"/>
          <w:lang w:val="fr-CH" w:eastAsia="ja-JP"/>
        </w:rPr>
        <w:t>—</w:t>
      </w:r>
      <w:r w:rsidRPr="00380B40">
        <w:rPr>
          <w:rFonts w:eastAsia="DengXian"/>
          <w:szCs w:val="24"/>
          <w:lang w:val="fr-CH" w:eastAsia="ja-JP"/>
        </w:rPr>
        <w:t xml:space="preserve"> ITU</w:t>
      </w:r>
      <w:r w:rsidRPr="00380B40">
        <w:rPr>
          <w:rFonts w:eastAsia="DengXian"/>
          <w:szCs w:val="24"/>
          <w:lang w:val="fr-CH" w:eastAsia="ja-JP"/>
        </w:rPr>
        <w:noBreakHyphen/>
        <w:t>T X.159, ITU</w:t>
      </w:r>
      <w:r w:rsidRPr="00380B40">
        <w:rPr>
          <w:rFonts w:eastAsia="DengXian"/>
          <w:szCs w:val="24"/>
          <w:lang w:val="fr-CH" w:eastAsia="ja-JP"/>
        </w:rPr>
        <w:noBreakHyphen/>
        <w:t xml:space="preserve">T X.180 </w:t>
      </w:r>
      <w:r w:rsidR="004127D9" w:rsidRPr="00380B40">
        <w:rPr>
          <w:rFonts w:ascii="Avenir Next LT Pro" w:eastAsia="Symbol" w:hAnsi="Avenir Next LT Pro" w:cs="Symbol"/>
          <w:szCs w:val="24"/>
          <w:lang w:val="fr-CH" w:eastAsia="ja-JP"/>
        </w:rPr>
        <w:t>—</w:t>
      </w:r>
      <w:r w:rsidRPr="00380B40">
        <w:rPr>
          <w:rFonts w:eastAsia="DengXian"/>
          <w:szCs w:val="24"/>
          <w:lang w:val="fr-CH" w:eastAsia="ja-JP"/>
        </w:rPr>
        <w:t xml:space="preserve"> ITU</w:t>
      </w:r>
      <w:r w:rsidRPr="00380B40">
        <w:rPr>
          <w:rFonts w:eastAsia="DengXian"/>
          <w:szCs w:val="24"/>
          <w:lang w:val="fr-CH" w:eastAsia="ja-JP"/>
        </w:rPr>
        <w:noBreakHyphen/>
        <w:t>T X.199, ITU</w:t>
      </w:r>
      <w:r w:rsidRPr="00380B40">
        <w:rPr>
          <w:rFonts w:eastAsia="DengXian"/>
          <w:szCs w:val="24"/>
          <w:lang w:val="fr-CH" w:eastAsia="ja-JP"/>
        </w:rPr>
        <w:noBreakHyphen/>
        <w:t>T X.272, ITU</w:t>
      </w:r>
      <w:r w:rsidRPr="00380B40">
        <w:rPr>
          <w:rFonts w:eastAsia="DengXian"/>
          <w:szCs w:val="24"/>
          <w:lang w:val="fr-CH" w:eastAsia="ja-JP"/>
        </w:rPr>
        <w:noBreakHyphen/>
        <w:t>T X.300-series</w:t>
      </w:r>
    </w:p>
    <w:p w14:paraId="5D94488E"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ITU</w:t>
      </w:r>
      <w:r w:rsidRPr="00380B40">
        <w:rPr>
          <w:rFonts w:eastAsia="DengXian"/>
          <w:szCs w:val="24"/>
          <w:lang w:val="en-GB" w:eastAsia="ja-JP"/>
        </w:rPr>
        <w:noBreakHyphen/>
        <w:t>T Y-series, except those under the responsibility of Study Groups 12, 15, 16 and 20</w:t>
      </w:r>
    </w:p>
    <w:p w14:paraId="1CB066CD" w14:textId="77777777" w:rsidR="00AC491A" w:rsidRPr="00380B40" w:rsidRDefault="00AC491A" w:rsidP="00AC491A">
      <w:pPr>
        <w:pStyle w:val="Headingb"/>
        <w:rPr>
          <w:lang w:val="en-GB"/>
        </w:rPr>
      </w:pPr>
      <w:r w:rsidRPr="00380B40">
        <w:rPr>
          <w:lang w:val="en-GB"/>
        </w:rPr>
        <w:t>ITU</w:t>
      </w:r>
      <w:r w:rsidRPr="00380B40">
        <w:rPr>
          <w:lang w:val="en-GB"/>
        </w:rPr>
        <w:noBreakHyphen/>
        <w:t>T Study Group 15</w:t>
      </w:r>
    </w:p>
    <w:p w14:paraId="36647993"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ITU</w:t>
      </w:r>
      <w:r w:rsidRPr="00380B40">
        <w:rPr>
          <w:rFonts w:eastAsia="DengXian"/>
          <w:szCs w:val="24"/>
          <w:lang w:val="en-GB" w:eastAsia="ja-JP"/>
        </w:rPr>
        <w:noBreakHyphen/>
        <w:t>T G-series, except those under the responsibility of Study Groups 2, 12, 13 and 16</w:t>
      </w:r>
    </w:p>
    <w:p w14:paraId="4798D198"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I.326, ITU</w:t>
      </w:r>
      <w:r w:rsidRPr="00380B40">
        <w:rPr>
          <w:rFonts w:eastAsia="DengXian"/>
          <w:szCs w:val="24"/>
          <w:lang w:val="fr-CH" w:eastAsia="ja-JP"/>
        </w:rPr>
        <w:noBreakHyphen/>
        <w:t>T I.414, ITU</w:t>
      </w:r>
      <w:r w:rsidRPr="00380B40">
        <w:rPr>
          <w:rFonts w:eastAsia="DengXian"/>
          <w:szCs w:val="24"/>
          <w:lang w:val="fr-CH" w:eastAsia="ja-JP"/>
        </w:rPr>
        <w:noBreakHyphen/>
        <w:t>T I.430-series, ITU</w:t>
      </w:r>
      <w:r w:rsidRPr="00380B40">
        <w:rPr>
          <w:rFonts w:eastAsia="DengXian"/>
          <w:szCs w:val="24"/>
          <w:lang w:val="fr-CH" w:eastAsia="ja-JP"/>
        </w:rPr>
        <w:noBreakHyphen/>
        <w:t>T I.600-series and ITU</w:t>
      </w:r>
      <w:r w:rsidRPr="00380B40">
        <w:rPr>
          <w:rFonts w:eastAsia="DengXian"/>
          <w:szCs w:val="24"/>
          <w:lang w:val="fr-CH" w:eastAsia="ja-JP"/>
        </w:rPr>
        <w:noBreakHyphen/>
        <w:t>T I.700-series, except ITU</w:t>
      </w:r>
      <w:r w:rsidRPr="00380B40">
        <w:rPr>
          <w:rFonts w:eastAsia="DengXian"/>
          <w:szCs w:val="24"/>
          <w:lang w:val="fr-CH" w:eastAsia="ja-JP"/>
        </w:rPr>
        <w:noBreakHyphen/>
        <w:t>T I.750</w:t>
      </w:r>
      <w:r w:rsidR="00667039" w:rsidRPr="00380B40">
        <w:rPr>
          <w:rFonts w:eastAsia="DengXian"/>
          <w:szCs w:val="24"/>
          <w:lang w:val="fr-CH" w:eastAsia="ja-JP"/>
        </w:rPr>
        <w:noBreakHyphen/>
      </w:r>
      <w:r w:rsidRPr="00380B40">
        <w:rPr>
          <w:rFonts w:eastAsia="DengXian"/>
          <w:szCs w:val="24"/>
          <w:lang w:val="fr-CH" w:eastAsia="ja-JP"/>
        </w:rPr>
        <w:t>series</w:t>
      </w:r>
    </w:p>
    <w:p w14:paraId="4CADA237"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ITU-T J.190 and ITU-T J.192</w:t>
      </w:r>
    </w:p>
    <w:p w14:paraId="3C34E455"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ITU</w:t>
      </w:r>
      <w:r w:rsidRPr="00380B40">
        <w:rPr>
          <w:rFonts w:eastAsia="DengXian"/>
          <w:szCs w:val="24"/>
          <w:lang w:val="en-GB" w:eastAsia="ja-JP"/>
        </w:rPr>
        <w:noBreakHyphen/>
        <w:t>T L-series, except those under the responsibility of Study Group 5</w:t>
      </w:r>
    </w:p>
    <w:p w14:paraId="54286E3D"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ITU</w:t>
      </w:r>
      <w:r w:rsidRPr="00380B40">
        <w:rPr>
          <w:rFonts w:eastAsia="DengXian"/>
          <w:szCs w:val="24"/>
          <w:lang w:val="en-GB" w:eastAsia="ja-JP"/>
        </w:rPr>
        <w:noBreakHyphen/>
        <w:t>T O-series (including ITU</w:t>
      </w:r>
      <w:r w:rsidRPr="00380B40">
        <w:rPr>
          <w:rFonts w:eastAsia="DengXian"/>
          <w:szCs w:val="24"/>
          <w:lang w:val="en-GB" w:eastAsia="ja-JP"/>
        </w:rPr>
        <w:noBreakHyphen/>
        <w:t>T O.41/ITU</w:t>
      </w:r>
      <w:r w:rsidRPr="00380B40">
        <w:rPr>
          <w:rFonts w:eastAsia="DengXian"/>
          <w:szCs w:val="24"/>
          <w:lang w:val="en-GB" w:eastAsia="ja-JP"/>
        </w:rPr>
        <w:noBreakHyphen/>
        <w:t>T P.53), except those under the responsibility of Study Group 2</w:t>
      </w:r>
    </w:p>
    <w:p w14:paraId="2E1A0070"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Q.49/O.22 and ITU</w:t>
      </w:r>
      <w:r w:rsidRPr="00380B40">
        <w:rPr>
          <w:rFonts w:eastAsia="DengXian"/>
          <w:szCs w:val="24"/>
          <w:lang w:val="fr-CH" w:eastAsia="ja-JP"/>
        </w:rPr>
        <w:noBreakHyphen/>
        <w:t>T Q.500-series, except ITU</w:t>
      </w:r>
      <w:r w:rsidRPr="00380B40">
        <w:rPr>
          <w:rFonts w:eastAsia="DengXian"/>
          <w:szCs w:val="24"/>
          <w:lang w:val="fr-CH" w:eastAsia="ja-JP"/>
        </w:rPr>
        <w:noBreakHyphen/>
        <w:t>T Q.513</w:t>
      </w:r>
    </w:p>
    <w:p w14:paraId="368FA034"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Maintenance of the ITU</w:t>
      </w:r>
      <w:r w:rsidRPr="00380B40">
        <w:rPr>
          <w:rFonts w:eastAsia="DengXian"/>
          <w:szCs w:val="24"/>
          <w:lang w:val="en-GB" w:eastAsia="ja-JP"/>
        </w:rPr>
        <w:noBreakHyphen/>
        <w:t>T R-series</w:t>
      </w:r>
    </w:p>
    <w:p w14:paraId="3F01CAB9"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X.50-series, ITU</w:t>
      </w:r>
      <w:r w:rsidRPr="00380B40">
        <w:rPr>
          <w:rFonts w:eastAsia="DengXian"/>
          <w:szCs w:val="24"/>
          <w:lang w:val="fr-CH" w:eastAsia="ja-JP"/>
        </w:rPr>
        <w:noBreakHyphen/>
        <w:t>T X.85/ Y.1321, ITU</w:t>
      </w:r>
      <w:r w:rsidRPr="00380B40">
        <w:rPr>
          <w:rFonts w:eastAsia="DengXian"/>
          <w:szCs w:val="24"/>
          <w:lang w:val="fr-CH" w:eastAsia="ja-JP"/>
        </w:rPr>
        <w:noBreakHyphen/>
        <w:t>T X.86/ Y.1323, ITU</w:t>
      </w:r>
      <w:r w:rsidRPr="00380B40">
        <w:rPr>
          <w:rFonts w:eastAsia="DengXian"/>
          <w:szCs w:val="24"/>
          <w:lang w:val="fr-CH" w:eastAsia="ja-JP"/>
        </w:rPr>
        <w:noBreakHyphen/>
        <w:t>T X.87/Y.1324</w:t>
      </w:r>
    </w:p>
    <w:p w14:paraId="42CB0142"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V.38, ITU</w:t>
      </w:r>
      <w:r w:rsidRPr="00380B40">
        <w:rPr>
          <w:rFonts w:eastAsia="DengXian"/>
          <w:szCs w:val="24"/>
          <w:lang w:val="fr-CH" w:eastAsia="ja-JP"/>
        </w:rPr>
        <w:noBreakHyphen/>
        <w:t>T V.55/ O.71, ITU</w:t>
      </w:r>
      <w:r w:rsidRPr="00380B40">
        <w:rPr>
          <w:rFonts w:eastAsia="DengXian"/>
          <w:szCs w:val="24"/>
          <w:lang w:val="fr-CH" w:eastAsia="ja-JP"/>
        </w:rPr>
        <w:noBreakHyphen/>
        <w:t>T V.300</w:t>
      </w:r>
    </w:p>
    <w:p w14:paraId="00FC29F5"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 xml:space="preserve">T Y.1300 </w:t>
      </w:r>
      <w:r w:rsidR="004127D9" w:rsidRPr="00380B40">
        <w:rPr>
          <w:rFonts w:ascii="Avenir Next LT Pro" w:eastAsia="Symbol" w:hAnsi="Avenir Next LT Pro" w:cs="Symbol"/>
          <w:szCs w:val="24"/>
          <w:lang w:val="fr-CH" w:eastAsia="ja-JP"/>
        </w:rPr>
        <w:t>—</w:t>
      </w:r>
      <w:r w:rsidRPr="00380B40">
        <w:rPr>
          <w:rFonts w:eastAsia="DengXian"/>
          <w:szCs w:val="24"/>
          <w:lang w:val="fr-CH" w:eastAsia="ja-JP"/>
        </w:rPr>
        <w:t xml:space="preserve"> ITU</w:t>
      </w:r>
      <w:r w:rsidRPr="00380B40">
        <w:rPr>
          <w:rFonts w:eastAsia="DengXian"/>
          <w:szCs w:val="24"/>
          <w:lang w:val="fr-CH" w:eastAsia="ja-JP"/>
        </w:rPr>
        <w:noBreakHyphen/>
        <w:t>T Y.1309, ITU</w:t>
      </w:r>
      <w:r w:rsidRPr="00380B40">
        <w:rPr>
          <w:rFonts w:eastAsia="DengXian"/>
          <w:szCs w:val="24"/>
          <w:lang w:val="fr-CH" w:eastAsia="ja-JP"/>
        </w:rPr>
        <w:noBreakHyphen/>
        <w:t xml:space="preserve">T Y.1320 </w:t>
      </w:r>
      <w:r w:rsidR="004127D9" w:rsidRPr="00380B40">
        <w:rPr>
          <w:rFonts w:ascii="Avenir Next LT Pro" w:eastAsia="Symbol" w:hAnsi="Avenir Next LT Pro" w:cs="Symbol"/>
          <w:szCs w:val="24"/>
          <w:lang w:val="fr-CH" w:eastAsia="ja-JP"/>
        </w:rPr>
        <w:t>—</w:t>
      </w:r>
      <w:r w:rsidRPr="00380B40">
        <w:rPr>
          <w:rFonts w:eastAsia="DengXian"/>
          <w:szCs w:val="24"/>
          <w:lang w:val="fr-CH" w:eastAsia="ja-JP"/>
        </w:rPr>
        <w:t xml:space="preserve"> ITU</w:t>
      </w:r>
      <w:r w:rsidRPr="00380B40">
        <w:rPr>
          <w:rFonts w:eastAsia="DengXian"/>
          <w:szCs w:val="24"/>
          <w:lang w:val="fr-CH" w:eastAsia="ja-JP"/>
        </w:rPr>
        <w:noBreakHyphen/>
        <w:t>T Y.1399, ITU</w:t>
      </w:r>
      <w:r w:rsidRPr="00380B40">
        <w:rPr>
          <w:rFonts w:eastAsia="DengXian"/>
          <w:szCs w:val="24"/>
          <w:lang w:val="fr-CH" w:eastAsia="ja-JP"/>
        </w:rPr>
        <w:noBreakHyphen/>
        <w:t>T Y.1501 and ITU</w:t>
      </w:r>
      <w:r w:rsidRPr="00380B40">
        <w:rPr>
          <w:rFonts w:eastAsia="DengXian"/>
          <w:szCs w:val="24"/>
          <w:lang w:val="fr-CH" w:eastAsia="ja-JP"/>
        </w:rPr>
        <w:noBreakHyphen/>
        <w:t>T Y.1700-series</w:t>
      </w:r>
    </w:p>
    <w:p w14:paraId="64E23B79" w14:textId="77777777" w:rsidR="00055A02" w:rsidRPr="00380B40" w:rsidRDefault="00055A02" w:rsidP="00AC491A">
      <w:pPr>
        <w:pStyle w:val="Headingb"/>
        <w:rPr>
          <w:lang w:val="fr-CH"/>
        </w:rPr>
      </w:pPr>
      <w:r w:rsidRPr="00380B40">
        <w:rPr>
          <w:lang w:val="fr-CH"/>
        </w:rPr>
        <w:br w:type="page"/>
      </w:r>
    </w:p>
    <w:p w14:paraId="561075E3" w14:textId="77777777" w:rsidR="00AC491A" w:rsidRPr="00380B40" w:rsidRDefault="00AC491A" w:rsidP="00AC491A">
      <w:pPr>
        <w:pStyle w:val="Headingb"/>
        <w:rPr>
          <w:lang w:val="fr-CH"/>
        </w:rPr>
      </w:pPr>
      <w:r w:rsidRPr="00380B40">
        <w:rPr>
          <w:lang w:val="fr-CH"/>
        </w:rPr>
        <w:t>ITU</w:t>
      </w:r>
      <w:r w:rsidRPr="00380B40">
        <w:rPr>
          <w:lang w:val="fr-CH"/>
        </w:rPr>
        <w:noBreakHyphen/>
        <w:t>T Study Group 16</w:t>
      </w:r>
    </w:p>
    <w:p w14:paraId="50875E1B"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ITU-T E.120 – ITU-T E.139 (except ITU-T E.129), ITU-T E.161, ITU-T E.180-series, ITU-T E.330-series, ITU-T E.340-series</w:t>
      </w:r>
    </w:p>
    <w:p w14:paraId="74320713"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ITU</w:t>
      </w:r>
      <w:r w:rsidRPr="00380B40">
        <w:rPr>
          <w:rFonts w:eastAsia="DengXian"/>
          <w:szCs w:val="24"/>
          <w:lang w:val="en-GB" w:eastAsia="ja-JP"/>
        </w:rPr>
        <w:noBreakHyphen/>
        <w:t>T F.700-series, except those under the responsibility of Study Group 20, and ITU-T F.900-series</w:t>
      </w:r>
    </w:p>
    <w:p w14:paraId="3E4658DE"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G.160-series, ITU</w:t>
      </w:r>
      <w:r w:rsidRPr="00380B40">
        <w:rPr>
          <w:rFonts w:eastAsia="DengXian"/>
          <w:szCs w:val="24"/>
          <w:lang w:val="fr-CH" w:eastAsia="ja-JP"/>
        </w:rPr>
        <w:noBreakHyphen/>
        <w:t xml:space="preserve">T G.710 </w:t>
      </w:r>
      <w:r w:rsidR="004127D9" w:rsidRPr="00380B40">
        <w:rPr>
          <w:rFonts w:ascii="Avenir Next LT Pro" w:eastAsia="Symbol" w:hAnsi="Avenir Next LT Pro" w:cs="Symbol"/>
          <w:szCs w:val="24"/>
          <w:lang w:val="fr-CH" w:eastAsia="ja-JP"/>
        </w:rPr>
        <w:t>—</w:t>
      </w:r>
      <w:r w:rsidRPr="00380B40">
        <w:rPr>
          <w:rFonts w:eastAsia="DengXian"/>
          <w:szCs w:val="24"/>
          <w:lang w:val="fr-CH" w:eastAsia="ja-JP"/>
        </w:rPr>
        <w:t xml:space="preserve"> ITU</w:t>
      </w:r>
      <w:r w:rsidRPr="00380B40">
        <w:rPr>
          <w:rFonts w:eastAsia="DengXian"/>
          <w:szCs w:val="24"/>
          <w:lang w:val="fr-CH" w:eastAsia="ja-JP"/>
        </w:rPr>
        <w:noBreakHyphen/>
        <w:t>T G.729 (except ITU</w:t>
      </w:r>
      <w:r w:rsidRPr="00380B40">
        <w:rPr>
          <w:rFonts w:eastAsia="DengXian"/>
          <w:szCs w:val="24"/>
          <w:lang w:val="fr-CH" w:eastAsia="ja-JP"/>
        </w:rPr>
        <w:noBreakHyphen/>
        <w:t>T G.712), ITU</w:t>
      </w:r>
      <w:r w:rsidRPr="00380B40">
        <w:rPr>
          <w:rFonts w:eastAsia="DengXian"/>
          <w:szCs w:val="24"/>
          <w:lang w:val="fr-CH" w:eastAsia="ja-JP"/>
        </w:rPr>
        <w:noBreakHyphen/>
        <w:t>T G.760</w:t>
      </w:r>
      <w:r w:rsidRPr="00380B40">
        <w:rPr>
          <w:rFonts w:eastAsia="DengXian"/>
          <w:szCs w:val="24"/>
          <w:lang w:val="fr-CH" w:eastAsia="ja-JP"/>
        </w:rPr>
        <w:noBreakHyphen/>
        <w:t>series (including ITU</w:t>
      </w:r>
      <w:r w:rsidRPr="00380B40">
        <w:rPr>
          <w:rFonts w:eastAsia="DengXian"/>
          <w:szCs w:val="24"/>
          <w:lang w:val="fr-CH" w:eastAsia="ja-JP"/>
        </w:rPr>
        <w:noBreakHyphen/>
        <w:t>T G.769/Y.1242), ITU</w:t>
      </w:r>
      <w:r w:rsidRPr="00380B40">
        <w:rPr>
          <w:rFonts w:eastAsia="DengXian"/>
          <w:szCs w:val="24"/>
          <w:lang w:val="fr-CH" w:eastAsia="ja-JP"/>
        </w:rPr>
        <w:noBreakHyphen/>
        <w:t>T G.776.1, ITU</w:t>
      </w:r>
      <w:r w:rsidRPr="00380B40">
        <w:rPr>
          <w:rFonts w:eastAsia="DengXian"/>
          <w:szCs w:val="24"/>
          <w:lang w:val="fr-CH" w:eastAsia="ja-JP"/>
        </w:rPr>
        <w:noBreakHyphen/>
        <w:t>T G.799.1/</w:t>
      </w:r>
      <w:r w:rsidRPr="00380B40" w:rsidDel="00E7619E">
        <w:rPr>
          <w:rFonts w:eastAsia="DengXian"/>
          <w:szCs w:val="24"/>
          <w:lang w:val="fr-CH" w:eastAsia="ja-JP"/>
        </w:rPr>
        <w:t xml:space="preserve"> </w:t>
      </w:r>
      <w:r w:rsidRPr="00380B40">
        <w:rPr>
          <w:rFonts w:eastAsia="DengXian"/>
          <w:szCs w:val="24"/>
          <w:lang w:val="fr-CH" w:eastAsia="ja-JP"/>
        </w:rPr>
        <w:t>Y.1451.1, ITU</w:t>
      </w:r>
      <w:r w:rsidRPr="00380B40">
        <w:rPr>
          <w:rFonts w:eastAsia="DengXian"/>
          <w:szCs w:val="24"/>
          <w:lang w:val="fr-CH" w:eastAsia="ja-JP"/>
        </w:rPr>
        <w:noBreakHyphen/>
        <w:t>T G.799.2, ITU</w:t>
      </w:r>
      <w:r w:rsidRPr="00380B40">
        <w:rPr>
          <w:rFonts w:eastAsia="DengXian"/>
          <w:szCs w:val="24"/>
          <w:lang w:val="fr-CH" w:eastAsia="ja-JP"/>
        </w:rPr>
        <w:noBreakHyphen/>
        <w:t>T G.799.3</w:t>
      </w:r>
    </w:p>
    <w:p w14:paraId="2BCC04F5"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ITU</w:t>
      </w:r>
      <w:r w:rsidRPr="00380B40">
        <w:rPr>
          <w:rFonts w:eastAsia="DengXian"/>
          <w:szCs w:val="24"/>
          <w:lang w:val="en-GB" w:eastAsia="ja-JP"/>
        </w:rPr>
        <w:noBreakHyphen/>
        <w:t>T H-series, except those under the responsibility of Study Group 20</w:t>
      </w:r>
    </w:p>
    <w:p w14:paraId="4CE6E958"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T-series</w:t>
      </w:r>
    </w:p>
    <w:p w14:paraId="5192B39A"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Q.50-series, ITU</w:t>
      </w:r>
      <w:r w:rsidRPr="00380B40">
        <w:rPr>
          <w:rFonts w:eastAsia="DengXian"/>
          <w:szCs w:val="24"/>
          <w:lang w:val="fr-CH" w:eastAsia="ja-JP"/>
        </w:rPr>
        <w:noBreakHyphen/>
        <w:t>T Q.115-series</w:t>
      </w:r>
    </w:p>
    <w:p w14:paraId="04010499"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ITU</w:t>
      </w:r>
      <w:r w:rsidRPr="00380B40">
        <w:rPr>
          <w:rFonts w:eastAsia="DengXian"/>
          <w:szCs w:val="24"/>
          <w:lang w:val="en-GB" w:eastAsia="ja-JP"/>
        </w:rPr>
        <w:noBreakHyphen/>
        <w:t>T V-series, except those under the responsibility of Study Groups 2 and 15</w:t>
      </w:r>
    </w:p>
    <w:p w14:paraId="361A1968"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X.26/V.10 and ITU</w:t>
      </w:r>
      <w:r w:rsidRPr="00380B40">
        <w:rPr>
          <w:rFonts w:eastAsia="DengXian"/>
          <w:szCs w:val="24"/>
          <w:lang w:val="fr-CH" w:eastAsia="ja-JP"/>
        </w:rPr>
        <w:noBreakHyphen/>
        <w:t>T X.27/V.11</w:t>
      </w:r>
    </w:p>
    <w:p w14:paraId="224D6A9F" w14:textId="77777777" w:rsidR="00AC491A" w:rsidRPr="00380B40" w:rsidRDefault="00AC491A" w:rsidP="00AC491A">
      <w:pPr>
        <w:pStyle w:val="Headingb"/>
        <w:rPr>
          <w:lang w:val="en-GB"/>
        </w:rPr>
      </w:pPr>
      <w:r w:rsidRPr="00380B40">
        <w:rPr>
          <w:lang w:val="en-GB"/>
        </w:rPr>
        <w:t>ITU</w:t>
      </w:r>
      <w:r w:rsidRPr="00380B40">
        <w:rPr>
          <w:lang w:val="en-GB"/>
        </w:rPr>
        <w:noBreakHyphen/>
        <w:t>T Study Group 17</w:t>
      </w:r>
    </w:p>
    <w:p w14:paraId="0F002650"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ITU</w:t>
      </w:r>
      <w:r w:rsidRPr="00380B40">
        <w:rPr>
          <w:rFonts w:eastAsia="DengXian"/>
          <w:szCs w:val="24"/>
          <w:lang w:val="en-GB" w:eastAsia="ja-JP"/>
        </w:rPr>
        <w:noBreakHyphen/>
        <w:t>T E.104, ITU</w:t>
      </w:r>
      <w:r w:rsidRPr="00380B40">
        <w:rPr>
          <w:rFonts w:eastAsia="DengXian"/>
          <w:szCs w:val="24"/>
          <w:lang w:val="en-GB" w:eastAsia="ja-JP"/>
        </w:rPr>
        <w:noBreakHyphen/>
        <w:t>T E.115, ITU</w:t>
      </w:r>
      <w:r w:rsidRPr="00380B40">
        <w:rPr>
          <w:rFonts w:eastAsia="DengXian"/>
          <w:szCs w:val="24"/>
          <w:lang w:val="en-GB" w:eastAsia="ja-JP"/>
        </w:rPr>
        <w:noBreakHyphen/>
        <w:t>T E.409 (in conjunction with Study Group 2)</w:t>
      </w:r>
    </w:p>
    <w:p w14:paraId="13CA88A8"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F.400-series; ITU</w:t>
      </w:r>
      <w:r w:rsidRPr="00380B40">
        <w:rPr>
          <w:rFonts w:eastAsia="DengXian"/>
          <w:szCs w:val="24"/>
          <w:lang w:val="fr-CH" w:eastAsia="ja-JP"/>
        </w:rPr>
        <w:noBreakHyphen/>
        <w:t xml:space="preserve">T F.500 </w:t>
      </w:r>
      <w:r w:rsidR="004127D9" w:rsidRPr="00380B40">
        <w:rPr>
          <w:rFonts w:ascii="Avenir Next LT Pro" w:eastAsia="Symbol" w:hAnsi="Avenir Next LT Pro" w:cs="Symbol"/>
          <w:szCs w:val="24"/>
          <w:lang w:val="fr-CH" w:eastAsia="ja-JP"/>
        </w:rPr>
        <w:t>—</w:t>
      </w:r>
      <w:r w:rsidRPr="00380B40">
        <w:rPr>
          <w:rFonts w:eastAsia="DengXian"/>
          <w:szCs w:val="24"/>
          <w:lang w:val="fr-CH" w:eastAsia="ja-JP"/>
        </w:rPr>
        <w:t xml:space="preserve"> ITU</w:t>
      </w:r>
      <w:r w:rsidRPr="00380B40">
        <w:rPr>
          <w:rFonts w:eastAsia="DengXian"/>
          <w:szCs w:val="24"/>
          <w:lang w:val="fr-CH" w:eastAsia="ja-JP"/>
        </w:rPr>
        <w:noBreakHyphen/>
        <w:t>T F.549</w:t>
      </w:r>
    </w:p>
    <w:p w14:paraId="5BE95458"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en-GB" w:eastAsia="ja-JP"/>
        </w:rPr>
      </w:pPr>
      <w:r w:rsidRPr="00380B40">
        <w:rPr>
          <w:rFonts w:eastAsia="DengXian"/>
          <w:szCs w:val="24"/>
          <w:lang w:val="en-GB" w:eastAsia="ja-JP"/>
        </w:rPr>
        <w:t>ITU</w:t>
      </w:r>
      <w:r w:rsidRPr="00380B40">
        <w:rPr>
          <w:rFonts w:eastAsia="DengXian"/>
          <w:szCs w:val="24"/>
          <w:lang w:val="en-GB" w:eastAsia="ja-JP"/>
        </w:rPr>
        <w:noBreakHyphen/>
        <w:t>T X-series, except those under the responsibility of Study Groups 2, 3, 11, 13, 15 and 16</w:t>
      </w:r>
    </w:p>
    <w:p w14:paraId="2155A078"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Z-series, except ITU</w:t>
      </w:r>
      <w:r w:rsidRPr="00380B40">
        <w:rPr>
          <w:rFonts w:eastAsia="DengXian"/>
          <w:szCs w:val="24"/>
          <w:lang w:val="fr-CH" w:eastAsia="ja-JP"/>
        </w:rPr>
        <w:noBreakHyphen/>
        <w:t>T Z.300-series and ITU</w:t>
      </w:r>
      <w:r w:rsidRPr="00380B40">
        <w:rPr>
          <w:rFonts w:eastAsia="DengXian"/>
          <w:szCs w:val="24"/>
          <w:lang w:val="fr-CH" w:eastAsia="ja-JP"/>
        </w:rPr>
        <w:noBreakHyphen/>
        <w:t>T Z.500-series</w:t>
      </w:r>
    </w:p>
    <w:p w14:paraId="6CF9CFAB" w14:textId="77777777" w:rsidR="00AC491A" w:rsidRPr="00380B40" w:rsidRDefault="00AC491A" w:rsidP="00AC491A">
      <w:pPr>
        <w:pStyle w:val="Headingb"/>
        <w:rPr>
          <w:lang w:val="fr-CH"/>
        </w:rPr>
      </w:pPr>
      <w:r w:rsidRPr="00380B40">
        <w:rPr>
          <w:lang w:val="fr-CH"/>
        </w:rPr>
        <w:t>ITU</w:t>
      </w:r>
      <w:r w:rsidRPr="00380B40">
        <w:rPr>
          <w:lang w:val="fr-CH"/>
        </w:rPr>
        <w:noBreakHyphen/>
        <w:t>T Study Group 20</w:t>
      </w:r>
    </w:p>
    <w:p w14:paraId="46A0B62D"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F.744, ITU</w:t>
      </w:r>
      <w:r w:rsidRPr="00380B40">
        <w:rPr>
          <w:rFonts w:eastAsia="DengXian"/>
          <w:szCs w:val="24"/>
          <w:lang w:val="fr-CH" w:eastAsia="ja-JP"/>
        </w:rPr>
        <w:noBreakHyphen/>
        <w:t>T F.747.1 – ITU</w:t>
      </w:r>
      <w:r w:rsidRPr="00380B40">
        <w:rPr>
          <w:rFonts w:eastAsia="DengXian"/>
          <w:szCs w:val="24"/>
          <w:lang w:val="fr-CH" w:eastAsia="ja-JP"/>
        </w:rPr>
        <w:noBreakHyphen/>
        <w:t>T F.747.8, ITU</w:t>
      </w:r>
      <w:r w:rsidRPr="00380B40">
        <w:rPr>
          <w:rFonts w:eastAsia="DengXian"/>
          <w:szCs w:val="24"/>
          <w:lang w:val="fr-CH" w:eastAsia="ja-JP"/>
        </w:rPr>
        <w:noBreakHyphen/>
        <w:t>T F.748.0 – ITU</w:t>
      </w:r>
      <w:r w:rsidRPr="00380B40">
        <w:rPr>
          <w:rFonts w:eastAsia="DengXian"/>
          <w:szCs w:val="24"/>
          <w:lang w:val="fr-CH" w:eastAsia="ja-JP"/>
        </w:rPr>
        <w:noBreakHyphen/>
        <w:t>T F.748.5 and ITU</w:t>
      </w:r>
      <w:r w:rsidRPr="00380B40">
        <w:rPr>
          <w:rFonts w:eastAsia="DengXian"/>
          <w:szCs w:val="24"/>
          <w:lang w:val="fr-CH" w:eastAsia="ja-JP"/>
        </w:rPr>
        <w:noBreakHyphen/>
        <w:t>T F.771</w:t>
      </w:r>
    </w:p>
    <w:p w14:paraId="1E79BB49"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H.621, ITU</w:t>
      </w:r>
      <w:r w:rsidRPr="00380B40">
        <w:rPr>
          <w:rFonts w:eastAsia="DengXian"/>
          <w:szCs w:val="24"/>
          <w:lang w:val="fr-CH" w:eastAsia="ja-JP"/>
        </w:rPr>
        <w:noBreakHyphen/>
        <w:t>T H.623, ITU</w:t>
      </w:r>
      <w:r w:rsidRPr="00380B40">
        <w:rPr>
          <w:rFonts w:eastAsia="DengXian"/>
          <w:szCs w:val="24"/>
          <w:lang w:val="fr-CH" w:eastAsia="ja-JP"/>
        </w:rPr>
        <w:noBreakHyphen/>
        <w:t>T H.641, ITU</w:t>
      </w:r>
      <w:r w:rsidRPr="00380B40">
        <w:rPr>
          <w:rFonts w:eastAsia="DengXian"/>
          <w:szCs w:val="24"/>
          <w:lang w:val="fr-CH" w:eastAsia="ja-JP"/>
        </w:rPr>
        <w:noBreakHyphen/>
        <w:t>T H.642.1, ITU</w:t>
      </w:r>
      <w:r w:rsidRPr="00380B40">
        <w:rPr>
          <w:rFonts w:eastAsia="DengXian"/>
          <w:szCs w:val="24"/>
          <w:lang w:val="fr-CH" w:eastAsia="ja-JP"/>
        </w:rPr>
        <w:noBreakHyphen/>
        <w:t>T H.642.2 and ITU</w:t>
      </w:r>
      <w:r w:rsidRPr="00380B40">
        <w:rPr>
          <w:rFonts w:eastAsia="DengXian"/>
          <w:szCs w:val="24"/>
          <w:lang w:val="fr-CH" w:eastAsia="ja-JP"/>
        </w:rPr>
        <w:noBreakHyphen/>
        <w:t>T H.642.3</w:t>
      </w:r>
    </w:p>
    <w:p w14:paraId="3F129851"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ITU-T L.1600, ITU-T L.1601, ITU-T L.1602, ITU-T L.1603</w:t>
      </w:r>
    </w:p>
    <w:p w14:paraId="476A2920"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Q.3052</w:t>
      </w:r>
    </w:p>
    <w:p w14:paraId="4EB89853"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Y.4000-series, ITU</w:t>
      </w:r>
      <w:r w:rsidRPr="00380B40">
        <w:rPr>
          <w:rFonts w:eastAsia="DengXian"/>
          <w:szCs w:val="24"/>
          <w:lang w:val="fr-CH" w:eastAsia="ja-JP"/>
        </w:rPr>
        <w:noBreakHyphen/>
        <w:t>T Y.2016, ITU</w:t>
      </w:r>
      <w:r w:rsidRPr="00380B40">
        <w:rPr>
          <w:rFonts w:eastAsia="DengXian"/>
          <w:szCs w:val="24"/>
          <w:lang w:val="fr-CH" w:eastAsia="ja-JP"/>
        </w:rPr>
        <w:noBreakHyphen/>
        <w:t>T Y.2026, ITU</w:t>
      </w:r>
      <w:r w:rsidRPr="00380B40">
        <w:rPr>
          <w:rFonts w:eastAsia="DengXian"/>
          <w:szCs w:val="24"/>
          <w:lang w:val="fr-CH" w:eastAsia="ja-JP"/>
        </w:rPr>
        <w:noBreakHyphen/>
        <w:t>T Y.2060 – ITU</w:t>
      </w:r>
      <w:r w:rsidRPr="00380B40">
        <w:rPr>
          <w:rFonts w:eastAsia="DengXian"/>
          <w:szCs w:val="24"/>
          <w:lang w:val="fr-CH" w:eastAsia="ja-JP"/>
        </w:rPr>
        <w:noBreakHyphen/>
        <w:t>T Y.2070, ITU</w:t>
      </w:r>
      <w:r w:rsidRPr="00380B40">
        <w:rPr>
          <w:rFonts w:eastAsia="DengXian"/>
          <w:szCs w:val="24"/>
          <w:lang w:val="fr-CH" w:eastAsia="ja-JP"/>
        </w:rPr>
        <w:noBreakHyphen/>
        <w:t>T Y.2074 – ITU</w:t>
      </w:r>
      <w:r w:rsidRPr="00380B40">
        <w:rPr>
          <w:rFonts w:eastAsia="DengXian"/>
          <w:szCs w:val="24"/>
          <w:lang w:val="fr-CH" w:eastAsia="ja-JP"/>
        </w:rPr>
        <w:noBreakHyphen/>
        <w:t>T Y.2078, ITU</w:t>
      </w:r>
      <w:r w:rsidRPr="00380B40">
        <w:rPr>
          <w:rFonts w:eastAsia="DengXian"/>
          <w:szCs w:val="24"/>
          <w:lang w:val="fr-CH" w:eastAsia="ja-JP"/>
        </w:rPr>
        <w:noBreakHyphen/>
        <w:t>T Y.2213, ITU</w:t>
      </w:r>
      <w:r w:rsidRPr="00380B40">
        <w:rPr>
          <w:rFonts w:eastAsia="DengXian"/>
          <w:szCs w:val="24"/>
          <w:lang w:val="fr-CH" w:eastAsia="ja-JP"/>
        </w:rPr>
        <w:noBreakHyphen/>
        <w:t>T Y.2221, ITU</w:t>
      </w:r>
      <w:r w:rsidRPr="00380B40">
        <w:rPr>
          <w:rFonts w:eastAsia="DengXian"/>
          <w:szCs w:val="24"/>
          <w:lang w:val="fr-CH" w:eastAsia="ja-JP"/>
        </w:rPr>
        <w:noBreakHyphen/>
        <w:t>T Y.2238, ITU</w:t>
      </w:r>
      <w:r w:rsidRPr="00380B40">
        <w:rPr>
          <w:rFonts w:eastAsia="DengXian"/>
          <w:szCs w:val="24"/>
          <w:lang w:val="fr-CH" w:eastAsia="ja-JP"/>
        </w:rPr>
        <w:noBreakHyphen/>
        <w:t>T Y.2281 and ITU</w:t>
      </w:r>
      <w:r w:rsidRPr="00380B40">
        <w:rPr>
          <w:rFonts w:eastAsia="DengXian"/>
          <w:szCs w:val="24"/>
          <w:lang w:val="fr-CH" w:eastAsia="ja-JP"/>
        </w:rPr>
        <w:noBreakHyphen/>
        <w:t>T Y.2291</w:t>
      </w:r>
    </w:p>
    <w:p w14:paraId="1AB890FB" w14:textId="77777777" w:rsidR="00AC491A" w:rsidRPr="00380B40" w:rsidRDefault="00AC491A" w:rsidP="00AC491A">
      <w:pPr>
        <w:spacing w:before="80"/>
        <w:rPr>
          <w:lang w:val="en-GB"/>
        </w:rPr>
      </w:pPr>
      <w:r w:rsidRPr="00380B40">
        <w:rPr>
          <w:lang w:val="en-GB"/>
        </w:rPr>
        <w:t>NOTE – Recommendations transferred from other study groups have double numbers in the Y.4000-series.</w:t>
      </w:r>
    </w:p>
    <w:p w14:paraId="359EA515" w14:textId="77777777" w:rsidR="00AC491A" w:rsidRPr="00380B40" w:rsidRDefault="00AC491A" w:rsidP="00AC491A">
      <w:pPr>
        <w:pStyle w:val="Headingb"/>
        <w:rPr>
          <w:lang w:val="fr-CH"/>
        </w:rPr>
      </w:pPr>
      <w:r w:rsidRPr="00380B40">
        <w:rPr>
          <w:lang w:val="fr-CH"/>
        </w:rPr>
        <w:t>TSAG</w:t>
      </w:r>
    </w:p>
    <w:p w14:paraId="222FDD70" w14:textId="77777777" w:rsidR="00AC491A" w:rsidRPr="00380B40" w:rsidRDefault="00AC491A" w:rsidP="00AC491A">
      <w:pPr>
        <w:tabs>
          <w:tab w:val="clear" w:pos="794"/>
          <w:tab w:val="clear" w:pos="1191"/>
          <w:tab w:val="clear" w:pos="1588"/>
          <w:tab w:val="clear" w:pos="1985"/>
        </w:tabs>
        <w:overflowPunct/>
        <w:autoSpaceDE/>
        <w:autoSpaceDN/>
        <w:adjustRightInd/>
        <w:textAlignment w:val="auto"/>
        <w:rPr>
          <w:rFonts w:eastAsia="DengXian"/>
          <w:szCs w:val="24"/>
          <w:lang w:val="fr-CH" w:eastAsia="ja-JP"/>
        </w:rPr>
      </w:pPr>
      <w:r w:rsidRPr="00380B40">
        <w:rPr>
          <w:rFonts w:eastAsia="DengXian"/>
          <w:szCs w:val="24"/>
          <w:lang w:val="fr-CH" w:eastAsia="ja-JP"/>
        </w:rPr>
        <w:t>ITU</w:t>
      </w:r>
      <w:r w:rsidRPr="00380B40">
        <w:rPr>
          <w:rFonts w:eastAsia="DengXian"/>
          <w:szCs w:val="24"/>
          <w:lang w:val="fr-CH" w:eastAsia="ja-JP"/>
        </w:rPr>
        <w:noBreakHyphen/>
        <w:t>T A-series Recommendations</w:t>
      </w:r>
    </w:p>
    <w:p w14:paraId="214EDE1E" w14:textId="77777777" w:rsidR="00E74C56" w:rsidRPr="00380B40" w:rsidRDefault="00E74C56" w:rsidP="00B236F8">
      <w:pPr>
        <w:rPr>
          <w:lang w:val="fr-CH"/>
        </w:rPr>
      </w:pPr>
    </w:p>
    <w:p w14:paraId="69ABE2DD" w14:textId="77777777" w:rsidR="00E74C56" w:rsidRPr="00380B40" w:rsidRDefault="00E74C56" w:rsidP="009E2FDE">
      <w:pPr>
        <w:rPr>
          <w:lang w:val="fr-CH"/>
        </w:rPr>
      </w:pPr>
    </w:p>
    <w:p w14:paraId="022B1A72" w14:textId="77777777" w:rsidR="00814920" w:rsidRPr="00380B40" w:rsidRDefault="00814920" w:rsidP="009E2FDE">
      <w:pPr>
        <w:rPr>
          <w:lang w:val="fr-CH"/>
        </w:rPr>
        <w:sectPr w:rsidR="00814920" w:rsidRPr="00380B40" w:rsidSect="0002430C">
          <w:headerReference w:type="even" r:id="rId35"/>
          <w:headerReference w:type="default" r:id="rId36"/>
          <w:footerReference w:type="even" r:id="rId37"/>
          <w:footerReference w:type="default" r:id="rId38"/>
          <w:headerReference w:type="first" r:id="rId39"/>
          <w:footerReference w:type="first" r:id="rId40"/>
          <w:footnotePr>
            <w:numRestart w:val="eachSect"/>
          </w:footnotePr>
          <w:pgSz w:w="11907" w:h="16834" w:code="9"/>
          <w:pgMar w:top="1134" w:right="1134" w:bottom="1134" w:left="1134" w:header="567" w:footer="567" w:gutter="0"/>
          <w:paperSrc w:first="15" w:other="15"/>
          <w:cols w:space="720"/>
          <w:vAlign w:val="both"/>
          <w:docGrid w:linePitch="299"/>
        </w:sectPr>
      </w:pPr>
    </w:p>
    <w:p w14:paraId="4AA238F1" w14:textId="77777777" w:rsidR="00E74C56" w:rsidRPr="00380B40" w:rsidRDefault="00E74C56" w:rsidP="00AC491A">
      <w:pPr>
        <w:pStyle w:val="ResNo"/>
        <w:rPr>
          <w:lang w:val="en-GB"/>
        </w:rPr>
      </w:pPr>
      <w:bookmarkStart w:id="87" w:name="_Toc104459697"/>
      <w:bookmarkStart w:id="88" w:name="_Toc104476505"/>
      <w:bookmarkStart w:id="89" w:name="_Toc111636752"/>
      <w:bookmarkStart w:id="90" w:name="_Toc111638398"/>
      <w:r w:rsidRPr="00380B40">
        <w:rPr>
          <w:lang w:val="en-GB"/>
        </w:rPr>
        <w:t>RESOLUTION </w:t>
      </w:r>
      <w:r w:rsidRPr="00380B40">
        <w:rPr>
          <w:rStyle w:val="href"/>
          <w:lang w:val="en-GB"/>
        </w:rPr>
        <w:t>7</w:t>
      </w:r>
      <w:r w:rsidRPr="00380B40">
        <w:rPr>
          <w:lang w:val="en-GB"/>
        </w:rPr>
        <w:t xml:space="preserve"> </w:t>
      </w:r>
      <w:r w:rsidR="00AC491A" w:rsidRPr="00380B40">
        <w:rPr>
          <w:lang w:val="en-GB"/>
        </w:rPr>
        <w:t>(R</w:t>
      </w:r>
      <w:r w:rsidR="007D66BD" w:rsidRPr="00380B40">
        <w:rPr>
          <w:caps w:val="0"/>
          <w:lang w:val="en-GB"/>
        </w:rPr>
        <w:t>ev</w:t>
      </w:r>
      <w:r w:rsidR="00AC491A" w:rsidRPr="00380B40">
        <w:rPr>
          <w:lang w:val="en-GB"/>
        </w:rPr>
        <w:t>. G</w:t>
      </w:r>
      <w:r w:rsidR="007D66BD" w:rsidRPr="00380B40">
        <w:rPr>
          <w:caps w:val="0"/>
          <w:lang w:val="en-GB"/>
        </w:rPr>
        <w:t>eneva</w:t>
      </w:r>
      <w:r w:rsidR="00AC491A" w:rsidRPr="00380B40">
        <w:rPr>
          <w:lang w:val="en-GB"/>
        </w:rPr>
        <w:t>, 2022)</w:t>
      </w:r>
      <w:bookmarkEnd w:id="87"/>
      <w:bookmarkEnd w:id="88"/>
      <w:bookmarkEnd w:id="89"/>
      <w:bookmarkEnd w:id="90"/>
    </w:p>
    <w:p w14:paraId="4C6F51DD" w14:textId="77777777" w:rsidR="007D66BD" w:rsidRPr="00380B40" w:rsidRDefault="007D66BD" w:rsidP="007D66BD">
      <w:pPr>
        <w:pStyle w:val="Restitle"/>
        <w:rPr>
          <w:lang w:val="en-GB"/>
        </w:rPr>
      </w:pPr>
      <w:bookmarkStart w:id="91" w:name="_Toc89767770"/>
      <w:bookmarkStart w:id="92" w:name="_Toc104459698"/>
      <w:bookmarkStart w:id="93" w:name="_Toc104476506"/>
      <w:bookmarkStart w:id="94" w:name="_Toc111638399"/>
      <w:r w:rsidRPr="00380B40">
        <w:rPr>
          <w:lang w:val="en-GB"/>
        </w:rPr>
        <w:t>Collaboration with the International Organization for Standardization</w:t>
      </w:r>
      <w:r w:rsidRPr="00380B40">
        <w:rPr>
          <w:lang w:val="en-GB"/>
        </w:rPr>
        <w:br/>
        <w:t>and the International Electrotechnical Commission</w:t>
      </w:r>
      <w:bookmarkEnd w:id="91"/>
      <w:bookmarkEnd w:id="92"/>
      <w:bookmarkEnd w:id="93"/>
      <w:bookmarkEnd w:id="94"/>
    </w:p>
    <w:p w14:paraId="65A473BC" w14:textId="77777777" w:rsidR="007D66BD" w:rsidRPr="00380B40" w:rsidRDefault="007D66BD" w:rsidP="007D66BD">
      <w:pPr>
        <w:pStyle w:val="Resref"/>
        <w:rPr>
          <w:lang w:val="en-GB"/>
        </w:rPr>
      </w:pPr>
      <w:r w:rsidRPr="00380B40">
        <w:rPr>
          <w:lang w:val="en-GB"/>
        </w:rPr>
        <w:t>(Malaga-Torremolinos, 1984; Helsinki, 1993; Geneva, 1996; Montreal, 2000;</w:t>
      </w:r>
      <w:r w:rsidRPr="00380B40">
        <w:rPr>
          <w:lang w:val="en-GB"/>
        </w:rPr>
        <w:br/>
        <w:t>Florianópolis, 2004; Johannesburg, 2008; Dubai, 2012; Hammamet, 2016; Geneva, 2022)</w:t>
      </w:r>
    </w:p>
    <w:p w14:paraId="70F8D513" w14:textId="77777777" w:rsidR="007D66BD" w:rsidRPr="00380B40" w:rsidRDefault="007D66BD" w:rsidP="00270E31">
      <w:pPr>
        <w:pStyle w:val="Normalaftertitle0"/>
      </w:pPr>
      <w:r w:rsidRPr="00380B40">
        <w:t>The World Telecommunication Standardization Assembly (Geneva, 2022),</w:t>
      </w:r>
    </w:p>
    <w:p w14:paraId="15133BAE" w14:textId="77777777" w:rsidR="007D66BD" w:rsidRPr="00380B40" w:rsidRDefault="007D66BD" w:rsidP="007D66BD">
      <w:pPr>
        <w:pStyle w:val="Call"/>
        <w:rPr>
          <w:lang w:val="en-GB"/>
        </w:rPr>
      </w:pPr>
      <w:r w:rsidRPr="00380B40">
        <w:rPr>
          <w:lang w:val="en-GB"/>
        </w:rPr>
        <w:t>considering</w:t>
      </w:r>
    </w:p>
    <w:p w14:paraId="1DE54CC4" w14:textId="77777777" w:rsidR="007D66BD" w:rsidRPr="00380B40" w:rsidRDefault="007D66BD" w:rsidP="007D66BD">
      <w:pPr>
        <w:rPr>
          <w:lang w:val="en-GB"/>
        </w:rPr>
      </w:pPr>
      <w:r w:rsidRPr="00380B40">
        <w:rPr>
          <w:i/>
          <w:iCs/>
          <w:lang w:val="en-GB"/>
        </w:rPr>
        <w:t>a)</w:t>
      </w:r>
      <w:r w:rsidRPr="00380B40">
        <w:rPr>
          <w:lang w:val="en-GB"/>
        </w:rPr>
        <w:tab/>
        <w:t>Articles 1 and 50 of the ITU Constitution;</w:t>
      </w:r>
    </w:p>
    <w:p w14:paraId="00BECAC8" w14:textId="77777777" w:rsidR="007D66BD" w:rsidRPr="00380B40" w:rsidRDefault="007D66BD" w:rsidP="007D66BD">
      <w:pPr>
        <w:rPr>
          <w:lang w:val="en-GB"/>
        </w:rPr>
      </w:pPr>
      <w:r w:rsidRPr="00380B40">
        <w:rPr>
          <w:i/>
          <w:iCs/>
          <w:lang w:val="en-GB"/>
        </w:rPr>
        <w:t>b)</w:t>
      </w:r>
      <w:r w:rsidRPr="00380B40">
        <w:rPr>
          <w:lang w:val="en-GB"/>
        </w:rPr>
        <w:tab/>
        <w:t>Articles 2 and 20 of the Statutes of the International Organization for Standardization (ISO);</w:t>
      </w:r>
    </w:p>
    <w:p w14:paraId="32760A63" w14:textId="77777777" w:rsidR="007D66BD" w:rsidRPr="00380B40" w:rsidRDefault="007D66BD" w:rsidP="007D66BD">
      <w:pPr>
        <w:rPr>
          <w:lang w:val="en-GB"/>
        </w:rPr>
      </w:pPr>
      <w:r w:rsidRPr="00380B40">
        <w:rPr>
          <w:i/>
          <w:iCs/>
          <w:lang w:val="en-GB"/>
        </w:rPr>
        <w:t>c)</w:t>
      </w:r>
      <w:r w:rsidRPr="00380B40">
        <w:rPr>
          <w:lang w:val="en-GB"/>
        </w:rPr>
        <w:tab/>
        <w:t>Article 2 of the Statutes and Rules of Procedure of the International Electrotechnical Commission (IEC);</w:t>
      </w:r>
    </w:p>
    <w:p w14:paraId="7579467D" w14:textId="77777777" w:rsidR="007D66BD" w:rsidRPr="00380B40" w:rsidRDefault="007D66BD" w:rsidP="007D66BD">
      <w:pPr>
        <w:rPr>
          <w:lang w:val="en-GB"/>
        </w:rPr>
      </w:pPr>
      <w:r w:rsidRPr="00380B40">
        <w:rPr>
          <w:i/>
          <w:iCs/>
          <w:lang w:val="en-GB"/>
        </w:rPr>
        <w:t>d)</w:t>
      </w:r>
      <w:r w:rsidRPr="00380B40">
        <w:rPr>
          <w:i/>
          <w:iCs/>
          <w:lang w:val="en-GB"/>
        </w:rPr>
        <w:tab/>
      </w:r>
      <w:r w:rsidRPr="00380B40">
        <w:rPr>
          <w:lang w:val="en-GB"/>
        </w:rPr>
        <w:t>the mandate of the ITU Telecommunication Standardization Sector (ITU</w:t>
      </w:r>
      <w:r w:rsidRPr="00380B40">
        <w:rPr>
          <w:lang w:val="en-GB"/>
        </w:rPr>
        <w:noBreakHyphen/>
        <w:t>T) as set forth in the basic instruments of the Union, notably Chapter III of the Constitution and Section 6 of the ITU Convention;</w:t>
      </w:r>
    </w:p>
    <w:p w14:paraId="48921C8A" w14:textId="77777777" w:rsidR="007D66BD" w:rsidRPr="00380B40" w:rsidRDefault="007D66BD" w:rsidP="007D66BD">
      <w:pPr>
        <w:rPr>
          <w:lang w:val="en-GB"/>
        </w:rPr>
      </w:pPr>
      <w:r w:rsidRPr="00380B40">
        <w:rPr>
          <w:i/>
          <w:iCs/>
          <w:lang w:val="en-GB"/>
        </w:rPr>
        <w:t>e)</w:t>
      </w:r>
      <w:r w:rsidRPr="00380B40">
        <w:rPr>
          <w:lang w:val="en-GB"/>
        </w:rPr>
        <w:tab/>
        <w:t>the interest of both ISO and IEC in some aspects of telecommunications;</w:t>
      </w:r>
    </w:p>
    <w:p w14:paraId="285DA463" w14:textId="77777777" w:rsidR="007D66BD" w:rsidRPr="00380B40" w:rsidRDefault="007D66BD" w:rsidP="007D66BD">
      <w:pPr>
        <w:rPr>
          <w:lang w:val="en-GB"/>
        </w:rPr>
      </w:pPr>
      <w:r w:rsidRPr="00380B40">
        <w:rPr>
          <w:i/>
          <w:iCs/>
          <w:lang w:val="en-GB"/>
        </w:rPr>
        <w:t>f)</w:t>
      </w:r>
      <w:r w:rsidRPr="00380B40">
        <w:rPr>
          <w:lang w:val="en-GB"/>
        </w:rPr>
        <w:tab/>
        <w:t>the common interest of ISO and IEC on the one hand and ITU</w:t>
      </w:r>
      <w:r w:rsidRPr="00380B40">
        <w:rPr>
          <w:lang w:val="en-GB"/>
        </w:rPr>
        <w:noBreakHyphen/>
        <w:t>T on the other in the development of their respective standards in telecommunications/information and communication technology which take full account of the needs of all interested stakeholders, including manufacturers, users and those responsible for communication systems and services;</w:t>
      </w:r>
    </w:p>
    <w:p w14:paraId="2B784408" w14:textId="77777777" w:rsidR="007D66BD" w:rsidRPr="00380B40" w:rsidRDefault="007D66BD" w:rsidP="007D66BD">
      <w:pPr>
        <w:rPr>
          <w:lang w:val="en-GB"/>
        </w:rPr>
      </w:pPr>
      <w:r w:rsidRPr="00380B40">
        <w:rPr>
          <w:i/>
          <w:iCs/>
          <w:lang w:val="en-GB"/>
        </w:rPr>
        <w:t>g)</w:t>
      </w:r>
      <w:r w:rsidRPr="00380B40">
        <w:rPr>
          <w:lang w:val="en-GB"/>
        </w:rPr>
        <w:tab/>
        <w:t>the need for mutual agreements on many areas of standardization activity of common interest;</w:t>
      </w:r>
    </w:p>
    <w:p w14:paraId="3FD6A71F" w14:textId="77777777" w:rsidR="007D66BD" w:rsidRPr="00380B40" w:rsidRDefault="007D66BD" w:rsidP="007D66BD">
      <w:pPr>
        <w:rPr>
          <w:lang w:val="en-GB"/>
        </w:rPr>
      </w:pPr>
      <w:r w:rsidRPr="00380B40">
        <w:rPr>
          <w:i/>
          <w:iCs/>
          <w:lang w:val="en-GB"/>
        </w:rPr>
        <w:t>h)</w:t>
      </w:r>
      <w:r w:rsidRPr="00380B40">
        <w:rPr>
          <w:i/>
          <w:iCs/>
          <w:lang w:val="en-GB"/>
        </w:rPr>
        <w:tab/>
      </w:r>
      <w:r w:rsidRPr="00380B40">
        <w:rPr>
          <w:lang w:val="en-GB"/>
        </w:rPr>
        <w:t>the existing cooperation within the framework of the World Standards Cooperation (WSC), established in 2001 by ITU, ISO and IEC in order to advance the development of voluntary consensus-based international standards in ITU, ISO and IEC;</w:t>
      </w:r>
    </w:p>
    <w:p w14:paraId="28D61D4A" w14:textId="77777777" w:rsidR="007D66BD" w:rsidRPr="00380B40" w:rsidRDefault="007D66BD" w:rsidP="007D66BD">
      <w:pPr>
        <w:rPr>
          <w:lang w:val="en-GB"/>
        </w:rPr>
      </w:pPr>
      <w:r w:rsidRPr="00380B40">
        <w:rPr>
          <w:i/>
          <w:iCs/>
          <w:lang w:val="en-GB"/>
        </w:rPr>
        <w:t>i)</w:t>
      </w:r>
      <w:r w:rsidRPr="00380B40">
        <w:rPr>
          <w:lang w:val="en-GB"/>
        </w:rPr>
        <w:tab/>
        <w:t>the relevance of the ITU conformance and interoperability (C&amp;I) programme and its four pillars, and the action plan for the C&amp;I programme (reviewed by the ITU Council at its 2014 session),</w:t>
      </w:r>
    </w:p>
    <w:p w14:paraId="392E6F3C" w14:textId="77777777" w:rsidR="007D66BD" w:rsidRPr="00380B40" w:rsidRDefault="007D66BD" w:rsidP="007D66BD">
      <w:pPr>
        <w:pStyle w:val="Call"/>
        <w:rPr>
          <w:lang w:val="en-GB"/>
        </w:rPr>
      </w:pPr>
      <w:r w:rsidRPr="00380B40">
        <w:rPr>
          <w:lang w:val="en-GB"/>
        </w:rPr>
        <w:t>noting</w:t>
      </w:r>
    </w:p>
    <w:p w14:paraId="456E11FC" w14:textId="77777777" w:rsidR="007D66BD" w:rsidRPr="00380B40" w:rsidRDefault="007D66BD" w:rsidP="007D66BD">
      <w:pPr>
        <w:rPr>
          <w:lang w:val="en-GB"/>
        </w:rPr>
      </w:pPr>
      <w:r w:rsidRPr="00380B40">
        <w:rPr>
          <w:i/>
          <w:iCs/>
          <w:lang w:val="en-GB"/>
        </w:rPr>
        <w:t>a)</w:t>
      </w:r>
      <w:r w:rsidRPr="00380B40">
        <w:rPr>
          <w:lang w:val="en-GB"/>
        </w:rPr>
        <w:tab/>
        <w:t>that the working methods and standards-development time-frames of the organizations concerned are not the same;</w:t>
      </w:r>
    </w:p>
    <w:p w14:paraId="2AB4CB70" w14:textId="77777777" w:rsidR="007D66BD" w:rsidRPr="00380B40" w:rsidRDefault="007D66BD" w:rsidP="007D66BD">
      <w:pPr>
        <w:rPr>
          <w:lang w:val="en-GB"/>
        </w:rPr>
      </w:pPr>
      <w:r w:rsidRPr="00380B40">
        <w:rPr>
          <w:i/>
          <w:iCs/>
          <w:lang w:val="en-GB"/>
        </w:rPr>
        <w:t>b)</w:t>
      </w:r>
      <w:r w:rsidRPr="00380B40">
        <w:rPr>
          <w:lang w:val="en-GB"/>
        </w:rPr>
        <w:tab/>
        <w:t>that the document-sharing mechanisms and requirements differ among the three organizations;</w:t>
      </w:r>
    </w:p>
    <w:p w14:paraId="74ED47D3" w14:textId="77777777" w:rsidR="009D62E0" w:rsidRPr="00380B40" w:rsidRDefault="009D62E0" w:rsidP="007D66BD">
      <w:pPr>
        <w:rPr>
          <w:i/>
          <w:iCs/>
          <w:lang w:val="en-GB"/>
        </w:rPr>
      </w:pPr>
      <w:r w:rsidRPr="00380B40">
        <w:rPr>
          <w:i/>
          <w:iCs/>
          <w:lang w:val="en-GB"/>
        </w:rPr>
        <w:br w:type="page"/>
      </w:r>
    </w:p>
    <w:p w14:paraId="4DE95613" w14:textId="77777777" w:rsidR="007D66BD" w:rsidRPr="00380B40" w:rsidRDefault="007D66BD" w:rsidP="007D66BD">
      <w:pPr>
        <w:rPr>
          <w:lang w:val="en-GB"/>
        </w:rPr>
      </w:pPr>
      <w:r w:rsidRPr="00380B40">
        <w:rPr>
          <w:i/>
          <w:iCs/>
          <w:lang w:val="en-GB"/>
        </w:rPr>
        <w:t>c)</w:t>
      </w:r>
      <w:r w:rsidRPr="00380B40">
        <w:rPr>
          <w:lang w:val="en-GB"/>
        </w:rPr>
        <w:tab/>
        <w:t>the importance of shared documents being accessible among the three organizations during the development of the work;</w:t>
      </w:r>
    </w:p>
    <w:p w14:paraId="0B97EA73" w14:textId="77777777" w:rsidR="007D66BD" w:rsidRPr="00380B40" w:rsidRDefault="007D66BD" w:rsidP="007D66BD">
      <w:pPr>
        <w:rPr>
          <w:lang w:val="en-GB"/>
        </w:rPr>
      </w:pPr>
      <w:r w:rsidRPr="00380B40">
        <w:rPr>
          <w:i/>
          <w:iCs/>
          <w:lang w:val="en-GB"/>
        </w:rPr>
        <w:t>d)</w:t>
      </w:r>
      <w:r w:rsidRPr="00380B40">
        <w:rPr>
          <w:lang w:val="en-GB"/>
        </w:rPr>
        <w:tab/>
        <w:t>the increasing financial burdens on the professional experts who participate in the development of standards in these three organizations;</w:t>
      </w:r>
    </w:p>
    <w:p w14:paraId="5E0A058F" w14:textId="77777777" w:rsidR="007D66BD" w:rsidRPr="00380B40" w:rsidRDefault="007D66BD" w:rsidP="007D66BD">
      <w:pPr>
        <w:rPr>
          <w:lang w:val="en-GB"/>
        </w:rPr>
      </w:pPr>
      <w:r w:rsidRPr="00380B40">
        <w:rPr>
          <w:i/>
          <w:iCs/>
          <w:lang w:val="en-GB"/>
        </w:rPr>
        <w:t>e)</w:t>
      </w:r>
      <w:r w:rsidRPr="00380B40">
        <w:rPr>
          <w:lang w:val="en-GB"/>
        </w:rPr>
        <w:tab/>
        <w:t>the coordination meeting established between the three organizations through their top management;</w:t>
      </w:r>
    </w:p>
    <w:p w14:paraId="4184193D" w14:textId="77777777" w:rsidR="007D66BD" w:rsidRPr="00380B40" w:rsidRDefault="007D66BD" w:rsidP="007D66BD">
      <w:pPr>
        <w:rPr>
          <w:i/>
          <w:iCs/>
          <w:lang w:val="en-GB"/>
        </w:rPr>
      </w:pPr>
      <w:r w:rsidRPr="00380B40">
        <w:rPr>
          <w:i/>
          <w:iCs/>
          <w:lang w:val="en-GB"/>
        </w:rPr>
        <w:t>f)</w:t>
      </w:r>
      <w:r w:rsidRPr="00380B40">
        <w:rPr>
          <w:lang w:val="en-GB"/>
        </w:rPr>
        <w:tab/>
        <w:t>the progress made on the basis of existing procedures in the alignment of technical Recommendations with ISO, IEC and ISO/IEC Joint Technical Committee 1 (JTC 1) in areas of joint interest, thanks to the spirit of cooperation which has prevailed;</w:t>
      </w:r>
    </w:p>
    <w:p w14:paraId="03C90E48" w14:textId="77777777" w:rsidR="007D66BD" w:rsidRPr="00380B40" w:rsidRDefault="007D66BD" w:rsidP="007D66BD">
      <w:pPr>
        <w:rPr>
          <w:lang w:val="en-GB"/>
        </w:rPr>
      </w:pPr>
      <w:r w:rsidRPr="00380B40">
        <w:rPr>
          <w:i/>
          <w:iCs/>
          <w:lang w:val="en-GB"/>
        </w:rPr>
        <w:t>g)</w:t>
      </w:r>
      <w:r w:rsidRPr="00380B40">
        <w:rPr>
          <w:lang w:val="en-GB"/>
        </w:rPr>
        <w:tab/>
        <w:t>the principles of collaboration established between ISO and IEC and particularly with ISO/IEC JTC 1 on information technology as contained in Recommendation ITU</w:t>
      </w:r>
      <w:r w:rsidRPr="00380B40">
        <w:rPr>
          <w:lang w:val="en-GB"/>
        </w:rPr>
        <w:noBreakHyphen/>
        <w:t>T A.23 and in the ISO/IEC JTC 1 Directives;</w:t>
      </w:r>
    </w:p>
    <w:p w14:paraId="5335A0D2" w14:textId="77777777" w:rsidR="007D66BD" w:rsidRPr="00380B40" w:rsidRDefault="007D66BD" w:rsidP="007D66BD">
      <w:pPr>
        <w:rPr>
          <w:lang w:val="en-GB"/>
        </w:rPr>
      </w:pPr>
      <w:r w:rsidRPr="00380B40">
        <w:rPr>
          <w:i/>
          <w:iCs/>
          <w:lang w:val="en-GB"/>
        </w:rPr>
        <w:t>h)</w:t>
      </w:r>
      <w:r w:rsidRPr="00380B40">
        <w:rPr>
          <w:lang w:val="en-GB"/>
        </w:rPr>
        <w:tab/>
        <w:t>that other standardization activities of a collaborative nature may require coordination;</w:t>
      </w:r>
    </w:p>
    <w:p w14:paraId="4B6768C3" w14:textId="77777777" w:rsidR="007D66BD" w:rsidRPr="00380B40" w:rsidRDefault="007D66BD" w:rsidP="007D66BD">
      <w:pPr>
        <w:rPr>
          <w:lang w:val="en-GB"/>
        </w:rPr>
      </w:pPr>
      <w:r w:rsidRPr="00380B40">
        <w:rPr>
          <w:i/>
          <w:iCs/>
          <w:lang w:val="en-GB"/>
        </w:rPr>
        <w:t>i)</w:t>
      </w:r>
      <w:r w:rsidRPr="00380B40">
        <w:rPr>
          <w:lang w:val="en-GB"/>
        </w:rPr>
        <w:tab/>
        <w:t>the increasing cost of developing international standards and Recommendations;</w:t>
      </w:r>
    </w:p>
    <w:p w14:paraId="592ADDD3" w14:textId="77777777" w:rsidR="007D66BD" w:rsidRPr="00380B40" w:rsidRDefault="007D66BD" w:rsidP="007D66BD">
      <w:pPr>
        <w:rPr>
          <w:lang w:val="en-GB"/>
        </w:rPr>
      </w:pPr>
      <w:r w:rsidRPr="00380B40">
        <w:rPr>
          <w:i/>
          <w:lang w:val="en-GB"/>
        </w:rPr>
        <w:t>j)</w:t>
      </w:r>
      <w:r w:rsidRPr="00380B40">
        <w:rPr>
          <w:i/>
          <w:lang w:val="en-GB"/>
        </w:rPr>
        <w:tab/>
      </w:r>
      <w:r w:rsidRPr="00380B40">
        <w:rPr>
          <w:lang w:val="en-GB"/>
        </w:rPr>
        <w:t>the role of the Common Patent Policy for ITU</w:t>
      </w:r>
      <w:r w:rsidRPr="00380B40">
        <w:rPr>
          <w:lang w:val="en-GB"/>
        </w:rPr>
        <w:noBreakHyphen/>
        <w:t>R/ITU</w:t>
      </w:r>
      <w:r w:rsidRPr="00380B40">
        <w:rPr>
          <w:lang w:val="en-GB"/>
        </w:rPr>
        <w:noBreakHyphen/>
        <w:t>T/ISO/IEC in furthering common approaches between ITU</w:t>
      </w:r>
      <w:r w:rsidRPr="00380B40">
        <w:rPr>
          <w:lang w:val="en-GB"/>
        </w:rPr>
        <w:noBreakHyphen/>
        <w:t>T, ISO and IEC on certain standards-related intellectual property rights issues;</w:t>
      </w:r>
    </w:p>
    <w:p w14:paraId="5C8CD173" w14:textId="77777777" w:rsidR="007D66BD" w:rsidRPr="00380B40" w:rsidRDefault="007D66BD" w:rsidP="007D66BD">
      <w:pPr>
        <w:rPr>
          <w:lang w:val="en-GB"/>
        </w:rPr>
      </w:pPr>
      <w:r w:rsidRPr="00380B40">
        <w:rPr>
          <w:i/>
          <w:lang w:val="en-GB"/>
        </w:rPr>
        <w:t>k</w:t>
      </w:r>
      <w:r w:rsidRPr="00380B40">
        <w:rPr>
          <w:i/>
          <w:iCs/>
          <w:lang w:val="en-GB"/>
        </w:rPr>
        <w:t>)</w:t>
      </w:r>
      <w:r w:rsidRPr="00380B40">
        <w:rPr>
          <w:lang w:val="en-GB"/>
        </w:rPr>
        <w:tab/>
        <w:t>the value of identifying and setting priorities for cooperation between ITU</w:t>
      </w:r>
      <w:r w:rsidRPr="00380B40">
        <w:rPr>
          <w:lang w:val="en-GB"/>
        </w:rPr>
        <w:noBreakHyphen/>
        <w:t>T, ISO and IEC,</w:t>
      </w:r>
    </w:p>
    <w:p w14:paraId="214C14E7" w14:textId="77777777" w:rsidR="007D66BD" w:rsidRPr="00380B40" w:rsidRDefault="007D66BD" w:rsidP="007D66BD">
      <w:pPr>
        <w:pStyle w:val="Call"/>
        <w:rPr>
          <w:lang w:val="en-GB"/>
        </w:rPr>
      </w:pPr>
      <w:r w:rsidRPr="00380B40">
        <w:rPr>
          <w:lang w:val="en-GB"/>
        </w:rPr>
        <w:t>recognizing</w:t>
      </w:r>
    </w:p>
    <w:p w14:paraId="7ECA9983" w14:textId="77777777" w:rsidR="007D66BD" w:rsidRPr="00380B40" w:rsidRDefault="007D66BD" w:rsidP="007D66BD">
      <w:pPr>
        <w:rPr>
          <w:lang w:val="en-GB"/>
        </w:rPr>
      </w:pPr>
      <w:r w:rsidRPr="00380B40">
        <w:rPr>
          <w:lang w:val="en-GB"/>
        </w:rPr>
        <w:t>that the collaboration between ITU-T on one hand and ISO and IEC on the other is on the basis of overall win and mutual benefits to best serve international standardization efforts,</w:t>
      </w:r>
    </w:p>
    <w:p w14:paraId="3D702E40" w14:textId="77777777" w:rsidR="007D66BD" w:rsidRPr="00380B40" w:rsidRDefault="007D66BD" w:rsidP="007D66BD">
      <w:pPr>
        <w:pStyle w:val="Call"/>
        <w:rPr>
          <w:lang w:val="en-GB"/>
        </w:rPr>
      </w:pPr>
      <w:r w:rsidRPr="00380B40">
        <w:rPr>
          <w:lang w:val="en-GB"/>
        </w:rPr>
        <w:t>resolves</w:t>
      </w:r>
    </w:p>
    <w:p w14:paraId="13AB2A3D" w14:textId="77777777" w:rsidR="007D66BD" w:rsidRPr="00380B40" w:rsidRDefault="007D66BD" w:rsidP="007D66BD">
      <w:pPr>
        <w:rPr>
          <w:lang w:val="en-GB"/>
        </w:rPr>
      </w:pPr>
      <w:r w:rsidRPr="00380B40">
        <w:rPr>
          <w:lang w:val="en-GB"/>
        </w:rPr>
        <w:t>1</w:t>
      </w:r>
      <w:r w:rsidRPr="00380B40">
        <w:rPr>
          <w:lang w:val="en-GB"/>
        </w:rPr>
        <w:tab/>
        <w:t>to request the Director of the Telecommunication Standardization Bureau (TSB) to report regularly to the Telecommunication Standardization Advisory Group (TSAG) on the status of collaboration with ISO and IEC;</w:t>
      </w:r>
    </w:p>
    <w:p w14:paraId="28802999" w14:textId="77777777" w:rsidR="007D66BD" w:rsidRPr="00380B40" w:rsidRDefault="007D66BD" w:rsidP="007D66BD">
      <w:pPr>
        <w:rPr>
          <w:lang w:val="en-GB"/>
        </w:rPr>
      </w:pPr>
      <w:r w:rsidRPr="00380B40">
        <w:rPr>
          <w:lang w:val="en-GB"/>
        </w:rPr>
        <w:t>2</w:t>
      </w:r>
      <w:r w:rsidRPr="00380B40">
        <w:rPr>
          <w:lang w:val="en-GB"/>
        </w:rPr>
        <w:tab/>
        <w:t>to continue inviting ISO and IEC to examine, through TSAG, the ITU</w:t>
      </w:r>
      <w:r w:rsidRPr="00380B40">
        <w:rPr>
          <w:lang w:val="en-GB"/>
        </w:rPr>
        <w:noBreakHyphen/>
        <w:t>T study programme, in the early stages of its studies, and vice versa, and to further examine such programmes to take into account ongoing changes, in order to identify subjects where coordination seems desirable for common and complementary work, and which would benefit the membership, and to inform the Director of TSB;</w:t>
      </w:r>
    </w:p>
    <w:p w14:paraId="57C89857" w14:textId="77777777" w:rsidR="007D66BD" w:rsidRPr="00380B40" w:rsidRDefault="007D66BD" w:rsidP="007D66BD">
      <w:pPr>
        <w:rPr>
          <w:lang w:val="en-GB"/>
        </w:rPr>
      </w:pPr>
      <w:r w:rsidRPr="00380B40">
        <w:rPr>
          <w:lang w:val="en-GB"/>
        </w:rPr>
        <w:t>3</w:t>
      </w:r>
      <w:r w:rsidRPr="00380B40">
        <w:rPr>
          <w:lang w:val="en-GB"/>
        </w:rPr>
        <w:tab/>
        <w:t>to request the Director of TSB, after consultation with the study group management team concerned, to reply, and to furnish any additional information requested by ISO and IEC, as it becomes available;</w:t>
      </w:r>
    </w:p>
    <w:p w14:paraId="45891F91" w14:textId="77777777" w:rsidR="007D66BD" w:rsidRPr="00380B40" w:rsidRDefault="007D66BD" w:rsidP="007D66BD">
      <w:pPr>
        <w:rPr>
          <w:lang w:val="en-GB"/>
        </w:rPr>
      </w:pPr>
      <w:r w:rsidRPr="00380B40">
        <w:rPr>
          <w:lang w:val="en-GB"/>
        </w:rPr>
        <w:t>4</w:t>
      </w:r>
      <w:r w:rsidRPr="00380B40">
        <w:rPr>
          <w:lang w:val="en-GB"/>
        </w:rPr>
        <w:tab/>
        <w:t>to invite the Director of TSB, at the request of Member States and Sector Members, in consultation with TSAG, to review the agreement between ISO/IEC and ITU</w:t>
      </w:r>
      <w:r w:rsidRPr="00380B40">
        <w:rPr>
          <w:lang w:val="en-GB"/>
        </w:rPr>
        <w:noBreakHyphen/>
        <w:t>T, with a view to exploring options for accessing and publishing common texts, with a possible unified approach;</w:t>
      </w:r>
    </w:p>
    <w:p w14:paraId="388CCEF9" w14:textId="77777777" w:rsidR="009D62E0" w:rsidRPr="00380B40" w:rsidRDefault="009D62E0" w:rsidP="007D66BD">
      <w:pPr>
        <w:rPr>
          <w:lang w:val="en-GB"/>
        </w:rPr>
      </w:pPr>
      <w:r w:rsidRPr="00380B40">
        <w:rPr>
          <w:lang w:val="en-GB"/>
        </w:rPr>
        <w:br w:type="page"/>
      </w:r>
    </w:p>
    <w:p w14:paraId="0CED035F" w14:textId="77777777" w:rsidR="007D66BD" w:rsidRPr="00380B40" w:rsidRDefault="007D66BD" w:rsidP="007D66BD">
      <w:pPr>
        <w:rPr>
          <w:lang w:val="en-GB"/>
        </w:rPr>
      </w:pPr>
      <w:r w:rsidRPr="00380B40">
        <w:rPr>
          <w:lang w:val="en-GB"/>
        </w:rPr>
        <w:t>5</w:t>
      </w:r>
      <w:r w:rsidRPr="00380B40">
        <w:rPr>
          <w:lang w:val="en-GB"/>
        </w:rPr>
        <w:tab/>
        <w:t>to request the Director of TSB to examine and update the programme of cooperation and priority of the study items among ITU</w:t>
      </w:r>
      <w:r w:rsidRPr="00380B40">
        <w:rPr>
          <w:lang w:val="en-GB"/>
        </w:rPr>
        <w:noBreakHyphen/>
        <w:t>T, ISO and IEC and highlight this information on the ITU</w:t>
      </w:r>
      <w:r w:rsidRPr="00380B40">
        <w:rPr>
          <w:lang w:val="en-GB"/>
        </w:rPr>
        <w:noBreakHyphen/>
        <w:t>T website on a regular basis;</w:t>
      </w:r>
    </w:p>
    <w:p w14:paraId="7BA70FFA" w14:textId="77777777" w:rsidR="007D66BD" w:rsidRPr="00380B40" w:rsidRDefault="007D66BD" w:rsidP="007D66BD">
      <w:pPr>
        <w:rPr>
          <w:lang w:val="en-GB"/>
        </w:rPr>
      </w:pPr>
      <w:r w:rsidRPr="00380B40">
        <w:rPr>
          <w:lang w:val="en-GB"/>
        </w:rPr>
        <w:t>6</w:t>
      </w:r>
      <w:r w:rsidRPr="00380B40">
        <w:rPr>
          <w:lang w:val="en-GB"/>
        </w:rPr>
        <w:tab/>
        <w:t>to request the Director of TSB, the study groups and TSAG, as appropriate, to consider and propose further improvements to the procedures for cooperation between ITU</w:t>
      </w:r>
      <w:r w:rsidRPr="00380B40">
        <w:rPr>
          <w:lang w:val="en-GB"/>
        </w:rPr>
        <w:noBreakHyphen/>
        <w:t>T and ISO and IEC;</w:t>
      </w:r>
    </w:p>
    <w:p w14:paraId="531CDA10" w14:textId="77777777" w:rsidR="007D66BD" w:rsidRPr="00380B40" w:rsidRDefault="007D66BD" w:rsidP="007D66BD">
      <w:pPr>
        <w:rPr>
          <w:lang w:val="en-GB"/>
        </w:rPr>
      </w:pPr>
      <w:r w:rsidRPr="00380B40">
        <w:rPr>
          <w:lang w:val="en-GB"/>
        </w:rPr>
        <w:t>7</w:t>
      </w:r>
      <w:r w:rsidRPr="00380B40">
        <w:rPr>
          <w:lang w:val="en-GB"/>
        </w:rPr>
        <w:tab/>
        <w:t>that the necessary contacts with ISO and/or IEC (including ISO/IEC JTC 1) at the appropriate levels and coordination methods should be mutually agreed and regular coordination events arranged:</w:t>
      </w:r>
    </w:p>
    <w:p w14:paraId="14E6758D" w14:textId="77777777" w:rsidR="007D66BD" w:rsidRPr="00380B40" w:rsidRDefault="007D66BD" w:rsidP="007D66BD">
      <w:pPr>
        <w:ind w:left="794" w:hanging="794"/>
        <w:rPr>
          <w:lang w:val="en-GB"/>
        </w:rPr>
      </w:pPr>
      <w:r w:rsidRPr="00380B40">
        <w:rPr>
          <w:lang w:val="en-GB"/>
        </w:rPr>
        <w:t>•</w:t>
      </w:r>
      <w:r w:rsidRPr="00380B40">
        <w:rPr>
          <w:lang w:val="en-GB"/>
        </w:rPr>
        <w:tab/>
        <w:t>for work where text should be drawn up mutually and kept aligned, procedures in accordance with Recommendation ITU</w:t>
      </w:r>
      <w:r w:rsidRPr="00380B40">
        <w:rPr>
          <w:lang w:val="en-GB"/>
        </w:rPr>
        <w:noBreakHyphen/>
        <w:t>T A.23 and the Guidelines for Cooperation therein apply;</w:t>
      </w:r>
    </w:p>
    <w:p w14:paraId="68385E9D" w14:textId="77777777" w:rsidR="007D66BD" w:rsidRPr="00380B40" w:rsidRDefault="007D66BD" w:rsidP="007D66BD">
      <w:pPr>
        <w:ind w:left="794" w:hanging="794"/>
        <w:rPr>
          <w:lang w:val="en-GB"/>
        </w:rPr>
      </w:pPr>
      <w:r w:rsidRPr="00380B40">
        <w:rPr>
          <w:lang w:val="en-GB"/>
        </w:rPr>
        <w:t>•</w:t>
      </w:r>
      <w:r w:rsidRPr="00380B40">
        <w:rPr>
          <w:lang w:val="en-GB"/>
        </w:rPr>
        <w:tab/>
        <w:t>for other activities where coordination between ITU</w:t>
      </w:r>
      <w:r w:rsidRPr="00380B40">
        <w:rPr>
          <w:lang w:val="en-GB"/>
        </w:rPr>
        <w:noBreakHyphen/>
        <w:t>T and ISO and IEC is required (for example in relation to any mutual agreements, such as the Memorandum of Understanding on standardization in the field of electronic business), clear means of coordination shall be established and regular coordination contacts made;</w:t>
      </w:r>
    </w:p>
    <w:p w14:paraId="5592964F" w14:textId="77777777" w:rsidR="007D66BD" w:rsidRPr="00380B40" w:rsidRDefault="007D66BD" w:rsidP="007D66BD">
      <w:pPr>
        <w:rPr>
          <w:lang w:val="en-GB"/>
        </w:rPr>
      </w:pPr>
      <w:r w:rsidRPr="00380B40">
        <w:rPr>
          <w:lang w:val="en-GB"/>
        </w:rPr>
        <w:t>8</w:t>
      </w:r>
      <w:r w:rsidRPr="00380B40">
        <w:rPr>
          <w:lang w:val="en-GB"/>
        </w:rPr>
        <w:tab/>
        <w:t>to request the chairmen of study groups to take into account the related work programmes and the progress of projects in ISO, IEC and ISO/IEC JTC 1; further, to cooperate with these organizations as widely as possible and by appropriate and balanced means, in order to:</w:t>
      </w:r>
    </w:p>
    <w:p w14:paraId="739D3667" w14:textId="77777777" w:rsidR="007D66BD" w:rsidRPr="00380B40" w:rsidRDefault="007D66BD" w:rsidP="007D66BD">
      <w:pPr>
        <w:pStyle w:val="enumlev1"/>
        <w:rPr>
          <w:lang w:val="en-GB"/>
        </w:rPr>
      </w:pPr>
      <w:r w:rsidRPr="00380B40">
        <w:rPr>
          <w:lang w:val="en-GB"/>
        </w:rPr>
        <w:t>•</w:t>
      </w:r>
      <w:r w:rsidRPr="00380B40">
        <w:rPr>
          <w:lang w:val="en-GB"/>
        </w:rPr>
        <w:tab/>
        <w:t>ensure that the specifications which have been jointly drawn up remain aligned;</w:t>
      </w:r>
    </w:p>
    <w:p w14:paraId="713D0839" w14:textId="77777777" w:rsidR="007D66BD" w:rsidRPr="00380B40" w:rsidRDefault="007D66BD" w:rsidP="007D66BD">
      <w:pPr>
        <w:pStyle w:val="enumlev1"/>
        <w:rPr>
          <w:lang w:val="en-GB"/>
        </w:rPr>
      </w:pPr>
      <w:r w:rsidRPr="00380B40">
        <w:rPr>
          <w:lang w:val="en-GB"/>
        </w:rPr>
        <w:t>•</w:t>
      </w:r>
      <w:r w:rsidRPr="00380B40">
        <w:rPr>
          <w:lang w:val="en-GB"/>
        </w:rPr>
        <w:tab/>
        <w:t>collaborate in drawing up other specifications in fields of shared interest;</w:t>
      </w:r>
    </w:p>
    <w:p w14:paraId="4D7167D2" w14:textId="77777777" w:rsidR="007D66BD" w:rsidRPr="00380B40" w:rsidRDefault="007D66BD" w:rsidP="007D66BD">
      <w:pPr>
        <w:rPr>
          <w:lang w:val="en-GB"/>
        </w:rPr>
      </w:pPr>
      <w:r w:rsidRPr="00380B40">
        <w:rPr>
          <w:lang w:val="en-GB"/>
        </w:rPr>
        <w:t>9</w:t>
      </w:r>
      <w:r w:rsidRPr="00380B40">
        <w:rPr>
          <w:lang w:val="en-GB"/>
        </w:rPr>
        <w:tab/>
        <w:t>that, for reasons of economy, any necessary collaborative meetings take place to the extent possible in association with other relevant meetings;</w:t>
      </w:r>
    </w:p>
    <w:p w14:paraId="12A8B989" w14:textId="77777777" w:rsidR="007D66BD" w:rsidRPr="00380B40" w:rsidRDefault="007D66BD" w:rsidP="007D66BD">
      <w:pPr>
        <w:rPr>
          <w:lang w:val="en-GB"/>
        </w:rPr>
      </w:pPr>
      <w:r w:rsidRPr="00380B40">
        <w:rPr>
          <w:lang w:val="en-GB"/>
        </w:rPr>
        <w:t>10</w:t>
      </w:r>
      <w:r w:rsidRPr="00380B40">
        <w:rPr>
          <w:lang w:val="en-GB"/>
        </w:rPr>
        <w:tab/>
        <w:t>that the report concerning such coordination indicate the status of alignment and compatibility of draft texts on points of shared interest, in particular identifying cases where cross-referencing would be helpful to users of published International Standards and Recommendations;</w:t>
      </w:r>
    </w:p>
    <w:p w14:paraId="6DE272DE" w14:textId="77777777" w:rsidR="00814920" w:rsidRPr="00380B40" w:rsidRDefault="007D66BD" w:rsidP="007D66BD">
      <w:pPr>
        <w:rPr>
          <w:lang w:val="en-GB"/>
        </w:rPr>
      </w:pPr>
      <w:r w:rsidRPr="00380B40">
        <w:rPr>
          <w:lang w:val="en-GB"/>
        </w:rPr>
        <w:t>11</w:t>
      </w:r>
      <w:r w:rsidRPr="00380B40">
        <w:rPr>
          <w:lang w:val="en-GB"/>
        </w:rPr>
        <w:tab/>
        <w:t>to invite administrations to contribute significantly to the coordination between ITU</w:t>
      </w:r>
      <w:r w:rsidRPr="00380B40">
        <w:rPr>
          <w:lang w:val="en-GB"/>
        </w:rPr>
        <w:noBreakHyphen/>
        <w:t>T on the one hand and ISO and IEC (including ISO/IEC JTC 1) on the other by ensuring adequate coordination of national activities associated with the three organizations.</w:t>
      </w:r>
    </w:p>
    <w:p w14:paraId="235D8E09" w14:textId="77777777" w:rsidR="00135E8B" w:rsidRPr="00380B40" w:rsidRDefault="00135E8B" w:rsidP="007D66BD">
      <w:pPr>
        <w:rPr>
          <w:lang w:val="en-GB"/>
        </w:rPr>
      </w:pPr>
    </w:p>
    <w:p w14:paraId="571EAB96" w14:textId="77777777" w:rsidR="00135E8B" w:rsidRPr="00380B40" w:rsidRDefault="00135E8B" w:rsidP="007D66BD">
      <w:pPr>
        <w:rPr>
          <w:lang w:val="en-GB"/>
        </w:rPr>
      </w:pPr>
    </w:p>
    <w:p w14:paraId="4EA97BCC" w14:textId="77777777" w:rsidR="00135E8B" w:rsidRPr="00380B40" w:rsidRDefault="00135E8B" w:rsidP="007D66BD">
      <w:pPr>
        <w:rPr>
          <w:lang w:val="en-GB"/>
        </w:rPr>
      </w:pPr>
    </w:p>
    <w:p w14:paraId="56FF26F0" w14:textId="77777777" w:rsidR="00135E8B" w:rsidRPr="00380B40" w:rsidRDefault="00135E8B" w:rsidP="007D66BD">
      <w:pPr>
        <w:rPr>
          <w:lang w:val="en-GB"/>
        </w:rPr>
      </w:pPr>
    </w:p>
    <w:p w14:paraId="15859943" w14:textId="77777777" w:rsidR="00135E8B" w:rsidRPr="00380B40" w:rsidRDefault="00135E8B" w:rsidP="007D66BD">
      <w:pPr>
        <w:rPr>
          <w:lang w:val="en-GB"/>
        </w:rPr>
      </w:pPr>
    </w:p>
    <w:p w14:paraId="41554B2C" w14:textId="77777777" w:rsidR="007D66BD" w:rsidRPr="00380B40" w:rsidRDefault="007D66BD" w:rsidP="007D66BD">
      <w:pPr>
        <w:rPr>
          <w:lang w:val="en-GB"/>
        </w:rPr>
      </w:pPr>
    </w:p>
    <w:p w14:paraId="0031BACB" w14:textId="77777777" w:rsidR="00814920" w:rsidRPr="00380B40" w:rsidRDefault="00814920" w:rsidP="009E2FDE">
      <w:pPr>
        <w:rPr>
          <w:lang w:val="en-GB"/>
        </w:rPr>
        <w:sectPr w:rsidR="00814920" w:rsidRPr="00380B40" w:rsidSect="0002430C">
          <w:headerReference w:type="even" r:id="rId41"/>
          <w:headerReference w:type="default" r:id="rId42"/>
          <w:footerReference w:type="even" r:id="rId43"/>
          <w:footerReference w:type="default" r:id="rId44"/>
          <w:headerReference w:type="first" r:id="rId45"/>
          <w:footerReference w:type="first" r:id="rId46"/>
          <w:footnotePr>
            <w:numRestart w:val="eachSect"/>
          </w:footnotePr>
          <w:pgSz w:w="11907" w:h="16834" w:code="9"/>
          <w:pgMar w:top="1134" w:right="1134" w:bottom="1134" w:left="1134" w:header="567" w:footer="567" w:gutter="0"/>
          <w:paperSrc w:first="15" w:other="15"/>
          <w:cols w:space="720"/>
          <w:vAlign w:val="both"/>
          <w:docGrid w:linePitch="299"/>
        </w:sectPr>
      </w:pPr>
    </w:p>
    <w:p w14:paraId="0ED7AF21" w14:textId="77777777" w:rsidR="00CB4278" w:rsidRPr="00380B40" w:rsidRDefault="00CB4278" w:rsidP="00CB4278">
      <w:pPr>
        <w:pStyle w:val="ResNo"/>
        <w:rPr>
          <w:lang w:val="en-GB"/>
        </w:rPr>
      </w:pPr>
      <w:bookmarkStart w:id="95" w:name="_Toc104459699"/>
      <w:bookmarkStart w:id="96" w:name="_Toc104476507"/>
      <w:bookmarkStart w:id="97" w:name="_Toc111636753"/>
      <w:bookmarkStart w:id="98" w:name="_Toc111638400"/>
      <w:r w:rsidRPr="00380B40">
        <w:rPr>
          <w:lang w:val="en-GB"/>
        </w:rPr>
        <w:t xml:space="preserve">RESOLUTION </w:t>
      </w:r>
      <w:r w:rsidRPr="00380B40">
        <w:rPr>
          <w:rStyle w:val="href"/>
          <w:lang w:val="en-GB"/>
        </w:rPr>
        <w:t>11</w:t>
      </w:r>
      <w:r w:rsidRPr="00380B40">
        <w:rPr>
          <w:lang w:val="en-GB"/>
        </w:rPr>
        <w:t xml:space="preserve"> (</w:t>
      </w:r>
      <w:r w:rsidRPr="00380B40">
        <w:rPr>
          <w:caps w:val="0"/>
          <w:lang w:val="en-GB"/>
        </w:rPr>
        <w:t>Rev</w:t>
      </w:r>
      <w:r w:rsidRPr="00380B40">
        <w:rPr>
          <w:lang w:val="en-GB"/>
        </w:rPr>
        <w:t xml:space="preserve">. </w:t>
      </w:r>
      <w:r w:rsidRPr="00380B40">
        <w:rPr>
          <w:caps w:val="0"/>
          <w:lang w:val="en-GB"/>
        </w:rPr>
        <w:t>Hammamet</w:t>
      </w:r>
      <w:r w:rsidRPr="00380B40">
        <w:rPr>
          <w:lang w:val="en-GB"/>
        </w:rPr>
        <w:t>, 2016)</w:t>
      </w:r>
      <w:bookmarkEnd w:id="95"/>
      <w:bookmarkEnd w:id="96"/>
      <w:bookmarkEnd w:id="97"/>
      <w:bookmarkEnd w:id="98"/>
    </w:p>
    <w:p w14:paraId="03662D01" w14:textId="77777777" w:rsidR="00CB4278" w:rsidRPr="00380B40" w:rsidRDefault="00CB4278" w:rsidP="00CB4278">
      <w:pPr>
        <w:pStyle w:val="Restitle"/>
        <w:rPr>
          <w:lang w:val="en-GB"/>
        </w:rPr>
      </w:pPr>
      <w:bookmarkStart w:id="99" w:name="_Toc89767771"/>
      <w:bookmarkStart w:id="100" w:name="_Toc104459700"/>
      <w:bookmarkStart w:id="101" w:name="_Toc104476508"/>
      <w:bookmarkStart w:id="102" w:name="_Toc111638401"/>
      <w:r w:rsidRPr="00380B40">
        <w:rPr>
          <w:lang w:val="en-GB"/>
        </w:rPr>
        <w:t xml:space="preserve">Collaboration with the Postal Operations Council of the Universal Postal Union in the study of services concerning both the postal </w:t>
      </w:r>
      <w:r w:rsidRPr="00380B40">
        <w:rPr>
          <w:lang w:val="en-GB"/>
        </w:rPr>
        <w:br/>
        <w:t>and the telecommunication sectors</w:t>
      </w:r>
      <w:bookmarkEnd w:id="99"/>
      <w:bookmarkEnd w:id="100"/>
      <w:bookmarkEnd w:id="101"/>
      <w:bookmarkEnd w:id="102"/>
    </w:p>
    <w:p w14:paraId="01D94110" w14:textId="77777777" w:rsidR="00CB4278" w:rsidRPr="00380B40" w:rsidRDefault="00CB4278" w:rsidP="00CB4278">
      <w:pPr>
        <w:pStyle w:val="Resref"/>
        <w:rPr>
          <w:lang w:val="en-GB"/>
        </w:rPr>
      </w:pPr>
      <w:r w:rsidRPr="00380B40">
        <w:rPr>
          <w:lang w:val="en-GB"/>
        </w:rPr>
        <w:t>(Malaga-Torremolinos, 1984; Helsinki, 1993; Geneva, 1996; Montreal, 2000;</w:t>
      </w:r>
      <w:r w:rsidRPr="00380B40">
        <w:rPr>
          <w:lang w:val="en-GB"/>
        </w:rPr>
        <w:br/>
        <w:t>Florianópolis, 2004; Johannesburg, 2008; Dubai, 2012; Hammamet, 2016)</w:t>
      </w:r>
    </w:p>
    <w:p w14:paraId="06A1A33E" w14:textId="77777777" w:rsidR="00CB4278" w:rsidRPr="00380B40" w:rsidRDefault="00CB4278" w:rsidP="00CB4278">
      <w:pPr>
        <w:pStyle w:val="Normalaftertitle0"/>
      </w:pPr>
      <w:r w:rsidRPr="00380B40">
        <w:t>The World Telecommunication Standardization Assembly (Hammamet, 2016),</w:t>
      </w:r>
    </w:p>
    <w:p w14:paraId="02002F71" w14:textId="77777777" w:rsidR="00CB4278" w:rsidRPr="00380B40" w:rsidRDefault="00CB4278" w:rsidP="00CB4278">
      <w:pPr>
        <w:pStyle w:val="Call"/>
        <w:rPr>
          <w:lang w:val="en-GB"/>
        </w:rPr>
      </w:pPr>
      <w:r w:rsidRPr="00380B40">
        <w:rPr>
          <w:lang w:val="en-GB"/>
        </w:rPr>
        <w:t xml:space="preserve">considering </w:t>
      </w:r>
    </w:p>
    <w:p w14:paraId="5C28BB44" w14:textId="77777777" w:rsidR="00CB4278" w:rsidRPr="00380B40" w:rsidRDefault="00CB4278" w:rsidP="00CB4278">
      <w:pPr>
        <w:rPr>
          <w:lang w:val="en-GB"/>
        </w:rPr>
      </w:pPr>
      <w:r w:rsidRPr="00380B40">
        <w:rPr>
          <w:i/>
          <w:iCs/>
          <w:lang w:val="en-GB"/>
        </w:rPr>
        <w:t>a)</w:t>
      </w:r>
      <w:r w:rsidRPr="00380B40">
        <w:rPr>
          <w:lang w:val="en-GB"/>
        </w:rPr>
        <w:tab/>
        <w:t>that within the United Nations system, both the International Telecommunication Union (ITU) and the Universal Postal Union (UPU), as organizations specialized in communications, have been collaborating to identify synergies with a view to achieving the objectives of the World Summit on the Information Society (WSIS), each within its specific sphere of competence;</w:t>
      </w:r>
    </w:p>
    <w:p w14:paraId="21A50FCF" w14:textId="77777777" w:rsidR="00CB4278" w:rsidRPr="00380B40" w:rsidRDefault="00CB4278" w:rsidP="00CB4278">
      <w:pPr>
        <w:rPr>
          <w:lang w:val="en-GB"/>
        </w:rPr>
      </w:pPr>
      <w:r w:rsidRPr="00380B40">
        <w:rPr>
          <w:i/>
          <w:iCs/>
          <w:lang w:val="en-GB"/>
        </w:rPr>
        <w:t>b)</w:t>
      </w:r>
      <w:r w:rsidRPr="00380B40">
        <w:rPr>
          <w:lang w:val="en-GB"/>
        </w:rPr>
        <w:tab/>
        <w:t>that postal and telecommunication administrations, the relevant operating agencies authorized by Member States and service providers need to keep themselves informed of technical progress liable to improve or harmonize existing services in both the postal and telecommunication sectors;</w:t>
      </w:r>
    </w:p>
    <w:p w14:paraId="545C47C6" w14:textId="77777777" w:rsidR="00CB4278" w:rsidRPr="00380B40" w:rsidRDefault="00CB4278" w:rsidP="00CB4278">
      <w:pPr>
        <w:rPr>
          <w:lang w:val="en-GB"/>
        </w:rPr>
      </w:pPr>
      <w:r w:rsidRPr="00380B40">
        <w:rPr>
          <w:i/>
          <w:iCs/>
          <w:lang w:val="en-GB"/>
        </w:rPr>
        <w:t>c)</w:t>
      </w:r>
      <w:r w:rsidRPr="00380B40">
        <w:rPr>
          <w:lang w:val="en-GB"/>
        </w:rPr>
        <w:tab/>
        <w:t>the usefulness of examining jointly the implications of any new Recommendations or modifications to current Recommendations made in this connection,</w:t>
      </w:r>
    </w:p>
    <w:p w14:paraId="733A4D05" w14:textId="77777777" w:rsidR="00CB4278" w:rsidRPr="00380B40" w:rsidRDefault="00CB4278" w:rsidP="00CB4278">
      <w:pPr>
        <w:pStyle w:val="Call"/>
        <w:rPr>
          <w:lang w:val="en-GB"/>
        </w:rPr>
      </w:pPr>
      <w:r w:rsidRPr="00380B40">
        <w:rPr>
          <w:lang w:val="en-GB"/>
        </w:rPr>
        <w:t>recognizing</w:t>
      </w:r>
    </w:p>
    <w:p w14:paraId="1EA9ADB5" w14:textId="77777777" w:rsidR="00CB4278" w:rsidRPr="00380B40" w:rsidRDefault="00CB4278" w:rsidP="00CB4278">
      <w:pPr>
        <w:rPr>
          <w:i/>
          <w:iCs/>
          <w:lang w:val="en-GB"/>
        </w:rPr>
      </w:pPr>
      <w:r w:rsidRPr="00380B40">
        <w:rPr>
          <w:i/>
          <w:iCs/>
          <w:lang w:val="en-GB"/>
        </w:rPr>
        <w:t>a)</w:t>
      </w:r>
      <w:r w:rsidRPr="00380B40">
        <w:rPr>
          <w:i/>
          <w:iCs/>
          <w:lang w:val="en-GB"/>
        </w:rPr>
        <w:tab/>
      </w:r>
      <w:r w:rsidRPr="00380B40">
        <w:rPr>
          <w:lang w:val="en-GB"/>
        </w:rPr>
        <w:t xml:space="preserve">the cooperation that has existed between the two organizations in regard, </w:t>
      </w:r>
      <w:r w:rsidRPr="00380B40">
        <w:rPr>
          <w:i/>
          <w:iCs/>
          <w:lang w:val="en-GB"/>
        </w:rPr>
        <w:t>inter alia,</w:t>
      </w:r>
      <w:r w:rsidRPr="00380B40">
        <w:rPr>
          <w:lang w:val="en-GB"/>
        </w:rPr>
        <w:t xml:space="preserve"> to the use of new technologies by the postal sector and the fostering of its role in projects on the introduction and sustainable use of high-speed traffic, cybersecurity and currency transfer by mobile telephony;</w:t>
      </w:r>
    </w:p>
    <w:p w14:paraId="6E79BA04" w14:textId="77777777" w:rsidR="00CB4278" w:rsidRPr="00380B40" w:rsidRDefault="00CB4278" w:rsidP="00CB4278">
      <w:pPr>
        <w:rPr>
          <w:lang w:val="en-GB"/>
        </w:rPr>
      </w:pPr>
      <w:r w:rsidRPr="00380B40">
        <w:rPr>
          <w:i/>
          <w:iCs/>
          <w:lang w:val="en-GB"/>
        </w:rPr>
        <w:t>b)</w:t>
      </w:r>
      <w:r w:rsidRPr="00380B40">
        <w:rPr>
          <w:i/>
          <w:iCs/>
          <w:lang w:val="en-GB"/>
        </w:rPr>
        <w:tab/>
      </w:r>
      <w:r w:rsidRPr="00380B40">
        <w:rPr>
          <w:lang w:val="en-GB"/>
        </w:rPr>
        <w:t>that the changes in postal and telecommunication services in recent years have increased the synergies between the two sectors and consequently the need for greater coordination and joint work between both organizations,</w:t>
      </w:r>
    </w:p>
    <w:p w14:paraId="4EE20D4F" w14:textId="77777777" w:rsidR="00CB4278" w:rsidRPr="00380B40" w:rsidRDefault="00CB4278" w:rsidP="00CB4278">
      <w:pPr>
        <w:pStyle w:val="Call"/>
        <w:rPr>
          <w:lang w:val="en-GB"/>
        </w:rPr>
      </w:pPr>
      <w:r w:rsidRPr="00380B40">
        <w:rPr>
          <w:lang w:val="en-GB"/>
        </w:rPr>
        <w:t>recalling</w:t>
      </w:r>
    </w:p>
    <w:p w14:paraId="5125723B" w14:textId="77777777" w:rsidR="00CB4278" w:rsidRPr="00380B40" w:rsidRDefault="00CB4278" w:rsidP="00CB4278">
      <w:pPr>
        <w:rPr>
          <w:i/>
          <w:lang w:val="en-GB"/>
        </w:rPr>
      </w:pPr>
      <w:r w:rsidRPr="00380B40">
        <w:rPr>
          <w:lang w:val="en-GB"/>
        </w:rPr>
        <w:t>that, under No. 9 of the ITU Constitution, one of the purposes of the Union is "</w:t>
      </w:r>
      <w:r w:rsidRPr="00380B40">
        <w:rPr>
          <w:lang w:val="en-GB" w:eastAsia="zh-CN"/>
        </w:rPr>
        <w:t>to promote, at the international level, the adoption of a broader approach to the issues of telecommunications in the global information economy and society, by cooperating with other world and regional intergovernmental organizations and those non-governmental organizations concerned with telecommunications",</w:t>
      </w:r>
    </w:p>
    <w:p w14:paraId="249C15CE" w14:textId="77777777" w:rsidR="00CB4278" w:rsidRPr="00380B40" w:rsidRDefault="00CB4278" w:rsidP="00CB4278">
      <w:pPr>
        <w:pStyle w:val="Call"/>
        <w:rPr>
          <w:lang w:val="en-GB"/>
        </w:rPr>
      </w:pPr>
      <w:r w:rsidRPr="00380B40">
        <w:rPr>
          <w:lang w:val="en-GB"/>
        </w:rPr>
        <w:t>observing</w:t>
      </w:r>
    </w:p>
    <w:p w14:paraId="12FD478C" w14:textId="77777777" w:rsidR="00CB4278" w:rsidRPr="00380B40" w:rsidRDefault="00CB4278" w:rsidP="00CB4278">
      <w:pPr>
        <w:rPr>
          <w:lang w:val="en-GB"/>
        </w:rPr>
      </w:pPr>
      <w:r w:rsidRPr="00380B40">
        <w:rPr>
          <w:lang w:val="en-GB"/>
        </w:rPr>
        <w:t>that it is necessary to update the topics of interest with a view to developing common activities between both organizations and the efficient use of their resources,</w:t>
      </w:r>
    </w:p>
    <w:p w14:paraId="19AE72D2" w14:textId="77777777" w:rsidR="00544147" w:rsidRPr="00380B40" w:rsidRDefault="00544147">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sidRPr="00380B40">
        <w:rPr>
          <w:lang w:val="en-GB"/>
        </w:rPr>
        <w:br w:type="page"/>
      </w:r>
    </w:p>
    <w:p w14:paraId="5477952A" w14:textId="77777777" w:rsidR="00CB4278" w:rsidRPr="00380B40" w:rsidRDefault="00CB4278" w:rsidP="00CB4278">
      <w:pPr>
        <w:pStyle w:val="Call"/>
        <w:rPr>
          <w:lang w:val="en-GB"/>
        </w:rPr>
      </w:pPr>
      <w:r w:rsidRPr="00380B40">
        <w:rPr>
          <w:lang w:val="en-GB"/>
        </w:rPr>
        <w:t>resolves</w:t>
      </w:r>
    </w:p>
    <w:p w14:paraId="0AA252EA" w14:textId="77777777" w:rsidR="00CB4278" w:rsidRPr="00380B40" w:rsidRDefault="00CB4278" w:rsidP="00CB4278">
      <w:pPr>
        <w:rPr>
          <w:lang w:val="en-GB"/>
        </w:rPr>
      </w:pPr>
      <w:r w:rsidRPr="00380B40">
        <w:rPr>
          <w:lang w:val="en-GB"/>
        </w:rPr>
        <w:t>that the relevant study groups of the ITU Telecommunication Standardization Sector (ITU-T) should continue to collaborate with the Postal Operations Council (POC) committees as necessary, on a reciprocal basis and with a minimum of formality, in particular by investigating issues of common interest such as quality of service (QoS), quality of experience (QoE), electronic services and security, digital financial services and transaction costs of mobile payment,</w:t>
      </w:r>
    </w:p>
    <w:p w14:paraId="105388A4" w14:textId="77777777" w:rsidR="00CB4278" w:rsidRPr="00380B40" w:rsidRDefault="00CB4278" w:rsidP="00CB4278">
      <w:pPr>
        <w:pStyle w:val="Call"/>
        <w:rPr>
          <w:lang w:val="en-GB"/>
        </w:rPr>
      </w:pPr>
      <w:r w:rsidRPr="00380B40">
        <w:rPr>
          <w:lang w:val="en-GB"/>
        </w:rPr>
        <w:t>instructs the Director of the Telecommunication Standardization Bureau</w:t>
      </w:r>
    </w:p>
    <w:p w14:paraId="6FADC6CE" w14:textId="77777777" w:rsidR="00CB4278" w:rsidRPr="00380B40" w:rsidRDefault="00CB4278" w:rsidP="00CB4278">
      <w:pPr>
        <w:rPr>
          <w:lang w:val="en-GB"/>
        </w:rPr>
      </w:pPr>
      <w:r w:rsidRPr="00380B40">
        <w:rPr>
          <w:lang w:val="en-GB"/>
        </w:rPr>
        <w:t>1</w:t>
      </w:r>
      <w:r w:rsidRPr="00380B40">
        <w:rPr>
          <w:lang w:val="en-GB"/>
        </w:rPr>
        <w:tab/>
        <w:t>to encourage and assist this collaboration between the two organs;</w:t>
      </w:r>
    </w:p>
    <w:p w14:paraId="78B0B4C2" w14:textId="77777777" w:rsidR="00CB4278" w:rsidRPr="00380B40" w:rsidRDefault="00CB4278" w:rsidP="00CB4278">
      <w:pPr>
        <w:rPr>
          <w:lang w:val="en-GB"/>
        </w:rPr>
      </w:pPr>
      <w:r w:rsidRPr="00380B40">
        <w:rPr>
          <w:lang w:val="en-GB"/>
        </w:rPr>
        <w:t>2</w:t>
      </w:r>
      <w:r w:rsidRPr="00380B40">
        <w:rPr>
          <w:lang w:val="en-GB"/>
        </w:rPr>
        <w:tab/>
        <w:t>to consult with UPU on the establishment of a joint working group between ITU and UPU on digital financial services to share lessons learned through the implementation of projects in the area of digital financial inclusion in order to drive standardization activities in both organizations.</w:t>
      </w:r>
    </w:p>
    <w:p w14:paraId="2E137448" w14:textId="77777777" w:rsidR="00CB4278" w:rsidRPr="00380B40" w:rsidRDefault="00CB4278" w:rsidP="000E4393">
      <w:pPr>
        <w:rPr>
          <w:lang w:val="en-GB"/>
        </w:rPr>
      </w:pPr>
    </w:p>
    <w:p w14:paraId="3B60C719" w14:textId="77777777" w:rsidR="00544147" w:rsidRPr="00380B40" w:rsidRDefault="00544147" w:rsidP="000E4393">
      <w:pPr>
        <w:rPr>
          <w:lang w:val="en-GB"/>
        </w:rPr>
      </w:pPr>
    </w:p>
    <w:p w14:paraId="0AC2D4DD" w14:textId="77777777" w:rsidR="00544147" w:rsidRPr="00380B40" w:rsidRDefault="00544147" w:rsidP="000E4393">
      <w:pPr>
        <w:rPr>
          <w:lang w:val="en-GB"/>
        </w:rPr>
      </w:pPr>
    </w:p>
    <w:p w14:paraId="6F6CE066" w14:textId="77777777" w:rsidR="00544147" w:rsidRPr="00380B40" w:rsidRDefault="00544147" w:rsidP="000E4393">
      <w:pPr>
        <w:rPr>
          <w:lang w:val="en-GB"/>
        </w:rPr>
      </w:pPr>
    </w:p>
    <w:p w14:paraId="3EE99926" w14:textId="77777777" w:rsidR="00544147" w:rsidRPr="00380B40" w:rsidRDefault="00544147" w:rsidP="000E4393">
      <w:pPr>
        <w:rPr>
          <w:lang w:val="en-GB"/>
        </w:rPr>
      </w:pPr>
    </w:p>
    <w:p w14:paraId="22A51675" w14:textId="77777777" w:rsidR="00544147" w:rsidRPr="00380B40" w:rsidRDefault="00544147" w:rsidP="000E4393">
      <w:pPr>
        <w:rPr>
          <w:lang w:val="en-GB"/>
        </w:rPr>
      </w:pPr>
    </w:p>
    <w:p w14:paraId="325B3D34" w14:textId="77777777" w:rsidR="009E2FDE" w:rsidRPr="00380B40" w:rsidRDefault="009E2FDE" w:rsidP="000E4393">
      <w:pPr>
        <w:rPr>
          <w:lang w:val="en-GB"/>
        </w:rPr>
      </w:pPr>
    </w:p>
    <w:p w14:paraId="7147BE4B" w14:textId="77777777" w:rsidR="009E2FDE" w:rsidRPr="00380B40" w:rsidRDefault="009E2FDE" w:rsidP="000E4393">
      <w:pPr>
        <w:rPr>
          <w:lang w:val="en-GB"/>
        </w:rPr>
      </w:pPr>
    </w:p>
    <w:p w14:paraId="685C2B3F" w14:textId="77777777" w:rsidR="00544147" w:rsidRPr="00380B40" w:rsidRDefault="00544147" w:rsidP="000E4393">
      <w:pPr>
        <w:rPr>
          <w:lang w:val="en-GB"/>
        </w:rPr>
      </w:pPr>
    </w:p>
    <w:p w14:paraId="32F3EE39" w14:textId="77777777" w:rsidR="00544147" w:rsidRPr="00380B40" w:rsidRDefault="00544147" w:rsidP="000E4393">
      <w:pPr>
        <w:rPr>
          <w:lang w:val="en-GB"/>
        </w:rPr>
      </w:pPr>
    </w:p>
    <w:p w14:paraId="5306CE7B" w14:textId="77777777" w:rsidR="00544147" w:rsidRPr="00380B40" w:rsidRDefault="00544147" w:rsidP="000E4393">
      <w:pPr>
        <w:rPr>
          <w:lang w:val="en-GB"/>
        </w:rPr>
      </w:pPr>
    </w:p>
    <w:p w14:paraId="472C335A" w14:textId="77777777" w:rsidR="00544147" w:rsidRPr="00380B40" w:rsidRDefault="00544147" w:rsidP="000E4393">
      <w:pPr>
        <w:rPr>
          <w:lang w:val="en-GB"/>
        </w:rPr>
      </w:pPr>
    </w:p>
    <w:p w14:paraId="05BAE867" w14:textId="77777777" w:rsidR="00544147" w:rsidRPr="00380B40" w:rsidRDefault="00544147" w:rsidP="000E4393">
      <w:pPr>
        <w:rPr>
          <w:lang w:val="en-GB"/>
        </w:rPr>
      </w:pPr>
    </w:p>
    <w:p w14:paraId="6E726FB0" w14:textId="77777777" w:rsidR="00544147" w:rsidRPr="00380B40" w:rsidRDefault="00544147" w:rsidP="000E4393">
      <w:pPr>
        <w:rPr>
          <w:lang w:val="en-GB"/>
        </w:rPr>
      </w:pPr>
    </w:p>
    <w:p w14:paraId="37339C96" w14:textId="77777777" w:rsidR="00544147" w:rsidRPr="00380B40" w:rsidRDefault="00544147" w:rsidP="000E4393">
      <w:pPr>
        <w:rPr>
          <w:lang w:val="en-GB"/>
        </w:rPr>
      </w:pPr>
    </w:p>
    <w:p w14:paraId="520B04D3" w14:textId="77777777" w:rsidR="00544147" w:rsidRPr="00380B40" w:rsidRDefault="00544147" w:rsidP="000E4393">
      <w:pPr>
        <w:rPr>
          <w:lang w:val="en-GB"/>
        </w:rPr>
      </w:pPr>
    </w:p>
    <w:p w14:paraId="0BC506CB" w14:textId="77777777" w:rsidR="00544147" w:rsidRPr="00380B40" w:rsidRDefault="00544147" w:rsidP="000E4393">
      <w:pPr>
        <w:rPr>
          <w:lang w:val="en-GB"/>
        </w:rPr>
      </w:pPr>
    </w:p>
    <w:p w14:paraId="20A2620E" w14:textId="77777777" w:rsidR="00544147" w:rsidRPr="00380B40" w:rsidRDefault="00544147" w:rsidP="009E2FDE">
      <w:pPr>
        <w:rPr>
          <w:lang w:val="en-GB"/>
        </w:rPr>
      </w:pPr>
    </w:p>
    <w:p w14:paraId="1098716E" w14:textId="77777777" w:rsidR="009E2FDE" w:rsidRPr="00380B40" w:rsidRDefault="009E2FDE" w:rsidP="009E2FDE">
      <w:pPr>
        <w:rPr>
          <w:lang w:val="en-GB"/>
        </w:rPr>
        <w:sectPr w:rsidR="009E2FDE" w:rsidRPr="00380B40" w:rsidSect="00BD4379">
          <w:headerReference w:type="even" r:id="rId47"/>
          <w:headerReference w:type="default" r:id="rId48"/>
          <w:footerReference w:type="even" r:id="rId49"/>
          <w:footerReference w:type="default" r:id="rId50"/>
          <w:headerReference w:type="first" r:id="rId51"/>
          <w:footerReference w:type="first" r:id="rId52"/>
          <w:footnotePr>
            <w:numRestart w:val="eachSect"/>
          </w:footnotePr>
          <w:pgSz w:w="11907" w:h="16834" w:code="9"/>
          <w:pgMar w:top="1134" w:right="1134" w:bottom="1134" w:left="1134" w:header="567" w:footer="567" w:gutter="0"/>
          <w:paperSrc w:first="15" w:other="15"/>
          <w:cols w:space="720"/>
          <w:vAlign w:val="both"/>
          <w:docGrid w:linePitch="299"/>
        </w:sectPr>
      </w:pPr>
    </w:p>
    <w:p w14:paraId="4344413B" w14:textId="77777777" w:rsidR="00ED32D6" w:rsidRPr="00380B40" w:rsidRDefault="00ED32D6" w:rsidP="00ED32D6">
      <w:pPr>
        <w:pStyle w:val="ResNo"/>
        <w:rPr>
          <w:lang w:val="en-GB"/>
        </w:rPr>
      </w:pPr>
      <w:bookmarkStart w:id="103" w:name="_Toc104459701"/>
      <w:bookmarkStart w:id="104" w:name="_Toc104476509"/>
      <w:bookmarkStart w:id="105" w:name="_Toc111636754"/>
      <w:bookmarkStart w:id="106" w:name="_Toc111638402"/>
      <w:r w:rsidRPr="00380B40">
        <w:rPr>
          <w:lang w:val="en-GB"/>
        </w:rPr>
        <w:t>RESOLUTION </w:t>
      </w:r>
      <w:r w:rsidRPr="00380B40">
        <w:rPr>
          <w:rStyle w:val="href"/>
          <w:lang w:val="en-GB"/>
        </w:rPr>
        <w:t>18</w:t>
      </w:r>
      <w:r w:rsidRPr="00380B40">
        <w:rPr>
          <w:lang w:val="en-GB"/>
        </w:rPr>
        <w:t xml:space="preserve"> </w:t>
      </w:r>
      <w:r w:rsidR="007D66BD" w:rsidRPr="00380B40">
        <w:rPr>
          <w:lang w:val="en-GB"/>
        </w:rPr>
        <w:t>(R</w:t>
      </w:r>
      <w:r w:rsidR="007D66BD" w:rsidRPr="00380B40">
        <w:rPr>
          <w:caps w:val="0"/>
          <w:lang w:val="en-GB"/>
        </w:rPr>
        <w:t>ev</w:t>
      </w:r>
      <w:r w:rsidR="007D66BD" w:rsidRPr="00380B40">
        <w:rPr>
          <w:lang w:val="en-GB"/>
        </w:rPr>
        <w:t>. </w:t>
      </w:r>
      <w:r w:rsidR="007D66BD" w:rsidRPr="00380B40">
        <w:rPr>
          <w:szCs w:val="28"/>
          <w:lang w:val="en-GB"/>
        </w:rPr>
        <w:t>G</w:t>
      </w:r>
      <w:r w:rsidR="007D66BD" w:rsidRPr="00380B40">
        <w:rPr>
          <w:caps w:val="0"/>
          <w:szCs w:val="28"/>
          <w:lang w:val="en-GB"/>
        </w:rPr>
        <w:t>eneva</w:t>
      </w:r>
      <w:r w:rsidR="007D66BD" w:rsidRPr="00380B40">
        <w:rPr>
          <w:szCs w:val="28"/>
          <w:lang w:val="en-GB"/>
        </w:rPr>
        <w:t>, 2022)</w:t>
      </w:r>
      <w:bookmarkEnd w:id="103"/>
      <w:bookmarkEnd w:id="104"/>
      <w:r w:rsidR="00FD162E" w:rsidRPr="00380B40">
        <w:rPr>
          <w:rStyle w:val="FootnoteReference"/>
          <w:szCs w:val="28"/>
          <w:lang w:val="en-GB"/>
        </w:rPr>
        <w:footnoteReference w:id="13"/>
      </w:r>
      <w:bookmarkEnd w:id="105"/>
      <w:bookmarkEnd w:id="106"/>
    </w:p>
    <w:p w14:paraId="2C875E16" w14:textId="77777777" w:rsidR="007D66BD" w:rsidRPr="00380B40" w:rsidRDefault="007D66BD" w:rsidP="007D66BD">
      <w:pPr>
        <w:pStyle w:val="Restitle"/>
        <w:rPr>
          <w:lang w:val="en-GB"/>
        </w:rPr>
      </w:pPr>
      <w:bookmarkStart w:id="107" w:name="_Toc86501022"/>
      <w:bookmarkStart w:id="108" w:name="_Toc104459702"/>
      <w:bookmarkStart w:id="109" w:name="_Toc104476510"/>
      <w:bookmarkStart w:id="110" w:name="_Toc111638403"/>
      <w:r w:rsidRPr="00380B40">
        <w:rPr>
          <w:lang w:val="en-GB"/>
        </w:rPr>
        <w:t xml:space="preserve">Principles and procedures for the allocation of work to, and strengthening coordination and cooperation among, </w:t>
      </w:r>
      <w:bookmarkEnd w:id="107"/>
      <w:r w:rsidRPr="00380B40">
        <w:rPr>
          <w:lang w:val="en-GB"/>
        </w:rPr>
        <w:t xml:space="preserve">the ITU Radiocommunication, </w:t>
      </w:r>
      <w:r w:rsidRPr="00380B40">
        <w:rPr>
          <w:lang w:val="en-GB"/>
        </w:rPr>
        <w:br/>
        <w:t xml:space="preserve">ITU Telecommunication Standardization and ITU </w:t>
      </w:r>
      <w:r w:rsidRPr="00380B40">
        <w:rPr>
          <w:lang w:val="en-GB"/>
        </w:rPr>
        <w:br/>
        <w:t>Telecommunication Development Sectors</w:t>
      </w:r>
      <w:bookmarkEnd w:id="108"/>
      <w:bookmarkEnd w:id="109"/>
      <w:bookmarkEnd w:id="110"/>
    </w:p>
    <w:p w14:paraId="603129D0" w14:textId="77777777" w:rsidR="007D66BD" w:rsidRPr="00380B40" w:rsidRDefault="007D66BD" w:rsidP="007D66BD">
      <w:pPr>
        <w:pStyle w:val="Resref"/>
        <w:rPr>
          <w:lang w:val="en-GB"/>
        </w:rPr>
      </w:pPr>
      <w:r w:rsidRPr="00380B40">
        <w:rPr>
          <w:lang w:val="en-GB"/>
        </w:rPr>
        <w:t xml:space="preserve">(Helsinki, 1993; Geneva, 1996; Montreal, 2000; Florianópolis, 2004; </w:t>
      </w:r>
      <w:r w:rsidRPr="00380B40">
        <w:rPr>
          <w:lang w:val="en-GB"/>
        </w:rPr>
        <w:br/>
        <w:t>Johannesburg, 2008; Dubai, 2012; Hammamet, 2016; Geneva, 2022)</w:t>
      </w:r>
    </w:p>
    <w:p w14:paraId="591DF6C3" w14:textId="77777777" w:rsidR="007D66BD" w:rsidRPr="00380B40" w:rsidRDefault="007D66BD" w:rsidP="007D66BD">
      <w:pPr>
        <w:pStyle w:val="Normalaftertitle0"/>
      </w:pPr>
      <w:r w:rsidRPr="00380B40">
        <w:t>The World Telecommunication Standardization Assembly (Geneva, 2022),</w:t>
      </w:r>
    </w:p>
    <w:p w14:paraId="6D908DC0" w14:textId="77777777" w:rsidR="007D66BD" w:rsidRPr="00380B40" w:rsidRDefault="007D66BD" w:rsidP="007D66BD">
      <w:pPr>
        <w:pStyle w:val="Call"/>
        <w:rPr>
          <w:lang w:val="en-GB"/>
        </w:rPr>
      </w:pPr>
      <w:r w:rsidRPr="00380B40">
        <w:rPr>
          <w:lang w:val="en-GB"/>
        </w:rPr>
        <w:t>recalling</w:t>
      </w:r>
    </w:p>
    <w:p w14:paraId="5D9AE2B4" w14:textId="77777777" w:rsidR="007D66BD" w:rsidRPr="00380B40" w:rsidRDefault="007D66BD" w:rsidP="007D66BD">
      <w:pPr>
        <w:rPr>
          <w:lang w:val="en-GB"/>
        </w:rPr>
      </w:pPr>
      <w:r w:rsidRPr="00380B40">
        <w:rPr>
          <w:i/>
          <w:iCs/>
          <w:lang w:val="en-GB"/>
        </w:rPr>
        <w:t>a)</w:t>
      </w:r>
      <w:r w:rsidRPr="00380B40">
        <w:rPr>
          <w:i/>
          <w:iCs/>
          <w:lang w:val="en-GB"/>
        </w:rPr>
        <w:tab/>
      </w:r>
      <w:r w:rsidRPr="00380B40">
        <w:rPr>
          <w:lang w:val="en-GB"/>
        </w:rPr>
        <w:t>that the responsibilities of the ITU Radiocommunication (ITU-R), Telecommunication Standardization (ITU-T) and Telecommunication Development (ITU-D) Sectors are enshrined in the ITU Constitution and Convention, in particular No. 119 of the Constitution and Nos. 151 to 154 (relating to ITU-R), No. 193 (relating to ITU-T), Nos. 211 and 214 (relating to ITU-D) and No. 215 of the Convention;</w:t>
      </w:r>
    </w:p>
    <w:p w14:paraId="19F7F939" w14:textId="77777777" w:rsidR="007D66BD" w:rsidRPr="00380B40" w:rsidRDefault="007D66BD" w:rsidP="007D66BD">
      <w:pPr>
        <w:rPr>
          <w:lang w:val="en-GB" w:eastAsia="zh-CN"/>
        </w:rPr>
      </w:pPr>
      <w:r w:rsidRPr="00380B40">
        <w:rPr>
          <w:i/>
          <w:iCs/>
          <w:lang w:val="en-GB"/>
        </w:rPr>
        <w:t>b)</w:t>
      </w:r>
      <w:r w:rsidRPr="00380B40">
        <w:rPr>
          <w:i/>
          <w:iCs/>
          <w:lang w:val="en-GB"/>
        </w:rPr>
        <w:tab/>
      </w:r>
      <w:r w:rsidRPr="00380B40">
        <w:rPr>
          <w:lang w:val="en-GB"/>
        </w:rPr>
        <w:t>Resolution 191 (Rev. Dubai, 2018) of the Plenipotentiary Conference, on s</w:t>
      </w:r>
      <w:r w:rsidRPr="00380B40">
        <w:rPr>
          <w:lang w:val="en-GB" w:eastAsia="zh-CN"/>
        </w:rPr>
        <w:t>trategy for the coordination of efforts among the three Sectors of the Union;</w:t>
      </w:r>
    </w:p>
    <w:p w14:paraId="5920AD69" w14:textId="77777777" w:rsidR="007D66BD" w:rsidRPr="00380B40" w:rsidRDefault="007D66BD" w:rsidP="007D66BD">
      <w:pPr>
        <w:rPr>
          <w:lang w:val="en-GB" w:eastAsia="zh-CN"/>
        </w:rPr>
      </w:pPr>
      <w:r w:rsidRPr="00380B40">
        <w:rPr>
          <w:i/>
          <w:iCs/>
          <w:lang w:val="en-GB"/>
        </w:rPr>
        <w:t>c)</w:t>
      </w:r>
      <w:r w:rsidRPr="00380B40">
        <w:rPr>
          <w:i/>
          <w:iCs/>
          <w:lang w:val="en-GB"/>
        </w:rPr>
        <w:tab/>
      </w:r>
      <w:r w:rsidRPr="00380B40">
        <w:rPr>
          <w:lang w:val="en-GB" w:eastAsia="zh-CN"/>
        </w:rPr>
        <w:t>Resolution ITU</w:t>
      </w:r>
      <w:r w:rsidRPr="00380B40">
        <w:rPr>
          <w:lang w:val="en-GB" w:eastAsia="zh-CN"/>
        </w:rPr>
        <w:noBreakHyphen/>
        <w:t>R 6 (Rev. Sharm el-Sheikh, 2019) of the Radiocommunication Assembly (RA), on liaison and collaboration with ITU</w:t>
      </w:r>
      <w:r w:rsidRPr="00380B40">
        <w:rPr>
          <w:lang w:val="en-GB" w:eastAsia="zh-CN"/>
        </w:rPr>
        <w:noBreakHyphen/>
        <w:t>T, and RA Resolution ITU</w:t>
      </w:r>
      <w:r w:rsidRPr="00380B40">
        <w:rPr>
          <w:lang w:val="en-GB" w:eastAsia="zh-CN"/>
        </w:rPr>
        <w:noBreakHyphen/>
        <w:t>R 7 (Rev. Sharm el-Sheikh, 2019), on telecommunication development including liaison and collaboration with ITU</w:t>
      </w:r>
      <w:r w:rsidRPr="00380B40">
        <w:rPr>
          <w:lang w:val="en-GB" w:eastAsia="zh-CN"/>
        </w:rPr>
        <w:noBreakHyphen/>
        <w:t>D;</w:t>
      </w:r>
    </w:p>
    <w:p w14:paraId="55A98DB4" w14:textId="77777777" w:rsidR="007D66BD" w:rsidRPr="00380B40" w:rsidRDefault="007D66BD" w:rsidP="007D66BD">
      <w:pPr>
        <w:rPr>
          <w:lang w:val="en-GB"/>
        </w:rPr>
      </w:pPr>
      <w:r w:rsidRPr="00380B40">
        <w:rPr>
          <w:i/>
          <w:iCs/>
          <w:lang w:val="en-GB"/>
        </w:rPr>
        <w:t>d)</w:t>
      </w:r>
      <w:r w:rsidRPr="00380B40">
        <w:rPr>
          <w:lang w:val="en-GB"/>
        </w:rPr>
        <w:tab/>
        <w:t>Resolution 59 (Rev. Buenos Aires, 2017) of the World Telecommunication Development Conference (WTDC), on strengthening coordination and cooperation among the three ITU Sectors on matters of mutual interest;</w:t>
      </w:r>
    </w:p>
    <w:p w14:paraId="64AE1631" w14:textId="77777777" w:rsidR="007D66BD" w:rsidRPr="00380B40" w:rsidRDefault="007D66BD" w:rsidP="007D66BD">
      <w:pPr>
        <w:rPr>
          <w:lang w:val="en-GB"/>
        </w:rPr>
      </w:pPr>
      <w:r w:rsidRPr="00380B40">
        <w:rPr>
          <w:i/>
          <w:iCs/>
          <w:lang w:val="en-GB"/>
        </w:rPr>
        <w:t>e)</w:t>
      </w:r>
      <w:r w:rsidRPr="00380B40">
        <w:rPr>
          <w:lang w:val="en-GB"/>
        </w:rPr>
        <w:tab/>
        <w:t>Resolution 44 (Rev. Geneva, 2022) of this assembly, on bridging the standardization gap between developing and developed countries,</w:t>
      </w:r>
    </w:p>
    <w:p w14:paraId="059653E9" w14:textId="77777777" w:rsidR="007D66BD" w:rsidRPr="00380B40" w:rsidRDefault="007D66BD" w:rsidP="007D66BD">
      <w:pPr>
        <w:pStyle w:val="Call"/>
        <w:rPr>
          <w:lang w:val="en-GB"/>
        </w:rPr>
      </w:pPr>
      <w:r w:rsidRPr="00380B40">
        <w:rPr>
          <w:lang w:val="en-GB"/>
        </w:rPr>
        <w:t>considering</w:t>
      </w:r>
    </w:p>
    <w:p w14:paraId="731DB9A7" w14:textId="77777777" w:rsidR="007D66BD" w:rsidRPr="00380B40" w:rsidRDefault="007D66BD" w:rsidP="007D66BD">
      <w:pPr>
        <w:rPr>
          <w:lang w:val="en-GB"/>
        </w:rPr>
      </w:pPr>
      <w:r w:rsidRPr="00380B40">
        <w:rPr>
          <w:i/>
          <w:iCs/>
          <w:lang w:val="en-GB"/>
        </w:rPr>
        <w:t>a)</w:t>
      </w:r>
      <w:r w:rsidRPr="00380B40">
        <w:rPr>
          <w:lang w:val="en-GB"/>
        </w:rPr>
        <w:tab/>
        <w:t>that a basic principle for cooperation and collaboration among ITU</w:t>
      </w:r>
      <w:r w:rsidRPr="00380B40">
        <w:rPr>
          <w:lang w:val="en-GB"/>
        </w:rPr>
        <w:noBreakHyphen/>
        <w:t>R, ITU</w:t>
      </w:r>
      <w:r w:rsidRPr="00380B40">
        <w:rPr>
          <w:lang w:val="en-GB"/>
        </w:rPr>
        <w:noBreakHyphen/>
        <w:t>T and ITU</w:t>
      </w:r>
      <w:r w:rsidRPr="00380B40">
        <w:rPr>
          <w:lang w:val="en-GB"/>
        </w:rPr>
        <w:noBreakHyphen/>
        <w:t>D is the need to avoid duplication of activities of the Sectors, and to ensure that work is undertaken efficiently and effectively;</w:t>
      </w:r>
    </w:p>
    <w:p w14:paraId="56683BB8" w14:textId="77777777" w:rsidR="007D66BD" w:rsidRPr="00380B40" w:rsidRDefault="007D66BD" w:rsidP="007D66BD">
      <w:pPr>
        <w:rPr>
          <w:i/>
          <w:iCs/>
          <w:lang w:val="en-GB"/>
        </w:rPr>
      </w:pPr>
      <w:r w:rsidRPr="00380B40">
        <w:rPr>
          <w:i/>
          <w:iCs/>
          <w:lang w:val="en-GB"/>
        </w:rPr>
        <w:t>b)</w:t>
      </w:r>
      <w:r w:rsidRPr="00380B40">
        <w:rPr>
          <w:lang w:val="en-GB"/>
        </w:rPr>
        <w:tab/>
        <w:t>that there are a growing number of issues of mutual interest and concern to all Sectors, in accordance with Resolution 191 (Rev. Dubai, 2018);</w:t>
      </w:r>
    </w:p>
    <w:p w14:paraId="77C7EC04" w14:textId="77777777" w:rsidR="00135E8B" w:rsidRPr="00380B40" w:rsidRDefault="00135E8B" w:rsidP="007D66BD">
      <w:pPr>
        <w:rPr>
          <w:i/>
          <w:iCs/>
          <w:lang w:val="en-GB"/>
        </w:rPr>
      </w:pPr>
      <w:r w:rsidRPr="00380B40">
        <w:rPr>
          <w:i/>
          <w:iCs/>
          <w:lang w:val="en-GB"/>
        </w:rPr>
        <w:br w:type="page"/>
      </w:r>
    </w:p>
    <w:p w14:paraId="4BB63E0D" w14:textId="77777777" w:rsidR="007D66BD" w:rsidRPr="00380B40" w:rsidRDefault="007D66BD" w:rsidP="007D66BD">
      <w:pPr>
        <w:rPr>
          <w:lang w:val="en-GB"/>
        </w:rPr>
      </w:pPr>
      <w:r w:rsidRPr="00380B40">
        <w:rPr>
          <w:i/>
          <w:iCs/>
          <w:lang w:val="en-GB"/>
        </w:rPr>
        <w:t>c)</w:t>
      </w:r>
      <w:r w:rsidRPr="00380B40">
        <w:rPr>
          <w:lang w:val="en-GB"/>
        </w:rPr>
        <w:tab/>
        <w:t>that the Inter-Sector Coordination Group on issues of mutual interest (ISCG), which is composed of representatives from the three advisory groups, works to identify subjects of common interest and mechanisms to enhance collaboration and cooperation among the Sectors and the General Secretariat, and considers reports from the Directors of the Bureaux and the Inter-Sectoral Coordination Task Force (ISC-TF) on options for improving cooperation and coordination within the secretariat;</w:t>
      </w:r>
    </w:p>
    <w:p w14:paraId="29776871" w14:textId="77777777" w:rsidR="007D66BD" w:rsidRPr="00380B40" w:rsidRDefault="007D66BD" w:rsidP="007D66BD">
      <w:pPr>
        <w:rPr>
          <w:lang w:val="en-GB"/>
        </w:rPr>
      </w:pPr>
      <w:r w:rsidRPr="00380B40">
        <w:rPr>
          <w:i/>
          <w:iCs/>
          <w:lang w:val="en-GB"/>
        </w:rPr>
        <w:t>d)</w:t>
      </w:r>
      <w:r w:rsidRPr="00380B40">
        <w:rPr>
          <w:i/>
          <w:iCs/>
          <w:lang w:val="en-GB"/>
        </w:rPr>
        <w:tab/>
      </w:r>
      <w:r w:rsidRPr="00380B40">
        <w:rPr>
          <w:iCs/>
          <w:lang w:val="en-GB"/>
        </w:rPr>
        <w:t xml:space="preserve">that </w:t>
      </w:r>
      <w:r w:rsidRPr="00380B40">
        <w:rPr>
          <w:lang w:val="en-GB"/>
        </w:rPr>
        <w:t>an ISC-TF in the secretariat, headed by the Deputy Secretary-General, an ISCG, and a subgroup of the Telecommunication Standardization Advisory Group (TSAG) on intra-ITU collaboration and coordination have been established,</w:t>
      </w:r>
    </w:p>
    <w:p w14:paraId="64EE8A38" w14:textId="77777777" w:rsidR="007D66BD" w:rsidRPr="00380B40" w:rsidRDefault="007D66BD" w:rsidP="007D66BD">
      <w:pPr>
        <w:pStyle w:val="Call"/>
        <w:rPr>
          <w:lang w:val="en-GB"/>
        </w:rPr>
      </w:pPr>
      <w:r w:rsidRPr="00380B40">
        <w:rPr>
          <w:lang w:val="en-GB"/>
        </w:rPr>
        <w:t>recognizing</w:t>
      </w:r>
    </w:p>
    <w:p w14:paraId="2E397803" w14:textId="77777777" w:rsidR="007D66BD" w:rsidRPr="00380B40" w:rsidRDefault="007D66BD" w:rsidP="007D66BD">
      <w:pPr>
        <w:rPr>
          <w:lang w:val="en-GB"/>
        </w:rPr>
      </w:pPr>
      <w:r w:rsidRPr="00380B40">
        <w:rPr>
          <w:i/>
          <w:iCs/>
          <w:lang w:val="en-GB"/>
        </w:rPr>
        <w:t>a)</w:t>
      </w:r>
      <w:r w:rsidRPr="00380B40">
        <w:rPr>
          <w:lang w:val="en-GB"/>
        </w:rPr>
        <w:tab/>
        <w:t>that there is a need to improve the participation of developing countries</w:t>
      </w:r>
      <w:r w:rsidR="00FD162E" w:rsidRPr="00380B40">
        <w:rPr>
          <w:rStyle w:val="FootnoteReference"/>
          <w:lang w:val="en-GB"/>
        </w:rPr>
        <w:footnoteReference w:id="14"/>
      </w:r>
      <w:r w:rsidRPr="00380B40">
        <w:rPr>
          <w:lang w:val="en-GB"/>
        </w:rPr>
        <w:t xml:space="preserve"> in the work of ITU, as outlined in Resolution 5 (Rev. Buenos Aires, 2017) of WTDC;</w:t>
      </w:r>
    </w:p>
    <w:p w14:paraId="6DBDD39E" w14:textId="77777777" w:rsidR="007D66BD" w:rsidRPr="00380B40" w:rsidRDefault="007D66BD" w:rsidP="007D66BD">
      <w:pPr>
        <w:rPr>
          <w:i/>
          <w:iCs/>
          <w:lang w:val="en-GB"/>
        </w:rPr>
      </w:pPr>
      <w:r w:rsidRPr="00380B40">
        <w:rPr>
          <w:i/>
          <w:iCs/>
          <w:lang w:val="en-GB"/>
        </w:rPr>
        <w:t>b)</w:t>
      </w:r>
      <w:r w:rsidRPr="00380B40">
        <w:rPr>
          <w:lang w:val="en-GB"/>
        </w:rPr>
        <w:tab/>
        <w:t>that one such mechanism – the Inter-Sectoral Emergency Communications Team – has been established to ensure close collaboration within the Union as a whole, as well as with interested entities and organizations outside ITU, on this key priority issue for the Union;</w:t>
      </w:r>
    </w:p>
    <w:p w14:paraId="266C4E02" w14:textId="77777777" w:rsidR="007D66BD" w:rsidRPr="00380B40" w:rsidRDefault="007D66BD" w:rsidP="007D66BD">
      <w:pPr>
        <w:rPr>
          <w:lang w:val="en-GB"/>
        </w:rPr>
      </w:pPr>
      <w:r w:rsidRPr="00380B40">
        <w:rPr>
          <w:i/>
          <w:iCs/>
          <w:lang w:val="en-GB"/>
        </w:rPr>
        <w:t>c)</w:t>
      </w:r>
      <w:r w:rsidRPr="00380B40">
        <w:rPr>
          <w:lang w:val="en-GB"/>
        </w:rPr>
        <w:tab/>
        <w:t xml:space="preserve">that all the advisory groups are collaborating in the implementation of Resolution 123 (Rev. Dubai, 2018) of the Plenipotentiary Conference, on bridging the standardization gap between developing and developed countries, </w:t>
      </w:r>
    </w:p>
    <w:p w14:paraId="23F97513" w14:textId="77777777" w:rsidR="007D66BD" w:rsidRPr="00380B40" w:rsidRDefault="007D66BD" w:rsidP="007D66BD">
      <w:pPr>
        <w:pStyle w:val="Call"/>
        <w:rPr>
          <w:lang w:val="en-GB"/>
        </w:rPr>
      </w:pPr>
      <w:r w:rsidRPr="00380B40">
        <w:rPr>
          <w:lang w:val="en-GB"/>
        </w:rPr>
        <w:t>noting</w:t>
      </w:r>
    </w:p>
    <w:p w14:paraId="340D2548" w14:textId="77777777" w:rsidR="007D66BD" w:rsidRPr="00380B40" w:rsidRDefault="007D66BD" w:rsidP="007D66BD">
      <w:pPr>
        <w:rPr>
          <w:lang w:val="en-GB"/>
        </w:rPr>
      </w:pPr>
      <w:r w:rsidRPr="00380B40">
        <w:rPr>
          <w:iCs/>
          <w:lang w:val="en-GB"/>
        </w:rPr>
        <w:t>that</w:t>
      </w:r>
      <w:r w:rsidRPr="00380B40">
        <w:rPr>
          <w:i/>
          <w:iCs/>
          <w:lang w:val="en-GB"/>
        </w:rPr>
        <w:t xml:space="preserve"> </w:t>
      </w:r>
      <w:r w:rsidRPr="00380B40">
        <w:rPr>
          <w:lang w:val="en-GB"/>
        </w:rPr>
        <w:t>Resolution ITU</w:t>
      </w:r>
      <w:r w:rsidRPr="00380B40">
        <w:rPr>
          <w:lang w:val="en-GB"/>
        </w:rPr>
        <w:noBreakHyphen/>
        <w:t>R 6 (Rev. Sharm el-Sheikh, 2019) provides mechanisms for ongoing review of the allocation of work and cooperation between ITU</w:t>
      </w:r>
      <w:r w:rsidRPr="00380B40">
        <w:rPr>
          <w:lang w:val="en-GB"/>
        </w:rPr>
        <w:noBreakHyphen/>
        <w:t>R and ITU</w:t>
      </w:r>
      <w:r w:rsidRPr="00380B40">
        <w:rPr>
          <w:lang w:val="en-GB"/>
        </w:rPr>
        <w:noBreakHyphen/>
        <w:t>T,</w:t>
      </w:r>
    </w:p>
    <w:p w14:paraId="775C0AA7" w14:textId="77777777" w:rsidR="007D66BD" w:rsidRPr="00380B40" w:rsidRDefault="007D66BD" w:rsidP="007D66BD">
      <w:pPr>
        <w:pStyle w:val="Call"/>
        <w:rPr>
          <w:lang w:val="en-GB"/>
        </w:rPr>
      </w:pPr>
      <w:r w:rsidRPr="00380B40">
        <w:rPr>
          <w:lang w:val="en-GB"/>
        </w:rPr>
        <w:t>resolves</w:t>
      </w:r>
    </w:p>
    <w:p w14:paraId="21119E28" w14:textId="77777777" w:rsidR="007D66BD" w:rsidRPr="00380B40" w:rsidRDefault="007D66BD" w:rsidP="007D66BD">
      <w:pPr>
        <w:rPr>
          <w:lang w:val="en-GB"/>
        </w:rPr>
      </w:pPr>
      <w:r w:rsidRPr="00380B40">
        <w:rPr>
          <w:lang w:val="en-GB"/>
        </w:rPr>
        <w:t>1</w:t>
      </w:r>
      <w:r w:rsidRPr="00380B40">
        <w:rPr>
          <w:lang w:val="en-GB"/>
        </w:rPr>
        <w:tab/>
        <w:t>that the Radiocommunication Advisory Group (RAG), TSAG and the Telecommunication Development Advisory Group (TDAG), meeting jointly as necessary, shall continue the review of new and existing work and its distribution among ITU</w:t>
      </w:r>
      <w:r w:rsidRPr="00380B40">
        <w:rPr>
          <w:lang w:val="en-GB"/>
        </w:rPr>
        <w:noBreakHyphen/>
        <w:t>R, ITU</w:t>
      </w:r>
      <w:r w:rsidRPr="00380B40">
        <w:rPr>
          <w:lang w:val="en-GB"/>
        </w:rPr>
        <w:noBreakHyphen/>
        <w:t>T and ITU</w:t>
      </w:r>
      <w:r w:rsidRPr="00380B40">
        <w:rPr>
          <w:lang w:val="en-GB"/>
        </w:rPr>
        <w:noBreakHyphen/>
        <w:t>D, for approval by Member States in accordance with the procedures laid down for the approval of new and/or revised Questions;</w:t>
      </w:r>
    </w:p>
    <w:p w14:paraId="3BED372D" w14:textId="77777777" w:rsidR="007D66BD" w:rsidRPr="00380B40" w:rsidRDefault="007D66BD" w:rsidP="007D66BD">
      <w:pPr>
        <w:rPr>
          <w:lang w:val="en-GB"/>
        </w:rPr>
      </w:pPr>
      <w:r w:rsidRPr="00380B40">
        <w:rPr>
          <w:lang w:val="en-GB"/>
        </w:rPr>
        <w:t>2</w:t>
      </w:r>
      <w:r w:rsidRPr="00380B40">
        <w:rPr>
          <w:lang w:val="en-GB"/>
        </w:rPr>
        <w:tab/>
        <w:t>that, if considerable responsibilities in any two or all Sectors in a particular subject are identified:</w:t>
      </w:r>
    </w:p>
    <w:p w14:paraId="166AA09A" w14:textId="77777777" w:rsidR="007D66BD" w:rsidRPr="00380B40" w:rsidRDefault="007D66BD" w:rsidP="007D66BD">
      <w:pPr>
        <w:rPr>
          <w:lang w:val="en-GB"/>
        </w:rPr>
      </w:pPr>
      <w:r w:rsidRPr="00380B40">
        <w:rPr>
          <w:iCs/>
          <w:lang w:val="en-GB"/>
        </w:rPr>
        <w:t>i)</w:t>
      </w:r>
      <w:r w:rsidRPr="00380B40">
        <w:rPr>
          <w:lang w:val="en-GB"/>
        </w:rPr>
        <w:tab/>
        <w:t>the procedure given in Annex A to this resolution should be applied; or</w:t>
      </w:r>
    </w:p>
    <w:p w14:paraId="139FF2F7" w14:textId="77777777" w:rsidR="007D66BD" w:rsidRPr="00380B40" w:rsidRDefault="007D66BD" w:rsidP="007D66BD">
      <w:pPr>
        <w:ind w:left="794" w:hanging="794"/>
        <w:rPr>
          <w:lang w:val="en-GB"/>
        </w:rPr>
      </w:pPr>
      <w:r w:rsidRPr="00380B40">
        <w:rPr>
          <w:iCs/>
          <w:lang w:val="en-GB"/>
        </w:rPr>
        <w:t>ii)</w:t>
      </w:r>
      <w:r w:rsidRPr="00380B40">
        <w:rPr>
          <w:lang w:val="en-GB"/>
        </w:rPr>
        <w:tab/>
        <w:t>the matter should be studied by relevant study groups of the Sectors involved, with appropriate coordination and matching of relevant Question topics of interest to the study groups in ITU-T, ITU-D and ITU-R (see Annexes B and C to this resolution); or</w:t>
      </w:r>
    </w:p>
    <w:p w14:paraId="7A3897FD" w14:textId="77777777" w:rsidR="007D66BD" w:rsidRPr="00380B40" w:rsidRDefault="007D66BD" w:rsidP="007D66BD">
      <w:pPr>
        <w:rPr>
          <w:i/>
          <w:lang w:val="en-GB"/>
        </w:rPr>
      </w:pPr>
      <w:r w:rsidRPr="00380B40">
        <w:rPr>
          <w:iCs/>
          <w:lang w:val="en-GB"/>
        </w:rPr>
        <w:t>iii)</w:t>
      </w:r>
      <w:r w:rsidRPr="00380B40">
        <w:rPr>
          <w:lang w:val="en-GB"/>
        </w:rPr>
        <w:tab/>
        <w:t>a joint meeting may be arranged by the Directors of the Bureaux involved,</w:t>
      </w:r>
    </w:p>
    <w:p w14:paraId="682BAFD5" w14:textId="77777777" w:rsidR="00135E8B" w:rsidRPr="00380B40" w:rsidRDefault="00135E8B" w:rsidP="007D66BD">
      <w:pPr>
        <w:pStyle w:val="Call"/>
        <w:rPr>
          <w:lang w:val="en-GB"/>
        </w:rPr>
      </w:pPr>
      <w:r w:rsidRPr="00380B40">
        <w:rPr>
          <w:lang w:val="en-GB"/>
        </w:rPr>
        <w:br w:type="page"/>
      </w:r>
    </w:p>
    <w:p w14:paraId="6F056002" w14:textId="77777777" w:rsidR="007D66BD" w:rsidRPr="00380B40" w:rsidRDefault="007D66BD" w:rsidP="007D66BD">
      <w:pPr>
        <w:pStyle w:val="Call"/>
        <w:rPr>
          <w:lang w:val="en-GB"/>
        </w:rPr>
      </w:pPr>
      <w:r w:rsidRPr="00380B40">
        <w:rPr>
          <w:lang w:val="en-GB"/>
        </w:rPr>
        <w:t>invites</w:t>
      </w:r>
    </w:p>
    <w:p w14:paraId="3C412091" w14:textId="77777777" w:rsidR="007D66BD" w:rsidRPr="00380B40" w:rsidRDefault="007D66BD" w:rsidP="007D66BD">
      <w:pPr>
        <w:rPr>
          <w:lang w:val="en-GB"/>
        </w:rPr>
      </w:pPr>
      <w:r w:rsidRPr="00380B40">
        <w:rPr>
          <w:lang w:val="en-GB"/>
        </w:rPr>
        <w:t>1</w:t>
      </w:r>
      <w:r w:rsidRPr="00380B40">
        <w:rPr>
          <w:lang w:val="en-GB"/>
        </w:rPr>
        <w:tab/>
        <w:t>RAG, TSAG and TDAG to continue to assist ISCG in the identification of subjects of mutual interest to the three Sectors and mechanisms to enhance their cooperation and collaboration;</w:t>
      </w:r>
    </w:p>
    <w:p w14:paraId="298B2DA0" w14:textId="77777777" w:rsidR="007D66BD" w:rsidRPr="00380B40" w:rsidRDefault="007D66BD" w:rsidP="007D66BD">
      <w:pPr>
        <w:rPr>
          <w:lang w:val="en-GB"/>
        </w:rPr>
      </w:pPr>
      <w:r w:rsidRPr="00380B40">
        <w:rPr>
          <w:lang w:val="en-GB"/>
        </w:rPr>
        <w:t>2</w:t>
      </w:r>
      <w:r w:rsidRPr="00380B40">
        <w:rPr>
          <w:lang w:val="en-GB"/>
        </w:rPr>
        <w:tab/>
        <w:t>the Directors of the Radiocommunication (BR), Telecommunication Standardization (TSB) and Telecommunication Development (BDT) Bureaux and ISC</w:t>
      </w:r>
      <w:r w:rsidRPr="00380B40">
        <w:rPr>
          <w:lang w:val="en-GB"/>
        </w:rPr>
        <w:noBreakHyphen/>
        <w:t>TF to report to ISCG and the respective Sector advisory groups on options for improving cooperation at the secretariat level to ensure that close coordination is maximized,</w:t>
      </w:r>
    </w:p>
    <w:p w14:paraId="5B620986" w14:textId="77777777" w:rsidR="007D66BD" w:rsidRPr="00380B40" w:rsidRDefault="007D66BD" w:rsidP="007D66BD">
      <w:pPr>
        <w:pStyle w:val="Call"/>
        <w:rPr>
          <w:lang w:val="en-GB"/>
        </w:rPr>
      </w:pPr>
      <w:r w:rsidRPr="00380B40">
        <w:rPr>
          <w:lang w:val="en-GB"/>
        </w:rPr>
        <w:t xml:space="preserve">invites Member States and Sector Members </w:t>
      </w:r>
    </w:p>
    <w:p w14:paraId="5B142E92" w14:textId="77777777" w:rsidR="007D66BD" w:rsidRPr="00380B40" w:rsidRDefault="007D66BD" w:rsidP="007D66BD">
      <w:pPr>
        <w:rPr>
          <w:lang w:val="en-GB"/>
        </w:rPr>
      </w:pPr>
      <w:r w:rsidRPr="00380B40">
        <w:rPr>
          <w:lang w:val="en-GB"/>
        </w:rPr>
        <w:t>to support efforts to improve inter-Sector coordination, including taking an active part in groups established by the Sector advisory groups for coordination activities,</w:t>
      </w:r>
    </w:p>
    <w:p w14:paraId="304B8F86" w14:textId="77777777" w:rsidR="007D66BD" w:rsidRPr="00380B40" w:rsidRDefault="007D66BD" w:rsidP="007D66BD">
      <w:pPr>
        <w:pStyle w:val="Call"/>
        <w:rPr>
          <w:lang w:val="en-GB"/>
        </w:rPr>
      </w:pPr>
      <w:r w:rsidRPr="00380B40">
        <w:rPr>
          <w:lang w:val="en-GB"/>
        </w:rPr>
        <w:t>instructs</w:t>
      </w:r>
    </w:p>
    <w:p w14:paraId="5DCDE484" w14:textId="77777777" w:rsidR="007D66BD" w:rsidRPr="00380B40" w:rsidRDefault="007D66BD" w:rsidP="007D66BD">
      <w:pPr>
        <w:rPr>
          <w:lang w:val="en-GB"/>
        </w:rPr>
      </w:pPr>
      <w:r w:rsidRPr="00380B40">
        <w:rPr>
          <w:lang w:val="en-GB"/>
        </w:rPr>
        <w:t>1</w:t>
      </w:r>
      <w:r w:rsidRPr="00380B40">
        <w:rPr>
          <w:lang w:val="en-GB"/>
        </w:rPr>
        <w:tab/>
        <w:t>the ITU</w:t>
      </w:r>
      <w:r w:rsidRPr="00380B40">
        <w:rPr>
          <w:lang w:val="en-GB"/>
        </w:rPr>
        <w:noBreakHyphen/>
        <w:t>T study groups to continue cooperation with the study groups of the other two Sectors so as to avoid duplication of effort and proactively make use of the results of work done by the study groups of those two Sectors;</w:t>
      </w:r>
    </w:p>
    <w:p w14:paraId="3EC477D1" w14:textId="77777777" w:rsidR="007D66BD" w:rsidRPr="00380B40" w:rsidRDefault="007D66BD" w:rsidP="007D66BD">
      <w:pPr>
        <w:rPr>
          <w:lang w:val="en-GB"/>
        </w:rPr>
      </w:pPr>
      <w:r w:rsidRPr="00380B40">
        <w:rPr>
          <w:lang w:val="en-GB"/>
        </w:rPr>
        <w:t>2</w:t>
      </w:r>
      <w:r w:rsidRPr="00380B40">
        <w:rPr>
          <w:lang w:val="en-GB"/>
        </w:rPr>
        <w:tab/>
        <w:t>the Director of TSB to report annually to TSAG on the results of the implementation of this resolution.</w:t>
      </w:r>
    </w:p>
    <w:p w14:paraId="12355AEE" w14:textId="77777777" w:rsidR="00135E8B" w:rsidRPr="00380B40" w:rsidRDefault="00135E8B" w:rsidP="007D66BD">
      <w:pPr>
        <w:rPr>
          <w:lang w:val="en-GB"/>
        </w:rPr>
      </w:pPr>
    </w:p>
    <w:p w14:paraId="23EE134F" w14:textId="77777777" w:rsidR="007D66BD" w:rsidRPr="00380B40" w:rsidRDefault="007D66BD" w:rsidP="007D66BD">
      <w:pPr>
        <w:pStyle w:val="AnnexNo"/>
      </w:pPr>
      <w:bookmarkStart w:id="111" w:name="_Toc111636755"/>
      <w:r w:rsidRPr="00380B40">
        <w:t>Annex A</w:t>
      </w:r>
      <w:r w:rsidRPr="00380B40">
        <w:br/>
      </w:r>
      <w:r w:rsidRPr="00380B40">
        <w:rPr>
          <w:caps w:val="0"/>
        </w:rPr>
        <w:t>(to Resolution 18 (Rev. G</w:t>
      </w:r>
      <w:r w:rsidRPr="00380B40">
        <w:rPr>
          <w:caps w:val="0"/>
          <w:szCs w:val="28"/>
        </w:rPr>
        <w:t>eneva, 2022</w:t>
      </w:r>
      <w:r w:rsidRPr="00380B40">
        <w:rPr>
          <w:caps w:val="0"/>
        </w:rPr>
        <w:t>))</w:t>
      </w:r>
      <w:bookmarkEnd w:id="111"/>
    </w:p>
    <w:p w14:paraId="7F679609" w14:textId="77777777" w:rsidR="007D66BD" w:rsidRPr="00380B40" w:rsidRDefault="007D66BD" w:rsidP="00BD2768">
      <w:pPr>
        <w:pStyle w:val="Annextitle"/>
      </w:pPr>
      <w:r w:rsidRPr="00380B40">
        <w:t>Procedural method of cooperation</w:t>
      </w:r>
    </w:p>
    <w:p w14:paraId="43F3DD64" w14:textId="77777777" w:rsidR="007D66BD" w:rsidRPr="00380B40" w:rsidRDefault="007D66BD" w:rsidP="007D66BD">
      <w:pPr>
        <w:pStyle w:val="Normalaftertitle0"/>
      </w:pPr>
      <w:r w:rsidRPr="00380B40">
        <w:t xml:space="preserve">With respect to </w:t>
      </w:r>
      <w:r w:rsidRPr="00380B40">
        <w:rPr>
          <w:i/>
          <w:iCs/>
        </w:rPr>
        <w:t>resolves</w:t>
      </w:r>
      <w:r w:rsidRPr="00380B40">
        <w:t> 2 </w:t>
      </w:r>
      <w:r w:rsidRPr="00380B40">
        <w:rPr>
          <w:iCs/>
        </w:rPr>
        <w:t>i),</w:t>
      </w:r>
      <w:r w:rsidRPr="00380B40">
        <w:t xml:space="preserve"> the following procedure should be applied:</w:t>
      </w:r>
    </w:p>
    <w:p w14:paraId="7D81248F" w14:textId="77777777" w:rsidR="007D66BD" w:rsidRPr="00380B40" w:rsidRDefault="007D66BD" w:rsidP="007D66BD">
      <w:pPr>
        <w:pStyle w:val="enumlev1"/>
        <w:rPr>
          <w:lang w:val="en-GB"/>
        </w:rPr>
      </w:pPr>
      <w:r w:rsidRPr="00380B40">
        <w:rPr>
          <w:lang w:val="en-GB"/>
        </w:rPr>
        <w:t>a)</w:t>
      </w:r>
      <w:r w:rsidRPr="00380B40">
        <w:rPr>
          <w:lang w:val="en-GB"/>
        </w:rPr>
        <w:tab/>
        <w:t xml:space="preserve">The joint meeting of the advisory groups referred to in </w:t>
      </w:r>
      <w:r w:rsidRPr="00380B40">
        <w:rPr>
          <w:i/>
          <w:iCs/>
          <w:lang w:val="en-GB"/>
        </w:rPr>
        <w:t>resolves</w:t>
      </w:r>
      <w:r w:rsidRPr="00380B40">
        <w:rPr>
          <w:lang w:val="en-GB"/>
        </w:rPr>
        <w:t> 1 will nominate the Sector which will lead the work and will finally approve the deliverable.</w:t>
      </w:r>
    </w:p>
    <w:p w14:paraId="5E647CFB" w14:textId="77777777" w:rsidR="007D66BD" w:rsidRPr="00380B40" w:rsidRDefault="007D66BD" w:rsidP="007D66BD">
      <w:pPr>
        <w:pStyle w:val="enumlev1"/>
        <w:rPr>
          <w:lang w:val="en-GB"/>
        </w:rPr>
      </w:pPr>
      <w:r w:rsidRPr="00380B40">
        <w:rPr>
          <w:lang w:val="en-GB"/>
        </w:rPr>
        <w:t>b)</w:t>
      </w:r>
      <w:r w:rsidRPr="00380B40">
        <w:rPr>
          <w:lang w:val="en-GB"/>
        </w:rPr>
        <w:tab/>
        <w:t>The lead Sector will request the other Sectors to indicate those requirements which it considers essential for integration in the deliverable.</w:t>
      </w:r>
    </w:p>
    <w:p w14:paraId="501B8CEA" w14:textId="77777777" w:rsidR="007D66BD" w:rsidRPr="00380B40" w:rsidRDefault="007D66BD" w:rsidP="007D66BD">
      <w:pPr>
        <w:pStyle w:val="enumlev1"/>
        <w:rPr>
          <w:lang w:val="en-GB"/>
        </w:rPr>
      </w:pPr>
      <w:r w:rsidRPr="00380B40">
        <w:rPr>
          <w:lang w:val="en-GB"/>
        </w:rPr>
        <w:t>c)</w:t>
      </w:r>
      <w:r w:rsidRPr="00380B40">
        <w:rPr>
          <w:lang w:val="en-GB"/>
        </w:rPr>
        <w:tab/>
        <w:t>The lead Sector will base its work on these essential requirements and integrate them in its draft deliverable.</w:t>
      </w:r>
    </w:p>
    <w:p w14:paraId="4BF9BDC8" w14:textId="77777777" w:rsidR="007D66BD" w:rsidRPr="00380B40" w:rsidRDefault="007D66BD" w:rsidP="007D66BD">
      <w:pPr>
        <w:pStyle w:val="enumlev1"/>
        <w:rPr>
          <w:lang w:val="en-GB"/>
        </w:rPr>
      </w:pPr>
      <w:r w:rsidRPr="00380B40">
        <w:rPr>
          <w:lang w:val="en-GB"/>
        </w:rPr>
        <w:t>d)</w:t>
      </w:r>
      <w:r w:rsidRPr="00380B40">
        <w:rPr>
          <w:lang w:val="en-GB"/>
        </w:rPr>
        <w:tab/>
        <w:t>During the process of development of the required deliverable, the lead Sector shall consult with the other Sectors if it has difficulties with these essential requirements. In the event of agreement on revised essential requirements, the revised requirements shall be the basis for further work.</w:t>
      </w:r>
    </w:p>
    <w:p w14:paraId="46F27427" w14:textId="77777777" w:rsidR="007D66BD" w:rsidRPr="00380B40" w:rsidRDefault="007D66BD" w:rsidP="007D66BD">
      <w:pPr>
        <w:pStyle w:val="enumlev1"/>
        <w:rPr>
          <w:lang w:val="en-GB"/>
        </w:rPr>
      </w:pPr>
      <w:r w:rsidRPr="00380B40">
        <w:rPr>
          <w:lang w:val="en-GB"/>
        </w:rPr>
        <w:t>e)</w:t>
      </w:r>
      <w:r w:rsidRPr="00380B40">
        <w:rPr>
          <w:lang w:val="en-GB"/>
        </w:rPr>
        <w:tab/>
        <w:t>When the deliverable concerned comes to maturity, the lead Sector shall once more seek the views of the other Sectors.</w:t>
      </w:r>
    </w:p>
    <w:p w14:paraId="5E5ED57B" w14:textId="77777777" w:rsidR="007D66BD" w:rsidRPr="00380B40" w:rsidRDefault="007D66BD" w:rsidP="007D66BD">
      <w:pPr>
        <w:tabs>
          <w:tab w:val="clear" w:pos="794"/>
          <w:tab w:val="clear" w:pos="1191"/>
          <w:tab w:val="clear" w:pos="1588"/>
          <w:tab w:val="clear" w:pos="1985"/>
          <w:tab w:val="left" w:pos="1134"/>
          <w:tab w:val="left" w:pos="1871"/>
          <w:tab w:val="left" w:pos="2268"/>
        </w:tabs>
        <w:rPr>
          <w:lang w:val="en-GB"/>
        </w:rPr>
      </w:pPr>
      <w:r w:rsidRPr="00380B40">
        <w:rPr>
          <w:lang w:val="en-GB"/>
        </w:rPr>
        <w:t>In the determination of the work responsibility, it may be appropriate to progress the work by drawing jointly on the skills of the Sectors involved.</w:t>
      </w:r>
    </w:p>
    <w:p w14:paraId="7730BD4D" w14:textId="77777777" w:rsidR="00135E8B" w:rsidRPr="00380B40" w:rsidRDefault="00135E8B" w:rsidP="007D66BD">
      <w:pPr>
        <w:tabs>
          <w:tab w:val="clear" w:pos="794"/>
          <w:tab w:val="clear" w:pos="1191"/>
          <w:tab w:val="clear" w:pos="1588"/>
          <w:tab w:val="clear" w:pos="1985"/>
          <w:tab w:val="left" w:pos="1134"/>
          <w:tab w:val="left" w:pos="1871"/>
          <w:tab w:val="left" w:pos="2268"/>
        </w:tabs>
        <w:rPr>
          <w:lang w:val="en-GB"/>
        </w:rPr>
      </w:pPr>
      <w:r w:rsidRPr="00380B40">
        <w:rPr>
          <w:lang w:val="en-GB"/>
        </w:rPr>
        <w:br w:type="page"/>
      </w:r>
    </w:p>
    <w:p w14:paraId="23DB2936" w14:textId="77777777" w:rsidR="007D66BD" w:rsidRPr="00380B40" w:rsidRDefault="007D66BD" w:rsidP="007D66BD">
      <w:pPr>
        <w:pStyle w:val="AnnexNo"/>
      </w:pPr>
      <w:bookmarkStart w:id="112" w:name="_Toc111636756"/>
      <w:r w:rsidRPr="00380B40">
        <w:t>Annex B</w:t>
      </w:r>
      <w:r w:rsidRPr="00380B40">
        <w:br/>
      </w:r>
      <w:r w:rsidRPr="00380B40">
        <w:rPr>
          <w:caps w:val="0"/>
        </w:rPr>
        <w:t xml:space="preserve">(to Resolution 18 (Rev. </w:t>
      </w:r>
      <w:r w:rsidRPr="00380B40">
        <w:rPr>
          <w:caps w:val="0"/>
          <w:szCs w:val="28"/>
        </w:rPr>
        <w:t>Geneva, 2022</w:t>
      </w:r>
      <w:r w:rsidRPr="00380B40">
        <w:rPr>
          <w:caps w:val="0"/>
        </w:rPr>
        <w:t>))</w:t>
      </w:r>
      <w:bookmarkEnd w:id="112"/>
    </w:p>
    <w:p w14:paraId="29C8C85F" w14:textId="77777777" w:rsidR="007D66BD" w:rsidRPr="00380B40" w:rsidRDefault="007D66BD" w:rsidP="00BD2768">
      <w:pPr>
        <w:pStyle w:val="Annextitle"/>
      </w:pPr>
      <w:r w:rsidRPr="00380B40">
        <w:t>Coordination of radiocommunication, standardization and development activities through inter-Sector coordination groups</w:t>
      </w:r>
    </w:p>
    <w:p w14:paraId="16BBB07E" w14:textId="77777777" w:rsidR="007D66BD" w:rsidRPr="00380B40" w:rsidRDefault="007D66BD" w:rsidP="007D66BD">
      <w:pPr>
        <w:pStyle w:val="Normalaftertitle0"/>
      </w:pPr>
      <w:r w:rsidRPr="00380B40">
        <w:t xml:space="preserve">With respect to </w:t>
      </w:r>
      <w:r w:rsidRPr="00380B40">
        <w:rPr>
          <w:i/>
          <w:iCs/>
        </w:rPr>
        <w:t>resolves</w:t>
      </w:r>
      <w:r w:rsidRPr="00380B40">
        <w:t> 2</w:t>
      </w:r>
      <w:r w:rsidRPr="00380B40">
        <w:rPr>
          <w:i/>
        </w:rPr>
        <w:t> </w:t>
      </w:r>
      <w:r w:rsidRPr="00380B40">
        <w:rPr>
          <w:iCs/>
        </w:rPr>
        <w:t>ii),</w:t>
      </w:r>
      <w:r w:rsidRPr="00380B40">
        <w:t xml:space="preserve"> the following procedure shall be applied:</w:t>
      </w:r>
    </w:p>
    <w:p w14:paraId="396E8C4B" w14:textId="77777777" w:rsidR="007D66BD" w:rsidRPr="00380B40" w:rsidRDefault="007D66BD" w:rsidP="007D66BD">
      <w:pPr>
        <w:pStyle w:val="enumlev1"/>
        <w:rPr>
          <w:lang w:val="en-GB"/>
        </w:rPr>
      </w:pPr>
      <w:r w:rsidRPr="00380B40">
        <w:rPr>
          <w:lang w:val="en-GB"/>
        </w:rPr>
        <w:t>a)</w:t>
      </w:r>
      <w:r w:rsidRPr="00380B40">
        <w:rPr>
          <w:lang w:val="en-GB"/>
        </w:rPr>
        <w:tab/>
        <w:t xml:space="preserve">The joint meeting of the advisory groups referred to in </w:t>
      </w:r>
      <w:r w:rsidRPr="00380B40">
        <w:rPr>
          <w:i/>
          <w:iCs/>
          <w:lang w:val="en-GB"/>
        </w:rPr>
        <w:t>resolves</w:t>
      </w:r>
      <w:r w:rsidRPr="00380B40">
        <w:rPr>
          <w:lang w:val="en-GB"/>
        </w:rPr>
        <w:t> 1 may, in exceptional cases, establish an inter-Sector coordination group (ICG) to coordinate the work of the Sectors involved and to assist the advisory groups in coordinating the related activity of their respective study groups.</w:t>
      </w:r>
    </w:p>
    <w:p w14:paraId="6108EDC3" w14:textId="77777777" w:rsidR="007D66BD" w:rsidRPr="00380B40" w:rsidRDefault="007D66BD" w:rsidP="007D66BD">
      <w:pPr>
        <w:pStyle w:val="enumlev1"/>
        <w:rPr>
          <w:lang w:val="en-GB"/>
        </w:rPr>
      </w:pPr>
      <w:r w:rsidRPr="00380B40">
        <w:rPr>
          <w:lang w:val="en-GB"/>
        </w:rPr>
        <w:t>b)</w:t>
      </w:r>
      <w:r w:rsidRPr="00380B40">
        <w:rPr>
          <w:lang w:val="en-GB"/>
        </w:rPr>
        <w:tab/>
        <w:t>The joint meeting shall, at the same time, nominate the Sector which will lead the work.</w:t>
      </w:r>
    </w:p>
    <w:p w14:paraId="2E964DD9" w14:textId="77777777" w:rsidR="007D66BD" w:rsidRPr="00380B40" w:rsidRDefault="007D66BD" w:rsidP="007D66BD">
      <w:pPr>
        <w:pStyle w:val="enumlev1"/>
        <w:rPr>
          <w:lang w:val="en-GB"/>
        </w:rPr>
      </w:pPr>
      <w:r w:rsidRPr="00380B40">
        <w:rPr>
          <w:lang w:val="en-GB"/>
        </w:rPr>
        <w:t>c)</w:t>
      </w:r>
      <w:r w:rsidRPr="00380B40">
        <w:rPr>
          <w:lang w:val="en-GB"/>
        </w:rPr>
        <w:tab/>
        <w:t>The mandate of each ICG shall be clearly defined by the joint meeting, based on the particular circumstances and issues at the time the group is established; the joint meeting shall also establish a target date for termination of the ICG.</w:t>
      </w:r>
    </w:p>
    <w:p w14:paraId="573548E9" w14:textId="77777777" w:rsidR="007D66BD" w:rsidRPr="00380B40" w:rsidRDefault="007D66BD" w:rsidP="007D66BD">
      <w:pPr>
        <w:pStyle w:val="enumlev1"/>
        <w:rPr>
          <w:lang w:val="en-GB"/>
        </w:rPr>
      </w:pPr>
      <w:r w:rsidRPr="00380B40">
        <w:rPr>
          <w:lang w:val="en-GB"/>
        </w:rPr>
        <w:t>d)</w:t>
      </w:r>
      <w:r w:rsidRPr="00380B40">
        <w:rPr>
          <w:lang w:val="en-GB"/>
        </w:rPr>
        <w:tab/>
        <w:t>The ICG shall designate a chairman and a vice</w:t>
      </w:r>
      <w:r w:rsidRPr="00380B40">
        <w:rPr>
          <w:lang w:val="en-GB"/>
        </w:rPr>
        <w:noBreakHyphen/>
        <w:t>chairman, one representing each Sector.</w:t>
      </w:r>
    </w:p>
    <w:p w14:paraId="323AECA2" w14:textId="77777777" w:rsidR="007D66BD" w:rsidRPr="00380B40" w:rsidRDefault="007D66BD" w:rsidP="007D66BD">
      <w:pPr>
        <w:pStyle w:val="enumlev1"/>
        <w:rPr>
          <w:lang w:val="en-GB"/>
        </w:rPr>
      </w:pPr>
      <w:r w:rsidRPr="00380B40">
        <w:rPr>
          <w:lang w:val="en-GB"/>
        </w:rPr>
        <w:t>e)</w:t>
      </w:r>
      <w:r w:rsidRPr="00380B40">
        <w:rPr>
          <w:lang w:val="en-GB"/>
        </w:rPr>
        <w:tab/>
        <w:t>The ICG shall be open to members of the participating Sectors in accordance with Nos. 86-88, 110</w:t>
      </w:r>
      <w:r w:rsidRPr="00380B40">
        <w:rPr>
          <w:lang w:val="en-GB"/>
        </w:rPr>
        <w:noBreakHyphen/>
        <w:t>112 and 134-136 of the Constitution.</w:t>
      </w:r>
    </w:p>
    <w:p w14:paraId="1994E276" w14:textId="77777777" w:rsidR="007D66BD" w:rsidRPr="00380B40" w:rsidRDefault="007D66BD" w:rsidP="007D66BD">
      <w:pPr>
        <w:pStyle w:val="enumlev1"/>
        <w:rPr>
          <w:lang w:val="en-GB"/>
        </w:rPr>
      </w:pPr>
      <w:r w:rsidRPr="00380B40">
        <w:rPr>
          <w:lang w:val="en-GB"/>
        </w:rPr>
        <w:t>f)</w:t>
      </w:r>
      <w:r w:rsidRPr="00380B40">
        <w:rPr>
          <w:lang w:val="en-GB"/>
        </w:rPr>
        <w:tab/>
        <w:t>The ICG shall not develop Recommendations.</w:t>
      </w:r>
    </w:p>
    <w:p w14:paraId="7FC09A03" w14:textId="77777777" w:rsidR="007D66BD" w:rsidRPr="00380B40" w:rsidRDefault="007D66BD" w:rsidP="007D66BD">
      <w:pPr>
        <w:pStyle w:val="enumlev1"/>
        <w:rPr>
          <w:lang w:val="en-GB"/>
        </w:rPr>
      </w:pPr>
      <w:r w:rsidRPr="00380B40">
        <w:rPr>
          <w:lang w:val="en-GB"/>
        </w:rPr>
        <w:t>g)</w:t>
      </w:r>
      <w:r w:rsidRPr="00380B40">
        <w:rPr>
          <w:lang w:val="en-GB"/>
        </w:rPr>
        <w:tab/>
        <w:t>The ICG shall prepare reports on its coordinating activities to be presented to each Sector's advisory group; these reports shall be submitted by the Directors to the participating Sectors.</w:t>
      </w:r>
    </w:p>
    <w:p w14:paraId="1AE15A6E" w14:textId="77777777" w:rsidR="007D66BD" w:rsidRPr="00380B40" w:rsidRDefault="007D66BD" w:rsidP="007D66BD">
      <w:pPr>
        <w:pStyle w:val="enumlev1"/>
        <w:rPr>
          <w:lang w:val="en-GB"/>
        </w:rPr>
      </w:pPr>
      <w:r w:rsidRPr="00380B40">
        <w:rPr>
          <w:lang w:val="en-GB"/>
        </w:rPr>
        <w:t>h)</w:t>
      </w:r>
      <w:r w:rsidRPr="00380B40">
        <w:rPr>
          <w:lang w:val="en-GB"/>
        </w:rPr>
        <w:tab/>
        <w:t>An ICG may also be established by the World Telecommunication Standardization Assembly or by RA or by WTDC following a recommendation by the advisory group(s) of the other Sector(s).</w:t>
      </w:r>
    </w:p>
    <w:p w14:paraId="5256F2D2" w14:textId="77777777" w:rsidR="007D66BD" w:rsidRPr="00380B40" w:rsidRDefault="007D66BD" w:rsidP="007D66BD">
      <w:pPr>
        <w:pStyle w:val="enumlev1"/>
        <w:rPr>
          <w:lang w:val="en-GB"/>
        </w:rPr>
      </w:pPr>
      <w:r w:rsidRPr="00380B40">
        <w:rPr>
          <w:lang w:val="en-GB"/>
        </w:rPr>
        <w:t>i)</w:t>
      </w:r>
      <w:r w:rsidRPr="00380B40">
        <w:rPr>
          <w:lang w:val="en-GB"/>
        </w:rPr>
        <w:tab/>
        <w:t>The cost of an ICG shall be supported by the participating Sectors on an equal basis and each Director shall include budgetary provisions for such meetings in the budget of his or her Sector.</w:t>
      </w:r>
    </w:p>
    <w:p w14:paraId="6CAE395A" w14:textId="77777777" w:rsidR="00135E8B" w:rsidRPr="00380B40" w:rsidRDefault="00135E8B" w:rsidP="007D66BD">
      <w:pPr>
        <w:pStyle w:val="enumlev1"/>
        <w:rPr>
          <w:caps/>
          <w:sz w:val="28"/>
          <w:lang w:val="en-GB"/>
        </w:rPr>
      </w:pPr>
    </w:p>
    <w:p w14:paraId="72DB3471" w14:textId="77777777" w:rsidR="007D66BD" w:rsidRPr="00380B40" w:rsidRDefault="007D66BD" w:rsidP="007D66BD">
      <w:pPr>
        <w:pStyle w:val="AnnexNo"/>
        <w:rPr>
          <w:caps w:val="0"/>
        </w:rPr>
      </w:pPr>
      <w:bookmarkStart w:id="113" w:name="_Toc111636757"/>
      <w:r w:rsidRPr="00380B40">
        <w:t>Annex C</w:t>
      </w:r>
      <w:r w:rsidRPr="00380B40">
        <w:br/>
      </w:r>
      <w:r w:rsidRPr="00380B40">
        <w:rPr>
          <w:caps w:val="0"/>
        </w:rPr>
        <w:t>(to Resolution 18 (Rev. Geneva, 2022))</w:t>
      </w:r>
      <w:bookmarkEnd w:id="113"/>
    </w:p>
    <w:p w14:paraId="5E77D1E7" w14:textId="77777777" w:rsidR="007D66BD" w:rsidRPr="00380B40" w:rsidRDefault="007D66BD" w:rsidP="00BD2768">
      <w:pPr>
        <w:pStyle w:val="Annextitle"/>
      </w:pPr>
      <w:r w:rsidRPr="00380B40">
        <w:t>Coordination of radiocommunication, telecommunication standardization and development activities through inter-Sector rapporteur groups</w:t>
      </w:r>
    </w:p>
    <w:p w14:paraId="35BC78B0" w14:textId="77777777" w:rsidR="007D66BD" w:rsidRPr="00380B40" w:rsidRDefault="007D66BD" w:rsidP="007D66BD">
      <w:pPr>
        <w:pStyle w:val="Normalaftertitle0"/>
        <w:rPr>
          <w:lang w:eastAsia="it-IT"/>
        </w:rPr>
      </w:pPr>
      <w:r w:rsidRPr="00380B40">
        <w:rPr>
          <w:lang w:eastAsia="it-IT"/>
        </w:rPr>
        <w:t xml:space="preserve">With respect to </w:t>
      </w:r>
      <w:r w:rsidRPr="00380B40">
        <w:rPr>
          <w:i/>
          <w:lang w:eastAsia="it-IT"/>
        </w:rPr>
        <w:t>resolves </w:t>
      </w:r>
      <w:r w:rsidRPr="00380B40">
        <w:rPr>
          <w:lang w:eastAsia="it-IT"/>
        </w:rPr>
        <w:t>2 </w:t>
      </w:r>
      <w:r w:rsidRPr="00380B40">
        <w:rPr>
          <w:iCs/>
          <w:lang w:eastAsia="it-IT"/>
        </w:rPr>
        <w:t>ii),</w:t>
      </w:r>
      <w:r w:rsidRPr="00380B40">
        <w:rPr>
          <w:lang w:eastAsia="it-IT"/>
        </w:rPr>
        <w:t xml:space="preserve"> the following procedure shall be applied when work on a specific subject could be best performed by bringing together technology experts from the study groups or working parties concerned of either two or three Sectors to cooperate on a peer-to-peer basis in a technical group:</w:t>
      </w:r>
    </w:p>
    <w:p w14:paraId="1A6ED5C0" w14:textId="77777777" w:rsidR="007D66BD" w:rsidRPr="00380B40" w:rsidRDefault="007D66BD" w:rsidP="007D66BD">
      <w:pPr>
        <w:pStyle w:val="enumlev1"/>
        <w:rPr>
          <w:lang w:val="en-GB" w:eastAsia="it-IT"/>
        </w:rPr>
      </w:pPr>
      <w:r w:rsidRPr="00380B40">
        <w:rPr>
          <w:lang w:val="en-GB" w:eastAsia="it-IT"/>
        </w:rPr>
        <w:t>a)</w:t>
      </w:r>
      <w:r w:rsidRPr="00380B40">
        <w:rPr>
          <w:lang w:val="en-GB" w:eastAsia="it-IT"/>
        </w:rPr>
        <w:tab/>
        <w:t xml:space="preserve">The study groups or working parties concerned in each Sector may, in special cases, agree by mutual consultation to establish an inter-Sector rapporteur group (IRG) to coordinate their work on a specific technical subject, informing RAG, TSAG and TDAG of this action through a liaison statement. </w:t>
      </w:r>
    </w:p>
    <w:p w14:paraId="290AEA1D" w14:textId="77777777" w:rsidR="009A7354" w:rsidRPr="00380B40" w:rsidRDefault="009A7354" w:rsidP="007D66BD">
      <w:pPr>
        <w:pStyle w:val="enumlev1"/>
        <w:rPr>
          <w:lang w:val="en-GB" w:eastAsia="it-IT"/>
        </w:rPr>
      </w:pPr>
      <w:r w:rsidRPr="00380B40">
        <w:rPr>
          <w:lang w:val="en-GB" w:eastAsia="it-IT"/>
        </w:rPr>
        <w:br w:type="page"/>
      </w:r>
    </w:p>
    <w:p w14:paraId="22C41954" w14:textId="77777777" w:rsidR="007D66BD" w:rsidRPr="00380B40" w:rsidRDefault="007D66BD" w:rsidP="007D66BD">
      <w:pPr>
        <w:pStyle w:val="enumlev1"/>
        <w:rPr>
          <w:lang w:val="en-GB" w:eastAsia="it-IT"/>
        </w:rPr>
      </w:pPr>
      <w:r w:rsidRPr="00380B40">
        <w:rPr>
          <w:lang w:val="en-GB" w:eastAsia="it-IT"/>
        </w:rPr>
        <w:t>b)</w:t>
      </w:r>
      <w:r w:rsidRPr="00380B40">
        <w:rPr>
          <w:lang w:val="en-GB" w:eastAsia="it-IT"/>
        </w:rPr>
        <w:tab/>
        <w:t>The study groups or working parties concerned in each Sector shall, at the same time, agree on clearly defined terms of reference for the IRG, and establish a target date for completion of the work and termination of the IRG.</w:t>
      </w:r>
    </w:p>
    <w:p w14:paraId="580C673B" w14:textId="77777777" w:rsidR="007D66BD" w:rsidRPr="00380B40" w:rsidRDefault="007D66BD" w:rsidP="007D66BD">
      <w:pPr>
        <w:pStyle w:val="enumlev1"/>
        <w:rPr>
          <w:lang w:val="en-GB" w:eastAsia="it-IT"/>
        </w:rPr>
      </w:pPr>
      <w:r w:rsidRPr="00380B40">
        <w:rPr>
          <w:lang w:val="en-GB" w:eastAsia="it-IT"/>
        </w:rPr>
        <w:t>c)</w:t>
      </w:r>
      <w:r w:rsidRPr="00380B40">
        <w:rPr>
          <w:lang w:val="en-GB" w:eastAsia="it-IT"/>
        </w:rPr>
        <w:tab/>
        <w:t>The study groups or working parties concerned in each Sector shall also designate the chairman (or co-chairmen) of the IRG, taking into account the requested specific expertise and ensuring equitable representation of each Sector.</w:t>
      </w:r>
    </w:p>
    <w:p w14:paraId="6EE139B8" w14:textId="77777777" w:rsidR="007D66BD" w:rsidRPr="00380B40" w:rsidRDefault="007D66BD" w:rsidP="007D66BD">
      <w:pPr>
        <w:pStyle w:val="enumlev1"/>
        <w:rPr>
          <w:lang w:val="en-GB" w:eastAsia="it-IT"/>
        </w:rPr>
      </w:pPr>
      <w:r w:rsidRPr="00380B40">
        <w:rPr>
          <w:lang w:val="en-GB" w:eastAsia="it-IT"/>
        </w:rPr>
        <w:t>d)</w:t>
      </w:r>
      <w:r w:rsidRPr="00380B40">
        <w:rPr>
          <w:lang w:val="en-GB" w:eastAsia="it-IT"/>
        </w:rPr>
        <w:tab/>
        <w:t>Being a rapporteur group, the IRG shall be regulated by the provisions applicable to rapporteur groups, given in the most recent versions of Resolution ITU</w:t>
      </w:r>
      <w:r w:rsidRPr="00380B40">
        <w:rPr>
          <w:lang w:val="en-GB" w:eastAsia="it-IT"/>
        </w:rPr>
        <w:noBreakHyphen/>
        <w:t>R 1, Recommendation ITU</w:t>
      </w:r>
      <w:r w:rsidRPr="00380B40">
        <w:rPr>
          <w:lang w:val="en-GB" w:eastAsia="it-IT"/>
        </w:rPr>
        <w:noBreakHyphen/>
        <w:t>T A.1 and WTDC Resolution 1; participation is limited to members of the Sectors involved.</w:t>
      </w:r>
    </w:p>
    <w:p w14:paraId="51702847" w14:textId="77777777" w:rsidR="007D66BD" w:rsidRPr="00380B40" w:rsidRDefault="007D66BD" w:rsidP="007D66BD">
      <w:pPr>
        <w:pStyle w:val="enumlev1"/>
        <w:rPr>
          <w:lang w:val="en-GB" w:eastAsia="it-IT"/>
        </w:rPr>
      </w:pPr>
      <w:r w:rsidRPr="00380B40">
        <w:rPr>
          <w:lang w:val="en-GB" w:eastAsia="it-IT"/>
        </w:rPr>
        <w:t>e)</w:t>
      </w:r>
      <w:r w:rsidRPr="00380B40">
        <w:rPr>
          <w:lang w:val="en-GB" w:eastAsia="it-IT"/>
        </w:rPr>
        <w:tab/>
        <w:t>In fulfilling its mandate, an IRG may develop draft new Recommendations or draft revisions to Recommendations, as well as draft technical reports or draft revisions to technical reports, to be submitted to its parent study groups or working parties for further processing as appropriate.</w:t>
      </w:r>
    </w:p>
    <w:p w14:paraId="56C5FCF0" w14:textId="77777777" w:rsidR="007D66BD" w:rsidRPr="00380B40" w:rsidRDefault="007D66BD" w:rsidP="007D66BD">
      <w:pPr>
        <w:pStyle w:val="enumlev1"/>
        <w:rPr>
          <w:lang w:val="en-GB" w:eastAsia="it-IT"/>
        </w:rPr>
      </w:pPr>
      <w:r w:rsidRPr="00380B40">
        <w:rPr>
          <w:lang w:val="en-GB" w:eastAsia="it-IT"/>
        </w:rPr>
        <w:t>f)</w:t>
      </w:r>
      <w:r w:rsidRPr="00380B40">
        <w:rPr>
          <w:lang w:val="en-GB" w:eastAsia="it-IT"/>
        </w:rPr>
        <w:tab/>
        <w:t>The results of the IRG's work should represent the agreed consensus of the IRG or reflect the diversity of views of the participants in the IRG.</w:t>
      </w:r>
    </w:p>
    <w:p w14:paraId="04857887" w14:textId="77777777" w:rsidR="007D66BD" w:rsidRPr="00380B40" w:rsidRDefault="007D66BD" w:rsidP="007D66BD">
      <w:pPr>
        <w:pStyle w:val="enumlev1"/>
        <w:rPr>
          <w:lang w:val="en-GB" w:eastAsia="it-IT"/>
        </w:rPr>
      </w:pPr>
      <w:r w:rsidRPr="00380B40">
        <w:rPr>
          <w:lang w:val="en-GB" w:eastAsia="it-IT"/>
        </w:rPr>
        <w:t>g)</w:t>
      </w:r>
      <w:r w:rsidRPr="00380B40">
        <w:rPr>
          <w:lang w:val="en-GB" w:eastAsia="it-IT"/>
        </w:rPr>
        <w:tab/>
        <w:t>An IRG shall also prepare reports on its activities, to be submitted to each meeting of its parent study groups or working parties.</w:t>
      </w:r>
    </w:p>
    <w:p w14:paraId="0F6D97C1" w14:textId="77777777" w:rsidR="007D66BD" w:rsidRPr="00380B40" w:rsidRDefault="007D66BD" w:rsidP="007D66BD">
      <w:pPr>
        <w:pStyle w:val="enumlev1"/>
        <w:rPr>
          <w:lang w:val="en-GB" w:eastAsia="it-IT"/>
        </w:rPr>
      </w:pPr>
      <w:r w:rsidRPr="00380B40">
        <w:rPr>
          <w:lang w:val="en-GB" w:eastAsia="it-IT"/>
        </w:rPr>
        <w:t>h)</w:t>
      </w:r>
      <w:r w:rsidRPr="00380B40">
        <w:rPr>
          <w:lang w:val="en-GB" w:eastAsia="it-IT"/>
        </w:rPr>
        <w:tab/>
        <w:t>An IRG shall normally work by correspondence and/or by teleconference; however, it may occasionally take the opportunity of a meeting of its parent study groups or working parties to hold short face-to-face concurrent meetings, if this is feasible without support by the Sectors.</w:t>
      </w:r>
    </w:p>
    <w:p w14:paraId="7A63903D" w14:textId="77777777" w:rsidR="00135E8B" w:rsidRPr="00380B40" w:rsidRDefault="00135E8B" w:rsidP="007D66BD">
      <w:pPr>
        <w:pStyle w:val="enumlev1"/>
        <w:rPr>
          <w:lang w:val="en-GB" w:eastAsia="it-IT"/>
        </w:rPr>
      </w:pPr>
    </w:p>
    <w:p w14:paraId="58A17F27" w14:textId="77777777" w:rsidR="00135E8B" w:rsidRPr="00380B40" w:rsidRDefault="00135E8B" w:rsidP="007D66BD">
      <w:pPr>
        <w:pStyle w:val="enumlev1"/>
        <w:rPr>
          <w:lang w:val="en-GB" w:eastAsia="it-IT"/>
        </w:rPr>
      </w:pPr>
    </w:p>
    <w:p w14:paraId="4697D2E9" w14:textId="77777777" w:rsidR="00135E8B" w:rsidRPr="00380B40" w:rsidRDefault="00135E8B" w:rsidP="007D66BD">
      <w:pPr>
        <w:pStyle w:val="enumlev1"/>
        <w:rPr>
          <w:lang w:val="en-GB" w:eastAsia="it-IT"/>
        </w:rPr>
      </w:pPr>
    </w:p>
    <w:p w14:paraId="49830305" w14:textId="77777777" w:rsidR="00135E8B" w:rsidRPr="00380B40" w:rsidRDefault="00135E8B" w:rsidP="007D66BD">
      <w:pPr>
        <w:pStyle w:val="enumlev1"/>
        <w:rPr>
          <w:lang w:val="en-GB" w:eastAsia="it-IT"/>
        </w:rPr>
      </w:pPr>
    </w:p>
    <w:p w14:paraId="4217B081" w14:textId="77777777" w:rsidR="00135E8B" w:rsidRPr="00380B40" w:rsidRDefault="00135E8B" w:rsidP="007D66BD">
      <w:pPr>
        <w:pStyle w:val="enumlev1"/>
        <w:rPr>
          <w:lang w:val="en-GB" w:eastAsia="it-IT"/>
        </w:rPr>
      </w:pPr>
    </w:p>
    <w:p w14:paraId="21DB2EF7" w14:textId="77777777" w:rsidR="00135E8B" w:rsidRPr="00380B40" w:rsidRDefault="00135E8B" w:rsidP="007D66BD">
      <w:pPr>
        <w:pStyle w:val="enumlev1"/>
        <w:rPr>
          <w:lang w:val="en-GB" w:eastAsia="it-IT"/>
        </w:rPr>
      </w:pPr>
    </w:p>
    <w:p w14:paraId="70A574FF" w14:textId="77777777" w:rsidR="00135E8B" w:rsidRPr="00380B40" w:rsidRDefault="00135E8B" w:rsidP="007D66BD">
      <w:pPr>
        <w:pStyle w:val="enumlev1"/>
        <w:rPr>
          <w:lang w:val="en-GB" w:eastAsia="it-IT"/>
        </w:rPr>
      </w:pPr>
    </w:p>
    <w:p w14:paraId="16864E7B" w14:textId="77777777" w:rsidR="00135E8B" w:rsidRPr="00380B40" w:rsidRDefault="00135E8B" w:rsidP="007D66BD">
      <w:pPr>
        <w:pStyle w:val="enumlev1"/>
        <w:rPr>
          <w:lang w:val="en-GB" w:eastAsia="it-IT"/>
        </w:rPr>
      </w:pPr>
    </w:p>
    <w:p w14:paraId="397D7144" w14:textId="77777777" w:rsidR="00E64A6B" w:rsidRPr="00380B40" w:rsidRDefault="00E64A6B" w:rsidP="00E64A6B">
      <w:pPr>
        <w:rPr>
          <w:lang w:val="en-GB"/>
        </w:rPr>
      </w:pPr>
    </w:p>
    <w:p w14:paraId="1C6F1A78" w14:textId="77777777" w:rsidR="00E64A6B" w:rsidRPr="00380B40" w:rsidRDefault="00E64A6B" w:rsidP="00E64A6B">
      <w:pPr>
        <w:rPr>
          <w:lang w:val="en-GB"/>
        </w:rPr>
        <w:sectPr w:rsidR="00E64A6B" w:rsidRPr="00380B40" w:rsidSect="0002430C">
          <w:headerReference w:type="even" r:id="rId53"/>
          <w:headerReference w:type="default" r:id="rId54"/>
          <w:footerReference w:type="even" r:id="rId55"/>
          <w:footerReference w:type="default" r:id="rId56"/>
          <w:headerReference w:type="first" r:id="rId57"/>
          <w:footerReference w:type="first" r:id="rId58"/>
          <w:footnotePr>
            <w:numRestart w:val="eachSect"/>
          </w:footnotePr>
          <w:pgSz w:w="11907" w:h="16834" w:code="9"/>
          <w:pgMar w:top="1134" w:right="1134" w:bottom="1134" w:left="1134" w:header="567" w:footer="567" w:gutter="0"/>
          <w:paperSrc w:first="15" w:other="15"/>
          <w:cols w:space="720"/>
          <w:vAlign w:val="both"/>
          <w:docGrid w:linePitch="299"/>
        </w:sectPr>
      </w:pPr>
    </w:p>
    <w:p w14:paraId="6D571C1F" w14:textId="77777777" w:rsidR="00ED32D6" w:rsidRPr="00380B40" w:rsidRDefault="00ED32D6" w:rsidP="007D66BD">
      <w:pPr>
        <w:pStyle w:val="ResNo"/>
        <w:rPr>
          <w:lang w:val="en-GB"/>
        </w:rPr>
      </w:pPr>
      <w:bookmarkStart w:id="114" w:name="_Toc104459703"/>
      <w:bookmarkStart w:id="115" w:name="_Toc104476511"/>
      <w:bookmarkStart w:id="116" w:name="_Toc111636758"/>
      <w:bookmarkStart w:id="117" w:name="_Toc111638404"/>
      <w:r w:rsidRPr="00380B40">
        <w:rPr>
          <w:lang w:val="en-GB"/>
        </w:rPr>
        <w:t xml:space="preserve">RESOLUTION </w:t>
      </w:r>
      <w:r w:rsidRPr="00380B40">
        <w:rPr>
          <w:rStyle w:val="href"/>
          <w:lang w:val="en-GB"/>
        </w:rPr>
        <w:t xml:space="preserve">20 </w:t>
      </w:r>
      <w:r w:rsidR="007D66BD" w:rsidRPr="00380B40">
        <w:rPr>
          <w:lang w:val="en-GB"/>
        </w:rPr>
        <w:t>(R</w:t>
      </w:r>
      <w:r w:rsidR="00135E8B" w:rsidRPr="00380B40">
        <w:rPr>
          <w:caps w:val="0"/>
          <w:lang w:val="en-GB"/>
        </w:rPr>
        <w:t>ev</w:t>
      </w:r>
      <w:r w:rsidR="007D66BD" w:rsidRPr="00380B40">
        <w:rPr>
          <w:lang w:val="en-GB"/>
        </w:rPr>
        <w:t>. G</w:t>
      </w:r>
      <w:r w:rsidR="00135E8B" w:rsidRPr="00380B40">
        <w:rPr>
          <w:caps w:val="0"/>
          <w:lang w:val="en-GB"/>
        </w:rPr>
        <w:t>eneva</w:t>
      </w:r>
      <w:r w:rsidR="007D66BD" w:rsidRPr="00380B40">
        <w:rPr>
          <w:lang w:val="en-GB"/>
        </w:rPr>
        <w:t>, 2022)</w:t>
      </w:r>
      <w:bookmarkEnd w:id="114"/>
      <w:bookmarkEnd w:id="115"/>
      <w:bookmarkEnd w:id="116"/>
      <w:bookmarkEnd w:id="117"/>
    </w:p>
    <w:p w14:paraId="41DEC9BF" w14:textId="77777777" w:rsidR="007D66BD" w:rsidRPr="00380B40" w:rsidRDefault="007D66BD" w:rsidP="007D66BD">
      <w:pPr>
        <w:pStyle w:val="Restitle"/>
        <w:rPr>
          <w:lang w:val="en-GB"/>
        </w:rPr>
      </w:pPr>
      <w:bookmarkStart w:id="118" w:name="_Toc104459704"/>
      <w:bookmarkStart w:id="119" w:name="_Toc104476512"/>
      <w:bookmarkStart w:id="120" w:name="_Toc111638405"/>
      <w:r w:rsidRPr="00380B40">
        <w:rPr>
          <w:lang w:val="en-GB"/>
        </w:rPr>
        <w:t>Procedures for allocation and management of international telecommunication numbering, naming, addressing and identification resources</w:t>
      </w:r>
      <w:bookmarkEnd w:id="118"/>
      <w:bookmarkEnd w:id="119"/>
      <w:bookmarkEnd w:id="120"/>
    </w:p>
    <w:p w14:paraId="1AEE813A" w14:textId="77777777" w:rsidR="007D66BD" w:rsidRPr="00380B40" w:rsidRDefault="007D66BD" w:rsidP="007D66BD">
      <w:pPr>
        <w:pStyle w:val="Resref"/>
        <w:rPr>
          <w:lang w:val="en-GB"/>
        </w:rPr>
      </w:pPr>
      <w:r w:rsidRPr="00380B40">
        <w:rPr>
          <w:lang w:val="en-GB"/>
        </w:rPr>
        <w:t xml:space="preserve">(Helsinki, 1993; Geneva, 1996; Montreal, 2000; Florianópolis, 2004; </w:t>
      </w:r>
      <w:r w:rsidRPr="00380B40">
        <w:rPr>
          <w:lang w:val="en-GB"/>
        </w:rPr>
        <w:br/>
        <w:t>Johannesburg, 2008; Dubai, 2012; Hammamet, 2016; Geneva, 2022)</w:t>
      </w:r>
    </w:p>
    <w:p w14:paraId="4AE04392" w14:textId="77777777" w:rsidR="007D66BD" w:rsidRPr="00380B40" w:rsidRDefault="007D66BD" w:rsidP="007D66BD">
      <w:pPr>
        <w:pStyle w:val="Normalaftertitle0"/>
      </w:pPr>
      <w:r w:rsidRPr="00380B40">
        <w:t>The World Telecommunication Standardization Assembly (Geneva, 2022),</w:t>
      </w:r>
    </w:p>
    <w:p w14:paraId="188D060B" w14:textId="77777777" w:rsidR="007D66BD" w:rsidRPr="00380B40" w:rsidRDefault="007D66BD" w:rsidP="007D66BD">
      <w:pPr>
        <w:pStyle w:val="Call"/>
        <w:rPr>
          <w:lang w:val="en-GB"/>
        </w:rPr>
      </w:pPr>
      <w:r w:rsidRPr="00380B40">
        <w:rPr>
          <w:lang w:val="en-GB"/>
        </w:rPr>
        <w:t>recognizing</w:t>
      </w:r>
    </w:p>
    <w:p w14:paraId="752D8AD7" w14:textId="77777777" w:rsidR="007D66BD" w:rsidRPr="00380B40" w:rsidRDefault="007D66BD" w:rsidP="007D66BD">
      <w:pPr>
        <w:rPr>
          <w:lang w:val="en-GB"/>
        </w:rPr>
      </w:pPr>
      <w:r w:rsidRPr="00380B40">
        <w:rPr>
          <w:i/>
          <w:iCs/>
          <w:lang w:val="en-GB"/>
        </w:rPr>
        <w:t>a)</w:t>
      </w:r>
      <w:r w:rsidRPr="00380B40">
        <w:rPr>
          <w:lang w:val="en-GB"/>
        </w:rPr>
        <w:tab/>
        <w:t>the relevant rules of the International Telecommunication Regulations (Dubai, 2012) regarding the integrity and use of numbering resources and calling line identification;</w:t>
      </w:r>
    </w:p>
    <w:p w14:paraId="6F3458CF" w14:textId="77777777" w:rsidR="007D66BD" w:rsidRPr="00380B40" w:rsidRDefault="007D66BD" w:rsidP="007D66BD">
      <w:pPr>
        <w:rPr>
          <w:lang w:val="en-GB"/>
        </w:rPr>
      </w:pPr>
      <w:r w:rsidRPr="00380B40">
        <w:rPr>
          <w:i/>
          <w:iCs/>
          <w:lang w:val="en-GB"/>
        </w:rPr>
        <w:t>b)</w:t>
      </w:r>
      <w:r w:rsidRPr="00380B40">
        <w:rPr>
          <w:lang w:val="en-GB"/>
        </w:rPr>
        <w:tab/>
        <w:t>the instructions in the resolutions adopted by plenipotentiary conferences relevant for the stability of numbering and identification plans, especially the ITU</w:t>
      </w:r>
      <w:r w:rsidRPr="00380B40">
        <w:rPr>
          <w:lang w:val="en-GB"/>
        </w:rPr>
        <w:noBreakHyphen/>
        <w:t>T E.164 and ITU</w:t>
      </w:r>
      <w:r w:rsidRPr="00380B40">
        <w:rPr>
          <w:lang w:val="en-GB"/>
        </w:rPr>
        <w:noBreakHyphen/>
        <w:t>T E.212 plans, and in particular in Resolution 133 (Rev. Dubai, 2018) of the Plenipotentiary Conference, where it resolves to instruct the Secretary-General and the Directors of the Bureaux: "to take any necessary action to ensure the sovereignty of ITU Member States with regard to Recommendation ITU</w:t>
      </w:r>
      <w:r w:rsidRPr="00380B40">
        <w:rPr>
          <w:lang w:val="en-GB"/>
        </w:rPr>
        <w:noBreakHyphen/>
        <w:t>T E.164 numbering plans whatever the application in which they are used";</w:t>
      </w:r>
    </w:p>
    <w:p w14:paraId="463FDD08" w14:textId="77777777" w:rsidR="007D66BD" w:rsidRPr="00380B40" w:rsidRDefault="007D66BD" w:rsidP="007D66BD">
      <w:pPr>
        <w:rPr>
          <w:lang w:val="en-GB"/>
        </w:rPr>
      </w:pPr>
      <w:r w:rsidRPr="00380B40">
        <w:rPr>
          <w:i/>
          <w:iCs/>
          <w:lang w:val="en-GB"/>
        </w:rPr>
        <w:t>c)</w:t>
      </w:r>
      <w:r w:rsidRPr="00380B40">
        <w:rPr>
          <w:lang w:val="en-GB"/>
        </w:rPr>
        <w:tab/>
        <w:t>Resolution 49 (Rev. Hammamet, 2016) of the World Telecommunication Standardization Assembly, on ENUM;</w:t>
      </w:r>
    </w:p>
    <w:p w14:paraId="1B0F6209" w14:textId="77777777" w:rsidR="007D66BD" w:rsidRPr="00380B40" w:rsidRDefault="007D66BD" w:rsidP="007D66BD">
      <w:pPr>
        <w:rPr>
          <w:lang w:val="en-GB"/>
        </w:rPr>
      </w:pPr>
      <w:r w:rsidRPr="00380B40">
        <w:rPr>
          <w:i/>
          <w:iCs/>
          <w:lang w:val="en-GB"/>
        </w:rPr>
        <w:t>d)</w:t>
      </w:r>
      <w:r w:rsidRPr="00380B40">
        <w:rPr>
          <w:lang w:val="en-GB"/>
        </w:rPr>
        <w:tab/>
        <w:t>that international telecommunication numbering, naming, addressing and identification (NNAI) resources and related codes are crucial to maintain global interoperability;</w:t>
      </w:r>
    </w:p>
    <w:p w14:paraId="3830BCDA" w14:textId="77777777" w:rsidR="007D66BD" w:rsidRPr="00380B40" w:rsidRDefault="007D66BD" w:rsidP="007D66BD">
      <w:pPr>
        <w:rPr>
          <w:lang w:val="en-GB"/>
        </w:rPr>
      </w:pPr>
      <w:r w:rsidRPr="00380B40">
        <w:rPr>
          <w:i/>
          <w:iCs/>
          <w:lang w:val="en-GB"/>
        </w:rPr>
        <w:t>e)</w:t>
      </w:r>
      <w:r w:rsidRPr="00380B40">
        <w:rPr>
          <w:lang w:val="en-GB"/>
        </w:rPr>
        <w:tab/>
        <w:t>the impact of new and emerging telecommunications/information and communication technologies (ICTs) on the allocation and management of international telecommunication NNAI resources,</w:t>
      </w:r>
    </w:p>
    <w:p w14:paraId="40C9B8E8" w14:textId="77777777" w:rsidR="007D66BD" w:rsidRPr="00380B40" w:rsidRDefault="007D66BD" w:rsidP="007D66BD">
      <w:pPr>
        <w:pStyle w:val="Call"/>
        <w:rPr>
          <w:lang w:val="en-GB"/>
        </w:rPr>
      </w:pPr>
      <w:r w:rsidRPr="00380B40">
        <w:rPr>
          <w:lang w:val="en-GB"/>
        </w:rPr>
        <w:t>noting</w:t>
      </w:r>
    </w:p>
    <w:p w14:paraId="15C78196" w14:textId="77777777" w:rsidR="007D66BD" w:rsidRPr="00380B40" w:rsidRDefault="007D66BD" w:rsidP="007D66BD">
      <w:pPr>
        <w:rPr>
          <w:lang w:val="en-GB"/>
        </w:rPr>
      </w:pPr>
      <w:r w:rsidRPr="00380B40">
        <w:rPr>
          <w:i/>
          <w:iCs/>
          <w:lang w:val="en-GB"/>
        </w:rPr>
        <w:t>a)</w:t>
      </w:r>
      <w:r w:rsidRPr="00380B40">
        <w:rPr>
          <w:lang w:val="en-GB"/>
        </w:rPr>
        <w:tab/>
        <w:t>that the procedures governing the allocation and management of international telecommunication NNAI resources and related codes (e.g. new telephone country codes, telex destination codes, signalling area/network codes, data country codes, mobile country codes, identification), including ENUM, are laid down in the relevant Recommendations in the ITU</w:t>
      </w:r>
      <w:r w:rsidRPr="00380B40">
        <w:rPr>
          <w:lang w:val="en-GB"/>
        </w:rPr>
        <w:noBreakHyphen/>
        <w:t>T E-, ITU</w:t>
      </w:r>
      <w:r w:rsidRPr="00380B40">
        <w:rPr>
          <w:lang w:val="en-GB"/>
        </w:rPr>
        <w:noBreakHyphen/>
        <w:t>T F-, ITU</w:t>
      </w:r>
      <w:r w:rsidRPr="00380B40">
        <w:rPr>
          <w:lang w:val="en-GB"/>
        </w:rPr>
        <w:noBreakHyphen/>
        <w:t>T Q-, ITU</w:t>
      </w:r>
      <w:r w:rsidRPr="00380B40">
        <w:rPr>
          <w:lang w:val="en-GB"/>
        </w:rPr>
        <w:noBreakHyphen/>
        <w:t>T X- and ITU-T Y-series;</w:t>
      </w:r>
    </w:p>
    <w:p w14:paraId="21C32126" w14:textId="77777777" w:rsidR="007D66BD" w:rsidRPr="00380B40" w:rsidRDefault="007D66BD" w:rsidP="007D66BD">
      <w:pPr>
        <w:rPr>
          <w:lang w:val="en-GB"/>
        </w:rPr>
      </w:pPr>
      <w:r w:rsidRPr="00380B40">
        <w:rPr>
          <w:i/>
          <w:iCs/>
          <w:lang w:val="en-GB"/>
        </w:rPr>
        <w:t>b)</w:t>
      </w:r>
      <w:r w:rsidRPr="00380B40">
        <w:rPr>
          <w:lang w:val="en-GB"/>
        </w:rPr>
        <w:tab/>
        <w:t>that the principles concerning future NNAI plans to deal with emerging services or applications and relevant NNAI resource allocation procedures to meet international telecommunication needs will be studied in accordance with this resolution and the work programme approved by this assembly for study groups of the ITU Telecommunication Standardization Sector (ITU</w:t>
      </w:r>
      <w:r w:rsidRPr="00380B40">
        <w:rPr>
          <w:lang w:val="en-GB"/>
        </w:rPr>
        <w:noBreakHyphen/>
        <w:t>T);</w:t>
      </w:r>
    </w:p>
    <w:p w14:paraId="55DB777C" w14:textId="77777777" w:rsidR="008547D7" w:rsidRPr="00380B40" w:rsidRDefault="008547D7" w:rsidP="007D66BD">
      <w:pPr>
        <w:rPr>
          <w:i/>
          <w:iCs/>
          <w:lang w:val="en-GB"/>
        </w:rPr>
      </w:pPr>
      <w:r w:rsidRPr="00380B40">
        <w:rPr>
          <w:i/>
          <w:iCs/>
          <w:lang w:val="en-GB"/>
        </w:rPr>
        <w:br w:type="page"/>
      </w:r>
    </w:p>
    <w:p w14:paraId="5F83B13A" w14:textId="77777777" w:rsidR="007D66BD" w:rsidRPr="00380B40" w:rsidRDefault="007D66BD" w:rsidP="007D66BD">
      <w:pPr>
        <w:rPr>
          <w:i/>
          <w:iCs/>
          <w:lang w:val="en-GB"/>
        </w:rPr>
      </w:pPr>
      <w:r w:rsidRPr="00380B40">
        <w:rPr>
          <w:i/>
          <w:iCs/>
          <w:lang w:val="en-GB"/>
        </w:rPr>
        <w:t>c)</w:t>
      </w:r>
      <w:r w:rsidRPr="00380B40">
        <w:rPr>
          <w:lang w:val="en-GB"/>
        </w:rPr>
        <w:tab/>
        <w:t>the deployment of current and future telecommunications/ICTs, including Internet Protocol (IP)-based networks to support new and innovative services that may require NNAI resources;</w:t>
      </w:r>
    </w:p>
    <w:p w14:paraId="5A32EE76" w14:textId="77777777" w:rsidR="007D66BD" w:rsidRPr="00380B40" w:rsidRDefault="007D66BD" w:rsidP="007D66BD">
      <w:pPr>
        <w:rPr>
          <w:lang w:val="en-GB"/>
        </w:rPr>
      </w:pPr>
      <w:r w:rsidRPr="00380B40">
        <w:rPr>
          <w:i/>
          <w:iCs/>
          <w:lang w:val="en-GB"/>
        </w:rPr>
        <w:t>d)</w:t>
      </w:r>
      <w:r w:rsidRPr="00380B40">
        <w:rPr>
          <w:lang w:val="en-GB"/>
        </w:rPr>
        <w:tab/>
        <w:t>that several international telecommunication NNAI resources are developed and maintained by ITU</w:t>
      </w:r>
      <w:r w:rsidRPr="00380B40">
        <w:rPr>
          <w:lang w:val="en-GB"/>
        </w:rPr>
        <w:noBreakHyphen/>
        <w:t>T study groups and are in widespread use;</w:t>
      </w:r>
    </w:p>
    <w:p w14:paraId="6EF31063" w14:textId="77777777" w:rsidR="007D66BD" w:rsidRPr="00380B40" w:rsidRDefault="007D66BD" w:rsidP="007D66BD">
      <w:pPr>
        <w:rPr>
          <w:lang w:val="en-GB"/>
        </w:rPr>
      </w:pPr>
      <w:r w:rsidRPr="00380B40">
        <w:rPr>
          <w:i/>
          <w:iCs/>
          <w:lang w:val="en-GB"/>
        </w:rPr>
        <w:t>e)</w:t>
      </w:r>
      <w:r w:rsidRPr="00380B40">
        <w:rPr>
          <w:lang w:val="en-GB"/>
        </w:rPr>
        <w:tab/>
        <w:t>that the national authorities responsible for allocation of NNAI resources, including those covered by Recommendation ITU</w:t>
      </w:r>
      <w:r w:rsidRPr="00380B40">
        <w:rPr>
          <w:lang w:val="en-GB"/>
        </w:rPr>
        <w:noBreakHyphen/>
        <w:t>T Q.708, on specifications of Signalling System No. 7 – Message transfer part (MTP), Recommendation ITU</w:t>
      </w:r>
      <w:r w:rsidRPr="00380B40">
        <w:rPr>
          <w:lang w:val="en-GB"/>
        </w:rPr>
        <w:noBreakHyphen/>
        <w:t>T E.164, on the international public telecommunication numbering plan, and Recommendation ITU-T E.212, on the international identification plan for public networks and subscriptions, normally participate in ITU</w:t>
      </w:r>
      <w:r w:rsidRPr="00380B40">
        <w:rPr>
          <w:lang w:val="en-GB"/>
        </w:rPr>
        <w:noBreakHyphen/>
        <w:t>T Study Group 2;</w:t>
      </w:r>
    </w:p>
    <w:p w14:paraId="7DC898E7" w14:textId="77777777" w:rsidR="007D66BD" w:rsidRPr="00380B40" w:rsidRDefault="007D66BD" w:rsidP="007D66BD">
      <w:pPr>
        <w:keepNext/>
        <w:rPr>
          <w:lang w:val="en-GB"/>
        </w:rPr>
      </w:pPr>
      <w:r w:rsidRPr="00380B40">
        <w:rPr>
          <w:i/>
          <w:iCs/>
          <w:lang w:val="en-GB"/>
        </w:rPr>
        <w:t>f)</w:t>
      </w:r>
      <w:r w:rsidRPr="00380B40">
        <w:rPr>
          <w:lang w:val="en-GB"/>
        </w:rPr>
        <w:tab/>
        <w:t>that it is in the common interest of ITU Member States and Sector Members that the Recommendations and guidelines for international telecommunication NNAI resources should:</w:t>
      </w:r>
    </w:p>
    <w:p w14:paraId="139EC856" w14:textId="77777777" w:rsidR="007D66BD" w:rsidRPr="00380B40" w:rsidRDefault="007D66BD" w:rsidP="007D66BD">
      <w:pPr>
        <w:pStyle w:val="enumlev1"/>
        <w:rPr>
          <w:lang w:val="en-GB"/>
        </w:rPr>
      </w:pPr>
      <w:r w:rsidRPr="00380B40">
        <w:rPr>
          <w:lang w:val="en-GB"/>
        </w:rPr>
        <w:t>i)</w:t>
      </w:r>
      <w:r w:rsidRPr="00380B40">
        <w:rPr>
          <w:lang w:val="en-GB"/>
        </w:rPr>
        <w:tab/>
        <w:t>be known, recognized and applied by all;</w:t>
      </w:r>
    </w:p>
    <w:p w14:paraId="4D784CCE" w14:textId="77777777" w:rsidR="007D66BD" w:rsidRPr="00380B40" w:rsidRDefault="007D66BD" w:rsidP="007D66BD">
      <w:pPr>
        <w:pStyle w:val="enumlev1"/>
        <w:rPr>
          <w:lang w:val="en-GB"/>
        </w:rPr>
      </w:pPr>
      <w:r w:rsidRPr="00380B40">
        <w:rPr>
          <w:lang w:val="en-GB"/>
        </w:rPr>
        <w:t>ii)</w:t>
      </w:r>
      <w:r w:rsidRPr="00380B40">
        <w:rPr>
          <w:lang w:val="en-GB"/>
        </w:rPr>
        <w:tab/>
        <w:t>be used to build and maintain confidence of all in the related services;</w:t>
      </w:r>
    </w:p>
    <w:p w14:paraId="1B275234" w14:textId="77777777" w:rsidR="007D66BD" w:rsidRPr="00380B40" w:rsidRDefault="007D66BD" w:rsidP="007D66BD">
      <w:pPr>
        <w:pStyle w:val="enumlev1"/>
        <w:rPr>
          <w:lang w:val="en-GB"/>
        </w:rPr>
      </w:pPr>
      <w:r w:rsidRPr="00380B40">
        <w:rPr>
          <w:lang w:val="en-GB"/>
        </w:rPr>
        <w:t>iii)</w:t>
      </w:r>
      <w:r w:rsidRPr="00380B40">
        <w:rPr>
          <w:lang w:val="en-GB"/>
        </w:rPr>
        <w:tab/>
        <w:t>address deterrence of misuse of such resources;</w:t>
      </w:r>
    </w:p>
    <w:p w14:paraId="4E8966C9" w14:textId="77777777" w:rsidR="007D66BD" w:rsidRPr="00380B40" w:rsidRDefault="007D66BD" w:rsidP="007D66BD">
      <w:pPr>
        <w:pStyle w:val="enumlev1"/>
        <w:rPr>
          <w:lang w:val="en-GB"/>
        </w:rPr>
      </w:pPr>
      <w:r w:rsidRPr="00380B40">
        <w:rPr>
          <w:lang w:val="en-GB"/>
        </w:rPr>
        <w:t>iv)</w:t>
      </w:r>
      <w:r w:rsidRPr="00380B40">
        <w:rPr>
          <w:lang w:val="en-GB"/>
        </w:rPr>
        <w:tab/>
        <w:t>be governed and administered in a consistent and appropriate manner;</w:t>
      </w:r>
    </w:p>
    <w:p w14:paraId="08391B51" w14:textId="77777777" w:rsidR="007D66BD" w:rsidRPr="00380B40" w:rsidRDefault="007D66BD" w:rsidP="007D66BD">
      <w:pPr>
        <w:rPr>
          <w:lang w:val="en-GB"/>
        </w:rPr>
      </w:pPr>
      <w:r w:rsidRPr="00380B40">
        <w:rPr>
          <w:i/>
          <w:iCs/>
          <w:lang w:val="en-GB"/>
        </w:rPr>
        <w:t>g)</w:t>
      </w:r>
      <w:r w:rsidRPr="00380B40">
        <w:rPr>
          <w:lang w:val="en-GB"/>
        </w:rPr>
        <w:tab/>
        <w:t>Articles 14 and 15 of the ITU Convention, relating to the activities of ITU</w:t>
      </w:r>
      <w:r w:rsidRPr="00380B40">
        <w:rPr>
          <w:lang w:val="en-GB"/>
        </w:rPr>
        <w:noBreakHyphen/>
        <w:t>T study groups and the responsibilities of the Director of the Telecommunication Standardization Bureau (TSB), respectively;</w:t>
      </w:r>
    </w:p>
    <w:p w14:paraId="11D9B44A" w14:textId="77777777" w:rsidR="007D66BD" w:rsidRPr="00380B40" w:rsidRDefault="007D66BD" w:rsidP="007D66BD">
      <w:pPr>
        <w:rPr>
          <w:lang w:val="en-GB"/>
        </w:rPr>
      </w:pPr>
      <w:r w:rsidRPr="00380B40">
        <w:rPr>
          <w:i/>
          <w:iCs/>
          <w:lang w:val="en-GB"/>
        </w:rPr>
        <w:t>h)</w:t>
      </w:r>
      <w:r w:rsidRPr="00380B40">
        <w:rPr>
          <w:lang w:val="en-GB"/>
        </w:rPr>
        <w:tab/>
        <w:t>No. 196 of the Convention, which stipulates that "In the performance of their studies, the telecommunication standardization study groups shall pay due attention to the study of questions and to the formulation of recommendations directly connected with the establishment, development and improvement of telecommunications in developing countries at both the regional and international levels. They shall conduct their work giving due consideration to the work of national, regional and other international standardization organizations, and cooperate with them, keeping in mind the need for the Union to maintain its pre-eminent position in the field of worldwide standardization for telecommunications.",</w:t>
      </w:r>
    </w:p>
    <w:p w14:paraId="67E647C2" w14:textId="77777777" w:rsidR="007D66BD" w:rsidRPr="00380B40" w:rsidRDefault="007D66BD" w:rsidP="007D66BD">
      <w:pPr>
        <w:pStyle w:val="Call"/>
        <w:rPr>
          <w:lang w:val="en-GB"/>
        </w:rPr>
      </w:pPr>
      <w:r w:rsidRPr="00380B40">
        <w:rPr>
          <w:lang w:val="en-GB"/>
        </w:rPr>
        <w:t>considering</w:t>
      </w:r>
    </w:p>
    <w:p w14:paraId="085BC542" w14:textId="77777777" w:rsidR="007D66BD" w:rsidRPr="00380B40" w:rsidRDefault="007D66BD" w:rsidP="007D66BD">
      <w:pPr>
        <w:rPr>
          <w:lang w:val="en-GB"/>
        </w:rPr>
      </w:pPr>
      <w:r w:rsidRPr="00380B40">
        <w:rPr>
          <w:i/>
          <w:iCs/>
          <w:lang w:val="en-GB"/>
        </w:rPr>
        <w:t>a)</w:t>
      </w:r>
      <w:r w:rsidRPr="00380B40">
        <w:rPr>
          <w:lang w:val="en-GB"/>
        </w:rPr>
        <w:tab/>
        <w:t>that the assignment of international telecommunication NNAI resources is a responsibility of the Director of TSB and the relevant administrations;</w:t>
      </w:r>
    </w:p>
    <w:p w14:paraId="43AB180B" w14:textId="77777777" w:rsidR="007D66BD" w:rsidRPr="00380B40" w:rsidRDefault="007D66BD" w:rsidP="007D66BD">
      <w:pPr>
        <w:rPr>
          <w:lang w:val="en-GB"/>
        </w:rPr>
      </w:pPr>
      <w:r w:rsidRPr="00380B40">
        <w:rPr>
          <w:i/>
          <w:iCs/>
          <w:lang w:val="en-GB"/>
        </w:rPr>
        <w:t>b)</w:t>
      </w:r>
      <w:r w:rsidRPr="00380B40">
        <w:rPr>
          <w:lang w:val="en-GB"/>
        </w:rPr>
        <w:tab/>
        <w:t>the evolution of telecommunication services, and the requirements for NNAI resources to support new telecommunications/ICTs and innovative services;</w:t>
      </w:r>
    </w:p>
    <w:p w14:paraId="15C63823" w14:textId="77777777" w:rsidR="007D66BD" w:rsidRPr="00380B40" w:rsidRDefault="007D66BD" w:rsidP="007D66BD">
      <w:pPr>
        <w:rPr>
          <w:lang w:val="en-GB"/>
        </w:rPr>
      </w:pPr>
      <w:r w:rsidRPr="00380B40">
        <w:rPr>
          <w:i/>
          <w:iCs/>
          <w:lang w:val="en-GB"/>
        </w:rPr>
        <w:t>c)</w:t>
      </w:r>
      <w:r w:rsidRPr="00380B40">
        <w:rPr>
          <w:lang w:val="en-GB"/>
        </w:rPr>
        <w:tab/>
        <w:t>the ongoing cooperation between ITU-T and several consortia and standards entities in the allocation and management of international telecommunication NNAI resources as referred to in Supplement 3 to the ITU-T A-series Recommendations,</w:t>
      </w:r>
    </w:p>
    <w:p w14:paraId="70645DE5" w14:textId="77777777" w:rsidR="008547D7" w:rsidRPr="00380B40" w:rsidRDefault="008547D7" w:rsidP="007D66BD">
      <w:pPr>
        <w:pStyle w:val="Call"/>
        <w:rPr>
          <w:lang w:val="en-GB"/>
        </w:rPr>
      </w:pPr>
      <w:r w:rsidRPr="00380B40">
        <w:rPr>
          <w:lang w:val="en-GB"/>
        </w:rPr>
        <w:br w:type="page"/>
      </w:r>
    </w:p>
    <w:p w14:paraId="55730975" w14:textId="77777777" w:rsidR="007D66BD" w:rsidRPr="00380B40" w:rsidRDefault="007D66BD" w:rsidP="007D66BD">
      <w:pPr>
        <w:pStyle w:val="Call"/>
        <w:rPr>
          <w:lang w:val="en-GB"/>
        </w:rPr>
      </w:pPr>
      <w:r w:rsidRPr="00380B40">
        <w:rPr>
          <w:lang w:val="en-GB"/>
        </w:rPr>
        <w:t>resolves to instruct</w:t>
      </w:r>
    </w:p>
    <w:p w14:paraId="393EC3AB" w14:textId="77777777" w:rsidR="007D66BD" w:rsidRPr="00380B40" w:rsidRDefault="007D66BD" w:rsidP="007D66BD">
      <w:pPr>
        <w:rPr>
          <w:lang w:val="en-GB"/>
        </w:rPr>
      </w:pPr>
      <w:r w:rsidRPr="00380B40">
        <w:rPr>
          <w:lang w:val="en-GB"/>
        </w:rPr>
        <w:t>1</w:t>
      </w:r>
      <w:r w:rsidRPr="00380B40">
        <w:rPr>
          <w:lang w:val="en-GB"/>
        </w:rPr>
        <w:tab/>
        <w:t>the Director of TSB, before assigning, reassigning and/or reclaiming international telecommunication NNAI resources, to consult:</w:t>
      </w:r>
    </w:p>
    <w:p w14:paraId="37E53BC2" w14:textId="77777777" w:rsidR="007D66BD" w:rsidRPr="00380B40" w:rsidRDefault="007D66BD" w:rsidP="007D66BD">
      <w:pPr>
        <w:pStyle w:val="enumlev1"/>
        <w:rPr>
          <w:lang w:val="en-GB"/>
        </w:rPr>
      </w:pPr>
      <w:r w:rsidRPr="00380B40">
        <w:rPr>
          <w:lang w:val="en-GB"/>
        </w:rPr>
        <w:t>i)</w:t>
      </w:r>
      <w:r w:rsidRPr="00380B40">
        <w:rPr>
          <w:lang w:val="en-GB"/>
        </w:rPr>
        <w:tab/>
        <w:t>the chairman of Study Group 2, in liaison with the chairmen of the other relevant study groups, or if needed the chairman's delegated representative, to resolve requirements as specified in relevant ITU</w:t>
      </w:r>
      <w:r w:rsidRPr="00380B40">
        <w:rPr>
          <w:lang w:val="en-GB"/>
        </w:rPr>
        <w:noBreakHyphen/>
        <w:t>T Recommendations; and</w:t>
      </w:r>
    </w:p>
    <w:p w14:paraId="703243A3" w14:textId="77777777" w:rsidR="007D66BD" w:rsidRPr="00380B40" w:rsidRDefault="007D66BD" w:rsidP="007D66BD">
      <w:pPr>
        <w:pStyle w:val="enumlev1"/>
        <w:rPr>
          <w:lang w:val="en-GB"/>
        </w:rPr>
      </w:pPr>
      <w:r w:rsidRPr="00380B40">
        <w:rPr>
          <w:lang w:val="en-GB"/>
        </w:rPr>
        <w:t>ii)</w:t>
      </w:r>
      <w:r w:rsidRPr="00380B40">
        <w:rPr>
          <w:lang w:val="en-GB"/>
        </w:rPr>
        <w:tab/>
        <w:t>the relevant administration(s); and/or</w:t>
      </w:r>
    </w:p>
    <w:p w14:paraId="5359ACF7" w14:textId="77777777" w:rsidR="007D66BD" w:rsidRPr="00380B40" w:rsidRDefault="007D66BD" w:rsidP="007D66BD">
      <w:pPr>
        <w:pStyle w:val="enumlev1"/>
        <w:rPr>
          <w:lang w:val="en-GB"/>
        </w:rPr>
      </w:pPr>
      <w:r w:rsidRPr="00380B40">
        <w:rPr>
          <w:lang w:val="en-GB"/>
        </w:rPr>
        <w:t>iii)</w:t>
      </w:r>
      <w:r w:rsidRPr="00380B40">
        <w:rPr>
          <w:lang w:val="en-GB"/>
        </w:rPr>
        <w:tab/>
        <w:t>the authorized applicant/assignee when direct communication with TSB is required in order to perform its responsibilities;</w:t>
      </w:r>
    </w:p>
    <w:p w14:paraId="324D572C" w14:textId="77777777" w:rsidR="007D66BD" w:rsidRPr="00380B40" w:rsidRDefault="007D66BD" w:rsidP="007D66BD">
      <w:pPr>
        <w:rPr>
          <w:lang w:val="en-GB"/>
        </w:rPr>
      </w:pPr>
      <w:r w:rsidRPr="00380B40">
        <w:rPr>
          <w:lang w:val="en-GB"/>
        </w:rPr>
        <w:t>in the Director's deliberations and consultations, the Director will consider the general principles for the allocation of NNAI resources, and the provisions of the relevant Recommendations in the ITU</w:t>
      </w:r>
      <w:r w:rsidRPr="00380B40">
        <w:rPr>
          <w:lang w:val="en-GB"/>
        </w:rPr>
        <w:noBreakHyphen/>
        <w:t>T E-, ITU</w:t>
      </w:r>
      <w:r w:rsidRPr="00380B40">
        <w:rPr>
          <w:lang w:val="en-GB"/>
        </w:rPr>
        <w:noBreakHyphen/>
        <w:t>T F-, ITU</w:t>
      </w:r>
      <w:r w:rsidRPr="00380B40">
        <w:rPr>
          <w:lang w:val="en-GB"/>
        </w:rPr>
        <w:noBreakHyphen/>
        <w:t>T Q-, ITU</w:t>
      </w:r>
      <w:r w:rsidRPr="00380B40">
        <w:rPr>
          <w:lang w:val="en-GB"/>
        </w:rPr>
        <w:noBreakHyphen/>
        <w:t>T X- and ITU-T Y-series, and those to be further adopted;</w:t>
      </w:r>
    </w:p>
    <w:p w14:paraId="5C160BD9" w14:textId="77777777" w:rsidR="007D66BD" w:rsidRPr="00380B40" w:rsidRDefault="007D66BD" w:rsidP="007D66BD">
      <w:pPr>
        <w:rPr>
          <w:lang w:val="en-GB"/>
        </w:rPr>
      </w:pPr>
      <w:r w:rsidRPr="00380B40">
        <w:rPr>
          <w:lang w:val="en-GB"/>
        </w:rPr>
        <w:t>2</w:t>
      </w:r>
      <w:r w:rsidRPr="00380B40">
        <w:rPr>
          <w:lang w:val="en-GB"/>
        </w:rPr>
        <w:tab/>
        <w:t>Study Group 2, in liaison with other relevant study groups, to provide to the Director of TSB with advice on technical, functional and operational aspects in the assignment, reassignment and/or reclamation of international telecommunication NNAI resources in accordance with the relevant Recommendations, taking into account the results of any ongoing studies, information and guidance in cases of reported complaints about misuse of international telecommunication NNAI resources;</w:t>
      </w:r>
    </w:p>
    <w:p w14:paraId="54D16E01" w14:textId="77777777" w:rsidR="007D66BD" w:rsidRPr="00380B40" w:rsidRDefault="007D66BD" w:rsidP="007D66BD">
      <w:pPr>
        <w:rPr>
          <w:lang w:val="en-GB"/>
        </w:rPr>
      </w:pPr>
      <w:r w:rsidRPr="00380B40">
        <w:rPr>
          <w:lang w:val="en-GB"/>
        </w:rPr>
        <w:t>3</w:t>
      </w:r>
      <w:r w:rsidRPr="00380B40">
        <w:rPr>
          <w:lang w:val="en-GB"/>
        </w:rPr>
        <w:tab/>
        <w:t>the Director of TSB, in close collaboration with Study Group 2, and any other relevant study groups, to follow up with the administrations involved on the misuse of any international telecommunication NNAI resources, and inform the ITU Council accordingly;</w:t>
      </w:r>
    </w:p>
    <w:p w14:paraId="017604F8" w14:textId="77777777" w:rsidR="007D66BD" w:rsidRPr="00380B40" w:rsidRDefault="007D66BD" w:rsidP="007D66BD">
      <w:pPr>
        <w:rPr>
          <w:lang w:val="en-GB"/>
        </w:rPr>
      </w:pPr>
      <w:r w:rsidRPr="00380B40">
        <w:rPr>
          <w:lang w:val="en-GB"/>
        </w:rPr>
        <w:t>4</w:t>
      </w:r>
      <w:r w:rsidRPr="00380B40">
        <w:rPr>
          <w:lang w:val="en-GB"/>
        </w:rPr>
        <w:tab/>
        <w:t>the Director of TSB to encourage all relevant study groups to study the impact of new and emerging telecommunications/ICTs on the allocation and management of international telecommunication NNAI resources;</w:t>
      </w:r>
    </w:p>
    <w:p w14:paraId="27A94116" w14:textId="77777777" w:rsidR="007D66BD" w:rsidRPr="00380B40" w:rsidRDefault="007D66BD" w:rsidP="007D66BD">
      <w:pPr>
        <w:rPr>
          <w:lang w:val="en-GB"/>
        </w:rPr>
      </w:pPr>
      <w:r w:rsidRPr="00380B40">
        <w:rPr>
          <w:lang w:val="en-GB"/>
        </w:rPr>
        <w:t>5</w:t>
      </w:r>
      <w:r w:rsidRPr="00380B40">
        <w:rPr>
          <w:lang w:val="en-GB"/>
        </w:rPr>
        <w:tab/>
        <w:t xml:space="preserve">the Director of TSB to take the appropriate measures and actions where Study Group 2, in liaison with the other relevant study groups, has provided information, advice and guidance in accordance with </w:t>
      </w:r>
      <w:r w:rsidRPr="00380B40">
        <w:rPr>
          <w:i/>
          <w:iCs/>
          <w:lang w:val="en-GB"/>
        </w:rPr>
        <w:t>resolves to instruct</w:t>
      </w:r>
      <w:r w:rsidRPr="00380B40">
        <w:rPr>
          <w:lang w:val="en-GB"/>
        </w:rPr>
        <w:t> 2 and 3 above;</w:t>
      </w:r>
    </w:p>
    <w:p w14:paraId="2332BC2A" w14:textId="77777777" w:rsidR="007D66BD" w:rsidRPr="00380B40" w:rsidRDefault="007D66BD" w:rsidP="007D66BD">
      <w:pPr>
        <w:rPr>
          <w:lang w:val="en-GB"/>
        </w:rPr>
      </w:pPr>
      <w:r w:rsidRPr="00380B40">
        <w:rPr>
          <w:lang w:val="en-GB"/>
        </w:rPr>
        <w:t>6</w:t>
      </w:r>
      <w:r w:rsidRPr="00380B40">
        <w:rPr>
          <w:lang w:val="en-GB"/>
        </w:rPr>
        <w:tab/>
        <w:t xml:space="preserve">Study Group 2 to continue to study necessary action to ensure that the sovereignty of ITU Member States with regard to country-code NNAI plans is fully maintained, including ENUM, </w:t>
      </w:r>
      <w:r w:rsidRPr="00380B40">
        <w:rPr>
          <w:iCs/>
          <w:lang w:val="en-GB"/>
        </w:rPr>
        <w:t>as enshrined in Recommendation ITU</w:t>
      </w:r>
      <w:r w:rsidRPr="00380B40">
        <w:rPr>
          <w:iCs/>
          <w:lang w:val="en-GB"/>
        </w:rPr>
        <w:noBreakHyphen/>
        <w:t>T E.164 and other relevant Recommendations</w:t>
      </w:r>
      <w:r w:rsidRPr="00380B40">
        <w:rPr>
          <w:lang w:val="en-GB"/>
        </w:rPr>
        <w:t xml:space="preserve"> </w:t>
      </w:r>
      <w:r w:rsidRPr="00380B40">
        <w:rPr>
          <w:iCs/>
          <w:lang w:val="en-GB"/>
        </w:rPr>
        <w:t>and procedures</w:t>
      </w:r>
      <w:r w:rsidRPr="00380B40">
        <w:rPr>
          <w:lang w:val="en-GB"/>
        </w:rPr>
        <w:t>; this shall cover ways and means to address and counter any misuse of any international telecommunication NNAI resources,</w:t>
      </w:r>
    </w:p>
    <w:p w14:paraId="6C696E0F" w14:textId="77777777" w:rsidR="007D66BD" w:rsidRPr="00380B40" w:rsidRDefault="007D66BD" w:rsidP="007D66BD">
      <w:pPr>
        <w:pStyle w:val="Call"/>
        <w:rPr>
          <w:lang w:val="en-GB"/>
        </w:rPr>
      </w:pPr>
      <w:r w:rsidRPr="00380B40">
        <w:rPr>
          <w:lang w:val="en-GB"/>
        </w:rPr>
        <w:t>invites Member States</w:t>
      </w:r>
    </w:p>
    <w:p w14:paraId="23B032FE" w14:textId="77777777" w:rsidR="007D66BD" w:rsidRPr="00380B40" w:rsidRDefault="007D66BD" w:rsidP="007D66BD">
      <w:pPr>
        <w:rPr>
          <w:lang w:val="en-GB"/>
        </w:rPr>
      </w:pPr>
      <w:r w:rsidRPr="00380B40">
        <w:rPr>
          <w:lang w:val="en-GB"/>
        </w:rPr>
        <w:t>to share their experiences regarding the implementation of this resolution.</w:t>
      </w:r>
    </w:p>
    <w:p w14:paraId="39A10DF8" w14:textId="77777777" w:rsidR="00ED32D6" w:rsidRPr="00380B40" w:rsidRDefault="00ED32D6" w:rsidP="00ED32D6">
      <w:pPr>
        <w:rPr>
          <w:lang w:val="en-GB"/>
        </w:rPr>
      </w:pPr>
    </w:p>
    <w:p w14:paraId="72A1B8CF" w14:textId="77777777" w:rsidR="00135E8B" w:rsidRPr="00380B40" w:rsidRDefault="00135E8B" w:rsidP="00ED32D6">
      <w:pPr>
        <w:rPr>
          <w:lang w:val="en-GB"/>
        </w:rPr>
      </w:pPr>
    </w:p>
    <w:p w14:paraId="413BD59C" w14:textId="77777777" w:rsidR="008547D7" w:rsidRPr="00380B40" w:rsidRDefault="008547D7" w:rsidP="00ED32D6">
      <w:pPr>
        <w:rPr>
          <w:lang w:val="en-GB"/>
        </w:rPr>
      </w:pPr>
    </w:p>
    <w:p w14:paraId="2F7E979E" w14:textId="77777777" w:rsidR="00135E8B" w:rsidRPr="00380B40" w:rsidRDefault="00135E8B" w:rsidP="00ED32D6">
      <w:pPr>
        <w:rPr>
          <w:lang w:val="en-GB"/>
        </w:rPr>
      </w:pPr>
    </w:p>
    <w:p w14:paraId="268B48FD" w14:textId="77777777" w:rsidR="00E64A6B" w:rsidRPr="00380B40" w:rsidRDefault="00E64A6B" w:rsidP="00E64A6B">
      <w:pPr>
        <w:rPr>
          <w:lang w:val="en-GB"/>
        </w:rPr>
      </w:pPr>
    </w:p>
    <w:p w14:paraId="487BDB6A" w14:textId="77777777" w:rsidR="00E64A6B" w:rsidRPr="00380B40" w:rsidRDefault="00E64A6B" w:rsidP="00E64A6B">
      <w:pPr>
        <w:rPr>
          <w:lang w:val="en-GB"/>
        </w:rPr>
        <w:sectPr w:rsidR="00E64A6B" w:rsidRPr="00380B40" w:rsidSect="00BD4379">
          <w:headerReference w:type="even" r:id="rId59"/>
          <w:headerReference w:type="default" r:id="rId60"/>
          <w:footerReference w:type="even" r:id="rId61"/>
          <w:footerReference w:type="default" r:id="rId62"/>
          <w:headerReference w:type="first" r:id="rId63"/>
          <w:footerReference w:type="first" r:id="rId64"/>
          <w:footnotePr>
            <w:numRestart w:val="eachSect"/>
          </w:footnotePr>
          <w:pgSz w:w="11907" w:h="16834" w:code="9"/>
          <w:pgMar w:top="1134" w:right="1134" w:bottom="1134" w:left="1134" w:header="567" w:footer="567" w:gutter="0"/>
          <w:paperSrc w:first="15" w:other="15"/>
          <w:cols w:space="720"/>
          <w:vAlign w:val="both"/>
          <w:docGrid w:linePitch="299"/>
        </w:sectPr>
      </w:pPr>
    </w:p>
    <w:p w14:paraId="529D529D" w14:textId="77777777" w:rsidR="00275860" w:rsidRPr="00380B40" w:rsidRDefault="00275860" w:rsidP="007D66BD">
      <w:pPr>
        <w:pStyle w:val="ResNo"/>
        <w:rPr>
          <w:lang w:val="en-GB"/>
        </w:rPr>
      </w:pPr>
      <w:bookmarkStart w:id="121" w:name="_Toc104459705"/>
      <w:bookmarkStart w:id="122" w:name="_Toc104476513"/>
      <w:bookmarkStart w:id="123" w:name="_Toc111636759"/>
      <w:bookmarkStart w:id="124" w:name="_Toc111638406"/>
      <w:r w:rsidRPr="00380B40">
        <w:rPr>
          <w:lang w:val="en-GB"/>
        </w:rPr>
        <w:t xml:space="preserve">RESOLUTION </w:t>
      </w:r>
      <w:r w:rsidRPr="00380B40">
        <w:rPr>
          <w:rStyle w:val="href"/>
          <w:lang w:val="en-GB"/>
        </w:rPr>
        <w:t>22</w:t>
      </w:r>
      <w:r w:rsidRPr="00380B40">
        <w:rPr>
          <w:lang w:val="en-GB"/>
        </w:rPr>
        <w:t xml:space="preserve"> </w:t>
      </w:r>
      <w:r w:rsidR="007D66BD" w:rsidRPr="00380B40">
        <w:rPr>
          <w:lang w:val="en-GB"/>
        </w:rPr>
        <w:t>(R</w:t>
      </w:r>
      <w:r w:rsidR="00135E8B" w:rsidRPr="00380B40">
        <w:rPr>
          <w:caps w:val="0"/>
          <w:lang w:val="en-GB"/>
        </w:rPr>
        <w:t>ev</w:t>
      </w:r>
      <w:r w:rsidR="007D66BD" w:rsidRPr="00380B40">
        <w:rPr>
          <w:lang w:val="en-GB"/>
        </w:rPr>
        <w:t>. G</w:t>
      </w:r>
      <w:r w:rsidR="00135E8B" w:rsidRPr="00380B40">
        <w:rPr>
          <w:caps w:val="0"/>
          <w:lang w:val="en-GB"/>
        </w:rPr>
        <w:t>eneva</w:t>
      </w:r>
      <w:r w:rsidR="007D66BD" w:rsidRPr="00380B40">
        <w:rPr>
          <w:lang w:val="en-GB"/>
        </w:rPr>
        <w:t>, 2022)</w:t>
      </w:r>
      <w:bookmarkEnd w:id="121"/>
      <w:bookmarkEnd w:id="122"/>
      <w:bookmarkEnd w:id="123"/>
      <w:bookmarkEnd w:id="124"/>
    </w:p>
    <w:p w14:paraId="78773A75" w14:textId="77777777" w:rsidR="007D66BD" w:rsidRPr="00380B40" w:rsidRDefault="007D66BD" w:rsidP="007D66BD">
      <w:pPr>
        <w:pStyle w:val="Restitle"/>
        <w:rPr>
          <w:lang w:val="en-GB"/>
        </w:rPr>
      </w:pPr>
      <w:bookmarkStart w:id="125" w:name="_Toc104459706"/>
      <w:bookmarkStart w:id="126" w:name="_Toc104476514"/>
      <w:bookmarkStart w:id="127" w:name="_Toc111638407"/>
      <w:r w:rsidRPr="00380B40">
        <w:rPr>
          <w:lang w:val="en-GB"/>
        </w:rPr>
        <w:t>Authorization for the Telecommunication Standardization Advisory Group</w:t>
      </w:r>
      <w:r w:rsidRPr="00380B40">
        <w:rPr>
          <w:lang w:val="en-GB"/>
        </w:rPr>
        <w:br/>
        <w:t>to act between world telecommunication standardization assemblies</w:t>
      </w:r>
      <w:bookmarkEnd w:id="125"/>
      <w:bookmarkEnd w:id="126"/>
      <w:bookmarkEnd w:id="127"/>
    </w:p>
    <w:p w14:paraId="110A8A26" w14:textId="77777777" w:rsidR="007D66BD" w:rsidRPr="00380B40" w:rsidRDefault="007D66BD" w:rsidP="007D66BD">
      <w:pPr>
        <w:pStyle w:val="Resref"/>
        <w:rPr>
          <w:lang w:val="en-GB"/>
        </w:rPr>
      </w:pPr>
      <w:r w:rsidRPr="00380B40">
        <w:rPr>
          <w:lang w:val="en-GB"/>
        </w:rPr>
        <w:t>(Geneva, 1996; Montreal, 2000; Florianópolis, 2004; Johannesburg, 2008;</w:t>
      </w:r>
      <w:r w:rsidRPr="00380B40">
        <w:rPr>
          <w:lang w:val="en-GB"/>
        </w:rPr>
        <w:br/>
        <w:t xml:space="preserve"> Dubai, 2012; Hammamet, 2016; Geneva, 2022)</w:t>
      </w:r>
    </w:p>
    <w:p w14:paraId="5C62A028" w14:textId="77777777" w:rsidR="007D66BD" w:rsidRPr="00380B40" w:rsidRDefault="007D66BD" w:rsidP="007D66BD">
      <w:pPr>
        <w:pStyle w:val="Normalaftertitle0"/>
      </w:pPr>
      <w:r w:rsidRPr="00380B40">
        <w:t>The World Telecommunication Standardization Assembly (Geneva, 2022),</w:t>
      </w:r>
    </w:p>
    <w:p w14:paraId="4EA6FBE4" w14:textId="77777777" w:rsidR="007D66BD" w:rsidRPr="00380B40" w:rsidRDefault="007D66BD" w:rsidP="007D66BD">
      <w:pPr>
        <w:pStyle w:val="Call"/>
        <w:rPr>
          <w:lang w:val="en-GB"/>
        </w:rPr>
      </w:pPr>
      <w:r w:rsidRPr="00380B40">
        <w:rPr>
          <w:lang w:val="en-GB"/>
        </w:rPr>
        <w:t>considering</w:t>
      </w:r>
    </w:p>
    <w:p w14:paraId="771A401A" w14:textId="77777777" w:rsidR="007D66BD" w:rsidRPr="00380B40" w:rsidRDefault="007D66BD" w:rsidP="007D66BD">
      <w:pPr>
        <w:rPr>
          <w:lang w:val="en-GB"/>
        </w:rPr>
      </w:pPr>
      <w:r w:rsidRPr="00380B40">
        <w:rPr>
          <w:i/>
          <w:iCs/>
          <w:lang w:val="en-GB"/>
        </w:rPr>
        <w:t>a)</w:t>
      </w:r>
      <w:r w:rsidRPr="00380B40">
        <w:rPr>
          <w:lang w:val="en-GB"/>
        </w:rPr>
        <w:tab/>
        <w:t>that, under the provisions of Article 14A of the ITU Convention, the Telecommunication Standardization Advisory Group (TSAG) is to provide guidelines for the work of study groups and recommend measures to foster coordination and cooperation with other standards bodies;</w:t>
      </w:r>
    </w:p>
    <w:p w14:paraId="451A2353" w14:textId="77777777" w:rsidR="007D66BD" w:rsidRPr="00380B40" w:rsidRDefault="007D66BD" w:rsidP="007D66BD">
      <w:pPr>
        <w:rPr>
          <w:lang w:val="en-GB"/>
        </w:rPr>
      </w:pPr>
      <w:r w:rsidRPr="00380B40">
        <w:rPr>
          <w:i/>
          <w:iCs/>
          <w:lang w:val="en-GB"/>
        </w:rPr>
        <w:t>b)</w:t>
      </w:r>
      <w:r w:rsidRPr="00380B40">
        <w:rPr>
          <w:lang w:val="en-GB"/>
        </w:rPr>
        <w:tab/>
        <w:t>that the rapid pace of change in the telecommunication/information and communication technology (ICT) environment and in industry groups dealing with telecommunications/ICT demands that the ITU Telecommunication Standardization Sector (ITU</w:t>
      </w:r>
      <w:r w:rsidRPr="00380B40">
        <w:rPr>
          <w:lang w:val="en-GB"/>
        </w:rPr>
        <w:noBreakHyphen/>
        <w:t>T) make decisions on matters such as work priorities, study group structure and meeting schedules in shorter periods of time, between world telecommunication standardization assemblies (WTSAs), in order to maintain its relevance and responsiveness in accordance with No. 197C of the Convention;</w:t>
      </w:r>
    </w:p>
    <w:p w14:paraId="16CA06FD" w14:textId="77777777" w:rsidR="007D66BD" w:rsidRPr="00380B40" w:rsidRDefault="007D66BD" w:rsidP="007D66BD">
      <w:pPr>
        <w:rPr>
          <w:szCs w:val="24"/>
          <w:lang w:val="en-GB"/>
        </w:rPr>
      </w:pPr>
      <w:r w:rsidRPr="00380B40">
        <w:rPr>
          <w:i/>
          <w:iCs/>
          <w:szCs w:val="24"/>
          <w:lang w:val="en-GB"/>
        </w:rPr>
        <w:t>c)</w:t>
      </w:r>
      <w:r w:rsidRPr="00380B40">
        <w:rPr>
          <w:szCs w:val="24"/>
          <w:lang w:val="en-GB"/>
        </w:rPr>
        <w:tab/>
        <w:t>that Resolution 122 (Rev. Guadalajara, 2010) of the Plenipotentiary Conference resolves that WTSA shall continue, in accordance with its responsibilities, and subject to available financial resources, to promote the continued evolution of the standardization sector and adequately address strategic issues in standardization by means such as, but not limited to, the strengthening of TSAG;</w:t>
      </w:r>
    </w:p>
    <w:p w14:paraId="5F7AD799" w14:textId="77777777" w:rsidR="007D66BD" w:rsidRPr="00380B40" w:rsidRDefault="007D66BD" w:rsidP="007D66BD">
      <w:pPr>
        <w:rPr>
          <w:szCs w:val="24"/>
          <w:lang w:val="en-GB"/>
        </w:rPr>
      </w:pPr>
      <w:r w:rsidRPr="00380B40">
        <w:rPr>
          <w:i/>
          <w:iCs/>
          <w:szCs w:val="24"/>
          <w:lang w:val="en-GB"/>
        </w:rPr>
        <w:t>d)</w:t>
      </w:r>
      <w:r w:rsidRPr="00380B40">
        <w:rPr>
          <w:szCs w:val="24"/>
          <w:lang w:val="en-GB"/>
        </w:rPr>
        <w:tab/>
        <w:t>that Resolution 122 (Rev. Guadalajara, 2010) instructs the Director of the Telecommunication Standardization Bureau (TSB) to continue, in consultation with relevant bodies, and the ITU membership, and in coordination with the ITU Radiocommunication Sector (ITU-R) and the ITU Telecommunication Development Sector (ITU-D), as appropriate, to organize a Global Standards Symposium (GSS);</w:t>
      </w:r>
    </w:p>
    <w:p w14:paraId="06ADF18F" w14:textId="77777777" w:rsidR="007D66BD" w:rsidRPr="00380B40" w:rsidRDefault="007D66BD" w:rsidP="007D66BD">
      <w:pPr>
        <w:rPr>
          <w:szCs w:val="24"/>
          <w:lang w:val="en-GB"/>
        </w:rPr>
      </w:pPr>
      <w:r w:rsidRPr="00380B40">
        <w:rPr>
          <w:i/>
          <w:iCs/>
          <w:szCs w:val="24"/>
          <w:lang w:val="en-GB"/>
        </w:rPr>
        <w:t>e)</w:t>
      </w:r>
      <w:r w:rsidRPr="00380B40">
        <w:rPr>
          <w:szCs w:val="24"/>
          <w:lang w:val="en-GB"/>
        </w:rPr>
        <w:tab/>
        <w:t>that GSS was held in conjunction with this assembly to consider bridging the standardization gap and examining global ICT standards challenges;</w:t>
      </w:r>
    </w:p>
    <w:p w14:paraId="5A18C0C8" w14:textId="77777777" w:rsidR="007D66BD" w:rsidRPr="00380B40" w:rsidRDefault="007D66BD" w:rsidP="007D66BD">
      <w:pPr>
        <w:rPr>
          <w:szCs w:val="24"/>
          <w:lang w:val="en-GB"/>
        </w:rPr>
      </w:pPr>
      <w:r w:rsidRPr="00380B40">
        <w:rPr>
          <w:i/>
          <w:iCs/>
          <w:szCs w:val="24"/>
          <w:lang w:val="en-GB"/>
        </w:rPr>
        <w:t>f)</w:t>
      </w:r>
      <w:r w:rsidRPr="00380B40">
        <w:rPr>
          <w:szCs w:val="24"/>
          <w:lang w:val="en-GB"/>
        </w:rPr>
        <w:tab/>
        <w:t>that TSAG continues to make proposals for enhancing the operational efficiency of ITU</w:t>
      </w:r>
      <w:r w:rsidRPr="00380B40">
        <w:rPr>
          <w:szCs w:val="24"/>
          <w:lang w:val="en-GB"/>
        </w:rPr>
        <w:noBreakHyphen/>
        <w:t>T, for improving the quality of ITU</w:t>
      </w:r>
      <w:r w:rsidRPr="00380B40">
        <w:rPr>
          <w:szCs w:val="24"/>
          <w:lang w:val="en-GB"/>
        </w:rPr>
        <w:noBreakHyphen/>
        <w:t>T Recommendations and for methods of coordination and cooperation;</w:t>
      </w:r>
    </w:p>
    <w:p w14:paraId="02A89D97" w14:textId="77777777" w:rsidR="007D66BD" w:rsidRPr="00380B40" w:rsidRDefault="007D66BD" w:rsidP="007D66BD">
      <w:pPr>
        <w:rPr>
          <w:i/>
          <w:iCs/>
          <w:szCs w:val="24"/>
          <w:lang w:val="en-GB"/>
        </w:rPr>
      </w:pPr>
      <w:r w:rsidRPr="00380B40">
        <w:rPr>
          <w:i/>
          <w:iCs/>
          <w:szCs w:val="24"/>
          <w:lang w:val="en-GB"/>
        </w:rPr>
        <w:t>g)</w:t>
      </w:r>
      <w:r w:rsidRPr="00380B40">
        <w:rPr>
          <w:szCs w:val="24"/>
          <w:lang w:val="en-GB"/>
        </w:rPr>
        <w:tab/>
        <w:t>that TSAG helps to improve coordination of the study process and provide improved decision-making processes for the important areas of ITU</w:t>
      </w:r>
      <w:r w:rsidRPr="00380B40">
        <w:rPr>
          <w:szCs w:val="24"/>
          <w:lang w:val="en-GB"/>
        </w:rPr>
        <w:noBreakHyphen/>
        <w:t>T activities;</w:t>
      </w:r>
    </w:p>
    <w:p w14:paraId="19B250AC" w14:textId="77777777" w:rsidR="007D66BD" w:rsidRPr="00380B40" w:rsidRDefault="007D66BD" w:rsidP="007D66BD">
      <w:pPr>
        <w:rPr>
          <w:szCs w:val="24"/>
          <w:lang w:val="en-GB"/>
        </w:rPr>
      </w:pPr>
      <w:r w:rsidRPr="00380B40">
        <w:rPr>
          <w:i/>
          <w:iCs/>
          <w:szCs w:val="24"/>
          <w:lang w:val="en-GB"/>
        </w:rPr>
        <w:t>h)</w:t>
      </w:r>
      <w:r w:rsidRPr="00380B40">
        <w:rPr>
          <w:szCs w:val="24"/>
          <w:lang w:val="en-GB"/>
        </w:rPr>
        <w:tab/>
        <w:t>that flexible administrative procedures, including those related to budgetary considerations, are needed in order to adapt to rapid changes in the telecommunication/ICT environment;</w:t>
      </w:r>
    </w:p>
    <w:p w14:paraId="68CD8D68" w14:textId="77777777" w:rsidR="007D66BD" w:rsidRPr="00380B40" w:rsidRDefault="007D66BD" w:rsidP="007D66BD">
      <w:pPr>
        <w:rPr>
          <w:szCs w:val="24"/>
          <w:lang w:val="en-GB"/>
        </w:rPr>
      </w:pPr>
      <w:r w:rsidRPr="00380B40">
        <w:rPr>
          <w:i/>
          <w:iCs/>
          <w:szCs w:val="24"/>
          <w:lang w:val="en-GB"/>
        </w:rPr>
        <w:t>i)</w:t>
      </w:r>
      <w:r w:rsidRPr="00380B40">
        <w:rPr>
          <w:szCs w:val="24"/>
          <w:lang w:val="en-GB"/>
        </w:rPr>
        <w:tab/>
        <w:t>the importance of TSAG to act in the four years between WTSAs in order to meet the needs of the marketplace in a timely manner and to be able to address unforeseen issues requiring urgent action in the interim period between assemblies;</w:t>
      </w:r>
    </w:p>
    <w:p w14:paraId="30B6C518" w14:textId="77777777" w:rsidR="008547D7" w:rsidRPr="00380B40" w:rsidRDefault="008547D7" w:rsidP="007D66BD">
      <w:pPr>
        <w:rPr>
          <w:i/>
          <w:iCs/>
          <w:szCs w:val="24"/>
          <w:lang w:val="en-GB"/>
        </w:rPr>
      </w:pPr>
      <w:r w:rsidRPr="00380B40">
        <w:rPr>
          <w:i/>
          <w:iCs/>
          <w:szCs w:val="24"/>
          <w:lang w:val="en-GB"/>
        </w:rPr>
        <w:br w:type="page"/>
      </w:r>
    </w:p>
    <w:p w14:paraId="6EB3FC4A" w14:textId="77777777" w:rsidR="007D66BD" w:rsidRPr="00380B40" w:rsidRDefault="007D66BD" w:rsidP="007D66BD">
      <w:pPr>
        <w:rPr>
          <w:szCs w:val="24"/>
          <w:lang w:val="en-GB"/>
        </w:rPr>
      </w:pPr>
      <w:r w:rsidRPr="00380B40">
        <w:rPr>
          <w:i/>
          <w:iCs/>
          <w:szCs w:val="24"/>
          <w:lang w:val="en-GB"/>
        </w:rPr>
        <w:t>j)</w:t>
      </w:r>
      <w:r w:rsidRPr="00380B40">
        <w:rPr>
          <w:szCs w:val="24"/>
          <w:lang w:val="en-GB"/>
        </w:rPr>
        <w:tab/>
        <w:t>that it is desirable for TSAG to consider the implications of new and emerging technologies for the standardization activities of ITU</w:t>
      </w:r>
      <w:r w:rsidRPr="00380B40">
        <w:rPr>
          <w:szCs w:val="24"/>
          <w:lang w:val="en-GB"/>
        </w:rPr>
        <w:noBreakHyphen/>
        <w:t>T related to technical, operating and tariff questions, on the basis of contributions submitted by the membership, and how such technologies can be included within the ITU</w:t>
      </w:r>
      <w:r w:rsidRPr="00380B40">
        <w:rPr>
          <w:szCs w:val="24"/>
          <w:lang w:val="en-GB"/>
        </w:rPr>
        <w:noBreakHyphen/>
        <w:t>T work programme;</w:t>
      </w:r>
    </w:p>
    <w:p w14:paraId="09E2832B" w14:textId="77777777" w:rsidR="007D66BD" w:rsidRPr="00380B40" w:rsidRDefault="007D66BD" w:rsidP="007D66BD">
      <w:pPr>
        <w:rPr>
          <w:szCs w:val="24"/>
          <w:lang w:val="en-GB"/>
        </w:rPr>
      </w:pPr>
      <w:r w:rsidRPr="00380B40">
        <w:rPr>
          <w:i/>
          <w:iCs/>
          <w:szCs w:val="24"/>
          <w:lang w:val="en-GB"/>
        </w:rPr>
        <w:t>k)</w:t>
      </w:r>
      <w:r w:rsidRPr="00380B40">
        <w:rPr>
          <w:szCs w:val="24"/>
          <w:lang w:val="en-GB"/>
        </w:rPr>
        <w:tab/>
        <w:t>that TSAG plays an important role in ensuring coordination between study groups, as appropriate, on standardization issues, including, as required, avoiding duplication of work and identifying linkages and dependencies between related work items;</w:t>
      </w:r>
    </w:p>
    <w:p w14:paraId="51CECBD5" w14:textId="77777777" w:rsidR="007D66BD" w:rsidRPr="00380B40" w:rsidRDefault="007D66BD" w:rsidP="007D66BD">
      <w:pPr>
        <w:rPr>
          <w:szCs w:val="24"/>
          <w:lang w:val="en-GB"/>
        </w:rPr>
      </w:pPr>
      <w:r w:rsidRPr="00380B40">
        <w:rPr>
          <w:i/>
          <w:iCs/>
          <w:szCs w:val="24"/>
          <w:lang w:val="en-GB"/>
        </w:rPr>
        <w:t>l)</w:t>
      </w:r>
      <w:r w:rsidRPr="00380B40">
        <w:rPr>
          <w:szCs w:val="24"/>
          <w:lang w:val="en-GB"/>
        </w:rPr>
        <w:tab/>
        <w:t>that TSAG, in providing advice to study groups, may take account of the advice of other groups;</w:t>
      </w:r>
    </w:p>
    <w:p w14:paraId="056E8199" w14:textId="77777777" w:rsidR="007D66BD" w:rsidRPr="00380B40" w:rsidRDefault="007D66BD" w:rsidP="007D66BD">
      <w:pPr>
        <w:rPr>
          <w:szCs w:val="24"/>
          <w:lang w:val="en-GB"/>
        </w:rPr>
      </w:pPr>
      <w:r w:rsidRPr="00380B40">
        <w:rPr>
          <w:i/>
          <w:iCs/>
          <w:szCs w:val="24"/>
          <w:lang w:val="en-GB"/>
        </w:rPr>
        <w:t>m)</w:t>
      </w:r>
      <w:r w:rsidRPr="00380B40">
        <w:rPr>
          <w:szCs w:val="24"/>
          <w:lang w:val="en-GB"/>
        </w:rPr>
        <w:tab/>
        <w:t>that there is a need to continue improving coordination and collaboration with other relevant bodies, within ITU</w:t>
      </w:r>
      <w:r w:rsidRPr="00380B40">
        <w:rPr>
          <w:szCs w:val="24"/>
          <w:lang w:val="en-GB"/>
        </w:rPr>
        <w:noBreakHyphen/>
        <w:t>T, with ITU</w:t>
      </w:r>
      <w:r w:rsidRPr="00380B40">
        <w:rPr>
          <w:szCs w:val="24"/>
          <w:lang w:val="en-GB"/>
        </w:rPr>
        <w:noBreakHyphen/>
        <w:t>R and ITU</w:t>
      </w:r>
      <w:r w:rsidRPr="00380B40">
        <w:rPr>
          <w:szCs w:val="24"/>
          <w:lang w:val="en-GB"/>
        </w:rPr>
        <w:noBreakHyphen/>
        <w:t>D and the General Secretariat, and with other standardization organizations, forums and consortia outside of ITU, and relevant entities;</w:t>
      </w:r>
    </w:p>
    <w:p w14:paraId="7B6E8E8A" w14:textId="77777777" w:rsidR="007D66BD" w:rsidRPr="00380B40" w:rsidRDefault="007D66BD" w:rsidP="007D66BD">
      <w:pPr>
        <w:rPr>
          <w:szCs w:val="24"/>
          <w:lang w:val="en-GB"/>
        </w:rPr>
      </w:pPr>
      <w:r w:rsidRPr="00380B40">
        <w:rPr>
          <w:i/>
          <w:szCs w:val="24"/>
          <w:lang w:val="en-GB"/>
        </w:rPr>
        <w:t>n)</w:t>
      </w:r>
      <w:r w:rsidRPr="00380B40">
        <w:rPr>
          <w:szCs w:val="24"/>
          <w:lang w:val="en-GB"/>
        </w:rPr>
        <w:tab/>
        <w:t>that effective coordination between study groups is critical to ITU-T's ability to meet emerging standardization challenges and the needs of its membership,</w:t>
      </w:r>
    </w:p>
    <w:p w14:paraId="5B5F3AAB" w14:textId="77777777" w:rsidR="007D66BD" w:rsidRPr="00380B40" w:rsidRDefault="007D66BD" w:rsidP="007D66BD">
      <w:pPr>
        <w:pStyle w:val="Call"/>
        <w:rPr>
          <w:lang w:val="en-GB"/>
        </w:rPr>
      </w:pPr>
      <w:r w:rsidRPr="00380B40">
        <w:rPr>
          <w:lang w:val="en-GB"/>
        </w:rPr>
        <w:t>noting</w:t>
      </w:r>
    </w:p>
    <w:p w14:paraId="6F5A99BF" w14:textId="77777777" w:rsidR="007D66BD" w:rsidRPr="00380B40" w:rsidRDefault="007D66BD" w:rsidP="007D66BD">
      <w:pPr>
        <w:rPr>
          <w:szCs w:val="24"/>
          <w:lang w:val="en-GB"/>
        </w:rPr>
      </w:pPr>
      <w:r w:rsidRPr="00380B40">
        <w:rPr>
          <w:i/>
          <w:iCs/>
          <w:szCs w:val="24"/>
          <w:lang w:val="en-GB"/>
        </w:rPr>
        <w:t>a)</w:t>
      </w:r>
      <w:r w:rsidRPr="00380B40">
        <w:rPr>
          <w:szCs w:val="24"/>
          <w:lang w:val="en-GB"/>
        </w:rPr>
        <w:tab/>
        <w:t>that ITU</w:t>
      </w:r>
      <w:r w:rsidRPr="00380B40">
        <w:rPr>
          <w:szCs w:val="24"/>
          <w:lang w:val="en-GB"/>
        </w:rPr>
        <w:noBreakHyphen/>
        <w:t>T is one of the pre-eminent global standardization bodies, comprising administrations, equipment vendors, operators and regulators, universities and research institutes;</w:t>
      </w:r>
    </w:p>
    <w:p w14:paraId="01C9163F" w14:textId="77777777" w:rsidR="007D66BD" w:rsidRPr="00380B40" w:rsidRDefault="007D66BD" w:rsidP="007D66BD">
      <w:pPr>
        <w:rPr>
          <w:szCs w:val="24"/>
          <w:lang w:val="en-GB"/>
        </w:rPr>
      </w:pPr>
      <w:r w:rsidRPr="00380B40">
        <w:rPr>
          <w:i/>
          <w:iCs/>
          <w:szCs w:val="24"/>
          <w:lang w:val="en-GB"/>
        </w:rPr>
        <w:t>b)</w:t>
      </w:r>
      <w:r w:rsidRPr="00380B40">
        <w:rPr>
          <w:szCs w:val="24"/>
          <w:lang w:val="en-GB"/>
        </w:rPr>
        <w:tab/>
        <w:t>that Article 13 of the Convention states the duties of WTSA, among them that it may assign specific matters within its competence to TSAG indicating the action required on those matters;</w:t>
      </w:r>
    </w:p>
    <w:p w14:paraId="1A672B0F" w14:textId="77777777" w:rsidR="007D66BD" w:rsidRPr="00380B40" w:rsidRDefault="007D66BD" w:rsidP="007D66BD">
      <w:pPr>
        <w:rPr>
          <w:szCs w:val="24"/>
          <w:lang w:val="en-GB"/>
        </w:rPr>
      </w:pPr>
      <w:r w:rsidRPr="00380B40">
        <w:rPr>
          <w:i/>
          <w:iCs/>
          <w:szCs w:val="24"/>
          <w:lang w:val="en-GB"/>
        </w:rPr>
        <w:t>c)</w:t>
      </w:r>
      <w:r w:rsidRPr="00380B40">
        <w:rPr>
          <w:szCs w:val="24"/>
          <w:lang w:val="en-GB"/>
        </w:rPr>
        <w:tab/>
        <w:t>that TSAG meets at least on a yearly basis;</w:t>
      </w:r>
    </w:p>
    <w:p w14:paraId="02EB8C76" w14:textId="77777777" w:rsidR="007D66BD" w:rsidRPr="00380B40" w:rsidRDefault="007D66BD" w:rsidP="007D66BD">
      <w:pPr>
        <w:rPr>
          <w:szCs w:val="24"/>
          <w:lang w:val="en-GB"/>
        </w:rPr>
      </w:pPr>
      <w:r w:rsidRPr="00380B40">
        <w:rPr>
          <w:i/>
          <w:iCs/>
          <w:szCs w:val="24"/>
          <w:lang w:val="en-GB"/>
        </w:rPr>
        <w:t>d)</w:t>
      </w:r>
      <w:r w:rsidRPr="00380B40">
        <w:rPr>
          <w:szCs w:val="24"/>
          <w:lang w:val="en-GB"/>
        </w:rPr>
        <w:tab/>
        <w:t>that TSAG has already exhibited the capability to act effectively on matters assigned to it by WTSA;</w:t>
      </w:r>
    </w:p>
    <w:p w14:paraId="21784337" w14:textId="77777777" w:rsidR="007D66BD" w:rsidRPr="00380B40" w:rsidRDefault="007D66BD" w:rsidP="007D66BD">
      <w:pPr>
        <w:rPr>
          <w:szCs w:val="24"/>
          <w:lang w:val="en-GB"/>
        </w:rPr>
      </w:pPr>
      <w:r w:rsidRPr="00380B40">
        <w:rPr>
          <w:i/>
          <w:iCs/>
          <w:szCs w:val="24"/>
          <w:lang w:val="en-GB"/>
        </w:rPr>
        <w:t>e)</w:t>
      </w:r>
      <w:r w:rsidRPr="00380B40">
        <w:rPr>
          <w:szCs w:val="24"/>
          <w:lang w:val="en-GB"/>
        </w:rPr>
        <w:tab/>
        <w:t>that WTSA Resolution 68 (Rev. Hammamet, 2016)) instructs the Director of TSB to organize meetings for high-level industry executives, e.g. chief technology officer meetings, in order to assist in identifying and coordinating standardization priorities and subjects and minimize the number of forums and consortia;</w:t>
      </w:r>
    </w:p>
    <w:p w14:paraId="1DB75F3D" w14:textId="77777777" w:rsidR="007D66BD" w:rsidRPr="00380B40" w:rsidRDefault="007D66BD" w:rsidP="007D66BD">
      <w:pPr>
        <w:rPr>
          <w:szCs w:val="24"/>
          <w:lang w:val="en-GB"/>
        </w:rPr>
      </w:pPr>
      <w:r w:rsidRPr="00380B40">
        <w:rPr>
          <w:i/>
          <w:iCs/>
          <w:szCs w:val="24"/>
          <w:lang w:val="en-GB"/>
        </w:rPr>
        <w:t>f)</w:t>
      </w:r>
      <w:r w:rsidRPr="00380B40">
        <w:rPr>
          <w:szCs w:val="24"/>
          <w:lang w:val="en-GB"/>
        </w:rPr>
        <w:tab/>
        <w:t>that effective coordination can be achieved by means of joint coordination activities, joint rapporteur group meetings, liaison statements between study groups and the study group chairmen's meetings organized by the Director of TSB to meet emerging standardization challenges and the needs of the ITU-T membership,</w:t>
      </w:r>
    </w:p>
    <w:p w14:paraId="1ECD71DE" w14:textId="77777777" w:rsidR="007D66BD" w:rsidRPr="00380B40" w:rsidRDefault="007D66BD" w:rsidP="007D66BD">
      <w:pPr>
        <w:pStyle w:val="Call"/>
        <w:rPr>
          <w:lang w:val="en-GB"/>
        </w:rPr>
      </w:pPr>
      <w:r w:rsidRPr="00380B40">
        <w:rPr>
          <w:lang w:val="en-GB"/>
        </w:rPr>
        <w:t xml:space="preserve">recognizing </w:t>
      </w:r>
    </w:p>
    <w:p w14:paraId="4A9608CC" w14:textId="77777777" w:rsidR="007D66BD" w:rsidRPr="00380B40" w:rsidRDefault="007D66BD" w:rsidP="007D66BD">
      <w:pPr>
        <w:rPr>
          <w:szCs w:val="24"/>
          <w:lang w:val="en-GB"/>
        </w:rPr>
      </w:pPr>
      <w:r w:rsidRPr="00380B40">
        <w:rPr>
          <w:i/>
          <w:iCs/>
          <w:szCs w:val="24"/>
          <w:lang w:val="en-GB"/>
        </w:rPr>
        <w:t>a)</w:t>
      </w:r>
      <w:r w:rsidRPr="00380B40">
        <w:rPr>
          <w:szCs w:val="24"/>
          <w:lang w:val="en-GB"/>
        </w:rPr>
        <w:tab/>
        <w:t>that Nos. 191A and 191B of the Convention allow WTSA to maintain, establish or terminate other groups as needed, as well as their mandates;</w:t>
      </w:r>
    </w:p>
    <w:p w14:paraId="78DC47F5" w14:textId="77777777" w:rsidR="007D66BD" w:rsidRPr="00380B40" w:rsidRDefault="007D66BD" w:rsidP="007D66BD">
      <w:pPr>
        <w:rPr>
          <w:szCs w:val="24"/>
          <w:lang w:val="en-GB"/>
        </w:rPr>
      </w:pPr>
      <w:r w:rsidRPr="00380B40">
        <w:rPr>
          <w:i/>
          <w:iCs/>
          <w:szCs w:val="24"/>
          <w:lang w:val="en-GB"/>
        </w:rPr>
        <w:t>b)</w:t>
      </w:r>
      <w:r w:rsidRPr="00380B40">
        <w:rPr>
          <w:szCs w:val="24"/>
          <w:lang w:val="en-GB"/>
        </w:rPr>
        <w:tab/>
        <w:t>that coordination should serve to improve the effectiveness of ITU</w:t>
      </w:r>
      <w:r w:rsidRPr="00380B40">
        <w:rPr>
          <w:szCs w:val="24"/>
          <w:lang w:val="en-GB"/>
        </w:rPr>
        <w:noBreakHyphen/>
        <w:t>T activities and should not limit the work of each study group to develop Recommendations;</w:t>
      </w:r>
    </w:p>
    <w:p w14:paraId="35C177A4" w14:textId="77777777" w:rsidR="007D66BD" w:rsidRPr="00380B40" w:rsidRDefault="007D66BD" w:rsidP="007D66BD">
      <w:pPr>
        <w:rPr>
          <w:szCs w:val="24"/>
          <w:lang w:val="en-GB"/>
        </w:rPr>
      </w:pPr>
      <w:r w:rsidRPr="00380B40">
        <w:rPr>
          <w:i/>
          <w:iCs/>
          <w:szCs w:val="24"/>
          <w:lang w:val="en-GB"/>
        </w:rPr>
        <w:t>c)</w:t>
      </w:r>
      <w:r w:rsidRPr="00380B40">
        <w:rPr>
          <w:szCs w:val="24"/>
          <w:lang w:val="en-GB"/>
        </w:rPr>
        <w:tab/>
        <w:t>that the tasks undertaken in ITU</w:t>
      </w:r>
      <w:r w:rsidRPr="00380B40">
        <w:rPr>
          <w:szCs w:val="24"/>
          <w:lang w:val="en-GB"/>
        </w:rPr>
        <w:noBreakHyphen/>
        <w:t xml:space="preserve">T cover technical, operating and tariff questions, </w:t>
      </w:r>
    </w:p>
    <w:p w14:paraId="5A17AF4F" w14:textId="77777777" w:rsidR="008547D7" w:rsidRPr="00380B40" w:rsidRDefault="008547D7" w:rsidP="007D66BD">
      <w:pPr>
        <w:rPr>
          <w:szCs w:val="24"/>
          <w:lang w:val="en-GB"/>
        </w:rPr>
      </w:pPr>
      <w:r w:rsidRPr="00380B40">
        <w:rPr>
          <w:szCs w:val="24"/>
          <w:lang w:val="en-GB"/>
        </w:rPr>
        <w:br w:type="page"/>
      </w:r>
    </w:p>
    <w:p w14:paraId="59AD56A5" w14:textId="77777777" w:rsidR="007D66BD" w:rsidRPr="00380B40" w:rsidRDefault="007D66BD" w:rsidP="007D66BD">
      <w:pPr>
        <w:pStyle w:val="Call"/>
        <w:rPr>
          <w:lang w:val="en-GB"/>
        </w:rPr>
      </w:pPr>
      <w:r w:rsidRPr="00380B40">
        <w:rPr>
          <w:lang w:val="en-GB"/>
        </w:rPr>
        <w:t>resolves</w:t>
      </w:r>
    </w:p>
    <w:p w14:paraId="69E1D5D3" w14:textId="77777777" w:rsidR="007D66BD" w:rsidRPr="00380B40" w:rsidRDefault="007D66BD" w:rsidP="007D66BD">
      <w:pPr>
        <w:rPr>
          <w:szCs w:val="24"/>
          <w:lang w:val="en-GB"/>
        </w:rPr>
      </w:pPr>
      <w:r w:rsidRPr="00380B40">
        <w:rPr>
          <w:szCs w:val="24"/>
          <w:lang w:val="en-GB"/>
        </w:rPr>
        <w:t>1</w:t>
      </w:r>
      <w:r w:rsidRPr="00380B40">
        <w:rPr>
          <w:szCs w:val="24"/>
          <w:lang w:val="en-GB"/>
        </w:rPr>
        <w:tab/>
        <w:t>to assign to TSAG the following specific matters within its competence between this assembly and the next assembly, to act in the following areas in consultation with the Director of TSB:</w:t>
      </w:r>
    </w:p>
    <w:p w14:paraId="17D4F059" w14:textId="77777777" w:rsidR="007D66BD" w:rsidRPr="00380B40" w:rsidRDefault="007D66BD" w:rsidP="007D66BD">
      <w:pPr>
        <w:pStyle w:val="enumlev1"/>
        <w:rPr>
          <w:lang w:val="en-GB"/>
        </w:rPr>
      </w:pPr>
      <w:r w:rsidRPr="00380B40">
        <w:rPr>
          <w:i/>
          <w:iCs/>
          <w:lang w:val="en-GB"/>
        </w:rPr>
        <w:t>a)</w:t>
      </w:r>
      <w:r w:rsidRPr="00380B40">
        <w:rPr>
          <w:lang w:val="en-GB"/>
        </w:rPr>
        <w:tab/>
        <w:t xml:space="preserve">maintain </w:t>
      </w:r>
      <w:r w:rsidRPr="00380B40" w:rsidDel="0032114E">
        <w:rPr>
          <w:lang w:val="en-GB"/>
        </w:rPr>
        <w:t xml:space="preserve">and provide </w:t>
      </w:r>
      <w:r w:rsidRPr="00380B40">
        <w:rPr>
          <w:lang w:val="en-GB"/>
        </w:rPr>
        <w:t>up-to-date, efficient and flexible working guidelines;</w:t>
      </w:r>
    </w:p>
    <w:p w14:paraId="5F154100" w14:textId="77777777" w:rsidR="007D66BD" w:rsidRPr="00380B40" w:rsidRDefault="007D66BD" w:rsidP="007D66BD">
      <w:pPr>
        <w:pStyle w:val="enumlev1"/>
        <w:rPr>
          <w:lang w:val="en-GB"/>
        </w:rPr>
      </w:pPr>
      <w:r w:rsidRPr="00380B40">
        <w:rPr>
          <w:i/>
          <w:iCs/>
          <w:lang w:val="en-GB"/>
        </w:rPr>
        <w:t>b)</w:t>
      </w:r>
      <w:r w:rsidRPr="00380B40">
        <w:rPr>
          <w:lang w:val="en-GB"/>
        </w:rPr>
        <w:tab/>
        <w:t>promote high-priority standardization activities related to technical, operating and tariff questions on the basis of contributions submitted by the membership from a global viewpoint and coordinate among ITU-T study groups in this regard;</w:t>
      </w:r>
    </w:p>
    <w:p w14:paraId="4D6B7F75" w14:textId="77777777" w:rsidR="007D66BD" w:rsidRPr="00380B40" w:rsidRDefault="007D66BD" w:rsidP="007D66BD">
      <w:pPr>
        <w:pStyle w:val="enumlev1"/>
        <w:rPr>
          <w:lang w:val="en-GB"/>
        </w:rPr>
      </w:pPr>
      <w:r w:rsidRPr="00380B40">
        <w:rPr>
          <w:i/>
          <w:iCs/>
          <w:lang w:val="en-GB"/>
        </w:rPr>
        <w:t>c)</w:t>
      </w:r>
      <w:r w:rsidRPr="00380B40">
        <w:rPr>
          <w:i/>
          <w:iCs/>
          <w:lang w:val="en-GB"/>
        </w:rPr>
        <w:tab/>
      </w:r>
      <w:r w:rsidRPr="00380B40">
        <w:rPr>
          <w:lang w:val="en-GB"/>
        </w:rPr>
        <w:t>assume responsibility, including development and submission for approval under appropriate procedures, for the ITU</w:t>
      </w:r>
      <w:r w:rsidRPr="00380B40">
        <w:rPr>
          <w:lang w:val="en-GB"/>
        </w:rPr>
        <w:noBreakHyphen/>
        <w:t>T A</w:t>
      </w:r>
      <w:r w:rsidRPr="00380B40">
        <w:rPr>
          <w:lang w:val="en-GB"/>
        </w:rPr>
        <w:noBreakHyphen/>
        <w:t>series Recommendations;</w:t>
      </w:r>
    </w:p>
    <w:p w14:paraId="300578E8" w14:textId="77777777" w:rsidR="007D66BD" w:rsidRPr="00380B40" w:rsidRDefault="007D66BD" w:rsidP="007D66BD">
      <w:pPr>
        <w:pStyle w:val="enumlev1"/>
        <w:rPr>
          <w:lang w:val="en-GB"/>
        </w:rPr>
      </w:pPr>
      <w:r w:rsidRPr="00380B40">
        <w:rPr>
          <w:i/>
          <w:iCs/>
          <w:lang w:val="en-GB"/>
        </w:rPr>
        <w:t>d)</w:t>
      </w:r>
      <w:r w:rsidRPr="00380B40">
        <w:rPr>
          <w:i/>
          <w:iCs/>
          <w:lang w:val="en-GB"/>
        </w:rPr>
        <w:tab/>
      </w:r>
      <w:r w:rsidRPr="00380B40">
        <w:rPr>
          <w:lang w:val="en-GB"/>
        </w:rPr>
        <w:t>restructure and establish ITU</w:t>
      </w:r>
      <w:r w:rsidRPr="00380B40">
        <w:rPr>
          <w:lang w:val="en-GB"/>
        </w:rPr>
        <w:noBreakHyphen/>
        <w:t>T study groups, taking into account the needs of the ITU</w:t>
      </w:r>
      <w:r w:rsidRPr="00380B40">
        <w:rPr>
          <w:lang w:val="en-GB"/>
        </w:rPr>
        <w:noBreakHyphen/>
        <w:t>T membership and in response to changes in the telecommunication/ICT marketplace, and assign chairmen and vice</w:t>
      </w:r>
      <w:r w:rsidRPr="00380B40">
        <w:rPr>
          <w:lang w:val="en-GB"/>
        </w:rPr>
        <w:noBreakHyphen/>
        <w:t>chairmen to act until the next WTSA, in accordance with Resolution 208 (Dubai, 2018) of the Plenipotentiary Conference;</w:t>
      </w:r>
    </w:p>
    <w:p w14:paraId="5CFC281B" w14:textId="77777777" w:rsidR="007D66BD" w:rsidRPr="00380B40" w:rsidRDefault="007D66BD" w:rsidP="007D66BD">
      <w:pPr>
        <w:pStyle w:val="enumlev1"/>
        <w:rPr>
          <w:lang w:val="en-GB"/>
        </w:rPr>
      </w:pPr>
      <w:r w:rsidRPr="00380B40">
        <w:rPr>
          <w:i/>
          <w:iCs/>
          <w:lang w:val="en-GB"/>
        </w:rPr>
        <w:t>e)</w:t>
      </w:r>
      <w:r w:rsidRPr="00380B40">
        <w:rPr>
          <w:i/>
          <w:iCs/>
          <w:lang w:val="en-GB"/>
        </w:rPr>
        <w:tab/>
      </w:r>
      <w:r w:rsidRPr="00380B40">
        <w:rPr>
          <w:lang w:val="en-GB"/>
        </w:rPr>
        <w:t>issue advice on study group schedules to meet standardization priorities;</w:t>
      </w:r>
    </w:p>
    <w:p w14:paraId="509B8D1E" w14:textId="77777777" w:rsidR="007D66BD" w:rsidRPr="00380B40" w:rsidRDefault="007D66BD" w:rsidP="007D66BD">
      <w:pPr>
        <w:pStyle w:val="enumlev1"/>
        <w:rPr>
          <w:lang w:val="en-GB"/>
        </w:rPr>
      </w:pPr>
      <w:r w:rsidRPr="00380B40">
        <w:rPr>
          <w:i/>
          <w:iCs/>
          <w:lang w:val="en-GB"/>
        </w:rPr>
        <w:t>f)</w:t>
      </w:r>
      <w:r w:rsidRPr="00380B40">
        <w:rPr>
          <w:i/>
          <w:iCs/>
          <w:lang w:val="en-GB"/>
        </w:rPr>
        <w:tab/>
      </w:r>
      <w:r w:rsidRPr="00380B40">
        <w:rPr>
          <w:lang w:val="en-GB"/>
        </w:rPr>
        <w:t>while recognizing the primacy of the study groups in carrying out the activities of ITU</w:t>
      </w:r>
      <w:r w:rsidRPr="00380B40">
        <w:rPr>
          <w:lang w:val="en-GB"/>
        </w:rPr>
        <w:noBreakHyphen/>
        <w:t>T, create, terminate or maintain other groups, including focus groups, appoint their chairmen and vice-chairmen, and establish their terms of reference with a defined duration, in accordance with Nos. 191A and 191B of the Convention, in order to enhance and improve the effectiveness of ITU</w:t>
      </w:r>
      <w:r w:rsidRPr="00380B40">
        <w:rPr>
          <w:lang w:val="en-GB"/>
        </w:rPr>
        <w:noBreakHyphen/>
        <w:t>T's work as well as promoting flexibility in responding rapidly to high-priority issues; such groups shall not adopt Questions or Recommendations, in accordance with Article 14A of the Convention, but work on a specific mandate;</w:t>
      </w:r>
    </w:p>
    <w:p w14:paraId="7A8194A8" w14:textId="77777777" w:rsidR="007D66BD" w:rsidRPr="00380B40" w:rsidRDefault="007D66BD" w:rsidP="007D66BD">
      <w:pPr>
        <w:pStyle w:val="enumlev1"/>
        <w:rPr>
          <w:lang w:val="en-GB"/>
        </w:rPr>
      </w:pPr>
      <w:r w:rsidRPr="00380B40">
        <w:rPr>
          <w:i/>
          <w:iCs/>
          <w:lang w:val="en-GB"/>
        </w:rPr>
        <w:t>g)</w:t>
      </w:r>
      <w:r w:rsidRPr="00380B40">
        <w:rPr>
          <w:i/>
          <w:iCs/>
          <w:lang w:val="en-GB"/>
        </w:rPr>
        <w:tab/>
      </w:r>
      <w:r w:rsidRPr="00380B40">
        <w:rPr>
          <w:lang w:val="en-GB"/>
        </w:rPr>
        <w:t>identify changing requirements and provide advice on appropriate changes to be made to the priority of work in ITU</w:t>
      </w:r>
      <w:r w:rsidRPr="00380B40">
        <w:rPr>
          <w:lang w:val="en-GB"/>
        </w:rPr>
        <w:noBreakHyphen/>
        <w:t>T study groups, planning and allocation of work between study groups, having due regard for the cost and availability of resources;</w:t>
      </w:r>
    </w:p>
    <w:p w14:paraId="5830EC4A" w14:textId="77777777" w:rsidR="007D66BD" w:rsidRPr="00380B40" w:rsidRDefault="007D66BD" w:rsidP="007D66BD">
      <w:pPr>
        <w:pStyle w:val="enumlev1"/>
        <w:rPr>
          <w:lang w:val="en-GB"/>
        </w:rPr>
      </w:pPr>
      <w:r w:rsidRPr="00380B40">
        <w:rPr>
          <w:i/>
          <w:iCs/>
          <w:lang w:val="en-GB"/>
        </w:rPr>
        <w:t>h)</w:t>
      </w:r>
      <w:r w:rsidRPr="00380B40">
        <w:rPr>
          <w:lang w:val="en-GB"/>
        </w:rPr>
        <w:tab/>
        <w:t>take an active role in ensuring coordination among ITU-T activities, particularly on standardization issues that are being studied in more than one group;</w:t>
      </w:r>
    </w:p>
    <w:p w14:paraId="67E5A514" w14:textId="77777777" w:rsidR="007D66BD" w:rsidRPr="00380B40" w:rsidRDefault="007D66BD" w:rsidP="007D66BD">
      <w:pPr>
        <w:pStyle w:val="enumlev1"/>
        <w:rPr>
          <w:lang w:val="en-GB"/>
        </w:rPr>
      </w:pPr>
      <w:r w:rsidRPr="00380B40">
        <w:rPr>
          <w:i/>
          <w:iCs/>
          <w:lang w:val="en-GB"/>
        </w:rPr>
        <w:t>i)</w:t>
      </w:r>
      <w:r w:rsidRPr="00380B40">
        <w:rPr>
          <w:lang w:val="en-GB"/>
        </w:rPr>
        <w:tab/>
        <w:t>review reports of and consider appropriate proposals made by coordination groups and other groups, and implement those that are agreed;</w:t>
      </w:r>
    </w:p>
    <w:p w14:paraId="6FFAD411" w14:textId="77777777" w:rsidR="007D66BD" w:rsidRPr="00380B40" w:rsidRDefault="007D66BD" w:rsidP="007D66BD">
      <w:pPr>
        <w:pStyle w:val="enumlev1"/>
        <w:rPr>
          <w:lang w:val="en-GB"/>
        </w:rPr>
      </w:pPr>
      <w:r w:rsidRPr="00380B40">
        <w:rPr>
          <w:i/>
          <w:iCs/>
          <w:lang w:val="en-GB"/>
        </w:rPr>
        <w:t>j)</w:t>
      </w:r>
      <w:r w:rsidRPr="00380B40">
        <w:rPr>
          <w:lang w:val="en-GB"/>
        </w:rPr>
        <w:tab/>
        <w:t>identify requirements and provide determination on appropriate changes to be made where overlapping issues arise, which includes, but is not limited to, assignment of a mandate to a study group to lead on coordination work;</w:t>
      </w:r>
    </w:p>
    <w:p w14:paraId="04A68E49" w14:textId="77777777" w:rsidR="007D66BD" w:rsidRPr="00380B40" w:rsidRDefault="007D66BD" w:rsidP="007D66BD">
      <w:pPr>
        <w:pStyle w:val="enumlev1"/>
        <w:rPr>
          <w:lang w:val="en-GB"/>
        </w:rPr>
      </w:pPr>
      <w:r w:rsidRPr="00380B40">
        <w:rPr>
          <w:i/>
          <w:iCs/>
          <w:lang w:val="en-GB"/>
        </w:rPr>
        <w:t>k)</w:t>
      </w:r>
      <w:r w:rsidRPr="00380B40">
        <w:rPr>
          <w:lang w:val="en-GB"/>
        </w:rPr>
        <w:tab/>
        <w:t>establish the appropriate mechanism and encourage the utilization, for example, of coordination groups or other groups to address key topics of work which span several study groups, with a view to ensuring effective coordination of standardization topics in order to achieve suitable global solutions;</w:t>
      </w:r>
    </w:p>
    <w:p w14:paraId="04AD2E9C" w14:textId="77777777" w:rsidR="008547D7" w:rsidRPr="00380B40" w:rsidRDefault="008547D7" w:rsidP="007D66BD">
      <w:pPr>
        <w:pStyle w:val="enumlev1"/>
        <w:rPr>
          <w:i/>
          <w:iCs/>
          <w:lang w:val="en-GB"/>
        </w:rPr>
      </w:pPr>
      <w:r w:rsidRPr="00380B40">
        <w:rPr>
          <w:i/>
          <w:iCs/>
          <w:lang w:val="en-GB"/>
        </w:rPr>
        <w:br w:type="page"/>
      </w:r>
    </w:p>
    <w:p w14:paraId="02E1D0F8" w14:textId="77777777" w:rsidR="007D66BD" w:rsidRPr="00380B40" w:rsidRDefault="007D66BD" w:rsidP="007D66BD">
      <w:pPr>
        <w:pStyle w:val="enumlev1"/>
        <w:rPr>
          <w:lang w:val="en-GB"/>
        </w:rPr>
      </w:pPr>
      <w:r w:rsidRPr="00380B40">
        <w:rPr>
          <w:i/>
          <w:iCs/>
          <w:lang w:val="en-GB"/>
        </w:rPr>
        <w:t>l)</w:t>
      </w:r>
      <w:r w:rsidRPr="00380B40">
        <w:rPr>
          <w:lang w:val="en-GB"/>
        </w:rPr>
        <w:tab/>
        <w:t>review progress in the implementation of the ITU</w:t>
      </w:r>
      <w:r w:rsidRPr="00380B40">
        <w:rPr>
          <w:lang w:val="en-GB"/>
        </w:rPr>
        <w:noBreakHyphen/>
        <w:t>T work programme, including fostering coordination and collaboration with other relevant bodies such as standardization organizations, forums and consortia outside of ITU;</w:t>
      </w:r>
    </w:p>
    <w:p w14:paraId="2C1A79B6" w14:textId="77777777" w:rsidR="007D66BD" w:rsidRPr="00380B40" w:rsidRDefault="007D66BD" w:rsidP="007D66BD">
      <w:pPr>
        <w:pStyle w:val="enumlev1"/>
        <w:rPr>
          <w:lang w:val="en-GB"/>
        </w:rPr>
      </w:pPr>
      <w:r w:rsidRPr="00380B40">
        <w:rPr>
          <w:i/>
          <w:iCs/>
          <w:lang w:val="en-GB"/>
        </w:rPr>
        <w:t>m)</w:t>
      </w:r>
      <w:r w:rsidRPr="00380B40">
        <w:rPr>
          <w:lang w:val="en-GB"/>
        </w:rPr>
        <w:tab/>
        <w:t>cooperate and coordinate with ITU-R and ITU-D and with other, external, standardization bodies;</w:t>
      </w:r>
    </w:p>
    <w:p w14:paraId="0EBBF6C4" w14:textId="77777777" w:rsidR="007D66BD" w:rsidRPr="00380B40" w:rsidRDefault="007D66BD" w:rsidP="007D66BD">
      <w:pPr>
        <w:pStyle w:val="enumlev1"/>
        <w:rPr>
          <w:lang w:val="en-GB"/>
        </w:rPr>
      </w:pPr>
      <w:r w:rsidRPr="00380B40">
        <w:rPr>
          <w:i/>
          <w:iCs/>
          <w:lang w:val="en-GB"/>
        </w:rPr>
        <w:t>n)</w:t>
      </w:r>
      <w:r w:rsidRPr="00380B40">
        <w:rPr>
          <w:lang w:val="en-GB"/>
        </w:rPr>
        <w:tab/>
        <w:t>advise the Director of TSB on financial and other matters;</w:t>
      </w:r>
    </w:p>
    <w:p w14:paraId="5BF677CC" w14:textId="77777777" w:rsidR="007D66BD" w:rsidRPr="00380B40" w:rsidRDefault="007D66BD" w:rsidP="007D66BD">
      <w:pPr>
        <w:pStyle w:val="enumlev1"/>
        <w:rPr>
          <w:lang w:val="en-GB"/>
        </w:rPr>
      </w:pPr>
      <w:r w:rsidRPr="00380B40">
        <w:rPr>
          <w:i/>
          <w:iCs/>
          <w:lang w:val="en-GB"/>
        </w:rPr>
        <w:t>o)</w:t>
      </w:r>
      <w:r w:rsidRPr="00380B40">
        <w:rPr>
          <w:lang w:val="en-GB"/>
        </w:rPr>
        <w:tab/>
        <w:t>approve the programme of work arising from the review of existing and new Questions and determine the priority, urgency, estimated financial implications and time-scale for the completion of their study;</w:t>
      </w:r>
    </w:p>
    <w:p w14:paraId="195EA899" w14:textId="77777777" w:rsidR="007D66BD" w:rsidRPr="00380B40" w:rsidRDefault="007D66BD" w:rsidP="007D66BD">
      <w:pPr>
        <w:pStyle w:val="enumlev1"/>
        <w:rPr>
          <w:lang w:val="en-GB"/>
        </w:rPr>
      </w:pPr>
      <w:r w:rsidRPr="00380B40">
        <w:rPr>
          <w:i/>
          <w:iCs/>
          <w:lang w:val="en-GB"/>
        </w:rPr>
        <w:t>p)</w:t>
      </w:r>
      <w:r w:rsidRPr="00380B40">
        <w:rPr>
          <w:lang w:val="en-GB"/>
        </w:rPr>
        <w:tab/>
        <w:t>group, as far as practicable, Questions of interest to developing countries</w:t>
      </w:r>
      <w:r w:rsidR="00FD162E" w:rsidRPr="00380B40">
        <w:rPr>
          <w:rStyle w:val="FootnoteReference"/>
          <w:lang w:val="en-GB"/>
        </w:rPr>
        <w:footnoteReference w:id="15"/>
      </w:r>
      <w:r w:rsidRPr="00380B40">
        <w:rPr>
          <w:lang w:val="en-GB"/>
        </w:rPr>
        <w:t xml:space="preserve"> in order to facilitate their participation in these studies;</w:t>
      </w:r>
    </w:p>
    <w:p w14:paraId="5F76C71A" w14:textId="77777777" w:rsidR="007D66BD" w:rsidRPr="00380B40" w:rsidRDefault="007D66BD" w:rsidP="007D66BD">
      <w:pPr>
        <w:pStyle w:val="enumlev1"/>
        <w:rPr>
          <w:lang w:val="en-GB"/>
        </w:rPr>
      </w:pPr>
      <w:r w:rsidRPr="00380B40">
        <w:rPr>
          <w:i/>
          <w:iCs/>
          <w:lang w:val="en-GB"/>
        </w:rPr>
        <w:t>q)</w:t>
      </w:r>
      <w:r w:rsidRPr="00380B40">
        <w:rPr>
          <w:lang w:val="en-GB"/>
        </w:rPr>
        <w:tab/>
        <w:t>address other specific matters within the competence of WTSA, subject to the approval of Member States, using the approval procedure contained in Resolution 1 (Rev. Geneva, 2022) of this assembly, Section 9;</w:t>
      </w:r>
    </w:p>
    <w:p w14:paraId="6AC12242" w14:textId="77777777" w:rsidR="007D66BD" w:rsidRPr="00380B40" w:rsidRDefault="007D66BD" w:rsidP="007D66BD">
      <w:pPr>
        <w:pStyle w:val="enumlev1"/>
        <w:rPr>
          <w:lang w:val="en-GB"/>
        </w:rPr>
      </w:pPr>
      <w:r w:rsidRPr="00380B40">
        <w:rPr>
          <w:i/>
          <w:iCs/>
          <w:lang w:val="en-GB"/>
        </w:rPr>
        <w:t>r)</w:t>
      </w:r>
      <w:r w:rsidRPr="00380B40">
        <w:rPr>
          <w:lang w:val="en-GB"/>
        </w:rPr>
        <w:tab/>
        <w:t>take into account the interests of developing countries and encourage and facilitate their involvement in these activities,</w:t>
      </w:r>
    </w:p>
    <w:p w14:paraId="0E4C3ACF" w14:textId="77777777" w:rsidR="007D66BD" w:rsidRPr="00380B40" w:rsidRDefault="007D66BD" w:rsidP="007D66BD">
      <w:pPr>
        <w:rPr>
          <w:szCs w:val="24"/>
          <w:lang w:val="en-GB"/>
        </w:rPr>
      </w:pPr>
      <w:r w:rsidRPr="00380B40">
        <w:rPr>
          <w:szCs w:val="24"/>
          <w:lang w:val="en-GB"/>
        </w:rPr>
        <w:t>2</w:t>
      </w:r>
      <w:r w:rsidRPr="00380B40">
        <w:rPr>
          <w:szCs w:val="24"/>
          <w:lang w:val="en-GB"/>
        </w:rPr>
        <w:tab/>
        <w:t>that TSAG examine implementation of the actions and achievement of the goals as reflected in the annual ITU-T operational plan and in the WTSA</w:t>
      </w:r>
      <w:r w:rsidRPr="00380B40">
        <w:rPr>
          <w:szCs w:val="24"/>
          <w:lang w:val="en-GB"/>
        </w:rPr>
        <w:noBreakHyphen/>
        <w:t>20 Action Plan, which includes the WTSA resolutions, for the purpose of identifying possible difficulties and possible strategies for implementing key elements, and recommending solutions to the Director of TSB regarding them;</w:t>
      </w:r>
    </w:p>
    <w:p w14:paraId="1D78E234" w14:textId="77777777" w:rsidR="007D66BD" w:rsidRPr="00380B40" w:rsidRDefault="007D66BD" w:rsidP="007D66BD">
      <w:pPr>
        <w:rPr>
          <w:szCs w:val="24"/>
          <w:lang w:val="en-GB"/>
        </w:rPr>
      </w:pPr>
      <w:r w:rsidRPr="00380B40">
        <w:rPr>
          <w:szCs w:val="24"/>
          <w:lang w:val="en-GB"/>
        </w:rPr>
        <w:t>3</w:t>
      </w:r>
      <w:r w:rsidRPr="00380B40">
        <w:rPr>
          <w:szCs w:val="24"/>
          <w:lang w:val="en-GB"/>
        </w:rPr>
        <w:tab/>
        <w:t>that revisions to the relevant procedures for the adoption of Questions and Recommendations by study groups, other than those referred to in Nos. 246D, 246F and 246H of the Convention, may be initiated by TSAG for approval by Member States between WTSAs, using the approval procedure contained in Resolution 1 (Rev. Geneva, 2022) of this assembly, Section 9;</w:t>
      </w:r>
    </w:p>
    <w:p w14:paraId="418AB7E9" w14:textId="77777777" w:rsidR="007D66BD" w:rsidRPr="00380B40" w:rsidRDefault="007D66BD" w:rsidP="007D66BD">
      <w:pPr>
        <w:rPr>
          <w:szCs w:val="24"/>
          <w:lang w:val="en-GB"/>
        </w:rPr>
      </w:pPr>
      <w:r w:rsidRPr="00380B40">
        <w:rPr>
          <w:szCs w:val="24"/>
          <w:lang w:val="en-GB"/>
        </w:rPr>
        <w:t>4</w:t>
      </w:r>
      <w:r w:rsidRPr="00380B40">
        <w:rPr>
          <w:szCs w:val="24"/>
          <w:lang w:val="en-GB"/>
        </w:rPr>
        <w:tab/>
        <w:t>that TSAG provide liaison on its activities to relevant organizations outside ITU in consultation with the Director of TSB, as appropriate;</w:t>
      </w:r>
    </w:p>
    <w:p w14:paraId="01BE4961" w14:textId="77777777" w:rsidR="007D66BD" w:rsidRPr="00380B40" w:rsidRDefault="007D66BD" w:rsidP="007D66BD">
      <w:pPr>
        <w:rPr>
          <w:szCs w:val="24"/>
          <w:lang w:val="en-GB"/>
        </w:rPr>
      </w:pPr>
      <w:r w:rsidRPr="00380B40">
        <w:rPr>
          <w:szCs w:val="24"/>
          <w:lang w:val="en-GB"/>
        </w:rPr>
        <w:t>5</w:t>
      </w:r>
      <w:r w:rsidRPr="00380B40">
        <w:rPr>
          <w:szCs w:val="24"/>
          <w:lang w:val="en-GB"/>
        </w:rPr>
        <w:tab/>
        <w:t>that TSAG consider the implications, for ITU</w:t>
      </w:r>
      <w:r w:rsidRPr="00380B40">
        <w:rPr>
          <w:szCs w:val="24"/>
          <w:lang w:val="en-GB"/>
        </w:rPr>
        <w:noBreakHyphen/>
        <w:t>T, of market needs and new and emerging technologies that have not yet been considered for standardization by ITU</w:t>
      </w:r>
      <w:r w:rsidRPr="00380B40">
        <w:rPr>
          <w:szCs w:val="24"/>
          <w:lang w:val="en-GB"/>
        </w:rPr>
        <w:noBreakHyphen/>
        <w:t>T, establish an appropriate mechanism to facilitate the examination of their consideration, for example assigning Questions, coordinating the work of study groups or establishing coordination groups or other groups, and appoint their chairmen and vice-chairmen;</w:t>
      </w:r>
    </w:p>
    <w:p w14:paraId="7C11B8A5" w14:textId="77777777" w:rsidR="007D66BD" w:rsidRPr="00380B40" w:rsidRDefault="007D66BD" w:rsidP="007D66BD">
      <w:pPr>
        <w:rPr>
          <w:szCs w:val="24"/>
          <w:lang w:val="en-GB"/>
        </w:rPr>
      </w:pPr>
      <w:r w:rsidRPr="00380B40">
        <w:rPr>
          <w:szCs w:val="24"/>
          <w:lang w:val="en-GB"/>
        </w:rPr>
        <w:t>6</w:t>
      </w:r>
      <w:r w:rsidRPr="00380B40">
        <w:rPr>
          <w:szCs w:val="24"/>
          <w:lang w:val="en-GB"/>
        </w:rPr>
        <w:tab/>
        <w:t>that TSAG review and coordinate standardization strategies for ITU</w:t>
      </w:r>
      <w:r w:rsidRPr="00380B40">
        <w:rPr>
          <w:szCs w:val="24"/>
          <w:lang w:val="en-GB"/>
        </w:rPr>
        <w:noBreakHyphen/>
        <w:t>T by identifying the main technological trends and market, economic and policy needs in the fields of activity relevant to the mandate of ITU</w:t>
      </w:r>
      <w:r w:rsidRPr="00380B40">
        <w:rPr>
          <w:szCs w:val="24"/>
          <w:lang w:val="en-GB"/>
        </w:rPr>
        <w:noBreakHyphen/>
        <w:t>T, and identify possible topics and issues for consideration in ITU</w:t>
      </w:r>
      <w:r w:rsidRPr="00380B40">
        <w:rPr>
          <w:szCs w:val="24"/>
          <w:lang w:val="en-GB"/>
        </w:rPr>
        <w:noBreakHyphen/>
        <w:t>T's standardization strategies;</w:t>
      </w:r>
    </w:p>
    <w:p w14:paraId="4EE58ACD" w14:textId="77777777" w:rsidR="008547D7" w:rsidRPr="00380B40" w:rsidRDefault="008547D7" w:rsidP="007D66BD">
      <w:pPr>
        <w:rPr>
          <w:szCs w:val="24"/>
          <w:lang w:val="en-GB"/>
        </w:rPr>
      </w:pPr>
      <w:r w:rsidRPr="00380B40">
        <w:rPr>
          <w:szCs w:val="24"/>
          <w:lang w:val="en-GB"/>
        </w:rPr>
        <w:br w:type="page"/>
      </w:r>
    </w:p>
    <w:p w14:paraId="570ACACA" w14:textId="77777777" w:rsidR="007D66BD" w:rsidRPr="00380B40" w:rsidRDefault="007D66BD" w:rsidP="007D66BD">
      <w:pPr>
        <w:rPr>
          <w:szCs w:val="24"/>
          <w:lang w:val="en-GB"/>
        </w:rPr>
      </w:pPr>
      <w:r w:rsidRPr="00380B40">
        <w:rPr>
          <w:szCs w:val="24"/>
          <w:lang w:val="en-GB"/>
        </w:rPr>
        <w:t>7</w:t>
      </w:r>
      <w:r w:rsidRPr="00380B40">
        <w:rPr>
          <w:szCs w:val="24"/>
          <w:lang w:val="en-GB"/>
        </w:rPr>
        <w:tab/>
        <w:t>that TSAG establish an appropriate mechanism to facilitate standardization strategies, for example assigning Questions, coordinating the work of study groups or establishing coordination groups or other groups, and appoint their chairmen and vice-chairmen;</w:t>
      </w:r>
    </w:p>
    <w:p w14:paraId="54128BF0" w14:textId="77777777" w:rsidR="007D66BD" w:rsidRPr="00380B40" w:rsidRDefault="007D66BD" w:rsidP="007D66BD">
      <w:pPr>
        <w:rPr>
          <w:szCs w:val="24"/>
          <w:lang w:val="en-GB"/>
        </w:rPr>
      </w:pPr>
      <w:r w:rsidRPr="00380B40">
        <w:rPr>
          <w:szCs w:val="24"/>
          <w:lang w:val="en-GB"/>
        </w:rPr>
        <w:t>8</w:t>
      </w:r>
      <w:r w:rsidRPr="00380B40">
        <w:rPr>
          <w:szCs w:val="24"/>
          <w:lang w:val="en-GB"/>
        </w:rPr>
        <w:tab/>
        <w:t>that TSAG consider the result of this assembly concerning GSS and take follow-up actions, as appropriate;</w:t>
      </w:r>
    </w:p>
    <w:p w14:paraId="668F46E2" w14:textId="77777777" w:rsidR="007D66BD" w:rsidRPr="00380B40" w:rsidRDefault="007D66BD" w:rsidP="007D66BD">
      <w:pPr>
        <w:rPr>
          <w:szCs w:val="24"/>
          <w:lang w:val="en-GB"/>
        </w:rPr>
      </w:pPr>
      <w:r w:rsidRPr="00380B40">
        <w:rPr>
          <w:szCs w:val="24"/>
          <w:lang w:val="en-GB"/>
        </w:rPr>
        <w:t>9</w:t>
      </w:r>
      <w:r w:rsidRPr="00380B40">
        <w:rPr>
          <w:szCs w:val="24"/>
          <w:lang w:val="en-GB"/>
        </w:rPr>
        <w:tab/>
        <w:t>that a report on the above TSAG activities shall be submitted to the next WTSA,</w:t>
      </w:r>
    </w:p>
    <w:p w14:paraId="219F3DFF" w14:textId="77777777" w:rsidR="007D66BD" w:rsidRPr="00380B40" w:rsidRDefault="007D66BD" w:rsidP="007D66BD">
      <w:pPr>
        <w:pStyle w:val="Call"/>
        <w:rPr>
          <w:lang w:val="en-GB"/>
        </w:rPr>
      </w:pPr>
      <w:bookmarkStart w:id="128" w:name="_Hlk97195382"/>
      <w:r w:rsidRPr="00380B40">
        <w:rPr>
          <w:lang w:val="en-GB"/>
        </w:rPr>
        <w:t>instructs the Director of the Telecommunication Standardization Bureau</w:t>
      </w:r>
    </w:p>
    <w:bookmarkEnd w:id="128"/>
    <w:p w14:paraId="751A16B5" w14:textId="77777777" w:rsidR="007D66BD" w:rsidRPr="00380B40" w:rsidRDefault="007D66BD" w:rsidP="007D66BD">
      <w:pPr>
        <w:rPr>
          <w:szCs w:val="24"/>
          <w:lang w:val="en-GB"/>
        </w:rPr>
      </w:pPr>
      <w:r w:rsidRPr="00380B40">
        <w:rPr>
          <w:szCs w:val="24"/>
          <w:lang w:val="en-GB"/>
        </w:rPr>
        <w:t>1</w:t>
      </w:r>
      <w:r w:rsidRPr="00380B40">
        <w:rPr>
          <w:szCs w:val="24"/>
          <w:lang w:val="en-GB"/>
        </w:rPr>
        <w:tab/>
        <w:t>to take into consideration the advice and guidance of TSAG in order to improve the effectiveness and efficiency of ITU-T;</w:t>
      </w:r>
    </w:p>
    <w:p w14:paraId="04E60B01" w14:textId="77777777" w:rsidR="007D66BD" w:rsidRPr="00380B40" w:rsidRDefault="007D66BD" w:rsidP="007D66BD">
      <w:pPr>
        <w:rPr>
          <w:szCs w:val="24"/>
          <w:lang w:val="en-GB"/>
        </w:rPr>
      </w:pPr>
      <w:r w:rsidRPr="00380B40">
        <w:rPr>
          <w:szCs w:val="24"/>
          <w:lang w:val="en-GB"/>
        </w:rPr>
        <w:t>2</w:t>
      </w:r>
      <w:r w:rsidRPr="00380B40">
        <w:rPr>
          <w:szCs w:val="24"/>
          <w:lang w:val="en-GB"/>
        </w:rPr>
        <w:tab/>
        <w:t xml:space="preserve">to provide to each TSAG meeting a report on: </w:t>
      </w:r>
    </w:p>
    <w:p w14:paraId="0840D28C" w14:textId="77777777" w:rsidR="007D66BD" w:rsidRPr="00380B40" w:rsidRDefault="002F7194" w:rsidP="007D66BD">
      <w:pPr>
        <w:pStyle w:val="enumlev1"/>
        <w:rPr>
          <w:lang w:val="en-GB"/>
        </w:rPr>
      </w:pPr>
      <w:r w:rsidRPr="00380B40">
        <w:rPr>
          <w:lang w:val="en-GB"/>
        </w:rPr>
        <w:t>–</w:t>
      </w:r>
      <w:r w:rsidR="007D66BD" w:rsidRPr="00380B40">
        <w:rPr>
          <w:lang w:val="en-GB"/>
        </w:rPr>
        <w:tab/>
        <w:t>the implementation of WTSA resolutions and actions to be undertaken pursuant to their operative paragraphs;</w:t>
      </w:r>
    </w:p>
    <w:p w14:paraId="39DA0CA4" w14:textId="77777777" w:rsidR="007D66BD" w:rsidRPr="00380B40" w:rsidRDefault="002F7194" w:rsidP="007D66BD">
      <w:pPr>
        <w:pStyle w:val="enumlev1"/>
        <w:rPr>
          <w:szCs w:val="24"/>
          <w:lang w:val="en-GB"/>
        </w:rPr>
      </w:pPr>
      <w:r w:rsidRPr="00380B40">
        <w:rPr>
          <w:lang w:val="en-GB"/>
        </w:rPr>
        <w:t>–</w:t>
      </w:r>
      <w:r w:rsidR="007D66BD" w:rsidRPr="00380B40">
        <w:rPr>
          <w:szCs w:val="24"/>
          <w:lang w:val="en-GB"/>
        </w:rPr>
        <w:tab/>
        <w:t>the progress of the ITU-T annual operational plan and WTSA</w:t>
      </w:r>
      <w:r w:rsidR="007D66BD" w:rsidRPr="00380B40">
        <w:rPr>
          <w:szCs w:val="24"/>
          <w:lang w:val="en-GB"/>
        </w:rPr>
        <w:noBreakHyphen/>
        <w:t>20 Action Plan, identifying difficulties, if any, that hinder the progress, and possible solutions;</w:t>
      </w:r>
    </w:p>
    <w:p w14:paraId="7D23C9DD" w14:textId="77777777" w:rsidR="007D66BD" w:rsidRPr="00380B40" w:rsidRDefault="007D66BD" w:rsidP="007D66BD">
      <w:pPr>
        <w:rPr>
          <w:szCs w:val="24"/>
          <w:lang w:val="en-GB"/>
        </w:rPr>
      </w:pPr>
      <w:r w:rsidRPr="00380B40">
        <w:rPr>
          <w:szCs w:val="24"/>
          <w:lang w:val="en-GB"/>
        </w:rPr>
        <w:t>3</w:t>
      </w:r>
      <w:r w:rsidRPr="00380B40">
        <w:rPr>
          <w:szCs w:val="24"/>
          <w:lang w:val="en-GB"/>
        </w:rPr>
        <w:tab/>
        <w:t>to provide information about any work item that has not given rise to any contribution in the time interval of the previous two study group meetings through the Director</w:t>
      </w:r>
      <w:r w:rsidR="00F82355" w:rsidRPr="00380B40">
        <w:rPr>
          <w:szCs w:val="24"/>
          <w:lang w:val="en-GB"/>
        </w:rPr>
        <w:t>'</w:t>
      </w:r>
      <w:r w:rsidRPr="00380B40">
        <w:rPr>
          <w:szCs w:val="24"/>
          <w:lang w:val="en-GB"/>
        </w:rPr>
        <w:t>s report on study group activity;</w:t>
      </w:r>
    </w:p>
    <w:p w14:paraId="61041EC4" w14:textId="77777777" w:rsidR="007D66BD" w:rsidRPr="00380B40" w:rsidRDefault="007D66BD" w:rsidP="007D66BD">
      <w:pPr>
        <w:rPr>
          <w:szCs w:val="24"/>
          <w:lang w:val="en-GB"/>
        </w:rPr>
      </w:pPr>
      <w:r w:rsidRPr="00380B40">
        <w:rPr>
          <w:iCs/>
          <w:szCs w:val="24"/>
          <w:lang w:val="en-GB"/>
        </w:rPr>
        <w:t>4</w:t>
      </w:r>
      <w:r w:rsidRPr="00380B40">
        <w:rPr>
          <w:iCs/>
          <w:szCs w:val="24"/>
          <w:lang w:val="en-GB"/>
        </w:rPr>
        <w:tab/>
      </w:r>
      <w:r w:rsidRPr="00380B40">
        <w:rPr>
          <w:szCs w:val="24"/>
          <w:lang w:val="en-GB"/>
        </w:rPr>
        <w:t>to report to TSAG on the experience in the implementation of the A-series Recommendations for consideration by the ITU</w:t>
      </w:r>
      <w:r w:rsidRPr="00380B40">
        <w:rPr>
          <w:szCs w:val="24"/>
          <w:lang w:val="en-GB"/>
        </w:rPr>
        <w:noBreakHyphen/>
        <w:t>T membership.</w:t>
      </w:r>
    </w:p>
    <w:p w14:paraId="761D2C3A" w14:textId="77777777" w:rsidR="007D66BD" w:rsidRPr="00380B40" w:rsidRDefault="007D66BD" w:rsidP="007D66BD">
      <w:pPr>
        <w:pStyle w:val="Reasons"/>
      </w:pPr>
    </w:p>
    <w:p w14:paraId="5836A3E8" w14:textId="77777777" w:rsidR="008547D7" w:rsidRPr="00380B40" w:rsidRDefault="008547D7" w:rsidP="007D66BD">
      <w:pPr>
        <w:pStyle w:val="Reasons"/>
      </w:pPr>
    </w:p>
    <w:p w14:paraId="433AD86B" w14:textId="77777777" w:rsidR="008547D7" w:rsidRPr="00380B40" w:rsidRDefault="008547D7" w:rsidP="007D66BD">
      <w:pPr>
        <w:pStyle w:val="Reasons"/>
      </w:pPr>
    </w:p>
    <w:p w14:paraId="438D523E" w14:textId="77777777" w:rsidR="008547D7" w:rsidRPr="00380B40" w:rsidRDefault="008547D7" w:rsidP="007D66BD">
      <w:pPr>
        <w:pStyle w:val="Reasons"/>
      </w:pPr>
    </w:p>
    <w:p w14:paraId="1F98F868" w14:textId="77777777" w:rsidR="008547D7" w:rsidRPr="00380B40" w:rsidRDefault="008547D7" w:rsidP="007D66BD">
      <w:pPr>
        <w:pStyle w:val="Reasons"/>
      </w:pPr>
    </w:p>
    <w:p w14:paraId="4A7E6621" w14:textId="77777777" w:rsidR="008547D7" w:rsidRPr="00380B40" w:rsidRDefault="008547D7" w:rsidP="007D66BD">
      <w:pPr>
        <w:pStyle w:val="Reasons"/>
      </w:pPr>
    </w:p>
    <w:p w14:paraId="6E20CA3D" w14:textId="77777777" w:rsidR="008547D7" w:rsidRPr="00380B40" w:rsidRDefault="008547D7" w:rsidP="007D66BD">
      <w:pPr>
        <w:pStyle w:val="Reasons"/>
      </w:pPr>
    </w:p>
    <w:p w14:paraId="7AFB8696" w14:textId="77777777" w:rsidR="008547D7" w:rsidRPr="00380B40" w:rsidRDefault="008547D7" w:rsidP="007D66BD">
      <w:pPr>
        <w:pStyle w:val="Reasons"/>
      </w:pPr>
    </w:p>
    <w:p w14:paraId="1E670F39" w14:textId="77777777" w:rsidR="008547D7" w:rsidRPr="00380B40" w:rsidRDefault="008547D7" w:rsidP="007D66BD">
      <w:pPr>
        <w:pStyle w:val="Reasons"/>
      </w:pPr>
    </w:p>
    <w:p w14:paraId="72BFB261" w14:textId="77777777" w:rsidR="008547D7" w:rsidRPr="00380B40" w:rsidRDefault="008547D7" w:rsidP="007D66BD">
      <w:pPr>
        <w:pStyle w:val="Reasons"/>
      </w:pPr>
    </w:p>
    <w:p w14:paraId="3F2B27AD" w14:textId="77777777" w:rsidR="008547D7" w:rsidRPr="00380B40" w:rsidRDefault="008547D7" w:rsidP="007D66BD">
      <w:pPr>
        <w:pStyle w:val="Reasons"/>
      </w:pPr>
    </w:p>
    <w:p w14:paraId="759DFC2C" w14:textId="77777777" w:rsidR="00275860" w:rsidRPr="00380B40" w:rsidRDefault="00275860" w:rsidP="00275860">
      <w:pPr>
        <w:rPr>
          <w:lang w:val="en-GB"/>
        </w:rPr>
      </w:pPr>
    </w:p>
    <w:p w14:paraId="48E02C81" w14:textId="77777777" w:rsidR="00E64A6B" w:rsidRPr="00380B40" w:rsidRDefault="00E64A6B" w:rsidP="00E64A6B">
      <w:pPr>
        <w:rPr>
          <w:lang w:val="en-GB"/>
        </w:rPr>
      </w:pPr>
    </w:p>
    <w:p w14:paraId="5B1828E7" w14:textId="77777777" w:rsidR="00E64A6B" w:rsidRPr="00380B40" w:rsidRDefault="00E64A6B" w:rsidP="00E64A6B">
      <w:pPr>
        <w:rPr>
          <w:lang w:val="en-GB"/>
        </w:rPr>
        <w:sectPr w:rsidR="00E64A6B" w:rsidRPr="00380B40" w:rsidSect="00BD4379">
          <w:headerReference w:type="even" r:id="rId65"/>
          <w:headerReference w:type="default" r:id="rId66"/>
          <w:footerReference w:type="even" r:id="rId67"/>
          <w:footerReference w:type="default" r:id="rId68"/>
          <w:headerReference w:type="first" r:id="rId69"/>
          <w:footerReference w:type="first" r:id="rId70"/>
          <w:footnotePr>
            <w:numRestart w:val="eachSect"/>
          </w:footnotePr>
          <w:pgSz w:w="11907" w:h="16834" w:code="9"/>
          <w:pgMar w:top="1134" w:right="1134" w:bottom="1134" w:left="1134" w:header="567" w:footer="567" w:gutter="0"/>
          <w:paperSrc w:first="15" w:other="15"/>
          <w:cols w:space="720"/>
          <w:vAlign w:val="both"/>
          <w:docGrid w:linePitch="299"/>
        </w:sectPr>
      </w:pPr>
    </w:p>
    <w:p w14:paraId="48E6102B" w14:textId="77777777" w:rsidR="00275860" w:rsidRPr="00380B40" w:rsidRDefault="00275860" w:rsidP="001F506B">
      <w:pPr>
        <w:pStyle w:val="ResNo"/>
        <w:rPr>
          <w:lang w:val="en-GB"/>
        </w:rPr>
      </w:pPr>
      <w:bookmarkStart w:id="129" w:name="_Toc104459707"/>
      <w:bookmarkStart w:id="130" w:name="_Toc104476515"/>
      <w:bookmarkStart w:id="131" w:name="_Toc111636760"/>
      <w:bookmarkStart w:id="132" w:name="_Toc111638408"/>
      <w:r w:rsidRPr="00380B40">
        <w:rPr>
          <w:lang w:val="en-GB"/>
        </w:rPr>
        <w:t xml:space="preserve">RESOLUTION </w:t>
      </w:r>
      <w:r w:rsidRPr="00380B40">
        <w:rPr>
          <w:rStyle w:val="href"/>
          <w:lang w:val="en-GB"/>
        </w:rPr>
        <w:t>29</w:t>
      </w:r>
      <w:r w:rsidRPr="00380B40">
        <w:rPr>
          <w:lang w:val="en-GB"/>
        </w:rPr>
        <w:t xml:space="preserve"> </w:t>
      </w:r>
      <w:r w:rsidR="001F506B" w:rsidRPr="00380B40">
        <w:rPr>
          <w:lang w:val="en-GB"/>
        </w:rPr>
        <w:t>(R</w:t>
      </w:r>
      <w:r w:rsidR="00135E8B" w:rsidRPr="00380B40">
        <w:rPr>
          <w:caps w:val="0"/>
          <w:lang w:val="en-GB"/>
        </w:rPr>
        <w:t>ev</w:t>
      </w:r>
      <w:r w:rsidR="001F506B" w:rsidRPr="00380B40">
        <w:rPr>
          <w:lang w:val="en-GB"/>
        </w:rPr>
        <w:t>. G</w:t>
      </w:r>
      <w:r w:rsidR="00135E8B" w:rsidRPr="00380B40">
        <w:rPr>
          <w:caps w:val="0"/>
          <w:lang w:val="en-GB"/>
        </w:rPr>
        <w:t>eneva</w:t>
      </w:r>
      <w:r w:rsidR="001F506B" w:rsidRPr="00380B40">
        <w:rPr>
          <w:lang w:val="en-GB"/>
        </w:rPr>
        <w:t>, 2022)</w:t>
      </w:r>
      <w:bookmarkEnd w:id="129"/>
      <w:bookmarkEnd w:id="130"/>
      <w:bookmarkEnd w:id="131"/>
      <w:bookmarkEnd w:id="132"/>
    </w:p>
    <w:p w14:paraId="3D070AD4" w14:textId="77777777" w:rsidR="004A0742" w:rsidRPr="00380B40" w:rsidRDefault="004A0742" w:rsidP="004A0742">
      <w:pPr>
        <w:pStyle w:val="Restitle"/>
        <w:rPr>
          <w:lang w:val="en-GB"/>
        </w:rPr>
      </w:pPr>
      <w:bookmarkStart w:id="133" w:name="_Toc104459708"/>
      <w:bookmarkStart w:id="134" w:name="_Toc104476516"/>
      <w:bookmarkStart w:id="135" w:name="_Toc111638409"/>
      <w:r w:rsidRPr="00380B40">
        <w:rPr>
          <w:lang w:val="en-GB"/>
        </w:rPr>
        <w:t>Alternative calling procedures on international telecommunication networks</w:t>
      </w:r>
      <w:bookmarkEnd w:id="133"/>
      <w:bookmarkEnd w:id="134"/>
      <w:bookmarkEnd w:id="135"/>
    </w:p>
    <w:p w14:paraId="52372C40" w14:textId="77777777" w:rsidR="004A0742" w:rsidRPr="00380B40" w:rsidRDefault="004A0742" w:rsidP="004A0742">
      <w:pPr>
        <w:pStyle w:val="Resref"/>
        <w:rPr>
          <w:lang w:val="en-GB"/>
        </w:rPr>
      </w:pPr>
      <w:r w:rsidRPr="00380B40">
        <w:rPr>
          <w:lang w:val="en-GB"/>
        </w:rPr>
        <w:t>(Geneva, 1996; Montreal, 2000; Florianópolis, 2004; Johannesburg, 2008;</w:t>
      </w:r>
      <w:r w:rsidRPr="00380B40">
        <w:rPr>
          <w:lang w:val="en-GB"/>
        </w:rPr>
        <w:br/>
        <w:t>Dubai, 2012; Hammamet, 2016; Geneva, 2022)</w:t>
      </w:r>
    </w:p>
    <w:p w14:paraId="29A966CC" w14:textId="77777777" w:rsidR="004A0742" w:rsidRPr="00380B40" w:rsidRDefault="004A0742" w:rsidP="004A0742">
      <w:pPr>
        <w:pStyle w:val="Normalaftertitle0"/>
      </w:pPr>
      <w:r w:rsidRPr="00380B40">
        <w:t>The World Telecommunication Standardization Assembly (Geneva, 2022),</w:t>
      </w:r>
    </w:p>
    <w:p w14:paraId="62D967E4" w14:textId="77777777" w:rsidR="004A0742" w:rsidRPr="00380B40" w:rsidRDefault="004A0742" w:rsidP="004A0742">
      <w:pPr>
        <w:pStyle w:val="Call"/>
        <w:rPr>
          <w:lang w:val="en-GB"/>
        </w:rPr>
      </w:pPr>
      <w:r w:rsidRPr="00380B40">
        <w:rPr>
          <w:lang w:val="en-GB"/>
        </w:rPr>
        <w:t>recalling</w:t>
      </w:r>
    </w:p>
    <w:p w14:paraId="4973701E" w14:textId="77777777" w:rsidR="004A0742" w:rsidRPr="00380B40" w:rsidRDefault="004A0742" w:rsidP="004A0742">
      <w:pPr>
        <w:rPr>
          <w:lang w:val="en-GB"/>
        </w:rPr>
      </w:pPr>
      <w:r w:rsidRPr="00380B40">
        <w:rPr>
          <w:i/>
          <w:iCs/>
          <w:lang w:val="en-GB"/>
        </w:rPr>
        <w:t>a)</w:t>
      </w:r>
      <w:r w:rsidRPr="00380B40">
        <w:rPr>
          <w:lang w:val="en-GB"/>
        </w:rPr>
        <w:tab/>
        <w:t>Resolution 1099, adopted by the Council at its 1996 session, concerning alternative calling procedures on international telecommunication networks, which urged the ITU Telecommunication Standardization Sector (ITU</w:t>
      </w:r>
      <w:r w:rsidRPr="00380B40">
        <w:rPr>
          <w:lang w:val="en-GB"/>
        </w:rPr>
        <w:noBreakHyphen/>
        <w:t>T) to develop, as soon as possible, the appropriate Recommendations concerning alternative calling procedures;</w:t>
      </w:r>
    </w:p>
    <w:p w14:paraId="6CA10404" w14:textId="77777777" w:rsidR="004A0742" w:rsidRPr="00380B40" w:rsidRDefault="004A0742" w:rsidP="004A0742">
      <w:pPr>
        <w:rPr>
          <w:lang w:val="en-GB"/>
        </w:rPr>
      </w:pPr>
      <w:r w:rsidRPr="00380B40">
        <w:rPr>
          <w:i/>
          <w:iCs/>
          <w:lang w:val="en-GB"/>
        </w:rPr>
        <w:t>b)</w:t>
      </w:r>
      <w:r w:rsidRPr="00380B40">
        <w:rPr>
          <w:lang w:val="en-GB"/>
        </w:rPr>
        <w:tab/>
        <w:t>Resolution 22 (Rev. Buenos Aires, 2017) of the World Telecommunication Development Conference, on alternative calling procedures on international telecommunication networks, identification of origin and apportionment of revenues in providing international telecommunication services;</w:t>
      </w:r>
    </w:p>
    <w:p w14:paraId="7823F47A" w14:textId="77777777" w:rsidR="004A0742" w:rsidRPr="00380B40" w:rsidRDefault="004A0742" w:rsidP="004A0742">
      <w:pPr>
        <w:rPr>
          <w:lang w:val="en-GB"/>
        </w:rPr>
      </w:pPr>
      <w:r w:rsidRPr="00380B40">
        <w:rPr>
          <w:i/>
          <w:iCs/>
          <w:lang w:val="en-GB"/>
        </w:rPr>
        <w:t>c)</w:t>
      </w:r>
      <w:r w:rsidRPr="00380B40">
        <w:rPr>
          <w:lang w:val="en-GB"/>
        </w:rPr>
        <w:tab/>
        <w:t xml:space="preserve">Resolution 21 (Rev. Dubai, 2018) of the Plenipotentiary Conference, on measures concerning alternative calling procedures on international telecommunication networks; </w:t>
      </w:r>
    </w:p>
    <w:p w14:paraId="1666E33C" w14:textId="77777777" w:rsidR="004A0742" w:rsidRPr="00380B40" w:rsidRDefault="004A0742" w:rsidP="004A0742">
      <w:pPr>
        <w:rPr>
          <w:lang w:val="en-GB"/>
        </w:rPr>
      </w:pPr>
      <w:r w:rsidRPr="00380B40">
        <w:rPr>
          <w:i/>
          <w:iCs/>
          <w:lang w:val="en-GB"/>
        </w:rPr>
        <w:t>d)</w:t>
      </w:r>
      <w:r w:rsidRPr="00380B40">
        <w:rPr>
          <w:lang w:val="en-GB"/>
        </w:rPr>
        <w:tab/>
        <w:t>Recommendation ITU-T E.370, on interconnection between Internet Protocol (IP)-based networks and legacy networks,</w:t>
      </w:r>
    </w:p>
    <w:p w14:paraId="04283278" w14:textId="77777777" w:rsidR="004A0742" w:rsidRPr="00380B40" w:rsidRDefault="004A0742" w:rsidP="004A0742">
      <w:pPr>
        <w:pStyle w:val="Call"/>
        <w:rPr>
          <w:lang w:val="en-GB"/>
        </w:rPr>
      </w:pPr>
      <w:r w:rsidRPr="00380B40">
        <w:rPr>
          <w:lang w:val="en-GB"/>
        </w:rPr>
        <w:t>recognizing</w:t>
      </w:r>
    </w:p>
    <w:p w14:paraId="1524C584" w14:textId="77777777" w:rsidR="004A0742" w:rsidRPr="00380B40" w:rsidRDefault="004A0742" w:rsidP="004A0742">
      <w:pPr>
        <w:rPr>
          <w:lang w:val="en-GB"/>
        </w:rPr>
      </w:pPr>
      <w:r w:rsidRPr="00380B40">
        <w:rPr>
          <w:i/>
          <w:iCs/>
          <w:lang w:val="en-GB"/>
        </w:rPr>
        <w:t>a)</w:t>
      </w:r>
      <w:r w:rsidRPr="00380B40">
        <w:rPr>
          <w:lang w:val="en-GB"/>
        </w:rPr>
        <w:tab/>
        <w:t>that alternative calling procedures, which may be potentially harmful, are not permitted in many countries and permitted in some others;</w:t>
      </w:r>
    </w:p>
    <w:p w14:paraId="3EBA1AF7" w14:textId="77777777" w:rsidR="004A0742" w:rsidRPr="00380B40" w:rsidRDefault="004A0742" w:rsidP="004A0742">
      <w:pPr>
        <w:rPr>
          <w:lang w:val="en-GB"/>
        </w:rPr>
      </w:pPr>
      <w:r w:rsidRPr="00380B40">
        <w:rPr>
          <w:i/>
          <w:iCs/>
          <w:lang w:val="en-GB"/>
        </w:rPr>
        <w:t>b)</w:t>
      </w:r>
      <w:r w:rsidRPr="00380B40">
        <w:rPr>
          <w:lang w:val="en-GB"/>
        </w:rPr>
        <w:tab/>
        <w:t>that although alternative calling procedures may be potentially harmful, they may be attractive for users;</w:t>
      </w:r>
    </w:p>
    <w:p w14:paraId="04A9508C" w14:textId="77777777" w:rsidR="004A0742" w:rsidRPr="00380B40" w:rsidRDefault="004A0742" w:rsidP="004A0742">
      <w:pPr>
        <w:rPr>
          <w:i/>
          <w:iCs/>
          <w:lang w:val="en-GB"/>
        </w:rPr>
      </w:pPr>
      <w:r w:rsidRPr="00380B40">
        <w:rPr>
          <w:i/>
          <w:iCs/>
          <w:lang w:val="en-GB"/>
        </w:rPr>
        <w:t>c)</w:t>
      </w:r>
      <w:r w:rsidRPr="00380B40">
        <w:rPr>
          <w:lang w:val="en-GB"/>
        </w:rPr>
        <w:tab/>
        <w:t>that alternative calling procedures, which may be potentially harmful and may impact the revenue of international telecommunication operators or operating agencies authorized by Member States, may seriously hamper, in particular, the efforts of developing countries</w:t>
      </w:r>
      <w:r w:rsidR="00FD162E" w:rsidRPr="00380B40">
        <w:rPr>
          <w:rStyle w:val="FootnoteReference"/>
          <w:lang w:val="en-GB"/>
        </w:rPr>
        <w:footnoteReference w:id="16"/>
      </w:r>
      <w:r w:rsidRPr="00380B40">
        <w:rPr>
          <w:lang w:val="en-GB"/>
        </w:rPr>
        <w:t xml:space="preserve"> for the sound development of their telecommunication networks and services;</w:t>
      </w:r>
    </w:p>
    <w:p w14:paraId="6E83C407" w14:textId="77777777" w:rsidR="004A0742" w:rsidRPr="00380B40" w:rsidRDefault="004A0742" w:rsidP="004A0742">
      <w:pPr>
        <w:rPr>
          <w:lang w:val="en-GB"/>
        </w:rPr>
      </w:pPr>
      <w:r w:rsidRPr="00380B40">
        <w:rPr>
          <w:i/>
          <w:iCs/>
          <w:lang w:val="en-GB"/>
        </w:rPr>
        <w:t>d)</w:t>
      </w:r>
      <w:r w:rsidRPr="00380B40">
        <w:rPr>
          <w:lang w:val="en-GB"/>
        </w:rPr>
        <w:tab/>
        <w:t>that distortions in traffic patterns resulting from some forms of alternative calling procedures, which may be potentially harmful, may impact traffic management and network planning;</w:t>
      </w:r>
    </w:p>
    <w:p w14:paraId="50043116" w14:textId="77777777" w:rsidR="004A0742" w:rsidRPr="00380B40" w:rsidRDefault="004A0742" w:rsidP="004A0742">
      <w:pPr>
        <w:rPr>
          <w:lang w:val="en-GB"/>
        </w:rPr>
      </w:pPr>
      <w:r w:rsidRPr="00380B40">
        <w:rPr>
          <w:i/>
          <w:iCs/>
          <w:lang w:val="en-GB"/>
        </w:rPr>
        <w:t>e)</w:t>
      </w:r>
      <w:r w:rsidRPr="00380B40">
        <w:rPr>
          <w:lang w:val="en-GB"/>
        </w:rPr>
        <w:tab/>
        <w:t>that some forms of alternative calling procedures seriously degrade the performance and quality of telecommunication networks;</w:t>
      </w:r>
    </w:p>
    <w:p w14:paraId="4BDBEC3D" w14:textId="77777777" w:rsidR="004A0742" w:rsidRPr="00380B40" w:rsidRDefault="004A0742" w:rsidP="004A0742">
      <w:pPr>
        <w:rPr>
          <w:i/>
          <w:iCs/>
          <w:lang w:val="en-GB"/>
        </w:rPr>
      </w:pPr>
      <w:r w:rsidRPr="00380B40">
        <w:rPr>
          <w:i/>
          <w:iCs/>
          <w:lang w:val="en-GB"/>
        </w:rPr>
        <w:t>f)</w:t>
      </w:r>
      <w:r w:rsidRPr="00380B40">
        <w:rPr>
          <w:i/>
          <w:iCs/>
          <w:lang w:val="en-GB"/>
        </w:rPr>
        <w:tab/>
      </w:r>
      <w:r w:rsidRPr="00380B40">
        <w:rPr>
          <w:lang w:val="en-GB"/>
        </w:rPr>
        <w:t>that the ubiquity of IP-based networks, including the Internet, in the provision of telecommunication services has impacted the ways and means of alternative calling procedures, and that it is becoming necessary to identify and redefine these procedures,</w:t>
      </w:r>
    </w:p>
    <w:p w14:paraId="4F02B26E" w14:textId="77777777" w:rsidR="00135E8B" w:rsidRPr="00380B40" w:rsidRDefault="00135E8B" w:rsidP="004A0742">
      <w:pPr>
        <w:pStyle w:val="Call"/>
        <w:rPr>
          <w:lang w:val="en-GB"/>
        </w:rPr>
      </w:pPr>
      <w:r w:rsidRPr="00380B40">
        <w:rPr>
          <w:lang w:val="en-GB"/>
        </w:rPr>
        <w:br w:type="page"/>
      </w:r>
    </w:p>
    <w:p w14:paraId="358410BC" w14:textId="77777777" w:rsidR="004A0742" w:rsidRPr="00380B40" w:rsidRDefault="004A0742" w:rsidP="004A0742">
      <w:pPr>
        <w:pStyle w:val="Call"/>
        <w:rPr>
          <w:lang w:val="en-GB"/>
        </w:rPr>
      </w:pPr>
      <w:r w:rsidRPr="00380B40">
        <w:rPr>
          <w:lang w:val="en-GB"/>
        </w:rPr>
        <w:t>considering</w:t>
      </w:r>
    </w:p>
    <w:p w14:paraId="2682CFEB" w14:textId="77777777" w:rsidR="004A0742" w:rsidRPr="00380B40" w:rsidRDefault="004A0742" w:rsidP="004A0742">
      <w:pPr>
        <w:rPr>
          <w:lang w:val="en-GB"/>
        </w:rPr>
      </w:pPr>
      <w:r w:rsidRPr="00380B40">
        <w:rPr>
          <w:i/>
          <w:iCs/>
          <w:lang w:val="en-GB"/>
        </w:rPr>
        <w:t>a)</w:t>
      </w:r>
      <w:r w:rsidRPr="00380B40">
        <w:rPr>
          <w:lang w:val="en-GB"/>
        </w:rPr>
        <w:tab/>
        <w:t>the results of the ITU workshop on alternative calling procedures and origin identification held in Geneva on 19-20 March 2012;</w:t>
      </w:r>
    </w:p>
    <w:p w14:paraId="036F3920" w14:textId="77777777" w:rsidR="004A0742" w:rsidRPr="00380B40" w:rsidRDefault="004A0742" w:rsidP="004A0742">
      <w:pPr>
        <w:rPr>
          <w:lang w:val="en-GB"/>
        </w:rPr>
      </w:pPr>
      <w:r w:rsidRPr="00380B40">
        <w:rPr>
          <w:i/>
          <w:iCs/>
          <w:lang w:val="en-GB"/>
        </w:rPr>
        <w:t>b)</w:t>
      </w:r>
      <w:r w:rsidRPr="00380B40">
        <w:rPr>
          <w:lang w:val="en-GB"/>
        </w:rPr>
        <w:tab/>
        <w:t>the results of the ITU workshop on caller ID spoofing held by ITU-T Study Group 2 in Geneva on 2 June 2014;</w:t>
      </w:r>
    </w:p>
    <w:p w14:paraId="5CEF306E" w14:textId="77777777" w:rsidR="004A0742" w:rsidRPr="00380B40" w:rsidRDefault="004A0742" w:rsidP="004A0742">
      <w:pPr>
        <w:rPr>
          <w:lang w:val="en-GB"/>
        </w:rPr>
      </w:pPr>
      <w:r w:rsidRPr="00380B40">
        <w:rPr>
          <w:i/>
          <w:iCs/>
          <w:lang w:val="en-GB"/>
        </w:rPr>
        <w:t>c)</w:t>
      </w:r>
      <w:r w:rsidRPr="00380B40">
        <w:rPr>
          <w:lang w:val="en-GB"/>
        </w:rPr>
        <w:tab/>
        <w:t>that any calling procedure should aim to maintain acceptable levels of quality of service (QoS) and quality of experience (QoE), as well as to enable calling line identification (CLI) and/or origin identification (OI) information,</w:t>
      </w:r>
    </w:p>
    <w:p w14:paraId="5F21C174" w14:textId="77777777" w:rsidR="004A0742" w:rsidRPr="00380B40" w:rsidRDefault="004A0742" w:rsidP="004A0742">
      <w:pPr>
        <w:pStyle w:val="Call"/>
        <w:rPr>
          <w:lang w:val="en-GB"/>
        </w:rPr>
      </w:pPr>
      <w:r w:rsidRPr="00380B40">
        <w:rPr>
          <w:lang w:val="en-GB"/>
        </w:rPr>
        <w:t>reaffirming</w:t>
      </w:r>
    </w:p>
    <w:p w14:paraId="2D0762A6" w14:textId="77777777" w:rsidR="004A0742" w:rsidRPr="00380B40" w:rsidRDefault="004A0742" w:rsidP="004A0742">
      <w:pPr>
        <w:rPr>
          <w:lang w:val="en-GB"/>
        </w:rPr>
      </w:pPr>
      <w:r w:rsidRPr="00380B40">
        <w:rPr>
          <w:i/>
          <w:iCs/>
          <w:lang w:val="en-GB"/>
        </w:rPr>
        <w:t>a)</w:t>
      </w:r>
      <w:r w:rsidRPr="00380B40">
        <w:rPr>
          <w:lang w:val="en-GB"/>
        </w:rPr>
        <w:tab/>
        <w:t>that it is the sovereign right of each country to regulate its telecommunications;</w:t>
      </w:r>
    </w:p>
    <w:p w14:paraId="0F60362D" w14:textId="77777777" w:rsidR="004A0742" w:rsidRPr="00380B40" w:rsidRDefault="004A0742" w:rsidP="004A0742">
      <w:pPr>
        <w:rPr>
          <w:lang w:val="en-GB"/>
        </w:rPr>
      </w:pPr>
      <w:r w:rsidRPr="00380B40">
        <w:rPr>
          <w:i/>
          <w:lang w:val="en-GB"/>
        </w:rPr>
        <w:t>b)</w:t>
      </w:r>
      <w:r w:rsidRPr="00380B40">
        <w:rPr>
          <w:lang w:val="en-GB"/>
        </w:rPr>
        <w:tab/>
        <w:t>that the ITU Constitution, in its Preamble, gave regard to "the growing importance of telecommunication for the preservation of peace and the economic and social development of all States", and that Member States agreed in the Constitution with "the object of facilitating peaceful relations, international cooperation among peoples and economic and social development by means of efficient telecommunication services",</w:t>
      </w:r>
    </w:p>
    <w:p w14:paraId="790B14D7" w14:textId="77777777" w:rsidR="004A0742" w:rsidRPr="00380B40" w:rsidRDefault="004A0742" w:rsidP="004A0742">
      <w:pPr>
        <w:pStyle w:val="Call"/>
        <w:rPr>
          <w:lang w:val="en-GB"/>
        </w:rPr>
      </w:pPr>
      <w:r w:rsidRPr="00380B40">
        <w:rPr>
          <w:lang w:val="en-GB"/>
        </w:rPr>
        <w:t>noting</w:t>
      </w:r>
    </w:p>
    <w:p w14:paraId="392B7AA9" w14:textId="77777777" w:rsidR="004A0742" w:rsidRPr="00380B40" w:rsidRDefault="004A0742" w:rsidP="004A0742">
      <w:pPr>
        <w:rPr>
          <w:lang w:val="en-GB"/>
        </w:rPr>
      </w:pPr>
      <w:r w:rsidRPr="00380B40">
        <w:rPr>
          <w:lang w:val="en-GB"/>
        </w:rPr>
        <w:t xml:space="preserve">that, in order to minimize the effect of alternative calling procedures: </w:t>
      </w:r>
    </w:p>
    <w:p w14:paraId="540D774A" w14:textId="77777777" w:rsidR="004A0742" w:rsidRPr="00380B40" w:rsidRDefault="004A0742" w:rsidP="004A0742">
      <w:pPr>
        <w:pStyle w:val="enumlev1"/>
        <w:rPr>
          <w:lang w:val="en-GB"/>
        </w:rPr>
      </w:pPr>
      <w:r w:rsidRPr="00380B40">
        <w:rPr>
          <w:lang w:val="en-GB"/>
        </w:rPr>
        <w:t>i)</w:t>
      </w:r>
      <w:r w:rsidRPr="00380B40">
        <w:rPr>
          <w:lang w:val="en-GB"/>
        </w:rPr>
        <w:tab/>
        <w:t>international telecommunication operators or operating agencies authorized by Member States should, within their national law, make every effort to establish the level of collection charges on a cost-oriented basis, taking into account Article 6.1.1 of the International Telecommunication Regulations and Recommendation ITU</w:t>
      </w:r>
      <w:r w:rsidRPr="00380B40">
        <w:rPr>
          <w:lang w:val="en-GB"/>
        </w:rPr>
        <w:noBreakHyphen/>
        <w:t>T D.5;</w:t>
      </w:r>
    </w:p>
    <w:p w14:paraId="23A6402E" w14:textId="77777777" w:rsidR="004A0742" w:rsidRPr="00380B40" w:rsidRDefault="004A0742" w:rsidP="004A0742">
      <w:pPr>
        <w:pStyle w:val="enumlev1"/>
        <w:rPr>
          <w:lang w:val="en-GB"/>
        </w:rPr>
      </w:pPr>
      <w:r w:rsidRPr="00380B40">
        <w:rPr>
          <w:iCs/>
          <w:lang w:val="en-GB"/>
        </w:rPr>
        <w:t>ii)</w:t>
      </w:r>
      <w:r w:rsidRPr="00380B40">
        <w:rPr>
          <w:lang w:val="en-GB"/>
        </w:rPr>
        <w:tab/>
        <w:t>administrations and international telecommunication operators or operating agencies authorized by Member States should follow the guidelines developed by Member States on the measures to be applied to deter the impact of alternative calling procedures on other Member States,</w:t>
      </w:r>
    </w:p>
    <w:p w14:paraId="3BF8E693" w14:textId="77777777" w:rsidR="004A0742" w:rsidRPr="00380B40" w:rsidRDefault="004A0742" w:rsidP="004A0742">
      <w:pPr>
        <w:pStyle w:val="Call"/>
        <w:rPr>
          <w:lang w:val="en-GB"/>
        </w:rPr>
      </w:pPr>
      <w:r w:rsidRPr="00380B40">
        <w:rPr>
          <w:lang w:val="en-GB"/>
        </w:rPr>
        <w:t>resolves</w:t>
      </w:r>
    </w:p>
    <w:p w14:paraId="56B26247" w14:textId="77777777" w:rsidR="004A0742" w:rsidRPr="00380B40" w:rsidRDefault="004A0742" w:rsidP="004A0742">
      <w:pPr>
        <w:rPr>
          <w:lang w:val="en-GB"/>
        </w:rPr>
      </w:pPr>
      <w:r w:rsidRPr="00380B40">
        <w:rPr>
          <w:lang w:val="en-GB"/>
        </w:rPr>
        <w:t>1</w:t>
      </w:r>
      <w:r w:rsidRPr="00380B40">
        <w:rPr>
          <w:lang w:val="en-GB"/>
        </w:rPr>
        <w:tab/>
        <w:t>to continue identifying and defining all forms of alternative calling procedures, to study their impact on all parties, and to develop appropriate Recommendations concerning alternative calling procedures;</w:t>
      </w:r>
    </w:p>
    <w:p w14:paraId="14712592" w14:textId="77777777" w:rsidR="004A0742" w:rsidRPr="00380B40" w:rsidRDefault="004A0742" w:rsidP="004A0742">
      <w:pPr>
        <w:rPr>
          <w:lang w:val="en-GB"/>
        </w:rPr>
      </w:pPr>
      <w:r w:rsidRPr="00380B40">
        <w:rPr>
          <w:lang w:val="en-GB"/>
        </w:rPr>
        <w:t>2</w:t>
      </w:r>
      <w:r w:rsidRPr="00380B40">
        <w:rPr>
          <w:lang w:val="en-GB"/>
        </w:rPr>
        <w:tab/>
        <w:t>that administrations and international telecommunication operators or operating agencies authorized by Member States should take, to the furthest extent practicable, all measures to suspend the methods and practices of any form of alternative calling procedures which seriously degrade the QoS and QoE of telecommunication networks, or prevent the delivery of CLI or OI information;</w:t>
      </w:r>
    </w:p>
    <w:p w14:paraId="53BB1B78" w14:textId="77777777" w:rsidR="004A0742" w:rsidRPr="00380B40" w:rsidRDefault="004A0742" w:rsidP="004A0742">
      <w:pPr>
        <w:rPr>
          <w:lang w:val="en-GB"/>
        </w:rPr>
      </w:pPr>
      <w:r w:rsidRPr="00380B40">
        <w:rPr>
          <w:lang w:val="en-GB"/>
        </w:rPr>
        <w:t>3</w:t>
      </w:r>
      <w:r w:rsidRPr="00380B40">
        <w:rPr>
          <w:lang w:val="en-GB"/>
        </w:rPr>
        <w:tab/>
        <w:t>that administrations and international telecommunication operators or operating agencies authorized by Member States should take a cooperative approach to respect the national sovereignty of others, and suggested guidelines for this collaboration are attached;</w:t>
      </w:r>
    </w:p>
    <w:p w14:paraId="4C19A4BB" w14:textId="77777777" w:rsidR="00427C06" w:rsidRPr="00380B40" w:rsidRDefault="00427C06" w:rsidP="004A0742">
      <w:pPr>
        <w:rPr>
          <w:lang w:val="en-GB"/>
        </w:rPr>
      </w:pPr>
      <w:r w:rsidRPr="00380B40">
        <w:rPr>
          <w:lang w:val="en-GB"/>
        </w:rPr>
        <w:br w:type="page"/>
      </w:r>
    </w:p>
    <w:p w14:paraId="0ED1877B" w14:textId="77777777" w:rsidR="004A0742" w:rsidRPr="00380B40" w:rsidRDefault="004A0742" w:rsidP="004A0742">
      <w:pPr>
        <w:rPr>
          <w:lang w:val="en-GB"/>
        </w:rPr>
      </w:pPr>
      <w:r w:rsidRPr="00380B40">
        <w:rPr>
          <w:lang w:val="en-GB"/>
        </w:rPr>
        <w:t>4</w:t>
      </w:r>
      <w:r w:rsidRPr="00380B40">
        <w:rPr>
          <w:lang w:val="en-GB"/>
        </w:rPr>
        <w:tab/>
        <w:t>to instruct Study Group 2 to study other aspects, forms and definition of alternative calling procedures, including those associated with the interworking of legacy and IP-based infrastructures, and the consequent instances of hindrance, obscuring or spoofing of OI or CLI information, and the evolution of alternative calling procedures, including the use of over-the-top (OTT) telephone applications that use telephone numbers, which may give rise to instances of fraudulent practices, and to develop appropriate Recommendations and guidelines;</w:t>
      </w:r>
    </w:p>
    <w:p w14:paraId="17474297" w14:textId="77777777" w:rsidR="004A0742" w:rsidRPr="00380B40" w:rsidRDefault="004A0742" w:rsidP="004A0742">
      <w:pPr>
        <w:rPr>
          <w:lang w:val="en-GB"/>
        </w:rPr>
      </w:pPr>
      <w:r w:rsidRPr="00380B40">
        <w:rPr>
          <w:lang w:val="en-GB"/>
        </w:rPr>
        <w:t>5</w:t>
      </w:r>
      <w:r w:rsidRPr="00380B40">
        <w:rPr>
          <w:lang w:val="en-GB"/>
        </w:rPr>
        <w:tab/>
        <w:t>to instruct ITU</w:t>
      </w:r>
      <w:r w:rsidRPr="00380B40">
        <w:rPr>
          <w:lang w:val="en-GB"/>
        </w:rPr>
        <w:noBreakHyphen/>
        <w:t>T Study Group 3 to continue studying the economic effects of alternative calling procedures, origin non-identification or spoofing and OTT telephone applications on the efforts of developing countries for sound development of their local telecommunication networks and services, and to develop appropriate Recommendations and guidelines;</w:t>
      </w:r>
    </w:p>
    <w:p w14:paraId="23D26A95" w14:textId="77777777" w:rsidR="004A0742" w:rsidRPr="00380B40" w:rsidRDefault="004A0742" w:rsidP="004A0742">
      <w:pPr>
        <w:rPr>
          <w:lang w:val="en-GB"/>
        </w:rPr>
      </w:pPr>
      <w:r w:rsidRPr="00380B40">
        <w:rPr>
          <w:lang w:val="en-GB"/>
        </w:rPr>
        <w:t>6</w:t>
      </w:r>
      <w:r w:rsidRPr="00380B40">
        <w:rPr>
          <w:lang w:val="en-GB"/>
        </w:rPr>
        <w:tab/>
        <w:t>to instruct ITU</w:t>
      </w:r>
      <w:r w:rsidRPr="00380B40">
        <w:rPr>
          <w:lang w:val="en-GB"/>
        </w:rPr>
        <w:noBreakHyphen/>
        <w:t>T Study Group 12 to develop guidelines regarding the minimum QoS and QoE threshold to be fulfilled during the use of alternative calling procedures;</w:t>
      </w:r>
    </w:p>
    <w:p w14:paraId="5A4F93CB" w14:textId="77777777" w:rsidR="004A0742" w:rsidRPr="00380B40" w:rsidRDefault="004A0742" w:rsidP="004A0742">
      <w:pPr>
        <w:rPr>
          <w:lang w:val="en-GB"/>
        </w:rPr>
      </w:pPr>
      <w:r w:rsidRPr="00380B40">
        <w:rPr>
          <w:lang w:val="en-GB"/>
        </w:rPr>
        <w:t>7</w:t>
      </w:r>
      <w:r w:rsidRPr="00380B40">
        <w:rPr>
          <w:lang w:val="en-GB"/>
        </w:rPr>
        <w:tab/>
        <w:t>to instruct Study Groups 2, 3 and 12 to continue the ongoing collaboration in studying issues related to alternative calling procedures,</w:t>
      </w:r>
    </w:p>
    <w:p w14:paraId="39E5BF65" w14:textId="77777777" w:rsidR="004A0742" w:rsidRPr="00380B40" w:rsidRDefault="004A0742" w:rsidP="004A0742">
      <w:pPr>
        <w:pStyle w:val="Call"/>
        <w:rPr>
          <w:lang w:val="en-GB"/>
        </w:rPr>
      </w:pPr>
      <w:r w:rsidRPr="00380B40">
        <w:rPr>
          <w:lang w:val="en-GB"/>
        </w:rPr>
        <w:t>instructs the Director of the Telecommunication Standardization Bureau</w:t>
      </w:r>
    </w:p>
    <w:p w14:paraId="3DEC47B4" w14:textId="77777777" w:rsidR="004A0742" w:rsidRPr="00380B40" w:rsidRDefault="004A0742" w:rsidP="004A0742">
      <w:pPr>
        <w:rPr>
          <w:lang w:val="en-GB"/>
        </w:rPr>
      </w:pPr>
      <w:r w:rsidRPr="00380B40">
        <w:rPr>
          <w:lang w:val="en-GB"/>
        </w:rPr>
        <w:t>to continue to cooperate with the Director of the Telecommunication Development Bureau in order to facilitate the participation of developing countries in these studies and to make use of the results of the studies, and in the implementation of this resolution,</w:t>
      </w:r>
    </w:p>
    <w:p w14:paraId="2C879F35" w14:textId="77777777" w:rsidR="004A0742" w:rsidRPr="00380B40" w:rsidRDefault="004A0742" w:rsidP="004A0742">
      <w:pPr>
        <w:pStyle w:val="Call"/>
        <w:rPr>
          <w:lang w:val="en-GB"/>
        </w:rPr>
      </w:pPr>
      <w:r w:rsidRPr="00380B40">
        <w:rPr>
          <w:lang w:val="en-GB"/>
        </w:rPr>
        <w:t>invites Member States</w:t>
      </w:r>
    </w:p>
    <w:p w14:paraId="69F36D6C" w14:textId="77777777" w:rsidR="004A0742" w:rsidRPr="00380B40" w:rsidRDefault="004A0742" w:rsidP="004A0742">
      <w:pPr>
        <w:rPr>
          <w:lang w:val="en-GB"/>
        </w:rPr>
      </w:pPr>
      <w:r w:rsidRPr="00380B40">
        <w:rPr>
          <w:lang w:val="en-GB"/>
        </w:rPr>
        <w:t>1</w:t>
      </w:r>
      <w:r w:rsidRPr="00380B40">
        <w:rPr>
          <w:lang w:val="en-GB"/>
        </w:rPr>
        <w:tab/>
        <w:t>to adopt national legal and regulatory frameworks requesting administrations and international telecommunication operators or operating agencies authorized by Member States to avoid using alternative calling procedures that degrade the level of QoS and QoE, to encourage the delivery of international CLI and OI information, at least to the destination operating agency, and to ensure the appropriate charging, taking into account the relevant ITU</w:t>
      </w:r>
      <w:r w:rsidRPr="00380B40">
        <w:rPr>
          <w:lang w:val="en-GB"/>
        </w:rPr>
        <w:noBreakHyphen/>
        <w:t>T Recommendations;</w:t>
      </w:r>
    </w:p>
    <w:p w14:paraId="3AB9B8C7" w14:textId="77777777" w:rsidR="004A0742" w:rsidRPr="00380B40" w:rsidRDefault="004A0742" w:rsidP="004A0742">
      <w:pPr>
        <w:rPr>
          <w:lang w:val="en-GB"/>
        </w:rPr>
      </w:pPr>
      <w:r w:rsidRPr="00380B40">
        <w:rPr>
          <w:lang w:val="en-GB"/>
        </w:rPr>
        <w:t>2</w:t>
      </w:r>
      <w:r w:rsidRPr="00380B40">
        <w:rPr>
          <w:lang w:val="en-GB"/>
        </w:rPr>
        <w:tab/>
        <w:t>to contribute to this work.</w:t>
      </w:r>
    </w:p>
    <w:p w14:paraId="01F27D64" w14:textId="77777777" w:rsidR="004A0742" w:rsidRPr="00380B40" w:rsidRDefault="004A0742" w:rsidP="004A0742">
      <w:pPr>
        <w:pStyle w:val="AppendixNo"/>
      </w:pPr>
      <w:r w:rsidRPr="00380B40">
        <w:t xml:space="preserve">Attachment </w:t>
      </w:r>
      <w:r w:rsidRPr="00380B40">
        <w:br/>
        <w:t>(</w:t>
      </w:r>
      <w:r w:rsidRPr="00380B40">
        <w:rPr>
          <w:caps w:val="0"/>
        </w:rPr>
        <w:t>to Resolution</w:t>
      </w:r>
      <w:r w:rsidRPr="00380B40">
        <w:t xml:space="preserve"> 29 (</w:t>
      </w:r>
      <w:r w:rsidRPr="00380B40">
        <w:rPr>
          <w:caps w:val="0"/>
        </w:rPr>
        <w:t>Rev</w:t>
      </w:r>
      <w:r w:rsidRPr="00380B40">
        <w:t>. G</w:t>
      </w:r>
      <w:r w:rsidRPr="00380B40">
        <w:rPr>
          <w:caps w:val="0"/>
        </w:rPr>
        <w:t>eneva</w:t>
      </w:r>
      <w:r w:rsidRPr="00380B40">
        <w:t xml:space="preserve"> 2022))</w:t>
      </w:r>
    </w:p>
    <w:p w14:paraId="4EC129AA" w14:textId="77777777" w:rsidR="004A0742" w:rsidRPr="00380B40" w:rsidRDefault="004A0742" w:rsidP="004A0742">
      <w:pPr>
        <w:pStyle w:val="Appendixtitle"/>
      </w:pPr>
      <w:r w:rsidRPr="00380B40">
        <w:t xml:space="preserve">Suggested guidelines for administrations and international </w:t>
      </w:r>
      <w:r w:rsidR="00BD2768" w:rsidRPr="00380B40">
        <w:br/>
      </w:r>
      <w:r w:rsidRPr="00380B40">
        <w:t xml:space="preserve">telecommunication operators or operating agencies authorized </w:t>
      </w:r>
      <w:r w:rsidR="00BD2768" w:rsidRPr="00380B40">
        <w:br/>
      </w:r>
      <w:r w:rsidRPr="00380B40">
        <w:t xml:space="preserve">by Member States for consultation on alternative </w:t>
      </w:r>
      <w:r w:rsidR="00BD2768" w:rsidRPr="00380B40">
        <w:br/>
      </w:r>
      <w:r w:rsidRPr="00380B40">
        <w:t xml:space="preserve">calling procedures </w:t>
      </w:r>
    </w:p>
    <w:p w14:paraId="63682B69" w14:textId="77777777" w:rsidR="004A0742" w:rsidRPr="00380B40" w:rsidRDefault="004A0742" w:rsidP="004A0742">
      <w:pPr>
        <w:pStyle w:val="Normalaftertitle0"/>
      </w:pPr>
      <w:r w:rsidRPr="00380B40">
        <w:t>In the interest of global development of international telecommunications, it is desirable for administrations and international telecommunication operators or operating agencies authorized by Member States to cooperate with others and to take a collaborative approach to ensure connectivity of country codes, where a preferable option is the selective blocking of particular international numbers, authorized on a case-by-case basis by national regulators.</w:t>
      </w:r>
    </w:p>
    <w:p w14:paraId="2E564505" w14:textId="77777777" w:rsidR="00F26640" w:rsidRPr="00380B40" w:rsidRDefault="00F26640" w:rsidP="008547D7">
      <w:pPr>
        <w:rPr>
          <w:lang w:val="en-GB"/>
        </w:rPr>
      </w:pPr>
      <w:r w:rsidRPr="00380B40">
        <w:rPr>
          <w:lang w:val="en-GB"/>
        </w:rPr>
        <w:br w:type="page"/>
      </w:r>
    </w:p>
    <w:p w14:paraId="3EA29D8B" w14:textId="77777777" w:rsidR="008547D7" w:rsidRPr="00380B40" w:rsidRDefault="008547D7" w:rsidP="008547D7">
      <w:pPr>
        <w:rPr>
          <w:lang w:val="en-GB"/>
        </w:rPr>
      </w:pPr>
      <w:r w:rsidRPr="00380B40">
        <w:rPr>
          <w:lang w:val="en-GB"/>
        </w:rPr>
        <w:t>Any cooperation and any subsequent actions would have to take account of the constraints of national laws. The following guidelines regarding alternative calling procedures (ACP) are recommended to be applied in country X (the location of the ACP user) and country Y (the location of the ACP provider). When ACP traffic is destined to a country other than countries X or Y, the sovereignty and the regulatory status of the destination country should be respected.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098"/>
        <w:gridCol w:w="4531"/>
      </w:tblGrid>
      <w:tr w:rsidR="004A0742" w:rsidRPr="004E0F36" w14:paraId="6BFAFD8B" w14:textId="77777777" w:rsidTr="00DE1739">
        <w:trPr>
          <w:cantSplit/>
          <w:tblHeader/>
          <w:jc w:val="center"/>
        </w:trPr>
        <w:tc>
          <w:tcPr>
            <w:tcW w:w="5098" w:type="dxa"/>
            <w:shd w:val="clear" w:color="auto" w:fill="auto"/>
          </w:tcPr>
          <w:p w14:paraId="7F82B755" w14:textId="77777777" w:rsidR="004A0742" w:rsidRPr="00380B40" w:rsidRDefault="004A0742" w:rsidP="00427615">
            <w:pPr>
              <w:pStyle w:val="Tableheadwhitecentred"/>
            </w:pPr>
            <w:r w:rsidRPr="00380B40">
              <w:t>Country X</w:t>
            </w:r>
            <w:r w:rsidR="004127D9" w:rsidRPr="00380B40">
              <w:t xml:space="preserve"> </w:t>
            </w:r>
            <w:r w:rsidRPr="00380B40">
              <w:t>(location of ACP user)</w:t>
            </w:r>
          </w:p>
        </w:tc>
        <w:tc>
          <w:tcPr>
            <w:tcW w:w="4531" w:type="dxa"/>
            <w:shd w:val="clear" w:color="auto" w:fill="auto"/>
          </w:tcPr>
          <w:p w14:paraId="54C02FEA" w14:textId="77777777" w:rsidR="004A0742" w:rsidRPr="00380B40" w:rsidRDefault="004A0742" w:rsidP="00427615">
            <w:pPr>
              <w:pStyle w:val="Tableheadwhitecentred"/>
            </w:pPr>
            <w:r w:rsidRPr="00380B40">
              <w:t>Country Y</w:t>
            </w:r>
            <w:r w:rsidR="004127D9" w:rsidRPr="00380B40">
              <w:t xml:space="preserve"> </w:t>
            </w:r>
            <w:r w:rsidRPr="00380B40">
              <w:t>(location of ACP provider)</w:t>
            </w:r>
          </w:p>
        </w:tc>
      </w:tr>
      <w:tr w:rsidR="004A0742" w:rsidRPr="004E0F36" w14:paraId="611537C4" w14:textId="77777777" w:rsidTr="00DE1739">
        <w:trPr>
          <w:cantSplit/>
          <w:jc w:val="center"/>
        </w:trPr>
        <w:tc>
          <w:tcPr>
            <w:tcW w:w="5098" w:type="dxa"/>
            <w:shd w:val="clear" w:color="auto" w:fill="auto"/>
          </w:tcPr>
          <w:p w14:paraId="16DDC006" w14:textId="77777777" w:rsidR="004A0742" w:rsidRPr="00380B40" w:rsidRDefault="004A0742" w:rsidP="00427C06">
            <w:pPr>
              <w:pStyle w:val="Tabletext"/>
              <w:rPr>
                <w:lang w:val="en-GB"/>
              </w:rPr>
            </w:pPr>
            <w:r w:rsidRPr="00380B40">
              <w:rPr>
                <w:lang w:val="en-GB"/>
              </w:rPr>
              <w:t>A generally collaborative and reasonable approach is desirable</w:t>
            </w:r>
          </w:p>
        </w:tc>
        <w:tc>
          <w:tcPr>
            <w:tcW w:w="4531" w:type="dxa"/>
            <w:shd w:val="clear" w:color="auto" w:fill="auto"/>
          </w:tcPr>
          <w:p w14:paraId="541C69D7" w14:textId="77777777" w:rsidR="004A0742" w:rsidRPr="00380B40" w:rsidRDefault="004A0742" w:rsidP="00427C06">
            <w:pPr>
              <w:pStyle w:val="Tabletext"/>
              <w:rPr>
                <w:lang w:val="en-GB"/>
              </w:rPr>
            </w:pPr>
            <w:r w:rsidRPr="00380B40">
              <w:rPr>
                <w:lang w:val="en-GB"/>
              </w:rPr>
              <w:t>A generally collaborative and reasonable approach is desirable</w:t>
            </w:r>
          </w:p>
        </w:tc>
      </w:tr>
      <w:tr w:rsidR="004A0742" w:rsidRPr="004E0F36" w14:paraId="1441D08F" w14:textId="77777777" w:rsidTr="00DE1739">
        <w:trPr>
          <w:cantSplit/>
          <w:jc w:val="center"/>
        </w:trPr>
        <w:tc>
          <w:tcPr>
            <w:tcW w:w="5098" w:type="dxa"/>
            <w:shd w:val="clear" w:color="auto" w:fill="auto"/>
          </w:tcPr>
          <w:p w14:paraId="0609522B" w14:textId="77777777" w:rsidR="004A0742" w:rsidRPr="00380B40" w:rsidRDefault="004A0742" w:rsidP="00427C06">
            <w:pPr>
              <w:pStyle w:val="Tabletext"/>
              <w:rPr>
                <w:lang w:val="en-GB"/>
              </w:rPr>
            </w:pPr>
            <w:r w:rsidRPr="00380B40">
              <w:rPr>
                <w:lang w:val="en-GB"/>
              </w:rPr>
              <w:t>Administration X, wishing to restrict or prohibit ACP, should establish a clear policy position</w:t>
            </w:r>
          </w:p>
        </w:tc>
        <w:tc>
          <w:tcPr>
            <w:tcW w:w="4531" w:type="dxa"/>
            <w:shd w:val="clear" w:color="auto" w:fill="auto"/>
          </w:tcPr>
          <w:p w14:paraId="2EA1E7AE" w14:textId="77777777" w:rsidR="004A0742" w:rsidRPr="00380B40" w:rsidRDefault="004A0742" w:rsidP="00427C06">
            <w:pPr>
              <w:pStyle w:val="Tabletext"/>
              <w:rPr>
                <w:lang w:val="en-GB"/>
              </w:rPr>
            </w:pPr>
          </w:p>
        </w:tc>
      </w:tr>
      <w:tr w:rsidR="004A0742" w:rsidRPr="004E0F36" w14:paraId="11284795" w14:textId="77777777" w:rsidTr="00DE1739">
        <w:trPr>
          <w:cantSplit/>
          <w:jc w:val="center"/>
        </w:trPr>
        <w:tc>
          <w:tcPr>
            <w:tcW w:w="5098" w:type="dxa"/>
            <w:shd w:val="clear" w:color="auto" w:fill="auto"/>
          </w:tcPr>
          <w:p w14:paraId="3BEAC954" w14:textId="77777777" w:rsidR="004A0742" w:rsidRPr="00380B40" w:rsidRDefault="004A0742" w:rsidP="00427C06">
            <w:pPr>
              <w:pStyle w:val="Tabletext"/>
              <w:rPr>
                <w:lang w:val="en-GB"/>
              </w:rPr>
            </w:pPr>
            <w:r w:rsidRPr="00380B40">
              <w:rPr>
                <w:lang w:val="en-GB"/>
              </w:rPr>
              <w:t>Administration X should make known its national position</w:t>
            </w:r>
          </w:p>
        </w:tc>
        <w:tc>
          <w:tcPr>
            <w:tcW w:w="4531" w:type="dxa"/>
            <w:shd w:val="clear" w:color="auto" w:fill="auto"/>
          </w:tcPr>
          <w:p w14:paraId="393A6B04" w14:textId="77777777" w:rsidR="004A0742" w:rsidRPr="00380B40" w:rsidRDefault="004A0742" w:rsidP="00427C06">
            <w:pPr>
              <w:pStyle w:val="Tabletext"/>
              <w:rPr>
                <w:lang w:val="en-GB"/>
              </w:rPr>
            </w:pPr>
            <w:r w:rsidRPr="00380B40">
              <w:rPr>
                <w:lang w:val="en-GB"/>
              </w:rPr>
              <w:t>Administration Y should bring this information to the attention of international telecommunication operators or operating agencies authorized by Member States and ACP providers in its territory using whatever official means are available</w:t>
            </w:r>
          </w:p>
        </w:tc>
      </w:tr>
      <w:tr w:rsidR="004A0742" w:rsidRPr="004E0F36" w14:paraId="2C71A212" w14:textId="77777777" w:rsidTr="00DE1739">
        <w:trPr>
          <w:cantSplit/>
          <w:jc w:val="center"/>
        </w:trPr>
        <w:tc>
          <w:tcPr>
            <w:tcW w:w="5098" w:type="dxa"/>
            <w:shd w:val="clear" w:color="auto" w:fill="auto"/>
          </w:tcPr>
          <w:p w14:paraId="514ECB69" w14:textId="77777777" w:rsidR="004A0742" w:rsidRPr="00380B40" w:rsidRDefault="004A0742" w:rsidP="00427C06">
            <w:pPr>
              <w:pStyle w:val="Tabletext"/>
              <w:rPr>
                <w:lang w:val="en-GB"/>
              </w:rPr>
            </w:pPr>
            <w:r w:rsidRPr="00380B40">
              <w:rPr>
                <w:lang w:val="en-GB"/>
              </w:rPr>
              <w:t>Administration X should instruct operating agencies authorized by Member States operating in its territory as to the policy position, and those operating agencies authorized by Member States should take steps to ensure that their international operating agreements comply with that position</w:t>
            </w:r>
          </w:p>
        </w:tc>
        <w:tc>
          <w:tcPr>
            <w:tcW w:w="4531" w:type="dxa"/>
            <w:shd w:val="clear" w:color="auto" w:fill="auto"/>
          </w:tcPr>
          <w:p w14:paraId="56DE6265" w14:textId="77777777" w:rsidR="004A0742" w:rsidRPr="00380B40" w:rsidRDefault="004A0742" w:rsidP="00427C06">
            <w:pPr>
              <w:pStyle w:val="Tabletext"/>
              <w:rPr>
                <w:lang w:val="en-GB"/>
              </w:rPr>
            </w:pPr>
            <w:r w:rsidRPr="00380B40">
              <w:rPr>
                <w:lang w:val="en-GB"/>
              </w:rPr>
              <w:t>Operating agencies authorized by Member States in Y should cooperate in considering any necessary modifications to international operating agreements</w:t>
            </w:r>
          </w:p>
        </w:tc>
      </w:tr>
      <w:tr w:rsidR="004A0742" w:rsidRPr="004E0F36" w14:paraId="53047080" w14:textId="77777777" w:rsidTr="00DE1739">
        <w:trPr>
          <w:cantSplit/>
          <w:jc w:val="center"/>
        </w:trPr>
        <w:tc>
          <w:tcPr>
            <w:tcW w:w="5098" w:type="dxa"/>
            <w:shd w:val="clear" w:color="auto" w:fill="auto"/>
          </w:tcPr>
          <w:p w14:paraId="1E635D2A" w14:textId="77777777" w:rsidR="004A0742" w:rsidRPr="00380B40" w:rsidRDefault="004A0742" w:rsidP="00427C06">
            <w:pPr>
              <w:pStyle w:val="Tabletext"/>
              <w:rPr>
                <w:lang w:val="en-GB"/>
              </w:rPr>
            </w:pPr>
          </w:p>
        </w:tc>
        <w:tc>
          <w:tcPr>
            <w:tcW w:w="4531" w:type="dxa"/>
            <w:shd w:val="clear" w:color="auto" w:fill="auto"/>
          </w:tcPr>
          <w:p w14:paraId="64F9D8D1" w14:textId="77777777" w:rsidR="004A0742" w:rsidRPr="00380B40" w:rsidRDefault="004A0742" w:rsidP="00427C06">
            <w:pPr>
              <w:pStyle w:val="Tabletext"/>
              <w:rPr>
                <w:lang w:val="en-GB"/>
              </w:rPr>
            </w:pPr>
            <w:r w:rsidRPr="00380B40">
              <w:rPr>
                <w:lang w:val="en-GB"/>
              </w:rPr>
              <w:t>Administration Y and/or operating agencies authorized by Member States in Y should seek to ensure that ACP providers establishing an operation in their territory are aware that:</w:t>
            </w:r>
          </w:p>
          <w:p w14:paraId="5FFFAB7B" w14:textId="77777777" w:rsidR="004A0742" w:rsidRPr="00380B40" w:rsidRDefault="004A0742" w:rsidP="00427C06">
            <w:pPr>
              <w:pStyle w:val="Tabletext"/>
              <w:ind w:left="284" w:hanging="284"/>
              <w:rPr>
                <w:lang w:val="en-GB"/>
              </w:rPr>
            </w:pPr>
            <w:r w:rsidRPr="00380B40">
              <w:rPr>
                <w:i/>
                <w:iCs/>
                <w:lang w:val="en-GB"/>
              </w:rPr>
              <w:t>a)</w:t>
            </w:r>
            <w:r w:rsidRPr="00380B40">
              <w:rPr>
                <w:lang w:val="en-GB"/>
              </w:rPr>
              <w:tab/>
              <w:t>ACP should not be provided in a country where it is expressly prohibited, and</w:t>
            </w:r>
          </w:p>
          <w:p w14:paraId="6E627A8D" w14:textId="77777777" w:rsidR="004A0742" w:rsidRPr="00380B40" w:rsidRDefault="004A0742" w:rsidP="00427C06">
            <w:pPr>
              <w:pStyle w:val="Tabletext"/>
              <w:ind w:left="284" w:hanging="284"/>
              <w:rPr>
                <w:lang w:val="en-GB"/>
              </w:rPr>
            </w:pPr>
            <w:r w:rsidRPr="00380B40">
              <w:rPr>
                <w:i/>
                <w:iCs/>
                <w:lang w:val="en-GB"/>
              </w:rPr>
              <w:t>b)</w:t>
            </w:r>
            <w:r w:rsidRPr="00380B40">
              <w:rPr>
                <w:lang w:val="en-GB"/>
              </w:rPr>
              <w:tab/>
              <w:t>the ACP configuration must be of a type which will not degrade the quality and performance of the international public switched telephone network</w:t>
            </w:r>
          </w:p>
        </w:tc>
      </w:tr>
      <w:tr w:rsidR="004A0742" w:rsidRPr="004E0F36" w14:paraId="13C5D7C0" w14:textId="77777777" w:rsidTr="00DE1739">
        <w:trPr>
          <w:cantSplit/>
          <w:jc w:val="center"/>
        </w:trPr>
        <w:tc>
          <w:tcPr>
            <w:tcW w:w="5098" w:type="dxa"/>
            <w:shd w:val="clear" w:color="auto" w:fill="auto"/>
          </w:tcPr>
          <w:p w14:paraId="6C5CD350" w14:textId="77777777" w:rsidR="004A0742" w:rsidRPr="00380B40" w:rsidRDefault="004A0742" w:rsidP="00427C06">
            <w:pPr>
              <w:pStyle w:val="Tabletext"/>
              <w:rPr>
                <w:lang w:val="en-GB"/>
              </w:rPr>
            </w:pPr>
            <w:r w:rsidRPr="00380B40">
              <w:rPr>
                <w:lang w:val="en-GB"/>
              </w:rPr>
              <w:t>Administration X should take all reasonable steps within its jurisdiction and responsibility to stop the offering and/or usage of ACP in its territory which is:</w:t>
            </w:r>
          </w:p>
          <w:p w14:paraId="402384B8" w14:textId="77777777" w:rsidR="004A0742" w:rsidRPr="00380B40" w:rsidRDefault="004A0742" w:rsidP="00427C06">
            <w:pPr>
              <w:pStyle w:val="Tabletext"/>
              <w:ind w:left="284" w:hanging="284"/>
              <w:rPr>
                <w:lang w:val="en-GB"/>
              </w:rPr>
            </w:pPr>
            <w:r w:rsidRPr="00380B40">
              <w:rPr>
                <w:i/>
                <w:iCs/>
                <w:lang w:val="en-GB"/>
              </w:rPr>
              <w:t>a)</w:t>
            </w:r>
            <w:r w:rsidRPr="00380B40">
              <w:rPr>
                <w:lang w:val="en-GB"/>
              </w:rPr>
              <w:tab/>
              <w:t>prohibited; and/or</w:t>
            </w:r>
          </w:p>
          <w:p w14:paraId="2DA76CF9" w14:textId="77777777" w:rsidR="004A0742" w:rsidRPr="00380B40" w:rsidRDefault="004A0742" w:rsidP="00427C06">
            <w:pPr>
              <w:pStyle w:val="Tabletext"/>
              <w:ind w:left="284" w:hanging="284"/>
              <w:rPr>
                <w:lang w:val="en-GB"/>
              </w:rPr>
            </w:pPr>
            <w:r w:rsidRPr="00380B40">
              <w:rPr>
                <w:i/>
                <w:iCs/>
                <w:lang w:val="en-GB"/>
              </w:rPr>
              <w:t>b)</w:t>
            </w:r>
            <w:r w:rsidRPr="00380B40">
              <w:rPr>
                <w:lang w:val="en-GB"/>
              </w:rPr>
              <w:tab/>
              <w:t>harmful to the network.</w:t>
            </w:r>
          </w:p>
          <w:p w14:paraId="0B0C560A" w14:textId="77777777" w:rsidR="004A0742" w:rsidRPr="00380B40" w:rsidRDefault="004A0742" w:rsidP="00427C06">
            <w:pPr>
              <w:pStyle w:val="Tabletext"/>
              <w:rPr>
                <w:lang w:val="en-GB"/>
              </w:rPr>
            </w:pPr>
            <w:r w:rsidRPr="00380B40">
              <w:rPr>
                <w:lang w:val="en-GB"/>
              </w:rPr>
              <w:t>Operating agencies authorized by Member States in country X will cooperate in the implementation of such steps.</w:t>
            </w:r>
          </w:p>
        </w:tc>
        <w:tc>
          <w:tcPr>
            <w:tcW w:w="4531" w:type="dxa"/>
            <w:shd w:val="clear" w:color="auto" w:fill="auto"/>
          </w:tcPr>
          <w:p w14:paraId="734D7F58" w14:textId="77777777" w:rsidR="004A0742" w:rsidRPr="00380B40" w:rsidRDefault="004A0742" w:rsidP="00427C06">
            <w:pPr>
              <w:pStyle w:val="Tabletext"/>
              <w:rPr>
                <w:lang w:val="en-GB"/>
              </w:rPr>
            </w:pPr>
            <w:r w:rsidRPr="00380B40">
              <w:rPr>
                <w:lang w:val="en-GB"/>
              </w:rPr>
              <w:t>Administration Y and operating agencies authorized by Member States in Y should take all reasonable measures to stop ACP providers in its territory offering ACP:</w:t>
            </w:r>
          </w:p>
          <w:p w14:paraId="7F1B3845" w14:textId="77777777" w:rsidR="004A0742" w:rsidRPr="00380B40" w:rsidRDefault="004A0742" w:rsidP="00427C06">
            <w:pPr>
              <w:pStyle w:val="Tabletext"/>
              <w:ind w:left="284" w:hanging="284"/>
              <w:rPr>
                <w:lang w:val="en-GB"/>
              </w:rPr>
            </w:pPr>
            <w:r w:rsidRPr="00380B40">
              <w:rPr>
                <w:i/>
                <w:iCs/>
                <w:lang w:val="en-GB"/>
              </w:rPr>
              <w:t>a)</w:t>
            </w:r>
            <w:r w:rsidRPr="00380B40">
              <w:rPr>
                <w:lang w:val="en-GB"/>
              </w:rPr>
              <w:tab/>
              <w:t>in other countries where it is prohibited; and/or</w:t>
            </w:r>
          </w:p>
          <w:p w14:paraId="524A9F15" w14:textId="77777777" w:rsidR="004A0742" w:rsidRPr="00380B40" w:rsidRDefault="004A0742" w:rsidP="00427C06">
            <w:pPr>
              <w:pStyle w:val="Tabletext"/>
              <w:ind w:left="284" w:hanging="284"/>
              <w:rPr>
                <w:lang w:val="en-GB"/>
              </w:rPr>
            </w:pPr>
            <w:r w:rsidRPr="00380B40">
              <w:rPr>
                <w:i/>
                <w:iCs/>
                <w:lang w:val="en-GB"/>
              </w:rPr>
              <w:t>b)</w:t>
            </w:r>
            <w:r w:rsidRPr="00380B40">
              <w:rPr>
                <w:lang w:val="en-GB"/>
              </w:rPr>
              <w:tab/>
              <w:t>which is harmful to the networks involved.</w:t>
            </w:r>
          </w:p>
        </w:tc>
      </w:tr>
    </w:tbl>
    <w:p w14:paraId="27F2A28A" w14:textId="77777777" w:rsidR="004A0742" w:rsidRPr="00380B40" w:rsidRDefault="004A0742" w:rsidP="004A0742">
      <w:pPr>
        <w:pStyle w:val="Note"/>
        <w:rPr>
          <w:lang w:val="en-GB"/>
        </w:rPr>
      </w:pPr>
      <w:r w:rsidRPr="00380B40">
        <w:rPr>
          <w:lang w:val="en-GB"/>
        </w:rPr>
        <w:t>NOTE 1 – For relations between countries which regard ACP as an "international telecommunication service" as defined in the International Telecommunication Regulations, bilateral operating agreements should be required between the operating agencies authorized by Member States concerned as to the conditions under which ACP will be operated.</w:t>
      </w:r>
    </w:p>
    <w:p w14:paraId="22524E0B" w14:textId="77777777" w:rsidR="004A0742" w:rsidRPr="00380B40" w:rsidRDefault="004A0742" w:rsidP="004A0742">
      <w:pPr>
        <w:pStyle w:val="Note"/>
        <w:rPr>
          <w:lang w:val="en-GB"/>
        </w:rPr>
      </w:pPr>
      <w:r w:rsidRPr="00380B40">
        <w:rPr>
          <w:lang w:val="en-GB"/>
        </w:rPr>
        <w:t>NOTE 2 – All forms of ACP should be defined by ITU</w:t>
      </w:r>
      <w:r w:rsidRPr="00380B40">
        <w:rPr>
          <w:lang w:val="en-GB"/>
        </w:rPr>
        <w:noBreakHyphen/>
        <w:t>T Study Group 2 and documented in the appropriate ITU</w:t>
      </w:r>
      <w:r w:rsidRPr="00380B40">
        <w:rPr>
          <w:lang w:val="en-GB"/>
        </w:rPr>
        <w:noBreakHyphen/>
        <w:t>T Recommendation (e.g. call-back, over-the-top, refiling, etc.).</w:t>
      </w:r>
    </w:p>
    <w:p w14:paraId="4A88C187" w14:textId="77777777" w:rsidR="00427C06" w:rsidRPr="00380B40" w:rsidRDefault="00427C06" w:rsidP="007C461B">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napToGrid w:val="0"/>
        <w:spacing w:after="40"/>
        <w:jc w:val="left"/>
        <w:rPr>
          <w:lang w:val="en-GB"/>
        </w:rPr>
      </w:pPr>
    </w:p>
    <w:p w14:paraId="7B754775" w14:textId="77777777" w:rsidR="00E64A6B" w:rsidRPr="00380B40" w:rsidRDefault="00E64A6B" w:rsidP="00E64A6B">
      <w:pPr>
        <w:rPr>
          <w:lang w:val="en-GB"/>
        </w:rPr>
        <w:sectPr w:rsidR="00E64A6B" w:rsidRPr="00380B40" w:rsidSect="00BD4379">
          <w:headerReference w:type="even" r:id="rId71"/>
          <w:headerReference w:type="default" r:id="rId72"/>
          <w:footerReference w:type="even" r:id="rId73"/>
          <w:footerReference w:type="default" r:id="rId74"/>
          <w:headerReference w:type="first" r:id="rId75"/>
          <w:footerReference w:type="first" r:id="rId76"/>
          <w:footnotePr>
            <w:numRestart w:val="eachSect"/>
          </w:footnotePr>
          <w:pgSz w:w="11907" w:h="16834" w:code="9"/>
          <w:pgMar w:top="1134" w:right="1134" w:bottom="1134" w:left="1134" w:header="567" w:footer="567" w:gutter="0"/>
          <w:paperSrc w:first="15" w:other="15"/>
          <w:cols w:space="720"/>
          <w:vAlign w:val="both"/>
          <w:docGrid w:linePitch="299"/>
        </w:sectPr>
      </w:pPr>
    </w:p>
    <w:p w14:paraId="5D435787" w14:textId="77777777" w:rsidR="00C17B46" w:rsidRPr="00380B40" w:rsidRDefault="00055CCD" w:rsidP="00C17B46">
      <w:pPr>
        <w:pStyle w:val="ResNo"/>
        <w:rPr>
          <w:lang w:val="en-GB"/>
        </w:rPr>
      </w:pPr>
      <w:bookmarkStart w:id="136" w:name="_Toc104459709"/>
      <w:bookmarkStart w:id="137" w:name="_Toc104476517"/>
      <w:bookmarkStart w:id="138" w:name="_Toc111636761"/>
      <w:bookmarkStart w:id="139" w:name="_Toc111638410"/>
      <w:r w:rsidRPr="00380B40">
        <w:rPr>
          <w:caps w:val="0"/>
          <w:lang w:val="en-GB"/>
        </w:rPr>
        <w:t xml:space="preserve">RESOLUTION </w:t>
      </w:r>
      <w:r w:rsidR="00C17B46" w:rsidRPr="00380B40">
        <w:rPr>
          <w:rStyle w:val="href"/>
          <w:lang w:val="en-GB"/>
        </w:rPr>
        <w:t xml:space="preserve">31 </w:t>
      </w:r>
      <w:r w:rsidR="00C17B46" w:rsidRPr="00380B40">
        <w:rPr>
          <w:lang w:val="en-GB"/>
        </w:rPr>
        <w:t>(</w:t>
      </w:r>
      <w:r w:rsidR="00C17B46" w:rsidRPr="00380B40">
        <w:rPr>
          <w:caps w:val="0"/>
          <w:lang w:val="en-GB"/>
        </w:rPr>
        <w:t>Rev. Dubai, 2012</w:t>
      </w:r>
      <w:r w:rsidR="00C17B46" w:rsidRPr="00380B40">
        <w:rPr>
          <w:lang w:val="en-GB"/>
        </w:rPr>
        <w:t>)</w:t>
      </w:r>
      <w:bookmarkEnd w:id="136"/>
      <w:bookmarkEnd w:id="137"/>
      <w:bookmarkEnd w:id="138"/>
      <w:bookmarkEnd w:id="139"/>
    </w:p>
    <w:p w14:paraId="7B81B1FA" w14:textId="77777777" w:rsidR="00C17B46" w:rsidRPr="00380B40" w:rsidRDefault="00C17B46" w:rsidP="00C17B46">
      <w:pPr>
        <w:pStyle w:val="Restitle"/>
        <w:rPr>
          <w:lang w:val="en-GB"/>
        </w:rPr>
      </w:pPr>
      <w:bookmarkStart w:id="140" w:name="_Toc104459710"/>
      <w:bookmarkStart w:id="141" w:name="_Toc104476518"/>
      <w:bookmarkStart w:id="142" w:name="_Toc111638411"/>
      <w:r w:rsidRPr="00380B40">
        <w:rPr>
          <w:lang w:val="en-GB"/>
        </w:rPr>
        <w:t>Admission of entities or organizations to participate as</w:t>
      </w:r>
      <w:r w:rsidRPr="00380B40">
        <w:rPr>
          <w:lang w:val="en-GB"/>
        </w:rPr>
        <w:br/>
        <w:t>Associates in the wor</w:t>
      </w:r>
      <w:r w:rsidR="00D61203" w:rsidRPr="00380B40">
        <w:rPr>
          <w:lang w:val="en-GB"/>
        </w:rPr>
        <w:t>k of the ITU Telecommunication</w:t>
      </w:r>
      <w:r w:rsidR="00D61203" w:rsidRPr="00380B40">
        <w:rPr>
          <w:lang w:val="en-GB"/>
        </w:rPr>
        <w:br/>
      </w:r>
      <w:r w:rsidRPr="00380B40">
        <w:rPr>
          <w:lang w:val="en-GB"/>
        </w:rPr>
        <w:t>Standardization Sector</w:t>
      </w:r>
      <w:bookmarkEnd w:id="140"/>
      <w:bookmarkEnd w:id="141"/>
      <w:bookmarkEnd w:id="142"/>
    </w:p>
    <w:p w14:paraId="3995BF27" w14:textId="77777777" w:rsidR="00C17B46" w:rsidRPr="00380B40" w:rsidRDefault="00C17B46" w:rsidP="00C17B46">
      <w:pPr>
        <w:pStyle w:val="Resref"/>
        <w:rPr>
          <w:lang w:val="en-GB"/>
        </w:rPr>
      </w:pPr>
      <w:r w:rsidRPr="00380B40">
        <w:rPr>
          <w:lang w:val="en-GB"/>
        </w:rPr>
        <w:t>(Montreal, 2000; Florianópolis, 2004; Johannesburg, 2008; Dubai, 2012)</w:t>
      </w:r>
    </w:p>
    <w:p w14:paraId="40D31468" w14:textId="77777777" w:rsidR="00C17B46" w:rsidRPr="00380B40" w:rsidRDefault="00C17B46" w:rsidP="00C17B46">
      <w:pPr>
        <w:pStyle w:val="Normalaftertitle0"/>
      </w:pPr>
      <w:r w:rsidRPr="00380B40">
        <w:t>The World Telecommunication Standardization Assembly (Dubai, 2012),</w:t>
      </w:r>
    </w:p>
    <w:p w14:paraId="7CC2C06E" w14:textId="77777777" w:rsidR="00C17B46" w:rsidRPr="00380B40" w:rsidRDefault="00C17B46" w:rsidP="00C17B46">
      <w:pPr>
        <w:pStyle w:val="Call"/>
        <w:rPr>
          <w:lang w:val="en-GB"/>
        </w:rPr>
      </w:pPr>
      <w:r w:rsidRPr="00380B40">
        <w:rPr>
          <w:lang w:val="en-GB"/>
        </w:rPr>
        <w:t>considering</w:t>
      </w:r>
    </w:p>
    <w:p w14:paraId="565D3651" w14:textId="77777777" w:rsidR="00C17B46" w:rsidRPr="00380B40" w:rsidRDefault="00C17B46" w:rsidP="00C17B46">
      <w:pPr>
        <w:rPr>
          <w:lang w:val="en-GB"/>
        </w:rPr>
      </w:pPr>
      <w:r w:rsidRPr="00380B40">
        <w:rPr>
          <w:i/>
          <w:iCs/>
          <w:lang w:val="en-GB"/>
        </w:rPr>
        <w:t>a)</w:t>
      </w:r>
      <w:r w:rsidRPr="00380B40">
        <w:rPr>
          <w:lang w:val="en-GB"/>
        </w:rPr>
        <w:tab/>
        <w:t>that the rapid pace of change in the telecommunication environment and in industry groups dealing with telecommunications demand the increased participation of interested entities and organizations in the standard-making process of ITU;</w:t>
      </w:r>
    </w:p>
    <w:p w14:paraId="50F9B317" w14:textId="77777777" w:rsidR="00C17B46" w:rsidRPr="00380B40" w:rsidRDefault="00C17B46" w:rsidP="00C17B46">
      <w:pPr>
        <w:rPr>
          <w:lang w:val="en-GB"/>
        </w:rPr>
      </w:pPr>
      <w:r w:rsidRPr="00380B40">
        <w:rPr>
          <w:i/>
          <w:iCs/>
          <w:lang w:val="en-GB"/>
        </w:rPr>
        <w:t>b)</w:t>
      </w:r>
      <w:r w:rsidRPr="00380B40">
        <w:rPr>
          <w:lang w:val="en-GB"/>
        </w:rPr>
        <w:tab/>
        <w:t>that entities or organizations with highly focused areas of activity may be interested only in a small part of the standardization work of the ITU Telecommunication Standardization Sector (ITU</w:t>
      </w:r>
      <w:r w:rsidRPr="00380B40">
        <w:rPr>
          <w:lang w:val="en-GB"/>
        </w:rPr>
        <w:noBreakHyphen/>
        <w:t>T) and, therefore, do not intend to apply for membership in the Sector, but would be willing to join if simpler conditions existed;</w:t>
      </w:r>
    </w:p>
    <w:p w14:paraId="16586841" w14:textId="77777777" w:rsidR="00C17B46" w:rsidRPr="00380B40" w:rsidRDefault="00C17B46" w:rsidP="00C17B46">
      <w:pPr>
        <w:rPr>
          <w:lang w:val="en-GB"/>
        </w:rPr>
      </w:pPr>
      <w:r w:rsidRPr="00380B40">
        <w:rPr>
          <w:i/>
          <w:iCs/>
          <w:lang w:val="en-GB"/>
        </w:rPr>
        <w:t>c)</w:t>
      </w:r>
      <w:r w:rsidRPr="00380B40">
        <w:rPr>
          <w:lang w:val="en-GB"/>
        </w:rPr>
        <w:tab/>
        <w:t>that No. 241A of the ITU Convention enables the Sectors to admit participation of entities or organizations in the work of a given study group as an Associate;</w:t>
      </w:r>
    </w:p>
    <w:p w14:paraId="58A4327F" w14:textId="77777777" w:rsidR="00C17B46" w:rsidRPr="00380B40" w:rsidRDefault="00C17B46" w:rsidP="00C17B46">
      <w:pPr>
        <w:rPr>
          <w:lang w:val="en-GB"/>
        </w:rPr>
      </w:pPr>
      <w:r w:rsidRPr="00380B40">
        <w:rPr>
          <w:i/>
          <w:iCs/>
          <w:lang w:val="en-GB"/>
        </w:rPr>
        <w:t>d)</w:t>
      </w:r>
      <w:r w:rsidRPr="00380B40">
        <w:rPr>
          <w:lang w:val="en-GB"/>
        </w:rPr>
        <w:tab/>
        <w:t>that Nos. 241A, 248B and 483A of the Convention describe the principles for the participation of Associates,</w:t>
      </w:r>
    </w:p>
    <w:p w14:paraId="2E320469" w14:textId="77777777" w:rsidR="00C17B46" w:rsidRPr="00380B40" w:rsidRDefault="00C17B46" w:rsidP="00C17B46">
      <w:pPr>
        <w:pStyle w:val="Call"/>
        <w:rPr>
          <w:lang w:val="en-GB"/>
        </w:rPr>
      </w:pPr>
      <w:r w:rsidRPr="00380B40">
        <w:rPr>
          <w:lang w:val="en-GB"/>
        </w:rPr>
        <w:t>recognizing</w:t>
      </w:r>
    </w:p>
    <w:p w14:paraId="4FDFF48E" w14:textId="77777777" w:rsidR="00C17B46" w:rsidRPr="00380B40" w:rsidRDefault="00C17B46" w:rsidP="00C17B46">
      <w:pPr>
        <w:rPr>
          <w:lang w:val="en-GB"/>
        </w:rPr>
      </w:pPr>
      <w:r w:rsidRPr="00380B40">
        <w:rPr>
          <w:lang w:val="en-GB"/>
        </w:rPr>
        <w:t>that organizations and entities from developing countries</w:t>
      </w:r>
      <w:r w:rsidR="00FD162E" w:rsidRPr="00380B40">
        <w:rPr>
          <w:rStyle w:val="FootnoteReference"/>
          <w:lang w:val="en-GB"/>
        </w:rPr>
        <w:footnoteReference w:id="17"/>
      </w:r>
      <w:r w:rsidRPr="00380B40">
        <w:rPr>
          <w:lang w:val="en-GB"/>
        </w:rPr>
        <w:t xml:space="preserve"> have found great difficulty in playing an active role in ITU</w:t>
      </w:r>
      <w:r w:rsidRPr="00380B40">
        <w:rPr>
          <w:lang w:val="en-GB"/>
        </w:rPr>
        <w:noBreakHyphen/>
        <w:t>T activities and, as a consequence, in meeting the goals of Resolution 123 (Rev. Guadalajara, 2010) of the Plenipotentiary Conference,</w:t>
      </w:r>
    </w:p>
    <w:p w14:paraId="5DB5BF34" w14:textId="77777777" w:rsidR="00C17B46" w:rsidRPr="00380B40" w:rsidRDefault="00C17B46" w:rsidP="00C17B46">
      <w:pPr>
        <w:pStyle w:val="Call"/>
        <w:rPr>
          <w:lang w:val="en-GB"/>
        </w:rPr>
      </w:pPr>
      <w:r w:rsidRPr="00380B40">
        <w:rPr>
          <w:lang w:val="en-GB"/>
        </w:rPr>
        <w:t>resolves</w:t>
      </w:r>
    </w:p>
    <w:p w14:paraId="20752301" w14:textId="77777777" w:rsidR="00C17B46" w:rsidRPr="00380B40" w:rsidRDefault="00C17B46" w:rsidP="00C17B46">
      <w:pPr>
        <w:rPr>
          <w:lang w:val="en-GB"/>
        </w:rPr>
      </w:pPr>
      <w:r w:rsidRPr="00380B40">
        <w:rPr>
          <w:lang w:val="en-GB"/>
        </w:rPr>
        <w:t>1</w:t>
      </w:r>
      <w:r w:rsidRPr="00380B40">
        <w:rPr>
          <w:lang w:val="en-GB"/>
        </w:rPr>
        <w:tab/>
        <w:t>that an interested entity or organization may join ITU</w:t>
      </w:r>
      <w:r w:rsidRPr="00380B40">
        <w:rPr>
          <w:lang w:val="en-GB"/>
        </w:rPr>
        <w:noBreakHyphen/>
        <w:t>T as an Associate and be entitled to take part in the work of a selected single study group;</w:t>
      </w:r>
    </w:p>
    <w:p w14:paraId="48CCB388" w14:textId="77777777" w:rsidR="00C17B46" w:rsidRPr="00380B40" w:rsidRDefault="00C17B46" w:rsidP="00C17B46">
      <w:pPr>
        <w:rPr>
          <w:lang w:val="en-GB"/>
        </w:rPr>
      </w:pPr>
      <w:r w:rsidRPr="00380B40">
        <w:rPr>
          <w:lang w:val="en-GB"/>
        </w:rPr>
        <w:t>2</w:t>
      </w:r>
      <w:r w:rsidRPr="00380B40">
        <w:rPr>
          <w:lang w:val="en-GB"/>
        </w:rPr>
        <w:tab/>
        <w:t>that Associates are limited to the study group roles described below and excluded from all others:</w:t>
      </w:r>
    </w:p>
    <w:p w14:paraId="70103DE6" w14:textId="77777777" w:rsidR="00C17B46" w:rsidRPr="00380B40" w:rsidRDefault="00C17B46" w:rsidP="00C17B46">
      <w:pPr>
        <w:pStyle w:val="enumlev1"/>
        <w:rPr>
          <w:lang w:val="en-GB"/>
        </w:rPr>
      </w:pPr>
      <w:r w:rsidRPr="00380B40">
        <w:rPr>
          <w:lang w:val="en-GB"/>
        </w:rPr>
        <w:t>•</w:t>
      </w:r>
      <w:r w:rsidRPr="00380B40">
        <w:rPr>
          <w:lang w:val="en-GB"/>
        </w:rPr>
        <w:tab/>
        <w:t>Associates may take part in the process of preparing Recommendations within a study group, including the following roles: meeting participant, contribution submitter, Recommendation editor, and, during the alternative approval process, provider of comments during the last-call period (but not during the additional review period);</w:t>
      </w:r>
    </w:p>
    <w:p w14:paraId="3A23840F" w14:textId="77777777" w:rsidR="00C17B46" w:rsidRPr="00380B40" w:rsidRDefault="00C17B46" w:rsidP="00C17B46">
      <w:pPr>
        <w:pStyle w:val="enumlev1"/>
        <w:rPr>
          <w:lang w:val="en-GB"/>
        </w:rPr>
      </w:pPr>
      <w:r w:rsidRPr="00380B40">
        <w:rPr>
          <w:lang w:val="en-GB"/>
        </w:rPr>
        <w:t>•</w:t>
      </w:r>
      <w:r w:rsidRPr="00380B40">
        <w:rPr>
          <w:lang w:val="en-GB"/>
        </w:rPr>
        <w:tab/>
        <w:t>Associates may have access to documentation required for their work;</w:t>
      </w:r>
    </w:p>
    <w:p w14:paraId="7F8E15AD" w14:textId="77777777" w:rsidR="00C17B46" w:rsidRPr="00380B40" w:rsidRDefault="00C17B46" w:rsidP="00C17B46">
      <w:pPr>
        <w:pStyle w:val="enumlev1"/>
        <w:rPr>
          <w:lang w:val="en-GB"/>
        </w:rPr>
      </w:pPr>
      <w:r w:rsidRPr="00380B40">
        <w:rPr>
          <w:lang w:val="en-GB"/>
        </w:rPr>
        <w:t>•</w:t>
      </w:r>
      <w:r w:rsidRPr="00380B40">
        <w:rPr>
          <w:lang w:val="en-GB"/>
        </w:rPr>
        <w:tab/>
        <w:t>an Associate may serve as rapporteur, responsible for directing the studies for the relevant study Question within the selected study group, except for taking part in any decision-making or liaison activities which are to be handled separately, in accordance with No. 248B of the Convention;</w:t>
      </w:r>
    </w:p>
    <w:p w14:paraId="08E29313" w14:textId="77777777" w:rsidR="00BC281C" w:rsidRPr="00380B40" w:rsidRDefault="00BC281C" w:rsidP="00BC281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sidRPr="00380B40">
        <w:rPr>
          <w:lang w:val="en-GB"/>
        </w:rPr>
        <w:br w:type="page"/>
      </w:r>
    </w:p>
    <w:p w14:paraId="7730F1E0" w14:textId="77777777" w:rsidR="00C17B46" w:rsidRPr="00380B40" w:rsidRDefault="00C17B46" w:rsidP="00C17B46">
      <w:pPr>
        <w:rPr>
          <w:lang w:val="en-GB"/>
        </w:rPr>
      </w:pPr>
      <w:r w:rsidRPr="00380B40">
        <w:rPr>
          <w:lang w:val="en-GB"/>
        </w:rPr>
        <w:t>3</w:t>
      </w:r>
      <w:r w:rsidRPr="00380B40">
        <w:rPr>
          <w:lang w:val="en-GB"/>
        </w:rPr>
        <w:tab/>
        <w:t>that the amount of the financial contribution for Associates be based upon the contributory unit for Sector Members as determined by Council for any particular biennial budgetary period,</w:t>
      </w:r>
    </w:p>
    <w:p w14:paraId="2BBC2480" w14:textId="77777777" w:rsidR="00C17B46" w:rsidRPr="00380B40" w:rsidRDefault="00C17B46" w:rsidP="00C17B46">
      <w:pPr>
        <w:pStyle w:val="Call"/>
        <w:rPr>
          <w:lang w:val="en-GB"/>
        </w:rPr>
      </w:pPr>
      <w:r w:rsidRPr="00380B40">
        <w:rPr>
          <w:lang w:val="en-GB"/>
        </w:rPr>
        <w:t>requests</w:t>
      </w:r>
    </w:p>
    <w:p w14:paraId="6BD0FB5E" w14:textId="77777777" w:rsidR="00C17B46" w:rsidRPr="00380B40" w:rsidRDefault="00C17B46" w:rsidP="00C17B46">
      <w:pPr>
        <w:rPr>
          <w:lang w:val="en-GB"/>
        </w:rPr>
      </w:pPr>
      <w:r w:rsidRPr="00380B40">
        <w:rPr>
          <w:lang w:val="en-GB"/>
        </w:rPr>
        <w:t>1</w:t>
      </w:r>
      <w:r w:rsidRPr="00380B40">
        <w:rPr>
          <w:lang w:val="en-GB"/>
        </w:rPr>
        <w:tab/>
        <w:t>the Secretary-General to admit entities or organizations to participate as Associates in the work of a given study group or subgroups thereof following the principles set out in Nos. 241B, 241C, 241D and 241E of the Convention;</w:t>
      </w:r>
    </w:p>
    <w:p w14:paraId="4B48402E" w14:textId="77777777" w:rsidR="00C17B46" w:rsidRPr="00380B40" w:rsidRDefault="00C17B46" w:rsidP="00C17B46">
      <w:pPr>
        <w:rPr>
          <w:lang w:val="en-GB"/>
        </w:rPr>
      </w:pPr>
      <w:r w:rsidRPr="00380B40">
        <w:rPr>
          <w:lang w:val="en-GB"/>
        </w:rPr>
        <w:t>2</w:t>
      </w:r>
      <w:r w:rsidRPr="00380B40">
        <w:rPr>
          <w:lang w:val="en-GB"/>
        </w:rPr>
        <w:tab/>
        <w:t>the Telecommunication Standardization Advisory Group to review on an ongoing basis the conditions governing the participation (including financial impact on the Sector budget) of Associates based on the experience gained within ITU</w:t>
      </w:r>
      <w:r w:rsidRPr="00380B40">
        <w:rPr>
          <w:lang w:val="en-GB"/>
        </w:rPr>
        <w:noBreakHyphen/>
        <w:t>T,</w:t>
      </w:r>
    </w:p>
    <w:p w14:paraId="2DD30871" w14:textId="77777777" w:rsidR="00C17B46" w:rsidRPr="00380B40" w:rsidRDefault="00C17B46" w:rsidP="00C17B46">
      <w:pPr>
        <w:pStyle w:val="Call"/>
        <w:rPr>
          <w:lang w:val="en-GB"/>
        </w:rPr>
      </w:pPr>
      <w:r w:rsidRPr="00380B40">
        <w:rPr>
          <w:lang w:val="en-GB"/>
        </w:rPr>
        <w:t xml:space="preserve">instructs the Director of the Telecommunication Standardization Bureau </w:t>
      </w:r>
    </w:p>
    <w:p w14:paraId="13F7A7D4" w14:textId="77777777" w:rsidR="00C17B46" w:rsidRPr="00380B40" w:rsidRDefault="00C17B46" w:rsidP="00C17B46">
      <w:pPr>
        <w:rPr>
          <w:lang w:val="en-GB"/>
        </w:rPr>
      </w:pPr>
      <w:r w:rsidRPr="00380B40">
        <w:rPr>
          <w:lang w:val="en-GB"/>
        </w:rPr>
        <w:t>to prepare the necessary logistics for the participation of Associates in the work of ITU</w:t>
      </w:r>
      <w:r w:rsidRPr="00380B40">
        <w:rPr>
          <w:lang w:val="en-GB"/>
        </w:rPr>
        <w:noBreakHyphen/>
        <w:t>T, including possible impacts of study group reorganization.</w:t>
      </w:r>
    </w:p>
    <w:p w14:paraId="1EEE1C27" w14:textId="77777777" w:rsidR="00275860" w:rsidRPr="00380B40" w:rsidRDefault="00275860" w:rsidP="00275860">
      <w:pPr>
        <w:rPr>
          <w:lang w:val="en-GB"/>
        </w:rPr>
      </w:pPr>
    </w:p>
    <w:p w14:paraId="2FBAB71F" w14:textId="77777777" w:rsidR="00BC281C" w:rsidRPr="00380B40" w:rsidRDefault="00BC281C" w:rsidP="00275860">
      <w:pPr>
        <w:rPr>
          <w:lang w:val="en-GB"/>
        </w:rPr>
      </w:pPr>
    </w:p>
    <w:p w14:paraId="290FE785" w14:textId="77777777" w:rsidR="00BC281C" w:rsidRPr="00380B40" w:rsidRDefault="00BC281C" w:rsidP="00275860">
      <w:pPr>
        <w:rPr>
          <w:lang w:val="en-GB"/>
        </w:rPr>
      </w:pPr>
    </w:p>
    <w:p w14:paraId="6231A930" w14:textId="77777777" w:rsidR="00BC281C" w:rsidRPr="00380B40" w:rsidRDefault="00BC281C" w:rsidP="00275860">
      <w:pPr>
        <w:rPr>
          <w:lang w:val="en-GB"/>
        </w:rPr>
      </w:pPr>
    </w:p>
    <w:p w14:paraId="26348868" w14:textId="77777777" w:rsidR="00BC281C" w:rsidRPr="00380B40" w:rsidRDefault="00BC281C" w:rsidP="00275860">
      <w:pPr>
        <w:rPr>
          <w:lang w:val="en-GB"/>
        </w:rPr>
      </w:pPr>
    </w:p>
    <w:p w14:paraId="4861BBD2" w14:textId="77777777" w:rsidR="00BC281C" w:rsidRPr="00380B40" w:rsidRDefault="00BC281C" w:rsidP="00275860">
      <w:pPr>
        <w:rPr>
          <w:lang w:val="en-GB"/>
        </w:rPr>
      </w:pPr>
    </w:p>
    <w:p w14:paraId="686F5069" w14:textId="77777777" w:rsidR="00BC281C" w:rsidRPr="00380B40" w:rsidRDefault="00BC281C" w:rsidP="00275860">
      <w:pPr>
        <w:rPr>
          <w:lang w:val="en-GB"/>
        </w:rPr>
      </w:pPr>
    </w:p>
    <w:p w14:paraId="116CC648" w14:textId="77777777" w:rsidR="00BC281C" w:rsidRPr="00380B40" w:rsidRDefault="00BC281C" w:rsidP="00275860">
      <w:pPr>
        <w:rPr>
          <w:lang w:val="en-GB"/>
        </w:rPr>
      </w:pPr>
    </w:p>
    <w:p w14:paraId="14FF6E7B" w14:textId="77777777" w:rsidR="00BC281C" w:rsidRPr="00380B40" w:rsidRDefault="00BC281C" w:rsidP="00275860">
      <w:pPr>
        <w:rPr>
          <w:lang w:val="en-GB"/>
        </w:rPr>
      </w:pPr>
    </w:p>
    <w:p w14:paraId="263E329C" w14:textId="77777777" w:rsidR="00BC281C" w:rsidRPr="00380B40" w:rsidRDefault="00BC281C" w:rsidP="00275860">
      <w:pPr>
        <w:rPr>
          <w:lang w:val="en-GB"/>
        </w:rPr>
      </w:pPr>
    </w:p>
    <w:p w14:paraId="3B2860EA" w14:textId="77777777" w:rsidR="00BC281C" w:rsidRPr="00380B40" w:rsidRDefault="00BC281C" w:rsidP="00275860">
      <w:pPr>
        <w:rPr>
          <w:lang w:val="en-GB"/>
        </w:rPr>
      </w:pPr>
    </w:p>
    <w:p w14:paraId="171ACD79" w14:textId="77777777" w:rsidR="00BC281C" w:rsidRPr="00380B40" w:rsidRDefault="00BC281C" w:rsidP="00275860">
      <w:pPr>
        <w:rPr>
          <w:lang w:val="en-GB"/>
        </w:rPr>
      </w:pPr>
    </w:p>
    <w:p w14:paraId="7A4953F9" w14:textId="77777777" w:rsidR="00BC281C" w:rsidRPr="00380B40" w:rsidRDefault="00BC281C" w:rsidP="00275860">
      <w:pPr>
        <w:rPr>
          <w:lang w:val="en-GB"/>
        </w:rPr>
      </w:pPr>
    </w:p>
    <w:p w14:paraId="6A27806C" w14:textId="77777777" w:rsidR="00E64A6B" w:rsidRPr="00380B40" w:rsidRDefault="00E64A6B" w:rsidP="00E64A6B">
      <w:pPr>
        <w:rPr>
          <w:lang w:val="en-GB"/>
        </w:rPr>
      </w:pPr>
    </w:p>
    <w:p w14:paraId="0876B0F0" w14:textId="77777777" w:rsidR="00E64A6B" w:rsidRPr="00380B40" w:rsidRDefault="00E64A6B" w:rsidP="00E64A6B">
      <w:pPr>
        <w:rPr>
          <w:lang w:val="en-GB"/>
        </w:rPr>
        <w:sectPr w:rsidR="00E64A6B" w:rsidRPr="00380B40" w:rsidSect="00BD4379">
          <w:headerReference w:type="even" r:id="rId77"/>
          <w:footerReference w:type="even" r:id="rId78"/>
          <w:footerReference w:type="default" r:id="rId79"/>
          <w:headerReference w:type="first" r:id="rId80"/>
          <w:footerReference w:type="first" r:id="rId81"/>
          <w:footnotePr>
            <w:numRestart w:val="eachSect"/>
          </w:footnotePr>
          <w:pgSz w:w="11907" w:h="16834" w:code="9"/>
          <w:pgMar w:top="1134" w:right="1134" w:bottom="1134" w:left="1134" w:header="567" w:footer="567" w:gutter="0"/>
          <w:paperSrc w:first="15" w:other="15"/>
          <w:cols w:space="720"/>
          <w:vAlign w:val="both"/>
          <w:docGrid w:linePitch="299"/>
        </w:sectPr>
      </w:pPr>
    </w:p>
    <w:p w14:paraId="4C6EAAC6" w14:textId="77777777" w:rsidR="00275860" w:rsidRPr="00380B40" w:rsidRDefault="00275860" w:rsidP="00275860">
      <w:pPr>
        <w:pStyle w:val="ResNo"/>
        <w:rPr>
          <w:lang w:val="en-GB"/>
        </w:rPr>
      </w:pPr>
      <w:bookmarkStart w:id="143" w:name="_Toc104459711"/>
      <w:bookmarkStart w:id="144" w:name="_Toc104476519"/>
      <w:bookmarkStart w:id="145" w:name="_Toc111636762"/>
      <w:bookmarkStart w:id="146" w:name="_Toc111638412"/>
      <w:r w:rsidRPr="00380B40">
        <w:rPr>
          <w:lang w:val="en-GB"/>
        </w:rPr>
        <w:t xml:space="preserve">RESOLUTION </w:t>
      </w:r>
      <w:r w:rsidRPr="00380B40">
        <w:rPr>
          <w:rStyle w:val="href"/>
          <w:lang w:val="en-GB"/>
        </w:rPr>
        <w:t>32</w:t>
      </w:r>
      <w:r w:rsidRPr="00380B40">
        <w:rPr>
          <w:lang w:val="en-GB"/>
        </w:rPr>
        <w:t xml:space="preserve"> (</w:t>
      </w:r>
      <w:r w:rsidRPr="00380B40">
        <w:rPr>
          <w:caps w:val="0"/>
          <w:lang w:val="en-GB"/>
        </w:rPr>
        <w:t>Rev</w:t>
      </w:r>
      <w:r w:rsidRPr="00380B40">
        <w:rPr>
          <w:lang w:val="en-GB"/>
        </w:rPr>
        <w:t xml:space="preserve">. </w:t>
      </w:r>
      <w:r w:rsidRPr="00380B40">
        <w:rPr>
          <w:caps w:val="0"/>
          <w:lang w:val="en-GB"/>
        </w:rPr>
        <w:t>Hammamet</w:t>
      </w:r>
      <w:r w:rsidRPr="00380B40">
        <w:rPr>
          <w:lang w:val="en-GB"/>
        </w:rPr>
        <w:t>, 2016)</w:t>
      </w:r>
      <w:bookmarkEnd w:id="143"/>
      <w:bookmarkEnd w:id="144"/>
      <w:bookmarkEnd w:id="145"/>
      <w:bookmarkEnd w:id="146"/>
    </w:p>
    <w:p w14:paraId="4C9A41A0" w14:textId="77777777" w:rsidR="00275860" w:rsidRPr="00380B40" w:rsidRDefault="00275860" w:rsidP="00275860">
      <w:pPr>
        <w:pStyle w:val="Restitle"/>
        <w:rPr>
          <w:lang w:val="en-GB"/>
        </w:rPr>
      </w:pPr>
      <w:bookmarkStart w:id="147" w:name="_Toc104459712"/>
      <w:bookmarkStart w:id="148" w:name="_Toc104476520"/>
      <w:bookmarkStart w:id="149" w:name="_Toc111638413"/>
      <w:r w:rsidRPr="00380B40">
        <w:rPr>
          <w:lang w:val="en-GB"/>
        </w:rPr>
        <w:t>Strengthening electronic working methods for the work of the ITU Telecommunication Standardization Sector</w:t>
      </w:r>
      <w:bookmarkEnd w:id="147"/>
      <w:bookmarkEnd w:id="148"/>
      <w:bookmarkEnd w:id="149"/>
      <w:r w:rsidRPr="00380B40">
        <w:rPr>
          <w:lang w:val="en-GB"/>
        </w:rPr>
        <w:t xml:space="preserve"> </w:t>
      </w:r>
    </w:p>
    <w:p w14:paraId="54D46CD8" w14:textId="77777777" w:rsidR="00275860" w:rsidRPr="00380B40" w:rsidRDefault="00275860" w:rsidP="00275860">
      <w:pPr>
        <w:pStyle w:val="Resref"/>
        <w:rPr>
          <w:lang w:val="en-GB"/>
        </w:rPr>
      </w:pPr>
      <w:r w:rsidRPr="00380B40">
        <w:rPr>
          <w:lang w:val="en-GB"/>
        </w:rPr>
        <w:t>(Montreal, 2000; Florianópolis, 2004; Johannesburg, 2008; Dubai, 2012; Hammamet, 2016)</w:t>
      </w:r>
    </w:p>
    <w:p w14:paraId="74606C83" w14:textId="77777777" w:rsidR="00275860" w:rsidRPr="00380B40" w:rsidRDefault="00275860" w:rsidP="00275860">
      <w:pPr>
        <w:pStyle w:val="Normalaftertitle0"/>
      </w:pPr>
      <w:r w:rsidRPr="00380B40">
        <w:t>The World Telecommunication Standardization Assembly (Hammamet, 2016),</w:t>
      </w:r>
    </w:p>
    <w:p w14:paraId="322FD9D2" w14:textId="77777777" w:rsidR="00275860" w:rsidRPr="00380B40" w:rsidRDefault="00275860" w:rsidP="00275860">
      <w:pPr>
        <w:pStyle w:val="Call"/>
        <w:rPr>
          <w:lang w:val="en-GB"/>
        </w:rPr>
      </w:pPr>
      <w:r w:rsidRPr="00380B40">
        <w:rPr>
          <w:lang w:val="en-GB"/>
        </w:rPr>
        <w:t>considering</w:t>
      </w:r>
    </w:p>
    <w:p w14:paraId="70C42D6B" w14:textId="77777777" w:rsidR="00275860" w:rsidRPr="00380B40" w:rsidRDefault="00275860" w:rsidP="00275860">
      <w:pPr>
        <w:rPr>
          <w:lang w:val="en-GB"/>
        </w:rPr>
      </w:pPr>
      <w:r w:rsidRPr="00380B40">
        <w:rPr>
          <w:i/>
          <w:iCs/>
          <w:lang w:val="en-GB"/>
        </w:rPr>
        <w:t>a)</w:t>
      </w:r>
      <w:r w:rsidRPr="00380B40">
        <w:rPr>
          <w:lang w:val="en-GB"/>
        </w:rPr>
        <w:tab/>
        <w:t>the rapid pace of technology change and the consequent need for improved and more rapid standards development;</w:t>
      </w:r>
    </w:p>
    <w:p w14:paraId="310F63CC" w14:textId="77777777" w:rsidR="00275860" w:rsidRPr="00380B40" w:rsidRDefault="00275860" w:rsidP="00275860">
      <w:pPr>
        <w:rPr>
          <w:lang w:val="en-GB"/>
        </w:rPr>
      </w:pPr>
      <w:r w:rsidRPr="00380B40">
        <w:rPr>
          <w:i/>
          <w:iCs/>
          <w:lang w:val="en-GB"/>
        </w:rPr>
        <w:t>b)</w:t>
      </w:r>
      <w:r w:rsidRPr="00380B40">
        <w:rPr>
          <w:lang w:val="en-GB"/>
        </w:rPr>
        <w:tab/>
        <w:t>that electronic working methods (EWM) enable open, rapid and easy collaboration between participants in the activities of the ITU Telecommunication Standardization Sector (ITU</w:t>
      </w:r>
      <w:r w:rsidRPr="00380B40">
        <w:rPr>
          <w:lang w:val="en-GB"/>
        </w:rPr>
        <w:noBreakHyphen/>
        <w:t>T);</w:t>
      </w:r>
    </w:p>
    <w:p w14:paraId="367461C0" w14:textId="77777777" w:rsidR="00275860" w:rsidRPr="00380B40" w:rsidRDefault="00275860" w:rsidP="00275860">
      <w:pPr>
        <w:rPr>
          <w:lang w:val="en-GB"/>
        </w:rPr>
      </w:pPr>
      <w:r w:rsidRPr="00380B40">
        <w:rPr>
          <w:i/>
          <w:iCs/>
          <w:lang w:val="en-GB"/>
        </w:rPr>
        <w:t>c)</w:t>
      </w:r>
      <w:r w:rsidRPr="00380B40">
        <w:rPr>
          <w:lang w:val="en-GB"/>
        </w:rPr>
        <w:tab/>
        <w:t>that the implementation of EWM capabilities and associated arrangements will have significant benefits for the ITU</w:t>
      </w:r>
      <w:r w:rsidRPr="00380B40">
        <w:rPr>
          <w:lang w:val="en-GB"/>
        </w:rPr>
        <w:noBreakHyphen/>
        <w:t>T membership, including resource-limited individuals, organizations and states, by allowing them timely and effective access to standards information and the standards-making and approval process;</w:t>
      </w:r>
    </w:p>
    <w:p w14:paraId="29D6D805" w14:textId="77777777" w:rsidR="00275860" w:rsidRPr="00380B40" w:rsidRDefault="00275860" w:rsidP="00275860">
      <w:pPr>
        <w:rPr>
          <w:i/>
          <w:iCs/>
          <w:lang w:val="en-GB"/>
        </w:rPr>
      </w:pPr>
      <w:r w:rsidRPr="00380B40">
        <w:rPr>
          <w:i/>
          <w:iCs/>
          <w:lang w:val="en-GB"/>
        </w:rPr>
        <w:t>d)</w:t>
      </w:r>
      <w:r w:rsidRPr="00380B40">
        <w:rPr>
          <w:lang w:val="en-GB"/>
        </w:rPr>
        <w:tab/>
        <w:t>that EWM will be advantageous in improving communication among members of ITU</w:t>
      </w:r>
      <w:r w:rsidRPr="00380B40">
        <w:rPr>
          <w:lang w:val="en-GB"/>
        </w:rPr>
        <w:noBreakHyphen/>
        <w:t>T and between other relevant standardization organizations and ITU, towards globally harmonized standards;</w:t>
      </w:r>
    </w:p>
    <w:p w14:paraId="322A066B" w14:textId="77777777" w:rsidR="00275860" w:rsidRPr="00380B40" w:rsidRDefault="00275860" w:rsidP="00275860">
      <w:pPr>
        <w:rPr>
          <w:lang w:val="en-GB"/>
        </w:rPr>
      </w:pPr>
      <w:r w:rsidRPr="00380B40">
        <w:rPr>
          <w:i/>
          <w:iCs/>
          <w:lang w:val="en-GB"/>
        </w:rPr>
        <w:t>e)</w:t>
      </w:r>
      <w:r w:rsidRPr="00380B40">
        <w:rPr>
          <w:lang w:val="en-GB"/>
        </w:rPr>
        <w:tab/>
        <w:t>the key role of the Telecommunication Standardization Bureau (TSB) in providing support to EWM capabilities;</w:t>
      </w:r>
    </w:p>
    <w:p w14:paraId="1144FF1B" w14:textId="77777777" w:rsidR="00275860" w:rsidRPr="00380B40" w:rsidRDefault="00275860" w:rsidP="00275860">
      <w:pPr>
        <w:rPr>
          <w:lang w:val="en-GB"/>
        </w:rPr>
      </w:pPr>
      <w:r w:rsidRPr="00380B40">
        <w:rPr>
          <w:i/>
          <w:iCs/>
          <w:lang w:val="en-GB"/>
        </w:rPr>
        <w:t>f)</w:t>
      </w:r>
      <w:r w:rsidRPr="00380B40">
        <w:rPr>
          <w:lang w:val="en-GB"/>
        </w:rPr>
        <w:tab/>
        <w:t>the decisions contained in Resolution 66 (Rev. Guadalajara, 2010) of the Plenipotentiary Conference;</w:t>
      </w:r>
    </w:p>
    <w:p w14:paraId="1EFB662F" w14:textId="77777777" w:rsidR="00275860" w:rsidRPr="00380B40" w:rsidRDefault="00275860" w:rsidP="00275860">
      <w:pPr>
        <w:rPr>
          <w:lang w:val="en-GB"/>
        </w:rPr>
      </w:pPr>
      <w:r w:rsidRPr="00380B40">
        <w:rPr>
          <w:i/>
          <w:iCs/>
          <w:lang w:val="en-GB"/>
        </w:rPr>
        <w:t>g)</w:t>
      </w:r>
      <w:r w:rsidRPr="00380B40">
        <w:rPr>
          <w:lang w:val="en-GB"/>
        </w:rPr>
        <w:tab/>
        <w:t>the budgetary difficulty developing countries</w:t>
      </w:r>
      <w:r w:rsidR="00FD162E" w:rsidRPr="00380B40">
        <w:rPr>
          <w:rStyle w:val="FootnoteReference"/>
          <w:lang w:val="en-GB"/>
        </w:rPr>
        <w:footnoteReference w:id="18"/>
      </w:r>
      <w:r w:rsidRPr="00380B40">
        <w:rPr>
          <w:lang w:val="en-GB"/>
        </w:rPr>
        <w:t xml:space="preserve"> have in participating actively in face-to-face ITU</w:t>
      </w:r>
      <w:r w:rsidRPr="00380B40">
        <w:rPr>
          <w:lang w:val="en-GB"/>
        </w:rPr>
        <w:noBreakHyphen/>
        <w:t>T meetings;</w:t>
      </w:r>
    </w:p>
    <w:p w14:paraId="2D8BD578" w14:textId="77777777" w:rsidR="00275860" w:rsidRPr="00380B40" w:rsidRDefault="00275860" w:rsidP="00275860">
      <w:pPr>
        <w:rPr>
          <w:i/>
          <w:lang w:val="en-GB"/>
        </w:rPr>
      </w:pPr>
      <w:r w:rsidRPr="00380B40">
        <w:rPr>
          <w:i/>
          <w:iCs/>
          <w:lang w:val="en-GB"/>
        </w:rPr>
        <w:t>h)</w:t>
      </w:r>
      <w:r w:rsidRPr="00380B40">
        <w:rPr>
          <w:lang w:val="en-GB"/>
        </w:rPr>
        <w:tab/>
        <w:t>Resolution 167 (Rev. Busan, 2014) of the Plenipotentiary Conference, which resolves that ITU should further develop its facilities and capabilities for remote participation by electronic means in appropriate meetings of the Union, including working groups created by the Council,</w:t>
      </w:r>
    </w:p>
    <w:p w14:paraId="68891F81" w14:textId="77777777" w:rsidR="00275860" w:rsidRPr="00380B40" w:rsidRDefault="00275860" w:rsidP="00275860">
      <w:pPr>
        <w:pStyle w:val="Call"/>
        <w:rPr>
          <w:lang w:val="en-GB"/>
        </w:rPr>
      </w:pPr>
      <w:r w:rsidRPr="00380B40">
        <w:rPr>
          <w:lang w:val="en-GB"/>
        </w:rPr>
        <w:t>noting</w:t>
      </w:r>
    </w:p>
    <w:p w14:paraId="6F8A7991" w14:textId="77777777" w:rsidR="00275860" w:rsidRPr="00380B40" w:rsidRDefault="00275860" w:rsidP="00275860">
      <w:pPr>
        <w:rPr>
          <w:lang w:val="en-GB"/>
        </w:rPr>
      </w:pPr>
      <w:r w:rsidRPr="00380B40">
        <w:rPr>
          <w:i/>
          <w:iCs/>
          <w:lang w:val="en-GB"/>
        </w:rPr>
        <w:t>a)</w:t>
      </w:r>
      <w:r w:rsidRPr="00380B40">
        <w:rPr>
          <w:lang w:val="en-GB"/>
        </w:rPr>
        <w:tab/>
        <w:t>the desire of members to receive documents in electronic format in a timely manner and the need to reduce the increasing amount of hard copy documentation generated during meetings and dispatched by mail;</w:t>
      </w:r>
    </w:p>
    <w:p w14:paraId="2E66AA7C" w14:textId="77777777" w:rsidR="008547D7" w:rsidRPr="00380B40" w:rsidRDefault="008547D7" w:rsidP="00275860">
      <w:pPr>
        <w:rPr>
          <w:i/>
          <w:iCs/>
          <w:lang w:val="en-GB"/>
        </w:rPr>
      </w:pPr>
      <w:r w:rsidRPr="00380B40">
        <w:rPr>
          <w:i/>
          <w:iCs/>
          <w:lang w:val="en-GB"/>
        </w:rPr>
        <w:br w:type="page"/>
      </w:r>
    </w:p>
    <w:p w14:paraId="33A725CC" w14:textId="77777777" w:rsidR="00275860" w:rsidRPr="00380B40" w:rsidRDefault="00275860" w:rsidP="00275860">
      <w:pPr>
        <w:rPr>
          <w:lang w:val="en-GB"/>
        </w:rPr>
      </w:pPr>
      <w:r w:rsidRPr="00380B40">
        <w:rPr>
          <w:i/>
          <w:iCs/>
          <w:lang w:val="en-GB"/>
        </w:rPr>
        <w:t>b)</w:t>
      </w:r>
      <w:r w:rsidRPr="00380B40">
        <w:rPr>
          <w:lang w:val="en-GB"/>
        </w:rPr>
        <w:tab/>
        <w:t>that many forms of EWM have already been implemented by ITU</w:t>
      </w:r>
      <w:r w:rsidRPr="00380B40">
        <w:rPr>
          <w:lang w:val="en-GB"/>
        </w:rPr>
        <w:noBreakHyphen/>
        <w:t>T, such as electronic document submission and the electronic forum service;</w:t>
      </w:r>
    </w:p>
    <w:p w14:paraId="2E61D947" w14:textId="77777777" w:rsidR="00275860" w:rsidRPr="00380B40" w:rsidRDefault="00275860" w:rsidP="00275860">
      <w:pPr>
        <w:rPr>
          <w:lang w:val="en-GB"/>
        </w:rPr>
      </w:pPr>
      <w:r w:rsidRPr="00380B40">
        <w:rPr>
          <w:i/>
          <w:iCs/>
          <w:lang w:val="en-GB"/>
        </w:rPr>
        <w:t>c)</w:t>
      </w:r>
      <w:r w:rsidRPr="00380B40">
        <w:rPr>
          <w:lang w:val="en-GB"/>
        </w:rPr>
        <w:tab/>
        <w:t>that there are still some difficulties in conducting e</w:t>
      </w:r>
      <w:r w:rsidRPr="00380B40">
        <w:rPr>
          <w:lang w:val="en-GB"/>
        </w:rPr>
        <w:noBreakHyphen/>
        <w:t xml:space="preserve">meetings, due to persistent or intermittent deterioration in quality of service, in particular in meetings with live interpretation; </w:t>
      </w:r>
    </w:p>
    <w:p w14:paraId="7AD94E48" w14:textId="77777777" w:rsidR="00275860" w:rsidRPr="00380B40" w:rsidRDefault="00275860" w:rsidP="00275860">
      <w:pPr>
        <w:rPr>
          <w:lang w:val="en-GB"/>
        </w:rPr>
      </w:pPr>
      <w:r w:rsidRPr="00380B40">
        <w:rPr>
          <w:i/>
          <w:iCs/>
          <w:lang w:val="en-GB"/>
        </w:rPr>
        <w:t>d)</w:t>
      </w:r>
      <w:r w:rsidRPr="00380B40">
        <w:rPr>
          <w:lang w:val="en-GB"/>
        </w:rPr>
        <w:tab/>
        <w:t>the desire of ITU</w:t>
      </w:r>
      <w:r w:rsidRPr="00380B40">
        <w:rPr>
          <w:lang w:val="en-GB"/>
        </w:rPr>
        <w:noBreakHyphen/>
        <w:t>T members to conduct electronic meetings;</w:t>
      </w:r>
    </w:p>
    <w:p w14:paraId="7D9D2A05" w14:textId="77777777" w:rsidR="00275860" w:rsidRPr="00380B40" w:rsidRDefault="00275860" w:rsidP="00275860">
      <w:pPr>
        <w:rPr>
          <w:lang w:val="en-GB"/>
        </w:rPr>
      </w:pPr>
      <w:r w:rsidRPr="00380B40">
        <w:rPr>
          <w:i/>
          <w:iCs/>
          <w:lang w:val="en-GB"/>
        </w:rPr>
        <w:t>e)</w:t>
      </w:r>
      <w:r w:rsidRPr="00380B40">
        <w:rPr>
          <w:lang w:val="en-GB"/>
        </w:rPr>
        <w:tab/>
        <w:t xml:space="preserve">the increasing use of </w:t>
      </w:r>
      <w:r w:rsidRPr="00380B40">
        <w:rPr>
          <w:lang w:val="en-GB" w:eastAsia="ja-JP"/>
        </w:rPr>
        <w:t>mobile devices</w:t>
      </w:r>
      <w:r w:rsidRPr="00380B40">
        <w:rPr>
          <w:lang w:val="en-GB"/>
        </w:rPr>
        <w:t xml:space="preserve"> by members in meetings and elsewhere;</w:t>
      </w:r>
    </w:p>
    <w:p w14:paraId="11620A6A" w14:textId="77777777" w:rsidR="00275860" w:rsidRPr="00380B40" w:rsidRDefault="00275860" w:rsidP="00275860">
      <w:pPr>
        <w:rPr>
          <w:lang w:val="en-GB"/>
        </w:rPr>
      </w:pPr>
      <w:r w:rsidRPr="00380B40">
        <w:rPr>
          <w:i/>
          <w:iCs/>
          <w:lang w:val="en-GB"/>
        </w:rPr>
        <w:t>f)</w:t>
      </w:r>
      <w:r w:rsidRPr="00380B40">
        <w:rPr>
          <w:lang w:val="en-GB"/>
        </w:rPr>
        <w:tab/>
        <w:t>the advantage to the membership of facilitating greater electronic participation in the development and approval of Recommendations, in particular by members unable to participate in study group meetings in Geneva and elsewhere;</w:t>
      </w:r>
    </w:p>
    <w:p w14:paraId="79363D13" w14:textId="77777777" w:rsidR="00275860" w:rsidRPr="00380B40" w:rsidRDefault="00275860" w:rsidP="00275860">
      <w:pPr>
        <w:rPr>
          <w:lang w:val="en-GB"/>
        </w:rPr>
      </w:pPr>
      <w:r w:rsidRPr="00380B40">
        <w:rPr>
          <w:i/>
          <w:iCs/>
          <w:lang w:val="en-GB"/>
        </w:rPr>
        <w:t>g)</w:t>
      </w:r>
      <w:r w:rsidRPr="00380B40">
        <w:rPr>
          <w:lang w:val="en-GB"/>
        </w:rPr>
        <w:tab/>
        <w:t>the difficulties in terms of bandwidth availability and other constraints, particularly in developing countries;</w:t>
      </w:r>
    </w:p>
    <w:p w14:paraId="30D2076D" w14:textId="77777777" w:rsidR="00275860" w:rsidRPr="00380B40" w:rsidRDefault="00275860" w:rsidP="00275860">
      <w:pPr>
        <w:rPr>
          <w:lang w:val="en-GB"/>
        </w:rPr>
      </w:pPr>
      <w:r w:rsidRPr="00380B40">
        <w:rPr>
          <w:i/>
          <w:iCs/>
          <w:lang w:val="en-GB"/>
        </w:rPr>
        <w:t>h)</w:t>
      </w:r>
      <w:r w:rsidRPr="00380B40">
        <w:rPr>
          <w:lang w:val="en-GB"/>
        </w:rPr>
        <w:tab/>
        <w:t>the difficulties in searching for documents and/or information relevant to a specific subject, topic or issue, and the need for a smart solution for classification and easy mining of such documents and/or information;</w:t>
      </w:r>
    </w:p>
    <w:p w14:paraId="0473AE74" w14:textId="77777777" w:rsidR="00275860" w:rsidRPr="00380B40" w:rsidRDefault="00275860" w:rsidP="00275860">
      <w:pPr>
        <w:rPr>
          <w:lang w:val="en-GB"/>
        </w:rPr>
      </w:pPr>
      <w:r w:rsidRPr="00380B40">
        <w:rPr>
          <w:i/>
          <w:iCs/>
          <w:lang w:val="en-GB"/>
        </w:rPr>
        <w:t>i)</w:t>
      </w:r>
      <w:r w:rsidRPr="00380B40">
        <w:rPr>
          <w:lang w:val="en-GB"/>
        </w:rPr>
        <w:tab/>
        <w:t>the economies possible from enhancing ITU</w:t>
      </w:r>
      <w:r w:rsidRPr="00380B40">
        <w:rPr>
          <w:lang w:val="en-GB"/>
        </w:rPr>
        <w:noBreakHyphen/>
        <w:t>T EWM capabilities (e.g. reduced costs for distribution of paper documentation, travel costs, ITU</w:t>
      </w:r>
      <w:r w:rsidRPr="00380B40">
        <w:rPr>
          <w:lang w:val="en-GB"/>
        </w:rPr>
        <w:noBreakHyphen/>
        <w:t>T logistics costs, etc.);</w:t>
      </w:r>
    </w:p>
    <w:p w14:paraId="64F8410D" w14:textId="77777777" w:rsidR="00275860" w:rsidRPr="00380B40" w:rsidRDefault="00275860" w:rsidP="00275860">
      <w:pPr>
        <w:rPr>
          <w:lang w:val="en-GB"/>
        </w:rPr>
      </w:pPr>
      <w:r w:rsidRPr="00380B40">
        <w:rPr>
          <w:i/>
          <w:iCs/>
          <w:lang w:val="en-GB"/>
        </w:rPr>
        <w:t>j)</w:t>
      </w:r>
      <w:r w:rsidRPr="00380B40">
        <w:rPr>
          <w:lang w:val="en-GB"/>
        </w:rPr>
        <w:tab/>
        <w:t>the encouragement by other telecommunication standardization organizations of collaboration using EWM;</w:t>
      </w:r>
    </w:p>
    <w:p w14:paraId="22E4704F" w14:textId="77777777" w:rsidR="00275860" w:rsidRPr="00380B40" w:rsidRDefault="00275860" w:rsidP="00275860">
      <w:pPr>
        <w:rPr>
          <w:lang w:val="en-GB"/>
        </w:rPr>
      </w:pPr>
      <w:r w:rsidRPr="00380B40">
        <w:rPr>
          <w:i/>
          <w:iCs/>
          <w:lang w:val="en-GB"/>
        </w:rPr>
        <w:t>k)</w:t>
      </w:r>
      <w:r w:rsidRPr="00380B40">
        <w:rPr>
          <w:lang w:val="en-GB"/>
        </w:rPr>
        <w:tab/>
        <w:t>that the alternative approval process (AAP) (Recommendation ITU</w:t>
      </w:r>
      <w:r w:rsidRPr="00380B40">
        <w:rPr>
          <w:lang w:val="en-GB"/>
        </w:rPr>
        <w:noBreakHyphen/>
        <w:t>T A.8) is conducted primarily by electronic means,</w:t>
      </w:r>
    </w:p>
    <w:p w14:paraId="30B53F59" w14:textId="77777777" w:rsidR="00275860" w:rsidRPr="00380B40" w:rsidRDefault="00275860" w:rsidP="00275860">
      <w:pPr>
        <w:pStyle w:val="Call"/>
        <w:rPr>
          <w:lang w:val="en-GB"/>
        </w:rPr>
      </w:pPr>
      <w:r w:rsidRPr="00380B40">
        <w:rPr>
          <w:lang w:val="en-GB"/>
        </w:rPr>
        <w:t>resolves</w:t>
      </w:r>
    </w:p>
    <w:p w14:paraId="344BF919" w14:textId="77777777" w:rsidR="00275860" w:rsidRPr="00380B40" w:rsidRDefault="00275860" w:rsidP="00275860">
      <w:pPr>
        <w:rPr>
          <w:lang w:val="en-GB"/>
        </w:rPr>
      </w:pPr>
      <w:r w:rsidRPr="00380B40">
        <w:rPr>
          <w:lang w:val="en-GB"/>
        </w:rPr>
        <w:t>1</w:t>
      </w:r>
      <w:r w:rsidRPr="00380B40">
        <w:rPr>
          <w:lang w:val="en-GB"/>
        </w:rPr>
        <w:tab/>
        <w:t>that the principal EWM objectives of ITU</w:t>
      </w:r>
      <w:r w:rsidRPr="00380B40">
        <w:rPr>
          <w:lang w:val="en-GB"/>
        </w:rPr>
        <w:noBreakHyphen/>
        <w:t>T are:</w:t>
      </w:r>
    </w:p>
    <w:p w14:paraId="619FFDA9" w14:textId="77777777" w:rsidR="00275860" w:rsidRPr="00380B40" w:rsidRDefault="00275860" w:rsidP="00275860">
      <w:pPr>
        <w:pStyle w:val="enumlev1"/>
        <w:rPr>
          <w:lang w:val="en-GB"/>
        </w:rPr>
      </w:pPr>
      <w:r w:rsidRPr="00380B40">
        <w:rPr>
          <w:lang w:val="en-GB"/>
        </w:rPr>
        <w:t>•</w:t>
      </w:r>
      <w:r w:rsidRPr="00380B40">
        <w:rPr>
          <w:lang w:val="en-GB"/>
        </w:rPr>
        <w:tab/>
        <w:t>that collaboration between members on development of Recommendations should be by electronic means;</w:t>
      </w:r>
    </w:p>
    <w:p w14:paraId="51D32478" w14:textId="77777777" w:rsidR="00275860" w:rsidRPr="00380B40" w:rsidRDefault="00275860" w:rsidP="00275860">
      <w:pPr>
        <w:pStyle w:val="enumlev1"/>
        <w:rPr>
          <w:lang w:val="en-GB"/>
        </w:rPr>
      </w:pPr>
      <w:r w:rsidRPr="00380B40">
        <w:rPr>
          <w:lang w:val="en-GB"/>
        </w:rPr>
        <w:t>•</w:t>
      </w:r>
      <w:r w:rsidRPr="00380B40">
        <w:rPr>
          <w:lang w:val="en-GB"/>
        </w:rPr>
        <w:tab/>
        <w:t>that TSB, in close collaboration with the ITU Telecommunication Development Bureau (BDT), should provide facilities and capabilities for EWM at ITU</w:t>
      </w:r>
      <w:r w:rsidRPr="00380B40">
        <w:rPr>
          <w:lang w:val="en-GB"/>
        </w:rPr>
        <w:noBreakHyphen/>
        <w:t>T meetings, workshops and training courses, particularly to assist developing countries that have bandwidth limitations and other constraints, including remote participation and electronic access, such as via LINUX-based platforms;</w:t>
      </w:r>
    </w:p>
    <w:p w14:paraId="2C2AF4E6" w14:textId="77777777" w:rsidR="00275860" w:rsidRPr="00380B40" w:rsidRDefault="00275860" w:rsidP="00275860">
      <w:pPr>
        <w:pStyle w:val="enumlev1"/>
        <w:rPr>
          <w:lang w:val="en-GB"/>
        </w:rPr>
      </w:pPr>
      <w:r w:rsidRPr="00380B40">
        <w:rPr>
          <w:lang w:val="en-GB"/>
        </w:rPr>
        <w:t>•</w:t>
      </w:r>
      <w:r w:rsidRPr="00380B40">
        <w:rPr>
          <w:lang w:val="en-GB"/>
        </w:rPr>
        <w:tab/>
        <w:t>to encourage electronic participation of developing countries in ITU</w:t>
      </w:r>
      <w:r w:rsidRPr="00380B40">
        <w:rPr>
          <w:lang w:val="en-GB"/>
        </w:rPr>
        <w:noBreakHyphen/>
        <w:t>T meetings, by providing simplified facilities and guidelines, and by waiving any expenses for those participants, other than the local call or Internet connectivity charges;</w:t>
      </w:r>
    </w:p>
    <w:p w14:paraId="0701E537" w14:textId="77777777" w:rsidR="00275860" w:rsidRPr="00380B40" w:rsidRDefault="00275860" w:rsidP="00275860">
      <w:pPr>
        <w:pStyle w:val="enumlev1"/>
        <w:rPr>
          <w:lang w:val="en-GB"/>
        </w:rPr>
      </w:pPr>
      <w:r w:rsidRPr="00380B40">
        <w:rPr>
          <w:lang w:val="en-GB"/>
        </w:rPr>
        <w:t>•</w:t>
      </w:r>
      <w:r w:rsidRPr="00380B40">
        <w:rPr>
          <w:lang w:val="en-GB"/>
        </w:rPr>
        <w:tab/>
        <w:t>that TSB, in close collaboration with BDT, should provide facilities and capabilities for EWM at ITU</w:t>
      </w:r>
      <w:r w:rsidRPr="00380B40">
        <w:rPr>
          <w:lang w:val="en-GB"/>
        </w:rPr>
        <w:noBreakHyphen/>
        <w:t>T meetings, workshops and training courses, and encourage participation of developing countries, by waiving, within the credits that the Council is empowered to authorize, any expenses for those participants, other than the local call or Internet connectivity charges;</w:t>
      </w:r>
    </w:p>
    <w:p w14:paraId="6EC3114C" w14:textId="77777777" w:rsidR="008547D7" w:rsidRPr="00380B40" w:rsidRDefault="008547D7" w:rsidP="00275860">
      <w:pPr>
        <w:pStyle w:val="enumlev1"/>
        <w:rPr>
          <w:lang w:val="en-GB"/>
        </w:rPr>
      </w:pPr>
      <w:r w:rsidRPr="00380B40">
        <w:rPr>
          <w:lang w:val="en-GB"/>
        </w:rPr>
        <w:br w:type="page"/>
      </w:r>
    </w:p>
    <w:p w14:paraId="4C7B71CA" w14:textId="77777777" w:rsidR="00275860" w:rsidRPr="00380B40" w:rsidRDefault="00275860" w:rsidP="00275860">
      <w:pPr>
        <w:pStyle w:val="enumlev1"/>
        <w:rPr>
          <w:lang w:val="en-GB"/>
        </w:rPr>
      </w:pPr>
      <w:r w:rsidRPr="00380B40">
        <w:rPr>
          <w:lang w:val="en-GB"/>
        </w:rPr>
        <w:t>•</w:t>
      </w:r>
      <w:r w:rsidRPr="00380B40">
        <w:rPr>
          <w:lang w:val="en-GB"/>
        </w:rPr>
        <w:tab/>
        <w:t>that TSB should provide all members of ITU</w:t>
      </w:r>
      <w:r w:rsidRPr="00380B40">
        <w:rPr>
          <w:lang w:val="en-GB"/>
        </w:rPr>
        <w:noBreakHyphen/>
        <w:t xml:space="preserve">T with appropriate and ready access to electronic documentation for their work, including a global, unified and consolidated view of document traceability; </w:t>
      </w:r>
    </w:p>
    <w:p w14:paraId="36C942DA" w14:textId="77777777" w:rsidR="00275860" w:rsidRPr="00380B40" w:rsidRDefault="00275860" w:rsidP="00275860">
      <w:pPr>
        <w:pStyle w:val="enumlev1"/>
        <w:rPr>
          <w:lang w:val="en-GB"/>
        </w:rPr>
      </w:pPr>
      <w:r w:rsidRPr="00380B40">
        <w:rPr>
          <w:lang w:val="en-GB"/>
        </w:rPr>
        <w:t>•</w:t>
      </w:r>
      <w:r w:rsidRPr="00380B40">
        <w:rPr>
          <w:lang w:val="en-GB"/>
        </w:rPr>
        <w:tab/>
        <w:t>that TSB should provide appropriate systems and facilities to support the conduct of ITU</w:t>
      </w:r>
      <w:r w:rsidRPr="00380B40">
        <w:rPr>
          <w:lang w:val="en-GB"/>
        </w:rPr>
        <w:noBreakHyphen/>
        <w:t xml:space="preserve">T's work by electronic means; </w:t>
      </w:r>
    </w:p>
    <w:p w14:paraId="62167152" w14:textId="77777777" w:rsidR="00275860" w:rsidRPr="00380B40" w:rsidRDefault="00275860" w:rsidP="00275860">
      <w:pPr>
        <w:pStyle w:val="enumlev1"/>
        <w:rPr>
          <w:lang w:val="en-GB"/>
        </w:rPr>
      </w:pPr>
      <w:r w:rsidRPr="00380B40">
        <w:rPr>
          <w:lang w:val="en-GB"/>
        </w:rPr>
        <w:t>•</w:t>
      </w:r>
      <w:r w:rsidRPr="00380B40">
        <w:rPr>
          <w:lang w:val="en-GB"/>
        </w:rPr>
        <w:tab/>
        <w:t>that all activities, procedures, studies and reports of ITU</w:t>
      </w:r>
      <w:r w:rsidRPr="00380B40">
        <w:rPr>
          <w:lang w:val="en-GB"/>
        </w:rPr>
        <w:noBreakHyphen/>
        <w:t>T study groups be posted on the ITU</w:t>
      </w:r>
      <w:r w:rsidRPr="00380B40">
        <w:rPr>
          <w:lang w:val="en-GB"/>
        </w:rPr>
        <w:noBreakHyphen/>
        <w:t>T website so as to facilitate navigation to find all relevant information;</w:t>
      </w:r>
    </w:p>
    <w:p w14:paraId="1206459C" w14:textId="77777777" w:rsidR="00275860" w:rsidRPr="00380B40" w:rsidRDefault="00275860" w:rsidP="00275860">
      <w:pPr>
        <w:pStyle w:val="enumlev1"/>
        <w:rPr>
          <w:lang w:val="en-GB"/>
        </w:rPr>
      </w:pPr>
      <w:r w:rsidRPr="00380B40">
        <w:rPr>
          <w:lang w:val="en-GB"/>
        </w:rPr>
        <w:t>•</w:t>
      </w:r>
      <w:r w:rsidRPr="00380B40">
        <w:rPr>
          <w:lang w:val="en-GB"/>
        </w:rPr>
        <w:tab/>
        <w:t>to consider developing a mobile</w:t>
      </w:r>
      <w:r w:rsidRPr="00380B40">
        <w:rPr>
          <w:lang w:val="en-GB"/>
        </w:rPr>
        <w:noBreakHyphen/>
        <w:t>friendly version of the ITU</w:t>
      </w:r>
      <w:r w:rsidRPr="00380B40">
        <w:rPr>
          <w:lang w:val="en-GB"/>
        </w:rPr>
        <w:noBreakHyphen/>
        <w:t>T website to facilitate easy access by smart mobile devices to information; and</w:t>
      </w:r>
    </w:p>
    <w:p w14:paraId="15A93DF4" w14:textId="77777777" w:rsidR="00275860" w:rsidRPr="00380B40" w:rsidRDefault="00275860" w:rsidP="00275860">
      <w:pPr>
        <w:pStyle w:val="enumlev1"/>
        <w:rPr>
          <w:lang w:val="en-GB"/>
        </w:rPr>
      </w:pPr>
      <w:r w:rsidRPr="00380B40">
        <w:rPr>
          <w:lang w:val="en-GB"/>
        </w:rPr>
        <w:t>•</w:t>
      </w:r>
      <w:r w:rsidRPr="00380B40">
        <w:rPr>
          <w:lang w:val="en-GB"/>
        </w:rPr>
        <w:tab/>
        <w:t>to simplify and facilitate enhanced searching for documents and/or information;</w:t>
      </w:r>
    </w:p>
    <w:p w14:paraId="18BA69AC" w14:textId="77777777" w:rsidR="00275860" w:rsidRPr="00380B40" w:rsidRDefault="00275860" w:rsidP="00275860">
      <w:pPr>
        <w:rPr>
          <w:lang w:val="en-GB"/>
        </w:rPr>
      </w:pPr>
      <w:r w:rsidRPr="00380B40">
        <w:rPr>
          <w:lang w:val="en-GB"/>
        </w:rPr>
        <w:t>2</w:t>
      </w:r>
      <w:r w:rsidRPr="00380B40">
        <w:rPr>
          <w:lang w:val="en-GB"/>
        </w:rPr>
        <w:tab/>
        <w:t>that these objectives should be systematically addressed in an EWM Action Plan, including individual action items identified by the ITU</w:t>
      </w:r>
      <w:r w:rsidRPr="00380B40">
        <w:rPr>
          <w:lang w:val="en-GB"/>
        </w:rPr>
        <w:noBreakHyphen/>
        <w:t>T membership or TSB, and prioritized and managed by TSB with the advice of the Telecommunication Standardization Advisory Group (TSAG),</w:t>
      </w:r>
    </w:p>
    <w:p w14:paraId="4274AF85" w14:textId="77777777" w:rsidR="00275860" w:rsidRPr="00380B40" w:rsidRDefault="00275860" w:rsidP="00275860">
      <w:pPr>
        <w:pStyle w:val="Call"/>
        <w:rPr>
          <w:lang w:val="en-GB"/>
        </w:rPr>
      </w:pPr>
      <w:r w:rsidRPr="00380B40">
        <w:rPr>
          <w:lang w:val="en-GB"/>
        </w:rPr>
        <w:t>instructs</w:t>
      </w:r>
    </w:p>
    <w:p w14:paraId="117E5876" w14:textId="77777777" w:rsidR="00275860" w:rsidRPr="00380B40" w:rsidRDefault="00275860" w:rsidP="00275860">
      <w:pPr>
        <w:keepNext/>
        <w:rPr>
          <w:lang w:val="en-GB"/>
        </w:rPr>
      </w:pPr>
      <w:r w:rsidRPr="00380B40">
        <w:rPr>
          <w:lang w:val="en-GB"/>
        </w:rPr>
        <w:t>1</w:t>
      </w:r>
      <w:r w:rsidRPr="00380B40">
        <w:rPr>
          <w:lang w:val="en-GB"/>
        </w:rPr>
        <w:tab/>
        <w:t>the Director of TSB to:</w:t>
      </w:r>
    </w:p>
    <w:p w14:paraId="371463DC" w14:textId="77777777" w:rsidR="00275860" w:rsidRPr="00380B40" w:rsidRDefault="00275860" w:rsidP="00275860">
      <w:pPr>
        <w:pStyle w:val="enumlev1"/>
        <w:rPr>
          <w:lang w:val="en-GB"/>
        </w:rPr>
      </w:pPr>
      <w:r w:rsidRPr="00380B40">
        <w:rPr>
          <w:lang w:val="en-GB"/>
        </w:rPr>
        <w:t>•</w:t>
      </w:r>
      <w:r w:rsidRPr="00380B40">
        <w:rPr>
          <w:lang w:val="en-GB"/>
        </w:rPr>
        <w:tab/>
        <w:t>maintain the EWM Action Plan to address the practical and physical aspects of increasing the EWM capability of ITU</w:t>
      </w:r>
      <w:r w:rsidRPr="00380B40">
        <w:rPr>
          <w:lang w:val="en-GB"/>
        </w:rPr>
        <w:noBreakHyphen/>
        <w:t>T;</w:t>
      </w:r>
    </w:p>
    <w:p w14:paraId="2447C338" w14:textId="77777777" w:rsidR="00275860" w:rsidRPr="00380B40" w:rsidRDefault="00275860" w:rsidP="00275860">
      <w:pPr>
        <w:pStyle w:val="enumlev1"/>
        <w:rPr>
          <w:lang w:val="en-GB"/>
        </w:rPr>
      </w:pPr>
      <w:r w:rsidRPr="00380B40">
        <w:rPr>
          <w:lang w:val="en-GB"/>
        </w:rPr>
        <w:t>•</w:t>
      </w:r>
      <w:r w:rsidRPr="00380B40">
        <w:rPr>
          <w:lang w:val="en-GB"/>
        </w:rPr>
        <w:tab/>
        <w:t xml:space="preserve">identify and review costs and benefits of the action items on a regular basis; </w:t>
      </w:r>
    </w:p>
    <w:p w14:paraId="7018FC14" w14:textId="77777777" w:rsidR="00275860" w:rsidRPr="00380B40" w:rsidRDefault="00275860" w:rsidP="00275860">
      <w:pPr>
        <w:pStyle w:val="enumlev1"/>
        <w:rPr>
          <w:lang w:val="en-GB"/>
        </w:rPr>
      </w:pPr>
      <w:r w:rsidRPr="00380B40">
        <w:rPr>
          <w:lang w:val="en-GB"/>
        </w:rPr>
        <w:t>•</w:t>
      </w:r>
      <w:r w:rsidRPr="00380B40">
        <w:rPr>
          <w:lang w:val="en-GB"/>
        </w:rPr>
        <w:tab/>
        <w:t>report to each meeting of TSAG on the status of the Action Plan, including the results of the cost and benefit reviews described above;</w:t>
      </w:r>
    </w:p>
    <w:p w14:paraId="098B8913" w14:textId="77777777" w:rsidR="00275860" w:rsidRPr="00380B40" w:rsidRDefault="00275860" w:rsidP="00275860">
      <w:pPr>
        <w:pStyle w:val="enumlev1"/>
        <w:rPr>
          <w:lang w:val="en-GB"/>
        </w:rPr>
      </w:pPr>
      <w:r w:rsidRPr="00380B40">
        <w:rPr>
          <w:lang w:val="en-GB"/>
        </w:rPr>
        <w:t>•</w:t>
      </w:r>
      <w:r w:rsidRPr="00380B40">
        <w:rPr>
          <w:lang w:val="en-GB"/>
        </w:rPr>
        <w:tab/>
        <w:t>provide the executive authority, budget within TSB, and resources to execute the Action Plan with all possible speed;</w:t>
      </w:r>
    </w:p>
    <w:p w14:paraId="4916507B" w14:textId="77777777" w:rsidR="00275860" w:rsidRPr="00380B40" w:rsidRDefault="00275860" w:rsidP="00275860">
      <w:pPr>
        <w:pStyle w:val="enumlev1"/>
        <w:rPr>
          <w:lang w:val="en-GB"/>
        </w:rPr>
      </w:pPr>
      <w:r w:rsidRPr="00380B40">
        <w:rPr>
          <w:lang w:val="en-GB"/>
        </w:rPr>
        <w:t>•</w:t>
      </w:r>
      <w:r w:rsidRPr="00380B40">
        <w:rPr>
          <w:lang w:val="en-GB"/>
        </w:rPr>
        <w:tab/>
        <w:t>develop and disseminate guidelines for the use of ITU</w:t>
      </w:r>
      <w:r w:rsidRPr="00380B40">
        <w:rPr>
          <w:lang w:val="en-GB"/>
        </w:rPr>
        <w:noBreakHyphen/>
        <w:t>T EWM facilities and capabilities;</w:t>
      </w:r>
    </w:p>
    <w:p w14:paraId="781A4975" w14:textId="77777777" w:rsidR="00275860" w:rsidRPr="00380B40" w:rsidRDefault="00275860" w:rsidP="00275860">
      <w:pPr>
        <w:pStyle w:val="enumlev1"/>
        <w:rPr>
          <w:lang w:val="en-GB"/>
        </w:rPr>
      </w:pPr>
      <w:r w:rsidRPr="00380B40">
        <w:rPr>
          <w:lang w:val="en-GB"/>
        </w:rPr>
        <w:t>•</w:t>
      </w:r>
      <w:r w:rsidRPr="00380B40">
        <w:rPr>
          <w:lang w:val="en-GB"/>
        </w:rPr>
        <w:tab/>
        <w:t>take action, in order to provide appropriate electronic participation or observation facilities (e.g. webcast, audioconference, webconference/document sharing, videoconference, etc.) in ITU</w:t>
      </w:r>
      <w:r w:rsidRPr="00380B40">
        <w:rPr>
          <w:lang w:val="en-GB"/>
        </w:rPr>
        <w:noBreakHyphen/>
        <w:t xml:space="preserve">T meetings, workshops and training courses for delegates unable to attend events in person, and coordinate with BDT to assist in the provision of such facilities; </w:t>
      </w:r>
    </w:p>
    <w:p w14:paraId="23811859" w14:textId="77777777" w:rsidR="00275860" w:rsidRPr="00380B40" w:rsidRDefault="00275860" w:rsidP="00275860">
      <w:pPr>
        <w:pStyle w:val="enumlev1"/>
        <w:rPr>
          <w:lang w:val="en-GB"/>
        </w:rPr>
      </w:pPr>
      <w:r w:rsidRPr="00380B40">
        <w:rPr>
          <w:lang w:val="en-GB"/>
        </w:rPr>
        <w:t>•</w:t>
      </w:r>
      <w:r w:rsidRPr="00380B40">
        <w:rPr>
          <w:lang w:val="en-GB"/>
        </w:rPr>
        <w:tab/>
        <w:t>provide an ITU</w:t>
      </w:r>
      <w:r w:rsidRPr="00380B40">
        <w:rPr>
          <w:lang w:val="en-GB"/>
        </w:rPr>
        <w:noBreakHyphen/>
        <w:t>T website that is easy to navigate to find all relevant information; and in particular a classification mechanism and an enhanced search engine to extract documents and/or information that are related to a specific subject, topic or issue; and</w:t>
      </w:r>
    </w:p>
    <w:p w14:paraId="2A8FD823" w14:textId="77777777" w:rsidR="00275860" w:rsidRPr="00380B40" w:rsidRDefault="00275860" w:rsidP="00275860">
      <w:pPr>
        <w:pStyle w:val="enumlev1"/>
        <w:rPr>
          <w:lang w:val="en-GB"/>
        </w:rPr>
      </w:pPr>
      <w:r w:rsidRPr="00380B40">
        <w:rPr>
          <w:lang w:val="en-GB"/>
        </w:rPr>
        <w:t>•</w:t>
      </w:r>
      <w:r w:rsidRPr="00380B40">
        <w:rPr>
          <w:lang w:val="en-GB"/>
        </w:rPr>
        <w:tab/>
        <w:t>provide a mobile</w:t>
      </w:r>
      <w:r w:rsidRPr="00380B40">
        <w:rPr>
          <w:lang w:val="en-GB"/>
        </w:rPr>
        <w:noBreakHyphen/>
        <w:t>friendly version of the ITU</w:t>
      </w:r>
      <w:r w:rsidRPr="00380B40">
        <w:rPr>
          <w:lang w:val="en-GB"/>
        </w:rPr>
        <w:noBreakHyphen/>
        <w:t>T website;</w:t>
      </w:r>
    </w:p>
    <w:p w14:paraId="6B638D54" w14:textId="77777777" w:rsidR="008547D7" w:rsidRPr="00380B40" w:rsidRDefault="008547D7" w:rsidP="00275860">
      <w:pPr>
        <w:keepNext/>
        <w:rPr>
          <w:lang w:val="en-GB"/>
        </w:rPr>
      </w:pPr>
      <w:r w:rsidRPr="00380B40">
        <w:rPr>
          <w:lang w:val="en-GB"/>
        </w:rPr>
        <w:br w:type="page"/>
      </w:r>
    </w:p>
    <w:p w14:paraId="6531CED1" w14:textId="77777777" w:rsidR="00275860" w:rsidRPr="00380B40" w:rsidRDefault="00275860" w:rsidP="00275860">
      <w:pPr>
        <w:keepNext/>
        <w:rPr>
          <w:lang w:val="en-GB"/>
        </w:rPr>
      </w:pPr>
      <w:r w:rsidRPr="00380B40">
        <w:rPr>
          <w:lang w:val="en-GB"/>
        </w:rPr>
        <w:t>2</w:t>
      </w:r>
      <w:r w:rsidRPr="00380B40">
        <w:rPr>
          <w:lang w:val="en-GB"/>
        </w:rPr>
        <w:tab/>
        <w:t>TSAG to continue to:</w:t>
      </w:r>
    </w:p>
    <w:p w14:paraId="42D81925" w14:textId="77777777" w:rsidR="00275860" w:rsidRPr="00380B40" w:rsidRDefault="00275860" w:rsidP="00275860">
      <w:pPr>
        <w:pStyle w:val="enumlev1"/>
        <w:rPr>
          <w:lang w:val="en-GB"/>
        </w:rPr>
      </w:pPr>
      <w:r w:rsidRPr="00380B40">
        <w:rPr>
          <w:lang w:val="en-GB"/>
        </w:rPr>
        <w:t>•</w:t>
      </w:r>
      <w:r w:rsidRPr="00380B40">
        <w:rPr>
          <w:lang w:val="en-GB"/>
        </w:rPr>
        <w:tab/>
        <w:t>act as the point of contact between the ITU</w:t>
      </w:r>
      <w:r w:rsidRPr="00380B40">
        <w:rPr>
          <w:lang w:val="en-GB"/>
        </w:rPr>
        <w:noBreakHyphen/>
        <w:t>T membership and TSB on EWM matters, in particular providing feedback and advice on the contents, prioritization and implementation of the Action Plan;</w:t>
      </w:r>
    </w:p>
    <w:p w14:paraId="77496586" w14:textId="77777777" w:rsidR="00275860" w:rsidRPr="00380B40" w:rsidRDefault="00275860" w:rsidP="00275860">
      <w:pPr>
        <w:pStyle w:val="enumlev1"/>
        <w:rPr>
          <w:lang w:val="en-GB"/>
        </w:rPr>
      </w:pPr>
      <w:r w:rsidRPr="00380B40">
        <w:rPr>
          <w:lang w:val="en-GB"/>
        </w:rPr>
        <w:t>•</w:t>
      </w:r>
      <w:r w:rsidRPr="00380B40">
        <w:rPr>
          <w:lang w:val="en-GB"/>
        </w:rPr>
        <w:tab/>
        <w:t>identify user needs and plan the introduction of suitable measures through appropriate subgroups and pilot programmes;</w:t>
      </w:r>
    </w:p>
    <w:p w14:paraId="55C8B1A6" w14:textId="77777777" w:rsidR="00275860" w:rsidRPr="00380B40" w:rsidRDefault="00275860" w:rsidP="00275860">
      <w:pPr>
        <w:pStyle w:val="enumlev1"/>
        <w:rPr>
          <w:lang w:val="en-GB"/>
        </w:rPr>
      </w:pPr>
      <w:r w:rsidRPr="00380B40">
        <w:rPr>
          <w:lang w:val="en-GB"/>
        </w:rPr>
        <w:t>•</w:t>
      </w:r>
      <w:r w:rsidRPr="00380B40">
        <w:rPr>
          <w:lang w:val="en-GB"/>
        </w:rPr>
        <w:tab/>
        <w:t>request study group chairmen to identify EWM liaisons;</w:t>
      </w:r>
    </w:p>
    <w:p w14:paraId="0F5423C5" w14:textId="77777777" w:rsidR="00275860" w:rsidRPr="00380B40" w:rsidRDefault="00275860" w:rsidP="00275860">
      <w:pPr>
        <w:pStyle w:val="enumlev1"/>
        <w:rPr>
          <w:lang w:val="en-GB"/>
        </w:rPr>
      </w:pPr>
      <w:r w:rsidRPr="00380B40">
        <w:rPr>
          <w:lang w:val="en-GB"/>
        </w:rPr>
        <w:t>•</w:t>
      </w:r>
      <w:r w:rsidRPr="00380B40">
        <w:rPr>
          <w:lang w:val="en-GB"/>
        </w:rPr>
        <w:tab/>
        <w:t>encourage participation by all participants in the work of ITU</w:t>
      </w:r>
      <w:r w:rsidRPr="00380B40">
        <w:rPr>
          <w:lang w:val="en-GB"/>
        </w:rPr>
        <w:noBreakHyphen/>
        <w:t>T, especially EWM experts from TSAG, the study groups, TSB and appropriate ITU Bureaux and departments;</w:t>
      </w:r>
    </w:p>
    <w:p w14:paraId="29ECF6B6" w14:textId="77777777" w:rsidR="00275860" w:rsidRPr="00380B40" w:rsidRDefault="00275860" w:rsidP="00275860">
      <w:pPr>
        <w:pStyle w:val="enumlev1"/>
        <w:rPr>
          <w:lang w:val="en-GB"/>
        </w:rPr>
      </w:pPr>
      <w:r w:rsidRPr="00380B40">
        <w:rPr>
          <w:lang w:val="en-GB"/>
        </w:rPr>
        <w:t>•</w:t>
      </w:r>
      <w:r w:rsidRPr="00380B40">
        <w:rPr>
          <w:lang w:val="en-GB"/>
        </w:rPr>
        <w:tab/>
        <w:t xml:space="preserve">continue its work electronically outside TSAG meetings as necessary to carry out its objectives. </w:t>
      </w:r>
    </w:p>
    <w:p w14:paraId="02C17C29" w14:textId="77777777" w:rsidR="008547D7" w:rsidRPr="00380B40" w:rsidRDefault="008547D7" w:rsidP="00275860">
      <w:pPr>
        <w:pStyle w:val="enumlev1"/>
        <w:rPr>
          <w:lang w:val="en-GB"/>
        </w:rPr>
      </w:pPr>
    </w:p>
    <w:p w14:paraId="53C4F4C7" w14:textId="77777777" w:rsidR="008547D7" w:rsidRPr="00380B40" w:rsidRDefault="008547D7" w:rsidP="00275860">
      <w:pPr>
        <w:pStyle w:val="enumlev1"/>
        <w:rPr>
          <w:lang w:val="en-GB"/>
        </w:rPr>
      </w:pPr>
    </w:p>
    <w:p w14:paraId="45EF65DD" w14:textId="77777777" w:rsidR="008547D7" w:rsidRPr="00380B40" w:rsidRDefault="008547D7" w:rsidP="00275860">
      <w:pPr>
        <w:pStyle w:val="enumlev1"/>
        <w:rPr>
          <w:lang w:val="en-GB"/>
        </w:rPr>
      </w:pPr>
    </w:p>
    <w:p w14:paraId="0C23AB86" w14:textId="77777777" w:rsidR="008547D7" w:rsidRPr="00380B40" w:rsidRDefault="008547D7" w:rsidP="00275860">
      <w:pPr>
        <w:pStyle w:val="enumlev1"/>
        <w:rPr>
          <w:lang w:val="en-GB"/>
        </w:rPr>
      </w:pPr>
    </w:p>
    <w:p w14:paraId="4F77FE28" w14:textId="77777777" w:rsidR="008547D7" w:rsidRPr="00380B40" w:rsidRDefault="008547D7" w:rsidP="00275860">
      <w:pPr>
        <w:pStyle w:val="enumlev1"/>
        <w:rPr>
          <w:lang w:val="en-GB"/>
        </w:rPr>
      </w:pPr>
    </w:p>
    <w:p w14:paraId="495E3380" w14:textId="77777777" w:rsidR="008547D7" w:rsidRPr="00380B40" w:rsidRDefault="008547D7" w:rsidP="00275860">
      <w:pPr>
        <w:pStyle w:val="enumlev1"/>
        <w:rPr>
          <w:lang w:val="en-GB"/>
        </w:rPr>
      </w:pPr>
    </w:p>
    <w:p w14:paraId="3DEA8FB7" w14:textId="77777777" w:rsidR="008547D7" w:rsidRPr="00380B40" w:rsidRDefault="008547D7" w:rsidP="00275860">
      <w:pPr>
        <w:pStyle w:val="enumlev1"/>
        <w:rPr>
          <w:lang w:val="en-GB"/>
        </w:rPr>
      </w:pPr>
    </w:p>
    <w:p w14:paraId="6A982DA1" w14:textId="77777777" w:rsidR="008547D7" w:rsidRPr="00380B40" w:rsidRDefault="008547D7" w:rsidP="00275860">
      <w:pPr>
        <w:pStyle w:val="enumlev1"/>
        <w:rPr>
          <w:lang w:val="en-GB"/>
        </w:rPr>
      </w:pPr>
    </w:p>
    <w:p w14:paraId="6B1B64A2" w14:textId="77777777" w:rsidR="008547D7" w:rsidRPr="00380B40" w:rsidRDefault="008547D7" w:rsidP="00275860">
      <w:pPr>
        <w:pStyle w:val="enumlev1"/>
        <w:rPr>
          <w:lang w:val="en-GB"/>
        </w:rPr>
      </w:pPr>
    </w:p>
    <w:p w14:paraId="14F09151" w14:textId="77777777" w:rsidR="008547D7" w:rsidRPr="00380B40" w:rsidRDefault="008547D7" w:rsidP="00275860">
      <w:pPr>
        <w:pStyle w:val="enumlev1"/>
        <w:rPr>
          <w:lang w:val="en-GB"/>
        </w:rPr>
      </w:pPr>
    </w:p>
    <w:p w14:paraId="6C038AA5" w14:textId="77777777" w:rsidR="008547D7" w:rsidRPr="00380B40" w:rsidRDefault="008547D7" w:rsidP="00275860">
      <w:pPr>
        <w:pStyle w:val="enumlev1"/>
        <w:rPr>
          <w:lang w:val="en-GB"/>
        </w:rPr>
      </w:pPr>
    </w:p>
    <w:p w14:paraId="5EEABAF3" w14:textId="77777777" w:rsidR="008547D7" w:rsidRPr="00380B40" w:rsidRDefault="008547D7" w:rsidP="00275860">
      <w:pPr>
        <w:pStyle w:val="enumlev1"/>
        <w:rPr>
          <w:lang w:val="en-GB"/>
        </w:rPr>
      </w:pPr>
    </w:p>
    <w:p w14:paraId="6E12E267" w14:textId="77777777" w:rsidR="008547D7" w:rsidRPr="00380B40" w:rsidRDefault="008547D7" w:rsidP="00275860">
      <w:pPr>
        <w:pStyle w:val="enumlev1"/>
        <w:rPr>
          <w:lang w:val="en-GB"/>
        </w:rPr>
      </w:pPr>
    </w:p>
    <w:p w14:paraId="6584795C" w14:textId="77777777" w:rsidR="008547D7" w:rsidRPr="00380B40" w:rsidRDefault="008547D7" w:rsidP="00275860">
      <w:pPr>
        <w:pStyle w:val="enumlev1"/>
        <w:rPr>
          <w:lang w:val="en-GB"/>
        </w:rPr>
      </w:pPr>
    </w:p>
    <w:p w14:paraId="2630A6A6" w14:textId="77777777" w:rsidR="008547D7" w:rsidRPr="00380B40" w:rsidRDefault="008547D7" w:rsidP="00275860">
      <w:pPr>
        <w:pStyle w:val="enumlev1"/>
        <w:rPr>
          <w:lang w:val="en-GB"/>
        </w:rPr>
      </w:pPr>
    </w:p>
    <w:p w14:paraId="3375FB2F" w14:textId="77777777" w:rsidR="00E64A6B" w:rsidRPr="00380B40" w:rsidRDefault="00E64A6B" w:rsidP="00E64A6B">
      <w:pPr>
        <w:rPr>
          <w:lang w:val="en-GB"/>
        </w:rPr>
      </w:pPr>
    </w:p>
    <w:p w14:paraId="5031FB7C" w14:textId="77777777" w:rsidR="00E64A6B" w:rsidRPr="00380B40" w:rsidRDefault="00E64A6B" w:rsidP="00E64A6B">
      <w:pPr>
        <w:rPr>
          <w:lang w:val="en-GB"/>
        </w:rPr>
        <w:sectPr w:rsidR="00E64A6B" w:rsidRPr="00380B40" w:rsidSect="006B23B8">
          <w:headerReference w:type="even" r:id="rId82"/>
          <w:headerReference w:type="default" r:id="rId83"/>
          <w:footerReference w:type="even" r:id="rId84"/>
          <w:footerReference w:type="default" r:id="rId85"/>
          <w:headerReference w:type="first" r:id="rId86"/>
          <w:footerReference w:type="first" r:id="rId87"/>
          <w:footnotePr>
            <w:numRestart w:val="eachSect"/>
          </w:footnotePr>
          <w:pgSz w:w="11907" w:h="16834" w:code="9"/>
          <w:pgMar w:top="1134" w:right="1134" w:bottom="1134" w:left="1134" w:header="567" w:footer="567" w:gutter="0"/>
          <w:paperSrc w:first="15" w:other="15"/>
          <w:cols w:space="720"/>
          <w:vAlign w:val="both"/>
          <w:docGrid w:linePitch="299"/>
        </w:sectPr>
      </w:pPr>
    </w:p>
    <w:p w14:paraId="2889B3D7" w14:textId="77777777" w:rsidR="00BC0882" w:rsidRPr="00380B40" w:rsidRDefault="00055CCD" w:rsidP="004A0742">
      <w:pPr>
        <w:pStyle w:val="ResNo"/>
        <w:rPr>
          <w:lang w:val="en-GB"/>
        </w:rPr>
      </w:pPr>
      <w:bookmarkStart w:id="150" w:name="_Toc104459713"/>
      <w:bookmarkStart w:id="151" w:name="_Toc104476521"/>
      <w:bookmarkStart w:id="152" w:name="_Toc111636763"/>
      <w:bookmarkStart w:id="153" w:name="_Toc111638414"/>
      <w:r w:rsidRPr="00380B40">
        <w:rPr>
          <w:caps w:val="0"/>
          <w:lang w:val="en-GB"/>
        </w:rPr>
        <w:t xml:space="preserve">RESOLUTION </w:t>
      </w:r>
      <w:r w:rsidR="00BC0882" w:rsidRPr="00380B40">
        <w:rPr>
          <w:rStyle w:val="href"/>
          <w:lang w:val="en-GB"/>
        </w:rPr>
        <w:t xml:space="preserve">34 </w:t>
      </w:r>
      <w:r w:rsidR="004A0742" w:rsidRPr="00380B40">
        <w:rPr>
          <w:lang w:val="en-GB"/>
        </w:rPr>
        <w:t>(R</w:t>
      </w:r>
      <w:r w:rsidR="00427C06" w:rsidRPr="00380B40">
        <w:rPr>
          <w:caps w:val="0"/>
          <w:lang w:val="en-GB"/>
        </w:rPr>
        <w:t>ev</w:t>
      </w:r>
      <w:r w:rsidR="004A0742" w:rsidRPr="00380B40">
        <w:rPr>
          <w:lang w:val="en-GB"/>
        </w:rPr>
        <w:t>. G</w:t>
      </w:r>
      <w:r w:rsidR="00427C06" w:rsidRPr="00380B40">
        <w:rPr>
          <w:caps w:val="0"/>
          <w:lang w:val="en-GB"/>
        </w:rPr>
        <w:t>eneva</w:t>
      </w:r>
      <w:r w:rsidR="004A0742" w:rsidRPr="00380B40">
        <w:rPr>
          <w:lang w:val="en-GB"/>
        </w:rPr>
        <w:t>, 2022)</w:t>
      </w:r>
      <w:bookmarkEnd w:id="150"/>
      <w:bookmarkEnd w:id="151"/>
      <w:bookmarkEnd w:id="152"/>
      <w:bookmarkEnd w:id="153"/>
    </w:p>
    <w:p w14:paraId="45C5193F" w14:textId="77777777" w:rsidR="00BC0882" w:rsidRPr="00380B40" w:rsidRDefault="00BC0882" w:rsidP="00BC0882">
      <w:pPr>
        <w:pStyle w:val="Restitle"/>
        <w:rPr>
          <w:lang w:val="en-GB"/>
        </w:rPr>
      </w:pPr>
      <w:bookmarkStart w:id="154" w:name="_Toc104459714"/>
      <w:bookmarkStart w:id="155" w:name="_Toc104476522"/>
      <w:bookmarkStart w:id="156" w:name="_Toc111638415"/>
      <w:r w:rsidRPr="00380B40">
        <w:rPr>
          <w:lang w:val="en-GB"/>
        </w:rPr>
        <w:t>Voluntary contributions</w:t>
      </w:r>
      <w:bookmarkEnd w:id="154"/>
      <w:bookmarkEnd w:id="155"/>
      <w:bookmarkEnd w:id="156"/>
    </w:p>
    <w:p w14:paraId="35664D12" w14:textId="77777777" w:rsidR="004A0742" w:rsidRPr="00380B40" w:rsidRDefault="004A0742" w:rsidP="004A0742">
      <w:pPr>
        <w:pStyle w:val="Resref"/>
        <w:keepNext w:val="0"/>
        <w:keepLines w:val="0"/>
        <w:rPr>
          <w:lang w:val="en-GB"/>
        </w:rPr>
      </w:pPr>
      <w:r w:rsidRPr="00380B40">
        <w:rPr>
          <w:lang w:val="en-GB"/>
        </w:rPr>
        <w:t>(Montreal, 2000; Florianópolis, 2004; Johannesburg, 2008; Dubai, 2012; Geneva, 2022)</w:t>
      </w:r>
    </w:p>
    <w:p w14:paraId="30A77472" w14:textId="77777777" w:rsidR="004A0742" w:rsidRPr="00380B40" w:rsidRDefault="004A0742" w:rsidP="004A0742">
      <w:pPr>
        <w:pStyle w:val="Normalaftertitle0"/>
      </w:pPr>
      <w:r w:rsidRPr="00380B40">
        <w:t>The World Telecommunication Standardization Assembly (Geneva, 2022),</w:t>
      </w:r>
    </w:p>
    <w:p w14:paraId="232B0924" w14:textId="77777777" w:rsidR="004A0742" w:rsidRPr="00380B40" w:rsidRDefault="004A0742" w:rsidP="004A0742">
      <w:pPr>
        <w:pStyle w:val="Call"/>
        <w:keepNext w:val="0"/>
        <w:keepLines w:val="0"/>
        <w:rPr>
          <w:lang w:val="en-GB"/>
        </w:rPr>
      </w:pPr>
      <w:r w:rsidRPr="00380B40">
        <w:rPr>
          <w:lang w:val="en-GB"/>
        </w:rPr>
        <w:t>considering</w:t>
      </w:r>
    </w:p>
    <w:p w14:paraId="450A67BE" w14:textId="77777777" w:rsidR="004A0742" w:rsidRPr="00380B40" w:rsidRDefault="004A0742" w:rsidP="004A0742">
      <w:pPr>
        <w:rPr>
          <w:lang w:val="en-GB"/>
        </w:rPr>
      </w:pPr>
      <w:r w:rsidRPr="00380B40">
        <w:rPr>
          <w:i/>
          <w:iCs/>
          <w:lang w:val="en-GB"/>
        </w:rPr>
        <w:t>a)</w:t>
      </w:r>
      <w:r w:rsidRPr="00380B40">
        <w:rPr>
          <w:lang w:val="en-GB"/>
        </w:rPr>
        <w:tab/>
        <w:t>Resolution 71 (Rev. Dubai, 2018) of the Plenipotentiary Conference, on the strategic plan for the Union for 2020-2023, targeting ambitious strategic objectives in the activities of the ITU Telecommunication Standardization Sector (ITU</w:t>
      </w:r>
      <w:r w:rsidRPr="00380B40">
        <w:rPr>
          <w:lang w:val="en-GB"/>
        </w:rPr>
        <w:noBreakHyphen/>
        <w:t>T);</w:t>
      </w:r>
    </w:p>
    <w:p w14:paraId="3B3AD0AC" w14:textId="77777777" w:rsidR="004A0742" w:rsidRPr="00380B40" w:rsidRDefault="004A0742" w:rsidP="004A0742">
      <w:pPr>
        <w:rPr>
          <w:lang w:val="en-GB"/>
        </w:rPr>
      </w:pPr>
      <w:r w:rsidRPr="00380B40">
        <w:rPr>
          <w:i/>
          <w:iCs/>
          <w:lang w:val="en-GB"/>
        </w:rPr>
        <w:t>b)</w:t>
      </w:r>
      <w:r w:rsidRPr="00380B40">
        <w:rPr>
          <w:lang w:val="en-GB"/>
        </w:rPr>
        <w:tab/>
        <w:t>Resolution 123 (Rev. Dubai, 2018) of the Plenipotentiary Conference, which invites Member States and Sector Members to make voluntary contributions to the fund for bridging the standardization gap;</w:t>
      </w:r>
    </w:p>
    <w:p w14:paraId="5A64187F" w14:textId="77777777" w:rsidR="004A0742" w:rsidRPr="00380B40" w:rsidRDefault="004A0742" w:rsidP="004A0742">
      <w:pPr>
        <w:rPr>
          <w:lang w:val="en-GB"/>
        </w:rPr>
      </w:pPr>
      <w:r w:rsidRPr="00380B40">
        <w:rPr>
          <w:i/>
          <w:iCs/>
          <w:lang w:val="en-GB"/>
        </w:rPr>
        <w:t>c)</w:t>
      </w:r>
      <w:r w:rsidRPr="00380B40">
        <w:rPr>
          <w:lang w:val="en-GB"/>
        </w:rPr>
        <w:tab/>
        <w:t>Decision 5 (Rev. Dubai, 2018) of the Plenipotentiary Conference and the annexes thereto, limiting expenses of the Union for the period 2020-2023;</w:t>
      </w:r>
    </w:p>
    <w:p w14:paraId="4D0C9AF3" w14:textId="77777777" w:rsidR="004A0742" w:rsidRPr="00380B40" w:rsidRDefault="004A0742" w:rsidP="004A0742">
      <w:pPr>
        <w:rPr>
          <w:lang w:val="en-GB"/>
        </w:rPr>
      </w:pPr>
      <w:r w:rsidRPr="00380B40">
        <w:rPr>
          <w:i/>
          <w:iCs/>
          <w:lang w:val="en-GB"/>
        </w:rPr>
        <w:t>d)</w:t>
      </w:r>
      <w:r w:rsidRPr="00380B40">
        <w:rPr>
          <w:lang w:val="en-GB"/>
        </w:rPr>
        <w:tab/>
        <w:t>Resolution 44 (Rev. Geneva, 2022) of this assembly, on bridging the standardization gap between developed and developing countries</w:t>
      </w:r>
      <w:r w:rsidR="00FD162E" w:rsidRPr="00380B40">
        <w:rPr>
          <w:rStyle w:val="FootnoteReference"/>
          <w:lang w:val="en-GB"/>
        </w:rPr>
        <w:footnoteReference w:id="19"/>
      </w:r>
      <w:r w:rsidRPr="00380B40">
        <w:rPr>
          <w:lang w:val="en-GB"/>
        </w:rPr>
        <w:t>, which describes the sources from which funds will be raised for the purpose of bridging the standardization gap,</w:t>
      </w:r>
    </w:p>
    <w:p w14:paraId="77A13BCF" w14:textId="77777777" w:rsidR="004A0742" w:rsidRPr="00380B40" w:rsidRDefault="004A0742" w:rsidP="004A0742">
      <w:pPr>
        <w:pStyle w:val="Call"/>
        <w:rPr>
          <w:lang w:val="en-GB"/>
        </w:rPr>
      </w:pPr>
      <w:r w:rsidRPr="00380B40">
        <w:rPr>
          <w:lang w:val="en-GB"/>
        </w:rPr>
        <w:t>recalling</w:t>
      </w:r>
    </w:p>
    <w:p w14:paraId="7F8064BD" w14:textId="77777777" w:rsidR="004A0742" w:rsidRPr="00380B40" w:rsidRDefault="004A0742" w:rsidP="004A0742">
      <w:pPr>
        <w:rPr>
          <w:lang w:val="en-GB"/>
        </w:rPr>
      </w:pPr>
      <w:r w:rsidRPr="00380B40">
        <w:rPr>
          <w:i/>
          <w:iCs/>
          <w:lang w:val="en-GB"/>
        </w:rPr>
        <w:t>a)</w:t>
      </w:r>
      <w:r w:rsidRPr="00380B40">
        <w:rPr>
          <w:lang w:val="en-GB"/>
        </w:rPr>
        <w:tab/>
        <w:t>that the ITU Constitution, Convention and Financial Regulations stipulate that the Secretary-General may accept voluntary financial contributions in cash or in kind, in addition to the regular contributions from the Member States, Sector Members and Associates;</w:t>
      </w:r>
    </w:p>
    <w:p w14:paraId="7BA5A044" w14:textId="77777777" w:rsidR="004A0742" w:rsidRPr="00380B40" w:rsidRDefault="004A0742" w:rsidP="004A0742">
      <w:pPr>
        <w:rPr>
          <w:lang w:val="en-GB"/>
        </w:rPr>
      </w:pPr>
      <w:r w:rsidRPr="00380B40">
        <w:rPr>
          <w:i/>
          <w:iCs/>
          <w:lang w:val="en-GB"/>
        </w:rPr>
        <w:t>b)</w:t>
      </w:r>
      <w:r w:rsidRPr="00380B40">
        <w:rPr>
          <w:lang w:val="en-GB"/>
        </w:rPr>
        <w:tab/>
        <w:t>that expenditures under voluntary contributions are outside the limits of expenditure set by ITU plenipotentiary conferences;</w:t>
      </w:r>
    </w:p>
    <w:p w14:paraId="1C02496A" w14:textId="77777777" w:rsidR="004A0742" w:rsidRPr="00380B40" w:rsidRDefault="004A0742" w:rsidP="004A0742">
      <w:pPr>
        <w:rPr>
          <w:lang w:val="en-GB"/>
        </w:rPr>
      </w:pPr>
      <w:r w:rsidRPr="00380B40">
        <w:rPr>
          <w:i/>
          <w:iCs/>
          <w:lang w:val="en-GB"/>
        </w:rPr>
        <w:t>c)</w:t>
      </w:r>
      <w:r w:rsidRPr="00380B40">
        <w:rPr>
          <w:lang w:val="en-GB"/>
        </w:rPr>
        <w:tab/>
        <w:t>that important voluntary contributions made to ITU</w:t>
      </w:r>
      <w:r w:rsidRPr="00380B40">
        <w:rPr>
          <w:lang w:val="en-GB"/>
        </w:rPr>
        <w:noBreakHyphen/>
        <w:t>T in the past permitted ITU</w:t>
      </w:r>
      <w:r w:rsidRPr="00380B40">
        <w:rPr>
          <w:lang w:val="en-GB"/>
        </w:rPr>
        <w:noBreakHyphen/>
        <w:t>T to make significant progress in its work,</w:t>
      </w:r>
    </w:p>
    <w:p w14:paraId="1EC732F7" w14:textId="77777777" w:rsidR="004A0742" w:rsidRPr="00380B40" w:rsidRDefault="004A0742" w:rsidP="004A0742">
      <w:pPr>
        <w:pStyle w:val="Call"/>
        <w:rPr>
          <w:lang w:val="en-GB"/>
        </w:rPr>
      </w:pPr>
      <w:r w:rsidRPr="00380B40">
        <w:rPr>
          <w:lang w:val="en-GB"/>
        </w:rPr>
        <w:t>considering further</w:t>
      </w:r>
    </w:p>
    <w:p w14:paraId="5AFADDD5" w14:textId="77777777" w:rsidR="004A0742" w:rsidRPr="00380B40" w:rsidRDefault="004A0742" w:rsidP="004A0742">
      <w:pPr>
        <w:rPr>
          <w:lang w:val="en-GB"/>
        </w:rPr>
      </w:pPr>
      <w:r w:rsidRPr="00380B40">
        <w:rPr>
          <w:lang w:val="en-GB"/>
        </w:rPr>
        <w:t>that voluntary contributions are valuable, rapid and efficient instruments in the financing of extra activities for the Sector,</w:t>
      </w:r>
    </w:p>
    <w:p w14:paraId="651D25BE" w14:textId="77777777" w:rsidR="00427C06" w:rsidRPr="00380B40" w:rsidRDefault="00427C06" w:rsidP="004A0742">
      <w:pPr>
        <w:pStyle w:val="Call"/>
        <w:rPr>
          <w:lang w:val="en-GB"/>
        </w:rPr>
      </w:pPr>
      <w:r w:rsidRPr="00380B40">
        <w:rPr>
          <w:lang w:val="en-GB"/>
        </w:rPr>
        <w:br w:type="page"/>
      </w:r>
    </w:p>
    <w:p w14:paraId="2A3DE369" w14:textId="77777777" w:rsidR="004A0742" w:rsidRPr="00380B40" w:rsidRDefault="004A0742" w:rsidP="004A0742">
      <w:pPr>
        <w:pStyle w:val="Call"/>
        <w:rPr>
          <w:lang w:val="en-GB"/>
        </w:rPr>
      </w:pPr>
      <w:r w:rsidRPr="00380B40">
        <w:rPr>
          <w:lang w:val="en-GB"/>
        </w:rPr>
        <w:t>resolves</w:t>
      </w:r>
    </w:p>
    <w:p w14:paraId="2349F083" w14:textId="77777777" w:rsidR="004A0742" w:rsidRPr="00380B40" w:rsidRDefault="004A0742" w:rsidP="004A0742">
      <w:pPr>
        <w:rPr>
          <w:lang w:val="en-GB"/>
        </w:rPr>
      </w:pPr>
      <w:r w:rsidRPr="00380B40">
        <w:rPr>
          <w:lang w:val="en-GB"/>
        </w:rPr>
        <w:t>1</w:t>
      </w:r>
      <w:r w:rsidRPr="00380B40">
        <w:rPr>
          <w:lang w:val="en-GB"/>
        </w:rPr>
        <w:tab/>
        <w:t>to encourage the financing of specific projects, focus groups, regional groups of ITU-T study groups or other new initiatives, including any activities which help achieve the objectives of Resolution 44 (Rev. Geneva, 2022), on bridging the standardization gap, by means of voluntary contributions;</w:t>
      </w:r>
    </w:p>
    <w:p w14:paraId="669CA25C" w14:textId="77777777" w:rsidR="004A0742" w:rsidRPr="00380B40" w:rsidRDefault="004A0742" w:rsidP="004A0742">
      <w:pPr>
        <w:rPr>
          <w:lang w:val="en-GB"/>
        </w:rPr>
      </w:pPr>
      <w:r w:rsidRPr="00380B40">
        <w:rPr>
          <w:lang w:val="en-GB"/>
        </w:rPr>
        <w:t>2</w:t>
      </w:r>
      <w:r w:rsidRPr="00380B40">
        <w:rPr>
          <w:lang w:val="en-GB"/>
        </w:rPr>
        <w:tab/>
        <w:t>to invite Sector Members and Associates to finance voluntarily the participation of developing countries, and in particular remote participation using electronic working methods, in ITU-T meetings and workshops;</w:t>
      </w:r>
    </w:p>
    <w:p w14:paraId="220D9C49" w14:textId="77777777" w:rsidR="004A0742" w:rsidRPr="00380B40" w:rsidRDefault="004A0742" w:rsidP="004A0742">
      <w:pPr>
        <w:rPr>
          <w:lang w:val="en-GB"/>
        </w:rPr>
      </w:pPr>
      <w:r w:rsidRPr="00380B40">
        <w:rPr>
          <w:lang w:val="en-GB"/>
        </w:rPr>
        <w:t>3</w:t>
      </w:r>
      <w:r w:rsidRPr="00380B40">
        <w:rPr>
          <w:lang w:val="en-GB"/>
        </w:rPr>
        <w:tab/>
        <w:t>to invite Member States, Sector Members and Associates from both developing and developed countries to make voluntary contributions and to submit to the Director of the Telecommunication Standardization Bureau projects and other initiatives of interest for ITU</w:t>
      </w:r>
      <w:r w:rsidRPr="00380B40">
        <w:rPr>
          <w:lang w:val="en-GB"/>
        </w:rPr>
        <w:noBreakHyphen/>
        <w:t>T to be financed under voluntary contributions.</w:t>
      </w:r>
    </w:p>
    <w:p w14:paraId="7F314F78" w14:textId="77777777" w:rsidR="006F6222" w:rsidRPr="00380B40" w:rsidRDefault="006F6222" w:rsidP="00BC0882">
      <w:pPr>
        <w:rPr>
          <w:lang w:val="en-GB"/>
        </w:rPr>
      </w:pPr>
    </w:p>
    <w:p w14:paraId="21C29C37" w14:textId="77777777" w:rsidR="006F6222" w:rsidRPr="00380B40" w:rsidRDefault="006F6222" w:rsidP="00BC0882">
      <w:pPr>
        <w:rPr>
          <w:lang w:val="en-GB"/>
        </w:rPr>
      </w:pPr>
    </w:p>
    <w:p w14:paraId="41EFB9EE" w14:textId="77777777" w:rsidR="006F6222" w:rsidRPr="00380B40" w:rsidRDefault="006F6222" w:rsidP="00BC0882">
      <w:pPr>
        <w:rPr>
          <w:lang w:val="en-GB"/>
        </w:rPr>
      </w:pPr>
    </w:p>
    <w:p w14:paraId="24BCB209" w14:textId="77777777" w:rsidR="006F6222" w:rsidRPr="00380B40" w:rsidRDefault="006F6222" w:rsidP="00BC0882">
      <w:pPr>
        <w:rPr>
          <w:lang w:val="en-GB"/>
        </w:rPr>
      </w:pPr>
    </w:p>
    <w:p w14:paraId="7606BD30" w14:textId="77777777" w:rsidR="006F6222" w:rsidRPr="00380B40" w:rsidRDefault="006F6222" w:rsidP="00BC0882">
      <w:pPr>
        <w:rPr>
          <w:lang w:val="en-GB"/>
        </w:rPr>
      </w:pPr>
    </w:p>
    <w:p w14:paraId="7B94C3EF" w14:textId="77777777" w:rsidR="006F6222" w:rsidRPr="00380B40" w:rsidRDefault="006F6222" w:rsidP="00BC0882">
      <w:pPr>
        <w:rPr>
          <w:lang w:val="en-GB"/>
        </w:rPr>
      </w:pPr>
    </w:p>
    <w:p w14:paraId="152D9E70" w14:textId="77777777" w:rsidR="006F6222" w:rsidRPr="00380B40" w:rsidRDefault="006F6222" w:rsidP="00BC0882">
      <w:pPr>
        <w:rPr>
          <w:lang w:val="en-GB"/>
        </w:rPr>
      </w:pPr>
    </w:p>
    <w:p w14:paraId="1223F6D9" w14:textId="77777777" w:rsidR="006F6222" w:rsidRPr="00380B40" w:rsidRDefault="006F6222" w:rsidP="00BC0882">
      <w:pPr>
        <w:rPr>
          <w:lang w:val="en-GB"/>
        </w:rPr>
      </w:pPr>
    </w:p>
    <w:p w14:paraId="08C1933D" w14:textId="77777777" w:rsidR="006F6222" w:rsidRPr="00380B40" w:rsidRDefault="006F6222" w:rsidP="00BC0882">
      <w:pPr>
        <w:rPr>
          <w:lang w:val="en-GB"/>
        </w:rPr>
      </w:pPr>
    </w:p>
    <w:p w14:paraId="053A4BAD" w14:textId="77777777" w:rsidR="006F6222" w:rsidRPr="00380B40" w:rsidRDefault="006F6222" w:rsidP="00BC0882">
      <w:pPr>
        <w:rPr>
          <w:lang w:val="en-GB"/>
        </w:rPr>
      </w:pPr>
    </w:p>
    <w:p w14:paraId="2875EE63" w14:textId="77777777" w:rsidR="006F6222" w:rsidRPr="00380B40" w:rsidRDefault="006F6222" w:rsidP="00BC0882">
      <w:pPr>
        <w:rPr>
          <w:lang w:val="en-GB"/>
        </w:rPr>
      </w:pPr>
    </w:p>
    <w:p w14:paraId="4F470AD4" w14:textId="77777777" w:rsidR="006F6222" w:rsidRPr="00380B40" w:rsidRDefault="006F6222" w:rsidP="00BC0882">
      <w:pPr>
        <w:rPr>
          <w:lang w:val="en-GB"/>
        </w:rPr>
      </w:pPr>
    </w:p>
    <w:p w14:paraId="73775010" w14:textId="77777777" w:rsidR="006F6222" w:rsidRPr="00380B40" w:rsidRDefault="006F6222" w:rsidP="00BC0882">
      <w:pPr>
        <w:rPr>
          <w:lang w:val="en-GB"/>
        </w:rPr>
      </w:pPr>
    </w:p>
    <w:p w14:paraId="434768FA" w14:textId="77777777" w:rsidR="006F6222" w:rsidRPr="00380B40" w:rsidRDefault="006F6222" w:rsidP="00BC0882">
      <w:pPr>
        <w:rPr>
          <w:lang w:val="en-GB"/>
        </w:rPr>
      </w:pPr>
    </w:p>
    <w:p w14:paraId="25931FB4" w14:textId="77777777" w:rsidR="006F6222" w:rsidRPr="00380B40" w:rsidRDefault="006F6222" w:rsidP="00BC0882">
      <w:pPr>
        <w:rPr>
          <w:lang w:val="en-GB"/>
        </w:rPr>
      </w:pPr>
    </w:p>
    <w:p w14:paraId="183410EA" w14:textId="77777777" w:rsidR="00BC0882" w:rsidRPr="00380B40" w:rsidRDefault="00BC0882">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p>
    <w:p w14:paraId="2079904A" w14:textId="77777777" w:rsidR="00E64A6B" w:rsidRPr="00380B40" w:rsidRDefault="00E64A6B" w:rsidP="00E64A6B">
      <w:pPr>
        <w:rPr>
          <w:lang w:val="en-GB"/>
        </w:rPr>
      </w:pPr>
    </w:p>
    <w:p w14:paraId="72A131F5" w14:textId="77777777" w:rsidR="00E64A6B" w:rsidRPr="00380B40" w:rsidRDefault="00E64A6B" w:rsidP="00E64A6B">
      <w:pPr>
        <w:rPr>
          <w:lang w:val="en-GB"/>
        </w:rPr>
        <w:sectPr w:rsidR="00E64A6B" w:rsidRPr="00380B40" w:rsidSect="006B23B8">
          <w:headerReference w:type="even" r:id="rId88"/>
          <w:footerReference w:type="even" r:id="rId89"/>
          <w:footerReference w:type="default" r:id="rId90"/>
          <w:headerReference w:type="first" r:id="rId91"/>
          <w:footerReference w:type="first" r:id="rId92"/>
          <w:footnotePr>
            <w:numRestart w:val="eachSect"/>
          </w:footnotePr>
          <w:pgSz w:w="11907" w:h="16834" w:code="9"/>
          <w:pgMar w:top="1134" w:right="1134" w:bottom="1134" w:left="1134" w:header="567" w:footer="567" w:gutter="0"/>
          <w:paperSrc w:first="15" w:other="15"/>
          <w:cols w:space="720"/>
          <w:vAlign w:val="both"/>
          <w:docGrid w:linePitch="299"/>
        </w:sectPr>
      </w:pPr>
    </w:p>
    <w:p w14:paraId="2D06845C" w14:textId="77777777" w:rsidR="0007059B" w:rsidRPr="00380B40" w:rsidRDefault="0007059B" w:rsidP="004A0742">
      <w:pPr>
        <w:pStyle w:val="ResNo"/>
        <w:rPr>
          <w:lang w:val="en-GB"/>
        </w:rPr>
      </w:pPr>
      <w:bookmarkStart w:id="157" w:name="_Toc104459715"/>
      <w:bookmarkStart w:id="158" w:name="_Toc104476523"/>
      <w:bookmarkStart w:id="159" w:name="_Toc111636764"/>
      <w:bookmarkStart w:id="160" w:name="_Toc111638416"/>
      <w:r w:rsidRPr="00380B40">
        <w:rPr>
          <w:lang w:val="en-GB"/>
        </w:rPr>
        <w:t xml:space="preserve">RESOLUTION </w:t>
      </w:r>
      <w:r w:rsidRPr="00380B40">
        <w:rPr>
          <w:rStyle w:val="href"/>
          <w:lang w:val="en-GB"/>
        </w:rPr>
        <w:t>40</w:t>
      </w:r>
      <w:r w:rsidRPr="00380B40">
        <w:rPr>
          <w:lang w:val="en-GB"/>
        </w:rPr>
        <w:t xml:space="preserve"> </w:t>
      </w:r>
      <w:r w:rsidR="004A0742" w:rsidRPr="00380B40">
        <w:rPr>
          <w:lang w:val="en-GB"/>
        </w:rPr>
        <w:t>(R</w:t>
      </w:r>
      <w:r w:rsidR="00427C06" w:rsidRPr="00380B40">
        <w:rPr>
          <w:caps w:val="0"/>
          <w:lang w:val="en-GB"/>
        </w:rPr>
        <w:t>ev</w:t>
      </w:r>
      <w:r w:rsidR="004A0742" w:rsidRPr="00380B40">
        <w:rPr>
          <w:lang w:val="en-GB"/>
        </w:rPr>
        <w:t>. G</w:t>
      </w:r>
      <w:r w:rsidR="00427C06" w:rsidRPr="00380B40">
        <w:rPr>
          <w:caps w:val="0"/>
          <w:lang w:val="en-GB"/>
        </w:rPr>
        <w:t>eneva</w:t>
      </w:r>
      <w:r w:rsidR="004A0742" w:rsidRPr="00380B40">
        <w:rPr>
          <w:lang w:val="en-GB"/>
        </w:rPr>
        <w:t>, 2022)</w:t>
      </w:r>
      <w:bookmarkEnd w:id="157"/>
      <w:bookmarkEnd w:id="158"/>
      <w:bookmarkEnd w:id="159"/>
      <w:bookmarkEnd w:id="160"/>
    </w:p>
    <w:p w14:paraId="6E1076BD" w14:textId="77777777" w:rsidR="004A0742" w:rsidRPr="00380B40" w:rsidRDefault="004A0742" w:rsidP="004A0742">
      <w:pPr>
        <w:pStyle w:val="Restitle"/>
        <w:rPr>
          <w:lang w:val="en-GB"/>
        </w:rPr>
      </w:pPr>
      <w:bookmarkStart w:id="161" w:name="_Toc104459716"/>
      <w:bookmarkStart w:id="162" w:name="_Toc104476524"/>
      <w:bookmarkStart w:id="163" w:name="_Toc111638417"/>
      <w:r w:rsidRPr="00380B40">
        <w:rPr>
          <w:lang w:val="en-GB"/>
        </w:rPr>
        <w:t>Regulatory and policy aspects of the work of the ITU</w:t>
      </w:r>
      <w:r w:rsidRPr="00380B40">
        <w:rPr>
          <w:lang w:val="en-GB"/>
        </w:rPr>
        <w:br/>
        <w:t>Telecommunication Standardization Sector</w:t>
      </w:r>
      <w:bookmarkEnd w:id="161"/>
      <w:bookmarkEnd w:id="162"/>
      <w:bookmarkEnd w:id="163"/>
    </w:p>
    <w:p w14:paraId="08A82F25" w14:textId="77777777" w:rsidR="004A0742" w:rsidRPr="00380B40" w:rsidRDefault="004A0742" w:rsidP="004A0742">
      <w:pPr>
        <w:pStyle w:val="Resref"/>
        <w:rPr>
          <w:lang w:val="en-GB"/>
        </w:rPr>
      </w:pPr>
      <w:r w:rsidRPr="00380B40">
        <w:rPr>
          <w:lang w:val="en-GB"/>
        </w:rPr>
        <w:t xml:space="preserve">(Montreal, 2000; Florianópolis, 2004; Johannesburg, 2008; Dubai, 2012; </w:t>
      </w:r>
      <w:r w:rsidR="00427C06" w:rsidRPr="00380B40">
        <w:rPr>
          <w:lang w:val="en-GB"/>
        </w:rPr>
        <w:br/>
      </w:r>
      <w:r w:rsidRPr="00380B40">
        <w:rPr>
          <w:lang w:val="en-GB"/>
        </w:rPr>
        <w:t>Hammamet, 2016; Geneva, 2022)</w:t>
      </w:r>
    </w:p>
    <w:p w14:paraId="372542EF" w14:textId="77777777" w:rsidR="004A0742" w:rsidRPr="00380B40" w:rsidRDefault="004A0742" w:rsidP="004A0742">
      <w:pPr>
        <w:pStyle w:val="Normalaftertitle0"/>
      </w:pPr>
      <w:r w:rsidRPr="00380B40">
        <w:t>The World Telecommunication Standardization Assembly (Geneva, 2022),</w:t>
      </w:r>
    </w:p>
    <w:p w14:paraId="2B858FE9" w14:textId="77777777" w:rsidR="004A0742" w:rsidRPr="00380B40" w:rsidRDefault="004A0742" w:rsidP="004A0742">
      <w:pPr>
        <w:pStyle w:val="Call"/>
        <w:rPr>
          <w:lang w:val="en-GB"/>
        </w:rPr>
      </w:pPr>
      <w:r w:rsidRPr="00380B40">
        <w:rPr>
          <w:lang w:val="en-GB"/>
        </w:rPr>
        <w:t>recognizing</w:t>
      </w:r>
    </w:p>
    <w:p w14:paraId="3DEEA341" w14:textId="77777777" w:rsidR="004A0742" w:rsidRPr="00380B40" w:rsidRDefault="004A0742" w:rsidP="004A0742">
      <w:pPr>
        <w:rPr>
          <w:lang w:val="en-GB"/>
        </w:rPr>
      </w:pPr>
      <w:r w:rsidRPr="00380B40">
        <w:rPr>
          <w:i/>
          <w:iCs/>
          <w:lang w:val="en-GB"/>
        </w:rPr>
        <w:t>a)</w:t>
      </w:r>
      <w:r w:rsidRPr="00380B40">
        <w:rPr>
          <w:lang w:val="en-GB"/>
        </w:rPr>
        <w:tab/>
        <w:t>the provisions of Nos. 246D to 246H of the ITU Convention;</w:t>
      </w:r>
    </w:p>
    <w:p w14:paraId="06F9C4A4" w14:textId="77777777" w:rsidR="004A0742" w:rsidRPr="00380B40" w:rsidRDefault="004A0742" w:rsidP="004A0742">
      <w:pPr>
        <w:rPr>
          <w:lang w:val="en-GB"/>
        </w:rPr>
      </w:pPr>
      <w:r w:rsidRPr="00380B40">
        <w:rPr>
          <w:i/>
          <w:iCs/>
          <w:lang w:val="en-GB"/>
        </w:rPr>
        <w:t>b)</w:t>
      </w:r>
      <w:r w:rsidRPr="00380B40">
        <w:rPr>
          <w:lang w:val="en-GB"/>
        </w:rPr>
        <w:tab/>
        <w:t>Resolution 20 (Rev. Geneva, 2022) of this assembly, on the procedures for allocation and management of international telecommunication numbering, naming, addressing and identification resources,</w:t>
      </w:r>
    </w:p>
    <w:p w14:paraId="36F97AC1" w14:textId="77777777" w:rsidR="004A0742" w:rsidRPr="00380B40" w:rsidRDefault="004A0742" w:rsidP="004A0742">
      <w:pPr>
        <w:pStyle w:val="Call"/>
        <w:rPr>
          <w:lang w:val="en-GB"/>
        </w:rPr>
      </w:pPr>
      <w:r w:rsidRPr="00380B40">
        <w:rPr>
          <w:lang w:val="en-GB"/>
        </w:rPr>
        <w:t>considering</w:t>
      </w:r>
    </w:p>
    <w:p w14:paraId="1BE71A47" w14:textId="77777777" w:rsidR="004A0742" w:rsidRPr="00380B40" w:rsidRDefault="004A0742" w:rsidP="004A0742">
      <w:pPr>
        <w:rPr>
          <w:lang w:val="en-GB"/>
        </w:rPr>
      </w:pPr>
      <w:r w:rsidRPr="00380B40">
        <w:rPr>
          <w:i/>
          <w:iCs/>
          <w:lang w:val="en-GB"/>
        </w:rPr>
        <w:t>a)</w:t>
      </w:r>
      <w:r w:rsidRPr="00380B40">
        <w:rPr>
          <w:lang w:val="en-GB"/>
        </w:rPr>
        <w:tab/>
        <w:t>that the tasks undertaken in the ITU Telecommunication Standardization Sector (ITU</w:t>
      </w:r>
      <w:r w:rsidRPr="00380B40">
        <w:rPr>
          <w:lang w:val="en-GB"/>
        </w:rPr>
        <w:noBreakHyphen/>
        <w:t>T) cover both technical matters and matters having policy or regulatory implications;</w:t>
      </w:r>
    </w:p>
    <w:p w14:paraId="0BE7D94F" w14:textId="77777777" w:rsidR="004A0742" w:rsidRPr="00380B40" w:rsidRDefault="004A0742" w:rsidP="004A0742">
      <w:pPr>
        <w:rPr>
          <w:lang w:val="en-GB"/>
        </w:rPr>
      </w:pPr>
      <w:r w:rsidRPr="00380B40">
        <w:rPr>
          <w:i/>
          <w:iCs/>
          <w:lang w:val="en-GB"/>
        </w:rPr>
        <w:t>b)</w:t>
      </w:r>
      <w:r w:rsidRPr="00380B40">
        <w:rPr>
          <w:lang w:val="en-GB"/>
        </w:rPr>
        <w:tab/>
        <w:t>that rules pertaining to certain aspects of the Sector's work are being framed in terms that will rely upon clear and certain identification of the boundary between technical matters and matters having policy or regulatory implications;</w:t>
      </w:r>
    </w:p>
    <w:p w14:paraId="58885210" w14:textId="77777777" w:rsidR="004A0742" w:rsidRPr="00380B40" w:rsidRDefault="004A0742" w:rsidP="004A0742">
      <w:pPr>
        <w:rPr>
          <w:lang w:val="en-GB"/>
        </w:rPr>
      </w:pPr>
      <w:r w:rsidRPr="00380B40">
        <w:rPr>
          <w:i/>
          <w:iCs/>
          <w:lang w:val="en-GB"/>
        </w:rPr>
        <w:t>c)</w:t>
      </w:r>
      <w:r w:rsidRPr="00380B40">
        <w:rPr>
          <w:lang w:val="en-GB"/>
        </w:rPr>
        <w:tab/>
        <w:t>that administrations are encouraging a larger role for Sector Members in the work of ITU</w:t>
      </w:r>
      <w:r w:rsidRPr="00380B40">
        <w:rPr>
          <w:lang w:val="en-GB"/>
        </w:rPr>
        <w:noBreakHyphen/>
        <w:t>T, particularly on technical matters;</w:t>
      </w:r>
    </w:p>
    <w:p w14:paraId="00C109A8" w14:textId="77777777" w:rsidR="004A0742" w:rsidRPr="00380B40" w:rsidRDefault="004A0742" w:rsidP="004A0742">
      <w:pPr>
        <w:rPr>
          <w:lang w:val="en-GB"/>
        </w:rPr>
      </w:pPr>
      <w:r w:rsidRPr="00380B40">
        <w:rPr>
          <w:i/>
          <w:iCs/>
          <w:lang w:val="en-GB"/>
        </w:rPr>
        <w:t>d)</w:t>
      </w:r>
      <w:r w:rsidRPr="00380B40">
        <w:rPr>
          <w:lang w:val="en-GB"/>
        </w:rPr>
        <w:tab/>
        <w:t>that many matters having policy or regulatory implications may involve technical implementation and therefore need to be considered in appropriate technical study groups,</w:t>
      </w:r>
    </w:p>
    <w:p w14:paraId="089C1D58" w14:textId="77777777" w:rsidR="004A0742" w:rsidRPr="00380B40" w:rsidRDefault="004A0742" w:rsidP="004A0742">
      <w:pPr>
        <w:pStyle w:val="Call"/>
        <w:rPr>
          <w:lang w:val="en-GB"/>
        </w:rPr>
      </w:pPr>
      <w:r w:rsidRPr="00380B40">
        <w:rPr>
          <w:lang w:val="en-GB"/>
        </w:rPr>
        <w:t>noting</w:t>
      </w:r>
    </w:p>
    <w:p w14:paraId="681E6BFE" w14:textId="77777777" w:rsidR="004A0742" w:rsidRPr="00380B40" w:rsidRDefault="004A0742" w:rsidP="004A0742">
      <w:pPr>
        <w:rPr>
          <w:lang w:val="en-GB"/>
        </w:rPr>
      </w:pPr>
      <w:r w:rsidRPr="00380B40">
        <w:rPr>
          <w:i/>
          <w:iCs/>
          <w:lang w:val="en-GB"/>
        </w:rPr>
        <w:t>a)</w:t>
      </w:r>
      <w:r w:rsidRPr="00380B40">
        <w:rPr>
          <w:lang w:val="en-GB"/>
        </w:rPr>
        <w:tab/>
        <w:t>that the ITU Member States have identified significant policy responsibilities in Chapter VI of the ITU Constitution (Articles 33</w:t>
      </w:r>
      <w:r w:rsidRPr="00380B40">
        <w:rPr>
          <w:lang w:val="en-GB"/>
        </w:rPr>
        <w:noBreakHyphen/>
        <w:t>43) and in Chapter V of the Convention (Articles 36</w:t>
      </w:r>
      <w:r w:rsidRPr="00380B40">
        <w:rPr>
          <w:lang w:val="en-GB"/>
        </w:rPr>
        <w:noBreakHyphen/>
        <w:t>40), and in relevant resolutions of plenipotentiary conferences;</w:t>
      </w:r>
    </w:p>
    <w:p w14:paraId="7221EF5C" w14:textId="77777777" w:rsidR="004A0742" w:rsidRPr="00380B40" w:rsidRDefault="004A0742" w:rsidP="004A0742">
      <w:pPr>
        <w:rPr>
          <w:lang w:val="en-GB"/>
        </w:rPr>
      </w:pPr>
      <w:r w:rsidRPr="00380B40">
        <w:rPr>
          <w:i/>
          <w:iCs/>
          <w:lang w:val="en-GB"/>
        </w:rPr>
        <w:t>b)</w:t>
      </w:r>
      <w:r w:rsidRPr="00380B40">
        <w:rPr>
          <w:lang w:val="en-GB"/>
        </w:rPr>
        <w:tab/>
        <w:t>that the International Telecommunication Regulations further describe policy and regulatory obligations incumbent upon Member States;</w:t>
      </w:r>
    </w:p>
    <w:p w14:paraId="1AE89D27" w14:textId="77777777" w:rsidR="004A0742" w:rsidRPr="00380B40" w:rsidRDefault="004A0742" w:rsidP="004A0742">
      <w:pPr>
        <w:rPr>
          <w:lang w:val="en-GB"/>
        </w:rPr>
      </w:pPr>
      <w:r w:rsidRPr="00380B40">
        <w:rPr>
          <w:i/>
          <w:iCs/>
          <w:lang w:val="en-GB"/>
        </w:rPr>
        <w:t>c)</w:t>
      </w:r>
      <w:r w:rsidRPr="00380B40">
        <w:rPr>
          <w:lang w:val="en-GB"/>
        </w:rPr>
        <w:tab/>
        <w:t>that No. 191C of the Convention empowers the World Telecommunication Standardization Assembly (WTSA) to assign matters within its competence to the Telecommunication Standardization Advisory Group (TSAG), indicating the action required on those matters,</w:t>
      </w:r>
    </w:p>
    <w:p w14:paraId="68E1970A" w14:textId="77777777" w:rsidR="008547D7" w:rsidRPr="00380B40" w:rsidRDefault="008547D7" w:rsidP="004A0742">
      <w:pPr>
        <w:rPr>
          <w:lang w:val="en-GB"/>
        </w:rPr>
      </w:pPr>
      <w:r w:rsidRPr="00380B40">
        <w:rPr>
          <w:lang w:val="en-GB"/>
        </w:rPr>
        <w:br w:type="page"/>
      </w:r>
    </w:p>
    <w:p w14:paraId="316C4B7A" w14:textId="77777777" w:rsidR="004A0742" w:rsidRPr="00380B40" w:rsidRDefault="004A0742" w:rsidP="004A0742">
      <w:pPr>
        <w:pStyle w:val="Call"/>
        <w:rPr>
          <w:lang w:val="en-GB"/>
        </w:rPr>
      </w:pPr>
      <w:r w:rsidRPr="00380B40">
        <w:rPr>
          <w:lang w:val="en-GB"/>
        </w:rPr>
        <w:t>resolves</w:t>
      </w:r>
    </w:p>
    <w:p w14:paraId="22984FEE" w14:textId="77777777" w:rsidR="004A0742" w:rsidRPr="00380B40" w:rsidRDefault="004A0742" w:rsidP="004A0742">
      <w:pPr>
        <w:rPr>
          <w:lang w:val="en-GB"/>
        </w:rPr>
      </w:pPr>
      <w:r w:rsidRPr="00380B40">
        <w:rPr>
          <w:lang w:val="en-GB"/>
        </w:rPr>
        <w:t>1</w:t>
      </w:r>
      <w:r w:rsidRPr="00380B40">
        <w:rPr>
          <w:lang w:val="en-GB"/>
        </w:rPr>
        <w:tab/>
        <w:t>that, when determining whether all new work items, Questions or Recommendations have policy or regulatory implications, study groups shall more generally consider possible topics such as:</w:t>
      </w:r>
    </w:p>
    <w:p w14:paraId="483F1150" w14:textId="77777777" w:rsidR="004A0742" w:rsidRPr="00380B40" w:rsidRDefault="004A0742" w:rsidP="004A0742">
      <w:pPr>
        <w:pStyle w:val="enumlev1"/>
        <w:rPr>
          <w:lang w:val="en-GB"/>
        </w:rPr>
      </w:pPr>
      <w:r w:rsidRPr="00380B40">
        <w:rPr>
          <w:lang w:val="en-GB"/>
        </w:rPr>
        <w:t>–</w:t>
      </w:r>
      <w:r w:rsidRPr="00380B40">
        <w:rPr>
          <w:lang w:val="en-GB"/>
        </w:rPr>
        <w:tab/>
        <w:t>the right of the public to correspond;</w:t>
      </w:r>
    </w:p>
    <w:p w14:paraId="3687F837" w14:textId="77777777" w:rsidR="004A0742" w:rsidRPr="00380B40" w:rsidRDefault="004A0742" w:rsidP="004A0742">
      <w:pPr>
        <w:pStyle w:val="enumlev1"/>
        <w:rPr>
          <w:lang w:val="en-GB"/>
        </w:rPr>
      </w:pPr>
      <w:r w:rsidRPr="00380B40">
        <w:rPr>
          <w:lang w:val="en-GB"/>
        </w:rPr>
        <w:t>–</w:t>
      </w:r>
      <w:r w:rsidRPr="00380B40">
        <w:rPr>
          <w:lang w:val="en-GB"/>
        </w:rPr>
        <w:tab/>
        <w:t>protection of telecommunication channels and installations;</w:t>
      </w:r>
    </w:p>
    <w:p w14:paraId="194A1AC4" w14:textId="77777777" w:rsidR="004A0742" w:rsidRPr="00380B40" w:rsidRDefault="004A0742" w:rsidP="004A0742">
      <w:pPr>
        <w:pStyle w:val="enumlev1"/>
        <w:rPr>
          <w:lang w:val="en-GB"/>
        </w:rPr>
      </w:pPr>
      <w:r w:rsidRPr="00380B40">
        <w:rPr>
          <w:lang w:val="en-GB"/>
        </w:rPr>
        <w:t>–</w:t>
      </w:r>
      <w:r w:rsidRPr="00380B40">
        <w:rPr>
          <w:lang w:val="en-GB"/>
        </w:rPr>
        <w:tab/>
        <w:t>use of the limited numbering and addressing resources;</w:t>
      </w:r>
    </w:p>
    <w:p w14:paraId="4AF1A14D" w14:textId="77777777" w:rsidR="004A0742" w:rsidRPr="00380B40" w:rsidRDefault="004A0742" w:rsidP="004A0742">
      <w:pPr>
        <w:pStyle w:val="enumlev1"/>
        <w:rPr>
          <w:lang w:val="en-GB"/>
        </w:rPr>
      </w:pPr>
      <w:r w:rsidRPr="00380B40">
        <w:rPr>
          <w:lang w:val="en-GB"/>
        </w:rPr>
        <w:t>–</w:t>
      </w:r>
      <w:r w:rsidRPr="00380B40">
        <w:rPr>
          <w:lang w:val="en-GB"/>
        </w:rPr>
        <w:tab/>
        <w:t>naming and identification;</w:t>
      </w:r>
    </w:p>
    <w:p w14:paraId="32C5E77B" w14:textId="77777777" w:rsidR="004A0742" w:rsidRPr="00380B40" w:rsidRDefault="004A0742" w:rsidP="004A0742">
      <w:pPr>
        <w:pStyle w:val="enumlev1"/>
        <w:rPr>
          <w:lang w:val="en-GB"/>
        </w:rPr>
      </w:pPr>
      <w:r w:rsidRPr="00380B40">
        <w:rPr>
          <w:lang w:val="en-GB"/>
        </w:rPr>
        <w:t>–</w:t>
      </w:r>
      <w:r w:rsidRPr="00380B40">
        <w:rPr>
          <w:lang w:val="en-GB"/>
        </w:rPr>
        <w:tab/>
        <w:t>secrecy and authenticity of telecommunications;</w:t>
      </w:r>
    </w:p>
    <w:p w14:paraId="6D4E31B9" w14:textId="77777777" w:rsidR="004A0742" w:rsidRPr="00380B40" w:rsidRDefault="004A0742" w:rsidP="004A0742">
      <w:pPr>
        <w:pStyle w:val="enumlev1"/>
        <w:rPr>
          <w:lang w:val="en-GB"/>
        </w:rPr>
      </w:pPr>
      <w:r w:rsidRPr="00380B40">
        <w:rPr>
          <w:lang w:val="en-GB"/>
        </w:rPr>
        <w:t>–</w:t>
      </w:r>
      <w:r w:rsidRPr="00380B40">
        <w:rPr>
          <w:lang w:val="en-GB"/>
        </w:rPr>
        <w:tab/>
        <w:t>safety of life;</w:t>
      </w:r>
    </w:p>
    <w:p w14:paraId="6BD67074" w14:textId="77777777" w:rsidR="004A0742" w:rsidRPr="00380B40" w:rsidRDefault="004A0742" w:rsidP="004A0742">
      <w:pPr>
        <w:pStyle w:val="enumlev1"/>
        <w:rPr>
          <w:lang w:val="en-GB"/>
        </w:rPr>
      </w:pPr>
      <w:r w:rsidRPr="00380B40">
        <w:rPr>
          <w:lang w:val="en-GB"/>
        </w:rPr>
        <w:t>–</w:t>
      </w:r>
      <w:r w:rsidRPr="00380B40">
        <w:rPr>
          <w:lang w:val="en-GB"/>
        </w:rPr>
        <w:tab/>
        <w:t xml:space="preserve">practices applicable to competitive markets; </w:t>
      </w:r>
    </w:p>
    <w:p w14:paraId="1CA501DC" w14:textId="77777777" w:rsidR="004A0742" w:rsidRPr="00380B40" w:rsidRDefault="004A0742" w:rsidP="004A0742">
      <w:pPr>
        <w:pStyle w:val="enumlev1"/>
        <w:rPr>
          <w:lang w:val="en-GB"/>
        </w:rPr>
      </w:pPr>
      <w:r w:rsidRPr="00380B40">
        <w:rPr>
          <w:lang w:val="en-GB"/>
        </w:rPr>
        <w:t>–</w:t>
      </w:r>
      <w:r w:rsidRPr="00380B40">
        <w:rPr>
          <w:lang w:val="en-GB"/>
        </w:rPr>
        <w:tab/>
        <w:t>misuse of numbering resources; and</w:t>
      </w:r>
    </w:p>
    <w:p w14:paraId="0145282C" w14:textId="77777777" w:rsidR="004A0742" w:rsidRPr="00380B40" w:rsidRDefault="004A0742" w:rsidP="004A0742">
      <w:pPr>
        <w:pStyle w:val="enumlev1"/>
        <w:rPr>
          <w:lang w:val="en-GB"/>
        </w:rPr>
      </w:pPr>
      <w:r w:rsidRPr="00380B40">
        <w:rPr>
          <w:lang w:val="en-GB"/>
        </w:rPr>
        <w:t>–</w:t>
      </w:r>
      <w:r w:rsidRPr="00380B40">
        <w:rPr>
          <w:lang w:val="en-GB"/>
        </w:rPr>
        <w:tab/>
        <w:t>any other relevant matters, including those identified by a decision of Member States, or recommended by TSAG, or Questions or Recommendations where there is any doubt about their scope;</w:t>
      </w:r>
    </w:p>
    <w:p w14:paraId="5522CBE4" w14:textId="77777777" w:rsidR="004A0742" w:rsidRPr="00380B40" w:rsidRDefault="004A0742" w:rsidP="004A0742">
      <w:pPr>
        <w:rPr>
          <w:lang w:val="en-GB"/>
        </w:rPr>
      </w:pPr>
      <w:r w:rsidRPr="00380B40">
        <w:rPr>
          <w:lang w:val="en-GB"/>
        </w:rPr>
        <w:t>2</w:t>
      </w:r>
      <w:r w:rsidRPr="00380B40">
        <w:rPr>
          <w:lang w:val="en-GB"/>
        </w:rPr>
        <w:tab/>
        <w:t>to instruct TSAG to study and identify the operational and technical areas related to quality of service/quality of experience (QoS/QoE) of telecommunications/information and communication technologies that might have policy and regulatory nature, taking into account the studies being carried out by the relevant study groups, and report that to the next WTSA,</w:t>
      </w:r>
    </w:p>
    <w:p w14:paraId="32F4D49A" w14:textId="77777777" w:rsidR="004A0742" w:rsidRPr="00380B40" w:rsidRDefault="004A0742" w:rsidP="004A0742">
      <w:pPr>
        <w:pStyle w:val="Call"/>
        <w:rPr>
          <w:lang w:val="en-GB"/>
        </w:rPr>
      </w:pPr>
      <w:r w:rsidRPr="00380B40">
        <w:rPr>
          <w:lang w:val="en-GB"/>
        </w:rPr>
        <w:t>invites Member States</w:t>
      </w:r>
    </w:p>
    <w:p w14:paraId="758CF707" w14:textId="77777777" w:rsidR="004A0742" w:rsidRPr="00380B40" w:rsidRDefault="004A0742" w:rsidP="004A0742">
      <w:pPr>
        <w:rPr>
          <w:lang w:val="en-GB"/>
        </w:rPr>
      </w:pPr>
      <w:r w:rsidRPr="00380B40">
        <w:rPr>
          <w:lang w:val="en-GB"/>
        </w:rPr>
        <w:t xml:space="preserve">to contribute actively to the work to be carried out on this matter. </w:t>
      </w:r>
    </w:p>
    <w:p w14:paraId="3BEDB4A4" w14:textId="77777777" w:rsidR="00BE3849" w:rsidRPr="00380B40" w:rsidRDefault="00BE3849" w:rsidP="0007059B">
      <w:pPr>
        <w:rPr>
          <w:lang w:val="en-GB"/>
        </w:rPr>
      </w:pPr>
    </w:p>
    <w:p w14:paraId="2937BD0A" w14:textId="77777777" w:rsidR="00BE3849" w:rsidRPr="00380B40" w:rsidRDefault="00BE3849" w:rsidP="0007059B">
      <w:pPr>
        <w:rPr>
          <w:lang w:val="en-GB"/>
        </w:rPr>
      </w:pPr>
    </w:p>
    <w:p w14:paraId="5A5BEAB8" w14:textId="77777777" w:rsidR="00427C06" w:rsidRPr="00380B40" w:rsidRDefault="00427C06" w:rsidP="0007059B">
      <w:pPr>
        <w:rPr>
          <w:lang w:val="en-GB"/>
        </w:rPr>
      </w:pPr>
    </w:p>
    <w:p w14:paraId="134876A1" w14:textId="77777777" w:rsidR="00427C06" w:rsidRPr="00380B40" w:rsidRDefault="00427C06" w:rsidP="0007059B">
      <w:pPr>
        <w:rPr>
          <w:lang w:val="en-GB"/>
        </w:rPr>
      </w:pPr>
    </w:p>
    <w:p w14:paraId="5DFBB389" w14:textId="77777777" w:rsidR="00427C06" w:rsidRPr="00380B40" w:rsidRDefault="00427C06" w:rsidP="0007059B">
      <w:pPr>
        <w:rPr>
          <w:lang w:val="en-GB"/>
        </w:rPr>
      </w:pPr>
    </w:p>
    <w:p w14:paraId="1C237FB0" w14:textId="77777777" w:rsidR="00427C06" w:rsidRPr="00380B40" w:rsidRDefault="00427C06" w:rsidP="0007059B">
      <w:pPr>
        <w:rPr>
          <w:lang w:val="en-GB"/>
        </w:rPr>
      </w:pPr>
    </w:p>
    <w:p w14:paraId="18E65284" w14:textId="77777777" w:rsidR="00BE3849" w:rsidRPr="00380B40" w:rsidRDefault="00BE3849" w:rsidP="0007059B">
      <w:pPr>
        <w:rPr>
          <w:lang w:val="en-GB"/>
        </w:rPr>
      </w:pPr>
    </w:p>
    <w:p w14:paraId="56F841AE" w14:textId="77777777" w:rsidR="00BE3849" w:rsidRPr="00380B40" w:rsidRDefault="00BE3849" w:rsidP="0007059B">
      <w:pPr>
        <w:rPr>
          <w:lang w:val="en-GB"/>
        </w:rPr>
      </w:pPr>
    </w:p>
    <w:p w14:paraId="0CFCA51A" w14:textId="77777777" w:rsidR="00BE3849" w:rsidRPr="00380B40" w:rsidRDefault="00BE3849" w:rsidP="0007059B">
      <w:pPr>
        <w:rPr>
          <w:lang w:val="en-GB"/>
        </w:rPr>
      </w:pPr>
    </w:p>
    <w:p w14:paraId="535697B5" w14:textId="77777777" w:rsidR="00BE3849" w:rsidRPr="00380B40" w:rsidRDefault="00BE3849" w:rsidP="0007059B">
      <w:pPr>
        <w:rPr>
          <w:lang w:val="en-GB"/>
        </w:rPr>
      </w:pPr>
    </w:p>
    <w:p w14:paraId="3C06DC9C" w14:textId="77777777" w:rsidR="00BE3849" w:rsidRPr="00380B40" w:rsidRDefault="00BE3849" w:rsidP="0007059B">
      <w:pPr>
        <w:rPr>
          <w:lang w:val="en-GB"/>
        </w:rPr>
      </w:pPr>
    </w:p>
    <w:p w14:paraId="6E4A2F0D" w14:textId="77777777" w:rsidR="00E64A6B" w:rsidRPr="00380B40" w:rsidRDefault="00E64A6B" w:rsidP="00E64A6B">
      <w:pPr>
        <w:rPr>
          <w:lang w:val="en-GB"/>
        </w:rPr>
      </w:pPr>
    </w:p>
    <w:p w14:paraId="2EFBF285" w14:textId="77777777" w:rsidR="00E64A6B" w:rsidRPr="00380B40" w:rsidRDefault="00E64A6B" w:rsidP="00E64A6B">
      <w:pPr>
        <w:rPr>
          <w:lang w:val="en-GB"/>
        </w:rPr>
        <w:sectPr w:rsidR="00E64A6B" w:rsidRPr="00380B40" w:rsidSect="006B23B8">
          <w:headerReference w:type="even" r:id="rId93"/>
          <w:footerReference w:type="even" r:id="rId94"/>
          <w:footerReference w:type="default" r:id="rId95"/>
          <w:headerReference w:type="first" r:id="rId96"/>
          <w:footerReference w:type="first" r:id="rId97"/>
          <w:footnotePr>
            <w:numRestart w:val="eachSect"/>
          </w:footnotePr>
          <w:pgSz w:w="11907" w:h="16834" w:code="9"/>
          <w:pgMar w:top="1134" w:right="1134" w:bottom="1134" w:left="1134" w:header="567" w:footer="567" w:gutter="0"/>
          <w:paperSrc w:first="15" w:other="15"/>
          <w:cols w:space="720"/>
          <w:vAlign w:val="both"/>
          <w:docGrid w:linePitch="299"/>
        </w:sectPr>
      </w:pPr>
    </w:p>
    <w:p w14:paraId="1293A845" w14:textId="77777777" w:rsidR="00EB2A2B" w:rsidRPr="00380B40" w:rsidRDefault="00055CCD" w:rsidP="004A0742">
      <w:pPr>
        <w:pStyle w:val="ResNo"/>
        <w:rPr>
          <w:lang w:val="en-GB"/>
        </w:rPr>
      </w:pPr>
      <w:bookmarkStart w:id="164" w:name="_Toc104459717"/>
      <w:bookmarkStart w:id="165" w:name="_Toc104476525"/>
      <w:bookmarkStart w:id="166" w:name="_Toc111636765"/>
      <w:bookmarkStart w:id="167" w:name="_Toc111638418"/>
      <w:r w:rsidRPr="00380B40">
        <w:rPr>
          <w:caps w:val="0"/>
          <w:lang w:val="en-GB"/>
        </w:rPr>
        <w:t xml:space="preserve">RESOLUTION </w:t>
      </w:r>
      <w:r w:rsidR="00EB2A2B" w:rsidRPr="00380B40">
        <w:rPr>
          <w:rStyle w:val="href"/>
          <w:lang w:val="en-GB"/>
        </w:rPr>
        <w:t xml:space="preserve">43 </w:t>
      </w:r>
      <w:r w:rsidR="004A0742" w:rsidRPr="00380B40">
        <w:rPr>
          <w:lang w:val="en-GB"/>
        </w:rPr>
        <w:t>(R</w:t>
      </w:r>
      <w:r w:rsidR="00427C06" w:rsidRPr="00380B40">
        <w:rPr>
          <w:caps w:val="0"/>
          <w:lang w:val="en-GB"/>
        </w:rPr>
        <w:t>ev</w:t>
      </w:r>
      <w:r w:rsidR="004A0742" w:rsidRPr="00380B40">
        <w:rPr>
          <w:lang w:val="en-GB"/>
        </w:rPr>
        <w:t>. G</w:t>
      </w:r>
      <w:r w:rsidR="00427C06" w:rsidRPr="00380B40">
        <w:rPr>
          <w:caps w:val="0"/>
          <w:lang w:val="en-GB"/>
        </w:rPr>
        <w:t>eneva</w:t>
      </w:r>
      <w:r w:rsidR="004A0742" w:rsidRPr="00380B40">
        <w:rPr>
          <w:lang w:val="en-GB"/>
        </w:rPr>
        <w:t>, 2022)</w:t>
      </w:r>
      <w:bookmarkEnd w:id="164"/>
      <w:bookmarkEnd w:id="165"/>
      <w:bookmarkEnd w:id="166"/>
      <w:bookmarkEnd w:id="167"/>
    </w:p>
    <w:p w14:paraId="45AB0B46" w14:textId="77777777" w:rsidR="004A0742" w:rsidRPr="00380B40" w:rsidRDefault="004A0742" w:rsidP="004A0742">
      <w:pPr>
        <w:pStyle w:val="Restitle"/>
        <w:keepNext w:val="0"/>
        <w:keepLines w:val="0"/>
        <w:rPr>
          <w:lang w:val="en-GB"/>
        </w:rPr>
      </w:pPr>
      <w:bookmarkStart w:id="168" w:name="_Toc104459718"/>
      <w:bookmarkStart w:id="169" w:name="_Toc104476526"/>
      <w:bookmarkStart w:id="170" w:name="_Toc111638419"/>
      <w:r w:rsidRPr="00380B40">
        <w:rPr>
          <w:lang w:val="en-GB"/>
        </w:rPr>
        <w:t>Regional preparations for world telecommunication standardization assemblies</w:t>
      </w:r>
      <w:bookmarkEnd w:id="168"/>
      <w:bookmarkEnd w:id="169"/>
      <w:bookmarkEnd w:id="170"/>
    </w:p>
    <w:p w14:paraId="4DDC5CB6" w14:textId="77777777" w:rsidR="004A0742" w:rsidRPr="00380B40" w:rsidRDefault="004A0742" w:rsidP="004A0742">
      <w:pPr>
        <w:pStyle w:val="Resref"/>
        <w:keepNext w:val="0"/>
        <w:keepLines w:val="0"/>
        <w:rPr>
          <w:lang w:val="en-GB"/>
        </w:rPr>
      </w:pPr>
      <w:r w:rsidRPr="00380B40">
        <w:rPr>
          <w:lang w:val="en-GB"/>
        </w:rPr>
        <w:t>(Florianópolis, 2004; Johannesburg, 2008; Dubai, 2012; Geneva, 2022)</w:t>
      </w:r>
    </w:p>
    <w:p w14:paraId="19DD9B9E" w14:textId="77777777" w:rsidR="004A0742" w:rsidRPr="00380B40" w:rsidRDefault="004A0742" w:rsidP="004A0742">
      <w:pPr>
        <w:pStyle w:val="Normalaftertitle0"/>
      </w:pPr>
      <w:r w:rsidRPr="00380B40">
        <w:t>The World Telecommunication Standardization Assembly (Geneva, 2022),</w:t>
      </w:r>
    </w:p>
    <w:p w14:paraId="65A7CCA5" w14:textId="77777777" w:rsidR="004A0742" w:rsidRPr="00380B40" w:rsidRDefault="004A0742" w:rsidP="004A0742">
      <w:pPr>
        <w:pStyle w:val="Call"/>
        <w:rPr>
          <w:lang w:val="en-GB"/>
        </w:rPr>
      </w:pPr>
      <w:r w:rsidRPr="00380B40">
        <w:rPr>
          <w:lang w:val="en-GB"/>
        </w:rPr>
        <w:t>recalling</w:t>
      </w:r>
    </w:p>
    <w:p w14:paraId="7162C462" w14:textId="77777777" w:rsidR="004A0742" w:rsidRPr="00380B40" w:rsidRDefault="004A0742" w:rsidP="004A0742">
      <w:pPr>
        <w:rPr>
          <w:lang w:val="en-GB"/>
        </w:rPr>
      </w:pPr>
      <w:r w:rsidRPr="00380B40">
        <w:rPr>
          <w:i/>
          <w:iCs/>
          <w:lang w:val="en-GB"/>
        </w:rPr>
        <w:t>a)</w:t>
      </w:r>
      <w:r w:rsidRPr="00380B40">
        <w:rPr>
          <w:lang w:val="en-GB"/>
        </w:rPr>
        <w:tab/>
        <w:t>Resolution 58 (Rev. Busan, 2014) of the Plenipotentiary Conference, on strengthening of relations between ITU and regional telecommunication organizations and regional preparations for the Plenipotentiary Conference;</w:t>
      </w:r>
    </w:p>
    <w:p w14:paraId="7514D9C3" w14:textId="77777777" w:rsidR="004A0742" w:rsidRPr="00380B40" w:rsidRDefault="004A0742" w:rsidP="004A0742">
      <w:pPr>
        <w:rPr>
          <w:lang w:val="en-GB"/>
        </w:rPr>
      </w:pPr>
      <w:r w:rsidRPr="00380B40">
        <w:rPr>
          <w:i/>
          <w:iCs/>
          <w:lang w:val="en-GB"/>
        </w:rPr>
        <w:t>b)</w:t>
      </w:r>
      <w:r w:rsidRPr="00380B40">
        <w:rPr>
          <w:lang w:val="en-GB"/>
        </w:rPr>
        <w:tab/>
        <w:t>Resolution 25 (Rev. Dubai, 2018) of the Plenipotentiary Conference, on strengthening the regional presence,</w:t>
      </w:r>
    </w:p>
    <w:p w14:paraId="3BF2F8EA" w14:textId="77777777" w:rsidR="004A0742" w:rsidRPr="00380B40" w:rsidRDefault="004A0742" w:rsidP="004A0742">
      <w:pPr>
        <w:pStyle w:val="Call"/>
        <w:rPr>
          <w:lang w:val="en-GB"/>
        </w:rPr>
      </w:pPr>
      <w:r w:rsidRPr="00380B40">
        <w:rPr>
          <w:lang w:val="en-GB"/>
        </w:rPr>
        <w:t>considering</w:t>
      </w:r>
    </w:p>
    <w:p w14:paraId="7343F236" w14:textId="77777777" w:rsidR="004A0742" w:rsidRPr="00380B40" w:rsidRDefault="004A0742" w:rsidP="004A0742">
      <w:pPr>
        <w:rPr>
          <w:lang w:val="en-GB"/>
        </w:rPr>
      </w:pPr>
      <w:r w:rsidRPr="00380B40">
        <w:rPr>
          <w:i/>
          <w:iCs/>
          <w:lang w:val="en-GB"/>
        </w:rPr>
        <w:t>a)</w:t>
      </w:r>
      <w:r w:rsidRPr="00380B40">
        <w:rPr>
          <w:lang w:val="en-GB"/>
        </w:rPr>
        <w:tab/>
        <w:t xml:space="preserve">that many regional telecommunication organizations and </w:t>
      </w:r>
      <w:r w:rsidRPr="00380B40">
        <w:rPr>
          <w:szCs w:val="22"/>
          <w:lang w:val="en-GB"/>
        </w:rPr>
        <w:t xml:space="preserve">the six principal regional telecommunication organizations, namely the Asia-Pacific Telecommunity (APT), the European Conference of Postal and Telecommunications Administrations (CEPT), the Inter-American Telecommunications Commission (CITEL), the African Telecommunications Union (ATU), the Council of Arab Ministers of Telecommunication and Information represented by the Secretariat-General of the League of Arab States (LAS) and the Regional Commonwealth in the field of Communications (RCC), seek close cooperation with the Union and </w:t>
      </w:r>
      <w:r w:rsidRPr="00380B40">
        <w:rPr>
          <w:lang w:val="en-GB"/>
        </w:rPr>
        <w:t>have coordinated their preparations for this and preceding assemblies;</w:t>
      </w:r>
    </w:p>
    <w:p w14:paraId="10AFED38" w14:textId="77777777" w:rsidR="004A0742" w:rsidRPr="00380B40" w:rsidRDefault="004A0742" w:rsidP="004A0742">
      <w:pPr>
        <w:rPr>
          <w:lang w:val="en-GB"/>
        </w:rPr>
      </w:pPr>
      <w:r w:rsidRPr="00380B40">
        <w:rPr>
          <w:i/>
          <w:iCs/>
          <w:lang w:val="en-GB"/>
        </w:rPr>
        <w:t>b)</w:t>
      </w:r>
      <w:r w:rsidRPr="00380B40">
        <w:rPr>
          <w:lang w:val="en-GB"/>
        </w:rPr>
        <w:tab/>
        <w:t>that many common proposals have been submitted to this and preceding assemblies from administrations participating in the preparatory work of regional telecommunication organizations;</w:t>
      </w:r>
    </w:p>
    <w:p w14:paraId="482C2A86" w14:textId="77777777" w:rsidR="004A0742" w:rsidRPr="00380B40" w:rsidRDefault="004A0742" w:rsidP="004A0742">
      <w:pPr>
        <w:rPr>
          <w:lang w:val="en-GB"/>
        </w:rPr>
      </w:pPr>
      <w:r w:rsidRPr="00380B40">
        <w:rPr>
          <w:i/>
          <w:iCs/>
          <w:lang w:val="en-GB"/>
        </w:rPr>
        <w:t>c)</w:t>
      </w:r>
      <w:r w:rsidRPr="00380B40">
        <w:rPr>
          <w:lang w:val="en-GB"/>
        </w:rPr>
        <w:tab/>
        <w:t>that this consolidation of views at regional level, together with the opportunity for interregional discussions prior to the assembly, has eased the task of reaching a consensus during the assembly;</w:t>
      </w:r>
    </w:p>
    <w:p w14:paraId="616844D3" w14:textId="77777777" w:rsidR="004A0742" w:rsidRPr="00380B40" w:rsidRDefault="004A0742" w:rsidP="004A0742">
      <w:pPr>
        <w:rPr>
          <w:lang w:val="en-GB"/>
        </w:rPr>
      </w:pPr>
      <w:r w:rsidRPr="00380B40">
        <w:rPr>
          <w:i/>
          <w:iCs/>
          <w:lang w:val="en-GB"/>
        </w:rPr>
        <w:t>d)</w:t>
      </w:r>
      <w:r w:rsidRPr="00380B40">
        <w:rPr>
          <w:lang w:val="en-GB"/>
        </w:rPr>
        <w:tab/>
        <w:t>that the burden of preparation for future assemblies is likely to increase;</w:t>
      </w:r>
    </w:p>
    <w:p w14:paraId="78252CF0" w14:textId="77777777" w:rsidR="004A0742" w:rsidRPr="00380B40" w:rsidRDefault="004A0742" w:rsidP="004A0742">
      <w:pPr>
        <w:rPr>
          <w:lang w:val="en-GB"/>
        </w:rPr>
      </w:pPr>
      <w:r w:rsidRPr="00380B40">
        <w:rPr>
          <w:i/>
          <w:iCs/>
          <w:lang w:val="en-GB"/>
        </w:rPr>
        <w:t>e)</w:t>
      </w:r>
      <w:r w:rsidRPr="00380B40">
        <w:rPr>
          <w:lang w:val="en-GB"/>
        </w:rPr>
        <w:tab/>
        <w:t>that the coordination of preparations at regional level is consequently of great benefit to the Member States and Sector Members;</w:t>
      </w:r>
    </w:p>
    <w:p w14:paraId="4539EEAB" w14:textId="77777777" w:rsidR="004A0742" w:rsidRPr="00380B40" w:rsidRDefault="004A0742" w:rsidP="004A0742">
      <w:pPr>
        <w:rPr>
          <w:lang w:val="en-GB"/>
        </w:rPr>
      </w:pPr>
      <w:r w:rsidRPr="00380B40">
        <w:rPr>
          <w:i/>
          <w:iCs/>
          <w:lang w:val="en-GB"/>
        </w:rPr>
        <w:t>f)</w:t>
      </w:r>
      <w:r w:rsidRPr="00380B40">
        <w:rPr>
          <w:lang w:val="en-GB"/>
        </w:rPr>
        <w:tab/>
        <w:t>that greater efficiency of regional coordination and interaction at interregional level prior to future assemblies will help ensure their success;</w:t>
      </w:r>
    </w:p>
    <w:p w14:paraId="5A85FD25" w14:textId="77777777" w:rsidR="008547D7" w:rsidRPr="00380B40" w:rsidRDefault="008547D7" w:rsidP="004A0742">
      <w:pPr>
        <w:rPr>
          <w:i/>
          <w:iCs/>
          <w:lang w:val="en-GB"/>
        </w:rPr>
      </w:pPr>
      <w:r w:rsidRPr="00380B40">
        <w:rPr>
          <w:i/>
          <w:iCs/>
          <w:lang w:val="en-GB"/>
        </w:rPr>
        <w:br w:type="page"/>
      </w:r>
    </w:p>
    <w:p w14:paraId="614D6B47" w14:textId="77777777" w:rsidR="004A0742" w:rsidRPr="00380B40" w:rsidRDefault="004A0742" w:rsidP="004A0742">
      <w:pPr>
        <w:rPr>
          <w:lang w:val="en-GB"/>
        </w:rPr>
      </w:pPr>
      <w:r w:rsidRPr="00380B40">
        <w:rPr>
          <w:i/>
          <w:iCs/>
          <w:lang w:val="en-GB"/>
        </w:rPr>
        <w:t>g)</w:t>
      </w:r>
      <w:r w:rsidRPr="00380B40">
        <w:rPr>
          <w:lang w:val="en-GB"/>
        </w:rPr>
        <w:tab/>
        <w:t>that there is a need for regional telecommunication organizations to collaborate closely with relevant subregional organizations within their region;</w:t>
      </w:r>
    </w:p>
    <w:p w14:paraId="72195FC7" w14:textId="77777777" w:rsidR="004A0742" w:rsidRPr="00380B40" w:rsidRDefault="004A0742" w:rsidP="004A0742">
      <w:pPr>
        <w:rPr>
          <w:lang w:val="en-GB"/>
        </w:rPr>
      </w:pPr>
      <w:r w:rsidRPr="00380B40">
        <w:rPr>
          <w:i/>
          <w:iCs/>
          <w:lang w:val="en-GB"/>
        </w:rPr>
        <w:t>h)</w:t>
      </w:r>
      <w:r w:rsidRPr="00380B40">
        <w:rPr>
          <w:lang w:val="en-GB"/>
        </w:rPr>
        <w:tab/>
        <w:t>that some regional organizations lack the necessary resources to organize adequately and participate in such preparations;</w:t>
      </w:r>
    </w:p>
    <w:p w14:paraId="527C3F17" w14:textId="77777777" w:rsidR="004A0742" w:rsidRPr="00380B40" w:rsidRDefault="004A0742" w:rsidP="004A0742">
      <w:pPr>
        <w:rPr>
          <w:lang w:val="en-GB"/>
        </w:rPr>
      </w:pPr>
      <w:r w:rsidRPr="00380B40">
        <w:rPr>
          <w:i/>
          <w:iCs/>
          <w:lang w:val="en-GB"/>
        </w:rPr>
        <w:t>i)</w:t>
      </w:r>
      <w:r w:rsidRPr="00380B40">
        <w:rPr>
          <w:lang w:val="en-GB"/>
        </w:rPr>
        <w:tab/>
        <w:t>that there is a need for overall coordination of the interregional consultations,</w:t>
      </w:r>
    </w:p>
    <w:p w14:paraId="038D417B" w14:textId="77777777" w:rsidR="004A0742" w:rsidRPr="00380B40" w:rsidRDefault="004A0742" w:rsidP="004A0742">
      <w:pPr>
        <w:pStyle w:val="Call"/>
        <w:rPr>
          <w:lang w:val="en-GB"/>
        </w:rPr>
      </w:pPr>
      <w:r w:rsidRPr="00380B40">
        <w:rPr>
          <w:lang w:val="en-GB"/>
        </w:rPr>
        <w:t>recognizing</w:t>
      </w:r>
    </w:p>
    <w:p w14:paraId="5D15C347" w14:textId="77777777" w:rsidR="004A0742" w:rsidRPr="00380B40" w:rsidRDefault="004A0742" w:rsidP="004A0742">
      <w:pPr>
        <w:rPr>
          <w:lang w:val="en-GB"/>
        </w:rPr>
      </w:pPr>
      <w:r w:rsidRPr="00380B40">
        <w:rPr>
          <w:i/>
          <w:iCs/>
          <w:lang w:val="en-GB"/>
        </w:rPr>
        <w:t>a)</w:t>
      </w:r>
      <w:r w:rsidRPr="00380B40">
        <w:rPr>
          <w:lang w:val="en-GB"/>
        </w:rPr>
        <w:tab/>
        <w:t>the benefits of regional coordination as already experienced in the preparation of plenipotentiary conferences, world radiocommunication conferences and world telecommunication development conferences;</w:t>
      </w:r>
    </w:p>
    <w:p w14:paraId="26F17275" w14:textId="77777777" w:rsidR="004A0742" w:rsidRPr="00380B40" w:rsidRDefault="004A0742" w:rsidP="004A0742">
      <w:pPr>
        <w:rPr>
          <w:lang w:val="en-GB"/>
        </w:rPr>
      </w:pPr>
      <w:r w:rsidRPr="00380B40">
        <w:rPr>
          <w:i/>
          <w:iCs/>
          <w:lang w:val="en-GB"/>
        </w:rPr>
        <w:t>b)</w:t>
      </w:r>
      <w:r w:rsidRPr="00380B40">
        <w:rPr>
          <w:lang w:val="en-GB"/>
        </w:rPr>
        <w:tab/>
        <w:t>that regional preparatory meetings for the World Telecommunication Standardization Assembly (WTSA) have helped in identifying and coordinating regional views on issues considered to be of particular relevance to each region, and in developing common regional proposals for submission to WTSAs,</w:t>
      </w:r>
    </w:p>
    <w:p w14:paraId="17C0A90E" w14:textId="77777777" w:rsidR="004A0742" w:rsidRPr="00380B40" w:rsidRDefault="004A0742" w:rsidP="004A0742">
      <w:pPr>
        <w:pStyle w:val="Call"/>
        <w:rPr>
          <w:lang w:val="en-GB"/>
        </w:rPr>
      </w:pPr>
      <w:r w:rsidRPr="00380B40">
        <w:rPr>
          <w:lang w:val="en-GB"/>
        </w:rPr>
        <w:t>taking into account</w:t>
      </w:r>
    </w:p>
    <w:p w14:paraId="55223A8D" w14:textId="77777777" w:rsidR="004A0742" w:rsidRPr="00380B40" w:rsidRDefault="004A0742" w:rsidP="004A0742">
      <w:pPr>
        <w:rPr>
          <w:lang w:val="en-GB"/>
        </w:rPr>
      </w:pPr>
      <w:r w:rsidRPr="00380B40">
        <w:rPr>
          <w:lang w:val="en-GB"/>
        </w:rPr>
        <w:t>the efficiency benefits that WTSAs have gained from an increased amount and level of prior preparation by the Member States,</w:t>
      </w:r>
    </w:p>
    <w:p w14:paraId="1D2D2378" w14:textId="77777777" w:rsidR="004A0742" w:rsidRPr="00380B40" w:rsidRDefault="004A0742" w:rsidP="004A0742">
      <w:pPr>
        <w:pStyle w:val="Call"/>
        <w:rPr>
          <w:lang w:val="en-GB"/>
        </w:rPr>
      </w:pPr>
      <w:r w:rsidRPr="00380B40">
        <w:rPr>
          <w:lang w:val="en-GB"/>
        </w:rPr>
        <w:t>noting</w:t>
      </w:r>
    </w:p>
    <w:p w14:paraId="67B669D0" w14:textId="77777777" w:rsidR="004A0742" w:rsidRPr="00380B40" w:rsidRDefault="004A0742" w:rsidP="004A0742">
      <w:pPr>
        <w:rPr>
          <w:lang w:val="en-GB"/>
        </w:rPr>
      </w:pPr>
      <w:r w:rsidRPr="00380B40">
        <w:rPr>
          <w:i/>
          <w:iCs/>
          <w:lang w:val="en-GB"/>
        </w:rPr>
        <w:t>a)</w:t>
      </w:r>
      <w:r w:rsidRPr="00380B40">
        <w:rPr>
          <w:lang w:val="en-GB"/>
        </w:rPr>
        <w:tab/>
        <w:t>that many regional telecommunication organizations have expressed the need for the Union to cooperate more closely with them;</w:t>
      </w:r>
    </w:p>
    <w:p w14:paraId="5C064BBE" w14:textId="77777777" w:rsidR="004A0742" w:rsidRPr="00380B40" w:rsidRDefault="004A0742" w:rsidP="004A0742">
      <w:pPr>
        <w:rPr>
          <w:lang w:val="en-GB"/>
        </w:rPr>
      </w:pPr>
      <w:r w:rsidRPr="00380B40">
        <w:rPr>
          <w:i/>
          <w:iCs/>
          <w:lang w:val="en-GB"/>
        </w:rPr>
        <w:t>b)</w:t>
      </w:r>
      <w:r w:rsidRPr="00380B40">
        <w:rPr>
          <w:lang w:val="en-GB"/>
        </w:rPr>
        <w:tab/>
        <w:t>that the relationship between ITU regional offices and regional telecommunication organizations has proved to be of great benefit,</w:t>
      </w:r>
    </w:p>
    <w:p w14:paraId="7894A989" w14:textId="77777777" w:rsidR="004A0742" w:rsidRPr="00380B40" w:rsidRDefault="004A0742" w:rsidP="004A0742">
      <w:pPr>
        <w:pStyle w:val="Call"/>
        <w:rPr>
          <w:lang w:val="en-GB"/>
        </w:rPr>
      </w:pPr>
      <w:r w:rsidRPr="00380B40">
        <w:rPr>
          <w:lang w:val="en-GB"/>
        </w:rPr>
        <w:t>resolves to instruct the Director of the Telecommunication Standardization Bureau</w:t>
      </w:r>
    </w:p>
    <w:p w14:paraId="7A38F416" w14:textId="77777777" w:rsidR="004A0742" w:rsidRPr="00380B40" w:rsidRDefault="004A0742" w:rsidP="004A0742">
      <w:pPr>
        <w:rPr>
          <w:lang w:val="en-GB"/>
        </w:rPr>
      </w:pPr>
      <w:r w:rsidRPr="00380B40">
        <w:rPr>
          <w:lang w:val="en-GB"/>
        </w:rPr>
        <w:t>to maintain the organization, within the financial limitations established by the Plenipotentiary Conference, of at least one regional preparatory meeting per region, in close coordination with relevant regional organizations, with the assistance of regional offices when necessary, covering all Member States of ITU without exception, even if they do not belong to any of the six regional telecommunication organizations; the regional preparatory meetings should be the closest in time possible to the next WTSA, followed by an informal meeting of the chairmen and vice-chairmen of the regional preparatory meetings and other interested parties, to be held not earlier than six months prior to WTSA,</w:t>
      </w:r>
    </w:p>
    <w:p w14:paraId="75F8F1FD" w14:textId="77777777" w:rsidR="004A0742" w:rsidRPr="00380B40" w:rsidRDefault="004A0742" w:rsidP="004A0742">
      <w:pPr>
        <w:pStyle w:val="Call"/>
        <w:rPr>
          <w:lang w:val="en-GB"/>
        </w:rPr>
      </w:pPr>
      <w:r w:rsidRPr="00380B40">
        <w:rPr>
          <w:lang w:val="en-GB"/>
        </w:rPr>
        <w:t>invites the Secretary-General, in cooperation with the Directors of the Bureaux of the three Sectors</w:t>
      </w:r>
    </w:p>
    <w:p w14:paraId="6A687CCE" w14:textId="77777777" w:rsidR="004A0742" w:rsidRPr="00380B40" w:rsidRDefault="004A0742" w:rsidP="004A0742">
      <w:pPr>
        <w:rPr>
          <w:lang w:val="en-GB"/>
        </w:rPr>
      </w:pPr>
      <w:r w:rsidRPr="00380B40">
        <w:rPr>
          <w:lang w:val="en-GB"/>
        </w:rPr>
        <w:t>1</w:t>
      </w:r>
      <w:r w:rsidRPr="00380B40">
        <w:rPr>
          <w:lang w:val="en-GB"/>
        </w:rPr>
        <w:tab/>
        <w:t>to consult with Member States and regional and subregional telecommunication organizations on the means by which assistance can be provided in support of their preparations for future WTSAs, including support for the organization of a "Bridging the Standardization Gap Forum" per region to address major issues of the next WTSA of interest to developing countries</w:t>
      </w:r>
      <w:r w:rsidR="00FD162E" w:rsidRPr="00380B40">
        <w:rPr>
          <w:rStyle w:val="FootnoteReference"/>
          <w:lang w:val="en-GB"/>
        </w:rPr>
        <w:footnoteReference w:id="20"/>
      </w:r>
      <w:r w:rsidRPr="00380B40">
        <w:rPr>
          <w:lang w:val="en-GB"/>
        </w:rPr>
        <w:t>;</w:t>
      </w:r>
    </w:p>
    <w:p w14:paraId="4588DB74" w14:textId="77777777" w:rsidR="008547D7" w:rsidRPr="00380B40" w:rsidRDefault="008547D7" w:rsidP="004A0742">
      <w:pPr>
        <w:rPr>
          <w:lang w:val="en-GB"/>
        </w:rPr>
      </w:pPr>
      <w:r w:rsidRPr="00380B40">
        <w:rPr>
          <w:lang w:val="en-GB"/>
        </w:rPr>
        <w:br w:type="page"/>
      </w:r>
    </w:p>
    <w:p w14:paraId="2E57CB35" w14:textId="77777777" w:rsidR="004A0742" w:rsidRPr="00380B40" w:rsidRDefault="004A0742" w:rsidP="004A0742">
      <w:pPr>
        <w:rPr>
          <w:lang w:val="en-GB"/>
        </w:rPr>
      </w:pPr>
      <w:r w:rsidRPr="00380B40">
        <w:rPr>
          <w:lang w:val="en-GB"/>
        </w:rPr>
        <w:t>2</w:t>
      </w:r>
      <w:r w:rsidRPr="00380B40">
        <w:rPr>
          <w:lang w:val="en-GB"/>
        </w:rPr>
        <w:tab/>
        <w:t>on the basis of such consultations, to assist Member States and regional and subregional telecommunication organizations in such areas as:</w:t>
      </w:r>
    </w:p>
    <w:p w14:paraId="791B7077" w14:textId="77777777" w:rsidR="004A0742" w:rsidRPr="00380B40" w:rsidRDefault="004A0742" w:rsidP="004A0742">
      <w:pPr>
        <w:pStyle w:val="enumlev1"/>
        <w:rPr>
          <w:lang w:val="en-GB"/>
        </w:rPr>
      </w:pPr>
      <w:r w:rsidRPr="00380B40">
        <w:rPr>
          <w:lang w:val="en-GB"/>
        </w:rPr>
        <w:t>i)</w:t>
      </w:r>
      <w:r w:rsidRPr="00380B40">
        <w:rPr>
          <w:lang w:val="en-GB"/>
        </w:rPr>
        <w:tab/>
        <w:t>the organization of informal regional and interregional preparatory meetings, and formal regional preparatory meetings if a region so requests;</w:t>
      </w:r>
    </w:p>
    <w:p w14:paraId="2CB6789F" w14:textId="77777777" w:rsidR="004A0742" w:rsidRPr="00380B40" w:rsidRDefault="004A0742" w:rsidP="004A0742">
      <w:pPr>
        <w:pStyle w:val="enumlev1"/>
        <w:rPr>
          <w:lang w:val="en-GB"/>
        </w:rPr>
      </w:pPr>
      <w:r w:rsidRPr="00380B40">
        <w:rPr>
          <w:lang w:val="en-GB"/>
        </w:rPr>
        <w:t>ii)</w:t>
      </w:r>
      <w:r w:rsidRPr="00380B40">
        <w:rPr>
          <w:lang w:val="en-GB"/>
        </w:rPr>
        <w:tab/>
        <w:t>the identification of major issues to be resolved by the next WTSA;</w:t>
      </w:r>
    </w:p>
    <w:p w14:paraId="6F3E3B1C" w14:textId="77777777" w:rsidR="004A0742" w:rsidRPr="00380B40" w:rsidRDefault="004A0742" w:rsidP="004A0742">
      <w:pPr>
        <w:pStyle w:val="enumlev1"/>
        <w:rPr>
          <w:lang w:val="en-GB"/>
        </w:rPr>
      </w:pPr>
      <w:r w:rsidRPr="00380B40">
        <w:rPr>
          <w:lang w:val="en-GB"/>
        </w:rPr>
        <w:t>iii)</w:t>
      </w:r>
      <w:r w:rsidRPr="00380B40">
        <w:rPr>
          <w:lang w:val="en-GB"/>
        </w:rPr>
        <w:tab/>
        <w:t>the development of coordination methods;</w:t>
      </w:r>
    </w:p>
    <w:p w14:paraId="416E88B9" w14:textId="77777777" w:rsidR="004A0742" w:rsidRPr="00380B40" w:rsidRDefault="004A0742" w:rsidP="004A0742">
      <w:pPr>
        <w:pStyle w:val="enumlev1"/>
        <w:rPr>
          <w:lang w:val="en-GB"/>
        </w:rPr>
      </w:pPr>
      <w:r w:rsidRPr="00380B40">
        <w:rPr>
          <w:lang w:val="en-GB"/>
        </w:rPr>
        <w:t>iv)</w:t>
      </w:r>
      <w:r w:rsidRPr="00380B40">
        <w:rPr>
          <w:lang w:val="en-GB"/>
        </w:rPr>
        <w:tab/>
        <w:t>the organization of information sessions on expected work for WTSA;</w:t>
      </w:r>
    </w:p>
    <w:p w14:paraId="487FFC3F" w14:textId="77777777" w:rsidR="004A0742" w:rsidRPr="00380B40" w:rsidRDefault="004A0742" w:rsidP="004A0742">
      <w:pPr>
        <w:rPr>
          <w:lang w:val="en-GB"/>
        </w:rPr>
      </w:pPr>
      <w:r w:rsidRPr="00380B40">
        <w:rPr>
          <w:lang w:val="en-GB"/>
        </w:rPr>
        <w:t>3</w:t>
      </w:r>
      <w:r w:rsidRPr="00380B40">
        <w:rPr>
          <w:lang w:val="en-GB"/>
        </w:rPr>
        <w:tab/>
        <w:t>to submit, no later than the session of the ITU Council following WTSA, a report on feedback from Member States concerning WTSA regional preparatory meetings, their results and the application of this resolution,</w:t>
      </w:r>
    </w:p>
    <w:p w14:paraId="70FCCAF6" w14:textId="77777777" w:rsidR="004A0742" w:rsidRPr="00380B40" w:rsidRDefault="004A0742" w:rsidP="004A0742">
      <w:pPr>
        <w:pStyle w:val="Call"/>
        <w:rPr>
          <w:lang w:val="en-GB"/>
        </w:rPr>
      </w:pPr>
      <w:r w:rsidRPr="00380B40">
        <w:rPr>
          <w:lang w:val="en-GB"/>
        </w:rPr>
        <w:t>invites Member States</w:t>
      </w:r>
    </w:p>
    <w:p w14:paraId="2D03238C" w14:textId="77777777" w:rsidR="004A0742" w:rsidRPr="00380B40" w:rsidRDefault="004A0742" w:rsidP="004A0742">
      <w:pPr>
        <w:rPr>
          <w:lang w:val="en-GB"/>
        </w:rPr>
      </w:pPr>
      <w:r w:rsidRPr="00380B40">
        <w:rPr>
          <w:lang w:val="en-GB"/>
        </w:rPr>
        <w:t>to participate actively in the implementation of this resolution,</w:t>
      </w:r>
    </w:p>
    <w:p w14:paraId="6C778627" w14:textId="77777777" w:rsidR="004A0742" w:rsidRPr="00380B40" w:rsidRDefault="004A0742" w:rsidP="004A0742">
      <w:pPr>
        <w:pStyle w:val="Call"/>
        <w:rPr>
          <w:lang w:val="en-GB"/>
        </w:rPr>
      </w:pPr>
      <w:r w:rsidRPr="00380B40">
        <w:rPr>
          <w:lang w:val="en-GB"/>
        </w:rPr>
        <w:t xml:space="preserve">invites regional and subregional telecommunication organizations </w:t>
      </w:r>
    </w:p>
    <w:p w14:paraId="40626D45" w14:textId="77777777" w:rsidR="004A0742" w:rsidRPr="00380B40" w:rsidRDefault="004A0742" w:rsidP="004A0742">
      <w:pPr>
        <w:rPr>
          <w:lang w:val="en-GB"/>
        </w:rPr>
      </w:pPr>
      <w:r w:rsidRPr="00380B40">
        <w:rPr>
          <w:lang w:val="en-GB"/>
        </w:rPr>
        <w:t>1</w:t>
      </w:r>
      <w:r w:rsidRPr="00380B40">
        <w:rPr>
          <w:lang w:val="en-GB"/>
        </w:rPr>
        <w:tab/>
        <w:t xml:space="preserve">to participate in coordinating and harmonizing the contributions of their respective Member States in order to generate common proposals where possible; </w:t>
      </w:r>
    </w:p>
    <w:p w14:paraId="1B06C783" w14:textId="77777777" w:rsidR="004A0742" w:rsidRPr="00380B40" w:rsidRDefault="004A0742" w:rsidP="004A0742">
      <w:pPr>
        <w:rPr>
          <w:lang w:val="en-GB"/>
        </w:rPr>
      </w:pPr>
      <w:r w:rsidRPr="00380B40">
        <w:rPr>
          <w:lang w:val="en-GB"/>
        </w:rPr>
        <w:t>2</w:t>
      </w:r>
      <w:r w:rsidRPr="00380B40">
        <w:rPr>
          <w:lang w:val="en-GB"/>
        </w:rPr>
        <w:tab/>
        <w:t>to take an active part in the preparation and holding of regional preparatory meetings for WTSA;</w:t>
      </w:r>
    </w:p>
    <w:p w14:paraId="6E209F17" w14:textId="77777777" w:rsidR="004A0742" w:rsidRPr="00380B40" w:rsidRDefault="004A0742" w:rsidP="004A0742">
      <w:pPr>
        <w:rPr>
          <w:lang w:val="en-GB"/>
        </w:rPr>
      </w:pPr>
      <w:r w:rsidRPr="00380B40">
        <w:rPr>
          <w:lang w:val="en-GB"/>
        </w:rPr>
        <w:t>3</w:t>
      </w:r>
      <w:r w:rsidRPr="00380B40">
        <w:rPr>
          <w:lang w:val="en-GB"/>
        </w:rPr>
        <w:tab/>
        <w:t>to take part in the preparatory meetings of other regional telecommunication organizations, at their invitation, and to convene, if possible, informal interregional meetings in order to exchange information and to arrive at interregional common proposals.</w:t>
      </w:r>
    </w:p>
    <w:p w14:paraId="74841F87" w14:textId="77777777" w:rsidR="00427C06" w:rsidRPr="00380B40" w:rsidRDefault="00427C06" w:rsidP="004A0742">
      <w:pPr>
        <w:rPr>
          <w:lang w:val="en-GB"/>
        </w:rPr>
      </w:pPr>
    </w:p>
    <w:p w14:paraId="0BBA66B9" w14:textId="77777777" w:rsidR="00427C06" w:rsidRPr="00380B40" w:rsidRDefault="00427C06" w:rsidP="004A0742">
      <w:pPr>
        <w:rPr>
          <w:lang w:val="en-GB"/>
        </w:rPr>
      </w:pPr>
    </w:p>
    <w:p w14:paraId="0903713F" w14:textId="77777777" w:rsidR="00427C06" w:rsidRPr="00380B40" w:rsidRDefault="00427C06" w:rsidP="004A0742">
      <w:pPr>
        <w:rPr>
          <w:lang w:val="en-GB"/>
        </w:rPr>
      </w:pPr>
    </w:p>
    <w:p w14:paraId="641C2D8A" w14:textId="77777777" w:rsidR="00427C06" w:rsidRPr="00380B40" w:rsidRDefault="00427C06" w:rsidP="004A0742">
      <w:pPr>
        <w:rPr>
          <w:lang w:val="en-GB"/>
        </w:rPr>
      </w:pPr>
    </w:p>
    <w:p w14:paraId="280BF50E" w14:textId="77777777" w:rsidR="00427C06" w:rsidRPr="00380B40" w:rsidRDefault="00427C06" w:rsidP="004A0742">
      <w:pPr>
        <w:rPr>
          <w:lang w:val="en-GB"/>
        </w:rPr>
      </w:pPr>
    </w:p>
    <w:p w14:paraId="6DC4DF78" w14:textId="77777777" w:rsidR="00427C06" w:rsidRPr="00380B40" w:rsidRDefault="00427C06" w:rsidP="004A0742">
      <w:pPr>
        <w:rPr>
          <w:lang w:val="en-GB"/>
        </w:rPr>
      </w:pPr>
    </w:p>
    <w:p w14:paraId="34BDE014" w14:textId="77777777" w:rsidR="00427C06" w:rsidRPr="00380B40" w:rsidRDefault="00427C06" w:rsidP="004A0742">
      <w:pPr>
        <w:rPr>
          <w:lang w:val="en-GB"/>
        </w:rPr>
      </w:pPr>
    </w:p>
    <w:p w14:paraId="734A1EE0" w14:textId="77777777" w:rsidR="00427C06" w:rsidRPr="00380B40" w:rsidRDefault="00427C06" w:rsidP="004A0742">
      <w:pPr>
        <w:rPr>
          <w:lang w:val="en-GB"/>
        </w:rPr>
      </w:pPr>
    </w:p>
    <w:p w14:paraId="7D8F7FBE" w14:textId="77777777" w:rsidR="00427C06" w:rsidRPr="00380B40" w:rsidRDefault="00427C06" w:rsidP="004A0742">
      <w:pPr>
        <w:rPr>
          <w:lang w:val="en-GB"/>
        </w:rPr>
      </w:pPr>
    </w:p>
    <w:p w14:paraId="05248C58" w14:textId="77777777" w:rsidR="00427C06" w:rsidRPr="00380B40" w:rsidRDefault="00427C06" w:rsidP="004A0742">
      <w:pPr>
        <w:rPr>
          <w:lang w:val="en-GB"/>
        </w:rPr>
      </w:pPr>
    </w:p>
    <w:p w14:paraId="6628CA3B" w14:textId="77777777" w:rsidR="00427C06" w:rsidRPr="00380B40" w:rsidRDefault="00427C06" w:rsidP="004A0742">
      <w:pPr>
        <w:rPr>
          <w:lang w:val="en-GB"/>
        </w:rPr>
      </w:pPr>
    </w:p>
    <w:p w14:paraId="45E33777" w14:textId="77777777" w:rsidR="00427C06" w:rsidRPr="00380B40" w:rsidRDefault="00427C06" w:rsidP="004A0742">
      <w:pPr>
        <w:rPr>
          <w:lang w:val="en-GB"/>
        </w:rPr>
      </w:pPr>
    </w:p>
    <w:p w14:paraId="38D397A3" w14:textId="77777777" w:rsidR="00427C06" w:rsidRPr="00380B40" w:rsidRDefault="00427C06" w:rsidP="004A0742">
      <w:pPr>
        <w:rPr>
          <w:lang w:val="en-GB"/>
        </w:rPr>
      </w:pPr>
    </w:p>
    <w:p w14:paraId="286D2607" w14:textId="77777777" w:rsidR="00427C06" w:rsidRPr="00380B40" w:rsidRDefault="00427C06" w:rsidP="004A0742">
      <w:pPr>
        <w:rPr>
          <w:lang w:val="en-GB"/>
        </w:rPr>
      </w:pPr>
    </w:p>
    <w:p w14:paraId="7E589DE6" w14:textId="77777777" w:rsidR="00E64A6B" w:rsidRPr="00380B40" w:rsidRDefault="00E64A6B" w:rsidP="00E64A6B">
      <w:pPr>
        <w:rPr>
          <w:lang w:val="en-GB"/>
        </w:rPr>
      </w:pPr>
    </w:p>
    <w:p w14:paraId="28AE8C13" w14:textId="77777777" w:rsidR="00E64A6B" w:rsidRPr="00380B40" w:rsidRDefault="00E64A6B" w:rsidP="00E64A6B">
      <w:pPr>
        <w:rPr>
          <w:lang w:val="en-GB"/>
        </w:rPr>
        <w:sectPr w:rsidR="00E64A6B" w:rsidRPr="00380B40" w:rsidSect="006B23B8">
          <w:headerReference w:type="even" r:id="rId98"/>
          <w:footerReference w:type="even" r:id="rId99"/>
          <w:footerReference w:type="default" r:id="rId100"/>
          <w:headerReference w:type="first" r:id="rId101"/>
          <w:footerReference w:type="first" r:id="rId102"/>
          <w:footnotePr>
            <w:numRestart w:val="eachSect"/>
          </w:footnotePr>
          <w:pgSz w:w="11907" w:h="16834" w:code="9"/>
          <w:pgMar w:top="1134" w:right="1134" w:bottom="1134" w:left="1134" w:header="567" w:footer="567" w:gutter="0"/>
          <w:paperSrc w:first="15" w:other="15"/>
          <w:cols w:space="720"/>
          <w:vAlign w:val="both"/>
          <w:docGrid w:linePitch="299"/>
        </w:sectPr>
      </w:pPr>
    </w:p>
    <w:p w14:paraId="4B4070C5" w14:textId="77777777" w:rsidR="0007059B" w:rsidRPr="00380B40" w:rsidRDefault="0007059B" w:rsidP="004A0742">
      <w:pPr>
        <w:pStyle w:val="ResNo"/>
        <w:rPr>
          <w:lang w:val="en-GB"/>
        </w:rPr>
      </w:pPr>
      <w:bookmarkStart w:id="171" w:name="_Toc104459719"/>
      <w:bookmarkStart w:id="172" w:name="_Toc104476527"/>
      <w:bookmarkStart w:id="173" w:name="_Toc111636766"/>
      <w:bookmarkStart w:id="174" w:name="_Toc111638420"/>
      <w:r w:rsidRPr="00380B40">
        <w:rPr>
          <w:lang w:val="en-GB"/>
        </w:rPr>
        <w:t xml:space="preserve">RESOLUTION </w:t>
      </w:r>
      <w:r w:rsidRPr="00380B40">
        <w:rPr>
          <w:rStyle w:val="href"/>
          <w:lang w:val="en-GB"/>
        </w:rPr>
        <w:t>44</w:t>
      </w:r>
      <w:r w:rsidRPr="00380B40">
        <w:rPr>
          <w:lang w:val="en-GB"/>
        </w:rPr>
        <w:t xml:space="preserve"> </w:t>
      </w:r>
      <w:r w:rsidR="004A0742" w:rsidRPr="00380B40">
        <w:rPr>
          <w:lang w:val="en-GB"/>
        </w:rPr>
        <w:t>(R</w:t>
      </w:r>
      <w:r w:rsidR="00427C06" w:rsidRPr="00380B40">
        <w:rPr>
          <w:caps w:val="0"/>
          <w:lang w:val="en-GB"/>
        </w:rPr>
        <w:t>ev</w:t>
      </w:r>
      <w:r w:rsidR="004A0742" w:rsidRPr="00380B40">
        <w:rPr>
          <w:lang w:val="en-GB"/>
        </w:rPr>
        <w:t>. G</w:t>
      </w:r>
      <w:r w:rsidR="00427C06" w:rsidRPr="00380B40">
        <w:rPr>
          <w:caps w:val="0"/>
          <w:lang w:val="en-GB"/>
        </w:rPr>
        <w:t>eneva</w:t>
      </w:r>
      <w:r w:rsidR="004A0742" w:rsidRPr="00380B40">
        <w:rPr>
          <w:lang w:val="en-GB"/>
        </w:rPr>
        <w:t>, 2022)</w:t>
      </w:r>
      <w:bookmarkEnd w:id="171"/>
      <w:bookmarkEnd w:id="172"/>
      <w:bookmarkEnd w:id="173"/>
      <w:bookmarkEnd w:id="174"/>
    </w:p>
    <w:p w14:paraId="0233146E" w14:textId="77777777" w:rsidR="004A0742" w:rsidRPr="00380B40" w:rsidRDefault="004A0742" w:rsidP="004A0742">
      <w:pPr>
        <w:pStyle w:val="Restitle"/>
        <w:rPr>
          <w:lang w:val="en-GB"/>
        </w:rPr>
      </w:pPr>
      <w:bookmarkStart w:id="175" w:name="_Toc104459720"/>
      <w:bookmarkStart w:id="176" w:name="_Toc104476528"/>
      <w:bookmarkStart w:id="177" w:name="_Toc111638421"/>
      <w:r w:rsidRPr="00380B40">
        <w:rPr>
          <w:lang w:val="en-GB"/>
        </w:rPr>
        <w:t>Bridging the standardization gap between developing</w:t>
      </w:r>
      <w:r w:rsidR="00FD162E" w:rsidRPr="00380B40">
        <w:rPr>
          <w:rStyle w:val="FootnoteReference"/>
          <w:lang w:val="en-GB"/>
        </w:rPr>
        <w:footnoteReference w:id="21"/>
      </w:r>
      <w:r w:rsidRPr="00380B40">
        <w:rPr>
          <w:lang w:val="en-GB"/>
        </w:rPr>
        <w:br/>
        <w:t>and developed countries</w:t>
      </w:r>
      <w:bookmarkEnd w:id="175"/>
      <w:bookmarkEnd w:id="176"/>
      <w:bookmarkEnd w:id="177"/>
    </w:p>
    <w:p w14:paraId="7CA371C9" w14:textId="77777777" w:rsidR="004A0742" w:rsidRPr="00380B40" w:rsidRDefault="004A0742" w:rsidP="004A0742">
      <w:pPr>
        <w:pStyle w:val="Resref"/>
        <w:rPr>
          <w:lang w:val="en-GB"/>
        </w:rPr>
      </w:pPr>
      <w:r w:rsidRPr="00380B40">
        <w:rPr>
          <w:lang w:val="en-GB"/>
        </w:rPr>
        <w:t>(Florianópolis, 2004; Johannesburg, 2008; Dubai, 2012; Hammamet 2016; Geneva, 2022)</w:t>
      </w:r>
    </w:p>
    <w:p w14:paraId="25512435" w14:textId="77777777" w:rsidR="004A0742" w:rsidRPr="00380B40" w:rsidRDefault="004A0742" w:rsidP="004A0742">
      <w:pPr>
        <w:pStyle w:val="Normalaftertitle0"/>
      </w:pPr>
      <w:r w:rsidRPr="00380B40">
        <w:t>The World Telecommunication Standardization Assembly (Geneva, 2022),</w:t>
      </w:r>
    </w:p>
    <w:p w14:paraId="34E6DD4C" w14:textId="77777777" w:rsidR="004A0742" w:rsidRPr="00380B40" w:rsidRDefault="004A0742" w:rsidP="004A0742">
      <w:pPr>
        <w:pStyle w:val="Call"/>
        <w:rPr>
          <w:lang w:val="en-GB"/>
        </w:rPr>
      </w:pPr>
      <w:r w:rsidRPr="00380B40">
        <w:rPr>
          <w:lang w:val="en-GB"/>
        </w:rPr>
        <w:t>considering</w:t>
      </w:r>
    </w:p>
    <w:p w14:paraId="17C4707F" w14:textId="77777777" w:rsidR="004A0742" w:rsidRPr="00380B40" w:rsidRDefault="004A0742" w:rsidP="004A0742">
      <w:pPr>
        <w:rPr>
          <w:lang w:val="en-GB"/>
        </w:rPr>
      </w:pPr>
      <w:r w:rsidRPr="00380B40">
        <w:rPr>
          <w:i/>
          <w:iCs/>
          <w:lang w:val="en-GB"/>
        </w:rPr>
        <w:t>a)</w:t>
      </w:r>
      <w:r w:rsidRPr="00380B40">
        <w:rPr>
          <w:i/>
          <w:iCs/>
          <w:lang w:val="en-GB"/>
        </w:rPr>
        <w:tab/>
      </w:r>
      <w:r w:rsidRPr="00380B40">
        <w:rPr>
          <w:lang w:val="en-GB"/>
        </w:rPr>
        <w:t>that Resolution 71 (Rev. Dubai, 2018) of the Plenipotentiary Conference includes under the objectives of the ITU Telecommunication Standardization Sector (ITU-T) the promotion of active participation of the membership, in particular developing countries, in the definition and adoption of non-discriminatory international standards (ITU-T Recommendations) with a view to bridging the standardization gap;</w:t>
      </w:r>
    </w:p>
    <w:p w14:paraId="661C8157" w14:textId="77777777" w:rsidR="004A0742" w:rsidRPr="00380B40" w:rsidRDefault="004A0742" w:rsidP="004A0742">
      <w:pPr>
        <w:rPr>
          <w:lang w:val="en-GB"/>
        </w:rPr>
      </w:pPr>
      <w:r w:rsidRPr="00380B40">
        <w:rPr>
          <w:i/>
          <w:iCs/>
          <w:lang w:val="en-GB"/>
        </w:rPr>
        <w:t>b)</w:t>
      </w:r>
      <w:r w:rsidRPr="00380B40">
        <w:rPr>
          <w:lang w:val="en-GB"/>
        </w:rPr>
        <w:tab/>
        <w:t>Resolution 123 (Rev. Dubai, 2018) of the Plenipotentiary Conference, on bridging the standardization gap between developing and developed countries;</w:t>
      </w:r>
    </w:p>
    <w:p w14:paraId="6E9AD233" w14:textId="77777777" w:rsidR="004A0742" w:rsidRPr="00380B40" w:rsidRDefault="004A0742" w:rsidP="004A0742">
      <w:pPr>
        <w:rPr>
          <w:lang w:val="en-GB"/>
        </w:rPr>
      </w:pPr>
      <w:r w:rsidRPr="00380B40">
        <w:rPr>
          <w:i/>
          <w:iCs/>
          <w:lang w:val="en-GB"/>
        </w:rPr>
        <w:t>c)</w:t>
      </w:r>
      <w:r w:rsidRPr="00380B40">
        <w:rPr>
          <w:lang w:val="en-GB"/>
        </w:rPr>
        <w:tab/>
        <w:t>Resolution 139 (Rev. Dubai, 2018)</w:t>
      </w:r>
      <w:r w:rsidRPr="00380B40" w:rsidDel="00832E62">
        <w:rPr>
          <w:lang w:val="en-GB"/>
        </w:rPr>
        <w:t xml:space="preserve"> </w:t>
      </w:r>
      <w:r w:rsidRPr="00380B40">
        <w:rPr>
          <w:lang w:val="en-GB"/>
        </w:rPr>
        <w:t>of the Plenipotentiary Conference, on the use of telecommunications/information and communication technologies (ICTs) to bridge the digital divide and build an inclusive information society;</w:t>
      </w:r>
    </w:p>
    <w:p w14:paraId="447EE870" w14:textId="77777777" w:rsidR="004A0742" w:rsidRPr="00380B40" w:rsidRDefault="004A0742" w:rsidP="004A0742">
      <w:pPr>
        <w:rPr>
          <w:lang w:val="en-GB"/>
        </w:rPr>
      </w:pPr>
      <w:r w:rsidRPr="00380B40">
        <w:rPr>
          <w:i/>
          <w:iCs/>
          <w:lang w:val="en-GB"/>
        </w:rPr>
        <w:t>d)</w:t>
      </w:r>
      <w:r w:rsidRPr="00380B40">
        <w:rPr>
          <w:i/>
          <w:iCs/>
          <w:lang w:val="en-GB"/>
        </w:rPr>
        <w:tab/>
      </w:r>
      <w:r w:rsidRPr="00380B40">
        <w:rPr>
          <w:lang w:val="en-GB"/>
        </w:rPr>
        <w:t>Resolution 154 (Rev. Dubai, 2018) of the Plenipotentiary Conference, on the use of the six official languages of the Union on an equal footing;</w:t>
      </w:r>
    </w:p>
    <w:p w14:paraId="53A7D88B" w14:textId="77777777" w:rsidR="004A0742" w:rsidRPr="00380B40" w:rsidRDefault="004A0742" w:rsidP="004A0742">
      <w:pPr>
        <w:rPr>
          <w:lang w:val="en-GB"/>
        </w:rPr>
      </w:pPr>
      <w:r w:rsidRPr="00380B40">
        <w:rPr>
          <w:i/>
          <w:iCs/>
          <w:lang w:val="en-GB"/>
        </w:rPr>
        <w:t>e)</w:t>
      </w:r>
      <w:r w:rsidRPr="00380B40">
        <w:rPr>
          <w:lang w:val="en-GB"/>
        </w:rPr>
        <w:tab/>
        <w:t>Resolution 169 (Rev. Dubai, 2018) of the Plenipotentiary Conference, on the admission of academia to participate in the work of the Union;</w:t>
      </w:r>
    </w:p>
    <w:p w14:paraId="692B2DC0" w14:textId="77777777" w:rsidR="004A0742" w:rsidRPr="00380B40" w:rsidRDefault="004A0742" w:rsidP="004A0742">
      <w:pPr>
        <w:rPr>
          <w:i/>
          <w:iCs/>
          <w:lang w:val="en-GB"/>
        </w:rPr>
      </w:pPr>
      <w:r w:rsidRPr="00380B40">
        <w:rPr>
          <w:i/>
          <w:iCs/>
          <w:lang w:val="en-GB"/>
        </w:rPr>
        <w:t>f)</w:t>
      </w:r>
      <w:r w:rsidRPr="00380B40">
        <w:rPr>
          <w:lang w:val="en-GB"/>
        </w:rPr>
        <w:tab/>
        <w:t>Resolution 191 (Rev. Dubai, 2018) of the Plenipotentiary Conference, on the strategy for the coordination of efforts among the three Sectors of the Union;</w:t>
      </w:r>
    </w:p>
    <w:p w14:paraId="3887161D" w14:textId="77777777" w:rsidR="004A0742" w:rsidRPr="00380B40" w:rsidRDefault="004A0742" w:rsidP="004A0742">
      <w:pPr>
        <w:rPr>
          <w:lang w:val="en-GB"/>
        </w:rPr>
      </w:pPr>
      <w:r w:rsidRPr="00380B40">
        <w:rPr>
          <w:i/>
          <w:iCs/>
          <w:lang w:val="en-GB"/>
        </w:rPr>
        <w:t>g)</w:t>
      </w:r>
      <w:r w:rsidRPr="00380B40">
        <w:rPr>
          <w:lang w:val="en-GB"/>
        </w:rPr>
        <w:tab/>
        <w:t>Resolution 195 (Busan, 2014) of the Plenipotentiary Conference, on the implementation of the Smart Africa Manifesto;</w:t>
      </w:r>
    </w:p>
    <w:p w14:paraId="31681793" w14:textId="77777777" w:rsidR="004A0742" w:rsidRPr="00380B40" w:rsidRDefault="004A0742" w:rsidP="004A0742">
      <w:pPr>
        <w:rPr>
          <w:lang w:val="en-GB"/>
        </w:rPr>
      </w:pPr>
      <w:r w:rsidRPr="00380B40">
        <w:rPr>
          <w:i/>
          <w:iCs/>
          <w:lang w:val="en-GB"/>
        </w:rPr>
        <w:t>h)</w:t>
      </w:r>
      <w:r w:rsidRPr="00380B40">
        <w:rPr>
          <w:lang w:val="en-GB"/>
        </w:rPr>
        <w:tab/>
        <w:t>Resolution 197 (Rev. Dubai, 2018) of the Plenipotentiary Conference, on facilitating the Internet of Things and smart sustainable cities and communities;</w:t>
      </w:r>
    </w:p>
    <w:p w14:paraId="015D2F5C" w14:textId="77777777" w:rsidR="004A0742" w:rsidRPr="00380B40" w:rsidRDefault="004A0742" w:rsidP="004A0742">
      <w:pPr>
        <w:rPr>
          <w:lang w:val="en-GB"/>
        </w:rPr>
      </w:pPr>
      <w:r w:rsidRPr="00380B40">
        <w:rPr>
          <w:i/>
          <w:iCs/>
          <w:lang w:val="en-GB"/>
        </w:rPr>
        <w:t>i)</w:t>
      </w:r>
      <w:r w:rsidRPr="00380B40">
        <w:rPr>
          <w:i/>
          <w:iCs/>
          <w:lang w:val="en-GB"/>
        </w:rPr>
        <w:tab/>
      </w:r>
      <w:r w:rsidRPr="00380B40">
        <w:rPr>
          <w:lang w:val="en-GB"/>
        </w:rPr>
        <w:t>Resolution 34 (Rev. Geneva, 2022) of this assembly, on voluntary contributions;</w:t>
      </w:r>
    </w:p>
    <w:p w14:paraId="6EEE7E70" w14:textId="77777777" w:rsidR="004A0742" w:rsidRPr="00380B40" w:rsidRDefault="004A0742" w:rsidP="004A0742">
      <w:pPr>
        <w:rPr>
          <w:lang w:val="en-GB"/>
        </w:rPr>
      </w:pPr>
      <w:r w:rsidRPr="00380B40">
        <w:rPr>
          <w:i/>
          <w:iCs/>
          <w:lang w:val="en-GB"/>
        </w:rPr>
        <w:t>j)</w:t>
      </w:r>
      <w:r w:rsidRPr="00380B40">
        <w:rPr>
          <w:lang w:val="en-GB"/>
        </w:rPr>
        <w:tab/>
        <w:t>Resolution 67 (Rev. Geneva, 2022) of this assembly, on use in ITU-T of the languages of the Union on an equal footing,</w:t>
      </w:r>
    </w:p>
    <w:p w14:paraId="4E757A5C" w14:textId="77777777" w:rsidR="00980EF2" w:rsidRPr="00380B40" w:rsidRDefault="00980EF2" w:rsidP="004A0742">
      <w:pPr>
        <w:pStyle w:val="Call"/>
        <w:rPr>
          <w:lang w:val="en-GB"/>
        </w:rPr>
      </w:pPr>
      <w:r w:rsidRPr="00380B40">
        <w:rPr>
          <w:lang w:val="en-GB"/>
        </w:rPr>
        <w:br w:type="page"/>
      </w:r>
    </w:p>
    <w:p w14:paraId="0BE4018D" w14:textId="77777777" w:rsidR="004A0742" w:rsidRPr="00380B40" w:rsidRDefault="004A0742" w:rsidP="004A0742">
      <w:pPr>
        <w:pStyle w:val="Call"/>
        <w:rPr>
          <w:lang w:val="en-GB"/>
        </w:rPr>
      </w:pPr>
      <w:r w:rsidRPr="00380B40">
        <w:rPr>
          <w:lang w:val="en-GB"/>
        </w:rPr>
        <w:t>recognizing</w:t>
      </w:r>
    </w:p>
    <w:p w14:paraId="451C47CD" w14:textId="77777777" w:rsidR="004A0742" w:rsidRPr="00380B40" w:rsidRDefault="004A0742" w:rsidP="004A0742">
      <w:pPr>
        <w:rPr>
          <w:lang w:val="en-GB"/>
        </w:rPr>
      </w:pPr>
      <w:r w:rsidRPr="00380B40">
        <w:rPr>
          <w:i/>
          <w:iCs/>
          <w:lang w:val="en-GB"/>
        </w:rPr>
        <w:t>a)</w:t>
      </w:r>
      <w:r w:rsidRPr="00380B40">
        <w:rPr>
          <w:lang w:val="en-GB"/>
        </w:rPr>
        <w:tab/>
        <w:t>that the harmonious and balanced development of worldwide telecommunication facilities and services is of mutual advantage to the developing as well as the developed countries;</w:t>
      </w:r>
    </w:p>
    <w:p w14:paraId="68FB6B8C" w14:textId="77777777" w:rsidR="004A0742" w:rsidRPr="00380B40" w:rsidRDefault="004A0742" w:rsidP="004A0742">
      <w:pPr>
        <w:rPr>
          <w:lang w:val="en-GB"/>
        </w:rPr>
      </w:pPr>
      <w:r w:rsidRPr="00380B40">
        <w:rPr>
          <w:i/>
          <w:iCs/>
          <w:lang w:val="en-GB"/>
        </w:rPr>
        <w:t>b)</w:t>
      </w:r>
      <w:r w:rsidRPr="00380B40">
        <w:rPr>
          <w:lang w:val="en-GB"/>
        </w:rPr>
        <w:tab/>
        <w:t>that there is a need to reduce the cost of equipment and of rolling out networks and facilities taking into account the needs and requirements of developing countries;</w:t>
      </w:r>
    </w:p>
    <w:p w14:paraId="1059BF2A" w14:textId="77777777" w:rsidR="004A0742" w:rsidRPr="00380B40" w:rsidRDefault="004A0742" w:rsidP="004A0742">
      <w:pPr>
        <w:rPr>
          <w:lang w:val="en-GB"/>
        </w:rPr>
      </w:pPr>
      <w:r w:rsidRPr="00380B40">
        <w:rPr>
          <w:i/>
          <w:iCs/>
          <w:lang w:val="en-GB"/>
        </w:rPr>
        <w:t>c)</w:t>
      </w:r>
      <w:r w:rsidRPr="00380B40">
        <w:rPr>
          <w:lang w:val="en-GB"/>
        </w:rPr>
        <w:tab/>
        <w:t>that the disparity between developing and developed countries in standardization has five components: disparity of voluntary standardization, disparity of mandatory technical regulations, disparity of conformity assessment, disparity in human resources skilled in standardization and disparity in effective participation in ITU</w:t>
      </w:r>
      <w:r w:rsidRPr="00380B40">
        <w:rPr>
          <w:lang w:val="en-GB"/>
        </w:rPr>
        <w:noBreakHyphen/>
        <w:t>T activities;</w:t>
      </w:r>
    </w:p>
    <w:p w14:paraId="5E0777E9" w14:textId="77777777" w:rsidR="004A0742" w:rsidRPr="00380B40" w:rsidRDefault="004A0742" w:rsidP="004A0742">
      <w:pPr>
        <w:rPr>
          <w:lang w:val="en-GB"/>
        </w:rPr>
      </w:pPr>
      <w:r w:rsidRPr="00380B40">
        <w:rPr>
          <w:i/>
          <w:iCs/>
          <w:lang w:val="en-GB"/>
        </w:rPr>
        <w:t>d)</w:t>
      </w:r>
      <w:r w:rsidRPr="00380B40">
        <w:rPr>
          <w:lang w:val="en-GB"/>
        </w:rPr>
        <w:tab/>
        <w:t>that it is of high importance for developing countries to increase their participation in the establishment and widespread use of telecommunication standards, and to enhance their contribution in ITU</w:t>
      </w:r>
      <w:r w:rsidRPr="00380B40">
        <w:rPr>
          <w:lang w:val="en-GB"/>
        </w:rPr>
        <w:noBreakHyphen/>
        <w:t>T study groups;</w:t>
      </w:r>
    </w:p>
    <w:p w14:paraId="5F9014B0" w14:textId="77777777" w:rsidR="004A0742" w:rsidRPr="00380B40" w:rsidRDefault="004A0742" w:rsidP="004A0742">
      <w:pPr>
        <w:rPr>
          <w:lang w:val="en-GB"/>
        </w:rPr>
      </w:pPr>
      <w:r w:rsidRPr="00380B40">
        <w:rPr>
          <w:i/>
          <w:iCs/>
          <w:lang w:val="en-GB"/>
        </w:rPr>
        <w:t>e)</w:t>
      </w:r>
      <w:r w:rsidRPr="00380B40">
        <w:rPr>
          <w:lang w:val="en-GB"/>
        </w:rPr>
        <w:tab/>
        <w:t>that developing countries would benefit from effective participation by their operators in ITU-T activities and that this participation by operators would contribute to enhancing capacity building in the developing countries, increase their competitiveness and support innovation in the markets of developing countries;</w:t>
      </w:r>
    </w:p>
    <w:p w14:paraId="3576851F" w14:textId="77777777" w:rsidR="004A0742" w:rsidRPr="00380B40" w:rsidRDefault="004A0742" w:rsidP="004A0742">
      <w:pPr>
        <w:rPr>
          <w:lang w:val="en-GB"/>
        </w:rPr>
      </w:pPr>
      <w:r w:rsidRPr="00380B40">
        <w:rPr>
          <w:i/>
          <w:iCs/>
          <w:lang w:val="en-GB"/>
        </w:rPr>
        <w:t>f)</w:t>
      </w:r>
      <w:r w:rsidRPr="00380B40">
        <w:rPr>
          <w:lang w:val="en-GB"/>
        </w:rPr>
        <w:tab/>
        <w:t>that coordination at national level in many developing countries needs to be more developed to handle ICT standardization activities in order to contribute to work in ITU</w:t>
      </w:r>
      <w:r w:rsidRPr="00380B40">
        <w:rPr>
          <w:lang w:val="en-GB"/>
        </w:rPr>
        <w:noBreakHyphen/>
        <w:t>T and the regional groups of ITU-T study groups;</w:t>
      </w:r>
    </w:p>
    <w:p w14:paraId="1EDDC04B" w14:textId="77777777" w:rsidR="004A0742" w:rsidRPr="00380B40" w:rsidRDefault="004A0742" w:rsidP="004A0742">
      <w:pPr>
        <w:rPr>
          <w:lang w:val="en-GB"/>
        </w:rPr>
      </w:pPr>
      <w:r w:rsidRPr="00380B40">
        <w:rPr>
          <w:i/>
          <w:iCs/>
          <w:lang w:val="en-GB"/>
        </w:rPr>
        <w:t>g)</w:t>
      </w:r>
      <w:r w:rsidRPr="00380B40">
        <w:rPr>
          <w:lang w:val="en-GB"/>
        </w:rPr>
        <w:tab/>
        <w:t>that the development of guidelines and the establishment of national standardization secretariats could enhance standardization activities at national level and the participation and contribution of developing countries in ITU</w:t>
      </w:r>
      <w:r w:rsidRPr="00380B40">
        <w:rPr>
          <w:lang w:val="en-GB"/>
        </w:rPr>
        <w:noBreakHyphen/>
        <w:t>T study groups;</w:t>
      </w:r>
    </w:p>
    <w:p w14:paraId="3C26C268" w14:textId="77777777" w:rsidR="004A0742" w:rsidRPr="00380B40" w:rsidRDefault="004A0742" w:rsidP="004A0742">
      <w:pPr>
        <w:rPr>
          <w:i/>
          <w:lang w:val="en-GB"/>
        </w:rPr>
      </w:pPr>
      <w:r w:rsidRPr="00380B40">
        <w:rPr>
          <w:i/>
          <w:iCs/>
          <w:lang w:val="en-GB"/>
        </w:rPr>
        <w:t>h)</w:t>
      </w:r>
      <w:r w:rsidRPr="00380B40">
        <w:rPr>
          <w:i/>
          <w:iCs/>
          <w:lang w:val="en-GB"/>
        </w:rPr>
        <w:tab/>
      </w:r>
      <w:r w:rsidRPr="00380B40">
        <w:rPr>
          <w:lang w:val="en-GB"/>
        </w:rPr>
        <w:t>that developing countries would benefit from new services and applications enabled by the digital transformation provided by the emergence of key technologies, and from the building of the information society and progress towards sustainable development;</w:t>
      </w:r>
    </w:p>
    <w:p w14:paraId="35FCDC5C" w14:textId="77777777" w:rsidR="004A0742" w:rsidRPr="00380B40" w:rsidRDefault="004A0742" w:rsidP="004A0742">
      <w:pPr>
        <w:rPr>
          <w:lang w:val="en-GB"/>
        </w:rPr>
      </w:pPr>
      <w:r w:rsidRPr="00380B40">
        <w:rPr>
          <w:i/>
          <w:iCs/>
          <w:lang w:val="en-GB"/>
        </w:rPr>
        <w:t>i)</w:t>
      </w:r>
      <w:r w:rsidRPr="00380B40">
        <w:rPr>
          <w:lang w:val="en-GB"/>
        </w:rPr>
        <w:tab/>
        <w:t>that interpretation service needs to be provided in some ITU</w:t>
      </w:r>
      <w:r w:rsidRPr="00380B40">
        <w:rPr>
          <w:lang w:val="en-GB"/>
        </w:rPr>
        <w:noBreakHyphen/>
        <w:t>T meetings so as to contribute to bridging the standardization gap and ensure maximum involvement of all delegates, in particular those from developing countries, and help them to be fully aware of and engaged in standardization decisions that are taken in ITU-T meetings,</w:t>
      </w:r>
    </w:p>
    <w:p w14:paraId="409E8153" w14:textId="77777777" w:rsidR="004A0742" w:rsidRPr="00380B40" w:rsidRDefault="004A0742" w:rsidP="004A0742">
      <w:pPr>
        <w:pStyle w:val="Call"/>
        <w:rPr>
          <w:lang w:val="en-GB"/>
        </w:rPr>
      </w:pPr>
      <w:r w:rsidRPr="00380B40">
        <w:rPr>
          <w:lang w:val="en-GB"/>
        </w:rPr>
        <w:t>recognizing further</w:t>
      </w:r>
    </w:p>
    <w:p w14:paraId="1BD42712" w14:textId="77777777" w:rsidR="004A0742" w:rsidRPr="00380B40" w:rsidRDefault="004A0742" w:rsidP="004A0742">
      <w:pPr>
        <w:rPr>
          <w:lang w:val="en-GB"/>
        </w:rPr>
      </w:pPr>
      <w:r w:rsidRPr="00380B40">
        <w:rPr>
          <w:i/>
          <w:iCs/>
          <w:lang w:val="en-GB"/>
        </w:rPr>
        <w:t>a)</w:t>
      </w:r>
      <w:r w:rsidRPr="00380B40">
        <w:rPr>
          <w:lang w:val="en-GB"/>
        </w:rPr>
        <w:tab/>
        <w:t>that the achievements of ITU-T in the standardization of transformative digital technologies will contribute towards achievement of the 2030 Agenda for Sustainable Development;</w:t>
      </w:r>
    </w:p>
    <w:p w14:paraId="34EB8FD1" w14:textId="77777777" w:rsidR="004A0742" w:rsidRPr="00380B40" w:rsidRDefault="004A0742" w:rsidP="004A0742">
      <w:pPr>
        <w:rPr>
          <w:lang w:val="en-GB"/>
        </w:rPr>
      </w:pPr>
      <w:r w:rsidRPr="00380B40">
        <w:rPr>
          <w:i/>
          <w:iCs/>
          <w:lang w:val="en-GB"/>
        </w:rPr>
        <w:t>b)</w:t>
      </w:r>
      <w:r w:rsidRPr="00380B40">
        <w:rPr>
          <w:lang w:val="en-GB"/>
        </w:rPr>
        <w:tab/>
        <w:t>that while ITU has made significant progress in defining and bridging the standardization gap, developing countries are still encountering multifarious difficulties in ensuring their efficient participation in the work of ITU</w:t>
      </w:r>
      <w:r w:rsidRPr="00380B40">
        <w:rPr>
          <w:lang w:val="en-GB"/>
        </w:rPr>
        <w:noBreakHyphen/>
        <w:t>T, in particular engaging in and following up the work of the ITU</w:t>
      </w:r>
      <w:r w:rsidRPr="00380B40">
        <w:rPr>
          <w:lang w:val="en-GB"/>
        </w:rPr>
        <w:noBreakHyphen/>
        <w:t>T study groups, especially given budgetary limitations;</w:t>
      </w:r>
    </w:p>
    <w:p w14:paraId="4BF91A32" w14:textId="77777777" w:rsidR="008547D7" w:rsidRPr="00380B40" w:rsidRDefault="008547D7" w:rsidP="004A0742">
      <w:pPr>
        <w:rPr>
          <w:i/>
          <w:iCs/>
          <w:lang w:val="en-GB"/>
        </w:rPr>
      </w:pPr>
      <w:r w:rsidRPr="00380B40">
        <w:rPr>
          <w:i/>
          <w:iCs/>
          <w:lang w:val="en-GB"/>
        </w:rPr>
        <w:br w:type="page"/>
      </w:r>
    </w:p>
    <w:p w14:paraId="2E6EBEC4" w14:textId="77777777" w:rsidR="004A0742" w:rsidRPr="00380B40" w:rsidRDefault="004A0742" w:rsidP="004A0742">
      <w:pPr>
        <w:rPr>
          <w:lang w:val="en-GB"/>
        </w:rPr>
      </w:pPr>
      <w:r w:rsidRPr="00380B40">
        <w:rPr>
          <w:i/>
          <w:iCs/>
          <w:lang w:val="en-GB"/>
        </w:rPr>
        <w:t>c)</w:t>
      </w:r>
      <w:r w:rsidRPr="00380B40">
        <w:rPr>
          <w:lang w:val="en-GB"/>
        </w:rPr>
        <w:tab/>
        <w:t>that actual participation by developing countries in ITU-T study group activities has been progressively increased, but it is often limited to the final approval and implementation stages, rather than the preparation of proposals elaborated in the various working groups;</w:t>
      </w:r>
    </w:p>
    <w:p w14:paraId="69992D6F" w14:textId="77777777" w:rsidR="004A0742" w:rsidRPr="00380B40" w:rsidRDefault="004A0742" w:rsidP="004A0742">
      <w:pPr>
        <w:rPr>
          <w:lang w:val="en-GB"/>
        </w:rPr>
      </w:pPr>
      <w:r w:rsidRPr="00380B40">
        <w:rPr>
          <w:i/>
          <w:iCs/>
          <w:lang w:val="en-GB"/>
        </w:rPr>
        <w:t>d)</w:t>
      </w:r>
      <w:r w:rsidRPr="00380B40">
        <w:rPr>
          <w:lang w:val="en-GB"/>
        </w:rPr>
        <w:tab/>
        <w:t>that coordination at national level in many developing countries needs to be improved to handle ICT standardization activities in order to contribute to work in ITU</w:t>
      </w:r>
      <w:r w:rsidRPr="00380B40">
        <w:rPr>
          <w:lang w:val="en-GB"/>
        </w:rPr>
        <w:noBreakHyphen/>
        <w:t>T;</w:t>
      </w:r>
    </w:p>
    <w:p w14:paraId="3470D90F" w14:textId="77777777" w:rsidR="004A0742" w:rsidRPr="00380B40" w:rsidRDefault="004A0742" w:rsidP="004A0742">
      <w:pPr>
        <w:rPr>
          <w:lang w:val="en-GB"/>
        </w:rPr>
      </w:pPr>
      <w:r w:rsidRPr="00380B40">
        <w:rPr>
          <w:i/>
          <w:iCs/>
          <w:lang w:val="en-GB"/>
        </w:rPr>
        <w:t>e)</w:t>
      </w:r>
      <w:r w:rsidRPr="00380B40">
        <w:rPr>
          <w:lang w:val="en-GB"/>
        </w:rPr>
        <w:tab/>
        <w:t>that the biennial budget structure includes a separate expenditure line item for bridging the standardization gap activities, while at the same time voluntary contributions are being encouraged, and a management mechanism for this line item has been implemented by the Telecommunication Standardization Bureau (TSB) in close coordination with Telecommunication Development Bureau (BDT);</w:t>
      </w:r>
    </w:p>
    <w:p w14:paraId="6843F734" w14:textId="77777777" w:rsidR="004A0742" w:rsidRPr="00380B40" w:rsidRDefault="004A0742" w:rsidP="004A0742">
      <w:pPr>
        <w:rPr>
          <w:i/>
          <w:iCs/>
          <w:lang w:val="en-GB"/>
        </w:rPr>
      </w:pPr>
      <w:r w:rsidRPr="00380B40">
        <w:rPr>
          <w:i/>
          <w:iCs/>
          <w:lang w:val="en-GB"/>
        </w:rPr>
        <w:t>f)</w:t>
      </w:r>
      <w:r w:rsidRPr="00380B40">
        <w:rPr>
          <w:lang w:val="en-GB"/>
        </w:rPr>
        <w:tab/>
        <w:t>that ITU's programmes for fostering partnerships, under the patronage of ITU</w:t>
      </w:r>
      <w:r w:rsidRPr="00380B40">
        <w:rPr>
          <w:lang w:val="en-GB"/>
        </w:rPr>
        <w:noBreakHyphen/>
        <w:t>T, continue to strengthen and expand the assistance ITU provides to its members, particularly developing countries;</w:t>
      </w:r>
    </w:p>
    <w:p w14:paraId="126F6F2B" w14:textId="77777777" w:rsidR="004A0742" w:rsidRPr="00380B40" w:rsidRDefault="004A0742" w:rsidP="004A0742">
      <w:pPr>
        <w:rPr>
          <w:lang w:val="en-GB"/>
        </w:rPr>
      </w:pPr>
      <w:r w:rsidRPr="00380B40">
        <w:rPr>
          <w:i/>
          <w:iCs/>
          <w:lang w:val="en-GB"/>
        </w:rPr>
        <w:t>g)</w:t>
      </w:r>
      <w:r w:rsidRPr="00380B40">
        <w:rPr>
          <w:lang w:val="en-GB"/>
        </w:rPr>
        <w:tab/>
        <w:t>the importance of having appropriate consultative frameworks for developing countries for the formulation and study of Questions, the preparation of contributions and capacity building;</w:t>
      </w:r>
    </w:p>
    <w:p w14:paraId="58087FF7" w14:textId="77777777" w:rsidR="004A0742" w:rsidRPr="00380B40" w:rsidRDefault="004A0742" w:rsidP="004A0742">
      <w:pPr>
        <w:rPr>
          <w:lang w:val="en-GB"/>
        </w:rPr>
      </w:pPr>
      <w:r w:rsidRPr="00380B40">
        <w:rPr>
          <w:i/>
          <w:iCs/>
          <w:lang w:val="en-GB"/>
        </w:rPr>
        <w:t>h)</w:t>
      </w:r>
      <w:r w:rsidRPr="00380B40">
        <w:rPr>
          <w:lang w:val="en-GB"/>
        </w:rPr>
        <w:tab/>
        <w:t>that the structure and working methods of ITU</w:t>
      </w:r>
      <w:r w:rsidRPr="00380B40">
        <w:rPr>
          <w:lang w:val="en-GB"/>
        </w:rPr>
        <w:noBreakHyphen/>
        <w:t>T study groups could serve to improve the level of developing-country participation in standardization activities;</w:t>
      </w:r>
    </w:p>
    <w:p w14:paraId="5921FB2C" w14:textId="77777777" w:rsidR="004A0742" w:rsidRPr="00380B40" w:rsidRDefault="004A0742" w:rsidP="004A0742">
      <w:pPr>
        <w:rPr>
          <w:lang w:val="en-GB"/>
        </w:rPr>
      </w:pPr>
      <w:r w:rsidRPr="00380B40">
        <w:rPr>
          <w:i/>
          <w:iCs/>
          <w:lang w:val="en-GB"/>
        </w:rPr>
        <w:t>i)</w:t>
      </w:r>
      <w:r w:rsidRPr="00380B40">
        <w:rPr>
          <w:lang w:val="en-GB"/>
        </w:rPr>
        <w:tab/>
        <w:t>that joint meetings of regional groups of different ITU</w:t>
      </w:r>
      <w:r w:rsidRPr="00380B40">
        <w:rPr>
          <w:lang w:val="en-GB"/>
        </w:rPr>
        <w:noBreakHyphen/>
        <w:t>T study groups, in particular if concatenated with a regional workshop and/or a meeting of a regional standardization body and also meetings of the ITU regional counterparts, such as the Inter-American Telecommunication Commission (CITEL), the Regional Commonwealth in the field of Communications (RCC), the African Telecommunications Union (ATU), the Council of Arab Ministers of Telecommunication and Information represented by the Secretariat-General of the League of Arab States (LAS), the Asia-Pacific Telecommunity (APT) and the European Conference of Postal and Telecommunications Administrations (CEPT), will encourage the participation of developing countries in these meetings and increase the effectiveness of such meetings;</w:t>
      </w:r>
    </w:p>
    <w:p w14:paraId="07ADBC07" w14:textId="77777777" w:rsidR="004A0742" w:rsidRPr="00380B40" w:rsidRDefault="004A0742" w:rsidP="004A0742">
      <w:pPr>
        <w:rPr>
          <w:lang w:val="en-GB"/>
        </w:rPr>
      </w:pPr>
      <w:r w:rsidRPr="00380B40">
        <w:rPr>
          <w:i/>
          <w:iCs/>
          <w:lang w:val="en-GB"/>
        </w:rPr>
        <w:t>j)</w:t>
      </w:r>
      <w:r w:rsidRPr="00380B40">
        <w:rPr>
          <w:lang w:val="en-GB"/>
        </w:rPr>
        <w:tab/>
        <w:t>that holding ITU-T study group meetings in developing countries has shown potential to increase the participation of ITU-T members from the region in these meetings;</w:t>
      </w:r>
    </w:p>
    <w:p w14:paraId="2F130161" w14:textId="77777777" w:rsidR="004A0742" w:rsidRPr="00380B40" w:rsidRDefault="004A0742" w:rsidP="004A0742">
      <w:pPr>
        <w:rPr>
          <w:lang w:val="en-GB"/>
        </w:rPr>
      </w:pPr>
      <w:r w:rsidRPr="00380B40">
        <w:rPr>
          <w:i/>
          <w:iCs/>
          <w:lang w:val="en-GB"/>
        </w:rPr>
        <w:t>k)</w:t>
      </w:r>
      <w:r w:rsidRPr="00380B40">
        <w:rPr>
          <w:lang w:val="en-GB"/>
        </w:rPr>
        <w:tab/>
        <w:t>that ITU can further improve the active participation of developing countries in the standardization work of ITU</w:t>
      </w:r>
      <w:r w:rsidRPr="00380B40">
        <w:rPr>
          <w:lang w:val="en-GB"/>
        </w:rPr>
        <w:noBreakHyphen/>
        <w:t>T in terms of both quality and quantity, through the role of the Telecommunication Standardization Advisory Group (TSAG) and ITU</w:t>
      </w:r>
      <w:r w:rsidRPr="00380B40">
        <w:rPr>
          <w:lang w:val="en-GB"/>
        </w:rPr>
        <w:noBreakHyphen/>
        <w:t>T study group vice-chairmen and chairmen who are appointed on the basis of regional representation and can be charged with specific responsibilities;</w:t>
      </w:r>
    </w:p>
    <w:p w14:paraId="0728BFDB" w14:textId="77777777" w:rsidR="004A0742" w:rsidRPr="00380B40" w:rsidRDefault="004A0742" w:rsidP="004A0742">
      <w:pPr>
        <w:rPr>
          <w:lang w:val="en-GB"/>
        </w:rPr>
      </w:pPr>
      <w:r w:rsidRPr="00380B40">
        <w:rPr>
          <w:i/>
          <w:iCs/>
          <w:lang w:val="en-GB"/>
        </w:rPr>
        <w:t>l)</w:t>
      </w:r>
      <w:r w:rsidRPr="00380B40">
        <w:rPr>
          <w:lang w:val="en-GB"/>
        </w:rPr>
        <w:tab/>
        <w:t>that a mentor role in ITU</w:t>
      </w:r>
      <w:r w:rsidRPr="00380B40">
        <w:rPr>
          <w:lang w:val="en-GB"/>
        </w:rPr>
        <w:noBreakHyphen/>
        <w:t>T study groups was created by TSAG for coordination with representatives from developed and developing countries with the objective of sharing information and best practices with regard to the application of ITU</w:t>
      </w:r>
      <w:r w:rsidRPr="00380B40">
        <w:rPr>
          <w:lang w:val="en-GB"/>
        </w:rPr>
        <w:noBreakHyphen/>
        <w:t>T Recommendations in order to enhance standardization activities in developing countries and in the regional groups,</w:t>
      </w:r>
    </w:p>
    <w:p w14:paraId="4154F153" w14:textId="77777777" w:rsidR="008547D7" w:rsidRPr="00380B40" w:rsidRDefault="008547D7" w:rsidP="004A0742">
      <w:pPr>
        <w:pStyle w:val="Call"/>
        <w:rPr>
          <w:lang w:val="en-GB"/>
        </w:rPr>
      </w:pPr>
      <w:r w:rsidRPr="00380B40">
        <w:rPr>
          <w:lang w:val="en-GB"/>
        </w:rPr>
        <w:br w:type="page"/>
      </w:r>
    </w:p>
    <w:p w14:paraId="72BAE2E7" w14:textId="77777777" w:rsidR="004A0742" w:rsidRPr="00380B40" w:rsidRDefault="004A0742" w:rsidP="004A0742">
      <w:pPr>
        <w:pStyle w:val="Call"/>
        <w:rPr>
          <w:lang w:val="en-GB"/>
        </w:rPr>
      </w:pPr>
      <w:r w:rsidRPr="00380B40">
        <w:rPr>
          <w:lang w:val="en-GB"/>
        </w:rPr>
        <w:t>recalling</w:t>
      </w:r>
    </w:p>
    <w:p w14:paraId="069FAB63" w14:textId="77777777" w:rsidR="004A0742" w:rsidRPr="00380B40" w:rsidRDefault="004A0742" w:rsidP="004A0742">
      <w:pPr>
        <w:rPr>
          <w:lang w:val="en-GB"/>
        </w:rPr>
      </w:pPr>
      <w:r w:rsidRPr="00380B40">
        <w:rPr>
          <w:i/>
          <w:iCs/>
          <w:lang w:val="en-GB"/>
        </w:rPr>
        <w:t>a)</w:t>
      </w:r>
      <w:r w:rsidRPr="00380B40">
        <w:rPr>
          <w:lang w:val="en-GB"/>
        </w:rPr>
        <w:tab/>
        <w:t>that Resolution 1353 of the ITU Council, recognizing that telecommunications/ICTs are essential components for developed and developing countries for achieving sustainable development, instructs the Secretary-General, in collaboration with the Directors of the Bureaux, to identify new activities to be undertaken by ITU to support the developing countries to achieve sustainable development through telecommunications and ICTs;</w:t>
      </w:r>
    </w:p>
    <w:p w14:paraId="367EA4FF" w14:textId="77777777" w:rsidR="004A0742" w:rsidRPr="00380B40" w:rsidRDefault="004A0742" w:rsidP="004A0742">
      <w:pPr>
        <w:rPr>
          <w:lang w:val="en-GB"/>
        </w:rPr>
      </w:pPr>
      <w:r w:rsidRPr="00380B40">
        <w:rPr>
          <w:i/>
          <w:iCs/>
          <w:lang w:val="en-GB"/>
        </w:rPr>
        <w:t>b)</w:t>
      </w:r>
      <w:r w:rsidRPr="00380B40">
        <w:rPr>
          <w:lang w:val="en-GB"/>
        </w:rPr>
        <w:tab/>
        <w:t>the relevant conclusions of the Global Standards Symposium;</w:t>
      </w:r>
    </w:p>
    <w:p w14:paraId="338C8EAC" w14:textId="77777777" w:rsidR="004A0742" w:rsidRPr="00380B40" w:rsidRDefault="004A0742" w:rsidP="004A0742">
      <w:pPr>
        <w:rPr>
          <w:lang w:val="en-GB"/>
        </w:rPr>
      </w:pPr>
      <w:r w:rsidRPr="00380B40">
        <w:rPr>
          <w:i/>
          <w:iCs/>
          <w:lang w:val="en-GB"/>
        </w:rPr>
        <w:t>c)</w:t>
      </w:r>
      <w:r w:rsidRPr="00380B40">
        <w:rPr>
          <w:lang w:val="en-GB"/>
        </w:rPr>
        <w:tab/>
        <w:t>that in certain regions there are regional institutions or organizations that undertake standardization work;</w:t>
      </w:r>
    </w:p>
    <w:p w14:paraId="324A33A1" w14:textId="77777777" w:rsidR="004A0742" w:rsidRPr="00380B40" w:rsidRDefault="004A0742" w:rsidP="004A0742">
      <w:pPr>
        <w:rPr>
          <w:lang w:val="en-GB"/>
        </w:rPr>
      </w:pPr>
      <w:r w:rsidRPr="00380B40">
        <w:rPr>
          <w:i/>
          <w:iCs/>
          <w:lang w:val="en-GB"/>
        </w:rPr>
        <w:t>d)</w:t>
      </w:r>
      <w:r w:rsidRPr="00380B40">
        <w:rPr>
          <w:lang w:val="en-GB"/>
        </w:rPr>
        <w:tab/>
        <w:t>that some developing countries are unable to participate in the work of regional standardization organizations,</w:t>
      </w:r>
    </w:p>
    <w:p w14:paraId="63AB647A" w14:textId="77777777" w:rsidR="004A0742" w:rsidRPr="00380B40" w:rsidRDefault="004A0742" w:rsidP="004A0742">
      <w:pPr>
        <w:pStyle w:val="Call"/>
        <w:rPr>
          <w:lang w:val="en-GB"/>
        </w:rPr>
      </w:pPr>
      <w:r w:rsidRPr="00380B40">
        <w:rPr>
          <w:lang w:val="en-GB"/>
        </w:rPr>
        <w:t>resolves</w:t>
      </w:r>
    </w:p>
    <w:p w14:paraId="413A96FA" w14:textId="77777777" w:rsidR="004A0742" w:rsidRPr="00380B40" w:rsidRDefault="004A0742" w:rsidP="004A0742">
      <w:pPr>
        <w:rPr>
          <w:lang w:val="en-GB"/>
        </w:rPr>
      </w:pPr>
      <w:r w:rsidRPr="00380B40">
        <w:rPr>
          <w:lang w:val="en-GB"/>
        </w:rPr>
        <w:t>1</w:t>
      </w:r>
      <w:r w:rsidRPr="00380B40">
        <w:rPr>
          <w:lang w:val="en-GB"/>
        </w:rPr>
        <w:tab/>
        <w:t>that the action plan annexed to this resolution, having the objective of bridging the standardization gap between developed and developing countries, should be continued and be reviewed on an annual basis to take into account the requirements of developing countries;</w:t>
      </w:r>
    </w:p>
    <w:p w14:paraId="7FBEDBEB" w14:textId="77777777" w:rsidR="004A0742" w:rsidRPr="00380B40" w:rsidRDefault="004A0742" w:rsidP="004A0742">
      <w:pPr>
        <w:rPr>
          <w:lang w:val="en-GB"/>
        </w:rPr>
      </w:pPr>
      <w:r w:rsidRPr="00380B40">
        <w:rPr>
          <w:lang w:val="en-GB"/>
        </w:rPr>
        <w:t>2</w:t>
      </w:r>
      <w:r w:rsidRPr="00380B40">
        <w:rPr>
          <w:lang w:val="en-GB"/>
        </w:rPr>
        <w:tab/>
        <w:t>that ITU</w:t>
      </w:r>
      <w:r w:rsidRPr="00380B40">
        <w:rPr>
          <w:lang w:val="en-GB"/>
        </w:rPr>
        <w:noBreakHyphen/>
        <w:t>T, in collaboration with the other Sectors, especially the ITU Telecommunication Development Sector (ITU</w:t>
      </w:r>
      <w:r w:rsidRPr="00380B40">
        <w:rPr>
          <w:lang w:val="en-GB"/>
        </w:rPr>
        <w:noBreakHyphen/>
        <w:t>D), as appropriate, shall develop a programme to:</w:t>
      </w:r>
    </w:p>
    <w:p w14:paraId="5807C42D" w14:textId="77777777" w:rsidR="004A0742" w:rsidRPr="00380B40" w:rsidRDefault="004A0742" w:rsidP="004A0742">
      <w:pPr>
        <w:pStyle w:val="enumlev1"/>
        <w:rPr>
          <w:lang w:val="en-GB"/>
        </w:rPr>
      </w:pPr>
      <w:r w:rsidRPr="00380B40">
        <w:rPr>
          <w:lang w:val="en-GB"/>
        </w:rPr>
        <w:t>i)</w:t>
      </w:r>
      <w:r w:rsidRPr="00380B40">
        <w:rPr>
          <w:lang w:val="en-GB"/>
        </w:rPr>
        <w:tab/>
        <w:t>assist developing countries in developing strategies and methods that facilitate the process of linking their challenges and innovations to the standardization process in support of the digital transformation of society;</w:t>
      </w:r>
    </w:p>
    <w:p w14:paraId="3CFDCB4A" w14:textId="77777777" w:rsidR="004A0742" w:rsidRPr="00380B40" w:rsidRDefault="004A0742" w:rsidP="004A0742">
      <w:pPr>
        <w:pStyle w:val="enumlev1"/>
        <w:rPr>
          <w:lang w:val="en-GB"/>
        </w:rPr>
      </w:pPr>
      <w:r w:rsidRPr="00380B40">
        <w:rPr>
          <w:lang w:val="en-GB"/>
        </w:rPr>
        <w:t>ii)</w:t>
      </w:r>
      <w:r w:rsidRPr="00380B40">
        <w:rPr>
          <w:lang w:val="en-GB"/>
        </w:rPr>
        <w:tab/>
        <w:t>assist developing countries in developing means to align their national industrial and innovation strategies towards the goal of achieving highest impact on their socio-economic ecosystems;</w:t>
      </w:r>
    </w:p>
    <w:p w14:paraId="6F6CA0A9" w14:textId="77777777" w:rsidR="004A0742" w:rsidRPr="00380B40" w:rsidRDefault="004A0742" w:rsidP="004A0742">
      <w:pPr>
        <w:pStyle w:val="enumlev1"/>
        <w:rPr>
          <w:lang w:val="en-GB"/>
        </w:rPr>
      </w:pPr>
      <w:r w:rsidRPr="00380B40">
        <w:rPr>
          <w:lang w:val="en-GB"/>
        </w:rPr>
        <w:t>iii)</w:t>
      </w:r>
      <w:r w:rsidRPr="00380B40">
        <w:rPr>
          <w:lang w:val="en-GB"/>
        </w:rPr>
        <w:tab/>
        <w:t>assist developing countries in developing strategies for establishing test laboratories which are nationally, regionally and internationally recognized for emerging technologies;</w:t>
      </w:r>
    </w:p>
    <w:p w14:paraId="355C57E0" w14:textId="77777777" w:rsidR="004A0742" w:rsidRPr="00380B40" w:rsidRDefault="004A0742" w:rsidP="004A0742">
      <w:pPr>
        <w:rPr>
          <w:lang w:val="en-GB"/>
        </w:rPr>
      </w:pPr>
      <w:r w:rsidRPr="00380B40">
        <w:rPr>
          <w:lang w:val="en-GB"/>
        </w:rPr>
        <w:t>3</w:t>
      </w:r>
      <w:r w:rsidRPr="00380B40">
        <w:rPr>
          <w:lang w:val="en-GB"/>
        </w:rPr>
        <w:tab/>
        <w:t>that, subject to Council approval, there should be free online access to the manuals, handbooks, directives and other ITU material related to understanding and implementation of ITU</w:t>
      </w:r>
      <w:r w:rsidRPr="00380B40">
        <w:rPr>
          <w:lang w:val="en-GB"/>
        </w:rPr>
        <w:noBreakHyphen/>
        <w:t>T Recommendations, particularly in the area of developing planning, operation and maintenance of telecommunication equipment and networks;</w:t>
      </w:r>
    </w:p>
    <w:p w14:paraId="32A3F62E" w14:textId="77777777" w:rsidR="004A0742" w:rsidRPr="00380B40" w:rsidRDefault="004A0742" w:rsidP="004A0742">
      <w:pPr>
        <w:rPr>
          <w:lang w:val="en-GB"/>
        </w:rPr>
      </w:pPr>
      <w:r w:rsidRPr="00380B40">
        <w:rPr>
          <w:lang w:val="en-GB"/>
        </w:rPr>
        <w:t>4</w:t>
      </w:r>
      <w:r w:rsidRPr="00380B40">
        <w:rPr>
          <w:lang w:val="en-GB"/>
        </w:rPr>
        <w:tab/>
        <w:t>to support, within available or otherwise contributed resources, and on a case-by-case basis, the coordinated creation of regional groups of ITU</w:t>
      </w:r>
      <w:r w:rsidRPr="00380B40">
        <w:rPr>
          <w:lang w:val="en-GB"/>
        </w:rPr>
        <w:noBreakHyphen/>
        <w:t>T study groups, in accordance with the approval or procedures set forth in Resolution 54 (Rev. Geneva, 2022) of this assembly, and encourage cooperation and collaboration of these groups with other regional standardization entities;</w:t>
      </w:r>
    </w:p>
    <w:p w14:paraId="57281954" w14:textId="77777777" w:rsidR="004A0742" w:rsidRPr="00380B40" w:rsidRDefault="004A0742" w:rsidP="004A0742">
      <w:pPr>
        <w:rPr>
          <w:lang w:val="en-GB"/>
        </w:rPr>
      </w:pPr>
      <w:r w:rsidRPr="00380B40">
        <w:rPr>
          <w:lang w:val="en-GB"/>
        </w:rPr>
        <w:t>5</w:t>
      </w:r>
      <w:r w:rsidRPr="00380B40">
        <w:rPr>
          <w:lang w:val="en-GB"/>
        </w:rPr>
        <w:tab/>
        <w:t>to maintain in the annual budget of the Union a separate expenditure line item for bridging the standardization gap activities, while at the same time voluntary contributions should be further encouraged;</w:t>
      </w:r>
    </w:p>
    <w:p w14:paraId="38608475" w14:textId="77777777" w:rsidR="008547D7" w:rsidRPr="00380B40" w:rsidRDefault="008547D7" w:rsidP="004A0742">
      <w:pPr>
        <w:rPr>
          <w:lang w:val="en-GB"/>
        </w:rPr>
      </w:pPr>
      <w:r w:rsidRPr="00380B40">
        <w:rPr>
          <w:lang w:val="en-GB"/>
        </w:rPr>
        <w:br w:type="page"/>
      </w:r>
    </w:p>
    <w:p w14:paraId="69C64748" w14:textId="77777777" w:rsidR="004A0742" w:rsidRPr="00380B40" w:rsidRDefault="004A0742" w:rsidP="004A0742">
      <w:pPr>
        <w:rPr>
          <w:lang w:val="en-GB"/>
        </w:rPr>
      </w:pPr>
      <w:r w:rsidRPr="00380B40">
        <w:rPr>
          <w:lang w:val="en-GB"/>
        </w:rPr>
        <w:t>6</w:t>
      </w:r>
      <w:r w:rsidRPr="00380B40">
        <w:rPr>
          <w:lang w:val="en-GB"/>
        </w:rPr>
        <w:tab/>
        <w:t>that interpretation shall be provided, based on the requests of participants, at all study group and working party plenary meetings and the entire meeting of TSAG;</w:t>
      </w:r>
    </w:p>
    <w:p w14:paraId="76A979A2" w14:textId="77777777" w:rsidR="004A0742" w:rsidRPr="00380B40" w:rsidRDefault="004A0742" w:rsidP="004A0742">
      <w:pPr>
        <w:rPr>
          <w:lang w:val="en-GB"/>
        </w:rPr>
      </w:pPr>
      <w:r w:rsidRPr="00380B40">
        <w:rPr>
          <w:lang w:val="en-GB"/>
        </w:rPr>
        <w:t>7</w:t>
      </w:r>
      <w:r w:rsidRPr="00380B40">
        <w:rPr>
          <w:lang w:val="en-GB"/>
        </w:rPr>
        <w:tab/>
        <w:t>to encourage the participation of members, particularly Academia, from developing countries in ITU-T standardization activities,</w:t>
      </w:r>
    </w:p>
    <w:p w14:paraId="5EAC2BF1" w14:textId="77777777" w:rsidR="004A0742" w:rsidRPr="00380B40" w:rsidRDefault="004A0742" w:rsidP="004A0742">
      <w:pPr>
        <w:pStyle w:val="Call"/>
        <w:rPr>
          <w:lang w:val="en-GB"/>
        </w:rPr>
      </w:pPr>
      <w:r w:rsidRPr="00380B40">
        <w:rPr>
          <w:lang w:val="en-GB"/>
        </w:rPr>
        <w:t>resolves further that ITU regional offices</w:t>
      </w:r>
    </w:p>
    <w:p w14:paraId="0E1EB291" w14:textId="77777777" w:rsidR="004A0742" w:rsidRPr="00380B40" w:rsidRDefault="004A0742" w:rsidP="004A0742">
      <w:pPr>
        <w:rPr>
          <w:lang w:val="en-GB"/>
        </w:rPr>
      </w:pPr>
      <w:r w:rsidRPr="00380B40">
        <w:rPr>
          <w:lang w:val="en-GB"/>
        </w:rPr>
        <w:t>1</w:t>
      </w:r>
      <w:r w:rsidRPr="00380B40">
        <w:rPr>
          <w:lang w:val="en-GB"/>
        </w:rPr>
        <w:tab/>
        <w:t>be engaged in the activities assigned by TSAG in order to further enhance the implementation of the action plan annexed to this resolution, promoting and coordinating standardization activities in their regions, including raising awareness among prospective Sector Members, Associates and Academia from developing countries, and providing</w:t>
      </w:r>
      <w:r w:rsidRPr="00380B40" w:rsidDel="00BC6F4C">
        <w:rPr>
          <w:lang w:val="en-GB"/>
        </w:rPr>
        <w:t xml:space="preserve"> the </w:t>
      </w:r>
      <w:r w:rsidRPr="00380B40">
        <w:rPr>
          <w:lang w:val="en-GB"/>
        </w:rPr>
        <w:t>necessary assistance to the regional groups of ITU</w:t>
      </w:r>
      <w:r w:rsidRPr="00380B40">
        <w:rPr>
          <w:lang w:val="en-GB"/>
        </w:rPr>
        <w:noBreakHyphen/>
        <w:t>T study groups;</w:t>
      </w:r>
    </w:p>
    <w:p w14:paraId="4AB51B60" w14:textId="77777777" w:rsidR="004A0742" w:rsidRPr="00380B40" w:rsidRDefault="004A0742" w:rsidP="004A0742">
      <w:pPr>
        <w:rPr>
          <w:lang w:val="en-GB"/>
        </w:rPr>
      </w:pPr>
      <w:r w:rsidRPr="00380B40">
        <w:rPr>
          <w:lang w:val="en-GB"/>
        </w:rPr>
        <w:t>2</w:t>
      </w:r>
      <w:r w:rsidRPr="00380B40">
        <w:rPr>
          <w:lang w:val="en-GB"/>
        </w:rPr>
        <w:tab/>
        <w:t>assist, within the offices' budgets, the vice-chairmen of TSAG and ITU-T study groups appointed with specific responsibilities, including, among others, the following:</w:t>
      </w:r>
    </w:p>
    <w:p w14:paraId="20E7FC48" w14:textId="77777777" w:rsidR="004A0742" w:rsidRPr="00380B40" w:rsidRDefault="004A0742" w:rsidP="004A0742">
      <w:pPr>
        <w:pStyle w:val="enumlev1"/>
        <w:rPr>
          <w:lang w:val="en-GB"/>
        </w:rPr>
      </w:pPr>
      <w:r w:rsidRPr="00380B40">
        <w:rPr>
          <w:lang w:val="en-GB"/>
        </w:rPr>
        <w:t>i)</w:t>
      </w:r>
      <w:r w:rsidRPr="00380B40">
        <w:rPr>
          <w:lang w:val="en-GB"/>
        </w:rPr>
        <w:tab/>
        <w:t>closely work with ITU members in the region in order to mobilize them to participate in ITU standardization activities to assist in bridging the standardization gap;</w:t>
      </w:r>
    </w:p>
    <w:p w14:paraId="7EC617CA" w14:textId="77777777" w:rsidR="004A0742" w:rsidRPr="00380B40" w:rsidRDefault="004A0742" w:rsidP="004A0742">
      <w:pPr>
        <w:pStyle w:val="enumlev1"/>
        <w:rPr>
          <w:lang w:val="en-GB"/>
        </w:rPr>
      </w:pPr>
      <w:r w:rsidRPr="00380B40">
        <w:rPr>
          <w:lang w:val="en-GB"/>
        </w:rPr>
        <w:t>ii)</w:t>
      </w:r>
      <w:r w:rsidRPr="00380B40">
        <w:rPr>
          <w:lang w:val="en-GB"/>
        </w:rPr>
        <w:tab/>
        <w:t>make mobilization and participation reports to the ITU body concerning the region;</w:t>
      </w:r>
    </w:p>
    <w:p w14:paraId="108BA516" w14:textId="77777777" w:rsidR="004A0742" w:rsidRPr="00380B40" w:rsidRDefault="004A0742" w:rsidP="004A0742">
      <w:pPr>
        <w:pStyle w:val="enumlev1"/>
        <w:rPr>
          <w:lang w:val="en-GB"/>
        </w:rPr>
      </w:pPr>
      <w:r w:rsidRPr="00380B40">
        <w:rPr>
          <w:lang w:val="en-GB"/>
        </w:rPr>
        <w:t>iii)</w:t>
      </w:r>
      <w:r w:rsidRPr="00380B40">
        <w:rPr>
          <w:lang w:val="en-GB"/>
        </w:rPr>
        <w:tab/>
        <w:t>prepare and submit a mobilization programme for the regions that they represent at the first meeting of TSAG or a study group, and send a report to TSAG;</w:t>
      </w:r>
    </w:p>
    <w:p w14:paraId="5848E47A" w14:textId="77777777" w:rsidR="004A0742" w:rsidRPr="00380B40" w:rsidRDefault="004A0742" w:rsidP="004A0742">
      <w:pPr>
        <w:pStyle w:val="enumlev1"/>
        <w:rPr>
          <w:lang w:val="en-GB"/>
        </w:rPr>
      </w:pPr>
      <w:r w:rsidRPr="00380B40">
        <w:rPr>
          <w:lang w:val="en-GB"/>
        </w:rPr>
        <w:t>iv)</w:t>
      </w:r>
      <w:r w:rsidRPr="00380B40">
        <w:rPr>
          <w:lang w:val="en-GB"/>
        </w:rPr>
        <w:tab/>
        <w:t>inform ITU members of programmes and initiatives within ITU</w:t>
      </w:r>
      <w:r w:rsidRPr="00380B40">
        <w:rPr>
          <w:lang w:val="en-GB"/>
        </w:rPr>
        <w:noBreakHyphen/>
        <w:t>D that could assist in bridging the standardization gap;</w:t>
      </w:r>
    </w:p>
    <w:p w14:paraId="7F7211F4" w14:textId="77777777" w:rsidR="004A0742" w:rsidRPr="00380B40" w:rsidRDefault="004A0742" w:rsidP="004A0742">
      <w:pPr>
        <w:rPr>
          <w:i/>
          <w:lang w:val="en-GB"/>
        </w:rPr>
      </w:pPr>
      <w:r w:rsidRPr="00380B40">
        <w:rPr>
          <w:lang w:val="en-GB"/>
        </w:rPr>
        <w:t>3</w:t>
      </w:r>
      <w:r w:rsidRPr="00380B40">
        <w:rPr>
          <w:lang w:val="en-GB"/>
        </w:rPr>
        <w:tab/>
        <w:t>organize and coordinate the activities of the regional groups of ITU</w:t>
      </w:r>
      <w:r w:rsidRPr="00380B40">
        <w:rPr>
          <w:lang w:val="en-GB"/>
        </w:rPr>
        <w:noBreakHyphen/>
        <w:t>T study groups,</w:t>
      </w:r>
    </w:p>
    <w:p w14:paraId="5627C496" w14:textId="77777777" w:rsidR="004A0742" w:rsidRPr="00380B40" w:rsidRDefault="004A0742" w:rsidP="004A0742">
      <w:pPr>
        <w:pStyle w:val="Call"/>
        <w:rPr>
          <w:lang w:val="en-GB"/>
        </w:rPr>
      </w:pPr>
      <w:r w:rsidRPr="00380B40">
        <w:rPr>
          <w:lang w:val="en-GB"/>
        </w:rPr>
        <w:t>invites the ITU Council</w:t>
      </w:r>
    </w:p>
    <w:p w14:paraId="4EAD8D93" w14:textId="77777777" w:rsidR="004A0742" w:rsidRPr="00380B40" w:rsidRDefault="004A0742" w:rsidP="004A0742">
      <w:pPr>
        <w:rPr>
          <w:lang w:val="en-GB"/>
        </w:rPr>
      </w:pPr>
      <w:r w:rsidRPr="00380B40">
        <w:rPr>
          <w:lang w:val="en-GB"/>
        </w:rPr>
        <w:t>1</w:t>
      </w:r>
      <w:r w:rsidRPr="00380B40">
        <w:rPr>
          <w:lang w:val="en-GB"/>
        </w:rPr>
        <w:tab/>
        <w:t xml:space="preserve">in view of the above </w:t>
      </w:r>
      <w:r w:rsidRPr="00380B40">
        <w:rPr>
          <w:i/>
          <w:iCs/>
          <w:lang w:val="en-GB"/>
        </w:rPr>
        <w:t>resolves</w:t>
      </w:r>
      <w:r w:rsidRPr="00380B40">
        <w:rPr>
          <w:lang w:val="en-GB"/>
        </w:rPr>
        <w:t xml:space="preserve">, in particular </w:t>
      </w:r>
      <w:r w:rsidRPr="00380B40">
        <w:rPr>
          <w:i/>
          <w:iCs/>
          <w:lang w:val="en-GB"/>
        </w:rPr>
        <w:t>resolves </w:t>
      </w:r>
      <w:r w:rsidRPr="00380B40">
        <w:rPr>
          <w:lang w:val="en-GB"/>
        </w:rPr>
        <w:t>6, to increase the ITU</w:t>
      </w:r>
      <w:r w:rsidRPr="00380B40">
        <w:rPr>
          <w:lang w:val="en-GB"/>
        </w:rPr>
        <w:noBreakHyphen/>
        <w:t>T budgetary provisions for fellowships, interpretation and translation of documents for meetings of TSAG, ITU</w:t>
      </w:r>
      <w:r w:rsidRPr="00380B40">
        <w:rPr>
          <w:lang w:val="en-GB"/>
        </w:rPr>
        <w:noBreakHyphen/>
        <w:t>T study groups and regional groups of ITU</w:t>
      </w:r>
      <w:r w:rsidRPr="00380B40">
        <w:rPr>
          <w:lang w:val="en-GB"/>
        </w:rPr>
        <w:noBreakHyphen/>
        <w:t>T study groups;</w:t>
      </w:r>
    </w:p>
    <w:p w14:paraId="731D2D7F" w14:textId="77777777" w:rsidR="004A0742" w:rsidRPr="00380B40" w:rsidRDefault="004A0742" w:rsidP="004A0742">
      <w:pPr>
        <w:rPr>
          <w:lang w:val="en-GB"/>
        </w:rPr>
      </w:pPr>
      <w:r w:rsidRPr="00380B40">
        <w:rPr>
          <w:lang w:val="en-GB"/>
        </w:rPr>
        <w:t>2</w:t>
      </w:r>
      <w:r w:rsidRPr="00380B40">
        <w:rPr>
          <w:lang w:val="en-GB"/>
        </w:rPr>
        <w:tab/>
        <w:t>to consider exemption from payment of the membership fees for a limited time of up to one full study period for new Academia members from developing countries in order to encourage them to get involved in ITU-T activities and the standardization process,</w:t>
      </w:r>
    </w:p>
    <w:p w14:paraId="41674CF5" w14:textId="77777777" w:rsidR="004A0742" w:rsidRPr="00380B40" w:rsidRDefault="004A0742" w:rsidP="004A0742">
      <w:pPr>
        <w:pStyle w:val="Call"/>
        <w:rPr>
          <w:lang w:val="en-GB"/>
        </w:rPr>
      </w:pPr>
      <w:r w:rsidRPr="00380B40">
        <w:rPr>
          <w:lang w:val="en-GB"/>
        </w:rPr>
        <w:t>instructs the Director of the Telecommunication Standardization Bureau, in collaboration with the Directors of the Radiocommunication Bureau and the Telecommunication Development Bureau</w:t>
      </w:r>
    </w:p>
    <w:p w14:paraId="33003B88" w14:textId="77777777" w:rsidR="004A0742" w:rsidRPr="00380B40" w:rsidRDefault="004A0742" w:rsidP="004A0742">
      <w:pPr>
        <w:rPr>
          <w:lang w:val="en-GB"/>
        </w:rPr>
      </w:pPr>
      <w:r w:rsidRPr="00380B40">
        <w:rPr>
          <w:lang w:val="en-GB"/>
        </w:rPr>
        <w:t>within available resources,</w:t>
      </w:r>
    </w:p>
    <w:p w14:paraId="2AF892CB" w14:textId="77777777" w:rsidR="004A0742" w:rsidRPr="00380B40" w:rsidRDefault="004A0742" w:rsidP="004A0742">
      <w:pPr>
        <w:rPr>
          <w:lang w:val="en-GB"/>
        </w:rPr>
      </w:pPr>
      <w:r w:rsidRPr="00380B40">
        <w:rPr>
          <w:lang w:val="en-GB"/>
        </w:rPr>
        <w:t>1</w:t>
      </w:r>
      <w:r w:rsidRPr="00380B40">
        <w:rPr>
          <w:lang w:val="en-GB"/>
        </w:rPr>
        <w:tab/>
        <w:t>to continue implementing the objectives of the action plan annexed to this resolution;</w:t>
      </w:r>
    </w:p>
    <w:p w14:paraId="1D244D0A" w14:textId="77777777" w:rsidR="004A0742" w:rsidRPr="00380B40" w:rsidRDefault="004A0742" w:rsidP="004A0742">
      <w:pPr>
        <w:rPr>
          <w:lang w:val="en-GB"/>
        </w:rPr>
      </w:pPr>
      <w:r w:rsidRPr="00380B40">
        <w:rPr>
          <w:lang w:val="en-GB"/>
        </w:rPr>
        <w:t>2</w:t>
      </w:r>
      <w:r w:rsidRPr="00380B40">
        <w:rPr>
          <w:lang w:val="en-GB"/>
        </w:rPr>
        <w:tab/>
        <w:t>to encourage the formation of partnerships under the patronage of ITU</w:t>
      </w:r>
      <w:r w:rsidRPr="00380B40">
        <w:rPr>
          <w:lang w:val="en-GB"/>
        </w:rPr>
        <w:noBreakHyphen/>
        <w:t>T as one of the means for financing and implementing the objectives of the action plan annexed to this resolution;</w:t>
      </w:r>
    </w:p>
    <w:p w14:paraId="14AC4390" w14:textId="77777777" w:rsidR="0090426B" w:rsidRPr="00380B40" w:rsidRDefault="0090426B" w:rsidP="004A0742">
      <w:pPr>
        <w:tabs>
          <w:tab w:val="clear" w:pos="794"/>
          <w:tab w:val="clear" w:pos="1191"/>
          <w:tab w:val="clear" w:pos="1588"/>
          <w:tab w:val="clear" w:pos="1985"/>
          <w:tab w:val="left" w:pos="851"/>
          <w:tab w:val="left" w:pos="1871"/>
          <w:tab w:val="left" w:pos="2268"/>
        </w:tabs>
        <w:rPr>
          <w:lang w:val="en-GB"/>
        </w:rPr>
      </w:pPr>
      <w:r w:rsidRPr="00380B40">
        <w:rPr>
          <w:lang w:val="en-GB"/>
        </w:rPr>
        <w:br w:type="page"/>
      </w:r>
    </w:p>
    <w:p w14:paraId="2FA8B75E" w14:textId="77777777" w:rsidR="004A0742" w:rsidRPr="00380B40" w:rsidRDefault="004A0742" w:rsidP="004A0742">
      <w:pPr>
        <w:tabs>
          <w:tab w:val="clear" w:pos="794"/>
          <w:tab w:val="clear" w:pos="1191"/>
          <w:tab w:val="clear" w:pos="1588"/>
          <w:tab w:val="clear" w:pos="1985"/>
          <w:tab w:val="left" w:pos="851"/>
          <w:tab w:val="left" w:pos="1871"/>
          <w:tab w:val="left" w:pos="2268"/>
        </w:tabs>
        <w:rPr>
          <w:lang w:val="en-GB"/>
        </w:rPr>
      </w:pPr>
      <w:r w:rsidRPr="00380B40">
        <w:rPr>
          <w:lang w:val="en-GB"/>
        </w:rPr>
        <w:t>3</w:t>
      </w:r>
      <w:r w:rsidRPr="00380B40">
        <w:rPr>
          <w:lang w:val="en-GB"/>
        </w:rPr>
        <w:tab/>
        <w:t>to consider, whenever possible, holding workshops concurrently with the meetings of their respective regional groups of ITU</w:t>
      </w:r>
      <w:r w:rsidRPr="00380B40">
        <w:rPr>
          <w:lang w:val="en-GB"/>
        </w:rPr>
        <w:noBreakHyphen/>
        <w:t>T study groups, or organizing other workshops or events in coordination and collaboration with the Director of BDT and ITU regional offices alongside these meetings;</w:t>
      </w:r>
    </w:p>
    <w:p w14:paraId="768F52A2" w14:textId="77777777" w:rsidR="004A0742" w:rsidRPr="00380B40" w:rsidRDefault="004A0742" w:rsidP="004A0742">
      <w:pPr>
        <w:tabs>
          <w:tab w:val="clear" w:pos="794"/>
          <w:tab w:val="clear" w:pos="1191"/>
          <w:tab w:val="clear" w:pos="1588"/>
          <w:tab w:val="clear" w:pos="1985"/>
          <w:tab w:val="left" w:pos="851"/>
          <w:tab w:val="left" w:pos="1871"/>
          <w:tab w:val="left" w:pos="2268"/>
        </w:tabs>
        <w:rPr>
          <w:lang w:val="en-GB"/>
        </w:rPr>
      </w:pPr>
      <w:r w:rsidRPr="00380B40">
        <w:rPr>
          <w:lang w:val="en-GB"/>
        </w:rPr>
        <w:t>4</w:t>
      </w:r>
      <w:r w:rsidRPr="00380B40">
        <w:rPr>
          <w:lang w:val="en-GB"/>
        </w:rPr>
        <w:tab/>
        <w:t>to assist developing countries with their studies, particularly in respect of their priority questions and towards developing and implementing ITU-T Recommendations;</w:t>
      </w:r>
    </w:p>
    <w:p w14:paraId="7362079C" w14:textId="77777777" w:rsidR="004A0742" w:rsidRPr="00380B40" w:rsidRDefault="004A0742" w:rsidP="004A0742">
      <w:pPr>
        <w:tabs>
          <w:tab w:val="clear" w:pos="794"/>
          <w:tab w:val="clear" w:pos="1191"/>
          <w:tab w:val="clear" w:pos="1588"/>
          <w:tab w:val="clear" w:pos="1985"/>
          <w:tab w:val="left" w:pos="851"/>
          <w:tab w:val="left" w:pos="1871"/>
          <w:tab w:val="left" w:pos="2268"/>
        </w:tabs>
        <w:rPr>
          <w:lang w:val="en-GB"/>
        </w:rPr>
      </w:pPr>
      <w:r w:rsidRPr="00380B40">
        <w:rPr>
          <w:lang w:val="en-GB"/>
        </w:rPr>
        <w:t>5</w:t>
      </w:r>
      <w:r w:rsidRPr="00380B40">
        <w:rPr>
          <w:lang w:val="en-GB"/>
        </w:rPr>
        <w:tab/>
        <w:t>to continue the activities of the implementation group established within TSB to organize work, mobilize resources, coordinate efforts and monitor work related to this resolution and the associated action plan;</w:t>
      </w:r>
    </w:p>
    <w:p w14:paraId="12CAE821" w14:textId="77777777" w:rsidR="004A0742" w:rsidRPr="00380B40" w:rsidRDefault="004A0742" w:rsidP="004A0742">
      <w:pPr>
        <w:rPr>
          <w:lang w:val="en-GB"/>
        </w:rPr>
      </w:pPr>
      <w:r w:rsidRPr="00380B40">
        <w:rPr>
          <w:lang w:val="en-GB"/>
        </w:rPr>
        <w:t>6</w:t>
      </w:r>
      <w:r w:rsidRPr="00380B40">
        <w:rPr>
          <w:lang w:val="en-GB"/>
        </w:rPr>
        <w:tab/>
        <w:t>to continue to carry out the necessary studies on the role of innovation management and innovation stimulation programmes on bridging the standardization gap between the developed and developing countries;</w:t>
      </w:r>
    </w:p>
    <w:p w14:paraId="0D380897" w14:textId="77777777" w:rsidR="004A0742" w:rsidRPr="00380B40" w:rsidRDefault="004A0742" w:rsidP="004A0742">
      <w:pPr>
        <w:rPr>
          <w:lang w:val="en-GB"/>
        </w:rPr>
      </w:pPr>
      <w:r w:rsidRPr="00380B40">
        <w:rPr>
          <w:lang w:val="en-GB"/>
        </w:rPr>
        <w:t>7</w:t>
      </w:r>
      <w:r w:rsidRPr="00380B40">
        <w:rPr>
          <w:lang w:val="en-GB"/>
        </w:rPr>
        <w:tab/>
        <w:t>to include in the TSB budget proposal to the Council funds identified for the implementation of this resolution, taking into account financial constraints and existing and planned BDT activities;</w:t>
      </w:r>
    </w:p>
    <w:p w14:paraId="39AE5116" w14:textId="77777777" w:rsidR="004A0742" w:rsidRPr="00380B40" w:rsidRDefault="004A0742" w:rsidP="004A0742">
      <w:pPr>
        <w:rPr>
          <w:lang w:val="en-GB"/>
        </w:rPr>
      </w:pPr>
      <w:r w:rsidRPr="00380B40">
        <w:rPr>
          <w:lang w:val="en-GB"/>
        </w:rPr>
        <w:t>8</w:t>
      </w:r>
      <w:r w:rsidRPr="00380B40">
        <w:rPr>
          <w:lang w:val="en-GB"/>
        </w:rPr>
        <w:tab/>
        <w:t>to report on the implementation of this plan to future world telecommunication standardization assemblies and plenipotentiary conferences, with a view to reviewing this resolution and introducing the appropriate amendments in the light of implementation outcomes, as well as the budgetary adjustments needed;</w:t>
      </w:r>
    </w:p>
    <w:p w14:paraId="6F6996BA" w14:textId="77777777" w:rsidR="004A0742" w:rsidRPr="00380B40" w:rsidRDefault="004A0742" w:rsidP="004A0742">
      <w:pPr>
        <w:rPr>
          <w:lang w:val="en-GB"/>
        </w:rPr>
      </w:pPr>
      <w:r w:rsidRPr="00380B40">
        <w:rPr>
          <w:lang w:val="en-GB"/>
        </w:rPr>
        <w:t>9</w:t>
      </w:r>
      <w:r w:rsidRPr="00380B40">
        <w:rPr>
          <w:lang w:val="en-GB"/>
        </w:rPr>
        <w:tab/>
        <w:t>to provide support and assistance to developing countries, if requested, in drafting/developing a set of guidelines on the application of ITU</w:t>
      </w:r>
      <w:r w:rsidRPr="00380B40">
        <w:rPr>
          <w:lang w:val="en-GB"/>
        </w:rPr>
        <w:noBreakHyphen/>
        <w:t>T Recommendations at the national level in order to enhance their participation in ITU</w:t>
      </w:r>
      <w:r w:rsidRPr="00380B40">
        <w:rPr>
          <w:lang w:val="en-GB"/>
        </w:rPr>
        <w:noBreakHyphen/>
        <w:t>T study groups, with the assistance of the ITU regional offices, for bridging the standardization gap;</w:t>
      </w:r>
    </w:p>
    <w:p w14:paraId="40C84053" w14:textId="77777777" w:rsidR="004A0742" w:rsidRPr="00380B40" w:rsidRDefault="004A0742" w:rsidP="004A0742">
      <w:pPr>
        <w:rPr>
          <w:lang w:val="en-GB"/>
        </w:rPr>
      </w:pPr>
      <w:r w:rsidRPr="00380B40">
        <w:rPr>
          <w:lang w:val="en-GB"/>
        </w:rPr>
        <w:t>10</w:t>
      </w:r>
      <w:r w:rsidRPr="00380B40">
        <w:rPr>
          <w:lang w:val="en-GB"/>
        </w:rPr>
        <w:tab/>
        <w:t>to enhance the use of electronic channels such as webinars or e</w:t>
      </w:r>
      <w:r w:rsidRPr="00380B40">
        <w:rPr>
          <w:lang w:val="en-GB"/>
        </w:rPr>
        <w:noBreakHyphen/>
        <w:t>learning for education and training on the implementation of ITU</w:t>
      </w:r>
      <w:r w:rsidRPr="00380B40">
        <w:rPr>
          <w:lang w:val="en-GB"/>
        </w:rPr>
        <w:noBreakHyphen/>
        <w:t>T Recommendations, in close collaboration with the ITU Academy and other capacity-building initiatives of BDT;</w:t>
      </w:r>
    </w:p>
    <w:p w14:paraId="5D589993" w14:textId="77777777" w:rsidR="004A0742" w:rsidRPr="00380B40" w:rsidRDefault="004A0742" w:rsidP="004A0742">
      <w:pPr>
        <w:rPr>
          <w:lang w:val="en-GB"/>
        </w:rPr>
      </w:pPr>
      <w:r w:rsidRPr="00380B40">
        <w:rPr>
          <w:lang w:val="en-GB"/>
        </w:rPr>
        <w:t>11</w:t>
      </w:r>
      <w:r w:rsidRPr="00380B40">
        <w:rPr>
          <w:lang w:val="en-GB"/>
        </w:rPr>
        <w:tab/>
        <w:t>to provide all necessary support and take all necessary measures for creating and ensuring the smooth functioning of the regional groups, and to facilitate the organization of regional group meetings and workshops for disseminating information and increasing understanding of new Recommendations, in particular for developing countries;</w:t>
      </w:r>
    </w:p>
    <w:p w14:paraId="2B088C0C" w14:textId="77777777" w:rsidR="004A0742" w:rsidRPr="00380B40" w:rsidRDefault="004A0742" w:rsidP="004A0742">
      <w:pPr>
        <w:rPr>
          <w:lang w:val="en-GB"/>
        </w:rPr>
      </w:pPr>
      <w:r w:rsidRPr="00380B40">
        <w:rPr>
          <w:lang w:val="en-GB"/>
        </w:rPr>
        <w:t>12</w:t>
      </w:r>
      <w:r w:rsidRPr="00380B40">
        <w:rPr>
          <w:lang w:val="en-GB"/>
        </w:rPr>
        <w:tab/>
        <w:t>to report to the Council on the effectiveness of the regional groups of ITU-T study groups;</w:t>
      </w:r>
    </w:p>
    <w:p w14:paraId="01F17491" w14:textId="77777777" w:rsidR="004A0742" w:rsidRPr="00380B40" w:rsidRDefault="004A0742" w:rsidP="004A0742">
      <w:pPr>
        <w:rPr>
          <w:lang w:val="en-GB"/>
        </w:rPr>
      </w:pPr>
      <w:r w:rsidRPr="00380B40">
        <w:rPr>
          <w:lang w:val="en-GB"/>
        </w:rPr>
        <w:t>13</w:t>
      </w:r>
      <w:r w:rsidRPr="00380B40">
        <w:rPr>
          <w:lang w:val="en-GB"/>
        </w:rPr>
        <w:tab/>
        <w:t>to conduct workshops and seminars, as appropriate, for disseminating information and increasing understanding of new ITU-T Recommendations and implementation guidelines for Recommendations, in particular for developing countries;</w:t>
      </w:r>
    </w:p>
    <w:p w14:paraId="271187BD" w14:textId="77777777" w:rsidR="004A0742" w:rsidRPr="00380B40" w:rsidRDefault="004A0742" w:rsidP="004A0742">
      <w:pPr>
        <w:rPr>
          <w:lang w:val="en-GB"/>
        </w:rPr>
      </w:pPr>
      <w:r w:rsidRPr="00380B40">
        <w:rPr>
          <w:lang w:val="en-GB"/>
        </w:rPr>
        <w:t>14</w:t>
      </w:r>
      <w:r w:rsidRPr="00380B40">
        <w:rPr>
          <w:lang w:val="en-GB"/>
        </w:rPr>
        <w:tab/>
        <w:t>to ensure equal access to the ITU electronic meetings to the maximum extent possible and to provide remote participation, where possible, for more ITU</w:t>
      </w:r>
      <w:r w:rsidRPr="00380B40">
        <w:rPr>
          <w:lang w:val="en-GB"/>
        </w:rPr>
        <w:noBreakHyphen/>
        <w:t>T workshops, seminars and forums, encouraging greater participation by developing countries;</w:t>
      </w:r>
    </w:p>
    <w:p w14:paraId="669125D1" w14:textId="77777777" w:rsidR="004A0742" w:rsidRPr="00380B40" w:rsidRDefault="004A0742" w:rsidP="004A0742">
      <w:pPr>
        <w:rPr>
          <w:lang w:val="en-GB"/>
        </w:rPr>
      </w:pPr>
      <w:r w:rsidRPr="00380B40">
        <w:rPr>
          <w:lang w:val="en-GB"/>
        </w:rPr>
        <w:t>15</w:t>
      </w:r>
      <w:r w:rsidRPr="00380B40">
        <w:rPr>
          <w:lang w:val="en-GB"/>
        </w:rPr>
        <w:tab/>
        <w:t>to leverage existing ITU</w:t>
      </w:r>
      <w:r w:rsidRPr="00380B40">
        <w:rPr>
          <w:lang w:val="en-GB"/>
        </w:rPr>
        <w:noBreakHyphen/>
        <w:t>D tools in order for developing countries to have greater involvement in ITU</w:t>
      </w:r>
      <w:r w:rsidRPr="00380B40">
        <w:rPr>
          <w:lang w:val="en-GB"/>
        </w:rPr>
        <w:noBreakHyphen/>
        <w:t>T's standardization work;</w:t>
      </w:r>
    </w:p>
    <w:p w14:paraId="6964B0B2" w14:textId="77777777" w:rsidR="00EF1027" w:rsidRPr="00380B40" w:rsidRDefault="00EF1027" w:rsidP="004A0742">
      <w:pPr>
        <w:rPr>
          <w:lang w:val="en-GB"/>
        </w:rPr>
      </w:pPr>
      <w:r w:rsidRPr="00380B40">
        <w:rPr>
          <w:lang w:val="en-GB"/>
        </w:rPr>
        <w:br w:type="page"/>
      </w:r>
    </w:p>
    <w:p w14:paraId="56DB7A79" w14:textId="77777777" w:rsidR="004A0742" w:rsidRPr="00380B40" w:rsidRDefault="004A0742" w:rsidP="004A0742">
      <w:pPr>
        <w:rPr>
          <w:lang w:val="en-GB"/>
        </w:rPr>
      </w:pPr>
      <w:r w:rsidRPr="00380B40">
        <w:rPr>
          <w:lang w:val="en-GB"/>
        </w:rPr>
        <w:t>16</w:t>
      </w:r>
      <w:r w:rsidRPr="00380B40">
        <w:rPr>
          <w:lang w:val="en-GB"/>
        </w:rPr>
        <w:tab/>
        <w:t>to study the possibility of generating additional revenue for ITU</w:t>
      </w:r>
      <w:r w:rsidRPr="00380B40">
        <w:rPr>
          <w:lang w:val="en-GB"/>
        </w:rPr>
        <w:noBreakHyphen/>
        <w:t>T activities on bridging the standardization gap, through identifying new financial resources not related to the voluntary contributions mentioned above,</w:t>
      </w:r>
    </w:p>
    <w:p w14:paraId="3CF65DAE" w14:textId="77777777" w:rsidR="004A0742" w:rsidRPr="00380B40" w:rsidRDefault="004A0742" w:rsidP="004A0742">
      <w:pPr>
        <w:pStyle w:val="Call"/>
        <w:rPr>
          <w:lang w:val="en-GB"/>
        </w:rPr>
      </w:pPr>
      <w:r w:rsidRPr="00380B40">
        <w:rPr>
          <w:lang w:val="en-GB"/>
        </w:rPr>
        <w:t>instructs study groups of the ITU Telecommunication Standardization Sector and the Telecommunication Standardization Advisory Group</w:t>
      </w:r>
    </w:p>
    <w:p w14:paraId="5274C15D" w14:textId="77777777" w:rsidR="004A0742" w:rsidRPr="00380B40" w:rsidRDefault="004A0742" w:rsidP="004A0742">
      <w:pPr>
        <w:rPr>
          <w:lang w:val="en-GB"/>
        </w:rPr>
      </w:pPr>
      <w:r w:rsidRPr="00380B40">
        <w:rPr>
          <w:lang w:val="en-GB"/>
        </w:rPr>
        <w:t>1</w:t>
      </w:r>
      <w:r w:rsidRPr="00380B40">
        <w:rPr>
          <w:lang w:val="en-GB"/>
        </w:rPr>
        <w:tab/>
        <w:t>to be actively involved in the implementation of the programmes set forth in the action plan annexed to this resolution;</w:t>
      </w:r>
    </w:p>
    <w:p w14:paraId="642AEEDD" w14:textId="77777777" w:rsidR="004A0742" w:rsidRPr="00380B40" w:rsidRDefault="004A0742" w:rsidP="004A0742">
      <w:pPr>
        <w:rPr>
          <w:lang w:val="en-GB"/>
        </w:rPr>
      </w:pPr>
      <w:r w:rsidRPr="00380B40">
        <w:rPr>
          <w:lang w:val="en-GB"/>
        </w:rPr>
        <w:t>2</w:t>
      </w:r>
      <w:r w:rsidRPr="00380B40">
        <w:rPr>
          <w:lang w:val="en-GB"/>
        </w:rPr>
        <w:tab/>
        <w:t>to consider including implementation guidelines for ITU</w:t>
      </w:r>
      <w:r w:rsidRPr="00380B40">
        <w:rPr>
          <w:lang w:val="en-GB"/>
        </w:rPr>
        <w:noBreakHyphen/>
        <w:t>T Recommendations where these could provide advice to assist developing countries in adopting them, with emphasis on Recommendations having regulatory and policy implications;</w:t>
      </w:r>
    </w:p>
    <w:p w14:paraId="5E1A8B92" w14:textId="77777777" w:rsidR="004A0742" w:rsidRPr="00380B40" w:rsidRDefault="004A0742" w:rsidP="004A0742">
      <w:pPr>
        <w:rPr>
          <w:lang w:val="en-GB"/>
        </w:rPr>
      </w:pPr>
      <w:r w:rsidRPr="00380B40">
        <w:rPr>
          <w:lang w:val="en-GB"/>
        </w:rPr>
        <w:t>3</w:t>
      </w:r>
      <w:r w:rsidRPr="00380B40">
        <w:rPr>
          <w:lang w:val="en-GB"/>
        </w:rPr>
        <w:tab/>
        <w:t>to coordinate joint meetings of regional groups of ITU</w:t>
      </w:r>
      <w:r w:rsidRPr="00380B40">
        <w:rPr>
          <w:lang w:val="en-GB"/>
        </w:rPr>
        <w:noBreakHyphen/>
        <w:t>T study groups,</w:t>
      </w:r>
    </w:p>
    <w:p w14:paraId="3B694079" w14:textId="77777777" w:rsidR="004A0742" w:rsidRPr="00380B40" w:rsidRDefault="004A0742" w:rsidP="004A0742">
      <w:pPr>
        <w:pStyle w:val="Call"/>
        <w:rPr>
          <w:lang w:val="en-GB"/>
        </w:rPr>
      </w:pPr>
      <w:r w:rsidRPr="00380B40">
        <w:rPr>
          <w:lang w:val="en-GB"/>
        </w:rPr>
        <w:t>further instructs the study groups</w:t>
      </w:r>
    </w:p>
    <w:p w14:paraId="4FDB3307" w14:textId="77777777" w:rsidR="004A0742" w:rsidRPr="00380B40" w:rsidRDefault="004A0742" w:rsidP="004A0742">
      <w:pPr>
        <w:rPr>
          <w:lang w:val="en-GB"/>
        </w:rPr>
      </w:pPr>
      <w:r w:rsidRPr="00380B40">
        <w:rPr>
          <w:lang w:val="en-GB"/>
        </w:rPr>
        <w:t>1</w:t>
      </w:r>
      <w:r w:rsidRPr="00380B40">
        <w:rPr>
          <w:lang w:val="en-GB"/>
        </w:rPr>
        <w:tab/>
        <w:t>to take account of the specific characteristics of the telecommunication/ICT environment of the developing countries in establishing standards in the fields of planning, services, systems, operation, tariffs and maintenance, and to provide solutions relevant to developing countries wherever possible;</w:t>
      </w:r>
    </w:p>
    <w:p w14:paraId="274181EA" w14:textId="77777777" w:rsidR="004A0742" w:rsidRPr="00380B40" w:rsidRDefault="004A0742" w:rsidP="004A0742">
      <w:pPr>
        <w:rPr>
          <w:lang w:val="en-GB"/>
        </w:rPr>
      </w:pPr>
      <w:r w:rsidRPr="00380B40">
        <w:rPr>
          <w:lang w:val="en-GB"/>
        </w:rPr>
        <w:t>2</w:t>
      </w:r>
      <w:r w:rsidRPr="00380B40">
        <w:rPr>
          <w:lang w:val="en-GB"/>
        </w:rPr>
        <w:tab/>
        <w:t>to take appropriate steps to have studies carried out on questions connected with standardization which are identified by world telecommunication development conferences or which are identified via specific studies or surveys targeting developing countries carried out by other ITU-T study groups;</w:t>
      </w:r>
    </w:p>
    <w:p w14:paraId="1721B6D7" w14:textId="77777777" w:rsidR="004A0742" w:rsidRPr="00380B40" w:rsidRDefault="004A0742" w:rsidP="004A0742">
      <w:pPr>
        <w:rPr>
          <w:lang w:val="en-GB"/>
        </w:rPr>
      </w:pPr>
      <w:r w:rsidRPr="00380B40">
        <w:rPr>
          <w:lang w:val="en-GB"/>
        </w:rPr>
        <w:t>3</w:t>
      </w:r>
      <w:r w:rsidRPr="00380B40">
        <w:rPr>
          <w:lang w:val="en-GB"/>
        </w:rPr>
        <w:tab/>
        <w:t>to continue liaising with ITU</w:t>
      </w:r>
      <w:r w:rsidRPr="00380B40">
        <w:rPr>
          <w:lang w:val="en-GB"/>
        </w:rPr>
        <w:noBreakHyphen/>
        <w:t>D study groups, where appropriate, when developing new or revised ITU</w:t>
      </w:r>
      <w:r w:rsidRPr="00380B40">
        <w:rPr>
          <w:lang w:val="en-GB"/>
        </w:rPr>
        <w:noBreakHyphen/>
        <w:t>T Recommendations, on the specific needs and requirements of developing countries, in order to broaden the appeal and applicability of the Recommendations in those countries;</w:t>
      </w:r>
    </w:p>
    <w:p w14:paraId="03701EDD" w14:textId="77777777" w:rsidR="004A0742" w:rsidRPr="00380B40" w:rsidRDefault="004A0742" w:rsidP="004A0742">
      <w:pPr>
        <w:rPr>
          <w:lang w:val="en-GB"/>
        </w:rPr>
      </w:pPr>
      <w:r w:rsidRPr="00380B40">
        <w:rPr>
          <w:lang w:val="en-GB"/>
        </w:rPr>
        <w:t>4</w:t>
      </w:r>
      <w:r w:rsidRPr="00380B40">
        <w:rPr>
          <w:lang w:val="en-GB"/>
        </w:rPr>
        <w:tab/>
        <w:t>to identify the challenges that developing countries are facing with a view to bridging the standardization gap among Member States,</w:t>
      </w:r>
    </w:p>
    <w:p w14:paraId="7F5CC612" w14:textId="77777777" w:rsidR="004A0742" w:rsidRPr="00380B40" w:rsidRDefault="004A0742" w:rsidP="004A0742">
      <w:pPr>
        <w:pStyle w:val="Call"/>
        <w:rPr>
          <w:lang w:val="en-GB"/>
        </w:rPr>
      </w:pPr>
      <w:r w:rsidRPr="00380B40">
        <w:rPr>
          <w:lang w:val="en-GB"/>
        </w:rPr>
        <w:t xml:space="preserve">invites the Director of the Telecommunication Standardization Bureau </w:t>
      </w:r>
    </w:p>
    <w:p w14:paraId="25278CD0" w14:textId="77777777" w:rsidR="004A0742" w:rsidRPr="00380B40" w:rsidRDefault="004A0742" w:rsidP="004A0742">
      <w:pPr>
        <w:rPr>
          <w:lang w:val="en-GB"/>
        </w:rPr>
      </w:pPr>
      <w:r w:rsidRPr="00380B40">
        <w:rPr>
          <w:lang w:val="en-GB"/>
        </w:rPr>
        <w:t>1</w:t>
      </w:r>
      <w:r w:rsidRPr="00380B40">
        <w:rPr>
          <w:lang w:val="en-GB"/>
        </w:rPr>
        <w:tab/>
        <w:t>to work closely with the Directors of BDT and the Radiocommunication Bureau (BR) in order to encourage the formation of partnerships under the patronage of ITU</w:t>
      </w:r>
      <w:r w:rsidRPr="00380B40">
        <w:rPr>
          <w:lang w:val="en-GB"/>
        </w:rPr>
        <w:noBreakHyphen/>
        <w:t>T as one of the means for financing the action plan;</w:t>
      </w:r>
    </w:p>
    <w:p w14:paraId="7951CD2B" w14:textId="77777777" w:rsidR="004A0742" w:rsidRPr="00380B40" w:rsidRDefault="004A0742" w:rsidP="004A0742">
      <w:pPr>
        <w:rPr>
          <w:lang w:val="en-GB"/>
        </w:rPr>
      </w:pPr>
      <w:r w:rsidRPr="00380B40">
        <w:rPr>
          <w:lang w:val="en-GB"/>
        </w:rPr>
        <w:t>2</w:t>
      </w:r>
      <w:r w:rsidRPr="00380B40">
        <w:rPr>
          <w:lang w:val="en-GB"/>
        </w:rPr>
        <w:tab/>
        <w:t>to encourage Sector Members from the developed countries to promote the participation in ITU-T activities of their subsidiaries based in developing countries;</w:t>
      </w:r>
    </w:p>
    <w:p w14:paraId="5238E102" w14:textId="77777777" w:rsidR="004A0742" w:rsidRPr="00380B40" w:rsidRDefault="004A0742" w:rsidP="004A0742">
      <w:pPr>
        <w:rPr>
          <w:lang w:val="en-GB"/>
        </w:rPr>
      </w:pPr>
      <w:r w:rsidRPr="00380B40">
        <w:rPr>
          <w:lang w:val="en-GB"/>
        </w:rPr>
        <w:t>3</w:t>
      </w:r>
      <w:r w:rsidRPr="00380B40">
        <w:rPr>
          <w:lang w:val="en-GB"/>
        </w:rPr>
        <w:tab/>
        <w:t>to develop mechanisms to support the effective participation by members, including telecommunication operators, from developing countries in standardization activities;</w:t>
      </w:r>
    </w:p>
    <w:p w14:paraId="6B1CE343" w14:textId="77777777" w:rsidR="004A0742" w:rsidRPr="00380B40" w:rsidRDefault="004A0742" w:rsidP="004A0742">
      <w:pPr>
        <w:rPr>
          <w:lang w:val="en-GB"/>
        </w:rPr>
      </w:pPr>
      <w:r w:rsidRPr="00380B40">
        <w:rPr>
          <w:lang w:val="en-GB"/>
        </w:rPr>
        <w:t>4</w:t>
      </w:r>
      <w:r w:rsidRPr="00380B40">
        <w:rPr>
          <w:lang w:val="en-GB"/>
        </w:rPr>
        <w:tab/>
        <w:t>to consider, whenever possible, holding meetings of ITU-T study groups in developing countries,</w:t>
      </w:r>
    </w:p>
    <w:p w14:paraId="4E4783DD" w14:textId="77777777" w:rsidR="0090426B" w:rsidRPr="00380B40" w:rsidRDefault="0090426B" w:rsidP="004A0742">
      <w:pPr>
        <w:pStyle w:val="Call"/>
        <w:rPr>
          <w:lang w:val="en-GB"/>
        </w:rPr>
      </w:pPr>
      <w:r w:rsidRPr="00380B40">
        <w:rPr>
          <w:lang w:val="en-GB"/>
        </w:rPr>
        <w:br w:type="page"/>
      </w:r>
    </w:p>
    <w:p w14:paraId="289A9F4F" w14:textId="77777777" w:rsidR="004A0742" w:rsidRPr="00380B40" w:rsidRDefault="004A0742" w:rsidP="004A0742">
      <w:pPr>
        <w:pStyle w:val="Call"/>
        <w:rPr>
          <w:lang w:val="en-GB"/>
        </w:rPr>
      </w:pPr>
      <w:r w:rsidRPr="00380B40">
        <w:rPr>
          <w:lang w:val="en-GB"/>
        </w:rPr>
        <w:t>invites regions and their Member States</w:t>
      </w:r>
    </w:p>
    <w:p w14:paraId="4EDE745D" w14:textId="77777777" w:rsidR="004A0742" w:rsidRPr="00380B40" w:rsidRDefault="004A0742" w:rsidP="004A0742">
      <w:pPr>
        <w:rPr>
          <w:lang w:val="en-GB"/>
        </w:rPr>
      </w:pPr>
      <w:r w:rsidRPr="00380B40">
        <w:rPr>
          <w:lang w:val="en-GB"/>
        </w:rPr>
        <w:t>1</w:t>
      </w:r>
      <w:r w:rsidRPr="00380B40">
        <w:rPr>
          <w:lang w:val="en-GB"/>
        </w:rPr>
        <w:tab/>
        <w:t>to pursue, if necessary, the creation of regional groups of ITU</w:t>
      </w:r>
      <w:r w:rsidRPr="00380B40">
        <w:rPr>
          <w:lang w:val="en-GB"/>
        </w:rPr>
        <w:noBreakHyphen/>
        <w:t>T study groups in in accordance with Resolution 54 (Rev. Geneva, 2022);</w:t>
      </w:r>
    </w:p>
    <w:p w14:paraId="4722E562" w14:textId="77777777" w:rsidR="004A0742" w:rsidRPr="00380B40" w:rsidRDefault="004A0742" w:rsidP="004A0742">
      <w:pPr>
        <w:rPr>
          <w:lang w:val="en-GB"/>
        </w:rPr>
      </w:pPr>
      <w:r w:rsidRPr="00380B40">
        <w:rPr>
          <w:lang w:val="en-GB"/>
        </w:rPr>
        <w:t>2</w:t>
      </w:r>
      <w:r w:rsidRPr="00380B40">
        <w:rPr>
          <w:lang w:val="en-GB"/>
        </w:rPr>
        <w:tab/>
        <w:t>to take an active part in the activities of the regional groups of ITU-T study groups and support regional telecommunication organizations in setting up regional frameworks for the development of standardization activities;</w:t>
      </w:r>
    </w:p>
    <w:p w14:paraId="20C6B306" w14:textId="77777777" w:rsidR="004A0742" w:rsidRPr="00380B40" w:rsidRDefault="004A0742" w:rsidP="004A0742">
      <w:pPr>
        <w:rPr>
          <w:lang w:val="en-GB"/>
        </w:rPr>
      </w:pPr>
      <w:r w:rsidRPr="00380B40">
        <w:rPr>
          <w:lang w:val="en-GB"/>
        </w:rPr>
        <w:t>3</w:t>
      </w:r>
      <w:r w:rsidRPr="00380B40">
        <w:rPr>
          <w:lang w:val="en-GB"/>
        </w:rPr>
        <w:tab/>
        <w:t>to create regional standardization bodies, as appropriate, and encourage joint and coordinated meetings of such bodies with the regional groups of the ITU</w:t>
      </w:r>
      <w:r w:rsidRPr="00380B40">
        <w:rPr>
          <w:lang w:val="en-GB"/>
        </w:rPr>
        <w:noBreakHyphen/>
        <w:t>T study groups in the respective regions, so that these standardization bodies act as an umbrella for such regional group meetings;</w:t>
      </w:r>
    </w:p>
    <w:p w14:paraId="01CEBF88" w14:textId="77777777" w:rsidR="004A0742" w:rsidRPr="00380B40" w:rsidRDefault="004A0742" w:rsidP="004A0742">
      <w:pPr>
        <w:rPr>
          <w:lang w:val="en-GB"/>
        </w:rPr>
      </w:pPr>
      <w:r w:rsidRPr="00380B40">
        <w:rPr>
          <w:lang w:val="en-GB"/>
        </w:rPr>
        <w:t>4</w:t>
      </w:r>
      <w:r w:rsidRPr="00380B40">
        <w:rPr>
          <w:lang w:val="en-GB"/>
        </w:rPr>
        <w:tab/>
        <w:t>to develop draft terms of reference and working methods for regional groups, for approval by the parent study group;</w:t>
      </w:r>
    </w:p>
    <w:p w14:paraId="7396696B" w14:textId="77777777" w:rsidR="004A0742" w:rsidRPr="00380B40" w:rsidRDefault="004A0742" w:rsidP="004A0742">
      <w:pPr>
        <w:rPr>
          <w:lang w:val="en-GB"/>
        </w:rPr>
      </w:pPr>
      <w:r w:rsidRPr="00380B40">
        <w:rPr>
          <w:lang w:val="en-GB"/>
        </w:rPr>
        <w:t>5</w:t>
      </w:r>
      <w:r w:rsidRPr="00380B40">
        <w:rPr>
          <w:lang w:val="en-GB"/>
        </w:rPr>
        <w:tab/>
        <w:t>to share information on utilizing ITU</w:t>
      </w:r>
      <w:r w:rsidRPr="00380B40">
        <w:rPr>
          <w:lang w:val="en-GB"/>
        </w:rPr>
        <w:noBreakHyphen/>
        <w:t>T Recommendations;</w:t>
      </w:r>
    </w:p>
    <w:p w14:paraId="6C5723BC" w14:textId="77777777" w:rsidR="004A0742" w:rsidRPr="00380B40" w:rsidRDefault="004A0742" w:rsidP="004A0742">
      <w:pPr>
        <w:rPr>
          <w:lang w:val="en-GB"/>
        </w:rPr>
      </w:pPr>
      <w:r w:rsidRPr="00380B40">
        <w:rPr>
          <w:lang w:val="en-GB"/>
        </w:rPr>
        <w:t>6</w:t>
      </w:r>
      <w:r w:rsidRPr="00380B40">
        <w:rPr>
          <w:lang w:val="en-GB"/>
        </w:rPr>
        <w:tab/>
        <w:t>to encourage the participation of their Sector Members and Associates, especially industry from developing countries, in ITU-T activities;</w:t>
      </w:r>
    </w:p>
    <w:p w14:paraId="6602C96C" w14:textId="77777777" w:rsidR="004A0742" w:rsidRPr="00380B40" w:rsidRDefault="004A0742" w:rsidP="004A0742">
      <w:pPr>
        <w:rPr>
          <w:lang w:val="en-GB"/>
        </w:rPr>
      </w:pPr>
      <w:r w:rsidRPr="00380B40">
        <w:rPr>
          <w:lang w:val="en-GB"/>
        </w:rPr>
        <w:t>7</w:t>
      </w:r>
      <w:r w:rsidRPr="00380B40">
        <w:rPr>
          <w:lang w:val="en-GB"/>
        </w:rPr>
        <w:tab/>
        <w:t>to host regional group and study group meetings and other ITU-T events in particular in developing countries,</w:t>
      </w:r>
    </w:p>
    <w:p w14:paraId="13F62441" w14:textId="77777777" w:rsidR="004A0742" w:rsidRPr="00380B40" w:rsidRDefault="004A0742" w:rsidP="004A0742">
      <w:pPr>
        <w:pStyle w:val="Call"/>
        <w:rPr>
          <w:lang w:val="en-GB"/>
        </w:rPr>
      </w:pPr>
      <w:r w:rsidRPr="00380B40">
        <w:rPr>
          <w:lang w:val="en-GB"/>
        </w:rPr>
        <w:t>encourages Member States and Sector Members</w:t>
      </w:r>
    </w:p>
    <w:p w14:paraId="64D99A4B" w14:textId="77777777" w:rsidR="004A0742" w:rsidRPr="00380B40" w:rsidRDefault="004A0742" w:rsidP="004A0742">
      <w:pPr>
        <w:rPr>
          <w:lang w:val="en-GB"/>
        </w:rPr>
      </w:pPr>
      <w:r w:rsidRPr="00380B40">
        <w:rPr>
          <w:lang w:val="en-GB"/>
        </w:rPr>
        <w:t>1</w:t>
      </w:r>
      <w:r w:rsidRPr="00380B40">
        <w:rPr>
          <w:lang w:val="en-GB"/>
        </w:rPr>
        <w:tab/>
        <w:t>to communicate their standardization priorities via contributions and responses to ITU-T surveys;</w:t>
      </w:r>
    </w:p>
    <w:p w14:paraId="0B01106F" w14:textId="77777777" w:rsidR="004A0742" w:rsidRPr="00380B40" w:rsidRDefault="004A0742" w:rsidP="004A0742">
      <w:pPr>
        <w:rPr>
          <w:lang w:val="en-GB"/>
        </w:rPr>
      </w:pPr>
      <w:r w:rsidRPr="00380B40">
        <w:rPr>
          <w:lang w:val="en-GB"/>
        </w:rPr>
        <w:t>2</w:t>
      </w:r>
      <w:r w:rsidRPr="00380B40">
        <w:rPr>
          <w:lang w:val="en-GB"/>
        </w:rPr>
        <w:tab/>
        <w:t>to take the objectives set out in the action plan in the annex to this resolution into account in their participation in ITU</w:t>
      </w:r>
      <w:r w:rsidRPr="00380B40">
        <w:rPr>
          <w:lang w:val="en-GB"/>
        </w:rPr>
        <w:noBreakHyphen/>
        <w:t>T.</w:t>
      </w:r>
    </w:p>
    <w:p w14:paraId="42E015FE" w14:textId="77777777" w:rsidR="0090426B" w:rsidRPr="00380B40" w:rsidRDefault="0090426B" w:rsidP="004A0742">
      <w:pPr>
        <w:rPr>
          <w:lang w:val="en-GB"/>
        </w:rPr>
      </w:pPr>
    </w:p>
    <w:p w14:paraId="29B8766F" w14:textId="77777777" w:rsidR="0090426B" w:rsidRPr="00380B40" w:rsidRDefault="0090426B" w:rsidP="004A0742">
      <w:pPr>
        <w:rPr>
          <w:lang w:val="en-GB"/>
        </w:rPr>
      </w:pPr>
    </w:p>
    <w:p w14:paraId="24A44CE7" w14:textId="77777777" w:rsidR="0090426B" w:rsidRPr="00380B40" w:rsidRDefault="0090426B" w:rsidP="004A0742">
      <w:pPr>
        <w:rPr>
          <w:lang w:val="en-GB"/>
        </w:rPr>
      </w:pPr>
    </w:p>
    <w:p w14:paraId="4E2705D2" w14:textId="77777777" w:rsidR="0090426B" w:rsidRPr="00380B40" w:rsidRDefault="0090426B" w:rsidP="004A0742">
      <w:pPr>
        <w:rPr>
          <w:lang w:val="en-GB"/>
        </w:rPr>
      </w:pPr>
    </w:p>
    <w:p w14:paraId="4A172334" w14:textId="77777777" w:rsidR="0090426B" w:rsidRPr="00380B40" w:rsidRDefault="0090426B" w:rsidP="004A0742">
      <w:pPr>
        <w:rPr>
          <w:lang w:val="en-GB"/>
        </w:rPr>
      </w:pPr>
    </w:p>
    <w:p w14:paraId="74AE5A87" w14:textId="77777777" w:rsidR="0090426B" w:rsidRPr="00380B40" w:rsidRDefault="0090426B" w:rsidP="008F7A95">
      <w:pPr>
        <w:rPr>
          <w:lang w:val="en-GB"/>
        </w:rPr>
      </w:pPr>
      <w:r w:rsidRPr="00380B40">
        <w:rPr>
          <w:lang w:val="en-GB"/>
        </w:rPr>
        <w:br w:type="page"/>
      </w:r>
    </w:p>
    <w:p w14:paraId="5FD3E8AC" w14:textId="77777777" w:rsidR="004A0742" w:rsidRPr="00380B40" w:rsidRDefault="004A0742" w:rsidP="004A0742">
      <w:pPr>
        <w:pStyle w:val="AnnexNo"/>
      </w:pPr>
      <w:bookmarkStart w:id="178" w:name="_Toc111636767"/>
      <w:r w:rsidRPr="00380B40">
        <w:t>Annex</w:t>
      </w:r>
      <w:r w:rsidRPr="00380B40">
        <w:br/>
        <w:t>(</w:t>
      </w:r>
      <w:r w:rsidRPr="00380B40">
        <w:rPr>
          <w:caps w:val="0"/>
        </w:rPr>
        <w:t xml:space="preserve">to Resolution </w:t>
      </w:r>
      <w:r w:rsidRPr="00380B40">
        <w:t>44 (</w:t>
      </w:r>
      <w:r w:rsidRPr="00380B40">
        <w:rPr>
          <w:caps w:val="0"/>
        </w:rPr>
        <w:t>Rev. Geneva, 2022</w:t>
      </w:r>
      <w:r w:rsidRPr="00380B40">
        <w:t>))</w:t>
      </w:r>
      <w:bookmarkEnd w:id="178"/>
    </w:p>
    <w:p w14:paraId="5F920398" w14:textId="77777777" w:rsidR="004A0742" w:rsidRPr="00380B40" w:rsidRDefault="004A0742" w:rsidP="00BD2768">
      <w:pPr>
        <w:pStyle w:val="Annextitle"/>
      </w:pPr>
      <w:r w:rsidRPr="00380B40">
        <w:t xml:space="preserve">Action plan for the implementation of Resolution 123 (Rev. Dubai, 2018) </w:t>
      </w:r>
      <w:r w:rsidRPr="00380B40">
        <w:br/>
        <w:t>of the Plenipotentiary Conference</w:t>
      </w:r>
    </w:p>
    <w:p w14:paraId="7FA0DABF" w14:textId="77777777" w:rsidR="004A0742" w:rsidRPr="00380B40" w:rsidRDefault="004A0742" w:rsidP="004A0742">
      <w:pPr>
        <w:pStyle w:val="Heading1"/>
        <w:rPr>
          <w:lang w:val="en-GB"/>
        </w:rPr>
      </w:pPr>
      <w:bookmarkStart w:id="179" w:name="_Toc111636768"/>
      <w:r w:rsidRPr="00380B40">
        <w:rPr>
          <w:lang w:val="en-GB"/>
        </w:rPr>
        <w:t>I</w:t>
      </w:r>
      <w:r w:rsidRPr="00380B40">
        <w:rPr>
          <w:lang w:val="en-GB"/>
        </w:rPr>
        <w:tab/>
        <w:t>Programme 1: Strengthening standards-making capabilities</w:t>
      </w:r>
      <w:bookmarkEnd w:id="179"/>
    </w:p>
    <w:p w14:paraId="58F4CD3E" w14:textId="77777777" w:rsidR="004A0742" w:rsidRPr="00380B40" w:rsidRDefault="004A0742" w:rsidP="004A0742">
      <w:pPr>
        <w:rPr>
          <w:lang w:val="en-GB"/>
        </w:rPr>
      </w:pPr>
      <w:r w:rsidRPr="00380B40">
        <w:rPr>
          <w:lang w:val="en-GB"/>
        </w:rPr>
        <w:t>1)</w:t>
      </w:r>
      <w:r w:rsidRPr="00380B40">
        <w:rPr>
          <w:lang w:val="en-GB"/>
        </w:rPr>
        <w:tab/>
        <w:t>Objective</w:t>
      </w:r>
    </w:p>
    <w:p w14:paraId="4272A71A" w14:textId="77777777" w:rsidR="004A0742" w:rsidRPr="00380B40" w:rsidRDefault="004A0742" w:rsidP="004A0742">
      <w:pPr>
        <w:pStyle w:val="enumlev1"/>
        <w:rPr>
          <w:lang w:val="en-GB"/>
        </w:rPr>
      </w:pPr>
      <w:r w:rsidRPr="00380B40">
        <w:rPr>
          <w:lang w:val="en-GB"/>
        </w:rPr>
        <w:t>•</w:t>
      </w:r>
      <w:r w:rsidRPr="00380B40">
        <w:rPr>
          <w:lang w:val="en-GB"/>
        </w:rPr>
        <w:tab/>
        <w:t>To improve the standards-making capabilities of developing countries.</w:t>
      </w:r>
    </w:p>
    <w:p w14:paraId="438179A5" w14:textId="77777777" w:rsidR="004A0742" w:rsidRPr="00380B40" w:rsidRDefault="004A0742" w:rsidP="004A0742">
      <w:pPr>
        <w:rPr>
          <w:lang w:val="en-GB"/>
        </w:rPr>
      </w:pPr>
      <w:r w:rsidRPr="00380B40">
        <w:rPr>
          <w:lang w:val="en-GB"/>
        </w:rPr>
        <w:t>2)</w:t>
      </w:r>
      <w:r w:rsidRPr="00380B40">
        <w:rPr>
          <w:lang w:val="en-GB"/>
        </w:rPr>
        <w:tab/>
        <w:t>Activities</w:t>
      </w:r>
    </w:p>
    <w:p w14:paraId="592489AE" w14:textId="77777777" w:rsidR="004A0742" w:rsidRPr="00380B40" w:rsidRDefault="004A0742" w:rsidP="004A0742">
      <w:pPr>
        <w:pStyle w:val="enumlev1"/>
        <w:rPr>
          <w:lang w:val="en-GB"/>
        </w:rPr>
      </w:pPr>
      <w:r w:rsidRPr="00380B40">
        <w:rPr>
          <w:lang w:val="en-GB"/>
        </w:rPr>
        <w:t>•</w:t>
      </w:r>
      <w:r w:rsidRPr="00380B40">
        <w:rPr>
          <w:lang w:val="en-GB"/>
        </w:rPr>
        <w:tab/>
        <w:t>Developing guidelines to assist developing countries in their involvement in ITU</w:t>
      </w:r>
      <w:r w:rsidRPr="00380B40">
        <w:rPr>
          <w:lang w:val="en-GB"/>
        </w:rPr>
        <w:noBreakHyphen/>
        <w:t>T activities, covering, but not limited to, ITU</w:t>
      </w:r>
      <w:r w:rsidRPr="00380B40">
        <w:rPr>
          <w:lang w:val="en-GB"/>
        </w:rPr>
        <w:noBreakHyphen/>
        <w:t>T working methods, formulating draft Questions and making proposals.</w:t>
      </w:r>
    </w:p>
    <w:p w14:paraId="69C2B0C6" w14:textId="77777777" w:rsidR="004A0742" w:rsidRPr="00380B40" w:rsidRDefault="004A0742" w:rsidP="004A0742">
      <w:pPr>
        <w:pStyle w:val="enumlev1"/>
        <w:rPr>
          <w:lang w:val="en-GB"/>
        </w:rPr>
      </w:pPr>
      <w:r w:rsidRPr="00380B40">
        <w:rPr>
          <w:lang w:val="en-GB"/>
        </w:rPr>
        <w:t>•</w:t>
      </w:r>
      <w:r w:rsidRPr="00380B40">
        <w:rPr>
          <w:lang w:val="en-GB"/>
        </w:rPr>
        <w:tab/>
        <w:t>Creating methods to increase the access of developing countries to essential technical information in order to enhance their knowledge and capacity (i) to implement global standards, (ii) to effectively contribute to the work of ITU</w:t>
      </w:r>
      <w:r w:rsidRPr="00380B40">
        <w:rPr>
          <w:lang w:val="en-GB"/>
        </w:rPr>
        <w:noBreakHyphen/>
        <w:t>T, (iii) to include their own specificities and necessities in the global standards-making process, and (iv) to influence global standards-making discussions by having active roles in ITU</w:t>
      </w:r>
      <w:r w:rsidRPr="00380B40">
        <w:rPr>
          <w:lang w:val="en-GB"/>
        </w:rPr>
        <w:noBreakHyphen/>
        <w:t>T study groups, in close collaboration with other BDT capacity-building initiatives.</w:t>
      </w:r>
    </w:p>
    <w:p w14:paraId="6D049097" w14:textId="77777777" w:rsidR="004A0742" w:rsidRPr="00380B40" w:rsidRDefault="004A0742" w:rsidP="004A0742">
      <w:pPr>
        <w:pStyle w:val="enumlev1"/>
        <w:rPr>
          <w:lang w:val="en-GB"/>
        </w:rPr>
      </w:pPr>
      <w:r w:rsidRPr="00380B40">
        <w:rPr>
          <w:lang w:val="en-GB"/>
        </w:rPr>
        <w:t>•</w:t>
      </w:r>
      <w:r w:rsidRPr="00380B40">
        <w:rPr>
          <w:lang w:val="en-GB"/>
        </w:rPr>
        <w:tab/>
        <w:t>Improving procedures and tools for remote participation via electronic means so as to enable experts in developing countries to participate actively in ITU</w:t>
      </w:r>
      <w:r w:rsidRPr="00380B40">
        <w:rPr>
          <w:lang w:val="en-GB"/>
        </w:rPr>
        <w:noBreakHyphen/>
        <w:t>T meetings (including TSAG, study groups, focus groups, joint coordination activities, global standardization initiatives, among others), workshops and training, from their own countries.</w:t>
      </w:r>
    </w:p>
    <w:p w14:paraId="632BE9F0" w14:textId="77777777" w:rsidR="004A0742" w:rsidRPr="00380B40" w:rsidRDefault="004A0742" w:rsidP="004A0742">
      <w:pPr>
        <w:pStyle w:val="enumlev1"/>
        <w:rPr>
          <w:lang w:val="en-GB"/>
        </w:rPr>
      </w:pPr>
      <w:r w:rsidRPr="00380B40">
        <w:rPr>
          <w:lang w:val="en-GB"/>
        </w:rPr>
        <w:t>•</w:t>
      </w:r>
      <w:r w:rsidRPr="00380B40">
        <w:rPr>
          <w:lang w:val="en-GB"/>
        </w:rPr>
        <w:tab/>
        <w:t>Conducting consultancy projects designed to support developing countries in the development of standardization plans, strategies, policies, etc. The outputs should be further transformed into best practices.</w:t>
      </w:r>
    </w:p>
    <w:p w14:paraId="26BA8A69" w14:textId="77777777" w:rsidR="004A0742" w:rsidRPr="00380B40" w:rsidRDefault="004A0742" w:rsidP="004A0742">
      <w:pPr>
        <w:pStyle w:val="enumlev1"/>
        <w:rPr>
          <w:lang w:val="en-GB"/>
        </w:rPr>
      </w:pPr>
      <w:r w:rsidRPr="00380B40">
        <w:rPr>
          <w:lang w:val="en-GB"/>
        </w:rPr>
        <w:t>•</w:t>
      </w:r>
      <w:r w:rsidRPr="00380B40">
        <w:rPr>
          <w:lang w:val="en-GB"/>
        </w:rPr>
        <w:tab/>
        <w:t>Developing methods, tools and indicators for accurate measurement of the results and the level of effectiveness of the efforts and activities applied in bridging the standardization gap and providing statistics on the involvement of developing countries in the work and meetings of TSAG, ITU-T focus groups, ITU-T study groups and regional groups in addition to other ITU-T events.</w:t>
      </w:r>
    </w:p>
    <w:p w14:paraId="5D5C9909" w14:textId="77777777" w:rsidR="004A0742" w:rsidRPr="00380B40" w:rsidRDefault="004A0742" w:rsidP="004A0742">
      <w:pPr>
        <w:pStyle w:val="enumlev1"/>
        <w:rPr>
          <w:lang w:val="en-GB"/>
        </w:rPr>
      </w:pPr>
      <w:r w:rsidRPr="00380B40">
        <w:rPr>
          <w:lang w:val="en-GB"/>
        </w:rPr>
        <w:t>•</w:t>
      </w:r>
      <w:r w:rsidRPr="00380B40">
        <w:rPr>
          <w:lang w:val="en-GB"/>
        </w:rPr>
        <w:tab/>
        <w:t>Working with Sector Members, and in particular manufacturers, academia and research and development organizations, on exchanging information on new technologies and requirements of developing countries, and on providing technical assistance to encourage the establishment of standardization programmes in academia and research and development organizations in the field of ICT.</w:t>
      </w:r>
    </w:p>
    <w:p w14:paraId="4467E5A1" w14:textId="77777777" w:rsidR="0090426B" w:rsidRPr="00380B40" w:rsidRDefault="0090426B" w:rsidP="004A0742">
      <w:pPr>
        <w:pStyle w:val="enumlev1"/>
        <w:rPr>
          <w:lang w:val="en-GB"/>
        </w:rPr>
      </w:pPr>
      <w:r w:rsidRPr="00380B40">
        <w:rPr>
          <w:lang w:val="en-GB"/>
        </w:rPr>
        <w:br w:type="page"/>
      </w:r>
    </w:p>
    <w:p w14:paraId="60E138E3" w14:textId="77777777" w:rsidR="004A0742" w:rsidRPr="00380B40" w:rsidRDefault="004A0742" w:rsidP="004A0742">
      <w:pPr>
        <w:pStyle w:val="Heading1"/>
        <w:rPr>
          <w:lang w:val="en-GB"/>
        </w:rPr>
      </w:pPr>
      <w:bookmarkStart w:id="180" w:name="_Toc111636769"/>
      <w:r w:rsidRPr="00380B40">
        <w:rPr>
          <w:lang w:val="en-GB"/>
        </w:rPr>
        <w:t>II</w:t>
      </w:r>
      <w:r w:rsidRPr="00380B40">
        <w:rPr>
          <w:lang w:val="en-GB"/>
        </w:rPr>
        <w:tab/>
        <w:t>Programme 2: Assisting developing countries with respect to the application of standards</w:t>
      </w:r>
      <w:bookmarkEnd w:id="180"/>
      <w:r w:rsidRPr="00380B40">
        <w:rPr>
          <w:lang w:val="en-GB"/>
        </w:rPr>
        <w:t xml:space="preserve"> </w:t>
      </w:r>
    </w:p>
    <w:p w14:paraId="3B504FC8" w14:textId="77777777" w:rsidR="004A0742" w:rsidRPr="00380B40" w:rsidRDefault="004A0742" w:rsidP="004A0742">
      <w:pPr>
        <w:keepNext/>
        <w:rPr>
          <w:lang w:val="en-GB"/>
        </w:rPr>
      </w:pPr>
      <w:r w:rsidRPr="00380B40">
        <w:rPr>
          <w:lang w:val="en-GB"/>
        </w:rPr>
        <w:t>1)</w:t>
      </w:r>
      <w:r w:rsidRPr="00380B40">
        <w:rPr>
          <w:lang w:val="en-GB"/>
        </w:rPr>
        <w:tab/>
        <w:t>Objective</w:t>
      </w:r>
    </w:p>
    <w:p w14:paraId="1311740A" w14:textId="77777777" w:rsidR="004A0742" w:rsidRPr="00380B40" w:rsidRDefault="004A0742" w:rsidP="004A0742">
      <w:pPr>
        <w:pStyle w:val="enumlev1"/>
        <w:rPr>
          <w:lang w:val="en-GB"/>
        </w:rPr>
      </w:pPr>
      <w:r w:rsidRPr="00380B40">
        <w:rPr>
          <w:lang w:val="en-GB"/>
        </w:rPr>
        <w:t>•</w:t>
      </w:r>
      <w:r w:rsidRPr="00380B40">
        <w:rPr>
          <w:lang w:val="en-GB"/>
        </w:rPr>
        <w:tab/>
        <w:t xml:space="preserve">To assist developing countries in: </w:t>
      </w:r>
    </w:p>
    <w:p w14:paraId="1F9D68F2" w14:textId="77777777" w:rsidR="004A0742" w:rsidRPr="00380B40" w:rsidRDefault="004A0742" w:rsidP="004A0742">
      <w:pPr>
        <w:pStyle w:val="enumlev2"/>
        <w:rPr>
          <w:lang w:val="en-GB"/>
        </w:rPr>
      </w:pPr>
      <w:r w:rsidRPr="00380B40">
        <w:rPr>
          <w:lang w:val="en-GB"/>
        </w:rPr>
        <w:t>•</w:t>
      </w:r>
      <w:r w:rsidRPr="00380B40">
        <w:rPr>
          <w:lang w:val="en-GB"/>
        </w:rPr>
        <w:tab/>
        <w:t>Having a clear understanding of ITU</w:t>
      </w:r>
      <w:r w:rsidRPr="00380B40">
        <w:rPr>
          <w:lang w:val="en-GB"/>
        </w:rPr>
        <w:noBreakHyphen/>
        <w:t>T Recommendations;</w:t>
      </w:r>
    </w:p>
    <w:p w14:paraId="74CFC010" w14:textId="77777777" w:rsidR="004A0742" w:rsidRPr="00380B40" w:rsidRDefault="004A0742" w:rsidP="004A0742">
      <w:pPr>
        <w:pStyle w:val="enumlev2"/>
        <w:rPr>
          <w:lang w:val="en-GB"/>
        </w:rPr>
      </w:pPr>
      <w:r w:rsidRPr="00380B40">
        <w:rPr>
          <w:lang w:val="en-GB"/>
        </w:rPr>
        <w:t>•</w:t>
      </w:r>
      <w:r w:rsidRPr="00380B40">
        <w:rPr>
          <w:lang w:val="en-GB"/>
        </w:rPr>
        <w:tab/>
        <w:t>Enhancing the application of ITU</w:t>
      </w:r>
      <w:r w:rsidRPr="00380B40">
        <w:rPr>
          <w:lang w:val="en-GB"/>
        </w:rPr>
        <w:noBreakHyphen/>
        <w:t>T Recommendations in developing countries.</w:t>
      </w:r>
    </w:p>
    <w:p w14:paraId="61080FD6" w14:textId="77777777" w:rsidR="004A0742" w:rsidRPr="00380B40" w:rsidRDefault="004A0742" w:rsidP="004A0742">
      <w:pPr>
        <w:keepNext/>
        <w:rPr>
          <w:lang w:val="en-GB"/>
        </w:rPr>
      </w:pPr>
      <w:r w:rsidRPr="00380B40">
        <w:rPr>
          <w:lang w:val="en-GB"/>
        </w:rPr>
        <w:t>2)</w:t>
      </w:r>
      <w:r w:rsidRPr="00380B40">
        <w:rPr>
          <w:lang w:val="en-GB"/>
        </w:rPr>
        <w:tab/>
        <w:t>Activities</w:t>
      </w:r>
    </w:p>
    <w:p w14:paraId="0D545F7C" w14:textId="77777777" w:rsidR="004A0742" w:rsidRPr="00380B40" w:rsidRDefault="004A0742" w:rsidP="004A0742">
      <w:pPr>
        <w:pStyle w:val="enumlev1"/>
        <w:keepNext/>
        <w:rPr>
          <w:lang w:val="en-GB"/>
        </w:rPr>
      </w:pPr>
      <w:r w:rsidRPr="00380B40">
        <w:rPr>
          <w:lang w:val="en-GB"/>
        </w:rPr>
        <w:t>•</w:t>
      </w:r>
      <w:r w:rsidRPr="00380B40">
        <w:rPr>
          <w:lang w:val="en-GB"/>
        </w:rPr>
        <w:tab/>
        <w:t>Assisting developing countries in:</w:t>
      </w:r>
    </w:p>
    <w:p w14:paraId="78DFCA3F" w14:textId="77777777" w:rsidR="004A0742" w:rsidRPr="00380B40" w:rsidRDefault="004A0742" w:rsidP="004A0742">
      <w:pPr>
        <w:pStyle w:val="enumlev2"/>
        <w:rPr>
          <w:lang w:val="en-GB"/>
        </w:rPr>
      </w:pPr>
      <w:r w:rsidRPr="00380B40">
        <w:rPr>
          <w:lang w:val="en-GB"/>
        </w:rPr>
        <w:t>•</w:t>
      </w:r>
      <w:r w:rsidRPr="00380B40">
        <w:rPr>
          <w:lang w:val="en-GB"/>
        </w:rPr>
        <w:tab/>
        <w:t>Establishing a standardization secretariat to coordinate standardization activities and participation in ITU</w:t>
      </w:r>
      <w:r w:rsidRPr="00380B40">
        <w:rPr>
          <w:lang w:val="en-GB"/>
        </w:rPr>
        <w:noBreakHyphen/>
        <w:t>T study groups;</w:t>
      </w:r>
    </w:p>
    <w:p w14:paraId="3C5EC78D" w14:textId="77777777" w:rsidR="004A0742" w:rsidRPr="00380B40" w:rsidRDefault="004A0742" w:rsidP="004A0742">
      <w:pPr>
        <w:pStyle w:val="enumlev2"/>
        <w:rPr>
          <w:lang w:val="en-GB"/>
        </w:rPr>
      </w:pPr>
      <w:r w:rsidRPr="00380B40">
        <w:rPr>
          <w:lang w:val="en-GB"/>
        </w:rPr>
        <w:t>•</w:t>
      </w:r>
      <w:r w:rsidRPr="00380B40">
        <w:rPr>
          <w:lang w:val="en-GB"/>
        </w:rPr>
        <w:tab/>
        <w:t>Determining whether their existing national standards are consistent and in accordance with the current ITU</w:t>
      </w:r>
      <w:r w:rsidRPr="00380B40">
        <w:rPr>
          <w:lang w:val="en-GB"/>
        </w:rPr>
        <w:noBreakHyphen/>
        <w:t>T Recommendations.</w:t>
      </w:r>
    </w:p>
    <w:p w14:paraId="1B1A3F05" w14:textId="77777777" w:rsidR="004A0742" w:rsidRPr="00380B40" w:rsidRDefault="004A0742" w:rsidP="004A0742">
      <w:pPr>
        <w:pStyle w:val="enumlev1"/>
        <w:keepNext/>
        <w:rPr>
          <w:lang w:val="en-GB"/>
        </w:rPr>
      </w:pPr>
      <w:r w:rsidRPr="00380B40">
        <w:rPr>
          <w:lang w:val="en-GB"/>
        </w:rPr>
        <w:t>•</w:t>
      </w:r>
      <w:r w:rsidRPr="00380B40">
        <w:rPr>
          <w:lang w:val="en-GB"/>
        </w:rPr>
        <w:tab/>
        <w:t>Actions to be performed by TSB with BDT cooperation:</w:t>
      </w:r>
    </w:p>
    <w:p w14:paraId="58F071A4" w14:textId="77777777" w:rsidR="004A0742" w:rsidRPr="00380B40" w:rsidRDefault="004A0742" w:rsidP="004A0742">
      <w:pPr>
        <w:pStyle w:val="enumlev2"/>
        <w:rPr>
          <w:lang w:val="en-GB"/>
        </w:rPr>
      </w:pPr>
      <w:r w:rsidRPr="00380B40">
        <w:rPr>
          <w:lang w:val="en-GB"/>
        </w:rPr>
        <w:t>•</w:t>
      </w:r>
      <w:r w:rsidRPr="00380B40">
        <w:rPr>
          <w:lang w:val="en-GB"/>
        </w:rPr>
        <w:tab/>
        <w:t>Developing guidelines on the application of ITU</w:t>
      </w:r>
      <w:r w:rsidRPr="00380B40">
        <w:rPr>
          <w:lang w:val="en-GB"/>
        </w:rPr>
        <w:noBreakHyphen/>
        <w:t>T Recommendations, in particular on manufactured products and interconnection, with emphasis on Recommendations having regulatory and policy implications.</w:t>
      </w:r>
    </w:p>
    <w:p w14:paraId="1B447DB7" w14:textId="77777777" w:rsidR="004A0742" w:rsidRPr="00380B40" w:rsidRDefault="004A0742" w:rsidP="004A0742">
      <w:pPr>
        <w:pStyle w:val="enumlev2"/>
        <w:rPr>
          <w:lang w:val="en-GB"/>
        </w:rPr>
      </w:pPr>
      <w:r w:rsidRPr="00380B40">
        <w:rPr>
          <w:lang w:val="en-GB"/>
        </w:rPr>
        <w:t>•</w:t>
      </w:r>
      <w:r w:rsidRPr="00380B40">
        <w:rPr>
          <w:lang w:val="en-GB"/>
        </w:rPr>
        <w:tab/>
        <w:t>Providing advice and assistance for better utilization and adoption of ITU</w:t>
      </w:r>
      <w:r w:rsidRPr="00380B40">
        <w:rPr>
          <w:lang w:val="en-GB"/>
        </w:rPr>
        <w:noBreakHyphen/>
        <w:t>T Recommendations in national standards.</w:t>
      </w:r>
    </w:p>
    <w:p w14:paraId="2D97A6DB" w14:textId="77777777" w:rsidR="004A0742" w:rsidRPr="00380B40" w:rsidRDefault="004A0742" w:rsidP="004A0742">
      <w:pPr>
        <w:pStyle w:val="enumlev2"/>
        <w:rPr>
          <w:lang w:val="en-GB"/>
        </w:rPr>
      </w:pPr>
      <w:r w:rsidRPr="00380B40">
        <w:rPr>
          <w:lang w:val="en-GB"/>
        </w:rPr>
        <w:t>•</w:t>
      </w:r>
      <w:r w:rsidRPr="00380B40">
        <w:rPr>
          <w:lang w:val="en-GB"/>
        </w:rPr>
        <w:tab/>
        <w:t>Compiling and maintaining an up-to-date database with information on new standardized technologies, as well as products that are compliant with ITU</w:t>
      </w:r>
      <w:r w:rsidRPr="00380B40">
        <w:rPr>
          <w:lang w:val="en-GB"/>
        </w:rPr>
        <w:noBreakHyphen/>
        <w:t>T Recommendations.</w:t>
      </w:r>
    </w:p>
    <w:p w14:paraId="2DE8DD13" w14:textId="77777777" w:rsidR="004A0742" w:rsidRPr="00380B40" w:rsidRDefault="004A0742" w:rsidP="004A0742">
      <w:pPr>
        <w:pStyle w:val="enumlev2"/>
        <w:rPr>
          <w:lang w:val="en-GB"/>
        </w:rPr>
      </w:pPr>
      <w:r w:rsidRPr="00380B40">
        <w:rPr>
          <w:lang w:val="en-GB"/>
        </w:rPr>
        <w:t>•</w:t>
      </w:r>
      <w:r w:rsidRPr="00380B40">
        <w:rPr>
          <w:lang w:val="en-GB"/>
        </w:rPr>
        <w:tab/>
        <w:t xml:space="preserve">Organizing capacity-building events that enable better application of specific Recommendations and on methods of examining compliance of manufactured products with these Recommendations, in close collaboration with other BDT capacity-building initiatives. </w:t>
      </w:r>
    </w:p>
    <w:p w14:paraId="5976009C" w14:textId="77777777" w:rsidR="004A0742" w:rsidRPr="00380B40" w:rsidRDefault="004A0742" w:rsidP="004A0742">
      <w:pPr>
        <w:pStyle w:val="enumlev2"/>
        <w:rPr>
          <w:lang w:val="en-GB"/>
        </w:rPr>
      </w:pPr>
      <w:r w:rsidRPr="00380B40">
        <w:rPr>
          <w:lang w:val="en-GB"/>
        </w:rPr>
        <w:t>•</w:t>
      </w:r>
      <w:r w:rsidRPr="00380B40">
        <w:rPr>
          <w:lang w:val="en-GB"/>
        </w:rPr>
        <w:tab/>
        <w:t>Promoting the use of a standardization forum for "questions and answers on standards" where developing countries can raise questions concerning the understanding and application of Recommendations and seek advice from study group experts.</w:t>
      </w:r>
    </w:p>
    <w:p w14:paraId="1F02514B" w14:textId="77777777" w:rsidR="004A0742" w:rsidRPr="00380B40" w:rsidRDefault="004A0742" w:rsidP="004A0742">
      <w:pPr>
        <w:pStyle w:val="enumlev2"/>
        <w:rPr>
          <w:lang w:val="en-GB"/>
        </w:rPr>
      </w:pPr>
      <w:r w:rsidRPr="00380B40">
        <w:rPr>
          <w:lang w:val="en-GB"/>
        </w:rPr>
        <w:t>•</w:t>
      </w:r>
      <w:r w:rsidRPr="00380B40">
        <w:rPr>
          <w:lang w:val="en-GB"/>
        </w:rPr>
        <w:tab/>
        <w:t>Providing assistance to developing countries in developing strategies for establishing test laboratories which are nationally, regionally and internationally recognized for emerging technologies, in coordination with other related actions in other ITU Sectors, especially ITU-D.</w:t>
      </w:r>
    </w:p>
    <w:p w14:paraId="36F55DF3" w14:textId="77777777" w:rsidR="004A0742" w:rsidRPr="00380B40" w:rsidRDefault="004A0742" w:rsidP="004A0742">
      <w:pPr>
        <w:pStyle w:val="enumlev2"/>
        <w:rPr>
          <w:lang w:val="en-GB"/>
        </w:rPr>
      </w:pPr>
      <w:r w:rsidRPr="00380B40">
        <w:rPr>
          <w:lang w:val="en-GB"/>
        </w:rPr>
        <w:t>•</w:t>
      </w:r>
      <w:r w:rsidRPr="00380B40">
        <w:rPr>
          <w:lang w:val="en-GB"/>
        </w:rPr>
        <w:tab/>
        <w:t>Continuing launching ITU-T initiatives and programmes that focus on the implementation of existing ITU-T Recommendations while exploring new topics of study, and encouraging the participation of developing countries in these initiatives and programmes.</w:t>
      </w:r>
    </w:p>
    <w:p w14:paraId="7E21F37D" w14:textId="77777777" w:rsidR="0090426B" w:rsidRPr="00380B40" w:rsidRDefault="0090426B" w:rsidP="004A0742">
      <w:pPr>
        <w:pStyle w:val="enumlev2"/>
        <w:rPr>
          <w:lang w:val="en-GB"/>
        </w:rPr>
      </w:pPr>
      <w:r w:rsidRPr="00380B40">
        <w:rPr>
          <w:lang w:val="en-GB"/>
        </w:rPr>
        <w:br w:type="page"/>
      </w:r>
    </w:p>
    <w:p w14:paraId="7786F5CC" w14:textId="77777777" w:rsidR="004A0742" w:rsidRPr="00380B40" w:rsidRDefault="004A0742" w:rsidP="004A0742">
      <w:pPr>
        <w:pStyle w:val="Heading1"/>
        <w:rPr>
          <w:lang w:val="en-GB"/>
        </w:rPr>
      </w:pPr>
      <w:bookmarkStart w:id="181" w:name="_Toc111636770"/>
      <w:r w:rsidRPr="00380B40">
        <w:rPr>
          <w:lang w:val="en-GB"/>
        </w:rPr>
        <w:t>III</w:t>
      </w:r>
      <w:r w:rsidRPr="00380B40">
        <w:rPr>
          <w:lang w:val="en-GB"/>
        </w:rPr>
        <w:tab/>
        <w:t>Programme 3: Human resources capacity building</w:t>
      </w:r>
      <w:bookmarkEnd w:id="181"/>
    </w:p>
    <w:p w14:paraId="0F9088D3" w14:textId="77777777" w:rsidR="004A0742" w:rsidRPr="00380B40" w:rsidRDefault="004A0742" w:rsidP="004A0742">
      <w:pPr>
        <w:pStyle w:val="enumlev1"/>
        <w:rPr>
          <w:lang w:val="en-GB"/>
        </w:rPr>
      </w:pPr>
      <w:r w:rsidRPr="00380B40">
        <w:rPr>
          <w:lang w:val="en-GB"/>
        </w:rPr>
        <w:t>1)</w:t>
      </w:r>
      <w:r w:rsidRPr="00380B40">
        <w:rPr>
          <w:lang w:val="en-GB"/>
        </w:rPr>
        <w:tab/>
        <w:t>Objective</w:t>
      </w:r>
    </w:p>
    <w:p w14:paraId="36DDC7EA" w14:textId="77777777" w:rsidR="004A0742" w:rsidRPr="00380B40" w:rsidRDefault="004A0742" w:rsidP="004A0742">
      <w:pPr>
        <w:pStyle w:val="enumlev1"/>
        <w:rPr>
          <w:lang w:val="en-GB"/>
        </w:rPr>
      </w:pPr>
      <w:r w:rsidRPr="00380B40">
        <w:rPr>
          <w:lang w:val="en-GB"/>
        </w:rPr>
        <w:t>•</w:t>
      </w:r>
      <w:r w:rsidRPr="00380B40">
        <w:rPr>
          <w:lang w:val="en-GB"/>
        </w:rPr>
        <w:tab/>
        <w:t>To increase the human resources capacity of developing countries in ITU</w:t>
      </w:r>
      <w:r w:rsidRPr="00380B40">
        <w:rPr>
          <w:lang w:val="en-GB"/>
        </w:rPr>
        <w:noBreakHyphen/>
        <w:t>T and national standardization activities.</w:t>
      </w:r>
    </w:p>
    <w:p w14:paraId="754B3DDC" w14:textId="77777777" w:rsidR="004A0742" w:rsidRPr="00380B40" w:rsidRDefault="004A0742" w:rsidP="004A0742">
      <w:pPr>
        <w:pStyle w:val="enumlev1"/>
        <w:rPr>
          <w:lang w:val="en-GB"/>
        </w:rPr>
      </w:pPr>
      <w:r w:rsidRPr="00380B40">
        <w:rPr>
          <w:lang w:val="en-GB"/>
        </w:rPr>
        <w:t>2)</w:t>
      </w:r>
      <w:r w:rsidRPr="00380B40">
        <w:rPr>
          <w:lang w:val="en-GB"/>
        </w:rPr>
        <w:tab/>
        <w:t>Activities</w:t>
      </w:r>
    </w:p>
    <w:p w14:paraId="629129AA" w14:textId="77777777" w:rsidR="004A0742" w:rsidRPr="00380B40" w:rsidRDefault="004A0742" w:rsidP="004A0742">
      <w:pPr>
        <w:pStyle w:val="enumlev1"/>
        <w:rPr>
          <w:lang w:val="en-GB"/>
        </w:rPr>
      </w:pPr>
      <w:r w:rsidRPr="00380B40">
        <w:rPr>
          <w:lang w:val="en-GB"/>
        </w:rPr>
        <w:t>•</w:t>
      </w:r>
      <w:r w:rsidRPr="00380B40">
        <w:rPr>
          <w:lang w:val="en-GB"/>
        </w:rPr>
        <w:tab/>
        <w:t>Promoting the organization of events, seminars, workshops and study group meetings at the regional and global levels in order to promote standardization capacity building and the development of telecommunications/ICT in developing countries, in close collaboration with other BDT capacity-building initiatives.</w:t>
      </w:r>
    </w:p>
    <w:p w14:paraId="75F84BA0" w14:textId="77777777" w:rsidR="004A0742" w:rsidRPr="00380B40" w:rsidRDefault="004A0742" w:rsidP="004A0742">
      <w:pPr>
        <w:pStyle w:val="enumlev1"/>
        <w:rPr>
          <w:lang w:val="en-GB"/>
        </w:rPr>
      </w:pPr>
      <w:r w:rsidRPr="00380B40">
        <w:rPr>
          <w:lang w:val="en-GB"/>
        </w:rPr>
        <w:t>•</w:t>
      </w:r>
      <w:r w:rsidRPr="00380B40">
        <w:rPr>
          <w:lang w:val="en-GB"/>
        </w:rPr>
        <w:tab/>
        <w:t>In close collaboration with BDT and BR, providing training courses on standardization to developing countries.</w:t>
      </w:r>
    </w:p>
    <w:p w14:paraId="517A3668" w14:textId="77777777" w:rsidR="004A0742" w:rsidRPr="00380B40" w:rsidRDefault="004A0742" w:rsidP="004A0742">
      <w:pPr>
        <w:pStyle w:val="enumlev1"/>
        <w:rPr>
          <w:lang w:val="en-GB"/>
        </w:rPr>
      </w:pPr>
      <w:r w:rsidRPr="00380B40">
        <w:rPr>
          <w:lang w:val="en-GB"/>
        </w:rPr>
        <w:t>•</w:t>
      </w:r>
      <w:r w:rsidRPr="00380B40">
        <w:rPr>
          <w:lang w:val="en-GB"/>
        </w:rPr>
        <w:tab/>
        <w:t xml:space="preserve">Providing more internship, secondment and short-term employment, etc. opportunities for developing countries at ITU. </w:t>
      </w:r>
    </w:p>
    <w:p w14:paraId="5886023B" w14:textId="77777777" w:rsidR="004A0742" w:rsidRPr="00380B40" w:rsidRDefault="004A0742" w:rsidP="004A0742">
      <w:pPr>
        <w:pStyle w:val="enumlev1"/>
        <w:rPr>
          <w:lang w:val="en-GB"/>
        </w:rPr>
      </w:pPr>
      <w:r w:rsidRPr="00380B40">
        <w:rPr>
          <w:lang w:val="en-GB"/>
        </w:rPr>
        <w:t>•</w:t>
      </w:r>
      <w:r w:rsidRPr="00380B40">
        <w:rPr>
          <w:lang w:val="en-GB"/>
        </w:rPr>
        <w:tab/>
        <w:t>Encouraging the election of more candidates from developing countries to TSAG and ITU</w:t>
      </w:r>
      <w:r w:rsidRPr="00380B40">
        <w:rPr>
          <w:lang w:val="en-GB"/>
        </w:rPr>
        <w:noBreakHyphen/>
        <w:t>T study group chairmanship and vice-chairmanship positions.</w:t>
      </w:r>
    </w:p>
    <w:p w14:paraId="28107218" w14:textId="77777777" w:rsidR="004A0742" w:rsidRPr="00380B40" w:rsidRDefault="004A0742" w:rsidP="004A0742">
      <w:pPr>
        <w:pStyle w:val="enumlev1"/>
        <w:rPr>
          <w:lang w:val="en-GB"/>
        </w:rPr>
      </w:pPr>
      <w:r w:rsidRPr="00380B40">
        <w:rPr>
          <w:lang w:val="en-GB"/>
        </w:rPr>
        <w:t>•</w:t>
      </w:r>
      <w:r w:rsidRPr="00380B40">
        <w:rPr>
          <w:lang w:val="en-GB"/>
        </w:rPr>
        <w:tab/>
        <w:t>Encouraging secondment and short-term employment opportunities for experts from developing countries in test laboratories of international standards-development organizations and manufacturers, in particular in the area of conformance and interoperability testing.</w:t>
      </w:r>
    </w:p>
    <w:p w14:paraId="19F5C256" w14:textId="77777777" w:rsidR="004A0742" w:rsidRPr="00380B40" w:rsidRDefault="004A0742" w:rsidP="004A0742">
      <w:pPr>
        <w:pStyle w:val="enumlev1"/>
        <w:rPr>
          <w:lang w:val="en-GB"/>
        </w:rPr>
      </w:pPr>
      <w:r w:rsidRPr="00380B40">
        <w:rPr>
          <w:lang w:val="en-GB"/>
        </w:rPr>
        <w:t>•</w:t>
      </w:r>
      <w:r w:rsidRPr="00380B40">
        <w:rPr>
          <w:lang w:val="en-GB"/>
        </w:rPr>
        <w:tab/>
        <w:t>Organizing in-depth tutorials on understanding and implementation of ITU</w:t>
      </w:r>
      <w:r w:rsidRPr="00380B40">
        <w:rPr>
          <w:lang w:val="en-GB"/>
        </w:rPr>
        <w:noBreakHyphen/>
        <w:t>T Recommendations.</w:t>
      </w:r>
    </w:p>
    <w:p w14:paraId="042D18E4" w14:textId="77777777" w:rsidR="004A0742" w:rsidRPr="00380B40" w:rsidRDefault="004A0742" w:rsidP="004A0742">
      <w:pPr>
        <w:pStyle w:val="enumlev1"/>
        <w:rPr>
          <w:lang w:val="en-GB"/>
        </w:rPr>
      </w:pPr>
      <w:r w:rsidRPr="00380B40">
        <w:rPr>
          <w:lang w:val="en-GB"/>
        </w:rPr>
        <w:t>•</w:t>
      </w:r>
      <w:r w:rsidRPr="00380B40">
        <w:rPr>
          <w:lang w:val="en-GB"/>
        </w:rPr>
        <w:tab/>
        <w:t>Providing guidance and support material to developing countries to assist them in developing and providing undergraduate and postgraduate courses on standardization in their universities.</w:t>
      </w:r>
    </w:p>
    <w:p w14:paraId="5120866B" w14:textId="77777777" w:rsidR="004A0742" w:rsidRPr="00380B40" w:rsidRDefault="004A0742" w:rsidP="004A0742">
      <w:pPr>
        <w:pStyle w:val="enumlev1"/>
        <w:rPr>
          <w:lang w:val="en-GB"/>
        </w:rPr>
      </w:pPr>
      <w:bookmarkStart w:id="182" w:name="_Hlk96600555"/>
      <w:r w:rsidRPr="00380B40">
        <w:rPr>
          <w:lang w:val="en-GB"/>
        </w:rPr>
        <w:t>•</w:t>
      </w:r>
      <w:r w:rsidRPr="00380B40">
        <w:rPr>
          <w:lang w:val="en-GB"/>
        </w:rPr>
        <w:tab/>
      </w:r>
      <w:bookmarkEnd w:id="182"/>
      <w:r w:rsidRPr="00380B40">
        <w:rPr>
          <w:lang w:val="en-GB"/>
        </w:rPr>
        <w:t>Offering, to the extent possible, through TSB, a greater number of fellowships to eligible developing countries to attend relevant ITU</w:t>
      </w:r>
      <w:r w:rsidRPr="00380B40">
        <w:rPr>
          <w:lang w:val="en-GB"/>
        </w:rPr>
        <w:noBreakHyphen/>
        <w:t>T meetings.</w:t>
      </w:r>
    </w:p>
    <w:p w14:paraId="67D19B6C" w14:textId="77777777" w:rsidR="004A0742" w:rsidRPr="00380B40" w:rsidRDefault="004A0742" w:rsidP="004A0742">
      <w:pPr>
        <w:pStyle w:val="enumlev1"/>
        <w:rPr>
          <w:lang w:val="en-GB"/>
        </w:rPr>
      </w:pPr>
      <w:r w:rsidRPr="00380B40">
        <w:rPr>
          <w:lang w:val="en-GB"/>
        </w:rPr>
        <w:t>•</w:t>
      </w:r>
      <w:r w:rsidRPr="00380B40">
        <w:rPr>
          <w:lang w:val="en-GB"/>
        </w:rPr>
        <w:tab/>
        <w:t>The Bridging the Standardization Gap (BSG) programme should take actions to ensure more participation of women and girls, and vulnerable groups, in standards-development in order to capture their requirements in standardization activities, especially in respect of emerging technologies, taking into account geographical and regional balance.</w:t>
      </w:r>
    </w:p>
    <w:p w14:paraId="6F44754B" w14:textId="77777777" w:rsidR="0090426B" w:rsidRPr="00380B40" w:rsidRDefault="0090426B" w:rsidP="004A0742">
      <w:pPr>
        <w:pStyle w:val="enumlev1"/>
        <w:rPr>
          <w:lang w:val="en-GB"/>
        </w:rPr>
      </w:pPr>
    </w:p>
    <w:p w14:paraId="3054B023" w14:textId="77777777" w:rsidR="0090426B" w:rsidRPr="00380B40" w:rsidRDefault="0090426B" w:rsidP="004A0742">
      <w:pPr>
        <w:pStyle w:val="Heading1"/>
        <w:rPr>
          <w:lang w:val="en-GB"/>
        </w:rPr>
      </w:pPr>
      <w:r w:rsidRPr="00380B40">
        <w:rPr>
          <w:lang w:val="en-GB"/>
        </w:rPr>
        <w:br w:type="page"/>
      </w:r>
    </w:p>
    <w:p w14:paraId="3BF60C27" w14:textId="77777777" w:rsidR="004A0742" w:rsidRPr="00380B40" w:rsidRDefault="004A0742" w:rsidP="004A0742">
      <w:pPr>
        <w:pStyle w:val="Heading1"/>
        <w:rPr>
          <w:lang w:val="en-GB"/>
        </w:rPr>
      </w:pPr>
      <w:bookmarkStart w:id="183" w:name="_Toc111636771"/>
      <w:r w:rsidRPr="00380B40">
        <w:rPr>
          <w:lang w:val="en-GB"/>
        </w:rPr>
        <w:t>IV</w:t>
      </w:r>
      <w:r w:rsidRPr="00380B40">
        <w:rPr>
          <w:lang w:val="en-GB"/>
        </w:rPr>
        <w:tab/>
        <w:t>Programme 4: Fundraising for bridging the standardization gap</w:t>
      </w:r>
      <w:bookmarkEnd w:id="183"/>
    </w:p>
    <w:p w14:paraId="693CFB0C" w14:textId="77777777" w:rsidR="004A0742" w:rsidRPr="00380B40" w:rsidRDefault="004A0742" w:rsidP="004A0742">
      <w:pPr>
        <w:pStyle w:val="enumlev1"/>
        <w:keepNext/>
        <w:rPr>
          <w:lang w:val="en-GB"/>
        </w:rPr>
      </w:pPr>
      <w:r w:rsidRPr="00380B40">
        <w:rPr>
          <w:i/>
          <w:iCs/>
          <w:lang w:val="en-GB"/>
        </w:rPr>
        <w:t>a)</w:t>
      </w:r>
      <w:r w:rsidRPr="00380B40">
        <w:rPr>
          <w:lang w:val="en-GB"/>
        </w:rPr>
        <w:tab/>
        <w:t>Contributions to the action plan through the following forms of partnerships and other means:</w:t>
      </w:r>
    </w:p>
    <w:p w14:paraId="6377F51E" w14:textId="77777777" w:rsidR="004A0742" w:rsidRPr="00380B40" w:rsidRDefault="004A0742" w:rsidP="004A0742">
      <w:pPr>
        <w:pStyle w:val="enumlev2"/>
        <w:rPr>
          <w:lang w:val="en-GB"/>
        </w:rPr>
      </w:pPr>
      <w:r w:rsidRPr="00380B40">
        <w:rPr>
          <w:lang w:val="en-GB"/>
        </w:rPr>
        <w:t>•</w:t>
      </w:r>
      <w:r w:rsidRPr="00380B40">
        <w:rPr>
          <w:lang w:val="en-GB"/>
        </w:rPr>
        <w:tab/>
        <w:t>Partnership contributions</w:t>
      </w:r>
    </w:p>
    <w:p w14:paraId="0C03601C" w14:textId="77777777" w:rsidR="004A0742" w:rsidRPr="00380B40" w:rsidRDefault="004A0742" w:rsidP="004A0742">
      <w:pPr>
        <w:pStyle w:val="enumlev2"/>
        <w:rPr>
          <w:lang w:val="en-GB"/>
        </w:rPr>
      </w:pPr>
      <w:r w:rsidRPr="00380B40">
        <w:rPr>
          <w:lang w:val="en-GB"/>
        </w:rPr>
        <w:t>•</w:t>
      </w:r>
      <w:r w:rsidRPr="00380B40">
        <w:rPr>
          <w:lang w:val="en-GB"/>
        </w:rPr>
        <w:tab/>
        <w:t>Additional budget allocated by ITU</w:t>
      </w:r>
    </w:p>
    <w:p w14:paraId="788ACE56" w14:textId="77777777" w:rsidR="004A0742" w:rsidRPr="00380B40" w:rsidRDefault="004A0742" w:rsidP="004A0742">
      <w:pPr>
        <w:pStyle w:val="enumlev2"/>
        <w:rPr>
          <w:lang w:val="en-GB"/>
        </w:rPr>
      </w:pPr>
      <w:r w:rsidRPr="00380B40">
        <w:rPr>
          <w:lang w:val="en-GB"/>
        </w:rPr>
        <w:t>•</w:t>
      </w:r>
      <w:r w:rsidRPr="00380B40">
        <w:rPr>
          <w:lang w:val="en-GB"/>
        </w:rPr>
        <w:tab/>
        <w:t>Voluntary contributions by developed countries</w:t>
      </w:r>
    </w:p>
    <w:p w14:paraId="001AB3FB" w14:textId="77777777" w:rsidR="004A0742" w:rsidRPr="00380B40" w:rsidRDefault="004A0742" w:rsidP="004A0742">
      <w:pPr>
        <w:pStyle w:val="enumlev2"/>
        <w:rPr>
          <w:lang w:val="en-GB"/>
        </w:rPr>
      </w:pPr>
      <w:r w:rsidRPr="00380B40">
        <w:rPr>
          <w:lang w:val="en-GB"/>
        </w:rPr>
        <w:t>•</w:t>
      </w:r>
      <w:r w:rsidRPr="00380B40">
        <w:rPr>
          <w:lang w:val="en-GB"/>
        </w:rPr>
        <w:tab/>
        <w:t>Voluntary contributions by the private sector</w:t>
      </w:r>
    </w:p>
    <w:p w14:paraId="1B7745AE" w14:textId="77777777" w:rsidR="004A0742" w:rsidRPr="00380B40" w:rsidRDefault="004A0742" w:rsidP="004A0742">
      <w:pPr>
        <w:pStyle w:val="enumlev2"/>
        <w:rPr>
          <w:lang w:val="en-GB"/>
        </w:rPr>
      </w:pPr>
      <w:r w:rsidRPr="00380B40">
        <w:rPr>
          <w:lang w:val="en-GB"/>
        </w:rPr>
        <w:t>•</w:t>
      </w:r>
      <w:r w:rsidRPr="00380B40">
        <w:rPr>
          <w:lang w:val="en-GB"/>
        </w:rPr>
        <w:tab/>
        <w:t>Voluntary contributions by others.</w:t>
      </w:r>
    </w:p>
    <w:p w14:paraId="49B8DF1B" w14:textId="77777777" w:rsidR="004A0742" w:rsidRPr="00380B40" w:rsidRDefault="004A0742" w:rsidP="004A0742">
      <w:pPr>
        <w:pStyle w:val="enumlev1"/>
        <w:keepNext/>
        <w:keepLines/>
        <w:rPr>
          <w:lang w:val="en-GB"/>
        </w:rPr>
      </w:pPr>
      <w:r w:rsidRPr="00380B40">
        <w:rPr>
          <w:i/>
          <w:iCs/>
          <w:lang w:val="en-GB"/>
        </w:rPr>
        <w:t>b)</w:t>
      </w:r>
      <w:r w:rsidRPr="00380B40">
        <w:rPr>
          <w:lang w:val="en-GB"/>
        </w:rPr>
        <w:tab/>
        <w:t>Management of funds by TSB:</w:t>
      </w:r>
    </w:p>
    <w:p w14:paraId="5453EE31" w14:textId="77777777" w:rsidR="004A0742" w:rsidRPr="00380B40" w:rsidRDefault="004A0742" w:rsidP="004A0742">
      <w:pPr>
        <w:pStyle w:val="enumlev2"/>
        <w:rPr>
          <w:lang w:val="en-GB"/>
        </w:rPr>
      </w:pPr>
      <w:r w:rsidRPr="00380B40">
        <w:rPr>
          <w:lang w:val="en-GB"/>
        </w:rPr>
        <w:t>•</w:t>
      </w:r>
      <w:r w:rsidRPr="00380B40">
        <w:rPr>
          <w:lang w:val="en-GB"/>
        </w:rPr>
        <w:tab/>
        <w:t>The Director of TSB, in close coordination with the Director of BDT, shall be responsible for the management of funds raised as above, which shall be used principally for achieving the objectives of these programmes.</w:t>
      </w:r>
    </w:p>
    <w:p w14:paraId="32E5B068" w14:textId="77777777" w:rsidR="004A0742" w:rsidRPr="00380B40" w:rsidRDefault="004A0742" w:rsidP="004A0742">
      <w:pPr>
        <w:pStyle w:val="enumlev1"/>
        <w:keepNext/>
        <w:rPr>
          <w:lang w:val="en-GB"/>
        </w:rPr>
      </w:pPr>
      <w:r w:rsidRPr="00380B40">
        <w:rPr>
          <w:i/>
          <w:iCs/>
          <w:lang w:val="en-GB"/>
        </w:rPr>
        <w:t>c)</w:t>
      </w:r>
      <w:r w:rsidRPr="00380B40">
        <w:rPr>
          <w:lang w:val="en-GB"/>
        </w:rPr>
        <w:tab/>
        <w:t>Principles for the use of funds:</w:t>
      </w:r>
    </w:p>
    <w:p w14:paraId="30AD611F" w14:textId="77777777" w:rsidR="004A0742" w:rsidRPr="00380B40" w:rsidRDefault="004A0742" w:rsidP="004A0742">
      <w:pPr>
        <w:pStyle w:val="enumlev2"/>
        <w:rPr>
          <w:lang w:val="en-GB"/>
        </w:rPr>
      </w:pPr>
      <w:r w:rsidRPr="00380B40">
        <w:rPr>
          <w:lang w:val="en-GB"/>
        </w:rPr>
        <w:t>•</w:t>
      </w:r>
      <w:r w:rsidRPr="00380B40">
        <w:rPr>
          <w:lang w:val="en-GB"/>
        </w:rPr>
        <w:tab/>
        <w:t>Funds are to be used for ITU</w:t>
      </w:r>
      <w:r w:rsidRPr="00380B40">
        <w:rPr>
          <w:lang w:val="en-GB"/>
        </w:rPr>
        <w:noBreakHyphen/>
        <w:t>related activities including, but not limited to, assistance and consultation, training of representatives of developing countries in ITU</w:t>
      </w:r>
      <w:r w:rsidRPr="00380B40">
        <w:rPr>
          <w:lang w:val="en-GB"/>
        </w:rPr>
        <w:noBreakHyphen/>
        <w:t>T activities, as well as studying compliance examination, interconnection and interoperability programmes for developing countries.</w:t>
      </w:r>
    </w:p>
    <w:p w14:paraId="0673A5DA" w14:textId="77777777" w:rsidR="004A0742" w:rsidRPr="00380B40" w:rsidRDefault="004A0742" w:rsidP="004A0742">
      <w:pPr>
        <w:pStyle w:val="Reasons"/>
      </w:pPr>
    </w:p>
    <w:p w14:paraId="1DAE4988" w14:textId="77777777" w:rsidR="00980EF2" w:rsidRPr="00380B40" w:rsidRDefault="00980EF2" w:rsidP="004A0742">
      <w:pPr>
        <w:pStyle w:val="Reasons"/>
      </w:pPr>
    </w:p>
    <w:p w14:paraId="424795C3" w14:textId="77777777" w:rsidR="00980EF2" w:rsidRPr="00380B40" w:rsidRDefault="00980EF2" w:rsidP="004A0742">
      <w:pPr>
        <w:pStyle w:val="Reasons"/>
      </w:pPr>
    </w:p>
    <w:p w14:paraId="4F492BE3" w14:textId="77777777" w:rsidR="00980EF2" w:rsidRPr="00380B40" w:rsidRDefault="00980EF2" w:rsidP="004A0742">
      <w:pPr>
        <w:pStyle w:val="Reasons"/>
      </w:pPr>
    </w:p>
    <w:p w14:paraId="45257955" w14:textId="77777777" w:rsidR="00980EF2" w:rsidRPr="00380B40" w:rsidRDefault="00980EF2" w:rsidP="004A0742">
      <w:pPr>
        <w:pStyle w:val="Reasons"/>
      </w:pPr>
    </w:p>
    <w:p w14:paraId="49AC91DD" w14:textId="77777777" w:rsidR="00980EF2" w:rsidRPr="00380B40" w:rsidRDefault="00980EF2" w:rsidP="004A0742">
      <w:pPr>
        <w:pStyle w:val="Reasons"/>
      </w:pPr>
    </w:p>
    <w:p w14:paraId="7C6498E8" w14:textId="77777777" w:rsidR="0090426B" w:rsidRPr="00380B40" w:rsidRDefault="0090426B" w:rsidP="004A0742">
      <w:pPr>
        <w:pStyle w:val="Reasons"/>
      </w:pPr>
    </w:p>
    <w:p w14:paraId="3A4B0361" w14:textId="77777777" w:rsidR="00980EF2" w:rsidRPr="00380B40" w:rsidRDefault="00980EF2" w:rsidP="004A0742">
      <w:pPr>
        <w:pStyle w:val="Reasons"/>
      </w:pPr>
    </w:p>
    <w:p w14:paraId="6ACD66E5" w14:textId="77777777" w:rsidR="00E64A6B" w:rsidRPr="00380B40" w:rsidRDefault="00E64A6B" w:rsidP="00E64A6B">
      <w:pPr>
        <w:rPr>
          <w:lang w:val="en-GB"/>
        </w:rPr>
      </w:pPr>
    </w:p>
    <w:p w14:paraId="64F1440B" w14:textId="77777777" w:rsidR="00E64A6B" w:rsidRPr="00380B40" w:rsidRDefault="00E64A6B" w:rsidP="00E64A6B">
      <w:pPr>
        <w:rPr>
          <w:lang w:val="en-GB"/>
        </w:rPr>
        <w:sectPr w:rsidR="00E64A6B" w:rsidRPr="00380B40" w:rsidSect="006B23B8">
          <w:headerReference w:type="even" r:id="rId103"/>
          <w:headerReference w:type="default" r:id="rId104"/>
          <w:footerReference w:type="even" r:id="rId105"/>
          <w:footerReference w:type="default" r:id="rId106"/>
          <w:headerReference w:type="first" r:id="rId107"/>
          <w:footerReference w:type="first" r:id="rId108"/>
          <w:footnotePr>
            <w:numRestart w:val="eachSect"/>
          </w:footnotePr>
          <w:pgSz w:w="11907" w:h="16834" w:code="9"/>
          <w:pgMar w:top="1134" w:right="1134" w:bottom="1134" w:left="1134" w:header="567" w:footer="567" w:gutter="0"/>
          <w:paperSrc w:first="15" w:other="15"/>
          <w:cols w:space="720"/>
          <w:vAlign w:val="both"/>
          <w:docGrid w:linePitch="299"/>
        </w:sectPr>
      </w:pPr>
    </w:p>
    <w:p w14:paraId="16CC46B8" w14:textId="77777777" w:rsidR="00EB2A2B" w:rsidRPr="00380B40" w:rsidRDefault="00055CCD" w:rsidP="00EB2A2B">
      <w:pPr>
        <w:pStyle w:val="ResNo"/>
        <w:rPr>
          <w:lang w:val="en-GB"/>
        </w:rPr>
      </w:pPr>
      <w:bookmarkStart w:id="184" w:name="_Toc104459721"/>
      <w:bookmarkStart w:id="185" w:name="_Toc104476529"/>
      <w:bookmarkStart w:id="186" w:name="_Toc111636772"/>
      <w:bookmarkStart w:id="187" w:name="_Toc111638422"/>
      <w:r w:rsidRPr="00380B40">
        <w:rPr>
          <w:caps w:val="0"/>
          <w:lang w:val="en-GB"/>
        </w:rPr>
        <w:t xml:space="preserve">RESOLUTION </w:t>
      </w:r>
      <w:r w:rsidR="00EB2A2B" w:rsidRPr="00380B40">
        <w:rPr>
          <w:rStyle w:val="href"/>
          <w:lang w:val="en-GB"/>
        </w:rPr>
        <w:t xml:space="preserve">47 </w:t>
      </w:r>
      <w:r w:rsidR="00EB2A2B" w:rsidRPr="00380B40">
        <w:rPr>
          <w:lang w:val="en-GB"/>
        </w:rPr>
        <w:t>(</w:t>
      </w:r>
      <w:r w:rsidR="00EB2A2B" w:rsidRPr="00380B40">
        <w:rPr>
          <w:caps w:val="0"/>
          <w:lang w:val="en-GB"/>
        </w:rPr>
        <w:t>Rev. Dubai, 2012</w:t>
      </w:r>
      <w:r w:rsidR="00EB2A2B" w:rsidRPr="00380B40">
        <w:rPr>
          <w:lang w:val="en-GB"/>
        </w:rPr>
        <w:t>)</w:t>
      </w:r>
      <w:bookmarkEnd w:id="184"/>
      <w:bookmarkEnd w:id="185"/>
      <w:bookmarkEnd w:id="186"/>
      <w:bookmarkEnd w:id="187"/>
    </w:p>
    <w:p w14:paraId="35C1C9D3" w14:textId="77777777" w:rsidR="00EB2A2B" w:rsidRPr="00380B40" w:rsidRDefault="00EB2A2B" w:rsidP="00EB2A2B">
      <w:pPr>
        <w:pStyle w:val="Restitle"/>
        <w:rPr>
          <w:lang w:val="en-GB"/>
        </w:rPr>
      </w:pPr>
      <w:bookmarkStart w:id="188" w:name="_Toc104459722"/>
      <w:bookmarkStart w:id="189" w:name="_Toc104476530"/>
      <w:bookmarkStart w:id="190" w:name="_Toc111638423"/>
      <w:r w:rsidRPr="00380B40">
        <w:rPr>
          <w:lang w:val="en-GB"/>
        </w:rPr>
        <w:t>Country code top-level domain names</w:t>
      </w:r>
      <w:bookmarkEnd w:id="188"/>
      <w:bookmarkEnd w:id="189"/>
      <w:bookmarkEnd w:id="190"/>
    </w:p>
    <w:p w14:paraId="66687A58" w14:textId="77777777" w:rsidR="00EB2A2B" w:rsidRPr="00380B40" w:rsidRDefault="00EB2A2B" w:rsidP="00EB2A2B">
      <w:pPr>
        <w:pStyle w:val="Resref"/>
        <w:rPr>
          <w:lang w:val="en-GB"/>
        </w:rPr>
      </w:pPr>
      <w:r w:rsidRPr="00380B40">
        <w:rPr>
          <w:lang w:val="en-GB"/>
        </w:rPr>
        <w:t>(Florianópolis, 2004; Johannesburg, 2008; Dubai, 2012)</w:t>
      </w:r>
    </w:p>
    <w:p w14:paraId="512A61E0" w14:textId="77777777" w:rsidR="00EB2A2B" w:rsidRPr="00380B40" w:rsidRDefault="00EB2A2B" w:rsidP="00EB2A2B">
      <w:pPr>
        <w:pStyle w:val="Normalaftertitle0"/>
      </w:pPr>
      <w:r w:rsidRPr="00380B40">
        <w:t>The World Telecommunication Standardization Assembly (Dubai, 2012),</w:t>
      </w:r>
    </w:p>
    <w:p w14:paraId="61F9BB65" w14:textId="77777777" w:rsidR="00EB2A2B" w:rsidRPr="00380B40" w:rsidRDefault="00EB2A2B" w:rsidP="00EB2A2B">
      <w:pPr>
        <w:pStyle w:val="Call"/>
        <w:rPr>
          <w:lang w:val="en-GB"/>
        </w:rPr>
      </w:pPr>
      <w:r w:rsidRPr="00380B40">
        <w:rPr>
          <w:lang w:val="en-GB"/>
        </w:rPr>
        <w:t>recognizing</w:t>
      </w:r>
    </w:p>
    <w:p w14:paraId="4496F68C" w14:textId="77777777" w:rsidR="00EB2A2B" w:rsidRPr="00380B40" w:rsidRDefault="00EB2A2B" w:rsidP="00EB2A2B">
      <w:pPr>
        <w:rPr>
          <w:lang w:val="en-GB"/>
        </w:rPr>
      </w:pPr>
      <w:r w:rsidRPr="00380B40">
        <w:rPr>
          <w:i/>
          <w:iCs/>
          <w:lang w:val="en-GB"/>
        </w:rPr>
        <w:t>a)</w:t>
      </w:r>
      <w:r w:rsidRPr="00380B40">
        <w:rPr>
          <w:lang w:val="en-GB"/>
        </w:rPr>
        <w:tab/>
        <w:t>relevant parts of Resolution 102 (Rev. Guadalajara, 2010) of the Plenipotentiary Conference;</w:t>
      </w:r>
    </w:p>
    <w:p w14:paraId="6E7D1F11" w14:textId="77777777" w:rsidR="00EB2A2B" w:rsidRPr="00380B40" w:rsidRDefault="00EB2A2B" w:rsidP="00EB2A2B">
      <w:pPr>
        <w:rPr>
          <w:lang w:val="en-GB"/>
        </w:rPr>
      </w:pPr>
      <w:r w:rsidRPr="00380B40">
        <w:rPr>
          <w:i/>
          <w:iCs/>
          <w:lang w:val="en-GB"/>
        </w:rPr>
        <w:t>b)</w:t>
      </w:r>
      <w:r w:rsidRPr="00380B40">
        <w:rPr>
          <w:lang w:val="en-GB"/>
        </w:rPr>
        <w:tab/>
        <w:t>Resolution 133 (Rev. Guadalajara, 2010) of the Plenipotentiary Conference;</w:t>
      </w:r>
    </w:p>
    <w:p w14:paraId="511DB095" w14:textId="77777777" w:rsidR="00EB2A2B" w:rsidRPr="00380B40" w:rsidRDefault="00EB2A2B" w:rsidP="00EB2A2B">
      <w:pPr>
        <w:rPr>
          <w:lang w:val="en-GB"/>
        </w:rPr>
      </w:pPr>
      <w:r w:rsidRPr="00380B40">
        <w:rPr>
          <w:i/>
          <w:iCs/>
          <w:lang w:val="en-GB"/>
        </w:rPr>
        <w:t>c)</w:t>
      </w:r>
      <w:r w:rsidRPr="00380B40">
        <w:rPr>
          <w:lang w:val="en-GB"/>
        </w:rPr>
        <w:tab/>
        <w:t>relevant outcomes of the two phases of the World Summit on the Information Society;</w:t>
      </w:r>
    </w:p>
    <w:p w14:paraId="7B0C230F" w14:textId="77777777" w:rsidR="00EB2A2B" w:rsidRPr="00380B40" w:rsidRDefault="00EB2A2B" w:rsidP="00EB2A2B">
      <w:pPr>
        <w:rPr>
          <w:lang w:val="en-GB"/>
        </w:rPr>
      </w:pPr>
      <w:r w:rsidRPr="00380B40">
        <w:rPr>
          <w:i/>
          <w:iCs/>
          <w:lang w:val="en-GB"/>
        </w:rPr>
        <w:t>d)</w:t>
      </w:r>
      <w:r w:rsidRPr="00380B40">
        <w:rPr>
          <w:lang w:val="en-GB"/>
        </w:rPr>
        <w:tab/>
        <w:t>the evolving role of the World Telecommunication Standardization Assembly, in accordance with Resolution 122 (Rev. Guadalajara, 2010) of the Plenipotentiary Conference,</w:t>
      </w:r>
    </w:p>
    <w:p w14:paraId="1BA9FBF9" w14:textId="77777777" w:rsidR="00EB2A2B" w:rsidRPr="00380B40" w:rsidRDefault="00EB2A2B" w:rsidP="00EB2A2B">
      <w:pPr>
        <w:pStyle w:val="Call"/>
        <w:rPr>
          <w:lang w:val="en-GB"/>
        </w:rPr>
      </w:pPr>
      <w:r w:rsidRPr="00380B40">
        <w:rPr>
          <w:lang w:val="en-GB"/>
        </w:rPr>
        <w:t>considering</w:t>
      </w:r>
    </w:p>
    <w:p w14:paraId="63344D4E" w14:textId="77777777" w:rsidR="00EB2A2B" w:rsidRPr="00380B40" w:rsidRDefault="00EB2A2B" w:rsidP="00EB2A2B">
      <w:pPr>
        <w:rPr>
          <w:lang w:val="en-GB"/>
        </w:rPr>
      </w:pPr>
      <w:r w:rsidRPr="00380B40">
        <w:rPr>
          <w:i/>
          <w:iCs/>
          <w:lang w:val="en-GB"/>
        </w:rPr>
        <w:t>a)</w:t>
      </w:r>
      <w:r w:rsidRPr="00380B40">
        <w:rPr>
          <w:lang w:val="en-GB"/>
        </w:rPr>
        <w:tab/>
        <w:t>that issues persist in some cases with respect to the delegation of country code top-level domain names (ccTLD) to entities designated by national authorities;</w:t>
      </w:r>
    </w:p>
    <w:p w14:paraId="68869EF9" w14:textId="77777777" w:rsidR="00EB2A2B" w:rsidRPr="00380B40" w:rsidRDefault="00EB2A2B" w:rsidP="00EB2A2B">
      <w:pPr>
        <w:rPr>
          <w:lang w:val="en-GB"/>
        </w:rPr>
      </w:pPr>
      <w:r w:rsidRPr="00380B40">
        <w:rPr>
          <w:i/>
          <w:iCs/>
          <w:lang w:val="en-GB"/>
        </w:rPr>
        <w:t>b)</w:t>
      </w:r>
      <w:r w:rsidRPr="00380B40">
        <w:rPr>
          <w:lang w:val="en-GB"/>
        </w:rPr>
        <w:tab/>
        <w:t>that Member States represent the interests of the population of the country or territory for which a ccTLD has been delegated, as noted in</w:t>
      </w:r>
      <w:r w:rsidRPr="00380B40">
        <w:rPr>
          <w:i/>
          <w:iCs/>
          <w:lang w:val="en-GB"/>
        </w:rPr>
        <w:t xml:space="preserve"> recognizing g)</w:t>
      </w:r>
      <w:r w:rsidRPr="00380B40">
        <w:rPr>
          <w:lang w:val="en-GB"/>
        </w:rPr>
        <w:t xml:space="preserve"> of Resolution 102 (Rev. Guadalajara, 2010);</w:t>
      </w:r>
    </w:p>
    <w:p w14:paraId="0F8D970B" w14:textId="77777777" w:rsidR="00EB2A2B" w:rsidRPr="00380B40" w:rsidRDefault="00EB2A2B" w:rsidP="00EB2A2B">
      <w:pPr>
        <w:rPr>
          <w:lang w:val="en-GB"/>
        </w:rPr>
      </w:pPr>
      <w:r w:rsidRPr="00380B40">
        <w:rPr>
          <w:i/>
          <w:iCs/>
          <w:lang w:val="en-GB"/>
        </w:rPr>
        <w:t>c)</w:t>
      </w:r>
      <w:r w:rsidRPr="00380B40">
        <w:rPr>
          <w:lang w:val="en-GB"/>
        </w:rPr>
        <w:tab/>
        <w:t xml:space="preserve">that countries should not be involved in decisions regarding another country's ccTLD, as noted in </w:t>
      </w:r>
      <w:r w:rsidRPr="00380B40">
        <w:rPr>
          <w:i/>
          <w:iCs/>
          <w:lang w:val="en-GB"/>
        </w:rPr>
        <w:t>recognizing i)</w:t>
      </w:r>
      <w:r w:rsidRPr="00380B40">
        <w:rPr>
          <w:lang w:val="en-GB"/>
        </w:rPr>
        <w:t xml:space="preserve"> of Resolution 102 (Rev. Guadalajara, 2010);</w:t>
      </w:r>
    </w:p>
    <w:p w14:paraId="45E839A4" w14:textId="77777777" w:rsidR="00EB2A2B" w:rsidRPr="00380B40" w:rsidRDefault="00EB2A2B" w:rsidP="00EB2A2B">
      <w:pPr>
        <w:rPr>
          <w:lang w:val="en-GB"/>
        </w:rPr>
      </w:pPr>
      <w:r w:rsidRPr="00380B40">
        <w:rPr>
          <w:i/>
          <w:iCs/>
          <w:lang w:val="en-GB"/>
        </w:rPr>
        <w:t>d)</w:t>
      </w:r>
      <w:r w:rsidRPr="00380B40">
        <w:rPr>
          <w:lang w:val="en-GB"/>
        </w:rPr>
        <w:tab/>
        <w:t>that intergovernmental organizations have had, and should continue to have, a facilitating role in the coordination of Internet-related public policy issues;</w:t>
      </w:r>
    </w:p>
    <w:p w14:paraId="78F82EB4" w14:textId="77777777" w:rsidR="00EB2A2B" w:rsidRPr="00380B40" w:rsidRDefault="00EB2A2B" w:rsidP="00EB2A2B">
      <w:pPr>
        <w:rPr>
          <w:lang w:val="en-GB"/>
        </w:rPr>
      </w:pPr>
      <w:r w:rsidRPr="00380B40">
        <w:rPr>
          <w:i/>
          <w:iCs/>
          <w:lang w:val="en-GB"/>
        </w:rPr>
        <w:t>e)</w:t>
      </w:r>
      <w:r w:rsidRPr="00380B40">
        <w:rPr>
          <w:lang w:val="en-GB"/>
        </w:rPr>
        <w:tab/>
        <w:t>that international organizations have also had, and should continue to have, an important role in the development of Internet-related technical standards and relevant policies;</w:t>
      </w:r>
    </w:p>
    <w:p w14:paraId="64249F55" w14:textId="77777777" w:rsidR="00EB2A2B" w:rsidRPr="00380B40" w:rsidRDefault="00EB2A2B" w:rsidP="00EB2A2B">
      <w:pPr>
        <w:rPr>
          <w:lang w:val="en-GB"/>
        </w:rPr>
      </w:pPr>
      <w:r w:rsidRPr="00380B40">
        <w:rPr>
          <w:i/>
          <w:iCs/>
          <w:lang w:val="en-GB"/>
        </w:rPr>
        <w:t>f)</w:t>
      </w:r>
      <w:r w:rsidRPr="00380B40">
        <w:rPr>
          <w:lang w:val="en-GB"/>
        </w:rPr>
        <w:tab/>
        <w:t>that ITU has a record of successfully handling similar issues,</w:t>
      </w:r>
    </w:p>
    <w:p w14:paraId="6C01681A" w14:textId="77777777" w:rsidR="00EB2A2B" w:rsidRPr="00380B40" w:rsidRDefault="00EB2A2B" w:rsidP="00EB2A2B">
      <w:pPr>
        <w:pStyle w:val="Call"/>
        <w:rPr>
          <w:lang w:val="en-GB"/>
        </w:rPr>
      </w:pPr>
      <w:r w:rsidRPr="00380B40">
        <w:rPr>
          <w:lang w:val="en-GB"/>
        </w:rPr>
        <w:t>instructs ITU-T Study Group 2</w:t>
      </w:r>
    </w:p>
    <w:p w14:paraId="0D03A0B0" w14:textId="77777777" w:rsidR="00EB2A2B" w:rsidRPr="00380B40" w:rsidRDefault="00EB2A2B" w:rsidP="00EB2A2B">
      <w:pPr>
        <w:rPr>
          <w:lang w:val="en-GB"/>
        </w:rPr>
      </w:pPr>
      <w:r w:rsidRPr="00380B40">
        <w:rPr>
          <w:lang w:val="en-GB"/>
        </w:rPr>
        <w:t>to continue studies, and to work with Member States and Sector Members, in their respective roles, recognizing the activities of other appropriate entities, to review Member States' ccTLD experiences,</w:t>
      </w:r>
    </w:p>
    <w:p w14:paraId="5F384180" w14:textId="77777777" w:rsidR="00DA3E67" w:rsidRPr="00380B40" w:rsidRDefault="00DA3E67" w:rsidP="00DA3E67">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sidRPr="00380B40">
        <w:rPr>
          <w:lang w:val="en-GB"/>
        </w:rPr>
        <w:br w:type="page"/>
      </w:r>
    </w:p>
    <w:p w14:paraId="0C35A2DF" w14:textId="77777777" w:rsidR="00EB2A2B" w:rsidRPr="00380B40" w:rsidRDefault="00EB2A2B" w:rsidP="00EB2A2B">
      <w:pPr>
        <w:pStyle w:val="Call"/>
        <w:rPr>
          <w:lang w:val="en-GB"/>
        </w:rPr>
      </w:pPr>
      <w:r w:rsidRPr="00380B40">
        <w:rPr>
          <w:lang w:val="en-GB"/>
        </w:rPr>
        <w:t>instructs the Director of the Telecommunication Standardization Bureau</w:t>
      </w:r>
    </w:p>
    <w:p w14:paraId="00B5F08D" w14:textId="77777777" w:rsidR="00EB2A2B" w:rsidRPr="00380B40" w:rsidRDefault="00EB2A2B" w:rsidP="00EB2A2B">
      <w:pPr>
        <w:rPr>
          <w:lang w:val="en-GB"/>
        </w:rPr>
      </w:pPr>
      <w:r w:rsidRPr="00380B40">
        <w:rPr>
          <w:lang w:val="en-GB"/>
        </w:rPr>
        <w:t>to take appropriate action to facilitate the above and to report to the ITU Council annually regarding the progress achieved in this area,</w:t>
      </w:r>
    </w:p>
    <w:p w14:paraId="5ED9F2CA" w14:textId="77777777" w:rsidR="00EB2A2B" w:rsidRPr="00380B40" w:rsidRDefault="00EB2A2B" w:rsidP="00EB2A2B">
      <w:pPr>
        <w:pStyle w:val="Call"/>
        <w:rPr>
          <w:lang w:val="en-GB"/>
        </w:rPr>
      </w:pPr>
      <w:r w:rsidRPr="00380B40">
        <w:rPr>
          <w:lang w:val="en-GB"/>
        </w:rPr>
        <w:t>invites Member States</w:t>
      </w:r>
    </w:p>
    <w:p w14:paraId="6A44179B" w14:textId="77777777" w:rsidR="00EB2A2B" w:rsidRPr="00380B40" w:rsidRDefault="00EB2A2B" w:rsidP="00EB2A2B">
      <w:pPr>
        <w:rPr>
          <w:lang w:val="en-GB"/>
        </w:rPr>
      </w:pPr>
      <w:r w:rsidRPr="00380B40">
        <w:rPr>
          <w:lang w:val="en-GB"/>
        </w:rPr>
        <w:t>to contribute to these activities,</w:t>
      </w:r>
    </w:p>
    <w:p w14:paraId="514A9403" w14:textId="77777777" w:rsidR="00EB2A2B" w:rsidRPr="00380B40" w:rsidRDefault="00EB2A2B" w:rsidP="00EB2A2B">
      <w:pPr>
        <w:pStyle w:val="Call"/>
        <w:rPr>
          <w:lang w:val="en-GB"/>
        </w:rPr>
      </w:pPr>
      <w:r w:rsidRPr="00380B40">
        <w:rPr>
          <w:lang w:val="en-GB"/>
        </w:rPr>
        <w:t>further invites Member States</w:t>
      </w:r>
    </w:p>
    <w:p w14:paraId="351D16D9" w14:textId="77777777" w:rsidR="00EB2A2B" w:rsidRPr="00380B40" w:rsidRDefault="00EB2A2B" w:rsidP="00EB2A2B">
      <w:pPr>
        <w:rPr>
          <w:lang w:val="en-GB"/>
        </w:rPr>
      </w:pPr>
      <w:r w:rsidRPr="00380B40">
        <w:rPr>
          <w:lang w:val="en-GB"/>
        </w:rPr>
        <w:t>to take appropriate steps within their national legal frameworks to ensure that issues related to delegation of country code top-level domains are resolved.</w:t>
      </w:r>
    </w:p>
    <w:p w14:paraId="380261EB" w14:textId="77777777" w:rsidR="00EB2A2B" w:rsidRPr="00380B40" w:rsidRDefault="00EB2A2B" w:rsidP="00EB2A2B">
      <w:pPr>
        <w:rPr>
          <w:lang w:val="en-GB"/>
        </w:rPr>
      </w:pPr>
    </w:p>
    <w:p w14:paraId="4E733B1A" w14:textId="77777777" w:rsidR="00DA3E67" w:rsidRPr="00380B40" w:rsidRDefault="00DA3E67" w:rsidP="00EB2A2B">
      <w:pPr>
        <w:rPr>
          <w:lang w:val="en-GB"/>
        </w:rPr>
      </w:pPr>
    </w:p>
    <w:p w14:paraId="35AF4045" w14:textId="77777777" w:rsidR="00DA3E67" w:rsidRPr="00380B40" w:rsidRDefault="00DA3E67" w:rsidP="00EB2A2B">
      <w:pPr>
        <w:rPr>
          <w:lang w:val="en-GB"/>
        </w:rPr>
      </w:pPr>
    </w:p>
    <w:p w14:paraId="1F415928" w14:textId="77777777" w:rsidR="00E64A6B" w:rsidRPr="00380B40" w:rsidRDefault="00E64A6B" w:rsidP="00EB2A2B">
      <w:pPr>
        <w:rPr>
          <w:lang w:val="en-GB"/>
        </w:rPr>
      </w:pPr>
    </w:p>
    <w:p w14:paraId="29060EF3" w14:textId="77777777" w:rsidR="00E64A6B" w:rsidRPr="00380B40" w:rsidRDefault="00E64A6B" w:rsidP="00EB2A2B">
      <w:pPr>
        <w:rPr>
          <w:lang w:val="en-GB"/>
        </w:rPr>
      </w:pPr>
    </w:p>
    <w:p w14:paraId="68785BB0" w14:textId="77777777" w:rsidR="00E64A6B" w:rsidRPr="00380B40" w:rsidRDefault="00E64A6B" w:rsidP="00EB2A2B">
      <w:pPr>
        <w:rPr>
          <w:lang w:val="en-GB"/>
        </w:rPr>
      </w:pPr>
    </w:p>
    <w:p w14:paraId="6C625FDA" w14:textId="77777777" w:rsidR="00E64A6B" w:rsidRPr="00380B40" w:rsidRDefault="00E64A6B" w:rsidP="00EB2A2B">
      <w:pPr>
        <w:rPr>
          <w:lang w:val="en-GB"/>
        </w:rPr>
      </w:pPr>
    </w:p>
    <w:p w14:paraId="15042423" w14:textId="77777777" w:rsidR="00E64A6B" w:rsidRPr="00380B40" w:rsidRDefault="00E64A6B" w:rsidP="00EB2A2B">
      <w:pPr>
        <w:rPr>
          <w:lang w:val="en-GB"/>
        </w:rPr>
      </w:pPr>
    </w:p>
    <w:p w14:paraId="5AEB0298" w14:textId="77777777" w:rsidR="00E64A6B" w:rsidRPr="00380B40" w:rsidRDefault="00E64A6B" w:rsidP="00EB2A2B">
      <w:pPr>
        <w:rPr>
          <w:lang w:val="en-GB"/>
        </w:rPr>
      </w:pPr>
    </w:p>
    <w:p w14:paraId="04CF5DAF" w14:textId="77777777" w:rsidR="00E64A6B" w:rsidRPr="00380B40" w:rsidRDefault="00E64A6B" w:rsidP="00EB2A2B">
      <w:pPr>
        <w:rPr>
          <w:lang w:val="en-GB"/>
        </w:rPr>
      </w:pPr>
    </w:p>
    <w:p w14:paraId="2249BB99" w14:textId="77777777" w:rsidR="00DA3E67" w:rsidRPr="00380B40" w:rsidRDefault="00DA3E67" w:rsidP="00EB2A2B">
      <w:pPr>
        <w:rPr>
          <w:lang w:val="en-GB"/>
        </w:rPr>
      </w:pPr>
    </w:p>
    <w:p w14:paraId="01AE98D4" w14:textId="77777777" w:rsidR="00DA3E67" w:rsidRPr="00380B40" w:rsidRDefault="00DA3E67" w:rsidP="00EB2A2B">
      <w:pPr>
        <w:rPr>
          <w:lang w:val="en-GB"/>
        </w:rPr>
      </w:pPr>
    </w:p>
    <w:p w14:paraId="2229B1FE" w14:textId="77777777" w:rsidR="00DA3E67" w:rsidRPr="00380B40" w:rsidRDefault="00DA3E67" w:rsidP="00EB2A2B">
      <w:pPr>
        <w:rPr>
          <w:lang w:val="en-GB"/>
        </w:rPr>
      </w:pPr>
    </w:p>
    <w:p w14:paraId="349E20DD" w14:textId="77777777" w:rsidR="00DA3E67" w:rsidRPr="00380B40" w:rsidRDefault="00DA3E67" w:rsidP="00EB2A2B">
      <w:pPr>
        <w:rPr>
          <w:lang w:val="en-GB"/>
        </w:rPr>
      </w:pPr>
    </w:p>
    <w:p w14:paraId="315F829F" w14:textId="77777777" w:rsidR="00DA3E67" w:rsidRPr="00380B40" w:rsidRDefault="00DA3E67" w:rsidP="00EB2A2B">
      <w:pPr>
        <w:rPr>
          <w:lang w:val="en-GB"/>
        </w:rPr>
      </w:pPr>
    </w:p>
    <w:p w14:paraId="3822DA6A" w14:textId="77777777" w:rsidR="00DA3E67" w:rsidRPr="00380B40" w:rsidRDefault="00DA3E67" w:rsidP="00EB2A2B">
      <w:pPr>
        <w:rPr>
          <w:lang w:val="en-GB"/>
        </w:rPr>
      </w:pPr>
    </w:p>
    <w:p w14:paraId="2C21E761" w14:textId="77777777" w:rsidR="00DA3E67" w:rsidRPr="00380B40" w:rsidRDefault="00DA3E67" w:rsidP="00EB2A2B">
      <w:pPr>
        <w:rPr>
          <w:lang w:val="en-GB"/>
        </w:rPr>
      </w:pPr>
    </w:p>
    <w:p w14:paraId="2BB64A08" w14:textId="77777777" w:rsidR="00DA3E67" w:rsidRPr="00380B40" w:rsidRDefault="00DA3E67" w:rsidP="00EB2A2B">
      <w:pPr>
        <w:rPr>
          <w:lang w:val="en-GB"/>
        </w:rPr>
      </w:pPr>
    </w:p>
    <w:p w14:paraId="0B42EDED" w14:textId="77777777" w:rsidR="00DA3E67" w:rsidRPr="00380B40" w:rsidRDefault="00DA3E67" w:rsidP="00EB2A2B">
      <w:pPr>
        <w:rPr>
          <w:lang w:val="en-GB"/>
        </w:rPr>
      </w:pPr>
    </w:p>
    <w:p w14:paraId="21AE487C" w14:textId="77777777" w:rsidR="00DA3E67" w:rsidRPr="00380B40" w:rsidRDefault="00DA3E67" w:rsidP="00EB2A2B">
      <w:pPr>
        <w:rPr>
          <w:lang w:val="en-GB"/>
        </w:rPr>
      </w:pPr>
    </w:p>
    <w:p w14:paraId="361F770B" w14:textId="77777777" w:rsidR="00DA3E67" w:rsidRPr="00380B40" w:rsidRDefault="00DA3E67" w:rsidP="00EB2A2B">
      <w:pPr>
        <w:rPr>
          <w:lang w:val="en-GB"/>
        </w:rPr>
      </w:pPr>
    </w:p>
    <w:p w14:paraId="7026AB19" w14:textId="77777777" w:rsidR="00E64A6B" w:rsidRPr="00380B40" w:rsidRDefault="00E64A6B" w:rsidP="00E64A6B">
      <w:pPr>
        <w:rPr>
          <w:lang w:val="en-GB"/>
        </w:rPr>
      </w:pPr>
    </w:p>
    <w:p w14:paraId="167ED093" w14:textId="77777777" w:rsidR="00E64A6B" w:rsidRPr="00380B40" w:rsidRDefault="00E64A6B" w:rsidP="00E64A6B">
      <w:pPr>
        <w:rPr>
          <w:lang w:val="en-GB"/>
        </w:rPr>
        <w:sectPr w:rsidR="00E64A6B" w:rsidRPr="00380B40" w:rsidSect="006B23B8">
          <w:headerReference w:type="even" r:id="rId109"/>
          <w:footerReference w:type="even" r:id="rId110"/>
          <w:footerReference w:type="default" r:id="rId111"/>
          <w:headerReference w:type="first" r:id="rId112"/>
          <w:footerReference w:type="first" r:id="rId113"/>
          <w:footnotePr>
            <w:numRestart w:val="eachSect"/>
          </w:footnotePr>
          <w:pgSz w:w="11907" w:h="16834" w:code="9"/>
          <w:pgMar w:top="1134" w:right="1134" w:bottom="1134" w:left="1134" w:header="567" w:footer="567" w:gutter="0"/>
          <w:paperSrc w:first="15" w:other="15"/>
          <w:cols w:space="720"/>
          <w:vAlign w:val="both"/>
          <w:docGrid w:linePitch="299"/>
        </w:sectPr>
      </w:pPr>
    </w:p>
    <w:p w14:paraId="1A145FDC" w14:textId="77777777" w:rsidR="00FD4FBF" w:rsidRPr="00380B40" w:rsidRDefault="00055CCD" w:rsidP="004A0742">
      <w:pPr>
        <w:pStyle w:val="ResNo"/>
        <w:rPr>
          <w:lang w:val="en-GB"/>
        </w:rPr>
      </w:pPr>
      <w:bookmarkStart w:id="191" w:name="_Toc104459723"/>
      <w:bookmarkStart w:id="192" w:name="_Toc104476531"/>
      <w:bookmarkStart w:id="193" w:name="_Toc111636773"/>
      <w:bookmarkStart w:id="194" w:name="_Toc111638424"/>
      <w:r w:rsidRPr="00380B40">
        <w:rPr>
          <w:caps w:val="0"/>
          <w:lang w:val="en-GB"/>
        </w:rPr>
        <w:t xml:space="preserve">RESOLUTION </w:t>
      </w:r>
      <w:r w:rsidR="00FD4FBF" w:rsidRPr="00380B40">
        <w:rPr>
          <w:rStyle w:val="href"/>
          <w:lang w:val="en-GB"/>
        </w:rPr>
        <w:t xml:space="preserve">48 </w:t>
      </w:r>
      <w:r w:rsidR="004A0742" w:rsidRPr="00380B40">
        <w:rPr>
          <w:lang w:val="en-GB"/>
        </w:rPr>
        <w:t>(R</w:t>
      </w:r>
      <w:r w:rsidR="0003648F" w:rsidRPr="00380B40">
        <w:rPr>
          <w:caps w:val="0"/>
          <w:lang w:val="en-GB"/>
        </w:rPr>
        <w:t>ev</w:t>
      </w:r>
      <w:r w:rsidR="004A0742" w:rsidRPr="00380B40">
        <w:rPr>
          <w:lang w:val="en-GB"/>
        </w:rPr>
        <w:t>. G</w:t>
      </w:r>
      <w:r w:rsidR="0003648F" w:rsidRPr="00380B40">
        <w:rPr>
          <w:caps w:val="0"/>
          <w:lang w:val="en-GB"/>
        </w:rPr>
        <w:t>eneva</w:t>
      </w:r>
      <w:r w:rsidR="004A0742" w:rsidRPr="00380B40">
        <w:rPr>
          <w:lang w:val="en-GB"/>
        </w:rPr>
        <w:t>, 2022)</w:t>
      </w:r>
      <w:bookmarkEnd w:id="191"/>
      <w:bookmarkEnd w:id="192"/>
      <w:bookmarkEnd w:id="193"/>
      <w:bookmarkEnd w:id="194"/>
    </w:p>
    <w:p w14:paraId="1AAE4734" w14:textId="77777777" w:rsidR="004A0742" w:rsidRPr="00380B40" w:rsidRDefault="004A0742" w:rsidP="004A0742">
      <w:pPr>
        <w:pStyle w:val="Restitle"/>
        <w:rPr>
          <w:lang w:val="en-GB"/>
        </w:rPr>
      </w:pPr>
      <w:bookmarkStart w:id="195" w:name="_Toc104459724"/>
      <w:bookmarkStart w:id="196" w:name="_Toc104476532"/>
      <w:bookmarkStart w:id="197" w:name="_Toc111638425"/>
      <w:r w:rsidRPr="00380B40">
        <w:rPr>
          <w:lang w:val="en-GB"/>
        </w:rPr>
        <w:t>Internationalized (multilingual) domain names</w:t>
      </w:r>
      <w:bookmarkEnd w:id="195"/>
      <w:bookmarkEnd w:id="196"/>
      <w:bookmarkEnd w:id="197"/>
    </w:p>
    <w:p w14:paraId="2AEE45EC" w14:textId="77777777" w:rsidR="004A0742" w:rsidRPr="00380B40" w:rsidRDefault="004A0742" w:rsidP="004A0742">
      <w:pPr>
        <w:pStyle w:val="Resref"/>
        <w:rPr>
          <w:lang w:val="en-GB"/>
        </w:rPr>
      </w:pPr>
      <w:r w:rsidRPr="00380B40">
        <w:rPr>
          <w:lang w:val="en-GB"/>
        </w:rPr>
        <w:t>(Florianópolis, 2004; Johannesburg, 2008; Dubai, 2012, Geneva 2022)</w:t>
      </w:r>
    </w:p>
    <w:p w14:paraId="11FD32C6" w14:textId="77777777" w:rsidR="004A0742" w:rsidRPr="00380B40" w:rsidRDefault="004A0742" w:rsidP="004A0742">
      <w:pPr>
        <w:pStyle w:val="Normalaftertitle0"/>
      </w:pPr>
      <w:r w:rsidRPr="00380B40">
        <w:t>The World Telecommunication Standardization Assembly (Geneva, 2022),</w:t>
      </w:r>
    </w:p>
    <w:p w14:paraId="399186B5" w14:textId="77777777" w:rsidR="004A0742" w:rsidRPr="00380B40" w:rsidRDefault="004A0742" w:rsidP="004A0742">
      <w:pPr>
        <w:pStyle w:val="Call"/>
        <w:rPr>
          <w:lang w:val="en-GB"/>
        </w:rPr>
      </w:pPr>
      <w:r w:rsidRPr="00380B40">
        <w:rPr>
          <w:lang w:val="en-GB"/>
        </w:rPr>
        <w:t>recognizing</w:t>
      </w:r>
    </w:p>
    <w:p w14:paraId="1EE9B11C" w14:textId="77777777" w:rsidR="004A0742" w:rsidRPr="00380B40" w:rsidRDefault="004A0742" w:rsidP="004A0742">
      <w:pPr>
        <w:rPr>
          <w:lang w:val="en-GB"/>
        </w:rPr>
      </w:pPr>
      <w:r w:rsidRPr="00380B40">
        <w:rPr>
          <w:i/>
          <w:iCs/>
          <w:lang w:val="en-GB"/>
        </w:rPr>
        <w:t>a)</w:t>
      </w:r>
      <w:r w:rsidRPr="00380B40">
        <w:rPr>
          <w:lang w:val="en-GB"/>
        </w:rPr>
        <w:tab/>
        <w:t>relevant parts of Resolution 102 (Rev. Dubai, 2018) of the Plenipotentiary Conference;</w:t>
      </w:r>
    </w:p>
    <w:p w14:paraId="063C5378" w14:textId="77777777" w:rsidR="004A0742" w:rsidRPr="00380B40" w:rsidRDefault="004A0742" w:rsidP="004A0742">
      <w:pPr>
        <w:rPr>
          <w:lang w:val="en-GB"/>
        </w:rPr>
      </w:pPr>
      <w:r w:rsidRPr="00380B40">
        <w:rPr>
          <w:i/>
          <w:iCs/>
          <w:lang w:val="en-GB"/>
        </w:rPr>
        <w:t>b)</w:t>
      </w:r>
      <w:r w:rsidRPr="00380B40">
        <w:rPr>
          <w:lang w:val="en-GB"/>
        </w:rPr>
        <w:tab/>
        <w:t>Resolution 133 (Rev. Dubai, 2018) of the Plenipotentiary Conference;</w:t>
      </w:r>
    </w:p>
    <w:p w14:paraId="535AE355" w14:textId="77777777" w:rsidR="004A0742" w:rsidRPr="00380B40" w:rsidRDefault="004A0742" w:rsidP="004A0742">
      <w:pPr>
        <w:rPr>
          <w:lang w:val="en-GB"/>
        </w:rPr>
      </w:pPr>
      <w:r w:rsidRPr="00380B40">
        <w:rPr>
          <w:i/>
          <w:iCs/>
          <w:lang w:val="en-GB"/>
        </w:rPr>
        <w:t>c)</w:t>
      </w:r>
      <w:r w:rsidRPr="00380B40">
        <w:rPr>
          <w:lang w:val="en-GB"/>
        </w:rPr>
        <w:tab/>
        <w:t>relevant outcomes of the two phases of the World Summit on the Information Society(WSIS);</w:t>
      </w:r>
    </w:p>
    <w:p w14:paraId="60D00B52" w14:textId="77777777" w:rsidR="004A0742" w:rsidRPr="00380B40" w:rsidRDefault="004A0742" w:rsidP="004A0742">
      <w:pPr>
        <w:rPr>
          <w:lang w:val="en-GB"/>
        </w:rPr>
      </w:pPr>
      <w:r w:rsidRPr="00380B40">
        <w:rPr>
          <w:i/>
          <w:iCs/>
          <w:lang w:val="en-GB"/>
        </w:rPr>
        <w:t>d)</w:t>
      </w:r>
      <w:r w:rsidRPr="00380B40">
        <w:rPr>
          <w:lang w:val="en-GB"/>
        </w:rPr>
        <w:tab/>
        <w:t>the evolving role of the World Telecommunication Standardization Assembly, in accordance with Resolution 122 (Rev. Guadalajara, 2010) of the Plenipotentiary Conference;</w:t>
      </w:r>
    </w:p>
    <w:p w14:paraId="284F21A8" w14:textId="77777777" w:rsidR="004A0742" w:rsidRPr="00380B40" w:rsidRDefault="004A0742" w:rsidP="004A0742">
      <w:pPr>
        <w:rPr>
          <w:lang w:val="en-GB"/>
        </w:rPr>
      </w:pPr>
      <w:r w:rsidRPr="00380B40">
        <w:rPr>
          <w:i/>
          <w:iCs/>
          <w:lang w:val="en-GB"/>
        </w:rPr>
        <w:t>e)</w:t>
      </w:r>
      <w:r w:rsidRPr="00380B40">
        <w:rPr>
          <w:lang w:val="en-GB"/>
        </w:rPr>
        <w:tab/>
        <w:t>the ITU strategic plan for 2008-2011 reflecting the important role of multilingualism in enabling the full participation of all countries in the work of ITU, in building a global information society that is open to all, and in achieving the goals and objectives of WSIS,</w:t>
      </w:r>
    </w:p>
    <w:p w14:paraId="7ECAEDD6" w14:textId="77777777" w:rsidR="004A0742" w:rsidRPr="00380B40" w:rsidRDefault="004A0742" w:rsidP="004A0742">
      <w:pPr>
        <w:pStyle w:val="Call"/>
        <w:rPr>
          <w:lang w:val="en-GB"/>
        </w:rPr>
      </w:pPr>
      <w:r w:rsidRPr="00380B40">
        <w:rPr>
          <w:lang w:val="en-GB"/>
        </w:rPr>
        <w:t>considering</w:t>
      </w:r>
    </w:p>
    <w:p w14:paraId="4A1339B4" w14:textId="77777777" w:rsidR="004A0742" w:rsidRPr="00380B40" w:rsidRDefault="004A0742" w:rsidP="004A0742">
      <w:pPr>
        <w:rPr>
          <w:lang w:val="en-GB"/>
        </w:rPr>
      </w:pPr>
      <w:r w:rsidRPr="00380B40">
        <w:rPr>
          <w:i/>
          <w:iCs/>
          <w:lang w:val="en-GB"/>
        </w:rPr>
        <w:t>a)</w:t>
      </w:r>
      <w:r w:rsidRPr="00380B40">
        <w:rPr>
          <w:lang w:val="en-GB"/>
        </w:rPr>
        <w:tab/>
        <w:t>that there needs to be further in-depth discussion of the political, economic and technical issues related to internationalized (multilingual) domain names arising out of the interaction between national sovereignty and the need for international coordination and harmonization;</w:t>
      </w:r>
    </w:p>
    <w:p w14:paraId="5E999E1B" w14:textId="77777777" w:rsidR="004A0742" w:rsidRPr="00380B40" w:rsidRDefault="004A0742" w:rsidP="004A0742">
      <w:pPr>
        <w:rPr>
          <w:lang w:val="en-GB"/>
        </w:rPr>
      </w:pPr>
      <w:r w:rsidRPr="00380B40">
        <w:rPr>
          <w:i/>
          <w:iCs/>
          <w:lang w:val="en-GB"/>
        </w:rPr>
        <w:t>b)</w:t>
      </w:r>
      <w:r w:rsidRPr="00380B40">
        <w:rPr>
          <w:lang w:val="en-GB"/>
        </w:rPr>
        <w:tab/>
        <w:t>that intergovernmental organizations have had, and should continue to have, a facilitating role in the coordination of Internet-related public policy issues;</w:t>
      </w:r>
    </w:p>
    <w:p w14:paraId="46536B58" w14:textId="77777777" w:rsidR="004A0742" w:rsidRPr="00380B40" w:rsidRDefault="004A0742" w:rsidP="004A0742">
      <w:pPr>
        <w:rPr>
          <w:lang w:val="en-GB"/>
        </w:rPr>
      </w:pPr>
      <w:r w:rsidRPr="00380B40">
        <w:rPr>
          <w:i/>
          <w:iCs/>
          <w:lang w:val="en-GB"/>
        </w:rPr>
        <w:t>c)</w:t>
      </w:r>
      <w:r w:rsidRPr="00380B40">
        <w:rPr>
          <w:lang w:val="en-GB"/>
        </w:rPr>
        <w:tab/>
        <w:t xml:space="preserve">that international organizations have also had, and should continue to have, an important role in the development of Internet-related technical standards and relevant policies; </w:t>
      </w:r>
    </w:p>
    <w:p w14:paraId="0949DA46" w14:textId="77777777" w:rsidR="004A0742" w:rsidRPr="00380B40" w:rsidRDefault="004A0742" w:rsidP="004A0742">
      <w:pPr>
        <w:rPr>
          <w:lang w:val="en-GB"/>
        </w:rPr>
      </w:pPr>
      <w:r w:rsidRPr="00380B40">
        <w:rPr>
          <w:i/>
          <w:iCs/>
          <w:lang w:val="en-GB"/>
        </w:rPr>
        <w:t>d)</w:t>
      </w:r>
      <w:r w:rsidRPr="00380B40">
        <w:rPr>
          <w:lang w:val="en-GB"/>
        </w:rPr>
        <w:tab/>
        <w:t>that the ITU Telecommunication Standardization Sector has a record of successfully handling similar issues in a timely manner, especially as to the use of non-Latin character sets;</w:t>
      </w:r>
    </w:p>
    <w:p w14:paraId="714777F5" w14:textId="77777777" w:rsidR="004A0742" w:rsidRPr="00380B40" w:rsidRDefault="004A0742" w:rsidP="004A0742">
      <w:pPr>
        <w:rPr>
          <w:lang w:val="en-GB"/>
        </w:rPr>
      </w:pPr>
      <w:r w:rsidRPr="00380B40">
        <w:rPr>
          <w:i/>
          <w:iCs/>
          <w:lang w:val="en-GB"/>
        </w:rPr>
        <w:t>e)</w:t>
      </w:r>
      <w:r w:rsidRPr="00380B40">
        <w:rPr>
          <w:lang w:val="en-GB"/>
        </w:rPr>
        <w:tab/>
        <w:t>the ongoing activities of other relevant organizations,</w:t>
      </w:r>
    </w:p>
    <w:p w14:paraId="5DD1EB9C" w14:textId="77777777" w:rsidR="0090426B" w:rsidRPr="00380B40" w:rsidRDefault="0090426B" w:rsidP="004A0742">
      <w:pPr>
        <w:pStyle w:val="Call"/>
        <w:rPr>
          <w:lang w:val="en-GB"/>
        </w:rPr>
      </w:pPr>
      <w:r w:rsidRPr="00380B40">
        <w:rPr>
          <w:lang w:val="en-GB"/>
        </w:rPr>
        <w:br w:type="page"/>
      </w:r>
    </w:p>
    <w:p w14:paraId="5948B861" w14:textId="77777777" w:rsidR="004A0742" w:rsidRPr="00380B40" w:rsidRDefault="004A0742" w:rsidP="004A0742">
      <w:pPr>
        <w:pStyle w:val="Call"/>
        <w:rPr>
          <w:lang w:val="en-GB"/>
        </w:rPr>
      </w:pPr>
      <w:r w:rsidRPr="00380B40">
        <w:rPr>
          <w:lang w:val="en-GB"/>
        </w:rPr>
        <w:t>resolves to instruct Study Group 16 of the ITU Telecommunication Standardization Sector and other relevant study groups</w:t>
      </w:r>
    </w:p>
    <w:p w14:paraId="55D652FA" w14:textId="77777777" w:rsidR="004A0742" w:rsidRPr="00380B40" w:rsidRDefault="004A0742" w:rsidP="004A0742">
      <w:pPr>
        <w:rPr>
          <w:lang w:val="en-GB"/>
        </w:rPr>
      </w:pPr>
      <w:r w:rsidRPr="00380B40">
        <w:rPr>
          <w:lang w:val="en-GB"/>
        </w:rPr>
        <w:t>to continue to study internationalized (multilingual) domain names, and to continue to liaise and cooperate with appropriate entities, whether intergovernmental or non-governmental, in this area,</w:t>
      </w:r>
    </w:p>
    <w:p w14:paraId="1A3A36AF" w14:textId="77777777" w:rsidR="004A0742" w:rsidRPr="00380B40" w:rsidRDefault="004A0742" w:rsidP="004A0742">
      <w:pPr>
        <w:pStyle w:val="Call"/>
        <w:rPr>
          <w:lang w:val="en-GB"/>
        </w:rPr>
      </w:pPr>
      <w:r w:rsidRPr="00380B40">
        <w:rPr>
          <w:lang w:val="en-GB"/>
        </w:rPr>
        <w:t>instructs the Director of the Telecommunication Standardization Bureau</w:t>
      </w:r>
    </w:p>
    <w:p w14:paraId="4650A6B3" w14:textId="77777777" w:rsidR="004A0742" w:rsidRPr="00380B40" w:rsidRDefault="004A0742" w:rsidP="004A0742">
      <w:pPr>
        <w:rPr>
          <w:lang w:val="en-GB"/>
        </w:rPr>
      </w:pPr>
      <w:r w:rsidRPr="00380B40">
        <w:rPr>
          <w:lang w:val="en-GB"/>
        </w:rPr>
        <w:t>to take appropriate action to facilitate the above and to report to the ITU Council annually regarding the progress achieved in this area,</w:t>
      </w:r>
    </w:p>
    <w:p w14:paraId="1F17F3AD" w14:textId="77777777" w:rsidR="004A0742" w:rsidRPr="00380B40" w:rsidRDefault="004A0742" w:rsidP="004A0742">
      <w:pPr>
        <w:pStyle w:val="Call"/>
        <w:rPr>
          <w:lang w:val="en-GB"/>
        </w:rPr>
      </w:pPr>
      <w:r w:rsidRPr="00380B40">
        <w:rPr>
          <w:lang w:val="en-GB"/>
        </w:rPr>
        <w:t>invites Member States, Sector Members and regional groups concerned</w:t>
      </w:r>
    </w:p>
    <w:p w14:paraId="74EBF4BC" w14:textId="77777777" w:rsidR="004A0742" w:rsidRPr="00380B40" w:rsidRDefault="004A0742" w:rsidP="004A0742">
      <w:pPr>
        <w:pStyle w:val="Reasons"/>
      </w:pPr>
      <w:r w:rsidRPr="00380B40">
        <w:t>to contribute to these activities.</w:t>
      </w:r>
    </w:p>
    <w:p w14:paraId="1B18B5AD" w14:textId="77777777" w:rsidR="0090426B" w:rsidRPr="00380B40" w:rsidRDefault="0090426B" w:rsidP="004A0742">
      <w:pPr>
        <w:pStyle w:val="Reasons"/>
      </w:pPr>
    </w:p>
    <w:p w14:paraId="1DFE7E8C" w14:textId="77777777" w:rsidR="0090426B" w:rsidRPr="00380B40" w:rsidRDefault="0090426B" w:rsidP="004A0742">
      <w:pPr>
        <w:pStyle w:val="Reasons"/>
      </w:pPr>
    </w:p>
    <w:p w14:paraId="47498C63" w14:textId="77777777" w:rsidR="0090426B" w:rsidRPr="00380B40" w:rsidRDefault="0090426B" w:rsidP="004A0742">
      <w:pPr>
        <w:pStyle w:val="Reasons"/>
      </w:pPr>
    </w:p>
    <w:p w14:paraId="6B9B8F66" w14:textId="77777777" w:rsidR="0090426B" w:rsidRPr="00380B40" w:rsidRDefault="0090426B" w:rsidP="004A0742">
      <w:pPr>
        <w:pStyle w:val="Reasons"/>
      </w:pPr>
    </w:p>
    <w:p w14:paraId="49D9294D" w14:textId="77777777" w:rsidR="0090426B" w:rsidRPr="00380B40" w:rsidRDefault="0090426B" w:rsidP="004A0742">
      <w:pPr>
        <w:pStyle w:val="Reasons"/>
      </w:pPr>
    </w:p>
    <w:p w14:paraId="2B124285" w14:textId="77777777" w:rsidR="0090426B" w:rsidRPr="00380B40" w:rsidRDefault="0090426B" w:rsidP="004A0742">
      <w:pPr>
        <w:pStyle w:val="Reasons"/>
      </w:pPr>
    </w:p>
    <w:p w14:paraId="768EB018" w14:textId="77777777" w:rsidR="0090426B" w:rsidRPr="00380B40" w:rsidRDefault="0090426B" w:rsidP="004A0742">
      <w:pPr>
        <w:pStyle w:val="Reasons"/>
      </w:pPr>
    </w:p>
    <w:p w14:paraId="5B06895F" w14:textId="77777777" w:rsidR="0090426B" w:rsidRPr="00380B40" w:rsidRDefault="0090426B" w:rsidP="004A0742">
      <w:pPr>
        <w:pStyle w:val="Reasons"/>
      </w:pPr>
    </w:p>
    <w:p w14:paraId="24D0D6B5" w14:textId="77777777" w:rsidR="0090426B" w:rsidRPr="00380B40" w:rsidRDefault="0090426B" w:rsidP="004A0742">
      <w:pPr>
        <w:pStyle w:val="Reasons"/>
      </w:pPr>
    </w:p>
    <w:p w14:paraId="7AC9A562" w14:textId="77777777" w:rsidR="0090426B" w:rsidRPr="00380B40" w:rsidRDefault="0090426B" w:rsidP="004A0742">
      <w:pPr>
        <w:pStyle w:val="Reasons"/>
      </w:pPr>
    </w:p>
    <w:p w14:paraId="24DA9352" w14:textId="77777777" w:rsidR="0090426B" w:rsidRPr="00380B40" w:rsidRDefault="0090426B" w:rsidP="004A0742">
      <w:pPr>
        <w:pStyle w:val="Reasons"/>
      </w:pPr>
    </w:p>
    <w:p w14:paraId="705267DC" w14:textId="77777777" w:rsidR="0090426B" w:rsidRPr="00380B40" w:rsidRDefault="0090426B" w:rsidP="004A0742">
      <w:pPr>
        <w:pStyle w:val="Reasons"/>
      </w:pPr>
    </w:p>
    <w:p w14:paraId="2467502B" w14:textId="77777777" w:rsidR="0090426B" w:rsidRPr="00380B40" w:rsidRDefault="0090426B" w:rsidP="004A0742">
      <w:pPr>
        <w:pStyle w:val="Reasons"/>
      </w:pPr>
    </w:p>
    <w:p w14:paraId="2A7B552B" w14:textId="77777777" w:rsidR="0090426B" w:rsidRPr="00380B40" w:rsidRDefault="0090426B" w:rsidP="004A0742">
      <w:pPr>
        <w:pStyle w:val="Reasons"/>
      </w:pPr>
    </w:p>
    <w:p w14:paraId="587F1A67" w14:textId="77777777" w:rsidR="00E64A6B" w:rsidRPr="00380B40" w:rsidRDefault="00E64A6B" w:rsidP="00E64A6B">
      <w:pPr>
        <w:rPr>
          <w:lang w:val="en-GB"/>
        </w:rPr>
      </w:pPr>
    </w:p>
    <w:p w14:paraId="1F24BBB5" w14:textId="77777777" w:rsidR="00E64A6B" w:rsidRPr="00380B40" w:rsidRDefault="00E64A6B" w:rsidP="00E64A6B">
      <w:pPr>
        <w:rPr>
          <w:lang w:val="en-GB"/>
        </w:rPr>
        <w:sectPr w:rsidR="00E64A6B" w:rsidRPr="00380B40" w:rsidSect="006B23B8">
          <w:footerReference w:type="even" r:id="rId114"/>
          <w:footerReference w:type="default" r:id="rId115"/>
          <w:headerReference w:type="first" r:id="rId116"/>
          <w:footerReference w:type="first" r:id="rId117"/>
          <w:footnotePr>
            <w:numRestart w:val="eachSect"/>
          </w:footnotePr>
          <w:pgSz w:w="11907" w:h="16834" w:code="9"/>
          <w:pgMar w:top="1134" w:right="1134" w:bottom="1134" w:left="1134" w:header="567" w:footer="567" w:gutter="0"/>
          <w:paperSrc w:first="15" w:other="15"/>
          <w:cols w:space="720"/>
          <w:vAlign w:val="both"/>
          <w:docGrid w:linePitch="299"/>
        </w:sectPr>
      </w:pPr>
    </w:p>
    <w:p w14:paraId="5F41E3DF" w14:textId="77777777" w:rsidR="004A3010" w:rsidRPr="00380B40" w:rsidRDefault="004A3010" w:rsidP="004A3010">
      <w:pPr>
        <w:pStyle w:val="ResNo"/>
        <w:rPr>
          <w:lang w:val="en-GB"/>
        </w:rPr>
      </w:pPr>
      <w:bookmarkStart w:id="198" w:name="_Toc104459725"/>
      <w:bookmarkStart w:id="199" w:name="_Toc104476533"/>
      <w:bookmarkStart w:id="200" w:name="_Toc111636774"/>
      <w:bookmarkStart w:id="201" w:name="_Toc111638426"/>
      <w:r w:rsidRPr="00380B40">
        <w:rPr>
          <w:lang w:val="en-GB"/>
        </w:rPr>
        <w:t xml:space="preserve">RESOLUTION </w:t>
      </w:r>
      <w:r w:rsidRPr="00380B40">
        <w:rPr>
          <w:rStyle w:val="href"/>
          <w:lang w:val="en-GB"/>
        </w:rPr>
        <w:t>49</w:t>
      </w:r>
      <w:r w:rsidRPr="00380B40">
        <w:rPr>
          <w:lang w:val="en-GB"/>
        </w:rPr>
        <w:t xml:space="preserve"> (</w:t>
      </w:r>
      <w:r w:rsidRPr="00380B40">
        <w:rPr>
          <w:caps w:val="0"/>
          <w:lang w:val="en-GB"/>
        </w:rPr>
        <w:t>Rev</w:t>
      </w:r>
      <w:r w:rsidRPr="00380B40">
        <w:rPr>
          <w:lang w:val="en-GB"/>
        </w:rPr>
        <w:t xml:space="preserve">. </w:t>
      </w:r>
      <w:r w:rsidRPr="00380B40">
        <w:rPr>
          <w:caps w:val="0"/>
          <w:lang w:val="en-GB"/>
        </w:rPr>
        <w:t>Hammamet</w:t>
      </w:r>
      <w:r w:rsidRPr="00380B40">
        <w:rPr>
          <w:lang w:val="en-GB"/>
        </w:rPr>
        <w:t>, 2016)</w:t>
      </w:r>
      <w:bookmarkEnd w:id="198"/>
      <w:bookmarkEnd w:id="199"/>
      <w:bookmarkEnd w:id="200"/>
      <w:bookmarkEnd w:id="201"/>
    </w:p>
    <w:p w14:paraId="7DCFC909" w14:textId="77777777" w:rsidR="004A3010" w:rsidRPr="00380B40" w:rsidRDefault="004A3010" w:rsidP="004A3010">
      <w:pPr>
        <w:pStyle w:val="Restitle"/>
        <w:rPr>
          <w:lang w:val="en-GB"/>
        </w:rPr>
      </w:pPr>
      <w:bookmarkStart w:id="202" w:name="_Toc104459726"/>
      <w:bookmarkStart w:id="203" w:name="_Toc104476534"/>
      <w:bookmarkStart w:id="204" w:name="_Toc111638427"/>
      <w:r w:rsidRPr="00380B40">
        <w:rPr>
          <w:lang w:val="en-GB"/>
        </w:rPr>
        <w:t>ENUM</w:t>
      </w:r>
      <w:bookmarkEnd w:id="202"/>
      <w:bookmarkEnd w:id="203"/>
      <w:bookmarkEnd w:id="204"/>
    </w:p>
    <w:p w14:paraId="2760551C" w14:textId="77777777" w:rsidR="004A3010" w:rsidRPr="00380B40" w:rsidRDefault="004A3010" w:rsidP="004A3010">
      <w:pPr>
        <w:pStyle w:val="Resref"/>
        <w:rPr>
          <w:lang w:val="en-GB"/>
        </w:rPr>
      </w:pPr>
      <w:r w:rsidRPr="00380B40">
        <w:rPr>
          <w:lang w:val="en-GB"/>
        </w:rPr>
        <w:t>(Florianópolis, 2004; Johannesburg, 2008; Dubai, 2012; Hammamet, 2016)</w:t>
      </w:r>
    </w:p>
    <w:p w14:paraId="35ADC9F2" w14:textId="77777777" w:rsidR="004A3010" w:rsidRPr="00380B40" w:rsidRDefault="004A3010" w:rsidP="004A3010">
      <w:pPr>
        <w:pStyle w:val="Normalaftertitle0"/>
      </w:pPr>
      <w:r w:rsidRPr="00380B40">
        <w:t>The World Telecommunication Standardization Assembly (Hammamet, 2016),</w:t>
      </w:r>
    </w:p>
    <w:p w14:paraId="67291A49" w14:textId="77777777" w:rsidR="004A3010" w:rsidRPr="00380B40" w:rsidRDefault="004A3010" w:rsidP="004A3010">
      <w:pPr>
        <w:pStyle w:val="Call"/>
        <w:rPr>
          <w:lang w:val="en-GB"/>
        </w:rPr>
      </w:pPr>
      <w:r w:rsidRPr="00380B40">
        <w:rPr>
          <w:lang w:val="en-GB"/>
        </w:rPr>
        <w:t xml:space="preserve">recognizing </w:t>
      </w:r>
    </w:p>
    <w:p w14:paraId="2EE24666" w14:textId="77777777" w:rsidR="004A3010" w:rsidRPr="00380B40" w:rsidRDefault="004A3010" w:rsidP="004A3010">
      <w:pPr>
        <w:keepNext/>
        <w:rPr>
          <w:lang w:val="en-GB"/>
        </w:rPr>
      </w:pPr>
      <w:r w:rsidRPr="00380B40">
        <w:rPr>
          <w:i/>
          <w:iCs/>
          <w:lang w:val="en-GB"/>
        </w:rPr>
        <w:t>a)</w:t>
      </w:r>
      <w:r w:rsidRPr="00380B40">
        <w:rPr>
          <w:lang w:val="en-GB"/>
        </w:rPr>
        <w:tab/>
        <w:t>Resolution 133 (Rev. Busan, 2014) of the Plenipotentiary Conference, in particular:</w:t>
      </w:r>
    </w:p>
    <w:p w14:paraId="39B395C4" w14:textId="77777777" w:rsidR="004A3010" w:rsidRPr="00380B40" w:rsidRDefault="004A3010" w:rsidP="004A3010">
      <w:pPr>
        <w:pStyle w:val="enumlev1"/>
        <w:rPr>
          <w:lang w:val="en-GB"/>
        </w:rPr>
      </w:pPr>
      <w:r w:rsidRPr="00380B40">
        <w:rPr>
          <w:lang w:val="en-GB"/>
        </w:rPr>
        <w:t>i)</w:t>
      </w:r>
      <w:r w:rsidRPr="00380B40">
        <w:rPr>
          <w:lang w:val="en-GB"/>
        </w:rPr>
        <w:tab/>
        <w:t>the continuing progress towards integration of telecommunications and the Internet;</w:t>
      </w:r>
    </w:p>
    <w:p w14:paraId="39854A75" w14:textId="77777777" w:rsidR="004A3010" w:rsidRPr="00380B40" w:rsidRDefault="004A3010" w:rsidP="004A3010">
      <w:pPr>
        <w:pStyle w:val="enumlev1"/>
        <w:rPr>
          <w:lang w:val="en-GB"/>
        </w:rPr>
      </w:pPr>
      <w:r w:rsidRPr="00380B40">
        <w:rPr>
          <w:lang w:val="en-GB"/>
        </w:rPr>
        <w:t>ii)</w:t>
      </w:r>
      <w:r w:rsidRPr="00380B40">
        <w:rPr>
          <w:lang w:val="en-GB"/>
        </w:rPr>
        <w:tab/>
        <w:t>the existing role and sovereignty of ITU Member States with respect to allocation and management of their country code numbering resources as enshrined in Recommendation ITU</w:t>
      </w:r>
      <w:r w:rsidRPr="00380B40">
        <w:rPr>
          <w:lang w:val="en-GB"/>
        </w:rPr>
        <w:noBreakHyphen/>
        <w:t>T E.164;</w:t>
      </w:r>
    </w:p>
    <w:p w14:paraId="49864491" w14:textId="77777777" w:rsidR="004A3010" w:rsidRPr="00380B40" w:rsidRDefault="004A3010" w:rsidP="004A3010">
      <w:pPr>
        <w:pStyle w:val="enumlev1"/>
        <w:rPr>
          <w:lang w:val="en-GB"/>
        </w:rPr>
      </w:pPr>
      <w:r w:rsidRPr="00380B40">
        <w:rPr>
          <w:lang w:val="en-GB"/>
        </w:rPr>
        <w:t>iii)</w:t>
      </w:r>
      <w:r w:rsidRPr="00380B40">
        <w:rPr>
          <w:lang w:val="en-GB"/>
        </w:rPr>
        <w:tab/>
        <w:t>the operative paragraph instructing the Secretary-General and the Directors of the Bureaux to take any necessary action to ensure the sovereignty of ITU Member States with regard to Recommendation ITU</w:t>
      </w:r>
      <w:r w:rsidRPr="00380B40">
        <w:rPr>
          <w:lang w:val="en-GB"/>
        </w:rPr>
        <w:noBreakHyphen/>
        <w:t>T E.164 numbering plans whatever the application in which they are used;</w:t>
      </w:r>
    </w:p>
    <w:p w14:paraId="3F015541" w14:textId="77777777" w:rsidR="004A3010" w:rsidRPr="00380B40" w:rsidRDefault="004A3010" w:rsidP="004A3010">
      <w:pPr>
        <w:rPr>
          <w:lang w:val="en-GB"/>
        </w:rPr>
      </w:pPr>
      <w:r w:rsidRPr="00380B40">
        <w:rPr>
          <w:i/>
          <w:iCs/>
          <w:lang w:val="en-GB"/>
        </w:rPr>
        <w:t>b)</w:t>
      </w:r>
      <w:r w:rsidRPr="00380B40">
        <w:rPr>
          <w:lang w:val="en-GB"/>
        </w:rPr>
        <w:tab/>
        <w:t>the evolving role of the World Telecommunication Standardization Assembly, as reflected in Resolution 122 (Rev. Guadalajara, 2010) of the Plenipotentiary Conference,</w:t>
      </w:r>
    </w:p>
    <w:p w14:paraId="31306BA4" w14:textId="77777777" w:rsidR="004A3010" w:rsidRPr="00380B40" w:rsidRDefault="004A3010" w:rsidP="004A3010">
      <w:pPr>
        <w:pStyle w:val="Call"/>
        <w:rPr>
          <w:lang w:val="en-GB"/>
        </w:rPr>
      </w:pPr>
      <w:r w:rsidRPr="00380B40">
        <w:rPr>
          <w:lang w:val="en-GB"/>
        </w:rPr>
        <w:t>noting</w:t>
      </w:r>
    </w:p>
    <w:p w14:paraId="299E41EE" w14:textId="77777777" w:rsidR="004A3010" w:rsidRPr="00380B40" w:rsidRDefault="004A3010" w:rsidP="004A3010">
      <w:pPr>
        <w:rPr>
          <w:lang w:val="en-GB"/>
        </w:rPr>
      </w:pPr>
      <w:r w:rsidRPr="00380B40">
        <w:rPr>
          <w:i/>
          <w:iCs/>
          <w:lang w:val="en-GB"/>
        </w:rPr>
        <w:t>a)</w:t>
      </w:r>
      <w:r w:rsidRPr="00380B40">
        <w:rPr>
          <w:lang w:val="en-GB"/>
        </w:rPr>
        <w:tab/>
        <w:t>the work of Study Group 2 of the ITU Telecommunication Standardization Sector (ITU</w:t>
      </w:r>
      <w:r w:rsidRPr="00380B40">
        <w:rPr>
          <w:lang w:val="en-GB"/>
        </w:rPr>
        <w:noBreakHyphen/>
        <w:t>T) concerning ENUM;</w:t>
      </w:r>
    </w:p>
    <w:p w14:paraId="375408A6" w14:textId="77777777" w:rsidR="004A3010" w:rsidRPr="00380B40" w:rsidRDefault="004A3010" w:rsidP="004A3010">
      <w:pPr>
        <w:rPr>
          <w:lang w:val="en-GB"/>
        </w:rPr>
      </w:pPr>
      <w:r w:rsidRPr="00380B40">
        <w:rPr>
          <w:i/>
          <w:iCs/>
          <w:lang w:val="en-GB"/>
        </w:rPr>
        <w:t>b)</w:t>
      </w:r>
      <w:r w:rsidRPr="00380B40">
        <w:rPr>
          <w:lang w:val="en-GB"/>
        </w:rPr>
        <w:tab/>
        <w:t>the current unresolved issues concerning administrative control of the highest level Internet domain which will be used for ENUM,</w:t>
      </w:r>
    </w:p>
    <w:p w14:paraId="2DDCA332" w14:textId="77777777" w:rsidR="004A3010" w:rsidRPr="00380B40" w:rsidRDefault="004A3010" w:rsidP="004A3010">
      <w:pPr>
        <w:pStyle w:val="Call"/>
        <w:rPr>
          <w:lang w:val="en-GB"/>
        </w:rPr>
      </w:pPr>
      <w:r w:rsidRPr="00380B40">
        <w:rPr>
          <w:lang w:val="en-GB"/>
        </w:rPr>
        <w:t>resolves to instruct Study Group 2 of the ITU Telecommunication Standardization Sector</w:t>
      </w:r>
    </w:p>
    <w:p w14:paraId="046D754F" w14:textId="77777777" w:rsidR="004A3010" w:rsidRPr="00380B40" w:rsidRDefault="004A3010" w:rsidP="004A3010">
      <w:pPr>
        <w:rPr>
          <w:lang w:val="en-GB"/>
        </w:rPr>
      </w:pPr>
      <w:r w:rsidRPr="00380B40">
        <w:rPr>
          <w:lang w:val="en-GB"/>
        </w:rPr>
        <w:t>1</w:t>
      </w:r>
      <w:r w:rsidRPr="00380B40">
        <w:rPr>
          <w:lang w:val="en-GB"/>
        </w:rPr>
        <w:tab/>
        <w:t>to study how ITU could have administrative control over changes that could relate to the international telecommunication resources (including naming, numbering, addressing and routing) used for ENUM;</w:t>
      </w:r>
    </w:p>
    <w:p w14:paraId="7639F764" w14:textId="77777777" w:rsidR="004A3010" w:rsidRPr="00380B40" w:rsidRDefault="004A3010" w:rsidP="004A3010">
      <w:pPr>
        <w:rPr>
          <w:lang w:val="en-GB"/>
        </w:rPr>
      </w:pPr>
      <w:r w:rsidRPr="00380B40">
        <w:rPr>
          <w:lang w:val="en-GB"/>
        </w:rPr>
        <w:t>2</w:t>
      </w:r>
      <w:r w:rsidRPr="00380B40">
        <w:rPr>
          <w:lang w:val="en-GB"/>
        </w:rPr>
        <w:tab/>
        <w:t xml:space="preserve">to evaluate the current interim procedure for ENUM delegation, and report back to the Director of the Telecommunication Standardization Bureau, </w:t>
      </w:r>
    </w:p>
    <w:p w14:paraId="28D4B12A" w14:textId="77777777" w:rsidR="00FA1C23" w:rsidRPr="00380B40" w:rsidRDefault="00FA1C23">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sidRPr="00380B40">
        <w:rPr>
          <w:lang w:val="en-GB"/>
        </w:rPr>
        <w:br w:type="page"/>
      </w:r>
    </w:p>
    <w:p w14:paraId="029D593A" w14:textId="77777777" w:rsidR="004A3010" w:rsidRPr="00380B40" w:rsidRDefault="004A3010" w:rsidP="004A3010">
      <w:pPr>
        <w:pStyle w:val="Call"/>
        <w:rPr>
          <w:lang w:val="en-GB"/>
        </w:rPr>
      </w:pPr>
      <w:r w:rsidRPr="00380B40">
        <w:rPr>
          <w:lang w:val="en-GB"/>
        </w:rPr>
        <w:t>instructs the Director of the Telecommunication Standardization Bureau</w:t>
      </w:r>
    </w:p>
    <w:p w14:paraId="6974A5B0" w14:textId="77777777" w:rsidR="004A3010" w:rsidRPr="00380B40" w:rsidRDefault="004A3010" w:rsidP="004A3010">
      <w:pPr>
        <w:rPr>
          <w:i/>
          <w:lang w:val="en-GB"/>
        </w:rPr>
      </w:pPr>
      <w:r w:rsidRPr="00380B40">
        <w:rPr>
          <w:lang w:val="en-GB"/>
        </w:rPr>
        <w:t>to take appropriate action to facilitate the above and to report to the ITU Council annually regarding the progress achieved in this area, including the continuation of further studies in relation to draft Recommendation ITU</w:t>
      </w:r>
      <w:r w:rsidRPr="00380B40">
        <w:rPr>
          <w:lang w:val="en-GB"/>
        </w:rPr>
        <w:noBreakHyphen/>
        <w:t>T E.A-ENUM (new version), on principles and procedures for the administration of E.164 country codes for registration into the Domain Name System, and draft Recommendation ITU</w:t>
      </w:r>
      <w:r w:rsidRPr="00380B40">
        <w:rPr>
          <w:lang w:val="en-GB"/>
        </w:rPr>
        <w:noBreakHyphen/>
        <w:t>T E.A</w:t>
      </w:r>
      <w:r w:rsidRPr="00380B40">
        <w:rPr>
          <w:lang w:val="en-GB"/>
        </w:rPr>
        <w:noBreakHyphen/>
        <w:t>N/GoC (new version), on administrative procedures for ENUM for E.164 country codes and associated ICs for networks and GICs for groups of countries,</w:t>
      </w:r>
    </w:p>
    <w:p w14:paraId="3B0543CE" w14:textId="77777777" w:rsidR="004A3010" w:rsidRPr="00380B40" w:rsidRDefault="004A3010" w:rsidP="004A3010">
      <w:pPr>
        <w:pStyle w:val="Call"/>
        <w:rPr>
          <w:lang w:val="en-GB"/>
        </w:rPr>
      </w:pPr>
      <w:r w:rsidRPr="00380B40">
        <w:rPr>
          <w:lang w:val="en-GB"/>
        </w:rPr>
        <w:t>invites Member States</w:t>
      </w:r>
    </w:p>
    <w:p w14:paraId="540711C6" w14:textId="77777777" w:rsidR="004A3010" w:rsidRPr="00380B40" w:rsidRDefault="004A3010" w:rsidP="004A3010">
      <w:pPr>
        <w:rPr>
          <w:lang w:val="en-GB"/>
        </w:rPr>
      </w:pPr>
      <w:r w:rsidRPr="00380B40">
        <w:rPr>
          <w:lang w:val="en-GB"/>
        </w:rPr>
        <w:t>to contribute to these activities,</w:t>
      </w:r>
    </w:p>
    <w:p w14:paraId="2E41ADE6" w14:textId="77777777" w:rsidR="004A3010" w:rsidRPr="00380B40" w:rsidRDefault="004A3010" w:rsidP="004A3010">
      <w:pPr>
        <w:pStyle w:val="Call"/>
        <w:rPr>
          <w:lang w:val="en-GB"/>
        </w:rPr>
      </w:pPr>
      <w:r w:rsidRPr="00380B40">
        <w:rPr>
          <w:lang w:val="en-GB"/>
        </w:rPr>
        <w:t>further invites Member States</w:t>
      </w:r>
    </w:p>
    <w:p w14:paraId="28B929A5" w14:textId="77777777" w:rsidR="004A3010" w:rsidRPr="00380B40" w:rsidRDefault="004A3010" w:rsidP="004A3010">
      <w:pPr>
        <w:rPr>
          <w:lang w:val="en-GB"/>
        </w:rPr>
      </w:pPr>
      <w:r w:rsidRPr="00380B40">
        <w:rPr>
          <w:lang w:val="en-GB"/>
        </w:rPr>
        <w:t>to take appropriate steps within their national legal frameworks to ensure proper implementation of this resolution.</w:t>
      </w:r>
    </w:p>
    <w:p w14:paraId="627F77A8" w14:textId="77777777" w:rsidR="002A706F" w:rsidRPr="00380B40" w:rsidRDefault="002A706F" w:rsidP="004A3010">
      <w:pPr>
        <w:rPr>
          <w:lang w:val="en-GB"/>
        </w:rPr>
      </w:pPr>
    </w:p>
    <w:p w14:paraId="4F1E4444" w14:textId="77777777" w:rsidR="00FA1C23" w:rsidRPr="00380B40" w:rsidRDefault="00FA1C23" w:rsidP="004A3010">
      <w:pPr>
        <w:rPr>
          <w:lang w:val="en-GB"/>
        </w:rPr>
      </w:pPr>
    </w:p>
    <w:p w14:paraId="572DD58B" w14:textId="77777777" w:rsidR="00FA1C23" w:rsidRPr="00380B40" w:rsidRDefault="00FA1C23" w:rsidP="004A3010">
      <w:pPr>
        <w:rPr>
          <w:lang w:val="en-GB"/>
        </w:rPr>
      </w:pPr>
    </w:p>
    <w:p w14:paraId="14662478" w14:textId="77777777" w:rsidR="00FA1C23" w:rsidRPr="00380B40" w:rsidRDefault="00FA1C23" w:rsidP="004A3010">
      <w:pPr>
        <w:rPr>
          <w:lang w:val="en-GB"/>
        </w:rPr>
      </w:pPr>
    </w:p>
    <w:p w14:paraId="2D91C372" w14:textId="77777777" w:rsidR="00FA1C23" w:rsidRPr="00380B40" w:rsidRDefault="00FA1C23" w:rsidP="004A3010">
      <w:pPr>
        <w:rPr>
          <w:lang w:val="en-GB"/>
        </w:rPr>
      </w:pPr>
    </w:p>
    <w:p w14:paraId="4C03BA90" w14:textId="77777777" w:rsidR="00FA1C23" w:rsidRPr="00380B40" w:rsidRDefault="00FA1C23" w:rsidP="004A3010">
      <w:pPr>
        <w:rPr>
          <w:lang w:val="en-GB"/>
        </w:rPr>
      </w:pPr>
    </w:p>
    <w:p w14:paraId="46191176" w14:textId="77777777" w:rsidR="00FA1C23" w:rsidRPr="00380B40" w:rsidRDefault="00FA1C23" w:rsidP="004A3010">
      <w:pPr>
        <w:rPr>
          <w:lang w:val="en-GB"/>
        </w:rPr>
      </w:pPr>
    </w:p>
    <w:p w14:paraId="4ABFABF7" w14:textId="77777777" w:rsidR="00FA1C23" w:rsidRPr="00380B40" w:rsidRDefault="00FA1C23" w:rsidP="004A3010">
      <w:pPr>
        <w:rPr>
          <w:lang w:val="en-GB"/>
        </w:rPr>
      </w:pPr>
    </w:p>
    <w:p w14:paraId="3635033D" w14:textId="77777777" w:rsidR="00FA1C23" w:rsidRPr="00380B40" w:rsidRDefault="00FA1C23" w:rsidP="004A3010">
      <w:pPr>
        <w:rPr>
          <w:lang w:val="en-GB"/>
        </w:rPr>
      </w:pPr>
    </w:p>
    <w:p w14:paraId="2ACA1334" w14:textId="77777777" w:rsidR="00FA1C23" w:rsidRPr="00380B40" w:rsidRDefault="00FA1C23" w:rsidP="004A3010">
      <w:pPr>
        <w:rPr>
          <w:lang w:val="en-GB"/>
        </w:rPr>
      </w:pPr>
    </w:p>
    <w:p w14:paraId="254F75C7" w14:textId="77777777" w:rsidR="00FA1C23" w:rsidRPr="00380B40" w:rsidRDefault="00FA1C23" w:rsidP="004A3010">
      <w:pPr>
        <w:rPr>
          <w:lang w:val="en-GB"/>
        </w:rPr>
      </w:pPr>
    </w:p>
    <w:p w14:paraId="74661C7F" w14:textId="77777777" w:rsidR="00FA1C23" w:rsidRPr="00380B40" w:rsidRDefault="00FA1C23" w:rsidP="004A3010">
      <w:pPr>
        <w:rPr>
          <w:lang w:val="en-GB"/>
        </w:rPr>
      </w:pPr>
    </w:p>
    <w:p w14:paraId="0C601FBD" w14:textId="77777777" w:rsidR="00FA1C23" w:rsidRPr="00380B40" w:rsidRDefault="00FA1C23" w:rsidP="004A3010">
      <w:pPr>
        <w:rPr>
          <w:lang w:val="en-GB"/>
        </w:rPr>
      </w:pPr>
    </w:p>
    <w:p w14:paraId="5EAE42D7" w14:textId="77777777" w:rsidR="00FA1C23" w:rsidRPr="00380B40" w:rsidRDefault="00FA1C23" w:rsidP="004A3010">
      <w:pPr>
        <w:rPr>
          <w:lang w:val="en-GB"/>
        </w:rPr>
      </w:pPr>
    </w:p>
    <w:p w14:paraId="5E472040" w14:textId="77777777" w:rsidR="00E64A6B" w:rsidRPr="00380B40" w:rsidRDefault="00E64A6B" w:rsidP="00E64A6B">
      <w:pPr>
        <w:rPr>
          <w:lang w:val="en-GB"/>
        </w:rPr>
      </w:pPr>
    </w:p>
    <w:p w14:paraId="69AD1189" w14:textId="77777777" w:rsidR="00E64A6B" w:rsidRPr="00380B40" w:rsidRDefault="00E64A6B" w:rsidP="00E64A6B">
      <w:pPr>
        <w:rPr>
          <w:lang w:val="en-GB"/>
        </w:rPr>
        <w:sectPr w:rsidR="00E64A6B" w:rsidRPr="00380B40" w:rsidSect="006B23B8">
          <w:headerReference w:type="even" r:id="rId118"/>
          <w:footerReference w:type="even" r:id="rId119"/>
          <w:footerReference w:type="default" r:id="rId120"/>
          <w:headerReference w:type="first" r:id="rId121"/>
          <w:footerReference w:type="first" r:id="rId122"/>
          <w:footnotePr>
            <w:numRestart w:val="eachSect"/>
          </w:footnotePr>
          <w:pgSz w:w="11907" w:h="16834" w:code="9"/>
          <w:pgMar w:top="1134" w:right="1134" w:bottom="1134" w:left="1134" w:header="567" w:footer="567" w:gutter="0"/>
          <w:paperSrc w:first="15" w:other="15"/>
          <w:cols w:space="720"/>
          <w:vAlign w:val="both"/>
          <w:docGrid w:linePitch="299"/>
        </w:sectPr>
      </w:pPr>
    </w:p>
    <w:p w14:paraId="2F86B041" w14:textId="77777777" w:rsidR="004A3010" w:rsidRPr="00380B40" w:rsidRDefault="004A3010" w:rsidP="004A0742">
      <w:pPr>
        <w:pStyle w:val="ResNo"/>
        <w:rPr>
          <w:lang w:val="en-GB"/>
        </w:rPr>
      </w:pPr>
      <w:bookmarkStart w:id="205" w:name="_Toc104459727"/>
      <w:bookmarkStart w:id="206" w:name="_Toc104476535"/>
      <w:bookmarkStart w:id="207" w:name="_Toc111636775"/>
      <w:bookmarkStart w:id="208" w:name="_Toc111638428"/>
      <w:r w:rsidRPr="00380B40">
        <w:rPr>
          <w:lang w:val="en-GB"/>
        </w:rPr>
        <w:t>RESOLUTION </w:t>
      </w:r>
      <w:r w:rsidRPr="00380B40">
        <w:rPr>
          <w:rStyle w:val="href"/>
          <w:lang w:val="en-GB"/>
        </w:rPr>
        <w:t>50</w:t>
      </w:r>
      <w:r w:rsidRPr="00380B40">
        <w:rPr>
          <w:lang w:val="en-GB"/>
        </w:rPr>
        <w:t xml:space="preserve"> </w:t>
      </w:r>
      <w:r w:rsidR="004A0742" w:rsidRPr="00380B40">
        <w:rPr>
          <w:lang w:val="en-GB"/>
        </w:rPr>
        <w:t>(R</w:t>
      </w:r>
      <w:r w:rsidR="00160E13" w:rsidRPr="00380B40">
        <w:rPr>
          <w:caps w:val="0"/>
          <w:lang w:val="en-GB"/>
        </w:rPr>
        <w:t>ev</w:t>
      </w:r>
      <w:r w:rsidR="004A0742" w:rsidRPr="00380B40">
        <w:rPr>
          <w:lang w:val="en-GB"/>
        </w:rPr>
        <w:t>. G</w:t>
      </w:r>
      <w:r w:rsidR="00160E13" w:rsidRPr="00380B40">
        <w:rPr>
          <w:caps w:val="0"/>
          <w:lang w:val="en-GB"/>
        </w:rPr>
        <w:t>eneva</w:t>
      </w:r>
      <w:r w:rsidR="004A0742" w:rsidRPr="00380B40">
        <w:rPr>
          <w:lang w:val="en-GB"/>
        </w:rPr>
        <w:t>, 2022)</w:t>
      </w:r>
      <w:bookmarkEnd w:id="205"/>
      <w:bookmarkEnd w:id="206"/>
      <w:bookmarkEnd w:id="207"/>
      <w:bookmarkEnd w:id="208"/>
    </w:p>
    <w:p w14:paraId="5D246E46" w14:textId="77777777" w:rsidR="004A3010" w:rsidRPr="00380B40" w:rsidRDefault="004A3010" w:rsidP="004A3010">
      <w:pPr>
        <w:pStyle w:val="Restitle"/>
        <w:rPr>
          <w:lang w:val="en-GB"/>
        </w:rPr>
      </w:pPr>
      <w:bookmarkStart w:id="209" w:name="_Toc104459728"/>
      <w:bookmarkStart w:id="210" w:name="_Toc104476536"/>
      <w:bookmarkStart w:id="211" w:name="_Toc111638429"/>
      <w:r w:rsidRPr="00380B40">
        <w:rPr>
          <w:lang w:val="en-GB"/>
        </w:rPr>
        <w:t>Cybersecurity</w:t>
      </w:r>
      <w:bookmarkEnd w:id="209"/>
      <w:bookmarkEnd w:id="210"/>
      <w:bookmarkEnd w:id="211"/>
    </w:p>
    <w:p w14:paraId="59A76A44" w14:textId="77777777" w:rsidR="004A0742" w:rsidRPr="00380B40" w:rsidRDefault="004A0742" w:rsidP="004A0742">
      <w:pPr>
        <w:pStyle w:val="Resref"/>
        <w:rPr>
          <w:lang w:val="en-GB"/>
        </w:rPr>
      </w:pPr>
      <w:r w:rsidRPr="00380B40">
        <w:rPr>
          <w:lang w:val="en-GB"/>
        </w:rPr>
        <w:t>(Florianópolis, 2004; Johannesburg, 2008; Dubai, 2012; Hammamet, 2016; Geneva, 2022)</w:t>
      </w:r>
    </w:p>
    <w:p w14:paraId="06A48FB1" w14:textId="77777777" w:rsidR="004A0742" w:rsidRPr="00380B40" w:rsidRDefault="004A0742" w:rsidP="004A0742">
      <w:pPr>
        <w:pStyle w:val="Normalaftertitle0"/>
      </w:pPr>
      <w:r w:rsidRPr="00380B40">
        <w:t>The World Telecommunication Standardization Assembly (Geneva, 2022),</w:t>
      </w:r>
    </w:p>
    <w:p w14:paraId="72293CBC" w14:textId="77777777" w:rsidR="004A0742" w:rsidRPr="00380B40" w:rsidRDefault="004A0742" w:rsidP="004A0742">
      <w:pPr>
        <w:pStyle w:val="Call"/>
        <w:rPr>
          <w:lang w:val="en-GB"/>
        </w:rPr>
      </w:pPr>
      <w:r w:rsidRPr="00380B40">
        <w:rPr>
          <w:lang w:val="en-GB"/>
        </w:rPr>
        <w:t>recalling</w:t>
      </w:r>
    </w:p>
    <w:p w14:paraId="330BE46B" w14:textId="77777777" w:rsidR="004A0742" w:rsidRPr="00380B40" w:rsidRDefault="004A0742" w:rsidP="004A0742">
      <w:pPr>
        <w:rPr>
          <w:lang w:val="en-GB"/>
        </w:rPr>
      </w:pPr>
      <w:r w:rsidRPr="00380B40">
        <w:rPr>
          <w:i/>
          <w:iCs/>
          <w:lang w:val="en-GB"/>
        </w:rPr>
        <w:t>a)</w:t>
      </w:r>
      <w:r w:rsidRPr="00380B40">
        <w:rPr>
          <w:lang w:val="en-GB"/>
        </w:rPr>
        <w:tab/>
        <w:t>Resolution 130 (Rev. Dubai, 2018) of the Plenipotentiary Conference, on the role of ITU in building confidence and security in the use of information and communication technologies (ICTs);</w:t>
      </w:r>
    </w:p>
    <w:p w14:paraId="6A46BAE7" w14:textId="77777777" w:rsidR="004A0742" w:rsidRPr="00380B40" w:rsidRDefault="004A0742" w:rsidP="004A0742">
      <w:pPr>
        <w:rPr>
          <w:lang w:val="en-GB"/>
        </w:rPr>
      </w:pPr>
      <w:r w:rsidRPr="00380B40">
        <w:rPr>
          <w:i/>
          <w:iCs/>
          <w:lang w:val="en-GB"/>
        </w:rPr>
        <w:t>b)</w:t>
      </w:r>
      <w:r w:rsidRPr="00380B40">
        <w:rPr>
          <w:lang w:val="en-GB"/>
        </w:rPr>
        <w:tab/>
        <w:t>Resolution 174 (Rev. Dubai, 2018) of the Plenipotentiary Conference, on ITU's role with regard to international public policy issues relating to the risk of illicit use of ICTs;</w:t>
      </w:r>
    </w:p>
    <w:p w14:paraId="367D2E8C" w14:textId="77777777" w:rsidR="004A0742" w:rsidRPr="00380B40" w:rsidRDefault="004A0742" w:rsidP="004A0742">
      <w:pPr>
        <w:rPr>
          <w:lang w:val="en-GB"/>
        </w:rPr>
      </w:pPr>
      <w:r w:rsidRPr="00380B40">
        <w:rPr>
          <w:i/>
          <w:iCs/>
          <w:lang w:val="en-GB"/>
        </w:rPr>
        <w:t>c)</w:t>
      </w:r>
      <w:r w:rsidRPr="00380B40">
        <w:rPr>
          <w:lang w:val="en-GB"/>
        </w:rPr>
        <w:tab/>
        <w:t>Resolution 179 (Rev. Dubai, 2018) of the Plenipotentiary Conference, on ITU's role in child online protection;</w:t>
      </w:r>
    </w:p>
    <w:p w14:paraId="7B6F89A5" w14:textId="77777777" w:rsidR="004A0742" w:rsidRPr="00380B40" w:rsidRDefault="004A0742" w:rsidP="004A0742">
      <w:pPr>
        <w:rPr>
          <w:lang w:val="en-GB"/>
        </w:rPr>
      </w:pPr>
      <w:r w:rsidRPr="00380B40">
        <w:rPr>
          <w:i/>
          <w:iCs/>
          <w:lang w:val="en-GB"/>
        </w:rPr>
        <w:t>d)</w:t>
      </w:r>
      <w:r w:rsidRPr="00380B40">
        <w:rPr>
          <w:lang w:val="en-GB"/>
        </w:rPr>
        <w:tab/>
        <w:t>Resolution 181 (Guadalajara, 2010) of the Plenipotentiary Conference, on definitions and terminology relating to building confidence and security in the use of ICTs;</w:t>
      </w:r>
    </w:p>
    <w:p w14:paraId="01008884" w14:textId="77777777" w:rsidR="004A0742" w:rsidRPr="00380B40" w:rsidRDefault="004A0742" w:rsidP="004A0742">
      <w:pPr>
        <w:rPr>
          <w:lang w:val="en-GB"/>
        </w:rPr>
      </w:pPr>
      <w:r w:rsidRPr="00380B40">
        <w:rPr>
          <w:i/>
          <w:iCs/>
          <w:lang w:val="en-GB"/>
        </w:rPr>
        <w:t>e)</w:t>
      </w:r>
      <w:r w:rsidRPr="00380B40">
        <w:rPr>
          <w:lang w:val="en-GB"/>
        </w:rPr>
        <w:tab/>
        <w:t>Resolutions 55/63 and 56/121 of the United Nations General Assembly (UNGA), which established the legal framework on countering the criminal misuse of information technologies;</w:t>
      </w:r>
    </w:p>
    <w:p w14:paraId="0C81CFF3" w14:textId="77777777" w:rsidR="004A0742" w:rsidRPr="00380B40" w:rsidRDefault="004A0742" w:rsidP="004A0742">
      <w:pPr>
        <w:rPr>
          <w:lang w:val="en-GB"/>
        </w:rPr>
      </w:pPr>
      <w:r w:rsidRPr="00380B40">
        <w:rPr>
          <w:i/>
          <w:iCs/>
          <w:lang w:val="en-GB"/>
        </w:rPr>
        <w:t>f)</w:t>
      </w:r>
      <w:r w:rsidRPr="00380B40">
        <w:rPr>
          <w:lang w:val="en-GB"/>
        </w:rPr>
        <w:tab/>
        <w:t>UNGA Resolution 57/239, on the creation of a global culture of cybersecurity;</w:t>
      </w:r>
    </w:p>
    <w:p w14:paraId="6B136642" w14:textId="77777777" w:rsidR="004A0742" w:rsidRPr="00380B40" w:rsidRDefault="004A0742" w:rsidP="004A0742">
      <w:pPr>
        <w:rPr>
          <w:lang w:val="en-GB"/>
        </w:rPr>
      </w:pPr>
      <w:r w:rsidRPr="00380B40">
        <w:rPr>
          <w:i/>
          <w:iCs/>
          <w:lang w:val="en-GB"/>
        </w:rPr>
        <w:t>g)</w:t>
      </w:r>
      <w:r w:rsidRPr="00380B40">
        <w:rPr>
          <w:lang w:val="en-GB"/>
        </w:rPr>
        <w:tab/>
        <w:t>UNGA Resolution 58/199, on the creation of a global culture of cybersecurity and the protection of essential information infrastructures;</w:t>
      </w:r>
    </w:p>
    <w:p w14:paraId="6246D42B" w14:textId="77777777" w:rsidR="004A0742" w:rsidRPr="00380B40" w:rsidRDefault="004A0742" w:rsidP="004A0742">
      <w:pPr>
        <w:rPr>
          <w:lang w:val="en-GB"/>
        </w:rPr>
      </w:pPr>
      <w:r w:rsidRPr="00380B40">
        <w:rPr>
          <w:i/>
          <w:iCs/>
          <w:lang w:val="en-GB"/>
        </w:rPr>
        <w:t>h)</w:t>
      </w:r>
      <w:r w:rsidRPr="00380B40">
        <w:rPr>
          <w:lang w:val="en-GB"/>
        </w:rPr>
        <w:tab/>
        <w:t>UNGA Resolution 41/65, on principles relating to remote sensing of the Earth from outer space;</w:t>
      </w:r>
    </w:p>
    <w:p w14:paraId="5246644A" w14:textId="77777777" w:rsidR="004A0742" w:rsidRPr="00380B40" w:rsidRDefault="004A0742" w:rsidP="004A0742">
      <w:pPr>
        <w:rPr>
          <w:lang w:val="en-GB"/>
        </w:rPr>
      </w:pPr>
      <w:r w:rsidRPr="00380B40">
        <w:rPr>
          <w:i/>
          <w:lang w:val="en-GB"/>
        </w:rPr>
        <w:t>i</w:t>
      </w:r>
      <w:r w:rsidRPr="00380B40">
        <w:rPr>
          <w:lang w:val="en-GB"/>
        </w:rPr>
        <w:t>)</w:t>
      </w:r>
      <w:r w:rsidRPr="00380B40">
        <w:rPr>
          <w:lang w:val="en-GB"/>
        </w:rPr>
        <w:tab/>
        <w:t>UNGA Resolution 70/125, on the outcome document of the high-level meeting of the General Assembly on the overall review of the implementation of the outcomes of the World Summit on the Information Society (WSIS);</w:t>
      </w:r>
    </w:p>
    <w:p w14:paraId="71824F95" w14:textId="77777777" w:rsidR="004A0742" w:rsidRPr="00380B40" w:rsidRDefault="004A0742" w:rsidP="004A0742">
      <w:pPr>
        <w:rPr>
          <w:i/>
          <w:iCs/>
          <w:lang w:val="en-GB"/>
        </w:rPr>
      </w:pPr>
      <w:r w:rsidRPr="00380B40">
        <w:rPr>
          <w:i/>
          <w:iCs/>
          <w:lang w:val="en-GB"/>
        </w:rPr>
        <w:t>j)</w:t>
      </w:r>
      <w:r w:rsidRPr="00380B40">
        <w:rPr>
          <w:lang w:val="en-GB"/>
        </w:rPr>
        <w:tab/>
        <w:t>Resolution 45 (Rev. Dubai, 2014) of the World Telecommunication Development Conference (WTDC)</w:t>
      </w:r>
      <w:r w:rsidRPr="00380B40">
        <w:rPr>
          <w:lang w:val="en-GB" w:eastAsia="ko-KR"/>
        </w:rPr>
        <w:t xml:space="preserve">, </w:t>
      </w:r>
      <w:r w:rsidRPr="00380B40">
        <w:rPr>
          <w:rFonts w:eastAsia="SimSun"/>
          <w:lang w:val="en-GB" w:eastAsia="zh-CN"/>
        </w:rPr>
        <w:t>on mechanisms for enhancing cooperation on cybersecurity, including countering and combating spam</w:t>
      </w:r>
      <w:r w:rsidRPr="00380B40">
        <w:rPr>
          <w:lang w:val="en-GB"/>
        </w:rPr>
        <w:t>;</w:t>
      </w:r>
    </w:p>
    <w:p w14:paraId="2F340C21" w14:textId="77777777" w:rsidR="004A0742" w:rsidRPr="00380B40" w:rsidRDefault="004A0742" w:rsidP="004A0742">
      <w:pPr>
        <w:rPr>
          <w:lang w:val="en-GB"/>
        </w:rPr>
      </w:pPr>
      <w:r w:rsidRPr="00380B40">
        <w:rPr>
          <w:i/>
          <w:iCs/>
          <w:lang w:val="en-GB"/>
        </w:rPr>
        <w:t>k)</w:t>
      </w:r>
      <w:r w:rsidRPr="00380B40">
        <w:rPr>
          <w:lang w:val="en-GB"/>
        </w:rPr>
        <w:tab/>
        <w:t>Resolution 52 (Rev. Hammamet, 2016) of the World Telecommunication Standardization Assembly, on countering and combating spam;</w:t>
      </w:r>
    </w:p>
    <w:p w14:paraId="7AC21158" w14:textId="77777777" w:rsidR="0090426B" w:rsidRPr="00380B40" w:rsidRDefault="0090426B" w:rsidP="004A0742">
      <w:pPr>
        <w:rPr>
          <w:i/>
          <w:iCs/>
          <w:lang w:val="en-GB"/>
        </w:rPr>
      </w:pPr>
      <w:r w:rsidRPr="00380B40">
        <w:rPr>
          <w:i/>
          <w:iCs/>
          <w:lang w:val="en-GB"/>
        </w:rPr>
        <w:br w:type="page"/>
      </w:r>
    </w:p>
    <w:p w14:paraId="0220687D" w14:textId="77777777" w:rsidR="004A0742" w:rsidRPr="00380B40" w:rsidRDefault="004A0742" w:rsidP="004A0742">
      <w:pPr>
        <w:rPr>
          <w:lang w:val="en-GB"/>
        </w:rPr>
      </w:pPr>
      <w:r w:rsidRPr="00380B40">
        <w:rPr>
          <w:i/>
          <w:iCs/>
          <w:lang w:val="en-GB"/>
        </w:rPr>
        <w:t>l)</w:t>
      </w:r>
      <w:r w:rsidRPr="00380B40">
        <w:rPr>
          <w:lang w:val="en-GB"/>
        </w:rPr>
        <w:tab/>
        <w:t>Resolution 58 (Rev. Geneva, 2022) of this assembly, on encouraging the creation of national computer incident response teams, particularly in developing countries</w:t>
      </w:r>
      <w:r w:rsidR="00FD162E" w:rsidRPr="00380B40">
        <w:rPr>
          <w:rStyle w:val="FootnoteReference"/>
          <w:lang w:val="en-GB"/>
        </w:rPr>
        <w:footnoteReference w:id="22"/>
      </w:r>
      <w:r w:rsidRPr="00380B40">
        <w:rPr>
          <w:lang w:val="en-GB"/>
        </w:rPr>
        <w:t>;</w:t>
      </w:r>
    </w:p>
    <w:p w14:paraId="30553F47" w14:textId="77777777" w:rsidR="004A0742" w:rsidRPr="00380B40" w:rsidRDefault="004A0742" w:rsidP="004A0742">
      <w:pPr>
        <w:rPr>
          <w:lang w:val="en-GB"/>
        </w:rPr>
      </w:pPr>
      <w:r w:rsidRPr="00380B40">
        <w:rPr>
          <w:i/>
          <w:iCs/>
          <w:lang w:val="en-GB"/>
        </w:rPr>
        <w:t>m)</w:t>
      </w:r>
      <w:r w:rsidRPr="00380B40">
        <w:rPr>
          <w:lang w:val="en-GB"/>
        </w:rPr>
        <w:tab/>
        <w:t>that ITU is the lead facilitator for WSIS Action Line C5 in the Tunis Agenda for the Information Society (Building confidence and security in the use of ICTs);</w:t>
      </w:r>
    </w:p>
    <w:p w14:paraId="516965A7" w14:textId="77777777" w:rsidR="004A0742" w:rsidRPr="00380B40" w:rsidRDefault="004A0742" w:rsidP="004A0742">
      <w:pPr>
        <w:rPr>
          <w:lang w:val="en-GB"/>
        </w:rPr>
      </w:pPr>
      <w:r w:rsidRPr="00380B40">
        <w:rPr>
          <w:i/>
          <w:iCs/>
          <w:lang w:val="en-GB"/>
        </w:rPr>
        <w:t>n)</w:t>
      </w:r>
      <w:r w:rsidRPr="00380B40">
        <w:rPr>
          <w:lang w:val="en-GB"/>
        </w:rPr>
        <w:tab/>
        <w:t>the cybersecurity-related provisions of the WSIS outcomes,</w:t>
      </w:r>
    </w:p>
    <w:p w14:paraId="536DA6DC" w14:textId="77777777" w:rsidR="004A0742" w:rsidRPr="00380B40" w:rsidRDefault="004A0742" w:rsidP="004A0742">
      <w:pPr>
        <w:pStyle w:val="Call"/>
        <w:rPr>
          <w:lang w:val="en-GB"/>
        </w:rPr>
      </w:pPr>
      <w:r w:rsidRPr="00380B40">
        <w:rPr>
          <w:lang w:val="en-GB"/>
        </w:rPr>
        <w:t>considering</w:t>
      </w:r>
    </w:p>
    <w:p w14:paraId="30A7350B" w14:textId="77777777" w:rsidR="004A0742" w:rsidRPr="00380B40" w:rsidRDefault="004A0742" w:rsidP="004A0742">
      <w:pPr>
        <w:rPr>
          <w:lang w:val="en-GB"/>
        </w:rPr>
      </w:pPr>
      <w:r w:rsidRPr="00380B40">
        <w:rPr>
          <w:i/>
          <w:iCs/>
          <w:lang w:val="en-GB"/>
        </w:rPr>
        <w:t>a)</w:t>
      </w:r>
      <w:r w:rsidRPr="00380B40">
        <w:rPr>
          <w:lang w:val="en-GB"/>
        </w:rPr>
        <w:tab/>
        <w:t>the crucial importance of telecommunication/ICT infrastructure and its application to practically all forms of social and economic activity;</w:t>
      </w:r>
    </w:p>
    <w:p w14:paraId="19AAA8C9" w14:textId="77777777" w:rsidR="004A0742" w:rsidRPr="00380B40" w:rsidRDefault="004A0742" w:rsidP="004A0742">
      <w:pPr>
        <w:rPr>
          <w:lang w:val="en-GB"/>
        </w:rPr>
      </w:pPr>
      <w:r w:rsidRPr="00380B40">
        <w:rPr>
          <w:i/>
          <w:iCs/>
          <w:lang w:val="en-GB"/>
        </w:rPr>
        <w:t>b)</w:t>
      </w:r>
      <w:r w:rsidRPr="00380B40">
        <w:rPr>
          <w:lang w:val="en-GB"/>
        </w:rPr>
        <w:tab/>
        <w:t>that the legacy public switched telephone network has a level of inherent security properties because of its hierarchical structure and built-in management systems;</w:t>
      </w:r>
    </w:p>
    <w:p w14:paraId="4319ECEE" w14:textId="77777777" w:rsidR="004A0742" w:rsidRPr="00380B40" w:rsidRDefault="004A0742" w:rsidP="004A0742">
      <w:pPr>
        <w:rPr>
          <w:lang w:val="en-GB"/>
        </w:rPr>
      </w:pPr>
      <w:r w:rsidRPr="00380B40">
        <w:rPr>
          <w:i/>
          <w:iCs/>
          <w:lang w:val="en-GB"/>
        </w:rPr>
        <w:t>c)</w:t>
      </w:r>
      <w:r w:rsidRPr="00380B40">
        <w:rPr>
          <w:lang w:val="en-GB"/>
        </w:rPr>
        <w:tab/>
        <w:t>that Internet Protocol (IP) networks provide reduced separation between user components and network components if adequate care is not taken in the security design and management;</w:t>
      </w:r>
    </w:p>
    <w:p w14:paraId="54A32BFE" w14:textId="77777777" w:rsidR="004A0742" w:rsidRPr="00380B40" w:rsidRDefault="004A0742" w:rsidP="004A0742">
      <w:pPr>
        <w:rPr>
          <w:lang w:val="en-GB"/>
        </w:rPr>
      </w:pPr>
      <w:r w:rsidRPr="00380B40">
        <w:rPr>
          <w:i/>
          <w:iCs/>
          <w:lang w:val="en-GB"/>
        </w:rPr>
        <w:t>d)</w:t>
      </w:r>
      <w:r w:rsidRPr="00380B40">
        <w:rPr>
          <w:lang w:val="en-GB"/>
        </w:rPr>
        <w:tab/>
        <w:t>that the converged legacy networks and IP networks are therefore potentially more vulnerable to intrusion if adequate care is not taken in the security design and management of such networks;</w:t>
      </w:r>
    </w:p>
    <w:p w14:paraId="12DB9EB2" w14:textId="77777777" w:rsidR="004A0742" w:rsidRPr="00380B40" w:rsidRDefault="004A0742" w:rsidP="004A0742">
      <w:pPr>
        <w:rPr>
          <w:lang w:val="en-GB" w:eastAsia="ko-KR"/>
        </w:rPr>
      </w:pPr>
      <w:r w:rsidRPr="00380B40">
        <w:rPr>
          <w:i/>
          <w:iCs/>
          <w:lang w:val="en-GB"/>
        </w:rPr>
        <w:t>e</w:t>
      </w:r>
      <w:r w:rsidRPr="00380B40">
        <w:rPr>
          <w:i/>
          <w:lang w:val="en-GB" w:eastAsia="ko-KR"/>
        </w:rPr>
        <w:t>)</w:t>
      </w:r>
      <w:r w:rsidRPr="00380B40">
        <w:rPr>
          <w:lang w:val="en-GB" w:eastAsia="ko-KR"/>
        </w:rPr>
        <w:tab/>
        <w:t>that cybersecurity is a cross-cutting issue, and the cybersecurity landscape is complex and dispersed, with many different stakeholders at the national, regional and global levels with responsibility for identifying, examining and responding to issues related to building confidence and security in the use of ICTs;</w:t>
      </w:r>
    </w:p>
    <w:p w14:paraId="0E63C9F7" w14:textId="77777777" w:rsidR="004A0742" w:rsidRPr="00380B40" w:rsidRDefault="004A0742" w:rsidP="004A0742">
      <w:pPr>
        <w:rPr>
          <w:lang w:val="en-GB"/>
        </w:rPr>
      </w:pPr>
      <w:r w:rsidRPr="00380B40">
        <w:rPr>
          <w:i/>
          <w:iCs/>
          <w:lang w:val="en-GB"/>
        </w:rPr>
        <w:t>f)</w:t>
      </w:r>
      <w:r w:rsidRPr="00380B40">
        <w:rPr>
          <w:lang w:val="en-GB"/>
        </w:rPr>
        <w:tab/>
        <w:t>that the considerable and increasing losses which users of telecommunication/ICT systems have incurred from the growing problem of cybersecurity alarm all developed and developing nations of the world without exception;</w:t>
      </w:r>
    </w:p>
    <w:p w14:paraId="2547BE28" w14:textId="77777777" w:rsidR="004A0742" w:rsidRPr="00380B40" w:rsidRDefault="004A0742" w:rsidP="004A0742">
      <w:pPr>
        <w:rPr>
          <w:lang w:val="en-GB"/>
        </w:rPr>
      </w:pPr>
      <w:r w:rsidRPr="00380B40">
        <w:rPr>
          <w:i/>
          <w:iCs/>
          <w:lang w:val="en-GB"/>
        </w:rPr>
        <w:t>g)</w:t>
      </w:r>
      <w:r w:rsidRPr="00380B40">
        <w:rPr>
          <w:lang w:val="en-GB"/>
        </w:rPr>
        <w:tab/>
        <w:t xml:space="preserve">that the fact, </w:t>
      </w:r>
      <w:r w:rsidRPr="00380B40">
        <w:rPr>
          <w:i/>
          <w:iCs/>
          <w:lang w:val="en-GB"/>
        </w:rPr>
        <w:t>inter alia</w:t>
      </w:r>
      <w:r w:rsidRPr="00380B40">
        <w:rPr>
          <w:lang w:val="en-GB"/>
        </w:rPr>
        <w:t>, that critical telecommunication/ICT infrastructures are interconnected at the global level means that inadequate infrastructure security in one country could result in greater vulnerability and risks in others and, therefore, cooperation is important;</w:t>
      </w:r>
    </w:p>
    <w:p w14:paraId="4C56CB90" w14:textId="77777777" w:rsidR="004A0742" w:rsidRPr="00380B40" w:rsidRDefault="004A0742" w:rsidP="004A0742">
      <w:pPr>
        <w:rPr>
          <w:lang w:val="en-GB"/>
        </w:rPr>
      </w:pPr>
      <w:r w:rsidRPr="00380B40">
        <w:rPr>
          <w:i/>
          <w:iCs/>
          <w:lang w:val="en-GB"/>
        </w:rPr>
        <w:t>h)</w:t>
      </w:r>
      <w:r w:rsidRPr="00380B40">
        <w:rPr>
          <w:lang w:val="en-GB"/>
        </w:rPr>
        <w:tab/>
        <w:t>that the number and methods of cyberthreats and cyberattacks are growing, as is dependence on the Internet and other networks that are essential for accessing services and information;</w:t>
      </w:r>
    </w:p>
    <w:p w14:paraId="38CC34A5" w14:textId="77777777" w:rsidR="004A0742" w:rsidRPr="00380B40" w:rsidRDefault="004A0742" w:rsidP="004A0742">
      <w:pPr>
        <w:rPr>
          <w:i/>
          <w:iCs/>
          <w:lang w:val="en-GB"/>
        </w:rPr>
      </w:pPr>
      <w:r w:rsidRPr="00380B40">
        <w:rPr>
          <w:i/>
          <w:lang w:val="en-GB" w:eastAsia="ko-KR"/>
        </w:rPr>
        <w:t>i)</w:t>
      </w:r>
      <w:r w:rsidRPr="00380B40">
        <w:rPr>
          <w:lang w:val="en-GB" w:eastAsia="ko-KR"/>
        </w:rPr>
        <w:tab/>
        <w:t>that s</w:t>
      </w:r>
      <w:r w:rsidRPr="00380B40">
        <w:rPr>
          <w:rFonts w:asciiTheme="majorBidi" w:eastAsia="MS Mincho" w:hAnsiTheme="majorBidi" w:cstheme="majorBidi"/>
          <w:lang w:val="en-GB" w:eastAsia="ja-JP"/>
        </w:rPr>
        <w:t>tandards can support the security aspects of Internet of things (IoT) and smart cities and communities</w:t>
      </w:r>
      <w:r w:rsidRPr="00380B40">
        <w:rPr>
          <w:rFonts w:asciiTheme="majorBidi" w:hAnsiTheme="majorBidi" w:cstheme="majorBidi"/>
          <w:lang w:val="en-GB" w:eastAsia="ko-KR"/>
        </w:rPr>
        <w:t>;</w:t>
      </w:r>
    </w:p>
    <w:p w14:paraId="0D0C75E9" w14:textId="77777777" w:rsidR="004A0742" w:rsidRPr="00380B40" w:rsidRDefault="004A0742" w:rsidP="004A0742">
      <w:pPr>
        <w:rPr>
          <w:lang w:val="en-GB"/>
        </w:rPr>
      </w:pPr>
      <w:r w:rsidRPr="00380B40">
        <w:rPr>
          <w:i/>
          <w:iCs/>
          <w:lang w:val="en-GB"/>
        </w:rPr>
        <w:t>j)</w:t>
      </w:r>
      <w:r w:rsidRPr="00380B40">
        <w:rPr>
          <w:lang w:val="en-GB"/>
        </w:rPr>
        <w:tab/>
        <w:t>that in order to protect global telecommunication/ICT infrastructures from the threats and challenges of the evolving cybersecurity landscape, coordinated national, regional and international action is required for prevention, preparation, response and recovery in respect of cybersecurity incidents;</w:t>
      </w:r>
    </w:p>
    <w:p w14:paraId="32142890" w14:textId="77777777" w:rsidR="00EF1027" w:rsidRPr="00380B40" w:rsidRDefault="00EF1027" w:rsidP="004A0742">
      <w:pPr>
        <w:rPr>
          <w:i/>
          <w:iCs/>
          <w:lang w:val="en-GB"/>
        </w:rPr>
      </w:pPr>
      <w:r w:rsidRPr="00380B40">
        <w:rPr>
          <w:i/>
          <w:iCs/>
          <w:lang w:val="en-GB"/>
        </w:rPr>
        <w:br w:type="page"/>
      </w:r>
    </w:p>
    <w:p w14:paraId="4A64E9A3" w14:textId="77777777" w:rsidR="004A0742" w:rsidRPr="00380B40" w:rsidRDefault="004A0742" w:rsidP="004A0742">
      <w:pPr>
        <w:rPr>
          <w:lang w:val="en-GB"/>
        </w:rPr>
      </w:pPr>
      <w:r w:rsidRPr="00380B40">
        <w:rPr>
          <w:i/>
          <w:iCs/>
          <w:lang w:val="en-GB"/>
        </w:rPr>
        <w:t>k)</w:t>
      </w:r>
      <w:r w:rsidRPr="00380B40">
        <w:rPr>
          <w:lang w:val="en-GB"/>
        </w:rPr>
        <w:tab/>
        <w:t>the work undertaken and ongoing in ITU, including in ITU Telecommunication Standardization Sector (ITU</w:t>
      </w:r>
      <w:r w:rsidRPr="00380B40">
        <w:rPr>
          <w:lang w:val="en-GB"/>
        </w:rPr>
        <w:noBreakHyphen/>
        <w:t>T) Study Group 17 and ITU Telecommunication Development Sector (ITU</w:t>
      </w:r>
      <w:r w:rsidRPr="00380B40">
        <w:rPr>
          <w:lang w:val="en-GB"/>
        </w:rPr>
        <w:noBreakHyphen/>
        <w:t>D) Study Group 2, including the final report of ITU</w:t>
      </w:r>
      <w:r w:rsidRPr="00380B40">
        <w:rPr>
          <w:lang w:val="en-GB"/>
        </w:rPr>
        <w:noBreakHyphen/>
        <w:t>D Study Group 1 Question 22/1-1, and under the Dubai Action Plan adopted by WTDC (Dubai, 2014);</w:t>
      </w:r>
    </w:p>
    <w:p w14:paraId="1C63FD71" w14:textId="77777777" w:rsidR="004A0742" w:rsidRPr="00380B40" w:rsidRDefault="004A0742" w:rsidP="004A0742">
      <w:pPr>
        <w:rPr>
          <w:lang w:val="en-GB"/>
        </w:rPr>
      </w:pPr>
      <w:r w:rsidRPr="00380B40">
        <w:rPr>
          <w:i/>
          <w:iCs/>
          <w:lang w:val="en-GB"/>
        </w:rPr>
        <w:t>l)</w:t>
      </w:r>
      <w:r w:rsidRPr="00380B40">
        <w:rPr>
          <w:lang w:val="en-GB"/>
        </w:rPr>
        <w:tab/>
        <w:t>that ITU</w:t>
      </w:r>
      <w:r w:rsidRPr="00380B40">
        <w:rPr>
          <w:lang w:val="en-GB"/>
        </w:rPr>
        <w:noBreakHyphen/>
        <w:t xml:space="preserve">T has a role to play, within its mandate and competencies, in regard to </w:t>
      </w:r>
      <w:r w:rsidRPr="00380B40">
        <w:rPr>
          <w:i/>
          <w:iCs/>
          <w:lang w:val="en-GB"/>
        </w:rPr>
        <w:t>considering j)</w:t>
      </w:r>
      <w:r w:rsidRPr="00380B40">
        <w:rPr>
          <w:lang w:val="en-GB"/>
        </w:rPr>
        <w:t>,</w:t>
      </w:r>
    </w:p>
    <w:p w14:paraId="42FE88C1" w14:textId="77777777" w:rsidR="004A0742" w:rsidRPr="00380B40" w:rsidRDefault="004A0742" w:rsidP="004A0742">
      <w:pPr>
        <w:pStyle w:val="Call"/>
        <w:tabs>
          <w:tab w:val="right" w:pos="9639"/>
        </w:tabs>
        <w:rPr>
          <w:lang w:val="en-GB"/>
        </w:rPr>
      </w:pPr>
      <w:r w:rsidRPr="00380B40">
        <w:rPr>
          <w:lang w:val="en-GB"/>
        </w:rPr>
        <w:t>considering further</w:t>
      </w:r>
    </w:p>
    <w:p w14:paraId="39D13080" w14:textId="77777777" w:rsidR="004A0742" w:rsidRPr="00380B40" w:rsidRDefault="004A0742" w:rsidP="004A0742">
      <w:pPr>
        <w:rPr>
          <w:lang w:val="en-GB"/>
        </w:rPr>
      </w:pPr>
      <w:r w:rsidRPr="00380B40">
        <w:rPr>
          <w:i/>
          <w:iCs/>
          <w:lang w:val="en-GB"/>
        </w:rPr>
        <w:t>a)</w:t>
      </w:r>
      <w:r w:rsidRPr="00380B40">
        <w:rPr>
          <w:lang w:val="en-GB"/>
        </w:rPr>
        <w:tab/>
        <w:t>that Recommendation ITU</w:t>
      </w:r>
      <w:r w:rsidRPr="00380B40">
        <w:rPr>
          <w:lang w:val="en-GB"/>
        </w:rPr>
        <w:noBreakHyphen/>
        <w:t>T X.1205 provides a definition, a description of technologies, and network protection principles;</w:t>
      </w:r>
    </w:p>
    <w:p w14:paraId="293E76EB" w14:textId="77777777" w:rsidR="004A0742" w:rsidRPr="00380B40" w:rsidRDefault="004A0742" w:rsidP="004A0742">
      <w:pPr>
        <w:rPr>
          <w:lang w:val="en-GB"/>
        </w:rPr>
      </w:pPr>
      <w:r w:rsidRPr="00380B40">
        <w:rPr>
          <w:i/>
          <w:iCs/>
          <w:lang w:val="en-GB"/>
        </w:rPr>
        <w:t>b)</w:t>
      </w:r>
      <w:r w:rsidRPr="00380B40">
        <w:rPr>
          <w:lang w:val="en-GB"/>
        </w:rPr>
        <w:tab/>
        <w:t>that Recommendation ITU</w:t>
      </w:r>
      <w:r w:rsidRPr="00380B40">
        <w:rPr>
          <w:lang w:val="en-GB"/>
        </w:rPr>
        <w:noBreakHyphen/>
        <w:t>T X.805 provides a systematic framework for identifying security vulnerabilities, and Recommendation ITU</w:t>
      </w:r>
      <w:r w:rsidRPr="00380B40">
        <w:rPr>
          <w:lang w:val="en-GB"/>
        </w:rPr>
        <w:noBreakHyphen/>
        <w:t>T X.1500 provides the cybersecurity information exchange (CYBEX) model and discusses techniques that could be used to facilitate the exchange of cybersecurity information;</w:t>
      </w:r>
    </w:p>
    <w:p w14:paraId="5C64D5BC" w14:textId="77777777" w:rsidR="004A0742" w:rsidRPr="00380B40" w:rsidRDefault="004A0742" w:rsidP="004A0742">
      <w:pPr>
        <w:rPr>
          <w:lang w:val="en-GB"/>
        </w:rPr>
      </w:pPr>
      <w:r w:rsidRPr="00380B40">
        <w:rPr>
          <w:i/>
          <w:iCs/>
          <w:lang w:val="en-GB"/>
        </w:rPr>
        <w:t>c)</w:t>
      </w:r>
      <w:r w:rsidRPr="00380B40">
        <w:rPr>
          <w:lang w:val="en-GB"/>
        </w:rPr>
        <w:tab/>
        <w:t>that ITU</w:t>
      </w:r>
      <w:r w:rsidRPr="00380B40">
        <w:rPr>
          <w:lang w:val="en-GB"/>
        </w:rPr>
        <w:noBreakHyphen/>
        <w:t>T and the Joint Technical Committee for information technology (JTC 1) of the International Organization for Standardization (ISO) and the International Electrotechnical Commission (IEC), as well as several consortia and standards entities such as the World Wide Web consortium (W3C), the Organization for Advancement of Structured Information Standards (OASIS), the Internet Engineering Task Force (IETF) and the Institute of Electrical and Electronics Engineers (IEEE), among others, already have a significant body of published materials and ongoing work that is directly relevant to this topic, which needs to be considered;</w:t>
      </w:r>
    </w:p>
    <w:p w14:paraId="23686843" w14:textId="77777777" w:rsidR="004A0742" w:rsidRPr="00380B40" w:rsidRDefault="004A0742" w:rsidP="004A0742">
      <w:pPr>
        <w:rPr>
          <w:lang w:val="en-GB" w:eastAsia="ko-KR"/>
        </w:rPr>
      </w:pPr>
      <w:r w:rsidRPr="00380B40">
        <w:rPr>
          <w:i/>
          <w:iCs/>
          <w:lang w:val="en-GB" w:eastAsia="ko-KR"/>
        </w:rPr>
        <w:t>d)</w:t>
      </w:r>
      <w:r w:rsidRPr="00380B40">
        <w:rPr>
          <w:lang w:val="en-GB" w:eastAsia="ko-KR"/>
        </w:rPr>
        <w:tab/>
        <w:t>the importance of ongoing work on security reference architecture for lifecycle management of e</w:t>
      </w:r>
      <w:r w:rsidRPr="00380B40">
        <w:rPr>
          <w:lang w:val="en-GB" w:eastAsia="ko-KR"/>
        </w:rPr>
        <w:noBreakHyphen/>
        <w:t>commerce business data,</w:t>
      </w:r>
    </w:p>
    <w:p w14:paraId="77749972" w14:textId="77777777" w:rsidR="004A0742" w:rsidRPr="00380B40" w:rsidRDefault="004A0742" w:rsidP="004A0742">
      <w:pPr>
        <w:pStyle w:val="Call"/>
        <w:rPr>
          <w:lang w:val="en-GB"/>
        </w:rPr>
      </w:pPr>
      <w:r w:rsidRPr="00380B40">
        <w:rPr>
          <w:lang w:val="en-GB"/>
        </w:rPr>
        <w:t>recognizing</w:t>
      </w:r>
    </w:p>
    <w:p w14:paraId="4F2F92B7" w14:textId="77777777" w:rsidR="004A0742" w:rsidRPr="00380B40" w:rsidRDefault="004A0742" w:rsidP="004A0742">
      <w:pPr>
        <w:rPr>
          <w:lang w:val="en-GB"/>
        </w:rPr>
      </w:pPr>
      <w:r w:rsidRPr="00380B40">
        <w:rPr>
          <w:i/>
          <w:iCs/>
          <w:lang w:val="en-GB"/>
        </w:rPr>
        <w:t>a)</w:t>
      </w:r>
      <w:r w:rsidRPr="00380B40">
        <w:rPr>
          <w:lang w:val="en-GB"/>
        </w:rPr>
        <w:tab/>
        <w:t>the operative paragraph of Resolution 130 (Rev. Dubai, 2018) instructing the Director of the Telecommunication Standardization Bureau (TSB) to intensify work within existing ITU</w:t>
      </w:r>
      <w:r w:rsidRPr="00380B40">
        <w:rPr>
          <w:lang w:val="en-GB"/>
        </w:rPr>
        <w:noBreakHyphen/>
        <w:t xml:space="preserve">T study groups; </w:t>
      </w:r>
    </w:p>
    <w:p w14:paraId="6F1C4A53" w14:textId="77777777" w:rsidR="004A0742" w:rsidRPr="00380B40" w:rsidRDefault="004A0742" w:rsidP="004A0742">
      <w:pPr>
        <w:rPr>
          <w:i/>
          <w:lang w:val="en-GB"/>
        </w:rPr>
      </w:pPr>
      <w:r w:rsidRPr="00380B40">
        <w:rPr>
          <w:i/>
          <w:iCs/>
          <w:lang w:val="en-GB"/>
        </w:rPr>
        <w:t>b)</w:t>
      </w:r>
      <w:r w:rsidRPr="00380B40">
        <w:rPr>
          <w:lang w:val="en-GB"/>
        </w:rPr>
        <w:tab/>
        <w:t>that Resolution 71 (Rev, Dubai 2018) of the Plenipotentiary Conference adopted the strategic plan for 2020-23, including Strategic Goal 3 (Sustainability: Manage emerging risks, challenges and opportunities resulting from the rapid growth of telecommunications/ICT), under which the Union will focus on enhancing the quality, reliability, sustainability and resilience of networks and systems as well as building confidence and security in the use of telecommunications/ICTs;</w:t>
      </w:r>
    </w:p>
    <w:p w14:paraId="2B5C35CF" w14:textId="77777777" w:rsidR="004A0742" w:rsidRPr="00380B40" w:rsidRDefault="004A0742" w:rsidP="004A0742">
      <w:pPr>
        <w:rPr>
          <w:i/>
          <w:iCs/>
          <w:lang w:val="en-GB"/>
        </w:rPr>
      </w:pPr>
      <w:r w:rsidRPr="00380B40">
        <w:rPr>
          <w:i/>
          <w:iCs/>
          <w:lang w:val="en-GB"/>
        </w:rPr>
        <w:t>c)</w:t>
      </w:r>
      <w:r w:rsidRPr="00380B40">
        <w:rPr>
          <w:lang w:val="en-GB"/>
        </w:rPr>
        <w:tab/>
        <w:t>that the ITU Global Cybersecurity Agenda (GCA) promotes international cooperation aimed at proposing strategies for solutions to enhance confidence and security in the use of ICTs, considering security aspects throughout the whole lifecycle of the standards-development process;</w:t>
      </w:r>
    </w:p>
    <w:p w14:paraId="0B891028" w14:textId="77777777" w:rsidR="004A0742" w:rsidRPr="00380B40" w:rsidRDefault="004A0742" w:rsidP="004A0742">
      <w:pPr>
        <w:rPr>
          <w:lang w:val="en-GB"/>
        </w:rPr>
      </w:pPr>
      <w:r w:rsidRPr="00380B40">
        <w:rPr>
          <w:i/>
          <w:iCs/>
          <w:lang w:val="en-GB"/>
        </w:rPr>
        <w:t>d)</w:t>
      </w:r>
      <w:r w:rsidRPr="00380B40">
        <w:rPr>
          <w:lang w:val="en-GB"/>
        </w:rPr>
        <w:tab/>
        <w:t>the challenges that States, particularly in developing nations, face in building confidence and security in the use of ICTs,</w:t>
      </w:r>
    </w:p>
    <w:p w14:paraId="243D8CB9" w14:textId="77777777" w:rsidR="004A0742" w:rsidRPr="00380B40" w:rsidRDefault="004A0742" w:rsidP="004A0742">
      <w:pPr>
        <w:pStyle w:val="Call"/>
        <w:rPr>
          <w:lang w:val="en-GB"/>
        </w:rPr>
      </w:pPr>
      <w:r w:rsidRPr="00380B40">
        <w:rPr>
          <w:lang w:val="en-GB"/>
        </w:rPr>
        <w:t>recognizing further</w:t>
      </w:r>
    </w:p>
    <w:p w14:paraId="684C65E7" w14:textId="77777777" w:rsidR="004A0742" w:rsidRPr="00380B40" w:rsidRDefault="004A0742" w:rsidP="004A0742">
      <w:pPr>
        <w:rPr>
          <w:lang w:val="en-GB"/>
        </w:rPr>
      </w:pPr>
      <w:r w:rsidRPr="00380B40">
        <w:rPr>
          <w:i/>
          <w:iCs/>
          <w:lang w:val="en-GB"/>
        </w:rPr>
        <w:t>a)</w:t>
      </w:r>
      <w:r w:rsidRPr="00380B40">
        <w:rPr>
          <w:lang w:val="en-GB"/>
        </w:rPr>
        <w:tab/>
        <w:t xml:space="preserve">that cyberattacks such as phishing, pharming, scan/intrusion, distributed denials of service, web-defacements, unauthorized access, etc., are emerging and having serious impacts; </w:t>
      </w:r>
    </w:p>
    <w:p w14:paraId="55EE40CF" w14:textId="77777777" w:rsidR="0090426B" w:rsidRPr="00380B40" w:rsidRDefault="0090426B" w:rsidP="004A0742">
      <w:pPr>
        <w:rPr>
          <w:i/>
          <w:iCs/>
          <w:lang w:val="en-GB"/>
        </w:rPr>
      </w:pPr>
      <w:r w:rsidRPr="00380B40">
        <w:rPr>
          <w:i/>
          <w:iCs/>
          <w:lang w:val="en-GB"/>
        </w:rPr>
        <w:br w:type="page"/>
      </w:r>
    </w:p>
    <w:p w14:paraId="303922A3" w14:textId="77777777" w:rsidR="004A0742" w:rsidRPr="00380B40" w:rsidRDefault="004A0742" w:rsidP="004A0742">
      <w:pPr>
        <w:rPr>
          <w:lang w:val="en-GB"/>
        </w:rPr>
      </w:pPr>
      <w:r w:rsidRPr="00380B40">
        <w:rPr>
          <w:i/>
          <w:iCs/>
          <w:lang w:val="en-GB"/>
        </w:rPr>
        <w:t>b)</w:t>
      </w:r>
      <w:r w:rsidRPr="00380B40">
        <w:rPr>
          <w:lang w:val="en-GB"/>
        </w:rPr>
        <w:tab/>
        <w:t>that botnets are being used to distribute bot-malware and carry out cyberattacks;</w:t>
      </w:r>
    </w:p>
    <w:p w14:paraId="1AF28E19" w14:textId="77777777" w:rsidR="004A0742" w:rsidRPr="00380B40" w:rsidRDefault="004A0742" w:rsidP="004A0742">
      <w:pPr>
        <w:rPr>
          <w:i/>
          <w:iCs/>
          <w:lang w:val="en-GB"/>
        </w:rPr>
      </w:pPr>
      <w:r w:rsidRPr="00380B40">
        <w:rPr>
          <w:i/>
          <w:iCs/>
          <w:lang w:val="en-GB"/>
        </w:rPr>
        <w:t>c)</w:t>
      </w:r>
      <w:r w:rsidRPr="00380B40">
        <w:rPr>
          <w:lang w:val="en-GB"/>
        </w:rPr>
        <w:tab/>
        <w:t xml:space="preserve">that sources of attacks are sometimes difficult to identify; </w:t>
      </w:r>
    </w:p>
    <w:p w14:paraId="6642287A" w14:textId="77777777" w:rsidR="004A0742" w:rsidRPr="00380B40" w:rsidRDefault="004A0742" w:rsidP="004A0742">
      <w:pPr>
        <w:rPr>
          <w:lang w:val="en-GB"/>
        </w:rPr>
      </w:pPr>
      <w:r w:rsidRPr="00380B40">
        <w:rPr>
          <w:i/>
          <w:lang w:val="en-GB" w:eastAsia="ko-KR"/>
        </w:rPr>
        <w:t>d</w:t>
      </w:r>
      <w:r w:rsidRPr="00380B40">
        <w:rPr>
          <w:i/>
          <w:lang w:val="en-GB"/>
        </w:rPr>
        <w:t>)</w:t>
      </w:r>
      <w:r w:rsidRPr="00380B40">
        <w:rPr>
          <w:lang w:val="en-GB"/>
        </w:rPr>
        <w:tab/>
        <w:t>that critical cybersecurity threats in software and hardware may require timely vulnerability management and timely hardware and software updates;</w:t>
      </w:r>
    </w:p>
    <w:p w14:paraId="1317B088" w14:textId="77777777" w:rsidR="004A0742" w:rsidRPr="00380B40" w:rsidRDefault="004A0742" w:rsidP="004A0742">
      <w:pPr>
        <w:rPr>
          <w:lang w:val="en-GB" w:eastAsia="ko-KR"/>
        </w:rPr>
      </w:pPr>
      <w:r w:rsidRPr="00380B40">
        <w:rPr>
          <w:i/>
          <w:lang w:val="en-GB" w:eastAsia="ko-KR"/>
        </w:rPr>
        <w:t>e)</w:t>
      </w:r>
      <w:r w:rsidRPr="00380B40">
        <w:rPr>
          <w:lang w:val="en-GB" w:eastAsia="ko-KR"/>
        </w:rPr>
        <w:tab/>
        <w:t>that securing data is a key component of cybersecurity as data are often the target in cyberattacks;</w:t>
      </w:r>
    </w:p>
    <w:p w14:paraId="0EDC0D94" w14:textId="77777777" w:rsidR="004A0742" w:rsidRPr="00380B40" w:rsidRDefault="004A0742" w:rsidP="004A0742">
      <w:pPr>
        <w:rPr>
          <w:lang w:val="en-GB"/>
        </w:rPr>
      </w:pPr>
      <w:r w:rsidRPr="00380B40">
        <w:rPr>
          <w:i/>
          <w:iCs/>
          <w:lang w:val="en-GB"/>
        </w:rPr>
        <w:t>f)</w:t>
      </w:r>
      <w:r w:rsidRPr="00380B40">
        <w:rPr>
          <w:lang w:val="en-GB"/>
        </w:rPr>
        <w:tab/>
        <w:t>that cybersecurity is one of the elements for building confidence and security in the use of telecommunications/ICTs,</w:t>
      </w:r>
    </w:p>
    <w:p w14:paraId="2B0194C6" w14:textId="77777777" w:rsidR="004A0742" w:rsidRPr="00380B40" w:rsidRDefault="004A0742" w:rsidP="004A0742">
      <w:pPr>
        <w:pStyle w:val="Call"/>
        <w:rPr>
          <w:lang w:val="en-GB"/>
        </w:rPr>
      </w:pPr>
      <w:r w:rsidRPr="00380B40">
        <w:rPr>
          <w:lang w:val="en-GB"/>
        </w:rPr>
        <w:t>noting</w:t>
      </w:r>
    </w:p>
    <w:p w14:paraId="76B537A2" w14:textId="77777777" w:rsidR="004A0742" w:rsidRPr="00380B40" w:rsidRDefault="004A0742" w:rsidP="004A0742">
      <w:pPr>
        <w:rPr>
          <w:lang w:val="en-GB"/>
        </w:rPr>
      </w:pPr>
      <w:r w:rsidRPr="00380B40">
        <w:rPr>
          <w:i/>
          <w:iCs/>
          <w:lang w:val="en-GB"/>
        </w:rPr>
        <w:t>a)</w:t>
      </w:r>
      <w:r w:rsidRPr="00380B40">
        <w:rPr>
          <w:lang w:val="en-GB"/>
        </w:rPr>
        <w:tab/>
        <w:t>the vigorous activity and interest in the development of telecommunication/ICT security standards and Recommendations in Study Group 17, the lead ITU</w:t>
      </w:r>
      <w:r w:rsidRPr="00380B40">
        <w:rPr>
          <w:lang w:val="en-GB"/>
        </w:rPr>
        <w:noBreakHyphen/>
        <w:t>T study group on security and identity management, and in other standardization bodies, including the Global Standards Collaboration (GSC) group;</w:t>
      </w:r>
    </w:p>
    <w:p w14:paraId="21243B8A" w14:textId="77777777" w:rsidR="004A0742" w:rsidRPr="00380B40" w:rsidRDefault="004A0742" w:rsidP="004A0742">
      <w:pPr>
        <w:rPr>
          <w:lang w:val="en-GB"/>
        </w:rPr>
      </w:pPr>
      <w:r w:rsidRPr="00380B40">
        <w:rPr>
          <w:i/>
          <w:iCs/>
          <w:lang w:val="en-GB"/>
        </w:rPr>
        <w:t>b)</w:t>
      </w:r>
      <w:r w:rsidRPr="00380B40">
        <w:rPr>
          <w:lang w:val="en-GB"/>
        </w:rPr>
        <w:tab/>
        <w:t xml:space="preserve">that there is a need for national, regional and international strategies and initiatives to be harmonized to the extent possible, in order to avoid duplication and to optimize the use of resources; </w:t>
      </w:r>
    </w:p>
    <w:p w14:paraId="060CD003" w14:textId="77777777" w:rsidR="004A0742" w:rsidRPr="00380B40" w:rsidRDefault="004A0742" w:rsidP="004A0742">
      <w:pPr>
        <w:rPr>
          <w:lang w:val="en-GB"/>
        </w:rPr>
      </w:pPr>
      <w:r w:rsidRPr="00380B40">
        <w:rPr>
          <w:i/>
          <w:iCs/>
          <w:lang w:val="en-GB"/>
        </w:rPr>
        <w:t>c)</w:t>
      </w:r>
      <w:r w:rsidRPr="00380B40">
        <w:rPr>
          <w:lang w:val="en-GB"/>
        </w:rPr>
        <w:tab/>
        <w:t>the significant and collaborative efforts by and among governments, the private sector, civil society, the technical community and academia, within their respective roles and responsibilities, to build confidence and security in the use of ICTs,</w:t>
      </w:r>
    </w:p>
    <w:p w14:paraId="3494C361" w14:textId="77777777" w:rsidR="004A0742" w:rsidRPr="00380B40" w:rsidRDefault="004A0742" w:rsidP="004A0742">
      <w:pPr>
        <w:pStyle w:val="Call"/>
        <w:rPr>
          <w:lang w:val="en-GB"/>
        </w:rPr>
      </w:pPr>
      <w:r w:rsidRPr="00380B40">
        <w:rPr>
          <w:lang w:val="en-GB"/>
        </w:rPr>
        <w:t>resolves</w:t>
      </w:r>
    </w:p>
    <w:p w14:paraId="4A18343C" w14:textId="77777777" w:rsidR="004A0742" w:rsidRPr="00380B40" w:rsidRDefault="004A0742" w:rsidP="004A0742">
      <w:pPr>
        <w:rPr>
          <w:lang w:val="en-GB" w:eastAsia="ko-KR"/>
        </w:rPr>
      </w:pPr>
      <w:r w:rsidRPr="00380B40">
        <w:rPr>
          <w:lang w:val="en-GB" w:eastAsia="ko-KR"/>
        </w:rPr>
        <w:t>1</w:t>
      </w:r>
      <w:r w:rsidRPr="00380B40">
        <w:rPr>
          <w:lang w:val="en-GB" w:eastAsia="ko-KR"/>
        </w:rPr>
        <w:tab/>
        <w:t>to continue to give this work high priority within ITU</w:t>
      </w:r>
      <w:r w:rsidRPr="00380B40">
        <w:rPr>
          <w:lang w:val="en-GB" w:eastAsia="ko-KR"/>
        </w:rPr>
        <w:noBreakHyphen/>
        <w:t>T, in accordance with its competencies and expertise, including promoting common understanding among governments and other stakeholders of building confidence and security in the use of ICTs at the national, regional and international level;</w:t>
      </w:r>
    </w:p>
    <w:p w14:paraId="1D98AD07" w14:textId="77777777" w:rsidR="004A0742" w:rsidRPr="00380B40" w:rsidRDefault="004A0742" w:rsidP="004A0742">
      <w:pPr>
        <w:rPr>
          <w:lang w:val="en-GB"/>
        </w:rPr>
      </w:pPr>
      <w:r w:rsidRPr="00380B40">
        <w:rPr>
          <w:lang w:val="en-GB"/>
        </w:rPr>
        <w:t>2</w:t>
      </w:r>
      <w:r w:rsidRPr="00380B40">
        <w:rPr>
          <w:lang w:val="en-GB"/>
        </w:rPr>
        <w:tab/>
        <w:t>that all ITU</w:t>
      </w:r>
      <w:r w:rsidRPr="00380B40">
        <w:rPr>
          <w:lang w:val="en-GB"/>
        </w:rPr>
        <w:noBreakHyphen/>
        <w:t>T study groups continue to evaluate existing and evolving new Recommendations, with respect to their robustness of design and potential for exploitation by malicious parties, and take into account new services and emerging applications to be supported by the global telecommunication/ICT infrastructure (including, but not limited to, for example, cloud computing and IoT, which are based on telecommunication/ICT networks), according to their mandates in Resolution 2 (Rev. Geneva, 2022) of this assembly;</w:t>
      </w:r>
    </w:p>
    <w:p w14:paraId="0532A71C" w14:textId="77777777" w:rsidR="004A0742" w:rsidRPr="00380B40" w:rsidRDefault="004A0742" w:rsidP="004A0742">
      <w:pPr>
        <w:rPr>
          <w:lang w:val="en-GB"/>
        </w:rPr>
      </w:pPr>
      <w:r w:rsidRPr="00380B40">
        <w:rPr>
          <w:lang w:val="en-GB"/>
        </w:rPr>
        <w:t>3</w:t>
      </w:r>
      <w:r w:rsidRPr="00380B40">
        <w:rPr>
          <w:lang w:val="en-GB"/>
        </w:rPr>
        <w:tab/>
        <w:t>that ITU</w:t>
      </w:r>
      <w:r w:rsidRPr="00380B40">
        <w:rPr>
          <w:lang w:val="en-GB"/>
        </w:rPr>
        <w:noBreakHyphen/>
        <w:t>T continue to raise awareness, within its mandate and competencies, of the need to harden and defend information and telecommunication systems from cyberthreats and malicious cyberactivity, and continue to promote cooperation among appropriate international and regional organizations in order to enhance exchange of technical information in the field of information and telecommunication network security;</w:t>
      </w:r>
    </w:p>
    <w:p w14:paraId="03418E2E" w14:textId="77777777" w:rsidR="0090426B" w:rsidRPr="00380B40" w:rsidRDefault="0090426B" w:rsidP="004A0742">
      <w:pPr>
        <w:rPr>
          <w:lang w:val="en-GB"/>
        </w:rPr>
      </w:pPr>
      <w:r w:rsidRPr="00380B40">
        <w:rPr>
          <w:lang w:val="en-GB"/>
        </w:rPr>
        <w:br w:type="page"/>
      </w:r>
    </w:p>
    <w:p w14:paraId="04F82640" w14:textId="77777777" w:rsidR="004A0742" w:rsidRPr="00380B40" w:rsidRDefault="004A0742" w:rsidP="004A0742">
      <w:pPr>
        <w:rPr>
          <w:lang w:val="en-GB"/>
        </w:rPr>
      </w:pPr>
      <w:r w:rsidRPr="00380B40">
        <w:rPr>
          <w:lang w:val="en-GB"/>
        </w:rPr>
        <w:t>4</w:t>
      </w:r>
      <w:r w:rsidRPr="00380B40">
        <w:rPr>
          <w:lang w:val="en-GB"/>
        </w:rPr>
        <w:tab/>
        <w:t>that ITU-T should raise global awareness regarding security in ICTs through the development of Recommendations and technical reports which support cybersecurity procedures, technical policies and standards frameworks;</w:t>
      </w:r>
    </w:p>
    <w:p w14:paraId="3EE006D2" w14:textId="77777777" w:rsidR="004A0742" w:rsidRPr="00380B40" w:rsidRDefault="004A0742" w:rsidP="004A0742">
      <w:pPr>
        <w:rPr>
          <w:lang w:val="en-GB"/>
        </w:rPr>
      </w:pPr>
      <w:r w:rsidRPr="00380B40">
        <w:rPr>
          <w:lang w:val="en-GB"/>
        </w:rPr>
        <w:t>5</w:t>
      </w:r>
      <w:r w:rsidRPr="00380B40">
        <w:rPr>
          <w:lang w:val="en-GB"/>
        </w:rPr>
        <w:tab/>
        <w:t>that ITU</w:t>
      </w:r>
      <w:r w:rsidRPr="00380B40">
        <w:rPr>
          <w:lang w:val="en-GB"/>
        </w:rPr>
        <w:noBreakHyphen/>
        <w:t>T should work with ITU</w:t>
      </w:r>
      <w:r w:rsidRPr="00380B40">
        <w:rPr>
          <w:lang w:val="en-GB"/>
        </w:rPr>
        <w:noBreakHyphen/>
        <w:t>D, particularly in the context of ITU-D Question 3/2</w:t>
      </w:r>
      <w:r w:rsidRPr="00380B40">
        <w:rPr>
          <w:lang w:val="en-GB" w:eastAsia="ko-KR"/>
        </w:rPr>
        <w:t xml:space="preserve"> (Securing information and communication networks: Best practices for developing a culture of cybersecurity)</w:t>
      </w:r>
      <w:r w:rsidRPr="00380B40">
        <w:rPr>
          <w:lang w:val="en-GB"/>
        </w:rPr>
        <w:t>;</w:t>
      </w:r>
    </w:p>
    <w:p w14:paraId="33727F25" w14:textId="77777777" w:rsidR="004A0742" w:rsidRPr="00380B40" w:rsidRDefault="004A0742" w:rsidP="004A0742">
      <w:pPr>
        <w:rPr>
          <w:lang w:val="en-GB"/>
        </w:rPr>
      </w:pPr>
      <w:r w:rsidRPr="00380B40">
        <w:rPr>
          <w:lang w:val="en-GB"/>
        </w:rPr>
        <w:t>6</w:t>
      </w:r>
      <w:r w:rsidRPr="00380B40">
        <w:rPr>
          <w:lang w:val="en-GB"/>
        </w:rPr>
        <w:tab/>
        <w:t>that relevant ITU-T study groups should keep pace with the development of the new and emerging technologies, according to their mandates, in order to develop Recommendations, supplements and technical reports that help to overcome challenges related to security;</w:t>
      </w:r>
    </w:p>
    <w:p w14:paraId="4A848954" w14:textId="77777777" w:rsidR="004A0742" w:rsidRPr="00380B40" w:rsidRDefault="004A0742" w:rsidP="004A0742">
      <w:pPr>
        <w:rPr>
          <w:lang w:val="en-GB"/>
        </w:rPr>
      </w:pPr>
      <w:r w:rsidRPr="00380B40">
        <w:rPr>
          <w:lang w:val="en-GB"/>
        </w:rPr>
        <w:t>7</w:t>
      </w:r>
      <w:r w:rsidRPr="00380B40">
        <w:rPr>
          <w:lang w:val="en-GB"/>
        </w:rPr>
        <w:tab/>
        <w:t>that ITU</w:t>
      </w:r>
      <w:r w:rsidRPr="00380B40">
        <w:rPr>
          <w:lang w:val="en-GB"/>
        </w:rPr>
        <w:noBreakHyphen/>
        <w:t>T continue work on the development and improvement of terms and definitions related to building confidence and security in the use of telecommunications/ICTs, including the term cybersecurity;</w:t>
      </w:r>
    </w:p>
    <w:p w14:paraId="59954204" w14:textId="77777777" w:rsidR="004A0742" w:rsidRPr="00380B40" w:rsidRDefault="004A0742" w:rsidP="004A0742">
      <w:pPr>
        <w:rPr>
          <w:lang w:val="en-GB"/>
        </w:rPr>
      </w:pPr>
      <w:r w:rsidRPr="00380B40">
        <w:rPr>
          <w:lang w:val="en-GB"/>
        </w:rPr>
        <w:t>8</w:t>
      </w:r>
      <w:r w:rsidRPr="00380B40">
        <w:rPr>
          <w:lang w:val="en-GB"/>
        </w:rPr>
        <w:tab/>
        <w:t>that global, consistent and interoperable processes for sharing information related to incident response should be promoted;</w:t>
      </w:r>
    </w:p>
    <w:p w14:paraId="4E127FE0" w14:textId="77777777" w:rsidR="004A0742" w:rsidRPr="00380B40" w:rsidRDefault="004A0742" w:rsidP="004A0742">
      <w:pPr>
        <w:rPr>
          <w:lang w:val="en-GB"/>
        </w:rPr>
      </w:pPr>
      <w:r w:rsidRPr="00380B40">
        <w:rPr>
          <w:lang w:val="en-GB"/>
        </w:rPr>
        <w:t>9</w:t>
      </w:r>
      <w:r w:rsidRPr="00380B40">
        <w:rPr>
          <w:lang w:val="en-GB"/>
        </w:rPr>
        <w:tab/>
        <w:t>that ITU</w:t>
      </w:r>
      <w:r w:rsidRPr="00380B40">
        <w:rPr>
          <w:lang w:val="en-GB"/>
        </w:rPr>
        <w:noBreakHyphen/>
        <w:t>T study groups continue to liaise with standards organizations and other bodies active in this field and encourage the engagement of experts in ITU's activities in the area of building confidence and security in the use of ICTs;</w:t>
      </w:r>
    </w:p>
    <w:p w14:paraId="36C087D9" w14:textId="77777777" w:rsidR="004A0742" w:rsidRPr="00380B40" w:rsidRDefault="004A0742" w:rsidP="004A0742">
      <w:pPr>
        <w:rPr>
          <w:lang w:val="en-GB"/>
        </w:rPr>
      </w:pPr>
      <w:r w:rsidRPr="00380B40">
        <w:rPr>
          <w:lang w:val="en-GB"/>
        </w:rPr>
        <w:t>10</w:t>
      </w:r>
      <w:r w:rsidRPr="00380B40">
        <w:rPr>
          <w:lang w:val="en-GB"/>
        </w:rPr>
        <w:tab/>
        <w:t>that security aspects should be considered throughout the ITU</w:t>
      </w:r>
      <w:r w:rsidRPr="00380B40">
        <w:rPr>
          <w:lang w:val="en-GB"/>
        </w:rPr>
        <w:noBreakHyphen/>
        <w:t>T standards-development process;</w:t>
      </w:r>
    </w:p>
    <w:p w14:paraId="132850A6" w14:textId="77777777" w:rsidR="004A0742" w:rsidRPr="00380B40" w:rsidRDefault="004A0742" w:rsidP="004A0742">
      <w:pPr>
        <w:rPr>
          <w:lang w:val="en-GB"/>
        </w:rPr>
      </w:pPr>
      <w:r w:rsidRPr="00380B40">
        <w:rPr>
          <w:lang w:val="en-GB"/>
        </w:rPr>
        <w:t>11</w:t>
      </w:r>
      <w:r w:rsidRPr="00380B40">
        <w:rPr>
          <w:lang w:val="en-GB"/>
        </w:rPr>
        <w:tab/>
        <w:t>that secure, trusted and resilient telecommunication/ICT networks and services should be developed and maintained to enhance confidence in the use of ICT;</w:t>
      </w:r>
    </w:p>
    <w:p w14:paraId="0CAAA85B" w14:textId="77777777" w:rsidR="004A0742" w:rsidRPr="00380B40" w:rsidRDefault="004A0742" w:rsidP="004A0742">
      <w:pPr>
        <w:rPr>
          <w:lang w:val="en-GB"/>
        </w:rPr>
      </w:pPr>
      <w:r w:rsidRPr="00380B40">
        <w:rPr>
          <w:lang w:val="en-GB"/>
        </w:rPr>
        <w:t>12</w:t>
      </w:r>
      <w:r w:rsidRPr="00380B40">
        <w:rPr>
          <w:lang w:val="en-GB"/>
        </w:rPr>
        <w:tab/>
        <w:t>that Study Group 17 needs to develop cooperative security analysis and incident management frameworks;</w:t>
      </w:r>
    </w:p>
    <w:p w14:paraId="0A095971" w14:textId="77777777" w:rsidR="004A0742" w:rsidRPr="00380B40" w:rsidRDefault="004A0742" w:rsidP="004A0742">
      <w:pPr>
        <w:rPr>
          <w:lang w:val="en-GB"/>
        </w:rPr>
      </w:pPr>
      <w:r w:rsidRPr="00380B40">
        <w:rPr>
          <w:lang w:val="en-GB"/>
        </w:rPr>
        <w:t>13</w:t>
      </w:r>
      <w:r w:rsidRPr="00380B40">
        <w:rPr>
          <w:lang w:val="en-GB"/>
        </w:rPr>
        <w:tab/>
        <w:t>that the resilience of ICT networks and systems should be considered as a priority in network and infrastructure development,</w:t>
      </w:r>
    </w:p>
    <w:p w14:paraId="23B9083D" w14:textId="77777777" w:rsidR="004A0742" w:rsidRPr="00380B40" w:rsidRDefault="004A0742" w:rsidP="004A0742">
      <w:pPr>
        <w:pStyle w:val="Call"/>
        <w:rPr>
          <w:lang w:val="en-GB"/>
        </w:rPr>
      </w:pPr>
      <w:r w:rsidRPr="00380B40">
        <w:rPr>
          <w:lang w:val="en-GB"/>
        </w:rPr>
        <w:t xml:space="preserve">instructs Study Group 17 </w:t>
      </w:r>
    </w:p>
    <w:p w14:paraId="0C7DCAE1" w14:textId="77777777" w:rsidR="004A0742" w:rsidRPr="00380B40" w:rsidRDefault="004A0742" w:rsidP="004A0742">
      <w:pPr>
        <w:rPr>
          <w:lang w:val="en-GB"/>
        </w:rPr>
      </w:pPr>
      <w:r w:rsidRPr="00380B40">
        <w:rPr>
          <w:lang w:val="en-GB"/>
        </w:rPr>
        <w:t>1</w:t>
      </w:r>
      <w:r w:rsidRPr="00380B40">
        <w:rPr>
          <w:lang w:val="en-GB"/>
        </w:rPr>
        <w:tab/>
        <w:t>to promote studies on cybersecurity, including security for new services and emerging applications to be supported by the global telecommunication/ICT infrastructure;</w:t>
      </w:r>
    </w:p>
    <w:p w14:paraId="50DCCE7D" w14:textId="77777777" w:rsidR="004A0742" w:rsidRPr="00380B40" w:rsidRDefault="004A0742" w:rsidP="004A0742">
      <w:pPr>
        <w:rPr>
          <w:lang w:val="en-GB"/>
        </w:rPr>
      </w:pPr>
      <w:r w:rsidRPr="00380B40">
        <w:rPr>
          <w:lang w:val="en-GB"/>
        </w:rPr>
        <w:t>2</w:t>
      </w:r>
      <w:r w:rsidRPr="00380B40">
        <w:rPr>
          <w:lang w:val="en-GB"/>
        </w:rPr>
        <w:tab/>
        <w:t xml:space="preserve">to support the Director of TSB to maintain the ICT Security Standards Roadmap, which should include work items to progress standardization work related to security, and share this with relevant groups of the ITU Radiocommunication Sector (ITU-R) and ITU-D as the mission of the lead group for security; </w:t>
      </w:r>
    </w:p>
    <w:p w14:paraId="41EA6674" w14:textId="77777777" w:rsidR="004A0742" w:rsidRPr="00380B40" w:rsidRDefault="004A0742" w:rsidP="004A0742">
      <w:pPr>
        <w:rPr>
          <w:lang w:val="en-GB"/>
        </w:rPr>
      </w:pPr>
      <w:r w:rsidRPr="00380B40">
        <w:rPr>
          <w:lang w:val="en-GB"/>
        </w:rPr>
        <w:t>3</w:t>
      </w:r>
      <w:r w:rsidRPr="00380B40">
        <w:rPr>
          <w:lang w:val="en-GB"/>
        </w:rPr>
        <w:tab/>
        <w:t>to promote joint coordination activities on security among all relevant study groups and focus groups in ITU and other standards-development organizations;</w:t>
      </w:r>
    </w:p>
    <w:p w14:paraId="58695033" w14:textId="77777777" w:rsidR="0090426B" w:rsidRPr="00380B40" w:rsidRDefault="0090426B" w:rsidP="004A0742">
      <w:pPr>
        <w:rPr>
          <w:lang w:val="en-GB"/>
        </w:rPr>
      </w:pPr>
      <w:r w:rsidRPr="00380B40">
        <w:rPr>
          <w:lang w:val="en-GB"/>
        </w:rPr>
        <w:br w:type="page"/>
      </w:r>
    </w:p>
    <w:p w14:paraId="5B36891F" w14:textId="77777777" w:rsidR="004A0742" w:rsidRPr="00380B40" w:rsidRDefault="004A0742" w:rsidP="004A0742">
      <w:pPr>
        <w:rPr>
          <w:lang w:val="en-GB"/>
        </w:rPr>
      </w:pPr>
      <w:r w:rsidRPr="00380B40">
        <w:rPr>
          <w:lang w:val="en-GB"/>
        </w:rPr>
        <w:t>4</w:t>
      </w:r>
      <w:r w:rsidRPr="00380B40">
        <w:rPr>
          <w:lang w:val="en-GB"/>
        </w:rPr>
        <w:tab/>
        <w:t>to collaborate closely with all other ITU-T study groups, establish an action plan for assessing existing, evolving and new ITU-T Recommendations to counter security vulnerabilities, and continue to provide regular reports on security of telecommunications/ICT to the Telecommunication Standardization Advisory Group;</w:t>
      </w:r>
    </w:p>
    <w:p w14:paraId="563746DF" w14:textId="77777777" w:rsidR="004A0742" w:rsidRPr="00380B40" w:rsidRDefault="004A0742" w:rsidP="004A0742">
      <w:pPr>
        <w:rPr>
          <w:lang w:val="en-GB"/>
        </w:rPr>
      </w:pPr>
      <w:r w:rsidRPr="00380B40">
        <w:rPr>
          <w:lang w:val="en-GB"/>
        </w:rPr>
        <w:t>5</w:t>
      </w:r>
      <w:r w:rsidRPr="00380B40">
        <w:rPr>
          <w:lang w:val="en-GB"/>
        </w:rPr>
        <w:tab/>
        <w:t>to define a general/common set of security capabilities for each phase of information system/network/application lifecycles, so that consequently security by design (security capabilities and features available by design) could be achieved for systems/networks/applications from day one;</w:t>
      </w:r>
    </w:p>
    <w:p w14:paraId="21A6C656" w14:textId="77777777" w:rsidR="004A0742" w:rsidRPr="00380B40" w:rsidRDefault="004A0742" w:rsidP="004A0742">
      <w:pPr>
        <w:rPr>
          <w:lang w:val="en-GB"/>
        </w:rPr>
      </w:pPr>
      <w:r w:rsidRPr="00380B40">
        <w:rPr>
          <w:lang w:val="en-GB"/>
        </w:rPr>
        <w:t>6</w:t>
      </w:r>
      <w:r w:rsidRPr="00380B40">
        <w:rPr>
          <w:lang w:val="en-GB"/>
        </w:rPr>
        <w:tab/>
        <w:t>to design one or more security architecture reference frameworks with security functional components which could be considered as the basis of security architecture design for various systems/networks/applications in order to improve the quality of Recommendations on security,</w:t>
      </w:r>
    </w:p>
    <w:p w14:paraId="1613853F" w14:textId="77777777" w:rsidR="004A0742" w:rsidRPr="00380B40" w:rsidRDefault="004A0742" w:rsidP="004A0742">
      <w:pPr>
        <w:pStyle w:val="Call"/>
        <w:rPr>
          <w:lang w:val="en-GB"/>
        </w:rPr>
      </w:pPr>
      <w:r w:rsidRPr="00380B40">
        <w:rPr>
          <w:lang w:val="en-GB"/>
        </w:rPr>
        <w:t>instructs the Director of the Telecommunication Standardization Bureau</w:t>
      </w:r>
    </w:p>
    <w:p w14:paraId="05EB779D" w14:textId="77777777" w:rsidR="004A0742" w:rsidRPr="00380B40" w:rsidRDefault="004A0742" w:rsidP="004A0742">
      <w:pPr>
        <w:rPr>
          <w:lang w:val="en-GB"/>
        </w:rPr>
      </w:pPr>
      <w:r w:rsidRPr="00380B40">
        <w:rPr>
          <w:lang w:val="en-GB"/>
        </w:rPr>
        <w:t>1</w:t>
      </w:r>
      <w:r w:rsidRPr="00380B40">
        <w:rPr>
          <w:lang w:val="en-GB"/>
        </w:rPr>
        <w:tab/>
        <w:t xml:space="preserve">to continue to maintain, in building upon the information base associated with the </w:t>
      </w:r>
      <w:r w:rsidRPr="00380B40">
        <w:rPr>
          <w:iCs/>
          <w:lang w:val="en-GB"/>
        </w:rPr>
        <w:t>ICT Security Standards Roadmap</w:t>
      </w:r>
      <w:r w:rsidRPr="00380B40">
        <w:rPr>
          <w:lang w:val="en-GB"/>
        </w:rPr>
        <w:t xml:space="preserve"> and ITU</w:t>
      </w:r>
      <w:r w:rsidRPr="00380B40">
        <w:rPr>
          <w:lang w:val="en-GB"/>
        </w:rPr>
        <w:noBreakHyphen/>
        <w:t xml:space="preserve">D efforts on cybersecurity, and with the assistance of other relevant organizations, an inventory of national, regional and international initiatives and activities to promote, to the maximum extent possible, the worldwide harmonization of strategies and approaches in this critically important area, including the development of common approaches in the field of cybersecurity; </w:t>
      </w:r>
    </w:p>
    <w:p w14:paraId="35587E94" w14:textId="77777777" w:rsidR="004A0742" w:rsidRPr="00380B40" w:rsidRDefault="004A0742" w:rsidP="004A0742">
      <w:pPr>
        <w:rPr>
          <w:lang w:val="en-GB"/>
        </w:rPr>
      </w:pPr>
      <w:r w:rsidRPr="00380B40">
        <w:rPr>
          <w:color w:val="000000"/>
          <w:lang w:val="en-GB"/>
        </w:rPr>
        <w:t>2</w:t>
      </w:r>
      <w:r w:rsidRPr="00380B40">
        <w:rPr>
          <w:color w:val="000000"/>
          <w:lang w:val="en-GB"/>
        </w:rPr>
        <w:tab/>
      </w:r>
      <w:r w:rsidRPr="00380B40">
        <w:rPr>
          <w:lang w:val="en-GB"/>
        </w:rPr>
        <w:t>to contribute to annual reports to the ITU Council on building confidence and security in the use of ICTs, as specified in Resolution 130 (Rev. Dubai, 2018);</w:t>
      </w:r>
    </w:p>
    <w:p w14:paraId="1EFCC49E" w14:textId="77777777" w:rsidR="004A0742" w:rsidRPr="00380B40" w:rsidRDefault="004A0742" w:rsidP="004A0742">
      <w:pPr>
        <w:rPr>
          <w:lang w:val="en-GB" w:eastAsia="ko-KR"/>
        </w:rPr>
      </w:pPr>
      <w:r w:rsidRPr="00380B40">
        <w:rPr>
          <w:lang w:val="en-GB"/>
        </w:rPr>
        <w:t>3</w:t>
      </w:r>
      <w:r w:rsidRPr="00380B40">
        <w:rPr>
          <w:lang w:val="en-GB"/>
        </w:rPr>
        <w:tab/>
        <w:t>to report to the Council on the progress of activities on the ICT Security Standards Roadmap</w:t>
      </w:r>
      <w:r w:rsidRPr="00380B40">
        <w:rPr>
          <w:lang w:val="en-GB" w:eastAsia="ko-KR"/>
        </w:rPr>
        <w:t>;</w:t>
      </w:r>
    </w:p>
    <w:p w14:paraId="620F947F" w14:textId="77777777" w:rsidR="004A0742" w:rsidRPr="00380B40" w:rsidRDefault="004A0742" w:rsidP="004A0742">
      <w:pPr>
        <w:rPr>
          <w:lang w:val="en-GB"/>
        </w:rPr>
      </w:pPr>
      <w:r w:rsidRPr="00380B40">
        <w:rPr>
          <w:lang w:val="en-GB"/>
        </w:rPr>
        <w:t>4</w:t>
      </w:r>
      <w:r w:rsidRPr="00380B40">
        <w:rPr>
          <w:lang w:val="en-GB"/>
        </w:rPr>
        <w:tab/>
        <w:t>to continue to recognize the role played by other organizations with experience and expertise in the area of security standards, and coordinate with those organizations as appropriate;</w:t>
      </w:r>
    </w:p>
    <w:p w14:paraId="0AC0C7B2" w14:textId="77777777" w:rsidR="004A0742" w:rsidRPr="00380B40" w:rsidRDefault="004A0742" w:rsidP="004A0742">
      <w:pPr>
        <w:rPr>
          <w:lang w:val="en-GB"/>
        </w:rPr>
      </w:pPr>
      <w:r w:rsidRPr="00380B40">
        <w:rPr>
          <w:lang w:val="en-GB"/>
        </w:rPr>
        <w:t>5</w:t>
      </w:r>
      <w:r w:rsidRPr="00380B40">
        <w:rPr>
          <w:lang w:val="en-GB"/>
        </w:rPr>
        <w:tab/>
        <w:t xml:space="preserve">to continue the implementation and follow-up of relevant WSIS activities on building confidence and security in the use of ICTs, in collaboration with the other ITU Sectors and in cooperation with relevant stakeholders, as a way to share information </w:t>
      </w:r>
      <w:r w:rsidRPr="00380B40">
        <w:rPr>
          <w:lang w:val="en-GB" w:eastAsia="ko-KR"/>
        </w:rPr>
        <w:t xml:space="preserve">and best practices </w:t>
      </w:r>
      <w:r w:rsidRPr="00380B40">
        <w:rPr>
          <w:lang w:val="en-GB"/>
        </w:rPr>
        <w:t xml:space="preserve">on national, regional and international non-discriminatory cybersecurity-related initiatives globally; </w:t>
      </w:r>
    </w:p>
    <w:p w14:paraId="20B9BF4C" w14:textId="77777777" w:rsidR="004A0742" w:rsidRPr="00380B40" w:rsidRDefault="004A0742" w:rsidP="004A0742">
      <w:pPr>
        <w:rPr>
          <w:lang w:val="en-GB"/>
        </w:rPr>
      </w:pPr>
      <w:r w:rsidRPr="00380B40">
        <w:rPr>
          <w:lang w:val="en-GB"/>
        </w:rPr>
        <w:t>6</w:t>
      </w:r>
      <w:r w:rsidRPr="00380B40">
        <w:rPr>
          <w:lang w:val="en-GB"/>
        </w:rPr>
        <w:tab/>
        <w:t>to cooperate with the Secretary-General's GCA and other global or regional cybersecurity projects, as appropriate, in promoting capacity building and developing relationships and partnerships with various regional and international cybersecurity-related organizations and initiatives, as appropriate, and to invite all Member States, particularly developing countries, to take part in these activities and to coordinate and cooperate with these different activities;</w:t>
      </w:r>
    </w:p>
    <w:p w14:paraId="10EC92F7" w14:textId="77777777" w:rsidR="004A0742" w:rsidRPr="00380B40" w:rsidRDefault="004A0742" w:rsidP="004A0742">
      <w:pPr>
        <w:rPr>
          <w:lang w:val="en-GB" w:eastAsia="ko-KR"/>
        </w:rPr>
      </w:pPr>
      <w:r w:rsidRPr="00380B40">
        <w:rPr>
          <w:lang w:val="en-GB" w:eastAsia="ko-KR"/>
        </w:rPr>
        <w:t>7</w:t>
      </w:r>
      <w:r w:rsidRPr="00380B40">
        <w:rPr>
          <w:lang w:val="en-GB"/>
        </w:rPr>
        <w:tab/>
      </w:r>
      <w:r w:rsidRPr="00380B40">
        <w:rPr>
          <w:lang w:val="en-GB" w:eastAsia="ko-KR"/>
        </w:rPr>
        <w:t>to support the Director of the Telecommunication Development Bureau (BDT) in assisting Member States in the establishment of an appropriate framework among developing countries allowing rapid response to major incidents, and to propose an action plan to increase their protection, taking into account mechanisms and partnerships, as appropriate;</w:t>
      </w:r>
    </w:p>
    <w:p w14:paraId="5ECEC4BA" w14:textId="77777777" w:rsidR="0090426B" w:rsidRPr="00380B40" w:rsidRDefault="0090426B" w:rsidP="004A0742">
      <w:pPr>
        <w:rPr>
          <w:lang w:val="en-GB" w:eastAsia="ko-KR"/>
        </w:rPr>
      </w:pPr>
      <w:r w:rsidRPr="00380B40">
        <w:rPr>
          <w:lang w:val="en-GB" w:eastAsia="ko-KR"/>
        </w:rPr>
        <w:br w:type="page"/>
      </w:r>
    </w:p>
    <w:p w14:paraId="3D5DF9D9" w14:textId="77777777" w:rsidR="004A0742" w:rsidRPr="00380B40" w:rsidRDefault="004A0742" w:rsidP="004A0742">
      <w:pPr>
        <w:rPr>
          <w:lang w:val="en-GB" w:eastAsia="ko-KR"/>
        </w:rPr>
      </w:pPr>
      <w:r w:rsidRPr="00380B40">
        <w:rPr>
          <w:lang w:val="en-GB" w:eastAsia="ko-KR"/>
        </w:rPr>
        <w:t>8</w:t>
      </w:r>
      <w:r w:rsidRPr="00380B40">
        <w:rPr>
          <w:lang w:val="en-GB" w:eastAsia="ko-KR"/>
        </w:rPr>
        <w:tab/>
        <w:t>to support relevant ITU</w:t>
      </w:r>
      <w:r w:rsidRPr="00380B40">
        <w:rPr>
          <w:lang w:val="en-GB" w:eastAsia="ko-KR"/>
        </w:rPr>
        <w:noBreakHyphen/>
        <w:t>T study group activities related to strengthening and building confidence and security in the use of ICTs;</w:t>
      </w:r>
    </w:p>
    <w:p w14:paraId="5946D159" w14:textId="77777777" w:rsidR="004A0742" w:rsidRPr="00380B40" w:rsidRDefault="004A0742" w:rsidP="004A0742">
      <w:pPr>
        <w:rPr>
          <w:lang w:val="en-GB"/>
        </w:rPr>
      </w:pPr>
      <w:r w:rsidRPr="00380B40">
        <w:rPr>
          <w:lang w:val="en-GB" w:eastAsia="ko-KR"/>
        </w:rPr>
        <w:t>9</w:t>
      </w:r>
      <w:r w:rsidRPr="00380B40">
        <w:rPr>
          <w:lang w:val="en-GB" w:eastAsia="ko-KR"/>
        </w:rPr>
        <w:tab/>
        <w:t>to disseminate information to all stakeholders related to cybersecurity through the organization of training programmes, forums, workshops, seminars, etc., for policy-makers, regulators, operators and other stakeholders, especially from developing countries, to raise awareness and identify needs in collaboration with the Director of BDT,</w:t>
      </w:r>
    </w:p>
    <w:p w14:paraId="0CDA232B" w14:textId="77777777" w:rsidR="004A0742" w:rsidRPr="00380B40" w:rsidRDefault="004A0742" w:rsidP="004A0742">
      <w:pPr>
        <w:pStyle w:val="Call"/>
        <w:rPr>
          <w:lang w:val="en-GB"/>
        </w:rPr>
      </w:pPr>
      <w:r w:rsidRPr="00380B40">
        <w:rPr>
          <w:lang w:val="en-GB"/>
        </w:rPr>
        <w:t>invites Member States, Sector Members, Associates and Academia, as appropriate</w:t>
      </w:r>
    </w:p>
    <w:p w14:paraId="2783E850" w14:textId="77777777" w:rsidR="004A0742" w:rsidRPr="00380B40" w:rsidRDefault="004A0742" w:rsidP="004A0742">
      <w:pPr>
        <w:rPr>
          <w:lang w:val="en-GB"/>
        </w:rPr>
      </w:pPr>
      <w:r w:rsidRPr="00380B40">
        <w:rPr>
          <w:lang w:val="en-GB" w:eastAsia="ko-KR"/>
        </w:rPr>
        <w:t>1</w:t>
      </w:r>
      <w:r w:rsidRPr="00380B40">
        <w:rPr>
          <w:lang w:val="en-GB"/>
        </w:rPr>
        <w:tab/>
        <w:t>to collaborate closely in strengthening regional and international cooperation, taking into account Resolution </w:t>
      </w:r>
      <w:r w:rsidRPr="00380B40">
        <w:rPr>
          <w:lang w:val="en-GB" w:eastAsia="ko-KR"/>
        </w:rPr>
        <w:t>130</w:t>
      </w:r>
      <w:r w:rsidRPr="00380B40">
        <w:rPr>
          <w:lang w:val="en-GB"/>
        </w:rPr>
        <w:t xml:space="preserve"> (Rev. </w:t>
      </w:r>
      <w:r w:rsidRPr="00380B40">
        <w:rPr>
          <w:lang w:val="en-GB" w:eastAsia="ko-KR"/>
        </w:rPr>
        <w:t>Dubai, 2018</w:t>
      </w:r>
      <w:r w:rsidRPr="00380B40">
        <w:rPr>
          <w:lang w:val="en-GB"/>
        </w:rPr>
        <w:t xml:space="preserve">), with a view to enhancing confidence and security in the use of ICTs, in order to mitigate risks and threats; </w:t>
      </w:r>
    </w:p>
    <w:p w14:paraId="0A7407AD" w14:textId="77777777" w:rsidR="004A0742" w:rsidRPr="00380B40" w:rsidRDefault="004A0742" w:rsidP="004A0742">
      <w:pPr>
        <w:rPr>
          <w:lang w:val="en-GB"/>
        </w:rPr>
      </w:pPr>
      <w:r w:rsidRPr="00380B40">
        <w:rPr>
          <w:lang w:val="en-GB"/>
        </w:rPr>
        <w:t>2</w:t>
      </w:r>
      <w:r w:rsidRPr="00380B40">
        <w:rPr>
          <w:lang w:val="en-GB"/>
        </w:rPr>
        <w:tab/>
        <w:t>to cooperate and participate actively in the implementation of this resolution and the associated actions;</w:t>
      </w:r>
    </w:p>
    <w:p w14:paraId="20573DAF" w14:textId="77777777" w:rsidR="004A0742" w:rsidRPr="00380B40" w:rsidRDefault="004A0742" w:rsidP="004A0742">
      <w:pPr>
        <w:rPr>
          <w:lang w:val="en-GB"/>
        </w:rPr>
      </w:pPr>
      <w:r w:rsidRPr="00380B40">
        <w:rPr>
          <w:lang w:val="en-GB"/>
        </w:rPr>
        <w:t>3</w:t>
      </w:r>
      <w:r w:rsidRPr="00380B40">
        <w:rPr>
          <w:lang w:val="en-GB"/>
        </w:rPr>
        <w:tab/>
        <w:t>to participate in relevant ITU</w:t>
      </w:r>
      <w:r w:rsidRPr="00380B40">
        <w:rPr>
          <w:lang w:val="en-GB"/>
        </w:rPr>
        <w:noBreakHyphen/>
        <w:t xml:space="preserve">T study group activities to develop cybersecurity standards and guidelines in order to build confidence and security in the use of ICTs; </w:t>
      </w:r>
    </w:p>
    <w:p w14:paraId="4DE62124" w14:textId="77777777" w:rsidR="004A0742" w:rsidRPr="00380B40" w:rsidRDefault="004A0742" w:rsidP="004A0742">
      <w:pPr>
        <w:rPr>
          <w:lang w:val="en-GB"/>
        </w:rPr>
      </w:pPr>
      <w:r w:rsidRPr="00380B40">
        <w:rPr>
          <w:lang w:val="en-GB"/>
        </w:rPr>
        <w:t>4</w:t>
      </w:r>
      <w:r w:rsidRPr="00380B40">
        <w:rPr>
          <w:lang w:val="en-GB"/>
        </w:rPr>
        <w:tab/>
        <w:t>to utilize relevant ITU</w:t>
      </w:r>
      <w:r w:rsidRPr="00380B40">
        <w:rPr>
          <w:lang w:val="en-GB"/>
        </w:rPr>
        <w:noBreakHyphen/>
        <w:t>T Recommendations and supplements;</w:t>
      </w:r>
    </w:p>
    <w:p w14:paraId="10922F42" w14:textId="77777777" w:rsidR="004A0742" w:rsidRPr="00380B40" w:rsidRDefault="004A0742" w:rsidP="004A0742">
      <w:pPr>
        <w:rPr>
          <w:lang w:val="en-GB"/>
        </w:rPr>
      </w:pPr>
      <w:r w:rsidRPr="00380B40">
        <w:rPr>
          <w:lang w:val="en-GB"/>
        </w:rPr>
        <w:t>5</w:t>
      </w:r>
      <w:r w:rsidRPr="00380B40">
        <w:rPr>
          <w:lang w:val="en-GB"/>
        </w:rPr>
        <w:tab/>
        <w:t>to continue to contribute to Study Group 17 work on cyberrisk-management approaches.</w:t>
      </w:r>
    </w:p>
    <w:p w14:paraId="532BADE6" w14:textId="77777777" w:rsidR="00AA7AFA" w:rsidRPr="00380B40" w:rsidRDefault="00AA7AFA" w:rsidP="004A3010">
      <w:pPr>
        <w:rPr>
          <w:lang w:val="en-GB"/>
        </w:rPr>
      </w:pPr>
    </w:p>
    <w:p w14:paraId="4DBB2FDD" w14:textId="77777777" w:rsidR="0090426B" w:rsidRPr="00380B40" w:rsidRDefault="0090426B" w:rsidP="004A3010">
      <w:pPr>
        <w:rPr>
          <w:lang w:val="en-GB"/>
        </w:rPr>
      </w:pPr>
    </w:p>
    <w:p w14:paraId="21280CED" w14:textId="77777777" w:rsidR="0090426B" w:rsidRPr="00380B40" w:rsidRDefault="0090426B" w:rsidP="004A3010">
      <w:pPr>
        <w:rPr>
          <w:lang w:val="en-GB"/>
        </w:rPr>
      </w:pPr>
    </w:p>
    <w:p w14:paraId="18849932" w14:textId="77777777" w:rsidR="0090426B" w:rsidRPr="00380B40" w:rsidRDefault="0090426B" w:rsidP="004A3010">
      <w:pPr>
        <w:rPr>
          <w:lang w:val="en-GB"/>
        </w:rPr>
      </w:pPr>
    </w:p>
    <w:p w14:paraId="31F5D660" w14:textId="77777777" w:rsidR="0090426B" w:rsidRPr="00380B40" w:rsidRDefault="0090426B" w:rsidP="004A3010">
      <w:pPr>
        <w:rPr>
          <w:lang w:val="en-GB"/>
        </w:rPr>
      </w:pPr>
    </w:p>
    <w:p w14:paraId="3F2DF818" w14:textId="77777777" w:rsidR="0090426B" w:rsidRPr="00380B40" w:rsidRDefault="0090426B" w:rsidP="004A3010">
      <w:pPr>
        <w:rPr>
          <w:lang w:val="en-GB"/>
        </w:rPr>
      </w:pPr>
    </w:p>
    <w:p w14:paraId="619374AD" w14:textId="77777777" w:rsidR="0090426B" w:rsidRPr="00380B40" w:rsidRDefault="0090426B" w:rsidP="004A3010">
      <w:pPr>
        <w:rPr>
          <w:lang w:val="en-GB"/>
        </w:rPr>
      </w:pPr>
    </w:p>
    <w:p w14:paraId="70F00762" w14:textId="77777777" w:rsidR="0090426B" w:rsidRPr="00380B40" w:rsidRDefault="0090426B" w:rsidP="004A3010">
      <w:pPr>
        <w:rPr>
          <w:lang w:val="en-GB"/>
        </w:rPr>
      </w:pPr>
    </w:p>
    <w:p w14:paraId="43582214" w14:textId="77777777" w:rsidR="0090426B" w:rsidRPr="00380B40" w:rsidRDefault="0090426B" w:rsidP="004A3010">
      <w:pPr>
        <w:rPr>
          <w:lang w:val="en-GB"/>
        </w:rPr>
      </w:pPr>
    </w:p>
    <w:p w14:paraId="27202D43" w14:textId="77777777" w:rsidR="0090426B" w:rsidRPr="00380B40" w:rsidRDefault="0090426B" w:rsidP="004A3010">
      <w:pPr>
        <w:rPr>
          <w:lang w:val="en-GB"/>
        </w:rPr>
      </w:pPr>
    </w:p>
    <w:p w14:paraId="18752E92" w14:textId="77777777" w:rsidR="0090426B" w:rsidRPr="00380B40" w:rsidRDefault="0090426B" w:rsidP="004A3010">
      <w:pPr>
        <w:rPr>
          <w:lang w:val="en-GB"/>
        </w:rPr>
      </w:pPr>
    </w:p>
    <w:p w14:paraId="62885899" w14:textId="77777777" w:rsidR="0090426B" w:rsidRPr="00380B40" w:rsidRDefault="0090426B" w:rsidP="004A3010">
      <w:pPr>
        <w:rPr>
          <w:lang w:val="en-GB"/>
        </w:rPr>
      </w:pPr>
    </w:p>
    <w:p w14:paraId="23BBE350" w14:textId="77777777" w:rsidR="00AA7AFA" w:rsidRPr="00380B40" w:rsidRDefault="00AA7AFA" w:rsidP="004A3010">
      <w:pPr>
        <w:rPr>
          <w:lang w:val="en-GB"/>
        </w:rPr>
      </w:pPr>
    </w:p>
    <w:p w14:paraId="7A0C45F5" w14:textId="77777777" w:rsidR="00332BEE" w:rsidRPr="00380B40" w:rsidRDefault="00332BEE" w:rsidP="00332BEE">
      <w:pPr>
        <w:rPr>
          <w:lang w:val="en-GB"/>
        </w:rPr>
      </w:pPr>
    </w:p>
    <w:p w14:paraId="43E4B64C" w14:textId="77777777" w:rsidR="00332BEE" w:rsidRPr="00380B40" w:rsidRDefault="00332BEE" w:rsidP="00332BEE">
      <w:pPr>
        <w:rPr>
          <w:lang w:val="en-GB"/>
        </w:rPr>
        <w:sectPr w:rsidR="00332BEE" w:rsidRPr="00380B40" w:rsidSect="000D68FC">
          <w:headerReference w:type="even" r:id="rId123"/>
          <w:headerReference w:type="default" r:id="rId124"/>
          <w:footerReference w:type="even" r:id="rId125"/>
          <w:footerReference w:type="default" r:id="rId126"/>
          <w:headerReference w:type="first" r:id="rId127"/>
          <w:footerReference w:type="first" r:id="rId128"/>
          <w:footnotePr>
            <w:numRestart w:val="eachSect"/>
          </w:footnotePr>
          <w:pgSz w:w="11907" w:h="16834" w:code="9"/>
          <w:pgMar w:top="1134" w:right="1134" w:bottom="1134" w:left="1134" w:header="567" w:footer="567" w:gutter="0"/>
          <w:paperSrc w:first="15" w:other="15"/>
          <w:cols w:space="720"/>
          <w:vAlign w:val="both"/>
          <w:docGrid w:linePitch="299"/>
        </w:sectPr>
      </w:pPr>
    </w:p>
    <w:p w14:paraId="383269D6" w14:textId="77777777" w:rsidR="004A3010" w:rsidRPr="00380B40" w:rsidRDefault="004A3010" w:rsidP="004A3010">
      <w:pPr>
        <w:pStyle w:val="ResNo"/>
        <w:rPr>
          <w:lang w:val="en-GB"/>
        </w:rPr>
      </w:pPr>
      <w:bookmarkStart w:id="212" w:name="_Toc104459729"/>
      <w:bookmarkStart w:id="213" w:name="_Toc104476537"/>
      <w:bookmarkStart w:id="214" w:name="_Toc111636776"/>
      <w:bookmarkStart w:id="215" w:name="_Toc111638430"/>
      <w:r w:rsidRPr="00380B40">
        <w:rPr>
          <w:lang w:val="en-GB"/>
        </w:rPr>
        <w:t xml:space="preserve">RESOLUTION </w:t>
      </w:r>
      <w:r w:rsidRPr="00380B40">
        <w:rPr>
          <w:rStyle w:val="href"/>
          <w:lang w:val="en-GB"/>
        </w:rPr>
        <w:t>52</w:t>
      </w:r>
      <w:r w:rsidRPr="00380B40">
        <w:rPr>
          <w:lang w:val="en-GB"/>
        </w:rPr>
        <w:t xml:space="preserve"> (</w:t>
      </w:r>
      <w:r w:rsidRPr="00380B40">
        <w:rPr>
          <w:caps w:val="0"/>
          <w:lang w:val="en-GB"/>
        </w:rPr>
        <w:t>Rev</w:t>
      </w:r>
      <w:r w:rsidRPr="00380B40">
        <w:rPr>
          <w:lang w:val="en-GB"/>
        </w:rPr>
        <w:t>. </w:t>
      </w:r>
      <w:r w:rsidRPr="00380B40">
        <w:rPr>
          <w:caps w:val="0"/>
          <w:lang w:val="en-GB"/>
        </w:rPr>
        <w:t>Hammamet</w:t>
      </w:r>
      <w:r w:rsidRPr="00380B40">
        <w:rPr>
          <w:lang w:val="en-GB"/>
        </w:rPr>
        <w:t>, 2016)</w:t>
      </w:r>
      <w:bookmarkEnd w:id="212"/>
      <w:bookmarkEnd w:id="213"/>
      <w:bookmarkEnd w:id="214"/>
      <w:bookmarkEnd w:id="215"/>
    </w:p>
    <w:p w14:paraId="0113039F" w14:textId="77777777" w:rsidR="004A3010" w:rsidRPr="00380B40" w:rsidRDefault="004A3010" w:rsidP="004A3010">
      <w:pPr>
        <w:pStyle w:val="Restitle"/>
        <w:rPr>
          <w:lang w:val="en-GB"/>
        </w:rPr>
      </w:pPr>
      <w:bookmarkStart w:id="216" w:name="_Toc104459730"/>
      <w:bookmarkStart w:id="217" w:name="_Toc104476538"/>
      <w:bookmarkStart w:id="218" w:name="_Toc111638431"/>
      <w:r w:rsidRPr="00380B40">
        <w:rPr>
          <w:lang w:val="en-GB"/>
        </w:rPr>
        <w:t>Countering and combating spam</w:t>
      </w:r>
      <w:bookmarkEnd w:id="216"/>
      <w:bookmarkEnd w:id="217"/>
      <w:bookmarkEnd w:id="218"/>
    </w:p>
    <w:p w14:paraId="517EAC2C" w14:textId="77777777" w:rsidR="004A3010" w:rsidRPr="00380B40" w:rsidRDefault="004A3010" w:rsidP="004A3010">
      <w:pPr>
        <w:pStyle w:val="Resref"/>
        <w:rPr>
          <w:lang w:val="en-GB"/>
        </w:rPr>
      </w:pPr>
      <w:r w:rsidRPr="00380B40">
        <w:rPr>
          <w:lang w:val="en-GB"/>
        </w:rPr>
        <w:t>(Florianópolis, 2004; Johannesburg, 2008; Dubai, 2012; Hammamet, 2016)</w:t>
      </w:r>
    </w:p>
    <w:p w14:paraId="03A003C8" w14:textId="77777777" w:rsidR="004A3010" w:rsidRPr="00380B40" w:rsidRDefault="004A3010" w:rsidP="004A3010">
      <w:pPr>
        <w:pStyle w:val="Normalaftertitle0"/>
        <w:rPr>
          <w:szCs w:val="24"/>
        </w:rPr>
      </w:pPr>
      <w:r w:rsidRPr="00380B40">
        <w:rPr>
          <w:szCs w:val="24"/>
        </w:rPr>
        <w:t xml:space="preserve">The World Telecommunication Standardization Assembly (Hammamet, 2016), </w:t>
      </w:r>
    </w:p>
    <w:p w14:paraId="2CBDCEE6" w14:textId="77777777" w:rsidR="004A3010" w:rsidRPr="00380B40" w:rsidRDefault="004A3010" w:rsidP="004A3010">
      <w:pPr>
        <w:pStyle w:val="Call"/>
        <w:rPr>
          <w:lang w:val="en-GB"/>
        </w:rPr>
      </w:pPr>
      <w:r w:rsidRPr="00380B40">
        <w:rPr>
          <w:lang w:val="en-GB"/>
        </w:rPr>
        <w:t>recognizing</w:t>
      </w:r>
    </w:p>
    <w:p w14:paraId="08B70CB9" w14:textId="77777777" w:rsidR="004A3010" w:rsidRPr="00380B40" w:rsidRDefault="004A3010" w:rsidP="004A3010">
      <w:pPr>
        <w:rPr>
          <w:szCs w:val="24"/>
          <w:lang w:val="en-GB"/>
        </w:rPr>
      </w:pPr>
      <w:r w:rsidRPr="00380B40">
        <w:rPr>
          <w:i/>
          <w:iCs/>
          <w:szCs w:val="24"/>
          <w:lang w:val="en-GB"/>
        </w:rPr>
        <w:t>a)</w:t>
      </w:r>
      <w:r w:rsidRPr="00380B40">
        <w:rPr>
          <w:szCs w:val="24"/>
          <w:lang w:val="en-GB"/>
        </w:rPr>
        <w:tab/>
        <w:t>relevant provisions of the basic instruments of ITU;</w:t>
      </w:r>
    </w:p>
    <w:p w14:paraId="716FCD67" w14:textId="77777777" w:rsidR="004A3010" w:rsidRPr="00380B40" w:rsidRDefault="004A3010" w:rsidP="004A3010">
      <w:pPr>
        <w:rPr>
          <w:szCs w:val="24"/>
          <w:lang w:val="en-GB"/>
        </w:rPr>
      </w:pPr>
      <w:r w:rsidRPr="00380B40">
        <w:rPr>
          <w:i/>
          <w:iCs/>
          <w:szCs w:val="24"/>
          <w:lang w:val="en-GB"/>
        </w:rPr>
        <w:t>b)</w:t>
      </w:r>
      <w:r w:rsidRPr="00380B40">
        <w:rPr>
          <w:szCs w:val="24"/>
          <w:lang w:val="en-GB"/>
        </w:rPr>
        <w:tab/>
        <w:t>that the Declaration of Principles of the World Summit on the Information Society (WSIS) states in § 37 that "Spam is a significant and growing problem for users, networks and the Internet as a whole. Spam and cybersecurity should be dealt with at appropriate national and international levels";</w:t>
      </w:r>
    </w:p>
    <w:p w14:paraId="6927CB19" w14:textId="77777777" w:rsidR="004A3010" w:rsidRPr="00380B40" w:rsidRDefault="004A3010" w:rsidP="004A3010">
      <w:pPr>
        <w:rPr>
          <w:szCs w:val="24"/>
          <w:lang w:val="en-GB"/>
        </w:rPr>
      </w:pPr>
      <w:r w:rsidRPr="00380B40">
        <w:rPr>
          <w:i/>
          <w:iCs/>
          <w:szCs w:val="24"/>
          <w:lang w:val="en-GB"/>
        </w:rPr>
        <w:t>c)</w:t>
      </w:r>
      <w:r w:rsidRPr="00380B40">
        <w:rPr>
          <w:szCs w:val="24"/>
          <w:lang w:val="en-GB"/>
        </w:rPr>
        <w:tab/>
        <w:t>that the WSIS Plan of Action states in § 12 that "Confidence and security are among the main pillars of the information society", and calls for "appropriate action on spam at national and international levels",</w:t>
      </w:r>
    </w:p>
    <w:p w14:paraId="36A76077" w14:textId="77777777" w:rsidR="004A3010" w:rsidRPr="00380B40" w:rsidRDefault="004A3010" w:rsidP="004A3010">
      <w:pPr>
        <w:pStyle w:val="Call"/>
        <w:rPr>
          <w:lang w:val="en-GB"/>
        </w:rPr>
      </w:pPr>
      <w:r w:rsidRPr="00380B40">
        <w:rPr>
          <w:lang w:val="en-GB"/>
        </w:rPr>
        <w:t>recognizing further</w:t>
      </w:r>
    </w:p>
    <w:p w14:paraId="4E2C7BAA" w14:textId="77777777" w:rsidR="004A3010" w:rsidRPr="00380B40" w:rsidRDefault="004A3010" w:rsidP="004A3010">
      <w:pPr>
        <w:rPr>
          <w:lang w:val="en-GB"/>
        </w:rPr>
      </w:pPr>
      <w:r w:rsidRPr="00380B40">
        <w:rPr>
          <w:i/>
          <w:iCs/>
          <w:lang w:val="en-GB"/>
        </w:rPr>
        <w:t>a)</w:t>
      </w:r>
      <w:r w:rsidRPr="00380B40">
        <w:rPr>
          <w:lang w:val="en-GB"/>
        </w:rPr>
        <w:tab/>
        <w:t>the relevant parts of Resolutions 130 (Rev. Busan, 2014) and 174 (Rev. Busan, 2014) of the Plenipotentiary Conference;</w:t>
      </w:r>
    </w:p>
    <w:p w14:paraId="1B90F8B5" w14:textId="77777777" w:rsidR="004A3010" w:rsidRPr="00380B40" w:rsidRDefault="004A3010" w:rsidP="004A3010">
      <w:pPr>
        <w:rPr>
          <w:lang w:val="en-GB"/>
        </w:rPr>
      </w:pPr>
      <w:r w:rsidRPr="00380B40">
        <w:rPr>
          <w:i/>
          <w:iCs/>
          <w:lang w:val="en-GB"/>
        </w:rPr>
        <w:t>b)</w:t>
      </w:r>
      <w:r w:rsidRPr="00380B40">
        <w:rPr>
          <w:lang w:val="en-GB"/>
        </w:rPr>
        <w:tab/>
        <w:t>the report of the chairman of the two ITU WSIS thematic meetings on countering and combating spam, which advocated a comprehensive approach to combating spam, namely:</w:t>
      </w:r>
    </w:p>
    <w:p w14:paraId="23A20A54" w14:textId="77777777" w:rsidR="004A3010" w:rsidRPr="00380B40" w:rsidRDefault="004A3010" w:rsidP="004A3010">
      <w:pPr>
        <w:pStyle w:val="enumlev1"/>
        <w:rPr>
          <w:lang w:val="en-GB"/>
        </w:rPr>
      </w:pPr>
      <w:r w:rsidRPr="00380B40">
        <w:rPr>
          <w:lang w:val="en-GB"/>
        </w:rPr>
        <w:t>i)</w:t>
      </w:r>
      <w:r w:rsidRPr="00380B40">
        <w:rPr>
          <w:lang w:val="en-GB"/>
        </w:rPr>
        <w:tab/>
        <w:t>strong legislation</w:t>
      </w:r>
    </w:p>
    <w:p w14:paraId="1A72F270" w14:textId="77777777" w:rsidR="004A3010" w:rsidRPr="00380B40" w:rsidRDefault="004A3010" w:rsidP="004A3010">
      <w:pPr>
        <w:pStyle w:val="enumlev1"/>
        <w:rPr>
          <w:lang w:val="en-GB"/>
        </w:rPr>
      </w:pPr>
      <w:r w:rsidRPr="00380B40">
        <w:rPr>
          <w:lang w:val="en-GB"/>
        </w:rPr>
        <w:t>ii)</w:t>
      </w:r>
      <w:r w:rsidRPr="00380B40">
        <w:rPr>
          <w:lang w:val="en-GB"/>
        </w:rPr>
        <w:tab/>
        <w:t>the development of technical measures</w:t>
      </w:r>
    </w:p>
    <w:p w14:paraId="46CB75D3" w14:textId="77777777" w:rsidR="004A3010" w:rsidRPr="00380B40" w:rsidRDefault="004A3010" w:rsidP="004A3010">
      <w:pPr>
        <w:pStyle w:val="enumlev1"/>
        <w:rPr>
          <w:lang w:val="en-GB"/>
        </w:rPr>
      </w:pPr>
      <w:r w:rsidRPr="00380B40">
        <w:rPr>
          <w:lang w:val="en-GB"/>
        </w:rPr>
        <w:t>iii)</w:t>
      </w:r>
      <w:r w:rsidRPr="00380B40">
        <w:rPr>
          <w:lang w:val="en-GB"/>
        </w:rPr>
        <w:tab/>
        <w:t>the establishment of industry partnerships to accelerate the studies</w:t>
      </w:r>
    </w:p>
    <w:p w14:paraId="0673EFE8" w14:textId="77777777" w:rsidR="004A3010" w:rsidRPr="00380B40" w:rsidRDefault="004A3010" w:rsidP="004A3010">
      <w:pPr>
        <w:pStyle w:val="enumlev1"/>
        <w:rPr>
          <w:lang w:val="en-GB"/>
        </w:rPr>
      </w:pPr>
      <w:r w:rsidRPr="00380B40">
        <w:rPr>
          <w:lang w:val="en-GB"/>
        </w:rPr>
        <w:t>iv)</w:t>
      </w:r>
      <w:r w:rsidRPr="00380B40">
        <w:rPr>
          <w:lang w:val="en-GB"/>
        </w:rPr>
        <w:tab/>
        <w:t>education</w:t>
      </w:r>
    </w:p>
    <w:p w14:paraId="28C73900" w14:textId="77777777" w:rsidR="004A3010" w:rsidRPr="00380B40" w:rsidRDefault="004A3010" w:rsidP="004A3010">
      <w:pPr>
        <w:pStyle w:val="enumlev1"/>
        <w:rPr>
          <w:lang w:val="en-GB"/>
        </w:rPr>
      </w:pPr>
      <w:r w:rsidRPr="00380B40">
        <w:rPr>
          <w:lang w:val="en-GB"/>
        </w:rPr>
        <w:t>v)</w:t>
      </w:r>
      <w:r w:rsidRPr="00380B40">
        <w:rPr>
          <w:lang w:val="en-GB"/>
        </w:rPr>
        <w:tab/>
        <w:t>international cooperation;</w:t>
      </w:r>
    </w:p>
    <w:p w14:paraId="7DE284CC" w14:textId="77777777" w:rsidR="004A3010" w:rsidRPr="00380B40" w:rsidRDefault="004A3010" w:rsidP="004A3010">
      <w:pPr>
        <w:rPr>
          <w:szCs w:val="24"/>
          <w:lang w:val="en-GB"/>
        </w:rPr>
      </w:pPr>
      <w:r w:rsidRPr="00380B40">
        <w:rPr>
          <w:rFonts w:eastAsia="SimSun"/>
          <w:i/>
          <w:iCs/>
          <w:szCs w:val="24"/>
          <w:lang w:val="en-GB"/>
        </w:rPr>
        <w:t>c)</w:t>
      </w:r>
      <w:r w:rsidRPr="00380B40">
        <w:rPr>
          <w:rFonts w:eastAsia="SimSun"/>
          <w:szCs w:val="24"/>
          <w:lang w:val="en-GB"/>
        </w:rPr>
        <w:tab/>
        <w:t>the relevant parts of Resolution 45 (Rev. Dubai, 2014) of the World Telecommunication Development Conference,</w:t>
      </w:r>
    </w:p>
    <w:p w14:paraId="760D711B" w14:textId="77777777" w:rsidR="004A3010" w:rsidRPr="00380B40" w:rsidRDefault="004A3010" w:rsidP="004A3010">
      <w:pPr>
        <w:pStyle w:val="Call"/>
        <w:rPr>
          <w:lang w:val="en-GB"/>
        </w:rPr>
      </w:pPr>
      <w:r w:rsidRPr="00380B40">
        <w:rPr>
          <w:lang w:val="en-GB"/>
        </w:rPr>
        <w:t>considering</w:t>
      </w:r>
    </w:p>
    <w:p w14:paraId="7CB90155" w14:textId="77777777" w:rsidR="004A3010" w:rsidRPr="00380B40" w:rsidRDefault="004A3010" w:rsidP="004A3010">
      <w:pPr>
        <w:rPr>
          <w:szCs w:val="24"/>
          <w:lang w:val="en-GB"/>
        </w:rPr>
      </w:pPr>
      <w:r w:rsidRPr="00380B40">
        <w:rPr>
          <w:i/>
          <w:iCs/>
          <w:szCs w:val="24"/>
          <w:lang w:val="en-GB"/>
        </w:rPr>
        <w:t>a)</w:t>
      </w:r>
      <w:r w:rsidRPr="00380B40">
        <w:rPr>
          <w:szCs w:val="24"/>
          <w:lang w:val="en-GB"/>
        </w:rPr>
        <w:tab/>
        <w:t>that exchanging e-mails and other telecommunications over the Internet has become one of the main means of communication between people around the world;</w:t>
      </w:r>
    </w:p>
    <w:p w14:paraId="607502B4" w14:textId="77777777" w:rsidR="004A3010" w:rsidRPr="00380B40" w:rsidRDefault="004A3010" w:rsidP="004A3010">
      <w:pPr>
        <w:rPr>
          <w:szCs w:val="24"/>
          <w:lang w:val="en-GB"/>
        </w:rPr>
      </w:pPr>
      <w:r w:rsidRPr="00380B40">
        <w:rPr>
          <w:i/>
          <w:iCs/>
          <w:szCs w:val="24"/>
          <w:lang w:val="en-GB"/>
        </w:rPr>
        <w:t>b)</w:t>
      </w:r>
      <w:r w:rsidRPr="00380B40">
        <w:rPr>
          <w:szCs w:val="24"/>
          <w:lang w:val="en-GB"/>
        </w:rPr>
        <w:tab/>
        <w:t>that there are currently a variety of definitions for the term "spam";</w:t>
      </w:r>
    </w:p>
    <w:p w14:paraId="03F591BB" w14:textId="77777777" w:rsidR="0090426B" w:rsidRPr="00380B40" w:rsidRDefault="0090426B" w:rsidP="004A3010">
      <w:pPr>
        <w:rPr>
          <w:i/>
          <w:iCs/>
          <w:szCs w:val="24"/>
          <w:lang w:val="en-GB"/>
        </w:rPr>
      </w:pPr>
      <w:r w:rsidRPr="00380B40">
        <w:rPr>
          <w:i/>
          <w:iCs/>
          <w:szCs w:val="24"/>
          <w:lang w:val="en-GB"/>
        </w:rPr>
        <w:br w:type="page"/>
      </w:r>
    </w:p>
    <w:p w14:paraId="7EE45A58" w14:textId="77777777" w:rsidR="004A3010" w:rsidRPr="00380B40" w:rsidRDefault="004A3010" w:rsidP="004A3010">
      <w:pPr>
        <w:rPr>
          <w:i/>
          <w:iCs/>
          <w:szCs w:val="24"/>
          <w:lang w:val="en-GB"/>
        </w:rPr>
      </w:pPr>
      <w:r w:rsidRPr="00380B40">
        <w:rPr>
          <w:i/>
          <w:iCs/>
          <w:szCs w:val="24"/>
          <w:lang w:val="en-GB"/>
        </w:rPr>
        <w:t>c)</w:t>
      </w:r>
      <w:r w:rsidRPr="00380B40">
        <w:rPr>
          <w:szCs w:val="24"/>
          <w:lang w:val="en-GB"/>
        </w:rPr>
        <w:tab/>
        <w:t>that spam has become a widespread problem causing potential loss of revenue to Internet service providers, telecommunication operators, mobile telecommunication operators and business users;</w:t>
      </w:r>
    </w:p>
    <w:p w14:paraId="196AD0A4" w14:textId="77777777" w:rsidR="004A3010" w:rsidRPr="00380B40" w:rsidRDefault="004A3010" w:rsidP="004A3010">
      <w:pPr>
        <w:rPr>
          <w:szCs w:val="24"/>
          <w:lang w:val="en-GB"/>
        </w:rPr>
      </w:pPr>
      <w:r w:rsidRPr="00380B40">
        <w:rPr>
          <w:i/>
          <w:iCs/>
          <w:szCs w:val="24"/>
          <w:lang w:val="en-GB"/>
        </w:rPr>
        <w:t>d)</w:t>
      </w:r>
      <w:r w:rsidRPr="00380B40">
        <w:rPr>
          <w:szCs w:val="24"/>
          <w:lang w:val="en-GB"/>
        </w:rPr>
        <w:tab/>
        <w:t>that countering spam by technical means burdens affected entities, including network operators and service providers, as well as users who unwillingly receive such spam, with significant investments in networks, facilities, terminal equipment and applications;</w:t>
      </w:r>
    </w:p>
    <w:p w14:paraId="31D2E1FF" w14:textId="77777777" w:rsidR="004A3010" w:rsidRPr="00380B40" w:rsidRDefault="004A3010" w:rsidP="004A3010">
      <w:pPr>
        <w:rPr>
          <w:szCs w:val="24"/>
          <w:lang w:val="en-GB"/>
        </w:rPr>
      </w:pPr>
      <w:r w:rsidRPr="00380B40">
        <w:rPr>
          <w:i/>
          <w:iCs/>
          <w:szCs w:val="24"/>
          <w:lang w:val="en-GB"/>
        </w:rPr>
        <w:t>e)</w:t>
      </w:r>
      <w:r w:rsidRPr="00380B40">
        <w:rPr>
          <w:szCs w:val="24"/>
          <w:lang w:val="en-GB"/>
        </w:rPr>
        <w:tab/>
        <w:t>that spam creates problems of information and telecommunication network security, and is increasingly being used as a vehicle for phishing and spreading viruses, worms, spyware and other forms of malware, etc.;</w:t>
      </w:r>
    </w:p>
    <w:p w14:paraId="0234B2E1" w14:textId="77777777" w:rsidR="004A3010" w:rsidRPr="00380B40" w:rsidRDefault="004A3010" w:rsidP="004A3010">
      <w:pPr>
        <w:rPr>
          <w:szCs w:val="24"/>
          <w:lang w:val="en-GB"/>
        </w:rPr>
      </w:pPr>
      <w:r w:rsidRPr="00380B40">
        <w:rPr>
          <w:i/>
          <w:iCs/>
          <w:szCs w:val="24"/>
          <w:lang w:val="en-GB"/>
        </w:rPr>
        <w:t>f)</w:t>
      </w:r>
      <w:r w:rsidRPr="00380B40">
        <w:rPr>
          <w:szCs w:val="24"/>
          <w:lang w:val="en-GB"/>
        </w:rPr>
        <w:tab/>
        <w:t>that spamming is used for criminal, fraudulent or deceptive activities;</w:t>
      </w:r>
    </w:p>
    <w:p w14:paraId="3ABF20E7" w14:textId="77777777" w:rsidR="004A3010" w:rsidRPr="00380B40" w:rsidRDefault="004A3010" w:rsidP="004A3010">
      <w:pPr>
        <w:rPr>
          <w:szCs w:val="24"/>
          <w:lang w:val="en-GB"/>
        </w:rPr>
      </w:pPr>
      <w:r w:rsidRPr="00380B40">
        <w:rPr>
          <w:i/>
          <w:iCs/>
          <w:szCs w:val="24"/>
          <w:lang w:val="en-GB"/>
        </w:rPr>
        <w:t>g)</w:t>
      </w:r>
      <w:r w:rsidRPr="00380B40">
        <w:rPr>
          <w:szCs w:val="24"/>
          <w:lang w:val="en-GB"/>
        </w:rPr>
        <w:tab/>
        <w:t>that spam is a global problem, with different characteristics in different regions, which affects many stakeholders and, therefore, requires collaborative work and international cooperation to address it and find solutions;</w:t>
      </w:r>
    </w:p>
    <w:p w14:paraId="515E1C7B" w14:textId="77777777" w:rsidR="004A3010" w:rsidRPr="00380B40" w:rsidRDefault="004A3010" w:rsidP="004A3010">
      <w:pPr>
        <w:rPr>
          <w:szCs w:val="24"/>
          <w:lang w:val="en-GB"/>
        </w:rPr>
      </w:pPr>
      <w:r w:rsidRPr="00380B40">
        <w:rPr>
          <w:i/>
          <w:iCs/>
          <w:szCs w:val="24"/>
          <w:lang w:val="en-GB"/>
        </w:rPr>
        <w:t>h)</w:t>
      </w:r>
      <w:r w:rsidRPr="00380B40">
        <w:rPr>
          <w:szCs w:val="24"/>
          <w:lang w:val="en-GB"/>
        </w:rPr>
        <w:tab/>
        <w:t>that addressing the issue of spam is a matter of urgency;</w:t>
      </w:r>
    </w:p>
    <w:p w14:paraId="22776E02" w14:textId="77777777" w:rsidR="004A3010" w:rsidRPr="00380B40" w:rsidRDefault="004A3010" w:rsidP="004A3010">
      <w:pPr>
        <w:rPr>
          <w:szCs w:val="24"/>
          <w:lang w:val="en-GB"/>
        </w:rPr>
      </w:pPr>
      <w:r w:rsidRPr="00380B40">
        <w:rPr>
          <w:i/>
          <w:iCs/>
          <w:szCs w:val="24"/>
          <w:lang w:val="en-GB"/>
        </w:rPr>
        <w:t>i)</w:t>
      </w:r>
      <w:r w:rsidRPr="00380B40">
        <w:rPr>
          <w:szCs w:val="24"/>
          <w:lang w:val="en-GB"/>
        </w:rPr>
        <w:tab/>
        <w:t>that many countries, in particular developing countries</w:t>
      </w:r>
      <w:r w:rsidR="00FD162E" w:rsidRPr="00380B40">
        <w:rPr>
          <w:rStyle w:val="FootnoteReference"/>
          <w:szCs w:val="24"/>
          <w:lang w:val="en-GB"/>
        </w:rPr>
        <w:footnoteReference w:id="23"/>
      </w:r>
      <w:r w:rsidRPr="00380B40">
        <w:rPr>
          <w:szCs w:val="24"/>
          <w:lang w:val="en-GB"/>
        </w:rPr>
        <w:t>, need help when it comes to countering spam;</w:t>
      </w:r>
    </w:p>
    <w:p w14:paraId="5AC3F59A" w14:textId="77777777" w:rsidR="004A3010" w:rsidRPr="00380B40" w:rsidRDefault="004A3010" w:rsidP="004A3010">
      <w:pPr>
        <w:rPr>
          <w:szCs w:val="24"/>
          <w:lang w:val="en-GB"/>
        </w:rPr>
      </w:pPr>
      <w:r w:rsidRPr="00380B40">
        <w:rPr>
          <w:i/>
          <w:iCs/>
          <w:szCs w:val="24"/>
          <w:lang w:val="en-GB"/>
        </w:rPr>
        <w:t>j)</w:t>
      </w:r>
      <w:r w:rsidRPr="00380B40">
        <w:rPr>
          <w:szCs w:val="24"/>
          <w:lang w:val="en-GB"/>
        </w:rPr>
        <w:tab/>
        <w:t>that relevant Recommendations of the ITU Telecommunication Standardization Sector (ITU</w:t>
      </w:r>
      <w:r w:rsidRPr="00380B40">
        <w:rPr>
          <w:szCs w:val="24"/>
          <w:lang w:val="en-GB"/>
        </w:rPr>
        <w:noBreakHyphen/>
        <w:t>T) and relevant information from other international bodies are available which could provide guidance for future development in this area, particularly with regard to lessons learned;</w:t>
      </w:r>
    </w:p>
    <w:p w14:paraId="2AB1FB99" w14:textId="77777777" w:rsidR="004A3010" w:rsidRPr="00380B40" w:rsidRDefault="004A3010" w:rsidP="004A3010">
      <w:pPr>
        <w:rPr>
          <w:szCs w:val="24"/>
          <w:lang w:val="en-GB"/>
        </w:rPr>
      </w:pPr>
      <w:r w:rsidRPr="00380B40">
        <w:rPr>
          <w:i/>
          <w:iCs/>
          <w:szCs w:val="24"/>
          <w:lang w:val="en-GB"/>
        </w:rPr>
        <w:t>k)</w:t>
      </w:r>
      <w:r w:rsidRPr="00380B40">
        <w:rPr>
          <w:szCs w:val="24"/>
          <w:lang w:val="en-GB"/>
        </w:rPr>
        <w:tab/>
        <w:t xml:space="preserve">that technical measures to counter spam represent one of the elements of the approach mentioned in </w:t>
      </w:r>
      <w:r w:rsidRPr="00380B40">
        <w:rPr>
          <w:i/>
          <w:iCs/>
          <w:szCs w:val="24"/>
          <w:lang w:val="en-GB"/>
        </w:rPr>
        <w:t>recognizing further</w:t>
      </w:r>
      <w:r w:rsidRPr="00380B40">
        <w:rPr>
          <w:szCs w:val="24"/>
          <w:lang w:val="en-GB"/>
        </w:rPr>
        <w:t> </w:t>
      </w:r>
      <w:r w:rsidRPr="00380B40">
        <w:rPr>
          <w:i/>
          <w:iCs/>
          <w:szCs w:val="24"/>
          <w:lang w:val="en-GB"/>
        </w:rPr>
        <w:t>b)</w:t>
      </w:r>
      <w:r w:rsidRPr="00380B40">
        <w:rPr>
          <w:szCs w:val="24"/>
          <w:lang w:val="en-GB"/>
        </w:rPr>
        <w:t xml:space="preserve"> above,</w:t>
      </w:r>
    </w:p>
    <w:p w14:paraId="090DF095" w14:textId="77777777" w:rsidR="004A3010" w:rsidRPr="00380B40" w:rsidRDefault="004A3010" w:rsidP="004A3010">
      <w:pPr>
        <w:pStyle w:val="Call"/>
        <w:rPr>
          <w:lang w:val="en-GB"/>
        </w:rPr>
      </w:pPr>
      <w:r w:rsidRPr="00380B40">
        <w:rPr>
          <w:lang w:val="en-GB"/>
        </w:rPr>
        <w:t>noting</w:t>
      </w:r>
    </w:p>
    <w:p w14:paraId="76D328FE" w14:textId="77777777" w:rsidR="004A3010" w:rsidRPr="00380B40" w:rsidRDefault="004A3010" w:rsidP="004A3010">
      <w:pPr>
        <w:rPr>
          <w:szCs w:val="24"/>
          <w:lang w:val="en-GB"/>
        </w:rPr>
      </w:pPr>
      <w:r w:rsidRPr="00380B40">
        <w:rPr>
          <w:szCs w:val="24"/>
          <w:lang w:val="en-GB"/>
        </w:rPr>
        <w:t>the important technical work carried out to date in ITU</w:t>
      </w:r>
      <w:r w:rsidRPr="00380B40">
        <w:rPr>
          <w:szCs w:val="24"/>
          <w:lang w:val="en-GB"/>
        </w:rPr>
        <w:noBreakHyphen/>
        <w:t>T Study Group 17, and in particular Recommendation ITU</w:t>
      </w:r>
      <w:r w:rsidRPr="00380B40">
        <w:rPr>
          <w:szCs w:val="24"/>
          <w:lang w:val="en-GB"/>
        </w:rPr>
        <w:noBreakHyphen/>
        <w:t>T X.1231 and the ITU</w:t>
      </w:r>
      <w:r w:rsidRPr="00380B40">
        <w:rPr>
          <w:szCs w:val="24"/>
          <w:lang w:val="en-GB"/>
        </w:rPr>
        <w:noBreakHyphen/>
        <w:t xml:space="preserve">T X.1240 series Recommendations, </w:t>
      </w:r>
    </w:p>
    <w:p w14:paraId="1DD88034" w14:textId="77777777" w:rsidR="004A3010" w:rsidRPr="00380B40" w:rsidRDefault="004A3010" w:rsidP="004A3010">
      <w:pPr>
        <w:pStyle w:val="Call"/>
        <w:rPr>
          <w:lang w:val="en-GB"/>
        </w:rPr>
      </w:pPr>
      <w:r w:rsidRPr="00380B40">
        <w:rPr>
          <w:lang w:val="en-GB"/>
        </w:rPr>
        <w:t>resolves to instruct the relevant study groups</w:t>
      </w:r>
    </w:p>
    <w:p w14:paraId="15BAFBF9" w14:textId="77777777" w:rsidR="004A3010" w:rsidRPr="00380B40" w:rsidRDefault="004A3010" w:rsidP="004A3010">
      <w:pPr>
        <w:rPr>
          <w:szCs w:val="24"/>
          <w:lang w:val="en-GB"/>
        </w:rPr>
      </w:pPr>
      <w:r w:rsidRPr="00380B40">
        <w:rPr>
          <w:szCs w:val="24"/>
          <w:lang w:val="en-GB"/>
        </w:rPr>
        <w:t>1</w:t>
      </w:r>
      <w:r w:rsidRPr="00380B40">
        <w:rPr>
          <w:szCs w:val="24"/>
          <w:lang w:val="en-GB"/>
        </w:rPr>
        <w:tab/>
        <w:t>to continue to support ongoing work, in particular in Study Group 17, related to countering spam (e.g. e-mail) and to accelerate their work on spam in order to address existing and future threats within the remit and expertise of ITU</w:t>
      </w:r>
      <w:r w:rsidRPr="00380B40">
        <w:rPr>
          <w:szCs w:val="24"/>
          <w:lang w:val="en-GB"/>
        </w:rPr>
        <w:noBreakHyphen/>
        <w:t>T, as appropriate;</w:t>
      </w:r>
    </w:p>
    <w:p w14:paraId="416131F5" w14:textId="77777777" w:rsidR="004A3010" w:rsidRPr="00380B40" w:rsidRDefault="004A3010" w:rsidP="004A3010">
      <w:pPr>
        <w:rPr>
          <w:i/>
          <w:lang w:val="en-GB"/>
        </w:rPr>
      </w:pPr>
      <w:r w:rsidRPr="00380B40">
        <w:rPr>
          <w:szCs w:val="24"/>
          <w:lang w:val="en-GB"/>
        </w:rPr>
        <w:t>2</w:t>
      </w:r>
      <w:r w:rsidRPr="00380B40">
        <w:rPr>
          <w:szCs w:val="24"/>
          <w:lang w:val="en-GB"/>
        </w:rPr>
        <w:tab/>
        <w:t>to continue collaboration with the ITU Telecommunication Development Sector (ITU</w:t>
      </w:r>
      <w:r w:rsidRPr="00380B40">
        <w:rPr>
          <w:szCs w:val="24"/>
          <w:lang w:val="en-GB"/>
        </w:rPr>
        <w:noBreakHyphen/>
        <w:t>D) and with the relevant organizations, including other relevant standards organizations (e.g. the Internet Engineering Task Force (IETF)), in order to continue developing, as a matter of urgency, technical Recommendations with a view to exchanging best practices and disseminating information through joint workshops, training sessions, etc.,</w:t>
      </w:r>
    </w:p>
    <w:p w14:paraId="48C66E2D" w14:textId="77777777" w:rsidR="0090426B" w:rsidRPr="00380B40" w:rsidRDefault="0090426B" w:rsidP="004A3010">
      <w:pPr>
        <w:pStyle w:val="Call"/>
        <w:rPr>
          <w:lang w:val="en-GB"/>
        </w:rPr>
      </w:pPr>
      <w:r w:rsidRPr="00380B40">
        <w:rPr>
          <w:lang w:val="en-GB"/>
        </w:rPr>
        <w:br w:type="page"/>
      </w:r>
    </w:p>
    <w:p w14:paraId="7F7D9CF2" w14:textId="77777777" w:rsidR="004A3010" w:rsidRPr="00380B40" w:rsidRDefault="004A3010" w:rsidP="004A3010">
      <w:pPr>
        <w:pStyle w:val="Call"/>
        <w:rPr>
          <w:lang w:val="en-GB"/>
        </w:rPr>
      </w:pPr>
      <w:r w:rsidRPr="00380B40">
        <w:rPr>
          <w:lang w:val="en-GB"/>
        </w:rPr>
        <w:t>further instructs Study Group 17 of the ITU Telecommunication Standardization Sector</w:t>
      </w:r>
    </w:p>
    <w:p w14:paraId="10FADFA3" w14:textId="77777777" w:rsidR="004A3010" w:rsidRPr="00380B40" w:rsidRDefault="004A3010" w:rsidP="004A3010">
      <w:pPr>
        <w:rPr>
          <w:lang w:val="en-GB"/>
        </w:rPr>
      </w:pPr>
      <w:r w:rsidRPr="00380B40">
        <w:rPr>
          <w:lang w:val="en-GB"/>
        </w:rPr>
        <w:t>1</w:t>
      </w:r>
      <w:r w:rsidRPr="00380B40">
        <w:rPr>
          <w:lang w:val="en-GB"/>
        </w:rPr>
        <w:tab/>
        <w:t>to report regularly to the Telecommunication Standardization Advisory Group on progress under this resolution;</w:t>
      </w:r>
    </w:p>
    <w:p w14:paraId="03621D1A" w14:textId="77777777" w:rsidR="004A3010" w:rsidRPr="00380B40" w:rsidRDefault="004A3010" w:rsidP="004A3010">
      <w:pPr>
        <w:rPr>
          <w:lang w:val="en-GB"/>
        </w:rPr>
      </w:pPr>
      <w:r w:rsidRPr="00380B40">
        <w:rPr>
          <w:lang w:val="en-GB"/>
        </w:rPr>
        <w:t>2</w:t>
      </w:r>
      <w:r w:rsidRPr="00380B40">
        <w:rPr>
          <w:lang w:val="en-GB"/>
        </w:rPr>
        <w:tab/>
        <w:t>to support ITU</w:t>
      </w:r>
      <w:r w:rsidRPr="00380B40">
        <w:rPr>
          <w:lang w:val="en-GB"/>
        </w:rPr>
        <w:noBreakHyphen/>
        <w:t>D Study Group 2 on countering and combating spam in its work providing technical training sessions and workshop activities in different regions related to spam policy, regulatory and economic issues and their impact;</w:t>
      </w:r>
    </w:p>
    <w:p w14:paraId="66031A5A" w14:textId="77777777" w:rsidR="004A3010" w:rsidRPr="00380B40" w:rsidRDefault="004A3010" w:rsidP="004A3010">
      <w:pPr>
        <w:rPr>
          <w:lang w:val="en-GB"/>
        </w:rPr>
      </w:pPr>
      <w:r w:rsidRPr="00380B40">
        <w:rPr>
          <w:lang w:val="en-GB"/>
        </w:rPr>
        <w:t>3</w:t>
      </w:r>
      <w:r w:rsidRPr="00380B40">
        <w:rPr>
          <w:lang w:val="en-GB"/>
        </w:rPr>
        <w:tab/>
        <w:t>to continue its work on developing Recommendations, technical papers and other related publications,</w:t>
      </w:r>
    </w:p>
    <w:p w14:paraId="2016D978" w14:textId="77777777" w:rsidR="004A3010" w:rsidRPr="00380B40" w:rsidRDefault="004A3010" w:rsidP="004A3010">
      <w:pPr>
        <w:pStyle w:val="Call"/>
        <w:rPr>
          <w:lang w:val="en-GB"/>
        </w:rPr>
      </w:pPr>
      <w:r w:rsidRPr="00380B40">
        <w:rPr>
          <w:lang w:val="en-GB"/>
        </w:rPr>
        <w:t xml:space="preserve">instructs the Director of the Telecommunication Standardization Bureau </w:t>
      </w:r>
    </w:p>
    <w:p w14:paraId="27A1A437" w14:textId="77777777" w:rsidR="004A3010" w:rsidRPr="00380B40" w:rsidRDefault="004A3010" w:rsidP="004A3010">
      <w:pPr>
        <w:rPr>
          <w:lang w:val="en-GB"/>
        </w:rPr>
      </w:pPr>
      <w:r w:rsidRPr="00380B40">
        <w:rPr>
          <w:lang w:val="en-GB"/>
        </w:rPr>
        <w:t>1</w:t>
      </w:r>
      <w:r w:rsidRPr="00380B40">
        <w:rPr>
          <w:lang w:val="en-GB"/>
        </w:rPr>
        <w:tab/>
        <w:t>to provide all necessary assistance with a view to expediting such efforts, working collaboratively with relevant parties that combat spam with a view to identifying opportunities, raising awareness for such activities and identifying possible collaboration, as appropriate;</w:t>
      </w:r>
    </w:p>
    <w:p w14:paraId="7F25A0BA" w14:textId="77777777" w:rsidR="004A3010" w:rsidRPr="00380B40" w:rsidRDefault="004A3010" w:rsidP="004A3010">
      <w:pPr>
        <w:rPr>
          <w:lang w:val="en-GB"/>
        </w:rPr>
      </w:pPr>
      <w:r w:rsidRPr="00380B40">
        <w:rPr>
          <w:lang w:val="en-GB"/>
        </w:rPr>
        <w:t>2</w:t>
      </w:r>
      <w:r w:rsidRPr="00380B40">
        <w:rPr>
          <w:lang w:val="en-GB"/>
        </w:rPr>
        <w:tab/>
        <w:t>to initiate a study – including sending a questionnaire to the ITU membership –indicating the volume, types (e.g. e-mail spam, SMS spam, spam in IP-based multimedia applications) and features (e.g. different major routes and sources) of spam traffic, in order to help Member States and relevant operating agencies identify such routes, sources and volumes and estimate the amount of investment in facilities and other technical means to counter and combat such spam, taking into account work that has already been carried out;</w:t>
      </w:r>
    </w:p>
    <w:p w14:paraId="6193FC19" w14:textId="77777777" w:rsidR="004A3010" w:rsidRPr="00380B40" w:rsidRDefault="004A3010" w:rsidP="004A3010">
      <w:pPr>
        <w:rPr>
          <w:lang w:val="en-GB"/>
        </w:rPr>
      </w:pPr>
      <w:r w:rsidRPr="00380B40">
        <w:rPr>
          <w:lang w:val="en-GB"/>
        </w:rPr>
        <w:t>3</w:t>
      </w:r>
      <w:r w:rsidRPr="00380B40">
        <w:rPr>
          <w:lang w:val="en-GB"/>
        </w:rPr>
        <w:tab/>
        <w:t>to continue to cooperate with the Secretary-General's initiative on cybersecurity and with the Telecommunication Development Bureau in relation to any item concerning cybersecurity under Resolution 45 (Rev. Dubai, 2014), and to ensure coordination among these different activities;</w:t>
      </w:r>
    </w:p>
    <w:p w14:paraId="053B4718" w14:textId="77777777" w:rsidR="004A3010" w:rsidRPr="00380B40" w:rsidRDefault="004A3010" w:rsidP="004A3010">
      <w:pPr>
        <w:rPr>
          <w:rFonts w:eastAsiaTheme="minorEastAsia"/>
          <w:lang w:val="en-GB" w:eastAsia="zh-CN"/>
        </w:rPr>
      </w:pPr>
      <w:r w:rsidRPr="00380B40">
        <w:rPr>
          <w:lang w:val="en-GB"/>
        </w:rPr>
        <w:t>4</w:t>
      </w:r>
      <w:r w:rsidRPr="00380B40">
        <w:rPr>
          <w:rFonts w:eastAsia="SimSun"/>
          <w:lang w:val="en-GB"/>
        </w:rPr>
        <w:tab/>
      </w:r>
      <w:r w:rsidRPr="00380B40">
        <w:rPr>
          <w:lang w:val="en-GB"/>
        </w:rPr>
        <w:t xml:space="preserve">to contribute to the report of the Secretary General to the ITU Council on the implementation of this resolution, </w:t>
      </w:r>
    </w:p>
    <w:p w14:paraId="4E23086F" w14:textId="77777777" w:rsidR="004A3010" w:rsidRPr="00380B40" w:rsidRDefault="004A3010" w:rsidP="004A3010">
      <w:pPr>
        <w:pStyle w:val="Call"/>
        <w:rPr>
          <w:lang w:val="en-GB"/>
        </w:rPr>
      </w:pPr>
      <w:r w:rsidRPr="00380B40">
        <w:rPr>
          <w:lang w:val="en-GB"/>
        </w:rPr>
        <w:t>invites Member States, Sector Members, Associates and academia</w:t>
      </w:r>
    </w:p>
    <w:p w14:paraId="31076450" w14:textId="77777777" w:rsidR="004A3010" w:rsidRPr="00380B40" w:rsidRDefault="004A3010" w:rsidP="004A3010">
      <w:pPr>
        <w:rPr>
          <w:lang w:val="en-GB"/>
        </w:rPr>
      </w:pPr>
      <w:r w:rsidRPr="00380B40">
        <w:rPr>
          <w:lang w:val="en-GB"/>
        </w:rPr>
        <w:t>to contribute to this work,</w:t>
      </w:r>
    </w:p>
    <w:p w14:paraId="03A030AD" w14:textId="77777777" w:rsidR="004A3010" w:rsidRPr="00380B40" w:rsidRDefault="004A3010" w:rsidP="004A3010">
      <w:pPr>
        <w:pStyle w:val="Call"/>
        <w:rPr>
          <w:lang w:val="en-GB"/>
        </w:rPr>
      </w:pPr>
      <w:r w:rsidRPr="00380B40">
        <w:rPr>
          <w:lang w:val="en-GB"/>
        </w:rPr>
        <w:t>further invites Member States</w:t>
      </w:r>
    </w:p>
    <w:p w14:paraId="337807A2" w14:textId="77777777" w:rsidR="004A3010" w:rsidRPr="00380B40" w:rsidRDefault="004A3010" w:rsidP="004A3010">
      <w:pPr>
        <w:rPr>
          <w:szCs w:val="24"/>
          <w:lang w:val="en-GB"/>
        </w:rPr>
      </w:pPr>
      <w:r w:rsidRPr="00380B40">
        <w:rPr>
          <w:szCs w:val="24"/>
          <w:lang w:val="en-GB"/>
        </w:rPr>
        <w:t>1</w:t>
      </w:r>
      <w:r w:rsidRPr="00380B40">
        <w:rPr>
          <w:szCs w:val="24"/>
          <w:lang w:val="en-GB"/>
        </w:rPr>
        <w:tab/>
        <w:t>to take appropriate steps to ensure that appropriate and effective measures are taken within their national and legal frameworks to combat spam and its propagation;</w:t>
      </w:r>
    </w:p>
    <w:p w14:paraId="1EC9A0D4" w14:textId="77777777" w:rsidR="004A3010" w:rsidRPr="00380B40" w:rsidRDefault="004A3010" w:rsidP="004A3010">
      <w:pPr>
        <w:rPr>
          <w:lang w:val="en-GB"/>
        </w:rPr>
      </w:pPr>
      <w:r w:rsidRPr="00380B40">
        <w:rPr>
          <w:lang w:val="en-GB"/>
        </w:rPr>
        <w:t>2</w:t>
      </w:r>
      <w:r w:rsidRPr="00380B40">
        <w:rPr>
          <w:lang w:val="en-GB"/>
        </w:rPr>
        <w:tab/>
        <w:t>to work collaboratively with all relevant stakeholders to counter and combat spam.</w:t>
      </w:r>
    </w:p>
    <w:p w14:paraId="382BA9BA" w14:textId="77777777" w:rsidR="004A3010" w:rsidRPr="00380B40" w:rsidRDefault="004A3010"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E1B0DB2" w14:textId="77777777" w:rsidR="00AA7AFA" w:rsidRPr="00380B40" w:rsidRDefault="00AA7AFA"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EE970A7" w14:textId="77777777" w:rsidR="00AA7AFA" w:rsidRPr="00380B40" w:rsidRDefault="00AA7AFA"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C93B4C7" w14:textId="77777777" w:rsidR="007E2821" w:rsidRPr="00380B40" w:rsidRDefault="007E2821" w:rsidP="007E2821">
      <w:pPr>
        <w:rPr>
          <w:lang w:val="en-GB"/>
        </w:rPr>
      </w:pPr>
    </w:p>
    <w:p w14:paraId="198ADE62" w14:textId="77777777" w:rsidR="007E2821" w:rsidRPr="00380B40" w:rsidRDefault="007E2821" w:rsidP="007E2821">
      <w:pPr>
        <w:rPr>
          <w:lang w:val="en-GB"/>
        </w:rPr>
        <w:sectPr w:rsidR="007E2821" w:rsidRPr="00380B40" w:rsidSect="00F738B7">
          <w:headerReference w:type="even" r:id="rId129"/>
          <w:headerReference w:type="default" r:id="rId130"/>
          <w:footerReference w:type="even" r:id="rId131"/>
          <w:footerReference w:type="default" r:id="rId132"/>
          <w:headerReference w:type="first" r:id="rId133"/>
          <w:footerReference w:type="first" r:id="rId134"/>
          <w:footnotePr>
            <w:numRestart w:val="eachSect"/>
          </w:footnotePr>
          <w:pgSz w:w="11907" w:h="16834" w:code="9"/>
          <w:pgMar w:top="1134" w:right="1134" w:bottom="1134" w:left="1134" w:header="567" w:footer="567" w:gutter="0"/>
          <w:paperSrc w:first="15" w:other="15"/>
          <w:cols w:space="720"/>
          <w:vAlign w:val="both"/>
          <w:docGrid w:linePitch="299"/>
        </w:sectPr>
      </w:pPr>
    </w:p>
    <w:p w14:paraId="7F820FE4" w14:textId="77777777" w:rsidR="004A3010" w:rsidRPr="00380B40" w:rsidRDefault="004A3010" w:rsidP="004A0742">
      <w:pPr>
        <w:pStyle w:val="ResNo"/>
        <w:rPr>
          <w:lang w:val="en-GB"/>
        </w:rPr>
      </w:pPr>
      <w:bookmarkStart w:id="219" w:name="_Toc104459731"/>
      <w:bookmarkStart w:id="220" w:name="_Toc104476539"/>
      <w:bookmarkStart w:id="221" w:name="_Toc111636777"/>
      <w:bookmarkStart w:id="222" w:name="_Toc111638432"/>
      <w:r w:rsidRPr="00380B40">
        <w:rPr>
          <w:lang w:val="en-GB"/>
        </w:rPr>
        <w:t xml:space="preserve">RESOLUTION </w:t>
      </w:r>
      <w:r w:rsidRPr="00380B40">
        <w:rPr>
          <w:rStyle w:val="href"/>
          <w:lang w:val="en-GB"/>
        </w:rPr>
        <w:t>54</w:t>
      </w:r>
      <w:r w:rsidRPr="00380B40">
        <w:rPr>
          <w:lang w:val="en-GB"/>
        </w:rPr>
        <w:t xml:space="preserve"> </w:t>
      </w:r>
      <w:r w:rsidR="004A0742" w:rsidRPr="00380B40">
        <w:rPr>
          <w:lang w:val="en-GB"/>
        </w:rPr>
        <w:t>(R</w:t>
      </w:r>
      <w:r w:rsidR="00160E13" w:rsidRPr="00380B40">
        <w:rPr>
          <w:caps w:val="0"/>
          <w:lang w:val="en-GB"/>
        </w:rPr>
        <w:t>ev</w:t>
      </w:r>
      <w:r w:rsidR="004A0742" w:rsidRPr="00380B40">
        <w:rPr>
          <w:lang w:val="en-GB"/>
        </w:rPr>
        <w:t>. G</w:t>
      </w:r>
      <w:r w:rsidR="00160E13" w:rsidRPr="00380B40">
        <w:rPr>
          <w:caps w:val="0"/>
          <w:lang w:val="en-GB"/>
        </w:rPr>
        <w:t>eneva</w:t>
      </w:r>
      <w:r w:rsidR="004A0742" w:rsidRPr="00380B40">
        <w:rPr>
          <w:lang w:val="en-GB"/>
        </w:rPr>
        <w:t>, 2022)</w:t>
      </w:r>
      <w:bookmarkEnd w:id="219"/>
      <w:bookmarkEnd w:id="220"/>
      <w:bookmarkEnd w:id="221"/>
      <w:bookmarkEnd w:id="222"/>
    </w:p>
    <w:p w14:paraId="3BA8AA2B" w14:textId="77777777" w:rsidR="004A0742" w:rsidRPr="00380B40" w:rsidRDefault="004A0742" w:rsidP="004A0742">
      <w:pPr>
        <w:pStyle w:val="Restitle"/>
        <w:rPr>
          <w:lang w:val="en-GB"/>
        </w:rPr>
      </w:pPr>
      <w:bookmarkStart w:id="223" w:name="_Toc104459732"/>
      <w:bookmarkStart w:id="224" w:name="_Toc104476540"/>
      <w:bookmarkStart w:id="225" w:name="_Toc111638433"/>
      <w:r w:rsidRPr="00380B40">
        <w:rPr>
          <w:lang w:val="en-GB"/>
        </w:rPr>
        <w:t xml:space="preserve">Regional groups of study groups of the ITU Telecommunication </w:t>
      </w:r>
      <w:r w:rsidR="00160E13" w:rsidRPr="00380B40">
        <w:rPr>
          <w:lang w:val="en-GB"/>
        </w:rPr>
        <w:br/>
      </w:r>
      <w:r w:rsidRPr="00380B40">
        <w:rPr>
          <w:lang w:val="en-GB"/>
        </w:rPr>
        <w:t>Standardization Sector</w:t>
      </w:r>
      <w:bookmarkEnd w:id="223"/>
      <w:bookmarkEnd w:id="224"/>
      <w:bookmarkEnd w:id="225"/>
    </w:p>
    <w:p w14:paraId="509515B4" w14:textId="77777777" w:rsidR="004A0742" w:rsidRPr="00380B40" w:rsidRDefault="004A0742" w:rsidP="004A0742">
      <w:pPr>
        <w:pStyle w:val="Resref"/>
        <w:rPr>
          <w:lang w:val="en-GB"/>
        </w:rPr>
      </w:pPr>
      <w:r w:rsidRPr="00380B40">
        <w:rPr>
          <w:lang w:val="en-GB"/>
        </w:rPr>
        <w:t>(Florianópolis, 2004; Johannesburg, 2008; Dubai, 2012; Hammamet 2016; Geneva, 2022)</w:t>
      </w:r>
    </w:p>
    <w:p w14:paraId="026E6B51" w14:textId="77777777" w:rsidR="004A0742" w:rsidRPr="00380B40" w:rsidRDefault="004A0742" w:rsidP="004A0742">
      <w:pPr>
        <w:pStyle w:val="Normalaftertitle0"/>
      </w:pPr>
      <w:r w:rsidRPr="00380B40">
        <w:t>The World Telecommunication Standardization Assembly (Geneva, 2022),</w:t>
      </w:r>
    </w:p>
    <w:p w14:paraId="6117BC7E" w14:textId="77777777" w:rsidR="004A0742" w:rsidRPr="00380B40" w:rsidRDefault="004A0742" w:rsidP="004A0742">
      <w:pPr>
        <w:pStyle w:val="Call"/>
        <w:rPr>
          <w:lang w:val="en-GB"/>
        </w:rPr>
      </w:pPr>
      <w:r w:rsidRPr="00380B40">
        <w:rPr>
          <w:lang w:val="en-GB"/>
        </w:rPr>
        <w:t>considering</w:t>
      </w:r>
    </w:p>
    <w:p w14:paraId="66A72536" w14:textId="77777777" w:rsidR="004A0742" w:rsidRPr="00380B40" w:rsidRDefault="004A0742" w:rsidP="004A0742">
      <w:pPr>
        <w:rPr>
          <w:lang w:val="en-GB"/>
        </w:rPr>
      </w:pPr>
      <w:r w:rsidRPr="00380B40">
        <w:rPr>
          <w:i/>
          <w:iCs/>
          <w:lang w:val="en-GB"/>
        </w:rPr>
        <w:t>a)</w:t>
      </w:r>
      <w:r w:rsidRPr="00380B40">
        <w:rPr>
          <w:lang w:val="en-GB"/>
        </w:rPr>
        <w:tab/>
        <w:t>that Article 14 of the ITU Convention authorizes the creation of study groups with a view to standardizing telecommunications on a worldwide basis;</w:t>
      </w:r>
    </w:p>
    <w:p w14:paraId="354B67A1" w14:textId="77777777" w:rsidR="004A0742" w:rsidRPr="00380B40" w:rsidRDefault="004A0742" w:rsidP="004A0742">
      <w:pPr>
        <w:rPr>
          <w:lang w:val="en-GB"/>
        </w:rPr>
      </w:pPr>
      <w:r w:rsidRPr="00380B40">
        <w:rPr>
          <w:i/>
          <w:iCs/>
          <w:lang w:val="en-GB"/>
        </w:rPr>
        <w:t>b)</w:t>
      </w:r>
      <w:r w:rsidRPr="00380B40">
        <w:rPr>
          <w:lang w:val="en-GB"/>
        </w:rPr>
        <w:tab/>
        <w:t>that Article 17 of the ITU Constitution states that "the functions of the Telecommunication Standardization Sector shall be, bearing in mind the particular concerns of the developing countries, to fulfil the purposes of the Union relating to telecommunication standardization ...";</w:t>
      </w:r>
    </w:p>
    <w:p w14:paraId="28D34B41" w14:textId="77777777" w:rsidR="004A0742" w:rsidRPr="00380B40" w:rsidRDefault="004A0742" w:rsidP="004A0742">
      <w:pPr>
        <w:rPr>
          <w:lang w:val="en-GB"/>
        </w:rPr>
      </w:pPr>
      <w:r w:rsidRPr="00380B40">
        <w:rPr>
          <w:i/>
          <w:iCs/>
          <w:lang w:val="en-GB"/>
        </w:rPr>
        <w:t>c)</w:t>
      </w:r>
      <w:r w:rsidRPr="00380B40">
        <w:rPr>
          <w:lang w:val="en-GB"/>
        </w:rPr>
        <w:tab/>
        <w:t>that Resolution 58 (Rev. Busan, 2014) of the Plenipotentiary Conference resolves that ITU should continue developing stronger relations with regional telecommunication organizations, including the organization of six ITU regional preparatory meetings for plenipotentiary conferences, as well as other Sector conferences and assembles as necessary;</w:t>
      </w:r>
    </w:p>
    <w:p w14:paraId="4CFAC631" w14:textId="77777777" w:rsidR="004A0742" w:rsidRPr="00380B40" w:rsidRDefault="004A0742" w:rsidP="004A0742">
      <w:pPr>
        <w:rPr>
          <w:lang w:val="en-GB"/>
        </w:rPr>
      </w:pPr>
      <w:r w:rsidRPr="00380B40">
        <w:rPr>
          <w:i/>
          <w:iCs/>
          <w:lang w:val="en-GB"/>
        </w:rPr>
        <w:t>d)</w:t>
      </w:r>
      <w:r w:rsidRPr="00380B40">
        <w:rPr>
          <w:lang w:val="en-GB"/>
        </w:rPr>
        <w:tab/>
        <w:t>that Resolution 123 (Rev. Dubai, 2018) of the Plenipotentiary Conference instructs the Secretary-General and the Directors of the three Bureaux to work closely with each other in pursuing initiatives that assist in bridging the standardization gap between developing</w:t>
      </w:r>
      <w:r w:rsidR="00FD162E" w:rsidRPr="00380B40">
        <w:rPr>
          <w:rStyle w:val="FootnoteReference"/>
          <w:lang w:val="en-GB"/>
        </w:rPr>
        <w:footnoteReference w:id="24"/>
      </w:r>
      <w:r w:rsidRPr="00380B40">
        <w:rPr>
          <w:lang w:val="en-GB"/>
        </w:rPr>
        <w:t xml:space="preserve"> and developed countries, and to further collaborate with relevant regional organizations and support their work in this area;</w:t>
      </w:r>
    </w:p>
    <w:p w14:paraId="4B922DE0" w14:textId="77777777" w:rsidR="004A0742" w:rsidRPr="00380B40" w:rsidRDefault="004A0742" w:rsidP="004A0742">
      <w:pPr>
        <w:rPr>
          <w:lang w:val="en-GB"/>
        </w:rPr>
      </w:pPr>
      <w:r w:rsidRPr="00380B40">
        <w:rPr>
          <w:i/>
          <w:iCs/>
          <w:lang w:val="en-GB"/>
        </w:rPr>
        <w:t>e)</w:t>
      </w:r>
      <w:r w:rsidRPr="00380B40">
        <w:rPr>
          <w:lang w:val="en-GB"/>
        </w:rPr>
        <w:tab/>
        <w:t>that Resolution 191 (Rev. Dubai, 2018) of the Plenipotentiary Conference recognizes that the basic principle of cooperation and collaboration among the Sectors is to avoid duplication of the Sectors' activities and to ensure that work is carried out efficiently and effectively;</w:t>
      </w:r>
    </w:p>
    <w:p w14:paraId="41F6CFAE" w14:textId="77777777" w:rsidR="004A0742" w:rsidRPr="00380B40" w:rsidRDefault="004A0742" w:rsidP="004A0742">
      <w:pPr>
        <w:rPr>
          <w:lang w:val="en-GB"/>
        </w:rPr>
      </w:pPr>
      <w:r w:rsidRPr="00380B40">
        <w:rPr>
          <w:i/>
          <w:iCs/>
          <w:lang w:val="en-GB"/>
        </w:rPr>
        <w:t>f)</w:t>
      </w:r>
      <w:r w:rsidRPr="00380B40">
        <w:rPr>
          <w:lang w:val="en-GB"/>
        </w:rPr>
        <w:tab/>
        <w:t>the following outcome for the ITU Telecommunication Standardization Sector (ITU</w:t>
      </w:r>
      <w:r w:rsidRPr="00380B40">
        <w:rPr>
          <w:lang w:val="en-GB"/>
        </w:rPr>
        <w:noBreakHyphen/>
        <w:t>T) in the strategic plan for the Union for 2020-2023, adopted in Resolution 71 (Rev. Dubai, 2018) of the Plenipotentiary Conference, focused on the promotion of active participation of the membership, in particular developing countries, in the definition and adoption of non-discriminatory international standards with a view to bridging the standardization gap:</w:t>
      </w:r>
    </w:p>
    <w:p w14:paraId="348A0FDE" w14:textId="77777777" w:rsidR="004A0742" w:rsidRPr="00380B40" w:rsidRDefault="004A0742" w:rsidP="004A0742">
      <w:pPr>
        <w:pStyle w:val="enumlev1"/>
        <w:rPr>
          <w:lang w:val="en-GB"/>
        </w:rPr>
      </w:pPr>
      <w:r w:rsidRPr="00380B40">
        <w:rPr>
          <w:lang w:val="en-GB"/>
        </w:rPr>
        <w:t>–</w:t>
      </w:r>
      <w:r w:rsidRPr="00380B40">
        <w:rPr>
          <w:lang w:val="en-GB"/>
        </w:rPr>
        <w:tab/>
        <w:t>increased participation in the ITU</w:t>
      </w:r>
      <w:r w:rsidRPr="00380B40">
        <w:rPr>
          <w:lang w:val="en-GB"/>
        </w:rPr>
        <w:noBreakHyphen/>
        <w:t>T standardization process, including attendance of meetings, submission of contributions, taking leadership positions and hosting of meetings/workshops, especially from developing countries;</w:t>
      </w:r>
    </w:p>
    <w:p w14:paraId="2F8F8055" w14:textId="77777777" w:rsidR="0090426B" w:rsidRPr="00380B40" w:rsidRDefault="0090426B" w:rsidP="004A0742">
      <w:pPr>
        <w:rPr>
          <w:i/>
          <w:iCs/>
          <w:lang w:val="en-GB"/>
        </w:rPr>
      </w:pPr>
      <w:r w:rsidRPr="00380B40">
        <w:rPr>
          <w:i/>
          <w:iCs/>
          <w:lang w:val="en-GB"/>
        </w:rPr>
        <w:br w:type="page"/>
      </w:r>
    </w:p>
    <w:p w14:paraId="2F3AF7B3" w14:textId="77777777" w:rsidR="004A0742" w:rsidRPr="00380B40" w:rsidRDefault="004A0742" w:rsidP="004A0742">
      <w:pPr>
        <w:rPr>
          <w:lang w:val="en-GB"/>
        </w:rPr>
      </w:pPr>
      <w:r w:rsidRPr="00380B40">
        <w:rPr>
          <w:i/>
          <w:iCs/>
          <w:lang w:val="en-GB"/>
        </w:rPr>
        <w:t>g)</w:t>
      </w:r>
      <w:r w:rsidRPr="00380B40">
        <w:rPr>
          <w:lang w:val="en-GB"/>
        </w:rPr>
        <w:tab/>
        <w:t xml:space="preserve">that the work of certain study groups, particularly in relation to, among other things, tariff and accounting principles, international telecommunication/information and communication technology (ICT) economic and policy issues, next-generation networks, Internet of things and future networks, security, quality, mobility and multimedia, continues to be of considerable strategic significance for developing countries, </w:t>
      </w:r>
    </w:p>
    <w:p w14:paraId="043D580F" w14:textId="77777777" w:rsidR="004A0742" w:rsidRPr="00380B40" w:rsidRDefault="004A0742" w:rsidP="004A0742">
      <w:pPr>
        <w:pStyle w:val="Call"/>
        <w:rPr>
          <w:lang w:val="en-GB"/>
        </w:rPr>
      </w:pPr>
      <w:r w:rsidRPr="00380B40">
        <w:rPr>
          <w:lang w:val="en-GB"/>
        </w:rPr>
        <w:t>recognizing</w:t>
      </w:r>
    </w:p>
    <w:p w14:paraId="4067FC9C" w14:textId="77777777" w:rsidR="004A0742" w:rsidRPr="00380B40" w:rsidRDefault="004A0742" w:rsidP="004A0742">
      <w:pPr>
        <w:rPr>
          <w:lang w:val="en-GB"/>
        </w:rPr>
      </w:pPr>
      <w:r w:rsidRPr="00380B40">
        <w:rPr>
          <w:i/>
          <w:iCs/>
          <w:lang w:val="en-GB"/>
        </w:rPr>
        <w:t>a)</w:t>
      </w:r>
      <w:r w:rsidRPr="00380B40">
        <w:rPr>
          <w:lang w:val="en-GB"/>
        </w:rPr>
        <w:tab/>
        <w:t>that Article 43 of the Constitution (No. 194) states that "Member States reserve the right to convene regional conferences, to make regional arrangements and to form regional organizations, for the purpose of settling telecommunication questions which are susceptible of being treated on a regional basis ...";</w:t>
      </w:r>
    </w:p>
    <w:p w14:paraId="7052B93F" w14:textId="77777777" w:rsidR="004A0742" w:rsidRPr="00380B40" w:rsidRDefault="004A0742" w:rsidP="004A0742">
      <w:pPr>
        <w:rPr>
          <w:lang w:val="en-GB"/>
        </w:rPr>
      </w:pPr>
      <w:r w:rsidRPr="00380B40">
        <w:rPr>
          <w:i/>
          <w:iCs/>
          <w:lang w:val="en-GB"/>
        </w:rPr>
        <w:t>b)</w:t>
      </w:r>
      <w:r w:rsidRPr="00380B40">
        <w:rPr>
          <w:lang w:val="en-GB"/>
        </w:rPr>
        <w:tab/>
        <w:t xml:space="preserve">that Article 14A of the Convention and Resolution 1 (Rev. Geneva, 2022) of this assembly both affirm the principal duties of the Telecommunication Standardization Advisory Group (TSAG) to "review priorities, programmes, operations, financial matters and strategies for activities in the Telecommunication Standardization Sector", "provide guidelines for the work of study groups" and "recommend measures, </w:t>
      </w:r>
      <w:r w:rsidRPr="00380B40">
        <w:rPr>
          <w:i/>
          <w:iCs/>
          <w:lang w:val="en-GB"/>
        </w:rPr>
        <w:t>inter alia</w:t>
      </w:r>
      <w:r w:rsidRPr="00380B40">
        <w:rPr>
          <w:lang w:val="en-GB"/>
        </w:rPr>
        <w:t>, to foster cooperation and coordination with other relevant bodies";</w:t>
      </w:r>
    </w:p>
    <w:p w14:paraId="30999827" w14:textId="77777777" w:rsidR="004A0742" w:rsidRPr="00380B40" w:rsidRDefault="004A0742" w:rsidP="004A0742">
      <w:pPr>
        <w:rPr>
          <w:lang w:val="en-GB"/>
        </w:rPr>
      </w:pPr>
      <w:r w:rsidRPr="00380B40">
        <w:rPr>
          <w:i/>
          <w:iCs/>
          <w:lang w:val="en-GB"/>
        </w:rPr>
        <w:t>c)</w:t>
      </w:r>
      <w:r w:rsidRPr="00380B40">
        <w:rPr>
          <w:lang w:val="en-GB"/>
        </w:rPr>
        <w:tab/>
        <w:t>that Resolution 1 (Rev. Geneva, 2022) establishes the rules of procedure of ITU</w:t>
      </w:r>
      <w:r w:rsidRPr="00380B40">
        <w:rPr>
          <w:lang w:val="en-GB"/>
        </w:rPr>
        <w:noBreakHyphen/>
        <w:t>T;</w:t>
      </w:r>
    </w:p>
    <w:p w14:paraId="0F6EEA29" w14:textId="77777777" w:rsidR="004A0742" w:rsidRPr="00380B40" w:rsidRDefault="004A0742" w:rsidP="004A0742">
      <w:pPr>
        <w:rPr>
          <w:lang w:val="en-GB"/>
        </w:rPr>
      </w:pPr>
      <w:r w:rsidRPr="00380B40">
        <w:rPr>
          <w:i/>
          <w:iCs/>
          <w:lang w:val="en-GB"/>
        </w:rPr>
        <w:t>d)</w:t>
      </w:r>
      <w:r w:rsidRPr="00380B40">
        <w:rPr>
          <w:lang w:val="en-GB"/>
        </w:rPr>
        <w:tab/>
        <w:t>that Resolution 22 (Rev. Geneva, 2022) of this assembly authorizes TSAG to act between world telecommunication standardization assemblies and assigns TSAG responsibility for the ITU</w:t>
      </w:r>
      <w:r w:rsidRPr="00380B40">
        <w:rPr>
          <w:lang w:val="en-GB"/>
        </w:rPr>
        <w:noBreakHyphen/>
        <w:t>T A-series Recommendations (Organization of the work of ITU-T);</w:t>
      </w:r>
    </w:p>
    <w:p w14:paraId="2D19E024" w14:textId="77777777" w:rsidR="004A0742" w:rsidRPr="00380B40" w:rsidRDefault="004A0742" w:rsidP="004A0742">
      <w:pPr>
        <w:rPr>
          <w:lang w:val="en-GB"/>
        </w:rPr>
      </w:pPr>
      <w:r w:rsidRPr="00380B40">
        <w:rPr>
          <w:i/>
          <w:iCs/>
          <w:lang w:val="en-GB"/>
        </w:rPr>
        <w:t>e)</w:t>
      </w:r>
      <w:r w:rsidRPr="00380B40">
        <w:rPr>
          <w:lang w:val="en-GB"/>
        </w:rPr>
        <w:tab/>
        <w:t>the growing level of participation and involvement of developing countries in all the ITU</w:t>
      </w:r>
      <w:r w:rsidRPr="00380B40">
        <w:rPr>
          <w:lang w:val="en-GB"/>
        </w:rPr>
        <w:noBreakHyphen/>
        <w:t xml:space="preserve">T study groups; </w:t>
      </w:r>
    </w:p>
    <w:p w14:paraId="54B89639" w14:textId="77777777" w:rsidR="004A0742" w:rsidRPr="00380B40" w:rsidRDefault="004A0742" w:rsidP="004A0742">
      <w:pPr>
        <w:rPr>
          <w:lang w:val="en-GB"/>
        </w:rPr>
      </w:pPr>
      <w:r w:rsidRPr="00380B40">
        <w:rPr>
          <w:i/>
          <w:iCs/>
          <w:lang w:val="en-GB"/>
        </w:rPr>
        <w:t>f)</w:t>
      </w:r>
      <w:r w:rsidRPr="00380B40">
        <w:rPr>
          <w:lang w:val="en-GB"/>
        </w:rPr>
        <w:tab/>
        <w:t>that specific regional groups have been successfully established within ITU</w:t>
      </w:r>
      <w:r w:rsidRPr="00380B40">
        <w:rPr>
          <w:lang w:val="en-GB"/>
        </w:rPr>
        <w:noBreakHyphen/>
        <w:t xml:space="preserve">T Study Groups 2, 3, 5, 11, 12, 13, 17 and 20 </w:t>
      </w:r>
    </w:p>
    <w:p w14:paraId="4867FE0B" w14:textId="77777777" w:rsidR="004A0742" w:rsidRPr="00380B40" w:rsidRDefault="004A0742" w:rsidP="004A0742">
      <w:pPr>
        <w:rPr>
          <w:lang w:val="en-GB"/>
        </w:rPr>
      </w:pPr>
      <w:r w:rsidRPr="00380B40">
        <w:rPr>
          <w:i/>
          <w:iCs/>
          <w:lang w:val="en-GB"/>
        </w:rPr>
        <w:t>g)</w:t>
      </w:r>
      <w:r w:rsidRPr="00380B40">
        <w:rPr>
          <w:lang w:val="en-GB"/>
        </w:rPr>
        <w:tab/>
        <w:t>that meetings of the above-mentioned regional groups of ITU</w:t>
      </w:r>
      <w:r w:rsidRPr="00380B40">
        <w:rPr>
          <w:lang w:val="en-GB"/>
        </w:rPr>
        <w:noBreakHyphen/>
        <w:t>T study groups are held by ITU and can be supported by regional organizations and/or regional standardization bodies;</w:t>
      </w:r>
    </w:p>
    <w:p w14:paraId="5889D711" w14:textId="77777777" w:rsidR="004A0742" w:rsidRPr="00380B40" w:rsidRDefault="004A0742" w:rsidP="004A0742">
      <w:pPr>
        <w:rPr>
          <w:lang w:val="en-GB"/>
        </w:rPr>
      </w:pPr>
      <w:r w:rsidRPr="00380B40">
        <w:rPr>
          <w:i/>
          <w:iCs/>
          <w:lang w:val="en-GB"/>
        </w:rPr>
        <w:t>h)</w:t>
      </w:r>
      <w:r w:rsidRPr="00380B40">
        <w:rPr>
          <w:i/>
          <w:iCs/>
          <w:lang w:val="en-GB"/>
        </w:rPr>
        <w:tab/>
      </w:r>
      <w:r w:rsidRPr="00380B40">
        <w:rPr>
          <w:lang w:val="en-GB"/>
        </w:rPr>
        <w:t>the satisfactory results obtained by the regional approach within the framework of the activities of the parent study groups;</w:t>
      </w:r>
    </w:p>
    <w:p w14:paraId="3B0C96AB" w14:textId="77777777" w:rsidR="004A0742" w:rsidRPr="00380B40" w:rsidRDefault="004A0742" w:rsidP="004A0742">
      <w:pPr>
        <w:rPr>
          <w:lang w:val="en-GB"/>
        </w:rPr>
      </w:pPr>
      <w:r w:rsidRPr="00380B40">
        <w:rPr>
          <w:i/>
          <w:iCs/>
          <w:lang w:val="en-GB"/>
        </w:rPr>
        <w:t>i)</w:t>
      </w:r>
      <w:r w:rsidRPr="00380B40">
        <w:rPr>
          <w:i/>
          <w:iCs/>
          <w:lang w:val="en-GB"/>
        </w:rPr>
        <w:tab/>
      </w:r>
      <w:r w:rsidRPr="00380B40">
        <w:rPr>
          <w:lang w:val="en-GB"/>
        </w:rPr>
        <w:t>that the activities of most of these regional groups have become increasingly important, and encompass a growing number of issues,</w:t>
      </w:r>
    </w:p>
    <w:p w14:paraId="6CFD02BF" w14:textId="77777777" w:rsidR="004A0742" w:rsidRPr="00380B40" w:rsidRDefault="004A0742" w:rsidP="004A0742">
      <w:pPr>
        <w:pStyle w:val="Call"/>
        <w:rPr>
          <w:lang w:val="en-GB"/>
        </w:rPr>
      </w:pPr>
      <w:r w:rsidRPr="00380B40">
        <w:rPr>
          <w:lang w:val="en-GB"/>
        </w:rPr>
        <w:t>noting</w:t>
      </w:r>
    </w:p>
    <w:p w14:paraId="415F576B" w14:textId="77777777" w:rsidR="004A0742" w:rsidRPr="00380B40" w:rsidRDefault="004A0742" w:rsidP="004A0742">
      <w:pPr>
        <w:rPr>
          <w:lang w:val="en-GB"/>
        </w:rPr>
      </w:pPr>
      <w:r w:rsidRPr="00380B40">
        <w:rPr>
          <w:i/>
          <w:iCs/>
          <w:lang w:val="en-GB"/>
        </w:rPr>
        <w:t>a)</w:t>
      </w:r>
      <w:r w:rsidRPr="00380B40">
        <w:rPr>
          <w:lang w:val="en-GB"/>
        </w:rPr>
        <w:tab/>
        <w:t>the need to increase the participation of developing countries in the work of study groups, with a view to ensuring that their specific needs and concerns in bridging the standardization gap, within the mandate of ITU</w:t>
      </w:r>
      <w:r w:rsidRPr="00380B40">
        <w:rPr>
          <w:lang w:val="en-GB"/>
        </w:rPr>
        <w:noBreakHyphen/>
        <w:t>T and its study groups, are better taken into account;</w:t>
      </w:r>
    </w:p>
    <w:p w14:paraId="01A96B6F" w14:textId="77777777" w:rsidR="004A0742" w:rsidRPr="00380B40" w:rsidRDefault="004A0742" w:rsidP="004A0742">
      <w:pPr>
        <w:rPr>
          <w:i/>
          <w:iCs/>
          <w:lang w:val="en-GB"/>
        </w:rPr>
      </w:pPr>
      <w:r w:rsidRPr="00380B40">
        <w:rPr>
          <w:i/>
          <w:iCs/>
          <w:lang w:val="en-GB"/>
        </w:rPr>
        <w:t>b)</w:t>
      </w:r>
      <w:r w:rsidRPr="00380B40">
        <w:rPr>
          <w:lang w:val="en-GB"/>
        </w:rPr>
        <w:tab/>
        <w:t>the need to improve and strengthen the organization and working methods of the ITU</w:t>
      </w:r>
      <w:r w:rsidRPr="00380B40">
        <w:rPr>
          <w:lang w:val="en-GB"/>
        </w:rPr>
        <w:noBreakHyphen/>
        <w:t>T study groups in the interests of enhancing the participation of developing countries, to increase the efficiency and effectiveness of international standardization work and to improve synergies with other ITU Sectors;</w:t>
      </w:r>
    </w:p>
    <w:p w14:paraId="5B8B2058" w14:textId="77777777" w:rsidR="0090426B" w:rsidRPr="00380B40" w:rsidRDefault="0090426B" w:rsidP="004A0742">
      <w:pPr>
        <w:rPr>
          <w:i/>
          <w:iCs/>
          <w:lang w:val="en-GB"/>
        </w:rPr>
      </w:pPr>
      <w:r w:rsidRPr="00380B40">
        <w:rPr>
          <w:i/>
          <w:iCs/>
          <w:lang w:val="en-GB"/>
        </w:rPr>
        <w:br w:type="page"/>
      </w:r>
    </w:p>
    <w:p w14:paraId="0364B175" w14:textId="77777777" w:rsidR="004A0742" w:rsidRPr="00380B40" w:rsidRDefault="004A0742" w:rsidP="004A0742">
      <w:pPr>
        <w:rPr>
          <w:lang w:val="en-GB"/>
        </w:rPr>
      </w:pPr>
      <w:r w:rsidRPr="00380B40">
        <w:rPr>
          <w:i/>
          <w:iCs/>
          <w:lang w:val="en-GB"/>
        </w:rPr>
        <w:t>c)</w:t>
      </w:r>
      <w:r w:rsidRPr="00380B40">
        <w:rPr>
          <w:lang w:val="en-GB"/>
        </w:rPr>
        <w:tab/>
        <w:t>the importance of having appropriate consultative frameworks for the formulation and study of Questions, the preparation of contributions and capacity building;</w:t>
      </w:r>
    </w:p>
    <w:p w14:paraId="48F87A25" w14:textId="77777777" w:rsidR="004A0742" w:rsidRPr="00380B40" w:rsidRDefault="004A0742" w:rsidP="004A0742">
      <w:pPr>
        <w:rPr>
          <w:lang w:val="en-GB"/>
        </w:rPr>
      </w:pPr>
      <w:r w:rsidRPr="00380B40">
        <w:rPr>
          <w:i/>
          <w:iCs/>
          <w:lang w:val="en-GB"/>
        </w:rPr>
        <w:t>d)</w:t>
      </w:r>
      <w:r w:rsidRPr="00380B40">
        <w:rPr>
          <w:lang w:val="en-GB"/>
        </w:rPr>
        <w:tab/>
        <w:t>the need for developing countries to be more present and more active within ITU</w:t>
      </w:r>
      <w:r w:rsidRPr="00380B40">
        <w:rPr>
          <w:lang w:val="en-GB"/>
        </w:rPr>
        <w:noBreakHyphen/>
        <w:t>T's standardization forums;</w:t>
      </w:r>
    </w:p>
    <w:p w14:paraId="7F72B075" w14:textId="77777777" w:rsidR="004A0742" w:rsidRPr="00380B40" w:rsidRDefault="004A0742" w:rsidP="004A0742">
      <w:pPr>
        <w:rPr>
          <w:lang w:val="en-GB"/>
        </w:rPr>
      </w:pPr>
      <w:r w:rsidRPr="00380B40">
        <w:rPr>
          <w:i/>
          <w:iCs/>
          <w:lang w:val="en-GB"/>
        </w:rPr>
        <w:t>e)</w:t>
      </w:r>
      <w:r w:rsidRPr="00380B40">
        <w:rPr>
          <w:lang w:val="en-GB"/>
        </w:rPr>
        <w:tab/>
        <w:t>the need to encourage more inclusive participation in the work of ITU</w:t>
      </w:r>
      <w:r w:rsidRPr="00380B40">
        <w:rPr>
          <w:lang w:val="en-GB"/>
        </w:rPr>
        <w:noBreakHyphen/>
        <w:t>T, e.g. by Academia, in accordance with Resolution 169 (Rev. Dubai, 2018) of the Plenipotentiary Conference, the private sector and experts working in the field of international standardization of telecommunications/ICTs, particularly from developing countries;</w:t>
      </w:r>
    </w:p>
    <w:p w14:paraId="6DE88298" w14:textId="77777777" w:rsidR="004A0742" w:rsidRPr="00380B40" w:rsidRDefault="004A0742" w:rsidP="004A0742">
      <w:pPr>
        <w:rPr>
          <w:lang w:val="en-GB"/>
        </w:rPr>
      </w:pPr>
      <w:r w:rsidRPr="00380B40">
        <w:rPr>
          <w:i/>
          <w:iCs/>
          <w:lang w:val="en-GB"/>
        </w:rPr>
        <w:t>f)</w:t>
      </w:r>
      <w:r w:rsidRPr="00380B40">
        <w:rPr>
          <w:lang w:val="en-GB"/>
        </w:rPr>
        <w:tab/>
        <w:t>the budgetary limitations, especially in developing-country institutions, for attendance at ITU</w:t>
      </w:r>
      <w:r w:rsidRPr="00380B40">
        <w:rPr>
          <w:lang w:val="en-GB"/>
        </w:rPr>
        <w:noBreakHyphen/>
        <w:t>T events of specific interest to them,</w:t>
      </w:r>
    </w:p>
    <w:p w14:paraId="0BE6F86F" w14:textId="77777777" w:rsidR="004A0742" w:rsidRPr="00380B40" w:rsidRDefault="004A0742" w:rsidP="004A0742">
      <w:pPr>
        <w:pStyle w:val="Call"/>
        <w:rPr>
          <w:lang w:val="en-GB"/>
        </w:rPr>
      </w:pPr>
      <w:r w:rsidRPr="00380B40">
        <w:rPr>
          <w:lang w:val="en-GB"/>
        </w:rPr>
        <w:t>bearing in mind</w:t>
      </w:r>
    </w:p>
    <w:p w14:paraId="36D56D80" w14:textId="77777777" w:rsidR="004A0742" w:rsidRPr="00380B40" w:rsidRDefault="004A0742" w:rsidP="004A0742">
      <w:pPr>
        <w:rPr>
          <w:lang w:val="en-GB"/>
        </w:rPr>
      </w:pPr>
      <w:r w:rsidRPr="00380B40">
        <w:rPr>
          <w:lang w:val="en-GB"/>
        </w:rPr>
        <w:t>that the six principal regional telecommunication organizations, namely the Asia-Pacific Telecommunity (APT), the European Conference of Postal and Telecommunications Administrations (CEPT), the Inter-American Telecommunications Commission (CITEL), the African Telecommunications Union (ATU), the Council of Arab Ministers of Telecommunication and Information represented by the Secretariat-General of the League of Arab States (LAS) and the Regional Commonwealth in the field of Communications (RCC), seek close cooperation with the Union, as delineated in Resolution 58 (Rev. Busan, 2014),</w:t>
      </w:r>
    </w:p>
    <w:p w14:paraId="34D6A3AA" w14:textId="77777777" w:rsidR="004A0742" w:rsidRPr="00380B40" w:rsidRDefault="004A0742" w:rsidP="004A0742">
      <w:pPr>
        <w:pStyle w:val="Call"/>
        <w:rPr>
          <w:lang w:val="en-GB"/>
        </w:rPr>
      </w:pPr>
      <w:r w:rsidRPr="00380B40">
        <w:rPr>
          <w:lang w:val="en-GB"/>
        </w:rPr>
        <w:t>taking into consideration</w:t>
      </w:r>
    </w:p>
    <w:p w14:paraId="29517445" w14:textId="77777777" w:rsidR="004A0742" w:rsidRPr="00380B40" w:rsidRDefault="004A0742" w:rsidP="004A0742">
      <w:pPr>
        <w:rPr>
          <w:lang w:val="en-GB"/>
        </w:rPr>
      </w:pPr>
      <w:r w:rsidRPr="00380B40">
        <w:rPr>
          <w:i/>
          <w:iCs/>
          <w:lang w:val="en-GB"/>
        </w:rPr>
        <w:t>a)</w:t>
      </w:r>
      <w:r w:rsidRPr="00380B40">
        <w:rPr>
          <w:lang w:val="en-GB"/>
        </w:rPr>
        <w:tab/>
        <w:t>the experiences and lessons learned by study groups and their regional groups regarding the operational as well as organizational set-up and working methods, consistent with the ITU</w:t>
      </w:r>
      <w:r w:rsidRPr="00380B40">
        <w:rPr>
          <w:lang w:val="en-GB"/>
        </w:rPr>
        <w:noBreakHyphen/>
        <w:t>T rules of procedure in Resolution 1 (Rev. Geneva, 2022), which could serve to expand and improve the level of developing-country participation in international standardization activities and contribute to achieving the objectives of Resolution</w:t>
      </w:r>
      <w:r w:rsidR="004C4664" w:rsidRPr="00380B40">
        <w:rPr>
          <w:lang w:val="en-GB"/>
        </w:rPr>
        <w:t> </w:t>
      </w:r>
      <w:r w:rsidRPr="00380B40">
        <w:rPr>
          <w:lang w:val="en-GB"/>
        </w:rPr>
        <w:t>123 (Rev. Dubai, 2018);</w:t>
      </w:r>
    </w:p>
    <w:p w14:paraId="34E647CB" w14:textId="77777777" w:rsidR="004A0742" w:rsidRPr="00380B40" w:rsidRDefault="004A0742" w:rsidP="004A0742">
      <w:pPr>
        <w:rPr>
          <w:lang w:val="en-GB"/>
        </w:rPr>
      </w:pPr>
      <w:r w:rsidRPr="00380B40">
        <w:rPr>
          <w:i/>
          <w:iCs/>
          <w:lang w:val="en-GB"/>
        </w:rPr>
        <w:t>b)</w:t>
      </w:r>
      <w:r w:rsidRPr="00380B40">
        <w:rPr>
          <w:lang w:val="en-GB"/>
        </w:rPr>
        <w:tab/>
        <w:t>the specific process for approving Recommendations foreseen for the regional groups of ITU</w:t>
      </w:r>
      <w:r w:rsidRPr="00380B40">
        <w:rPr>
          <w:lang w:val="en-GB"/>
        </w:rPr>
        <w:noBreakHyphen/>
        <w:t>T Study Group 3 in clause 9.2.1.1 of Resolution 1 (Rev. Geneva, 2022),</w:t>
      </w:r>
    </w:p>
    <w:p w14:paraId="015D1097" w14:textId="77777777" w:rsidR="004A0742" w:rsidRPr="00380B40" w:rsidRDefault="004A0742" w:rsidP="004A0742">
      <w:pPr>
        <w:pStyle w:val="Call"/>
        <w:rPr>
          <w:lang w:val="en-GB"/>
        </w:rPr>
      </w:pPr>
      <w:r w:rsidRPr="00380B40">
        <w:rPr>
          <w:lang w:val="en-GB"/>
        </w:rPr>
        <w:t xml:space="preserve">recognizing further </w:t>
      </w:r>
    </w:p>
    <w:p w14:paraId="6A521C29" w14:textId="77777777" w:rsidR="004A0742" w:rsidRPr="00380B40" w:rsidRDefault="004A0742" w:rsidP="004A0742">
      <w:pPr>
        <w:rPr>
          <w:lang w:val="en-GB"/>
        </w:rPr>
      </w:pPr>
      <w:r w:rsidRPr="00380B40">
        <w:rPr>
          <w:i/>
          <w:iCs/>
          <w:lang w:val="en-GB"/>
        </w:rPr>
        <w:t>a)</w:t>
      </w:r>
      <w:r w:rsidRPr="00380B40">
        <w:rPr>
          <w:lang w:val="en-GB"/>
        </w:rPr>
        <w:tab/>
        <w:t>that a common and coordinated approach in regard to international standardization could serve to foster the promotion of standardization activities in developing countries;</w:t>
      </w:r>
    </w:p>
    <w:p w14:paraId="6B0F50A5" w14:textId="77777777" w:rsidR="004A0742" w:rsidRPr="00380B40" w:rsidRDefault="004A0742" w:rsidP="004A0742">
      <w:pPr>
        <w:rPr>
          <w:lang w:val="en-GB"/>
        </w:rPr>
      </w:pPr>
      <w:r w:rsidRPr="00380B40">
        <w:rPr>
          <w:i/>
          <w:iCs/>
          <w:lang w:val="en-GB"/>
        </w:rPr>
        <w:t>b)</w:t>
      </w:r>
      <w:r w:rsidRPr="00380B40">
        <w:rPr>
          <w:lang w:val="en-GB"/>
        </w:rPr>
        <w:tab/>
        <w:t>that joint meetings of regional groups of different ITU</w:t>
      </w:r>
      <w:r w:rsidRPr="00380B40">
        <w:rPr>
          <w:lang w:val="en-GB"/>
        </w:rPr>
        <w:noBreakHyphen/>
        <w:t>T study groups, in particular if concatenated with a regional workshop and/or a meeting of a regional organization and/or regional standardization body, could encourage the participation of developing countries in these meetings and increase the effectiveness of such joint meetings;</w:t>
      </w:r>
    </w:p>
    <w:p w14:paraId="4595C9FE" w14:textId="77777777" w:rsidR="0090426B" w:rsidRPr="00380B40" w:rsidRDefault="0090426B" w:rsidP="004A0742">
      <w:pPr>
        <w:rPr>
          <w:i/>
          <w:iCs/>
          <w:lang w:val="en-GB"/>
        </w:rPr>
      </w:pPr>
      <w:r w:rsidRPr="00380B40">
        <w:rPr>
          <w:i/>
          <w:iCs/>
          <w:lang w:val="en-GB"/>
        </w:rPr>
        <w:br w:type="page"/>
      </w:r>
    </w:p>
    <w:p w14:paraId="1E72FF73" w14:textId="77777777" w:rsidR="004A0742" w:rsidRPr="00380B40" w:rsidRDefault="004A0742" w:rsidP="004A0742">
      <w:pPr>
        <w:rPr>
          <w:lang w:val="en-GB"/>
        </w:rPr>
      </w:pPr>
      <w:r w:rsidRPr="00380B40">
        <w:rPr>
          <w:i/>
          <w:iCs/>
          <w:lang w:val="en-GB"/>
        </w:rPr>
        <w:t>c)</w:t>
      </w:r>
      <w:r w:rsidRPr="00380B40">
        <w:rPr>
          <w:lang w:val="en-GB"/>
        </w:rPr>
        <w:tab/>
        <w:t>that, in developing countries, a few standardization experts are usually responsible for handling numerous standardization areas within their administrations, including issues that concern Questions under study simultaneously by a number of ITU</w:t>
      </w:r>
      <w:r w:rsidRPr="00380B40">
        <w:rPr>
          <w:lang w:val="en-GB"/>
        </w:rPr>
        <w:noBreakHyphen/>
        <w:t>T study groups,</w:t>
      </w:r>
    </w:p>
    <w:p w14:paraId="3CBEA104" w14:textId="77777777" w:rsidR="004A0742" w:rsidRPr="00380B40" w:rsidRDefault="004A0742" w:rsidP="004A0742">
      <w:pPr>
        <w:pStyle w:val="Call"/>
        <w:rPr>
          <w:lang w:val="en-GB"/>
        </w:rPr>
      </w:pPr>
      <w:r w:rsidRPr="00380B40">
        <w:rPr>
          <w:lang w:val="en-GB"/>
        </w:rPr>
        <w:t>resolves</w:t>
      </w:r>
    </w:p>
    <w:p w14:paraId="7833DFCE" w14:textId="77777777" w:rsidR="004A0742" w:rsidRPr="00380B40" w:rsidRDefault="004A0742" w:rsidP="004A0742">
      <w:pPr>
        <w:rPr>
          <w:lang w:val="en-GB"/>
        </w:rPr>
      </w:pPr>
      <w:r w:rsidRPr="00380B40">
        <w:rPr>
          <w:szCs w:val="24"/>
          <w:lang w:val="en-GB"/>
        </w:rPr>
        <w:t>1</w:t>
      </w:r>
      <w:r w:rsidRPr="00380B40">
        <w:rPr>
          <w:szCs w:val="24"/>
          <w:lang w:val="en-GB"/>
        </w:rPr>
        <w:tab/>
        <w:t>to support, on a case-by-case basis, to the extent practicable, the coordinated creation of regional groups of ITU</w:t>
      </w:r>
      <w:r w:rsidRPr="00380B40">
        <w:rPr>
          <w:szCs w:val="24"/>
          <w:lang w:val="en-GB"/>
        </w:rPr>
        <w:noBreakHyphen/>
        <w:t>T study groups, with at least two supporting members from the region concerned that are committed to contributing actively on the topics assigned to the regional groups</w:t>
      </w:r>
      <w:r w:rsidRPr="00380B40">
        <w:rPr>
          <w:color w:val="244061" w:themeColor="accent1" w:themeShade="80"/>
          <w:szCs w:val="24"/>
          <w:lang w:val="en-GB"/>
        </w:rPr>
        <w:t>;</w:t>
      </w:r>
    </w:p>
    <w:p w14:paraId="791DDB5E" w14:textId="77777777" w:rsidR="004A0742" w:rsidRPr="00380B40" w:rsidRDefault="004A0742" w:rsidP="004A0742">
      <w:pPr>
        <w:rPr>
          <w:lang w:val="en-GB"/>
        </w:rPr>
      </w:pPr>
      <w:r w:rsidRPr="00380B40">
        <w:rPr>
          <w:lang w:val="en-GB"/>
        </w:rPr>
        <w:t>2</w:t>
      </w:r>
      <w:r w:rsidRPr="00380B40">
        <w:rPr>
          <w:lang w:val="en-GB"/>
        </w:rPr>
        <w:tab/>
        <w:t>that ITU-T study groups develop terms of reference and working methods for these regional groups and inform TSAG for coordination among study groups;</w:t>
      </w:r>
    </w:p>
    <w:p w14:paraId="097596F8" w14:textId="77777777" w:rsidR="004A0742" w:rsidRPr="00380B40" w:rsidRDefault="004A0742" w:rsidP="004A0742">
      <w:pPr>
        <w:rPr>
          <w:lang w:val="en-GB"/>
        </w:rPr>
      </w:pPr>
      <w:r w:rsidRPr="00380B40">
        <w:rPr>
          <w:lang w:val="en-GB"/>
        </w:rPr>
        <w:t>3</w:t>
      </w:r>
      <w:r w:rsidRPr="00380B40">
        <w:rPr>
          <w:lang w:val="en-GB"/>
        </w:rPr>
        <w:tab/>
        <w:t>that the composition of regional groups of ITU-T study groups is consistent with considering </w:t>
      </w:r>
      <w:r w:rsidRPr="00380B40">
        <w:rPr>
          <w:i/>
          <w:lang w:val="en-GB"/>
        </w:rPr>
        <w:t>c)</w:t>
      </w:r>
      <w:r w:rsidRPr="00380B40">
        <w:rPr>
          <w:lang w:val="en-GB"/>
        </w:rPr>
        <w:t xml:space="preserve">, and supported by the regional telecommunication organizations identified under </w:t>
      </w:r>
      <w:r w:rsidRPr="00380B40">
        <w:rPr>
          <w:i/>
          <w:lang w:val="en-GB"/>
        </w:rPr>
        <w:t>bearing in mind</w:t>
      </w:r>
      <w:r w:rsidRPr="00380B40">
        <w:rPr>
          <w:lang w:val="en-GB"/>
        </w:rPr>
        <w:t xml:space="preserve"> of this resolution;</w:t>
      </w:r>
    </w:p>
    <w:p w14:paraId="7F2D5845" w14:textId="77777777" w:rsidR="004A0742" w:rsidRPr="00380B40" w:rsidRDefault="004A0742" w:rsidP="004A0742">
      <w:pPr>
        <w:rPr>
          <w:lang w:val="en-GB"/>
        </w:rPr>
      </w:pPr>
      <w:r w:rsidRPr="00380B40">
        <w:rPr>
          <w:lang w:val="en-GB"/>
        </w:rPr>
        <w:t>4</w:t>
      </w:r>
      <w:r w:rsidRPr="00380B40">
        <w:rPr>
          <w:lang w:val="en-GB"/>
        </w:rPr>
        <w:tab/>
        <w:t>that representatives of Member States and Sector Members who belong to the region concerned may participate fully in the regional groups of ITU-T study groups;</w:t>
      </w:r>
    </w:p>
    <w:p w14:paraId="09A04768" w14:textId="77777777" w:rsidR="004A0742" w:rsidRPr="00380B40" w:rsidRDefault="004A0742" w:rsidP="004A0742">
      <w:pPr>
        <w:rPr>
          <w:lang w:val="en-GB"/>
        </w:rPr>
      </w:pPr>
      <w:r w:rsidRPr="00380B40">
        <w:rPr>
          <w:lang w:val="en-GB"/>
        </w:rPr>
        <w:t>5</w:t>
      </w:r>
      <w:r w:rsidRPr="00380B40">
        <w:rPr>
          <w:lang w:val="en-GB"/>
        </w:rPr>
        <w:tab/>
        <w:t>that representatives of Associates and Academia that belong to a parent ITU-T study group, and belong to the region concerned, may participate in regional groups of that ITU-T study group, but should not participate in any decision-making or liaison activity, taking into account Resolution 169 (Rev. Dubai, 2018);</w:t>
      </w:r>
    </w:p>
    <w:p w14:paraId="64E00977" w14:textId="77777777" w:rsidR="004A0742" w:rsidRPr="00380B40" w:rsidRDefault="004A0742" w:rsidP="004A0742">
      <w:pPr>
        <w:rPr>
          <w:lang w:val="en-GB"/>
        </w:rPr>
      </w:pPr>
      <w:bookmarkStart w:id="226" w:name="_Hlk98068352"/>
      <w:r w:rsidRPr="00380B40">
        <w:rPr>
          <w:lang w:val="en-GB"/>
        </w:rPr>
        <w:t>6</w:t>
      </w:r>
      <w:r w:rsidRPr="00380B40">
        <w:rPr>
          <w:lang w:val="en-GB"/>
        </w:rPr>
        <w:tab/>
        <w:t>that meetings of regional groups of other study groups shall, in principle, be limited to delegates and representatives from Member States, Sector Members, Academia and Associates of the study group concerned in the region; however, each regional group may invite other participants to attend all or part of a meeting, to the extent that these other participants would be eligible to attend the meetings of the full study group;</w:t>
      </w:r>
    </w:p>
    <w:bookmarkEnd w:id="226"/>
    <w:p w14:paraId="01D80C47" w14:textId="77777777" w:rsidR="004A0742" w:rsidRPr="00380B40" w:rsidRDefault="004A0742" w:rsidP="004A0742">
      <w:pPr>
        <w:rPr>
          <w:lang w:val="en-GB"/>
        </w:rPr>
      </w:pPr>
      <w:r w:rsidRPr="00380B40">
        <w:rPr>
          <w:lang w:val="en-GB"/>
        </w:rPr>
        <w:t>7</w:t>
      </w:r>
      <w:r w:rsidRPr="00380B40">
        <w:rPr>
          <w:lang w:val="en-GB"/>
        </w:rPr>
        <w:tab/>
        <w:t xml:space="preserve">to encourage cooperation of regional groups of ITU-T study groups with regional standardization entities (regional telecommunication organizations, regional standardization bodies, and so forth), especially with the regional telecommunication organizations identified under </w:t>
      </w:r>
      <w:r w:rsidRPr="00380B40">
        <w:rPr>
          <w:i/>
          <w:iCs/>
          <w:lang w:val="en-GB"/>
        </w:rPr>
        <w:t>bearing in mind</w:t>
      </w:r>
      <w:r w:rsidRPr="00380B40">
        <w:rPr>
          <w:lang w:val="en-GB"/>
        </w:rPr>
        <w:t xml:space="preserve"> in this resolution, as well as the holding of meetings of regional groups of ITU-T study groups jointly with ITU workshops in the region,</w:t>
      </w:r>
    </w:p>
    <w:p w14:paraId="585B9E70" w14:textId="77777777" w:rsidR="004A0742" w:rsidRPr="00380B40" w:rsidRDefault="004A0742" w:rsidP="004A0742">
      <w:pPr>
        <w:pStyle w:val="Call"/>
        <w:rPr>
          <w:lang w:val="en-GB"/>
        </w:rPr>
      </w:pPr>
      <w:r w:rsidRPr="00380B40">
        <w:rPr>
          <w:lang w:val="en-GB"/>
        </w:rPr>
        <w:t xml:space="preserve">invites the regions and their Member States </w:t>
      </w:r>
    </w:p>
    <w:p w14:paraId="4DDA13B1" w14:textId="77777777" w:rsidR="004A0742" w:rsidRPr="00380B40" w:rsidRDefault="004A0742" w:rsidP="004A0742">
      <w:pPr>
        <w:rPr>
          <w:lang w:val="en-GB"/>
        </w:rPr>
      </w:pPr>
      <w:r w:rsidRPr="00380B40">
        <w:rPr>
          <w:lang w:val="en-GB"/>
        </w:rPr>
        <w:t>1</w:t>
      </w:r>
      <w:r w:rsidRPr="00380B40">
        <w:rPr>
          <w:lang w:val="en-GB"/>
        </w:rPr>
        <w:tab/>
        <w:t>to pursue the creation of regional groups of parent ITU</w:t>
      </w:r>
      <w:r w:rsidRPr="00380B40">
        <w:rPr>
          <w:lang w:val="en-GB"/>
        </w:rPr>
        <w:noBreakHyphen/>
        <w:t xml:space="preserve">T study groups in their respective regions, in accordance with </w:t>
      </w:r>
      <w:r w:rsidRPr="00380B40">
        <w:rPr>
          <w:i/>
          <w:iCs/>
          <w:lang w:val="en-GB"/>
        </w:rPr>
        <w:t>resolves</w:t>
      </w:r>
      <w:r w:rsidRPr="00380B40">
        <w:rPr>
          <w:lang w:val="en-GB"/>
        </w:rPr>
        <w:t xml:space="preserve"> of this resolution, and to support meetings and activities of the regional groups, as appropriate, in coordination with the Telecommunication Standardization Bureau; </w:t>
      </w:r>
    </w:p>
    <w:p w14:paraId="42325873" w14:textId="77777777" w:rsidR="004A0742" w:rsidRPr="00380B40" w:rsidRDefault="004A0742" w:rsidP="004A0742">
      <w:pPr>
        <w:rPr>
          <w:lang w:val="en-GB"/>
        </w:rPr>
      </w:pPr>
      <w:r w:rsidRPr="00380B40">
        <w:rPr>
          <w:lang w:val="en-GB"/>
        </w:rPr>
        <w:t>2</w:t>
      </w:r>
      <w:r w:rsidRPr="00380B40">
        <w:rPr>
          <w:lang w:val="en-GB"/>
        </w:rPr>
        <w:tab/>
        <w:t xml:space="preserve">to develop draft terms of reference and working methods for these regional groups, which are to be consistent with and approved by the parent study group, as regards areas of concern to them; </w:t>
      </w:r>
    </w:p>
    <w:p w14:paraId="207803E1" w14:textId="77777777" w:rsidR="0090426B" w:rsidRPr="00380B40" w:rsidRDefault="0090426B" w:rsidP="004A0742">
      <w:pPr>
        <w:rPr>
          <w:lang w:val="en-GB"/>
        </w:rPr>
      </w:pPr>
      <w:r w:rsidRPr="00380B40">
        <w:rPr>
          <w:lang w:val="en-GB"/>
        </w:rPr>
        <w:br w:type="page"/>
      </w:r>
    </w:p>
    <w:p w14:paraId="373988E2" w14:textId="77777777" w:rsidR="004A0742" w:rsidRPr="00380B40" w:rsidRDefault="004A0742" w:rsidP="004A0742">
      <w:pPr>
        <w:rPr>
          <w:lang w:val="en-GB"/>
        </w:rPr>
      </w:pPr>
      <w:r w:rsidRPr="00380B40">
        <w:rPr>
          <w:lang w:val="en-GB"/>
        </w:rPr>
        <w:t>3</w:t>
      </w:r>
      <w:r w:rsidRPr="00380B40">
        <w:rPr>
          <w:lang w:val="en-GB"/>
        </w:rPr>
        <w:tab/>
        <w:t>to create regional standardization bodies, as appropriate, and encourage joint and coordinated meetings of such bodies with the regional groups of ITU</w:t>
      </w:r>
      <w:r w:rsidRPr="00380B40">
        <w:rPr>
          <w:lang w:val="en-GB"/>
        </w:rPr>
        <w:noBreakHyphen/>
        <w:t>T study groups in their respective regions, so that these standardization bodies act as an umbrella for such regional group meetings; the regional group meetings should be held jointly with thematic ITU workshops being conducted in the region, whenever possible;</w:t>
      </w:r>
    </w:p>
    <w:p w14:paraId="35451E25" w14:textId="77777777" w:rsidR="004A0742" w:rsidRPr="00380B40" w:rsidRDefault="004A0742" w:rsidP="004A0742">
      <w:pPr>
        <w:rPr>
          <w:lang w:val="en-GB"/>
        </w:rPr>
      </w:pPr>
      <w:r w:rsidRPr="00380B40">
        <w:rPr>
          <w:lang w:val="en-GB"/>
        </w:rPr>
        <w:t>4</w:t>
      </w:r>
      <w:r w:rsidRPr="00380B40">
        <w:rPr>
          <w:lang w:val="en-GB"/>
        </w:rPr>
        <w:tab/>
        <w:t>to propose candidates for regional group chairmanships and vice-chairmanships;</w:t>
      </w:r>
    </w:p>
    <w:p w14:paraId="37A23554" w14:textId="77777777" w:rsidR="004A0742" w:rsidRPr="00380B40" w:rsidRDefault="004A0742" w:rsidP="004A0742">
      <w:pPr>
        <w:rPr>
          <w:lang w:val="en-GB"/>
        </w:rPr>
      </w:pPr>
      <w:r w:rsidRPr="00380B40">
        <w:rPr>
          <w:lang w:val="en-GB"/>
        </w:rPr>
        <w:t>5</w:t>
      </w:r>
      <w:r w:rsidRPr="00380B40">
        <w:rPr>
          <w:lang w:val="en-GB"/>
        </w:rPr>
        <w:tab/>
        <w:t>to encourage the candidacy of women for the regional group management positions;</w:t>
      </w:r>
    </w:p>
    <w:p w14:paraId="64E4A0B8" w14:textId="77777777" w:rsidR="004A0742" w:rsidRPr="00380B40" w:rsidRDefault="004A0742" w:rsidP="004A0742">
      <w:pPr>
        <w:rPr>
          <w:lang w:val="en-GB"/>
        </w:rPr>
      </w:pPr>
      <w:r w:rsidRPr="00380B40">
        <w:rPr>
          <w:rFonts w:asciiTheme="majorBidi" w:hAnsiTheme="majorBidi" w:cstheme="majorBidi"/>
          <w:szCs w:val="24"/>
          <w:lang w:val="en-GB"/>
        </w:rPr>
        <w:t>6</w:t>
      </w:r>
      <w:r w:rsidRPr="00380B40">
        <w:rPr>
          <w:rFonts w:asciiTheme="majorBidi" w:hAnsiTheme="majorBidi" w:cstheme="majorBidi"/>
          <w:szCs w:val="24"/>
          <w:lang w:val="en-GB"/>
        </w:rPr>
        <w:tab/>
      </w:r>
      <w:r w:rsidRPr="00380B40">
        <w:rPr>
          <w:lang w:val="en-GB"/>
        </w:rPr>
        <w:t>to encourage eligible ITU-T members from the respective region to participate in the meetings of their regional groups, and to consider terminating a regional group when it is no longer required,</w:t>
      </w:r>
    </w:p>
    <w:p w14:paraId="31F69E71" w14:textId="77777777" w:rsidR="004A0742" w:rsidRPr="00380B40" w:rsidRDefault="004A0742" w:rsidP="004A0742">
      <w:pPr>
        <w:pStyle w:val="Call"/>
        <w:rPr>
          <w:lang w:val="en-GB"/>
        </w:rPr>
      </w:pPr>
      <w:r w:rsidRPr="00380B40">
        <w:rPr>
          <w:lang w:val="en-GB"/>
        </w:rPr>
        <w:t>invites the regional groups thus created</w:t>
      </w:r>
    </w:p>
    <w:p w14:paraId="5D292898" w14:textId="77777777" w:rsidR="004A0742" w:rsidRPr="00380B40" w:rsidRDefault="004A0742" w:rsidP="004A0742">
      <w:pPr>
        <w:rPr>
          <w:lang w:val="en-GB"/>
        </w:rPr>
      </w:pPr>
      <w:r w:rsidRPr="00380B40">
        <w:rPr>
          <w:lang w:val="en-GB"/>
        </w:rPr>
        <w:t>1</w:t>
      </w:r>
      <w:r w:rsidRPr="00380B40">
        <w:rPr>
          <w:lang w:val="en-GB"/>
        </w:rPr>
        <w:tab/>
        <w:t>to disseminate information about telecommunication standardization and encourage the involvement of developing countries in standardization activities in their regions, and to submit written contributions to the parent study group in which they work in accordance with approved terms of reference reflecting the priorities of their respective regions;</w:t>
      </w:r>
    </w:p>
    <w:p w14:paraId="0F073D5E" w14:textId="77777777" w:rsidR="004A0742" w:rsidRPr="00380B40" w:rsidRDefault="004A0742" w:rsidP="004A0742">
      <w:pPr>
        <w:rPr>
          <w:lang w:val="en-GB"/>
        </w:rPr>
      </w:pPr>
      <w:r w:rsidRPr="00380B40">
        <w:rPr>
          <w:lang w:val="en-GB"/>
        </w:rPr>
        <w:t>2</w:t>
      </w:r>
      <w:r w:rsidRPr="00380B40">
        <w:rPr>
          <w:lang w:val="en-GB"/>
        </w:rPr>
        <w:tab/>
        <w:t>to cooperate closely with the relevant respective regional telecommunication organizations, standardization bodies and ITU regional offices, to create possible synergies and to report on their work in their regions to the relevant parent ITU-T study groups,</w:t>
      </w:r>
    </w:p>
    <w:p w14:paraId="23C9F313" w14:textId="77777777" w:rsidR="004A0742" w:rsidRPr="00380B40" w:rsidRDefault="004A0742" w:rsidP="004A0742">
      <w:pPr>
        <w:pStyle w:val="Call"/>
        <w:rPr>
          <w:lang w:val="en-GB"/>
        </w:rPr>
      </w:pPr>
      <w:r w:rsidRPr="00380B40">
        <w:rPr>
          <w:lang w:val="en-GB"/>
        </w:rPr>
        <w:t>instructs study groups and the Telecommunication Standardization Advisory Group</w:t>
      </w:r>
    </w:p>
    <w:p w14:paraId="157EF506" w14:textId="77777777" w:rsidR="004A0742" w:rsidRPr="00380B40" w:rsidRDefault="004A0742" w:rsidP="004A0742">
      <w:pPr>
        <w:rPr>
          <w:lang w:val="en-GB"/>
        </w:rPr>
      </w:pPr>
      <w:r w:rsidRPr="00380B40">
        <w:rPr>
          <w:lang w:val="en-GB"/>
        </w:rPr>
        <w:t>1</w:t>
      </w:r>
      <w:r w:rsidRPr="00380B40">
        <w:rPr>
          <w:lang w:val="en-GB"/>
        </w:rPr>
        <w:tab/>
        <w:t>to coordinate joint meetings of the regional groups of ITU</w:t>
      </w:r>
      <w:r w:rsidRPr="00380B40">
        <w:rPr>
          <w:lang w:val="en-GB"/>
        </w:rPr>
        <w:noBreakHyphen/>
        <w:t>T study groups;</w:t>
      </w:r>
    </w:p>
    <w:p w14:paraId="428AA7D8" w14:textId="77777777" w:rsidR="004A0742" w:rsidRPr="00380B40" w:rsidRDefault="004A0742" w:rsidP="004A0742">
      <w:pPr>
        <w:rPr>
          <w:lang w:val="en-GB"/>
        </w:rPr>
      </w:pPr>
      <w:r w:rsidRPr="00380B40">
        <w:rPr>
          <w:lang w:val="en-GB"/>
        </w:rPr>
        <w:t>2</w:t>
      </w:r>
      <w:r w:rsidRPr="00380B40">
        <w:rPr>
          <w:lang w:val="en-GB"/>
        </w:rPr>
        <w:tab/>
        <w:t>to consider and identify Questions of greatest interest to Member States and Sector Members from developing countries with a view to keeping them updated on the development of international standards in the context of the regional groups of ITU-T study groups,</w:t>
      </w:r>
    </w:p>
    <w:p w14:paraId="5C55D9F1" w14:textId="77777777" w:rsidR="004A0742" w:rsidRPr="00380B40" w:rsidRDefault="004A0742" w:rsidP="004A0742">
      <w:pPr>
        <w:pStyle w:val="Call"/>
        <w:rPr>
          <w:lang w:val="en-GB"/>
        </w:rPr>
      </w:pPr>
      <w:r w:rsidRPr="00380B40">
        <w:rPr>
          <w:lang w:val="en-GB"/>
        </w:rPr>
        <w:t>instructs the Director of the Telecommunication Standardization Bureau, in collaboration with the Director of the Telecommunication Development Bureau</w:t>
      </w:r>
    </w:p>
    <w:p w14:paraId="6496CF89" w14:textId="77777777" w:rsidR="004A0742" w:rsidRPr="00380B40" w:rsidRDefault="004A0742" w:rsidP="004A0742">
      <w:pPr>
        <w:rPr>
          <w:lang w:val="en-GB"/>
        </w:rPr>
      </w:pPr>
      <w:r w:rsidRPr="00380B40">
        <w:rPr>
          <w:lang w:val="en-GB"/>
        </w:rPr>
        <w:t xml:space="preserve">within the allocated or contributed resources that are available, </w:t>
      </w:r>
    </w:p>
    <w:p w14:paraId="08A4A492" w14:textId="77777777" w:rsidR="004A0742" w:rsidRPr="00380B40" w:rsidRDefault="004A0742" w:rsidP="004A0742">
      <w:pPr>
        <w:rPr>
          <w:lang w:val="en-GB"/>
        </w:rPr>
      </w:pPr>
      <w:r w:rsidRPr="00380B40">
        <w:rPr>
          <w:lang w:val="en-GB"/>
        </w:rPr>
        <w:t>1</w:t>
      </w:r>
      <w:r w:rsidRPr="00380B40">
        <w:rPr>
          <w:lang w:val="en-GB"/>
        </w:rPr>
        <w:tab/>
        <w:t>to provide all necessary support for creating and ensuring the smooth functioning of the regional groups of the ITU-T study groups;</w:t>
      </w:r>
    </w:p>
    <w:p w14:paraId="2F4A3ACC" w14:textId="77777777" w:rsidR="004A0742" w:rsidRPr="00380B40" w:rsidRDefault="004A0742" w:rsidP="004A0742">
      <w:pPr>
        <w:rPr>
          <w:lang w:val="en-GB"/>
        </w:rPr>
      </w:pPr>
      <w:r w:rsidRPr="00380B40">
        <w:rPr>
          <w:lang w:val="en-GB"/>
        </w:rPr>
        <w:t>2</w:t>
      </w:r>
      <w:r w:rsidRPr="00380B40">
        <w:rPr>
          <w:lang w:val="en-GB"/>
        </w:rPr>
        <w:tab/>
        <w:t>to consider, whenever possible, holding events (workshops, forums, seminars, training, etc.) concurrently with meetings of the ITU</w:t>
      </w:r>
      <w:r w:rsidRPr="00380B40">
        <w:rPr>
          <w:lang w:val="en-GB"/>
        </w:rPr>
        <w:noBreakHyphen/>
        <w:t>T regional groups, in the relevant regions, and vice versa;</w:t>
      </w:r>
    </w:p>
    <w:p w14:paraId="4DBE8212" w14:textId="77777777" w:rsidR="004A0742" w:rsidRPr="00380B40" w:rsidRDefault="004A0742" w:rsidP="004A0742">
      <w:pPr>
        <w:rPr>
          <w:lang w:val="en-GB"/>
        </w:rPr>
      </w:pPr>
      <w:r w:rsidRPr="00380B40">
        <w:rPr>
          <w:lang w:val="en-GB"/>
        </w:rPr>
        <w:t>3</w:t>
      </w:r>
      <w:r w:rsidRPr="00380B40">
        <w:rPr>
          <w:lang w:val="en-GB"/>
        </w:rPr>
        <w:tab/>
        <w:t>to take all necessary measures to facilitate the organization of meetings of the regional groups of ITU-T study groups and workshops in the relevant regions,</w:t>
      </w:r>
    </w:p>
    <w:p w14:paraId="2090BDD7" w14:textId="77777777" w:rsidR="0090426B" w:rsidRPr="00380B40" w:rsidRDefault="0090426B" w:rsidP="004A0742">
      <w:pPr>
        <w:pStyle w:val="Call"/>
        <w:rPr>
          <w:lang w:val="en-GB"/>
        </w:rPr>
      </w:pPr>
      <w:r w:rsidRPr="00380B40">
        <w:rPr>
          <w:lang w:val="en-GB"/>
        </w:rPr>
        <w:br w:type="page"/>
      </w:r>
    </w:p>
    <w:p w14:paraId="6BCF97A7" w14:textId="77777777" w:rsidR="004A0742" w:rsidRPr="00380B40" w:rsidRDefault="004A0742" w:rsidP="004A0742">
      <w:pPr>
        <w:pStyle w:val="Call"/>
        <w:rPr>
          <w:lang w:val="en-GB"/>
        </w:rPr>
      </w:pPr>
      <w:r w:rsidRPr="00380B40">
        <w:rPr>
          <w:lang w:val="en-GB"/>
        </w:rPr>
        <w:t>calls upon the Director of the Telecommunication Standardization Bureau</w:t>
      </w:r>
    </w:p>
    <w:p w14:paraId="15F9C480" w14:textId="77777777" w:rsidR="004A0742" w:rsidRPr="00380B40" w:rsidRDefault="004A0742" w:rsidP="004A0742">
      <w:pPr>
        <w:rPr>
          <w:lang w:val="en-GB"/>
        </w:rPr>
      </w:pPr>
      <w:r w:rsidRPr="00380B40">
        <w:rPr>
          <w:lang w:val="en-GB"/>
        </w:rPr>
        <w:t>to cooperate with the Director of the Telecommunication Development Bureau and with the Director of the Radiocommunication Bureau, as appropriate, in order to:</w:t>
      </w:r>
    </w:p>
    <w:p w14:paraId="29F42C75" w14:textId="77777777" w:rsidR="004A0742" w:rsidRPr="00380B40" w:rsidRDefault="004A0742" w:rsidP="004A0742">
      <w:pPr>
        <w:pStyle w:val="enumlev1"/>
        <w:rPr>
          <w:lang w:val="en-GB"/>
        </w:rPr>
      </w:pPr>
      <w:r w:rsidRPr="00380B40">
        <w:rPr>
          <w:lang w:val="en-GB"/>
        </w:rPr>
        <w:t>i)</w:t>
      </w:r>
      <w:r w:rsidRPr="00380B40">
        <w:rPr>
          <w:lang w:val="en-GB"/>
        </w:rPr>
        <w:tab/>
        <w:t>continue to provide specific assistance to regional groups of ITU-T study groups;</w:t>
      </w:r>
    </w:p>
    <w:p w14:paraId="175A42B2" w14:textId="77777777" w:rsidR="004A0742" w:rsidRPr="00380B40" w:rsidRDefault="004A0742" w:rsidP="004A0742">
      <w:pPr>
        <w:pStyle w:val="enumlev1"/>
        <w:rPr>
          <w:lang w:val="en-GB"/>
        </w:rPr>
      </w:pPr>
      <w:r w:rsidRPr="00380B40">
        <w:rPr>
          <w:lang w:val="en-GB"/>
        </w:rPr>
        <w:t>ii)</w:t>
      </w:r>
      <w:r w:rsidRPr="00380B40">
        <w:rPr>
          <w:lang w:val="en-GB"/>
        </w:rPr>
        <w:tab/>
        <w:t>encourage the use of electronic working methods to assist the members of the regional groups;</w:t>
      </w:r>
    </w:p>
    <w:p w14:paraId="7CBD775C" w14:textId="77777777" w:rsidR="004A0742" w:rsidRPr="00380B40" w:rsidRDefault="004A0742" w:rsidP="004A0742">
      <w:pPr>
        <w:pStyle w:val="enumlev1"/>
        <w:rPr>
          <w:lang w:val="en-GB"/>
        </w:rPr>
      </w:pPr>
      <w:r w:rsidRPr="00380B40">
        <w:rPr>
          <w:lang w:val="en-GB"/>
        </w:rPr>
        <w:t>iii)</w:t>
      </w:r>
      <w:r w:rsidRPr="00380B40">
        <w:rPr>
          <w:lang w:val="en-GB"/>
        </w:rPr>
        <w:tab/>
        <w:t>take appropriate steps to facilitate meetings of regional groups in order to promote the necessary synergies among the three Sectors and thereby improve the effectiveness and efficiency of the study groups.</w:t>
      </w:r>
    </w:p>
    <w:p w14:paraId="0B98F651" w14:textId="77777777" w:rsidR="0090426B" w:rsidRPr="00380B40" w:rsidRDefault="0090426B" w:rsidP="004A0742">
      <w:pPr>
        <w:pStyle w:val="enumlev1"/>
        <w:rPr>
          <w:lang w:val="en-GB"/>
        </w:rPr>
      </w:pPr>
    </w:p>
    <w:p w14:paraId="062E3880" w14:textId="77777777" w:rsidR="0090426B" w:rsidRPr="00380B40" w:rsidRDefault="0090426B" w:rsidP="004A0742">
      <w:pPr>
        <w:pStyle w:val="enumlev1"/>
        <w:rPr>
          <w:lang w:val="en-GB"/>
        </w:rPr>
      </w:pPr>
    </w:p>
    <w:p w14:paraId="363A4D62" w14:textId="77777777" w:rsidR="0090426B" w:rsidRPr="00380B40" w:rsidRDefault="0090426B" w:rsidP="004A0742">
      <w:pPr>
        <w:pStyle w:val="enumlev1"/>
        <w:rPr>
          <w:lang w:val="en-GB"/>
        </w:rPr>
      </w:pPr>
    </w:p>
    <w:p w14:paraId="75B77BFE" w14:textId="77777777" w:rsidR="0090426B" w:rsidRPr="00380B40" w:rsidRDefault="0090426B" w:rsidP="004A0742">
      <w:pPr>
        <w:pStyle w:val="enumlev1"/>
        <w:rPr>
          <w:lang w:val="en-GB"/>
        </w:rPr>
      </w:pPr>
    </w:p>
    <w:p w14:paraId="1B1CC5D9" w14:textId="77777777" w:rsidR="0090426B" w:rsidRPr="00380B40" w:rsidRDefault="0090426B" w:rsidP="004A0742">
      <w:pPr>
        <w:pStyle w:val="enumlev1"/>
        <w:rPr>
          <w:lang w:val="en-GB"/>
        </w:rPr>
      </w:pPr>
    </w:p>
    <w:p w14:paraId="39DED200" w14:textId="77777777" w:rsidR="0090426B" w:rsidRPr="00380B40" w:rsidRDefault="0090426B" w:rsidP="004A0742">
      <w:pPr>
        <w:pStyle w:val="enumlev1"/>
        <w:rPr>
          <w:lang w:val="en-GB"/>
        </w:rPr>
      </w:pPr>
    </w:p>
    <w:p w14:paraId="342B1E5F" w14:textId="77777777" w:rsidR="0090426B" w:rsidRPr="00380B40" w:rsidRDefault="0090426B" w:rsidP="004A0742">
      <w:pPr>
        <w:pStyle w:val="enumlev1"/>
        <w:rPr>
          <w:lang w:val="en-GB"/>
        </w:rPr>
      </w:pPr>
    </w:p>
    <w:p w14:paraId="7538EA37" w14:textId="77777777" w:rsidR="0090426B" w:rsidRPr="00380B40" w:rsidRDefault="0090426B" w:rsidP="004A0742">
      <w:pPr>
        <w:pStyle w:val="enumlev1"/>
        <w:rPr>
          <w:lang w:val="en-GB"/>
        </w:rPr>
      </w:pPr>
    </w:p>
    <w:p w14:paraId="237E39AB" w14:textId="77777777" w:rsidR="0090426B" w:rsidRPr="00380B40" w:rsidRDefault="0090426B" w:rsidP="004A0742">
      <w:pPr>
        <w:pStyle w:val="enumlev1"/>
        <w:rPr>
          <w:lang w:val="en-GB"/>
        </w:rPr>
      </w:pPr>
    </w:p>
    <w:p w14:paraId="3C7707FF" w14:textId="77777777" w:rsidR="0090426B" w:rsidRPr="00380B40" w:rsidRDefault="0090426B" w:rsidP="004A0742">
      <w:pPr>
        <w:pStyle w:val="enumlev1"/>
        <w:rPr>
          <w:lang w:val="en-GB"/>
        </w:rPr>
      </w:pPr>
    </w:p>
    <w:p w14:paraId="3D7AA84A" w14:textId="77777777" w:rsidR="0090426B" w:rsidRPr="00380B40" w:rsidRDefault="0090426B" w:rsidP="004A0742">
      <w:pPr>
        <w:pStyle w:val="enumlev1"/>
        <w:rPr>
          <w:lang w:val="en-GB"/>
        </w:rPr>
      </w:pPr>
    </w:p>
    <w:p w14:paraId="2596F2E1" w14:textId="77777777" w:rsidR="0090426B" w:rsidRPr="00380B40" w:rsidRDefault="0090426B" w:rsidP="004A0742">
      <w:pPr>
        <w:pStyle w:val="enumlev1"/>
        <w:rPr>
          <w:lang w:val="en-GB"/>
        </w:rPr>
      </w:pPr>
    </w:p>
    <w:p w14:paraId="2AF06CF8" w14:textId="77777777" w:rsidR="0090426B" w:rsidRPr="00380B40" w:rsidRDefault="0090426B" w:rsidP="004A0742">
      <w:pPr>
        <w:pStyle w:val="enumlev1"/>
        <w:rPr>
          <w:lang w:val="en-GB"/>
        </w:rPr>
      </w:pPr>
    </w:p>
    <w:p w14:paraId="649127A7" w14:textId="77777777" w:rsidR="0090426B" w:rsidRPr="00380B40" w:rsidRDefault="0090426B" w:rsidP="004A0742">
      <w:pPr>
        <w:pStyle w:val="enumlev1"/>
        <w:rPr>
          <w:lang w:val="en-GB"/>
        </w:rPr>
      </w:pPr>
    </w:p>
    <w:p w14:paraId="2FAB2F66" w14:textId="77777777" w:rsidR="0090426B" w:rsidRPr="00380B40" w:rsidRDefault="0090426B" w:rsidP="004A0742">
      <w:pPr>
        <w:pStyle w:val="enumlev1"/>
        <w:rPr>
          <w:lang w:val="en-GB"/>
        </w:rPr>
      </w:pPr>
    </w:p>
    <w:p w14:paraId="55462DF3" w14:textId="77777777" w:rsidR="0090426B" w:rsidRPr="00380B40" w:rsidRDefault="0090426B" w:rsidP="004A0742">
      <w:pPr>
        <w:pStyle w:val="enumlev1"/>
        <w:rPr>
          <w:lang w:val="en-GB"/>
        </w:rPr>
      </w:pPr>
    </w:p>
    <w:p w14:paraId="005DB193" w14:textId="77777777" w:rsidR="00A97332" w:rsidRPr="00380B40" w:rsidRDefault="00A97332" w:rsidP="00A97332">
      <w:pPr>
        <w:rPr>
          <w:lang w:val="en-GB"/>
        </w:rPr>
      </w:pPr>
    </w:p>
    <w:p w14:paraId="25721644" w14:textId="77777777" w:rsidR="00A97332" w:rsidRPr="00380B40" w:rsidRDefault="00A97332" w:rsidP="00A97332">
      <w:pPr>
        <w:rPr>
          <w:lang w:val="en-GB"/>
        </w:rPr>
        <w:sectPr w:rsidR="00A97332" w:rsidRPr="00380B40" w:rsidSect="00F738B7">
          <w:headerReference w:type="even" r:id="rId135"/>
          <w:headerReference w:type="default" r:id="rId136"/>
          <w:footerReference w:type="even" r:id="rId137"/>
          <w:footerReference w:type="default" r:id="rId138"/>
          <w:headerReference w:type="first" r:id="rId139"/>
          <w:footerReference w:type="first" r:id="rId140"/>
          <w:footnotePr>
            <w:numRestart w:val="eachSect"/>
          </w:footnotePr>
          <w:pgSz w:w="11907" w:h="16834" w:code="9"/>
          <w:pgMar w:top="1134" w:right="1134" w:bottom="1134" w:left="1134" w:header="567" w:footer="567" w:gutter="0"/>
          <w:paperSrc w:first="15" w:other="15"/>
          <w:cols w:space="720"/>
          <w:vAlign w:val="both"/>
          <w:docGrid w:linePitch="299"/>
        </w:sectPr>
      </w:pPr>
    </w:p>
    <w:p w14:paraId="24CCFB95" w14:textId="77777777" w:rsidR="004A3010" w:rsidRPr="00380B40" w:rsidRDefault="004A3010" w:rsidP="004A0742">
      <w:pPr>
        <w:pStyle w:val="ResNo"/>
        <w:rPr>
          <w:lang w:val="en-GB"/>
        </w:rPr>
      </w:pPr>
      <w:bookmarkStart w:id="227" w:name="_Toc104459733"/>
      <w:bookmarkStart w:id="228" w:name="_Toc104476541"/>
      <w:bookmarkStart w:id="229" w:name="_Toc111636778"/>
      <w:bookmarkStart w:id="230" w:name="_Toc111638434"/>
      <w:r w:rsidRPr="00380B40">
        <w:rPr>
          <w:lang w:val="en-GB"/>
        </w:rPr>
        <w:t xml:space="preserve">RESOLUTION </w:t>
      </w:r>
      <w:r w:rsidRPr="00380B40">
        <w:rPr>
          <w:rStyle w:val="href"/>
          <w:lang w:val="en-GB"/>
        </w:rPr>
        <w:t>55</w:t>
      </w:r>
      <w:r w:rsidRPr="00380B40">
        <w:rPr>
          <w:lang w:val="en-GB"/>
        </w:rPr>
        <w:t xml:space="preserve"> </w:t>
      </w:r>
      <w:r w:rsidR="004A0742" w:rsidRPr="00380B40">
        <w:rPr>
          <w:lang w:val="en-GB"/>
        </w:rPr>
        <w:t>(R</w:t>
      </w:r>
      <w:r w:rsidR="00160E13" w:rsidRPr="00380B40">
        <w:rPr>
          <w:caps w:val="0"/>
          <w:lang w:val="en-GB"/>
        </w:rPr>
        <w:t>ev</w:t>
      </w:r>
      <w:r w:rsidR="004A0742" w:rsidRPr="00380B40">
        <w:rPr>
          <w:lang w:val="en-GB"/>
        </w:rPr>
        <w:t>. G</w:t>
      </w:r>
      <w:r w:rsidR="00160E13" w:rsidRPr="00380B40">
        <w:rPr>
          <w:caps w:val="0"/>
          <w:lang w:val="en-GB"/>
        </w:rPr>
        <w:t>eneva</w:t>
      </w:r>
      <w:r w:rsidR="004A0742" w:rsidRPr="00380B40">
        <w:rPr>
          <w:lang w:val="en-GB"/>
        </w:rPr>
        <w:t>, 2022)</w:t>
      </w:r>
      <w:bookmarkEnd w:id="227"/>
      <w:bookmarkEnd w:id="228"/>
      <w:bookmarkEnd w:id="229"/>
      <w:bookmarkEnd w:id="230"/>
    </w:p>
    <w:p w14:paraId="66DC52ED" w14:textId="77777777" w:rsidR="004A0742" w:rsidRPr="00380B40" w:rsidRDefault="004A0742" w:rsidP="004A0742">
      <w:pPr>
        <w:pStyle w:val="Restitle"/>
        <w:rPr>
          <w:lang w:val="en-GB"/>
        </w:rPr>
      </w:pPr>
      <w:bookmarkStart w:id="231" w:name="_Toc104459734"/>
      <w:bookmarkStart w:id="232" w:name="_Toc104476542"/>
      <w:bookmarkStart w:id="233" w:name="_Toc111638435"/>
      <w:r w:rsidRPr="00380B40">
        <w:rPr>
          <w:lang w:val="en-GB"/>
        </w:rPr>
        <w:t xml:space="preserve">Promoting gender equality in ITU Telecommunication </w:t>
      </w:r>
      <w:r w:rsidRPr="00380B40">
        <w:rPr>
          <w:lang w:val="en-GB"/>
        </w:rPr>
        <w:br/>
        <w:t>Standardization Sector activities</w:t>
      </w:r>
      <w:bookmarkEnd w:id="231"/>
      <w:bookmarkEnd w:id="232"/>
      <w:bookmarkEnd w:id="233"/>
    </w:p>
    <w:p w14:paraId="2D663919" w14:textId="77777777" w:rsidR="004A0742" w:rsidRPr="00380B40" w:rsidRDefault="004A0742" w:rsidP="004A0742">
      <w:pPr>
        <w:pStyle w:val="Resref"/>
        <w:rPr>
          <w:lang w:val="en-GB"/>
        </w:rPr>
      </w:pPr>
      <w:r w:rsidRPr="00380B40">
        <w:rPr>
          <w:lang w:val="en-GB"/>
        </w:rPr>
        <w:t>(Florianópolis, 2004; Johannesburg, 2008; Dubai, 2012; Hammamet, 2016; Geneva, 2022)</w:t>
      </w:r>
    </w:p>
    <w:p w14:paraId="45A9363E" w14:textId="77777777" w:rsidR="004A0742" w:rsidRPr="00380B40" w:rsidRDefault="004A0742" w:rsidP="004A0742">
      <w:pPr>
        <w:pStyle w:val="Normalaftertitle0"/>
      </w:pPr>
      <w:r w:rsidRPr="00380B40">
        <w:t>The World Telecommunication Standardization Assembly (Geneva, 2022),</w:t>
      </w:r>
    </w:p>
    <w:p w14:paraId="0792D147" w14:textId="77777777" w:rsidR="004A0742" w:rsidRPr="00380B40" w:rsidRDefault="004A0742" w:rsidP="004A0742">
      <w:pPr>
        <w:pStyle w:val="Call"/>
        <w:rPr>
          <w:lang w:val="en-GB"/>
        </w:rPr>
      </w:pPr>
      <w:r w:rsidRPr="00380B40">
        <w:rPr>
          <w:lang w:val="en-GB"/>
        </w:rPr>
        <w:t>considering</w:t>
      </w:r>
    </w:p>
    <w:p w14:paraId="267341B9" w14:textId="77777777" w:rsidR="004A0742" w:rsidRPr="00380B40" w:rsidRDefault="004A0742" w:rsidP="004A0742">
      <w:pPr>
        <w:rPr>
          <w:lang w:val="en-GB"/>
        </w:rPr>
      </w:pPr>
      <w:r w:rsidRPr="00380B40">
        <w:rPr>
          <w:i/>
          <w:iCs/>
          <w:lang w:val="en-GB"/>
        </w:rPr>
        <w:t>a)</w:t>
      </w:r>
      <w:r w:rsidRPr="00380B40">
        <w:rPr>
          <w:lang w:val="en-GB"/>
        </w:rPr>
        <w:tab/>
        <w:t xml:space="preserve">that while standardization plays an important role in globalization and the effective development of information and communication technologies (ICTs), statistically very few women participate in international standardization processes; </w:t>
      </w:r>
    </w:p>
    <w:p w14:paraId="2EAD2123" w14:textId="77777777" w:rsidR="004A0742" w:rsidRPr="00380B40" w:rsidRDefault="004A0742" w:rsidP="004A0742">
      <w:pPr>
        <w:rPr>
          <w:lang w:val="en-GB"/>
        </w:rPr>
      </w:pPr>
      <w:r w:rsidRPr="00380B40">
        <w:rPr>
          <w:i/>
          <w:iCs/>
          <w:lang w:val="en-GB"/>
        </w:rPr>
        <w:t>b)</w:t>
      </w:r>
      <w:r w:rsidRPr="00380B40">
        <w:rPr>
          <w:lang w:val="en-GB"/>
        </w:rPr>
        <w:tab/>
        <w:t>that the standardization work of ITU Telecommunication Standardization Sector (ITU</w:t>
      </w:r>
      <w:r w:rsidRPr="00380B40">
        <w:rPr>
          <w:lang w:val="en-GB"/>
        </w:rPr>
        <w:noBreakHyphen/>
        <w:t>T) can be advanced most effectively through the active inclusion of women;</w:t>
      </w:r>
    </w:p>
    <w:p w14:paraId="42DD07C4" w14:textId="77777777" w:rsidR="004A0742" w:rsidRPr="00380B40" w:rsidRDefault="004A0742" w:rsidP="004A0742">
      <w:pPr>
        <w:rPr>
          <w:lang w:val="en-GB"/>
        </w:rPr>
      </w:pPr>
      <w:r w:rsidRPr="00380B40">
        <w:rPr>
          <w:i/>
          <w:iCs/>
          <w:lang w:val="en-GB"/>
        </w:rPr>
        <w:t>c)</w:t>
      </w:r>
      <w:r w:rsidRPr="00380B40">
        <w:rPr>
          <w:lang w:val="en-GB"/>
        </w:rPr>
        <w:tab/>
        <w:t>that there is a need to ensure that women participate actively and meaningfully in all ITU</w:t>
      </w:r>
      <w:r w:rsidRPr="00380B40">
        <w:rPr>
          <w:lang w:val="en-GB"/>
        </w:rPr>
        <w:noBreakHyphen/>
        <w:t xml:space="preserve">T activities; </w:t>
      </w:r>
    </w:p>
    <w:p w14:paraId="347FD20E" w14:textId="77777777" w:rsidR="004A0742" w:rsidRPr="00380B40" w:rsidRDefault="004A0742" w:rsidP="004A0742">
      <w:pPr>
        <w:rPr>
          <w:lang w:val="en-GB"/>
        </w:rPr>
      </w:pPr>
      <w:r w:rsidRPr="00380B40">
        <w:rPr>
          <w:i/>
          <w:iCs/>
          <w:lang w:val="en-GB"/>
        </w:rPr>
        <w:t>d)</w:t>
      </w:r>
      <w:r w:rsidRPr="00380B40">
        <w:rPr>
          <w:lang w:val="en-GB"/>
        </w:rPr>
        <w:tab/>
        <w:t xml:space="preserve">that the Telecommunication Standardization Bureau (TSB) has established the ITU Women in Standardization Expert Group (WISE), launched at the meeting of the Telecommunication Standardization Advisory Group (TSAG) in February 2016, dedicated to promoting women in standardization, telecommunications/ICTs and related fields and to recognize the men and women who have made a remarkable contribution in promoting the work of women in these fields, </w:t>
      </w:r>
    </w:p>
    <w:p w14:paraId="26AA337C" w14:textId="77777777" w:rsidR="004A0742" w:rsidRPr="00380B40" w:rsidRDefault="004A0742" w:rsidP="004A0742">
      <w:pPr>
        <w:pStyle w:val="Call"/>
        <w:rPr>
          <w:lang w:val="en-GB"/>
        </w:rPr>
      </w:pPr>
      <w:r w:rsidRPr="00380B40">
        <w:rPr>
          <w:lang w:val="en-GB"/>
        </w:rPr>
        <w:t>noting</w:t>
      </w:r>
    </w:p>
    <w:p w14:paraId="6A85F210" w14:textId="77777777" w:rsidR="004A0742" w:rsidRPr="00380B40" w:rsidRDefault="004A0742" w:rsidP="004A0742">
      <w:pPr>
        <w:rPr>
          <w:lang w:val="en-GB"/>
        </w:rPr>
      </w:pPr>
      <w:r w:rsidRPr="00380B40">
        <w:rPr>
          <w:i/>
          <w:iCs/>
          <w:lang w:val="en-GB"/>
        </w:rPr>
        <w:t>a)</w:t>
      </w:r>
      <w:r w:rsidRPr="00380B40">
        <w:rPr>
          <w:lang w:val="en-GB"/>
        </w:rPr>
        <w:tab/>
        <w:t>that ITU has adopted a Gender Equality and Mainstreaming (GEM) Policy, with the aim of becoming a model organization for gender equality that leverages the power of telecommunications/ICTs to empower both women and men;</w:t>
      </w:r>
    </w:p>
    <w:p w14:paraId="2FA43DBC" w14:textId="77777777" w:rsidR="004A0742" w:rsidRPr="00380B40" w:rsidRDefault="004A0742" w:rsidP="004A0742">
      <w:pPr>
        <w:rPr>
          <w:lang w:val="en-GB"/>
        </w:rPr>
      </w:pPr>
      <w:r w:rsidRPr="00380B40">
        <w:rPr>
          <w:i/>
          <w:iCs/>
          <w:lang w:val="en-GB"/>
        </w:rPr>
        <w:t>b)</w:t>
      </w:r>
      <w:r w:rsidRPr="00380B40">
        <w:rPr>
          <w:lang w:val="en-GB"/>
        </w:rPr>
        <w:tab/>
        <w:t>the progress made by ITU in raising awareness on gender issues, specifically over the last decade, in increasing women's participation in and contribution to international forums, in studies, projects and training, and in the establishment of an internal Gender Task Force, as well as the successful establishment by ITU of an international "Girls in ICT" day to be held every year on the fourth Thursday of April;</w:t>
      </w:r>
    </w:p>
    <w:p w14:paraId="4AE11AAE" w14:textId="77777777" w:rsidR="004A0742" w:rsidRPr="00380B40" w:rsidRDefault="004A0742" w:rsidP="004A0742">
      <w:pPr>
        <w:rPr>
          <w:lang w:val="en-GB"/>
        </w:rPr>
      </w:pPr>
      <w:r w:rsidRPr="00380B40">
        <w:rPr>
          <w:i/>
          <w:iCs/>
          <w:lang w:val="en-GB"/>
        </w:rPr>
        <w:t>c)</w:t>
      </w:r>
      <w:r w:rsidRPr="00380B40">
        <w:rPr>
          <w:lang w:val="en-GB"/>
        </w:rPr>
        <w:tab/>
        <w:t>the Gender Declaration approved at the World Radiocommunication Conference (Sharm El-Sheikh, 2019), which declared the commitment of the ITU Radiocommunication Sector to gender equality and balance, and which also declared that ITU Member States and Sector Members should encourage the adoption of proven measures to increase globally the number of women pursuing academic degrees at all levels in science, technology, engineering and mathematics (STEM) fields, particularly those related to ICTs;</w:t>
      </w:r>
    </w:p>
    <w:p w14:paraId="38C966B2" w14:textId="77777777" w:rsidR="000110BB" w:rsidRPr="00380B40" w:rsidRDefault="000110BB" w:rsidP="004A0742">
      <w:pPr>
        <w:rPr>
          <w:i/>
          <w:lang w:val="en-GB"/>
        </w:rPr>
      </w:pPr>
      <w:r w:rsidRPr="00380B40">
        <w:rPr>
          <w:i/>
          <w:lang w:val="en-GB"/>
        </w:rPr>
        <w:br w:type="page"/>
      </w:r>
    </w:p>
    <w:p w14:paraId="21757A35" w14:textId="77777777" w:rsidR="004A0742" w:rsidRPr="00380B40" w:rsidRDefault="004A0742" w:rsidP="004A0742">
      <w:pPr>
        <w:rPr>
          <w:lang w:val="en-GB"/>
        </w:rPr>
      </w:pPr>
      <w:r w:rsidRPr="00380B40">
        <w:rPr>
          <w:i/>
          <w:lang w:val="en-GB"/>
        </w:rPr>
        <w:t>d)</w:t>
      </w:r>
      <w:r w:rsidRPr="00380B40">
        <w:rPr>
          <w:i/>
          <w:lang w:val="en-GB"/>
        </w:rPr>
        <w:tab/>
      </w:r>
      <w:r w:rsidRPr="00380B40">
        <w:rPr>
          <w:lang w:val="en-GB"/>
        </w:rPr>
        <w:t>Resolution 70 (Rev. Dubai, 2018) of the Plenipotentiary Conference, on gender mainstreaming in ITU and promotion of gender equality and the empowerment of women through ICTs;</w:t>
      </w:r>
    </w:p>
    <w:p w14:paraId="32DDF7EE" w14:textId="77777777" w:rsidR="004A0742" w:rsidRPr="00380B40" w:rsidRDefault="004A0742" w:rsidP="004A0742">
      <w:pPr>
        <w:rPr>
          <w:lang w:val="en-GB"/>
        </w:rPr>
      </w:pPr>
      <w:r w:rsidRPr="00380B40">
        <w:rPr>
          <w:i/>
          <w:iCs/>
          <w:lang w:val="en-GB"/>
        </w:rPr>
        <w:t>e)</w:t>
      </w:r>
      <w:r w:rsidRPr="00380B40">
        <w:rPr>
          <w:i/>
          <w:iCs/>
          <w:lang w:val="en-GB"/>
        </w:rPr>
        <w:tab/>
      </w:r>
      <w:r w:rsidRPr="00380B40">
        <w:rPr>
          <w:lang w:val="en-GB"/>
        </w:rPr>
        <w:t>Resolution 48 (Rev. Dubai, 2018) of the Plenipotentiary Conference, on human resources management and development and, in particular, its Annex 2, on facilitating the recruitment of women at ITU;</w:t>
      </w:r>
    </w:p>
    <w:p w14:paraId="087D338A" w14:textId="77777777" w:rsidR="004A0742" w:rsidRPr="00380B40" w:rsidRDefault="004A0742" w:rsidP="004A0742">
      <w:pPr>
        <w:rPr>
          <w:i/>
          <w:iCs/>
          <w:lang w:val="en-GB"/>
        </w:rPr>
      </w:pPr>
      <w:r w:rsidRPr="00380B40">
        <w:rPr>
          <w:i/>
          <w:iCs/>
          <w:lang w:val="en-GB"/>
        </w:rPr>
        <w:t>f)</w:t>
      </w:r>
      <w:r w:rsidRPr="00380B40">
        <w:rPr>
          <w:lang w:val="en-GB"/>
        </w:rPr>
        <w:tab/>
        <w:t xml:space="preserve">Resolution 55 (Rev. Buenos Aires, 2017) of the World Telecommunication Development Conference, on mainstreaming a gender perspective for an inclusive and egalitarian information society; </w:t>
      </w:r>
    </w:p>
    <w:p w14:paraId="462EF2F3" w14:textId="77777777" w:rsidR="004A0742" w:rsidRPr="00380B40" w:rsidRDefault="004A0742" w:rsidP="004A0742">
      <w:pPr>
        <w:rPr>
          <w:lang w:val="en-GB"/>
        </w:rPr>
      </w:pPr>
      <w:r w:rsidRPr="00380B40">
        <w:rPr>
          <w:i/>
          <w:iCs/>
          <w:lang w:val="en-GB"/>
        </w:rPr>
        <w:t>g)</w:t>
      </w:r>
      <w:r w:rsidRPr="00380B40">
        <w:rPr>
          <w:lang w:val="en-GB"/>
        </w:rPr>
        <w:tab/>
        <w:t>Resolution 1187, adopted by the ITU Council at its 2001 session, on a gender perspective in ITU human resources management, policy and practice, which requests the Secretary-General to allocate appropriate resources, within existing budgetary limits, to establish a gender unit with full-time dedicated staff;</w:t>
      </w:r>
    </w:p>
    <w:p w14:paraId="122B2880" w14:textId="77777777" w:rsidR="004A0742" w:rsidRPr="00380B40" w:rsidRDefault="004A0742" w:rsidP="004A0742">
      <w:pPr>
        <w:rPr>
          <w:lang w:val="en-GB"/>
        </w:rPr>
      </w:pPr>
      <w:r w:rsidRPr="00380B40">
        <w:rPr>
          <w:i/>
          <w:iCs/>
          <w:lang w:val="en-GB"/>
        </w:rPr>
        <w:t>h)</w:t>
      </w:r>
      <w:r w:rsidRPr="00380B40">
        <w:rPr>
          <w:lang w:val="en-GB"/>
        </w:rPr>
        <w:tab/>
        <w:t>Resolution 1327, adopted by the Council at its 2011 session, on ITU's role in ICTs and the empowerment of women and girls;</w:t>
      </w:r>
    </w:p>
    <w:p w14:paraId="1CBD7046" w14:textId="77777777" w:rsidR="004A0742" w:rsidRPr="00380B40" w:rsidRDefault="004A0742" w:rsidP="004A0742">
      <w:pPr>
        <w:rPr>
          <w:lang w:val="en-GB"/>
        </w:rPr>
      </w:pPr>
      <w:r w:rsidRPr="00380B40">
        <w:rPr>
          <w:i/>
          <w:iCs/>
          <w:lang w:val="en-GB"/>
        </w:rPr>
        <w:t>i)</w:t>
      </w:r>
      <w:r w:rsidRPr="00380B40">
        <w:rPr>
          <w:lang w:val="en-GB"/>
        </w:rPr>
        <w:tab/>
        <w:t>that the Secretary-General has issued an updated ITU English Language Style Guide, which addresses the use of non-discriminatory language;</w:t>
      </w:r>
    </w:p>
    <w:p w14:paraId="2A88E2A1" w14:textId="77777777" w:rsidR="004A0742" w:rsidRPr="00380B40" w:rsidRDefault="004A0742" w:rsidP="004A0742">
      <w:pPr>
        <w:rPr>
          <w:lang w:val="en-GB"/>
        </w:rPr>
      </w:pPr>
      <w:r w:rsidRPr="00380B40">
        <w:rPr>
          <w:i/>
          <w:iCs/>
          <w:lang w:val="en-GB"/>
        </w:rPr>
        <w:t>j)</w:t>
      </w:r>
      <w:r w:rsidRPr="00380B40">
        <w:rPr>
          <w:lang w:val="en-GB"/>
        </w:rPr>
        <w:tab/>
        <w:t>that ITU, in its strategic plan, includes gender issues with a view to debating and exchanging ideas to define, throughout the organization, a concrete action plan with deadlines and goals;</w:t>
      </w:r>
    </w:p>
    <w:p w14:paraId="606B12FA" w14:textId="77777777" w:rsidR="004A0742" w:rsidRPr="00380B40" w:rsidRDefault="004A0742" w:rsidP="004A0742">
      <w:pPr>
        <w:rPr>
          <w:lang w:val="en-GB"/>
        </w:rPr>
      </w:pPr>
      <w:r w:rsidRPr="00380B40">
        <w:rPr>
          <w:i/>
          <w:iCs/>
          <w:lang w:val="en-GB"/>
        </w:rPr>
        <w:t>k)</w:t>
      </w:r>
      <w:r w:rsidRPr="00380B40">
        <w:rPr>
          <w:lang w:val="en-GB"/>
        </w:rPr>
        <w:tab/>
        <w:t>the ITU</w:t>
      </w:r>
      <w:r w:rsidRPr="00380B40">
        <w:rPr>
          <w:lang w:val="en-GB"/>
        </w:rPr>
        <w:noBreakHyphen/>
        <w:t>UN Women Gender Equality and Mainstreaming – Technology (GEM-TECH) awards, which celebrate exceptional personal or institutional achievement and innovative strategies that harness ICTs for women's empowerment;</w:t>
      </w:r>
    </w:p>
    <w:p w14:paraId="06C3EE85" w14:textId="77777777" w:rsidR="004A0742" w:rsidRPr="00380B40" w:rsidRDefault="004A0742" w:rsidP="004A0742">
      <w:pPr>
        <w:rPr>
          <w:lang w:val="en-GB"/>
        </w:rPr>
      </w:pPr>
      <w:r w:rsidRPr="00380B40">
        <w:rPr>
          <w:i/>
          <w:iCs/>
          <w:lang w:val="en-GB"/>
        </w:rPr>
        <w:t>l)</w:t>
      </w:r>
      <w:r w:rsidRPr="00380B40">
        <w:rPr>
          <w:lang w:val="en-GB"/>
        </w:rPr>
        <w:tab/>
        <w:t>the recommendation in the 2016 United Nations Joint Inspection Unit report that the "Secretary-General present to the Council for endorsement at its 2017 session an action plan to complement the Gender Equality and Mainstreaming Policy, with specific targets, indicative timelines and monitoring measures to improve gender balance, especially at senior management levels, within each component of the Union, and report annually to the Council on its implementation",</w:t>
      </w:r>
    </w:p>
    <w:p w14:paraId="25A214CC" w14:textId="77777777" w:rsidR="004A0742" w:rsidRPr="00380B40" w:rsidRDefault="004A0742" w:rsidP="004A0742">
      <w:pPr>
        <w:pStyle w:val="Call"/>
        <w:rPr>
          <w:lang w:val="en-GB"/>
        </w:rPr>
      </w:pPr>
      <w:r w:rsidRPr="00380B40">
        <w:rPr>
          <w:lang w:val="en-GB"/>
        </w:rPr>
        <w:t>recalling</w:t>
      </w:r>
    </w:p>
    <w:p w14:paraId="56049D97" w14:textId="77777777" w:rsidR="004A0742" w:rsidRPr="00380B40" w:rsidRDefault="004A0742" w:rsidP="004A0742">
      <w:pPr>
        <w:rPr>
          <w:lang w:val="en-GB"/>
        </w:rPr>
      </w:pPr>
      <w:r w:rsidRPr="00380B40">
        <w:rPr>
          <w:i/>
          <w:iCs/>
          <w:lang w:val="en-GB"/>
        </w:rPr>
        <w:t>a)</w:t>
      </w:r>
      <w:r w:rsidRPr="00380B40">
        <w:rPr>
          <w:lang w:val="en-GB"/>
        </w:rPr>
        <w:tab/>
        <w:t>that a fundamental principle of the United Nations Charter adopted by world leaders in 1945 is "equal rights of men and women";</w:t>
      </w:r>
    </w:p>
    <w:p w14:paraId="0A1E8EA3" w14:textId="77777777" w:rsidR="004A0742" w:rsidRPr="00380B40" w:rsidRDefault="004A0742" w:rsidP="004A0742">
      <w:pPr>
        <w:rPr>
          <w:lang w:val="en-GB"/>
        </w:rPr>
      </w:pPr>
      <w:r w:rsidRPr="00380B40">
        <w:rPr>
          <w:i/>
          <w:iCs/>
          <w:lang w:val="en-GB"/>
        </w:rPr>
        <w:t>b)</w:t>
      </w:r>
      <w:r w:rsidRPr="00380B40">
        <w:rPr>
          <w:lang w:val="en-GB"/>
        </w:rPr>
        <w:tab/>
        <w:t>United Nations Economic and Social Council (ECOSOC) Resolution E/2012/L.8, on mainstreaming a gender perspective into all policies and programmes in the United Nations system, which welcomed the development of the United Nations System-Wide Action Plan on Gender Equality and the Empowerment of Women (UN-SWAP), and the 60th session of the United Nations Commission on the Status of Women (March, 2016), which stressed the need to ensure women's full, equal and effective participation in all fields, and leadership at all levels of decision-making in the public and private sectors, and public, social, economic and political life;</w:t>
      </w:r>
    </w:p>
    <w:p w14:paraId="5152C274" w14:textId="77777777" w:rsidR="004A0742" w:rsidRPr="00380B40" w:rsidRDefault="004A0742" w:rsidP="004A0742">
      <w:pPr>
        <w:rPr>
          <w:lang w:val="en-GB"/>
        </w:rPr>
      </w:pPr>
      <w:r w:rsidRPr="00380B40">
        <w:rPr>
          <w:i/>
          <w:iCs/>
          <w:lang w:val="en-GB"/>
        </w:rPr>
        <w:t>c)</w:t>
      </w:r>
      <w:r w:rsidRPr="00380B40">
        <w:rPr>
          <w:lang w:val="en-GB"/>
        </w:rPr>
        <w:tab/>
        <w:t>the United Nations HeForShe initiative (2014) to involve men and boys in the promotion of gender equality;</w:t>
      </w:r>
    </w:p>
    <w:p w14:paraId="6EFAC1AA" w14:textId="77777777" w:rsidR="000110BB" w:rsidRPr="00380B40" w:rsidRDefault="000110BB" w:rsidP="004A0742">
      <w:pPr>
        <w:rPr>
          <w:i/>
          <w:lang w:val="en-GB"/>
        </w:rPr>
      </w:pPr>
      <w:r w:rsidRPr="00380B40">
        <w:rPr>
          <w:i/>
          <w:lang w:val="en-GB"/>
        </w:rPr>
        <w:br w:type="page"/>
      </w:r>
    </w:p>
    <w:p w14:paraId="24E49BAF" w14:textId="77777777" w:rsidR="004A0742" w:rsidRPr="00380B40" w:rsidRDefault="004A0742" w:rsidP="004A0742">
      <w:pPr>
        <w:rPr>
          <w:lang w:val="en-GB"/>
        </w:rPr>
      </w:pPr>
      <w:r w:rsidRPr="00380B40">
        <w:rPr>
          <w:i/>
          <w:lang w:val="en-GB"/>
        </w:rPr>
        <w:t>d)</w:t>
      </w:r>
      <w:r w:rsidRPr="00380B40">
        <w:rPr>
          <w:lang w:val="en-GB"/>
        </w:rPr>
        <w:tab/>
        <w:t>the EQUALS Global Partnership, of which ITU is a founding member, which is made up of other United Nations agencies, governments, the private sector, academia and civil-society organizations, and which aims to reduce the gender digital divide in the world;</w:t>
      </w:r>
    </w:p>
    <w:p w14:paraId="7135450A" w14:textId="77777777" w:rsidR="004A0742" w:rsidRPr="00380B40" w:rsidRDefault="004A0742" w:rsidP="004A0742">
      <w:pPr>
        <w:rPr>
          <w:iCs/>
          <w:lang w:val="en-GB"/>
        </w:rPr>
      </w:pPr>
      <w:r w:rsidRPr="00380B40">
        <w:rPr>
          <w:i/>
          <w:lang w:val="en-GB"/>
        </w:rPr>
        <w:t>e)</w:t>
      </w:r>
      <w:r w:rsidRPr="00380B40">
        <w:rPr>
          <w:iCs/>
          <w:lang w:val="en-GB"/>
        </w:rPr>
        <w:tab/>
        <w:t xml:space="preserve">the United Nations International Gender Champion initiative and the ITU's Secretary-General's commitment to promote the Panel Parity Pledge, </w:t>
      </w:r>
    </w:p>
    <w:p w14:paraId="23A680E1" w14:textId="77777777" w:rsidR="004A0742" w:rsidRPr="00380B40" w:rsidRDefault="004A0742" w:rsidP="004A0742">
      <w:pPr>
        <w:pStyle w:val="Call"/>
        <w:rPr>
          <w:lang w:val="en-GB"/>
        </w:rPr>
      </w:pPr>
      <w:r w:rsidRPr="00380B40">
        <w:rPr>
          <w:lang w:val="en-GB"/>
        </w:rPr>
        <w:t xml:space="preserve">recognizing </w:t>
      </w:r>
    </w:p>
    <w:p w14:paraId="45AAEF1C" w14:textId="77777777" w:rsidR="004A0742" w:rsidRPr="00380B40" w:rsidRDefault="004A0742" w:rsidP="004A0742">
      <w:pPr>
        <w:rPr>
          <w:lang w:val="en-GB"/>
        </w:rPr>
      </w:pPr>
      <w:r w:rsidRPr="00380B40">
        <w:rPr>
          <w:i/>
          <w:iCs/>
          <w:lang w:val="en-GB"/>
        </w:rPr>
        <w:t>a)</w:t>
      </w:r>
      <w:r w:rsidRPr="00380B40">
        <w:rPr>
          <w:lang w:val="en-GB"/>
        </w:rPr>
        <w:tab/>
        <w:t>that society as a whole, particularly in the context of the information and knowledge society, will benefit from equal participation of women and men in policy-making and decision-making and from equal access to communication services for both women and men;</w:t>
      </w:r>
    </w:p>
    <w:p w14:paraId="49A3E7ED" w14:textId="77777777" w:rsidR="004A0742" w:rsidRPr="00380B40" w:rsidRDefault="004A0742" w:rsidP="004A0742">
      <w:pPr>
        <w:rPr>
          <w:lang w:val="en-GB"/>
        </w:rPr>
      </w:pPr>
      <w:r w:rsidRPr="00380B40">
        <w:rPr>
          <w:i/>
          <w:iCs/>
          <w:lang w:val="en-GB"/>
        </w:rPr>
        <w:t>b)</w:t>
      </w:r>
      <w:r w:rsidRPr="00380B40">
        <w:rPr>
          <w:i/>
          <w:iCs/>
          <w:lang w:val="en-GB"/>
        </w:rPr>
        <w:tab/>
      </w:r>
      <w:r w:rsidRPr="00380B40">
        <w:rPr>
          <w:lang w:val="en-GB"/>
        </w:rPr>
        <w:t>that the outcome document of the overall review of the World Summit on the Information Society acknowledged that a gender digital divide exists, called for immediate measures to achieve gender equality in Internet users by 2020, especially by significantly enhancing women's and girls' education and participation in ICTs, as users, content creators, employees, entrepreneurs, innovators and leaders, and reaffirmed a commitment to ensure women's full participation in decision-making processes related to ICTs;</w:t>
      </w:r>
    </w:p>
    <w:p w14:paraId="30055860" w14:textId="77777777" w:rsidR="004A0742" w:rsidRPr="00380B40" w:rsidRDefault="004A0742" w:rsidP="004A0742">
      <w:pPr>
        <w:rPr>
          <w:lang w:val="en-GB"/>
        </w:rPr>
      </w:pPr>
      <w:r w:rsidRPr="00380B40">
        <w:rPr>
          <w:i/>
          <w:iCs/>
          <w:lang w:val="en-GB"/>
        </w:rPr>
        <w:t>c)</w:t>
      </w:r>
      <w:r w:rsidRPr="00380B40">
        <w:rPr>
          <w:lang w:val="en-GB"/>
        </w:rPr>
        <w:tab/>
        <w:t>that enhancing women's and girls' education and their participation in ICTs also contributes to the achievement of United Nations Sustainable Development Goal 5 (Achieve gender equality and empower all women and girls);</w:t>
      </w:r>
    </w:p>
    <w:p w14:paraId="581C1638" w14:textId="77777777" w:rsidR="004A0742" w:rsidRPr="00380B40" w:rsidRDefault="004A0742" w:rsidP="004A0742">
      <w:pPr>
        <w:rPr>
          <w:lang w:val="en-GB"/>
        </w:rPr>
      </w:pPr>
      <w:r w:rsidRPr="00380B40">
        <w:rPr>
          <w:i/>
          <w:iCs/>
          <w:lang w:val="en-GB"/>
        </w:rPr>
        <w:t>d)</w:t>
      </w:r>
      <w:r w:rsidRPr="00380B40">
        <w:rPr>
          <w:lang w:val="en-GB"/>
        </w:rPr>
        <w:tab/>
        <w:t>the 2013 report of the Working Group on Broadband and Gender of the Broadband Commission for Sustainable Development: Doubling digital opportunities – Enhancing the inclusion of women and girls in the information society,</w:t>
      </w:r>
    </w:p>
    <w:p w14:paraId="488D36CA" w14:textId="77777777" w:rsidR="004A0742" w:rsidRPr="00380B40" w:rsidRDefault="004A0742" w:rsidP="004A0742">
      <w:pPr>
        <w:pStyle w:val="Call"/>
        <w:rPr>
          <w:lang w:val="en-GB"/>
        </w:rPr>
      </w:pPr>
      <w:r w:rsidRPr="00380B40">
        <w:rPr>
          <w:lang w:val="en-GB"/>
        </w:rPr>
        <w:t>resolves</w:t>
      </w:r>
    </w:p>
    <w:p w14:paraId="6C7BB20E" w14:textId="77777777" w:rsidR="004A0742" w:rsidRPr="00380B40" w:rsidRDefault="004A0742" w:rsidP="004A0742">
      <w:pPr>
        <w:keepNext/>
        <w:rPr>
          <w:lang w:val="en-GB"/>
        </w:rPr>
      </w:pPr>
      <w:r w:rsidRPr="00380B40">
        <w:rPr>
          <w:lang w:val="en-GB"/>
        </w:rPr>
        <w:t>1</w:t>
      </w:r>
      <w:r w:rsidRPr="00380B40">
        <w:rPr>
          <w:lang w:val="en-GB"/>
        </w:rPr>
        <w:tab/>
        <w:t>that ITU</w:t>
      </w:r>
      <w:r w:rsidRPr="00380B40">
        <w:rPr>
          <w:lang w:val="en-GB"/>
        </w:rPr>
        <w:noBreakHyphen/>
        <w:t>T continue efforts to ensure that all its policies, work programmes, information dissemination activities, publications, study groups, seminars, courses, assemblies and conferences reflect the commitment to gender equality, and promote gender balance:</w:t>
      </w:r>
    </w:p>
    <w:p w14:paraId="606AB8A6" w14:textId="77777777" w:rsidR="004A0742" w:rsidRPr="00380B40" w:rsidRDefault="004A0742" w:rsidP="004A0742">
      <w:pPr>
        <w:pStyle w:val="enumlev1"/>
        <w:rPr>
          <w:lang w:val="en-GB"/>
        </w:rPr>
      </w:pPr>
      <w:r w:rsidRPr="00380B40">
        <w:rPr>
          <w:lang w:val="en-GB"/>
        </w:rPr>
        <w:t>i)</w:t>
      </w:r>
      <w:r w:rsidRPr="00380B40">
        <w:rPr>
          <w:lang w:val="en-GB"/>
        </w:rPr>
        <w:tab/>
        <w:t>for posts, including those at the Professional and higher levels in TSB;</w:t>
      </w:r>
    </w:p>
    <w:p w14:paraId="793A91FE" w14:textId="77777777" w:rsidR="004A0742" w:rsidRPr="00380B40" w:rsidRDefault="004A0742" w:rsidP="004A0742">
      <w:pPr>
        <w:pStyle w:val="enumlev1"/>
        <w:rPr>
          <w:lang w:val="en-GB"/>
        </w:rPr>
      </w:pPr>
      <w:r w:rsidRPr="00380B40">
        <w:rPr>
          <w:lang w:val="en-GB"/>
        </w:rPr>
        <w:t>ii)</w:t>
      </w:r>
      <w:r w:rsidRPr="00380B40">
        <w:rPr>
          <w:lang w:val="en-GB"/>
        </w:rPr>
        <w:tab/>
        <w:t>in the selection of chairmen, vice-chairmen and rapporteurs of the ITU</w:t>
      </w:r>
      <w:r w:rsidRPr="00380B40">
        <w:rPr>
          <w:lang w:val="en-GB"/>
        </w:rPr>
        <w:noBreakHyphen/>
        <w:t xml:space="preserve">T study groups and of TSAG; </w:t>
      </w:r>
    </w:p>
    <w:p w14:paraId="56FFA75F" w14:textId="77777777" w:rsidR="004A0742" w:rsidRPr="00380B40" w:rsidRDefault="004A0742" w:rsidP="004A0742">
      <w:pPr>
        <w:rPr>
          <w:lang w:val="en-GB"/>
        </w:rPr>
      </w:pPr>
      <w:r w:rsidRPr="00380B40">
        <w:rPr>
          <w:lang w:val="en-GB"/>
        </w:rPr>
        <w:t>2</w:t>
      </w:r>
      <w:r w:rsidRPr="00380B40">
        <w:rPr>
          <w:lang w:val="en-GB"/>
        </w:rPr>
        <w:tab/>
        <w:t>that high priority be accorded to gender mainstreaming in the management, staffing and operation of ITU</w:t>
      </w:r>
      <w:r w:rsidRPr="00380B40">
        <w:rPr>
          <w:lang w:val="en-GB"/>
        </w:rPr>
        <w:noBreakHyphen/>
        <w:t>T, while taking into account geographical representation;</w:t>
      </w:r>
    </w:p>
    <w:p w14:paraId="28C4C925" w14:textId="77777777" w:rsidR="004A0742" w:rsidRPr="00380B40" w:rsidRDefault="004A0742" w:rsidP="004A0742">
      <w:pPr>
        <w:rPr>
          <w:lang w:val="en-GB"/>
        </w:rPr>
      </w:pPr>
      <w:r w:rsidRPr="00380B40">
        <w:rPr>
          <w:lang w:val="en-GB"/>
        </w:rPr>
        <w:t>3</w:t>
      </w:r>
      <w:r w:rsidRPr="00380B40">
        <w:rPr>
          <w:lang w:val="en-GB"/>
        </w:rPr>
        <w:tab/>
        <w:t>that ITU</w:t>
      </w:r>
      <w:r w:rsidRPr="00380B40">
        <w:rPr>
          <w:lang w:val="en-GB"/>
        </w:rPr>
        <w:noBreakHyphen/>
        <w:t xml:space="preserve">T continue to support WISE, </w:t>
      </w:r>
    </w:p>
    <w:p w14:paraId="20655DEB" w14:textId="77777777" w:rsidR="004A0742" w:rsidRPr="00380B40" w:rsidRDefault="004A0742" w:rsidP="004A0742">
      <w:pPr>
        <w:pStyle w:val="Call"/>
        <w:rPr>
          <w:lang w:val="en-GB"/>
        </w:rPr>
      </w:pPr>
      <w:r w:rsidRPr="00380B40">
        <w:rPr>
          <w:lang w:val="en-GB"/>
        </w:rPr>
        <w:t>instructs the Director of the Telecommunication Standardization Bureau</w:t>
      </w:r>
    </w:p>
    <w:p w14:paraId="6BD0D32A" w14:textId="77777777" w:rsidR="004A0742" w:rsidRPr="00380B40" w:rsidRDefault="004A0742" w:rsidP="004A0742">
      <w:pPr>
        <w:rPr>
          <w:lang w:val="en-GB"/>
        </w:rPr>
      </w:pPr>
      <w:r w:rsidRPr="00380B40">
        <w:rPr>
          <w:lang w:val="en-GB"/>
        </w:rPr>
        <w:t>1</w:t>
      </w:r>
      <w:r w:rsidRPr="00380B40">
        <w:rPr>
          <w:lang w:val="en-GB"/>
        </w:rPr>
        <w:tab/>
        <w:t>to take the necessary steps to continue implementing the ITU GEM Policy, including, supporting the implementation of recommendations from the Joint Inspection Unit relevant to gender mainstreaming, supporting the Gender Focal Points for ITU</w:t>
      </w:r>
      <w:r w:rsidRPr="00380B40">
        <w:rPr>
          <w:lang w:val="en-GB"/>
        </w:rPr>
        <w:noBreakHyphen/>
        <w:t>T, and encouraging TSB staff to undertake relevant training;</w:t>
      </w:r>
    </w:p>
    <w:p w14:paraId="4541E772" w14:textId="77777777" w:rsidR="000110BB" w:rsidRPr="00380B40" w:rsidRDefault="000110BB" w:rsidP="004A0742">
      <w:pPr>
        <w:rPr>
          <w:lang w:val="en-GB"/>
        </w:rPr>
      </w:pPr>
      <w:r w:rsidRPr="00380B40">
        <w:rPr>
          <w:lang w:val="en-GB"/>
        </w:rPr>
        <w:br w:type="page"/>
      </w:r>
    </w:p>
    <w:p w14:paraId="0C58DD8E" w14:textId="77777777" w:rsidR="004A0742" w:rsidRPr="00380B40" w:rsidRDefault="004A0742" w:rsidP="004A0742">
      <w:pPr>
        <w:rPr>
          <w:lang w:val="en-GB"/>
        </w:rPr>
      </w:pPr>
      <w:r w:rsidRPr="00380B40">
        <w:rPr>
          <w:lang w:val="en-GB"/>
        </w:rPr>
        <w:t>2</w:t>
      </w:r>
      <w:r w:rsidRPr="00380B40">
        <w:rPr>
          <w:lang w:val="en-GB"/>
        </w:rPr>
        <w:tab/>
        <w:t>to accelerate the integration of a gender perspective in the work of TSB in accordance with the principles already applied in ITU;</w:t>
      </w:r>
    </w:p>
    <w:p w14:paraId="48383B98" w14:textId="77777777" w:rsidR="004A0742" w:rsidRPr="00380B40" w:rsidRDefault="004A0742" w:rsidP="004A0742">
      <w:pPr>
        <w:rPr>
          <w:lang w:val="en-GB"/>
        </w:rPr>
      </w:pPr>
      <w:r w:rsidRPr="00380B40">
        <w:rPr>
          <w:lang w:val="en-GB"/>
        </w:rPr>
        <w:t>3</w:t>
      </w:r>
      <w:r w:rsidRPr="00380B40">
        <w:rPr>
          <w:lang w:val="en-GB"/>
        </w:rPr>
        <w:tab/>
        <w:t>to accord high priority to gender mainstreaming in ITU-T management, financial assistance, staffing and operation;</w:t>
      </w:r>
    </w:p>
    <w:p w14:paraId="30531A19" w14:textId="77777777" w:rsidR="004A0742" w:rsidRPr="00380B40" w:rsidRDefault="004A0742" w:rsidP="004A0742">
      <w:pPr>
        <w:rPr>
          <w:lang w:val="en-GB"/>
        </w:rPr>
      </w:pPr>
      <w:r w:rsidRPr="00380B40">
        <w:rPr>
          <w:lang w:val="en-GB"/>
        </w:rPr>
        <w:t>4</w:t>
      </w:r>
      <w:r w:rsidRPr="00380B40">
        <w:rPr>
          <w:lang w:val="en-GB"/>
        </w:rPr>
        <w:tab/>
        <w:t>to conduct an annual review on progress made in the Sector in advancing gender mainstreaming, including by circulating questionnaires and by collecting and reviewing statistics on ITU</w:t>
      </w:r>
      <w:r w:rsidRPr="00380B40">
        <w:rPr>
          <w:lang w:val="en-GB"/>
        </w:rPr>
        <w:noBreakHyphen/>
        <w:t>T standardization activities by gender and region, in order to identify challenges to women</w:t>
      </w:r>
      <w:r w:rsidR="00F82355" w:rsidRPr="00380B40">
        <w:rPr>
          <w:lang w:val="en-GB"/>
        </w:rPr>
        <w:t>'</w:t>
      </w:r>
      <w:r w:rsidRPr="00380B40">
        <w:rPr>
          <w:lang w:val="en-GB"/>
        </w:rPr>
        <w:t>s participation and subsequent solutions; and to share findings with TSAG and the next world telecommunication standardization assembly;</w:t>
      </w:r>
    </w:p>
    <w:p w14:paraId="7F1D0FCA" w14:textId="77777777" w:rsidR="004A0742" w:rsidRPr="00380B40" w:rsidRDefault="004A0742" w:rsidP="004A0742">
      <w:pPr>
        <w:rPr>
          <w:lang w:val="en-GB"/>
        </w:rPr>
      </w:pPr>
      <w:r w:rsidRPr="00380B40">
        <w:rPr>
          <w:lang w:val="en-GB"/>
        </w:rPr>
        <w:t>5</w:t>
      </w:r>
      <w:r w:rsidRPr="00380B40">
        <w:rPr>
          <w:lang w:val="en-GB"/>
        </w:rPr>
        <w:tab/>
        <w:t>to encourage the participation of women in all aspects of ITU</w:t>
      </w:r>
      <w:r w:rsidRPr="00380B40">
        <w:rPr>
          <w:lang w:val="en-GB"/>
        </w:rPr>
        <w:noBreakHyphen/>
        <w:t>T activities, and particularly the opportunity to participate in meetings, and support an increase in the number of women from all regions in ITU</w:t>
      </w:r>
      <w:r w:rsidRPr="00380B40">
        <w:rPr>
          <w:lang w:val="en-GB"/>
        </w:rPr>
        <w:noBreakHyphen/>
        <w:t>T leadership positions by:</w:t>
      </w:r>
    </w:p>
    <w:p w14:paraId="18F3A901" w14:textId="77777777" w:rsidR="004A0742" w:rsidRPr="00380B40" w:rsidRDefault="004A0742" w:rsidP="004A0742">
      <w:pPr>
        <w:pStyle w:val="enumlev1"/>
        <w:rPr>
          <w:lang w:val="en-GB"/>
        </w:rPr>
      </w:pPr>
      <w:r w:rsidRPr="00380B40">
        <w:rPr>
          <w:lang w:val="en-GB"/>
        </w:rPr>
        <w:t>i)</w:t>
      </w:r>
      <w:r w:rsidRPr="00380B40">
        <w:rPr>
          <w:lang w:val="en-GB"/>
        </w:rPr>
        <w:tab/>
        <w:t xml:space="preserve">encouraging the membership to include women on their delegations, by, </w:t>
      </w:r>
      <w:r w:rsidRPr="00380B40">
        <w:rPr>
          <w:i/>
          <w:iCs/>
          <w:lang w:val="en-GB"/>
        </w:rPr>
        <w:t>inter alia</w:t>
      </w:r>
      <w:r w:rsidRPr="00380B40">
        <w:rPr>
          <w:lang w:val="en-GB"/>
        </w:rPr>
        <w:t>, including in all circulation letters the statement, "The membership is invited to include women on their delegations whenever possible";</w:t>
      </w:r>
    </w:p>
    <w:p w14:paraId="56A73F23" w14:textId="77777777" w:rsidR="004A0742" w:rsidRPr="00380B40" w:rsidRDefault="004A0742" w:rsidP="004A0742">
      <w:pPr>
        <w:pStyle w:val="enumlev1"/>
        <w:rPr>
          <w:lang w:val="en-GB"/>
        </w:rPr>
      </w:pPr>
      <w:r w:rsidRPr="00380B40">
        <w:rPr>
          <w:lang w:val="en-GB"/>
        </w:rPr>
        <w:t>ii)</w:t>
      </w:r>
      <w:r w:rsidRPr="00380B40">
        <w:rPr>
          <w:lang w:val="en-GB"/>
        </w:rPr>
        <w:tab/>
        <w:t>making the selection of women for TSB positions at the Professional and higher levels a top priority;</w:t>
      </w:r>
    </w:p>
    <w:p w14:paraId="692E0F42" w14:textId="77777777" w:rsidR="004A0742" w:rsidRPr="00380B40" w:rsidRDefault="004A0742" w:rsidP="004A0742">
      <w:pPr>
        <w:pStyle w:val="enumlev1"/>
        <w:rPr>
          <w:lang w:val="en-GB"/>
        </w:rPr>
      </w:pPr>
      <w:r w:rsidRPr="00380B40">
        <w:rPr>
          <w:lang w:val="en-GB"/>
        </w:rPr>
        <w:t>iii)</w:t>
      </w:r>
      <w:r w:rsidRPr="00380B40">
        <w:rPr>
          <w:lang w:val="en-GB"/>
        </w:rPr>
        <w:tab/>
        <w:t>providing training on participation in meetings, writing contributions and chairing meetings;</w:t>
      </w:r>
    </w:p>
    <w:p w14:paraId="270C463F" w14:textId="77777777" w:rsidR="004A0742" w:rsidRPr="00380B40" w:rsidRDefault="004A0742" w:rsidP="004A0742">
      <w:pPr>
        <w:rPr>
          <w:lang w:val="en-GB"/>
        </w:rPr>
      </w:pPr>
      <w:r w:rsidRPr="00380B40">
        <w:rPr>
          <w:lang w:val="en-GB"/>
        </w:rPr>
        <w:t>6</w:t>
      </w:r>
      <w:r w:rsidRPr="00380B40">
        <w:rPr>
          <w:lang w:val="en-GB"/>
        </w:rPr>
        <w:tab/>
        <w:t>to enhance the ongoing work of WISE to ensure that all women have an opportunity to develop as ITU</w:t>
      </w:r>
      <w:r w:rsidRPr="00380B40">
        <w:rPr>
          <w:lang w:val="en-GB"/>
        </w:rPr>
        <w:noBreakHyphen/>
        <w:t>T leaders;</w:t>
      </w:r>
    </w:p>
    <w:p w14:paraId="1CEFAE9D" w14:textId="77777777" w:rsidR="004A0742" w:rsidRPr="00380B40" w:rsidRDefault="004A0742" w:rsidP="004A0742">
      <w:pPr>
        <w:rPr>
          <w:lang w:val="en-GB"/>
        </w:rPr>
      </w:pPr>
      <w:r w:rsidRPr="00380B40">
        <w:rPr>
          <w:lang w:val="en-GB"/>
        </w:rPr>
        <w:t>7</w:t>
      </w:r>
      <w:r w:rsidRPr="00380B40">
        <w:rPr>
          <w:lang w:val="en-GB"/>
        </w:rPr>
        <w:tab/>
        <w:t>to continue posting on a public-facing WISE webpage current information on the number of women attending Sector events, including administration or Sector Member affiliation and study group distribution, and identify the study groups in which women hold leadership positions;</w:t>
      </w:r>
    </w:p>
    <w:p w14:paraId="320A7AB4" w14:textId="77777777" w:rsidR="004A0742" w:rsidRPr="00380B40" w:rsidRDefault="004A0742" w:rsidP="004A0742">
      <w:pPr>
        <w:rPr>
          <w:lang w:val="en-GB"/>
        </w:rPr>
      </w:pPr>
      <w:r w:rsidRPr="00380B40">
        <w:rPr>
          <w:lang w:val="en-GB"/>
        </w:rPr>
        <w:t>8</w:t>
      </w:r>
      <w:r w:rsidRPr="00380B40">
        <w:rPr>
          <w:lang w:val="en-GB"/>
        </w:rPr>
        <w:tab/>
        <w:t>to include gender balance as a factor in the distribution of financial assistance to attend ITU</w:t>
      </w:r>
      <w:r w:rsidRPr="00380B40">
        <w:rPr>
          <w:lang w:val="en-GB"/>
        </w:rPr>
        <w:noBreakHyphen/>
        <w:t>T meetings where resources are available;</w:t>
      </w:r>
    </w:p>
    <w:p w14:paraId="571211AC" w14:textId="77777777" w:rsidR="004A0742" w:rsidRPr="00380B40" w:rsidRDefault="004A0742" w:rsidP="004A0742">
      <w:pPr>
        <w:rPr>
          <w:lang w:val="en-GB"/>
        </w:rPr>
      </w:pPr>
      <w:r w:rsidRPr="00380B40">
        <w:rPr>
          <w:lang w:val="en-GB"/>
        </w:rPr>
        <w:t>9</w:t>
      </w:r>
      <w:r w:rsidRPr="00380B40">
        <w:rPr>
          <w:lang w:val="en-GB"/>
        </w:rPr>
        <w:tab/>
        <w:t>to join the ITU Secretary-General in participating in the Planet 50/50 initiative sponsored by UN Women to tackle invisible gender bias as a Geneva Gender Champion on behalf of ITU</w:t>
      </w:r>
      <w:r w:rsidRPr="00380B40">
        <w:rPr>
          <w:lang w:val="en-GB"/>
        </w:rPr>
        <w:noBreakHyphen/>
        <w:t>T,</w:t>
      </w:r>
    </w:p>
    <w:p w14:paraId="6B3CDBDB" w14:textId="77777777" w:rsidR="004A0742" w:rsidRPr="00380B40" w:rsidRDefault="004A0742" w:rsidP="004A0742">
      <w:pPr>
        <w:pStyle w:val="Call"/>
        <w:rPr>
          <w:lang w:val="en-GB"/>
        </w:rPr>
      </w:pPr>
      <w:r w:rsidRPr="00380B40">
        <w:rPr>
          <w:lang w:val="en-GB"/>
        </w:rPr>
        <w:t>invites the Secretary-General</w:t>
      </w:r>
    </w:p>
    <w:p w14:paraId="18CB61BD" w14:textId="77777777" w:rsidR="004A0742" w:rsidRPr="00380B40" w:rsidRDefault="004A0742" w:rsidP="004A0742">
      <w:pPr>
        <w:rPr>
          <w:lang w:val="en-GB" w:eastAsia="ja-JP"/>
        </w:rPr>
      </w:pPr>
      <w:r w:rsidRPr="00380B40">
        <w:rPr>
          <w:lang w:val="en-GB" w:eastAsia="ja-JP"/>
        </w:rPr>
        <w:t>1</w:t>
      </w:r>
      <w:r w:rsidRPr="00380B40">
        <w:rPr>
          <w:lang w:val="en-GB" w:eastAsia="ja-JP"/>
        </w:rPr>
        <w:tab/>
        <w:t xml:space="preserve">to </w:t>
      </w:r>
      <w:r w:rsidRPr="00380B40">
        <w:rPr>
          <w:lang w:val="en-GB"/>
        </w:rPr>
        <w:t>comply</w:t>
      </w:r>
      <w:r w:rsidRPr="00380B40">
        <w:rPr>
          <w:lang w:val="en-GB" w:eastAsia="ja-JP"/>
        </w:rPr>
        <w:t xml:space="preserve"> with the reporting obligations, as required by UNSWAP, on ITU</w:t>
      </w:r>
      <w:r w:rsidRPr="00380B40">
        <w:rPr>
          <w:lang w:val="en-GB" w:eastAsia="ja-JP"/>
        </w:rPr>
        <w:noBreakHyphen/>
        <w:t>T activities aimed at promoting gender equality and the empowerment of women;</w:t>
      </w:r>
    </w:p>
    <w:p w14:paraId="4D7148D4" w14:textId="77777777" w:rsidR="004A0742" w:rsidRPr="00380B40" w:rsidRDefault="004A0742" w:rsidP="004A0742">
      <w:pPr>
        <w:rPr>
          <w:lang w:val="en-GB"/>
        </w:rPr>
      </w:pPr>
      <w:r w:rsidRPr="00380B40">
        <w:rPr>
          <w:lang w:val="en-GB"/>
        </w:rPr>
        <w:t>2</w:t>
      </w:r>
      <w:r w:rsidRPr="00380B40">
        <w:rPr>
          <w:lang w:val="en-GB"/>
        </w:rPr>
        <w:tab/>
        <w:t xml:space="preserve">to continue encouraging ITU staff to take account of the gender-neutral guidelines in the ITU English </w:t>
      </w:r>
      <w:r w:rsidRPr="00380B40">
        <w:rPr>
          <w:lang w:val="en-GB" w:eastAsia="ja-JP"/>
        </w:rPr>
        <w:t>Language</w:t>
      </w:r>
      <w:r w:rsidRPr="00380B40">
        <w:rPr>
          <w:lang w:val="en-GB"/>
        </w:rPr>
        <w:t xml:space="preserve"> Style Guide and to avoid, as much as possible, the use of gender-specific terms,</w:t>
      </w:r>
    </w:p>
    <w:p w14:paraId="0E03DD90" w14:textId="77777777" w:rsidR="000110BB" w:rsidRPr="00380B40" w:rsidRDefault="000110BB" w:rsidP="004A0742">
      <w:pPr>
        <w:pStyle w:val="Call"/>
        <w:rPr>
          <w:lang w:val="en-GB"/>
        </w:rPr>
      </w:pPr>
      <w:r w:rsidRPr="00380B40">
        <w:rPr>
          <w:lang w:val="en-GB"/>
        </w:rPr>
        <w:br w:type="page"/>
      </w:r>
    </w:p>
    <w:p w14:paraId="45578A0B" w14:textId="77777777" w:rsidR="004A0742" w:rsidRPr="00380B40" w:rsidRDefault="004A0742" w:rsidP="004A0742">
      <w:pPr>
        <w:pStyle w:val="Call"/>
        <w:rPr>
          <w:lang w:val="en-GB"/>
        </w:rPr>
      </w:pPr>
      <w:r w:rsidRPr="00380B40">
        <w:rPr>
          <w:lang w:val="en-GB"/>
        </w:rPr>
        <w:t>invites Member States and Sector Members</w:t>
      </w:r>
    </w:p>
    <w:p w14:paraId="4A57B2B2" w14:textId="77777777" w:rsidR="004A0742" w:rsidRPr="00380B40" w:rsidRDefault="004A0742" w:rsidP="004A0742">
      <w:pPr>
        <w:rPr>
          <w:lang w:val="en-GB"/>
        </w:rPr>
      </w:pPr>
      <w:r w:rsidRPr="00380B40">
        <w:rPr>
          <w:lang w:val="en-GB"/>
        </w:rPr>
        <w:t>1</w:t>
      </w:r>
      <w:r w:rsidRPr="00380B40">
        <w:rPr>
          <w:lang w:val="en-GB"/>
        </w:rPr>
        <w:tab/>
        <w:t>to submit candidatures for chairman/vice-chairman posts in order to support the active involvement of women as well as men in standardization groups and activities and in their own administrations and delegations;</w:t>
      </w:r>
    </w:p>
    <w:p w14:paraId="216F2351" w14:textId="77777777" w:rsidR="004A0742" w:rsidRPr="00380B40" w:rsidRDefault="004A0742" w:rsidP="004A0742">
      <w:pPr>
        <w:rPr>
          <w:lang w:val="en-GB"/>
        </w:rPr>
      </w:pPr>
      <w:r w:rsidRPr="00380B40">
        <w:rPr>
          <w:lang w:val="en-GB"/>
        </w:rPr>
        <w:t>2</w:t>
      </w:r>
      <w:r w:rsidRPr="00380B40">
        <w:rPr>
          <w:lang w:val="en-GB"/>
        </w:rPr>
        <w:tab/>
        <w:t>to actively support and participate in the work of TSB, to nominate experts for the ITU</w:t>
      </w:r>
      <w:r w:rsidRPr="00380B40">
        <w:rPr>
          <w:lang w:val="en-GB"/>
        </w:rPr>
        <w:noBreakHyphen/>
        <w:t>T WISE group and to promote the use of ICTs for the economic and social empowerment of women and girls;</w:t>
      </w:r>
    </w:p>
    <w:p w14:paraId="3FAAAD4C" w14:textId="77777777" w:rsidR="004A0742" w:rsidRPr="00380B40" w:rsidRDefault="004A0742" w:rsidP="004A0742">
      <w:pPr>
        <w:rPr>
          <w:lang w:val="en-GB" w:eastAsia="ja-JP"/>
        </w:rPr>
      </w:pPr>
      <w:r w:rsidRPr="00380B40">
        <w:rPr>
          <w:lang w:val="en-GB" w:eastAsia="ja-JP"/>
        </w:rPr>
        <w:t>3</w:t>
      </w:r>
      <w:r w:rsidRPr="00380B40">
        <w:rPr>
          <w:lang w:val="en-GB" w:eastAsia="ja-JP"/>
        </w:rPr>
        <w:tab/>
        <w:t>to encourage and actively support ICT education that encourages girls' and women's participation, and support all measures that will help prepare them for a professional career in ICT standardization;</w:t>
      </w:r>
    </w:p>
    <w:p w14:paraId="11C71268" w14:textId="77777777" w:rsidR="004A0742" w:rsidRPr="00380B40" w:rsidRDefault="004A0742" w:rsidP="004A0742">
      <w:pPr>
        <w:rPr>
          <w:lang w:val="en-GB" w:eastAsia="ja-JP"/>
        </w:rPr>
      </w:pPr>
      <w:r w:rsidRPr="00380B40">
        <w:rPr>
          <w:lang w:val="en-GB"/>
        </w:rPr>
        <w:t>4</w:t>
      </w:r>
      <w:r w:rsidRPr="00380B40">
        <w:rPr>
          <w:lang w:val="en-GB" w:eastAsia="ja-JP"/>
        </w:rPr>
        <w:tab/>
        <w:t>to encourage greater participation of women delegates and foster their expertise;</w:t>
      </w:r>
    </w:p>
    <w:p w14:paraId="1D19D26F" w14:textId="77777777" w:rsidR="004A0742" w:rsidRPr="00380B40" w:rsidRDefault="004A0742" w:rsidP="004A0742">
      <w:pPr>
        <w:rPr>
          <w:lang w:val="en-GB" w:eastAsia="ja-JP"/>
        </w:rPr>
      </w:pPr>
      <w:r w:rsidRPr="00380B40">
        <w:rPr>
          <w:lang w:val="en-GB"/>
        </w:rPr>
        <w:t>5</w:t>
      </w:r>
      <w:r w:rsidRPr="00380B40">
        <w:rPr>
          <w:lang w:val="en-GB" w:eastAsia="ja-JP"/>
        </w:rPr>
        <w:tab/>
        <w:t>to encourage the adoption of proven measures to increase globally the number of women pursuing academic degrees at all levels in STEM fields, particularly those related to telecommunication/ICT standardization.</w:t>
      </w:r>
    </w:p>
    <w:p w14:paraId="02AABE13" w14:textId="77777777" w:rsidR="00296ED8" w:rsidRPr="00380B40" w:rsidRDefault="00296ED8" w:rsidP="004A3010">
      <w:pPr>
        <w:rPr>
          <w:lang w:val="en-GB" w:eastAsia="ja-JP"/>
        </w:rPr>
      </w:pPr>
    </w:p>
    <w:p w14:paraId="6B4A98E5" w14:textId="77777777" w:rsidR="000110BB" w:rsidRPr="00380B40" w:rsidRDefault="000110BB" w:rsidP="004A3010">
      <w:pPr>
        <w:rPr>
          <w:lang w:val="en-GB" w:eastAsia="ja-JP"/>
        </w:rPr>
      </w:pPr>
    </w:p>
    <w:p w14:paraId="27D879AA" w14:textId="77777777" w:rsidR="000110BB" w:rsidRPr="00380B40" w:rsidRDefault="000110BB" w:rsidP="004A3010">
      <w:pPr>
        <w:rPr>
          <w:lang w:val="en-GB" w:eastAsia="ja-JP"/>
        </w:rPr>
      </w:pPr>
    </w:p>
    <w:p w14:paraId="36C02B87" w14:textId="77777777" w:rsidR="000110BB" w:rsidRPr="00380B40" w:rsidRDefault="000110BB" w:rsidP="004A3010">
      <w:pPr>
        <w:rPr>
          <w:lang w:val="en-GB" w:eastAsia="ja-JP"/>
        </w:rPr>
      </w:pPr>
    </w:p>
    <w:p w14:paraId="05529970" w14:textId="77777777" w:rsidR="000110BB" w:rsidRPr="00380B40" w:rsidRDefault="000110BB" w:rsidP="004A3010">
      <w:pPr>
        <w:rPr>
          <w:lang w:val="en-GB" w:eastAsia="ja-JP"/>
        </w:rPr>
      </w:pPr>
    </w:p>
    <w:p w14:paraId="4CD5046D" w14:textId="77777777" w:rsidR="000110BB" w:rsidRPr="00380B40" w:rsidRDefault="000110BB" w:rsidP="004A3010">
      <w:pPr>
        <w:rPr>
          <w:lang w:val="en-GB" w:eastAsia="ja-JP"/>
        </w:rPr>
      </w:pPr>
    </w:p>
    <w:p w14:paraId="23179FEB" w14:textId="77777777" w:rsidR="000110BB" w:rsidRPr="00380B40" w:rsidRDefault="000110BB" w:rsidP="004A3010">
      <w:pPr>
        <w:rPr>
          <w:lang w:val="en-GB" w:eastAsia="ja-JP"/>
        </w:rPr>
      </w:pPr>
    </w:p>
    <w:p w14:paraId="5C5EB770" w14:textId="77777777" w:rsidR="000110BB" w:rsidRPr="00380B40" w:rsidRDefault="000110BB" w:rsidP="004A3010">
      <w:pPr>
        <w:rPr>
          <w:lang w:val="en-GB" w:eastAsia="ja-JP"/>
        </w:rPr>
      </w:pPr>
    </w:p>
    <w:p w14:paraId="38B01EF3" w14:textId="77777777" w:rsidR="000110BB" w:rsidRPr="00380B40" w:rsidRDefault="000110BB" w:rsidP="004A3010">
      <w:pPr>
        <w:rPr>
          <w:lang w:val="en-GB" w:eastAsia="ja-JP"/>
        </w:rPr>
      </w:pPr>
    </w:p>
    <w:p w14:paraId="57A03342" w14:textId="77777777" w:rsidR="000110BB" w:rsidRPr="00380B40" w:rsidRDefault="000110BB" w:rsidP="004A3010">
      <w:pPr>
        <w:rPr>
          <w:lang w:val="en-GB" w:eastAsia="ja-JP"/>
        </w:rPr>
      </w:pPr>
    </w:p>
    <w:p w14:paraId="37DB42CB" w14:textId="77777777" w:rsidR="000110BB" w:rsidRPr="00380B40" w:rsidRDefault="000110BB" w:rsidP="004A3010">
      <w:pPr>
        <w:rPr>
          <w:lang w:val="en-GB" w:eastAsia="ja-JP"/>
        </w:rPr>
      </w:pPr>
    </w:p>
    <w:p w14:paraId="719E3B16" w14:textId="77777777" w:rsidR="00ED0610" w:rsidRPr="00380B40" w:rsidRDefault="00ED0610" w:rsidP="004A3010">
      <w:pPr>
        <w:rPr>
          <w:lang w:val="en-GB" w:eastAsia="ja-JP"/>
        </w:rPr>
      </w:pPr>
    </w:p>
    <w:p w14:paraId="5E4DB6EC" w14:textId="77777777" w:rsidR="00ED0610" w:rsidRPr="00380B40" w:rsidRDefault="00ED0610" w:rsidP="004A3010">
      <w:pPr>
        <w:rPr>
          <w:lang w:val="en-GB" w:eastAsia="ja-JP"/>
        </w:rPr>
      </w:pPr>
    </w:p>
    <w:p w14:paraId="666F665B" w14:textId="77777777" w:rsidR="00ED0610" w:rsidRPr="00380B40" w:rsidRDefault="00ED0610" w:rsidP="004A3010">
      <w:pPr>
        <w:rPr>
          <w:lang w:val="en-GB" w:eastAsia="ja-JP"/>
        </w:rPr>
      </w:pPr>
    </w:p>
    <w:p w14:paraId="5AB69D1B" w14:textId="77777777" w:rsidR="00A97332" w:rsidRPr="00380B40" w:rsidRDefault="00A97332" w:rsidP="00A97332">
      <w:pPr>
        <w:rPr>
          <w:lang w:val="en-GB"/>
        </w:rPr>
      </w:pPr>
    </w:p>
    <w:p w14:paraId="2AB5EBCD" w14:textId="77777777" w:rsidR="00A97332" w:rsidRPr="00380B40" w:rsidRDefault="00A97332" w:rsidP="00A97332">
      <w:pPr>
        <w:rPr>
          <w:lang w:val="en-GB"/>
        </w:rPr>
        <w:sectPr w:rsidR="00A97332" w:rsidRPr="00380B40" w:rsidSect="001D48FF">
          <w:headerReference w:type="even" r:id="rId141"/>
          <w:headerReference w:type="default" r:id="rId142"/>
          <w:footerReference w:type="even" r:id="rId143"/>
          <w:footerReference w:type="default" r:id="rId144"/>
          <w:headerReference w:type="first" r:id="rId145"/>
          <w:footerReference w:type="first" r:id="rId146"/>
          <w:footnotePr>
            <w:numRestart w:val="eachSect"/>
          </w:footnotePr>
          <w:pgSz w:w="11907" w:h="16834" w:code="9"/>
          <w:pgMar w:top="1134" w:right="1134" w:bottom="1134" w:left="1134" w:header="567" w:footer="567" w:gutter="0"/>
          <w:paperSrc w:first="15" w:other="15"/>
          <w:cols w:space="720"/>
          <w:vAlign w:val="both"/>
          <w:docGrid w:linePitch="299"/>
        </w:sectPr>
      </w:pPr>
    </w:p>
    <w:p w14:paraId="2023ECE5" w14:textId="77777777" w:rsidR="00D54D2E" w:rsidRPr="00380B40" w:rsidRDefault="00055CCD" w:rsidP="008A70C9">
      <w:pPr>
        <w:pStyle w:val="ResNo"/>
        <w:rPr>
          <w:lang w:val="en-GB"/>
        </w:rPr>
      </w:pPr>
      <w:bookmarkStart w:id="234" w:name="_Toc104459735"/>
      <w:bookmarkStart w:id="235" w:name="_Toc104476543"/>
      <w:bookmarkStart w:id="236" w:name="_Toc111636779"/>
      <w:bookmarkStart w:id="237" w:name="_Toc111638436"/>
      <w:r w:rsidRPr="00380B40">
        <w:rPr>
          <w:caps w:val="0"/>
          <w:lang w:val="en-GB"/>
        </w:rPr>
        <w:t xml:space="preserve">RESOLUTION </w:t>
      </w:r>
      <w:r w:rsidR="00D54D2E" w:rsidRPr="00380B40">
        <w:rPr>
          <w:rStyle w:val="href"/>
          <w:lang w:val="en-GB"/>
        </w:rPr>
        <w:t xml:space="preserve">58 </w:t>
      </w:r>
      <w:r w:rsidR="008A70C9" w:rsidRPr="00380B40">
        <w:rPr>
          <w:lang w:val="en-GB"/>
        </w:rPr>
        <w:t>(R</w:t>
      </w:r>
      <w:r w:rsidR="00910F3B" w:rsidRPr="00380B40">
        <w:rPr>
          <w:caps w:val="0"/>
          <w:lang w:val="en-GB"/>
        </w:rPr>
        <w:t>ev</w:t>
      </w:r>
      <w:r w:rsidR="008A70C9" w:rsidRPr="00380B40">
        <w:rPr>
          <w:lang w:val="en-GB"/>
        </w:rPr>
        <w:t>. G</w:t>
      </w:r>
      <w:r w:rsidR="00910F3B" w:rsidRPr="00380B40">
        <w:rPr>
          <w:caps w:val="0"/>
          <w:lang w:val="en-GB"/>
        </w:rPr>
        <w:t>eneva</w:t>
      </w:r>
      <w:r w:rsidR="008A70C9" w:rsidRPr="00380B40">
        <w:rPr>
          <w:lang w:val="en-GB"/>
        </w:rPr>
        <w:t>, 2022)</w:t>
      </w:r>
      <w:bookmarkEnd w:id="234"/>
      <w:bookmarkEnd w:id="235"/>
      <w:bookmarkEnd w:id="236"/>
      <w:bookmarkEnd w:id="237"/>
    </w:p>
    <w:p w14:paraId="1D43C35E" w14:textId="77777777" w:rsidR="008A70C9" w:rsidRPr="00380B40" w:rsidRDefault="008A70C9" w:rsidP="008A70C9">
      <w:pPr>
        <w:pStyle w:val="Restitle"/>
        <w:rPr>
          <w:lang w:val="en-GB"/>
        </w:rPr>
      </w:pPr>
      <w:bookmarkStart w:id="238" w:name="_Toc104459736"/>
      <w:bookmarkStart w:id="239" w:name="_Toc104476544"/>
      <w:bookmarkStart w:id="240" w:name="_Toc111638437"/>
      <w:r w:rsidRPr="00380B40">
        <w:rPr>
          <w:lang w:val="en-GB"/>
        </w:rPr>
        <w:t>Encouraging the creation of national computer incident response teams, particularly for developing countries</w:t>
      </w:r>
      <w:bookmarkEnd w:id="238"/>
      <w:bookmarkEnd w:id="239"/>
      <w:r w:rsidR="00FD162E" w:rsidRPr="00380B40">
        <w:rPr>
          <w:rStyle w:val="FootnoteReference"/>
          <w:lang w:val="en-GB"/>
        </w:rPr>
        <w:footnoteReference w:id="25"/>
      </w:r>
      <w:bookmarkEnd w:id="240"/>
    </w:p>
    <w:p w14:paraId="4BAAAD23" w14:textId="77777777" w:rsidR="008A70C9" w:rsidRPr="00380B40" w:rsidRDefault="008A70C9" w:rsidP="008A70C9">
      <w:pPr>
        <w:pStyle w:val="Resref"/>
        <w:rPr>
          <w:lang w:val="en-GB"/>
        </w:rPr>
      </w:pPr>
      <w:r w:rsidRPr="00380B40">
        <w:rPr>
          <w:lang w:val="en-GB"/>
        </w:rPr>
        <w:t>(Johannesburg, 2008; Dubai, 2012; Geneva, 2022)</w:t>
      </w:r>
    </w:p>
    <w:p w14:paraId="6DC0F632" w14:textId="77777777" w:rsidR="008A70C9" w:rsidRPr="00380B40" w:rsidRDefault="008A70C9" w:rsidP="008A70C9">
      <w:pPr>
        <w:pStyle w:val="Normalaftertitle0"/>
      </w:pPr>
      <w:r w:rsidRPr="00380B40">
        <w:t>The World Telecommunication Standardization Assembly (Geneva, 2022),</w:t>
      </w:r>
    </w:p>
    <w:p w14:paraId="1EB1DE3E" w14:textId="77777777" w:rsidR="008A70C9" w:rsidRPr="00380B40" w:rsidRDefault="008A70C9" w:rsidP="008A70C9">
      <w:pPr>
        <w:pStyle w:val="Call"/>
        <w:rPr>
          <w:lang w:val="en-GB"/>
        </w:rPr>
      </w:pPr>
      <w:r w:rsidRPr="00380B40">
        <w:rPr>
          <w:lang w:val="en-GB"/>
        </w:rPr>
        <w:t>considering</w:t>
      </w:r>
    </w:p>
    <w:p w14:paraId="28A7B097" w14:textId="77777777" w:rsidR="008A70C9" w:rsidRPr="00380B40" w:rsidRDefault="008A70C9" w:rsidP="008A70C9">
      <w:pPr>
        <w:rPr>
          <w:lang w:val="en-GB"/>
        </w:rPr>
      </w:pPr>
      <w:r w:rsidRPr="00380B40">
        <w:rPr>
          <w:lang w:val="en-GB"/>
        </w:rPr>
        <w:t>that Resolution 123 (Rev. Dubai, 2018) of the Plenipotentiary Conference instructs the Secretary-General and the Directors of the three Bureaux to work closely with each other in pursuing initiatives that assist in bridging the standardization gap between developing and developed countries,</w:t>
      </w:r>
    </w:p>
    <w:p w14:paraId="442E4FF2" w14:textId="77777777" w:rsidR="008A70C9" w:rsidRPr="00380B40" w:rsidRDefault="008A70C9" w:rsidP="008A70C9">
      <w:pPr>
        <w:pStyle w:val="Call"/>
        <w:rPr>
          <w:lang w:val="en-GB"/>
        </w:rPr>
      </w:pPr>
      <w:r w:rsidRPr="00380B40">
        <w:rPr>
          <w:lang w:val="en-GB"/>
        </w:rPr>
        <w:t>recognizing</w:t>
      </w:r>
    </w:p>
    <w:p w14:paraId="3FBDCE81" w14:textId="77777777" w:rsidR="008A70C9" w:rsidRPr="00380B40" w:rsidRDefault="008A70C9" w:rsidP="008A70C9">
      <w:pPr>
        <w:rPr>
          <w:lang w:val="en-GB"/>
        </w:rPr>
      </w:pPr>
      <w:r w:rsidRPr="00380B40">
        <w:rPr>
          <w:i/>
          <w:iCs/>
          <w:lang w:val="en-GB"/>
        </w:rPr>
        <w:t>a)</w:t>
      </w:r>
      <w:r w:rsidRPr="00380B40">
        <w:rPr>
          <w:lang w:val="en-GB"/>
        </w:rPr>
        <w:tab/>
        <w:t>the highly satisfactory results obtained by the regional approach within the framework of Resolution 54 (Rev. Hammamet, 2016) of the World Telecommunication Standardization Assembly;</w:t>
      </w:r>
    </w:p>
    <w:p w14:paraId="6FA811AA" w14:textId="77777777" w:rsidR="008A70C9" w:rsidRPr="00380B40" w:rsidRDefault="008A70C9" w:rsidP="008A70C9">
      <w:pPr>
        <w:rPr>
          <w:lang w:val="en-GB"/>
        </w:rPr>
      </w:pPr>
      <w:r w:rsidRPr="00380B40">
        <w:rPr>
          <w:i/>
          <w:iCs/>
          <w:lang w:val="en-GB"/>
        </w:rPr>
        <w:t>b)</w:t>
      </w:r>
      <w:r w:rsidRPr="00380B40">
        <w:rPr>
          <w:lang w:val="en-GB"/>
        </w:rPr>
        <w:tab/>
        <w:t>the increasing level of computer use and computer dependency in information and communication technologies (ICTs) within developing countries;</w:t>
      </w:r>
    </w:p>
    <w:p w14:paraId="1DBA88B1" w14:textId="77777777" w:rsidR="008A70C9" w:rsidRPr="00380B40" w:rsidRDefault="008A70C9" w:rsidP="008A70C9">
      <w:pPr>
        <w:rPr>
          <w:lang w:val="en-GB"/>
        </w:rPr>
      </w:pPr>
      <w:r w:rsidRPr="00380B40">
        <w:rPr>
          <w:i/>
          <w:iCs/>
          <w:lang w:val="en-GB"/>
        </w:rPr>
        <w:t>c)</w:t>
      </w:r>
      <w:r w:rsidRPr="00380B40">
        <w:rPr>
          <w:lang w:val="en-GB"/>
        </w:rPr>
        <w:tab/>
        <w:t>the increasing attacks and threat on ICT networks through computers;</w:t>
      </w:r>
    </w:p>
    <w:p w14:paraId="181AB15D" w14:textId="77777777" w:rsidR="008A70C9" w:rsidRPr="00380B40" w:rsidRDefault="008A70C9" w:rsidP="008A70C9">
      <w:pPr>
        <w:rPr>
          <w:lang w:val="en-GB"/>
        </w:rPr>
      </w:pPr>
      <w:r w:rsidRPr="00380B40">
        <w:rPr>
          <w:i/>
          <w:iCs/>
          <w:lang w:val="en-GB"/>
        </w:rPr>
        <w:t>d)</w:t>
      </w:r>
      <w:r w:rsidRPr="00380B40">
        <w:rPr>
          <w:lang w:val="en-GB"/>
        </w:rPr>
        <w:tab/>
        <w:t>the work carried out by the ITU Telecommunication Development Sector (ITU</w:t>
      </w:r>
      <w:r w:rsidRPr="00380B40">
        <w:rPr>
          <w:lang w:val="en-GB"/>
        </w:rPr>
        <w:noBreakHyphen/>
        <w:t>D) under former Question 22/1 of ITU</w:t>
      </w:r>
      <w:r w:rsidRPr="00380B40">
        <w:rPr>
          <w:lang w:val="en-GB"/>
        </w:rPr>
        <w:noBreakHyphen/>
        <w:t>D Study Group 1 and current Question 3/2 of ITU-D Study Group 2 on this subject,</w:t>
      </w:r>
    </w:p>
    <w:p w14:paraId="53130610" w14:textId="77777777" w:rsidR="008A70C9" w:rsidRPr="00380B40" w:rsidRDefault="008A70C9" w:rsidP="008A70C9">
      <w:pPr>
        <w:pStyle w:val="Call"/>
        <w:rPr>
          <w:lang w:val="en-GB"/>
        </w:rPr>
      </w:pPr>
      <w:r w:rsidRPr="00380B40">
        <w:rPr>
          <w:lang w:val="en-GB"/>
        </w:rPr>
        <w:t>noting</w:t>
      </w:r>
    </w:p>
    <w:p w14:paraId="1BDC8661" w14:textId="77777777" w:rsidR="008A70C9" w:rsidRPr="00380B40" w:rsidRDefault="008A70C9" w:rsidP="008A70C9">
      <w:pPr>
        <w:rPr>
          <w:lang w:val="en-GB"/>
        </w:rPr>
      </w:pPr>
      <w:r w:rsidRPr="00380B40">
        <w:rPr>
          <w:i/>
          <w:iCs/>
          <w:lang w:val="en-GB"/>
        </w:rPr>
        <w:t>a)</w:t>
      </w:r>
      <w:r w:rsidRPr="00380B40">
        <w:rPr>
          <w:lang w:val="en-GB"/>
        </w:rPr>
        <w:tab/>
        <w:t>that there is still a low level of computer emergency preparedness within many countries, particularly developing countries;</w:t>
      </w:r>
    </w:p>
    <w:p w14:paraId="761C06A9" w14:textId="77777777" w:rsidR="008A70C9" w:rsidRPr="00380B40" w:rsidRDefault="008A70C9" w:rsidP="008A70C9">
      <w:pPr>
        <w:rPr>
          <w:lang w:val="en-GB"/>
        </w:rPr>
      </w:pPr>
      <w:r w:rsidRPr="00380B40">
        <w:rPr>
          <w:i/>
          <w:iCs/>
          <w:lang w:val="en-GB"/>
        </w:rPr>
        <w:t>b)</w:t>
      </w:r>
      <w:r w:rsidRPr="00380B40">
        <w:rPr>
          <w:lang w:val="en-GB"/>
        </w:rPr>
        <w:tab/>
        <w:t>that the high level of interconnectivity of ICT networks could be affected by the launch of an attack from networks of the less-prepared nations, which are mostly the developing countries;</w:t>
      </w:r>
    </w:p>
    <w:p w14:paraId="2C386FEA" w14:textId="77777777" w:rsidR="008A70C9" w:rsidRPr="00380B40" w:rsidRDefault="008A70C9" w:rsidP="008A70C9">
      <w:pPr>
        <w:rPr>
          <w:lang w:val="en-GB"/>
        </w:rPr>
      </w:pPr>
      <w:r w:rsidRPr="00380B40">
        <w:rPr>
          <w:i/>
          <w:iCs/>
          <w:lang w:val="en-GB"/>
        </w:rPr>
        <w:t>c)</w:t>
      </w:r>
      <w:r w:rsidRPr="00380B40">
        <w:rPr>
          <w:lang w:val="en-GB"/>
        </w:rPr>
        <w:tab/>
        <w:t>the importance of having an appropriate level of computer emergency preparedness in all countries;</w:t>
      </w:r>
    </w:p>
    <w:p w14:paraId="0C2A3ADA" w14:textId="77777777" w:rsidR="008A70C9" w:rsidRPr="00380B40" w:rsidRDefault="008A70C9" w:rsidP="008A70C9">
      <w:pPr>
        <w:rPr>
          <w:lang w:val="en-GB"/>
        </w:rPr>
      </w:pPr>
      <w:r w:rsidRPr="00380B40">
        <w:rPr>
          <w:i/>
          <w:iCs/>
          <w:lang w:val="en-GB"/>
        </w:rPr>
        <w:t>d)</w:t>
      </w:r>
      <w:r w:rsidRPr="00380B40">
        <w:rPr>
          <w:lang w:val="en-GB"/>
        </w:rPr>
        <w:tab/>
        <w:t>the need for establishment of computer incident response teams (CIRTs) on a national basis and the importance of coordination within and among the regions;</w:t>
      </w:r>
    </w:p>
    <w:p w14:paraId="4B2084AD" w14:textId="77777777" w:rsidR="000110BB" w:rsidRPr="00380B40" w:rsidRDefault="000110BB" w:rsidP="008A70C9">
      <w:pPr>
        <w:rPr>
          <w:i/>
          <w:iCs/>
          <w:lang w:val="en-GB"/>
        </w:rPr>
      </w:pPr>
      <w:r w:rsidRPr="00380B40">
        <w:rPr>
          <w:i/>
          <w:iCs/>
          <w:lang w:val="en-GB"/>
        </w:rPr>
        <w:br w:type="page"/>
      </w:r>
    </w:p>
    <w:p w14:paraId="398EC5A0" w14:textId="77777777" w:rsidR="008A70C9" w:rsidRPr="00380B40" w:rsidRDefault="008A70C9" w:rsidP="008A70C9">
      <w:pPr>
        <w:rPr>
          <w:lang w:val="en-GB"/>
        </w:rPr>
      </w:pPr>
      <w:r w:rsidRPr="00380B40">
        <w:rPr>
          <w:i/>
          <w:iCs/>
          <w:lang w:val="en-GB"/>
        </w:rPr>
        <w:t>e)</w:t>
      </w:r>
      <w:r w:rsidRPr="00380B40">
        <w:rPr>
          <w:i/>
          <w:iCs/>
          <w:lang w:val="en-GB"/>
        </w:rPr>
        <w:tab/>
      </w:r>
      <w:r w:rsidRPr="00380B40">
        <w:rPr>
          <w:lang w:val="en-GB"/>
        </w:rPr>
        <w:t>the work of Study Group 17 of the ITU Telecommunication Standardization Sector (ITU-T) in the area of national CIRTs, particularly for developing countries, and cooperation between them, as contained in the outputs of the study group,</w:t>
      </w:r>
    </w:p>
    <w:p w14:paraId="354070BB" w14:textId="77777777" w:rsidR="008A70C9" w:rsidRPr="00380B40" w:rsidRDefault="008A70C9" w:rsidP="008A70C9">
      <w:pPr>
        <w:pStyle w:val="Call"/>
        <w:rPr>
          <w:lang w:val="en-GB"/>
        </w:rPr>
      </w:pPr>
      <w:r w:rsidRPr="00380B40">
        <w:rPr>
          <w:lang w:val="en-GB"/>
        </w:rPr>
        <w:t>bearing in mind</w:t>
      </w:r>
    </w:p>
    <w:p w14:paraId="0431751A" w14:textId="77777777" w:rsidR="008A70C9" w:rsidRPr="00380B40" w:rsidRDefault="008A70C9" w:rsidP="008A70C9">
      <w:pPr>
        <w:rPr>
          <w:lang w:val="en-GB"/>
        </w:rPr>
      </w:pPr>
      <w:r w:rsidRPr="00380B40">
        <w:rPr>
          <w:lang w:val="en-GB"/>
        </w:rPr>
        <w:t>that well</w:t>
      </w:r>
      <w:r w:rsidRPr="00380B40">
        <w:rPr>
          <w:lang w:val="en-GB"/>
        </w:rPr>
        <w:noBreakHyphen/>
        <w:t xml:space="preserve">functioning CIRTs in developing countries will serve to improve the level of developing countries' participation in world computer emergency response activities and contribute to achieving an effective global ICT infrastructure, </w:t>
      </w:r>
    </w:p>
    <w:p w14:paraId="78661EA3" w14:textId="77777777" w:rsidR="008A70C9" w:rsidRPr="00380B40" w:rsidRDefault="008A70C9" w:rsidP="008A70C9">
      <w:pPr>
        <w:pStyle w:val="Call"/>
        <w:rPr>
          <w:lang w:val="en-GB"/>
        </w:rPr>
      </w:pPr>
      <w:r w:rsidRPr="00380B40">
        <w:rPr>
          <w:lang w:val="en-GB"/>
        </w:rPr>
        <w:t>resolves</w:t>
      </w:r>
    </w:p>
    <w:p w14:paraId="00B25C43" w14:textId="77777777" w:rsidR="008A70C9" w:rsidRPr="00380B40" w:rsidRDefault="008A70C9" w:rsidP="008A70C9">
      <w:pPr>
        <w:rPr>
          <w:lang w:val="en-GB"/>
        </w:rPr>
      </w:pPr>
      <w:r w:rsidRPr="00380B40">
        <w:rPr>
          <w:lang w:val="en-GB"/>
        </w:rPr>
        <w:t>to support the creation of national CIRTs in Member States where CIRTs are needed and are currently absent,</w:t>
      </w:r>
    </w:p>
    <w:p w14:paraId="558A325B" w14:textId="77777777" w:rsidR="008A70C9" w:rsidRPr="00380B40" w:rsidRDefault="008A70C9" w:rsidP="008A70C9">
      <w:pPr>
        <w:pStyle w:val="Call"/>
        <w:rPr>
          <w:lang w:val="en-GB"/>
        </w:rPr>
      </w:pPr>
      <w:r w:rsidRPr="00380B40">
        <w:rPr>
          <w:lang w:val="en-GB"/>
        </w:rPr>
        <w:t xml:space="preserve">instructs the Director of the Telecommunication Standardization Bureau, in collaboration with the Director of the Telecommunication Development Bureau </w:t>
      </w:r>
    </w:p>
    <w:p w14:paraId="31BAB9DB" w14:textId="77777777" w:rsidR="008A70C9" w:rsidRPr="00380B40" w:rsidRDefault="008A70C9" w:rsidP="008A70C9">
      <w:pPr>
        <w:rPr>
          <w:lang w:val="en-GB"/>
        </w:rPr>
      </w:pPr>
      <w:r w:rsidRPr="00380B40">
        <w:rPr>
          <w:lang w:val="en-GB"/>
        </w:rPr>
        <w:t>1</w:t>
      </w:r>
      <w:r w:rsidRPr="00380B40">
        <w:rPr>
          <w:lang w:val="en-GB"/>
        </w:rPr>
        <w:tab/>
        <w:t xml:space="preserve">to identify best practices to establish CIRTs in line with the ITU toolkit; </w:t>
      </w:r>
    </w:p>
    <w:p w14:paraId="6378E1F8" w14:textId="77777777" w:rsidR="008A70C9" w:rsidRPr="00380B40" w:rsidRDefault="008A70C9" w:rsidP="008A70C9">
      <w:pPr>
        <w:rPr>
          <w:lang w:val="en-GB"/>
        </w:rPr>
      </w:pPr>
      <w:r w:rsidRPr="00380B40">
        <w:rPr>
          <w:lang w:val="en-GB"/>
        </w:rPr>
        <w:t>2</w:t>
      </w:r>
      <w:r w:rsidRPr="00380B40">
        <w:rPr>
          <w:lang w:val="en-GB"/>
        </w:rPr>
        <w:tab/>
        <w:t xml:space="preserve">to identify where national CIRTs are needed, particularly in developing countries, and encourage their establishment; </w:t>
      </w:r>
    </w:p>
    <w:p w14:paraId="2F81D803" w14:textId="77777777" w:rsidR="008A70C9" w:rsidRPr="00380B40" w:rsidRDefault="008A70C9" w:rsidP="008A70C9">
      <w:pPr>
        <w:rPr>
          <w:lang w:val="en-GB"/>
        </w:rPr>
      </w:pPr>
      <w:r w:rsidRPr="00380B40">
        <w:rPr>
          <w:lang w:val="en-GB"/>
        </w:rPr>
        <w:t>3</w:t>
      </w:r>
      <w:r w:rsidRPr="00380B40">
        <w:rPr>
          <w:lang w:val="en-GB"/>
        </w:rPr>
        <w:tab/>
        <w:t xml:space="preserve">to collaborate with international experts and bodies to establish national CIRTs; </w:t>
      </w:r>
    </w:p>
    <w:p w14:paraId="2348BAAA" w14:textId="77777777" w:rsidR="008A70C9" w:rsidRPr="00380B40" w:rsidRDefault="008A70C9" w:rsidP="008A70C9">
      <w:pPr>
        <w:rPr>
          <w:lang w:val="en-GB"/>
        </w:rPr>
      </w:pPr>
      <w:r w:rsidRPr="00380B40">
        <w:rPr>
          <w:lang w:val="en-GB"/>
        </w:rPr>
        <w:t>4</w:t>
      </w:r>
      <w:r w:rsidRPr="00380B40">
        <w:rPr>
          <w:lang w:val="en-GB"/>
        </w:rPr>
        <w:tab/>
        <w:t>to provide support, as appropriate, within existing budgetary resources;</w:t>
      </w:r>
    </w:p>
    <w:p w14:paraId="382DE1DA" w14:textId="77777777" w:rsidR="008A70C9" w:rsidRPr="00380B40" w:rsidRDefault="008A70C9" w:rsidP="008A70C9">
      <w:pPr>
        <w:rPr>
          <w:lang w:val="en-GB"/>
        </w:rPr>
      </w:pPr>
      <w:r w:rsidRPr="00380B40">
        <w:rPr>
          <w:lang w:val="en-GB"/>
        </w:rPr>
        <w:t>5</w:t>
      </w:r>
      <w:r w:rsidRPr="00380B40">
        <w:rPr>
          <w:lang w:val="en-GB"/>
        </w:rPr>
        <w:tab/>
        <w:t>to facilitate collaboration between national CIRTs, such as capacity building and exchange of information, within an appropriate framework;</w:t>
      </w:r>
    </w:p>
    <w:p w14:paraId="533E36B8" w14:textId="77777777" w:rsidR="008A70C9" w:rsidRPr="00380B40" w:rsidRDefault="008A70C9" w:rsidP="008A70C9">
      <w:pPr>
        <w:rPr>
          <w:lang w:val="en-GB"/>
        </w:rPr>
      </w:pPr>
      <w:r w:rsidRPr="00380B40">
        <w:rPr>
          <w:lang w:val="en-GB"/>
        </w:rPr>
        <w:t>6</w:t>
      </w:r>
      <w:r w:rsidRPr="00380B40">
        <w:rPr>
          <w:lang w:val="en-GB"/>
        </w:rPr>
        <w:tab/>
        <w:t>to take necessary action to progress implementation of this resolution,</w:t>
      </w:r>
    </w:p>
    <w:p w14:paraId="14C61879" w14:textId="77777777" w:rsidR="008A70C9" w:rsidRPr="00380B40" w:rsidRDefault="008A70C9" w:rsidP="008A70C9">
      <w:pPr>
        <w:pStyle w:val="Call"/>
        <w:rPr>
          <w:lang w:val="en-GB"/>
        </w:rPr>
      </w:pPr>
      <w:r w:rsidRPr="00380B40">
        <w:rPr>
          <w:lang w:val="en-GB"/>
        </w:rPr>
        <w:t xml:space="preserve">invites the Member States </w:t>
      </w:r>
    </w:p>
    <w:p w14:paraId="0EA59574" w14:textId="77777777" w:rsidR="008A70C9" w:rsidRPr="00380B40" w:rsidRDefault="008A70C9" w:rsidP="008A70C9">
      <w:pPr>
        <w:rPr>
          <w:lang w:val="en-GB"/>
        </w:rPr>
      </w:pPr>
      <w:r w:rsidRPr="00380B40">
        <w:rPr>
          <w:lang w:val="en-GB"/>
        </w:rPr>
        <w:t>1</w:t>
      </w:r>
      <w:r w:rsidRPr="00380B40">
        <w:rPr>
          <w:lang w:val="en-GB"/>
        </w:rPr>
        <w:tab/>
        <w:t>to consider the creation of a national CIRT as a high priority;</w:t>
      </w:r>
    </w:p>
    <w:p w14:paraId="01633F2A" w14:textId="77777777" w:rsidR="008A70C9" w:rsidRPr="00380B40" w:rsidRDefault="008A70C9" w:rsidP="008A70C9">
      <w:pPr>
        <w:rPr>
          <w:lang w:val="en-GB"/>
        </w:rPr>
      </w:pPr>
      <w:r w:rsidRPr="00380B40">
        <w:rPr>
          <w:lang w:val="en-GB"/>
        </w:rPr>
        <w:t>2</w:t>
      </w:r>
      <w:r w:rsidRPr="00380B40">
        <w:rPr>
          <w:lang w:val="en-GB"/>
        </w:rPr>
        <w:tab/>
        <w:t>to collaborate with other Member States and with Sector Members,</w:t>
      </w:r>
    </w:p>
    <w:p w14:paraId="577ACE53" w14:textId="77777777" w:rsidR="008A70C9" w:rsidRPr="00380B40" w:rsidRDefault="008A70C9" w:rsidP="008A70C9">
      <w:pPr>
        <w:pStyle w:val="Call"/>
        <w:rPr>
          <w:lang w:val="en-GB"/>
        </w:rPr>
      </w:pPr>
      <w:r w:rsidRPr="00380B40">
        <w:rPr>
          <w:lang w:val="en-GB"/>
        </w:rPr>
        <w:t>invites Member States and Sector Members</w:t>
      </w:r>
    </w:p>
    <w:p w14:paraId="1D4A3C78" w14:textId="77777777" w:rsidR="008A70C9" w:rsidRPr="00380B40" w:rsidRDefault="008A70C9" w:rsidP="008A70C9">
      <w:pPr>
        <w:rPr>
          <w:lang w:val="en-GB"/>
        </w:rPr>
      </w:pPr>
      <w:r w:rsidRPr="00380B40">
        <w:rPr>
          <w:lang w:val="en-GB"/>
        </w:rPr>
        <w:t>to cooperate closely with ITU-T and ITU</w:t>
      </w:r>
      <w:r w:rsidRPr="00380B40">
        <w:rPr>
          <w:lang w:val="en-GB"/>
        </w:rPr>
        <w:noBreakHyphen/>
        <w:t>D in this regard.</w:t>
      </w:r>
    </w:p>
    <w:p w14:paraId="43FE7F44" w14:textId="77777777" w:rsidR="00ED0610" w:rsidRPr="00380B40" w:rsidRDefault="00ED0610" w:rsidP="00D54D2E">
      <w:pPr>
        <w:rPr>
          <w:lang w:val="en-GB"/>
        </w:rPr>
      </w:pPr>
    </w:p>
    <w:p w14:paraId="15652BF9" w14:textId="77777777" w:rsidR="00ED0610" w:rsidRPr="00380B40" w:rsidRDefault="00ED0610" w:rsidP="00D54D2E">
      <w:pPr>
        <w:rPr>
          <w:lang w:val="en-GB"/>
        </w:rPr>
      </w:pPr>
    </w:p>
    <w:p w14:paraId="6554A1E2" w14:textId="77777777" w:rsidR="004348C7" w:rsidRPr="00380B40" w:rsidRDefault="004348C7" w:rsidP="004348C7">
      <w:pPr>
        <w:rPr>
          <w:lang w:val="en-GB"/>
        </w:rPr>
      </w:pPr>
    </w:p>
    <w:p w14:paraId="7AD33E4E" w14:textId="77777777" w:rsidR="004348C7" w:rsidRPr="00380B40" w:rsidRDefault="004348C7" w:rsidP="004348C7">
      <w:pPr>
        <w:rPr>
          <w:lang w:val="en-GB"/>
        </w:rPr>
        <w:sectPr w:rsidR="004348C7" w:rsidRPr="00380B40" w:rsidSect="001D48FF">
          <w:headerReference w:type="even" r:id="rId147"/>
          <w:headerReference w:type="default" r:id="rId148"/>
          <w:footerReference w:type="even" r:id="rId149"/>
          <w:footerReference w:type="default" r:id="rId150"/>
          <w:headerReference w:type="first" r:id="rId151"/>
          <w:footerReference w:type="first" r:id="rId152"/>
          <w:footnotePr>
            <w:numRestart w:val="eachSect"/>
          </w:footnotePr>
          <w:pgSz w:w="11907" w:h="16834" w:code="9"/>
          <w:pgMar w:top="1134" w:right="1134" w:bottom="1134" w:left="1134" w:header="567" w:footer="567" w:gutter="0"/>
          <w:paperSrc w:first="15" w:other="15"/>
          <w:cols w:space="720"/>
          <w:vAlign w:val="both"/>
          <w:docGrid w:linePitch="299"/>
        </w:sectPr>
      </w:pPr>
    </w:p>
    <w:p w14:paraId="150A230F" w14:textId="77777777" w:rsidR="008322F8" w:rsidRPr="00380B40" w:rsidRDefault="00055CCD" w:rsidP="008A70C9">
      <w:pPr>
        <w:pStyle w:val="ResNo"/>
        <w:rPr>
          <w:lang w:val="en-GB"/>
        </w:rPr>
      </w:pPr>
      <w:bookmarkStart w:id="241" w:name="_Toc104459737"/>
      <w:bookmarkStart w:id="242" w:name="_Toc104476545"/>
      <w:bookmarkStart w:id="243" w:name="_Toc111636780"/>
      <w:bookmarkStart w:id="244" w:name="_Toc111638438"/>
      <w:r w:rsidRPr="00380B40">
        <w:rPr>
          <w:caps w:val="0"/>
          <w:lang w:val="en-GB"/>
        </w:rPr>
        <w:t xml:space="preserve">RESOLUTION </w:t>
      </w:r>
      <w:r w:rsidR="008322F8" w:rsidRPr="00380B40">
        <w:rPr>
          <w:rStyle w:val="href"/>
          <w:lang w:val="en-GB"/>
        </w:rPr>
        <w:t xml:space="preserve">60 </w:t>
      </w:r>
      <w:r w:rsidR="008A70C9" w:rsidRPr="00380B40">
        <w:rPr>
          <w:lang w:val="en-GB"/>
        </w:rPr>
        <w:t>(R</w:t>
      </w:r>
      <w:r w:rsidR="002F7194" w:rsidRPr="00380B40">
        <w:rPr>
          <w:caps w:val="0"/>
          <w:lang w:val="en-GB"/>
        </w:rPr>
        <w:t>ev</w:t>
      </w:r>
      <w:r w:rsidR="008A70C9" w:rsidRPr="00380B40">
        <w:rPr>
          <w:lang w:val="en-GB"/>
        </w:rPr>
        <w:t>. G</w:t>
      </w:r>
      <w:r w:rsidR="002F7194" w:rsidRPr="00380B40">
        <w:rPr>
          <w:caps w:val="0"/>
          <w:lang w:val="en-GB"/>
        </w:rPr>
        <w:t>eneva</w:t>
      </w:r>
      <w:r w:rsidR="008A70C9" w:rsidRPr="00380B40">
        <w:rPr>
          <w:lang w:val="en-GB"/>
        </w:rPr>
        <w:t>, 2022)</w:t>
      </w:r>
      <w:bookmarkEnd w:id="241"/>
      <w:bookmarkEnd w:id="242"/>
      <w:bookmarkEnd w:id="243"/>
      <w:bookmarkEnd w:id="244"/>
    </w:p>
    <w:p w14:paraId="40EFBF81" w14:textId="77777777" w:rsidR="008A70C9" w:rsidRPr="00380B40" w:rsidRDefault="008A70C9" w:rsidP="008A70C9">
      <w:pPr>
        <w:pStyle w:val="Restitle"/>
        <w:rPr>
          <w:lang w:val="en-GB"/>
        </w:rPr>
      </w:pPr>
      <w:bookmarkStart w:id="245" w:name="_Toc104459738"/>
      <w:bookmarkStart w:id="246" w:name="_Toc104476546"/>
      <w:bookmarkStart w:id="247" w:name="_Toc111638439"/>
      <w:r w:rsidRPr="00380B40">
        <w:rPr>
          <w:lang w:val="en-GB"/>
        </w:rPr>
        <w:t>Responding to the challenges of the evolution of the identification/numbering system and its convergence with Internet Protocol-based systems/networks</w:t>
      </w:r>
      <w:bookmarkEnd w:id="245"/>
      <w:bookmarkEnd w:id="246"/>
      <w:bookmarkEnd w:id="247"/>
    </w:p>
    <w:p w14:paraId="48929586" w14:textId="77777777" w:rsidR="008A70C9" w:rsidRPr="00380B40" w:rsidRDefault="008A70C9" w:rsidP="008A70C9">
      <w:pPr>
        <w:pStyle w:val="Resref"/>
        <w:rPr>
          <w:lang w:val="en-GB"/>
        </w:rPr>
      </w:pPr>
      <w:r w:rsidRPr="00380B40">
        <w:rPr>
          <w:lang w:val="en-GB"/>
        </w:rPr>
        <w:t>(Johannesburg, 2008; Dubai, 2012; Geneva, 2022)</w:t>
      </w:r>
    </w:p>
    <w:p w14:paraId="3A7F1178" w14:textId="77777777" w:rsidR="008A70C9" w:rsidRPr="00380B40" w:rsidRDefault="008A70C9" w:rsidP="008A70C9">
      <w:pPr>
        <w:pStyle w:val="Normalaftertitle0"/>
      </w:pPr>
      <w:r w:rsidRPr="00380B40">
        <w:t>The World Telecommunication Standardization Assembly (Geneva, 2022),</w:t>
      </w:r>
    </w:p>
    <w:p w14:paraId="37CDEFA0" w14:textId="77777777" w:rsidR="008A70C9" w:rsidRPr="00380B40" w:rsidRDefault="008A70C9" w:rsidP="008A70C9">
      <w:pPr>
        <w:pStyle w:val="Call"/>
        <w:rPr>
          <w:lang w:val="en-GB"/>
        </w:rPr>
      </w:pPr>
      <w:r w:rsidRPr="00380B40">
        <w:rPr>
          <w:lang w:val="en-GB"/>
        </w:rPr>
        <w:t>recognizing</w:t>
      </w:r>
    </w:p>
    <w:p w14:paraId="726EAE74" w14:textId="77777777" w:rsidR="008A70C9" w:rsidRPr="00380B40" w:rsidRDefault="008A70C9" w:rsidP="008A70C9">
      <w:pPr>
        <w:rPr>
          <w:lang w:val="en-GB"/>
        </w:rPr>
      </w:pPr>
      <w:r w:rsidRPr="00380B40">
        <w:rPr>
          <w:i/>
          <w:iCs/>
          <w:lang w:val="en-GB"/>
        </w:rPr>
        <w:t>a)</w:t>
      </w:r>
      <w:r w:rsidRPr="00380B40">
        <w:rPr>
          <w:lang w:val="en-GB"/>
        </w:rPr>
        <w:tab/>
        <w:t>Resolution 133 (Rev. Dubai, 2018) of the Plenipotentiary Conference, with regard to the continuing progress towards integration of telecommunications and the Internet;</w:t>
      </w:r>
    </w:p>
    <w:p w14:paraId="1B279679" w14:textId="77777777" w:rsidR="008A70C9" w:rsidRPr="00380B40" w:rsidRDefault="008A70C9" w:rsidP="008A70C9">
      <w:pPr>
        <w:rPr>
          <w:lang w:val="en-GB"/>
        </w:rPr>
      </w:pPr>
      <w:r w:rsidRPr="00380B40">
        <w:rPr>
          <w:i/>
          <w:iCs/>
          <w:lang w:val="en-GB"/>
        </w:rPr>
        <w:t>b)</w:t>
      </w:r>
      <w:r w:rsidRPr="00380B40">
        <w:rPr>
          <w:lang w:val="en-GB"/>
        </w:rPr>
        <w:tab/>
        <w:t>Resolutions 101 and 102 (Rev. Dubai, 2018) of the Plenipotentiary Conference;</w:t>
      </w:r>
    </w:p>
    <w:p w14:paraId="58C45D06" w14:textId="77777777" w:rsidR="008A70C9" w:rsidRPr="00380B40" w:rsidRDefault="008A70C9" w:rsidP="008A70C9">
      <w:pPr>
        <w:rPr>
          <w:lang w:val="en-GB"/>
        </w:rPr>
      </w:pPr>
      <w:r w:rsidRPr="00380B40">
        <w:rPr>
          <w:i/>
          <w:iCs/>
          <w:lang w:val="en-GB"/>
        </w:rPr>
        <w:t>c)</w:t>
      </w:r>
      <w:r w:rsidRPr="00380B40">
        <w:rPr>
          <w:lang w:val="en-GB"/>
        </w:rPr>
        <w:tab/>
        <w:t>the evolving role of the World Telecommunication Standardization Assembly, as reflected in Resolution 122 (Rev. Guadalajara, 2010) of the Plenipotentiary Conference,</w:t>
      </w:r>
    </w:p>
    <w:p w14:paraId="00318A72" w14:textId="77777777" w:rsidR="008A70C9" w:rsidRPr="00380B40" w:rsidRDefault="008A70C9" w:rsidP="008A70C9">
      <w:pPr>
        <w:pStyle w:val="Call"/>
        <w:rPr>
          <w:lang w:val="en-GB"/>
        </w:rPr>
      </w:pPr>
      <w:r w:rsidRPr="00380B40">
        <w:rPr>
          <w:lang w:val="en-GB"/>
        </w:rPr>
        <w:t>noting</w:t>
      </w:r>
    </w:p>
    <w:p w14:paraId="0798F409" w14:textId="77777777" w:rsidR="008A70C9" w:rsidRPr="00380B40" w:rsidRDefault="008A70C9" w:rsidP="008A70C9">
      <w:pPr>
        <w:rPr>
          <w:lang w:val="en-GB"/>
        </w:rPr>
      </w:pPr>
      <w:r w:rsidRPr="00380B40">
        <w:rPr>
          <w:i/>
          <w:iCs/>
          <w:lang w:val="en-GB"/>
        </w:rPr>
        <w:t>a)</w:t>
      </w:r>
      <w:r w:rsidRPr="00380B40">
        <w:rPr>
          <w:lang w:val="en-GB"/>
        </w:rPr>
        <w:tab/>
        <w:t>the work in Study Group 2 of the ITU Telecommunication Standardization Sector (ITU</w:t>
      </w:r>
      <w:r w:rsidRPr="00380B40">
        <w:rPr>
          <w:lang w:val="en-GB"/>
        </w:rPr>
        <w:noBreakHyphen/>
        <w:t xml:space="preserve">T), on investigating the evolutionary aspect of the numbering system, including the "future of numbering", considering next-generation networks (NGN) </w:t>
      </w:r>
      <w:r w:rsidRPr="00380B40">
        <w:rPr>
          <w:szCs w:val="24"/>
          <w:lang w:val="en-GB"/>
        </w:rPr>
        <w:t xml:space="preserve">and future networks (FN) </w:t>
      </w:r>
      <w:r w:rsidRPr="00380B40">
        <w:rPr>
          <w:lang w:val="en-GB"/>
        </w:rPr>
        <w:t>as the working environment of the numbering system in the future;</w:t>
      </w:r>
    </w:p>
    <w:p w14:paraId="11D6AEBA" w14:textId="77777777" w:rsidR="008A70C9" w:rsidRPr="00380B40" w:rsidRDefault="008A70C9" w:rsidP="008A70C9">
      <w:pPr>
        <w:rPr>
          <w:lang w:val="en-GB"/>
        </w:rPr>
      </w:pPr>
      <w:r w:rsidRPr="00380B40">
        <w:rPr>
          <w:i/>
          <w:iCs/>
          <w:lang w:val="en-GB"/>
        </w:rPr>
        <w:t>b)</w:t>
      </w:r>
      <w:r w:rsidRPr="00380B40">
        <w:rPr>
          <w:lang w:val="en-GB"/>
        </w:rPr>
        <w:tab/>
        <w:t>that the transition from traditional networks to Internet Protocol (IP)-based networks is taking place at a fast pace, whilst there is a transition to NGN and FN;</w:t>
      </w:r>
    </w:p>
    <w:p w14:paraId="73F9D2ED" w14:textId="77777777" w:rsidR="008A70C9" w:rsidRPr="00380B40" w:rsidRDefault="008A70C9" w:rsidP="008A70C9">
      <w:pPr>
        <w:rPr>
          <w:lang w:val="en-GB"/>
        </w:rPr>
      </w:pPr>
      <w:r w:rsidRPr="00380B40">
        <w:rPr>
          <w:i/>
          <w:iCs/>
          <w:lang w:val="en-GB"/>
        </w:rPr>
        <w:t>c)</w:t>
      </w:r>
      <w:r w:rsidRPr="00380B40">
        <w:rPr>
          <w:lang w:val="en-GB"/>
        </w:rPr>
        <w:tab/>
        <w:t>the emerging issues concerning administrative control for international telecommunication service-based numbers;</w:t>
      </w:r>
    </w:p>
    <w:p w14:paraId="521DB5FC" w14:textId="77777777" w:rsidR="008A70C9" w:rsidRPr="00380B40" w:rsidRDefault="008A70C9" w:rsidP="008A70C9">
      <w:pPr>
        <w:rPr>
          <w:lang w:val="en-GB"/>
        </w:rPr>
      </w:pPr>
      <w:r w:rsidRPr="00380B40">
        <w:rPr>
          <w:i/>
          <w:iCs/>
          <w:lang w:val="en-GB"/>
        </w:rPr>
        <w:t>d)</w:t>
      </w:r>
      <w:r w:rsidRPr="00380B40">
        <w:rPr>
          <w:lang w:val="en-GB"/>
        </w:rPr>
        <w:tab/>
        <w:t>the forthcoming issues concerning the convergence of numbering, naming, addressing and identification (NNAI) systems along with the development of NGN</w:t>
      </w:r>
      <w:r w:rsidRPr="00380B40">
        <w:rPr>
          <w:szCs w:val="24"/>
          <w:lang w:val="en-GB"/>
        </w:rPr>
        <w:t xml:space="preserve"> and FNs</w:t>
      </w:r>
      <w:r w:rsidRPr="00380B40">
        <w:rPr>
          <w:lang w:val="en-GB"/>
        </w:rPr>
        <w:t>, and associated issues concerning security, signalling, portability and migration;</w:t>
      </w:r>
    </w:p>
    <w:p w14:paraId="58DB6BB9" w14:textId="77777777" w:rsidR="008A70C9" w:rsidRPr="00380B40" w:rsidRDefault="008A70C9" w:rsidP="008A70C9">
      <w:pPr>
        <w:rPr>
          <w:lang w:val="en-GB"/>
        </w:rPr>
      </w:pPr>
      <w:r w:rsidRPr="00380B40">
        <w:rPr>
          <w:i/>
          <w:iCs/>
          <w:szCs w:val="24"/>
          <w:lang w:val="en-GB"/>
        </w:rPr>
        <w:t>e)</w:t>
      </w:r>
      <w:r w:rsidRPr="00380B40">
        <w:rPr>
          <w:szCs w:val="24"/>
          <w:lang w:val="en-GB"/>
        </w:rPr>
        <w:tab/>
      </w:r>
      <w:r w:rsidRPr="00380B40">
        <w:rPr>
          <w:lang w:val="en-GB"/>
        </w:rPr>
        <w:t>the growing demand for numbering/identification resources for communications referred to as machine-to-machine (M2M);</w:t>
      </w:r>
    </w:p>
    <w:p w14:paraId="74C0769D" w14:textId="77777777" w:rsidR="008A70C9" w:rsidRPr="00380B40" w:rsidRDefault="008A70C9" w:rsidP="008A70C9">
      <w:pPr>
        <w:rPr>
          <w:lang w:val="en-GB"/>
        </w:rPr>
      </w:pPr>
      <w:r w:rsidRPr="00380B40">
        <w:rPr>
          <w:i/>
          <w:iCs/>
          <w:lang w:val="en-GB"/>
        </w:rPr>
        <w:t>f)</w:t>
      </w:r>
      <w:r w:rsidRPr="00380B40">
        <w:rPr>
          <w:lang w:val="en-GB"/>
        </w:rPr>
        <w:tab/>
        <w:t>the need for principles and a roadmap for the evolution of international telecommunication resources, which would be expected to help the timely, predictable deployment of advanced identification technologies,</w:t>
      </w:r>
    </w:p>
    <w:p w14:paraId="16936025" w14:textId="77777777" w:rsidR="000110BB" w:rsidRPr="00380B40" w:rsidRDefault="000110BB" w:rsidP="008A70C9">
      <w:pPr>
        <w:pStyle w:val="Call"/>
        <w:rPr>
          <w:lang w:val="en-GB"/>
        </w:rPr>
      </w:pPr>
      <w:r w:rsidRPr="00380B40">
        <w:rPr>
          <w:lang w:val="en-GB"/>
        </w:rPr>
        <w:br w:type="page"/>
      </w:r>
    </w:p>
    <w:p w14:paraId="2EDC2FB4" w14:textId="77777777" w:rsidR="008A70C9" w:rsidRPr="00380B40" w:rsidRDefault="008A70C9" w:rsidP="008A70C9">
      <w:pPr>
        <w:pStyle w:val="Call"/>
        <w:rPr>
          <w:lang w:val="en-GB"/>
        </w:rPr>
      </w:pPr>
      <w:r w:rsidRPr="00380B40">
        <w:rPr>
          <w:lang w:val="en-GB"/>
        </w:rPr>
        <w:t xml:space="preserve">resolves to instruct Study Group 2 </w:t>
      </w:r>
      <w:bookmarkStart w:id="248" w:name="_Hlk98099692"/>
      <w:r w:rsidRPr="00380B40">
        <w:rPr>
          <w:lang w:val="en-GB"/>
        </w:rPr>
        <w:t>of the ITU Telecommunication Standardization Sector</w:t>
      </w:r>
      <w:bookmarkEnd w:id="248"/>
      <w:r w:rsidRPr="00380B40">
        <w:rPr>
          <w:lang w:val="en-GB"/>
        </w:rPr>
        <w:t>, within the Sector</w:t>
      </w:r>
      <w:r w:rsidR="00F82355" w:rsidRPr="00380B40">
        <w:rPr>
          <w:lang w:val="en-GB"/>
        </w:rPr>
        <w:t>'</w:t>
      </w:r>
      <w:r w:rsidRPr="00380B40">
        <w:rPr>
          <w:lang w:val="en-GB"/>
        </w:rPr>
        <w:t xml:space="preserve">s mandate </w:t>
      </w:r>
    </w:p>
    <w:p w14:paraId="501ED213" w14:textId="77777777" w:rsidR="008A70C9" w:rsidRPr="00380B40" w:rsidRDefault="008A70C9" w:rsidP="008A70C9">
      <w:pPr>
        <w:rPr>
          <w:lang w:val="en-GB"/>
        </w:rPr>
      </w:pPr>
      <w:r w:rsidRPr="00380B40">
        <w:rPr>
          <w:lang w:val="en-GB"/>
        </w:rPr>
        <w:t>1</w:t>
      </w:r>
      <w:r w:rsidRPr="00380B40">
        <w:rPr>
          <w:lang w:val="en-GB"/>
        </w:rPr>
        <w:tab/>
        <w:t>to continue studying, in liaison with the other relevant study groups, the necessary requirements for the structure and maintenance of telecommunication NNAI resources in relation to the deployment of future telecommunications/information and communication technologies (ICTs), including IP-based networks;</w:t>
      </w:r>
    </w:p>
    <w:p w14:paraId="496DF9E5" w14:textId="77777777" w:rsidR="008A70C9" w:rsidRPr="00380B40" w:rsidRDefault="008A70C9" w:rsidP="008A70C9">
      <w:pPr>
        <w:rPr>
          <w:lang w:val="en-GB"/>
        </w:rPr>
      </w:pPr>
      <w:r w:rsidRPr="00380B40">
        <w:rPr>
          <w:lang w:val="en-GB"/>
        </w:rPr>
        <w:t>2</w:t>
      </w:r>
      <w:r w:rsidRPr="00380B40">
        <w:rPr>
          <w:lang w:val="en-GB"/>
        </w:rPr>
        <w:tab/>
        <w:t>to ensure the continued development of the administrative requirements for the use of existing NNAI resource management systems;</w:t>
      </w:r>
    </w:p>
    <w:p w14:paraId="1B189B9D" w14:textId="77777777" w:rsidR="008A70C9" w:rsidRPr="00380B40" w:rsidRDefault="008A70C9" w:rsidP="008A70C9">
      <w:pPr>
        <w:rPr>
          <w:lang w:val="en-GB"/>
        </w:rPr>
      </w:pPr>
      <w:r w:rsidRPr="00380B40">
        <w:rPr>
          <w:lang w:val="en-GB"/>
        </w:rPr>
        <w:t>3</w:t>
      </w:r>
      <w:r w:rsidRPr="00380B40">
        <w:rPr>
          <w:lang w:val="en-GB"/>
        </w:rPr>
        <w:tab/>
        <w:t>to continue developing guidelines, as well as a framework, for the evolution of the international telecommunication NNAI system and its convergence with IP-based systems and use for emerging telecommunications/ICTs and services, in coordination with related study groups and associated regional groups, so that a basis for any new application can be provided,</w:t>
      </w:r>
    </w:p>
    <w:p w14:paraId="1A168C36" w14:textId="77777777" w:rsidR="008A70C9" w:rsidRPr="00380B40" w:rsidRDefault="008A70C9" w:rsidP="008A70C9">
      <w:pPr>
        <w:pStyle w:val="Call"/>
        <w:rPr>
          <w:lang w:val="en-GB"/>
        </w:rPr>
      </w:pPr>
      <w:r w:rsidRPr="00380B40">
        <w:rPr>
          <w:lang w:val="en-GB"/>
        </w:rPr>
        <w:t>instructs relevant study groups</w:t>
      </w:r>
      <w:r w:rsidRPr="00380B40">
        <w:rPr>
          <w:szCs w:val="24"/>
          <w:lang w:val="en-GB"/>
        </w:rPr>
        <w:t>, and in particular Study Group 13</w:t>
      </w:r>
      <w:r w:rsidRPr="00380B40">
        <w:rPr>
          <w:lang w:val="en-GB"/>
        </w:rPr>
        <w:t xml:space="preserve"> of the ITU Telecommunication Standardization Sector</w:t>
      </w:r>
    </w:p>
    <w:p w14:paraId="6E0DB39A" w14:textId="77777777" w:rsidR="008A70C9" w:rsidRPr="00380B40" w:rsidRDefault="008A70C9" w:rsidP="008A70C9">
      <w:pPr>
        <w:rPr>
          <w:lang w:val="en-GB"/>
        </w:rPr>
      </w:pPr>
      <w:r w:rsidRPr="00380B40">
        <w:rPr>
          <w:lang w:val="en-GB"/>
        </w:rPr>
        <w:t>1</w:t>
      </w:r>
      <w:r w:rsidRPr="00380B40">
        <w:rPr>
          <w:lang w:val="en-GB"/>
        </w:rPr>
        <w:tab/>
        <w:t>to support the work of Study Group 2, in order to ensure that such applications are based on appropriate guidelines, as well as a framework, for the evolution of the international telecommunication numbering</w:t>
      </w:r>
      <w:r w:rsidRPr="00380B40">
        <w:rPr>
          <w:szCs w:val="24"/>
          <w:lang w:val="en-GB"/>
        </w:rPr>
        <w:t>/identification</w:t>
      </w:r>
      <w:r w:rsidRPr="00380B40">
        <w:rPr>
          <w:lang w:val="en-GB"/>
        </w:rPr>
        <w:t xml:space="preserve"> system to meet the needs of emerging telecommunications/ICTs and services; </w:t>
      </w:r>
    </w:p>
    <w:p w14:paraId="1EB01FCC" w14:textId="77777777" w:rsidR="008A70C9" w:rsidRPr="00380B40" w:rsidRDefault="008A70C9" w:rsidP="008A70C9">
      <w:pPr>
        <w:rPr>
          <w:lang w:val="en-GB"/>
        </w:rPr>
      </w:pPr>
      <w:r w:rsidRPr="00380B40">
        <w:rPr>
          <w:lang w:val="en-GB"/>
        </w:rPr>
        <w:t>2</w:t>
      </w:r>
      <w:r w:rsidRPr="00380B40">
        <w:rPr>
          <w:lang w:val="en-GB"/>
        </w:rPr>
        <w:tab/>
        <w:t>to help investigate the impact of emerging telecommunications/ICTs and services on the numbering</w:t>
      </w:r>
      <w:r w:rsidRPr="00380B40">
        <w:rPr>
          <w:szCs w:val="24"/>
          <w:lang w:val="en-GB"/>
        </w:rPr>
        <w:t>/identification</w:t>
      </w:r>
      <w:r w:rsidRPr="00380B40">
        <w:rPr>
          <w:lang w:val="en-GB"/>
        </w:rPr>
        <w:t xml:space="preserve"> system,</w:t>
      </w:r>
    </w:p>
    <w:p w14:paraId="65C08A88" w14:textId="77777777" w:rsidR="008A70C9" w:rsidRPr="00380B40" w:rsidRDefault="008A70C9" w:rsidP="008A70C9">
      <w:pPr>
        <w:pStyle w:val="Call"/>
        <w:rPr>
          <w:lang w:val="en-GB"/>
        </w:rPr>
      </w:pPr>
      <w:r w:rsidRPr="00380B40">
        <w:rPr>
          <w:lang w:val="en-GB"/>
        </w:rPr>
        <w:t>instructs the Director of the Telecommunication Standardization Bureau</w:t>
      </w:r>
    </w:p>
    <w:p w14:paraId="268F70CE" w14:textId="77777777" w:rsidR="008A70C9" w:rsidRPr="00380B40" w:rsidRDefault="008A70C9" w:rsidP="008A70C9">
      <w:pPr>
        <w:rPr>
          <w:lang w:val="en-GB"/>
        </w:rPr>
      </w:pPr>
      <w:r w:rsidRPr="00380B40">
        <w:rPr>
          <w:lang w:val="en-GB"/>
        </w:rPr>
        <w:t>1</w:t>
      </w:r>
      <w:r w:rsidRPr="00380B40">
        <w:rPr>
          <w:lang w:val="en-GB"/>
        </w:rPr>
        <w:tab/>
        <w:t>to take appropriate action to facilitate the foregoing work regarding the evolution of the international telecommunication NNAI system and its applications;</w:t>
      </w:r>
    </w:p>
    <w:p w14:paraId="67E749CD" w14:textId="77777777" w:rsidR="008A70C9" w:rsidRPr="00380B40" w:rsidRDefault="008A70C9" w:rsidP="008A70C9">
      <w:pPr>
        <w:rPr>
          <w:lang w:val="en-GB"/>
        </w:rPr>
      </w:pPr>
      <w:r w:rsidRPr="00380B40">
        <w:rPr>
          <w:lang w:val="en-GB"/>
        </w:rPr>
        <w:t>2</w:t>
      </w:r>
      <w:r w:rsidRPr="00380B40">
        <w:rPr>
          <w:lang w:val="en-GB"/>
        </w:rPr>
        <w:tab/>
        <w:t>to share experiences in relation to this resolution,</w:t>
      </w:r>
    </w:p>
    <w:p w14:paraId="2F073BCE" w14:textId="77777777" w:rsidR="008A70C9" w:rsidRPr="00380B40" w:rsidRDefault="008A70C9" w:rsidP="008A70C9">
      <w:pPr>
        <w:pStyle w:val="Call"/>
        <w:rPr>
          <w:lang w:val="en-GB"/>
        </w:rPr>
      </w:pPr>
      <w:r w:rsidRPr="00380B40">
        <w:rPr>
          <w:lang w:val="en-GB"/>
        </w:rPr>
        <w:t>invites Member States and Sector Members</w:t>
      </w:r>
    </w:p>
    <w:p w14:paraId="438E0AC1" w14:textId="77777777" w:rsidR="008A70C9" w:rsidRPr="00380B40" w:rsidRDefault="008A70C9" w:rsidP="008A70C9">
      <w:pPr>
        <w:rPr>
          <w:lang w:val="en-GB"/>
        </w:rPr>
      </w:pPr>
      <w:r w:rsidRPr="00380B40">
        <w:rPr>
          <w:lang w:val="en-GB"/>
        </w:rPr>
        <w:t>1</w:t>
      </w:r>
      <w:r w:rsidRPr="00380B40">
        <w:rPr>
          <w:lang w:val="en-GB"/>
        </w:rPr>
        <w:tab/>
        <w:t>to contribute to these activities, taking into consideration their national concerns and experiences;</w:t>
      </w:r>
    </w:p>
    <w:p w14:paraId="3B3F5B71" w14:textId="77777777" w:rsidR="008A70C9" w:rsidRPr="00380B40" w:rsidRDefault="008A70C9" w:rsidP="008A70C9">
      <w:pPr>
        <w:rPr>
          <w:lang w:val="en-GB"/>
        </w:rPr>
      </w:pPr>
      <w:r w:rsidRPr="00380B40">
        <w:rPr>
          <w:lang w:val="en-GB"/>
        </w:rPr>
        <w:t>2</w:t>
      </w:r>
      <w:r w:rsidRPr="00380B40">
        <w:rPr>
          <w:lang w:val="en-GB"/>
        </w:rPr>
        <w:tab/>
        <w:t>to participate in and to contribute to regional groups discussing the issue and to promote the participation of developing countries</w:t>
      </w:r>
      <w:r w:rsidR="00FD162E" w:rsidRPr="00380B40">
        <w:rPr>
          <w:rStyle w:val="FootnoteReference"/>
          <w:lang w:val="en-GB"/>
        </w:rPr>
        <w:footnoteReference w:id="26"/>
      </w:r>
      <w:r w:rsidRPr="00380B40">
        <w:rPr>
          <w:lang w:val="en-GB"/>
        </w:rPr>
        <w:t xml:space="preserve"> in those discussions.</w:t>
      </w:r>
    </w:p>
    <w:p w14:paraId="08A3C2EA" w14:textId="77777777" w:rsidR="004B3777" w:rsidRPr="00380B40" w:rsidRDefault="004B3777" w:rsidP="008322F8">
      <w:pPr>
        <w:rPr>
          <w:lang w:val="en-GB"/>
        </w:rPr>
      </w:pPr>
    </w:p>
    <w:p w14:paraId="0D793BB7" w14:textId="77777777" w:rsidR="008B09DE" w:rsidRPr="00380B40" w:rsidRDefault="008B09DE" w:rsidP="008B09DE">
      <w:pPr>
        <w:rPr>
          <w:lang w:val="en-GB"/>
        </w:rPr>
      </w:pPr>
    </w:p>
    <w:p w14:paraId="7EF49180" w14:textId="77777777" w:rsidR="008B09DE" w:rsidRPr="00380B40" w:rsidRDefault="008B09DE" w:rsidP="008B09DE">
      <w:pPr>
        <w:rPr>
          <w:lang w:val="en-GB"/>
        </w:rPr>
        <w:sectPr w:rsidR="008B09DE" w:rsidRPr="00380B40" w:rsidSect="001D48FF">
          <w:headerReference w:type="even" r:id="rId153"/>
          <w:headerReference w:type="default" r:id="rId154"/>
          <w:footerReference w:type="even" r:id="rId155"/>
          <w:footerReference w:type="default" r:id="rId156"/>
          <w:headerReference w:type="first" r:id="rId157"/>
          <w:footerReference w:type="first" r:id="rId158"/>
          <w:footnotePr>
            <w:numRestart w:val="eachSect"/>
          </w:footnotePr>
          <w:pgSz w:w="11907" w:h="16834" w:code="9"/>
          <w:pgMar w:top="1134" w:right="1134" w:bottom="1134" w:left="1134" w:header="567" w:footer="567" w:gutter="0"/>
          <w:paperSrc w:first="15" w:other="15"/>
          <w:cols w:space="720"/>
          <w:vAlign w:val="both"/>
          <w:docGrid w:linePitch="299"/>
        </w:sectPr>
      </w:pPr>
    </w:p>
    <w:p w14:paraId="077EDA48" w14:textId="77777777" w:rsidR="008322F8" w:rsidRPr="00380B40" w:rsidRDefault="00055CCD" w:rsidP="008A70C9">
      <w:pPr>
        <w:pStyle w:val="ResNo"/>
        <w:rPr>
          <w:lang w:val="en-GB"/>
        </w:rPr>
      </w:pPr>
      <w:bookmarkStart w:id="249" w:name="_Toc104459739"/>
      <w:bookmarkStart w:id="250" w:name="_Toc104476547"/>
      <w:bookmarkStart w:id="251" w:name="_Toc111636781"/>
      <w:bookmarkStart w:id="252" w:name="_Toc111638440"/>
      <w:r w:rsidRPr="00380B40">
        <w:rPr>
          <w:caps w:val="0"/>
          <w:lang w:val="en-GB"/>
        </w:rPr>
        <w:t xml:space="preserve">RESOLUTION </w:t>
      </w:r>
      <w:r w:rsidR="008322F8" w:rsidRPr="00380B40">
        <w:rPr>
          <w:rStyle w:val="href"/>
          <w:lang w:val="en-GB"/>
        </w:rPr>
        <w:t xml:space="preserve">61 </w:t>
      </w:r>
      <w:r w:rsidR="008A70C9" w:rsidRPr="00380B40">
        <w:rPr>
          <w:lang w:val="en-GB"/>
        </w:rPr>
        <w:t>(R</w:t>
      </w:r>
      <w:r w:rsidR="00910F3B" w:rsidRPr="00380B40">
        <w:rPr>
          <w:caps w:val="0"/>
          <w:lang w:val="en-GB"/>
        </w:rPr>
        <w:t>ev</w:t>
      </w:r>
      <w:r w:rsidR="008A70C9" w:rsidRPr="00380B40">
        <w:rPr>
          <w:lang w:val="en-GB"/>
        </w:rPr>
        <w:t>. G</w:t>
      </w:r>
      <w:r w:rsidR="00910F3B" w:rsidRPr="00380B40">
        <w:rPr>
          <w:caps w:val="0"/>
          <w:lang w:val="en-GB"/>
        </w:rPr>
        <w:t>eneva</w:t>
      </w:r>
      <w:r w:rsidR="008A70C9" w:rsidRPr="00380B40">
        <w:rPr>
          <w:lang w:val="en-GB"/>
        </w:rPr>
        <w:t>, 2022)</w:t>
      </w:r>
      <w:bookmarkEnd w:id="249"/>
      <w:bookmarkEnd w:id="250"/>
      <w:bookmarkEnd w:id="251"/>
      <w:bookmarkEnd w:id="252"/>
    </w:p>
    <w:p w14:paraId="2888BC85" w14:textId="77777777" w:rsidR="008A70C9" w:rsidRPr="00380B40" w:rsidRDefault="008A70C9" w:rsidP="008A70C9">
      <w:pPr>
        <w:pStyle w:val="Restitle"/>
        <w:rPr>
          <w:lang w:val="en-GB"/>
        </w:rPr>
      </w:pPr>
      <w:bookmarkStart w:id="253" w:name="_Toc104459740"/>
      <w:bookmarkStart w:id="254" w:name="_Toc104476548"/>
      <w:bookmarkStart w:id="255" w:name="_Toc111638441"/>
      <w:r w:rsidRPr="00380B40">
        <w:rPr>
          <w:lang w:val="en-GB"/>
        </w:rPr>
        <w:t>Countering and combating misappropriation and misuse of international telecommunication numbering resources</w:t>
      </w:r>
      <w:bookmarkEnd w:id="253"/>
      <w:bookmarkEnd w:id="254"/>
      <w:bookmarkEnd w:id="255"/>
    </w:p>
    <w:p w14:paraId="20B51548" w14:textId="77777777" w:rsidR="008A70C9" w:rsidRPr="00380B40" w:rsidRDefault="008A70C9" w:rsidP="008A70C9">
      <w:pPr>
        <w:pStyle w:val="Resref"/>
        <w:rPr>
          <w:lang w:val="en-GB"/>
        </w:rPr>
      </w:pPr>
      <w:r w:rsidRPr="00380B40">
        <w:rPr>
          <w:lang w:val="en-GB"/>
        </w:rPr>
        <w:t>(Johannesburg, 2008; Dubai, 2012; Geneva, 2022)</w:t>
      </w:r>
    </w:p>
    <w:p w14:paraId="5DFE3243" w14:textId="77777777" w:rsidR="008A70C9" w:rsidRPr="00380B40" w:rsidRDefault="008A70C9" w:rsidP="008A70C9">
      <w:pPr>
        <w:pStyle w:val="Normalaftertitle0"/>
      </w:pPr>
      <w:r w:rsidRPr="00380B40">
        <w:t>The World Telecommunication Standardization Assembly (Geneva, 2022),</w:t>
      </w:r>
    </w:p>
    <w:p w14:paraId="7BDB1CA3" w14:textId="77777777" w:rsidR="008A70C9" w:rsidRPr="00380B40" w:rsidRDefault="008A70C9" w:rsidP="008A70C9">
      <w:pPr>
        <w:pStyle w:val="Call"/>
        <w:rPr>
          <w:lang w:val="en-GB"/>
        </w:rPr>
      </w:pPr>
      <w:r w:rsidRPr="00380B40">
        <w:rPr>
          <w:lang w:val="en-GB"/>
        </w:rPr>
        <w:t>recalling</w:t>
      </w:r>
    </w:p>
    <w:p w14:paraId="1FE6936D" w14:textId="77777777" w:rsidR="008A70C9" w:rsidRPr="00380B40" w:rsidRDefault="008A70C9" w:rsidP="008A70C9">
      <w:pPr>
        <w:rPr>
          <w:lang w:val="en-GB"/>
        </w:rPr>
      </w:pPr>
      <w:r w:rsidRPr="00380B40">
        <w:rPr>
          <w:i/>
          <w:iCs/>
          <w:lang w:val="en-GB"/>
        </w:rPr>
        <w:t>a)</w:t>
      </w:r>
      <w:r w:rsidRPr="00380B40">
        <w:rPr>
          <w:lang w:val="en-GB"/>
        </w:rPr>
        <w:tab/>
        <w:t>Resolution 190 (Busan, 2014) of the Plenipotentiary Conference, on countering misappropriation and misuse of international telecommunication numbering resources, which urged the ITU Telecommunication Standardization Sector (ITU-T) to continue to study ways and means to improve the understanding, identification and resolution of misappropriation and misuse of ITU</w:t>
      </w:r>
      <w:r w:rsidRPr="00380B40">
        <w:rPr>
          <w:lang w:val="en-GB"/>
        </w:rPr>
        <w:noBreakHyphen/>
        <w:t>T E.164 telephone numbers;</w:t>
      </w:r>
    </w:p>
    <w:p w14:paraId="6BB279F6" w14:textId="77777777" w:rsidR="008A70C9" w:rsidRPr="00380B40" w:rsidRDefault="008A70C9" w:rsidP="008A70C9">
      <w:pPr>
        <w:rPr>
          <w:lang w:val="en-GB"/>
        </w:rPr>
      </w:pPr>
      <w:r w:rsidRPr="00380B40">
        <w:rPr>
          <w:i/>
          <w:iCs/>
          <w:lang w:val="en-GB"/>
        </w:rPr>
        <w:t>b)</w:t>
      </w:r>
      <w:r w:rsidRPr="00380B40">
        <w:rPr>
          <w:lang w:val="en-GB"/>
        </w:rPr>
        <w:tab/>
        <w:t>Resolution 29 (Rev. Geneva, 2022) of this assembly, on alternative calling procedures on international telecommunication networks, which (citing ITU Council Resolution 1099) urges ITU</w:t>
      </w:r>
      <w:r w:rsidRPr="00380B40">
        <w:rPr>
          <w:lang w:val="en-GB"/>
        </w:rPr>
        <w:noBreakHyphen/>
        <w:t>T to develop, as soon as possible, the appropriate Recommendations concerning alternative calling procedures;</w:t>
      </w:r>
    </w:p>
    <w:p w14:paraId="38FDC981" w14:textId="77777777" w:rsidR="008A70C9" w:rsidRPr="00380B40" w:rsidRDefault="008A70C9" w:rsidP="008A70C9">
      <w:pPr>
        <w:rPr>
          <w:lang w:val="en-GB"/>
        </w:rPr>
      </w:pPr>
      <w:r w:rsidRPr="00380B40">
        <w:rPr>
          <w:i/>
          <w:iCs/>
          <w:lang w:val="en-GB"/>
        </w:rPr>
        <w:t>c)</w:t>
      </w:r>
      <w:r w:rsidRPr="00380B40">
        <w:rPr>
          <w:lang w:val="en-GB"/>
        </w:rPr>
        <w:tab/>
        <w:t>Recommendation ITU</w:t>
      </w:r>
      <w:r w:rsidRPr="00380B40">
        <w:rPr>
          <w:lang w:val="en-GB"/>
        </w:rPr>
        <w:noBreakHyphen/>
        <w:t>T E.156, which sets out guidelines for ITU</w:t>
      </w:r>
      <w:r w:rsidRPr="00380B40">
        <w:rPr>
          <w:lang w:val="en-GB"/>
        </w:rPr>
        <w:noBreakHyphen/>
        <w:t>T action on reported misuse of ITU-T E.164 numbering resources, Recommendation ITU</w:t>
      </w:r>
      <w:r w:rsidRPr="00380B40">
        <w:rPr>
          <w:lang w:val="en-GB"/>
        </w:rPr>
        <w:noBreakHyphen/>
        <w:t>T E.156 Supplement 1, which provides a best-practice guide on countering misuse of ITU-T E.164 numbering resources, and Recommendation ITU</w:t>
      </w:r>
      <w:r w:rsidRPr="00380B40">
        <w:rPr>
          <w:lang w:val="en-GB"/>
        </w:rPr>
        <w:noBreakHyphen/>
        <w:t>T E.156 Supplement 2, which provides a set of possible actions to counter misuse;</w:t>
      </w:r>
    </w:p>
    <w:p w14:paraId="7B282C82" w14:textId="77777777" w:rsidR="008A70C9" w:rsidRPr="00380B40" w:rsidRDefault="008A70C9" w:rsidP="008A70C9">
      <w:pPr>
        <w:rPr>
          <w:lang w:val="en-GB"/>
        </w:rPr>
      </w:pPr>
      <w:r w:rsidRPr="00380B40">
        <w:rPr>
          <w:i/>
          <w:iCs/>
          <w:lang w:val="en-GB"/>
        </w:rPr>
        <w:t>d)</w:t>
      </w:r>
      <w:r w:rsidRPr="00380B40">
        <w:rPr>
          <w:lang w:val="en-GB"/>
        </w:rPr>
        <w:tab/>
        <w:t>that one of the purposes of the Union is to foster collaboration among the membership for the harmonious development of telecommunications and to enable the offering of services at lowest cost,</w:t>
      </w:r>
    </w:p>
    <w:p w14:paraId="4F405E7A" w14:textId="77777777" w:rsidR="008A70C9" w:rsidRPr="00380B40" w:rsidRDefault="008A70C9" w:rsidP="008A70C9">
      <w:pPr>
        <w:pStyle w:val="Call"/>
        <w:rPr>
          <w:lang w:val="en-GB"/>
        </w:rPr>
      </w:pPr>
      <w:r w:rsidRPr="00380B40">
        <w:rPr>
          <w:lang w:val="en-GB"/>
        </w:rPr>
        <w:t>noting</w:t>
      </w:r>
    </w:p>
    <w:p w14:paraId="737553D8" w14:textId="77777777" w:rsidR="008A70C9" w:rsidRPr="00380B40" w:rsidRDefault="008A70C9" w:rsidP="008A70C9">
      <w:pPr>
        <w:rPr>
          <w:lang w:val="en-GB"/>
        </w:rPr>
      </w:pPr>
      <w:r w:rsidRPr="00380B40">
        <w:rPr>
          <w:lang w:val="en-GB"/>
        </w:rPr>
        <w:t xml:space="preserve">the number of cases reported, so far, to the Director of the Telecommunication Standardization Bureau (TSB) regarding misappropriation and misuse of ITU-T E.164 numbers, </w:t>
      </w:r>
    </w:p>
    <w:p w14:paraId="771E8A63" w14:textId="77777777" w:rsidR="008A70C9" w:rsidRPr="00380B40" w:rsidRDefault="008A70C9" w:rsidP="008A70C9">
      <w:pPr>
        <w:pStyle w:val="Call"/>
        <w:rPr>
          <w:lang w:val="en-GB"/>
        </w:rPr>
      </w:pPr>
      <w:r w:rsidRPr="00380B40">
        <w:rPr>
          <w:lang w:val="en-GB"/>
        </w:rPr>
        <w:t>recognizing</w:t>
      </w:r>
    </w:p>
    <w:p w14:paraId="69B00128" w14:textId="77777777" w:rsidR="008A70C9" w:rsidRPr="00380B40" w:rsidRDefault="008A70C9" w:rsidP="008A70C9">
      <w:pPr>
        <w:rPr>
          <w:lang w:val="en-GB"/>
        </w:rPr>
      </w:pPr>
      <w:r w:rsidRPr="00380B40">
        <w:rPr>
          <w:i/>
          <w:iCs/>
          <w:lang w:val="en-GB"/>
        </w:rPr>
        <w:t>a)</w:t>
      </w:r>
      <w:r w:rsidRPr="00380B40">
        <w:rPr>
          <w:lang w:val="en-GB"/>
        </w:rPr>
        <w:tab/>
        <w:t>that the fraudulent misappropriation and misuse of national telephone numbers and country codes are harmful and impact revenue, quality of service and customer confidence;</w:t>
      </w:r>
    </w:p>
    <w:p w14:paraId="20294BDA" w14:textId="77777777" w:rsidR="008A70C9" w:rsidRPr="00380B40" w:rsidRDefault="008A70C9" w:rsidP="008A70C9">
      <w:pPr>
        <w:rPr>
          <w:lang w:val="en-GB"/>
        </w:rPr>
      </w:pPr>
      <w:r w:rsidRPr="00380B40">
        <w:rPr>
          <w:i/>
          <w:iCs/>
          <w:lang w:val="en-GB"/>
        </w:rPr>
        <w:t>b)</w:t>
      </w:r>
      <w:r w:rsidRPr="00380B40">
        <w:rPr>
          <w:lang w:val="en-GB"/>
        </w:rPr>
        <w:tab/>
        <w:t>that the blocking of calls by barring the country code to a country in order to avoid fraud is harmful;</w:t>
      </w:r>
    </w:p>
    <w:p w14:paraId="6B4FA862" w14:textId="77777777" w:rsidR="008A70C9" w:rsidRPr="00380B40" w:rsidRDefault="008A70C9" w:rsidP="008A70C9">
      <w:pPr>
        <w:rPr>
          <w:lang w:val="en-GB"/>
        </w:rPr>
      </w:pPr>
      <w:r w:rsidRPr="00380B40">
        <w:rPr>
          <w:i/>
          <w:iCs/>
          <w:lang w:val="en-GB"/>
        </w:rPr>
        <w:t>c)</w:t>
      </w:r>
      <w:r w:rsidRPr="00380B40">
        <w:rPr>
          <w:lang w:val="en-GB"/>
        </w:rPr>
        <w:tab/>
        <w:t>that inappropriate activities causing loss of revenue are an important issue to continue to be studied;</w:t>
      </w:r>
    </w:p>
    <w:p w14:paraId="69FBAEA9" w14:textId="77777777" w:rsidR="000110BB" w:rsidRPr="00380B40" w:rsidRDefault="000110BB" w:rsidP="008A70C9">
      <w:pPr>
        <w:rPr>
          <w:i/>
          <w:iCs/>
          <w:lang w:val="en-GB"/>
        </w:rPr>
      </w:pPr>
      <w:r w:rsidRPr="00380B40">
        <w:rPr>
          <w:i/>
          <w:iCs/>
          <w:lang w:val="en-GB"/>
        </w:rPr>
        <w:br w:type="page"/>
      </w:r>
    </w:p>
    <w:p w14:paraId="77687B5B" w14:textId="77777777" w:rsidR="008A70C9" w:rsidRPr="00380B40" w:rsidRDefault="008A70C9" w:rsidP="008A70C9">
      <w:pPr>
        <w:rPr>
          <w:lang w:val="en-GB"/>
        </w:rPr>
      </w:pPr>
      <w:r w:rsidRPr="00380B40">
        <w:rPr>
          <w:i/>
          <w:iCs/>
          <w:lang w:val="en-GB"/>
        </w:rPr>
        <w:t>d)</w:t>
      </w:r>
      <w:r w:rsidRPr="00380B40">
        <w:rPr>
          <w:lang w:val="en-GB"/>
        </w:rPr>
        <w:tab/>
        <w:t>relevant provisions of the Preamble to the ITU Constitution, which recognizes the sovereign right of each State to regulate its telecommunications;</w:t>
      </w:r>
    </w:p>
    <w:p w14:paraId="7E515CD3" w14:textId="77777777" w:rsidR="008A70C9" w:rsidRPr="00380B40" w:rsidRDefault="008A70C9" w:rsidP="008A70C9">
      <w:pPr>
        <w:rPr>
          <w:lang w:val="en-GB"/>
        </w:rPr>
      </w:pPr>
      <w:r w:rsidRPr="00380B40">
        <w:rPr>
          <w:i/>
          <w:iCs/>
          <w:lang w:val="en-GB"/>
        </w:rPr>
        <w:t>e)</w:t>
      </w:r>
      <w:r w:rsidRPr="00380B40">
        <w:rPr>
          <w:i/>
          <w:iCs/>
          <w:lang w:val="en-GB"/>
        </w:rPr>
        <w:tab/>
      </w:r>
      <w:r w:rsidRPr="00380B40">
        <w:rPr>
          <w:lang w:val="en-GB"/>
        </w:rPr>
        <w:t>that disputes regarding misuse and misappropriation of international numbering resources for geographic areas administered by Member States are for the Member States involved to resolve, with the assistance of the Director of TSB on request,</w:t>
      </w:r>
    </w:p>
    <w:p w14:paraId="1262F3C8" w14:textId="77777777" w:rsidR="008A70C9" w:rsidRPr="00380B40" w:rsidRDefault="008A70C9" w:rsidP="008A70C9">
      <w:pPr>
        <w:pStyle w:val="Call"/>
        <w:rPr>
          <w:lang w:val="en-GB"/>
        </w:rPr>
      </w:pPr>
      <w:r w:rsidRPr="00380B40">
        <w:rPr>
          <w:lang w:val="en-GB"/>
        </w:rPr>
        <w:t>resolves to invite Member States</w:t>
      </w:r>
    </w:p>
    <w:p w14:paraId="792EED22" w14:textId="77777777" w:rsidR="008A70C9" w:rsidRPr="00380B40" w:rsidRDefault="008A70C9" w:rsidP="008A70C9">
      <w:pPr>
        <w:rPr>
          <w:lang w:val="en-GB"/>
        </w:rPr>
      </w:pPr>
      <w:r w:rsidRPr="00380B40">
        <w:rPr>
          <w:lang w:val="en-GB"/>
        </w:rPr>
        <w:t>1</w:t>
      </w:r>
      <w:r w:rsidRPr="00380B40">
        <w:rPr>
          <w:lang w:val="en-GB"/>
        </w:rPr>
        <w:tab/>
        <w:t>to ensure that ITU-T E.164 numbering resources are used only by the assignees and only for the purposes for which they were assigned, and that unassigned resources are not used;</w:t>
      </w:r>
    </w:p>
    <w:p w14:paraId="184C3B5F" w14:textId="77777777" w:rsidR="008A70C9" w:rsidRPr="00380B40" w:rsidRDefault="008A70C9" w:rsidP="008A70C9">
      <w:pPr>
        <w:rPr>
          <w:lang w:val="en-GB"/>
        </w:rPr>
      </w:pPr>
      <w:r w:rsidRPr="00380B40">
        <w:rPr>
          <w:lang w:val="en-GB"/>
        </w:rPr>
        <w:t>2</w:t>
      </w:r>
      <w:r w:rsidRPr="00380B40">
        <w:rPr>
          <w:lang w:val="en-GB"/>
        </w:rPr>
        <w:tab/>
        <w:t xml:space="preserve">to </w:t>
      </w:r>
      <w:r w:rsidRPr="00380B40">
        <w:rPr>
          <w:szCs w:val="24"/>
          <w:lang w:val="en-GB"/>
        </w:rPr>
        <w:t xml:space="preserve">endeavour to ensure that operating agencies authorized by Member States </w:t>
      </w:r>
      <w:r w:rsidRPr="00380B40">
        <w:rPr>
          <w:lang w:val="en-GB"/>
        </w:rPr>
        <w:t xml:space="preserve">release routing information </w:t>
      </w:r>
      <w:r w:rsidRPr="00380B40">
        <w:rPr>
          <w:szCs w:val="24"/>
          <w:lang w:val="en-GB"/>
        </w:rPr>
        <w:t xml:space="preserve">to duly authorized agencies </w:t>
      </w:r>
      <w:r w:rsidRPr="00380B40">
        <w:rPr>
          <w:lang w:val="en-GB"/>
        </w:rPr>
        <w:t xml:space="preserve">in cases of fraud or numbering misuse/misappropriation, </w:t>
      </w:r>
      <w:r w:rsidRPr="00380B40">
        <w:rPr>
          <w:szCs w:val="24"/>
          <w:lang w:val="en-GB"/>
        </w:rPr>
        <w:t xml:space="preserve">in accordance </w:t>
      </w:r>
      <w:r w:rsidRPr="00380B40">
        <w:rPr>
          <w:lang w:val="en-GB"/>
        </w:rPr>
        <w:t>with national law;</w:t>
      </w:r>
    </w:p>
    <w:p w14:paraId="3F8E7577" w14:textId="77777777" w:rsidR="008A70C9" w:rsidRPr="00380B40" w:rsidRDefault="008A70C9" w:rsidP="008A70C9">
      <w:pPr>
        <w:rPr>
          <w:lang w:val="en-GB"/>
        </w:rPr>
      </w:pPr>
      <w:r w:rsidRPr="00380B40">
        <w:rPr>
          <w:lang w:val="en-GB"/>
        </w:rPr>
        <w:t>3</w:t>
      </w:r>
      <w:r w:rsidRPr="00380B40">
        <w:rPr>
          <w:lang w:val="en-GB"/>
        </w:rPr>
        <w:tab/>
        <w:t xml:space="preserve">to encourage administrations, operating agencies and national regulators to collaborate and share information on fraudulent activities related to numbering </w:t>
      </w:r>
      <w:r w:rsidRPr="00380B40">
        <w:rPr>
          <w:szCs w:val="24"/>
          <w:lang w:val="en-GB"/>
        </w:rPr>
        <w:t>misappropriation and</w:t>
      </w:r>
      <w:r w:rsidRPr="00380B40">
        <w:rPr>
          <w:lang w:val="en-GB"/>
        </w:rPr>
        <w:t xml:space="preserve"> misuse of international numbering resources</w:t>
      </w:r>
      <w:r w:rsidRPr="00380B40">
        <w:rPr>
          <w:szCs w:val="24"/>
          <w:lang w:val="en-GB"/>
        </w:rPr>
        <w:t>, and to collaborate to counter and combat such</w:t>
      </w:r>
      <w:r w:rsidRPr="00380B40">
        <w:rPr>
          <w:lang w:val="en-GB"/>
        </w:rPr>
        <w:t xml:space="preserve"> activities;</w:t>
      </w:r>
    </w:p>
    <w:p w14:paraId="573D3AC8" w14:textId="77777777" w:rsidR="008A70C9" w:rsidRPr="00380B40" w:rsidRDefault="008A70C9" w:rsidP="008A70C9">
      <w:pPr>
        <w:rPr>
          <w:lang w:val="en-GB"/>
        </w:rPr>
      </w:pPr>
      <w:r w:rsidRPr="00380B40">
        <w:rPr>
          <w:lang w:val="en-GB"/>
        </w:rPr>
        <w:t>4</w:t>
      </w:r>
      <w:r w:rsidRPr="00380B40">
        <w:rPr>
          <w:lang w:val="en-GB"/>
        </w:rPr>
        <w:tab/>
        <w:t>to encourage all international telecommunication operators to enhance the effectiveness of ITU's role and to give effect to its Recommendations, particularly those of ITU</w:t>
      </w:r>
      <w:r w:rsidRPr="00380B40">
        <w:rPr>
          <w:lang w:val="en-GB"/>
        </w:rPr>
        <w:noBreakHyphen/>
        <w:t xml:space="preserve">T Study Group 2, in order to promote a new and more effective basis </w:t>
      </w:r>
      <w:r w:rsidRPr="00380B40">
        <w:rPr>
          <w:szCs w:val="24"/>
          <w:lang w:val="en-GB"/>
        </w:rPr>
        <w:t xml:space="preserve">to counter, combat and address </w:t>
      </w:r>
      <w:r w:rsidRPr="00380B40">
        <w:rPr>
          <w:lang w:val="en-GB"/>
        </w:rPr>
        <w:t xml:space="preserve">fraudulent activities due to number misappropriation </w:t>
      </w:r>
      <w:r w:rsidRPr="00380B40">
        <w:rPr>
          <w:szCs w:val="24"/>
          <w:lang w:val="en-GB"/>
        </w:rPr>
        <w:t>and misuse</w:t>
      </w:r>
      <w:r w:rsidRPr="00380B40">
        <w:rPr>
          <w:lang w:val="en-GB"/>
        </w:rPr>
        <w:t>, which would help mitigate them and limit the negative effects of these fraudulent activities and the blocking of international calls;</w:t>
      </w:r>
    </w:p>
    <w:p w14:paraId="630501B7" w14:textId="77777777" w:rsidR="008A70C9" w:rsidRPr="00380B40" w:rsidRDefault="008A70C9" w:rsidP="008A70C9">
      <w:pPr>
        <w:rPr>
          <w:lang w:val="en-GB"/>
        </w:rPr>
      </w:pPr>
      <w:r w:rsidRPr="00380B40">
        <w:rPr>
          <w:lang w:val="en-GB"/>
        </w:rPr>
        <w:t>5</w:t>
      </w:r>
      <w:r w:rsidRPr="00380B40">
        <w:rPr>
          <w:lang w:val="en-GB"/>
        </w:rPr>
        <w:tab/>
        <w:t>to encourage administrations and international telecommunication operators to implement ITU</w:t>
      </w:r>
      <w:r w:rsidRPr="00380B40">
        <w:rPr>
          <w:lang w:val="en-GB"/>
        </w:rPr>
        <w:noBreakHyphen/>
        <w:t xml:space="preserve">T Recommendations in order to mitigate the adverse effects of fraudulent number misappropriation </w:t>
      </w:r>
      <w:r w:rsidRPr="00380B40">
        <w:rPr>
          <w:szCs w:val="24"/>
          <w:lang w:val="en-GB"/>
        </w:rPr>
        <w:t>and misuse, including</w:t>
      </w:r>
      <w:r w:rsidRPr="00380B40">
        <w:rPr>
          <w:lang w:val="en-GB"/>
        </w:rPr>
        <w:t xml:space="preserve"> blocking of calls to certain countries,</w:t>
      </w:r>
    </w:p>
    <w:p w14:paraId="521FBB5F" w14:textId="77777777" w:rsidR="008A70C9" w:rsidRPr="00380B40" w:rsidRDefault="008A70C9" w:rsidP="008A70C9">
      <w:pPr>
        <w:pStyle w:val="Call"/>
        <w:rPr>
          <w:lang w:val="en-GB"/>
        </w:rPr>
      </w:pPr>
      <w:r w:rsidRPr="00380B40">
        <w:rPr>
          <w:lang w:val="en-GB"/>
        </w:rPr>
        <w:t>resolves further</w:t>
      </w:r>
    </w:p>
    <w:p w14:paraId="266408F3" w14:textId="77777777" w:rsidR="008A70C9" w:rsidRPr="00380B40" w:rsidRDefault="008A70C9" w:rsidP="008A70C9">
      <w:pPr>
        <w:rPr>
          <w:lang w:val="en-GB"/>
        </w:rPr>
      </w:pPr>
      <w:r w:rsidRPr="00380B40">
        <w:rPr>
          <w:lang w:val="en-GB"/>
        </w:rPr>
        <w:t>1</w:t>
      </w:r>
      <w:r w:rsidRPr="00380B40">
        <w:rPr>
          <w:lang w:val="en-GB"/>
        </w:rPr>
        <w:tab/>
        <w:t>that administrations and operating agencies authorized by Member States</w:t>
      </w:r>
      <w:r w:rsidRPr="00380B40">
        <w:rPr>
          <w:szCs w:val="24"/>
          <w:lang w:val="en-GB"/>
        </w:rPr>
        <w:t xml:space="preserve"> take, to the furthest extent practicable, all reasonable measures to provide</w:t>
      </w:r>
      <w:r w:rsidRPr="00380B40">
        <w:rPr>
          <w:lang w:val="en-GB"/>
        </w:rPr>
        <w:t xml:space="preserve"> information necessary to address issues related to number misappropriation and misuse;</w:t>
      </w:r>
    </w:p>
    <w:p w14:paraId="66B81928" w14:textId="77777777" w:rsidR="008A70C9" w:rsidRPr="00380B40" w:rsidRDefault="008A70C9" w:rsidP="008A70C9">
      <w:pPr>
        <w:rPr>
          <w:lang w:val="en-GB"/>
        </w:rPr>
      </w:pPr>
      <w:r w:rsidRPr="00380B40">
        <w:rPr>
          <w:lang w:val="en-GB"/>
        </w:rPr>
        <w:t>2</w:t>
      </w:r>
      <w:r w:rsidRPr="00380B40">
        <w:rPr>
          <w:lang w:val="en-GB"/>
        </w:rPr>
        <w:tab/>
        <w:t xml:space="preserve">that administrations and operating agencies authorized by Member States should take note of and consider, </w:t>
      </w:r>
      <w:r w:rsidRPr="00380B40">
        <w:rPr>
          <w:szCs w:val="24"/>
          <w:lang w:val="en-GB"/>
        </w:rPr>
        <w:t xml:space="preserve">to the furthest extent practicable, </w:t>
      </w:r>
      <w:r w:rsidRPr="00380B40">
        <w:rPr>
          <w:lang w:val="en-GB"/>
        </w:rPr>
        <w:t>the "Suggested guidelines for regulators, administrations and operating agencies authorized by Member States for dealing with number misappropriation", in accordance with the attachment to this resolution;</w:t>
      </w:r>
    </w:p>
    <w:p w14:paraId="3FAA0D4A" w14:textId="77777777" w:rsidR="008A70C9" w:rsidRPr="00380B40" w:rsidRDefault="008A70C9" w:rsidP="008A70C9">
      <w:pPr>
        <w:rPr>
          <w:lang w:val="en-GB"/>
        </w:rPr>
      </w:pPr>
      <w:r w:rsidRPr="00380B40">
        <w:rPr>
          <w:lang w:val="en-GB"/>
        </w:rPr>
        <w:t>3</w:t>
      </w:r>
      <w:r w:rsidRPr="00380B40">
        <w:rPr>
          <w:lang w:val="en-GB"/>
        </w:rPr>
        <w:tab/>
        <w:t>that Member States and national regulators should take note of instances of activities related to misappropriation and misuse of ITU</w:t>
      </w:r>
      <w:r w:rsidRPr="00380B40">
        <w:rPr>
          <w:lang w:val="en-GB"/>
        </w:rPr>
        <w:noBreakHyphen/>
        <w:t>T E.164 international numbering resources</w:t>
      </w:r>
      <w:r w:rsidRPr="00380B40" w:rsidDel="00715B9F">
        <w:rPr>
          <w:lang w:val="en-GB"/>
        </w:rPr>
        <w:t xml:space="preserve"> </w:t>
      </w:r>
      <w:r w:rsidRPr="00380B40">
        <w:rPr>
          <w:lang w:val="en-GB"/>
        </w:rPr>
        <w:t xml:space="preserve">that are notified through </w:t>
      </w:r>
      <w:r w:rsidRPr="00380B40">
        <w:rPr>
          <w:szCs w:val="24"/>
          <w:lang w:val="en-GB"/>
        </w:rPr>
        <w:t>relevant</w:t>
      </w:r>
      <w:r w:rsidRPr="00380B40">
        <w:rPr>
          <w:lang w:val="en-GB"/>
        </w:rPr>
        <w:t xml:space="preserve"> ITU</w:t>
      </w:r>
      <w:r w:rsidRPr="00380B40">
        <w:rPr>
          <w:lang w:val="en-GB"/>
        </w:rPr>
        <w:noBreakHyphen/>
        <w:t xml:space="preserve">T resources </w:t>
      </w:r>
      <w:r w:rsidRPr="00380B40">
        <w:rPr>
          <w:szCs w:val="24"/>
          <w:lang w:val="en-GB"/>
        </w:rPr>
        <w:t>(e.g. the ITU-T Operational Bulletin) or directly to them</w:t>
      </w:r>
      <w:r w:rsidRPr="00380B40">
        <w:rPr>
          <w:lang w:val="en-GB"/>
        </w:rPr>
        <w:t>;</w:t>
      </w:r>
    </w:p>
    <w:p w14:paraId="79CCB016" w14:textId="77777777" w:rsidR="000110BB" w:rsidRPr="00380B40" w:rsidRDefault="000110BB" w:rsidP="008A70C9">
      <w:pPr>
        <w:rPr>
          <w:lang w:val="en-GB"/>
        </w:rPr>
      </w:pPr>
      <w:r w:rsidRPr="00380B40">
        <w:rPr>
          <w:lang w:val="en-GB"/>
        </w:rPr>
        <w:br w:type="page"/>
      </w:r>
    </w:p>
    <w:p w14:paraId="3C8C44E3" w14:textId="77777777" w:rsidR="008A70C9" w:rsidRPr="00380B40" w:rsidRDefault="008A70C9" w:rsidP="008A70C9">
      <w:pPr>
        <w:rPr>
          <w:lang w:val="en-GB"/>
        </w:rPr>
      </w:pPr>
      <w:r w:rsidRPr="00380B40">
        <w:rPr>
          <w:lang w:val="en-GB"/>
        </w:rPr>
        <w:t>4</w:t>
      </w:r>
      <w:r w:rsidRPr="00380B40">
        <w:rPr>
          <w:lang w:val="en-GB"/>
        </w:rPr>
        <w:tab/>
        <w:t>to request Study Group 2 to continue to study all aspects and forms of misappropriation</w:t>
      </w:r>
      <w:r w:rsidRPr="00380B40">
        <w:rPr>
          <w:szCs w:val="24"/>
          <w:lang w:val="en-GB"/>
        </w:rPr>
        <w:t xml:space="preserve"> and misuse of numbering resources within its mandate, in particular</w:t>
      </w:r>
      <w:r w:rsidRPr="00380B40">
        <w:rPr>
          <w:lang w:val="en-GB"/>
        </w:rPr>
        <w:t xml:space="preserve"> of international country codes, with a view to amending Recommendation ITU</w:t>
      </w:r>
      <w:r w:rsidRPr="00380B40">
        <w:rPr>
          <w:lang w:val="en-GB"/>
        </w:rPr>
        <w:noBreakHyphen/>
        <w:t>T E.156 and its supplements</w:t>
      </w:r>
      <w:r w:rsidRPr="00380B40">
        <w:rPr>
          <w:szCs w:val="24"/>
          <w:lang w:val="en-GB"/>
        </w:rPr>
        <w:t xml:space="preserve"> and guidelines to identify means to support countering and combating these activities</w:t>
      </w:r>
      <w:r w:rsidRPr="00380B40">
        <w:rPr>
          <w:lang w:val="en-GB"/>
        </w:rPr>
        <w:t>;</w:t>
      </w:r>
    </w:p>
    <w:p w14:paraId="6C3B8CE8" w14:textId="77777777" w:rsidR="008A70C9" w:rsidRPr="00380B40" w:rsidRDefault="008A70C9" w:rsidP="008A70C9">
      <w:pPr>
        <w:rPr>
          <w:szCs w:val="24"/>
          <w:lang w:val="en-GB"/>
        </w:rPr>
      </w:pPr>
      <w:r w:rsidRPr="00380B40">
        <w:rPr>
          <w:szCs w:val="24"/>
          <w:lang w:val="en-GB"/>
        </w:rPr>
        <w:t>5</w:t>
      </w:r>
      <w:r w:rsidRPr="00380B40">
        <w:rPr>
          <w:szCs w:val="24"/>
          <w:lang w:val="en-GB"/>
        </w:rPr>
        <w:tab/>
        <w:t>to request ITU-T Study Group 3, in collaboration with Study Group 2, to develop definitions for inappropriate activities, including inappropriate activities causing loss of revenue, related to misappropriation and misuse of international numbering resources specified in the relevant ITU-T Recommendations, and to continue to study such matters;</w:t>
      </w:r>
    </w:p>
    <w:p w14:paraId="43999552" w14:textId="77777777" w:rsidR="008A70C9" w:rsidRPr="00380B40" w:rsidRDefault="008A70C9" w:rsidP="008A70C9">
      <w:pPr>
        <w:rPr>
          <w:lang w:val="en-GB"/>
        </w:rPr>
      </w:pPr>
      <w:r w:rsidRPr="00380B40">
        <w:rPr>
          <w:lang w:val="en-GB"/>
        </w:rPr>
        <w:t>6</w:t>
      </w:r>
      <w:r w:rsidRPr="00380B40">
        <w:rPr>
          <w:lang w:val="en-GB"/>
        </w:rPr>
        <w:tab/>
        <w:t>to request Study Group 3 to continue to study the economic effects resulting from misappropriation and misuse of numbering resources, including call blocking.</w:t>
      </w:r>
    </w:p>
    <w:p w14:paraId="76023A23" w14:textId="77777777" w:rsidR="00910F3B" w:rsidRPr="00380B40" w:rsidRDefault="00910F3B" w:rsidP="008A70C9">
      <w:pPr>
        <w:rPr>
          <w:lang w:val="en-GB"/>
        </w:rPr>
      </w:pPr>
    </w:p>
    <w:p w14:paraId="4E7D3844" w14:textId="77777777" w:rsidR="008A70C9" w:rsidRPr="00380B40" w:rsidRDefault="008A70C9" w:rsidP="008A70C9">
      <w:pPr>
        <w:pStyle w:val="AnnexNo"/>
      </w:pPr>
      <w:bookmarkStart w:id="256" w:name="_Toc111636782"/>
      <w:r w:rsidRPr="00380B40">
        <w:t xml:space="preserve">Attachment </w:t>
      </w:r>
      <w:r w:rsidRPr="00380B40">
        <w:br/>
        <w:t>(</w:t>
      </w:r>
      <w:r w:rsidRPr="00380B40">
        <w:rPr>
          <w:caps w:val="0"/>
        </w:rPr>
        <w:t>to Resolution</w:t>
      </w:r>
      <w:r w:rsidRPr="00380B40">
        <w:t> 61 (</w:t>
      </w:r>
      <w:r w:rsidRPr="00380B40">
        <w:rPr>
          <w:caps w:val="0"/>
        </w:rPr>
        <w:t>Rev. Geneva, 2022</w:t>
      </w:r>
      <w:r w:rsidRPr="00380B40">
        <w:t>))</w:t>
      </w:r>
      <w:bookmarkEnd w:id="256"/>
    </w:p>
    <w:p w14:paraId="34E463BE" w14:textId="77777777" w:rsidR="008A70C9" w:rsidRPr="00380B40" w:rsidRDefault="008A70C9" w:rsidP="00BD2768">
      <w:pPr>
        <w:pStyle w:val="Annextitle"/>
      </w:pPr>
      <w:r w:rsidRPr="00380B40">
        <w:t>Suggested guidelines for regulators, administrations and operating agencies authorized by Member States for dealing with number misappropriation</w:t>
      </w:r>
    </w:p>
    <w:p w14:paraId="38D33E19" w14:textId="77777777" w:rsidR="008A70C9" w:rsidRPr="00380B40" w:rsidRDefault="008A70C9" w:rsidP="008A70C9">
      <w:pPr>
        <w:pStyle w:val="Normalaftertitle0"/>
      </w:pPr>
      <w:r w:rsidRPr="00380B40">
        <w:t>In the interest of global development of international telecommunications, it is desirable for regulators, administrations and operating agencies authorized by Member States to cooperate with others and to take a collaborative and reasonable approach to avoid the blocking of country codes, where a preferable option is the selective blocking of particular international numbers, authorized on a case-by-case basis by national regulators.</w:t>
      </w:r>
    </w:p>
    <w:p w14:paraId="1B022944" w14:textId="77777777" w:rsidR="008A70C9" w:rsidRPr="00380B40" w:rsidRDefault="008A70C9" w:rsidP="008A70C9">
      <w:pPr>
        <w:pStyle w:val="Normalaftertitle0"/>
      </w:pPr>
      <w:r w:rsidRPr="00380B40">
        <w:t>Cooperation and subsequent actions would have to take account of the constraints of national regulatory frameworks and laws. It is recommended that the following guidelines be applied in country X (the location of the calling party), country Y (the country through which the call is routed) and country Z (the country to which the call was originally destined) regarding number misappropriation.</w:t>
      </w:r>
    </w:p>
    <w:p w14:paraId="3CF5C38F" w14:textId="77777777" w:rsidR="000110BB" w:rsidRPr="00380B40" w:rsidRDefault="000110BB" w:rsidP="000110BB">
      <w:pPr>
        <w:rPr>
          <w:lang w:val="en-GB"/>
        </w:rPr>
      </w:pPr>
    </w:p>
    <w:p w14:paraId="3B5C2515" w14:textId="77777777" w:rsidR="000110BB" w:rsidRPr="00380B40" w:rsidRDefault="000110BB" w:rsidP="000110BB">
      <w:pPr>
        <w:rPr>
          <w:lang w:val="en-GB"/>
        </w:rPr>
      </w:pPr>
    </w:p>
    <w:p w14:paraId="59077231" w14:textId="77777777" w:rsidR="000110BB" w:rsidRPr="00380B40" w:rsidRDefault="000110BB" w:rsidP="000110BB">
      <w:pPr>
        <w:rPr>
          <w:lang w:val="en-GB"/>
        </w:rPr>
      </w:pPr>
    </w:p>
    <w:p w14:paraId="0DB49A4B" w14:textId="77777777" w:rsidR="000110BB" w:rsidRPr="00380B40" w:rsidRDefault="000110BB" w:rsidP="000110BB">
      <w:pPr>
        <w:rPr>
          <w:lang w:val="en-GB"/>
        </w:rPr>
      </w:pPr>
    </w:p>
    <w:p w14:paraId="648FF693" w14:textId="77777777" w:rsidR="000110BB" w:rsidRPr="00380B40" w:rsidRDefault="000110BB" w:rsidP="000110BB">
      <w:pPr>
        <w:rPr>
          <w:lang w:val="en-GB"/>
        </w:rPr>
      </w:pPr>
    </w:p>
    <w:p w14:paraId="01F3629D" w14:textId="77777777" w:rsidR="000110BB" w:rsidRPr="00380B40" w:rsidRDefault="000110BB" w:rsidP="000110BB">
      <w:pPr>
        <w:rPr>
          <w:lang w:val="en-GB"/>
        </w:rPr>
      </w:pPr>
    </w:p>
    <w:p w14:paraId="711AC227" w14:textId="77777777" w:rsidR="000110BB" w:rsidRPr="00380B40" w:rsidRDefault="000110BB" w:rsidP="000110BB">
      <w:pPr>
        <w:rPr>
          <w:lang w:val="en-GB"/>
        </w:rPr>
      </w:pPr>
    </w:p>
    <w:p w14:paraId="2A9736F3" w14:textId="77777777" w:rsidR="000110BB" w:rsidRPr="00380B40" w:rsidRDefault="000110BB" w:rsidP="000110BB">
      <w:pPr>
        <w:rPr>
          <w:lang w:val="en-GB"/>
        </w:rPr>
      </w:pPr>
    </w:p>
    <w:p w14:paraId="0623DE86" w14:textId="77777777" w:rsidR="000110BB" w:rsidRPr="00380B40" w:rsidRDefault="000110BB" w:rsidP="000110BB">
      <w:pPr>
        <w:rPr>
          <w:lang w:val="en-GB"/>
        </w:rPr>
      </w:pPr>
    </w:p>
    <w:p w14:paraId="291C70C8" w14:textId="77777777" w:rsidR="000110BB" w:rsidRPr="00380B40" w:rsidRDefault="000110BB" w:rsidP="000110BB">
      <w:pPr>
        <w:rPr>
          <w:lang w:val="en-GB"/>
        </w:rPr>
      </w:pPr>
      <w:r w:rsidRPr="00380B40">
        <w:rPr>
          <w:lang w:val="en-GB"/>
        </w:rPr>
        <w:br w:type="page"/>
      </w:r>
    </w:p>
    <w:p w14:paraId="431F61AD" w14:textId="77777777" w:rsidR="008A70C9" w:rsidRPr="00380B40" w:rsidRDefault="008A70C9" w:rsidP="008A70C9">
      <w:pPr>
        <w:pStyle w:val="Tabletitle"/>
      </w:pPr>
      <w:r w:rsidRPr="00380B40">
        <w:t>SCENARIO 1. Complaints generated by the destination side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3563"/>
        <w:gridCol w:w="3033"/>
        <w:gridCol w:w="3033"/>
      </w:tblGrid>
      <w:tr w:rsidR="008A70C9" w:rsidRPr="004E0F36" w14:paraId="3ABE75E9" w14:textId="77777777" w:rsidTr="00DE1739">
        <w:trPr>
          <w:cantSplit/>
          <w:tblHeader/>
          <w:jc w:val="center"/>
        </w:trPr>
        <w:tc>
          <w:tcPr>
            <w:tcW w:w="1850" w:type="pct"/>
            <w:shd w:val="clear" w:color="auto" w:fill="auto"/>
            <w:vAlign w:val="center"/>
          </w:tcPr>
          <w:p w14:paraId="25F30C75" w14:textId="77777777" w:rsidR="008A70C9" w:rsidRPr="00380B40" w:rsidRDefault="008A70C9" w:rsidP="00427615">
            <w:pPr>
              <w:pStyle w:val="Tableheadwhitecentred"/>
            </w:pPr>
            <w:r w:rsidRPr="00380B40">
              <w:t>Country X</w:t>
            </w:r>
            <w:r w:rsidRPr="00380B40">
              <w:br/>
              <w:t>(location of call origination)</w:t>
            </w:r>
          </w:p>
        </w:tc>
        <w:tc>
          <w:tcPr>
            <w:tcW w:w="1575" w:type="pct"/>
            <w:shd w:val="clear" w:color="auto" w:fill="auto"/>
            <w:vAlign w:val="center"/>
          </w:tcPr>
          <w:p w14:paraId="7831997A" w14:textId="77777777" w:rsidR="008A70C9" w:rsidRPr="00380B40" w:rsidRDefault="008A70C9" w:rsidP="00427615">
            <w:pPr>
              <w:pStyle w:val="Tableheadwhitecentred"/>
            </w:pPr>
            <w:r w:rsidRPr="00380B40">
              <w:t>Country Y</w:t>
            </w:r>
            <w:r w:rsidRPr="00380B40">
              <w:br/>
              <w:t xml:space="preserve">(country through </w:t>
            </w:r>
            <w:r w:rsidRPr="00380B40">
              <w:br/>
              <w:t>which the call is routed)</w:t>
            </w:r>
          </w:p>
        </w:tc>
        <w:tc>
          <w:tcPr>
            <w:tcW w:w="1575" w:type="pct"/>
            <w:shd w:val="clear" w:color="auto" w:fill="auto"/>
            <w:vAlign w:val="center"/>
          </w:tcPr>
          <w:p w14:paraId="21D9C745" w14:textId="77777777" w:rsidR="008A70C9" w:rsidRPr="00380B40" w:rsidRDefault="008A70C9" w:rsidP="00427615">
            <w:pPr>
              <w:pStyle w:val="Tableheadwhitecentred"/>
            </w:pPr>
            <w:r w:rsidRPr="00380B40">
              <w:t xml:space="preserve">Country Z </w:t>
            </w:r>
            <w:r w:rsidRPr="00380B40">
              <w:br/>
              <w:t>(country to which the call was originally destined)</w:t>
            </w:r>
          </w:p>
        </w:tc>
      </w:tr>
      <w:tr w:rsidR="008A70C9" w:rsidRPr="004E0F36" w14:paraId="586E8195" w14:textId="77777777" w:rsidTr="00DE1739">
        <w:trPr>
          <w:cantSplit/>
          <w:jc w:val="center"/>
        </w:trPr>
        <w:tc>
          <w:tcPr>
            <w:tcW w:w="1850" w:type="pct"/>
            <w:shd w:val="clear" w:color="auto" w:fill="auto"/>
          </w:tcPr>
          <w:p w14:paraId="37BE4F4D" w14:textId="77777777" w:rsidR="008A70C9" w:rsidRPr="00380B40" w:rsidRDefault="008A70C9" w:rsidP="00910F3B">
            <w:pPr>
              <w:pStyle w:val="Tabletext"/>
              <w:keepNext/>
              <w:spacing w:before="20" w:after="20"/>
              <w:rPr>
                <w:lang w:val="en-GB"/>
              </w:rPr>
            </w:pPr>
          </w:p>
        </w:tc>
        <w:tc>
          <w:tcPr>
            <w:tcW w:w="1575" w:type="pct"/>
            <w:shd w:val="clear" w:color="auto" w:fill="auto"/>
          </w:tcPr>
          <w:p w14:paraId="1AF506C8" w14:textId="77777777" w:rsidR="008A70C9" w:rsidRPr="00380B40" w:rsidRDefault="008A70C9" w:rsidP="00910F3B">
            <w:pPr>
              <w:pStyle w:val="Tabletext"/>
              <w:keepNext/>
              <w:spacing w:before="20" w:after="20"/>
              <w:rPr>
                <w:lang w:val="en-GB"/>
              </w:rPr>
            </w:pPr>
          </w:p>
        </w:tc>
        <w:tc>
          <w:tcPr>
            <w:tcW w:w="1575" w:type="pct"/>
            <w:shd w:val="clear" w:color="auto" w:fill="auto"/>
          </w:tcPr>
          <w:p w14:paraId="4511D6E9" w14:textId="77777777" w:rsidR="008A70C9" w:rsidRPr="00380B40" w:rsidRDefault="008A70C9" w:rsidP="00910F3B">
            <w:pPr>
              <w:pStyle w:val="Tabletext"/>
              <w:keepNext/>
              <w:spacing w:before="20" w:after="20"/>
              <w:rPr>
                <w:lang w:val="en-GB"/>
              </w:rPr>
            </w:pPr>
            <w:r w:rsidRPr="00380B40">
              <w:rPr>
                <w:lang w:val="en-GB"/>
              </w:rPr>
              <w:t>On receipt of a complaint, the national regulator finds the information: name of the carrier from which the call originated, time of the call and called number, and passes this information to the national regulator in country X.</w:t>
            </w:r>
          </w:p>
        </w:tc>
      </w:tr>
      <w:tr w:rsidR="008A70C9" w:rsidRPr="004E0F36" w14:paraId="2702A182" w14:textId="77777777" w:rsidTr="00DE1739">
        <w:trPr>
          <w:cantSplit/>
          <w:jc w:val="center"/>
        </w:trPr>
        <w:tc>
          <w:tcPr>
            <w:tcW w:w="1850" w:type="pct"/>
            <w:shd w:val="clear" w:color="auto" w:fill="auto"/>
          </w:tcPr>
          <w:p w14:paraId="226E2246" w14:textId="77777777" w:rsidR="008A70C9" w:rsidRPr="00380B40" w:rsidRDefault="008A70C9" w:rsidP="00910F3B">
            <w:pPr>
              <w:pStyle w:val="Tabletext"/>
              <w:spacing w:before="20" w:after="20"/>
              <w:rPr>
                <w:lang w:val="en-GB"/>
              </w:rPr>
            </w:pPr>
            <w:r w:rsidRPr="00380B40">
              <w:rPr>
                <w:lang w:val="en-GB"/>
              </w:rPr>
              <w:t>When a complaint is received, the first information that is required is the name of the carrier from which the call originated, the time of the call and the called number.</w:t>
            </w:r>
          </w:p>
        </w:tc>
        <w:tc>
          <w:tcPr>
            <w:tcW w:w="1575" w:type="pct"/>
            <w:shd w:val="clear" w:color="auto" w:fill="auto"/>
          </w:tcPr>
          <w:p w14:paraId="7625958B" w14:textId="77777777" w:rsidR="008A70C9" w:rsidRPr="00380B40" w:rsidRDefault="008A70C9" w:rsidP="00910F3B">
            <w:pPr>
              <w:pStyle w:val="Tabletext"/>
              <w:spacing w:before="20" w:after="20"/>
              <w:rPr>
                <w:lang w:val="en-GB"/>
              </w:rPr>
            </w:pPr>
          </w:p>
        </w:tc>
        <w:tc>
          <w:tcPr>
            <w:tcW w:w="1575" w:type="pct"/>
            <w:shd w:val="clear" w:color="auto" w:fill="auto"/>
          </w:tcPr>
          <w:p w14:paraId="1AE6E597" w14:textId="77777777" w:rsidR="008A70C9" w:rsidRPr="00380B40" w:rsidRDefault="008A70C9" w:rsidP="00910F3B">
            <w:pPr>
              <w:pStyle w:val="Tabletext"/>
              <w:spacing w:before="20" w:after="20"/>
              <w:rPr>
                <w:lang w:val="en-GB"/>
              </w:rPr>
            </w:pPr>
          </w:p>
        </w:tc>
      </w:tr>
      <w:tr w:rsidR="008A70C9" w:rsidRPr="004E0F36" w14:paraId="0664AED7" w14:textId="77777777" w:rsidTr="00DE1739">
        <w:trPr>
          <w:cantSplit/>
          <w:jc w:val="center"/>
        </w:trPr>
        <w:tc>
          <w:tcPr>
            <w:tcW w:w="1850" w:type="pct"/>
            <w:shd w:val="clear" w:color="auto" w:fill="auto"/>
          </w:tcPr>
          <w:p w14:paraId="2AFAAEED" w14:textId="77777777" w:rsidR="008A70C9" w:rsidRPr="00380B40" w:rsidRDefault="008A70C9" w:rsidP="00910F3B">
            <w:pPr>
              <w:pStyle w:val="Tabletext"/>
              <w:spacing w:before="20" w:after="20"/>
              <w:rPr>
                <w:lang w:val="en-GB"/>
              </w:rPr>
            </w:pPr>
            <w:r w:rsidRPr="00380B40">
              <w:rPr>
                <w:lang w:val="en-GB"/>
              </w:rPr>
              <w:t>Once the call details are known, the national regulator requests relevant information from the carrier from which the call originated, to determine the next carrier through which the call was routed.</w:t>
            </w:r>
          </w:p>
        </w:tc>
        <w:tc>
          <w:tcPr>
            <w:tcW w:w="1575" w:type="pct"/>
            <w:shd w:val="clear" w:color="auto" w:fill="auto"/>
          </w:tcPr>
          <w:p w14:paraId="6E158480" w14:textId="77777777" w:rsidR="008A70C9" w:rsidRPr="00380B40" w:rsidRDefault="008A70C9" w:rsidP="00910F3B">
            <w:pPr>
              <w:pStyle w:val="Tabletext"/>
              <w:spacing w:before="20" w:after="20"/>
              <w:rPr>
                <w:lang w:val="en-GB"/>
              </w:rPr>
            </w:pPr>
          </w:p>
        </w:tc>
        <w:tc>
          <w:tcPr>
            <w:tcW w:w="1575" w:type="pct"/>
            <w:shd w:val="clear" w:color="auto" w:fill="auto"/>
          </w:tcPr>
          <w:p w14:paraId="4A890A80" w14:textId="77777777" w:rsidR="008A70C9" w:rsidRPr="00380B40" w:rsidRDefault="008A70C9" w:rsidP="00910F3B">
            <w:pPr>
              <w:pStyle w:val="Tabletext"/>
              <w:spacing w:before="20" w:after="20"/>
              <w:rPr>
                <w:lang w:val="en-GB"/>
              </w:rPr>
            </w:pPr>
          </w:p>
        </w:tc>
      </w:tr>
      <w:tr w:rsidR="008A70C9" w:rsidRPr="004E0F36" w14:paraId="051EDADE" w14:textId="77777777" w:rsidTr="00DE1739">
        <w:trPr>
          <w:cantSplit/>
          <w:jc w:val="center"/>
        </w:trPr>
        <w:tc>
          <w:tcPr>
            <w:tcW w:w="1850" w:type="pct"/>
            <w:shd w:val="clear" w:color="auto" w:fill="auto"/>
          </w:tcPr>
          <w:p w14:paraId="5F941584" w14:textId="77777777" w:rsidR="008A70C9" w:rsidRPr="00380B40" w:rsidRDefault="008A70C9" w:rsidP="00910F3B">
            <w:pPr>
              <w:pStyle w:val="Tabletext"/>
              <w:spacing w:before="20" w:after="20"/>
              <w:rPr>
                <w:lang w:val="en-GB"/>
              </w:rPr>
            </w:pPr>
            <w:r w:rsidRPr="00380B40">
              <w:rPr>
                <w:lang w:val="en-GB"/>
              </w:rPr>
              <w:t>Once the relevant information has been found, the national regulator is to advise the national regulator of the next country of the call details (including the call detail record) and request the national regulator to request further information.</w:t>
            </w:r>
          </w:p>
        </w:tc>
        <w:tc>
          <w:tcPr>
            <w:tcW w:w="1575" w:type="pct"/>
            <w:shd w:val="clear" w:color="auto" w:fill="auto"/>
          </w:tcPr>
          <w:p w14:paraId="4F0A579F" w14:textId="77777777" w:rsidR="008A70C9" w:rsidRPr="00380B40" w:rsidRDefault="008A70C9" w:rsidP="00910F3B">
            <w:pPr>
              <w:pStyle w:val="Tabletext"/>
              <w:spacing w:before="20" w:after="20"/>
              <w:rPr>
                <w:lang w:val="en-GB"/>
              </w:rPr>
            </w:pPr>
            <w:r w:rsidRPr="00380B40">
              <w:rPr>
                <w:lang w:val="en-GB"/>
              </w:rPr>
              <w:t xml:space="preserve">The national regulator asks the other carriers for relevant information. This process continues until the information on where the call was misappropriated is found. </w:t>
            </w:r>
          </w:p>
        </w:tc>
        <w:tc>
          <w:tcPr>
            <w:tcW w:w="1575" w:type="pct"/>
            <w:shd w:val="clear" w:color="auto" w:fill="auto"/>
          </w:tcPr>
          <w:p w14:paraId="5AD05377" w14:textId="77777777" w:rsidR="008A70C9" w:rsidRPr="00380B40" w:rsidRDefault="008A70C9" w:rsidP="00910F3B">
            <w:pPr>
              <w:pStyle w:val="Tabletext"/>
              <w:spacing w:before="20" w:after="20"/>
              <w:rPr>
                <w:lang w:val="en-GB"/>
              </w:rPr>
            </w:pPr>
          </w:p>
        </w:tc>
      </w:tr>
      <w:tr w:rsidR="008A70C9" w:rsidRPr="004E0F36" w14:paraId="5A182902" w14:textId="77777777" w:rsidTr="00DE1739">
        <w:trPr>
          <w:cantSplit/>
          <w:jc w:val="center"/>
        </w:trPr>
        <w:tc>
          <w:tcPr>
            <w:tcW w:w="1850" w:type="pct"/>
            <w:shd w:val="clear" w:color="auto" w:fill="auto"/>
          </w:tcPr>
          <w:p w14:paraId="0BBF39F0" w14:textId="77777777" w:rsidR="008A70C9" w:rsidRPr="00380B40" w:rsidRDefault="008A70C9" w:rsidP="00910F3B">
            <w:pPr>
              <w:pStyle w:val="Tabletext"/>
              <w:spacing w:before="20" w:after="20"/>
              <w:rPr>
                <w:lang w:val="en-GB"/>
              </w:rPr>
            </w:pPr>
            <w:r w:rsidRPr="00380B40">
              <w:rPr>
                <w:lang w:val="en-GB"/>
              </w:rPr>
              <w:t xml:space="preserve">Cooperation from national regulators, as appropriate, to manage these issues. </w:t>
            </w:r>
          </w:p>
        </w:tc>
        <w:tc>
          <w:tcPr>
            <w:tcW w:w="1575" w:type="pct"/>
            <w:shd w:val="clear" w:color="auto" w:fill="auto"/>
          </w:tcPr>
          <w:p w14:paraId="421E6402" w14:textId="77777777" w:rsidR="008A70C9" w:rsidRPr="00380B40" w:rsidRDefault="008A70C9" w:rsidP="00910F3B">
            <w:pPr>
              <w:pStyle w:val="Tabletext"/>
              <w:spacing w:before="20" w:after="20"/>
              <w:rPr>
                <w:lang w:val="en-GB"/>
              </w:rPr>
            </w:pPr>
            <w:r w:rsidRPr="00380B40">
              <w:rPr>
                <w:lang w:val="en-GB"/>
              </w:rPr>
              <w:t>Cooperation is required from entities involved, to attempt to bring a criminal case against the perpetrators.</w:t>
            </w:r>
          </w:p>
        </w:tc>
        <w:tc>
          <w:tcPr>
            <w:tcW w:w="1575" w:type="pct"/>
            <w:shd w:val="clear" w:color="auto" w:fill="auto"/>
          </w:tcPr>
          <w:p w14:paraId="22EF86EE" w14:textId="77777777" w:rsidR="008A70C9" w:rsidRPr="00380B40" w:rsidRDefault="008A70C9" w:rsidP="00910F3B">
            <w:pPr>
              <w:pStyle w:val="Tabletext"/>
              <w:spacing w:before="20" w:after="20"/>
              <w:rPr>
                <w:lang w:val="en-GB"/>
              </w:rPr>
            </w:pPr>
            <w:r w:rsidRPr="00380B40">
              <w:rPr>
                <w:lang w:val="en-GB"/>
              </w:rPr>
              <w:t>Cooperation is encouraged between and among national regulators involved, to resolve these issues.</w:t>
            </w:r>
          </w:p>
        </w:tc>
      </w:tr>
    </w:tbl>
    <w:p w14:paraId="6BEA15AE" w14:textId="77777777" w:rsidR="008A70C9" w:rsidRPr="00380B40" w:rsidRDefault="008A70C9" w:rsidP="00910F3B">
      <w:pPr>
        <w:rPr>
          <w:lang w:val="en-GB"/>
        </w:rPr>
      </w:pPr>
    </w:p>
    <w:p w14:paraId="0E4E99E4" w14:textId="77777777" w:rsidR="000110BB" w:rsidRPr="00380B40" w:rsidRDefault="000110BB" w:rsidP="00910F3B">
      <w:pPr>
        <w:rPr>
          <w:lang w:val="en-GB"/>
        </w:rPr>
      </w:pPr>
    </w:p>
    <w:p w14:paraId="78728608" w14:textId="77777777" w:rsidR="000110BB" w:rsidRPr="00380B40" w:rsidRDefault="000110BB" w:rsidP="00910F3B">
      <w:pPr>
        <w:rPr>
          <w:lang w:val="en-GB"/>
        </w:rPr>
      </w:pPr>
    </w:p>
    <w:p w14:paraId="5C8CE8AD" w14:textId="77777777" w:rsidR="000110BB" w:rsidRPr="00380B40" w:rsidRDefault="000110BB" w:rsidP="00910F3B">
      <w:pPr>
        <w:rPr>
          <w:lang w:val="en-GB"/>
        </w:rPr>
      </w:pPr>
    </w:p>
    <w:p w14:paraId="24C713C9" w14:textId="77777777" w:rsidR="000110BB" w:rsidRPr="00380B40" w:rsidRDefault="000110BB" w:rsidP="00910F3B">
      <w:pPr>
        <w:rPr>
          <w:lang w:val="en-GB"/>
        </w:rPr>
      </w:pPr>
    </w:p>
    <w:p w14:paraId="044EBED2" w14:textId="77777777" w:rsidR="000110BB" w:rsidRPr="00380B40" w:rsidRDefault="000110BB" w:rsidP="00910F3B">
      <w:pPr>
        <w:rPr>
          <w:lang w:val="en-GB"/>
        </w:rPr>
      </w:pPr>
    </w:p>
    <w:p w14:paraId="5BFB25A0" w14:textId="77777777" w:rsidR="000110BB" w:rsidRPr="00380B40" w:rsidRDefault="000110BB" w:rsidP="00910F3B">
      <w:pPr>
        <w:rPr>
          <w:lang w:val="en-GB"/>
        </w:rPr>
      </w:pPr>
    </w:p>
    <w:p w14:paraId="4CDF52D3" w14:textId="77777777" w:rsidR="000110BB" w:rsidRPr="00380B40" w:rsidRDefault="000110BB" w:rsidP="008A70C9">
      <w:pPr>
        <w:pStyle w:val="Tabletitle"/>
      </w:pPr>
      <w:r w:rsidRPr="00380B40">
        <w:br w:type="page"/>
      </w:r>
    </w:p>
    <w:p w14:paraId="2E79517A" w14:textId="77777777" w:rsidR="008A70C9" w:rsidRPr="00380B40" w:rsidRDefault="008A70C9" w:rsidP="008A70C9">
      <w:pPr>
        <w:pStyle w:val="Tabletitle"/>
      </w:pPr>
      <w:r w:rsidRPr="00380B40">
        <w:t>SCENARIO 2. Complaints received on the origination side</w:t>
      </w:r>
    </w:p>
    <w:tbl>
      <w:tblPr>
        <w:tblpPr w:leftFromText="180" w:rightFromText="180" w:vertAnchor="text" w:horzAnchor="margin" w:tblpY="1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3563"/>
        <w:gridCol w:w="3033"/>
        <w:gridCol w:w="3033"/>
      </w:tblGrid>
      <w:tr w:rsidR="008A70C9" w:rsidRPr="004E0F36" w14:paraId="677F6B3C" w14:textId="77777777" w:rsidTr="00DE1739">
        <w:trPr>
          <w:cantSplit/>
          <w:tblHeader/>
        </w:trPr>
        <w:tc>
          <w:tcPr>
            <w:tcW w:w="1850" w:type="pct"/>
            <w:shd w:val="clear" w:color="auto" w:fill="auto"/>
            <w:vAlign w:val="center"/>
          </w:tcPr>
          <w:p w14:paraId="7F379394" w14:textId="77777777" w:rsidR="008A70C9" w:rsidRPr="00380B40" w:rsidRDefault="008A70C9" w:rsidP="00427615">
            <w:pPr>
              <w:pStyle w:val="Tableheadwhitecentred"/>
            </w:pPr>
            <w:r w:rsidRPr="00380B40">
              <w:t>Country X</w:t>
            </w:r>
            <w:r w:rsidRPr="00380B40">
              <w:br/>
              <w:t>(location of call origination)</w:t>
            </w:r>
          </w:p>
        </w:tc>
        <w:tc>
          <w:tcPr>
            <w:tcW w:w="1575" w:type="pct"/>
            <w:shd w:val="clear" w:color="auto" w:fill="auto"/>
            <w:vAlign w:val="center"/>
          </w:tcPr>
          <w:p w14:paraId="122581F0" w14:textId="77777777" w:rsidR="008A70C9" w:rsidRPr="00380B40" w:rsidRDefault="008A70C9" w:rsidP="00427615">
            <w:pPr>
              <w:pStyle w:val="Tableheadwhitecentred"/>
            </w:pPr>
            <w:r w:rsidRPr="00380B40">
              <w:t>Country Y</w:t>
            </w:r>
            <w:r w:rsidRPr="00380B40">
              <w:br/>
              <w:t xml:space="preserve">(country through </w:t>
            </w:r>
            <w:r w:rsidRPr="00380B40">
              <w:br/>
              <w:t>which the call is routed)</w:t>
            </w:r>
          </w:p>
        </w:tc>
        <w:tc>
          <w:tcPr>
            <w:tcW w:w="1575" w:type="pct"/>
            <w:shd w:val="clear" w:color="auto" w:fill="auto"/>
            <w:vAlign w:val="center"/>
          </w:tcPr>
          <w:p w14:paraId="43F6A0B0" w14:textId="77777777" w:rsidR="008A70C9" w:rsidRPr="00380B40" w:rsidRDefault="008A70C9" w:rsidP="00427615">
            <w:pPr>
              <w:pStyle w:val="Tableheadwhitecentred"/>
            </w:pPr>
            <w:r w:rsidRPr="00380B40">
              <w:t xml:space="preserve">Country Z </w:t>
            </w:r>
            <w:r w:rsidRPr="00380B40">
              <w:br/>
              <w:t>(country to which the call was originally destined)</w:t>
            </w:r>
          </w:p>
        </w:tc>
      </w:tr>
      <w:tr w:rsidR="008A70C9" w:rsidRPr="004E0F36" w14:paraId="25851B70" w14:textId="77777777" w:rsidTr="00DE1739">
        <w:trPr>
          <w:cantSplit/>
        </w:trPr>
        <w:tc>
          <w:tcPr>
            <w:tcW w:w="1850" w:type="pct"/>
            <w:shd w:val="clear" w:color="auto" w:fill="auto"/>
          </w:tcPr>
          <w:p w14:paraId="1E41BAD6" w14:textId="77777777" w:rsidR="008A70C9" w:rsidRPr="00C777D4" w:rsidRDefault="008A70C9" w:rsidP="00AC3A13">
            <w:pPr>
              <w:pStyle w:val="Tabletext"/>
              <w:rPr>
                <w:lang w:val="en-GB"/>
              </w:rPr>
            </w:pPr>
            <w:r w:rsidRPr="00C777D4">
              <w:rPr>
                <w:lang w:val="en-GB"/>
              </w:rPr>
              <w:t xml:space="preserve">On receipt of a complaint, the national regulator requires the name of the carrier from which the call originated, the time of the call and the called number. </w:t>
            </w:r>
          </w:p>
          <w:p w14:paraId="5AA955A5" w14:textId="77777777" w:rsidR="008A70C9" w:rsidRPr="00C777D4" w:rsidRDefault="008A70C9" w:rsidP="00AC3A13">
            <w:pPr>
              <w:pStyle w:val="Tabletext"/>
              <w:rPr>
                <w:lang w:val="en-GB"/>
              </w:rPr>
            </w:pPr>
            <w:r w:rsidRPr="00C777D4">
              <w:rPr>
                <w:lang w:val="en-GB"/>
              </w:rPr>
              <w:t xml:space="preserve">It also requires the name of the carrier to which the call is destined, the time of the call and the called number, and passes this information to the national regulator in country Z. </w:t>
            </w:r>
          </w:p>
        </w:tc>
        <w:tc>
          <w:tcPr>
            <w:tcW w:w="1575" w:type="pct"/>
            <w:shd w:val="clear" w:color="auto" w:fill="auto"/>
          </w:tcPr>
          <w:p w14:paraId="2D4773BC" w14:textId="77777777" w:rsidR="008A70C9" w:rsidRPr="00C777D4" w:rsidRDefault="008A70C9" w:rsidP="00AC3A13">
            <w:pPr>
              <w:pStyle w:val="Tabletext"/>
              <w:rPr>
                <w:lang w:val="en-GB"/>
              </w:rPr>
            </w:pPr>
          </w:p>
        </w:tc>
        <w:tc>
          <w:tcPr>
            <w:tcW w:w="1575" w:type="pct"/>
            <w:shd w:val="clear" w:color="auto" w:fill="auto"/>
          </w:tcPr>
          <w:p w14:paraId="292FB024" w14:textId="77777777" w:rsidR="008A70C9" w:rsidRPr="00C777D4" w:rsidRDefault="008A70C9" w:rsidP="00AC3A13">
            <w:pPr>
              <w:pStyle w:val="Tabletext"/>
              <w:rPr>
                <w:lang w:val="en-GB"/>
              </w:rPr>
            </w:pPr>
          </w:p>
        </w:tc>
      </w:tr>
      <w:tr w:rsidR="008A70C9" w:rsidRPr="004E0F36" w14:paraId="77784D7B" w14:textId="77777777" w:rsidTr="00DE1739">
        <w:trPr>
          <w:cantSplit/>
        </w:trPr>
        <w:tc>
          <w:tcPr>
            <w:tcW w:w="1850" w:type="pct"/>
            <w:shd w:val="clear" w:color="auto" w:fill="auto"/>
          </w:tcPr>
          <w:p w14:paraId="7E7A60AA" w14:textId="77777777" w:rsidR="008A70C9" w:rsidRPr="00C777D4" w:rsidRDefault="008A70C9" w:rsidP="00AC3A13">
            <w:pPr>
              <w:pStyle w:val="Tabletext"/>
              <w:rPr>
                <w:lang w:val="en-GB"/>
              </w:rPr>
            </w:pPr>
            <w:r w:rsidRPr="00C777D4">
              <w:rPr>
                <w:lang w:val="en-GB"/>
              </w:rPr>
              <w:t>Once the call details are known, the national regulator requests relevant information from the carrier from which the call originated, to determine the next carrier through which the call was routed.</w:t>
            </w:r>
          </w:p>
        </w:tc>
        <w:tc>
          <w:tcPr>
            <w:tcW w:w="1575" w:type="pct"/>
            <w:shd w:val="clear" w:color="auto" w:fill="auto"/>
          </w:tcPr>
          <w:p w14:paraId="37DB56D0" w14:textId="77777777" w:rsidR="008A70C9" w:rsidRPr="00C777D4" w:rsidRDefault="008A70C9" w:rsidP="00AC3A13">
            <w:pPr>
              <w:pStyle w:val="Tabletext"/>
              <w:rPr>
                <w:lang w:val="en-GB"/>
              </w:rPr>
            </w:pPr>
          </w:p>
        </w:tc>
        <w:tc>
          <w:tcPr>
            <w:tcW w:w="1575" w:type="pct"/>
            <w:shd w:val="clear" w:color="auto" w:fill="auto"/>
          </w:tcPr>
          <w:p w14:paraId="749E498B" w14:textId="77777777" w:rsidR="008A70C9" w:rsidRPr="00C777D4" w:rsidRDefault="008A70C9" w:rsidP="00AC3A13">
            <w:pPr>
              <w:pStyle w:val="Tabletext"/>
              <w:rPr>
                <w:lang w:val="en-GB"/>
              </w:rPr>
            </w:pPr>
          </w:p>
        </w:tc>
      </w:tr>
      <w:tr w:rsidR="008A70C9" w:rsidRPr="004E0F36" w14:paraId="2369D795" w14:textId="77777777" w:rsidTr="00DE1739">
        <w:trPr>
          <w:cantSplit/>
        </w:trPr>
        <w:tc>
          <w:tcPr>
            <w:tcW w:w="1850" w:type="pct"/>
            <w:shd w:val="clear" w:color="auto" w:fill="auto"/>
          </w:tcPr>
          <w:p w14:paraId="5D416EC7" w14:textId="77777777" w:rsidR="008A70C9" w:rsidRPr="00C777D4" w:rsidRDefault="008A70C9" w:rsidP="00AC3A13">
            <w:pPr>
              <w:pStyle w:val="Tabletext"/>
              <w:rPr>
                <w:lang w:val="en-GB"/>
              </w:rPr>
            </w:pPr>
            <w:r w:rsidRPr="00C777D4">
              <w:rPr>
                <w:lang w:val="en-GB"/>
              </w:rPr>
              <w:t>The national regulator may also advise the national regulator of the next country of the call details (including the call detail record) and, if needed, request the national regulator to request further information.</w:t>
            </w:r>
          </w:p>
        </w:tc>
        <w:tc>
          <w:tcPr>
            <w:tcW w:w="1575" w:type="pct"/>
            <w:shd w:val="clear" w:color="auto" w:fill="auto"/>
          </w:tcPr>
          <w:p w14:paraId="3243B551" w14:textId="77777777" w:rsidR="008A70C9" w:rsidRPr="00C777D4" w:rsidRDefault="008A70C9" w:rsidP="00AC3A13">
            <w:pPr>
              <w:pStyle w:val="Tabletext"/>
              <w:rPr>
                <w:lang w:val="en-GB"/>
              </w:rPr>
            </w:pPr>
            <w:r w:rsidRPr="00C777D4">
              <w:rPr>
                <w:lang w:val="en-GB"/>
              </w:rPr>
              <w:t>The national regulator may ask the other carriers for relevant information. This process may continue until all the countries through which the call is routed are advised.</w:t>
            </w:r>
          </w:p>
        </w:tc>
        <w:tc>
          <w:tcPr>
            <w:tcW w:w="1575" w:type="pct"/>
            <w:shd w:val="clear" w:color="auto" w:fill="auto"/>
          </w:tcPr>
          <w:p w14:paraId="6A8FA2EA" w14:textId="77777777" w:rsidR="008A70C9" w:rsidRPr="00C777D4" w:rsidRDefault="008A70C9" w:rsidP="00AC3A13">
            <w:pPr>
              <w:pStyle w:val="Tabletext"/>
              <w:rPr>
                <w:lang w:val="en-GB"/>
              </w:rPr>
            </w:pPr>
          </w:p>
        </w:tc>
      </w:tr>
      <w:tr w:rsidR="008A70C9" w:rsidRPr="004E0F36" w14:paraId="6B31E482" w14:textId="77777777" w:rsidTr="00DE1739">
        <w:trPr>
          <w:cantSplit/>
        </w:trPr>
        <w:tc>
          <w:tcPr>
            <w:tcW w:w="1850" w:type="pct"/>
            <w:shd w:val="clear" w:color="auto" w:fill="auto"/>
          </w:tcPr>
          <w:p w14:paraId="2E802A2C" w14:textId="77777777" w:rsidR="008A70C9" w:rsidRPr="00C777D4" w:rsidRDefault="008A70C9" w:rsidP="00AC3A13">
            <w:pPr>
              <w:pStyle w:val="Tabletext"/>
              <w:rPr>
                <w:lang w:val="en-GB"/>
              </w:rPr>
            </w:pPr>
            <w:r w:rsidRPr="00C777D4">
              <w:rPr>
                <w:lang w:val="en-GB"/>
              </w:rPr>
              <w:t>Cooperation from national regulators, as appropriate, to manage these issues.</w:t>
            </w:r>
          </w:p>
          <w:p w14:paraId="05DEB8EC" w14:textId="77777777" w:rsidR="008A70C9" w:rsidRPr="00C777D4" w:rsidRDefault="008A70C9" w:rsidP="00AC3A13">
            <w:pPr>
              <w:pStyle w:val="Tabletext"/>
              <w:rPr>
                <w:lang w:val="en-GB"/>
              </w:rPr>
            </w:pPr>
            <w:r w:rsidRPr="00C777D4">
              <w:rPr>
                <w:lang w:val="en-GB"/>
              </w:rPr>
              <w:t>Inform the relevant national regulators on the measures taken.</w:t>
            </w:r>
          </w:p>
        </w:tc>
        <w:tc>
          <w:tcPr>
            <w:tcW w:w="1575" w:type="pct"/>
            <w:shd w:val="clear" w:color="auto" w:fill="auto"/>
          </w:tcPr>
          <w:p w14:paraId="4C68EE88" w14:textId="77777777" w:rsidR="008A70C9" w:rsidRPr="00C777D4" w:rsidRDefault="008A70C9" w:rsidP="00AC3A13">
            <w:pPr>
              <w:pStyle w:val="Tabletext"/>
              <w:rPr>
                <w:lang w:val="en-GB"/>
              </w:rPr>
            </w:pPr>
            <w:r w:rsidRPr="00C777D4">
              <w:rPr>
                <w:lang w:val="en-GB"/>
              </w:rPr>
              <w:t>Cooperation is required from entities involved.</w:t>
            </w:r>
          </w:p>
        </w:tc>
        <w:tc>
          <w:tcPr>
            <w:tcW w:w="1575" w:type="pct"/>
            <w:shd w:val="clear" w:color="auto" w:fill="auto"/>
          </w:tcPr>
          <w:p w14:paraId="7093A51B" w14:textId="77777777" w:rsidR="008A70C9" w:rsidRPr="00C777D4" w:rsidRDefault="008A70C9" w:rsidP="00AC3A13">
            <w:pPr>
              <w:pStyle w:val="Tabletext"/>
              <w:rPr>
                <w:lang w:val="en-GB"/>
              </w:rPr>
            </w:pPr>
            <w:r w:rsidRPr="00C777D4">
              <w:rPr>
                <w:lang w:val="en-GB"/>
              </w:rPr>
              <w:t>Cooperation is encouraged between and among national regulators involved, to resolve these issues.</w:t>
            </w:r>
          </w:p>
        </w:tc>
      </w:tr>
    </w:tbl>
    <w:p w14:paraId="7418380C" w14:textId="77777777" w:rsidR="008322F8" w:rsidRPr="00380B40" w:rsidRDefault="008322F8" w:rsidP="008322F8">
      <w:pPr>
        <w:spacing w:before="0"/>
        <w:rPr>
          <w:lang w:val="en-GB"/>
        </w:rPr>
      </w:pPr>
    </w:p>
    <w:p w14:paraId="602B290E" w14:textId="24C4DFE6" w:rsidR="00910F3B" w:rsidRDefault="00910F3B" w:rsidP="008322F8">
      <w:pPr>
        <w:spacing w:before="0"/>
        <w:rPr>
          <w:lang w:val="en-GB"/>
        </w:rPr>
      </w:pPr>
    </w:p>
    <w:p w14:paraId="2FCE41D0" w14:textId="31F87D6E" w:rsidR="00650B96" w:rsidRDefault="00650B96" w:rsidP="008322F8">
      <w:pPr>
        <w:spacing w:before="0"/>
        <w:rPr>
          <w:lang w:val="en-GB"/>
        </w:rPr>
      </w:pPr>
    </w:p>
    <w:p w14:paraId="24F0AA6C" w14:textId="2ADBD470" w:rsidR="00650B96" w:rsidRDefault="00650B96" w:rsidP="008322F8">
      <w:pPr>
        <w:spacing w:before="0"/>
        <w:rPr>
          <w:lang w:val="en-GB"/>
        </w:rPr>
      </w:pPr>
    </w:p>
    <w:p w14:paraId="4E718EC6" w14:textId="4BC03EBA" w:rsidR="00650B96" w:rsidRDefault="00650B96" w:rsidP="008322F8">
      <w:pPr>
        <w:spacing w:before="0"/>
        <w:rPr>
          <w:lang w:val="en-GB"/>
        </w:rPr>
      </w:pPr>
    </w:p>
    <w:p w14:paraId="2933434F" w14:textId="7B21EA2B" w:rsidR="00650B96" w:rsidRDefault="00650B96" w:rsidP="008322F8">
      <w:pPr>
        <w:spacing w:before="0"/>
        <w:rPr>
          <w:lang w:val="en-GB"/>
        </w:rPr>
      </w:pPr>
    </w:p>
    <w:p w14:paraId="5F217E16" w14:textId="77777777" w:rsidR="00650B96" w:rsidRPr="00380B40" w:rsidRDefault="00650B96" w:rsidP="008322F8">
      <w:pPr>
        <w:spacing w:before="0"/>
        <w:rPr>
          <w:lang w:val="en-GB"/>
        </w:rPr>
      </w:pPr>
    </w:p>
    <w:p w14:paraId="72D2F24C" w14:textId="77777777" w:rsidR="00910F3B" w:rsidRPr="00380B40" w:rsidRDefault="00910F3B" w:rsidP="008322F8">
      <w:pPr>
        <w:spacing w:before="0"/>
        <w:rPr>
          <w:lang w:val="en-GB"/>
        </w:rPr>
      </w:pPr>
    </w:p>
    <w:p w14:paraId="21A64340" w14:textId="77777777" w:rsidR="008B09DE" w:rsidRPr="00380B40" w:rsidRDefault="008B09DE" w:rsidP="008B09DE">
      <w:pPr>
        <w:rPr>
          <w:lang w:val="en-GB"/>
        </w:rPr>
      </w:pPr>
    </w:p>
    <w:p w14:paraId="026EA8A0" w14:textId="77777777" w:rsidR="008B09DE" w:rsidRPr="00380B40" w:rsidRDefault="008B09DE" w:rsidP="008B09DE">
      <w:pPr>
        <w:rPr>
          <w:lang w:val="en-GB"/>
        </w:rPr>
        <w:sectPr w:rsidR="008B09DE" w:rsidRPr="00380B40" w:rsidSect="001D48FF">
          <w:headerReference w:type="even" r:id="rId159"/>
          <w:headerReference w:type="default" r:id="rId160"/>
          <w:footerReference w:type="even" r:id="rId161"/>
          <w:footerReference w:type="default" r:id="rId162"/>
          <w:headerReference w:type="first" r:id="rId163"/>
          <w:footerReference w:type="first" r:id="rId164"/>
          <w:footnotePr>
            <w:numRestart w:val="eachSect"/>
          </w:footnotePr>
          <w:pgSz w:w="11907" w:h="16834" w:code="9"/>
          <w:pgMar w:top="1134" w:right="1134" w:bottom="1134" w:left="1134" w:header="567" w:footer="567" w:gutter="0"/>
          <w:paperSrc w:first="15" w:other="15"/>
          <w:cols w:space="720"/>
          <w:vAlign w:val="both"/>
          <w:docGrid w:linePitch="299"/>
        </w:sectPr>
      </w:pPr>
    </w:p>
    <w:p w14:paraId="6A47A258" w14:textId="77777777" w:rsidR="008322F8" w:rsidRPr="00380B40" w:rsidRDefault="00055CCD" w:rsidP="008322F8">
      <w:pPr>
        <w:pStyle w:val="ResNo"/>
        <w:rPr>
          <w:lang w:val="en-GB"/>
        </w:rPr>
      </w:pPr>
      <w:bookmarkStart w:id="257" w:name="_Toc104459741"/>
      <w:bookmarkStart w:id="258" w:name="_Toc104476549"/>
      <w:bookmarkStart w:id="259" w:name="_Toc111636783"/>
      <w:bookmarkStart w:id="260" w:name="_Toc111638442"/>
      <w:r w:rsidRPr="00380B40">
        <w:rPr>
          <w:caps w:val="0"/>
          <w:lang w:val="en-GB"/>
        </w:rPr>
        <w:t xml:space="preserve">RESOLUTION </w:t>
      </w:r>
      <w:r w:rsidR="008322F8" w:rsidRPr="00380B40">
        <w:rPr>
          <w:rStyle w:val="href"/>
          <w:lang w:val="en-GB"/>
        </w:rPr>
        <w:t xml:space="preserve">62 </w:t>
      </w:r>
      <w:r w:rsidR="008322F8" w:rsidRPr="00380B40">
        <w:rPr>
          <w:lang w:val="en-GB"/>
        </w:rPr>
        <w:t>(R</w:t>
      </w:r>
      <w:r w:rsidR="008322F8" w:rsidRPr="00380B40">
        <w:rPr>
          <w:caps w:val="0"/>
          <w:lang w:val="en-GB"/>
        </w:rPr>
        <w:t>ev.</w:t>
      </w:r>
      <w:r w:rsidR="008322F8" w:rsidRPr="00380B40">
        <w:rPr>
          <w:lang w:val="en-GB"/>
        </w:rPr>
        <w:t xml:space="preserve"> </w:t>
      </w:r>
      <w:r w:rsidR="008322F8" w:rsidRPr="00380B40">
        <w:rPr>
          <w:caps w:val="0"/>
          <w:lang w:val="en-GB"/>
        </w:rPr>
        <w:t>Dubai, 2012)</w:t>
      </w:r>
      <w:bookmarkEnd w:id="257"/>
      <w:bookmarkEnd w:id="258"/>
      <w:bookmarkEnd w:id="259"/>
      <w:bookmarkEnd w:id="260"/>
    </w:p>
    <w:p w14:paraId="592BE7DB" w14:textId="77777777" w:rsidR="008322F8" w:rsidRPr="00380B40" w:rsidRDefault="008322F8" w:rsidP="008322F8">
      <w:pPr>
        <w:pStyle w:val="Restitle"/>
        <w:rPr>
          <w:lang w:val="en-GB"/>
        </w:rPr>
      </w:pPr>
      <w:bookmarkStart w:id="261" w:name="_Toc104459742"/>
      <w:bookmarkStart w:id="262" w:name="_Toc104476550"/>
      <w:bookmarkStart w:id="263" w:name="_Toc111638443"/>
      <w:r w:rsidRPr="00380B40">
        <w:rPr>
          <w:lang w:val="en-GB"/>
        </w:rPr>
        <w:t>Dispute settlement</w:t>
      </w:r>
      <w:bookmarkEnd w:id="261"/>
      <w:bookmarkEnd w:id="262"/>
      <w:bookmarkEnd w:id="263"/>
    </w:p>
    <w:p w14:paraId="046A9DE5" w14:textId="77777777" w:rsidR="008322F8" w:rsidRPr="00380B40" w:rsidRDefault="008322F8" w:rsidP="008322F8">
      <w:pPr>
        <w:pStyle w:val="Resref"/>
        <w:rPr>
          <w:lang w:val="en-GB"/>
        </w:rPr>
      </w:pPr>
      <w:r w:rsidRPr="00380B40">
        <w:rPr>
          <w:lang w:val="en-GB"/>
        </w:rPr>
        <w:t>(Johannesburg, 2008; Dubai, 2012)</w:t>
      </w:r>
    </w:p>
    <w:p w14:paraId="09380BCC" w14:textId="77777777" w:rsidR="008322F8" w:rsidRPr="00380B40" w:rsidRDefault="008322F8" w:rsidP="008322F8">
      <w:pPr>
        <w:pStyle w:val="Normalaftertitle0"/>
        <w:rPr>
          <w:rtl/>
        </w:rPr>
      </w:pPr>
      <w:r w:rsidRPr="00380B40">
        <w:t>The World Telecommunication Standardization Assembly (Dubai, 2012),</w:t>
      </w:r>
    </w:p>
    <w:p w14:paraId="46294E07" w14:textId="77777777" w:rsidR="008322F8" w:rsidRPr="00380B40" w:rsidRDefault="008322F8" w:rsidP="008322F8">
      <w:pPr>
        <w:pStyle w:val="Call"/>
        <w:rPr>
          <w:rtl/>
          <w:lang w:val="en-GB"/>
        </w:rPr>
      </w:pPr>
      <w:r w:rsidRPr="00380B40">
        <w:rPr>
          <w:lang w:val="en-GB"/>
        </w:rPr>
        <w:t>considering</w:t>
      </w:r>
    </w:p>
    <w:p w14:paraId="39A32FDF" w14:textId="77777777" w:rsidR="008322F8" w:rsidRPr="00380B40" w:rsidRDefault="008322F8" w:rsidP="008322F8">
      <w:pPr>
        <w:rPr>
          <w:rtl/>
          <w:lang w:val="en-GB"/>
        </w:rPr>
      </w:pPr>
      <w:r w:rsidRPr="00380B40">
        <w:rPr>
          <w:i/>
          <w:iCs/>
          <w:lang w:val="en-GB"/>
        </w:rPr>
        <w:t>a)</w:t>
      </w:r>
      <w:r w:rsidRPr="00380B40">
        <w:rPr>
          <w:lang w:val="en-GB"/>
        </w:rPr>
        <w:tab/>
        <w:t>that Internet penetration rates remain low in developing countries</w:t>
      </w:r>
      <w:r w:rsidR="00FD162E" w:rsidRPr="00380B40">
        <w:rPr>
          <w:rStyle w:val="FootnoteReference"/>
          <w:lang w:val="en-GB"/>
        </w:rPr>
        <w:footnoteReference w:id="27"/>
      </w:r>
      <w:r w:rsidRPr="00380B40">
        <w:rPr>
          <w:lang w:val="en-GB"/>
        </w:rPr>
        <w:t>, in particular in comparison with the penetration rates of mobile telephony, and that the growth rates of Internet penetration in developing countries are also very low when compared with the growth rates of mobile telephony;</w:t>
      </w:r>
    </w:p>
    <w:p w14:paraId="447042DF" w14:textId="77777777" w:rsidR="008322F8" w:rsidRPr="00380B40" w:rsidRDefault="008322F8" w:rsidP="008322F8">
      <w:pPr>
        <w:rPr>
          <w:rtl/>
          <w:lang w:val="en-GB"/>
        </w:rPr>
      </w:pPr>
      <w:r w:rsidRPr="00380B40">
        <w:rPr>
          <w:i/>
          <w:iCs/>
          <w:lang w:val="en-GB"/>
        </w:rPr>
        <w:t>b)</w:t>
      </w:r>
      <w:r w:rsidRPr="00380B40">
        <w:rPr>
          <w:lang w:val="en-GB"/>
        </w:rPr>
        <w:tab/>
        <w:t>the increasing imbalance under the current circumstances between developed and developing countries, in terms of economic growth and technological progress;</w:t>
      </w:r>
    </w:p>
    <w:p w14:paraId="21C23C15" w14:textId="77777777" w:rsidR="008322F8" w:rsidRPr="00380B40" w:rsidRDefault="008322F8" w:rsidP="008322F8">
      <w:pPr>
        <w:rPr>
          <w:lang w:val="en-GB"/>
        </w:rPr>
      </w:pPr>
      <w:r w:rsidRPr="00380B40">
        <w:rPr>
          <w:i/>
          <w:iCs/>
          <w:lang w:val="en-GB"/>
        </w:rPr>
        <w:t>c)</w:t>
      </w:r>
      <w:r w:rsidRPr="00380B40">
        <w:rPr>
          <w:lang w:val="en-GB"/>
        </w:rPr>
        <w:tab/>
        <w:t>that numerous explanations have been put forward to explain the phenomena mentioned above,</w:t>
      </w:r>
    </w:p>
    <w:p w14:paraId="3387A7A7" w14:textId="77777777" w:rsidR="008322F8" w:rsidRPr="00380B40" w:rsidRDefault="008322F8" w:rsidP="008322F8">
      <w:pPr>
        <w:pStyle w:val="Call"/>
        <w:rPr>
          <w:rtl/>
          <w:lang w:val="en-GB"/>
        </w:rPr>
      </w:pPr>
      <w:r w:rsidRPr="00380B40">
        <w:rPr>
          <w:lang w:val="en-GB"/>
        </w:rPr>
        <w:t>recognizing</w:t>
      </w:r>
    </w:p>
    <w:p w14:paraId="76378A15" w14:textId="77777777" w:rsidR="008322F8" w:rsidRPr="00380B40" w:rsidRDefault="008322F8" w:rsidP="008322F8">
      <w:pPr>
        <w:rPr>
          <w:rtl/>
          <w:lang w:val="en-GB"/>
        </w:rPr>
      </w:pPr>
      <w:r w:rsidRPr="00380B40">
        <w:rPr>
          <w:i/>
          <w:iCs/>
          <w:lang w:val="en-GB"/>
        </w:rPr>
        <w:t>a)</w:t>
      </w:r>
      <w:r w:rsidRPr="00380B40">
        <w:rPr>
          <w:lang w:val="en-GB"/>
        </w:rPr>
        <w:tab/>
        <w:t>that the continuing social and economic underdevelopment of a large part of the world is one of the most serious problems affecting not only the countries concerned, but also the international community as a whole;</w:t>
      </w:r>
    </w:p>
    <w:p w14:paraId="4BB92E5B" w14:textId="77777777" w:rsidR="008322F8" w:rsidRPr="00380B40" w:rsidRDefault="008322F8" w:rsidP="008322F8">
      <w:pPr>
        <w:rPr>
          <w:rtl/>
          <w:lang w:val="en-GB"/>
        </w:rPr>
      </w:pPr>
      <w:r w:rsidRPr="00380B40">
        <w:rPr>
          <w:i/>
          <w:iCs/>
          <w:lang w:val="en-GB"/>
        </w:rPr>
        <w:t>b)</w:t>
      </w:r>
      <w:r w:rsidRPr="00380B40">
        <w:rPr>
          <w:lang w:val="en-GB"/>
        </w:rPr>
        <w:tab/>
        <w:t>that the development of telecommunication/information and communication technologies infrastructure and services is a precondition for social and economic development;</w:t>
      </w:r>
    </w:p>
    <w:p w14:paraId="1A343419" w14:textId="77777777" w:rsidR="008322F8" w:rsidRPr="00380B40" w:rsidRDefault="008322F8" w:rsidP="008322F8">
      <w:pPr>
        <w:rPr>
          <w:rtl/>
          <w:lang w:val="en-GB"/>
        </w:rPr>
      </w:pPr>
      <w:r w:rsidRPr="00380B40">
        <w:rPr>
          <w:i/>
          <w:iCs/>
          <w:lang w:val="en-GB"/>
        </w:rPr>
        <w:t>c)</w:t>
      </w:r>
      <w:r w:rsidRPr="00380B40">
        <w:rPr>
          <w:lang w:val="en-GB"/>
        </w:rPr>
        <w:tab/>
        <w:t>that the uneven access to telecommunication facilities globally results in a widening of the gap between the developed and the developing world in terms of economic growth and technological progress;</w:t>
      </w:r>
    </w:p>
    <w:p w14:paraId="5FBF7128" w14:textId="77777777" w:rsidR="008322F8" w:rsidRPr="00380B40" w:rsidRDefault="008322F8" w:rsidP="008322F8">
      <w:pPr>
        <w:rPr>
          <w:lang w:val="en-GB"/>
        </w:rPr>
      </w:pPr>
      <w:r w:rsidRPr="00380B40">
        <w:rPr>
          <w:i/>
          <w:iCs/>
          <w:lang w:val="en-GB"/>
        </w:rPr>
        <w:t>d)</w:t>
      </w:r>
      <w:r w:rsidRPr="00380B40">
        <w:rPr>
          <w:lang w:val="en-GB"/>
        </w:rPr>
        <w:tab/>
        <w:t>that many countries have agreed to the dispute settlement clause for interconnection in the World Trade Organization reference paper on the principles and definitions on the regulatory framework for the basic telecommunication services,</w:t>
      </w:r>
    </w:p>
    <w:p w14:paraId="4E64EFB6" w14:textId="77777777" w:rsidR="008322F8" w:rsidRPr="00380B40" w:rsidRDefault="008322F8" w:rsidP="008322F8">
      <w:pPr>
        <w:pStyle w:val="Call"/>
        <w:rPr>
          <w:rtl/>
          <w:lang w:val="en-GB"/>
        </w:rPr>
      </w:pPr>
      <w:r w:rsidRPr="00380B40">
        <w:rPr>
          <w:lang w:val="en-GB"/>
        </w:rPr>
        <w:t>noting</w:t>
      </w:r>
    </w:p>
    <w:p w14:paraId="114CED57" w14:textId="77777777" w:rsidR="008322F8" w:rsidRPr="00380B40" w:rsidRDefault="008322F8" w:rsidP="008322F8">
      <w:pPr>
        <w:rPr>
          <w:lang w:val="en-GB"/>
        </w:rPr>
      </w:pPr>
      <w:r w:rsidRPr="00380B40">
        <w:rPr>
          <w:lang w:val="en-GB"/>
        </w:rPr>
        <w:t>the contribution from Study Group 3 of the ITU Telecommunication Standardization Sector (ITU</w:t>
      </w:r>
      <w:r w:rsidRPr="00380B40">
        <w:rPr>
          <w:lang w:val="en-GB"/>
        </w:rPr>
        <w:noBreakHyphen/>
        <w:t>T) to the second meeting of the Internet Governance Forum;</w:t>
      </w:r>
    </w:p>
    <w:p w14:paraId="4F39DC60" w14:textId="77777777" w:rsidR="008322F8" w:rsidRPr="00380B40" w:rsidRDefault="008322F8" w:rsidP="008322F8">
      <w:pPr>
        <w:pStyle w:val="Call"/>
        <w:rPr>
          <w:rtl/>
          <w:lang w:val="en-GB"/>
        </w:rPr>
      </w:pPr>
      <w:r w:rsidRPr="00380B40">
        <w:rPr>
          <w:lang w:val="en-GB"/>
        </w:rPr>
        <w:t>resolves to instruct ITU-T Study Group 3</w:t>
      </w:r>
    </w:p>
    <w:p w14:paraId="79C82A6F" w14:textId="77777777" w:rsidR="008322F8" w:rsidRPr="00380B40" w:rsidRDefault="008322F8" w:rsidP="008322F8">
      <w:pPr>
        <w:rPr>
          <w:rtl/>
          <w:lang w:val="en-GB"/>
        </w:rPr>
      </w:pPr>
      <w:r w:rsidRPr="00380B40">
        <w:rPr>
          <w:lang w:val="en-GB"/>
        </w:rPr>
        <w:t>1</w:t>
      </w:r>
      <w:r w:rsidRPr="00380B40">
        <w:rPr>
          <w:lang w:val="en-GB"/>
        </w:rPr>
        <w:tab/>
        <w:t>to expedite its work on international connectivity, in order to facilitate the implementation of relevant resolutions;</w:t>
      </w:r>
    </w:p>
    <w:p w14:paraId="0F10E32E" w14:textId="77777777" w:rsidR="008322F8" w:rsidRPr="00380B40" w:rsidRDefault="008322F8" w:rsidP="008322F8">
      <w:pPr>
        <w:rPr>
          <w:lang w:val="en-GB"/>
        </w:rPr>
      </w:pPr>
      <w:r w:rsidRPr="00380B40">
        <w:rPr>
          <w:lang w:val="en-GB"/>
        </w:rPr>
        <w:t>2</w:t>
      </w:r>
      <w:r w:rsidRPr="00380B40">
        <w:rPr>
          <w:lang w:val="en-GB"/>
        </w:rPr>
        <w:tab/>
        <w:t>to collect data with respect to the implementation and practical effects of the implementation of relevant resolutions and ITU-T D-series Recommendations,</w:t>
      </w:r>
    </w:p>
    <w:p w14:paraId="15E8231F" w14:textId="77777777" w:rsidR="008B09DE" w:rsidRPr="00380B40" w:rsidRDefault="008B09DE">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sidRPr="00380B40">
        <w:rPr>
          <w:lang w:val="en-GB"/>
        </w:rPr>
        <w:br w:type="page"/>
      </w:r>
    </w:p>
    <w:p w14:paraId="059813B6" w14:textId="77777777" w:rsidR="008322F8" w:rsidRPr="00380B40" w:rsidRDefault="008322F8" w:rsidP="008322F8">
      <w:pPr>
        <w:pStyle w:val="Call"/>
        <w:rPr>
          <w:rtl/>
          <w:lang w:val="en-GB"/>
        </w:rPr>
      </w:pPr>
      <w:r w:rsidRPr="00380B40">
        <w:rPr>
          <w:lang w:val="en-GB"/>
        </w:rPr>
        <w:t>invites Member States</w:t>
      </w:r>
    </w:p>
    <w:p w14:paraId="3638F07B" w14:textId="77777777" w:rsidR="008322F8" w:rsidRPr="00380B40" w:rsidRDefault="008322F8" w:rsidP="008322F8">
      <w:pPr>
        <w:rPr>
          <w:lang w:val="en-GB"/>
        </w:rPr>
      </w:pPr>
      <w:r w:rsidRPr="00380B40">
        <w:rPr>
          <w:lang w:val="en-GB"/>
        </w:rPr>
        <w:t>1</w:t>
      </w:r>
      <w:r w:rsidRPr="00380B40">
        <w:rPr>
          <w:lang w:val="en-GB"/>
        </w:rPr>
        <w:tab/>
        <w:t>to encourage each party to include in a negotiation or agreement related to, or arising out of, international connectivity matters a dispute settlement clause in such agreements;</w:t>
      </w:r>
    </w:p>
    <w:p w14:paraId="416E5D79" w14:textId="77777777" w:rsidR="008322F8" w:rsidRPr="00380B40" w:rsidRDefault="008322F8" w:rsidP="008322F8">
      <w:pPr>
        <w:rPr>
          <w:rtl/>
          <w:lang w:val="en-GB"/>
        </w:rPr>
      </w:pPr>
      <w:r w:rsidRPr="00380B40">
        <w:rPr>
          <w:lang w:val="en-GB"/>
        </w:rPr>
        <w:t>2</w:t>
      </w:r>
      <w:r w:rsidRPr="00380B40">
        <w:rPr>
          <w:lang w:val="en-GB"/>
        </w:rPr>
        <w:tab/>
        <w:t>to encourage all operating agencies domiciled within their territories to implement relevant ITU</w:t>
      </w:r>
      <w:r w:rsidRPr="00380B40">
        <w:rPr>
          <w:lang w:val="en-GB"/>
        </w:rPr>
        <w:noBreakHyphen/>
        <w:t>T Recommendations;</w:t>
      </w:r>
    </w:p>
    <w:p w14:paraId="4204CD0A" w14:textId="77777777" w:rsidR="008322F8" w:rsidRPr="00380B40" w:rsidRDefault="008322F8" w:rsidP="008322F8">
      <w:pPr>
        <w:rPr>
          <w:rtl/>
          <w:lang w:val="en-GB"/>
        </w:rPr>
      </w:pPr>
      <w:r w:rsidRPr="00380B40">
        <w:rPr>
          <w:lang w:val="en-GB"/>
        </w:rPr>
        <w:t>3</w:t>
      </w:r>
      <w:r w:rsidRPr="00380B40">
        <w:rPr>
          <w:lang w:val="en-GB"/>
        </w:rPr>
        <w:tab/>
        <w:t>to contribute to ITU</w:t>
      </w:r>
      <w:r w:rsidRPr="00380B40">
        <w:rPr>
          <w:lang w:val="en-GB"/>
        </w:rPr>
        <w:noBreakHyphen/>
        <w:t>T's further work in the areas mentioned in this resolution,</w:t>
      </w:r>
    </w:p>
    <w:p w14:paraId="4D3AC98E" w14:textId="77777777" w:rsidR="008322F8" w:rsidRPr="00380B40" w:rsidRDefault="008322F8" w:rsidP="008322F8">
      <w:pPr>
        <w:pStyle w:val="Call"/>
        <w:rPr>
          <w:rtl/>
          <w:lang w:val="en-GB"/>
        </w:rPr>
      </w:pPr>
      <w:r w:rsidRPr="00380B40">
        <w:rPr>
          <w:lang w:val="en-GB"/>
        </w:rPr>
        <w:t>instructs the Director of the Telecommunication Standardization Bureau</w:t>
      </w:r>
    </w:p>
    <w:p w14:paraId="63532D04" w14:textId="77777777" w:rsidR="008322F8" w:rsidRPr="00380B40" w:rsidRDefault="008322F8" w:rsidP="008322F8">
      <w:pPr>
        <w:rPr>
          <w:rtl/>
          <w:lang w:val="en-GB"/>
        </w:rPr>
      </w:pPr>
      <w:r w:rsidRPr="00380B40">
        <w:rPr>
          <w:lang w:val="en-GB"/>
        </w:rPr>
        <w:t>1</w:t>
      </w:r>
      <w:r w:rsidRPr="00380B40">
        <w:rPr>
          <w:lang w:val="en-GB"/>
        </w:rPr>
        <w:tab/>
        <w:t>to report annually to the ITU Council with respect to the implementation of this resolution;</w:t>
      </w:r>
    </w:p>
    <w:p w14:paraId="08F2E9E4" w14:textId="77777777" w:rsidR="008322F8" w:rsidRPr="00380B40" w:rsidRDefault="008322F8" w:rsidP="008322F8">
      <w:pPr>
        <w:rPr>
          <w:lang w:val="en-GB"/>
        </w:rPr>
      </w:pPr>
      <w:r w:rsidRPr="00380B40">
        <w:rPr>
          <w:lang w:val="en-GB"/>
        </w:rPr>
        <w:t>2</w:t>
      </w:r>
      <w:r w:rsidRPr="00380B40">
        <w:rPr>
          <w:lang w:val="en-GB"/>
        </w:rPr>
        <w:tab/>
        <w:t>to provide all necessary support, within the existing budget, to Study Group 3 for its further work on this matter.</w:t>
      </w:r>
    </w:p>
    <w:p w14:paraId="6A0397D5" w14:textId="77777777" w:rsidR="008322F8" w:rsidRPr="00380B40" w:rsidRDefault="008322F8" w:rsidP="008322F8">
      <w:pPr>
        <w:rPr>
          <w:lang w:val="en-GB"/>
        </w:rPr>
      </w:pPr>
    </w:p>
    <w:p w14:paraId="26E4B593" w14:textId="77777777" w:rsidR="00AB45F0" w:rsidRPr="00380B40" w:rsidRDefault="00AB45F0" w:rsidP="008322F8">
      <w:pPr>
        <w:rPr>
          <w:lang w:val="en-GB"/>
        </w:rPr>
      </w:pPr>
    </w:p>
    <w:p w14:paraId="2F169129" w14:textId="77777777" w:rsidR="00AB45F0" w:rsidRPr="00380B40" w:rsidRDefault="00AB45F0" w:rsidP="008322F8">
      <w:pPr>
        <w:rPr>
          <w:lang w:val="en-GB"/>
        </w:rPr>
      </w:pPr>
    </w:p>
    <w:p w14:paraId="0FCB93AF" w14:textId="77777777" w:rsidR="008B09DE" w:rsidRPr="00380B40" w:rsidRDefault="008B09DE" w:rsidP="008322F8">
      <w:pPr>
        <w:rPr>
          <w:lang w:val="en-GB"/>
        </w:rPr>
      </w:pPr>
    </w:p>
    <w:p w14:paraId="0FED667C" w14:textId="77777777" w:rsidR="008B09DE" w:rsidRPr="00380B40" w:rsidRDefault="008B09DE" w:rsidP="008322F8">
      <w:pPr>
        <w:rPr>
          <w:lang w:val="en-GB"/>
        </w:rPr>
      </w:pPr>
    </w:p>
    <w:p w14:paraId="21816895" w14:textId="77777777" w:rsidR="008B09DE" w:rsidRPr="00380B40" w:rsidRDefault="008B09DE" w:rsidP="008322F8">
      <w:pPr>
        <w:rPr>
          <w:lang w:val="en-GB"/>
        </w:rPr>
      </w:pPr>
    </w:p>
    <w:p w14:paraId="7C95E52E" w14:textId="77777777" w:rsidR="00AB45F0" w:rsidRPr="00380B40" w:rsidRDefault="00AB45F0" w:rsidP="008322F8">
      <w:pPr>
        <w:rPr>
          <w:lang w:val="en-GB"/>
        </w:rPr>
      </w:pPr>
    </w:p>
    <w:p w14:paraId="1D8619BD" w14:textId="77777777" w:rsidR="00AB45F0" w:rsidRPr="00380B40" w:rsidRDefault="00AB45F0" w:rsidP="008322F8">
      <w:pPr>
        <w:rPr>
          <w:lang w:val="en-GB"/>
        </w:rPr>
      </w:pPr>
    </w:p>
    <w:p w14:paraId="3C961D3C" w14:textId="77777777" w:rsidR="00AB45F0" w:rsidRPr="00380B40" w:rsidRDefault="00AB45F0" w:rsidP="008322F8">
      <w:pPr>
        <w:rPr>
          <w:lang w:val="en-GB"/>
        </w:rPr>
      </w:pPr>
    </w:p>
    <w:p w14:paraId="65EC5BC3" w14:textId="77777777" w:rsidR="00AB45F0" w:rsidRPr="00380B40" w:rsidRDefault="00AB45F0" w:rsidP="008322F8">
      <w:pPr>
        <w:rPr>
          <w:lang w:val="en-GB"/>
        </w:rPr>
      </w:pPr>
    </w:p>
    <w:p w14:paraId="3789474B" w14:textId="77777777" w:rsidR="00AB45F0" w:rsidRPr="00380B40" w:rsidRDefault="00AB45F0" w:rsidP="008322F8">
      <w:pPr>
        <w:rPr>
          <w:lang w:val="en-GB"/>
        </w:rPr>
      </w:pPr>
    </w:p>
    <w:p w14:paraId="2880E0F7" w14:textId="77777777" w:rsidR="00AB45F0" w:rsidRPr="00380B40" w:rsidRDefault="00AB45F0" w:rsidP="008322F8">
      <w:pPr>
        <w:rPr>
          <w:lang w:val="en-GB"/>
        </w:rPr>
      </w:pPr>
    </w:p>
    <w:p w14:paraId="7343199A" w14:textId="77777777" w:rsidR="00AB45F0" w:rsidRPr="00380B40" w:rsidRDefault="00AB45F0" w:rsidP="008322F8">
      <w:pPr>
        <w:rPr>
          <w:lang w:val="en-GB"/>
        </w:rPr>
      </w:pPr>
    </w:p>
    <w:p w14:paraId="703A19C9" w14:textId="77777777" w:rsidR="00AB45F0" w:rsidRPr="00380B40" w:rsidRDefault="00AB45F0" w:rsidP="008322F8">
      <w:pPr>
        <w:rPr>
          <w:lang w:val="en-GB"/>
        </w:rPr>
      </w:pPr>
    </w:p>
    <w:p w14:paraId="7FFC2322" w14:textId="77777777" w:rsidR="00AB45F0" w:rsidRPr="00380B40" w:rsidRDefault="00AB45F0" w:rsidP="008322F8">
      <w:pPr>
        <w:rPr>
          <w:lang w:val="en-GB"/>
        </w:rPr>
      </w:pPr>
    </w:p>
    <w:p w14:paraId="06DCDDF2" w14:textId="77777777" w:rsidR="00AB45F0" w:rsidRPr="00380B40" w:rsidRDefault="00AB45F0" w:rsidP="008322F8">
      <w:pPr>
        <w:rPr>
          <w:lang w:val="en-GB"/>
        </w:rPr>
      </w:pPr>
    </w:p>
    <w:p w14:paraId="623B3380" w14:textId="77777777" w:rsidR="008B09DE" w:rsidRPr="00380B40" w:rsidRDefault="008B09DE" w:rsidP="008B09DE">
      <w:pPr>
        <w:rPr>
          <w:lang w:val="en-GB"/>
        </w:rPr>
      </w:pPr>
    </w:p>
    <w:p w14:paraId="1433A43F" w14:textId="77777777" w:rsidR="008B09DE" w:rsidRPr="00380B40" w:rsidRDefault="008B09DE" w:rsidP="008B09DE">
      <w:pPr>
        <w:rPr>
          <w:lang w:val="en-GB"/>
        </w:rPr>
        <w:sectPr w:rsidR="008B09DE" w:rsidRPr="00380B40" w:rsidSect="001D48FF">
          <w:headerReference w:type="even" r:id="rId165"/>
          <w:headerReference w:type="default" r:id="rId166"/>
          <w:footerReference w:type="even" r:id="rId167"/>
          <w:footerReference w:type="default" r:id="rId168"/>
          <w:headerReference w:type="first" r:id="rId169"/>
          <w:footerReference w:type="first" r:id="rId170"/>
          <w:footnotePr>
            <w:numRestart w:val="eachSect"/>
          </w:footnotePr>
          <w:pgSz w:w="11907" w:h="16834" w:code="9"/>
          <w:pgMar w:top="1134" w:right="1134" w:bottom="1134" w:left="1134" w:header="567" w:footer="567" w:gutter="0"/>
          <w:paperSrc w:first="15" w:other="15"/>
          <w:cols w:space="720"/>
          <w:vAlign w:val="both"/>
          <w:docGrid w:linePitch="299"/>
        </w:sectPr>
      </w:pPr>
    </w:p>
    <w:p w14:paraId="1C30CA33" w14:textId="77777777" w:rsidR="004A3010" w:rsidRPr="00380B40" w:rsidRDefault="004A3010" w:rsidP="008A70C9">
      <w:pPr>
        <w:pStyle w:val="ResNo"/>
        <w:rPr>
          <w:b/>
          <w:lang w:val="en-GB"/>
        </w:rPr>
      </w:pPr>
      <w:bookmarkStart w:id="264" w:name="_Toc104459743"/>
      <w:bookmarkStart w:id="265" w:name="_Toc104476551"/>
      <w:bookmarkStart w:id="266" w:name="_Toc111636784"/>
      <w:bookmarkStart w:id="267" w:name="_Toc111638444"/>
      <w:r w:rsidRPr="00380B40">
        <w:rPr>
          <w:lang w:val="en-GB"/>
        </w:rPr>
        <w:t xml:space="preserve">RESOLUTION </w:t>
      </w:r>
      <w:r w:rsidRPr="00380B40">
        <w:rPr>
          <w:rStyle w:val="href"/>
          <w:lang w:val="en-GB"/>
        </w:rPr>
        <w:t>64</w:t>
      </w:r>
      <w:r w:rsidRPr="00380B40">
        <w:rPr>
          <w:lang w:val="en-GB"/>
        </w:rPr>
        <w:t xml:space="preserve"> </w:t>
      </w:r>
      <w:r w:rsidR="008A70C9" w:rsidRPr="00380B40">
        <w:rPr>
          <w:lang w:val="en-GB"/>
        </w:rPr>
        <w:t>(R</w:t>
      </w:r>
      <w:r w:rsidR="00325BCB" w:rsidRPr="00380B40">
        <w:rPr>
          <w:caps w:val="0"/>
          <w:lang w:val="en-GB"/>
        </w:rPr>
        <w:t>ev</w:t>
      </w:r>
      <w:r w:rsidR="008A70C9" w:rsidRPr="00380B40">
        <w:rPr>
          <w:lang w:val="en-GB"/>
        </w:rPr>
        <w:t>. G</w:t>
      </w:r>
      <w:r w:rsidR="00325BCB" w:rsidRPr="00380B40">
        <w:rPr>
          <w:caps w:val="0"/>
          <w:lang w:val="en-GB"/>
        </w:rPr>
        <w:t>eneva</w:t>
      </w:r>
      <w:r w:rsidR="008A70C9" w:rsidRPr="00380B40">
        <w:rPr>
          <w:lang w:val="en-GB"/>
        </w:rPr>
        <w:t>, 2022)</w:t>
      </w:r>
      <w:bookmarkEnd w:id="264"/>
      <w:bookmarkEnd w:id="265"/>
      <w:bookmarkEnd w:id="266"/>
      <w:bookmarkEnd w:id="267"/>
    </w:p>
    <w:p w14:paraId="16C9BAAE" w14:textId="77777777" w:rsidR="008A70C9" w:rsidRPr="00380B40" w:rsidRDefault="008A70C9" w:rsidP="008A70C9">
      <w:pPr>
        <w:pStyle w:val="Restitle"/>
        <w:keepNext w:val="0"/>
        <w:keepLines w:val="0"/>
        <w:rPr>
          <w:lang w:val="en-GB"/>
        </w:rPr>
      </w:pPr>
      <w:bookmarkStart w:id="268" w:name="_Toc104459744"/>
      <w:bookmarkStart w:id="269" w:name="_Toc104476552"/>
      <w:bookmarkStart w:id="270" w:name="_Toc111638445"/>
      <w:r w:rsidRPr="00380B40">
        <w:rPr>
          <w:lang w:val="en-GB"/>
        </w:rPr>
        <w:t>Internet Protocol address allocation and facilitating the transition to and deployment of Internet Protocol version 6</w:t>
      </w:r>
      <w:bookmarkEnd w:id="268"/>
      <w:bookmarkEnd w:id="269"/>
      <w:bookmarkEnd w:id="270"/>
    </w:p>
    <w:p w14:paraId="540B68DF" w14:textId="77777777" w:rsidR="008A70C9" w:rsidRPr="00380B40" w:rsidRDefault="008A70C9" w:rsidP="008A70C9">
      <w:pPr>
        <w:pStyle w:val="Resref"/>
        <w:keepNext w:val="0"/>
        <w:keepLines w:val="0"/>
        <w:rPr>
          <w:lang w:val="en-GB"/>
        </w:rPr>
      </w:pPr>
      <w:r w:rsidRPr="00380B40">
        <w:rPr>
          <w:lang w:val="en-GB"/>
        </w:rPr>
        <w:t>(Johannesburg, 2008; Dubai, 2012; Hammamet, 2016; Geneva, 2022)</w:t>
      </w:r>
    </w:p>
    <w:p w14:paraId="54C30DAD" w14:textId="77777777" w:rsidR="008A70C9" w:rsidRPr="00380B40" w:rsidRDefault="008A70C9" w:rsidP="008A70C9">
      <w:pPr>
        <w:pStyle w:val="Normalaftertitle0"/>
      </w:pPr>
      <w:r w:rsidRPr="00380B40">
        <w:t>The World Telecommunication Standardization Assembly (Geneva, 2022),</w:t>
      </w:r>
    </w:p>
    <w:p w14:paraId="59F07771" w14:textId="77777777" w:rsidR="008A70C9" w:rsidRPr="00380B40" w:rsidRDefault="008A70C9" w:rsidP="008A70C9">
      <w:pPr>
        <w:pStyle w:val="Call"/>
        <w:rPr>
          <w:lang w:val="en-GB"/>
        </w:rPr>
      </w:pPr>
      <w:r w:rsidRPr="00380B40">
        <w:rPr>
          <w:lang w:val="en-GB"/>
        </w:rPr>
        <w:t>recognizing</w:t>
      </w:r>
    </w:p>
    <w:p w14:paraId="792322D5" w14:textId="77777777" w:rsidR="008A70C9" w:rsidRPr="00380B40" w:rsidRDefault="008A70C9" w:rsidP="008A70C9">
      <w:pPr>
        <w:rPr>
          <w:lang w:val="en-GB"/>
        </w:rPr>
      </w:pPr>
      <w:r w:rsidRPr="00380B40">
        <w:rPr>
          <w:i/>
          <w:iCs/>
          <w:lang w:val="en-GB"/>
        </w:rPr>
        <w:t>a)</w:t>
      </w:r>
      <w:r w:rsidRPr="00380B40">
        <w:rPr>
          <w:lang w:val="en-GB"/>
        </w:rPr>
        <w:tab/>
        <w:t xml:space="preserve">Resolutions 101 (Rev. Dubai, 2018), 102 (Rev. Dubai, 2018) and 180 (Rev. Dubai, 2018) of the Plenipotentiary Conference, and Resolution 63 (Rev. Buenos Aires, 2017) of the World Telecommunication Development Conference; </w:t>
      </w:r>
    </w:p>
    <w:p w14:paraId="53FC3E16" w14:textId="77777777" w:rsidR="008A70C9" w:rsidRPr="00380B40" w:rsidRDefault="008A70C9" w:rsidP="008A70C9">
      <w:pPr>
        <w:rPr>
          <w:lang w:val="en-GB"/>
        </w:rPr>
      </w:pPr>
      <w:r w:rsidRPr="00380B40">
        <w:rPr>
          <w:i/>
          <w:iCs/>
          <w:lang w:val="en-GB"/>
        </w:rPr>
        <w:t>b)</w:t>
      </w:r>
      <w:r w:rsidRPr="00380B40">
        <w:rPr>
          <w:lang w:val="en-GB"/>
        </w:rPr>
        <w:tab/>
        <w:t>that the exhaustion of Internet Protocol version 4 (IPv4) addresses calls for acceleration of IPv4 to Internet Protocol version 6 (IPv6) migration, which becomes an important issue for Member States and Sector Members;</w:t>
      </w:r>
    </w:p>
    <w:p w14:paraId="0EE6C3D0" w14:textId="77777777" w:rsidR="008A70C9" w:rsidRPr="00380B40" w:rsidRDefault="008A70C9" w:rsidP="008A70C9">
      <w:pPr>
        <w:rPr>
          <w:lang w:val="en-GB"/>
        </w:rPr>
      </w:pPr>
      <w:r w:rsidRPr="00380B40">
        <w:rPr>
          <w:i/>
          <w:iCs/>
          <w:lang w:val="en-GB"/>
        </w:rPr>
        <w:t>c)</w:t>
      </w:r>
      <w:r w:rsidRPr="00380B40">
        <w:rPr>
          <w:lang w:val="en-GB"/>
        </w:rPr>
        <w:tab/>
        <w:t>the result of the ITU IPv6 Group, which has carried out the work that was assigned to it;</w:t>
      </w:r>
    </w:p>
    <w:p w14:paraId="45F2B2AB" w14:textId="77777777" w:rsidR="008A70C9" w:rsidRPr="00380B40" w:rsidRDefault="008A70C9" w:rsidP="008A70C9">
      <w:pPr>
        <w:rPr>
          <w:lang w:val="en-GB"/>
        </w:rPr>
      </w:pPr>
      <w:r w:rsidRPr="00380B40">
        <w:rPr>
          <w:i/>
          <w:iCs/>
          <w:lang w:val="en-GB"/>
        </w:rPr>
        <w:t>d)</w:t>
      </w:r>
      <w:r w:rsidRPr="00380B40">
        <w:rPr>
          <w:lang w:val="en-GB"/>
        </w:rPr>
        <w:tab/>
        <w:t>that future work on IPv6 human capacity building is to be continued and led by the Telecommunication Development Bureau (BDT), in collaboration with other relevant organizations, if required,</w:t>
      </w:r>
    </w:p>
    <w:p w14:paraId="0ABD1521" w14:textId="77777777" w:rsidR="008A70C9" w:rsidRPr="00380B40" w:rsidRDefault="008A70C9" w:rsidP="008A70C9">
      <w:pPr>
        <w:pStyle w:val="Call"/>
        <w:rPr>
          <w:rtl/>
          <w:lang w:val="en-GB"/>
        </w:rPr>
      </w:pPr>
      <w:r w:rsidRPr="00380B40">
        <w:rPr>
          <w:lang w:val="en-GB"/>
        </w:rPr>
        <w:t>noting</w:t>
      </w:r>
    </w:p>
    <w:p w14:paraId="12E03FA6" w14:textId="77777777" w:rsidR="008A70C9" w:rsidRPr="00380B40" w:rsidRDefault="008A70C9" w:rsidP="008A70C9">
      <w:pPr>
        <w:rPr>
          <w:rtl/>
          <w:lang w:val="en-GB"/>
        </w:rPr>
      </w:pPr>
      <w:r w:rsidRPr="00380B40">
        <w:rPr>
          <w:i/>
          <w:iCs/>
          <w:lang w:val="en-GB"/>
        </w:rPr>
        <w:t>a)</w:t>
      </w:r>
      <w:r w:rsidRPr="00380B40">
        <w:rPr>
          <w:lang w:val="en-GB"/>
        </w:rPr>
        <w:tab/>
        <w:t>that Internet Protocol (IP) addresses are fundamental resources that are essential for the future development of IP-based telecommunication/information and communication technology (ICT) networks and for the world economy;</w:t>
      </w:r>
    </w:p>
    <w:p w14:paraId="3FF680AC" w14:textId="77777777" w:rsidR="008A70C9" w:rsidRPr="00380B40" w:rsidRDefault="008A70C9" w:rsidP="008A70C9">
      <w:pPr>
        <w:rPr>
          <w:rtl/>
          <w:lang w:val="en-GB"/>
        </w:rPr>
      </w:pPr>
      <w:r w:rsidRPr="00380B40">
        <w:rPr>
          <w:i/>
          <w:iCs/>
          <w:lang w:val="en-GB"/>
        </w:rPr>
        <w:t>b)</w:t>
      </w:r>
      <w:r w:rsidRPr="00380B40">
        <w:rPr>
          <w:lang w:val="en-GB"/>
        </w:rPr>
        <w:tab/>
        <w:t>that many countries believe that there are historical imbalances related to IPv4 allocation;</w:t>
      </w:r>
    </w:p>
    <w:p w14:paraId="6EB31741" w14:textId="77777777" w:rsidR="008A70C9" w:rsidRPr="00380B40" w:rsidRDefault="008A70C9" w:rsidP="008A70C9">
      <w:pPr>
        <w:rPr>
          <w:lang w:val="en-GB"/>
        </w:rPr>
      </w:pPr>
      <w:r w:rsidRPr="00380B40">
        <w:rPr>
          <w:i/>
          <w:iCs/>
          <w:lang w:val="en-GB"/>
        </w:rPr>
        <w:t>c)</w:t>
      </w:r>
      <w:r w:rsidRPr="00380B40">
        <w:rPr>
          <w:lang w:val="en-GB"/>
        </w:rPr>
        <w:tab/>
        <w:t>that large contiguous blocks of IPv4 addresses are becoming scarce and that it is urgent to promote migration to IPv6;</w:t>
      </w:r>
    </w:p>
    <w:p w14:paraId="67901178" w14:textId="77777777" w:rsidR="008A70C9" w:rsidRPr="00380B40" w:rsidRDefault="008A70C9" w:rsidP="008A70C9">
      <w:pPr>
        <w:rPr>
          <w:lang w:val="en-GB"/>
        </w:rPr>
      </w:pPr>
      <w:r w:rsidRPr="00380B40">
        <w:rPr>
          <w:i/>
          <w:iCs/>
          <w:lang w:val="en-GB"/>
        </w:rPr>
        <w:t>d)</w:t>
      </w:r>
      <w:r w:rsidRPr="00380B40">
        <w:rPr>
          <w:lang w:val="en-GB"/>
        </w:rPr>
        <w:tab/>
        <w:t>the ongoing collaboration and coordination between ITU and relevant organizations on IPv6 capacity building in order to respond to the needs of Member States and Sector Members;</w:t>
      </w:r>
    </w:p>
    <w:p w14:paraId="1CFB2859" w14:textId="77777777" w:rsidR="008A70C9" w:rsidRPr="00380B40" w:rsidRDefault="008A70C9" w:rsidP="008A70C9">
      <w:pPr>
        <w:rPr>
          <w:rtl/>
          <w:lang w:val="en-GB"/>
        </w:rPr>
      </w:pPr>
      <w:r w:rsidRPr="00380B40">
        <w:rPr>
          <w:i/>
          <w:iCs/>
          <w:lang w:val="en-GB"/>
        </w:rPr>
        <w:t>e)</w:t>
      </w:r>
      <w:r w:rsidRPr="00380B40">
        <w:rPr>
          <w:lang w:val="en-GB"/>
        </w:rPr>
        <w:tab/>
        <w:t>the progress towards adoption of IPv6 that has been made over the last few years,</w:t>
      </w:r>
    </w:p>
    <w:p w14:paraId="6A47AC8E" w14:textId="77777777" w:rsidR="000110BB" w:rsidRPr="00380B40" w:rsidRDefault="000110BB" w:rsidP="008A70C9">
      <w:pPr>
        <w:pStyle w:val="Call"/>
        <w:rPr>
          <w:lang w:val="en-GB"/>
        </w:rPr>
      </w:pPr>
      <w:r w:rsidRPr="00380B40">
        <w:rPr>
          <w:lang w:val="en-GB"/>
        </w:rPr>
        <w:br w:type="page"/>
      </w:r>
    </w:p>
    <w:p w14:paraId="5AB3B5B3" w14:textId="77777777" w:rsidR="008A70C9" w:rsidRPr="00380B40" w:rsidRDefault="008A70C9" w:rsidP="008A70C9">
      <w:pPr>
        <w:pStyle w:val="Call"/>
        <w:rPr>
          <w:rtl/>
          <w:lang w:val="en-GB"/>
        </w:rPr>
      </w:pPr>
      <w:r w:rsidRPr="00380B40">
        <w:rPr>
          <w:lang w:val="en-GB"/>
        </w:rPr>
        <w:t>considering</w:t>
      </w:r>
    </w:p>
    <w:p w14:paraId="3B4E865E" w14:textId="77777777" w:rsidR="008A70C9" w:rsidRPr="00380B40" w:rsidRDefault="008A70C9" w:rsidP="008A70C9">
      <w:pPr>
        <w:rPr>
          <w:rtl/>
          <w:lang w:val="en-GB"/>
        </w:rPr>
      </w:pPr>
      <w:r w:rsidRPr="00380B40">
        <w:rPr>
          <w:i/>
          <w:iCs/>
          <w:lang w:val="en-GB"/>
        </w:rPr>
        <w:t>a)</w:t>
      </w:r>
      <w:r w:rsidRPr="00380B40">
        <w:rPr>
          <w:lang w:val="en-GB"/>
        </w:rPr>
        <w:tab/>
        <w:t>that, among the relevant stakeholders in the Internet community, there is a need to continue discussions related to IPv6 deployment and disseminate information in this regard;</w:t>
      </w:r>
    </w:p>
    <w:p w14:paraId="4E85A508" w14:textId="77777777" w:rsidR="008A70C9" w:rsidRPr="00380B40" w:rsidRDefault="008A70C9" w:rsidP="008A70C9">
      <w:pPr>
        <w:rPr>
          <w:i/>
          <w:iCs/>
          <w:lang w:val="en-GB"/>
        </w:rPr>
      </w:pPr>
      <w:r w:rsidRPr="00380B40">
        <w:rPr>
          <w:i/>
          <w:iCs/>
          <w:lang w:val="en-GB"/>
        </w:rPr>
        <w:t>b)</w:t>
      </w:r>
      <w:r w:rsidRPr="00380B40">
        <w:rPr>
          <w:lang w:val="en-GB"/>
        </w:rPr>
        <w:tab/>
        <w:t>that IPv6 deployment and migration is an important issue for Member States and Sector Members;</w:t>
      </w:r>
    </w:p>
    <w:p w14:paraId="7818F86C" w14:textId="77777777" w:rsidR="008A70C9" w:rsidRPr="00380B40" w:rsidRDefault="008A70C9" w:rsidP="008A70C9">
      <w:pPr>
        <w:rPr>
          <w:lang w:val="en-GB"/>
        </w:rPr>
      </w:pPr>
      <w:r w:rsidRPr="00380B40">
        <w:rPr>
          <w:i/>
          <w:iCs/>
          <w:lang w:val="en-GB"/>
        </w:rPr>
        <w:t>c)</w:t>
      </w:r>
      <w:r w:rsidRPr="00380B40">
        <w:rPr>
          <w:lang w:val="en-GB"/>
        </w:rPr>
        <w:tab/>
        <w:t>that many developing countries</w:t>
      </w:r>
      <w:r w:rsidR="00FD162E" w:rsidRPr="00380B40">
        <w:rPr>
          <w:rStyle w:val="FootnoteReference"/>
          <w:lang w:val="en-GB"/>
        </w:rPr>
        <w:footnoteReference w:id="28"/>
      </w:r>
      <w:r w:rsidRPr="00380B40">
        <w:rPr>
          <w:lang w:val="en-GB"/>
        </w:rPr>
        <w:t xml:space="preserve"> are still facing challenges in the IPv4 to IPv6 transition process, including due to the limited technical skills in this area;</w:t>
      </w:r>
    </w:p>
    <w:p w14:paraId="70FF433D" w14:textId="77777777" w:rsidR="008A70C9" w:rsidRPr="00380B40" w:rsidRDefault="008A70C9" w:rsidP="008A70C9">
      <w:pPr>
        <w:rPr>
          <w:lang w:val="en-GB"/>
        </w:rPr>
      </w:pPr>
      <w:r w:rsidRPr="00380B40">
        <w:rPr>
          <w:i/>
          <w:lang w:val="en-GB"/>
        </w:rPr>
        <w:t>d)</w:t>
      </w:r>
      <w:r w:rsidRPr="00380B40">
        <w:rPr>
          <w:lang w:val="en-GB"/>
        </w:rPr>
        <w:tab/>
        <w:t>that there are Member States with sufficient technical skills in IPv6 that are nevertheless encountering a delay in the IPv4 to IPv6 transition due to various reasons;</w:t>
      </w:r>
    </w:p>
    <w:p w14:paraId="0BC36CAE" w14:textId="77777777" w:rsidR="008A70C9" w:rsidRPr="00380B40" w:rsidRDefault="008A70C9" w:rsidP="008A70C9">
      <w:pPr>
        <w:rPr>
          <w:lang w:val="en-GB"/>
        </w:rPr>
      </w:pPr>
      <w:r w:rsidRPr="00380B40">
        <w:rPr>
          <w:i/>
          <w:iCs/>
          <w:lang w:val="en-GB"/>
        </w:rPr>
        <w:t>e)</w:t>
      </w:r>
      <w:r w:rsidRPr="00380B40">
        <w:rPr>
          <w:lang w:val="en-GB"/>
        </w:rPr>
        <w:tab/>
        <w:t>that Member States have an important role to play in promoting the deployment of IPv6;</w:t>
      </w:r>
    </w:p>
    <w:p w14:paraId="632D09E1" w14:textId="77777777" w:rsidR="008A70C9" w:rsidRPr="00380B40" w:rsidRDefault="008A70C9" w:rsidP="008A70C9">
      <w:pPr>
        <w:rPr>
          <w:lang w:val="en-GB"/>
        </w:rPr>
      </w:pPr>
      <w:r w:rsidRPr="00380B40">
        <w:rPr>
          <w:i/>
          <w:iCs/>
          <w:lang w:val="en-GB"/>
        </w:rPr>
        <w:t>f)</w:t>
      </w:r>
      <w:r w:rsidRPr="00380B40">
        <w:rPr>
          <w:lang w:val="en-GB"/>
        </w:rPr>
        <w:tab/>
        <w:t>that prompt deployment of IPv6 is increasingly urgent on account of the rapid rate of depletion of IPv4 addresses;</w:t>
      </w:r>
    </w:p>
    <w:p w14:paraId="51E0DF31" w14:textId="77777777" w:rsidR="008A70C9" w:rsidRPr="00380B40" w:rsidRDefault="008A70C9" w:rsidP="008A70C9">
      <w:pPr>
        <w:rPr>
          <w:szCs w:val="24"/>
          <w:lang w:val="en-GB"/>
        </w:rPr>
      </w:pPr>
      <w:r w:rsidRPr="00380B40">
        <w:rPr>
          <w:i/>
          <w:iCs/>
          <w:lang w:val="en-GB"/>
        </w:rPr>
        <w:t>g)</w:t>
      </w:r>
      <w:r w:rsidRPr="00380B40">
        <w:rPr>
          <w:lang w:val="en-GB"/>
        </w:rPr>
        <w:tab/>
        <w:t>that many developing countries want the ITU Telecommunication Standardization Sector (ITU</w:t>
      </w:r>
      <w:r w:rsidRPr="00380B40">
        <w:rPr>
          <w:lang w:val="en-GB"/>
        </w:rPr>
        <w:noBreakHyphen/>
        <w:t>T) to become a registry of IP addresses in order to give the developing countries the option of obtaining IP addresses directly from ITU</w:t>
      </w:r>
      <w:r w:rsidRPr="00380B40">
        <w:rPr>
          <w:szCs w:val="24"/>
          <w:lang w:val="en-GB"/>
        </w:rPr>
        <w:t>, while other countries prefer to use the current system;</w:t>
      </w:r>
    </w:p>
    <w:p w14:paraId="3ADF4E91" w14:textId="77777777" w:rsidR="008A70C9" w:rsidRPr="00380B40" w:rsidRDefault="008A70C9" w:rsidP="008A70C9">
      <w:pPr>
        <w:rPr>
          <w:lang w:val="en-GB"/>
        </w:rPr>
      </w:pPr>
      <w:r w:rsidRPr="00380B40">
        <w:rPr>
          <w:i/>
          <w:lang w:val="en-GB"/>
        </w:rPr>
        <w:t>h)</w:t>
      </w:r>
      <w:r w:rsidRPr="00380B40">
        <w:rPr>
          <w:lang w:val="en-GB"/>
        </w:rPr>
        <w:tab/>
        <w:t>that deployment of IPv6 facilitates Internet of things (IoT) solutions, which require a huge amount of IP addresses;</w:t>
      </w:r>
    </w:p>
    <w:p w14:paraId="23D5DC81" w14:textId="77777777" w:rsidR="008A70C9" w:rsidRPr="00380B40" w:rsidRDefault="008A70C9" w:rsidP="008A70C9">
      <w:pPr>
        <w:rPr>
          <w:lang w:val="en-GB"/>
        </w:rPr>
      </w:pPr>
      <w:r w:rsidRPr="00380B40">
        <w:rPr>
          <w:i/>
          <w:lang w:val="en-GB"/>
        </w:rPr>
        <w:t>i)</w:t>
      </w:r>
      <w:r w:rsidRPr="00380B40">
        <w:rPr>
          <w:lang w:val="en-GB"/>
        </w:rPr>
        <w:tab/>
        <w:t>that new communication infrastructure such as 4G/LTE and 5G networks will require IPv6 support for better communication,</w:t>
      </w:r>
    </w:p>
    <w:p w14:paraId="5E7913CF" w14:textId="77777777" w:rsidR="008A70C9" w:rsidRPr="00380B40" w:rsidRDefault="008A70C9" w:rsidP="008A70C9">
      <w:pPr>
        <w:pStyle w:val="Call"/>
        <w:rPr>
          <w:rtl/>
          <w:lang w:val="en-GB"/>
        </w:rPr>
      </w:pPr>
      <w:r w:rsidRPr="00380B40">
        <w:rPr>
          <w:lang w:val="en-GB"/>
        </w:rPr>
        <w:t>resolves</w:t>
      </w:r>
    </w:p>
    <w:p w14:paraId="65F9C8F5" w14:textId="77777777" w:rsidR="008A70C9" w:rsidRPr="00380B40" w:rsidRDefault="008A70C9" w:rsidP="008A70C9">
      <w:pPr>
        <w:rPr>
          <w:lang w:val="en-GB"/>
        </w:rPr>
      </w:pPr>
      <w:r w:rsidRPr="00380B40">
        <w:rPr>
          <w:lang w:val="en-GB"/>
        </w:rPr>
        <w:t>1</w:t>
      </w:r>
      <w:r w:rsidRPr="00380B40">
        <w:rPr>
          <w:lang w:val="en-GB"/>
        </w:rPr>
        <w:tab/>
        <w:t xml:space="preserve">to instruct ITU-T Study Groups 2 and 3, each according to its mandate, to analyse statistics for the purpose of assessing the pace and geography of IPv6 address allocation and registration for interested members and, especially, developing countries, in collaboration with all relevant stakeholders; </w:t>
      </w:r>
    </w:p>
    <w:p w14:paraId="3A9F5A43" w14:textId="77777777" w:rsidR="008A70C9" w:rsidRPr="00380B40" w:rsidRDefault="008A70C9" w:rsidP="008A70C9">
      <w:pPr>
        <w:rPr>
          <w:i/>
          <w:lang w:val="en-GB"/>
        </w:rPr>
      </w:pPr>
      <w:r w:rsidRPr="00380B40">
        <w:rPr>
          <w:lang w:val="en-GB"/>
        </w:rPr>
        <w:t>2</w:t>
      </w:r>
      <w:r w:rsidRPr="00380B40">
        <w:rPr>
          <w:lang w:val="en-GB"/>
        </w:rPr>
        <w:tab/>
        <w:t>to enhance the exchange of experiences and information with all stakeholders regarding the deployment of IPv6, with the aim of creating opportunities for collaborative efforts and the enhancement of technical skills, and to ensure that feedback exists to enrich ITU efforts to support the transition and deployment of IPv6,</w:t>
      </w:r>
    </w:p>
    <w:p w14:paraId="0E568E77" w14:textId="77777777" w:rsidR="008A70C9" w:rsidRPr="00380B40" w:rsidRDefault="008A70C9" w:rsidP="008A70C9">
      <w:pPr>
        <w:pStyle w:val="Call"/>
        <w:rPr>
          <w:lang w:val="en-GB"/>
        </w:rPr>
      </w:pPr>
      <w:r w:rsidRPr="00380B40">
        <w:rPr>
          <w:lang w:val="en-GB"/>
        </w:rPr>
        <w:t>instructs the Director of the Telecommunication Standardization Bureau, in close collaboration with the Director of the Telecommunication Development Bureau</w:t>
      </w:r>
    </w:p>
    <w:p w14:paraId="29A421B4" w14:textId="77777777" w:rsidR="008A70C9" w:rsidRPr="00380B40" w:rsidRDefault="008A70C9" w:rsidP="008A70C9">
      <w:pPr>
        <w:rPr>
          <w:lang w:val="en-GB"/>
        </w:rPr>
      </w:pPr>
      <w:r w:rsidRPr="00380B40">
        <w:rPr>
          <w:lang w:val="en-GB"/>
        </w:rPr>
        <w:t>1</w:t>
      </w:r>
      <w:r w:rsidRPr="00380B40">
        <w:rPr>
          <w:lang w:val="en-GB"/>
        </w:rPr>
        <w:tab/>
        <w:t>to continue the ongoing activities between the Telecommunication Standardization Bureau and BDT, taking into consideration the involvement of those partners willing to participate and bring their expertise to assist developing countries with IPv6 migration and deployment, and respond to their regional needs as identified by BDT, taking into account Resolution 63 (Rev. Buenos Aires, 2017);</w:t>
      </w:r>
    </w:p>
    <w:p w14:paraId="18ADD241" w14:textId="77777777" w:rsidR="000110BB" w:rsidRPr="00380B40" w:rsidRDefault="000110BB" w:rsidP="008A70C9">
      <w:pPr>
        <w:rPr>
          <w:lang w:val="en-GB"/>
        </w:rPr>
      </w:pPr>
      <w:r w:rsidRPr="00380B40">
        <w:rPr>
          <w:lang w:val="en-GB"/>
        </w:rPr>
        <w:br w:type="page"/>
      </w:r>
    </w:p>
    <w:p w14:paraId="5F67D59D" w14:textId="77777777" w:rsidR="008A70C9" w:rsidRPr="00380B40" w:rsidRDefault="008A70C9" w:rsidP="008A70C9">
      <w:pPr>
        <w:rPr>
          <w:lang w:val="en-GB"/>
        </w:rPr>
      </w:pPr>
      <w:r w:rsidRPr="00380B40">
        <w:rPr>
          <w:lang w:val="en-GB"/>
        </w:rPr>
        <w:t>2</w:t>
      </w:r>
      <w:r w:rsidRPr="00380B40">
        <w:rPr>
          <w:lang w:val="en-GB"/>
        </w:rPr>
        <w:tab/>
        <w:t xml:space="preserve">to update and maintain the website which provides information about global activities related to IPv6, in order to facilitate awareness-raising and highlight the importance of IPv6 deployment for the entire ITU membership and interested entities, as well as information related to training events being undertaken by ITU and relevant organizations (e.g. regional Internet registries (RIRs), network operator groups and the Internet Society (ISOC)); </w:t>
      </w:r>
    </w:p>
    <w:p w14:paraId="2D7AC53F" w14:textId="77777777" w:rsidR="008A70C9" w:rsidRPr="00380B40" w:rsidRDefault="008A70C9" w:rsidP="008A70C9">
      <w:pPr>
        <w:rPr>
          <w:lang w:val="en-GB"/>
        </w:rPr>
      </w:pPr>
      <w:r w:rsidRPr="00380B40">
        <w:rPr>
          <w:lang w:val="en-GB"/>
        </w:rPr>
        <w:t>3</w:t>
      </w:r>
      <w:r w:rsidRPr="00380B40">
        <w:rPr>
          <w:lang w:val="en-GB"/>
        </w:rPr>
        <w:tab/>
        <w:t xml:space="preserve">to promote awareness of the importance of IPv6 deployment, facilitate joint training activities, involving appropriate experts from the relevant entities, provide information, </w:t>
      </w:r>
      <w:r w:rsidRPr="00380B40">
        <w:rPr>
          <w:rFonts w:eastAsia="Malgun Gothic"/>
          <w:szCs w:val="24"/>
          <w:lang w:val="en-GB"/>
        </w:rPr>
        <w:t xml:space="preserve">including roadmaps and guidelines, and assist </w:t>
      </w:r>
      <w:r w:rsidRPr="00380B40">
        <w:rPr>
          <w:szCs w:val="24"/>
          <w:lang w:val="en-GB"/>
        </w:rPr>
        <w:t>in the continued</w:t>
      </w:r>
      <w:r w:rsidRPr="00380B40">
        <w:rPr>
          <w:lang w:val="en-GB"/>
        </w:rPr>
        <w:t xml:space="preserve"> establishment of IPv6 test-bed laboratories</w:t>
      </w:r>
      <w:r w:rsidRPr="00380B40">
        <w:rPr>
          <w:szCs w:val="24"/>
          <w:lang w:val="en-GB"/>
        </w:rPr>
        <w:t xml:space="preserve"> in</w:t>
      </w:r>
      <w:r w:rsidRPr="00380B40">
        <w:rPr>
          <w:lang w:val="en-GB"/>
        </w:rPr>
        <w:t xml:space="preserve"> developing countries</w:t>
      </w:r>
      <w:r w:rsidRPr="00380B40">
        <w:rPr>
          <w:szCs w:val="24"/>
          <w:lang w:val="en-GB"/>
        </w:rPr>
        <w:t xml:space="preserve"> </w:t>
      </w:r>
      <w:r w:rsidRPr="00380B40">
        <w:rPr>
          <w:rFonts w:eastAsia="Malgun Gothic"/>
          <w:szCs w:val="24"/>
          <w:lang w:val="en-GB"/>
        </w:rPr>
        <w:t>in collaboration with appropriate relevant organizations</w:t>
      </w:r>
      <w:r w:rsidRPr="00380B40">
        <w:rPr>
          <w:lang w:val="en-GB"/>
        </w:rPr>
        <w:t>, and to promote awareness of the need for IPv6 deployment with regard to IoT given the substantial demand for IP addresses for IoT devices;</w:t>
      </w:r>
    </w:p>
    <w:p w14:paraId="59EDDA3A" w14:textId="77777777" w:rsidR="008A70C9" w:rsidRPr="00380B40" w:rsidRDefault="008A70C9" w:rsidP="008A70C9">
      <w:pPr>
        <w:rPr>
          <w:lang w:val="en-GB"/>
        </w:rPr>
      </w:pPr>
      <w:r w:rsidRPr="00380B40">
        <w:rPr>
          <w:lang w:val="en-GB"/>
        </w:rPr>
        <w:t>4</w:t>
      </w:r>
      <w:r w:rsidRPr="00380B40">
        <w:rPr>
          <w:lang w:val="en-GB"/>
        </w:rPr>
        <w:tab/>
        <w:t>to support BDT in relevant IPv6 training for engineers, network operators and content providers, mainly in developing countries, that can enhance their skills and which they can further apply to planning, deployment and operation at their respective organizations,</w:t>
      </w:r>
    </w:p>
    <w:p w14:paraId="14D9C2D5" w14:textId="77777777" w:rsidR="008A70C9" w:rsidRPr="00380B40" w:rsidRDefault="008A70C9" w:rsidP="008A70C9">
      <w:pPr>
        <w:pStyle w:val="Call"/>
        <w:rPr>
          <w:lang w:val="en-GB"/>
        </w:rPr>
      </w:pPr>
      <w:r w:rsidRPr="00380B40">
        <w:rPr>
          <w:lang w:val="en-GB"/>
        </w:rPr>
        <w:t>further instructs the Director of the Telecommunication Standardization Bureau</w:t>
      </w:r>
    </w:p>
    <w:p w14:paraId="01141E1B" w14:textId="77777777" w:rsidR="008A70C9" w:rsidRPr="00380B40" w:rsidRDefault="008A70C9" w:rsidP="008A70C9">
      <w:pPr>
        <w:rPr>
          <w:lang w:val="en-GB"/>
        </w:rPr>
      </w:pPr>
      <w:r w:rsidRPr="00380B40">
        <w:rPr>
          <w:lang w:val="en-GB"/>
        </w:rPr>
        <w:t xml:space="preserve">to report to the ITU Council and also to the 2024 world telecommunication standardization assembly, regarding the progress on action taken with respect to </w:t>
      </w:r>
      <w:r w:rsidRPr="00380B40">
        <w:rPr>
          <w:i/>
          <w:iCs/>
          <w:lang w:val="en-GB"/>
        </w:rPr>
        <w:t>resolves</w:t>
      </w:r>
      <w:r w:rsidRPr="00380B40">
        <w:rPr>
          <w:lang w:val="en-GB"/>
        </w:rPr>
        <w:t xml:space="preserve"> above,</w:t>
      </w:r>
    </w:p>
    <w:p w14:paraId="7BD3922D" w14:textId="77777777" w:rsidR="008A70C9" w:rsidRPr="00380B40" w:rsidRDefault="008A70C9" w:rsidP="008A70C9">
      <w:pPr>
        <w:pStyle w:val="Call"/>
        <w:rPr>
          <w:rtl/>
          <w:lang w:val="en-GB"/>
        </w:rPr>
      </w:pPr>
      <w:r w:rsidRPr="00380B40">
        <w:rPr>
          <w:lang w:val="en-GB"/>
        </w:rPr>
        <w:t xml:space="preserve">invites Member States and Sector Members </w:t>
      </w:r>
    </w:p>
    <w:p w14:paraId="7E9BB42B" w14:textId="77777777" w:rsidR="008A70C9" w:rsidRPr="00380B40" w:rsidRDefault="008A70C9" w:rsidP="008A70C9">
      <w:pPr>
        <w:rPr>
          <w:lang w:val="en-GB"/>
        </w:rPr>
      </w:pPr>
      <w:r w:rsidRPr="00380B40">
        <w:rPr>
          <w:lang w:val="en-GB"/>
        </w:rPr>
        <w:t>1</w:t>
      </w:r>
      <w:r w:rsidRPr="00380B40">
        <w:rPr>
          <w:lang w:val="en-GB"/>
        </w:rPr>
        <w:tab/>
        <w:t xml:space="preserve">through the knowledge gained under this resolution, to promote specific initiatives at the national level which foster interaction with governmental, private and academic entities and civil society for the purposes of the information exchange necessary for the deployment of IPv6 in their respective countries; </w:t>
      </w:r>
    </w:p>
    <w:p w14:paraId="365BC9B0" w14:textId="77777777" w:rsidR="008A70C9" w:rsidRPr="00380B40" w:rsidRDefault="008A70C9" w:rsidP="008A70C9">
      <w:pPr>
        <w:rPr>
          <w:lang w:val="en-GB"/>
        </w:rPr>
      </w:pPr>
      <w:r w:rsidRPr="00380B40">
        <w:rPr>
          <w:lang w:val="en-GB"/>
        </w:rPr>
        <w:t>2</w:t>
      </w:r>
      <w:r w:rsidRPr="00380B40">
        <w:rPr>
          <w:lang w:val="en-GB"/>
        </w:rPr>
        <w:tab/>
        <w:t>to ensure that newly deployed network equipment, computer equipment and software have IPv6 capability, and to collaborate with relevant international organizations in this regard;</w:t>
      </w:r>
    </w:p>
    <w:p w14:paraId="7A552659" w14:textId="77777777" w:rsidR="008A70C9" w:rsidRPr="00380B40" w:rsidRDefault="008A70C9" w:rsidP="008A70C9">
      <w:pPr>
        <w:rPr>
          <w:lang w:val="en-GB"/>
        </w:rPr>
      </w:pPr>
      <w:r w:rsidRPr="00380B40">
        <w:rPr>
          <w:lang w:val="en-GB"/>
        </w:rPr>
        <w:t>3</w:t>
      </w:r>
      <w:r w:rsidRPr="00380B40">
        <w:rPr>
          <w:lang w:val="en-GB"/>
        </w:rPr>
        <w:tab/>
        <w:t>to consider committing to an IPv6 transition and communicating progress;</w:t>
      </w:r>
    </w:p>
    <w:p w14:paraId="2FAD1420" w14:textId="77777777" w:rsidR="008A70C9" w:rsidRPr="00380B40" w:rsidRDefault="008A70C9" w:rsidP="008A70C9">
      <w:pPr>
        <w:rPr>
          <w:lang w:val="en-GB"/>
        </w:rPr>
      </w:pPr>
      <w:r w:rsidRPr="00380B40">
        <w:rPr>
          <w:lang w:val="en-GB"/>
        </w:rPr>
        <w:t>4</w:t>
      </w:r>
      <w:r w:rsidRPr="00380B40">
        <w:rPr>
          <w:lang w:val="en-GB"/>
        </w:rPr>
        <w:tab/>
        <w:t>to build relevant IPv6 deployment plans,</w:t>
      </w:r>
    </w:p>
    <w:p w14:paraId="1DE9E9C4" w14:textId="77777777" w:rsidR="008A70C9" w:rsidRPr="00380B40" w:rsidRDefault="008A70C9" w:rsidP="008A70C9">
      <w:pPr>
        <w:pStyle w:val="Call"/>
        <w:rPr>
          <w:lang w:val="en-GB"/>
        </w:rPr>
      </w:pPr>
      <w:r w:rsidRPr="00380B40">
        <w:rPr>
          <w:lang w:val="en-GB"/>
        </w:rPr>
        <w:t xml:space="preserve">invites Member States </w:t>
      </w:r>
    </w:p>
    <w:p w14:paraId="31B9CB63" w14:textId="77777777" w:rsidR="008A70C9" w:rsidRPr="00380B40" w:rsidRDefault="008A70C9" w:rsidP="008A70C9">
      <w:pPr>
        <w:rPr>
          <w:lang w:val="en-GB"/>
        </w:rPr>
      </w:pPr>
      <w:r w:rsidRPr="00380B40">
        <w:rPr>
          <w:lang w:val="en-GB"/>
        </w:rPr>
        <w:t>1</w:t>
      </w:r>
      <w:r w:rsidRPr="00380B40">
        <w:rPr>
          <w:lang w:val="en-GB"/>
        </w:rPr>
        <w:tab/>
        <w:t xml:space="preserve">to develop national policies to promote the technological update of systems, in order to ensure that the public services provided utilizing the IP protocol and the communications infrastructure and relevant applications of the Member States are compatible with IPv6; </w:t>
      </w:r>
    </w:p>
    <w:p w14:paraId="3FBC5DDF" w14:textId="77777777" w:rsidR="007F1508" w:rsidRPr="00380B40" w:rsidRDefault="007F1508" w:rsidP="008A70C9">
      <w:pPr>
        <w:rPr>
          <w:lang w:val="en-GB"/>
        </w:rPr>
      </w:pPr>
      <w:r w:rsidRPr="00380B40">
        <w:rPr>
          <w:lang w:val="en-GB"/>
        </w:rPr>
        <w:br w:type="page"/>
      </w:r>
    </w:p>
    <w:p w14:paraId="386A03BC" w14:textId="77777777" w:rsidR="008A70C9" w:rsidRPr="00380B40" w:rsidRDefault="008A70C9" w:rsidP="008A70C9">
      <w:pPr>
        <w:rPr>
          <w:lang w:val="en-GB"/>
        </w:rPr>
      </w:pPr>
      <w:r w:rsidRPr="00380B40">
        <w:rPr>
          <w:lang w:val="en-GB"/>
        </w:rPr>
        <w:t>2</w:t>
      </w:r>
      <w:r w:rsidRPr="00380B40">
        <w:rPr>
          <w:lang w:val="en-GB"/>
        </w:rPr>
        <w:tab/>
        <w:t>to consider the possibility of national programmes to encourage Internet service providers (ISPs) and other relevant organizations to deploy IPv6;</w:t>
      </w:r>
    </w:p>
    <w:p w14:paraId="561E2753" w14:textId="77777777" w:rsidR="008A70C9" w:rsidRPr="00380B40" w:rsidRDefault="008A70C9" w:rsidP="008A70C9">
      <w:pPr>
        <w:rPr>
          <w:lang w:val="en-GB"/>
        </w:rPr>
      </w:pPr>
      <w:r w:rsidRPr="00380B40">
        <w:rPr>
          <w:lang w:val="en-GB"/>
        </w:rPr>
        <w:t>3</w:t>
      </w:r>
      <w:r w:rsidRPr="00380B40">
        <w:rPr>
          <w:lang w:val="en-GB"/>
        </w:rPr>
        <w:tab/>
        <w:t>to encourage, with support from the ITU regional offices, the RIRs and other regional organizations in coordinating research, dissemination and training actions with participation by governments, industry and the academic community in order to facilitate the deployment and adoption of IPv6 within their countries and in their region, and to coordinate initiatives between regions to promote its deployment worldwide;</w:t>
      </w:r>
    </w:p>
    <w:p w14:paraId="5DD787CC" w14:textId="77777777" w:rsidR="008A70C9" w:rsidRPr="00380B40" w:rsidRDefault="008A70C9" w:rsidP="008A70C9">
      <w:pPr>
        <w:rPr>
          <w:lang w:val="en-GB"/>
        </w:rPr>
      </w:pPr>
      <w:r w:rsidRPr="00380B40">
        <w:rPr>
          <w:lang w:val="en-GB"/>
        </w:rPr>
        <w:t>4</w:t>
      </w:r>
      <w:r w:rsidRPr="00380B40">
        <w:rPr>
          <w:lang w:val="en-GB"/>
        </w:rPr>
        <w:tab/>
        <w:t>to consider using government procurement requirements to encourage deployment of IPv6 among ISPs and other relevant organizations, if appropriate,</w:t>
      </w:r>
    </w:p>
    <w:p w14:paraId="3081857C" w14:textId="77777777" w:rsidR="008A70C9" w:rsidRPr="00380B40" w:rsidRDefault="008A70C9" w:rsidP="008A70C9">
      <w:pPr>
        <w:rPr>
          <w:lang w:val="en-GB"/>
        </w:rPr>
      </w:pPr>
      <w:r w:rsidRPr="00380B40">
        <w:rPr>
          <w:lang w:val="en-GB"/>
        </w:rPr>
        <w:t>5</w:t>
      </w:r>
      <w:r w:rsidRPr="00380B40">
        <w:rPr>
          <w:lang w:val="en-GB"/>
        </w:rPr>
        <w:tab/>
        <w:t>to share experiences regarding IPv6 deployment.</w:t>
      </w:r>
    </w:p>
    <w:p w14:paraId="73EAC0DB" w14:textId="77777777" w:rsidR="007F1508" w:rsidRPr="00380B40" w:rsidRDefault="007F1508" w:rsidP="008A70C9">
      <w:pPr>
        <w:rPr>
          <w:lang w:val="en-GB"/>
        </w:rPr>
      </w:pPr>
    </w:p>
    <w:p w14:paraId="0FF59775" w14:textId="77777777" w:rsidR="007F1508" w:rsidRPr="00380B40" w:rsidRDefault="007F1508" w:rsidP="008A70C9">
      <w:pPr>
        <w:rPr>
          <w:lang w:val="en-GB"/>
        </w:rPr>
      </w:pPr>
    </w:p>
    <w:p w14:paraId="5BC02DC2" w14:textId="77777777" w:rsidR="007F1508" w:rsidRPr="00380B40" w:rsidRDefault="007F1508" w:rsidP="008A70C9">
      <w:pPr>
        <w:rPr>
          <w:lang w:val="en-GB"/>
        </w:rPr>
      </w:pPr>
    </w:p>
    <w:p w14:paraId="76A8458A" w14:textId="77777777" w:rsidR="007F1508" w:rsidRPr="00380B40" w:rsidRDefault="007F1508" w:rsidP="008A70C9">
      <w:pPr>
        <w:rPr>
          <w:lang w:val="en-GB"/>
        </w:rPr>
      </w:pPr>
    </w:p>
    <w:p w14:paraId="3080A5B6" w14:textId="77777777" w:rsidR="007F1508" w:rsidRPr="00380B40" w:rsidRDefault="007F1508" w:rsidP="008A70C9">
      <w:pPr>
        <w:rPr>
          <w:lang w:val="en-GB"/>
        </w:rPr>
      </w:pPr>
    </w:p>
    <w:p w14:paraId="52620438" w14:textId="77777777" w:rsidR="007F1508" w:rsidRPr="00380B40" w:rsidRDefault="007F1508" w:rsidP="008A70C9">
      <w:pPr>
        <w:rPr>
          <w:lang w:val="en-GB"/>
        </w:rPr>
      </w:pPr>
    </w:p>
    <w:p w14:paraId="1548AEAA" w14:textId="77777777" w:rsidR="007F1508" w:rsidRPr="00380B40" w:rsidRDefault="007F1508" w:rsidP="008A70C9">
      <w:pPr>
        <w:rPr>
          <w:lang w:val="en-GB"/>
        </w:rPr>
      </w:pPr>
    </w:p>
    <w:p w14:paraId="20616CD4" w14:textId="77777777" w:rsidR="007F1508" w:rsidRPr="00380B40" w:rsidRDefault="007F1508" w:rsidP="008A70C9">
      <w:pPr>
        <w:rPr>
          <w:lang w:val="en-GB"/>
        </w:rPr>
      </w:pPr>
    </w:p>
    <w:p w14:paraId="5498B5EA" w14:textId="77777777" w:rsidR="007F1508" w:rsidRPr="00380B40" w:rsidRDefault="007F1508" w:rsidP="008A70C9">
      <w:pPr>
        <w:rPr>
          <w:lang w:val="en-GB"/>
        </w:rPr>
      </w:pPr>
    </w:p>
    <w:p w14:paraId="0187B4FE" w14:textId="77777777" w:rsidR="007F1508" w:rsidRPr="00380B40" w:rsidRDefault="007F1508" w:rsidP="008A70C9">
      <w:pPr>
        <w:rPr>
          <w:lang w:val="en-GB"/>
        </w:rPr>
      </w:pPr>
    </w:p>
    <w:p w14:paraId="4E3725BA" w14:textId="77777777" w:rsidR="007F1508" w:rsidRPr="00380B40" w:rsidRDefault="007F1508" w:rsidP="008A70C9">
      <w:pPr>
        <w:rPr>
          <w:lang w:val="en-GB"/>
        </w:rPr>
      </w:pPr>
    </w:p>
    <w:p w14:paraId="34AF25EA" w14:textId="77777777" w:rsidR="007F1508" w:rsidRPr="00380B40" w:rsidRDefault="007F1508" w:rsidP="008A70C9">
      <w:pPr>
        <w:rPr>
          <w:lang w:val="en-GB"/>
        </w:rPr>
      </w:pPr>
    </w:p>
    <w:p w14:paraId="3E4E630A" w14:textId="77777777" w:rsidR="007F1508" w:rsidRPr="00380B40" w:rsidRDefault="007F1508" w:rsidP="008A70C9">
      <w:pPr>
        <w:rPr>
          <w:lang w:val="en-GB"/>
        </w:rPr>
      </w:pPr>
    </w:p>
    <w:p w14:paraId="603A5916" w14:textId="77777777" w:rsidR="007F1508" w:rsidRPr="00380B40" w:rsidRDefault="007F1508" w:rsidP="008A70C9">
      <w:pPr>
        <w:rPr>
          <w:lang w:val="en-GB"/>
        </w:rPr>
      </w:pPr>
    </w:p>
    <w:p w14:paraId="397894C2" w14:textId="77777777" w:rsidR="007F1508" w:rsidRPr="00380B40" w:rsidRDefault="007F1508" w:rsidP="008A70C9">
      <w:pPr>
        <w:rPr>
          <w:lang w:val="en-GB"/>
        </w:rPr>
      </w:pPr>
    </w:p>
    <w:p w14:paraId="61EFA24D" w14:textId="77777777" w:rsidR="00AD3F86" w:rsidRPr="00380B40" w:rsidRDefault="00AD3F86" w:rsidP="00AD3F86">
      <w:pPr>
        <w:rPr>
          <w:lang w:val="en-GB"/>
        </w:rPr>
      </w:pPr>
    </w:p>
    <w:p w14:paraId="41325D48" w14:textId="77777777" w:rsidR="00AD3F86" w:rsidRPr="00380B40" w:rsidRDefault="00AD3F86" w:rsidP="00AD3F86">
      <w:pPr>
        <w:rPr>
          <w:lang w:val="en-GB"/>
        </w:rPr>
        <w:sectPr w:rsidR="00AD3F86" w:rsidRPr="00380B40" w:rsidSect="007928CF">
          <w:headerReference w:type="even" r:id="rId171"/>
          <w:headerReference w:type="default" r:id="rId172"/>
          <w:footerReference w:type="even" r:id="rId173"/>
          <w:footerReference w:type="default" r:id="rId174"/>
          <w:headerReference w:type="first" r:id="rId175"/>
          <w:footerReference w:type="first" r:id="rId176"/>
          <w:footnotePr>
            <w:numRestart w:val="eachSect"/>
          </w:footnotePr>
          <w:pgSz w:w="11907" w:h="16834" w:code="9"/>
          <w:pgMar w:top="1134" w:right="1134" w:bottom="1134" w:left="1134" w:header="567" w:footer="567" w:gutter="0"/>
          <w:paperSrc w:first="15" w:other="15"/>
          <w:cols w:space="720"/>
          <w:vAlign w:val="both"/>
          <w:docGrid w:linePitch="299"/>
        </w:sectPr>
      </w:pPr>
    </w:p>
    <w:p w14:paraId="44316FEB" w14:textId="77777777" w:rsidR="00DB3F06" w:rsidRPr="00380B40" w:rsidRDefault="00DB3F06" w:rsidP="008A70C9">
      <w:pPr>
        <w:pStyle w:val="ResNo"/>
        <w:rPr>
          <w:lang w:val="en-GB"/>
        </w:rPr>
      </w:pPr>
      <w:bookmarkStart w:id="271" w:name="_Toc104459745"/>
      <w:bookmarkStart w:id="272" w:name="_Toc104476553"/>
      <w:bookmarkStart w:id="273" w:name="_Toc111636785"/>
      <w:bookmarkStart w:id="274" w:name="_Toc111638446"/>
      <w:r w:rsidRPr="00380B40">
        <w:rPr>
          <w:lang w:val="en-GB"/>
        </w:rPr>
        <w:t xml:space="preserve">RESOLUTION </w:t>
      </w:r>
      <w:r w:rsidRPr="00380B40">
        <w:rPr>
          <w:rStyle w:val="href"/>
          <w:lang w:val="en-GB"/>
        </w:rPr>
        <w:t>65</w:t>
      </w:r>
      <w:r w:rsidRPr="00380B40">
        <w:rPr>
          <w:lang w:val="en-GB"/>
        </w:rPr>
        <w:t xml:space="preserve"> </w:t>
      </w:r>
      <w:r w:rsidR="008A70C9" w:rsidRPr="00380B40">
        <w:rPr>
          <w:lang w:val="en-GB"/>
        </w:rPr>
        <w:t>(R</w:t>
      </w:r>
      <w:r w:rsidR="00325BCB" w:rsidRPr="00380B40">
        <w:rPr>
          <w:caps w:val="0"/>
          <w:lang w:val="en-GB"/>
        </w:rPr>
        <w:t>ev</w:t>
      </w:r>
      <w:r w:rsidR="008A70C9" w:rsidRPr="00380B40">
        <w:rPr>
          <w:lang w:val="en-GB"/>
        </w:rPr>
        <w:t>. G</w:t>
      </w:r>
      <w:r w:rsidR="00325BCB" w:rsidRPr="00380B40">
        <w:rPr>
          <w:caps w:val="0"/>
          <w:lang w:val="en-GB"/>
        </w:rPr>
        <w:t>eneva</w:t>
      </w:r>
      <w:r w:rsidR="008A70C9" w:rsidRPr="00380B40">
        <w:rPr>
          <w:lang w:val="en-GB"/>
        </w:rPr>
        <w:t>, 2022)</w:t>
      </w:r>
      <w:bookmarkEnd w:id="271"/>
      <w:bookmarkEnd w:id="272"/>
      <w:bookmarkEnd w:id="273"/>
      <w:bookmarkEnd w:id="274"/>
    </w:p>
    <w:p w14:paraId="379F5F44" w14:textId="77777777" w:rsidR="008A70C9" w:rsidRPr="00380B40" w:rsidRDefault="008A70C9" w:rsidP="008A70C9">
      <w:pPr>
        <w:pStyle w:val="Restitle"/>
        <w:rPr>
          <w:lang w:val="en-GB"/>
        </w:rPr>
      </w:pPr>
      <w:bookmarkStart w:id="275" w:name="_Toc104459746"/>
      <w:bookmarkStart w:id="276" w:name="_Toc104476554"/>
      <w:bookmarkStart w:id="277" w:name="_Toc111638447"/>
      <w:r w:rsidRPr="00380B40">
        <w:rPr>
          <w:lang w:val="en-GB"/>
        </w:rPr>
        <w:t>Calling party number delivery, calling line identification and origin identification information</w:t>
      </w:r>
      <w:bookmarkEnd w:id="275"/>
      <w:bookmarkEnd w:id="276"/>
      <w:bookmarkEnd w:id="277"/>
    </w:p>
    <w:p w14:paraId="781685D2" w14:textId="77777777" w:rsidR="008A70C9" w:rsidRPr="00380B40" w:rsidRDefault="008A70C9" w:rsidP="008A70C9">
      <w:pPr>
        <w:pStyle w:val="Resref"/>
        <w:rPr>
          <w:lang w:val="en-GB"/>
        </w:rPr>
      </w:pPr>
      <w:r w:rsidRPr="00380B40">
        <w:rPr>
          <w:lang w:val="en-GB"/>
        </w:rPr>
        <w:t>(Johannesburg, 2008; Dubai, 2012; Hammamet, 2016; Geneva, 2022)</w:t>
      </w:r>
    </w:p>
    <w:p w14:paraId="1318CC7E" w14:textId="77777777" w:rsidR="008A70C9" w:rsidRPr="00380B40" w:rsidRDefault="008A70C9" w:rsidP="008A70C9">
      <w:pPr>
        <w:pStyle w:val="Normalaftertitle0"/>
      </w:pPr>
      <w:r w:rsidRPr="00380B40">
        <w:t>The World Telecommunication Standardization Assembly (Geneva, 2022),</w:t>
      </w:r>
    </w:p>
    <w:p w14:paraId="3969B359" w14:textId="77777777" w:rsidR="008A70C9" w:rsidRPr="00380B40" w:rsidRDefault="008A70C9" w:rsidP="008A70C9">
      <w:pPr>
        <w:pStyle w:val="Call"/>
        <w:rPr>
          <w:lang w:val="en-GB"/>
        </w:rPr>
      </w:pPr>
      <w:r w:rsidRPr="00380B40">
        <w:rPr>
          <w:lang w:val="en-GB"/>
        </w:rPr>
        <w:t>concerned</w:t>
      </w:r>
    </w:p>
    <w:p w14:paraId="2712324D" w14:textId="77777777" w:rsidR="008A70C9" w:rsidRPr="00380B40" w:rsidRDefault="008A70C9" w:rsidP="008A70C9">
      <w:pPr>
        <w:rPr>
          <w:lang w:val="en-GB"/>
        </w:rPr>
      </w:pPr>
      <w:r w:rsidRPr="00380B40">
        <w:rPr>
          <w:i/>
          <w:iCs/>
          <w:lang w:val="en-GB"/>
        </w:rPr>
        <w:t>a)</w:t>
      </w:r>
      <w:r w:rsidRPr="00380B40">
        <w:rPr>
          <w:lang w:val="en-GB"/>
        </w:rPr>
        <w:tab/>
        <w:t>that there appears to be a trend to either suppress or amend the transmission across international boundaries of calling party number (CPN), calling line identification (CLI) and origin identification (OI) information, in particular the country code and the national destination code;</w:t>
      </w:r>
    </w:p>
    <w:p w14:paraId="00208D11" w14:textId="77777777" w:rsidR="008A70C9" w:rsidRPr="00380B40" w:rsidRDefault="008A70C9" w:rsidP="008A70C9">
      <w:pPr>
        <w:rPr>
          <w:lang w:val="en-GB"/>
        </w:rPr>
      </w:pPr>
      <w:r w:rsidRPr="00380B40">
        <w:rPr>
          <w:i/>
          <w:iCs/>
          <w:lang w:val="en-GB"/>
        </w:rPr>
        <w:t>b)</w:t>
      </w:r>
      <w:r w:rsidRPr="00380B40">
        <w:rPr>
          <w:lang w:val="en-GB"/>
        </w:rPr>
        <w:tab/>
        <w:t>that such practices have an unfavourable effect on security and economic issues, in particular for developing countries</w:t>
      </w:r>
      <w:r w:rsidR="00FD162E" w:rsidRPr="00380B40">
        <w:rPr>
          <w:rStyle w:val="FootnoteReference"/>
          <w:lang w:val="en-GB"/>
        </w:rPr>
        <w:footnoteReference w:id="29"/>
      </w:r>
      <w:r w:rsidRPr="00380B40">
        <w:rPr>
          <w:lang w:val="en-GB"/>
        </w:rPr>
        <w:t>;</w:t>
      </w:r>
    </w:p>
    <w:p w14:paraId="7BD07786" w14:textId="77777777" w:rsidR="008A70C9" w:rsidRPr="00380B40" w:rsidRDefault="008A70C9" w:rsidP="008A70C9">
      <w:pPr>
        <w:rPr>
          <w:lang w:val="en-GB"/>
        </w:rPr>
      </w:pPr>
      <w:r w:rsidRPr="00380B40">
        <w:rPr>
          <w:i/>
          <w:iCs/>
          <w:lang w:val="en-GB"/>
        </w:rPr>
        <w:t>c)</w:t>
      </w:r>
      <w:r w:rsidRPr="00380B40">
        <w:rPr>
          <w:lang w:val="en-GB"/>
        </w:rPr>
        <w:tab/>
        <w:t>about the number of cases so far reported to the Director of the Telecommunication Standardization Bureau (TSB) on ITU</w:t>
      </w:r>
      <w:r w:rsidRPr="00380B40">
        <w:rPr>
          <w:lang w:val="en-GB"/>
        </w:rPr>
        <w:noBreakHyphen/>
        <w:t>T E.164 numbering misappropriation and misuse related to CPN non-delivery or spoofing;</w:t>
      </w:r>
    </w:p>
    <w:p w14:paraId="07865249" w14:textId="77777777" w:rsidR="008A70C9" w:rsidRPr="00380B40" w:rsidRDefault="008A70C9" w:rsidP="008A70C9">
      <w:pPr>
        <w:rPr>
          <w:lang w:val="en-GB"/>
        </w:rPr>
      </w:pPr>
      <w:r w:rsidRPr="00380B40">
        <w:rPr>
          <w:i/>
          <w:iCs/>
          <w:lang w:val="en-GB"/>
        </w:rPr>
        <w:t>d)</w:t>
      </w:r>
      <w:r w:rsidRPr="00380B40">
        <w:rPr>
          <w:lang w:val="en-GB"/>
        </w:rPr>
        <w:tab/>
        <w:t>that work on this topic in Study Group 2 of the ITU Telecommunication Standardization Sector (ITU</w:t>
      </w:r>
      <w:r w:rsidRPr="00380B40">
        <w:rPr>
          <w:lang w:val="en-GB"/>
        </w:rPr>
        <w:noBreakHyphen/>
        <w:t>T) needs to be expedited and expanded to cater for the changing environment of service delivery and network infrastructures, including emerging telecommunications/information and communication technologies and services, such as next-generation networks and future networks,</w:t>
      </w:r>
    </w:p>
    <w:p w14:paraId="470F6D19" w14:textId="77777777" w:rsidR="008A70C9" w:rsidRPr="00380B40" w:rsidRDefault="008A70C9" w:rsidP="008A70C9">
      <w:pPr>
        <w:pStyle w:val="Call"/>
        <w:rPr>
          <w:lang w:val="en-GB"/>
        </w:rPr>
      </w:pPr>
      <w:r w:rsidRPr="00380B40">
        <w:rPr>
          <w:lang w:val="en-GB"/>
        </w:rPr>
        <w:t>noting</w:t>
      </w:r>
    </w:p>
    <w:p w14:paraId="35D922DD" w14:textId="77777777" w:rsidR="008A70C9" w:rsidRPr="00380B40" w:rsidRDefault="008A70C9" w:rsidP="008A70C9">
      <w:pPr>
        <w:keepNext/>
        <w:rPr>
          <w:lang w:val="en-GB"/>
        </w:rPr>
      </w:pPr>
      <w:r w:rsidRPr="00380B40">
        <w:rPr>
          <w:i/>
          <w:iCs/>
          <w:lang w:val="en-GB"/>
        </w:rPr>
        <w:t>a)</w:t>
      </w:r>
      <w:r w:rsidRPr="00380B40">
        <w:rPr>
          <w:lang w:val="en-GB"/>
        </w:rPr>
        <w:tab/>
        <w:t>relevant ITU</w:t>
      </w:r>
      <w:r w:rsidRPr="00380B40">
        <w:rPr>
          <w:lang w:val="en-GB"/>
        </w:rPr>
        <w:noBreakHyphen/>
        <w:t>T Recommendations, in particular:</w:t>
      </w:r>
    </w:p>
    <w:p w14:paraId="661B3666" w14:textId="77777777" w:rsidR="008A70C9" w:rsidRPr="00380B40" w:rsidRDefault="008A70C9" w:rsidP="008A70C9">
      <w:pPr>
        <w:pStyle w:val="enumlev1"/>
        <w:rPr>
          <w:lang w:val="en-GB"/>
        </w:rPr>
      </w:pPr>
      <w:r w:rsidRPr="00380B40">
        <w:rPr>
          <w:lang w:val="en-GB"/>
        </w:rPr>
        <w:t>i)</w:t>
      </w:r>
      <w:r w:rsidRPr="00380B40">
        <w:rPr>
          <w:lang w:val="en-GB"/>
        </w:rPr>
        <w:tab/>
        <w:t>ITU</w:t>
      </w:r>
      <w:r w:rsidRPr="00380B40">
        <w:rPr>
          <w:lang w:val="en-GB"/>
        </w:rPr>
        <w:noBreakHyphen/>
        <w:t>T E.156: Guidelines for ITU</w:t>
      </w:r>
      <w:r w:rsidRPr="00380B40">
        <w:rPr>
          <w:lang w:val="en-GB"/>
        </w:rPr>
        <w:noBreakHyphen/>
        <w:t>T action on reported misuse of ITU</w:t>
      </w:r>
      <w:r w:rsidRPr="00380B40">
        <w:rPr>
          <w:lang w:val="en-GB"/>
        </w:rPr>
        <w:noBreakHyphen/>
        <w:t xml:space="preserve">T E.164 number resources; </w:t>
      </w:r>
    </w:p>
    <w:p w14:paraId="3D02D726" w14:textId="77777777" w:rsidR="008A70C9" w:rsidRPr="00380B40" w:rsidRDefault="008A70C9" w:rsidP="008A70C9">
      <w:pPr>
        <w:pStyle w:val="enumlev1"/>
        <w:rPr>
          <w:lang w:val="en-GB"/>
        </w:rPr>
      </w:pPr>
      <w:r w:rsidRPr="00380B40">
        <w:rPr>
          <w:lang w:val="en-GB"/>
        </w:rPr>
        <w:t>ii)</w:t>
      </w:r>
      <w:r w:rsidRPr="00380B40">
        <w:rPr>
          <w:lang w:val="en-GB"/>
        </w:rPr>
        <w:tab/>
        <w:t>ITU</w:t>
      </w:r>
      <w:r w:rsidRPr="00380B40">
        <w:rPr>
          <w:lang w:val="en-GB"/>
        </w:rPr>
        <w:noBreakHyphen/>
        <w:t>T E.157: International calling party number delivery;</w:t>
      </w:r>
    </w:p>
    <w:p w14:paraId="31049C74" w14:textId="77777777" w:rsidR="008A70C9" w:rsidRPr="00380B40" w:rsidRDefault="008A70C9" w:rsidP="008A70C9">
      <w:pPr>
        <w:pStyle w:val="enumlev1"/>
        <w:rPr>
          <w:lang w:val="en-GB"/>
        </w:rPr>
      </w:pPr>
      <w:r w:rsidRPr="00380B40">
        <w:rPr>
          <w:lang w:val="en-GB"/>
        </w:rPr>
        <w:t>iii)</w:t>
      </w:r>
      <w:r w:rsidRPr="00380B40">
        <w:rPr>
          <w:lang w:val="en-GB"/>
        </w:rPr>
        <w:tab/>
        <w:t>ITU-T E.370: Service principles when public circuit switches international telecommunication networks interwork with IP-based networks;</w:t>
      </w:r>
    </w:p>
    <w:p w14:paraId="18F2EB34" w14:textId="77777777" w:rsidR="008A70C9" w:rsidRPr="00380B40" w:rsidRDefault="008A70C9" w:rsidP="00AC3A13">
      <w:pPr>
        <w:pStyle w:val="enumlev1"/>
        <w:rPr>
          <w:lang w:val="en-GB"/>
        </w:rPr>
      </w:pPr>
      <w:r w:rsidRPr="00380B40">
        <w:rPr>
          <w:lang w:val="en-GB"/>
        </w:rPr>
        <w:t>iv)</w:t>
      </w:r>
      <w:r w:rsidRPr="00380B40">
        <w:rPr>
          <w:lang w:val="en-GB"/>
        </w:rPr>
        <w:tab/>
        <w:t>ITU</w:t>
      </w:r>
      <w:r w:rsidRPr="00380B40">
        <w:rPr>
          <w:lang w:val="en-GB"/>
        </w:rPr>
        <w:noBreakHyphen/>
        <w:t>T E.164: The international public telecommunication numbering plan;</w:t>
      </w:r>
    </w:p>
    <w:p w14:paraId="3A35F44C" w14:textId="77777777" w:rsidR="008A70C9" w:rsidRPr="00380B40" w:rsidRDefault="008A70C9" w:rsidP="008A70C9">
      <w:pPr>
        <w:pStyle w:val="enumlev1"/>
        <w:rPr>
          <w:lang w:val="en-GB"/>
        </w:rPr>
      </w:pPr>
      <w:r w:rsidRPr="00380B40">
        <w:rPr>
          <w:lang w:val="en-GB"/>
        </w:rPr>
        <w:t>v)</w:t>
      </w:r>
      <w:r w:rsidRPr="00380B40">
        <w:rPr>
          <w:lang w:val="en-GB"/>
        </w:rPr>
        <w:tab/>
        <w:t>ITU</w:t>
      </w:r>
      <w:r w:rsidRPr="00380B40">
        <w:rPr>
          <w:lang w:val="en-GB"/>
        </w:rPr>
        <w:noBreakHyphen/>
        <w:t>T I.251.3: Number identification supplementary services: Calling line identification presentation;</w:t>
      </w:r>
    </w:p>
    <w:p w14:paraId="42E9C93F" w14:textId="77777777" w:rsidR="008A70C9" w:rsidRPr="00380B40" w:rsidRDefault="008A70C9" w:rsidP="008A70C9">
      <w:pPr>
        <w:pStyle w:val="enumlev1"/>
        <w:rPr>
          <w:lang w:val="en-GB"/>
        </w:rPr>
      </w:pPr>
      <w:r w:rsidRPr="00380B40">
        <w:rPr>
          <w:lang w:val="en-GB"/>
        </w:rPr>
        <w:t>vi)</w:t>
      </w:r>
      <w:r w:rsidRPr="00380B40">
        <w:rPr>
          <w:lang w:val="en-GB"/>
        </w:rPr>
        <w:tab/>
        <w:t>ITU</w:t>
      </w:r>
      <w:r w:rsidRPr="00380B40">
        <w:rPr>
          <w:lang w:val="en-GB"/>
        </w:rPr>
        <w:noBreakHyphen/>
        <w:t>T I.251.4: Number identification supplementary services: Calling line identification restriction;</w:t>
      </w:r>
    </w:p>
    <w:p w14:paraId="1DDA5439" w14:textId="77777777" w:rsidR="007F1508" w:rsidRPr="00380B40" w:rsidRDefault="007F1508" w:rsidP="008A70C9">
      <w:pPr>
        <w:pStyle w:val="enumlev1"/>
        <w:rPr>
          <w:lang w:val="en-GB"/>
        </w:rPr>
      </w:pPr>
      <w:r w:rsidRPr="00380B40">
        <w:rPr>
          <w:lang w:val="en-GB"/>
        </w:rPr>
        <w:br w:type="page"/>
      </w:r>
    </w:p>
    <w:p w14:paraId="5BDDDC7B" w14:textId="77777777" w:rsidR="008A70C9" w:rsidRPr="00380B40" w:rsidRDefault="008A70C9" w:rsidP="008A70C9">
      <w:pPr>
        <w:pStyle w:val="enumlev1"/>
        <w:rPr>
          <w:lang w:val="en-GB"/>
        </w:rPr>
      </w:pPr>
      <w:r w:rsidRPr="00380B40">
        <w:rPr>
          <w:lang w:val="en-GB"/>
        </w:rPr>
        <w:t>vii)</w:t>
      </w:r>
      <w:r w:rsidRPr="00380B40">
        <w:rPr>
          <w:lang w:val="en-GB"/>
        </w:rPr>
        <w:tab/>
        <w:t>ITU</w:t>
      </w:r>
      <w:r w:rsidRPr="00380B40">
        <w:rPr>
          <w:lang w:val="en-GB"/>
        </w:rPr>
        <w:noBreakHyphen/>
        <w:t>T I.251.7: Number identification supplementary services: Malicious call identification;</w:t>
      </w:r>
    </w:p>
    <w:p w14:paraId="6960495A" w14:textId="77777777" w:rsidR="008A70C9" w:rsidRPr="00380B40" w:rsidRDefault="008A70C9" w:rsidP="008A70C9">
      <w:pPr>
        <w:pStyle w:val="enumlev1"/>
        <w:rPr>
          <w:lang w:val="en-GB"/>
        </w:rPr>
      </w:pPr>
      <w:r w:rsidRPr="00380B40">
        <w:rPr>
          <w:lang w:val="en-GB"/>
        </w:rPr>
        <w:t>viii)</w:t>
      </w:r>
      <w:r w:rsidRPr="00380B40">
        <w:rPr>
          <w:lang w:val="en-GB"/>
        </w:rPr>
        <w:tab/>
        <w:t>ITU</w:t>
      </w:r>
      <w:r w:rsidRPr="00380B40">
        <w:rPr>
          <w:lang w:val="en-GB"/>
        </w:rPr>
        <w:noBreakHyphen/>
        <w:t>T Q.731.x-series, concerning stage 3 descriptions for number identification supplementary services using Signalling System No. 7;</w:t>
      </w:r>
    </w:p>
    <w:p w14:paraId="2DEAE666" w14:textId="77777777" w:rsidR="008A70C9" w:rsidRPr="00380B40" w:rsidRDefault="008A70C9" w:rsidP="008A70C9">
      <w:pPr>
        <w:pStyle w:val="enumlev1"/>
        <w:rPr>
          <w:lang w:val="en-GB"/>
        </w:rPr>
      </w:pPr>
      <w:r w:rsidRPr="00380B40">
        <w:rPr>
          <w:lang w:val="en-GB"/>
        </w:rPr>
        <w:t>ix)</w:t>
      </w:r>
      <w:r w:rsidRPr="00380B40">
        <w:rPr>
          <w:lang w:val="en-GB"/>
        </w:rPr>
        <w:tab/>
        <w:t>ITU</w:t>
      </w:r>
      <w:r w:rsidRPr="00380B40">
        <w:rPr>
          <w:lang w:val="en-GB"/>
        </w:rPr>
        <w:noBreakHyphen/>
        <w:t>T Q.731.7: Stage 3 description for number identification supplementary services using Signalling System No. 7: Malicious call identification (MCID);</w:t>
      </w:r>
    </w:p>
    <w:p w14:paraId="2795B5B1" w14:textId="77777777" w:rsidR="008A70C9" w:rsidRPr="00380B40" w:rsidRDefault="008A70C9" w:rsidP="008A70C9">
      <w:pPr>
        <w:pStyle w:val="enumlev1"/>
        <w:rPr>
          <w:lang w:val="en-GB"/>
        </w:rPr>
      </w:pPr>
      <w:r w:rsidRPr="00380B40">
        <w:rPr>
          <w:lang w:val="en-GB"/>
        </w:rPr>
        <w:t>x)</w:t>
      </w:r>
      <w:r w:rsidRPr="00380B40">
        <w:rPr>
          <w:lang w:val="en-GB"/>
        </w:rPr>
        <w:tab/>
        <w:t>ITU</w:t>
      </w:r>
      <w:r w:rsidRPr="00380B40">
        <w:rPr>
          <w:lang w:val="en-GB"/>
        </w:rPr>
        <w:noBreakHyphen/>
        <w:t>T Q.764: Signalling System No. 7 – ISDN User Part signalling procedures;</w:t>
      </w:r>
    </w:p>
    <w:p w14:paraId="35680A96" w14:textId="77777777" w:rsidR="008A70C9" w:rsidRPr="00380B40" w:rsidRDefault="008A70C9" w:rsidP="008A70C9">
      <w:pPr>
        <w:pStyle w:val="enumlev1"/>
        <w:rPr>
          <w:lang w:val="en-GB"/>
        </w:rPr>
      </w:pPr>
      <w:r w:rsidRPr="00380B40">
        <w:rPr>
          <w:lang w:val="en-GB"/>
        </w:rPr>
        <w:t>xi)</w:t>
      </w:r>
      <w:r w:rsidRPr="00380B40">
        <w:rPr>
          <w:lang w:val="en-GB"/>
        </w:rPr>
        <w:tab/>
        <w:t>ITU</w:t>
      </w:r>
      <w:r w:rsidRPr="00380B40">
        <w:rPr>
          <w:lang w:val="en-GB"/>
        </w:rPr>
        <w:noBreakHyphen/>
        <w:t>T Q.1912.5: Interworking between Session Initiation Protocol (SIP) and Bearer Independent Call Control protocol or ISDN User Part;</w:t>
      </w:r>
    </w:p>
    <w:p w14:paraId="736AFAAD" w14:textId="77777777" w:rsidR="008A70C9" w:rsidRPr="00380B40" w:rsidRDefault="008A70C9" w:rsidP="00AC3A13">
      <w:pPr>
        <w:pStyle w:val="enumlev1"/>
        <w:rPr>
          <w:lang w:val="en-GB"/>
        </w:rPr>
      </w:pPr>
      <w:r w:rsidRPr="00380B40">
        <w:rPr>
          <w:lang w:val="en-GB"/>
        </w:rPr>
        <w:t>xii)</w:t>
      </w:r>
      <w:r w:rsidRPr="00380B40">
        <w:rPr>
          <w:lang w:val="en-GB"/>
        </w:rPr>
        <w:tab/>
        <w:t>ITU-T Q.3057: Signalling requirements and architecture for interconnection between trustable network entities;</w:t>
      </w:r>
    </w:p>
    <w:p w14:paraId="6A1FA50C" w14:textId="77777777" w:rsidR="008A70C9" w:rsidRPr="00380B40" w:rsidRDefault="008A70C9" w:rsidP="008A70C9">
      <w:pPr>
        <w:keepNext/>
        <w:rPr>
          <w:lang w:val="en-GB"/>
        </w:rPr>
      </w:pPr>
      <w:r w:rsidRPr="00380B40">
        <w:rPr>
          <w:i/>
          <w:iCs/>
          <w:lang w:val="en-GB"/>
        </w:rPr>
        <w:t>b)</w:t>
      </w:r>
      <w:r w:rsidRPr="00380B40">
        <w:rPr>
          <w:lang w:val="en-GB"/>
        </w:rPr>
        <w:tab/>
        <w:t>relevant resolutions:</w:t>
      </w:r>
    </w:p>
    <w:p w14:paraId="5B0BB445" w14:textId="77777777" w:rsidR="008A70C9" w:rsidRPr="00380B40" w:rsidRDefault="008A70C9" w:rsidP="008A70C9">
      <w:pPr>
        <w:pStyle w:val="enumlev1"/>
        <w:rPr>
          <w:lang w:val="en-GB"/>
        </w:rPr>
      </w:pPr>
      <w:r w:rsidRPr="00380B40">
        <w:rPr>
          <w:lang w:val="en-GB"/>
        </w:rPr>
        <w:t>i)</w:t>
      </w:r>
      <w:r w:rsidRPr="00380B40">
        <w:rPr>
          <w:lang w:val="en-GB"/>
        </w:rPr>
        <w:tab/>
        <w:t xml:space="preserve">Resolution 61 (Rev. Geneva, 2022) of this assembly, on misappropriation and misuse of international telecommunication numbering resources; </w:t>
      </w:r>
    </w:p>
    <w:p w14:paraId="6B0F9F05" w14:textId="77777777" w:rsidR="008A70C9" w:rsidRPr="00380B40" w:rsidRDefault="008A70C9" w:rsidP="008A70C9">
      <w:pPr>
        <w:pStyle w:val="enumlev1"/>
        <w:rPr>
          <w:lang w:val="en-GB"/>
        </w:rPr>
      </w:pPr>
      <w:r w:rsidRPr="00380B40">
        <w:rPr>
          <w:lang w:val="en-GB"/>
        </w:rPr>
        <w:t>ii)</w:t>
      </w:r>
      <w:r w:rsidRPr="00380B40">
        <w:rPr>
          <w:lang w:val="en-GB"/>
        </w:rPr>
        <w:tab/>
        <w:t>Resolution 21 (Rev. Dubai, 2018) of the Plenipotentiary Conference, on measures concerning alternative calling procedures on international telecommunication networks;</w:t>
      </w:r>
    </w:p>
    <w:p w14:paraId="5154687E" w14:textId="77777777" w:rsidR="008A70C9" w:rsidRPr="00380B40" w:rsidRDefault="008A70C9" w:rsidP="008A70C9">
      <w:pPr>
        <w:pStyle w:val="enumlev1"/>
        <w:rPr>
          <w:lang w:val="en-GB"/>
        </w:rPr>
      </w:pPr>
      <w:r w:rsidRPr="00380B40">
        <w:rPr>
          <w:lang w:val="en-GB"/>
        </w:rPr>
        <w:t>iii)</w:t>
      </w:r>
      <w:r w:rsidRPr="00380B40">
        <w:rPr>
          <w:lang w:val="en-GB"/>
        </w:rPr>
        <w:tab/>
        <w:t>Resolution 29 (Rev. Geneva, 2022) of this assembly, on alternative calling procedures on international telecommunication networks;</w:t>
      </w:r>
    </w:p>
    <w:p w14:paraId="2E399659" w14:textId="77777777" w:rsidR="008A70C9" w:rsidRPr="00380B40" w:rsidRDefault="008A70C9" w:rsidP="008A70C9">
      <w:pPr>
        <w:rPr>
          <w:lang w:val="en-GB"/>
        </w:rPr>
      </w:pPr>
      <w:r w:rsidRPr="00380B40">
        <w:rPr>
          <w:i/>
          <w:iCs/>
          <w:lang w:val="en-GB"/>
        </w:rPr>
        <w:t>c)</w:t>
      </w:r>
      <w:r w:rsidRPr="00380B40">
        <w:rPr>
          <w:lang w:val="en-GB"/>
        </w:rPr>
        <w:tab/>
        <w:t>No. 32 (Article 3.6) of the International Telecommunication Regulations (Dubai, 2012) (ITRs) regarding the provision of international CLI by the signatory Member States to the ITRs,</w:t>
      </w:r>
    </w:p>
    <w:p w14:paraId="72498F5F" w14:textId="77777777" w:rsidR="008A70C9" w:rsidRPr="00380B40" w:rsidRDefault="008A70C9" w:rsidP="008A70C9">
      <w:pPr>
        <w:pStyle w:val="Call"/>
        <w:rPr>
          <w:lang w:val="en-GB"/>
        </w:rPr>
      </w:pPr>
      <w:r w:rsidRPr="00380B40">
        <w:rPr>
          <w:lang w:val="en-GB"/>
        </w:rPr>
        <w:t>noting further</w:t>
      </w:r>
    </w:p>
    <w:p w14:paraId="0B0E34D0" w14:textId="77777777" w:rsidR="008A70C9" w:rsidRPr="00380B40" w:rsidRDefault="008A70C9" w:rsidP="008A70C9">
      <w:pPr>
        <w:rPr>
          <w:szCs w:val="24"/>
          <w:lang w:val="en-GB"/>
        </w:rPr>
      </w:pPr>
      <w:r w:rsidRPr="00380B40">
        <w:rPr>
          <w:i/>
          <w:iCs/>
          <w:lang w:val="en-GB"/>
        </w:rPr>
        <w:t>a)</w:t>
      </w:r>
      <w:r w:rsidRPr="00380B40">
        <w:rPr>
          <w:lang w:val="en-GB"/>
        </w:rPr>
        <w:tab/>
        <w:t>that some countries and regions have adopted national laws, directives and recommendations regarding CPN non-delivery and spoofing, and/or on ensuring confidence in OI, and that some countries have national data-protection and data-privacy laws, directives and recommendations</w:t>
      </w:r>
      <w:r w:rsidRPr="00380B40">
        <w:rPr>
          <w:szCs w:val="24"/>
          <w:lang w:val="en-GB"/>
        </w:rPr>
        <w:t>;</w:t>
      </w:r>
    </w:p>
    <w:p w14:paraId="3B0CC86F" w14:textId="77777777" w:rsidR="008A70C9" w:rsidRPr="00380B40" w:rsidRDefault="008A70C9" w:rsidP="008A70C9">
      <w:pPr>
        <w:rPr>
          <w:lang w:val="en-GB"/>
        </w:rPr>
      </w:pPr>
      <w:r w:rsidRPr="00380B40">
        <w:rPr>
          <w:i/>
          <w:iCs/>
          <w:lang w:val="en-GB"/>
        </w:rPr>
        <w:t>b)</w:t>
      </w:r>
      <w:r w:rsidRPr="00380B40">
        <w:rPr>
          <w:lang w:val="en-GB"/>
        </w:rPr>
        <w:tab/>
        <w:t>that the CPN makes it possible to identify the party responsible for making the call;</w:t>
      </w:r>
    </w:p>
    <w:p w14:paraId="74721EFE" w14:textId="77777777" w:rsidR="008A70C9" w:rsidRPr="00380B40" w:rsidRDefault="008A70C9" w:rsidP="008A70C9">
      <w:pPr>
        <w:rPr>
          <w:szCs w:val="24"/>
          <w:lang w:val="en-GB"/>
        </w:rPr>
      </w:pPr>
      <w:r w:rsidRPr="00380B40">
        <w:rPr>
          <w:i/>
          <w:iCs/>
          <w:lang w:val="en-GB"/>
        </w:rPr>
        <w:t>c)</w:t>
      </w:r>
      <w:r w:rsidRPr="00380B40">
        <w:rPr>
          <w:lang w:val="en-GB"/>
        </w:rPr>
        <w:tab/>
      </w:r>
      <w:r w:rsidRPr="00380B40">
        <w:rPr>
          <w:szCs w:val="24"/>
          <w:lang w:val="en-GB"/>
        </w:rPr>
        <w:t>that the presence of verification mechanisms for the various calling party identifiers may increase the reliability of the information transmitted,</w:t>
      </w:r>
    </w:p>
    <w:p w14:paraId="591BD9DA" w14:textId="77777777" w:rsidR="008A70C9" w:rsidRPr="00380B40" w:rsidRDefault="008A70C9" w:rsidP="008A70C9">
      <w:pPr>
        <w:pStyle w:val="Call"/>
        <w:rPr>
          <w:lang w:val="en-GB"/>
        </w:rPr>
      </w:pPr>
      <w:r w:rsidRPr="00380B40">
        <w:rPr>
          <w:lang w:val="en-GB"/>
        </w:rPr>
        <w:t>reaffirming</w:t>
      </w:r>
    </w:p>
    <w:p w14:paraId="1C816979" w14:textId="77777777" w:rsidR="008A70C9" w:rsidRPr="00380B40" w:rsidRDefault="008A70C9" w:rsidP="008A70C9">
      <w:pPr>
        <w:rPr>
          <w:lang w:val="en-GB"/>
        </w:rPr>
      </w:pPr>
      <w:r w:rsidRPr="00380B40">
        <w:rPr>
          <w:lang w:val="en-GB"/>
        </w:rPr>
        <w:t>that it is the sovereign right of each country to regulate its telecommunications and, as such, regulate the provision of CLI, CPN delivery and OI information, taking into account the Preamble to the ITU Constitution and the relevant provisions of the ITRs related to the provision of CLI information,</w:t>
      </w:r>
    </w:p>
    <w:p w14:paraId="2BB8024D" w14:textId="77777777" w:rsidR="008A70C9" w:rsidRPr="00380B40" w:rsidRDefault="008A70C9" w:rsidP="008A70C9">
      <w:pPr>
        <w:pStyle w:val="Call"/>
        <w:rPr>
          <w:lang w:val="en-GB"/>
        </w:rPr>
      </w:pPr>
      <w:r w:rsidRPr="00380B40">
        <w:rPr>
          <w:lang w:val="en-GB"/>
        </w:rPr>
        <w:t>resolves</w:t>
      </w:r>
    </w:p>
    <w:p w14:paraId="4D3D186B" w14:textId="77777777" w:rsidR="008A70C9" w:rsidRPr="00380B40" w:rsidRDefault="008A70C9" w:rsidP="008A70C9">
      <w:pPr>
        <w:rPr>
          <w:lang w:val="en-GB"/>
        </w:rPr>
      </w:pPr>
      <w:r w:rsidRPr="00380B40">
        <w:rPr>
          <w:lang w:val="en-GB"/>
        </w:rPr>
        <w:t>1</w:t>
      </w:r>
      <w:r w:rsidRPr="00380B40">
        <w:rPr>
          <w:lang w:val="en-GB"/>
        </w:rPr>
        <w:tab/>
        <w:t>that international CPN delivery shall be provided on the basis of the relevant ITU</w:t>
      </w:r>
      <w:r w:rsidRPr="00380B40">
        <w:rPr>
          <w:lang w:val="en-GB"/>
        </w:rPr>
        <w:noBreakHyphen/>
        <w:t>T Recommendations;</w:t>
      </w:r>
    </w:p>
    <w:p w14:paraId="3BDE8F8C" w14:textId="77777777" w:rsidR="007F1508" w:rsidRPr="00380B40" w:rsidRDefault="007F1508" w:rsidP="008A70C9">
      <w:pPr>
        <w:rPr>
          <w:lang w:val="en-GB"/>
        </w:rPr>
      </w:pPr>
      <w:r w:rsidRPr="00380B40">
        <w:rPr>
          <w:lang w:val="en-GB"/>
        </w:rPr>
        <w:br w:type="page"/>
      </w:r>
    </w:p>
    <w:p w14:paraId="6435BD0F" w14:textId="77777777" w:rsidR="008A70C9" w:rsidRPr="00380B40" w:rsidRDefault="008A70C9" w:rsidP="008A70C9">
      <w:pPr>
        <w:rPr>
          <w:lang w:val="en-GB"/>
        </w:rPr>
      </w:pPr>
      <w:r w:rsidRPr="00380B40">
        <w:rPr>
          <w:lang w:val="en-GB"/>
        </w:rPr>
        <w:t>2</w:t>
      </w:r>
      <w:r w:rsidRPr="00380B40">
        <w:rPr>
          <w:lang w:val="en-GB"/>
        </w:rPr>
        <w:tab/>
        <w:t>that international CLI and OI delivery shall be provided on the basis of the relevant ITU-T Recommendations where technically possible;</w:t>
      </w:r>
    </w:p>
    <w:p w14:paraId="7CA2C20F" w14:textId="77777777" w:rsidR="008A70C9" w:rsidRPr="00380B40" w:rsidRDefault="008A70C9" w:rsidP="008A70C9">
      <w:pPr>
        <w:rPr>
          <w:lang w:val="en-GB"/>
        </w:rPr>
      </w:pPr>
      <w:r w:rsidRPr="00380B40">
        <w:rPr>
          <w:lang w:val="en-GB"/>
        </w:rPr>
        <w:t>3</w:t>
      </w:r>
      <w:r w:rsidRPr="00380B40">
        <w:rPr>
          <w:lang w:val="en-GB"/>
        </w:rPr>
        <w:tab/>
        <w:t>that the delivered CPN should contain at least either the calling party number or the specially allocated number of the operator/service provider responsible for making the call, so that a terminating country can identify the operator/service provider of the outgoing call, or identify the terminal that originates the call, before it is delivered from the originating country to that terminating country;</w:t>
      </w:r>
    </w:p>
    <w:p w14:paraId="0AFBC2F2" w14:textId="77777777" w:rsidR="008A70C9" w:rsidRPr="00380B40" w:rsidRDefault="008A70C9" w:rsidP="008A70C9">
      <w:pPr>
        <w:rPr>
          <w:lang w:val="en-GB"/>
        </w:rPr>
      </w:pPr>
      <w:r w:rsidRPr="00380B40">
        <w:rPr>
          <w:lang w:val="en-GB"/>
        </w:rPr>
        <w:t>4</w:t>
      </w:r>
      <w:r w:rsidRPr="00380B40">
        <w:rPr>
          <w:lang w:val="en-GB"/>
        </w:rPr>
        <w:tab/>
        <w:t>that the delivered CPN and the CLI, if delivered, shall include sufficient information to allow proper billing and accounting, for each international call;</w:t>
      </w:r>
    </w:p>
    <w:p w14:paraId="77727D60" w14:textId="77777777" w:rsidR="008A70C9" w:rsidRPr="00380B40" w:rsidRDefault="008A70C9" w:rsidP="008A70C9">
      <w:pPr>
        <w:rPr>
          <w:lang w:val="en-GB"/>
        </w:rPr>
      </w:pPr>
      <w:r w:rsidRPr="00380B40">
        <w:rPr>
          <w:lang w:val="en-GB"/>
        </w:rPr>
        <w:t>5</w:t>
      </w:r>
      <w:r w:rsidRPr="00380B40">
        <w:rPr>
          <w:lang w:val="en-GB"/>
        </w:rPr>
        <w:tab/>
        <w:t>that the OI information in a heterogeneous networking environment shall, where technically possible, be an identifier assigned to a subscriber by the originating service provider, or be replaced by a default identifier by the originating provider to identify the origin of the call, if specified by the administration;</w:t>
      </w:r>
    </w:p>
    <w:p w14:paraId="7E40C64E" w14:textId="77777777" w:rsidR="008A70C9" w:rsidRPr="00380B40" w:rsidRDefault="008A70C9" w:rsidP="008A70C9">
      <w:pPr>
        <w:rPr>
          <w:lang w:val="en-GB"/>
        </w:rPr>
      </w:pPr>
      <w:r w:rsidRPr="00380B40">
        <w:rPr>
          <w:lang w:val="en-GB"/>
        </w:rPr>
        <w:t>6</w:t>
      </w:r>
      <w:r w:rsidRPr="00380B40">
        <w:rPr>
          <w:lang w:val="en-GB"/>
        </w:rPr>
        <w:tab/>
        <w:t>that the CPN, CLI and OI information shall be transmitted transparently by transit networks (including hubs);</w:t>
      </w:r>
    </w:p>
    <w:p w14:paraId="1604970C" w14:textId="77777777" w:rsidR="008A70C9" w:rsidRPr="00380B40" w:rsidRDefault="008A70C9" w:rsidP="008A70C9">
      <w:pPr>
        <w:rPr>
          <w:lang w:val="en-GB"/>
        </w:rPr>
      </w:pPr>
      <w:r w:rsidRPr="00380B40">
        <w:rPr>
          <w:lang w:val="en-GB"/>
        </w:rPr>
        <w:t>7</w:t>
      </w:r>
      <w:r w:rsidRPr="00380B40">
        <w:rPr>
          <w:lang w:val="en-GB"/>
        </w:rPr>
        <w:tab/>
        <w:t>to encourage operators to make OI information, wherever applicable, CPN and CLI reliable and verifiable in order to combat spoofing and other forms of numbering misuse,</w:t>
      </w:r>
    </w:p>
    <w:p w14:paraId="492372D0" w14:textId="77777777" w:rsidR="008A70C9" w:rsidRPr="00380B40" w:rsidRDefault="008A70C9" w:rsidP="008A70C9">
      <w:pPr>
        <w:pStyle w:val="Call"/>
        <w:rPr>
          <w:lang w:val="en-GB"/>
        </w:rPr>
      </w:pPr>
      <w:r w:rsidRPr="00380B40">
        <w:rPr>
          <w:lang w:val="en-GB"/>
        </w:rPr>
        <w:t>instructs</w:t>
      </w:r>
    </w:p>
    <w:p w14:paraId="6FF86C07" w14:textId="77777777" w:rsidR="008A70C9" w:rsidRPr="00380B40" w:rsidRDefault="008A70C9" w:rsidP="008A70C9">
      <w:pPr>
        <w:rPr>
          <w:lang w:val="en-GB"/>
        </w:rPr>
      </w:pPr>
      <w:r w:rsidRPr="00380B40">
        <w:rPr>
          <w:lang w:val="en-GB"/>
        </w:rPr>
        <w:t>1</w:t>
      </w:r>
      <w:r w:rsidRPr="00380B40">
        <w:rPr>
          <w:lang w:val="en-GB"/>
        </w:rPr>
        <w:tab/>
        <w:t>ITU</w:t>
      </w:r>
      <w:r w:rsidRPr="00380B40">
        <w:rPr>
          <w:lang w:val="en-GB"/>
        </w:rPr>
        <w:noBreakHyphen/>
        <w:t>T Study Group 2, ITU</w:t>
      </w:r>
      <w:r w:rsidRPr="00380B40">
        <w:rPr>
          <w:lang w:val="en-GB"/>
        </w:rPr>
        <w:noBreakHyphen/>
        <w:t>T Study Group 3 and, where required, ITU</w:t>
      </w:r>
      <w:r w:rsidRPr="00380B40">
        <w:rPr>
          <w:lang w:val="en-GB"/>
        </w:rPr>
        <w:noBreakHyphen/>
        <w:t>T Study Groups 11 and 17 to further study the emerging issues of CPN delivery, CLI and OI information, in particular for a heterogeneous networking environment, including security methods and possible validation techniques;</w:t>
      </w:r>
    </w:p>
    <w:p w14:paraId="285539E9" w14:textId="77777777" w:rsidR="008A70C9" w:rsidRPr="00380B40" w:rsidRDefault="008A70C9" w:rsidP="008A70C9">
      <w:pPr>
        <w:rPr>
          <w:lang w:val="en-GB"/>
        </w:rPr>
      </w:pPr>
      <w:r w:rsidRPr="00380B40">
        <w:rPr>
          <w:lang w:val="en-GB"/>
        </w:rPr>
        <w:t>2</w:t>
      </w:r>
      <w:r w:rsidRPr="00380B40">
        <w:rPr>
          <w:lang w:val="en-GB"/>
        </w:rPr>
        <w:tab/>
        <w:t xml:space="preserve">the study groups concerned to expedite work on Recommendations that would provide additional detail and guidance for the implementation of </w:t>
      </w:r>
      <w:r w:rsidRPr="00380B40">
        <w:rPr>
          <w:szCs w:val="24"/>
          <w:lang w:val="en-GB"/>
        </w:rPr>
        <w:t>this resolution</w:t>
      </w:r>
      <w:r w:rsidRPr="00380B40">
        <w:rPr>
          <w:lang w:val="en-GB"/>
        </w:rPr>
        <w:t>;</w:t>
      </w:r>
    </w:p>
    <w:p w14:paraId="689B72BD" w14:textId="77777777" w:rsidR="008A70C9" w:rsidRPr="00380B40" w:rsidRDefault="008A70C9" w:rsidP="008A70C9">
      <w:pPr>
        <w:rPr>
          <w:lang w:val="en-GB"/>
        </w:rPr>
      </w:pPr>
      <w:r w:rsidRPr="00380B40">
        <w:rPr>
          <w:lang w:val="en-GB"/>
        </w:rPr>
        <w:t>3</w:t>
      </w:r>
      <w:r w:rsidRPr="00380B40">
        <w:rPr>
          <w:lang w:val="en-GB"/>
        </w:rPr>
        <w:tab/>
        <w:t xml:space="preserve">the Director of TSB to report on the progress achieved by the study groups in implementing this resolution, which is intended to improve security and minimize fraud, and minimize technical harm as called for by Article 42 of the Constitution; </w:t>
      </w:r>
    </w:p>
    <w:p w14:paraId="2E8DA75C" w14:textId="77777777" w:rsidR="008A70C9" w:rsidRPr="00380B40" w:rsidRDefault="008A70C9" w:rsidP="008A70C9">
      <w:pPr>
        <w:rPr>
          <w:lang w:val="en-GB"/>
        </w:rPr>
      </w:pPr>
      <w:r w:rsidRPr="00380B40">
        <w:rPr>
          <w:lang w:val="en-GB"/>
        </w:rPr>
        <w:t>4</w:t>
      </w:r>
      <w:r w:rsidRPr="00380B40">
        <w:rPr>
          <w:lang w:val="en-GB"/>
        </w:rPr>
        <w:tab/>
        <w:t>the Director of TSB to share information on country experiences regarding the implementation of this resolution, in a centralized location,</w:t>
      </w:r>
    </w:p>
    <w:p w14:paraId="0B5A4114" w14:textId="77777777" w:rsidR="008A70C9" w:rsidRPr="00380B40" w:rsidRDefault="008A70C9" w:rsidP="008A70C9">
      <w:pPr>
        <w:pStyle w:val="Call"/>
        <w:rPr>
          <w:lang w:val="en-GB"/>
        </w:rPr>
      </w:pPr>
      <w:r w:rsidRPr="00380B40">
        <w:rPr>
          <w:lang w:val="en-GB"/>
        </w:rPr>
        <w:t xml:space="preserve">invites Member States </w:t>
      </w:r>
    </w:p>
    <w:p w14:paraId="207F48C6" w14:textId="77777777" w:rsidR="008A70C9" w:rsidRPr="00380B40" w:rsidRDefault="008A70C9" w:rsidP="008A70C9">
      <w:pPr>
        <w:rPr>
          <w:lang w:val="en-GB"/>
        </w:rPr>
      </w:pPr>
      <w:r w:rsidRPr="00380B40">
        <w:rPr>
          <w:lang w:val="en-GB"/>
        </w:rPr>
        <w:t>1</w:t>
      </w:r>
      <w:r w:rsidRPr="00380B40">
        <w:rPr>
          <w:lang w:val="en-GB"/>
        </w:rPr>
        <w:tab/>
        <w:t>to contribute to this work, to share information regarding their experiences in implementing this resolution and to cooperate in the implementation of this resolution;</w:t>
      </w:r>
    </w:p>
    <w:p w14:paraId="4E17A9B9" w14:textId="77777777" w:rsidR="008A70C9" w:rsidRPr="00380B40" w:rsidRDefault="008A70C9" w:rsidP="008A70C9">
      <w:pPr>
        <w:rPr>
          <w:lang w:val="en-GB"/>
        </w:rPr>
      </w:pPr>
      <w:r w:rsidRPr="00380B40">
        <w:rPr>
          <w:lang w:val="en-GB"/>
        </w:rPr>
        <w:t>2</w:t>
      </w:r>
      <w:r w:rsidRPr="00380B40">
        <w:rPr>
          <w:lang w:val="en-GB"/>
        </w:rPr>
        <w:tab/>
        <w:t>to consider developing, within their national regulatory and legal frameworks, guidelines or other means for implementing this resolution.</w:t>
      </w:r>
    </w:p>
    <w:p w14:paraId="7CD6F738" w14:textId="77777777" w:rsidR="00AB45F0" w:rsidRPr="00380B40" w:rsidRDefault="00AB45F0" w:rsidP="00DB3F06">
      <w:pPr>
        <w:rPr>
          <w:lang w:val="en-GB"/>
        </w:rPr>
      </w:pPr>
    </w:p>
    <w:p w14:paraId="5DD71774" w14:textId="77777777" w:rsidR="000002F0" w:rsidRPr="00380B40" w:rsidRDefault="000002F0" w:rsidP="000002F0">
      <w:pPr>
        <w:rPr>
          <w:lang w:val="en-GB"/>
        </w:rPr>
      </w:pPr>
    </w:p>
    <w:p w14:paraId="1FAB9D93" w14:textId="77777777" w:rsidR="000002F0" w:rsidRPr="00380B40" w:rsidRDefault="000002F0" w:rsidP="000002F0">
      <w:pPr>
        <w:rPr>
          <w:lang w:val="en-GB"/>
        </w:rPr>
        <w:sectPr w:rsidR="000002F0" w:rsidRPr="00380B40" w:rsidSect="007928CF">
          <w:headerReference w:type="even" r:id="rId177"/>
          <w:headerReference w:type="default" r:id="rId178"/>
          <w:footerReference w:type="even" r:id="rId179"/>
          <w:footerReference w:type="default" r:id="rId180"/>
          <w:headerReference w:type="first" r:id="rId181"/>
          <w:footerReference w:type="first" r:id="rId182"/>
          <w:footnotePr>
            <w:numRestart w:val="eachSect"/>
          </w:footnotePr>
          <w:pgSz w:w="11907" w:h="16834" w:code="9"/>
          <w:pgMar w:top="1134" w:right="1134" w:bottom="1134" w:left="1134" w:header="567" w:footer="567" w:gutter="0"/>
          <w:paperSrc w:first="15" w:other="15"/>
          <w:cols w:space="720"/>
          <w:vAlign w:val="both"/>
          <w:docGrid w:linePitch="299"/>
        </w:sectPr>
      </w:pPr>
    </w:p>
    <w:p w14:paraId="15C8E17A" w14:textId="77777777" w:rsidR="00DB3F06" w:rsidRPr="00380B40" w:rsidRDefault="00DB3F06" w:rsidP="008A70C9">
      <w:pPr>
        <w:pStyle w:val="ResNo"/>
        <w:rPr>
          <w:lang w:val="en-GB"/>
        </w:rPr>
      </w:pPr>
      <w:bookmarkStart w:id="278" w:name="_Toc104459747"/>
      <w:bookmarkStart w:id="279" w:name="_Toc104476555"/>
      <w:bookmarkStart w:id="280" w:name="_Toc111636786"/>
      <w:bookmarkStart w:id="281" w:name="_Toc111638448"/>
      <w:r w:rsidRPr="00380B40">
        <w:rPr>
          <w:lang w:val="en-GB"/>
        </w:rPr>
        <w:t>RESOLUTION </w:t>
      </w:r>
      <w:r w:rsidRPr="00380B40">
        <w:rPr>
          <w:rStyle w:val="href"/>
          <w:lang w:val="en-GB"/>
        </w:rPr>
        <w:t>67</w:t>
      </w:r>
      <w:r w:rsidRPr="00380B40">
        <w:rPr>
          <w:lang w:val="en-GB"/>
        </w:rPr>
        <w:t xml:space="preserve"> </w:t>
      </w:r>
      <w:r w:rsidR="008A70C9" w:rsidRPr="00380B40">
        <w:rPr>
          <w:lang w:val="en-GB"/>
        </w:rPr>
        <w:t>(R</w:t>
      </w:r>
      <w:r w:rsidR="007D7127" w:rsidRPr="00380B40">
        <w:rPr>
          <w:caps w:val="0"/>
          <w:lang w:val="en-GB"/>
        </w:rPr>
        <w:t>ev</w:t>
      </w:r>
      <w:r w:rsidR="008A70C9" w:rsidRPr="00380B40">
        <w:rPr>
          <w:lang w:val="en-GB"/>
        </w:rPr>
        <w:t>. G</w:t>
      </w:r>
      <w:r w:rsidR="007D7127" w:rsidRPr="00380B40">
        <w:rPr>
          <w:caps w:val="0"/>
          <w:lang w:val="en-GB"/>
        </w:rPr>
        <w:t>eneva</w:t>
      </w:r>
      <w:r w:rsidR="008A70C9" w:rsidRPr="00380B40">
        <w:rPr>
          <w:lang w:val="en-GB"/>
        </w:rPr>
        <w:t>, 2022)</w:t>
      </w:r>
      <w:bookmarkEnd w:id="278"/>
      <w:bookmarkEnd w:id="279"/>
      <w:bookmarkEnd w:id="280"/>
      <w:bookmarkEnd w:id="281"/>
    </w:p>
    <w:p w14:paraId="567ECD53" w14:textId="77777777" w:rsidR="008A70C9" w:rsidRPr="00380B40" w:rsidRDefault="008A70C9" w:rsidP="008A70C9">
      <w:pPr>
        <w:pStyle w:val="Restitle"/>
        <w:rPr>
          <w:lang w:val="en-GB"/>
        </w:rPr>
      </w:pPr>
      <w:bookmarkStart w:id="282" w:name="_Hlk97283021"/>
      <w:bookmarkStart w:id="283" w:name="_Toc104459748"/>
      <w:bookmarkStart w:id="284" w:name="_Toc104476556"/>
      <w:bookmarkStart w:id="285" w:name="_Toc111638449"/>
      <w:r w:rsidRPr="00380B40">
        <w:rPr>
          <w:lang w:val="en-GB"/>
        </w:rPr>
        <w:t xml:space="preserve">Use in the ITU Telecommunication Standardization Sector of </w:t>
      </w:r>
      <w:r w:rsidRPr="00380B40">
        <w:rPr>
          <w:lang w:val="en-GB"/>
        </w:rPr>
        <w:br/>
        <w:t>the languages of the Union on an equal footing</w:t>
      </w:r>
      <w:bookmarkEnd w:id="282"/>
      <w:r w:rsidRPr="00380B40">
        <w:rPr>
          <w:lang w:val="en-GB"/>
        </w:rPr>
        <w:t xml:space="preserve"> and the Standardization Committee for Vocabulary</w:t>
      </w:r>
      <w:bookmarkEnd w:id="283"/>
      <w:bookmarkEnd w:id="284"/>
      <w:bookmarkEnd w:id="285"/>
    </w:p>
    <w:p w14:paraId="5997D858" w14:textId="77777777" w:rsidR="008A70C9" w:rsidRPr="00380B40" w:rsidRDefault="008A70C9" w:rsidP="008A70C9">
      <w:pPr>
        <w:pStyle w:val="Resref"/>
        <w:rPr>
          <w:lang w:val="en-GB"/>
        </w:rPr>
      </w:pPr>
      <w:r w:rsidRPr="00380B40">
        <w:rPr>
          <w:lang w:val="en-GB"/>
        </w:rPr>
        <w:t>(Johannesburg, 2008; Dubai, 2012; Hammamet, 2016; Geneva, 2022)</w:t>
      </w:r>
    </w:p>
    <w:p w14:paraId="31539717" w14:textId="77777777" w:rsidR="008A70C9" w:rsidRPr="00380B40" w:rsidRDefault="008A70C9" w:rsidP="008A70C9">
      <w:pPr>
        <w:pStyle w:val="Normalaftertitle0"/>
      </w:pPr>
      <w:r w:rsidRPr="00380B40">
        <w:t>The World Telecommunication Standardization Assembly (Geneva, 2022),</w:t>
      </w:r>
    </w:p>
    <w:p w14:paraId="6ED80F24" w14:textId="77777777" w:rsidR="008A70C9" w:rsidRPr="00380B40" w:rsidRDefault="008A70C9" w:rsidP="008A70C9">
      <w:pPr>
        <w:pStyle w:val="Call"/>
        <w:rPr>
          <w:lang w:val="en-GB"/>
        </w:rPr>
      </w:pPr>
      <w:r w:rsidRPr="00380B40">
        <w:rPr>
          <w:lang w:val="en-GB"/>
        </w:rPr>
        <w:t>recognizing</w:t>
      </w:r>
    </w:p>
    <w:p w14:paraId="71C9C459" w14:textId="77777777" w:rsidR="008A70C9" w:rsidRPr="00380B40" w:rsidRDefault="008A70C9" w:rsidP="008A70C9">
      <w:pPr>
        <w:rPr>
          <w:lang w:val="en-GB"/>
        </w:rPr>
      </w:pPr>
      <w:r w:rsidRPr="00380B40">
        <w:rPr>
          <w:i/>
          <w:iCs/>
          <w:lang w:val="en-GB"/>
        </w:rPr>
        <w:t>a)</w:t>
      </w:r>
      <w:r w:rsidRPr="00380B40">
        <w:rPr>
          <w:lang w:val="en-GB"/>
        </w:rPr>
        <w:tab/>
        <w:t>the adoption by the Plenipotentiary Conference of Resolution 154 (Rev. Dubai, 2018), on the use of the six official languages of the Union on an equal footing, which instructs the ITU Council and the ITU General Secretariat on how to achieve equal treatment of the six languages and which appreciated the work accomplished by the ITU Coordination Committee for Terminology (ITU CCT) on the adoption and agreement of terms and definitions in the field of telecommunications/information and communication technologies in all the official languages of the Union;</w:t>
      </w:r>
    </w:p>
    <w:p w14:paraId="647E764D" w14:textId="77777777" w:rsidR="008A70C9" w:rsidRPr="00380B40" w:rsidRDefault="008A70C9" w:rsidP="008A70C9">
      <w:pPr>
        <w:rPr>
          <w:lang w:val="en-GB"/>
        </w:rPr>
      </w:pPr>
      <w:r w:rsidRPr="00380B40">
        <w:rPr>
          <w:i/>
          <w:lang w:val="en-GB"/>
        </w:rPr>
        <w:t>b)</w:t>
      </w:r>
      <w:r w:rsidRPr="00380B40">
        <w:rPr>
          <w:i/>
          <w:lang w:val="en-GB"/>
        </w:rPr>
        <w:tab/>
      </w:r>
      <w:r w:rsidRPr="00380B40">
        <w:rPr>
          <w:lang w:val="en-GB"/>
        </w:rPr>
        <w:t>Resolution 1386, adopted by the Council at its 2017 session, on ITU CCT, which consists of the Coordination Committee for Vocabulary (CCV) of the ITU Radiocommunication Sector (ITU-R) and the Standardization Committee for Vocabulary (SCV) of the ITU Telecommunication Standardization Sector (ITU-T) functioning in accordance with the relevant resolutions of the Radiocommunication Assembly and the World Telecommunication Standardization Assembly (WTSA), respectively, and representatives of ITU Telecommunication Development Sector (ITU</w:t>
      </w:r>
      <w:r w:rsidRPr="00380B40">
        <w:rPr>
          <w:lang w:val="en-GB"/>
        </w:rPr>
        <w:noBreakHyphen/>
        <w:t>D), in close collaboration with the secretariat;</w:t>
      </w:r>
    </w:p>
    <w:p w14:paraId="628D5E6F" w14:textId="77777777" w:rsidR="008A70C9" w:rsidRPr="00380B40" w:rsidRDefault="008A70C9" w:rsidP="008A70C9">
      <w:pPr>
        <w:rPr>
          <w:b/>
          <w:bCs/>
          <w:lang w:val="en-GB"/>
        </w:rPr>
      </w:pPr>
      <w:r w:rsidRPr="00380B40">
        <w:rPr>
          <w:i/>
          <w:iCs/>
          <w:lang w:val="en-GB"/>
        </w:rPr>
        <w:t>c)</w:t>
      </w:r>
      <w:r w:rsidRPr="00380B40">
        <w:rPr>
          <w:i/>
          <w:iCs/>
          <w:lang w:val="en-GB"/>
        </w:rPr>
        <w:tab/>
      </w:r>
      <w:r w:rsidRPr="00380B40">
        <w:rPr>
          <w:lang w:val="en-GB"/>
        </w:rPr>
        <w:t>Resolution 1 (Rev. Geneva, 2022) of this assembly, on ITU-T rules of procedure;</w:t>
      </w:r>
    </w:p>
    <w:p w14:paraId="646CA8D4" w14:textId="77777777" w:rsidR="008A70C9" w:rsidRPr="00380B40" w:rsidRDefault="008A70C9" w:rsidP="008A70C9">
      <w:pPr>
        <w:rPr>
          <w:lang w:val="en-GB"/>
        </w:rPr>
      </w:pPr>
      <w:r w:rsidRPr="00380B40">
        <w:rPr>
          <w:i/>
          <w:iCs/>
          <w:lang w:val="en-GB"/>
        </w:rPr>
        <w:t>d)</w:t>
      </w:r>
      <w:r w:rsidRPr="00380B40">
        <w:rPr>
          <w:lang w:val="en-GB"/>
        </w:rPr>
        <w:tab/>
        <w:t>the decisions of the Council centralizing the editing functions for languages in the General Secretariat (Conferences and Publications Department), calling upon the Sectors to provide the final texts in English only (this applies also to terms and definitions),</w:t>
      </w:r>
    </w:p>
    <w:p w14:paraId="3795CB6C" w14:textId="77777777" w:rsidR="008A70C9" w:rsidRPr="00380B40" w:rsidRDefault="008A70C9" w:rsidP="008A70C9">
      <w:pPr>
        <w:pStyle w:val="Call"/>
        <w:rPr>
          <w:lang w:val="en-GB"/>
        </w:rPr>
      </w:pPr>
      <w:r w:rsidRPr="00380B40">
        <w:rPr>
          <w:lang w:val="en-GB"/>
        </w:rPr>
        <w:t>considering</w:t>
      </w:r>
    </w:p>
    <w:p w14:paraId="08A9B220" w14:textId="77777777" w:rsidR="008A70C9" w:rsidRPr="00380B40" w:rsidRDefault="008A70C9" w:rsidP="008A70C9">
      <w:pPr>
        <w:rPr>
          <w:lang w:val="en-GB"/>
        </w:rPr>
      </w:pPr>
      <w:r w:rsidRPr="00380B40">
        <w:rPr>
          <w:i/>
          <w:iCs/>
          <w:lang w:val="en-GB"/>
        </w:rPr>
        <w:t>a)</w:t>
      </w:r>
      <w:r w:rsidRPr="00380B40">
        <w:rPr>
          <w:lang w:val="en-GB"/>
        </w:rPr>
        <w:tab/>
        <w:t xml:space="preserve">that under Resolution 154 (Rev. Dubai, 2018), the Council is instructed to continue the work of the Council Working Group on Languages, in order to monitor progress and report to the Council on the implementation of that resolution; </w:t>
      </w:r>
    </w:p>
    <w:p w14:paraId="71231877" w14:textId="77777777" w:rsidR="008A70C9" w:rsidRPr="00380B40" w:rsidRDefault="008A70C9" w:rsidP="008A70C9">
      <w:pPr>
        <w:rPr>
          <w:lang w:val="en-GB"/>
        </w:rPr>
      </w:pPr>
      <w:r w:rsidRPr="00380B40">
        <w:rPr>
          <w:i/>
          <w:iCs/>
          <w:lang w:val="en-GB"/>
        </w:rPr>
        <w:t>b)</w:t>
      </w:r>
      <w:r w:rsidRPr="00380B40">
        <w:rPr>
          <w:lang w:val="en-GB"/>
        </w:rPr>
        <w:tab/>
        <w:t>the importance of providing information in all the official languages of the Union on an equal footing on ITU</w:t>
      </w:r>
      <w:r w:rsidRPr="00380B40">
        <w:rPr>
          <w:lang w:val="en-GB"/>
        </w:rPr>
        <w:noBreakHyphen/>
        <w:t>T webpages,</w:t>
      </w:r>
    </w:p>
    <w:p w14:paraId="6A6E78D3" w14:textId="77777777" w:rsidR="008A70C9" w:rsidRPr="00380B40" w:rsidRDefault="008A70C9" w:rsidP="008A70C9">
      <w:pPr>
        <w:rPr>
          <w:lang w:val="en-GB"/>
        </w:rPr>
      </w:pPr>
      <w:r w:rsidRPr="00380B40">
        <w:rPr>
          <w:i/>
          <w:iCs/>
          <w:lang w:val="en-GB"/>
        </w:rPr>
        <w:t>c)</w:t>
      </w:r>
      <w:r w:rsidRPr="00380B40">
        <w:rPr>
          <w:lang w:val="en-GB"/>
        </w:rPr>
        <w:tab/>
        <w:t>that Council Resolution 1386 considers the importance of collaborating with other interested organizations about terms and definitions, symbols and other means of expression, units of measurement, etc., with the objective of standardizing such elements;</w:t>
      </w:r>
    </w:p>
    <w:p w14:paraId="2B1E3090" w14:textId="77777777" w:rsidR="008A70C9" w:rsidRPr="00380B40" w:rsidRDefault="008A70C9" w:rsidP="008A70C9">
      <w:pPr>
        <w:rPr>
          <w:lang w:val="en-GB"/>
        </w:rPr>
      </w:pPr>
      <w:r w:rsidRPr="00380B40">
        <w:rPr>
          <w:i/>
          <w:iCs/>
          <w:lang w:val="en-GB"/>
        </w:rPr>
        <w:t>d)</w:t>
      </w:r>
      <w:r w:rsidRPr="00380B40">
        <w:rPr>
          <w:lang w:val="en-GB"/>
        </w:rPr>
        <w:tab/>
        <w:t>the difficulty of achieving agreement on definitions when more than one ITU study group is involved,</w:t>
      </w:r>
    </w:p>
    <w:p w14:paraId="4039CC18" w14:textId="77777777" w:rsidR="007D7127" w:rsidRPr="00380B40" w:rsidRDefault="007D7127" w:rsidP="008A70C9">
      <w:pPr>
        <w:pStyle w:val="Call"/>
        <w:rPr>
          <w:lang w:val="en-GB"/>
        </w:rPr>
      </w:pPr>
      <w:r w:rsidRPr="00380B40">
        <w:rPr>
          <w:lang w:val="en-GB"/>
        </w:rPr>
        <w:br w:type="page"/>
      </w:r>
    </w:p>
    <w:p w14:paraId="04578F03" w14:textId="77777777" w:rsidR="008A70C9" w:rsidRPr="00380B40" w:rsidRDefault="008A70C9" w:rsidP="008A70C9">
      <w:pPr>
        <w:pStyle w:val="Call"/>
        <w:rPr>
          <w:lang w:val="en-GB"/>
        </w:rPr>
      </w:pPr>
      <w:r w:rsidRPr="00380B40">
        <w:rPr>
          <w:lang w:val="en-GB"/>
        </w:rPr>
        <w:t>noting</w:t>
      </w:r>
    </w:p>
    <w:p w14:paraId="2E1614D9" w14:textId="77777777" w:rsidR="008A70C9" w:rsidRPr="00380B40" w:rsidRDefault="008A70C9" w:rsidP="008A70C9">
      <w:pPr>
        <w:rPr>
          <w:lang w:val="en-GB"/>
        </w:rPr>
      </w:pPr>
      <w:r w:rsidRPr="00380B40">
        <w:rPr>
          <w:i/>
          <w:iCs/>
          <w:lang w:val="en-GB"/>
        </w:rPr>
        <w:t>a)</w:t>
      </w:r>
      <w:r w:rsidRPr="00380B40">
        <w:rPr>
          <w:i/>
          <w:iCs/>
          <w:lang w:val="en-GB"/>
        </w:rPr>
        <w:tab/>
      </w:r>
      <w:r w:rsidRPr="00380B40">
        <w:rPr>
          <w:lang w:val="en-GB"/>
        </w:rPr>
        <w:t>that SCV was established in accordance with Resolution 67 (Johannesburg, 2008) of WTSA, on the initiation of SCV;</w:t>
      </w:r>
    </w:p>
    <w:p w14:paraId="202A897F" w14:textId="77777777" w:rsidR="008A70C9" w:rsidRPr="00380B40" w:rsidRDefault="008A70C9" w:rsidP="008A70C9">
      <w:pPr>
        <w:rPr>
          <w:lang w:val="en-GB"/>
        </w:rPr>
      </w:pPr>
      <w:r w:rsidRPr="00380B40">
        <w:rPr>
          <w:i/>
          <w:iCs/>
          <w:lang w:val="en-GB"/>
        </w:rPr>
        <w:t>b)</w:t>
      </w:r>
      <w:r w:rsidRPr="00380B40">
        <w:rPr>
          <w:lang w:val="en-GB"/>
        </w:rPr>
        <w:tab/>
        <w:t>that SCV is a part of the joint ITU CCT in accordance with Council Resolution 1386,</w:t>
      </w:r>
    </w:p>
    <w:p w14:paraId="1AE99D9D" w14:textId="77777777" w:rsidR="008A70C9" w:rsidRPr="00380B40" w:rsidRDefault="008A70C9" w:rsidP="008A70C9">
      <w:pPr>
        <w:pStyle w:val="Call"/>
        <w:rPr>
          <w:lang w:val="en-GB"/>
        </w:rPr>
      </w:pPr>
      <w:r w:rsidRPr="00380B40">
        <w:rPr>
          <w:lang w:val="en-GB"/>
        </w:rPr>
        <w:t>resolves</w:t>
      </w:r>
    </w:p>
    <w:p w14:paraId="0F5046A9" w14:textId="77777777" w:rsidR="008A70C9" w:rsidRPr="00380B40" w:rsidRDefault="008A70C9" w:rsidP="008A70C9">
      <w:pPr>
        <w:rPr>
          <w:lang w:val="en-GB"/>
        </w:rPr>
      </w:pPr>
      <w:r w:rsidRPr="00380B40">
        <w:rPr>
          <w:lang w:val="en-GB"/>
        </w:rPr>
        <w:t>1</w:t>
      </w:r>
      <w:r w:rsidRPr="00380B40">
        <w:rPr>
          <w:lang w:val="en-GB"/>
        </w:rPr>
        <w:tab/>
        <w:t>that the ITU</w:t>
      </w:r>
      <w:r w:rsidRPr="00380B40">
        <w:rPr>
          <w:lang w:val="en-GB"/>
        </w:rPr>
        <w:noBreakHyphen/>
        <w:t>T study groups, within their terms of reference, should continue their work on technical and operational terms and their definitions in English only;</w:t>
      </w:r>
    </w:p>
    <w:p w14:paraId="15B384D5" w14:textId="77777777" w:rsidR="008A70C9" w:rsidRPr="00380B40" w:rsidRDefault="008A70C9" w:rsidP="008A70C9">
      <w:pPr>
        <w:rPr>
          <w:lang w:val="en-GB"/>
        </w:rPr>
      </w:pPr>
      <w:r w:rsidRPr="00380B40">
        <w:rPr>
          <w:lang w:val="en-GB"/>
        </w:rPr>
        <w:t>2</w:t>
      </w:r>
      <w:r w:rsidRPr="00380B40">
        <w:rPr>
          <w:lang w:val="en-GB"/>
        </w:rPr>
        <w:tab/>
        <w:t>that the work of standardizing vocabulary within ITU</w:t>
      </w:r>
      <w:r w:rsidRPr="00380B40">
        <w:rPr>
          <w:lang w:val="en-GB"/>
        </w:rPr>
        <w:noBreakHyphen/>
        <w:t>T shall be based on the proposals made by the study groups in the English language, with the consideration and adoption of the translation into the other official languages as proposed by the General Secretariat, and that this shall be ensured by ITU CCT, which is composed of experts fluent in the official languages from all ITU Sectors, and persons designated by interested organizations and other participants in the work of ITU, in close collaboration with the General Secretariat and the Telecommunication Standardization Bureau (TSB) editor for the English language;</w:t>
      </w:r>
    </w:p>
    <w:p w14:paraId="22FBA524" w14:textId="77777777" w:rsidR="008A70C9" w:rsidRPr="00380B40" w:rsidRDefault="008A70C9" w:rsidP="008A70C9">
      <w:pPr>
        <w:rPr>
          <w:lang w:val="en-GB"/>
        </w:rPr>
      </w:pPr>
      <w:r w:rsidRPr="00380B40">
        <w:rPr>
          <w:lang w:val="en-GB"/>
        </w:rPr>
        <w:t>3</w:t>
      </w:r>
      <w:r w:rsidRPr="00380B40">
        <w:rPr>
          <w:lang w:val="en-GB"/>
        </w:rPr>
        <w:tab/>
        <w:t>that, when proposing terms and definitions, the ITU</w:t>
      </w:r>
      <w:r w:rsidRPr="00380B40">
        <w:rPr>
          <w:lang w:val="en-GB"/>
        </w:rPr>
        <w:noBreakHyphen/>
        <w:t>T study groups shall use the guidelines given in Annex B to the "Author's guide for drafting ITU</w:t>
      </w:r>
      <w:r w:rsidRPr="00380B40">
        <w:rPr>
          <w:lang w:val="en-GB"/>
        </w:rPr>
        <w:noBreakHyphen/>
        <w:t>T Recommendations";</w:t>
      </w:r>
    </w:p>
    <w:p w14:paraId="2AFB0DAD" w14:textId="77777777" w:rsidR="008A70C9" w:rsidRPr="00380B40" w:rsidRDefault="008A70C9" w:rsidP="008A70C9">
      <w:pPr>
        <w:rPr>
          <w:lang w:val="en-GB"/>
        </w:rPr>
      </w:pPr>
      <w:r w:rsidRPr="00380B40">
        <w:rPr>
          <w:lang w:val="en-GB"/>
        </w:rPr>
        <w:t>4</w:t>
      </w:r>
      <w:r w:rsidRPr="00380B40">
        <w:rPr>
          <w:lang w:val="en-GB"/>
        </w:rPr>
        <w:tab/>
        <w:t>that, where more than one ITU</w:t>
      </w:r>
      <w:r w:rsidRPr="00380B40">
        <w:rPr>
          <w:lang w:val="en-GB"/>
        </w:rPr>
        <w:noBreakHyphen/>
        <w:t>T study group is defining the same terms and/or concept, efforts should be made to select a single term and a single definition which is acceptable to all of the ITU</w:t>
      </w:r>
      <w:r w:rsidRPr="00380B40">
        <w:rPr>
          <w:lang w:val="en-GB"/>
        </w:rPr>
        <w:noBreakHyphen/>
        <w:t>T study groups concerned;</w:t>
      </w:r>
    </w:p>
    <w:p w14:paraId="7C487724" w14:textId="77777777" w:rsidR="008A70C9" w:rsidRPr="00380B40" w:rsidRDefault="008A70C9" w:rsidP="008A70C9">
      <w:pPr>
        <w:rPr>
          <w:lang w:val="en-GB"/>
        </w:rPr>
      </w:pPr>
      <w:r w:rsidRPr="00380B40">
        <w:rPr>
          <w:lang w:val="en-GB"/>
        </w:rPr>
        <w:t>5</w:t>
      </w:r>
      <w:r w:rsidRPr="00380B40">
        <w:rPr>
          <w:lang w:val="en-GB"/>
        </w:rPr>
        <w:tab/>
        <w:t>that, when selecting terms and preparing definitions, the ITU</w:t>
      </w:r>
      <w:r w:rsidRPr="00380B40">
        <w:rPr>
          <w:lang w:val="en-GB"/>
        </w:rPr>
        <w:noBreakHyphen/>
        <w:t>T study groups shall take into account the established use of terms and existing definitions in ITU, in particular those appearing in the online ITU Terms and Definitions database;</w:t>
      </w:r>
    </w:p>
    <w:p w14:paraId="030FA35B" w14:textId="77777777" w:rsidR="008A70C9" w:rsidRPr="00380B40" w:rsidRDefault="008A70C9" w:rsidP="008A70C9">
      <w:pPr>
        <w:rPr>
          <w:lang w:val="en-GB"/>
        </w:rPr>
      </w:pPr>
      <w:r w:rsidRPr="00380B40">
        <w:rPr>
          <w:lang w:val="en-GB"/>
        </w:rPr>
        <w:t>6</w:t>
      </w:r>
      <w:r w:rsidRPr="00380B40">
        <w:rPr>
          <w:lang w:val="en-GB"/>
        </w:rPr>
        <w:tab/>
        <w:t>that TSB should collect all new terms and definitions which are proposed by the ITU study groups in consultation with ITU CCT, enter them in the online ITU Terms and Definitions database, and provide a search mechanism based on time ranges;</w:t>
      </w:r>
    </w:p>
    <w:p w14:paraId="09FA9688" w14:textId="77777777" w:rsidR="008A70C9" w:rsidRPr="00380B40" w:rsidRDefault="008A70C9" w:rsidP="008A70C9">
      <w:pPr>
        <w:rPr>
          <w:lang w:val="en-GB"/>
        </w:rPr>
      </w:pPr>
      <w:r w:rsidRPr="00380B40">
        <w:rPr>
          <w:iCs/>
          <w:lang w:val="en-GB"/>
        </w:rPr>
        <w:t>7</w:t>
      </w:r>
      <w:r w:rsidRPr="00380B40">
        <w:rPr>
          <w:lang w:val="en-GB"/>
        </w:rPr>
        <w:tab/>
        <w:t>that the chairman and six vice-chairmen of SCV, each representing one of the official languages, should be nominated by WTSA;</w:t>
      </w:r>
    </w:p>
    <w:p w14:paraId="6D6D82EC" w14:textId="77777777" w:rsidR="008A70C9" w:rsidRPr="00380B40" w:rsidRDefault="008A70C9" w:rsidP="008A70C9">
      <w:pPr>
        <w:rPr>
          <w:lang w:val="en-GB"/>
        </w:rPr>
      </w:pPr>
      <w:r w:rsidRPr="00380B40">
        <w:rPr>
          <w:lang w:val="en-GB"/>
        </w:rPr>
        <w:t>8</w:t>
      </w:r>
      <w:r w:rsidRPr="00380B40">
        <w:rPr>
          <w:lang w:val="en-GB"/>
        </w:rPr>
        <w:tab/>
        <w:t>that the terms of reference of SCV are given in the annex to this resolution,</w:t>
      </w:r>
    </w:p>
    <w:p w14:paraId="1D448C51" w14:textId="77777777" w:rsidR="008A70C9" w:rsidRPr="00380B40" w:rsidRDefault="008A70C9" w:rsidP="008A70C9">
      <w:pPr>
        <w:pStyle w:val="Call"/>
        <w:rPr>
          <w:lang w:val="en-GB"/>
        </w:rPr>
      </w:pPr>
      <w:r w:rsidRPr="00380B40">
        <w:rPr>
          <w:lang w:val="en-GB"/>
        </w:rPr>
        <w:t>instructs the Director of the Telecommunication Standardization Bureau</w:t>
      </w:r>
    </w:p>
    <w:p w14:paraId="69C7BC0A" w14:textId="77777777" w:rsidR="008A70C9" w:rsidRPr="00380B40" w:rsidRDefault="008A70C9" w:rsidP="008A70C9">
      <w:pPr>
        <w:rPr>
          <w:lang w:val="en-GB"/>
        </w:rPr>
      </w:pPr>
      <w:r w:rsidRPr="00380B40">
        <w:rPr>
          <w:lang w:val="en-GB"/>
        </w:rPr>
        <w:t>1</w:t>
      </w:r>
      <w:r w:rsidRPr="00380B40">
        <w:rPr>
          <w:lang w:val="en-GB"/>
        </w:rPr>
        <w:tab/>
        <w:t>to continue to translate all Recommendations approved under the traditional approval process (TAP) in all the official languages of the Union;</w:t>
      </w:r>
    </w:p>
    <w:p w14:paraId="2E85C9D0" w14:textId="77777777" w:rsidR="008A70C9" w:rsidRPr="00380B40" w:rsidRDefault="008A70C9" w:rsidP="008A70C9">
      <w:pPr>
        <w:rPr>
          <w:lang w:val="en-GB"/>
        </w:rPr>
      </w:pPr>
      <w:r w:rsidRPr="00380B40">
        <w:rPr>
          <w:lang w:val="en-GB"/>
        </w:rPr>
        <w:t>2</w:t>
      </w:r>
      <w:r w:rsidRPr="00380B40">
        <w:rPr>
          <w:lang w:val="en-GB"/>
        </w:rPr>
        <w:tab/>
        <w:t>to translate all reports of the Telecommunication Standardization Advisory Group (TSAG), and the reports of study group plenary meetings, in all the official languages of the Union;</w:t>
      </w:r>
    </w:p>
    <w:p w14:paraId="5D9C05E8" w14:textId="77777777" w:rsidR="007F1508" w:rsidRPr="00380B40" w:rsidRDefault="007F1508" w:rsidP="008A70C9">
      <w:pPr>
        <w:rPr>
          <w:lang w:val="en-GB"/>
        </w:rPr>
      </w:pPr>
      <w:r w:rsidRPr="00380B40">
        <w:rPr>
          <w:lang w:val="en-GB"/>
        </w:rPr>
        <w:br w:type="page"/>
      </w:r>
    </w:p>
    <w:p w14:paraId="459B6AD9" w14:textId="77777777" w:rsidR="008A70C9" w:rsidRPr="00380B40" w:rsidRDefault="008A70C9" w:rsidP="008A70C9">
      <w:pPr>
        <w:rPr>
          <w:lang w:val="en-GB"/>
        </w:rPr>
      </w:pPr>
      <w:r w:rsidRPr="00380B40">
        <w:rPr>
          <w:lang w:val="en-GB"/>
        </w:rPr>
        <w:t>3</w:t>
      </w:r>
      <w:r w:rsidRPr="00380B40">
        <w:rPr>
          <w:lang w:val="en-GB"/>
        </w:rPr>
        <w:tab/>
        <w:t>to translate all ITU-T A-series Recommendations (ITU-T working methods) in all the official languages of the Union;</w:t>
      </w:r>
    </w:p>
    <w:p w14:paraId="765EF14D" w14:textId="77777777" w:rsidR="008A70C9" w:rsidRPr="00380B40" w:rsidRDefault="008A70C9" w:rsidP="008A70C9">
      <w:pPr>
        <w:rPr>
          <w:lang w:val="en-GB"/>
        </w:rPr>
      </w:pPr>
      <w:r w:rsidRPr="00380B40">
        <w:rPr>
          <w:lang w:val="en-GB"/>
        </w:rPr>
        <w:t>4</w:t>
      </w:r>
      <w:r w:rsidRPr="00380B40">
        <w:rPr>
          <w:lang w:val="en-GB"/>
        </w:rPr>
        <w:tab/>
        <w:t>to translate all ITU-T guidelines on intellectual property rights;</w:t>
      </w:r>
    </w:p>
    <w:p w14:paraId="335C1B72" w14:textId="77777777" w:rsidR="008A70C9" w:rsidRPr="00380B40" w:rsidRDefault="008A70C9" w:rsidP="008A70C9">
      <w:pPr>
        <w:rPr>
          <w:lang w:val="en-GB"/>
        </w:rPr>
      </w:pPr>
      <w:r w:rsidRPr="00380B40">
        <w:rPr>
          <w:lang w:val="en-GB"/>
        </w:rPr>
        <w:t>5</w:t>
      </w:r>
      <w:r w:rsidRPr="00380B40">
        <w:rPr>
          <w:lang w:val="en-GB"/>
        </w:rPr>
        <w:tab/>
        <w:t>to translate documents relating to the mandates and working methods of the Director of TSB's ad-hoc groups;</w:t>
      </w:r>
    </w:p>
    <w:p w14:paraId="6F95C3A5" w14:textId="77777777" w:rsidR="008A70C9" w:rsidRPr="00380B40" w:rsidRDefault="008A70C9" w:rsidP="008A70C9">
      <w:pPr>
        <w:rPr>
          <w:lang w:val="en-GB"/>
        </w:rPr>
      </w:pPr>
      <w:r w:rsidRPr="00380B40">
        <w:rPr>
          <w:lang w:val="en-GB"/>
        </w:rPr>
        <w:t>6</w:t>
      </w:r>
      <w:r w:rsidRPr="00380B40">
        <w:rPr>
          <w:lang w:val="en-GB"/>
        </w:rPr>
        <w:tab/>
        <w:t>to include in the circular that announces the approval of a Recommendation an indication of whether it will be translated;</w:t>
      </w:r>
    </w:p>
    <w:p w14:paraId="5F7F8BF9" w14:textId="77777777" w:rsidR="008A70C9" w:rsidRPr="00380B40" w:rsidRDefault="008A70C9" w:rsidP="008A70C9">
      <w:pPr>
        <w:rPr>
          <w:lang w:val="en-GB"/>
        </w:rPr>
      </w:pPr>
      <w:r w:rsidRPr="00380B40">
        <w:rPr>
          <w:lang w:val="en-GB"/>
        </w:rPr>
        <w:t>7</w:t>
      </w:r>
      <w:r w:rsidRPr="00380B40">
        <w:rPr>
          <w:lang w:val="en-GB"/>
        </w:rPr>
        <w:tab/>
        <w:t>to continue the practice of translating ITU</w:t>
      </w:r>
      <w:r w:rsidRPr="00380B40">
        <w:rPr>
          <w:lang w:val="en-GB"/>
        </w:rPr>
        <w:noBreakHyphen/>
        <w:t>T Recommendations approved under the alternative approval process (AAP), up to 2 000 pages, within the financial resources of the Union;</w:t>
      </w:r>
    </w:p>
    <w:p w14:paraId="3B29B330" w14:textId="77777777" w:rsidR="008A70C9" w:rsidRPr="00380B40" w:rsidRDefault="008A70C9" w:rsidP="008A70C9">
      <w:pPr>
        <w:rPr>
          <w:lang w:val="en-GB"/>
        </w:rPr>
      </w:pPr>
      <w:r w:rsidRPr="00380B40">
        <w:rPr>
          <w:lang w:val="en-GB"/>
        </w:rPr>
        <w:t>8</w:t>
      </w:r>
      <w:r w:rsidRPr="00380B40">
        <w:rPr>
          <w:lang w:val="en-GB"/>
        </w:rPr>
        <w:tab/>
        <w:t>to monitor the quality of translation and associated expenses;</w:t>
      </w:r>
    </w:p>
    <w:p w14:paraId="49CC0936" w14:textId="77777777" w:rsidR="008A70C9" w:rsidRPr="00380B40" w:rsidRDefault="008A70C9" w:rsidP="008A70C9">
      <w:pPr>
        <w:rPr>
          <w:lang w:val="en-GB"/>
        </w:rPr>
      </w:pPr>
      <w:r w:rsidRPr="00380B40">
        <w:rPr>
          <w:lang w:val="en-GB"/>
        </w:rPr>
        <w:t>9</w:t>
      </w:r>
      <w:r w:rsidRPr="00380B40">
        <w:rPr>
          <w:lang w:val="en-GB"/>
        </w:rPr>
        <w:tab/>
        <w:t>to bring this resolution to the attention of the Directors of the Radiocommunication Bureau and the Telecommunication Development Bureau;</w:t>
      </w:r>
    </w:p>
    <w:p w14:paraId="338A2F1D" w14:textId="77777777" w:rsidR="008A70C9" w:rsidRPr="00380B40" w:rsidRDefault="008A70C9" w:rsidP="008A70C9">
      <w:pPr>
        <w:rPr>
          <w:lang w:val="en-GB"/>
        </w:rPr>
      </w:pPr>
      <w:r w:rsidRPr="00380B40">
        <w:rPr>
          <w:lang w:val="en-GB"/>
        </w:rPr>
        <w:t>10</w:t>
      </w:r>
      <w:r w:rsidRPr="00380B40">
        <w:rPr>
          <w:lang w:val="en-GB"/>
        </w:rPr>
        <w:tab/>
        <w:t>to continue to explore all possible options for the provision of interpretation and the translation of available ITU documentation, in order to promote the use of the official languages of the Union on an equal footing during official meetings of ITU-T, in particular during study group meetings,</w:t>
      </w:r>
    </w:p>
    <w:p w14:paraId="573E44D9" w14:textId="77777777" w:rsidR="008A70C9" w:rsidRPr="00380B40" w:rsidRDefault="008A70C9" w:rsidP="008A70C9">
      <w:pPr>
        <w:pStyle w:val="Call"/>
        <w:rPr>
          <w:lang w:val="en-GB"/>
        </w:rPr>
      </w:pPr>
      <w:r w:rsidRPr="00380B40">
        <w:rPr>
          <w:lang w:val="en-GB"/>
        </w:rPr>
        <w:t>invites Member States</w:t>
      </w:r>
    </w:p>
    <w:p w14:paraId="0AE42675" w14:textId="77777777" w:rsidR="008A70C9" w:rsidRPr="00380B40" w:rsidRDefault="008A70C9" w:rsidP="008A70C9">
      <w:pPr>
        <w:rPr>
          <w:lang w:val="en-GB"/>
        </w:rPr>
      </w:pPr>
      <w:r w:rsidRPr="00380B40">
        <w:rPr>
          <w:lang w:val="en-GB"/>
        </w:rPr>
        <w:t xml:space="preserve">to cooperate with ITU in the refinement of the </w:t>
      </w:r>
      <w:r w:rsidRPr="00380B40">
        <w:rPr>
          <w:rFonts w:eastAsia="SimSun"/>
          <w:lang w:val="en-GB"/>
        </w:rPr>
        <w:t>official language translation of terms and definitions at the request of ITU CCT,</w:t>
      </w:r>
    </w:p>
    <w:p w14:paraId="6DA40003" w14:textId="77777777" w:rsidR="008A70C9" w:rsidRPr="00380B40" w:rsidRDefault="008A70C9" w:rsidP="008A70C9">
      <w:pPr>
        <w:pStyle w:val="Call"/>
        <w:rPr>
          <w:lang w:val="en-GB"/>
        </w:rPr>
      </w:pPr>
      <w:r w:rsidRPr="00380B40">
        <w:rPr>
          <w:lang w:val="en-GB"/>
        </w:rPr>
        <w:t>instructs the Telecommunication Standardization Advisory Group</w:t>
      </w:r>
    </w:p>
    <w:p w14:paraId="47A1650E" w14:textId="77777777" w:rsidR="008A70C9" w:rsidRPr="00380B40" w:rsidRDefault="008A70C9" w:rsidP="008A70C9">
      <w:pPr>
        <w:rPr>
          <w:i/>
          <w:lang w:val="en-GB"/>
        </w:rPr>
      </w:pPr>
      <w:r w:rsidRPr="00380B40">
        <w:rPr>
          <w:lang w:val="en-GB"/>
        </w:rPr>
        <w:t>1</w:t>
      </w:r>
      <w:r w:rsidRPr="00380B40">
        <w:rPr>
          <w:lang w:val="en-GB"/>
        </w:rPr>
        <w:tab/>
        <w:t>to consider the best mechanism for deciding which Recommendations approved under AAP shall be translated, in light of the relevant Council d</w:t>
      </w:r>
      <w:r w:rsidRPr="00380B40">
        <w:rPr>
          <w:color w:val="000000"/>
          <w:lang w:val="en-GB"/>
        </w:rPr>
        <w:t>ecisions</w:t>
      </w:r>
      <w:r w:rsidRPr="00380B40">
        <w:rPr>
          <w:lang w:val="en-GB"/>
        </w:rPr>
        <w:t>;</w:t>
      </w:r>
    </w:p>
    <w:p w14:paraId="15AEAE91" w14:textId="77777777" w:rsidR="008A70C9" w:rsidRPr="00380B40" w:rsidRDefault="008A70C9" w:rsidP="008A70C9">
      <w:pPr>
        <w:rPr>
          <w:szCs w:val="24"/>
          <w:lang w:val="en-GB"/>
        </w:rPr>
      </w:pPr>
      <w:r w:rsidRPr="00380B40">
        <w:rPr>
          <w:szCs w:val="24"/>
          <w:lang w:val="en-GB"/>
        </w:rPr>
        <w:t>2</w:t>
      </w:r>
      <w:r w:rsidRPr="00380B40">
        <w:rPr>
          <w:szCs w:val="24"/>
          <w:lang w:val="en-GB"/>
        </w:rPr>
        <w:tab/>
        <w:t>to continue consideration of use of all the official languages of the Union on an equal footing in ITU publications and sites.</w:t>
      </w:r>
    </w:p>
    <w:p w14:paraId="696BBA67" w14:textId="77777777" w:rsidR="007D7127" w:rsidRPr="00380B40" w:rsidRDefault="007D7127" w:rsidP="008A70C9">
      <w:pPr>
        <w:rPr>
          <w:szCs w:val="24"/>
          <w:lang w:val="en-GB"/>
        </w:rPr>
      </w:pPr>
    </w:p>
    <w:p w14:paraId="64DAF76E" w14:textId="77777777" w:rsidR="007D7127" w:rsidRPr="00380B40" w:rsidRDefault="007D7127" w:rsidP="008A70C9">
      <w:pPr>
        <w:rPr>
          <w:szCs w:val="24"/>
          <w:lang w:val="en-GB"/>
        </w:rPr>
      </w:pPr>
    </w:p>
    <w:p w14:paraId="3F531406" w14:textId="77777777" w:rsidR="007D7127" w:rsidRPr="00380B40" w:rsidRDefault="007D7127" w:rsidP="008A70C9">
      <w:pPr>
        <w:rPr>
          <w:szCs w:val="24"/>
          <w:lang w:val="en-GB"/>
        </w:rPr>
      </w:pPr>
    </w:p>
    <w:p w14:paraId="7133F495" w14:textId="77777777" w:rsidR="007D7127" w:rsidRPr="00380B40" w:rsidRDefault="007D7127" w:rsidP="008A70C9">
      <w:pPr>
        <w:rPr>
          <w:szCs w:val="24"/>
          <w:lang w:val="en-GB"/>
        </w:rPr>
      </w:pPr>
    </w:p>
    <w:p w14:paraId="713AE020" w14:textId="77777777" w:rsidR="007D7127" w:rsidRPr="00380B40" w:rsidRDefault="007D7127" w:rsidP="008A70C9">
      <w:pPr>
        <w:rPr>
          <w:szCs w:val="24"/>
          <w:lang w:val="en-GB"/>
        </w:rPr>
      </w:pPr>
    </w:p>
    <w:p w14:paraId="7AB53052" w14:textId="77777777" w:rsidR="007D7127" w:rsidRPr="00380B40" w:rsidRDefault="007D7127" w:rsidP="008A70C9">
      <w:pPr>
        <w:rPr>
          <w:szCs w:val="24"/>
          <w:lang w:val="en-GB"/>
        </w:rPr>
      </w:pPr>
      <w:r w:rsidRPr="00380B40">
        <w:rPr>
          <w:szCs w:val="24"/>
          <w:lang w:val="en-GB"/>
        </w:rPr>
        <w:br w:type="page"/>
      </w:r>
    </w:p>
    <w:p w14:paraId="140BAE01" w14:textId="77777777" w:rsidR="008A70C9" w:rsidRPr="00380B40" w:rsidRDefault="008A70C9" w:rsidP="008A70C9">
      <w:pPr>
        <w:pStyle w:val="AnnexNo"/>
      </w:pPr>
      <w:bookmarkStart w:id="286" w:name="_Toc111636787"/>
      <w:r w:rsidRPr="00380B40">
        <w:t>Annex</w:t>
      </w:r>
      <w:r w:rsidRPr="00380B40">
        <w:br/>
      </w:r>
      <w:r w:rsidRPr="00380B40">
        <w:rPr>
          <w:caps w:val="0"/>
        </w:rPr>
        <w:t>(to Resolution 67 (Rev. Geneva, 2022))</w:t>
      </w:r>
      <w:bookmarkEnd w:id="286"/>
    </w:p>
    <w:p w14:paraId="1F1F2BB7" w14:textId="77777777" w:rsidR="008A70C9" w:rsidRPr="00380B40" w:rsidRDefault="008A70C9" w:rsidP="00BD2768">
      <w:pPr>
        <w:pStyle w:val="Annextitle"/>
      </w:pPr>
      <w:r w:rsidRPr="00380B40">
        <w:t>Terms of reference for the Standardization Committee for Vocabulary</w:t>
      </w:r>
    </w:p>
    <w:p w14:paraId="09DCCCAC" w14:textId="77777777" w:rsidR="008A70C9" w:rsidRPr="00380B40" w:rsidRDefault="008A70C9" w:rsidP="008A70C9">
      <w:pPr>
        <w:pStyle w:val="Normalaftertitle0"/>
        <w:rPr>
          <w:rFonts w:eastAsiaTheme="minorHAnsi"/>
          <w:szCs w:val="24"/>
        </w:rPr>
      </w:pPr>
      <w:r w:rsidRPr="00380B40">
        <w:rPr>
          <w:szCs w:val="24"/>
        </w:rPr>
        <w:t>1</w:t>
      </w:r>
      <w:r w:rsidRPr="00380B40">
        <w:rPr>
          <w:szCs w:val="24"/>
        </w:rPr>
        <w:tab/>
      </w:r>
      <w:r w:rsidRPr="00380B40">
        <w:rPr>
          <w:rFonts w:eastAsiaTheme="minorHAnsi"/>
          <w:szCs w:val="24"/>
        </w:rPr>
        <w:t>To represent the interests of ITU-T in the ITU Coordination Committee for Terminology (ITU CCT).</w:t>
      </w:r>
    </w:p>
    <w:p w14:paraId="76A49702" w14:textId="77777777" w:rsidR="008A70C9" w:rsidRPr="00380B40" w:rsidRDefault="008A70C9" w:rsidP="008A70C9">
      <w:pPr>
        <w:rPr>
          <w:lang w:val="en-GB"/>
        </w:rPr>
      </w:pPr>
      <w:r w:rsidRPr="00380B40">
        <w:rPr>
          <w:lang w:val="en-GB"/>
        </w:rPr>
        <w:t>2</w:t>
      </w:r>
      <w:r w:rsidRPr="00380B40">
        <w:rPr>
          <w:lang w:val="en-GB"/>
        </w:rPr>
        <w:tab/>
        <w:t>To provide, through ITU CCT, consultation on terms and definitions for vocabulary work for ITU</w:t>
      </w:r>
      <w:r w:rsidRPr="00380B40">
        <w:rPr>
          <w:lang w:val="en-GB"/>
        </w:rPr>
        <w:noBreakHyphen/>
        <w:t>T in the official languages, in close collaboration with the General Secretariat (Conferences and Publications Department), the TSB editor for the English language as well as the relevant study group rapporteurs for vocabulary, and to seek harmonization among all ITU</w:t>
      </w:r>
      <w:r w:rsidRPr="00380B40">
        <w:rPr>
          <w:lang w:val="en-GB"/>
        </w:rPr>
        <w:noBreakHyphen/>
        <w:t>T study groups concerned regarding terms and definitions.</w:t>
      </w:r>
    </w:p>
    <w:p w14:paraId="23420E3B" w14:textId="77777777" w:rsidR="008A70C9" w:rsidRPr="00380B40" w:rsidRDefault="008A70C9" w:rsidP="008A70C9">
      <w:pPr>
        <w:rPr>
          <w:lang w:val="en-GB"/>
        </w:rPr>
      </w:pPr>
      <w:r w:rsidRPr="00380B40">
        <w:rPr>
          <w:lang w:val="en-GB"/>
        </w:rPr>
        <w:t>3</w:t>
      </w:r>
      <w:r w:rsidRPr="00380B40">
        <w:rPr>
          <w:lang w:val="en-GB"/>
        </w:rPr>
        <w:tab/>
        <w:t>To liaise, through ITU CCT, with other organizations dealing with vocabulary work in the telecommunication field, for example the International Organization for Standardization (ISO) and the International Electrotechnical Commission (IEC) as well as the ISO/IEC Joint Technical Committee for information technology (ISO/IEC JTC 1), in order to eliminate duplication of terms and definitions.</w:t>
      </w:r>
    </w:p>
    <w:p w14:paraId="3828B37E" w14:textId="77777777" w:rsidR="008A70C9" w:rsidRPr="00380B40" w:rsidRDefault="008A70C9" w:rsidP="008A70C9">
      <w:pPr>
        <w:rPr>
          <w:szCs w:val="24"/>
          <w:lang w:val="en-GB"/>
        </w:rPr>
      </w:pPr>
      <w:r w:rsidRPr="00380B40">
        <w:rPr>
          <w:szCs w:val="24"/>
          <w:lang w:val="en-GB"/>
        </w:rPr>
        <w:t>4</w:t>
      </w:r>
      <w:r w:rsidRPr="00380B40">
        <w:rPr>
          <w:szCs w:val="24"/>
          <w:lang w:val="en-GB"/>
        </w:rPr>
        <w:tab/>
        <w:t>To inform TSAG at least once per year of its activities and to report its results to the next WTSA.</w:t>
      </w:r>
    </w:p>
    <w:p w14:paraId="0C7ABC3F" w14:textId="77777777" w:rsidR="007D7127" w:rsidRPr="00380B40" w:rsidRDefault="007D7127" w:rsidP="008A70C9">
      <w:pPr>
        <w:rPr>
          <w:szCs w:val="24"/>
          <w:lang w:val="en-GB"/>
        </w:rPr>
      </w:pPr>
    </w:p>
    <w:p w14:paraId="5B947DB3" w14:textId="77777777" w:rsidR="007D7127" w:rsidRPr="00380B40" w:rsidRDefault="007D7127" w:rsidP="008A70C9">
      <w:pPr>
        <w:rPr>
          <w:szCs w:val="24"/>
          <w:lang w:val="en-GB"/>
        </w:rPr>
      </w:pPr>
    </w:p>
    <w:p w14:paraId="6AA71A6F" w14:textId="77777777" w:rsidR="007D7127" w:rsidRPr="00380B40" w:rsidRDefault="007D7127" w:rsidP="008A70C9">
      <w:pPr>
        <w:rPr>
          <w:szCs w:val="24"/>
          <w:lang w:val="en-GB"/>
        </w:rPr>
      </w:pPr>
    </w:p>
    <w:p w14:paraId="27AE0F6F" w14:textId="77777777" w:rsidR="007D7127" w:rsidRPr="00380B40" w:rsidRDefault="007D7127" w:rsidP="008A70C9">
      <w:pPr>
        <w:rPr>
          <w:szCs w:val="24"/>
          <w:lang w:val="en-GB"/>
        </w:rPr>
      </w:pPr>
    </w:p>
    <w:p w14:paraId="5B92D982" w14:textId="77777777" w:rsidR="007D7127" w:rsidRPr="00380B40" w:rsidRDefault="007D7127" w:rsidP="008A70C9">
      <w:pPr>
        <w:rPr>
          <w:szCs w:val="24"/>
          <w:lang w:val="en-GB"/>
        </w:rPr>
      </w:pPr>
    </w:p>
    <w:p w14:paraId="2BAF354E" w14:textId="77777777" w:rsidR="007D7127" w:rsidRPr="00380B40" w:rsidRDefault="007D7127" w:rsidP="008A70C9">
      <w:pPr>
        <w:rPr>
          <w:szCs w:val="24"/>
          <w:lang w:val="en-GB"/>
        </w:rPr>
      </w:pPr>
    </w:p>
    <w:p w14:paraId="7B9CCC72" w14:textId="77777777" w:rsidR="007D7127" w:rsidRPr="00380B40" w:rsidRDefault="007D7127" w:rsidP="008A70C9">
      <w:pPr>
        <w:rPr>
          <w:szCs w:val="24"/>
          <w:lang w:val="en-GB"/>
        </w:rPr>
      </w:pPr>
    </w:p>
    <w:p w14:paraId="495C2CD2" w14:textId="77777777" w:rsidR="007D7127" w:rsidRPr="00380B40" w:rsidRDefault="007D7127" w:rsidP="008A70C9">
      <w:pPr>
        <w:rPr>
          <w:szCs w:val="24"/>
          <w:lang w:val="en-GB"/>
        </w:rPr>
      </w:pPr>
    </w:p>
    <w:p w14:paraId="7030546B" w14:textId="77777777" w:rsidR="007D7127" w:rsidRPr="00380B40" w:rsidRDefault="007D7127" w:rsidP="008A70C9">
      <w:pPr>
        <w:rPr>
          <w:szCs w:val="24"/>
          <w:lang w:val="en-GB"/>
        </w:rPr>
      </w:pPr>
    </w:p>
    <w:p w14:paraId="09238ECD" w14:textId="77777777" w:rsidR="007D7127" w:rsidRPr="00380B40" w:rsidRDefault="007D7127" w:rsidP="008A70C9">
      <w:pPr>
        <w:rPr>
          <w:szCs w:val="24"/>
          <w:lang w:val="en-GB"/>
        </w:rPr>
      </w:pPr>
    </w:p>
    <w:p w14:paraId="342A00C0" w14:textId="77777777" w:rsidR="007D7127" w:rsidRPr="00380B40" w:rsidRDefault="007D7127" w:rsidP="008A70C9">
      <w:pPr>
        <w:rPr>
          <w:szCs w:val="24"/>
          <w:lang w:val="en-GB"/>
        </w:rPr>
      </w:pPr>
    </w:p>
    <w:p w14:paraId="4A6B9B05" w14:textId="77777777" w:rsidR="007D7127" w:rsidRPr="00380B40" w:rsidRDefault="007D7127" w:rsidP="008A70C9">
      <w:pPr>
        <w:rPr>
          <w:szCs w:val="24"/>
          <w:lang w:val="en-GB"/>
        </w:rPr>
      </w:pPr>
    </w:p>
    <w:p w14:paraId="1D26DD6B" w14:textId="77777777" w:rsidR="007D7127" w:rsidRPr="00380B40" w:rsidRDefault="007D7127" w:rsidP="008A70C9">
      <w:pPr>
        <w:rPr>
          <w:szCs w:val="24"/>
          <w:lang w:val="en-GB"/>
        </w:rPr>
      </w:pPr>
    </w:p>
    <w:p w14:paraId="77091A19" w14:textId="77777777" w:rsidR="00B97E2C" w:rsidRPr="00380B40" w:rsidRDefault="00B97E2C" w:rsidP="00B97E2C">
      <w:pPr>
        <w:rPr>
          <w:lang w:val="en-GB"/>
        </w:rPr>
      </w:pPr>
    </w:p>
    <w:p w14:paraId="333B352F" w14:textId="77777777" w:rsidR="00B97E2C" w:rsidRPr="00380B40" w:rsidRDefault="00B97E2C" w:rsidP="00B97E2C">
      <w:pPr>
        <w:rPr>
          <w:lang w:val="en-GB"/>
        </w:rPr>
        <w:sectPr w:rsidR="00B97E2C" w:rsidRPr="00380B40" w:rsidSect="007928CF">
          <w:headerReference w:type="even" r:id="rId183"/>
          <w:headerReference w:type="default" r:id="rId184"/>
          <w:footerReference w:type="even" r:id="rId185"/>
          <w:footerReference w:type="default" r:id="rId186"/>
          <w:headerReference w:type="first" r:id="rId187"/>
          <w:footerReference w:type="first" r:id="rId188"/>
          <w:footnotePr>
            <w:numRestart w:val="eachSect"/>
          </w:footnotePr>
          <w:pgSz w:w="11907" w:h="16834" w:code="9"/>
          <w:pgMar w:top="1134" w:right="1134" w:bottom="1134" w:left="1134" w:header="567" w:footer="567" w:gutter="0"/>
          <w:paperSrc w:first="15" w:other="15"/>
          <w:cols w:space="720"/>
          <w:vAlign w:val="both"/>
          <w:docGrid w:linePitch="299"/>
        </w:sectPr>
      </w:pPr>
    </w:p>
    <w:p w14:paraId="0174088C" w14:textId="77777777" w:rsidR="009C62A3" w:rsidRPr="00380B40" w:rsidRDefault="009C62A3" w:rsidP="009C62A3">
      <w:pPr>
        <w:pStyle w:val="ResNo"/>
        <w:rPr>
          <w:lang w:val="en-GB"/>
        </w:rPr>
      </w:pPr>
      <w:bookmarkStart w:id="287" w:name="_Toc104459749"/>
      <w:bookmarkStart w:id="288" w:name="_Toc104476557"/>
      <w:bookmarkStart w:id="289" w:name="_Toc111636788"/>
      <w:bookmarkStart w:id="290" w:name="_Toc111638450"/>
      <w:r w:rsidRPr="00380B40">
        <w:rPr>
          <w:lang w:val="en-GB"/>
        </w:rPr>
        <w:t xml:space="preserve">RESOLUTION </w:t>
      </w:r>
      <w:r w:rsidRPr="00380B40">
        <w:rPr>
          <w:rStyle w:val="href"/>
          <w:lang w:val="en-GB"/>
        </w:rPr>
        <w:t>68</w:t>
      </w:r>
      <w:r w:rsidRPr="00380B40">
        <w:rPr>
          <w:lang w:val="en-GB"/>
        </w:rPr>
        <w:t xml:space="preserve"> (</w:t>
      </w:r>
      <w:r w:rsidRPr="00380B40">
        <w:rPr>
          <w:caps w:val="0"/>
          <w:lang w:val="en-GB"/>
        </w:rPr>
        <w:t>Rev</w:t>
      </w:r>
      <w:r w:rsidRPr="00380B40">
        <w:rPr>
          <w:lang w:val="en-GB"/>
        </w:rPr>
        <w:t>. </w:t>
      </w:r>
      <w:r w:rsidRPr="00380B40">
        <w:rPr>
          <w:caps w:val="0"/>
          <w:lang w:val="en-GB"/>
        </w:rPr>
        <w:t>Hammamet</w:t>
      </w:r>
      <w:r w:rsidRPr="00380B40">
        <w:rPr>
          <w:lang w:val="en-GB"/>
        </w:rPr>
        <w:t>, 2016)</w:t>
      </w:r>
      <w:bookmarkEnd w:id="287"/>
      <w:bookmarkEnd w:id="288"/>
      <w:bookmarkEnd w:id="289"/>
      <w:bookmarkEnd w:id="290"/>
    </w:p>
    <w:p w14:paraId="5B788660" w14:textId="77777777" w:rsidR="009C62A3" w:rsidRPr="00380B40" w:rsidRDefault="009C62A3" w:rsidP="009C62A3">
      <w:pPr>
        <w:pStyle w:val="Restitle"/>
        <w:rPr>
          <w:lang w:val="en-GB"/>
        </w:rPr>
      </w:pPr>
      <w:bookmarkStart w:id="291" w:name="_Toc104459750"/>
      <w:bookmarkStart w:id="292" w:name="_Toc104476558"/>
      <w:bookmarkStart w:id="293" w:name="_Toc111638451"/>
      <w:r w:rsidRPr="00380B40">
        <w:rPr>
          <w:lang w:val="en-GB"/>
        </w:rPr>
        <w:t xml:space="preserve">Evolving role of industry in the ITU Telecommunication </w:t>
      </w:r>
      <w:r w:rsidRPr="00380B40">
        <w:rPr>
          <w:lang w:val="en-GB"/>
        </w:rPr>
        <w:br/>
        <w:t>Standardization Sector</w:t>
      </w:r>
      <w:bookmarkEnd w:id="291"/>
      <w:bookmarkEnd w:id="292"/>
      <w:bookmarkEnd w:id="293"/>
    </w:p>
    <w:p w14:paraId="39C7EE76" w14:textId="77777777" w:rsidR="009C62A3" w:rsidRPr="00380B40" w:rsidRDefault="009C62A3" w:rsidP="009C62A3">
      <w:pPr>
        <w:pStyle w:val="Resref"/>
        <w:rPr>
          <w:lang w:val="en-GB"/>
        </w:rPr>
      </w:pPr>
      <w:r w:rsidRPr="00380B40">
        <w:rPr>
          <w:lang w:val="en-GB"/>
        </w:rPr>
        <w:t>(Johannesburg, 2008; Dubai, 2012; Hammamet, 2016)</w:t>
      </w:r>
    </w:p>
    <w:p w14:paraId="46140526" w14:textId="77777777" w:rsidR="009C62A3" w:rsidRPr="00380B40" w:rsidRDefault="009C62A3" w:rsidP="009C62A3">
      <w:pPr>
        <w:pStyle w:val="Normalaftertitle0"/>
      </w:pPr>
      <w:r w:rsidRPr="00380B40">
        <w:t>The World Telecommunication Standardization Assembly (Hammamet, 2016),</w:t>
      </w:r>
    </w:p>
    <w:p w14:paraId="09166C4F" w14:textId="77777777" w:rsidR="009C62A3" w:rsidRPr="00380B40" w:rsidRDefault="009C62A3" w:rsidP="009C62A3">
      <w:pPr>
        <w:pStyle w:val="Call"/>
        <w:rPr>
          <w:lang w:val="en-GB"/>
        </w:rPr>
      </w:pPr>
      <w:r w:rsidRPr="00380B40">
        <w:rPr>
          <w:lang w:val="en-GB"/>
        </w:rPr>
        <w:t>recognizing</w:t>
      </w:r>
    </w:p>
    <w:p w14:paraId="3C45BC96" w14:textId="77777777" w:rsidR="009C62A3" w:rsidRPr="00380B40" w:rsidRDefault="009C62A3" w:rsidP="009C62A3">
      <w:pPr>
        <w:rPr>
          <w:lang w:val="en-GB"/>
        </w:rPr>
      </w:pPr>
      <w:r w:rsidRPr="00380B40">
        <w:rPr>
          <w:i/>
          <w:iCs/>
          <w:lang w:val="en-GB"/>
        </w:rPr>
        <w:t>a)</w:t>
      </w:r>
      <w:r w:rsidRPr="00380B40">
        <w:rPr>
          <w:lang w:val="en-GB"/>
        </w:rPr>
        <w:tab/>
        <w:t>that Resolution 122 (Rev. Guadalajara, 2010) of the Plenipotentiary Conference, on the evolving role of the World Telecommunication Standardization Assembly (WTSA), called also for the organization of the Global Standards Symposium (GSS);</w:t>
      </w:r>
    </w:p>
    <w:p w14:paraId="5A608E92" w14:textId="77777777" w:rsidR="009C62A3" w:rsidRPr="00380B40" w:rsidRDefault="009C62A3" w:rsidP="009C62A3">
      <w:pPr>
        <w:rPr>
          <w:lang w:val="en-GB"/>
        </w:rPr>
      </w:pPr>
      <w:r w:rsidRPr="00380B40">
        <w:rPr>
          <w:i/>
          <w:iCs/>
          <w:lang w:val="en-GB"/>
        </w:rPr>
        <w:t>b)</w:t>
      </w:r>
      <w:r w:rsidRPr="00380B40">
        <w:rPr>
          <w:lang w:val="en-GB"/>
        </w:rPr>
        <w:tab/>
        <w:t>the objective of Resolution 123 (Rev. Busan, 2014) of the Plenipotentiary Conference, on bridging the standardization gap between developed and developing countries</w:t>
      </w:r>
      <w:r w:rsidR="00FD162E" w:rsidRPr="00380B40">
        <w:rPr>
          <w:rStyle w:val="FootnoteReference"/>
          <w:lang w:val="en-GB"/>
        </w:rPr>
        <w:footnoteReference w:id="30"/>
      </w:r>
      <w:r w:rsidRPr="00380B40">
        <w:rPr>
          <w:lang w:val="en-GB"/>
        </w:rPr>
        <w:t>;</w:t>
      </w:r>
    </w:p>
    <w:p w14:paraId="454A6D33" w14:textId="77777777" w:rsidR="009C62A3" w:rsidRPr="00380B40" w:rsidRDefault="009C62A3" w:rsidP="009C62A3">
      <w:pPr>
        <w:rPr>
          <w:lang w:val="en-GB"/>
        </w:rPr>
      </w:pPr>
      <w:r w:rsidRPr="00380B40">
        <w:rPr>
          <w:i/>
          <w:iCs/>
          <w:lang w:val="en-GB"/>
        </w:rPr>
        <w:t>c)</w:t>
      </w:r>
      <w:r w:rsidRPr="00380B40">
        <w:rPr>
          <w:lang w:val="en-GB"/>
        </w:rPr>
        <w:tab/>
        <w:t>that the ITU Telecommunication Standardization Sector (ITU</w:t>
      </w:r>
      <w:r w:rsidRPr="00380B40">
        <w:rPr>
          <w:lang w:val="en-GB"/>
        </w:rPr>
        <w:noBreakHyphen/>
        <w:t>T) is a unique international standardization organization comprising 193 Member States, and over 520 Sector Members, Associates and academia from all over the world;</w:t>
      </w:r>
    </w:p>
    <w:p w14:paraId="534C2886" w14:textId="77777777" w:rsidR="009C62A3" w:rsidRPr="00380B40" w:rsidRDefault="009C62A3" w:rsidP="009C62A3">
      <w:pPr>
        <w:rPr>
          <w:lang w:val="en-GB"/>
        </w:rPr>
      </w:pPr>
      <w:r w:rsidRPr="00380B40">
        <w:rPr>
          <w:i/>
          <w:iCs/>
          <w:lang w:val="en-GB"/>
        </w:rPr>
        <w:t>d)</w:t>
      </w:r>
      <w:r w:rsidRPr="00380B40">
        <w:rPr>
          <w:lang w:val="en-GB"/>
        </w:rPr>
        <w:tab/>
        <w:t>the important conclusions of GSS (Dubai, 2012), covering the two above-mentioned resolutions, in particular:</w:t>
      </w:r>
    </w:p>
    <w:p w14:paraId="2BBB8535" w14:textId="77777777" w:rsidR="009C62A3" w:rsidRPr="00380B40" w:rsidRDefault="009C62A3" w:rsidP="009C62A3">
      <w:pPr>
        <w:pStyle w:val="enumlev1"/>
        <w:rPr>
          <w:lang w:val="en-GB"/>
        </w:rPr>
      </w:pPr>
      <w:r w:rsidRPr="00380B40">
        <w:rPr>
          <w:lang w:val="en-GB"/>
        </w:rPr>
        <w:t>–</w:t>
      </w:r>
      <w:r w:rsidRPr="00380B40">
        <w:rPr>
          <w:lang w:val="en-GB"/>
        </w:rPr>
        <w:tab/>
        <w:t>to facilitate an exchange of views with high-level industry representatives on the standardization scenario and consider in ITU's work the evolution of the industry and user needs; and</w:t>
      </w:r>
    </w:p>
    <w:p w14:paraId="53F204A4" w14:textId="77777777" w:rsidR="009C62A3" w:rsidRPr="00380B40" w:rsidRDefault="009C62A3" w:rsidP="009C62A3">
      <w:pPr>
        <w:pStyle w:val="enumlev1"/>
        <w:rPr>
          <w:lang w:val="en-GB"/>
        </w:rPr>
      </w:pPr>
      <w:r w:rsidRPr="00380B40">
        <w:rPr>
          <w:lang w:val="en-GB"/>
        </w:rPr>
        <w:t>–</w:t>
      </w:r>
      <w:r w:rsidRPr="00380B40">
        <w:rPr>
          <w:lang w:val="en-GB"/>
        </w:rPr>
        <w:tab/>
        <w:t>to carry out this work without affecting either the unique status of ITU as an intergovernmental United Nations agency that also incorporates other entities representing the private sector, the industry and the users, among others, or the traditional contribution-driven working procedures of ITU</w:t>
      </w:r>
      <w:r w:rsidRPr="00380B40">
        <w:rPr>
          <w:lang w:val="en-GB"/>
        </w:rPr>
        <w:noBreakHyphen/>
        <w:t>T;</w:t>
      </w:r>
    </w:p>
    <w:p w14:paraId="06A8DEE0" w14:textId="77777777" w:rsidR="009C62A3" w:rsidRPr="00380B40" w:rsidRDefault="009C62A3" w:rsidP="009C62A3">
      <w:pPr>
        <w:rPr>
          <w:lang w:val="en-GB"/>
        </w:rPr>
      </w:pPr>
      <w:r w:rsidRPr="00380B40">
        <w:rPr>
          <w:i/>
          <w:iCs/>
          <w:lang w:val="en-GB"/>
        </w:rPr>
        <w:t>e)</w:t>
      </w:r>
      <w:r w:rsidRPr="00380B40">
        <w:rPr>
          <w:lang w:val="en-GB"/>
        </w:rPr>
        <w:tab/>
        <w:t>that since 2009 the Director of the Telecommunication Standardization Bureau (TSB) has organized six meetings of high-level, private-sector executives to discuss the standardization landscape, identifying and coordinating standards priorities and ways to best address the needs of the private sector;</w:t>
      </w:r>
    </w:p>
    <w:p w14:paraId="177ADBF1" w14:textId="77777777" w:rsidR="009C62A3" w:rsidRPr="00380B40" w:rsidRDefault="009C62A3" w:rsidP="009C62A3">
      <w:pPr>
        <w:rPr>
          <w:lang w:val="en-GB"/>
        </w:rPr>
      </w:pPr>
      <w:r w:rsidRPr="00380B40">
        <w:rPr>
          <w:i/>
          <w:iCs/>
          <w:lang w:val="en-GB"/>
        </w:rPr>
        <w:t>f)</w:t>
      </w:r>
      <w:r w:rsidRPr="00380B40">
        <w:rPr>
          <w:lang w:val="en-GB"/>
        </w:rPr>
        <w:tab/>
        <w:t>that conclusions of chief technology officer (CTO) meetings have been reflected in official ITU</w:t>
      </w:r>
      <w:r w:rsidRPr="00380B40">
        <w:rPr>
          <w:lang w:val="en-GB"/>
        </w:rPr>
        <w:noBreakHyphen/>
        <w:t>T communiqués and, when relevant, have been taken into account by the Telecommunication Standardization Advisory group (TSAG),</w:t>
      </w:r>
    </w:p>
    <w:p w14:paraId="5F54789A" w14:textId="77777777" w:rsidR="007F1508" w:rsidRPr="00380B40" w:rsidRDefault="007F1508" w:rsidP="009C62A3">
      <w:pPr>
        <w:pStyle w:val="Call"/>
        <w:rPr>
          <w:lang w:val="en-GB"/>
        </w:rPr>
      </w:pPr>
      <w:r w:rsidRPr="00380B40">
        <w:rPr>
          <w:lang w:val="en-GB"/>
        </w:rPr>
        <w:br w:type="page"/>
      </w:r>
    </w:p>
    <w:p w14:paraId="46A393CC" w14:textId="77777777" w:rsidR="009C62A3" w:rsidRPr="00380B40" w:rsidRDefault="009C62A3" w:rsidP="009C62A3">
      <w:pPr>
        <w:pStyle w:val="Call"/>
        <w:rPr>
          <w:lang w:val="en-GB"/>
        </w:rPr>
      </w:pPr>
      <w:r w:rsidRPr="00380B40">
        <w:rPr>
          <w:lang w:val="en-GB"/>
        </w:rPr>
        <w:t>considering</w:t>
      </w:r>
    </w:p>
    <w:p w14:paraId="0C69C983" w14:textId="77777777" w:rsidR="009C62A3" w:rsidRPr="00380B40" w:rsidRDefault="009C62A3" w:rsidP="009C62A3">
      <w:pPr>
        <w:rPr>
          <w:lang w:val="en-GB"/>
        </w:rPr>
      </w:pPr>
      <w:r w:rsidRPr="00380B40">
        <w:rPr>
          <w:i/>
          <w:iCs/>
          <w:lang w:val="en-GB"/>
        </w:rPr>
        <w:t>a)</w:t>
      </w:r>
      <w:r w:rsidRPr="00380B40">
        <w:rPr>
          <w:lang w:val="en-GB"/>
        </w:rPr>
        <w:tab/>
        <w:t>that developing countries participate in the standardization activities almost only of ITU</w:t>
      </w:r>
      <w:r w:rsidRPr="00380B40">
        <w:rPr>
          <w:lang w:val="en-GB"/>
        </w:rPr>
        <w:noBreakHyphen/>
        <w:t>T, and may not be able to participate in the increasingly fragmented global and/or regional standards development organizations (SDOs), as well as industry forums and consortia, or attend their meetings;</w:t>
      </w:r>
    </w:p>
    <w:p w14:paraId="5164563E" w14:textId="77777777" w:rsidR="009C62A3" w:rsidRPr="00380B40" w:rsidRDefault="009C62A3" w:rsidP="009C62A3">
      <w:pPr>
        <w:rPr>
          <w:lang w:val="en-GB"/>
        </w:rPr>
      </w:pPr>
      <w:r w:rsidRPr="00380B40">
        <w:rPr>
          <w:i/>
          <w:iCs/>
          <w:lang w:val="en-GB"/>
        </w:rPr>
        <w:t>b)</w:t>
      </w:r>
      <w:r w:rsidRPr="00380B40">
        <w:rPr>
          <w:lang w:val="en-GB"/>
        </w:rPr>
        <w:tab/>
        <w:t>that ITU</w:t>
      </w:r>
      <w:r w:rsidRPr="00380B40">
        <w:rPr>
          <w:lang w:val="en-GB"/>
        </w:rPr>
        <w:noBreakHyphen/>
        <w:t>T should continue to strengthen its role and evolve, as required by Resolution 122 (Rev. Guadalajara, 2010), and should repeat the gathering of private-sector executives, along the lines of GSS, but limited to the private sector, with the objective of strengthening the role of ITU</w:t>
      </w:r>
      <w:r w:rsidRPr="00380B40">
        <w:rPr>
          <w:lang w:val="en-GB"/>
        </w:rPr>
        <w:noBreakHyphen/>
        <w:t>T by taking appropriate measures to respond to the needs of such executives in terms of their identified requirements and priorities for standardization activities within ITU</w:t>
      </w:r>
      <w:r w:rsidRPr="00380B40">
        <w:rPr>
          <w:lang w:val="en-GB"/>
        </w:rPr>
        <w:noBreakHyphen/>
        <w:t>T, also taking into consideration the needs and concerns of developing countries;</w:t>
      </w:r>
    </w:p>
    <w:p w14:paraId="114D7672" w14:textId="77777777" w:rsidR="009C62A3" w:rsidRPr="00380B40" w:rsidRDefault="009C62A3" w:rsidP="009C62A3">
      <w:pPr>
        <w:rPr>
          <w:lang w:val="en-GB"/>
        </w:rPr>
      </w:pPr>
      <w:r w:rsidRPr="00380B40">
        <w:rPr>
          <w:i/>
          <w:iCs/>
          <w:lang w:val="en-GB"/>
        </w:rPr>
        <w:t>c)</w:t>
      </w:r>
      <w:r w:rsidRPr="00380B40">
        <w:rPr>
          <w:lang w:val="en-GB"/>
        </w:rPr>
        <w:tab/>
        <w:t>that ITU</w:t>
      </w:r>
      <w:r w:rsidRPr="00380B40">
        <w:rPr>
          <w:lang w:val="en-GB"/>
        </w:rPr>
        <w:noBreakHyphen/>
        <w:t>T should also encourage cooperation with other relevant SDOs,</w:t>
      </w:r>
    </w:p>
    <w:p w14:paraId="63C5B8CC" w14:textId="77777777" w:rsidR="009C62A3" w:rsidRPr="00380B40" w:rsidRDefault="009C62A3" w:rsidP="009C62A3">
      <w:pPr>
        <w:pStyle w:val="Call"/>
        <w:rPr>
          <w:lang w:val="en-GB"/>
        </w:rPr>
      </w:pPr>
      <w:r w:rsidRPr="00380B40">
        <w:rPr>
          <w:lang w:val="en-GB"/>
        </w:rPr>
        <w:t>noting</w:t>
      </w:r>
    </w:p>
    <w:p w14:paraId="334F4B98" w14:textId="77777777" w:rsidR="009C62A3" w:rsidRPr="00380B40" w:rsidRDefault="009C62A3" w:rsidP="009C62A3">
      <w:pPr>
        <w:rPr>
          <w:lang w:val="en-GB"/>
        </w:rPr>
      </w:pPr>
      <w:r w:rsidRPr="00380B40">
        <w:rPr>
          <w:i/>
          <w:iCs/>
          <w:lang w:val="en-GB"/>
        </w:rPr>
        <w:t>a)</w:t>
      </w:r>
      <w:r w:rsidRPr="00380B40">
        <w:rPr>
          <w:lang w:val="en-GB"/>
        </w:rPr>
        <w:tab/>
        <w:t>that, in order to encourage industry participation in ITU</w:t>
      </w:r>
      <w:r w:rsidRPr="00380B40">
        <w:rPr>
          <w:lang w:val="en-GB"/>
        </w:rPr>
        <w:noBreakHyphen/>
        <w:t>T, standards-making in ITU</w:t>
      </w:r>
      <w:r w:rsidRPr="00380B40">
        <w:rPr>
          <w:lang w:val="en-GB"/>
        </w:rPr>
        <w:noBreakHyphen/>
        <w:t>T should respond appropriately to the needs of the information and communication technology industry in a coordinated way;</w:t>
      </w:r>
    </w:p>
    <w:p w14:paraId="0413C5C3" w14:textId="77777777" w:rsidR="009C62A3" w:rsidRPr="00380B40" w:rsidRDefault="009C62A3" w:rsidP="009C62A3">
      <w:pPr>
        <w:rPr>
          <w:lang w:val="en-GB"/>
        </w:rPr>
      </w:pPr>
      <w:r w:rsidRPr="00380B40">
        <w:rPr>
          <w:i/>
          <w:iCs/>
          <w:lang w:val="en-GB"/>
        </w:rPr>
        <w:t>b)</w:t>
      </w:r>
      <w:r w:rsidRPr="00380B40">
        <w:rPr>
          <w:lang w:val="en-GB"/>
        </w:rPr>
        <w:tab/>
        <w:t>that an essential part of the work in the development of technical standards (ITU</w:t>
      </w:r>
      <w:r w:rsidRPr="00380B40">
        <w:rPr>
          <w:lang w:val="en-GB"/>
        </w:rPr>
        <w:noBreakHyphen/>
        <w:t>T Recommendations) is done by representatives of the information and communication technology industry;</w:t>
      </w:r>
    </w:p>
    <w:p w14:paraId="05967E85" w14:textId="77777777" w:rsidR="009C62A3" w:rsidRPr="00380B40" w:rsidRDefault="009C62A3" w:rsidP="009C62A3">
      <w:pPr>
        <w:rPr>
          <w:lang w:val="en-GB"/>
        </w:rPr>
      </w:pPr>
      <w:r w:rsidRPr="00380B40">
        <w:rPr>
          <w:i/>
          <w:iCs/>
          <w:lang w:val="en-GB"/>
        </w:rPr>
        <w:t>c)</w:t>
      </w:r>
      <w:r w:rsidRPr="00380B40">
        <w:rPr>
          <w:lang w:val="en-GB"/>
        </w:rPr>
        <w:tab/>
        <w:t>that Recommendations proposed in response to those coordinated needs will increase ITU's credibility and will respond to the needs of countries by deploying optimized technical solutions and reducing the proliferation of such solutions, which will also have economic advantages for developing countries;</w:t>
      </w:r>
    </w:p>
    <w:p w14:paraId="79805C06" w14:textId="77777777" w:rsidR="009C62A3" w:rsidRPr="00380B40" w:rsidRDefault="009C62A3" w:rsidP="009C62A3">
      <w:pPr>
        <w:rPr>
          <w:lang w:val="en-GB"/>
        </w:rPr>
      </w:pPr>
      <w:r w:rsidRPr="00380B40">
        <w:rPr>
          <w:i/>
          <w:iCs/>
          <w:lang w:val="en-GB"/>
        </w:rPr>
        <w:t>d)</w:t>
      </w:r>
      <w:r w:rsidRPr="00380B40">
        <w:rPr>
          <w:lang w:val="en-GB"/>
        </w:rPr>
        <w:tab/>
        <w:t>that TSAG has recognized the need for a strategy function in ITU</w:t>
      </w:r>
      <w:r w:rsidRPr="00380B40">
        <w:rPr>
          <w:lang w:val="en-GB"/>
        </w:rPr>
        <w:noBreakHyphen/>
        <w:t>T and that the input of industry into that strategy is highly desired;</w:t>
      </w:r>
    </w:p>
    <w:p w14:paraId="4C575CB9" w14:textId="77777777" w:rsidR="009C62A3" w:rsidRPr="00380B40" w:rsidRDefault="009C62A3" w:rsidP="009C62A3">
      <w:pPr>
        <w:rPr>
          <w:lang w:val="en-GB"/>
        </w:rPr>
      </w:pPr>
      <w:r w:rsidRPr="00380B40">
        <w:rPr>
          <w:i/>
          <w:iCs/>
          <w:lang w:val="en-GB"/>
        </w:rPr>
        <w:t>e)</w:t>
      </w:r>
      <w:r w:rsidRPr="00380B40">
        <w:rPr>
          <w:lang w:val="en-GB"/>
        </w:rPr>
        <w:tab/>
        <w:t>that TSB also organizes CxO meetings (executive meetings),</w:t>
      </w:r>
    </w:p>
    <w:p w14:paraId="4E8CF980" w14:textId="77777777" w:rsidR="009C62A3" w:rsidRPr="00380B40" w:rsidRDefault="009C62A3" w:rsidP="009C62A3">
      <w:pPr>
        <w:pStyle w:val="Call"/>
        <w:rPr>
          <w:lang w:val="en-GB"/>
        </w:rPr>
      </w:pPr>
      <w:r w:rsidRPr="00380B40">
        <w:rPr>
          <w:lang w:val="en-GB"/>
        </w:rPr>
        <w:t>resolves to instruct the Director of the Telecommunication Standardization Bureau</w:t>
      </w:r>
    </w:p>
    <w:p w14:paraId="114C8A9B" w14:textId="77777777" w:rsidR="009C62A3" w:rsidRPr="00380B40" w:rsidRDefault="009C62A3" w:rsidP="009C62A3">
      <w:pPr>
        <w:rPr>
          <w:lang w:val="en-GB"/>
        </w:rPr>
      </w:pPr>
      <w:r w:rsidRPr="00380B40">
        <w:rPr>
          <w:lang w:val="en-GB"/>
        </w:rPr>
        <w:t>1</w:t>
      </w:r>
      <w:r w:rsidRPr="00380B40">
        <w:rPr>
          <w:lang w:val="en-GB"/>
        </w:rPr>
        <w:tab/>
        <w:t>to continue to organize meetings for industry executives, e.g. CTO group meetings, in order to assist in identifying and coordinating standardization priorities and subjects;</w:t>
      </w:r>
    </w:p>
    <w:p w14:paraId="406E0D63" w14:textId="77777777" w:rsidR="009C62A3" w:rsidRPr="00380B40" w:rsidRDefault="009C62A3" w:rsidP="009C62A3">
      <w:pPr>
        <w:rPr>
          <w:lang w:val="en-GB"/>
        </w:rPr>
      </w:pPr>
      <w:r w:rsidRPr="00380B40">
        <w:rPr>
          <w:lang w:val="en-GB"/>
        </w:rPr>
        <w:t>2</w:t>
      </w:r>
      <w:r w:rsidRPr="00380B40">
        <w:rPr>
          <w:lang w:val="en-GB"/>
        </w:rPr>
        <w:tab/>
        <w:t>to bring the needs of developing countries to those meetings by consulting them prior to the meetings and to encourage the participation of local industry representatives;</w:t>
      </w:r>
    </w:p>
    <w:p w14:paraId="590467D4" w14:textId="77777777" w:rsidR="007F1508" w:rsidRPr="00380B40" w:rsidRDefault="007F1508" w:rsidP="009C62A3">
      <w:pPr>
        <w:rPr>
          <w:lang w:val="en-GB"/>
        </w:rPr>
      </w:pPr>
      <w:r w:rsidRPr="00380B40">
        <w:rPr>
          <w:lang w:val="en-GB"/>
        </w:rPr>
        <w:br w:type="page"/>
      </w:r>
    </w:p>
    <w:p w14:paraId="19101A31" w14:textId="77777777" w:rsidR="009C62A3" w:rsidRPr="00380B40" w:rsidRDefault="009C62A3" w:rsidP="009C62A3">
      <w:pPr>
        <w:rPr>
          <w:lang w:val="en-GB"/>
        </w:rPr>
      </w:pPr>
      <w:r w:rsidRPr="00380B40">
        <w:rPr>
          <w:lang w:val="en-GB"/>
        </w:rPr>
        <w:t>3</w:t>
      </w:r>
      <w:r w:rsidRPr="00380B40">
        <w:rPr>
          <w:lang w:val="en-GB"/>
        </w:rPr>
        <w:tab/>
        <w:t xml:space="preserve">to encourage participation in the CTO group of a wide </w:t>
      </w:r>
      <w:r w:rsidRPr="00380B40">
        <w:rPr>
          <w:szCs w:val="24"/>
          <w:lang w:val="en-GB" w:eastAsia="en-AU"/>
        </w:rPr>
        <w:t>representation of industry, from the ITU</w:t>
      </w:r>
      <w:r w:rsidRPr="00380B40">
        <w:rPr>
          <w:szCs w:val="24"/>
          <w:lang w:val="en-GB" w:eastAsia="en-AU"/>
        </w:rPr>
        <w:noBreakHyphen/>
        <w:t>T Sector Members from all regions;</w:t>
      </w:r>
    </w:p>
    <w:p w14:paraId="19C98C0A" w14:textId="77777777" w:rsidR="009C62A3" w:rsidRPr="00380B40" w:rsidRDefault="009C62A3" w:rsidP="009C62A3">
      <w:pPr>
        <w:rPr>
          <w:lang w:val="en-GB"/>
        </w:rPr>
      </w:pPr>
      <w:r w:rsidRPr="00380B40">
        <w:rPr>
          <w:lang w:val="en-GB"/>
        </w:rPr>
        <w:t>4</w:t>
      </w:r>
      <w:r w:rsidRPr="00380B40">
        <w:rPr>
          <w:lang w:val="en-GB"/>
        </w:rPr>
        <w:tab/>
        <w:t>to develop effective mechanisms to organize participation by industry representatives in those meetings (for example, having a stable composition and regular participation in the group by the CTO or alternate);</w:t>
      </w:r>
    </w:p>
    <w:p w14:paraId="640E24FC" w14:textId="77777777" w:rsidR="009C62A3" w:rsidRPr="00380B40" w:rsidRDefault="009C62A3" w:rsidP="009C62A3">
      <w:pPr>
        <w:rPr>
          <w:lang w:val="en-GB"/>
        </w:rPr>
      </w:pPr>
      <w:r w:rsidRPr="00380B40">
        <w:rPr>
          <w:lang w:val="en-GB"/>
        </w:rPr>
        <w:t>5</w:t>
      </w:r>
      <w:r w:rsidRPr="00380B40">
        <w:rPr>
          <w:lang w:val="en-GB"/>
        </w:rPr>
        <w:tab/>
        <w:t>to continue to include the conclusions of the CTO group meetings in an official ITU</w:t>
      </w:r>
      <w:r w:rsidRPr="00380B40">
        <w:rPr>
          <w:lang w:val="en-GB"/>
        </w:rPr>
        <w:noBreakHyphen/>
        <w:t>T communiqué;</w:t>
      </w:r>
    </w:p>
    <w:p w14:paraId="0DADD115" w14:textId="77777777" w:rsidR="009C62A3" w:rsidRPr="00380B40" w:rsidRDefault="009C62A3" w:rsidP="009C62A3">
      <w:pPr>
        <w:rPr>
          <w:lang w:val="en-GB"/>
        </w:rPr>
      </w:pPr>
      <w:r w:rsidRPr="00380B40">
        <w:rPr>
          <w:lang w:val="en-GB"/>
        </w:rPr>
        <w:t>6</w:t>
      </w:r>
      <w:r w:rsidRPr="00380B40">
        <w:rPr>
          <w:lang w:val="en-GB"/>
        </w:rPr>
        <w:tab/>
        <w:t>to take the conclusions of the CTO group into account in ITU</w:t>
      </w:r>
      <w:r w:rsidRPr="00380B40">
        <w:rPr>
          <w:lang w:val="en-GB"/>
        </w:rPr>
        <w:noBreakHyphen/>
        <w:t>T work, especially in the strategy function of TSAG and in the ITU</w:t>
      </w:r>
      <w:r w:rsidRPr="00380B40">
        <w:rPr>
          <w:lang w:val="en-GB"/>
        </w:rPr>
        <w:noBreakHyphen/>
        <w:t>T study groups as appropriate;</w:t>
      </w:r>
    </w:p>
    <w:p w14:paraId="603ADDEE" w14:textId="77777777" w:rsidR="009C62A3" w:rsidRPr="00380B40" w:rsidRDefault="009C62A3" w:rsidP="009C62A3">
      <w:pPr>
        <w:rPr>
          <w:lang w:val="en-GB"/>
        </w:rPr>
      </w:pPr>
      <w:r w:rsidRPr="00380B40">
        <w:rPr>
          <w:lang w:val="en-GB"/>
        </w:rPr>
        <w:t>7</w:t>
      </w:r>
      <w:r w:rsidRPr="00380B40">
        <w:rPr>
          <w:lang w:val="en-GB"/>
        </w:rPr>
        <w:tab/>
        <w:t>to produce a regular report to TSAG on the follow-up of the CTO conclusions;</w:t>
      </w:r>
    </w:p>
    <w:p w14:paraId="4D60E25B" w14:textId="77777777" w:rsidR="009C62A3" w:rsidRPr="00380B40" w:rsidRDefault="009C62A3" w:rsidP="009C62A3">
      <w:pPr>
        <w:rPr>
          <w:lang w:val="en-GB"/>
        </w:rPr>
      </w:pPr>
      <w:r w:rsidRPr="00380B40">
        <w:rPr>
          <w:lang w:val="en-GB"/>
        </w:rPr>
        <w:t>8</w:t>
      </w:r>
      <w:r w:rsidRPr="00380B40">
        <w:rPr>
          <w:lang w:val="en-GB"/>
        </w:rPr>
        <w:tab/>
        <w:t>to produce a report to the next WTSA, assessing the outcomes of the CTO group over the period and examining the need to continue or enhance its activities,</w:t>
      </w:r>
    </w:p>
    <w:p w14:paraId="18D8904F" w14:textId="77777777" w:rsidR="009C62A3" w:rsidRPr="00380B40" w:rsidRDefault="009C62A3" w:rsidP="009C62A3">
      <w:pPr>
        <w:pStyle w:val="Call"/>
        <w:rPr>
          <w:lang w:val="en-GB"/>
        </w:rPr>
      </w:pPr>
      <w:r w:rsidRPr="00380B40">
        <w:rPr>
          <w:lang w:val="en-GB"/>
        </w:rPr>
        <w:t>encourages Sector Members from developing countries</w:t>
      </w:r>
    </w:p>
    <w:p w14:paraId="4724D29B" w14:textId="77777777" w:rsidR="00B97E2C" w:rsidRPr="00380B40" w:rsidRDefault="009C62A3" w:rsidP="00BD286B">
      <w:pPr>
        <w:rPr>
          <w:lang w:val="en-GB"/>
        </w:rPr>
      </w:pPr>
      <w:r w:rsidRPr="00380B40">
        <w:rPr>
          <w:lang w:val="en-GB"/>
        </w:rPr>
        <w:t>to participate at the level of their executives in the CTO meetings, and to raise proposals in regard to their priority standardization areas as well as standardization priorities and needs of developing countries.</w:t>
      </w:r>
    </w:p>
    <w:p w14:paraId="6AB06F14" w14:textId="77777777" w:rsidR="007F1508" w:rsidRPr="00380B40" w:rsidRDefault="007F1508" w:rsidP="00BD286B">
      <w:pPr>
        <w:rPr>
          <w:lang w:val="en-GB"/>
        </w:rPr>
      </w:pPr>
    </w:p>
    <w:p w14:paraId="0DA24C41" w14:textId="77777777" w:rsidR="007F1508" w:rsidRPr="00380B40" w:rsidRDefault="007F1508" w:rsidP="00BD286B">
      <w:pPr>
        <w:rPr>
          <w:lang w:val="en-GB"/>
        </w:rPr>
      </w:pPr>
    </w:p>
    <w:p w14:paraId="26540200" w14:textId="77777777" w:rsidR="007F1508" w:rsidRPr="00380B40" w:rsidRDefault="007F1508" w:rsidP="00BD286B">
      <w:pPr>
        <w:rPr>
          <w:lang w:val="en-GB"/>
        </w:rPr>
      </w:pPr>
    </w:p>
    <w:p w14:paraId="7FDD902A" w14:textId="77777777" w:rsidR="007F1508" w:rsidRPr="00380B40" w:rsidRDefault="007F1508" w:rsidP="00BD286B">
      <w:pPr>
        <w:rPr>
          <w:lang w:val="en-GB"/>
        </w:rPr>
      </w:pPr>
    </w:p>
    <w:p w14:paraId="71F0971D" w14:textId="77777777" w:rsidR="007F1508" w:rsidRPr="00380B40" w:rsidRDefault="007F1508" w:rsidP="00BD286B">
      <w:pPr>
        <w:rPr>
          <w:lang w:val="en-GB"/>
        </w:rPr>
      </w:pPr>
    </w:p>
    <w:p w14:paraId="35E2171E" w14:textId="77777777" w:rsidR="007F1508" w:rsidRPr="00380B40" w:rsidRDefault="007F1508" w:rsidP="00BD286B">
      <w:pPr>
        <w:rPr>
          <w:lang w:val="en-GB"/>
        </w:rPr>
      </w:pPr>
    </w:p>
    <w:p w14:paraId="3D9D9CCF" w14:textId="77777777" w:rsidR="007F1508" w:rsidRPr="00380B40" w:rsidRDefault="007F1508" w:rsidP="00BD286B">
      <w:pPr>
        <w:rPr>
          <w:lang w:val="en-GB"/>
        </w:rPr>
      </w:pPr>
    </w:p>
    <w:p w14:paraId="629592E7" w14:textId="77777777" w:rsidR="007F1508" w:rsidRPr="00380B40" w:rsidRDefault="007F1508" w:rsidP="00BD286B">
      <w:pPr>
        <w:rPr>
          <w:lang w:val="en-GB"/>
        </w:rPr>
      </w:pPr>
    </w:p>
    <w:p w14:paraId="1F31A2BA" w14:textId="77777777" w:rsidR="007F1508" w:rsidRPr="00380B40" w:rsidRDefault="007F1508" w:rsidP="00BD286B">
      <w:pPr>
        <w:rPr>
          <w:lang w:val="en-GB"/>
        </w:rPr>
      </w:pPr>
    </w:p>
    <w:p w14:paraId="4E3C883F" w14:textId="77777777" w:rsidR="007F1508" w:rsidRPr="00380B40" w:rsidRDefault="007F1508" w:rsidP="00BD286B">
      <w:pPr>
        <w:rPr>
          <w:lang w:val="en-GB"/>
        </w:rPr>
      </w:pPr>
    </w:p>
    <w:p w14:paraId="0343A817" w14:textId="77777777" w:rsidR="007F1508" w:rsidRPr="00380B40" w:rsidRDefault="007F1508" w:rsidP="00BD286B">
      <w:pPr>
        <w:rPr>
          <w:lang w:val="en-GB"/>
        </w:rPr>
      </w:pPr>
    </w:p>
    <w:p w14:paraId="55942D9B" w14:textId="77777777" w:rsidR="007F1508" w:rsidRPr="00380B40" w:rsidRDefault="007F1508" w:rsidP="00BD286B">
      <w:pPr>
        <w:rPr>
          <w:lang w:val="en-GB"/>
        </w:rPr>
      </w:pPr>
    </w:p>
    <w:p w14:paraId="30A67671" w14:textId="77777777" w:rsidR="007F1508" w:rsidRPr="00380B40" w:rsidRDefault="007F1508" w:rsidP="00BD286B">
      <w:pPr>
        <w:rPr>
          <w:lang w:val="en-GB"/>
        </w:rPr>
      </w:pPr>
    </w:p>
    <w:p w14:paraId="7D1AA371" w14:textId="77777777" w:rsidR="007F1508" w:rsidRPr="00380B40" w:rsidRDefault="007F1508" w:rsidP="00BD286B">
      <w:pPr>
        <w:rPr>
          <w:lang w:val="en-GB"/>
        </w:rPr>
      </w:pPr>
    </w:p>
    <w:p w14:paraId="01FD1074" w14:textId="77777777" w:rsidR="00B97E2C" w:rsidRPr="00380B40" w:rsidRDefault="00B97E2C" w:rsidP="00B97E2C">
      <w:pPr>
        <w:rPr>
          <w:lang w:val="en-GB"/>
        </w:rPr>
      </w:pPr>
    </w:p>
    <w:p w14:paraId="646CE2EB" w14:textId="77777777" w:rsidR="00B97E2C" w:rsidRPr="00380B40" w:rsidRDefault="00B97E2C" w:rsidP="00B97E2C">
      <w:pPr>
        <w:rPr>
          <w:lang w:val="en-GB"/>
        </w:rPr>
        <w:sectPr w:rsidR="00B97E2C" w:rsidRPr="00380B40" w:rsidSect="007928CF">
          <w:headerReference w:type="even" r:id="rId189"/>
          <w:headerReference w:type="default" r:id="rId190"/>
          <w:footerReference w:type="even" r:id="rId191"/>
          <w:footerReference w:type="default" r:id="rId192"/>
          <w:headerReference w:type="first" r:id="rId193"/>
          <w:footerReference w:type="first" r:id="rId194"/>
          <w:footnotePr>
            <w:numRestart w:val="eachSect"/>
          </w:footnotePr>
          <w:pgSz w:w="11907" w:h="16834" w:code="9"/>
          <w:pgMar w:top="1134" w:right="1134" w:bottom="1134" w:left="1134" w:header="567" w:footer="567" w:gutter="0"/>
          <w:paperSrc w:first="15" w:other="15"/>
          <w:cols w:space="720"/>
          <w:vAlign w:val="both"/>
          <w:docGrid w:linePitch="299"/>
        </w:sectPr>
      </w:pPr>
    </w:p>
    <w:p w14:paraId="404A34BB" w14:textId="77777777" w:rsidR="009C62A3" w:rsidRPr="00380B40" w:rsidRDefault="009C62A3" w:rsidP="009C62A3">
      <w:pPr>
        <w:pStyle w:val="ResNo"/>
        <w:rPr>
          <w:lang w:val="en-GB"/>
        </w:rPr>
      </w:pPr>
      <w:bookmarkStart w:id="294" w:name="_Toc104459751"/>
      <w:bookmarkStart w:id="295" w:name="_Toc104476559"/>
      <w:bookmarkStart w:id="296" w:name="_Toc111636789"/>
      <w:bookmarkStart w:id="297" w:name="_Toc111638452"/>
      <w:r w:rsidRPr="00380B40">
        <w:rPr>
          <w:lang w:val="en-GB"/>
        </w:rPr>
        <w:t xml:space="preserve">RESOLUTION </w:t>
      </w:r>
      <w:r w:rsidRPr="00380B40">
        <w:rPr>
          <w:rStyle w:val="href"/>
          <w:lang w:val="en-GB"/>
        </w:rPr>
        <w:t>69</w:t>
      </w:r>
      <w:r w:rsidRPr="00380B40">
        <w:rPr>
          <w:lang w:val="en-GB"/>
        </w:rPr>
        <w:t xml:space="preserve"> (</w:t>
      </w:r>
      <w:r w:rsidRPr="00380B40">
        <w:rPr>
          <w:caps w:val="0"/>
          <w:lang w:val="en-GB"/>
        </w:rPr>
        <w:t>Rev</w:t>
      </w:r>
      <w:r w:rsidRPr="00380B40">
        <w:rPr>
          <w:lang w:val="en-GB"/>
        </w:rPr>
        <w:t xml:space="preserve">. </w:t>
      </w:r>
      <w:r w:rsidRPr="00380B40">
        <w:rPr>
          <w:caps w:val="0"/>
          <w:lang w:val="en-GB"/>
        </w:rPr>
        <w:t>Hammamet</w:t>
      </w:r>
      <w:r w:rsidRPr="00380B40">
        <w:rPr>
          <w:lang w:val="en-GB"/>
        </w:rPr>
        <w:t>, 2016)</w:t>
      </w:r>
      <w:bookmarkEnd w:id="294"/>
      <w:bookmarkEnd w:id="295"/>
      <w:bookmarkEnd w:id="296"/>
      <w:bookmarkEnd w:id="297"/>
      <w:r w:rsidRPr="00380B40">
        <w:rPr>
          <w:lang w:val="en-GB"/>
        </w:rPr>
        <w:t xml:space="preserve"> </w:t>
      </w:r>
    </w:p>
    <w:p w14:paraId="79D5AEDD" w14:textId="77777777" w:rsidR="009C62A3" w:rsidRPr="00380B40" w:rsidRDefault="009C62A3" w:rsidP="009C62A3">
      <w:pPr>
        <w:pStyle w:val="Restitle"/>
        <w:rPr>
          <w:lang w:val="en-GB"/>
        </w:rPr>
      </w:pPr>
      <w:bookmarkStart w:id="298" w:name="_Toc104459752"/>
      <w:bookmarkStart w:id="299" w:name="_Toc104476560"/>
      <w:bookmarkStart w:id="300" w:name="_Toc111638453"/>
      <w:r w:rsidRPr="00380B40">
        <w:rPr>
          <w:lang w:val="en-GB"/>
        </w:rPr>
        <w:t>Non</w:t>
      </w:r>
      <w:r w:rsidRPr="00380B40">
        <w:rPr>
          <w:lang w:val="en-GB"/>
        </w:rPr>
        <w:noBreakHyphen/>
        <w:t>discriminatory access and use of Internet resources and telecommunications/information and communication technologies</w:t>
      </w:r>
      <w:bookmarkEnd w:id="298"/>
      <w:bookmarkEnd w:id="299"/>
      <w:bookmarkEnd w:id="300"/>
    </w:p>
    <w:p w14:paraId="15A258B0" w14:textId="77777777" w:rsidR="009C62A3" w:rsidRPr="00380B40" w:rsidRDefault="009C62A3" w:rsidP="009C62A3">
      <w:pPr>
        <w:pStyle w:val="Resref"/>
        <w:rPr>
          <w:lang w:val="en-GB"/>
        </w:rPr>
      </w:pPr>
      <w:r w:rsidRPr="00380B40">
        <w:rPr>
          <w:lang w:val="en-GB"/>
        </w:rPr>
        <w:t>(Johannesburg, 2008; Dubai, 2012; Hammamet, 2016)</w:t>
      </w:r>
    </w:p>
    <w:p w14:paraId="103109EB" w14:textId="77777777" w:rsidR="009C62A3" w:rsidRPr="00380B40" w:rsidRDefault="009C62A3" w:rsidP="009C62A3">
      <w:pPr>
        <w:pStyle w:val="Normalaftertitle0"/>
      </w:pPr>
      <w:r w:rsidRPr="00380B40">
        <w:t>The World Telecommunication Standardization Assembly (Hammamet, 2016),</w:t>
      </w:r>
    </w:p>
    <w:p w14:paraId="445635C4" w14:textId="77777777" w:rsidR="009C62A3" w:rsidRPr="00380B40" w:rsidRDefault="009C62A3" w:rsidP="009C62A3">
      <w:pPr>
        <w:pStyle w:val="Call"/>
        <w:rPr>
          <w:lang w:val="en-GB"/>
        </w:rPr>
      </w:pPr>
      <w:r w:rsidRPr="00380B40">
        <w:rPr>
          <w:lang w:val="en-GB"/>
        </w:rPr>
        <w:t>considering</w:t>
      </w:r>
    </w:p>
    <w:p w14:paraId="3A597F4A" w14:textId="77777777" w:rsidR="009C62A3" w:rsidRPr="00380B40" w:rsidRDefault="009C62A3" w:rsidP="009C62A3">
      <w:pPr>
        <w:rPr>
          <w:lang w:val="en-GB"/>
        </w:rPr>
      </w:pPr>
      <w:r w:rsidRPr="00380B40">
        <w:rPr>
          <w:lang w:val="en-GB"/>
        </w:rPr>
        <w:t>that one of the purposes of ITU laid down in Article 1 of the ITU Constitution is "to maintain and extend international cooperation among all its Member States for the improvement and rational use of telecommunications of all kinds",</w:t>
      </w:r>
    </w:p>
    <w:p w14:paraId="1675009E" w14:textId="77777777" w:rsidR="009C62A3" w:rsidRPr="00380B40" w:rsidRDefault="009C62A3" w:rsidP="009C62A3">
      <w:pPr>
        <w:pStyle w:val="Call"/>
        <w:rPr>
          <w:lang w:val="en-GB"/>
        </w:rPr>
      </w:pPr>
      <w:r w:rsidRPr="00380B40">
        <w:rPr>
          <w:lang w:val="en-GB"/>
        </w:rPr>
        <w:t>considering further</w:t>
      </w:r>
    </w:p>
    <w:p w14:paraId="21A572DC" w14:textId="77777777" w:rsidR="009C62A3" w:rsidRPr="00380B40" w:rsidRDefault="009C62A3" w:rsidP="009C62A3">
      <w:pPr>
        <w:rPr>
          <w:lang w:val="en-GB"/>
        </w:rPr>
      </w:pPr>
      <w:r w:rsidRPr="00380B40">
        <w:rPr>
          <w:i/>
          <w:iCs/>
          <w:lang w:val="en-GB"/>
        </w:rPr>
        <w:t>a)</w:t>
      </w:r>
      <w:r w:rsidRPr="00380B40">
        <w:rPr>
          <w:lang w:val="en-GB"/>
        </w:rPr>
        <w:tab/>
        <w:t>the outcome documents of the World Summit on the Information Society (WSIS), Geneva 2003 and Tunis 2005, including the WSIS Declaration of Principles, especially §§ 11, 19, 20, 21 and 49 thereof;</w:t>
      </w:r>
    </w:p>
    <w:p w14:paraId="63342402" w14:textId="77777777" w:rsidR="009C62A3" w:rsidRPr="00380B40" w:rsidRDefault="009C62A3" w:rsidP="009C62A3">
      <w:pPr>
        <w:rPr>
          <w:lang w:val="en-GB"/>
        </w:rPr>
      </w:pPr>
      <w:r w:rsidRPr="00380B40">
        <w:rPr>
          <w:i/>
          <w:iCs/>
          <w:szCs w:val="24"/>
          <w:lang w:val="en-GB"/>
        </w:rPr>
        <w:t>b)</w:t>
      </w:r>
      <w:r w:rsidRPr="00380B40">
        <w:rPr>
          <w:szCs w:val="24"/>
          <w:lang w:val="en-GB"/>
        </w:rPr>
        <w:tab/>
      </w:r>
      <w:r w:rsidRPr="00380B40">
        <w:rPr>
          <w:lang w:val="en-GB"/>
        </w:rPr>
        <w:t>the United Nations Human Rights Council resolution on the promotion, protection and enjoyment of human rights on the Internet (A/HRC/20/L.13);</w:t>
      </w:r>
      <w:r w:rsidRPr="00380B40" w:rsidDel="00613E94">
        <w:rPr>
          <w:lang w:val="en-GB"/>
        </w:rPr>
        <w:t xml:space="preserve"> </w:t>
      </w:r>
    </w:p>
    <w:p w14:paraId="62564282" w14:textId="77777777" w:rsidR="009C62A3" w:rsidRPr="00380B40" w:rsidRDefault="009C62A3" w:rsidP="009C62A3">
      <w:pPr>
        <w:rPr>
          <w:lang w:val="en-GB"/>
        </w:rPr>
      </w:pPr>
      <w:r w:rsidRPr="00380B40">
        <w:rPr>
          <w:i/>
          <w:iCs/>
          <w:szCs w:val="24"/>
          <w:lang w:val="en-GB"/>
        </w:rPr>
        <w:t>c)</w:t>
      </w:r>
      <w:r w:rsidRPr="00380B40">
        <w:rPr>
          <w:szCs w:val="24"/>
          <w:lang w:val="en-GB"/>
        </w:rPr>
        <w:tab/>
      </w:r>
      <w:r w:rsidRPr="00380B40">
        <w:rPr>
          <w:lang w:val="en-GB"/>
        </w:rPr>
        <w:t>Resolution 20 (Rev. Hyderabad, 2010) of the World Telecommunication Development Conference;</w:t>
      </w:r>
    </w:p>
    <w:p w14:paraId="224250A4" w14:textId="77777777" w:rsidR="009C62A3" w:rsidRPr="00380B40" w:rsidRDefault="009C62A3" w:rsidP="009C62A3">
      <w:pPr>
        <w:rPr>
          <w:lang w:val="en-GB"/>
        </w:rPr>
      </w:pPr>
      <w:r w:rsidRPr="00380B40">
        <w:rPr>
          <w:i/>
          <w:iCs/>
          <w:szCs w:val="24"/>
          <w:lang w:val="en-GB"/>
        </w:rPr>
        <w:t>d)</w:t>
      </w:r>
      <w:r w:rsidRPr="00380B40">
        <w:rPr>
          <w:szCs w:val="24"/>
          <w:lang w:val="en-GB"/>
        </w:rPr>
        <w:tab/>
      </w:r>
      <w:r w:rsidRPr="00380B40">
        <w:rPr>
          <w:lang w:val="en-GB"/>
        </w:rPr>
        <w:t>Resolution 102 (Rev. Busan, 2014) of the Plenipotentiary Conference;</w:t>
      </w:r>
    </w:p>
    <w:p w14:paraId="651C6E21" w14:textId="77777777" w:rsidR="009C62A3" w:rsidRPr="00380B40" w:rsidRDefault="009C62A3" w:rsidP="009C62A3">
      <w:pPr>
        <w:rPr>
          <w:lang w:val="en-GB"/>
        </w:rPr>
      </w:pPr>
      <w:r w:rsidRPr="00380B40">
        <w:rPr>
          <w:i/>
          <w:iCs/>
          <w:szCs w:val="24"/>
          <w:lang w:val="en-GB"/>
        </w:rPr>
        <w:t>e)</w:t>
      </w:r>
      <w:r w:rsidRPr="00380B40">
        <w:rPr>
          <w:szCs w:val="24"/>
          <w:lang w:val="en-GB"/>
        </w:rPr>
        <w:tab/>
      </w:r>
      <w:r w:rsidRPr="00380B40">
        <w:rPr>
          <w:lang w:val="en-GB"/>
        </w:rPr>
        <w:t>Resolution 64 (Rev. Busan, 2014) of the Plenipotentiary Conference;</w:t>
      </w:r>
    </w:p>
    <w:p w14:paraId="0EB9DDEE" w14:textId="77777777" w:rsidR="009C62A3" w:rsidRPr="00380B40" w:rsidRDefault="009C62A3" w:rsidP="009C62A3">
      <w:pPr>
        <w:rPr>
          <w:lang w:val="en-GB"/>
        </w:rPr>
      </w:pPr>
      <w:r w:rsidRPr="00380B40">
        <w:rPr>
          <w:i/>
          <w:iCs/>
          <w:szCs w:val="24"/>
          <w:lang w:val="en-GB"/>
        </w:rPr>
        <w:t>f)</w:t>
      </w:r>
      <w:r w:rsidRPr="00380B40">
        <w:rPr>
          <w:szCs w:val="24"/>
          <w:lang w:val="en-GB"/>
        </w:rPr>
        <w:tab/>
      </w:r>
      <w:r w:rsidRPr="00380B40">
        <w:rPr>
          <w:lang w:val="en-GB"/>
        </w:rPr>
        <w:t>United Nations General Assembly (UNGA) Resolution 70/125, on the outcome document of the high-level meeting of the General Assembly on the overall review of the implementation of the WSIS outcomes;</w:t>
      </w:r>
    </w:p>
    <w:p w14:paraId="0B83A332" w14:textId="77777777" w:rsidR="009C62A3" w:rsidRPr="00380B40" w:rsidRDefault="009C62A3" w:rsidP="009C62A3">
      <w:pPr>
        <w:rPr>
          <w:lang w:val="en-GB"/>
        </w:rPr>
      </w:pPr>
      <w:r w:rsidRPr="00380B40">
        <w:rPr>
          <w:i/>
          <w:iCs/>
          <w:szCs w:val="24"/>
          <w:lang w:val="en-GB"/>
        </w:rPr>
        <w:t>g)</w:t>
      </w:r>
      <w:r w:rsidRPr="00380B40">
        <w:rPr>
          <w:szCs w:val="24"/>
          <w:lang w:val="en-GB"/>
        </w:rPr>
        <w:tab/>
      </w:r>
      <w:r w:rsidRPr="00380B40">
        <w:rPr>
          <w:lang w:val="en-GB"/>
        </w:rPr>
        <w:t>the WSIS+10 High-Level Event outcomes (Geneva, 2014), which were submitted as an input into the overall review of WSIS by UNGA, especially those related to transfer of know-how and technology and to non-discriminatory access, within the framework of the required activities in this regard,</w:t>
      </w:r>
    </w:p>
    <w:p w14:paraId="54185D53" w14:textId="77777777" w:rsidR="009C62A3" w:rsidRPr="00380B40" w:rsidRDefault="009C62A3" w:rsidP="009C62A3">
      <w:pPr>
        <w:pStyle w:val="Call"/>
        <w:rPr>
          <w:lang w:val="en-GB"/>
        </w:rPr>
      </w:pPr>
      <w:r w:rsidRPr="00380B40">
        <w:rPr>
          <w:lang w:val="en-GB"/>
        </w:rPr>
        <w:t>noting</w:t>
      </w:r>
    </w:p>
    <w:p w14:paraId="45C120C7" w14:textId="77777777" w:rsidR="009C62A3" w:rsidRPr="00380B40" w:rsidRDefault="009C62A3" w:rsidP="009C62A3">
      <w:pPr>
        <w:rPr>
          <w:i/>
          <w:lang w:val="en-GB"/>
        </w:rPr>
      </w:pPr>
      <w:r w:rsidRPr="00380B40">
        <w:rPr>
          <w:lang w:val="en-GB"/>
        </w:rPr>
        <w:t>that § 48 of the WSIS Declaration of Principles recognized that: "The Internet has evolved into a global facility available to the public and its governance should constitute a core issue of the information society agenda. The international management of the Internet should be multilateral, transparent and democratic, with the full involvement of governments, the private sector, civil society and international organizations. It should ensure an equitable distribution of resources, facilitate access for all and ensure a stable and secure functioning of the Internet, taking into account multilingualism",</w:t>
      </w:r>
    </w:p>
    <w:p w14:paraId="1D135427" w14:textId="77777777" w:rsidR="007F1508" w:rsidRPr="00380B40" w:rsidRDefault="007F1508" w:rsidP="009C62A3">
      <w:pPr>
        <w:pStyle w:val="Call"/>
        <w:rPr>
          <w:lang w:val="en-GB"/>
        </w:rPr>
      </w:pPr>
      <w:r w:rsidRPr="00380B40">
        <w:rPr>
          <w:lang w:val="en-GB"/>
        </w:rPr>
        <w:br w:type="page"/>
      </w:r>
    </w:p>
    <w:p w14:paraId="09901830" w14:textId="77777777" w:rsidR="009C62A3" w:rsidRPr="00380B40" w:rsidRDefault="009C62A3" w:rsidP="009C62A3">
      <w:pPr>
        <w:pStyle w:val="Call"/>
        <w:rPr>
          <w:lang w:val="en-GB"/>
        </w:rPr>
      </w:pPr>
      <w:r w:rsidRPr="00380B40">
        <w:rPr>
          <w:lang w:val="en-GB"/>
        </w:rPr>
        <w:t>recognizing</w:t>
      </w:r>
    </w:p>
    <w:p w14:paraId="77FCAFDE" w14:textId="77777777" w:rsidR="009C62A3" w:rsidRPr="00380B40" w:rsidRDefault="009C62A3" w:rsidP="009C62A3">
      <w:pPr>
        <w:rPr>
          <w:lang w:val="en-GB"/>
        </w:rPr>
      </w:pPr>
      <w:r w:rsidRPr="00380B40">
        <w:rPr>
          <w:i/>
          <w:iCs/>
          <w:lang w:val="en-GB"/>
        </w:rPr>
        <w:t>a)</w:t>
      </w:r>
      <w:r w:rsidRPr="00380B40">
        <w:rPr>
          <w:lang w:val="en-GB"/>
        </w:rPr>
        <w:tab/>
        <w:t>that the second phase of WSIS (Tunis, November 2005) identified ITU as the possible moderator/facilitator for the following WSIS action lines from the Plan of Action: C2 (Information and communication infrastructure) and C5 (Building confidence and security in use of ICTs);</w:t>
      </w:r>
    </w:p>
    <w:p w14:paraId="33F3CDF6" w14:textId="77777777" w:rsidR="009C62A3" w:rsidRPr="00380B40" w:rsidRDefault="009C62A3" w:rsidP="009C62A3">
      <w:pPr>
        <w:rPr>
          <w:lang w:val="en-GB"/>
        </w:rPr>
      </w:pPr>
      <w:r w:rsidRPr="00380B40">
        <w:rPr>
          <w:i/>
          <w:iCs/>
          <w:lang w:val="en-GB"/>
        </w:rPr>
        <w:t>b)</w:t>
      </w:r>
      <w:r w:rsidRPr="00380B40">
        <w:rPr>
          <w:lang w:val="en-GB"/>
        </w:rPr>
        <w:tab/>
        <w:t>that the Plenipotentiary Conference (Busan, 2014) entrusted the ITU Telecommunication Standardization Sector (ITU</w:t>
      </w:r>
      <w:r w:rsidRPr="00380B40">
        <w:rPr>
          <w:lang w:val="en-GB"/>
        </w:rPr>
        <w:noBreakHyphen/>
        <w:t>T) with a range of activities aimed at implementing the WSIS (Tunis, 2005) outcomes, a number of those activities having to do with Internet-related issues;</w:t>
      </w:r>
    </w:p>
    <w:p w14:paraId="2B312904" w14:textId="77777777" w:rsidR="009C62A3" w:rsidRPr="00380B40" w:rsidRDefault="009C62A3" w:rsidP="009C62A3">
      <w:pPr>
        <w:rPr>
          <w:lang w:val="en-GB"/>
        </w:rPr>
      </w:pPr>
      <w:r w:rsidRPr="00380B40">
        <w:rPr>
          <w:i/>
          <w:iCs/>
          <w:lang w:val="en-GB"/>
        </w:rPr>
        <w:t>c)</w:t>
      </w:r>
      <w:r w:rsidRPr="00380B40">
        <w:rPr>
          <w:lang w:val="en-GB"/>
        </w:rPr>
        <w:tab/>
        <w:t>Resolution 102 (Rev. Busan, 2014), on ITU's role with regard to international public policy issues pertaining to the Internet and the management of Internet resources, including domain names and addresses;</w:t>
      </w:r>
    </w:p>
    <w:p w14:paraId="17FF3F58" w14:textId="77777777" w:rsidR="009C62A3" w:rsidRPr="00380B40" w:rsidRDefault="009C62A3" w:rsidP="009C62A3">
      <w:pPr>
        <w:rPr>
          <w:lang w:val="en-GB"/>
        </w:rPr>
      </w:pPr>
      <w:r w:rsidRPr="00380B40">
        <w:rPr>
          <w:i/>
          <w:iCs/>
          <w:lang w:val="en-GB"/>
        </w:rPr>
        <w:t>d)</w:t>
      </w:r>
      <w:r w:rsidRPr="00380B40">
        <w:rPr>
          <w:lang w:val="en-GB"/>
        </w:rPr>
        <w:tab/>
        <w:t>that management of the registration and allocation of Internet domain names and addresses must fully reflect the geographical nature of the Internet, taking into account an equitable balance of interests of all stakeholders;</w:t>
      </w:r>
    </w:p>
    <w:p w14:paraId="362DD1FC" w14:textId="77777777" w:rsidR="009C62A3" w:rsidRPr="00380B40" w:rsidRDefault="009C62A3" w:rsidP="009C62A3">
      <w:pPr>
        <w:rPr>
          <w:lang w:val="en-GB"/>
        </w:rPr>
      </w:pPr>
      <w:r w:rsidRPr="00380B40">
        <w:rPr>
          <w:i/>
          <w:iCs/>
          <w:lang w:val="en-GB"/>
        </w:rPr>
        <w:t>e)</w:t>
      </w:r>
      <w:r w:rsidRPr="00380B40">
        <w:rPr>
          <w:lang w:val="en-GB"/>
        </w:rPr>
        <w:tab/>
        <w:t>Resolution 64 (Rev. Busan, 2014), on non-discriminatory access to modern telecommunication/information and communication technology (ICT) facilities, services and applications, including applied research and transfer of technology, on mutually agreed terms;</w:t>
      </w:r>
    </w:p>
    <w:p w14:paraId="16DD812C" w14:textId="77777777" w:rsidR="009C62A3" w:rsidRPr="00380B40" w:rsidRDefault="009C62A3" w:rsidP="009C62A3">
      <w:pPr>
        <w:rPr>
          <w:lang w:val="en-GB"/>
        </w:rPr>
      </w:pPr>
      <w:r w:rsidRPr="00380B40">
        <w:rPr>
          <w:i/>
          <w:iCs/>
          <w:lang w:val="en-GB"/>
        </w:rPr>
        <w:t>f)</w:t>
      </w:r>
      <w:r w:rsidRPr="00380B40">
        <w:rPr>
          <w:lang w:val="en-GB"/>
        </w:rPr>
        <w:tab/>
        <w:t>Resolution 20 (Rev. Hyderabad, 2010), on non-discriminatory access to telecommunication/ICT facilities, services and related applications;</w:t>
      </w:r>
    </w:p>
    <w:p w14:paraId="4AB1398B" w14:textId="77777777" w:rsidR="009C62A3" w:rsidRPr="00380B40" w:rsidRDefault="009C62A3" w:rsidP="009C62A3">
      <w:pPr>
        <w:rPr>
          <w:lang w:val="en-GB"/>
        </w:rPr>
      </w:pPr>
      <w:r w:rsidRPr="00380B40">
        <w:rPr>
          <w:i/>
          <w:iCs/>
          <w:lang w:val="en-GB"/>
        </w:rPr>
        <w:t>g)</w:t>
      </w:r>
      <w:r w:rsidRPr="00380B40">
        <w:rPr>
          <w:lang w:val="en-GB"/>
        </w:rPr>
        <w:tab/>
        <w:t>Opinion 1 of the fourth World Telecommunication/ICT Policy Forum, on Internet-related public policy matters, and the Lisbon Consensus 2009 on the same matters,</w:t>
      </w:r>
    </w:p>
    <w:p w14:paraId="0BF96B0E" w14:textId="77777777" w:rsidR="009C62A3" w:rsidRPr="00380B40" w:rsidRDefault="009C62A3" w:rsidP="009C62A3">
      <w:pPr>
        <w:pStyle w:val="Call"/>
        <w:rPr>
          <w:lang w:val="en-GB"/>
        </w:rPr>
      </w:pPr>
      <w:r w:rsidRPr="00380B40">
        <w:rPr>
          <w:lang w:val="en-GB"/>
        </w:rPr>
        <w:t xml:space="preserve">taking into account </w:t>
      </w:r>
    </w:p>
    <w:p w14:paraId="7A8CBE97" w14:textId="77777777" w:rsidR="009C62A3" w:rsidRPr="00380B40" w:rsidRDefault="009C62A3" w:rsidP="009C62A3">
      <w:pPr>
        <w:rPr>
          <w:lang w:val="en-GB"/>
        </w:rPr>
      </w:pPr>
      <w:r w:rsidRPr="00380B40">
        <w:rPr>
          <w:i/>
          <w:iCs/>
          <w:lang w:val="en-GB"/>
        </w:rPr>
        <w:t>a)</w:t>
      </w:r>
      <w:r w:rsidRPr="00380B40">
        <w:rPr>
          <w:lang w:val="en-GB"/>
        </w:rPr>
        <w:tab/>
        <w:t>that ITU</w:t>
      </w:r>
      <w:r w:rsidRPr="00380B40">
        <w:rPr>
          <w:lang w:val="en-GB"/>
        </w:rPr>
        <w:noBreakHyphen/>
        <w:t>T is dealing with technical and policy issues related to Internet protocol (IP)-based networks, including the Internet and next-generation networks;</w:t>
      </w:r>
    </w:p>
    <w:p w14:paraId="0478A424" w14:textId="77777777" w:rsidR="009C62A3" w:rsidRPr="00380B40" w:rsidRDefault="009C62A3" w:rsidP="009C62A3">
      <w:pPr>
        <w:rPr>
          <w:lang w:val="en-GB"/>
        </w:rPr>
      </w:pPr>
      <w:r w:rsidRPr="00380B40">
        <w:rPr>
          <w:i/>
          <w:iCs/>
          <w:lang w:val="en-GB"/>
        </w:rPr>
        <w:t>b)</w:t>
      </w:r>
      <w:r w:rsidRPr="00380B40">
        <w:rPr>
          <w:lang w:val="en-GB"/>
        </w:rPr>
        <w:tab/>
        <w:t>that a number of the resolutions of this assembly deal with Internet</w:t>
      </w:r>
      <w:r w:rsidRPr="00380B40">
        <w:rPr>
          <w:lang w:val="en-GB"/>
        </w:rPr>
        <w:noBreakHyphen/>
        <w:t>related issues;</w:t>
      </w:r>
    </w:p>
    <w:p w14:paraId="233DA12B" w14:textId="77777777" w:rsidR="009C62A3" w:rsidRPr="00380B40" w:rsidRDefault="009C62A3" w:rsidP="009C62A3">
      <w:pPr>
        <w:rPr>
          <w:lang w:val="en-GB"/>
        </w:rPr>
      </w:pPr>
      <w:r w:rsidRPr="00380B40">
        <w:rPr>
          <w:i/>
          <w:iCs/>
          <w:lang w:val="en-GB"/>
        </w:rPr>
        <w:t>c)</w:t>
      </w:r>
      <w:r w:rsidRPr="00380B40">
        <w:rPr>
          <w:lang w:val="en-GB"/>
        </w:rPr>
        <w:tab/>
        <w:t>the global and open nature of the Internet as a driving force in accelerating progress towards development in its various forms;</w:t>
      </w:r>
    </w:p>
    <w:p w14:paraId="0E5CA8EB" w14:textId="77777777" w:rsidR="009C62A3" w:rsidRPr="00380B40" w:rsidRDefault="009C62A3" w:rsidP="009C62A3">
      <w:pPr>
        <w:rPr>
          <w:lang w:val="en-GB"/>
        </w:rPr>
      </w:pPr>
      <w:r w:rsidRPr="00380B40">
        <w:rPr>
          <w:i/>
          <w:iCs/>
          <w:lang w:val="en-GB"/>
        </w:rPr>
        <w:t>d)</w:t>
      </w:r>
      <w:r w:rsidRPr="00380B40">
        <w:rPr>
          <w:lang w:val="en-GB"/>
        </w:rPr>
        <w:tab/>
        <w:t>that discrimination in accessing the Internet could greatly affect the developing countries</w:t>
      </w:r>
      <w:r w:rsidR="00FD162E" w:rsidRPr="00380B40">
        <w:rPr>
          <w:rStyle w:val="FootnoteReference"/>
          <w:lang w:val="en-GB"/>
        </w:rPr>
        <w:footnoteReference w:id="31"/>
      </w:r>
      <w:r w:rsidRPr="00380B40">
        <w:rPr>
          <w:lang w:val="en-GB"/>
        </w:rPr>
        <w:t>;</w:t>
      </w:r>
    </w:p>
    <w:p w14:paraId="13C8FEFD" w14:textId="77777777" w:rsidR="009C62A3" w:rsidRPr="00380B40" w:rsidRDefault="009C62A3" w:rsidP="009C62A3">
      <w:pPr>
        <w:rPr>
          <w:lang w:val="en-GB"/>
        </w:rPr>
      </w:pPr>
      <w:r w:rsidRPr="00380B40">
        <w:rPr>
          <w:i/>
          <w:iCs/>
          <w:lang w:val="en-GB"/>
        </w:rPr>
        <w:t>e)</w:t>
      </w:r>
      <w:r w:rsidRPr="00380B40">
        <w:rPr>
          <w:lang w:val="en-GB"/>
        </w:rPr>
        <w:tab/>
        <w:t>that ITU</w:t>
      </w:r>
      <w:r w:rsidRPr="00380B40">
        <w:rPr>
          <w:lang w:val="en-GB"/>
        </w:rPr>
        <w:noBreakHyphen/>
        <w:t>T is playing a key role in bridging standardization gap between developed and developing countries,</w:t>
      </w:r>
    </w:p>
    <w:p w14:paraId="20EAEB8E" w14:textId="77777777" w:rsidR="009C62A3" w:rsidRPr="00380B40" w:rsidRDefault="009C62A3" w:rsidP="009C62A3">
      <w:pPr>
        <w:pStyle w:val="Call"/>
        <w:rPr>
          <w:lang w:val="en-GB"/>
        </w:rPr>
      </w:pPr>
      <w:r w:rsidRPr="00380B40">
        <w:rPr>
          <w:lang w:val="en-GB"/>
        </w:rPr>
        <w:t>resolves to invite Member States</w:t>
      </w:r>
    </w:p>
    <w:p w14:paraId="6F5B708A" w14:textId="77777777" w:rsidR="009C62A3" w:rsidRPr="00380B40" w:rsidRDefault="009C62A3" w:rsidP="009C62A3">
      <w:pPr>
        <w:rPr>
          <w:lang w:val="en-GB"/>
        </w:rPr>
      </w:pPr>
      <w:r w:rsidRPr="00380B40">
        <w:rPr>
          <w:lang w:val="en-GB"/>
        </w:rPr>
        <w:t>1</w:t>
      </w:r>
      <w:r w:rsidRPr="00380B40">
        <w:rPr>
          <w:lang w:val="en-GB"/>
        </w:rPr>
        <w:tab/>
        <w:t>to refrain from taking any unilateral and/or discriminatory actions that could impede another Member State from accessing public Internet sites and using resources, within the spirit of Article 1 of the Constitution and the WSIS principles;</w:t>
      </w:r>
    </w:p>
    <w:p w14:paraId="21F942B0" w14:textId="77777777" w:rsidR="007F1508" w:rsidRPr="00380B40" w:rsidRDefault="007F1508" w:rsidP="009C62A3">
      <w:pPr>
        <w:rPr>
          <w:lang w:val="en-GB"/>
        </w:rPr>
      </w:pPr>
      <w:r w:rsidRPr="00380B40">
        <w:rPr>
          <w:lang w:val="en-GB"/>
        </w:rPr>
        <w:br w:type="page"/>
      </w:r>
    </w:p>
    <w:p w14:paraId="72802AC8" w14:textId="77777777" w:rsidR="009C62A3" w:rsidRPr="00380B40" w:rsidRDefault="009C62A3" w:rsidP="009C62A3">
      <w:pPr>
        <w:rPr>
          <w:lang w:val="en-GB"/>
        </w:rPr>
      </w:pPr>
      <w:r w:rsidRPr="00380B40">
        <w:rPr>
          <w:lang w:val="en-GB"/>
        </w:rPr>
        <w:t>2</w:t>
      </w:r>
      <w:r w:rsidRPr="00380B40">
        <w:rPr>
          <w:lang w:val="en-GB"/>
        </w:rPr>
        <w:tab/>
        <w:t xml:space="preserve">to report to the Director of the Telecommunication Standardization Bureau (TSB) on any incident of the kind referred to in </w:t>
      </w:r>
      <w:r w:rsidRPr="00380B40">
        <w:rPr>
          <w:i/>
          <w:iCs/>
          <w:lang w:val="en-GB"/>
        </w:rPr>
        <w:t>resolves</w:t>
      </w:r>
      <w:r w:rsidRPr="00380B40">
        <w:rPr>
          <w:lang w:val="en-GB"/>
        </w:rPr>
        <w:t xml:space="preserve"> 1 above, </w:t>
      </w:r>
    </w:p>
    <w:p w14:paraId="39F63A7C" w14:textId="77777777" w:rsidR="009C62A3" w:rsidRPr="00380B40" w:rsidRDefault="009C62A3" w:rsidP="009C62A3">
      <w:pPr>
        <w:pStyle w:val="Call"/>
        <w:rPr>
          <w:lang w:val="en-GB"/>
        </w:rPr>
      </w:pPr>
      <w:r w:rsidRPr="00380B40">
        <w:rPr>
          <w:lang w:val="en-GB"/>
        </w:rPr>
        <w:t>instructs the Director of the Telecommunication Standardization Bureau</w:t>
      </w:r>
    </w:p>
    <w:p w14:paraId="362E7C64" w14:textId="77777777" w:rsidR="009C62A3" w:rsidRPr="00380B40" w:rsidRDefault="009C62A3" w:rsidP="009C62A3">
      <w:pPr>
        <w:rPr>
          <w:lang w:val="en-GB"/>
        </w:rPr>
      </w:pPr>
      <w:r w:rsidRPr="00380B40">
        <w:rPr>
          <w:lang w:val="en-GB"/>
        </w:rPr>
        <w:t>1</w:t>
      </w:r>
      <w:r w:rsidRPr="00380B40">
        <w:rPr>
          <w:lang w:val="en-GB"/>
        </w:rPr>
        <w:tab/>
        <w:t>to integrate and analyse the information on incidents reported from Member States;</w:t>
      </w:r>
    </w:p>
    <w:p w14:paraId="3066DDE6" w14:textId="77777777" w:rsidR="009C62A3" w:rsidRPr="00380B40" w:rsidRDefault="009C62A3" w:rsidP="009C62A3">
      <w:pPr>
        <w:rPr>
          <w:lang w:val="en-GB"/>
        </w:rPr>
      </w:pPr>
      <w:r w:rsidRPr="00380B40">
        <w:rPr>
          <w:lang w:val="en-GB"/>
        </w:rPr>
        <w:t>2</w:t>
      </w:r>
      <w:r w:rsidRPr="00380B40">
        <w:rPr>
          <w:lang w:val="en-GB"/>
        </w:rPr>
        <w:tab/>
        <w:t>to report this information to Member States, through an appropriate mechanism;</w:t>
      </w:r>
    </w:p>
    <w:p w14:paraId="755B84A9" w14:textId="77777777" w:rsidR="009C62A3" w:rsidRPr="00380B40" w:rsidRDefault="009C62A3" w:rsidP="009C62A3">
      <w:pPr>
        <w:rPr>
          <w:lang w:val="en-GB"/>
        </w:rPr>
      </w:pPr>
      <w:r w:rsidRPr="00380B40">
        <w:rPr>
          <w:lang w:val="en-GB"/>
        </w:rPr>
        <w:t>3</w:t>
      </w:r>
      <w:r w:rsidRPr="00380B40">
        <w:rPr>
          <w:lang w:val="en-GB"/>
        </w:rPr>
        <w:tab/>
        <w:t>to report to the Telecommunication Standardization Advisory Group (TSAG) on progress on this resolution, in order for TSAG to evaluate the effectiveness of its implementation;</w:t>
      </w:r>
    </w:p>
    <w:p w14:paraId="52FD4BDE" w14:textId="77777777" w:rsidR="009C62A3" w:rsidRPr="00380B40" w:rsidRDefault="009C62A3" w:rsidP="009C62A3">
      <w:pPr>
        <w:rPr>
          <w:lang w:val="en-GB"/>
        </w:rPr>
      </w:pPr>
      <w:r w:rsidRPr="00380B40">
        <w:rPr>
          <w:lang w:val="en-GB"/>
        </w:rPr>
        <w:t>4</w:t>
      </w:r>
      <w:r w:rsidRPr="00380B40">
        <w:rPr>
          <w:lang w:val="en-GB"/>
        </w:rPr>
        <w:tab/>
        <w:t>to report on progress on this resolution to the next world telecommunication standardization assembly,</w:t>
      </w:r>
    </w:p>
    <w:p w14:paraId="5A5462E2" w14:textId="77777777" w:rsidR="009C62A3" w:rsidRPr="00380B40" w:rsidRDefault="009C62A3" w:rsidP="009C62A3">
      <w:pPr>
        <w:pStyle w:val="Call"/>
        <w:rPr>
          <w:lang w:val="en-GB"/>
        </w:rPr>
      </w:pPr>
      <w:r w:rsidRPr="00380B40">
        <w:rPr>
          <w:lang w:val="en-GB"/>
        </w:rPr>
        <w:t>instructs the Secretary-General</w:t>
      </w:r>
    </w:p>
    <w:p w14:paraId="72624CC5" w14:textId="77777777" w:rsidR="009C62A3" w:rsidRPr="00380B40" w:rsidRDefault="009C62A3" w:rsidP="009C62A3">
      <w:pPr>
        <w:rPr>
          <w:lang w:val="en-GB"/>
        </w:rPr>
      </w:pPr>
      <w:r w:rsidRPr="00380B40">
        <w:rPr>
          <w:lang w:val="en-GB"/>
        </w:rPr>
        <w:t>to report annually to the ITU Council on progress on this resolution,</w:t>
      </w:r>
    </w:p>
    <w:p w14:paraId="40280525" w14:textId="77777777" w:rsidR="009C62A3" w:rsidRPr="00380B40" w:rsidRDefault="009C62A3" w:rsidP="009C62A3">
      <w:pPr>
        <w:pStyle w:val="Call"/>
        <w:rPr>
          <w:lang w:val="en-GB"/>
        </w:rPr>
      </w:pPr>
      <w:r w:rsidRPr="00380B40">
        <w:rPr>
          <w:lang w:val="en-GB"/>
        </w:rPr>
        <w:t>invites the Directors of the Telecommunication Standardization Bureau, Radiocommunication Bureau and Telecommunication Development Bureau</w:t>
      </w:r>
    </w:p>
    <w:p w14:paraId="5A5A45B7" w14:textId="77777777" w:rsidR="009C62A3" w:rsidRPr="00380B40" w:rsidRDefault="009C62A3" w:rsidP="009C62A3">
      <w:pPr>
        <w:rPr>
          <w:lang w:val="en-GB"/>
        </w:rPr>
      </w:pPr>
      <w:r w:rsidRPr="00380B40">
        <w:rPr>
          <w:lang w:val="en-GB"/>
        </w:rPr>
        <w:t>to contribute to the report on progress on this resolution,</w:t>
      </w:r>
    </w:p>
    <w:p w14:paraId="54315F30" w14:textId="77777777" w:rsidR="009C62A3" w:rsidRPr="00380B40" w:rsidRDefault="009C62A3" w:rsidP="009C62A3">
      <w:pPr>
        <w:pStyle w:val="Call"/>
        <w:rPr>
          <w:lang w:val="en-GB"/>
        </w:rPr>
      </w:pPr>
      <w:r w:rsidRPr="00380B40">
        <w:rPr>
          <w:lang w:val="en-GB"/>
        </w:rPr>
        <w:t xml:space="preserve">invites the ITU membership </w:t>
      </w:r>
    </w:p>
    <w:p w14:paraId="051D88E3" w14:textId="77777777" w:rsidR="009C62A3" w:rsidRPr="00380B40" w:rsidRDefault="009C62A3" w:rsidP="009C62A3">
      <w:pPr>
        <w:rPr>
          <w:lang w:val="en-GB"/>
        </w:rPr>
      </w:pPr>
      <w:r w:rsidRPr="00380B40">
        <w:rPr>
          <w:lang w:val="en-GB"/>
        </w:rPr>
        <w:t>to submit contributions to the ITU</w:t>
      </w:r>
      <w:r w:rsidRPr="00380B40">
        <w:rPr>
          <w:lang w:val="en-GB"/>
        </w:rPr>
        <w:noBreakHyphen/>
        <w:t>T study groups that contribute to the prevention and avoidance of such practices.</w:t>
      </w:r>
    </w:p>
    <w:p w14:paraId="591914C6" w14:textId="77777777" w:rsidR="00BD286B" w:rsidRPr="00380B40" w:rsidRDefault="00BD286B" w:rsidP="009C62A3">
      <w:pPr>
        <w:rPr>
          <w:lang w:val="en-GB"/>
        </w:rPr>
      </w:pPr>
    </w:p>
    <w:p w14:paraId="323EE57E" w14:textId="77777777" w:rsidR="00BD286B" w:rsidRPr="00380B40" w:rsidRDefault="00BD286B" w:rsidP="009C62A3">
      <w:pPr>
        <w:rPr>
          <w:lang w:val="en-GB"/>
        </w:rPr>
      </w:pPr>
    </w:p>
    <w:p w14:paraId="31F6EC64" w14:textId="77777777" w:rsidR="00BD286B" w:rsidRPr="00380B40" w:rsidRDefault="00BD286B" w:rsidP="009C62A3">
      <w:pPr>
        <w:rPr>
          <w:lang w:val="en-GB"/>
        </w:rPr>
      </w:pPr>
    </w:p>
    <w:p w14:paraId="68D77518" w14:textId="77777777" w:rsidR="007F1508" w:rsidRPr="00380B40" w:rsidRDefault="007F1508" w:rsidP="009C62A3">
      <w:pPr>
        <w:rPr>
          <w:lang w:val="en-GB"/>
        </w:rPr>
      </w:pPr>
    </w:p>
    <w:p w14:paraId="2CB3FF79" w14:textId="77777777" w:rsidR="007F1508" w:rsidRPr="00380B40" w:rsidRDefault="007F1508" w:rsidP="009C62A3">
      <w:pPr>
        <w:rPr>
          <w:lang w:val="en-GB"/>
        </w:rPr>
      </w:pPr>
    </w:p>
    <w:p w14:paraId="105C9210" w14:textId="77777777" w:rsidR="007F1508" w:rsidRPr="00380B40" w:rsidRDefault="007F1508" w:rsidP="009C62A3">
      <w:pPr>
        <w:rPr>
          <w:lang w:val="en-GB"/>
        </w:rPr>
      </w:pPr>
    </w:p>
    <w:p w14:paraId="4A5C1FC4" w14:textId="77777777" w:rsidR="007F1508" w:rsidRPr="00380B40" w:rsidRDefault="007F1508" w:rsidP="009C62A3">
      <w:pPr>
        <w:rPr>
          <w:lang w:val="en-GB"/>
        </w:rPr>
      </w:pPr>
    </w:p>
    <w:p w14:paraId="4B3B85A2" w14:textId="77777777" w:rsidR="00BD286B" w:rsidRPr="00380B40" w:rsidRDefault="00BD286B" w:rsidP="009C62A3">
      <w:pPr>
        <w:rPr>
          <w:lang w:val="en-GB"/>
        </w:rPr>
      </w:pPr>
    </w:p>
    <w:p w14:paraId="4582731D" w14:textId="77777777" w:rsidR="00BD286B" w:rsidRPr="00380B40" w:rsidRDefault="00BD286B" w:rsidP="009C62A3">
      <w:pPr>
        <w:rPr>
          <w:lang w:val="en-GB"/>
        </w:rPr>
      </w:pPr>
    </w:p>
    <w:p w14:paraId="38870284" w14:textId="77777777" w:rsidR="00BD286B" w:rsidRPr="00380B40" w:rsidRDefault="00BD286B" w:rsidP="009C62A3">
      <w:pPr>
        <w:rPr>
          <w:lang w:val="en-GB"/>
        </w:rPr>
      </w:pPr>
    </w:p>
    <w:p w14:paraId="2E7859C5" w14:textId="77777777" w:rsidR="00BD286B" w:rsidRPr="00380B40" w:rsidRDefault="00BD286B" w:rsidP="009C62A3">
      <w:pPr>
        <w:rPr>
          <w:lang w:val="en-GB"/>
        </w:rPr>
      </w:pPr>
    </w:p>
    <w:p w14:paraId="5A18AFE9" w14:textId="77777777" w:rsidR="00B97E2C" w:rsidRPr="00380B40" w:rsidRDefault="00B97E2C" w:rsidP="00B97E2C">
      <w:pPr>
        <w:rPr>
          <w:lang w:val="en-GB"/>
        </w:rPr>
      </w:pPr>
    </w:p>
    <w:p w14:paraId="00215338" w14:textId="77777777" w:rsidR="00B97E2C" w:rsidRPr="00380B40" w:rsidRDefault="00B97E2C" w:rsidP="00B97E2C">
      <w:pPr>
        <w:rPr>
          <w:lang w:val="en-GB"/>
        </w:rPr>
        <w:sectPr w:rsidR="00B97E2C" w:rsidRPr="00380B40" w:rsidSect="007D080E">
          <w:headerReference w:type="even" r:id="rId195"/>
          <w:headerReference w:type="default" r:id="rId196"/>
          <w:footerReference w:type="even" r:id="rId197"/>
          <w:footerReference w:type="default" r:id="rId198"/>
          <w:headerReference w:type="first" r:id="rId199"/>
          <w:footerReference w:type="first" r:id="rId200"/>
          <w:footnotePr>
            <w:numRestart w:val="eachSect"/>
          </w:footnotePr>
          <w:pgSz w:w="11907" w:h="16834" w:code="9"/>
          <w:pgMar w:top="1134" w:right="1134" w:bottom="1134" w:left="1134" w:header="567" w:footer="567" w:gutter="0"/>
          <w:paperSrc w:first="15" w:other="15"/>
          <w:cols w:space="720"/>
          <w:vAlign w:val="both"/>
          <w:docGrid w:linePitch="299"/>
        </w:sectPr>
      </w:pPr>
    </w:p>
    <w:p w14:paraId="19822918" w14:textId="77777777" w:rsidR="009C62A3" w:rsidRPr="00380B40" w:rsidRDefault="009C62A3" w:rsidP="008A70C9">
      <w:pPr>
        <w:pStyle w:val="ResNo"/>
        <w:rPr>
          <w:lang w:val="en-GB"/>
        </w:rPr>
      </w:pPr>
      <w:bookmarkStart w:id="301" w:name="_Toc104459753"/>
      <w:bookmarkStart w:id="302" w:name="_Toc104476561"/>
      <w:bookmarkStart w:id="303" w:name="_Toc111636790"/>
      <w:bookmarkStart w:id="304" w:name="_Toc111638454"/>
      <w:r w:rsidRPr="00380B40">
        <w:rPr>
          <w:lang w:val="en-GB"/>
        </w:rPr>
        <w:t>RESOLUTION </w:t>
      </w:r>
      <w:r w:rsidRPr="00380B40">
        <w:rPr>
          <w:rStyle w:val="href"/>
          <w:lang w:val="en-GB"/>
        </w:rPr>
        <w:t>70</w:t>
      </w:r>
      <w:r w:rsidRPr="00380B40">
        <w:rPr>
          <w:lang w:val="en-GB"/>
        </w:rPr>
        <w:t xml:space="preserve"> </w:t>
      </w:r>
      <w:r w:rsidR="008A70C9" w:rsidRPr="00380B40">
        <w:rPr>
          <w:lang w:val="en-GB"/>
        </w:rPr>
        <w:t>(R</w:t>
      </w:r>
      <w:r w:rsidR="007D7127" w:rsidRPr="00380B40">
        <w:rPr>
          <w:caps w:val="0"/>
          <w:lang w:val="en-GB"/>
        </w:rPr>
        <w:t>ev</w:t>
      </w:r>
      <w:r w:rsidR="008A70C9" w:rsidRPr="00380B40">
        <w:rPr>
          <w:lang w:val="en-GB"/>
        </w:rPr>
        <w:t>. G</w:t>
      </w:r>
      <w:r w:rsidR="007D7127" w:rsidRPr="00380B40">
        <w:rPr>
          <w:caps w:val="0"/>
          <w:lang w:val="en-GB"/>
        </w:rPr>
        <w:t>eneva</w:t>
      </w:r>
      <w:r w:rsidR="008A70C9" w:rsidRPr="00380B40">
        <w:rPr>
          <w:lang w:val="en-GB"/>
        </w:rPr>
        <w:t>, 2022)</w:t>
      </w:r>
      <w:bookmarkEnd w:id="301"/>
      <w:bookmarkEnd w:id="302"/>
      <w:bookmarkEnd w:id="303"/>
      <w:bookmarkEnd w:id="304"/>
    </w:p>
    <w:p w14:paraId="316F3578" w14:textId="77777777" w:rsidR="008A70C9" w:rsidRPr="00380B40" w:rsidRDefault="008A70C9" w:rsidP="008A70C9">
      <w:pPr>
        <w:pStyle w:val="Restitle"/>
        <w:rPr>
          <w:lang w:val="en-GB"/>
        </w:rPr>
      </w:pPr>
      <w:bookmarkStart w:id="305" w:name="_Toc104459754"/>
      <w:bookmarkStart w:id="306" w:name="_Toc104476562"/>
      <w:bookmarkStart w:id="307" w:name="_Toc111638455"/>
      <w:r w:rsidRPr="00380B40">
        <w:rPr>
          <w:lang w:val="en-GB"/>
        </w:rPr>
        <w:t xml:space="preserve">Telecommunication/information and communication technology </w:t>
      </w:r>
      <w:r w:rsidR="00E36F7A" w:rsidRPr="00380B40">
        <w:rPr>
          <w:lang w:val="en-GB"/>
        </w:rPr>
        <w:br/>
      </w:r>
      <w:r w:rsidRPr="00380B40">
        <w:rPr>
          <w:lang w:val="en-GB"/>
        </w:rPr>
        <w:t xml:space="preserve">accessibility for persons with disabilities and persons </w:t>
      </w:r>
      <w:r w:rsidR="00E36F7A" w:rsidRPr="00380B40">
        <w:rPr>
          <w:lang w:val="en-GB"/>
        </w:rPr>
        <w:br/>
      </w:r>
      <w:r w:rsidRPr="00380B40">
        <w:rPr>
          <w:lang w:val="en-GB"/>
        </w:rPr>
        <w:t>with specific needs</w:t>
      </w:r>
      <w:bookmarkEnd w:id="305"/>
      <w:bookmarkEnd w:id="306"/>
      <w:bookmarkEnd w:id="307"/>
    </w:p>
    <w:p w14:paraId="126303D6" w14:textId="77777777" w:rsidR="008A70C9" w:rsidRPr="00380B40" w:rsidRDefault="008A70C9" w:rsidP="008A70C9">
      <w:pPr>
        <w:pStyle w:val="Resref"/>
        <w:rPr>
          <w:lang w:val="en-GB"/>
        </w:rPr>
      </w:pPr>
      <w:r w:rsidRPr="00380B40">
        <w:rPr>
          <w:lang w:val="en-GB"/>
        </w:rPr>
        <w:t>(Johannesburg, 2008; Dubai, 2012; Hammamet, 2016; Geneva, 2022)</w:t>
      </w:r>
    </w:p>
    <w:p w14:paraId="7B96DA1E" w14:textId="77777777" w:rsidR="008A70C9" w:rsidRPr="00380B40" w:rsidRDefault="008A70C9" w:rsidP="008A70C9">
      <w:pPr>
        <w:pStyle w:val="Normalaftertitle0"/>
      </w:pPr>
      <w:r w:rsidRPr="00380B40">
        <w:t>The World Telecommunication Standardization Assembly (Geneva, 2022),</w:t>
      </w:r>
    </w:p>
    <w:p w14:paraId="653AA5A3" w14:textId="77777777" w:rsidR="008A70C9" w:rsidRPr="00380B40" w:rsidRDefault="008A70C9" w:rsidP="008A70C9">
      <w:pPr>
        <w:pStyle w:val="Call"/>
        <w:rPr>
          <w:lang w:val="en-GB"/>
        </w:rPr>
      </w:pPr>
      <w:r w:rsidRPr="00380B40">
        <w:rPr>
          <w:lang w:val="en-GB"/>
        </w:rPr>
        <w:t>recognizing</w:t>
      </w:r>
    </w:p>
    <w:p w14:paraId="15F1380F" w14:textId="77777777" w:rsidR="008A70C9" w:rsidRPr="00380B40" w:rsidRDefault="008A70C9" w:rsidP="008A70C9">
      <w:pPr>
        <w:rPr>
          <w:lang w:val="en-GB"/>
        </w:rPr>
      </w:pPr>
      <w:r w:rsidRPr="00380B40">
        <w:rPr>
          <w:i/>
          <w:iCs/>
          <w:lang w:val="en-GB"/>
        </w:rPr>
        <w:t>a)</w:t>
      </w:r>
      <w:r w:rsidRPr="00380B40">
        <w:rPr>
          <w:lang w:val="en-GB"/>
        </w:rPr>
        <w:tab/>
        <w:t xml:space="preserve">Resolution 175 (Rev. Dubai, 2018) of the Plenipotentiary Conference, on telecommunication/information and communication technology (ICT) accessibility for persons with disabilities, including age-related disabilities, and persons with specific needs; </w:t>
      </w:r>
    </w:p>
    <w:p w14:paraId="620042C2" w14:textId="77777777" w:rsidR="008A70C9" w:rsidRPr="00380B40" w:rsidRDefault="008A70C9" w:rsidP="008A70C9">
      <w:pPr>
        <w:rPr>
          <w:lang w:val="en-GB"/>
        </w:rPr>
      </w:pPr>
      <w:r w:rsidRPr="00380B40">
        <w:rPr>
          <w:i/>
          <w:iCs/>
          <w:lang w:val="en-GB"/>
        </w:rPr>
        <w:t>b)</w:t>
      </w:r>
      <w:r w:rsidRPr="00380B40">
        <w:rPr>
          <w:lang w:val="en-GB"/>
        </w:rPr>
        <w:tab/>
        <w:t>Resolution 58 (Rev. Buenos Aires, 2017) of the World Telecommunication Development Conference (WTDC), on telecommunication/ICT accessibility for persons with disabilities and persons with specific needs, and WTDC Resolution 17 (Rev. Buenos Aires, 2017), on implementation of regionally approved initiatives at the national, regional, interregional and global levels;</w:t>
      </w:r>
    </w:p>
    <w:p w14:paraId="3F0DE5DE" w14:textId="77777777" w:rsidR="008A70C9" w:rsidRPr="00380B40" w:rsidRDefault="008A70C9" w:rsidP="008A70C9">
      <w:pPr>
        <w:rPr>
          <w:lang w:val="en-GB"/>
        </w:rPr>
      </w:pPr>
      <w:r w:rsidRPr="00380B40">
        <w:rPr>
          <w:i/>
          <w:iCs/>
          <w:lang w:val="en-GB"/>
        </w:rPr>
        <w:t>c)</w:t>
      </w:r>
      <w:r w:rsidRPr="00380B40">
        <w:rPr>
          <w:i/>
          <w:iCs/>
          <w:lang w:val="en-GB"/>
        </w:rPr>
        <w:tab/>
      </w:r>
      <w:r w:rsidRPr="00380B40">
        <w:rPr>
          <w:lang w:val="en-GB"/>
        </w:rPr>
        <w:t>Resolution ITU</w:t>
      </w:r>
      <w:r w:rsidRPr="00380B40">
        <w:rPr>
          <w:lang w:val="en-GB"/>
        </w:rPr>
        <w:noBreakHyphen/>
        <w:t>R 67 (Rev. Sharm el-Sheikh, 2019) of the ITU Radiocommunication Assembly, on telecommunication/ICT accessibility for persons with disabilities and persons with specific needs;</w:t>
      </w:r>
    </w:p>
    <w:p w14:paraId="133843E0" w14:textId="77777777" w:rsidR="008A70C9" w:rsidRPr="00380B40" w:rsidRDefault="008A70C9" w:rsidP="008A70C9">
      <w:pPr>
        <w:rPr>
          <w:lang w:val="en-GB"/>
        </w:rPr>
      </w:pPr>
      <w:r w:rsidRPr="00380B40">
        <w:rPr>
          <w:i/>
          <w:iCs/>
          <w:lang w:val="en-GB"/>
        </w:rPr>
        <w:t>d)</w:t>
      </w:r>
      <w:r w:rsidRPr="00380B40">
        <w:rPr>
          <w:lang w:val="en-GB"/>
        </w:rPr>
        <w:tab/>
        <w:t>the mandate of and work carried by the Joint Coordination Activity on Accessibility and Human Factors (JCA-AHF), and in particular ITU Telecommunication Standardization Sector (ITU</w:t>
      </w:r>
      <w:r w:rsidRPr="00380B40">
        <w:rPr>
          <w:lang w:val="en-GB"/>
        </w:rPr>
        <w:noBreakHyphen/>
        <w:t>T) actions to increase cooperation with other United Nations organizations and activities, as well as all United Nations specialized agencies, in order to raise awareness about ICT accessibility in the framework of standardization, and ITU</w:t>
      </w:r>
      <w:r w:rsidRPr="00380B40">
        <w:rPr>
          <w:lang w:val="en-GB"/>
        </w:rPr>
        <w:noBreakHyphen/>
        <w:t>T actions aimed at upholding JCA-AHF;</w:t>
      </w:r>
    </w:p>
    <w:p w14:paraId="7090B420" w14:textId="77777777" w:rsidR="008A70C9" w:rsidRPr="00380B40" w:rsidRDefault="008A70C9" w:rsidP="008A70C9">
      <w:pPr>
        <w:rPr>
          <w:lang w:val="en-GB"/>
        </w:rPr>
      </w:pPr>
      <w:r w:rsidRPr="00380B40">
        <w:rPr>
          <w:i/>
          <w:iCs/>
          <w:lang w:val="en-GB"/>
        </w:rPr>
        <w:t>e)</w:t>
      </w:r>
      <w:r w:rsidRPr="00380B40">
        <w:rPr>
          <w:lang w:val="en-GB"/>
        </w:rPr>
        <w:tab/>
        <w:t>studies carried out by ITU-T study groups, in particular ITU-T Study Group 16, on the accessibility of multimedia systems and services for persons with disabilities and persons with specific needs;</w:t>
      </w:r>
    </w:p>
    <w:p w14:paraId="7A5B21F6" w14:textId="77777777" w:rsidR="008A70C9" w:rsidRPr="00380B40" w:rsidRDefault="008A70C9" w:rsidP="008A70C9">
      <w:pPr>
        <w:rPr>
          <w:lang w:val="en-GB"/>
        </w:rPr>
      </w:pPr>
      <w:r w:rsidRPr="00380B40">
        <w:rPr>
          <w:i/>
          <w:iCs/>
          <w:lang w:val="en-GB"/>
        </w:rPr>
        <w:t>f)</w:t>
      </w:r>
      <w:r w:rsidRPr="00380B40">
        <w:rPr>
          <w:lang w:val="en-GB"/>
        </w:rPr>
        <w:tab/>
        <w:t>studies under Question 7/1 of the ITU Telecommunication Development Sector (ITU</w:t>
      </w:r>
      <w:r w:rsidRPr="00380B40">
        <w:rPr>
          <w:lang w:val="en-GB"/>
        </w:rPr>
        <w:noBreakHyphen/>
        <w:t>D), on access to telecommunication/ICT services by persons with disabilities and other persons with specific needs;</w:t>
      </w:r>
    </w:p>
    <w:p w14:paraId="1532E1C4" w14:textId="77777777" w:rsidR="008A70C9" w:rsidRPr="00380B40" w:rsidRDefault="008A70C9" w:rsidP="008A70C9">
      <w:pPr>
        <w:rPr>
          <w:i/>
          <w:iCs/>
          <w:lang w:val="en-GB"/>
        </w:rPr>
      </w:pPr>
      <w:r w:rsidRPr="00380B40">
        <w:rPr>
          <w:i/>
          <w:iCs/>
          <w:lang w:val="en-GB"/>
        </w:rPr>
        <w:t>g)</w:t>
      </w:r>
      <w:r w:rsidRPr="00380B40">
        <w:rPr>
          <w:lang w:val="en-GB"/>
        </w:rPr>
        <w:tab/>
        <w:t>the mandate of JCA-AHF for the purposes of awareness-raising, advice, assistance, collaboration, coordination and networking;</w:t>
      </w:r>
    </w:p>
    <w:p w14:paraId="5C0BD85F" w14:textId="77777777" w:rsidR="008A70C9" w:rsidRPr="00380B40" w:rsidRDefault="008A70C9" w:rsidP="008A70C9">
      <w:pPr>
        <w:rPr>
          <w:lang w:val="en-GB"/>
        </w:rPr>
      </w:pPr>
      <w:r w:rsidRPr="00380B40">
        <w:rPr>
          <w:i/>
          <w:iCs/>
          <w:lang w:val="en-GB"/>
        </w:rPr>
        <w:t>h)</w:t>
      </w:r>
      <w:r w:rsidRPr="00380B40">
        <w:rPr>
          <w:lang w:val="en-GB"/>
        </w:rPr>
        <w:tab/>
        <w:t>the activity carried out by the Internet Governance Forum (IGF) Dynamic Coalition on Accessibility and Disability (DCAD) for the purposes of maximizing the benefits of electronic communications and online information through the Internet for all sectors of the global community;</w:t>
      </w:r>
    </w:p>
    <w:p w14:paraId="4D7888E1" w14:textId="77777777" w:rsidR="007F1508" w:rsidRPr="00380B40" w:rsidRDefault="007F1508" w:rsidP="008A70C9">
      <w:pPr>
        <w:rPr>
          <w:i/>
          <w:iCs/>
          <w:lang w:val="en-GB"/>
        </w:rPr>
      </w:pPr>
      <w:r w:rsidRPr="00380B40">
        <w:rPr>
          <w:i/>
          <w:iCs/>
          <w:lang w:val="en-GB"/>
        </w:rPr>
        <w:br w:type="page"/>
      </w:r>
    </w:p>
    <w:p w14:paraId="24280DCF" w14:textId="77777777" w:rsidR="008A70C9" w:rsidRPr="00380B40" w:rsidRDefault="008A70C9" w:rsidP="008A70C9">
      <w:pPr>
        <w:rPr>
          <w:lang w:val="en-GB"/>
        </w:rPr>
      </w:pPr>
      <w:r w:rsidRPr="00380B40">
        <w:rPr>
          <w:i/>
          <w:iCs/>
          <w:lang w:val="en-GB"/>
        </w:rPr>
        <w:t>i)</w:t>
      </w:r>
      <w:r w:rsidRPr="00380B40">
        <w:rPr>
          <w:i/>
          <w:iCs/>
          <w:lang w:val="en-GB"/>
        </w:rPr>
        <w:tab/>
      </w:r>
      <w:r w:rsidRPr="00380B40">
        <w:rPr>
          <w:lang w:val="en-GB"/>
        </w:rPr>
        <w:t>the activity carried out by the Council Working Group on international Internet-related public policy issues on issues related to access to the Internet for persons with disabilities and specific needs;</w:t>
      </w:r>
    </w:p>
    <w:p w14:paraId="2FA69185" w14:textId="77777777" w:rsidR="008A70C9" w:rsidRPr="00380B40" w:rsidRDefault="008A70C9" w:rsidP="008A70C9">
      <w:pPr>
        <w:rPr>
          <w:i/>
          <w:iCs/>
          <w:lang w:val="en-GB"/>
        </w:rPr>
      </w:pPr>
      <w:r w:rsidRPr="00380B40">
        <w:rPr>
          <w:i/>
          <w:iCs/>
          <w:lang w:val="en-GB"/>
        </w:rPr>
        <w:t>j)</w:t>
      </w:r>
      <w:r w:rsidRPr="00380B40">
        <w:rPr>
          <w:lang w:val="en-GB"/>
        </w:rPr>
        <w:tab/>
        <w:t>ongoing work in the ITU Radiocommunication Sector (ITU</w:t>
      </w:r>
      <w:r w:rsidRPr="00380B40">
        <w:rPr>
          <w:lang w:val="en-GB"/>
        </w:rPr>
        <w:noBreakHyphen/>
        <w:t xml:space="preserve">R) </w:t>
      </w:r>
      <w:r w:rsidRPr="00380B40">
        <w:rPr>
          <w:lang w:val="en-GB" w:eastAsia="zh-CN"/>
        </w:rPr>
        <w:t>in accordance with Resolution ITU</w:t>
      </w:r>
      <w:r w:rsidRPr="00380B40">
        <w:rPr>
          <w:lang w:val="en-GB" w:eastAsia="zh-CN"/>
        </w:rPr>
        <w:noBreakHyphen/>
        <w:t>R 67 (Rev. Sharm el-Sheikh, 2019)</w:t>
      </w:r>
      <w:r w:rsidRPr="00380B40">
        <w:rPr>
          <w:lang w:val="en-GB"/>
        </w:rPr>
        <w:t>;</w:t>
      </w:r>
    </w:p>
    <w:p w14:paraId="2429748F" w14:textId="77777777" w:rsidR="008A70C9" w:rsidRPr="00380B40" w:rsidRDefault="008A70C9" w:rsidP="008A70C9">
      <w:pPr>
        <w:rPr>
          <w:lang w:val="en-GB"/>
        </w:rPr>
      </w:pPr>
      <w:r w:rsidRPr="00380B40">
        <w:rPr>
          <w:i/>
          <w:iCs/>
          <w:lang w:val="en-GB"/>
        </w:rPr>
        <w:t>k)</w:t>
      </w:r>
      <w:r w:rsidRPr="00380B40">
        <w:rPr>
          <w:lang w:val="en-GB"/>
        </w:rPr>
        <w:tab/>
        <w:t>the publication by the Telecommunication Standardization Advisory Group of the guide for ITU study groups: Considering end-user needs in developing Recommendations;</w:t>
      </w:r>
    </w:p>
    <w:p w14:paraId="6569523C" w14:textId="77777777" w:rsidR="008A70C9" w:rsidRPr="00380B40" w:rsidRDefault="008A70C9" w:rsidP="008A70C9">
      <w:pPr>
        <w:rPr>
          <w:lang w:val="en-GB"/>
        </w:rPr>
      </w:pPr>
      <w:r w:rsidRPr="00380B40">
        <w:rPr>
          <w:i/>
          <w:iCs/>
          <w:lang w:val="en-GB"/>
        </w:rPr>
        <w:t>l)</w:t>
      </w:r>
      <w:r w:rsidRPr="00380B40">
        <w:rPr>
          <w:lang w:val="en-GB"/>
        </w:rPr>
        <w:tab/>
        <w:t>the publication of Recommendation ITU-T F.930, on multimedia telecommunication relay services,</w:t>
      </w:r>
    </w:p>
    <w:p w14:paraId="1484C228" w14:textId="77777777" w:rsidR="008A70C9" w:rsidRPr="00380B40" w:rsidRDefault="008A70C9" w:rsidP="008A70C9">
      <w:pPr>
        <w:pStyle w:val="Call"/>
        <w:rPr>
          <w:lang w:val="en-GB"/>
        </w:rPr>
      </w:pPr>
      <w:r w:rsidRPr="00380B40">
        <w:rPr>
          <w:lang w:val="en-GB"/>
        </w:rPr>
        <w:t>considering</w:t>
      </w:r>
    </w:p>
    <w:p w14:paraId="441943C2" w14:textId="77777777" w:rsidR="008A70C9" w:rsidRPr="00380B40" w:rsidRDefault="008A70C9" w:rsidP="008A70C9">
      <w:pPr>
        <w:rPr>
          <w:lang w:val="en-GB"/>
        </w:rPr>
      </w:pPr>
      <w:r w:rsidRPr="00380B40">
        <w:rPr>
          <w:i/>
          <w:iCs/>
          <w:lang w:val="en-GB"/>
        </w:rPr>
        <w:t>a)</w:t>
      </w:r>
      <w:r w:rsidRPr="00380B40">
        <w:rPr>
          <w:lang w:val="en-GB"/>
        </w:rPr>
        <w:tab/>
        <w:t>that the World Health Organization estimates that more than one billion of the world's population live with some form of disability, of whom almost 200 million experience considerable difficulty in their daily lives, and it is to be expected that, in the future, disabilities will rise because of the increasing population of older persons and the risk that disability is greater among older persons;</w:t>
      </w:r>
    </w:p>
    <w:p w14:paraId="18495168" w14:textId="77777777" w:rsidR="008A70C9" w:rsidRPr="00380B40" w:rsidRDefault="008A70C9" w:rsidP="008A70C9">
      <w:pPr>
        <w:rPr>
          <w:lang w:val="en-GB"/>
        </w:rPr>
      </w:pPr>
      <w:r w:rsidRPr="00380B40">
        <w:rPr>
          <w:i/>
          <w:iCs/>
          <w:lang w:val="en-GB"/>
        </w:rPr>
        <w:t>b)</w:t>
      </w:r>
      <w:r w:rsidRPr="00380B40">
        <w:rPr>
          <w:lang w:val="en-GB"/>
        </w:rPr>
        <w:tab/>
        <w:t>that the United Nations has moved from a health and welfare perspective to an approach based on human rights, which recognizes that persons with disabilities are people first, and that society places barriers upon them as opposed to their disabilities, and which includes the goal of full participation in society by persons with disabilities (Resolution 175 (Rev. Dubai, 2018));</w:t>
      </w:r>
    </w:p>
    <w:p w14:paraId="4FC4B3C9" w14:textId="77777777" w:rsidR="008A70C9" w:rsidRPr="00380B40" w:rsidRDefault="008A70C9" w:rsidP="008A70C9">
      <w:pPr>
        <w:rPr>
          <w:lang w:val="en-GB"/>
        </w:rPr>
      </w:pPr>
      <w:r w:rsidRPr="00380B40">
        <w:rPr>
          <w:i/>
          <w:iCs/>
          <w:lang w:val="en-GB"/>
        </w:rPr>
        <w:t>c)</w:t>
      </w:r>
      <w:r w:rsidRPr="00380B40">
        <w:rPr>
          <w:lang w:val="en-GB"/>
        </w:rPr>
        <w:tab/>
        <w:t>that maximizing the accessibility and usability of telecommunication/ICT services, products and terminals through universal design will increase their uptake by all persons, including persons with disabilities and older persons, and thereby increase revenues;</w:t>
      </w:r>
    </w:p>
    <w:p w14:paraId="4831F7EA" w14:textId="77777777" w:rsidR="008A70C9" w:rsidRPr="00380B40" w:rsidRDefault="008A70C9" w:rsidP="008A70C9">
      <w:pPr>
        <w:rPr>
          <w:lang w:val="en-GB"/>
        </w:rPr>
      </w:pPr>
      <w:r w:rsidRPr="00380B40">
        <w:rPr>
          <w:i/>
          <w:iCs/>
          <w:lang w:val="en-GB"/>
        </w:rPr>
        <w:t>d)</w:t>
      </w:r>
      <w:r w:rsidRPr="00380B40">
        <w:rPr>
          <w:lang w:val="en-GB"/>
        </w:rPr>
        <w:tab/>
        <w:t>that United Nations General Assembly (UNGA) Resolution 61/106, adopting the Convention on the Rights of Persons with Disabilities, requests the United Nations Secretary-General (§ 5) "… to implement progressively standards and guidelines for the accessibility of facilities and services of the United Nations system, taking into account relevant provisions of the Convention, in particular when undertaking renovations";</w:t>
      </w:r>
    </w:p>
    <w:p w14:paraId="4000BA4D" w14:textId="77777777" w:rsidR="008A70C9" w:rsidRPr="00380B40" w:rsidRDefault="008A70C9" w:rsidP="008A70C9">
      <w:pPr>
        <w:rPr>
          <w:lang w:val="en-GB"/>
        </w:rPr>
      </w:pPr>
      <w:r w:rsidRPr="00380B40">
        <w:rPr>
          <w:i/>
          <w:iCs/>
          <w:lang w:val="en-GB"/>
        </w:rPr>
        <w:t>e)</w:t>
      </w:r>
      <w:r w:rsidRPr="00380B40">
        <w:rPr>
          <w:lang w:val="en-GB"/>
        </w:rPr>
        <w:tab/>
        <w:t>the importance of cooperation between governments, the private sector and relevant organizations to promote affordable access possibilities,</w:t>
      </w:r>
    </w:p>
    <w:p w14:paraId="76F80432" w14:textId="77777777" w:rsidR="007F1508" w:rsidRPr="00380B40" w:rsidRDefault="007F1508" w:rsidP="008A70C9">
      <w:pPr>
        <w:pStyle w:val="Call"/>
        <w:rPr>
          <w:lang w:val="en-GB"/>
        </w:rPr>
      </w:pPr>
      <w:r w:rsidRPr="00380B40">
        <w:rPr>
          <w:lang w:val="en-GB"/>
        </w:rPr>
        <w:br w:type="page"/>
      </w:r>
    </w:p>
    <w:p w14:paraId="23C5E568" w14:textId="77777777" w:rsidR="008A70C9" w:rsidRPr="00380B40" w:rsidRDefault="008A70C9" w:rsidP="008A70C9">
      <w:pPr>
        <w:pStyle w:val="Call"/>
        <w:rPr>
          <w:lang w:val="en-GB"/>
        </w:rPr>
      </w:pPr>
      <w:r w:rsidRPr="00380B40">
        <w:rPr>
          <w:lang w:val="en-GB"/>
        </w:rPr>
        <w:t>recalling</w:t>
      </w:r>
    </w:p>
    <w:p w14:paraId="79FE8857" w14:textId="77777777" w:rsidR="008A70C9" w:rsidRPr="00380B40" w:rsidRDefault="008A70C9" w:rsidP="008A70C9">
      <w:pPr>
        <w:rPr>
          <w:lang w:val="en-GB"/>
        </w:rPr>
      </w:pPr>
      <w:r w:rsidRPr="00380B40">
        <w:rPr>
          <w:i/>
          <w:iCs/>
          <w:lang w:val="en-GB"/>
        </w:rPr>
        <w:t>a)</w:t>
      </w:r>
      <w:r w:rsidRPr="00380B40">
        <w:rPr>
          <w:lang w:val="en-GB"/>
        </w:rPr>
        <w:tab/>
        <w:t>§ 18 of the Tunis Commitment, made at the second phase of the World Summit on the Information Society (Tunis, 2005): "We shall strive unremittingly, therefore, to promote universal, ubiquitous, equitable and affordable access to ICTs, including universal design and assistive technologies, for all people, especially those with disabilities, everywhere, to ensure that the benefits are more evenly distributed between and within societies, …"</w:t>
      </w:r>
      <w:r w:rsidR="00FD162E" w:rsidRPr="00380B40">
        <w:rPr>
          <w:rStyle w:val="FootnoteReference"/>
          <w:lang w:val="en-GB"/>
        </w:rPr>
        <w:footnoteReference w:id="32"/>
      </w:r>
      <w:r w:rsidRPr="00380B40">
        <w:rPr>
          <w:lang w:val="en-GB"/>
        </w:rPr>
        <w:t>;</w:t>
      </w:r>
    </w:p>
    <w:p w14:paraId="34C16F56" w14:textId="77777777" w:rsidR="008A70C9" w:rsidRPr="00380B40" w:rsidRDefault="008A70C9" w:rsidP="008A70C9">
      <w:pPr>
        <w:rPr>
          <w:lang w:val="en-GB"/>
        </w:rPr>
      </w:pPr>
      <w:r w:rsidRPr="00380B40">
        <w:rPr>
          <w:i/>
          <w:iCs/>
          <w:lang w:val="en-GB"/>
        </w:rPr>
        <w:t>b)</w:t>
      </w:r>
      <w:r w:rsidRPr="00380B40">
        <w:rPr>
          <w:lang w:val="en-GB"/>
        </w:rPr>
        <w:tab/>
        <w:t>the Phuket Declaration on Tsunami Preparedness for Persons with Disabilities (Phuket, 2007), which emphasizes the need for inclusive emergency warning and disaster management systems using telecommunication/ICT facilities based on open, non-proprietary, global standards;</w:t>
      </w:r>
    </w:p>
    <w:p w14:paraId="7BD90849" w14:textId="77777777" w:rsidR="008A70C9" w:rsidRPr="00380B40" w:rsidRDefault="008A70C9" w:rsidP="008A70C9">
      <w:pPr>
        <w:rPr>
          <w:lang w:val="en-GB"/>
        </w:rPr>
      </w:pPr>
      <w:r w:rsidRPr="00380B40">
        <w:rPr>
          <w:i/>
          <w:iCs/>
          <w:lang w:val="en-GB"/>
        </w:rPr>
        <w:t>c)</w:t>
      </w:r>
      <w:r w:rsidRPr="00380B40">
        <w:rPr>
          <w:lang w:val="en-GB"/>
        </w:rPr>
        <w:tab/>
        <w:t>Article 12 of the International Telecommunication Regulations,</w:t>
      </w:r>
    </w:p>
    <w:p w14:paraId="501FD4C0" w14:textId="77777777" w:rsidR="008A70C9" w:rsidRPr="00380B40" w:rsidRDefault="008A70C9" w:rsidP="008A70C9">
      <w:pPr>
        <w:pStyle w:val="Call"/>
        <w:rPr>
          <w:lang w:val="en-GB"/>
        </w:rPr>
      </w:pPr>
      <w:r w:rsidRPr="00380B40">
        <w:rPr>
          <w:lang w:val="en-GB"/>
        </w:rPr>
        <w:t>taking into account</w:t>
      </w:r>
    </w:p>
    <w:p w14:paraId="7031A9E1" w14:textId="77777777" w:rsidR="008A70C9" w:rsidRPr="00380B40" w:rsidRDefault="008A70C9" w:rsidP="008A70C9">
      <w:pPr>
        <w:rPr>
          <w:lang w:val="en-GB"/>
        </w:rPr>
      </w:pPr>
      <w:r w:rsidRPr="00380B40">
        <w:rPr>
          <w:i/>
          <w:iCs/>
          <w:lang w:val="en-GB"/>
        </w:rPr>
        <w:t>a)</w:t>
      </w:r>
      <w:r w:rsidRPr="00380B40">
        <w:rPr>
          <w:lang w:val="en-GB"/>
        </w:rPr>
        <w:tab/>
        <w:t>Resolution 44 (Rev. Geneva, 2022) of this assembly, on bridging the standardization gap between developing</w:t>
      </w:r>
      <w:r w:rsidR="00FD162E" w:rsidRPr="00380B40">
        <w:rPr>
          <w:rStyle w:val="FootnoteReference"/>
          <w:lang w:val="en-GB"/>
        </w:rPr>
        <w:footnoteReference w:id="33"/>
      </w:r>
      <w:r w:rsidRPr="00380B40">
        <w:rPr>
          <w:lang w:val="en-GB"/>
        </w:rPr>
        <w:t xml:space="preserve"> and developed countries, and Resolution 18 (Rev. Geneva, 2022) of this assembly, on strengthening coordination and cooperation among the three ITU Sectors on matters of mutual interest;</w:t>
      </w:r>
    </w:p>
    <w:p w14:paraId="3C4F1EAA" w14:textId="77777777" w:rsidR="008A70C9" w:rsidRPr="00380B40" w:rsidRDefault="008A70C9" w:rsidP="008A70C9">
      <w:pPr>
        <w:rPr>
          <w:lang w:val="en-GB"/>
        </w:rPr>
      </w:pPr>
      <w:r w:rsidRPr="00380B40">
        <w:rPr>
          <w:i/>
          <w:iCs/>
          <w:lang w:val="en-GB"/>
        </w:rPr>
        <w:t>b)</w:t>
      </w:r>
      <w:r w:rsidRPr="00380B40">
        <w:rPr>
          <w:lang w:val="en-GB"/>
        </w:rPr>
        <w:tab/>
        <w:t>Resolution GSC-17/26 (revised), on user needs, considerations and involvement, agreed upon at the 17th Global Standards Collaboration meeting (Jeju, Republic of Korea, 2013);</w:t>
      </w:r>
    </w:p>
    <w:p w14:paraId="42583866" w14:textId="77777777" w:rsidR="008A70C9" w:rsidRPr="00380B40" w:rsidRDefault="008A70C9" w:rsidP="008A70C9">
      <w:pPr>
        <w:rPr>
          <w:lang w:val="en-GB"/>
        </w:rPr>
      </w:pPr>
      <w:r w:rsidRPr="00380B40">
        <w:rPr>
          <w:i/>
          <w:iCs/>
          <w:lang w:val="en-GB"/>
        </w:rPr>
        <w:t>c)</w:t>
      </w:r>
      <w:r w:rsidRPr="00380B40">
        <w:rPr>
          <w:lang w:val="en-GB"/>
        </w:rPr>
        <w:tab/>
        <w:t>publications of the Special Working Group on Accessibility (ISO/IEC JTC 1 SWG – Accessibility) of the Joint Technical Committee for information technology (JTC 1) of the International Organization for Standardization (ISO) and the International Electrotechnical Commission (IEC), as well as the Mandate 376 project teams, identifying user needs and developing a comprehensive inventory of existing standards as part of the ongoing effort to identify areas where research or new standards work is needed;</w:t>
      </w:r>
    </w:p>
    <w:p w14:paraId="4D787653" w14:textId="77777777" w:rsidR="008A70C9" w:rsidRPr="00380B40" w:rsidRDefault="008A70C9" w:rsidP="008A70C9">
      <w:pPr>
        <w:rPr>
          <w:lang w:val="en-GB"/>
        </w:rPr>
      </w:pPr>
      <w:r w:rsidRPr="00380B40">
        <w:rPr>
          <w:i/>
          <w:iCs/>
          <w:lang w:val="en-GB"/>
        </w:rPr>
        <w:t>d)</w:t>
      </w:r>
      <w:r w:rsidRPr="00380B40">
        <w:rPr>
          <w:lang w:val="en-GB"/>
        </w:rPr>
        <w:tab/>
        <w:t>the activities of Study Group 16, which is the lead study group on telecommunication/ICT accessibility for persons with disabilities, and ITU</w:t>
      </w:r>
      <w:r w:rsidRPr="00380B40">
        <w:rPr>
          <w:lang w:val="en-GB"/>
        </w:rPr>
        <w:noBreakHyphen/>
        <w:t>T Study Group 2 for the part relating to human factors;</w:t>
      </w:r>
    </w:p>
    <w:p w14:paraId="21601CC1" w14:textId="77777777" w:rsidR="008A70C9" w:rsidRPr="00380B40" w:rsidRDefault="008A70C9" w:rsidP="008A70C9">
      <w:pPr>
        <w:rPr>
          <w:lang w:val="en-GB"/>
        </w:rPr>
      </w:pPr>
      <w:r w:rsidRPr="00380B40">
        <w:rPr>
          <w:i/>
          <w:iCs/>
          <w:lang w:val="en-GB"/>
        </w:rPr>
        <w:t>e)</w:t>
      </w:r>
      <w:r w:rsidRPr="00380B40">
        <w:rPr>
          <w:lang w:val="en-GB"/>
        </w:rPr>
        <w:tab/>
        <w:t>activities relating to the development of new standards (e.g. ISO TC 159, JTC 1 SC35, IEC TC100, ETSI TC HF, and W3C WAI), and the implementation and maintenance of existing standards (e.g. ISO 9241</w:t>
      </w:r>
      <w:r w:rsidRPr="00380B40">
        <w:rPr>
          <w:lang w:val="en-GB"/>
        </w:rPr>
        <w:noBreakHyphen/>
        <w:t xml:space="preserve">171); </w:t>
      </w:r>
    </w:p>
    <w:p w14:paraId="7F3BE057" w14:textId="77777777" w:rsidR="008A70C9" w:rsidRPr="00380B40" w:rsidRDefault="008A70C9" w:rsidP="008A70C9">
      <w:pPr>
        <w:rPr>
          <w:i/>
          <w:iCs/>
          <w:lang w:val="en-GB"/>
        </w:rPr>
      </w:pPr>
      <w:r w:rsidRPr="00380B40">
        <w:rPr>
          <w:i/>
          <w:iCs/>
          <w:lang w:val="en-GB"/>
        </w:rPr>
        <w:t>f)</w:t>
      </w:r>
      <w:r w:rsidRPr="00380B40">
        <w:rPr>
          <w:lang w:val="en-GB"/>
        </w:rPr>
        <w:tab/>
        <w:t>the joint efforts of ITU and the Global Initiative for Inclusive ICTs (G3ICT), including the development of the Model ICT accessibility policy;</w:t>
      </w:r>
    </w:p>
    <w:p w14:paraId="371A6DB4" w14:textId="77777777" w:rsidR="007F1508" w:rsidRPr="00380B40" w:rsidRDefault="007F1508" w:rsidP="008A70C9">
      <w:pPr>
        <w:rPr>
          <w:i/>
          <w:iCs/>
          <w:lang w:val="en-GB"/>
        </w:rPr>
      </w:pPr>
      <w:r w:rsidRPr="00380B40">
        <w:rPr>
          <w:i/>
          <w:iCs/>
          <w:lang w:val="en-GB"/>
        </w:rPr>
        <w:br w:type="page"/>
      </w:r>
    </w:p>
    <w:p w14:paraId="0BEF7539" w14:textId="77777777" w:rsidR="008A70C9" w:rsidRPr="00380B40" w:rsidRDefault="008A70C9" w:rsidP="008A70C9">
      <w:pPr>
        <w:rPr>
          <w:lang w:val="en-GB"/>
        </w:rPr>
      </w:pPr>
      <w:r w:rsidRPr="00380B40">
        <w:rPr>
          <w:i/>
          <w:iCs/>
          <w:lang w:val="en-GB"/>
        </w:rPr>
        <w:t>g)</w:t>
      </w:r>
      <w:r w:rsidRPr="00380B40">
        <w:rPr>
          <w:lang w:val="en-GB"/>
        </w:rPr>
        <w:tab/>
        <w:t>the Model ICT accessibility policy report (November 2014), the release of the report "Making TV accessible" on the occasion of the International Day of Persons with Disabilities (3 December 2011), the report on "Making Mobile Phones and Services Accessible to Persons with Disabilities" (August 2012), and the e</w:t>
      </w:r>
      <w:r w:rsidRPr="00380B40">
        <w:rPr>
          <w:lang w:val="en-GB"/>
        </w:rPr>
        <w:noBreakHyphen/>
        <w:t>Accessibility Policy Toolkit for Persons with Disabilities (February 2010);</w:t>
      </w:r>
    </w:p>
    <w:p w14:paraId="7C70D595" w14:textId="77777777" w:rsidR="008A70C9" w:rsidRPr="00380B40" w:rsidRDefault="008A70C9" w:rsidP="008A70C9">
      <w:pPr>
        <w:rPr>
          <w:lang w:val="en-GB"/>
        </w:rPr>
      </w:pPr>
      <w:r w:rsidRPr="00380B40">
        <w:rPr>
          <w:i/>
          <w:iCs/>
          <w:lang w:val="en-GB"/>
        </w:rPr>
        <w:t>h)</w:t>
      </w:r>
      <w:r w:rsidRPr="00380B40">
        <w:rPr>
          <w:lang w:val="en-GB"/>
        </w:rPr>
        <w:tab/>
        <w:t>various international, regional and national efforts to develop or revise guidelines and standards for telecommunication/ICT accessibility, compatibility and usability by persons with disabilities,</w:t>
      </w:r>
    </w:p>
    <w:p w14:paraId="0FBEB915" w14:textId="77777777" w:rsidR="008A70C9" w:rsidRPr="00380B40" w:rsidRDefault="008A70C9" w:rsidP="008A70C9">
      <w:pPr>
        <w:pStyle w:val="Call"/>
        <w:rPr>
          <w:lang w:val="en-GB"/>
        </w:rPr>
      </w:pPr>
      <w:r w:rsidRPr="00380B40">
        <w:rPr>
          <w:lang w:val="en-GB"/>
        </w:rPr>
        <w:t>resolves</w:t>
      </w:r>
    </w:p>
    <w:p w14:paraId="22CF0929" w14:textId="77777777" w:rsidR="008A70C9" w:rsidRPr="00380B40" w:rsidRDefault="008A70C9" w:rsidP="008A70C9">
      <w:pPr>
        <w:rPr>
          <w:lang w:val="en-GB"/>
        </w:rPr>
      </w:pPr>
      <w:r w:rsidRPr="00380B40">
        <w:rPr>
          <w:lang w:val="en-GB"/>
        </w:rPr>
        <w:t>1</w:t>
      </w:r>
      <w:r w:rsidRPr="00380B40">
        <w:rPr>
          <w:lang w:val="en-GB"/>
        </w:rPr>
        <w:tab/>
        <w:t>that Study Group 16 shall continue giving high priority to work on the relevant Questions, Recommendation ITU</w:t>
      </w:r>
      <w:r w:rsidRPr="00380B40">
        <w:rPr>
          <w:lang w:val="en-GB"/>
        </w:rPr>
        <w:noBreakHyphen/>
        <w:t>T F.790, the guide for ITU</w:t>
      </w:r>
      <w:r w:rsidRPr="00380B40">
        <w:rPr>
          <w:lang w:val="en-GB"/>
        </w:rPr>
        <w:noBreakHyphen/>
        <w:t>T study groups on telecommunication accessibility guidelines for older persons and persons with disabilities, and Recommendation ITU</w:t>
      </w:r>
      <w:r w:rsidRPr="00380B40">
        <w:rPr>
          <w:lang w:val="en-GB"/>
        </w:rPr>
        <w:noBreakHyphen/>
        <w:t>T F.791, on accessibility terms and definitions;</w:t>
      </w:r>
    </w:p>
    <w:p w14:paraId="7B9F3C03" w14:textId="77777777" w:rsidR="008A70C9" w:rsidRPr="00380B40" w:rsidRDefault="008A70C9" w:rsidP="008A70C9">
      <w:pPr>
        <w:rPr>
          <w:lang w:val="en-GB"/>
        </w:rPr>
      </w:pPr>
      <w:r w:rsidRPr="00380B40">
        <w:rPr>
          <w:lang w:val="en-GB"/>
        </w:rPr>
        <w:t>2</w:t>
      </w:r>
      <w:r w:rsidRPr="00380B40">
        <w:rPr>
          <w:lang w:val="en-GB"/>
        </w:rPr>
        <w:tab/>
        <w:t>that ITU</w:t>
      </w:r>
      <w:r w:rsidRPr="00380B40">
        <w:rPr>
          <w:lang w:val="en-GB"/>
        </w:rPr>
        <w:noBreakHyphen/>
        <w:t>T study groups should consider aspects of universal design in their work, including the drafting of non-discriminatory standards, service regulations and measures for all persons, including persons with disabilities and older persons, with cross-cutting user-protection actions;</w:t>
      </w:r>
    </w:p>
    <w:p w14:paraId="26CE424B" w14:textId="77777777" w:rsidR="008A70C9" w:rsidRPr="00380B40" w:rsidRDefault="008A70C9" w:rsidP="008A70C9">
      <w:pPr>
        <w:rPr>
          <w:lang w:val="en-GB"/>
        </w:rPr>
      </w:pPr>
      <w:r w:rsidRPr="00380B40">
        <w:rPr>
          <w:lang w:val="en-GB"/>
        </w:rPr>
        <w:t>3</w:t>
      </w:r>
      <w:r w:rsidRPr="00380B40">
        <w:rPr>
          <w:lang w:val="en-GB"/>
        </w:rPr>
        <w:tab/>
        <w:t>that all ITU</w:t>
      </w:r>
      <w:r w:rsidRPr="00380B40">
        <w:rPr>
          <w:lang w:val="en-GB"/>
        </w:rPr>
        <w:noBreakHyphen/>
        <w:t>T study groups utilize the Telecommunications Accessibility Checklist, which makes it possible to incorporate the principles of universal design and accessibility;</w:t>
      </w:r>
    </w:p>
    <w:p w14:paraId="51D1ECD2" w14:textId="77777777" w:rsidR="008A70C9" w:rsidRPr="00380B40" w:rsidRDefault="008A70C9" w:rsidP="008A70C9">
      <w:pPr>
        <w:rPr>
          <w:i/>
          <w:iCs/>
          <w:lang w:val="en-GB"/>
        </w:rPr>
      </w:pPr>
      <w:r w:rsidRPr="00380B40">
        <w:rPr>
          <w:lang w:val="en-GB"/>
        </w:rPr>
        <w:t>4</w:t>
      </w:r>
      <w:r w:rsidRPr="00380B40">
        <w:rPr>
          <w:i/>
          <w:lang w:val="en-GB"/>
        </w:rPr>
        <w:tab/>
      </w:r>
      <w:r w:rsidRPr="00380B40">
        <w:rPr>
          <w:iCs/>
          <w:lang w:val="en-GB"/>
        </w:rPr>
        <w:t xml:space="preserve">that ITU workshops be held to inform about the progress in the work and the results achieved by the study groups in charge of ICT accessibility before the next world telecommunication standardization assembly, </w:t>
      </w:r>
    </w:p>
    <w:p w14:paraId="7D770941" w14:textId="77777777" w:rsidR="008A70C9" w:rsidRPr="00380B40" w:rsidRDefault="008A70C9" w:rsidP="008A70C9">
      <w:pPr>
        <w:pStyle w:val="Call"/>
        <w:rPr>
          <w:lang w:val="en-GB"/>
        </w:rPr>
      </w:pPr>
      <w:r w:rsidRPr="00380B40">
        <w:rPr>
          <w:lang w:val="en-GB"/>
        </w:rPr>
        <w:t>instructs the Director of the Telecommunication Standardization Bureau</w:t>
      </w:r>
    </w:p>
    <w:p w14:paraId="5AAB0211" w14:textId="77777777" w:rsidR="008A70C9" w:rsidRPr="00380B40" w:rsidRDefault="008A70C9" w:rsidP="008A70C9">
      <w:pPr>
        <w:rPr>
          <w:lang w:val="en-GB"/>
        </w:rPr>
      </w:pPr>
      <w:r w:rsidRPr="00380B40">
        <w:rPr>
          <w:lang w:val="en-GB"/>
        </w:rPr>
        <w:t>1</w:t>
      </w:r>
      <w:r w:rsidRPr="00380B40">
        <w:rPr>
          <w:lang w:val="en-GB"/>
        </w:rPr>
        <w:tab/>
        <w:t>to report to the ITU Council on the implementation of this resolution;</w:t>
      </w:r>
    </w:p>
    <w:p w14:paraId="6D7B1EF7" w14:textId="77777777" w:rsidR="008A70C9" w:rsidRPr="00380B40" w:rsidRDefault="008A70C9" w:rsidP="008A70C9">
      <w:pPr>
        <w:rPr>
          <w:lang w:val="en-GB"/>
        </w:rPr>
      </w:pPr>
      <w:r w:rsidRPr="00380B40">
        <w:rPr>
          <w:lang w:val="en-GB"/>
        </w:rPr>
        <w:t>2</w:t>
      </w:r>
      <w:r w:rsidRPr="00380B40">
        <w:rPr>
          <w:lang w:val="en-GB"/>
        </w:rPr>
        <w:tab/>
        <w:t>to contribute to the development of an ITU</w:t>
      </w:r>
      <w:r w:rsidRPr="00380B40">
        <w:rPr>
          <w:lang w:val="en-GB"/>
        </w:rPr>
        <w:noBreakHyphen/>
        <w:t>wide internship programme for persons with disabilities who have expertise in the field of ICTs, so as to build capacity among persons with disabilities in the standards-making process and to raise awareness within ITU</w:t>
      </w:r>
      <w:r w:rsidRPr="00380B40">
        <w:rPr>
          <w:lang w:val="en-GB"/>
        </w:rPr>
        <w:noBreakHyphen/>
        <w:t>T of the needs of persons with disabilities;</w:t>
      </w:r>
    </w:p>
    <w:p w14:paraId="275FCCF0" w14:textId="77777777" w:rsidR="008A70C9" w:rsidRPr="00380B40" w:rsidRDefault="008A70C9" w:rsidP="008A70C9">
      <w:pPr>
        <w:rPr>
          <w:lang w:val="en-GB"/>
        </w:rPr>
      </w:pPr>
      <w:r w:rsidRPr="00380B40">
        <w:rPr>
          <w:lang w:val="en-GB"/>
        </w:rPr>
        <w:t>3</w:t>
      </w:r>
      <w:r w:rsidRPr="00380B40">
        <w:rPr>
          <w:lang w:val="en-GB"/>
        </w:rPr>
        <w:tab/>
        <w:t>that ITU</w:t>
      </w:r>
      <w:r w:rsidRPr="00380B40">
        <w:rPr>
          <w:lang w:val="en-GB"/>
        </w:rPr>
        <w:noBreakHyphen/>
        <w:t>T employ the technical papers FSTP-AM "Guidelines for accessible meetings" and FSTP</w:t>
      </w:r>
      <w:r w:rsidRPr="00380B40">
        <w:rPr>
          <w:lang w:val="en-GB"/>
        </w:rPr>
        <w:noBreakHyphen/>
        <w:t>ACC-RemPart "Guidelines for supporting remote participation for all", as appropriate, to make it possible for persons with disabilities to be able to attend ITU meetings and events,</w:t>
      </w:r>
    </w:p>
    <w:p w14:paraId="2145D98C" w14:textId="77777777" w:rsidR="008A70C9" w:rsidRPr="00380B40" w:rsidRDefault="008A70C9" w:rsidP="008A70C9">
      <w:pPr>
        <w:pStyle w:val="Call"/>
        <w:rPr>
          <w:lang w:val="en-GB"/>
        </w:rPr>
      </w:pPr>
      <w:r w:rsidRPr="00380B40">
        <w:rPr>
          <w:lang w:val="en-GB"/>
        </w:rPr>
        <w:t>invites the Director of the Telecommunication Standardization Bureau</w:t>
      </w:r>
    </w:p>
    <w:p w14:paraId="0FB798D8" w14:textId="77777777" w:rsidR="008A70C9" w:rsidRPr="00380B40" w:rsidRDefault="008A70C9" w:rsidP="008A70C9">
      <w:pPr>
        <w:rPr>
          <w:lang w:val="en-GB"/>
        </w:rPr>
      </w:pPr>
      <w:r w:rsidRPr="00380B40">
        <w:rPr>
          <w:lang w:val="en-GB"/>
        </w:rPr>
        <w:t>1</w:t>
      </w:r>
      <w:r w:rsidRPr="00380B40">
        <w:rPr>
          <w:lang w:val="en-GB"/>
        </w:rPr>
        <w:tab/>
        <w:t>to work collaboratively on accessibility-related activities with the Directors of the Radiocommunication Bureau and the Telecommunication Development Bureau, taking into account JCA-AHF, in particular concerning awareness and mainstreaming of telecommunication/ICT accessibility standards, reporting findings to the Council as appropriate;</w:t>
      </w:r>
    </w:p>
    <w:p w14:paraId="116F46CD" w14:textId="77777777" w:rsidR="007F1508" w:rsidRPr="00380B40" w:rsidRDefault="007F1508" w:rsidP="008A70C9">
      <w:pPr>
        <w:rPr>
          <w:lang w:val="en-GB"/>
        </w:rPr>
      </w:pPr>
      <w:r w:rsidRPr="00380B40">
        <w:rPr>
          <w:lang w:val="en-GB"/>
        </w:rPr>
        <w:br w:type="page"/>
      </w:r>
    </w:p>
    <w:p w14:paraId="74FBE004" w14:textId="77777777" w:rsidR="008A70C9" w:rsidRPr="00380B40" w:rsidRDefault="008A70C9" w:rsidP="008A70C9">
      <w:pPr>
        <w:rPr>
          <w:lang w:val="en-GB"/>
        </w:rPr>
      </w:pPr>
      <w:r w:rsidRPr="00380B40">
        <w:rPr>
          <w:lang w:val="en-GB"/>
        </w:rPr>
        <w:t>2</w:t>
      </w:r>
      <w:r w:rsidRPr="00380B40">
        <w:rPr>
          <w:lang w:val="en-GB"/>
        </w:rPr>
        <w:tab/>
        <w:t>to work collaboratively on accessibility-related activities with ITU</w:t>
      </w:r>
      <w:r w:rsidRPr="00380B40">
        <w:rPr>
          <w:lang w:val="en-GB"/>
        </w:rPr>
        <w:noBreakHyphen/>
        <w:t>D, in particular developing programmes that enable developing countries to introduce services that allow persons with disabilities to utilize telecommunication services effectively;</w:t>
      </w:r>
    </w:p>
    <w:p w14:paraId="7DCDE678" w14:textId="77777777" w:rsidR="008A70C9" w:rsidRPr="00380B40" w:rsidRDefault="008A70C9" w:rsidP="008A70C9">
      <w:pPr>
        <w:rPr>
          <w:lang w:val="en-GB"/>
        </w:rPr>
      </w:pPr>
      <w:r w:rsidRPr="00380B40">
        <w:rPr>
          <w:lang w:val="en-GB"/>
        </w:rPr>
        <w:t>3</w:t>
      </w:r>
      <w:r w:rsidRPr="00380B40">
        <w:rPr>
          <w:lang w:val="en-GB"/>
        </w:rPr>
        <w:tab/>
        <w:t>to work collaboratively and cooperatively with other standardization organizations and entities, in particular in the interest of ensuring that ongoing work in the field of accessibility is taken into account, in order to avoid duplication;</w:t>
      </w:r>
    </w:p>
    <w:p w14:paraId="5F0F94E2" w14:textId="77777777" w:rsidR="008A70C9" w:rsidRPr="00380B40" w:rsidRDefault="008A70C9" w:rsidP="008A70C9">
      <w:pPr>
        <w:rPr>
          <w:lang w:val="en-GB"/>
        </w:rPr>
      </w:pPr>
      <w:r w:rsidRPr="00380B40">
        <w:rPr>
          <w:lang w:val="en-GB"/>
        </w:rPr>
        <w:t>4</w:t>
      </w:r>
      <w:r w:rsidRPr="00380B40">
        <w:rPr>
          <w:lang w:val="en-GB"/>
        </w:rPr>
        <w:tab/>
        <w:t>to work collaboratively and cooperatively with disability organizations in all regions to ensure that the needs of the disabled community are taken into account in all standardization matters;</w:t>
      </w:r>
    </w:p>
    <w:p w14:paraId="73CF95B7" w14:textId="77777777" w:rsidR="008A70C9" w:rsidRPr="00380B40" w:rsidRDefault="008A70C9" w:rsidP="008A70C9">
      <w:pPr>
        <w:rPr>
          <w:lang w:val="en-GB"/>
        </w:rPr>
      </w:pPr>
      <w:r w:rsidRPr="00380B40">
        <w:rPr>
          <w:lang w:val="en-GB"/>
        </w:rPr>
        <w:t>5</w:t>
      </w:r>
      <w:r w:rsidRPr="00380B40">
        <w:rPr>
          <w:lang w:val="en-GB"/>
        </w:rPr>
        <w:tab/>
        <w:t>to continue JCA-AHF, and any other accessibility coordination functions and advisory function within ITU</w:t>
      </w:r>
      <w:r w:rsidRPr="00380B40">
        <w:rPr>
          <w:lang w:val="en-GB"/>
        </w:rPr>
        <w:noBreakHyphen/>
        <w:t>T, in order to assist the Director of the Telecommunication Standardization Bureau in reporting the findings of the review of ITU</w:t>
      </w:r>
      <w:r w:rsidRPr="00380B40">
        <w:rPr>
          <w:lang w:val="en-GB"/>
        </w:rPr>
        <w:noBreakHyphen/>
        <w:t>T services and facilities;</w:t>
      </w:r>
    </w:p>
    <w:p w14:paraId="7DAF71BB" w14:textId="77777777" w:rsidR="008A70C9" w:rsidRPr="00380B40" w:rsidRDefault="008A70C9" w:rsidP="008A70C9">
      <w:pPr>
        <w:rPr>
          <w:lang w:val="en-GB"/>
        </w:rPr>
      </w:pPr>
      <w:r w:rsidRPr="00380B40">
        <w:rPr>
          <w:lang w:val="en-GB"/>
        </w:rPr>
        <w:t>6</w:t>
      </w:r>
      <w:r w:rsidRPr="00380B40">
        <w:rPr>
          <w:lang w:val="en-GB"/>
        </w:rPr>
        <w:tab/>
        <w:t>to consider using accessibility resources in the meetings organized by ITU</w:t>
      </w:r>
      <w:r w:rsidRPr="00380B40">
        <w:rPr>
          <w:lang w:val="en-GB"/>
        </w:rPr>
        <w:noBreakHyphen/>
        <w:t>T in order to encourage the participation of persons with disabilities and persons with specific needs in the standardization process;</w:t>
      </w:r>
    </w:p>
    <w:p w14:paraId="4EAB14A2" w14:textId="77777777" w:rsidR="008A70C9" w:rsidRPr="00380B40" w:rsidRDefault="008A70C9" w:rsidP="008A70C9">
      <w:pPr>
        <w:rPr>
          <w:lang w:val="en-GB"/>
        </w:rPr>
      </w:pPr>
      <w:r w:rsidRPr="00380B40">
        <w:rPr>
          <w:lang w:val="en-GB"/>
        </w:rPr>
        <w:t>7</w:t>
      </w:r>
      <w:r w:rsidRPr="00380B40">
        <w:rPr>
          <w:lang w:val="en-GB"/>
        </w:rPr>
        <w:tab/>
        <w:t>to consider the possibility of organizing, jointly with ITU-D and with the involvement of other standardization organizations and entities, coaching and training for developing countries on working with disability organizations;</w:t>
      </w:r>
    </w:p>
    <w:p w14:paraId="144374E1" w14:textId="77777777" w:rsidR="008A70C9" w:rsidRPr="00380B40" w:rsidRDefault="008A70C9" w:rsidP="008A70C9">
      <w:pPr>
        <w:rPr>
          <w:lang w:val="en-GB"/>
        </w:rPr>
      </w:pPr>
      <w:r w:rsidRPr="00380B40">
        <w:rPr>
          <w:lang w:val="en-GB"/>
        </w:rPr>
        <w:t>8</w:t>
      </w:r>
      <w:r w:rsidRPr="00380B40">
        <w:rPr>
          <w:lang w:val="en-GB"/>
        </w:rPr>
        <w:tab/>
        <w:t>to identify and document examples of best and good practices for accessibility in the field of telecommunications/ICT for dissemination among ITU Member States and Sector Members;</w:t>
      </w:r>
    </w:p>
    <w:p w14:paraId="7AE79009" w14:textId="77777777" w:rsidR="008A70C9" w:rsidRPr="00380B40" w:rsidRDefault="008A70C9" w:rsidP="008A70C9">
      <w:pPr>
        <w:rPr>
          <w:rtl/>
          <w:lang w:val="en-GB" w:bidi="ar-SY"/>
        </w:rPr>
      </w:pPr>
      <w:r w:rsidRPr="00380B40">
        <w:rPr>
          <w:lang w:val="en-GB"/>
        </w:rPr>
        <w:t>9</w:t>
      </w:r>
      <w:r w:rsidRPr="00380B40">
        <w:rPr>
          <w:lang w:val="en-GB"/>
        </w:rPr>
        <w:tab/>
        <w:t>to review the accessibility of ITU-T services and facilities, and consider making changes, where appropriate, pursuant to UNGA Resolution 61/106, in the Convention on the Rights of Persons with Disabilities, and report to the Council on these matters,</w:t>
      </w:r>
    </w:p>
    <w:p w14:paraId="208DA13B" w14:textId="77777777" w:rsidR="008A70C9" w:rsidRPr="00380B40" w:rsidRDefault="008A70C9" w:rsidP="008A70C9">
      <w:pPr>
        <w:pStyle w:val="Call"/>
        <w:rPr>
          <w:lang w:val="en-GB"/>
        </w:rPr>
      </w:pPr>
      <w:r w:rsidRPr="00380B40">
        <w:rPr>
          <w:lang w:val="en-GB"/>
        </w:rPr>
        <w:t>instructs the Telecommunication Standardization Advisory Group</w:t>
      </w:r>
    </w:p>
    <w:p w14:paraId="746F26ED" w14:textId="77777777" w:rsidR="008A70C9" w:rsidRPr="00380B40" w:rsidRDefault="008A70C9" w:rsidP="008A70C9">
      <w:pPr>
        <w:rPr>
          <w:lang w:val="en-GB"/>
        </w:rPr>
      </w:pPr>
      <w:r w:rsidRPr="00380B40">
        <w:rPr>
          <w:lang w:val="en-GB"/>
        </w:rPr>
        <w:t>1</w:t>
      </w:r>
      <w:r w:rsidRPr="00380B40">
        <w:rPr>
          <w:lang w:val="en-GB"/>
        </w:rPr>
        <w:tab/>
        <w:t xml:space="preserve">to revise the guide for ITU study groups: Considering end-user needs in developing Recommendations; </w:t>
      </w:r>
    </w:p>
    <w:p w14:paraId="673551C6" w14:textId="77777777" w:rsidR="008A70C9" w:rsidRPr="00380B40" w:rsidRDefault="008A70C9" w:rsidP="008A70C9">
      <w:pPr>
        <w:rPr>
          <w:lang w:val="en-GB"/>
        </w:rPr>
      </w:pPr>
      <w:r w:rsidRPr="00380B40">
        <w:rPr>
          <w:lang w:val="en-GB"/>
        </w:rPr>
        <w:t>2</w:t>
      </w:r>
      <w:r w:rsidRPr="00380B40">
        <w:rPr>
          <w:lang w:val="en-GB"/>
        </w:rPr>
        <w:tab/>
        <w:t>to consider how study groups facilitate, in their respective work, the implementation of new software, services and proposals enabling all persons with disabilities and persons with specific needs to effectively use telecommunication/ICT services, and relevant guidelines for end</w:t>
      </w:r>
      <w:r w:rsidRPr="00380B40">
        <w:rPr>
          <w:lang w:val="en-GB"/>
        </w:rPr>
        <w:noBreakHyphen/>
        <w:t>user needs, in order specifically to include the needs of persons with disabilities and persons with specific needs, and to update the guide on a regular basis, based on contributions from Member States and Sector Members as well as the ITU</w:t>
      </w:r>
      <w:r w:rsidRPr="00380B40">
        <w:rPr>
          <w:lang w:val="en-GB"/>
        </w:rPr>
        <w:noBreakHyphen/>
        <w:t>T study groups, as appropriate,</w:t>
      </w:r>
    </w:p>
    <w:p w14:paraId="038F068E" w14:textId="77777777" w:rsidR="007F1508" w:rsidRPr="00380B40" w:rsidRDefault="007F1508" w:rsidP="008A70C9">
      <w:pPr>
        <w:pStyle w:val="Call"/>
        <w:rPr>
          <w:lang w:val="en-GB"/>
        </w:rPr>
      </w:pPr>
      <w:r w:rsidRPr="00380B40">
        <w:rPr>
          <w:lang w:val="en-GB"/>
        </w:rPr>
        <w:br w:type="page"/>
      </w:r>
    </w:p>
    <w:p w14:paraId="20FB1F19" w14:textId="77777777" w:rsidR="008A70C9" w:rsidRPr="00380B40" w:rsidRDefault="008A70C9" w:rsidP="008A70C9">
      <w:pPr>
        <w:pStyle w:val="Call"/>
        <w:rPr>
          <w:lang w:val="en-GB"/>
        </w:rPr>
      </w:pPr>
      <w:r w:rsidRPr="00380B40">
        <w:rPr>
          <w:lang w:val="en-GB"/>
        </w:rPr>
        <w:t>invites Member States and Sector Members</w:t>
      </w:r>
    </w:p>
    <w:p w14:paraId="5CE4CDAF" w14:textId="77777777" w:rsidR="008A70C9" w:rsidRPr="00380B40" w:rsidRDefault="008A70C9" w:rsidP="008A70C9">
      <w:pPr>
        <w:rPr>
          <w:lang w:val="en-GB"/>
        </w:rPr>
      </w:pPr>
      <w:r w:rsidRPr="00380B40">
        <w:rPr>
          <w:lang w:val="en-GB"/>
        </w:rPr>
        <w:t>1</w:t>
      </w:r>
      <w:r w:rsidRPr="00380B40">
        <w:rPr>
          <w:lang w:val="en-GB"/>
        </w:rPr>
        <w:tab/>
        <w:t>to consider developing, within their national legal frameworks, guidelines or other mechanisms to enhance the accessibility, compatibility and usability of telecommunication/ICT services, products and terminals;</w:t>
      </w:r>
    </w:p>
    <w:p w14:paraId="50B396FA" w14:textId="77777777" w:rsidR="008A70C9" w:rsidRPr="00380B40" w:rsidRDefault="008A70C9" w:rsidP="008A70C9">
      <w:pPr>
        <w:rPr>
          <w:lang w:val="en-GB"/>
        </w:rPr>
      </w:pPr>
      <w:r w:rsidRPr="00380B40">
        <w:rPr>
          <w:lang w:val="en-GB"/>
        </w:rPr>
        <w:t>2</w:t>
      </w:r>
      <w:r w:rsidRPr="00380B40">
        <w:rPr>
          <w:lang w:val="en-GB"/>
        </w:rPr>
        <w:tab/>
        <w:t>to support the introduction of services or programmes, including telecommunication relay services</w:t>
      </w:r>
      <w:r w:rsidR="00FD162E" w:rsidRPr="00380B40">
        <w:rPr>
          <w:rStyle w:val="FootnoteReference"/>
          <w:lang w:val="en-GB"/>
        </w:rPr>
        <w:footnoteReference w:id="34"/>
      </w:r>
      <w:r w:rsidRPr="00380B40">
        <w:rPr>
          <w:lang w:val="en-GB"/>
        </w:rPr>
        <w:t>,</w:t>
      </w:r>
      <w:r w:rsidRPr="00380B40">
        <w:rPr>
          <w:rtl/>
          <w:lang w:val="en-GB"/>
        </w:rPr>
        <w:t xml:space="preserve"> </w:t>
      </w:r>
      <w:r w:rsidRPr="00380B40">
        <w:rPr>
          <w:lang w:val="en-GB"/>
        </w:rPr>
        <w:t>to enable persons with hearing and speech disabilities to utilize telecommunication services that are functionally equivalent to telecommunication services for persons without disabilities;</w:t>
      </w:r>
    </w:p>
    <w:p w14:paraId="14B3DDF3" w14:textId="77777777" w:rsidR="008A70C9" w:rsidRPr="00380B40" w:rsidRDefault="008A70C9" w:rsidP="008A70C9">
      <w:pPr>
        <w:rPr>
          <w:lang w:val="en-GB"/>
        </w:rPr>
      </w:pPr>
      <w:r w:rsidRPr="00380B40">
        <w:rPr>
          <w:lang w:val="en-GB"/>
        </w:rPr>
        <w:t>3</w:t>
      </w:r>
      <w:r w:rsidRPr="00380B40">
        <w:rPr>
          <w:lang w:val="en-GB"/>
        </w:rPr>
        <w:tab/>
        <w:t>to participate actively in accessibility-related studies in ITU</w:t>
      </w:r>
      <w:r w:rsidRPr="00380B40">
        <w:rPr>
          <w:lang w:val="en-GB"/>
        </w:rPr>
        <w:noBreakHyphen/>
        <w:t>R, ITU</w:t>
      </w:r>
      <w:r w:rsidRPr="00380B40">
        <w:rPr>
          <w:lang w:val="en-GB"/>
        </w:rPr>
        <w:noBreakHyphen/>
        <w:t>T and ITU</w:t>
      </w:r>
      <w:r w:rsidRPr="00380B40">
        <w:rPr>
          <w:lang w:val="en-GB"/>
        </w:rPr>
        <w:noBreakHyphen/>
        <w:t>D, and to encourage and promote self</w:t>
      </w:r>
      <w:r w:rsidRPr="00380B40">
        <w:rPr>
          <w:lang w:val="en-GB"/>
        </w:rPr>
        <w:noBreakHyphen/>
        <w:t>representation by persons with disabilities in the standardization process so as to ensure their experiences, views and opinions are taken into account in all the work of study groups;</w:t>
      </w:r>
    </w:p>
    <w:p w14:paraId="535660AF" w14:textId="77777777" w:rsidR="008A70C9" w:rsidRPr="00380B40" w:rsidRDefault="008A70C9" w:rsidP="008A70C9">
      <w:pPr>
        <w:rPr>
          <w:lang w:val="en-GB"/>
        </w:rPr>
      </w:pPr>
      <w:r w:rsidRPr="00380B40">
        <w:rPr>
          <w:lang w:val="en-GB"/>
        </w:rPr>
        <w:t>4</w:t>
      </w:r>
      <w:r w:rsidRPr="00380B40">
        <w:rPr>
          <w:lang w:val="en-GB"/>
        </w:rPr>
        <w:tab/>
        <w:t>to consider designating focal points for the implementation and monitoring of this resolution;</w:t>
      </w:r>
    </w:p>
    <w:p w14:paraId="33C7F643" w14:textId="77777777" w:rsidR="008A70C9" w:rsidRPr="00380B40" w:rsidRDefault="008A70C9" w:rsidP="008A70C9">
      <w:pPr>
        <w:rPr>
          <w:lang w:val="en-GB"/>
        </w:rPr>
      </w:pPr>
      <w:r w:rsidRPr="00380B40">
        <w:rPr>
          <w:lang w:val="en-GB"/>
        </w:rPr>
        <w:t>5</w:t>
      </w:r>
      <w:r w:rsidRPr="00380B40">
        <w:rPr>
          <w:lang w:val="en-GB"/>
        </w:rPr>
        <w:tab/>
        <w:t>to encourage the provision of differentiated and affordable service plans for persons with disabilities in order to increase the accessibility and usability of telecommunications/ICT for these persons;</w:t>
      </w:r>
    </w:p>
    <w:p w14:paraId="193F3645" w14:textId="77777777" w:rsidR="008A70C9" w:rsidRPr="00380B40" w:rsidRDefault="008A70C9" w:rsidP="008A70C9">
      <w:pPr>
        <w:rPr>
          <w:lang w:val="en-GB"/>
        </w:rPr>
      </w:pPr>
      <w:r w:rsidRPr="00380B40">
        <w:rPr>
          <w:lang w:val="en-GB"/>
        </w:rPr>
        <w:t>6</w:t>
      </w:r>
      <w:r w:rsidRPr="00380B40">
        <w:rPr>
          <w:lang w:val="en-GB"/>
        </w:rPr>
        <w:tab/>
        <w:t xml:space="preserve">to encourage the development of applications for telecommunication products and terminals to increase the accessibility and usability of telecommunications/ICT for persons with visual, auditory, verbal and other physical and cognitive disabilities; </w:t>
      </w:r>
    </w:p>
    <w:p w14:paraId="2911A4F3" w14:textId="77777777" w:rsidR="008A70C9" w:rsidRPr="00380B40" w:rsidRDefault="008A70C9" w:rsidP="008A70C9">
      <w:pPr>
        <w:rPr>
          <w:lang w:val="en-GB"/>
        </w:rPr>
      </w:pPr>
      <w:r w:rsidRPr="00380B40">
        <w:rPr>
          <w:lang w:val="en-GB"/>
        </w:rPr>
        <w:t>7</w:t>
      </w:r>
      <w:r w:rsidRPr="00380B40">
        <w:rPr>
          <w:lang w:val="en-GB"/>
        </w:rPr>
        <w:tab/>
        <w:t>to encourage regional telecommunication organizations to contribute to the work and consider implementing the results achieved in the study groups and the workshop on this topic;</w:t>
      </w:r>
    </w:p>
    <w:p w14:paraId="24F1B461" w14:textId="77777777" w:rsidR="008A70C9" w:rsidRPr="00380B40" w:rsidRDefault="008A70C9" w:rsidP="008A70C9">
      <w:pPr>
        <w:rPr>
          <w:lang w:val="en-GB"/>
        </w:rPr>
      </w:pPr>
      <w:r w:rsidRPr="00380B40">
        <w:rPr>
          <w:lang w:val="en-GB"/>
        </w:rPr>
        <w:t>8</w:t>
      </w:r>
      <w:r w:rsidRPr="00380B40">
        <w:rPr>
          <w:lang w:val="en-GB"/>
        </w:rPr>
        <w:tab/>
        <w:t>to encourage industry to consider accessible features when designing telecommunication devices and services.</w:t>
      </w:r>
    </w:p>
    <w:p w14:paraId="67A1A642" w14:textId="77777777" w:rsidR="000E7F27" w:rsidRPr="00380B40" w:rsidRDefault="000E7F27" w:rsidP="009C62A3">
      <w:pPr>
        <w:rPr>
          <w:lang w:val="en-GB"/>
        </w:rPr>
      </w:pPr>
    </w:p>
    <w:p w14:paraId="3F741495" w14:textId="77777777" w:rsidR="00B97E2C" w:rsidRPr="00380B40" w:rsidRDefault="00B97E2C" w:rsidP="009C62A3">
      <w:pPr>
        <w:rPr>
          <w:lang w:val="en-GB"/>
        </w:rPr>
      </w:pPr>
    </w:p>
    <w:p w14:paraId="63467377" w14:textId="77777777" w:rsidR="007F1508" w:rsidRPr="00380B40" w:rsidRDefault="007F1508" w:rsidP="009C62A3">
      <w:pPr>
        <w:rPr>
          <w:lang w:val="en-GB"/>
        </w:rPr>
      </w:pPr>
    </w:p>
    <w:p w14:paraId="20C8862E" w14:textId="77777777" w:rsidR="007F1508" w:rsidRPr="00380B40" w:rsidRDefault="007F1508" w:rsidP="009C62A3">
      <w:pPr>
        <w:rPr>
          <w:lang w:val="en-GB"/>
        </w:rPr>
      </w:pPr>
    </w:p>
    <w:p w14:paraId="47D06668" w14:textId="77777777" w:rsidR="007F1508" w:rsidRPr="00380B40" w:rsidRDefault="007F1508" w:rsidP="009C62A3">
      <w:pPr>
        <w:rPr>
          <w:lang w:val="en-GB"/>
        </w:rPr>
      </w:pPr>
    </w:p>
    <w:p w14:paraId="20F57980" w14:textId="77777777" w:rsidR="007F1508" w:rsidRPr="00380B40" w:rsidRDefault="007F1508" w:rsidP="009C62A3">
      <w:pPr>
        <w:rPr>
          <w:lang w:val="en-GB"/>
        </w:rPr>
      </w:pPr>
    </w:p>
    <w:p w14:paraId="0442F58D" w14:textId="77777777" w:rsidR="007F1508" w:rsidRPr="00380B40" w:rsidRDefault="007F1508" w:rsidP="009C62A3">
      <w:pPr>
        <w:rPr>
          <w:lang w:val="en-GB"/>
        </w:rPr>
      </w:pPr>
    </w:p>
    <w:p w14:paraId="17D2D1BB" w14:textId="77777777" w:rsidR="000E7F27" w:rsidRPr="00380B40" w:rsidRDefault="000E7F27" w:rsidP="009C62A3">
      <w:pPr>
        <w:rPr>
          <w:lang w:val="en-GB"/>
        </w:rPr>
      </w:pPr>
    </w:p>
    <w:p w14:paraId="0DC4AC8F" w14:textId="77777777" w:rsidR="00B97E2C" w:rsidRPr="00380B40" w:rsidRDefault="00B97E2C" w:rsidP="00B97E2C">
      <w:pPr>
        <w:rPr>
          <w:lang w:val="en-GB"/>
        </w:rPr>
      </w:pPr>
    </w:p>
    <w:p w14:paraId="4D1C9136" w14:textId="77777777" w:rsidR="00B97E2C" w:rsidRPr="00380B40" w:rsidRDefault="00B97E2C" w:rsidP="00B97E2C">
      <w:pPr>
        <w:rPr>
          <w:lang w:val="en-GB"/>
        </w:rPr>
        <w:sectPr w:rsidR="00B97E2C" w:rsidRPr="00380B40" w:rsidSect="007D080E">
          <w:headerReference w:type="even" r:id="rId201"/>
          <w:headerReference w:type="default" r:id="rId202"/>
          <w:footerReference w:type="even" r:id="rId203"/>
          <w:footerReference w:type="default" r:id="rId204"/>
          <w:headerReference w:type="first" r:id="rId205"/>
          <w:footerReference w:type="first" r:id="rId206"/>
          <w:footnotePr>
            <w:numRestart w:val="eachSect"/>
          </w:footnotePr>
          <w:pgSz w:w="11907" w:h="16834" w:code="9"/>
          <w:pgMar w:top="1134" w:right="1134" w:bottom="1134" w:left="1134" w:header="567" w:footer="567" w:gutter="0"/>
          <w:paperSrc w:first="15" w:other="15"/>
          <w:cols w:space="720"/>
          <w:vAlign w:val="both"/>
          <w:docGrid w:linePitch="299"/>
        </w:sectPr>
      </w:pPr>
    </w:p>
    <w:p w14:paraId="5BFBA559" w14:textId="77777777" w:rsidR="009C62A3" w:rsidRPr="00380B40" w:rsidRDefault="009C62A3" w:rsidP="008A70C9">
      <w:pPr>
        <w:pStyle w:val="ResNo"/>
        <w:rPr>
          <w:lang w:val="en-GB"/>
        </w:rPr>
      </w:pPr>
      <w:bookmarkStart w:id="308" w:name="_Toc104459755"/>
      <w:bookmarkStart w:id="309" w:name="_Toc104476563"/>
      <w:bookmarkStart w:id="310" w:name="_Toc111636791"/>
      <w:bookmarkStart w:id="311" w:name="_Toc111638456"/>
      <w:r w:rsidRPr="00380B40">
        <w:rPr>
          <w:lang w:val="en-GB"/>
        </w:rPr>
        <w:t xml:space="preserve">RESOLUTION </w:t>
      </w:r>
      <w:r w:rsidRPr="00380B40">
        <w:rPr>
          <w:rStyle w:val="href"/>
          <w:lang w:val="en-GB"/>
        </w:rPr>
        <w:t>72</w:t>
      </w:r>
      <w:r w:rsidRPr="00380B40" w:rsidDel="005B5B81">
        <w:rPr>
          <w:lang w:val="en-GB"/>
        </w:rPr>
        <w:t xml:space="preserve"> </w:t>
      </w:r>
      <w:r w:rsidR="008A70C9" w:rsidRPr="00380B40">
        <w:rPr>
          <w:lang w:val="en-GB"/>
        </w:rPr>
        <w:t>(R</w:t>
      </w:r>
      <w:r w:rsidR="007D7127" w:rsidRPr="00380B40">
        <w:rPr>
          <w:caps w:val="0"/>
          <w:lang w:val="en-GB"/>
        </w:rPr>
        <w:t>ev</w:t>
      </w:r>
      <w:r w:rsidR="008A70C9" w:rsidRPr="00380B40">
        <w:rPr>
          <w:lang w:val="en-GB"/>
        </w:rPr>
        <w:t>. G</w:t>
      </w:r>
      <w:r w:rsidR="007D7127" w:rsidRPr="00380B40">
        <w:rPr>
          <w:caps w:val="0"/>
          <w:lang w:val="en-GB"/>
        </w:rPr>
        <w:t>eneva</w:t>
      </w:r>
      <w:r w:rsidR="008A70C9" w:rsidRPr="00380B40">
        <w:rPr>
          <w:lang w:val="en-GB"/>
        </w:rPr>
        <w:t>, 2022)</w:t>
      </w:r>
      <w:bookmarkEnd w:id="308"/>
      <w:bookmarkEnd w:id="309"/>
      <w:bookmarkEnd w:id="310"/>
      <w:bookmarkEnd w:id="311"/>
    </w:p>
    <w:p w14:paraId="60033447" w14:textId="77777777" w:rsidR="008A70C9" w:rsidRPr="00380B40" w:rsidRDefault="008A70C9" w:rsidP="008A70C9">
      <w:pPr>
        <w:pStyle w:val="Restitle"/>
        <w:rPr>
          <w:lang w:val="en-GB"/>
        </w:rPr>
      </w:pPr>
      <w:bookmarkStart w:id="312" w:name="_Toc104459756"/>
      <w:bookmarkStart w:id="313" w:name="_Toc104476564"/>
      <w:bookmarkStart w:id="314" w:name="_Toc111638457"/>
      <w:r w:rsidRPr="00380B40">
        <w:rPr>
          <w:lang w:val="en-GB"/>
        </w:rPr>
        <w:t>Measurement and assessment concerns related to human exposure to electromagnetic fields</w:t>
      </w:r>
      <w:bookmarkEnd w:id="312"/>
      <w:bookmarkEnd w:id="313"/>
      <w:bookmarkEnd w:id="314"/>
    </w:p>
    <w:p w14:paraId="75F965AD" w14:textId="77777777" w:rsidR="008A70C9" w:rsidRPr="00380B40" w:rsidRDefault="008A70C9" w:rsidP="008A70C9">
      <w:pPr>
        <w:pStyle w:val="Resref"/>
        <w:rPr>
          <w:lang w:val="en-GB"/>
        </w:rPr>
      </w:pPr>
      <w:r w:rsidRPr="00380B40">
        <w:rPr>
          <w:lang w:val="en-GB"/>
        </w:rPr>
        <w:t>(Johannesburg, 2008; Dubai, 2012; Hammamet, 2016, Geneva, 2022)</w:t>
      </w:r>
    </w:p>
    <w:p w14:paraId="7BBE8E89" w14:textId="77777777" w:rsidR="008A70C9" w:rsidRPr="00380B40" w:rsidRDefault="008A70C9" w:rsidP="008A70C9">
      <w:pPr>
        <w:pStyle w:val="Normalaftertitle0"/>
      </w:pPr>
      <w:r w:rsidRPr="00380B40">
        <w:t>The World Telecommunication Standardization Assembly (Geneva, 2022),</w:t>
      </w:r>
    </w:p>
    <w:p w14:paraId="586F252A" w14:textId="77777777" w:rsidR="008A70C9" w:rsidRPr="00380B40" w:rsidRDefault="008A70C9" w:rsidP="008A70C9">
      <w:pPr>
        <w:pStyle w:val="Call"/>
        <w:rPr>
          <w:lang w:val="en-GB"/>
        </w:rPr>
      </w:pPr>
      <w:r w:rsidRPr="00380B40">
        <w:rPr>
          <w:lang w:val="en-GB"/>
        </w:rPr>
        <w:t>recalling</w:t>
      </w:r>
    </w:p>
    <w:p w14:paraId="3AF19ECA" w14:textId="77777777" w:rsidR="008A70C9" w:rsidRPr="00380B40" w:rsidRDefault="008A70C9" w:rsidP="008A70C9">
      <w:pPr>
        <w:rPr>
          <w:lang w:val="en-GB"/>
        </w:rPr>
      </w:pPr>
      <w:r w:rsidRPr="00380B40">
        <w:rPr>
          <w:i/>
          <w:iCs/>
          <w:spacing w:val="-1"/>
          <w:lang w:val="en-GB"/>
        </w:rPr>
        <w:t>a)</w:t>
      </w:r>
      <w:r w:rsidRPr="00380B40">
        <w:rPr>
          <w:spacing w:val="-1"/>
          <w:lang w:val="en-GB"/>
        </w:rPr>
        <w:tab/>
      </w:r>
      <w:r w:rsidRPr="00380B40">
        <w:rPr>
          <w:lang w:val="en-GB"/>
        </w:rPr>
        <w:t>Resolution 176 (Rev. Dubai, 2018) of the Plenipotentiary Conference, on measurement and assessment concerns related to human exposure to electromagnetic fields (EMF);</w:t>
      </w:r>
    </w:p>
    <w:p w14:paraId="62657FC0" w14:textId="77777777" w:rsidR="008A70C9" w:rsidRPr="00380B40" w:rsidRDefault="008A70C9" w:rsidP="008A70C9">
      <w:pPr>
        <w:rPr>
          <w:lang w:val="en-GB"/>
        </w:rPr>
      </w:pPr>
      <w:r w:rsidRPr="00380B40">
        <w:rPr>
          <w:i/>
          <w:iCs/>
          <w:spacing w:val="-1"/>
          <w:lang w:val="en-GB"/>
        </w:rPr>
        <w:t>b)</w:t>
      </w:r>
      <w:r w:rsidRPr="00380B40">
        <w:rPr>
          <w:spacing w:val="-1"/>
          <w:lang w:val="en-GB"/>
        </w:rPr>
        <w:tab/>
      </w:r>
      <w:r w:rsidRPr="00380B40">
        <w:rPr>
          <w:noProof/>
          <w:lang w:val="en-US" w:eastAsia="zh-CN"/>
        </w:rPr>
        <mc:AlternateContent>
          <mc:Choice Requires="wps">
            <w:drawing>
              <wp:anchor distT="0" distB="0" distL="114300" distR="114300" simplePos="0" relativeHeight="251678720" behindDoc="1" locked="0" layoutInCell="0" allowOverlap="1" wp14:anchorId="3D89056E" wp14:editId="4CA219D6">
                <wp:simplePos x="0" y="0"/>
                <wp:positionH relativeFrom="page">
                  <wp:posOffset>719455</wp:posOffset>
                </wp:positionH>
                <wp:positionV relativeFrom="page">
                  <wp:posOffset>9606915</wp:posOffset>
                </wp:positionV>
                <wp:extent cx="1398905" cy="0"/>
                <wp:effectExtent l="5080" t="5715" r="5715" b="13335"/>
                <wp:wrapNone/>
                <wp:docPr id="1992" name="Freeform: Shape 1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8905" cy="0"/>
                        </a:xfrm>
                        <a:custGeom>
                          <a:avLst/>
                          <a:gdLst>
                            <a:gd name="T0" fmla="*/ 0 w 2203"/>
                            <a:gd name="T1" fmla="*/ 2147483646 w 2203"/>
                            <a:gd name="T2" fmla="*/ 0 60000 65536"/>
                            <a:gd name="T3" fmla="*/ 0 60000 65536"/>
                          </a:gdLst>
                          <a:ahLst/>
                          <a:cxnLst>
                            <a:cxn ang="T2">
                              <a:pos x="T0" y="0"/>
                            </a:cxn>
                            <a:cxn ang="T3">
                              <a:pos x="T1" y="0"/>
                            </a:cxn>
                          </a:cxnLst>
                          <a:rect l="0" t="0" r="r" b="b"/>
                          <a:pathLst>
                            <a:path w="2203">
                              <a:moveTo>
                                <a:pt x="0" y="0"/>
                              </a:moveTo>
                              <a:lnTo>
                                <a:pt x="220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polyline w14:anchorId="4C0AD7DF" id="Freeform: Shape 199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756.45pt,166.8pt,756.45pt" coordsize="2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" o:allowincell="f" filled="f" strokeweight=".15578mm">
                <v:path arrowok="t" o:connecttype="custom" o:connectlocs="0,0;2147483646,0" o:connectangles="0,0"/>
                <w10:wrap anchorx="page" anchory="page"/>
              </v:polyline>
            </w:pict>
          </mc:Fallback>
        </mc:AlternateContent>
      </w:r>
      <w:r w:rsidRPr="00380B40">
        <w:rPr>
          <w:spacing w:val="-1"/>
          <w:lang w:val="en-GB"/>
        </w:rPr>
        <w:t>R</w:t>
      </w:r>
      <w:r w:rsidRPr="00380B40">
        <w:rPr>
          <w:lang w:val="en-GB"/>
        </w:rPr>
        <w:t>e</w:t>
      </w:r>
      <w:r w:rsidRPr="00380B40">
        <w:rPr>
          <w:spacing w:val="1"/>
          <w:lang w:val="en-GB"/>
        </w:rPr>
        <w:t>s</w:t>
      </w:r>
      <w:r w:rsidRPr="00380B40">
        <w:rPr>
          <w:lang w:val="en-GB"/>
        </w:rPr>
        <w:t>o</w:t>
      </w:r>
      <w:r w:rsidRPr="00380B40">
        <w:rPr>
          <w:spacing w:val="1"/>
          <w:lang w:val="en-GB"/>
        </w:rPr>
        <w:t>l</w:t>
      </w:r>
      <w:r w:rsidRPr="00380B40">
        <w:rPr>
          <w:spacing w:val="-2"/>
          <w:lang w:val="en-GB"/>
        </w:rPr>
        <w:t>u</w:t>
      </w:r>
      <w:r w:rsidRPr="00380B40">
        <w:rPr>
          <w:spacing w:val="1"/>
          <w:lang w:val="en-GB"/>
        </w:rPr>
        <w:t>t</w:t>
      </w:r>
      <w:r w:rsidRPr="00380B40">
        <w:rPr>
          <w:spacing w:val="-1"/>
          <w:lang w:val="en-GB"/>
        </w:rPr>
        <w:t>i</w:t>
      </w:r>
      <w:r w:rsidRPr="00380B40">
        <w:rPr>
          <w:lang w:val="en-GB"/>
        </w:rPr>
        <w:t>on</w:t>
      </w:r>
      <w:r w:rsidRPr="00380B40">
        <w:rPr>
          <w:spacing w:val="22"/>
          <w:lang w:val="en-GB"/>
        </w:rPr>
        <w:t xml:space="preserve"> </w:t>
      </w:r>
      <w:r w:rsidRPr="00380B40">
        <w:rPr>
          <w:spacing w:val="-2"/>
          <w:lang w:val="en-GB"/>
        </w:rPr>
        <w:t>6</w:t>
      </w:r>
      <w:r w:rsidRPr="00380B40">
        <w:rPr>
          <w:lang w:val="en-GB"/>
        </w:rPr>
        <w:t>2</w:t>
      </w:r>
      <w:r w:rsidRPr="00380B40">
        <w:rPr>
          <w:spacing w:val="22"/>
          <w:lang w:val="en-GB"/>
        </w:rPr>
        <w:t xml:space="preserve"> </w:t>
      </w:r>
      <w:r w:rsidRPr="00380B40">
        <w:rPr>
          <w:spacing w:val="1"/>
          <w:lang w:val="en-GB"/>
        </w:rPr>
        <w:t>(</w:t>
      </w:r>
      <w:r w:rsidRPr="00380B40">
        <w:rPr>
          <w:spacing w:val="-3"/>
          <w:lang w:val="en-GB"/>
        </w:rPr>
        <w:t>R</w:t>
      </w:r>
      <w:r w:rsidRPr="00380B40">
        <w:rPr>
          <w:lang w:val="en-GB"/>
        </w:rPr>
        <w:t>e</w:t>
      </w:r>
      <w:r w:rsidRPr="00380B40">
        <w:rPr>
          <w:spacing w:val="-2"/>
          <w:lang w:val="en-GB"/>
        </w:rPr>
        <w:t>v</w:t>
      </w:r>
      <w:r w:rsidRPr="00380B40">
        <w:rPr>
          <w:lang w:val="en-GB"/>
        </w:rPr>
        <w:t xml:space="preserve">. </w:t>
      </w:r>
      <w:r w:rsidRPr="00380B40">
        <w:rPr>
          <w:spacing w:val="-1"/>
          <w:lang w:val="en-GB"/>
        </w:rPr>
        <w:t>Buenos Aires</w:t>
      </w:r>
      <w:r w:rsidRPr="00380B40">
        <w:rPr>
          <w:lang w:val="en-GB"/>
        </w:rPr>
        <w:t>,</w:t>
      </w:r>
      <w:r w:rsidRPr="00380B40">
        <w:rPr>
          <w:spacing w:val="22"/>
          <w:lang w:val="en-GB"/>
        </w:rPr>
        <w:t xml:space="preserve"> </w:t>
      </w:r>
      <w:r w:rsidRPr="00380B40">
        <w:rPr>
          <w:lang w:val="en-GB"/>
        </w:rPr>
        <w:t>201</w:t>
      </w:r>
      <w:r w:rsidRPr="00380B40">
        <w:rPr>
          <w:spacing w:val="-2"/>
          <w:lang w:val="en-GB"/>
        </w:rPr>
        <w:t>7</w:t>
      </w:r>
      <w:r w:rsidRPr="00380B40">
        <w:rPr>
          <w:lang w:val="en-GB"/>
        </w:rPr>
        <w:t>)</w:t>
      </w:r>
      <w:r w:rsidRPr="00380B40">
        <w:rPr>
          <w:spacing w:val="23"/>
          <w:lang w:val="en-GB"/>
        </w:rPr>
        <w:t xml:space="preserve"> </w:t>
      </w:r>
      <w:r w:rsidRPr="00380B40">
        <w:rPr>
          <w:spacing w:val="-2"/>
          <w:lang w:val="en-GB"/>
        </w:rPr>
        <w:t>o</w:t>
      </w:r>
      <w:r w:rsidRPr="00380B40">
        <w:rPr>
          <w:lang w:val="en-GB"/>
        </w:rPr>
        <w:t>f</w:t>
      </w:r>
      <w:r w:rsidRPr="00380B40">
        <w:rPr>
          <w:spacing w:val="20"/>
          <w:lang w:val="en-GB"/>
        </w:rPr>
        <w:t xml:space="preserve"> </w:t>
      </w:r>
      <w:r w:rsidRPr="00380B40">
        <w:rPr>
          <w:spacing w:val="1"/>
          <w:lang w:val="en-GB"/>
        </w:rPr>
        <w:t>t</w:t>
      </w:r>
      <w:r w:rsidRPr="00380B40">
        <w:rPr>
          <w:lang w:val="en-GB"/>
        </w:rPr>
        <w:t>he</w:t>
      </w:r>
      <w:r w:rsidRPr="00380B40">
        <w:rPr>
          <w:spacing w:val="20"/>
          <w:lang w:val="en-GB"/>
        </w:rPr>
        <w:t xml:space="preserve"> </w:t>
      </w:r>
      <w:r w:rsidRPr="00380B40">
        <w:rPr>
          <w:lang w:val="en-GB"/>
        </w:rPr>
        <w:t>W</w:t>
      </w:r>
      <w:r w:rsidRPr="00380B40">
        <w:rPr>
          <w:spacing w:val="-2"/>
          <w:lang w:val="en-GB"/>
        </w:rPr>
        <w:t>o</w:t>
      </w:r>
      <w:r w:rsidRPr="00380B40">
        <w:rPr>
          <w:spacing w:val="1"/>
          <w:lang w:val="en-GB"/>
        </w:rPr>
        <w:t>r</w:t>
      </w:r>
      <w:r w:rsidRPr="00380B40">
        <w:rPr>
          <w:spacing w:val="-1"/>
          <w:lang w:val="en-GB"/>
        </w:rPr>
        <w:t>l</w:t>
      </w:r>
      <w:r w:rsidRPr="00380B40">
        <w:rPr>
          <w:lang w:val="en-GB"/>
        </w:rPr>
        <w:t>d</w:t>
      </w:r>
      <w:r w:rsidRPr="00380B40">
        <w:rPr>
          <w:spacing w:val="20"/>
          <w:lang w:val="en-GB"/>
        </w:rPr>
        <w:t xml:space="preserve"> </w:t>
      </w:r>
      <w:r w:rsidRPr="00380B40">
        <w:rPr>
          <w:spacing w:val="2"/>
          <w:lang w:val="en-GB"/>
        </w:rPr>
        <w:t>T</w:t>
      </w:r>
      <w:r w:rsidRPr="00380B40">
        <w:rPr>
          <w:spacing w:val="-2"/>
          <w:lang w:val="en-GB"/>
        </w:rPr>
        <w:t>e</w:t>
      </w:r>
      <w:r w:rsidRPr="00380B40">
        <w:rPr>
          <w:spacing w:val="1"/>
          <w:lang w:val="en-GB"/>
        </w:rPr>
        <w:t>l</w:t>
      </w:r>
      <w:r w:rsidRPr="00380B40">
        <w:rPr>
          <w:spacing w:val="-2"/>
          <w:lang w:val="en-GB"/>
        </w:rPr>
        <w:t>e</w:t>
      </w:r>
      <w:r w:rsidRPr="00380B40">
        <w:rPr>
          <w:lang w:val="en-GB"/>
        </w:rPr>
        <w:t>co</w:t>
      </w:r>
      <w:r w:rsidRPr="00380B40">
        <w:rPr>
          <w:spacing w:val="-1"/>
          <w:lang w:val="en-GB"/>
        </w:rPr>
        <w:t>m</w:t>
      </w:r>
      <w:r w:rsidRPr="00380B40">
        <w:rPr>
          <w:spacing w:val="-4"/>
          <w:lang w:val="en-GB"/>
        </w:rPr>
        <w:t>m</w:t>
      </w:r>
      <w:r w:rsidRPr="00380B40">
        <w:rPr>
          <w:lang w:val="en-GB"/>
        </w:rPr>
        <w:t>un</w:t>
      </w:r>
      <w:r w:rsidRPr="00380B40">
        <w:rPr>
          <w:spacing w:val="1"/>
          <w:lang w:val="en-GB"/>
        </w:rPr>
        <w:t>i</w:t>
      </w:r>
      <w:r w:rsidRPr="00380B40">
        <w:rPr>
          <w:lang w:val="en-GB"/>
        </w:rPr>
        <w:t>ca</w:t>
      </w:r>
      <w:r w:rsidRPr="00380B40">
        <w:rPr>
          <w:spacing w:val="1"/>
          <w:lang w:val="en-GB"/>
        </w:rPr>
        <w:t>t</w:t>
      </w:r>
      <w:r w:rsidRPr="00380B40">
        <w:rPr>
          <w:spacing w:val="-1"/>
          <w:lang w:val="en-GB"/>
        </w:rPr>
        <w:t>i</w:t>
      </w:r>
      <w:r w:rsidRPr="00380B40">
        <w:rPr>
          <w:lang w:val="en-GB"/>
        </w:rPr>
        <w:t>on</w:t>
      </w:r>
      <w:r w:rsidRPr="00380B40">
        <w:rPr>
          <w:spacing w:val="22"/>
          <w:lang w:val="en-GB"/>
        </w:rPr>
        <w:t xml:space="preserve"> </w:t>
      </w:r>
      <w:r w:rsidRPr="00380B40">
        <w:rPr>
          <w:spacing w:val="-1"/>
          <w:lang w:val="en-GB"/>
        </w:rPr>
        <w:t>D</w:t>
      </w:r>
      <w:r w:rsidRPr="00380B40">
        <w:rPr>
          <w:lang w:val="en-GB"/>
        </w:rPr>
        <w:t>e</w:t>
      </w:r>
      <w:r w:rsidRPr="00380B40">
        <w:rPr>
          <w:spacing w:val="-2"/>
          <w:lang w:val="en-GB"/>
        </w:rPr>
        <w:t>v</w:t>
      </w:r>
      <w:r w:rsidRPr="00380B40">
        <w:rPr>
          <w:lang w:val="en-GB"/>
        </w:rPr>
        <w:t>e</w:t>
      </w:r>
      <w:r w:rsidRPr="00380B40">
        <w:rPr>
          <w:spacing w:val="1"/>
          <w:lang w:val="en-GB"/>
        </w:rPr>
        <w:t>l</w:t>
      </w:r>
      <w:r w:rsidRPr="00380B40">
        <w:rPr>
          <w:spacing w:val="-2"/>
          <w:lang w:val="en-GB"/>
        </w:rPr>
        <w:t>o</w:t>
      </w:r>
      <w:r w:rsidRPr="00380B40">
        <w:rPr>
          <w:lang w:val="en-GB"/>
        </w:rPr>
        <w:t>p</w:t>
      </w:r>
      <w:r w:rsidRPr="00380B40">
        <w:rPr>
          <w:spacing w:val="-1"/>
          <w:lang w:val="en-GB"/>
        </w:rPr>
        <w:t>m</w:t>
      </w:r>
      <w:r w:rsidRPr="00380B40">
        <w:rPr>
          <w:lang w:val="en-GB"/>
        </w:rPr>
        <w:t>ent</w:t>
      </w:r>
      <w:r w:rsidRPr="00380B40">
        <w:rPr>
          <w:spacing w:val="23"/>
          <w:lang w:val="en-GB"/>
        </w:rPr>
        <w:t xml:space="preserve"> </w:t>
      </w:r>
      <w:r w:rsidRPr="00380B40">
        <w:rPr>
          <w:spacing w:val="-1"/>
          <w:lang w:val="en-GB"/>
        </w:rPr>
        <w:t>C</w:t>
      </w:r>
      <w:r w:rsidRPr="00380B40">
        <w:rPr>
          <w:spacing w:val="-2"/>
          <w:lang w:val="en-GB"/>
        </w:rPr>
        <w:t>o</w:t>
      </w:r>
      <w:r w:rsidRPr="00380B40">
        <w:rPr>
          <w:lang w:val="en-GB"/>
        </w:rPr>
        <w:t>n</w:t>
      </w:r>
      <w:r w:rsidRPr="00380B40">
        <w:rPr>
          <w:spacing w:val="1"/>
          <w:lang w:val="en-GB"/>
        </w:rPr>
        <w:t>f</w:t>
      </w:r>
      <w:r w:rsidRPr="00380B40">
        <w:rPr>
          <w:spacing w:val="-2"/>
          <w:lang w:val="en-GB"/>
        </w:rPr>
        <w:t>e</w:t>
      </w:r>
      <w:r w:rsidRPr="00380B40">
        <w:rPr>
          <w:spacing w:val="1"/>
          <w:lang w:val="en-GB"/>
        </w:rPr>
        <w:t>r</w:t>
      </w:r>
      <w:r w:rsidRPr="00380B40">
        <w:rPr>
          <w:lang w:val="en-GB"/>
        </w:rPr>
        <w:t>e</w:t>
      </w:r>
      <w:r w:rsidRPr="00380B40">
        <w:rPr>
          <w:spacing w:val="-2"/>
          <w:lang w:val="en-GB"/>
        </w:rPr>
        <w:t>n</w:t>
      </w:r>
      <w:r w:rsidRPr="00380B40">
        <w:rPr>
          <w:lang w:val="en-GB"/>
        </w:rPr>
        <w:t>ce,</w:t>
      </w:r>
      <w:r w:rsidRPr="00380B40">
        <w:rPr>
          <w:spacing w:val="20"/>
          <w:lang w:val="en-GB"/>
        </w:rPr>
        <w:t xml:space="preserve"> </w:t>
      </w:r>
      <w:r w:rsidRPr="00380B40">
        <w:rPr>
          <w:spacing w:val="-2"/>
          <w:lang w:val="en-GB"/>
        </w:rPr>
        <w:t>o</w:t>
      </w:r>
      <w:r w:rsidRPr="00380B40">
        <w:rPr>
          <w:lang w:val="en-GB"/>
        </w:rPr>
        <w:t xml:space="preserve">n </w:t>
      </w:r>
      <w:r w:rsidRPr="00380B40">
        <w:rPr>
          <w:spacing w:val="-4"/>
          <w:lang w:val="en-GB"/>
        </w:rPr>
        <w:t>m</w:t>
      </w:r>
      <w:r w:rsidRPr="00380B40">
        <w:rPr>
          <w:lang w:val="en-GB"/>
        </w:rPr>
        <w:t>easu</w:t>
      </w:r>
      <w:r w:rsidRPr="00380B40">
        <w:rPr>
          <w:spacing w:val="1"/>
          <w:lang w:val="en-GB"/>
        </w:rPr>
        <w:t>r</w:t>
      </w:r>
      <w:r w:rsidRPr="00380B40">
        <w:rPr>
          <w:lang w:val="en-GB"/>
        </w:rPr>
        <w:t>e</w:t>
      </w:r>
      <w:r w:rsidRPr="00380B40">
        <w:rPr>
          <w:spacing w:val="-3"/>
          <w:lang w:val="en-GB"/>
        </w:rPr>
        <w:t>m</w:t>
      </w:r>
      <w:r w:rsidRPr="00380B40">
        <w:rPr>
          <w:lang w:val="en-GB"/>
        </w:rPr>
        <w:t>ent</w:t>
      </w:r>
      <w:r w:rsidRPr="00380B40">
        <w:rPr>
          <w:spacing w:val="1"/>
          <w:lang w:val="en-GB"/>
        </w:rPr>
        <w:t xml:space="preserve"> </w:t>
      </w:r>
      <w:r w:rsidRPr="00380B40">
        <w:rPr>
          <w:lang w:val="en-GB"/>
        </w:rPr>
        <w:t>con</w:t>
      </w:r>
      <w:r w:rsidRPr="00380B40">
        <w:rPr>
          <w:spacing w:val="-2"/>
          <w:lang w:val="en-GB"/>
        </w:rPr>
        <w:t>c</w:t>
      </w:r>
      <w:r w:rsidRPr="00380B40">
        <w:rPr>
          <w:lang w:val="en-GB"/>
        </w:rPr>
        <w:t>e</w:t>
      </w:r>
      <w:r w:rsidRPr="00380B40">
        <w:rPr>
          <w:spacing w:val="1"/>
          <w:lang w:val="en-GB"/>
        </w:rPr>
        <w:t>r</w:t>
      </w:r>
      <w:r w:rsidRPr="00380B40">
        <w:rPr>
          <w:spacing w:val="-2"/>
          <w:lang w:val="en-GB"/>
        </w:rPr>
        <w:t>n</w:t>
      </w:r>
      <w:r w:rsidRPr="00380B40">
        <w:rPr>
          <w:lang w:val="en-GB"/>
        </w:rPr>
        <w:t xml:space="preserve">s </w:t>
      </w:r>
      <w:r w:rsidRPr="00380B40">
        <w:rPr>
          <w:spacing w:val="1"/>
          <w:lang w:val="en-GB"/>
        </w:rPr>
        <w:t>r</w:t>
      </w:r>
      <w:r w:rsidRPr="00380B40">
        <w:rPr>
          <w:spacing w:val="-2"/>
          <w:lang w:val="en-GB"/>
        </w:rPr>
        <w:t>e</w:t>
      </w:r>
      <w:r w:rsidRPr="00380B40">
        <w:rPr>
          <w:spacing w:val="1"/>
          <w:lang w:val="en-GB"/>
        </w:rPr>
        <w:t>l</w:t>
      </w:r>
      <w:r w:rsidRPr="00380B40">
        <w:rPr>
          <w:spacing w:val="-2"/>
          <w:lang w:val="en-GB"/>
        </w:rPr>
        <w:t>a</w:t>
      </w:r>
      <w:r w:rsidRPr="00380B40">
        <w:rPr>
          <w:spacing w:val="-1"/>
          <w:lang w:val="en-GB"/>
        </w:rPr>
        <w:t>t</w:t>
      </w:r>
      <w:r w:rsidRPr="00380B40">
        <w:rPr>
          <w:lang w:val="en-GB"/>
        </w:rPr>
        <w:t xml:space="preserve">ed </w:t>
      </w:r>
      <w:r w:rsidRPr="00380B40">
        <w:rPr>
          <w:spacing w:val="1"/>
          <w:lang w:val="en-GB"/>
        </w:rPr>
        <w:t>t</w:t>
      </w:r>
      <w:r w:rsidRPr="00380B40">
        <w:rPr>
          <w:lang w:val="en-GB"/>
        </w:rPr>
        <w:t xml:space="preserve">o assessment and measurement of </w:t>
      </w:r>
      <w:r w:rsidRPr="00380B40">
        <w:rPr>
          <w:spacing w:val="-2"/>
          <w:lang w:val="en-GB"/>
        </w:rPr>
        <w:t>h</w:t>
      </w:r>
      <w:r w:rsidRPr="00380B40">
        <w:rPr>
          <w:lang w:val="en-GB"/>
        </w:rPr>
        <w:t>u</w:t>
      </w:r>
      <w:r w:rsidRPr="00380B40">
        <w:rPr>
          <w:spacing w:val="-4"/>
          <w:lang w:val="en-GB"/>
        </w:rPr>
        <w:t>m</w:t>
      </w:r>
      <w:r w:rsidRPr="00380B40">
        <w:rPr>
          <w:lang w:val="en-GB"/>
        </w:rPr>
        <w:t>an expos</w:t>
      </w:r>
      <w:r w:rsidRPr="00380B40">
        <w:rPr>
          <w:spacing w:val="-2"/>
          <w:lang w:val="en-GB"/>
        </w:rPr>
        <w:t>u</w:t>
      </w:r>
      <w:r w:rsidRPr="00380B40">
        <w:rPr>
          <w:spacing w:val="1"/>
          <w:lang w:val="en-GB"/>
        </w:rPr>
        <w:t>r</w:t>
      </w:r>
      <w:r w:rsidRPr="00380B40">
        <w:rPr>
          <w:lang w:val="en-GB"/>
        </w:rPr>
        <w:t>e</w:t>
      </w:r>
      <w:r w:rsidRPr="00380B40">
        <w:rPr>
          <w:spacing w:val="-2"/>
          <w:lang w:val="en-GB"/>
        </w:rPr>
        <w:t xml:space="preserve"> </w:t>
      </w:r>
      <w:r w:rsidRPr="00380B40">
        <w:rPr>
          <w:spacing w:val="1"/>
          <w:lang w:val="en-GB"/>
        </w:rPr>
        <w:t>t</w:t>
      </w:r>
      <w:r w:rsidRPr="00380B40">
        <w:rPr>
          <w:lang w:val="en-GB"/>
        </w:rPr>
        <w:t>o EMF,</w:t>
      </w:r>
    </w:p>
    <w:p w14:paraId="6AE2D6D1" w14:textId="77777777" w:rsidR="008A70C9" w:rsidRPr="00380B40" w:rsidRDefault="008A70C9" w:rsidP="008A70C9">
      <w:pPr>
        <w:pStyle w:val="Call"/>
        <w:keepNext w:val="0"/>
        <w:keepLines w:val="0"/>
        <w:widowControl w:val="0"/>
        <w:rPr>
          <w:lang w:val="en-GB"/>
        </w:rPr>
      </w:pPr>
      <w:r w:rsidRPr="00380B40">
        <w:rPr>
          <w:lang w:val="en-GB"/>
        </w:rPr>
        <w:t>considering</w:t>
      </w:r>
    </w:p>
    <w:p w14:paraId="1B58099D" w14:textId="77777777" w:rsidR="008A70C9" w:rsidRPr="00380B40" w:rsidRDefault="008A70C9" w:rsidP="008A70C9">
      <w:pPr>
        <w:rPr>
          <w:lang w:val="en-GB"/>
        </w:rPr>
      </w:pPr>
      <w:r w:rsidRPr="00380B40">
        <w:rPr>
          <w:i/>
          <w:iCs/>
          <w:lang w:val="en-GB"/>
        </w:rPr>
        <w:t>a)</w:t>
      </w:r>
      <w:r w:rsidRPr="00380B40">
        <w:rPr>
          <w:lang w:val="en-GB"/>
        </w:rPr>
        <w:tab/>
        <w:t>the importance of telecommunications/information and communication technologies (ICTs) for political, economic, social and cultural progress;</w:t>
      </w:r>
    </w:p>
    <w:p w14:paraId="1B757EEA" w14:textId="77777777" w:rsidR="008A70C9" w:rsidRPr="00380B40" w:rsidRDefault="008A70C9" w:rsidP="008A70C9">
      <w:pPr>
        <w:rPr>
          <w:lang w:val="en-GB"/>
        </w:rPr>
      </w:pPr>
      <w:r w:rsidRPr="00380B40">
        <w:rPr>
          <w:i/>
          <w:iCs/>
          <w:lang w:val="en-GB"/>
        </w:rPr>
        <w:t>b)</w:t>
      </w:r>
      <w:r w:rsidRPr="00380B40">
        <w:rPr>
          <w:lang w:val="en-GB"/>
        </w:rPr>
        <w:tab/>
        <w:t>that, in the framework of telecommunications/ICTs to help bridge the digital divide between developed and developing countries</w:t>
      </w:r>
      <w:r w:rsidR="00FD162E" w:rsidRPr="00380B40">
        <w:rPr>
          <w:rStyle w:val="FootnoteReference"/>
          <w:lang w:val="en-GB"/>
        </w:rPr>
        <w:footnoteReference w:id="35"/>
      </w:r>
      <w:r w:rsidRPr="00380B40">
        <w:rPr>
          <w:lang w:val="en-GB"/>
        </w:rPr>
        <w:t>, a significant part of the infrastructure needed involves various wireless technologies and the installation of base stations in the appropriate measure to ensure quality of service;</w:t>
      </w:r>
    </w:p>
    <w:p w14:paraId="0592974D" w14:textId="77777777" w:rsidR="008A70C9" w:rsidRPr="00380B40" w:rsidRDefault="008A70C9" w:rsidP="008A70C9">
      <w:pPr>
        <w:rPr>
          <w:lang w:val="en-GB"/>
        </w:rPr>
      </w:pPr>
      <w:r w:rsidRPr="00380B40">
        <w:rPr>
          <w:i/>
          <w:iCs/>
          <w:lang w:val="en-GB"/>
        </w:rPr>
        <w:t>c)</w:t>
      </w:r>
      <w:r w:rsidRPr="00380B40">
        <w:rPr>
          <w:lang w:val="en-GB"/>
        </w:rPr>
        <w:tab/>
        <w:t>that there is a need to inform the public of the levels of EMF from different radio-frequency (RF) sources, and of the limits of safe exposure from these sources, in a scientific and objective manner through measurements and other standardized methodologies, as well as of the potential effects of EMF exposure;</w:t>
      </w:r>
    </w:p>
    <w:p w14:paraId="63C3129A" w14:textId="77777777" w:rsidR="008A70C9" w:rsidRPr="00380B40" w:rsidRDefault="008A70C9" w:rsidP="008A70C9">
      <w:pPr>
        <w:rPr>
          <w:lang w:val="en-GB"/>
        </w:rPr>
      </w:pPr>
      <w:r w:rsidRPr="00380B40">
        <w:rPr>
          <w:i/>
          <w:iCs/>
          <w:lang w:val="en-GB"/>
        </w:rPr>
        <w:t>d)</w:t>
      </w:r>
      <w:r w:rsidRPr="00380B40">
        <w:rPr>
          <w:lang w:val="en-GB"/>
        </w:rPr>
        <w:tab/>
        <w:t>that an enormous amount of research has been carried out regarding wireless systems and health, and many independent expert committees have reviewed this research;</w:t>
      </w:r>
    </w:p>
    <w:p w14:paraId="4DAD8F89" w14:textId="77777777" w:rsidR="008A70C9" w:rsidRPr="00380B40" w:rsidRDefault="008A70C9" w:rsidP="008A70C9">
      <w:pPr>
        <w:rPr>
          <w:lang w:val="en-GB"/>
        </w:rPr>
      </w:pPr>
      <w:r w:rsidRPr="00380B40">
        <w:rPr>
          <w:i/>
          <w:iCs/>
          <w:lang w:val="en-GB"/>
        </w:rPr>
        <w:t>e)</w:t>
      </w:r>
      <w:r w:rsidRPr="00380B40">
        <w:rPr>
          <w:lang w:val="en-GB"/>
        </w:rPr>
        <w:tab/>
        <w:t>that the World Health Organization (WHO) has the expertise and competency in the health field to assess the impact of radio waves on the human body;</w:t>
      </w:r>
    </w:p>
    <w:p w14:paraId="166862B3" w14:textId="77777777" w:rsidR="008A70C9" w:rsidRPr="00380B40" w:rsidRDefault="008A70C9" w:rsidP="008A70C9">
      <w:pPr>
        <w:rPr>
          <w:lang w:val="en-GB"/>
        </w:rPr>
      </w:pPr>
      <w:r w:rsidRPr="00380B40">
        <w:rPr>
          <w:i/>
          <w:iCs/>
          <w:lang w:val="en-GB"/>
        </w:rPr>
        <w:t>f)</w:t>
      </w:r>
      <w:r w:rsidRPr="00380B40">
        <w:rPr>
          <w:lang w:val="en-GB"/>
        </w:rPr>
        <w:tab/>
        <w:t>that WHO advocates exposure limits that were established by international organizations such as the International Commission on Non-Ionizing Radiation Protection (ICNIRP);</w:t>
      </w:r>
    </w:p>
    <w:p w14:paraId="3D9F1E08" w14:textId="77777777" w:rsidR="008A70C9" w:rsidRPr="00380B40" w:rsidRDefault="008A70C9" w:rsidP="008A70C9">
      <w:pPr>
        <w:rPr>
          <w:lang w:val="en-GB"/>
        </w:rPr>
      </w:pPr>
      <w:r w:rsidRPr="00380B40">
        <w:rPr>
          <w:i/>
          <w:iCs/>
          <w:lang w:val="en-GB"/>
        </w:rPr>
        <w:t>g)</w:t>
      </w:r>
      <w:r w:rsidRPr="00380B40">
        <w:rPr>
          <w:lang w:val="en-GB"/>
        </w:rPr>
        <w:tab/>
        <w:t>that ITU works closely with WHO on matters related to human exposure to EMF;</w:t>
      </w:r>
    </w:p>
    <w:p w14:paraId="1C4FEACE" w14:textId="77777777" w:rsidR="007A3B76" w:rsidRPr="00380B40" w:rsidRDefault="007A3B76" w:rsidP="008A70C9">
      <w:pPr>
        <w:rPr>
          <w:i/>
          <w:iCs/>
          <w:lang w:val="en-GB"/>
        </w:rPr>
      </w:pPr>
      <w:r w:rsidRPr="00380B40">
        <w:rPr>
          <w:i/>
          <w:iCs/>
          <w:lang w:val="en-GB"/>
        </w:rPr>
        <w:br w:type="page"/>
      </w:r>
    </w:p>
    <w:p w14:paraId="40EFA8C4" w14:textId="77777777" w:rsidR="008A70C9" w:rsidRPr="00380B40" w:rsidRDefault="008A70C9" w:rsidP="008A70C9">
      <w:pPr>
        <w:rPr>
          <w:lang w:val="en-GB"/>
        </w:rPr>
      </w:pPr>
      <w:r w:rsidRPr="00380B40">
        <w:rPr>
          <w:i/>
          <w:iCs/>
          <w:lang w:val="en-GB"/>
        </w:rPr>
        <w:t>h)</w:t>
      </w:r>
      <w:r w:rsidRPr="00380B40">
        <w:rPr>
          <w:lang w:val="en-GB"/>
        </w:rPr>
        <w:tab/>
        <w:t>that ITU has a mechanism for verifying compliance with radio-signal levels by calculating and measuring the field strength and power density of these signals;</w:t>
      </w:r>
    </w:p>
    <w:p w14:paraId="452A4F6E" w14:textId="77777777" w:rsidR="008A70C9" w:rsidRPr="00380B40" w:rsidRDefault="008A70C9" w:rsidP="008A70C9">
      <w:pPr>
        <w:rPr>
          <w:lang w:val="en-GB"/>
        </w:rPr>
      </w:pPr>
      <w:r w:rsidRPr="00380B40">
        <w:rPr>
          <w:i/>
          <w:iCs/>
          <w:lang w:val="en-GB"/>
        </w:rPr>
        <w:t>i)</w:t>
      </w:r>
      <w:r w:rsidRPr="00380B40">
        <w:rPr>
          <w:lang w:val="en-GB"/>
        </w:rPr>
        <w:tab/>
        <w:t>that the considerable development of the use of the RF spectrum has resulted in an increase in the sources of EMF emission in a given geographical area;</w:t>
      </w:r>
    </w:p>
    <w:p w14:paraId="0335FBD7" w14:textId="77777777" w:rsidR="008A70C9" w:rsidRPr="00380B40" w:rsidRDefault="008A70C9" w:rsidP="008A70C9">
      <w:pPr>
        <w:rPr>
          <w:lang w:val="en-GB"/>
        </w:rPr>
      </w:pPr>
      <w:r w:rsidRPr="00380B40">
        <w:rPr>
          <w:i/>
          <w:iCs/>
          <w:lang w:val="en-GB"/>
        </w:rPr>
        <w:t>j)</w:t>
      </w:r>
      <w:r w:rsidRPr="00380B40">
        <w:rPr>
          <w:lang w:val="en-GB"/>
        </w:rPr>
        <w:tab/>
        <w:t>that regulatory authorities in many developing countries urgently need information on methods of assessing and measuring human exposure to RF-EMF, in order to put in place national regulations to protect populations;</w:t>
      </w:r>
    </w:p>
    <w:p w14:paraId="490B2885" w14:textId="77777777" w:rsidR="008A70C9" w:rsidRPr="00380B40" w:rsidRDefault="008A70C9" w:rsidP="008A70C9">
      <w:pPr>
        <w:rPr>
          <w:lang w:val="en-GB"/>
        </w:rPr>
      </w:pPr>
      <w:r w:rsidRPr="00380B40">
        <w:rPr>
          <w:i/>
          <w:iCs/>
          <w:lang w:val="en-GB"/>
        </w:rPr>
        <w:t>k)</w:t>
      </w:r>
      <w:r w:rsidRPr="00380B40">
        <w:rPr>
          <w:lang w:val="en-GB"/>
        </w:rPr>
        <w:tab/>
        <w:t>that ICNIRP</w:t>
      </w:r>
      <w:r w:rsidR="00FD162E" w:rsidRPr="00380B40">
        <w:rPr>
          <w:rStyle w:val="FootnoteReference"/>
          <w:lang w:val="en-GB"/>
        </w:rPr>
        <w:footnoteReference w:id="36"/>
      </w:r>
      <w:r w:rsidRPr="00380B40">
        <w:rPr>
          <w:lang w:val="en-GB"/>
        </w:rPr>
        <w:t>, the Institute of Electrical and Electronics Engineers (IEEE)</w:t>
      </w:r>
      <w:r w:rsidR="00FD162E" w:rsidRPr="00380B40">
        <w:rPr>
          <w:rStyle w:val="FootnoteReference"/>
          <w:lang w:val="en-GB"/>
        </w:rPr>
        <w:footnoteReference w:id="37"/>
      </w:r>
      <w:r w:rsidRPr="00380B40">
        <w:rPr>
          <w:lang w:val="en-GB"/>
        </w:rPr>
        <w:t xml:space="preserve"> and the International Organization for Standardization/International Electrotechnical Commission (ISO/IEC) have developed guidelines for EMF exposure limits and that many administrations have adopted national regulations based on those guidelines;</w:t>
      </w:r>
    </w:p>
    <w:p w14:paraId="4C1E3FC0" w14:textId="77777777" w:rsidR="008A70C9" w:rsidRPr="00380B40" w:rsidRDefault="008A70C9" w:rsidP="008A70C9">
      <w:pPr>
        <w:rPr>
          <w:lang w:val="en-GB"/>
        </w:rPr>
      </w:pPr>
      <w:r w:rsidRPr="00380B40">
        <w:rPr>
          <w:i/>
          <w:iCs/>
          <w:lang w:val="en-GB"/>
        </w:rPr>
        <w:t>l)</w:t>
      </w:r>
      <w:r w:rsidRPr="00380B40">
        <w:rPr>
          <w:lang w:val="en-GB"/>
        </w:rPr>
        <w:tab/>
        <w:t>that most developing countries do not have the necessary tools to measure and assess the impact of radio waves on the human body;</w:t>
      </w:r>
    </w:p>
    <w:p w14:paraId="3F807387" w14:textId="77777777" w:rsidR="008A70C9" w:rsidRPr="00380B40" w:rsidRDefault="008A70C9" w:rsidP="008A70C9">
      <w:pPr>
        <w:rPr>
          <w:lang w:val="en-GB"/>
        </w:rPr>
      </w:pPr>
      <w:r w:rsidRPr="00380B40">
        <w:rPr>
          <w:i/>
          <w:iCs/>
          <w:lang w:val="en-GB"/>
        </w:rPr>
        <w:t>m)</w:t>
      </w:r>
      <w:r w:rsidRPr="00380B40">
        <w:rPr>
          <w:lang w:val="en-GB"/>
        </w:rPr>
        <w:tab/>
        <w:t>relevant resolutions, recommendations and reports of the ITU Telecommunication Standardization Sector (ITU-T), the ITU Radiocommunication Sector (ITU-R) and the ITU Telecommunication Development Sector (ITU-D) related to human exposure to EMF;</w:t>
      </w:r>
    </w:p>
    <w:p w14:paraId="3DDCE686" w14:textId="77777777" w:rsidR="008A70C9" w:rsidRPr="00380B40" w:rsidRDefault="008A70C9" w:rsidP="008A70C9">
      <w:pPr>
        <w:rPr>
          <w:lang w:val="en-GB"/>
        </w:rPr>
      </w:pPr>
      <w:r w:rsidRPr="00380B40">
        <w:rPr>
          <w:i/>
          <w:iCs/>
          <w:lang w:val="en-GB"/>
        </w:rPr>
        <w:t>n)</w:t>
      </w:r>
      <w:r w:rsidRPr="00380B40">
        <w:rPr>
          <w:lang w:val="en-GB"/>
        </w:rPr>
        <w:tab/>
        <w:t>that there is continuous advancement in wireless communication technologies and ongoing work in the ITU Sectors related to such advancements and also the concomitant EMF exposure aspect, and that active coordination and collaboration between the Sectors and other specialized and expert organizations in this field are important to avoid duplication of efforts,</w:t>
      </w:r>
    </w:p>
    <w:p w14:paraId="5E846C68" w14:textId="77777777" w:rsidR="008A70C9" w:rsidRPr="00380B40" w:rsidRDefault="008A70C9" w:rsidP="008A70C9">
      <w:pPr>
        <w:pStyle w:val="Call"/>
        <w:rPr>
          <w:lang w:val="en-GB"/>
        </w:rPr>
      </w:pPr>
      <w:r w:rsidRPr="00380B40">
        <w:rPr>
          <w:lang w:val="en-GB"/>
        </w:rPr>
        <w:t>recognizing</w:t>
      </w:r>
    </w:p>
    <w:p w14:paraId="193FC7CC" w14:textId="77777777" w:rsidR="008A70C9" w:rsidRPr="00380B40" w:rsidRDefault="008A70C9" w:rsidP="008A70C9">
      <w:pPr>
        <w:rPr>
          <w:lang w:val="en-GB"/>
        </w:rPr>
      </w:pPr>
      <w:r w:rsidRPr="00380B40">
        <w:rPr>
          <w:i/>
          <w:iCs/>
          <w:lang w:val="en-GB"/>
        </w:rPr>
        <w:t>a)</w:t>
      </w:r>
      <w:r w:rsidRPr="00380B40">
        <w:rPr>
          <w:lang w:val="en-GB"/>
        </w:rPr>
        <w:tab/>
        <w:t>the work done within ITU</w:t>
      </w:r>
      <w:r w:rsidRPr="00380B40">
        <w:rPr>
          <w:lang w:val="en-GB"/>
        </w:rPr>
        <w:noBreakHyphen/>
        <w:t>R study groups on radio-wave propagation, electromagnetic compatibility and related aspects, including measurement methods;</w:t>
      </w:r>
    </w:p>
    <w:p w14:paraId="3EE093CF" w14:textId="77777777" w:rsidR="008A70C9" w:rsidRPr="00380B40" w:rsidRDefault="008A70C9" w:rsidP="008A70C9">
      <w:pPr>
        <w:rPr>
          <w:lang w:val="en-GB"/>
        </w:rPr>
      </w:pPr>
      <w:r w:rsidRPr="00380B40">
        <w:rPr>
          <w:i/>
          <w:iCs/>
          <w:lang w:val="en-GB"/>
        </w:rPr>
        <w:t>b)</w:t>
      </w:r>
      <w:r w:rsidRPr="00380B40">
        <w:rPr>
          <w:lang w:val="en-GB"/>
        </w:rPr>
        <w:tab/>
        <w:t>the work done within ITU-T Study Group 5 on techniques for RF measurement and assessment;</w:t>
      </w:r>
    </w:p>
    <w:p w14:paraId="4893369A" w14:textId="77777777" w:rsidR="008A70C9" w:rsidRPr="00380B40" w:rsidRDefault="008A70C9" w:rsidP="008A70C9">
      <w:pPr>
        <w:rPr>
          <w:lang w:val="en-GB"/>
        </w:rPr>
      </w:pPr>
      <w:r w:rsidRPr="00380B40">
        <w:rPr>
          <w:i/>
          <w:iCs/>
          <w:lang w:val="en-GB"/>
        </w:rPr>
        <w:t>c)</w:t>
      </w:r>
      <w:r w:rsidRPr="00380B40">
        <w:rPr>
          <w:lang w:val="en-GB"/>
        </w:rPr>
        <w:tab/>
        <w:t>that Study Group 5, in establishing methodologies for assessing human exposure to RF energy, cooperates with many participating standards organizations;</w:t>
      </w:r>
    </w:p>
    <w:p w14:paraId="52A299F2" w14:textId="77777777" w:rsidR="008A70C9" w:rsidRPr="00380B40" w:rsidRDefault="008A70C9" w:rsidP="008A70C9">
      <w:pPr>
        <w:rPr>
          <w:lang w:val="en-GB"/>
        </w:rPr>
      </w:pPr>
      <w:r w:rsidRPr="00380B40">
        <w:rPr>
          <w:i/>
          <w:iCs/>
          <w:lang w:val="en-GB"/>
        </w:rPr>
        <w:t>d)</w:t>
      </w:r>
      <w:r w:rsidRPr="00380B40">
        <w:rPr>
          <w:lang w:val="en-GB"/>
        </w:rPr>
        <w:tab/>
        <w:t>that the ITU EMF Guide, in its digital version, also available in a mobile-phone application, is updated as ITU and/or WHO receive information and/or results of research,</w:t>
      </w:r>
    </w:p>
    <w:p w14:paraId="42F8B740" w14:textId="77777777" w:rsidR="007A3B76" w:rsidRPr="00380B40" w:rsidRDefault="007A3B76" w:rsidP="008A70C9">
      <w:pPr>
        <w:pStyle w:val="Call"/>
        <w:rPr>
          <w:lang w:val="en-GB"/>
        </w:rPr>
      </w:pPr>
      <w:r w:rsidRPr="00380B40">
        <w:rPr>
          <w:lang w:val="en-GB"/>
        </w:rPr>
        <w:br w:type="page"/>
      </w:r>
    </w:p>
    <w:p w14:paraId="5A9AE006" w14:textId="77777777" w:rsidR="008A70C9" w:rsidRPr="00380B40" w:rsidRDefault="008A70C9" w:rsidP="008A70C9">
      <w:pPr>
        <w:pStyle w:val="Call"/>
        <w:rPr>
          <w:lang w:val="en-GB"/>
        </w:rPr>
      </w:pPr>
      <w:r w:rsidRPr="00380B40">
        <w:rPr>
          <w:lang w:val="en-GB"/>
        </w:rPr>
        <w:t>recognizing further</w:t>
      </w:r>
    </w:p>
    <w:p w14:paraId="029134DA" w14:textId="77777777" w:rsidR="008A70C9" w:rsidRPr="00380B40" w:rsidRDefault="008A70C9" w:rsidP="008A70C9">
      <w:pPr>
        <w:rPr>
          <w:lang w:val="en-GB"/>
        </w:rPr>
      </w:pPr>
      <w:r w:rsidRPr="00380B40">
        <w:rPr>
          <w:i/>
          <w:iCs/>
          <w:lang w:val="en-GB"/>
        </w:rPr>
        <w:t>a)</w:t>
      </w:r>
      <w:r w:rsidRPr="00380B40">
        <w:rPr>
          <w:lang w:val="en-GB"/>
        </w:rPr>
        <w:tab/>
        <w:t>that some publications about EMF effects on health create doubt among the population, increasing the perception of the risk they involve;</w:t>
      </w:r>
    </w:p>
    <w:p w14:paraId="17A54D8A" w14:textId="77777777" w:rsidR="008A70C9" w:rsidRPr="00380B40" w:rsidRDefault="008A70C9" w:rsidP="008A70C9">
      <w:pPr>
        <w:rPr>
          <w:lang w:val="en-GB"/>
        </w:rPr>
      </w:pPr>
      <w:r w:rsidRPr="00380B40">
        <w:rPr>
          <w:i/>
          <w:iCs/>
          <w:lang w:val="en-GB"/>
        </w:rPr>
        <w:t>b)</w:t>
      </w:r>
      <w:r w:rsidRPr="00380B40">
        <w:rPr>
          <w:lang w:val="en-GB"/>
        </w:rPr>
        <w:tab/>
        <w:t xml:space="preserve">that, in the absence of regulation and accurate, complete information, people become concerned about long-term exposure to EMF, due to their perception of risk, and are likely to oppose the deployment of radio installations in their neighbourhoods, demanding the enactment of restrictive municipal rules that affect the deployment of wireless networks; </w:t>
      </w:r>
    </w:p>
    <w:p w14:paraId="3B9C5F68" w14:textId="77777777" w:rsidR="008A70C9" w:rsidRPr="00380B40" w:rsidRDefault="008A70C9" w:rsidP="008A70C9">
      <w:pPr>
        <w:rPr>
          <w:lang w:val="en-GB"/>
        </w:rPr>
      </w:pPr>
      <w:r w:rsidRPr="00380B40">
        <w:rPr>
          <w:i/>
          <w:iCs/>
          <w:lang w:val="en-GB"/>
        </w:rPr>
        <w:t>c)</w:t>
      </w:r>
      <w:r w:rsidRPr="00380B40">
        <w:rPr>
          <w:lang w:val="en-GB"/>
        </w:rPr>
        <w:tab/>
        <w:t>that Study Group 5, in particular, has elaborated Recommendations on the technical measurement and environment management of EMF that help to diminish risk perception within the population;</w:t>
      </w:r>
    </w:p>
    <w:p w14:paraId="7904F311" w14:textId="77777777" w:rsidR="008A70C9" w:rsidRPr="00380B40" w:rsidRDefault="008A70C9" w:rsidP="008A70C9">
      <w:pPr>
        <w:rPr>
          <w:i/>
          <w:iCs/>
          <w:lang w:val="en-GB"/>
        </w:rPr>
      </w:pPr>
      <w:r w:rsidRPr="00380B40">
        <w:rPr>
          <w:i/>
          <w:iCs/>
          <w:lang w:val="en-GB"/>
        </w:rPr>
        <w:t>d)</w:t>
      </w:r>
      <w:r w:rsidRPr="00380B40">
        <w:rPr>
          <w:lang w:val="en-GB"/>
        </w:rPr>
        <w:tab/>
        <w:t>that the development of these Recommendations has made it possible to significantly decrease the cost of measurement equipment and to leverage the results through social communication;</w:t>
      </w:r>
    </w:p>
    <w:p w14:paraId="4DEDCEA8" w14:textId="77777777" w:rsidR="008A70C9" w:rsidRPr="00380B40" w:rsidRDefault="008A70C9" w:rsidP="008A70C9">
      <w:pPr>
        <w:rPr>
          <w:lang w:val="en-GB"/>
        </w:rPr>
      </w:pPr>
      <w:r w:rsidRPr="00380B40">
        <w:rPr>
          <w:i/>
          <w:iCs/>
          <w:lang w:val="en-GB"/>
        </w:rPr>
        <w:t>e)</w:t>
      </w:r>
      <w:r w:rsidRPr="00380B40">
        <w:rPr>
          <w:i/>
          <w:iCs/>
          <w:lang w:val="en-GB"/>
        </w:rPr>
        <w:tab/>
      </w:r>
      <w:r w:rsidRPr="00380B40">
        <w:rPr>
          <w:lang w:val="en-GB"/>
        </w:rPr>
        <w:t xml:space="preserve">that advanced equipment used for measuring human exposure to RF energy is expensive; </w:t>
      </w:r>
    </w:p>
    <w:p w14:paraId="371DEA0F" w14:textId="77777777" w:rsidR="008A70C9" w:rsidRPr="00380B40" w:rsidRDefault="008A70C9" w:rsidP="008A70C9">
      <w:pPr>
        <w:rPr>
          <w:lang w:val="en-GB"/>
        </w:rPr>
      </w:pPr>
      <w:r w:rsidRPr="00380B40">
        <w:rPr>
          <w:i/>
          <w:iCs/>
          <w:lang w:val="en-GB"/>
        </w:rPr>
        <w:t>f)</w:t>
      </w:r>
      <w:r w:rsidRPr="00380B40">
        <w:rPr>
          <w:lang w:val="en-GB"/>
        </w:rPr>
        <w:tab/>
        <w:t>that implementing such measurement and assessment is essential for many regulatory authorities, in particular in developing countries, in order to monitor the limits for human exposure to RF energy, and that they are called upon to ensure those limits are met in order to license different services;</w:t>
      </w:r>
    </w:p>
    <w:p w14:paraId="11A911ED" w14:textId="77777777" w:rsidR="007A3B76" w:rsidRPr="00380B40" w:rsidRDefault="008A70C9" w:rsidP="008F7A95">
      <w:pPr>
        <w:widowControl w:val="0"/>
        <w:rPr>
          <w:lang w:val="en-GB"/>
        </w:rPr>
      </w:pPr>
      <w:r w:rsidRPr="00380B40">
        <w:rPr>
          <w:i/>
          <w:lang w:val="en-GB"/>
        </w:rPr>
        <w:t>g)</w:t>
      </w:r>
      <w:r w:rsidRPr="00380B40">
        <w:rPr>
          <w:lang w:val="en-GB"/>
        </w:rPr>
        <w:tab/>
        <w:t>the importance of EMF emission assessment when implementing policies in some countries,</w:t>
      </w:r>
    </w:p>
    <w:p w14:paraId="1E2167B9" w14:textId="77777777" w:rsidR="008A70C9" w:rsidRPr="00380B40" w:rsidRDefault="008A70C9" w:rsidP="008A70C9">
      <w:pPr>
        <w:pStyle w:val="Call"/>
        <w:keepNext w:val="0"/>
        <w:keepLines w:val="0"/>
        <w:widowControl w:val="0"/>
        <w:rPr>
          <w:lang w:val="en-GB"/>
        </w:rPr>
      </w:pPr>
      <w:r w:rsidRPr="00380B40">
        <w:rPr>
          <w:lang w:val="en-GB"/>
        </w:rPr>
        <w:t>noting</w:t>
      </w:r>
    </w:p>
    <w:p w14:paraId="0294E7A6" w14:textId="77777777" w:rsidR="008A70C9" w:rsidRPr="00380B40" w:rsidRDefault="008A70C9" w:rsidP="008A70C9">
      <w:pPr>
        <w:widowControl w:val="0"/>
        <w:rPr>
          <w:lang w:val="en-GB"/>
        </w:rPr>
      </w:pPr>
      <w:r w:rsidRPr="00380B40">
        <w:rPr>
          <w:i/>
          <w:iCs/>
          <w:lang w:val="en-GB"/>
        </w:rPr>
        <w:t>a)</w:t>
      </w:r>
      <w:r w:rsidRPr="00380B40">
        <w:rPr>
          <w:lang w:val="en-GB"/>
        </w:rPr>
        <w:tab/>
        <w:t>that other national, regional and international standards-development organizations (SDOs) are carrying out activities related to human exposure to EMF;</w:t>
      </w:r>
    </w:p>
    <w:p w14:paraId="25876AB4" w14:textId="77777777" w:rsidR="008A70C9" w:rsidRPr="00380B40" w:rsidRDefault="008A70C9" w:rsidP="008A70C9">
      <w:pPr>
        <w:widowControl w:val="0"/>
        <w:rPr>
          <w:lang w:val="en-GB"/>
        </w:rPr>
      </w:pPr>
      <w:r w:rsidRPr="00380B40">
        <w:rPr>
          <w:i/>
          <w:iCs/>
          <w:lang w:val="en-GB"/>
        </w:rPr>
        <w:t>b)</w:t>
      </w:r>
      <w:r w:rsidRPr="00380B40">
        <w:rPr>
          <w:lang w:val="en-GB"/>
        </w:rPr>
        <w:tab/>
        <w:t>the urgent need for regulatory bodies in many developing countries to obtain information on EMF measurement and assessment methodologies in regard to human exposure to RF energy, in order to establish or reinforce national regulations to protect their citizens;</w:t>
      </w:r>
    </w:p>
    <w:p w14:paraId="571532FD" w14:textId="77777777" w:rsidR="008A70C9" w:rsidRPr="00380B40" w:rsidRDefault="008A70C9" w:rsidP="008A70C9">
      <w:pPr>
        <w:widowControl w:val="0"/>
        <w:rPr>
          <w:lang w:val="en-GB"/>
        </w:rPr>
      </w:pPr>
      <w:r w:rsidRPr="00380B40">
        <w:rPr>
          <w:i/>
          <w:iCs/>
          <w:lang w:val="en-GB"/>
        </w:rPr>
        <w:t>c)</w:t>
      </w:r>
      <w:r w:rsidRPr="00380B40">
        <w:rPr>
          <w:i/>
          <w:iCs/>
          <w:lang w:val="en-GB"/>
        </w:rPr>
        <w:tab/>
      </w:r>
      <w:r w:rsidRPr="00380B40">
        <w:rPr>
          <w:lang w:val="en-GB"/>
        </w:rPr>
        <w:t>that collaborative efforts between stakeholders are key in fostering adequate public awareness on EMF and health,</w:t>
      </w:r>
    </w:p>
    <w:p w14:paraId="6351FC35" w14:textId="77777777" w:rsidR="008A70C9" w:rsidRPr="00380B40" w:rsidRDefault="008A70C9" w:rsidP="008A70C9">
      <w:pPr>
        <w:pStyle w:val="Call"/>
        <w:keepNext w:val="0"/>
        <w:keepLines w:val="0"/>
        <w:widowControl w:val="0"/>
        <w:rPr>
          <w:lang w:val="en-GB"/>
        </w:rPr>
      </w:pPr>
      <w:r w:rsidRPr="00380B40">
        <w:rPr>
          <w:lang w:val="en-GB"/>
        </w:rPr>
        <w:t>resolves</w:t>
      </w:r>
    </w:p>
    <w:p w14:paraId="5B457776" w14:textId="77777777" w:rsidR="008A70C9" w:rsidRPr="00380B40" w:rsidRDefault="008A70C9" w:rsidP="008A70C9">
      <w:pPr>
        <w:widowControl w:val="0"/>
        <w:rPr>
          <w:lang w:val="en-GB"/>
        </w:rPr>
      </w:pPr>
      <w:r w:rsidRPr="00380B40">
        <w:rPr>
          <w:lang w:val="en-GB"/>
        </w:rPr>
        <w:t>to invite ITU</w:t>
      </w:r>
      <w:r w:rsidRPr="00380B40">
        <w:rPr>
          <w:lang w:val="en-GB"/>
        </w:rPr>
        <w:noBreakHyphen/>
        <w:t>T, in particular Study Group 5, to expand and continue its work and support in this domain, including, but not limited to:</w:t>
      </w:r>
    </w:p>
    <w:p w14:paraId="1304CD86" w14:textId="77777777" w:rsidR="008A70C9" w:rsidRPr="00380B40" w:rsidRDefault="008A70C9" w:rsidP="008A70C9">
      <w:pPr>
        <w:pStyle w:val="enumlev1"/>
        <w:rPr>
          <w:lang w:val="en-GB"/>
        </w:rPr>
      </w:pPr>
      <w:r w:rsidRPr="00380B40">
        <w:rPr>
          <w:lang w:val="en-GB"/>
        </w:rPr>
        <w:t>i)</w:t>
      </w:r>
      <w:r w:rsidRPr="00380B40">
        <w:rPr>
          <w:lang w:val="en-GB"/>
        </w:rPr>
        <w:tab/>
        <w:t>developing new and/or updating existing reports and Recommendations, taking into account the advancements in wireless technologies, advances in measurement/assessment methodologies and best practices, in close coordination with other ITU Sectors and relevant specialized organizations in this field;</w:t>
      </w:r>
    </w:p>
    <w:p w14:paraId="3A4D577C" w14:textId="77777777" w:rsidR="008A70C9" w:rsidRPr="00380B40" w:rsidRDefault="008A70C9" w:rsidP="008A70C9">
      <w:pPr>
        <w:pStyle w:val="enumlev1"/>
        <w:rPr>
          <w:lang w:val="en-GB"/>
        </w:rPr>
      </w:pPr>
      <w:r w:rsidRPr="00380B40">
        <w:rPr>
          <w:lang w:val="en-GB"/>
        </w:rPr>
        <w:t>ii)</w:t>
      </w:r>
      <w:r w:rsidRPr="00380B40">
        <w:rPr>
          <w:lang w:val="en-GB"/>
        </w:rPr>
        <w:tab/>
        <w:t>publishing and disseminating its technical reports, as well as developing ITU</w:t>
      </w:r>
      <w:r w:rsidRPr="00380B40">
        <w:rPr>
          <w:lang w:val="en-GB"/>
        </w:rPr>
        <w:noBreakHyphen/>
        <w:t>T Recommendations to address these issues;</w:t>
      </w:r>
    </w:p>
    <w:p w14:paraId="442206AA" w14:textId="77777777" w:rsidR="007A3B76" w:rsidRPr="00380B40" w:rsidRDefault="007A3B76" w:rsidP="008A70C9">
      <w:pPr>
        <w:pStyle w:val="enumlev1"/>
        <w:rPr>
          <w:lang w:val="en-GB"/>
        </w:rPr>
      </w:pPr>
      <w:r w:rsidRPr="00380B40">
        <w:rPr>
          <w:lang w:val="en-GB"/>
        </w:rPr>
        <w:br w:type="page"/>
      </w:r>
    </w:p>
    <w:p w14:paraId="686680B2" w14:textId="77777777" w:rsidR="008A70C9" w:rsidRPr="00380B40" w:rsidRDefault="008A70C9" w:rsidP="008A70C9">
      <w:pPr>
        <w:pStyle w:val="enumlev1"/>
        <w:rPr>
          <w:lang w:val="en-GB"/>
        </w:rPr>
      </w:pPr>
      <w:r w:rsidRPr="00380B40">
        <w:rPr>
          <w:lang w:val="en-GB"/>
        </w:rPr>
        <w:t xml:space="preserve">iii) </w:t>
      </w:r>
      <w:r w:rsidRPr="00380B40">
        <w:rPr>
          <w:lang w:val="en-GB"/>
        </w:rPr>
        <w:tab/>
        <w:t>developing, promoting and disseminating information and training resources related to this topic through the organization of training programmes, workshops, forums and seminars for regulators, operators and any interested stakeholders from developing countries;</w:t>
      </w:r>
    </w:p>
    <w:p w14:paraId="3F641DCE" w14:textId="77777777" w:rsidR="008A70C9" w:rsidRPr="00380B40" w:rsidRDefault="008A70C9" w:rsidP="008A70C9">
      <w:pPr>
        <w:pStyle w:val="enumlev1"/>
        <w:rPr>
          <w:lang w:val="en-GB"/>
        </w:rPr>
      </w:pPr>
      <w:r w:rsidRPr="00380B40">
        <w:rPr>
          <w:lang w:val="en-GB"/>
        </w:rPr>
        <w:t>iv)</w:t>
      </w:r>
      <w:r w:rsidRPr="00380B40">
        <w:rPr>
          <w:lang w:val="en-GB"/>
        </w:rPr>
        <w:tab/>
      </w:r>
      <w:r w:rsidRPr="00380B40">
        <w:rPr>
          <w:rFonts w:eastAsia="SimSun"/>
          <w:szCs w:val="22"/>
          <w:lang w:val="en-GB"/>
        </w:rPr>
        <w:t>studying EMF exposure assessment from both intentional and unintentional or ambient (</w:t>
      </w:r>
      <w:r w:rsidRPr="00380B40">
        <w:rPr>
          <w:color w:val="000000"/>
          <w:lang w:val="en-GB"/>
        </w:rPr>
        <w:t>such as wireless power transfer</w:t>
      </w:r>
      <w:r w:rsidRPr="00380B40">
        <w:rPr>
          <w:rFonts w:eastAsia="SimSun"/>
          <w:szCs w:val="22"/>
          <w:lang w:val="en-GB"/>
        </w:rPr>
        <w:t>) sources associated with new and emerging technologies, including Internet of Things and International Mobile Telecommunications systems, as well as the results of measurement, evaluation, monitoring, calculations and overview of the impact on EMF levels;</w:t>
      </w:r>
    </w:p>
    <w:p w14:paraId="7ED84C50" w14:textId="77777777" w:rsidR="008A70C9" w:rsidRPr="00380B40" w:rsidRDefault="008A70C9" w:rsidP="008A70C9">
      <w:pPr>
        <w:pStyle w:val="enumlev1"/>
        <w:rPr>
          <w:lang w:val="en-GB"/>
        </w:rPr>
      </w:pPr>
      <w:r w:rsidRPr="00380B40">
        <w:rPr>
          <w:lang w:val="en-GB"/>
        </w:rPr>
        <w:t>v)</w:t>
      </w:r>
      <w:r w:rsidRPr="00380B40">
        <w:rPr>
          <w:lang w:val="en-GB"/>
        </w:rPr>
        <w:tab/>
        <w:t>continuing to cooperate and collaborate with other organizations working on this topic and to leverage their work (ICNIRP, 2020; IEEE C95.1, 2019), in particular with a view to assisting the developing countries in the establishment of standards and in monitoring compliance with these standards, especially on telecommunication installations and terminals;</w:t>
      </w:r>
    </w:p>
    <w:p w14:paraId="4AF48928" w14:textId="77777777" w:rsidR="008A70C9" w:rsidRPr="00380B40" w:rsidRDefault="008A70C9" w:rsidP="008A70C9">
      <w:pPr>
        <w:pStyle w:val="enumlev1"/>
        <w:rPr>
          <w:lang w:val="en-GB"/>
        </w:rPr>
      </w:pPr>
      <w:r w:rsidRPr="00380B40">
        <w:rPr>
          <w:lang w:val="en-GB"/>
        </w:rPr>
        <w:t>vi)</w:t>
      </w:r>
      <w:r w:rsidRPr="00380B40">
        <w:rPr>
          <w:lang w:val="en-GB"/>
        </w:rPr>
        <w:tab/>
        <w:t>collaborating with ICT experts, the research community and other relevant stakeholders to study the EMF aspects of telecommunications/ICTs, including emerging ones, potentially also using emerging ICT technologies to study these EMF aspects;</w:t>
      </w:r>
    </w:p>
    <w:p w14:paraId="223E932F" w14:textId="77777777" w:rsidR="008A70C9" w:rsidRPr="00380B40" w:rsidRDefault="008A70C9" w:rsidP="008A70C9">
      <w:pPr>
        <w:pStyle w:val="enumlev1"/>
        <w:rPr>
          <w:lang w:val="en-GB"/>
        </w:rPr>
      </w:pPr>
      <w:r w:rsidRPr="00380B40">
        <w:rPr>
          <w:lang w:val="en-GB"/>
        </w:rPr>
        <w:t>vii)</w:t>
      </w:r>
      <w:r w:rsidRPr="00380B40">
        <w:rPr>
          <w:lang w:val="en-GB"/>
        </w:rPr>
        <w:tab/>
        <w:t>cooperating on these issues with ITU</w:t>
      </w:r>
      <w:r w:rsidRPr="00380B40">
        <w:rPr>
          <w:lang w:val="en-GB"/>
        </w:rPr>
        <w:noBreakHyphen/>
        <w:t>R study groups, and with ITU-D Study Group 2 in the framework of EMF measurements to assess human exposure and other relevant issues;</w:t>
      </w:r>
    </w:p>
    <w:p w14:paraId="55A128C5" w14:textId="77777777" w:rsidR="008A70C9" w:rsidRPr="00380B40" w:rsidRDefault="008A70C9" w:rsidP="008A70C9">
      <w:pPr>
        <w:pStyle w:val="enumlev1"/>
        <w:rPr>
          <w:lang w:val="en-GB"/>
        </w:rPr>
      </w:pPr>
      <w:r w:rsidRPr="00380B40">
        <w:rPr>
          <w:lang w:val="en-GB"/>
        </w:rPr>
        <w:t>viii)</w:t>
      </w:r>
      <w:r w:rsidRPr="00380B40">
        <w:rPr>
          <w:lang w:val="en-GB"/>
        </w:rPr>
        <w:tab/>
        <w:t>coordinating and cooperating with various international organizations specialized in health matters, SDOs and organizations recognized by United Nations agencies dealing with the harmonization of exposure guidelines, in order to generate consistent protocols for assessing exposure to RF-EMF;</w:t>
      </w:r>
    </w:p>
    <w:p w14:paraId="22A5FE56" w14:textId="77777777" w:rsidR="008A70C9" w:rsidRPr="00380B40" w:rsidRDefault="008A70C9" w:rsidP="008A70C9">
      <w:pPr>
        <w:pStyle w:val="enumlev1"/>
        <w:rPr>
          <w:lang w:val="en-GB"/>
        </w:rPr>
      </w:pPr>
      <w:r w:rsidRPr="00380B40">
        <w:rPr>
          <w:lang w:val="en-GB"/>
        </w:rPr>
        <w:t>ix)</w:t>
      </w:r>
      <w:r w:rsidRPr="00380B40">
        <w:rPr>
          <w:lang w:val="en-GB"/>
        </w:rPr>
        <w:tab/>
        <w:t>strengthening coordination and cooperation with WHO, ICNIRP, IEEE, ISO/IEC and other relevant organizations on guidelines and limits for human exposure to EMF so that any publications relating to human exposure to EMF are circulated to Member States as soon as they are issued,</w:t>
      </w:r>
    </w:p>
    <w:p w14:paraId="551AEAE1" w14:textId="77777777" w:rsidR="008A70C9" w:rsidRPr="00380B40" w:rsidRDefault="008A70C9" w:rsidP="008A70C9">
      <w:pPr>
        <w:pStyle w:val="Call"/>
        <w:rPr>
          <w:lang w:val="en-GB"/>
        </w:rPr>
      </w:pPr>
      <w:r w:rsidRPr="00380B40">
        <w:rPr>
          <w:lang w:val="en-GB"/>
        </w:rPr>
        <w:t>instructs the Director of the Telecommunication Standardization Bureau, in close collaboration with the Directors of the other two Bureaux</w:t>
      </w:r>
    </w:p>
    <w:p w14:paraId="04B19814" w14:textId="77777777" w:rsidR="008A70C9" w:rsidRPr="00380B40" w:rsidRDefault="008A70C9" w:rsidP="008A70C9">
      <w:pPr>
        <w:rPr>
          <w:lang w:val="en-GB"/>
        </w:rPr>
      </w:pPr>
      <w:r w:rsidRPr="00380B40">
        <w:rPr>
          <w:lang w:val="en-GB"/>
        </w:rPr>
        <w:t>within the available financial resources,</w:t>
      </w:r>
    </w:p>
    <w:p w14:paraId="2C23DEAE" w14:textId="77777777" w:rsidR="008A70C9" w:rsidRPr="00380B40" w:rsidRDefault="008A70C9" w:rsidP="008A70C9">
      <w:pPr>
        <w:rPr>
          <w:lang w:val="en-GB"/>
        </w:rPr>
      </w:pPr>
      <w:r w:rsidRPr="00380B40">
        <w:rPr>
          <w:lang w:val="en-GB"/>
        </w:rPr>
        <w:t>1</w:t>
      </w:r>
      <w:r w:rsidRPr="00380B40">
        <w:rPr>
          <w:lang w:val="en-GB"/>
        </w:rPr>
        <w:tab/>
        <w:t xml:space="preserve">to support the development of reports identifying the needs of developing countries on the issue of assessing human exposure to EMF, and to submit the reports as soon as possible to Study Group 5 for its consideration and action in accordance with its mandate; </w:t>
      </w:r>
    </w:p>
    <w:p w14:paraId="77228184" w14:textId="77777777" w:rsidR="008A70C9" w:rsidRPr="00380B40" w:rsidRDefault="008A70C9" w:rsidP="008A70C9">
      <w:pPr>
        <w:rPr>
          <w:lang w:val="en-GB"/>
        </w:rPr>
      </w:pPr>
      <w:r w:rsidRPr="00380B40">
        <w:rPr>
          <w:lang w:val="en-GB"/>
        </w:rPr>
        <w:t>2</w:t>
      </w:r>
      <w:r w:rsidRPr="00380B40">
        <w:rPr>
          <w:lang w:val="en-GB"/>
        </w:rPr>
        <w:tab/>
        <w:t>to regularly update the ITU</w:t>
      </w:r>
      <w:r w:rsidRPr="00380B40">
        <w:rPr>
          <w:lang w:val="en-GB"/>
        </w:rPr>
        <w:noBreakHyphen/>
        <w:t>T portal on EMF activities, including, but not limited to, the ITU EMF Guide, its mobile application, links to websites, the global portal on ICTs and the environment and flyers;</w:t>
      </w:r>
    </w:p>
    <w:p w14:paraId="01CF89A9" w14:textId="77777777" w:rsidR="008A70C9" w:rsidRPr="00380B40" w:rsidRDefault="008A70C9" w:rsidP="008A70C9">
      <w:pPr>
        <w:rPr>
          <w:lang w:val="en-GB"/>
        </w:rPr>
      </w:pPr>
      <w:r w:rsidRPr="00380B40">
        <w:rPr>
          <w:lang w:val="en-GB"/>
        </w:rPr>
        <w:t>3</w:t>
      </w:r>
      <w:r w:rsidRPr="00380B40">
        <w:rPr>
          <w:lang w:val="en-GB"/>
        </w:rPr>
        <w:tab/>
        <w:t>to hold workshops in developing countries with presentations and training on the use of equipment employed in assessing human exposure to RF energy;</w:t>
      </w:r>
    </w:p>
    <w:p w14:paraId="11E0D0AB" w14:textId="77777777" w:rsidR="007A3B76" w:rsidRPr="00380B40" w:rsidRDefault="007A3B76" w:rsidP="008A70C9">
      <w:pPr>
        <w:rPr>
          <w:lang w:val="en-GB"/>
        </w:rPr>
      </w:pPr>
      <w:r w:rsidRPr="00380B40">
        <w:rPr>
          <w:lang w:val="en-GB"/>
        </w:rPr>
        <w:br w:type="page"/>
      </w:r>
    </w:p>
    <w:p w14:paraId="78B1F368" w14:textId="77777777" w:rsidR="008A70C9" w:rsidRPr="00380B40" w:rsidRDefault="008A70C9" w:rsidP="008A70C9">
      <w:pPr>
        <w:rPr>
          <w:lang w:val="en-GB"/>
        </w:rPr>
      </w:pPr>
      <w:r w:rsidRPr="00380B40">
        <w:rPr>
          <w:lang w:val="en-GB"/>
        </w:rPr>
        <w:t>4</w:t>
      </w:r>
      <w:r w:rsidRPr="00380B40">
        <w:rPr>
          <w:lang w:val="en-GB"/>
        </w:rPr>
        <w:tab/>
        <w:t>to appoint experts in the field of assessment and measurement of exposure to EMF to assist developing countries in the formulation of their strategies in this area;</w:t>
      </w:r>
    </w:p>
    <w:p w14:paraId="5DD3D1F8" w14:textId="77777777" w:rsidR="008A70C9" w:rsidRPr="00380B40" w:rsidRDefault="008A70C9" w:rsidP="008A70C9">
      <w:pPr>
        <w:rPr>
          <w:lang w:val="en-GB"/>
        </w:rPr>
      </w:pPr>
      <w:r w:rsidRPr="00380B40">
        <w:rPr>
          <w:lang w:val="en-GB"/>
        </w:rPr>
        <w:t>5</w:t>
      </w:r>
      <w:r w:rsidRPr="00380B40">
        <w:rPr>
          <w:lang w:val="en-GB"/>
        </w:rPr>
        <w:tab/>
        <w:t>to extend support for developing countries while they establish their national and/or regional centres equipped with test benches for continuous monitoring of EMF levels, especially in selected areas where the public has concerns, and transparently provide the data to the general public, using, among other things, the modalities set out in Resolutions 44 (Rev. Geneva, 2022) and 76 (Rev. Geneva, 2022) of this assembly and Resolution 177 (Rev. Dubai, 2018) of the Plenipotentiary Conference, in the context of the development of regional test centres;</w:t>
      </w:r>
    </w:p>
    <w:p w14:paraId="222AF43B" w14:textId="77777777" w:rsidR="008A70C9" w:rsidRPr="00380B40" w:rsidRDefault="008A70C9" w:rsidP="008A70C9">
      <w:pPr>
        <w:rPr>
          <w:lang w:val="en-GB"/>
        </w:rPr>
      </w:pPr>
      <w:r w:rsidRPr="00380B40">
        <w:rPr>
          <w:lang w:val="en-GB"/>
        </w:rPr>
        <w:t>6</w:t>
      </w:r>
      <w:r w:rsidRPr="00380B40">
        <w:rPr>
          <w:lang w:val="en-GB"/>
        </w:rPr>
        <w:tab/>
        <w:t>to invite Study Group 5 to coordinate and cooperate with various international organizations such as WHO, ICNIRP, IEC, IEEE and other relevant international and regional organizations in the harmonization of exposure thresholds globally and to generate consistent measurement protocols;</w:t>
      </w:r>
    </w:p>
    <w:p w14:paraId="64E84CCE" w14:textId="77777777" w:rsidR="008A70C9" w:rsidRPr="00380B40" w:rsidRDefault="008A70C9" w:rsidP="008A70C9">
      <w:pPr>
        <w:rPr>
          <w:lang w:val="en-GB"/>
        </w:rPr>
      </w:pPr>
      <w:r w:rsidRPr="00380B40">
        <w:rPr>
          <w:lang w:val="en-GB"/>
        </w:rPr>
        <w:t>7</w:t>
      </w:r>
      <w:r w:rsidRPr="00380B40">
        <w:rPr>
          <w:lang w:val="en-GB"/>
        </w:rPr>
        <w:tab/>
        <w:t>to report to the next world telecommunication standardization assembly on measures taken to implement this resolution,</w:t>
      </w:r>
    </w:p>
    <w:p w14:paraId="3ED75EB7" w14:textId="77777777" w:rsidR="008A70C9" w:rsidRPr="00380B40" w:rsidRDefault="008A70C9" w:rsidP="008A70C9">
      <w:pPr>
        <w:pStyle w:val="Call"/>
        <w:rPr>
          <w:lang w:val="en-GB"/>
        </w:rPr>
      </w:pPr>
      <w:r w:rsidRPr="00380B40">
        <w:rPr>
          <w:lang w:val="en-GB"/>
        </w:rPr>
        <w:t>invites Member States and Sector Members</w:t>
      </w:r>
    </w:p>
    <w:p w14:paraId="67597130" w14:textId="77777777" w:rsidR="008A70C9" w:rsidRPr="00380B40" w:rsidRDefault="008A70C9" w:rsidP="008A70C9">
      <w:pPr>
        <w:rPr>
          <w:lang w:val="en-GB"/>
        </w:rPr>
      </w:pPr>
      <w:r w:rsidRPr="00380B40">
        <w:rPr>
          <w:lang w:val="en-GB"/>
        </w:rPr>
        <w:t>1</w:t>
      </w:r>
      <w:r w:rsidRPr="00380B40">
        <w:rPr>
          <w:lang w:val="en-GB"/>
        </w:rPr>
        <w:tab/>
        <w:t>to contribute actively to the work of Study Group 5 by providing relevant and timely information, in order to assist developing countries in providing information and addressing measurement and assessment concerns related to human exposure to EMF radiated by intentional and unintentional sources;</w:t>
      </w:r>
    </w:p>
    <w:p w14:paraId="6D582F0D" w14:textId="77777777" w:rsidR="008A70C9" w:rsidRPr="00380B40" w:rsidRDefault="008A70C9" w:rsidP="008A70C9">
      <w:pPr>
        <w:rPr>
          <w:lang w:val="en-GB"/>
        </w:rPr>
      </w:pPr>
      <w:r w:rsidRPr="00380B40">
        <w:rPr>
          <w:lang w:val="en-GB"/>
        </w:rPr>
        <w:t>2</w:t>
      </w:r>
      <w:r w:rsidRPr="00380B40">
        <w:rPr>
          <w:lang w:val="en-GB"/>
        </w:rPr>
        <w:tab/>
        <w:t>to conduct periodic reviews to ensure that ITU</w:t>
      </w:r>
      <w:r w:rsidRPr="00380B40">
        <w:rPr>
          <w:lang w:val="en-GB"/>
        </w:rPr>
        <w:noBreakHyphen/>
        <w:t>T Recommendations related to exposure to EMF are followed;</w:t>
      </w:r>
    </w:p>
    <w:p w14:paraId="6B120626" w14:textId="77777777" w:rsidR="008A70C9" w:rsidRPr="00380B40" w:rsidRDefault="008A70C9" w:rsidP="008A70C9">
      <w:pPr>
        <w:rPr>
          <w:lang w:val="en-GB"/>
        </w:rPr>
      </w:pPr>
      <w:r w:rsidRPr="00380B40">
        <w:rPr>
          <w:lang w:val="en-GB"/>
        </w:rPr>
        <w:t>3</w:t>
      </w:r>
      <w:r w:rsidRPr="00380B40">
        <w:rPr>
          <w:lang w:val="en-GB"/>
        </w:rPr>
        <w:tab/>
        <w:t xml:space="preserve">to cooperate and share expertise and resources between developed and developing countries in order to help government administrations, especially in developing countries, to reinforce or establish an appropriate regulatory framework for protecting people and the environment from non-ionizing radiation; </w:t>
      </w:r>
    </w:p>
    <w:p w14:paraId="2D82C688" w14:textId="77777777" w:rsidR="008A70C9" w:rsidRPr="00380B40" w:rsidRDefault="008A70C9" w:rsidP="008A70C9">
      <w:pPr>
        <w:rPr>
          <w:lang w:val="en-GB"/>
        </w:rPr>
      </w:pPr>
      <w:r w:rsidRPr="00380B40">
        <w:rPr>
          <w:lang w:val="en-GB"/>
        </w:rPr>
        <w:t>4</w:t>
      </w:r>
      <w:r w:rsidRPr="00380B40">
        <w:rPr>
          <w:lang w:val="en-GB"/>
        </w:rPr>
        <w:tab/>
        <w:t>to encourage the use of ITU</w:t>
      </w:r>
      <w:r w:rsidRPr="00380B40">
        <w:rPr>
          <w:lang w:val="en-GB"/>
        </w:rPr>
        <w:noBreakHyphen/>
        <w:t>T Recommendations, in particular the K</w:t>
      </w:r>
      <w:r w:rsidRPr="00380B40">
        <w:rPr>
          <w:lang w:val="en-GB"/>
        </w:rPr>
        <w:noBreakHyphen/>
        <w:t>series and its supplements, to build national standards for measuring and assessing EMF levels, and to inform the public of compliance with those standards,</w:t>
      </w:r>
    </w:p>
    <w:p w14:paraId="0D072A73" w14:textId="77777777" w:rsidR="008A70C9" w:rsidRPr="00380B40" w:rsidRDefault="008A70C9" w:rsidP="008A70C9">
      <w:pPr>
        <w:pStyle w:val="Call"/>
        <w:rPr>
          <w:lang w:val="en-GB"/>
        </w:rPr>
      </w:pPr>
      <w:r w:rsidRPr="00380B40">
        <w:rPr>
          <w:lang w:val="en-GB"/>
        </w:rPr>
        <w:t>further invites Member States</w:t>
      </w:r>
    </w:p>
    <w:p w14:paraId="66F4257D" w14:textId="77777777" w:rsidR="008A70C9" w:rsidRPr="00380B40" w:rsidRDefault="008A70C9" w:rsidP="008A70C9">
      <w:pPr>
        <w:rPr>
          <w:lang w:val="en-GB"/>
        </w:rPr>
      </w:pPr>
      <w:r w:rsidRPr="00380B40">
        <w:rPr>
          <w:lang w:val="en-GB"/>
        </w:rPr>
        <w:t>1</w:t>
      </w:r>
      <w:r w:rsidRPr="00380B40">
        <w:rPr>
          <w:lang w:val="en-GB"/>
        </w:rPr>
        <w:tab/>
        <w:t xml:space="preserve">to adopt suitable measures included in the relevant ITU Recommendations and international standards in order to ensure compliance with exposure limits to protect health against the adverse effect of EMF; </w:t>
      </w:r>
    </w:p>
    <w:p w14:paraId="3F4F1097" w14:textId="77777777" w:rsidR="008A70C9" w:rsidRPr="00380B40" w:rsidRDefault="008A70C9" w:rsidP="008A70C9">
      <w:pPr>
        <w:rPr>
          <w:lang w:val="en-GB"/>
        </w:rPr>
      </w:pPr>
      <w:r w:rsidRPr="00380B40">
        <w:rPr>
          <w:lang w:val="en-GB"/>
        </w:rPr>
        <w:t>2</w:t>
      </w:r>
      <w:r w:rsidRPr="00380B40">
        <w:rPr>
          <w:lang w:val="en-GB"/>
        </w:rPr>
        <w:tab/>
        <w:t>to encourage administrations to follow the ICNIRP 2020 Guidelines or the IEEE 95.1 2019 Standard;</w:t>
      </w:r>
    </w:p>
    <w:p w14:paraId="573C4513" w14:textId="77777777" w:rsidR="008A70C9" w:rsidRPr="00380B40" w:rsidRDefault="008A70C9" w:rsidP="008A70C9">
      <w:pPr>
        <w:rPr>
          <w:lang w:val="en-GB"/>
        </w:rPr>
      </w:pPr>
      <w:r w:rsidRPr="00380B40">
        <w:rPr>
          <w:lang w:val="en-GB"/>
        </w:rPr>
        <w:t>3</w:t>
      </w:r>
      <w:r w:rsidRPr="00380B40">
        <w:rPr>
          <w:lang w:val="en-GB"/>
        </w:rPr>
        <w:tab/>
        <w:t>to assess the impact and potential changes in accordance with the relevant ITU Recommendations and international standards on EMF.</w:t>
      </w:r>
    </w:p>
    <w:p w14:paraId="3E32CA09" w14:textId="77777777" w:rsidR="007D7127" w:rsidRPr="00380B40" w:rsidRDefault="007D7127" w:rsidP="008A70C9">
      <w:pPr>
        <w:rPr>
          <w:lang w:val="en-GB"/>
        </w:rPr>
      </w:pPr>
    </w:p>
    <w:p w14:paraId="3D7D96D5" w14:textId="77777777" w:rsidR="007D7127" w:rsidRPr="00380B40" w:rsidRDefault="007D7127" w:rsidP="008A70C9">
      <w:pPr>
        <w:rPr>
          <w:lang w:val="en-GB"/>
        </w:rPr>
      </w:pPr>
    </w:p>
    <w:p w14:paraId="161041DF" w14:textId="77777777" w:rsidR="00B97E2C" w:rsidRPr="00380B40" w:rsidRDefault="00B97E2C" w:rsidP="00B97E2C">
      <w:pPr>
        <w:rPr>
          <w:lang w:val="en-GB"/>
        </w:rPr>
      </w:pPr>
    </w:p>
    <w:p w14:paraId="08BBCF59" w14:textId="77777777" w:rsidR="00B97E2C" w:rsidRPr="00380B40" w:rsidRDefault="00B97E2C" w:rsidP="00B97E2C">
      <w:pPr>
        <w:rPr>
          <w:lang w:val="en-GB"/>
        </w:rPr>
        <w:sectPr w:rsidR="00B97E2C" w:rsidRPr="00380B40" w:rsidSect="007D080E">
          <w:headerReference w:type="even" r:id="rId207"/>
          <w:headerReference w:type="default" r:id="rId208"/>
          <w:footerReference w:type="even" r:id="rId209"/>
          <w:footerReference w:type="default" r:id="rId210"/>
          <w:headerReference w:type="first" r:id="rId211"/>
          <w:footerReference w:type="first" r:id="rId212"/>
          <w:footnotePr>
            <w:numRestart w:val="eachSect"/>
          </w:footnotePr>
          <w:pgSz w:w="11907" w:h="16834" w:code="9"/>
          <w:pgMar w:top="1134" w:right="1134" w:bottom="1134" w:left="1134" w:header="567" w:footer="567" w:gutter="0"/>
          <w:paperSrc w:first="15" w:other="15"/>
          <w:cols w:space="720"/>
          <w:vAlign w:val="both"/>
          <w:docGrid w:linePitch="299"/>
        </w:sectPr>
      </w:pPr>
    </w:p>
    <w:p w14:paraId="280E39D0" w14:textId="77777777" w:rsidR="009C62A3" w:rsidRPr="00380B40" w:rsidRDefault="009C62A3" w:rsidP="008A70C9">
      <w:pPr>
        <w:pStyle w:val="ResNo"/>
        <w:rPr>
          <w:lang w:val="en-GB"/>
        </w:rPr>
      </w:pPr>
      <w:bookmarkStart w:id="315" w:name="_Toc104459757"/>
      <w:bookmarkStart w:id="316" w:name="_Toc104476565"/>
      <w:bookmarkStart w:id="317" w:name="_Toc111636792"/>
      <w:bookmarkStart w:id="318" w:name="_Toc111638458"/>
      <w:r w:rsidRPr="00380B40">
        <w:rPr>
          <w:lang w:val="en-GB"/>
        </w:rPr>
        <w:t xml:space="preserve">RESOLUTION </w:t>
      </w:r>
      <w:r w:rsidRPr="00380B40">
        <w:rPr>
          <w:rStyle w:val="href"/>
          <w:lang w:val="en-GB"/>
        </w:rPr>
        <w:t>73</w:t>
      </w:r>
      <w:r w:rsidRPr="00380B40">
        <w:rPr>
          <w:lang w:val="en-GB"/>
        </w:rPr>
        <w:t xml:space="preserve"> </w:t>
      </w:r>
      <w:r w:rsidR="008A70C9" w:rsidRPr="00380B40">
        <w:rPr>
          <w:lang w:val="en-GB"/>
        </w:rPr>
        <w:t>(R</w:t>
      </w:r>
      <w:r w:rsidR="007D7127" w:rsidRPr="00380B40">
        <w:rPr>
          <w:caps w:val="0"/>
          <w:lang w:val="en-GB"/>
        </w:rPr>
        <w:t>ev</w:t>
      </w:r>
      <w:r w:rsidR="008A70C9" w:rsidRPr="00380B40">
        <w:rPr>
          <w:lang w:val="en-GB"/>
        </w:rPr>
        <w:t>. G</w:t>
      </w:r>
      <w:r w:rsidR="007D7127" w:rsidRPr="00380B40">
        <w:rPr>
          <w:caps w:val="0"/>
          <w:lang w:val="en-GB"/>
        </w:rPr>
        <w:t>eneva</w:t>
      </w:r>
      <w:r w:rsidR="008A70C9" w:rsidRPr="00380B40">
        <w:rPr>
          <w:lang w:val="en-GB"/>
        </w:rPr>
        <w:t>, 2022)</w:t>
      </w:r>
      <w:bookmarkEnd w:id="315"/>
      <w:bookmarkEnd w:id="316"/>
      <w:bookmarkEnd w:id="317"/>
      <w:bookmarkEnd w:id="318"/>
    </w:p>
    <w:p w14:paraId="44CCA80B" w14:textId="77777777" w:rsidR="00820507" w:rsidRPr="00380B40" w:rsidRDefault="00820507" w:rsidP="00820507">
      <w:pPr>
        <w:pStyle w:val="Restitle"/>
        <w:rPr>
          <w:lang w:val="en-GB"/>
        </w:rPr>
      </w:pPr>
      <w:bookmarkStart w:id="319" w:name="_Toc104459758"/>
      <w:bookmarkStart w:id="320" w:name="_Toc104476566"/>
      <w:bookmarkStart w:id="321" w:name="_Toc111638459"/>
      <w:r w:rsidRPr="00380B40">
        <w:rPr>
          <w:lang w:val="en-GB"/>
        </w:rPr>
        <w:t xml:space="preserve">Information and communication technologies, environment, </w:t>
      </w:r>
      <w:r w:rsidRPr="00380B40">
        <w:rPr>
          <w:lang w:val="en-GB"/>
        </w:rPr>
        <w:br/>
        <w:t>climate change and circular economy</w:t>
      </w:r>
      <w:bookmarkEnd w:id="319"/>
      <w:bookmarkEnd w:id="320"/>
      <w:bookmarkEnd w:id="321"/>
    </w:p>
    <w:p w14:paraId="7A5792C5" w14:textId="77777777" w:rsidR="00820507" w:rsidRPr="00380B40" w:rsidRDefault="00820507" w:rsidP="00820507">
      <w:pPr>
        <w:pStyle w:val="Resref"/>
        <w:rPr>
          <w:lang w:val="en-GB"/>
        </w:rPr>
      </w:pPr>
      <w:r w:rsidRPr="00380B40">
        <w:rPr>
          <w:lang w:val="en-GB"/>
        </w:rPr>
        <w:t>(Johannesburg, 2008; Dubai, 2012; Hammamet, 2016; Geneva, 2022)</w:t>
      </w:r>
    </w:p>
    <w:p w14:paraId="0CA69B89" w14:textId="77777777" w:rsidR="00820507" w:rsidRPr="00380B40" w:rsidRDefault="00820507" w:rsidP="00820507">
      <w:pPr>
        <w:pStyle w:val="Normalaftertitle0"/>
      </w:pPr>
      <w:r w:rsidRPr="00380B40">
        <w:t>The World Telecommunication Standardization Assembly (Geneva, 2022),</w:t>
      </w:r>
    </w:p>
    <w:p w14:paraId="6EA995EE" w14:textId="77777777" w:rsidR="00820507" w:rsidRPr="00380B40" w:rsidRDefault="00820507" w:rsidP="00820507">
      <w:pPr>
        <w:pStyle w:val="Call"/>
        <w:rPr>
          <w:lang w:val="en-GB"/>
        </w:rPr>
      </w:pPr>
      <w:r w:rsidRPr="00380B40">
        <w:rPr>
          <w:lang w:val="en-GB"/>
        </w:rPr>
        <w:t xml:space="preserve">recalling </w:t>
      </w:r>
    </w:p>
    <w:p w14:paraId="7AE9D061" w14:textId="77777777" w:rsidR="00820507" w:rsidRPr="00380B40" w:rsidRDefault="00820507" w:rsidP="00820507">
      <w:pPr>
        <w:rPr>
          <w:lang w:val="en-GB"/>
        </w:rPr>
      </w:pPr>
      <w:r w:rsidRPr="00380B40">
        <w:rPr>
          <w:i/>
          <w:iCs/>
          <w:lang w:val="en-GB"/>
        </w:rPr>
        <w:t>a)</w:t>
      </w:r>
      <w:r w:rsidRPr="00380B40">
        <w:rPr>
          <w:i/>
          <w:iCs/>
          <w:lang w:val="en-GB"/>
        </w:rPr>
        <w:tab/>
      </w:r>
      <w:r w:rsidRPr="00380B40">
        <w:rPr>
          <w:lang w:val="en-GB"/>
        </w:rPr>
        <w:t>Resolution 66 (Rev. Buenos Aires, 2017) of the World Telecommunication Development Conference, on information and communication technology (ICT) and climate change;</w:t>
      </w:r>
    </w:p>
    <w:p w14:paraId="76EC226E" w14:textId="77777777" w:rsidR="00820507" w:rsidRPr="00380B40" w:rsidRDefault="00820507" w:rsidP="00820507">
      <w:pPr>
        <w:rPr>
          <w:lang w:val="en-GB"/>
        </w:rPr>
      </w:pPr>
      <w:r w:rsidRPr="00380B40">
        <w:rPr>
          <w:i/>
          <w:iCs/>
          <w:lang w:val="en-GB"/>
        </w:rPr>
        <w:t>b)</w:t>
      </w:r>
      <w:r w:rsidRPr="00380B40">
        <w:rPr>
          <w:i/>
          <w:iCs/>
          <w:lang w:val="en-GB"/>
        </w:rPr>
        <w:tab/>
      </w:r>
      <w:r w:rsidRPr="00380B40">
        <w:rPr>
          <w:lang w:val="en-GB"/>
        </w:rPr>
        <w:t>Resolution 70/1 of the United Nations General Assembly (UNGA), on transforming our world: the 2030 Agenda for Sustainable Development;</w:t>
      </w:r>
    </w:p>
    <w:p w14:paraId="5BF1C647" w14:textId="77777777" w:rsidR="00820507" w:rsidRPr="00380B40" w:rsidRDefault="00820507" w:rsidP="00820507">
      <w:pPr>
        <w:rPr>
          <w:lang w:val="en-GB"/>
        </w:rPr>
      </w:pPr>
      <w:r w:rsidRPr="00380B40">
        <w:rPr>
          <w:i/>
          <w:iCs/>
          <w:lang w:val="en-GB"/>
        </w:rPr>
        <w:t>c)</w:t>
      </w:r>
      <w:r w:rsidRPr="00380B40">
        <w:rPr>
          <w:i/>
          <w:iCs/>
          <w:lang w:val="en-GB"/>
        </w:rPr>
        <w:tab/>
      </w:r>
      <w:r w:rsidRPr="00380B40">
        <w:rPr>
          <w:lang w:val="en-GB"/>
        </w:rPr>
        <w:t>UNGA Resolution 75/231, which recognizes the potential benefits for countries to transform their economies to promote sustainable consumption and production patterns, by engaging with partners to integrate or implement concepts such as circular economy and Industry 4.0 for more sustainable industrial activity and manufacturing systems, according to national plans and priorities;</w:t>
      </w:r>
    </w:p>
    <w:p w14:paraId="6550766B" w14:textId="77777777" w:rsidR="00820507" w:rsidRPr="00380B40" w:rsidRDefault="00820507" w:rsidP="00820507">
      <w:pPr>
        <w:rPr>
          <w:lang w:val="en-GB"/>
        </w:rPr>
      </w:pPr>
      <w:r w:rsidRPr="00380B40">
        <w:rPr>
          <w:i/>
          <w:iCs/>
          <w:lang w:val="en-GB"/>
        </w:rPr>
        <w:t>d)</w:t>
      </w:r>
      <w:r w:rsidRPr="00380B40">
        <w:rPr>
          <w:lang w:val="en-GB"/>
        </w:rPr>
        <w:tab/>
        <w:t>Resolution 182 (Rev. Busan, 2014) of the Plenipotentiary Conference, on the role of telecommunications/ICTs in regard to climate change and the protection of the environment;</w:t>
      </w:r>
    </w:p>
    <w:p w14:paraId="5ADBE4E6" w14:textId="77777777" w:rsidR="00820507" w:rsidRPr="00380B40" w:rsidRDefault="00820507" w:rsidP="00820507">
      <w:pPr>
        <w:rPr>
          <w:lang w:val="en-GB"/>
        </w:rPr>
      </w:pPr>
      <w:r w:rsidRPr="00380B40">
        <w:rPr>
          <w:i/>
          <w:iCs/>
          <w:lang w:val="en-GB"/>
        </w:rPr>
        <w:t>e)</w:t>
      </w:r>
      <w:r w:rsidRPr="00380B40">
        <w:rPr>
          <w:lang w:val="en-GB"/>
        </w:rPr>
        <w:tab/>
        <w:t>Resolution 1353, adopted by the ITU Council at its 2012 session, which recognizes that telecommunications/ICTs are essential components for developed and developing countries</w:t>
      </w:r>
      <w:r w:rsidR="00FD162E" w:rsidRPr="00380B40">
        <w:rPr>
          <w:rStyle w:val="FootnoteReference"/>
          <w:lang w:val="en-GB"/>
        </w:rPr>
        <w:footnoteReference w:id="38"/>
      </w:r>
      <w:r w:rsidRPr="00380B40">
        <w:rPr>
          <w:lang w:val="en-GB"/>
        </w:rPr>
        <w:t xml:space="preserve"> in achieving sustainable development, and instructs the Secretary-General, in collaboration with the Directors of the Bureaux, to identify new activities to be undertaken by ITU to support developing countries in achieving sustainable development through telecommunications/ICTs,</w:t>
      </w:r>
    </w:p>
    <w:p w14:paraId="40E93953" w14:textId="77777777" w:rsidR="00820507" w:rsidRPr="00380B40" w:rsidRDefault="00820507" w:rsidP="00820507">
      <w:pPr>
        <w:pStyle w:val="Call"/>
        <w:rPr>
          <w:lang w:val="en-GB"/>
        </w:rPr>
      </w:pPr>
      <w:r w:rsidRPr="00380B40">
        <w:rPr>
          <w:lang w:val="en-GB"/>
        </w:rPr>
        <w:t>recognizing</w:t>
      </w:r>
    </w:p>
    <w:p w14:paraId="4E4902F6" w14:textId="77777777" w:rsidR="00820507" w:rsidRPr="00380B40" w:rsidRDefault="00820507" w:rsidP="00820507">
      <w:pPr>
        <w:rPr>
          <w:lang w:val="en-GB"/>
        </w:rPr>
      </w:pPr>
      <w:r w:rsidRPr="00380B40">
        <w:rPr>
          <w:i/>
          <w:iCs/>
          <w:lang w:val="en-GB"/>
        </w:rPr>
        <w:t>a)</w:t>
      </w:r>
      <w:r w:rsidRPr="00380B40">
        <w:rPr>
          <w:lang w:val="en-GB"/>
        </w:rPr>
        <w:tab/>
        <w:t>that ICTs are essential for monitoring climate, monitoring and protecting natural ecosystems, data gathering and rapid information transfer relating to the risks of climate change, and that adequate telecommunication networks are essential in ensuring that communications reach people and the appropriate relief organizations;</w:t>
      </w:r>
    </w:p>
    <w:p w14:paraId="62038117" w14:textId="77777777" w:rsidR="00820507" w:rsidRPr="00380B40" w:rsidRDefault="00820507" w:rsidP="00820507">
      <w:pPr>
        <w:rPr>
          <w:lang w:val="en-GB"/>
        </w:rPr>
      </w:pPr>
      <w:r w:rsidRPr="00380B40">
        <w:rPr>
          <w:i/>
          <w:iCs/>
          <w:lang w:val="en-GB"/>
        </w:rPr>
        <w:t>b)</w:t>
      </w:r>
      <w:r w:rsidRPr="00380B40">
        <w:rPr>
          <w:lang w:val="en-GB"/>
        </w:rPr>
        <w:tab/>
        <w:t>that low-cost sustainable ICT solutions with reduced carbon footprint are an urgent requirement;</w:t>
      </w:r>
    </w:p>
    <w:p w14:paraId="3B7C3482" w14:textId="77777777" w:rsidR="007A3B76" w:rsidRPr="00380B40" w:rsidRDefault="007A3B76" w:rsidP="00820507">
      <w:pPr>
        <w:rPr>
          <w:i/>
          <w:iCs/>
          <w:lang w:val="en-GB"/>
        </w:rPr>
      </w:pPr>
      <w:r w:rsidRPr="00380B40">
        <w:rPr>
          <w:i/>
          <w:iCs/>
          <w:lang w:val="en-GB"/>
        </w:rPr>
        <w:br w:type="page"/>
      </w:r>
    </w:p>
    <w:p w14:paraId="26F7414F" w14:textId="77777777" w:rsidR="00820507" w:rsidRPr="00380B40" w:rsidRDefault="00820507" w:rsidP="00820507">
      <w:pPr>
        <w:rPr>
          <w:lang w:val="en-GB"/>
        </w:rPr>
      </w:pPr>
      <w:r w:rsidRPr="00380B40">
        <w:rPr>
          <w:i/>
          <w:iCs/>
          <w:lang w:val="en-GB"/>
        </w:rPr>
        <w:t>c)</w:t>
      </w:r>
      <w:r w:rsidRPr="00380B40">
        <w:rPr>
          <w:lang w:val="en-GB"/>
        </w:rPr>
        <w:tab/>
        <w:t>that climate change largely affects:</w:t>
      </w:r>
    </w:p>
    <w:p w14:paraId="7691449E" w14:textId="77777777" w:rsidR="00820507" w:rsidRPr="00380B40" w:rsidRDefault="00820507" w:rsidP="00820507">
      <w:pPr>
        <w:pStyle w:val="enumlev1"/>
        <w:rPr>
          <w:lang w:val="en-GB"/>
        </w:rPr>
      </w:pPr>
      <w:r w:rsidRPr="00380B40">
        <w:rPr>
          <w:lang w:val="en-GB"/>
        </w:rPr>
        <w:t>i)</w:t>
      </w:r>
      <w:r w:rsidRPr="00380B40">
        <w:rPr>
          <w:lang w:val="en-GB"/>
        </w:rPr>
        <w:tab/>
        <w:t>countries located along coastal areas and those surrounded by oceans and seas, as well as inland areas that are susceptible to wildfires and drought;</w:t>
      </w:r>
    </w:p>
    <w:p w14:paraId="3E026832" w14:textId="77777777" w:rsidR="00820507" w:rsidRPr="00380B40" w:rsidRDefault="00820507" w:rsidP="00820507">
      <w:pPr>
        <w:pStyle w:val="enumlev1"/>
        <w:rPr>
          <w:lang w:val="en-GB"/>
        </w:rPr>
      </w:pPr>
      <w:r w:rsidRPr="00380B40">
        <w:rPr>
          <w:lang w:val="en-GB"/>
        </w:rPr>
        <w:t>ii)</w:t>
      </w:r>
      <w:r w:rsidRPr="00380B40">
        <w:rPr>
          <w:lang w:val="en-GB"/>
        </w:rPr>
        <w:tab/>
        <w:t>countries whose economies rely on agricultural investments;</w:t>
      </w:r>
    </w:p>
    <w:p w14:paraId="7D64174F" w14:textId="77777777" w:rsidR="00820507" w:rsidRPr="00380B40" w:rsidRDefault="00820507" w:rsidP="00820507">
      <w:pPr>
        <w:pStyle w:val="enumlev1"/>
        <w:rPr>
          <w:lang w:val="en-GB"/>
        </w:rPr>
      </w:pPr>
      <w:r w:rsidRPr="00380B40">
        <w:rPr>
          <w:lang w:val="en-GB"/>
        </w:rPr>
        <w:t>iii)</w:t>
      </w:r>
      <w:r w:rsidRPr="00380B40">
        <w:rPr>
          <w:lang w:val="en-GB"/>
        </w:rPr>
        <w:tab/>
        <w:t>countries with weak capacity or lack of meteorological-support infrastructure and technical systems for the mitigation of climate-change effects,</w:t>
      </w:r>
    </w:p>
    <w:p w14:paraId="03DF270A" w14:textId="77777777" w:rsidR="00820507" w:rsidRPr="00380B40" w:rsidRDefault="00820507" w:rsidP="00820507">
      <w:pPr>
        <w:pStyle w:val="Call"/>
        <w:rPr>
          <w:lang w:val="en-GB"/>
        </w:rPr>
      </w:pPr>
      <w:r w:rsidRPr="00380B40">
        <w:rPr>
          <w:lang w:val="en-GB"/>
        </w:rPr>
        <w:t>resolves</w:t>
      </w:r>
    </w:p>
    <w:p w14:paraId="22E96F7E" w14:textId="77777777" w:rsidR="00820507" w:rsidRPr="00380B40" w:rsidRDefault="00820507" w:rsidP="00820507">
      <w:pPr>
        <w:rPr>
          <w:lang w:val="en-GB"/>
        </w:rPr>
      </w:pPr>
      <w:r w:rsidRPr="00380B40">
        <w:rPr>
          <w:lang w:val="en-GB"/>
        </w:rPr>
        <w:t>1</w:t>
      </w:r>
      <w:r w:rsidRPr="00380B40">
        <w:rPr>
          <w:lang w:val="en-GB"/>
        </w:rPr>
        <w:tab/>
        <w:t>to continue and further develop the ITU</w:t>
      </w:r>
      <w:r w:rsidRPr="00380B40">
        <w:rPr>
          <w:lang w:val="en-GB"/>
        </w:rPr>
        <w:noBreakHyphen/>
        <w:t>T work programme initially launched in December 2007 on ICTs, climate change and circular economy, as a high priority, in order to contribute to the wider global efforts to moderate climate change, as part of the United Nations processes;</w:t>
      </w:r>
    </w:p>
    <w:p w14:paraId="70670BD6" w14:textId="77777777" w:rsidR="00820507" w:rsidRPr="00380B40" w:rsidRDefault="00820507" w:rsidP="00820507">
      <w:pPr>
        <w:rPr>
          <w:lang w:val="en-GB"/>
        </w:rPr>
      </w:pPr>
      <w:r w:rsidRPr="00380B40">
        <w:rPr>
          <w:lang w:val="en-GB"/>
        </w:rPr>
        <w:t>2</w:t>
      </w:r>
      <w:r w:rsidRPr="00380B40">
        <w:rPr>
          <w:lang w:val="en-GB"/>
        </w:rPr>
        <w:tab/>
        <w:t xml:space="preserve">to take into account the progress already made in the international symposia on ICTs, environment, climate change and circular economy, held in various parts of the </w:t>
      </w:r>
      <w:r w:rsidRPr="00380B40">
        <w:rPr>
          <w:szCs w:val="24"/>
          <w:lang w:val="en-GB"/>
        </w:rPr>
        <w:t>world</w:t>
      </w:r>
      <w:r w:rsidR="00FD162E" w:rsidRPr="00380B40">
        <w:rPr>
          <w:rStyle w:val="FootnoteReference"/>
          <w:szCs w:val="24"/>
          <w:lang w:val="en-GB"/>
        </w:rPr>
        <w:footnoteReference w:id="39"/>
      </w:r>
      <w:r w:rsidRPr="00380B40">
        <w:rPr>
          <w:lang w:val="en-GB"/>
        </w:rPr>
        <w:t>, by distributing their outcomes as widely as possible;</w:t>
      </w:r>
    </w:p>
    <w:p w14:paraId="3C3E137E" w14:textId="77777777" w:rsidR="00820507" w:rsidRPr="00380B40" w:rsidRDefault="00820507" w:rsidP="00820507">
      <w:pPr>
        <w:rPr>
          <w:lang w:val="en-GB"/>
        </w:rPr>
      </w:pPr>
      <w:r w:rsidRPr="00380B40">
        <w:rPr>
          <w:lang w:val="en-GB"/>
        </w:rPr>
        <w:t>3</w:t>
      </w:r>
      <w:r w:rsidRPr="00380B40">
        <w:rPr>
          <w:lang w:val="en-GB"/>
        </w:rPr>
        <w:tab/>
        <w:t>to continue to maintain and update the ITU</w:t>
      </w:r>
      <w:r w:rsidRPr="00380B40">
        <w:rPr>
          <w:lang w:val="en-GB"/>
        </w:rPr>
        <w:noBreakHyphen/>
        <w:t>T Global Portal on ICTs, environment, climate change and circular economy, extending its features by developing an electronic and interactive forum to share information and to disseminate ideas, standards and best practices on the relationships between ICTs and environmental sustainability, experiences and practices for disclosure, labelling schemes and recycling facilities;</w:t>
      </w:r>
    </w:p>
    <w:p w14:paraId="347EA144" w14:textId="77777777" w:rsidR="00820507" w:rsidRPr="00380B40" w:rsidRDefault="00820507" w:rsidP="00820507">
      <w:pPr>
        <w:rPr>
          <w:lang w:val="en-GB"/>
        </w:rPr>
      </w:pPr>
      <w:r w:rsidRPr="00380B40">
        <w:rPr>
          <w:lang w:val="en-GB"/>
        </w:rPr>
        <w:t>4</w:t>
      </w:r>
      <w:r w:rsidRPr="00380B40">
        <w:rPr>
          <w:lang w:val="en-GB"/>
        </w:rPr>
        <w:tab/>
        <w:t>to promote the development and adoption of Recommendations for enhancing the use of ICTs to serve as a potent and cross-cutting tool to assess and reduce greenhouse gas (GHG) emissions, optimize energy and water consumption, minimize e</w:t>
      </w:r>
      <w:r w:rsidRPr="00380B40">
        <w:rPr>
          <w:lang w:val="en-GB"/>
        </w:rPr>
        <w:noBreakHyphen/>
        <w:t>waste and improve e-waste management across economic and social activities;</w:t>
      </w:r>
    </w:p>
    <w:p w14:paraId="78FD7508" w14:textId="77777777" w:rsidR="00820507" w:rsidRPr="00380B40" w:rsidRDefault="00820507" w:rsidP="00820507">
      <w:pPr>
        <w:rPr>
          <w:lang w:val="en-GB"/>
        </w:rPr>
      </w:pPr>
      <w:r w:rsidRPr="00380B40">
        <w:rPr>
          <w:lang w:val="en-GB"/>
        </w:rPr>
        <w:t>5</w:t>
      </w:r>
      <w:r w:rsidRPr="00380B40">
        <w:rPr>
          <w:lang w:val="en-GB"/>
        </w:rPr>
        <w:tab/>
        <w:t>to increase awareness and promote information sharing on the role of ICTs in enhancing environmental sustainability, in particular by promoting the use of more energy-efficient</w:t>
      </w:r>
      <w:r w:rsidR="00FD162E" w:rsidRPr="00380B40">
        <w:rPr>
          <w:rStyle w:val="FootnoteReference"/>
          <w:lang w:val="en-GB"/>
        </w:rPr>
        <w:footnoteReference w:id="40"/>
      </w:r>
      <w:r w:rsidRPr="00380B40">
        <w:rPr>
          <w:lang w:val="en-GB"/>
        </w:rPr>
        <w:t xml:space="preserve"> devices and networks and more efficient working methods, as well as ICTs that can be used to replace or displace technologies/uses that have higher energy consumption; </w:t>
      </w:r>
    </w:p>
    <w:p w14:paraId="2E7FB11D" w14:textId="77777777" w:rsidR="00820507" w:rsidRPr="00380B40" w:rsidRDefault="00820507" w:rsidP="00820507">
      <w:pPr>
        <w:rPr>
          <w:lang w:val="en-GB"/>
        </w:rPr>
      </w:pPr>
      <w:r w:rsidRPr="00380B40">
        <w:rPr>
          <w:lang w:val="en-GB"/>
        </w:rPr>
        <w:t>6</w:t>
      </w:r>
      <w:r w:rsidRPr="00380B40">
        <w:rPr>
          <w:lang w:val="en-GB"/>
        </w:rPr>
        <w:tab/>
        <w:t>to work towards the reductions in emissions of GHGs arising from the use of ICTs that are necessary to meet the goals of the United Nations Framework Convention on Climate Change (UNFCCC);</w:t>
      </w:r>
    </w:p>
    <w:p w14:paraId="73BA6D17" w14:textId="77777777" w:rsidR="00820507" w:rsidRPr="00380B40" w:rsidRDefault="00820507" w:rsidP="00820507">
      <w:pPr>
        <w:rPr>
          <w:lang w:val="en-GB"/>
        </w:rPr>
      </w:pPr>
      <w:r w:rsidRPr="00380B40">
        <w:rPr>
          <w:lang w:val="en-GB"/>
        </w:rPr>
        <w:t>7</w:t>
      </w:r>
      <w:r w:rsidRPr="00380B40">
        <w:rPr>
          <w:lang w:val="en-GB"/>
        </w:rPr>
        <w:tab/>
        <w:t>to work towards a reduction of the adverse environmental impact of environmentally unfriendly materials used in ICT products;</w:t>
      </w:r>
    </w:p>
    <w:p w14:paraId="51F7F71A" w14:textId="77777777" w:rsidR="007A3B76" w:rsidRPr="00380B40" w:rsidRDefault="007A3B76" w:rsidP="00820507">
      <w:pPr>
        <w:rPr>
          <w:lang w:val="en-GB"/>
        </w:rPr>
      </w:pPr>
      <w:r w:rsidRPr="00380B40">
        <w:rPr>
          <w:lang w:val="en-GB"/>
        </w:rPr>
        <w:br w:type="page"/>
      </w:r>
    </w:p>
    <w:p w14:paraId="30CF8214" w14:textId="77777777" w:rsidR="00820507" w:rsidRPr="00380B40" w:rsidRDefault="00820507" w:rsidP="00820507">
      <w:pPr>
        <w:rPr>
          <w:lang w:val="en-GB"/>
        </w:rPr>
      </w:pPr>
      <w:r w:rsidRPr="00380B40">
        <w:rPr>
          <w:lang w:val="en-GB"/>
        </w:rPr>
        <w:t>8</w:t>
      </w:r>
      <w:r w:rsidRPr="00380B40">
        <w:rPr>
          <w:lang w:val="en-GB"/>
        </w:rPr>
        <w:tab/>
        <w:t>to bridge the standardization gap by providing technical assistance to countries in developing their national green ICT action plans, and develop a reporting mechanism in order to support countries in implementing their plan;</w:t>
      </w:r>
    </w:p>
    <w:p w14:paraId="23BE06BE" w14:textId="77777777" w:rsidR="00820507" w:rsidRPr="00380B40" w:rsidRDefault="00820507" w:rsidP="00820507">
      <w:pPr>
        <w:rPr>
          <w:lang w:val="en-GB"/>
        </w:rPr>
      </w:pPr>
      <w:r w:rsidRPr="00380B40">
        <w:rPr>
          <w:lang w:val="en-GB"/>
        </w:rPr>
        <w:t>9</w:t>
      </w:r>
      <w:r w:rsidRPr="00380B40">
        <w:rPr>
          <w:lang w:val="en-GB"/>
        </w:rPr>
        <w:tab/>
        <w:t>to set up e</w:t>
      </w:r>
      <w:r w:rsidRPr="00380B40">
        <w:rPr>
          <w:lang w:val="en-GB"/>
        </w:rPr>
        <w:noBreakHyphen/>
        <w:t>learning programmes on Recommendations related to ICTs, environment, climate change and circular economy;</w:t>
      </w:r>
    </w:p>
    <w:p w14:paraId="4C1579D2" w14:textId="77777777" w:rsidR="00820507" w:rsidRPr="00380B40" w:rsidRDefault="00820507" w:rsidP="00820507">
      <w:pPr>
        <w:rPr>
          <w:lang w:val="en-GB"/>
        </w:rPr>
      </w:pPr>
      <w:r w:rsidRPr="00380B40">
        <w:rPr>
          <w:lang w:val="en-GB"/>
        </w:rPr>
        <w:t>10</w:t>
      </w:r>
      <w:r w:rsidRPr="00380B40">
        <w:rPr>
          <w:lang w:val="en-GB"/>
        </w:rPr>
        <w:tab/>
        <w:t>to work towards supporting cities and the ICT sector in harnessing ICTs to combat climate change and reach net zero;</w:t>
      </w:r>
    </w:p>
    <w:p w14:paraId="6EEF3C1C" w14:textId="77777777" w:rsidR="00820507" w:rsidRPr="00380B40" w:rsidRDefault="00820507" w:rsidP="00820507">
      <w:pPr>
        <w:rPr>
          <w:lang w:val="en-GB"/>
        </w:rPr>
      </w:pPr>
      <w:r w:rsidRPr="00380B40">
        <w:rPr>
          <w:lang w:val="en-GB"/>
        </w:rPr>
        <w:t>11</w:t>
      </w:r>
      <w:r w:rsidRPr="00380B40">
        <w:rPr>
          <w:lang w:val="en-GB"/>
        </w:rPr>
        <w:tab/>
        <w:t>to work towards identifying the environmental protection requirements of ICTs and developing strategic frameworks for assessing their environmental impacts;</w:t>
      </w:r>
    </w:p>
    <w:p w14:paraId="6AE201AB" w14:textId="77777777" w:rsidR="00820507" w:rsidRPr="00380B40" w:rsidRDefault="00820507" w:rsidP="00820507">
      <w:pPr>
        <w:rPr>
          <w:lang w:val="en-GB"/>
        </w:rPr>
      </w:pPr>
      <w:r w:rsidRPr="00380B40">
        <w:rPr>
          <w:lang w:val="en-GB"/>
        </w:rPr>
        <w:t>12</w:t>
      </w:r>
      <w:r w:rsidRPr="00380B40">
        <w:rPr>
          <w:lang w:val="en-GB"/>
        </w:rPr>
        <w:tab/>
        <w:t xml:space="preserve">to support using ICTs to facilitate climate-change mitigation and adaptation efforts as well as building climate-resilient infrastructures; </w:t>
      </w:r>
    </w:p>
    <w:p w14:paraId="7B66F4EE" w14:textId="77777777" w:rsidR="00820507" w:rsidRPr="00380B40" w:rsidRDefault="00820507" w:rsidP="00820507">
      <w:pPr>
        <w:rPr>
          <w:lang w:val="en-GB"/>
        </w:rPr>
      </w:pPr>
      <w:r w:rsidRPr="00380B40">
        <w:rPr>
          <w:lang w:val="en-GB"/>
        </w:rPr>
        <w:t>13</w:t>
      </w:r>
      <w:r w:rsidRPr="00380B40">
        <w:rPr>
          <w:lang w:val="en-GB"/>
        </w:rPr>
        <w:tab/>
        <w:t>to work towards the implementation of circular economy in cities and human settlements in order to enhance their sustainability,</w:t>
      </w:r>
    </w:p>
    <w:p w14:paraId="37CF3962" w14:textId="77777777" w:rsidR="00820507" w:rsidRPr="00380B40" w:rsidRDefault="00820507" w:rsidP="00820507">
      <w:pPr>
        <w:pStyle w:val="Call"/>
        <w:rPr>
          <w:lang w:val="en-GB"/>
        </w:rPr>
      </w:pPr>
      <w:r w:rsidRPr="00380B40">
        <w:rPr>
          <w:lang w:val="en-GB"/>
        </w:rPr>
        <w:t>instructs the Telecommunication Standardization Advisory Group</w:t>
      </w:r>
    </w:p>
    <w:p w14:paraId="23D9463C" w14:textId="77777777" w:rsidR="00820507" w:rsidRPr="00380B40" w:rsidRDefault="00820507" w:rsidP="00820507">
      <w:pPr>
        <w:rPr>
          <w:lang w:val="en-GB"/>
        </w:rPr>
      </w:pPr>
      <w:r w:rsidRPr="00380B40">
        <w:rPr>
          <w:lang w:val="en-GB"/>
        </w:rPr>
        <w:t>1</w:t>
      </w:r>
      <w:r w:rsidRPr="00380B40">
        <w:rPr>
          <w:lang w:val="en-GB"/>
        </w:rPr>
        <w:tab/>
        <w:t>to coordinate the activities of ITU</w:t>
      </w:r>
      <w:r w:rsidRPr="00380B40">
        <w:rPr>
          <w:lang w:val="en-GB"/>
        </w:rPr>
        <w:noBreakHyphen/>
        <w:t>T study groups in relation to their review of relevant standardization activities of other standards-development organizations (SDOs) and facilitate collaboration between ITU and those SDOs in order to avoid duplication of, or overlap in, international standards;</w:t>
      </w:r>
    </w:p>
    <w:p w14:paraId="61683945" w14:textId="77777777" w:rsidR="00820507" w:rsidRPr="00380B40" w:rsidRDefault="00820507" w:rsidP="00820507">
      <w:pPr>
        <w:rPr>
          <w:lang w:val="en-GB"/>
        </w:rPr>
      </w:pPr>
      <w:r w:rsidRPr="00380B40">
        <w:rPr>
          <w:lang w:val="en-GB"/>
        </w:rPr>
        <w:t>2</w:t>
      </w:r>
      <w:r w:rsidRPr="00380B40">
        <w:rPr>
          <w:lang w:val="en-GB"/>
        </w:rPr>
        <w:tab/>
        <w:t>to ensure that study groups carry out a review of all future Recommendations in order to assess their implications and the application of best practices from the standpoint of protection of the environment, climate change and circular economy;</w:t>
      </w:r>
    </w:p>
    <w:p w14:paraId="766A0539" w14:textId="77777777" w:rsidR="00820507" w:rsidRPr="00380B40" w:rsidRDefault="00820507" w:rsidP="00820507">
      <w:pPr>
        <w:rPr>
          <w:lang w:val="en-GB"/>
        </w:rPr>
      </w:pPr>
      <w:r w:rsidRPr="00380B40">
        <w:rPr>
          <w:lang w:val="en-GB"/>
        </w:rPr>
        <w:t>3</w:t>
      </w:r>
      <w:r w:rsidRPr="00380B40">
        <w:rPr>
          <w:lang w:val="en-GB"/>
        </w:rPr>
        <w:tab/>
        <w:t>to consider further possible changes to working procedures in order to meet the objective of this resolution, including extending the use of electronic working methods to reduce the impact on climate change, such as paperless meetings, virtual conferencing, teleworking, etc.,</w:t>
      </w:r>
    </w:p>
    <w:p w14:paraId="5C5750E5" w14:textId="77777777" w:rsidR="00820507" w:rsidRPr="00380B40" w:rsidRDefault="00820507" w:rsidP="00820507">
      <w:pPr>
        <w:pStyle w:val="Call"/>
        <w:rPr>
          <w:lang w:val="en-GB"/>
        </w:rPr>
      </w:pPr>
      <w:r w:rsidRPr="00380B40">
        <w:rPr>
          <w:lang w:val="en-GB"/>
        </w:rPr>
        <w:t>instructs all study groups of the ITU Telecommunication Standardization Sector</w:t>
      </w:r>
    </w:p>
    <w:p w14:paraId="1CC73E54" w14:textId="77777777" w:rsidR="00820507" w:rsidRPr="00380B40" w:rsidRDefault="00820507" w:rsidP="00820507">
      <w:pPr>
        <w:rPr>
          <w:lang w:val="en-GB"/>
        </w:rPr>
      </w:pPr>
      <w:r w:rsidRPr="00380B40">
        <w:rPr>
          <w:lang w:val="en-GB"/>
        </w:rPr>
        <w:t>1</w:t>
      </w:r>
      <w:r w:rsidRPr="00380B40">
        <w:rPr>
          <w:lang w:val="en-GB"/>
        </w:rPr>
        <w:tab/>
        <w:t>to cooperate with ITU-T Study Group 5 to develop appropriate Recommendations on ICTs, environment and climate</w:t>
      </w:r>
      <w:r w:rsidRPr="00380B40">
        <w:rPr>
          <w:lang w:val="en-GB"/>
        </w:rPr>
        <w:noBreakHyphen/>
        <w:t>change issues within the mandate and competence of ITU</w:t>
      </w:r>
      <w:r w:rsidRPr="00380B40">
        <w:rPr>
          <w:lang w:val="en-GB"/>
        </w:rPr>
        <w:noBreakHyphen/>
        <w:t>T, including, for example, telecommunication networks used for monitoring and adapting to climate change, disaster preparedness, signalling and quality of service issues, taking into account any economic impact on all countries and in particular on developing countries;</w:t>
      </w:r>
    </w:p>
    <w:p w14:paraId="22AEEDE4" w14:textId="77777777" w:rsidR="00820507" w:rsidRPr="00380B40" w:rsidRDefault="00820507" w:rsidP="00820507">
      <w:pPr>
        <w:rPr>
          <w:lang w:val="en-GB"/>
        </w:rPr>
      </w:pPr>
      <w:r w:rsidRPr="00380B40">
        <w:rPr>
          <w:lang w:val="en-GB"/>
        </w:rPr>
        <w:t>2</w:t>
      </w:r>
      <w:r w:rsidRPr="00380B40">
        <w:rPr>
          <w:lang w:val="en-GB"/>
        </w:rPr>
        <w:tab/>
        <w:t>to identify best practices and opportunities for new applications using ICTs to foster environmental sustainability, and to identify appropriate actions;</w:t>
      </w:r>
    </w:p>
    <w:p w14:paraId="2BE90159" w14:textId="77777777" w:rsidR="007A3B76" w:rsidRPr="00380B40" w:rsidRDefault="007A3B76" w:rsidP="00820507">
      <w:pPr>
        <w:rPr>
          <w:lang w:val="en-GB"/>
        </w:rPr>
      </w:pPr>
      <w:r w:rsidRPr="00380B40">
        <w:rPr>
          <w:lang w:val="en-GB"/>
        </w:rPr>
        <w:br w:type="page"/>
      </w:r>
    </w:p>
    <w:p w14:paraId="24E56BAE" w14:textId="77777777" w:rsidR="00820507" w:rsidRPr="00380B40" w:rsidRDefault="00820507" w:rsidP="00820507">
      <w:pPr>
        <w:rPr>
          <w:lang w:val="en-GB"/>
        </w:rPr>
      </w:pPr>
      <w:r w:rsidRPr="00380B40">
        <w:rPr>
          <w:lang w:val="en-GB"/>
        </w:rPr>
        <w:t>3</w:t>
      </w:r>
      <w:r w:rsidRPr="00380B40">
        <w:rPr>
          <w:lang w:val="en-GB"/>
        </w:rPr>
        <w:tab/>
        <w:t>to identify and promote best practices towards implementing environmentally friendly policies and practices, and to share use cases and key success factors;</w:t>
      </w:r>
    </w:p>
    <w:p w14:paraId="1060BC78" w14:textId="77777777" w:rsidR="00820507" w:rsidRPr="00380B40" w:rsidRDefault="00820507" w:rsidP="00820507">
      <w:pPr>
        <w:rPr>
          <w:lang w:val="en-GB"/>
        </w:rPr>
      </w:pPr>
      <w:r w:rsidRPr="00380B40">
        <w:rPr>
          <w:lang w:val="en-GB"/>
        </w:rPr>
        <w:t>4</w:t>
      </w:r>
      <w:r w:rsidRPr="00380B40">
        <w:rPr>
          <w:lang w:val="en-GB"/>
        </w:rPr>
        <w:tab/>
        <w:t>to identify initiatives which support consistently successful and sustainable approaches that will result in cost</w:t>
      </w:r>
      <w:r w:rsidRPr="00380B40">
        <w:rPr>
          <w:lang w:val="en-GB"/>
        </w:rPr>
        <w:noBreakHyphen/>
        <w:t>effective application;</w:t>
      </w:r>
    </w:p>
    <w:p w14:paraId="6A2AFB4B" w14:textId="77777777" w:rsidR="00820507" w:rsidRPr="00380B40" w:rsidRDefault="00820507" w:rsidP="00820507">
      <w:pPr>
        <w:rPr>
          <w:lang w:val="en-GB"/>
        </w:rPr>
      </w:pPr>
      <w:r w:rsidRPr="00380B40">
        <w:rPr>
          <w:lang w:val="en-GB"/>
        </w:rPr>
        <w:t>5</w:t>
      </w:r>
      <w:r w:rsidRPr="00380B40">
        <w:rPr>
          <w:lang w:val="en-GB"/>
        </w:rPr>
        <w:tab/>
        <w:t>to identify and promote successful new energy-efficient technologies using renewable energy or alternative energy sources that are proven to work for both urban and rural telecommunication sites;</w:t>
      </w:r>
    </w:p>
    <w:p w14:paraId="0DF752D4" w14:textId="77777777" w:rsidR="00820507" w:rsidRPr="00380B40" w:rsidRDefault="00820507" w:rsidP="00820507">
      <w:pPr>
        <w:rPr>
          <w:i/>
          <w:lang w:val="en-GB"/>
        </w:rPr>
      </w:pPr>
      <w:r w:rsidRPr="00380B40">
        <w:rPr>
          <w:lang w:val="en-GB"/>
        </w:rPr>
        <w:t>6</w:t>
      </w:r>
      <w:r w:rsidRPr="00380B40">
        <w:rPr>
          <w:lang w:val="en-GB"/>
        </w:rPr>
        <w:tab/>
        <w:t>to liaise with the relevant study groups of the ITU Radiocommunication Sector and the ITU Telecommunication Development Sector and promote liaison with other SDOs and forums in order to avoid duplication of work, optimize the use of resources and accelerate the availability of global standards,</w:t>
      </w:r>
    </w:p>
    <w:p w14:paraId="643135AD" w14:textId="77777777" w:rsidR="00820507" w:rsidRPr="00380B40" w:rsidRDefault="00820507" w:rsidP="00820507">
      <w:pPr>
        <w:pStyle w:val="Call"/>
        <w:rPr>
          <w:lang w:val="en-GB"/>
        </w:rPr>
      </w:pPr>
      <w:r w:rsidRPr="00380B40">
        <w:rPr>
          <w:lang w:val="en-GB"/>
        </w:rPr>
        <w:t>instructs the Director of the Telecommunication Standardization Bureau, in collaboration with the Directors of the other Bureaux</w:t>
      </w:r>
    </w:p>
    <w:p w14:paraId="4EE5238F" w14:textId="77777777" w:rsidR="00820507" w:rsidRPr="00380B40" w:rsidRDefault="00820507" w:rsidP="00820507">
      <w:pPr>
        <w:rPr>
          <w:lang w:val="en-GB"/>
        </w:rPr>
      </w:pPr>
      <w:r w:rsidRPr="00380B40">
        <w:rPr>
          <w:lang w:val="en-GB"/>
        </w:rPr>
        <w:t>1</w:t>
      </w:r>
      <w:r w:rsidRPr="00380B40">
        <w:rPr>
          <w:lang w:val="en-GB"/>
        </w:rPr>
        <w:tab/>
        <w:t>to report on progress on the application of this resolution annually to the Council and to the next world telecommunication standardization assembly;</w:t>
      </w:r>
    </w:p>
    <w:p w14:paraId="47920C80" w14:textId="77777777" w:rsidR="00820507" w:rsidRPr="00380B40" w:rsidRDefault="00820507" w:rsidP="00820507">
      <w:pPr>
        <w:rPr>
          <w:lang w:val="en-GB"/>
        </w:rPr>
      </w:pPr>
      <w:r w:rsidRPr="00380B40">
        <w:rPr>
          <w:lang w:val="en-GB"/>
        </w:rPr>
        <w:t>2</w:t>
      </w:r>
      <w:r w:rsidRPr="00380B40">
        <w:rPr>
          <w:lang w:val="en-GB"/>
        </w:rPr>
        <w:tab/>
        <w:t>to keep up to date the calendar of events relevant to ICTs, environment, climate change and circular economy, based on proposals by the Telecommunication Standardization Advisory Group and in close collaboration with the other two Sectors;</w:t>
      </w:r>
    </w:p>
    <w:p w14:paraId="48F66563" w14:textId="77777777" w:rsidR="00820507" w:rsidRPr="00380B40" w:rsidRDefault="00820507" w:rsidP="00820507">
      <w:pPr>
        <w:rPr>
          <w:lang w:val="en-GB"/>
        </w:rPr>
      </w:pPr>
      <w:r w:rsidRPr="00380B40">
        <w:rPr>
          <w:lang w:val="en-GB"/>
        </w:rPr>
        <w:t>3</w:t>
      </w:r>
      <w:r w:rsidRPr="00380B40">
        <w:rPr>
          <w:lang w:val="en-GB"/>
        </w:rPr>
        <w:tab/>
        <w:t>to launch pilot projects, aimed at bridging the standardization gap, on environmental sustainability issues, in particular in developing countries;</w:t>
      </w:r>
    </w:p>
    <w:p w14:paraId="2F9C6D78" w14:textId="77777777" w:rsidR="00820507" w:rsidRPr="00380B40" w:rsidRDefault="00820507" w:rsidP="00820507">
      <w:pPr>
        <w:rPr>
          <w:lang w:val="en-GB"/>
        </w:rPr>
      </w:pPr>
      <w:r w:rsidRPr="00380B40">
        <w:rPr>
          <w:lang w:val="en-GB"/>
        </w:rPr>
        <w:t>4</w:t>
      </w:r>
      <w:r w:rsidRPr="00380B40">
        <w:rPr>
          <w:lang w:val="en-GB"/>
        </w:rPr>
        <w:tab/>
        <w:t xml:space="preserve">to support the development of reports on ICTs, environment, climate change and circular economy, taking into consideration relevant studies, in particular the ongoing work of Study Group 5, including issues related to, </w:t>
      </w:r>
      <w:r w:rsidRPr="00380B40">
        <w:rPr>
          <w:i/>
          <w:iCs/>
          <w:lang w:val="en-GB"/>
        </w:rPr>
        <w:t>inter alia</w:t>
      </w:r>
      <w:r w:rsidRPr="00380B40">
        <w:rPr>
          <w:lang w:val="en-GB"/>
        </w:rPr>
        <w:t>, circular economy, green data centres, smart buildings, green ICT procurement, cloud computing, energy efficiency, smart transportation, smart logistics, smart grids, water management, adaptation to climate change and disaster preparedness, and how the ICT sector contributes to annual reductions in GHG emissions, and submit the reports as soon as possible to Study Group 5 for its consideration;</w:t>
      </w:r>
    </w:p>
    <w:p w14:paraId="1F205AA7" w14:textId="77777777" w:rsidR="00820507" w:rsidRPr="00380B40" w:rsidRDefault="00820507" w:rsidP="00820507">
      <w:pPr>
        <w:rPr>
          <w:lang w:val="en-GB"/>
        </w:rPr>
      </w:pPr>
      <w:r w:rsidRPr="00380B40">
        <w:rPr>
          <w:lang w:val="en-GB"/>
        </w:rPr>
        <w:t>5</w:t>
      </w:r>
      <w:r w:rsidRPr="00380B40">
        <w:rPr>
          <w:lang w:val="en-GB"/>
        </w:rPr>
        <w:tab/>
        <w:t>to organize forums, workshops and seminars for developing countries in order to raise awareness and identify their particular needs and challenges in regard to environmental, climate-change and circular-economy issues;</w:t>
      </w:r>
    </w:p>
    <w:p w14:paraId="37428C24" w14:textId="77777777" w:rsidR="00820507" w:rsidRPr="00380B40" w:rsidRDefault="00820507" w:rsidP="00820507">
      <w:pPr>
        <w:rPr>
          <w:lang w:val="en-GB"/>
        </w:rPr>
      </w:pPr>
      <w:r w:rsidRPr="00380B40">
        <w:rPr>
          <w:lang w:val="en-GB"/>
        </w:rPr>
        <w:t>6</w:t>
      </w:r>
      <w:r w:rsidRPr="00380B40">
        <w:rPr>
          <w:lang w:val="en-GB"/>
        </w:rPr>
        <w:tab/>
        <w:t>to develop, promote and disseminate information and training programmes on ICTs, climate change, environment and circular economy;</w:t>
      </w:r>
    </w:p>
    <w:p w14:paraId="0F0701E5" w14:textId="77777777" w:rsidR="00820507" w:rsidRPr="00380B40" w:rsidRDefault="00820507" w:rsidP="00820507">
      <w:pPr>
        <w:rPr>
          <w:lang w:val="en-GB"/>
        </w:rPr>
      </w:pPr>
      <w:r w:rsidRPr="00380B40">
        <w:rPr>
          <w:lang w:val="en-GB"/>
        </w:rPr>
        <w:t>7</w:t>
      </w:r>
      <w:r w:rsidRPr="00380B40">
        <w:rPr>
          <w:lang w:val="en-GB"/>
        </w:rPr>
        <w:tab/>
        <w:t>to report on progress of the Joint Task Force of ITU, the World Meteorological Organization (WMO) and the United Nations Educational, Scientific and Cultural Organization Intergovernmental Oceanographic Commission (IOC-UNESCO) to investigate the potential of using submarine telecommunication cables for ocean and climate monitoring and disaster warning;</w:t>
      </w:r>
    </w:p>
    <w:p w14:paraId="1AE0663E" w14:textId="77777777" w:rsidR="007A3B76" w:rsidRPr="00380B40" w:rsidRDefault="007A3B76" w:rsidP="00820507">
      <w:pPr>
        <w:rPr>
          <w:lang w:val="en-GB"/>
        </w:rPr>
      </w:pPr>
      <w:r w:rsidRPr="00380B40">
        <w:rPr>
          <w:lang w:val="en-GB"/>
        </w:rPr>
        <w:br w:type="page"/>
      </w:r>
    </w:p>
    <w:p w14:paraId="2DBF06E8" w14:textId="77777777" w:rsidR="00820507" w:rsidRPr="00380B40" w:rsidRDefault="00820507" w:rsidP="00820507">
      <w:pPr>
        <w:rPr>
          <w:lang w:val="en-GB"/>
        </w:rPr>
      </w:pPr>
      <w:r w:rsidRPr="00380B40">
        <w:rPr>
          <w:lang w:val="en-GB"/>
        </w:rPr>
        <w:t>8</w:t>
      </w:r>
      <w:r w:rsidRPr="00380B40">
        <w:rPr>
          <w:lang w:val="en-GB"/>
        </w:rPr>
        <w:tab/>
        <w:t>to promote the ITU</w:t>
      </w:r>
      <w:r w:rsidRPr="00380B40">
        <w:rPr>
          <w:lang w:val="en-GB"/>
        </w:rPr>
        <w:noBreakHyphen/>
        <w:t>T Global Portal on ICTs, environment, climate change and circular economy and its use as an electronic forum for the exchange and dissemination of ideas, experience and best practices on ICTs, environment, climate change and circular economy;</w:t>
      </w:r>
    </w:p>
    <w:p w14:paraId="1478B678" w14:textId="77777777" w:rsidR="00820507" w:rsidRPr="00380B40" w:rsidRDefault="00820507" w:rsidP="00820507">
      <w:pPr>
        <w:rPr>
          <w:lang w:val="en-GB"/>
        </w:rPr>
      </w:pPr>
      <w:r w:rsidRPr="00380B40">
        <w:rPr>
          <w:lang w:val="en-GB"/>
        </w:rPr>
        <w:t>9</w:t>
      </w:r>
      <w:r w:rsidRPr="00380B40">
        <w:rPr>
          <w:lang w:val="en-GB"/>
        </w:rPr>
        <w:tab/>
        <w:t>to assist countries that are vulnerable to climate-change impact, with specific emphasis on developing countries:</w:t>
      </w:r>
    </w:p>
    <w:p w14:paraId="75FCD84E" w14:textId="77777777" w:rsidR="00820507" w:rsidRPr="00380B40" w:rsidRDefault="00820507" w:rsidP="00820507">
      <w:pPr>
        <w:pStyle w:val="enumlev1"/>
        <w:rPr>
          <w:lang w:val="en-GB"/>
        </w:rPr>
      </w:pPr>
      <w:r w:rsidRPr="00380B40">
        <w:rPr>
          <w:lang w:val="en-GB"/>
        </w:rPr>
        <w:t>i)</w:t>
      </w:r>
      <w:r w:rsidRPr="00380B40">
        <w:rPr>
          <w:lang w:val="en-GB"/>
        </w:rPr>
        <w:tab/>
        <w:t>located along coastal areas and those surrounded by oceans and seas, as well as inland areas that are susceptible to wildfires and drought;</w:t>
      </w:r>
    </w:p>
    <w:p w14:paraId="000329D1" w14:textId="77777777" w:rsidR="00820507" w:rsidRPr="00380B40" w:rsidRDefault="00820507" w:rsidP="00820507">
      <w:pPr>
        <w:pStyle w:val="enumlev1"/>
        <w:rPr>
          <w:lang w:val="en-GB"/>
        </w:rPr>
      </w:pPr>
      <w:r w:rsidRPr="00380B40">
        <w:rPr>
          <w:lang w:val="en-GB"/>
        </w:rPr>
        <w:t>ii)</w:t>
      </w:r>
      <w:r w:rsidRPr="00380B40">
        <w:rPr>
          <w:lang w:val="en-GB"/>
        </w:rPr>
        <w:tab/>
        <w:t>whose economies rely on agricultural investments;</w:t>
      </w:r>
    </w:p>
    <w:p w14:paraId="1467E59C" w14:textId="77777777" w:rsidR="00820507" w:rsidRPr="00380B40" w:rsidRDefault="00820507" w:rsidP="00820507">
      <w:pPr>
        <w:pStyle w:val="enumlev1"/>
        <w:rPr>
          <w:lang w:val="en-GB"/>
        </w:rPr>
      </w:pPr>
      <w:r w:rsidRPr="00380B40">
        <w:rPr>
          <w:lang w:val="en-GB"/>
        </w:rPr>
        <w:t>iii)</w:t>
      </w:r>
      <w:r w:rsidRPr="00380B40">
        <w:rPr>
          <w:lang w:val="en-GB"/>
        </w:rPr>
        <w:tab/>
        <w:t>with weak capacity or lack of meteorological-support infrastructure and technical systems for the mitigation of climate-change effects,</w:t>
      </w:r>
    </w:p>
    <w:p w14:paraId="70E04B5E" w14:textId="77777777" w:rsidR="00820507" w:rsidRPr="00380B40" w:rsidRDefault="00820507" w:rsidP="00820507">
      <w:pPr>
        <w:pStyle w:val="Call"/>
        <w:rPr>
          <w:lang w:val="en-GB"/>
        </w:rPr>
      </w:pPr>
      <w:r w:rsidRPr="00380B40">
        <w:rPr>
          <w:lang w:val="en-GB"/>
        </w:rPr>
        <w:t>invites the Secretary-General</w:t>
      </w:r>
    </w:p>
    <w:p w14:paraId="67B83791" w14:textId="77777777" w:rsidR="00820507" w:rsidRPr="00380B40" w:rsidRDefault="00820507" w:rsidP="00820507">
      <w:pPr>
        <w:rPr>
          <w:i/>
          <w:lang w:val="en-GB"/>
        </w:rPr>
      </w:pPr>
      <w:r w:rsidRPr="00380B40">
        <w:rPr>
          <w:lang w:val="en-GB"/>
        </w:rPr>
        <w:t>to continue to cooperate and collaborate with other entities within the United Nations in formulating future international efforts to address protection of the environment and climate change and support vulnerable countries in projects towards mitigation, adaptation and resilience efforts as well as climate-change preparedness plans, contributing to the achievement of the goals of the 2030 Agenda for Sustainable Development,</w:t>
      </w:r>
    </w:p>
    <w:p w14:paraId="213892D0" w14:textId="77777777" w:rsidR="00820507" w:rsidRPr="00380B40" w:rsidRDefault="00820507" w:rsidP="00820507">
      <w:pPr>
        <w:pStyle w:val="Call"/>
        <w:rPr>
          <w:lang w:val="en-GB"/>
        </w:rPr>
      </w:pPr>
      <w:r w:rsidRPr="00380B40">
        <w:rPr>
          <w:lang w:val="en-GB"/>
        </w:rPr>
        <w:t>invites Member States, Sector Members and Associates</w:t>
      </w:r>
    </w:p>
    <w:p w14:paraId="126506F0" w14:textId="77777777" w:rsidR="00820507" w:rsidRPr="00380B40" w:rsidRDefault="00820507" w:rsidP="00820507">
      <w:pPr>
        <w:rPr>
          <w:lang w:val="en-GB"/>
        </w:rPr>
      </w:pPr>
      <w:r w:rsidRPr="00380B40">
        <w:rPr>
          <w:lang w:val="en-GB"/>
        </w:rPr>
        <w:t>1</w:t>
      </w:r>
      <w:r w:rsidRPr="00380B40">
        <w:rPr>
          <w:lang w:val="en-GB"/>
        </w:rPr>
        <w:tab/>
        <w:t>to continue to contribute actively to Study Group 5 and other ITU</w:t>
      </w:r>
      <w:r w:rsidRPr="00380B40">
        <w:rPr>
          <w:lang w:val="en-GB"/>
        </w:rPr>
        <w:noBreakHyphen/>
        <w:t>T study groups on ICTs, environment, climate change and circular economy;</w:t>
      </w:r>
    </w:p>
    <w:p w14:paraId="48C7E2B4" w14:textId="77777777" w:rsidR="00820507" w:rsidRPr="00380B40" w:rsidRDefault="00820507" w:rsidP="00820507">
      <w:pPr>
        <w:rPr>
          <w:lang w:val="en-GB"/>
        </w:rPr>
      </w:pPr>
      <w:r w:rsidRPr="00380B40">
        <w:rPr>
          <w:szCs w:val="24"/>
          <w:lang w:val="en-GB"/>
        </w:rPr>
        <w:t>2</w:t>
      </w:r>
      <w:r w:rsidRPr="00380B40">
        <w:rPr>
          <w:szCs w:val="24"/>
          <w:lang w:val="en-GB"/>
        </w:rPr>
        <w:tab/>
      </w:r>
      <w:r w:rsidRPr="00380B40">
        <w:rPr>
          <w:lang w:val="en-GB"/>
        </w:rPr>
        <w:t>to continue or initiate public and private programmes that include ICTs, environment, climate change and circular economy, giving due consideration to relevant ITU</w:t>
      </w:r>
      <w:r w:rsidRPr="00380B40">
        <w:rPr>
          <w:lang w:val="en-GB"/>
        </w:rPr>
        <w:noBreakHyphen/>
        <w:t>T Recommendations and relevant work;</w:t>
      </w:r>
    </w:p>
    <w:p w14:paraId="3750F21A" w14:textId="77777777" w:rsidR="00820507" w:rsidRPr="00380B40" w:rsidRDefault="00820507" w:rsidP="00820507">
      <w:pPr>
        <w:rPr>
          <w:lang w:val="en-GB"/>
        </w:rPr>
      </w:pPr>
      <w:r w:rsidRPr="00380B40">
        <w:rPr>
          <w:lang w:val="en-GB"/>
        </w:rPr>
        <w:t>3</w:t>
      </w:r>
      <w:r w:rsidRPr="00380B40">
        <w:rPr>
          <w:lang w:val="en-GB"/>
        </w:rPr>
        <w:tab/>
        <w:t>to share best practices and raise awareness of the benefits associated with the use of green ICTs in accordance with relevant ITU Recommendations;</w:t>
      </w:r>
    </w:p>
    <w:p w14:paraId="376499B3" w14:textId="77777777" w:rsidR="00820507" w:rsidRPr="00380B40" w:rsidRDefault="00820507" w:rsidP="00820507">
      <w:pPr>
        <w:rPr>
          <w:lang w:val="en-GB"/>
        </w:rPr>
      </w:pPr>
      <w:r w:rsidRPr="00380B40">
        <w:rPr>
          <w:color w:val="000000"/>
          <w:lang w:val="en-GB"/>
        </w:rPr>
        <w:t>4</w:t>
      </w:r>
      <w:r w:rsidRPr="00380B40">
        <w:rPr>
          <w:color w:val="000000"/>
          <w:lang w:val="en-GB"/>
        </w:rPr>
        <w:tab/>
      </w:r>
      <w:r w:rsidRPr="00380B40">
        <w:rPr>
          <w:lang w:val="en-GB"/>
        </w:rPr>
        <w:t>to promote the integration of ICT, climate, environmental and energy policies in order to improve environmental performance and enhance energy efficiency and resource management;</w:t>
      </w:r>
    </w:p>
    <w:p w14:paraId="29694218" w14:textId="77777777" w:rsidR="00820507" w:rsidRPr="00380B40" w:rsidRDefault="00820507" w:rsidP="00820507">
      <w:pPr>
        <w:rPr>
          <w:lang w:val="en-GB"/>
        </w:rPr>
      </w:pPr>
      <w:r w:rsidRPr="00380B40">
        <w:rPr>
          <w:lang w:val="en-GB"/>
        </w:rPr>
        <w:t>5</w:t>
      </w:r>
      <w:r w:rsidRPr="00380B40">
        <w:rPr>
          <w:lang w:val="en-GB"/>
        </w:rPr>
        <w:tab/>
        <w:t>to integrate the use of ICTs into national adaptation plans so as to make use of ICTs as an enabling tool for addressing the effects of climate change;</w:t>
      </w:r>
    </w:p>
    <w:p w14:paraId="461952EF" w14:textId="77777777" w:rsidR="000E7F27" w:rsidRPr="00380B40" w:rsidRDefault="00820507" w:rsidP="0082050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sidRPr="00380B40">
        <w:rPr>
          <w:lang w:val="en-GB"/>
        </w:rPr>
        <w:t>6</w:t>
      </w:r>
      <w:r w:rsidRPr="00380B40">
        <w:rPr>
          <w:lang w:val="en-GB"/>
        </w:rPr>
        <w:tab/>
        <w:t>to liaise with their national counterparts responsible for environmental issues in order to support and contribute to the wider United Nations process on climate change, by providing information and developing common proposals related to the role of telecommunications/ICTs in mitigating and adapting to the effects of climate change, so that they can be taken into consideration within UNFCCC.</w:t>
      </w:r>
    </w:p>
    <w:p w14:paraId="548F67D9" w14:textId="77777777" w:rsidR="007D7127" w:rsidRPr="00380B40" w:rsidRDefault="007D71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C8FE58C" w14:textId="77777777" w:rsidR="00B97E2C" w:rsidRPr="00380B40" w:rsidRDefault="00B97E2C" w:rsidP="00B97E2C">
      <w:pPr>
        <w:rPr>
          <w:lang w:val="en-GB"/>
        </w:rPr>
      </w:pPr>
    </w:p>
    <w:p w14:paraId="5765ED0C" w14:textId="77777777" w:rsidR="00B97E2C" w:rsidRPr="00380B40" w:rsidRDefault="00B97E2C" w:rsidP="00B97E2C">
      <w:pPr>
        <w:rPr>
          <w:lang w:val="en-GB"/>
        </w:rPr>
        <w:sectPr w:rsidR="00B97E2C" w:rsidRPr="00380B40" w:rsidSect="0090083B">
          <w:headerReference w:type="even" r:id="rId213"/>
          <w:headerReference w:type="default" r:id="rId214"/>
          <w:footerReference w:type="even" r:id="rId215"/>
          <w:footerReference w:type="default" r:id="rId216"/>
          <w:headerReference w:type="first" r:id="rId217"/>
          <w:footerReference w:type="first" r:id="rId218"/>
          <w:footnotePr>
            <w:numRestart w:val="eachSect"/>
          </w:footnotePr>
          <w:pgSz w:w="11907" w:h="16834" w:code="9"/>
          <w:pgMar w:top="1134" w:right="1134" w:bottom="1134" w:left="1134" w:header="567" w:footer="567" w:gutter="0"/>
          <w:paperSrc w:first="15" w:other="15"/>
          <w:cols w:space="720"/>
          <w:vAlign w:val="both"/>
          <w:docGrid w:linePitch="299"/>
        </w:sectPr>
      </w:pPr>
    </w:p>
    <w:p w14:paraId="7C43C03E" w14:textId="77777777" w:rsidR="00757522" w:rsidRPr="00380B40" w:rsidRDefault="00055CCD" w:rsidP="00820507">
      <w:pPr>
        <w:pStyle w:val="ResNo"/>
        <w:rPr>
          <w:lang w:val="en-GB"/>
        </w:rPr>
      </w:pPr>
      <w:bookmarkStart w:id="322" w:name="_Toc104459759"/>
      <w:bookmarkStart w:id="323" w:name="_Toc104476567"/>
      <w:bookmarkStart w:id="324" w:name="_Toc111636793"/>
      <w:bookmarkStart w:id="325" w:name="_Toc111638460"/>
      <w:r w:rsidRPr="00380B40">
        <w:rPr>
          <w:caps w:val="0"/>
          <w:lang w:val="en-GB"/>
        </w:rPr>
        <w:t xml:space="preserve">RESOLUTION </w:t>
      </w:r>
      <w:r w:rsidR="00757522" w:rsidRPr="00380B40">
        <w:rPr>
          <w:rStyle w:val="href"/>
          <w:lang w:val="en-GB"/>
        </w:rPr>
        <w:t xml:space="preserve">74 </w:t>
      </w:r>
      <w:r w:rsidR="00820507" w:rsidRPr="00380B40">
        <w:rPr>
          <w:lang w:val="en-GB"/>
        </w:rPr>
        <w:t>(R</w:t>
      </w:r>
      <w:r w:rsidR="007D7127" w:rsidRPr="00380B40">
        <w:rPr>
          <w:caps w:val="0"/>
          <w:lang w:val="en-GB"/>
        </w:rPr>
        <w:t>ev</w:t>
      </w:r>
      <w:r w:rsidR="00820507" w:rsidRPr="00380B40">
        <w:rPr>
          <w:lang w:val="en-GB"/>
        </w:rPr>
        <w:t>. G</w:t>
      </w:r>
      <w:r w:rsidR="007D7127" w:rsidRPr="00380B40">
        <w:rPr>
          <w:caps w:val="0"/>
          <w:lang w:val="en-GB"/>
        </w:rPr>
        <w:t>eneva</w:t>
      </w:r>
      <w:r w:rsidR="00820507" w:rsidRPr="00380B40">
        <w:rPr>
          <w:lang w:val="en-GB"/>
        </w:rPr>
        <w:t>, 2022)</w:t>
      </w:r>
      <w:bookmarkEnd w:id="322"/>
      <w:bookmarkEnd w:id="323"/>
      <w:bookmarkEnd w:id="324"/>
      <w:bookmarkEnd w:id="325"/>
    </w:p>
    <w:p w14:paraId="4E331763" w14:textId="77777777" w:rsidR="00820507" w:rsidRPr="00380B40" w:rsidRDefault="00820507" w:rsidP="00820507">
      <w:pPr>
        <w:pStyle w:val="Restitle"/>
        <w:tabs>
          <w:tab w:val="clear" w:pos="794"/>
          <w:tab w:val="clear" w:pos="1191"/>
          <w:tab w:val="clear" w:pos="1588"/>
          <w:tab w:val="clear" w:pos="1985"/>
        </w:tabs>
        <w:rPr>
          <w:lang w:val="en-GB"/>
        </w:rPr>
      </w:pPr>
      <w:bookmarkStart w:id="326" w:name="_Toc104459760"/>
      <w:bookmarkStart w:id="327" w:name="_Toc104476568"/>
      <w:bookmarkStart w:id="328" w:name="_Toc111638461"/>
      <w:r w:rsidRPr="00380B40">
        <w:rPr>
          <w:lang w:val="en-GB"/>
        </w:rPr>
        <w:t>Enhancing participation of Sector Members</w:t>
      </w:r>
      <w:r w:rsidR="00FD162E" w:rsidRPr="00380B40">
        <w:rPr>
          <w:rStyle w:val="FootnoteReference"/>
          <w:lang w:val="en-GB"/>
        </w:rPr>
        <w:footnoteReference w:id="41"/>
      </w:r>
      <w:r w:rsidRPr="00380B40">
        <w:rPr>
          <w:lang w:val="en-GB"/>
        </w:rPr>
        <w:t xml:space="preserve"> from developing countries</w:t>
      </w:r>
      <w:r w:rsidR="00FD162E" w:rsidRPr="00380B40">
        <w:rPr>
          <w:rStyle w:val="FootnoteReference"/>
          <w:lang w:val="en-GB"/>
        </w:rPr>
        <w:footnoteReference w:id="42"/>
      </w:r>
      <w:r w:rsidRPr="00380B40">
        <w:rPr>
          <w:lang w:val="en-GB"/>
        </w:rPr>
        <w:t xml:space="preserve"> in the work of the ITU Telecommunication Standardization Sector</w:t>
      </w:r>
      <w:bookmarkEnd w:id="326"/>
      <w:bookmarkEnd w:id="327"/>
      <w:bookmarkEnd w:id="328"/>
    </w:p>
    <w:p w14:paraId="19151D64" w14:textId="77777777" w:rsidR="00820507" w:rsidRPr="00380B40" w:rsidRDefault="00820507" w:rsidP="00820507">
      <w:pPr>
        <w:pStyle w:val="Resref"/>
        <w:rPr>
          <w:lang w:val="en-GB"/>
        </w:rPr>
      </w:pPr>
      <w:r w:rsidRPr="00380B40">
        <w:rPr>
          <w:lang w:val="en-GB"/>
        </w:rPr>
        <w:t>(Johannesburg, 2008; Dubai, 2012; Geneva, 2022)</w:t>
      </w:r>
    </w:p>
    <w:p w14:paraId="5A15326F" w14:textId="77777777" w:rsidR="00820507" w:rsidRPr="00380B40" w:rsidRDefault="00820507" w:rsidP="00566AA6">
      <w:pPr>
        <w:pStyle w:val="Normalaftertitle0"/>
      </w:pPr>
      <w:r w:rsidRPr="00380B40">
        <w:t>The World Telecommunication Standardization Assembly (Geneva, 2022),</w:t>
      </w:r>
    </w:p>
    <w:p w14:paraId="7A3CB37F" w14:textId="77777777" w:rsidR="00820507" w:rsidRPr="00380B40" w:rsidRDefault="00820507" w:rsidP="00820507">
      <w:pPr>
        <w:pStyle w:val="Call"/>
        <w:rPr>
          <w:lang w:val="en-GB"/>
        </w:rPr>
      </w:pPr>
      <w:r w:rsidRPr="00380B40">
        <w:rPr>
          <w:lang w:val="en-GB"/>
        </w:rPr>
        <w:t>recalling</w:t>
      </w:r>
    </w:p>
    <w:p w14:paraId="05BF13EA" w14:textId="77777777" w:rsidR="00820507" w:rsidRPr="00380B40" w:rsidRDefault="00820507" w:rsidP="00820507">
      <w:pPr>
        <w:rPr>
          <w:lang w:val="en-GB"/>
        </w:rPr>
      </w:pPr>
      <w:r w:rsidRPr="00380B40">
        <w:rPr>
          <w:i/>
          <w:iCs/>
          <w:lang w:val="en-GB"/>
        </w:rPr>
        <w:t>a)</w:t>
      </w:r>
      <w:r w:rsidRPr="00380B40">
        <w:rPr>
          <w:lang w:val="en-GB"/>
        </w:rPr>
        <w:tab/>
        <w:t>Resolution 71 (Rev. Dubai, 2018) of the Plenipotentiary Conference, on the strategic plan for the Union for 2020-2023;</w:t>
      </w:r>
    </w:p>
    <w:p w14:paraId="0E6BA664" w14:textId="77777777" w:rsidR="00820507" w:rsidRPr="00380B40" w:rsidRDefault="00820507" w:rsidP="00820507">
      <w:pPr>
        <w:rPr>
          <w:lang w:val="en-GB"/>
        </w:rPr>
      </w:pPr>
      <w:r w:rsidRPr="00380B40">
        <w:rPr>
          <w:i/>
          <w:iCs/>
          <w:lang w:val="en-GB"/>
        </w:rPr>
        <w:t>b)</w:t>
      </w:r>
      <w:r w:rsidRPr="00380B40">
        <w:rPr>
          <w:lang w:val="en-GB"/>
        </w:rPr>
        <w:tab/>
        <w:t>the spirit of Resolution 123 (Rev. Dubai, 2018) of the Plenipotentiary Conference, on bridging the standardization gap between developing and developed countries;</w:t>
      </w:r>
    </w:p>
    <w:p w14:paraId="52DB0E83" w14:textId="77777777" w:rsidR="00820507" w:rsidRPr="00380B40" w:rsidRDefault="00820507" w:rsidP="00820507">
      <w:pPr>
        <w:rPr>
          <w:lang w:val="en-GB"/>
        </w:rPr>
      </w:pPr>
      <w:r w:rsidRPr="00380B40">
        <w:rPr>
          <w:i/>
          <w:iCs/>
          <w:lang w:val="en-GB"/>
        </w:rPr>
        <w:t>c)</w:t>
      </w:r>
      <w:r w:rsidRPr="00380B40">
        <w:rPr>
          <w:lang w:val="en-GB"/>
        </w:rPr>
        <w:tab/>
        <w:t>the objectives of Resolutions 44 and 54 (Rev. Geneva, 2022) of this assembly,</w:t>
      </w:r>
    </w:p>
    <w:p w14:paraId="38C89CAB" w14:textId="77777777" w:rsidR="00820507" w:rsidRPr="00380B40" w:rsidRDefault="00820507" w:rsidP="00820507">
      <w:pPr>
        <w:pStyle w:val="Call"/>
        <w:rPr>
          <w:lang w:val="en-GB"/>
        </w:rPr>
      </w:pPr>
      <w:r w:rsidRPr="00380B40">
        <w:rPr>
          <w:lang w:val="en-GB"/>
        </w:rPr>
        <w:t>taking into account</w:t>
      </w:r>
    </w:p>
    <w:p w14:paraId="032F273D" w14:textId="77777777" w:rsidR="00820507" w:rsidRPr="00380B40" w:rsidRDefault="00820507" w:rsidP="00820507">
      <w:pPr>
        <w:rPr>
          <w:rFonts w:eastAsia="Malgun Gothic"/>
          <w:lang w:val="en-GB"/>
        </w:rPr>
      </w:pPr>
      <w:r w:rsidRPr="00380B40">
        <w:rPr>
          <w:rFonts w:eastAsia="Malgun Gothic"/>
          <w:lang w:val="en-GB"/>
        </w:rPr>
        <w:t>that Resolution 170 (Rev. Busan, 2014) of the Plenipotentiary Conference, on admission of Sector Members from developing countries to participate in the work of the ITU Radiocommunication Sector (ITU-R) and the ITU Telecommunication Standardization Sector (ITU-T), which sets the level of financial contribution for Sector Members from developing countries at one sixteenth of the value of a contributory unit for Sector Members for defraying Union expenses,</w:t>
      </w:r>
    </w:p>
    <w:p w14:paraId="4300FDD7" w14:textId="77777777" w:rsidR="00820507" w:rsidRPr="00380B40" w:rsidRDefault="00820507" w:rsidP="00820507">
      <w:pPr>
        <w:pStyle w:val="Call"/>
        <w:rPr>
          <w:lang w:val="en-GB"/>
        </w:rPr>
      </w:pPr>
      <w:r w:rsidRPr="00380B40">
        <w:rPr>
          <w:lang w:val="en-GB"/>
        </w:rPr>
        <w:t>recognizing</w:t>
      </w:r>
    </w:p>
    <w:p w14:paraId="1817012B" w14:textId="77777777" w:rsidR="00820507" w:rsidRPr="00380B40" w:rsidRDefault="00820507" w:rsidP="00820507">
      <w:pPr>
        <w:rPr>
          <w:lang w:val="en-GB"/>
        </w:rPr>
      </w:pPr>
      <w:r w:rsidRPr="00380B40">
        <w:rPr>
          <w:i/>
          <w:iCs/>
          <w:lang w:val="en-GB"/>
        </w:rPr>
        <w:t>a)</w:t>
      </w:r>
      <w:r w:rsidRPr="00380B40">
        <w:rPr>
          <w:lang w:val="en-GB"/>
        </w:rPr>
        <w:tab/>
        <w:t>that the participation by operators from developing countries in standardization activities is low;</w:t>
      </w:r>
    </w:p>
    <w:p w14:paraId="459493DB" w14:textId="77777777" w:rsidR="00820507" w:rsidRPr="00380B40" w:rsidRDefault="00820507" w:rsidP="00820507">
      <w:pPr>
        <w:rPr>
          <w:lang w:val="en-GB"/>
        </w:rPr>
      </w:pPr>
      <w:r w:rsidRPr="00380B40">
        <w:rPr>
          <w:i/>
          <w:iCs/>
          <w:lang w:val="en-GB"/>
        </w:rPr>
        <w:t>b)</w:t>
      </w:r>
      <w:r w:rsidRPr="00380B40">
        <w:rPr>
          <w:lang w:val="en-GB"/>
        </w:rPr>
        <w:tab/>
        <w:t>that the majority of these operators are subsidiaries of developed countries' telecommunication companies which are already Sector Members;</w:t>
      </w:r>
    </w:p>
    <w:p w14:paraId="6FF90C1A" w14:textId="77777777" w:rsidR="00820507" w:rsidRPr="00380B40" w:rsidRDefault="00820507" w:rsidP="00820507">
      <w:pPr>
        <w:rPr>
          <w:lang w:val="en-GB"/>
        </w:rPr>
      </w:pPr>
      <w:r w:rsidRPr="00380B40">
        <w:rPr>
          <w:i/>
          <w:iCs/>
          <w:lang w:val="en-GB"/>
        </w:rPr>
        <w:t>c)</w:t>
      </w:r>
      <w:r w:rsidRPr="00380B40">
        <w:rPr>
          <w:lang w:val="en-GB"/>
        </w:rPr>
        <w:tab/>
        <w:t>that the strategic objectives of Sector Members from developed countries participating in ITU-T activities do not necessarily include the participation of their subsidiary entities;</w:t>
      </w:r>
    </w:p>
    <w:p w14:paraId="40522F97" w14:textId="77777777" w:rsidR="007A3B76" w:rsidRPr="00380B40" w:rsidRDefault="007A3B76" w:rsidP="00820507">
      <w:pPr>
        <w:rPr>
          <w:i/>
          <w:iCs/>
          <w:lang w:val="en-GB"/>
        </w:rPr>
      </w:pPr>
      <w:r w:rsidRPr="00380B40">
        <w:rPr>
          <w:i/>
          <w:iCs/>
          <w:lang w:val="en-GB"/>
        </w:rPr>
        <w:br w:type="page"/>
      </w:r>
    </w:p>
    <w:p w14:paraId="2BF88E4C" w14:textId="77777777" w:rsidR="00820507" w:rsidRPr="00380B40" w:rsidRDefault="00820507" w:rsidP="00820507">
      <w:pPr>
        <w:rPr>
          <w:lang w:val="en-GB"/>
        </w:rPr>
      </w:pPr>
      <w:r w:rsidRPr="00380B40">
        <w:rPr>
          <w:i/>
          <w:iCs/>
          <w:lang w:val="en-GB"/>
        </w:rPr>
        <w:t>d)</w:t>
      </w:r>
      <w:r w:rsidRPr="00380B40">
        <w:rPr>
          <w:lang w:val="en-GB"/>
        </w:rPr>
        <w:tab/>
        <w:t>that those developing country telecommunication operators are placing particular emphasis on information and communication technology operation and infrastructure deployment, instead of active participation in standardization activities;</w:t>
      </w:r>
    </w:p>
    <w:p w14:paraId="7977B64C" w14:textId="77777777" w:rsidR="00820507" w:rsidRPr="00380B40" w:rsidRDefault="00820507" w:rsidP="00820507">
      <w:pPr>
        <w:rPr>
          <w:lang w:val="en-GB"/>
        </w:rPr>
      </w:pPr>
      <w:r w:rsidRPr="00380B40">
        <w:rPr>
          <w:i/>
          <w:iCs/>
          <w:lang w:val="en-GB"/>
        </w:rPr>
        <w:t>e)</w:t>
      </w:r>
      <w:r w:rsidRPr="00380B40">
        <w:rPr>
          <w:lang w:val="en-GB"/>
        </w:rPr>
        <w:tab/>
        <w:t>that Article 1 of the ITU Constitution establishes that the Union will facilitate the worldwide telecommunication standardization process with a satisfactory quality of service, and will promote and enhance participation of entities and organizations in the activities of the Union and foster fruitful cooperation and partnership between them and Member States for the fulfilment of the overall objectives as embodied in the purposes of the Union,</w:t>
      </w:r>
    </w:p>
    <w:p w14:paraId="009986C3" w14:textId="77777777" w:rsidR="00820507" w:rsidRPr="00380B40" w:rsidRDefault="00820507" w:rsidP="00820507">
      <w:pPr>
        <w:pStyle w:val="Call"/>
        <w:rPr>
          <w:lang w:val="en-GB"/>
        </w:rPr>
      </w:pPr>
      <w:r w:rsidRPr="00380B40">
        <w:rPr>
          <w:lang w:val="en-GB"/>
        </w:rPr>
        <w:t>considering</w:t>
      </w:r>
    </w:p>
    <w:p w14:paraId="1CD391C7" w14:textId="77777777" w:rsidR="00820507" w:rsidRPr="00380B40" w:rsidRDefault="00820507" w:rsidP="00820507">
      <w:pPr>
        <w:rPr>
          <w:lang w:val="en-GB"/>
        </w:rPr>
      </w:pPr>
      <w:r w:rsidRPr="00380B40">
        <w:rPr>
          <w:i/>
          <w:iCs/>
          <w:lang w:val="en-GB"/>
        </w:rPr>
        <w:t>a)</w:t>
      </w:r>
      <w:r w:rsidRPr="00380B40">
        <w:rPr>
          <w:lang w:val="en-GB"/>
        </w:rPr>
        <w:tab/>
        <w:t>that relevant entities or organizations from developing countries are interested in ITU-T standardization work, and would be willing to join if more favourable financial conditions existed for their participation in the work of ITU</w:t>
      </w:r>
      <w:r w:rsidRPr="00380B40">
        <w:rPr>
          <w:lang w:val="en-GB"/>
        </w:rPr>
        <w:noBreakHyphen/>
        <w:t>T;</w:t>
      </w:r>
    </w:p>
    <w:p w14:paraId="7B8C35D7" w14:textId="77777777" w:rsidR="00820507" w:rsidRPr="00380B40" w:rsidRDefault="00820507" w:rsidP="00820507">
      <w:pPr>
        <w:rPr>
          <w:lang w:val="en-GB"/>
        </w:rPr>
      </w:pPr>
      <w:r w:rsidRPr="00380B40">
        <w:rPr>
          <w:i/>
          <w:iCs/>
          <w:lang w:val="en-GB"/>
        </w:rPr>
        <w:t>b)</w:t>
      </w:r>
      <w:r w:rsidRPr="00380B40">
        <w:rPr>
          <w:lang w:val="en-GB"/>
        </w:rPr>
        <w:tab/>
        <w:t>that the aforementioned entities or organizations could have a relevant role in research and development of new technologies, and that the participation of entities from developing countries in the work of ITU</w:t>
      </w:r>
      <w:r w:rsidRPr="00380B40">
        <w:rPr>
          <w:lang w:val="en-GB"/>
        </w:rPr>
        <w:noBreakHyphen/>
        <w:t>T helps to bridge the standardization gap;</w:t>
      </w:r>
    </w:p>
    <w:p w14:paraId="4CFA6770" w14:textId="77777777" w:rsidR="00820507" w:rsidRPr="00380B40" w:rsidRDefault="00820507" w:rsidP="00820507">
      <w:pPr>
        <w:rPr>
          <w:lang w:val="en-GB"/>
        </w:rPr>
      </w:pPr>
      <w:r w:rsidRPr="00380B40">
        <w:rPr>
          <w:i/>
          <w:iCs/>
          <w:lang w:val="en-GB"/>
        </w:rPr>
        <w:t>c)</w:t>
      </w:r>
      <w:r w:rsidRPr="00380B40">
        <w:rPr>
          <w:lang w:val="en-GB"/>
        </w:rPr>
        <w:tab/>
        <w:t>that this participation by Sector Members would contribute to enhancing capacity building in the developing countries, increase their competitiveness, and support innovation in the markets of developing countries,</w:t>
      </w:r>
    </w:p>
    <w:p w14:paraId="3D5F0C54" w14:textId="77777777" w:rsidR="00820507" w:rsidRPr="00380B40" w:rsidRDefault="00820507" w:rsidP="00820507">
      <w:pPr>
        <w:pStyle w:val="Call"/>
        <w:rPr>
          <w:lang w:val="en-GB"/>
        </w:rPr>
      </w:pPr>
      <w:r w:rsidRPr="00380B40">
        <w:rPr>
          <w:lang w:val="en-GB"/>
        </w:rPr>
        <w:t>resolves</w:t>
      </w:r>
    </w:p>
    <w:p w14:paraId="0268C7CA" w14:textId="77777777" w:rsidR="00820507" w:rsidRPr="00380B40" w:rsidRDefault="00820507" w:rsidP="00820507">
      <w:pPr>
        <w:rPr>
          <w:lang w:val="en-GB"/>
        </w:rPr>
      </w:pPr>
      <w:r w:rsidRPr="00380B40">
        <w:rPr>
          <w:lang w:val="en-GB"/>
        </w:rPr>
        <w:t>1</w:t>
      </w:r>
      <w:r w:rsidRPr="00380B40">
        <w:rPr>
          <w:lang w:val="en-GB"/>
        </w:rPr>
        <w:tab/>
        <w:t>to encourage the adoption of the necessary measures and mechanisms to enable new Sector Members from developing countries to join ITU</w:t>
      </w:r>
      <w:r w:rsidRPr="00380B40">
        <w:rPr>
          <w:lang w:val="en-GB"/>
        </w:rPr>
        <w:noBreakHyphen/>
        <w:t>T and to be entitled to take part in the work of the ITU</w:t>
      </w:r>
      <w:r w:rsidRPr="00380B40">
        <w:rPr>
          <w:lang w:val="en-GB"/>
        </w:rPr>
        <w:noBreakHyphen/>
        <w:t>T study groups and other groups within ITU</w:t>
      </w:r>
      <w:r w:rsidRPr="00380B40">
        <w:rPr>
          <w:lang w:val="en-GB"/>
        </w:rPr>
        <w:noBreakHyphen/>
        <w:t>T;</w:t>
      </w:r>
    </w:p>
    <w:p w14:paraId="08C5389F" w14:textId="77777777" w:rsidR="00820507" w:rsidRPr="00380B40" w:rsidRDefault="00820507" w:rsidP="00820507">
      <w:pPr>
        <w:rPr>
          <w:lang w:val="en-GB"/>
        </w:rPr>
      </w:pPr>
      <w:r w:rsidRPr="00380B40">
        <w:rPr>
          <w:lang w:val="en-GB"/>
        </w:rPr>
        <w:t>2</w:t>
      </w:r>
      <w:r w:rsidRPr="00380B40">
        <w:rPr>
          <w:lang w:val="en-GB"/>
        </w:rPr>
        <w:tab/>
        <w:t>to encourage Sector Members from the developed countries to promote the participation in ITU</w:t>
      </w:r>
      <w:r w:rsidRPr="00380B40">
        <w:rPr>
          <w:lang w:val="en-GB"/>
        </w:rPr>
        <w:noBreakHyphen/>
        <w:t>T activities</w:t>
      </w:r>
      <w:r w:rsidRPr="00380B40" w:rsidDel="00FD29F9">
        <w:rPr>
          <w:lang w:val="en-GB"/>
        </w:rPr>
        <w:t xml:space="preserve"> </w:t>
      </w:r>
      <w:r w:rsidRPr="00380B40">
        <w:rPr>
          <w:lang w:val="en-GB"/>
        </w:rPr>
        <w:t>of their subsidiaries established in developing countries,</w:t>
      </w:r>
    </w:p>
    <w:p w14:paraId="1119F400" w14:textId="77777777" w:rsidR="00820507" w:rsidRPr="00380B40" w:rsidRDefault="00820507" w:rsidP="00820507">
      <w:pPr>
        <w:pStyle w:val="Call"/>
        <w:rPr>
          <w:lang w:val="en-GB"/>
        </w:rPr>
      </w:pPr>
      <w:r w:rsidRPr="00380B40">
        <w:rPr>
          <w:lang w:val="en-GB"/>
        </w:rPr>
        <w:t>invites Member States</w:t>
      </w:r>
    </w:p>
    <w:p w14:paraId="2BB24C01" w14:textId="77777777" w:rsidR="00820507" w:rsidRPr="00380B40" w:rsidRDefault="00820507" w:rsidP="00820507">
      <w:pPr>
        <w:rPr>
          <w:lang w:val="en-GB"/>
        </w:rPr>
      </w:pPr>
      <w:r w:rsidRPr="00380B40">
        <w:rPr>
          <w:lang w:val="en-GB"/>
        </w:rPr>
        <w:t>to encourage their Sector Members to participate in ITU</w:t>
      </w:r>
      <w:r w:rsidRPr="00380B40">
        <w:rPr>
          <w:lang w:val="en-GB"/>
        </w:rPr>
        <w:noBreakHyphen/>
        <w:t>T activities.</w:t>
      </w:r>
    </w:p>
    <w:p w14:paraId="721A8CCD" w14:textId="77777777" w:rsidR="00820507" w:rsidRPr="00380B40" w:rsidRDefault="00820507" w:rsidP="00820507">
      <w:pPr>
        <w:rPr>
          <w:lang w:val="en-GB"/>
        </w:rPr>
      </w:pPr>
    </w:p>
    <w:p w14:paraId="7F989323" w14:textId="77777777" w:rsidR="001718FC" w:rsidRPr="00380B40" w:rsidRDefault="001718FC" w:rsidP="00820507">
      <w:pPr>
        <w:rPr>
          <w:lang w:val="en-GB"/>
        </w:rPr>
      </w:pPr>
    </w:p>
    <w:p w14:paraId="1B519549" w14:textId="77777777" w:rsidR="001718FC" w:rsidRPr="00380B40" w:rsidRDefault="001718FC" w:rsidP="00820507">
      <w:pPr>
        <w:rPr>
          <w:lang w:val="en-GB"/>
        </w:rPr>
      </w:pPr>
    </w:p>
    <w:p w14:paraId="23D8D6D5" w14:textId="77777777" w:rsidR="001718FC" w:rsidRPr="00380B40" w:rsidRDefault="001718FC" w:rsidP="00820507">
      <w:pPr>
        <w:rPr>
          <w:lang w:val="en-GB"/>
        </w:rPr>
      </w:pPr>
    </w:p>
    <w:p w14:paraId="50B65D87" w14:textId="77777777" w:rsidR="001718FC" w:rsidRPr="00380B40" w:rsidRDefault="001718FC" w:rsidP="00820507">
      <w:pPr>
        <w:rPr>
          <w:lang w:val="en-GB"/>
        </w:rPr>
      </w:pPr>
    </w:p>
    <w:p w14:paraId="7F2EEE10" w14:textId="77777777" w:rsidR="00820507" w:rsidRPr="00380B40" w:rsidRDefault="00820507" w:rsidP="00820507">
      <w:pPr>
        <w:rPr>
          <w:lang w:val="en-GB"/>
        </w:rPr>
      </w:pPr>
    </w:p>
    <w:p w14:paraId="466FDCD7" w14:textId="77777777" w:rsidR="00B97E2C" w:rsidRPr="00380B40" w:rsidRDefault="00B97E2C" w:rsidP="00B97E2C">
      <w:pPr>
        <w:rPr>
          <w:lang w:val="en-GB"/>
        </w:rPr>
      </w:pPr>
    </w:p>
    <w:p w14:paraId="4C77F5DA" w14:textId="77777777" w:rsidR="00B97E2C" w:rsidRPr="00380B40" w:rsidRDefault="00B97E2C" w:rsidP="00B97E2C">
      <w:pPr>
        <w:rPr>
          <w:lang w:val="en-GB"/>
        </w:rPr>
        <w:sectPr w:rsidR="00B97E2C" w:rsidRPr="00380B40" w:rsidSect="00B47F75">
          <w:footerReference w:type="even" r:id="rId219"/>
          <w:footerReference w:type="default" r:id="rId220"/>
          <w:headerReference w:type="first" r:id="rId221"/>
          <w:footerReference w:type="first" r:id="rId222"/>
          <w:footnotePr>
            <w:numRestart w:val="eachSect"/>
          </w:footnotePr>
          <w:pgSz w:w="11907" w:h="16834" w:code="9"/>
          <w:pgMar w:top="1134" w:right="1134" w:bottom="1134" w:left="1134" w:header="567" w:footer="567" w:gutter="0"/>
          <w:paperSrc w:first="15" w:other="15"/>
          <w:cols w:space="720"/>
          <w:vAlign w:val="both"/>
          <w:docGrid w:linePitch="299"/>
        </w:sectPr>
      </w:pPr>
    </w:p>
    <w:p w14:paraId="311F8C8E" w14:textId="77777777" w:rsidR="00D52154" w:rsidRPr="00380B40" w:rsidRDefault="00D52154" w:rsidP="00820507">
      <w:pPr>
        <w:pStyle w:val="ResNo"/>
        <w:rPr>
          <w:lang w:val="en-GB"/>
        </w:rPr>
      </w:pPr>
      <w:bookmarkStart w:id="329" w:name="_Toc104459761"/>
      <w:bookmarkStart w:id="330" w:name="_Toc104476569"/>
      <w:bookmarkStart w:id="331" w:name="_Toc111636794"/>
      <w:bookmarkStart w:id="332" w:name="_Toc111638462"/>
      <w:r w:rsidRPr="00380B40">
        <w:rPr>
          <w:lang w:val="en-GB"/>
        </w:rPr>
        <w:t xml:space="preserve">RESOLUTION </w:t>
      </w:r>
      <w:r w:rsidRPr="00380B40">
        <w:rPr>
          <w:rStyle w:val="href"/>
          <w:lang w:val="en-GB"/>
        </w:rPr>
        <w:t>75</w:t>
      </w:r>
      <w:r w:rsidRPr="00380B40">
        <w:rPr>
          <w:lang w:val="en-GB"/>
        </w:rPr>
        <w:t xml:space="preserve"> </w:t>
      </w:r>
      <w:r w:rsidR="00820507" w:rsidRPr="00380B40">
        <w:rPr>
          <w:lang w:val="en-GB"/>
        </w:rPr>
        <w:t>(R</w:t>
      </w:r>
      <w:r w:rsidR="001718FC" w:rsidRPr="00380B40">
        <w:rPr>
          <w:caps w:val="0"/>
          <w:lang w:val="en-GB"/>
        </w:rPr>
        <w:t>ev</w:t>
      </w:r>
      <w:r w:rsidR="00820507" w:rsidRPr="00380B40">
        <w:rPr>
          <w:lang w:val="en-GB"/>
        </w:rPr>
        <w:t>. G</w:t>
      </w:r>
      <w:r w:rsidR="001718FC" w:rsidRPr="00380B40">
        <w:rPr>
          <w:caps w:val="0"/>
          <w:lang w:val="en-GB"/>
        </w:rPr>
        <w:t>eneva</w:t>
      </w:r>
      <w:r w:rsidR="00820507" w:rsidRPr="00380B40">
        <w:rPr>
          <w:lang w:val="en-GB"/>
        </w:rPr>
        <w:t>, 2022)</w:t>
      </w:r>
      <w:bookmarkEnd w:id="329"/>
      <w:bookmarkEnd w:id="330"/>
      <w:bookmarkEnd w:id="331"/>
      <w:bookmarkEnd w:id="332"/>
    </w:p>
    <w:p w14:paraId="225FEDB1" w14:textId="77777777" w:rsidR="00820507" w:rsidRPr="00380B40" w:rsidRDefault="00820507" w:rsidP="00820507">
      <w:pPr>
        <w:pStyle w:val="Restitle"/>
        <w:rPr>
          <w:lang w:val="en-GB"/>
        </w:rPr>
      </w:pPr>
      <w:bookmarkStart w:id="333" w:name="_Toc104459762"/>
      <w:bookmarkStart w:id="334" w:name="_Toc104476570"/>
      <w:bookmarkStart w:id="335" w:name="_Toc111638463"/>
      <w:r w:rsidRPr="00380B40">
        <w:rPr>
          <w:lang w:val="en-GB"/>
        </w:rPr>
        <w:t>The ITU Telecommunication Standardization Sector's contribution in implementing the outcomes of the World Summit on the Information Society, taking into account the 2030 Agenda for Sustainable Development</w:t>
      </w:r>
      <w:bookmarkEnd w:id="333"/>
      <w:bookmarkEnd w:id="334"/>
      <w:bookmarkEnd w:id="335"/>
    </w:p>
    <w:p w14:paraId="552E6B6D" w14:textId="77777777" w:rsidR="00820507" w:rsidRPr="00380B40" w:rsidRDefault="00820507" w:rsidP="00820507">
      <w:pPr>
        <w:pStyle w:val="Resref"/>
        <w:rPr>
          <w:lang w:val="en-GB"/>
        </w:rPr>
      </w:pPr>
      <w:r w:rsidRPr="00380B40">
        <w:rPr>
          <w:lang w:val="en-GB"/>
        </w:rPr>
        <w:t>(Johannesburg, 2008; Dubai, 2012; Hammamet, 2016; Geneva, 2022)</w:t>
      </w:r>
    </w:p>
    <w:p w14:paraId="70DC236A" w14:textId="77777777" w:rsidR="00820507" w:rsidRPr="00380B40" w:rsidRDefault="00820507" w:rsidP="00820507">
      <w:pPr>
        <w:pStyle w:val="Normalaftertitle0"/>
      </w:pPr>
      <w:r w:rsidRPr="00380B40">
        <w:t>The World Telecommunication Standardization Assembly (Geneva, 2022),</w:t>
      </w:r>
    </w:p>
    <w:p w14:paraId="48478C26" w14:textId="77777777" w:rsidR="00820507" w:rsidRPr="00380B40" w:rsidRDefault="00820507" w:rsidP="00820507">
      <w:pPr>
        <w:pStyle w:val="Call"/>
        <w:rPr>
          <w:lang w:val="en-GB"/>
        </w:rPr>
      </w:pPr>
      <w:r w:rsidRPr="00380B40">
        <w:rPr>
          <w:lang w:val="en-GB"/>
        </w:rPr>
        <w:t>considering</w:t>
      </w:r>
    </w:p>
    <w:p w14:paraId="7BD86458" w14:textId="77777777" w:rsidR="00820507" w:rsidRPr="00380B40" w:rsidRDefault="00820507" w:rsidP="00820507">
      <w:pPr>
        <w:rPr>
          <w:lang w:val="en-GB"/>
        </w:rPr>
      </w:pPr>
      <w:r w:rsidRPr="00380B40">
        <w:rPr>
          <w:i/>
          <w:iCs/>
          <w:lang w:val="en-GB"/>
        </w:rPr>
        <w:t>a)</w:t>
      </w:r>
      <w:r w:rsidRPr="00380B40">
        <w:rPr>
          <w:lang w:val="en-GB"/>
        </w:rPr>
        <w:tab/>
        <w:t>the relevant outcomes of both phases of the World Summit on the Information Society (WSIS);</w:t>
      </w:r>
    </w:p>
    <w:p w14:paraId="378E7C4E" w14:textId="77777777" w:rsidR="00820507" w:rsidRPr="00380B40" w:rsidRDefault="00820507" w:rsidP="00820507">
      <w:pPr>
        <w:rPr>
          <w:lang w:val="en-GB"/>
        </w:rPr>
      </w:pPr>
      <w:r w:rsidRPr="00380B40">
        <w:rPr>
          <w:i/>
          <w:iCs/>
          <w:lang w:val="en-GB"/>
        </w:rPr>
        <w:t>b)</w:t>
      </w:r>
      <w:r w:rsidRPr="00380B40">
        <w:rPr>
          <w:lang w:val="en-GB"/>
        </w:rPr>
        <w:tab/>
        <w:t xml:space="preserve">United Nations General Assembly (UNGA) Resolution 70/1, on transforming our world: the 2030 Agenda for Sustainable Development; </w:t>
      </w:r>
    </w:p>
    <w:p w14:paraId="70438B62" w14:textId="77777777" w:rsidR="00820507" w:rsidRPr="00380B40" w:rsidRDefault="00820507" w:rsidP="00820507">
      <w:pPr>
        <w:rPr>
          <w:lang w:val="en-GB"/>
        </w:rPr>
      </w:pPr>
      <w:r w:rsidRPr="00380B40">
        <w:rPr>
          <w:i/>
          <w:iCs/>
          <w:lang w:val="en-GB"/>
        </w:rPr>
        <w:t>c)</w:t>
      </w:r>
      <w:r w:rsidRPr="00380B40">
        <w:rPr>
          <w:lang w:val="en-GB"/>
        </w:rPr>
        <w:tab/>
        <w:t>UNGA Resolution 70/125, on the outcome document of the high-level meeting of the General Assembly on the overall review of the implementation of WSIS outcomes;</w:t>
      </w:r>
    </w:p>
    <w:p w14:paraId="6A4720A4" w14:textId="77777777" w:rsidR="00820507" w:rsidRPr="00380B40" w:rsidRDefault="00820507" w:rsidP="00820507">
      <w:pPr>
        <w:rPr>
          <w:lang w:val="en-GB"/>
        </w:rPr>
      </w:pPr>
      <w:r w:rsidRPr="00380B40">
        <w:rPr>
          <w:i/>
          <w:iCs/>
          <w:lang w:val="en-GB"/>
        </w:rPr>
        <w:t>d)</w:t>
      </w:r>
      <w:r w:rsidRPr="00380B40">
        <w:rPr>
          <w:lang w:val="en-GB"/>
        </w:rPr>
        <w:tab/>
        <w:t>the WSIS+10 Statement on the implementation of WSIS outcomes and WSIS+10 vision for WSIS beyond 2015, adopted at the ITU</w:t>
      </w:r>
      <w:r w:rsidRPr="00380B40">
        <w:rPr>
          <w:lang w:val="en-GB"/>
        </w:rPr>
        <w:noBreakHyphen/>
        <w:t>coordinated WSIS+10 High-Level Event (Geneva, 2014) and endorsed by the Plenipotentiary Conference (Busan, 2014), which was submitted as an input into the overall review of WSIS by UNGA;</w:t>
      </w:r>
    </w:p>
    <w:p w14:paraId="45BC1F1A" w14:textId="77777777" w:rsidR="00820507" w:rsidRPr="00380B40" w:rsidRDefault="00820507" w:rsidP="00820507">
      <w:pPr>
        <w:rPr>
          <w:lang w:val="en-GB"/>
        </w:rPr>
      </w:pPr>
      <w:r w:rsidRPr="00380B40">
        <w:rPr>
          <w:i/>
          <w:iCs/>
          <w:lang w:val="en-GB"/>
        </w:rPr>
        <w:t>e)</w:t>
      </w:r>
      <w:r w:rsidRPr="00380B40">
        <w:rPr>
          <w:lang w:val="en-GB"/>
        </w:rPr>
        <w:tab/>
        <w:t>the relevant resolutions and decisions related to the implementation of relevant outcomes of both phases of WSIS and to international Internet-related public policy issues adopted by the Plenipotentiary Conference:</w:t>
      </w:r>
    </w:p>
    <w:p w14:paraId="5D01F505" w14:textId="77777777" w:rsidR="00820507" w:rsidRPr="00380B40" w:rsidRDefault="00820507" w:rsidP="00820507">
      <w:pPr>
        <w:pStyle w:val="enumlev1"/>
        <w:rPr>
          <w:lang w:val="en-GB"/>
        </w:rPr>
      </w:pPr>
      <w:r w:rsidRPr="00380B40">
        <w:rPr>
          <w:lang w:val="en-GB"/>
        </w:rPr>
        <w:t>i)</w:t>
      </w:r>
      <w:r w:rsidRPr="00380B40">
        <w:rPr>
          <w:lang w:val="en-GB"/>
        </w:rPr>
        <w:tab/>
        <w:t>Resolution 71 (Rev. </w:t>
      </w:r>
      <w:bookmarkStart w:id="336" w:name="_Hlk98285031"/>
      <w:r w:rsidRPr="00380B40">
        <w:rPr>
          <w:lang w:val="en-GB"/>
        </w:rPr>
        <w:t>Dubai, 2018</w:t>
      </w:r>
      <w:bookmarkEnd w:id="336"/>
      <w:r w:rsidRPr="00380B40">
        <w:rPr>
          <w:lang w:val="en-GB"/>
        </w:rPr>
        <w:t>) of the Plenipotentiary Conference, on the strategic plan for the Union for 2020-2023;</w:t>
      </w:r>
    </w:p>
    <w:p w14:paraId="2F21B315" w14:textId="77777777" w:rsidR="00820507" w:rsidRPr="00380B40" w:rsidRDefault="00820507" w:rsidP="00820507">
      <w:pPr>
        <w:pStyle w:val="enumlev1"/>
        <w:rPr>
          <w:lang w:val="en-GB"/>
        </w:rPr>
      </w:pPr>
      <w:r w:rsidRPr="00380B40">
        <w:rPr>
          <w:lang w:val="en-GB"/>
        </w:rPr>
        <w:t>ii)</w:t>
      </w:r>
      <w:r w:rsidRPr="00380B40">
        <w:rPr>
          <w:lang w:val="en-GB"/>
        </w:rPr>
        <w:tab/>
        <w:t>Resolution 101 (Rev. Dubai, 2018) of the Plenipotentiary Conference, on Internet Protocol (IP)-based networks;</w:t>
      </w:r>
    </w:p>
    <w:p w14:paraId="3AE0068B" w14:textId="77777777" w:rsidR="00820507" w:rsidRPr="00380B40" w:rsidRDefault="00820507" w:rsidP="00820507">
      <w:pPr>
        <w:pStyle w:val="enumlev1"/>
        <w:rPr>
          <w:lang w:val="en-GB"/>
        </w:rPr>
      </w:pPr>
      <w:r w:rsidRPr="00380B40">
        <w:rPr>
          <w:lang w:val="en-GB"/>
        </w:rPr>
        <w:t>iii)</w:t>
      </w:r>
      <w:r w:rsidRPr="00380B40">
        <w:rPr>
          <w:lang w:val="en-GB"/>
        </w:rPr>
        <w:tab/>
        <w:t>Resolution 102 (Rev. Dubai, 2018) of the Plenipotentiary Conference, on ITU's role with regard to international public policy issues pertaining to the Internet and the management of Internet resources, including domain names and addresses;</w:t>
      </w:r>
    </w:p>
    <w:p w14:paraId="3F67DB23" w14:textId="77777777" w:rsidR="00820507" w:rsidRPr="00380B40" w:rsidRDefault="00820507" w:rsidP="00820507">
      <w:pPr>
        <w:pStyle w:val="enumlev1"/>
        <w:rPr>
          <w:lang w:val="en-GB"/>
        </w:rPr>
      </w:pPr>
      <w:r w:rsidRPr="00380B40">
        <w:rPr>
          <w:lang w:val="en-GB"/>
        </w:rPr>
        <w:t>iv)</w:t>
      </w:r>
      <w:r w:rsidRPr="00380B40">
        <w:rPr>
          <w:lang w:val="en-GB"/>
        </w:rPr>
        <w:tab/>
        <w:t>Resolution 130 (Rev. Dubai, 2018) of the Plenipotentiary Conference, on strengthening the role of ITU in building confidence and security in the use of information and communication technologies (ICTs);</w:t>
      </w:r>
    </w:p>
    <w:p w14:paraId="0E4EA2FD" w14:textId="77777777" w:rsidR="007A3B76" w:rsidRPr="00380B40" w:rsidRDefault="007A3B76" w:rsidP="00820507">
      <w:pPr>
        <w:pStyle w:val="enumlev1"/>
        <w:rPr>
          <w:lang w:val="en-GB"/>
        </w:rPr>
      </w:pPr>
      <w:r w:rsidRPr="00380B40">
        <w:rPr>
          <w:lang w:val="en-GB"/>
        </w:rPr>
        <w:br w:type="page"/>
      </w:r>
    </w:p>
    <w:p w14:paraId="79CF6C25" w14:textId="77777777" w:rsidR="00820507" w:rsidRPr="00380B40" w:rsidRDefault="00820507" w:rsidP="00820507">
      <w:pPr>
        <w:pStyle w:val="enumlev1"/>
        <w:rPr>
          <w:lang w:val="en-GB"/>
        </w:rPr>
      </w:pPr>
      <w:r w:rsidRPr="00380B40">
        <w:rPr>
          <w:lang w:val="en-GB"/>
        </w:rPr>
        <w:t>v)</w:t>
      </w:r>
      <w:r w:rsidRPr="00380B40">
        <w:rPr>
          <w:lang w:val="en-GB"/>
        </w:rPr>
        <w:tab/>
        <w:t>Resolution 131 (Rev. Dubai, 2018) of the Plenipotentiary Conference, on measuring ICTs to build an integrating and inclusive information society;</w:t>
      </w:r>
    </w:p>
    <w:p w14:paraId="2574B60A" w14:textId="77777777" w:rsidR="00820507" w:rsidRPr="00380B40" w:rsidRDefault="00820507" w:rsidP="00820507">
      <w:pPr>
        <w:pStyle w:val="enumlev1"/>
        <w:rPr>
          <w:lang w:val="en-GB"/>
        </w:rPr>
      </w:pPr>
      <w:r w:rsidRPr="00380B40">
        <w:rPr>
          <w:lang w:val="en-GB"/>
        </w:rPr>
        <w:t>vi)</w:t>
      </w:r>
      <w:r w:rsidRPr="00380B40">
        <w:rPr>
          <w:lang w:val="en-GB"/>
        </w:rPr>
        <w:tab/>
        <w:t>Resolution 133 (Rev. Dubai, 2018) of the Plenipotentiary Conference, on the role of administrations of Member States in the management of internationalized (multilingual) domain names;</w:t>
      </w:r>
    </w:p>
    <w:p w14:paraId="09785502" w14:textId="77777777" w:rsidR="00820507" w:rsidRPr="00380B40" w:rsidRDefault="00820507" w:rsidP="00820507">
      <w:pPr>
        <w:pStyle w:val="enumlev1"/>
        <w:rPr>
          <w:lang w:val="en-GB"/>
        </w:rPr>
      </w:pPr>
      <w:r w:rsidRPr="00380B40">
        <w:rPr>
          <w:lang w:val="en-GB"/>
        </w:rPr>
        <w:t>vii)</w:t>
      </w:r>
      <w:r w:rsidRPr="00380B40">
        <w:rPr>
          <w:lang w:val="en-GB"/>
        </w:rPr>
        <w:tab/>
        <w:t>Resolution 139 (Rev. Dubai, 2018) of the Plenipotentiary Conference, on the use of telecommunications/ICTs to bridge the digital divide and build an inclusive information society;</w:t>
      </w:r>
    </w:p>
    <w:p w14:paraId="6861EA1E" w14:textId="77777777" w:rsidR="00820507" w:rsidRPr="00380B40" w:rsidRDefault="00820507" w:rsidP="00820507">
      <w:pPr>
        <w:pStyle w:val="enumlev1"/>
        <w:rPr>
          <w:lang w:val="en-GB"/>
        </w:rPr>
      </w:pPr>
      <w:r w:rsidRPr="00380B40">
        <w:rPr>
          <w:lang w:val="en-GB"/>
        </w:rPr>
        <w:t>viii)</w:t>
      </w:r>
      <w:r w:rsidRPr="00380B40">
        <w:rPr>
          <w:lang w:val="en-GB"/>
        </w:rPr>
        <w:tab/>
        <w:t>Resolution 140 (Rev. Dubai, 2018) of the Plenipotentiary Conference, on ITU's role in implementing the outcomes of WSIS and in the overall review by UNGA of their implementation;</w:t>
      </w:r>
    </w:p>
    <w:p w14:paraId="0F5F6A2D" w14:textId="77777777" w:rsidR="00820507" w:rsidRPr="00380B40" w:rsidRDefault="00820507" w:rsidP="00820507">
      <w:pPr>
        <w:pStyle w:val="enumlev1"/>
        <w:rPr>
          <w:lang w:val="en-GB"/>
        </w:rPr>
      </w:pPr>
      <w:r w:rsidRPr="00380B40">
        <w:rPr>
          <w:lang w:val="en-GB"/>
        </w:rPr>
        <w:t>ix)</w:t>
      </w:r>
      <w:r w:rsidRPr="00380B40">
        <w:rPr>
          <w:lang w:val="en-GB"/>
        </w:rPr>
        <w:tab/>
        <w:t>Resolution 178 (Guadalajara, 2010) of the Plenipotentiary Conference, on ITU's role in organizing the work on technical aspects of telecommunication networks to support the Internet;</w:t>
      </w:r>
    </w:p>
    <w:p w14:paraId="5A78FBB1" w14:textId="77777777" w:rsidR="00820507" w:rsidRPr="00380B40" w:rsidRDefault="00820507" w:rsidP="00820507">
      <w:pPr>
        <w:pStyle w:val="enumlev1"/>
        <w:rPr>
          <w:lang w:val="en-GB"/>
        </w:rPr>
      </w:pPr>
      <w:r w:rsidRPr="00380B40">
        <w:rPr>
          <w:lang w:val="en-GB"/>
        </w:rPr>
        <w:t>x)</w:t>
      </w:r>
      <w:r w:rsidRPr="00380B40">
        <w:rPr>
          <w:lang w:val="en-GB"/>
        </w:rPr>
        <w:tab/>
        <w:t>Resolution 200 (Rev. Dubai, 2018) of the Plenipotentiary Conference, on the Connect 2030 Agenda for global telecommunications/ICT, including broadband, for sustainable development;</w:t>
      </w:r>
    </w:p>
    <w:p w14:paraId="6E5C89BE" w14:textId="77777777" w:rsidR="00820507" w:rsidRPr="00380B40" w:rsidRDefault="00820507" w:rsidP="00362599">
      <w:pPr>
        <w:rPr>
          <w:lang w:val="en-GB"/>
        </w:rPr>
      </w:pPr>
      <w:r w:rsidRPr="00380B40">
        <w:rPr>
          <w:i/>
          <w:iCs/>
          <w:lang w:val="en-GB"/>
        </w:rPr>
        <w:t>f)</w:t>
      </w:r>
      <w:r w:rsidRPr="00380B40">
        <w:rPr>
          <w:i/>
          <w:iCs/>
          <w:lang w:val="en-GB"/>
        </w:rPr>
        <w:tab/>
      </w:r>
      <w:r w:rsidRPr="00380B40">
        <w:rPr>
          <w:lang w:val="en-GB"/>
        </w:rPr>
        <w:t>the opinions of the World Telecommunication/ICT Policy Forum;</w:t>
      </w:r>
    </w:p>
    <w:p w14:paraId="6F1D330F" w14:textId="77777777" w:rsidR="00820507" w:rsidRPr="00380B40" w:rsidRDefault="00820507" w:rsidP="00820507">
      <w:pPr>
        <w:rPr>
          <w:lang w:val="en-GB"/>
        </w:rPr>
      </w:pPr>
      <w:r w:rsidRPr="00380B40">
        <w:rPr>
          <w:i/>
          <w:iCs/>
          <w:lang w:val="en-GB"/>
        </w:rPr>
        <w:t>g)</w:t>
      </w:r>
      <w:r w:rsidRPr="00380B40">
        <w:rPr>
          <w:lang w:val="en-GB"/>
        </w:rPr>
        <w:tab/>
        <w:t>the role of the ITU Telecommunication Standardization Sector (ITU</w:t>
      </w:r>
      <w:r w:rsidRPr="00380B40">
        <w:rPr>
          <w:lang w:val="en-GB"/>
        </w:rPr>
        <w:noBreakHyphen/>
        <w:t>T) in ITU implementation of relevant WSIS outcomes, adaptation of ITU's role and development of telecommunication standards in building the information society</w:t>
      </w:r>
      <w:r w:rsidRPr="00380B40">
        <w:rPr>
          <w:lang w:val="en-GB" w:eastAsia="ko-KR"/>
        </w:rPr>
        <w:t>, including ITU</w:t>
      </w:r>
      <w:r w:rsidR="00F82355" w:rsidRPr="00380B40">
        <w:rPr>
          <w:lang w:val="en-GB" w:eastAsia="ko-KR"/>
        </w:rPr>
        <w:t>'</w:t>
      </w:r>
      <w:r w:rsidRPr="00380B40">
        <w:rPr>
          <w:lang w:val="en-GB" w:eastAsia="ko-KR"/>
        </w:rPr>
        <w:t xml:space="preserve">s lead facilitation role in the WSIS implementation process, as a moderator/facilitator for implementing Action Lines C2, C5 </w:t>
      </w:r>
      <w:r w:rsidRPr="00380B40">
        <w:rPr>
          <w:lang w:val="en-GB"/>
        </w:rPr>
        <w:t>and C6 and participating with</w:t>
      </w:r>
      <w:r w:rsidRPr="00380B40">
        <w:rPr>
          <w:lang w:val="en-GB" w:eastAsia="ko-KR"/>
        </w:rPr>
        <w:t xml:space="preserve"> other stakeholders, as appropriate, in the implementation of Action Lines C1, C3, C4, C7, C8, C9 and C11 and all other relevant action lines and other WSIS outcomes, within the financial limits set by the Plenipotentiary Conference</w:t>
      </w:r>
      <w:r w:rsidRPr="00380B40">
        <w:rPr>
          <w:lang w:val="en-GB"/>
        </w:rPr>
        <w:t>;</w:t>
      </w:r>
    </w:p>
    <w:p w14:paraId="4E3CBC29" w14:textId="77777777" w:rsidR="00820507" w:rsidRPr="00380B40" w:rsidRDefault="00820507" w:rsidP="00820507">
      <w:pPr>
        <w:rPr>
          <w:lang w:val="en-GB"/>
        </w:rPr>
      </w:pPr>
      <w:r w:rsidRPr="00380B40">
        <w:rPr>
          <w:i/>
          <w:iCs/>
          <w:lang w:val="en-GB"/>
        </w:rPr>
        <w:t>h)</w:t>
      </w:r>
      <w:r w:rsidRPr="00380B40">
        <w:rPr>
          <w:i/>
          <w:iCs/>
          <w:lang w:val="en-GB"/>
        </w:rPr>
        <w:tab/>
      </w:r>
      <w:r w:rsidRPr="00380B40">
        <w:rPr>
          <w:lang w:val="en-GB"/>
        </w:rPr>
        <w:t>that, despite the previous decade's achievements in ICT connectivity, many forms of digital divide remain, both between and within countries, and between women and men, that need to be addressed through, among other actions, strengthened enabling policy environments and international cooperation to improve affordability, access, education, capacity building, multilingualism, cultural preservation, investment and appropriate financing, as well as measures to improve digital literacy and skills and to promote cultural diversity;</w:t>
      </w:r>
    </w:p>
    <w:p w14:paraId="0B0B5886" w14:textId="77777777" w:rsidR="00820507" w:rsidRPr="00380B40" w:rsidRDefault="00820507" w:rsidP="00820507">
      <w:pPr>
        <w:rPr>
          <w:lang w:val="en-GB"/>
        </w:rPr>
      </w:pPr>
      <w:r w:rsidRPr="00380B40">
        <w:rPr>
          <w:i/>
          <w:iCs/>
          <w:lang w:val="en-GB"/>
        </w:rPr>
        <w:t>i)</w:t>
      </w:r>
      <w:r w:rsidRPr="00380B40">
        <w:rPr>
          <w:lang w:val="en-GB"/>
        </w:rPr>
        <w:tab/>
        <w:t>that the management of the Internet encompasses both technical and public policy issues and should involve all stakeholders and relevant intergovernmental and international organizations in accordance with §§ 35</w:t>
      </w:r>
      <w:r w:rsidRPr="00380B40">
        <w:rPr>
          <w:i/>
          <w:lang w:val="en-GB"/>
        </w:rPr>
        <w:t xml:space="preserve"> </w:t>
      </w:r>
      <w:r w:rsidRPr="00380B40">
        <w:rPr>
          <w:i/>
          <w:iCs/>
          <w:lang w:val="en-GB"/>
        </w:rPr>
        <w:t>a)-e)</w:t>
      </w:r>
      <w:r w:rsidRPr="00380B40">
        <w:rPr>
          <w:lang w:val="en-GB"/>
        </w:rPr>
        <w:t xml:space="preserve"> of the Tunis Agenda for the Information Society, as well as § 57 of the outcome document of the 2015 high-level meeting of the General Assembly on the overall review of the implementation of the WSIS outcomes,</w:t>
      </w:r>
    </w:p>
    <w:p w14:paraId="4D4FC82C" w14:textId="77777777" w:rsidR="007A3B76" w:rsidRPr="00380B40" w:rsidRDefault="007A3B76" w:rsidP="00820507">
      <w:pPr>
        <w:pStyle w:val="Call"/>
        <w:rPr>
          <w:lang w:val="en-GB"/>
        </w:rPr>
      </w:pPr>
      <w:r w:rsidRPr="00380B40">
        <w:rPr>
          <w:lang w:val="en-GB"/>
        </w:rPr>
        <w:br w:type="page"/>
      </w:r>
    </w:p>
    <w:p w14:paraId="08BF225E" w14:textId="77777777" w:rsidR="00820507" w:rsidRPr="00380B40" w:rsidRDefault="00820507" w:rsidP="00820507">
      <w:pPr>
        <w:pStyle w:val="Call"/>
        <w:rPr>
          <w:lang w:val="en-GB"/>
        </w:rPr>
      </w:pPr>
      <w:r w:rsidRPr="00380B40">
        <w:rPr>
          <w:lang w:val="en-GB"/>
        </w:rPr>
        <w:t>considering further</w:t>
      </w:r>
    </w:p>
    <w:p w14:paraId="27963695" w14:textId="77777777" w:rsidR="00820507" w:rsidRPr="00380B40" w:rsidRDefault="00820507" w:rsidP="00820507">
      <w:pPr>
        <w:rPr>
          <w:i/>
          <w:lang w:val="en-GB"/>
        </w:rPr>
      </w:pPr>
      <w:r w:rsidRPr="00380B40">
        <w:rPr>
          <w:i/>
          <w:iCs/>
          <w:lang w:val="en-GB"/>
        </w:rPr>
        <w:t>a)</w:t>
      </w:r>
      <w:r w:rsidRPr="00380B40">
        <w:rPr>
          <w:lang w:val="en-GB"/>
        </w:rPr>
        <w:tab/>
        <w:t>that ITU has a pivotal role in providing a global perspective in regard to the information society;</w:t>
      </w:r>
    </w:p>
    <w:p w14:paraId="48B8C214" w14:textId="77777777" w:rsidR="00820507" w:rsidRPr="00380B40" w:rsidRDefault="00820507" w:rsidP="00820507">
      <w:pPr>
        <w:rPr>
          <w:lang w:val="en-GB"/>
        </w:rPr>
      </w:pPr>
      <w:r w:rsidRPr="00380B40">
        <w:rPr>
          <w:i/>
          <w:lang w:val="en-GB"/>
        </w:rPr>
        <w:t>b)</w:t>
      </w:r>
      <w:r w:rsidRPr="00380B40">
        <w:rPr>
          <w:i/>
          <w:lang w:val="en-GB"/>
        </w:rPr>
        <w:tab/>
      </w:r>
      <w:r w:rsidRPr="00380B40">
        <w:rPr>
          <w:iCs/>
          <w:lang w:val="en-GB"/>
        </w:rPr>
        <w:t xml:space="preserve">that </w:t>
      </w:r>
      <w:r w:rsidRPr="00380B40">
        <w:rPr>
          <w:lang w:val="en-GB"/>
        </w:rPr>
        <w:t>the Council Working Group on WSIS and the Sustainable Development Goals (SDGs) (CWG</w:t>
      </w:r>
      <w:r w:rsidRPr="00380B40">
        <w:rPr>
          <w:lang w:val="en-GB"/>
        </w:rPr>
        <w:noBreakHyphen/>
        <w:t>WSIS&amp;SDG), in accordance with Resolution 140 (Rev. Dubai, 2018) and with Resolution 1332, first adopted by the ITU Council at its 2011 session and last modified at its 2019 session, open to all the ITU membership, constitutes an effective mechanism for facilitating Member State inputs on ITU implementation of relevant WSIS outcomes and the 2030 Agenda for Sustainable Development;</w:t>
      </w:r>
    </w:p>
    <w:p w14:paraId="72FA4BD5" w14:textId="77777777" w:rsidR="00820507" w:rsidRPr="00380B40" w:rsidRDefault="00820507" w:rsidP="00820507">
      <w:pPr>
        <w:rPr>
          <w:lang w:val="en-GB"/>
        </w:rPr>
      </w:pPr>
      <w:r w:rsidRPr="00380B40">
        <w:rPr>
          <w:i/>
          <w:iCs/>
          <w:lang w:val="en-GB"/>
        </w:rPr>
        <w:t>c)</w:t>
      </w:r>
      <w:r w:rsidRPr="00380B40">
        <w:rPr>
          <w:lang w:val="en-GB"/>
        </w:rPr>
        <w:tab/>
        <w:t>that the Council Working Group on international Internet-related public policy issues (CWG</w:t>
      </w:r>
      <w:r w:rsidRPr="00380B40">
        <w:rPr>
          <w:lang w:val="en-GB"/>
        </w:rPr>
        <w:noBreakHyphen/>
        <w:t>Internet), in accordance with Resolution 1336, first adopted by the Council at its 2011 session and last modified at its 2019 session, open to Member States only, with open consultation of all stakeholders, was created in order to promote enhanced cooperation and to foster the participation of governments in addressing international Internet public policy issues;</w:t>
      </w:r>
    </w:p>
    <w:p w14:paraId="073C3107" w14:textId="77777777" w:rsidR="00820507" w:rsidRPr="00380B40" w:rsidRDefault="00820507" w:rsidP="00820507">
      <w:pPr>
        <w:rPr>
          <w:lang w:val="en-GB"/>
        </w:rPr>
      </w:pPr>
      <w:r w:rsidRPr="00380B40">
        <w:rPr>
          <w:i/>
          <w:iCs/>
          <w:lang w:val="en-GB"/>
        </w:rPr>
        <w:t>d)</w:t>
      </w:r>
      <w:r w:rsidRPr="00380B40">
        <w:rPr>
          <w:lang w:val="en-GB"/>
        </w:rPr>
        <w:tab/>
        <w:t>that there is a perceived need to improve coordination, dissemination and interaction: (i) by avoiding duplication of efforts through focused coordination between ITU's relevant study groups that deal with international Internet public policy issues and technical aspects of telecommunication networks to support the Internet; (ii) by disseminating relevant international Internet public policy information to the ITU membership, the General Secretariat and the Bureaux; (iii) by promoting enhanced cooperation and technical-oriented interaction between ITU and other relevant international organizations and entities,</w:t>
      </w:r>
    </w:p>
    <w:p w14:paraId="2B319CC1" w14:textId="77777777" w:rsidR="00820507" w:rsidRPr="00380B40" w:rsidRDefault="00820507" w:rsidP="00820507">
      <w:pPr>
        <w:pStyle w:val="Call"/>
        <w:rPr>
          <w:lang w:val="en-GB"/>
        </w:rPr>
      </w:pPr>
      <w:r w:rsidRPr="00380B40">
        <w:rPr>
          <w:lang w:val="en-GB"/>
        </w:rPr>
        <w:t>recognizing</w:t>
      </w:r>
    </w:p>
    <w:p w14:paraId="29576F55" w14:textId="77777777" w:rsidR="00820507" w:rsidRPr="00380B40" w:rsidRDefault="00820507" w:rsidP="00820507">
      <w:pPr>
        <w:rPr>
          <w:lang w:val="en-GB"/>
        </w:rPr>
      </w:pPr>
      <w:r w:rsidRPr="00380B40">
        <w:rPr>
          <w:i/>
          <w:iCs/>
          <w:lang w:val="en-GB"/>
        </w:rPr>
        <w:t>a)</w:t>
      </w:r>
      <w:r w:rsidRPr="00380B40">
        <w:rPr>
          <w:lang w:val="en-GB"/>
        </w:rPr>
        <w:tab/>
        <w:t>the commitment of ITU to implementing relevant WSIS outcomes and the WSIS vision beyond 2015, as one of the most important goals for the Union;</w:t>
      </w:r>
    </w:p>
    <w:p w14:paraId="1A56D3D7" w14:textId="77777777" w:rsidR="00820507" w:rsidRPr="00380B40" w:rsidRDefault="00820507" w:rsidP="00820507">
      <w:pPr>
        <w:rPr>
          <w:lang w:val="en-GB"/>
        </w:rPr>
      </w:pPr>
      <w:r w:rsidRPr="00380B40">
        <w:rPr>
          <w:i/>
          <w:iCs/>
          <w:lang w:val="en-GB"/>
        </w:rPr>
        <w:t>b)</w:t>
      </w:r>
      <w:r w:rsidRPr="00380B40">
        <w:rPr>
          <w:lang w:val="en-GB"/>
        </w:rPr>
        <w:tab/>
        <w:t>that the 2030 Agenda for Sustainable Development has substantial implications for the activities of ITU,</w:t>
      </w:r>
    </w:p>
    <w:p w14:paraId="1009AF48" w14:textId="77777777" w:rsidR="00820507" w:rsidRPr="00380B40" w:rsidRDefault="00820507" w:rsidP="00820507">
      <w:pPr>
        <w:pStyle w:val="Call"/>
        <w:rPr>
          <w:lang w:val="en-GB"/>
        </w:rPr>
      </w:pPr>
      <w:r w:rsidRPr="00380B40">
        <w:rPr>
          <w:lang w:val="en-GB"/>
        </w:rPr>
        <w:t>recognizing further</w:t>
      </w:r>
    </w:p>
    <w:p w14:paraId="5E961E44" w14:textId="77777777" w:rsidR="00820507" w:rsidRPr="00380B40" w:rsidRDefault="00820507" w:rsidP="00820507">
      <w:pPr>
        <w:rPr>
          <w:lang w:val="en-GB"/>
        </w:rPr>
      </w:pPr>
      <w:r w:rsidRPr="00380B40">
        <w:rPr>
          <w:i/>
          <w:iCs/>
          <w:lang w:val="en-GB"/>
        </w:rPr>
        <w:t>a)</w:t>
      </w:r>
      <w:r w:rsidRPr="00380B40">
        <w:rPr>
          <w:lang w:val="en-GB"/>
        </w:rPr>
        <w:tab/>
        <w:t>that all governments should have an equal role and responsibility for international Internet governance and for ensuring the stability, security and continuity of the Internet, while also recognizing the need for development of public policy by governments in consultation with all stakeholders, as expressed in § 68 of the Tunis Agenda;</w:t>
      </w:r>
    </w:p>
    <w:p w14:paraId="401410FD" w14:textId="77777777" w:rsidR="00820507" w:rsidRPr="00380B40" w:rsidRDefault="00820507" w:rsidP="00820507">
      <w:pPr>
        <w:rPr>
          <w:rFonts w:asciiTheme="majorBidi" w:hAnsiTheme="majorBidi"/>
          <w:lang w:val="en-GB"/>
        </w:rPr>
      </w:pPr>
      <w:r w:rsidRPr="00380B40">
        <w:rPr>
          <w:i/>
          <w:iCs/>
          <w:lang w:val="en-GB"/>
        </w:rPr>
        <w:t>b)</w:t>
      </w:r>
      <w:r w:rsidRPr="00380B40">
        <w:rPr>
          <w:lang w:val="en-GB"/>
        </w:rPr>
        <w:tab/>
        <w:t>the potential of ICTs to achieve the 2030 Agenda for Sustainable Development and other internationally agreed development goals;</w:t>
      </w:r>
    </w:p>
    <w:p w14:paraId="5CDC7E2B" w14:textId="77777777" w:rsidR="00820507" w:rsidRPr="00380B40" w:rsidRDefault="00820507" w:rsidP="00820507">
      <w:pPr>
        <w:tabs>
          <w:tab w:val="left" w:pos="907"/>
          <w:tab w:val="left" w:pos="908"/>
        </w:tabs>
        <w:spacing w:line="266" w:lineRule="auto"/>
        <w:ind w:right="115"/>
        <w:rPr>
          <w:lang w:val="en-GB"/>
        </w:rPr>
      </w:pPr>
      <w:r w:rsidRPr="00380B40">
        <w:rPr>
          <w:i/>
          <w:iCs/>
          <w:lang w:val="en-GB"/>
        </w:rPr>
        <w:t>c)</w:t>
      </w:r>
      <w:r w:rsidRPr="00380B40">
        <w:rPr>
          <w:lang w:val="en-GB"/>
        </w:rPr>
        <w:tab/>
        <w:t>that increased connectivity, innovation and access played a critical role in enabling progress on the SDGs;</w:t>
      </w:r>
    </w:p>
    <w:p w14:paraId="11E123AC" w14:textId="77777777" w:rsidR="007A3B76" w:rsidRPr="00380B40" w:rsidRDefault="007A3B76" w:rsidP="00820507">
      <w:pPr>
        <w:rPr>
          <w:i/>
          <w:iCs/>
          <w:lang w:val="en-GB"/>
        </w:rPr>
      </w:pPr>
      <w:r w:rsidRPr="00380B40">
        <w:rPr>
          <w:i/>
          <w:iCs/>
          <w:lang w:val="en-GB"/>
        </w:rPr>
        <w:br w:type="page"/>
      </w:r>
    </w:p>
    <w:p w14:paraId="05222E1E" w14:textId="77777777" w:rsidR="00820507" w:rsidRPr="00380B40" w:rsidRDefault="00820507" w:rsidP="00820507">
      <w:pPr>
        <w:rPr>
          <w:lang w:val="en-GB"/>
        </w:rPr>
      </w:pPr>
      <w:r w:rsidRPr="00380B40">
        <w:rPr>
          <w:i/>
          <w:iCs/>
          <w:lang w:val="en-GB"/>
        </w:rPr>
        <w:t>d)</w:t>
      </w:r>
      <w:r w:rsidRPr="00380B40">
        <w:rPr>
          <w:lang w:val="en-GB"/>
        </w:rPr>
        <w:tab/>
        <w:t>the need to promote greater participation and engagement in Internet governance discussions of governments, the private sector, civil society, international organizations, the technical and academic communities and all other relevant stakeholders from developing countri</w:t>
      </w:r>
      <w:r w:rsidRPr="00380B40">
        <w:rPr>
          <w:iCs/>
          <w:lang w:val="en-GB"/>
        </w:rPr>
        <w:t>es</w:t>
      </w:r>
      <w:r w:rsidR="00FD162E" w:rsidRPr="00380B40">
        <w:rPr>
          <w:rStyle w:val="FootnoteReference"/>
          <w:iCs/>
          <w:lang w:val="en-GB"/>
        </w:rPr>
        <w:footnoteReference w:id="43"/>
      </w:r>
      <w:r w:rsidRPr="00380B40">
        <w:rPr>
          <w:iCs/>
          <w:lang w:val="en-GB"/>
        </w:rPr>
        <w:t>;</w:t>
      </w:r>
    </w:p>
    <w:p w14:paraId="0B4FE3F5" w14:textId="77777777" w:rsidR="00820507" w:rsidRPr="00380B40" w:rsidRDefault="00820507" w:rsidP="00820507">
      <w:pPr>
        <w:rPr>
          <w:i/>
          <w:lang w:val="en-GB"/>
        </w:rPr>
      </w:pPr>
      <w:r w:rsidRPr="00380B40">
        <w:rPr>
          <w:i/>
          <w:iCs/>
          <w:lang w:val="en-GB"/>
        </w:rPr>
        <w:t>e)</w:t>
      </w:r>
      <w:r w:rsidRPr="00380B40">
        <w:rPr>
          <w:lang w:val="en-GB"/>
        </w:rPr>
        <w:tab/>
        <w:t>the need for enhanced cooperation in the future, to enable governments, on an equal footing, to carry out their roles and responsibilities in international public policy issues pertaining to the Internet, but not in the day-to-day technical and operational matters that do not impact on international public policy issues, as expressed in § 69 of the Tunis Agenda;</w:t>
      </w:r>
    </w:p>
    <w:p w14:paraId="12E8E42E" w14:textId="77777777" w:rsidR="00820507" w:rsidRPr="00380B40" w:rsidRDefault="00820507" w:rsidP="00820507">
      <w:pPr>
        <w:rPr>
          <w:lang w:val="en-GB"/>
        </w:rPr>
      </w:pPr>
      <w:r w:rsidRPr="00380B40">
        <w:rPr>
          <w:i/>
          <w:iCs/>
          <w:lang w:val="en-GB"/>
        </w:rPr>
        <w:t>f)</w:t>
      </w:r>
      <w:r w:rsidRPr="00380B40">
        <w:rPr>
          <w:lang w:val="en-GB"/>
        </w:rPr>
        <w:tab/>
        <w:t>that, using relevant international organizations, such cooperation should include the development of globally applicable principles on public policy issues associated with the coordination and management of critical Internet resources, in which regard the organizations responsible for essential tasks associated with the Internet are called upon to contribute to creating an environment that facilitates this development of public policy principles, as expressed in § 70 of the Tunis Agenda;</w:t>
      </w:r>
    </w:p>
    <w:p w14:paraId="0B8678B4" w14:textId="77777777" w:rsidR="00820507" w:rsidRPr="00380B40" w:rsidRDefault="00820507" w:rsidP="00820507">
      <w:pPr>
        <w:rPr>
          <w:lang w:val="en-GB"/>
        </w:rPr>
      </w:pPr>
      <w:r w:rsidRPr="00380B40">
        <w:rPr>
          <w:i/>
          <w:iCs/>
          <w:lang w:val="en-GB"/>
        </w:rPr>
        <w:t>g)</w:t>
      </w:r>
      <w:r w:rsidRPr="00380B40">
        <w:rPr>
          <w:lang w:val="en-GB"/>
        </w:rPr>
        <w:tab/>
        <w:t>that §</w:t>
      </w:r>
      <w:r w:rsidRPr="00380B40">
        <w:rPr>
          <w:rFonts w:asciiTheme="majorBidi" w:hAnsiTheme="majorBidi"/>
          <w:lang w:val="en-GB"/>
        </w:rPr>
        <w:t>§</w:t>
      </w:r>
      <w:r w:rsidRPr="00380B40">
        <w:rPr>
          <w:rFonts w:asciiTheme="majorBidi" w:hAnsiTheme="majorBidi" w:cstheme="majorBidi"/>
          <w:szCs w:val="24"/>
          <w:lang w:val="en-GB"/>
        </w:rPr>
        <w:t> </w:t>
      </w:r>
      <w:r w:rsidRPr="00380B40">
        <w:rPr>
          <w:rFonts w:asciiTheme="majorBidi" w:hAnsiTheme="majorBidi"/>
          <w:lang w:val="en-GB"/>
        </w:rPr>
        <w:t>69</w:t>
      </w:r>
      <w:r w:rsidRPr="00380B40">
        <w:rPr>
          <w:rFonts w:asciiTheme="majorBidi" w:hAnsiTheme="majorBidi" w:cstheme="majorBidi"/>
          <w:szCs w:val="24"/>
          <w:lang w:val="en-GB"/>
        </w:rPr>
        <w:t xml:space="preserve"> to </w:t>
      </w:r>
      <w:r w:rsidRPr="00380B40">
        <w:rPr>
          <w:lang w:val="en-GB"/>
        </w:rPr>
        <w:t>71 of the Tunis Agenda called for the process towards enhanced cooperation to be started by the United Nations Secretary-General, involving all relevant organizations by the end of the first quarter of 2006, to involve all stakeholders in their respective roles, to proceed as quickly as possible consistent with legal process, and to be responsive to innovation; and for relevant organizations to commence a process towards enhanced cooperation involving all stakeholders, proceeding as quickly as possible and responsive to innovation; and for the same relevant organizations to be requested to provide annual performance reports;</w:t>
      </w:r>
    </w:p>
    <w:p w14:paraId="40D14983" w14:textId="77777777" w:rsidR="00820507" w:rsidRPr="00380B40" w:rsidRDefault="00820507" w:rsidP="00820507">
      <w:pPr>
        <w:rPr>
          <w:lang w:val="en-GB"/>
        </w:rPr>
      </w:pPr>
      <w:r w:rsidRPr="00380B40">
        <w:rPr>
          <w:i/>
          <w:iCs/>
          <w:lang w:val="en-GB"/>
        </w:rPr>
        <w:t>h)</w:t>
      </w:r>
      <w:r w:rsidRPr="00380B40">
        <w:rPr>
          <w:lang w:val="en-GB"/>
        </w:rPr>
        <w:tab/>
        <w:t>that various initiatives have been implemented and some progress has been made in relation to the process towards enhanced cooperation detailed in §§ 69 to 71 of the Tunis Agenda and that UNGA, in Resolution 70/125, called for continued dialogue and work on the implementation of enhanced cooperation, which is already under way in accordance with § 65 of that resolution,</w:t>
      </w:r>
    </w:p>
    <w:p w14:paraId="37FE024E" w14:textId="77777777" w:rsidR="00820507" w:rsidRPr="00380B40" w:rsidRDefault="00820507" w:rsidP="00820507">
      <w:pPr>
        <w:pStyle w:val="Call"/>
        <w:rPr>
          <w:lang w:val="en-GB"/>
        </w:rPr>
      </w:pPr>
      <w:r w:rsidRPr="00380B40">
        <w:rPr>
          <w:lang w:val="en-GB"/>
        </w:rPr>
        <w:t>taking into account</w:t>
      </w:r>
    </w:p>
    <w:p w14:paraId="26AB2A67" w14:textId="77777777" w:rsidR="00820507" w:rsidRPr="00380B40" w:rsidRDefault="00820507" w:rsidP="00820507">
      <w:pPr>
        <w:rPr>
          <w:lang w:val="en-GB"/>
        </w:rPr>
      </w:pPr>
      <w:r w:rsidRPr="00380B40">
        <w:rPr>
          <w:i/>
          <w:iCs/>
          <w:lang w:val="en-GB"/>
        </w:rPr>
        <w:t>a)</w:t>
      </w:r>
      <w:r w:rsidRPr="00380B40">
        <w:rPr>
          <w:lang w:val="en-GB"/>
        </w:rPr>
        <w:tab/>
        <w:t>Resolution 30 (Rev. Buenos Aires, 2017) of the World Telecommunication Development Conference (WTDC), on the role of the ITU Telecommunication Development Sector in implementing the WSIS outcomes, taking into account the 2030 Agenda for Sustainable Development;</w:t>
      </w:r>
    </w:p>
    <w:p w14:paraId="0F867083" w14:textId="77777777" w:rsidR="00820507" w:rsidRPr="00380B40" w:rsidRDefault="00820507" w:rsidP="00820507">
      <w:pPr>
        <w:rPr>
          <w:lang w:val="en-GB"/>
        </w:rPr>
      </w:pPr>
      <w:r w:rsidRPr="00380B40">
        <w:rPr>
          <w:i/>
          <w:lang w:val="en-GB"/>
        </w:rPr>
        <w:t>b)</w:t>
      </w:r>
      <w:r w:rsidRPr="00380B40">
        <w:rPr>
          <w:lang w:val="en-GB"/>
        </w:rPr>
        <w:tab/>
        <w:t>Resolution ITU</w:t>
      </w:r>
      <w:r w:rsidRPr="00380B40">
        <w:rPr>
          <w:lang w:val="en-GB"/>
        </w:rPr>
        <w:noBreakHyphen/>
        <w:t>R 61 (Rev. Sharm el-Sheikh, 2019) of the Radiocommunication Assembly, on the ITU Radiocommunication Sector's contribution in implementing the WSIS outcomes and the 2030 Agenda for Sustainable Development;</w:t>
      </w:r>
    </w:p>
    <w:p w14:paraId="339702D2" w14:textId="77777777" w:rsidR="00820507" w:rsidRPr="00380B40" w:rsidRDefault="00820507" w:rsidP="00820507">
      <w:pPr>
        <w:rPr>
          <w:lang w:val="en-GB"/>
        </w:rPr>
      </w:pPr>
      <w:r w:rsidRPr="00380B40">
        <w:rPr>
          <w:i/>
          <w:lang w:val="en-GB"/>
        </w:rPr>
        <w:t>c)</w:t>
      </w:r>
      <w:r w:rsidRPr="00380B40">
        <w:rPr>
          <w:lang w:val="en-GB"/>
        </w:rPr>
        <w:tab/>
        <w:t>the programmes, activities and regional initiatives being carried out in accordance with the decisions of WTDC-17 for bridging the digital divide;</w:t>
      </w:r>
    </w:p>
    <w:p w14:paraId="4353F2BA" w14:textId="77777777" w:rsidR="00820507" w:rsidRPr="00380B40" w:rsidRDefault="00820507" w:rsidP="00820507">
      <w:pPr>
        <w:rPr>
          <w:lang w:val="en-GB"/>
        </w:rPr>
      </w:pPr>
      <w:r w:rsidRPr="00380B40">
        <w:rPr>
          <w:i/>
          <w:lang w:val="en-GB"/>
        </w:rPr>
        <w:t>d)</w:t>
      </w:r>
      <w:r w:rsidRPr="00380B40">
        <w:rPr>
          <w:lang w:val="en-GB"/>
        </w:rPr>
        <w:tab/>
        <w:t>the relevant work already accomplished and/or to be carried out by ITU under the guidance of CWG</w:t>
      </w:r>
      <w:r w:rsidRPr="00380B40">
        <w:rPr>
          <w:lang w:val="en-GB"/>
        </w:rPr>
        <w:noBreakHyphen/>
        <w:t>WSIS&amp;SDG</w:t>
      </w:r>
      <w:r w:rsidRPr="00380B40">
        <w:rPr>
          <w:rFonts w:asciiTheme="majorBidi" w:hAnsiTheme="majorBidi"/>
          <w:lang w:val="en-GB"/>
        </w:rPr>
        <w:t xml:space="preserve"> </w:t>
      </w:r>
      <w:r w:rsidRPr="00380B40">
        <w:rPr>
          <w:lang w:val="en-GB"/>
        </w:rPr>
        <w:t>and CWG</w:t>
      </w:r>
      <w:r w:rsidRPr="00380B40">
        <w:rPr>
          <w:lang w:val="en-GB"/>
        </w:rPr>
        <w:noBreakHyphen/>
        <w:t>Internet,</w:t>
      </w:r>
    </w:p>
    <w:p w14:paraId="0693AB81" w14:textId="77777777" w:rsidR="007A3B76" w:rsidRPr="00380B40" w:rsidRDefault="007A3B76" w:rsidP="00820507">
      <w:pPr>
        <w:pStyle w:val="Call"/>
        <w:rPr>
          <w:lang w:val="en-GB"/>
        </w:rPr>
      </w:pPr>
      <w:r w:rsidRPr="00380B40">
        <w:rPr>
          <w:lang w:val="en-GB"/>
        </w:rPr>
        <w:br w:type="page"/>
      </w:r>
    </w:p>
    <w:p w14:paraId="6A2736D9" w14:textId="77777777" w:rsidR="00820507" w:rsidRPr="00380B40" w:rsidRDefault="00820507" w:rsidP="00820507">
      <w:pPr>
        <w:pStyle w:val="Call"/>
        <w:rPr>
          <w:lang w:val="en-GB"/>
        </w:rPr>
      </w:pPr>
      <w:r w:rsidRPr="00380B40">
        <w:rPr>
          <w:lang w:val="en-GB"/>
        </w:rPr>
        <w:t>noting</w:t>
      </w:r>
    </w:p>
    <w:p w14:paraId="7D700B81" w14:textId="77777777" w:rsidR="00820507" w:rsidRPr="00380B40" w:rsidRDefault="00820507" w:rsidP="00820507">
      <w:pPr>
        <w:rPr>
          <w:i/>
          <w:lang w:val="en-GB"/>
        </w:rPr>
      </w:pPr>
      <w:r w:rsidRPr="00380B40">
        <w:rPr>
          <w:i/>
          <w:iCs/>
          <w:lang w:val="en-GB"/>
        </w:rPr>
        <w:t>a)</w:t>
      </w:r>
      <w:r w:rsidRPr="00380B40">
        <w:rPr>
          <w:i/>
          <w:lang w:val="en-GB"/>
        </w:rPr>
        <w:tab/>
      </w:r>
      <w:r w:rsidRPr="00380B40">
        <w:rPr>
          <w:lang w:val="en-GB"/>
        </w:rPr>
        <w:t>Resolution 1332, first adopted by the Council at its 2011 session and last modified at its 2019 session, on ITU's role in the implementation of the WSIS outcomes and the 2030 Agenda for Sustainable Development;</w:t>
      </w:r>
    </w:p>
    <w:p w14:paraId="4E764A8D" w14:textId="77777777" w:rsidR="00820507" w:rsidRPr="00380B40" w:rsidRDefault="00820507" w:rsidP="00820507">
      <w:pPr>
        <w:rPr>
          <w:lang w:val="en-GB"/>
        </w:rPr>
      </w:pPr>
      <w:r w:rsidRPr="00380B40">
        <w:rPr>
          <w:i/>
          <w:lang w:val="en-GB"/>
        </w:rPr>
        <w:t>b)</w:t>
      </w:r>
      <w:r w:rsidRPr="00380B40">
        <w:rPr>
          <w:lang w:val="en-GB"/>
        </w:rPr>
        <w:tab/>
        <w:t xml:space="preserve">Resolution 1334, </w:t>
      </w:r>
      <w:bookmarkStart w:id="337" w:name="_Hlk98367589"/>
      <w:r w:rsidRPr="00380B40">
        <w:rPr>
          <w:lang w:val="en-GB"/>
        </w:rPr>
        <w:t>first adopted by the Council at its 2011 session and last modified at its 2015 session</w:t>
      </w:r>
      <w:bookmarkEnd w:id="337"/>
      <w:r w:rsidRPr="00380B40">
        <w:rPr>
          <w:lang w:val="en-GB"/>
        </w:rPr>
        <w:t xml:space="preserve">, on ITU's role in the overall review of the implementation of the WSIS outcomes; </w:t>
      </w:r>
    </w:p>
    <w:p w14:paraId="2B16D246" w14:textId="77777777" w:rsidR="00820507" w:rsidRPr="00380B40" w:rsidRDefault="00820507" w:rsidP="00820507">
      <w:pPr>
        <w:rPr>
          <w:lang w:val="en-GB"/>
        </w:rPr>
      </w:pPr>
      <w:r w:rsidRPr="00380B40">
        <w:rPr>
          <w:i/>
          <w:iCs/>
          <w:lang w:val="en-GB"/>
        </w:rPr>
        <w:t>c)</w:t>
      </w:r>
      <w:r w:rsidRPr="00380B40">
        <w:rPr>
          <w:lang w:val="en-GB"/>
        </w:rPr>
        <w:tab/>
        <w:t>Resolution 1344, first adopted by the Council at its 2012 session and last modified at its 2015 session, on the modality of open consultation for CWG</w:t>
      </w:r>
      <w:r w:rsidRPr="00380B40">
        <w:rPr>
          <w:lang w:val="en-GB"/>
        </w:rPr>
        <w:noBreakHyphen/>
        <w:t>Internet;</w:t>
      </w:r>
    </w:p>
    <w:p w14:paraId="258D931C" w14:textId="77777777" w:rsidR="00820507" w:rsidRPr="00380B40" w:rsidRDefault="00820507" w:rsidP="00820507">
      <w:pPr>
        <w:rPr>
          <w:i/>
          <w:lang w:val="en-GB"/>
        </w:rPr>
      </w:pPr>
      <w:r w:rsidRPr="00380B40">
        <w:rPr>
          <w:rFonts w:asciiTheme="majorBidi" w:hAnsiTheme="majorBidi" w:cstheme="majorBidi"/>
          <w:i/>
          <w:iCs/>
          <w:szCs w:val="24"/>
          <w:lang w:val="en-GB"/>
        </w:rPr>
        <w:t>d)</w:t>
      </w:r>
      <w:r w:rsidRPr="00380B40">
        <w:rPr>
          <w:rFonts w:asciiTheme="majorBidi" w:hAnsiTheme="majorBidi" w:cstheme="majorBidi"/>
          <w:szCs w:val="24"/>
          <w:lang w:val="en-GB"/>
        </w:rPr>
        <w:tab/>
      </w:r>
      <w:r w:rsidRPr="00380B40">
        <w:rPr>
          <w:lang w:val="en-GB"/>
        </w:rPr>
        <w:t>Resolution 1336, first adopted by the Council at its 2011 session and last modified at its 2019 session, on CWG</w:t>
      </w:r>
      <w:r w:rsidRPr="00380B40">
        <w:rPr>
          <w:lang w:val="en-GB"/>
        </w:rPr>
        <w:noBreakHyphen/>
        <w:t>Internet,</w:t>
      </w:r>
    </w:p>
    <w:p w14:paraId="43515E2E" w14:textId="77777777" w:rsidR="00820507" w:rsidRPr="00380B40" w:rsidRDefault="00820507" w:rsidP="00820507">
      <w:pPr>
        <w:pStyle w:val="Call"/>
        <w:rPr>
          <w:lang w:val="en-GB"/>
        </w:rPr>
      </w:pPr>
      <w:r w:rsidRPr="00380B40">
        <w:rPr>
          <w:lang w:val="en-GB"/>
        </w:rPr>
        <w:t>noting further</w:t>
      </w:r>
    </w:p>
    <w:p w14:paraId="2396EFB7" w14:textId="77777777" w:rsidR="00820507" w:rsidRPr="00380B40" w:rsidRDefault="00820507" w:rsidP="00820507">
      <w:pPr>
        <w:rPr>
          <w:lang w:val="en-GB"/>
        </w:rPr>
      </w:pPr>
      <w:r w:rsidRPr="00380B40">
        <w:rPr>
          <w:lang w:val="en-GB"/>
        </w:rPr>
        <w:t>that the ITU Secretary-General created the ITU WSIS&amp;SDG Task Force, whose role is to formulate strategies and coordinate ITU's policies and activities in relation to the WSIS process and the 2030 Agenda for Sustainable Development, and that this task force is chaired by the Deputy Secretary-General, as noted by Council Resolution 1332,</w:t>
      </w:r>
    </w:p>
    <w:p w14:paraId="7077139F" w14:textId="77777777" w:rsidR="00820507" w:rsidRPr="00380B40" w:rsidRDefault="00820507" w:rsidP="00820507">
      <w:pPr>
        <w:pStyle w:val="Call"/>
        <w:rPr>
          <w:lang w:val="en-GB"/>
        </w:rPr>
      </w:pPr>
      <w:r w:rsidRPr="00380B40">
        <w:rPr>
          <w:lang w:val="en-GB"/>
        </w:rPr>
        <w:t>resolves</w:t>
      </w:r>
    </w:p>
    <w:p w14:paraId="2338BA4B" w14:textId="77777777" w:rsidR="00820507" w:rsidRPr="00380B40" w:rsidRDefault="00820507" w:rsidP="00820507">
      <w:pPr>
        <w:rPr>
          <w:lang w:val="en-GB"/>
        </w:rPr>
      </w:pPr>
      <w:r w:rsidRPr="00380B40">
        <w:rPr>
          <w:lang w:val="en-GB"/>
        </w:rPr>
        <w:t>1</w:t>
      </w:r>
      <w:r w:rsidRPr="00380B40">
        <w:rPr>
          <w:lang w:val="en-GB"/>
        </w:rPr>
        <w:tab/>
        <w:t>to continue ITU</w:t>
      </w:r>
      <w:r w:rsidRPr="00380B40">
        <w:rPr>
          <w:lang w:val="en-GB"/>
        </w:rPr>
        <w:noBreakHyphen/>
        <w:t>T's work on the implementation of WSIS outcomes and the WSIS vision beyond 2015 and follow-up activities within its mandate;</w:t>
      </w:r>
    </w:p>
    <w:p w14:paraId="524F88B7" w14:textId="77777777" w:rsidR="00820507" w:rsidRPr="00380B40" w:rsidRDefault="00820507" w:rsidP="00820507">
      <w:pPr>
        <w:rPr>
          <w:lang w:val="en-GB"/>
        </w:rPr>
      </w:pPr>
      <w:r w:rsidRPr="00380B40">
        <w:rPr>
          <w:lang w:val="en-GB"/>
        </w:rPr>
        <w:t>2</w:t>
      </w:r>
      <w:r w:rsidRPr="00380B40">
        <w:rPr>
          <w:lang w:val="en-GB"/>
        </w:rPr>
        <w:tab/>
        <w:t>that ITU</w:t>
      </w:r>
      <w:r w:rsidRPr="00380B40">
        <w:rPr>
          <w:lang w:val="en-GB"/>
        </w:rPr>
        <w:noBreakHyphen/>
        <w:t>T should contribute to achievement of the objectives of the 2030 Agenda for Sustainable Development, through and in harmony with the WSIS framework;</w:t>
      </w:r>
    </w:p>
    <w:p w14:paraId="503CBA88" w14:textId="77777777" w:rsidR="00820507" w:rsidRPr="00380B40" w:rsidRDefault="00820507" w:rsidP="00820507">
      <w:pPr>
        <w:rPr>
          <w:lang w:val="en-GB"/>
        </w:rPr>
      </w:pPr>
      <w:r w:rsidRPr="00380B40">
        <w:rPr>
          <w:lang w:val="en-GB"/>
        </w:rPr>
        <w:t>3</w:t>
      </w:r>
      <w:r w:rsidRPr="00380B40">
        <w:rPr>
          <w:lang w:val="en-GB"/>
        </w:rPr>
        <w:tab/>
        <w:t>that ITU</w:t>
      </w:r>
      <w:r w:rsidRPr="00380B40">
        <w:rPr>
          <w:lang w:val="en-GB"/>
        </w:rPr>
        <w:noBreakHyphen/>
        <w:t xml:space="preserve">T should carry out the activities under </w:t>
      </w:r>
      <w:r w:rsidRPr="00380B40">
        <w:rPr>
          <w:i/>
          <w:iCs/>
          <w:lang w:val="en-GB"/>
        </w:rPr>
        <w:t>resolves</w:t>
      </w:r>
      <w:r w:rsidRPr="00380B40">
        <w:rPr>
          <w:lang w:val="en-GB"/>
        </w:rPr>
        <w:t> 1 and 2 above in cooperation with other relevant stakeholders, as appropriate;</w:t>
      </w:r>
    </w:p>
    <w:p w14:paraId="44CCDC61" w14:textId="77777777" w:rsidR="00820507" w:rsidRPr="00380B40" w:rsidRDefault="00820507" w:rsidP="00820507">
      <w:pPr>
        <w:rPr>
          <w:lang w:val="en-GB"/>
        </w:rPr>
      </w:pPr>
      <w:r w:rsidRPr="00380B40">
        <w:rPr>
          <w:lang w:val="en-GB"/>
        </w:rPr>
        <w:t>4</w:t>
      </w:r>
      <w:r w:rsidRPr="00380B40">
        <w:rPr>
          <w:lang w:val="en-GB"/>
        </w:rPr>
        <w:tab/>
        <w:t>that the relevant ITU</w:t>
      </w:r>
      <w:r w:rsidRPr="00380B40">
        <w:rPr>
          <w:lang w:val="en-GB"/>
        </w:rPr>
        <w:noBreakHyphen/>
        <w:t>T study groups should consider in their studies the output of CWG</w:t>
      </w:r>
      <w:r w:rsidRPr="00380B40">
        <w:rPr>
          <w:lang w:val="en-GB"/>
        </w:rPr>
        <w:noBreakHyphen/>
        <w:t>WSIS&amp;SDG and CWG</w:t>
      </w:r>
      <w:r w:rsidRPr="00380B40">
        <w:rPr>
          <w:lang w:val="en-GB"/>
        </w:rPr>
        <w:noBreakHyphen/>
        <w:t>Internet,</w:t>
      </w:r>
    </w:p>
    <w:p w14:paraId="022F6170" w14:textId="77777777" w:rsidR="00820507" w:rsidRPr="00380B40" w:rsidRDefault="00820507" w:rsidP="00820507">
      <w:pPr>
        <w:pStyle w:val="Call"/>
        <w:rPr>
          <w:lang w:val="en-GB"/>
        </w:rPr>
      </w:pPr>
      <w:r w:rsidRPr="00380B40">
        <w:rPr>
          <w:lang w:val="en-GB"/>
        </w:rPr>
        <w:t xml:space="preserve">instructs the Director of the Telecommunication Standardization Bureau </w:t>
      </w:r>
    </w:p>
    <w:p w14:paraId="6EB9C440" w14:textId="77777777" w:rsidR="00820507" w:rsidRPr="00380B40" w:rsidRDefault="00820507" w:rsidP="00820507">
      <w:pPr>
        <w:rPr>
          <w:lang w:val="en-GB"/>
        </w:rPr>
      </w:pPr>
      <w:r w:rsidRPr="00380B40">
        <w:rPr>
          <w:lang w:val="en-GB"/>
        </w:rPr>
        <w:t>1</w:t>
      </w:r>
      <w:r w:rsidRPr="00380B40">
        <w:rPr>
          <w:lang w:val="en-GB"/>
        </w:rPr>
        <w:tab/>
        <w:t>to provide CWG</w:t>
      </w:r>
      <w:r w:rsidRPr="00380B40">
        <w:rPr>
          <w:lang w:val="en-GB"/>
        </w:rPr>
        <w:noBreakHyphen/>
        <w:t>WSIS&amp;SDG with a comprehensive summary of ITU</w:t>
      </w:r>
      <w:r w:rsidRPr="00380B40">
        <w:rPr>
          <w:lang w:val="en-GB"/>
        </w:rPr>
        <w:noBreakHyphen/>
        <w:t>T activities on implementation of the WSIS outcomes</w:t>
      </w:r>
      <w:r w:rsidRPr="00380B40">
        <w:rPr>
          <w:rFonts w:asciiTheme="majorBidi" w:hAnsiTheme="majorBidi"/>
          <w:lang w:val="en-GB"/>
        </w:rPr>
        <w:t xml:space="preserve">, taking into account the </w:t>
      </w:r>
      <w:r w:rsidRPr="00380B40">
        <w:rPr>
          <w:rFonts w:asciiTheme="majorBidi" w:hAnsiTheme="majorBidi"/>
          <w:color w:val="000000"/>
          <w:lang w:val="en-GB"/>
        </w:rPr>
        <w:t>2030 Agenda for Sustainable Development</w:t>
      </w:r>
      <w:r w:rsidRPr="00380B40">
        <w:rPr>
          <w:lang w:val="en-GB"/>
        </w:rPr>
        <w:t>;</w:t>
      </w:r>
    </w:p>
    <w:p w14:paraId="67AABECA" w14:textId="77777777" w:rsidR="00820507" w:rsidRPr="00380B40" w:rsidRDefault="00820507" w:rsidP="00820507">
      <w:pPr>
        <w:rPr>
          <w:lang w:val="en-GB"/>
        </w:rPr>
      </w:pPr>
      <w:r w:rsidRPr="00380B40">
        <w:rPr>
          <w:lang w:val="en-GB"/>
        </w:rPr>
        <w:t>2</w:t>
      </w:r>
      <w:r w:rsidRPr="00380B40">
        <w:rPr>
          <w:lang w:val="en-GB"/>
        </w:rPr>
        <w:tab/>
        <w:t xml:space="preserve">to ensure that concrete objectives and deadlines for </w:t>
      </w:r>
      <w:r w:rsidRPr="00380B40">
        <w:rPr>
          <w:rFonts w:asciiTheme="majorBidi" w:hAnsiTheme="majorBidi"/>
          <w:lang w:val="en-GB"/>
        </w:rPr>
        <w:t xml:space="preserve">activities in connection with </w:t>
      </w:r>
      <w:r w:rsidRPr="00380B40">
        <w:rPr>
          <w:lang w:val="en-GB"/>
        </w:rPr>
        <w:t xml:space="preserve">WSIS </w:t>
      </w:r>
      <w:r w:rsidRPr="00380B40">
        <w:rPr>
          <w:rFonts w:asciiTheme="majorBidi" w:hAnsiTheme="majorBidi"/>
          <w:lang w:val="en-GB"/>
        </w:rPr>
        <w:t xml:space="preserve">outcomes, taking into account the </w:t>
      </w:r>
      <w:r w:rsidRPr="00380B40">
        <w:rPr>
          <w:rFonts w:asciiTheme="majorBidi" w:hAnsiTheme="majorBidi"/>
          <w:color w:val="000000"/>
          <w:lang w:val="en-GB"/>
        </w:rPr>
        <w:t>2030 Agenda for Sustainable Development,</w:t>
      </w:r>
      <w:r w:rsidRPr="00380B40">
        <w:rPr>
          <w:lang w:val="en-GB"/>
        </w:rPr>
        <w:t xml:space="preserve"> are developed and reflected in the operational plans of ITU</w:t>
      </w:r>
      <w:r w:rsidRPr="00380B40">
        <w:rPr>
          <w:lang w:val="en-GB"/>
        </w:rPr>
        <w:noBreakHyphen/>
        <w:t xml:space="preserve">T in accordance with Resolution 140 (Rev. Dubai, 2018) </w:t>
      </w:r>
      <w:r w:rsidRPr="00380B40">
        <w:rPr>
          <w:rFonts w:asciiTheme="majorBidi" w:hAnsiTheme="majorBidi"/>
          <w:lang w:val="en-GB"/>
        </w:rPr>
        <w:t>and Council Resolution</w:t>
      </w:r>
      <w:r w:rsidRPr="00380B40">
        <w:rPr>
          <w:rFonts w:asciiTheme="majorBidi" w:hAnsiTheme="majorBidi" w:cstheme="majorBidi"/>
          <w:szCs w:val="24"/>
          <w:lang w:val="en-GB"/>
        </w:rPr>
        <w:t> </w:t>
      </w:r>
      <w:r w:rsidRPr="00380B40">
        <w:rPr>
          <w:rFonts w:asciiTheme="majorBidi" w:hAnsiTheme="majorBidi"/>
          <w:lang w:val="en-GB"/>
        </w:rPr>
        <w:t>1332</w:t>
      </w:r>
      <w:r w:rsidRPr="00380B40">
        <w:rPr>
          <w:lang w:val="en-GB"/>
        </w:rPr>
        <w:t>;</w:t>
      </w:r>
    </w:p>
    <w:p w14:paraId="1C663FC0" w14:textId="77777777" w:rsidR="00820507" w:rsidRPr="00380B40" w:rsidRDefault="00820507" w:rsidP="00820507">
      <w:pPr>
        <w:rPr>
          <w:lang w:val="en-GB"/>
        </w:rPr>
      </w:pPr>
      <w:r w:rsidRPr="00380B40">
        <w:rPr>
          <w:lang w:val="en-GB"/>
        </w:rPr>
        <w:t>3</w:t>
      </w:r>
      <w:r w:rsidRPr="00380B40">
        <w:rPr>
          <w:lang w:val="en-GB"/>
        </w:rPr>
        <w:tab/>
        <w:t>in implementing the WSIS outcomes, taking into account the 2030 Agenda for Sustainable Development, within the mandate of ITU</w:t>
      </w:r>
      <w:r w:rsidRPr="00380B40">
        <w:rPr>
          <w:lang w:val="en-GB"/>
        </w:rPr>
        <w:noBreakHyphen/>
        <w:t>T, to pay special attention to the needs of the developing countries;</w:t>
      </w:r>
    </w:p>
    <w:p w14:paraId="19A85F9A" w14:textId="77777777" w:rsidR="007A3B76" w:rsidRPr="00380B40" w:rsidRDefault="007A3B76" w:rsidP="00820507">
      <w:pPr>
        <w:rPr>
          <w:lang w:val="en-GB"/>
        </w:rPr>
      </w:pPr>
      <w:r w:rsidRPr="00380B40">
        <w:rPr>
          <w:lang w:val="en-GB"/>
        </w:rPr>
        <w:br w:type="page"/>
      </w:r>
    </w:p>
    <w:p w14:paraId="6B6848EC" w14:textId="77777777" w:rsidR="00820507" w:rsidRPr="00380B40" w:rsidRDefault="00820507" w:rsidP="00820507">
      <w:pPr>
        <w:rPr>
          <w:lang w:val="en-GB"/>
        </w:rPr>
      </w:pPr>
      <w:r w:rsidRPr="00380B40">
        <w:rPr>
          <w:lang w:val="en-GB"/>
        </w:rPr>
        <w:t>4</w:t>
      </w:r>
      <w:r w:rsidRPr="00380B40">
        <w:rPr>
          <w:lang w:val="en-GB"/>
        </w:rPr>
        <w:tab/>
        <w:t>to provide information on emerging trends based on ITU</w:t>
      </w:r>
      <w:r w:rsidRPr="00380B40">
        <w:rPr>
          <w:lang w:val="en-GB"/>
        </w:rPr>
        <w:noBreakHyphen/>
        <w:t>T activities;</w:t>
      </w:r>
    </w:p>
    <w:p w14:paraId="1AC2657F" w14:textId="77777777" w:rsidR="00820507" w:rsidRPr="00380B40" w:rsidRDefault="00820507" w:rsidP="00820507">
      <w:pPr>
        <w:rPr>
          <w:lang w:val="en-GB"/>
        </w:rPr>
      </w:pPr>
      <w:r w:rsidRPr="00380B40">
        <w:rPr>
          <w:lang w:val="en-GB"/>
        </w:rPr>
        <w:t>5</w:t>
      </w:r>
      <w:r w:rsidRPr="00380B40">
        <w:rPr>
          <w:lang w:val="en-GB"/>
        </w:rPr>
        <w:tab/>
        <w:t>to take appropriate action to facilitate the activities for implementation of this resolution;</w:t>
      </w:r>
    </w:p>
    <w:p w14:paraId="2EBC7202" w14:textId="77777777" w:rsidR="00820507" w:rsidRPr="00380B40" w:rsidRDefault="00820507" w:rsidP="00820507">
      <w:pPr>
        <w:rPr>
          <w:lang w:val="en-GB"/>
        </w:rPr>
      </w:pPr>
      <w:r w:rsidRPr="00380B40">
        <w:rPr>
          <w:lang w:val="en-GB"/>
        </w:rPr>
        <w:t>6</w:t>
      </w:r>
      <w:r w:rsidRPr="00380B40">
        <w:rPr>
          <w:lang w:val="en-GB"/>
        </w:rPr>
        <w:tab/>
        <w:t xml:space="preserve">to submit contributions to the relevant annual reports of the ITU Secretary-General on these activities, </w:t>
      </w:r>
    </w:p>
    <w:p w14:paraId="0E6E8B66" w14:textId="77777777" w:rsidR="00820507" w:rsidRPr="00380B40" w:rsidRDefault="00820507" w:rsidP="00820507">
      <w:pPr>
        <w:pStyle w:val="Call"/>
        <w:rPr>
          <w:lang w:val="en-GB"/>
        </w:rPr>
      </w:pPr>
      <w:r w:rsidRPr="00380B40">
        <w:rPr>
          <w:lang w:val="en-GB"/>
        </w:rPr>
        <w:t>invites Member States, Sector Members, Associates and Academia</w:t>
      </w:r>
    </w:p>
    <w:p w14:paraId="41E68545" w14:textId="77777777" w:rsidR="00820507" w:rsidRPr="00380B40" w:rsidRDefault="00820507" w:rsidP="00820507">
      <w:pPr>
        <w:rPr>
          <w:lang w:val="en-GB"/>
        </w:rPr>
      </w:pPr>
      <w:r w:rsidRPr="00380B40">
        <w:rPr>
          <w:lang w:val="en-GB"/>
        </w:rPr>
        <w:t>1</w:t>
      </w:r>
      <w:r w:rsidRPr="00380B40">
        <w:rPr>
          <w:lang w:val="en-GB"/>
        </w:rPr>
        <w:tab/>
        <w:t>to submit contributions to relevant ITU</w:t>
      </w:r>
      <w:r w:rsidRPr="00380B40">
        <w:rPr>
          <w:lang w:val="en-GB"/>
        </w:rPr>
        <w:noBreakHyphen/>
        <w:t>T study groups and to the Telecommunication Standardization Advisory Group, where appropriate, and contribute to CWG</w:t>
      </w:r>
      <w:r w:rsidRPr="00380B40">
        <w:rPr>
          <w:lang w:val="en-GB"/>
        </w:rPr>
        <w:noBreakHyphen/>
        <w:t>WSIS&amp;SDG on implementing WSIS outcomes</w:t>
      </w:r>
      <w:r w:rsidRPr="00380B40">
        <w:rPr>
          <w:rFonts w:asciiTheme="majorBidi" w:hAnsiTheme="majorBidi"/>
          <w:lang w:val="en-GB"/>
        </w:rPr>
        <w:t xml:space="preserve">, taking into account the </w:t>
      </w:r>
      <w:r w:rsidRPr="00380B40">
        <w:rPr>
          <w:rFonts w:asciiTheme="majorBidi" w:hAnsiTheme="majorBidi"/>
          <w:color w:val="000000"/>
          <w:lang w:val="en-GB"/>
        </w:rPr>
        <w:t>2030 Agenda for Sustainable Development</w:t>
      </w:r>
      <w:r w:rsidRPr="00380B40">
        <w:rPr>
          <w:lang w:val="en-GB"/>
        </w:rPr>
        <w:t xml:space="preserve"> within the ITU mandate;</w:t>
      </w:r>
    </w:p>
    <w:p w14:paraId="43939144" w14:textId="77777777" w:rsidR="00820507" w:rsidRPr="00380B40" w:rsidRDefault="00820507" w:rsidP="00820507">
      <w:pPr>
        <w:rPr>
          <w:lang w:val="en-GB"/>
        </w:rPr>
      </w:pPr>
      <w:r w:rsidRPr="00380B40">
        <w:rPr>
          <w:lang w:val="en-GB"/>
        </w:rPr>
        <w:t>2</w:t>
      </w:r>
      <w:r w:rsidRPr="00380B40">
        <w:rPr>
          <w:lang w:val="en-GB"/>
        </w:rPr>
        <w:tab/>
        <w:t>to support and collaborate with the Director of the Telecommunication Standardization Bureau in implementing relevant WSIS outcomes</w:t>
      </w:r>
      <w:r w:rsidRPr="00380B40">
        <w:rPr>
          <w:rFonts w:asciiTheme="majorBidi" w:hAnsiTheme="majorBidi"/>
          <w:lang w:val="en-GB"/>
        </w:rPr>
        <w:t xml:space="preserve">, taking into account the </w:t>
      </w:r>
      <w:r w:rsidRPr="00380B40">
        <w:rPr>
          <w:rFonts w:asciiTheme="majorBidi" w:hAnsiTheme="majorBidi"/>
          <w:color w:val="000000"/>
          <w:lang w:val="en-GB"/>
        </w:rPr>
        <w:t xml:space="preserve">2030 Agenda for Sustainable Development, </w:t>
      </w:r>
      <w:r w:rsidRPr="00380B40">
        <w:rPr>
          <w:lang w:val="en-GB"/>
        </w:rPr>
        <w:t>in ITU</w:t>
      </w:r>
      <w:r w:rsidRPr="00380B40">
        <w:rPr>
          <w:lang w:val="en-GB"/>
        </w:rPr>
        <w:noBreakHyphen/>
        <w:t>T;</w:t>
      </w:r>
    </w:p>
    <w:p w14:paraId="0F38B872" w14:textId="77777777" w:rsidR="00820507" w:rsidRPr="00380B40" w:rsidRDefault="00820507" w:rsidP="00820507">
      <w:pPr>
        <w:rPr>
          <w:lang w:val="en-GB"/>
        </w:rPr>
      </w:pPr>
      <w:r w:rsidRPr="00380B40">
        <w:rPr>
          <w:rFonts w:asciiTheme="majorBidi" w:hAnsiTheme="majorBidi" w:cstheme="majorBidi"/>
          <w:szCs w:val="24"/>
          <w:lang w:val="en-GB"/>
        </w:rPr>
        <w:t>3</w:t>
      </w:r>
      <w:r w:rsidRPr="00380B40">
        <w:rPr>
          <w:rFonts w:asciiTheme="majorBidi" w:hAnsiTheme="majorBidi" w:cstheme="majorBidi"/>
          <w:szCs w:val="24"/>
          <w:lang w:val="en-GB"/>
        </w:rPr>
        <w:tab/>
      </w:r>
      <w:r w:rsidRPr="00380B40">
        <w:rPr>
          <w:rFonts w:asciiTheme="majorBidi" w:hAnsiTheme="majorBidi"/>
          <w:lang w:val="en-GB"/>
        </w:rPr>
        <w:t>to submit contributions to CWG</w:t>
      </w:r>
      <w:r w:rsidRPr="00380B40">
        <w:rPr>
          <w:rFonts w:asciiTheme="majorBidi" w:hAnsiTheme="majorBidi" w:cstheme="majorBidi"/>
          <w:szCs w:val="24"/>
          <w:lang w:val="en-GB"/>
        </w:rPr>
        <w:noBreakHyphen/>
      </w:r>
      <w:r w:rsidRPr="00380B40">
        <w:rPr>
          <w:rFonts w:asciiTheme="majorBidi" w:hAnsiTheme="majorBidi"/>
          <w:lang w:val="en-GB"/>
        </w:rPr>
        <w:t>WSIS</w:t>
      </w:r>
      <w:r w:rsidRPr="00380B40">
        <w:rPr>
          <w:lang w:val="en-GB"/>
        </w:rPr>
        <w:t>&amp;SDG,</w:t>
      </w:r>
    </w:p>
    <w:p w14:paraId="0E089F9F" w14:textId="77777777" w:rsidR="00820507" w:rsidRPr="00380B40" w:rsidRDefault="00820507" w:rsidP="00820507">
      <w:pPr>
        <w:pStyle w:val="Call"/>
        <w:rPr>
          <w:lang w:val="en-GB"/>
        </w:rPr>
      </w:pPr>
      <w:r w:rsidRPr="00380B40">
        <w:rPr>
          <w:lang w:val="en-GB"/>
        </w:rPr>
        <w:t>invites Member States</w:t>
      </w:r>
    </w:p>
    <w:p w14:paraId="7BE03EB2" w14:textId="77777777" w:rsidR="00820507" w:rsidRPr="00380B40" w:rsidRDefault="00820507" w:rsidP="00820507">
      <w:pPr>
        <w:rPr>
          <w:lang w:val="en-GB"/>
        </w:rPr>
      </w:pPr>
      <w:r w:rsidRPr="00380B40">
        <w:rPr>
          <w:lang w:val="en-GB"/>
        </w:rPr>
        <w:t>to submit contributions to CWG</w:t>
      </w:r>
      <w:r w:rsidRPr="00380B40">
        <w:rPr>
          <w:lang w:val="en-GB"/>
        </w:rPr>
        <w:noBreakHyphen/>
        <w:t>Internet,</w:t>
      </w:r>
    </w:p>
    <w:p w14:paraId="64D22BBF" w14:textId="77777777" w:rsidR="00820507" w:rsidRPr="00380B40" w:rsidRDefault="00820507" w:rsidP="00820507">
      <w:pPr>
        <w:pStyle w:val="Call"/>
        <w:rPr>
          <w:lang w:val="en-GB"/>
        </w:rPr>
      </w:pPr>
      <w:r w:rsidRPr="00380B40">
        <w:rPr>
          <w:lang w:val="en-GB"/>
        </w:rPr>
        <w:t>invites all stakeholders</w:t>
      </w:r>
    </w:p>
    <w:p w14:paraId="6DE52C9B" w14:textId="77777777" w:rsidR="00820507" w:rsidRPr="00380B40" w:rsidRDefault="00820507" w:rsidP="00820507">
      <w:pPr>
        <w:rPr>
          <w:rFonts w:asciiTheme="majorBidi" w:hAnsiTheme="majorBidi" w:cstheme="majorBidi"/>
          <w:szCs w:val="24"/>
          <w:lang w:val="en-GB"/>
        </w:rPr>
      </w:pPr>
      <w:r w:rsidRPr="00380B40">
        <w:rPr>
          <w:rFonts w:asciiTheme="majorBidi" w:hAnsiTheme="majorBidi" w:cstheme="majorBidi"/>
          <w:szCs w:val="24"/>
          <w:lang w:val="en-GB"/>
        </w:rPr>
        <w:t>1</w:t>
      </w:r>
      <w:r w:rsidRPr="00380B40">
        <w:rPr>
          <w:rFonts w:asciiTheme="majorBidi" w:hAnsiTheme="majorBidi" w:cstheme="majorBidi"/>
          <w:szCs w:val="24"/>
          <w:lang w:val="en-GB"/>
        </w:rPr>
        <w:tab/>
        <w:t>to participate actively in ITU WSIS implementation activities, including in ITU</w:t>
      </w:r>
      <w:r w:rsidRPr="00380B40">
        <w:rPr>
          <w:rFonts w:asciiTheme="majorBidi" w:hAnsiTheme="majorBidi" w:cstheme="majorBidi"/>
          <w:szCs w:val="24"/>
          <w:lang w:val="en-GB"/>
        </w:rPr>
        <w:noBreakHyphen/>
        <w:t>T, to support achieving the 2030 Agenda for Sustainable Development, as appropriate;</w:t>
      </w:r>
    </w:p>
    <w:p w14:paraId="0BED1792" w14:textId="77777777" w:rsidR="00820507" w:rsidRPr="00380B40" w:rsidRDefault="00820507" w:rsidP="00820507">
      <w:pPr>
        <w:rPr>
          <w:rFonts w:asciiTheme="majorBidi" w:hAnsiTheme="majorBidi" w:cstheme="majorBidi"/>
          <w:szCs w:val="24"/>
          <w:lang w:val="en-GB"/>
        </w:rPr>
      </w:pPr>
      <w:r w:rsidRPr="00380B40">
        <w:rPr>
          <w:rFonts w:asciiTheme="majorBidi" w:hAnsiTheme="majorBidi" w:cstheme="majorBidi"/>
          <w:szCs w:val="24"/>
          <w:lang w:val="en-GB"/>
        </w:rPr>
        <w:t>2</w:t>
      </w:r>
      <w:r w:rsidRPr="00380B40">
        <w:rPr>
          <w:rFonts w:asciiTheme="majorBidi" w:hAnsiTheme="majorBidi" w:cstheme="majorBidi"/>
          <w:szCs w:val="24"/>
          <w:lang w:val="en-GB"/>
        </w:rPr>
        <w:tab/>
        <w:t>to participate actively in the online and physical open consultations of CWG</w:t>
      </w:r>
      <w:r w:rsidRPr="00380B40">
        <w:rPr>
          <w:rFonts w:asciiTheme="majorBidi" w:hAnsiTheme="majorBidi" w:cstheme="majorBidi"/>
          <w:szCs w:val="24"/>
          <w:lang w:val="en-GB"/>
        </w:rPr>
        <w:noBreakHyphen/>
        <w:t>Internet.</w:t>
      </w:r>
    </w:p>
    <w:p w14:paraId="21ADE6D3" w14:textId="77777777" w:rsidR="000E7F27" w:rsidRPr="00380B40"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77CFBA1" w14:textId="77777777" w:rsidR="000E7F27" w:rsidRPr="00380B40"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0CE1434" w14:textId="77777777" w:rsidR="000E7F27" w:rsidRPr="00380B40"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CE9B1A7" w14:textId="77777777" w:rsidR="007A3B76" w:rsidRPr="00380B40" w:rsidRDefault="007A3B7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C515EAA" w14:textId="77777777" w:rsidR="007A3B76" w:rsidRPr="00380B40" w:rsidRDefault="007A3B7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8A95CAD" w14:textId="77777777" w:rsidR="007A3B76" w:rsidRPr="00380B40" w:rsidRDefault="007A3B7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455262D" w14:textId="77777777" w:rsidR="007A3B76" w:rsidRPr="00380B40" w:rsidRDefault="007A3B7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1A65134" w14:textId="77777777" w:rsidR="007A3B76" w:rsidRPr="00380B40" w:rsidRDefault="007A3B7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4863553" w14:textId="77777777" w:rsidR="007A3B76" w:rsidRPr="00380B40" w:rsidRDefault="007A3B7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BB86752" w14:textId="77777777" w:rsidR="007A3B76" w:rsidRPr="00380B40" w:rsidRDefault="007A3B7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C60C181" w14:textId="77777777" w:rsidR="007A3B76" w:rsidRPr="00380B40" w:rsidRDefault="007A3B7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6EC507F" w14:textId="77777777" w:rsidR="001718FC" w:rsidRPr="00380B40" w:rsidRDefault="001718F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2D901DC" w14:textId="77777777" w:rsidR="001718FC" w:rsidRPr="00380B40" w:rsidRDefault="001718F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A293A14" w14:textId="77777777" w:rsidR="00B97E2C" w:rsidRPr="00380B40" w:rsidRDefault="00B97E2C" w:rsidP="00B97E2C">
      <w:pPr>
        <w:rPr>
          <w:lang w:val="en-GB"/>
        </w:rPr>
      </w:pPr>
    </w:p>
    <w:p w14:paraId="3AA5CCFC" w14:textId="77777777" w:rsidR="00B97E2C" w:rsidRPr="00380B40" w:rsidRDefault="00B97E2C" w:rsidP="00B97E2C">
      <w:pPr>
        <w:rPr>
          <w:lang w:val="en-GB"/>
        </w:rPr>
        <w:sectPr w:rsidR="00B97E2C" w:rsidRPr="00380B40" w:rsidSect="00514D9A">
          <w:headerReference w:type="even" r:id="rId223"/>
          <w:headerReference w:type="default" r:id="rId224"/>
          <w:footerReference w:type="even" r:id="rId225"/>
          <w:footerReference w:type="default" r:id="rId226"/>
          <w:headerReference w:type="first" r:id="rId227"/>
          <w:footerReference w:type="first" r:id="rId228"/>
          <w:footnotePr>
            <w:numRestart w:val="eachSect"/>
          </w:footnotePr>
          <w:pgSz w:w="11907" w:h="16834" w:code="9"/>
          <w:pgMar w:top="1134" w:right="1134" w:bottom="1134" w:left="1134" w:header="567" w:footer="567" w:gutter="0"/>
          <w:paperSrc w:first="15" w:other="15"/>
          <w:cols w:space="720"/>
          <w:vAlign w:val="both"/>
          <w:docGrid w:linePitch="299"/>
        </w:sectPr>
      </w:pPr>
    </w:p>
    <w:p w14:paraId="05B5B079" w14:textId="77777777" w:rsidR="0065003E" w:rsidRPr="00380B40" w:rsidRDefault="0065003E" w:rsidP="00820507">
      <w:pPr>
        <w:pStyle w:val="ResNo"/>
        <w:rPr>
          <w:lang w:val="en-GB"/>
        </w:rPr>
      </w:pPr>
      <w:bookmarkStart w:id="338" w:name="_Toc104459763"/>
      <w:bookmarkStart w:id="339" w:name="_Toc104476571"/>
      <w:bookmarkStart w:id="340" w:name="_Toc111636795"/>
      <w:bookmarkStart w:id="341" w:name="_Toc111638464"/>
      <w:r w:rsidRPr="00380B40">
        <w:rPr>
          <w:lang w:val="en-GB"/>
        </w:rPr>
        <w:t xml:space="preserve">RESOLUTION </w:t>
      </w:r>
      <w:r w:rsidRPr="00380B40">
        <w:rPr>
          <w:rStyle w:val="href"/>
          <w:lang w:val="en-GB"/>
        </w:rPr>
        <w:t>76</w:t>
      </w:r>
      <w:r w:rsidRPr="00380B40">
        <w:rPr>
          <w:lang w:val="en-GB"/>
        </w:rPr>
        <w:t xml:space="preserve"> </w:t>
      </w:r>
      <w:r w:rsidR="00820507" w:rsidRPr="00380B40">
        <w:rPr>
          <w:lang w:val="en-GB"/>
        </w:rPr>
        <w:t>(R</w:t>
      </w:r>
      <w:r w:rsidR="001718FC" w:rsidRPr="00380B40">
        <w:rPr>
          <w:caps w:val="0"/>
          <w:lang w:val="en-GB"/>
        </w:rPr>
        <w:t>ev</w:t>
      </w:r>
      <w:r w:rsidR="00820507" w:rsidRPr="00380B40">
        <w:rPr>
          <w:lang w:val="en-GB"/>
        </w:rPr>
        <w:t>. G</w:t>
      </w:r>
      <w:r w:rsidR="001718FC" w:rsidRPr="00380B40">
        <w:rPr>
          <w:caps w:val="0"/>
          <w:lang w:val="en-GB"/>
        </w:rPr>
        <w:t>eneva</w:t>
      </w:r>
      <w:r w:rsidR="00820507" w:rsidRPr="00380B40">
        <w:rPr>
          <w:lang w:val="en-GB"/>
        </w:rPr>
        <w:t>, 2022)</w:t>
      </w:r>
      <w:bookmarkEnd w:id="338"/>
      <w:bookmarkEnd w:id="339"/>
      <w:bookmarkEnd w:id="340"/>
      <w:bookmarkEnd w:id="341"/>
    </w:p>
    <w:p w14:paraId="263FCC07" w14:textId="77777777" w:rsidR="00820507" w:rsidRPr="00380B40" w:rsidRDefault="00820507" w:rsidP="00820507">
      <w:pPr>
        <w:pStyle w:val="Restitle"/>
        <w:rPr>
          <w:lang w:val="en-GB"/>
        </w:rPr>
      </w:pPr>
      <w:bookmarkStart w:id="342" w:name="_Toc104459764"/>
      <w:bookmarkStart w:id="343" w:name="_Toc104476572"/>
      <w:bookmarkStart w:id="344" w:name="_Toc111638465"/>
      <w:r w:rsidRPr="00380B40">
        <w:rPr>
          <w:lang w:val="en-GB"/>
        </w:rPr>
        <w:t>Studies related to conformance and interoperability testing, assistance to developing countries</w:t>
      </w:r>
      <w:r w:rsidR="00FD162E" w:rsidRPr="00380B40">
        <w:rPr>
          <w:rStyle w:val="FootnoteReference"/>
          <w:lang w:val="en-GB"/>
        </w:rPr>
        <w:footnoteReference w:id="44"/>
      </w:r>
      <w:r w:rsidRPr="00380B40">
        <w:rPr>
          <w:lang w:val="en-GB"/>
        </w:rPr>
        <w:t>, and a possible future ITU Mark programme</w:t>
      </w:r>
      <w:bookmarkEnd w:id="342"/>
      <w:bookmarkEnd w:id="343"/>
      <w:bookmarkEnd w:id="344"/>
    </w:p>
    <w:p w14:paraId="7882F99D" w14:textId="77777777" w:rsidR="00820507" w:rsidRPr="00380B40" w:rsidRDefault="00820507" w:rsidP="00566AA6">
      <w:pPr>
        <w:pStyle w:val="Resref"/>
        <w:rPr>
          <w:lang w:val="en-GB"/>
        </w:rPr>
      </w:pPr>
      <w:r w:rsidRPr="00380B40">
        <w:rPr>
          <w:lang w:val="en-GB"/>
        </w:rPr>
        <w:t>(Johannesburg, 2008; Dubai, 2012; Hammamet, 2016; Geneva 2022)</w:t>
      </w:r>
    </w:p>
    <w:p w14:paraId="53AEEA67" w14:textId="77777777" w:rsidR="00820507" w:rsidRPr="00380B40" w:rsidRDefault="00820507" w:rsidP="00820507">
      <w:pPr>
        <w:pStyle w:val="Normalaftertitle0"/>
      </w:pPr>
      <w:r w:rsidRPr="00380B40">
        <w:t>The World Telecommunication Standardization Assembly (Geneva, 2022),</w:t>
      </w:r>
    </w:p>
    <w:p w14:paraId="786360AF" w14:textId="77777777" w:rsidR="00820507" w:rsidRPr="00380B40" w:rsidRDefault="00820507" w:rsidP="00820507">
      <w:pPr>
        <w:pStyle w:val="Call"/>
        <w:rPr>
          <w:lang w:val="en-GB"/>
        </w:rPr>
      </w:pPr>
      <w:r w:rsidRPr="00380B40">
        <w:rPr>
          <w:lang w:val="en-GB"/>
        </w:rPr>
        <w:t>recalling</w:t>
      </w:r>
    </w:p>
    <w:p w14:paraId="17810FAA" w14:textId="77777777" w:rsidR="00820507" w:rsidRPr="00380B40" w:rsidRDefault="00820507" w:rsidP="00820507">
      <w:pPr>
        <w:rPr>
          <w:lang w:val="en-GB"/>
        </w:rPr>
      </w:pPr>
      <w:r w:rsidRPr="00380B40">
        <w:rPr>
          <w:i/>
          <w:iCs/>
          <w:lang w:val="en-GB"/>
        </w:rPr>
        <w:t>a)</w:t>
      </w:r>
      <w:r w:rsidRPr="00380B40">
        <w:rPr>
          <w:lang w:val="en-GB"/>
        </w:rPr>
        <w:tab/>
        <w:t>that Resolution 123 (Rev. Dubai, 2018) of the Plenipotentiary Conference instructs the Secretary-General and the Directors of the three Bureaux to work closely with each other in order to step up actions intended to reduce the standardization gap between developing and developed countries;</w:t>
      </w:r>
    </w:p>
    <w:p w14:paraId="4D42AA6C" w14:textId="77777777" w:rsidR="00820507" w:rsidRPr="00380B40" w:rsidRDefault="00820507" w:rsidP="00820507">
      <w:pPr>
        <w:rPr>
          <w:lang w:val="en-GB"/>
        </w:rPr>
      </w:pPr>
      <w:r w:rsidRPr="00380B40">
        <w:rPr>
          <w:i/>
          <w:iCs/>
          <w:lang w:val="en-GB"/>
        </w:rPr>
        <w:t>b)</w:t>
      </w:r>
      <w:r w:rsidRPr="00380B40">
        <w:rPr>
          <w:lang w:val="en-GB"/>
        </w:rPr>
        <w:tab/>
        <w:t>that Resolution 200 (Rev. Dubai, 2018) of the Plenipotentiary Conference resolves to reaffirm a shared global vision for the development of the telecommunication/information and communication technology (ICT) sector, including broadband, for sustainable development under the Connect 2030 Agenda, envisaging "an information society, empowered by the interconnected world, where telecommunications/ICTs enable and accelerate social, economic and environmentally sustainable growth and development for everyone";</w:t>
      </w:r>
    </w:p>
    <w:p w14:paraId="1190DDE2" w14:textId="77777777" w:rsidR="00820507" w:rsidRPr="00380B40" w:rsidRDefault="00820507" w:rsidP="00820507">
      <w:pPr>
        <w:rPr>
          <w:lang w:val="en-GB"/>
        </w:rPr>
      </w:pPr>
      <w:r w:rsidRPr="00380B40">
        <w:rPr>
          <w:i/>
          <w:iCs/>
          <w:lang w:val="en-GB"/>
        </w:rPr>
        <w:t>c)</w:t>
      </w:r>
      <w:r w:rsidRPr="00380B40">
        <w:rPr>
          <w:lang w:val="en-GB"/>
        </w:rPr>
        <w:tab/>
        <w:t>that Article 17 of the ITU Constitution, while providing that the functions of the ITU Telecommunication Standardization Sector (ITU</w:t>
      </w:r>
      <w:r w:rsidRPr="00380B40">
        <w:rPr>
          <w:lang w:val="en-GB"/>
        </w:rPr>
        <w:noBreakHyphen/>
        <w:t>T) shall fulfil the purposes of the Union relating to telecommunication standardization, stipulates that ITU-T perform such functions "bearing in mind the particular concerns of the developing countries";</w:t>
      </w:r>
    </w:p>
    <w:p w14:paraId="7D9CE91C" w14:textId="77777777" w:rsidR="00820507" w:rsidRPr="00380B40" w:rsidRDefault="00820507" w:rsidP="00820507">
      <w:pPr>
        <w:rPr>
          <w:lang w:val="en-GB"/>
        </w:rPr>
      </w:pPr>
      <w:r w:rsidRPr="00380B40">
        <w:rPr>
          <w:i/>
          <w:iCs/>
          <w:lang w:val="en-GB"/>
        </w:rPr>
        <w:t>d)</w:t>
      </w:r>
      <w:r w:rsidRPr="00380B40">
        <w:rPr>
          <w:lang w:val="en-GB"/>
        </w:rPr>
        <w:tab/>
        <w:t>the efforts and outputs of the ITU</w:t>
      </w:r>
      <w:r w:rsidRPr="00380B40">
        <w:rPr>
          <w:lang w:val="en-GB"/>
        </w:rPr>
        <w:noBreakHyphen/>
        <w:t>T Conformity Assessment Steering Committee (CASC) under the leadership of ITU</w:t>
      </w:r>
      <w:r w:rsidRPr="00380B40">
        <w:rPr>
          <w:lang w:val="en-GB"/>
        </w:rPr>
        <w:noBreakHyphen/>
        <w:t>T Study Group 11;</w:t>
      </w:r>
    </w:p>
    <w:p w14:paraId="07A7D85A" w14:textId="77777777" w:rsidR="00820507" w:rsidRPr="00380B40" w:rsidRDefault="00820507" w:rsidP="00820507">
      <w:pPr>
        <w:rPr>
          <w:lang w:val="en-GB"/>
        </w:rPr>
      </w:pPr>
      <w:r w:rsidRPr="00380B40">
        <w:rPr>
          <w:i/>
          <w:iCs/>
          <w:lang w:val="en-GB"/>
        </w:rPr>
        <w:t>e)</w:t>
      </w:r>
      <w:r w:rsidRPr="00380B40">
        <w:rPr>
          <w:i/>
          <w:iCs/>
          <w:lang w:val="en-GB"/>
        </w:rPr>
        <w:tab/>
      </w:r>
      <w:r w:rsidRPr="00380B40">
        <w:rPr>
          <w:lang w:val="en-GB"/>
        </w:rPr>
        <w:t>Resolution 177 (Rev. Dubai, 2018) of the Plenipotentiary Conference, on conformance and interoperability (C&amp;I),</w:t>
      </w:r>
    </w:p>
    <w:p w14:paraId="4D23ADDD" w14:textId="77777777" w:rsidR="00820507" w:rsidRPr="00380B40" w:rsidRDefault="00820507" w:rsidP="00820507">
      <w:pPr>
        <w:pStyle w:val="Call"/>
        <w:rPr>
          <w:lang w:val="en-GB"/>
        </w:rPr>
      </w:pPr>
      <w:r w:rsidRPr="00380B40">
        <w:rPr>
          <w:lang w:val="en-GB"/>
        </w:rPr>
        <w:t>recognizing</w:t>
      </w:r>
    </w:p>
    <w:p w14:paraId="6CD1E7D3" w14:textId="77777777" w:rsidR="00820507" w:rsidRPr="00380B40" w:rsidRDefault="00820507" w:rsidP="00820507">
      <w:pPr>
        <w:rPr>
          <w:lang w:val="en-GB"/>
        </w:rPr>
      </w:pPr>
      <w:r w:rsidRPr="00380B40">
        <w:rPr>
          <w:i/>
          <w:iCs/>
          <w:lang w:val="en-GB"/>
        </w:rPr>
        <w:t>a)</w:t>
      </w:r>
      <w:r w:rsidRPr="00380B40">
        <w:rPr>
          <w:lang w:val="en-GB"/>
        </w:rPr>
        <w:tab/>
        <w:t>that interoperability of international telecommunication networks was the main reason for creating the International Telegraph Union in 1865, and that this remains one of the main goals in the ITU strategic plan;</w:t>
      </w:r>
    </w:p>
    <w:p w14:paraId="4BB7831C" w14:textId="77777777" w:rsidR="00820507" w:rsidRPr="00380B40" w:rsidRDefault="00820507" w:rsidP="00820507">
      <w:pPr>
        <w:rPr>
          <w:lang w:val="en-GB"/>
        </w:rPr>
      </w:pPr>
      <w:r w:rsidRPr="00380B40">
        <w:rPr>
          <w:i/>
          <w:iCs/>
          <w:lang w:val="en-GB"/>
        </w:rPr>
        <w:t>b)</w:t>
      </w:r>
      <w:r w:rsidRPr="00380B40">
        <w:rPr>
          <w:lang w:val="en-GB"/>
        </w:rPr>
        <w:tab/>
        <w:t>that emerging technologies such as Internet of Things (IoT), International Mobile Telecommunications-2020 (IMT-2020), etc. have increasing requirements for C&amp;I testing;</w:t>
      </w:r>
    </w:p>
    <w:p w14:paraId="5A2DB3F2" w14:textId="77777777" w:rsidR="007A3B76" w:rsidRPr="00380B40" w:rsidRDefault="007A3B76" w:rsidP="00820507">
      <w:pPr>
        <w:rPr>
          <w:i/>
          <w:iCs/>
          <w:lang w:val="en-GB"/>
        </w:rPr>
      </w:pPr>
      <w:r w:rsidRPr="00380B40">
        <w:rPr>
          <w:i/>
          <w:iCs/>
          <w:lang w:val="en-GB"/>
        </w:rPr>
        <w:br w:type="page"/>
      </w:r>
    </w:p>
    <w:p w14:paraId="265D1E89" w14:textId="77777777" w:rsidR="00820507" w:rsidRPr="00380B40" w:rsidRDefault="00820507" w:rsidP="00820507">
      <w:pPr>
        <w:rPr>
          <w:lang w:val="en-GB"/>
        </w:rPr>
      </w:pPr>
      <w:r w:rsidRPr="00380B40">
        <w:rPr>
          <w:i/>
          <w:iCs/>
          <w:lang w:val="en-GB"/>
        </w:rPr>
        <w:t>c)</w:t>
      </w:r>
      <w:r w:rsidRPr="00380B40">
        <w:rPr>
          <w:lang w:val="en-GB"/>
        </w:rPr>
        <w:tab/>
        <w:t>that conformity assessment is the accepted way of demonstrating that a product adheres to an international standard, and conformity assessment continues to be important in the context of World Trade Organization members' international standardization commitments under the Agreement on Technical Barriers to Trade;</w:t>
      </w:r>
    </w:p>
    <w:p w14:paraId="5D693C85" w14:textId="77777777" w:rsidR="00820507" w:rsidRPr="00380B40" w:rsidRDefault="00820507" w:rsidP="00820507">
      <w:pPr>
        <w:rPr>
          <w:lang w:val="en-GB"/>
        </w:rPr>
      </w:pPr>
      <w:r w:rsidRPr="00380B40">
        <w:rPr>
          <w:i/>
          <w:iCs/>
          <w:lang w:val="en-GB"/>
        </w:rPr>
        <w:t>d)</w:t>
      </w:r>
      <w:r w:rsidRPr="00380B40">
        <w:rPr>
          <w:lang w:val="en-GB"/>
        </w:rPr>
        <w:tab/>
        <w:t xml:space="preserve">that conformance testing </w:t>
      </w:r>
      <w:r w:rsidRPr="00380B40">
        <w:rPr>
          <w:szCs w:val="24"/>
          <w:lang w:val="en-GB"/>
        </w:rPr>
        <w:t xml:space="preserve">does not guarantee interoperability but </w:t>
      </w:r>
      <w:r w:rsidRPr="00380B40">
        <w:rPr>
          <w:lang w:val="en-GB"/>
        </w:rPr>
        <w:t>could increase the chance of interoperability of equipment conforming to ITU</w:t>
      </w:r>
      <w:r w:rsidRPr="00380B40">
        <w:rPr>
          <w:lang w:val="en-GB"/>
        </w:rPr>
        <w:noBreakHyphen/>
        <w:t>T Recommendations, particularly during the development phase;</w:t>
      </w:r>
    </w:p>
    <w:p w14:paraId="2943907C" w14:textId="77777777" w:rsidR="00820507" w:rsidRPr="00380B40" w:rsidRDefault="00820507" w:rsidP="00820507">
      <w:pPr>
        <w:rPr>
          <w:lang w:val="en-GB"/>
        </w:rPr>
      </w:pPr>
      <w:r w:rsidRPr="00380B40">
        <w:rPr>
          <w:i/>
          <w:iCs/>
          <w:lang w:val="en-GB"/>
        </w:rPr>
        <w:t>e)</w:t>
      </w:r>
      <w:r w:rsidRPr="00380B40">
        <w:rPr>
          <w:lang w:val="en-GB"/>
        </w:rPr>
        <w:tab/>
        <w:t>that technical training and institutional capacity development for testing and certification are essential issues for countries to improve their conformity assessment processes, to promote the deployment of advanced telecommunication networks and to increase global connectivity;</w:t>
      </w:r>
    </w:p>
    <w:p w14:paraId="200ABA8B" w14:textId="77777777" w:rsidR="00820507" w:rsidRPr="00380B40" w:rsidRDefault="00820507" w:rsidP="00820507">
      <w:pPr>
        <w:rPr>
          <w:lang w:val="en-GB"/>
        </w:rPr>
      </w:pPr>
      <w:r w:rsidRPr="00380B40">
        <w:rPr>
          <w:i/>
          <w:iCs/>
          <w:lang w:val="en-GB"/>
        </w:rPr>
        <w:t>f)</w:t>
      </w:r>
      <w:r w:rsidRPr="00380B40">
        <w:rPr>
          <w:lang w:val="en-GB"/>
        </w:rPr>
        <w:tab/>
        <w:t>that it is not appropriate for ITU itself to enter into certification and testing of equipment and services that many regional and national standards bodies also provide for conformance testing;</w:t>
      </w:r>
    </w:p>
    <w:p w14:paraId="56A323A3" w14:textId="77777777" w:rsidR="00820507" w:rsidRPr="00380B40" w:rsidRDefault="00820507" w:rsidP="00820507">
      <w:pPr>
        <w:rPr>
          <w:lang w:val="en-GB"/>
        </w:rPr>
      </w:pPr>
      <w:r w:rsidRPr="00380B40">
        <w:rPr>
          <w:i/>
          <w:iCs/>
          <w:lang w:val="en-GB"/>
        </w:rPr>
        <w:t>g)</w:t>
      </w:r>
      <w:r w:rsidRPr="00380B40">
        <w:rPr>
          <w:lang w:val="en-GB"/>
        </w:rPr>
        <w:tab/>
        <w:t>that CASC has been set up for the purpose of developing a procedure for the recognition of ITU experts and elaborating detailed procedures for the implementation of a test laboratory recognition procedure in ITU</w:t>
      </w:r>
      <w:r w:rsidRPr="00380B40">
        <w:rPr>
          <w:lang w:val="en-GB"/>
        </w:rPr>
        <w:noBreakHyphen/>
        <w:t>T;</w:t>
      </w:r>
    </w:p>
    <w:p w14:paraId="4B9B0672" w14:textId="77777777" w:rsidR="00820507" w:rsidRPr="00380B40" w:rsidRDefault="00820507" w:rsidP="00820507">
      <w:pPr>
        <w:rPr>
          <w:lang w:val="en-GB"/>
        </w:rPr>
      </w:pPr>
      <w:r w:rsidRPr="00380B40">
        <w:rPr>
          <w:i/>
          <w:iCs/>
          <w:lang w:val="en-GB"/>
        </w:rPr>
        <w:t>h)</w:t>
      </w:r>
      <w:r w:rsidRPr="00380B40">
        <w:rPr>
          <w:lang w:val="en-GB"/>
        </w:rPr>
        <w:tab/>
        <w:t>that ITU</w:t>
      </w:r>
      <w:r w:rsidRPr="00380B40">
        <w:rPr>
          <w:lang w:val="en-GB"/>
        </w:rPr>
        <w:noBreakHyphen/>
        <w:t>T has a Product Conformity Database and is progressively populating it with details of ICT equipment having undergone testing for conformity with ITU</w:t>
      </w:r>
      <w:r w:rsidRPr="00380B40">
        <w:rPr>
          <w:lang w:val="en-GB"/>
        </w:rPr>
        <w:noBreakHyphen/>
        <w:t>T Recommendations;</w:t>
      </w:r>
    </w:p>
    <w:p w14:paraId="15532247" w14:textId="77777777" w:rsidR="00820507" w:rsidRPr="00380B40" w:rsidRDefault="00820507" w:rsidP="00820507">
      <w:pPr>
        <w:rPr>
          <w:lang w:val="en-GB"/>
        </w:rPr>
      </w:pPr>
      <w:r w:rsidRPr="00380B40">
        <w:rPr>
          <w:i/>
          <w:iCs/>
          <w:lang w:val="en-GB"/>
        </w:rPr>
        <w:t>i)</w:t>
      </w:r>
      <w:r w:rsidRPr="00380B40">
        <w:rPr>
          <w:lang w:val="en-GB"/>
        </w:rPr>
        <w:tab/>
        <w:t>that the ITU C&amp;I programme contains four pillars namely: 1) conformity assessment, 2) interoperability events, 3) human resource capacity building, and 4) assistance in the establishment of test centres and C&amp;I programmes in developing countries;</w:t>
      </w:r>
    </w:p>
    <w:p w14:paraId="3156AF9F" w14:textId="77777777" w:rsidR="00820507" w:rsidRPr="00380B40" w:rsidRDefault="00820507" w:rsidP="00820507">
      <w:pPr>
        <w:rPr>
          <w:lang w:val="en-GB"/>
        </w:rPr>
      </w:pPr>
      <w:r w:rsidRPr="00380B40">
        <w:rPr>
          <w:i/>
          <w:iCs/>
          <w:lang w:val="en-GB"/>
        </w:rPr>
        <w:t>j)</w:t>
      </w:r>
      <w:r w:rsidRPr="00380B40">
        <w:rPr>
          <w:lang w:val="en-GB"/>
        </w:rPr>
        <w:tab/>
        <w:t>that providing for interoperability should be an important consideration when developing future ITU</w:t>
      </w:r>
      <w:r w:rsidRPr="00380B40">
        <w:rPr>
          <w:lang w:val="en-GB"/>
        </w:rPr>
        <w:noBreakHyphen/>
        <w:t>T Recommendations;</w:t>
      </w:r>
    </w:p>
    <w:p w14:paraId="659C3895" w14:textId="77777777" w:rsidR="00820507" w:rsidRPr="00380B40" w:rsidRDefault="00820507" w:rsidP="00820507">
      <w:pPr>
        <w:rPr>
          <w:lang w:val="en-GB"/>
        </w:rPr>
      </w:pPr>
      <w:r w:rsidRPr="00380B40">
        <w:rPr>
          <w:i/>
          <w:iCs/>
          <w:lang w:val="en-GB"/>
        </w:rPr>
        <w:t>k)</w:t>
      </w:r>
      <w:r w:rsidRPr="00380B40">
        <w:rPr>
          <w:lang w:val="en-GB"/>
        </w:rPr>
        <w:tab/>
        <w:t>that testing for conformity with ITU</w:t>
      </w:r>
      <w:r w:rsidRPr="00380B40">
        <w:rPr>
          <w:lang w:val="en-GB"/>
        </w:rPr>
        <w:noBreakHyphen/>
        <w:t>T Recommendations should help in efforts to address combating counterfeit ICT products;</w:t>
      </w:r>
    </w:p>
    <w:p w14:paraId="35339375" w14:textId="77777777" w:rsidR="00820507" w:rsidRPr="00380B40" w:rsidRDefault="00820507" w:rsidP="00820507">
      <w:pPr>
        <w:rPr>
          <w:lang w:val="en-GB"/>
        </w:rPr>
      </w:pPr>
      <w:r w:rsidRPr="00380B40">
        <w:rPr>
          <w:i/>
          <w:iCs/>
          <w:lang w:val="en-GB"/>
        </w:rPr>
        <w:t>l)</w:t>
      </w:r>
      <w:r w:rsidRPr="00380B40">
        <w:rPr>
          <w:lang w:val="en-GB"/>
        </w:rPr>
        <w:tab/>
        <w:t>that enhancing Member States' capabilities for conformance assessment and testing and the availability of national and regional conformance assessment testing facilities may help combat counterfeit telecommunication/ICT devices and equipment;</w:t>
      </w:r>
    </w:p>
    <w:p w14:paraId="16ACB57D" w14:textId="77777777" w:rsidR="00820507" w:rsidRPr="00380B40" w:rsidRDefault="00820507" w:rsidP="00820507">
      <w:pPr>
        <w:rPr>
          <w:lang w:val="en-GB"/>
        </w:rPr>
      </w:pPr>
      <w:r w:rsidRPr="00380B40">
        <w:rPr>
          <w:i/>
          <w:iCs/>
          <w:lang w:val="en-GB"/>
        </w:rPr>
        <w:t>m)</w:t>
      </w:r>
      <w:r w:rsidRPr="00380B40">
        <w:rPr>
          <w:lang w:val="en-GB"/>
        </w:rPr>
        <w:tab/>
        <w:t>that C&amp;I testing can facilitate the interoperability of certain emerging technologies such as IoT and IMT-2020,</w:t>
      </w:r>
    </w:p>
    <w:p w14:paraId="7ABB48E9" w14:textId="77777777" w:rsidR="00820507" w:rsidRPr="00380B40" w:rsidRDefault="00820507" w:rsidP="00820507">
      <w:pPr>
        <w:pStyle w:val="Call"/>
        <w:rPr>
          <w:lang w:val="en-GB"/>
        </w:rPr>
      </w:pPr>
      <w:r w:rsidRPr="00380B40">
        <w:rPr>
          <w:lang w:val="en-GB"/>
        </w:rPr>
        <w:t>considering</w:t>
      </w:r>
    </w:p>
    <w:p w14:paraId="7DE8FDF0" w14:textId="77777777" w:rsidR="00820507" w:rsidRPr="00380B40" w:rsidRDefault="00820507" w:rsidP="00820507">
      <w:pPr>
        <w:rPr>
          <w:lang w:val="en-GB"/>
        </w:rPr>
      </w:pPr>
      <w:r w:rsidRPr="00380B40">
        <w:rPr>
          <w:i/>
          <w:iCs/>
          <w:lang w:val="en-GB"/>
        </w:rPr>
        <w:t>a)</w:t>
      </w:r>
      <w:r w:rsidRPr="00380B40">
        <w:rPr>
          <w:lang w:val="en-GB"/>
        </w:rPr>
        <w:tab/>
        <w:t>that Resolution 177 (Rev. Dubai, 2018) recognized further that a decision concerning the implementation of the ITU Mark would be postponed until Pillar 1 (conformity assessment) has reached a more mature stage of development;</w:t>
      </w:r>
    </w:p>
    <w:p w14:paraId="6E62E495" w14:textId="77777777" w:rsidR="00D47922" w:rsidRPr="00380B40" w:rsidRDefault="00D47922" w:rsidP="00820507">
      <w:pPr>
        <w:rPr>
          <w:i/>
          <w:iCs/>
          <w:lang w:val="en-GB"/>
        </w:rPr>
      </w:pPr>
      <w:r w:rsidRPr="00380B40">
        <w:rPr>
          <w:i/>
          <w:iCs/>
          <w:lang w:val="en-GB"/>
        </w:rPr>
        <w:br w:type="page"/>
      </w:r>
    </w:p>
    <w:p w14:paraId="62E826D5" w14:textId="77777777" w:rsidR="00820507" w:rsidRPr="00380B40" w:rsidRDefault="00820507" w:rsidP="00820507">
      <w:pPr>
        <w:rPr>
          <w:lang w:val="en-GB"/>
        </w:rPr>
      </w:pPr>
      <w:r w:rsidRPr="00380B40">
        <w:rPr>
          <w:i/>
          <w:iCs/>
          <w:lang w:val="en-GB"/>
        </w:rPr>
        <w:t>b)</w:t>
      </w:r>
      <w:r w:rsidRPr="00380B40">
        <w:rPr>
          <w:lang w:val="en-GB"/>
        </w:rPr>
        <w:tab/>
        <w:t>that there are numerous complaints that equipment is often not fully interoperable with other equipment;</w:t>
      </w:r>
    </w:p>
    <w:p w14:paraId="7F269935" w14:textId="77777777" w:rsidR="00820507" w:rsidRPr="00380B40" w:rsidRDefault="00820507" w:rsidP="00820507">
      <w:pPr>
        <w:rPr>
          <w:lang w:val="en-GB"/>
        </w:rPr>
      </w:pPr>
      <w:r w:rsidRPr="00380B40">
        <w:rPr>
          <w:i/>
          <w:iCs/>
          <w:lang w:val="en-GB"/>
        </w:rPr>
        <w:t>c)</w:t>
      </w:r>
      <w:r w:rsidRPr="00380B40">
        <w:rPr>
          <w:lang w:val="en-GB"/>
        </w:rPr>
        <w:tab/>
        <w:t>that interoperability testing could increase the chances of end-to-end interoperability of equipment from different manufacturers, and would assist developing countries in the choice of solutions;</w:t>
      </w:r>
    </w:p>
    <w:p w14:paraId="06D092AC" w14:textId="77777777" w:rsidR="00820507" w:rsidRPr="00380B40" w:rsidRDefault="00820507" w:rsidP="00820507">
      <w:pPr>
        <w:rPr>
          <w:i/>
          <w:iCs/>
          <w:lang w:val="en-GB"/>
        </w:rPr>
      </w:pPr>
      <w:r w:rsidRPr="00380B40">
        <w:rPr>
          <w:i/>
          <w:iCs/>
          <w:lang w:val="en-GB"/>
        </w:rPr>
        <w:t>d)</w:t>
      </w:r>
      <w:r w:rsidRPr="00380B40">
        <w:rPr>
          <w:lang w:val="en-GB"/>
        </w:rPr>
        <w:tab/>
        <w:t>the importance, especially to developing countries, of ITU assuming a leading role in the implementation of the ITU C&amp;I programme, with ITU</w:t>
      </w:r>
      <w:r w:rsidRPr="00380B40">
        <w:rPr>
          <w:lang w:val="en-GB"/>
        </w:rPr>
        <w:noBreakHyphen/>
        <w:t>T taking lead responsibility for Pillars 1 and 2, and the ITU Telecommunication Development Sector (ITU</w:t>
      </w:r>
      <w:r w:rsidRPr="00380B40">
        <w:rPr>
          <w:lang w:val="en-GB"/>
        </w:rPr>
        <w:noBreakHyphen/>
        <w:t>D) for Pillars 3 and 4;</w:t>
      </w:r>
    </w:p>
    <w:p w14:paraId="0A979340" w14:textId="77777777" w:rsidR="00820507" w:rsidRPr="00380B40" w:rsidRDefault="00820507" w:rsidP="00820507">
      <w:pPr>
        <w:rPr>
          <w:lang w:val="en-GB"/>
        </w:rPr>
      </w:pPr>
      <w:r w:rsidRPr="00380B40">
        <w:rPr>
          <w:i/>
          <w:iCs/>
          <w:lang w:val="en-GB"/>
        </w:rPr>
        <w:t>e)</w:t>
      </w:r>
      <w:r w:rsidRPr="00380B40">
        <w:rPr>
          <w:lang w:val="en-GB"/>
        </w:rPr>
        <w:tab/>
        <w:t>that the remote testing of equipment and services using virtual laboratories may enable countries, especially those with economies in transition and developing countries, to conduct C&amp;I testing, while at the same time facilitating the exchange of experience among technical experts taking into account the positive results achieved in implementing the ITU pilot project for the creation of such laboratories;</w:t>
      </w:r>
    </w:p>
    <w:p w14:paraId="73F8ABA7" w14:textId="77777777" w:rsidR="00820507" w:rsidRPr="00380B40" w:rsidRDefault="00820507" w:rsidP="00820507">
      <w:pPr>
        <w:rPr>
          <w:lang w:val="en-GB"/>
        </w:rPr>
      </w:pPr>
      <w:r w:rsidRPr="00380B40">
        <w:rPr>
          <w:i/>
          <w:iCs/>
          <w:lang w:val="en-GB"/>
        </w:rPr>
        <w:t>f)</w:t>
      </w:r>
      <w:r w:rsidRPr="00380B40">
        <w:rPr>
          <w:lang w:val="en-GB"/>
        </w:rPr>
        <w:tab/>
        <w:t>priorities of members, especially developing countries, to</w:t>
      </w:r>
      <w:r w:rsidRPr="00380B40" w:rsidDel="00056F8B">
        <w:rPr>
          <w:lang w:val="en-GB"/>
        </w:rPr>
        <w:t xml:space="preserve"> </w:t>
      </w:r>
      <w:r w:rsidRPr="00380B40">
        <w:rPr>
          <w:lang w:val="en-GB"/>
        </w:rPr>
        <w:t>combat and deter counterfeit devices,</w:t>
      </w:r>
    </w:p>
    <w:p w14:paraId="25DE28B8" w14:textId="77777777" w:rsidR="00820507" w:rsidRPr="00380B40" w:rsidRDefault="00820507" w:rsidP="00820507">
      <w:pPr>
        <w:pStyle w:val="Call"/>
        <w:rPr>
          <w:lang w:val="en-GB"/>
        </w:rPr>
      </w:pPr>
      <w:r w:rsidRPr="00380B40">
        <w:rPr>
          <w:lang w:val="en-GB"/>
        </w:rPr>
        <w:t>noting</w:t>
      </w:r>
    </w:p>
    <w:p w14:paraId="56CCE8D8" w14:textId="77777777" w:rsidR="00820507" w:rsidRPr="00380B40" w:rsidRDefault="00820507" w:rsidP="00820507">
      <w:pPr>
        <w:rPr>
          <w:lang w:val="en-GB"/>
        </w:rPr>
      </w:pPr>
      <w:r w:rsidRPr="00380B40">
        <w:rPr>
          <w:i/>
          <w:iCs/>
          <w:lang w:val="en-GB"/>
        </w:rPr>
        <w:t>a)</w:t>
      </w:r>
      <w:r w:rsidRPr="00380B40">
        <w:rPr>
          <w:lang w:val="en-GB"/>
        </w:rPr>
        <w:tab/>
        <w:t>that C&amp;I requirements to support testing are essential components for developing interoperable equipment that is based on ITU</w:t>
      </w:r>
      <w:r w:rsidRPr="00380B40">
        <w:rPr>
          <w:lang w:val="en-GB"/>
        </w:rPr>
        <w:noBreakHyphen/>
        <w:t>T Recommendations;</w:t>
      </w:r>
    </w:p>
    <w:p w14:paraId="0E0D83AF" w14:textId="77777777" w:rsidR="00820507" w:rsidRPr="00380B40" w:rsidRDefault="00820507" w:rsidP="00820507">
      <w:pPr>
        <w:rPr>
          <w:lang w:val="en-GB"/>
        </w:rPr>
      </w:pPr>
      <w:r w:rsidRPr="00380B40">
        <w:rPr>
          <w:i/>
          <w:iCs/>
          <w:lang w:val="en-GB"/>
        </w:rPr>
        <w:t>b)</w:t>
      </w:r>
      <w:r w:rsidRPr="00380B40">
        <w:rPr>
          <w:lang w:val="en-GB"/>
        </w:rPr>
        <w:tab/>
        <w:t>that considerable practical experience exists within the ITU</w:t>
      </w:r>
      <w:r w:rsidRPr="00380B40">
        <w:rPr>
          <w:lang w:val="en-GB"/>
        </w:rPr>
        <w:noBreakHyphen/>
        <w:t>T membership regarding the production of relevant testing requirements and the testing procedures on which the actions proposed in this resolution are based;</w:t>
      </w:r>
    </w:p>
    <w:p w14:paraId="3781828D" w14:textId="77777777" w:rsidR="00820507" w:rsidRPr="00380B40" w:rsidRDefault="00820507" w:rsidP="00820507">
      <w:pPr>
        <w:rPr>
          <w:lang w:val="en-GB"/>
        </w:rPr>
      </w:pPr>
      <w:r w:rsidRPr="00380B40">
        <w:rPr>
          <w:i/>
          <w:iCs/>
          <w:lang w:val="en-GB"/>
        </w:rPr>
        <w:t>c)</w:t>
      </w:r>
      <w:r w:rsidRPr="00380B40">
        <w:rPr>
          <w:lang w:val="en-GB"/>
        </w:rPr>
        <w:tab/>
        <w:t>the need to assist developing countries in facilitating interoperability, which can help in reducing the cost of systems and equipment procurement by operators, particularly in the developing countries, in order to enhance product quality and safety;</w:t>
      </w:r>
    </w:p>
    <w:p w14:paraId="7E7A3AFA" w14:textId="77777777" w:rsidR="00820507" w:rsidRPr="00380B40" w:rsidRDefault="00820507" w:rsidP="00820507">
      <w:pPr>
        <w:rPr>
          <w:lang w:val="en-GB"/>
        </w:rPr>
      </w:pPr>
      <w:r w:rsidRPr="00380B40">
        <w:rPr>
          <w:i/>
          <w:iCs/>
          <w:lang w:val="en-GB"/>
        </w:rPr>
        <w:t>d)</w:t>
      </w:r>
      <w:r w:rsidRPr="00380B40">
        <w:rPr>
          <w:lang w:val="en-GB"/>
        </w:rPr>
        <w:tab/>
        <w:t>that when interoperability experiments or testing are not performed, users may suffer from the lack of interconnection performance between equipment from different manufacturers;</w:t>
      </w:r>
    </w:p>
    <w:p w14:paraId="32358E45" w14:textId="77777777" w:rsidR="00820507" w:rsidRPr="00380B40" w:rsidRDefault="00820507" w:rsidP="00820507">
      <w:pPr>
        <w:rPr>
          <w:lang w:val="en-GB"/>
        </w:rPr>
      </w:pPr>
      <w:r w:rsidRPr="00380B40">
        <w:rPr>
          <w:i/>
          <w:iCs/>
          <w:lang w:val="en-GB"/>
        </w:rPr>
        <w:t>e)</w:t>
      </w:r>
      <w:r w:rsidRPr="00380B40">
        <w:rPr>
          <w:lang w:val="en-GB"/>
        </w:rPr>
        <w:tab/>
        <w:t>that availability of equipment tested as per ITU</w:t>
      </w:r>
      <w:r w:rsidRPr="00380B40">
        <w:rPr>
          <w:lang w:val="en-GB"/>
        </w:rPr>
        <w:noBreakHyphen/>
        <w:t>T Recommendations for C&amp;I may provide the basis for achieving a greater choice of solutions, greater competitiveness and more economies of scale,</w:t>
      </w:r>
    </w:p>
    <w:p w14:paraId="4B9FB3E0" w14:textId="77777777" w:rsidR="00820507" w:rsidRPr="00380B40" w:rsidRDefault="00820507" w:rsidP="00820507">
      <w:pPr>
        <w:pStyle w:val="Call"/>
        <w:rPr>
          <w:lang w:val="en-GB"/>
        </w:rPr>
      </w:pPr>
      <w:r w:rsidRPr="00380B40">
        <w:rPr>
          <w:lang w:val="en-GB"/>
        </w:rPr>
        <w:t>taking into account</w:t>
      </w:r>
    </w:p>
    <w:p w14:paraId="48C464CD" w14:textId="77777777" w:rsidR="00820507" w:rsidRPr="00380B40" w:rsidRDefault="00820507" w:rsidP="00820507">
      <w:pPr>
        <w:rPr>
          <w:lang w:val="en-GB"/>
        </w:rPr>
      </w:pPr>
      <w:r w:rsidRPr="00380B40">
        <w:rPr>
          <w:i/>
          <w:iCs/>
          <w:lang w:val="en-GB"/>
        </w:rPr>
        <w:t>a)</w:t>
      </w:r>
      <w:r w:rsidRPr="00380B40">
        <w:rPr>
          <w:lang w:val="en-GB"/>
        </w:rPr>
        <w:tab/>
        <w:t>that some ITU</w:t>
      </w:r>
      <w:r w:rsidRPr="00380B40">
        <w:rPr>
          <w:lang w:val="en-GB"/>
        </w:rPr>
        <w:noBreakHyphen/>
        <w:t>T members carry out testing activities, including ITU</w:t>
      </w:r>
      <w:r w:rsidRPr="00380B40">
        <w:rPr>
          <w:lang w:val="en-GB"/>
        </w:rPr>
        <w:noBreakHyphen/>
        <w:t>T study group pilot projects, to assess C&amp;I;</w:t>
      </w:r>
    </w:p>
    <w:p w14:paraId="315BF0CE" w14:textId="77777777" w:rsidR="00820507" w:rsidRPr="00380B40" w:rsidRDefault="00820507" w:rsidP="00820507">
      <w:pPr>
        <w:rPr>
          <w:lang w:val="en-GB"/>
        </w:rPr>
      </w:pPr>
      <w:r w:rsidRPr="00380B40">
        <w:rPr>
          <w:i/>
          <w:iCs/>
          <w:lang w:val="en-GB"/>
        </w:rPr>
        <w:t>b)</w:t>
      </w:r>
      <w:r w:rsidRPr="00380B40">
        <w:rPr>
          <w:lang w:val="en-GB"/>
        </w:rPr>
        <w:tab/>
        <w:t>that ITU standardization resources are limited, and C&amp;I testing requires specific technical infrastructure;</w:t>
      </w:r>
    </w:p>
    <w:p w14:paraId="2F31CAA1" w14:textId="77777777" w:rsidR="00D47922" w:rsidRPr="00380B40" w:rsidRDefault="00D47922" w:rsidP="00820507">
      <w:pPr>
        <w:rPr>
          <w:i/>
          <w:iCs/>
          <w:lang w:val="en-GB"/>
        </w:rPr>
      </w:pPr>
      <w:r w:rsidRPr="00380B40">
        <w:rPr>
          <w:i/>
          <w:iCs/>
          <w:lang w:val="en-GB"/>
        </w:rPr>
        <w:br w:type="page"/>
      </w:r>
    </w:p>
    <w:p w14:paraId="24375A62" w14:textId="77777777" w:rsidR="00820507" w:rsidRPr="00380B40" w:rsidRDefault="00820507" w:rsidP="00820507">
      <w:pPr>
        <w:rPr>
          <w:lang w:val="en-GB"/>
        </w:rPr>
      </w:pPr>
      <w:r w:rsidRPr="00380B40">
        <w:rPr>
          <w:i/>
          <w:iCs/>
          <w:lang w:val="en-GB"/>
        </w:rPr>
        <w:t>c)</w:t>
      </w:r>
      <w:r w:rsidRPr="00380B40">
        <w:rPr>
          <w:lang w:val="en-GB"/>
        </w:rPr>
        <w:tab/>
        <w:t>that a diverse set of expertise is required for developing</w:t>
      </w:r>
      <w:r w:rsidRPr="00380B40">
        <w:rPr>
          <w:szCs w:val="24"/>
          <w:lang w:val="en-GB"/>
        </w:rPr>
        <w:t xml:space="preserve"> C&amp;I test suites, </w:t>
      </w:r>
      <w:r w:rsidRPr="00380B40">
        <w:rPr>
          <w:lang w:val="en-GB"/>
        </w:rPr>
        <w:t>C&amp;I testing standardization, product development and product testing;</w:t>
      </w:r>
    </w:p>
    <w:p w14:paraId="7A93178C" w14:textId="77777777" w:rsidR="00820507" w:rsidRPr="00380B40" w:rsidRDefault="00820507" w:rsidP="00820507">
      <w:pPr>
        <w:rPr>
          <w:i/>
          <w:iCs/>
          <w:lang w:val="en-GB"/>
        </w:rPr>
      </w:pPr>
      <w:r w:rsidRPr="00380B40">
        <w:rPr>
          <w:i/>
          <w:iCs/>
          <w:lang w:val="en-GB"/>
        </w:rPr>
        <w:t>d)</w:t>
      </w:r>
      <w:r w:rsidRPr="00380B40">
        <w:rPr>
          <w:lang w:val="en-GB"/>
        </w:rPr>
        <w:tab/>
        <w:t>that it is of advantage if regional and national accreditation and certification bodies conduct the C&amp;I testing;</w:t>
      </w:r>
    </w:p>
    <w:p w14:paraId="77FB4DAB" w14:textId="77777777" w:rsidR="00820507" w:rsidRPr="00380B40" w:rsidRDefault="00820507" w:rsidP="00820507">
      <w:pPr>
        <w:rPr>
          <w:lang w:val="en-GB"/>
        </w:rPr>
      </w:pPr>
      <w:r w:rsidRPr="00380B40">
        <w:rPr>
          <w:i/>
          <w:iCs/>
          <w:lang w:val="en-GB"/>
        </w:rPr>
        <w:t>e)</w:t>
      </w:r>
      <w:r w:rsidRPr="00380B40">
        <w:rPr>
          <w:lang w:val="en-GB"/>
        </w:rPr>
        <w:tab/>
        <w:t>that collaboration with a range of external conformity assessment bodies (including accreditation and certification) is necessary;</w:t>
      </w:r>
    </w:p>
    <w:p w14:paraId="7EDF840A" w14:textId="77777777" w:rsidR="00820507" w:rsidRPr="00380B40" w:rsidRDefault="00820507" w:rsidP="00820507">
      <w:pPr>
        <w:rPr>
          <w:lang w:val="en-GB"/>
        </w:rPr>
      </w:pPr>
      <w:r w:rsidRPr="00380B40">
        <w:rPr>
          <w:i/>
          <w:lang w:val="en-GB"/>
        </w:rPr>
        <w:t>f)</w:t>
      </w:r>
      <w:r w:rsidRPr="00380B40">
        <w:rPr>
          <w:lang w:val="en-GB"/>
        </w:rPr>
        <w:tab/>
        <w:t>that some forums, consortia and other organizations have already established certification programmes,</w:t>
      </w:r>
    </w:p>
    <w:p w14:paraId="5FD97BA0" w14:textId="77777777" w:rsidR="00820507" w:rsidRPr="00380B40" w:rsidRDefault="00820507" w:rsidP="00820507">
      <w:pPr>
        <w:pStyle w:val="Call"/>
        <w:rPr>
          <w:lang w:val="en-GB"/>
        </w:rPr>
      </w:pPr>
      <w:r w:rsidRPr="00380B40">
        <w:rPr>
          <w:lang w:val="en-GB"/>
        </w:rPr>
        <w:t>resolves</w:t>
      </w:r>
    </w:p>
    <w:p w14:paraId="35689D0A" w14:textId="77777777" w:rsidR="00820507" w:rsidRPr="00380B40" w:rsidRDefault="00820507" w:rsidP="00820507">
      <w:pPr>
        <w:rPr>
          <w:lang w:val="en-GB"/>
        </w:rPr>
      </w:pPr>
      <w:r w:rsidRPr="00380B40">
        <w:rPr>
          <w:lang w:val="en-GB"/>
        </w:rPr>
        <w:t>1</w:t>
      </w:r>
      <w:r w:rsidRPr="00380B40">
        <w:rPr>
          <w:lang w:val="en-GB"/>
        </w:rPr>
        <w:tab/>
      </w:r>
      <w:r w:rsidRPr="00380B40">
        <w:rPr>
          <w:szCs w:val="24"/>
          <w:lang w:val="en-GB"/>
        </w:rPr>
        <w:t>to continue working on the pilot projects that encourage conformity with ITU</w:t>
      </w:r>
      <w:r w:rsidRPr="00380B40">
        <w:rPr>
          <w:szCs w:val="24"/>
          <w:lang w:val="en-GB"/>
        </w:rPr>
        <w:noBreakHyphen/>
        <w:t>T Recommendations,</w:t>
      </w:r>
      <w:r w:rsidRPr="00380B40">
        <w:rPr>
          <w:lang w:val="en-GB"/>
        </w:rPr>
        <w:t xml:space="preserve"> in order to gain experience and identify requirements and methodologies in the development of test suites;</w:t>
      </w:r>
    </w:p>
    <w:p w14:paraId="095D6267" w14:textId="77777777" w:rsidR="00820507" w:rsidRPr="00380B40" w:rsidRDefault="00820507" w:rsidP="00820507">
      <w:pPr>
        <w:rPr>
          <w:i/>
          <w:iCs/>
          <w:lang w:val="en-GB"/>
        </w:rPr>
      </w:pPr>
      <w:r w:rsidRPr="00380B40">
        <w:rPr>
          <w:lang w:val="en-GB"/>
        </w:rPr>
        <w:t>2</w:t>
      </w:r>
      <w:r w:rsidRPr="00380B40">
        <w:rPr>
          <w:lang w:val="en-GB"/>
        </w:rPr>
        <w:tab/>
      </w:r>
      <w:r w:rsidRPr="00380B40">
        <w:rPr>
          <w:szCs w:val="24"/>
          <w:lang w:val="en-GB"/>
        </w:rPr>
        <w:t>that Study Group 11 continue to coordinate the Sector's activities related to the ITU C&amp;I</w:t>
      </w:r>
      <w:r w:rsidRPr="00380B40">
        <w:rPr>
          <w:color w:val="000000"/>
          <w:szCs w:val="24"/>
          <w:lang w:val="en-GB"/>
        </w:rPr>
        <w:t xml:space="preserve"> programme across all study groups;</w:t>
      </w:r>
    </w:p>
    <w:p w14:paraId="5E94ADC2" w14:textId="77777777" w:rsidR="00820507" w:rsidRPr="00380B40" w:rsidRDefault="00820507" w:rsidP="00820507">
      <w:pPr>
        <w:rPr>
          <w:lang w:val="en-GB"/>
        </w:rPr>
      </w:pPr>
      <w:r w:rsidRPr="00380B40">
        <w:rPr>
          <w:lang w:val="en-GB"/>
        </w:rPr>
        <w:t>3</w:t>
      </w:r>
      <w:r w:rsidRPr="00380B40">
        <w:rPr>
          <w:lang w:val="en-GB"/>
        </w:rPr>
        <w:tab/>
        <w:t>that Study Group 11 continue to undertake activities within the C&amp;I programme, including pilot projects on conformance/interoperability testing;</w:t>
      </w:r>
    </w:p>
    <w:p w14:paraId="08DAC8FE" w14:textId="77777777" w:rsidR="00820507" w:rsidRPr="00380B40" w:rsidRDefault="00820507" w:rsidP="00820507">
      <w:pPr>
        <w:rPr>
          <w:lang w:val="en-GB"/>
        </w:rPr>
      </w:pPr>
      <w:r w:rsidRPr="00380B40">
        <w:rPr>
          <w:lang w:val="en-GB"/>
        </w:rPr>
        <w:t>4</w:t>
      </w:r>
      <w:r w:rsidRPr="00380B40">
        <w:rPr>
          <w:lang w:val="en-GB"/>
        </w:rPr>
        <w:tab/>
        <w:t>to continue working with accreditation bodies to recognize testing laboratories with competence to test in accordance with ITU-T Recommendations;</w:t>
      </w:r>
    </w:p>
    <w:p w14:paraId="4C5D5FC3" w14:textId="77777777" w:rsidR="00820507" w:rsidRPr="00380B40" w:rsidRDefault="00820507" w:rsidP="00820507">
      <w:pPr>
        <w:rPr>
          <w:lang w:val="en-GB"/>
        </w:rPr>
      </w:pPr>
      <w:r w:rsidRPr="00380B40">
        <w:rPr>
          <w:lang w:val="en-GB"/>
        </w:rPr>
        <w:t>5</w:t>
      </w:r>
      <w:r w:rsidRPr="00380B40">
        <w:rPr>
          <w:lang w:val="en-GB"/>
        </w:rPr>
        <w:tab/>
        <w:t>to encourage collaboration between ITU-T and ITU-D on the four pillars of the ITU C&amp;I programme, each according to its responsibilities;</w:t>
      </w:r>
    </w:p>
    <w:p w14:paraId="352F8B1D" w14:textId="77777777" w:rsidR="00820507" w:rsidRPr="00380B40" w:rsidRDefault="00820507" w:rsidP="00820507">
      <w:pPr>
        <w:rPr>
          <w:lang w:val="en-GB"/>
        </w:rPr>
      </w:pPr>
      <w:r w:rsidRPr="00380B40">
        <w:rPr>
          <w:lang w:val="en-GB"/>
        </w:rPr>
        <w:t>6</w:t>
      </w:r>
      <w:r w:rsidRPr="00380B40">
        <w:rPr>
          <w:lang w:val="en-GB"/>
        </w:rPr>
        <w:tab/>
        <w:t>that conformance testing requirements shall provide for verification of the parameters defined in the current and future ITU</w:t>
      </w:r>
      <w:r w:rsidRPr="00380B40">
        <w:rPr>
          <w:lang w:val="en-GB"/>
        </w:rPr>
        <w:noBreakHyphen/>
        <w:t>T Recommendations as determined by the study groups developing the Recommendations, and for interoperability testing to take into account user needs and consider market demand, as appropriate;</w:t>
      </w:r>
    </w:p>
    <w:p w14:paraId="7BF8B81D" w14:textId="77777777" w:rsidR="00820507" w:rsidRPr="00380B40" w:rsidRDefault="00820507" w:rsidP="00820507">
      <w:pPr>
        <w:rPr>
          <w:lang w:val="en-GB"/>
        </w:rPr>
      </w:pPr>
      <w:r w:rsidRPr="00380B40">
        <w:rPr>
          <w:lang w:val="en-GB"/>
        </w:rPr>
        <w:t>7</w:t>
      </w:r>
      <w:r w:rsidRPr="00380B40">
        <w:rPr>
          <w:lang w:val="en-GB"/>
        </w:rPr>
        <w:tab/>
        <w:t>to continue to develop a set of methodologies and procedures for remote testing using virtual laboratories;</w:t>
      </w:r>
    </w:p>
    <w:p w14:paraId="0FBC35E9" w14:textId="77777777" w:rsidR="00820507" w:rsidRPr="00380B40" w:rsidRDefault="00820507" w:rsidP="00820507">
      <w:pPr>
        <w:rPr>
          <w:rFonts w:eastAsia="SimSun"/>
          <w:lang w:val="en-GB"/>
        </w:rPr>
      </w:pPr>
      <w:r w:rsidRPr="00380B40">
        <w:rPr>
          <w:lang w:val="en-GB"/>
        </w:rPr>
        <w:t>8</w:t>
      </w:r>
      <w:r w:rsidRPr="00380B40">
        <w:rPr>
          <w:lang w:val="en-GB"/>
        </w:rPr>
        <w:tab/>
        <w:t xml:space="preserve">that ITU-T could hold </w:t>
      </w:r>
      <w:r w:rsidRPr="00380B40">
        <w:rPr>
          <w:rFonts w:eastAsia="SimSun"/>
          <w:lang w:val="en-GB" w:eastAsia="zh-CN"/>
        </w:rPr>
        <w:t>interoperability testing events as needed to promote the interoperability</w:t>
      </w:r>
      <w:r w:rsidRPr="00380B40">
        <w:rPr>
          <w:lang w:val="en-GB"/>
        </w:rPr>
        <w:t xml:space="preserve"> of equipment</w:t>
      </w:r>
      <w:r w:rsidRPr="00380B40">
        <w:rPr>
          <w:rFonts w:eastAsia="SimSun"/>
          <w:lang w:val="en-GB" w:eastAsia="zh-CN"/>
        </w:rPr>
        <w:t xml:space="preserve"> </w:t>
      </w:r>
      <w:r w:rsidRPr="00380B40">
        <w:rPr>
          <w:lang w:val="en-GB"/>
        </w:rPr>
        <w:t>conforming to ITU</w:t>
      </w:r>
      <w:r w:rsidRPr="00380B40">
        <w:rPr>
          <w:lang w:val="en-GB"/>
        </w:rPr>
        <w:noBreakHyphen/>
        <w:t>T Recommendations</w:t>
      </w:r>
      <w:r w:rsidRPr="00380B40">
        <w:rPr>
          <w:rFonts w:eastAsia="SimSun"/>
          <w:lang w:val="en-GB"/>
        </w:rPr>
        <w:t>;</w:t>
      </w:r>
    </w:p>
    <w:p w14:paraId="426CEB69" w14:textId="77777777" w:rsidR="00820507" w:rsidRPr="00380B40" w:rsidRDefault="00820507" w:rsidP="00820507">
      <w:pPr>
        <w:rPr>
          <w:lang w:val="en-GB"/>
        </w:rPr>
      </w:pPr>
      <w:r w:rsidRPr="00380B40">
        <w:rPr>
          <w:lang w:val="en-GB"/>
        </w:rPr>
        <w:t>9</w:t>
      </w:r>
      <w:r w:rsidRPr="00380B40">
        <w:rPr>
          <w:lang w:val="en-GB"/>
        </w:rPr>
        <w:tab/>
        <w:t xml:space="preserve">that ITU, being a world standardization body, can address the impediments to harmonization and growth of worldwide telecommunications and promote the visibility of ITU standards (ensure interoperability), by means of having an ITU testing mark regime, taking into account the technical and legal implications, if any, and/or any revenue-generating possibilities, and taking into consideration </w:t>
      </w:r>
      <w:r w:rsidRPr="00380B40">
        <w:rPr>
          <w:i/>
          <w:iCs/>
          <w:lang w:val="en-GB"/>
        </w:rPr>
        <w:t>recognizing f)</w:t>
      </w:r>
      <w:r w:rsidRPr="00380B40">
        <w:rPr>
          <w:lang w:val="en-GB"/>
        </w:rPr>
        <w:t>,</w:t>
      </w:r>
    </w:p>
    <w:p w14:paraId="678FE4B9" w14:textId="77777777" w:rsidR="00D47922" w:rsidRPr="00380B40" w:rsidRDefault="00D47922" w:rsidP="00820507">
      <w:pPr>
        <w:pStyle w:val="Call"/>
        <w:rPr>
          <w:lang w:val="en-GB"/>
        </w:rPr>
      </w:pPr>
      <w:r w:rsidRPr="00380B40">
        <w:rPr>
          <w:lang w:val="en-GB"/>
        </w:rPr>
        <w:br w:type="page"/>
      </w:r>
    </w:p>
    <w:p w14:paraId="16467549" w14:textId="77777777" w:rsidR="00820507" w:rsidRPr="00380B40" w:rsidRDefault="00820507" w:rsidP="00820507">
      <w:pPr>
        <w:pStyle w:val="Call"/>
        <w:rPr>
          <w:lang w:val="en-GB"/>
        </w:rPr>
      </w:pPr>
      <w:r w:rsidRPr="00380B40">
        <w:rPr>
          <w:lang w:val="en-GB"/>
        </w:rPr>
        <w:t>invites Member States and Sector Members of the ITU Telecommunication Development Sector</w:t>
      </w:r>
    </w:p>
    <w:p w14:paraId="280E3076" w14:textId="77777777" w:rsidR="00820507" w:rsidRPr="00380B40" w:rsidRDefault="00820507" w:rsidP="00820507">
      <w:pPr>
        <w:rPr>
          <w:lang w:val="en-GB"/>
        </w:rPr>
      </w:pPr>
      <w:r w:rsidRPr="00380B40">
        <w:rPr>
          <w:lang w:val="en-GB"/>
        </w:rPr>
        <w:t>1</w:t>
      </w:r>
      <w:r w:rsidRPr="00380B40">
        <w:rPr>
          <w:lang w:val="en-GB"/>
        </w:rPr>
        <w:tab/>
        <w:t>to evaluate and assess the risks and various costs resulting from the lack of C&amp;I tests, particularly in developing countries, and share necessary information and recommendations to avoid losses, based on best practices;</w:t>
      </w:r>
    </w:p>
    <w:p w14:paraId="4365E886" w14:textId="77777777" w:rsidR="00820507" w:rsidRPr="00380B40" w:rsidRDefault="00820507" w:rsidP="00820507">
      <w:pPr>
        <w:rPr>
          <w:iCs/>
          <w:lang w:val="en-GB"/>
        </w:rPr>
      </w:pPr>
      <w:r w:rsidRPr="00380B40">
        <w:rPr>
          <w:iCs/>
          <w:lang w:val="en-GB"/>
        </w:rPr>
        <w:t>2</w:t>
      </w:r>
      <w:r w:rsidRPr="00380B40">
        <w:rPr>
          <w:iCs/>
          <w:lang w:val="en-GB"/>
        </w:rPr>
        <w:tab/>
        <w:t>to collaborate at regional level (especially developing countries) on the establishment of C&amp;I test facilities through having different testing facilities located in different countries and making use of mutual recognition agreements and arrangements,</w:t>
      </w:r>
    </w:p>
    <w:p w14:paraId="3796255C" w14:textId="77777777" w:rsidR="00820507" w:rsidRPr="00380B40" w:rsidRDefault="00820507" w:rsidP="00820507">
      <w:pPr>
        <w:pStyle w:val="Call"/>
        <w:rPr>
          <w:lang w:val="en-GB"/>
        </w:rPr>
      </w:pPr>
      <w:r w:rsidRPr="00380B40">
        <w:rPr>
          <w:lang w:val="en-GB"/>
        </w:rPr>
        <w:t xml:space="preserve">instructs the Director of the Telecommunication Standardization Bureau </w:t>
      </w:r>
    </w:p>
    <w:p w14:paraId="16241B9B" w14:textId="77777777" w:rsidR="00820507" w:rsidRPr="00380B40" w:rsidRDefault="00820507" w:rsidP="00820507">
      <w:pPr>
        <w:rPr>
          <w:lang w:val="en-GB"/>
        </w:rPr>
      </w:pPr>
      <w:r w:rsidRPr="00380B40">
        <w:rPr>
          <w:lang w:val="en-GB"/>
        </w:rPr>
        <w:t>1</w:t>
      </w:r>
      <w:r w:rsidRPr="00380B40">
        <w:rPr>
          <w:lang w:val="en-GB"/>
        </w:rPr>
        <w:tab/>
        <w:t>to continue consultations and assessment studies in all regions, taking into consideration the needs of each region, on implementation of the action plan endorsed by the ITU Council, including, in collaboration with the Director of the Telecommunication Development Bureau (BDT), the recommendations on human capacity building and assistance in the establishment of test facilities in developing countries;</w:t>
      </w:r>
    </w:p>
    <w:p w14:paraId="0243D358" w14:textId="77777777" w:rsidR="00820507" w:rsidRPr="00380B40" w:rsidRDefault="00820507" w:rsidP="00820507">
      <w:pPr>
        <w:rPr>
          <w:szCs w:val="24"/>
          <w:lang w:val="en-GB"/>
        </w:rPr>
      </w:pPr>
      <w:r w:rsidRPr="00380B40">
        <w:rPr>
          <w:lang w:val="en-GB"/>
        </w:rPr>
        <w:t>2</w:t>
      </w:r>
      <w:r w:rsidRPr="00380B40">
        <w:rPr>
          <w:lang w:val="en-GB"/>
        </w:rPr>
        <w:tab/>
        <w:t xml:space="preserve">to </w:t>
      </w:r>
      <w:r w:rsidRPr="00380B40">
        <w:rPr>
          <w:szCs w:val="24"/>
          <w:lang w:val="en-GB"/>
        </w:rPr>
        <w:t>implement the action plan agreed by the Council at its 2012 session and revised at its 2014 session, in cooperation with the Director of BDT;</w:t>
      </w:r>
    </w:p>
    <w:p w14:paraId="7F0F75C3" w14:textId="77777777" w:rsidR="00820507" w:rsidRPr="00380B40" w:rsidRDefault="00820507" w:rsidP="00820507">
      <w:pPr>
        <w:rPr>
          <w:lang w:val="en-GB"/>
        </w:rPr>
      </w:pPr>
      <w:r w:rsidRPr="00380B40">
        <w:rPr>
          <w:lang w:val="en-GB"/>
        </w:rPr>
        <w:t>3</w:t>
      </w:r>
      <w:r w:rsidRPr="00380B40">
        <w:rPr>
          <w:lang w:val="en-GB"/>
        </w:rPr>
        <w:tab/>
        <w:t xml:space="preserve">considering </w:t>
      </w:r>
      <w:r w:rsidRPr="00380B40">
        <w:rPr>
          <w:i/>
          <w:iCs/>
          <w:lang w:val="en-GB"/>
        </w:rPr>
        <w:t>resolves </w:t>
      </w:r>
      <w:r w:rsidRPr="00380B40">
        <w:rPr>
          <w:lang w:val="en-GB"/>
        </w:rPr>
        <w:t>9, to accelerate the implementation of Pillar 1, so as to ensure gradual and smooth accomplishment of the other three pillars and the possible implementation of the ITU Mark;</w:t>
      </w:r>
    </w:p>
    <w:p w14:paraId="0F25ACC9" w14:textId="77777777" w:rsidR="00820507" w:rsidRPr="00380B40" w:rsidRDefault="00820507" w:rsidP="00820507">
      <w:pPr>
        <w:rPr>
          <w:lang w:val="en-GB"/>
        </w:rPr>
      </w:pPr>
      <w:r w:rsidRPr="00380B40">
        <w:rPr>
          <w:lang w:val="en-GB"/>
        </w:rPr>
        <w:t>4</w:t>
      </w:r>
      <w:r w:rsidRPr="00380B40">
        <w:rPr>
          <w:lang w:val="en-GB"/>
        </w:rPr>
        <w:tab/>
        <w:t>to continue implementing the ITU C&amp;I programme, including the testing laboratory database and informative pilot conformity product database, identifying product conformance and origin, in cooperation with the Director of BDT, and in consultation with each region;</w:t>
      </w:r>
    </w:p>
    <w:p w14:paraId="336257A3" w14:textId="77777777" w:rsidR="00820507" w:rsidRPr="00380B40" w:rsidRDefault="00820507" w:rsidP="00820507">
      <w:pPr>
        <w:rPr>
          <w:lang w:val="en-GB"/>
        </w:rPr>
      </w:pPr>
      <w:r w:rsidRPr="00380B40">
        <w:rPr>
          <w:lang w:val="en-GB"/>
        </w:rPr>
        <w:t>5</w:t>
      </w:r>
      <w:r w:rsidRPr="00380B40">
        <w:rPr>
          <w:lang w:val="en-GB"/>
        </w:rPr>
        <w:tab/>
        <w:t>to publish an annual plan of C&amp;I activities which could attract more members' participation;</w:t>
      </w:r>
    </w:p>
    <w:p w14:paraId="5EC8E007" w14:textId="77777777" w:rsidR="00820507" w:rsidRPr="00380B40" w:rsidRDefault="00820507" w:rsidP="00820507">
      <w:pPr>
        <w:rPr>
          <w:lang w:val="en-GB"/>
        </w:rPr>
      </w:pPr>
      <w:r w:rsidRPr="00380B40">
        <w:rPr>
          <w:lang w:val="en-GB"/>
        </w:rPr>
        <w:t>6</w:t>
      </w:r>
      <w:r w:rsidRPr="00380B40">
        <w:rPr>
          <w:lang w:val="en-GB"/>
        </w:rPr>
        <w:tab/>
        <w:t>to facilitate the development and implementation of an ITU</w:t>
      </w:r>
      <w:r w:rsidRPr="00380B40">
        <w:rPr>
          <w:lang w:val="en-GB"/>
        </w:rPr>
        <w:noBreakHyphen/>
        <w:t>T C&amp;I test laboratory recognition procedure;</w:t>
      </w:r>
    </w:p>
    <w:p w14:paraId="5B476840" w14:textId="77777777" w:rsidR="00820507" w:rsidRPr="00380B40" w:rsidRDefault="00820507" w:rsidP="00820507">
      <w:pPr>
        <w:rPr>
          <w:lang w:val="en-GB"/>
        </w:rPr>
      </w:pPr>
      <w:r w:rsidRPr="00380B40">
        <w:rPr>
          <w:lang w:val="en-GB"/>
        </w:rPr>
        <w:t>7</w:t>
      </w:r>
      <w:r w:rsidRPr="00380B40">
        <w:rPr>
          <w:lang w:val="en-GB"/>
        </w:rPr>
        <w:tab/>
        <w:t>to involve experts and external entities as appropriate;</w:t>
      </w:r>
    </w:p>
    <w:p w14:paraId="5D7734D1" w14:textId="77777777" w:rsidR="00820507" w:rsidRPr="00380B40" w:rsidRDefault="00820507" w:rsidP="00820507">
      <w:pPr>
        <w:rPr>
          <w:lang w:val="en-GB"/>
        </w:rPr>
      </w:pPr>
      <w:r w:rsidRPr="00380B40">
        <w:rPr>
          <w:lang w:val="en-GB"/>
        </w:rPr>
        <w:t>8</w:t>
      </w:r>
      <w:r w:rsidRPr="00380B40">
        <w:rPr>
          <w:lang w:val="en-GB"/>
        </w:rPr>
        <w:tab/>
        <w:t>to provide progress reports on the activities carried out under the action plan to the Council for its consideration and required actions;</w:t>
      </w:r>
    </w:p>
    <w:p w14:paraId="41322066" w14:textId="77777777" w:rsidR="00820507" w:rsidRPr="00380B40" w:rsidRDefault="00820507" w:rsidP="00820507">
      <w:pPr>
        <w:rPr>
          <w:lang w:val="en-GB"/>
        </w:rPr>
      </w:pPr>
      <w:r w:rsidRPr="00380B40">
        <w:rPr>
          <w:rFonts w:eastAsiaTheme="minorEastAsia"/>
          <w:lang w:val="en-GB" w:eastAsia="zh-CN"/>
        </w:rPr>
        <w:t>9</w:t>
      </w:r>
      <w:r w:rsidRPr="00380B40">
        <w:rPr>
          <w:rFonts w:eastAsiaTheme="minorEastAsia"/>
          <w:lang w:val="en-GB" w:eastAsia="zh-CN"/>
        </w:rPr>
        <w:tab/>
      </w:r>
      <w:r w:rsidRPr="00380B40">
        <w:rPr>
          <w:rFonts w:eastAsia="SimSun"/>
          <w:lang w:val="en-GB" w:eastAsia="zh-CN"/>
        </w:rPr>
        <w:t xml:space="preserve">to </w:t>
      </w:r>
      <w:r w:rsidRPr="00380B40">
        <w:rPr>
          <w:lang w:val="en-GB"/>
        </w:rPr>
        <w:t xml:space="preserve">facilitate the </w:t>
      </w:r>
      <w:r w:rsidRPr="00380B40">
        <w:rPr>
          <w:rFonts w:eastAsia="SimSun"/>
          <w:lang w:val="en-GB" w:eastAsia="zh-CN"/>
        </w:rPr>
        <w:t>interoperability testing events in order to achieve the interoperability</w:t>
      </w:r>
      <w:r w:rsidRPr="00380B40">
        <w:rPr>
          <w:lang w:val="en-GB"/>
        </w:rPr>
        <w:t xml:space="preserve"> of equipment conforming to ITU</w:t>
      </w:r>
      <w:r w:rsidRPr="00380B40">
        <w:rPr>
          <w:lang w:val="en-GB"/>
        </w:rPr>
        <w:noBreakHyphen/>
        <w:t>T Recommendations,</w:t>
      </w:r>
    </w:p>
    <w:p w14:paraId="3B11C72A" w14:textId="77777777" w:rsidR="00820507" w:rsidRPr="00380B40" w:rsidRDefault="00820507" w:rsidP="00820507">
      <w:pPr>
        <w:pStyle w:val="Call"/>
        <w:rPr>
          <w:lang w:val="en-GB"/>
        </w:rPr>
      </w:pPr>
      <w:r w:rsidRPr="00380B40">
        <w:rPr>
          <w:lang w:val="en-GB"/>
        </w:rPr>
        <w:t>instructs the study groups</w:t>
      </w:r>
    </w:p>
    <w:p w14:paraId="3412757E" w14:textId="77777777" w:rsidR="00820507" w:rsidRPr="00380B40" w:rsidRDefault="00820507" w:rsidP="00820507">
      <w:pPr>
        <w:rPr>
          <w:lang w:val="en-GB"/>
        </w:rPr>
      </w:pPr>
      <w:r w:rsidRPr="00380B40">
        <w:rPr>
          <w:lang w:val="en-GB"/>
        </w:rPr>
        <w:t>1</w:t>
      </w:r>
      <w:r w:rsidRPr="00380B40">
        <w:rPr>
          <w:lang w:val="en-GB"/>
        </w:rPr>
        <w:tab/>
        <w:t>to accelerate accomplishing the pilot projects started by ITU</w:t>
      </w:r>
      <w:r w:rsidRPr="00380B40">
        <w:rPr>
          <w:lang w:val="en-GB"/>
        </w:rPr>
        <w:noBreakHyphen/>
        <w:t>T study groups and continue to identify existing ITU</w:t>
      </w:r>
      <w:r w:rsidRPr="00380B40">
        <w:rPr>
          <w:lang w:val="en-GB"/>
        </w:rPr>
        <w:noBreakHyphen/>
        <w:t>T Recommendations that are candidates for C&amp;I testing, taking into account the needs of the membership, and that are capable of providing end-to-end interoperable services on a global scale, adding to their content, if necessary, specific requirements within their scope;</w:t>
      </w:r>
    </w:p>
    <w:p w14:paraId="43323771" w14:textId="77777777" w:rsidR="00D47922" w:rsidRPr="00380B40" w:rsidRDefault="00D47922" w:rsidP="00820507">
      <w:pPr>
        <w:rPr>
          <w:lang w:val="en-GB"/>
        </w:rPr>
      </w:pPr>
      <w:r w:rsidRPr="00380B40">
        <w:rPr>
          <w:lang w:val="en-GB"/>
        </w:rPr>
        <w:br w:type="page"/>
      </w:r>
    </w:p>
    <w:p w14:paraId="7885CDA1" w14:textId="77777777" w:rsidR="00820507" w:rsidRPr="00380B40" w:rsidRDefault="00820507" w:rsidP="00820507">
      <w:pPr>
        <w:rPr>
          <w:lang w:val="en-GB"/>
        </w:rPr>
      </w:pPr>
      <w:r w:rsidRPr="00380B40">
        <w:rPr>
          <w:lang w:val="en-GB"/>
        </w:rPr>
        <w:t>2</w:t>
      </w:r>
      <w:r w:rsidRPr="00380B40">
        <w:rPr>
          <w:lang w:val="en-GB"/>
        </w:rPr>
        <w:tab/>
        <w:t>to prepare the ITU</w:t>
      </w:r>
      <w:r w:rsidRPr="00380B40">
        <w:rPr>
          <w:lang w:val="en-GB"/>
        </w:rPr>
        <w:noBreakHyphen/>
        <w:t>T Recommendations identified in</w:t>
      </w:r>
      <w:r w:rsidRPr="00380B40">
        <w:rPr>
          <w:i/>
          <w:iCs/>
          <w:lang w:val="en-GB"/>
        </w:rPr>
        <w:t xml:space="preserve"> instructs the study groups</w:t>
      </w:r>
      <w:r w:rsidRPr="00380B40">
        <w:rPr>
          <w:lang w:val="en-GB"/>
        </w:rPr>
        <w:t> 1 above, with a view to conducting C&amp;I tests as appropriate;</w:t>
      </w:r>
    </w:p>
    <w:p w14:paraId="402E82B0" w14:textId="77777777" w:rsidR="00820507" w:rsidRPr="00380B40" w:rsidRDefault="00820507" w:rsidP="00820507">
      <w:pPr>
        <w:rPr>
          <w:lang w:val="en-GB"/>
        </w:rPr>
      </w:pPr>
      <w:r w:rsidRPr="00380B40">
        <w:rPr>
          <w:lang w:val="en-GB"/>
        </w:rPr>
        <w:t>3</w:t>
      </w:r>
      <w:r w:rsidRPr="00380B40">
        <w:rPr>
          <w:lang w:val="en-GB"/>
        </w:rPr>
        <w:tab/>
        <w:t>to continue and enhance cooperation, as appropriate, with interested stakeholders, including other standards-development organizations, forums and consortia, in order to optimize studies to prepare test specifications, taking into account user needs and in consideration of the market demand for a conformity assessment programme;</w:t>
      </w:r>
    </w:p>
    <w:p w14:paraId="535874AD" w14:textId="77777777" w:rsidR="00820507" w:rsidRPr="00380B40" w:rsidRDefault="00820507" w:rsidP="00820507">
      <w:pPr>
        <w:rPr>
          <w:lang w:val="en-GB"/>
        </w:rPr>
      </w:pPr>
      <w:r w:rsidRPr="00380B40">
        <w:rPr>
          <w:lang w:val="en-GB"/>
        </w:rPr>
        <w:t>4</w:t>
      </w:r>
      <w:r w:rsidRPr="00380B40">
        <w:rPr>
          <w:lang w:val="en-GB"/>
        </w:rPr>
        <w:tab/>
        <w:t>to submit to CASC a list of ITU</w:t>
      </w:r>
      <w:r w:rsidRPr="00380B40">
        <w:rPr>
          <w:lang w:val="en-GB"/>
        </w:rPr>
        <w:noBreakHyphen/>
        <w:t>T Recommendations which could be candidates for the certification scheme, taking into account market needs,</w:t>
      </w:r>
    </w:p>
    <w:p w14:paraId="0380E96B" w14:textId="77777777" w:rsidR="00820507" w:rsidRPr="00380B40" w:rsidRDefault="00820507" w:rsidP="00820507">
      <w:pPr>
        <w:pStyle w:val="Call"/>
        <w:rPr>
          <w:lang w:val="en-GB"/>
        </w:rPr>
      </w:pPr>
      <w:r w:rsidRPr="00380B40">
        <w:rPr>
          <w:lang w:val="en-GB"/>
        </w:rPr>
        <w:t>instructs the ITU Telecommunication Standardization Sector Conformity Assessment Steering Committee</w:t>
      </w:r>
    </w:p>
    <w:p w14:paraId="038755D0" w14:textId="77777777" w:rsidR="00820507" w:rsidRPr="00380B40" w:rsidRDefault="00820507" w:rsidP="00820507">
      <w:pPr>
        <w:rPr>
          <w:lang w:val="en-GB"/>
        </w:rPr>
      </w:pPr>
      <w:r w:rsidRPr="00380B40">
        <w:rPr>
          <w:lang w:val="en-GB"/>
        </w:rPr>
        <w:t>to study and define an ITU procedure to recognize testing laboratories that are competent to test according to ITU</w:t>
      </w:r>
      <w:r w:rsidRPr="00380B40">
        <w:rPr>
          <w:lang w:val="en-GB"/>
        </w:rPr>
        <w:noBreakHyphen/>
        <w:t>T Recommendations, in collaboration with existing accreditation bodies,</w:t>
      </w:r>
    </w:p>
    <w:p w14:paraId="79F3B8EB" w14:textId="77777777" w:rsidR="00820507" w:rsidRPr="00380B40" w:rsidRDefault="00820507" w:rsidP="00820507">
      <w:pPr>
        <w:pStyle w:val="Call"/>
        <w:rPr>
          <w:lang w:val="en-GB"/>
        </w:rPr>
      </w:pPr>
      <w:r w:rsidRPr="00380B40">
        <w:rPr>
          <w:lang w:val="en-GB"/>
        </w:rPr>
        <w:t>invites the ITU Council</w:t>
      </w:r>
    </w:p>
    <w:p w14:paraId="1609FD98" w14:textId="77777777" w:rsidR="00820507" w:rsidRPr="00380B40" w:rsidRDefault="00820507" w:rsidP="00820507">
      <w:pPr>
        <w:rPr>
          <w:lang w:val="en-GB"/>
        </w:rPr>
      </w:pPr>
      <w:r w:rsidRPr="00380B40">
        <w:rPr>
          <w:lang w:val="en-GB"/>
        </w:rPr>
        <w:t xml:space="preserve">to consider the Director's report referred to in </w:t>
      </w:r>
      <w:r w:rsidRPr="00380B40">
        <w:rPr>
          <w:i/>
          <w:iCs/>
          <w:lang w:val="en-GB"/>
        </w:rPr>
        <w:t>instructs the Director of the Telecommunication Standardization Bureau</w:t>
      </w:r>
      <w:r w:rsidRPr="00380B40">
        <w:rPr>
          <w:lang w:val="en-GB"/>
        </w:rPr>
        <w:t> 8 above,</w:t>
      </w:r>
    </w:p>
    <w:p w14:paraId="18526B31" w14:textId="77777777" w:rsidR="00820507" w:rsidRPr="00380B40" w:rsidRDefault="00820507" w:rsidP="00820507">
      <w:pPr>
        <w:pStyle w:val="Call"/>
        <w:rPr>
          <w:lang w:val="en-GB"/>
        </w:rPr>
      </w:pPr>
      <w:r w:rsidRPr="00380B40">
        <w:rPr>
          <w:lang w:val="en-GB"/>
        </w:rPr>
        <w:t>invites Member States and Sector Members</w:t>
      </w:r>
    </w:p>
    <w:p w14:paraId="2CE6E868" w14:textId="77777777" w:rsidR="00820507" w:rsidRPr="00380B40" w:rsidRDefault="00820507" w:rsidP="00820507">
      <w:pPr>
        <w:rPr>
          <w:lang w:val="en-GB"/>
        </w:rPr>
      </w:pPr>
      <w:r w:rsidRPr="00380B40">
        <w:rPr>
          <w:lang w:val="en-GB"/>
        </w:rPr>
        <w:t>1</w:t>
      </w:r>
      <w:r w:rsidRPr="00380B40">
        <w:rPr>
          <w:lang w:val="en-GB"/>
        </w:rPr>
        <w:tab/>
        <w:t>to contribute to the implementation of this resolution by, including, but not limited to:</w:t>
      </w:r>
    </w:p>
    <w:p w14:paraId="316E9AB3" w14:textId="77777777" w:rsidR="00820507" w:rsidRPr="00380B40" w:rsidRDefault="00820507" w:rsidP="00820507">
      <w:pPr>
        <w:pStyle w:val="enumlev1"/>
        <w:rPr>
          <w:lang w:val="en-GB"/>
        </w:rPr>
      </w:pPr>
      <w:r w:rsidRPr="00380B40">
        <w:rPr>
          <w:lang w:val="en-GB"/>
        </w:rPr>
        <w:t>i)</w:t>
      </w:r>
      <w:r w:rsidRPr="00380B40">
        <w:rPr>
          <w:lang w:val="en-GB"/>
        </w:rPr>
        <w:tab/>
        <w:t>actively providing requirements for testing activities on C&amp;I through contributions to related study groups;</w:t>
      </w:r>
    </w:p>
    <w:p w14:paraId="7B31925A" w14:textId="77777777" w:rsidR="00820507" w:rsidRPr="00380B40" w:rsidRDefault="00820507" w:rsidP="00820507">
      <w:pPr>
        <w:pStyle w:val="enumlev1"/>
        <w:rPr>
          <w:lang w:val="en-GB"/>
        </w:rPr>
      </w:pPr>
      <w:r w:rsidRPr="00380B40">
        <w:rPr>
          <w:lang w:val="en-GB"/>
        </w:rPr>
        <w:t>ii)</w:t>
      </w:r>
      <w:r w:rsidRPr="00380B40">
        <w:rPr>
          <w:lang w:val="en-GB"/>
        </w:rPr>
        <w:tab/>
        <w:t>considering potential collaboration on future C&amp;I activities;</w:t>
      </w:r>
    </w:p>
    <w:p w14:paraId="37C871EB" w14:textId="77777777" w:rsidR="00820507" w:rsidRPr="00380B40" w:rsidRDefault="00820507" w:rsidP="00820507">
      <w:pPr>
        <w:pStyle w:val="enumlev1"/>
        <w:rPr>
          <w:lang w:val="en-GB"/>
        </w:rPr>
      </w:pPr>
      <w:r w:rsidRPr="00380B40">
        <w:rPr>
          <w:lang w:val="en-GB"/>
        </w:rPr>
        <w:t>iii)</w:t>
      </w:r>
      <w:r w:rsidRPr="00380B40">
        <w:rPr>
          <w:lang w:val="en-GB"/>
        </w:rPr>
        <w:tab/>
        <w:t>contributing to the Product Conformity Database;</w:t>
      </w:r>
    </w:p>
    <w:p w14:paraId="1FC71B84" w14:textId="77777777" w:rsidR="00820507" w:rsidRPr="00380B40" w:rsidRDefault="00820507" w:rsidP="00820507">
      <w:pPr>
        <w:rPr>
          <w:lang w:val="en-GB"/>
        </w:rPr>
      </w:pPr>
      <w:r w:rsidRPr="00380B40">
        <w:rPr>
          <w:lang w:val="en-GB"/>
        </w:rPr>
        <w:t>2</w:t>
      </w:r>
      <w:r w:rsidRPr="00380B40">
        <w:rPr>
          <w:lang w:val="en-GB"/>
        </w:rPr>
        <w:tab/>
        <w:t>to encourage national and regional testing entities to assist ITU</w:t>
      </w:r>
      <w:r w:rsidRPr="00380B40">
        <w:rPr>
          <w:lang w:val="en-GB"/>
        </w:rPr>
        <w:noBreakHyphen/>
        <w:t>T in implementing this resolution.</w:t>
      </w:r>
    </w:p>
    <w:p w14:paraId="347753F2" w14:textId="77777777" w:rsidR="000E7F27" w:rsidRPr="00380B40"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0DC3F35" w14:textId="77777777" w:rsidR="00D47922" w:rsidRPr="00380B40" w:rsidRDefault="00D47922">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C71BB5A" w14:textId="77777777" w:rsidR="00D47922" w:rsidRPr="00380B40" w:rsidRDefault="00D47922">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22D6980" w14:textId="77777777" w:rsidR="00D47922" w:rsidRPr="00380B40" w:rsidRDefault="00D47922">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3352C71" w14:textId="77777777" w:rsidR="00D47922" w:rsidRPr="00380B40" w:rsidRDefault="00D47922">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9F6B5D3" w14:textId="77777777" w:rsidR="000E7F27" w:rsidRPr="00380B40"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8AA6A80" w14:textId="77777777" w:rsidR="000E7F27" w:rsidRPr="00380B40"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CC453F2" w14:textId="77777777" w:rsidR="000E7F27" w:rsidRPr="00380B40"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2D51B2B" w14:textId="77777777" w:rsidR="00B97E2C" w:rsidRPr="00380B40" w:rsidRDefault="00B97E2C" w:rsidP="00B97E2C">
      <w:pPr>
        <w:rPr>
          <w:lang w:val="en-GB"/>
        </w:rPr>
      </w:pPr>
    </w:p>
    <w:p w14:paraId="24801990" w14:textId="77777777" w:rsidR="00B97E2C" w:rsidRPr="00380B40" w:rsidRDefault="00B97E2C" w:rsidP="00B97E2C">
      <w:pPr>
        <w:rPr>
          <w:lang w:val="en-GB"/>
        </w:rPr>
        <w:sectPr w:rsidR="00B97E2C" w:rsidRPr="00380B40" w:rsidSect="00514D9A">
          <w:headerReference w:type="even" r:id="rId229"/>
          <w:headerReference w:type="default" r:id="rId230"/>
          <w:footerReference w:type="even" r:id="rId231"/>
          <w:footerReference w:type="default" r:id="rId232"/>
          <w:headerReference w:type="first" r:id="rId233"/>
          <w:footerReference w:type="first" r:id="rId234"/>
          <w:footnotePr>
            <w:numRestart w:val="eachSect"/>
          </w:footnotePr>
          <w:pgSz w:w="11907" w:h="16834" w:code="9"/>
          <w:pgMar w:top="1134" w:right="1134" w:bottom="1134" w:left="1134" w:header="567" w:footer="567" w:gutter="0"/>
          <w:paperSrc w:first="15" w:other="15"/>
          <w:cols w:space="720"/>
          <w:vAlign w:val="both"/>
          <w:docGrid w:linePitch="299"/>
        </w:sectPr>
      </w:pPr>
    </w:p>
    <w:p w14:paraId="61617417" w14:textId="77777777" w:rsidR="0065003E" w:rsidRPr="00380B40" w:rsidRDefault="0065003E" w:rsidP="0065003E">
      <w:pPr>
        <w:pStyle w:val="ResNo"/>
        <w:rPr>
          <w:lang w:val="en-GB"/>
        </w:rPr>
      </w:pPr>
      <w:bookmarkStart w:id="345" w:name="_Toc104459765"/>
      <w:bookmarkStart w:id="346" w:name="_Toc104476573"/>
      <w:bookmarkStart w:id="347" w:name="_Toc111636796"/>
      <w:bookmarkStart w:id="348" w:name="_Toc111638466"/>
      <w:r w:rsidRPr="00380B40">
        <w:rPr>
          <w:lang w:val="en-GB"/>
        </w:rPr>
        <w:t>RESOLUTION </w:t>
      </w:r>
      <w:r w:rsidRPr="00380B40">
        <w:rPr>
          <w:rStyle w:val="href"/>
          <w:lang w:val="en-GB"/>
        </w:rPr>
        <w:t>77</w:t>
      </w:r>
      <w:r w:rsidRPr="00380B40">
        <w:rPr>
          <w:lang w:val="en-GB"/>
        </w:rPr>
        <w:t xml:space="preserve"> (</w:t>
      </w:r>
      <w:r w:rsidRPr="00380B40">
        <w:rPr>
          <w:caps w:val="0"/>
          <w:lang w:val="en-GB"/>
        </w:rPr>
        <w:t>Rev</w:t>
      </w:r>
      <w:r w:rsidRPr="00380B40">
        <w:rPr>
          <w:lang w:val="en-GB"/>
        </w:rPr>
        <w:t>. </w:t>
      </w:r>
      <w:r w:rsidRPr="00380B40">
        <w:rPr>
          <w:caps w:val="0"/>
          <w:lang w:val="en-GB"/>
        </w:rPr>
        <w:t>Hammamet</w:t>
      </w:r>
      <w:r w:rsidRPr="00380B40">
        <w:rPr>
          <w:lang w:val="en-GB"/>
        </w:rPr>
        <w:t>, 2016)</w:t>
      </w:r>
      <w:bookmarkEnd w:id="345"/>
      <w:bookmarkEnd w:id="346"/>
      <w:bookmarkEnd w:id="347"/>
      <w:bookmarkEnd w:id="348"/>
    </w:p>
    <w:p w14:paraId="72AF7AD5" w14:textId="77777777" w:rsidR="0065003E" w:rsidRPr="00380B40" w:rsidRDefault="0065003E" w:rsidP="0065003E">
      <w:pPr>
        <w:pStyle w:val="Restitle"/>
        <w:rPr>
          <w:lang w:val="en-GB"/>
        </w:rPr>
      </w:pPr>
      <w:bookmarkStart w:id="349" w:name="_Toc104459766"/>
      <w:bookmarkStart w:id="350" w:name="_Toc104476574"/>
      <w:bookmarkStart w:id="351" w:name="_Toc111638467"/>
      <w:r w:rsidRPr="00380B40">
        <w:rPr>
          <w:lang w:val="en-GB"/>
        </w:rPr>
        <w:t>Enhancing the standardization work in the ITU Telecommunication Standardization Sector for software-defined networking</w:t>
      </w:r>
      <w:bookmarkEnd w:id="349"/>
      <w:bookmarkEnd w:id="350"/>
      <w:bookmarkEnd w:id="351"/>
    </w:p>
    <w:p w14:paraId="51082D79" w14:textId="77777777" w:rsidR="0065003E" w:rsidRPr="00380B40" w:rsidRDefault="0065003E" w:rsidP="0065003E">
      <w:pPr>
        <w:pStyle w:val="Resref"/>
        <w:rPr>
          <w:lang w:val="en-GB"/>
        </w:rPr>
      </w:pPr>
      <w:r w:rsidRPr="00380B40">
        <w:rPr>
          <w:lang w:val="en-GB"/>
        </w:rPr>
        <w:t>(</w:t>
      </w:r>
      <w:r w:rsidRPr="00380B40">
        <w:rPr>
          <w:lang w:val="en-GB" w:eastAsia="ko-KR"/>
        </w:rPr>
        <w:t>Dubai</w:t>
      </w:r>
      <w:r w:rsidRPr="00380B40">
        <w:rPr>
          <w:lang w:val="en-GB"/>
        </w:rPr>
        <w:t>, 20</w:t>
      </w:r>
      <w:r w:rsidRPr="00380B40">
        <w:rPr>
          <w:lang w:val="en-GB" w:eastAsia="ko-KR"/>
        </w:rPr>
        <w:t>12; Hammamet, 2016</w:t>
      </w:r>
      <w:r w:rsidRPr="00380B40">
        <w:rPr>
          <w:lang w:val="en-GB"/>
        </w:rPr>
        <w:t>)</w:t>
      </w:r>
    </w:p>
    <w:p w14:paraId="41C54A9B" w14:textId="77777777" w:rsidR="0065003E" w:rsidRPr="00380B40" w:rsidRDefault="0065003E" w:rsidP="0065003E">
      <w:pPr>
        <w:pStyle w:val="Normalaftertitle0"/>
        <w:rPr>
          <w:rtl/>
          <w:lang w:eastAsia="ko-KR"/>
        </w:rPr>
      </w:pPr>
      <w:r w:rsidRPr="00380B40">
        <w:t>The World Telecommunication Standardization Assembly (</w:t>
      </w:r>
      <w:r w:rsidRPr="00380B40">
        <w:rPr>
          <w:lang w:eastAsia="ko-KR"/>
        </w:rPr>
        <w:t>Hammamet, 2016</w:t>
      </w:r>
      <w:r w:rsidRPr="00380B40">
        <w:t>),</w:t>
      </w:r>
      <w:r w:rsidRPr="00380B40">
        <w:rPr>
          <w:lang w:eastAsia="ko-KR"/>
        </w:rPr>
        <w:t xml:space="preserve"> </w:t>
      </w:r>
    </w:p>
    <w:p w14:paraId="48CBF95F" w14:textId="77777777" w:rsidR="0065003E" w:rsidRPr="00380B40" w:rsidRDefault="0065003E" w:rsidP="0065003E">
      <w:pPr>
        <w:pStyle w:val="Call"/>
        <w:rPr>
          <w:lang w:val="en-GB"/>
        </w:rPr>
      </w:pPr>
      <w:r w:rsidRPr="00380B40">
        <w:rPr>
          <w:lang w:val="en-GB"/>
        </w:rPr>
        <w:t>considering</w:t>
      </w:r>
    </w:p>
    <w:p w14:paraId="542A7BEA" w14:textId="77777777" w:rsidR="0065003E" w:rsidRPr="00380B40" w:rsidRDefault="0065003E" w:rsidP="0065003E">
      <w:pPr>
        <w:rPr>
          <w:lang w:val="en-GB"/>
        </w:rPr>
      </w:pPr>
      <w:r w:rsidRPr="00380B40">
        <w:rPr>
          <w:i/>
          <w:iCs/>
          <w:szCs w:val="24"/>
          <w:lang w:val="en-GB"/>
        </w:rPr>
        <w:t>a)</w:t>
      </w:r>
      <w:r w:rsidRPr="00380B40">
        <w:rPr>
          <w:i/>
          <w:iCs/>
          <w:szCs w:val="24"/>
          <w:lang w:val="en-GB"/>
        </w:rPr>
        <w:tab/>
      </w:r>
      <w:r w:rsidRPr="00380B40">
        <w:rPr>
          <w:lang w:val="en-GB"/>
        </w:rPr>
        <w:t>that, with the development and trend towards maturity of software-defined networking (SDN) technology, many organizations are involved in SDN standardization, including those developing open-source solutions;</w:t>
      </w:r>
    </w:p>
    <w:p w14:paraId="7CE0A801" w14:textId="77777777" w:rsidR="0065003E" w:rsidRPr="00380B40" w:rsidRDefault="0065003E" w:rsidP="0065003E">
      <w:pPr>
        <w:rPr>
          <w:rtl/>
          <w:lang w:val="en-GB"/>
        </w:rPr>
      </w:pPr>
      <w:r w:rsidRPr="00380B40">
        <w:rPr>
          <w:i/>
          <w:iCs/>
          <w:szCs w:val="24"/>
          <w:lang w:val="en-GB" w:eastAsia="zh-CN"/>
        </w:rPr>
        <w:t>b</w:t>
      </w:r>
      <w:r w:rsidRPr="00380B40">
        <w:rPr>
          <w:i/>
          <w:iCs/>
          <w:szCs w:val="24"/>
          <w:lang w:val="en-GB"/>
        </w:rPr>
        <w:t>)</w:t>
      </w:r>
      <w:r w:rsidRPr="00380B40">
        <w:rPr>
          <w:szCs w:val="24"/>
          <w:lang w:val="en-GB"/>
        </w:rPr>
        <w:tab/>
      </w:r>
      <w:r w:rsidRPr="00380B40">
        <w:rPr>
          <w:lang w:val="en-GB"/>
        </w:rPr>
        <w:t>that many SDN-related standards activities are still ongoing in various ITU Telecommunication Standardization Sector (ITU</w:t>
      </w:r>
      <w:r w:rsidRPr="00380B40">
        <w:rPr>
          <w:lang w:val="en-GB"/>
        </w:rPr>
        <w:noBreakHyphen/>
        <w:t xml:space="preserve">T) study groups; </w:t>
      </w:r>
    </w:p>
    <w:p w14:paraId="519A330F" w14:textId="77777777" w:rsidR="0065003E" w:rsidRPr="00380B40" w:rsidRDefault="0065003E" w:rsidP="0065003E">
      <w:pPr>
        <w:rPr>
          <w:lang w:val="en-GB"/>
        </w:rPr>
      </w:pPr>
      <w:r w:rsidRPr="00380B40">
        <w:rPr>
          <w:i/>
          <w:iCs/>
          <w:szCs w:val="24"/>
          <w:lang w:val="en-GB"/>
        </w:rPr>
        <w:t>c)</w:t>
      </w:r>
      <w:r w:rsidRPr="00380B40">
        <w:rPr>
          <w:szCs w:val="24"/>
          <w:lang w:val="en-GB"/>
        </w:rPr>
        <w:tab/>
      </w:r>
      <w:r w:rsidRPr="00380B40">
        <w:rPr>
          <w:lang w:val="en-GB"/>
        </w:rPr>
        <w:t>the fact that SDN will profoundly change the telecommunication and information and communication technology (ICT) industry's landscape in the decades to come, and may bring multiple benefits to the telecommunication/ICT industry;</w:t>
      </w:r>
    </w:p>
    <w:p w14:paraId="23A5BAAA" w14:textId="77777777" w:rsidR="0065003E" w:rsidRPr="00380B40" w:rsidRDefault="0065003E" w:rsidP="0065003E">
      <w:pPr>
        <w:rPr>
          <w:lang w:val="en-GB"/>
        </w:rPr>
      </w:pPr>
      <w:r w:rsidRPr="00380B40">
        <w:rPr>
          <w:i/>
          <w:iCs/>
          <w:szCs w:val="24"/>
          <w:lang w:val="en-GB" w:eastAsia="zh-CN"/>
        </w:rPr>
        <w:t>d</w:t>
      </w:r>
      <w:r w:rsidRPr="00380B40">
        <w:rPr>
          <w:i/>
          <w:iCs/>
          <w:szCs w:val="24"/>
          <w:lang w:val="en-GB"/>
        </w:rPr>
        <w:t>)</w:t>
      </w:r>
      <w:r w:rsidRPr="00380B40">
        <w:rPr>
          <w:szCs w:val="24"/>
          <w:lang w:val="en-GB"/>
        </w:rPr>
        <w:tab/>
      </w:r>
      <w:r w:rsidRPr="00380B40">
        <w:rPr>
          <w:lang w:val="en-GB"/>
        </w:rPr>
        <w:t>the rapidly growing interest of a significant number of ITU members in the application of SDN in the telecommunication/ICT industry;</w:t>
      </w:r>
    </w:p>
    <w:p w14:paraId="27F6DB09" w14:textId="77777777" w:rsidR="0065003E" w:rsidRPr="00380B40" w:rsidRDefault="0065003E" w:rsidP="0065003E">
      <w:pPr>
        <w:rPr>
          <w:lang w:val="en-GB"/>
        </w:rPr>
      </w:pPr>
      <w:r w:rsidRPr="00380B40">
        <w:rPr>
          <w:i/>
          <w:iCs/>
          <w:szCs w:val="24"/>
          <w:lang w:val="en-GB" w:eastAsia="zh-CN"/>
        </w:rPr>
        <w:t>e</w:t>
      </w:r>
      <w:r w:rsidRPr="00380B40">
        <w:rPr>
          <w:i/>
          <w:iCs/>
          <w:szCs w:val="24"/>
          <w:lang w:val="en-GB"/>
        </w:rPr>
        <w:t>)</w:t>
      </w:r>
      <w:r w:rsidRPr="00380B40">
        <w:rPr>
          <w:szCs w:val="24"/>
          <w:lang w:val="en-GB"/>
        </w:rPr>
        <w:tab/>
      </w:r>
      <w:r w:rsidRPr="00380B40">
        <w:rPr>
          <w:lang w:val="en-GB"/>
        </w:rPr>
        <w:t>that the Joint Coordination Activity on SDN (JCA-SDN) under the ITU</w:t>
      </w:r>
      <w:r w:rsidRPr="00380B40">
        <w:rPr>
          <w:lang w:val="en-GB"/>
        </w:rPr>
        <w:noBreakHyphen/>
        <w:t>T Telecommunication Standardization Advisory Group (TSAG) was established in June 2013, and that JCA-SDN is coordinating standardization work on SDN and related technical topics within ITU</w:t>
      </w:r>
      <w:r w:rsidRPr="00380B40">
        <w:rPr>
          <w:lang w:val="en-GB"/>
        </w:rPr>
        <w:noBreakHyphen/>
        <w:t>T, as well as communication between ITU</w:t>
      </w:r>
      <w:r w:rsidRPr="00380B40">
        <w:rPr>
          <w:lang w:val="en-GB"/>
        </w:rPr>
        <w:noBreakHyphen/>
        <w:t>T study groups and outside organizations;</w:t>
      </w:r>
      <w:r w:rsidRPr="00380B40" w:rsidDel="00B865DB">
        <w:rPr>
          <w:lang w:val="en-GB"/>
        </w:rPr>
        <w:t xml:space="preserve"> </w:t>
      </w:r>
    </w:p>
    <w:p w14:paraId="443DA27D" w14:textId="77777777" w:rsidR="0065003E" w:rsidRPr="00380B40" w:rsidRDefault="0065003E" w:rsidP="0065003E">
      <w:pPr>
        <w:rPr>
          <w:lang w:val="en-GB"/>
        </w:rPr>
      </w:pPr>
      <w:r w:rsidRPr="00380B40">
        <w:rPr>
          <w:i/>
          <w:iCs/>
          <w:szCs w:val="24"/>
          <w:lang w:val="en-GB" w:eastAsia="zh-CN"/>
        </w:rPr>
        <w:t>f</w:t>
      </w:r>
      <w:r w:rsidRPr="00380B40">
        <w:rPr>
          <w:i/>
          <w:iCs/>
          <w:szCs w:val="24"/>
          <w:lang w:val="en-GB"/>
        </w:rPr>
        <w:t>)</w:t>
      </w:r>
      <w:r w:rsidRPr="00380B40">
        <w:rPr>
          <w:szCs w:val="24"/>
          <w:lang w:val="en-GB"/>
        </w:rPr>
        <w:tab/>
      </w:r>
      <w:r w:rsidRPr="00380B40">
        <w:rPr>
          <w:lang w:val="en-GB"/>
        </w:rPr>
        <w:t>that new technologies such as network function virtualization (NFV) have been emerging, which may support SDN by providing the virtualized infrastructure upon which the SDN software can operate;</w:t>
      </w:r>
    </w:p>
    <w:p w14:paraId="0B8F746C" w14:textId="77777777" w:rsidR="0065003E" w:rsidRPr="00380B40" w:rsidRDefault="0065003E" w:rsidP="0065003E">
      <w:pPr>
        <w:rPr>
          <w:lang w:val="en-GB"/>
        </w:rPr>
      </w:pPr>
      <w:r w:rsidRPr="00380B40">
        <w:rPr>
          <w:i/>
          <w:iCs/>
          <w:szCs w:val="24"/>
          <w:lang w:val="en-GB" w:eastAsia="zh-CN"/>
        </w:rPr>
        <w:t>g)</w:t>
      </w:r>
      <w:r w:rsidRPr="00380B40">
        <w:rPr>
          <w:i/>
          <w:iCs/>
          <w:szCs w:val="24"/>
          <w:lang w:val="en-GB" w:eastAsia="zh-CN"/>
        </w:rPr>
        <w:tab/>
      </w:r>
      <w:r w:rsidRPr="00380B40">
        <w:rPr>
          <w:lang w:val="en-GB"/>
        </w:rPr>
        <w:t>that the SDN orchestrator will provide the important bond between a wide range of technologies that enable cloud-based network and telecommunication services, at the same time recognizing the work of other organizations such as the European Telecommunications Standards Institute (ETSI) Network Functions Virtualisation Industry Specification Group (NFV ISG), the Open Orchestrator project (OPEN-O) and the ETSI Open-Source NFV Management and Orchestration (MANO) project (OSM);</w:t>
      </w:r>
    </w:p>
    <w:p w14:paraId="19721300" w14:textId="77777777" w:rsidR="0065003E" w:rsidRPr="00380B40" w:rsidRDefault="0065003E" w:rsidP="0065003E">
      <w:pPr>
        <w:rPr>
          <w:i/>
          <w:iCs/>
          <w:lang w:val="en-GB" w:eastAsia="zh-CN"/>
        </w:rPr>
      </w:pPr>
      <w:r w:rsidRPr="00380B40">
        <w:rPr>
          <w:i/>
          <w:iCs/>
          <w:szCs w:val="24"/>
          <w:lang w:val="en-GB" w:eastAsia="zh-CN"/>
        </w:rPr>
        <w:t>h)</w:t>
      </w:r>
      <w:r w:rsidRPr="00380B40">
        <w:rPr>
          <w:i/>
          <w:iCs/>
          <w:szCs w:val="24"/>
          <w:lang w:val="en-GB" w:eastAsia="zh-CN"/>
        </w:rPr>
        <w:tab/>
      </w:r>
      <w:r w:rsidRPr="00380B40">
        <w:rPr>
          <w:lang w:val="en-GB"/>
        </w:rPr>
        <w:t>Resolution 139 (Rev. Busan, 2014) of the Plenipotentiary Conference, on telecommunications/ICT to bridge the digital divide and build an inclusive information society;</w:t>
      </w:r>
    </w:p>
    <w:p w14:paraId="484FB094" w14:textId="77777777" w:rsidR="0065003E" w:rsidRPr="00380B40" w:rsidRDefault="0065003E" w:rsidP="0065003E">
      <w:pPr>
        <w:rPr>
          <w:szCs w:val="24"/>
          <w:lang w:val="en-GB"/>
        </w:rPr>
      </w:pPr>
      <w:r w:rsidRPr="00380B40">
        <w:rPr>
          <w:i/>
          <w:iCs/>
          <w:szCs w:val="24"/>
          <w:lang w:val="en-GB" w:eastAsia="zh-CN"/>
        </w:rPr>
        <w:t>i)</w:t>
      </w:r>
      <w:r w:rsidRPr="00380B40">
        <w:rPr>
          <w:i/>
          <w:iCs/>
          <w:szCs w:val="24"/>
          <w:lang w:val="en-GB" w:eastAsia="zh-CN"/>
        </w:rPr>
        <w:tab/>
      </w:r>
      <w:r w:rsidRPr="00380B40">
        <w:rPr>
          <w:szCs w:val="24"/>
          <w:lang w:val="en-GB"/>
        </w:rPr>
        <w:t>Resolution 199 (Busan, 2014) of the Plenipotentiary Conference, on promoting efforts for capacity building on SDN in developing countries,</w:t>
      </w:r>
    </w:p>
    <w:p w14:paraId="343605D8" w14:textId="77777777" w:rsidR="0018228C" w:rsidRPr="00380B40" w:rsidRDefault="0018228C" w:rsidP="0018228C">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sidRPr="00380B40">
        <w:rPr>
          <w:lang w:val="en-GB"/>
        </w:rPr>
        <w:br w:type="page"/>
      </w:r>
    </w:p>
    <w:p w14:paraId="178AEE69" w14:textId="77777777" w:rsidR="0065003E" w:rsidRPr="00380B40" w:rsidRDefault="0065003E" w:rsidP="0065003E">
      <w:pPr>
        <w:pStyle w:val="Call"/>
        <w:rPr>
          <w:rtl/>
          <w:lang w:val="en-GB"/>
        </w:rPr>
      </w:pPr>
      <w:r w:rsidRPr="00380B40">
        <w:rPr>
          <w:lang w:val="en-GB"/>
        </w:rPr>
        <w:t>noting</w:t>
      </w:r>
    </w:p>
    <w:p w14:paraId="47E8FBCD" w14:textId="77777777" w:rsidR="0065003E" w:rsidRPr="00380B40" w:rsidRDefault="0065003E" w:rsidP="0065003E">
      <w:pPr>
        <w:rPr>
          <w:rtl/>
          <w:lang w:val="en-GB"/>
        </w:rPr>
      </w:pPr>
      <w:r w:rsidRPr="00380B40">
        <w:rPr>
          <w:i/>
          <w:iCs/>
          <w:szCs w:val="24"/>
          <w:lang w:val="en-GB"/>
        </w:rPr>
        <w:t>a)</w:t>
      </w:r>
      <w:r w:rsidRPr="00380B40">
        <w:rPr>
          <w:szCs w:val="24"/>
          <w:lang w:val="en-GB"/>
        </w:rPr>
        <w:tab/>
      </w:r>
      <w:r w:rsidRPr="00380B40">
        <w:rPr>
          <w:lang w:val="en-GB"/>
        </w:rPr>
        <w:t>that ITU</w:t>
      </w:r>
      <w:r w:rsidRPr="00380B40">
        <w:rPr>
          <w:lang w:val="en-GB"/>
        </w:rPr>
        <w:noBreakHyphen/>
        <w:t>T should play a prominent role in the development of the above-mentioned system of deployable SDN standards;</w:t>
      </w:r>
    </w:p>
    <w:p w14:paraId="5010B027" w14:textId="77777777" w:rsidR="0065003E" w:rsidRPr="00380B40" w:rsidRDefault="0065003E" w:rsidP="0065003E">
      <w:pPr>
        <w:rPr>
          <w:rtl/>
          <w:lang w:val="en-GB"/>
        </w:rPr>
      </w:pPr>
      <w:r w:rsidRPr="00380B40">
        <w:rPr>
          <w:i/>
          <w:iCs/>
          <w:szCs w:val="24"/>
          <w:lang w:val="en-GB"/>
        </w:rPr>
        <w:t>b)</w:t>
      </w:r>
      <w:r w:rsidRPr="00380B40">
        <w:rPr>
          <w:szCs w:val="24"/>
          <w:lang w:val="en-GB"/>
        </w:rPr>
        <w:tab/>
      </w:r>
      <w:r w:rsidRPr="00380B40">
        <w:rPr>
          <w:lang w:val="en-GB"/>
        </w:rPr>
        <w:t>that a standards ecosystem should be created, with ITU</w:t>
      </w:r>
      <w:r w:rsidRPr="00380B40">
        <w:rPr>
          <w:lang w:val="en-GB"/>
        </w:rPr>
        <w:noBreakHyphen/>
        <w:t>T at its centre,</w:t>
      </w:r>
    </w:p>
    <w:p w14:paraId="2B42A95A" w14:textId="77777777" w:rsidR="0065003E" w:rsidRPr="00380B40" w:rsidRDefault="0065003E" w:rsidP="0065003E">
      <w:pPr>
        <w:pStyle w:val="Call"/>
        <w:rPr>
          <w:lang w:val="en-GB"/>
        </w:rPr>
      </w:pPr>
      <w:r w:rsidRPr="00380B40">
        <w:rPr>
          <w:lang w:val="en-GB"/>
        </w:rPr>
        <w:t>recognizing</w:t>
      </w:r>
    </w:p>
    <w:p w14:paraId="3767ABBA" w14:textId="77777777" w:rsidR="0065003E" w:rsidRPr="00380B40" w:rsidRDefault="0065003E" w:rsidP="0065003E">
      <w:pPr>
        <w:rPr>
          <w:lang w:val="en-GB"/>
        </w:rPr>
      </w:pPr>
      <w:r w:rsidRPr="00380B40">
        <w:rPr>
          <w:i/>
          <w:iCs/>
          <w:szCs w:val="24"/>
          <w:lang w:val="en-GB"/>
        </w:rPr>
        <w:t>a)</w:t>
      </w:r>
      <w:r w:rsidRPr="00380B40">
        <w:rPr>
          <w:szCs w:val="24"/>
          <w:lang w:val="en-GB"/>
        </w:rPr>
        <w:tab/>
      </w:r>
      <w:r w:rsidRPr="00380B40">
        <w:rPr>
          <w:lang w:val="en-GB"/>
        </w:rPr>
        <w:t>that ITU</w:t>
      </w:r>
      <w:r w:rsidRPr="00380B40">
        <w:rPr>
          <w:lang w:val="en-GB"/>
        </w:rPr>
        <w:noBreakHyphen/>
        <w:t>T has unmatched advantages when it comes to requirements and architecture standards;</w:t>
      </w:r>
    </w:p>
    <w:p w14:paraId="1F33C3BB" w14:textId="77777777" w:rsidR="0065003E" w:rsidRPr="00380B40" w:rsidRDefault="0065003E" w:rsidP="0065003E">
      <w:pPr>
        <w:rPr>
          <w:lang w:val="en-GB"/>
        </w:rPr>
      </w:pPr>
      <w:r w:rsidRPr="00380B40">
        <w:rPr>
          <w:i/>
          <w:iCs/>
          <w:szCs w:val="24"/>
          <w:lang w:val="en-GB"/>
        </w:rPr>
        <w:t>b)</w:t>
      </w:r>
      <w:r w:rsidRPr="00380B40">
        <w:rPr>
          <w:szCs w:val="24"/>
          <w:lang w:val="en-GB"/>
        </w:rPr>
        <w:tab/>
      </w:r>
      <w:r w:rsidRPr="00380B40">
        <w:rPr>
          <w:lang w:val="en-GB"/>
        </w:rPr>
        <w:t>that a solid foundation is required to continue developing and enhancing SDN requirements and architecture standards, so that the whole set of standards may be built through an industry-wide synergy,</w:t>
      </w:r>
    </w:p>
    <w:p w14:paraId="1FE8A983" w14:textId="77777777" w:rsidR="0065003E" w:rsidRPr="00380B40" w:rsidRDefault="0065003E" w:rsidP="0065003E">
      <w:pPr>
        <w:pStyle w:val="Call"/>
        <w:rPr>
          <w:lang w:val="en-GB"/>
        </w:rPr>
      </w:pPr>
      <w:r w:rsidRPr="00380B40">
        <w:rPr>
          <w:lang w:val="en-GB"/>
        </w:rPr>
        <w:t>resolves to instruct study groups of the ITU Telecommunication Standardization Sector</w:t>
      </w:r>
    </w:p>
    <w:p w14:paraId="3BBBD27E" w14:textId="77777777" w:rsidR="0065003E" w:rsidRPr="00380B40" w:rsidRDefault="0065003E" w:rsidP="0065003E">
      <w:pPr>
        <w:rPr>
          <w:lang w:val="en-GB" w:eastAsia="ko-KR"/>
        </w:rPr>
      </w:pPr>
      <w:r w:rsidRPr="00380B40">
        <w:rPr>
          <w:lang w:val="en-GB" w:eastAsia="ko-KR"/>
        </w:rPr>
        <w:t>1</w:t>
      </w:r>
      <w:r w:rsidRPr="00380B40">
        <w:rPr>
          <w:lang w:val="en-GB" w:eastAsia="ko-KR"/>
        </w:rPr>
        <w:tab/>
        <w:t>to continue and enhance collaboration and cooperation with different standards development organizations (SDOs), industry forums, and open-source software projects on SDN, as appropriate, taking into account the outcome of TSAG work on open source;</w:t>
      </w:r>
    </w:p>
    <w:p w14:paraId="2F8705B0" w14:textId="77777777" w:rsidR="0065003E" w:rsidRPr="00380B40" w:rsidRDefault="0065003E" w:rsidP="0065003E">
      <w:pPr>
        <w:rPr>
          <w:lang w:val="en-GB" w:eastAsia="ko-KR"/>
        </w:rPr>
      </w:pPr>
      <w:r w:rsidRPr="00380B40">
        <w:rPr>
          <w:lang w:val="en-GB" w:eastAsia="ko-KR"/>
        </w:rPr>
        <w:t>2</w:t>
      </w:r>
      <w:r w:rsidRPr="00380B40">
        <w:rPr>
          <w:lang w:val="en-GB" w:eastAsia="ko-KR"/>
        </w:rPr>
        <w:tab/>
        <w:t>to continue to expand and accelerate the work on SDN standardization, especially carrier SDN;</w:t>
      </w:r>
    </w:p>
    <w:p w14:paraId="69F20993" w14:textId="77777777" w:rsidR="0065003E" w:rsidRPr="00380B40" w:rsidRDefault="0065003E" w:rsidP="0065003E">
      <w:pPr>
        <w:rPr>
          <w:lang w:val="en-GB" w:eastAsia="ko-KR"/>
        </w:rPr>
      </w:pPr>
      <w:r w:rsidRPr="00380B40">
        <w:rPr>
          <w:lang w:val="en-GB" w:eastAsia="ko-KR"/>
        </w:rPr>
        <w:t>3</w:t>
      </w:r>
      <w:r w:rsidRPr="00380B40">
        <w:rPr>
          <w:lang w:val="en-GB" w:eastAsia="ko-KR"/>
        </w:rPr>
        <w:tab/>
        <w:t>to research the advancement of emerging technology such as NFV container/docker to evolve the SDN technology;</w:t>
      </w:r>
    </w:p>
    <w:p w14:paraId="0566480A" w14:textId="77777777" w:rsidR="0065003E" w:rsidRPr="00380B40" w:rsidRDefault="0065003E" w:rsidP="0065003E">
      <w:pPr>
        <w:rPr>
          <w:lang w:val="en-GB" w:eastAsia="ko-KR"/>
        </w:rPr>
      </w:pPr>
      <w:r w:rsidRPr="00380B40">
        <w:rPr>
          <w:lang w:val="en-GB" w:eastAsia="ko-KR"/>
        </w:rPr>
        <w:t>4</w:t>
      </w:r>
      <w:r w:rsidRPr="00380B40">
        <w:rPr>
          <w:lang w:val="en-GB" w:eastAsia="ko-KR"/>
        </w:rPr>
        <w:tab/>
        <w:t>to continue to develop the ITU</w:t>
      </w:r>
      <w:r w:rsidRPr="00380B40">
        <w:rPr>
          <w:lang w:val="en-GB" w:eastAsia="ko-KR"/>
        </w:rPr>
        <w:noBreakHyphen/>
        <w:t>T SDN standards to enhance interoperability between the controller products;</w:t>
      </w:r>
    </w:p>
    <w:p w14:paraId="3FE64FDF" w14:textId="77777777" w:rsidR="0065003E" w:rsidRPr="00380B40" w:rsidRDefault="0065003E" w:rsidP="0065003E">
      <w:pPr>
        <w:rPr>
          <w:lang w:val="en-GB" w:eastAsia="ko-KR"/>
        </w:rPr>
      </w:pPr>
      <w:r w:rsidRPr="00380B40">
        <w:rPr>
          <w:lang w:val="en-GB" w:eastAsia="ko-KR"/>
        </w:rPr>
        <w:t>5</w:t>
      </w:r>
      <w:r w:rsidRPr="00380B40">
        <w:rPr>
          <w:lang w:val="en-GB" w:eastAsia="ko-KR"/>
        </w:rPr>
        <w:tab/>
        <w:t>to consider the potential implications of the SDN orchestrator layer for ITU</w:t>
      </w:r>
      <w:r w:rsidRPr="00380B40">
        <w:rPr>
          <w:lang w:val="en-GB" w:eastAsia="ko-KR"/>
        </w:rPr>
        <w:noBreakHyphen/>
        <w:t>T operation supporting system (OSS) related work,</w:t>
      </w:r>
    </w:p>
    <w:p w14:paraId="0192E63F" w14:textId="77777777" w:rsidR="0065003E" w:rsidRPr="00380B40" w:rsidRDefault="0065003E" w:rsidP="0065003E">
      <w:pPr>
        <w:pStyle w:val="Call"/>
        <w:rPr>
          <w:rtl/>
          <w:lang w:val="en-GB"/>
        </w:rPr>
      </w:pPr>
      <w:r w:rsidRPr="00380B40">
        <w:rPr>
          <w:lang w:val="en-GB"/>
        </w:rPr>
        <w:t>instructs Study Group 13</w:t>
      </w:r>
    </w:p>
    <w:p w14:paraId="7B97B641" w14:textId="77777777" w:rsidR="0065003E" w:rsidRPr="00380B40" w:rsidRDefault="0065003E" w:rsidP="0065003E">
      <w:pPr>
        <w:rPr>
          <w:lang w:val="en-GB" w:eastAsia="zh-CN"/>
        </w:rPr>
      </w:pPr>
      <w:r w:rsidRPr="00380B40">
        <w:rPr>
          <w:lang w:val="en-GB" w:eastAsia="zh-CN"/>
        </w:rPr>
        <w:t>to continue the JCA-SDN work, to coordinate and help plan the work so as to ensure that ITU</w:t>
      </w:r>
      <w:r w:rsidRPr="00380B40">
        <w:rPr>
          <w:lang w:val="en-GB" w:eastAsia="zh-CN"/>
        </w:rPr>
        <w:noBreakHyphen/>
        <w:t>T SDN standardization is progressed in a well-coordinated manner and more efficiently among relevant study groups, to study the SDN-related work programmes (including NFV, programmable networks and network as a service) in ITU</w:t>
      </w:r>
      <w:r w:rsidRPr="00380B40">
        <w:rPr>
          <w:lang w:val="en-GB" w:eastAsia="zh-CN"/>
        </w:rPr>
        <w:noBreakHyphen/>
        <w:t>T study groups, as well as in other SDOs, forums and consortia, for use in its coordination function, and to provide information on this work for use by the relevant study groups in planning their work,</w:t>
      </w:r>
    </w:p>
    <w:p w14:paraId="0637E4BD" w14:textId="77777777" w:rsidR="0065003E" w:rsidRPr="00380B40" w:rsidRDefault="0065003E" w:rsidP="0065003E">
      <w:pPr>
        <w:pStyle w:val="Call"/>
        <w:rPr>
          <w:rtl/>
          <w:lang w:val="en-GB"/>
        </w:rPr>
      </w:pPr>
      <w:r w:rsidRPr="00380B40">
        <w:rPr>
          <w:lang w:val="en-GB"/>
        </w:rPr>
        <w:t>instructs the Telecommunication Standardization Advisory Group</w:t>
      </w:r>
    </w:p>
    <w:p w14:paraId="294ECEC0" w14:textId="77777777" w:rsidR="0065003E" w:rsidRPr="00380B40" w:rsidRDefault="0065003E" w:rsidP="0065003E">
      <w:pPr>
        <w:keepNext/>
        <w:rPr>
          <w:rFonts w:eastAsia="SimSun"/>
          <w:lang w:val="en-GB" w:eastAsia="zh-CN"/>
        </w:rPr>
      </w:pPr>
      <w:r w:rsidRPr="00380B40">
        <w:rPr>
          <w:lang w:val="en-GB"/>
        </w:rPr>
        <w:t xml:space="preserve">to examine the matter, consider the input of study groups and take the necessary actions, as appropriate, with a view </w:t>
      </w:r>
      <w:r w:rsidRPr="00380B40">
        <w:rPr>
          <w:rFonts w:eastAsia="SimSun"/>
          <w:lang w:val="en-GB" w:eastAsia="zh-CN"/>
        </w:rPr>
        <w:t xml:space="preserve">to deciding </w:t>
      </w:r>
      <w:r w:rsidRPr="00380B40">
        <w:rPr>
          <w:lang w:val="en-GB"/>
        </w:rPr>
        <w:t>on</w:t>
      </w:r>
      <w:r w:rsidRPr="00380B40">
        <w:rPr>
          <w:rFonts w:eastAsia="SimSun"/>
          <w:lang w:val="en-GB" w:eastAsia="zh-CN"/>
        </w:rPr>
        <w:t xml:space="preserve"> th</w:t>
      </w:r>
      <w:r w:rsidRPr="00380B40">
        <w:rPr>
          <w:lang w:val="en-GB"/>
        </w:rPr>
        <w:t>e</w:t>
      </w:r>
      <w:r w:rsidRPr="00380B40">
        <w:rPr>
          <w:rFonts w:eastAsia="SimSun"/>
          <w:lang w:val="en-GB" w:eastAsia="zh-CN"/>
        </w:rPr>
        <w:t xml:space="preserve"> necessary SDN standardization </w:t>
      </w:r>
      <w:r w:rsidRPr="00380B40">
        <w:rPr>
          <w:lang w:val="en-GB"/>
        </w:rPr>
        <w:t>activities</w:t>
      </w:r>
      <w:r w:rsidRPr="00380B40">
        <w:rPr>
          <w:rFonts w:eastAsia="SimSun"/>
          <w:lang w:val="en-GB" w:eastAsia="zh-CN"/>
        </w:rPr>
        <w:t xml:space="preserve"> in ITU</w:t>
      </w:r>
      <w:r w:rsidRPr="00380B40">
        <w:rPr>
          <w:rFonts w:eastAsia="SimSun"/>
          <w:lang w:val="en-GB" w:eastAsia="zh-CN"/>
        </w:rPr>
        <w:noBreakHyphen/>
        <w:t>T,</w:t>
      </w:r>
      <w:r w:rsidRPr="00380B40">
        <w:rPr>
          <w:lang w:val="en-GB"/>
        </w:rPr>
        <w:t xml:space="preserve"> with the following actions</w:t>
      </w:r>
      <w:r w:rsidRPr="00380B40">
        <w:rPr>
          <w:rFonts w:eastAsia="SimSun"/>
          <w:lang w:val="en-GB" w:eastAsia="zh-CN"/>
        </w:rPr>
        <w:t xml:space="preserve">: </w:t>
      </w:r>
    </w:p>
    <w:p w14:paraId="4F5E560B" w14:textId="77777777" w:rsidR="0065003E" w:rsidRPr="00380B40" w:rsidRDefault="0065003E" w:rsidP="0065003E">
      <w:pPr>
        <w:pStyle w:val="enumlev1"/>
        <w:rPr>
          <w:lang w:val="en-GB"/>
        </w:rPr>
      </w:pPr>
      <w:r w:rsidRPr="00380B40">
        <w:rPr>
          <w:lang w:val="en-GB"/>
        </w:rPr>
        <w:t>•</w:t>
      </w:r>
      <w:r w:rsidRPr="00380B40">
        <w:rPr>
          <w:lang w:val="en-GB"/>
        </w:rPr>
        <w:tab/>
        <w:t>to continue coordination and assistance in SDN standardization across different ITU</w:t>
      </w:r>
      <w:r w:rsidRPr="00380B40">
        <w:rPr>
          <w:lang w:val="en-GB"/>
        </w:rPr>
        <w:noBreakHyphen/>
        <w:t>T study groups effectively and efficiently;</w:t>
      </w:r>
    </w:p>
    <w:p w14:paraId="7117C9F9" w14:textId="77777777" w:rsidR="0065003E" w:rsidRPr="00380B40" w:rsidRDefault="0065003E" w:rsidP="0065003E">
      <w:pPr>
        <w:pStyle w:val="enumlev1"/>
        <w:rPr>
          <w:lang w:val="en-GB"/>
        </w:rPr>
      </w:pPr>
      <w:r w:rsidRPr="00380B40">
        <w:rPr>
          <w:lang w:val="en-GB"/>
        </w:rPr>
        <w:t>•</w:t>
      </w:r>
      <w:r w:rsidRPr="00380B40">
        <w:rPr>
          <w:lang w:val="en-GB"/>
        </w:rPr>
        <w:tab/>
        <w:t xml:space="preserve">to continue collaboration with other SDN-related standards bodies and forums; </w:t>
      </w:r>
    </w:p>
    <w:p w14:paraId="38AC3777" w14:textId="77777777" w:rsidR="00132AD9" w:rsidRPr="00380B40" w:rsidRDefault="00132AD9" w:rsidP="0065003E">
      <w:pPr>
        <w:pStyle w:val="enumlev1"/>
        <w:rPr>
          <w:lang w:val="en-GB"/>
        </w:rPr>
      </w:pPr>
      <w:r w:rsidRPr="00380B40">
        <w:rPr>
          <w:lang w:val="en-GB"/>
        </w:rPr>
        <w:br w:type="page"/>
      </w:r>
    </w:p>
    <w:p w14:paraId="41D89A2F" w14:textId="77777777" w:rsidR="0065003E" w:rsidRPr="00380B40" w:rsidRDefault="0065003E" w:rsidP="0065003E">
      <w:pPr>
        <w:pStyle w:val="enumlev1"/>
        <w:rPr>
          <w:lang w:val="en-GB"/>
        </w:rPr>
      </w:pPr>
      <w:r w:rsidRPr="00380B40">
        <w:rPr>
          <w:lang w:val="en-GB"/>
        </w:rPr>
        <w:t>•</w:t>
      </w:r>
      <w:r w:rsidRPr="00380B40">
        <w:rPr>
          <w:lang w:val="en-GB"/>
        </w:rPr>
        <w:tab/>
        <w:t>to coordinate the work on technical issues of SDN across the study groups according to their areas of expertise;</w:t>
      </w:r>
    </w:p>
    <w:p w14:paraId="2D9FE1A1" w14:textId="77777777" w:rsidR="0065003E" w:rsidRPr="00380B40" w:rsidRDefault="0065003E" w:rsidP="0065003E">
      <w:pPr>
        <w:pStyle w:val="enumlev1"/>
        <w:rPr>
          <w:lang w:val="en-GB"/>
        </w:rPr>
      </w:pPr>
      <w:r w:rsidRPr="00380B40">
        <w:rPr>
          <w:lang w:val="en-GB"/>
        </w:rPr>
        <w:t>•</w:t>
      </w:r>
      <w:r w:rsidRPr="00380B40">
        <w:rPr>
          <w:lang w:val="en-GB"/>
        </w:rPr>
        <w:tab/>
        <w:t>to define a clear strategic vision for SDN standardization and an important active role that ITU</w:t>
      </w:r>
      <w:r w:rsidRPr="00380B40">
        <w:rPr>
          <w:lang w:val="en-GB"/>
        </w:rPr>
        <w:noBreakHyphen/>
        <w:t>T should play,</w:t>
      </w:r>
    </w:p>
    <w:p w14:paraId="699FAE2F" w14:textId="77777777" w:rsidR="0065003E" w:rsidRPr="00380B40" w:rsidRDefault="0065003E" w:rsidP="0065003E">
      <w:pPr>
        <w:pStyle w:val="Call"/>
        <w:rPr>
          <w:lang w:val="en-GB"/>
        </w:rPr>
      </w:pPr>
      <w:r w:rsidRPr="00380B40">
        <w:rPr>
          <w:lang w:val="en-GB"/>
        </w:rPr>
        <w:t>instructs the Director of the Telecommunication Standardization Bureau</w:t>
      </w:r>
    </w:p>
    <w:p w14:paraId="2DEA32F7" w14:textId="77777777" w:rsidR="0065003E" w:rsidRPr="00380B40" w:rsidRDefault="0065003E" w:rsidP="0065003E">
      <w:pPr>
        <w:rPr>
          <w:rFonts w:eastAsia="SimSun"/>
          <w:lang w:val="en-GB" w:eastAsia="zh-CN"/>
        </w:rPr>
      </w:pPr>
      <w:r w:rsidRPr="00380B40">
        <w:rPr>
          <w:rFonts w:eastAsia="SimSun"/>
          <w:lang w:val="en-GB" w:eastAsia="zh-CN"/>
        </w:rPr>
        <w:t>1</w:t>
      </w:r>
      <w:r w:rsidRPr="00380B40">
        <w:rPr>
          <w:rFonts w:eastAsia="SimSun"/>
          <w:lang w:val="en-GB" w:eastAsia="zh-CN"/>
        </w:rPr>
        <w:tab/>
      </w:r>
      <w:r w:rsidRPr="00380B40">
        <w:rPr>
          <w:lang w:val="en-GB"/>
        </w:rPr>
        <w:t>to</w:t>
      </w:r>
      <w:r w:rsidRPr="00380B40">
        <w:rPr>
          <w:color w:val="000000"/>
          <w:szCs w:val="24"/>
          <w:lang w:val="en-GB"/>
        </w:rPr>
        <w:t xml:space="preserve"> </w:t>
      </w:r>
      <w:r w:rsidRPr="00380B40">
        <w:rPr>
          <w:lang w:val="en-GB"/>
        </w:rPr>
        <w:t>provide</w:t>
      </w:r>
      <w:r w:rsidRPr="00380B40">
        <w:rPr>
          <w:color w:val="000000"/>
          <w:szCs w:val="24"/>
          <w:lang w:val="en-GB"/>
        </w:rPr>
        <w:t xml:space="preserve"> the </w:t>
      </w:r>
      <w:r w:rsidRPr="00380B40">
        <w:rPr>
          <w:lang w:val="en-GB"/>
        </w:rPr>
        <w:t>necessary assistance with</w:t>
      </w:r>
      <w:r w:rsidRPr="00380B40">
        <w:rPr>
          <w:color w:val="000000"/>
          <w:szCs w:val="24"/>
          <w:lang w:val="en-GB"/>
        </w:rPr>
        <w:t xml:space="preserve"> </w:t>
      </w:r>
      <w:r w:rsidRPr="00380B40">
        <w:rPr>
          <w:lang w:val="en-GB"/>
        </w:rPr>
        <w:t>a</w:t>
      </w:r>
      <w:r w:rsidRPr="00380B40">
        <w:rPr>
          <w:color w:val="000000"/>
          <w:szCs w:val="24"/>
          <w:lang w:val="en-GB"/>
        </w:rPr>
        <w:t xml:space="preserve"> </w:t>
      </w:r>
      <w:r w:rsidRPr="00380B40">
        <w:rPr>
          <w:lang w:val="en-GB"/>
        </w:rPr>
        <w:t>view to expediting</w:t>
      </w:r>
      <w:r w:rsidRPr="00380B40">
        <w:rPr>
          <w:color w:val="000000"/>
          <w:szCs w:val="24"/>
          <w:lang w:val="en-GB"/>
        </w:rPr>
        <w:t xml:space="preserve"> </w:t>
      </w:r>
      <w:r w:rsidRPr="00380B40">
        <w:rPr>
          <w:lang w:val="en-GB"/>
        </w:rPr>
        <w:t>such efforts, in particular using any opportunity within the allocated budget</w:t>
      </w:r>
      <w:r w:rsidRPr="00380B40">
        <w:rPr>
          <w:rFonts w:eastAsia="SimSun"/>
          <w:lang w:val="en-GB" w:eastAsia="zh-CN"/>
        </w:rPr>
        <w:t xml:space="preserve"> to exchange opinions with the telecommunication/ICT industry, </w:t>
      </w:r>
      <w:r w:rsidRPr="00380B40">
        <w:rPr>
          <w:color w:val="000000"/>
          <w:szCs w:val="24"/>
          <w:lang w:val="en-GB"/>
        </w:rPr>
        <w:t>including through</w:t>
      </w:r>
      <w:r w:rsidRPr="00380B40">
        <w:rPr>
          <w:rFonts w:eastAsia="SimSun"/>
          <w:lang w:val="en-GB" w:eastAsia="zh-CN"/>
        </w:rPr>
        <w:t xml:space="preserve"> the chief technology officer (CTO) meetings under Resolution 68 (Rev. Hammamet, 2016) of this assembly, and in particular to promote participation of the industry in SDN standardization work in ITU</w:t>
      </w:r>
      <w:r w:rsidRPr="00380B40">
        <w:rPr>
          <w:rFonts w:eastAsia="SimSun"/>
          <w:lang w:val="en-GB" w:eastAsia="zh-CN"/>
        </w:rPr>
        <w:noBreakHyphen/>
        <w:t>T;</w:t>
      </w:r>
    </w:p>
    <w:p w14:paraId="0CB20B2B" w14:textId="77777777" w:rsidR="0065003E" w:rsidRPr="00380B40" w:rsidRDefault="0065003E" w:rsidP="0065003E">
      <w:pPr>
        <w:rPr>
          <w:lang w:val="en-GB" w:eastAsia="zh-CN"/>
        </w:rPr>
      </w:pPr>
      <w:r w:rsidRPr="00380B40">
        <w:rPr>
          <w:lang w:val="en-GB" w:eastAsia="zh-CN"/>
        </w:rPr>
        <w:t>2</w:t>
      </w:r>
      <w:r w:rsidRPr="00380B40">
        <w:rPr>
          <w:lang w:val="en-GB" w:eastAsia="zh-CN"/>
        </w:rPr>
        <w:tab/>
        <w:t>to conduct workshops, with other relevant organizations, for capacity building on SDN, so that the gap in technology adoption in developing countries may be bridged at the early stages of implementation of SDN-based networks, and to organize the annual SDN&amp;NFV workshop with open-source solutions representation to share the progress in SDN/NFV standards and real experience in the current carrier network,</w:t>
      </w:r>
    </w:p>
    <w:p w14:paraId="25633781" w14:textId="77777777" w:rsidR="0065003E" w:rsidRPr="00380B40" w:rsidRDefault="0065003E" w:rsidP="0065003E">
      <w:pPr>
        <w:pStyle w:val="Call"/>
        <w:rPr>
          <w:rtl/>
          <w:lang w:val="en-GB"/>
        </w:rPr>
      </w:pPr>
      <w:r w:rsidRPr="00380B40">
        <w:rPr>
          <w:lang w:val="en-GB"/>
        </w:rPr>
        <w:t xml:space="preserve">invites Member States, Sector Members, Associates and academia </w:t>
      </w:r>
    </w:p>
    <w:p w14:paraId="6A552342" w14:textId="77777777" w:rsidR="0065003E" w:rsidRPr="00380B40" w:rsidRDefault="0065003E" w:rsidP="0065003E">
      <w:pPr>
        <w:rPr>
          <w:lang w:val="en-GB" w:eastAsia="zh-CN"/>
        </w:rPr>
      </w:pPr>
      <w:r w:rsidRPr="00380B40">
        <w:rPr>
          <w:lang w:val="en-GB"/>
        </w:rPr>
        <w:t xml:space="preserve">to submit contributions </w:t>
      </w:r>
      <w:r w:rsidRPr="00380B40">
        <w:rPr>
          <w:lang w:val="en-GB" w:eastAsia="zh-CN"/>
        </w:rPr>
        <w:t>for developing SDN standardization in ITU</w:t>
      </w:r>
      <w:r w:rsidRPr="00380B40">
        <w:rPr>
          <w:lang w:val="en-GB" w:eastAsia="zh-CN"/>
        </w:rPr>
        <w:noBreakHyphen/>
        <w:t>T.</w:t>
      </w:r>
    </w:p>
    <w:p w14:paraId="5F367B2F" w14:textId="77777777" w:rsidR="0018228C" w:rsidRPr="00380B40"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8209C9B" w14:textId="77777777" w:rsidR="0018228C" w:rsidRPr="00380B40"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624BAAE" w14:textId="77777777" w:rsidR="0018228C" w:rsidRPr="00380B40"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A1A6CEA" w14:textId="77777777" w:rsidR="0018228C" w:rsidRPr="00380B40"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2D146B2" w14:textId="77777777" w:rsidR="0018228C" w:rsidRPr="00380B40"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191CD8B" w14:textId="77777777" w:rsidR="0018228C" w:rsidRPr="00380B40"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1870DC9" w14:textId="77777777" w:rsidR="0018228C" w:rsidRPr="00380B40"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528AC04" w14:textId="77777777" w:rsidR="0018228C" w:rsidRPr="00380B40"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45BEC25" w14:textId="77777777" w:rsidR="0018228C" w:rsidRPr="00380B40"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57F275A" w14:textId="77777777" w:rsidR="0018228C" w:rsidRPr="00380B40"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A156E5A" w14:textId="77777777" w:rsidR="0018228C" w:rsidRPr="00380B40"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337578D" w14:textId="77777777" w:rsidR="0018228C" w:rsidRPr="00380B40"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D26826E" w14:textId="77777777" w:rsidR="0018228C" w:rsidRPr="00380B40"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966975D" w14:textId="77777777" w:rsidR="0018228C" w:rsidRPr="00380B40"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FC9D014" w14:textId="77777777" w:rsidR="00B97E2C" w:rsidRPr="00380B40" w:rsidRDefault="00B97E2C" w:rsidP="00B97E2C">
      <w:pPr>
        <w:rPr>
          <w:lang w:val="en-GB"/>
        </w:rPr>
      </w:pPr>
    </w:p>
    <w:p w14:paraId="2C4094DD" w14:textId="77777777" w:rsidR="00B97E2C" w:rsidRPr="00380B40" w:rsidRDefault="00B97E2C" w:rsidP="00B97E2C">
      <w:pPr>
        <w:rPr>
          <w:lang w:val="en-GB"/>
        </w:rPr>
        <w:sectPr w:rsidR="00B97E2C" w:rsidRPr="00380B40" w:rsidSect="00514D9A">
          <w:headerReference w:type="even" r:id="rId235"/>
          <w:headerReference w:type="default" r:id="rId236"/>
          <w:footerReference w:type="even" r:id="rId237"/>
          <w:footerReference w:type="default" r:id="rId238"/>
          <w:headerReference w:type="first" r:id="rId239"/>
          <w:footerReference w:type="first" r:id="rId240"/>
          <w:footnotePr>
            <w:numRestart w:val="eachSect"/>
          </w:footnotePr>
          <w:pgSz w:w="11907" w:h="16834" w:code="9"/>
          <w:pgMar w:top="1134" w:right="1134" w:bottom="1134" w:left="1134" w:header="567" w:footer="567" w:gutter="0"/>
          <w:paperSrc w:first="15" w:other="15"/>
          <w:cols w:space="720"/>
          <w:vAlign w:val="both"/>
          <w:docGrid w:linePitch="299"/>
        </w:sectPr>
      </w:pPr>
    </w:p>
    <w:p w14:paraId="449BB707" w14:textId="77777777" w:rsidR="0065003E" w:rsidRPr="00380B40" w:rsidRDefault="0065003E" w:rsidP="00993BFE">
      <w:pPr>
        <w:pStyle w:val="ResNo"/>
        <w:rPr>
          <w:lang w:val="en-GB"/>
        </w:rPr>
      </w:pPr>
      <w:bookmarkStart w:id="352" w:name="_Toc104459767"/>
      <w:bookmarkStart w:id="353" w:name="_Toc104476575"/>
      <w:bookmarkStart w:id="354" w:name="_Toc111636797"/>
      <w:bookmarkStart w:id="355" w:name="_Toc111638468"/>
      <w:r w:rsidRPr="00380B40">
        <w:rPr>
          <w:lang w:val="en-GB"/>
        </w:rPr>
        <w:t>RESOLUTION </w:t>
      </w:r>
      <w:r w:rsidRPr="00380B40">
        <w:rPr>
          <w:rStyle w:val="href"/>
          <w:lang w:val="en-GB"/>
        </w:rPr>
        <w:t>78</w:t>
      </w:r>
      <w:r w:rsidRPr="00380B40">
        <w:rPr>
          <w:lang w:val="en-GB"/>
        </w:rPr>
        <w:t xml:space="preserve"> </w:t>
      </w:r>
      <w:r w:rsidR="00993BFE" w:rsidRPr="00380B40">
        <w:rPr>
          <w:lang w:val="en-GB"/>
        </w:rPr>
        <w:t>(R</w:t>
      </w:r>
      <w:r w:rsidR="001718FC" w:rsidRPr="00380B40">
        <w:rPr>
          <w:caps w:val="0"/>
          <w:lang w:val="en-GB"/>
        </w:rPr>
        <w:t>ev</w:t>
      </w:r>
      <w:r w:rsidR="00993BFE" w:rsidRPr="00380B40">
        <w:rPr>
          <w:lang w:val="en-GB"/>
        </w:rPr>
        <w:t>. G</w:t>
      </w:r>
      <w:r w:rsidR="001718FC" w:rsidRPr="00380B40">
        <w:rPr>
          <w:caps w:val="0"/>
          <w:lang w:val="en-GB"/>
        </w:rPr>
        <w:t>eneva</w:t>
      </w:r>
      <w:r w:rsidR="00993BFE" w:rsidRPr="00380B40">
        <w:rPr>
          <w:lang w:val="en-GB"/>
        </w:rPr>
        <w:t>, 2022)</w:t>
      </w:r>
      <w:bookmarkEnd w:id="352"/>
      <w:bookmarkEnd w:id="353"/>
      <w:bookmarkEnd w:id="354"/>
      <w:bookmarkEnd w:id="355"/>
    </w:p>
    <w:p w14:paraId="24C97218" w14:textId="77777777" w:rsidR="00993BFE" w:rsidRPr="00380B40" w:rsidRDefault="00993BFE" w:rsidP="00993BFE">
      <w:pPr>
        <w:pStyle w:val="Restitle"/>
        <w:rPr>
          <w:lang w:val="en-GB"/>
        </w:rPr>
      </w:pPr>
      <w:bookmarkStart w:id="356" w:name="_Toc104459768"/>
      <w:bookmarkStart w:id="357" w:name="_Toc104476576"/>
      <w:bookmarkStart w:id="358" w:name="_Toc111638469"/>
      <w:r w:rsidRPr="00380B40">
        <w:rPr>
          <w:lang w:val="en-GB"/>
        </w:rPr>
        <w:t>Information and communication technology applications and standards for improved access to e-health services</w:t>
      </w:r>
      <w:bookmarkEnd w:id="356"/>
      <w:bookmarkEnd w:id="357"/>
      <w:bookmarkEnd w:id="358"/>
    </w:p>
    <w:p w14:paraId="5F2AC16F" w14:textId="77777777" w:rsidR="00993BFE" w:rsidRPr="00380B40" w:rsidRDefault="00993BFE" w:rsidP="00993BFE">
      <w:pPr>
        <w:pStyle w:val="Resref"/>
        <w:rPr>
          <w:szCs w:val="24"/>
          <w:lang w:val="en-GB"/>
        </w:rPr>
      </w:pPr>
      <w:r w:rsidRPr="00380B40">
        <w:rPr>
          <w:szCs w:val="24"/>
          <w:lang w:val="en-GB"/>
        </w:rPr>
        <w:t>(Dubai, 2012; Hammamet, 2016; Geneva, 2022)</w:t>
      </w:r>
    </w:p>
    <w:p w14:paraId="064B9A71" w14:textId="77777777" w:rsidR="00993BFE" w:rsidRPr="00380B40" w:rsidRDefault="00993BFE" w:rsidP="00993BFE">
      <w:pPr>
        <w:pStyle w:val="Normalaftertitle0"/>
        <w:rPr>
          <w:szCs w:val="24"/>
        </w:rPr>
      </w:pPr>
      <w:r w:rsidRPr="00380B40">
        <w:rPr>
          <w:szCs w:val="24"/>
        </w:rPr>
        <w:t>The World Telecommunication Standardization Assembly (Geneva, 2022),</w:t>
      </w:r>
    </w:p>
    <w:p w14:paraId="1D708FBC" w14:textId="77777777" w:rsidR="00993BFE" w:rsidRPr="00380B40" w:rsidRDefault="00993BFE" w:rsidP="00993BFE">
      <w:pPr>
        <w:pStyle w:val="Call"/>
        <w:rPr>
          <w:szCs w:val="24"/>
          <w:lang w:val="en-GB"/>
        </w:rPr>
      </w:pPr>
      <w:r w:rsidRPr="00380B40">
        <w:rPr>
          <w:szCs w:val="24"/>
          <w:lang w:val="en-GB"/>
        </w:rPr>
        <w:t>recalling</w:t>
      </w:r>
    </w:p>
    <w:p w14:paraId="0246D8FF" w14:textId="77777777" w:rsidR="00993BFE" w:rsidRPr="00380B40" w:rsidRDefault="00993BFE" w:rsidP="00993BFE">
      <w:pPr>
        <w:rPr>
          <w:szCs w:val="24"/>
          <w:lang w:val="en-GB"/>
        </w:rPr>
      </w:pPr>
      <w:r w:rsidRPr="00380B40">
        <w:rPr>
          <w:i/>
          <w:iCs/>
          <w:szCs w:val="24"/>
          <w:lang w:val="en-GB"/>
        </w:rPr>
        <w:t>a)</w:t>
      </w:r>
      <w:r w:rsidRPr="00380B40">
        <w:rPr>
          <w:szCs w:val="24"/>
          <w:lang w:val="en-GB"/>
        </w:rPr>
        <w:tab/>
        <w:t>Resolution 183 (Rev. Busan, 2014) of the Plenipotentiary Conference, on telecommunication/information and communication technology (ICT) applications for e-health;</w:t>
      </w:r>
    </w:p>
    <w:p w14:paraId="72FF5CDD" w14:textId="77777777" w:rsidR="00993BFE" w:rsidRPr="00380B40" w:rsidRDefault="00993BFE" w:rsidP="00993BFE">
      <w:pPr>
        <w:rPr>
          <w:szCs w:val="24"/>
          <w:lang w:val="en-GB"/>
        </w:rPr>
      </w:pPr>
      <w:r w:rsidRPr="00380B40">
        <w:rPr>
          <w:i/>
          <w:iCs/>
          <w:szCs w:val="24"/>
          <w:lang w:val="en-GB"/>
        </w:rPr>
        <w:t>b)</w:t>
      </w:r>
      <w:r w:rsidRPr="00380B40">
        <w:rPr>
          <w:szCs w:val="24"/>
          <w:lang w:val="en-GB"/>
        </w:rPr>
        <w:tab/>
        <w:t>Resolution 65 (Rev. Dubai, 2014) of the World Telecommunication Development Conference, on improving access to health-care services by using ICTs;</w:t>
      </w:r>
    </w:p>
    <w:p w14:paraId="499A8D43" w14:textId="77777777" w:rsidR="00993BFE" w:rsidRPr="00380B40" w:rsidRDefault="00993BFE" w:rsidP="00993BFE">
      <w:pPr>
        <w:rPr>
          <w:szCs w:val="24"/>
          <w:lang w:val="en-GB"/>
        </w:rPr>
      </w:pPr>
      <w:r w:rsidRPr="00380B40">
        <w:rPr>
          <w:i/>
          <w:iCs/>
          <w:szCs w:val="24"/>
          <w:lang w:val="en-GB"/>
        </w:rPr>
        <w:t>c)</w:t>
      </w:r>
      <w:r w:rsidRPr="00380B40">
        <w:rPr>
          <w:szCs w:val="24"/>
          <w:lang w:val="en-GB"/>
        </w:rPr>
        <w:tab/>
        <w:t>United Nations General Assembly Resolution 70/1, on transforming our world: the 2030 Agenda for Sustainable Development,</w:t>
      </w:r>
    </w:p>
    <w:p w14:paraId="492A2160" w14:textId="77777777" w:rsidR="00993BFE" w:rsidRPr="00380B40" w:rsidRDefault="00993BFE" w:rsidP="00993BFE">
      <w:pPr>
        <w:pStyle w:val="Call"/>
        <w:rPr>
          <w:szCs w:val="24"/>
          <w:lang w:val="en-GB"/>
        </w:rPr>
      </w:pPr>
      <w:r w:rsidRPr="00380B40">
        <w:rPr>
          <w:szCs w:val="24"/>
          <w:lang w:val="en-GB"/>
        </w:rPr>
        <w:t>recognizing</w:t>
      </w:r>
    </w:p>
    <w:p w14:paraId="704F3823" w14:textId="77777777" w:rsidR="00993BFE" w:rsidRPr="00380B40" w:rsidRDefault="00993BFE" w:rsidP="00993BFE">
      <w:pPr>
        <w:rPr>
          <w:szCs w:val="24"/>
          <w:lang w:val="en-GB"/>
        </w:rPr>
      </w:pPr>
      <w:r w:rsidRPr="00380B40">
        <w:rPr>
          <w:i/>
          <w:iCs/>
          <w:szCs w:val="24"/>
          <w:lang w:val="en-GB"/>
        </w:rPr>
        <w:t>a)</w:t>
      </w:r>
      <w:r w:rsidRPr="00380B40">
        <w:rPr>
          <w:i/>
          <w:iCs/>
          <w:szCs w:val="24"/>
          <w:lang w:val="en-GB"/>
        </w:rPr>
        <w:tab/>
      </w:r>
      <w:r w:rsidRPr="00380B40">
        <w:rPr>
          <w:szCs w:val="24"/>
          <w:lang w:val="en-GB"/>
        </w:rPr>
        <w:t>Goal 3 of the Sustainable Development Goals (SDG 3): To ensure healthy lives and promote well-being for all, at all ages;</w:t>
      </w:r>
    </w:p>
    <w:p w14:paraId="2A2995DF" w14:textId="77777777" w:rsidR="00993BFE" w:rsidRPr="00380B40" w:rsidRDefault="00993BFE" w:rsidP="00993BFE">
      <w:pPr>
        <w:rPr>
          <w:szCs w:val="24"/>
          <w:lang w:val="en-GB"/>
        </w:rPr>
      </w:pPr>
      <w:r w:rsidRPr="00380B40">
        <w:rPr>
          <w:i/>
          <w:iCs/>
          <w:szCs w:val="24"/>
          <w:lang w:val="en-GB"/>
        </w:rPr>
        <w:t>b)</w:t>
      </w:r>
      <w:r w:rsidRPr="00380B40">
        <w:rPr>
          <w:szCs w:val="24"/>
          <w:lang w:val="en-GB"/>
        </w:rPr>
        <w:tab/>
        <w:t>that in many countries the population is ageing rapidly;</w:t>
      </w:r>
    </w:p>
    <w:p w14:paraId="186748EE" w14:textId="77777777" w:rsidR="00993BFE" w:rsidRPr="00380B40" w:rsidRDefault="00993BFE" w:rsidP="00993BFE">
      <w:pPr>
        <w:rPr>
          <w:szCs w:val="24"/>
          <w:lang w:val="en-GB"/>
        </w:rPr>
      </w:pPr>
      <w:r w:rsidRPr="00380B40">
        <w:rPr>
          <w:i/>
          <w:iCs/>
          <w:szCs w:val="24"/>
          <w:lang w:val="en-GB"/>
        </w:rPr>
        <w:t>c)</w:t>
      </w:r>
      <w:r w:rsidRPr="00380B40">
        <w:rPr>
          <w:i/>
          <w:iCs/>
          <w:szCs w:val="24"/>
          <w:lang w:val="en-GB"/>
        </w:rPr>
        <w:tab/>
      </w:r>
      <w:r w:rsidRPr="00380B40">
        <w:rPr>
          <w:szCs w:val="24"/>
          <w:lang w:val="en-GB"/>
        </w:rPr>
        <w:t xml:space="preserve">that innovative approaches, using advances in ICTs, can also greatly facilitate the implementation of SDG 3, particularly </w:t>
      </w:r>
      <w:bookmarkStart w:id="359" w:name="_Hlk48906595"/>
      <w:r w:rsidRPr="00380B40">
        <w:rPr>
          <w:szCs w:val="24"/>
          <w:lang w:val="en-GB"/>
        </w:rPr>
        <w:t>for rural, remote and underserved areas</w:t>
      </w:r>
      <w:bookmarkEnd w:id="359"/>
      <w:r w:rsidRPr="00380B40">
        <w:rPr>
          <w:szCs w:val="24"/>
          <w:lang w:val="en-GB"/>
        </w:rPr>
        <w:t>, and in developing countries</w:t>
      </w:r>
      <w:r w:rsidR="00FD162E" w:rsidRPr="00380B40">
        <w:rPr>
          <w:rStyle w:val="FootnoteReference"/>
          <w:szCs w:val="24"/>
          <w:lang w:val="en-GB"/>
        </w:rPr>
        <w:footnoteReference w:id="45"/>
      </w:r>
      <w:r w:rsidRPr="00380B40">
        <w:rPr>
          <w:szCs w:val="24"/>
          <w:lang w:val="en-GB"/>
        </w:rPr>
        <w:t>;</w:t>
      </w:r>
    </w:p>
    <w:p w14:paraId="4D659FC9" w14:textId="77777777" w:rsidR="00993BFE" w:rsidRPr="00380B40" w:rsidRDefault="00993BFE" w:rsidP="00993BFE">
      <w:pPr>
        <w:rPr>
          <w:szCs w:val="24"/>
          <w:lang w:val="en-GB"/>
        </w:rPr>
      </w:pPr>
      <w:r w:rsidRPr="00380B40">
        <w:rPr>
          <w:i/>
          <w:iCs/>
          <w:szCs w:val="24"/>
          <w:lang w:val="en-GB"/>
        </w:rPr>
        <w:t>d)</w:t>
      </w:r>
      <w:r w:rsidRPr="00380B40">
        <w:rPr>
          <w:i/>
          <w:iCs/>
          <w:szCs w:val="24"/>
          <w:lang w:val="en-GB"/>
        </w:rPr>
        <w:tab/>
      </w:r>
      <w:r w:rsidRPr="00380B40">
        <w:rPr>
          <w:szCs w:val="24"/>
          <w:lang w:val="en-GB"/>
        </w:rPr>
        <w:t>that ICTs are transforming the delivery of health care through low-cost e-health applications that provide health-care access for the poor;</w:t>
      </w:r>
    </w:p>
    <w:p w14:paraId="4EAFCD3E" w14:textId="77777777" w:rsidR="00993BFE" w:rsidRPr="00380B40" w:rsidRDefault="00993BFE" w:rsidP="00993BFE">
      <w:pPr>
        <w:rPr>
          <w:szCs w:val="24"/>
          <w:lang w:val="en-GB"/>
        </w:rPr>
      </w:pPr>
      <w:r w:rsidRPr="00380B40">
        <w:rPr>
          <w:i/>
          <w:iCs/>
          <w:szCs w:val="24"/>
          <w:lang w:val="en-GB"/>
        </w:rPr>
        <w:t>e)</w:t>
      </w:r>
      <w:r w:rsidRPr="00380B40">
        <w:rPr>
          <w:szCs w:val="24"/>
          <w:lang w:val="en-GB"/>
        </w:rPr>
        <w:tab/>
        <w:t>the importance of safeguarding patients</w:t>
      </w:r>
      <w:r w:rsidR="00F82355" w:rsidRPr="00380B40">
        <w:rPr>
          <w:szCs w:val="24"/>
          <w:lang w:val="en-GB"/>
        </w:rPr>
        <w:t>'</w:t>
      </w:r>
      <w:r w:rsidRPr="00380B40">
        <w:rPr>
          <w:szCs w:val="24"/>
          <w:lang w:val="en-GB"/>
        </w:rPr>
        <w:t xml:space="preserve"> rights and privacy;</w:t>
      </w:r>
    </w:p>
    <w:p w14:paraId="49619A97" w14:textId="77777777" w:rsidR="00993BFE" w:rsidRPr="00380B40" w:rsidRDefault="00993BFE" w:rsidP="00993BFE">
      <w:pPr>
        <w:rPr>
          <w:i/>
          <w:szCs w:val="24"/>
          <w:lang w:val="en-GB"/>
        </w:rPr>
      </w:pPr>
      <w:r w:rsidRPr="00380B40">
        <w:rPr>
          <w:i/>
          <w:iCs/>
          <w:szCs w:val="24"/>
          <w:lang w:val="en-GB"/>
        </w:rPr>
        <w:t>f)</w:t>
      </w:r>
      <w:r w:rsidRPr="00380B40">
        <w:rPr>
          <w:szCs w:val="24"/>
          <w:lang w:val="en-GB"/>
        </w:rPr>
        <w:tab/>
        <w:t>that there are national legislative and regulatory discussions relating to e</w:t>
      </w:r>
      <w:r w:rsidRPr="00380B40">
        <w:rPr>
          <w:szCs w:val="24"/>
          <w:lang w:val="en-GB"/>
        </w:rPr>
        <w:noBreakHyphen/>
        <w:t>health and e</w:t>
      </w:r>
      <w:r w:rsidRPr="00380B40">
        <w:rPr>
          <w:szCs w:val="24"/>
          <w:lang w:val="en-GB"/>
        </w:rPr>
        <w:noBreakHyphen/>
        <w:t>health applications and that this is an area of rapid evolution,</w:t>
      </w:r>
    </w:p>
    <w:p w14:paraId="40746F3E" w14:textId="77777777" w:rsidR="00132AD9" w:rsidRPr="00380B40" w:rsidRDefault="00132AD9" w:rsidP="00993BFE">
      <w:pPr>
        <w:pStyle w:val="Call"/>
        <w:rPr>
          <w:szCs w:val="24"/>
          <w:lang w:val="en-GB"/>
        </w:rPr>
      </w:pPr>
      <w:r w:rsidRPr="00380B40">
        <w:rPr>
          <w:szCs w:val="24"/>
          <w:lang w:val="en-GB"/>
        </w:rPr>
        <w:br w:type="page"/>
      </w:r>
    </w:p>
    <w:p w14:paraId="4DDC75F0" w14:textId="77777777" w:rsidR="00993BFE" w:rsidRPr="00380B40" w:rsidRDefault="00993BFE" w:rsidP="00993BFE">
      <w:pPr>
        <w:pStyle w:val="Call"/>
        <w:rPr>
          <w:szCs w:val="24"/>
          <w:lang w:val="en-GB"/>
        </w:rPr>
      </w:pPr>
      <w:r w:rsidRPr="00380B40">
        <w:rPr>
          <w:szCs w:val="24"/>
          <w:lang w:val="en-GB"/>
        </w:rPr>
        <w:t>considering</w:t>
      </w:r>
    </w:p>
    <w:p w14:paraId="1DA55EEB" w14:textId="77777777" w:rsidR="00993BFE" w:rsidRPr="00380B40" w:rsidRDefault="00993BFE" w:rsidP="00993BFE">
      <w:pPr>
        <w:rPr>
          <w:szCs w:val="24"/>
          <w:lang w:val="en-GB"/>
        </w:rPr>
      </w:pPr>
      <w:r w:rsidRPr="00380B40">
        <w:rPr>
          <w:i/>
          <w:iCs/>
          <w:szCs w:val="24"/>
          <w:lang w:val="en-GB"/>
        </w:rPr>
        <w:t>a)</w:t>
      </w:r>
      <w:r w:rsidRPr="00380B40">
        <w:rPr>
          <w:szCs w:val="24"/>
          <w:lang w:val="en-GB"/>
        </w:rPr>
        <w:tab/>
        <w:t>that the World Summit on the Information Society, which was held in two phases (Geneva, 2003 and Tunis, 2005), included e</w:t>
      </w:r>
      <w:r w:rsidRPr="00380B40">
        <w:rPr>
          <w:szCs w:val="24"/>
          <w:lang w:val="en-GB"/>
        </w:rPr>
        <w:noBreakHyphen/>
        <w:t>health in the Geneva Plan of Action as one of the important ICT applications, and stated the following: "Promote collaborative efforts of governments, planners, health professionals, and other agencies along with the participation of international organizations for creating a reliable, timely, high-quality and affordable health care and health information systems and for promoting continuous medical training, education, and research through the use of ICTs, while respecting and protecting citizens</w:t>
      </w:r>
      <w:r w:rsidR="00F82355" w:rsidRPr="00380B40">
        <w:rPr>
          <w:szCs w:val="24"/>
          <w:lang w:val="en-GB"/>
        </w:rPr>
        <w:t>'</w:t>
      </w:r>
      <w:r w:rsidRPr="00380B40">
        <w:rPr>
          <w:szCs w:val="24"/>
          <w:lang w:val="en-GB"/>
        </w:rPr>
        <w:t xml:space="preserve"> right to privacy. … Encourage the adoption of ICTs to improve and extend health care and health information systems to remote and underserved areas and vulnerable populations, recognizing women</w:t>
      </w:r>
      <w:r w:rsidR="00F82355" w:rsidRPr="00380B40">
        <w:rPr>
          <w:szCs w:val="24"/>
          <w:lang w:val="en-GB"/>
        </w:rPr>
        <w:t>'</w:t>
      </w:r>
      <w:r w:rsidRPr="00380B40">
        <w:rPr>
          <w:szCs w:val="24"/>
          <w:lang w:val="en-GB"/>
        </w:rPr>
        <w:t>s roles as health providers in their families and communities";</w:t>
      </w:r>
    </w:p>
    <w:p w14:paraId="6C3711F8" w14:textId="77777777" w:rsidR="00993BFE" w:rsidRPr="00380B40" w:rsidRDefault="00993BFE" w:rsidP="00993BFE">
      <w:pPr>
        <w:rPr>
          <w:szCs w:val="24"/>
          <w:lang w:val="en-GB"/>
        </w:rPr>
      </w:pPr>
      <w:r w:rsidRPr="00380B40">
        <w:rPr>
          <w:i/>
          <w:iCs/>
          <w:szCs w:val="24"/>
          <w:lang w:val="en-GB"/>
        </w:rPr>
        <w:t>b)</w:t>
      </w:r>
      <w:r w:rsidRPr="00380B40">
        <w:rPr>
          <w:szCs w:val="24"/>
          <w:lang w:val="en-GB"/>
        </w:rPr>
        <w:tab/>
        <w:t>that the World Health Organization (WHO) approved in May 2005 Resolution WHA58.28 on e</w:t>
      </w:r>
      <w:r w:rsidRPr="00380B40">
        <w:rPr>
          <w:szCs w:val="24"/>
          <w:lang w:val="en-GB"/>
        </w:rPr>
        <w:noBreakHyphen/>
        <w:t>health, stressing: "… that e-health is the cost-effective and secure use of information and communication technologies in support of health and health-related fields, including health-care services, health surveillance, health literature, and health education, knowledge and research";</w:t>
      </w:r>
    </w:p>
    <w:p w14:paraId="17B94491" w14:textId="77777777" w:rsidR="00993BFE" w:rsidRPr="00380B40" w:rsidRDefault="00993BFE" w:rsidP="00993BFE">
      <w:pPr>
        <w:rPr>
          <w:szCs w:val="24"/>
          <w:lang w:val="en-GB"/>
        </w:rPr>
      </w:pPr>
      <w:r w:rsidRPr="00380B40">
        <w:rPr>
          <w:i/>
          <w:iCs/>
          <w:szCs w:val="24"/>
          <w:lang w:val="en-GB"/>
        </w:rPr>
        <w:t>c)</w:t>
      </w:r>
      <w:r w:rsidRPr="00380B40">
        <w:rPr>
          <w:szCs w:val="24"/>
          <w:lang w:val="en-GB"/>
        </w:rPr>
        <w:tab/>
        <w:t>that WHO and ITU have a key role in strengthening coordination between interested parties in all technical areas for the standardization of e-health applications and uses of e-health protocols;</w:t>
      </w:r>
    </w:p>
    <w:p w14:paraId="398830B0" w14:textId="77777777" w:rsidR="00993BFE" w:rsidRPr="00380B40" w:rsidRDefault="00993BFE" w:rsidP="00993BFE">
      <w:pPr>
        <w:rPr>
          <w:i/>
          <w:iCs/>
          <w:szCs w:val="24"/>
          <w:lang w:val="en-GB"/>
        </w:rPr>
      </w:pPr>
      <w:r w:rsidRPr="00380B40">
        <w:rPr>
          <w:i/>
          <w:iCs/>
          <w:szCs w:val="24"/>
          <w:lang w:val="en-GB"/>
        </w:rPr>
        <w:t>d)</w:t>
      </w:r>
      <w:r w:rsidRPr="00380B40">
        <w:rPr>
          <w:szCs w:val="24"/>
          <w:lang w:val="en-GB"/>
        </w:rPr>
        <w:tab/>
        <w:t>the pressing need for the provision of safe, prompt, efficient and effective health care through the use of ICT in e-health;</w:t>
      </w:r>
    </w:p>
    <w:p w14:paraId="38C0AAC0" w14:textId="77777777" w:rsidR="00993BFE" w:rsidRPr="00380B40" w:rsidRDefault="00993BFE" w:rsidP="00993BFE">
      <w:pPr>
        <w:rPr>
          <w:sz w:val="28"/>
          <w:szCs w:val="28"/>
          <w:lang w:val="en-GB"/>
        </w:rPr>
      </w:pPr>
      <w:r w:rsidRPr="00380B40">
        <w:rPr>
          <w:i/>
          <w:iCs/>
          <w:szCs w:val="24"/>
          <w:lang w:val="en-GB"/>
        </w:rPr>
        <w:t>e)</w:t>
      </w:r>
      <w:r w:rsidRPr="00380B40">
        <w:rPr>
          <w:szCs w:val="24"/>
          <w:lang w:val="en-GB"/>
        </w:rPr>
        <w:tab/>
        <w:t>that e-health applications and the ICT applications supporting them are already extensive, but far from fully optimized and integrated</w:t>
      </w:r>
      <w:r w:rsidRPr="00380B40">
        <w:rPr>
          <w:szCs w:val="28"/>
          <w:lang w:val="en-GB"/>
        </w:rPr>
        <w:t xml:space="preserve">, </w:t>
      </w:r>
      <w:bookmarkStart w:id="360" w:name="_Hlk48906658"/>
      <w:r w:rsidRPr="00380B40">
        <w:rPr>
          <w:color w:val="000000" w:themeColor="text1"/>
          <w:szCs w:val="28"/>
          <w:lang w:val="en-GB"/>
        </w:rPr>
        <w:t>especially for rural, remote and underserved areas</w:t>
      </w:r>
      <w:bookmarkEnd w:id="360"/>
      <w:r w:rsidRPr="00380B40">
        <w:rPr>
          <w:szCs w:val="24"/>
          <w:lang w:val="en-GB"/>
        </w:rPr>
        <w:t>;</w:t>
      </w:r>
    </w:p>
    <w:p w14:paraId="52636748" w14:textId="77777777" w:rsidR="00993BFE" w:rsidRPr="00380B40" w:rsidRDefault="00993BFE" w:rsidP="00993BFE">
      <w:pPr>
        <w:rPr>
          <w:szCs w:val="24"/>
          <w:lang w:val="en-GB"/>
        </w:rPr>
      </w:pPr>
      <w:r w:rsidRPr="00380B40">
        <w:rPr>
          <w:i/>
          <w:iCs/>
          <w:szCs w:val="24"/>
          <w:lang w:val="en-GB"/>
        </w:rPr>
        <w:t>f)</w:t>
      </w:r>
      <w:r w:rsidRPr="00380B40">
        <w:rPr>
          <w:szCs w:val="24"/>
          <w:lang w:val="en-GB"/>
        </w:rPr>
        <w:tab/>
        <w:t>the importance of maintaining momentum so that the potential advantages of telecommunication/ICT technologies in the health-care sector are supported by appropriate and secure regulatory, legal and policy frameworks in both the telecommunication and the health sectors,</w:t>
      </w:r>
    </w:p>
    <w:p w14:paraId="4A7E25B3" w14:textId="77777777" w:rsidR="00993BFE" w:rsidRPr="00380B40" w:rsidRDefault="00993BFE" w:rsidP="00993BFE">
      <w:pPr>
        <w:pStyle w:val="Call"/>
        <w:rPr>
          <w:szCs w:val="24"/>
          <w:lang w:val="en-GB"/>
        </w:rPr>
      </w:pPr>
      <w:r w:rsidRPr="00380B40">
        <w:rPr>
          <w:szCs w:val="24"/>
          <w:lang w:val="en-GB"/>
        </w:rPr>
        <w:t>noting</w:t>
      </w:r>
    </w:p>
    <w:p w14:paraId="6479171F" w14:textId="77777777" w:rsidR="00993BFE" w:rsidRPr="00380B40" w:rsidRDefault="00993BFE" w:rsidP="00993BFE">
      <w:pPr>
        <w:rPr>
          <w:szCs w:val="24"/>
          <w:lang w:val="en-GB"/>
        </w:rPr>
      </w:pPr>
      <w:r w:rsidRPr="00380B40">
        <w:rPr>
          <w:i/>
          <w:iCs/>
          <w:szCs w:val="24"/>
          <w:lang w:val="en-GB"/>
        </w:rPr>
        <w:t>a)</w:t>
      </w:r>
      <w:r w:rsidRPr="00380B40">
        <w:rPr>
          <w:szCs w:val="24"/>
          <w:lang w:val="en-GB"/>
        </w:rPr>
        <w:tab/>
        <w:t>ongoing work and studies in Study Group 2 of the ITU Telecommunication Development Sector (ITU</w:t>
      </w:r>
      <w:r w:rsidRPr="00380B40">
        <w:rPr>
          <w:szCs w:val="24"/>
          <w:lang w:val="en-GB"/>
        </w:rPr>
        <w:noBreakHyphen/>
        <w:t>D) under Question 2/2, on information and telecommunications/ICT for e-health;</w:t>
      </w:r>
    </w:p>
    <w:p w14:paraId="1478EAF6" w14:textId="77777777" w:rsidR="00993BFE" w:rsidRPr="00380B40" w:rsidRDefault="00993BFE" w:rsidP="00993BFE">
      <w:pPr>
        <w:rPr>
          <w:szCs w:val="24"/>
          <w:lang w:val="en-GB"/>
        </w:rPr>
      </w:pPr>
      <w:r w:rsidRPr="00380B40">
        <w:rPr>
          <w:i/>
          <w:iCs/>
          <w:szCs w:val="24"/>
          <w:lang w:val="en-GB"/>
        </w:rPr>
        <w:t>b)</w:t>
      </w:r>
      <w:r w:rsidRPr="00380B40">
        <w:rPr>
          <w:szCs w:val="24"/>
          <w:lang w:val="en-GB"/>
        </w:rPr>
        <w:tab/>
        <w:t>ongoing work and studies in Study Group 16 of the ITU Telecommunication Standardization Sector (ITU</w:t>
      </w:r>
      <w:r w:rsidRPr="00380B40">
        <w:rPr>
          <w:szCs w:val="24"/>
          <w:lang w:val="en-GB"/>
        </w:rPr>
        <w:noBreakHyphen/>
        <w:t>T) under Question 28/16, on multimedia framework for e-health applications;</w:t>
      </w:r>
    </w:p>
    <w:p w14:paraId="7DDAAC04" w14:textId="77777777" w:rsidR="00993BFE" w:rsidRPr="00380B40" w:rsidRDefault="00993BFE" w:rsidP="00993BFE">
      <w:pPr>
        <w:rPr>
          <w:szCs w:val="24"/>
          <w:lang w:val="en-GB"/>
        </w:rPr>
      </w:pPr>
      <w:r w:rsidRPr="00380B40">
        <w:rPr>
          <w:i/>
          <w:iCs/>
          <w:szCs w:val="24"/>
          <w:lang w:val="en-GB"/>
        </w:rPr>
        <w:t>c)</w:t>
      </w:r>
      <w:r w:rsidRPr="00380B40">
        <w:rPr>
          <w:szCs w:val="24"/>
          <w:lang w:val="en-GB"/>
        </w:rPr>
        <w:tab/>
        <w:t>that ICT standards for health care were deemed to be an issue of major importance at the 13th session of the Global Standards Collaboration (GSC-13);</w:t>
      </w:r>
    </w:p>
    <w:p w14:paraId="49060EB0" w14:textId="77777777" w:rsidR="00993BFE" w:rsidRPr="00380B40" w:rsidRDefault="00993BFE" w:rsidP="00993BFE">
      <w:pPr>
        <w:rPr>
          <w:i/>
          <w:iCs/>
          <w:szCs w:val="24"/>
          <w:lang w:val="en-GB"/>
        </w:rPr>
      </w:pPr>
      <w:r w:rsidRPr="00380B40">
        <w:rPr>
          <w:i/>
          <w:iCs/>
          <w:szCs w:val="24"/>
          <w:lang w:val="en-GB"/>
        </w:rPr>
        <w:t>d)</w:t>
      </w:r>
      <w:r w:rsidRPr="00380B40">
        <w:rPr>
          <w:szCs w:val="24"/>
          <w:lang w:val="en-GB"/>
        </w:rPr>
        <w:tab/>
        <w:t>that ICT standards relating to health care have to be adapted as needed to suit the conditions in each Member State, and this will require strengthening of capacity building and increased support;</w:t>
      </w:r>
    </w:p>
    <w:p w14:paraId="086E4BE2" w14:textId="77777777" w:rsidR="00132AD9" w:rsidRPr="00380B40" w:rsidRDefault="00132AD9" w:rsidP="00993BFE">
      <w:pPr>
        <w:rPr>
          <w:i/>
          <w:iCs/>
          <w:szCs w:val="24"/>
          <w:lang w:val="en-GB"/>
        </w:rPr>
      </w:pPr>
      <w:r w:rsidRPr="00380B40">
        <w:rPr>
          <w:i/>
          <w:iCs/>
          <w:szCs w:val="24"/>
          <w:lang w:val="en-GB"/>
        </w:rPr>
        <w:br w:type="page"/>
      </w:r>
    </w:p>
    <w:p w14:paraId="0A61DDB1" w14:textId="77777777" w:rsidR="00993BFE" w:rsidRPr="00380B40" w:rsidRDefault="00993BFE" w:rsidP="00993BFE">
      <w:pPr>
        <w:rPr>
          <w:szCs w:val="24"/>
          <w:lang w:val="en-GB"/>
        </w:rPr>
      </w:pPr>
      <w:r w:rsidRPr="00380B40">
        <w:rPr>
          <w:i/>
          <w:iCs/>
          <w:szCs w:val="24"/>
          <w:lang w:val="en-GB"/>
        </w:rPr>
        <w:t>e)</w:t>
      </w:r>
      <w:r w:rsidRPr="00380B40">
        <w:rPr>
          <w:szCs w:val="24"/>
          <w:lang w:val="en-GB"/>
        </w:rPr>
        <w:tab/>
        <w:t>ongoing work in ITU</w:t>
      </w:r>
      <w:r w:rsidRPr="00380B40">
        <w:rPr>
          <w:szCs w:val="24"/>
          <w:lang w:val="en-GB"/>
        </w:rPr>
        <w:noBreakHyphen/>
        <w:t>D to reduce the digital divide in the area of e-health;</w:t>
      </w:r>
    </w:p>
    <w:p w14:paraId="678298CE" w14:textId="77777777" w:rsidR="00993BFE" w:rsidRPr="00380B40" w:rsidRDefault="00993BFE" w:rsidP="00993BFE">
      <w:pPr>
        <w:rPr>
          <w:szCs w:val="24"/>
          <w:lang w:val="en-GB"/>
        </w:rPr>
      </w:pPr>
      <w:r w:rsidRPr="00380B40">
        <w:rPr>
          <w:i/>
          <w:iCs/>
          <w:szCs w:val="24"/>
          <w:lang w:val="en-GB"/>
        </w:rPr>
        <w:t>f)</w:t>
      </w:r>
      <w:r w:rsidRPr="00380B40">
        <w:rPr>
          <w:szCs w:val="24"/>
          <w:lang w:val="en-GB"/>
        </w:rPr>
        <w:tab/>
        <w:t>ongoing work and studies in ITU</w:t>
      </w:r>
      <w:r w:rsidRPr="00380B40">
        <w:rPr>
          <w:szCs w:val="24"/>
          <w:lang w:val="en-GB"/>
        </w:rPr>
        <w:noBreakHyphen/>
        <w:t>T Study Group 20, related to e-health;</w:t>
      </w:r>
    </w:p>
    <w:p w14:paraId="182CF7F2" w14:textId="77777777" w:rsidR="00993BFE" w:rsidRPr="00380B40" w:rsidRDefault="00993BFE" w:rsidP="00993BFE">
      <w:pPr>
        <w:rPr>
          <w:szCs w:val="24"/>
          <w:lang w:val="en-GB"/>
        </w:rPr>
      </w:pPr>
      <w:r w:rsidRPr="00380B40">
        <w:rPr>
          <w:i/>
          <w:iCs/>
          <w:szCs w:val="24"/>
          <w:lang w:val="en-GB"/>
        </w:rPr>
        <w:t>g)</w:t>
      </w:r>
      <w:r w:rsidRPr="00380B40">
        <w:rPr>
          <w:szCs w:val="24"/>
          <w:lang w:val="en-GB"/>
        </w:rPr>
        <w:tab/>
        <w:t>ongoing work in relevant standards-development organizations, including the International Organization for Standardization Technical Committee on health informatics (ISO TC 215), in the area of e-health,</w:t>
      </w:r>
    </w:p>
    <w:p w14:paraId="1030C1FA" w14:textId="77777777" w:rsidR="00993BFE" w:rsidRPr="00380B40" w:rsidRDefault="00993BFE" w:rsidP="00993BFE">
      <w:pPr>
        <w:pStyle w:val="Call"/>
        <w:rPr>
          <w:szCs w:val="24"/>
          <w:lang w:val="en-GB"/>
        </w:rPr>
      </w:pPr>
      <w:r w:rsidRPr="00380B40">
        <w:rPr>
          <w:szCs w:val="24"/>
          <w:lang w:val="en-GB"/>
        </w:rPr>
        <w:t xml:space="preserve">recognizing further </w:t>
      </w:r>
    </w:p>
    <w:p w14:paraId="398E5D1A" w14:textId="77777777" w:rsidR="00993BFE" w:rsidRPr="00380B40" w:rsidRDefault="00993BFE" w:rsidP="00993BFE">
      <w:pPr>
        <w:rPr>
          <w:szCs w:val="24"/>
          <w:lang w:val="en-GB"/>
        </w:rPr>
      </w:pPr>
      <w:r w:rsidRPr="00380B40">
        <w:rPr>
          <w:i/>
          <w:iCs/>
          <w:szCs w:val="24"/>
          <w:lang w:val="en-GB"/>
        </w:rPr>
        <w:t>a)</w:t>
      </w:r>
      <w:r w:rsidRPr="00380B40">
        <w:rPr>
          <w:szCs w:val="24"/>
          <w:lang w:val="en-GB"/>
        </w:rPr>
        <w:tab/>
        <w:t>the importance of telecommunication/ICT standardization in e-health services to promote interoperability to make health care more inclusive and to realize the full potential of ICTs in strengthening health-care systems;</w:t>
      </w:r>
    </w:p>
    <w:p w14:paraId="25967AA6" w14:textId="77777777" w:rsidR="00993BFE" w:rsidRPr="00380B40" w:rsidRDefault="00993BFE" w:rsidP="00993BFE">
      <w:pPr>
        <w:rPr>
          <w:szCs w:val="24"/>
          <w:lang w:val="en-GB"/>
        </w:rPr>
      </w:pPr>
      <w:r w:rsidRPr="00380B40">
        <w:rPr>
          <w:i/>
          <w:iCs/>
          <w:szCs w:val="24"/>
          <w:lang w:val="en-GB"/>
        </w:rPr>
        <w:t>b)</w:t>
      </w:r>
      <w:r w:rsidRPr="00380B40">
        <w:rPr>
          <w:szCs w:val="24"/>
          <w:lang w:val="en-GB"/>
        </w:rPr>
        <w:tab/>
        <w:t>that, for health-care providers, system interoperability between information systems is critical and fundamental, in particular in developing countries, for delivering quality health care and reducing its costs;</w:t>
      </w:r>
    </w:p>
    <w:p w14:paraId="18EC01BB" w14:textId="77777777" w:rsidR="00993BFE" w:rsidRPr="00380B40" w:rsidRDefault="00993BFE" w:rsidP="00993BFE">
      <w:pPr>
        <w:rPr>
          <w:szCs w:val="28"/>
          <w:lang w:val="en-GB"/>
        </w:rPr>
      </w:pPr>
      <w:r w:rsidRPr="00380B40">
        <w:rPr>
          <w:i/>
          <w:iCs/>
          <w:szCs w:val="28"/>
          <w:lang w:val="en-GB"/>
        </w:rPr>
        <w:t>c)</w:t>
      </w:r>
      <w:r w:rsidRPr="00380B40">
        <w:rPr>
          <w:szCs w:val="28"/>
          <w:lang w:val="en-GB"/>
        </w:rPr>
        <w:tab/>
        <w:t>that telecommunications/ICTs play significant roles in providing quality e-health services to rural, remote and underserved areas, and in addressing challenges in public health emergencies,</w:t>
      </w:r>
    </w:p>
    <w:p w14:paraId="310B2B17" w14:textId="77777777" w:rsidR="00993BFE" w:rsidRPr="00380B40" w:rsidRDefault="00993BFE" w:rsidP="00993BFE">
      <w:pPr>
        <w:pStyle w:val="Call"/>
        <w:rPr>
          <w:lang w:val="en-GB"/>
        </w:rPr>
      </w:pPr>
      <w:r w:rsidRPr="00380B40">
        <w:rPr>
          <w:lang w:val="en-GB"/>
        </w:rPr>
        <w:t xml:space="preserve">resolves to instruct the Director of the Telecommunication Standardization Bureau, in collaboration with the Director of the Telecommunication Development Bureau and the Director of the Radiocommunication Bureau </w:t>
      </w:r>
    </w:p>
    <w:p w14:paraId="1480E820" w14:textId="77777777" w:rsidR="00993BFE" w:rsidRPr="00380B40" w:rsidRDefault="00993BFE" w:rsidP="00993BFE">
      <w:pPr>
        <w:rPr>
          <w:szCs w:val="24"/>
          <w:lang w:val="en-GB"/>
        </w:rPr>
      </w:pPr>
      <w:r w:rsidRPr="00380B40">
        <w:rPr>
          <w:szCs w:val="24"/>
          <w:lang w:val="en-GB"/>
        </w:rPr>
        <w:t>1</w:t>
      </w:r>
      <w:r w:rsidRPr="00380B40">
        <w:rPr>
          <w:szCs w:val="24"/>
          <w:lang w:val="en-GB"/>
        </w:rPr>
        <w:tab/>
        <w:t>to consider with priority the enhancement of telecommunication/ICT initiatives in e</w:t>
      </w:r>
      <w:r w:rsidRPr="00380B40">
        <w:rPr>
          <w:szCs w:val="24"/>
          <w:lang w:val="en-GB"/>
        </w:rPr>
        <w:noBreakHyphen/>
        <w:t>health and to coordinate their related standardization activities;</w:t>
      </w:r>
    </w:p>
    <w:p w14:paraId="3055D424" w14:textId="77777777" w:rsidR="00993BFE" w:rsidRPr="00380B40" w:rsidRDefault="00993BFE" w:rsidP="00993BFE">
      <w:pPr>
        <w:rPr>
          <w:szCs w:val="24"/>
          <w:lang w:val="en-GB"/>
        </w:rPr>
      </w:pPr>
      <w:r w:rsidRPr="00380B40">
        <w:rPr>
          <w:szCs w:val="24"/>
          <w:lang w:val="en-GB"/>
        </w:rPr>
        <w:t>2</w:t>
      </w:r>
      <w:r w:rsidRPr="00380B40">
        <w:rPr>
          <w:szCs w:val="24"/>
          <w:lang w:val="en-GB"/>
        </w:rPr>
        <w:tab/>
        <w:t>to continue and further develop ITU activities on telecommunication/ICT applications for e-health in order to contribute to the wider global efforts concerning e-health;</w:t>
      </w:r>
    </w:p>
    <w:p w14:paraId="67B82B9D" w14:textId="77777777" w:rsidR="00993BFE" w:rsidRPr="00380B40" w:rsidRDefault="00993BFE" w:rsidP="00993BFE">
      <w:pPr>
        <w:rPr>
          <w:szCs w:val="24"/>
          <w:lang w:val="en-GB"/>
        </w:rPr>
      </w:pPr>
      <w:r w:rsidRPr="00380B40">
        <w:rPr>
          <w:szCs w:val="24"/>
          <w:lang w:val="en-GB"/>
        </w:rPr>
        <w:t>3</w:t>
      </w:r>
      <w:r w:rsidRPr="00380B40">
        <w:rPr>
          <w:szCs w:val="24"/>
          <w:lang w:val="en-GB"/>
        </w:rPr>
        <w:tab/>
        <w:t>to work collaboratively with WHO, academia and other relevant organizations on activities related to e-health in general and to this resolution in particular;</w:t>
      </w:r>
    </w:p>
    <w:p w14:paraId="1F6E0B44" w14:textId="77777777" w:rsidR="00993BFE" w:rsidRPr="00380B40" w:rsidRDefault="00993BFE" w:rsidP="00993BFE">
      <w:pPr>
        <w:rPr>
          <w:szCs w:val="24"/>
          <w:lang w:val="en-GB"/>
        </w:rPr>
      </w:pPr>
      <w:r w:rsidRPr="00380B40">
        <w:rPr>
          <w:szCs w:val="24"/>
          <w:lang w:val="en-GB"/>
        </w:rPr>
        <w:t>4</w:t>
      </w:r>
      <w:r w:rsidRPr="00380B40">
        <w:rPr>
          <w:szCs w:val="24"/>
          <w:lang w:val="en-GB"/>
        </w:rPr>
        <w:tab/>
        <w:t>to organize seminars and workshops on e-health for developing countries and gauge the needs of the developing countries, which are the countries with the greatest need for e-health applications,</w:t>
      </w:r>
    </w:p>
    <w:p w14:paraId="5BB2F263" w14:textId="77777777" w:rsidR="00993BFE" w:rsidRPr="00380B40" w:rsidRDefault="00993BFE" w:rsidP="00993BFE">
      <w:pPr>
        <w:pStyle w:val="Call"/>
        <w:rPr>
          <w:szCs w:val="24"/>
          <w:lang w:val="en-GB"/>
        </w:rPr>
      </w:pPr>
      <w:r w:rsidRPr="00380B40">
        <w:rPr>
          <w:szCs w:val="24"/>
          <w:lang w:val="en-GB"/>
        </w:rPr>
        <w:t>instructs Study Groups 16 and 20 of the ITU Telecommunication Standardization Sector, each according to its mandate, in collaboration with the relevant study groups, particularly Study Groups 11 and 17 of the ITU Telecommunication Standardization Sector</w:t>
      </w:r>
    </w:p>
    <w:p w14:paraId="7B09B320" w14:textId="77777777" w:rsidR="00993BFE" w:rsidRPr="00380B40" w:rsidRDefault="00993BFE" w:rsidP="00993BFE">
      <w:pPr>
        <w:rPr>
          <w:szCs w:val="24"/>
          <w:lang w:val="en-GB"/>
        </w:rPr>
      </w:pPr>
      <w:r w:rsidRPr="00380B40">
        <w:rPr>
          <w:szCs w:val="24"/>
          <w:lang w:val="en-GB"/>
        </w:rPr>
        <w:t>1</w:t>
      </w:r>
      <w:r w:rsidRPr="00380B40">
        <w:rPr>
          <w:szCs w:val="24"/>
          <w:lang w:val="en-GB"/>
        </w:rPr>
        <w:tab/>
        <w:t>to identify and document examples of best practice for e-health in the field of telecommunications/ICTs, for dissemination among ITU Member States and Sector Members;</w:t>
      </w:r>
    </w:p>
    <w:p w14:paraId="3E29D9CC" w14:textId="77777777" w:rsidR="00993BFE" w:rsidRPr="00380B40" w:rsidRDefault="00993BFE" w:rsidP="00993BFE">
      <w:pPr>
        <w:rPr>
          <w:szCs w:val="24"/>
          <w:lang w:val="en-GB"/>
        </w:rPr>
      </w:pPr>
      <w:r w:rsidRPr="00380B40">
        <w:rPr>
          <w:szCs w:val="24"/>
          <w:lang w:val="en-GB"/>
        </w:rPr>
        <w:t>2</w:t>
      </w:r>
      <w:r w:rsidRPr="00380B40">
        <w:rPr>
          <w:szCs w:val="24"/>
          <w:lang w:val="en-GB"/>
        </w:rPr>
        <w:tab/>
        <w:t>to coordinate activities and studies relating to e-health among the relevant study groups, focus groups and other relevant groups in ITU</w:t>
      </w:r>
      <w:r w:rsidRPr="00380B40">
        <w:rPr>
          <w:szCs w:val="24"/>
          <w:lang w:val="en-GB"/>
        </w:rPr>
        <w:noBreakHyphen/>
        <w:t>T, the ITU Radiocommunication Sector (ITU</w:t>
      </w:r>
      <w:r w:rsidRPr="00380B40">
        <w:rPr>
          <w:szCs w:val="24"/>
          <w:lang w:val="en-GB"/>
        </w:rPr>
        <w:noBreakHyphen/>
        <w:t>R) and ITU</w:t>
      </w:r>
      <w:r w:rsidRPr="00380B40">
        <w:rPr>
          <w:szCs w:val="24"/>
          <w:lang w:val="en-GB"/>
        </w:rPr>
        <w:noBreakHyphen/>
        <w:t>D, in order in particular to foster awareness of telecommunication/ICT standards pertaining to e-health;</w:t>
      </w:r>
    </w:p>
    <w:p w14:paraId="669534A8" w14:textId="77777777" w:rsidR="00132AD9" w:rsidRPr="00380B40" w:rsidRDefault="00132AD9" w:rsidP="00993BFE">
      <w:pPr>
        <w:rPr>
          <w:szCs w:val="24"/>
          <w:lang w:val="en-GB"/>
        </w:rPr>
      </w:pPr>
      <w:r w:rsidRPr="00380B40">
        <w:rPr>
          <w:szCs w:val="24"/>
          <w:lang w:val="en-GB"/>
        </w:rPr>
        <w:br w:type="page"/>
      </w:r>
    </w:p>
    <w:p w14:paraId="0512112A" w14:textId="77777777" w:rsidR="00993BFE" w:rsidRPr="00380B40" w:rsidRDefault="00993BFE" w:rsidP="00993BFE">
      <w:pPr>
        <w:rPr>
          <w:szCs w:val="24"/>
          <w:lang w:val="en-GB"/>
        </w:rPr>
      </w:pPr>
      <w:r w:rsidRPr="00380B40">
        <w:rPr>
          <w:szCs w:val="24"/>
          <w:lang w:val="en-GB"/>
        </w:rPr>
        <w:t>3</w:t>
      </w:r>
      <w:r w:rsidRPr="00380B40">
        <w:rPr>
          <w:szCs w:val="24"/>
          <w:lang w:val="en-GB"/>
        </w:rPr>
        <w:tab/>
        <w:t>for ensuring the broad deployment of e-health services in diverse operating conditions, to study communication protocols relating to e-health, especially among heterogeneous networks;</w:t>
      </w:r>
    </w:p>
    <w:p w14:paraId="21291C9A" w14:textId="77777777" w:rsidR="00993BFE" w:rsidRPr="00380B40" w:rsidRDefault="00993BFE" w:rsidP="00993BFE">
      <w:pPr>
        <w:rPr>
          <w:szCs w:val="24"/>
          <w:lang w:val="en-GB"/>
        </w:rPr>
      </w:pPr>
      <w:r w:rsidRPr="00380B40">
        <w:rPr>
          <w:szCs w:val="24"/>
          <w:lang w:val="en-GB"/>
        </w:rPr>
        <w:t>4</w:t>
      </w:r>
      <w:r w:rsidRPr="00380B40">
        <w:rPr>
          <w:szCs w:val="24"/>
          <w:lang w:val="en-GB"/>
        </w:rPr>
        <w:tab/>
        <w:t>within the current mandate of the ITU</w:t>
      </w:r>
      <w:r w:rsidRPr="00380B40">
        <w:rPr>
          <w:szCs w:val="24"/>
          <w:lang w:val="en-GB"/>
        </w:rPr>
        <w:noBreakHyphen/>
        <w:t xml:space="preserve">T study groups, to give priority to the study of security standards (e.g. for communications, services, network aspects and service scenarios for databases and record handling, identification, integrity and authentication) relating to e-health, taking into account </w:t>
      </w:r>
      <w:r w:rsidRPr="00380B40">
        <w:rPr>
          <w:i/>
          <w:szCs w:val="24"/>
          <w:lang w:val="en-GB"/>
        </w:rPr>
        <w:t xml:space="preserve">recognizing </w:t>
      </w:r>
      <w:r w:rsidRPr="00380B40">
        <w:rPr>
          <w:i/>
          <w:iCs/>
          <w:szCs w:val="24"/>
          <w:lang w:val="en-GB"/>
        </w:rPr>
        <w:t>e),</w:t>
      </w:r>
    </w:p>
    <w:p w14:paraId="413AF718" w14:textId="77777777" w:rsidR="00993BFE" w:rsidRPr="00380B40" w:rsidRDefault="00993BFE" w:rsidP="00993BFE">
      <w:pPr>
        <w:pStyle w:val="Call"/>
        <w:rPr>
          <w:lang w:val="en-GB"/>
        </w:rPr>
      </w:pPr>
      <w:r w:rsidRPr="00380B40">
        <w:rPr>
          <w:lang w:val="en-GB"/>
        </w:rPr>
        <w:t>invites Member States</w:t>
      </w:r>
    </w:p>
    <w:p w14:paraId="0E262193" w14:textId="77777777" w:rsidR="00993BFE" w:rsidRPr="00380B40" w:rsidRDefault="00993BFE" w:rsidP="00993BFE">
      <w:pPr>
        <w:rPr>
          <w:lang w:val="en-GB"/>
        </w:rPr>
      </w:pPr>
      <w:r w:rsidRPr="00380B40">
        <w:rPr>
          <w:szCs w:val="24"/>
          <w:lang w:val="en-GB"/>
        </w:rPr>
        <w:t>to consider, as appropriate, the development and/or enhancement of frameworks, which may include legislation, regulations, standards, codes of practice and guidelines, to enhance the development of telecommunication/ICT services, products and terminals for e-health and e-health applications, particularly to address public health emergencies</w:t>
      </w:r>
      <w:r w:rsidRPr="00380B40">
        <w:rPr>
          <w:lang w:val="en-GB"/>
        </w:rPr>
        <w:t xml:space="preserve">, </w:t>
      </w:r>
      <w:r w:rsidRPr="00380B40">
        <w:rPr>
          <w:szCs w:val="24"/>
          <w:lang w:val="en-GB"/>
        </w:rPr>
        <w:t>within the scope of Resolution 130 (Rev. Dubai, 2018) of the Plenipotentiary Conference,</w:t>
      </w:r>
    </w:p>
    <w:p w14:paraId="67E2AD50" w14:textId="77777777" w:rsidR="00993BFE" w:rsidRPr="00380B40" w:rsidRDefault="00993BFE" w:rsidP="00993BFE">
      <w:pPr>
        <w:pStyle w:val="Call"/>
        <w:rPr>
          <w:szCs w:val="24"/>
          <w:lang w:val="en-GB"/>
        </w:rPr>
      </w:pPr>
      <w:r w:rsidRPr="00380B40">
        <w:rPr>
          <w:szCs w:val="24"/>
          <w:lang w:val="en-GB"/>
        </w:rPr>
        <w:t>encourages Member States, Sector Members, Associates and Academia</w:t>
      </w:r>
    </w:p>
    <w:p w14:paraId="7E1FB6A4" w14:textId="77777777" w:rsidR="00993BFE" w:rsidRPr="00380B40" w:rsidRDefault="00993BFE" w:rsidP="00993BFE">
      <w:pPr>
        <w:rPr>
          <w:lang w:val="en-GB"/>
        </w:rPr>
      </w:pPr>
      <w:r w:rsidRPr="00380B40">
        <w:rPr>
          <w:lang w:val="en-GB"/>
        </w:rPr>
        <w:t>to participate actively in ITU</w:t>
      </w:r>
      <w:r w:rsidRPr="00380B40">
        <w:rPr>
          <w:lang w:val="en-GB"/>
        </w:rPr>
        <w:noBreakHyphen/>
        <w:t xml:space="preserve">T studies on e-health, </w:t>
      </w:r>
      <w:bookmarkStart w:id="361" w:name="_Hlk48906963"/>
      <w:r w:rsidRPr="00380B40">
        <w:rPr>
          <w:lang w:val="en-GB"/>
        </w:rPr>
        <w:t>including effective solutions for addressing public health emergencies, and to support e-health services for ageing populations, persons with disabilities and persons with specific needs</w:t>
      </w:r>
      <w:bookmarkEnd w:id="361"/>
      <w:r w:rsidRPr="00380B40">
        <w:rPr>
          <w:lang w:val="en-GB"/>
        </w:rPr>
        <w:t>, through the submission of contributions and by other appropriate means.</w:t>
      </w:r>
    </w:p>
    <w:p w14:paraId="21AEB6F4" w14:textId="77777777" w:rsidR="001475D0" w:rsidRPr="00380B40" w:rsidRDefault="001475D0" w:rsidP="0065003E">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6AD6E68" w14:textId="77777777" w:rsidR="00132AD9" w:rsidRPr="00380B40"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671555D" w14:textId="77777777" w:rsidR="00132AD9" w:rsidRPr="00380B40"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4E4927F" w14:textId="77777777" w:rsidR="00132AD9" w:rsidRPr="00380B40"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FD4F771" w14:textId="77777777" w:rsidR="00132AD9" w:rsidRPr="00380B40"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82573B4" w14:textId="77777777" w:rsidR="00132AD9" w:rsidRPr="00380B40"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FD4AF6F" w14:textId="77777777" w:rsidR="00132AD9" w:rsidRPr="00380B40"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D5B16A8" w14:textId="77777777" w:rsidR="00132AD9" w:rsidRPr="00380B40"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A810300" w14:textId="77777777" w:rsidR="00132AD9" w:rsidRPr="00380B40"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25CD3EA" w14:textId="77777777" w:rsidR="00132AD9" w:rsidRPr="00380B40"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E3AABB3" w14:textId="77777777" w:rsidR="00132AD9" w:rsidRPr="00380B40"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BD9B6E3" w14:textId="77777777" w:rsidR="00132AD9" w:rsidRPr="00380B40"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A49F987" w14:textId="77777777" w:rsidR="00132AD9" w:rsidRPr="00380B40"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2F6B2CC" w14:textId="77777777" w:rsidR="00B97E2C" w:rsidRPr="00380B40" w:rsidRDefault="00B97E2C" w:rsidP="00B97E2C">
      <w:pPr>
        <w:rPr>
          <w:lang w:val="en-GB"/>
        </w:rPr>
      </w:pPr>
    </w:p>
    <w:p w14:paraId="4D35EE3C" w14:textId="77777777" w:rsidR="00B97E2C" w:rsidRPr="00380B40" w:rsidRDefault="00B97E2C" w:rsidP="00B97E2C">
      <w:pPr>
        <w:rPr>
          <w:lang w:val="en-GB"/>
        </w:rPr>
        <w:sectPr w:rsidR="00B97E2C" w:rsidRPr="00380B40" w:rsidSect="00514D9A">
          <w:headerReference w:type="even" r:id="rId241"/>
          <w:headerReference w:type="default" r:id="rId242"/>
          <w:footerReference w:type="even" r:id="rId243"/>
          <w:footerReference w:type="default" r:id="rId244"/>
          <w:headerReference w:type="first" r:id="rId245"/>
          <w:footerReference w:type="first" r:id="rId246"/>
          <w:footnotePr>
            <w:numRestart w:val="eachSect"/>
          </w:footnotePr>
          <w:pgSz w:w="11907" w:h="16834" w:code="9"/>
          <w:pgMar w:top="1134" w:right="1134" w:bottom="1134" w:left="1134" w:header="567" w:footer="567" w:gutter="0"/>
          <w:paperSrc w:first="15" w:other="15"/>
          <w:cols w:space="720"/>
          <w:vAlign w:val="both"/>
          <w:docGrid w:linePitch="299"/>
        </w:sectPr>
      </w:pPr>
    </w:p>
    <w:p w14:paraId="2901617F" w14:textId="77777777" w:rsidR="009F30F3" w:rsidRPr="00380B40" w:rsidRDefault="00055CCD" w:rsidP="00993BFE">
      <w:pPr>
        <w:pStyle w:val="ResNo"/>
        <w:rPr>
          <w:lang w:val="en-GB"/>
        </w:rPr>
      </w:pPr>
      <w:bookmarkStart w:id="362" w:name="_Toc104459769"/>
      <w:bookmarkStart w:id="363" w:name="_Toc104476577"/>
      <w:bookmarkStart w:id="364" w:name="_Toc111636798"/>
      <w:bookmarkStart w:id="365" w:name="_Toc111638470"/>
      <w:r w:rsidRPr="00380B40">
        <w:rPr>
          <w:caps w:val="0"/>
          <w:lang w:val="en-GB"/>
        </w:rPr>
        <w:t xml:space="preserve">RESOLUTION </w:t>
      </w:r>
      <w:r w:rsidR="009F30F3" w:rsidRPr="00380B40">
        <w:rPr>
          <w:rStyle w:val="href"/>
          <w:lang w:val="en-GB"/>
        </w:rPr>
        <w:t xml:space="preserve">79 </w:t>
      </w:r>
      <w:r w:rsidR="00993BFE" w:rsidRPr="00380B40">
        <w:rPr>
          <w:lang w:val="en-GB"/>
        </w:rPr>
        <w:t>(R</w:t>
      </w:r>
      <w:r w:rsidR="001718FC" w:rsidRPr="00380B40">
        <w:rPr>
          <w:caps w:val="0"/>
          <w:lang w:val="en-GB"/>
        </w:rPr>
        <w:t>ev</w:t>
      </w:r>
      <w:r w:rsidR="00993BFE" w:rsidRPr="00380B40">
        <w:rPr>
          <w:lang w:val="en-GB"/>
        </w:rPr>
        <w:t>. G</w:t>
      </w:r>
      <w:r w:rsidR="001718FC" w:rsidRPr="00380B40">
        <w:rPr>
          <w:caps w:val="0"/>
          <w:lang w:val="en-GB"/>
        </w:rPr>
        <w:t>eneva</w:t>
      </w:r>
      <w:r w:rsidR="007046DF" w:rsidRPr="00380B40">
        <w:rPr>
          <w:caps w:val="0"/>
          <w:lang w:val="en-GB"/>
        </w:rPr>
        <w:t>,</w:t>
      </w:r>
      <w:r w:rsidR="00993BFE" w:rsidRPr="00380B40">
        <w:rPr>
          <w:lang w:val="en-GB"/>
        </w:rPr>
        <w:t xml:space="preserve"> 2022)</w:t>
      </w:r>
      <w:bookmarkEnd w:id="362"/>
      <w:bookmarkEnd w:id="363"/>
      <w:bookmarkEnd w:id="364"/>
      <w:bookmarkEnd w:id="365"/>
    </w:p>
    <w:p w14:paraId="35060C9F" w14:textId="77777777" w:rsidR="00993BFE" w:rsidRPr="00380B40" w:rsidRDefault="00993BFE" w:rsidP="00993BFE">
      <w:pPr>
        <w:pStyle w:val="Restitle"/>
        <w:rPr>
          <w:lang w:val="en-GB"/>
        </w:rPr>
      </w:pPr>
      <w:bookmarkStart w:id="366" w:name="_Toc104459770"/>
      <w:bookmarkStart w:id="367" w:name="_Toc104476578"/>
      <w:bookmarkStart w:id="368" w:name="_Toc111638471"/>
      <w:r w:rsidRPr="00380B40">
        <w:rPr>
          <w:lang w:val="en-GB"/>
        </w:rPr>
        <w:t>The role of telecommunications/information and communication technologies in handling and controlling e-waste from telecommunication and information technology equipment and methods of treating it</w:t>
      </w:r>
      <w:bookmarkEnd w:id="366"/>
      <w:bookmarkEnd w:id="367"/>
      <w:bookmarkEnd w:id="368"/>
    </w:p>
    <w:p w14:paraId="441EEE2D" w14:textId="77777777" w:rsidR="00993BFE" w:rsidRPr="00380B40" w:rsidRDefault="00993BFE" w:rsidP="00993BFE">
      <w:pPr>
        <w:pStyle w:val="Resref"/>
        <w:rPr>
          <w:lang w:val="en-GB"/>
        </w:rPr>
      </w:pPr>
      <w:r w:rsidRPr="00380B40">
        <w:rPr>
          <w:lang w:val="en-GB"/>
        </w:rPr>
        <w:t>(Dubai, 2012, Geneva, 2022)</w:t>
      </w:r>
    </w:p>
    <w:p w14:paraId="71A419F3" w14:textId="77777777" w:rsidR="00993BFE" w:rsidRPr="00380B40" w:rsidRDefault="00993BFE" w:rsidP="00993BFE">
      <w:pPr>
        <w:pStyle w:val="Normalaftertitle0"/>
        <w:rPr>
          <w:szCs w:val="24"/>
        </w:rPr>
      </w:pPr>
      <w:r w:rsidRPr="00380B40">
        <w:rPr>
          <w:szCs w:val="24"/>
        </w:rPr>
        <w:t>The World Telecommunication Standardization Assembly (Geneva, 2022),</w:t>
      </w:r>
    </w:p>
    <w:p w14:paraId="3F8464CE" w14:textId="77777777" w:rsidR="00993BFE" w:rsidRPr="00380B40" w:rsidRDefault="00993BFE" w:rsidP="00993BFE">
      <w:pPr>
        <w:pStyle w:val="Call"/>
        <w:rPr>
          <w:szCs w:val="24"/>
          <w:lang w:val="en-GB"/>
        </w:rPr>
      </w:pPr>
      <w:r w:rsidRPr="00380B40">
        <w:rPr>
          <w:szCs w:val="24"/>
          <w:lang w:val="en-GB"/>
        </w:rPr>
        <w:t>recalling</w:t>
      </w:r>
    </w:p>
    <w:p w14:paraId="551C1178" w14:textId="77777777" w:rsidR="00993BFE" w:rsidRPr="00380B40" w:rsidRDefault="00993BFE" w:rsidP="00993BFE">
      <w:pPr>
        <w:rPr>
          <w:szCs w:val="24"/>
          <w:lang w:val="en-GB"/>
        </w:rPr>
      </w:pPr>
      <w:r w:rsidRPr="00380B40">
        <w:rPr>
          <w:i/>
          <w:iCs/>
          <w:szCs w:val="24"/>
          <w:lang w:val="en-GB"/>
        </w:rPr>
        <w:t>a)</w:t>
      </w:r>
      <w:r w:rsidRPr="00380B40">
        <w:rPr>
          <w:i/>
          <w:iCs/>
          <w:szCs w:val="24"/>
          <w:lang w:val="en-GB"/>
        </w:rPr>
        <w:tab/>
      </w:r>
      <w:r w:rsidRPr="00380B40">
        <w:rPr>
          <w:szCs w:val="24"/>
          <w:lang w:val="en-GB"/>
        </w:rPr>
        <w:t>Resolution 182 (Rev. Busan, 2014) of the Plenipotentiary Conference, on the role of telecommunications/information and communication technologies (ICTs) in regard to climate change and the protection of the environment;</w:t>
      </w:r>
    </w:p>
    <w:p w14:paraId="30D7123E" w14:textId="77777777" w:rsidR="00993BFE" w:rsidRPr="00380B40" w:rsidRDefault="00993BFE" w:rsidP="00993BFE">
      <w:pPr>
        <w:rPr>
          <w:szCs w:val="24"/>
          <w:lang w:val="en-GB"/>
        </w:rPr>
      </w:pPr>
      <w:r w:rsidRPr="00380B40">
        <w:rPr>
          <w:i/>
          <w:iCs/>
          <w:szCs w:val="24"/>
          <w:lang w:val="en-GB"/>
        </w:rPr>
        <w:t>b)</w:t>
      </w:r>
      <w:r w:rsidRPr="00380B40">
        <w:rPr>
          <w:i/>
          <w:iCs/>
          <w:szCs w:val="24"/>
          <w:lang w:val="en-GB"/>
        </w:rPr>
        <w:tab/>
      </w:r>
      <w:r w:rsidRPr="00380B40">
        <w:rPr>
          <w:szCs w:val="24"/>
          <w:lang w:val="en-GB"/>
        </w:rPr>
        <w:t>Resolution 66 (Rev. Buenos Aires, 2017) of the World Telecommunication Development Conference, on ICT and climate change;</w:t>
      </w:r>
    </w:p>
    <w:p w14:paraId="45E3B2B5" w14:textId="77777777" w:rsidR="00993BFE" w:rsidRPr="00380B40" w:rsidRDefault="00993BFE" w:rsidP="00993BFE">
      <w:pPr>
        <w:rPr>
          <w:color w:val="000000"/>
          <w:szCs w:val="24"/>
          <w:lang w:val="en-GB"/>
        </w:rPr>
      </w:pPr>
      <w:r w:rsidRPr="00380B40">
        <w:rPr>
          <w:i/>
          <w:iCs/>
          <w:color w:val="000000"/>
          <w:szCs w:val="24"/>
          <w:lang w:val="en-GB"/>
        </w:rPr>
        <w:t>c)</w:t>
      </w:r>
      <w:r w:rsidRPr="00380B40">
        <w:rPr>
          <w:i/>
          <w:iCs/>
          <w:color w:val="000000"/>
          <w:szCs w:val="24"/>
          <w:lang w:val="en-GB"/>
        </w:rPr>
        <w:tab/>
      </w:r>
      <w:r w:rsidRPr="00380B40">
        <w:rPr>
          <w:color w:val="000000"/>
          <w:szCs w:val="24"/>
          <w:lang w:val="en-GB"/>
        </w:rPr>
        <w:t>§ 19 of the Hyderabad Declaration (2010), stating that the formulation and implementation of policies for proper disposal of e-waste are of great importance;</w:t>
      </w:r>
    </w:p>
    <w:p w14:paraId="4B4BAFF5" w14:textId="77777777" w:rsidR="00993BFE" w:rsidRPr="00380B40" w:rsidRDefault="00993BFE" w:rsidP="00993BFE">
      <w:pPr>
        <w:rPr>
          <w:szCs w:val="24"/>
          <w:lang w:val="en-GB"/>
        </w:rPr>
      </w:pPr>
      <w:r w:rsidRPr="00380B40">
        <w:rPr>
          <w:i/>
          <w:iCs/>
          <w:szCs w:val="24"/>
          <w:lang w:val="en-GB"/>
        </w:rPr>
        <w:t>d)</w:t>
      </w:r>
      <w:r w:rsidRPr="00380B40">
        <w:rPr>
          <w:szCs w:val="24"/>
          <w:lang w:val="en-GB"/>
        </w:rPr>
        <w:tab/>
        <w:t>the Basel Convention (March, 1989) on the Control of Transboundary Movements of Hazardous Wastes and their Disposal, which characterizes certain wastes resulting from electrical and electronic assemblies as hazardous;</w:t>
      </w:r>
    </w:p>
    <w:p w14:paraId="31AA1A8E" w14:textId="77777777" w:rsidR="00993BFE" w:rsidRPr="00380B40" w:rsidRDefault="00993BFE" w:rsidP="00993BFE">
      <w:pPr>
        <w:rPr>
          <w:szCs w:val="24"/>
          <w:lang w:val="en-GB"/>
        </w:rPr>
      </w:pPr>
      <w:r w:rsidRPr="00380B40">
        <w:rPr>
          <w:i/>
          <w:iCs/>
          <w:szCs w:val="24"/>
          <w:lang w:val="en-GB"/>
        </w:rPr>
        <w:t>e)</w:t>
      </w:r>
      <w:r w:rsidRPr="00380B40">
        <w:rPr>
          <w:szCs w:val="24"/>
          <w:lang w:val="en-GB"/>
        </w:rPr>
        <w:tab/>
        <w:t>§ 20 of Action Line C7 (E-environment) of the Geneva Plan of Action of the World Summit on the Information Society (Geneva, 2003), calling for governments, civil society and the private sector to be encouraged to initiate actions and implement projects and programmes for sustainable production and consumption and the environmentally safe disposal and recycling of discarded hardware and components used in ICT;</w:t>
      </w:r>
    </w:p>
    <w:p w14:paraId="65C9772D" w14:textId="77777777" w:rsidR="00993BFE" w:rsidRPr="00380B40" w:rsidRDefault="00993BFE" w:rsidP="00993BFE">
      <w:pPr>
        <w:rPr>
          <w:lang w:val="en-GB"/>
        </w:rPr>
      </w:pPr>
      <w:r w:rsidRPr="00380B40">
        <w:rPr>
          <w:i/>
          <w:iCs/>
          <w:lang w:val="en-GB"/>
        </w:rPr>
        <w:t>f)</w:t>
      </w:r>
      <w:r w:rsidRPr="00380B40">
        <w:rPr>
          <w:i/>
          <w:iCs/>
          <w:lang w:val="en-GB"/>
        </w:rPr>
        <w:tab/>
      </w:r>
      <w:r w:rsidRPr="00380B40">
        <w:rPr>
          <w:lang w:val="en-GB"/>
        </w:rPr>
        <w:t>the Nairobi Declaration on the Environmentally Sound Management of Electrical and Electronic Waste, and the adoption by the ninth Conference of the Parties to the Basel Convention of the Work Plan for the Environmentally Sound Management of E-waste, focusing on the needs of developing countries</w:t>
      </w:r>
      <w:r w:rsidR="00FD162E" w:rsidRPr="00380B40">
        <w:rPr>
          <w:rStyle w:val="FootnoteReference"/>
          <w:lang w:val="en-GB"/>
        </w:rPr>
        <w:footnoteReference w:id="46"/>
      </w:r>
      <w:r w:rsidRPr="00380B40">
        <w:rPr>
          <w:lang w:val="en-GB"/>
        </w:rPr>
        <w:t>,</w:t>
      </w:r>
    </w:p>
    <w:p w14:paraId="7CEDDF06" w14:textId="77777777" w:rsidR="00993BFE" w:rsidRPr="00380B40" w:rsidRDefault="00993BFE" w:rsidP="00993BFE">
      <w:pPr>
        <w:pStyle w:val="Call"/>
        <w:rPr>
          <w:szCs w:val="24"/>
          <w:lang w:val="en-GB"/>
        </w:rPr>
      </w:pPr>
      <w:r w:rsidRPr="00380B40">
        <w:rPr>
          <w:szCs w:val="24"/>
          <w:lang w:val="en-GB"/>
        </w:rPr>
        <w:t>considering</w:t>
      </w:r>
    </w:p>
    <w:p w14:paraId="4C91D5AD" w14:textId="77777777" w:rsidR="00993BFE" w:rsidRPr="00380B40" w:rsidRDefault="00993BFE" w:rsidP="00993BFE">
      <w:pPr>
        <w:rPr>
          <w:szCs w:val="24"/>
          <w:lang w:val="en-GB"/>
        </w:rPr>
      </w:pPr>
      <w:r w:rsidRPr="00380B40">
        <w:rPr>
          <w:i/>
          <w:iCs/>
          <w:szCs w:val="24"/>
          <w:lang w:val="en-GB"/>
        </w:rPr>
        <w:t>a)</w:t>
      </w:r>
      <w:r w:rsidRPr="00380B40">
        <w:rPr>
          <w:i/>
          <w:iCs/>
          <w:szCs w:val="24"/>
          <w:lang w:val="en-GB"/>
        </w:rPr>
        <w:tab/>
      </w:r>
      <w:r w:rsidRPr="00380B40">
        <w:rPr>
          <w:szCs w:val="24"/>
          <w:lang w:val="en-GB"/>
        </w:rPr>
        <w:t>that, owing to the progress in telecommunications and information technology, consumption of and demand for electrical and electronic equipment has been continuously increasing and this in turn has led to a marked increase in the amount of e-waste, which has had a negative impact on the environment and health, particularly in the developing countries;</w:t>
      </w:r>
    </w:p>
    <w:p w14:paraId="11BF284A" w14:textId="77777777" w:rsidR="00132AD9" w:rsidRPr="00380B40" w:rsidRDefault="00132AD9" w:rsidP="00993BFE">
      <w:pPr>
        <w:rPr>
          <w:i/>
          <w:iCs/>
          <w:szCs w:val="24"/>
          <w:lang w:val="en-GB"/>
        </w:rPr>
      </w:pPr>
      <w:r w:rsidRPr="00380B40">
        <w:rPr>
          <w:i/>
          <w:iCs/>
          <w:szCs w:val="24"/>
          <w:lang w:val="en-GB"/>
        </w:rPr>
        <w:br w:type="page"/>
      </w:r>
    </w:p>
    <w:p w14:paraId="6D795B93" w14:textId="77777777" w:rsidR="00993BFE" w:rsidRPr="00380B40" w:rsidRDefault="00993BFE" w:rsidP="00993BFE">
      <w:pPr>
        <w:rPr>
          <w:szCs w:val="24"/>
          <w:lang w:val="en-GB"/>
        </w:rPr>
      </w:pPr>
      <w:r w:rsidRPr="00380B40">
        <w:rPr>
          <w:i/>
          <w:iCs/>
          <w:szCs w:val="24"/>
          <w:lang w:val="en-GB"/>
        </w:rPr>
        <w:t>b)</w:t>
      </w:r>
      <w:r w:rsidRPr="00380B40">
        <w:rPr>
          <w:i/>
          <w:iCs/>
          <w:szCs w:val="24"/>
          <w:lang w:val="en-GB"/>
        </w:rPr>
        <w:tab/>
      </w:r>
      <w:r w:rsidRPr="00380B40">
        <w:rPr>
          <w:szCs w:val="24"/>
          <w:lang w:val="en-GB"/>
        </w:rPr>
        <w:t>that ITU and relevant stakeholders (such as the United Nations Environment Programme and the United Nations Development Programme for the Basel Convention) have a key role in strengthening coordination between interested parties to study the effects of e-waste;</w:t>
      </w:r>
    </w:p>
    <w:p w14:paraId="63BAF52F" w14:textId="77777777" w:rsidR="00993BFE" w:rsidRPr="00380B40" w:rsidRDefault="00993BFE" w:rsidP="00993BFE">
      <w:pPr>
        <w:rPr>
          <w:color w:val="000000"/>
          <w:szCs w:val="24"/>
          <w:lang w:val="en-GB"/>
        </w:rPr>
      </w:pPr>
      <w:r w:rsidRPr="00380B40">
        <w:rPr>
          <w:i/>
          <w:iCs/>
          <w:szCs w:val="24"/>
          <w:lang w:val="en-GB"/>
        </w:rPr>
        <w:t>c)</w:t>
      </w:r>
      <w:r w:rsidRPr="00380B40">
        <w:rPr>
          <w:i/>
          <w:iCs/>
          <w:szCs w:val="24"/>
          <w:lang w:val="en-GB"/>
        </w:rPr>
        <w:tab/>
      </w:r>
      <w:r w:rsidRPr="00380B40">
        <w:rPr>
          <w:szCs w:val="24"/>
          <w:lang w:val="en-GB"/>
        </w:rPr>
        <w:t xml:space="preserve">Recommendation ITU-T L.1000 of the ITU Telecommunication Standardization Sector (ITU-T), on the </w:t>
      </w:r>
      <w:r w:rsidRPr="00380B40">
        <w:rPr>
          <w:color w:val="000000"/>
          <w:szCs w:val="24"/>
          <w:lang w:val="en-GB"/>
        </w:rPr>
        <w:t>universal power adapter and charger solution for mobile terminals and other handheld ICT devices, and Recommendation ITU-T L.1100, on the procedure for recycling rare metals in ICT goods,</w:t>
      </w:r>
    </w:p>
    <w:p w14:paraId="165D03BD" w14:textId="77777777" w:rsidR="00993BFE" w:rsidRPr="00380B40" w:rsidRDefault="00993BFE" w:rsidP="00993BFE">
      <w:pPr>
        <w:pStyle w:val="Call"/>
        <w:rPr>
          <w:szCs w:val="24"/>
          <w:lang w:val="en-GB"/>
        </w:rPr>
      </w:pPr>
      <w:r w:rsidRPr="00380B40">
        <w:rPr>
          <w:szCs w:val="24"/>
          <w:lang w:val="en-GB"/>
        </w:rPr>
        <w:t>recognizing</w:t>
      </w:r>
    </w:p>
    <w:p w14:paraId="09652036" w14:textId="77777777" w:rsidR="00993BFE" w:rsidRPr="00380B40" w:rsidRDefault="00993BFE" w:rsidP="00993BFE">
      <w:pPr>
        <w:rPr>
          <w:szCs w:val="24"/>
          <w:lang w:val="en-GB"/>
        </w:rPr>
      </w:pPr>
      <w:r w:rsidRPr="00380B40">
        <w:rPr>
          <w:i/>
          <w:iCs/>
          <w:szCs w:val="24"/>
          <w:lang w:val="en-GB"/>
        </w:rPr>
        <w:t>a)</w:t>
      </w:r>
      <w:r w:rsidRPr="00380B40">
        <w:rPr>
          <w:i/>
          <w:iCs/>
          <w:szCs w:val="24"/>
          <w:lang w:val="en-GB"/>
        </w:rPr>
        <w:tab/>
      </w:r>
      <w:r w:rsidRPr="00380B40">
        <w:rPr>
          <w:szCs w:val="24"/>
          <w:lang w:val="en-GB"/>
        </w:rPr>
        <w:t>that governments have an important role to play in limiting e-waste by formulating appropriate strategies, policies and legislation;</w:t>
      </w:r>
    </w:p>
    <w:p w14:paraId="07917417" w14:textId="77777777" w:rsidR="00993BFE" w:rsidRPr="00380B40" w:rsidRDefault="00993BFE" w:rsidP="00993BFE">
      <w:pPr>
        <w:rPr>
          <w:szCs w:val="24"/>
          <w:lang w:val="en-GB"/>
        </w:rPr>
      </w:pPr>
      <w:r w:rsidRPr="00380B40">
        <w:rPr>
          <w:i/>
          <w:iCs/>
          <w:szCs w:val="24"/>
          <w:lang w:val="en-GB"/>
        </w:rPr>
        <w:t>b)</w:t>
      </w:r>
      <w:r w:rsidRPr="00380B40">
        <w:rPr>
          <w:i/>
          <w:iCs/>
          <w:szCs w:val="24"/>
          <w:lang w:val="en-GB"/>
        </w:rPr>
        <w:tab/>
      </w:r>
      <w:r w:rsidRPr="00380B40">
        <w:rPr>
          <w:szCs w:val="24"/>
          <w:lang w:val="en-GB"/>
        </w:rPr>
        <w:t>that most of the e-waste from the telecommunication/ICT sector, particularly obsolete user devices like mobile phones, end up in the informal sector without formal disposal procedures;</w:t>
      </w:r>
    </w:p>
    <w:p w14:paraId="721F39DE" w14:textId="77777777" w:rsidR="00993BFE" w:rsidRPr="00380B40" w:rsidRDefault="00993BFE" w:rsidP="00993BFE">
      <w:pPr>
        <w:rPr>
          <w:szCs w:val="24"/>
          <w:lang w:val="en-GB"/>
        </w:rPr>
      </w:pPr>
      <w:r w:rsidRPr="00380B40">
        <w:rPr>
          <w:i/>
          <w:iCs/>
          <w:szCs w:val="24"/>
          <w:lang w:val="en-GB"/>
        </w:rPr>
        <w:t>c)</w:t>
      </w:r>
      <w:r w:rsidRPr="00380B40">
        <w:rPr>
          <w:i/>
          <w:iCs/>
          <w:szCs w:val="24"/>
          <w:lang w:val="en-GB"/>
        </w:rPr>
        <w:tab/>
      </w:r>
      <w:r w:rsidRPr="00380B40">
        <w:rPr>
          <w:szCs w:val="24"/>
          <w:lang w:val="en-GB"/>
        </w:rPr>
        <w:t>that telecommunications/ICT can make a major contribution to alleviating the impact of e-waste;</w:t>
      </w:r>
    </w:p>
    <w:p w14:paraId="32FBFD99" w14:textId="77777777" w:rsidR="00993BFE" w:rsidRPr="00380B40" w:rsidRDefault="00993BFE" w:rsidP="00993BFE">
      <w:pPr>
        <w:rPr>
          <w:szCs w:val="24"/>
          <w:lang w:val="en-GB"/>
        </w:rPr>
      </w:pPr>
      <w:r w:rsidRPr="00380B40">
        <w:rPr>
          <w:i/>
          <w:iCs/>
          <w:szCs w:val="24"/>
          <w:lang w:val="en-GB"/>
        </w:rPr>
        <w:t>d)</w:t>
      </w:r>
      <w:r w:rsidRPr="00380B40">
        <w:rPr>
          <w:i/>
          <w:iCs/>
          <w:szCs w:val="24"/>
          <w:lang w:val="en-GB"/>
        </w:rPr>
        <w:tab/>
      </w:r>
      <w:r w:rsidRPr="00380B40">
        <w:rPr>
          <w:szCs w:val="24"/>
          <w:lang w:val="en-GB"/>
        </w:rPr>
        <w:t>that ongoing work and studies in ITU-T Study Group 5 under Question 7/5, on e-waste, circular economy and sustainable supply-chain management, may include aspects of environmental protection and sustainable design/manufacture and recycling of ICT equipment/facilities;</w:t>
      </w:r>
    </w:p>
    <w:p w14:paraId="083CAB7B" w14:textId="77777777" w:rsidR="00993BFE" w:rsidRPr="00380B40" w:rsidRDefault="00993BFE" w:rsidP="00993BFE">
      <w:pPr>
        <w:rPr>
          <w:iCs/>
          <w:szCs w:val="24"/>
          <w:lang w:val="en-GB"/>
        </w:rPr>
      </w:pPr>
      <w:r w:rsidRPr="00380B40">
        <w:rPr>
          <w:i/>
          <w:iCs/>
          <w:szCs w:val="24"/>
          <w:lang w:val="en-GB"/>
        </w:rPr>
        <w:t>e)</w:t>
      </w:r>
      <w:r w:rsidRPr="00380B40">
        <w:rPr>
          <w:i/>
          <w:iCs/>
          <w:szCs w:val="24"/>
          <w:lang w:val="en-GB"/>
        </w:rPr>
        <w:tab/>
      </w:r>
      <w:r w:rsidRPr="00380B40">
        <w:rPr>
          <w:iCs/>
          <w:szCs w:val="24"/>
          <w:lang w:val="en-GB"/>
        </w:rPr>
        <w:t>the various and current efforts in developing countries and regions related to e-waste management, notwithstanding the challenges that still persist;</w:t>
      </w:r>
    </w:p>
    <w:p w14:paraId="1A8B3972" w14:textId="77777777" w:rsidR="00993BFE" w:rsidRPr="00380B40" w:rsidRDefault="00993BFE" w:rsidP="00993BFE">
      <w:pPr>
        <w:rPr>
          <w:iCs/>
          <w:szCs w:val="24"/>
          <w:lang w:val="en-GB"/>
        </w:rPr>
      </w:pPr>
      <w:r w:rsidRPr="00380B40">
        <w:rPr>
          <w:i/>
          <w:iCs/>
          <w:szCs w:val="24"/>
          <w:lang w:val="en-GB"/>
        </w:rPr>
        <w:t>f)</w:t>
      </w:r>
      <w:r w:rsidRPr="00380B40">
        <w:rPr>
          <w:i/>
          <w:iCs/>
          <w:szCs w:val="24"/>
          <w:lang w:val="en-GB"/>
        </w:rPr>
        <w:tab/>
      </w:r>
      <w:r w:rsidRPr="00380B40">
        <w:rPr>
          <w:szCs w:val="24"/>
          <w:lang w:val="en-GB"/>
        </w:rPr>
        <w:t>the i</w:t>
      </w:r>
      <w:r w:rsidRPr="00380B40">
        <w:rPr>
          <w:iCs/>
          <w:szCs w:val="24"/>
          <w:lang w:val="en-GB"/>
        </w:rPr>
        <w:t>nadequate awareness of how to effectively manage e-waste in developing countries;</w:t>
      </w:r>
    </w:p>
    <w:p w14:paraId="6A2780E2" w14:textId="77777777" w:rsidR="00993BFE" w:rsidRPr="00380B40" w:rsidRDefault="00993BFE" w:rsidP="00993BFE">
      <w:pPr>
        <w:rPr>
          <w:i/>
          <w:iCs/>
          <w:szCs w:val="24"/>
          <w:lang w:val="en-GB"/>
        </w:rPr>
      </w:pPr>
      <w:r w:rsidRPr="00380B40">
        <w:rPr>
          <w:i/>
          <w:iCs/>
          <w:szCs w:val="24"/>
          <w:lang w:val="en-GB"/>
        </w:rPr>
        <w:t>g)</w:t>
      </w:r>
      <w:r w:rsidRPr="00380B40">
        <w:rPr>
          <w:i/>
          <w:iCs/>
          <w:szCs w:val="24"/>
          <w:lang w:val="en-GB"/>
        </w:rPr>
        <w:tab/>
      </w:r>
      <w:r w:rsidRPr="00380B40">
        <w:rPr>
          <w:iCs/>
          <w:szCs w:val="24"/>
          <w:lang w:val="en-GB"/>
        </w:rPr>
        <w:t>the impact of counterfeit ICT devices on e</w:t>
      </w:r>
      <w:r w:rsidRPr="00380B40">
        <w:rPr>
          <w:iCs/>
          <w:szCs w:val="24"/>
          <w:lang w:val="en-GB"/>
        </w:rPr>
        <w:noBreakHyphen/>
        <w:t>waste generation;</w:t>
      </w:r>
    </w:p>
    <w:p w14:paraId="08886055" w14:textId="77777777" w:rsidR="00993BFE" w:rsidRPr="00380B40" w:rsidRDefault="00993BFE" w:rsidP="00993BFE">
      <w:pPr>
        <w:rPr>
          <w:i/>
          <w:iCs/>
          <w:szCs w:val="24"/>
          <w:lang w:val="en-GB"/>
        </w:rPr>
      </w:pPr>
      <w:r w:rsidRPr="00380B40">
        <w:rPr>
          <w:i/>
          <w:iCs/>
          <w:szCs w:val="24"/>
          <w:lang w:val="en-GB"/>
        </w:rPr>
        <w:t>h)</w:t>
      </w:r>
      <w:r w:rsidRPr="00380B40">
        <w:rPr>
          <w:i/>
          <w:iCs/>
          <w:szCs w:val="24"/>
          <w:lang w:val="en-GB"/>
        </w:rPr>
        <w:tab/>
      </w:r>
      <w:r w:rsidRPr="00380B40">
        <w:rPr>
          <w:iCs/>
          <w:szCs w:val="24"/>
          <w:lang w:val="en-GB"/>
        </w:rPr>
        <w:t>the role of the circular economy in reducing the global volume of e-waste and moving from the traditional linear production/consumption pattern to one that is sustainable;</w:t>
      </w:r>
    </w:p>
    <w:p w14:paraId="72E44483" w14:textId="77777777" w:rsidR="00993BFE" w:rsidRPr="00380B40" w:rsidRDefault="00993BFE" w:rsidP="00993BFE">
      <w:pPr>
        <w:rPr>
          <w:i/>
          <w:iCs/>
          <w:szCs w:val="24"/>
          <w:lang w:val="en-GB"/>
        </w:rPr>
      </w:pPr>
      <w:r w:rsidRPr="00380B40">
        <w:rPr>
          <w:i/>
          <w:iCs/>
          <w:szCs w:val="24"/>
          <w:lang w:val="en-GB"/>
        </w:rPr>
        <w:t>i)</w:t>
      </w:r>
      <w:r w:rsidRPr="00380B40">
        <w:rPr>
          <w:i/>
          <w:iCs/>
          <w:szCs w:val="24"/>
          <w:lang w:val="en-GB"/>
        </w:rPr>
        <w:tab/>
      </w:r>
      <w:r w:rsidRPr="00380B40">
        <w:rPr>
          <w:iCs/>
          <w:szCs w:val="24"/>
          <w:lang w:val="en-GB"/>
        </w:rPr>
        <w:t>that there is a lack of tools for measuring the environmental impacts of e</w:t>
      </w:r>
      <w:r w:rsidRPr="00380B40">
        <w:rPr>
          <w:iCs/>
          <w:szCs w:val="24"/>
          <w:lang w:val="en-GB"/>
        </w:rPr>
        <w:noBreakHyphen/>
        <w:t>waste and for assessing the environmental impact of telecommunications/ICTs;</w:t>
      </w:r>
    </w:p>
    <w:p w14:paraId="3A25592A" w14:textId="77777777" w:rsidR="00993BFE" w:rsidRPr="00380B40" w:rsidRDefault="00993BFE" w:rsidP="00993BFE">
      <w:pPr>
        <w:rPr>
          <w:i/>
          <w:iCs/>
          <w:szCs w:val="24"/>
          <w:lang w:val="en-GB"/>
        </w:rPr>
      </w:pPr>
      <w:r w:rsidRPr="00380B40">
        <w:rPr>
          <w:i/>
          <w:iCs/>
          <w:szCs w:val="24"/>
          <w:lang w:val="en-GB"/>
        </w:rPr>
        <w:t>j)</w:t>
      </w:r>
      <w:r w:rsidRPr="00380B40">
        <w:rPr>
          <w:i/>
          <w:iCs/>
          <w:szCs w:val="24"/>
          <w:lang w:val="en-GB"/>
        </w:rPr>
        <w:tab/>
      </w:r>
      <w:r w:rsidRPr="00380B40">
        <w:rPr>
          <w:iCs/>
          <w:szCs w:val="24"/>
          <w:lang w:val="en-GB"/>
        </w:rPr>
        <w:t>that the informal sector remains the predominant sector for handling e-waste in developing countries;</w:t>
      </w:r>
      <w:r w:rsidRPr="00380B40">
        <w:rPr>
          <w:i/>
          <w:iCs/>
          <w:szCs w:val="24"/>
          <w:lang w:val="en-GB"/>
        </w:rPr>
        <w:t xml:space="preserve"> </w:t>
      </w:r>
    </w:p>
    <w:p w14:paraId="45DA7899" w14:textId="77777777" w:rsidR="00993BFE" w:rsidRPr="00380B40" w:rsidRDefault="00993BFE" w:rsidP="00993BFE">
      <w:pPr>
        <w:rPr>
          <w:szCs w:val="24"/>
          <w:lang w:val="en-GB"/>
        </w:rPr>
      </w:pPr>
      <w:r w:rsidRPr="00380B40">
        <w:rPr>
          <w:i/>
          <w:iCs/>
          <w:szCs w:val="24"/>
          <w:lang w:val="en-GB"/>
        </w:rPr>
        <w:t>k)</w:t>
      </w:r>
      <w:r w:rsidRPr="00380B40">
        <w:rPr>
          <w:i/>
          <w:iCs/>
          <w:szCs w:val="24"/>
          <w:lang w:val="en-GB"/>
        </w:rPr>
        <w:tab/>
      </w:r>
      <w:r w:rsidRPr="00380B40">
        <w:rPr>
          <w:iCs/>
          <w:szCs w:val="24"/>
          <w:lang w:val="en-GB"/>
        </w:rPr>
        <w:t>that sustainable management of e-waste is essential to achieve the United Nations Sustainable Development Goals;</w:t>
      </w:r>
    </w:p>
    <w:p w14:paraId="69516557" w14:textId="77777777" w:rsidR="00993BFE" w:rsidRPr="00380B40" w:rsidRDefault="00993BFE" w:rsidP="00993BFE">
      <w:pPr>
        <w:rPr>
          <w:szCs w:val="24"/>
          <w:lang w:val="en-GB"/>
        </w:rPr>
      </w:pPr>
      <w:r w:rsidRPr="00380B40">
        <w:rPr>
          <w:i/>
          <w:iCs/>
          <w:szCs w:val="24"/>
          <w:lang w:val="en-GB"/>
        </w:rPr>
        <w:t>l)</w:t>
      </w:r>
      <w:r w:rsidRPr="00380B40">
        <w:rPr>
          <w:szCs w:val="24"/>
          <w:lang w:val="en-GB"/>
        </w:rPr>
        <w:tab/>
        <w:t xml:space="preserve"> ongoing work in Study Group 2 of the </w:t>
      </w:r>
      <w:bookmarkStart w:id="369" w:name="_Hlk98104774"/>
      <w:r w:rsidRPr="00380B40">
        <w:rPr>
          <w:szCs w:val="24"/>
          <w:lang w:val="en-GB"/>
        </w:rPr>
        <w:t xml:space="preserve">ITU Telecommunication Development Sector </w:t>
      </w:r>
      <w:bookmarkEnd w:id="369"/>
      <w:r w:rsidRPr="00380B40">
        <w:rPr>
          <w:szCs w:val="24"/>
          <w:lang w:val="en-GB"/>
        </w:rPr>
        <w:t>(ITU</w:t>
      </w:r>
      <w:r w:rsidRPr="00380B40">
        <w:rPr>
          <w:szCs w:val="24"/>
          <w:lang w:val="en-GB"/>
        </w:rPr>
        <w:noBreakHyphen/>
        <w:t>D) under Question 6/2, on ICTs and the environment, studying strategies to develop a responsible approach to, and comprehensive treatment of, telecommunication/ICT waste,</w:t>
      </w:r>
    </w:p>
    <w:p w14:paraId="72A999B0" w14:textId="77777777" w:rsidR="00132AD9" w:rsidRPr="00380B40" w:rsidRDefault="00132AD9" w:rsidP="00993BFE">
      <w:pPr>
        <w:pStyle w:val="Call"/>
        <w:rPr>
          <w:szCs w:val="24"/>
          <w:lang w:val="en-GB"/>
        </w:rPr>
      </w:pPr>
      <w:r w:rsidRPr="00380B40">
        <w:rPr>
          <w:szCs w:val="24"/>
          <w:lang w:val="en-GB"/>
        </w:rPr>
        <w:br w:type="page"/>
      </w:r>
    </w:p>
    <w:p w14:paraId="6F79E208" w14:textId="77777777" w:rsidR="00993BFE" w:rsidRPr="00380B40" w:rsidRDefault="00993BFE" w:rsidP="00993BFE">
      <w:pPr>
        <w:pStyle w:val="Call"/>
        <w:rPr>
          <w:szCs w:val="24"/>
          <w:lang w:val="en-GB"/>
        </w:rPr>
      </w:pPr>
      <w:r w:rsidRPr="00380B40">
        <w:rPr>
          <w:szCs w:val="24"/>
          <w:lang w:val="en-GB"/>
        </w:rPr>
        <w:t>recognizing further</w:t>
      </w:r>
    </w:p>
    <w:p w14:paraId="31E138BB" w14:textId="77777777" w:rsidR="00993BFE" w:rsidRPr="00380B40" w:rsidRDefault="00993BFE" w:rsidP="00993BFE">
      <w:pPr>
        <w:rPr>
          <w:szCs w:val="24"/>
          <w:lang w:val="en-GB"/>
        </w:rPr>
      </w:pPr>
      <w:r w:rsidRPr="00380B40">
        <w:rPr>
          <w:i/>
          <w:iCs/>
          <w:szCs w:val="24"/>
          <w:lang w:val="en-GB"/>
        </w:rPr>
        <w:t>a)</w:t>
      </w:r>
      <w:r w:rsidRPr="00380B40">
        <w:rPr>
          <w:i/>
          <w:iCs/>
          <w:szCs w:val="24"/>
          <w:lang w:val="en-GB"/>
        </w:rPr>
        <w:tab/>
      </w:r>
      <w:r w:rsidRPr="00380B40">
        <w:rPr>
          <w:szCs w:val="24"/>
          <w:lang w:val="en-GB"/>
        </w:rPr>
        <w:t>that large quantities of used, old, obsolete and unserviceable telecommunication/ICT hardware and equipment are exported to developing countries for supposed reuse;</w:t>
      </w:r>
    </w:p>
    <w:p w14:paraId="284A2019" w14:textId="77777777" w:rsidR="00993BFE" w:rsidRPr="00380B40" w:rsidRDefault="00993BFE" w:rsidP="00993BFE">
      <w:pPr>
        <w:rPr>
          <w:szCs w:val="24"/>
          <w:lang w:val="en-GB"/>
        </w:rPr>
      </w:pPr>
      <w:r w:rsidRPr="00380B40">
        <w:rPr>
          <w:i/>
          <w:iCs/>
          <w:szCs w:val="24"/>
          <w:lang w:val="en-GB"/>
        </w:rPr>
        <w:t>b)</w:t>
      </w:r>
      <w:r w:rsidRPr="00380B40">
        <w:rPr>
          <w:szCs w:val="24"/>
          <w:lang w:val="en-GB"/>
        </w:rPr>
        <w:tab/>
        <w:t>that many developing countries are suffering from severe environmental hazards, such as water pollution and health risks, due to e-waste, including from the influx of new telecommunications/ICTs;</w:t>
      </w:r>
    </w:p>
    <w:p w14:paraId="3EBE2178" w14:textId="77777777" w:rsidR="00993BFE" w:rsidRPr="00380B40" w:rsidRDefault="00993BFE" w:rsidP="00993BFE">
      <w:pPr>
        <w:rPr>
          <w:szCs w:val="24"/>
          <w:lang w:val="en-GB"/>
        </w:rPr>
      </w:pPr>
      <w:r w:rsidRPr="00380B40">
        <w:rPr>
          <w:i/>
          <w:szCs w:val="24"/>
          <w:lang w:val="en-GB"/>
        </w:rPr>
        <w:t>c)</w:t>
      </w:r>
      <w:r w:rsidRPr="00380B40">
        <w:rPr>
          <w:i/>
          <w:szCs w:val="24"/>
          <w:lang w:val="en-GB"/>
        </w:rPr>
        <w:tab/>
      </w:r>
      <w:r w:rsidRPr="00380B40">
        <w:rPr>
          <w:szCs w:val="24"/>
          <w:lang w:val="en-GB"/>
        </w:rPr>
        <w:t>that the availability of counterfeit telecommunication/ICT hardware and equipment in developing countries exacerbates the challenge of handling and controlling e-waste,</w:t>
      </w:r>
    </w:p>
    <w:p w14:paraId="1F16CFE3" w14:textId="77777777" w:rsidR="00993BFE" w:rsidRPr="00380B40" w:rsidRDefault="00993BFE" w:rsidP="00993BFE">
      <w:pPr>
        <w:pStyle w:val="Call"/>
        <w:rPr>
          <w:szCs w:val="24"/>
          <w:lang w:val="en-GB"/>
        </w:rPr>
      </w:pPr>
      <w:r w:rsidRPr="00380B40">
        <w:rPr>
          <w:szCs w:val="24"/>
          <w:lang w:val="en-GB"/>
        </w:rPr>
        <w:t>resolves to instruct the Director of the Telecommunication Standardization Bureau, in collaboration with the Director of the Telecommunication Development Bureau</w:t>
      </w:r>
    </w:p>
    <w:p w14:paraId="49320265" w14:textId="77777777" w:rsidR="00993BFE" w:rsidRPr="00380B40" w:rsidRDefault="00993BFE" w:rsidP="00993BFE">
      <w:pPr>
        <w:rPr>
          <w:szCs w:val="24"/>
          <w:lang w:val="en-GB"/>
        </w:rPr>
      </w:pPr>
      <w:r w:rsidRPr="00380B40">
        <w:rPr>
          <w:szCs w:val="24"/>
          <w:lang w:val="en-GB"/>
        </w:rPr>
        <w:t>1</w:t>
      </w:r>
      <w:r w:rsidRPr="00380B40">
        <w:rPr>
          <w:szCs w:val="24"/>
          <w:lang w:val="en-GB"/>
        </w:rPr>
        <w:tab/>
        <w:t>to pursue and strengthen the development of ITU activities in regard to handling and controlling e-waste from telecommunication and information technology equipment and methods of treating it;</w:t>
      </w:r>
    </w:p>
    <w:p w14:paraId="1E92A8BF" w14:textId="77777777" w:rsidR="00993BFE" w:rsidRPr="00380B40" w:rsidRDefault="00993BFE" w:rsidP="00993BFE">
      <w:pPr>
        <w:rPr>
          <w:szCs w:val="24"/>
          <w:lang w:val="en-GB"/>
        </w:rPr>
      </w:pPr>
      <w:r w:rsidRPr="00380B40">
        <w:rPr>
          <w:szCs w:val="24"/>
          <w:lang w:val="en-GB"/>
        </w:rPr>
        <w:t>2</w:t>
      </w:r>
      <w:r w:rsidRPr="00380B40">
        <w:rPr>
          <w:szCs w:val="24"/>
          <w:lang w:val="en-GB"/>
        </w:rPr>
        <w:tab/>
        <w:t>to assist developing countries to undertake proper assessment of the magnitude/quantity of e-waste generated in a harmonized manner;</w:t>
      </w:r>
    </w:p>
    <w:p w14:paraId="7B6068DF" w14:textId="77777777" w:rsidR="00993BFE" w:rsidRPr="00380B40" w:rsidRDefault="00993BFE" w:rsidP="00993BFE">
      <w:pPr>
        <w:rPr>
          <w:szCs w:val="24"/>
          <w:lang w:val="en-GB"/>
        </w:rPr>
      </w:pPr>
      <w:r w:rsidRPr="00380B40">
        <w:rPr>
          <w:szCs w:val="24"/>
          <w:lang w:val="en-GB"/>
        </w:rPr>
        <w:t>3</w:t>
      </w:r>
      <w:r w:rsidRPr="00380B40">
        <w:rPr>
          <w:szCs w:val="24"/>
          <w:lang w:val="en-GB"/>
        </w:rPr>
        <w:tab/>
        <w:t>to address the handling and controlling of e</w:t>
      </w:r>
      <w:r w:rsidRPr="00380B40">
        <w:rPr>
          <w:szCs w:val="24"/>
          <w:lang w:val="en-GB"/>
        </w:rPr>
        <w:noBreakHyphen/>
        <w:t>waste and to contribute to global efforts designed to deal with the increasing hazards which arise therefrom;</w:t>
      </w:r>
    </w:p>
    <w:p w14:paraId="3CA429C6" w14:textId="77777777" w:rsidR="00993BFE" w:rsidRPr="00380B40" w:rsidRDefault="00993BFE" w:rsidP="00993BFE">
      <w:pPr>
        <w:rPr>
          <w:szCs w:val="24"/>
          <w:lang w:val="en-GB"/>
        </w:rPr>
      </w:pPr>
      <w:r w:rsidRPr="00380B40">
        <w:rPr>
          <w:szCs w:val="24"/>
          <w:lang w:val="en-GB"/>
        </w:rPr>
        <w:t>4</w:t>
      </w:r>
      <w:r w:rsidRPr="00380B40">
        <w:rPr>
          <w:szCs w:val="24"/>
          <w:lang w:val="en-GB"/>
        </w:rPr>
        <w:tab/>
        <w:t>to work in collaboration with the relevant stakeholders, including academia and relevant organizations, and to coordinate activities relating to e-waste among the ITU study groups, focus groups and other relevant groups;</w:t>
      </w:r>
    </w:p>
    <w:p w14:paraId="00E36707" w14:textId="77777777" w:rsidR="00993BFE" w:rsidRPr="00380B40" w:rsidRDefault="00993BFE" w:rsidP="00993BFE">
      <w:pPr>
        <w:rPr>
          <w:szCs w:val="24"/>
          <w:lang w:val="en-GB"/>
        </w:rPr>
      </w:pPr>
      <w:r w:rsidRPr="00380B40">
        <w:rPr>
          <w:szCs w:val="24"/>
          <w:lang w:val="en-GB"/>
        </w:rPr>
        <w:t>5</w:t>
      </w:r>
      <w:r w:rsidRPr="00380B40">
        <w:rPr>
          <w:szCs w:val="24"/>
          <w:lang w:val="en-GB"/>
        </w:rPr>
        <w:tab/>
        <w:t>to organize seminars and workshops to enhance awareness of the hazards and sustainable management of e-waste, particularly in developing countries, and gauge the needs of the developing countries, which are the countries that suffer most from the hazards of e-waste;</w:t>
      </w:r>
    </w:p>
    <w:p w14:paraId="2EF41FB5" w14:textId="77777777" w:rsidR="00993BFE" w:rsidRPr="00380B40" w:rsidRDefault="00993BFE" w:rsidP="00993BFE">
      <w:pPr>
        <w:rPr>
          <w:szCs w:val="24"/>
          <w:lang w:val="en-GB"/>
        </w:rPr>
      </w:pPr>
      <w:r w:rsidRPr="00380B40">
        <w:rPr>
          <w:szCs w:val="24"/>
          <w:lang w:val="en-GB"/>
        </w:rPr>
        <w:t>6</w:t>
      </w:r>
      <w:r w:rsidRPr="00380B40">
        <w:rPr>
          <w:szCs w:val="24"/>
          <w:lang w:val="en-GB"/>
        </w:rPr>
        <w:tab/>
        <w:t>to assist developing countries and facilitate their work in the implementation of circular-economy principles,</w:t>
      </w:r>
    </w:p>
    <w:p w14:paraId="66712404" w14:textId="77777777" w:rsidR="00993BFE" w:rsidRPr="00380B40" w:rsidRDefault="00993BFE" w:rsidP="00993BFE">
      <w:pPr>
        <w:pStyle w:val="Call"/>
        <w:rPr>
          <w:szCs w:val="24"/>
          <w:lang w:val="en-GB"/>
        </w:rPr>
      </w:pPr>
      <w:r w:rsidRPr="00380B40">
        <w:rPr>
          <w:szCs w:val="24"/>
          <w:lang w:val="en-GB"/>
        </w:rPr>
        <w:t>instructs Study Group 5</w:t>
      </w:r>
      <w:r w:rsidRPr="00380B40">
        <w:rPr>
          <w:lang w:val="en-GB"/>
        </w:rPr>
        <w:t xml:space="preserve"> of the </w:t>
      </w:r>
      <w:r w:rsidRPr="00380B40">
        <w:rPr>
          <w:szCs w:val="24"/>
          <w:lang w:val="en-GB"/>
        </w:rPr>
        <w:t>ITU Telecommunication Standardization Sector, in collaboration with the relevant ITU study groups</w:t>
      </w:r>
    </w:p>
    <w:p w14:paraId="1D7F9AD0" w14:textId="77777777" w:rsidR="00993BFE" w:rsidRPr="00380B40" w:rsidRDefault="00993BFE" w:rsidP="00993BFE">
      <w:pPr>
        <w:rPr>
          <w:szCs w:val="24"/>
          <w:lang w:val="en-GB"/>
        </w:rPr>
      </w:pPr>
      <w:r w:rsidRPr="00380B40">
        <w:rPr>
          <w:szCs w:val="24"/>
          <w:lang w:val="en-GB"/>
        </w:rPr>
        <w:t>1</w:t>
      </w:r>
      <w:r w:rsidRPr="00380B40">
        <w:rPr>
          <w:szCs w:val="24"/>
          <w:lang w:val="en-GB"/>
        </w:rPr>
        <w:tab/>
        <w:t>to develop and document examples of best practice for handling and controlling e-waste resulting from telecommunications/ICT and methods of treating and recycling it, for dissemination among ITU Member States and Sector Members;</w:t>
      </w:r>
    </w:p>
    <w:p w14:paraId="4362E831" w14:textId="77777777" w:rsidR="00993BFE" w:rsidRPr="00380B40" w:rsidRDefault="00993BFE" w:rsidP="00993BFE">
      <w:pPr>
        <w:rPr>
          <w:szCs w:val="24"/>
          <w:lang w:val="en-GB"/>
        </w:rPr>
      </w:pPr>
      <w:r w:rsidRPr="00380B40">
        <w:rPr>
          <w:szCs w:val="24"/>
          <w:lang w:val="en-GB"/>
        </w:rPr>
        <w:t>2</w:t>
      </w:r>
      <w:r w:rsidRPr="00380B40">
        <w:rPr>
          <w:szCs w:val="24"/>
          <w:lang w:val="en-GB"/>
        </w:rPr>
        <w:tab/>
        <w:t>to develop Recommendations, methodologies and other publications relating to sustainable management of e-waste resulting from telecommunication/ICT equipment and products, and appropriate guidelines on implementation of these Recommendations;</w:t>
      </w:r>
    </w:p>
    <w:p w14:paraId="44727658" w14:textId="77777777" w:rsidR="00993BFE" w:rsidRPr="00380B40" w:rsidRDefault="00993BFE" w:rsidP="00993BFE">
      <w:pPr>
        <w:rPr>
          <w:szCs w:val="24"/>
          <w:lang w:val="en-GB"/>
        </w:rPr>
      </w:pPr>
      <w:r w:rsidRPr="00380B40">
        <w:rPr>
          <w:szCs w:val="24"/>
          <w:lang w:val="en-GB"/>
        </w:rPr>
        <w:t>3</w:t>
      </w:r>
      <w:r w:rsidRPr="00380B40">
        <w:rPr>
          <w:szCs w:val="24"/>
          <w:lang w:val="en-GB"/>
        </w:rPr>
        <w:tab/>
        <w:t xml:space="preserve">to study the impact of used telecommunication/ICT equipment and products brought into developing countries and give appropriate guidance, taking into account </w:t>
      </w:r>
      <w:r w:rsidRPr="00380B40">
        <w:rPr>
          <w:i/>
          <w:iCs/>
          <w:szCs w:val="24"/>
          <w:lang w:val="en-GB"/>
        </w:rPr>
        <w:t>recognizing further</w:t>
      </w:r>
      <w:r w:rsidRPr="00380B40">
        <w:rPr>
          <w:szCs w:val="24"/>
          <w:lang w:val="en-GB"/>
        </w:rPr>
        <w:t xml:space="preserve"> above, to assist developing countries,</w:t>
      </w:r>
    </w:p>
    <w:p w14:paraId="7632DFF0" w14:textId="77777777" w:rsidR="00132AD9" w:rsidRPr="00380B40" w:rsidRDefault="00132AD9" w:rsidP="00993BFE">
      <w:pPr>
        <w:pStyle w:val="Call"/>
        <w:rPr>
          <w:szCs w:val="24"/>
          <w:lang w:val="en-GB"/>
        </w:rPr>
      </w:pPr>
      <w:r w:rsidRPr="00380B40">
        <w:rPr>
          <w:szCs w:val="24"/>
          <w:lang w:val="en-GB"/>
        </w:rPr>
        <w:br w:type="page"/>
      </w:r>
    </w:p>
    <w:p w14:paraId="18C5EF74" w14:textId="77777777" w:rsidR="00993BFE" w:rsidRPr="00380B40" w:rsidRDefault="00993BFE" w:rsidP="00993BFE">
      <w:pPr>
        <w:pStyle w:val="Call"/>
        <w:rPr>
          <w:szCs w:val="24"/>
          <w:lang w:val="en-GB"/>
        </w:rPr>
      </w:pPr>
      <w:r w:rsidRPr="00380B40">
        <w:rPr>
          <w:szCs w:val="24"/>
          <w:lang w:val="en-GB"/>
        </w:rPr>
        <w:t>invites Member States</w:t>
      </w:r>
    </w:p>
    <w:p w14:paraId="7C7FF2F4" w14:textId="77777777" w:rsidR="00993BFE" w:rsidRPr="00380B40" w:rsidRDefault="00993BFE" w:rsidP="00993BFE">
      <w:pPr>
        <w:rPr>
          <w:szCs w:val="24"/>
          <w:lang w:val="en-GB"/>
        </w:rPr>
      </w:pPr>
      <w:r w:rsidRPr="00380B40">
        <w:rPr>
          <w:szCs w:val="24"/>
          <w:lang w:val="en-GB"/>
        </w:rPr>
        <w:t>1</w:t>
      </w:r>
      <w:r w:rsidRPr="00380B40">
        <w:rPr>
          <w:szCs w:val="24"/>
          <w:lang w:val="en-GB"/>
        </w:rPr>
        <w:tab/>
        <w:t>to take all necessary measures to handle and control e-waste in order to mitigate the hazards which can arise from used telecommunication/ICT equipment;</w:t>
      </w:r>
    </w:p>
    <w:p w14:paraId="53987539" w14:textId="77777777" w:rsidR="00993BFE" w:rsidRPr="00380B40" w:rsidRDefault="00993BFE" w:rsidP="00993BFE">
      <w:pPr>
        <w:rPr>
          <w:szCs w:val="24"/>
          <w:lang w:val="en-GB"/>
        </w:rPr>
      </w:pPr>
      <w:r w:rsidRPr="00380B40">
        <w:rPr>
          <w:szCs w:val="24"/>
          <w:lang w:val="en-GB"/>
        </w:rPr>
        <w:t>2</w:t>
      </w:r>
      <w:r w:rsidRPr="00380B40">
        <w:rPr>
          <w:szCs w:val="24"/>
          <w:lang w:val="en-GB"/>
        </w:rPr>
        <w:tab/>
        <w:t>to cooperate with each other in this area;</w:t>
      </w:r>
    </w:p>
    <w:p w14:paraId="1AD5EBD8" w14:textId="77777777" w:rsidR="00993BFE" w:rsidRPr="00380B40" w:rsidRDefault="00993BFE" w:rsidP="00993BFE">
      <w:pPr>
        <w:rPr>
          <w:szCs w:val="24"/>
          <w:lang w:val="en-GB"/>
        </w:rPr>
      </w:pPr>
      <w:r w:rsidRPr="00380B40">
        <w:rPr>
          <w:szCs w:val="24"/>
          <w:lang w:val="en-GB"/>
        </w:rPr>
        <w:t>3</w:t>
      </w:r>
      <w:r w:rsidRPr="00380B40">
        <w:rPr>
          <w:szCs w:val="24"/>
          <w:lang w:val="en-GB"/>
        </w:rPr>
        <w:tab/>
        <w:t>to incorporate e-waste management policies/processes, including their tracking, collection and disposal, in their national ICT strategies and take adequate measures in this regard;</w:t>
      </w:r>
    </w:p>
    <w:p w14:paraId="1BC572AC" w14:textId="77777777" w:rsidR="00993BFE" w:rsidRPr="00380B40" w:rsidRDefault="00993BFE" w:rsidP="00993BFE">
      <w:pPr>
        <w:rPr>
          <w:szCs w:val="24"/>
          <w:lang w:val="en-GB"/>
        </w:rPr>
      </w:pPr>
      <w:r w:rsidRPr="00380B40">
        <w:rPr>
          <w:szCs w:val="24"/>
          <w:lang w:val="en-GB"/>
        </w:rPr>
        <w:t>4</w:t>
      </w:r>
      <w:r w:rsidRPr="00380B40">
        <w:rPr>
          <w:szCs w:val="24"/>
          <w:lang w:val="en-GB"/>
        </w:rPr>
        <w:tab/>
        <w:t>to raise public awareness on the environmental hazards of e-waste,</w:t>
      </w:r>
    </w:p>
    <w:p w14:paraId="00CCE29E" w14:textId="77777777" w:rsidR="00993BFE" w:rsidRPr="00380B40" w:rsidRDefault="00993BFE" w:rsidP="00993BFE">
      <w:pPr>
        <w:pStyle w:val="Call"/>
        <w:rPr>
          <w:szCs w:val="24"/>
          <w:lang w:val="en-GB"/>
        </w:rPr>
      </w:pPr>
      <w:r w:rsidRPr="00380B40">
        <w:rPr>
          <w:szCs w:val="24"/>
          <w:lang w:val="en-GB"/>
        </w:rPr>
        <w:t>encourages Member States, Sector Members and Academia</w:t>
      </w:r>
    </w:p>
    <w:p w14:paraId="4F1E685E" w14:textId="77777777" w:rsidR="00993BFE" w:rsidRPr="00380B40" w:rsidRDefault="00993BFE" w:rsidP="00993BFE">
      <w:pPr>
        <w:rPr>
          <w:szCs w:val="24"/>
          <w:lang w:val="en-GB"/>
        </w:rPr>
      </w:pPr>
      <w:r w:rsidRPr="00380B40">
        <w:rPr>
          <w:szCs w:val="24"/>
          <w:lang w:val="en-GB"/>
        </w:rPr>
        <w:t>to participate actively in ITU-T studies on e-waste, through the submission of contributions and by other appropriate means.</w:t>
      </w:r>
    </w:p>
    <w:p w14:paraId="5C96B4FD"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CAA4739"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B7B0C1B"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A8C3CB4"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1019784"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51E596D"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8598675"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D88365E"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D9AA00B"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FFAB56A"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00E813E"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7810A48"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C742F10"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03E80E3"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8E3328C"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F16F389"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E899DF8"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07E0CB5" w14:textId="77777777" w:rsidR="00B97E2C" w:rsidRPr="00380B40" w:rsidRDefault="00B97E2C" w:rsidP="00B97E2C">
      <w:pPr>
        <w:rPr>
          <w:lang w:val="en-GB"/>
        </w:rPr>
        <w:sectPr w:rsidR="00B97E2C" w:rsidRPr="00380B40" w:rsidSect="00514D9A">
          <w:headerReference w:type="even" r:id="rId247"/>
          <w:headerReference w:type="default" r:id="rId248"/>
          <w:footerReference w:type="even" r:id="rId249"/>
          <w:footerReference w:type="default" r:id="rId250"/>
          <w:headerReference w:type="first" r:id="rId251"/>
          <w:footerReference w:type="first" r:id="rId252"/>
          <w:footnotePr>
            <w:numRestart w:val="eachSect"/>
          </w:footnotePr>
          <w:pgSz w:w="11907" w:h="16834" w:code="9"/>
          <w:pgMar w:top="1134" w:right="1134" w:bottom="1134" w:left="1134" w:header="567" w:footer="567" w:gutter="0"/>
          <w:paperSrc w:first="15" w:other="15"/>
          <w:cols w:space="720"/>
          <w:vAlign w:val="both"/>
          <w:docGrid w:linePitch="299"/>
        </w:sectPr>
      </w:pPr>
    </w:p>
    <w:p w14:paraId="3EBA5EE2" w14:textId="77777777" w:rsidR="0065003E" w:rsidRPr="00380B40" w:rsidRDefault="0065003E" w:rsidP="0065003E">
      <w:pPr>
        <w:pStyle w:val="ResNo"/>
        <w:rPr>
          <w:lang w:val="en-GB"/>
        </w:rPr>
      </w:pPr>
      <w:bookmarkStart w:id="370" w:name="_Toc104459771"/>
      <w:bookmarkStart w:id="371" w:name="_Toc104476579"/>
      <w:bookmarkStart w:id="372" w:name="_Toc111636799"/>
      <w:bookmarkStart w:id="373" w:name="_Toc111638472"/>
      <w:r w:rsidRPr="00380B40">
        <w:rPr>
          <w:lang w:val="en-GB"/>
        </w:rPr>
        <w:t>RESOLUTION </w:t>
      </w:r>
      <w:r w:rsidRPr="00380B40">
        <w:rPr>
          <w:rStyle w:val="href"/>
          <w:lang w:val="en-GB"/>
        </w:rPr>
        <w:t>80</w:t>
      </w:r>
      <w:r w:rsidRPr="00380B40">
        <w:rPr>
          <w:lang w:val="en-GB"/>
        </w:rPr>
        <w:t xml:space="preserve"> (</w:t>
      </w:r>
      <w:r w:rsidRPr="00380B40">
        <w:rPr>
          <w:caps w:val="0"/>
          <w:szCs w:val="28"/>
          <w:lang w:val="en-GB"/>
        </w:rPr>
        <w:t>Rev</w:t>
      </w:r>
      <w:r w:rsidRPr="00380B40">
        <w:rPr>
          <w:szCs w:val="28"/>
          <w:lang w:val="en-GB"/>
        </w:rPr>
        <w:t>. </w:t>
      </w:r>
      <w:r w:rsidRPr="00380B40">
        <w:rPr>
          <w:caps w:val="0"/>
          <w:szCs w:val="28"/>
          <w:lang w:val="en-GB"/>
        </w:rPr>
        <w:t>Hammamet</w:t>
      </w:r>
      <w:r w:rsidRPr="00380B40">
        <w:rPr>
          <w:szCs w:val="28"/>
          <w:lang w:val="en-GB"/>
        </w:rPr>
        <w:t>, 2016</w:t>
      </w:r>
      <w:r w:rsidRPr="00380B40">
        <w:rPr>
          <w:lang w:val="en-GB"/>
        </w:rPr>
        <w:t>)</w:t>
      </w:r>
      <w:bookmarkEnd w:id="370"/>
      <w:bookmarkEnd w:id="371"/>
      <w:bookmarkEnd w:id="372"/>
      <w:bookmarkEnd w:id="373"/>
    </w:p>
    <w:p w14:paraId="0ED6E9DC" w14:textId="77777777" w:rsidR="0065003E" w:rsidRPr="00380B40" w:rsidRDefault="0065003E" w:rsidP="0065003E">
      <w:pPr>
        <w:pStyle w:val="Restitle"/>
        <w:rPr>
          <w:lang w:val="en-GB"/>
        </w:rPr>
      </w:pPr>
      <w:bookmarkStart w:id="374" w:name="_Toc104459772"/>
      <w:bookmarkStart w:id="375" w:name="_Toc104476580"/>
      <w:bookmarkStart w:id="376" w:name="_Toc111638473"/>
      <w:r w:rsidRPr="00380B40">
        <w:rPr>
          <w:lang w:val="en-GB"/>
        </w:rPr>
        <w:t>Acknowledging the active involvement of the membership in the development of ITU Telecommunication Standardization Sector deliverables</w:t>
      </w:r>
      <w:bookmarkEnd w:id="374"/>
      <w:bookmarkEnd w:id="375"/>
      <w:bookmarkEnd w:id="376"/>
    </w:p>
    <w:p w14:paraId="65D643A8" w14:textId="77777777" w:rsidR="0065003E" w:rsidRPr="00380B40" w:rsidRDefault="0065003E" w:rsidP="0065003E">
      <w:pPr>
        <w:pStyle w:val="Resref"/>
        <w:rPr>
          <w:lang w:val="en-GB" w:eastAsia="en-AU"/>
        </w:rPr>
      </w:pPr>
      <w:r w:rsidRPr="00380B40">
        <w:rPr>
          <w:lang w:val="en-GB" w:eastAsia="en-AU"/>
        </w:rPr>
        <w:t xml:space="preserve">(Dubai, 2012; </w:t>
      </w:r>
      <w:r w:rsidRPr="00380B40">
        <w:rPr>
          <w:color w:val="000000" w:themeColor="text1"/>
          <w:szCs w:val="24"/>
          <w:lang w:val="en-GB"/>
        </w:rPr>
        <w:t>Hammamet, 2016</w:t>
      </w:r>
      <w:r w:rsidRPr="00380B40">
        <w:rPr>
          <w:lang w:val="en-GB" w:eastAsia="en-AU"/>
        </w:rPr>
        <w:t>)</w:t>
      </w:r>
    </w:p>
    <w:p w14:paraId="67EE80B6" w14:textId="77777777" w:rsidR="0065003E" w:rsidRPr="00380B40" w:rsidRDefault="0065003E" w:rsidP="0065003E">
      <w:pPr>
        <w:pStyle w:val="Normalaftertitle0"/>
        <w:rPr>
          <w:lang w:eastAsia="en-AU"/>
        </w:rPr>
      </w:pPr>
      <w:r w:rsidRPr="00380B40">
        <w:rPr>
          <w:lang w:eastAsia="en-AU"/>
        </w:rPr>
        <w:t>The World Telecommunication Standardization Assembly (</w:t>
      </w:r>
      <w:r w:rsidRPr="00380B40">
        <w:rPr>
          <w:color w:val="444444"/>
          <w:szCs w:val="24"/>
        </w:rPr>
        <w:t>Hammamet, 2016</w:t>
      </w:r>
      <w:r w:rsidRPr="00380B40">
        <w:rPr>
          <w:lang w:eastAsia="en-AU"/>
        </w:rPr>
        <w:t>),</w:t>
      </w:r>
    </w:p>
    <w:p w14:paraId="43CCA98C" w14:textId="77777777" w:rsidR="0065003E" w:rsidRPr="00380B40" w:rsidRDefault="0065003E" w:rsidP="007038A3">
      <w:pPr>
        <w:pStyle w:val="Call"/>
        <w:rPr>
          <w:lang w:val="en-GB"/>
        </w:rPr>
      </w:pPr>
      <w:r w:rsidRPr="00380B40">
        <w:rPr>
          <w:lang w:val="en-GB"/>
        </w:rPr>
        <w:t>recognizing</w:t>
      </w:r>
    </w:p>
    <w:p w14:paraId="1D913B20" w14:textId="77777777" w:rsidR="0065003E" w:rsidRPr="00380B40" w:rsidRDefault="0065003E" w:rsidP="0065003E">
      <w:pPr>
        <w:rPr>
          <w:szCs w:val="24"/>
          <w:lang w:val="en-GB" w:eastAsia="en-AU"/>
        </w:rPr>
      </w:pPr>
      <w:r w:rsidRPr="00380B40">
        <w:rPr>
          <w:i/>
          <w:lang w:val="en-GB" w:eastAsia="en-AU"/>
        </w:rPr>
        <w:t>a)</w:t>
      </w:r>
      <w:r w:rsidRPr="00380B40">
        <w:rPr>
          <w:lang w:val="en-GB" w:eastAsia="en-AU"/>
        </w:rPr>
        <w:tab/>
        <w:t>that the Plenipotentiary Conference</w:t>
      </w:r>
      <w:r w:rsidRPr="00380B40">
        <w:rPr>
          <w:lang w:val="en-GB"/>
        </w:rPr>
        <w:t xml:space="preserve"> </w:t>
      </w:r>
      <w:r w:rsidRPr="00380B40">
        <w:rPr>
          <w:lang w:val="en-GB" w:eastAsia="en-AU"/>
        </w:rPr>
        <w:t>adopted Resolution 66 (Rev. Busan, 2014), which recognizes that the copyright held by the Union on its publications cannot be breached;</w:t>
      </w:r>
    </w:p>
    <w:p w14:paraId="6795F73D" w14:textId="77777777" w:rsidR="0065003E" w:rsidRPr="00380B40" w:rsidRDefault="0065003E" w:rsidP="0065003E">
      <w:pPr>
        <w:rPr>
          <w:lang w:val="en-GB" w:eastAsia="en-AU"/>
        </w:rPr>
      </w:pPr>
      <w:r w:rsidRPr="00380B40">
        <w:rPr>
          <w:i/>
          <w:lang w:val="en-GB" w:eastAsia="en-AU"/>
        </w:rPr>
        <w:t>b)</w:t>
      </w:r>
      <w:r w:rsidRPr="00380B40">
        <w:rPr>
          <w:lang w:val="en-GB" w:eastAsia="en-AU"/>
        </w:rPr>
        <w:tab/>
        <w:t>that the World Telecommunication Standardization Assembly adopted Resolution 71 (Rev. Dubai, 2012),</w:t>
      </w:r>
    </w:p>
    <w:p w14:paraId="7F3ADD56" w14:textId="77777777" w:rsidR="0065003E" w:rsidRPr="00380B40" w:rsidRDefault="0065003E" w:rsidP="007038A3">
      <w:pPr>
        <w:pStyle w:val="Call"/>
        <w:rPr>
          <w:lang w:val="en-GB"/>
        </w:rPr>
      </w:pPr>
      <w:r w:rsidRPr="00380B40">
        <w:rPr>
          <w:lang w:val="en-GB"/>
        </w:rPr>
        <w:t>considering</w:t>
      </w:r>
    </w:p>
    <w:p w14:paraId="104A27F4" w14:textId="77777777" w:rsidR="0065003E" w:rsidRPr="00380B40" w:rsidRDefault="0065003E" w:rsidP="0065003E">
      <w:pPr>
        <w:rPr>
          <w:lang w:val="en-GB" w:eastAsia="en-AU"/>
        </w:rPr>
      </w:pPr>
      <w:r w:rsidRPr="00380B40">
        <w:rPr>
          <w:i/>
          <w:iCs/>
          <w:lang w:val="en-GB"/>
        </w:rPr>
        <w:t>a)</w:t>
      </w:r>
      <w:r w:rsidRPr="00380B40">
        <w:rPr>
          <w:lang w:val="en-GB"/>
        </w:rPr>
        <w:tab/>
        <w:t>that the ITU Telecommunication Standardization Sector (ITU</w:t>
      </w:r>
      <w:r w:rsidRPr="00380B40">
        <w:rPr>
          <w:lang w:val="en-GB"/>
        </w:rPr>
        <w:noBreakHyphen/>
        <w:t>T) has been encouraging and facilitating the involvement of academia, universities and associated research establishments, seeking to set up a broader forum for discussions on established and innovative technologies;</w:t>
      </w:r>
    </w:p>
    <w:p w14:paraId="07EB6AED" w14:textId="77777777" w:rsidR="0065003E" w:rsidRPr="00380B40" w:rsidRDefault="0065003E" w:rsidP="0065003E">
      <w:pPr>
        <w:rPr>
          <w:i/>
          <w:iCs/>
          <w:lang w:val="en-GB" w:eastAsia="en-AU"/>
        </w:rPr>
      </w:pPr>
      <w:r w:rsidRPr="00380B40">
        <w:rPr>
          <w:i/>
          <w:iCs/>
          <w:lang w:val="en-GB" w:eastAsia="en-AU"/>
        </w:rPr>
        <w:t>b)</w:t>
      </w:r>
      <w:r w:rsidRPr="00380B40">
        <w:rPr>
          <w:lang w:val="en-GB" w:eastAsia="en-AU"/>
        </w:rPr>
        <w:tab/>
        <w:t>that the productivity of professionals from academia, universities and associated research establishments is constantly evaluated;</w:t>
      </w:r>
    </w:p>
    <w:p w14:paraId="6D71AACF" w14:textId="77777777" w:rsidR="0065003E" w:rsidRPr="00380B40" w:rsidRDefault="0065003E" w:rsidP="0065003E">
      <w:pPr>
        <w:rPr>
          <w:lang w:val="en-GB" w:eastAsia="en-AU"/>
        </w:rPr>
      </w:pPr>
      <w:r w:rsidRPr="00380B40">
        <w:rPr>
          <w:i/>
          <w:iCs/>
          <w:lang w:val="en-GB" w:eastAsia="en-AU"/>
        </w:rPr>
        <w:t>c)</w:t>
      </w:r>
      <w:r w:rsidRPr="00380B40">
        <w:rPr>
          <w:lang w:val="en-GB" w:eastAsia="en-AU"/>
        </w:rPr>
        <w:tab/>
        <w:t>that, in general, the evaluation of professionals, in particular from academia, universities and associated research establishments, takes the form of evaluating items such as books, papers published, research projects accomplished, approval of their project proposals by funding agencies and their career-development programmes;</w:t>
      </w:r>
    </w:p>
    <w:p w14:paraId="3CB2C78D" w14:textId="77777777" w:rsidR="0065003E" w:rsidRPr="00380B40" w:rsidRDefault="0065003E" w:rsidP="0065003E">
      <w:pPr>
        <w:rPr>
          <w:lang w:val="en-GB" w:eastAsia="en-AU"/>
        </w:rPr>
      </w:pPr>
      <w:r w:rsidRPr="00380B40">
        <w:rPr>
          <w:i/>
          <w:iCs/>
          <w:lang w:val="en-GB" w:eastAsia="en-AU"/>
        </w:rPr>
        <w:t>d)</w:t>
      </w:r>
      <w:r w:rsidRPr="00380B40">
        <w:rPr>
          <w:lang w:val="en-GB" w:eastAsia="en-AU"/>
        </w:rPr>
        <w:tab/>
        <w:t>that neither the authorship of contributions to study group deliverables nor the editorship of Recommendations and other study group deliverables are currently considered in the evaluation of the productivity of professionals, in particular from academia, universities and associated research establishments;</w:t>
      </w:r>
    </w:p>
    <w:p w14:paraId="319E4BE8" w14:textId="77777777" w:rsidR="0065003E" w:rsidRPr="00380B40" w:rsidRDefault="0065003E" w:rsidP="0065003E">
      <w:pPr>
        <w:rPr>
          <w:lang w:val="en-GB" w:eastAsia="en-AU"/>
        </w:rPr>
      </w:pPr>
      <w:r w:rsidRPr="00380B40">
        <w:rPr>
          <w:i/>
          <w:iCs/>
          <w:lang w:val="en-GB" w:eastAsia="en-AU"/>
        </w:rPr>
        <w:t>e)</w:t>
      </w:r>
      <w:r w:rsidRPr="00380B40">
        <w:rPr>
          <w:lang w:val="en-GB" w:eastAsia="en-AU"/>
        </w:rPr>
        <w:tab/>
        <w:t>that the acknowledgement of contributors will promote greater participation and membership;</w:t>
      </w:r>
    </w:p>
    <w:p w14:paraId="20D2DB66" w14:textId="77777777" w:rsidR="0065003E" w:rsidRPr="00380B40" w:rsidRDefault="0065003E" w:rsidP="0065003E">
      <w:pPr>
        <w:rPr>
          <w:lang w:val="en-GB" w:eastAsia="en-AU"/>
        </w:rPr>
      </w:pPr>
      <w:r w:rsidRPr="00380B40">
        <w:rPr>
          <w:i/>
          <w:lang w:val="en-GB" w:eastAsia="en-AU"/>
        </w:rPr>
        <w:t>f)</w:t>
      </w:r>
      <w:r w:rsidRPr="00380B40">
        <w:rPr>
          <w:lang w:val="en-GB" w:eastAsia="en-AU"/>
        </w:rPr>
        <w:tab/>
        <w:t>the General Patent Statement and Licensing Declaration established by Recommendation ITU</w:t>
      </w:r>
      <w:r w:rsidRPr="00380B40">
        <w:rPr>
          <w:lang w:val="en-GB" w:eastAsia="en-AU"/>
        </w:rPr>
        <w:noBreakHyphen/>
        <w:t>T A.1,</w:t>
      </w:r>
    </w:p>
    <w:p w14:paraId="5437A2E8" w14:textId="77777777" w:rsidR="00132AD9" w:rsidRPr="00380B40" w:rsidRDefault="00132AD9" w:rsidP="0065003E">
      <w:pPr>
        <w:pStyle w:val="Call"/>
        <w:rPr>
          <w:lang w:val="en-GB"/>
        </w:rPr>
      </w:pPr>
      <w:r w:rsidRPr="00380B40">
        <w:rPr>
          <w:lang w:val="en-GB"/>
        </w:rPr>
        <w:br w:type="page"/>
      </w:r>
    </w:p>
    <w:p w14:paraId="757189BA" w14:textId="77777777" w:rsidR="0065003E" w:rsidRPr="00380B40" w:rsidRDefault="0065003E" w:rsidP="0065003E">
      <w:pPr>
        <w:pStyle w:val="Call"/>
        <w:rPr>
          <w:lang w:val="en-GB"/>
        </w:rPr>
      </w:pPr>
      <w:r w:rsidRPr="00380B40">
        <w:rPr>
          <w:lang w:val="en-GB"/>
        </w:rPr>
        <w:t>resolves</w:t>
      </w:r>
    </w:p>
    <w:p w14:paraId="1FBD908B" w14:textId="77777777" w:rsidR="0065003E" w:rsidRPr="00380B40" w:rsidRDefault="0065003E" w:rsidP="0065003E">
      <w:pPr>
        <w:rPr>
          <w:i/>
          <w:lang w:val="en-GB"/>
        </w:rPr>
      </w:pPr>
      <w:r w:rsidRPr="00380B40">
        <w:rPr>
          <w:lang w:val="en-GB"/>
        </w:rPr>
        <w:t>that it is important to acknowledge significant contributors to the work of ITU</w:t>
      </w:r>
      <w:r w:rsidRPr="00380B40">
        <w:rPr>
          <w:lang w:val="en-GB"/>
        </w:rPr>
        <w:noBreakHyphen/>
        <w:t>T,</w:t>
      </w:r>
    </w:p>
    <w:p w14:paraId="465EF498" w14:textId="77777777" w:rsidR="0065003E" w:rsidRPr="00380B40" w:rsidRDefault="0065003E" w:rsidP="0065003E">
      <w:pPr>
        <w:pStyle w:val="Call"/>
        <w:rPr>
          <w:lang w:val="en-GB"/>
        </w:rPr>
      </w:pPr>
      <w:r w:rsidRPr="00380B40">
        <w:rPr>
          <w:lang w:val="en-GB"/>
        </w:rPr>
        <w:t>instructs the Director of the Telecommunication Standardization Bureau</w:t>
      </w:r>
    </w:p>
    <w:p w14:paraId="43DA4BBA" w14:textId="77777777" w:rsidR="0065003E" w:rsidRPr="00380B40" w:rsidRDefault="0065003E" w:rsidP="0065003E">
      <w:pPr>
        <w:rPr>
          <w:lang w:val="en-GB"/>
        </w:rPr>
      </w:pPr>
      <w:r w:rsidRPr="00380B40">
        <w:rPr>
          <w:lang w:val="en-GB"/>
        </w:rPr>
        <w:t>to acknowledge the value of active participation of the membership, in particular academia, universities and their associated research establishments, in the standardization activities of ITU, by collaborating closely with Member States and their respective bodies that formulate public policies in areas such as education, science, technology, industry and commerce in order to highlight the importance of contribution to ITU</w:t>
      </w:r>
      <w:r w:rsidRPr="00380B40">
        <w:rPr>
          <w:lang w:val="en-GB"/>
        </w:rPr>
        <w:noBreakHyphen/>
        <w:t>T study group deliverables,</w:t>
      </w:r>
    </w:p>
    <w:p w14:paraId="2897F69D" w14:textId="77777777" w:rsidR="0065003E" w:rsidRPr="00380B40" w:rsidRDefault="0065003E" w:rsidP="0065003E">
      <w:pPr>
        <w:pStyle w:val="Call"/>
        <w:rPr>
          <w:lang w:val="en-GB"/>
        </w:rPr>
      </w:pPr>
      <w:r w:rsidRPr="00380B40">
        <w:rPr>
          <w:lang w:val="en-GB"/>
        </w:rPr>
        <w:t>instructs the Telecommunication Standardization Advisory Group</w:t>
      </w:r>
    </w:p>
    <w:p w14:paraId="68DCA8EB" w14:textId="77777777" w:rsidR="0065003E" w:rsidRPr="00380B40" w:rsidRDefault="0065003E" w:rsidP="0065003E">
      <w:pPr>
        <w:rPr>
          <w:lang w:val="en-GB"/>
        </w:rPr>
      </w:pPr>
      <w:r w:rsidRPr="00380B40">
        <w:rPr>
          <w:lang w:val="en-GB" w:eastAsia="en-AU"/>
        </w:rPr>
        <w:t>to establish criteria that guide study groups to clearly acknowledge contributors to the development of study group deliverables</w:t>
      </w:r>
      <w:r w:rsidRPr="00380B40">
        <w:rPr>
          <w:lang w:val="en-GB"/>
        </w:rPr>
        <w:t>,</w:t>
      </w:r>
    </w:p>
    <w:p w14:paraId="74492EF0" w14:textId="77777777" w:rsidR="0065003E" w:rsidRPr="00380B40" w:rsidRDefault="0065003E" w:rsidP="0065003E">
      <w:pPr>
        <w:pStyle w:val="Call"/>
        <w:rPr>
          <w:lang w:val="en-GB"/>
        </w:rPr>
      </w:pPr>
      <w:r w:rsidRPr="00380B40">
        <w:rPr>
          <w:lang w:val="en-GB"/>
        </w:rPr>
        <w:t>instructs the study groups</w:t>
      </w:r>
      <w:r w:rsidRPr="00380B40">
        <w:rPr>
          <w:i w:val="0"/>
          <w:lang w:val="en-GB"/>
        </w:rPr>
        <w:t xml:space="preserve"> of </w:t>
      </w:r>
      <w:r w:rsidRPr="00380B40">
        <w:rPr>
          <w:lang w:val="en-GB"/>
        </w:rPr>
        <w:t>the ITU Telecommunication Standardization Sector</w:t>
      </w:r>
    </w:p>
    <w:p w14:paraId="369A98C9" w14:textId="77777777" w:rsidR="0065003E" w:rsidRPr="00380B40" w:rsidRDefault="0065003E" w:rsidP="0065003E">
      <w:pPr>
        <w:rPr>
          <w:lang w:val="en-GB"/>
        </w:rPr>
      </w:pPr>
      <w:r w:rsidRPr="00380B40">
        <w:rPr>
          <w:lang w:val="en-GB"/>
        </w:rPr>
        <w:t>to acknowledge contributors to the development of study group deliverables, in particular those from academia, universities and associated research establishments, based on the criteria established by the Telecommunication Standardization Advisory Group (TSAG),</w:t>
      </w:r>
    </w:p>
    <w:p w14:paraId="63E42A90" w14:textId="77777777" w:rsidR="0065003E" w:rsidRPr="00380B40" w:rsidRDefault="0065003E" w:rsidP="0065003E">
      <w:pPr>
        <w:pStyle w:val="Call"/>
        <w:rPr>
          <w:lang w:val="en-GB"/>
        </w:rPr>
      </w:pPr>
      <w:r w:rsidRPr="00380B40">
        <w:rPr>
          <w:lang w:val="en-GB"/>
        </w:rPr>
        <w:t>invites Member States</w:t>
      </w:r>
    </w:p>
    <w:p w14:paraId="4341C475" w14:textId="77777777" w:rsidR="0065003E" w:rsidRPr="00380B40" w:rsidRDefault="0065003E" w:rsidP="0065003E">
      <w:pPr>
        <w:rPr>
          <w:lang w:val="en-GB"/>
        </w:rPr>
      </w:pPr>
      <w:r w:rsidRPr="00380B40">
        <w:rPr>
          <w:lang w:val="en-GB"/>
        </w:rPr>
        <w:t>to collaborate with ITU</w:t>
      </w:r>
      <w:r w:rsidRPr="00380B40">
        <w:rPr>
          <w:lang w:val="en-GB"/>
        </w:rPr>
        <w:noBreakHyphen/>
        <w:t>T and to encourage research funding organizations and/or research institutions in their countries to acknowledge the criteria established by TSAG in the evaluation of the productivity of professionals from academia, universities and associated research establishments.</w:t>
      </w:r>
    </w:p>
    <w:p w14:paraId="4D1A96CB"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017BEDE"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A020B4F"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B78CC89"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44B80E8"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F9D15A6"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8548B8C"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E7A58A4"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6A78329"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35FB833" w14:textId="77777777" w:rsidR="00132AD9" w:rsidRPr="00380B40" w:rsidRDefault="00132AD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A2A637B" w14:textId="77777777" w:rsidR="00B97E2C" w:rsidRPr="00380B40" w:rsidRDefault="00B97E2C" w:rsidP="00B97E2C">
      <w:pPr>
        <w:rPr>
          <w:lang w:val="en-GB"/>
        </w:rPr>
      </w:pPr>
    </w:p>
    <w:p w14:paraId="57372F30" w14:textId="77777777" w:rsidR="00B97E2C" w:rsidRPr="00380B40" w:rsidRDefault="00B97E2C" w:rsidP="00B97E2C">
      <w:pPr>
        <w:rPr>
          <w:lang w:val="en-GB"/>
        </w:rPr>
        <w:sectPr w:rsidR="00B97E2C" w:rsidRPr="00380B40" w:rsidSect="00A94367">
          <w:headerReference w:type="even" r:id="rId253"/>
          <w:footerReference w:type="even" r:id="rId254"/>
          <w:footerReference w:type="default" r:id="rId255"/>
          <w:headerReference w:type="first" r:id="rId256"/>
          <w:footerReference w:type="first" r:id="rId257"/>
          <w:footnotePr>
            <w:numRestart w:val="eachSect"/>
          </w:footnotePr>
          <w:pgSz w:w="11907" w:h="16834" w:code="9"/>
          <w:pgMar w:top="1134" w:right="1134" w:bottom="1134" w:left="1134" w:header="567" w:footer="567" w:gutter="0"/>
          <w:paperSrc w:first="15" w:other="15"/>
          <w:cols w:space="720"/>
          <w:vAlign w:val="both"/>
          <w:docGrid w:linePitch="299"/>
        </w:sectPr>
      </w:pPr>
    </w:p>
    <w:p w14:paraId="7B1A258B" w14:textId="77777777" w:rsidR="0065003E" w:rsidRPr="00380B40" w:rsidRDefault="008B56BB" w:rsidP="0065003E">
      <w:pPr>
        <w:pStyle w:val="ResNo"/>
        <w:rPr>
          <w:lang w:val="en-GB"/>
        </w:rPr>
      </w:pPr>
      <w:bookmarkStart w:id="377" w:name="_Toc104459773"/>
      <w:bookmarkStart w:id="378" w:name="_Toc104476581"/>
      <w:bookmarkStart w:id="379" w:name="_Toc111636800"/>
      <w:bookmarkStart w:id="380" w:name="_Toc111638474"/>
      <w:r w:rsidRPr="00380B40">
        <w:rPr>
          <w:caps w:val="0"/>
          <w:lang w:val="en-GB"/>
        </w:rPr>
        <w:t xml:space="preserve">RESOLUTION </w:t>
      </w:r>
      <w:r w:rsidR="0065003E" w:rsidRPr="00380B40">
        <w:rPr>
          <w:rStyle w:val="href"/>
          <w:lang w:val="en-GB"/>
        </w:rPr>
        <w:t xml:space="preserve">83 </w:t>
      </w:r>
      <w:r w:rsidR="0065003E" w:rsidRPr="00380B40">
        <w:rPr>
          <w:lang w:val="en-GB"/>
        </w:rPr>
        <w:t>(</w:t>
      </w:r>
      <w:r w:rsidR="0065003E" w:rsidRPr="00380B40">
        <w:rPr>
          <w:caps w:val="0"/>
          <w:lang w:val="en-GB"/>
        </w:rPr>
        <w:t>Hammamet</w:t>
      </w:r>
      <w:r w:rsidR="0065003E" w:rsidRPr="00380B40">
        <w:rPr>
          <w:lang w:val="en-GB"/>
        </w:rPr>
        <w:t>, 2016)</w:t>
      </w:r>
      <w:bookmarkEnd w:id="377"/>
      <w:bookmarkEnd w:id="378"/>
      <w:bookmarkEnd w:id="379"/>
      <w:bookmarkEnd w:id="380"/>
    </w:p>
    <w:p w14:paraId="351F2EEC" w14:textId="77777777" w:rsidR="0065003E" w:rsidRPr="00380B40" w:rsidRDefault="0065003E" w:rsidP="0065003E">
      <w:pPr>
        <w:pStyle w:val="Restitle"/>
        <w:rPr>
          <w:lang w:val="en-GB"/>
        </w:rPr>
      </w:pPr>
      <w:bookmarkStart w:id="381" w:name="_Toc104459774"/>
      <w:bookmarkStart w:id="382" w:name="_Toc104476582"/>
      <w:bookmarkStart w:id="383" w:name="_Toc111638475"/>
      <w:r w:rsidRPr="00380B40">
        <w:rPr>
          <w:lang w:val="en-GB"/>
        </w:rPr>
        <w:t>Evaluation of the implementation of resolutions of the World Telecommunication Standardization Assembly</w:t>
      </w:r>
      <w:bookmarkEnd w:id="381"/>
      <w:bookmarkEnd w:id="382"/>
      <w:bookmarkEnd w:id="383"/>
    </w:p>
    <w:p w14:paraId="0857DD18" w14:textId="77777777" w:rsidR="0065003E" w:rsidRPr="00380B40" w:rsidRDefault="0065003E" w:rsidP="0065003E">
      <w:pPr>
        <w:pStyle w:val="Resref"/>
        <w:rPr>
          <w:lang w:val="en-GB"/>
        </w:rPr>
      </w:pPr>
      <w:r w:rsidRPr="00380B40">
        <w:rPr>
          <w:lang w:val="en-GB"/>
        </w:rPr>
        <w:t>(Hammamet, 2016)</w:t>
      </w:r>
    </w:p>
    <w:p w14:paraId="2DC98E87" w14:textId="77777777" w:rsidR="0065003E" w:rsidRPr="00380B40" w:rsidRDefault="0065003E" w:rsidP="0065003E">
      <w:pPr>
        <w:pStyle w:val="Normalaftertitle0"/>
      </w:pPr>
      <w:r w:rsidRPr="00380B40">
        <w:t>The World Telecommunication Standardization Assembly (Hammamet, 2016),</w:t>
      </w:r>
    </w:p>
    <w:p w14:paraId="286D9C59" w14:textId="77777777" w:rsidR="0065003E" w:rsidRPr="00380B40" w:rsidRDefault="0065003E" w:rsidP="0065003E">
      <w:pPr>
        <w:pStyle w:val="Call"/>
        <w:rPr>
          <w:lang w:val="en-GB"/>
        </w:rPr>
      </w:pPr>
      <w:r w:rsidRPr="00380B40">
        <w:rPr>
          <w:lang w:val="en-GB"/>
        </w:rPr>
        <w:t>recognizing</w:t>
      </w:r>
    </w:p>
    <w:p w14:paraId="1013CADE" w14:textId="77777777" w:rsidR="0065003E" w:rsidRPr="00380B40" w:rsidRDefault="0065003E" w:rsidP="0065003E">
      <w:pPr>
        <w:rPr>
          <w:lang w:val="en-GB"/>
        </w:rPr>
      </w:pPr>
      <w:r w:rsidRPr="00380B40">
        <w:rPr>
          <w:i/>
          <w:iCs/>
          <w:lang w:val="en-GB"/>
        </w:rPr>
        <w:t>a)</w:t>
      </w:r>
      <w:r w:rsidRPr="00380B40">
        <w:rPr>
          <w:lang w:val="en-GB"/>
        </w:rPr>
        <w:tab/>
        <w:t>that the resolutions adopted by this assembly contain many instructions to the Telecommunication Standardization Advisory Group (TSAG) and the Telecommunication Standardization Bureau, and invitations to Member States, Sector Members, Associates and academia;</w:t>
      </w:r>
    </w:p>
    <w:p w14:paraId="625A5387" w14:textId="77777777" w:rsidR="0065003E" w:rsidRPr="00380B40" w:rsidRDefault="0065003E" w:rsidP="0065003E">
      <w:pPr>
        <w:rPr>
          <w:lang w:val="en-GB"/>
        </w:rPr>
      </w:pPr>
      <w:r w:rsidRPr="00380B40">
        <w:rPr>
          <w:i/>
          <w:iCs/>
          <w:lang w:val="en-GB"/>
        </w:rPr>
        <w:t>b)</w:t>
      </w:r>
      <w:r w:rsidRPr="00380B40">
        <w:rPr>
          <w:lang w:val="en-GB"/>
        </w:rPr>
        <w:tab/>
        <w:t>the sovereignty of Member States in the implementation of resolutions,</w:t>
      </w:r>
    </w:p>
    <w:p w14:paraId="3E435AAE" w14:textId="77777777" w:rsidR="0065003E" w:rsidRPr="00380B40" w:rsidRDefault="0065003E" w:rsidP="0065003E">
      <w:pPr>
        <w:pStyle w:val="Call"/>
        <w:rPr>
          <w:lang w:val="en-GB"/>
        </w:rPr>
      </w:pPr>
      <w:r w:rsidRPr="00380B40">
        <w:rPr>
          <w:lang w:val="en-GB"/>
        </w:rPr>
        <w:t xml:space="preserve">noting </w:t>
      </w:r>
    </w:p>
    <w:p w14:paraId="38FA899F" w14:textId="77777777" w:rsidR="0065003E" w:rsidRPr="00380B40" w:rsidRDefault="0065003E" w:rsidP="0065003E">
      <w:pPr>
        <w:keepNext/>
        <w:rPr>
          <w:lang w:val="en-GB"/>
        </w:rPr>
      </w:pPr>
      <w:r w:rsidRPr="00380B40">
        <w:rPr>
          <w:i/>
          <w:iCs/>
          <w:lang w:val="en-GB"/>
        </w:rPr>
        <w:t>a)</w:t>
      </w:r>
      <w:r w:rsidRPr="00380B40">
        <w:rPr>
          <w:lang w:val="en-GB"/>
        </w:rPr>
        <w:tab/>
        <w:t>that it is in the common interest of the ITU Telecommunication Standardization Sector (ITU</w:t>
      </w:r>
      <w:r w:rsidRPr="00380B40">
        <w:rPr>
          <w:lang w:val="en-GB"/>
        </w:rPr>
        <w:noBreakHyphen/>
        <w:t>T) membership that resolutions of the World Telecommunication Standardization Assembly (WTSA):</w:t>
      </w:r>
    </w:p>
    <w:p w14:paraId="7E7E6C61" w14:textId="77777777" w:rsidR="0065003E" w:rsidRPr="00380B40" w:rsidRDefault="0065003E" w:rsidP="0065003E">
      <w:pPr>
        <w:pStyle w:val="enumlev1"/>
        <w:rPr>
          <w:lang w:val="en-GB"/>
        </w:rPr>
      </w:pPr>
      <w:r w:rsidRPr="00380B40">
        <w:rPr>
          <w:lang w:val="en-GB"/>
        </w:rPr>
        <w:t>i)</w:t>
      </w:r>
      <w:r w:rsidRPr="00380B40">
        <w:rPr>
          <w:lang w:val="en-GB"/>
        </w:rPr>
        <w:tab/>
        <w:t>be known, recognized and applied by all;</w:t>
      </w:r>
    </w:p>
    <w:p w14:paraId="5310BA5A" w14:textId="77777777" w:rsidR="0065003E" w:rsidRPr="00380B40" w:rsidRDefault="0065003E" w:rsidP="0065003E">
      <w:pPr>
        <w:pStyle w:val="enumlev1"/>
        <w:rPr>
          <w:lang w:val="en-GB"/>
        </w:rPr>
      </w:pPr>
      <w:r w:rsidRPr="00380B40">
        <w:rPr>
          <w:lang w:val="en-GB"/>
        </w:rPr>
        <w:t>ii)</w:t>
      </w:r>
      <w:r w:rsidRPr="00380B40">
        <w:rPr>
          <w:lang w:val="en-GB"/>
        </w:rPr>
        <w:tab/>
        <w:t>be implemented to promote the development of telecommunications and for bridging the digital divide, taking into consideration the concerns of developing countries</w:t>
      </w:r>
      <w:r w:rsidR="00FD162E" w:rsidRPr="00380B40">
        <w:rPr>
          <w:rStyle w:val="FootnoteReference"/>
          <w:lang w:val="en-GB"/>
        </w:rPr>
        <w:footnoteReference w:id="47"/>
      </w:r>
      <w:r w:rsidRPr="00380B40">
        <w:rPr>
          <w:lang w:val="en-GB"/>
        </w:rPr>
        <w:t>;</w:t>
      </w:r>
    </w:p>
    <w:p w14:paraId="43C9E4F0" w14:textId="77777777" w:rsidR="0065003E" w:rsidRPr="00380B40" w:rsidRDefault="0065003E" w:rsidP="0065003E">
      <w:pPr>
        <w:rPr>
          <w:lang w:val="en-GB"/>
        </w:rPr>
      </w:pPr>
      <w:r w:rsidRPr="00380B40">
        <w:rPr>
          <w:i/>
          <w:iCs/>
          <w:lang w:val="en-GB"/>
        </w:rPr>
        <w:t>b)</w:t>
      </w:r>
      <w:r w:rsidRPr="00380B40">
        <w:rPr>
          <w:lang w:val="en-GB"/>
        </w:rPr>
        <w:tab/>
        <w:t>that Article 13 of the ITU Convention provides that WTSA may assign specific matters within its competence to TSAG,</w:t>
      </w:r>
    </w:p>
    <w:p w14:paraId="3360A7A6" w14:textId="77777777" w:rsidR="0065003E" w:rsidRPr="00380B40" w:rsidRDefault="0065003E" w:rsidP="0065003E">
      <w:pPr>
        <w:pStyle w:val="Call"/>
        <w:rPr>
          <w:lang w:val="en-GB"/>
        </w:rPr>
      </w:pPr>
      <w:r w:rsidRPr="00380B40">
        <w:rPr>
          <w:lang w:val="en-GB"/>
        </w:rPr>
        <w:t>considering</w:t>
      </w:r>
    </w:p>
    <w:p w14:paraId="1E0C6AB1" w14:textId="77777777" w:rsidR="0065003E" w:rsidRPr="00380B40" w:rsidRDefault="0065003E" w:rsidP="0065003E">
      <w:pPr>
        <w:rPr>
          <w:lang w:val="en-GB"/>
        </w:rPr>
      </w:pPr>
      <w:r w:rsidRPr="00380B40">
        <w:rPr>
          <w:lang w:val="en-GB"/>
        </w:rPr>
        <w:t>that TSAG shall submit proposals to improve the efficiency of operation of ITU</w:t>
      </w:r>
      <w:r w:rsidRPr="00380B40">
        <w:rPr>
          <w:lang w:val="en-GB"/>
        </w:rPr>
        <w:noBreakHyphen/>
        <w:t>T,</w:t>
      </w:r>
    </w:p>
    <w:p w14:paraId="5D65C48B" w14:textId="77777777" w:rsidR="0065003E" w:rsidRPr="00380B40" w:rsidRDefault="0065003E" w:rsidP="0065003E">
      <w:pPr>
        <w:pStyle w:val="Call"/>
        <w:rPr>
          <w:lang w:val="en-GB"/>
        </w:rPr>
      </w:pPr>
      <w:r w:rsidRPr="00380B40">
        <w:rPr>
          <w:lang w:val="en-GB"/>
        </w:rPr>
        <w:t>resolves to invite Member States and Sector Members</w:t>
      </w:r>
    </w:p>
    <w:p w14:paraId="2431E3D6" w14:textId="77777777" w:rsidR="0065003E" w:rsidRPr="00380B40" w:rsidRDefault="0065003E" w:rsidP="0065003E">
      <w:pPr>
        <w:rPr>
          <w:lang w:val="en-GB"/>
        </w:rPr>
      </w:pPr>
      <w:r w:rsidRPr="00380B40">
        <w:rPr>
          <w:lang w:val="en-GB"/>
        </w:rPr>
        <w:t>1</w:t>
      </w:r>
      <w:r w:rsidRPr="00380B40">
        <w:rPr>
          <w:lang w:val="en-GB"/>
        </w:rPr>
        <w:tab/>
        <w:t>to indicate, as part of the preparatory meetings for WTSA, the status of implementation of the resolutions adopted for the previous study period;</w:t>
      </w:r>
    </w:p>
    <w:p w14:paraId="28FE4C54" w14:textId="77777777" w:rsidR="0065003E" w:rsidRPr="00380B40" w:rsidRDefault="0065003E" w:rsidP="0065003E">
      <w:pPr>
        <w:rPr>
          <w:i/>
          <w:lang w:val="en-GB"/>
        </w:rPr>
      </w:pPr>
      <w:r w:rsidRPr="00380B40">
        <w:rPr>
          <w:lang w:val="en-GB"/>
        </w:rPr>
        <w:t>2</w:t>
      </w:r>
      <w:r w:rsidRPr="00380B40">
        <w:rPr>
          <w:lang w:val="en-GB"/>
        </w:rPr>
        <w:tab/>
        <w:t>to make proposals to improve the implementation of resolutions,</w:t>
      </w:r>
    </w:p>
    <w:p w14:paraId="3EC30636" w14:textId="77777777" w:rsidR="0065003E" w:rsidRPr="00380B40" w:rsidRDefault="0065003E" w:rsidP="0065003E">
      <w:pPr>
        <w:pStyle w:val="Call"/>
        <w:rPr>
          <w:lang w:val="en-GB"/>
        </w:rPr>
      </w:pPr>
      <w:r w:rsidRPr="00380B40">
        <w:rPr>
          <w:lang w:val="en-GB"/>
        </w:rPr>
        <w:t>instructs the Director of the Telecommunication Standardization Bureau, in collaboration with Directors of the other Bureaux</w:t>
      </w:r>
    </w:p>
    <w:p w14:paraId="5AD21B55" w14:textId="77777777" w:rsidR="0065003E" w:rsidRPr="00380B40" w:rsidRDefault="0065003E" w:rsidP="0065003E">
      <w:pPr>
        <w:rPr>
          <w:lang w:val="en-GB"/>
        </w:rPr>
      </w:pPr>
      <w:r w:rsidRPr="00380B40">
        <w:rPr>
          <w:lang w:val="en-GB"/>
        </w:rPr>
        <w:t>to take the necessary actions to assess the implementation of WTSA resolutions by all parties concerned,</w:t>
      </w:r>
    </w:p>
    <w:p w14:paraId="496F844A" w14:textId="77777777" w:rsidR="0065003E" w:rsidRPr="00380B40" w:rsidRDefault="0065003E" w:rsidP="0065003E">
      <w:pPr>
        <w:pStyle w:val="Call"/>
        <w:rPr>
          <w:lang w:val="en-GB"/>
        </w:rPr>
      </w:pPr>
      <w:r w:rsidRPr="00380B40">
        <w:rPr>
          <w:lang w:val="en-GB"/>
        </w:rPr>
        <w:t>instructs the Director of the Telecommunication Standardization Bureau</w:t>
      </w:r>
    </w:p>
    <w:p w14:paraId="5632E0C0" w14:textId="77777777" w:rsidR="00B97E2C" w:rsidRPr="00380B40" w:rsidRDefault="0065003E" w:rsidP="001F27CF">
      <w:pPr>
        <w:rPr>
          <w:lang w:val="en-GB"/>
        </w:rPr>
      </w:pPr>
      <w:r w:rsidRPr="00380B40">
        <w:rPr>
          <w:lang w:val="en-GB"/>
        </w:rPr>
        <w:t>to take account of the implementation of WTSA resolutions and submit an assessment report to TSAG.</w:t>
      </w:r>
    </w:p>
    <w:p w14:paraId="78E505BB" w14:textId="77777777" w:rsidR="00B97E2C" w:rsidRPr="00380B40" w:rsidRDefault="00B97E2C" w:rsidP="00B97E2C">
      <w:pPr>
        <w:rPr>
          <w:lang w:val="en-GB"/>
        </w:rPr>
      </w:pPr>
    </w:p>
    <w:p w14:paraId="0519CAED" w14:textId="77777777" w:rsidR="00B97E2C" w:rsidRPr="00380B40" w:rsidRDefault="00B97E2C" w:rsidP="00B97E2C">
      <w:pPr>
        <w:rPr>
          <w:lang w:val="en-GB"/>
        </w:rPr>
        <w:sectPr w:rsidR="00B97E2C" w:rsidRPr="00380B40" w:rsidSect="004B363C">
          <w:footerReference w:type="even" r:id="rId258"/>
          <w:footerReference w:type="default" r:id="rId259"/>
          <w:headerReference w:type="first" r:id="rId260"/>
          <w:footerReference w:type="first" r:id="rId261"/>
          <w:footnotePr>
            <w:numRestart w:val="eachSect"/>
          </w:footnotePr>
          <w:pgSz w:w="11907" w:h="16834" w:code="9"/>
          <w:pgMar w:top="1134" w:right="1134" w:bottom="1134" w:left="1134" w:header="567" w:footer="567" w:gutter="0"/>
          <w:paperSrc w:first="15" w:other="15"/>
          <w:cols w:space="720"/>
          <w:vAlign w:val="both"/>
          <w:docGrid w:linePitch="299"/>
        </w:sectPr>
      </w:pPr>
    </w:p>
    <w:p w14:paraId="498AA077" w14:textId="77777777" w:rsidR="00C53AF4" w:rsidRPr="00380B40" w:rsidRDefault="008A1180" w:rsidP="00993BFE">
      <w:pPr>
        <w:pStyle w:val="ResNo"/>
        <w:rPr>
          <w:lang w:val="en-GB"/>
        </w:rPr>
      </w:pPr>
      <w:bookmarkStart w:id="384" w:name="_Toc104459775"/>
      <w:bookmarkStart w:id="385" w:name="_Toc104476583"/>
      <w:bookmarkStart w:id="386" w:name="_Toc111636801"/>
      <w:bookmarkStart w:id="387" w:name="_Toc111638476"/>
      <w:r w:rsidRPr="00380B40">
        <w:rPr>
          <w:caps w:val="0"/>
          <w:lang w:val="en-GB"/>
        </w:rPr>
        <w:t xml:space="preserve">RESOLUTION </w:t>
      </w:r>
      <w:r w:rsidR="00C53AF4" w:rsidRPr="00380B40">
        <w:rPr>
          <w:rStyle w:val="href"/>
          <w:lang w:val="en-GB"/>
        </w:rPr>
        <w:t xml:space="preserve">84 </w:t>
      </w:r>
      <w:r w:rsidR="00993BFE" w:rsidRPr="00380B40">
        <w:rPr>
          <w:lang w:val="en-GB"/>
        </w:rPr>
        <w:t>(R</w:t>
      </w:r>
      <w:r w:rsidR="001718FC" w:rsidRPr="00380B40">
        <w:rPr>
          <w:caps w:val="0"/>
          <w:lang w:val="en-GB"/>
        </w:rPr>
        <w:t>ev</w:t>
      </w:r>
      <w:r w:rsidR="00993BFE" w:rsidRPr="00380B40">
        <w:rPr>
          <w:lang w:val="en-GB"/>
        </w:rPr>
        <w:t>. G</w:t>
      </w:r>
      <w:r w:rsidR="001718FC" w:rsidRPr="00380B40">
        <w:rPr>
          <w:caps w:val="0"/>
          <w:lang w:val="en-GB"/>
        </w:rPr>
        <w:t>eneva</w:t>
      </w:r>
      <w:r w:rsidR="00993BFE" w:rsidRPr="00380B40">
        <w:rPr>
          <w:lang w:val="en-GB"/>
        </w:rPr>
        <w:t>, 2022)</w:t>
      </w:r>
      <w:bookmarkEnd w:id="384"/>
      <w:bookmarkEnd w:id="385"/>
      <w:bookmarkEnd w:id="386"/>
      <w:bookmarkEnd w:id="387"/>
    </w:p>
    <w:p w14:paraId="663AE22D" w14:textId="77777777" w:rsidR="00993BFE" w:rsidRPr="00380B40" w:rsidRDefault="00993BFE" w:rsidP="00993BFE">
      <w:pPr>
        <w:pStyle w:val="Restitle"/>
        <w:rPr>
          <w:lang w:val="en-GB"/>
        </w:rPr>
      </w:pPr>
      <w:bookmarkStart w:id="388" w:name="_Toc104459776"/>
      <w:bookmarkStart w:id="389" w:name="_Toc104476584"/>
      <w:bookmarkStart w:id="390" w:name="_Toc111638477"/>
      <w:r w:rsidRPr="00380B40">
        <w:rPr>
          <w:lang w:val="en-GB"/>
        </w:rPr>
        <w:t>Studies concerning the protection of users of telecommunication/information and communication technology services</w:t>
      </w:r>
      <w:bookmarkEnd w:id="388"/>
      <w:bookmarkEnd w:id="389"/>
      <w:bookmarkEnd w:id="390"/>
    </w:p>
    <w:p w14:paraId="7C03B63B" w14:textId="77777777" w:rsidR="00993BFE" w:rsidRPr="00380B40" w:rsidRDefault="00993BFE" w:rsidP="00993BFE">
      <w:pPr>
        <w:pStyle w:val="Resref"/>
        <w:rPr>
          <w:lang w:val="en-GB"/>
        </w:rPr>
      </w:pPr>
      <w:r w:rsidRPr="00380B40">
        <w:rPr>
          <w:lang w:val="en-GB"/>
        </w:rPr>
        <w:t>(Hammamet, 2016; Geneva, 2022)</w:t>
      </w:r>
    </w:p>
    <w:p w14:paraId="3572E620" w14:textId="77777777" w:rsidR="00993BFE" w:rsidRPr="00380B40" w:rsidRDefault="00993BFE" w:rsidP="00993BFE">
      <w:pPr>
        <w:pStyle w:val="Normalaftertitle0"/>
      </w:pPr>
      <w:r w:rsidRPr="00380B40">
        <w:t>The World Telecommunication Standardization Assembly (Geneva, 2022),</w:t>
      </w:r>
    </w:p>
    <w:p w14:paraId="13F33AA9" w14:textId="77777777" w:rsidR="00993BFE" w:rsidRPr="00380B40" w:rsidRDefault="00993BFE" w:rsidP="00993BFE">
      <w:pPr>
        <w:pStyle w:val="Call"/>
        <w:rPr>
          <w:lang w:val="en-GB"/>
        </w:rPr>
      </w:pPr>
      <w:r w:rsidRPr="00380B40">
        <w:rPr>
          <w:lang w:val="en-GB"/>
        </w:rPr>
        <w:t>recalling</w:t>
      </w:r>
    </w:p>
    <w:p w14:paraId="751E217C" w14:textId="77777777" w:rsidR="00993BFE" w:rsidRPr="00380B40" w:rsidRDefault="00993BFE" w:rsidP="00993BFE">
      <w:pPr>
        <w:rPr>
          <w:lang w:val="en-GB"/>
        </w:rPr>
      </w:pPr>
      <w:r w:rsidRPr="00380B40">
        <w:rPr>
          <w:i/>
          <w:iCs/>
          <w:lang w:val="en-GB"/>
        </w:rPr>
        <w:t>a)</w:t>
      </w:r>
      <w:r w:rsidRPr="00380B40">
        <w:rPr>
          <w:lang w:val="en-GB"/>
        </w:rPr>
        <w:tab/>
        <w:t>Resolution 196 (Rev. Dubai, 2018) of the Plenipotentiary Conference, on protecting telecommunication service users/consumers;</w:t>
      </w:r>
    </w:p>
    <w:p w14:paraId="1FF785D0" w14:textId="77777777" w:rsidR="00993BFE" w:rsidRPr="00380B40" w:rsidRDefault="00993BFE" w:rsidP="00993BFE">
      <w:pPr>
        <w:rPr>
          <w:lang w:val="en-GB"/>
        </w:rPr>
      </w:pPr>
      <w:r w:rsidRPr="00380B40">
        <w:rPr>
          <w:i/>
          <w:iCs/>
          <w:lang w:val="en-GB"/>
        </w:rPr>
        <w:t>b)</w:t>
      </w:r>
      <w:r w:rsidRPr="00380B40">
        <w:rPr>
          <w:i/>
          <w:iCs/>
          <w:lang w:val="en-GB"/>
        </w:rPr>
        <w:tab/>
      </w:r>
      <w:r w:rsidRPr="00380B40">
        <w:rPr>
          <w:lang w:val="en-GB"/>
        </w:rPr>
        <w:t>Resolution 188 (Rev. Dubai, 2018)</w:t>
      </w:r>
      <w:r w:rsidRPr="00380B40">
        <w:rPr>
          <w:webHidden/>
          <w:lang w:val="en-GB"/>
        </w:rPr>
        <w:t xml:space="preserve"> of the </w:t>
      </w:r>
      <w:r w:rsidRPr="00380B40">
        <w:rPr>
          <w:lang w:val="en-GB"/>
        </w:rPr>
        <w:t>Plenipotentiary Conference,</w:t>
      </w:r>
      <w:r w:rsidRPr="00380B40">
        <w:rPr>
          <w:webHidden/>
          <w:lang w:val="en-GB"/>
        </w:rPr>
        <w:t xml:space="preserve"> on </w:t>
      </w:r>
      <w:r w:rsidRPr="00380B40">
        <w:rPr>
          <w:lang w:val="en-GB"/>
        </w:rPr>
        <w:t>combating counterfeit telecommunication/information and communication technology (ICT) devices;</w:t>
      </w:r>
    </w:p>
    <w:p w14:paraId="75D54876" w14:textId="77777777" w:rsidR="00993BFE" w:rsidRPr="00380B40" w:rsidRDefault="00993BFE" w:rsidP="00993BFE">
      <w:pPr>
        <w:rPr>
          <w:lang w:val="en-GB"/>
        </w:rPr>
      </w:pPr>
      <w:r w:rsidRPr="00380B40">
        <w:rPr>
          <w:i/>
          <w:iCs/>
          <w:lang w:val="en-GB"/>
        </w:rPr>
        <w:t>c)</w:t>
      </w:r>
      <w:r w:rsidRPr="00380B40">
        <w:rPr>
          <w:i/>
          <w:iCs/>
          <w:lang w:val="en-GB"/>
        </w:rPr>
        <w:tab/>
      </w:r>
      <w:r w:rsidRPr="00380B40">
        <w:rPr>
          <w:lang w:val="en-GB"/>
        </w:rPr>
        <w:t>Resolution 189 (Rev. Dubai, 2018)</w:t>
      </w:r>
      <w:r w:rsidRPr="00380B40">
        <w:rPr>
          <w:webHidden/>
          <w:lang w:val="en-GB"/>
        </w:rPr>
        <w:t xml:space="preserve"> of the </w:t>
      </w:r>
      <w:r w:rsidRPr="00380B40">
        <w:rPr>
          <w:lang w:val="en-GB"/>
        </w:rPr>
        <w:t>Plenipotentiary Conference,</w:t>
      </w:r>
      <w:r w:rsidRPr="00380B40">
        <w:rPr>
          <w:webHidden/>
          <w:lang w:val="en-GB"/>
        </w:rPr>
        <w:t xml:space="preserve"> on a</w:t>
      </w:r>
      <w:r w:rsidRPr="00380B40">
        <w:rPr>
          <w:lang w:val="en-GB"/>
        </w:rPr>
        <w:t>ssisting Member States to combat and deter mobile device theft;</w:t>
      </w:r>
    </w:p>
    <w:p w14:paraId="1249D726" w14:textId="77777777" w:rsidR="00993BFE" w:rsidRPr="00380B40" w:rsidRDefault="00993BFE" w:rsidP="00993BFE">
      <w:pPr>
        <w:rPr>
          <w:lang w:val="en-GB"/>
        </w:rPr>
      </w:pPr>
      <w:r w:rsidRPr="00380B40">
        <w:rPr>
          <w:i/>
          <w:iCs/>
          <w:lang w:val="en-GB"/>
        </w:rPr>
        <w:t>d)</w:t>
      </w:r>
      <w:r w:rsidRPr="00380B40">
        <w:rPr>
          <w:i/>
          <w:iCs/>
          <w:lang w:val="en-GB"/>
        </w:rPr>
        <w:tab/>
      </w:r>
      <w:r w:rsidRPr="00380B40">
        <w:rPr>
          <w:lang w:val="en-GB"/>
        </w:rPr>
        <w:t>Resolution 64 (Rev. Buenos Aires, 2017) of the World Telecommunication Development Conference, on protecting and supporting users/consumers of telecommunication/ICT services;</w:t>
      </w:r>
    </w:p>
    <w:p w14:paraId="35CF7F15" w14:textId="77777777" w:rsidR="00993BFE" w:rsidRPr="00380B40" w:rsidRDefault="00993BFE" w:rsidP="00993BFE">
      <w:pPr>
        <w:rPr>
          <w:lang w:val="en-GB"/>
        </w:rPr>
      </w:pPr>
      <w:r w:rsidRPr="00380B40">
        <w:rPr>
          <w:i/>
          <w:iCs/>
          <w:lang w:val="en-GB"/>
        </w:rPr>
        <w:t>e)</w:t>
      </w:r>
      <w:r w:rsidRPr="00380B40">
        <w:rPr>
          <w:i/>
          <w:iCs/>
          <w:lang w:val="en-GB"/>
        </w:rPr>
        <w:tab/>
      </w:r>
      <w:r w:rsidRPr="00380B40">
        <w:rPr>
          <w:lang w:val="en-GB"/>
        </w:rPr>
        <w:t>the International Telecommunication Regulations,</w:t>
      </w:r>
    </w:p>
    <w:p w14:paraId="744B1DE5" w14:textId="77777777" w:rsidR="00993BFE" w:rsidRPr="00380B40" w:rsidRDefault="00993BFE" w:rsidP="00993BFE">
      <w:pPr>
        <w:pStyle w:val="Call"/>
        <w:rPr>
          <w:lang w:val="en-GB"/>
        </w:rPr>
      </w:pPr>
      <w:r w:rsidRPr="00380B40">
        <w:rPr>
          <w:lang w:val="en-GB"/>
        </w:rPr>
        <w:t>recognizing</w:t>
      </w:r>
    </w:p>
    <w:p w14:paraId="00C6CF29" w14:textId="77777777" w:rsidR="00993BFE" w:rsidRPr="00380B40" w:rsidRDefault="00993BFE" w:rsidP="00993BFE">
      <w:pPr>
        <w:rPr>
          <w:lang w:val="en-GB"/>
        </w:rPr>
      </w:pPr>
      <w:r w:rsidRPr="00380B40">
        <w:rPr>
          <w:i/>
          <w:iCs/>
          <w:lang w:val="en-GB"/>
        </w:rPr>
        <w:t>a)</w:t>
      </w:r>
      <w:r w:rsidRPr="00380B40">
        <w:rPr>
          <w:i/>
          <w:iCs/>
          <w:lang w:val="en-GB"/>
        </w:rPr>
        <w:tab/>
      </w:r>
      <w:r w:rsidRPr="00380B40">
        <w:rPr>
          <w:lang w:val="en-GB"/>
        </w:rPr>
        <w:t>the United Nations Guidelines for Consumer Protection;</w:t>
      </w:r>
    </w:p>
    <w:p w14:paraId="6605F9D6" w14:textId="77777777" w:rsidR="00993BFE" w:rsidRPr="00380B40" w:rsidRDefault="00993BFE" w:rsidP="00993BFE">
      <w:pPr>
        <w:rPr>
          <w:lang w:val="en-GB"/>
        </w:rPr>
      </w:pPr>
      <w:r w:rsidRPr="00380B40">
        <w:rPr>
          <w:i/>
          <w:iCs/>
          <w:lang w:val="en-GB"/>
        </w:rPr>
        <w:t>b)</w:t>
      </w:r>
      <w:r w:rsidRPr="00380B40">
        <w:rPr>
          <w:lang w:val="en-GB"/>
        </w:rPr>
        <w:tab/>
        <w:t>that, in order to achieve its own objectives, the Union must, among other things, promote standardization of telecommunications worldwide, ensuring a satisfactory quality of service (QoS);</w:t>
      </w:r>
    </w:p>
    <w:p w14:paraId="0E4E6B73" w14:textId="77777777" w:rsidR="00993BFE" w:rsidRPr="00380B40" w:rsidRDefault="00993BFE" w:rsidP="00993BFE">
      <w:pPr>
        <w:rPr>
          <w:szCs w:val="24"/>
          <w:lang w:val="en-GB"/>
        </w:rPr>
      </w:pPr>
      <w:r w:rsidRPr="00380B40">
        <w:rPr>
          <w:i/>
          <w:iCs/>
          <w:szCs w:val="24"/>
          <w:lang w:val="en-GB"/>
        </w:rPr>
        <w:t>c)</w:t>
      </w:r>
      <w:r w:rsidRPr="00380B40">
        <w:rPr>
          <w:szCs w:val="24"/>
          <w:lang w:val="en-GB"/>
        </w:rPr>
        <w:tab/>
      </w:r>
      <w:r w:rsidRPr="00380B40">
        <w:rPr>
          <w:lang w:val="en-GB"/>
        </w:rPr>
        <w:t>§ 13 </w:t>
      </w:r>
      <w:r w:rsidRPr="00380B40">
        <w:rPr>
          <w:i/>
          <w:iCs/>
          <w:lang w:val="en-GB"/>
        </w:rPr>
        <w:t>e)</w:t>
      </w:r>
      <w:r w:rsidRPr="00380B40">
        <w:rPr>
          <w:lang w:val="en-GB"/>
        </w:rPr>
        <w:t xml:space="preserve"> of the Geneva Plan of Action of the World Summit on the Information Society, which states that governments should continue to update their domestic consumer-protection laws to respond to the new requirements of the information society</w:t>
      </w:r>
      <w:r w:rsidRPr="00380B40">
        <w:rPr>
          <w:szCs w:val="24"/>
          <w:lang w:val="en-GB"/>
        </w:rPr>
        <w:t>,</w:t>
      </w:r>
    </w:p>
    <w:p w14:paraId="717CDE83" w14:textId="77777777" w:rsidR="00993BFE" w:rsidRPr="00380B40" w:rsidRDefault="00993BFE" w:rsidP="00993BFE">
      <w:pPr>
        <w:pStyle w:val="Call"/>
        <w:rPr>
          <w:lang w:val="en-GB"/>
        </w:rPr>
      </w:pPr>
      <w:r w:rsidRPr="00380B40">
        <w:rPr>
          <w:lang w:val="en-GB"/>
        </w:rPr>
        <w:t>considering</w:t>
      </w:r>
    </w:p>
    <w:p w14:paraId="5E712938" w14:textId="77777777" w:rsidR="00993BFE" w:rsidRPr="00380B40" w:rsidRDefault="00993BFE" w:rsidP="00993BFE">
      <w:pPr>
        <w:rPr>
          <w:lang w:val="en-GB"/>
        </w:rPr>
      </w:pPr>
      <w:r w:rsidRPr="00380B40">
        <w:rPr>
          <w:i/>
          <w:iCs/>
          <w:lang w:val="en-GB"/>
        </w:rPr>
        <w:t>a)</w:t>
      </w:r>
      <w:r w:rsidRPr="00380B40">
        <w:rPr>
          <w:lang w:val="en-GB"/>
        </w:rPr>
        <w:tab/>
      </w:r>
      <w:r w:rsidRPr="00380B40">
        <w:rPr>
          <w:lang w:val="en-GB" w:eastAsia="zh-CN"/>
        </w:rPr>
        <w:t xml:space="preserve">that </w:t>
      </w:r>
      <w:r w:rsidRPr="00380B40">
        <w:rPr>
          <w:lang w:val="en-GB"/>
        </w:rPr>
        <w:t>counterfeit</w:t>
      </w:r>
      <w:r w:rsidRPr="00380B40">
        <w:rPr>
          <w:lang w:val="en-GB" w:eastAsia="zh-CN"/>
        </w:rPr>
        <w:t xml:space="preserve"> telecommunication/ICT devices may negatively impact on security and QoS for users</w:t>
      </w:r>
      <w:r w:rsidRPr="00380B40">
        <w:rPr>
          <w:lang w:val="en-GB"/>
        </w:rPr>
        <w:t>;</w:t>
      </w:r>
    </w:p>
    <w:p w14:paraId="36473D42" w14:textId="77777777" w:rsidR="00993BFE" w:rsidRPr="00380B40" w:rsidRDefault="00993BFE" w:rsidP="00993BFE">
      <w:pPr>
        <w:rPr>
          <w:i/>
          <w:iCs/>
          <w:lang w:val="en-GB"/>
        </w:rPr>
      </w:pPr>
      <w:r w:rsidRPr="00380B40">
        <w:rPr>
          <w:i/>
          <w:iCs/>
          <w:lang w:val="en-GB"/>
        </w:rPr>
        <w:t>b)</w:t>
      </w:r>
      <w:r w:rsidRPr="00380B40">
        <w:rPr>
          <w:lang w:val="en-GB"/>
        </w:rPr>
        <w:tab/>
      </w:r>
      <w:r w:rsidRPr="00380B40">
        <w:rPr>
          <w:lang w:val="en-GB" w:eastAsia="zh-CN"/>
        </w:rPr>
        <w:t>that consumer-related laws, policies and practices limit fraudulent, deceitful and unfair business conducts, and such protections are indispensable for building consumer trust and establishing a more equitable relationship between telecommunication/ICT entrepreneurs and consumers</w:t>
      </w:r>
      <w:r w:rsidRPr="00380B40">
        <w:rPr>
          <w:lang w:val="en-GB"/>
        </w:rPr>
        <w:t>;</w:t>
      </w:r>
    </w:p>
    <w:p w14:paraId="6605E6BD" w14:textId="77777777" w:rsidR="00132AD9" w:rsidRPr="00380B40" w:rsidRDefault="00132AD9" w:rsidP="00993BFE">
      <w:pPr>
        <w:rPr>
          <w:i/>
          <w:iCs/>
          <w:lang w:val="en-GB"/>
        </w:rPr>
      </w:pPr>
      <w:r w:rsidRPr="00380B40">
        <w:rPr>
          <w:i/>
          <w:iCs/>
          <w:lang w:val="en-GB"/>
        </w:rPr>
        <w:br w:type="page"/>
      </w:r>
    </w:p>
    <w:p w14:paraId="0B71D1BB" w14:textId="77777777" w:rsidR="00993BFE" w:rsidRPr="00380B40" w:rsidRDefault="00993BFE" w:rsidP="00993BFE">
      <w:pPr>
        <w:rPr>
          <w:rFonts w:asciiTheme="majorBidi" w:hAnsiTheme="majorBidi" w:cstheme="majorBidi"/>
          <w:szCs w:val="24"/>
          <w:lang w:val="en-GB"/>
        </w:rPr>
      </w:pPr>
      <w:r w:rsidRPr="00380B40">
        <w:rPr>
          <w:i/>
          <w:iCs/>
          <w:lang w:val="en-GB"/>
        </w:rPr>
        <w:t>c)</w:t>
      </w:r>
      <w:r w:rsidRPr="00380B40">
        <w:rPr>
          <w:lang w:val="en-GB"/>
        </w:rPr>
        <w:tab/>
        <w:t>that the Internet permits the introduction of new applications in telecommunication/ICT services based on its highly advanced technology, such as cloud computing, e</w:t>
      </w:r>
      <w:r w:rsidRPr="00380B40">
        <w:rPr>
          <w:lang w:val="en-GB"/>
        </w:rPr>
        <w:noBreakHyphen/>
        <w:t>mail and text messaging, voice over IP, video and real-time TV (IPTV) over the Internet, which continue to record high levels of use, even though there are challenges regarding QoS and uncertainty of origin;</w:t>
      </w:r>
    </w:p>
    <w:p w14:paraId="2887AA15" w14:textId="77777777" w:rsidR="00993BFE" w:rsidRPr="00380B40" w:rsidRDefault="00993BFE" w:rsidP="00993BFE">
      <w:pPr>
        <w:rPr>
          <w:rFonts w:asciiTheme="majorBidi" w:hAnsiTheme="majorBidi" w:cstheme="majorBidi"/>
          <w:szCs w:val="24"/>
          <w:lang w:val="en-GB"/>
        </w:rPr>
      </w:pPr>
      <w:r w:rsidRPr="00380B40">
        <w:rPr>
          <w:i/>
          <w:iCs/>
          <w:lang w:val="en-GB"/>
        </w:rPr>
        <w:t>d)</w:t>
      </w:r>
      <w:r w:rsidRPr="00380B40">
        <w:rPr>
          <w:lang w:val="en-GB"/>
        </w:rPr>
        <w:tab/>
        <w:t>that the QoS of networks should be consistent with ITU Telecommunication Standardization Sector (ITU</w:t>
      </w:r>
      <w:r w:rsidRPr="00380B40">
        <w:rPr>
          <w:lang w:val="en-GB"/>
        </w:rPr>
        <w:noBreakHyphen/>
        <w:t>T) Recommendations and other recognized international standards;</w:t>
      </w:r>
    </w:p>
    <w:p w14:paraId="7794B57A" w14:textId="77777777" w:rsidR="00993BFE" w:rsidRPr="00380B40" w:rsidRDefault="00993BFE" w:rsidP="00993BFE">
      <w:pPr>
        <w:rPr>
          <w:lang w:val="en-GB"/>
        </w:rPr>
      </w:pPr>
      <w:r w:rsidRPr="00380B40">
        <w:rPr>
          <w:i/>
          <w:iCs/>
          <w:lang w:val="en-GB"/>
        </w:rPr>
        <w:t>e)</w:t>
      </w:r>
      <w:r w:rsidRPr="00380B40">
        <w:rPr>
          <w:lang w:val="en-GB"/>
        </w:rPr>
        <w:tab/>
      </w:r>
      <w:r w:rsidRPr="00380B40">
        <w:rPr>
          <w:lang w:val="en-GB" w:eastAsia="zh-CN"/>
        </w:rPr>
        <w:t xml:space="preserve">that telecommunications/ICTs can offer new and substantial benefits to consumers, including </w:t>
      </w:r>
      <w:r w:rsidRPr="00380B40">
        <w:rPr>
          <w:lang w:val="en-GB"/>
        </w:rPr>
        <w:t>convenience</w:t>
      </w:r>
      <w:r w:rsidRPr="00380B40">
        <w:rPr>
          <w:lang w:val="en-GB" w:eastAsia="zh-CN"/>
        </w:rPr>
        <w:t xml:space="preserve"> and access to a broad range of goods and/or services, and the ability to collect and compare information about these goods and/or services;</w:t>
      </w:r>
    </w:p>
    <w:p w14:paraId="1F02FEF6" w14:textId="77777777" w:rsidR="00993BFE" w:rsidRPr="00380B40" w:rsidRDefault="00993BFE" w:rsidP="00993BFE">
      <w:pPr>
        <w:rPr>
          <w:lang w:val="en-GB"/>
        </w:rPr>
      </w:pPr>
      <w:r w:rsidRPr="00380B40">
        <w:rPr>
          <w:i/>
          <w:iCs/>
          <w:lang w:val="en-GB"/>
        </w:rPr>
        <w:t>f)</w:t>
      </w:r>
      <w:r w:rsidRPr="00380B40">
        <w:rPr>
          <w:lang w:val="en-GB"/>
        </w:rPr>
        <w:tab/>
      </w:r>
      <w:r w:rsidRPr="00380B40">
        <w:rPr>
          <w:lang w:val="en-GB" w:eastAsia="zh-CN"/>
        </w:rPr>
        <w:t xml:space="preserve">that consumer trust in telecommunications/ICTs is bolstered by the continuous development of </w:t>
      </w:r>
      <w:r w:rsidRPr="00380B40">
        <w:rPr>
          <w:lang w:val="en-GB"/>
        </w:rPr>
        <w:t>transparent</w:t>
      </w:r>
      <w:r w:rsidRPr="00380B40">
        <w:rPr>
          <w:lang w:val="en-GB" w:eastAsia="zh-CN"/>
        </w:rPr>
        <w:t>, effective consumer-protection mechanisms that limit the presence of fraudulent, deceitful or unfair business practices</w:t>
      </w:r>
      <w:r w:rsidRPr="00380B40">
        <w:rPr>
          <w:lang w:val="en-GB"/>
        </w:rPr>
        <w:t>;</w:t>
      </w:r>
    </w:p>
    <w:p w14:paraId="50FBDDBC" w14:textId="77777777" w:rsidR="00993BFE" w:rsidRPr="00380B40" w:rsidRDefault="00993BFE" w:rsidP="00993BFE">
      <w:pPr>
        <w:rPr>
          <w:lang w:val="en-GB"/>
        </w:rPr>
      </w:pPr>
      <w:r w:rsidRPr="00380B40">
        <w:rPr>
          <w:i/>
          <w:iCs/>
          <w:lang w:val="en-GB"/>
        </w:rPr>
        <w:t>g)</w:t>
      </w:r>
      <w:r w:rsidRPr="00380B40">
        <w:rPr>
          <w:lang w:val="en-GB"/>
        </w:rPr>
        <w:tab/>
      </w:r>
      <w:r w:rsidRPr="00380B40">
        <w:rPr>
          <w:lang w:val="en-GB" w:eastAsia="zh-CN"/>
        </w:rPr>
        <w:t xml:space="preserve">that </w:t>
      </w:r>
      <w:r w:rsidRPr="00380B40">
        <w:rPr>
          <w:lang w:val="en-GB"/>
        </w:rPr>
        <w:t>education</w:t>
      </w:r>
      <w:r w:rsidRPr="00380B40">
        <w:rPr>
          <w:lang w:val="en-GB" w:eastAsia="zh-CN"/>
        </w:rPr>
        <w:t xml:space="preserve"> and dissemination of information on the consumption and use of telecommunication/ICT products and services must be encouraged</w:t>
      </w:r>
      <w:r w:rsidRPr="00380B40">
        <w:rPr>
          <w:lang w:val="en-GB"/>
        </w:rPr>
        <w:t>;</w:t>
      </w:r>
    </w:p>
    <w:p w14:paraId="6976623E" w14:textId="77777777" w:rsidR="00993BFE" w:rsidRPr="00380B40" w:rsidRDefault="00993BFE" w:rsidP="00993BFE">
      <w:pPr>
        <w:rPr>
          <w:lang w:val="en-GB"/>
        </w:rPr>
      </w:pPr>
      <w:r w:rsidRPr="00380B40">
        <w:rPr>
          <w:i/>
          <w:iCs/>
          <w:lang w:val="en-GB"/>
        </w:rPr>
        <w:t>h)</w:t>
      </w:r>
      <w:r w:rsidRPr="00380B40">
        <w:rPr>
          <w:lang w:val="en-GB"/>
        </w:rPr>
        <w:tab/>
        <w:t>that access to telecommunications/ICTs must be open and affordable;</w:t>
      </w:r>
    </w:p>
    <w:p w14:paraId="7DA3C268" w14:textId="77777777" w:rsidR="00993BFE" w:rsidRPr="00380B40" w:rsidRDefault="00993BFE" w:rsidP="00993BFE">
      <w:pPr>
        <w:rPr>
          <w:rFonts w:asciiTheme="majorBidi" w:hAnsiTheme="majorBidi" w:cstheme="majorBidi"/>
          <w:szCs w:val="24"/>
          <w:lang w:val="en-GB"/>
        </w:rPr>
      </w:pPr>
      <w:r w:rsidRPr="00380B40">
        <w:rPr>
          <w:i/>
          <w:iCs/>
          <w:lang w:val="en-GB"/>
        </w:rPr>
        <w:t>i)</w:t>
      </w:r>
      <w:r w:rsidRPr="00380B40">
        <w:rPr>
          <w:lang w:val="en-GB"/>
        </w:rPr>
        <w:tab/>
      </w:r>
      <w:r w:rsidRPr="00380B40">
        <w:rPr>
          <w:lang w:val="en-GB" w:eastAsia="zh-CN"/>
        </w:rPr>
        <w:t>that a number of countries are introducing conformity-assessment regimes and procedures based on applicable ITU</w:t>
      </w:r>
      <w:r w:rsidRPr="00380B40">
        <w:rPr>
          <w:lang w:val="en-GB" w:eastAsia="zh-CN"/>
        </w:rPr>
        <w:noBreakHyphen/>
        <w:t xml:space="preserve">T </w:t>
      </w:r>
      <w:r w:rsidRPr="00380B40">
        <w:rPr>
          <w:lang w:val="en-GB"/>
        </w:rPr>
        <w:t>Recommendations</w:t>
      </w:r>
      <w:r w:rsidRPr="00380B40">
        <w:rPr>
          <w:lang w:val="en-GB" w:eastAsia="zh-CN"/>
        </w:rPr>
        <w:t xml:space="preserve">, leading to better QoS/quality </w:t>
      </w:r>
      <w:r w:rsidRPr="00380B40">
        <w:rPr>
          <w:rFonts w:asciiTheme="majorBidi" w:hAnsiTheme="majorBidi" w:cstheme="majorBidi"/>
          <w:szCs w:val="24"/>
          <w:lang w:val="en-GB" w:eastAsia="zh-CN"/>
        </w:rPr>
        <w:t>of experience, and to higher probability of interoperability of equipment, services and systems</w:t>
      </w:r>
      <w:r w:rsidRPr="00380B40">
        <w:rPr>
          <w:rFonts w:asciiTheme="majorBidi" w:hAnsiTheme="majorBidi" w:cstheme="majorBidi"/>
          <w:szCs w:val="24"/>
          <w:lang w:val="en-GB"/>
        </w:rPr>
        <w:t>;</w:t>
      </w:r>
    </w:p>
    <w:p w14:paraId="0E66007A" w14:textId="77777777" w:rsidR="00993BFE" w:rsidRPr="00380B40" w:rsidRDefault="00993BFE" w:rsidP="00993BFE">
      <w:pPr>
        <w:rPr>
          <w:lang w:val="en-GB"/>
        </w:rPr>
      </w:pPr>
      <w:r w:rsidRPr="00380B40">
        <w:rPr>
          <w:i/>
          <w:iCs/>
          <w:lang w:val="en-GB"/>
        </w:rPr>
        <w:t>j)</w:t>
      </w:r>
      <w:r w:rsidRPr="00380B40">
        <w:rPr>
          <w:lang w:val="en-GB"/>
        </w:rPr>
        <w:tab/>
      </w:r>
      <w:r w:rsidRPr="00380B40">
        <w:rPr>
          <w:lang w:val="en-GB" w:eastAsia="zh-CN"/>
        </w:rPr>
        <w:t xml:space="preserve">that the migration of legacy networks to next-generation networks will affect point of interconnection, </w:t>
      </w:r>
      <w:r w:rsidRPr="00380B40">
        <w:rPr>
          <w:lang w:val="en-GB"/>
        </w:rPr>
        <w:t>QoS</w:t>
      </w:r>
      <w:r w:rsidRPr="00380B40">
        <w:rPr>
          <w:lang w:val="en-GB" w:eastAsia="zh-CN"/>
        </w:rPr>
        <w:t xml:space="preserve"> and other operational aspects, which will also have an effect on costs to the end user,</w:t>
      </w:r>
    </w:p>
    <w:p w14:paraId="7A2D02FC" w14:textId="77777777" w:rsidR="00993BFE" w:rsidRPr="00380B40" w:rsidRDefault="00993BFE" w:rsidP="00993BFE">
      <w:pPr>
        <w:pStyle w:val="Call"/>
        <w:rPr>
          <w:lang w:val="en-GB"/>
        </w:rPr>
      </w:pPr>
      <w:r w:rsidRPr="00380B40">
        <w:rPr>
          <w:lang w:val="en-GB"/>
        </w:rPr>
        <w:t>noting</w:t>
      </w:r>
    </w:p>
    <w:p w14:paraId="2BD8865E" w14:textId="77777777" w:rsidR="00993BFE" w:rsidRPr="00380B40" w:rsidRDefault="00993BFE" w:rsidP="00993BFE">
      <w:pPr>
        <w:rPr>
          <w:lang w:val="en-GB" w:eastAsia="zh-CN"/>
        </w:rPr>
      </w:pPr>
      <w:r w:rsidRPr="00380B40">
        <w:rPr>
          <w:i/>
          <w:iCs/>
          <w:lang w:val="en-GB"/>
        </w:rPr>
        <w:t>a)</w:t>
      </w:r>
      <w:r w:rsidRPr="00380B40">
        <w:rPr>
          <w:lang w:val="en-GB"/>
        </w:rPr>
        <w:tab/>
      </w:r>
      <w:r w:rsidRPr="00380B40">
        <w:rPr>
          <w:lang w:val="en-GB" w:eastAsia="zh-CN"/>
        </w:rPr>
        <w:t xml:space="preserve">the importance of keeping users and consumers informed about the basic characteristics, quality, </w:t>
      </w:r>
      <w:r w:rsidRPr="00380B40">
        <w:rPr>
          <w:lang w:val="en-GB"/>
        </w:rPr>
        <w:t>security</w:t>
      </w:r>
      <w:r w:rsidRPr="00380B40">
        <w:rPr>
          <w:lang w:val="en-GB" w:eastAsia="zh-CN"/>
        </w:rPr>
        <w:t xml:space="preserve"> and rates of the different services offered by operators, and of other protection mechanisms promoting consumer and user rights;</w:t>
      </w:r>
    </w:p>
    <w:p w14:paraId="2CA791B3" w14:textId="77777777" w:rsidR="00993BFE" w:rsidRPr="00380B40" w:rsidRDefault="00993BFE" w:rsidP="00993BFE">
      <w:pPr>
        <w:rPr>
          <w:lang w:val="en-GB"/>
        </w:rPr>
      </w:pPr>
      <w:r w:rsidRPr="00380B40">
        <w:rPr>
          <w:i/>
          <w:iCs/>
          <w:lang w:val="en-GB"/>
        </w:rPr>
        <w:t>b)</w:t>
      </w:r>
      <w:r w:rsidRPr="00380B40">
        <w:rPr>
          <w:lang w:val="en-GB"/>
        </w:rPr>
        <w:tab/>
        <w:t>that landlocked countries pay higher overall costs for access than neighbouring countries in coastal areas;</w:t>
      </w:r>
    </w:p>
    <w:p w14:paraId="338D59CB" w14:textId="77777777" w:rsidR="00993BFE" w:rsidRPr="00380B40" w:rsidRDefault="00993BFE" w:rsidP="00993BFE">
      <w:pPr>
        <w:rPr>
          <w:lang w:val="en-GB"/>
        </w:rPr>
      </w:pPr>
      <w:r w:rsidRPr="00380B40">
        <w:rPr>
          <w:i/>
          <w:iCs/>
          <w:lang w:val="en-GB"/>
        </w:rPr>
        <w:t>c)</w:t>
      </w:r>
      <w:r w:rsidRPr="00380B40">
        <w:rPr>
          <w:lang w:val="en-GB"/>
        </w:rPr>
        <w:tab/>
        <w:t>that the issue of accessibility of telecommunication/ICT services and the establishment of fair costs depend on different factors,</w:t>
      </w:r>
    </w:p>
    <w:p w14:paraId="50BA8B73" w14:textId="77777777" w:rsidR="00993BFE" w:rsidRPr="00380B40" w:rsidRDefault="00993BFE" w:rsidP="00993BFE">
      <w:pPr>
        <w:pStyle w:val="Call"/>
        <w:rPr>
          <w:lang w:val="en-GB"/>
        </w:rPr>
      </w:pPr>
      <w:r w:rsidRPr="00380B40">
        <w:rPr>
          <w:lang w:val="en-GB"/>
        </w:rPr>
        <w:t>resolves</w:t>
      </w:r>
    </w:p>
    <w:p w14:paraId="1F84984A" w14:textId="77777777" w:rsidR="00993BFE" w:rsidRPr="00380B40" w:rsidRDefault="00993BFE" w:rsidP="00993BFE">
      <w:pPr>
        <w:rPr>
          <w:lang w:val="en-GB"/>
        </w:rPr>
      </w:pPr>
      <w:r w:rsidRPr="00380B40">
        <w:rPr>
          <w:lang w:val="en-GB"/>
        </w:rPr>
        <w:t>1</w:t>
      </w:r>
      <w:r w:rsidRPr="00380B40">
        <w:rPr>
          <w:lang w:val="en-GB"/>
        </w:rPr>
        <w:tab/>
        <w:t>to continue developing relevant ITU</w:t>
      </w:r>
      <w:r w:rsidRPr="00380B40">
        <w:rPr>
          <w:lang w:val="en-GB"/>
        </w:rPr>
        <w:noBreakHyphen/>
        <w:t>T Recommendations in order to provide solutions ensuring and protecting the rights of users/consumers of telecommunication/ICT services, notably in the areas of quality, security and tariff mechanisms;</w:t>
      </w:r>
    </w:p>
    <w:p w14:paraId="3CD31CBC" w14:textId="77777777" w:rsidR="00132AD9" w:rsidRPr="00380B40" w:rsidRDefault="00132AD9" w:rsidP="00993BFE">
      <w:pPr>
        <w:rPr>
          <w:lang w:val="en-GB"/>
        </w:rPr>
      </w:pPr>
      <w:r w:rsidRPr="00380B40">
        <w:rPr>
          <w:lang w:val="en-GB"/>
        </w:rPr>
        <w:br w:type="page"/>
      </w:r>
    </w:p>
    <w:p w14:paraId="0A022793" w14:textId="77777777" w:rsidR="00993BFE" w:rsidRPr="00380B40" w:rsidRDefault="00993BFE" w:rsidP="00993BFE">
      <w:pPr>
        <w:rPr>
          <w:lang w:val="en-GB"/>
        </w:rPr>
      </w:pPr>
      <w:r w:rsidRPr="00380B40">
        <w:rPr>
          <w:lang w:val="en-GB"/>
        </w:rPr>
        <w:t>2</w:t>
      </w:r>
      <w:r w:rsidRPr="00380B40">
        <w:rPr>
          <w:lang w:val="en-GB"/>
        </w:rPr>
        <w:tab/>
        <w:t>that ITU-T, through its study groups, continue close collaboration with the ITU Telecommunication Development Sector (ITU-D) and its study groups on issues associated with protection of telecommunication/ICT service users/consumers, as appropriate;</w:t>
      </w:r>
    </w:p>
    <w:p w14:paraId="0FB4ECA0" w14:textId="77777777" w:rsidR="00993BFE" w:rsidRPr="00380B40" w:rsidRDefault="00993BFE" w:rsidP="00993BFE">
      <w:pPr>
        <w:rPr>
          <w:lang w:val="en-GB"/>
        </w:rPr>
      </w:pPr>
      <w:r w:rsidRPr="00380B40">
        <w:rPr>
          <w:lang w:val="en-GB"/>
        </w:rPr>
        <w:t>3</w:t>
      </w:r>
      <w:r w:rsidRPr="00380B40">
        <w:rPr>
          <w:lang w:val="en-GB"/>
        </w:rPr>
        <w:tab/>
        <w:t xml:space="preserve">that the </w:t>
      </w:r>
      <w:r w:rsidRPr="00380B40">
        <w:rPr>
          <w:lang w:val="en-GB" w:eastAsia="zh-CN"/>
        </w:rPr>
        <w:t xml:space="preserve">study groups concerned should expedite work on Recommendations that would provide additional </w:t>
      </w:r>
      <w:r w:rsidRPr="00380B40">
        <w:rPr>
          <w:lang w:val="en-GB"/>
        </w:rPr>
        <w:t>detail</w:t>
      </w:r>
      <w:r w:rsidRPr="00380B40">
        <w:rPr>
          <w:lang w:val="en-GB" w:eastAsia="zh-CN"/>
        </w:rPr>
        <w:t xml:space="preserve"> and guidance for the implementation of this resolution</w:t>
      </w:r>
      <w:r w:rsidRPr="00380B40">
        <w:rPr>
          <w:lang w:val="en-GB"/>
        </w:rPr>
        <w:t>;</w:t>
      </w:r>
    </w:p>
    <w:p w14:paraId="2AE66EC6" w14:textId="77777777" w:rsidR="00993BFE" w:rsidRPr="00380B40" w:rsidRDefault="00993BFE" w:rsidP="00993BFE">
      <w:pPr>
        <w:rPr>
          <w:lang w:val="en-GB"/>
        </w:rPr>
      </w:pPr>
      <w:r w:rsidRPr="00380B40">
        <w:rPr>
          <w:lang w:val="en-GB"/>
        </w:rPr>
        <w:t>4</w:t>
      </w:r>
      <w:r w:rsidRPr="00380B40">
        <w:rPr>
          <w:lang w:val="en-GB"/>
        </w:rPr>
        <w:tab/>
        <w:t>that ITU</w:t>
      </w:r>
      <w:r w:rsidRPr="00380B40">
        <w:rPr>
          <w:lang w:val="en-GB"/>
        </w:rPr>
        <w:noBreakHyphen/>
        <w:t>T Study Group 3, where appropriate with ITU</w:t>
      </w:r>
      <w:r w:rsidRPr="00380B40">
        <w:rPr>
          <w:lang w:val="en-GB"/>
        </w:rPr>
        <w:noBreakHyphen/>
        <w:t>T Study Groups 2, 11, 12, 17 and 20, within their mandates, should carry out studies, including on standards for protection and user-centric considerations regarding users/consumers of telecommunication/ICT services;</w:t>
      </w:r>
    </w:p>
    <w:p w14:paraId="653461B1" w14:textId="77777777" w:rsidR="00993BFE" w:rsidRPr="00380B40" w:rsidRDefault="00993BFE" w:rsidP="00993BFE">
      <w:pPr>
        <w:rPr>
          <w:lang w:val="en-GB"/>
        </w:rPr>
      </w:pPr>
      <w:r w:rsidRPr="00380B40">
        <w:rPr>
          <w:lang w:val="en-GB"/>
        </w:rPr>
        <w:t>5</w:t>
      </w:r>
      <w:r w:rsidRPr="00380B40">
        <w:rPr>
          <w:lang w:val="en-GB"/>
        </w:rPr>
        <w:tab/>
        <w:t>that Study Group 3 should liaise with ITU-D Study Group 1 on the issues associated with best practices in the field of protection of users/consumers of telecommunication/ICT services,</w:t>
      </w:r>
    </w:p>
    <w:p w14:paraId="2594B33F" w14:textId="77777777" w:rsidR="00993BFE" w:rsidRPr="00380B40" w:rsidRDefault="00993BFE" w:rsidP="00993BFE">
      <w:pPr>
        <w:pStyle w:val="Call"/>
        <w:rPr>
          <w:lang w:val="en-GB"/>
        </w:rPr>
      </w:pPr>
      <w:r w:rsidRPr="00380B40">
        <w:rPr>
          <w:lang w:val="en-GB"/>
        </w:rPr>
        <w:t>invites the Director of the Telecommunication Standardization Bureau, in collaboration with the Director of the Telecommunication Development Bureau</w:t>
      </w:r>
    </w:p>
    <w:p w14:paraId="54AD3999" w14:textId="77777777" w:rsidR="00993BFE" w:rsidRPr="00380B40" w:rsidRDefault="00993BFE" w:rsidP="00993BFE">
      <w:pPr>
        <w:rPr>
          <w:lang w:val="en-GB"/>
        </w:rPr>
      </w:pPr>
      <w:r w:rsidRPr="00380B40">
        <w:rPr>
          <w:lang w:val="en-GB"/>
        </w:rPr>
        <w:t>1</w:t>
      </w:r>
      <w:r w:rsidRPr="00380B40">
        <w:rPr>
          <w:lang w:val="en-GB"/>
        </w:rPr>
        <w:tab/>
        <w:t>to make efforts to implement Resolution 196 (Rev. Dubai, 2018);</w:t>
      </w:r>
    </w:p>
    <w:p w14:paraId="148787E3" w14:textId="77777777" w:rsidR="00993BFE" w:rsidRPr="00380B40" w:rsidRDefault="00993BFE" w:rsidP="00993BFE">
      <w:pPr>
        <w:rPr>
          <w:lang w:val="en-GB"/>
        </w:rPr>
      </w:pPr>
      <w:r w:rsidRPr="00380B40">
        <w:rPr>
          <w:lang w:val="en-GB"/>
        </w:rPr>
        <w:t>2</w:t>
      </w:r>
      <w:r w:rsidRPr="00380B40">
        <w:rPr>
          <w:lang w:val="en-GB"/>
        </w:rPr>
        <w:tab/>
        <w:t>to encourage active participation of developing countries</w:t>
      </w:r>
      <w:r w:rsidR="00FD162E" w:rsidRPr="00380B40">
        <w:rPr>
          <w:rStyle w:val="FootnoteReference"/>
          <w:lang w:val="en-GB"/>
        </w:rPr>
        <w:footnoteReference w:id="48"/>
      </w:r>
      <w:r w:rsidRPr="00380B40">
        <w:rPr>
          <w:lang w:val="en-GB"/>
        </w:rPr>
        <w:t xml:space="preserve"> in the relevant ITU-T study groups and strengthen relations with other standards-development organizations involved in resolving issues associated with protection of telecommunication/ICT service users/consumers;</w:t>
      </w:r>
    </w:p>
    <w:p w14:paraId="2E74D91F" w14:textId="77777777" w:rsidR="00993BFE" w:rsidRPr="00380B40" w:rsidRDefault="00993BFE" w:rsidP="00993BFE">
      <w:pPr>
        <w:rPr>
          <w:lang w:val="en-GB"/>
        </w:rPr>
      </w:pPr>
      <w:r w:rsidRPr="00380B40">
        <w:rPr>
          <w:lang w:val="en-GB"/>
        </w:rPr>
        <w:t>3</w:t>
      </w:r>
      <w:r w:rsidRPr="00380B40">
        <w:rPr>
          <w:lang w:val="en-GB"/>
        </w:rPr>
        <w:tab/>
        <w:t>to contribute to the relevant initiatives on the protection of users/consumers, provided that this does not overlap with or duplicate activities of the other Sectors,</w:t>
      </w:r>
    </w:p>
    <w:p w14:paraId="53BA42F1" w14:textId="77777777" w:rsidR="00993BFE" w:rsidRPr="00380B40" w:rsidRDefault="00993BFE" w:rsidP="00993BFE">
      <w:pPr>
        <w:pStyle w:val="Call"/>
        <w:rPr>
          <w:lang w:val="en-GB"/>
        </w:rPr>
      </w:pPr>
      <w:r w:rsidRPr="00380B40">
        <w:rPr>
          <w:lang w:val="en-GB"/>
        </w:rPr>
        <w:t>invites Member States</w:t>
      </w:r>
    </w:p>
    <w:p w14:paraId="2BA6F8BC" w14:textId="77777777" w:rsidR="00993BFE" w:rsidRPr="00380B40" w:rsidRDefault="00993BFE" w:rsidP="00993BFE">
      <w:pPr>
        <w:rPr>
          <w:lang w:val="en-GB"/>
        </w:rPr>
      </w:pPr>
      <w:r w:rsidRPr="00380B40">
        <w:rPr>
          <w:lang w:val="en-GB"/>
        </w:rPr>
        <w:t>to consider the creation of an enabling environment in which telecommunication operators can provide telecommunication/ICT services for their users, with the appropriate level of quality, confidence and security, and which stimulates competitive, fair and affordable prices, in order in general to protect users/consumers of telecommunication/ICT services,</w:t>
      </w:r>
    </w:p>
    <w:p w14:paraId="3FA10E54" w14:textId="77777777" w:rsidR="00993BFE" w:rsidRPr="00380B40" w:rsidRDefault="00993BFE" w:rsidP="00993BFE">
      <w:pPr>
        <w:pStyle w:val="Call"/>
        <w:rPr>
          <w:lang w:val="en-GB"/>
        </w:rPr>
      </w:pPr>
      <w:r w:rsidRPr="00380B40">
        <w:rPr>
          <w:lang w:val="en-GB"/>
        </w:rPr>
        <w:t>invites Member States, Sector Members, Associates and Academia</w:t>
      </w:r>
    </w:p>
    <w:p w14:paraId="20AF71AD" w14:textId="77777777" w:rsidR="00993BFE" w:rsidRPr="00380B40" w:rsidRDefault="00993BFE" w:rsidP="00993BFE">
      <w:pPr>
        <w:rPr>
          <w:lang w:val="en-GB"/>
        </w:rPr>
      </w:pPr>
      <w:r w:rsidRPr="00380B40">
        <w:rPr>
          <w:lang w:val="en-GB"/>
        </w:rPr>
        <w:t>1</w:t>
      </w:r>
      <w:r w:rsidRPr="00380B40">
        <w:rPr>
          <w:lang w:val="en-GB"/>
        </w:rPr>
        <w:tab/>
        <w:t>to contribute to this work by submitting contributions to the relevant ITU</w:t>
      </w:r>
      <w:r w:rsidRPr="00380B40">
        <w:rPr>
          <w:lang w:val="en-GB"/>
        </w:rPr>
        <w:noBreakHyphen/>
        <w:t>T study groups on Questions related to the protection of users of telecommunication/ICT services, and to collaborate on implementing this resolution;</w:t>
      </w:r>
    </w:p>
    <w:p w14:paraId="05A8C66E" w14:textId="77777777" w:rsidR="00993BFE" w:rsidRPr="00380B40" w:rsidRDefault="00993BFE" w:rsidP="00993BFE">
      <w:pPr>
        <w:rPr>
          <w:lang w:val="en-GB"/>
        </w:rPr>
      </w:pPr>
      <w:r w:rsidRPr="00380B40">
        <w:rPr>
          <w:lang w:val="en-GB"/>
        </w:rPr>
        <w:t>2</w:t>
      </w:r>
      <w:r w:rsidRPr="00380B40">
        <w:rPr>
          <w:lang w:val="en-GB"/>
        </w:rPr>
        <w:tab/>
        <w:t>to collaborate and promote cooperation with relevant stakeholders, at regional and international levels, while promoting user-centric considerations on matters associated with protection of users/consumers of telecommunication/ICT services.</w:t>
      </w:r>
    </w:p>
    <w:p w14:paraId="36D10F80"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D4C7B6B"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A276A26" w14:textId="77777777" w:rsidR="00B97E2C" w:rsidRPr="00380B40" w:rsidRDefault="00B97E2C" w:rsidP="00B97E2C">
      <w:pPr>
        <w:rPr>
          <w:lang w:val="en-GB"/>
        </w:rPr>
      </w:pPr>
    </w:p>
    <w:p w14:paraId="65200912" w14:textId="77777777" w:rsidR="00B97E2C" w:rsidRPr="00380B40" w:rsidRDefault="00B97E2C" w:rsidP="00B97E2C">
      <w:pPr>
        <w:rPr>
          <w:lang w:val="en-GB"/>
        </w:rPr>
        <w:sectPr w:rsidR="00B97E2C" w:rsidRPr="00380B40" w:rsidSect="004B363C">
          <w:headerReference w:type="even" r:id="rId262"/>
          <w:headerReference w:type="default" r:id="rId263"/>
          <w:footerReference w:type="even" r:id="rId264"/>
          <w:footerReference w:type="default" r:id="rId265"/>
          <w:headerReference w:type="first" r:id="rId266"/>
          <w:footerReference w:type="first" r:id="rId267"/>
          <w:footnotePr>
            <w:numRestart w:val="eachSect"/>
          </w:footnotePr>
          <w:pgSz w:w="11907" w:h="16834" w:code="9"/>
          <w:pgMar w:top="1134" w:right="1134" w:bottom="1134" w:left="1134" w:header="567" w:footer="567" w:gutter="0"/>
          <w:paperSrc w:first="15" w:other="15"/>
          <w:cols w:space="720"/>
          <w:vAlign w:val="both"/>
          <w:docGrid w:linePitch="299"/>
        </w:sectPr>
      </w:pPr>
    </w:p>
    <w:p w14:paraId="1908EC81" w14:textId="77777777" w:rsidR="00C53AF4" w:rsidRPr="00380B40" w:rsidRDefault="008A1180" w:rsidP="00C53AF4">
      <w:pPr>
        <w:pStyle w:val="ResNo"/>
        <w:rPr>
          <w:lang w:val="en-GB"/>
        </w:rPr>
      </w:pPr>
      <w:bookmarkStart w:id="391" w:name="_Toc104459777"/>
      <w:bookmarkStart w:id="392" w:name="_Toc104476585"/>
      <w:bookmarkStart w:id="393" w:name="_Toc111636802"/>
      <w:bookmarkStart w:id="394" w:name="_Toc111638478"/>
      <w:r w:rsidRPr="00380B40">
        <w:rPr>
          <w:caps w:val="0"/>
          <w:lang w:val="en-GB"/>
        </w:rPr>
        <w:t xml:space="preserve">RESOLUTION </w:t>
      </w:r>
      <w:r w:rsidR="00C53AF4" w:rsidRPr="00380B40">
        <w:rPr>
          <w:rStyle w:val="href"/>
          <w:lang w:val="en-GB"/>
        </w:rPr>
        <w:t xml:space="preserve">85 </w:t>
      </w:r>
      <w:r w:rsidR="00C53AF4" w:rsidRPr="00380B40">
        <w:rPr>
          <w:lang w:val="en-GB"/>
        </w:rPr>
        <w:t>(</w:t>
      </w:r>
      <w:r w:rsidR="00C53AF4" w:rsidRPr="00380B40">
        <w:rPr>
          <w:caps w:val="0"/>
          <w:lang w:val="en-GB"/>
        </w:rPr>
        <w:t>Hammamet</w:t>
      </w:r>
      <w:r w:rsidR="00C53AF4" w:rsidRPr="00380B40">
        <w:rPr>
          <w:lang w:val="en-GB"/>
        </w:rPr>
        <w:t>, 2016)</w:t>
      </w:r>
      <w:bookmarkEnd w:id="391"/>
      <w:bookmarkEnd w:id="392"/>
      <w:bookmarkEnd w:id="393"/>
      <w:bookmarkEnd w:id="394"/>
    </w:p>
    <w:p w14:paraId="0665D919" w14:textId="77777777" w:rsidR="00C53AF4" w:rsidRPr="00380B40" w:rsidRDefault="00C53AF4" w:rsidP="00C53AF4">
      <w:pPr>
        <w:pStyle w:val="Restitle"/>
        <w:rPr>
          <w:lang w:val="en-GB"/>
        </w:rPr>
      </w:pPr>
      <w:bookmarkStart w:id="395" w:name="_Toc104459778"/>
      <w:bookmarkStart w:id="396" w:name="_Toc104476586"/>
      <w:bookmarkStart w:id="397" w:name="_Toc111638479"/>
      <w:r w:rsidRPr="00380B40">
        <w:rPr>
          <w:lang w:val="en-GB"/>
        </w:rPr>
        <w:t xml:space="preserve">Strengthening and diversifying the resources of the </w:t>
      </w:r>
      <w:r w:rsidRPr="00380B40">
        <w:rPr>
          <w:lang w:val="en-GB"/>
        </w:rPr>
        <w:br/>
        <w:t>ITU Telecommunication Standardization Sector</w:t>
      </w:r>
      <w:bookmarkEnd w:id="395"/>
      <w:bookmarkEnd w:id="396"/>
      <w:bookmarkEnd w:id="397"/>
    </w:p>
    <w:p w14:paraId="0C464B75" w14:textId="77777777" w:rsidR="00C53AF4" w:rsidRPr="00380B40" w:rsidRDefault="00C53AF4" w:rsidP="00C53AF4">
      <w:pPr>
        <w:pStyle w:val="Resref"/>
        <w:rPr>
          <w:lang w:val="en-GB"/>
        </w:rPr>
      </w:pPr>
      <w:r w:rsidRPr="00380B40">
        <w:rPr>
          <w:lang w:val="en-GB"/>
        </w:rPr>
        <w:t>(Hammamet, 2016)</w:t>
      </w:r>
    </w:p>
    <w:p w14:paraId="7FC983E4" w14:textId="77777777" w:rsidR="00C53AF4" w:rsidRPr="00380B40" w:rsidRDefault="00C53AF4" w:rsidP="00C53AF4">
      <w:pPr>
        <w:pStyle w:val="Normalaftertitle0"/>
      </w:pPr>
      <w:r w:rsidRPr="00380B40">
        <w:t>The World Telecommunication Standardization Assembly (Hammamet, 2016),</w:t>
      </w:r>
    </w:p>
    <w:p w14:paraId="70D5D177" w14:textId="77777777" w:rsidR="00C53AF4" w:rsidRPr="00380B40" w:rsidRDefault="00C53AF4" w:rsidP="00C53AF4">
      <w:pPr>
        <w:pStyle w:val="Call"/>
        <w:rPr>
          <w:lang w:val="en-GB"/>
        </w:rPr>
      </w:pPr>
      <w:r w:rsidRPr="00380B40">
        <w:rPr>
          <w:lang w:val="en-GB"/>
        </w:rPr>
        <w:t>considering</w:t>
      </w:r>
    </w:p>
    <w:p w14:paraId="55D1A403" w14:textId="77777777" w:rsidR="00C53AF4" w:rsidRPr="00380B40" w:rsidRDefault="00C53AF4" w:rsidP="00C53AF4">
      <w:pPr>
        <w:rPr>
          <w:lang w:val="en-GB"/>
        </w:rPr>
      </w:pPr>
      <w:r w:rsidRPr="00380B40">
        <w:rPr>
          <w:i/>
          <w:iCs/>
          <w:lang w:val="en-GB"/>
        </w:rPr>
        <w:t>a)</w:t>
      </w:r>
      <w:r w:rsidRPr="00380B40">
        <w:rPr>
          <w:lang w:val="en-GB"/>
        </w:rPr>
        <w:tab/>
        <w:t>Article 28 of the ITU Constitution and Article 33 of the ITU Convention, pertaining to the finances of the Union;</w:t>
      </w:r>
    </w:p>
    <w:p w14:paraId="668DE293" w14:textId="77777777" w:rsidR="00C53AF4" w:rsidRPr="00380B40" w:rsidRDefault="00C53AF4" w:rsidP="00C53AF4">
      <w:pPr>
        <w:rPr>
          <w:lang w:val="en-GB"/>
        </w:rPr>
      </w:pPr>
      <w:r w:rsidRPr="00380B40">
        <w:rPr>
          <w:i/>
          <w:iCs/>
          <w:lang w:val="en-GB"/>
        </w:rPr>
        <w:t>b)</w:t>
      </w:r>
      <w:r w:rsidRPr="00380B40">
        <w:rPr>
          <w:lang w:val="en-GB"/>
        </w:rPr>
        <w:tab/>
        <w:t>Resolution 158 (Rev. Busan, 2014) of the Plenipotentiary Conference, instructing the Secretary-General to study possible new measures to generate additional revenue for the Union;</w:t>
      </w:r>
    </w:p>
    <w:p w14:paraId="6C3A1949" w14:textId="77777777" w:rsidR="00C53AF4" w:rsidRPr="00380B40" w:rsidRDefault="00C53AF4" w:rsidP="00C53AF4">
      <w:pPr>
        <w:rPr>
          <w:lang w:val="en-GB"/>
        </w:rPr>
      </w:pPr>
      <w:r w:rsidRPr="00380B40">
        <w:rPr>
          <w:i/>
          <w:iCs/>
          <w:lang w:val="en-GB"/>
        </w:rPr>
        <w:t>c)</w:t>
      </w:r>
      <w:r w:rsidRPr="00380B40">
        <w:rPr>
          <w:lang w:val="en-GB"/>
        </w:rPr>
        <w:tab/>
        <w:t>Resolution 34 (Rev. Dubai, 2012) of the World Telecommunication Standardization Assembly, on voluntary contributions;</w:t>
      </w:r>
    </w:p>
    <w:p w14:paraId="0BE8F757" w14:textId="77777777" w:rsidR="00C53AF4" w:rsidRPr="00380B40" w:rsidRDefault="00C53AF4" w:rsidP="00C53AF4">
      <w:pPr>
        <w:rPr>
          <w:lang w:val="en-GB"/>
        </w:rPr>
      </w:pPr>
      <w:r w:rsidRPr="00380B40">
        <w:rPr>
          <w:i/>
          <w:iCs/>
          <w:lang w:val="en-GB"/>
        </w:rPr>
        <w:t>d)</w:t>
      </w:r>
      <w:r w:rsidRPr="00380B40">
        <w:rPr>
          <w:lang w:val="en-GB"/>
        </w:rPr>
        <w:tab/>
        <w:t>Resolution 44 (Rev. Hammamet, 2016) of this assembly, on bridging the standardization gap between developed and developing countries</w:t>
      </w:r>
      <w:r w:rsidR="00FD162E" w:rsidRPr="00380B40">
        <w:rPr>
          <w:rStyle w:val="FootnoteReference"/>
          <w:lang w:val="en-GB"/>
        </w:rPr>
        <w:footnoteReference w:id="49"/>
      </w:r>
      <w:r w:rsidRPr="00380B40">
        <w:rPr>
          <w:lang w:val="en-GB"/>
        </w:rPr>
        <w:t>, which describes the sources from which funds will be raised for the purpose of bridging the standardization gap,</w:t>
      </w:r>
    </w:p>
    <w:p w14:paraId="036574CA" w14:textId="77777777" w:rsidR="00C53AF4" w:rsidRPr="00380B40" w:rsidRDefault="00C53AF4" w:rsidP="00C53AF4">
      <w:pPr>
        <w:pStyle w:val="Call"/>
        <w:rPr>
          <w:lang w:val="en-GB"/>
        </w:rPr>
      </w:pPr>
      <w:r w:rsidRPr="00380B40">
        <w:rPr>
          <w:lang w:val="en-GB"/>
        </w:rPr>
        <w:t>noting</w:t>
      </w:r>
    </w:p>
    <w:p w14:paraId="663E14FD" w14:textId="77777777" w:rsidR="00C53AF4" w:rsidRPr="00380B40" w:rsidRDefault="00C53AF4" w:rsidP="00C53AF4">
      <w:pPr>
        <w:rPr>
          <w:lang w:val="en-GB"/>
        </w:rPr>
      </w:pPr>
      <w:r w:rsidRPr="00380B40">
        <w:rPr>
          <w:i/>
          <w:iCs/>
          <w:lang w:val="en-GB"/>
        </w:rPr>
        <w:t>a)</w:t>
      </w:r>
      <w:r w:rsidRPr="00380B40">
        <w:rPr>
          <w:lang w:val="en-GB"/>
        </w:rPr>
        <w:tab/>
        <w:t>the deliberations of the 2016 session of the ITU Council, on international numbering resources (INRs) and the identification of other possible sources of revenue for the ITU Telecommunication Standardization Sector (ITU</w:t>
      </w:r>
      <w:r w:rsidRPr="00380B40">
        <w:rPr>
          <w:lang w:val="en-GB"/>
        </w:rPr>
        <w:noBreakHyphen/>
        <w:t>T), in the course of which the secretariat indicated that it would be difficult to present a balanced budget for 2018-2019 unless new sources of revenue are identified;</w:t>
      </w:r>
    </w:p>
    <w:p w14:paraId="76B8232B" w14:textId="77777777" w:rsidR="00C53AF4" w:rsidRPr="00380B40" w:rsidRDefault="00C53AF4" w:rsidP="00C53AF4">
      <w:pPr>
        <w:rPr>
          <w:lang w:val="en-GB"/>
        </w:rPr>
      </w:pPr>
      <w:r w:rsidRPr="00380B40">
        <w:rPr>
          <w:i/>
          <w:iCs/>
          <w:lang w:val="en-GB"/>
        </w:rPr>
        <w:t>b)</w:t>
      </w:r>
      <w:r w:rsidRPr="00380B40">
        <w:rPr>
          <w:lang w:val="en-GB"/>
        </w:rPr>
        <w:tab/>
        <w:t>the recommendation of the 2016 session of the Council that a study be presented to its 2017 session, identifying all possible sources of revenue for the Union without restriction to INR,</w:t>
      </w:r>
    </w:p>
    <w:p w14:paraId="112A3317" w14:textId="77777777" w:rsidR="00C53AF4" w:rsidRPr="00380B40" w:rsidRDefault="00C53AF4" w:rsidP="00C53AF4">
      <w:pPr>
        <w:pStyle w:val="Call"/>
        <w:rPr>
          <w:lang w:val="en-GB"/>
        </w:rPr>
      </w:pPr>
      <w:r w:rsidRPr="00380B40">
        <w:rPr>
          <w:lang w:val="en-GB"/>
        </w:rPr>
        <w:t>observing</w:t>
      </w:r>
    </w:p>
    <w:p w14:paraId="1AF6C69C" w14:textId="77777777" w:rsidR="00C53AF4" w:rsidRPr="00380B40" w:rsidRDefault="00C53AF4" w:rsidP="00C53AF4">
      <w:pPr>
        <w:rPr>
          <w:lang w:val="en-GB"/>
        </w:rPr>
      </w:pPr>
      <w:r w:rsidRPr="00380B40">
        <w:rPr>
          <w:i/>
          <w:iCs/>
          <w:lang w:val="en-GB"/>
        </w:rPr>
        <w:t>a)</w:t>
      </w:r>
      <w:r w:rsidRPr="00380B40">
        <w:rPr>
          <w:lang w:val="en-GB"/>
        </w:rPr>
        <w:tab/>
        <w:t>that, while the work and activities of ITU</w:t>
      </w:r>
      <w:r w:rsidRPr="00380B40">
        <w:rPr>
          <w:lang w:val="en-GB"/>
        </w:rPr>
        <w:noBreakHyphen/>
        <w:t>T are continually increasing, the resources allocated to the Sector may be insufficient to cover fully all the work, activities and studies it carries out;</w:t>
      </w:r>
    </w:p>
    <w:p w14:paraId="082E0C91" w14:textId="77777777" w:rsidR="00C53AF4" w:rsidRPr="00380B40" w:rsidRDefault="00C53AF4" w:rsidP="00C53AF4">
      <w:pPr>
        <w:rPr>
          <w:i/>
          <w:iCs/>
          <w:lang w:val="en-GB"/>
        </w:rPr>
      </w:pPr>
      <w:r w:rsidRPr="00380B40">
        <w:rPr>
          <w:i/>
          <w:iCs/>
          <w:lang w:val="en-GB"/>
        </w:rPr>
        <w:t>b)</w:t>
      </w:r>
      <w:r w:rsidRPr="00380B40">
        <w:rPr>
          <w:lang w:val="en-GB"/>
        </w:rPr>
        <w:tab/>
        <w:t>that Union revenues, which rely upon the contributions of Member States and Sector Members, have been in continuous decline;</w:t>
      </w:r>
    </w:p>
    <w:p w14:paraId="69A4CB7F" w14:textId="77777777" w:rsidR="00C53AF4" w:rsidRPr="00380B40" w:rsidRDefault="00C53AF4" w:rsidP="00C53AF4">
      <w:pPr>
        <w:rPr>
          <w:lang w:val="en-GB"/>
        </w:rPr>
      </w:pPr>
      <w:r w:rsidRPr="00380B40">
        <w:rPr>
          <w:i/>
          <w:iCs/>
          <w:lang w:val="en-GB"/>
        </w:rPr>
        <w:t>c)</w:t>
      </w:r>
      <w:r w:rsidRPr="00380B40">
        <w:rPr>
          <w:lang w:val="en-GB"/>
        </w:rPr>
        <w:tab/>
        <w:t>that ITU</w:t>
      </w:r>
      <w:r w:rsidRPr="00380B40">
        <w:rPr>
          <w:lang w:val="en-GB"/>
        </w:rPr>
        <w:noBreakHyphen/>
        <w:t>T revenues must be increased by increasing and diversifying revenue sources,</w:t>
      </w:r>
    </w:p>
    <w:p w14:paraId="721FC982" w14:textId="77777777" w:rsidR="00C53AF4" w:rsidRPr="00380B40" w:rsidRDefault="00C53AF4" w:rsidP="00C53AF4">
      <w:pPr>
        <w:pStyle w:val="Call"/>
        <w:rPr>
          <w:lang w:val="en-GB"/>
        </w:rPr>
      </w:pPr>
      <w:r w:rsidRPr="00380B40">
        <w:rPr>
          <w:lang w:val="en-GB"/>
        </w:rPr>
        <w:t>resolves to instruct the Director of the Telecommunication Standardization Bureau</w:t>
      </w:r>
    </w:p>
    <w:p w14:paraId="48828287" w14:textId="77777777" w:rsidR="00B97E2C" w:rsidRPr="00380B40" w:rsidRDefault="00C53AF4" w:rsidP="004755A5">
      <w:pPr>
        <w:rPr>
          <w:lang w:val="en-GB"/>
        </w:rPr>
      </w:pPr>
      <w:r w:rsidRPr="00380B40">
        <w:rPr>
          <w:lang w:val="en-GB"/>
        </w:rPr>
        <w:t xml:space="preserve">to participate in the study referred to in </w:t>
      </w:r>
      <w:r w:rsidRPr="00380B40">
        <w:rPr>
          <w:i/>
          <w:iCs/>
          <w:lang w:val="en-GB"/>
        </w:rPr>
        <w:t>noting</w:t>
      </w:r>
      <w:r w:rsidRPr="00380B40">
        <w:rPr>
          <w:lang w:val="en-GB"/>
        </w:rPr>
        <w:t> </w:t>
      </w:r>
      <w:r w:rsidRPr="00380B40">
        <w:rPr>
          <w:i/>
          <w:iCs/>
          <w:lang w:val="en-GB"/>
        </w:rPr>
        <w:t xml:space="preserve">b) </w:t>
      </w:r>
      <w:r w:rsidRPr="00380B40">
        <w:rPr>
          <w:lang w:val="en-GB"/>
        </w:rPr>
        <w:t>above, for possible new measures to generate additional revenue for ITU</w:t>
      </w:r>
      <w:r w:rsidRPr="00380B40">
        <w:rPr>
          <w:lang w:val="en-GB"/>
        </w:rPr>
        <w:noBreakHyphen/>
        <w:t>T, including revenues that may be obtained from INR and conformance and interoperability testing.</w:t>
      </w:r>
    </w:p>
    <w:p w14:paraId="51D64A16" w14:textId="77777777" w:rsidR="00B97E2C" w:rsidRPr="00380B40" w:rsidRDefault="00B97E2C" w:rsidP="00B97E2C">
      <w:pPr>
        <w:rPr>
          <w:lang w:val="en-GB"/>
        </w:rPr>
      </w:pPr>
    </w:p>
    <w:p w14:paraId="24E50E0D" w14:textId="77777777" w:rsidR="00B97E2C" w:rsidRPr="00380B40" w:rsidRDefault="00B97E2C" w:rsidP="00B97E2C">
      <w:pPr>
        <w:rPr>
          <w:lang w:val="en-GB"/>
        </w:rPr>
        <w:sectPr w:rsidR="00B97E2C" w:rsidRPr="00380B40" w:rsidSect="004B363C">
          <w:footerReference w:type="even" r:id="rId268"/>
          <w:footerReference w:type="default" r:id="rId269"/>
          <w:headerReference w:type="first" r:id="rId270"/>
          <w:footerReference w:type="first" r:id="rId271"/>
          <w:footnotePr>
            <w:numRestart w:val="eachSect"/>
          </w:footnotePr>
          <w:pgSz w:w="11907" w:h="16834" w:code="9"/>
          <w:pgMar w:top="1134" w:right="1134" w:bottom="1134" w:left="1134" w:header="567" w:footer="567" w:gutter="0"/>
          <w:paperSrc w:first="15" w:other="15"/>
          <w:cols w:space="720"/>
          <w:vAlign w:val="both"/>
          <w:docGrid w:linePitch="299"/>
        </w:sectPr>
      </w:pPr>
    </w:p>
    <w:p w14:paraId="0258DD52" w14:textId="77777777" w:rsidR="00C53AF4" w:rsidRPr="00380B40" w:rsidRDefault="008A1180" w:rsidP="00C53AF4">
      <w:pPr>
        <w:pStyle w:val="ResNo"/>
        <w:rPr>
          <w:lang w:val="en-GB"/>
        </w:rPr>
      </w:pPr>
      <w:bookmarkStart w:id="398" w:name="_Toc104459779"/>
      <w:bookmarkStart w:id="399" w:name="_Toc104476587"/>
      <w:bookmarkStart w:id="400" w:name="_Toc111636803"/>
      <w:bookmarkStart w:id="401" w:name="_Toc111638480"/>
      <w:r w:rsidRPr="00380B40">
        <w:rPr>
          <w:caps w:val="0"/>
          <w:lang w:val="en-GB"/>
        </w:rPr>
        <w:t xml:space="preserve">RESOLUTION </w:t>
      </w:r>
      <w:r w:rsidR="00C53AF4" w:rsidRPr="00380B40">
        <w:rPr>
          <w:rStyle w:val="href"/>
          <w:lang w:val="en-GB"/>
        </w:rPr>
        <w:t xml:space="preserve">86 </w:t>
      </w:r>
      <w:r w:rsidR="00C53AF4" w:rsidRPr="00380B40">
        <w:rPr>
          <w:lang w:val="en-GB"/>
        </w:rPr>
        <w:t>(</w:t>
      </w:r>
      <w:r w:rsidR="00C53AF4" w:rsidRPr="00380B40">
        <w:rPr>
          <w:caps w:val="0"/>
          <w:lang w:val="en-GB"/>
        </w:rPr>
        <w:t>Hammamet</w:t>
      </w:r>
      <w:r w:rsidR="00C53AF4" w:rsidRPr="00380B40">
        <w:rPr>
          <w:lang w:val="en-GB"/>
        </w:rPr>
        <w:t>, 2016)</w:t>
      </w:r>
      <w:bookmarkEnd w:id="398"/>
      <w:bookmarkEnd w:id="399"/>
      <w:bookmarkEnd w:id="400"/>
      <w:bookmarkEnd w:id="401"/>
    </w:p>
    <w:p w14:paraId="262F490A" w14:textId="77777777" w:rsidR="00C53AF4" w:rsidRPr="00380B40" w:rsidRDefault="00C53AF4" w:rsidP="00C53AF4">
      <w:pPr>
        <w:pStyle w:val="Restitle"/>
        <w:rPr>
          <w:lang w:val="en-GB"/>
        </w:rPr>
      </w:pPr>
      <w:bookmarkStart w:id="402" w:name="_Toc104459780"/>
      <w:bookmarkStart w:id="403" w:name="_Toc104476588"/>
      <w:bookmarkStart w:id="404" w:name="_Toc111638481"/>
      <w:r w:rsidRPr="00380B40">
        <w:rPr>
          <w:lang w:val="en-GB"/>
        </w:rPr>
        <w:t>Facilitating the implementation of the Smart Africa Manifesto</w:t>
      </w:r>
      <w:bookmarkEnd w:id="402"/>
      <w:bookmarkEnd w:id="403"/>
      <w:bookmarkEnd w:id="404"/>
    </w:p>
    <w:p w14:paraId="7F11CB97" w14:textId="77777777" w:rsidR="00C53AF4" w:rsidRPr="00380B40" w:rsidRDefault="00C53AF4" w:rsidP="00C53AF4">
      <w:pPr>
        <w:pStyle w:val="Resref"/>
        <w:rPr>
          <w:lang w:val="en-GB"/>
        </w:rPr>
      </w:pPr>
      <w:r w:rsidRPr="00380B40">
        <w:rPr>
          <w:lang w:val="en-GB"/>
        </w:rPr>
        <w:t>(Hammamet, 2016)</w:t>
      </w:r>
    </w:p>
    <w:p w14:paraId="68BC5138" w14:textId="77777777" w:rsidR="00C53AF4" w:rsidRPr="00380B40" w:rsidRDefault="00C53AF4" w:rsidP="00C53AF4">
      <w:pPr>
        <w:pStyle w:val="Normalaftertitle0"/>
      </w:pPr>
      <w:r w:rsidRPr="00380B40">
        <w:t xml:space="preserve">The World Telecommunication Standardization Assembly (Hammamet, 2016), </w:t>
      </w:r>
    </w:p>
    <w:p w14:paraId="1B84CACE" w14:textId="77777777" w:rsidR="00C53AF4" w:rsidRPr="00380B40" w:rsidRDefault="00C53AF4" w:rsidP="00C53AF4">
      <w:pPr>
        <w:pStyle w:val="Call"/>
        <w:rPr>
          <w:lang w:val="en-GB"/>
        </w:rPr>
      </w:pPr>
      <w:r w:rsidRPr="00380B40">
        <w:rPr>
          <w:lang w:val="en-GB"/>
        </w:rPr>
        <w:t>recalling</w:t>
      </w:r>
    </w:p>
    <w:p w14:paraId="5065052B" w14:textId="77777777" w:rsidR="00C53AF4" w:rsidRPr="00380B40" w:rsidRDefault="00C53AF4" w:rsidP="00C53AF4">
      <w:pPr>
        <w:rPr>
          <w:lang w:val="en-GB"/>
        </w:rPr>
      </w:pPr>
      <w:r w:rsidRPr="00380B40">
        <w:rPr>
          <w:i/>
          <w:iCs/>
          <w:lang w:val="en-GB"/>
        </w:rPr>
        <w:t>a)</w:t>
      </w:r>
      <w:r w:rsidRPr="00380B40">
        <w:rPr>
          <w:lang w:val="en-GB"/>
        </w:rPr>
        <w:tab/>
        <w:t>Resolution 195 (Busan, 2014) of the Plenipotentiary Conference, on implementation of the Smart Africa Manifesto;</w:t>
      </w:r>
    </w:p>
    <w:p w14:paraId="4E8435A3" w14:textId="77777777" w:rsidR="00C53AF4" w:rsidRPr="00380B40" w:rsidRDefault="00C53AF4" w:rsidP="00C53AF4">
      <w:pPr>
        <w:rPr>
          <w:lang w:val="en-GB"/>
        </w:rPr>
      </w:pPr>
      <w:r w:rsidRPr="00380B40">
        <w:rPr>
          <w:i/>
          <w:iCs/>
          <w:lang w:val="en-GB"/>
        </w:rPr>
        <w:t>b)</w:t>
      </w:r>
      <w:r w:rsidRPr="00380B40">
        <w:rPr>
          <w:lang w:val="en-GB"/>
        </w:rPr>
        <w:tab/>
        <w:t xml:space="preserve">Resolution 197 (Busan, 2014) of the Plenipotentiary Conference, on facilitating the Internet of things to prepare for a globally connected world; </w:t>
      </w:r>
    </w:p>
    <w:p w14:paraId="410A8116" w14:textId="77777777" w:rsidR="00C53AF4" w:rsidRPr="00380B40" w:rsidRDefault="00C53AF4" w:rsidP="00C53AF4">
      <w:pPr>
        <w:rPr>
          <w:lang w:val="en-GB"/>
        </w:rPr>
      </w:pPr>
      <w:r w:rsidRPr="00380B40">
        <w:rPr>
          <w:i/>
          <w:iCs/>
          <w:lang w:val="en-GB"/>
        </w:rPr>
        <w:t>c)</w:t>
      </w:r>
      <w:r w:rsidRPr="00380B40">
        <w:rPr>
          <w:lang w:val="en-GB"/>
        </w:rPr>
        <w:tab/>
        <w:t>that it is of high importance that developing countries</w:t>
      </w:r>
      <w:r w:rsidR="00FD162E" w:rsidRPr="00380B40">
        <w:rPr>
          <w:rStyle w:val="FootnoteReference"/>
          <w:lang w:val="en-GB"/>
        </w:rPr>
        <w:footnoteReference w:id="50"/>
      </w:r>
      <w:r w:rsidRPr="00380B40">
        <w:rPr>
          <w:lang w:val="en-GB"/>
        </w:rPr>
        <w:t xml:space="preserve"> actively participate in and contribute to the development of telecommunication/information and communication technology (ICT) standards,</w:t>
      </w:r>
    </w:p>
    <w:p w14:paraId="4B06FEC9" w14:textId="77777777" w:rsidR="00C53AF4" w:rsidRPr="00380B40" w:rsidRDefault="00C53AF4" w:rsidP="00C53AF4">
      <w:pPr>
        <w:pStyle w:val="Call"/>
        <w:rPr>
          <w:lang w:val="en-GB"/>
        </w:rPr>
      </w:pPr>
      <w:r w:rsidRPr="00380B40">
        <w:rPr>
          <w:lang w:val="en-GB"/>
        </w:rPr>
        <w:t>considering</w:t>
      </w:r>
    </w:p>
    <w:p w14:paraId="66693E08" w14:textId="77777777" w:rsidR="00C53AF4" w:rsidRPr="00380B40" w:rsidRDefault="00C53AF4" w:rsidP="00C53AF4">
      <w:pPr>
        <w:rPr>
          <w:lang w:val="en-GB"/>
        </w:rPr>
      </w:pPr>
      <w:r w:rsidRPr="00380B40">
        <w:rPr>
          <w:i/>
          <w:iCs/>
          <w:lang w:val="en-GB"/>
        </w:rPr>
        <w:t>a)</w:t>
      </w:r>
      <w:r w:rsidRPr="00380B40">
        <w:rPr>
          <w:lang w:val="en-GB"/>
        </w:rPr>
        <w:tab/>
        <w:t>Resolution 30 (Rev. Busan, 2014) of the Plenipotentiary Conference, on special measures for the least developed countries, small island developing states, landlocked developing countries and countries with economies in transition;</w:t>
      </w:r>
    </w:p>
    <w:p w14:paraId="6E7DB104" w14:textId="77777777" w:rsidR="00C53AF4" w:rsidRPr="00380B40" w:rsidRDefault="00C53AF4" w:rsidP="00C53AF4">
      <w:pPr>
        <w:rPr>
          <w:lang w:val="en-GB"/>
        </w:rPr>
      </w:pPr>
      <w:r w:rsidRPr="00380B40">
        <w:rPr>
          <w:i/>
          <w:iCs/>
          <w:lang w:val="en-GB"/>
        </w:rPr>
        <w:t>b)</w:t>
      </w:r>
      <w:r w:rsidRPr="00380B40">
        <w:rPr>
          <w:lang w:val="en-GB"/>
        </w:rPr>
        <w:tab/>
        <w:t>that, under the strategic plan for the Union for 2016-2019, the ITU Telecommunication Standardization Sector (ITU</w:t>
      </w:r>
      <w:r w:rsidRPr="00380B40">
        <w:rPr>
          <w:lang w:val="en-GB"/>
        </w:rPr>
        <w:noBreakHyphen/>
        <w:t>T) is to work to "provide support and assistance to developing countries in bridging the standardization gap in relation with standardization matters, information and communication network infrastructure and applications, and relevant training materials for capacity building, taking into account the characteristics of the telecommunication environment of the developing countries";</w:t>
      </w:r>
    </w:p>
    <w:p w14:paraId="66FCC6CF" w14:textId="77777777" w:rsidR="00C53AF4" w:rsidRPr="00380B40" w:rsidRDefault="00C53AF4" w:rsidP="00C53AF4">
      <w:pPr>
        <w:rPr>
          <w:lang w:val="en-GB"/>
        </w:rPr>
      </w:pPr>
      <w:r w:rsidRPr="00380B40">
        <w:rPr>
          <w:i/>
          <w:iCs/>
          <w:lang w:val="en-GB"/>
        </w:rPr>
        <w:t>c)</w:t>
      </w:r>
      <w:r w:rsidRPr="00380B40">
        <w:rPr>
          <w:lang w:val="en-GB"/>
        </w:rPr>
        <w:tab/>
        <w:t>that various industrial sectors, such as energy, transportation, health, agriculture, disaster management, public safety and home networking, rely on emerging communications networks and technologies;</w:t>
      </w:r>
    </w:p>
    <w:p w14:paraId="0A63E3D2" w14:textId="77777777" w:rsidR="00C53AF4" w:rsidRPr="00380B40" w:rsidRDefault="00C53AF4" w:rsidP="00C53AF4">
      <w:pPr>
        <w:rPr>
          <w:i/>
          <w:lang w:val="en-GB"/>
        </w:rPr>
      </w:pPr>
      <w:r w:rsidRPr="00380B40">
        <w:rPr>
          <w:i/>
          <w:iCs/>
          <w:lang w:val="en-GB"/>
        </w:rPr>
        <w:t>d)</w:t>
      </w:r>
      <w:r w:rsidRPr="00380B40">
        <w:rPr>
          <w:lang w:val="en-GB"/>
        </w:rPr>
        <w:tab/>
        <w:t>that Resolution 1353 of the ITU Council recognizes that telecommunications/ICTs are essential components for developed and developing countries for achieving sustainable development, and instructs the Secretary-General, in collaboration with the Directors of the Bureaux, to identify new activities to be undertaken by ITU to support the developing countries in achieving sustainable development through telecommunications and ICT,</w:t>
      </w:r>
    </w:p>
    <w:p w14:paraId="3527A2FE" w14:textId="77777777" w:rsidR="00132AD9" w:rsidRPr="00380B40" w:rsidRDefault="00132AD9" w:rsidP="00C53AF4">
      <w:pPr>
        <w:pStyle w:val="Call"/>
        <w:rPr>
          <w:lang w:val="en-GB"/>
        </w:rPr>
      </w:pPr>
      <w:r w:rsidRPr="00380B40">
        <w:rPr>
          <w:lang w:val="en-GB"/>
        </w:rPr>
        <w:br w:type="page"/>
      </w:r>
    </w:p>
    <w:p w14:paraId="4CA4AA7D" w14:textId="77777777" w:rsidR="00C53AF4" w:rsidRPr="00380B40" w:rsidRDefault="00C53AF4" w:rsidP="00C53AF4">
      <w:pPr>
        <w:pStyle w:val="Call"/>
        <w:rPr>
          <w:lang w:val="en-GB"/>
        </w:rPr>
      </w:pPr>
      <w:r w:rsidRPr="00380B40">
        <w:rPr>
          <w:lang w:val="en-GB"/>
        </w:rPr>
        <w:t>taking into account</w:t>
      </w:r>
    </w:p>
    <w:p w14:paraId="642D4A6F" w14:textId="77777777" w:rsidR="00C53AF4" w:rsidRPr="00380B40" w:rsidRDefault="00C53AF4" w:rsidP="00C53AF4">
      <w:pPr>
        <w:rPr>
          <w:lang w:val="en-GB"/>
        </w:rPr>
      </w:pPr>
      <w:r w:rsidRPr="00380B40">
        <w:rPr>
          <w:lang w:val="en-GB"/>
        </w:rPr>
        <w:t xml:space="preserve">the mandate of the Smart Africa secretariat, which is in line with the Union's objectives for developing countries, </w:t>
      </w:r>
    </w:p>
    <w:p w14:paraId="388D7A0A" w14:textId="77777777" w:rsidR="00C53AF4" w:rsidRPr="00380B40" w:rsidRDefault="00C53AF4" w:rsidP="00C53AF4">
      <w:pPr>
        <w:pStyle w:val="Call"/>
        <w:rPr>
          <w:lang w:val="en-GB"/>
        </w:rPr>
      </w:pPr>
      <w:r w:rsidRPr="00380B40">
        <w:rPr>
          <w:lang w:val="en-GB"/>
        </w:rPr>
        <w:t>recognizing</w:t>
      </w:r>
    </w:p>
    <w:p w14:paraId="268F92D3" w14:textId="77777777" w:rsidR="00C53AF4" w:rsidRPr="00380B40" w:rsidRDefault="00C53AF4" w:rsidP="00C53AF4">
      <w:pPr>
        <w:rPr>
          <w:lang w:val="en-GB"/>
        </w:rPr>
      </w:pPr>
      <w:r w:rsidRPr="00380B40">
        <w:rPr>
          <w:i/>
          <w:iCs/>
          <w:lang w:val="en-GB"/>
        </w:rPr>
        <w:t>a)</w:t>
      </w:r>
      <w:r w:rsidRPr="00380B40">
        <w:rPr>
          <w:lang w:val="en-GB"/>
        </w:rPr>
        <w:tab/>
        <w:t>that Smart Africa member states, partner organizations and industries working on various projects need standards;</w:t>
      </w:r>
    </w:p>
    <w:p w14:paraId="6D005D2D" w14:textId="77777777" w:rsidR="00C53AF4" w:rsidRPr="00380B40" w:rsidRDefault="00C53AF4" w:rsidP="00C53AF4">
      <w:pPr>
        <w:rPr>
          <w:lang w:val="en-GB"/>
        </w:rPr>
      </w:pPr>
      <w:r w:rsidRPr="00380B40">
        <w:rPr>
          <w:i/>
          <w:iCs/>
          <w:lang w:val="en-GB"/>
        </w:rPr>
        <w:t>b)</w:t>
      </w:r>
      <w:r w:rsidRPr="00380B40">
        <w:rPr>
          <w:lang w:val="en-GB"/>
        </w:rPr>
        <w:tab/>
        <w:t>that ITU</w:t>
      </w:r>
      <w:r w:rsidRPr="00380B40">
        <w:rPr>
          <w:lang w:val="en-GB"/>
        </w:rPr>
        <w:noBreakHyphen/>
        <w:t xml:space="preserve">T is responsible for the standardization work relating emerging technologies, </w:t>
      </w:r>
    </w:p>
    <w:p w14:paraId="42036DDA" w14:textId="77777777" w:rsidR="00C53AF4" w:rsidRPr="00380B40" w:rsidRDefault="00C53AF4" w:rsidP="00C53AF4">
      <w:pPr>
        <w:pStyle w:val="Call"/>
        <w:rPr>
          <w:lang w:val="en-GB"/>
        </w:rPr>
      </w:pPr>
      <w:r w:rsidRPr="00380B40">
        <w:rPr>
          <w:lang w:val="en-GB"/>
        </w:rPr>
        <w:t>resolves to invite study groups of the ITU Telecommunication Standardization Sector</w:t>
      </w:r>
    </w:p>
    <w:p w14:paraId="189A0A42" w14:textId="77777777" w:rsidR="00C53AF4" w:rsidRPr="00380B40" w:rsidRDefault="00C53AF4" w:rsidP="00C53AF4">
      <w:pPr>
        <w:rPr>
          <w:lang w:val="en-GB"/>
        </w:rPr>
      </w:pPr>
      <w:r w:rsidRPr="00380B40">
        <w:rPr>
          <w:lang w:val="en-GB"/>
        </w:rPr>
        <w:t>1</w:t>
      </w:r>
      <w:r w:rsidRPr="00380B40">
        <w:rPr>
          <w:lang w:val="en-GB"/>
        </w:rPr>
        <w:tab/>
        <w:t>to develop ITU</w:t>
      </w:r>
      <w:r w:rsidRPr="00380B40">
        <w:rPr>
          <w:lang w:val="en-GB"/>
        </w:rPr>
        <w:noBreakHyphen/>
        <w:t>T Recommendations aimed at implementing emerging technologies, with a special focus on developing countries;</w:t>
      </w:r>
    </w:p>
    <w:p w14:paraId="68883315" w14:textId="77777777" w:rsidR="00C53AF4" w:rsidRPr="00380B40" w:rsidRDefault="00C53AF4" w:rsidP="00C53AF4">
      <w:pPr>
        <w:rPr>
          <w:lang w:val="en-GB"/>
        </w:rPr>
      </w:pPr>
      <w:r w:rsidRPr="00380B40">
        <w:rPr>
          <w:lang w:val="en-GB"/>
        </w:rPr>
        <w:t>2</w:t>
      </w:r>
      <w:r w:rsidRPr="00380B40">
        <w:rPr>
          <w:lang w:val="en-GB"/>
        </w:rPr>
        <w:tab/>
        <w:t>to collaborate with the Smart Africa office in regard to standards relating to emerging technologies, with more emphasis on use cases and scenarios for developing countries through regional meetings, forums, workshops, etc.,</w:t>
      </w:r>
    </w:p>
    <w:p w14:paraId="4C1C93CE" w14:textId="77777777" w:rsidR="00C53AF4" w:rsidRPr="00380B40" w:rsidRDefault="00C53AF4" w:rsidP="00C53AF4">
      <w:pPr>
        <w:pStyle w:val="Call"/>
        <w:rPr>
          <w:lang w:val="en-GB"/>
        </w:rPr>
      </w:pPr>
      <w:r w:rsidRPr="00380B40">
        <w:rPr>
          <w:lang w:val="en-GB"/>
        </w:rPr>
        <w:t>instructs the Director of the Telecommunication Standardization Bureau, in collaboration with the Director of the Telecommunication Development Bureau</w:t>
      </w:r>
    </w:p>
    <w:p w14:paraId="7F5F243E" w14:textId="77777777" w:rsidR="00C53AF4" w:rsidRPr="00380B40" w:rsidRDefault="00C53AF4" w:rsidP="00C53AF4">
      <w:pPr>
        <w:rPr>
          <w:lang w:val="en-GB"/>
        </w:rPr>
      </w:pPr>
      <w:r w:rsidRPr="00380B40">
        <w:rPr>
          <w:lang w:val="en-GB"/>
        </w:rPr>
        <w:t>1</w:t>
      </w:r>
      <w:r w:rsidRPr="00380B40">
        <w:rPr>
          <w:lang w:val="en-GB"/>
        </w:rPr>
        <w:tab/>
        <w:t>to establish mechanisms for collaboration and cooperation between ITU</w:t>
      </w:r>
      <w:r w:rsidRPr="00380B40">
        <w:rPr>
          <w:lang w:val="en-GB"/>
        </w:rPr>
        <w:noBreakHyphen/>
        <w:t>T study groups and the Smart Africa office in the development of standards;</w:t>
      </w:r>
    </w:p>
    <w:p w14:paraId="7FFE59A1" w14:textId="77777777" w:rsidR="00C53AF4" w:rsidRPr="00380B40" w:rsidRDefault="00C53AF4" w:rsidP="00C53AF4">
      <w:pPr>
        <w:rPr>
          <w:lang w:val="en-GB"/>
        </w:rPr>
      </w:pPr>
      <w:r w:rsidRPr="00380B40">
        <w:rPr>
          <w:lang w:val="en-GB"/>
        </w:rPr>
        <w:t>2</w:t>
      </w:r>
      <w:r w:rsidRPr="00380B40">
        <w:rPr>
          <w:lang w:val="en-GB"/>
        </w:rPr>
        <w:tab/>
        <w:t>to continue supporting the Smart Africa Manifesto in accordance with Resolution 195 (Busan, 2014);</w:t>
      </w:r>
    </w:p>
    <w:p w14:paraId="5BC1601C" w14:textId="77777777" w:rsidR="00C53AF4" w:rsidRPr="00380B40" w:rsidRDefault="00C53AF4" w:rsidP="00C53AF4">
      <w:pPr>
        <w:rPr>
          <w:lang w:val="en-GB"/>
        </w:rPr>
      </w:pPr>
      <w:r w:rsidRPr="00380B40">
        <w:rPr>
          <w:lang w:val="en-GB"/>
        </w:rPr>
        <w:t>3</w:t>
      </w:r>
      <w:r w:rsidRPr="00380B40">
        <w:rPr>
          <w:lang w:val="en-GB"/>
        </w:rPr>
        <w:tab/>
        <w:t>to provide assistance to Smart Africa and African regional groups from within the assigned budget in order to support pilot projects aimed at speeding up the implementation of ITU standards and Recommendations;</w:t>
      </w:r>
    </w:p>
    <w:p w14:paraId="2490FE4C" w14:textId="77777777" w:rsidR="00C53AF4" w:rsidRPr="00380B40" w:rsidRDefault="00C53AF4" w:rsidP="00C53AF4">
      <w:pPr>
        <w:rPr>
          <w:lang w:val="en-GB"/>
        </w:rPr>
      </w:pPr>
      <w:r w:rsidRPr="00380B40">
        <w:rPr>
          <w:lang w:val="en-GB"/>
        </w:rPr>
        <w:t>4</w:t>
      </w:r>
      <w:r w:rsidRPr="00380B40">
        <w:rPr>
          <w:lang w:val="en-GB"/>
        </w:rPr>
        <w:tab/>
        <w:t>to strengthen training and guide Smart Africa member states, partner organizations and industries in their adoption of ITU</w:t>
      </w:r>
      <w:r w:rsidRPr="00380B40">
        <w:rPr>
          <w:lang w:val="en-GB"/>
        </w:rPr>
        <w:noBreakHyphen/>
        <w:t>T standards.</w:t>
      </w:r>
    </w:p>
    <w:p w14:paraId="69786134"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A35FF8D" w14:textId="77777777" w:rsidR="00A05618" w:rsidRPr="00380B40" w:rsidRDefault="00A0561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499A123" w14:textId="77777777" w:rsidR="00A05618" w:rsidRPr="00380B40" w:rsidRDefault="00A0561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4C7782E" w14:textId="77777777" w:rsidR="00A05618" w:rsidRPr="00380B40" w:rsidRDefault="00A0561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35A6CF4"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F12AA3A"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A1947E4"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6E7C0FB" w14:textId="77777777" w:rsidR="00A05618" w:rsidRPr="00380B40" w:rsidRDefault="00A05618" w:rsidP="00A05618">
      <w:pPr>
        <w:rPr>
          <w:lang w:val="en-GB"/>
        </w:rPr>
      </w:pPr>
    </w:p>
    <w:p w14:paraId="13E33E25" w14:textId="77777777" w:rsidR="00A05618" w:rsidRPr="00380B40" w:rsidRDefault="00A05618" w:rsidP="00A05618">
      <w:pPr>
        <w:rPr>
          <w:lang w:val="en-GB"/>
        </w:rPr>
        <w:sectPr w:rsidR="00A05618" w:rsidRPr="00380B40" w:rsidSect="004B363C">
          <w:headerReference w:type="even" r:id="rId272"/>
          <w:footerReference w:type="even" r:id="rId273"/>
          <w:footerReference w:type="default" r:id="rId274"/>
          <w:headerReference w:type="first" r:id="rId275"/>
          <w:footerReference w:type="first" r:id="rId276"/>
          <w:footnotePr>
            <w:numRestart w:val="eachSect"/>
          </w:footnotePr>
          <w:pgSz w:w="11907" w:h="16834" w:code="9"/>
          <w:pgMar w:top="1134" w:right="1134" w:bottom="1134" w:left="1134" w:header="567" w:footer="567" w:gutter="0"/>
          <w:paperSrc w:first="15" w:other="15"/>
          <w:cols w:space="720"/>
          <w:vAlign w:val="both"/>
          <w:docGrid w:linePitch="299"/>
        </w:sectPr>
      </w:pPr>
    </w:p>
    <w:p w14:paraId="0FD3C692" w14:textId="77777777" w:rsidR="00C53AF4" w:rsidRPr="00380B40" w:rsidRDefault="008A1180" w:rsidP="00C53AF4">
      <w:pPr>
        <w:pStyle w:val="ResNo"/>
        <w:rPr>
          <w:lang w:val="en-GB"/>
        </w:rPr>
      </w:pPr>
      <w:bookmarkStart w:id="405" w:name="_Toc104459781"/>
      <w:bookmarkStart w:id="406" w:name="_Toc104476589"/>
      <w:bookmarkStart w:id="407" w:name="_Toc111636804"/>
      <w:bookmarkStart w:id="408" w:name="_Toc111638482"/>
      <w:r w:rsidRPr="00380B40">
        <w:rPr>
          <w:caps w:val="0"/>
          <w:lang w:val="en-GB"/>
        </w:rPr>
        <w:t xml:space="preserve">RESOLUTION </w:t>
      </w:r>
      <w:r w:rsidR="00C53AF4" w:rsidRPr="00380B40">
        <w:rPr>
          <w:rStyle w:val="href"/>
          <w:lang w:val="en-GB"/>
        </w:rPr>
        <w:t xml:space="preserve">87 </w:t>
      </w:r>
      <w:r w:rsidR="00C53AF4" w:rsidRPr="00380B40">
        <w:rPr>
          <w:lang w:val="en-GB"/>
        </w:rPr>
        <w:t>(</w:t>
      </w:r>
      <w:r w:rsidR="00C53AF4" w:rsidRPr="00380B40">
        <w:rPr>
          <w:caps w:val="0"/>
          <w:lang w:val="en-GB"/>
        </w:rPr>
        <w:t>Hammamet</w:t>
      </w:r>
      <w:r w:rsidR="00C53AF4" w:rsidRPr="00380B40">
        <w:rPr>
          <w:lang w:val="en-GB"/>
        </w:rPr>
        <w:t>, 2016)</w:t>
      </w:r>
      <w:bookmarkEnd w:id="405"/>
      <w:bookmarkEnd w:id="406"/>
      <w:bookmarkEnd w:id="407"/>
      <w:bookmarkEnd w:id="408"/>
    </w:p>
    <w:p w14:paraId="4A757A33" w14:textId="77777777" w:rsidR="00C53AF4" w:rsidRPr="00380B40" w:rsidRDefault="00C53AF4" w:rsidP="00C53AF4">
      <w:pPr>
        <w:pStyle w:val="Restitle"/>
        <w:rPr>
          <w:lang w:val="en-GB"/>
        </w:rPr>
      </w:pPr>
      <w:bookmarkStart w:id="409" w:name="_Toc104459782"/>
      <w:bookmarkStart w:id="410" w:name="_Toc104476590"/>
      <w:bookmarkStart w:id="411" w:name="_Toc111638483"/>
      <w:r w:rsidRPr="00380B40">
        <w:rPr>
          <w:lang w:val="en-GB"/>
        </w:rPr>
        <w:t xml:space="preserve">Participation of the ITU Telecommunication Standardization Sector </w:t>
      </w:r>
      <w:r w:rsidRPr="00380B40">
        <w:rPr>
          <w:lang w:val="en-GB"/>
        </w:rPr>
        <w:br/>
        <w:t xml:space="preserve">in the periodic review and revision of the International </w:t>
      </w:r>
      <w:r w:rsidRPr="00380B40">
        <w:rPr>
          <w:lang w:val="en-GB"/>
        </w:rPr>
        <w:br/>
        <w:t>Telecommunication Regulations</w:t>
      </w:r>
      <w:bookmarkEnd w:id="409"/>
      <w:bookmarkEnd w:id="410"/>
      <w:bookmarkEnd w:id="411"/>
    </w:p>
    <w:p w14:paraId="17DDC1FC" w14:textId="77777777" w:rsidR="00C53AF4" w:rsidRPr="00380B40" w:rsidRDefault="00C53AF4" w:rsidP="00C53AF4">
      <w:pPr>
        <w:pStyle w:val="Resref"/>
        <w:rPr>
          <w:lang w:val="en-GB"/>
        </w:rPr>
      </w:pPr>
      <w:r w:rsidRPr="00380B40">
        <w:rPr>
          <w:lang w:val="en-GB"/>
        </w:rPr>
        <w:t>(Hammamet, 2016)</w:t>
      </w:r>
    </w:p>
    <w:p w14:paraId="316790A7" w14:textId="77777777" w:rsidR="00C53AF4" w:rsidRPr="00380B40" w:rsidRDefault="00C53AF4" w:rsidP="00C53AF4">
      <w:pPr>
        <w:pStyle w:val="Normalaftertitle0"/>
      </w:pPr>
      <w:r w:rsidRPr="00380B40">
        <w:t>The World Telecommunication Standardization Assembly (Hammamet, 2016),</w:t>
      </w:r>
    </w:p>
    <w:p w14:paraId="6D2521AB" w14:textId="77777777" w:rsidR="00C53AF4" w:rsidRPr="00380B40" w:rsidRDefault="00C53AF4" w:rsidP="00C53AF4">
      <w:pPr>
        <w:pStyle w:val="Call"/>
        <w:rPr>
          <w:lang w:val="en-GB" w:eastAsia="zh-CN"/>
        </w:rPr>
      </w:pPr>
      <w:r w:rsidRPr="00380B40">
        <w:rPr>
          <w:lang w:val="en-GB"/>
        </w:rPr>
        <w:t>recalling</w:t>
      </w:r>
    </w:p>
    <w:p w14:paraId="44899681" w14:textId="77777777" w:rsidR="00C53AF4" w:rsidRPr="00380B40" w:rsidRDefault="00C53AF4" w:rsidP="00C53AF4">
      <w:pPr>
        <w:rPr>
          <w:lang w:val="en-GB"/>
        </w:rPr>
      </w:pPr>
      <w:r w:rsidRPr="00380B40">
        <w:rPr>
          <w:i/>
          <w:iCs/>
          <w:lang w:val="en-GB"/>
        </w:rPr>
        <w:t>a)</w:t>
      </w:r>
      <w:r w:rsidRPr="00380B40">
        <w:rPr>
          <w:lang w:val="en-GB"/>
        </w:rPr>
        <w:tab/>
        <w:t>Article 25 of the ITU Constitution, on world conferences on international telecommunications (WCIT);</w:t>
      </w:r>
    </w:p>
    <w:p w14:paraId="6D5FB697" w14:textId="77777777" w:rsidR="00C53AF4" w:rsidRPr="00380B40" w:rsidRDefault="00C53AF4" w:rsidP="00C53AF4">
      <w:pPr>
        <w:rPr>
          <w:lang w:val="en-GB"/>
        </w:rPr>
      </w:pPr>
      <w:r w:rsidRPr="00380B40">
        <w:rPr>
          <w:i/>
          <w:iCs/>
          <w:lang w:val="en-GB"/>
        </w:rPr>
        <w:t>b)</w:t>
      </w:r>
      <w:r w:rsidRPr="00380B40">
        <w:rPr>
          <w:lang w:val="en-GB"/>
        </w:rPr>
        <w:tab/>
        <w:t>No. 48 in Article 3 of the ITU Convention, on other conferences and assemblies;</w:t>
      </w:r>
    </w:p>
    <w:p w14:paraId="0BECB5FF" w14:textId="77777777" w:rsidR="00C53AF4" w:rsidRPr="00380B40" w:rsidRDefault="00C53AF4" w:rsidP="00C53AF4">
      <w:pPr>
        <w:rPr>
          <w:lang w:val="en-GB"/>
        </w:rPr>
      </w:pPr>
      <w:r w:rsidRPr="00380B40">
        <w:rPr>
          <w:i/>
          <w:iCs/>
          <w:lang w:val="en-GB"/>
        </w:rPr>
        <w:t>c)</w:t>
      </w:r>
      <w:r w:rsidRPr="00380B40">
        <w:rPr>
          <w:lang w:val="en-GB"/>
        </w:rPr>
        <w:tab/>
        <w:t>Resolution 4 (Dubai, 2012) of WCIT, on periodic review of the International Telecommunication Regulations (ITR);</w:t>
      </w:r>
    </w:p>
    <w:p w14:paraId="130EA3EC" w14:textId="77777777" w:rsidR="00C53AF4" w:rsidRPr="00380B40" w:rsidRDefault="00C53AF4" w:rsidP="00C53AF4">
      <w:pPr>
        <w:rPr>
          <w:lang w:val="en-GB"/>
        </w:rPr>
      </w:pPr>
      <w:r w:rsidRPr="00380B40">
        <w:rPr>
          <w:i/>
          <w:iCs/>
          <w:lang w:val="en-GB"/>
        </w:rPr>
        <w:t>d)</w:t>
      </w:r>
      <w:r w:rsidRPr="00380B40">
        <w:rPr>
          <w:lang w:val="en-GB"/>
        </w:rPr>
        <w:tab/>
        <w:t>Resolution 146 (Rev. Busan, 2014) of the Plenipotentiary Conference, on periodic review and revision of the ITR;</w:t>
      </w:r>
    </w:p>
    <w:p w14:paraId="33B355A0" w14:textId="77777777" w:rsidR="00C53AF4" w:rsidRPr="00380B40" w:rsidRDefault="00C53AF4" w:rsidP="00C53AF4">
      <w:pPr>
        <w:rPr>
          <w:lang w:val="en-GB"/>
        </w:rPr>
      </w:pPr>
      <w:r w:rsidRPr="00380B40">
        <w:rPr>
          <w:i/>
          <w:iCs/>
          <w:lang w:val="en-GB"/>
        </w:rPr>
        <w:t>e)</w:t>
      </w:r>
      <w:r w:rsidRPr="00380B40">
        <w:rPr>
          <w:lang w:val="en-GB"/>
        </w:rPr>
        <w:tab/>
        <w:t>Resolution 1379 of the ITU Council, on the Expert Group on the International Telecommunication Regulations (EG-ITR),</w:t>
      </w:r>
    </w:p>
    <w:p w14:paraId="01E89A25" w14:textId="77777777" w:rsidR="00C53AF4" w:rsidRPr="00380B40" w:rsidRDefault="00C53AF4" w:rsidP="00C53AF4">
      <w:pPr>
        <w:pStyle w:val="Call"/>
        <w:rPr>
          <w:lang w:val="en-GB"/>
        </w:rPr>
      </w:pPr>
      <w:r w:rsidRPr="00380B40">
        <w:rPr>
          <w:lang w:val="en-GB"/>
        </w:rPr>
        <w:t>recognizing</w:t>
      </w:r>
    </w:p>
    <w:p w14:paraId="536E27B3" w14:textId="77777777" w:rsidR="00C53AF4" w:rsidRPr="00380B40" w:rsidRDefault="00C53AF4" w:rsidP="00C53AF4">
      <w:pPr>
        <w:rPr>
          <w:lang w:val="en-GB"/>
        </w:rPr>
      </w:pPr>
      <w:r w:rsidRPr="00380B40">
        <w:rPr>
          <w:i/>
          <w:iCs/>
          <w:lang w:val="en-GB"/>
        </w:rPr>
        <w:t>a)</w:t>
      </w:r>
      <w:r w:rsidRPr="00380B40">
        <w:rPr>
          <w:i/>
          <w:iCs/>
          <w:lang w:val="en-GB"/>
        </w:rPr>
        <w:tab/>
      </w:r>
      <w:r w:rsidRPr="00380B40">
        <w:rPr>
          <w:lang w:val="en-GB"/>
        </w:rPr>
        <w:t>that, as stated in Resolution 146 (Rev. Busan, 2014), the ITU Telecommunication Standardization Sector (ITU</w:t>
      </w:r>
      <w:r w:rsidRPr="00380B40">
        <w:rPr>
          <w:lang w:val="en-GB"/>
        </w:rPr>
        <w:noBreakHyphen/>
        <w:t>T) has most of the work relevant to the ITR,</w:t>
      </w:r>
    </w:p>
    <w:p w14:paraId="43F5E8F4" w14:textId="77777777" w:rsidR="00C53AF4" w:rsidRPr="00380B40" w:rsidRDefault="00C53AF4" w:rsidP="00C53AF4">
      <w:pPr>
        <w:rPr>
          <w:lang w:val="en-GB"/>
        </w:rPr>
      </w:pPr>
      <w:r w:rsidRPr="00380B40">
        <w:rPr>
          <w:i/>
          <w:iCs/>
          <w:lang w:val="en-GB"/>
        </w:rPr>
        <w:t>b)</w:t>
      </w:r>
      <w:r w:rsidRPr="00380B40">
        <w:rPr>
          <w:lang w:val="en-GB"/>
        </w:rPr>
        <w:tab/>
        <w:t>the importance of ITU</w:t>
      </w:r>
      <w:r w:rsidRPr="00380B40">
        <w:rPr>
          <w:lang w:val="en-GB"/>
        </w:rPr>
        <w:noBreakHyphen/>
        <w:t>T study groups' input to the ITU</w:t>
      </w:r>
      <w:r w:rsidRPr="00380B40">
        <w:rPr>
          <w:lang w:val="en-GB"/>
        </w:rPr>
        <w:noBreakHyphen/>
        <w:t>T contributory process to EG</w:t>
      </w:r>
      <w:r w:rsidRPr="00380B40">
        <w:rPr>
          <w:lang w:val="en-GB"/>
        </w:rPr>
        <w:noBreakHyphen/>
        <w:t>ITR, as appropriate and where necessary,</w:t>
      </w:r>
    </w:p>
    <w:p w14:paraId="4BF6AAD6" w14:textId="77777777" w:rsidR="00C53AF4" w:rsidRPr="00380B40" w:rsidRDefault="00C53AF4" w:rsidP="00C53AF4">
      <w:pPr>
        <w:pStyle w:val="Call"/>
        <w:rPr>
          <w:lang w:val="en-GB"/>
        </w:rPr>
      </w:pPr>
      <w:r w:rsidRPr="00380B40">
        <w:rPr>
          <w:lang w:val="en-GB"/>
        </w:rPr>
        <w:t>considering</w:t>
      </w:r>
    </w:p>
    <w:p w14:paraId="5104B78C" w14:textId="77777777" w:rsidR="00C53AF4" w:rsidRPr="00380B40" w:rsidRDefault="00C53AF4" w:rsidP="00C53AF4">
      <w:pPr>
        <w:rPr>
          <w:lang w:val="en-GB"/>
        </w:rPr>
      </w:pPr>
      <w:r w:rsidRPr="00380B40">
        <w:rPr>
          <w:i/>
          <w:iCs/>
          <w:lang w:val="en-GB"/>
        </w:rPr>
        <w:t>a)</w:t>
      </w:r>
      <w:r w:rsidRPr="00380B40">
        <w:rPr>
          <w:lang w:val="en-GB"/>
        </w:rPr>
        <w:tab/>
        <w:t>that ITU</w:t>
      </w:r>
      <w:r w:rsidRPr="00380B40">
        <w:rPr>
          <w:lang w:val="en-GB"/>
        </w:rPr>
        <w:noBreakHyphen/>
        <w:t>T is playing an important role in resolving new and emerging issues arising from the changing global international telecommunication/information communication technology environment;</w:t>
      </w:r>
    </w:p>
    <w:p w14:paraId="3D024D9A" w14:textId="77777777" w:rsidR="00C53AF4" w:rsidRPr="00380B40" w:rsidRDefault="00C53AF4" w:rsidP="00C53AF4">
      <w:pPr>
        <w:rPr>
          <w:lang w:val="en-GB"/>
        </w:rPr>
      </w:pPr>
      <w:r w:rsidRPr="00380B40">
        <w:rPr>
          <w:i/>
          <w:iCs/>
          <w:lang w:val="en-GB"/>
        </w:rPr>
        <w:t>b)</w:t>
      </w:r>
      <w:r w:rsidRPr="00380B40">
        <w:rPr>
          <w:lang w:val="en-GB"/>
        </w:rPr>
        <w:tab/>
        <w:t>that all Member States as well as ITU</w:t>
      </w:r>
      <w:r w:rsidRPr="00380B40">
        <w:rPr>
          <w:lang w:val="en-GB"/>
        </w:rPr>
        <w:noBreakHyphen/>
        <w:t>T Sector Members should have the opportunity to contribute to further work on the ITR,</w:t>
      </w:r>
    </w:p>
    <w:p w14:paraId="1C67DB53" w14:textId="77777777" w:rsidR="001475D0" w:rsidRPr="00380B40" w:rsidRDefault="001475D0" w:rsidP="001475D0">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sidRPr="00380B40">
        <w:rPr>
          <w:lang w:val="en-GB"/>
        </w:rPr>
        <w:br w:type="page"/>
      </w:r>
    </w:p>
    <w:p w14:paraId="5755B27A" w14:textId="77777777" w:rsidR="00C53AF4" w:rsidRPr="00380B40" w:rsidRDefault="00C53AF4" w:rsidP="00C53AF4">
      <w:pPr>
        <w:pStyle w:val="Call"/>
        <w:rPr>
          <w:lang w:val="en-GB"/>
        </w:rPr>
      </w:pPr>
      <w:r w:rsidRPr="00380B40">
        <w:rPr>
          <w:lang w:val="en-GB"/>
        </w:rPr>
        <w:t xml:space="preserve">resolves to instruct the Director of the Telecommunication Standardization Bureau </w:t>
      </w:r>
    </w:p>
    <w:p w14:paraId="0DACDC6C" w14:textId="77777777" w:rsidR="00C53AF4" w:rsidRPr="00380B40" w:rsidRDefault="00C53AF4" w:rsidP="00C53AF4">
      <w:pPr>
        <w:rPr>
          <w:lang w:val="en-GB"/>
        </w:rPr>
      </w:pPr>
      <w:r w:rsidRPr="00380B40">
        <w:rPr>
          <w:lang w:val="en-GB"/>
        </w:rPr>
        <w:t>1</w:t>
      </w:r>
      <w:r w:rsidRPr="00380B40">
        <w:rPr>
          <w:lang w:val="en-GB"/>
        </w:rPr>
        <w:tab/>
        <w:t xml:space="preserve">to undertake the necessary activities within the Director's field of competence in order to fully implement Resolution 146 (Rev. Busan, 2014) and Council Resolution 1379; </w:t>
      </w:r>
    </w:p>
    <w:p w14:paraId="3B90D681" w14:textId="77777777" w:rsidR="00C53AF4" w:rsidRPr="00380B40" w:rsidRDefault="00C53AF4" w:rsidP="00C53AF4">
      <w:pPr>
        <w:rPr>
          <w:i/>
          <w:lang w:val="en-GB"/>
        </w:rPr>
      </w:pPr>
      <w:r w:rsidRPr="00380B40">
        <w:rPr>
          <w:lang w:val="en-GB"/>
        </w:rPr>
        <w:t>2</w:t>
      </w:r>
      <w:r w:rsidRPr="00380B40">
        <w:rPr>
          <w:lang w:val="en-GB"/>
        </w:rPr>
        <w:tab/>
        <w:t>to submit the result of these activities to EG-ITR,</w:t>
      </w:r>
    </w:p>
    <w:p w14:paraId="3E81E057" w14:textId="77777777" w:rsidR="00C53AF4" w:rsidRPr="00380B40" w:rsidRDefault="00C53AF4" w:rsidP="00C53AF4">
      <w:pPr>
        <w:pStyle w:val="Call"/>
        <w:rPr>
          <w:lang w:val="en-GB"/>
        </w:rPr>
      </w:pPr>
      <w:r w:rsidRPr="00380B40">
        <w:rPr>
          <w:lang w:val="en-GB"/>
        </w:rPr>
        <w:t>instructs the Telecommunication Standardization Advisory Group</w:t>
      </w:r>
    </w:p>
    <w:p w14:paraId="17883C67" w14:textId="77777777" w:rsidR="00C53AF4" w:rsidRPr="00380B40" w:rsidRDefault="00C53AF4" w:rsidP="00C53AF4">
      <w:pPr>
        <w:rPr>
          <w:lang w:val="en-GB"/>
        </w:rPr>
      </w:pPr>
      <w:r w:rsidRPr="00380B40">
        <w:rPr>
          <w:lang w:val="en-GB"/>
        </w:rPr>
        <w:t>to provide advice to the Director of the Telecommunication Standardization Bureau consistent with Resolution 146 (Rev. Busan, 2014) and Council Resolution 1379,</w:t>
      </w:r>
    </w:p>
    <w:p w14:paraId="60820A3E" w14:textId="77777777" w:rsidR="00C53AF4" w:rsidRPr="00380B40" w:rsidRDefault="00C53AF4" w:rsidP="00C53AF4">
      <w:pPr>
        <w:pStyle w:val="Call"/>
        <w:rPr>
          <w:lang w:val="en-GB"/>
        </w:rPr>
      </w:pPr>
      <w:r w:rsidRPr="00380B40">
        <w:rPr>
          <w:lang w:val="en-GB"/>
        </w:rPr>
        <w:t>invites Member States and Sector Members</w:t>
      </w:r>
    </w:p>
    <w:p w14:paraId="77CFC9A8" w14:textId="77777777" w:rsidR="00C53AF4" w:rsidRPr="00380B40" w:rsidRDefault="00C53AF4" w:rsidP="00C53AF4">
      <w:pPr>
        <w:keepNext/>
        <w:keepLines/>
        <w:rPr>
          <w:color w:val="000000" w:themeColor="text1"/>
          <w:lang w:val="en-GB"/>
        </w:rPr>
      </w:pPr>
      <w:r w:rsidRPr="00380B40">
        <w:rPr>
          <w:lang w:val="en-GB"/>
        </w:rPr>
        <w:t>to participate in and contribute to the implementation of this resolution</w:t>
      </w:r>
      <w:r w:rsidRPr="00380B40">
        <w:rPr>
          <w:color w:val="000000" w:themeColor="text1"/>
          <w:lang w:val="en-GB"/>
        </w:rPr>
        <w:t>.</w:t>
      </w:r>
    </w:p>
    <w:p w14:paraId="797829C3"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1E7283C"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BFF4C27"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C196383"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50B6F6F"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2BEBCCF"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A5E0F9D"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589DFA3"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55555BE"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5C73895"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6D28ED0"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6BD7D81"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E84A3B1"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1889160"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F3DBBB5"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E56F290"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8A43B3A"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F8113C3"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5DFE4B4"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9557E17" w14:textId="77777777" w:rsidR="00A05618" w:rsidRPr="00380B40" w:rsidRDefault="00A05618" w:rsidP="00A05618">
      <w:pPr>
        <w:rPr>
          <w:lang w:val="en-GB"/>
        </w:rPr>
      </w:pPr>
    </w:p>
    <w:p w14:paraId="5FD33B1B" w14:textId="77777777" w:rsidR="00A05618" w:rsidRPr="00380B40" w:rsidRDefault="00A05618" w:rsidP="00A05618">
      <w:pPr>
        <w:rPr>
          <w:lang w:val="en-GB"/>
        </w:rPr>
        <w:sectPr w:rsidR="00A05618" w:rsidRPr="00380B40" w:rsidSect="0080691A">
          <w:headerReference w:type="even" r:id="rId277"/>
          <w:footerReference w:type="even" r:id="rId278"/>
          <w:footerReference w:type="default" r:id="rId279"/>
          <w:headerReference w:type="first" r:id="rId280"/>
          <w:footerReference w:type="first" r:id="rId281"/>
          <w:footnotePr>
            <w:numRestart w:val="eachSect"/>
          </w:footnotePr>
          <w:pgSz w:w="11907" w:h="16834" w:code="9"/>
          <w:pgMar w:top="1134" w:right="1134" w:bottom="1134" w:left="1134" w:header="567" w:footer="567" w:gutter="0"/>
          <w:paperSrc w:first="15" w:other="15"/>
          <w:cols w:space="720"/>
          <w:vAlign w:val="both"/>
          <w:docGrid w:linePitch="299"/>
        </w:sectPr>
      </w:pPr>
    </w:p>
    <w:p w14:paraId="458F534D" w14:textId="77777777" w:rsidR="00C53AF4" w:rsidRPr="00380B40" w:rsidRDefault="008A1180" w:rsidP="00C53AF4">
      <w:pPr>
        <w:pStyle w:val="ResNo"/>
        <w:rPr>
          <w:lang w:val="en-GB"/>
        </w:rPr>
      </w:pPr>
      <w:bookmarkStart w:id="412" w:name="_Toc104459783"/>
      <w:bookmarkStart w:id="413" w:name="_Toc104476591"/>
      <w:bookmarkStart w:id="414" w:name="_Toc111636805"/>
      <w:bookmarkStart w:id="415" w:name="_Toc111638484"/>
      <w:r w:rsidRPr="00380B40">
        <w:rPr>
          <w:caps w:val="0"/>
          <w:lang w:val="en-GB"/>
        </w:rPr>
        <w:t xml:space="preserve">RESOLUTION </w:t>
      </w:r>
      <w:r w:rsidR="00C53AF4" w:rsidRPr="00380B40">
        <w:rPr>
          <w:rStyle w:val="href"/>
          <w:lang w:val="en-GB"/>
        </w:rPr>
        <w:t xml:space="preserve">88 </w:t>
      </w:r>
      <w:r w:rsidR="00C53AF4" w:rsidRPr="00380B40">
        <w:rPr>
          <w:lang w:val="en-GB"/>
        </w:rPr>
        <w:t>(</w:t>
      </w:r>
      <w:r w:rsidR="00C53AF4" w:rsidRPr="00380B40">
        <w:rPr>
          <w:caps w:val="0"/>
          <w:lang w:val="en-GB"/>
        </w:rPr>
        <w:t>Hammamet</w:t>
      </w:r>
      <w:r w:rsidR="00C53AF4" w:rsidRPr="00380B40">
        <w:rPr>
          <w:lang w:val="en-GB"/>
        </w:rPr>
        <w:t>, 2016)</w:t>
      </w:r>
      <w:bookmarkEnd w:id="412"/>
      <w:bookmarkEnd w:id="413"/>
      <w:bookmarkEnd w:id="414"/>
      <w:bookmarkEnd w:id="415"/>
    </w:p>
    <w:p w14:paraId="267B784E" w14:textId="77777777" w:rsidR="00C53AF4" w:rsidRPr="00380B40" w:rsidRDefault="00C53AF4" w:rsidP="00C53AF4">
      <w:pPr>
        <w:pStyle w:val="Restitle"/>
        <w:rPr>
          <w:lang w:val="en-GB"/>
        </w:rPr>
      </w:pPr>
      <w:bookmarkStart w:id="416" w:name="_Toc104459784"/>
      <w:bookmarkStart w:id="417" w:name="_Toc104476592"/>
      <w:bookmarkStart w:id="418" w:name="_Toc111638485"/>
      <w:r w:rsidRPr="00380B40">
        <w:rPr>
          <w:lang w:val="en-GB"/>
        </w:rPr>
        <w:t>International mobile roaming</w:t>
      </w:r>
      <w:bookmarkEnd w:id="416"/>
      <w:bookmarkEnd w:id="417"/>
      <w:bookmarkEnd w:id="418"/>
    </w:p>
    <w:p w14:paraId="69C31F2D" w14:textId="77777777" w:rsidR="00C53AF4" w:rsidRPr="00380B40" w:rsidRDefault="00C53AF4" w:rsidP="00C53AF4">
      <w:pPr>
        <w:pStyle w:val="Resref"/>
        <w:rPr>
          <w:lang w:val="en-GB"/>
        </w:rPr>
      </w:pPr>
      <w:r w:rsidRPr="00380B40">
        <w:rPr>
          <w:lang w:val="en-GB"/>
        </w:rPr>
        <w:t>(Hammamet, 2016)</w:t>
      </w:r>
    </w:p>
    <w:p w14:paraId="7D8FEF30" w14:textId="77777777" w:rsidR="00C53AF4" w:rsidRPr="00380B40" w:rsidRDefault="00C53AF4" w:rsidP="00C53AF4">
      <w:pPr>
        <w:pStyle w:val="Normalaftertitle0"/>
      </w:pPr>
      <w:r w:rsidRPr="00380B40">
        <w:t>The World Telecommunication Standardization Assembly (Hammamet, 2016),</w:t>
      </w:r>
    </w:p>
    <w:p w14:paraId="15D80F95" w14:textId="77777777" w:rsidR="00C53AF4" w:rsidRPr="00380B40" w:rsidRDefault="00C53AF4" w:rsidP="00C53AF4">
      <w:pPr>
        <w:pStyle w:val="Call"/>
        <w:rPr>
          <w:lang w:val="en-GB"/>
        </w:rPr>
      </w:pPr>
      <w:r w:rsidRPr="00380B40">
        <w:rPr>
          <w:lang w:val="en-GB"/>
        </w:rPr>
        <w:t>considering</w:t>
      </w:r>
    </w:p>
    <w:p w14:paraId="1CDA8672" w14:textId="77777777" w:rsidR="00C53AF4" w:rsidRPr="00380B40" w:rsidRDefault="00C53AF4" w:rsidP="00C53AF4">
      <w:pPr>
        <w:rPr>
          <w:lang w:val="en-GB"/>
        </w:rPr>
      </w:pPr>
      <w:r w:rsidRPr="00380B40">
        <w:rPr>
          <w:i/>
          <w:iCs/>
          <w:lang w:val="en-GB"/>
        </w:rPr>
        <w:t>a)</w:t>
      </w:r>
      <w:r w:rsidRPr="00380B40">
        <w:rPr>
          <w:lang w:val="en-GB"/>
        </w:rPr>
        <w:tab/>
        <w:t>the results of the ITU High-Level Workshop on international mobile roaming (IMR), held in Geneva on 23</w:t>
      </w:r>
      <w:r w:rsidRPr="00380B40">
        <w:rPr>
          <w:lang w:val="en-GB"/>
        </w:rPr>
        <w:noBreakHyphen/>
        <w:t>24 September 2013;</w:t>
      </w:r>
    </w:p>
    <w:p w14:paraId="0664898D" w14:textId="77777777" w:rsidR="00C53AF4" w:rsidRPr="00380B40" w:rsidRDefault="00C53AF4" w:rsidP="00C53AF4">
      <w:pPr>
        <w:rPr>
          <w:lang w:val="en-GB"/>
        </w:rPr>
      </w:pPr>
      <w:r w:rsidRPr="00380B40">
        <w:rPr>
          <w:i/>
          <w:iCs/>
          <w:lang w:val="en-GB"/>
        </w:rPr>
        <w:t>b)</w:t>
      </w:r>
      <w:r w:rsidRPr="00380B40">
        <w:rPr>
          <w:lang w:val="en-GB"/>
        </w:rPr>
        <w:tab/>
        <w:t>the results of the ITU Global Dialogue on IMR, held in Geneva on 18 September 2015;</w:t>
      </w:r>
    </w:p>
    <w:p w14:paraId="59FD9A4C" w14:textId="77777777" w:rsidR="00C53AF4" w:rsidRPr="00380B40" w:rsidRDefault="00C53AF4" w:rsidP="00C53AF4">
      <w:pPr>
        <w:rPr>
          <w:lang w:val="en-GB"/>
        </w:rPr>
      </w:pPr>
      <w:r w:rsidRPr="00380B40">
        <w:rPr>
          <w:i/>
          <w:iCs/>
          <w:lang w:val="en-GB"/>
        </w:rPr>
        <w:t>c)</w:t>
      </w:r>
      <w:r w:rsidRPr="00380B40">
        <w:rPr>
          <w:lang w:val="en-GB"/>
        </w:rPr>
        <w:tab/>
        <w:t>that the tasks undertaken in the ITU Telecommunication Standardization Sector (ITU</w:t>
      </w:r>
      <w:r w:rsidRPr="00380B40">
        <w:rPr>
          <w:lang w:val="en-GB"/>
        </w:rPr>
        <w:noBreakHyphen/>
        <w:t>T) cover Recommendations, conformity assessment and matters having policy or regulatory implications;</w:t>
      </w:r>
    </w:p>
    <w:p w14:paraId="711538A9" w14:textId="77777777" w:rsidR="00C53AF4" w:rsidRPr="00380B40" w:rsidRDefault="00C53AF4" w:rsidP="00C53AF4">
      <w:pPr>
        <w:rPr>
          <w:lang w:val="en-GB"/>
        </w:rPr>
      </w:pPr>
      <w:r w:rsidRPr="00380B40">
        <w:rPr>
          <w:i/>
          <w:iCs/>
          <w:lang w:val="en-GB"/>
        </w:rPr>
        <w:t>d)</w:t>
      </w:r>
      <w:r w:rsidRPr="00380B40">
        <w:rPr>
          <w:lang w:val="en-GB"/>
        </w:rPr>
        <w:tab/>
        <w:t>that the economy is increasingly dependent on reliable, cost-effective, competitive and affordable mobile communications technology on a global scale;</w:t>
      </w:r>
    </w:p>
    <w:p w14:paraId="562BB08B" w14:textId="77777777" w:rsidR="00C53AF4" w:rsidRPr="00380B40" w:rsidRDefault="00C53AF4" w:rsidP="00C53AF4">
      <w:pPr>
        <w:rPr>
          <w:lang w:val="en-GB"/>
        </w:rPr>
      </w:pPr>
      <w:r w:rsidRPr="00380B40">
        <w:rPr>
          <w:i/>
          <w:iCs/>
          <w:lang w:val="en-GB"/>
        </w:rPr>
        <w:t>e)</w:t>
      </w:r>
      <w:r w:rsidRPr="00380B40">
        <w:rPr>
          <w:lang w:val="en-GB"/>
        </w:rPr>
        <w:tab/>
        <w:t>that wholesale IMR tariffs are decoupled from underlying costs, which may have an effect on retail rates, including inconsistent and arbitrary charges;</w:t>
      </w:r>
    </w:p>
    <w:p w14:paraId="652095CB" w14:textId="77777777" w:rsidR="00C53AF4" w:rsidRPr="00380B40" w:rsidRDefault="00C53AF4" w:rsidP="00C53AF4">
      <w:pPr>
        <w:rPr>
          <w:lang w:val="en-GB"/>
        </w:rPr>
      </w:pPr>
      <w:r w:rsidRPr="00380B40">
        <w:rPr>
          <w:i/>
          <w:iCs/>
          <w:lang w:val="en-GB"/>
        </w:rPr>
        <w:t>f)</w:t>
      </w:r>
      <w:r w:rsidRPr="00380B40">
        <w:rPr>
          <w:lang w:val="en-GB"/>
        </w:rPr>
        <w:tab/>
        <w:t>that a competitive international telecommunication market may not exist if significant differences persist between national prices and IMR prices;</w:t>
      </w:r>
    </w:p>
    <w:p w14:paraId="2E1F69A9" w14:textId="77777777" w:rsidR="00C53AF4" w:rsidRPr="00380B40" w:rsidRDefault="00C53AF4" w:rsidP="00C53AF4">
      <w:pPr>
        <w:rPr>
          <w:lang w:val="en-GB"/>
        </w:rPr>
      </w:pPr>
      <w:r w:rsidRPr="00380B40">
        <w:rPr>
          <w:i/>
          <w:iCs/>
          <w:lang w:val="en-GB"/>
        </w:rPr>
        <w:t>g)</w:t>
      </w:r>
      <w:r w:rsidRPr="00380B40">
        <w:rPr>
          <w:lang w:val="en-GB"/>
        </w:rPr>
        <w:tab/>
        <w:t>that there are differences in costs between countries and regions,</w:t>
      </w:r>
    </w:p>
    <w:p w14:paraId="062534DE" w14:textId="77777777" w:rsidR="00C53AF4" w:rsidRPr="00380B40" w:rsidRDefault="00C53AF4" w:rsidP="00C53AF4">
      <w:pPr>
        <w:pStyle w:val="Call"/>
        <w:rPr>
          <w:lang w:val="en-GB"/>
        </w:rPr>
      </w:pPr>
      <w:r w:rsidRPr="00380B40">
        <w:rPr>
          <w:lang w:val="en-GB"/>
        </w:rPr>
        <w:t>noting</w:t>
      </w:r>
    </w:p>
    <w:p w14:paraId="5C69CC2A" w14:textId="77777777" w:rsidR="00C53AF4" w:rsidRPr="00380B40" w:rsidRDefault="00C53AF4" w:rsidP="00C53AF4">
      <w:pPr>
        <w:rPr>
          <w:lang w:val="en-GB"/>
        </w:rPr>
      </w:pPr>
      <w:r w:rsidRPr="00380B40">
        <w:rPr>
          <w:i/>
          <w:iCs/>
          <w:lang w:val="en-GB"/>
        </w:rPr>
        <w:t>a)</w:t>
      </w:r>
      <w:r w:rsidRPr="00380B40">
        <w:rPr>
          <w:lang w:val="en-GB"/>
        </w:rPr>
        <w:tab/>
        <w:t>that Recommendation ITU</w:t>
      </w:r>
      <w:r w:rsidRPr="00380B40">
        <w:rPr>
          <w:lang w:val="en-GB"/>
        </w:rPr>
        <w:noBreakHyphen/>
        <w:t>T D.98 is an agreement concluded between Member States and Sector Members in 2012;</w:t>
      </w:r>
    </w:p>
    <w:p w14:paraId="61CA44D7" w14:textId="77777777" w:rsidR="00C53AF4" w:rsidRPr="00380B40" w:rsidRDefault="00C53AF4" w:rsidP="00C53AF4">
      <w:pPr>
        <w:rPr>
          <w:lang w:val="en-GB"/>
        </w:rPr>
      </w:pPr>
      <w:r w:rsidRPr="00380B40">
        <w:rPr>
          <w:i/>
          <w:iCs/>
          <w:lang w:val="en-GB"/>
        </w:rPr>
        <w:t>b)</w:t>
      </w:r>
      <w:r w:rsidRPr="00380B40">
        <w:rPr>
          <w:lang w:val="en-GB"/>
        </w:rPr>
        <w:tab/>
        <w:t>that Recommendation ITU</w:t>
      </w:r>
      <w:r w:rsidRPr="00380B40">
        <w:rPr>
          <w:lang w:val="en-GB"/>
        </w:rPr>
        <w:noBreakHyphen/>
        <w:t>T D.97 contains possible approaches to the reduction of excessive roaming rates, highlighting the need to encourage competition in the roaming market, educate consumers and consider appropriate regulatory actions such as the introduction of caps on roaming rates,</w:t>
      </w:r>
    </w:p>
    <w:p w14:paraId="27BFE74A" w14:textId="77777777" w:rsidR="00132AD9" w:rsidRPr="00380B40" w:rsidRDefault="00132AD9" w:rsidP="00C53AF4">
      <w:pPr>
        <w:pStyle w:val="Call"/>
        <w:rPr>
          <w:lang w:val="en-GB"/>
        </w:rPr>
      </w:pPr>
      <w:r w:rsidRPr="00380B40">
        <w:rPr>
          <w:lang w:val="en-GB"/>
        </w:rPr>
        <w:br w:type="page"/>
      </w:r>
    </w:p>
    <w:p w14:paraId="0818CD0A" w14:textId="77777777" w:rsidR="00C53AF4" w:rsidRPr="00380B40" w:rsidRDefault="00C53AF4" w:rsidP="00C53AF4">
      <w:pPr>
        <w:pStyle w:val="Call"/>
        <w:rPr>
          <w:lang w:val="en-GB"/>
        </w:rPr>
      </w:pPr>
      <w:r w:rsidRPr="00380B40">
        <w:rPr>
          <w:lang w:val="en-GB"/>
        </w:rPr>
        <w:t>resolves</w:t>
      </w:r>
    </w:p>
    <w:p w14:paraId="3A7EB33A" w14:textId="77777777" w:rsidR="00C53AF4" w:rsidRPr="00380B40" w:rsidRDefault="00C53AF4" w:rsidP="00C53AF4">
      <w:pPr>
        <w:rPr>
          <w:lang w:val="en-GB"/>
        </w:rPr>
      </w:pPr>
      <w:r w:rsidRPr="00380B40">
        <w:rPr>
          <w:lang w:val="en-GB"/>
        </w:rPr>
        <w:t>that ITU</w:t>
      </w:r>
      <w:r w:rsidRPr="00380B40">
        <w:rPr>
          <w:lang w:val="en-GB"/>
        </w:rPr>
        <w:noBreakHyphen/>
        <w:t>T Study Group 3 must continue to study the economic effects of IMR rates,</w:t>
      </w:r>
    </w:p>
    <w:p w14:paraId="29AE938F" w14:textId="77777777" w:rsidR="00C53AF4" w:rsidRPr="00380B40" w:rsidRDefault="00C53AF4" w:rsidP="00C53AF4">
      <w:pPr>
        <w:pStyle w:val="Call"/>
        <w:rPr>
          <w:lang w:val="en-GB"/>
        </w:rPr>
      </w:pPr>
      <w:r w:rsidRPr="00380B40">
        <w:rPr>
          <w:lang w:val="en-GB"/>
        </w:rPr>
        <w:t>instructs the Director of the Telecommunication Standardization Bureau</w:t>
      </w:r>
    </w:p>
    <w:p w14:paraId="295FA679" w14:textId="77777777" w:rsidR="00C53AF4" w:rsidRPr="00380B40" w:rsidRDefault="00C53AF4" w:rsidP="00C53AF4">
      <w:pPr>
        <w:rPr>
          <w:lang w:val="en-GB"/>
        </w:rPr>
      </w:pPr>
      <w:r w:rsidRPr="00380B40">
        <w:rPr>
          <w:lang w:val="en-GB"/>
        </w:rPr>
        <w:t>1</w:t>
      </w:r>
      <w:r w:rsidRPr="00380B40">
        <w:rPr>
          <w:lang w:val="en-GB"/>
        </w:rPr>
        <w:tab/>
        <w:t>to organize initiatives, in collaboration with the Director of the Telecommunication Development Bureau (BDT), to raise awareness of the benefits to the consumer of lowering IMR rates;</w:t>
      </w:r>
    </w:p>
    <w:p w14:paraId="55823B69" w14:textId="77777777" w:rsidR="00C53AF4" w:rsidRPr="00380B40" w:rsidRDefault="00C53AF4" w:rsidP="00C53AF4">
      <w:pPr>
        <w:rPr>
          <w:lang w:val="en-GB"/>
        </w:rPr>
      </w:pPr>
      <w:r w:rsidRPr="00380B40">
        <w:rPr>
          <w:lang w:val="en-GB"/>
        </w:rPr>
        <w:t>2</w:t>
      </w:r>
      <w:r w:rsidRPr="00380B40">
        <w:rPr>
          <w:lang w:val="en-GB"/>
        </w:rPr>
        <w:tab/>
        <w:t>to propose cooperative approaches to foster the implementation of Recommendations ITU</w:t>
      </w:r>
      <w:r w:rsidRPr="00380B40">
        <w:rPr>
          <w:lang w:val="en-GB"/>
        </w:rPr>
        <w:noBreakHyphen/>
        <w:t>T D.98 and ITU</w:t>
      </w:r>
      <w:r w:rsidRPr="00380B40">
        <w:rPr>
          <w:lang w:val="en-GB"/>
        </w:rPr>
        <w:noBreakHyphen/>
        <w:t>T D.97, and to lower IMR rates among the Member States, by promoting capacity-building programmes, workshops and guidelines for international cooperation agreements,</w:t>
      </w:r>
    </w:p>
    <w:p w14:paraId="002E019E" w14:textId="77777777" w:rsidR="00C53AF4" w:rsidRPr="00380B40" w:rsidRDefault="00C53AF4" w:rsidP="00C53AF4">
      <w:pPr>
        <w:pStyle w:val="Call"/>
        <w:rPr>
          <w:lang w:val="en-GB"/>
        </w:rPr>
      </w:pPr>
      <w:r w:rsidRPr="00380B40">
        <w:rPr>
          <w:lang w:val="en-GB"/>
        </w:rPr>
        <w:t>invites Member States</w:t>
      </w:r>
    </w:p>
    <w:p w14:paraId="0000AF0B" w14:textId="77777777" w:rsidR="00C53AF4" w:rsidRPr="00380B40" w:rsidRDefault="00C53AF4" w:rsidP="00C53AF4">
      <w:pPr>
        <w:keepNext/>
        <w:keepLines/>
        <w:rPr>
          <w:lang w:val="en-GB"/>
        </w:rPr>
      </w:pPr>
      <w:r w:rsidRPr="00380B40">
        <w:rPr>
          <w:lang w:val="en-GB"/>
        </w:rPr>
        <w:t>1</w:t>
      </w:r>
      <w:r w:rsidRPr="00380B40">
        <w:rPr>
          <w:lang w:val="en-GB"/>
        </w:rPr>
        <w:tab/>
        <w:t>to take measures towards the implementation of Recommendations ITU</w:t>
      </w:r>
      <w:r w:rsidRPr="00380B40">
        <w:rPr>
          <w:lang w:val="en-GB"/>
        </w:rPr>
        <w:noBreakHyphen/>
        <w:t>T D.98 and ITU</w:t>
      </w:r>
      <w:r w:rsidRPr="00380B40">
        <w:rPr>
          <w:lang w:val="en-GB"/>
        </w:rPr>
        <w:noBreakHyphen/>
        <w:t>T D.97;</w:t>
      </w:r>
    </w:p>
    <w:p w14:paraId="3547E5A8" w14:textId="77777777" w:rsidR="00C53AF4" w:rsidRPr="00380B40" w:rsidRDefault="00C53AF4" w:rsidP="00C53AF4">
      <w:pPr>
        <w:keepNext/>
        <w:keepLines/>
        <w:rPr>
          <w:lang w:val="en-GB"/>
        </w:rPr>
      </w:pPr>
      <w:r w:rsidRPr="00380B40">
        <w:rPr>
          <w:lang w:val="en-GB"/>
        </w:rPr>
        <w:t>2</w:t>
      </w:r>
      <w:r w:rsidRPr="00380B40">
        <w:rPr>
          <w:lang w:val="en-GB"/>
        </w:rPr>
        <w:tab/>
        <w:t>to collaborate in the efforts to lower IMR rates by taking regulatory measures when applicable.</w:t>
      </w:r>
    </w:p>
    <w:p w14:paraId="224229C6"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F4956B0"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B8F7BE6"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A90F7DA"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681431B"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7F845A4"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A946E75"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B5E5C17"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DFFB32D"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5899080"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9795F75"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04FE6FE"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45D6FCC"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F96B090"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3005AC8"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FA775A8"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659A76A" w14:textId="77777777" w:rsidR="001475D0" w:rsidRPr="00380B4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878713D" w14:textId="77777777" w:rsidR="00A05618" w:rsidRPr="00380B40" w:rsidRDefault="00A05618" w:rsidP="00A05618">
      <w:pPr>
        <w:rPr>
          <w:lang w:val="en-GB"/>
        </w:rPr>
      </w:pPr>
    </w:p>
    <w:p w14:paraId="4F9D01EF" w14:textId="77777777" w:rsidR="00A05618" w:rsidRPr="00380B40" w:rsidRDefault="00A05618" w:rsidP="00A05618">
      <w:pPr>
        <w:rPr>
          <w:lang w:val="en-GB"/>
        </w:rPr>
        <w:sectPr w:rsidR="00A05618" w:rsidRPr="00380B40" w:rsidSect="00BB4E9D">
          <w:headerReference w:type="even" r:id="rId282"/>
          <w:footerReference w:type="even" r:id="rId283"/>
          <w:footerReference w:type="default" r:id="rId284"/>
          <w:headerReference w:type="first" r:id="rId285"/>
          <w:footerReference w:type="first" r:id="rId286"/>
          <w:footnotePr>
            <w:numRestart w:val="eachSect"/>
          </w:footnotePr>
          <w:pgSz w:w="11907" w:h="16834" w:code="9"/>
          <w:pgMar w:top="1134" w:right="1134" w:bottom="1134" w:left="1134" w:header="567" w:footer="567" w:gutter="0"/>
          <w:paperSrc w:first="15" w:other="15"/>
          <w:cols w:space="720"/>
          <w:vAlign w:val="both"/>
          <w:docGrid w:linePitch="299"/>
        </w:sectPr>
      </w:pPr>
    </w:p>
    <w:p w14:paraId="55600052" w14:textId="77777777" w:rsidR="00C53AF4" w:rsidRPr="00380B40" w:rsidRDefault="008A1180" w:rsidP="00993BFE">
      <w:pPr>
        <w:pStyle w:val="ResNo"/>
        <w:rPr>
          <w:lang w:val="en-GB"/>
        </w:rPr>
      </w:pPr>
      <w:bookmarkStart w:id="419" w:name="_Toc104459785"/>
      <w:bookmarkStart w:id="420" w:name="_Toc104476593"/>
      <w:bookmarkStart w:id="421" w:name="_Toc111636806"/>
      <w:bookmarkStart w:id="422" w:name="_Toc111638486"/>
      <w:r w:rsidRPr="00380B40">
        <w:rPr>
          <w:caps w:val="0"/>
          <w:lang w:val="en-GB"/>
        </w:rPr>
        <w:t xml:space="preserve">RESOLUTION </w:t>
      </w:r>
      <w:r w:rsidR="00C53AF4" w:rsidRPr="00380B40">
        <w:rPr>
          <w:rStyle w:val="href"/>
          <w:lang w:val="en-GB"/>
        </w:rPr>
        <w:t xml:space="preserve">89 </w:t>
      </w:r>
      <w:r w:rsidR="00993BFE" w:rsidRPr="00380B40">
        <w:rPr>
          <w:lang w:val="en-GB"/>
        </w:rPr>
        <w:t>(R</w:t>
      </w:r>
      <w:r w:rsidR="001718FC" w:rsidRPr="00380B40">
        <w:rPr>
          <w:caps w:val="0"/>
          <w:lang w:val="en-GB"/>
        </w:rPr>
        <w:t>ev</w:t>
      </w:r>
      <w:r w:rsidR="00993BFE" w:rsidRPr="00380B40">
        <w:rPr>
          <w:lang w:val="en-GB"/>
        </w:rPr>
        <w:t>. G</w:t>
      </w:r>
      <w:r w:rsidR="001718FC" w:rsidRPr="00380B40">
        <w:rPr>
          <w:caps w:val="0"/>
          <w:lang w:val="en-GB"/>
        </w:rPr>
        <w:t>eneva</w:t>
      </w:r>
      <w:r w:rsidR="00993BFE" w:rsidRPr="00380B40">
        <w:rPr>
          <w:lang w:val="en-GB"/>
        </w:rPr>
        <w:t>, 2022)</w:t>
      </w:r>
      <w:bookmarkEnd w:id="419"/>
      <w:bookmarkEnd w:id="420"/>
      <w:bookmarkEnd w:id="421"/>
      <w:bookmarkEnd w:id="422"/>
    </w:p>
    <w:p w14:paraId="5EF9231A" w14:textId="77777777" w:rsidR="00993BFE" w:rsidRPr="00380B40" w:rsidRDefault="00993BFE" w:rsidP="00993BFE">
      <w:pPr>
        <w:pStyle w:val="Restitle"/>
        <w:rPr>
          <w:lang w:val="en-GB"/>
        </w:rPr>
      </w:pPr>
      <w:bookmarkStart w:id="423" w:name="_Toc104459786"/>
      <w:bookmarkStart w:id="424" w:name="_Toc104476594"/>
      <w:bookmarkStart w:id="425" w:name="_Toc111638487"/>
      <w:r w:rsidRPr="00380B40">
        <w:rPr>
          <w:lang w:val="en-GB"/>
        </w:rPr>
        <w:t xml:space="preserve">Promoting the use of information and communication technologies </w:t>
      </w:r>
      <w:r w:rsidRPr="00380B40">
        <w:rPr>
          <w:lang w:val="en-GB"/>
        </w:rPr>
        <w:br/>
        <w:t>to bridge the financial inclusion gap</w:t>
      </w:r>
      <w:bookmarkEnd w:id="423"/>
      <w:bookmarkEnd w:id="424"/>
      <w:bookmarkEnd w:id="425"/>
    </w:p>
    <w:p w14:paraId="16C48A11" w14:textId="77777777" w:rsidR="00993BFE" w:rsidRPr="00380B40" w:rsidRDefault="00993BFE" w:rsidP="00993BFE">
      <w:pPr>
        <w:pStyle w:val="Resref"/>
        <w:rPr>
          <w:lang w:val="en-GB"/>
        </w:rPr>
      </w:pPr>
      <w:r w:rsidRPr="00380B40">
        <w:rPr>
          <w:lang w:val="en-GB"/>
        </w:rPr>
        <w:t>(Hammamet, 2016; Geneva, 2022)</w:t>
      </w:r>
    </w:p>
    <w:p w14:paraId="0CF17E0E" w14:textId="77777777" w:rsidR="00993BFE" w:rsidRPr="00380B40" w:rsidRDefault="00993BFE" w:rsidP="00993BFE">
      <w:pPr>
        <w:pStyle w:val="Normalaftertitle0"/>
        <w:rPr>
          <w:szCs w:val="24"/>
        </w:rPr>
      </w:pPr>
      <w:r w:rsidRPr="00380B40">
        <w:rPr>
          <w:szCs w:val="24"/>
        </w:rPr>
        <w:t>The World Telecommunication Standardization Assembly (Geneva, 2022),</w:t>
      </w:r>
    </w:p>
    <w:p w14:paraId="277D8454" w14:textId="77777777" w:rsidR="00993BFE" w:rsidRPr="00380B40" w:rsidRDefault="00993BFE" w:rsidP="00993BFE">
      <w:pPr>
        <w:pStyle w:val="Call"/>
        <w:rPr>
          <w:szCs w:val="24"/>
          <w:lang w:val="en-GB"/>
        </w:rPr>
      </w:pPr>
      <w:r w:rsidRPr="00380B40">
        <w:rPr>
          <w:szCs w:val="24"/>
          <w:lang w:val="en-GB"/>
        </w:rPr>
        <w:t>recalling</w:t>
      </w:r>
    </w:p>
    <w:p w14:paraId="154A488F" w14:textId="77777777" w:rsidR="00993BFE" w:rsidRPr="00380B40" w:rsidRDefault="00993BFE" w:rsidP="00993BFE">
      <w:pPr>
        <w:rPr>
          <w:szCs w:val="24"/>
          <w:lang w:val="en-GB"/>
        </w:rPr>
      </w:pPr>
      <w:bookmarkStart w:id="426" w:name="_Hlk96923572"/>
      <w:r w:rsidRPr="00380B40">
        <w:rPr>
          <w:i/>
          <w:iCs/>
          <w:szCs w:val="24"/>
          <w:lang w:val="en-GB"/>
        </w:rPr>
        <w:t>a)</w:t>
      </w:r>
      <w:r w:rsidRPr="00380B40">
        <w:rPr>
          <w:szCs w:val="24"/>
          <w:lang w:val="en-GB"/>
        </w:rPr>
        <w:tab/>
        <w:t>that financial inclusion is a key enabler for reducing poverty and boosting prosperity: around 1.7 billion people globally do not have access to formal financial services and women account for 56 per cent of the unbanked;</w:t>
      </w:r>
    </w:p>
    <w:bookmarkEnd w:id="426"/>
    <w:p w14:paraId="5DCE58B5" w14:textId="77777777" w:rsidR="00993BFE" w:rsidRPr="00380B40" w:rsidRDefault="00993BFE" w:rsidP="00993BFE">
      <w:pPr>
        <w:rPr>
          <w:szCs w:val="24"/>
          <w:lang w:val="en-GB"/>
        </w:rPr>
      </w:pPr>
      <w:r w:rsidRPr="00380B40">
        <w:rPr>
          <w:i/>
          <w:iCs/>
          <w:szCs w:val="24"/>
          <w:lang w:val="en-GB"/>
        </w:rPr>
        <w:t>b)</w:t>
      </w:r>
      <w:r w:rsidRPr="00380B40">
        <w:rPr>
          <w:szCs w:val="24"/>
          <w:lang w:val="en-GB"/>
        </w:rPr>
        <w:tab/>
        <w:t>that, according to the Global Findex Report of the World Bank, more than half of adults in the poorest 40 per cent of households in developing countries</w:t>
      </w:r>
      <w:r w:rsidR="00FD162E" w:rsidRPr="00380B40">
        <w:rPr>
          <w:rStyle w:val="FootnoteReference"/>
          <w:szCs w:val="24"/>
          <w:lang w:val="en-GB"/>
        </w:rPr>
        <w:footnoteReference w:id="51"/>
      </w:r>
      <w:r w:rsidRPr="00380B40">
        <w:rPr>
          <w:szCs w:val="24"/>
          <w:lang w:val="en-GB"/>
        </w:rPr>
        <w:t xml:space="preserve"> were still without accounts in 2017 and, moreover, the gender gap in bank-account ownership is not significantly narrowing: in 2011, 47 per cent of women and 54 per cent of men had an account; in 2014, 58 per cent of women had an account, compared with 65 per cent of men; and in 2017, 65 per cent of women had an account, compared with 72 per cent of men;</w:t>
      </w:r>
    </w:p>
    <w:p w14:paraId="502E11E3" w14:textId="77777777" w:rsidR="00993BFE" w:rsidRPr="00380B40" w:rsidRDefault="00993BFE" w:rsidP="00993BFE">
      <w:pPr>
        <w:rPr>
          <w:szCs w:val="24"/>
          <w:lang w:val="en-GB"/>
        </w:rPr>
      </w:pPr>
      <w:r w:rsidRPr="00380B40">
        <w:rPr>
          <w:i/>
          <w:iCs/>
          <w:szCs w:val="24"/>
          <w:lang w:val="en-GB"/>
        </w:rPr>
        <w:t>c)</w:t>
      </w:r>
      <w:r w:rsidRPr="00380B40">
        <w:rPr>
          <w:szCs w:val="24"/>
          <w:lang w:val="en-GB"/>
        </w:rPr>
        <w:tab/>
        <w:t>that one way to bridge this financial inclusion gap is through information communication technology (ICT), particularly mobile technologies;</w:t>
      </w:r>
    </w:p>
    <w:p w14:paraId="12710E27" w14:textId="77777777" w:rsidR="00993BFE" w:rsidRPr="00380B40" w:rsidRDefault="00993BFE" w:rsidP="00993BFE">
      <w:pPr>
        <w:rPr>
          <w:szCs w:val="24"/>
          <w:lang w:val="en-GB" w:eastAsia="ko-KR"/>
        </w:rPr>
      </w:pPr>
      <w:r w:rsidRPr="00380B40">
        <w:rPr>
          <w:i/>
          <w:szCs w:val="24"/>
          <w:lang w:val="en-GB" w:eastAsia="ko-KR"/>
        </w:rPr>
        <w:t>d)</w:t>
      </w:r>
      <w:r w:rsidRPr="00380B40">
        <w:rPr>
          <w:i/>
          <w:szCs w:val="24"/>
          <w:lang w:val="en-GB" w:eastAsia="ko-KR"/>
        </w:rPr>
        <w:tab/>
      </w:r>
      <w:r w:rsidRPr="00380B40">
        <w:rPr>
          <w:iCs/>
          <w:szCs w:val="24"/>
          <w:lang w:val="en-GB" w:eastAsia="ko-KR"/>
        </w:rPr>
        <w:t>that digital financial services have resulted in a dramatic increase in financial inclusion;</w:t>
      </w:r>
    </w:p>
    <w:p w14:paraId="1638BC19" w14:textId="77777777" w:rsidR="00993BFE" w:rsidRPr="00380B40" w:rsidRDefault="00993BFE" w:rsidP="00993BFE">
      <w:pPr>
        <w:rPr>
          <w:i/>
          <w:iCs/>
          <w:szCs w:val="24"/>
          <w:lang w:val="en-GB"/>
        </w:rPr>
      </w:pPr>
      <w:r w:rsidRPr="00380B40">
        <w:rPr>
          <w:i/>
          <w:iCs/>
          <w:szCs w:val="24"/>
          <w:lang w:val="en-GB" w:eastAsia="ko-KR"/>
        </w:rPr>
        <w:t>e)</w:t>
      </w:r>
      <w:r w:rsidRPr="00380B40">
        <w:rPr>
          <w:szCs w:val="24"/>
          <w:lang w:val="en-GB" w:eastAsia="ko-KR"/>
        </w:rPr>
        <w:tab/>
        <w:t>that digital financial services increase income and social participation in developing countries for women, girls and vulnerable groups, thereby reducing inequalities;</w:t>
      </w:r>
    </w:p>
    <w:p w14:paraId="1994BAF7" w14:textId="77777777" w:rsidR="00993BFE" w:rsidRPr="00380B40" w:rsidRDefault="00993BFE" w:rsidP="00993BFE">
      <w:pPr>
        <w:rPr>
          <w:szCs w:val="24"/>
          <w:lang w:val="en-GB"/>
        </w:rPr>
      </w:pPr>
      <w:r w:rsidRPr="00380B40">
        <w:rPr>
          <w:i/>
          <w:iCs/>
          <w:szCs w:val="24"/>
          <w:lang w:val="en-GB"/>
        </w:rPr>
        <w:t>f)</w:t>
      </w:r>
      <w:r w:rsidRPr="00380B40">
        <w:rPr>
          <w:szCs w:val="24"/>
          <w:lang w:val="en-GB"/>
        </w:rPr>
        <w:tab/>
        <w:t>Resolution 55 (Rev. Geneva, 2022) of this assembly, on promoting gender equality in ITU Telecommunication Standardization Sector (ITU</w:t>
      </w:r>
      <w:r w:rsidRPr="00380B40">
        <w:rPr>
          <w:szCs w:val="24"/>
          <w:lang w:val="en-GB"/>
        </w:rPr>
        <w:noBreakHyphen/>
        <w:t>T) activities;</w:t>
      </w:r>
    </w:p>
    <w:p w14:paraId="79D54BD3" w14:textId="77777777" w:rsidR="00993BFE" w:rsidRPr="00380B40" w:rsidRDefault="00993BFE" w:rsidP="00993BFE">
      <w:pPr>
        <w:rPr>
          <w:szCs w:val="24"/>
          <w:lang w:val="en-GB"/>
        </w:rPr>
      </w:pPr>
      <w:r w:rsidRPr="00380B40">
        <w:rPr>
          <w:i/>
          <w:iCs/>
          <w:szCs w:val="24"/>
          <w:lang w:val="en-GB"/>
        </w:rPr>
        <w:t>g)</w:t>
      </w:r>
      <w:r w:rsidRPr="00380B40">
        <w:rPr>
          <w:szCs w:val="24"/>
          <w:lang w:val="en-GB"/>
        </w:rPr>
        <w:tab/>
        <w:t>that the purposes of the Union include to foster collaboration among the membership for the harmonious development of telecommunications, sharing of best practices and enabling services to be offered at lowest possible cost;</w:t>
      </w:r>
    </w:p>
    <w:p w14:paraId="06CAE367" w14:textId="77777777" w:rsidR="00993BFE" w:rsidRPr="00380B40" w:rsidRDefault="00993BFE" w:rsidP="00993BFE">
      <w:pPr>
        <w:rPr>
          <w:szCs w:val="24"/>
          <w:lang w:val="en-GB"/>
        </w:rPr>
      </w:pPr>
      <w:r w:rsidRPr="00380B40">
        <w:rPr>
          <w:i/>
          <w:iCs/>
          <w:szCs w:val="24"/>
          <w:lang w:val="en-GB"/>
        </w:rPr>
        <w:t>h)</w:t>
      </w:r>
      <w:r w:rsidRPr="00380B40">
        <w:rPr>
          <w:szCs w:val="24"/>
          <w:lang w:val="en-GB"/>
        </w:rPr>
        <w:tab/>
        <w:t>the persistence of the digital divide and the financial inclusion gap;</w:t>
      </w:r>
    </w:p>
    <w:p w14:paraId="3082A2BD" w14:textId="77777777" w:rsidR="00993BFE" w:rsidRPr="00380B40" w:rsidRDefault="00993BFE" w:rsidP="00993BFE">
      <w:pPr>
        <w:rPr>
          <w:szCs w:val="24"/>
          <w:lang w:val="en-GB"/>
        </w:rPr>
      </w:pPr>
      <w:r w:rsidRPr="00380B40">
        <w:rPr>
          <w:i/>
          <w:iCs/>
          <w:szCs w:val="24"/>
          <w:lang w:val="en-GB"/>
        </w:rPr>
        <w:t>i)</w:t>
      </w:r>
      <w:r w:rsidRPr="00380B40">
        <w:rPr>
          <w:szCs w:val="24"/>
          <w:lang w:val="en-GB"/>
        </w:rPr>
        <w:tab/>
        <w:t>Resolution 1353, adopted by the ITU Council at its 2012 session, which recognizes that telecommunications and ICTs are essential components for developed and developing countries in achieving sustainable development, and instructs the Secretary-General, in collaboration with the Directors of the Bureaux, to identify new activities to be undertaken by ITU to support developing countries in achieving sustainable development through telecommunications and ICTs;</w:t>
      </w:r>
    </w:p>
    <w:p w14:paraId="1EA9E89B" w14:textId="77777777" w:rsidR="00BA623A" w:rsidRPr="00380B40" w:rsidRDefault="00BA623A" w:rsidP="00993BFE">
      <w:pPr>
        <w:rPr>
          <w:i/>
          <w:iCs/>
          <w:szCs w:val="24"/>
          <w:lang w:val="en-GB"/>
        </w:rPr>
      </w:pPr>
      <w:r w:rsidRPr="00380B40">
        <w:rPr>
          <w:i/>
          <w:iCs/>
          <w:szCs w:val="24"/>
          <w:lang w:val="en-GB"/>
        </w:rPr>
        <w:br w:type="page"/>
      </w:r>
    </w:p>
    <w:p w14:paraId="774D41C5" w14:textId="77777777" w:rsidR="00993BFE" w:rsidRPr="00380B40" w:rsidRDefault="00993BFE" w:rsidP="00993BFE">
      <w:pPr>
        <w:rPr>
          <w:szCs w:val="24"/>
          <w:lang w:val="en-GB"/>
        </w:rPr>
      </w:pPr>
      <w:r w:rsidRPr="00380B40">
        <w:rPr>
          <w:i/>
          <w:iCs/>
          <w:szCs w:val="24"/>
          <w:lang w:val="en-GB"/>
        </w:rPr>
        <w:t>j)</w:t>
      </w:r>
      <w:r w:rsidRPr="00380B40">
        <w:rPr>
          <w:i/>
          <w:iCs/>
          <w:szCs w:val="24"/>
          <w:lang w:val="en-GB"/>
        </w:rPr>
        <w:tab/>
      </w:r>
      <w:r w:rsidRPr="00380B40">
        <w:rPr>
          <w:szCs w:val="24"/>
          <w:lang w:val="en-GB"/>
        </w:rPr>
        <w:t>Resolution 70 (Rev. Dubai, 2018) of the Plenipotentiary Conference, on mainstreaming a gender perspective in ITU and promotion of gender equality and the empowerment of women through telecommunications/ICTs;</w:t>
      </w:r>
    </w:p>
    <w:p w14:paraId="69E11CFF" w14:textId="77777777" w:rsidR="00993BFE" w:rsidRPr="00380B40" w:rsidRDefault="00993BFE" w:rsidP="00993BFE">
      <w:pPr>
        <w:rPr>
          <w:szCs w:val="24"/>
          <w:lang w:val="en-GB"/>
        </w:rPr>
      </w:pPr>
      <w:r w:rsidRPr="00380B40">
        <w:rPr>
          <w:i/>
          <w:iCs/>
          <w:szCs w:val="24"/>
          <w:lang w:val="en-GB"/>
        </w:rPr>
        <w:t>k)</w:t>
      </w:r>
      <w:r w:rsidRPr="00380B40">
        <w:rPr>
          <w:szCs w:val="24"/>
          <w:lang w:val="en-GB"/>
        </w:rPr>
        <w:tab/>
        <w:t>Resolution 175 (Rev. Dubai, 2018) of the Plenipotentiary Conference, on telecommunication/ICT accessibility for persons with disabilities and persons with specific needs;</w:t>
      </w:r>
    </w:p>
    <w:p w14:paraId="7C225B58" w14:textId="77777777" w:rsidR="00993BFE" w:rsidRPr="00380B40" w:rsidRDefault="00993BFE" w:rsidP="00993BFE">
      <w:pPr>
        <w:rPr>
          <w:szCs w:val="24"/>
          <w:lang w:val="en-GB"/>
        </w:rPr>
      </w:pPr>
      <w:r w:rsidRPr="00380B40">
        <w:rPr>
          <w:i/>
          <w:iCs/>
          <w:szCs w:val="24"/>
          <w:lang w:val="en-GB"/>
        </w:rPr>
        <w:t>l)</w:t>
      </w:r>
      <w:r w:rsidRPr="00380B40">
        <w:rPr>
          <w:szCs w:val="24"/>
          <w:lang w:val="en-GB"/>
        </w:rPr>
        <w:tab/>
        <w:t xml:space="preserve">Resolution 184 (Guadalajara, 2010) </w:t>
      </w:r>
      <w:r w:rsidRPr="00380B40">
        <w:rPr>
          <w:webHidden/>
          <w:szCs w:val="24"/>
          <w:lang w:val="en-GB"/>
        </w:rPr>
        <w:t xml:space="preserve">of the </w:t>
      </w:r>
      <w:r w:rsidRPr="00380B40">
        <w:rPr>
          <w:szCs w:val="24"/>
          <w:lang w:val="en-GB"/>
        </w:rPr>
        <w:t>Plenipotentiary Conference,</w:t>
      </w:r>
      <w:r w:rsidRPr="00380B40">
        <w:rPr>
          <w:webHidden/>
          <w:szCs w:val="24"/>
          <w:lang w:val="en-GB"/>
        </w:rPr>
        <w:t xml:space="preserve"> on </w:t>
      </w:r>
      <w:r w:rsidRPr="00380B40">
        <w:rPr>
          <w:szCs w:val="24"/>
          <w:lang w:val="en-GB"/>
        </w:rPr>
        <w:t>facilitating digital inclusion initiatives for indigenous peoples;</w:t>
      </w:r>
    </w:p>
    <w:p w14:paraId="4D1730B6" w14:textId="77777777" w:rsidR="00993BFE" w:rsidRPr="00380B40" w:rsidRDefault="00993BFE" w:rsidP="00993BFE">
      <w:pPr>
        <w:rPr>
          <w:szCs w:val="24"/>
          <w:lang w:val="en-GB"/>
        </w:rPr>
      </w:pPr>
      <w:r w:rsidRPr="00380B40">
        <w:rPr>
          <w:i/>
          <w:iCs/>
          <w:szCs w:val="24"/>
          <w:lang w:val="en-GB"/>
        </w:rPr>
        <w:t>m)</w:t>
      </w:r>
      <w:r w:rsidRPr="00380B40">
        <w:rPr>
          <w:szCs w:val="24"/>
          <w:lang w:val="en-GB"/>
        </w:rPr>
        <w:tab/>
        <w:t>Resolution 204 (Dubai, 2018) of the Plenipotentiary Conference, on use of ICTs to bridge the financial inclusion gap,</w:t>
      </w:r>
    </w:p>
    <w:p w14:paraId="0DB485C5" w14:textId="77777777" w:rsidR="00993BFE" w:rsidRPr="00380B40" w:rsidRDefault="00993BFE" w:rsidP="00993BFE">
      <w:pPr>
        <w:pStyle w:val="Call"/>
        <w:rPr>
          <w:szCs w:val="24"/>
          <w:lang w:val="en-GB"/>
        </w:rPr>
      </w:pPr>
      <w:r w:rsidRPr="00380B40">
        <w:rPr>
          <w:szCs w:val="24"/>
          <w:lang w:val="en-GB"/>
        </w:rPr>
        <w:t>recognizing</w:t>
      </w:r>
    </w:p>
    <w:p w14:paraId="617C8D43" w14:textId="77777777" w:rsidR="00993BFE" w:rsidRPr="00380B40" w:rsidRDefault="00993BFE" w:rsidP="00993BFE">
      <w:pPr>
        <w:rPr>
          <w:szCs w:val="24"/>
          <w:lang w:val="en-GB"/>
        </w:rPr>
      </w:pPr>
      <w:r w:rsidRPr="00380B40">
        <w:rPr>
          <w:i/>
          <w:iCs/>
          <w:szCs w:val="24"/>
          <w:lang w:val="en-GB"/>
        </w:rPr>
        <w:t>a)</w:t>
      </w:r>
      <w:r w:rsidRPr="00380B40">
        <w:rPr>
          <w:szCs w:val="24"/>
          <w:lang w:val="en-GB"/>
        </w:rPr>
        <w:tab/>
        <w:t>that ITU</w:t>
      </w:r>
      <w:r w:rsidRPr="00380B40">
        <w:rPr>
          <w:szCs w:val="24"/>
          <w:lang w:val="en-GB"/>
        </w:rPr>
        <w:noBreakHyphen/>
        <w:t>T Study Group 3 has been involved in the study of mobile financial services through its Rapporteur Group on mobile financial services in collaboration with relevant standards-development organizations (SDOs);</w:t>
      </w:r>
    </w:p>
    <w:p w14:paraId="0244341C" w14:textId="77777777" w:rsidR="00993BFE" w:rsidRPr="00380B40" w:rsidRDefault="00993BFE" w:rsidP="00993BFE">
      <w:pPr>
        <w:rPr>
          <w:szCs w:val="24"/>
          <w:lang w:val="en-GB"/>
        </w:rPr>
      </w:pPr>
      <w:r w:rsidRPr="00380B40">
        <w:rPr>
          <w:i/>
          <w:iCs/>
          <w:szCs w:val="24"/>
          <w:lang w:val="en-GB"/>
        </w:rPr>
        <w:t>b)</w:t>
      </w:r>
      <w:r w:rsidRPr="00380B40">
        <w:rPr>
          <w:szCs w:val="24"/>
          <w:lang w:val="en-GB"/>
        </w:rPr>
        <w:tab/>
        <w:t>the work undertaken by the ITU-T Focus Group on Digital Financial Services and the ITU</w:t>
      </w:r>
      <w:r w:rsidRPr="00380B40">
        <w:rPr>
          <w:szCs w:val="24"/>
          <w:lang w:val="en-GB"/>
        </w:rPr>
        <w:noBreakHyphen/>
        <w:t>T Focus Group on Digital Currency including Digital Fiat Currency;</w:t>
      </w:r>
    </w:p>
    <w:p w14:paraId="0D8FD7D0" w14:textId="77777777" w:rsidR="00993BFE" w:rsidRPr="00380B40" w:rsidRDefault="00993BFE" w:rsidP="00993BFE">
      <w:pPr>
        <w:rPr>
          <w:szCs w:val="24"/>
          <w:lang w:val="en-GB"/>
        </w:rPr>
      </w:pPr>
      <w:r w:rsidRPr="00380B40">
        <w:rPr>
          <w:i/>
          <w:iCs/>
          <w:szCs w:val="24"/>
          <w:lang w:val="en-GB"/>
        </w:rPr>
        <w:t>c)</w:t>
      </w:r>
      <w:r w:rsidRPr="00380B40">
        <w:rPr>
          <w:i/>
          <w:iCs/>
          <w:szCs w:val="24"/>
          <w:lang w:val="en-GB"/>
        </w:rPr>
        <w:tab/>
      </w:r>
      <w:r w:rsidRPr="00380B40">
        <w:rPr>
          <w:szCs w:val="24"/>
          <w:lang w:val="en-GB"/>
        </w:rPr>
        <w:t>the work done by relevant ITU</w:t>
      </w:r>
      <w:r w:rsidRPr="00380B40">
        <w:rPr>
          <w:szCs w:val="24"/>
          <w:lang w:val="en-GB"/>
        </w:rPr>
        <w:noBreakHyphen/>
        <w:t>T study groups on digital financial services during the last study period,</w:t>
      </w:r>
    </w:p>
    <w:p w14:paraId="6256FE89" w14:textId="77777777" w:rsidR="00993BFE" w:rsidRPr="00380B40" w:rsidRDefault="00993BFE" w:rsidP="00993BFE">
      <w:pPr>
        <w:pStyle w:val="Call"/>
        <w:rPr>
          <w:szCs w:val="24"/>
          <w:lang w:val="en-GB"/>
        </w:rPr>
      </w:pPr>
      <w:r w:rsidRPr="00380B40">
        <w:rPr>
          <w:szCs w:val="24"/>
          <w:lang w:val="en-GB"/>
        </w:rPr>
        <w:t>considering</w:t>
      </w:r>
    </w:p>
    <w:p w14:paraId="3E6FB28C" w14:textId="77777777" w:rsidR="00993BFE" w:rsidRPr="00380B40" w:rsidRDefault="00993BFE" w:rsidP="00993BFE">
      <w:pPr>
        <w:rPr>
          <w:szCs w:val="24"/>
          <w:lang w:val="en-GB"/>
        </w:rPr>
      </w:pPr>
      <w:r w:rsidRPr="00380B40">
        <w:rPr>
          <w:i/>
          <w:iCs/>
          <w:szCs w:val="24"/>
          <w:lang w:val="en-GB"/>
        </w:rPr>
        <w:t>a)</w:t>
      </w:r>
      <w:r w:rsidRPr="00380B40">
        <w:rPr>
          <w:szCs w:val="24"/>
          <w:lang w:val="en-GB"/>
        </w:rPr>
        <w:tab/>
        <w:t>that the issue of access to financial services is one of global concern and requires global collaboration;</w:t>
      </w:r>
    </w:p>
    <w:p w14:paraId="5E218A76" w14:textId="77777777" w:rsidR="00993BFE" w:rsidRPr="00380B40" w:rsidRDefault="00993BFE" w:rsidP="00993BFE">
      <w:pPr>
        <w:rPr>
          <w:szCs w:val="24"/>
          <w:lang w:val="en-GB"/>
        </w:rPr>
      </w:pPr>
      <w:r w:rsidRPr="00380B40">
        <w:rPr>
          <w:i/>
          <w:iCs/>
          <w:szCs w:val="24"/>
          <w:lang w:val="en-GB"/>
        </w:rPr>
        <w:t>b)</w:t>
      </w:r>
      <w:r w:rsidRPr="00380B40">
        <w:rPr>
          <w:szCs w:val="24"/>
          <w:lang w:val="en-GB"/>
        </w:rPr>
        <w:tab/>
        <w:t>United Nations General Assembly Resolution 70/1 of 25 September 2015, on transforming our world: the 2030 Agenda for Sustainable Development, recognizing that it builds on the Millennium Development Goals and seeks to complete their unfinished business, and stressing the importance of the implementation of this new ambitious agenda, which has poverty eradication at its core and aims at promoting the economic, social and environmental dimensions of sustainable development;</w:t>
      </w:r>
    </w:p>
    <w:p w14:paraId="47C9B665" w14:textId="77777777" w:rsidR="00993BFE" w:rsidRPr="00380B40" w:rsidRDefault="00993BFE" w:rsidP="00993BFE">
      <w:pPr>
        <w:rPr>
          <w:szCs w:val="24"/>
          <w:lang w:val="en-GB"/>
        </w:rPr>
      </w:pPr>
      <w:r w:rsidRPr="00380B40">
        <w:rPr>
          <w:i/>
          <w:iCs/>
          <w:szCs w:val="24"/>
          <w:lang w:val="en-GB"/>
        </w:rPr>
        <w:t>c)</w:t>
      </w:r>
      <w:r w:rsidRPr="00380B40">
        <w:rPr>
          <w:szCs w:val="24"/>
          <w:lang w:val="en-GB"/>
        </w:rPr>
        <w:tab/>
        <w:t xml:space="preserve">that this Agenda, </w:t>
      </w:r>
      <w:r w:rsidRPr="00380B40">
        <w:rPr>
          <w:i/>
          <w:iCs/>
          <w:szCs w:val="24"/>
          <w:lang w:val="en-GB"/>
        </w:rPr>
        <w:t>inter alia</w:t>
      </w:r>
      <w:r w:rsidRPr="00380B40">
        <w:rPr>
          <w:szCs w:val="24"/>
          <w:lang w:val="en-GB"/>
        </w:rPr>
        <w:t>, undertakes the adoption and implementation of policies to increase financial inclusion and therefore integrates financial inclusion into several targets associated with the Sustainable Development Goals and their means of implementation;</w:t>
      </w:r>
    </w:p>
    <w:p w14:paraId="20671F41" w14:textId="77777777" w:rsidR="00993BFE" w:rsidRPr="00380B40" w:rsidRDefault="00993BFE" w:rsidP="00993BFE">
      <w:pPr>
        <w:rPr>
          <w:szCs w:val="24"/>
          <w:lang w:val="en-GB" w:eastAsia="ko-KR"/>
        </w:rPr>
      </w:pPr>
      <w:r w:rsidRPr="00380B40">
        <w:rPr>
          <w:i/>
          <w:szCs w:val="24"/>
          <w:lang w:val="en-GB" w:eastAsia="ko-KR"/>
        </w:rPr>
        <w:t>d)</w:t>
      </w:r>
      <w:r w:rsidRPr="00380B40">
        <w:rPr>
          <w:i/>
          <w:szCs w:val="24"/>
          <w:lang w:val="en-GB" w:eastAsia="ko-KR"/>
        </w:rPr>
        <w:tab/>
      </w:r>
      <w:r w:rsidRPr="00380B40">
        <w:rPr>
          <w:iCs/>
          <w:szCs w:val="24"/>
          <w:lang w:val="en-GB" w:eastAsia="ko-KR"/>
        </w:rPr>
        <w:t>that s</w:t>
      </w:r>
      <w:r w:rsidRPr="00380B40">
        <w:rPr>
          <w:szCs w:val="24"/>
          <w:lang w:val="en-GB" w:eastAsia="ko-KR"/>
        </w:rPr>
        <w:t xml:space="preserve">table digital financial services are important for expanding financial inclusion, and this requires cooperation, as relevant, from consumers, businesses, policy-makers and regulators; </w:t>
      </w:r>
    </w:p>
    <w:p w14:paraId="2F26BCEF" w14:textId="77777777" w:rsidR="00993BFE" w:rsidRPr="00380B40" w:rsidRDefault="00993BFE" w:rsidP="00993BFE">
      <w:pPr>
        <w:rPr>
          <w:szCs w:val="24"/>
          <w:lang w:val="en-GB"/>
        </w:rPr>
      </w:pPr>
      <w:r w:rsidRPr="00380B40">
        <w:rPr>
          <w:i/>
          <w:iCs/>
          <w:szCs w:val="24"/>
          <w:lang w:val="en-GB"/>
        </w:rPr>
        <w:t>e)</w:t>
      </w:r>
      <w:r w:rsidRPr="00380B40">
        <w:rPr>
          <w:i/>
          <w:iCs/>
          <w:szCs w:val="24"/>
          <w:lang w:val="en-GB"/>
        </w:rPr>
        <w:tab/>
      </w:r>
      <w:r w:rsidRPr="00380B40">
        <w:rPr>
          <w:szCs w:val="24"/>
          <w:lang w:val="en-GB"/>
        </w:rPr>
        <w:t xml:space="preserve">the need for regulators from the telecommunication and financial services sectors to collaborate with one another and with, </w:t>
      </w:r>
      <w:r w:rsidRPr="00380B40">
        <w:rPr>
          <w:i/>
          <w:iCs/>
          <w:szCs w:val="24"/>
          <w:lang w:val="en-GB"/>
        </w:rPr>
        <w:t>inter alia,</w:t>
      </w:r>
      <w:r w:rsidRPr="00380B40">
        <w:rPr>
          <w:szCs w:val="24"/>
          <w:lang w:val="en-GB"/>
        </w:rPr>
        <w:t xml:space="preserve"> their finance ministries and other stakeholders, and to share best practices, since digital financial services encompass areas which fall under the purview of all parties,</w:t>
      </w:r>
    </w:p>
    <w:p w14:paraId="7C2AD8C3" w14:textId="77777777" w:rsidR="00BA623A" w:rsidRPr="00380B40" w:rsidRDefault="00BA623A" w:rsidP="00993BFE">
      <w:pPr>
        <w:pStyle w:val="Call"/>
        <w:rPr>
          <w:szCs w:val="24"/>
          <w:lang w:val="en-GB"/>
        </w:rPr>
      </w:pPr>
      <w:r w:rsidRPr="00380B40">
        <w:rPr>
          <w:szCs w:val="24"/>
          <w:lang w:val="en-GB"/>
        </w:rPr>
        <w:br w:type="page"/>
      </w:r>
    </w:p>
    <w:p w14:paraId="12CABD09" w14:textId="77777777" w:rsidR="00993BFE" w:rsidRPr="00380B40" w:rsidRDefault="00993BFE" w:rsidP="00993BFE">
      <w:pPr>
        <w:pStyle w:val="Call"/>
        <w:rPr>
          <w:szCs w:val="24"/>
          <w:lang w:val="en-GB"/>
        </w:rPr>
      </w:pPr>
      <w:r w:rsidRPr="00380B40">
        <w:rPr>
          <w:szCs w:val="24"/>
          <w:lang w:val="en-GB"/>
        </w:rPr>
        <w:t>noting</w:t>
      </w:r>
    </w:p>
    <w:p w14:paraId="06C2B00E" w14:textId="77777777" w:rsidR="00993BFE" w:rsidRPr="00380B40" w:rsidRDefault="00993BFE" w:rsidP="00993BFE">
      <w:pPr>
        <w:rPr>
          <w:i/>
          <w:iCs/>
          <w:szCs w:val="24"/>
          <w:lang w:val="en-GB"/>
        </w:rPr>
      </w:pPr>
      <w:r w:rsidRPr="00380B40">
        <w:rPr>
          <w:i/>
          <w:iCs/>
          <w:szCs w:val="24"/>
          <w:lang w:val="en-GB"/>
        </w:rPr>
        <w:t>a)</w:t>
      </w:r>
      <w:r w:rsidRPr="00380B40">
        <w:rPr>
          <w:szCs w:val="24"/>
          <w:lang w:val="en-GB"/>
        </w:rPr>
        <w:tab/>
        <w:t>the target of universal financial access set by the World Bank, and that this goal had not been achieved globally by 2020, yet providing access to a transaction account or electronic instrument to store money and send and receive payments is a basic building block for people to manage their financial lives;</w:t>
      </w:r>
    </w:p>
    <w:p w14:paraId="75E8BBE2" w14:textId="77777777" w:rsidR="00993BFE" w:rsidRPr="00380B40" w:rsidRDefault="00993BFE" w:rsidP="00993BFE">
      <w:pPr>
        <w:rPr>
          <w:szCs w:val="24"/>
          <w:lang w:val="en-GB"/>
        </w:rPr>
      </w:pPr>
      <w:r w:rsidRPr="00380B40">
        <w:rPr>
          <w:i/>
          <w:iCs/>
          <w:szCs w:val="24"/>
          <w:lang w:val="en-GB"/>
        </w:rPr>
        <w:t>b)</w:t>
      </w:r>
      <w:r w:rsidRPr="00380B40">
        <w:rPr>
          <w:szCs w:val="24"/>
          <w:lang w:val="en-GB"/>
        </w:rPr>
        <w:tab/>
        <w:t xml:space="preserve">that interoperability is, </w:t>
      </w:r>
      <w:r w:rsidRPr="00380B40">
        <w:rPr>
          <w:i/>
          <w:iCs/>
          <w:szCs w:val="24"/>
          <w:lang w:val="en-GB"/>
        </w:rPr>
        <w:t>inter alia</w:t>
      </w:r>
      <w:r w:rsidRPr="00380B40">
        <w:rPr>
          <w:szCs w:val="24"/>
          <w:lang w:val="en-GB"/>
        </w:rPr>
        <w:t>, an important element to enable electronic payments in a convenient, affordable, fast, seamless and secure way through a transaction account: indeed, the need for interoperability was also one of the findings of the Task Force on payment aspects of financial inclusion (PAFI) convened by the Committee on Payments and Market Infrastructures (CPMI) and the World Bank Group, which identified required improvements to existing payment systems and services in order to further increase financial inclusion, recognizing that implementation of existing standards and best practices should be a priority;</w:t>
      </w:r>
    </w:p>
    <w:p w14:paraId="7C7CD325" w14:textId="77777777" w:rsidR="00993BFE" w:rsidRPr="00380B40" w:rsidRDefault="00993BFE" w:rsidP="00993BFE">
      <w:pPr>
        <w:rPr>
          <w:szCs w:val="24"/>
          <w:lang w:val="en-GB"/>
        </w:rPr>
      </w:pPr>
      <w:r w:rsidRPr="00380B40">
        <w:rPr>
          <w:i/>
          <w:iCs/>
          <w:szCs w:val="24"/>
          <w:lang w:val="en-GB"/>
        </w:rPr>
        <w:t>c)</w:t>
      </w:r>
      <w:r w:rsidRPr="00380B40">
        <w:rPr>
          <w:szCs w:val="24"/>
          <w:lang w:val="en-GB"/>
        </w:rPr>
        <w:tab/>
        <w:t>that, despite the increase in financial inclusion and scaling up of mobile-money services in emerging economies over the past five years,</w:t>
      </w:r>
      <w:r w:rsidRPr="00380B40" w:rsidDel="0006397C">
        <w:rPr>
          <w:szCs w:val="24"/>
          <w:lang w:val="en-GB"/>
        </w:rPr>
        <w:t xml:space="preserve"> </w:t>
      </w:r>
      <w:r w:rsidRPr="00380B40">
        <w:rPr>
          <w:szCs w:val="24"/>
          <w:lang w:val="en-GB"/>
        </w:rPr>
        <w:t>digital financial inclusion still remains a challenge and efforts to roll out standards and systems to support digital financial services will thus need to be continued and accelerated;</w:t>
      </w:r>
    </w:p>
    <w:p w14:paraId="5BBD30FE" w14:textId="77777777" w:rsidR="00993BFE" w:rsidRPr="00380B40" w:rsidRDefault="00993BFE" w:rsidP="00993BFE">
      <w:pPr>
        <w:rPr>
          <w:szCs w:val="24"/>
          <w:lang w:val="en-GB"/>
        </w:rPr>
      </w:pPr>
      <w:r w:rsidRPr="00380B40">
        <w:rPr>
          <w:i/>
          <w:iCs/>
          <w:szCs w:val="24"/>
          <w:lang w:val="en-GB"/>
        </w:rPr>
        <w:t>d)</w:t>
      </w:r>
      <w:r w:rsidRPr="00380B40">
        <w:rPr>
          <w:szCs w:val="24"/>
          <w:lang w:val="en-GB"/>
        </w:rPr>
        <w:tab/>
        <w:t>the importance of affordability of digital financial services, especially for developing countries and people in low-income households, for achieving financial inclusion;</w:t>
      </w:r>
    </w:p>
    <w:p w14:paraId="040D788A" w14:textId="77777777" w:rsidR="00993BFE" w:rsidRPr="00380B40" w:rsidRDefault="00993BFE" w:rsidP="00993BFE">
      <w:pPr>
        <w:rPr>
          <w:szCs w:val="24"/>
          <w:lang w:val="en-GB"/>
        </w:rPr>
      </w:pPr>
      <w:r w:rsidRPr="00380B40">
        <w:rPr>
          <w:i/>
          <w:iCs/>
          <w:szCs w:val="24"/>
          <w:lang w:val="en-GB"/>
        </w:rPr>
        <w:t>e)</w:t>
      </w:r>
      <w:r w:rsidRPr="00380B40">
        <w:rPr>
          <w:szCs w:val="24"/>
          <w:lang w:val="en-GB"/>
        </w:rPr>
        <w:tab/>
        <w:t>the increased interest in using mobile financial services and digitizing government-to-person payments and applications of emerging technologies to advance financial inclusion to better target those in need,</w:t>
      </w:r>
    </w:p>
    <w:p w14:paraId="13D5E7B4" w14:textId="77777777" w:rsidR="00993BFE" w:rsidRPr="00380B40" w:rsidRDefault="00993BFE" w:rsidP="00993BFE">
      <w:pPr>
        <w:pStyle w:val="Call"/>
        <w:rPr>
          <w:szCs w:val="24"/>
          <w:lang w:val="en-GB"/>
        </w:rPr>
      </w:pPr>
      <w:r w:rsidRPr="00380B40">
        <w:rPr>
          <w:szCs w:val="24"/>
          <w:lang w:val="en-GB"/>
        </w:rPr>
        <w:t>resolves</w:t>
      </w:r>
    </w:p>
    <w:p w14:paraId="1026A641" w14:textId="77777777" w:rsidR="00993BFE" w:rsidRPr="00380B40" w:rsidRDefault="00993BFE" w:rsidP="00993BFE">
      <w:pPr>
        <w:rPr>
          <w:szCs w:val="24"/>
          <w:lang w:val="en-GB"/>
        </w:rPr>
      </w:pPr>
      <w:r w:rsidRPr="00380B40">
        <w:rPr>
          <w:szCs w:val="24"/>
          <w:lang w:val="en-GB"/>
        </w:rPr>
        <w:t>1</w:t>
      </w:r>
      <w:r w:rsidRPr="00380B40">
        <w:rPr>
          <w:szCs w:val="24"/>
          <w:lang w:val="en-GB"/>
        </w:rPr>
        <w:tab/>
        <w:t>to continue and further develop the ITU</w:t>
      </w:r>
      <w:r w:rsidRPr="00380B40">
        <w:rPr>
          <w:szCs w:val="24"/>
          <w:lang w:val="en-GB"/>
        </w:rPr>
        <w:noBreakHyphen/>
        <w:t>T work programme, including the ongoing work in relevant ITU-T study groups, in order to contribute to the wider global efforts to enhance financial inclusion, as part of the United Nations processes;</w:t>
      </w:r>
    </w:p>
    <w:p w14:paraId="35C4D87E" w14:textId="77777777" w:rsidR="00993BFE" w:rsidRPr="00380B40" w:rsidRDefault="00993BFE" w:rsidP="00993BFE">
      <w:pPr>
        <w:rPr>
          <w:szCs w:val="24"/>
          <w:lang w:val="en-GB"/>
        </w:rPr>
      </w:pPr>
      <w:r w:rsidRPr="00380B40">
        <w:rPr>
          <w:szCs w:val="24"/>
          <w:lang w:val="en-GB"/>
        </w:rPr>
        <w:t>2</w:t>
      </w:r>
      <w:r w:rsidRPr="00380B40">
        <w:rPr>
          <w:szCs w:val="24"/>
          <w:lang w:val="en-GB"/>
        </w:rPr>
        <w:tab/>
        <w:t>to conduct studies and develop standards and guidelines in the areas of interoperability, digitization of payments, consumer protection, quality of service, big data, security of digital financial service transactions, and telecommunications/ICTs related to digital financial services where such studies, standards and guidelines do not duplicate efforts taking place in other institutions and relate to the mandate of the Union;</w:t>
      </w:r>
    </w:p>
    <w:p w14:paraId="5BB21B2F" w14:textId="77777777" w:rsidR="00993BFE" w:rsidRPr="00380B40" w:rsidRDefault="00993BFE" w:rsidP="00993BFE">
      <w:pPr>
        <w:rPr>
          <w:szCs w:val="24"/>
          <w:lang w:val="en-GB"/>
        </w:rPr>
      </w:pPr>
      <w:r w:rsidRPr="00380B40">
        <w:rPr>
          <w:szCs w:val="24"/>
          <w:lang w:val="en-GB"/>
        </w:rPr>
        <w:t>3</w:t>
      </w:r>
      <w:r w:rsidRPr="00380B40">
        <w:rPr>
          <w:szCs w:val="24"/>
          <w:lang w:val="en-GB"/>
        </w:rPr>
        <w:tab/>
        <w:t>to encourage collaboration between telecommunication regulators and financial services authorities to develop and implement standards and guidelines, including consumer-protection guidance;</w:t>
      </w:r>
    </w:p>
    <w:p w14:paraId="5AC9C9DE" w14:textId="77777777" w:rsidR="00993BFE" w:rsidRPr="00380B40" w:rsidRDefault="00993BFE" w:rsidP="00993BFE">
      <w:pPr>
        <w:rPr>
          <w:szCs w:val="24"/>
          <w:lang w:val="en-GB"/>
        </w:rPr>
      </w:pPr>
      <w:r w:rsidRPr="00380B40">
        <w:rPr>
          <w:szCs w:val="24"/>
          <w:lang w:val="en-GB"/>
        </w:rPr>
        <w:t>4</w:t>
      </w:r>
      <w:r w:rsidRPr="00380B40">
        <w:rPr>
          <w:szCs w:val="24"/>
          <w:lang w:val="en-GB"/>
        </w:rPr>
        <w:tab/>
        <w:t>to encourage the use of innovative digital tools and technologies, as appropriate, to advance financial inclusion,</w:t>
      </w:r>
    </w:p>
    <w:p w14:paraId="0A5223CA" w14:textId="77777777" w:rsidR="00993BFE" w:rsidRPr="00380B40" w:rsidRDefault="00993BFE" w:rsidP="00993BFE">
      <w:pPr>
        <w:pStyle w:val="Call"/>
        <w:rPr>
          <w:szCs w:val="24"/>
          <w:lang w:val="en-GB"/>
        </w:rPr>
      </w:pPr>
      <w:r w:rsidRPr="00380B40">
        <w:rPr>
          <w:szCs w:val="24"/>
          <w:lang w:val="en-GB"/>
        </w:rPr>
        <w:t xml:space="preserve">instructs the Director of the Telecommunication Standardization Bureau, in collaboration with the Directors of the other Bureaux </w:t>
      </w:r>
    </w:p>
    <w:p w14:paraId="0C33C391" w14:textId="77777777" w:rsidR="00993BFE" w:rsidRPr="00380B40" w:rsidRDefault="00993BFE" w:rsidP="00993BFE">
      <w:pPr>
        <w:rPr>
          <w:szCs w:val="24"/>
          <w:lang w:val="en-GB"/>
        </w:rPr>
      </w:pPr>
      <w:r w:rsidRPr="00380B40">
        <w:rPr>
          <w:szCs w:val="24"/>
          <w:lang w:val="en-GB"/>
        </w:rPr>
        <w:t>1</w:t>
      </w:r>
      <w:r w:rsidRPr="00380B40">
        <w:rPr>
          <w:szCs w:val="24"/>
          <w:lang w:val="en-GB"/>
        </w:rPr>
        <w:tab/>
        <w:t xml:space="preserve">to report on progress on the implementation of this resolution annually to the Council, and to the World Telecommunication Standardization Assembly; </w:t>
      </w:r>
    </w:p>
    <w:p w14:paraId="38E25A95" w14:textId="77777777" w:rsidR="00BA623A" w:rsidRPr="00380B40" w:rsidRDefault="00BA623A" w:rsidP="00993BFE">
      <w:pPr>
        <w:rPr>
          <w:szCs w:val="24"/>
          <w:lang w:val="en-GB"/>
        </w:rPr>
      </w:pPr>
      <w:r w:rsidRPr="00380B40">
        <w:rPr>
          <w:szCs w:val="24"/>
          <w:lang w:val="en-GB"/>
        </w:rPr>
        <w:br w:type="page"/>
      </w:r>
    </w:p>
    <w:p w14:paraId="5EB9D5DA" w14:textId="77777777" w:rsidR="00993BFE" w:rsidRPr="00380B40" w:rsidRDefault="00993BFE" w:rsidP="00993BFE">
      <w:pPr>
        <w:rPr>
          <w:szCs w:val="24"/>
          <w:lang w:val="en-GB"/>
        </w:rPr>
      </w:pPr>
      <w:r w:rsidRPr="00380B40">
        <w:rPr>
          <w:szCs w:val="24"/>
          <w:lang w:val="en-GB"/>
        </w:rPr>
        <w:t>2</w:t>
      </w:r>
      <w:r w:rsidRPr="00380B40">
        <w:rPr>
          <w:szCs w:val="24"/>
          <w:lang w:val="en-GB"/>
        </w:rPr>
        <w:tab/>
        <w:t xml:space="preserve">to support the development of reports and best practices on digital financial inclusion, taking into consideration relevant studies, where clearly within the mandate of the Union and not duplicative of work for which other SDOs and institutions are responsible; </w:t>
      </w:r>
    </w:p>
    <w:p w14:paraId="1A4DF03A" w14:textId="77777777" w:rsidR="00993BFE" w:rsidRPr="00380B40" w:rsidRDefault="00993BFE" w:rsidP="00993BFE">
      <w:pPr>
        <w:rPr>
          <w:szCs w:val="24"/>
          <w:lang w:val="en-GB"/>
        </w:rPr>
      </w:pPr>
      <w:r w:rsidRPr="00380B40">
        <w:rPr>
          <w:szCs w:val="24"/>
          <w:lang w:val="en-GB"/>
        </w:rPr>
        <w:t>3</w:t>
      </w:r>
      <w:r w:rsidRPr="00380B40">
        <w:rPr>
          <w:szCs w:val="24"/>
          <w:lang w:val="en-GB"/>
        </w:rPr>
        <w:tab/>
        <w:t xml:space="preserve">to establish a platform or, where possible, connect to those already existing, for peer learning, dialogue and experience-sharing in digital financial services among countries and regions, regulators from the telecommunication and financial services sectors, industry experts and international and regional organizations; </w:t>
      </w:r>
    </w:p>
    <w:p w14:paraId="3B05A75B" w14:textId="77777777" w:rsidR="00993BFE" w:rsidRPr="00380B40" w:rsidRDefault="00993BFE" w:rsidP="00993BFE">
      <w:pPr>
        <w:rPr>
          <w:szCs w:val="24"/>
          <w:lang w:val="en-GB"/>
        </w:rPr>
      </w:pPr>
      <w:r w:rsidRPr="00380B40">
        <w:rPr>
          <w:szCs w:val="24"/>
          <w:lang w:val="en-GB"/>
        </w:rPr>
        <w:t>4</w:t>
      </w:r>
      <w:r w:rsidRPr="00380B40">
        <w:rPr>
          <w:szCs w:val="24"/>
          <w:lang w:val="en-GB"/>
        </w:rPr>
        <w:tab/>
        <w:t>to organize workshops and seminars for the ITU membership in collaboration with other relevant SDOs, academia and institutions with primary responsibility for standards-development, implementation and capacity building in the area of financial services, in order to raise awareness and identify regulators' particular needs and challenges in enhancing financial inclusion and in respect of applications of emerging technologies in digital finance, and to share lessons learned from different regions,</w:t>
      </w:r>
    </w:p>
    <w:p w14:paraId="62F21012" w14:textId="77777777" w:rsidR="00993BFE" w:rsidRPr="00380B40" w:rsidRDefault="00993BFE" w:rsidP="00993BFE">
      <w:pPr>
        <w:pStyle w:val="Call"/>
        <w:rPr>
          <w:szCs w:val="24"/>
          <w:lang w:val="en-GB"/>
        </w:rPr>
      </w:pPr>
      <w:r w:rsidRPr="00380B40">
        <w:rPr>
          <w:szCs w:val="24"/>
          <w:lang w:val="en-GB"/>
        </w:rPr>
        <w:t>instructs the relevant study groups of the ITU Telecommunication Standardization Sector</w:t>
      </w:r>
    </w:p>
    <w:p w14:paraId="7B5F5D59" w14:textId="77777777" w:rsidR="00993BFE" w:rsidRPr="00380B40" w:rsidRDefault="00993BFE" w:rsidP="00993BFE">
      <w:pPr>
        <w:rPr>
          <w:szCs w:val="24"/>
          <w:lang w:val="en-GB"/>
        </w:rPr>
      </w:pPr>
      <w:r w:rsidRPr="00380B40">
        <w:rPr>
          <w:szCs w:val="24"/>
          <w:lang w:val="en-GB"/>
        </w:rPr>
        <w:t>1</w:t>
      </w:r>
      <w:r w:rsidRPr="00380B40">
        <w:rPr>
          <w:szCs w:val="24"/>
          <w:lang w:val="en-GB"/>
        </w:rPr>
        <w:tab/>
        <w:t>to organize the necessary work and studies in order to expand and accelerate the work on digital financial services, starting with their first meeting in the next study period;</w:t>
      </w:r>
    </w:p>
    <w:p w14:paraId="148D253B" w14:textId="77777777" w:rsidR="00993BFE" w:rsidRPr="00380B40" w:rsidRDefault="00993BFE" w:rsidP="00993BFE">
      <w:pPr>
        <w:rPr>
          <w:szCs w:val="24"/>
          <w:lang w:val="en-GB"/>
        </w:rPr>
      </w:pPr>
      <w:r w:rsidRPr="00380B40">
        <w:rPr>
          <w:szCs w:val="24"/>
          <w:lang w:val="en-GB"/>
        </w:rPr>
        <w:t>2</w:t>
      </w:r>
      <w:r w:rsidRPr="00380B40">
        <w:rPr>
          <w:szCs w:val="24"/>
          <w:lang w:val="en-GB"/>
        </w:rPr>
        <w:tab/>
        <w:t>to coordinate and collaborate with other relevant SDOs and institutions with primary responsibility for standards development, implementation and capacity building in the area of financial services, and with other groups within ITU;</w:t>
      </w:r>
    </w:p>
    <w:p w14:paraId="05DA12B1" w14:textId="77777777" w:rsidR="00993BFE" w:rsidRPr="00380B40" w:rsidRDefault="00993BFE" w:rsidP="00993BFE">
      <w:pPr>
        <w:rPr>
          <w:w w:val="102"/>
          <w:szCs w:val="24"/>
          <w:lang w:val="en-GB"/>
        </w:rPr>
      </w:pPr>
      <w:r w:rsidRPr="00380B40">
        <w:rPr>
          <w:szCs w:val="24"/>
          <w:lang w:val="en-GB"/>
        </w:rPr>
        <w:t>3</w:t>
      </w:r>
      <w:r w:rsidRPr="00380B40">
        <w:rPr>
          <w:w w:val="102"/>
          <w:szCs w:val="24"/>
          <w:lang w:val="en-GB"/>
        </w:rPr>
        <w:tab/>
        <w:t>to develop technical standards and guidelines that will help developing countries take advantage of emerging technologies related to digital financial services;</w:t>
      </w:r>
    </w:p>
    <w:p w14:paraId="1A0BC401" w14:textId="77777777" w:rsidR="00993BFE" w:rsidRPr="00380B40" w:rsidRDefault="00993BFE" w:rsidP="00993BFE">
      <w:pPr>
        <w:rPr>
          <w:szCs w:val="24"/>
          <w:lang w:val="en-GB"/>
        </w:rPr>
      </w:pPr>
      <w:r w:rsidRPr="00380B40">
        <w:rPr>
          <w:szCs w:val="24"/>
          <w:lang w:val="en-GB"/>
        </w:rPr>
        <w:t>4</w:t>
      </w:r>
      <w:r w:rsidRPr="00380B40">
        <w:rPr>
          <w:szCs w:val="24"/>
          <w:lang w:val="en-GB"/>
        </w:rPr>
        <w:tab/>
        <w:t>to develop technical standards and guidance for developing countries to assess the security of their digital financial service infrastructure related to telecommunications,</w:t>
      </w:r>
    </w:p>
    <w:p w14:paraId="506B1A93" w14:textId="77777777" w:rsidR="00993BFE" w:rsidRPr="00380B40" w:rsidRDefault="00993BFE" w:rsidP="00993BFE">
      <w:pPr>
        <w:pStyle w:val="Call"/>
        <w:rPr>
          <w:szCs w:val="24"/>
          <w:lang w:val="en-GB"/>
        </w:rPr>
      </w:pPr>
      <w:r w:rsidRPr="00380B40">
        <w:rPr>
          <w:szCs w:val="24"/>
          <w:lang w:val="en-GB"/>
        </w:rPr>
        <w:t>invites the Secretary-General</w:t>
      </w:r>
    </w:p>
    <w:p w14:paraId="37E76CCB" w14:textId="77777777" w:rsidR="00993BFE" w:rsidRPr="00380B40" w:rsidRDefault="00993BFE" w:rsidP="00993BFE">
      <w:pPr>
        <w:rPr>
          <w:szCs w:val="24"/>
          <w:lang w:val="en-GB"/>
        </w:rPr>
      </w:pPr>
      <w:r w:rsidRPr="00380B40">
        <w:rPr>
          <w:szCs w:val="24"/>
          <w:lang w:val="en-GB"/>
        </w:rPr>
        <w:t>to continue to cooperate and collaborate with other entities within the United Nations and other relevant entities in formulating future international efforts for effectively addressing financial inclusion,</w:t>
      </w:r>
    </w:p>
    <w:p w14:paraId="44457718" w14:textId="77777777" w:rsidR="00993BFE" w:rsidRPr="00380B40" w:rsidRDefault="00993BFE" w:rsidP="00993BFE">
      <w:pPr>
        <w:pStyle w:val="Call"/>
        <w:rPr>
          <w:szCs w:val="24"/>
          <w:lang w:val="en-GB"/>
        </w:rPr>
      </w:pPr>
      <w:r w:rsidRPr="00380B40">
        <w:rPr>
          <w:szCs w:val="24"/>
          <w:lang w:val="en-GB"/>
        </w:rPr>
        <w:t>invites Member States, Sector Members and Associates</w:t>
      </w:r>
    </w:p>
    <w:p w14:paraId="37F6BB45" w14:textId="77777777" w:rsidR="00993BFE" w:rsidRPr="00380B40" w:rsidRDefault="00993BFE" w:rsidP="00993BFE">
      <w:pPr>
        <w:rPr>
          <w:szCs w:val="24"/>
          <w:lang w:val="en-GB"/>
        </w:rPr>
      </w:pPr>
      <w:r w:rsidRPr="00380B40">
        <w:rPr>
          <w:szCs w:val="24"/>
          <w:lang w:val="en-GB"/>
        </w:rPr>
        <w:t>1</w:t>
      </w:r>
      <w:r w:rsidRPr="00380B40">
        <w:rPr>
          <w:szCs w:val="24"/>
          <w:lang w:val="en-GB"/>
        </w:rPr>
        <w:tab/>
        <w:t>to continue to contribute actively to ITU</w:t>
      </w:r>
      <w:r w:rsidRPr="00380B40">
        <w:rPr>
          <w:szCs w:val="24"/>
          <w:lang w:val="en-GB"/>
        </w:rPr>
        <w:noBreakHyphen/>
        <w:t>T study groups on issues related to use of ICTs to enhance financial inclusion, within the mandate of the Union;</w:t>
      </w:r>
    </w:p>
    <w:p w14:paraId="0F7B20F5" w14:textId="77777777" w:rsidR="00993BFE" w:rsidRPr="00380B40" w:rsidRDefault="00993BFE" w:rsidP="00993BFE">
      <w:pPr>
        <w:rPr>
          <w:szCs w:val="24"/>
          <w:lang w:val="en-GB"/>
        </w:rPr>
      </w:pPr>
      <w:r w:rsidRPr="00380B40">
        <w:rPr>
          <w:szCs w:val="24"/>
          <w:lang w:val="en-GB"/>
        </w:rPr>
        <w:t>2</w:t>
      </w:r>
      <w:r w:rsidRPr="00380B40">
        <w:rPr>
          <w:szCs w:val="24"/>
          <w:lang w:val="en-GB"/>
        </w:rPr>
        <w:tab/>
        <w:t>to promote the integration of ICTs, financial services and consumer protection policies in order to enhance usage of digital financial services with the objective of increasing financial inclusion,</w:t>
      </w:r>
    </w:p>
    <w:p w14:paraId="01AC1726" w14:textId="77777777" w:rsidR="00BA623A" w:rsidRPr="00380B40" w:rsidRDefault="00BA623A" w:rsidP="00993BFE">
      <w:pPr>
        <w:pStyle w:val="Call"/>
        <w:rPr>
          <w:szCs w:val="24"/>
          <w:lang w:val="en-GB"/>
        </w:rPr>
      </w:pPr>
      <w:r w:rsidRPr="00380B40">
        <w:rPr>
          <w:szCs w:val="24"/>
          <w:lang w:val="en-GB"/>
        </w:rPr>
        <w:br w:type="page"/>
      </w:r>
    </w:p>
    <w:p w14:paraId="4200AC80" w14:textId="77777777" w:rsidR="00993BFE" w:rsidRPr="00380B40" w:rsidRDefault="00993BFE" w:rsidP="00993BFE">
      <w:pPr>
        <w:pStyle w:val="Call"/>
        <w:rPr>
          <w:szCs w:val="24"/>
          <w:lang w:val="en-GB"/>
        </w:rPr>
      </w:pPr>
      <w:r w:rsidRPr="00380B40">
        <w:rPr>
          <w:szCs w:val="24"/>
          <w:lang w:val="en-GB"/>
        </w:rPr>
        <w:t>invites Member States</w:t>
      </w:r>
    </w:p>
    <w:p w14:paraId="2EE67DF9" w14:textId="77777777" w:rsidR="00993BFE" w:rsidRPr="00380B40" w:rsidRDefault="00993BFE" w:rsidP="00993BFE">
      <w:pPr>
        <w:rPr>
          <w:szCs w:val="24"/>
          <w:lang w:val="en-GB"/>
        </w:rPr>
      </w:pPr>
      <w:r w:rsidRPr="00380B40">
        <w:rPr>
          <w:szCs w:val="24"/>
          <w:lang w:val="en-GB"/>
        </w:rPr>
        <w:t>1</w:t>
      </w:r>
      <w:r w:rsidRPr="00380B40">
        <w:rPr>
          <w:szCs w:val="24"/>
          <w:lang w:val="en-GB"/>
        </w:rPr>
        <w:tab/>
        <w:t>to develop and implement national strategies to address financial inclusion as a matter of priority and to leverage ICTs to bring financial services to the unbanked;</w:t>
      </w:r>
    </w:p>
    <w:p w14:paraId="5B7B9146" w14:textId="77777777" w:rsidR="00993BFE" w:rsidRPr="00380B40" w:rsidRDefault="00993BFE" w:rsidP="00993BFE">
      <w:pPr>
        <w:rPr>
          <w:szCs w:val="24"/>
          <w:lang w:val="en-GB"/>
        </w:rPr>
      </w:pPr>
      <w:r w:rsidRPr="00380B40">
        <w:rPr>
          <w:szCs w:val="24"/>
          <w:lang w:val="en-GB"/>
        </w:rPr>
        <w:t>2</w:t>
      </w:r>
      <w:r w:rsidRPr="00380B40">
        <w:rPr>
          <w:szCs w:val="24"/>
          <w:lang w:val="en-GB"/>
        </w:rPr>
        <w:tab/>
        <w:t>to include policies for women and girls and vulnerable groups on financial inclusion and security for digital financial services in their national telecommunication/ICT and financial inclusion strategies;</w:t>
      </w:r>
    </w:p>
    <w:p w14:paraId="2E80FFC6" w14:textId="77777777" w:rsidR="00993BFE" w:rsidRPr="00380B40" w:rsidRDefault="00993BFE" w:rsidP="00993BFE">
      <w:pPr>
        <w:rPr>
          <w:szCs w:val="24"/>
          <w:lang w:val="en-GB"/>
        </w:rPr>
      </w:pPr>
      <w:r w:rsidRPr="00380B40">
        <w:rPr>
          <w:szCs w:val="24"/>
          <w:lang w:val="en-GB"/>
        </w:rPr>
        <w:t>3</w:t>
      </w:r>
      <w:r w:rsidRPr="00380B40">
        <w:rPr>
          <w:szCs w:val="24"/>
          <w:lang w:val="en-GB"/>
        </w:rPr>
        <w:tab/>
        <w:t>to undertake reforms that will leverage ICTs to achieve gender equality within the objectives of this resolution and enhance financial inclusion for women and girls and vulnerable groups;</w:t>
      </w:r>
    </w:p>
    <w:p w14:paraId="25E12480" w14:textId="77777777" w:rsidR="00993BFE" w:rsidRPr="00380B40" w:rsidRDefault="00993BFE" w:rsidP="00993BFE">
      <w:pPr>
        <w:rPr>
          <w:szCs w:val="24"/>
          <w:lang w:val="en-GB"/>
        </w:rPr>
      </w:pPr>
      <w:r w:rsidRPr="00380B40">
        <w:rPr>
          <w:szCs w:val="24"/>
          <w:lang w:val="en-GB"/>
        </w:rPr>
        <w:t>4</w:t>
      </w:r>
      <w:r w:rsidRPr="00380B40">
        <w:rPr>
          <w:szCs w:val="24"/>
          <w:lang w:val="en-GB"/>
        </w:rPr>
        <w:tab/>
        <w:t>to increase coordination, as appropriate, among national regulatory authorities, in order to remove obstacles preventing non-bank service providers from accessing payment system infrastructures and financial service providers from accessing communications channels, and to foster conditions for affordable and more secure transfer of remittances in both source and recipient countries, including by promoting competitive and transparent market conditions;</w:t>
      </w:r>
    </w:p>
    <w:p w14:paraId="4942069C" w14:textId="77777777" w:rsidR="00993BFE" w:rsidRPr="00380B40" w:rsidRDefault="00993BFE" w:rsidP="00993BFE">
      <w:pPr>
        <w:rPr>
          <w:szCs w:val="24"/>
          <w:lang w:val="en-GB"/>
        </w:rPr>
      </w:pPr>
      <w:r w:rsidRPr="00380B40">
        <w:rPr>
          <w:szCs w:val="24"/>
          <w:lang w:val="en-GB"/>
        </w:rPr>
        <w:t>5</w:t>
      </w:r>
      <w:r w:rsidRPr="00380B40">
        <w:rPr>
          <w:szCs w:val="24"/>
          <w:lang w:val="en-GB"/>
        </w:rPr>
        <w:tab/>
        <w:t>to contribute to global efforts designed to deal with enhancing the cybersecurity and resilience of the digital finance ecosystem through adoption of international standards and industry best practices;</w:t>
      </w:r>
    </w:p>
    <w:p w14:paraId="05046CC9" w14:textId="77777777" w:rsidR="00993BFE" w:rsidRPr="00380B40" w:rsidRDefault="00993BFE" w:rsidP="00993BFE">
      <w:pPr>
        <w:rPr>
          <w:szCs w:val="24"/>
          <w:lang w:val="en-GB"/>
        </w:rPr>
      </w:pPr>
      <w:r w:rsidRPr="00380B40">
        <w:rPr>
          <w:szCs w:val="24"/>
          <w:lang w:val="en-GB"/>
        </w:rPr>
        <w:t>6</w:t>
      </w:r>
      <w:r w:rsidRPr="00380B40">
        <w:rPr>
          <w:szCs w:val="24"/>
          <w:lang w:val="en-GB"/>
        </w:rPr>
        <w:tab/>
        <w:t>to share international experiences in the use of the telecommunication/ICT-related unique identifiers and improve national identification systems, noting that such systems can allow people who lack formal education and/or are undocumented to establish a unique digital identity that a financial institution can use;</w:t>
      </w:r>
    </w:p>
    <w:p w14:paraId="15CE13E5" w14:textId="77777777" w:rsidR="00993BFE" w:rsidRPr="00380B40" w:rsidRDefault="00993BFE" w:rsidP="00993BFE">
      <w:pPr>
        <w:rPr>
          <w:szCs w:val="24"/>
          <w:lang w:val="en-GB"/>
        </w:rPr>
      </w:pPr>
      <w:r w:rsidRPr="00380B40">
        <w:rPr>
          <w:szCs w:val="24"/>
          <w:lang w:val="en-GB"/>
        </w:rPr>
        <w:t>7</w:t>
      </w:r>
      <w:r w:rsidRPr="00380B40">
        <w:rPr>
          <w:szCs w:val="24"/>
          <w:lang w:val="en-GB"/>
        </w:rPr>
        <w:tab/>
      </w:r>
      <w:r w:rsidRPr="00380B40">
        <w:rPr>
          <w:szCs w:val="24"/>
          <w:bdr w:val="none" w:sz="0" w:space="0" w:color="auto" w:frame="1"/>
          <w:lang w:val="en-GB"/>
        </w:rPr>
        <w:t xml:space="preserve">to consider eliminating or reducing regulatory fees and levies in the cost of ownership of a mobile connection for the poorest households, thereby ensuring that hard-to-reach populations, such as </w:t>
      </w:r>
      <w:r w:rsidRPr="00380B40">
        <w:rPr>
          <w:szCs w:val="24"/>
          <w:lang w:val="en-GB"/>
        </w:rPr>
        <w:t xml:space="preserve">women and girls and vulnerable groups, have </w:t>
      </w:r>
      <w:r w:rsidRPr="00380B40">
        <w:rPr>
          <w:szCs w:val="24"/>
          <w:bdr w:val="none" w:sz="0" w:space="0" w:color="auto" w:frame="1"/>
          <w:lang w:val="en-GB"/>
        </w:rPr>
        <w:t>affordable access to mobile connections for the use of financial services;</w:t>
      </w:r>
    </w:p>
    <w:p w14:paraId="1DDDE680" w14:textId="77777777" w:rsidR="00993BFE" w:rsidRPr="00380B40" w:rsidRDefault="00993BFE" w:rsidP="00993BFE">
      <w:pPr>
        <w:rPr>
          <w:szCs w:val="24"/>
          <w:lang w:val="en-GB"/>
        </w:rPr>
      </w:pPr>
      <w:r w:rsidRPr="00380B40">
        <w:rPr>
          <w:szCs w:val="24"/>
          <w:lang w:val="en-GB"/>
        </w:rPr>
        <w:t>8</w:t>
      </w:r>
      <w:r w:rsidRPr="00380B40">
        <w:rPr>
          <w:szCs w:val="24"/>
          <w:lang w:val="en-GB"/>
        </w:rPr>
        <w:tab/>
        <w:t>to encourage telecommunication/ICT-related measures to facilitate interoperability of digital financial services.</w:t>
      </w:r>
    </w:p>
    <w:p w14:paraId="64E079B7" w14:textId="77777777" w:rsidR="001718FC" w:rsidRPr="00380B40" w:rsidRDefault="001718FC" w:rsidP="00993BFE">
      <w:pPr>
        <w:rPr>
          <w:szCs w:val="24"/>
          <w:lang w:val="en-GB"/>
        </w:rPr>
      </w:pPr>
    </w:p>
    <w:p w14:paraId="12AA4AAF" w14:textId="77777777" w:rsidR="001718FC" w:rsidRPr="00380B40" w:rsidRDefault="001718FC" w:rsidP="00993BFE">
      <w:pPr>
        <w:rPr>
          <w:szCs w:val="24"/>
          <w:lang w:val="en-GB"/>
        </w:rPr>
      </w:pPr>
    </w:p>
    <w:p w14:paraId="29FFCFF3" w14:textId="77777777" w:rsidR="001718FC" w:rsidRPr="00380B40" w:rsidRDefault="001718FC" w:rsidP="00993BFE">
      <w:pPr>
        <w:rPr>
          <w:szCs w:val="24"/>
          <w:lang w:val="en-GB"/>
        </w:rPr>
      </w:pPr>
    </w:p>
    <w:p w14:paraId="55D975D7" w14:textId="77777777" w:rsidR="001718FC" w:rsidRPr="00380B40" w:rsidRDefault="001718FC" w:rsidP="00993BFE">
      <w:pPr>
        <w:rPr>
          <w:szCs w:val="24"/>
          <w:lang w:val="en-GB"/>
        </w:rPr>
      </w:pPr>
    </w:p>
    <w:p w14:paraId="128AADC6" w14:textId="77777777" w:rsidR="001718FC" w:rsidRPr="00380B40" w:rsidRDefault="001718FC" w:rsidP="00993BFE">
      <w:pPr>
        <w:rPr>
          <w:szCs w:val="24"/>
          <w:lang w:val="en-GB"/>
        </w:rPr>
      </w:pPr>
    </w:p>
    <w:p w14:paraId="6D393149" w14:textId="77777777" w:rsidR="00BA623A" w:rsidRPr="00380B40" w:rsidRDefault="00BA623A" w:rsidP="00993BFE">
      <w:pPr>
        <w:rPr>
          <w:szCs w:val="24"/>
          <w:lang w:val="en-GB"/>
        </w:rPr>
      </w:pPr>
    </w:p>
    <w:p w14:paraId="4624ABBD" w14:textId="77777777" w:rsidR="001718FC" w:rsidRPr="00380B40" w:rsidRDefault="001718FC" w:rsidP="00993BFE">
      <w:pPr>
        <w:rPr>
          <w:szCs w:val="24"/>
          <w:lang w:val="en-GB"/>
        </w:rPr>
      </w:pPr>
    </w:p>
    <w:p w14:paraId="07DD52FF" w14:textId="77777777" w:rsidR="001718FC" w:rsidRPr="00380B40" w:rsidRDefault="001718FC" w:rsidP="00993BFE">
      <w:pPr>
        <w:rPr>
          <w:szCs w:val="24"/>
          <w:lang w:val="en-GB"/>
        </w:rPr>
      </w:pPr>
    </w:p>
    <w:p w14:paraId="50C5B23D" w14:textId="77777777" w:rsidR="001718FC" w:rsidRPr="00380B40" w:rsidRDefault="001718FC" w:rsidP="00993BFE">
      <w:pPr>
        <w:rPr>
          <w:szCs w:val="24"/>
          <w:lang w:val="en-GB"/>
        </w:rPr>
      </w:pPr>
    </w:p>
    <w:p w14:paraId="4B53B171" w14:textId="77777777" w:rsidR="00A05618" w:rsidRPr="00380B40" w:rsidRDefault="00A05618" w:rsidP="00A05618">
      <w:pPr>
        <w:rPr>
          <w:lang w:val="en-GB"/>
        </w:rPr>
      </w:pPr>
    </w:p>
    <w:p w14:paraId="64CB0960" w14:textId="77777777" w:rsidR="00A05618" w:rsidRPr="00380B40" w:rsidRDefault="00A05618" w:rsidP="00A05618">
      <w:pPr>
        <w:rPr>
          <w:lang w:val="en-GB"/>
        </w:rPr>
        <w:sectPr w:rsidR="00A05618" w:rsidRPr="00380B40" w:rsidSect="00BB4E9D">
          <w:headerReference w:type="even" r:id="rId287"/>
          <w:headerReference w:type="default" r:id="rId288"/>
          <w:footerReference w:type="even" r:id="rId289"/>
          <w:footerReference w:type="default" r:id="rId290"/>
          <w:headerReference w:type="first" r:id="rId291"/>
          <w:footerReference w:type="first" r:id="rId292"/>
          <w:footnotePr>
            <w:numRestart w:val="eachSect"/>
          </w:footnotePr>
          <w:pgSz w:w="11907" w:h="16834" w:code="9"/>
          <w:pgMar w:top="1134" w:right="1134" w:bottom="1134" w:left="1134" w:header="567" w:footer="567" w:gutter="0"/>
          <w:paperSrc w:first="15" w:other="15"/>
          <w:cols w:space="720"/>
          <w:vAlign w:val="both"/>
          <w:docGrid w:linePitch="299"/>
        </w:sectPr>
      </w:pPr>
    </w:p>
    <w:p w14:paraId="5C339319" w14:textId="77777777" w:rsidR="00C53AF4" w:rsidRPr="00380B40" w:rsidRDefault="008A1180" w:rsidP="00C53AF4">
      <w:pPr>
        <w:pStyle w:val="ResNo"/>
        <w:rPr>
          <w:lang w:val="en-GB"/>
        </w:rPr>
      </w:pPr>
      <w:bookmarkStart w:id="427" w:name="_Toc104459787"/>
      <w:bookmarkStart w:id="428" w:name="_Toc104476595"/>
      <w:bookmarkStart w:id="429" w:name="_Toc111636807"/>
      <w:bookmarkStart w:id="430" w:name="_Toc111638488"/>
      <w:r w:rsidRPr="00380B40">
        <w:rPr>
          <w:caps w:val="0"/>
          <w:lang w:val="en-GB"/>
        </w:rPr>
        <w:t xml:space="preserve">RESOLUTION </w:t>
      </w:r>
      <w:r w:rsidR="00C53AF4" w:rsidRPr="00380B40">
        <w:rPr>
          <w:rStyle w:val="href"/>
          <w:lang w:val="en-GB"/>
        </w:rPr>
        <w:t xml:space="preserve">90 </w:t>
      </w:r>
      <w:r w:rsidR="00C53AF4" w:rsidRPr="00380B40">
        <w:rPr>
          <w:lang w:val="en-GB"/>
        </w:rPr>
        <w:t>(</w:t>
      </w:r>
      <w:r w:rsidR="00C53AF4" w:rsidRPr="00380B40">
        <w:rPr>
          <w:caps w:val="0"/>
          <w:lang w:val="en-GB"/>
        </w:rPr>
        <w:t>Hammamet</w:t>
      </w:r>
      <w:r w:rsidR="00C53AF4" w:rsidRPr="00380B40">
        <w:rPr>
          <w:lang w:val="en-GB"/>
        </w:rPr>
        <w:t>, 2016)</w:t>
      </w:r>
      <w:bookmarkEnd w:id="427"/>
      <w:bookmarkEnd w:id="428"/>
      <w:bookmarkEnd w:id="429"/>
      <w:bookmarkEnd w:id="430"/>
    </w:p>
    <w:p w14:paraId="419EFD26" w14:textId="77777777" w:rsidR="00C53AF4" w:rsidRPr="00380B40" w:rsidRDefault="00C53AF4" w:rsidP="00C53AF4">
      <w:pPr>
        <w:pStyle w:val="Restitle"/>
        <w:rPr>
          <w:lang w:val="en-GB"/>
        </w:rPr>
      </w:pPr>
      <w:bookmarkStart w:id="431" w:name="_Toc104459788"/>
      <w:bookmarkStart w:id="432" w:name="_Toc104476596"/>
      <w:bookmarkStart w:id="433" w:name="_Toc111638489"/>
      <w:r w:rsidRPr="00380B40">
        <w:rPr>
          <w:lang w:val="en-GB"/>
        </w:rPr>
        <w:t>Open source in the ITU Telecommunication Standardization Sector</w:t>
      </w:r>
      <w:bookmarkEnd w:id="431"/>
      <w:bookmarkEnd w:id="432"/>
      <w:bookmarkEnd w:id="433"/>
    </w:p>
    <w:p w14:paraId="0B627732" w14:textId="77777777" w:rsidR="00C53AF4" w:rsidRPr="00380B40" w:rsidRDefault="00C53AF4" w:rsidP="00C53AF4">
      <w:pPr>
        <w:pStyle w:val="Resref"/>
        <w:rPr>
          <w:lang w:val="en-GB"/>
        </w:rPr>
      </w:pPr>
      <w:r w:rsidRPr="00380B40">
        <w:rPr>
          <w:lang w:val="en-GB"/>
        </w:rPr>
        <w:t>(Hammamet, 2016)</w:t>
      </w:r>
    </w:p>
    <w:p w14:paraId="5B836B37" w14:textId="77777777" w:rsidR="00C53AF4" w:rsidRPr="00380B40" w:rsidRDefault="00C53AF4" w:rsidP="00C53AF4">
      <w:pPr>
        <w:pStyle w:val="Normalaftertitle0"/>
      </w:pPr>
      <w:r w:rsidRPr="00380B40">
        <w:t>The World Telecommunication Standardization Assembly (Hammamet, 2016),</w:t>
      </w:r>
    </w:p>
    <w:p w14:paraId="5BB503B5" w14:textId="77777777" w:rsidR="00C53AF4" w:rsidRPr="00380B40" w:rsidRDefault="00C53AF4" w:rsidP="00C53AF4">
      <w:pPr>
        <w:pStyle w:val="Call"/>
        <w:rPr>
          <w:lang w:val="en-GB"/>
        </w:rPr>
      </w:pPr>
      <w:r w:rsidRPr="00380B40">
        <w:rPr>
          <w:lang w:val="en-GB"/>
        </w:rPr>
        <w:t>recalling</w:t>
      </w:r>
    </w:p>
    <w:p w14:paraId="4A5C11B7" w14:textId="77777777" w:rsidR="00C53AF4" w:rsidRPr="00380B40" w:rsidRDefault="00C53AF4" w:rsidP="00C53AF4">
      <w:pPr>
        <w:rPr>
          <w:lang w:val="en-GB"/>
        </w:rPr>
      </w:pPr>
      <w:r w:rsidRPr="00380B40">
        <w:rPr>
          <w:i/>
          <w:iCs/>
          <w:lang w:val="en-GB"/>
        </w:rPr>
        <w:t>a)</w:t>
      </w:r>
      <w:r w:rsidRPr="00380B40">
        <w:rPr>
          <w:lang w:val="en-GB"/>
        </w:rPr>
        <w:tab/>
        <w:t>§ 10e) and § 23o) of the Geneva Plan of Action of the World Summit on the Information Society (WSIS);</w:t>
      </w:r>
    </w:p>
    <w:p w14:paraId="492086F3" w14:textId="77777777" w:rsidR="00C53AF4" w:rsidRPr="00380B40" w:rsidRDefault="00C53AF4" w:rsidP="00C53AF4">
      <w:pPr>
        <w:rPr>
          <w:lang w:val="en-GB"/>
        </w:rPr>
      </w:pPr>
      <w:r w:rsidRPr="00380B40">
        <w:rPr>
          <w:i/>
          <w:iCs/>
          <w:lang w:val="en-GB"/>
        </w:rPr>
        <w:t>b)</w:t>
      </w:r>
      <w:r w:rsidRPr="00380B40">
        <w:rPr>
          <w:lang w:val="en-GB"/>
        </w:rPr>
        <w:tab/>
        <w:t>§ 29) of the Tunis Commitment of WSIS;</w:t>
      </w:r>
    </w:p>
    <w:p w14:paraId="7FE60093" w14:textId="77777777" w:rsidR="00C53AF4" w:rsidRPr="00380B40" w:rsidRDefault="00C53AF4" w:rsidP="00C53AF4">
      <w:pPr>
        <w:rPr>
          <w:lang w:val="en-GB"/>
        </w:rPr>
      </w:pPr>
      <w:r w:rsidRPr="00380B40">
        <w:rPr>
          <w:i/>
          <w:iCs/>
          <w:lang w:val="en-GB"/>
        </w:rPr>
        <w:t>c)</w:t>
      </w:r>
      <w:r w:rsidRPr="00380B40">
        <w:rPr>
          <w:lang w:val="en-GB"/>
        </w:rPr>
        <w:tab/>
        <w:t>§ 49) of the Tunis Agenda for the Information Society of WSIS;</w:t>
      </w:r>
    </w:p>
    <w:p w14:paraId="35B1019D" w14:textId="77777777" w:rsidR="00C53AF4" w:rsidRPr="00380B40" w:rsidRDefault="00C53AF4" w:rsidP="00C53AF4">
      <w:pPr>
        <w:rPr>
          <w:lang w:val="en-GB"/>
        </w:rPr>
      </w:pPr>
      <w:r w:rsidRPr="00380B40">
        <w:rPr>
          <w:i/>
          <w:iCs/>
          <w:lang w:val="en-GB"/>
        </w:rPr>
        <w:t>d)</w:t>
      </w:r>
      <w:r w:rsidRPr="00380B40">
        <w:rPr>
          <w:lang w:val="en-GB"/>
        </w:rPr>
        <w:tab/>
        <w:t>Resolution 44 (Rev. Hammamet, 2016) of this assembly, on bridging the standardization gap between developing</w:t>
      </w:r>
      <w:r w:rsidR="00FD162E" w:rsidRPr="00380B40">
        <w:rPr>
          <w:rStyle w:val="FootnoteReference"/>
          <w:lang w:val="en-GB"/>
        </w:rPr>
        <w:footnoteReference w:id="52"/>
      </w:r>
      <w:r w:rsidRPr="00380B40">
        <w:rPr>
          <w:lang w:val="en-GB"/>
        </w:rPr>
        <w:t xml:space="preserve"> and developed countries;</w:t>
      </w:r>
    </w:p>
    <w:p w14:paraId="6297A166" w14:textId="77777777" w:rsidR="00C53AF4" w:rsidRPr="00380B40" w:rsidRDefault="00C53AF4" w:rsidP="00C53AF4">
      <w:pPr>
        <w:rPr>
          <w:lang w:val="en-GB"/>
        </w:rPr>
      </w:pPr>
      <w:r w:rsidRPr="00380B40">
        <w:rPr>
          <w:i/>
          <w:iCs/>
          <w:lang w:val="en-GB"/>
        </w:rPr>
        <w:t>e)</w:t>
      </w:r>
      <w:r w:rsidRPr="00380B40">
        <w:rPr>
          <w:lang w:val="en-GB"/>
        </w:rPr>
        <w:tab/>
        <w:t>Resolution 58 (Rev. Dubai, 2014) of World Telecommunication Development Conference, which resolves to invite Member States to promote and undertake research and development of ICT-accessible equipment, services and software, with emphasis on free and open-source software and affordable equipment and services,</w:t>
      </w:r>
    </w:p>
    <w:p w14:paraId="6E17BD30" w14:textId="77777777" w:rsidR="00C53AF4" w:rsidRPr="00380B40" w:rsidRDefault="00C53AF4" w:rsidP="00C53AF4">
      <w:pPr>
        <w:pStyle w:val="Call"/>
        <w:rPr>
          <w:lang w:val="en-GB"/>
        </w:rPr>
      </w:pPr>
      <w:r w:rsidRPr="00380B40">
        <w:rPr>
          <w:lang w:val="en-GB"/>
        </w:rPr>
        <w:t>resolves</w:t>
      </w:r>
    </w:p>
    <w:p w14:paraId="1FC1D34D" w14:textId="77777777" w:rsidR="00C53AF4" w:rsidRPr="00380B40" w:rsidRDefault="00C53AF4" w:rsidP="00C53AF4">
      <w:pPr>
        <w:rPr>
          <w:lang w:val="en-GB"/>
        </w:rPr>
      </w:pPr>
      <w:r w:rsidRPr="00380B40">
        <w:rPr>
          <w:lang w:val="en-GB"/>
        </w:rPr>
        <w:t>that the Telecommunication Standardization Advisory Group (TSAG) continue to work on the benefits and disadvantages of the implementation of open-source projects in relation with the work of the ITU Telecommunication Standardization Sector (ITU</w:t>
      </w:r>
      <w:r w:rsidRPr="00380B40">
        <w:rPr>
          <w:lang w:val="en-GB"/>
        </w:rPr>
        <w:noBreakHyphen/>
        <w:t>T), as appropriate,</w:t>
      </w:r>
    </w:p>
    <w:p w14:paraId="69D3E3FF" w14:textId="77777777" w:rsidR="00C53AF4" w:rsidRPr="00380B40" w:rsidRDefault="00C53AF4" w:rsidP="00C53AF4">
      <w:pPr>
        <w:pStyle w:val="Call"/>
        <w:rPr>
          <w:lang w:val="en-GB"/>
        </w:rPr>
      </w:pPr>
      <w:r w:rsidRPr="00380B40">
        <w:rPr>
          <w:lang w:val="en-GB"/>
        </w:rPr>
        <w:t>instructs all applicable study groups of the ITU Telecommunication Standardization Sector, within available financial resources</w:t>
      </w:r>
    </w:p>
    <w:p w14:paraId="00DEA23B" w14:textId="77777777" w:rsidR="00C53AF4" w:rsidRPr="00380B40" w:rsidRDefault="00C53AF4" w:rsidP="00C53AF4">
      <w:pPr>
        <w:rPr>
          <w:lang w:val="en-GB"/>
        </w:rPr>
      </w:pPr>
      <w:r w:rsidRPr="00380B40">
        <w:rPr>
          <w:lang w:val="en-GB"/>
        </w:rPr>
        <w:t>1</w:t>
      </w:r>
      <w:r w:rsidRPr="00380B40">
        <w:rPr>
          <w:lang w:val="en-GB"/>
        </w:rPr>
        <w:tab/>
        <w:t>to provide inputs to TSAG enquiries on open source as listed in TSAG Report 8, July 2016;</w:t>
      </w:r>
    </w:p>
    <w:p w14:paraId="780256D2" w14:textId="77777777" w:rsidR="00C53AF4" w:rsidRPr="00380B40" w:rsidRDefault="00C53AF4" w:rsidP="00C53AF4">
      <w:pPr>
        <w:rPr>
          <w:lang w:val="en-GB"/>
        </w:rPr>
      </w:pPr>
      <w:r w:rsidRPr="00380B40">
        <w:rPr>
          <w:lang w:val="en-GB"/>
        </w:rPr>
        <w:t>2</w:t>
      </w:r>
      <w:r w:rsidRPr="00380B40">
        <w:rPr>
          <w:lang w:val="en-GB"/>
        </w:rPr>
        <w:tab/>
        <w:t>to consider output from TSAG on open source, in order to study the value of using open source to develop reference implementations of ITU</w:t>
      </w:r>
      <w:r w:rsidRPr="00380B40">
        <w:rPr>
          <w:lang w:val="en-GB"/>
        </w:rPr>
        <w:noBreakHyphen/>
        <w:t>T Recommendations, as appropriate;</w:t>
      </w:r>
    </w:p>
    <w:p w14:paraId="0CC9A8A2" w14:textId="77777777" w:rsidR="00C53AF4" w:rsidRPr="00380B40" w:rsidRDefault="00C53AF4" w:rsidP="00C53AF4">
      <w:pPr>
        <w:rPr>
          <w:lang w:val="en-GB"/>
        </w:rPr>
      </w:pPr>
      <w:r w:rsidRPr="00380B40">
        <w:rPr>
          <w:lang w:val="en-GB"/>
        </w:rPr>
        <w:t>3</w:t>
      </w:r>
      <w:r w:rsidRPr="00380B40">
        <w:rPr>
          <w:lang w:val="en-GB"/>
        </w:rPr>
        <w:tab/>
        <w:t xml:space="preserve">considering the output of the studies under </w:t>
      </w:r>
      <w:r w:rsidRPr="00380B40">
        <w:rPr>
          <w:i/>
          <w:iCs/>
          <w:lang w:val="en-GB"/>
        </w:rPr>
        <w:t>instructs </w:t>
      </w:r>
      <w:r w:rsidRPr="00380B40">
        <w:rPr>
          <w:lang w:val="en-GB"/>
        </w:rPr>
        <w:t>2 above, to continue using open source as appropriate;</w:t>
      </w:r>
    </w:p>
    <w:p w14:paraId="2F5714E9" w14:textId="77777777" w:rsidR="00C53AF4" w:rsidRPr="00380B40" w:rsidRDefault="00C53AF4" w:rsidP="00C53AF4">
      <w:pPr>
        <w:rPr>
          <w:lang w:val="en-GB"/>
        </w:rPr>
      </w:pPr>
      <w:r w:rsidRPr="00380B40">
        <w:rPr>
          <w:lang w:val="en-GB"/>
        </w:rPr>
        <w:t>4</w:t>
      </w:r>
      <w:r w:rsidRPr="00380B40">
        <w:rPr>
          <w:lang w:val="en-GB"/>
        </w:rPr>
        <w:tab/>
        <w:t xml:space="preserve">to support the use of open-source projects in their work, as appropriate, taking into account the outcome of the TSAG study; </w:t>
      </w:r>
    </w:p>
    <w:p w14:paraId="3ACA021E" w14:textId="77777777" w:rsidR="00C53AF4" w:rsidRPr="00380B40" w:rsidRDefault="00C53AF4" w:rsidP="00C53AF4">
      <w:pPr>
        <w:rPr>
          <w:lang w:val="en-GB"/>
        </w:rPr>
      </w:pPr>
      <w:r w:rsidRPr="00380B40">
        <w:rPr>
          <w:lang w:val="en-GB"/>
        </w:rPr>
        <w:t>5</w:t>
      </w:r>
      <w:r w:rsidRPr="00380B40">
        <w:rPr>
          <w:lang w:val="en-GB"/>
        </w:rPr>
        <w:tab/>
        <w:t xml:space="preserve">to continue engaging with open-source projects, </w:t>
      </w:r>
    </w:p>
    <w:p w14:paraId="72BFF9B5"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sidRPr="00380B40">
        <w:rPr>
          <w:lang w:val="en-GB"/>
        </w:rPr>
        <w:br w:type="page"/>
      </w:r>
    </w:p>
    <w:p w14:paraId="49DB9987" w14:textId="77777777" w:rsidR="00C53AF4" w:rsidRPr="00380B40" w:rsidRDefault="00C53AF4" w:rsidP="00C53AF4">
      <w:pPr>
        <w:pStyle w:val="Call"/>
        <w:rPr>
          <w:lang w:val="en-GB"/>
        </w:rPr>
      </w:pPr>
      <w:r w:rsidRPr="00380B40">
        <w:rPr>
          <w:lang w:val="en-GB"/>
        </w:rPr>
        <w:t>instructs the Director of the Telecommunication Standardization Bureau</w:t>
      </w:r>
    </w:p>
    <w:p w14:paraId="089DA4CA" w14:textId="77777777" w:rsidR="00C53AF4" w:rsidRPr="00380B40" w:rsidRDefault="00C53AF4" w:rsidP="00C53AF4">
      <w:pPr>
        <w:rPr>
          <w:lang w:val="en-GB"/>
        </w:rPr>
      </w:pPr>
      <w:r w:rsidRPr="00380B40">
        <w:rPr>
          <w:lang w:val="en-GB"/>
        </w:rPr>
        <w:t>1</w:t>
      </w:r>
      <w:r w:rsidRPr="00380B40">
        <w:rPr>
          <w:lang w:val="en-GB"/>
        </w:rPr>
        <w:tab/>
        <w:t>to provide open source related training (e.g. tutorials, seminars, workshops) to ITU</w:t>
      </w:r>
      <w:r w:rsidRPr="00380B40">
        <w:rPr>
          <w:lang w:val="en-GB"/>
        </w:rPr>
        <w:noBreakHyphen/>
        <w:t>T participants, in collaboration with open-source communities and the Telecommunication Development Bureau, taking into account the ITU</w:t>
      </w:r>
      <w:r w:rsidRPr="00380B40">
        <w:rPr>
          <w:lang w:val="en-GB"/>
        </w:rPr>
        <w:noBreakHyphen/>
        <w:t>T objective to bridge the standardization gap and digital gender gap and the budgetary constraints of the Union;</w:t>
      </w:r>
    </w:p>
    <w:p w14:paraId="22C79D92" w14:textId="77777777" w:rsidR="00C53AF4" w:rsidRPr="00380B40" w:rsidRDefault="00C53AF4" w:rsidP="00C53AF4">
      <w:pPr>
        <w:rPr>
          <w:lang w:val="en-GB"/>
        </w:rPr>
      </w:pPr>
      <w:r w:rsidRPr="00380B40">
        <w:rPr>
          <w:lang w:val="en-GB"/>
        </w:rPr>
        <w:t>2</w:t>
      </w:r>
      <w:r w:rsidRPr="00380B40">
        <w:rPr>
          <w:lang w:val="en-GB"/>
        </w:rPr>
        <w:tab/>
        <w:t>to submit a report to TSAG annually on progress achieved in implementing this resolution,</w:t>
      </w:r>
    </w:p>
    <w:p w14:paraId="5EF4A8C1" w14:textId="77777777" w:rsidR="00C53AF4" w:rsidRPr="00380B40" w:rsidRDefault="00C53AF4" w:rsidP="00C53AF4">
      <w:pPr>
        <w:pStyle w:val="Call"/>
        <w:rPr>
          <w:lang w:val="en-GB"/>
        </w:rPr>
      </w:pPr>
      <w:r w:rsidRPr="00380B40">
        <w:rPr>
          <w:lang w:val="en-GB"/>
        </w:rPr>
        <w:t>instructs the Telecommunication Standardization Advisory Group</w:t>
      </w:r>
    </w:p>
    <w:p w14:paraId="6AFACF39" w14:textId="77777777" w:rsidR="00C53AF4" w:rsidRPr="00380B40" w:rsidRDefault="00C53AF4" w:rsidP="00C53AF4">
      <w:pPr>
        <w:rPr>
          <w:lang w:val="en-GB"/>
        </w:rPr>
      </w:pPr>
      <w:r w:rsidRPr="00380B40">
        <w:rPr>
          <w:lang w:val="en-GB"/>
        </w:rPr>
        <w:t>to continue fulfilling of the outcomes of TSAG Report 8 concerning open source,</w:t>
      </w:r>
    </w:p>
    <w:p w14:paraId="32ECB91D" w14:textId="77777777" w:rsidR="00C53AF4" w:rsidRPr="00380B40" w:rsidRDefault="00C53AF4" w:rsidP="00C53AF4">
      <w:pPr>
        <w:pStyle w:val="Call"/>
        <w:rPr>
          <w:lang w:val="en-GB"/>
        </w:rPr>
      </w:pPr>
      <w:r w:rsidRPr="00380B40">
        <w:rPr>
          <w:lang w:val="en-GB"/>
        </w:rPr>
        <w:t>invites the ITU Council Working Group on financial and human resources</w:t>
      </w:r>
    </w:p>
    <w:p w14:paraId="3E866DAB" w14:textId="77777777" w:rsidR="00C53AF4" w:rsidRPr="00380B40" w:rsidRDefault="00C53AF4" w:rsidP="00C53AF4">
      <w:pPr>
        <w:rPr>
          <w:lang w:val="en-GB"/>
        </w:rPr>
      </w:pPr>
      <w:r w:rsidRPr="00380B40">
        <w:rPr>
          <w:lang w:val="en-GB"/>
        </w:rPr>
        <w:t>to evaluate any potential financial implications for the Union of implementing this resolution,</w:t>
      </w:r>
    </w:p>
    <w:p w14:paraId="462A14AF" w14:textId="77777777" w:rsidR="00C53AF4" w:rsidRPr="00380B40" w:rsidRDefault="00C53AF4" w:rsidP="00C53AF4">
      <w:pPr>
        <w:pStyle w:val="Call"/>
        <w:rPr>
          <w:lang w:val="en-GB"/>
        </w:rPr>
      </w:pPr>
      <w:r w:rsidRPr="00380B40">
        <w:rPr>
          <w:lang w:val="en-GB"/>
        </w:rPr>
        <w:t>invites the ITU membership</w:t>
      </w:r>
    </w:p>
    <w:p w14:paraId="57685610" w14:textId="77777777" w:rsidR="00C53AF4" w:rsidRPr="00380B40" w:rsidRDefault="00C53AF4" w:rsidP="00C53AF4">
      <w:pPr>
        <w:rPr>
          <w:lang w:val="en-GB"/>
        </w:rPr>
      </w:pPr>
      <w:r w:rsidRPr="00380B40">
        <w:rPr>
          <w:lang w:val="en-GB"/>
        </w:rPr>
        <w:t>to contribute to the implementation of this resolution.</w:t>
      </w:r>
    </w:p>
    <w:p w14:paraId="58BA9182"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86CFF12"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8821D05"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2A02D99"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60205D3"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6A62ED1"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05EE67D"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3BD05B9"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59192E1"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CBC8134"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6B57BF6"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B615E91"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1759E1E"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83FBCA5"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034ADF5"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0024354"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1DDD79E"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6A583AB"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6B9049A" w14:textId="77777777" w:rsidR="00B96278" w:rsidRPr="00380B40"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2F24B63" w14:textId="77777777" w:rsidR="00A05618" w:rsidRPr="00380B40" w:rsidRDefault="00A05618" w:rsidP="00A05618">
      <w:pPr>
        <w:rPr>
          <w:lang w:val="en-GB"/>
        </w:rPr>
      </w:pPr>
    </w:p>
    <w:p w14:paraId="2442B45D" w14:textId="77777777" w:rsidR="00A05618" w:rsidRPr="00380B40" w:rsidRDefault="00A05618" w:rsidP="00A05618">
      <w:pPr>
        <w:rPr>
          <w:lang w:val="en-GB"/>
        </w:rPr>
        <w:sectPr w:rsidR="00A05618" w:rsidRPr="00380B40" w:rsidSect="00BB4E9D">
          <w:headerReference w:type="even" r:id="rId293"/>
          <w:headerReference w:type="default" r:id="rId294"/>
          <w:footerReference w:type="even" r:id="rId295"/>
          <w:footerReference w:type="default" r:id="rId296"/>
          <w:headerReference w:type="first" r:id="rId297"/>
          <w:footerReference w:type="first" r:id="rId298"/>
          <w:footnotePr>
            <w:numRestart w:val="eachSect"/>
          </w:footnotePr>
          <w:pgSz w:w="11907" w:h="16834" w:code="9"/>
          <w:pgMar w:top="1134" w:right="1134" w:bottom="1134" w:left="1134" w:header="567" w:footer="567" w:gutter="0"/>
          <w:paperSrc w:first="15" w:other="15"/>
          <w:cols w:space="720"/>
          <w:vAlign w:val="both"/>
          <w:docGrid w:linePitch="299"/>
        </w:sectPr>
      </w:pPr>
    </w:p>
    <w:p w14:paraId="2E0E0B63" w14:textId="77777777" w:rsidR="00F1338F" w:rsidRPr="00380B40" w:rsidRDefault="008A1180" w:rsidP="00993BFE">
      <w:pPr>
        <w:pStyle w:val="ResNo"/>
        <w:rPr>
          <w:lang w:val="en-GB"/>
        </w:rPr>
      </w:pPr>
      <w:bookmarkStart w:id="434" w:name="_Toc104459789"/>
      <w:bookmarkStart w:id="435" w:name="_Toc104476597"/>
      <w:bookmarkStart w:id="436" w:name="_Toc111636808"/>
      <w:bookmarkStart w:id="437" w:name="_Toc111638490"/>
      <w:r w:rsidRPr="00380B40">
        <w:rPr>
          <w:caps w:val="0"/>
          <w:lang w:val="en-GB"/>
        </w:rPr>
        <w:t xml:space="preserve">RESOLUTION </w:t>
      </w:r>
      <w:r w:rsidR="00F1338F" w:rsidRPr="00380B40">
        <w:rPr>
          <w:rStyle w:val="href"/>
          <w:lang w:val="en-GB"/>
        </w:rPr>
        <w:t xml:space="preserve">91 </w:t>
      </w:r>
      <w:r w:rsidR="00993BFE" w:rsidRPr="00380B40">
        <w:rPr>
          <w:lang w:val="en-GB"/>
        </w:rPr>
        <w:t>(R</w:t>
      </w:r>
      <w:r w:rsidR="001718FC" w:rsidRPr="00380B40">
        <w:rPr>
          <w:caps w:val="0"/>
          <w:lang w:val="en-GB"/>
        </w:rPr>
        <w:t>ev</w:t>
      </w:r>
      <w:r w:rsidR="00993BFE" w:rsidRPr="00380B40">
        <w:rPr>
          <w:lang w:val="en-GB"/>
        </w:rPr>
        <w:t>. G</w:t>
      </w:r>
      <w:r w:rsidR="001718FC" w:rsidRPr="00380B40">
        <w:rPr>
          <w:caps w:val="0"/>
          <w:lang w:val="en-GB"/>
        </w:rPr>
        <w:t>eneva</w:t>
      </w:r>
      <w:r w:rsidR="00993BFE" w:rsidRPr="00380B40">
        <w:rPr>
          <w:lang w:val="en-GB"/>
        </w:rPr>
        <w:t>, 2022)</w:t>
      </w:r>
      <w:bookmarkEnd w:id="434"/>
      <w:bookmarkEnd w:id="435"/>
      <w:bookmarkEnd w:id="436"/>
      <w:bookmarkEnd w:id="437"/>
    </w:p>
    <w:p w14:paraId="6BD796E6" w14:textId="77777777" w:rsidR="00993BFE" w:rsidRPr="00380B40" w:rsidRDefault="00993BFE" w:rsidP="00993BFE">
      <w:pPr>
        <w:pStyle w:val="Restitle"/>
        <w:rPr>
          <w:lang w:val="en-GB"/>
        </w:rPr>
      </w:pPr>
      <w:bookmarkStart w:id="438" w:name="_Toc104459790"/>
      <w:bookmarkStart w:id="439" w:name="_Toc104476598"/>
      <w:bookmarkStart w:id="440" w:name="_Toc111638491"/>
      <w:r w:rsidRPr="00380B40">
        <w:rPr>
          <w:lang w:val="en-GB"/>
        </w:rPr>
        <w:t>Enhancing access to an electronic repository of information on numbering plans published by the ITU Telecommunication Standardization Sector</w:t>
      </w:r>
      <w:bookmarkEnd w:id="438"/>
      <w:bookmarkEnd w:id="439"/>
      <w:bookmarkEnd w:id="440"/>
    </w:p>
    <w:p w14:paraId="48C4EFC3" w14:textId="77777777" w:rsidR="00993BFE" w:rsidRPr="00380B40" w:rsidRDefault="00993BFE" w:rsidP="00993BFE">
      <w:pPr>
        <w:pStyle w:val="Resref"/>
        <w:rPr>
          <w:lang w:val="en-GB"/>
        </w:rPr>
      </w:pPr>
      <w:r w:rsidRPr="00380B40">
        <w:rPr>
          <w:lang w:val="en-GB"/>
        </w:rPr>
        <w:t>(Hammamet, 2016; Geneva, 2022)</w:t>
      </w:r>
    </w:p>
    <w:p w14:paraId="462EEF92" w14:textId="77777777" w:rsidR="00993BFE" w:rsidRPr="00380B40" w:rsidRDefault="00993BFE" w:rsidP="00993BFE">
      <w:pPr>
        <w:pStyle w:val="Normalaftertitle0"/>
      </w:pPr>
      <w:r w:rsidRPr="00380B40">
        <w:t>The World Telecommunication Standardization Assembly (Geneva, 2022),</w:t>
      </w:r>
    </w:p>
    <w:p w14:paraId="11A984D1" w14:textId="77777777" w:rsidR="00993BFE" w:rsidRPr="00380B40" w:rsidRDefault="00993BFE" w:rsidP="00993BFE">
      <w:pPr>
        <w:pStyle w:val="Call"/>
        <w:rPr>
          <w:lang w:val="en-GB"/>
        </w:rPr>
      </w:pPr>
      <w:r w:rsidRPr="00380B40">
        <w:rPr>
          <w:lang w:val="en-GB"/>
        </w:rPr>
        <w:t>considering</w:t>
      </w:r>
    </w:p>
    <w:p w14:paraId="2F58F20F" w14:textId="77777777" w:rsidR="00993BFE" w:rsidRPr="00380B40" w:rsidRDefault="00993BFE" w:rsidP="00993BFE">
      <w:pPr>
        <w:rPr>
          <w:lang w:val="en-GB"/>
        </w:rPr>
      </w:pPr>
      <w:r w:rsidRPr="00380B40">
        <w:rPr>
          <w:i/>
          <w:iCs/>
          <w:lang w:val="en-GB"/>
        </w:rPr>
        <w:t>a)</w:t>
      </w:r>
      <w:r w:rsidRPr="00380B40">
        <w:rPr>
          <w:lang w:val="en-GB"/>
        </w:rPr>
        <w:tab/>
        <w:t>that electronic access to information on certain numbering plans has been implemented by the Telecommunication Standardization Bureau (TSB);</w:t>
      </w:r>
    </w:p>
    <w:p w14:paraId="024B02C5" w14:textId="77777777" w:rsidR="00993BFE" w:rsidRPr="00380B40" w:rsidRDefault="00993BFE" w:rsidP="00993BFE">
      <w:pPr>
        <w:rPr>
          <w:lang w:val="en-GB"/>
        </w:rPr>
      </w:pPr>
      <w:r w:rsidRPr="00380B40">
        <w:rPr>
          <w:i/>
          <w:iCs/>
          <w:lang w:val="en-GB"/>
        </w:rPr>
        <w:t>b)</w:t>
      </w:r>
      <w:r w:rsidRPr="00380B40">
        <w:rPr>
          <w:lang w:val="en-GB"/>
        </w:rPr>
        <w:tab/>
        <w:t>that enhancing electronic access would be advantageous for Member States and international telecommunication operators or operating agencies, to help improve the reliability of telecommunication networks and services they carry and help improve revenue assurance for operators, and may assist in countering misuse of international</w:t>
      </w:r>
      <w:r w:rsidRPr="00380B40" w:rsidDel="00AF1D53">
        <w:rPr>
          <w:lang w:val="en-GB"/>
        </w:rPr>
        <w:t xml:space="preserve"> </w:t>
      </w:r>
      <w:r w:rsidRPr="00380B40">
        <w:rPr>
          <w:lang w:val="en-GB"/>
        </w:rPr>
        <w:t>telecommunication numbering resources,</w:t>
      </w:r>
    </w:p>
    <w:p w14:paraId="12B5E077" w14:textId="77777777" w:rsidR="00993BFE" w:rsidRPr="00380B40" w:rsidRDefault="00993BFE" w:rsidP="00993BFE">
      <w:pPr>
        <w:pStyle w:val="Call"/>
        <w:rPr>
          <w:lang w:val="en-GB"/>
        </w:rPr>
      </w:pPr>
      <w:r w:rsidRPr="00380B40">
        <w:rPr>
          <w:lang w:val="en-GB"/>
        </w:rPr>
        <w:t>noting</w:t>
      </w:r>
    </w:p>
    <w:p w14:paraId="6670DEBE" w14:textId="77777777" w:rsidR="00993BFE" w:rsidRPr="00380B40" w:rsidRDefault="00993BFE" w:rsidP="00993BFE">
      <w:pPr>
        <w:rPr>
          <w:lang w:val="en-GB"/>
        </w:rPr>
      </w:pPr>
      <w:r w:rsidRPr="00380B40">
        <w:rPr>
          <w:i/>
          <w:iCs/>
          <w:lang w:val="en-GB"/>
        </w:rPr>
        <w:t>a)</w:t>
      </w:r>
      <w:r w:rsidRPr="00380B40">
        <w:rPr>
          <w:lang w:val="en-GB"/>
        </w:rPr>
        <w:tab/>
        <w:t>that the ITU Telecommunication Standardization Sector (ITU</w:t>
      </w:r>
      <w:r w:rsidRPr="00380B40">
        <w:rPr>
          <w:lang w:val="en-GB"/>
        </w:rPr>
        <w:noBreakHyphen/>
        <w:t>T) must play a lead role in the development and maintenance of the electronic repository referred to in this resolution;</w:t>
      </w:r>
    </w:p>
    <w:p w14:paraId="131E01A2" w14:textId="77777777" w:rsidR="00993BFE" w:rsidRPr="00380B40" w:rsidRDefault="00993BFE" w:rsidP="00993BFE">
      <w:pPr>
        <w:rPr>
          <w:lang w:val="en-GB"/>
        </w:rPr>
      </w:pPr>
      <w:r w:rsidRPr="00380B40">
        <w:rPr>
          <w:i/>
          <w:iCs/>
          <w:lang w:val="en-GB"/>
        </w:rPr>
        <w:t>b)</w:t>
      </w:r>
      <w:r w:rsidRPr="00380B40">
        <w:rPr>
          <w:lang w:val="en-GB"/>
        </w:rPr>
        <w:tab/>
        <w:t>that requirements have to be studied and established for populating such an electronic repository;</w:t>
      </w:r>
    </w:p>
    <w:p w14:paraId="013158D4" w14:textId="77777777" w:rsidR="00993BFE" w:rsidRPr="00380B40" w:rsidRDefault="00993BFE" w:rsidP="00993BFE">
      <w:pPr>
        <w:rPr>
          <w:lang w:val="en-GB"/>
        </w:rPr>
      </w:pPr>
      <w:r w:rsidRPr="00380B40">
        <w:rPr>
          <w:i/>
          <w:lang w:val="en-GB"/>
        </w:rPr>
        <w:t>c</w:t>
      </w:r>
      <w:r w:rsidRPr="00380B40">
        <w:rPr>
          <w:i/>
          <w:iCs/>
          <w:lang w:val="en-GB"/>
        </w:rPr>
        <w:t>)</w:t>
      </w:r>
      <w:r w:rsidRPr="00380B40">
        <w:rPr>
          <w:lang w:val="en-GB"/>
        </w:rPr>
        <w:tab/>
        <w:t>that Recommendation ITU</w:t>
      </w:r>
      <w:r w:rsidRPr="00380B40">
        <w:rPr>
          <w:lang w:val="en-GB"/>
        </w:rPr>
        <w:noBreakHyphen/>
        <w:t>T E.129 invites all national regulatory bodies to inform ITU of their national numbering plans (that is, allotted and allocated resources);</w:t>
      </w:r>
    </w:p>
    <w:p w14:paraId="5D298099" w14:textId="77777777" w:rsidR="00993BFE" w:rsidRPr="00380B40" w:rsidRDefault="00993BFE" w:rsidP="00993BFE">
      <w:pPr>
        <w:rPr>
          <w:lang w:val="en-GB"/>
        </w:rPr>
      </w:pPr>
      <w:r w:rsidRPr="00380B40">
        <w:rPr>
          <w:i/>
          <w:iCs/>
          <w:lang w:val="en-GB"/>
        </w:rPr>
        <w:t>d)</w:t>
      </w:r>
      <w:r w:rsidRPr="00380B40">
        <w:rPr>
          <w:lang w:val="en-GB"/>
        </w:rPr>
        <w:tab/>
        <w:t>the high demand for numbering, naming, addressing and identification (NNAI) resources due to the advent of new and emerging technologies and applications (e.g. Internet of things, machine-to-machine communication and innovative global networks and services);</w:t>
      </w:r>
    </w:p>
    <w:p w14:paraId="1C3767A5" w14:textId="77777777" w:rsidR="00993BFE" w:rsidRPr="00380B40" w:rsidRDefault="00993BFE" w:rsidP="00993BFE">
      <w:pPr>
        <w:rPr>
          <w:lang w:val="en-GB"/>
        </w:rPr>
      </w:pPr>
      <w:r w:rsidRPr="00380B40">
        <w:rPr>
          <w:i/>
          <w:iCs/>
          <w:lang w:val="en-GB"/>
        </w:rPr>
        <w:t>e)</w:t>
      </w:r>
      <w:r w:rsidRPr="00380B40">
        <w:rPr>
          <w:lang w:val="en-GB"/>
        </w:rPr>
        <w:tab/>
        <w:t>that reliable information about reserved, assigned and allocated NNAI resources for each country is an important issue for ensuring global telecommunication interconnectivity,</w:t>
      </w:r>
    </w:p>
    <w:p w14:paraId="148FDFC3" w14:textId="77777777" w:rsidR="00993BFE" w:rsidRPr="00380B40" w:rsidRDefault="00993BFE" w:rsidP="00993BFE">
      <w:pPr>
        <w:pStyle w:val="Call"/>
        <w:rPr>
          <w:lang w:val="en-GB"/>
        </w:rPr>
      </w:pPr>
      <w:r w:rsidRPr="00380B40">
        <w:rPr>
          <w:lang w:val="en-GB"/>
        </w:rPr>
        <w:t>resolves to instruct Study Group 2 of the ITU Telecommunication Standardization Sector</w:t>
      </w:r>
    </w:p>
    <w:p w14:paraId="6E8805DE" w14:textId="77777777" w:rsidR="00993BFE" w:rsidRPr="00380B40" w:rsidRDefault="00993BFE" w:rsidP="00993BFE">
      <w:pPr>
        <w:rPr>
          <w:i/>
          <w:lang w:val="en-GB"/>
        </w:rPr>
      </w:pPr>
      <w:r w:rsidRPr="00380B40">
        <w:rPr>
          <w:lang w:val="en-GB"/>
        </w:rPr>
        <w:t>to study this matter on the basis of contributions received and information from TSB and to organize the necessary work in order to determine the requirements for electronic access to a repository of numbering resources reserved, assigned or allocated to each operator/service provider (to the extent available) within every country, including presentation of E.164 national numbering plans on the basis of Recommendation ITU</w:t>
      </w:r>
      <w:r w:rsidRPr="00380B40">
        <w:rPr>
          <w:lang w:val="en-GB"/>
        </w:rPr>
        <w:noBreakHyphen/>
        <w:t>T E.129, and international numbering resources assigned by the Director of TSB,</w:t>
      </w:r>
    </w:p>
    <w:p w14:paraId="7356012B" w14:textId="77777777" w:rsidR="001718FC" w:rsidRPr="00380B40" w:rsidRDefault="001718FC" w:rsidP="00993BFE">
      <w:pPr>
        <w:pStyle w:val="Call"/>
        <w:rPr>
          <w:lang w:val="en-GB"/>
        </w:rPr>
      </w:pPr>
      <w:r w:rsidRPr="00380B40">
        <w:rPr>
          <w:lang w:val="en-GB"/>
        </w:rPr>
        <w:br w:type="page"/>
      </w:r>
    </w:p>
    <w:p w14:paraId="4577C1A3" w14:textId="77777777" w:rsidR="00993BFE" w:rsidRPr="00380B40" w:rsidRDefault="00993BFE" w:rsidP="00993BFE">
      <w:pPr>
        <w:pStyle w:val="Call"/>
        <w:rPr>
          <w:lang w:val="en-GB"/>
        </w:rPr>
      </w:pPr>
      <w:r w:rsidRPr="00380B40">
        <w:rPr>
          <w:lang w:val="en-GB"/>
        </w:rPr>
        <w:t>instructs the Director of the Telecommunication Standardization Bureau</w:t>
      </w:r>
    </w:p>
    <w:p w14:paraId="1E4C5D2A" w14:textId="77777777" w:rsidR="00993BFE" w:rsidRPr="00380B40" w:rsidRDefault="00993BFE" w:rsidP="00993BFE">
      <w:pPr>
        <w:rPr>
          <w:lang w:val="en-GB"/>
        </w:rPr>
      </w:pPr>
      <w:r w:rsidRPr="00380B40">
        <w:rPr>
          <w:lang w:val="en-GB"/>
        </w:rPr>
        <w:t>1</w:t>
      </w:r>
      <w:r w:rsidRPr="00380B40">
        <w:rPr>
          <w:lang w:val="en-GB"/>
        </w:rPr>
        <w:tab/>
        <w:t>to provide the necessary assistance for ITU members by furnishing details of existing information resources relating to the presentation of national numbering plans and international numbering resources;</w:t>
      </w:r>
    </w:p>
    <w:p w14:paraId="729ECAA7" w14:textId="77777777" w:rsidR="00993BFE" w:rsidRPr="00380B40" w:rsidRDefault="00993BFE" w:rsidP="00993BFE">
      <w:pPr>
        <w:rPr>
          <w:lang w:val="en-GB"/>
        </w:rPr>
      </w:pPr>
      <w:r w:rsidRPr="00380B40">
        <w:rPr>
          <w:lang w:val="en-GB"/>
        </w:rPr>
        <w:t>2</w:t>
      </w:r>
      <w:r w:rsidRPr="00380B40">
        <w:rPr>
          <w:lang w:val="en-GB"/>
        </w:rPr>
        <w:tab/>
        <w:t>based on the results of the above-mentioned Study Group 2 studies, to organize and maintain</w:t>
      </w:r>
      <w:r w:rsidRPr="00380B40">
        <w:rPr>
          <w:b/>
          <w:bCs/>
          <w:lang w:val="en-GB"/>
        </w:rPr>
        <w:t xml:space="preserve"> </w:t>
      </w:r>
      <w:r w:rsidRPr="00380B40">
        <w:rPr>
          <w:lang w:val="en-GB"/>
        </w:rPr>
        <w:t>such an electronic repository as described above, within the allocated budget,</w:t>
      </w:r>
    </w:p>
    <w:p w14:paraId="50D163ED" w14:textId="77777777" w:rsidR="00993BFE" w:rsidRPr="00380B40" w:rsidRDefault="00993BFE" w:rsidP="00993BFE">
      <w:pPr>
        <w:pStyle w:val="Call"/>
        <w:rPr>
          <w:lang w:val="en-GB"/>
        </w:rPr>
      </w:pPr>
      <w:r w:rsidRPr="00380B40">
        <w:rPr>
          <w:lang w:val="en-GB"/>
        </w:rPr>
        <w:t>invites Member States, Sector Members, Associates and Academia</w:t>
      </w:r>
    </w:p>
    <w:p w14:paraId="0BF34D4C" w14:textId="77777777" w:rsidR="00993BFE" w:rsidRPr="00380B40" w:rsidRDefault="00993BFE" w:rsidP="00993BFE">
      <w:pPr>
        <w:keepNext/>
        <w:keepLines/>
        <w:rPr>
          <w:lang w:val="en-GB"/>
        </w:rPr>
      </w:pPr>
      <w:r w:rsidRPr="00380B40">
        <w:rPr>
          <w:lang w:val="en-GB"/>
        </w:rPr>
        <w:t>to submit, to meetings of Study Group 2 and the Telecommunication Standardization Advisory Group, contributions with a view to the organization of such an electronic repository,</w:t>
      </w:r>
    </w:p>
    <w:p w14:paraId="0FE91A0E" w14:textId="77777777" w:rsidR="00993BFE" w:rsidRPr="00380B40" w:rsidRDefault="00993BFE" w:rsidP="00993BFE">
      <w:pPr>
        <w:pStyle w:val="Call"/>
        <w:rPr>
          <w:lang w:val="en-GB"/>
        </w:rPr>
      </w:pPr>
      <w:r w:rsidRPr="00380B40">
        <w:rPr>
          <w:lang w:val="en-GB"/>
        </w:rPr>
        <w:t xml:space="preserve">encourages Member States </w:t>
      </w:r>
    </w:p>
    <w:p w14:paraId="7C993C76" w14:textId="77777777" w:rsidR="00993BFE" w:rsidRPr="00380B40" w:rsidRDefault="00993BFE" w:rsidP="00993BFE">
      <w:pPr>
        <w:overflowPunct/>
        <w:autoSpaceDE/>
        <w:autoSpaceDN/>
        <w:adjustRightInd/>
        <w:textAlignment w:val="auto"/>
        <w:rPr>
          <w:lang w:val="en-GB"/>
        </w:rPr>
      </w:pPr>
      <w:r w:rsidRPr="00380B40">
        <w:rPr>
          <w:lang w:val="en-GB"/>
        </w:rPr>
        <w:t>pursuant to the relevant ITU</w:t>
      </w:r>
      <w:r w:rsidRPr="00380B40">
        <w:rPr>
          <w:lang w:val="en-GB"/>
        </w:rPr>
        <w:noBreakHyphen/>
        <w:t>T Recommendations, to present information on their national numbering plans and amendments thereto in a timely manner, so as to ensure that the electronic repository remains up to date.</w:t>
      </w:r>
    </w:p>
    <w:p w14:paraId="1DB16F9C" w14:textId="77777777" w:rsidR="00CE61E6" w:rsidRPr="00380B40"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B136726" w14:textId="77777777" w:rsidR="00CE61E6" w:rsidRPr="00380B40"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268EE79" w14:textId="77777777" w:rsidR="00CE61E6" w:rsidRPr="00380B40"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E9197B6" w14:textId="77777777" w:rsidR="00CE61E6" w:rsidRPr="00380B40"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275EF6A" w14:textId="77777777" w:rsidR="00CE61E6" w:rsidRPr="00380B40"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16EAE98" w14:textId="77777777" w:rsidR="00CE61E6" w:rsidRPr="00380B40"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E2CC512" w14:textId="77777777" w:rsidR="00CE61E6" w:rsidRPr="00380B40"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6914B2A" w14:textId="77777777" w:rsidR="00CE61E6" w:rsidRPr="00380B40"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EFD350A" w14:textId="77777777" w:rsidR="00CE61E6" w:rsidRPr="00380B40"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2E8B5F9" w14:textId="77777777" w:rsidR="00CE61E6" w:rsidRPr="00380B40"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499D62B" w14:textId="77777777" w:rsidR="00CE61E6" w:rsidRPr="00380B40"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CB9F8C0" w14:textId="77777777" w:rsidR="00CE61E6" w:rsidRPr="00380B40"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588C261" w14:textId="77777777" w:rsidR="00CE61E6" w:rsidRPr="00380B40"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A95DAE8" w14:textId="77777777" w:rsidR="00CE61E6" w:rsidRPr="00380B40"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1FBBDB0" w14:textId="77777777" w:rsidR="00CE61E6" w:rsidRPr="00380B40"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1A8E6BF" w14:textId="77777777" w:rsidR="00CE61E6" w:rsidRPr="00380B40"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7A9171D" w14:textId="77777777" w:rsidR="00A05618" w:rsidRPr="00380B40" w:rsidRDefault="00A05618" w:rsidP="00A05618">
      <w:pPr>
        <w:rPr>
          <w:lang w:val="en-GB"/>
        </w:rPr>
      </w:pPr>
    </w:p>
    <w:p w14:paraId="7CE87252" w14:textId="77777777" w:rsidR="00A05618" w:rsidRPr="00380B40" w:rsidRDefault="00A05618" w:rsidP="00A05618">
      <w:pPr>
        <w:rPr>
          <w:lang w:val="en-GB"/>
        </w:rPr>
        <w:sectPr w:rsidR="00A05618" w:rsidRPr="00380B40" w:rsidSect="00557FF7">
          <w:headerReference w:type="even" r:id="rId299"/>
          <w:footerReference w:type="even" r:id="rId300"/>
          <w:footerReference w:type="default" r:id="rId301"/>
          <w:headerReference w:type="first" r:id="rId302"/>
          <w:footerReference w:type="first" r:id="rId303"/>
          <w:footnotePr>
            <w:numRestart w:val="eachSect"/>
          </w:footnotePr>
          <w:pgSz w:w="11907" w:h="16834" w:code="9"/>
          <w:pgMar w:top="1134" w:right="1134" w:bottom="1134" w:left="1134" w:header="567" w:footer="567" w:gutter="0"/>
          <w:paperSrc w:first="15" w:other="15"/>
          <w:cols w:space="720"/>
          <w:vAlign w:val="both"/>
          <w:docGrid w:linePitch="299"/>
        </w:sectPr>
      </w:pPr>
    </w:p>
    <w:p w14:paraId="7C76BC3B" w14:textId="77777777" w:rsidR="00F1338F" w:rsidRPr="00380B40" w:rsidRDefault="008A1180" w:rsidP="00993BFE">
      <w:pPr>
        <w:pStyle w:val="ResNo"/>
        <w:rPr>
          <w:lang w:val="en-GB"/>
        </w:rPr>
      </w:pPr>
      <w:bookmarkStart w:id="441" w:name="_Toc104459791"/>
      <w:bookmarkStart w:id="442" w:name="_Toc104476599"/>
      <w:bookmarkStart w:id="443" w:name="_Toc111636809"/>
      <w:bookmarkStart w:id="444" w:name="_Toc111638492"/>
      <w:r w:rsidRPr="00380B40">
        <w:rPr>
          <w:caps w:val="0"/>
          <w:lang w:val="en-GB"/>
        </w:rPr>
        <w:t xml:space="preserve">RESOLUTION </w:t>
      </w:r>
      <w:r w:rsidR="00F1338F" w:rsidRPr="00380B40">
        <w:rPr>
          <w:rStyle w:val="href"/>
          <w:lang w:val="en-GB"/>
        </w:rPr>
        <w:t xml:space="preserve">92 </w:t>
      </w:r>
      <w:r w:rsidR="00993BFE" w:rsidRPr="00380B40">
        <w:rPr>
          <w:lang w:val="en-GB"/>
        </w:rPr>
        <w:t>(R</w:t>
      </w:r>
      <w:r w:rsidR="001718FC" w:rsidRPr="00380B40">
        <w:rPr>
          <w:caps w:val="0"/>
          <w:lang w:val="en-GB"/>
        </w:rPr>
        <w:t>ev</w:t>
      </w:r>
      <w:r w:rsidR="00993BFE" w:rsidRPr="00380B40">
        <w:rPr>
          <w:lang w:val="en-GB"/>
        </w:rPr>
        <w:t>. G</w:t>
      </w:r>
      <w:r w:rsidR="001718FC" w:rsidRPr="00380B40">
        <w:rPr>
          <w:caps w:val="0"/>
          <w:lang w:val="en-GB"/>
        </w:rPr>
        <w:t>eneva</w:t>
      </w:r>
      <w:r w:rsidR="00993BFE" w:rsidRPr="00380B40">
        <w:rPr>
          <w:lang w:val="en-GB"/>
        </w:rPr>
        <w:t>, 2022)</w:t>
      </w:r>
      <w:bookmarkEnd w:id="441"/>
      <w:bookmarkEnd w:id="442"/>
      <w:bookmarkEnd w:id="443"/>
      <w:bookmarkEnd w:id="444"/>
    </w:p>
    <w:p w14:paraId="72201ACB" w14:textId="77777777" w:rsidR="002239A5" w:rsidRPr="00380B40" w:rsidRDefault="002239A5" w:rsidP="002239A5">
      <w:pPr>
        <w:pStyle w:val="Restitle"/>
        <w:rPr>
          <w:lang w:val="en-GB"/>
        </w:rPr>
      </w:pPr>
      <w:bookmarkStart w:id="445" w:name="_Toc104459792"/>
      <w:bookmarkStart w:id="446" w:name="_Toc104476600"/>
      <w:bookmarkStart w:id="447" w:name="_Toc111638493"/>
      <w:r w:rsidRPr="00380B40">
        <w:rPr>
          <w:lang w:val="en-GB"/>
        </w:rPr>
        <w:t xml:space="preserve">Enhancing the standardization activities in the ITU Telecommunication Standardization Sector related to non-radio aspects of international </w:t>
      </w:r>
      <w:r w:rsidRPr="00380B40">
        <w:rPr>
          <w:lang w:val="en-GB"/>
        </w:rPr>
        <w:br/>
        <w:t>mobile telecommunications</w:t>
      </w:r>
      <w:bookmarkEnd w:id="445"/>
      <w:bookmarkEnd w:id="446"/>
      <w:bookmarkEnd w:id="447"/>
    </w:p>
    <w:p w14:paraId="54B0C539" w14:textId="77777777" w:rsidR="002239A5" w:rsidRPr="00380B40" w:rsidRDefault="002239A5" w:rsidP="002239A5">
      <w:pPr>
        <w:pStyle w:val="Resref"/>
        <w:rPr>
          <w:lang w:val="en-GB"/>
        </w:rPr>
      </w:pPr>
      <w:r w:rsidRPr="00380B40">
        <w:rPr>
          <w:lang w:val="en-GB"/>
        </w:rPr>
        <w:t>(Hammamet, 2016; Geneva, 2022)</w:t>
      </w:r>
    </w:p>
    <w:p w14:paraId="1C8AEFB4" w14:textId="77777777" w:rsidR="002239A5" w:rsidRPr="00380B40" w:rsidRDefault="002239A5" w:rsidP="002239A5">
      <w:pPr>
        <w:pStyle w:val="Normalaftertitle0"/>
      </w:pPr>
      <w:r w:rsidRPr="00380B40">
        <w:t>The World Telecommunication Standardization Assembly (Geneva, 2022),</w:t>
      </w:r>
    </w:p>
    <w:p w14:paraId="191A979F" w14:textId="77777777" w:rsidR="002239A5" w:rsidRPr="00380B40" w:rsidRDefault="002239A5" w:rsidP="002239A5">
      <w:pPr>
        <w:pStyle w:val="Call"/>
        <w:rPr>
          <w:lang w:val="en-GB"/>
        </w:rPr>
      </w:pPr>
      <w:r w:rsidRPr="00380B40">
        <w:rPr>
          <w:lang w:val="en-GB"/>
        </w:rPr>
        <w:t>considering</w:t>
      </w:r>
    </w:p>
    <w:p w14:paraId="2C377053" w14:textId="77777777" w:rsidR="002239A5" w:rsidRPr="00380B40" w:rsidRDefault="002239A5" w:rsidP="002239A5">
      <w:pPr>
        <w:rPr>
          <w:lang w:val="en-GB"/>
        </w:rPr>
      </w:pPr>
      <w:r w:rsidRPr="00380B40">
        <w:rPr>
          <w:i/>
          <w:lang w:val="en-GB"/>
        </w:rPr>
        <w:t>a)</w:t>
      </w:r>
      <w:r w:rsidRPr="00380B40">
        <w:rPr>
          <w:lang w:val="en-GB"/>
        </w:rPr>
        <w:tab/>
        <w:t>that International Mobile Telecommunications (IMT) is the root name that encompasses all IMT systems and their further development, including IMT-2000, IMT-Advanced and IMT-2020 and beyond, collectively (see Resolution ITU</w:t>
      </w:r>
      <w:r w:rsidRPr="00380B40">
        <w:rPr>
          <w:lang w:val="en-GB"/>
        </w:rPr>
        <w:noBreakHyphen/>
        <w:t>R 56 (Rev. Geneva, 2015) of the Radiocommunication Assembly);</w:t>
      </w:r>
    </w:p>
    <w:p w14:paraId="65DCF784" w14:textId="77777777" w:rsidR="002239A5" w:rsidRPr="00380B40" w:rsidRDefault="002239A5" w:rsidP="002239A5">
      <w:pPr>
        <w:rPr>
          <w:lang w:val="en-GB"/>
        </w:rPr>
      </w:pPr>
      <w:r w:rsidRPr="00380B40">
        <w:rPr>
          <w:i/>
          <w:lang w:val="en-GB"/>
        </w:rPr>
        <w:t>b)</w:t>
      </w:r>
      <w:r w:rsidRPr="00380B40">
        <w:rPr>
          <w:lang w:val="en-GB"/>
        </w:rPr>
        <w:tab/>
        <w:t>that IMT systems (including IMT-2020 and beyond) have contributed to global economic and social development, and are intended to provide telecommunication services on a worldwide scale, regardless of location, network or terminal used;</w:t>
      </w:r>
    </w:p>
    <w:p w14:paraId="69107B36" w14:textId="77777777" w:rsidR="002239A5" w:rsidRPr="00380B40" w:rsidRDefault="002239A5" w:rsidP="002239A5">
      <w:pPr>
        <w:rPr>
          <w:lang w:val="en-GB"/>
        </w:rPr>
      </w:pPr>
      <w:r w:rsidRPr="00380B40">
        <w:rPr>
          <w:i/>
          <w:iCs/>
          <w:lang w:val="en-GB"/>
        </w:rPr>
        <w:t>c)</w:t>
      </w:r>
      <w:r w:rsidRPr="00380B40">
        <w:rPr>
          <w:lang w:val="en-GB"/>
        </w:rPr>
        <w:tab/>
        <w:t xml:space="preserve">that Recommendation 207 (Rev. Sharm el-Sheikh, 2019) of the World Radiocommunication Conference, on the future development of IMT for 2020 and beyond, is foreseen to enhance, </w:t>
      </w:r>
      <w:r w:rsidRPr="00380B40">
        <w:rPr>
          <w:i/>
          <w:iCs/>
          <w:lang w:val="en-GB"/>
        </w:rPr>
        <w:t>inter alia</w:t>
      </w:r>
      <w:r w:rsidRPr="00380B40">
        <w:rPr>
          <w:lang w:val="en-GB"/>
        </w:rPr>
        <w:t>, data rates in comparison with currently deployed IMT systems;</w:t>
      </w:r>
    </w:p>
    <w:p w14:paraId="3853B4EA" w14:textId="77777777" w:rsidR="002239A5" w:rsidRPr="00380B40" w:rsidRDefault="002239A5" w:rsidP="002239A5">
      <w:pPr>
        <w:rPr>
          <w:lang w:val="en-GB"/>
        </w:rPr>
      </w:pPr>
      <w:r w:rsidRPr="00380B40">
        <w:rPr>
          <w:i/>
          <w:iCs/>
          <w:lang w:val="en-GB"/>
        </w:rPr>
        <w:t>d)</w:t>
      </w:r>
      <w:r w:rsidRPr="00380B40">
        <w:rPr>
          <w:i/>
          <w:iCs/>
          <w:lang w:val="en-GB"/>
        </w:rPr>
        <w:tab/>
      </w:r>
      <w:r w:rsidRPr="00380B40">
        <w:rPr>
          <w:lang w:val="en-GB"/>
        </w:rPr>
        <w:t>that there is growing interest in adopting emerging technologies and solutions based on the standards of IMT-based open radio access networks;</w:t>
      </w:r>
    </w:p>
    <w:p w14:paraId="7E5036DE" w14:textId="77777777" w:rsidR="002239A5" w:rsidRPr="00380B40" w:rsidRDefault="002239A5" w:rsidP="002239A5">
      <w:pPr>
        <w:rPr>
          <w:lang w:val="en-GB"/>
        </w:rPr>
      </w:pPr>
      <w:r w:rsidRPr="00380B40">
        <w:rPr>
          <w:i/>
          <w:lang w:val="en-GB"/>
        </w:rPr>
        <w:t>e)</w:t>
      </w:r>
      <w:r w:rsidRPr="00380B40">
        <w:rPr>
          <w:lang w:val="en-GB"/>
        </w:rPr>
        <w:tab/>
        <w:t>that IMT systems (including IMT-2020 and beyond) are being utilized and will be utilized widely in the near future to build a user-centred information ecosystem, and this will make a positive and important contribution to the United Nations Sustainable Development Goals;</w:t>
      </w:r>
    </w:p>
    <w:p w14:paraId="6655D5E3" w14:textId="77777777" w:rsidR="002239A5" w:rsidRPr="00380B40" w:rsidRDefault="002239A5" w:rsidP="002239A5">
      <w:pPr>
        <w:rPr>
          <w:lang w:val="en-GB"/>
        </w:rPr>
      </w:pPr>
      <w:r w:rsidRPr="00380B40">
        <w:rPr>
          <w:i/>
          <w:iCs/>
          <w:lang w:val="en-GB"/>
        </w:rPr>
        <w:t>f</w:t>
      </w:r>
      <w:r w:rsidRPr="00380B40">
        <w:rPr>
          <w:i/>
          <w:lang w:val="en-GB"/>
        </w:rPr>
        <w:t>)</w:t>
      </w:r>
      <w:r w:rsidRPr="00380B40">
        <w:rPr>
          <w:lang w:val="en-GB"/>
        </w:rPr>
        <w:tab/>
        <w:t>that the ITU Telecommunication Standardization Sector (ITU</w:t>
      </w:r>
      <w:r w:rsidRPr="00380B40">
        <w:rPr>
          <w:lang w:val="en-GB"/>
        </w:rPr>
        <w:noBreakHyphen/>
        <w:t>T) is actively continuing its studies on non-radio aspects of standardization for IMT systems (including IMT-2020 and beyond);</w:t>
      </w:r>
    </w:p>
    <w:p w14:paraId="05FB4D65" w14:textId="77777777" w:rsidR="002239A5" w:rsidRPr="00380B40" w:rsidRDefault="002239A5" w:rsidP="002239A5">
      <w:pPr>
        <w:rPr>
          <w:lang w:val="en-GB"/>
        </w:rPr>
      </w:pPr>
      <w:r w:rsidRPr="00380B40">
        <w:rPr>
          <w:i/>
          <w:lang w:val="en-GB"/>
        </w:rPr>
        <w:t>g)</w:t>
      </w:r>
      <w:r w:rsidRPr="00380B40">
        <w:rPr>
          <w:lang w:val="en-GB"/>
        </w:rPr>
        <w:tab/>
        <w:t>that the development of a roadmap for all standards activities relating to IMT in the ITU Radiocommunication Sector (ITU</w:t>
      </w:r>
      <w:r w:rsidRPr="00380B40">
        <w:rPr>
          <w:lang w:val="en-GB"/>
        </w:rPr>
        <w:noBreakHyphen/>
        <w:t>R) and ITU</w:t>
      </w:r>
      <w:r w:rsidRPr="00380B40">
        <w:rPr>
          <w:lang w:val="en-GB"/>
        </w:rPr>
        <w:noBreakHyphen/>
        <w:t>T, in order to independently manage and advance their work on IMT and to coordinate it so as to ensure full alignment and harmonization of the work programmes within a complementary framework, is an efficient means of achieving progress in both Sectors, and that such a roadmap concept facilitates the communication of issues relating to IMT with organizations external to ITU;</w:t>
      </w:r>
    </w:p>
    <w:p w14:paraId="14D4CCB3" w14:textId="77777777" w:rsidR="002239A5" w:rsidRPr="00380B40" w:rsidRDefault="002239A5" w:rsidP="002239A5">
      <w:pPr>
        <w:rPr>
          <w:i/>
          <w:iCs/>
          <w:lang w:val="en-GB"/>
        </w:rPr>
      </w:pPr>
      <w:r w:rsidRPr="00380B40">
        <w:rPr>
          <w:i/>
          <w:iCs/>
          <w:lang w:val="en-GB"/>
        </w:rPr>
        <w:t>h)</w:t>
      </w:r>
      <w:r w:rsidRPr="00380B40">
        <w:rPr>
          <w:lang w:val="en-GB"/>
        </w:rPr>
        <w:tab/>
        <w:t>that the ITU</w:t>
      </w:r>
      <w:r w:rsidRPr="00380B40">
        <w:rPr>
          <w:lang w:val="en-GB"/>
        </w:rPr>
        <w:noBreakHyphen/>
        <w:t>T study groups and ITU</w:t>
      </w:r>
      <w:r w:rsidRPr="00380B40">
        <w:rPr>
          <w:lang w:val="en-GB"/>
        </w:rPr>
        <w:noBreakHyphen/>
        <w:t>R have had, and continue to have, effective informal coordination via liaison activity with respect to the development of Recommendations relating to IMT for both Sectors;</w:t>
      </w:r>
    </w:p>
    <w:p w14:paraId="42BD9A90" w14:textId="77777777" w:rsidR="001718FC" w:rsidRPr="00380B40" w:rsidRDefault="001718FC" w:rsidP="002239A5">
      <w:pPr>
        <w:rPr>
          <w:i/>
          <w:iCs/>
          <w:lang w:val="en-GB"/>
        </w:rPr>
      </w:pPr>
      <w:r w:rsidRPr="00380B40">
        <w:rPr>
          <w:i/>
          <w:iCs/>
          <w:lang w:val="en-GB"/>
        </w:rPr>
        <w:br w:type="page"/>
      </w:r>
    </w:p>
    <w:p w14:paraId="7EDF4E3D" w14:textId="77777777" w:rsidR="002239A5" w:rsidRPr="00380B40" w:rsidRDefault="002239A5" w:rsidP="002239A5">
      <w:pPr>
        <w:rPr>
          <w:lang w:val="en-GB"/>
        </w:rPr>
      </w:pPr>
      <w:r w:rsidRPr="00380B40">
        <w:rPr>
          <w:i/>
          <w:iCs/>
          <w:lang w:val="en-GB"/>
        </w:rPr>
        <w:t>i)</w:t>
      </w:r>
      <w:r w:rsidRPr="00380B40">
        <w:rPr>
          <w:i/>
          <w:iCs/>
          <w:lang w:val="en-GB"/>
        </w:rPr>
        <w:tab/>
      </w:r>
      <w:r w:rsidRPr="00380B40">
        <w:rPr>
          <w:lang w:val="en-GB"/>
        </w:rPr>
        <w:t>that Resolution 43 (Rev. Buenos Aires, 2017) of the World Telecommunication Development Conference (WTDC) acknowledged the continuous need to promote IMT systems (including IMT-2020 and beyond) throughout the world, and in particular in developing countries</w:t>
      </w:r>
      <w:r w:rsidR="00FD162E" w:rsidRPr="00380B40">
        <w:rPr>
          <w:rStyle w:val="FootnoteReference"/>
          <w:lang w:val="en-GB"/>
        </w:rPr>
        <w:footnoteReference w:id="53"/>
      </w:r>
      <w:r w:rsidRPr="00380B40">
        <w:rPr>
          <w:lang w:val="en-GB"/>
        </w:rPr>
        <w:t>;</w:t>
      </w:r>
    </w:p>
    <w:p w14:paraId="57C988BF" w14:textId="77777777" w:rsidR="002239A5" w:rsidRPr="00380B40" w:rsidRDefault="002239A5" w:rsidP="002239A5">
      <w:pPr>
        <w:rPr>
          <w:lang w:val="en-GB"/>
        </w:rPr>
      </w:pPr>
      <w:r w:rsidRPr="00380B40">
        <w:rPr>
          <w:i/>
          <w:iCs/>
          <w:lang w:val="en-GB"/>
        </w:rPr>
        <w:t>j)</w:t>
      </w:r>
      <w:r w:rsidRPr="00380B40">
        <w:rPr>
          <w:lang w:val="en-GB"/>
        </w:rPr>
        <w:tab/>
        <w:t>that the ITU</w:t>
      </w:r>
      <w:r w:rsidRPr="00380B40">
        <w:rPr>
          <w:lang w:val="en-GB"/>
        </w:rPr>
        <w:noBreakHyphen/>
        <w:t xml:space="preserve">R Handbook on Global Trends in International Mobile Telecommunications defines </w:t>
      </w:r>
      <w:r w:rsidRPr="00380B40">
        <w:rPr>
          <w:bdr w:val="none" w:sz="0" w:space="0" w:color="auto" w:frame="1"/>
          <w:lang w:val="en-GB"/>
        </w:rPr>
        <w:t>IMT and provides general guidance to relevant parties on issues related to the deployment of IMT systems and for the introduction of their IMT-2000 and IMT-Advanced networks,</w:t>
      </w:r>
      <w:r w:rsidRPr="00380B40">
        <w:rPr>
          <w:szCs w:val="24"/>
          <w:bdr w:val="none" w:sz="0" w:space="0" w:color="auto" w:frame="1"/>
          <w:lang w:val="en-GB"/>
        </w:rPr>
        <w:t xml:space="preserve"> as well as IMT-2020</w:t>
      </w:r>
      <w:r w:rsidRPr="00380B40">
        <w:rPr>
          <w:lang w:val="en-GB"/>
        </w:rPr>
        <w:t>;</w:t>
      </w:r>
    </w:p>
    <w:p w14:paraId="698FFAB3" w14:textId="77777777" w:rsidR="002239A5" w:rsidRPr="00380B40" w:rsidRDefault="002239A5" w:rsidP="002239A5">
      <w:pPr>
        <w:rPr>
          <w:lang w:val="en-GB"/>
        </w:rPr>
      </w:pPr>
      <w:r w:rsidRPr="00380B40">
        <w:rPr>
          <w:i/>
          <w:iCs/>
          <w:lang w:val="en-GB"/>
        </w:rPr>
        <w:t>k</w:t>
      </w:r>
      <w:r w:rsidRPr="00380B40">
        <w:rPr>
          <w:i/>
          <w:lang w:val="en-GB"/>
        </w:rPr>
        <w:t>)</w:t>
      </w:r>
      <w:r w:rsidRPr="00380B40">
        <w:rPr>
          <w:lang w:val="en-GB"/>
        </w:rPr>
        <w:tab/>
        <w:t>that Study Group 1 of the ITU Telecommunication Development Sector (ITU</w:t>
      </w:r>
      <w:r w:rsidRPr="00380B40">
        <w:rPr>
          <w:lang w:val="en-GB"/>
        </w:rPr>
        <w:noBreakHyphen/>
        <w:t>D) is involved in activities closely coordinated with ITU</w:t>
      </w:r>
      <w:r w:rsidRPr="00380B40">
        <w:rPr>
          <w:lang w:val="en-GB"/>
        </w:rPr>
        <w:noBreakHyphen/>
        <w:t>T Study Group 13 and ITU</w:t>
      </w:r>
      <w:r w:rsidRPr="00380B40">
        <w:rPr>
          <w:lang w:val="en-GB"/>
        </w:rPr>
        <w:noBreakHyphen/>
        <w:t>R Study Group 5 in order to identify the factors influencing the effective development of broadband, including IMT systems (including IMT-2020 and beyond), for developing countries;</w:t>
      </w:r>
    </w:p>
    <w:p w14:paraId="539193C5" w14:textId="77777777" w:rsidR="002239A5" w:rsidRPr="00380B40" w:rsidRDefault="002239A5" w:rsidP="002239A5">
      <w:pPr>
        <w:rPr>
          <w:lang w:val="en-GB"/>
        </w:rPr>
      </w:pPr>
      <w:r w:rsidRPr="00380B40">
        <w:rPr>
          <w:i/>
          <w:iCs/>
          <w:lang w:val="en-GB"/>
        </w:rPr>
        <w:t>l</w:t>
      </w:r>
      <w:r w:rsidRPr="00380B40">
        <w:rPr>
          <w:i/>
          <w:lang w:val="en-GB"/>
        </w:rPr>
        <w:t>)</w:t>
      </w:r>
      <w:r w:rsidRPr="00380B40">
        <w:rPr>
          <w:lang w:val="en-GB"/>
        </w:rPr>
        <w:tab/>
        <w:t>that IMT systems (including IMT-2020 and beyond) are now being evolved to provide diverse usage scenarios and applications such as enhanced mobile broadband, massive machine-type communications and ultra</w:t>
      </w:r>
      <w:r w:rsidRPr="00380B40">
        <w:rPr>
          <w:lang w:val="en-GB"/>
        </w:rPr>
        <w:noBreakHyphen/>
        <w:t>reliable and low-latency communications, and a substantial number of countries have started implementing these;</w:t>
      </w:r>
    </w:p>
    <w:p w14:paraId="12DED83E" w14:textId="77777777" w:rsidR="002239A5" w:rsidRPr="00380B40" w:rsidRDefault="002239A5" w:rsidP="002239A5">
      <w:pPr>
        <w:rPr>
          <w:lang w:val="en-GB"/>
        </w:rPr>
      </w:pPr>
      <w:r w:rsidRPr="00380B40">
        <w:rPr>
          <w:i/>
          <w:iCs/>
          <w:lang w:val="en-GB"/>
        </w:rPr>
        <w:t>m)</w:t>
      </w:r>
      <w:r w:rsidRPr="00380B40">
        <w:rPr>
          <w:lang w:val="en-GB"/>
        </w:rPr>
        <w:tab/>
        <w:t>that some ITU-T study groups are conducting work and developing Recommendations related to non-radio aspects of IMT-2020 under the lead of Study Group 13;</w:t>
      </w:r>
    </w:p>
    <w:p w14:paraId="0A1A76AD" w14:textId="77777777" w:rsidR="002239A5" w:rsidRPr="00380B40" w:rsidRDefault="002239A5" w:rsidP="002239A5">
      <w:pPr>
        <w:rPr>
          <w:lang w:val="en-GB"/>
        </w:rPr>
      </w:pPr>
      <w:r w:rsidRPr="00380B40">
        <w:rPr>
          <w:i/>
          <w:iCs/>
          <w:lang w:val="en-GB"/>
        </w:rPr>
        <w:t>n)</w:t>
      </w:r>
      <w:r w:rsidRPr="00380B40">
        <w:rPr>
          <w:lang w:val="en-GB"/>
        </w:rPr>
        <w:tab/>
        <w:t>that Study Group 13 has taken a lead role on non-radio aspects of IMT-2020 project management coordination across all ITU-T study groups and progressed the study of network aspects of IMT-2020, which includes studies on network requirements and functional architecture; network softwarization, including software-defined networking, network slicing and orchestration; fixed-mobile convergence; and emerging network technologies for IMT-2020;</w:t>
      </w:r>
    </w:p>
    <w:p w14:paraId="34478E82" w14:textId="77777777" w:rsidR="002239A5" w:rsidRPr="00380B40" w:rsidRDefault="002239A5" w:rsidP="002239A5">
      <w:pPr>
        <w:rPr>
          <w:lang w:val="en-GB"/>
        </w:rPr>
      </w:pPr>
      <w:r w:rsidRPr="00380B40">
        <w:rPr>
          <w:i/>
          <w:iCs/>
          <w:lang w:val="en-GB"/>
        </w:rPr>
        <w:t>o)</w:t>
      </w:r>
      <w:r w:rsidRPr="00380B40">
        <w:rPr>
          <w:lang w:val="en-GB"/>
        </w:rPr>
        <w:tab/>
        <w:t>that Study Group 13 established the Joint Coordination Activity for IMT-2020 and beyond (JCA IMT-2020) to coordinate ITU-T</w:t>
      </w:r>
      <w:r w:rsidR="00F82355" w:rsidRPr="00380B40">
        <w:rPr>
          <w:lang w:val="en-GB"/>
        </w:rPr>
        <w:t>'</w:t>
      </w:r>
      <w:r w:rsidRPr="00380B40">
        <w:rPr>
          <w:lang w:val="en-GB"/>
        </w:rPr>
        <w:t>s IMT-2020 standardization work with focus on non-radio aspects within ITU-T and to coordinate communication with standards-development organizations (SDOs), consortia and forums also working on IMT-2020-related standards;</w:t>
      </w:r>
    </w:p>
    <w:p w14:paraId="3832EBE4" w14:textId="77777777" w:rsidR="002239A5" w:rsidRPr="00380B40" w:rsidRDefault="002239A5" w:rsidP="002239A5">
      <w:pPr>
        <w:rPr>
          <w:lang w:val="en-GB"/>
        </w:rPr>
      </w:pPr>
      <w:r w:rsidRPr="00380B40">
        <w:rPr>
          <w:i/>
          <w:iCs/>
          <w:lang w:val="en-GB"/>
        </w:rPr>
        <w:t>p)</w:t>
      </w:r>
      <w:r w:rsidRPr="00380B40">
        <w:rPr>
          <w:i/>
          <w:iCs/>
          <w:lang w:val="en-GB"/>
        </w:rPr>
        <w:tab/>
      </w:r>
      <w:r w:rsidRPr="00380B40">
        <w:rPr>
          <w:lang w:val="en-GB"/>
        </w:rPr>
        <w:t xml:space="preserve">that JCA IMT-2020 is maintaining a roadmap for IMT-2020 standardization which addresses ongoing and published specifications from ITU, other relevant SDOs, consortia and forums; </w:t>
      </w:r>
    </w:p>
    <w:p w14:paraId="14905B6E" w14:textId="77777777" w:rsidR="002239A5" w:rsidRPr="00380B40" w:rsidRDefault="002239A5" w:rsidP="002239A5">
      <w:pPr>
        <w:rPr>
          <w:lang w:val="en-GB"/>
        </w:rPr>
      </w:pPr>
      <w:r w:rsidRPr="00380B40">
        <w:rPr>
          <w:i/>
          <w:iCs/>
          <w:lang w:val="en-GB"/>
        </w:rPr>
        <w:t>q)</w:t>
      </w:r>
      <w:r w:rsidRPr="00380B40">
        <w:rPr>
          <w:lang w:val="en-GB"/>
        </w:rPr>
        <w:tab/>
        <w:t>that the Focus Group on IMT-2020 (FG IMT-2020) concluded its activities and reported to its parent study group, Study Group 13, on high-level network architecture, network softwarization, end-to-end quality of service (QoS), mobile fronthaul/backhaul and emerging new technologies;</w:t>
      </w:r>
    </w:p>
    <w:p w14:paraId="01103706" w14:textId="77777777" w:rsidR="002239A5" w:rsidRPr="00380B40" w:rsidRDefault="002239A5" w:rsidP="002239A5">
      <w:pPr>
        <w:rPr>
          <w:lang w:val="en-GB"/>
        </w:rPr>
      </w:pPr>
      <w:r w:rsidRPr="00380B40">
        <w:rPr>
          <w:i/>
          <w:iCs/>
          <w:lang w:val="en-GB"/>
        </w:rPr>
        <w:t>r)</w:t>
      </w:r>
      <w:r w:rsidRPr="00380B40">
        <w:rPr>
          <w:lang w:val="en-GB"/>
        </w:rPr>
        <w:tab/>
        <w:t>that Study Group 13 established the Focus Group on Machine Learning for Future Networks including 5G (FG-ML5G) to conduct an analysis of machine learning for future networks in order to identify relevant gaps and issues in standardization activities related to this topic;</w:t>
      </w:r>
    </w:p>
    <w:p w14:paraId="661B8D29" w14:textId="77777777" w:rsidR="00BA623A" w:rsidRPr="00380B40" w:rsidRDefault="00BA623A" w:rsidP="002239A5">
      <w:pPr>
        <w:rPr>
          <w:i/>
          <w:iCs/>
          <w:lang w:val="en-GB"/>
        </w:rPr>
      </w:pPr>
      <w:r w:rsidRPr="00380B40">
        <w:rPr>
          <w:i/>
          <w:iCs/>
          <w:lang w:val="en-GB"/>
        </w:rPr>
        <w:br w:type="page"/>
      </w:r>
    </w:p>
    <w:p w14:paraId="4A034FA3" w14:textId="77777777" w:rsidR="002239A5" w:rsidRPr="00380B40" w:rsidRDefault="002239A5" w:rsidP="002239A5">
      <w:pPr>
        <w:rPr>
          <w:lang w:val="en-GB"/>
        </w:rPr>
      </w:pPr>
      <w:r w:rsidRPr="00380B40">
        <w:rPr>
          <w:i/>
          <w:iCs/>
          <w:lang w:val="en-GB"/>
        </w:rPr>
        <w:t>s)</w:t>
      </w:r>
      <w:r w:rsidRPr="00380B40">
        <w:rPr>
          <w:lang w:val="en-GB"/>
        </w:rPr>
        <w:tab/>
        <w:t>that ITU-T Study Group 11 has progressed the study of signalling and control protocol aspects of IMT-2020, which includes studies on protocols supporting control and management technologies; signalling requirements and protocols for network attachment, including mobility and resource management; protocols supporting distributed content networking and information-centric networking; and protocol testing;</w:t>
      </w:r>
    </w:p>
    <w:p w14:paraId="7C12FB2D" w14:textId="77777777" w:rsidR="002239A5" w:rsidRPr="00380B40" w:rsidRDefault="002239A5" w:rsidP="002239A5">
      <w:pPr>
        <w:rPr>
          <w:lang w:val="en-GB"/>
        </w:rPr>
      </w:pPr>
      <w:r w:rsidRPr="00380B40">
        <w:rPr>
          <w:i/>
          <w:iCs/>
          <w:lang w:val="en-GB"/>
        </w:rPr>
        <w:t>t)</w:t>
      </w:r>
      <w:r w:rsidRPr="00380B40">
        <w:rPr>
          <w:lang w:val="en-GB"/>
        </w:rPr>
        <w:tab/>
        <w:t>that ITU-T Study Group 17 has continued addressing threats and vulnerabilities, which affect efforts to build confidence and security in the use of IMT-2020 systems; this includes studies on security and trust frameworks, guidelines and capabilities for IMT-2020 networks and edge computing,</w:t>
      </w:r>
    </w:p>
    <w:p w14:paraId="7F3ADAD0" w14:textId="77777777" w:rsidR="002239A5" w:rsidRPr="00380B40" w:rsidRDefault="002239A5" w:rsidP="002239A5">
      <w:pPr>
        <w:pStyle w:val="Call"/>
        <w:rPr>
          <w:lang w:val="en-GB"/>
        </w:rPr>
      </w:pPr>
      <w:r w:rsidRPr="00380B40">
        <w:rPr>
          <w:lang w:val="en-GB"/>
        </w:rPr>
        <w:t>noting</w:t>
      </w:r>
    </w:p>
    <w:p w14:paraId="0FE96C4E" w14:textId="77777777" w:rsidR="002239A5" w:rsidRPr="00380B40" w:rsidRDefault="002239A5" w:rsidP="002239A5">
      <w:pPr>
        <w:rPr>
          <w:lang w:val="en-GB"/>
        </w:rPr>
      </w:pPr>
      <w:r w:rsidRPr="00380B40">
        <w:rPr>
          <w:i/>
          <w:lang w:val="en-GB"/>
        </w:rPr>
        <w:t>a)</w:t>
      </w:r>
      <w:r w:rsidRPr="00380B40">
        <w:rPr>
          <w:lang w:val="en-GB"/>
        </w:rPr>
        <w:tab/>
        <w:t>Resolution 18 (Rev. Geneva, 2022) of this assembly, on principles and procedures for the allocation of work to, and coordination between, ITU</w:t>
      </w:r>
      <w:r w:rsidRPr="00380B40">
        <w:rPr>
          <w:lang w:val="en-GB"/>
        </w:rPr>
        <w:noBreakHyphen/>
        <w:t>R and ITU</w:t>
      </w:r>
      <w:r w:rsidRPr="00380B40">
        <w:rPr>
          <w:lang w:val="en-GB"/>
        </w:rPr>
        <w:noBreakHyphen/>
        <w:t>T;</w:t>
      </w:r>
    </w:p>
    <w:p w14:paraId="08ECA0DD" w14:textId="77777777" w:rsidR="002239A5" w:rsidRPr="00380B40" w:rsidRDefault="002239A5" w:rsidP="002239A5">
      <w:pPr>
        <w:rPr>
          <w:lang w:val="en-GB"/>
        </w:rPr>
      </w:pPr>
      <w:r w:rsidRPr="00380B40">
        <w:rPr>
          <w:i/>
          <w:lang w:val="en-GB"/>
        </w:rPr>
        <w:t>b)</w:t>
      </w:r>
      <w:r w:rsidRPr="00380B40">
        <w:rPr>
          <w:lang w:val="en-GB"/>
        </w:rPr>
        <w:tab/>
        <w:t>WTDC Resolution 59 (Rev. Buenos Aires, 2017), on strengthening coordination and cooperation among the three ITU Sectors on matters of mutual interest,</w:t>
      </w:r>
    </w:p>
    <w:p w14:paraId="78E3FE6C" w14:textId="77777777" w:rsidR="002239A5" w:rsidRPr="00380B40" w:rsidRDefault="002239A5" w:rsidP="002239A5">
      <w:pPr>
        <w:pStyle w:val="Call"/>
        <w:rPr>
          <w:lang w:val="en-GB"/>
        </w:rPr>
      </w:pPr>
      <w:r w:rsidRPr="00380B40">
        <w:rPr>
          <w:lang w:val="en-GB"/>
        </w:rPr>
        <w:t>resolves to invite the Telecommunication Standardization Advisory Group</w:t>
      </w:r>
    </w:p>
    <w:p w14:paraId="5DA461A7" w14:textId="77777777" w:rsidR="002239A5" w:rsidRPr="00380B40" w:rsidRDefault="002239A5" w:rsidP="002239A5">
      <w:pPr>
        <w:rPr>
          <w:lang w:val="en-GB"/>
        </w:rPr>
      </w:pPr>
      <w:r w:rsidRPr="00380B40">
        <w:rPr>
          <w:lang w:val="en-GB"/>
        </w:rPr>
        <w:t>1</w:t>
      </w:r>
      <w:r w:rsidRPr="00380B40">
        <w:rPr>
          <w:lang w:val="en-GB"/>
        </w:rPr>
        <w:tab/>
        <w:t>to facilitate coordination of the standardization activities related to the non-radio side of IMT systems (including IMT-2020 and beyond) among all relevant study groups, focus groups, joint coordination activities, etc.;</w:t>
      </w:r>
    </w:p>
    <w:p w14:paraId="06433D95" w14:textId="77777777" w:rsidR="002239A5" w:rsidRPr="00380B40" w:rsidRDefault="002239A5" w:rsidP="002239A5">
      <w:pPr>
        <w:rPr>
          <w:lang w:val="en-GB"/>
        </w:rPr>
      </w:pPr>
      <w:r w:rsidRPr="00380B40">
        <w:rPr>
          <w:lang w:val="en-GB"/>
        </w:rPr>
        <w:t>2</w:t>
      </w:r>
      <w:r w:rsidRPr="00380B40">
        <w:rPr>
          <w:lang w:val="en-GB"/>
        </w:rPr>
        <w:tab/>
        <w:t xml:space="preserve">to strengthen and accelerate activities related to the development and deployment of IMT systems based on standards for </w:t>
      </w:r>
      <w:bookmarkStart w:id="448" w:name="_Hlk97577160"/>
      <w:r w:rsidRPr="00380B40">
        <w:rPr>
          <w:lang w:val="en-GB"/>
        </w:rPr>
        <w:t xml:space="preserve">open and interoperable network technologies and solutions, such as non-radio aspects of IMT systems for access networks, </w:t>
      </w:r>
      <w:bookmarkEnd w:id="448"/>
      <w:r w:rsidRPr="00380B40">
        <w:rPr>
          <w:lang w:val="en-GB"/>
        </w:rPr>
        <w:t>particularly recognizing challenges in developing countries;</w:t>
      </w:r>
    </w:p>
    <w:p w14:paraId="5C9E1E8C" w14:textId="77777777" w:rsidR="002239A5" w:rsidRPr="00380B40" w:rsidRDefault="002239A5" w:rsidP="002239A5">
      <w:pPr>
        <w:rPr>
          <w:lang w:val="en-GB"/>
        </w:rPr>
      </w:pPr>
      <w:r w:rsidRPr="00380B40">
        <w:rPr>
          <w:lang w:val="en-GB"/>
        </w:rPr>
        <w:t>3</w:t>
      </w:r>
      <w:r w:rsidRPr="00380B40">
        <w:rPr>
          <w:lang w:val="en-GB"/>
        </w:rPr>
        <w:tab/>
        <w:t xml:space="preserve">to ensure collaboration among relevant ITU-T study groups and with relevant SDOs and forums and consortia for open and interoperable network technologies and solutions, including non-radio aspects of IMT systems for access networks; </w:t>
      </w:r>
    </w:p>
    <w:p w14:paraId="3906BB26" w14:textId="77777777" w:rsidR="002239A5" w:rsidRPr="00380B40" w:rsidRDefault="002239A5" w:rsidP="002239A5">
      <w:pPr>
        <w:rPr>
          <w:lang w:val="en-GB"/>
        </w:rPr>
      </w:pPr>
      <w:r w:rsidRPr="00380B40">
        <w:rPr>
          <w:lang w:val="en-GB"/>
        </w:rPr>
        <w:t>4</w:t>
      </w:r>
      <w:r w:rsidRPr="00380B40">
        <w:rPr>
          <w:lang w:val="en-GB"/>
        </w:rPr>
        <w:tab/>
        <w:t>to encourage, in cooperation with Study Group 13 and other relevant study groups, collaboration with other SDOs on a wide range of issues associated with the non-radio aspects of IMT systems,</w:t>
      </w:r>
    </w:p>
    <w:p w14:paraId="524675EC" w14:textId="77777777" w:rsidR="002239A5" w:rsidRPr="00380B40" w:rsidRDefault="002239A5" w:rsidP="002239A5">
      <w:pPr>
        <w:pStyle w:val="Call"/>
        <w:rPr>
          <w:lang w:val="en-GB"/>
        </w:rPr>
      </w:pPr>
      <w:r w:rsidRPr="00380B40">
        <w:rPr>
          <w:lang w:val="en-GB"/>
        </w:rPr>
        <w:t>instructs study groups</w:t>
      </w:r>
      <w:r w:rsidRPr="00380B40">
        <w:rPr>
          <w:i w:val="0"/>
          <w:lang w:val="en-GB"/>
        </w:rPr>
        <w:t xml:space="preserve"> </w:t>
      </w:r>
      <w:bookmarkStart w:id="449" w:name="_Hlk98340116"/>
      <w:r w:rsidRPr="00380B40">
        <w:rPr>
          <w:i w:val="0"/>
          <w:lang w:val="en-GB"/>
        </w:rPr>
        <w:t xml:space="preserve">of the </w:t>
      </w:r>
      <w:r w:rsidRPr="00380B40">
        <w:rPr>
          <w:lang w:val="en-GB"/>
        </w:rPr>
        <w:t>ITU Telecommunication Standardization Sector</w:t>
      </w:r>
      <w:bookmarkEnd w:id="449"/>
    </w:p>
    <w:p w14:paraId="7426C5C2" w14:textId="77777777" w:rsidR="002239A5" w:rsidRPr="00380B40" w:rsidRDefault="002239A5" w:rsidP="002239A5">
      <w:pPr>
        <w:rPr>
          <w:lang w:val="en-GB"/>
        </w:rPr>
      </w:pPr>
      <w:r w:rsidRPr="00380B40">
        <w:rPr>
          <w:lang w:val="en-GB"/>
        </w:rPr>
        <w:t>1</w:t>
      </w:r>
      <w:r w:rsidRPr="00380B40">
        <w:rPr>
          <w:lang w:val="en-GB"/>
        </w:rPr>
        <w:tab/>
        <w:t>to strengthen collaboration and coordination on standardization activities in respect of IMT systems (including IMT-2020 and beyond)</w:t>
      </w:r>
      <w:r w:rsidRPr="00380B40" w:rsidDel="005C11AE">
        <w:rPr>
          <w:lang w:val="en-GB"/>
        </w:rPr>
        <w:t xml:space="preserve"> </w:t>
      </w:r>
      <w:r w:rsidRPr="00380B40">
        <w:rPr>
          <w:lang w:val="en-GB"/>
        </w:rPr>
        <w:t>with other relevant standards organizations, in order to ensure a productive and practical standards solution for the global ICT industry;</w:t>
      </w:r>
    </w:p>
    <w:p w14:paraId="0E7D9A51" w14:textId="77777777" w:rsidR="002239A5" w:rsidRPr="00380B40" w:rsidRDefault="002239A5" w:rsidP="002239A5">
      <w:pPr>
        <w:rPr>
          <w:lang w:val="en-GB"/>
        </w:rPr>
      </w:pPr>
      <w:r w:rsidRPr="00380B40">
        <w:rPr>
          <w:lang w:val="en-GB"/>
        </w:rPr>
        <w:t>2</w:t>
      </w:r>
      <w:r w:rsidRPr="00380B40">
        <w:rPr>
          <w:lang w:val="en-GB"/>
        </w:rPr>
        <w:tab/>
        <w:t>to promote efficient and effective standardization work on the non-radio aspects of IMT systems, including IMT-2020 and beyond, as well as applications of relevant network technologies;</w:t>
      </w:r>
    </w:p>
    <w:p w14:paraId="0395CC34" w14:textId="77777777" w:rsidR="002239A5" w:rsidRPr="00380B40" w:rsidRDefault="002239A5" w:rsidP="002239A5">
      <w:pPr>
        <w:rPr>
          <w:lang w:val="en-GB"/>
        </w:rPr>
      </w:pPr>
      <w:r w:rsidRPr="00380B40">
        <w:rPr>
          <w:lang w:val="en-GB"/>
        </w:rPr>
        <w:t>3</w:t>
      </w:r>
      <w:r w:rsidRPr="00380B40">
        <w:rPr>
          <w:lang w:val="en-GB"/>
        </w:rPr>
        <w:tab/>
        <w:t>to promote ITU-T standardization work on the requirements of developing countries related to IMT in general and IMT-2020 in particular;</w:t>
      </w:r>
    </w:p>
    <w:p w14:paraId="24C791E7" w14:textId="77777777" w:rsidR="002239A5" w:rsidRPr="00380B40" w:rsidRDefault="002239A5" w:rsidP="002239A5">
      <w:pPr>
        <w:rPr>
          <w:lang w:val="en-GB"/>
        </w:rPr>
      </w:pPr>
      <w:r w:rsidRPr="00380B40">
        <w:rPr>
          <w:lang w:val="en-GB"/>
        </w:rPr>
        <w:t>4</w:t>
      </w:r>
      <w:r w:rsidRPr="00380B40">
        <w:rPr>
          <w:lang w:val="en-GB"/>
        </w:rPr>
        <w:tab/>
        <w:t>to be responsible for the development and annual reporting of ITU</w:t>
      </w:r>
      <w:r w:rsidRPr="00380B40">
        <w:rPr>
          <w:lang w:val="en-GB"/>
        </w:rPr>
        <w:noBreakHyphen/>
        <w:t xml:space="preserve">T's standards strategy on IMT, </w:t>
      </w:r>
    </w:p>
    <w:p w14:paraId="17350870" w14:textId="77777777" w:rsidR="00BA623A" w:rsidRPr="00380B40" w:rsidRDefault="00BA623A" w:rsidP="002239A5">
      <w:pPr>
        <w:pStyle w:val="Call"/>
        <w:rPr>
          <w:lang w:val="en-GB"/>
        </w:rPr>
      </w:pPr>
      <w:r w:rsidRPr="00380B40">
        <w:rPr>
          <w:lang w:val="en-GB"/>
        </w:rPr>
        <w:br w:type="page"/>
      </w:r>
    </w:p>
    <w:p w14:paraId="68916908" w14:textId="77777777" w:rsidR="002239A5" w:rsidRPr="00380B40" w:rsidRDefault="002239A5" w:rsidP="002239A5">
      <w:pPr>
        <w:pStyle w:val="Call"/>
        <w:rPr>
          <w:lang w:val="en-GB"/>
        </w:rPr>
      </w:pPr>
      <w:r w:rsidRPr="00380B40">
        <w:rPr>
          <w:lang w:val="en-GB"/>
        </w:rPr>
        <w:t>instructs Study Group 3</w:t>
      </w:r>
      <w:r w:rsidRPr="00380B40">
        <w:rPr>
          <w:i w:val="0"/>
          <w:lang w:val="en-GB"/>
        </w:rPr>
        <w:t xml:space="preserve"> </w:t>
      </w:r>
      <w:bookmarkStart w:id="450" w:name="_Hlk98340263"/>
      <w:r w:rsidRPr="00380B40">
        <w:rPr>
          <w:lang w:val="en-GB"/>
        </w:rPr>
        <w:t>of the ITU Telecommunication Standardization Sector</w:t>
      </w:r>
      <w:bookmarkEnd w:id="450"/>
    </w:p>
    <w:p w14:paraId="2D774886" w14:textId="77777777" w:rsidR="002239A5" w:rsidRPr="00380B40" w:rsidRDefault="002239A5" w:rsidP="002239A5">
      <w:pPr>
        <w:rPr>
          <w:lang w:val="en-GB"/>
        </w:rPr>
      </w:pPr>
      <w:r w:rsidRPr="00380B40">
        <w:rPr>
          <w:lang w:val="en-GB"/>
        </w:rPr>
        <w:t xml:space="preserve">to consider the ITU-T studies related to, </w:t>
      </w:r>
      <w:r w:rsidRPr="00380B40">
        <w:rPr>
          <w:i/>
          <w:iCs/>
          <w:lang w:val="en-GB"/>
        </w:rPr>
        <w:t>inter alia</w:t>
      </w:r>
      <w:r w:rsidRPr="00380B40">
        <w:rPr>
          <w:lang w:val="en-GB"/>
        </w:rPr>
        <w:t>, regulatory and economic questions relevant to IMT systems, including IMT-2020 and beyond, within its mandate,</w:t>
      </w:r>
    </w:p>
    <w:p w14:paraId="542616BE" w14:textId="77777777" w:rsidR="002239A5" w:rsidRPr="00380B40" w:rsidRDefault="002239A5" w:rsidP="002239A5">
      <w:pPr>
        <w:pStyle w:val="Call"/>
        <w:rPr>
          <w:lang w:val="en-GB"/>
        </w:rPr>
      </w:pPr>
      <w:r w:rsidRPr="00380B40">
        <w:rPr>
          <w:lang w:val="en-GB"/>
        </w:rPr>
        <w:t>instructs Study Group 5</w:t>
      </w:r>
      <w:r w:rsidRPr="00380B40">
        <w:rPr>
          <w:i w:val="0"/>
          <w:lang w:val="en-GB"/>
        </w:rPr>
        <w:t xml:space="preserve"> </w:t>
      </w:r>
      <w:r w:rsidRPr="00380B40">
        <w:rPr>
          <w:lang w:val="en-GB"/>
        </w:rPr>
        <w:t>of the ITU Telecommunication Standardization Sector</w:t>
      </w:r>
    </w:p>
    <w:p w14:paraId="54435D99" w14:textId="77777777" w:rsidR="002239A5" w:rsidRPr="00380B40" w:rsidRDefault="002239A5" w:rsidP="002239A5">
      <w:pPr>
        <w:rPr>
          <w:lang w:val="en-GB"/>
        </w:rPr>
      </w:pPr>
      <w:r w:rsidRPr="00380B40">
        <w:rPr>
          <w:lang w:val="en-GB"/>
        </w:rPr>
        <w:t>to pursue promoting the studies on standardization activities related to IMT environmental requirements, including energy efficiency,</w:t>
      </w:r>
    </w:p>
    <w:p w14:paraId="376AA9F9" w14:textId="77777777" w:rsidR="002239A5" w:rsidRPr="00380B40" w:rsidRDefault="002239A5" w:rsidP="002239A5">
      <w:pPr>
        <w:pStyle w:val="Call"/>
        <w:rPr>
          <w:lang w:val="en-GB"/>
        </w:rPr>
      </w:pPr>
      <w:r w:rsidRPr="00380B40">
        <w:rPr>
          <w:lang w:val="en-GB"/>
        </w:rPr>
        <w:t>instructs Study Group 11 of the ITU Telecommunication Standardization Sector</w:t>
      </w:r>
    </w:p>
    <w:p w14:paraId="120784CF" w14:textId="77777777" w:rsidR="002239A5" w:rsidRPr="00380B40" w:rsidRDefault="002239A5" w:rsidP="002239A5">
      <w:pPr>
        <w:rPr>
          <w:highlight w:val="yellow"/>
          <w:lang w:val="en-GB"/>
        </w:rPr>
      </w:pPr>
      <w:r w:rsidRPr="00380B40">
        <w:rPr>
          <w:lang w:val="en-GB"/>
        </w:rPr>
        <w:t>to continue promoting the studies on standardization activities related to the non-radio aspects of IMT signalling requirements, protocols and testing frameworks, specifications, methodologies, capabilities, and interoperability for IMT systems (including IMT-2020 and beyond),</w:t>
      </w:r>
    </w:p>
    <w:p w14:paraId="457EBA63" w14:textId="77777777" w:rsidR="002239A5" w:rsidRPr="00380B40" w:rsidRDefault="002239A5" w:rsidP="002239A5">
      <w:pPr>
        <w:pStyle w:val="Call"/>
        <w:rPr>
          <w:lang w:val="en-GB"/>
        </w:rPr>
      </w:pPr>
      <w:r w:rsidRPr="00380B40">
        <w:rPr>
          <w:lang w:val="en-GB"/>
        </w:rPr>
        <w:t>instructs Study Group 12</w:t>
      </w:r>
      <w:r w:rsidRPr="00380B40">
        <w:rPr>
          <w:i w:val="0"/>
          <w:lang w:val="en-GB"/>
        </w:rPr>
        <w:t xml:space="preserve"> </w:t>
      </w:r>
      <w:r w:rsidRPr="00380B40">
        <w:rPr>
          <w:lang w:val="en-GB"/>
        </w:rPr>
        <w:t>of the ITU Telecommunication Standardization Sector</w:t>
      </w:r>
    </w:p>
    <w:p w14:paraId="29C142DB" w14:textId="77777777" w:rsidR="002239A5" w:rsidRPr="00380B40" w:rsidRDefault="002239A5" w:rsidP="002239A5">
      <w:pPr>
        <w:rPr>
          <w:lang w:val="en-GB"/>
        </w:rPr>
      </w:pPr>
      <w:r w:rsidRPr="00380B40">
        <w:rPr>
          <w:lang w:val="en-GB"/>
        </w:rPr>
        <w:t>to continue promoting the studies on standardization activities of service, QoS and quality of experience related to the non-radio aspects of IMT systems (including IMT-2020 and beyond),</w:t>
      </w:r>
    </w:p>
    <w:p w14:paraId="762E8BB2" w14:textId="77777777" w:rsidR="002239A5" w:rsidRPr="00380B40" w:rsidRDefault="002239A5" w:rsidP="002239A5">
      <w:pPr>
        <w:pStyle w:val="Call"/>
        <w:rPr>
          <w:lang w:val="en-GB"/>
        </w:rPr>
      </w:pPr>
      <w:r w:rsidRPr="00380B40">
        <w:rPr>
          <w:lang w:val="en-GB"/>
        </w:rPr>
        <w:t>instructs Study Group 13</w:t>
      </w:r>
      <w:r w:rsidRPr="00380B40">
        <w:rPr>
          <w:i w:val="0"/>
          <w:lang w:val="en-GB"/>
        </w:rPr>
        <w:t xml:space="preserve"> </w:t>
      </w:r>
      <w:r w:rsidRPr="00380B40">
        <w:rPr>
          <w:lang w:val="en-GB"/>
        </w:rPr>
        <w:t>of the ITU Telecommunication Standardization Sector</w:t>
      </w:r>
    </w:p>
    <w:p w14:paraId="72B21815" w14:textId="77777777" w:rsidR="002239A5" w:rsidRPr="00380B40" w:rsidRDefault="002239A5" w:rsidP="002239A5">
      <w:pPr>
        <w:rPr>
          <w:lang w:val="en-GB"/>
        </w:rPr>
      </w:pPr>
      <w:r w:rsidRPr="00380B40">
        <w:rPr>
          <w:lang w:val="en-GB"/>
        </w:rPr>
        <w:t>1</w:t>
      </w:r>
      <w:r w:rsidRPr="00380B40">
        <w:rPr>
          <w:lang w:val="en-GB"/>
        </w:rPr>
        <w:tab/>
        <w:t>to maintain the roadmap of, and continue promoting, IMT standardization activities in ITU</w:t>
      </w:r>
      <w:r w:rsidRPr="00380B40">
        <w:rPr>
          <w:lang w:val="en-GB"/>
        </w:rPr>
        <w:noBreakHyphen/>
        <w:t>T, which should include work items to progress standardization work related to the non-radio aspects of IMT systems (including IMT-2020 and beyond), and share this with relevant groups of ITU</w:t>
      </w:r>
      <w:r w:rsidRPr="00380B40">
        <w:rPr>
          <w:lang w:val="en-GB"/>
        </w:rPr>
        <w:noBreakHyphen/>
        <w:t>R and ITU</w:t>
      </w:r>
      <w:r w:rsidRPr="00380B40">
        <w:rPr>
          <w:lang w:val="en-GB"/>
        </w:rPr>
        <w:noBreakHyphen/>
        <w:t>D and external organizations, such as through coordination work ensured by JCA IMT-2020;</w:t>
      </w:r>
    </w:p>
    <w:p w14:paraId="3552D78A" w14:textId="77777777" w:rsidR="002239A5" w:rsidRPr="00380B40" w:rsidRDefault="002239A5" w:rsidP="002239A5">
      <w:pPr>
        <w:rPr>
          <w:highlight w:val="yellow"/>
          <w:lang w:val="en-GB"/>
        </w:rPr>
      </w:pPr>
      <w:r w:rsidRPr="00380B40">
        <w:rPr>
          <w:lang w:val="en-GB"/>
        </w:rPr>
        <w:t>2</w:t>
      </w:r>
      <w:r w:rsidRPr="00380B40">
        <w:rPr>
          <w:lang w:val="en-GB"/>
        </w:rPr>
        <w:tab/>
        <w:t>to maintain and update on an annual basis the supplement to the ITU-T Recommendation containing the current version of the IMT-2020 standardization roadmap;</w:t>
      </w:r>
    </w:p>
    <w:p w14:paraId="462390FD" w14:textId="77777777" w:rsidR="002239A5" w:rsidRPr="00380B40" w:rsidRDefault="002239A5" w:rsidP="002239A5">
      <w:pPr>
        <w:rPr>
          <w:lang w:val="en-GB"/>
        </w:rPr>
      </w:pPr>
      <w:r w:rsidRPr="00380B40">
        <w:rPr>
          <w:lang w:val="en-GB"/>
        </w:rPr>
        <w:t>3</w:t>
      </w:r>
      <w:r w:rsidRPr="00380B40">
        <w:rPr>
          <w:lang w:val="en-GB"/>
        </w:rPr>
        <w:tab/>
        <w:t>to continue promoting the studies on non-radio aspects of IMT system (including IMT-2020 and beyond) network requirements and architecture, including network softwarization (e.g. non-radio aspects of Cloud radio access network, multi-access edge computing, etc.); network slicing; network capability openness, including open network interconnection and exposure; network management and orchestration; terrestrial (e.g. fixed-mobile) and non-terrestrial (e.g. satellite) convergence; emerging network technology; and the use of machine learning;</w:t>
      </w:r>
    </w:p>
    <w:p w14:paraId="5D7E1B2A" w14:textId="77777777" w:rsidR="002239A5" w:rsidRPr="00380B40" w:rsidRDefault="002239A5" w:rsidP="002239A5">
      <w:pPr>
        <w:rPr>
          <w:lang w:val="en-GB"/>
        </w:rPr>
      </w:pPr>
      <w:r w:rsidRPr="00380B40">
        <w:rPr>
          <w:lang w:val="en-GB"/>
        </w:rPr>
        <w:t>4</w:t>
      </w:r>
      <w:r w:rsidRPr="00380B40">
        <w:rPr>
          <w:lang w:val="en-GB"/>
        </w:rPr>
        <w:tab/>
        <w:t>to promote JCA IMT-2020 and beyond and to continue coordinating the standardization activities of IMT systems (including IMT-2020 and beyond) among all relevant study groups, focus groups and other SDOs,</w:t>
      </w:r>
    </w:p>
    <w:p w14:paraId="49E5119E" w14:textId="77777777" w:rsidR="00E0653B" w:rsidRPr="00380B40" w:rsidRDefault="00E0653B" w:rsidP="002239A5">
      <w:pPr>
        <w:pStyle w:val="Call"/>
        <w:rPr>
          <w:lang w:val="en-GB"/>
        </w:rPr>
      </w:pPr>
      <w:r w:rsidRPr="00380B40">
        <w:rPr>
          <w:lang w:val="en-GB"/>
        </w:rPr>
        <w:br w:type="page"/>
      </w:r>
    </w:p>
    <w:p w14:paraId="73E1C1CC" w14:textId="77777777" w:rsidR="002239A5" w:rsidRPr="00380B40" w:rsidRDefault="002239A5" w:rsidP="002239A5">
      <w:pPr>
        <w:pStyle w:val="Call"/>
        <w:rPr>
          <w:lang w:val="en-GB"/>
        </w:rPr>
      </w:pPr>
      <w:r w:rsidRPr="00380B40">
        <w:rPr>
          <w:lang w:val="en-GB"/>
        </w:rPr>
        <w:t>instructs Study Group 15 of the ITU Telecommunication Standardization Sector</w:t>
      </w:r>
    </w:p>
    <w:p w14:paraId="36D4A26D" w14:textId="77777777" w:rsidR="002239A5" w:rsidRPr="00380B40" w:rsidRDefault="002239A5" w:rsidP="002239A5">
      <w:pPr>
        <w:rPr>
          <w:lang w:val="en-GB"/>
        </w:rPr>
      </w:pPr>
      <w:r w:rsidRPr="00380B40">
        <w:rPr>
          <w:lang w:val="en-GB"/>
        </w:rPr>
        <w:t>to continue promoting the studies on non-radio aspects of IMT's transport network (e.g. fronthaul and backhaul) standardization activities, including network requirements, architecture, function and performance, characteristics, enabling technologies, management and control, synchronization, etc., for IMT systems (including IMT-2020 and beyond),</w:t>
      </w:r>
    </w:p>
    <w:p w14:paraId="1667F80E" w14:textId="77777777" w:rsidR="002239A5" w:rsidRPr="00380B40" w:rsidRDefault="002239A5" w:rsidP="002239A5">
      <w:pPr>
        <w:pStyle w:val="Call"/>
        <w:rPr>
          <w:lang w:val="en-GB"/>
        </w:rPr>
      </w:pPr>
      <w:r w:rsidRPr="00380B40">
        <w:rPr>
          <w:lang w:val="en-GB"/>
        </w:rPr>
        <w:t>instructs Study Group 17</w:t>
      </w:r>
      <w:r w:rsidRPr="00380B40">
        <w:rPr>
          <w:i w:val="0"/>
          <w:lang w:val="en-GB"/>
        </w:rPr>
        <w:t xml:space="preserve"> </w:t>
      </w:r>
      <w:r w:rsidRPr="00380B40">
        <w:rPr>
          <w:lang w:val="en-GB"/>
        </w:rPr>
        <w:t>of the ITU Telecommunication Standardization Sector</w:t>
      </w:r>
    </w:p>
    <w:p w14:paraId="2DA3FD5D" w14:textId="77777777" w:rsidR="002239A5" w:rsidRPr="00380B40" w:rsidRDefault="002239A5" w:rsidP="002239A5">
      <w:pPr>
        <w:rPr>
          <w:lang w:val="en-GB"/>
        </w:rPr>
      </w:pPr>
      <w:r w:rsidRPr="00380B40">
        <w:rPr>
          <w:lang w:val="en-GB"/>
        </w:rPr>
        <w:t>1</w:t>
      </w:r>
      <w:r w:rsidRPr="00380B40">
        <w:rPr>
          <w:lang w:val="en-GB"/>
        </w:rPr>
        <w:tab/>
        <w:t>to continue promoting the studies on standardization activities related to network and applications security for IMT-2020 and beyond;</w:t>
      </w:r>
    </w:p>
    <w:p w14:paraId="073BAF2E" w14:textId="77777777" w:rsidR="002239A5" w:rsidRPr="00380B40" w:rsidRDefault="002239A5" w:rsidP="002239A5">
      <w:pPr>
        <w:rPr>
          <w:lang w:val="en-GB"/>
        </w:rPr>
      </w:pPr>
      <w:r w:rsidRPr="00380B40">
        <w:rPr>
          <w:lang w:val="en-GB"/>
        </w:rPr>
        <w:t>2</w:t>
      </w:r>
      <w:r w:rsidRPr="00380B40">
        <w:rPr>
          <w:lang w:val="en-GB"/>
        </w:rPr>
        <w:tab/>
        <w:t>to promote coordination and collaboration with ITU-R and other SDOs, such as the 3rd Generation Partnership Project System Aspects working group 3 (3GPP SA3), on security aspects of IMT-2020 and beyond, in the course of development of the relevant specifications or ITU-T Recommendations,</w:t>
      </w:r>
    </w:p>
    <w:p w14:paraId="17BC3BC0" w14:textId="77777777" w:rsidR="002239A5" w:rsidRPr="00380B40" w:rsidRDefault="002239A5" w:rsidP="002239A5">
      <w:pPr>
        <w:pStyle w:val="Call"/>
        <w:rPr>
          <w:lang w:val="en-GB"/>
        </w:rPr>
      </w:pPr>
      <w:r w:rsidRPr="00380B40">
        <w:rPr>
          <w:lang w:val="en-GB"/>
        </w:rPr>
        <w:t>instructs the Director of the Telecommunication Standardization Bureau</w:t>
      </w:r>
    </w:p>
    <w:p w14:paraId="2B4CE588" w14:textId="77777777" w:rsidR="002239A5" w:rsidRPr="00380B40" w:rsidRDefault="002239A5" w:rsidP="002239A5">
      <w:pPr>
        <w:rPr>
          <w:lang w:val="en-GB"/>
        </w:rPr>
      </w:pPr>
      <w:r w:rsidRPr="00380B40">
        <w:rPr>
          <w:lang w:val="en-GB"/>
        </w:rPr>
        <w:t>1</w:t>
      </w:r>
      <w:r w:rsidRPr="00380B40">
        <w:rPr>
          <w:lang w:val="en-GB"/>
        </w:rPr>
        <w:tab/>
        <w:t>to bring this resolution to the attention of the Directors of the Radiocommunication Bureau and the Telecommunication Development Bureau;</w:t>
      </w:r>
    </w:p>
    <w:p w14:paraId="400E4F66" w14:textId="77777777" w:rsidR="002239A5" w:rsidRPr="00380B40" w:rsidRDefault="002239A5" w:rsidP="002239A5">
      <w:pPr>
        <w:rPr>
          <w:lang w:val="en-GB"/>
        </w:rPr>
      </w:pPr>
      <w:r w:rsidRPr="00380B40">
        <w:rPr>
          <w:lang w:val="en-GB"/>
        </w:rPr>
        <w:t>2</w:t>
      </w:r>
      <w:r w:rsidRPr="00380B40">
        <w:rPr>
          <w:lang w:val="en-GB"/>
        </w:rPr>
        <w:tab/>
        <w:t>to continue conducting seminars and workshops on non-radio aspects of IMT, the standards strategy, technical solutions and network applications, taking into account specific national and regional requirements,</w:t>
      </w:r>
    </w:p>
    <w:p w14:paraId="0008D05A" w14:textId="77777777" w:rsidR="002239A5" w:rsidRPr="00380B40" w:rsidRDefault="002239A5" w:rsidP="002239A5">
      <w:pPr>
        <w:pStyle w:val="Call"/>
        <w:rPr>
          <w:lang w:val="en-GB"/>
        </w:rPr>
      </w:pPr>
      <w:r w:rsidRPr="00380B40">
        <w:rPr>
          <w:lang w:val="en-GB"/>
        </w:rPr>
        <w:t>encourages the Directors of the three Bureaux</w:t>
      </w:r>
    </w:p>
    <w:p w14:paraId="6D2DCD6E" w14:textId="77777777" w:rsidR="002239A5" w:rsidRPr="00380B40" w:rsidRDefault="002239A5" w:rsidP="002239A5">
      <w:pPr>
        <w:rPr>
          <w:lang w:val="en-GB"/>
        </w:rPr>
      </w:pPr>
      <w:r w:rsidRPr="00380B40">
        <w:rPr>
          <w:lang w:val="en-GB"/>
        </w:rPr>
        <w:t>1</w:t>
      </w:r>
      <w:r w:rsidRPr="00380B40">
        <w:rPr>
          <w:lang w:val="en-GB"/>
        </w:rPr>
        <w:tab/>
        <w:t>to investigate new ways to improve the efficiency of ITU work on IMT, and to examine the possibility of establishing an observatory for IMT-2020 and beyond, including appropriate guidelines if needed, taking into account budgetary considerations;</w:t>
      </w:r>
    </w:p>
    <w:p w14:paraId="112EF2C5" w14:textId="77777777" w:rsidR="002239A5" w:rsidRPr="00380B40" w:rsidRDefault="002239A5" w:rsidP="002239A5">
      <w:pPr>
        <w:rPr>
          <w:lang w:val="en-GB"/>
        </w:rPr>
      </w:pPr>
      <w:r w:rsidRPr="00380B40">
        <w:rPr>
          <w:lang w:val="en-GB"/>
        </w:rPr>
        <w:t>2</w:t>
      </w:r>
      <w:r w:rsidRPr="00380B40">
        <w:rPr>
          <w:lang w:val="en-GB"/>
        </w:rPr>
        <w:tab/>
        <w:t>to promote studies on standardization activities related to regulatory and economic questions relevant to accommodating non-radio aspects of IMT-2020 systems and beyond use cases, and to encouraging and supporting market growth, innovation, collaboration and ICT infrastructure investment;</w:t>
      </w:r>
    </w:p>
    <w:p w14:paraId="51242FC7" w14:textId="77777777" w:rsidR="002239A5" w:rsidRPr="00380B40" w:rsidRDefault="002239A5" w:rsidP="002239A5">
      <w:pPr>
        <w:rPr>
          <w:lang w:val="en-GB"/>
        </w:rPr>
      </w:pPr>
      <w:r w:rsidRPr="00380B40">
        <w:rPr>
          <w:lang w:val="en-GB"/>
        </w:rPr>
        <w:t>3</w:t>
      </w:r>
      <w:r w:rsidRPr="00380B40">
        <w:rPr>
          <w:lang w:val="en-GB"/>
        </w:rPr>
        <w:tab/>
        <w:t>to develop guidance on the economic drivers for IMT-2020 deployment,</w:t>
      </w:r>
    </w:p>
    <w:p w14:paraId="7449D8AE" w14:textId="77777777" w:rsidR="002239A5" w:rsidRPr="00380B40" w:rsidRDefault="002239A5" w:rsidP="002239A5">
      <w:pPr>
        <w:pStyle w:val="Call"/>
        <w:rPr>
          <w:lang w:val="en-GB"/>
        </w:rPr>
      </w:pPr>
      <w:r w:rsidRPr="00380B40">
        <w:rPr>
          <w:lang w:val="en-GB"/>
        </w:rPr>
        <w:t xml:space="preserve">invites Member States, Sector Members, Associates and Academia </w:t>
      </w:r>
    </w:p>
    <w:p w14:paraId="500A80EC" w14:textId="77777777" w:rsidR="002239A5" w:rsidRPr="00380B40" w:rsidRDefault="002239A5" w:rsidP="002239A5">
      <w:pPr>
        <w:rPr>
          <w:lang w:val="en-GB"/>
        </w:rPr>
      </w:pPr>
      <w:r w:rsidRPr="00380B40">
        <w:rPr>
          <w:lang w:val="en-GB"/>
        </w:rPr>
        <w:t>1</w:t>
      </w:r>
      <w:r w:rsidRPr="00380B40">
        <w:rPr>
          <w:lang w:val="en-GB"/>
        </w:rPr>
        <w:tab/>
        <w:t>to participate actively in the standardization activities of ITU</w:t>
      </w:r>
      <w:r w:rsidRPr="00380B40">
        <w:rPr>
          <w:lang w:val="en-GB"/>
        </w:rPr>
        <w:noBreakHyphen/>
        <w:t>T on developing Recommendations on non-radio aspects of IMT systems (including IMT-2020 and beyond);</w:t>
      </w:r>
    </w:p>
    <w:p w14:paraId="3E00C55C" w14:textId="77777777" w:rsidR="002239A5" w:rsidRPr="00380B40" w:rsidRDefault="002239A5" w:rsidP="002239A5">
      <w:pPr>
        <w:pStyle w:val="Reasons"/>
      </w:pPr>
      <w:r w:rsidRPr="00380B40">
        <w:t>2</w:t>
      </w:r>
      <w:r w:rsidRPr="00380B40">
        <w:tab/>
        <w:t>to share non-radio standards strategy, network evolution experience and application cases of IMT systems (including IMT-2020 and beyond) in relevant seminars and workshop events.</w:t>
      </w:r>
    </w:p>
    <w:p w14:paraId="3EA03C47" w14:textId="77777777" w:rsidR="00CE61E6" w:rsidRPr="00380B40"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435522D" w14:textId="77777777" w:rsidR="00BB0DB7" w:rsidRPr="00380B40" w:rsidRDefault="00BB0DB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C9E4EC8" w14:textId="77777777" w:rsidR="00BB0DB7" w:rsidRPr="00380B40" w:rsidRDefault="00BB0DB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0411E9B" w14:textId="77777777" w:rsidR="00A05618" w:rsidRPr="00380B40" w:rsidRDefault="00A05618" w:rsidP="00A05618">
      <w:pPr>
        <w:rPr>
          <w:lang w:val="en-GB"/>
        </w:rPr>
      </w:pPr>
    </w:p>
    <w:p w14:paraId="6D3FF2E1" w14:textId="77777777" w:rsidR="00A05618" w:rsidRPr="00380B40" w:rsidRDefault="00A05618" w:rsidP="00A05618">
      <w:pPr>
        <w:rPr>
          <w:lang w:val="en-GB"/>
        </w:rPr>
        <w:sectPr w:rsidR="00A05618" w:rsidRPr="00380B40" w:rsidSect="00CC5E14">
          <w:headerReference w:type="even" r:id="rId304"/>
          <w:headerReference w:type="default" r:id="rId305"/>
          <w:footerReference w:type="even" r:id="rId306"/>
          <w:footerReference w:type="default" r:id="rId307"/>
          <w:headerReference w:type="first" r:id="rId308"/>
          <w:footerReference w:type="first" r:id="rId309"/>
          <w:footnotePr>
            <w:numRestart w:val="eachSect"/>
          </w:footnotePr>
          <w:pgSz w:w="11907" w:h="16834" w:code="9"/>
          <w:pgMar w:top="1134" w:right="1134" w:bottom="1134" w:left="1134" w:header="567" w:footer="567" w:gutter="0"/>
          <w:paperSrc w:first="15" w:other="15"/>
          <w:cols w:space="720"/>
          <w:vAlign w:val="both"/>
          <w:docGrid w:linePitch="299"/>
        </w:sectPr>
      </w:pPr>
    </w:p>
    <w:p w14:paraId="49558205" w14:textId="77777777" w:rsidR="00F1338F" w:rsidRPr="00380B40" w:rsidRDefault="008A1180" w:rsidP="00F1338F">
      <w:pPr>
        <w:pStyle w:val="ResNo"/>
        <w:rPr>
          <w:lang w:val="en-GB"/>
        </w:rPr>
      </w:pPr>
      <w:bookmarkStart w:id="451" w:name="_Toc104459793"/>
      <w:bookmarkStart w:id="452" w:name="_Toc104476601"/>
      <w:bookmarkStart w:id="453" w:name="_Toc111636810"/>
      <w:bookmarkStart w:id="454" w:name="_Toc111638494"/>
      <w:r w:rsidRPr="00380B40">
        <w:rPr>
          <w:caps w:val="0"/>
          <w:lang w:val="en-GB"/>
        </w:rPr>
        <w:t xml:space="preserve">RESOLUTION </w:t>
      </w:r>
      <w:r w:rsidR="00F1338F" w:rsidRPr="00380B40">
        <w:rPr>
          <w:rStyle w:val="href"/>
          <w:lang w:val="en-GB"/>
        </w:rPr>
        <w:t xml:space="preserve">93 </w:t>
      </w:r>
      <w:r w:rsidR="00F1338F" w:rsidRPr="00380B40">
        <w:rPr>
          <w:lang w:val="en-GB"/>
        </w:rPr>
        <w:t>(</w:t>
      </w:r>
      <w:r w:rsidR="00F1338F" w:rsidRPr="00380B40">
        <w:rPr>
          <w:caps w:val="0"/>
          <w:lang w:val="en-GB"/>
        </w:rPr>
        <w:t>Hammamet</w:t>
      </w:r>
      <w:r w:rsidR="00F1338F" w:rsidRPr="00380B40">
        <w:rPr>
          <w:lang w:val="en-GB"/>
        </w:rPr>
        <w:t>, 2016)</w:t>
      </w:r>
      <w:bookmarkEnd w:id="451"/>
      <w:bookmarkEnd w:id="452"/>
      <w:bookmarkEnd w:id="453"/>
      <w:bookmarkEnd w:id="454"/>
    </w:p>
    <w:p w14:paraId="7069E363" w14:textId="77777777" w:rsidR="00F1338F" w:rsidRPr="00380B40" w:rsidRDefault="00F1338F" w:rsidP="00F1338F">
      <w:pPr>
        <w:pStyle w:val="Restitle"/>
        <w:rPr>
          <w:lang w:val="en-GB"/>
        </w:rPr>
      </w:pPr>
      <w:bookmarkStart w:id="455" w:name="_Toc104459794"/>
      <w:bookmarkStart w:id="456" w:name="_Toc104476602"/>
      <w:bookmarkStart w:id="457" w:name="_Toc111638495"/>
      <w:r w:rsidRPr="00380B40">
        <w:rPr>
          <w:lang w:val="en-GB"/>
        </w:rPr>
        <w:t>Interconnection of 4G, IMT-2020 networks and beyond</w:t>
      </w:r>
      <w:bookmarkEnd w:id="455"/>
      <w:bookmarkEnd w:id="456"/>
      <w:bookmarkEnd w:id="457"/>
    </w:p>
    <w:p w14:paraId="29454A8C" w14:textId="77777777" w:rsidR="00F1338F" w:rsidRPr="00380B40" w:rsidRDefault="00F1338F" w:rsidP="00F1338F">
      <w:pPr>
        <w:pStyle w:val="Resref"/>
        <w:rPr>
          <w:lang w:val="en-GB"/>
        </w:rPr>
      </w:pPr>
      <w:r w:rsidRPr="00380B40">
        <w:rPr>
          <w:lang w:val="en-GB"/>
        </w:rPr>
        <w:t>(Hammamet, 2016)</w:t>
      </w:r>
    </w:p>
    <w:p w14:paraId="6249A0D1" w14:textId="77777777" w:rsidR="00F1338F" w:rsidRPr="00380B40" w:rsidRDefault="00F1338F" w:rsidP="00F1338F">
      <w:pPr>
        <w:pStyle w:val="Normalaftertitle0"/>
      </w:pPr>
      <w:r w:rsidRPr="00380B40">
        <w:t>The World Telecommunication Standardization Assembly (Hammamet, 2016),</w:t>
      </w:r>
    </w:p>
    <w:p w14:paraId="3DAB6876" w14:textId="77777777" w:rsidR="00F1338F" w:rsidRPr="00380B40" w:rsidRDefault="00F1338F" w:rsidP="00F1338F">
      <w:pPr>
        <w:pStyle w:val="Call"/>
        <w:rPr>
          <w:lang w:val="en-GB"/>
        </w:rPr>
      </w:pPr>
      <w:r w:rsidRPr="00380B40">
        <w:rPr>
          <w:lang w:val="en-GB"/>
        </w:rPr>
        <w:t>recognizing</w:t>
      </w:r>
    </w:p>
    <w:p w14:paraId="73D35E57" w14:textId="77777777" w:rsidR="00F1338F" w:rsidRPr="00380B40" w:rsidRDefault="00F1338F" w:rsidP="00F1338F">
      <w:pPr>
        <w:rPr>
          <w:lang w:val="en-GB"/>
        </w:rPr>
      </w:pPr>
      <w:r w:rsidRPr="00380B40">
        <w:rPr>
          <w:i/>
          <w:iCs/>
          <w:lang w:val="en-GB"/>
        </w:rPr>
        <w:t>a)</w:t>
      </w:r>
      <w:r w:rsidRPr="00380B40">
        <w:rPr>
          <w:lang w:val="en-GB"/>
        </w:rPr>
        <w:tab/>
        <w:t>that, currently, most of the telecommunication operators in the world are migrating from circuit-switched networks to packet-switched networks, and most of them have already established Internet protocol (IP)</w:t>
      </w:r>
      <w:r w:rsidRPr="00380B40">
        <w:rPr>
          <w:lang w:val="en-GB"/>
        </w:rPr>
        <w:noBreakHyphen/>
        <w:t>based networks for delivering most of their services using a new concept "all over IP";</w:t>
      </w:r>
    </w:p>
    <w:p w14:paraId="0ED729E4" w14:textId="77777777" w:rsidR="00F1338F" w:rsidRPr="00380B40" w:rsidRDefault="00F1338F" w:rsidP="00F1338F">
      <w:pPr>
        <w:rPr>
          <w:lang w:val="en-GB"/>
        </w:rPr>
      </w:pPr>
      <w:r w:rsidRPr="00380B40">
        <w:rPr>
          <w:i/>
          <w:iCs/>
          <w:lang w:val="en-GB"/>
        </w:rPr>
        <w:t>b)</w:t>
      </w:r>
      <w:r w:rsidRPr="00380B40">
        <w:rPr>
          <w:lang w:val="en-GB"/>
        </w:rPr>
        <w:tab/>
        <w:t>that, currently, long-term evolution (LTE) is used on the access stratum of operators' networks as one of the technologies for delivering voice-over-IP services (VoLTE);</w:t>
      </w:r>
    </w:p>
    <w:p w14:paraId="6F6ED416" w14:textId="77777777" w:rsidR="00F1338F" w:rsidRPr="00380B40" w:rsidRDefault="00F1338F" w:rsidP="00F1338F">
      <w:pPr>
        <w:rPr>
          <w:lang w:val="en-GB"/>
        </w:rPr>
      </w:pPr>
      <w:r w:rsidRPr="00380B40">
        <w:rPr>
          <w:i/>
          <w:iCs/>
          <w:lang w:val="en-GB"/>
        </w:rPr>
        <w:t>c)</w:t>
      </w:r>
      <w:r w:rsidRPr="00380B40">
        <w:rPr>
          <w:lang w:val="en-GB"/>
        </w:rPr>
        <w:tab/>
        <w:t>that network architectures, roaming principles, numbering issues and charging and security mechanisms that are being used in circuit-switched networks are in most cases not suitable for interconnection of IP-</w:t>
      </w:r>
      <w:r w:rsidRPr="00380B40">
        <w:rPr>
          <w:szCs w:val="22"/>
          <w:lang w:val="en-GB"/>
        </w:rPr>
        <w:t>based</w:t>
      </w:r>
      <w:r w:rsidRPr="00380B40">
        <w:rPr>
          <w:lang w:val="en-GB"/>
        </w:rPr>
        <w:t xml:space="preserve"> networks (e.g. 4G, IMT-2020 and beyond) to be used for providing voice and video services;</w:t>
      </w:r>
    </w:p>
    <w:p w14:paraId="09CB3C0B" w14:textId="77777777" w:rsidR="00F1338F" w:rsidRPr="00380B40" w:rsidRDefault="00F1338F" w:rsidP="00F1338F">
      <w:pPr>
        <w:rPr>
          <w:lang w:val="en-GB"/>
        </w:rPr>
      </w:pPr>
      <w:r w:rsidRPr="00380B40">
        <w:rPr>
          <w:i/>
          <w:iCs/>
          <w:lang w:val="en-GB"/>
        </w:rPr>
        <w:t>d)</w:t>
      </w:r>
      <w:r w:rsidRPr="00380B40">
        <w:rPr>
          <w:lang w:val="en-GB"/>
        </w:rPr>
        <w:tab/>
        <w:t>that the interconnection of IP-based networks needs to be agreed among all Member States in order to prevent the appearance of new issues related to numbering, roaming, charging and security, to name a few;</w:t>
      </w:r>
    </w:p>
    <w:p w14:paraId="54CB22C6" w14:textId="77777777" w:rsidR="00F1338F" w:rsidRPr="00380B40" w:rsidRDefault="00F1338F" w:rsidP="00F1338F">
      <w:pPr>
        <w:rPr>
          <w:lang w:val="en-GB"/>
        </w:rPr>
      </w:pPr>
      <w:r w:rsidRPr="00380B40">
        <w:rPr>
          <w:i/>
          <w:iCs/>
          <w:lang w:val="en-GB"/>
        </w:rPr>
        <w:t>e)</w:t>
      </w:r>
      <w:r w:rsidRPr="00380B40">
        <w:rPr>
          <w:lang w:val="en-GB"/>
        </w:rPr>
        <w:tab/>
        <w:t>that VoLTE interconnection as well as other types of interconnection of packet-based networks will require translation from ITU</w:t>
      </w:r>
      <w:r w:rsidRPr="00380B40">
        <w:rPr>
          <w:lang w:val="en-GB"/>
        </w:rPr>
        <w:noBreakHyphen/>
        <w:t>T E.164 number format to the Universal Resource Identifier (URI), which may be considered as a common identifier of IP-based networks to be used for voice and video communications;</w:t>
      </w:r>
    </w:p>
    <w:p w14:paraId="1001E94A" w14:textId="77777777" w:rsidR="00F1338F" w:rsidRPr="00380B40" w:rsidRDefault="00F1338F" w:rsidP="00F1338F">
      <w:pPr>
        <w:rPr>
          <w:lang w:val="en-GB"/>
        </w:rPr>
      </w:pPr>
      <w:r w:rsidRPr="00380B40">
        <w:rPr>
          <w:i/>
          <w:iCs/>
          <w:lang w:val="en-GB"/>
        </w:rPr>
        <w:t>f)</w:t>
      </w:r>
      <w:r w:rsidRPr="00380B40">
        <w:rPr>
          <w:lang w:val="en-GB"/>
        </w:rPr>
        <w:tab/>
        <w:t>that ENUM is one of the possible solutions to be used for E.164/URI translation for such interconnections;</w:t>
      </w:r>
    </w:p>
    <w:p w14:paraId="345F69D1" w14:textId="77777777" w:rsidR="00F1338F" w:rsidRPr="00380B40" w:rsidRDefault="00F1338F" w:rsidP="00F1338F">
      <w:pPr>
        <w:rPr>
          <w:lang w:val="en-GB"/>
        </w:rPr>
      </w:pPr>
      <w:r w:rsidRPr="00380B40">
        <w:rPr>
          <w:i/>
          <w:iCs/>
          <w:lang w:val="en-GB"/>
        </w:rPr>
        <w:t>g)</w:t>
      </w:r>
      <w:r w:rsidRPr="00380B40">
        <w:rPr>
          <w:lang w:val="en-GB"/>
        </w:rPr>
        <w:tab/>
        <w:t>that Resolution 49 (Rev. Hammamet, 2016) of this assembly instructs Study Group 2 of the ITU Telecommunication Standardization Sector (ITU</w:t>
      </w:r>
      <w:r w:rsidRPr="00380B40">
        <w:rPr>
          <w:lang w:val="en-GB"/>
        </w:rPr>
        <w:noBreakHyphen/>
        <w:t>T) to study how ITU could have administrative control over changes that could relate to the international telecommunication resources (including naming, numbering, addressing and routing) used for ENUM;</w:t>
      </w:r>
    </w:p>
    <w:p w14:paraId="4B6B37AA" w14:textId="77777777" w:rsidR="00F1338F" w:rsidRPr="00380B40" w:rsidRDefault="00F1338F" w:rsidP="00F1338F">
      <w:pPr>
        <w:rPr>
          <w:i/>
          <w:iCs/>
          <w:lang w:val="en-GB"/>
        </w:rPr>
      </w:pPr>
      <w:r w:rsidRPr="00380B40">
        <w:rPr>
          <w:i/>
          <w:iCs/>
          <w:lang w:val="en-GB"/>
        </w:rPr>
        <w:t>h)</w:t>
      </w:r>
      <w:r w:rsidRPr="00380B40">
        <w:rPr>
          <w:lang w:val="en-GB"/>
        </w:rPr>
        <w:tab/>
        <w:t>that Resolution 133 (Rev. Busan, 2014) of the Plenipotentiary Conference instructs the Secretary-General and the Directors of the Bureaux to take any necessary action to ensure the sovereignty of ITU Member States with regard to Recommendation ITU</w:t>
      </w:r>
      <w:r w:rsidRPr="00380B40">
        <w:rPr>
          <w:lang w:val="en-GB"/>
        </w:rPr>
        <w:noBreakHyphen/>
        <w:t>T E.164 numbering plans, whatever the application in which they are used;</w:t>
      </w:r>
    </w:p>
    <w:p w14:paraId="6B434C32" w14:textId="77777777" w:rsidR="00882D7C" w:rsidRPr="00380B40" w:rsidRDefault="00882D7C" w:rsidP="00F1338F">
      <w:pPr>
        <w:rPr>
          <w:i/>
          <w:iCs/>
          <w:lang w:val="en-GB"/>
        </w:rPr>
      </w:pPr>
      <w:r w:rsidRPr="00380B40">
        <w:rPr>
          <w:i/>
          <w:iCs/>
          <w:lang w:val="en-GB"/>
        </w:rPr>
        <w:br w:type="page"/>
      </w:r>
    </w:p>
    <w:p w14:paraId="0FCF1965" w14:textId="77777777" w:rsidR="00F1338F" w:rsidRPr="00380B40" w:rsidRDefault="00F1338F" w:rsidP="00F1338F">
      <w:pPr>
        <w:rPr>
          <w:lang w:val="en-GB"/>
        </w:rPr>
      </w:pPr>
      <w:r w:rsidRPr="00380B40">
        <w:rPr>
          <w:i/>
          <w:iCs/>
          <w:lang w:val="en-GB"/>
        </w:rPr>
        <w:t>i)</w:t>
      </w:r>
      <w:r w:rsidRPr="00380B40">
        <w:rPr>
          <w:lang w:val="en-GB"/>
        </w:rPr>
        <w:tab/>
        <w:t>that Resolution 76 (Rev. Hammamet, 2016) of this assembly instructs the Director of the Telecommunication Standardization Bureau to continue to conduct as necessary exploratory activities in each region in order to identify and prioritize the problems faced by developing countries</w:t>
      </w:r>
      <w:r w:rsidR="00FD162E" w:rsidRPr="00380B40">
        <w:rPr>
          <w:rStyle w:val="FootnoteReference"/>
          <w:lang w:val="en-GB"/>
        </w:rPr>
        <w:footnoteReference w:id="54"/>
      </w:r>
      <w:r w:rsidRPr="00380B40">
        <w:rPr>
          <w:lang w:val="en-GB"/>
        </w:rPr>
        <w:t xml:space="preserve"> related to achieving interoperability of telecommunication/information and communication technology (ICT) equipment and services,</w:t>
      </w:r>
    </w:p>
    <w:p w14:paraId="170DFBA7" w14:textId="77777777" w:rsidR="00F1338F" w:rsidRPr="00380B40" w:rsidRDefault="00F1338F" w:rsidP="00F1338F">
      <w:pPr>
        <w:pStyle w:val="Call"/>
        <w:rPr>
          <w:lang w:val="en-GB"/>
        </w:rPr>
      </w:pPr>
      <w:r w:rsidRPr="00380B40">
        <w:rPr>
          <w:lang w:val="en-GB"/>
        </w:rPr>
        <w:t>considering</w:t>
      </w:r>
    </w:p>
    <w:p w14:paraId="0E7C05D8" w14:textId="77777777" w:rsidR="00F1338F" w:rsidRPr="00380B40" w:rsidRDefault="00F1338F" w:rsidP="00F1338F">
      <w:pPr>
        <w:rPr>
          <w:lang w:val="en-GB"/>
        </w:rPr>
      </w:pPr>
      <w:r w:rsidRPr="00380B40">
        <w:rPr>
          <w:i/>
          <w:iCs/>
          <w:lang w:val="en-GB"/>
        </w:rPr>
        <w:t>a)</w:t>
      </w:r>
      <w:r w:rsidRPr="00380B40">
        <w:rPr>
          <w:lang w:val="en-GB"/>
        </w:rPr>
        <w:tab/>
        <w:t>that ENUM is not commonly used around the globe for E.164/URI transfer, and some operators have their private solutions;</w:t>
      </w:r>
    </w:p>
    <w:p w14:paraId="46F8F095" w14:textId="77777777" w:rsidR="00F1338F" w:rsidRPr="00380B40" w:rsidRDefault="00F1338F" w:rsidP="00F1338F">
      <w:pPr>
        <w:rPr>
          <w:lang w:val="en-GB"/>
        </w:rPr>
      </w:pPr>
      <w:r w:rsidRPr="00380B40">
        <w:rPr>
          <w:i/>
          <w:iCs/>
          <w:lang w:val="en-GB"/>
        </w:rPr>
        <w:t>b)</w:t>
      </w:r>
      <w:r w:rsidRPr="00380B40">
        <w:rPr>
          <w:lang w:val="en-GB"/>
        </w:rPr>
        <w:tab/>
        <w:t>that some alliances of operators are developing guidelines for interconnection of VoLTE-based networks but there is still no agreed option to be used for such interconnection;</w:t>
      </w:r>
    </w:p>
    <w:p w14:paraId="5732580C" w14:textId="77777777" w:rsidR="00F1338F" w:rsidRPr="00380B40" w:rsidRDefault="00F1338F" w:rsidP="00F1338F">
      <w:pPr>
        <w:rPr>
          <w:lang w:val="en-GB"/>
        </w:rPr>
      </w:pPr>
      <w:r w:rsidRPr="00380B40">
        <w:rPr>
          <w:i/>
          <w:iCs/>
          <w:lang w:val="en-GB"/>
        </w:rPr>
        <w:t>c)</w:t>
      </w:r>
      <w:r w:rsidRPr="00380B40">
        <w:rPr>
          <w:lang w:val="en-GB"/>
        </w:rPr>
        <w:tab/>
        <w:t>that the development of interconnection procedures for IP-based networks to be used for providing voice and video services needs to be carried out on an international basis;</w:t>
      </w:r>
    </w:p>
    <w:p w14:paraId="4168AEFC" w14:textId="77777777" w:rsidR="00F1338F" w:rsidRPr="00380B40" w:rsidRDefault="00F1338F" w:rsidP="00F1338F">
      <w:pPr>
        <w:rPr>
          <w:lang w:val="en-GB"/>
        </w:rPr>
      </w:pPr>
      <w:r w:rsidRPr="00380B40">
        <w:rPr>
          <w:i/>
          <w:iCs/>
          <w:lang w:val="en-GB"/>
        </w:rPr>
        <w:t>d)</w:t>
      </w:r>
      <w:r w:rsidRPr="00380B40">
        <w:rPr>
          <w:lang w:val="en-GB"/>
        </w:rPr>
        <w:tab/>
        <w:t>that development of the conformance and interoperability requirements to support testing of protocols and technologies used for such interconnection is an essential component for developing interoperable equipment that is based on ITU</w:t>
      </w:r>
      <w:r w:rsidRPr="00380B40">
        <w:rPr>
          <w:lang w:val="en-GB"/>
        </w:rPr>
        <w:noBreakHyphen/>
        <w:t>T Recommendations,</w:t>
      </w:r>
    </w:p>
    <w:p w14:paraId="680DBF3A" w14:textId="77777777" w:rsidR="00F1338F" w:rsidRPr="00380B40" w:rsidRDefault="00F1338F" w:rsidP="00F1338F">
      <w:pPr>
        <w:pStyle w:val="Call"/>
        <w:rPr>
          <w:lang w:val="en-GB"/>
        </w:rPr>
      </w:pPr>
      <w:r w:rsidRPr="00380B40">
        <w:rPr>
          <w:lang w:val="en-GB"/>
        </w:rPr>
        <w:t>taking into account</w:t>
      </w:r>
    </w:p>
    <w:p w14:paraId="726E116C" w14:textId="77777777" w:rsidR="00F1338F" w:rsidRPr="00380B40" w:rsidRDefault="00F1338F" w:rsidP="00F1338F">
      <w:pPr>
        <w:rPr>
          <w:lang w:val="en-GB"/>
        </w:rPr>
      </w:pPr>
      <w:r w:rsidRPr="00380B40">
        <w:rPr>
          <w:i/>
          <w:iCs/>
          <w:lang w:val="en-GB"/>
        </w:rPr>
        <w:t>a)</w:t>
      </w:r>
      <w:r w:rsidRPr="00380B40">
        <w:rPr>
          <w:lang w:val="en-GB"/>
        </w:rPr>
        <w:tab/>
        <w:t>that, according to the communiqué of the chief technology officers (CTO) meeting which ITU</w:t>
      </w:r>
      <w:r w:rsidRPr="00380B40">
        <w:rPr>
          <w:lang w:val="en-GB"/>
        </w:rPr>
        <w:noBreakHyphen/>
        <w:t>T conducted in Budapest (October 2015), "</w:t>
      </w:r>
      <w:r w:rsidRPr="00380B40">
        <w:rPr>
          <w:i/>
          <w:iCs/>
          <w:lang w:val="en-GB"/>
        </w:rPr>
        <w:t>CTOs encouraged ITU</w:t>
      </w:r>
      <w:r w:rsidRPr="00380B40">
        <w:rPr>
          <w:i/>
          <w:iCs/>
          <w:lang w:val="en-GB"/>
        </w:rPr>
        <w:noBreakHyphen/>
        <w:t>T to initiate studies – including studies on accessibility, data formats, and control and management aspects – with the goal of enabling the global interoperability of such high-quality services, inviting contributions to these studies from operators and related industry experts as well as relevant SDOs</w:t>
      </w:r>
      <w:r w:rsidRPr="00380B40">
        <w:rPr>
          <w:lang w:val="en-GB"/>
        </w:rPr>
        <w:t>";</w:t>
      </w:r>
    </w:p>
    <w:p w14:paraId="039F5805" w14:textId="77777777" w:rsidR="00F1338F" w:rsidRPr="00380B40" w:rsidRDefault="00F1338F" w:rsidP="00F1338F">
      <w:pPr>
        <w:rPr>
          <w:lang w:val="en-GB"/>
        </w:rPr>
      </w:pPr>
      <w:r w:rsidRPr="00380B40">
        <w:rPr>
          <w:i/>
          <w:iCs/>
          <w:lang w:val="en-GB"/>
        </w:rPr>
        <w:t>b)</w:t>
      </w:r>
      <w:r w:rsidRPr="00380B40">
        <w:rPr>
          <w:lang w:val="en-GB"/>
        </w:rPr>
        <w:tab/>
        <w:t>that, according to the summary report of the ITU Workshop on voice and video services interoperability over fixed-mobile hybrid environments, including IMT-Advanced (LTE) (December 2015, Geneva), "</w:t>
      </w:r>
      <w:r w:rsidRPr="00380B40">
        <w:rPr>
          <w:i/>
          <w:iCs/>
          <w:lang w:val="en-GB"/>
        </w:rPr>
        <w:t>further ITU standardization activities should focus on the deployment of signalling protocols for VoLTE interconnection, emergency calls on VoLTE-based networks and numbering issues</w:t>
      </w:r>
      <w:r w:rsidRPr="00380B40">
        <w:rPr>
          <w:lang w:val="en-GB"/>
        </w:rPr>
        <w:t>";</w:t>
      </w:r>
    </w:p>
    <w:p w14:paraId="13006DFE" w14:textId="77777777" w:rsidR="00F1338F" w:rsidRPr="00380B40" w:rsidRDefault="00F1338F" w:rsidP="00F1338F">
      <w:pPr>
        <w:rPr>
          <w:lang w:val="en-GB"/>
        </w:rPr>
      </w:pPr>
      <w:r w:rsidRPr="00380B40">
        <w:rPr>
          <w:i/>
          <w:iCs/>
          <w:lang w:val="en-GB"/>
        </w:rPr>
        <w:t>c)</w:t>
      </w:r>
      <w:r w:rsidRPr="00380B40">
        <w:rPr>
          <w:lang w:val="en-GB"/>
        </w:rPr>
        <w:tab/>
        <w:t>the work of ITU</w:t>
      </w:r>
      <w:r w:rsidRPr="00380B40">
        <w:rPr>
          <w:lang w:val="en-GB"/>
        </w:rPr>
        <w:noBreakHyphen/>
        <w:t>T Study Group 11 on a framework for interconnection of VoLTE/ViLTE-based networks, which aims to specify common requirements regarding the interconnection of VoLTE/ViLTE-based networks;</w:t>
      </w:r>
    </w:p>
    <w:p w14:paraId="12886944" w14:textId="77777777" w:rsidR="00F1338F" w:rsidRPr="00380B40" w:rsidRDefault="00F1338F" w:rsidP="00F1338F">
      <w:pPr>
        <w:rPr>
          <w:lang w:val="en-GB"/>
        </w:rPr>
      </w:pPr>
      <w:r w:rsidRPr="00380B40">
        <w:rPr>
          <w:i/>
          <w:iCs/>
          <w:szCs w:val="24"/>
          <w:lang w:val="en-GB"/>
        </w:rPr>
        <w:t>d)</w:t>
      </w:r>
      <w:r w:rsidRPr="00380B40">
        <w:rPr>
          <w:szCs w:val="24"/>
          <w:lang w:val="en-GB"/>
        </w:rPr>
        <w:tab/>
      </w:r>
      <w:r w:rsidRPr="00380B40">
        <w:rPr>
          <w:lang w:val="en-GB"/>
        </w:rPr>
        <w:t>that the development of standards relating to a framework for interconnection of VoLTE/ViLTE-based networks is one of the subjects of the established collaboration agreement between ITU</w:t>
      </w:r>
      <w:r w:rsidRPr="00380B40">
        <w:rPr>
          <w:lang w:val="en-GB"/>
        </w:rPr>
        <w:noBreakHyphen/>
        <w:t>T Study Group 11 and ETSI TC INT;</w:t>
      </w:r>
    </w:p>
    <w:p w14:paraId="163B0DD4" w14:textId="77777777" w:rsidR="00882D7C" w:rsidRPr="00380B40" w:rsidRDefault="00882D7C" w:rsidP="00F1338F">
      <w:pPr>
        <w:rPr>
          <w:i/>
          <w:iCs/>
          <w:lang w:val="en-GB"/>
        </w:rPr>
      </w:pPr>
      <w:r w:rsidRPr="00380B40">
        <w:rPr>
          <w:i/>
          <w:iCs/>
          <w:lang w:val="en-GB"/>
        </w:rPr>
        <w:br w:type="page"/>
      </w:r>
    </w:p>
    <w:p w14:paraId="728E335D" w14:textId="77777777" w:rsidR="00F1338F" w:rsidRPr="00380B40" w:rsidRDefault="00F1338F" w:rsidP="00F1338F">
      <w:pPr>
        <w:rPr>
          <w:i/>
          <w:lang w:val="en-GB"/>
        </w:rPr>
      </w:pPr>
      <w:r w:rsidRPr="00380B40">
        <w:rPr>
          <w:i/>
          <w:iCs/>
          <w:lang w:val="en-GB"/>
        </w:rPr>
        <w:t>e)</w:t>
      </w:r>
      <w:r w:rsidRPr="00380B40">
        <w:rPr>
          <w:lang w:val="en-GB"/>
        </w:rPr>
        <w:tab/>
        <w:t>the successful work of the ITU</w:t>
      </w:r>
      <w:r w:rsidRPr="00380B40">
        <w:rPr>
          <w:lang w:val="en-GB"/>
        </w:rPr>
        <w:noBreakHyphen/>
        <w:t>T Focus Group on IMT-2020,</w:t>
      </w:r>
    </w:p>
    <w:p w14:paraId="54555D36" w14:textId="77777777" w:rsidR="00F1338F" w:rsidRPr="00380B40" w:rsidRDefault="00F1338F" w:rsidP="00F1338F">
      <w:pPr>
        <w:pStyle w:val="Call"/>
        <w:rPr>
          <w:lang w:val="en-GB"/>
        </w:rPr>
      </w:pPr>
      <w:r w:rsidRPr="00380B40">
        <w:rPr>
          <w:lang w:val="en-GB"/>
        </w:rPr>
        <w:t>resolves</w:t>
      </w:r>
    </w:p>
    <w:p w14:paraId="69E5C625" w14:textId="77777777" w:rsidR="00F1338F" w:rsidRPr="00380B40" w:rsidRDefault="00F1338F" w:rsidP="00F1338F">
      <w:pPr>
        <w:rPr>
          <w:lang w:val="en-GB"/>
        </w:rPr>
      </w:pPr>
      <w:r w:rsidRPr="00380B40">
        <w:rPr>
          <w:lang w:val="en-GB"/>
        </w:rPr>
        <w:t>that ITU</w:t>
      </w:r>
      <w:r w:rsidRPr="00380B40">
        <w:rPr>
          <w:lang w:val="en-GB"/>
        </w:rPr>
        <w:noBreakHyphen/>
        <w:t>T Recommendations to address network architectures, roaming principles, numbering issues, charging and security mechanisms as well as interoperability and conformance testing for interconnection of 4G, IMT-2020 networks and beyond shall be progressed as quickly as possible,</w:t>
      </w:r>
    </w:p>
    <w:p w14:paraId="2EEF5801" w14:textId="77777777" w:rsidR="00F1338F" w:rsidRPr="00380B40" w:rsidRDefault="00F1338F" w:rsidP="00F1338F">
      <w:pPr>
        <w:pStyle w:val="Call"/>
        <w:rPr>
          <w:lang w:val="en-GB"/>
        </w:rPr>
      </w:pPr>
      <w:r w:rsidRPr="00380B40">
        <w:rPr>
          <w:lang w:val="en-GB"/>
        </w:rPr>
        <w:t>instructs the Director of the Telecommunication Standardization Bureau</w:t>
      </w:r>
    </w:p>
    <w:p w14:paraId="2F0FDAAF" w14:textId="77777777" w:rsidR="00F1338F" w:rsidRPr="00380B40" w:rsidRDefault="00F1338F" w:rsidP="00F1338F">
      <w:pPr>
        <w:rPr>
          <w:lang w:val="en-GB"/>
        </w:rPr>
      </w:pPr>
      <w:r w:rsidRPr="00380B40">
        <w:rPr>
          <w:lang w:val="en-GB"/>
        </w:rPr>
        <w:t>1</w:t>
      </w:r>
      <w:r w:rsidRPr="00380B40">
        <w:rPr>
          <w:lang w:val="en-GB"/>
        </w:rPr>
        <w:tab/>
        <w:t>to continue to conduct, as necessary, exploratory activities among telecommunication operators in order to identify and prioritize the problems related to achieving interconnection of IP-based networks such as 4G, IMT-2020 and beyond;</w:t>
      </w:r>
    </w:p>
    <w:p w14:paraId="0E452785" w14:textId="77777777" w:rsidR="00F1338F" w:rsidRPr="00380B40" w:rsidRDefault="00F1338F" w:rsidP="00F1338F">
      <w:pPr>
        <w:rPr>
          <w:lang w:val="en-GB"/>
        </w:rPr>
      </w:pPr>
      <w:r w:rsidRPr="00380B40">
        <w:rPr>
          <w:lang w:val="en-GB"/>
        </w:rPr>
        <w:t>2</w:t>
      </w:r>
      <w:r w:rsidRPr="00380B40">
        <w:rPr>
          <w:lang w:val="en-GB"/>
        </w:rPr>
        <w:tab/>
        <w:t>to submit the results of these activities to the ITU Council for its consideration and required action,</w:t>
      </w:r>
    </w:p>
    <w:p w14:paraId="0E09D8C9" w14:textId="77777777" w:rsidR="00F1338F" w:rsidRPr="00380B40" w:rsidRDefault="00F1338F" w:rsidP="00F1338F">
      <w:pPr>
        <w:pStyle w:val="Call"/>
        <w:rPr>
          <w:lang w:val="en-GB"/>
        </w:rPr>
      </w:pPr>
      <w:r w:rsidRPr="00380B40">
        <w:rPr>
          <w:lang w:val="en-GB"/>
        </w:rPr>
        <w:t>instructs the study groups</w:t>
      </w:r>
    </w:p>
    <w:p w14:paraId="2ACE44BA" w14:textId="77777777" w:rsidR="00F1338F" w:rsidRPr="00380B40" w:rsidRDefault="00F1338F" w:rsidP="00F1338F">
      <w:pPr>
        <w:rPr>
          <w:lang w:val="en-GB"/>
        </w:rPr>
      </w:pPr>
      <w:r w:rsidRPr="00380B40">
        <w:rPr>
          <w:lang w:val="en-GB"/>
        </w:rPr>
        <w:t>1</w:t>
      </w:r>
      <w:r w:rsidRPr="00380B40">
        <w:rPr>
          <w:lang w:val="en-GB"/>
        </w:rPr>
        <w:tab/>
        <w:t>to identify as soon as possible future ITU</w:t>
      </w:r>
      <w:r w:rsidRPr="00380B40">
        <w:rPr>
          <w:lang w:val="en-GB"/>
        </w:rPr>
        <w:noBreakHyphen/>
        <w:t>T Recommendations that need to be developed associated with the interconnection of 4G, IMT-2020 networks and beyond;</w:t>
      </w:r>
    </w:p>
    <w:p w14:paraId="462F65C4" w14:textId="77777777" w:rsidR="00F1338F" w:rsidRPr="00380B40" w:rsidRDefault="00F1338F" w:rsidP="00F1338F">
      <w:pPr>
        <w:rPr>
          <w:lang w:val="en-GB"/>
        </w:rPr>
      </w:pPr>
      <w:r w:rsidRPr="00380B40">
        <w:rPr>
          <w:lang w:val="en-GB"/>
        </w:rPr>
        <w:t>2</w:t>
      </w:r>
      <w:r w:rsidRPr="00380B40">
        <w:rPr>
          <w:lang w:val="en-GB"/>
        </w:rPr>
        <w:tab/>
        <w:t>to cooperate, as appropriate, with interested stakeholders and alliances in order to optimize studies on this particular subject,</w:t>
      </w:r>
    </w:p>
    <w:p w14:paraId="235FF402" w14:textId="77777777" w:rsidR="00F1338F" w:rsidRPr="00380B40" w:rsidRDefault="00F1338F" w:rsidP="00F1338F">
      <w:pPr>
        <w:pStyle w:val="Call"/>
        <w:rPr>
          <w:lang w:val="en-GB"/>
        </w:rPr>
      </w:pPr>
      <w:r w:rsidRPr="00380B40">
        <w:rPr>
          <w:lang w:val="en-GB"/>
        </w:rPr>
        <w:t>further instructs Study Group 11</w:t>
      </w:r>
    </w:p>
    <w:p w14:paraId="3320C878" w14:textId="77777777" w:rsidR="00F1338F" w:rsidRPr="00380B40" w:rsidRDefault="00F1338F" w:rsidP="00F1338F">
      <w:pPr>
        <w:rPr>
          <w:lang w:val="en-GB"/>
        </w:rPr>
      </w:pPr>
      <w:r w:rsidRPr="00380B40">
        <w:rPr>
          <w:lang w:val="en-GB"/>
        </w:rPr>
        <w:t>to develop ITU</w:t>
      </w:r>
      <w:r w:rsidRPr="00380B40">
        <w:rPr>
          <w:lang w:val="en-GB"/>
        </w:rPr>
        <w:noBreakHyphen/>
        <w:t>T Recommendations which specify the framework and signalling architectures to be used for establishing interconnection of 4G, IMT-2020 networks and beyond to achieve interoperability worldwide</w:t>
      </w:r>
    </w:p>
    <w:p w14:paraId="0BB771F9" w14:textId="77777777" w:rsidR="00F1338F" w:rsidRPr="00380B40" w:rsidRDefault="00F1338F" w:rsidP="00F1338F">
      <w:pPr>
        <w:pStyle w:val="Call"/>
        <w:rPr>
          <w:lang w:val="en-GB"/>
        </w:rPr>
      </w:pPr>
      <w:r w:rsidRPr="00380B40">
        <w:rPr>
          <w:lang w:val="en-GB"/>
        </w:rPr>
        <w:t>further instructs Study Group 2</w:t>
      </w:r>
    </w:p>
    <w:p w14:paraId="179C10C9" w14:textId="77777777" w:rsidR="00F1338F" w:rsidRPr="00380B40" w:rsidRDefault="00F1338F" w:rsidP="00F1338F">
      <w:pPr>
        <w:rPr>
          <w:lang w:val="en-GB"/>
        </w:rPr>
      </w:pPr>
      <w:r w:rsidRPr="00380B40">
        <w:rPr>
          <w:lang w:val="en-GB"/>
        </w:rPr>
        <w:t>to develop ITU</w:t>
      </w:r>
      <w:r w:rsidRPr="00380B40">
        <w:rPr>
          <w:lang w:val="en-GB"/>
        </w:rPr>
        <w:noBreakHyphen/>
        <w:t>T Recommendations which specify the ENUM architecture to be used for interconnection of 4G, IMT-2020 networks and beyond, including administrative control that could relate to the international telecommunication resources (including naming, numbering, addressing and routing),</w:t>
      </w:r>
    </w:p>
    <w:p w14:paraId="593CB2C1" w14:textId="77777777" w:rsidR="00F1338F" w:rsidRPr="00380B40" w:rsidRDefault="00F1338F" w:rsidP="00F1338F">
      <w:pPr>
        <w:pStyle w:val="Call"/>
        <w:rPr>
          <w:lang w:val="en-GB"/>
        </w:rPr>
      </w:pPr>
      <w:r w:rsidRPr="00380B40">
        <w:rPr>
          <w:lang w:val="en-GB"/>
        </w:rPr>
        <w:t>invites Member States and Sector Members</w:t>
      </w:r>
    </w:p>
    <w:p w14:paraId="08A277C0" w14:textId="77777777" w:rsidR="00F1338F" w:rsidRPr="00380B40" w:rsidRDefault="00F1338F" w:rsidP="00F1338F">
      <w:pPr>
        <w:rPr>
          <w:lang w:val="en-GB"/>
        </w:rPr>
      </w:pPr>
      <w:r w:rsidRPr="00380B40">
        <w:rPr>
          <w:lang w:val="en-GB"/>
        </w:rPr>
        <w:t>to contribute to the implementation of this resolution,</w:t>
      </w:r>
    </w:p>
    <w:p w14:paraId="5BD8A7DC" w14:textId="77777777" w:rsidR="00F1338F" w:rsidRPr="00380B40" w:rsidRDefault="00F1338F" w:rsidP="00F1338F">
      <w:pPr>
        <w:pStyle w:val="Call"/>
        <w:rPr>
          <w:lang w:val="en-GB"/>
        </w:rPr>
      </w:pPr>
      <w:r w:rsidRPr="00380B40">
        <w:rPr>
          <w:lang w:val="en-GB"/>
        </w:rPr>
        <w:t>invites Member States</w:t>
      </w:r>
    </w:p>
    <w:p w14:paraId="21AC9C15" w14:textId="77777777" w:rsidR="00F1338F" w:rsidRPr="00380B40" w:rsidRDefault="00F1338F" w:rsidP="00F1338F">
      <w:pPr>
        <w:rPr>
          <w:lang w:val="en-GB"/>
        </w:rPr>
      </w:pPr>
      <w:r w:rsidRPr="00380B40">
        <w:rPr>
          <w:lang w:val="en-GB"/>
        </w:rPr>
        <w:t>to encourage telecommunication operators to assist ITU</w:t>
      </w:r>
      <w:r w:rsidRPr="00380B40">
        <w:rPr>
          <w:lang w:val="en-GB"/>
        </w:rPr>
        <w:noBreakHyphen/>
        <w:t>T in implementing this resolution.</w:t>
      </w:r>
    </w:p>
    <w:p w14:paraId="75ECA073" w14:textId="77777777" w:rsidR="000579ED" w:rsidRPr="00380B40"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1D45F48" w14:textId="77777777" w:rsidR="000579ED" w:rsidRPr="00380B40"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B57F83E" w14:textId="77777777" w:rsidR="000579ED" w:rsidRPr="00380B40"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8DB2703" w14:textId="77777777" w:rsidR="000579ED" w:rsidRPr="00380B40"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A745251" w14:textId="77777777" w:rsidR="00A05618" w:rsidRPr="00380B40" w:rsidRDefault="00A05618" w:rsidP="00A05618">
      <w:pPr>
        <w:rPr>
          <w:lang w:val="en-GB"/>
        </w:rPr>
      </w:pPr>
    </w:p>
    <w:p w14:paraId="4B86B80E" w14:textId="77777777" w:rsidR="00A05618" w:rsidRPr="00380B40" w:rsidRDefault="00A05618" w:rsidP="00A05618">
      <w:pPr>
        <w:rPr>
          <w:lang w:val="en-GB"/>
        </w:rPr>
        <w:sectPr w:rsidR="00A05618" w:rsidRPr="00380B40" w:rsidSect="00CC5E14">
          <w:headerReference w:type="even" r:id="rId310"/>
          <w:headerReference w:type="default" r:id="rId311"/>
          <w:footerReference w:type="even" r:id="rId312"/>
          <w:footerReference w:type="default" r:id="rId313"/>
          <w:headerReference w:type="first" r:id="rId314"/>
          <w:footerReference w:type="first" r:id="rId315"/>
          <w:footnotePr>
            <w:numRestart w:val="eachSect"/>
          </w:footnotePr>
          <w:pgSz w:w="11907" w:h="16834" w:code="9"/>
          <w:pgMar w:top="1134" w:right="1134" w:bottom="1134" w:left="1134" w:header="567" w:footer="567" w:gutter="0"/>
          <w:paperSrc w:first="15" w:other="15"/>
          <w:cols w:space="720"/>
          <w:vAlign w:val="both"/>
          <w:docGrid w:linePitch="299"/>
        </w:sectPr>
      </w:pPr>
    </w:p>
    <w:p w14:paraId="0A4FC7A2" w14:textId="77777777" w:rsidR="00F1338F" w:rsidRPr="00380B40" w:rsidRDefault="008A1180" w:rsidP="00F1338F">
      <w:pPr>
        <w:pStyle w:val="ResNo"/>
        <w:rPr>
          <w:lang w:val="en-GB"/>
        </w:rPr>
      </w:pPr>
      <w:bookmarkStart w:id="458" w:name="_Toc104459795"/>
      <w:bookmarkStart w:id="459" w:name="_Toc104476603"/>
      <w:bookmarkStart w:id="460" w:name="_Toc111636811"/>
      <w:bookmarkStart w:id="461" w:name="_Toc111638496"/>
      <w:r w:rsidRPr="00380B40">
        <w:rPr>
          <w:caps w:val="0"/>
          <w:lang w:val="en-GB"/>
        </w:rPr>
        <w:t xml:space="preserve">RESOLUTION </w:t>
      </w:r>
      <w:r w:rsidR="00F1338F" w:rsidRPr="00380B40">
        <w:rPr>
          <w:rStyle w:val="href"/>
          <w:lang w:val="en-GB"/>
        </w:rPr>
        <w:t xml:space="preserve">94 </w:t>
      </w:r>
      <w:r w:rsidR="00F1338F" w:rsidRPr="00380B40">
        <w:rPr>
          <w:lang w:val="en-GB"/>
        </w:rPr>
        <w:t>(</w:t>
      </w:r>
      <w:r w:rsidR="00F1338F" w:rsidRPr="00380B40">
        <w:rPr>
          <w:caps w:val="0"/>
          <w:lang w:val="en-GB"/>
        </w:rPr>
        <w:t>Hammamet</w:t>
      </w:r>
      <w:r w:rsidR="00F1338F" w:rsidRPr="00380B40">
        <w:rPr>
          <w:lang w:val="en-GB"/>
        </w:rPr>
        <w:t>, 2016)</w:t>
      </w:r>
      <w:bookmarkEnd w:id="458"/>
      <w:bookmarkEnd w:id="459"/>
      <w:bookmarkEnd w:id="460"/>
      <w:bookmarkEnd w:id="461"/>
    </w:p>
    <w:p w14:paraId="31AA3D76" w14:textId="77777777" w:rsidR="00F1338F" w:rsidRPr="00380B40" w:rsidRDefault="00F1338F" w:rsidP="00F1338F">
      <w:pPr>
        <w:pStyle w:val="Restitle"/>
        <w:rPr>
          <w:lang w:val="en-GB"/>
        </w:rPr>
      </w:pPr>
      <w:bookmarkStart w:id="462" w:name="_Toc104459796"/>
      <w:bookmarkStart w:id="463" w:name="_Toc104476604"/>
      <w:bookmarkStart w:id="464" w:name="_Toc111638497"/>
      <w:r w:rsidRPr="00380B40">
        <w:rPr>
          <w:lang w:val="en-GB"/>
        </w:rPr>
        <w:t xml:space="preserve">Standardization work in the ITU Telecommunication Standardization </w:t>
      </w:r>
      <w:r w:rsidRPr="00380B40">
        <w:rPr>
          <w:lang w:val="en-GB"/>
        </w:rPr>
        <w:br/>
        <w:t>Sector for cloud</w:t>
      </w:r>
      <w:r w:rsidRPr="00380B40">
        <w:rPr>
          <w:lang w:val="en-GB"/>
        </w:rPr>
        <w:noBreakHyphen/>
        <w:t>based event data technology</w:t>
      </w:r>
      <w:bookmarkEnd w:id="462"/>
      <w:bookmarkEnd w:id="463"/>
      <w:bookmarkEnd w:id="464"/>
    </w:p>
    <w:p w14:paraId="6B04A6C4" w14:textId="77777777" w:rsidR="00F1338F" w:rsidRPr="00380B40" w:rsidRDefault="00F1338F" w:rsidP="00F1338F">
      <w:pPr>
        <w:pStyle w:val="Resref"/>
        <w:rPr>
          <w:lang w:val="en-GB"/>
        </w:rPr>
      </w:pPr>
      <w:r w:rsidRPr="00380B40">
        <w:rPr>
          <w:lang w:val="en-GB"/>
        </w:rPr>
        <w:t>(Hammamet, 2016)</w:t>
      </w:r>
    </w:p>
    <w:p w14:paraId="2C7E914F" w14:textId="77777777" w:rsidR="00F1338F" w:rsidRPr="00380B40" w:rsidRDefault="00F1338F" w:rsidP="00F1338F">
      <w:pPr>
        <w:pStyle w:val="Normalaftertitle0"/>
      </w:pPr>
      <w:r w:rsidRPr="00380B40">
        <w:t>The World Telecommunication Standardization Assembly (Hammamet, 2016)</w:t>
      </w:r>
    </w:p>
    <w:p w14:paraId="0E9950F4" w14:textId="77777777" w:rsidR="00F1338F" w:rsidRPr="00380B40" w:rsidRDefault="00F1338F" w:rsidP="00F1338F">
      <w:pPr>
        <w:pStyle w:val="Call"/>
        <w:rPr>
          <w:lang w:val="en-GB"/>
        </w:rPr>
      </w:pPr>
      <w:r w:rsidRPr="00380B40">
        <w:rPr>
          <w:lang w:val="en-GB"/>
        </w:rPr>
        <w:t>recalling</w:t>
      </w:r>
    </w:p>
    <w:p w14:paraId="2AC35E88" w14:textId="77777777" w:rsidR="00F1338F" w:rsidRPr="00380B40" w:rsidRDefault="00F1338F" w:rsidP="00F1338F">
      <w:pPr>
        <w:rPr>
          <w:lang w:val="en-GB"/>
        </w:rPr>
      </w:pPr>
      <w:r w:rsidRPr="00380B40">
        <w:rPr>
          <w:lang w:val="en-GB"/>
        </w:rPr>
        <w:t>the relevant provisions of Article 1 of the ITU Constitution, in particular No. 17, which stipulates that the Union is to promote the adoption of measures for ensuring the safety of life through the cooperation of telecommunication services,</w:t>
      </w:r>
    </w:p>
    <w:p w14:paraId="240E6299" w14:textId="77777777" w:rsidR="00F1338F" w:rsidRPr="00380B40" w:rsidRDefault="00F1338F" w:rsidP="00F1338F">
      <w:pPr>
        <w:pStyle w:val="Call"/>
        <w:rPr>
          <w:lang w:val="en-GB"/>
        </w:rPr>
      </w:pPr>
      <w:r w:rsidRPr="00380B40">
        <w:rPr>
          <w:lang w:val="en-GB"/>
        </w:rPr>
        <w:t>considering</w:t>
      </w:r>
    </w:p>
    <w:p w14:paraId="56E93D3B" w14:textId="77777777" w:rsidR="00F1338F" w:rsidRPr="00380B40" w:rsidRDefault="00F1338F" w:rsidP="00F1338F">
      <w:pPr>
        <w:rPr>
          <w:lang w:val="en-GB"/>
        </w:rPr>
      </w:pPr>
      <w:r w:rsidRPr="00380B40">
        <w:rPr>
          <w:i/>
          <w:iCs/>
          <w:lang w:val="en-GB"/>
        </w:rPr>
        <w:t>a)</w:t>
      </w:r>
      <w:r w:rsidRPr="00380B40">
        <w:rPr>
          <w:lang w:val="en-GB"/>
        </w:rPr>
        <w:tab/>
        <w:t>the importance of cockpit voice recorder (CVR)/flight data recorder (FDR) as tools for increasing aviation safety;</w:t>
      </w:r>
    </w:p>
    <w:p w14:paraId="4CDEDC5F" w14:textId="77777777" w:rsidR="00F1338F" w:rsidRPr="00380B40" w:rsidRDefault="00F1338F" w:rsidP="00F1338F">
      <w:pPr>
        <w:rPr>
          <w:lang w:val="en-GB"/>
        </w:rPr>
      </w:pPr>
      <w:r w:rsidRPr="00380B40">
        <w:rPr>
          <w:i/>
          <w:iCs/>
          <w:lang w:val="en-GB"/>
        </w:rPr>
        <w:t>b)</w:t>
      </w:r>
      <w:r w:rsidRPr="00380B40">
        <w:rPr>
          <w:lang w:val="en-GB"/>
        </w:rPr>
        <w:tab/>
        <w:t>the growing interest in event data recorders (EDR) to improve the safety and qu</w:t>
      </w:r>
      <w:r w:rsidR="00050FB9" w:rsidRPr="00380B40">
        <w:rPr>
          <w:lang w:val="en-GB"/>
        </w:rPr>
        <w:t>ality of life in all industries</w:t>
      </w:r>
      <w:r w:rsidRPr="00380B40">
        <w:rPr>
          <w:lang w:val="en-GB"/>
        </w:rPr>
        <w:t>, e.g. EDR for transportation (automated driving), digital fault recorder (DFR) for utilities (smart grid, smart water management), and cardiac event recorder (CER) for healthcare (connected medical devices/implants);</w:t>
      </w:r>
    </w:p>
    <w:p w14:paraId="1CB8FD7C" w14:textId="77777777" w:rsidR="00F1338F" w:rsidRPr="00380B40" w:rsidRDefault="00F1338F" w:rsidP="00F1338F">
      <w:pPr>
        <w:rPr>
          <w:lang w:val="en-GB"/>
        </w:rPr>
      </w:pPr>
      <w:r w:rsidRPr="00380B40">
        <w:rPr>
          <w:i/>
          <w:iCs/>
          <w:lang w:val="en-GB"/>
        </w:rPr>
        <w:t>c)</w:t>
      </w:r>
      <w:r w:rsidRPr="00380B40">
        <w:rPr>
          <w:lang w:val="en-GB"/>
        </w:rPr>
        <w:tab/>
        <w:t>the important role of cloud computing as an enabler of network access to a scalable and elastic pool of shareable physical or virtual resources with self-service provisioning and administration on demand;</w:t>
      </w:r>
    </w:p>
    <w:p w14:paraId="7FE130C5" w14:textId="77777777" w:rsidR="00F1338F" w:rsidRPr="00380B40" w:rsidRDefault="00F1338F" w:rsidP="00F1338F">
      <w:pPr>
        <w:rPr>
          <w:lang w:val="en-GB"/>
        </w:rPr>
      </w:pPr>
      <w:r w:rsidRPr="00380B40">
        <w:rPr>
          <w:i/>
          <w:iCs/>
          <w:lang w:val="en-GB"/>
        </w:rPr>
        <w:t>d)</w:t>
      </w:r>
      <w:r w:rsidRPr="00380B40">
        <w:rPr>
          <w:lang w:val="en-GB"/>
        </w:rPr>
        <w:tab/>
        <w:t>the need for ensuring information security in cloud computing and the Internet of things (IoT),</w:t>
      </w:r>
    </w:p>
    <w:p w14:paraId="7D18F4A4" w14:textId="77777777" w:rsidR="00F1338F" w:rsidRPr="00380B40" w:rsidRDefault="00F1338F" w:rsidP="00F1338F">
      <w:pPr>
        <w:pStyle w:val="Call"/>
        <w:rPr>
          <w:lang w:val="en-GB"/>
        </w:rPr>
      </w:pPr>
      <w:r w:rsidRPr="00380B40">
        <w:rPr>
          <w:lang w:val="en-GB"/>
        </w:rPr>
        <w:t>noting</w:t>
      </w:r>
    </w:p>
    <w:p w14:paraId="416E3A2E" w14:textId="77777777" w:rsidR="00F1338F" w:rsidRPr="00380B40" w:rsidRDefault="00F1338F" w:rsidP="00F1338F">
      <w:pPr>
        <w:rPr>
          <w:lang w:val="en-GB"/>
        </w:rPr>
      </w:pPr>
      <w:r w:rsidRPr="00380B40">
        <w:rPr>
          <w:i/>
          <w:iCs/>
          <w:lang w:val="en-GB"/>
        </w:rPr>
        <w:t>a)</w:t>
      </w:r>
      <w:r w:rsidRPr="00380B40">
        <w:rPr>
          <w:lang w:val="en-GB"/>
        </w:rPr>
        <w:tab/>
        <w:t>that the ITU Telecommunication Standardization Sector (ITU</w:t>
      </w:r>
      <w:r w:rsidRPr="00380B40">
        <w:rPr>
          <w:lang w:val="en-GB"/>
        </w:rPr>
        <w:noBreakHyphen/>
        <w:t>T) should play a leading role in the development of standards for EDR application in cloud computing and IoT;</w:t>
      </w:r>
    </w:p>
    <w:p w14:paraId="3CBAC144" w14:textId="77777777" w:rsidR="00F1338F" w:rsidRPr="00380B40" w:rsidRDefault="00F1338F" w:rsidP="00F1338F">
      <w:pPr>
        <w:rPr>
          <w:lang w:val="en-GB"/>
        </w:rPr>
      </w:pPr>
      <w:r w:rsidRPr="00380B40">
        <w:rPr>
          <w:i/>
          <w:iCs/>
          <w:lang w:val="en-GB"/>
        </w:rPr>
        <w:t>b)</w:t>
      </w:r>
      <w:r w:rsidRPr="00380B40">
        <w:rPr>
          <w:lang w:val="en-GB"/>
        </w:rPr>
        <w:tab/>
        <w:t>that a standards ecosystem should be created, with ITU</w:t>
      </w:r>
      <w:r w:rsidRPr="00380B40">
        <w:rPr>
          <w:lang w:val="en-GB"/>
        </w:rPr>
        <w:noBreakHyphen/>
        <w:t>T at its centre,</w:t>
      </w:r>
    </w:p>
    <w:p w14:paraId="63951D46" w14:textId="77777777" w:rsidR="00F1338F" w:rsidRPr="00380B40" w:rsidRDefault="00F1338F" w:rsidP="00F1338F">
      <w:pPr>
        <w:pStyle w:val="Call"/>
        <w:rPr>
          <w:lang w:val="en-GB"/>
        </w:rPr>
      </w:pPr>
      <w:r w:rsidRPr="00380B40">
        <w:rPr>
          <w:lang w:val="en-GB"/>
        </w:rPr>
        <w:t>recognizing</w:t>
      </w:r>
    </w:p>
    <w:p w14:paraId="6A9102E2" w14:textId="77777777" w:rsidR="00F1338F" w:rsidRPr="00380B40" w:rsidRDefault="00F1338F" w:rsidP="00F1338F">
      <w:pPr>
        <w:rPr>
          <w:i/>
          <w:iCs/>
          <w:lang w:val="en-GB"/>
        </w:rPr>
      </w:pPr>
      <w:r w:rsidRPr="00380B40">
        <w:rPr>
          <w:i/>
          <w:iCs/>
          <w:lang w:val="en-GB"/>
        </w:rPr>
        <w:t>a)</w:t>
      </w:r>
      <w:r w:rsidRPr="00380B40">
        <w:rPr>
          <w:lang w:val="en-GB"/>
        </w:rPr>
        <w:tab/>
        <w:t>the successful conclusion of the ITU</w:t>
      </w:r>
      <w:r w:rsidRPr="00380B40">
        <w:rPr>
          <w:lang w:val="en-GB"/>
        </w:rPr>
        <w:noBreakHyphen/>
        <w:t>T Focus Group on aviation applications of cloud computing for flight data monitoring (FG AC), studying the feasibility of using cloud computing in an aviation context and of streaming flight data;</w:t>
      </w:r>
    </w:p>
    <w:p w14:paraId="58288CFD" w14:textId="77777777" w:rsidR="000579ED" w:rsidRPr="00380B40" w:rsidRDefault="000579ED">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sidRPr="00380B40">
        <w:rPr>
          <w:i/>
          <w:iCs/>
          <w:lang w:val="en-GB"/>
        </w:rPr>
        <w:br w:type="page"/>
      </w:r>
    </w:p>
    <w:p w14:paraId="26B5AD8A" w14:textId="77777777" w:rsidR="00F1338F" w:rsidRPr="00380B40" w:rsidRDefault="00F1338F" w:rsidP="00F1338F">
      <w:pPr>
        <w:rPr>
          <w:lang w:val="en-GB"/>
        </w:rPr>
      </w:pPr>
      <w:r w:rsidRPr="00380B40">
        <w:rPr>
          <w:i/>
          <w:iCs/>
          <w:lang w:val="en-GB"/>
        </w:rPr>
        <w:t>b)</w:t>
      </w:r>
      <w:r w:rsidRPr="00380B40">
        <w:rPr>
          <w:lang w:val="en-GB"/>
        </w:rPr>
        <w:tab/>
        <w:t>the relevant achievements of ITU</w:t>
      </w:r>
      <w:r w:rsidRPr="00380B40">
        <w:rPr>
          <w:lang w:val="en-GB"/>
        </w:rPr>
        <w:noBreakHyphen/>
        <w:t>T Study Groups 13 (cloud computing, big data analytics), 16 (intelligent transport systems (ITS), connected healthcare/e</w:t>
      </w:r>
      <w:r w:rsidRPr="00380B40">
        <w:rPr>
          <w:lang w:val="en-GB"/>
        </w:rPr>
        <w:noBreakHyphen/>
        <w:t>health), 17 (cloud-computing security) and 20 (IoT and its applications, with an initial focus on smart cities and communities);</w:t>
      </w:r>
    </w:p>
    <w:p w14:paraId="22CF42A1" w14:textId="77777777" w:rsidR="00F1338F" w:rsidRPr="00380B40" w:rsidRDefault="00F1338F" w:rsidP="00F1338F">
      <w:pPr>
        <w:rPr>
          <w:lang w:val="en-GB"/>
        </w:rPr>
      </w:pPr>
      <w:r w:rsidRPr="00380B40">
        <w:rPr>
          <w:i/>
          <w:iCs/>
          <w:lang w:val="en-GB"/>
        </w:rPr>
        <w:t>c)</w:t>
      </w:r>
      <w:r w:rsidRPr="00380B40">
        <w:rPr>
          <w:lang w:val="en-GB"/>
        </w:rPr>
        <w:tab/>
        <w:t>that ITU</w:t>
      </w:r>
      <w:r w:rsidRPr="00380B40">
        <w:rPr>
          <w:lang w:val="en-GB"/>
        </w:rPr>
        <w:noBreakHyphen/>
        <w:t>T has unmatched advantages when it comes to requirements and architecture standards;</w:t>
      </w:r>
    </w:p>
    <w:p w14:paraId="043BD683" w14:textId="77777777" w:rsidR="00F1338F" w:rsidRPr="00380B40" w:rsidRDefault="00F1338F" w:rsidP="002D5E14">
      <w:pPr>
        <w:keepNext/>
        <w:keepLines/>
        <w:rPr>
          <w:lang w:val="en-GB"/>
        </w:rPr>
      </w:pPr>
      <w:r w:rsidRPr="00380B40">
        <w:rPr>
          <w:i/>
          <w:iCs/>
          <w:lang w:val="en-GB"/>
        </w:rPr>
        <w:t>d)</w:t>
      </w:r>
      <w:r w:rsidRPr="00380B40">
        <w:rPr>
          <w:lang w:val="en-GB"/>
        </w:rPr>
        <w:t xml:space="preserve"> </w:t>
      </w:r>
      <w:r w:rsidRPr="00380B40">
        <w:rPr>
          <w:lang w:val="en-GB"/>
        </w:rPr>
        <w:tab/>
        <w:t>that foundation work on EDR requirements and architecture standards be initiated so that a set of standards may be developed through industry-wide synergy,</w:t>
      </w:r>
    </w:p>
    <w:p w14:paraId="06A0FFAA" w14:textId="77777777" w:rsidR="00F1338F" w:rsidRPr="00380B40" w:rsidRDefault="00F1338F" w:rsidP="00F1338F">
      <w:pPr>
        <w:pStyle w:val="Call"/>
        <w:rPr>
          <w:lang w:val="en-GB"/>
        </w:rPr>
      </w:pPr>
      <w:r w:rsidRPr="00380B40">
        <w:rPr>
          <w:lang w:val="en-GB"/>
        </w:rPr>
        <w:t>resolves to instruct Study Groups 13, 16, 17 and 20 of the ITU Telecommunication Standardization Sector</w:t>
      </w:r>
    </w:p>
    <w:p w14:paraId="697CC657" w14:textId="77777777" w:rsidR="00F1338F" w:rsidRPr="00380B40" w:rsidRDefault="00F1338F" w:rsidP="00F1338F">
      <w:pPr>
        <w:keepNext/>
        <w:keepLines/>
        <w:rPr>
          <w:lang w:val="en-GB"/>
        </w:rPr>
      </w:pPr>
      <w:r w:rsidRPr="00380B40">
        <w:rPr>
          <w:lang w:val="en-GB"/>
        </w:rPr>
        <w:t>1</w:t>
      </w:r>
      <w:r w:rsidRPr="00380B40">
        <w:rPr>
          <w:lang w:val="en-GB"/>
        </w:rPr>
        <w:tab/>
        <w:t>to evaluate existing, evolving and new Recommendations with respect to cloud-based event data technology;</w:t>
      </w:r>
    </w:p>
    <w:p w14:paraId="72D1F089" w14:textId="77777777" w:rsidR="00F1338F" w:rsidRPr="00380B40" w:rsidRDefault="00F1338F" w:rsidP="00F1338F">
      <w:pPr>
        <w:rPr>
          <w:lang w:val="en-GB"/>
        </w:rPr>
      </w:pPr>
      <w:r w:rsidRPr="00380B40">
        <w:rPr>
          <w:lang w:val="en-GB"/>
        </w:rPr>
        <w:t>2</w:t>
      </w:r>
      <w:r w:rsidRPr="00380B40">
        <w:rPr>
          <w:lang w:val="en-GB"/>
        </w:rPr>
        <w:tab/>
        <w:t>to make recommendations to the Telecommunication Standardization Advisory Group on how to address the topics that are outside the mandate of the study groups,</w:t>
      </w:r>
    </w:p>
    <w:p w14:paraId="7B05BE6A" w14:textId="77777777" w:rsidR="00F1338F" w:rsidRPr="00380B40" w:rsidRDefault="00F1338F" w:rsidP="00F1338F">
      <w:pPr>
        <w:pStyle w:val="Call"/>
        <w:rPr>
          <w:lang w:val="en-GB"/>
        </w:rPr>
      </w:pPr>
      <w:r w:rsidRPr="00380B40">
        <w:rPr>
          <w:lang w:val="en-GB"/>
        </w:rPr>
        <w:t>instructs the Telecommunication Standardization Advisory Group</w:t>
      </w:r>
    </w:p>
    <w:p w14:paraId="2666D215" w14:textId="77777777" w:rsidR="00F1338F" w:rsidRPr="00380B40" w:rsidRDefault="00F1338F" w:rsidP="00F1338F">
      <w:pPr>
        <w:rPr>
          <w:lang w:val="en-GB"/>
        </w:rPr>
      </w:pPr>
      <w:r w:rsidRPr="00380B40">
        <w:rPr>
          <w:lang w:val="en-GB"/>
        </w:rPr>
        <w:t>to drive a concerted effort across relevant study groups to accelerate standardization work on cloud</w:t>
      </w:r>
      <w:r w:rsidRPr="00380B40">
        <w:rPr>
          <w:lang w:val="en-GB"/>
        </w:rPr>
        <w:noBreakHyphen/>
        <w:t>based event data technology,</w:t>
      </w:r>
    </w:p>
    <w:p w14:paraId="519646EB" w14:textId="77777777" w:rsidR="00F1338F" w:rsidRPr="00380B40" w:rsidRDefault="00F1338F" w:rsidP="00F1338F">
      <w:pPr>
        <w:pStyle w:val="Call"/>
        <w:rPr>
          <w:lang w:val="en-GB"/>
        </w:rPr>
      </w:pPr>
      <w:r w:rsidRPr="00380B40">
        <w:rPr>
          <w:lang w:val="en-GB"/>
        </w:rPr>
        <w:t>instructs the Director of the Telecommunication Standardization Bureau</w:t>
      </w:r>
    </w:p>
    <w:p w14:paraId="0D2B96AB" w14:textId="77777777" w:rsidR="00F1338F" w:rsidRPr="00380B40" w:rsidRDefault="00F1338F" w:rsidP="00F1338F">
      <w:pPr>
        <w:rPr>
          <w:lang w:val="en-GB"/>
        </w:rPr>
      </w:pPr>
      <w:r w:rsidRPr="00380B40">
        <w:rPr>
          <w:lang w:val="en-GB"/>
        </w:rPr>
        <w:t>1</w:t>
      </w:r>
      <w:r w:rsidRPr="00380B40">
        <w:rPr>
          <w:lang w:val="en-GB"/>
        </w:rPr>
        <w:tab/>
        <w:t>to provide the necessary assistance to speed up standardization work on cloud-based event data technology and to encourage participation and contributions from Member States, particularly developing countries;</w:t>
      </w:r>
    </w:p>
    <w:p w14:paraId="5C3FC3CF" w14:textId="77777777" w:rsidR="00F1338F" w:rsidRPr="00380B40" w:rsidRDefault="00F1338F" w:rsidP="00F1338F">
      <w:pPr>
        <w:rPr>
          <w:lang w:val="en-GB"/>
        </w:rPr>
      </w:pPr>
      <w:r w:rsidRPr="00380B40">
        <w:rPr>
          <w:lang w:val="en-GB"/>
        </w:rPr>
        <w:t>2</w:t>
      </w:r>
      <w:r w:rsidRPr="00380B40">
        <w:rPr>
          <w:lang w:val="en-GB"/>
        </w:rPr>
        <w:tab/>
        <w:t>to organize (a) workshop(s) to collect requirements and inputs on this topic from a wide range of various stakeholders,</w:t>
      </w:r>
    </w:p>
    <w:p w14:paraId="1547C40E" w14:textId="77777777" w:rsidR="00F1338F" w:rsidRPr="00380B40" w:rsidRDefault="00F1338F" w:rsidP="00F1338F">
      <w:pPr>
        <w:pStyle w:val="Call"/>
        <w:rPr>
          <w:lang w:val="en-GB"/>
        </w:rPr>
      </w:pPr>
      <w:r w:rsidRPr="00380B40">
        <w:rPr>
          <w:lang w:val="en-GB"/>
        </w:rPr>
        <w:t xml:space="preserve">invites Member States, Sector Members, Associates and academia </w:t>
      </w:r>
    </w:p>
    <w:p w14:paraId="7D38F71E" w14:textId="77777777" w:rsidR="00F1338F" w:rsidRPr="00380B40" w:rsidRDefault="00F1338F" w:rsidP="00F1338F">
      <w:pPr>
        <w:rPr>
          <w:lang w:val="en-GB"/>
        </w:rPr>
      </w:pPr>
      <w:r w:rsidRPr="00380B40">
        <w:rPr>
          <w:lang w:val="en-GB"/>
        </w:rPr>
        <w:t>to submit contributions for developing standards for cloud-based event data technology.</w:t>
      </w:r>
    </w:p>
    <w:p w14:paraId="0D6D3648" w14:textId="77777777" w:rsidR="000579ED" w:rsidRPr="00380B40"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1C82FB7" w14:textId="77777777" w:rsidR="000579ED" w:rsidRPr="00380B40"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7DB44DD" w14:textId="77777777" w:rsidR="00D6176B" w:rsidRPr="00380B40" w:rsidRDefault="00D617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1EDB3C4" w14:textId="77777777" w:rsidR="00D6176B" w:rsidRPr="00380B40" w:rsidRDefault="00D617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7164C1A" w14:textId="77777777" w:rsidR="00D6176B" w:rsidRPr="00380B40" w:rsidRDefault="00D617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D7282D9" w14:textId="77777777" w:rsidR="000579ED" w:rsidRPr="00380B40"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D128CFC" w14:textId="77777777" w:rsidR="000579ED" w:rsidRPr="00380B40"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BB76454" w14:textId="77777777" w:rsidR="000579ED" w:rsidRPr="00380B40"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590E0F9" w14:textId="77777777" w:rsidR="00D6176B" w:rsidRPr="00380B40" w:rsidRDefault="00D6176B" w:rsidP="00D6176B">
      <w:pPr>
        <w:rPr>
          <w:lang w:val="en-GB"/>
        </w:rPr>
      </w:pPr>
    </w:p>
    <w:p w14:paraId="5213B767" w14:textId="77777777" w:rsidR="00D6176B" w:rsidRPr="00380B40" w:rsidRDefault="00D6176B" w:rsidP="00D6176B">
      <w:pPr>
        <w:rPr>
          <w:lang w:val="en-GB"/>
        </w:rPr>
        <w:sectPr w:rsidR="00D6176B" w:rsidRPr="00380B40" w:rsidSect="00CC5E14">
          <w:headerReference w:type="even" r:id="rId316"/>
          <w:headerReference w:type="default" r:id="rId317"/>
          <w:footerReference w:type="even" r:id="rId318"/>
          <w:footerReference w:type="default" r:id="rId319"/>
          <w:headerReference w:type="first" r:id="rId320"/>
          <w:footerReference w:type="first" r:id="rId321"/>
          <w:footnotePr>
            <w:numRestart w:val="eachSect"/>
          </w:footnotePr>
          <w:pgSz w:w="11907" w:h="16834" w:code="9"/>
          <w:pgMar w:top="1134" w:right="1134" w:bottom="1134" w:left="1134" w:header="567" w:footer="567" w:gutter="0"/>
          <w:paperSrc w:first="15" w:other="15"/>
          <w:cols w:space="720"/>
          <w:vAlign w:val="both"/>
          <w:docGrid w:linePitch="299"/>
        </w:sectPr>
      </w:pPr>
    </w:p>
    <w:p w14:paraId="596FC980" w14:textId="77777777" w:rsidR="00F1338F" w:rsidRPr="00380B40" w:rsidRDefault="008A1180" w:rsidP="002239A5">
      <w:pPr>
        <w:pStyle w:val="ResNo"/>
        <w:rPr>
          <w:lang w:val="en-GB"/>
        </w:rPr>
      </w:pPr>
      <w:bookmarkStart w:id="465" w:name="_Toc104459797"/>
      <w:bookmarkStart w:id="466" w:name="_Toc104476605"/>
      <w:bookmarkStart w:id="467" w:name="_Toc111636812"/>
      <w:bookmarkStart w:id="468" w:name="_Toc111638498"/>
      <w:r w:rsidRPr="00380B40">
        <w:rPr>
          <w:caps w:val="0"/>
          <w:lang w:val="en-GB"/>
        </w:rPr>
        <w:t xml:space="preserve">RESOLUTION </w:t>
      </w:r>
      <w:r w:rsidR="00F1338F" w:rsidRPr="00380B40">
        <w:rPr>
          <w:rStyle w:val="href"/>
          <w:lang w:val="en-GB"/>
        </w:rPr>
        <w:t xml:space="preserve">95 </w:t>
      </w:r>
      <w:r w:rsidR="002239A5" w:rsidRPr="00380B40">
        <w:rPr>
          <w:lang w:val="en-GB"/>
        </w:rPr>
        <w:t>(R</w:t>
      </w:r>
      <w:r w:rsidR="00BB0DB7" w:rsidRPr="00380B40">
        <w:rPr>
          <w:caps w:val="0"/>
          <w:lang w:val="en-GB"/>
        </w:rPr>
        <w:t>ev</w:t>
      </w:r>
      <w:r w:rsidR="002239A5" w:rsidRPr="00380B40">
        <w:rPr>
          <w:lang w:val="en-GB"/>
        </w:rPr>
        <w:t>. G</w:t>
      </w:r>
      <w:r w:rsidR="00BB0DB7" w:rsidRPr="00380B40">
        <w:rPr>
          <w:caps w:val="0"/>
          <w:lang w:val="en-GB"/>
        </w:rPr>
        <w:t>eneva</w:t>
      </w:r>
      <w:r w:rsidR="002239A5" w:rsidRPr="00380B40">
        <w:rPr>
          <w:lang w:val="en-GB"/>
        </w:rPr>
        <w:t>, 2022)</w:t>
      </w:r>
      <w:bookmarkEnd w:id="465"/>
      <w:bookmarkEnd w:id="466"/>
      <w:bookmarkEnd w:id="467"/>
      <w:bookmarkEnd w:id="468"/>
    </w:p>
    <w:p w14:paraId="30922099" w14:textId="77777777" w:rsidR="002239A5" w:rsidRPr="00380B40" w:rsidRDefault="002239A5" w:rsidP="002239A5">
      <w:pPr>
        <w:pStyle w:val="Restitle"/>
        <w:rPr>
          <w:lang w:val="en-GB"/>
        </w:rPr>
      </w:pPr>
      <w:bookmarkStart w:id="469" w:name="_Toc104459798"/>
      <w:bookmarkStart w:id="470" w:name="_Toc104476606"/>
      <w:bookmarkStart w:id="471" w:name="_Toc111638499"/>
      <w:r w:rsidRPr="00380B40">
        <w:rPr>
          <w:lang w:val="en-GB"/>
        </w:rPr>
        <w:t xml:space="preserve">ITU Telecommunication Standardization Sector initiatives </w:t>
      </w:r>
      <w:r w:rsidR="00BD2768" w:rsidRPr="00380B40">
        <w:rPr>
          <w:lang w:val="en-GB"/>
        </w:rPr>
        <w:br/>
      </w:r>
      <w:r w:rsidRPr="00380B40">
        <w:rPr>
          <w:lang w:val="en-GB"/>
        </w:rPr>
        <w:t xml:space="preserve">to raise awareness on best practices and policies related </w:t>
      </w:r>
      <w:r w:rsidR="00BD2768" w:rsidRPr="00380B40">
        <w:rPr>
          <w:lang w:val="en-GB"/>
        </w:rPr>
        <w:br/>
      </w:r>
      <w:r w:rsidRPr="00380B40">
        <w:rPr>
          <w:lang w:val="en-GB"/>
        </w:rPr>
        <w:t>to service quality</w:t>
      </w:r>
      <w:bookmarkEnd w:id="469"/>
      <w:bookmarkEnd w:id="470"/>
      <w:bookmarkEnd w:id="471"/>
    </w:p>
    <w:p w14:paraId="70F9530A" w14:textId="77777777" w:rsidR="002239A5" w:rsidRPr="00380B40" w:rsidRDefault="002239A5" w:rsidP="002239A5">
      <w:pPr>
        <w:pStyle w:val="Resref"/>
        <w:rPr>
          <w:lang w:val="en-GB"/>
        </w:rPr>
      </w:pPr>
      <w:r w:rsidRPr="00380B40">
        <w:rPr>
          <w:lang w:val="en-GB"/>
        </w:rPr>
        <w:t>(Hammamet, 2016; Geneva, 2022)</w:t>
      </w:r>
    </w:p>
    <w:p w14:paraId="27F38F16" w14:textId="77777777" w:rsidR="002239A5" w:rsidRPr="00380B40" w:rsidRDefault="002239A5" w:rsidP="002239A5">
      <w:pPr>
        <w:pStyle w:val="Normalaftertitle0"/>
      </w:pPr>
      <w:r w:rsidRPr="00380B40">
        <w:t>The World Telecommunication Standardization Assembly (Geneva, 2022),</w:t>
      </w:r>
    </w:p>
    <w:p w14:paraId="45C4FA8F" w14:textId="77777777" w:rsidR="002239A5" w:rsidRPr="00380B40" w:rsidRDefault="002239A5" w:rsidP="002239A5">
      <w:pPr>
        <w:pStyle w:val="Call"/>
        <w:rPr>
          <w:lang w:val="en-GB"/>
        </w:rPr>
      </w:pPr>
      <w:r w:rsidRPr="00380B40">
        <w:rPr>
          <w:lang w:val="en-GB"/>
        </w:rPr>
        <w:t>considering</w:t>
      </w:r>
    </w:p>
    <w:p w14:paraId="30CD294D" w14:textId="77777777" w:rsidR="002239A5" w:rsidRPr="00380B40" w:rsidRDefault="002239A5" w:rsidP="002239A5">
      <w:pPr>
        <w:rPr>
          <w:lang w:val="en-GB"/>
        </w:rPr>
      </w:pPr>
      <w:r w:rsidRPr="00380B40">
        <w:rPr>
          <w:i/>
          <w:iCs/>
          <w:lang w:val="en-GB"/>
        </w:rPr>
        <w:t>a)</w:t>
      </w:r>
      <w:r w:rsidRPr="00380B40">
        <w:rPr>
          <w:lang w:val="en-GB"/>
        </w:rPr>
        <w:tab/>
        <w:t>that, in accordance with No. 13 in Article 1 of the ITU Constitution, the Union shall in particular "facilitate the worldwide standardization of telecommunications, with a satisfactory quality of service";</w:t>
      </w:r>
    </w:p>
    <w:p w14:paraId="49B63149" w14:textId="77777777" w:rsidR="002239A5" w:rsidRPr="00380B40" w:rsidRDefault="002239A5" w:rsidP="002239A5">
      <w:pPr>
        <w:rPr>
          <w:lang w:val="en-GB"/>
        </w:rPr>
      </w:pPr>
      <w:r w:rsidRPr="00380B40">
        <w:rPr>
          <w:i/>
          <w:iCs/>
          <w:lang w:val="en-GB"/>
        </w:rPr>
        <w:t>b)</w:t>
      </w:r>
      <w:r w:rsidRPr="00380B40">
        <w:rPr>
          <w:lang w:val="en-GB"/>
        </w:rPr>
        <w:tab/>
        <w:t>the provisions of the Constitution and the ITU Convention relating to strategic policies and plans;</w:t>
      </w:r>
    </w:p>
    <w:p w14:paraId="6D8D8DD7" w14:textId="77777777" w:rsidR="002239A5" w:rsidRPr="00380B40" w:rsidRDefault="002239A5" w:rsidP="002239A5">
      <w:pPr>
        <w:rPr>
          <w:lang w:val="en-GB"/>
        </w:rPr>
      </w:pPr>
      <w:r w:rsidRPr="00380B40">
        <w:rPr>
          <w:i/>
          <w:iCs/>
          <w:lang w:val="en-GB"/>
        </w:rPr>
        <w:t>c)</w:t>
      </w:r>
      <w:r w:rsidRPr="00380B40">
        <w:rPr>
          <w:lang w:val="en-GB"/>
        </w:rPr>
        <w:tab/>
        <w:t>the strategic plan for the Union for 2020-2023, approved in Resolution 71 (Rev. Dubai, 2018) of the Plenipotentiary Conference;</w:t>
      </w:r>
    </w:p>
    <w:p w14:paraId="6A876684" w14:textId="77777777" w:rsidR="002239A5" w:rsidRPr="00380B40" w:rsidRDefault="002239A5" w:rsidP="002239A5">
      <w:pPr>
        <w:rPr>
          <w:lang w:val="en-GB"/>
        </w:rPr>
      </w:pPr>
      <w:r w:rsidRPr="00380B40">
        <w:rPr>
          <w:i/>
          <w:iCs/>
          <w:lang w:val="en-GB"/>
        </w:rPr>
        <w:t>d)</w:t>
      </w:r>
      <w:r w:rsidRPr="00380B40">
        <w:rPr>
          <w:lang w:val="en-GB"/>
        </w:rPr>
        <w:tab/>
        <w:t>that one of the strategic goals under the strategic plan is to bridge the standardization gap for an inclusive information society and enable the provision of broadband access for all, leaving no one offline,</w:t>
      </w:r>
    </w:p>
    <w:p w14:paraId="6774C811" w14:textId="77777777" w:rsidR="002239A5" w:rsidRPr="00380B40" w:rsidRDefault="002239A5" w:rsidP="002239A5">
      <w:pPr>
        <w:pStyle w:val="Call"/>
        <w:rPr>
          <w:lang w:val="en-GB"/>
        </w:rPr>
      </w:pPr>
      <w:r w:rsidRPr="00380B40">
        <w:rPr>
          <w:lang w:val="en-GB"/>
        </w:rPr>
        <w:t>recalling</w:t>
      </w:r>
    </w:p>
    <w:p w14:paraId="062C2685" w14:textId="77777777" w:rsidR="002239A5" w:rsidRPr="00380B40" w:rsidRDefault="002239A5" w:rsidP="002239A5">
      <w:pPr>
        <w:rPr>
          <w:lang w:val="en-GB"/>
        </w:rPr>
      </w:pPr>
      <w:r w:rsidRPr="00380B40">
        <w:rPr>
          <w:i/>
          <w:iCs/>
          <w:lang w:val="en-GB"/>
        </w:rPr>
        <w:t>a)</w:t>
      </w:r>
      <w:r w:rsidRPr="00380B40">
        <w:rPr>
          <w:lang w:val="en-GB"/>
        </w:rPr>
        <w:tab/>
        <w:t>that Resolution 200 (Rev. Dubai, 2018) of the Plenipotentiary Conference defines, among the Connect 2020 global telecommunication/information and communication technology (ICT) goals and targets, Goal 2: Inclusiveness – Bridge the digital divide and provide broadband for all;</w:t>
      </w:r>
    </w:p>
    <w:p w14:paraId="66CE76D5" w14:textId="77777777" w:rsidR="002239A5" w:rsidRPr="00380B40" w:rsidRDefault="002239A5" w:rsidP="002239A5">
      <w:pPr>
        <w:rPr>
          <w:lang w:val="en-GB"/>
        </w:rPr>
      </w:pPr>
      <w:r w:rsidRPr="00380B40">
        <w:rPr>
          <w:i/>
          <w:iCs/>
          <w:lang w:val="en-GB"/>
        </w:rPr>
        <w:t>b)</w:t>
      </w:r>
      <w:r w:rsidRPr="00380B40">
        <w:rPr>
          <w:lang w:val="en-GB"/>
        </w:rPr>
        <w:tab/>
        <w:t>that Resolution 196 (Rev. Dubai, 2018) of the Plenipotentiary Conference instructs the Director of the Telecommunication Development Bureau to bring to the attention of decision-makers and national regulatory authorities the importance of keeping users/consumers informed about the quality of the different services offered by operators, and of other protection mechanisms promoting user/consumer rights;</w:t>
      </w:r>
    </w:p>
    <w:p w14:paraId="19B1C444" w14:textId="77777777" w:rsidR="002239A5" w:rsidRPr="00380B40" w:rsidRDefault="002239A5" w:rsidP="002239A5">
      <w:pPr>
        <w:rPr>
          <w:lang w:val="en-GB"/>
        </w:rPr>
      </w:pPr>
      <w:r w:rsidRPr="00380B40">
        <w:rPr>
          <w:i/>
          <w:iCs/>
          <w:lang w:val="en-GB"/>
        </w:rPr>
        <w:t>c)</w:t>
      </w:r>
      <w:r w:rsidRPr="00380B40">
        <w:rPr>
          <w:lang w:val="en-GB"/>
        </w:rPr>
        <w:tab/>
        <w:t>that Resolution 196 (Rev. Dubai, 2018) invites Member States, Sector Members and Associates to make contributions that allow the dissemination of best practices and policies related to service quality;</w:t>
      </w:r>
    </w:p>
    <w:p w14:paraId="53C313FB" w14:textId="77777777" w:rsidR="002239A5" w:rsidRPr="00380B40" w:rsidRDefault="002239A5" w:rsidP="002239A5">
      <w:pPr>
        <w:rPr>
          <w:i/>
          <w:iCs/>
          <w:lang w:val="en-GB"/>
        </w:rPr>
      </w:pPr>
      <w:r w:rsidRPr="00380B40">
        <w:rPr>
          <w:i/>
          <w:iCs/>
          <w:lang w:val="en-GB"/>
        </w:rPr>
        <w:t>d)</w:t>
      </w:r>
      <w:r w:rsidRPr="00380B40">
        <w:rPr>
          <w:lang w:val="en-GB"/>
        </w:rPr>
        <w:tab/>
        <w:t>that Resolution 196 (Rev. Dubai, 2018) invites the Member States to promote policies that foster the provision of telecommunication/ICT services in a manner that delivers suitable quality to the users/consumers of telecommunication/ICT services, based</w:t>
      </w:r>
      <w:r w:rsidRPr="00380B40">
        <w:rPr>
          <w:i/>
          <w:iCs/>
          <w:lang w:val="en-GB"/>
        </w:rPr>
        <w:t>, inter alia</w:t>
      </w:r>
      <w:r w:rsidRPr="00380B40">
        <w:rPr>
          <w:lang w:val="en-GB"/>
        </w:rPr>
        <w:t>, on Recommendations of the ITU Telecommunication Standardization Sector (ITU-T);</w:t>
      </w:r>
    </w:p>
    <w:p w14:paraId="7DE2759F" w14:textId="77777777" w:rsidR="00924F80" w:rsidRPr="00380B40" w:rsidRDefault="00924F80" w:rsidP="002239A5">
      <w:pPr>
        <w:rPr>
          <w:i/>
          <w:iCs/>
          <w:lang w:val="en-GB"/>
        </w:rPr>
      </w:pPr>
      <w:r w:rsidRPr="00380B40">
        <w:rPr>
          <w:i/>
          <w:iCs/>
          <w:lang w:val="en-GB"/>
        </w:rPr>
        <w:br w:type="page"/>
      </w:r>
    </w:p>
    <w:p w14:paraId="73C7551C" w14:textId="77777777" w:rsidR="002239A5" w:rsidRPr="00380B40" w:rsidRDefault="002239A5" w:rsidP="002239A5">
      <w:pPr>
        <w:rPr>
          <w:lang w:val="en-GB"/>
        </w:rPr>
      </w:pPr>
      <w:r w:rsidRPr="00380B40">
        <w:rPr>
          <w:i/>
          <w:iCs/>
          <w:lang w:val="en-GB"/>
        </w:rPr>
        <w:t>e)</w:t>
      </w:r>
      <w:r w:rsidRPr="00380B40">
        <w:rPr>
          <w:lang w:val="en-GB"/>
        </w:rPr>
        <w:tab/>
        <w:t>that Resolution 131 (Rev. Dubai, 2018) of the Plenipotentiary Conference resolves that ITU should strengthen its coordination with other relevant international organizations involved in the collection of telecommunication/ICT-related statistical data, and establish a standardized set of indicators through the Partnership on Measuring ICT for Development, improving the quality, comparability, availability and reliability of telecommunication/ICT data and indicators and fostering the development of strategies and national, regional and international public policy in the area of telecommunications/ICTs,</w:t>
      </w:r>
    </w:p>
    <w:p w14:paraId="41191938" w14:textId="77777777" w:rsidR="002239A5" w:rsidRPr="00380B40" w:rsidRDefault="002239A5" w:rsidP="002239A5">
      <w:pPr>
        <w:pStyle w:val="Call"/>
        <w:rPr>
          <w:lang w:val="en-GB"/>
        </w:rPr>
      </w:pPr>
      <w:r w:rsidRPr="00380B40">
        <w:rPr>
          <w:lang w:val="en-GB"/>
        </w:rPr>
        <w:t>recognizing</w:t>
      </w:r>
    </w:p>
    <w:p w14:paraId="7AE95188" w14:textId="77777777" w:rsidR="002239A5" w:rsidRPr="00380B40" w:rsidRDefault="002239A5" w:rsidP="002239A5">
      <w:pPr>
        <w:rPr>
          <w:lang w:val="en-GB"/>
        </w:rPr>
      </w:pPr>
      <w:r w:rsidRPr="00380B40">
        <w:rPr>
          <w:i/>
          <w:iCs/>
          <w:lang w:val="en-GB"/>
        </w:rPr>
        <w:t>a)</w:t>
      </w:r>
      <w:r w:rsidRPr="00380B40">
        <w:rPr>
          <w:lang w:val="en-GB"/>
        </w:rPr>
        <w:tab/>
        <w:t>that the transparent and collaborative collection and dissemination of quality indicators and statistics that measure and provide comparative analyses of advancements in the use and adoption of ICTs continue to be a major factor for supporting socio-economic growth;</w:t>
      </w:r>
    </w:p>
    <w:p w14:paraId="63E9C697" w14:textId="77777777" w:rsidR="002239A5" w:rsidRPr="00380B40" w:rsidRDefault="002239A5" w:rsidP="002239A5">
      <w:pPr>
        <w:rPr>
          <w:lang w:val="en-GB"/>
        </w:rPr>
      </w:pPr>
      <w:r w:rsidRPr="00380B40">
        <w:rPr>
          <w:i/>
          <w:iCs/>
          <w:lang w:val="en-GB"/>
        </w:rPr>
        <w:t>b)</w:t>
      </w:r>
      <w:r w:rsidRPr="00380B40">
        <w:rPr>
          <w:lang w:val="en-GB"/>
        </w:rPr>
        <w:tab/>
        <w:t>that quality indicators and their analysis provide governments and stakeholders with a mechanism to better understand key drivers of telecommunication/ICT adoption and assist in ongoing national policy formulation;</w:t>
      </w:r>
    </w:p>
    <w:p w14:paraId="1A74762F" w14:textId="77777777" w:rsidR="002239A5" w:rsidRPr="00380B40" w:rsidRDefault="002239A5" w:rsidP="002239A5">
      <w:pPr>
        <w:rPr>
          <w:lang w:val="en-GB"/>
        </w:rPr>
      </w:pPr>
      <w:r w:rsidRPr="00380B40">
        <w:rPr>
          <w:i/>
          <w:iCs/>
          <w:lang w:val="en-GB"/>
        </w:rPr>
        <w:t>c)</w:t>
      </w:r>
      <w:r w:rsidRPr="00380B40">
        <w:rPr>
          <w:lang w:val="en-GB"/>
        </w:rPr>
        <w:tab/>
        <w:t>that broadband plays a fundamental role in fulfilling the United Nations Sustainable Development Goals and so information gathering and mapping is critical for developing and making informed decisions, and empowering users,</w:t>
      </w:r>
    </w:p>
    <w:p w14:paraId="00E6AF10" w14:textId="77777777" w:rsidR="002239A5" w:rsidRPr="00380B40" w:rsidRDefault="002239A5" w:rsidP="002239A5">
      <w:pPr>
        <w:pStyle w:val="Call"/>
        <w:rPr>
          <w:lang w:val="en-GB"/>
        </w:rPr>
      </w:pPr>
      <w:r w:rsidRPr="00380B40">
        <w:rPr>
          <w:lang w:val="en-GB"/>
        </w:rPr>
        <w:t>taking into account</w:t>
      </w:r>
    </w:p>
    <w:p w14:paraId="2CD69EF4" w14:textId="77777777" w:rsidR="002239A5" w:rsidRPr="00380B40" w:rsidRDefault="002239A5" w:rsidP="002239A5">
      <w:pPr>
        <w:rPr>
          <w:lang w:val="en-GB"/>
        </w:rPr>
      </w:pPr>
      <w:r w:rsidRPr="00380B40">
        <w:rPr>
          <w:i/>
          <w:iCs/>
          <w:lang w:val="en-GB"/>
        </w:rPr>
        <w:t>a)</w:t>
      </w:r>
      <w:r w:rsidRPr="00380B40">
        <w:rPr>
          <w:lang w:val="en-GB"/>
        </w:rPr>
        <w:tab/>
        <w:t>Resolution 101 (Rev. Dubai, 2018) of the Plenipotentiary Conference, on Internet Protocol (IP)-based networks;</w:t>
      </w:r>
    </w:p>
    <w:p w14:paraId="409CBB93" w14:textId="77777777" w:rsidR="002239A5" w:rsidRPr="00380B40" w:rsidRDefault="002239A5" w:rsidP="002239A5">
      <w:pPr>
        <w:rPr>
          <w:lang w:val="en-GB"/>
        </w:rPr>
      </w:pPr>
      <w:r w:rsidRPr="00380B40">
        <w:rPr>
          <w:i/>
          <w:lang w:val="en-GB"/>
        </w:rPr>
        <w:t>b)</w:t>
      </w:r>
      <w:r w:rsidRPr="00380B40">
        <w:rPr>
          <w:lang w:val="en-GB"/>
        </w:rPr>
        <w:tab/>
        <w:t>the Dubai Declaration under the theme "Broadband for sustainable development", adopted by the World Telecommunication Development Conference in 2014;</w:t>
      </w:r>
    </w:p>
    <w:p w14:paraId="57D4DFF0" w14:textId="77777777" w:rsidR="002239A5" w:rsidRPr="00380B40" w:rsidRDefault="002239A5" w:rsidP="002239A5">
      <w:pPr>
        <w:rPr>
          <w:lang w:val="en-GB"/>
        </w:rPr>
      </w:pPr>
      <w:r w:rsidRPr="00380B40">
        <w:rPr>
          <w:i/>
          <w:iCs/>
          <w:lang w:val="en-GB"/>
        </w:rPr>
        <w:t>c)</w:t>
      </w:r>
      <w:r w:rsidRPr="00380B40">
        <w:rPr>
          <w:lang w:val="en-GB"/>
        </w:rPr>
        <w:tab/>
        <w:t>Resolution 140 (Rev. Dubai, 2018) of the Plenipotentiary Conference, on ITU's role in implementing the outcomes of the World Summit on the Information Society and the 2030 Agenda for Sustainable Development,</w:t>
      </w:r>
    </w:p>
    <w:p w14:paraId="1C9FE124" w14:textId="77777777" w:rsidR="002239A5" w:rsidRPr="00380B40" w:rsidRDefault="002239A5" w:rsidP="002239A5">
      <w:pPr>
        <w:pStyle w:val="Call"/>
        <w:rPr>
          <w:lang w:val="en-GB"/>
        </w:rPr>
      </w:pPr>
      <w:r w:rsidRPr="00380B40">
        <w:rPr>
          <w:lang w:val="en-GB"/>
        </w:rPr>
        <w:t>noting</w:t>
      </w:r>
    </w:p>
    <w:p w14:paraId="3C8CEB95" w14:textId="77777777" w:rsidR="002239A5" w:rsidRPr="00380B40" w:rsidRDefault="002239A5" w:rsidP="002239A5">
      <w:pPr>
        <w:rPr>
          <w:lang w:val="en-GB"/>
        </w:rPr>
      </w:pPr>
      <w:r w:rsidRPr="00380B40">
        <w:rPr>
          <w:i/>
          <w:iCs/>
          <w:lang w:val="en-GB"/>
        </w:rPr>
        <w:t>a)</w:t>
      </w:r>
      <w:r w:rsidRPr="00380B40">
        <w:rPr>
          <w:lang w:val="en-GB"/>
        </w:rPr>
        <w:tab/>
        <w:t>that ITU-T Study Group 12 is the lead study group on quality of service (QoS) and quality of experience (QoE), assigned with the task of coordinating QoS and QoE activities within ITU</w:t>
      </w:r>
      <w:r w:rsidRPr="00380B40">
        <w:rPr>
          <w:lang w:val="en-GB"/>
        </w:rPr>
        <w:noBreakHyphen/>
        <w:t>T and with other standards-development organizations and forums, and developing frameworks to improve collaboration;</w:t>
      </w:r>
    </w:p>
    <w:p w14:paraId="0536943D" w14:textId="77777777" w:rsidR="002239A5" w:rsidRPr="00380B40" w:rsidRDefault="002239A5" w:rsidP="002239A5">
      <w:pPr>
        <w:rPr>
          <w:lang w:val="en-GB"/>
        </w:rPr>
      </w:pPr>
      <w:r w:rsidRPr="00380B40">
        <w:rPr>
          <w:i/>
          <w:iCs/>
          <w:lang w:val="en-GB"/>
        </w:rPr>
        <w:t>b)</w:t>
      </w:r>
      <w:r w:rsidRPr="00380B40">
        <w:rPr>
          <w:lang w:val="en-GB"/>
        </w:rPr>
        <w:tab/>
        <w:t>that Study Group 12 is the parent group for the QoS Development Group (QSDG),</w:t>
      </w:r>
    </w:p>
    <w:p w14:paraId="19E1AB39" w14:textId="77777777" w:rsidR="002239A5" w:rsidRPr="00380B40" w:rsidRDefault="002239A5" w:rsidP="002239A5">
      <w:pPr>
        <w:pStyle w:val="Call"/>
        <w:rPr>
          <w:lang w:val="en-GB"/>
        </w:rPr>
      </w:pPr>
      <w:r w:rsidRPr="00380B40">
        <w:rPr>
          <w:lang w:val="en-GB"/>
        </w:rPr>
        <w:t>acknowledging</w:t>
      </w:r>
    </w:p>
    <w:p w14:paraId="017272FE" w14:textId="77777777" w:rsidR="002239A5" w:rsidRPr="00380B40" w:rsidRDefault="002239A5" w:rsidP="002239A5">
      <w:pPr>
        <w:rPr>
          <w:lang w:val="en-GB"/>
        </w:rPr>
      </w:pPr>
      <w:r w:rsidRPr="00380B40">
        <w:rPr>
          <w:i/>
          <w:iCs/>
          <w:lang w:val="en-GB"/>
        </w:rPr>
        <w:t>a)</w:t>
      </w:r>
      <w:r w:rsidRPr="00380B40">
        <w:rPr>
          <w:lang w:val="en-GB"/>
        </w:rPr>
        <w:tab/>
        <w:t>the relevant work being conducted by QSDG on operational and regulatory discussions on QoS and QoE, and its important role in fostering collaboration between operators, technical solutions suppliers and regulators in an open debate on new strategies to deliver better quality of services to users;</w:t>
      </w:r>
    </w:p>
    <w:p w14:paraId="1EB2201D" w14:textId="77777777" w:rsidR="002239A5" w:rsidRPr="00380B40" w:rsidRDefault="002239A5" w:rsidP="002239A5">
      <w:pPr>
        <w:rPr>
          <w:lang w:val="en-GB"/>
        </w:rPr>
      </w:pPr>
      <w:r w:rsidRPr="00380B40">
        <w:rPr>
          <w:i/>
          <w:iCs/>
          <w:lang w:val="en-GB"/>
        </w:rPr>
        <w:t>b)</w:t>
      </w:r>
      <w:r w:rsidRPr="00380B40">
        <w:rPr>
          <w:lang w:val="en-GB"/>
        </w:rPr>
        <w:tab/>
        <w:t>the continuing work on the impact of counterfeit and substandard telecommunication/ICT devices on QoS and QoE, and the ongoing cooperation between study groups on the subject,</w:t>
      </w:r>
    </w:p>
    <w:p w14:paraId="3286C7F6" w14:textId="77777777" w:rsidR="00BB0DB7" w:rsidRPr="00380B40" w:rsidRDefault="00BB0DB7" w:rsidP="002239A5">
      <w:pPr>
        <w:pStyle w:val="Call"/>
        <w:rPr>
          <w:lang w:val="en-GB"/>
        </w:rPr>
      </w:pPr>
      <w:r w:rsidRPr="00380B40">
        <w:rPr>
          <w:lang w:val="en-GB"/>
        </w:rPr>
        <w:br w:type="page"/>
      </w:r>
    </w:p>
    <w:p w14:paraId="77B1FC06" w14:textId="77777777" w:rsidR="002239A5" w:rsidRPr="00380B40" w:rsidRDefault="002239A5" w:rsidP="002239A5">
      <w:pPr>
        <w:pStyle w:val="Call"/>
        <w:rPr>
          <w:lang w:val="en-GB"/>
        </w:rPr>
      </w:pPr>
      <w:r w:rsidRPr="00380B40">
        <w:rPr>
          <w:lang w:val="en-GB"/>
        </w:rPr>
        <w:t>resolves that the ITU Telecommunication Standardization Sector</w:t>
      </w:r>
    </w:p>
    <w:p w14:paraId="021E5799" w14:textId="77777777" w:rsidR="002239A5" w:rsidRPr="00380B40" w:rsidRDefault="002239A5" w:rsidP="002239A5">
      <w:pPr>
        <w:rPr>
          <w:lang w:val="en-GB"/>
        </w:rPr>
      </w:pPr>
      <w:r w:rsidRPr="00380B40">
        <w:rPr>
          <w:lang w:val="en-GB"/>
        </w:rPr>
        <w:t>1</w:t>
      </w:r>
      <w:r w:rsidRPr="00380B40">
        <w:rPr>
          <w:lang w:val="en-GB"/>
        </w:rPr>
        <w:tab/>
        <w:t>continue to develop the necessary Recommendations on performance, QoS and QoE, in particular for broadband networks and services;</w:t>
      </w:r>
    </w:p>
    <w:p w14:paraId="6113498B" w14:textId="77777777" w:rsidR="002239A5" w:rsidRPr="00380B40" w:rsidRDefault="002239A5" w:rsidP="002239A5">
      <w:pPr>
        <w:rPr>
          <w:lang w:val="en-GB"/>
        </w:rPr>
      </w:pPr>
      <w:r w:rsidRPr="00380B40">
        <w:rPr>
          <w:lang w:val="en-GB"/>
        </w:rPr>
        <w:t>2</w:t>
      </w:r>
      <w:r w:rsidRPr="00380B40">
        <w:rPr>
          <w:lang w:val="en-GB"/>
        </w:rPr>
        <w:tab/>
        <w:t>in close collaboration with the ITU Telecommunication Development Sector (ITU</w:t>
      </w:r>
      <w:r w:rsidRPr="00380B40">
        <w:rPr>
          <w:lang w:val="en-GB"/>
        </w:rPr>
        <w:noBreakHyphen/>
        <w:t>D), develop initiatives to raise awareness of the importance of keeping users informed about the quality of the services offered by operators;</w:t>
      </w:r>
    </w:p>
    <w:p w14:paraId="3BF945D8" w14:textId="77777777" w:rsidR="002239A5" w:rsidRPr="00380B40" w:rsidRDefault="002239A5" w:rsidP="002239A5">
      <w:pPr>
        <w:rPr>
          <w:lang w:val="en-GB"/>
        </w:rPr>
      </w:pPr>
      <w:r w:rsidRPr="00380B40">
        <w:rPr>
          <w:lang w:val="en-GB"/>
        </w:rPr>
        <w:t>3</w:t>
      </w:r>
      <w:r w:rsidRPr="00380B40">
        <w:rPr>
          <w:lang w:val="en-GB"/>
        </w:rPr>
        <w:tab/>
        <w:t>in close collaboration with ITU</w:t>
      </w:r>
      <w:r w:rsidRPr="00380B40">
        <w:rPr>
          <w:lang w:val="en-GB"/>
        </w:rPr>
        <w:noBreakHyphen/>
        <w:t>D and the ITU regional offices, provide references that assist developing</w:t>
      </w:r>
      <w:r w:rsidR="00FD162E" w:rsidRPr="00380B40">
        <w:rPr>
          <w:rStyle w:val="FootnoteReference"/>
          <w:lang w:val="en-GB"/>
        </w:rPr>
        <w:footnoteReference w:id="55"/>
      </w:r>
      <w:r w:rsidRPr="00380B40">
        <w:rPr>
          <w:lang w:val="en-GB"/>
        </w:rPr>
        <w:t xml:space="preserve"> and least developed countries in establishing a national quality-measurement framework suitable to perform QoS and QoE measurement;</w:t>
      </w:r>
    </w:p>
    <w:p w14:paraId="64F952F9" w14:textId="77777777" w:rsidR="002239A5" w:rsidRPr="00380B40" w:rsidRDefault="002239A5" w:rsidP="002239A5">
      <w:pPr>
        <w:rPr>
          <w:lang w:val="en-GB"/>
        </w:rPr>
      </w:pPr>
      <w:r w:rsidRPr="00380B40">
        <w:rPr>
          <w:lang w:val="en-GB"/>
        </w:rPr>
        <w:t>4</w:t>
      </w:r>
      <w:r w:rsidRPr="00380B40">
        <w:rPr>
          <w:lang w:val="en-GB"/>
        </w:rPr>
        <w:tab/>
        <w:t>organize workshops, training programmes and further initiatives to promote wider participation of regulators, operators and suppliers in the international debate on service quality and raise awareness of the importance of QoS and QoE measurement,</w:t>
      </w:r>
    </w:p>
    <w:p w14:paraId="4BF0FCB0" w14:textId="77777777" w:rsidR="002239A5" w:rsidRPr="00380B40" w:rsidRDefault="002239A5" w:rsidP="002239A5">
      <w:pPr>
        <w:pStyle w:val="Call"/>
        <w:rPr>
          <w:lang w:val="en-GB"/>
        </w:rPr>
      </w:pPr>
      <w:r w:rsidRPr="00380B40">
        <w:rPr>
          <w:lang w:val="en-GB"/>
        </w:rPr>
        <w:t>instructs the Director of the Telecommunication Standardization Bureau</w:t>
      </w:r>
    </w:p>
    <w:p w14:paraId="771ACACB" w14:textId="77777777" w:rsidR="002239A5" w:rsidRPr="00380B40" w:rsidRDefault="002239A5" w:rsidP="002239A5">
      <w:pPr>
        <w:rPr>
          <w:lang w:val="en-GB"/>
        </w:rPr>
      </w:pPr>
      <w:r w:rsidRPr="00380B40">
        <w:rPr>
          <w:lang w:val="en-GB"/>
        </w:rPr>
        <w:t xml:space="preserve">in order to implement </w:t>
      </w:r>
      <w:r w:rsidRPr="00380B40">
        <w:rPr>
          <w:i/>
          <w:lang w:val="en-GB"/>
        </w:rPr>
        <w:t>resolves</w:t>
      </w:r>
      <w:r w:rsidRPr="00380B40">
        <w:rPr>
          <w:lang w:val="en-GB"/>
        </w:rPr>
        <w:t> 2 and 4 above, to continue to support the activities of QSDG for open operational and regulatory discussions among regulators, operators and suppliers about new strategies to deliver better QoS and QoE to users,</w:t>
      </w:r>
    </w:p>
    <w:p w14:paraId="59E2CC4C" w14:textId="77777777" w:rsidR="002239A5" w:rsidRPr="00380B40" w:rsidRDefault="002239A5" w:rsidP="002239A5">
      <w:pPr>
        <w:pStyle w:val="Call"/>
        <w:rPr>
          <w:lang w:val="en-GB"/>
        </w:rPr>
      </w:pPr>
      <w:r w:rsidRPr="00380B40">
        <w:rPr>
          <w:lang w:val="en-GB"/>
        </w:rPr>
        <w:t>instructs the Director of the Telecommunication Standardization Bureau, in close collaboration with the Director of the Telecommunication Development Bureau</w:t>
      </w:r>
    </w:p>
    <w:p w14:paraId="6CC477DE" w14:textId="77777777" w:rsidR="002239A5" w:rsidRPr="00380B40" w:rsidRDefault="002239A5" w:rsidP="002239A5">
      <w:pPr>
        <w:rPr>
          <w:lang w:val="en-GB"/>
        </w:rPr>
      </w:pPr>
      <w:r w:rsidRPr="00380B40">
        <w:rPr>
          <w:lang w:val="en-GB"/>
        </w:rPr>
        <w:t>1</w:t>
      </w:r>
      <w:r w:rsidRPr="00380B40">
        <w:rPr>
          <w:lang w:val="en-GB"/>
        </w:rPr>
        <w:tab/>
        <w:t>to assist developing and least developed countries in identifying human and institutional capacity-building opportunities for establishing national quality-measurement frameworks;</w:t>
      </w:r>
    </w:p>
    <w:p w14:paraId="48376DF1" w14:textId="77777777" w:rsidR="002239A5" w:rsidRPr="00380B40" w:rsidRDefault="002239A5" w:rsidP="002239A5">
      <w:pPr>
        <w:rPr>
          <w:lang w:val="en-GB"/>
        </w:rPr>
      </w:pPr>
      <w:r w:rsidRPr="00380B40">
        <w:rPr>
          <w:lang w:val="en-GB"/>
        </w:rPr>
        <w:t>2</w:t>
      </w:r>
      <w:r w:rsidRPr="00380B40">
        <w:rPr>
          <w:lang w:val="en-GB"/>
        </w:rPr>
        <w:tab/>
        <w:t>to conduct activities in each region in order to identify and prioritize the problems faced by developing and least developed countries related to the provision of acceptable service quality to users;</w:t>
      </w:r>
    </w:p>
    <w:p w14:paraId="11819EC7" w14:textId="77777777" w:rsidR="002239A5" w:rsidRPr="00380B40" w:rsidRDefault="002239A5" w:rsidP="002239A5">
      <w:pPr>
        <w:rPr>
          <w:lang w:val="en-GB"/>
        </w:rPr>
      </w:pPr>
      <w:r w:rsidRPr="00380B40">
        <w:rPr>
          <w:lang w:val="en-GB"/>
        </w:rPr>
        <w:t>3</w:t>
      </w:r>
      <w:r w:rsidRPr="00380B40">
        <w:rPr>
          <w:lang w:val="en-GB"/>
        </w:rPr>
        <w:tab/>
        <w:t xml:space="preserve">based on results of </w:t>
      </w:r>
      <w:r w:rsidRPr="00380B40">
        <w:rPr>
          <w:i/>
          <w:lang w:val="en-GB"/>
        </w:rPr>
        <w:t>instructs </w:t>
      </w:r>
      <w:r w:rsidRPr="00380B40">
        <w:rPr>
          <w:iCs/>
          <w:lang w:val="en-GB"/>
        </w:rPr>
        <w:t>2 above</w:t>
      </w:r>
      <w:r w:rsidRPr="00380B40">
        <w:rPr>
          <w:lang w:val="en-GB"/>
        </w:rPr>
        <w:t xml:space="preserve">, to assist developing and least developed countries in elaborating and </w:t>
      </w:r>
      <w:r w:rsidRPr="00380B40">
        <w:rPr>
          <w:szCs w:val="24"/>
          <w:lang w:val="en-GB"/>
        </w:rPr>
        <w:t>implementing actions to improve service quality and keep users informed,</w:t>
      </w:r>
    </w:p>
    <w:p w14:paraId="34B5052C" w14:textId="77777777" w:rsidR="002239A5" w:rsidRPr="00380B40" w:rsidRDefault="002239A5" w:rsidP="002239A5">
      <w:pPr>
        <w:pStyle w:val="Call"/>
        <w:rPr>
          <w:lang w:val="en-GB"/>
        </w:rPr>
      </w:pPr>
      <w:r w:rsidRPr="00380B40">
        <w:rPr>
          <w:lang w:val="en-GB"/>
        </w:rPr>
        <w:t xml:space="preserve">instructs study groups of the ITU Telecommunication Standardization Sector, according to their mandate </w:t>
      </w:r>
    </w:p>
    <w:p w14:paraId="1F942A66" w14:textId="77777777" w:rsidR="002239A5" w:rsidRPr="00380B40" w:rsidRDefault="002239A5" w:rsidP="002239A5">
      <w:pPr>
        <w:rPr>
          <w:lang w:val="en-GB"/>
        </w:rPr>
      </w:pPr>
      <w:r w:rsidRPr="00380B40">
        <w:rPr>
          <w:lang w:val="en-GB" w:eastAsia="af-ZA"/>
        </w:rPr>
        <w:t>1</w:t>
      </w:r>
      <w:r w:rsidRPr="00380B40">
        <w:rPr>
          <w:lang w:val="en-GB" w:eastAsia="af-ZA"/>
        </w:rPr>
        <w:tab/>
        <w:t>to elaborate Recommendations providing guidance to regulators in regard to defining strategies and testing methodologies to monitor and measure QoS and QoE, in particular for broadband networks and services;</w:t>
      </w:r>
    </w:p>
    <w:p w14:paraId="122B547D" w14:textId="77777777" w:rsidR="002239A5" w:rsidRPr="00380B40" w:rsidRDefault="002239A5" w:rsidP="002239A5">
      <w:pPr>
        <w:rPr>
          <w:lang w:val="en-GB" w:eastAsia="af-ZA"/>
        </w:rPr>
      </w:pPr>
      <w:r w:rsidRPr="00380B40">
        <w:rPr>
          <w:lang w:val="en-GB" w:eastAsia="af-ZA"/>
        </w:rPr>
        <w:t>2</w:t>
      </w:r>
      <w:r w:rsidRPr="00380B40">
        <w:rPr>
          <w:lang w:val="en-GB" w:eastAsia="af-ZA"/>
        </w:rPr>
        <w:tab/>
        <w:t xml:space="preserve">to study QoS and QoE evaluation scenarios, measurement strategies, mapping, visualization and testing tools, and publication mechanisms, to be adopted by regulators and operators; </w:t>
      </w:r>
    </w:p>
    <w:p w14:paraId="2354F330" w14:textId="77777777" w:rsidR="00BB0DB7" w:rsidRPr="00380B40" w:rsidRDefault="00BB0DB7" w:rsidP="002239A5">
      <w:pPr>
        <w:rPr>
          <w:lang w:val="en-GB" w:eastAsia="af-ZA"/>
        </w:rPr>
      </w:pPr>
      <w:r w:rsidRPr="00380B40">
        <w:rPr>
          <w:lang w:val="en-GB" w:eastAsia="af-ZA"/>
        </w:rPr>
        <w:br w:type="page"/>
      </w:r>
    </w:p>
    <w:p w14:paraId="0D023F9F" w14:textId="77777777" w:rsidR="002239A5" w:rsidRPr="00380B40" w:rsidRDefault="002239A5" w:rsidP="002239A5">
      <w:pPr>
        <w:rPr>
          <w:lang w:val="en-GB" w:eastAsia="af-ZA"/>
        </w:rPr>
      </w:pPr>
      <w:r w:rsidRPr="00380B40">
        <w:rPr>
          <w:lang w:val="en-GB" w:eastAsia="af-ZA"/>
        </w:rPr>
        <w:t>3</w:t>
      </w:r>
      <w:r w:rsidRPr="00380B40">
        <w:rPr>
          <w:lang w:val="en-GB" w:eastAsia="af-ZA"/>
        </w:rPr>
        <w:tab/>
      </w:r>
      <w:r w:rsidRPr="00380B40">
        <w:rPr>
          <w:lang w:val="en-GB"/>
        </w:rPr>
        <w:t>to study and provide guidance to regulators in regard to sampling methodologies for QoS measurements at the local, national and global level;</w:t>
      </w:r>
    </w:p>
    <w:p w14:paraId="2A4F7FAB" w14:textId="77777777" w:rsidR="002239A5" w:rsidRPr="00380B40" w:rsidRDefault="002239A5" w:rsidP="002239A5">
      <w:pPr>
        <w:rPr>
          <w:lang w:val="en-GB" w:eastAsia="af-ZA"/>
        </w:rPr>
      </w:pPr>
      <w:r w:rsidRPr="00380B40">
        <w:rPr>
          <w:lang w:val="en-GB" w:eastAsia="af-ZA"/>
        </w:rPr>
        <w:t>4</w:t>
      </w:r>
      <w:r w:rsidRPr="00380B40">
        <w:rPr>
          <w:lang w:val="en-GB" w:eastAsia="af-ZA"/>
        </w:rPr>
        <w:tab/>
        <w:t xml:space="preserve">to provide references relating to minimal satisfactory key performance and key quality indicators for evaluating the quality of </w:t>
      </w:r>
      <w:r w:rsidRPr="00380B40">
        <w:rPr>
          <w:lang w:val="en-GB"/>
        </w:rPr>
        <w:t>services</w:t>
      </w:r>
      <w:r w:rsidRPr="00380B40">
        <w:rPr>
          <w:lang w:val="en-GB" w:eastAsia="af-ZA"/>
        </w:rPr>
        <w:t>;</w:t>
      </w:r>
    </w:p>
    <w:p w14:paraId="46E192D8" w14:textId="77777777" w:rsidR="002239A5" w:rsidRPr="00380B40" w:rsidRDefault="002239A5" w:rsidP="002239A5">
      <w:pPr>
        <w:rPr>
          <w:lang w:val="en-GB"/>
        </w:rPr>
      </w:pPr>
      <w:r w:rsidRPr="00380B40">
        <w:rPr>
          <w:lang w:val="en-GB"/>
        </w:rPr>
        <w:t>5</w:t>
      </w:r>
      <w:r w:rsidRPr="00380B40">
        <w:rPr>
          <w:lang w:val="en-GB"/>
        </w:rPr>
        <w:tab/>
        <w:t>to implement strategies to raise participation of developing and developed countries from all regions in all their activities,</w:t>
      </w:r>
    </w:p>
    <w:p w14:paraId="56CB4C7F" w14:textId="77777777" w:rsidR="002239A5" w:rsidRPr="00380B40" w:rsidRDefault="002239A5" w:rsidP="002239A5">
      <w:pPr>
        <w:pStyle w:val="Call"/>
        <w:rPr>
          <w:lang w:val="en-GB"/>
        </w:rPr>
      </w:pPr>
      <w:r w:rsidRPr="00380B40">
        <w:rPr>
          <w:lang w:val="en-GB"/>
        </w:rPr>
        <w:t>invites the membership</w:t>
      </w:r>
    </w:p>
    <w:p w14:paraId="504290C8" w14:textId="77777777" w:rsidR="002239A5" w:rsidRPr="00380B40" w:rsidRDefault="002239A5" w:rsidP="002239A5">
      <w:pPr>
        <w:rPr>
          <w:lang w:val="en-GB"/>
        </w:rPr>
      </w:pPr>
      <w:r w:rsidRPr="00380B40">
        <w:rPr>
          <w:lang w:val="en-GB"/>
        </w:rPr>
        <w:t>1</w:t>
      </w:r>
      <w:r w:rsidRPr="00380B40">
        <w:rPr>
          <w:lang w:val="en-GB"/>
        </w:rPr>
        <w:tab/>
        <w:t>to collaborate with ITU</w:t>
      </w:r>
      <w:r w:rsidRPr="00380B40">
        <w:rPr>
          <w:lang w:val="en-GB"/>
        </w:rPr>
        <w:noBreakHyphen/>
        <w:t>T in implementing this resolution;</w:t>
      </w:r>
    </w:p>
    <w:p w14:paraId="24B93109" w14:textId="77777777" w:rsidR="002239A5" w:rsidRPr="00380B40" w:rsidRDefault="002239A5" w:rsidP="002239A5">
      <w:pPr>
        <w:rPr>
          <w:lang w:val="en-GB"/>
        </w:rPr>
      </w:pPr>
      <w:r w:rsidRPr="00380B40">
        <w:rPr>
          <w:lang w:val="en-GB"/>
        </w:rPr>
        <w:t>2</w:t>
      </w:r>
      <w:r w:rsidRPr="00380B40">
        <w:rPr>
          <w:lang w:val="en-GB"/>
        </w:rPr>
        <w:tab/>
        <w:t>to participate in Study Group 12 and QSDG initiatives by providing contributions, expertise, knowledge and practical experiences relating to the work of Study Group 12.</w:t>
      </w:r>
    </w:p>
    <w:p w14:paraId="6F9ADAB7" w14:textId="77777777" w:rsidR="000579ED" w:rsidRPr="00380B40"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2C5A461" w14:textId="77777777" w:rsidR="00BB0DB7" w:rsidRPr="00380B40" w:rsidRDefault="00BB0DB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33FE77F" w14:textId="77777777" w:rsidR="00BB0DB7" w:rsidRPr="00380B40" w:rsidRDefault="00BB0DB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5A0A6D7" w14:textId="77777777" w:rsidR="00BB0DB7" w:rsidRPr="00380B40" w:rsidRDefault="00BB0DB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F2D4652" w14:textId="77777777" w:rsidR="00BB0DB7" w:rsidRPr="00380B40" w:rsidRDefault="00BB0DB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6EF84D1" w14:textId="77777777" w:rsidR="00BB0DB7" w:rsidRPr="00380B40" w:rsidRDefault="00BB0DB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DC71545" w14:textId="77777777" w:rsidR="00BB0DB7" w:rsidRPr="00380B40" w:rsidRDefault="00BB0DB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98805FB" w14:textId="77777777" w:rsidR="00BB0DB7" w:rsidRPr="00380B40" w:rsidRDefault="00BB0DB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25A4938" w14:textId="77777777" w:rsidR="00BB0DB7" w:rsidRPr="00380B40" w:rsidRDefault="00BB0DB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CB7DDC8" w14:textId="77777777" w:rsidR="00BB0DB7" w:rsidRPr="00380B40" w:rsidRDefault="00BB0DB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4C425D5" w14:textId="77777777" w:rsidR="00BB0DB7" w:rsidRPr="00380B40" w:rsidRDefault="00BB0DB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3EC5709" w14:textId="77777777" w:rsidR="00BB0DB7" w:rsidRPr="00380B40" w:rsidRDefault="00BB0DB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CD3DB5F" w14:textId="77777777" w:rsidR="00BB0DB7" w:rsidRPr="00380B40" w:rsidRDefault="00BB0DB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693A2F4" w14:textId="77777777" w:rsidR="000579ED" w:rsidRPr="00380B40"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8DF4381" w14:textId="77777777" w:rsidR="00D6176B" w:rsidRPr="00380B40" w:rsidRDefault="00D6176B" w:rsidP="00D6176B">
      <w:pPr>
        <w:rPr>
          <w:lang w:val="en-GB"/>
        </w:rPr>
      </w:pPr>
    </w:p>
    <w:p w14:paraId="282D960A" w14:textId="77777777" w:rsidR="00D6176B" w:rsidRPr="00380B40" w:rsidRDefault="00D6176B" w:rsidP="00D6176B">
      <w:pPr>
        <w:rPr>
          <w:lang w:val="en-GB"/>
        </w:rPr>
        <w:sectPr w:rsidR="00D6176B" w:rsidRPr="00380B40" w:rsidSect="00CC5E14">
          <w:headerReference w:type="even" r:id="rId322"/>
          <w:headerReference w:type="default" r:id="rId323"/>
          <w:footerReference w:type="even" r:id="rId324"/>
          <w:footerReference w:type="default" r:id="rId325"/>
          <w:headerReference w:type="first" r:id="rId326"/>
          <w:footerReference w:type="first" r:id="rId327"/>
          <w:footnotePr>
            <w:numRestart w:val="eachSect"/>
          </w:footnotePr>
          <w:pgSz w:w="11907" w:h="16834" w:code="9"/>
          <w:pgMar w:top="1134" w:right="1134" w:bottom="1134" w:left="1134" w:header="567" w:footer="567" w:gutter="0"/>
          <w:paperSrc w:first="15" w:other="15"/>
          <w:cols w:space="720"/>
          <w:vAlign w:val="both"/>
          <w:docGrid w:linePitch="299"/>
        </w:sectPr>
      </w:pPr>
    </w:p>
    <w:p w14:paraId="77E1BFF1" w14:textId="77777777" w:rsidR="00596570" w:rsidRPr="00380B40" w:rsidRDefault="00596570" w:rsidP="00596570">
      <w:pPr>
        <w:pStyle w:val="ResNo"/>
        <w:rPr>
          <w:lang w:val="en-GB"/>
        </w:rPr>
      </w:pPr>
      <w:bookmarkStart w:id="472" w:name="_Toc104459799"/>
      <w:bookmarkStart w:id="473" w:name="_Toc104476607"/>
      <w:bookmarkStart w:id="474" w:name="_Toc111636813"/>
      <w:bookmarkStart w:id="475" w:name="_Toc111638500"/>
      <w:r w:rsidRPr="00380B40">
        <w:rPr>
          <w:lang w:val="en-GB"/>
        </w:rPr>
        <w:t xml:space="preserve">RESOLUTION </w:t>
      </w:r>
      <w:r w:rsidRPr="00380B40">
        <w:rPr>
          <w:rStyle w:val="href"/>
          <w:lang w:val="en-GB"/>
        </w:rPr>
        <w:t>96</w:t>
      </w:r>
      <w:r w:rsidRPr="00380B40">
        <w:rPr>
          <w:lang w:val="en-GB"/>
        </w:rPr>
        <w:t xml:space="preserve"> (</w:t>
      </w:r>
      <w:r w:rsidRPr="00380B40">
        <w:rPr>
          <w:caps w:val="0"/>
          <w:lang w:val="en-GB"/>
        </w:rPr>
        <w:t>Hammamet</w:t>
      </w:r>
      <w:r w:rsidRPr="00380B40">
        <w:rPr>
          <w:lang w:val="en-GB"/>
        </w:rPr>
        <w:t>, 2016)</w:t>
      </w:r>
      <w:bookmarkEnd w:id="472"/>
      <w:bookmarkEnd w:id="473"/>
      <w:bookmarkEnd w:id="474"/>
      <w:bookmarkEnd w:id="475"/>
    </w:p>
    <w:p w14:paraId="2A8D773D" w14:textId="77777777" w:rsidR="00596570" w:rsidRPr="00380B40" w:rsidRDefault="00596570" w:rsidP="00596570">
      <w:pPr>
        <w:pStyle w:val="Restitle"/>
        <w:rPr>
          <w:lang w:val="en-GB"/>
        </w:rPr>
      </w:pPr>
      <w:bookmarkStart w:id="476" w:name="_Toc104459800"/>
      <w:bookmarkStart w:id="477" w:name="_Toc104476608"/>
      <w:bookmarkStart w:id="478" w:name="_Toc111638501"/>
      <w:r w:rsidRPr="00380B40">
        <w:rPr>
          <w:lang w:val="en-GB"/>
        </w:rPr>
        <w:t xml:space="preserve">ITU Telecommunication Standardization Sector studies for combating counterfeit telecommunication/information and communication </w:t>
      </w:r>
      <w:r w:rsidRPr="00380B40">
        <w:rPr>
          <w:lang w:val="en-GB"/>
        </w:rPr>
        <w:br/>
        <w:t>technology devices</w:t>
      </w:r>
      <w:bookmarkEnd w:id="476"/>
      <w:bookmarkEnd w:id="477"/>
      <w:bookmarkEnd w:id="478"/>
    </w:p>
    <w:p w14:paraId="10242E36" w14:textId="77777777" w:rsidR="00596570" w:rsidRPr="00380B40" w:rsidRDefault="00596570" w:rsidP="00596570">
      <w:pPr>
        <w:pStyle w:val="Resref"/>
        <w:rPr>
          <w:lang w:val="en-GB"/>
        </w:rPr>
      </w:pPr>
      <w:r w:rsidRPr="00380B40">
        <w:rPr>
          <w:lang w:val="en-GB"/>
        </w:rPr>
        <w:t>(Hammamet, 2016)</w:t>
      </w:r>
    </w:p>
    <w:p w14:paraId="570D994B" w14:textId="77777777" w:rsidR="00596570" w:rsidRPr="00380B40" w:rsidRDefault="00596570" w:rsidP="00596570">
      <w:pPr>
        <w:pStyle w:val="Normalaftertitle0"/>
      </w:pPr>
      <w:r w:rsidRPr="00380B40">
        <w:t>The World Telecommunication Standardization Assembly (Hammamet, 2016),</w:t>
      </w:r>
    </w:p>
    <w:p w14:paraId="3FBEBD9E" w14:textId="77777777" w:rsidR="00596570" w:rsidRPr="00380B40" w:rsidRDefault="00596570" w:rsidP="00596570">
      <w:pPr>
        <w:pStyle w:val="Call"/>
        <w:rPr>
          <w:lang w:val="en-GB"/>
        </w:rPr>
      </w:pPr>
      <w:r w:rsidRPr="00380B40">
        <w:rPr>
          <w:lang w:val="en-GB"/>
        </w:rPr>
        <w:t>recalling</w:t>
      </w:r>
    </w:p>
    <w:p w14:paraId="137D3B68" w14:textId="77777777" w:rsidR="00596570" w:rsidRPr="00380B40" w:rsidRDefault="00596570" w:rsidP="00596570">
      <w:pPr>
        <w:rPr>
          <w:lang w:val="en-GB"/>
        </w:rPr>
      </w:pPr>
      <w:r w:rsidRPr="00380B40">
        <w:rPr>
          <w:i/>
          <w:iCs/>
          <w:lang w:val="en-GB"/>
        </w:rPr>
        <w:t>a)</w:t>
      </w:r>
      <w:r w:rsidRPr="00380B40">
        <w:rPr>
          <w:lang w:val="en-GB"/>
        </w:rPr>
        <w:tab/>
        <w:t>Resolution 188 (Busan, 2014) of the Plenipotentiary Conference, on combating counterfeit telecommunication/information and communication technology (ICT) devices;</w:t>
      </w:r>
    </w:p>
    <w:p w14:paraId="465CB290" w14:textId="77777777" w:rsidR="00596570" w:rsidRPr="00380B40" w:rsidRDefault="00596570" w:rsidP="00596570">
      <w:pPr>
        <w:rPr>
          <w:lang w:val="en-GB"/>
        </w:rPr>
      </w:pPr>
      <w:r w:rsidRPr="00380B40">
        <w:rPr>
          <w:i/>
          <w:iCs/>
          <w:lang w:val="en-GB"/>
        </w:rPr>
        <w:t>b)</w:t>
      </w:r>
      <w:r w:rsidRPr="00380B40">
        <w:rPr>
          <w:lang w:val="en-GB"/>
        </w:rPr>
        <w:tab/>
        <w:t>Resolution 177 (Rev. Busan, 2014) of the Plenipotentiary Conference, on conformance and interoperability (C&amp;I);</w:t>
      </w:r>
    </w:p>
    <w:p w14:paraId="6D3B177A" w14:textId="77777777" w:rsidR="00596570" w:rsidRPr="00380B40" w:rsidRDefault="00596570" w:rsidP="00596570">
      <w:pPr>
        <w:rPr>
          <w:lang w:val="en-GB"/>
        </w:rPr>
      </w:pPr>
      <w:r w:rsidRPr="00380B40">
        <w:rPr>
          <w:i/>
          <w:iCs/>
          <w:lang w:val="en-GB"/>
        </w:rPr>
        <w:t>c)</w:t>
      </w:r>
      <w:r w:rsidRPr="00380B40">
        <w:rPr>
          <w:lang w:val="en-GB"/>
        </w:rPr>
        <w:tab/>
        <w:t>Resolution 176 (Rev. Busan, 2014) of the Plenipotentiary Conference, on human exposure to and measurement of electromagnetic fields (EMF);</w:t>
      </w:r>
    </w:p>
    <w:p w14:paraId="0F008302" w14:textId="77777777" w:rsidR="00596570" w:rsidRPr="00380B40" w:rsidRDefault="00596570" w:rsidP="00596570">
      <w:pPr>
        <w:rPr>
          <w:lang w:val="en-GB"/>
        </w:rPr>
      </w:pPr>
      <w:r w:rsidRPr="00380B40">
        <w:rPr>
          <w:i/>
          <w:iCs/>
          <w:lang w:val="en-GB"/>
        </w:rPr>
        <w:t>d)</w:t>
      </w:r>
      <w:r w:rsidRPr="00380B40">
        <w:rPr>
          <w:lang w:val="en-GB"/>
        </w:rPr>
        <w:tab/>
        <w:t>Resolution 79 (Dubai, 2014) of the World Telecommunication Development Conference (WTDC), on the role of telecommunications/ICT in combating and dealing with counterfeit telecommunication/lCT devices;</w:t>
      </w:r>
    </w:p>
    <w:p w14:paraId="21AE958E" w14:textId="77777777" w:rsidR="00596570" w:rsidRPr="00380B40" w:rsidRDefault="00596570" w:rsidP="00596570">
      <w:pPr>
        <w:rPr>
          <w:lang w:val="en-GB"/>
        </w:rPr>
      </w:pPr>
      <w:r w:rsidRPr="00380B40">
        <w:rPr>
          <w:i/>
          <w:iCs/>
          <w:lang w:val="en-GB"/>
        </w:rPr>
        <w:t>e)</w:t>
      </w:r>
      <w:r w:rsidRPr="00380B40">
        <w:rPr>
          <w:lang w:val="en-GB"/>
        </w:rPr>
        <w:tab/>
        <w:t>Resolution 47 (Rev. Dubai, 2014) of WTDC, on enhancement of knowledge and effective application of ITU Recommendations in developing countries</w:t>
      </w:r>
      <w:r w:rsidR="00FD162E" w:rsidRPr="00380B40">
        <w:rPr>
          <w:rStyle w:val="FootnoteReference"/>
          <w:lang w:val="en-GB"/>
        </w:rPr>
        <w:footnoteReference w:id="56"/>
      </w:r>
      <w:r w:rsidRPr="00380B40">
        <w:rPr>
          <w:lang w:val="en-GB"/>
        </w:rPr>
        <w:t>, including C&amp;I testing of systems manufactured on the basis of ITU Recommendations;</w:t>
      </w:r>
    </w:p>
    <w:p w14:paraId="41AC3A68" w14:textId="77777777" w:rsidR="00596570" w:rsidRPr="00380B40" w:rsidRDefault="00596570" w:rsidP="00596570">
      <w:pPr>
        <w:rPr>
          <w:lang w:val="en-GB"/>
        </w:rPr>
      </w:pPr>
      <w:r w:rsidRPr="00380B40">
        <w:rPr>
          <w:i/>
          <w:iCs/>
          <w:lang w:val="en-GB"/>
        </w:rPr>
        <w:t>f)</w:t>
      </w:r>
      <w:r w:rsidRPr="00380B40">
        <w:rPr>
          <w:lang w:val="en-GB"/>
        </w:rPr>
        <w:tab/>
        <w:t>Resolution 72 (Rev. Hammamet, 2016) of this assembly, on measurement concerns related to human exposure to EMF;</w:t>
      </w:r>
    </w:p>
    <w:p w14:paraId="07498F1C" w14:textId="77777777" w:rsidR="00596570" w:rsidRPr="00380B40" w:rsidRDefault="00596570" w:rsidP="00596570">
      <w:pPr>
        <w:rPr>
          <w:lang w:val="en-GB"/>
        </w:rPr>
      </w:pPr>
      <w:r w:rsidRPr="00380B40">
        <w:rPr>
          <w:i/>
          <w:iCs/>
          <w:lang w:val="en-GB"/>
        </w:rPr>
        <w:t>g)</w:t>
      </w:r>
      <w:r w:rsidRPr="00380B40">
        <w:rPr>
          <w:lang w:val="en-GB"/>
        </w:rPr>
        <w:tab/>
        <w:t>Resolution 62 (Rev. Dubai, 2014) of WTDC, on measurement concerns related to human exposure to EMF;</w:t>
      </w:r>
    </w:p>
    <w:p w14:paraId="2C03EB28" w14:textId="77777777" w:rsidR="00596570" w:rsidRPr="00380B40" w:rsidRDefault="00596570" w:rsidP="00596570">
      <w:pPr>
        <w:rPr>
          <w:i/>
          <w:iCs/>
          <w:lang w:val="en-GB"/>
        </w:rPr>
      </w:pPr>
      <w:r w:rsidRPr="00380B40">
        <w:rPr>
          <w:i/>
          <w:iCs/>
          <w:lang w:val="en-GB"/>
        </w:rPr>
        <w:t>h)</w:t>
      </w:r>
      <w:r w:rsidRPr="00380B40">
        <w:rPr>
          <w:lang w:val="en-GB"/>
        </w:rPr>
        <w:tab/>
        <w:t>Resolution 182 (Rev. Busan, 2014) of the Plenipotentiary Conference, on the role of telecommunications/ICT in regard to climate change and the protection of the environment;</w:t>
      </w:r>
    </w:p>
    <w:p w14:paraId="2D612A09" w14:textId="77777777" w:rsidR="00596570" w:rsidRPr="00380B40" w:rsidRDefault="00596570" w:rsidP="00596570">
      <w:pPr>
        <w:rPr>
          <w:lang w:val="en-GB"/>
        </w:rPr>
      </w:pPr>
      <w:r w:rsidRPr="00380B40">
        <w:rPr>
          <w:i/>
          <w:iCs/>
          <w:lang w:val="en-GB"/>
        </w:rPr>
        <w:t>i)</w:t>
      </w:r>
      <w:r w:rsidRPr="00380B40">
        <w:rPr>
          <w:lang w:val="en-GB"/>
        </w:rPr>
        <w:tab/>
        <w:t>that this assembly has adopted Resolution 76 (Rev. Hammamet, 2016), on studies related to conformance and interoperability testing, assistance to developing countries, and a possible future ITU Mark programme;</w:t>
      </w:r>
    </w:p>
    <w:p w14:paraId="03966035" w14:textId="77777777" w:rsidR="00596570" w:rsidRPr="00380B40" w:rsidRDefault="00596570" w:rsidP="00596570">
      <w:pPr>
        <w:rPr>
          <w:lang w:val="en-GB"/>
        </w:rPr>
      </w:pPr>
      <w:r w:rsidRPr="00380B40">
        <w:rPr>
          <w:i/>
          <w:iCs/>
          <w:lang w:val="en-GB"/>
        </w:rPr>
        <w:t>j)</w:t>
      </w:r>
      <w:r w:rsidRPr="00380B40">
        <w:rPr>
          <w:lang w:val="en-GB"/>
        </w:rPr>
        <w:tab/>
        <w:t>Resolution 79 (Dubai, 2012) of the World Telecommunication Standardization Assembly, on the role of telecommunications/information and communication technologies in handling and controlling e-waste from telecommunication and information technology equipment and methods of treating it,</w:t>
      </w:r>
    </w:p>
    <w:p w14:paraId="3AF588ED" w14:textId="77777777" w:rsidR="000579ED" w:rsidRPr="00380B40" w:rsidRDefault="000579ED">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sidRPr="00380B40">
        <w:rPr>
          <w:lang w:val="en-GB"/>
        </w:rPr>
        <w:br w:type="page"/>
      </w:r>
    </w:p>
    <w:p w14:paraId="7892C45C" w14:textId="77777777" w:rsidR="00596570" w:rsidRPr="00380B40" w:rsidRDefault="00596570" w:rsidP="00596570">
      <w:pPr>
        <w:pStyle w:val="Call"/>
        <w:rPr>
          <w:lang w:val="en-GB"/>
        </w:rPr>
      </w:pPr>
      <w:r w:rsidRPr="00380B40">
        <w:rPr>
          <w:lang w:val="en-GB"/>
        </w:rPr>
        <w:t>recognizing</w:t>
      </w:r>
    </w:p>
    <w:p w14:paraId="3183FC94" w14:textId="77777777" w:rsidR="00596570" w:rsidRPr="00380B40" w:rsidRDefault="00596570" w:rsidP="00596570">
      <w:pPr>
        <w:rPr>
          <w:lang w:val="en-GB"/>
        </w:rPr>
      </w:pPr>
      <w:r w:rsidRPr="00380B40">
        <w:rPr>
          <w:i/>
          <w:iCs/>
          <w:lang w:val="en-GB"/>
        </w:rPr>
        <w:t>a)</w:t>
      </w:r>
      <w:r w:rsidRPr="00380B40">
        <w:rPr>
          <w:lang w:val="en-GB"/>
        </w:rPr>
        <w:tab/>
        <w:t>the noticeably growing sales and circulation of counterfeit and tampered telecommunication/lCT devices in the markets, which have an adverse impact on governments, manufacturers, vendors, operators and consumers through: loss of revenues, erosion of brand value/intellectual property rights and reputation, network disruptions, poor quality of service (QoS) and potential hazard to public health and safety as well as the environmental e-waste;</w:t>
      </w:r>
    </w:p>
    <w:p w14:paraId="2F7D76AF" w14:textId="77777777" w:rsidR="00596570" w:rsidRPr="00380B40" w:rsidRDefault="00596570" w:rsidP="00596570">
      <w:pPr>
        <w:rPr>
          <w:lang w:val="en-GB"/>
        </w:rPr>
      </w:pPr>
      <w:r w:rsidRPr="00380B40">
        <w:rPr>
          <w:i/>
          <w:iCs/>
          <w:lang w:val="en-GB"/>
        </w:rPr>
        <w:t>b)</w:t>
      </w:r>
      <w:r w:rsidRPr="00380B40">
        <w:rPr>
          <w:lang w:val="en-GB"/>
        </w:rPr>
        <w:tab/>
        <w:t>that counterfeit and tampered telecommunication/lCT devices may negatively impact on security and privacy for users;</w:t>
      </w:r>
    </w:p>
    <w:p w14:paraId="7B3EE4E6" w14:textId="77777777" w:rsidR="00596570" w:rsidRPr="00380B40" w:rsidRDefault="00596570" w:rsidP="00596570">
      <w:pPr>
        <w:rPr>
          <w:lang w:val="en-GB"/>
        </w:rPr>
      </w:pPr>
      <w:r w:rsidRPr="00380B40">
        <w:rPr>
          <w:i/>
          <w:iCs/>
          <w:lang w:val="en-GB"/>
        </w:rPr>
        <w:t>c)</w:t>
      </w:r>
      <w:r w:rsidRPr="00380B40">
        <w:rPr>
          <w:lang w:val="en-GB"/>
        </w:rPr>
        <w:tab/>
        <w:t>that counterfeit and tampered telecommunication/ICT devices often contain illegal and unacceptable levels of hazardous substances, threatening consumers and the environment;</w:t>
      </w:r>
    </w:p>
    <w:p w14:paraId="36E036C7" w14:textId="77777777" w:rsidR="00596570" w:rsidRPr="00380B40" w:rsidRDefault="00596570" w:rsidP="00596570">
      <w:pPr>
        <w:rPr>
          <w:lang w:val="en-GB"/>
        </w:rPr>
      </w:pPr>
      <w:r w:rsidRPr="00380B40">
        <w:rPr>
          <w:i/>
          <w:iCs/>
          <w:lang w:val="en-GB"/>
        </w:rPr>
        <w:t>d)</w:t>
      </w:r>
      <w:r w:rsidRPr="00380B40">
        <w:rPr>
          <w:lang w:val="en-GB"/>
        </w:rPr>
        <w:tab/>
        <w:t>that some countries have conducted awareness campaigns on counterfeit and tampered device issues and deployed successful solutions including regulations in their markets to deter the spread of counterfeit and tampered telecommunication/lCT devices, which could be taken by other countries as useful experiences and case studies;</w:t>
      </w:r>
    </w:p>
    <w:p w14:paraId="52A2476F" w14:textId="77777777" w:rsidR="00596570" w:rsidRPr="00380B40" w:rsidRDefault="00596570" w:rsidP="00596570">
      <w:pPr>
        <w:rPr>
          <w:lang w:val="en-GB"/>
        </w:rPr>
      </w:pPr>
      <w:r w:rsidRPr="00380B40">
        <w:rPr>
          <w:i/>
          <w:iCs/>
          <w:lang w:val="en-GB"/>
        </w:rPr>
        <w:t>e)</w:t>
      </w:r>
      <w:r w:rsidRPr="00380B40">
        <w:rPr>
          <w:lang w:val="en-GB"/>
        </w:rPr>
        <w:tab/>
        <w:t xml:space="preserve">that countries face significant challenges in finding effective solutions to combat counterfeit and tampered telecommunication/ICT devices, given the innovative and creative ways used by persons engaged in this illicit activity to evade enforcement/legal measures; </w:t>
      </w:r>
    </w:p>
    <w:p w14:paraId="369B50AE" w14:textId="77777777" w:rsidR="00596570" w:rsidRPr="00380B40" w:rsidRDefault="00596570" w:rsidP="00596570">
      <w:pPr>
        <w:rPr>
          <w:lang w:val="en-GB"/>
        </w:rPr>
      </w:pPr>
      <w:r w:rsidRPr="00380B40">
        <w:rPr>
          <w:i/>
          <w:iCs/>
          <w:lang w:val="en-GB"/>
        </w:rPr>
        <w:t>f)</w:t>
      </w:r>
      <w:r w:rsidRPr="00380B40">
        <w:rPr>
          <w:lang w:val="en-GB"/>
        </w:rPr>
        <w:tab/>
        <w:t>that ITU's Conformity and Interoperability and Bridging Standardization Gap programmes are intended to add value, by bringing clarity to standardization processes and product conformity with international standards;</w:t>
      </w:r>
    </w:p>
    <w:p w14:paraId="7F72F780" w14:textId="77777777" w:rsidR="00596570" w:rsidRPr="00380B40" w:rsidRDefault="00596570" w:rsidP="00596570">
      <w:pPr>
        <w:rPr>
          <w:lang w:val="en-GB"/>
        </w:rPr>
      </w:pPr>
      <w:r w:rsidRPr="00380B40">
        <w:rPr>
          <w:i/>
          <w:iCs/>
          <w:lang w:val="en-GB"/>
        </w:rPr>
        <w:t>g)</w:t>
      </w:r>
      <w:r w:rsidRPr="00380B40">
        <w:rPr>
          <w:lang w:val="en-GB"/>
        </w:rPr>
        <w:tab/>
        <w:t>that providing interoperability, safety and reliability should be a key objective of ITU Recommendations;</w:t>
      </w:r>
    </w:p>
    <w:p w14:paraId="788DF6F6" w14:textId="77777777" w:rsidR="00596570" w:rsidRPr="00380B40" w:rsidRDefault="00596570" w:rsidP="00596570">
      <w:pPr>
        <w:rPr>
          <w:lang w:val="en-GB"/>
        </w:rPr>
      </w:pPr>
      <w:r w:rsidRPr="00380B40">
        <w:rPr>
          <w:i/>
          <w:iCs/>
          <w:lang w:val="en-GB"/>
        </w:rPr>
        <w:t>h)</w:t>
      </w:r>
      <w:r w:rsidRPr="00380B40">
        <w:rPr>
          <w:lang w:val="en-GB"/>
        </w:rPr>
        <w:tab/>
        <w:t>the ongoing work of ITU Telecommunication Standardization Sector (ITU</w:t>
      </w:r>
      <w:r w:rsidRPr="00380B40">
        <w:rPr>
          <w:lang w:val="en-GB"/>
        </w:rPr>
        <w:noBreakHyphen/>
        <w:t>T) Study Group 11 as the leading expert in the study of combating counterfeit and tampered telecommunication/ICT devices at ITU;</w:t>
      </w:r>
    </w:p>
    <w:p w14:paraId="7948392B" w14:textId="77777777" w:rsidR="00596570" w:rsidRPr="00380B40" w:rsidRDefault="00596570" w:rsidP="00596570">
      <w:pPr>
        <w:rPr>
          <w:i/>
          <w:lang w:val="en-GB"/>
        </w:rPr>
      </w:pPr>
      <w:r w:rsidRPr="00380B40">
        <w:rPr>
          <w:i/>
          <w:iCs/>
          <w:lang w:val="en-GB"/>
        </w:rPr>
        <w:t>i)</w:t>
      </w:r>
      <w:r w:rsidRPr="00380B40">
        <w:rPr>
          <w:lang w:val="en-GB"/>
        </w:rPr>
        <w:tab/>
        <w:t>that industry initiatives have been created to coordinate activity between operators, manufacturers and consumers,</w:t>
      </w:r>
    </w:p>
    <w:p w14:paraId="62C625EC" w14:textId="77777777" w:rsidR="00596570" w:rsidRPr="00380B40" w:rsidRDefault="00596570" w:rsidP="00596570">
      <w:pPr>
        <w:pStyle w:val="Call"/>
        <w:rPr>
          <w:lang w:val="en-GB"/>
        </w:rPr>
      </w:pPr>
      <w:r w:rsidRPr="00380B40">
        <w:rPr>
          <w:lang w:val="en-GB"/>
        </w:rPr>
        <w:t>recognizing further</w:t>
      </w:r>
    </w:p>
    <w:p w14:paraId="66A9BFF3" w14:textId="77777777" w:rsidR="00596570" w:rsidRPr="00380B40" w:rsidRDefault="00596570" w:rsidP="00596570">
      <w:pPr>
        <w:rPr>
          <w:lang w:val="en-GB"/>
        </w:rPr>
      </w:pPr>
      <w:r w:rsidRPr="00380B40">
        <w:rPr>
          <w:i/>
          <w:iCs/>
          <w:lang w:val="en-GB"/>
        </w:rPr>
        <w:t>a)</w:t>
      </w:r>
      <w:r w:rsidRPr="00380B40">
        <w:rPr>
          <w:lang w:val="en-GB"/>
        </w:rPr>
        <w:tab/>
        <w:t>that some countries, with the growing market for mobile devices, rely on unique device identifiers, such as International Mobile Equipment Identity (IMEI) in the Equipment Identity Register (EIR), to limit and deter the proliferation of counterfeit and tampered mobile devices;</w:t>
      </w:r>
    </w:p>
    <w:p w14:paraId="1935B8BA" w14:textId="77777777" w:rsidR="00596570" w:rsidRPr="00380B40" w:rsidRDefault="00596570" w:rsidP="00596570">
      <w:pPr>
        <w:rPr>
          <w:lang w:val="en-GB"/>
        </w:rPr>
      </w:pPr>
      <w:r w:rsidRPr="00380B40">
        <w:rPr>
          <w:i/>
          <w:iCs/>
          <w:lang w:val="en-GB"/>
        </w:rPr>
        <w:t>b)</w:t>
      </w:r>
      <w:r w:rsidRPr="00380B40">
        <w:rPr>
          <w:lang w:val="en-GB"/>
        </w:rPr>
        <w:tab/>
        <w:t>that, as stated in Resolution 188 (Busan, 2014), Recommendation ITU</w:t>
      </w:r>
      <w:r w:rsidRPr="00380B40">
        <w:rPr>
          <w:lang w:val="en-GB"/>
        </w:rPr>
        <w:noBreakHyphen/>
        <w:t>T X.1255, which is based on the digital object architecture, provides a framework for discovery of identity management information,</w:t>
      </w:r>
    </w:p>
    <w:p w14:paraId="3CFC7D2E" w14:textId="77777777" w:rsidR="000579ED" w:rsidRPr="00380B40" w:rsidRDefault="000579ED">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sidRPr="00380B40">
        <w:rPr>
          <w:lang w:val="en-GB"/>
        </w:rPr>
        <w:br w:type="page"/>
      </w:r>
    </w:p>
    <w:p w14:paraId="3D5B1DBC" w14:textId="77777777" w:rsidR="00596570" w:rsidRPr="00380B40" w:rsidRDefault="00596570" w:rsidP="00596570">
      <w:pPr>
        <w:pStyle w:val="Call"/>
        <w:rPr>
          <w:lang w:val="en-GB"/>
        </w:rPr>
      </w:pPr>
      <w:r w:rsidRPr="00380B40">
        <w:rPr>
          <w:lang w:val="en-GB"/>
        </w:rPr>
        <w:t xml:space="preserve">noting </w:t>
      </w:r>
    </w:p>
    <w:p w14:paraId="6B908ED5" w14:textId="77777777" w:rsidR="00596570" w:rsidRPr="00380B40" w:rsidRDefault="00596570" w:rsidP="00596570">
      <w:pPr>
        <w:rPr>
          <w:lang w:val="en-GB"/>
        </w:rPr>
      </w:pPr>
      <w:r w:rsidRPr="00380B40">
        <w:rPr>
          <w:i/>
          <w:iCs/>
          <w:lang w:val="en-GB"/>
        </w:rPr>
        <w:t>a)</w:t>
      </w:r>
      <w:r w:rsidRPr="00380B40">
        <w:rPr>
          <w:lang w:val="en-GB"/>
        </w:rPr>
        <w:tab/>
        <w:t>that individuals or entities engaged in manufacturing and trading of counterfeit and tampered telecommunication/ICT devices are continually developing and enhancing their capabilities and means of illegal activities to circumvent Member States' and other affected parties' legal and technical efforts to combat counterfeit and tampered products and telecommunication/ICT devices;</w:t>
      </w:r>
    </w:p>
    <w:p w14:paraId="23C483E8" w14:textId="77777777" w:rsidR="00596570" w:rsidRPr="00380B40" w:rsidRDefault="00596570" w:rsidP="00596570">
      <w:pPr>
        <w:rPr>
          <w:lang w:val="en-GB"/>
        </w:rPr>
      </w:pPr>
      <w:r w:rsidRPr="00380B40">
        <w:rPr>
          <w:i/>
          <w:iCs/>
          <w:lang w:val="en-GB"/>
        </w:rPr>
        <w:t>b)</w:t>
      </w:r>
      <w:r w:rsidRPr="00380B40">
        <w:rPr>
          <w:lang w:val="en-GB"/>
        </w:rPr>
        <w:tab/>
        <w:t>that supply and demand economics for counterfeit and tampered telecommunication/ICT products complicate attempts to tackle the global black/grey market, and that no single solution is easily envisaged,</w:t>
      </w:r>
    </w:p>
    <w:p w14:paraId="45051EF1" w14:textId="77777777" w:rsidR="00596570" w:rsidRPr="00380B40" w:rsidRDefault="00596570" w:rsidP="00596570">
      <w:pPr>
        <w:pStyle w:val="Call"/>
        <w:rPr>
          <w:lang w:val="en-GB"/>
        </w:rPr>
      </w:pPr>
      <w:r w:rsidRPr="00380B40">
        <w:rPr>
          <w:lang w:val="en-GB"/>
        </w:rPr>
        <w:t>aware</w:t>
      </w:r>
    </w:p>
    <w:p w14:paraId="7080DE36" w14:textId="77777777" w:rsidR="00596570" w:rsidRPr="00380B40" w:rsidRDefault="00596570" w:rsidP="00596570">
      <w:pPr>
        <w:rPr>
          <w:lang w:val="en-GB"/>
        </w:rPr>
      </w:pPr>
      <w:r w:rsidRPr="00380B40">
        <w:rPr>
          <w:i/>
          <w:iCs/>
          <w:lang w:val="en-GB"/>
        </w:rPr>
        <w:t>a)</w:t>
      </w:r>
      <w:r w:rsidRPr="00380B40">
        <w:rPr>
          <w:lang w:val="en-GB"/>
        </w:rPr>
        <w:tab/>
        <w:t>of the current work and studies of ITU</w:t>
      </w:r>
      <w:r w:rsidRPr="00380B40">
        <w:rPr>
          <w:lang w:val="en-GB"/>
        </w:rPr>
        <w:noBreakHyphen/>
        <w:t>T Study Group 11, which is conducting study of methodologies, guidelines and best practices, including the use of unique telecommunication/ICT device identifiers, for combating counterfeit and tampered telecommunication/ICT products;</w:t>
      </w:r>
    </w:p>
    <w:p w14:paraId="1AD9B594" w14:textId="77777777" w:rsidR="00596570" w:rsidRPr="00380B40" w:rsidRDefault="00596570" w:rsidP="00596570">
      <w:pPr>
        <w:rPr>
          <w:lang w:val="en-GB"/>
        </w:rPr>
      </w:pPr>
      <w:r w:rsidRPr="00380B40">
        <w:rPr>
          <w:i/>
          <w:iCs/>
          <w:lang w:val="en-GB"/>
        </w:rPr>
        <w:t>b)</w:t>
      </w:r>
      <w:r w:rsidRPr="00380B40">
        <w:rPr>
          <w:lang w:val="en-GB"/>
        </w:rPr>
        <w:tab/>
        <w:t>of the current work and studies in ITU</w:t>
      </w:r>
      <w:r w:rsidRPr="00380B40">
        <w:rPr>
          <w:lang w:val="en-GB"/>
        </w:rPr>
        <w:noBreakHyphen/>
        <w:t>T Study Group 20, on Internet of things (IoT), IoT identity management and the increasing importance of IoT devices to the society;</w:t>
      </w:r>
    </w:p>
    <w:p w14:paraId="2D17C143" w14:textId="77777777" w:rsidR="00596570" w:rsidRPr="00380B40" w:rsidRDefault="00596570" w:rsidP="00596570">
      <w:pPr>
        <w:rPr>
          <w:lang w:val="en-GB"/>
        </w:rPr>
      </w:pPr>
      <w:r w:rsidRPr="00380B40">
        <w:rPr>
          <w:i/>
          <w:iCs/>
          <w:lang w:val="en-GB"/>
        </w:rPr>
        <w:t>c)</w:t>
      </w:r>
      <w:r w:rsidRPr="00380B40">
        <w:rPr>
          <w:lang w:val="en-GB"/>
        </w:rPr>
        <w:tab/>
        <w:t xml:space="preserve">of the ongoing work under </w:t>
      </w:r>
      <w:r w:rsidRPr="00380B40">
        <w:rPr>
          <w:i/>
          <w:iCs/>
          <w:lang w:val="en-GB"/>
        </w:rPr>
        <w:t>instructs ITU</w:t>
      </w:r>
      <w:r w:rsidRPr="00380B40">
        <w:rPr>
          <w:i/>
          <w:iCs/>
          <w:lang w:val="en-GB"/>
        </w:rPr>
        <w:noBreakHyphen/>
        <w:t xml:space="preserve">D Study Group 2, in collaboration with the relevant ITU study groups </w:t>
      </w:r>
      <w:r w:rsidRPr="00380B40">
        <w:rPr>
          <w:lang w:val="en-GB"/>
        </w:rPr>
        <w:t>of Resolution 79 (Dubai, 2014);</w:t>
      </w:r>
    </w:p>
    <w:p w14:paraId="035E00A9" w14:textId="77777777" w:rsidR="00596570" w:rsidRPr="00380B40" w:rsidRDefault="00596570" w:rsidP="00596570">
      <w:pPr>
        <w:rPr>
          <w:lang w:val="en-GB"/>
        </w:rPr>
      </w:pPr>
      <w:r w:rsidRPr="00380B40">
        <w:rPr>
          <w:i/>
          <w:iCs/>
          <w:lang w:val="en-GB"/>
        </w:rPr>
        <w:t>d)</w:t>
      </w:r>
      <w:r w:rsidRPr="00380B40">
        <w:rPr>
          <w:lang w:val="en-GB"/>
        </w:rPr>
        <w:tab/>
        <w:t>that there is ongoing cooperation with standards development organizations (SDOs), the World Trade Organization (WTO), the World Intellectual Property Organization (WIPO), the World Health Organization (WHO) and the World Customs Organization (WCO) on matters related to counterfeit and tampered products;</w:t>
      </w:r>
    </w:p>
    <w:p w14:paraId="484BF44A" w14:textId="77777777" w:rsidR="00596570" w:rsidRPr="00380B40" w:rsidRDefault="00596570" w:rsidP="00596570">
      <w:pPr>
        <w:rPr>
          <w:lang w:val="en-GB"/>
        </w:rPr>
      </w:pPr>
      <w:r w:rsidRPr="00380B40">
        <w:rPr>
          <w:i/>
          <w:iCs/>
          <w:lang w:val="en-GB"/>
        </w:rPr>
        <w:t>e)</w:t>
      </w:r>
      <w:r w:rsidRPr="00380B40">
        <w:rPr>
          <w:lang w:val="en-GB"/>
        </w:rPr>
        <w:tab/>
        <w:t>that governments play an important role in combating the manufacture and international trade of counterfeit and tampered products including telecommunication/ICT devices, by formulating appropriate strategies, policies and legislation;</w:t>
      </w:r>
    </w:p>
    <w:p w14:paraId="24E78AC2" w14:textId="77777777" w:rsidR="00596570" w:rsidRPr="00380B40" w:rsidRDefault="00596570" w:rsidP="00596570">
      <w:pPr>
        <w:rPr>
          <w:i/>
          <w:lang w:val="en-GB"/>
        </w:rPr>
      </w:pPr>
      <w:r w:rsidRPr="00380B40">
        <w:rPr>
          <w:i/>
          <w:iCs/>
          <w:lang w:val="en-GB"/>
        </w:rPr>
        <w:t>f)</w:t>
      </w:r>
      <w:r w:rsidRPr="00380B40">
        <w:rPr>
          <w:lang w:val="en-GB"/>
        </w:rPr>
        <w:tab/>
        <w:t>that tampering with unique telecommunication/ICT device identifiers diminishes the effectiveness of solutions adopted by countries,</w:t>
      </w:r>
    </w:p>
    <w:p w14:paraId="61C30014" w14:textId="77777777" w:rsidR="00596570" w:rsidRPr="00380B40" w:rsidRDefault="00596570" w:rsidP="00596570">
      <w:pPr>
        <w:pStyle w:val="Call"/>
        <w:rPr>
          <w:lang w:val="en-GB"/>
        </w:rPr>
      </w:pPr>
      <w:r w:rsidRPr="00380B40">
        <w:rPr>
          <w:lang w:val="en-GB"/>
        </w:rPr>
        <w:t>considering</w:t>
      </w:r>
    </w:p>
    <w:p w14:paraId="10E6E3AC" w14:textId="77777777" w:rsidR="00596570" w:rsidRPr="00380B40" w:rsidRDefault="00596570" w:rsidP="00596570">
      <w:pPr>
        <w:rPr>
          <w:lang w:val="en-GB"/>
        </w:rPr>
      </w:pPr>
      <w:r w:rsidRPr="00380B40">
        <w:rPr>
          <w:i/>
          <w:iCs/>
          <w:lang w:val="en-GB"/>
        </w:rPr>
        <w:t>a)</w:t>
      </w:r>
      <w:r w:rsidRPr="00380B40">
        <w:rPr>
          <w:lang w:val="en-GB"/>
        </w:rPr>
        <w:tab/>
        <w:t>the conclusions of the ITU Events on combating counterfeit and tampered telecommunication/ICT devices (Geneva, 17</w:t>
      </w:r>
      <w:r w:rsidRPr="00380B40">
        <w:rPr>
          <w:lang w:val="en-GB"/>
        </w:rPr>
        <w:noBreakHyphen/>
        <w:t>18 November 2014 and 28 June 2016);</w:t>
      </w:r>
    </w:p>
    <w:p w14:paraId="04B90040" w14:textId="77777777" w:rsidR="00596570" w:rsidRPr="00380B40" w:rsidRDefault="00596570" w:rsidP="00596570">
      <w:pPr>
        <w:rPr>
          <w:lang w:val="en-GB"/>
        </w:rPr>
      </w:pPr>
      <w:r w:rsidRPr="00380B40">
        <w:rPr>
          <w:i/>
          <w:iCs/>
          <w:lang w:val="en-GB"/>
        </w:rPr>
        <w:t>b)</w:t>
      </w:r>
      <w:r w:rsidRPr="00380B40">
        <w:rPr>
          <w:lang w:val="en-GB"/>
        </w:rPr>
        <w:tab/>
        <w:t>the conclusions of the Technical Report on Counterfeit ICT Equipment adopted by Study Group 11 at its meeting in Geneva on 11 December 2015;</w:t>
      </w:r>
    </w:p>
    <w:p w14:paraId="484B44A8" w14:textId="77777777" w:rsidR="00596570" w:rsidRPr="00380B40" w:rsidRDefault="00596570" w:rsidP="00596570">
      <w:pPr>
        <w:rPr>
          <w:lang w:val="en-GB"/>
        </w:rPr>
      </w:pPr>
      <w:r w:rsidRPr="00380B40">
        <w:rPr>
          <w:i/>
          <w:iCs/>
          <w:lang w:val="en-GB"/>
        </w:rPr>
        <w:t>c)</w:t>
      </w:r>
      <w:r w:rsidRPr="00380B40">
        <w:rPr>
          <w:lang w:val="en-GB"/>
        </w:rPr>
        <w:tab/>
        <w:t>that, in general, telecommunication/ICT devices that do not comply with a country's applicable national conformity processes and regulatory requirements or other applicable legal requirements should be considered unauthorized for sale and/or activation on telecommunication networks of that country;</w:t>
      </w:r>
    </w:p>
    <w:p w14:paraId="0A95BDB9" w14:textId="77777777" w:rsidR="00882D7C" w:rsidRPr="00380B40" w:rsidRDefault="00882D7C" w:rsidP="00596570">
      <w:pPr>
        <w:rPr>
          <w:i/>
          <w:iCs/>
          <w:lang w:val="en-GB"/>
        </w:rPr>
      </w:pPr>
      <w:r w:rsidRPr="00380B40">
        <w:rPr>
          <w:i/>
          <w:iCs/>
          <w:lang w:val="en-GB"/>
        </w:rPr>
        <w:br w:type="page"/>
      </w:r>
    </w:p>
    <w:p w14:paraId="2D9C09C5" w14:textId="77777777" w:rsidR="00596570" w:rsidRPr="00380B40" w:rsidRDefault="00596570" w:rsidP="00596570">
      <w:pPr>
        <w:rPr>
          <w:lang w:val="en-GB"/>
        </w:rPr>
      </w:pPr>
      <w:r w:rsidRPr="00380B40">
        <w:rPr>
          <w:i/>
          <w:iCs/>
          <w:lang w:val="en-GB"/>
        </w:rPr>
        <w:t>d)</w:t>
      </w:r>
      <w:r w:rsidRPr="00380B40">
        <w:rPr>
          <w:lang w:val="en-GB"/>
        </w:rPr>
        <w:tab/>
        <w:t>that a counterfeit telecommunication/ICT device is a product that explicitly infringes the trademark, copies hardware or software designs, or infringes brand or packaging rights of an original or authentic product and, in general, infringes applicable national and/or international technical standards, regulatory requirements or conformity processes, manufacturing licensing agreements, or other applicable legal requirements;</w:t>
      </w:r>
    </w:p>
    <w:p w14:paraId="562FA0CF" w14:textId="77777777" w:rsidR="00596570" w:rsidRPr="00380B40" w:rsidRDefault="00596570" w:rsidP="00596570">
      <w:pPr>
        <w:rPr>
          <w:lang w:val="en-GB"/>
        </w:rPr>
      </w:pPr>
      <w:r w:rsidRPr="00380B40">
        <w:rPr>
          <w:i/>
          <w:iCs/>
          <w:lang w:val="en-GB"/>
        </w:rPr>
        <w:t>e)</w:t>
      </w:r>
      <w:r w:rsidRPr="00380B40">
        <w:rPr>
          <w:lang w:val="en-GB"/>
        </w:rPr>
        <w:tab/>
        <w:t>that a reliable unique identifier shall be unique for each equipment it aims to identify, can only be assigned by a responsible management entity and should not be changed by unauthorized parties;</w:t>
      </w:r>
    </w:p>
    <w:p w14:paraId="7C3901A8" w14:textId="77777777" w:rsidR="00596570" w:rsidRPr="00380B40" w:rsidRDefault="00596570" w:rsidP="00596570">
      <w:pPr>
        <w:rPr>
          <w:lang w:val="en-GB"/>
        </w:rPr>
      </w:pPr>
      <w:r w:rsidRPr="00380B40">
        <w:rPr>
          <w:i/>
          <w:iCs/>
          <w:lang w:val="en-GB"/>
        </w:rPr>
        <w:t>f)</w:t>
      </w:r>
      <w:r w:rsidRPr="00380B40">
        <w:rPr>
          <w:lang w:val="en-GB"/>
        </w:rPr>
        <w:tab/>
        <w:t>that tampered telecommunication/ICT devices are devices that have components, software, a unique identifier, an item protected by intellectual property rights or a trademark tentatively or effectively altered without the explicit consent of the manufacturer or its legal representative;</w:t>
      </w:r>
    </w:p>
    <w:p w14:paraId="32018FC8" w14:textId="77777777" w:rsidR="00596570" w:rsidRPr="00380B40" w:rsidRDefault="00596570" w:rsidP="00596570">
      <w:pPr>
        <w:rPr>
          <w:lang w:val="en-GB"/>
        </w:rPr>
      </w:pPr>
      <w:r w:rsidRPr="00380B40">
        <w:rPr>
          <w:i/>
          <w:iCs/>
          <w:lang w:val="en-GB"/>
        </w:rPr>
        <w:t>g)</w:t>
      </w:r>
      <w:r w:rsidRPr="00380B40">
        <w:rPr>
          <w:lang w:val="en-GB"/>
        </w:rPr>
        <w:tab/>
        <w:t>that some countries have started implementing measures that aim to deter counterfeit and tampered telecommunication/ICT devices based on an identification mechanism, which can also be effective for the control of tampered telecommunication/ICT devices;</w:t>
      </w:r>
    </w:p>
    <w:p w14:paraId="00F5A7FA" w14:textId="77777777" w:rsidR="00596570" w:rsidRPr="00380B40" w:rsidRDefault="00596570" w:rsidP="00596570">
      <w:pPr>
        <w:rPr>
          <w:lang w:val="en-GB"/>
        </w:rPr>
      </w:pPr>
      <w:r w:rsidRPr="00380B40">
        <w:rPr>
          <w:i/>
          <w:iCs/>
          <w:lang w:val="en-GB"/>
        </w:rPr>
        <w:t>h)</w:t>
      </w:r>
      <w:r w:rsidRPr="00380B40">
        <w:rPr>
          <w:lang w:val="en-GB"/>
        </w:rPr>
        <w:tab/>
        <w:t>that tampering telecommunication/ICT devices, especially the ones that clone a legitimate identifier, may diminish the effectiveness of solutions adopted by the countries when addressing counterfeiting ;</w:t>
      </w:r>
    </w:p>
    <w:p w14:paraId="6B39DDC3" w14:textId="77777777" w:rsidR="00596570" w:rsidRPr="00380B40" w:rsidRDefault="00596570" w:rsidP="00596570">
      <w:pPr>
        <w:rPr>
          <w:lang w:val="en-GB"/>
        </w:rPr>
      </w:pPr>
      <w:r w:rsidRPr="00380B40">
        <w:rPr>
          <w:i/>
          <w:iCs/>
          <w:lang w:val="en-GB"/>
        </w:rPr>
        <w:t>i)</w:t>
      </w:r>
      <w:r w:rsidRPr="00380B40">
        <w:rPr>
          <w:lang w:val="en-GB"/>
        </w:rPr>
        <w:tab/>
        <w:t>that a framework for discovery and management of identity information can assist in combating counterfeiting and tampering of telecommunication/ICT devices;</w:t>
      </w:r>
    </w:p>
    <w:p w14:paraId="25FD67AC" w14:textId="77777777" w:rsidR="00596570" w:rsidRPr="00380B40" w:rsidRDefault="00596570" w:rsidP="00596570">
      <w:pPr>
        <w:rPr>
          <w:lang w:val="en-GB"/>
        </w:rPr>
      </w:pPr>
      <w:r w:rsidRPr="00380B40">
        <w:rPr>
          <w:i/>
          <w:iCs/>
          <w:lang w:val="en-GB"/>
        </w:rPr>
        <w:t>j)</w:t>
      </w:r>
      <w:r w:rsidRPr="00380B40">
        <w:rPr>
          <w:lang w:val="en-GB"/>
        </w:rPr>
        <w:tab/>
        <w:t>that ITU and other relevant stakeholders have key roles to play in fostering coordination between the parties concerned in order to study the impact of counterfeit and tampered telecommunication/ICT devices and the mechanism for limiting their use, and to identify ways of dealing with them both internationally and regionally;</w:t>
      </w:r>
    </w:p>
    <w:p w14:paraId="057EEACF" w14:textId="77777777" w:rsidR="00596570" w:rsidRPr="00380B40" w:rsidRDefault="00596570" w:rsidP="00596570">
      <w:pPr>
        <w:rPr>
          <w:i/>
          <w:lang w:val="en-GB"/>
        </w:rPr>
      </w:pPr>
      <w:r w:rsidRPr="00380B40">
        <w:rPr>
          <w:i/>
          <w:iCs/>
          <w:lang w:val="en-GB"/>
        </w:rPr>
        <w:t>k)</w:t>
      </w:r>
      <w:r w:rsidRPr="00380B40">
        <w:rPr>
          <w:lang w:val="en-GB"/>
        </w:rPr>
        <w:tab/>
        <w:t>the importance of maintaining user connectivity,</w:t>
      </w:r>
    </w:p>
    <w:p w14:paraId="7102B8F3" w14:textId="77777777" w:rsidR="00596570" w:rsidRPr="00380B40" w:rsidRDefault="00596570" w:rsidP="00596570">
      <w:pPr>
        <w:pStyle w:val="Call"/>
        <w:rPr>
          <w:lang w:val="en-GB"/>
        </w:rPr>
      </w:pPr>
      <w:r w:rsidRPr="00380B40">
        <w:rPr>
          <w:lang w:val="en-GB"/>
        </w:rPr>
        <w:t>resolves</w:t>
      </w:r>
    </w:p>
    <w:p w14:paraId="107E337F" w14:textId="77777777" w:rsidR="00596570" w:rsidRPr="00380B40" w:rsidRDefault="00596570" w:rsidP="00596570">
      <w:pPr>
        <w:rPr>
          <w:lang w:val="en-GB"/>
        </w:rPr>
      </w:pPr>
      <w:r w:rsidRPr="00380B40">
        <w:rPr>
          <w:lang w:val="en-GB"/>
        </w:rPr>
        <w:t>1</w:t>
      </w:r>
      <w:r w:rsidRPr="00380B40">
        <w:rPr>
          <w:lang w:val="en-GB"/>
        </w:rPr>
        <w:tab/>
        <w:t>to explore ways and means to combat and deter telecommunication/ICT device counterfeiting and tampering in order to protect industry, governments and consumers from counterfeit and tempered telecommunication/ICT devices;</w:t>
      </w:r>
    </w:p>
    <w:p w14:paraId="548A544B" w14:textId="77777777" w:rsidR="00596570" w:rsidRPr="00380B40" w:rsidRDefault="00596570" w:rsidP="00596570">
      <w:pPr>
        <w:rPr>
          <w:lang w:val="en-GB"/>
        </w:rPr>
      </w:pPr>
      <w:r w:rsidRPr="00380B40">
        <w:rPr>
          <w:lang w:val="en-GB"/>
        </w:rPr>
        <w:t>2</w:t>
      </w:r>
      <w:r w:rsidRPr="00380B40">
        <w:rPr>
          <w:lang w:val="en-GB"/>
        </w:rPr>
        <w:tab/>
        <w:t>that Study Group 11 should be the lead study group in the area of combating counterfeit and tampered telecommunication/ICT devices,</w:t>
      </w:r>
    </w:p>
    <w:p w14:paraId="59D0B42F" w14:textId="77777777" w:rsidR="00596570" w:rsidRPr="00380B40" w:rsidRDefault="00596570" w:rsidP="00596570">
      <w:pPr>
        <w:pStyle w:val="Call"/>
        <w:rPr>
          <w:lang w:val="en-GB"/>
        </w:rPr>
      </w:pPr>
      <w:r w:rsidRPr="00380B40">
        <w:rPr>
          <w:lang w:val="en-GB"/>
        </w:rPr>
        <w:t>instructs the Director of the Telecommunication Standardization Bureau, in close collaboration with the Director of the Telecommunication Development Bureau</w:t>
      </w:r>
    </w:p>
    <w:p w14:paraId="369D6157" w14:textId="77777777" w:rsidR="00596570" w:rsidRPr="00380B40" w:rsidRDefault="00596570" w:rsidP="00596570">
      <w:pPr>
        <w:rPr>
          <w:lang w:val="en-GB"/>
        </w:rPr>
      </w:pPr>
      <w:r w:rsidRPr="00380B40">
        <w:rPr>
          <w:lang w:val="en-GB"/>
        </w:rPr>
        <w:t>1</w:t>
      </w:r>
      <w:r w:rsidRPr="00380B40">
        <w:rPr>
          <w:lang w:val="en-GB"/>
        </w:rPr>
        <w:tab/>
        <w:t>to organize workshops and events across the ITU regions to promote the work in this field, involving all stakeholders and raising awareness of the impact of counterfeit and tampered telecommunication/ICT devices;</w:t>
      </w:r>
    </w:p>
    <w:p w14:paraId="4EAC2085" w14:textId="77777777" w:rsidR="00596570" w:rsidRPr="00380B40" w:rsidRDefault="00596570" w:rsidP="00596570">
      <w:pPr>
        <w:rPr>
          <w:lang w:val="en-GB"/>
        </w:rPr>
      </w:pPr>
      <w:r w:rsidRPr="00380B40">
        <w:rPr>
          <w:lang w:val="en-GB"/>
        </w:rPr>
        <w:t>2</w:t>
      </w:r>
      <w:r w:rsidRPr="00380B40">
        <w:rPr>
          <w:lang w:val="en-GB"/>
        </w:rPr>
        <w:tab/>
        <w:t>to assist developing countries in preparing human resources to combat the spread of counterfeit and tampered telecommunication/ICT devices, by providing capacity-building and training opportunities;</w:t>
      </w:r>
    </w:p>
    <w:p w14:paraId="3C6866F5" w14:textId="77777777" w:rsidR="00882D7C" w:rsidRPr="00380B40" w:rsidRDefault="00882D7C" w:rsidP="00596570">
      <w:pPr>
        <w:rPr>
          <w:lang w:val="en-GB"/>
        </w:rPr>
      </w:pPr>
      <w:r w:rsidRPr="00380B40">
        <w:rPr>
          <w:lang w:val="en-GB"/>
        </w:rPr>
        <w:br w:type="page"/>
      </w:r>
    </w:p>
    <w:p w14:paraId="0C429A47" w14:textId="77777777" w:rsidR="00596570" w:rsidRPr="00380B40" w:rsidRDefault="00596570" w:rsidP="00596570">
      <w:pPr>
        <w:rPr>
          <w:lang w:val="en-GB"/>
        </w:rPr>
      </w:pPr>
      <w:r w:rsidRPr="00380B40">
        <w:rPr>
          <w:lang w:val="en-GB"/>
        </w:rPr>
        <w:t>3</w:t>
      </w:r>
      <w:r w:rsidRPr="00380B40">
        <w:rPr>
          <w:lang w:val="en-GB"/>
        </w:rPr>
        <w:tab/>
        <w:t>to work in close collaboration with relevant stakeholders, such as WTO, WIPO, WHO and WCO, on activities relating to combating counterfeit and tampered telecommunication/ICT devices, including restricting the trading, export and circulation of these telecommunication/ICT devices internationally;</w:t>
      </w:r>
    </w:p>
    <w:p w14:paraId="72253E07" w14:textId="77777777" w:rsidR="00596570" w:rsidRPr="00380B40" w:rsidRDefault="00596570" w:rsidP="00596570">
      <w:pPr>
        <w:rPr>
          <w:lang w:val="en-GB"/>
        </w:rPr>
      </w:pPr>
      <w:r w:rsidRPr="00380B40">
        <w:rPr>
          <w:lang w:val="en-GB"/>
        </w:rPr>
        <w:t>4</w:t>
      </w:r>
      <w:r w:rsidRPr="00380B40">
        <w:rPr>
          <w:lang w:val="en-GB"/>
        </w:rPr>
        <w:tab/>
        <w:t>to coordinate activities relating to combating counterfeit and tampered telecommunication/ICT devices through study groups, focus groups and other related groups;</w:t>
      </w:r>
    </w:p>
    <w:p w14:paraId="19C98124" w14:textId="77777777" w:rsidR="00596570" w:rsidRPr="00380B40" w:rsidRDefault="00596570" w:rsidP="00596570">
      <w:pPr>
        <w:rPr>
          <w:lang w:val="en-GB"/>
        </w:rPr>
      </w:pPr>
      <w:r w:rsidRPr="00380B40">
        <w:rPr>
          <w:lang w:val="en-GB"/>
        </w:rPr>
        <w:t>5</w:t>
      </w:r>
      <w:r w:rsidRPr="00380B40">
        <w:rPr>
          <w:lang w:val="en-GB"/>
        </w:rPr>
        <w:tab/>
        <w:t>to assist Member States in taking the necessary actions to apply relevant ITU</w:t>
      </w:r>
      <w:r w:rsidRPr="00380B40">
        <w:rPr>
          <w:lang w:val="en-GB"/>
        </w:rPr>
        <w:noBreakHyphen/>
        <w:t>T Recommendations for combating counterfeit and tampered telecommunication/ICT devices, including the use of conformity assessment systems,</w:t>
      </w:r>
    </w:p>
    <w:p w14:paraId="626BF973" w14:textId="77777777" w:rsidR="00596570" w:rsidRPr="00380B40" w:rsidRDefault="00596570" w:rsidP="00596570">
      <w:pPr>
        <w:pStyle w:val="Call"/>
        <w:rPr>
          <w:lang w:val="en-GB"/>
        </w:rPr>
      </w:pPr>
      <w:r w:rsidRPr="00380B40">
        <w:rPr>
          <w:lang w:val="en-GB"/>
        </w:rPr>
        <w:t>instructs the Director of the Telecommunication Standardization Bureau</w:t>
      </w:r>
      <w:r w:rsidRPr="00380B40" w:rsidDel="00D15335">
        <w:rPr>
          <w:lang w:val="en-GB"/>
        </w:rPr>
        <w:t xml:space="preserve"> </w:t>
      </w:r>
    </w:p>
    <w:p w14:paraId="634D9388" w14:textId="77777777" w:rsidR="00596570" w:rsidRPr="00380B40" w:rsidRDefault="00596570" w:rsidP="00596570">
      <w:pPr>
        <w:rPr>
          <w:lang w:val="en-GB"/>
        </w:rPr>
      </w:pPr>
      <w:r w:rsidRPr="00380B40">
        <w:rPr>
          <w:lang w:val="en-GB"/>
        </w:rPr>
        <w:t>1</w:t>
      </w:r>
      <w:r w:rsidRPr="00380B40">
        <w:rPr>
          <w:lang w:val="en-GB"/>
        </w:rPr>
        <w:tab/>
        <w:t>to collaborate with industry associations, consortia and forums to identify possible technological measures, both software and hardware, that may be developed to deter tampering and the use and spread of counterfeit and tampered telecommunication/ICT devices;</w:t>
      </w:r>
    </w:p>
    <w:p w14:paraId="3221B1AF" w14:textId="77777777" w:rsidR="00596570" w:rsidRPr="00380B40" w:rsidRDefault="00596570" w:rsidP="00596570">
      <w:pPr>
        <w:rPr>
          <w:lang w:val="en-GB"/>
        </w:rPr>
      </w:pPr>
      <w:r w:rsidRPr="00380B40">
        <w:rPr>
          <w:lang w:val="en-GB" w:eastAsia="zh-CN"/>
        </w:rPr>
        <w:t>2</w:t>
      </w:r>
      <w:r w:rsidRPr="00380B40">
        <w:rPr>
          <w:lang w:val="en-GB" w:eastAsia="zh-CN"/>
        </w:rPr>
        <w:tab/>
        <w:t>to submit the results of these activities to the ITU Council for its consideration and required action;</w:t>
      </w:r>
    </w:p>
    <w:p w14:paraId="51AA41EB" w14:textId="77777777" w:rsidR="00596570" w:rsidRPr="00380B40" w:rsidRDefault="00596570" w:rsidP="00596570">
      <w:pPr>
        <w:rPr>
          <w:i/>
          <w:lang w:val="en-GB"/>
        </w:rPr>
      </w:pPr>
      <w:r w:rsidRPr="00380B40">
        <w:rPr>
          <w:lang w:val="en-GB" w:eastAsia="zh-CN"/>
        </w:rPr>
        <w:t>3</w:t>
      </w:r>
      <w:r w:rsidRPr="00380B40">
        <w:rPr>
          <w:lang w:val="en-GB" w:eastAsia="zh-CN"/>
        </w:rPr>
        <w:tab/>
        <w:t>to involve experts and external entities as appropriate;</w:t>
      </w:r>
    </w:p>
    <w:p w14:paraId="0BAFA8D2" w14:textId="77777777" w:rsidR="00596570" w:rsidRPr="00380B40" w:rsidRDefault="00596570" w:rsidP="00596570">
      <w:pPr>
        <w:pStyle w:val="Call"/>
        <w:rPr>
          <w:lang w:val="en-GB"/>
        </w:rPr>
      </w:pPr>
      <w:r w:rsidRPr="00380B40">
        <w:rPr>
          <w:lang w:val="en-GB"/>
        </w:rPr>
        <w:t>instructs the Director of the Telecommunication Standardization Bureau, in close collaboration with the Directors of the Radiocommunication and Telecommunication Development Bureaux</w:t>
      </w:r>
    </w:p>
    <w:p w14:paraId="6CEC2899" w14:textId="77777777" w:rsidR="00596570" w:rsidRPr="00380B40" w:rsidRDefault="00596570" w:rsidP="00596570">
      <w:pPr>
        <w:rPr>
          <w:lang w:val="en-GB"/>
        </w:rPr>
      </w:pPr>
      <w:r w:rsidRPr="00380B40">
        <w:rPr>
          <w:lang w:val="en-GB"/>
        </w:rPr>
        <w:t>1</w:t>
      </w:r>
      <w:r w:rsidRPr="00380B40">
        <w:rPr>
          <w:lang w:val="en-GB"/>
        </w:rPr>
        <w:tab/>
        <w:t>to assist Member States in addressing their concerns with respect to counterfeit and tampered telecommunication/ICT devices, through information sharing at regional or global level, including conformity assessment systems;</w:t>
      </w:r>
    </w:p>
    <w:p w14:paraId="3ADE6B25" w14:textId="77777777" w:rsidR="00596570" w:rsidRPr="00380B40" w:rsidRDefault="00596570" w:rsidP="00596570">
      <w:pPr>
        <w:rPr>
          <w:lang w:val="en-GB"/>
        </w:rPr>
      </w:pPr>
      <w:r w:rsidRPr="00380B40">
        <w:rPr>
          <w:lang w:val="en-GB"/>
        </w:rPr>
        <w:t>2</w:t>
      </w:r>
      <w:r w:rsidRPr="00380B40">
        <w:rPr>
          <w:lang w:val="en-GB"/>
        </w:rPr>
        <w:tab/>
        <w:t>to assist all the membership, considering relevant ITU</w:t>
      </w:r>
      <w:r w:rsidRPr="00380B40">
        <w:rPr>
          <w:lang w:val="en-GB"/>
        </w:rPr>
        <w:noBreakHyphen/>
        <w:t>T Recommendations, in taking the necessary actions to prevent or detect the tampering with and/or duplication of unique telecommunication/ICT device identifiers, interacting with other SDOs related to these matters,</w:t>
      </w:r>
    </w:p>
    <w:p w14:paraId="01C14422" w14:textId="77777777" w:rsidR="00596570" w:rsidRPr="00380B40" w:rsidRDefault="00596570" w:rsidP="00596570">
      <w:pPr>
        <w:pStyle w:val="Call"/>
        <w:rPr>
          <w:lang w:val="en-GB"/>
        </w:rPr>
      </w:pPr>
      <w:r w:rsidRPr="00380B40">
        <w:rPr>
          <w:lang w:val="en-GB"/>
        </w:rPr>
        <w:t>instructs Study Group</w:t>
      </w:r>
      <w:r w:rsidRPr="00380B40">
        <w:rPr>
          <w:rFonts w:eastAsiaTheme="minorEastAsia"/>
          <w:lang w:val="en-GB" w:eastAsia="zh-CN"/>
        </w:rPr>
        <w:t> </w:t>
      </w:r>
      <w:r w:rsidRPr="00380B40">
        <w:rPr>
          <w:lang w:val="en-GB"/>
        </w:rPr>
        <w:t>11</w:t>
      </w:r>
      <w:r w:rsidRPr="00380B40">
        <w:rPr>
          <w:i w:val="0"/>
          <w:lang w:val="en-GB"/>
        </w:rPr>
        <w:t xml:space="preserve"> </w:t>
      </w:r>
      <w:r w:rsidRPr="00380B40">
        <w:rPr>
          <w:lang w:val="en-GB"/>
        </w:rPr>
        <w:t>of the ITU Telecommunication Standardization Sector, in collaboration with other study groups concerned</w:t>
      </w:r>
    </w:p>
    <w:p w14:paraId="6E5F9016" w14:textId="77777777" w:rsidR="00596570" w:rsidRPr="00380B40" w:rsidRDefault="00596570" w:rsidP="00596570">
      <w:pPr>
        <w:rPr>
          <w:lang w:val="en-GB"/>
        </w:rPr>
      </w:pPr>
      <w:r w:rsidRPr="00380B40">
        <w:rPr>
          <w:lang w:val="en-GB"/>
        </w:rPr>
        <w:t>1</w:t>
      </w:r>
      <w:r w:rsidRPr="00380B40">
        <w:rPr>
          <w:lang w:val="en-GB"/>
        </w:rPr>
        <w:tab/>
        <w:t>to continue developing Recommendations, technical reports and guidelines to address the problem of counterfeit and tampered ICT equipment and to support the Member States in anti-counterfeiting activities;</w:t>
      </w:r>
    </w:p>
    <w:p w14:paraId="63277DA0" w14:textId="77777777" w:rsidR="00596570" w:rsidRPr="00380B40" w:rsidRDefault="00596570" w:rsidP="00596570">
      <w:pPr>
        <w:rPr>
          <w:highlight w:val="yellow"/>
          <w:lang w:val="en-GB"/>
        </w:rPr>
      </w:pPr>
      <w:r w:rsidRPr="00380B40">
        <w:rPr>
          <w:lang w:val="en-GB"/>
        </w:rPr>
        <w:t>2</w:t>
      </w:r>
      <w:r w:rsidRPr="00380B40">
        <w:rPr>
          <w:lang w:val="en-GB"/>
        </w:rPr>
        <w:tab/>
        <w:t>to collect, analyse and exchange information about counterfeiting and tampering practices in the ICT sector, and how ICTs could be used as a tool to combat them;</w:t>
      </w:r>
    </w:p>
    <w:p w14:paraId="7D0B479A" w14:textId="77777777" w:rsidR="00596570" w:rsidRPr="00380B40" w:rsidRDefault="00596570" w:rsidP="00596570">
      <w:pPr>
        <w:rPr>
          <w:lang w:val="en-GB"/>
        </w:rPr>
      </w:pPr>
      <w:r w:rsidRPr="00380B40">
        <w:rPr>
          <w:lang w:val="en-GB"/>
        </w:rPr>
        <w:t>3</w:t>
      </w:r>
      <w:r w:rsidRPr="00380B40">
        <w:rPr>
          <w:lang w:val="en-GB"/>
        </w:rPr>
        <w:tab/>
        <w:t>to study existing as well as new reliable, unique, persistent and secure identifiers, in collaboration with ITU</w:t>
      </w:r>
      <w:r w:rsidRPr="00380B40">
        <w:rPr>
          <w:lang w:val="en-GB"/>
        </w:rPr>
        <w:noBreakHyphen/>
        <w:t>T Study Groups 2, 17 and 20, that have the potential to be used in combating counterfeit and tampered products and telecommunication/ICT devices, including their scope of application and level of security in the context of their possible duplication/cloning;</w:t>
      </w:r>
    </w:p>
    <w:p w14:paraId="34C6CF0A" w14:textId="77777777" w:rsidR="00882D7C" w:rsidRPr="00380B40" w:rsidRDefault="00882D7C" w:rsidP="00596570">
      <w:pPr>
        <w:rPr>
          <w:lang w:val="en-GB"/>
        </w:rPr>
      </w:pPr>
      <w:r w:rsidRPr="00380B40">
        <w:rPr>
          <w:lang w:val="en-GB"/>
        </w:rPr>
        <w:br w:type="page"/>
      </w:r>
    </w:p>
    <w:p w14:paraId="4A018248" w14:textId="77777777" w:rsidR="00596570" w:rsidRPr="00380B40" w:rsidRDefault="00596570" w:rsidP="00596570">
      <w:pPr>
        <w:rPr>
          <w:lang w:val="en-GB"/>
        </w:rPr>
      </w:pPr>
      <w:r w:rsidRPr="00380B40">
        <w:rPr>
          <w:lang w:val="en-GB"/>
        </w:rPr>
        <w:t>4</w:t>
      </w:r>
      <w:r w:rsidRPr="00380B40">
        <w:rPr>
          <w:lang w:val="en-GB"/>
        </w:rPr>
        <w:tab/>
        <w:t>to develop methods of assessing and verifying identifiers used for purposes of combating counterfeit production;</w:t>
      </w:r>
    </w:p>
    <w:p w14:paraId="36EFE138" w14:textId="77777777" w:rsidR="00596570" w:rsidRPr="00380B40" w:rsidRDefault="00596570" w:rsidP="00596570">
      <w:pPr>
        <w:rPr>
          <w:lang w:val="en-GB"/>
        </w:rPr>
      </w:pPr>
      <w:r w:rsidRPr="00380B40">
        <w:rPr>
          <w:lang w:val="en-GB"/>
        </w:rPr>
        <w:t>5</w:t>
      </w:r>
      <w:r w:rsidRPr="00380B40">
        <w:rPr>
          <w:lang w:val="en-GB"/>
        </w:rPr>
        <w:tab/>
        <w:t>with the involvement of relevant standardization organizations, to develop mechanisms as appropriate for identifying counterfeit production, by means of unique identifiers that are resistant to duplication and respond to confidentiality/security requirements;</w:t>
      </w:r>
    </w:p>
    <w:p w14:paraId="2B9FEBC0" w14:textId="77777777" w:rsidR="00596570" w:rsidRPr="00380B40" w:rsidRDefault="00596570" w:rsidP="00596570">
      <w:pPr>
        <w:rPr>
          <w:lang w:val="en-GB"/>
        </w:rPr>
      </w:pPr>
      <w:r w:rsidRPr="00380B40">
        <w:rPr>
          <w:lang w:val="en-GB"/>
        </w:rPr>
        <w:t>6</w:t>
      </w:r>
      <w:r w:rsidRPr="00380B40">
        <w:rPr>
          <w:lang w:val="en-GB"/>
        </w:rPr>
        <w:tab/>
        <w:t>to study possible solutions, including frameworks to discover identity management information, that could support combating of counterfeit and tampered telecommunication/ICT devices;</w:t>
      </w:r>
    </w:p>
    <w:p w14:paraId="3123E663" w14:textId="77777777" w:rsidR="00596570" w:rsidRPr="00380B40" w:rsidRDefault="00596570" w:rsidP="00596570">
      <w:pPr>
        <w:rPr>
          <w:lang w:val="en-GB"/>
        </w:rPr>
      </w:pPr>
      <w:r w:rsidRPr="00380B40">
        <w:rPr>
          <w:lang w:val="en-GB"/>
        </w:rPr>
        <w:t>7</w:t>
      </w:r>
      <w:r w:rsidRPr="00380B40">
        <w:rPr>
          <w:lang w:val="en-GB"/>
        </w:rPr>
        <w:tab/>
        <w:t>to identify a list of technologies/products, used for testing conformance with ITU</w:t>
      </w:r>
      <w:r w:rsidRPr="00380B40">
        <w:rPr>
          <w:lang w:val="en-GB"/>
        </w:rPr>
        <w:noBreakHyphen/>
        <w:t>T Recommendations, in order to help in efforts to combat counterfeit ICT production,</w:t>
      </w:r>
    </w:p>
    <w:p w14:paraId="494A424D" w14:textId="77777777" w:rsidR="00596570" w:rsidRPr="00380B40" w:rsidRDefault="00596570" w:rsidP="00596570">
      <w:pPr>
        <w:pStyle w:val="Call"/>
        <w:rPr>
          <w:lang w:val="en-GB"/>
        </w:rPr>
      </w:pPr>
      <w:r w:rsidRPr="00380B40">
        <w:rPr>
          <w:lang w:val="en-GB"/>
        </w:rPr>
        <w:t>invites Member States</w:t>
      </w:r>
    </w:p>
    <w:p w14:paraId="40DE51C0" w14:textId="77777777" w:rsidR="00596570" w:rsidRPr="00380B40" w:rsidRDefault="00596570" w:rsidP="00596570">
      <w:pPr>
        <w:rPr>
          <w:lang w:val="en-GB"/>
        </w:rPr>
      </w:pPr>
      <w:r w:rsidRPr="00380B40">
        <w:rPr>
          <w:lang w:val="en-GB"/>
        </w:rPr>
        <w:t>1</w:t>
      </w:r>
      <w:r w:rsidRPr="00380B40">
        <w:rPr>
          <w:lang w:val="en-GB"/>
        </w:rPr>
        <w:tab/>
        <w:t>to take all necessary measures, including collaboration, cooperation and exchange of experiences and expertise with other Member States, to combat counterfeit and tampered telecommunication/ICT devices in a country/region, as well as globally;</w:t>
      </w:r>
    </w:p>
    <w:p w14:paraId="2BF2FB0F" w14:textId="77777777" w:rsidR="00596570" w:rsidRPr="00380B40" w:rsidRDefault="00596570" w:rsidP="00596570">
      <w:pPr>
        <w:rPr>
          <w:lang w:val="en-GB"/>
        </w:rPr>
      </w:pPr>
      <w:r w:rsidRPr="00380B40">
        <w:rPr>
          <w:lang w:val="en-GB"/>
        </w:rPr>
        <w:t>2</w:t>
      </w:r>
      <w:r w:rsidRPr="00380B40">
        <w:rPr>
          <w:lang w:val="en-GB"/>
        </w:rPr>
        <w:tab/>
        <w:t>to adopt national legal and regulatory frameworks to combat counterfeit and tampered telecommunication/ICT devices;</w:t>
      </w:r>
    </w:p>
    <w:p w14:paraId="23962CCB" w14:textId="77777777" w:rsidR="00596570" w:rsidRPr="00380B40" w:rsidRDefault="00596570" w:rsidP="00596570">
      <w:pPr>
        <w:rPr>
          <w:lang w:val="en-GB"/>
        </w:rPr>
      </w:pPr>
      <w:r w:rsidRPr="00380B40">
        <w:rPr>
          <w:lang w:val="en-GB"/>
        </w:rPr>
        <w:t>3</w:t>
      </w:r>
      <w:r w:rsidRPr="00380B40">
        <w:rPr>
          <w:lang w:val="en-GB"/>
        </w:rPr>
        <w:tab/>
        <w:t>to consider measures to mitigate the import, circulation and sale of counterfeit and tampered telecommunication ICT/devices from the market;</w:t>
      </w:r>
    </w:p>
    <w:p w14:paraId="53412004" w14:textId="77777777" w:rsidR="00596570" w:rsidRPr="00380B40" w:rsidRDefault="00596570" w:rsidP="00596570">
      <w:pPr>
        <w:rPr>
          <w:lang w:val="en-GB"/>
        </w:rPr>
      </w:pPr>
      <w:r w:rsidRPr="00380B40">
        <w:rPr>
          <w:lang w:val="en-GB"/>
        </w:rPr>
        <w:t>4</w:t>
      </w:r>
      <w:r w:rsidRPr="00380B40">
        <w:rPr>
          <w:lang w:val="en-GB"/>
        </w:rPr>
        <w:tab/>
        <w:t>to consider solutions to be used to differentiate between authentic/genuine and counterfeit or tampered telecommunication/ICT devices, e.g. establishing a centralized national reference database of authorized equipment;</w:t>
      </w:r>
    </w:p>
    <w:p w14:paraId="0476231B" w14:textId="77777777" w:rsidR="00596570" w:rsidRPr="00380B40" w:rsidRDefault="00596570" w:rsidP="00596570">
      <w:pPr>
        <w:rPr>
          <w:lang w:val="en-GB"/>
        </w:rPr>
      </w:pPr>
      <w:r w:rsidRPr="00380B40">
        <w:rPr>
          <w:lang w:val="en-GB"/>
        </w:rPr>
        <w:t>5</w:t>
      </w:r>
      <w:r w:rsidRPr="00380B40">
        <w:rPr>
          <w:lang w:val="en-GB"/>
        </w:rPr>
        <w:tab/>
        <w:t>to conduct awareness campaigns for consumers on the adverse impact of counterfeit and tampered products and telecommunication/ICT devices on the environment and on their own health, as well as on the degraded reliability, QoS and performance of such telecommunication/ICT devices,</w:t>
      </w:r>
    </w:p>
    <w:p w14:paraId="432D7AA1" w14:textId="77777777" w:rsidR="00596570" w:rsidRPr="00380B40" w:rsidRDefault="00596570" w:rsidP="00596570">
      <w:pPr>
        <w:pStyle w:val="Call"/>
        <w:rPr>
          <w:lang w:val="en-GB"/>
        </w:rPr>
      </w:pPr>
      <w:r w:rsidRPr="00380B40">
        <w:rPr>
          <w:lang w:val="en-GB"/>
        </w:rPr>
        <w:t>invites Sector Members</w:t>
      </w:r>
    </w:p>
    <w:p w14:paraId="42C658B1" w14:textId="77777777" w:rsidR="00596570" w:rsidRPr="00380B40" w:rsidRDefault="00596570" w:rsidP="00596570">
      <w:pPr>
        <w:rPr>
          <w:lang w:val="en-GB"/>
        </w:rPr>
      </w:pPr>
      <w:r w:rsidRPr="00380B40">
        <w:rPr>
          <w:lang w:val="en-GB"/>
        </w:rPr>
        <w:t>to collaborate with governments, administrations and telecommunication regulators in combating counterfeit and tampered telecommunication/ICT devices,</w:t>
      </w:r>
    </w:p>
    <w:p w14:paraId="4E454ED9" w14:textId="77777777" w:rsidR="00596570" w:rsidRPr="00380B40" w:rsidRDefault="00596570" w:rsidP="00596570">
      <w:pPr>
        <w:pStyle w:val="Call"/>
        <w:rPr>
          <w:lang w:val="en-GB"/>
        </w:rPr>
      </w:pPr>
      <w:r w:rsidRPr="00380B40">
        <w:rPr>
          <w:lang w:val="en-GB"/>
        </w:rPr>
        <w:t>invites all the membership</w:t>
      </w:r>
    </w:p>
    <w:p w14:paraId="53EEBEC9" w14:textId="77777777" w:rsidR="00596570" w:rsidRPr="00380B40" w:rsidRDefault="00596570" w:rsidP="00596570">
      <w:pPr>
        <w:rPr>
          <w:lang w:val="en-GB"/>
        </w:rPr>
      </w:pPr>
      <w:r w:rsidRPr="00380B40">
        <w:rPr>
          <w:lang w:val="en-GB"/>
        </w:rPr>
        <w:t>1</w:t>
      </w:r>
      <w:r w:rsidRPr="00380B40">
        <w:rPr>
          <w:lang w:val="en-GB"/>
        </w:rPr>
        <w:tab/>
        <w:t>to participate actively in ITU studies relating to combating counterfeit and tampered telecommunication/lCT devices by submitting contributions;</w:t>
      </w:r>
    </w:p>
    <w:p w14:paraId="091A0AB3" w14:textId="77777777" w:rsidR="00596570" w:rsidRPr="00380B40" w:rsidRDefault="00596570" w:rsidP="00596570">
      <w:pPr>
        <w:rPr>
          <w:lang w:val="en-GB"/>
        </w:rPr>
      </w:pPr>
      <w:r w:rsidRPr="00380B40">
        <w:rPr>
          <w:lang w:val="en-GB"/>
        </w:rPr>
        <w:t>2</w:t>
      </w:r>
      <w:r w:rsidRPr="00380B40">
        <w:rPr>
          <w:lang w:val="en-GB"/>
        </w:rPr>
        <w:tab/>
        <w:t>to take the necessary actions to prevent or detect tampering of unique telecommunication/ICT device identifiers, in particular regarding cloned telecommunication/ICT devices;</w:t>
      </w:r>
    </w:p>
    <w:p w14:paraId="47193B29" w14:textId="77777777" w:rsidR="00596570" w:rsidRPr="00380B40" w:rsidRDefault="00596570" w:rsidP="00596570">
      <w:pPr>
        <w:rPr>
          <w:lang w:val="en-GB"/>
        </w:rPr>
      </w:pPr>
      <w:r w:rsidRPr="00380B40">
        <w:rPr>
          <w:lang w:val="en-GB"/>
        </w:rPr>
        <w:t>3</w:t>
      </w:r>
      <w:r w:rsidRPr="00380B40">
        <w:rPr>
          <w:lang w:val="en-GB"/>
        </w:rPr>
        <w:tab/>
        <w:t>to collaborate and share expertise in this area.</w:t>
      </w:r>
    </w:p>
    <w:p w14:paraId="2DFF6E56" w14:textId="77777777" w:rsidR="000579ED" w:rsidRPr="00380B40"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B3895EF" w14:textId="77777777" w:rsidR="000579ED" w:rsidRPr="00380B40"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4DCD09D" w14:textId="77777777" w:rsidR="000579ED" w:rsidRPr="00380B40"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63BC1E5" w14:textId="77777777" w:rsidR="00D6176B" w:rsidRPr="00380B40" w:rsidRDefault="00D6176B" w:rsidP="00D6176B">
      <w:pPr>
        <w:rPr>
          <w:lang w:val="en-GB"/>
        </w:rPr>
      </w:pPr>
    </w:p>
    <w:p w14:paraId="5D8A4422" w14:textId="77777777" w:rsidR="00D6176B" w:rsidRPr="00380B40" w:rsidRDefault="00D6176B" w:rsidP="00D6176B">
      <w:pPr>
        <w:rPr>
          <w:lang w:val="en-GB"/>
        </w:rPr>
        <w:sectPr w:rsidR="00D6176B" w:rsidRPr="00380B40" w:rsidSect="00BE6C60">
          <w:headerReference w:type="even" r:id="rId328"/>
          <w:headerReference w:type="default" r:id="rId329"/>
          <w:footerReference w:type="even" r:id="rId330"/>
          <w:footerReference w:type="default" r:id="rId331"/>
          <w:headerReference w:type="first" r:id="rId332"/>
          <w:footerReference w:type="first" r:id="rId333"/>
          <w:footnotePr>
            <w:numRestart w:val="eachSect"/>
          </w:footnotePr>
          <w:pgSz w:w="11907" w:h="16834" w:code="9"/>
          <w:pgMar w:top="1134" w:right="1134" w:bottom="1134" w:left="1134" w:header="567" w:footer="567" w:gutter="0"/>
          <w:paperSrc w:first="15" w:other="15"/>
          <w:cols w:space="720"/>
          <w:vAlign w:val="both"/>
          <w:docGrid w:linePitch="299"/>
        </w:sectPr>
      </w:pPr>
    </w:p>
    <w:p w14:paraId="1C64B34E" w14:textId="77777777" w:rsidR="00596570" w:rsidRPr="00380B40" w:rsidRDefault="00596570" w:rsidP="002239A5">
      <w:pPr>
        <w:pStyle w:val="ResNo"/>
        <w:rPr>
          <w:lang w:val="en-GB"/>
        </w:rPr>
      </w:pPr>
      <w:bookmarkStart w:id="479" w:name="_Toc104459801"/>
      <w:bookmarkStart w:id="480" w:name="_Toc104476609"/>
      <w:bookmarkStart w:id="481" w:name="_Toc111636814"/>
      <w:bookmarkStart w:id="482" w:name="_Toc111638502"/>
      <w:r w:rsidRPr="00380B40">
        <w:rPr>
          <w:lang w:val="en-GB"/>
        </w:rPr>
        <w:t>RESOLUTION </w:t>
      </w:r>
      <w:r w:rsidRPr="00380B40">
        <w:rPr>
          <w:rStyle w:val="href"/>
          <w:lang w:val="en-GB"/>
        </w:rPr>
        <w:t>97</w:t>
      </w:r>
      <w:r w:rsidRPr="00380B40">
        <w:rPr>
          <w:lang w:val="en-GB"/>
        </w:rPr>
        <w:t xml:space="preserve"> </w:t>
      </w:r>
      <w:r w:rsidR="002239A5" w:rsidRPr="00380B40">
        <w:rPr>
          <w:lang w:val="en-GB"/>
        </w:rPr>
        <w:t>(R</w:t>
      </w:r>
      <w:r w:rsidR="00BB0DB7" w:rsidRPr="00380B40">
        <w:rPr>
          <w:caps w:val="0"/>
          <w:lang w:val="en-GB"/>
        </w:rPr>
        <w:t>ev</w:t>
      </w:r>
      <w:r w:rsidR="002239A5" w:rsidRPr="00380B40">
        <w:rPr>
          <w:lang w:val="en-GB"/>
        </w:rPr>
        <w:t>. G</w:t>
      </w:r>
      <w:r w:rsidR="00BB0DB7" w:rsidRPr="00380B40">
        <w:rPr>
          <w:caps w:val="0"/>
          <w:lang w:val="en-GB"/>
        </w:rPr>
        <w:t>eneva</w:t>
      </w:r>
      <w:r w:rsidR="002239A5" w:rsidRPr="00380B40">
        <w:rPr>
          <w:lang w:val="en-GB"/>
        </w:rPr>
        <w:t>, 2022)</w:t>
      </w:r>
      <w:bookmarkEnd w:id="479"/>
      <w:bookmarkEnd w:id="480"/>
      <w:bookmarkEnd w:id="481"/>
      <w:bookmarkEnd w:id="482"/>
    </w:p>
    <w:p w14:paraId="5E3F80D7" w14:textId="77777777" w:rsidR="002239A5" w:rsidRPr="00380B40" w:rsidRDefault="002239A5" w:rsidP="002239A5">
      <w:pPr>
        <w:pStyle w:val="Restitle"/>
        <w:rPr>
          <w:lang w:val="en-GB"/>
        </w:rPr>
      </w:pPr>
      <w:bookmarkStart w:id="483" w:name="_Toc104459802"/>
      <w:bookmarkStart w:id="484" w:name="_Toc104476610"/>
      <w:bookmarkStart w:id="485" w:name="_Toc111638503"/>
      <w:r w:rsidRPr="00380B40">
        <w:rPr>
          <w:lang w:val="en-GB"/>
        </w:rPr>
        <w:t>Combating mobile telecommunication device theft</w:t>
      </w:r>
      <w:bookmarkEnd w:id="483"/>
      <w:bookmarkEnd w:id="484"/>
      <w:bookmarkEnd w:id="485"/>
      <w:r w:rsidRPr="00380B40">
        <w:rPr>
          <w:lang w:val="en-GB"/>
        </w:rPr>
        <w:t xml:space="preserve"> </w:t>
      </w:r>
    </w:p>
    <w:p w14:paraId="453E9936" w14:textId="77777777" w:rsidR="002239A5" w:rsidRPr="00380B40" w:rsidRDefault="002239A5" w:rsidP="002239A5">
      <w:pPr>
        <w:pStyle w:val="Resref"/>
        <w:rPr>
          <w:lang w:val="en-GB"/>
        </w:rPr>
      </w:pPr>
      <w:r w:rsidRPr="00380B40">
        <w:rPr>
          <w:lang w:val="en-GB"/>
        </w:rPr>
        <w:t>(Hammamet, 2016; Geneva, 2022)</w:t>
      </w:r>
    </w:p>
    <w:p w14:paraId="0D88960B" w14:textId="77777777" w:rsidR="002239A5" w:rsidRPr="00380B40" w:rsidRDefault="002239A5" w:rsidP="002239A5">
      <w:pPr>
        <w:pStyle w:val="Normalaftertitle0"/>
      </w:pPr>
      <w:r w:rsidRPr="00380B40">
        <w:t>The World Telecommunication Standardization Assembly (Geneva, 2022),</w:t>
      </w:r>
    </w:p>
    <w:p w14:paraId="4BF0ED47" w14:textId="77777777" w:rsidR="002239A5" w:rsidRPr="00380B40" w:rsidRDefault="002239A5" w:rsidP="002239A5">
      <w:pPr>
        <w:pStyle w:val="Call"/>
        <w:rPr>
          <w:lang w:val="en-GB"/>
        </w:rPr>
      </w:pPr>
      <w:r w:rsidRPr="00380B40">
        <w:rPr>
          <w:lang w:val="en-GB"/>
        </w:rPr>
        <w:t>recalling</w:t>
      </w:r>
    </w:p>
    <w:p w14:paraId="74CB88FE" w14:textId="77777777" w:rsidR="002239A5" w:rsidRPr="00380B40" w:rsidRDefault="002239A5" w:rsidP="002239A5">
      <w:pPr>
        <w:rPr>
          <w:lang w:val="en-GB"/>
        </w:rPr>
      </w:pPr>
      <w:r w:rsidRPr="00380B40">
        <w:rPr>
          <w:i/>
          <w:iCs/>
          <w:lang w:val="en-GB"/>
        </w:rPr>
        <w:t>a)</w:t>
      </w:r>
      <w:r w:rsidRPr="00380B40">
        <w:rPr>
          <w:lang w:val="en-GB"/>
        </w:rPr>
        <w:tab/>
        <w:t>Resolution 196 (Rev. Dubai, 2018) of the Plenipotentiary Conference, on protecting telecommunication service users/consumers;</w:t>
      </w:r>
    </w:p>
    <w:p w14:paraId="3F536E10" w14:textId="77777777" w:rsidR="002239A5" w:rsidRPr="00380B40" w:rsidRDefault="002239A5" w:rsidP="002239A5">
      <w:pPr>
        <w:rPr>
          <w:lang w:val="en-GB"/>
        </w:rPr>
      </w:pPr>
      <w:r w:rsidRPr="00380B40">
        <w:rPr>
          <w:i/>
          <w:iCs/>
          <w:lang w:val="en-GB"/>
        </w:rPr>
        <w:t>b)</w:t>
      </w:r>
      <w:r w:rsidRPr="00380B40">
        <w:rPr>
          <w:lang w:val="en-GB"/>
        </w:rPr>
        <w:tab/>
        <w:t>Resolution 189 (Rev. Dubai, 2018) of the Plenipotentiary Conference, on assisting Member States to combat and deter mobile device theft;</w:t>
      </w:r>
    </w:p>
    <w:p w14:paraId="7EB223F7" w14:textId="77777777" w:rsidR="002239A5" w:rsidRPr="00380B40" w:rsidRDefault="002239A5" w:rsidP="002239A5">
      <w:pPr>
        <w:rPr>
          <w:lang w:val="en-GB"/>
        </w:rPr>
      </w:pPr>
      <w:r w:rsidRPr="00380B40">
        <w:rPr>
          <w:i/>
          <w:iCs/>
          <w:lang w:val="en-GB"/>
        </w:rPr>
        <w:t>c)</w:t>
      </w:r>
      <w:r w:rsidRPr="00380B40">
        <w:rPr>
          <w:lang w:val="en-GB"/>
        </w:rPr>
        <w:tab/>
        <w:t>Resolution 188 (Rev. Dubai, 2018) of the Plenipotentiary Conference, on combating counterfeit telecommunication/information and communication technology (ICT) devices;</w:t>
      </w:r>
    </w:p>
    <w:p w14:paraId="131AB7DD" w14:textId="77777777" w:rsidR="002239A5" w:rsidRPr="00380B40" w:rsidRDefault="002239A5" w:rsidP="002239A5">
      <w:pPr>
        <w:rPr>
          <w:lang w:val="en-GB"/>
        </w:rPr>
      </w:pPr>
      <w:r w:rsidRPr="00380B40">
        <w:rPr>
          <w:i/>
          <w:iCs/>
          <w:lang w:val="en-GB"/>
        </w:rPr>
        <w:t>d)</w:t>
      </w:r>
      <w:r w:rsidRPr="00380B40">
        <w:rPr>
          <w:lang w:val="en-GB"/>
        </w:rPr>
        <w:tab/>
        <w:t>Resolution 174 (Rev. Busan, 2014) of the Plenipotentiary Conference, on ITU's role with regard to international public policy issues relating to the risk of illicit use of ICTs;</w:t>
      </w:r>
    </w:p>
    <w:p w14:paraId="030C59F4" w14:textId="77777777" w:rsidR="002239A5" w:rsidRPr="00380B40" w:rsidRDefault="002239A5" w:rsidP="002239A5">
      <w:pPr>
        <w:rPr>
          <w:lang w:val="en-GB"/>
        </w:rPr>
      </w:pPr>
      <w:r w:rsidRPr="00380B40">
        <w:rPr>
          <w:i/>
          <w:iCs/>
          <w:lang w:val="en-GB"/>
        </w:rPr>
        <w:t>e)</w:t>
      </w:r>
      <w:r w:rsidRPr="00380B40">
        <w:rPr>
          <w:lang w:val="en-GB"/>
        </w:rPr>
        <w:tab/>
        <w:t>Resolution 79 (Rev. Buenos Aires, 2017) of the World Telecommunication Development Conference (WTDC), on the role of telecommunications/ICTs in combating and dealing with counterfeit telecommunication/ICT devices;</w:t>
      </w:r>
    </w:p>
    <w:p w14:paraId="0BE38FC1" w14:textId="77777777" w:rsidR="002239A5" w:rsidRPr="00380B40" w:rsidRDefault="002239A5" w:rsidP="002239A5">
      <w:pPr>
        <w:rPr>
          <w:iCs/>
          <w:lang w:val="en-GB"/>
        </w:rPr>
      </w:pPr>
      <w:r w:rsidRPr="00380B40">
        <w:rPr>
          <w:i/>
          <w:iCs/>
          <w:lang w:val="en-GB"/>
        </w:rPr>
        <w:t>f)</w:t>
      </w:r>
      <w:r w:rsidRPr="00380B40">
        <w:rPr>
          <w:i/>
          <w:lang w:val="en-GB"/>
        </w:rPr>
        <w:tab/>
      </w:r>
      <w:r w:rsidRPr="00380B40">
        <w:rPr>
          <w:iCs/>
          <w:lang w:val="en-GB"/>
        </w:rPr>
        <w:t>WTDC Resolution 64 (</w:t>
      </w:r>
      <w:r w:rsidRPr="00380B40">
        <w:rPr>
          <w:lang w:val="en-GB"/>
        </w:rPr>
        <w:t>Rev. Buenos Aires, 2017</w:t>
      </w:r>
      <w:r w:rsidRPr="00380B40">
        <w:rPr>
          <w:iCs/>
          <w:lang w:val="en-GB"/>
        </w:rPr>
        <w:t>), on protecting and supporting users/consumers of telecommunication/ICT services,</w:t>
      </w:r>
    </w:p>
    <w:p w14:paraId="340E95BD" w14:textId="77777777" w:rsidR="002239A5" w:rsidRPr="00380B40" w:rsidRDefault="002239A5" w:rsidP="002239A5">
      <w:pPr>
        <w:pStyle w:val="Call"/>
        <w:rPr>
          <w:lang w:val="en-GB"/>
        </w:rPr>
      </w:pPr>
      <w:r w:rsidRPr="00380B40">
        <w:rPr>
          <w:lang w:val="en-GB"/>
        </w:rPr>
        <w:t>recognizing</w:t>
      </w:r>
    </w:p>
    <w:p w14:paraId="2E934E17" w14:textId="77777777" w:rsidR="002239A5" w:rsidRPr="00380B40" w:rsidRDefault="002239A5" w:rsidP="002239A5">
      <w:pPr>
        <w:rPr>
          <w:b/>
          <w:bCs/>
          <w:lang w:val="en-GB"/>
        </w:rPr>
      </w:pPr>
      <w:r w:rsidRPr="00380B40">
        <w:rPr>
          <w:i/>
          <w:iCs/>
          <w:lang w:val="en-GB"/>
        </w:rPr>
        <w:t>a)</w:t>
      </w:r>
      <w:r w:rsidRPr="00380B40">
        <w:rPr>
          <w:lang w:val="en-GB"/>
        </w:rPr>
        <w:tab/>
        <w:t>that governments and industry have implemented actions to deter and combat mobile device theft;</w:t>
      </w:r>
    </w:p>
    <w:p w14:paraId="64279C29" w14:textId="77777777" w:rsidR="002239A5" w:rsidRPr="00380B40" w:rsidRDefault="002239A5" w:rsidP="002239A5">
      <w:pPr>
        <w:rPr>
          <w:lang w:val="en-GB"/>
        </w:rPr>
      </w:pPr>
      <w:r w:rsidRPr="00380B40">
        <w:rPr>
          <w:i/>
          <w:iCs/>
          <w:lang w:val="en-GB"/>
        </w:rPr>
        <w:t>b)</w:t>
      </w:r>
      <w:r w:rsidRPr="00380B40">
        <w:rPr>
          <w:i/>
          <w:iCs/>
          <w:lang w:val="en-GB"/>
        </w:rPr>
        <w:tab/>
      </w:r>
      <w:r w:rsidRPr="00380B40">
        <w:rPr>
          <w:lang w:val="en-GB"/>
        </w:rPr>
        <w:t>that the theft of user-owned mobile devices may lead to the criminal use of telecommunication/ICT services and applications, resulting in economic losses for the lawful owner and user;</w:t>
      </w:r>
    </w:p>
    <w:p w14:paraId="5E9EC43F" w14:textId="77777777" w:rsidR="002239A5" w:rsidRPr="00380B40" w:rsidRDefault="002239A5" w:rsidP="002239A5">
      <w:pPr>
        <w:rPr>
          <w:i/>
          <w:iCs/>
          <w:lang w:val="en-GB"/>
        </w:rPr>
      </w:pPr>
      <w:r w:rsidRPr="00380B40">
        <w:rPr>
          <w:i/>
          <w:iCs/>
          <w:lang w:val="en-GB"/>
        </w:rPr>
        <w:t>c)</w:t>
      </w:r>
      <w:r w:rsidRPr="00380B40">
        <w:rPr>
          <w:lang w:val="en-GB"/>
        </w:rPr>
        <w:tab/>
        <w:t>that measures to combat mobile device theft adopted by some countries rely on unique device identifiers, such as International Mobile Equipment Identity, and therefore tampering with (changing without authorization) unique identifiers can diminish the effectiveness of these solutions;</w:t>
      </w:r>
    </w:p>
    <w:p w14:paraId="0BDB83E6" w14:textId="77777777" w:rsidR="002239A5" w:rsidRPr="00380B40" w:rsidRDefault="002239A5" w:rsidP="002239A5">
      <w:pPr>
        <w:rPr>
          <w:lang w:val="en-GB"/>
        </w:rPr>
      </w:pPr>
      <w:r w:rsidRPr="00380B40">
        <w:rPr>
          <w:i/>
          <w:iCs/>
          <w:lang w:val="en-GB"/>
        </w:rPr>
        <w:t>d)</w:t>
      </w:r>
      <w:r w:rsidRPr="00380B40">
        <w:rPr>
          <w:lang w:val="en-GB"/>
        </w:rPr>
        <w:tab/>
        <w:t>that some solutions to combat counterfeit telecommunication/ICT devices can also be used to combat the use of stolen telecommunication/ICT devices, in particular those devices whose unique identifiers have been tampered with for the purpose of re-introducing them to the market;</w:t>
      </w:r>
    </w:p>
    <w:p w14:paraId="7F5FCE51" w14:textId="77777777" w:rsidR="002239A5" w:rsidRPr="00380B40" w:rsidRDefault="002239A5" w:rsidP="002239A5">
      <w:pPr>
        <w:rPr>
          <w:lang w:val="en-GB"/>
        </w:rPr>
      </w:pPr>
      <w:r w:rsidRPr="00380B40">
        <w:rPr>
          <w:i/>
          <w:iCs/>
          <w:lang w:val="en-GB"/>
        </w:rPr>
        <w:t>e)</w:t>
      </w:r>
      <w:r w:rsidRPr="00380B40">
        <w:rPr>
          <w:i/>
          <w:iCs/>
          <w:lang w:val="en-GB"/>
        </w:rPr>
        <w:tab/>
      </w:r>
      <w:r w:rsidRPr="00380B40">
        <w:rPr>
          <w:lang w:val="en-GB"/>
        </w:rPr>
        <w:t>that studies on combating counterfeiting, including of telecommunication/ICT devices, and the systems adopted on the basis on those studies, can facilitate the detection and blocking of devices and prevention of their further use,</w:t>
      </w:r>
    </w:p>
    <w:p w14:paraId="197AE95F" w14:textId="77777777" w:rsidR="00BB0DB7" w:rsidRPr="00380B40" w:rsidRDefault="00BB0DB7" w:rsidP="002239A5">
      <w:pPr>
        <w:pStyle w:val="Call"/>
        <w:rPr>
          <w:lang w:val="en-GB"/>
        </w:rPr>
      </w:pPr>
      <w:r w:rsidRPr="00380B40">
        <w:rPr>
          <w:lang w:val="en-GB"/>
        </w:rPr>
        <w:br w:type="page"/>
      </w:r>
    </w:p>
    <w:p w14:paraId="1B57A360" w14:textId="77777777" w:rsidR="002239A5" w:rsidRPr="00380B40" w:rsidRDefault="002239A5" w:rsidP="002239A5">
      <w:pPr>
        <w:pStyle w:val="Call"/>
        <w:rPr>
          <w:lang w:val="en-GB"/>
        </w:rPr>
      </w:pPr>
      <w:r w:rsidRPr="00380B40">
        <w:rPr>
          <w:lang w:val="en-GB"/>
        </w:rPr>
        <w:t>considering</w:t>
      </w:r>
    </w:p>
    <w:p w14:paraId="0C2366C1" w14:textId="77777777" w:rsidR="002239A5" w:rsidRPr="00380B40" w:rsidRDefault="002239A5" w:rsidP="002239A5">
      <w:pPr>
        <w:rPr>
          <w:lang w:val="en-GB"/>
        </w:rPr>
      </w:pPr>
      <w:r w:rsidRPr="00380B40">
        <w:rPr>
          <w:lang w:val="en-GB"/>
        </w:rPr>
        <w:t>that technological innovation driven by ICTs has significantly modified the ways in which people access telecommunications,</w:t>
      </w:r>
    </w:p>
    <w:p w14:paraId="4529BB87" w14:textId="77777777" w:rsidR="002239A5" w:rsidRPr="00380B40" w:rsidRDefault="002239A5" w:rsidP="002239A5">
      <w:pPr>
        <w:pStyle w:val="Call"/>
        <w:rPr>
          <w:lang w:val="en-GB"/>
        </w:rPr>
      </w:pPr>
      <w:r w:rsidRPr="00380B40">
        <w:rPr>
          <w:lang w:val="en-GB"/>
        </w:rPr>
        <w:t>aware</w:t>
      </w:r>
    </w:p>
    <w:p w14:paraId="6D0BF378" w14:textId="77777777" w:rsidR="002239A5" w:rsidRPr="00380B40" w:rsidRDefault="002239A5" w:rsidP="002239A5">
      <w:pPr>
        <w:rPr>
          <w:lang w:val="en-GB"/>
        </w:rPr>
      </w:pPr>
      <w:r w:rsidRPr="00380B40">
        <w:rPr>
          <w:i/>
          <w:iCs/>
          <w:lang w:val="en-GB"/>
        </w:rPr>
        <w:t>a)</w:t>
      </w:r>
      <w:r w:rsidRPr="00380B40">
        <w:rPr>
          <w:lang w:val="en-GB"/>
        </w:rPr>
        <w:tab/>
        <w:t>of the related ongoing work in ITU Telecommunication Standardization Sector (ITU</w:t>
      </w:r>
      <w:r w:rsidRPr="00380B40">
        <w:rPr>
          <w:lang w:val="en-GB"/>
        </w:rPr>
        <w:noBreakHyphen/>
        <w:t>T) Study Group 11 on combating counterfeit and mobile device theft;</w:t>
      </w:r>
    </w:p>
    <w:p w14:paraId="7E884318" w14:textId="77777777" w:rsidR="002239A5" w:rsidRPr="00380B40" w:rsidRDefault="002239A5" w:rsidP="002239A5">
      <w:pPr>
        <w:rPr>
          <w:lang w:val="en-GB"/>
        </w:rPr>
      </w:pPr>
      <w:r w:rsidRPr="00380B40">
        <w:rPr>
          <w:i/>
          <w:iCs/>
          <w:lang w:val="en-GB"/>
        </w:rPr>
        <w:t>b)</w:t>
      </w:r>
      <w:r w:rsidRPr="00380B40">
        <w:rPr>
          <w:lang w:val="en-GB"/>
        </w:rPr>
        <w:tab/>
        <w:t>of the related ongoing work in ITU</w:t>
      </w:r>
      <w:r w:rsidRPr="00380B40">
        <w:rPr>
          <w:lang w:val="en-GB"/>
        </w:rPr>
        <w:noBreakHyphen/>
        <w:t>T Study Group 17 on security;</w:t>
      </w:r>
    </w:p>
    <w:p w14:paraId="4C82DD57" w14:textId="77777777" w:rsidR="002239A5" w:rsidRPr="00380B40" w:rsidRDefault="002239A5" w:rsidP="002239A5">
      <w:pPr>
        <w:rPr>
          <w:i/>
          <w:lang w:val="en-GB" w:eastAsia="zh-CN"/>
        </w:rPr>
      </w:pPr>
      <w:r w:rsidRPr="00380B40">
        <w:rPr>
          <w:rFonts w:eastAsia="SimSun"/>
          <w:i/>
          <w:lang w:val="en-GB" w:eastAsia="zh-CN"/>
        </w:rPr>
        <w:t>c</w:t>
      </w:r>
      <w:r w:rsidRPr="00380B40">
        <w:rPr>
          <w:i/>
          <w:lang w:val="en-GB"/>
        </w:rPr>
        <w:t>)</w:t>
      </w:r>
      <w:r w:rsidRPr="00380B40">
        <w:rPr>
          <w:lang w:val="en-GB"/>
        </w:rPr>
        <w:tab/>
        <w:t xml:space="preserve">of the related ongoing work in ITU-T study groups on </w:t>
      </w:r>
      <w:r w:rsidRPr="00380B40">
        <w:rPr>
          <w:rFonts w:eastAsia="SimSun"/>
          <w:lang w:val="en-GB" w:eastAsia="zh-CN"/>
        </w:rPr>
        <w:t>applying emerging technologies for distributed information sharing solutions</w:t>
      </w:r>
      <w:r w:rsidRPr="00380B40">
        <w:rPr>
          <w:lang w:val="en-GB"/>
        </w:rPr>
        <w:t>,</w:t>
      </w:r>
    </w:p>
    <w:p w14:paraId="5372228E" w14:textId="77777777" w:rsidR="002239A5" w:rsidRPr="00380B40" w:rsidRDefault="002239A5" w:rsidP="002239A5">
      <w:pPr>
        <w:pStyle w:val="Call"/>
        <w:rPr>
          <w:lang w:val="en-GB" w:eastAsia="zh-CN"/>
        </w:rPr>
      </w:pPr>
      <w:r w:rsidRPr="00380B40">
        <w:rPr>
          <w:lang w:val="en-GB" w:eastAsia="zh-CN"/>
        </w:rPr>
        <w:t>resolves</w:t>
      </w:r>
    </w:p>
    <w:p w14:paraId="5CA47428" w14:textId="77777777" w:rsidR="002239A5" w:rsidRPr="00380B40" w:rsidRDefault="002239A5" w:rsidP="002239A5">
      <w:pPr>
        <w:rPr>
          <w:b/>
          <w:bCs/>
          <w:lang w:val="en-GB"/>
        </w:rPr>
      </w:pPr>
      <w:r w:rsidRPr="00380B40">
        <w:rPr>
          <w:lang w:val="en-GB"/>
        </w:rPr>
        <w:t>1</w:t>
      </w:r>
      <w:r w:rsidRPr="00380B40">
        <w:rPr>
          <w:lang w:val="en-GB"/>
        </w:rPr>
        <w:tab/>
        <w:t>that ITU</w:t>
      </w:r>
      <w:r w:rsidRPr="00380B40">
        <w:rPr>
          <w:lang w:val="en-GB"/>
        </w:rPr>
        <w:noBreakHyphen/>
        <w:t>T should explore all applicable solutions and develop ITU</w:t>
      </w:r>
      <w:r w:rsidRPr="00380B40">
        <w:rPr>
          <w:lang w:val="en-GB"/>
        </w:rPr>
        <w:noBreakHyphen/>
        <w:t>T Recommendations to combat and deter mobile device theft and its negative effects, offering all interested parties a forum for encouraging discussion, member cooperation, the exchange of best practices and guidelines and the dissemination of information on combating mobile device theft;</w:t>
      </w:r>
    </w:p>
    <w:p w14:paraId="2C0902D1" w14:textId="77777777" w:rsidR="002239A5" w:rsidRPr="00380B40" w:rsidRDefault="002239A5" w:rsidP="002239A5">
      <w:pPr>
        <w:rPr>
          <w:lang w:val="en-GB" w:eastAsia="zh-CN"/>
        </w:rPr>
      </w:pPr>
      <w:r w:rsidRPr="00380B40">
        <w:rPr>
          <w:lang w:val="en-GB" w:eastAsia="zh-CN"/>
        </w:rPr>
        <w:t>2</w:t>
      </w:r>
      <w:r w:rsidRPr="00380B40">
        <w:rPr>
          <w:lang w:val="en-GB" w:eastAsia="zh-CN"/>
        </w:rPr>
        <w:tab/>
        <w:t>that ITU</w:t>
      </w:r>
      <w:r w:rsidRPr="00380B40">
        <w:rPr>
          <w:lang w:val="en-GB" w:eastAsia="zh-CN"/>
        </w:rPr>
        <w:noBreakHyphen/>
        <w:t>T should, in collaboration with the relevant standards organizations, develop solutions to address the problem of replication of unique identifiers;</w:t>
      </w:r>
    </w:p>
    <w:p w14:paraId="70BDCF0F" w14:textId="77777777" w:rsidR="002239A5" w:rsidRPr="00380B40" w:rsidRDefault="002239A5" w:rsidP="002239A5">
      <w:pPr>
        <w:rPr>
          <w:lang w:val="en-GB" w:eastAsia="zh-CN"/>
        </w:rPr>
      </w:pPr>
      <w:r w:rsidRPr="00380B40">
        <w:rPr>
          <w:lang w:val="en-GB"/>
        </w:rPr>
        <w:t>3</w:t>
      </w:r>
      <w:r w:rsidRPr="00380B40">
        <w:rPr>
          <w:lang w:val="en-GB"/>
        </w:rPr>
        <w:tab/>
        <w:t>that Study Group 11 should be the lead study group in ITU</w:t>
      </w:r>
      <w:r w:rsidRPr="00380B40">
        <w:rPr>
          <w:lang w:val="en-GB"/>
        </w:rPr>
        <w:noBreakHyphen/>
        <w:t>T on activities relating to combating mobile telecommunication device theft,</w:t>
      </w:r>
    </w:p>
    <w:p w14:paraId="3CBD6910" w14:textId="77777777" w:rsidR="002239A5" w:rsidRPr="00380B40" w:rsidRDefault="002239A5" w:rsidP="002239A5">
      <w:pPr>
        <w:pStyle w:val="Call"/>
        <w:rPr>
          <w:lang w:val="en-GB" w:eastAsia="zh-CN"/>
        </w:rPr>
      </w:pPr>
      <w:r w:rsidRPr="00380B40">
        <w:rPr>
          <w:lang w:val="en-GB" w:eastAsia="zh-CN"/>
        </w:rPr>
        <w:t>instructs the Director of the Telecommunication Standardization Bureau, in collaboration with the Directors of the Radiocommunication Bureau and Telecommunication Development Bureau</w:t>
      </w:r>
    </w:p>
    <w:p w14:paraId="497452F8" w14:textId="77777777" w:rsidR="002239A5" w:rsidRPr="00380B40" w:rsidRDefault="002239A5" w:rsidP="002239A5">
      <w:pPr>
        <w:rPr>
          <w:lang w:val="en-GB"/>
        </w:rPr>
      </w:pPr>
      <w:r w:rsidRPr="00380B40">
        <w:rPr>
          <w:lang w:val="en-GB"/>
        </w:rPr>
        <w:t>1</w:t>
      </w:r>
      <w:r w:rsidRPr="00380B40">
        <w:rPr>
          <w:lang w:val="en-GB"/>
        </w:rPr>
        <w:tab/>
        <w:t>to compile and share information on best practices developed by industry or governments and promising trends in combating mobile device theft,</w:t>
      </w:r>
      <w:r w:rsidRPr="00380B40">
        <w:rPr>
          <w:lang w:val="en-GB" w:eastAsia="zh-CN"/>
        </w:rPr>
        <w:t xml:space="preserve"> especially from regions where the rate of mobile phone theft has fallen, including statistics on their effectiveness</w:t>
      </w:r>
      <w:r w:rsidRPr="00380B40">
        <w:rPr>
          <w:lang w:val="en-GB"/>
        </w:rPr>
        <w:t>;</w:t>
      </w:r>
    </w:p>
    <w:p w14:paraId="0E9FCADD" w14:textId="77777777" w:rsidR="002239A5" w:rsidRPr="00380B40" w:rsidRDefault="002239A5" w:rsidP="002239A5">
      <w:pPr>
        <w:rPr>
          <w:lang w:val="en-GB"/>
        </w:rPr>
      </w:pPr>
      <w:r w:rsidRPr="00380B40">
        <w:rPr>
          <w:lang w:val="en-GB"/>
        </w:rPr>
        <w:t>2</w:t>
      </w:r>
      <w:r w:rsidRPr="00380B40">
        <w:rPr>
          <w:lang w:val="en-GB"/>
        </w:rPr>
        <w:tab/>
        <w:t>to facilitate, in collaboration with industry organizations and standards-development organizations (SDOs), the standardization and dissemination of Recommendations, technical reports and guidelines to combat mobile device theft and its negative effects, specifically regarding the exchange of identifiers of mobile devices reported stolen or lost, and to prevent lost or stolen mobile devices from accessing mobile networks;</w:t>
      </w:r>
    </w:p>
    <w:p w14:paraId="233640CD" w14:textId="77777777" w:rsidR="002239A5" w:rsidRPr="00380B40" w:rsidRDefault="002239A5" w:rsidP="002239A5">
      <w:pPr>
        <w:rPr>
          <w:lang w:val="en-GB"/>
        </w:rPr>
      </w:pPr>
      <w:r w:rsidRPr="00380B40">
        <w:rPr>
          <w:lang w:val="en-GB"/>
        </w:rPr>
        <w:t>3</w:t>
      </w:r>
      <w:r w:rsidRPr="00380B40">
        <w:rPr>
          <w:lang w:val="en-GB"/>
        </w:rPr>
        <w:tab/>
        <w:t>to consult with the Sector</w:t>
      </w:r>
      <w:r w:rsidR="00F82355" w:rsidRPr="00380B40">
        <w:rPr>
          <w:lang w:val="en-GB"/>
        </w:rPr>
        <w:t>'</w:t>
      </w:r>
      <w:r w:rsidRPr="00380B40">
        <w:rPr>
          <w:lang w:val="en-GB"/>
        </w:rPr>
        <w:t>s relevant study groups, manufacturers of mobile devices, manufacturers of telecommunication network components, operators, telecommunication SDOs as well as developers of promising technologies related to these matters, in order to identify existing and future technological measures, both software and hardware, to mitigate the consequences of the use of stolen mobile devices;</w:t>
      </w:r>
    </w:p>
    <w:p w14:paraId="7360BB02" w14:textId="77777777" w:rsidR="002239A5" w:rsidRPr="00380B40" w:rsidRDefault="002239A5" w:rsidP="002239A5">
      <w:pPr>
        <w:rPr>
          <w:lang w:val="en-GB"/>
        </w:rPr>
      </w:pPr>
      <w:r w:rsidRPr="00380B40">
        <w:rPr>
          <w:lang w:val="en-GB"/>
        </w:rPr>
        <w:t>4</w:t>
      </w:r>
      <w:r w:rsidRPr="00380B40">
        <w:rPr>
          <w:lang w:val="en-GB"/>
        </w:rPr>
        <w:tab/>
        <w:t>to provide assistance, within ITU</w:t>
      </w:r>
      <w:r w:rsidRPr="00380B40">
        <w:rPr>
          <w:lang w:val="en-GB"/>
        </w:rPr>
        <w:noBreakHyphen/>
        <w:t>T's expertise and within available resources, as appropriate, in cooperation with relevant organizations, to Member States, if so requested, in order to reduce mobile device theft and the use of stolen mobile devices in their countries;</w:t>
      </w:r>
    </w:p>
    <w:p w14:paraId="60F320F4" w14:textId="77777777" w:rsidR="00924F80" w:rsidRPr="00380B40" w:rsidRDefault="00924F80" w:rsidP="002239A5">
      <w:pPr>
        <w:rPr>
          <w:lang w:val="en-GB" w:eastAsia="zh-CN"/>
        </w:rPr>
      </w:pPr>
      <w:r w:rsidRPr="00380B40">
        <w:rPr>
          <w:lang w:val="en-GB" w:eastAsia="zh-CN"/>
        </w:rPr>
        <w:br w:type="page"/>
      </w:r>
    </w:p>
    <w:p w14:paraId="6A4419C3" w14:textId="77777777" w:rsidR="002239A5" w:rsidRPr="00380B40" w:rsidRDefault="002239A5" w:rsidP="002239A5">
      <w:pPr>
        <w:rPr>
          <w:lang w:val="en-GB" w:eastAsia="zh-CN"/>
        </w:rPr>
      </w:pPr>
      <w:r w:rsidRPr="00380B40">
        <w:rPr>
          <w:lang w:val="en-GB" w:eastAsia="zh-CN"/>
        </w:rPr>
        <w:t>5</w:t>
      </w:r>
      <w:r w:rsidRPr="00380B40">
        <w:rPr>
          <w:lang w:val="en-GB" w:eastAsia="zh-CN"/>
        </w:rPr>
        <w:tab/>
        <w:t>to share information and experiences on how to control tampering (unauthorized changing) of unique mobile telecommunication/ICT device identifiers and prevent tampered devices from accessing mobile networks,</w:t>
      </w:r>
    </w:p>
    <w:p w14:paraId="519D47F9" w14:textId="77777777" w:rsidR="002239A5" w:rsidRPr="00380B40" w:rsidRDefault="002239A5" w:rsidP="002239A5">
      <w:pPr>
        <w:pStyle w:val="Call"/>
        <w:rPr>
          <w:lang w:val="en-GB" w:eastAsia="zh-CN"/>
        </w:rPr>
      </w:pPr>
      <w:r w:rsidRPr="00380B40">
        <w:rPr>
          <w:lang w:val="en-GB"/>
        </w:rPr>
        <w:t>instructs</w:t>
      </w:r>
      <w:r w:rsidRPr="00380B40">
        <w:rPr>
          <w:lang w:val="en-GB" w:eastAsia="zh-CN"/>
        </w:rPr>
        <w:t xml:space="preserve"> Study Groups 11 and 17</w:t>
      </w:r>
      <w:r w:rsidRPr="00380B40">
        <w:rPr>
          <w:i w:val="0"/>
          <w:lang w:val="en-GB"/>
        </w:rPr>
        <w:t xml:space="preserve"> </w:t>
      </w:r>
      <w:r w:rsidRPr="00380B40">
        <w:rPr>
          <w:iCs/>
          <w:lang w:val="en-GB"/>
        </w:rPr>
        <w:t>of the</w:t>
      </w:r>
      <w:r w:rsidRPr="00380B40">
        <w:rPr>
          <w:i w:val="0"/>
          <w:lang w:val="en-GB"/>
        </w:rPr>
        <w:t xml:space="preserve"> </w:t>
      </w:r>
      <w:r w:rsidRPr="00380B40">
        <w:rPr>
          <w:lang w:val="en-GB" w:eastAsia="zh-CN"/>
        </w:rPr>
        <w:t>ITU Telecommunication Standardization Sector, within their mandates and in collaboration with other interested study groups</w:t>
      </w:r>
    </w:p>
    <w:p w14:paraId="19DEF825" w14:textId="77777777" w:rsidR="002239A5" w:rsidRPr="00380B40" w:rsidRDefault="002239A5" w:rsidP="002239A5">
      <w:pPr>
        <w:rPr>
          <w:lang w:val="en-GB"/>
        </w:rPr>
      </w:pPr>
      <w:r w:rsidRPr="00380B40">
        <w:rPr>
          <w:lang w:val="en-GB"/>
        </w:rPr>
        <w:t>1</w:t>
      </w:r>
      <w:r w:rsidRPr="00380B40">
        <w:rPr>
          <w:lang w:val="en-GB"/>
        </w:rPr>
        <w:tab/>
        <w:t>to develop Recommendations, technical reports and guidelines to address the problem of mobile telecommunication device theft and its negative effects;</w:t>
      </w:r>
    </w:p>
    <w:p w14:paraId="19E2715F" w14:textId="77777777" w:rsidR="002239A5" w:rsidRPr="00380B40" w:rsidRDefault="002239A5" w:rsidP="002239A5">
      <w:pPr>
        <w:rPr>
          <w:lang w:val="en-GB"/>
        </w:rPr>
      </w:pPr>
      <w:r w:rsidRPr="00380B40">
        <w:rPr>
          <w:lang w:val="en-GB"/>
        </w:rPr>
        <w:t>2</w:t>
      </w:r>
      <w:r w:rsidRPr="00380B40">
        <w:rPr>
          <w:lang w:val="en-GB"/>
        </w:rPr>
        <w:tab/>
        <w:t>to study any possible solutions to combat the use of stolen mobile telecommunication devices with tampered (changed without authorization) identities and to prevent them from accessing the mobile network;</w:t>
      </w:r>
    </w:p>
    <w:p w14:paraId="1F23F965" w14:textId="77777777" w:rsidR="002239A5" w:rsidRPr="00380B40" w:rsidRDefault="002239A5" w:rsidP="002239A5">
      <w:pPr>
        <w:rPr>
          <w:lang w:val="en-GB"/>
        </w:rPr>
      </w:pPr>
      <w:r w:rsidRPr="00380B40">
        <w:rPr>
          <w:lang w:val="en-GB"/>
        </w:rPr>
        <w:t>3</w:t>
      </w:r>
      <w:r w:rsidRPr="00380B40">
        <w:rPr>
          <w:lang w:val="en-GB"/>
        </w:rPr>
        <w:tab/>
        <w:t>to study any technologies that can be used as a tool for combating mobile telecommunication device theft;</w:t>
      </w:r>
    </w:p>
    <w:p w14:paraId="42234DCA" w14:textId="77777777" w:rsidR="002239A5" w:rsidRPr="00380B40" w:rsidRDefault="002239A5" w:rsidP="002239A5">
      <w:pPr>
        <w:rPr>
          <w:lang w:val="en-GB" w:eastAsia="zh-CN"/>
        </w:rPr>
      </w:pPr>
      <w:r w:rsidRPr="00380B40">
        <w:rPr>
          <w:lang w:val="en-GB" w:eastAsia="zh-CN"/>
        </w:rPr>
        <w:t>4</w:t>
      </w:r>
      <w:r w:rsidRPr="00380B40">
        <w:rPr>
          <w:lang w:val="en-GB" w:eastAsia="zh-CN"/>
        </w:rPr>
        <w:tab/>
        <w:t>to draw up a list of identifiers used in mobile telecommunication/ICT devices,</w:t>
      </w:r>
    </w:p>
    <w:p w14:paraId="5F6C1DC4" w14:textId="77777777" w:rsidR="002239A5" w:rsidRPr="00380B40" w:rsidRDefault="002239A5" w:rsidP="002239A5">
      <w:pPr>
        <w:pStyle w:val="Call"/>
        <w:rPr>
          <w:lang w:val="en-GB" w:eastAsia="zh-CN"/>
        </w:rPr>
      </w:pPr>
      <w:r w:rsidRPr="00380B40">
        <w:rPr>
          <w:lang w:val="en-GB" w:eastAsia="zh-CN"/>
        </w:rPr>
        <w:t>invites Member States and Sector Members</w:t>
      </w:r>
    </w:p>
    <w:p w14:paraId="51BECACF" w14:textId="77777777" w:rsidR="002239A5" w:rsidRPr="00380B40" w:rsidRDefault="002239A5" w:rsidP="002239A5">
      <w:pPr>
        <w:rPr>
          <w:lang w:val="en-GB"/>
        </w:rPr>
      </w:pPr>
      <w:r w:rsidRPr="00380B40">
        <w:rPr>
          <w:lang w:val="en-GB"/>
        </w:rPr>
        <w:t>1</w:t>
      </w:r>
      <w:r w:rsidRPr="00380B40">
        <w:rPr>
          <w:lang w:val="en-GB"/>
        </w:rPr>
        <w:tab/>
        <w:t>to take all necessary measures, including raising awareness, in order to combat mobile telecommunication device theft and its negative effects;</w:t>
      </w:r>
    </w:p>
    <w:p w14:paraId="1F77428A" w14:textId="77777777" w:rsidR="002239A5" w:rsidRPr="00380B40" w:rsidRDefault="002239A5" w:rsidP="002239A5">
      <w:pPr>
        <w:rPr>
          <w:lang w:val="en-GB" w:eastAsia="zh-CN"/>
        </w:rPr>
      </w:pPr>
      <w:r w:rsidRPr="00380B40">
        <w:rPr>
          <w:lang w:val="en-GB" w:eastAsia="zh-CN"/>
        </w:rPr>
        <w:t>2</w:t>
      </w:r>
      <w:r w:rsidRPr="00380B40">
        <w:rPr>
          <w:lang w:val="en-GB" w:eastAsia="zh-CN"/>
        </w:rPr>
        <w:tab/>
        <w:t>to cooperate and share expertise in this area;</w:t>
      </w:r>
    </w:p>
    <w:p w14:paraId="3D406BB8" w14:textId="77777777" w:rsidR="002239A5" w:rsidRPr="00380B40" w:rsidRDefault="002239A5" w:rsidP="002239A5">
      <w:pPr>
        <w:rPr>
          <w:lang w:val="en-GB" w:eastAsia="zh-CN"/>
        </w:rPr>
      </w:pPr>
      <w:r w:rsidRPr="00380B40">
        <w:rPr>
          <w:lang w:val="en-GB" w:eastAsia="zh-CN"/>
        </w:rPr>
        <w:t>3</w:t>
      </w:r>
      <w:r w:rsidRPr="00380B40">
        <w:rPr>
          <w:lang w:val="en-GB" w:eastAsia="zh-CN"/>
        </w:rPr>
        <w:tab/>
        <w:t>to participate actively in ITU studies relating to the implementation of this resolution by submitting contributions;</w:t>
      </w:r>
    </w:p>
    <w:p w14:paraId="6B714589" w14:textId="77777777" w:rsidR="002239A5" w:rsidRPr="00380B40" w:rsidRDefault="002239A5" w:rsidP="002239A5">
      <w:pPr>
        <w:rPr>
          <w:lang w:val="en-GB"/>
        </w:rPr>
      </w:pPr>
      <w:r w:rsidRPr="00380B40">
        <w:rPr>
          <w:lang w:val="en-GB"/>
        </w:rPr>
        <w:t>4</w:t>
      </w:r>
      <w:r w:rsidRPr="00380B40">
        <w:rPr>
          <w:lang w:val="en-GB"/>
        </w:rPr>
        <w:tab/>
        <w:t>to take the necessary actions to prevent or discover and control tampering (unauthorized changing) of unique mobile telecommunication/ICT device identifiers and prevent tampered devices from accessing mobile networks.</w:t>
      </w:r>
    </w:p>
    <w:p w14:paraId="738594D9" w14:textId="77777777" w:rsidR="002239A5" w:rsidRPr="00380B40" w:rsidRDefault="002239A5" w:rsidP="002239A5">
      <w:pPr>
        <w:rPr>
          <w:lang w:val="en-GB"/>
        </w:rPr>
      </w:pPr>
    </w:p>
    <w:p w14:paraId="66AC413D" w14:textId="77777777" w:rsidR="002239A5" w:rsidRPr="00380B40" w:rsidRDefault="002239A5" w:rsidP="002239A5">
      <w:pPr>
        <w:rPr>
          <w:lang w:val="en-GB"/>
        </w:rPr>
      </w:pPr>
    </w:p>
    <w:p w14:paraId="794FBD77" w14:textId="77777777" w:rsidR="00BB0DB7" w:rsidRPr="00380B40" w:rsidRDefault="00BB0DB7" w:rsidP="002239A5">
      <w:pPr>
        <w:rPr>
          <w:lang w:val="en-GB"/>
        </w:rPr>
      </w:pPr>
    </w:p>
    <w:p w14:paraId="03246530" w14:textId="77777777" w:rsidR="00BB0DB7" w:rsidRPr="00380B40" w:rsidRDefault="00BB0DB7" w:rsidP="002239A5">
      <w:pPr>
        <w:rPr>
          <w:lang w:val="en-GB"/>
        </w:rPr>
      </w:pPr>
    </w:p>
    <w:p w14:paraId="264A85BB" w14:textId="77777777" w:rsidR="00BB0DB7" w:rsidRPr="00380B40" w:rsidRDefault="00BB0DB7" w:rsidP="002239A5">
      <w:pPr>
        <w:rPr>
          <w:lang w:val="en-GB"/>
        </w:rPr>
      </w:pPr>
    </w:p>
    <w:p w14:paraId="13F91F9F" w14:textId="77777777" w:rsidR="00BB0DB7" w:rsidRPr="00380B40" w:rsidRDefault="00BB0DB7" w:rsidP="002239A5">
      <w:pPr>
        <w:rPr>
          <w:lang w:val="en-GB"/>
        </w:rPr>
      </w:pPr>
    </w:p>
    <w:p w14:paraId="573EC238" w14:textId="77777777" w:rsidR="002239A5" w:rsidRPr="00380B40" w:rsidRDefault="002239A5" w:rsidP="002239A5">
      <w:pPr>
        <w:rPr>
          <w:lang w:val="en-GB"/>
        </w:rPr>
      </w:pPr>
    </w:p>
    <w:p w14:paraId="1DADC5AC" w14:textId="77777777" w:rsidR="002239A5" w:rsidRPr="00380B40" w:rsidRDefault="002239A5" w:rsidP="002239A5">
      <w:pPr>
        <w:rPr>
          <w:lang w:val="en-GB"/>
        </w:rPr>
      </w:pPr>
    </w:p>
    <w:p w14:paraId="2E851D78" w14:textId="77777777" w:rsidR="0092606C" w:rsidRPr="00380B40" w:rsidRDefault="0092606C" w:rsidP="0092606C">
      <w:pPr>
        <w:rPr>
          <w:lang w:val="en-GB"/>
        </w:rPr>
      </w:pPr>
    </w:p>
    <w:p w14:paraId="43C85118" w14:textId="77777777" w:rsidR="0092606C" w:rsidRPr="00380B40" w:rsidRDefault="0092606C" w:rsidP="0092606C">
      <w:pPr>
        <w:rPr>
          <w:lang w:val="en-GB"/>
        </w:rPr>
        <w:sectPr w:rsidR="0092606C" w:rsidRPr="00380B40" w:rsidSect="00B34FD1">
          <w:headerReference w:type="even" r:id="rId334"/>
          <w:headerReference w:type="default" r:id="rId335"/>
          <w:footerReference w:type="even" r:id="rId336"/>
          <w:footerReference w:type="default" r:id="rId337"/>
          <w:headerReference w:type="first" r:id="rId338"/>
          <w:footerReference w:type="first" r:id="rId339"/>
          <w:footnotePr>
            <w:numRestart w:val="eachSect"/>
          </w:footnotePr>
          <w:pgSz w:w="11907" w:h="16834" w:code="9"/>
          <w:pgMar w:top="1134" w:right="1134" w:bottom="1134" w:left="1134" w:header="567" w:footer="567" w:gutter="0"/>
          <w:paperSrc w:first="15" w:other="15"/>
          <w:cols w:space="720"/>
          <w:vAlign w:val="both"/>
          <w:docGrid w:linePitch="299"/>
        </w:sectPr>
      </w:pPr>
    </w:p>
    <w:p w14:paraId="76DBF103" w14:textId="77777777" w:rsidR="00596570" w:rsidRPr="00380B40" w:rsidRDefault="00596570" w:rsidP="002239A5">
      <w:pPr>
        <w:pStyle w:val="ResNo"/>
        <w:rPr>
          <w:lang w:val="en-GB"/>
        </w:rPr>
      </w:pPr>
      <w:bookmarkStart w:id="486" w:name="_Toc104459803"/>
      <w:bookmarkStart w:id="487" w:name="_Toc104476611"/>
      <w:bookmarkStart w:id="488" w:name="_Toc111636815"/>
      <w:bookmarkStart w:id="489" w:name="_Toc111638504"/>
      <w:r w:rsidRPr="00380B40">
        <w:rPr>
          <w:lang w:val="en-GB"/>
        </w:rPr>
        <w:t>RESOLUTION </w:t>
      </w:r>
      <w:r w:rsidRPr="00380B40">
        <w:rPr>
          <w:rStyle w:val="href"/>
          <w:lang w:val="en-GB"/>
        </w:rPr>
        <w:t>98</w:t>
      </w:r>
      <w:r w:rsidRPr="00380B40">
        <w:rPr>
          <w:lang w:val="en-GB"/>
        </w:rPr>
        <w:t xml:space="preserve"> </w:t>
      </w:r>
      <w:r w:rsidR="002239A5" w:rsidRPr="00380B40">
        <w:rPr>
          <w:lang w:val="en-GB"/>
        </w:rPr>
        <w:t>(R</w:t>
      </w:r>
      <w:r w:rsidR="00BB0DB7" w:rsidRPr="00380B40">
        <w:rPr>
          <w:caps w:val="0"/>
          <w:lang w:val="en-GB"/>
        </w:rPr>
        <w:t>ev</w:t>
      </w:r>
      <w:r w:rsidR="002239A5" w:rsidRPr="00380B40">
        <w:rPr>
          <w:lang w:val="en-GB"/>
        </w:rPr>
        <w:t>. G</w:t>
      </w:r>
      <w:r w:rsidR="00BB0DB7" w:rsidRPr="00380B40">
        <w:rPr>
          <w:caps w:val="0"/>
          <w:lang w:val="en-GB"/>
        </w:rPr>
        <w:t>eneva</w:t>
      </w:r>
      <w:r w:rsidR="002239A5" w:rsidRPr="00380B40">
        <w:rPr>
          <w:lang w:val="en-GB"/>
        </w:rPr>
        <w:t>, 2022)</w:t>
      </w:r>
      <w:bookmarkEnd w:id="486"/>
      <w:bookmarkEnd w:id="487"/>
      <w:bookmarkEnd w:id="488"/>
      <w:bookmarkEnd w:id="489"/>
    </w:p>
    <w:p w14:paraId="6EBA047C" w14:textId="77777777" w:rsidR="002239A5" w:rsidRPr="00380B40" w:rsidRDefault="002239A5" w:rsidP="002239A5">
      <w:pPr>
        <w:pStyle w:val="Restitle"/>
        <w:rPr>
          <w:lang w:val="en-GB"/>
        </w:rPr>
      </w:pPr>
      <w:bookmarkStart w:id="490" w:name="_Toc104459804"/>
      <w:bookmarkStart w:id="491" w:name="_Toc104476612"/>
      <w:bookmarkStart w:id="492" w:name="_Toc111638505"/>
      <w:r w:rsidRPr="00380B40">
        <w:rPr>
          <w:lang w:val="en-GB"/>
        </w:rPr>
        <w:t xml:space="preserve">Enhancing the standardization of Internet of Things and </w:t>
      </w:r>
      <w:r w:rsidRPr="00380B40">
        <w:rPr>
          <w:lang w:val="en-GB"/>
        </w:rPr>
        <w:br/>
        <w:t>smart cities and communities for global development</w:t>
      </w:r>
      <w:bookmarkEnd w:id="490"/>
      <w:bookmarkEnd w:id="491"/>
      <w:bookmarkEnd w:id="492"/>
    </w:p>
    <w:p w14:paraId="714B07BF" w14:textId="77777777" w:rsidR="002239A5" w:rsidRPr="00380B40" w:rsidRDefault="002239A5" w:rsidP="002239A5">
      <w:pPr>
        <w:pStyle w:val="Resref"/>
        <w:rPr>
          <w:lang w:val="en-GB"/>
        </w:rPr>
      </w:pPr>
      <w:r w:rsidRPr="00380B40">
        <w:rPr>
          <w:lang w:val="en-GB"/>
        </w:rPr>
        <w:t>(Hammamet, 2016; Geneva, 2022)</w:t>
      </w:r>
    </w:p>
    <w:p w14:paraId="66753095" w14:textId="77777777" w:rsidR="002239A5" w:rsidRPr="00380B40" w:rsidRDefault="002239A5" w:rsidP="002239A5">
      <w:pPr>
        <w:pStyle w:val="Normalaftertitle0"/>
      </w:pPr>
      <w:r w:rsidRPr="00380B40">
        <w:t>The World Telecommunication Standardization Assembly (Geneva, 2022),</w:t>
      </w:r>
    </w:p>
    <w:p w14:paraId="38D5AA42" w14:textId="77777777" w:rsidR="002239A5" w:rsidRPr="00380B40" w:rsidRDefault="002239A5" w:rsidP="002239A5">
      <w:pPr>
        <w:pStyle w:val="Call"/>
        <w:rPr>
          <w:lang w:val="en-GB"/>
        </w:rPr>
      </w:pPr>
      <w:r w:rsidRPr="00380B40">
        <w:rPr>
          <w:lang w:val="en-GB"/>
        </w:rPr>
        <w:t>recalling</w:t>
      </w:r>
    </w:p>
    <w:p w14:paraId="77F16F8E" w14:textId="77777777" w:rsidR="002239A5" w:rsidRPr="00380B40" w:rsidRDefault="002239A5" w:rsidP="002239A5">
      <w:pPr>
        <w:rPr>
          <w:lang w:val="en-GB"/>
        </w:rPr>
      </w:pPr>
      <w:r w:rsidRPr="00380B40">
        <w:rPr>
          <w:i/>
          <w:iCs/>
          <w:lang w:val="en-GB"/>
        </w:rPr>
        <w:t>a)</w:t>
      </w:r>
      <w:r w:rsidRPr="00380B40">
        <w:rPr>
          <w:lang w:val="en-GB"/>
        </w:rPr>
        <w:tab/>
        <w:t>Resolution 197 (Rev. Dubai, 2018) of the Plenipotentiary Conference, on promoting the development of the Internet of things (IoT) and smart sustainable cities and communities</w:t>
      </w:r>
      <w:r w:rsidRPr="00380B40" w:rsidDel="00C55B18">
        <w:rPr>
          <w:lang w:val="en-GB"/>
        </w:rPr>
        <w:t xml:space="preserve"> </w:t>
      </w:r>
      <w:r w:rsidRPr="00380B40">
        <w:rPr>
          <w:lang w:val="en-GB"/>
        </w:rPr>
        <w:t>(SC&amp;C);</w:t>
      </w:r>
    </w:p>
    <w:p w14:paraId="045182AA" w14:textId="77777777" w:rsidR="002239A5" w:rsidRPr="00380B40" w:rsidRDefault="002239A5" w:rsidP="002239A5">
      <w:pPr>
        <w:rPr>
          <w:lang w:val="en-GB"/>
        </w:rPr>
      </w:pPr>
      <w:r w:rsidRPr="00380B40">
        <w:rPr>
          <w:i/>
          <w:iCs/>
          <w:lang w:val="en-GB"/>
        </w:rPr>
        <w:t>b)</w:t>
      </w:r>
      <w:r w:rsidRPr="00380B40">
        <w:rPr>
          <w:lang w:val="en-GB"/>
        </w:rPr>
        <w:tab/>
        <w:t>Resolution 66 (Rev. Sharm el-Sheikh, 2019) of the Radiocommunication Assembly, on studies related to wireless systems and applications for the development of IoT;</w:t>
      </w:r>
    </w:p>
    <w:p w14:paraId="460E72C6" w14:textId="77777777" w:rsidR="002239A5" w:rsidRPr="00380B40" w:rsidRDefault="002239A5" w:rsidP="002239A5">
      <w:pPr>
        <w:rPr>
          <w:lang w:val="en-GB"/>
        </w:rPr>
      </w:pPr>
      <w:r w:rsidRPr="00380B40">
        <w:rPr>
          <w:i/>
          <w:iCs/>
          <w:lang w:val="en-GB"/>
        </w:rPr>
        <w:t>c)</w:t>
      </w:r>
      <w:r w:rsidRPr="00380B40">
        <w:rPr>
          <w:lang w:val="en-GB"/>
        </w:rPr>
        <w:tab/>
        <w:t>Resolution 85 (Rev. Buenos Aires, 2017) of the World Telecommunication Development Conference, on facilitating IoT and SC&amp;C for global development;</w:t>
      </w:r>
    </w:p>
    <w:p w14:paraId="3355E68E" w14:textId="77777777" w:rsidR="002239A5" w:rsidRPr="00380B40" w:rsidRDefault="002239A5" w:rsidP="002239A5">
      <w:pPr>
        <w:rPr>
          <w:lang w:val="en-GB"/>
        </w:rPr>
      </w:pPr>
      <w:r w:rsidRPr="00380B40">
        <w:rPr>
          <w:i/>
          <w:iCs/>
          <w:lang w:val="en-GB"/>
        </w:rPr>
        <w:t>d)</w:t>
      </w:r>
      <w:r w:rsidRPr="00380B40">
        <w:rPr>
          <w:i/>
          <w:iCs/>
          <w:lang w:val="en-GB"/>
        </w:rPr>
        <w:tab/>
      </w:r>
      <w:bookmarkStart w:id="493" w:name="_Hlk97247004"/>
      <w:r w:rsidRPr="00380B40">
        <w:rPr>
          <w:lang w:val="en-GB"/>
        </w:rPr>
        <w:t>the Global Pulse initiative launched by the United Nations Secretary-General to promote opportunities to use big data for sustainable development and humanitarian action;</w:t>
      </w:r>
      <w:bookmarkEnd w:id="493"/>
    </w:p>
    <w:p w14:paraId="017A9A26" w14:textId="77777777" w:rsidR="002239A5" w:rsidRPr="00380B40" w:rsidRDefault="002239A5" w:rsidP="002239A5">
      <w:pPr>
        <w:rPr>
          <w:lang w:val="en-GB"/>
        </w:rPr>
      </w:pPr>
      <w:r w:rsidRPr="00380B40">
        <w:rPr>
          <w:i/>
          <w:iCs/>
          <w:lang w:val="en-GB"/>
        </w:rPr>
        <w:t>e)</w:t>
      </w:r>
      <w:r w:rsidRPr="00380B40">
        <w:rPr>
          <w:lang w:val="en-GB"/>
        </w:rPr>
        <w:tab/>
        <w:t>the objectives of the ITU Telecommunication Standardization Sector (ITU</w:t>
      </w:r>
      <w:r w:rsidRPr="00380B40">
        <w:rPr>
          <w:lang w:val="en-GB"/>
        </w:rPr>
        <w:noBreakHyphen/>
        <w:t>T) in Resolution 71 (Rev. Dubai, 2018) of the Plenipotentiary Conference, and in particular Objective T.5, which mandates ITU</w:t>
      </w:r>
      <w:r w:rsidRPr="00380B40">
        <w:rPr>
          <w:lang w:val="en-GB"/>
        </w:rPr>
        <w:noBreakHyphen/>
        <w:t>T to extend and facilitate cooperation with international, regional and national standardization bodies;</w:t>
      </w:r>
    </w:p>
    <w:p w14:paraId="57785EFF" w14:textId="77777777" w:rsidR="002239A5" w:rsidRPr="00380B40" w:rsidRDefault="002239A5" w:rsidP="002239A5">
      <w:pPr>
        <w:rPr>
          <w:lang w:val="en-GB"/>
        </w:rPr>
      </w:pPr>
      <w:r w:rsidRPr="00380B40">
        <w:rPr>
          <w:i/>
          <w:iCs/>
          <w:lang w:val="en-GB"/>
        </w:rPr>
        <w:t>f)</w:t>
      </w:r>
      <w:r w:rsidRPr="00380B40">
        <w:rPr>
          <w:lang w:val="en-GB"/>
        </w:rPr>
        <w:tab/>
        <w:t>Recommendation ITU</w:t>
      </w:r>
      <w:r w:rsidRPr="00380B40">
        <w:rPr>
          <w:lang w:val="en-GB"/>
        </w:rPr>
        <w:noBreakHyphen/>
        <w:t>T Y.4000/Y.2060, on overview of IoT, which defines IoT as "a global infrastructure for the information society, enabling advanced services by interconnecting (physical and virtual) things based on existing and evolving interoperable information and communication technologies";</w:t>
      </w:r>
    </w:p>
    <w:p w14:paraId="3FE14982" w14:textId="77777777" w:rsidR="002239A5" w:rsidRPr="00380B40" w:rsidRDefault="002239A5" w:rsidP="002239A5">
      <w:pPr>
        <w:rPr>
          <w:lang w:val="en-GB"/>
        </w:rPr>
      </w:pPr>
      <w:r w:rsidRPr="00380B40">
        <w:rPr>
          <w:i/>
          <w:iCs/>
          <w:lang w:val="en-GB"/>
        </w:rPr>
        <w:t>g)</w:t>
      </w:r>
      <w:r w:rsidRPr="00380B40">
        <w:rPr>
          <w:lang w:val="en-GB"/>
        </w:rPr>
        <w:tab/>
        <w:t>Recommendation ITU</w:t>
      </w:r>
      <w:r w:rsidRPr="00380B40">
        <w:rPr>
          <w:lang w:val="en-GB"/>
        </w:rPr>
        <w:noBreakHyphen/>
        <w:t>T Y.4702, on common requirements and capabilities of device management in IoT, which establishes common requirements and capabilities of device management in IoT for different application scenarios,</w:t>
      </w:r>
    </w:p>
    <w:p w14:paraId="40CDE29C" w14:textId="77777777" w:rsidR="002239A5" w:rsidRPr="00380B40" w:rsidRDefault="002239A5" w:rsidP="002239A5">
      <w:pPr>
        <w:pStyle w:val="Call"/>
        <w:rPr>
          <w:lang w:val="en-GB"/>
        </w:rPr>
      </w:pPr>
      <w:r w:rsidRPr="00380B40">
        <w:rPr>
          <w:lang w:val="en-GB"/>
        </w:rPr>
        <w:t>considering</w:t>
      </w:r>
    </w:p>
    <w:p w14:paraId="357B411B" w14:textId="77777777" w:rsidR="002239A5" w:rsidRPr="00380B40" w:rsidRDefault="002239A5" w:rsidP="002239A5">
      <w:pPr>
        <w:rPr>
          <w:lang w:val="en-GB"/>
        </w:rPr>
      </w:pPr>
      <w:r w:rsidRPr="00380B40">
        <w:rPr>
          <w:i/>
          <w:iCs/>
          <w:lang w:val="en-GB"/>
        </w:rPr>
        <w:t>a)</w:t>
      </w:r>
      <w:r w:rsidRPr="00380B40">
        <w:rPr>
          <w:lang w:val="en-GB"/>
        </w:rPr>
        <w:tab/>
        <w:t>that it is expected that the development of IoT technologies will make it possible to connect billions of devices to the network, impacting almost all aspects of daily life;</w:t>
      </w:r>
    </w:p>
    <w:p w14:paraId="547D78C2" w14:textId="77777777" w:rsidR="002239A5" w:rsidRPr="00380B40" w:rsidRDefault="002239A5" w:rsidP="002239A5">
      <w:pPr>
        <w:rPr>
          <w:lang w:val="en-GB"/>
        </w:rPr>
      </w:pPr>
      <w:r w:rsidRPr="00380B40">
        <w:rPr>
          <w:i/>
          <w:iCs/>
          <w:lang w:val="en-GB"/>
        </w:rPr>
        <w:t>b)</w:t>
      </w:r>
      <w:r w:rsidRPr="00380B40">
        <w:rPr>
          <w:lang w:val="en-GB"/>
        </w:rPr>
        <w:tab/>
        <w:t>the importance of IoT in contributing to achievement of the 2030 Agenda for Sustainable Development, in particular recalling Sustainable Development Goal 11 (SDG 11) (Make cities and human settlements inclusive, safe, resilient and sustainable);</w:t>
      </w:r>
    </w:p>
    <w:p w14:paraId="6C8E7D0C" w14:textId="77777777" w:rsidR="00882D7C" w:rsidRPr="00380B40" w:rsidRDefault="00882D7C" w:rsidP="002239A5">
      <w:pPr>
        <w:rPr>
          <w:i/>
          <w:iCs/>
          <w:lang w:val="en-GB"/>
        </w:rPr>
      </w:pPr>
      <w:r w:rsidRPr="00380B40">
        <w:rPr>
          <w:i/>
          <w:iCs/>
          <w:lang w:val="en-GB"/>
        </w:rPr>
        <w:br w:type="page"/>
      </w:r>
    </w:p>
    <w:p w14:paraId="316015A5" w14:textId="77777777" w:rsidR="002239A5" w:rsidRPr="00380B40" w:rsidRDefault="002239A5" w:rsidP="002239A5">
      <w:pPr>
        <w:rPr>
          <w:i/>
          <w:iCs/>
          <w:lang w:val="en-GB"/>
        </w:rPr>
      </w:pPr>
      <w:r w:rsidRPr="00380B40">
        <w:rPr>
          <w:i/>
          <w:iCs/>
          <w:lang w:val="en-GB"/>
        </w:rPr>
        <w:t>c)</w:t>
      </w:r>
      <w:r w:rsidRPr="00380B40">
        <w:rPr>
          <w:lang w:val="en-GB"/>
        </w:rPr>
        <w:tab/>
        <w:t>that various industrial sectors, such as energy, transportation, health and agriculture, are collaborating for the development of IoT and SC&amp;C applications and services across verticals;</w:t>
      </w:r>
    </w:p>
    <w:p w14:paraId="4E2B1E27" w14:textId="77777777" w:rsidR="002239A5" w:rsidRPr="00380B40" w:rsidRDefault="002239A5" w:rsidP="002239A5">
      <w:pPr>
        <w:rPr>
          <w:lang w:val="en-GB"/>
        </w:rPr>
      </w:pPr>
      <w:r w:rsidRPr="00380B40">
        <w:rPr>
          <w:i/>
          <w:iCs/>
          <w:lang w:val="en-GB"/>
        </w:rPr>
        <w:t>d)</w:t>
      </w:r>
      <w:r w:rsidRPr="00380B40">
        <w:rPr>
          <w:lang w:val="en-GB"/>
        </w:rPr>
        <w:tab/>
        <w:t>that IoT and SC&amp;C can be key enablers for the information society and offer the opportunity to transform the urban infrastructure, taking advantage, among other things, of the efficiencies of smart buildings and transport systems, and smart water management, working together with services for the benefit of users;</w:t>
      </w:r>
    </w:p>
    <w:p w14:paraId="67309562" w14:textId="77777777" w:rsidR="002239A5" w:rsidRPr="00380B40" w:rsidRDefault="002239A5" w:rsidP="002239A5">
      <w:pPr>
        <w:rPr>
          <w:lang w:val="en-GB"/>
        </w:rPr>
      </w:pPr>
      <w:r w:rsidRPr="00380B40">
        <w:rPr>
          <w:i/>
          <w:iCs/>
          <w:lang w:val="en-GB"/>
        </w:rPr>
        <w:t>e)</w:t>
      </w:r>
      <w:r w:rsidRPr="00380B40">
        <w:rPr>
          <w:i/>
          <w:iCs/>
          <w:lang w:val="en-GB"/>
        </w:rPr>
        <w:tab/>
      </w:r>
      <w:r w:rsidRPr="00380B40">
        <w:rPr>
          <w:lang w:val="en-GB"/>
        </w:rPr>
        <w:t>that SC&amp;C can use IoT to discover and respond to regional and/or global crises such as natural disasters and epidemics/pandemics;</w:t>
      </w:r>
    </w:p>
    <w:p w14:paraId="4DDFBAED" w14:textId="77777777" w:rsidR="002239A5" w:rsidRPr="00380B40" w:rsidRDefault="002239A5" w:rsidP="002239A5">
      <w:pPr>
        <w:rPr>
          <w:lang w:val="en-GB"/>
        </w:rPr>
      </w:pPr>
      <w:r w:rsidRPr="00380B40">
        <w:rPr>
          <w:i/>
          <w:iCs/>
          <w:lang w:val="en-GB"/>
        </w:rPr>
        <w:t>f)</w:t>
      </w:r>
      <w:r w:rsidRPr="00380B40">
        <w:rPr>
          <w:lang w:val="en-GB"/>
        </w:rPr>
        <w:tab/>
        <w:t>that research and development in IoT can help to improve global development, delivery of basic services and monitoring and evaluation programmes in different sectors;</w:t>
      </w:r>
    </w:p>
    <w:p w14:paraId="1B12E646" w14:textId="77777777" w:rsidR="002239A5" w:rsidRPr="00380B40" w:rsidRDefault="002239A5" w:rsidP="002239A5">
      <w:pPr>
        <w:rPr>
          <w:lang w:val="en-GB"/>
        </w:rPr>
      </w:pPr>
      <w:r w:rsidRPr="00380B40">
        <w:rPr>
          <w:i/>
          <w:iCs/>
          <w:lang w:val="en-GB"/>
        </w:rPr>
        <w:t>g)</w:t>
      </w:r>
      <w:r w:rsidRPr="00380B40">
        <w:rPr>
          <w:lang w:val="en-GB"/>
        </w:rPr>
        <w:tab/>
        <w:t>that IoT involves various stakeholders and areas, which may require coordination and cooperation;</w:t>
      </w:r>
    </w:p>
    <w:p w14:paraId="3F18CC8B" w14:textId="77777777" w:rsidR="002239A5" w:rsidRPr="00380B40" w:rsidRDefault="002239A5" w:rsidP="002239A5">
      <w:pPr>
        <w:rPr>
          <w:lang w:val="en-GB"/>
        </w:rPr>
      </w:pPr>
      <w:r w:rsidRPr="00380B40">
        <w:rPr>
          <w:i/>
          <w:iCs/>
          <w:lang w:val="en-GB"/>
        </w:rPr>
        <w:t>h)</w:t>
      </w:r>
      <w:r w:rsidRPr="00380B40">
        <w:rPr>
          <w:lang w:val="en-GB"/>
        </w:rPr>
        <w:tab/>
        <w:t>that IoT has evolved into a wide variety of applications with different aims and requirements, as a result of which it is necessary to work in coordination with other international standardization bodies and other related organizations in order to integrate better standardization frameworks;</w:t>
      </w:r>
    </w:p>
    <w:p w14:paraId="356BC46B" w14:textId="77777777" w:rsidR="002239A5" w:rsidRPr="00380B40" w:rsidRDefault="002239A5" w:rsidP="002239A5">
      <w:pPr>
        <w:rPr>
          <w:lang w:val="en-GB"/>
        </w:rPr>
      </w:pPr>
      <w:r w:rsidRPr="00380B40">
        <w:rPr>
          <w:i/>
          <w:iCs/>
          <w:lang w:val="en-GB"/>
        </w:rPr>
        <w:t>i)</w:t>
      </w:r>
      <w:r w:rsidRPr="00380B40">
        <w:rPr>
          <w:lang w:val="en-GB"/>
        </w:rPr>
        <w:tab/>
        <w:t>that technical standards as well as public-private partnerships</w:t>
      </w:r>
      <w:r w:rsidRPr="00380B40" w:rsidDel="00567601">
        <w:rPr>
          <w:lang w:val="en-GB"/>
        </w:rPr>
        <w:t xml:space="preserve"> </w:t>
      </w:r>
      <w:r w:rsidRPr="00380B40">
        <w:rPr>
          <w:lang w:val="en-GB"/>
        </w:rPr>
        <w:t>should reduce the time and cost for implementing IoT with benefits in terms of economies of scale;</w:t>
      </w:r>
    </w:p>
    <w:p w14:paraId="025B0123" w14:textId="77777777" w:rsidR="002239A5" w:rsidRPr="00380B40" w:rsidRDefault="002239A5" w:rsidP="002239A5">
      <w:pPr>
        <w:rPr>
          <w:lang w:val="en-GB"/>
        </w:rPr>
      </w:pPr>
      <w:r w:rsidRPr="00380B40">
        <w:rPr>
          <w:i/>
          <w:iCs/>
          <w:lang w:val="en-GB"/>
        </w:rPr>
        <w:t>j)</w:t>
      </w:r>
      <w:r w:rsidRPr="00380B40">
        <w:rPr>
          <w:lang w:val="en-GB"/>
        </w:rPr>
        <w:tab/>
        <w:t>that ITU</w:t>
      </w:r>
      <w:r w:rsidRPr="00380B40">
        <w:rPr>
          <w:lang w:val="en-GB"/>
        </w:rPr>
        <w:noBreakHyphen/>
        <w:t>T should play a leading role in the development of IoT-related and SC&amp;C</w:t>
      </w:r>
      <w:r w:rsidRPr="00380B40">
        <w:rPr>
          <w:lang w:val="en-GB"/>
        </w:rPr>
        <w:noBreakHyphen/>
        <w:t>related standards;</w:t>
      </w:r>
    </w:p>
    <w:p w14:paraId="78473B08" w14:textId="77777777" w:rsidR="002239A5" w:rsidRPr="00380B40" w:rsidRDefault="002239A5" w:rsidP="002239A5">
      <w:pPr>
        <w:rPr>
          <w:lang w:val="en-GB"/>
        </w:rPr>
      </w:pPr>
      <w:r w:rsidRPr="00380B40">
        <w:rPr>
          <w:i/>
          <w:iCs/>
          <w:lang w:val="en-GB"/>
        </w:rPr>
        <w:t>k)</w:t>
      </w:r>
      <w:r w:rsidRPr="00380B40">
        <w:rPr>
          <w:i/>
          <w:iCs/>
          <w:lang w:val="en-GB"/>
        </w:rPr>
        <w:tab/>
      </w:r>
      <w:r w:rsidRPr="00380B40">
        <w:rPr>
          <w:lang w:val="en-GB"/>
        </w:rPr>
        <w:t xml:space="preserve">the importance of collaboratively assessing and standardizing IoT </w:t>
      </w:r>
      <w:bookmarkStart w:id="494" w:name="_Hlk97247589"/>
      <w:r w:rsidRPr="00380B40">
        <w:rPr>
          <w:lang w:val="en-GB"/>
        </w:rPr>
        <w:t>and SC&amp;C</w:t>
      </w:r>
      <w:bookmarkEnd w:id="494"/>
      <w:r w:rsidRPr="00380B40">
        <w:rPr>
          <w:lang w:val="en-GB"/>
        </w:rPr>
        <w:t xml:space="preserve"> data interoperability;</w:t>
      </w:r>
    </w:p>
    <w:p w14:paraId="5FB09F43" w14:textId="77777777" w:rsidR="002239A5" w:rsidRPr="00380B40" w:rsidRDefault="002239A5" w:rsidP="002239A5">
      <w:pPr>
        <w:rPr>
          <w:lang w:val="en-GB"/>
        </w:rPr>
      </w:pPr>
      <w:r w:rsidRPr="00380B40">
        <w:rPr>
          <w:i/>
          <w:iCs/>
          <w:lang w:val="en-GB"/>
        </w:rPr>
        <w:t>l)</w:t>
      </w:r>
      <w:r w:rsidRPr="00380B40">
        <w:rPr>
          <w:i/>
          <w:iCs/>
          <w:lang w:val="en-GB"/>
        </w:rPr>
        <w:tab/>
      </w:r>
      <w:r w:rsidRPr="00380B40">
        <w:rPr>
          <w:lang w:val="en-GB"/>
        </w:rPr>
        <w:t>that IoT and SC&amp;C may have an impact in many areas, which may require further cooperation between national, regional and international entities concerned on relevant aspects in order to maximize the benefits of IoT;</w:t>
      </w:r>
    </w:p>
    <w:p w14:paraId="15DAB9C4" w14:textId="77777777" w:rsidR="002239A5" w:rsidRPr="00380B40" w:rsidRDefault="002239A5" w:rsidP="002239A5">
      <w:pPr>
        <w:rPr>
          <w:lang w:val="en-GB"/>
        </w:rPr>
      </w:pPr>
      <w:r w:rsidRPr="00380B40">
        <w:rPr>
          <w:i/>
          <w:iCs/>
          <w:lang w:val="en-GB"/>
        </w:rPr>
        <w:t>m)</w:t>
      </w:r>
      <w:r w:rsidRPr="00380B40">
        <w:rPr>
          <w:lang w:val="en-GB"/>
        </w:rPr>
        <w:tab/>
        <w:t>that in IoT and SC&amp;C environments, connected devices and applications represent a diverse range of ecosystems;</w:t>
      </w:r>
    </w:p>
    <w:p w14:paraId="03154150" w14:textId="77777777" w:rsidR="002239A5" w:rsidRPr="00380B40" w:rsidRDefault="002239A5" w:rsidP="002239A5">
      <w:pPr>
        <w:rPr>
          <w:lang w:val="en-GB"/>
        </w:rPr>
      </w:pPr>
      <w:r w:rsidRPr="00380B40">
        <w:rPr>
          <w:i/>
          <w:iCs/>
          <w:lang w:val="en-GB"/>
        </w:rPr>
        <w:t>n)</w:t>
      </w:r>
      <w:r w:rsidRPr="00380B40">
        <w:rPr>
          <w:lang w:val="en-GB"/>
        </w:rPr>
        <w:tab/>
        <w:t>that security aspects are a key component in the development of a reliable and secure IoT ecosystem,</w:t>
      </w:r>
    </w:p>
    <w:p w14:paraId="61775AE0" w14:textId="77777777" w:rsidR="002239A5" w:rsidRPr="00380B40" w:rsidRDefault="002239A5" w:rsidP="002239A5">
      <w:pPr>
        <w:pStyle w:val="Call"/>
        <w:rPr>
          <w:lang w:val="en-GB"/>
        </w:rPr>
      </w:pPr>
      <w:r w:rsidRPr="00380B40">
        <w:rPr>
          <w:lang w:val="en-GB"/>
        </w:rPr>
        <w:t>recognizing</w:t>
      </w:r>
    </w:p>
    <w:p w14:paraId="3AE621CA" w14:textId="77777777" w:rsidR="002239A5" w:rsidRPr="00380B40" w:rsidRDefault="002239A5" w:rsidP="002239A5">
      <w:pPr>
        <w:rPr>
          <w:lang w:val="en-GB"/>
        </w:rPr>
      </w:pPr>
      <w:r w:rsidRPr="00380B40">
        <w:rPr>
          <w:i/>
          <w:iCs/>
          <w:lang w:val="en-GB"/>
        </w:rPr>
        <w:t>a)</w:t>
      </w:r>
      <w:r w:rsidRPr="00380B40">
        <w:rPr>
          <w:lang w:val="en-GB"/>
        </w:rPr>
        <w:tab/>
        <w:t>that industry forums, standards-development organizations (SDOs) and partnership projects are developing technical specifications for IoT;</w:t>
      </w:r>
    </w:p>
    <w:p w14:paraId="29AB07C5" w14:textId="77777777" w:rsidR="002239A5" w:rsidRPr="00380B40" w:rsidRDefault="002239A5" w:rsidP="002239A5">
      <w:pPr>
        <w:rPr>
          <w:lang w:val="en-GB"/>
        </w:rPr>
      </w:pPr>
      <w:r w:rsidRPr="00380B40">
        <w:rPr>
          <w:i/>
          <w:iCs/>
          <w:lang w:val="en-GB"/>
        </w:rPr>
        <w:t>b)</w:t>
      </w:r>
      <w:r w:rsidRPr="00380B40">
        <w:rPr>
          <w:lang w:val="en-GB"/>
        </w:rPr>
        <w:tab/>
        <w:t xml:space="preserve">the role of </w:t>
      </w:r>
      <w:bookmarkStart w:id="495" w:name="_Hlk97365044"/>
      <w:r w:rsidRPr="00380B40">
        <w:rPr>
          <w:lang w:val="en-GB"/>
        </w:rPr>
        <w:t>the ITU Radiocommunication Sector (</w:t>
      </w:r>
      <w:bookmarkEnd w:id="495"/>
      <w:r w:rsidRPr="00380B40">
        <w:rPr>
          <w:lang w:val="en-GB"/>
        </w:rPr>
        <w:t>ITU-R) in conducting studies on the technical and operational aspects of radio networks and systems for IoT;</w:t>
      </w:r>
    </w:p>
    <w:p w14:paraId="2155CBB0" w14:textId="77777777" w:rsidR="00924F80" w:rsidRPr="00380B40" w:rsidRDefault="00924F80" w:rsidP="002239A5">
      <w:pPr>
        <w:rPr>
          <w:i/>
          <w:iCs/>
          <w:lang w:val="en-GB"/>
        </w:rPr>
      </w:pPr>
      <w:r w:rsidRPr="00380B40">
        <w:rPr>
          <w:i/>
          <w:iCs/>
          <w:lang w:val="en-GB"/>
        </w:rPr>
        <w:br w:type="page"/>
      </w:r>
    </w:p>
    <w:p w14:paraId="7373DE79" w14:textId="77777777" w:rsidR="002239A5" w:rsidRPr="00380B40" w:rsidRDefault="002239A5" w:rsidP="002239A5">
      <w:pPr>
        <w:rPr>
          <w:lang w:val="en-GB"/>
        </w:rPr>
      </w:pPr>
      <w:r w:rsidRPr="00380B40">
        <w:rPr>
          <w:i/>
          <w:iCs/>
          <w:lang w:val="en-GB"/>
        </w:rPr>
        <w:t>c)</w:t>
      </w:r>
      <w:r w:rsidRPr="00380B40">
        <w:rPr>
          <w:lang w:val="en-GB"/>
        </w:rPr>
        <w:tab/>
        <w:t>the role of the ITU Telecommunication Development Sector (ITU-D) in encouraging telecommunication/information and communication technology (ICT) development at the global level, and in particular the relevant work carried out by ITU-D study groups;</w:t>
      </w:r>
    </w:p>
    <w:p w14:paraId="3F2AC95C" w14:textId="77777777" w:rsidR="002239A5" w:rsidRPr="00380B40" w:rsidRDefault="002239A5" w:rsidP="002239A5">
      <w:pPr>
        <w:rPr>
          <w:lang w:val="en-GB"/>
        </w:rPr>
      </w:pPr>
      <w:r w:rsidRPr="00380B40">
        <w:rPr>
          <w:i/>
          <w:iCs/>
          <w:lang w:val="en-GB"/>
        </w:rPr>
        <w:t>d)</w:t>
      </w:r>
      <w:r w:rsidRPr="00380B40">
        <w:rPr>
          <w:lang w:val="en-GB"/>
        </w:rPr>
        <w:tab/>
        <w:t>that the purpose of the Joint Coordination Activity on Internet of things and smart cities and communities (JCA-IoT and SC&amp;C), under the leadership of ITU</w:t>
      </w:r>
      <w:r w:rsidRPr="00380B40">
        <w:rPr>
          <w:lang w:val="en-GB"/>
        </w:rPr>
        <w:noBreakHyphen/>
        <w:t>T Study Group 20, is to coordinate the work on IoT and SC&amp;C within ITU, and to seek cooperation from external bodies working in the field of IoT and SC&amp;C;</w:t>
      </w:r>
    </w:p>
    <w:p w14:paraId="677B9C92" w14:textId="77777777" w:rsidR="002239A5" w:rsidRPr="00380B40" w:rsidRDefault="002239A5" w:rsidP="002239A5">
      <w:pPr>
        <w:rPr>
          <w:lang w:val="en-GB"/>
        </w:rPr>
      </w:pPr>
      <w:r w:rsidRPr="00380B40">
        <w:rPr>
          <w:i/>
          <w:iCs/>
          <w:lang w:val="en-GB"/>
        </w:rPr>
        <w:t>e)</w:t>
      </w:r>
      <w:r w:rsidRPr="00380B40">
        <w:rPr>
          <w:lang w:val="en-GB"/>
        </w:rPr>
        <w:tab/>
        <w:t>that much progress has been made in efforts to develop collaboration between ITU</w:t>
      </w:r>
      <w:r w:rsidRPr="00380B40">
        <w:rPr>
          <w:lang w:val="en-GB"/>
        </w:rPr>
        <w:noBreakHyphen/>
        <w:t>T and other organizations, such as, but not limited to, active participation in different committees and working groups of Joint Technical Committee 1 of the International Organization for Standardization and the International Electrotechnical Commission (ISO/IEC JTC 1) and of the European Telecommunications Standards Institute (ETSI), and there has also been collaboration with forums such as oneM2M, the Alliance for Internet of Things Innovation and the LoRa Alliance, and collaboration on intelligent transport system (ITS) communication standards;</w:t>
      </w:r>
    </w:p>
    <w:p w14:paraId="0C327831" w14:textId="77777777" w:rsidR="002239A5" w:rsidRPr="00380B40" w:rsidRDefault="002239A5" w:rsidP="002239A5">
      <w:pPr>
        <w:rPr>
          <w:i/>
          <w:iCs/>
          <w:lang w:val="en-GB"/>
        </w:rPr>
      </w:pPr>
      <w:r w:rsidRPr="00380B40">
        <w:rPr>
          <w:i/>
          <w:iCs/>
          <w:lang w:val="en-GB"/>
        </w:rPr>
        <w:t>f)</w:t>
      </w:r>
      <w:r w:rsidRPr="00380B40">
        <w:rPr>
          <w:lang w:val="en-GB"/>
        </w:rPr>
        <w:tab/>
        <w:t>that Study Group 20 is responsible for studies and standardization work relating to IoT and its applications, including SC&amp;C;</w:t>
      </w:r>
    </w:p>
    <w:p w14:paraId="0739998A" w14:textId="77777777" w:rsidR="002239A5" w:rsidRPr="00380B40" w:rsidRDefault="002239A5" w:rsidP="002239A5">
      <w:pPr>
        <w:rPr>
          <w:lang w:val="en-GB"/>
        </w:rPr>
      </w:pPr>
      <w:r w:rsidRPr="00380B40">
        <w:rPr>
          <w:i/>
          <w:iCs/>
          <w:lang w:val="en-GB"/>
        </w:rPr>
        <w:t>g)</w:t>
      </w:r>
      <w:r w:rsidRPr="00380B40">
        <w:rPr>
          <w:lang w:val="en-GB"/>
        </w:rPr>
        <w:tab/>
        <w:t>that Study Group 20 is also a platform where the ITU</w:t>
      </w:r>
      <w:r w:rsidRPr="00380B40">
        <w:rPr>
          <w:lang w:val="en-GB"/>
        </w:rPr>
        <w:noBreakHyphen/>
        <w:t>T membership, including Member States, Sector Members, Associates and Academia, can come together to exert an impact on the drafting of international standards for IoT and their implementation;</w:t>
      </w:r>
    </w:p>
    <w:p w14:paraId="47C3FD47" w14:textId="77777777" w:rsidR="002239A5" w:rsidRPr="00380B40" w:rsidRDefault="002239A5" w:rsidP="002239A5">
      <w:pPr>
        <w:rPr>
          <w:lang w:val="en-GB"/>
        </w:rPr>
      </w:pPr>
      <w:r w:rsidRPr="00380B40">
        <w:rPr>
          <w:i/>
          <w:iCs/>
          <w:lang w:val="en-GB"/>
        </w:rPr>
        <w:t>h)</w:t>
      </w:r>
      <w:r w:rsidRPr="00380B40">
        <w:rPr>
          <w:lang w:val="en-GB"/>
        </w:rPr>
        <w:tab/>
        <w:t>that United for Smart Sustainable Cities (U4SSC) is a United Nations initiative coordinated by ITU, the United Nations Economic Commission for Europe (UNECE) and the United Nations Human Settlements Programme (UN-Habitat) to achieve SDG 11;</w:t>
      </w:r>
    </w:p>
    <w:p w14:paraId="44D864D5" w14:textId="77777777" w:rsidR="002239A5" w:rsidRPr="00380B40" w:rsidRDefault="002239A5" w:rsidP="002239A5">
      <w:pPr>
        <w:rPr>
          <w:lang w:val="en-GB"/>
        </w:rPr>
      </w:pPr>
      <w:r w:rsidRPr="00380B40">
        <w:rPr>
          <w:i/>
          <w:iCs/>
          <w:lang w:val="en-GB"/>
        </w:rPr>
        <w:t>i)</w:t>
      </w:r>
      <w:r w:rsidRPr="00380B40">
        <w:rPr>
          <w:lang w:val="en-GB"/>
        </w:rPr>
        <w:tab/>
        <w:t>that U4SSC is supporting cities to leverage the full potential of ICT in sustainable development,</w:t>
      </w:r>
    </w:p>
    <w:p w14:paraId="3CA129A1" w14:textId="77777777" w:rsidR="002239A5" w:rsidRPr="00380B40" w:rsidRDefault="002239A5" w:rsidP="002239A5">
      <w:pPr>
        <w:pStyle w:val="Call"/>
        <w:rPr>
          <w:lang w:val="en-GB"/>
        </w:rPr>
      </w:pPr>
      <w:r w:rsidRPr="00380B40">
        <w:rPr>
          <w:lang w:val="en-GB"/>
        </w:rPr>
        <w:t>resolves to instruct Study Group 20 of the ITU Telecommunication Standardization Sector</w:t>
      </w:r>
    </w:p>
    <w:p w14:paraId="0DC6CEB2" w14:textId="77777777" w:rsidR="002239A5" w:rsidRPr="00380B40" w:rsidRDefault="002239A5" w:rsidP="002239A5">
      <w:pPr>
        <w:rPr>
          <w:lang w:val="en-GB"/>
        </w:rPr>
      </w:pPr>
      <w:r w:rsidRPr="00380B40">
        <w:rPr>
          <w:lang w:val="en-GB"/>
        </w:rPr>
        <w:t>1</w:t>
      </w:r>
      <w:r w:rsidRPr="00380B40">
        <w:rPr>
          <w:lang w:val="en-GB"/>
        </w:rPr>
        <w:tab/>
        <w:t>to develop ITU</w:t>
      </w:r>
      <w:r w:rsidRPr="00380B40">
        <w:rPr>
          <w:lang w:val="en-GB"/>
        </w:rPr>
        <w:noBreakHyphen/>
        <w:t>T Recommendations aimed at implementing IoT and SC&amp;C, including, but not limited to, on issues related to emerging technologies and vertical industries;</w:t>
      </w:r>
    </w:p>
    <w:p w14:paraId="1EF447E6" w14:textId="77777777" w:rsidR="002239A5" w:rsidRPr="00380B40" w:rsidRDefault="002239A5" w:rsidP="002239A5">
      <w:pPr>
        <w:rPr>
          <w:lang w:val="en-GB"/>
        </w:rPr>
      </w:pPr>
      <w:r w:rsidRPr="00380B40">
        <w:rPr>
          <w:lang w:val="en-GB"/>
        </w:rPr>
        <w:t>2</w:t>
      </w:r>
      <w:r w:rsidRPr="00380B40">
        <w:rPr>
          <w:lang w:val="en-GB"/>
        </w:rPr>
        <w:tab/>
        <w:t>to continue, within its mandate, to work with a special focus on the design of a roadmap and harmonized and coordinated international telecommunication standards for the development of IoT, taking into account the needs of each region and Member States, as well as the wide variety of use cases and applications, and the need for IoT to be open and adaptable, and fostering a competitive environment;</w:t>
      </w:r>
    </w:p>
    <w:p w14:paraId="1C77161A" w14:textId="77777777" w:rsidR="002239A5" w:rsidRPr="00380B40" w:rsidRDefault="002239A5" w:rsidP="002239A5">
      <w:pPr>
        <w:rPr>
          <w:lang w:val="en-GB"/>
        </w:rPr>
      </w:pPr>
      <w:r w:rsidRPr="00380B40">
        <w:rPr>
          <w:lang w:val="en-GB"/>
        </w:rPr>
        <w:t>3</w:t>
      </w:r>
      <w:r w:rsidRPr="00380B40">
        <w:rPr>
          <w:lang w:val="en-GB"/>
        </w:rPr>
        <w:tab/>
        <w:t>to collaborate with IoT</w:t>
      </w:r>
      <w:r w:rsidRPr="00380B40">
        <w:rPr>
          <w:lang w:val="en-GB"/>
        </w:rPr>
        <w:noBreakHyphen/>
        <w:t>related standards organizations and other stakeholders such as industry forums and associations, consortia and SDOs, as well as other relevant ITU</w:t>
      </w:r>
      <w:r w:rsidRPr="00380B40">
        <w:rPr>
          <w:lang w:val="en-GB"/>
        </w:rPr>
        <w:noBreakHyphen/>
        <w:t>T study groups, taking into account relevant work;</w:t>
      </w:r>
    </w:p>
    <w:p w14:paraId="1F97AB3B" w14:textId="77777777" w:rsidR="002239A5" w:rsidRPr="00380B40" w:rsidRDefault="002239A5" w:rsidP="002239A5">
      <w:pPr>
        <w:rPr>
          <w:lang w:val="en-GB"/>
        </w:rPr>
      </w:pPr>
      <w:r w:rsidRPr="00380B40">
        <w:rPr>
          <w:lang w:val="en-GB"/>
        </w:rPr>
        <w:t>4</w:t>
      </w:r>
      <w:r w:rsidRPr="00380B40">
        <w:rPr>
          <w:lang w:val="en-GB"/>
        </w:rPr>
        <w:tab/>
        <w:t>to collate, evaluate, assess and share IoT use cases from the interoperability and standardization standpoints for data and information exchange,</w:t>
      </w:r>
    </w:p>
    <w:p w14:paraId="1890AA5D" w14:textId="77777777" w:rsidR="00882D7C" w:rsidRPr="00380B40" w:rsidRDefault="00882D7C" w:rsidP="002239A5">
      <w:pPr>
        <w:pStyle w:val="Call"/>
        <w:rPr>
          <w:lang w:val="en-GB"/>
        </w:rPr>
      </w:pPr>
      <w:r w:rsidRPr="00380B40">
        <w:rPr>
          <w:lang w:val="en-GB"/>
        </w:rPr>
        <w:br w:type="page"/>
      </w:r>
    </w:p>
    <w:p w14:paraId="00E4608B" w14:textId="77777777" w:rsidR="002239A5" w:rsidRPr="00380B40" w:rsidRDefault="002239A5" w:rsidP="002239A5">
      <w:pPr>
        <w:pStyle w:val="Call"/>
        <w:rPr>
          <w:lang w:val="en-GB"/>
        </w:rPr>
      </w:pPr>
      <w:r w:rsidRPr="00380B40">
        <w:rPr>
          <w:lang w:val="en-GB"/>
        </w:rPr>
        <w:t>instructs the Director of the Telecommunication Standardization Bureau</w:t>
      </w:r>
    </w:p>
    <w:p w14:paraId="54587529" w14:textId="77777777" w:rsidR="002239A5" w:rsidRPr="00380B40" w:rsidRDefault="002239A5" w:rsidP="002239A5">
      <w:pPr>
        <w:rPr>
          <w:lang w:val="en-GB"/>
        </w:rPr>
      </w:pPr>
      <w:r w:rsidRPr="00380B40">
        <w:rPr>
          <w:lang w:val="en-GB"/>
        </w:rPr>
        <w:t>1</w:t>
      </w:r>
      <w:r w:rsidRPr="00380B40">
        <w:rPr>
          <w:lang w:val="en-GB"/>
        </w:rPr>
        <w:tab/>
        <w:t>to provide necessary assistance in order to take advantage of every opportunity, within the assigned budget, to promote quality standardization work in a timely manner, and to communicate with telecommunication and ICT industries in order to promote their participation in ITU</w:t>
      </w:r>
      <w:r w:rsidRPr="00380B40">
        <w:rPr>
          <w:lang w:val="en-GB"/>
        </w:rPr>
        <w:noBreakHyphen/>
        <w:t>T's standardization activities on IoT and SC&amp;C;</w:t>
      </w:r>
    </w:p>
    <w:p w14:paraId="6093765E" w14:textId="77777777" w:rsidR="002239A5" w:rsidRPr="00380B40" w:rsidRDefault="002239A5" w:rsidP="002239A5">
      <w:pPr>
        <w:rPr>
          <w:lang w:val="en-GB"/>
        </w:rPr>
      </w:pPr>
      <w:r w:rsidRPr="00380B40">
        <w:rPr>
          <w:lang w:val="en-GB"/>
        </w:rPr>
        <w:t>2</w:t>
      </w:r>
      <w:r w:rsidRPr="00380B40">
        <w:rPr>
          <w:lang w:val="en-GB"/>
        </w:rPr>
        <w:tab/>
        <w:t>to carry out, in collaboration with Member States and cities, pilot projects in cities related to SC&amp;C key performance indicator (KPI) assessment activities, aimed at facilitating the deployment and implementation of IoT and SC&amp;C standards worldwide;</w:t>
      </w:r>
    </w:p>
    <w:p w14:paraId="1430DC9A" w14:textId="77777777" w:rsidR="002239A5" w:rsidRPr="00380B40" w:rsidRDefault="002239A5" w:rsidP="002239A5">
      <w:pPr>
        <w:rPr>
          <w:lang w:val="en-GB"/>
        </w:rPr>
      </w:pPr>
      <w:r w:rsidRPr="00380B40">
        <w:rPr>
          <w:lang w:val="en-GB"/>
        </w:rPr>
        <w:t>3</w:t>
      </w:r>
      <w:r w:rsidRPr="00380B40">
        <w:rPr>
          <w:lang w:val="en-GB"/>
        </w:rPr>
        <w:tab/>
        <w:t>to continue to support U4SSC, and share its deliverables with Study Group 20 and other study groups concerned;</w:t>
      </w:r>
    </w:p>
    <w:p w14:paraId="318BBB5D" w14:textId="77777777" w:rsidR="002239A5" w:rsidRPr="00380B40" w:rsidRDefault="002239A5" w:rsidP="002239A5">
      <w:pPr>
        <w:rPr>
          <w:lang w:val="en-GB"/>
        </w:rPr>
      </w:pPr>
      <w:r w:rsidRPr="00380B40">
        <w:rPr>
          <w:lang w:val="en-GB"/>
        </w:rPr>
        <w:t>4</w:t>
      </w:r>
      <w:r w:rsidRPr="00380B40">
        <w:rPr>
          <w:lang w:val="en-GB"/>
        </w:rPr>
        <w:tab/>
        <w:t>to promote and encourage the implementation of U4SSC KPIs as a standard for smart sustainable cities' self-assessment in collaboration with Member States;</w:t>
      </w:r>
    </w:p>
    <w:p w14:paraId="589FBA32" w14:textId="77777777" w:rsidR="002239A5" w:rsidRPr="00380B40" w:rsidRDefault="002239A5" w:rsidP="002239A5">
      <w:pPr>
        <w:rPr>
          <w:lang w:val="en-GB"/>
        </w:rPr>
      </w:pPr>
      <w:r w:rsidRPr="00380B40">
        <w:rPr>
          <w:lang w:val="en-GB"/>
        </w:rPr>
        <w:t>5</w:t>
      </w:r>
      <w:r w:rsidRPr="00380B40">
        <w:rPr>
          <w:lang w:val="en-GB"/>
        </w:rPr>
        <w:tab/>
        <w:t xml:space="preserve">to continue encouraging cooperation with other international </w:t>
      </w:r>
      <w:bookmarkStart w:id="496" w:name="_Hlk97284798"/>
      <w:r w:rsidRPr="00380B40">
        <w:rPr>
          <w:lang w:val="en-GB"/>
        </w:rPr>
        <w:t xml:space="preserve">SDOs, industry forums, </w:t>
      </w:r>
      <w:bookmarkEnd w:id="496"/>
      <w:r w:rsidRPr="00380B40">
        <w:rPr>
          <w:lang w:val="en-GB"/>
        </w:rPr>
        <w:t>other related organizations, and global projects and initiatives, in order to increase the development of international telecommunication standards and reports that facilitate the interoperability of IoT services,</w:t>
      </w:r>
    </w:p>
    <w:p w14:paraId="02B70116" w14:textId="77777777" w:rsidR="002239A5" w:rsidRPr="00380B40" w:rsidRDefault="002239A5" w:rsidP="002239A5">
      <w:pPr>
        <w:pStyle w:val="Call"/>
        <w:rPr>
          <w:lang w:val="en-GB"/>
        </w:rPr>
      </w:pPr>
      <w:r w:rsidRPr="00380B40">
        <w:rPr>
          <w:lang w:val="en-GB"/>
        </w:rPr>
        <w:t>instructs the Director of the Telecommunication Standardization Bureau, in collaboration with the Directors of the Telecommunication Development Bureau and the Radiocommunication Bureau</w:t>
      </w:r>
    </w:p>
    <w:p w14:paraId="41B15234" w14:textId="77777777" w:rsidR="002239A5" w:rsidRPr="00380B40" w:rsidRDefault="002239A5" w:rsidP="002239A5">
      <w:pPr>
        <w:rPr>
          <w:lang w:val="en-GB"/>
        </w:rPr>
      </w:pPr>
      <w:r w:rsidRPr="00380B40">
        <w:rPr>
          <w:lang w:val="en-GB"/>
        </w:rPr>
        <w:t>1</w:t>
      </w:r>
      <w:r w:rsidRPr="00380B40">
        <w:rPr>
          <w:lang w:val="en-GB"/>
        </w:rPr>
        <w:tab/>
        <w:t>to prepare reports considering, in particular, the needs of developing countries</w:t>
      </w:r>
      <w:r w:rsidR="00FD162E" w:rsidRPr="00380B40">
        <w:rPr>
          <w:rStyle w:val="FootnoteReference"/>
          <w:lang w:val="en-GB"/>
        </w:rPr>
        <w:footnoteReference w:id="57"/>
      </w:r>
      <w:r w:rsidRPr="00380B40">
        <w:rPr>
          <w:lang w:val="en-GB"/>
        </w:rPr>
        <w:t xml:space="preserve"> in terms of the study of IoT and its applications, sensor networks, services and infrastructure, taking into account the results of work being done in ITU-R and ITU-D to ensure coordination of efforts;</w:t>
      </w:r>
    </w:p>
    <w:p w14:paraId="4AAB6AFC" w14:textId="77777777" w:rsidR="002239A5" w:rsidRPr="00380B40" w:rsidRDefault="002239A5" w:rsidP="002239A5">
      <w:pPr>
        <w:rPr>
          <w:lang w:val="en-GB"/>
        </w:rPr>
      </w:pPr>
      <w:r w:rsidRPr="00380B40">
        <w:rPr>
          <w:lang w:val="en-GB"/>
        </w:rPr>
        <w:t>2</w:t>
      </w:r>
      <w:r w:rsidRPr="00380B40">
        <w:rPr>
          <w:lang w:val="en-GB"/>
        </w:rPr>
        <w:tab/>
      </w:r>
      <w:bookmarkStart w:id="497" w:name="_Hlk97284903"/>
      <w:r w:rsidRPr="00380B40">
        <w:rPr>
          <w:lang w:val="en-GB"/>
        </w:rPr>
        <w:t>to provide support to Member States in implementing U4SSC KPIs for smart sustainable cities;</w:t>
      </w:r>
      <w:bookmarkEnd w:id="497"/>
    </w:p>
    <w:p w14:paraId="2D342B14" w14:textId="77777777" w:rsidR="002239A5" w:rsidRPr="00380B40" w:rsidRDefault="002239A5" w:rsidP="002239A5">
      <w:pPr>
        <w:rPr>
          <w:lang w:val="en-GB"/>
        </w:rPr>
      </w:pPr>
      <w:r w:rsidRPr="00380B40">
        <w:rPr>
          <w:lang w:val="en-GB"/>
        </w:rPr>
        <w:t>3</w:t>
      </w:r>
      <w:r w:rsidRPr="00380B40">
        <w:rPr>
          <w:lang w:val="en-GB"/>
        </w:rPr>
        <w:tab/>
        <w:t>to foster joint work among ITU Sectors in order to discuss the various aspects related to the development of the IoT ecosystem and solutions for SC&amp;C, in the context of the achievement of the SDGs and within the framework of the World Summit on the Information Society;</w:t>
      </w:r>
    </w:p>
    <w:p w14:paraId="45655676" w14:textId="77777777" w:rsidR="002239A5" w:rsidRPr="00380B40" w:rsidRDefault="002239A5" w:rsidP="002239A5">
      <w:pPr>
        <w:rPr>
          <w:lang w:val="en-GB"/>
        </w:rPr>
      </w:pPr>
      <w:r w:rsidRPr="00380B40">
        <w:rPr>
          <w:lang w:val="en-GB"/>
        </w:rPr>
        <w:t>4</w:t>
      </w:r>
      <w:r w:rsidRPr="00380B40">
        <w:rPr>
          <w:lang w:val="en-GB"/>
        </w:rPr>
        <w:tab/>
        <w:t>to continue disseminating ITU publications on IoT and SC&amp;C, as well as organizing forums, seminars and workshops on the subject, taking into account the needs of developing countries in particular;</w:t>
      </w:r>
    </w:p>
    <w:p w14:paraId="5BB2CF8C" w14:textId="77777777" w:rsidR="002239A5" w:rsidRPr="00380B40" w:rsidRDefault="002239A5" w:rsidP="002239A5">
      <w:pPr>
        <w:rPr>
          <w:lang w:val="en-GB"/>
        </w:rPr>
      </w:pPr>
      <w:r w:rsidRPr="00380B40">
        <w:rPr>
          <w:lang w:val="en-GB"/>
        </w:rPr>
        <w:t>5</w:t>
      </w:r>
      <w:r w:rsidRPr="00380B40">
        <w:rPr>
          <w:lang w:val="en-GB"/>
        </w:rPr>
        <w:tab/>
        <w:t>to support Member States, especially developing countries, in the organization of forums, seminars and workshops on IoT and SC&amp;C to promote innovation, development and growth in IoT technologies and solutions;</w:t>
      </w:r>
    </w:p>
    <w:p w14:paraId="75D1102A" w14:textId="77777777" w:rsidR="00882D7C" w:rsidRPr="00380B40" w:rsidRDefault="00882D7C" w:rsidP="002239A5">
      <w:pPr>
        <w:rPr>
          <w:lang w:val="en-GB"/>
        </w:rPr>
      </w:pPr>
      <w:r w:rsidRPr="00380B40">
        <w:rPr>
          <w:lang w:val="en-GB"/>
        </w:rPr>
        <w:br w:type="page"/>
      </w:r>
    </w:p>
    <w:p w14:paraId="70660115" w14:textId="77777777" w:rsidR="002239A5" w:rsidRPr="00380B40" w:rsidRDefault="002239A5" w:rsidP="002239A5">
      <w:pPr>
        <w:rPr>
          <w:lang w:val="en-GB"/>
        </w:rPr>
      </w:pPr>
      <w:r w:rsidRPr="00380B40">
        <w:rPr>
          <w:lang w:val="en-GB"/>
        </w:rPr>
        <w:t>6</w:t>
      </w:r>
      <w:r w:rsidRPr="00380B40">
        <w:rPr>
          <w:lang w:val="en-GB"/>
        </w:rPr>
        <w:tab/>
        <w:t>to report to the next world telecommunication standardization assembly on progress made in the organization of forums, seminars and workshops dedicated to developing the capacity of developing countries;</w:t>
      </w:r>
    </w:p>
    <w:p w14:paraId="14447D24" w14:textId="77777777" w:rsidR="002239A5" w:rsidRPr="00380B40" w:rsidRDefault="002239A5" w:rsidP="002239A5">
      <w:pPr>
        <w:rPr>
          <w:lang w:val="en-GB"/>
        </w:rPr>
      </w:pPr>
      <w:r w:rsidRPr="00380B40">
        <w:rPr>
          <w:lang w:val="en-GB"/>
        </w:rPr>
        <w:t>7</w:t>
      </w:r>
      <w:r w:rsidRPr="00380B40">
        <w:rPr>
          <w:lang w:val="en-GB"/>
        </w:rPr>
        <w:tab/>
        <w:t>to assist developing countries in the implementation of Recommendations, technical reports and guidelines related to IoT and SC&amp;C,</w:t>
      </w:r>
    </w:p>
    <w:p w14:paraId="228180F5" w14:textId="77777777" w:rsidR="002239A5" w:rsidRPr="00380B40" w:rsidRDefault="002239A5" w:rsidP="002239A5">
      <w:pPr>
        <w:pStyle w:val="Call"/>
        <w:rPr>
          <w:lang w:val="en-GB"/>
        </w:rPr>
      </w:pPr>
      <w:r w:rsidRPr="00380B40">
        <w:rPr>
          <w:lang w:val="en-GB"/>
        </w:rPr>
        <w:t>invites the ITU Telecommunication Standardization Sector membership</w:t>
      </w:r>
    </w:p>
    <w:p w14:paraId="5D3CF74A" w14:textId="77777777" w:rsidR="002239A5" w:rsidRPr="00380B40" w:rsidRDefault="002239A5" w:rsidP="002239A5">
      <w:pPr>
        <w:rPr>
          <w:lang w:val="en-GB"/>
        </w:rPr>
      </w:pPr>
      <w:r w:rsidRPr="00380B40">
        <w:rPr>
          <w:lang w:val="en-GB"/>
        </w:rPr>
        <w:t>1</w:t>
      </w:r>
      <w:r w:rsidRPr="00380B40">
        <w:rPr>
          <w:lang w:val="en-GB"/>
        </w:rPr>
        <w:tab/>
        <w:t>to submit contributions and continue participating actively in the work of Study Group 20 and in the studies on IoT and SC&amp;C being conducted by ITU</w:t>
      </w:r>
      <w:r w:rsidRPr="00380B40">
        <w:rPr>
          <w:lang w:val="en-GB"/>
        </w:rPr>
        <w:noBreakHyphen/>
        <w:t>T;</w:t>
      </w:r>
    </w:p>
    <w:p w14:paraId="06E7CC3F" w14:textId="77777777" w:rsidR="002239A5" w:rsidRPr="00380B40" w:rsidRDefault="002239A5" w:rsidP="002239A5">
      <w:pPr>
        <w:rPr>
          <w:lang w:val="en-GB"/>
        </w:rPr>
      </w:pPr>
      <w:r w:rsidRPr="00380B40">
        <w:rPr>
          <w:lang w:val="en-GB"/>
        </w:rPr>
        <w:t>2</w:t>
      </w:r>
      <w:r w:rsidRPr="00380B40">
        <w:rPr>
          <w:lang w:val="en-GB"/>
        </w:rPr>
        <w:tab/>
        <w:t>to develop master plans and exchange use cases and best practices in order to promote the IoT ecosystem, as well as SC&amp;Cs, and to promote social development and economic growth in order to achieve the SDGs;</w:t>
      </w:r>
    </w:p>
    <w:p w14:paraId="059331C1" w14:textId="77777777" w:rsidR="002239A5" w:rsidRPr="00380B40" w:rsidRDefault="002239A5" w:rsidP="002239A5">
      <w:pPr>
        <w:rPr>
          <w:lang w:val="en-GB"/>
        </w:rPr>
      </w:pPr>
      <w:r w:rsidRPr="00380B40">
        <w:rPr>
          <w:lang w:val="en-GB"/>
        </w:rPr>
        <w:t>3</w:t>
      </w:r>
      <w:r w:rsidRPr="00380B40">
        <w:rPr>
          <w:lang w:val="en-GB"/>
        </w:rPr>
        <w:tab/>
        <w:t>to cooperate and exchange experiences and knowledge related to this topic;</w:t>
      </w:r>
    </w:p>
    <w:p w14:paraId="7AE87AAC" w14:textId="77777777" w:rsidR="002239A5" w:rsidRPr="00380B40" w:rsidRDefault="002239A5" w:rsidP="002239A5">
      <w:pPr>
        <w:rPr>
          <w:lang w:val="en-GB"/>
        </w:rPr>
      </w:pPr>
      <w:r w:rsidRPr="00380B40">
        <w:rPr>
          <w:lang w:val="en-GB"/>
        </w:rPr>
        <w:t>4</w:t>
      </w:r>
      <w:r w:rsidRPr="00380B40">
        <w:rPr>
          <w:lang w:val="en-GB"/>
        </w:rPr>
        <w:tab/>
        <w:t>to support and organize forums, seminars and workshops on IoT in order to promote innovation, development and growth in IoT technologies and solutions;</w:t>
      </w:r>
    </w:p>
    <w:p w14:paraId="43B71637" w14:textId="77777777" w:rsidR="002239A5" w:rsidRPr="00380B40" w:rsidRDefault="002239A5" w:rsidP="002239A5">
      <w:pPr>
        <w:rPr>
          <w:lang w:val="en-GB"/>
        </w:rPr>
      </w:pPr>
      <w:r w:rsidRPr="00380B40">
        <w:rPr>
          <w:lang w:val="en-GB"/>
        </w:rPr>
        <w:t>5</w:t>
      </w:r>
      <w:r w:rsidRPr="00380B40">
        <w:rPr>
          <w:lang w:val="en-GB"/>
        </w:rPr>
        <w:tab/>
        <w:t>to take necessary measures to facilitate the growth of IoT in relation to areas such as the establishment of standards.</w:t>
      </w:r>
    </w:p>
    <w:p w14:paraId="61DC0E06" w14:textId="77777777" w:rsidR="00BB0DB7" w:rsidRPr="00380B40" w:rsidRDefault="00BB0DB7" w:rsidP="002239A5">
      <w:pPr>
        <w:rPr>
          <w:lang w:val="en-GB"/>
        </w:rPr>
      </w:pPr>
    </w:p>
    <w:p w14:paraId="5212F869" w14:textId="77777777" w:rsidR="00882D7C" w:rsidRPr="00380B40" w:rsidRDefault="00882D7C" w:rsidP="002239A5">
      <w:pPr>
        <w:rPr>
          <w:lang w:val="en-GB"/>
        </w:rPr>
      </w:pPr>
    </w:p>
    <w:p w14:paraId="3CD0B421" w14:textId="77777777" w:rsidR="00882D7C" w:rsidRPr="00380B40" w:rsidRDefault="00882D7C" w:rsidP="002239A5">
      <w:pPr>
        <w:rPr>
          <w:lang w:val="en-GB"/>
        </w:rPr>
      </w:pPr>
    </w:p>
    <w:p w14:paraId="2D9B239E" w14:textId="77777777" w:rsidR="00882D7C" w:rsidRPr="00380B40" w:rsidRDefault="00882D7C" w:rsidP="002239A5">
      <w:pPr>
        <w:rPr>
          <w:lang w:val="en-GB"/>
        </w:rPr>
      </w:pPr>
    </w:p>
    <w:p w14:paraId="33B21EC5" w14:textId="77777777" w:rsidR="00882D7C" w:rsidRPr="00380B40" w:rsidRDefault="00882D7C" w:rsidP="002239A5">
      <w:pPr>
        <w:rPr>
          <w:lang w:val="en-GB"/>
        </w:rPr>
      </w:pPr>
    </w:p>
    <w:p w14:paraId="53533226" w14:textId="77777777" w:rsidR="00882D7C" w:rsidRPr="00380B40" w:rsidRDefault="00882D7C" w:rsidP="002239A5">
      <w:pPr>
        <w:rPr>
          <w:lang w:val="en-GB"/>
        </w:rPr>
      </w:pPr>
    </w:p>
    <w:p w14:paraId="39B7B9B1" w14:textId="77777777" w:rsidR="00882D7C" w:rsidRPr="00380B40" w:rsidRDefault="00882D7C" w:rsidP="002239A5">
      <w:pPr>
        <w:rPr>
          <w:lang w:val="en-GB"/>
        </w:rPr>
      </w:pPr>
    </w:p>
    <w:p w14:paraId="585B85A1" w14:textId="77777777" w:rsidR="00882D7C" w:rsidRPr="00380B40" w:rsidRDefault="00882D7C" w:rsidP="002239A5">
      <w:pPr>
        <w:rPr>
          <w:lang w:val="en-GB"/>
        </w:rPr>
      </w:pPr>
    </w:p>
    <w:p w14:paraId="4A225285" w14:textId="77777777" w:rsidR="00882D7C" w:rsidRPr="00380B40" w:rsidRDefault="00882D7C" w:rsidP="002239A5">
      <w:pPr>
        <w:rPr>
          <w:lang w:val="en-GB"/>
        </w:rPr>
      </w:pPr>
    </w:p>
    <w:p w14:paraId="21C49AC6" w14:textId="77777777" w:rsidR="00882D7C" w:rsidRPr="00380B40" w:rsidRDefault="00882D7C" w:rsidP="002239A5">
      <w:pPr>
        <w:rPr>
          <w:lang w:val="en-GB"/>
        </w:rPr>
      </w:pPr>
    </w:p>
    <w:p w14:paraId="0E726B55" w14:textId="77777777" w:rsidR="00BB0DB7" w:rsidRPr="00380B40" w:rsidRDefault="00BB0DB7" w:rsidP="002239A5">
      <w:pPr>
        <w:rPr>
          <w:lang w:val="en-GB"/>
        </w:rPr>
      </w:pPr>
    </w:p>
    <w:p w14:paraId="568C67B5" w14:textId="77777777" w:rsidR="00BB0DB7" w:rsidRPr="00380B40" w:rsidRDefault="00BB0DB7" w:rsidP="002239A5">
      <w:pPr>
        <w:rPr>
          <w:lang w:val="en-GB"/>
        </w:rPr>
      </w:pPr>
    </w:p>
    <w:p w14:paraId="63735DB3" w14:textId="77777777" w:rsidR="00BB0DB7" w:rsidRPr="00380B40" w:rsidRDefault="00BB0DB7" w:rsidP="002239A5">
      <w:pPr>
        <w:rPr>
          <w:lang w:val="en-GB"/>
        </w:rPr>
      </w:pPr>
    </w:p>
    <w:p w14:paraId="5BDE78CA" w14:textId="77777777" w:rsidR="000F07B3" w:rsidRPr="00380B40" w:rsidRDefault="000F07B3" w:rsidP="002239A5">
      <w:pPr>
        <w:rPr>
          <w:lang w:val="en-GB"/>
        </w:rPr>
        <w:sectPr w:rsidR="000F07B3" w:rsidRPr="00380B40" w:rsidSect="00B34FD1">
          <w:headerReference w:type="even" r:id="rId340"/>
          <w:headerReference w:type="default" r:id="rId341"/>
          <w:footerReference w:type="even" r:id="rId342"/>
          <w:footerReference w:type="default" r:id="rId343"/>
          <w:headerReference w:type="first" r:id="rId344"/>
          <w:footerReference w:type="first" r:id="rId345"/>
          <w:footnotePr>
            <w:numRestart w:val="eachSect"/>
          </w:footnotePr>
          <w:pgSz w:w="11907" w:h="16834" w:code="9"/>
          <w:pgMar w:top="1134" w:right="1134" w:bottom="1134" w:left="1134" w:header="567" w:footer="567" w:gutter="0"/>
          <w:paperSrc w:first="15" w:other="15"/>
          <w:cols w:space="720"/>
          <w:vAlign w:val="both"/>
          <w:docGrid w:linePitch="299"/>
        </w:sectPr>
      </w:pPr>
    </w:p>
    <w:p w14:paraId="00CCB248" w14:textId="77777777" w:rsidR="000F07B3" w:rsidRPr="00380B40" w:rsidRDefault="000F07B3" w:rsidP="000F07B3">
      <w:pPr>
        <w:pStyle w:val="ResNo"/>
        <w:rPr>
          <w:lang w:val="en-GB"/>
        </w:rPr>
      </w:pPr>
      <w:bookmarkStart w:id="498" w:name="_Toc104459805"/>
      <w:bookmarkStart w:id="499" w:name="_Toc104476613"/>
      <w:bookmarkStart w:id="500" w:name="_Toc111636816"/>
      <w:bookmarkStart w:id="501" w:name="_Toc111638506"/>
      <w:r w:rsidRPr="00380B40">
        <w:rPr>
          <w:lang w:val="en-GB"/>
        </w:rPr>
        <w:t>RESOLUTION </w:t>
      </w:r>
      <w:r w:rsidRPr="00380B40">
        <w:rPr>
          <w:rStyle w:val="href"/>
          <w:lang w:val="en-GB"/>
        </w:rPr>
        <w:t>99</w:t>
      </w:r>
      <w:r w:rsidRPr="00380B40">
        <w:rPr>
          <w:lang w:val="en-GB"/>
        </w:rPr>
        <w:t xml:space="preserve"> (G</w:t>
      </w:r>
      <w:r w:rsidR="007046DF" w:rsidRPr="00380B40">
        <w:rPr>
          <w:caps w:val="0"/>
          <w:lang w:val="en-GB"/>
        </w:rPr>
        <w:t>eneva</w:t>
      </w:r>
      <w:r w:rsidRPr="00380B40">
        <w:rPr>
          <w:lang w:val="en-GB"/>
        </w:rPr>
        <w:t>, 2022)</w:t>
      </w:r>
      <w:bookmarkEnd w:id="498"/>
      <w:bookmarkEnd w:id="499"/>
      <w:bookmarkEnd w:id="500"/>
      <w:bookmarkEnd w:id="501"/>
    </w:p>
    <w:p w14:paraId="47E01FEA" w14:textId="77777777" w:rsidR="000F07B3" w:rsidRPr="00380B40" w:rsidRDefault="000F07B3" w:rsidP="000F07B3">
      <w:pPr>
        <w:pStyle w:val="Restitle"/>
        <w:rPr>
          <w:lang w:val="en-GB"/>
        </w:rPr>
      </w:pPr>
      <w:bookmarkStart w:id="502" w:name="_Toc104459806"/>
      <w:bookmarkStart w:id="503" w:name="_Toc104476614"/>
      <w:bookmarkStart w:id="504" w:name="_Toc111638507"/>
      <w:r w:rsidRPr="00380B40">
        <w:rPr>
          <w:lang w:val="en-GB"/>
        </w:rPr>
        <w:t>Consideration of organizational reform of the ITU</w:t>
      </w:r>
      <w:r w:rsidRPr="00380B40">
        <w:rPr>
          <w:lang w:val="en-GB"/>
        </w:rPr>
        <w:br/>
        <w:t>Telecommunication Standardization Sector study groups</w:t>
      </w:r>
      <w:bookmarkEnd w:id="502"/>
      <w:bookmarkEnd w:id="503"/>
      <w:bookmarkEnd w:id="504"/>
    </w:p>
    <w:p w14:paraId="7C3530D7" w14:textId="77777777" w:rsidR="000F07B3" w:rsidRPr="00380B40" w:rsidRDefault="000F07B3" w:rsidP="000F07B3">
      <w:pPr>
        <w:pStyle w:val="Resref"/>
        <w:rPr>
          <w:lang w:val="en-GB"/>
        </w:rPr>
      </w:pPr>
      <w:r w:rsidRPr="00380B40">
        <w:rPr>
          <w:lang w:val="en-GB"/>
        </w:rPr>
        <w:t>(Geneva, 2022)</w:t>
      </w:r>
    </w:p>
    <w:p w14:paraId="1F9FB5CC" w14:textId="77777777" w:rsidR="000F07B3" w:rsidRPr="00380B40" w:rsidRDefault="000F07B3" w:rsidP="000F07B3">
      <w:pPr>
        <w:pStyle w:val="Normalaftertitle0"/>
      </w:pPr>
      <w:r w:rsidRPr="00380B40">
        <w:t>The World Telecommunication Standardization Assembly (Geneva, 2022),</w:t>
      </w:r>
    </w:p>
    <w:p w14:paraId="4D0E192B" w14:textId="77777777" w:rsidR="000F07B3" w:rsidRPr="00380B40" w:rsidRDefault="000F07B3" w:rsidP="000F07B3">
      <w:pPr>
        <w:pStyle w:val="Call"/>
        <w:rPr>
          <w:lang w:val="en-GB" w:bidi="ar-EG"/>
        </w:rPr>
      </w:pPr>
      <w:r w:rsidRPr="00380B40">
        <w:rPr>
          <w:lang w:val="en-GB" w:bidi="ar-EG"/>
        </w:rPr>
        <w:t>recalling</w:t>
      </w:r>
    </w:p>
    <w:p w14:paraId="30E85A18" w14:textId="77777777" w:rsidR="000F07B3" w:rsidRPr="00380B40" w:rsidRDefault="000F07B3" w:rsidP="000F07B3">
      <w:pPr>
        <w:rPr>
          <w:lang w:val="en-GB"/>
        </w:rPr>
      </w:pPr>
      <w:r w:rsidRPr="00380B40">
        <w:rPr>
          <w:i/>
          <w:iCs/>
          <w:lang w:val="en-GB"/>
        </w:rPr>
        <w:t>a)</w:t>
      </w:r>
      <w:r w:rsidRPr="00380B40">
        <w:rPr>
          <w:lang w:val="en-GB"/>
        </w:rPr>
        <w:tab/>
        <w:t>No. 105 of the ITU Constitution and No. 197 of the ITU Convention;</w:t>
      </w:r>
    </w:p>
    <w:p w14:paraId="5CD50B88" w14:textId="77777777" w:rsidR="000F07B3" w:rsidRPr="00380B40" w:rsidRDefault="000F07B3" w:rsidP="000F07B3">
      <w:pPr>
        <w:rPr>
          <w:lang w:val="en-GB"/>
        </w:rPr>
      </w:pPr>
      <w:r w:rsidRPr="00380B40">
        <w:rPr>
          <w:i/>
          <w:iCs/>
          <w:lang w:val="en-GB"/>
        </w:rPr>
        <w:t>b)</w:t>
      </w:r>
      <w:r w:rsidRPr="00380B40">
        <w:rPr>
          <w:lang w:val="en-GB"/>
        </w:rPr>
        <w:tab/>
        <w:t>Resolution 151 (Rev. Dubai, 2018) of the Plenipotentiary Conference, on improvement of results-based management in ITU,</w:t>
      </w:r>
    </w:p>
    <w:p w14:paraId="74283ED0" w14:textId="77777777" w:rsidR="000F07B3" w:rsidRPr="00380B40" w:rsidRDefault="000F07B3" w:rsidP="000F07B3">
      <w:pPr>
        <w:pStyle w:val="Call"/>
        <w:rPr>
          <w:lang w:val="en-GB"/>
        </w:rPr>
      </w:pPr>
      <w:r w:rsidRPr="00380B40">
        <w:rPr>
          <w:lang w:val="en-GB" w:bidi="ar-EG"/>
        </w:rPr>
        <w:t>considering</w:t>
      </w:r>
    </w:p>
    <w:p w14:paraId="46FEACAB" w14:textId="77777777" w:rsidR="000F07B3" w:rsidRPr="00380B40" w:rsidRDefault="000F07B3" w:rsidP="000F07B3">
      <w:pPr>
        <w:rPr>
          <w:lang w:val="en-GB"/>
        </w:rPr>
      </w:pPr>
      <w:r w:rsidRPr="00380B40">
        <w:rPr>
          <w:i/>
          <w:iCs/>
          <w:lang w:val="en-GB"/>
        </w:rPr>
        <w:t>a)</w:t>
      </w:r>
      <w:r w:rsidRPr="00380B40">
        <w:rPr>
          <w:lang w:val="en-GB"/>
        </w:rPr>
        <w:tab/>
        <w:t>the provisions of the Constitution and Convention related to strategic goals and objectives of the Union;</w:t>
      </w:r>
    </w:p>
    <w:p w14:paraId="333306BF" w14:textId="77777777" w:rsidR="000F07B3" w:rsidRPr="00380B40" w:rsidRDefault="000F07B3" w:rsidP="000F07B3">
      <w:pPr>
        <w:rPr>
          <w:lang w:val="en-GB"/>
        </w:rPr>
      </w:pPr>
      <w:r w:rsidRPr="00380B40">
        <w:rPr>
          <w:i/>
          <w:iCs/>
          <w:lang w:val="en-GB"/>
        </w:rPr>
        <w:t>b)</w:t>
      </w:r>
      <w:r w:rsidRPr="00380B40">
        <w:rPr>
          <w:lang w:val="en-GB"/>
        </w:rPr>
        <w:tab/>
        <w:t>the strategic objectives and goals of the ITU Telecommunication Standardization Sector (ITU-T) and their implementation criteria, set out in Annex 1 to Resolution 71 (Rev. Dubai, 2018) of the Plenipotentiary Conference;</w:t>
      </w:r>
    </w:p>
    <w:p w14:paraId="47969312" w14:textId="77777777" w:rsidR="000F07B3" w:rsidRPr="00380B40" w:rsidRDefault="000F07B3" w:rsidP="000F07B3">
      <w:pPr>
        <w:rPr>
          <w:i/>
          <w:iCs/>
          <w:lang w:val="en-GB"/>
        </w:rPr>
      </w:pPr>
      <w:r w:rsidRPr="00380B40">
        <w:rPr>
          <w:i/>
          <w:iCs/>
          <w:lang w:val="en-GB"/>
        </w:rPr>
        <w:t>c)</w:t>
      </w:r>
      <w:r w:rsidRPr="00380B40">
        <w:rPr>
          <w:lang w:val="en-GB"/>
        </w:rPr>
        <w:tab/>
        <w:t>Resolution 122 (Rev. Guadalajara, 2010) of the Plenipotentiary Conference, on the evolving role of the World Telecommunication Standardization Assembly (WTSA);</w:t>
      </w:r>
      <w:r w:rsidRPr="00380B40">
        <w:rPr>
          <w:i/>
          <w:iCs/>
          <w:lang w:val="en-GB"/>
        </w:rPr>
        <w:t xml:space="preserve"> </w:t>
      </w:r>
    </w:p>
    <w:p w14:paraId="7694F087" w14:textId="77777777" w:rsidR="000F07B3" w:rsidRPr="00380B40" w:rsidRDefault="000F07B3" w:rsidP="000F07B3">
      <w:pPr>
        <w:rPr>
          <w:lang w:val="en-GB"/>
        </w:rPr>
      </w:pPr>
      <w:r w:rsidRPr="00380B40">
        <w:rPr>
          <w:i/>
          <w:iCs/>
          <w:lang w:val="en-GB"/>
        </w:rPr>
        <w:t>d)</w:t>
      </w:r>
      <w:r w:rsidRPr="00380B40">
        <w:rPr>
          <w:lang w:val="en-GB"/>
        </w:rPr>
        <w:tab/>
        <w:t>Resolution 2 (Rev. Geneva, 2022) of this assembly, on ITU-T study group responsibilities and mandates;</w:t>
      </w:r>
    </w:p>
    <w:p w14:paraId="4ADC66D3" w14:textId="77777777" w:rsidR="000F07B3" w:rsidRPr="00380B40" w:rsidRDefault="000F07B3" w:rsidP="000F07B3">
      <w:pPr>
        <w:rPr>
          <w:lang w:val="en-GB"/>
        </w:rPr>
      </w:pPr>
      <w:r w:rsidRPr="00380B40">
        <w:rPr>
          <w:i/>
          <w:iCs/>
          <w:lang w:val="en-GB"/>
        </w:rPr>
        <w:t>e)</w:t>
      </w:r>
      <w:r w:rsidRPr="00380B40">
        <w:rPr>
          <w:lang w:val="en-GB"/>
        </w:rPr>
        <w:tab/>
        <w:t>§ 44 of the Declaration of Principles of the World Summit on the Information Society, emphasizing that standardization is one of the essential building blocks of the information society,</w:t>
      </w:r>
    </w:p>
    <w:p w14:paraId="04618931" w14:textId="77777777" w:rsidR="000F07B3" w:rsidRPr="00380B40" w:rsidRDefault="000F07B3" w:rsidP="000F07B3">
      <w:pPr>
        <w:pStyle w:val="Call"/>
        <w:rPr>
          <w:lang w:val="en-GB"/>
        </w:rPr>
      </w:pPr>
      <w:r w:rsidRPr="00380B40">
        <w:rPr>
          <w:lang w:val="en-GB" w:bidi="ar-EG"/>
        </w:rPr>
        <w:t>recognizing</w:t>
      </w:r>
      <w:r w:rsidRPr="00380B40">
        <w:rPr>
          <w:lang w:val="en-GB"/>
        </w:rPr>
        <w:t xml:space="preserve"> </w:t>
      </w:r>
    </w:p>
    <w:p w14:paraId="2CD8DCCB" w14:textId="77777777" w:rsidR="000F07B3" w:rsidRPr="00380B40" w:rsidRDefault="000F07B3" w:rsidP="000F07B3">
      <w:pPr>
        <w:rPr>
          <w:lang w:val="en-GB"/>
        </w:rPr>
      </w:pPr>
      <w:r w:rsidRPr="00380B40">
        <w:rPr>
          <w:i/>
          <w:iCs/>
          <w:lang w:val="en-GB"/>
        </w:rPr>
        <w:t>a)</w:t>
      </w:r>
      <w:r w:rsidRPr="00380B40">
        <w:rPr>
          <w:lang w:val="en-GB"/>
        </w:rPr>
        <w:tab/>
        <w:t>that, since the standardization landscape has changed significantly, ITU-T should consider if and how to adapt to the rapidly changing circumstances in line with the expectations of public and private-sector participants through, among other aspects, a review of the study group structure and a thorough analysis of organizational reform of ITU-T study groups;</w:t>
      </w:r>
    </w:p>
    <w:p w14:paraId="169B0FDF" w14:textId="77777777" w:rsidR="00882D7C" w:rsidRPr="00380B40" w:rsidRDefault="00882D7C" w:rsidP="000F07B3">
      <w:pPr>
        <w:rPr>
          <w:i/>
          <w:iCs/>
          <w:lang w:val="en-GB"/>
        </w:rPr>
      </w:pPr>
      <w:r w:rsidRPr="00380B40">
        <w:rPr>
          <w:i/>
          <w:iCs/>
          <w:lang w:val="en-GB"/>
        </w:rPr>
        <w:br w:type="page"/>
      </w:r>
    </w:p>
    <w:p w14:paraId="55BC935C" w14:textId="77777777" w:rsidR="000F07B3" w:rsidRPr="00380B40" w:rsidRDefault="000F07B3" w:rsidP="000F07B3">
      <w:pPr>
        <w:rPr>
          <w:lang w:val="en-GB"/>
        </w:rPr>
      </w:pPr>
      <w:r w:rsidRPr="00380B40">
        <w:rPr>
          <w:i/>
          <w:iCs/>
          <w:lang w:val="en-GB"/>
        </w:rPr>
        <w:t>b)</w:t>
      </w:r>
      <w:r w:rsidRPr="00380B40">
        <w:rPr>
          <w:lang w:val="en-GB"/>
        </w:rPr>
        <w:tab/>
        <w:t>that reaching a re-engineered ITU-T study group structure requires that it be a consequence and the result of a clear and a thorough analysis that will allow mandates to address the evolution of telecommunications/information and communication technologies;</w:t>
      </w:r>
    </w:p>
    <w:p w14:paraId="3E6E16D9" w14:textId="77777777" w:rsidR="000F07B3" w:rsidRPr="00380B40" w:rsidRDefault="000F07B3" w:rsidP="000F07B3">
      <w:pPr>
        <w:rPr>
          <w:lang w:val="en-GB"/>
        </w:rPr>
      </w:pPr>
      <w:r w:rsidRPr="00380B40">
        <w:rPr>
          <w:i/>
          <w:iCs/>
          <w:lang w:val="en-GB"/>
        </w:rPr>
        <w:t>c)</w:t>
      </w:r>
      <w:r w:rsidRPr="00380B40">
        <w:rPr>
          <w:lang w:val="en-GB"/>
        </w:rPr>
        <w:tab/>
        <w:t>that a re-engineered ITU-T study group structure needs to increase the efficiency of collaboration within ITU and with other organizations,</w:t>
      </w:r>
    </w:p>
    <w:p w14:paraId="206F684A" w14:textId="77777777" w:rsidR="000F07B3" w:rsidRPr="00380B40" w:rsidRDefault="000F07B3" w:rsidP="000F07B3">
      <w:pPr>
        <w:pStyle w:val="Call"/>
        <w:rPr>
          <w:lang w:val="en-GB"/>
        </w:rPr>
      </w:pPr>
      <w:r w:rsidRPr="00380B40">
        <w:rPr>
          <w:lang w:val="en-GB"/>
        </w:rPr>
        <w:t>noting</w:t>
      </w:r>
    </w:p>
    <w:p w14:paraId="6D00901C" w14:textId="77777777" w:rsidR="000F07B3" w:rsidRPr="00380B40" w:rsidRDefault="000F07B3" w:rsidP="000F07B3">
      <w:pPr>
        <w:rPr>
          <w:lang w:val="en-GB"/>
        </w:rPr>
      </w:pPr>
      <w:r w:rsidRPr="00380B40">
        <w:rPr>
          <w:lang w:val="en-GB"/>
        </w:rPr>
        <w:t>the discussions in the Telecommunication Standardization Advisory Group (TSAG) meetings that have resulted in the action plan proposed to this assembly by TSAG entitled "Draft action plan for the analysis of ITU-T study group restructuring",</w:t>
      </w:r>
    </w:p>
    <w:p w14:paraId="49A568F9" w14:textId="77777777" w:rsidR="000F07B3" w:rsidRPr="00380B40" w:rsidRDefault="000F07B3" w:rsidP="000F07B3">
      <w:pPr>
        <w:pStyle w:val="Call"/>
        <w:rPr>
          <w:lang w:val="en-GB"/>
        </w:rPr>
      </w:pPr>
      <w:r w:rsidRPr="00380B40">
        <w:rPr>
          <w:lang w:val="en-GB"/>
        </w:rPr>
        <w:t>resolves</w:t>
      </w:r>
    </w:p>
    <w:p w14:paraId="69B8FA63" w14:textId="77777777" w:rsidR="000F07B3" w:rsidRPr="00380B40" w:rsidRDefault="000F07B3" w:rsidP="000F07B3">
      <w:pPr>
        <w:rPr>
          <w:lang w:val="en-GB"/>
        </w:rPr>
      </w:pPr>
      <w:r w:rsidRPr="00380B40">
        <w:rPr>
          <w:lang w:val="en-GB"/>
        </w:rPr>
        <w:t>1</w:t>
      </w:r>
      <w:r w:rsidRPr="00380B40">
        <w:rPr>
          <w:lang w:val="en-GB"/>
        </w:rPr>
        <w:tab/>
        <w:t>to implement the action plan for the analysis of ITU-T study group restructuring that was produced by TSAG;</w:t>
      </w:r>
    </w:p>
    <w:p w14:paraId="786A9150" w14:textId="77777777" w:rsidR="000F07B3" w:rsidRPr="00380B40" w:rsidRDefault="000F07B3" w:rsidP="000F07B3">
      <w:pPr>
        <w:rPr>
          <w:lang w:val="en-GB"/>
        </w:rPr>
      </w:pPr>
      <w:r w:rsidRPr="00380B40">
        <w:rPr>
          <w:lang w:val="en-GB"/>
        </w:rPr>
        <w:t>2</w:t>
      </w:r>
      <w:r w:rsidRPr="00380B40">
        <w:rPr>
          <w:lang w:val="en-GB"/>
        </w:rPr>
        <w:tab/>
        <w:t>that TSAG has the responsibility to manage the analysis of ITU-T study group restructuring based upon contributions to TSAG from Member States and ITU-T Sector Members;</w:t>
      </w:r>
    </w:p>
    <w:p w14:paraId="2B5592BD" w14:textId="77777777" w:rsidR="000F07B3" w:rsidRPr="00380B40" w:rsidRDefault="000F07B3" w:rsidP="000F07B3">
      <w:pPr>
        <w:rPr>
          <w:rFonts w:eastAsiaTheme="minorHAnsi"/>
          <w:i/>
          <w:lang w:val="en-GB"/>
        </w:rPr>
      </w:pPr>
      <w:r w:rsidRPr="00380B40">
        <w:rPr>
          <w:rFonts w:eastAsiaTheme="minorHAnsi"/>
          <w:lang w:val="en-GB"/>
        </w:rPr>
        <w:t>3</w:t>
      </w:r>
      <w:r w:rsidRPr="00380B40">
        <w:rPr>
          <w:rFonts w:eastAsiaTheme="minorHAnsi"/>
          <w:lang w:val="en-GB"/>
        </w:rPr>
        <w:tab/>
        <w:t>that the output of the possible reform and review is guidance for the next WTSA and its implementation is not mandatory,</w:t>
      </w:r>
    </w:p>
    <w:p w14:paraId="0CEB2D10" w14:textId="77777777" w:rsidR="000F07B3" w:rsidRPr="00380B40" w:rsidRDefault="000F07B3" w:rsidP="000F07B3">
      <w:pPr>
        <w:pStyle w:val="Call"/>
        <w:rPr>
          <w:lang w:val="en-GB"/>
        </w:rPr>
      </w:pPr>
      <w:r w:rsidRPr="00380B40">
        <w:rPr>
          <w:lang w:val="en-GB"/>
        </w:rPr>
        <w:t>instructs the Telecommunication Standardization Advisory Group</w:t>
      </w:r>
    </w:p>
    <w:p w14:paraId="352C6E78" w14:textId="77777777" w:rsidR="000F07B3" w:rsidRPr="00380B40" w:rsidRDefault="000F07B3" w:rsidP="000F07B3">
      <w:pPr>
        <w:rPr>
          <w:lang w:val="en-GB"/>
        </w:rPr>
      </w:pPr>
      <w:r w:rsidRPr="00380B40">
        <w:rPr>
          <w:lang w:val="en-GB"/>
        </w:rPr>
        <w:t>1</w:t>
      </w:r>
      <w:r w:rsidRPr="00380B40">
        <w:rPr>
          <w:lang w:val="en-GB"/>
        </w:rPr>
        <w:tab/>
        <w:t>to undertake, monitor and guide the work through a rapporteur group or other appropriate group, and make a progress report on the analysis at each TSAG meeting;</w:t>
      </w:r>
    </w:p>
    <w:p w14:paraId="0496B927" w14:textId="77777777" w:rsidR="000F07B3" w:rsidRPr="00380B40" w:rsidRDefault="000F07B3" w:rsidP="000F07B3">
      <w:pPr>
        <w:rPr>
          <w:lang w:val="en-GB"/>
        </w:rPr>
      </w:pPr>
      <w:r w:rsidRPr="00380B40">
        <w:rPr>
          <w:lang w:val="en-GB"/>
        </w:rPr>
        <w:t>2</w:t>
      </w:r>
      <w:r w:rsidRPr="00380B40">
        <w:rPr>
          <w:lang w:val="en-GB"/>
        </w:rPr>
        <w:tab/>
        <w:t>to provide a progress report on the analysis to the study groups after each TSAG meeting;</w:t>
      </w:r>
    </w:p>
    <w:p w14:paraId="2549D28E" w14:textId="77777777" w:rsidR="000F07B3" w:rsidRPr="00380B40" w:rsidRDefault="000F07B3" w:rsidP="000F07B3">
      <w:pPr>
        <w:rPr>
          <w:lang w:val="en-GB"/>
        </w:rPr>
      </w:pPr>
      <w:r w:rsidRPr="00380B40">
        <w:rPr>
          <w:lang w:val="en-GB"/>
        </w:rPr>
        <w:t>3</w:t>
      </w:r>
      <w:r w:rsidRPr="00380B40">
        <w:rPr>
          <w:lang w:val="en-GB"/>
        </w:rPr>
        <w:tab/>
        <w:t>to submit a report with recommendations for consideration by the next WTSA,</w:t>
      </w:r>
    </w:p>
    <w:p w14:paraId="1C1F4CB5" w14:textId="77777777" w:rsidR="000F07B3" w:rsidRPr="00380B40" w:rsidRDefault="000F07B3" w:rsidP="000F07B3">
      <w:pPr>
        <w:pStyle w:val="Call"/>
        <w:rPr>
          <w:lang w:val="en-GB"/>
        </w:rPr>
      </w:pPr>
      <w:r w:rsidRPr="00380B40">
        <w:rPr>
          <w:lang w:val="en-GB"/>
        </w:rPr>
        <w:t>instructs study groups</w:t>
      </w:r>
    </w:p>
    <w:p w14:paraId="77CE7B4A" w14:textId="77777777" w:rsidR="000F07B3" w:rsidRPr="00380B40" w:rsidRDefault="000F07B3" w:rsidP="000F07B3">
      <w:pPr>
        <w:rPr>
          <w:lang w:val="en-GB"/>
        </w:rPr>
      </w:pPr>
      <w:r w:rsidRPr="00380B40">
        <w:rPr>
          <w:lang w:val="en-GB"/>
        </w:rPr>
        <w:t>1</w:t>
      </w:r>
      <w:r w:rsidRPr="00380B40">
        <w:rPr>
          <w:lang w:val="en-GB"/>
        </w:rPr>
        <w:tab/>
        <w:t>to consider the progress reports from TSAG;</w:t>
      </w:r>
    </w:p>
    <w:p w14:paraId="475CC749" w14:textId="77777777" w:rsidR="000F07B3" w:rsidRPr="00380B40" w:rsidRDefault="000F07B3" w:rsidP="000F07B3">
      <w:pPr>
        <w:rPr>
          <w:lang w:val="en-GB"/>
        </w:rPr>
      </w:pPr>
      <w:r w:rsidRPr="00380B40">
        <w:rPr>
          <w:lang w:val="en-GB"/>
        </w:rPr>
        <w:t>2</w:t>
      </w:r>
      <w:r w:rsidRPr="00380B40">
        <w:rPr>
          <w:lang w:val="en-GB"/>
        </w:rPr>
        <w:tab/>
        <w:t>to review and share feedback, as appropriate, on the progress reports to TSAG,</w:t>
      </w:r>
    </w:p>
    <w:p w14:paraId="4D5609AB" w14:textId="77777777" w:rsidR="000F07B3" w:rsidRPr="00380B40" w:rsidRDefault="000F07B3" w:rsidP="000F07B3">
      <w:pPr>
        <w:pStyle w:val="Call"/>
        <w:rPr>
          <w:lang w:val="en-GB"/>
        </w:rPr>
      </w:pPr>
      <w:r w:rsidRPr="00380B40">
        <w:rPr>
          <w:lang w:val="en-GB"/>
        </w:rPr>
        <w:t xml:space="preserve">instructs the Director of the Telecommunication Standardization Bureau </w:t>
      </w:r>
    </w:p>
    <w:p w14:paraId="78BDD044" w14:textId="77777777" w:rsidR="000F07B3" w:rsidRPr="00380B40" w:rsidRDefault="000F07B3" w:rsidP="000F07B3">
      <w:pPr>
        <w:rPr>
          <w:lang w:val="en-GB"/>
        </w:rPr>
      </w:pPr>
      <w:r w:rsidRPr="00380B40">
        <w:rPr>
          <w:lang w:val="en-GB"/>
        </w:rPr>
        <w:t>to provide the necessary assistance to TSAG in the implementation of this resolution,</w:t>
      </w:r>
    </w:p>
    <w:p w14:paraId="24EBB72B" w14:textId="77777777" w:rsidR="000F07B3" w:rsidRPr="00380B40" w:rsidRDefault="000F07B3" w:rsidP="000F07B3">
      <w:pPr>
        <w:pStyle w:val="Call"/>
        <w:rPr>
          <w:lang w:val="en-GB"/>
        </w:rPr>
      </w:pPr>
      <w:r w:rsidRPr="00380B40">
        <w:rPr>
          <w:lang w:val="en-GB"/>
        </w:rPr>
        <w:t xml:space="preserve">invites ITU Member States and Sector Members </w:t>
      </w:r>
    </w:p>
    <w:p w14:paraId="01DEA6D8" w14:textId="77777777" w:rsidR="000F07B3" w:rsidRPr="00380B40" w:rsidRDefault="000F07B3" w:rsidP="000F07B3">
      <w:pPr>
        <w:rPr>
          <w:lang w:val="en-GB"/>
        </w:rPr>
      </w:pPr>
      <w:r w:rsidRPr="00380B40">
        <w:rPr>
          <w:lang w:val="en-GB"/>
        </w:rPr>
        <w:t>to participate in and contribute to the implementation of this resolution.</w:t>
      </w:r>
    </w:p>
    <w:p w14:paraId="55B3651D" w14:textId="77777777" w:rsidR="00BB0DB7" w:rsidRPr="00380B40" w:rsidRDefault="00BB0DB7" w:rsidP="000F07B3">
      <w:pPr>
        <w:rPr>
          <w:lang w:val="en-GB"/>
        </w:rPr>
      </w:pPr>
    </w:p>
    <w:p w14:paraId="5E3AEFAA" w14:textId="77777777" w:rsidR="00BB0DB7" w:rsidRPr="00380B40" w:rsidRDefault="00BB0DB7" w:rsidP="000F07B3">
      <w:pPr>
        <w:rPr>
          <w:lang w:val="en-GB"/>
        </w:rPr>
      </w:pPr>
    </w:p>
    <w:p w14:paraId="16092D58" w14:textId="77777777" w:rsidR="00BB0DB7" w:rsidRPr="00380B40" w:rsidRDefault="00BB0DB7" w:rsidP="000F07B3">
      <w:pPr>
        <w:rPr>
          <w:lang w:val="en-GB"/>
        </w:rPr>
      </w:pPr>
    </w:p>
    <w:p w14:paraId="791D419D" w14:textId="77777777" w:rsidR="00BB0DB7" w:rsidRPr="00380B40" w:rsidRDefault="00BB0DB7" w:rsidP="000F07B3">
      <w:pPr>
        <w:rPr>
          <w:lang w:val="en-GB"/>
        </w:rPr>
      </w:pPr>
    </w:p>
    <w:p w14:paraId="726B0A29" w14:textId="77777777" w:rsidR="000F07B3" w:rsidRPr="00380B40" w:rsidRDefault="000F07B3" w:rsidP="000F07B3">
      <w:pPr>
        <w:pStyle w:val="Reasons"/>
      </w:pPr>
    </w:p>
    <w:p w14:paraId="0F71B6EA" w14:textId="77777777" w:rsidR="000F07B3" w:rsidRPr="00380B40" w:rsidRDefault="000F07B3" w:rsidP="000F07B3">
      <w:pPr>
        <w:tabs>
          <w:tab w:val="clear" w:pos="794"/>
          <w:tab w:val="clear" w:pos="1191"/>
          <w:tab w:val="clear" w:pos="1588"/>
          <w:tab w:val="clear" w:pos="1985"/>
        </w:tabs>
        <w:overflowPunct/>
        <w:autoSpaceDE/>
        <w:autoSpaceDN/>
        <w:adjustRightInd/>
        <w:spacing w:before="0"/>
        <w:textAlignment w:val="auto"/>
        <w:rPr>
          <w:lang w:val="en-GB"/>
        </w:rPr>
        <w:sectPr w:rsidR="000F07B3" w:rsidRPr="00380B40" w:rsidSect="00B34FD1">
          <w:footnotePr>
            <w:numRestart w:val="eachSect"/>
          </w:footnotePr>
          <w:pgSz w:w="11907" w:h="16834" w:code="9"/>
          <w:pgMar w:top="1134" w:right="1134" w:bottom="1134" w:left="1134" w:header="567" w:footer="567" w:gutter="0"/>
          <w:paperSrc w:first="15" w:other="15"/>
          <w:cols w:space="720"/>
          <w:vAlign w:val="both"/>
          <w:docGrid w:linePitch="299"/>
        </w:sectPr>
      </w:pPr>
    </w:p>
    <w:p w14:paraId="1882F7C4" w14:textId="77777777" w:rsidR="000F07B3" w:rsidRPr="00380B40" w:rsidRDefault="000F07B3" w:rsidP="000F07B3">
      <w:pPr>
        <w:pStyle w:val="ResNo"/>
        <w:rPr>
          <w:lang w:val="en-GB"/>
        </w:rPr>
      </w:pPr>
      <w:bookmarkStart w:id="505" w:name="_Toc104459807"/>
      <w:bookmarkStart w:id="506" w:name="_Toc104476615"/>
      <w:bookmarkStart w:id="507" w:name="_Toc111636817"/>
      <w:bookmarkStart w:id="508" w:name="_Toc111638508"/>
      <w:r w:rsidRPr="00380B40">
        <w:rPr>
          <w:lang w:val="en-GB"/>
        </w:rPr>
        <w:t>RESOLUTION </w:t>
      </w:r>
      <w:r w:rsidRPr="00380B40">
        <w:rPr>
          <w:rStyle w:val="href"/>
          <w:lang w:val="en-GB"/>
        </w:rPr>
        <w:t>100</w:t>
      </w:r>
      <w:r w:rsidRPr="00380B40">
        <w:rPr>
          <w:lang w:val="en-GB"/>
        </w:rPr>
        <w:t xml:space="preserve"> (G</w:t>
      </w:r>
      <w:r w:rsidR="007046DF" w:rsidRPr="00380B40">
        <w:rPr>
          <w:caps w:val="0"/>
          <w:lang w:val="en-GB"/>
        </w:rPr>
        <w:t>eneva</w:t>
      </w:r>
      <w:r w:rsidRPr="00380B40">
        <w:rPr>
          <w:lang w:val="en-GB"/>
        </w:rPr>
        <w:t>, 2022)</w:t>
      </w:r>
      <w:bookmarkEnd w:id="505"/>
      <w:bookmarkEnd w:id="506"/>
      <w:bookmarkEnd w:id="507"/>
      <w:bookmarkEnd w:id="508"/>
    </w:p>
    <w:p w14:paraId="7367DBFD" w14:textId="77777777" w:rsidR="000F07B3" w:rsidRPr="00380B40" w:rsidRDefault="000F07B3" w:rsidP="000F07B3">
      <w:pPr>
        <w:pStyle w:val="Restitle"/>
        <w:rPr>
          <w:b w:val="0"/>
          <w:bCs/>
          <w:lang w:val="en-GB"/>
        </w:rPr>
      </w:pPr>
      <w:bookmarkStart w:id="509" w:name="_Toc104459808"/>
      <w:bookmarkStart w:id="510" w:name="_Toc104476616"/>
      <w:bookmarkStart w:id="511" w:name="_Toc111638509"/>
      <w:r w:rsidRPr="00380B40">
        <w:rPr>
          <w:lang w:val="en-GB"/>
        </w:rPr>
        <w:t>A common emergency number for Africa</w:t>
      </w:r>
      <w:bookmarkEnd w:id="509"/>
      <w:bookmarkEnd w:id="510"/>
      <w:bookmarkEnd w:id="511"/>
    </w:p>
    <w:p w14:paraId="726F652E" w14:textId="77777777" w:rsidR="000F07B3" w:rsidRPr="00380B40" w:rsidRDefault="000F07B3" w:rsidP="000F07B3">
      <w:pPr>
        <w:pStyle w:val="Resref"/>
        <w:rPr>
          <w:lang w:val="en-GB"/>
        </w:rPr>
      </w:pPr>
      <w:r w:rsidRPr="00380B40">
        <w:rPr>
          <w:lang w:val="en-GB"/>
        </w:rPr>
        <w:t>(Geneva, 2022)</w:t>
      </w:r>
    </w:p>
    <w:p w14:paraId="368981AF" w14:textId="77777777" w:rsidR="000F07B3" w:rsidRPr="00380B40" w:rsidRDefault="000F07B3" w:rsidP="000F07B3">
      <w:pPr>
        <w:pStyle w:val="Normalaftertitle0"/>
      </w:pPr>
      <w:r w:rsidRPr="00380B40">
        <w:t>The World Telecommunication Standardization Assembly (Geneva, 2022),</w:t>
      </w:r>
    </w:p>
    <w:p w14:paraId="5440E6AC" w14:textId="77777777" w:rsidR="000F07B3" w:rsidRPr="00380B40" w:rsidRDefault="000F07B3" w:rsidP="000F07B3">
      <w:pPr>
        <w:pStyle w:val="Call"/>
        <w:rPr>
          <w:lang w:val="en-GB"/>
        </w:rPr>
      </w:pPr>
      <w:r w:rsidRPr="00380B40">
        <w:rPr>
          <w:lang w:val="en-GB"/>
        </w:rPr>
        <w:t>recalling</w:t>
      </w:r>
    </w:p>
    <w:p w14:paraId="58DE34FE" w14:textId="77777777" w:rsidR="000F07B3" w:rsidRPr="00380B40" w:rsidRDefault="000F07B3" w:rsidP="000F07B3">
      <w:pPr>
        <w:rPr>
          <w:lang w:val="en-GB"/>
        </w:rPr>
      </w:pPr>
      <w:r w:rsidRPr="00380B40">
        <w:rPr>
          <w:i/>
          <w:lang w:val="en-GB"/>
        </w:rPr>
        <w:t>a)</w:t>
      </w:r>
      <w:r w:rsidRPr="00380B40">
        <w:rPr>
          <w:i/>
          <w:lang w:val="en-GB"/>
        </w:rPr>
        <w:tab/>
      </w:r>
      <w:r w:rsidRPr="00380B40">
        <w:rPr>
          <w:lang w:val="en-GB"/>
        </w:rPr>
        <w:t xml:space="preserve">that Resolution 136 (Rev. Dubai, 2018) of the Plenipotentiary Conference </w:t>
      </w:r>
      <w:r w:rsidRPr="00380B40">
        <w:rPr>
          <w:iCs/>
          <w:lang w:val="en-GB"/>
        </w:rPr>
        <w:t>encourages Member States</w:t>
      </w:r>
      <w:r w:rsidRPr="00380B40">
        <w:rPr>
          <w:lang w:val="en-GB"/>
        </w:rPr>
        <w:t xml:space="preserve"> to explore the possibility of introducing a globally harmonized emergency number to supplement existing domestic emergency numbers, taking into account the relevant ITU-T Recommendations;</w:t>
      </w:r>
    </w:p>
    <w:p w14:paraId="5FA3CC50" w14:textId="77777777" w:rsidR="000F07B3" w:rsidRPr="00380B40" w:rsidRDefault="000F07B3" w:rsidP="000F07B3">
      <w:pPr>
        <w:rPr>
          <w:lang w:val="en-GB"/>
        </w:rPr>
      </w:pPr>
      <w:r w:rsidRPr="00380B40">
        <w:rPr>
          <w:i/>
          <w:iCs/>
          <w:lang w:val="en-GB"/>
        </w:rPr>
        <w:t>b)</w:t>
      </w:r>
      <w:r w:rsidRPr="00380B40">
        <w:rPr>
          <w:lang w:val="en-GB"/>
        </w:rPr>
        <w:tab/>
        <w:t>that Recommendation ITU-T E.161.1 provides that a</w:t>
      </w:r>
      <w:r w:rsidRPr="00380B40">
        <w:rPr>
          <w:lang w:val="en-GB" w:eastAsia="zh-CN"/>
        </w:rPr>
        <w:t xml:space="preserve"> Member State that is planning to introduce an emergency number could use either 112 or 911; and that a Member State that is planning to introduce a second alternative emergency number could use either 112 or 911, or both, which should be routed to the existing emergency number</w:t>
      </w:r>
      <w:r w:rsidRPr="00380B40">
        <w:rPr>
          <w:rFonts w:eastAsiaTheme="minorEastAsia"/>
          <w:lang w:val="en-GB"/>
        </w:rPr>
        <w:t>;</w:t>
      </w:r>
    </w:p>
    <w:p w14:paraId="29E20350" w14:textId="77777777" w:rsidR="000F07B3" w:rsidRPr="00380B40" w:rsidRDefault="000F07B3" w:rsidP="000F07B3">
      <w:pPr>
        <w:rPr>
          <w:lang w:val="en-GB"/>
        </w:rPr>
      </w:pPr>
      <w:r w:rsidRPr="00380B40">
        <w:rPr>
          <w:i/>
          <w:iCs/>
          <w:lang w:val="en-GB"/>
        </w:rPr>
        <w:t>c)</w:t>
      </w:r>
      <w:r w:rsidRPr="00380B40">
        <w:rPr>
          <w:lang w:val="en-GB"/>
        </w:rPr>
        <w:tab/>
        <w:t>that Resolution 34 (Rev. Buenos Aires, 2017) of the World Telecommunication Development Conference invites</w:t>
      </w:r>
      <w:r w:rsidRPr="00380B40">
        <w:rPr>
          <w:i/>
          <w:iCs/>
          <w:lang w:val="en-GB"/>
        </w:rPr>
        <w:t xml:space="preserve"> </w:t>
      </w:r>
      <w:r w:rsidRPr="00380B40">
        <w:rPr>
          <w:lang w:val="en-GB"/>
        </w:rPr>
        <w:t>Member States to consider introducing, in addition to their existing emergency numbers, a harmonized national/regional number for access to emergency services, taking into account the relevant ITU-T Recommendations,</w:t>
      </w:r>
    </w:p>
    <w:p w14:paraId="5EA5DD44" w14:textId="77777777" w:rsidR="000F07B3" w:rsidRPr="00380B40" w:rsidRDefault="000F07B3" w:rsidP="000F07B3">
      <w:pPr>
        <w:pStyle w:val="Call"/>
        <w:rPr>
          <w:lang w:val="en-GB"/>
        </w:rPr>
      </w:pPr>
      <w:r w:rsidRPr="00380B40">
        <w:rPr>
          <w:lang w:val="en-GB"/>
        </w:rPr>
        <w:t>considering</w:t>
      </w:r>
    </w:p>
    <w:p w14:paraId="1C26654D" w14:textId="77777777" w:rsidR="000F07B3" w:rsidRPr="00380B40" w:rsidRDefault="000F07B3" w:rsidP="000F07B3">
      <w:pPr>
        <w:rPr>
          <w:lang w:val="en-GB"/>
        </w:rPr>
      </w:pPr>
      <w:r w:rsidRPr="00380B40">
        <w:rPr>
          <w:i/>
          <w:iCs/>
          <w:lang w:val="en-GB"/>
        </w:rPr>
        <w:t>a)</w:t>
      </w:r>
      <w:r w:rsidRPr="00380B40">
        <w:rPr>
          <w:lang w:val="en-GB"/>
        </w:rPr>
        <w:tab/>
        <w:t xml:space="preserve">that not all Member States in Africa are using 112 as the </w:t>
      </w:r>
      <w:r w:rsidRPr="00380B40">
        <w:rPr>
          <w:rFonts w:eastAsiaTheme="minorEastAsia"/>
          <w:szCs w:val="24"/>
          <w:lang w:val="en-GB"/>
        </w:rPr>
        <w:t>single emergency number selected for the first time;</w:t>
      </w:r>
    </w:p>
    <w:p w14:paraId="08090E85" w14:textId="77777777" w:rsidR="000F07B3" w:rsidRPr="00380B40" w:rsidRDefault="000F07B3" w:rsidP="000F07B3">
      <w:pPr>
        <w:rPr>
          <w:lang w:val="en-GB"/>
        </w:rPr>
      </w:pPr>
      <w:r w:rsidRPr="00380B40">
        <w:rPr>
          <w:i/>
          <w:iCs/>
          <w:lang w:val="en-GB"/>
        </w:rPr>
        <w:t>b)</w:t>
      </w:r>
      <w:r w:rsidRPr="00380B40">
        <w:rPr>
          <w:lang w:val="en-GB"/>
        </w:rPr>
        <w:tab/>
        <w:t xml:space="preserve">that not all Member States in Africa are using 911 as a </w:t>
      </w:r>
      <w:r w:rsidRPr="00380B40">
        <w:rPr>
          <w:rFonts w:eastAsiaTheme="minorEastAsia"/>
          <w:szCs w:val="24"/>
          <w:lang w:val="en-GB"/>
        </w:rPr>
        <w:t>secondary alternative emergency number;</w:t>
      </w:r>
    </w:p>
    <w:p w14:paraId="5E7ECC19" w14:textId="77777777" w:rsidR="000F07B3" w:rsidRPr="00380B40" w:rsidRDefault="000F07B3" w:rsidP="000F07B3">
      <w:pPr>
        <w:rPr>
          <w:lang w:val="en-GB"/>
        </w:rPr>
      </w:pPr>
      <w:r w:rsidRPr="00380B40">
        <w:rPr>
          <w:i/>
          <w:iCs/>
          <w:lang w:val="en-GB"/>
        </w:rPr>
        <w:t>c)</w:t>
      </w:r>
      <w:r w:rsidRPr="00380B40">
        <w:rPr>
          <w:lang w:val="en-GB"/>
        </w:rPr>
        <w:tab/>
        <w:t xml:space="preserve">that there appears to be a trend to use numbers other than 112 and/or 911 for emergency communication by Member States in Africa; </w:t>
      </w:r>
    </w:p>
    <w:p w14:paraId="4168B55F" w14:textId="77777777" w:rsidR="000F07B3" w:rsidRPr="00380B40" w:rsidRDefault="000F07B3" w:rsidP="000F07B3">
      <w:pPr>
        <w:rPr>
          <w:lang w:val="en-GB"/>
        </w:rPr>
      </w:pPr>
      <w:r w:rsidRPr="00380B40">
        <w:rPr>
          <w:i/>
          <w:iCs/>
          <w:lang w:val="en-GB"/>
        </w:rPr>
        <w:t>d)</w:t>
      </w:r>
      <w:r w:rsidRPr="00380B40">
        <w:rPr>
          <w:lang w:val="en-GB"/>
        </w:rPr>
        <w:tab/>
        <w:t>that such practices have an unfavourable effect on ease of access to emergency services for citizens of the African continent who move from one country to another;</w:t>
      </w:r>
    </w:p>
    <w:p w14:paraId="6902D2A1" w14:textId="77777777" w:rsidR="000F07B3" w:rsidRPr="00380B40" w:rsidRDefault="000F07B3" w:rsidP="000F07B3">
      <w:pPr>
        <w:rPr>
          <w:lang w:val="en-GB"/>
        </w:rPr>
      </w:pPr>
      <w:r w:rsidRPr="00380B40">
        <w:rPr>
          <w:i/>
          <w:iCs/>
          <w:lang w:val="en-GB"/>
        </w:rPr>
        <w:t>e)</w:t>
      </w:r>
      <w:r w:rsidRPr="00380B40">
        <w:rPr>
          <w:lang w:val="en-GB"/>
        </w:rPr>
        <w:tab/>
        <w:t xml:space="preserve">that such practices have an unfavourable effect on ease of access to emergency services for citizens from other parts of the world, since the numbers being used to access emergency services are not similar to what they are used to, i.e. </w:t>
      </w:r>
      <w:r w:rsidRPr="00380B40">
        <w:rPr>
          <w:rFonts w:eastAsia="SimSun"/>
          <w:szCs w:val="24"/>
          <w:lang w:val="en-GB" w:eastAsia="ja-JP"/>
        </w:rPr>
        <w:t>112 or 911;</w:t>
      </w:r>
    </w:p>
    <w:p w14:paraId="2C575184" w14:textId="77777777" w:rsidR="000F07B3" w:rsidRPr="00380B40" w:rsidRDefault="000F07B3" w:rsidP="000F07B3">
      <w:pPr>
        <w:rPr>
          <w:lang w:val="en-GB"/>
        </w:rPr>
      </w:pPr>
      <w:r w:rsidRPr="00380B40">
        <w:rPr>
          <w:i/>
          <w:iCs/>
          <w:lang w:val="en-GB"/>
        </w:rPr>
        <w:t>f)</w:t>
      </w:r>
      <w:r w:rsidRPr="00380B40">
        <w:rPr>
          <w:lang w:val="en-GB"/>
        </w:rPr>
        <w:tab/>
        <w:t>that some Member States in Africa have not implemented Recommendation ITU-T E.161.1,</w:t>
      </w:r>
    </w:p>
    <w:p w14:paraId="2CDF056D" w14:textId="77777777" w:rsidR="00DB6A21" w:rsidRPr="00380B40" w:rsidRDefault="00DB6A21" w:rsidP="000F07B3">
      <w:pPr>
        <w:pStyle w:val="Call"/>
        <w:rPr>
          <w:lang w:val="en-GB"/>
        </w:rPr>
      </w:pPr>
      <w:r w:rsidRPr="00380B40">
        <w:rPr>
          <w:lang w:val="en-GB"/>
        </w:rPr>
        <w:br w:type="page"/>
      </w:r>
    </w:p>
    <w:p w14:paraId="02E00396" w14:textId="77777777" w:rsidR="000F07B3" w:rsidRPr="00380B40" w:rsidRDefault="000F07B3" w:rsidP="000F07B3">
      <w:pPr>
        <w:pStyle w:val="Call"/>
        <w:rPr>
          <w:lang w:val="en-GB"/>
        </w:rPr>
      </w:pPr>
      <w:r w:rsidRPr="00380B40">
        <w:rPr>
          <w:lang w:val="en-GB"/>
        </w:rPr>
        <w:t>noting</w:t>
      </w:r>
    </w:p>
    <w:p w14:paraId="66F654ED" w14:textId="77777777" w:rsidR="000F07B3" w:rsidRPr="00380B40" w:rsidRDefault="000F07B3" w:rsidP="000F07B3">
      <w:pPr>
        <w:rPr>
          <w:lang w:val="en-GB"/>
        </w:rPr>
      </w:pPr>
      <w:r w:rsidRPr="00380B40">
        <w:rPr>
          <w:i/>
          <w:lang w:val="en-GB"/>
        </w:rPr>
        <w:t>a)</w:t>
      </w:r>
      <w:r w:rsidRPr="00380B40">
        <w:rPr>
          <w:lang w:val="en-GB"/>
        </w:rPr>
        <w:tab/>
        <w:t>relevant ITU-T Recommendations, in particular:</w:t>
      </w:r>
    </w:p>
    <w:p w14:paraId="1324F439" w14:textId="77777777" w:rsidR="000F07B3" w:rsidRPr="00380B40" w:rsidRDefault="000F07B3" w:rsidP="000F07B3">
      <w:pPr>
        <w:pStyle w:val="enumlev1"/>
        <w:rPr>
          <w:lang w:val="en-GB"/>
        </w:rPr>
      </w:pPr>
      <w:r w:rsidRPr="00380B40">
        <w:rPr>
          <w:lang w:val="en-GB"/>
        </w:rPr>
        <w:t>i)</w:t>
      </w:r>
      <w:r w:rsidRPr="00380B40">
        <w:rPr>
          <w:lang w:val="en-GB"/>
        </w:rPr>
        <w:tab/>
        <w:t>Recommendation ITU-T E.161.1: Guidelines to select Emergency Number for public telecommunication networks;</w:t>
      </w:r>
    </w:p>
    <w:p w14:paraId="0BB9FD4F" w14:textId="77777777" w:rsidR="000F07B3" w:rsidRPr="00380B40" w:rsidRDefault="000F07B3" w:rsidP="000F07B3">
      <w:pPr>
        <w:pStyle w:val="enumlev1"/>
        <w:rPr>
          <w:lang w:val="en-GB"/>
        </w:rPr>
      </w:pPr>
      <w:r w:rsidRPr="00380B40">
        <w:rPr>
          <w:lang w:val="en-GB"/>
        </w:rPr>
        <w:t>ii)</w:t>
      </w:r>
      <w:r w:rsidRPr="00380B40">
        <w:rPr>
          <w:lang w:val="en-GB"/>
        </w:rPr>
        <w:tab/>
        <w:t xml:space="preserve">Recommendation ITU-T E.161.1 Amendment 1: Guidelines to select Emergency Number for public telecommunication networks; </w:t>
      </w:r>
    </w:p>
    <w:p w14:paraId="793787ED" w14:textId="77777777" w:rsidR="000F07B3" w:rsidRPr="00380B40" w:rsidRDefault="000F07B3" w:rsidP="000F07B3">
      <w:pPr>
        <w:pStyle w:val="enumlev1"/>
        <w:rPr>
          <w:lang w:val="en-GB"/>
        </w:rPr>
      </w:pPr>
      <w:r w:rsidRPr="00380B40">
        <w:rPr>
          <w:lang w:val="en-GB"/>
        </w:rPr>
        <w:t>iii)</w:t>
      </w:r>
      <w:r w:rsidRPr="00380B40">
        <w:rPr>
          <w:lang w:val="en-GB"/>
        </w:rPr>
        <w:tab/>
        <w:t>Recommendation ITU-T E.101: Definitions of terms used for identifiers (names, numbers, addresses and other identifiers) for public telecommunication services and networks in the ITU-T E-series Recommendations;</w:t>
      </w:r>
    </w:p>
    <w:p w14:paraId="62669332" w14:textId="77777777" w:rsidR="000F07B3" w:rsidRPr="00380B40" w:rsidRDefault="000F07B3" w:rsidP="000F07B3">
      <w:pPr>
        <w:pStyle w:val="enumlev1"/>
        <w:rPr>
          <w:lang w:val="en-GB"/>
        </w:rPr>
      </w:pPr>
      <w:r w:rsidRPr="00380B40">
        <w:rPr>
          <w:lang w:val="en-GB"/>
        </w:rPr>
        <w:t>iv)</w:t>
      </w:r>
      <w:r w:rsidRPr="00380B40">
        <w:rPr>
          <w:lang w:val="en-GB"/>
        </w:rPr>
        <w:tab/>
        <w:t>ITU-T Q-series Recommendations – Supplement 47: Emergency services for IMT-2000 networks – Requirements for harmonization and convergence;</w:t>
      </w:r>
    </w:p>
    <w:p w14:paraId="1429C7FF" w14:textId="77777777" w:rsidR="000F07B3" w:rsidRPr="00380B40" w:rsidRDefault="000F07B3" w:rsidP="000F07B3">
      <w:pPr>
        <w:pStyle w:val="enumlev1"/>
        <w:rPr>
          <w:lang w:val="en-GB"/>
        </w:rPr>
      </w:pPr>
      <w:r w:rsidRPr="00380B40">
        <w:rPr>
          <w:lang w:val="en-GB"/>
        </w:rPr>
        <w:t>v)</w:t>
      </w:r>
      <w:r w:rsidRPr="00380B40">
        <w:rPr>
          <w:lang w:val="en-GB"/>
        </w:rPr>
        <w:tab/>
        <w:t>Recommendation ITU-T E.164 – Supplement 6</w:t>
      </w:r>
      <w:r w:rsidRPr="00380B40">
        <w:rPr>
          <w:rFonts w:eastAsiaTheme="minorEastAsia"/>
          <w:lang w:val="en-GB"/>
        </w:rPr>
        <w:t>:</w:t>
      </w:r>
      <w:r w:rsidRPr="00380B40">
        <w:rPr>
          <w:lang w:val="en-GB"/>
        </w:rPr>
        <w:t xml:space="preserve"> Guidelines for identifying and selecting globally harmonized numbers;</w:t>
      </w:r>
    </w:p>
    <w:p w14:paraId="21EA4B85" w14:textId="77777777" w:rsidR="000F07B3" w:rsidRPr="00380B40" w:rsidRDefault="000F07B3" w:rsidP="000F07B3">
      <w:pPr>
        <w:keepNext/>
        <w:keepLines/>
        <w:rPr>
          <w:lang w:val="en-GB"/>
        </w:rPr>
      </w:pPr>
      <w:r w:rsidRPr="00380B40">
        <w:rPr>
          <w:i/>
          <w:lang w:val="en-GB"/>
        </w:rPr>
        <w:t>b)</w:t>
      </w:r>
      <w:r w:rsidRPr="00380B40">
        <w:rPr>
          <w:lang w:val="en-GB"/>
        </w:rPr>
        <w:tab/>
        <w:t>relevant resolutions:</w:t>
      </w:r>
    </w:p>
    <w:p w14:paraId="345FE48A" w14:textId="77777777" w:rsidR="000F07B3" w:rsidRPr="00380B40" w:rsidRDefault="000F07B3" w:rsidP="000F07B3">
      <w:pPr>
        <w:pStyle w:val="enumlev1"/>
        <w:rPr>
          <w:lang w:val="en-GB"/>
        </w:rPr>
      </w:pPr>
      <w:r w:rsidRPr="00380B40">
        <w:rPr>
          <w:lang w:val="en-GB"/>
        </w:rPr>
        <w:t>i)</w:t>
      </w:r>
      <w:r w:rsidRPr="00380B40">
        <w:rPr>
          <w:lang w:val="en-GB"/>
        </w:rPr>
        <w:tab/>
        <w:t xml:space="preserve">Resolution 136 (Rev. Dubai, 2018) of the Plenipotentiary Conference, on the use of telecommunications/information and communication technologies for humanitarian assistance and for monitoring and management in emergency and disaster situations, including health-related emergencies, for early warning, prevention, mitigation and relief, in particular </w:t>
      </w:r>
      <w:r w:rsidRPr="00380B40">
        <w:rPr>
          <w:i/>
          <w:iCs/>
          <w:lang w:val="en-GB"/>
        </w:rPr>
        <w:t>encourages Member States</w:t>
      </w:r>
      <w:r w:rsidRPr="00380B40">
        <w:rPr>
          <w:lang w:val="en-GB"/>
        </w:rPr>
        <w:t xml:space="preserve"> 7;</w:t>
      </w:r>
    </w:p>
    <w:p w14:paraId="5DCF56F3" w14:textId="77777777" w:rsidR="000F07B3" w:rsidRPr="00380B40" w:rsidRDefault="000F07B3" w:rsidP="000F07B3">
      <w:pPr>
        <w:pStyle w:val="enumlev1"/>
        <w:rPr>
          <w:lang w:val="en-GB"/>
        </w:rPr>
      </w:pPr>
      <w:r w:rsidRPr="00380B40">
        <w:rPr>
          <w:lang w:val="en-GB"/>
        </w:rPr>
        <w:t>ii)</w:t>
      </w:r>
      <w:r w:rsidRPr="00380B40">
        <w:rPr>
          <w:lang w:val="en-GB"/>
        </w:rPr>
        <w:tab/>
        <w:t>Resolution 2 (Dubai, 2012) of the World Conference on International Telecommunications, on globally harmonized national number for access to emergency services,</w:t>
      </w:r>
    </w:p>
    <w:p w14:paraId="764799CA" w14:textId="77777777" w:rsidR="000F07B3" w:rsidRPr="00380B40" w:rsidRDefault="000F07B3" w:rsidP="000F07B3">
      <w:pPr>
        <w:pStyle w:val="Call"/>
        <w:rPr>
          <w:lang w:val="en-GB"/>
        </w:rPr>
      </w:pPr>
      <w:r w:rsidRPr="00380B40">
        <w:rPr>
          <w:lang w:val="en-GB"/>
        </w:rPr>
        <w:t>noting further</w:t>
      </w:r>
    </w:p>
    <w:p w14:paraId="33E3E1B4" w14:textId="77777777" w:rsidR="000F07B3" w:rsidRPr="00380B40" w:rsidRDefault="000F07B3" w:rsidP="000F07B3">
      <w:pPr>
        <w:rPr>
          <w:lang w:val="en-GB"/>
        </w:rPr>
      </w:pPr>
      <w:r w:rsidRPr="00380B40">
        <w:rPr>
          <w:i/>
          <w:iCs/>
          <w:szCs w:val="24"/>
          <w:lang w:val="en-GB"/>
        </w:rPr>
        <w:t>a)</w:t>
      </w:r>
      <w:r w:rsidRPr="00380B40">
        <w:rPr>
          <w:szCs w:val="24"/>
          <w:lang w:val="en-GB"/>
        </w:rPr>
        <w:tab/>
        <w:t>that</w:t>
      </w:r>
      <w:r w:rsidRPr="00380B40">
        <w:rPr>
          <w:lang w:val="en-GB"/>
        </w:rPr>
        <w:t xml:space="preserve"> some countries and regions have adopted national laws, directives and recommendations regarding the use of emergency numbers;</w:t>
      </w:r>
    </w:p>
    <w:p w14:paraId="48569207" w14:textId="77777777" w:rsidR="000F07B3" w:rsidRPr="00380B40" w:rsidRDefault="000F07B3" w:rsidP="000F07B3">
      <w:pPr>
        <w:rPr>
          <w:lang w:val="en-GB"/>
        </w:rPr>
      </w:pPr>
      <w:r w:rsidRPr="00380B40">
        <w:rPr>
          <w:i/>
          <w:iCs/>
          <w:lang w:val="en-GB"/>
        </w:rPr>
        <w:t>b)</w:t>
      </w:r>
      <w:r w:rsidRPr="00380B40">
        <w:rPr>
          <w:lang w:val="en-GB"/>
        </w:rPr>
        <w:tab/>
        <w:t>that some mobile devices have been hard-coded with either 112 and/or 911;</w:t>
      </w:r>
    </w:p>
    <w:p w14:paraId="3C2CF601" w14:textId="77777777" w:rsidR="000F07B3" w:rsidRPr="00380B40" w:rsidRDefault="000F07B3" w:rsidP="000F07B3">
      <w:pPr>
        <w:rPr>
          <w:lang w:val="en-GB"/>
        </w:rPr>
      </w:pPr>
      <w:r w:rsidRPr="00380B40">
        <w:rPr>
          <w:i/>
          <w:iCs/>
          <w:lang w:val="en-GB"/>
        </w:rPr>
        <w:t>c)</w:t>
      </w:r>
      <w:r w:rsidRPr="00380B40">
        <w:rPr>
          <w:lang w:val="en-GB"/>
        </w:rPr>
        <w:tab/>
        <w:t xml:space="preserve">that there is no provision for the Telecommunication Standardization Bureau (TSB) to provide assistance to countries trying to implement </w:t>
      </w:r>
      <w:r w:rsidRPr="00380B40">
        <w:rPr>
          <w:szCs w:val="24"/>
          <w:lang w:val="en-GB"/>
        </w:rPr>
        <w:t>Recommendation ITU-T E.161.1;</w:t>
      </w:r>
    </w:p>
    <w:p w14:paraId="23E64793" w14:textId="77777777" w:rsidR="000F07B3" w:rsidRPr="00380B40" w:rsidRDefault="000F07B3" w:rsidP="000F07B3">
      <w:pPr>
        <w:rPr>
          <w:lang w:val="en-GB"/>
        </w:rPr>
      </w:pPr>
      <w:r w:rsidRPr="00380B40">
        <w:rPr>
          <w:i/>
          <w:iCs/>
          <w:lang w:val="en-GB"/>
        </w:rPr>
        <w:t>d)</w:t>
      </w:r>
      <w:r w:rsidRPr="00380B40">
        <w:rPr>
          <w:lang w:val="en-GB"/>
        </w:rPr>
        <w:tab/>
        <w:t>that there is no provision for TSB to provide technical assistance to countries trying to set up emergency numbers,</w:t>
      </w:r>
    </w:p>
    <w:p w14:paraId="5454A99E" w14:textId="77777777" w:rsidR="00DB6A21" w:rsidRPr="00380B40" w:rsidRDefault="00DB6A21" w:rsidP="000F07B3">
      <w:pPr>
        <w:pStyle w:val="Call"/>
        <w:rPr>
          <w:lang w:val="en-GB"/>
        </w:rPr>
      </w:pPr>
      <w:r w:rsidRPr="00380B40">
        <w:rPr>
          <w:lang w:val="en-GB"/>
        </w:rPr>
        <w:br w:type="page"/>
      </w:r>
    </w:p>
    <w:p w14:paraId="4EFBFCB9" w14:textId="77777777" w:rsidR="000F07B3" w:rsidRPr="00380B40" w:rsidRDefault="000F07B3" w:rsidP="000F07B3">
      <w:pPr>
        <w:pStyle w:val="Call"/>
        <w:rPr>
          <w:lang w:val="en-GB"/>
        </w:rPr>
      </w:pPr>
      <w:r w:rsidRPr="00380B40">
        <w:rPr>
          <w:lang w:val="en-GB"/>
        </w:rPr>
        <w:t>reaffirming</w:t>
      </w:r>
    </w:p>
    <w:p w14:paraId="341B1562" w14:textId="77777777" w:rsidR="000F07B3" w:rsidRPr="00380B40" w:rsidRDefault="000F07B3" w:rsidP="000F07B3">
      <w:pPr>
        <w:rPr>
          <w:lang w:val="en-GB"/>
        </w:rPr>
      </w:pPr>
      <w:r w:rsidRPr="00380B40">
        <w:rPr>
          <w:lang w:val="en-GB"/>
        </w:rPr>
        <w:t xml:space="preserve">that it is the sovereign right of each country to regulate its telecommunications and, as such, regulate the provision of emergency services, </w:t>
      </w:r>
    </w:p>
    <w:p w14:paraId="0E1011B8" w14:textId="77777777" w:rsidR="000F07B3" w:rsidRPr="00380B40" w:rsidRDefault="000F07B3" w:rsidP="000F07B3">
      <w:pPr>
        <w:pStyle w:val="Call"/>
        <w:rPr>
          <w:lang w:val="en-GB"/>
        </w:rPr>
      </w:pPr>
      <w:r w:rsidRPr="00380B40">
        <w:rPr>
          <w:lang w:val="en-GB"/>
        </w:rPr>
        <w:t>resolves to instruct the Director of Telecommunication Standardization Bureau in cooperation with the Director of the Telecommunications Development Bureau</w:t>
      </w:r>
    </w:p>
    <w:p w14:paraId="19846D67" w14:textId="77777777" w:rsidR="000F07B3" w:rsidRPr="00380B40" w:rsidRDefault="000F07B3" w:rsidP="000F07B3">
      <w:pPr>
        <w:rPr>
          <w:lang w:val="en-GB"/>
        </w:rPr>
      </w:pPr>
      <w:r w:rsidRPr="00380B40">
        <w:rPr>
          <w:lang w:val="en-GB"/>
        </w:rPr>
        <w:t>1</w:t>
      </w:r>
      <w:r w:rsidRPr="00380B40">
        <w:rPr>
          <w:lang w:val="en-GB"/>
        </w:rPr>
        <w:tab/>
        <w:t>to provide technical assistance to Member States in Africa in the implementation of a common emergency number in line with Recommendation ITU-T E.161.1;</w:t>
      </w:r>
    </w:p>
    <w:p w14:paraId="0865CCAE" w14:textId="77777777" w:rsidR="000F07B3" w:rsidRPr="00380B40" w:rsidRDefault="000F07B3" w:rsidP="000F07B3">
      <w:pPr>
        <w:rPr>
          <w:lang w:val="en-GB"/>
        </w:rPr>
      </w:pPr>
      <w:r w:rsidRPr="00380B40">
        <w:rPr>
          <w:lang w:val="en-GB"/>
        </w:rPr>
        <w:t>2</w:t>
      </w:r>
      <w:r w:rsidRPr="00380B40">
        <w:rPr>
          <w:lang w:val="en-GB"/>
        </w:rPr>
        <w:tab/>
        <w:t>to report to the World Telecommunication Standardization Assembly on the progress achieved in implementing this resolution, which is intended to improve access to emergency services,</w:t>
      </w:r>
    </w:p>
    <w:p w14:paraId="4469F4E5" w14:textId="77777777" w:rsidR="000F07B3" w:rsidRPr="00380B40" w:rsidRDefault="000F07B3" w:rsidP="000F07B3">
      <w:pPr>
        <w:pStyle w:val="Call"/>
        <w:rPr>
          <w:lang w:val="en-GB"/>
        </w:rPr>
      </w:pPr>
      <w:r w:rsidRPr="00380B40">
        <w:rPr>
          <w:lang w:val="en-GB"/>
        </w:rPr>
        <w:t>invites Member States particularly in the Africa region</w:t>
      </w:r>
    </w:p>
    <w:p w14:paraId="2FE4CC2F" w14:textId="77777777" w:rsidR="000F07B3" w:rsidRPr="00380B40" w:rsidRDefault="000F07B3" w:rsidP="000F07B3">
      <w:pPr>
        <w:rPr>
          <w:rFonts w:eastAsiaTheme="minorEastAsia"/>
          <w:szCs w:val="24"/>
          <w:lang w:val="en-GB"/>
        </w:rPr>
      </w:pPr>
      <w:r w:rsidRPr="00380B40">
        <w:rPr>
          <w:lang w:val="en-GB"/>
        </w:rPr>
        <w:t xml:space="preserve">to implement the provisions of Recommendation ITU-T E.161.1 and, in particular, to consider whether 112 or 911 should be used as </w:t>
      </w:r>
      <w:r w:rsidRPr="00380B40">
        <w:rPr>
          <w:rFonts w:eastAsiaTheme="minorEastAsia"/>
          <w:szCs w:val="24"/>
          <w:lang w:val="en-GB"/>
        </w:rPr>
        <w:t>a single primary emergency number</w:t>
      </w:r>
      <w:r w:rsidRPr="00380B40">
        <w:rPr>
          <w:lang w:val="en-GB"/>
        </w:rPr>
        <w:t xml:space="preserve">, or 112 and 911 should be used as </w:t>
      </w:r>
      <w:r w:rsidRPr="00380B40">
        <w:rPr>
          <w:rFonts w:eastAsiaTheme="minorEastAsia"/>
          <w:szCs w:val="24"/>
          <w:lang w:val="en-GB"/>
        </w:rPr>
        <w:t>secondary alternative emergency numbers.</w:t>
      </w:r>
    </w:p>
    <w:p w14:paraId="7779FC7D" w14:textId="77777777" w:rsidR="002239A5" w:rsidRPr="00380B40" w:rsidRDefault="002239A5" w:rsidP="002239A5">
      <w:pPr>
        <w:rPr>
          <w:lang w:val="en-GB"/>
        </w:rPr>
      </w:pPr>
    </w:p>
    <w:p w14:paraId="1DD84A50" w14:textId="77777777" w:rsidR="00DB6A21" w:rsidRPr="00380B40" w:rsidRDefault="00DB6A21" w:rsidP="002239A5">
      <w:pPr>
        <w:rPr>
          <w:lang w:val="en-GB"/>
        </w:rPr>
      </w:pPr>
    </w:p>
    <w:p w14:paraId="0DA79F21" w14:textId="77777777" w:rsidR="00DB6A21" w:rsidRPr="00380B40" w:rsidRDefault="00DB6A21" w:rsidP="002239A5">
      <w:pPr>
        <w:rPr>
          <w:lang w:val="en-GB"/>
        </w:rPr>
      </w:pPr>
    </w:p>
    <w:p w14:paraId="72907413" w14:textId="77777777" w:rsidR="00DB6A21" w:rsidRPr="00380B40" w:rsidRDefault="00DB6A21" w:rsidP="002239A5">
      <w:pPr>
        <w:rPr>
          <w:lang w:val="en-GB"/>
        </w:rPr>
      </w:pPr>
    </w:p>
    <w:p w14:paraId="2AC1FADC" w14:textId="77777777" w:rsidR="00DB6A21" w:rsidRPr="00380B40" w:rsidRDefault="00DB6A21" w:rsidP="002239A5">
      <w:pPr>
        <w:rPr>
          <w:lang w:val="en-GB"/>
        </w:rPr>
      </w:pPr>
    </w:p>
    <w:p w14:paraId="6EC18A6F" w14:textId="77777777" w:rsidR="00DB6A21" w:rsidRPr="00380B40" w:rsidRDefault="00DB6A21" w:rsidP="002239A5">
      <w:pPr>
        <w:rPr>
          <w:lang w:val="en-GB"/>
        </w:rPr>
      </w:pPr>
    </w:p>
    <w:p w14:paraId="11E8AD3A" w14:textId="77777777" w:rsidR="00DB6A21" w:rsidRPr="00380B40" w:rsidRDefault="00DB6A21" w:rsidP="002239A5">
      <w:pPr>
        <w:rPr>
          <w:lang w:val="en-GB"/>
        </w:rPr>
      </w:pPr>
    </w:p>
    <w:p w14:paraId="264A48F0" w14:textId="77777777" w:rsidR="00DB6A21" w:rsidRPr="00380B40" w:rsidRDefault="00DB6A21" w:rsidP="002239A5">
      <w:pPr>
        <w:rPr>
          <w:lang w:val="en-GB"/>
        </w:rPr>
      </w:pPr>
    </w:p>
    <w:p w14:paraId="0ADCE1E1" w14:textId="77777777" w:rsidR="00DB6A21" w:rsidRPr="00380B40" w:rsidRDefault="00DB6A21" w:rsidP="002239A5">
      <w:pPr>
        <w:rPr>
          <w:lang w:val="en-GB"/>
        </w:rPr>
      </w:pPr>
    </w:p>
    <w:p w14:paraId="56D21B2D" w14:textId="77777777" w:rsidR="00DB6A21" w:rsidRPr="00380B40" w:rsidRDefault="00DB6A21" w:rsidP="002239A5">
      <w:pPr>
        <w:rPr>
          <w:lang w:val="en-GB"/>
        </w:rPr>
      </w:pPr>
    </w:p>
    <w:p w14:paraId="55696E27" w14:textId="77777777" w:rsidR="00DB6A21" w:rsidRPr="00380B40" w:rsidRDefault="00DB6A21" w:rsidP="002239A5">
      <w:pPr>
        <w:rPr>
          <w:lang w:val="en-GB"/>
        </w:rPr>
      </w:pPr>
    </w:p>
    <w:p w14:paraId="48B3C215" w14:textId="77777777" w:rsidR="00DB6A21" w:rsidRPr="00380B40" w:rsidRDefault="00DB6A21" w:rsidP="002239A5">
      <w:pPr>
        <w:rPr>
          <w:lang w:val="en-GB"/>
        </w:rPr>
      </w:pPr>
    </w:p>
    <w:p w14:paraId="33297965" w14:textId="77777777" w:rsidR="00DB6A21" w:rsidRPr="00380B40" w:rsidRDefault="00DB6A21" w:rsidP="002239A5">
      <w:pPr>
        <w:rPr>
          <w:lang w:val="en-GB"/>
        </w:rPr>
      </w:pPr>
    </w:p>
    <w:p w14:paraId="5922E265" w14:textId="77777777" w:rsidR="00DB6A21" w:rsidRPr="00380B40" w:rsidRDefault="00DB6A21" w:rsidP="002239A5">
      <w:pPr>
        <w:rPr>
          <w:lang w:val="en-GB"/>
        </w:rPr>
      </w:pPr>
    </w:p>
    <w:p w14:paraId="2A541A34" w14:textId="77777777" w:rsidR="003678F3" w:rsidRPr="00380B40" w:rsidRDefault="003678F3" w:rsidP="0036692F">
      <w:pPr>
        <w:rPr>
          <w:lang w:val="en-GB"/>
        </w:rPr>
      </w:pPr>
    </w:p>
    <w:p w14:paraId="777E0ABD" w14:textId="77777777" w:rsidR="003678F3" w:rsidRPr="00380B40" w:rsidRDefault="003678F3" w:rsidP="0036692F">
      <w:pPr>
        <w:rPr>
          <w:lang w:val="en-GB"/>
        </w:rPr>
        <w:sectPr w:rsidR="003678F3" w:rsidRPr="00380B40" w:rsidSect="00B34FD1">
          <w:footnotePr>
            <w:numRestart w:val="eachSect"/>
          </w:footnotePr>
          <w:pgSz w:w="11907" w:h="16834" w:code="9"/>
          <w:pgMar w:top="1134" w:right="1134" w:bottom="1134" w:left="1134" w:header="567" w:footer="567" w:gutter="0"/>
          <w:paperSrc w:first="15" w:other="15"/>
          <w:cols w:space="720"/>
          <w:vAlign w:val="both"/>
          <w:docGrid w:linePitch="299"/>
        </w:sectPr>
      </w:pPr>
    </w:p>
    <w:p w14:paraId="396EEA4C" w14:textId="77777777" w:rsidR="00F505F9" w:rsidRPr="00380B40" w:rsidRDefault="00F505F9" w:rsidP="00F505F9">
      <w:pPr>
        <w:pStyle w:val="ResNo"/>
        <w:rPr>
          <w:lang w:val="en-GB"/>
        </w:rPr>
      </w:pPr>
      <w:bookmarkStart w:id="512" w:name="_Toc104459809"/>
      <w:bookmarkStart w:id="513" w:name="_Toc104476617"/>
      <w:bookmarkStart w:id="514" w:name="_Toc111636818"/>
      <w:bookmarkStart w:id="515" w:name="_Toc111638510"/>
      <w:r w:rsidRPr="00380B40">
        <w:rPr>
          <w:lang w:val="en-GB"/>
        </w:rPr>
        <w:t xml:space="preserve">OPINION </w:t>
      </w:r>
      <w:r w:rsidRPr="00380B40">
        <w:rPr>
          <w:rStyle w:val="href"/>
          <w:lang w:val="en-GB"/>
        </w:rPr>
        <w:t xml:space="preserve">1 </w:t>
      </w:r>
      <w:r w:rsidRPr="00380B40">
        <w:rPr>
          <w:lang w:val="en-GB"/>
        </w:rPr>
        <w:t>(</w:t>
      </w:r>
      <w:r w:rsidRPr="00380B40">
        <w:rPr>
          <w:caps w:val="0"/>
          <w:lang w:val="en-GB"/>
        </w:rPr>
        <w:t>Dubai, 2012</w:t>
      </w:r>
      <w:r w:rsidRPr="00380B40">
        <w:rPr>
          <w:lang w:val="en-GB"/>
        </w:rPr>
        <w:t>)</w:t>
      </w:r>
      <w:bookmarkEnd w:id="512"/>
      <w:bookmarkEnd w:id="513"/>
      <w:bookmarkEnd w:id="514"/>
      <w:bookmarkEnd w:id="515"/>
    </w:p>
    <w:p w14:paraId="6F1F4657" w14:textId="77777777" w:rsidR="00F505F9" w:rsidRPr="00380B40" w:rsidRDefault="00F505F9" w:rsidP="0094767A">
      <w:pPr>
        <w:pStyle w:val="Restitle"/>
        <w:rPr>
          <w:lang w:val="en-GB"/>
        </w:rPr>
      </w:pPr>
      <w:bookmarkStart w:id="516" w:name="_Toc104459810"/>
      <w:bookmarkStart w:id="517" w:name="_Toc104476618"/>
      <w:bookmarkStart w:id="518" w:name="_Toc111638511"/>
      <w:r w:rsidRPr="00380B40">
        <w:rPr>
          <w:lang w:val="en-GB"/>
        </w:rPr>
        <w:t>Practical application of network externality premium</w:t>
      </w:r>
      <w:bookmarkEnd w:id="516"/>
      <w:bookmarkEnd w:id="517"/>
      <w:bookmarkEnd w:id="518"/>
    </w:p>
    <w:p w14:paraId="1DDA648E" w14:textId="77777777" w:rsidR="00F505F9" w:rsidRPr="00380B40" w:rsidRDefault="00F505F9" w:rsidP="00F505F9">
      <w:pPr>
        <w:pStyle w:val="Opinionref"/>
        <w:spacing w:before="120"/>
        <w:rPr>
          <w:lang w:val="en-GB"/>
        </w:rPr>
      </w:pPr>
      <w:r w:rsidRPr="00380B40">
        <w:rPr>
          <w:lang w:val="en-GB"/>
        </w:rPr>
        <w:t>(Dubai, 2012)</w:t>
      </w:r>
    </w:p>
    <w:p w14:paraId="5E505342" w14:textId="77777777" w:rsidR="00F505F9" w:rsidRPr="00380B40" w:rsidRDefault="00F505F9" w:rsidP="00F505F9">
      <w:pPr>
        <w:pStyle w:val="Normalaftertitle0"/>
      </w:pPr>
      <w:r w:rsidRPr="00380B40">
        <w:t>The World Telecommunication Standardization Assembly (Dubai, 2012),</w:t>
      </w:r>
    </w:p>
    <w:p w14:paraId="4A96E33E" w14:textId="77777777" w:rsidR="00F505F9" w:rsidRPr="00380B40" w:rsidRDefault="00F505F9" w:rsidP="00F505F9">
      <w:pPr>
        <w:pStyle w:val="Call"/>
        <w:rPr>
          <w:lang w:val="en-GB"/>
        </w:rPr>
      </w:pPr>
      <w:r w:rsidRPr="00380B40">
        <w:rPr>
          <w:lang w:val="en-GB"/>
        </w:rPr>
        <w:t>considering</w:t>
      </w:r>
    </w:p>
    <w:p w14:paraId="19989A51" w14:textId="77777777" w:rsidR="00F505F9" w:rsidRPr="00380B40" w:rsidRDefault="00F505F9" w:rsidP="00F505F9">
      <w:pPr>
        <w:rPr>
          <w:lang w:val="en-GB"/>
        </w:rPr>
      </w:pPr>
      <w:r w:rsidRPr="00380B40">
        <w:rPr>
          <w:i/>
          <w:iCs/>
          <w:lang w:val="en-GB"/>
        </w:rPr>
        <w:t>a)</w:t>
      </w:r>
      <w:r w:rsidRPr="00380B40">
        <w:rPr>
          <w:lang w:val="en-GB"/>
        </w:rPr>
        <w:tab/>
        <w:t>the Tunis Agenda for the Information Society (Tunis, 2005);</w:t>
      </w:r>
    </w:p>
    <w:p w14:paraId="0E64D245" w14:textId="77777777" w:rsidR="00F505F9" w:rsidRPr="00380B40" w:rsidRDefault="00F505F9" w:rsidP="00F505F9">
      <w:pPr>
        <w:rPr>
          <w:lang w:val="en-GB"/>
        </w:rPr>
      </w:pPr>
      <w:r w:rsidRPr="00380B40">
        <w:rPr>
          <w:i/>
          <w:iCs/>
          <w:lang w:val="en-GB"/>
        </w:rPr>
        <w:t>b)</w:t>
      </w:r>
      <w:r w:rsidRPr="00380B40">
        <w:rPr>
          <w:lang w:val="en-GB"/>
        </w:rPr>
        <w:tab/>
        <w:t>Resolution 22 (Rev. Antalya, 2006) of the Plenipotentiary Conference, on the distribution of revenues in the provision of international telecommunications services;</w:t>
      </w:r>
    </w:p>
    <w:p w14:paraId="4CE3676C" w14:textId="77777777" w:rsidR="00F505F9" w:rsidRPr="00380B40" w:rsidRDefault="00F505F9" w:rsidP="00F505F9">
      <w:pPr>
        <w:rPr>
          <w:lang w:val="en-GB"/>
        </w:rPr>
      </w:pPr>
      <w:r w:rsidRPr="00380B40">
        <w:rPr>
          <w:i/>
          <w:iCs/>
          <w:lang w:val="en-GB"/>
        </w:rPr>
        <w:t>c)</w:t>
      </w:r>
      <w:r w:rsidRPr="00380B40">
        <w:rPr>
          <w:lang w:val="en-GB"/>
        </w:rPr>
        <w:tab/>
        <w:t>the approval by the World Telecommunication Standardization Assembly (Johannesburg, 2008) (WTSA-08) of Recommendation ITU-T D.156, on network externalities,</w:t>
      </w:r>
    </w:p>
    <w:p w14:paraId="4B038994" w14:textId="77777777" w:rsidR="00F505F9" w:rsidRPr="00380B40" w:rsidRDefault="00F505F9" w:rsidP="00F505F9">
      <w:pPr>
        <w:pStyle w:val="Call"/>
        <w:rPr>
          <w:lang w:val="en-GB"/>
        </w:rPr>
      </w:pPr>
      <w:r w:rsidRPr="00380B40">
        <w:rPr>
          <w:lang w:val="en-GB"/>
        </w:rPr>
        <w:t>noting</w:t>
      </w:r>
    </w:p>
    <w:p w14:paraId="61C1C975" w14:textId="77777777" w:rsidR="00F505F9" w:rsidRPr="00380B40" w:rsidRDefault="00F505F9" w:rsidP="00F505F9">
      <w:pPr>
        <w:rPr>
          <w:lang w:val="en-GB"/>
        </w:rPr>
      </w:pPr>
      <w:r w:rsidRPr="00380B40">
        <w:rPr>
          <w:lang w:val="en-GB"/>
        </w:rPr>
        <w:t>that some Member States have expressed reservations on this Recommendation and requested that clarification be made on some issues and a practical model be developed to calculate the value of the network externality premium,</w:t>
      </w:r>
    </w:p>
    <w:p w14:paraId="625A6D69" w14:textId="77777777" w:rsidR="00F505F9" w:rsidRPr="00380B40" w:rsidRDefault="00F505F9" w:rsidP="00F505F9">
      <w:pPr>
        <w:pStyle w:val="Call"/>
        <w:rPr>
          <w:lang w:val="en-GB"/>
        </w:rPr>
      </w:pPr>
      <w:r w:rsidRPr="00380B40">
        <w:rPr>
          <w:lang w:val="en-GB"/>
        </w:rPr>
        <w:t>considering further</w:t>
      </w:r>
    </w:p>
    <w:p w14:paraId="4224422A" w14:textId="77777777" w:rsidR="00F505F9" w:rsidRPr="00380B40" w:rsidRDefault="00F505F9" w:rsidP="00F505F9">
      <w:pPr>
        <w:rPr>
          <w:lang w:val="en-GB"/>
        </w:rPr>
      </w:pPr>
      <w:r w:rsidRPr="00380B40">
        <w:rPr>
          <w:i/>
          <w:iCs/>
          <w:lang w:val="en-GB"/>
        </w:rPr>
        <w:t>a)</w:t>
      </w:r>
      <w:r w:rsidRPr="00380B40">
        <w:rPr>
          <w:lang w:val="en-GB"/>
        </w:rPr>
        <w:tab/>
        <w:t>the approval by Study Group 3 of the ITU Telecommunication Standardization Sector (ITU-T) in May 2010 of Annex A to Recommendation ITU</w:t>
      </w:r>
      <w:r w:rsidRPr="00380B40">
        <w:rPr>
          <w:lang w:val="en-GB"/>
        </w:rPr>
        <w:noBreakHyphen/>
        <w:t>T D.156, on the practical implementation of Recommendation ITU-T D.156, which provides answers to questions that had been raised;</w:t>
      </w:r>
    </w:p>
    <w:p w14:paraId="040B2A1E" w14:textId="77777777" w:rsidR="00F505F9" w:rsidRPr="00380B40" w:rsidRDefault="00F505F9" w:rsidP="00F505F9">
      <w:pPr>
        <w:rPr>
          <w:lang w:val="en-GB"/>
        </w:rPr>
      </w:pPr>
      <w:r w:rsidRPr="00380B40">
        <w:rPr>
          <w:i/>
          <w:iCs/>
          <w:lang w:val="en-GB"/>
        </w:rPr>
        <w:t>b)</w:t>
      </w:r>
      <w:r w:rsidRPr="00380B40">
        <w:rPr>
          <w:lang w:val="en-GB"/>
        </w:rPr>
        <w:tab/>
        <w:t>the approval by Study Group 3 in September 2012 of Annex B to Recommendation ITU-T D.156, on determination of the value of the network externality premium, which offers a practical method of calculating this premium,</w:t>
      </w:r>
    </w:p>
    <w:p w14:paraId="3B5B60BE" w14:textId="77777777" w:rsidR="00F505F9" w:rsidRPr="00380B40" w:rsidRDefault="00F505F9" w:rsidP="00F505F9">
      <w:pPr>
        <w:pStyle w:val="Call"/>
        <w:rPr>
          <w:lang w:val="en-GB"/>
        </w:rPr>
      </w:pPr>
      <w:r w:rsidRPr="00380B40">
        <w:rPr>
          <w:lang w:val="en-GB"/>
        </w:rPr>
        <w:t>is of the opinion that</w:t>
      </w:r>
    </w:p>
    <w:p w14:paraId="3B9B3A6E" w14:textId="77777777" w:rsidR="00F505F9" w:rsidRPr="00380B40" w:rsidRDefault="00F505F9" w:rsidP="00F505F9">
      <w:pPr>
        <w:rPr>
          <w:lang w:val="en-GB"/>
        </w:rPr>
      </w:pPr>
      <w:r w:rsidRPr="00380B40">
        <w:rPr>
          <w:lang w:val="en-GB"/>
        </w:rPr>
        <w:t>in view of the progress achieved so far within Study Group 3, the Member States concerned may wish to review the respective positions adopted at WTSA-08 and possibly withdraw the reservations regarding Recommendation ITU-T D.156,</w:t>
      </w:r>
    </w:p>
    <w:p w14:paraId="4D1D6CE5" w14:textId="77777777" w:rsidR="00F505F9" w:rsidRPr="00380B40" w:rsidRDefault="00F505F9" w:rsidP="00F505F9">
      <w:pPr>
        <w:pStyle w:val="Call"/>
        <w:rPr>
          <w:lang w:val="en-GB"/>
        </w:rPr>
      </w:pPr>
      <w:r w:rsidRPr="00380B40">
        <w:rPr>
          <w:lang w:val="en-GB"/>
        </w:rPr>
        <w:t>invites Member States</w:t>
      </w:r>
    </w:p>
    <w:p w14:paraId="7CE76C59" w14:textId="77777777" w:rsidR="00F505F9" w:rsidRPr="00380B40" w:rsidRDefault="00F505F9" w:rsidP="00F505F9">
      <w:pPr>
        <w:rPr>
          <w:lang w:val="en-GB"/>
        </w:rPr>
      </w:pPr>
      <w:r w:rsidRPr="00380B40">
        <w:rPr>
          <w:lang w:val="en-GB"/>
        </w:rPr>
        <w:t>to take all measures necessary for the effective implementation of Recommendation ITU-T D.156,</w:t>
      </w:r>
    </w:p>
    <w:p w14:paraId="55348665" w14:textId="77777777" w:rsidR="00F505F9" w:rsidRPr="00380B40" w:rsidRDefault="00F505F9" w:rsidP="00F505F9">
      <w:pPr>
        <w:pStyle w:val="Call"/>
        <w:rPr>
          <w:lang w:val="en-GB"/>
        </w:rPr>
      </w:pPr>
      <w:r w:rsidRPr="00380B40">
        <w:rPr>
          <w:lang w:val="en-GB"/>
        </w:rPr>
        <w:t>invites the Council</w:t>
      </w:r>
    </w:p>
    <w:p w14:paraId="5B14B877" w14:textId="77777777" w:rsidR="00F505F9" w:rsidRPr="00380B40" w:rsidRDefault="00F505F9" w:rsidP="00F505F9">
      <w:pPr>
        <w:rPr>
          <w:lang w:val="en-GB"/>
        </w:rPr>
      </w:pPr>
      <w:r w:rsidRPr="00380B40">
        <w:rPr>
          <w:lang w:val="en-GB"/>
        </w:rPr>
        <w:t>at its 2013 session, to report on this subject to the 2014 plenipotentiary conference, in accordance with Resolution 22 (Rev. Antalya, 2006).</w:t>
      </w:r>
    </w:p>
    <w:p w14:paraId="44F59D06" w14:textId="77777777" w:rsidR="002549AE" w:rsidRPr="00380B40" w:rsidRDefault="002549AE" w:rsidP="00F505F9">
      <w:pPr>
        <w:rPr>
          <w:lang w:val="en-GB"/>
        </w:rPr>
      </w:pPr>
    </w:p>
    <w:p w14:paraId="1D95C952" w14:textId="77777777" w:rsidR="002549AE" w:rsidRPr="00380B40" w:rsidRDefault="002549AE" w:rsidP="00F505F9">
      <w:pPr>
        <w:rPr>
          <w:lang w:val="en-GB"/>
        </w:rPr>
        <w:sectPr w:rsidR="002549AE" w:rsidRPr="00380B40" w:rsidSect="006629A2">
          <w:footerReference w:type="even" r:id="rId346"/>
          <w:footerReference w:type="default" r:id="rId347"/>
          <w:headerReference w:type="first" r:id="rId348"/>
          <w:footerReference w:type="first" r:id="rId349"/>
          <w:footnotePr>
            <w:numRestart w:val="eachSect"/>
          </w:footnotePr>
          <w:pgSz w:w="11907" w:h="16834" w:code="9"/>
          <w:pgMar w:top="1134" w:right="1134" w:bottom="1134" w:left="1134" w:header="567" w:footer="567" w:gutter="0"/>
          <w:paperSrc w:first="15" w:other="15"/>
          <w:cols w:space="720"/>
          <w:vAlign w:val="both"/>
          <w:docGrid w:linePitch="299"/>
        </w:sectPr>
      </w:pPr>
    </w:p>
    <w:p w14:paraId="165915F9" w14:textId="77777777" w:rsidR="002549AE" w:rsidRPr="003370B7" w:rsidRDefault="002549AE" w:rsidP="002549AE">
      <w:pPr>
        <w:pStyle w:val="Proposal"/>
        <w:jc w:val="center"/>
        <w:rPr>
          <w:b/>
          <w:bCs/>
          <w:sz w:val="32"/>
          <w:szCs w:val="32"/>
        </w:rPr>
      </w:pPr>
      <w:bookmarkStart w:id="519" w:name="_Toc111636819"/>
      <w:bookmarkStart w:id="520" w:name="_Toc111638512"/>
      <w:r w:rsidRPr="003370B7">
        <w:rPr>
          <w:b/>
          <w:bCs/>
          <w:sz w:val="32"/>
          <w:szCs w:val="32"/>
        </w:rPr>
        <w:t>Resolutions suppressed by WTSA-20</w:t>
      </w:r>
      <w:bookmarkEnd w:id="519"/>
      <w:bookmarkEnd w:id="520"/>
    </w:p>
    <w:p w14:paraId="72ACBA5C" w14:textId="77777777" w:rsidR="002549AE" w:rsidRPr="003370B7" w:rsidRDefault="002549AE" w:rsidP="002549AE">
      <w:pPr>
        <w:rPr>
          <w:b/>
          <w:bCs/>
          <w:lang w:val="en-GB"/>
        </w:rPr>
      </w:pPr>
    </w:p>
    <w:p w14:paraId="67765182" w14:textId="77777777" w:rsidR="002549AE" w:rsidRPr="003370B7" w:rsidRDefault="002549AE" w:rsidP="002549AE">
      <w:pPr>
        <w:pStyle w:val="ResNo"/>
        <w:rPr>
          <w:b/>
          <w:bCs/>
          <w:lang w:val="en-GB"/>
        </w:rPr>
      </w:pPr>
      <w:bookmarkStart w:id="521" w:name="_Toc104476619"/>
      <w:bookmarkStart w:id="522" w:name="_Toc111636820"/>
      <w:bookmarkStart w:id="523" w:name="_Toc111638513"/>
      <w:r w:rsidRPr="003370B7">
        <w:rPr>
          <w:b/>
          <w:bCs/>
          <w:lang w:val="en-GB"/>
        </w:rPr>
        <w:t xml:space="preserve">RESOLUTION </w:t>
      </w:r>
      <w:r w:rsidRPr="003370B7">
        <w:rPr>
          <w:rStyle w:val="href"/>
          <w:b/>
          <w:bCs/>
          <w:lang w:val="en-GB"/>
        </w:rPr>
        <w:t>35</w:t>
      </w:r>
      <w:r w:rsidRPr="003370B7">
        <w:rPr>
          <w:b/>
          <w:bCs/>
          <w:lang w:val="en-GB"/>
        </w:rPr>
        <w:t xml:space="preserve"> (R</w:t>
      </w:r>
      <w:r w:rsidR="007046DF" w:rsidRPr="003370B7">
        <w:rPr>
          <w:b/>
          <w:bCs/>
          <w:caps w:val="0"/>
          <w:lang w:val="en-GB"/>
        </w:rPr>
        <w:t>ev</w:t>
      </w:r>
      <w:r w:rsidRPr="003370B7">
        <w:rPr>
          <w:b/>
          <w:bCs/>
          <w:lang w:val="en-GB"/>
        </w:rPr>
        <w:t>. H</w:t>
      </w:r>
      <w:r w:rsidR="007046DF" w:rsidRPr="003370B7">
        <w:rPr>
          <w:b/>
          <w:bCs/>
          <w:caps w:val="0"/>
          <w:lang w:val="en-GB"/>
        </w:rPr>
        <w:t>ammamet</w:t>
      </w:r>
      <w:r w:rsidRPr="003370B7">
        <w:rPr>
          <w:b/>
          <w:bCs/>
          <w:lang w:val="en-GB"/>
        </w:rPr>
        <w:t>, 2016)</w:t>
      </w:r>
      <w:bookmarkEnd w:id="521"/>
      <w:bookmarkEnd w:id="522"/>
      <w:bookmarkEnd w:id="523"/>
    </w:p>
    <w:p w14:paraId="4121CC42" w14:textId="77777777" w:rsidR="002549AE" w:rsidRPr="003370B7" w:rsidRDefault="002549AE" w:rsidP="002549AE">
      <w:pPr>
        <w:pStyle w:val="Restitle"/>
        <w:rPr>
          <w:b w:val="0"/>
          <w:bCs/>
          <w:lang w:val="en-GB"/>
        </w:rPr>
      </w:pPr>
      <w:bookmarkStart w:id="524" w:name="_Toc475345238"/>
      <w:bookmarkStart w:id="525" w:name="_Toc104476620"/>
      <w:bookmarkStart w:id="526" w:name="_Toc111638514"/>
      <w:r w:rsidRPr="003370B7">
        <w:rPr>
          <w:b w:val="0"/>
          <w:bCs/>
          <w:lang w:val="en-GB"/>
        </w:rPr>
        <w:t>Appointment and maximum term of office for chairmen and vice</w:t>
      </w:r>
      <w:r w:rsidRPr="003370B7">
        <w:rPr>
          <w:b w:val="0"/>
          <w:bCs/>
          <w:lang w:val="en-GB"/>
        </w:rPr>
        <w:noBreakHyphen/>
        <w:t xml:space="preserve">chairmen </w:t>
      </w:r>
      <w:r w:rsidRPr="003370B7">
        <w:rPr>
          <w:b w:val="0"/>
          <w:bCs/>
          <w:lang w:val="en-GB"/>
        </w:rPr>
        <w:br/>
        <w:t xml:space="preserve">of study groups of the Telecommunication Standardization Sector </w:t>
      </w:r>
      <w:r w:rsidRPr="003370B7">
        <w:rPr>
          <w:b w:val="0"/>
          <w:bCs/>
          <w:lang w:val="en-GB"/>
        </w:rPr>
        <w:br/>
        <w:t>and of the Telecommunication Standardization Advisory Group</w:t>
      </w:r>
      <w:bookmarkEnd w:id="524"/>
      <w:bookmarkEnd w:id="525"/>
      <w:bookmarkEnd w:id="526"/>
    </w:p>
    <w:p w14:paraId="48A5C642" w14:textId="77777777" w:rsidR="002549AE" w:rsidRPr="00380B40" w:rsidRDefault="002549AE" w:rsidP="002549AE">
      <w:pPr>
        <w:pStyle w:val="Resref"/>
        <w:rPr>
          <w:lang w:val="en-GB"/>
        </w:rPr>
      </w:pPr>
      <w:r w:rsidRPr="00380B40">
        <w:rPr>
          <w:lang w:val="en-GB"/>
        </w:rPr>
        <w:t>(Montreal, 2000; Florianópolis, 2004; Johannesburg, 2008;</w:t>
      </w:r>
      <w:r w:rsidRPr="00380B40">
        <w:rPr>
          <w:lang w:val="en-GB"/>
        </w:rPr>
        <w:br/>
        <w:t>Dubai, 2012; Hammamet, 2016)</w:t>
      </w:r>
    </w:p>
    <w:p w14:paraId="1AB3BA5B" w14:textId="77777777" w:rsidR="002549AE" w:rsidRPr="003370B7" w:rsidRDefault="002549AE" w:rsidP="002549AE">
      <w:pPr>
        <w:pStyle w:val="Reasons"/>
        <w:rPr>
          <w:b/>
          <w:bCs/>
        </w:rPr>
      </w:pPr>
    </w:p>
    <w:p w14:paraId="7C00E981" w14:textId="77777777" w:rsidR="002549AE" w:rsidRPr="003370B7" w:rsidRDefault="002549AE" w:rsidP="002549AE">
      <w:pPr>
        <w:pStyle w:val="ResNo"/>
        <w:rPr>
          <w:b/>
          <w:bCs/>
          <w:lang w:val="en-GB"/>
        </w:rPr>
      </w:pPr>
      <w:bookmarkStart w:id="527" w:name="_Toc475345245"/>
      <w:bookmarkStart w:id="528" w:name="_Toc104476621"/>
      <w:bookmarkStart w:id="529" w:name="_Toc111636821"/>
      <w:bookmarkStart w:id="530" w:name="_Toc111638515"/>
      <w:r w:rsidRPr="003370B7">
        <w:rPr>
          <w:b/>
          <w:bCs/>
          <w:lang w:val="en-GB"/>
        </w:rPr>
        <w:t xml:space="preserve">RESOLUTION </w:t>
      </w:r>
      <w:r w:rsidRPr="003370B7">
        <w:rPr>
          <w:rStyle w:val="href"/>
          <w:b/>
          <w:bCs/>
          <w:lang w:val="en-GB"/>
        </w:rPr>
        <w:t>45</w:t>
      </w:r>
      <w:r w:rsidRPr="003370B7">
        <w:rPr>
          <w:b/>
          <w:bCs/>
          <w:lang w:val="en-GB"/>
        </w:rPr>
        <w:t xml:space="preserve"> (R</w:t>
      </w:r>
      <w:r w:rsidR="007046DF" w:rsidRPr="003370B7">
        <w:rPr>
          <w:b/>
          <w:bCs/>
          <w:caps w:val="0"/>
          <w:lang w:val="en-GB"/>
        </w:rPr>
        <w:t>ev</w:t>
      </w:r>
      <w:r w:rsidRPr="003370B7">
        <w:rPr>
          <w:b/>
          <w:bCs/>
          <w:lang w:val="en-GB"/>
        </w:rPr>
        <w:t>. H</w:t>
      </w:r>
      <w:r w:rsidR="007046DF" w:rsidRPr="003370B7">
        <w:rPr>
          <w:b/>
          <w:bCs/>
          <w:caps w:val="0"/>
          <w:lang w:val="en-GB"/>
        </w:rPr>
        <w:t>ammamet</w:t>
      </w:r>
      <w:r w:rsidRPr="003370B7">
        <w:rPr>
          <w:b/>
          <w:bCs/>
          <w:lang w:val="en-GB"/>
        </w:rPr>
        <w:t>, 2016)</w:t>
      </w:r>
      <w:bookmarkEnd w:id="527"/>
      <w:bookmarkEnd w:id="528"/>
      <w:bookmarkEnd w:id="529"/>
      <w:bookmarkEnd w:id="530"/>
    </w:p>
    <w:p w14:paraId="4A0AFFC3" w14:textId="77777777" w:rsidR="002549AE" w:rsidRPr="003370B7" w:rsidRDefault="002549AE" w:rsidP="002549AE">
      <w:pPr>
        <w:pStyle w:val="Restitle"/>
        <w:rPr>
          <w:b w:val="0"/>
          <w:bCs/>
          <w:lang w:val="en-GB"/>
        </w:rPr>
      </w:pPr>
      <w:bookmarkStart w:id="531" w:name="_Toc475345246"/>
      <w:bookmarkStart w:id="532" w:name="_Toc104476622"/>
      <w:bookmarkStart w:id="533" w:name="_Toc111638516"/>
      <w:r w:rsidRPr="003370B7">
        <w:rPr>
          <w:b w:val="0"/>
          <w:bCs/>
          <w:lang w:val="en-GB"/>
        </w:rPr>
        <w:t xml:space="preserve">Effective coordination of standardization work across study groups in the </w:t>
      </w:r>
      <w:r w:rsidRPr="003370B7">
        <w:rPr>
          <w:b w:val="0"/>
          <w:bCs/>
          <w:lang w:val="en-GB"/>
        </w:rPr>
        <w:br/>
        <w:t xml:space="preserve">ITU Telecommunication Standardization Sector and the role of the </w:t>
      </w:r>
      <w:r w:rsidRPr="003370B7">
        <w:rPr>
          <w:b w:val="0"/>
          <w:bCs/>
          <w:lang w:val="en-GB"/>
        </w:rPr>
        <w:br/>
        <w:t>ITU Telecommunication Standardization Advisory Group</w:t>
      </w:r>
      <w:bookmarkEnd w:id="531"/>
      <w:bookmarkEnd w:id="532"/>
      <w:bookmarkEnd w:id="533"/>
    </w:p>
    <w:p w14:paraId="2302A619" w14:textId="77777777" w:rsidR="002549AE" w:rsidRPr="00380B40" w:rsidRDefault="002549AE" w:rsidP="002549AE">
      <w:pPr>
        <w:pStyle w:val="Resref"/>
        <w:rPr>
          <w:lang w:val="en-GB"/>
        </w:rPr>
      </w:pPr>
      <w:r w:rsidRPr="00380B40">
        <w:rPr>
          <w:lang w:val="en-GB"/>
        </w:rPr>
        <w:t>(</w:t>
      </w:r>
      <w:r w:rsidRPr="00380B40" w:rsidDel="00F12BE4">
        <w:rPr>
          <w:lang w:val="en-GB"/>
        </w:rPr>
        <w:t>Florianópolis</w:t>
      </w:r>
      <w:r w:rsidRPr="00380B40">
        <w:rPr>
          <w:lang w:val="en-GB"/>
        </w:rPr>
        <w:t>, 2004; Johannesburg, 2008; Dubai, 2012; Hammamet, 2016)</w:t>
      </w:r>
    </w:p>
    <w:p w14:paraId="37AAC0C9" w14:textId="77777777" w:rsidR="002549AE" w:rsidRPr="00380B40" w:rsidRDefault="002549AE" w:rsidP="002549AE">
      <w:pPr>
        <w:pStyle w:val="Reasons"/>
      </w:pPr>
    </w:p>
    <w:p w14:paraId="2CB29F3C" w14:textId="77777777" w:rsidR="002549AE" w:rsidRPr="003370B7" w:rsidRDefault="002549AE" w:rsidP="002549AE">
      <w:pPr>
        <w:pStyle w:val="ResNo"/>
        <w:rPr>
          <w:b/>
          <w:bCs/>
          <w:lang w:val="en-GB"/>
        </w:rPr>
      </w:pPr>
      <w:bookmarkStart w:id="534" w:name="_Toc475345263"/>
      <w:bookmarkStart w:id="535" w:name="_Toc104476623"/>
      <w:bookmarkStart w:id="536" w:name="_Toc111636822"/>
      <w:bookmarkStart w:id="537" w:name="_Toc111638517"/>
      <w:r w:rsidRPr="003370B7">
        <w:rPr>
          <w:b/>
          <w:bCs/>
          <w:lang w:val="en-GB"/>
        </w:rPr>
        <w:t xml:space="preserve">RESOLUTION </w:t>
      </w:r>
      <w:r w:rsidRPr="003370B7">
        <w:rPr>
          <w:rStyle w:val="href"/>
          <w:b/>
          <w:bCs/>
          <w:lang w:val="en-GB"/>
        </w:rPr>
        <w:t xml:space="preserve">59 </w:t>
      </w:r>
      <w:r w:rsidRPr="003370B7">
        <w:rPr>
          <w:b/>
          <w:bCs/>
          <w:lang w:val="en-GB"/>
        </w:rPr>
        <w:t>(R</w:t>
      </w:r>
      <w:r w:rsidR="007046DF" w:rsidRPr="003370B7">
        <w:rPr>
          <w:b/>
          <w:bCs/>
          <w:caps w:val="0"/>
          <w:lang w:val="en-GB"/>
        </w:rPr>
        <w:t>ev</w:t>
      </w:r>
      <w:r w:rsidRPr="003370B7">
        <w:rPr>
          <w:b/>
          <w:bCs/>
          <w:lang w:val="en-GB"/>
        </w:rPr>
        <w:t>. D</w:t>
      </w:r>
      <w:r w:rsidR="007046DF" w:rsidRPr="003370B7">
        <w:rPr>
          <w:b/>
          <w:bCs/>
          <w:caps w:val="0"/>
          <w:lang w:val="en-GB"/>
        </w:rPr>
        <w:t>ubai</w:t>
      </w:r>
      <w:r w:rsidRPr="003370B7">
        <w:rPr>
          <w:b/>
          <w:bCs/>
          <w:lang w:val="en-GB"/>
        </w:rPr>
        <w:t>, 2012)</w:t>
      </w:r>
      <w:bookmarkEnd w:id="534"/>
      <w:bookmarkEnd w:id="535"/>
      <w:bookmarkEnd w:id="536"/>
      <w:bookmarkEnd w:id="537"/>
    </w:p>
    <w:p w14:paraId="5B938DD2" w14:textId="77777777" w:rsidR="002549AE" w:rsidRPr="003370B7" w:rsidRDefault="002549AE" w:rsidP="002549AE">
      <w:pPr>
        <w:pStyle w:val="Restitle"/>
        <w:rPr>
          <w:b w:val="0"/>
          <w:bCs/>
          <w:lang w:val="en-GB"/>
        </w:rPr>
      </w:pPr>
      <w:bookmarkStart w:id="538" w:name="_Toc475345264"/>
      <w:bookmarkStart w:id="539" w:name="_Toc104476624"/>
      <w:bookmarkStart w:id="540" w:name="_Toc111638518"/>
      <w:r w:rsidRPr="003370B7">
        <w:rPr>
          <w:b w:val="0"/>
          <w:bCs/>
          <w:lang w:val="en-GB"/>
        </w:rPr>
        <w:t xml:space="preserve">Enhancing participation of telecommunication operators </w:t>
      </w:r>
      <w:r w:rsidRPr="003370B7">
        <w:rPr>
          <w:b w:val="0"/>
          <w:bCs/>
          <w:lang w:val="en-GB"/>
        </w:rPr>
        <w:br/>
        <w:t>from developing countries</w:t>
      </w:r>
      <w:bookmarkEnd w:id="538"/>
      <w:r w:rsidRPr="003370B7">
        <w:rPr>
          <w:b w:val="0"/>
          <w:bCs/>
          <w:vertAlign w:val="superscript"/>
          <w:lang w:val="en-GB"/>
        </w:rPr>
        <w:t>1</w:t>
      </w:r>
      <w:bookmarkEnd w:id="539"/>
      <w:bookmarkEnd w:id="540"/>
    </w:p>
    <w:p w14:paraId="46B4A700" w14:textId="77777777" w:rsidR="002549AE" w:rsidRPr="00380B40" w:rsidRDefault="002549AE" w:rsidP="002549AE">
      <w:pPr>
        <w:pStyle w:val="Resref"/>
        <w:rPr>
          <w:lang w:val="en-GB"/>
        </w:rPr>
      </w:pPr>
      <w:r w:rsidRPr="00380B40">
        <w:rPr>
          <w:lang w:val="en-GB"/>
        </w:rPr>
        <w:t>(Johannesburg, 2008; Dubai, 2012)</w:t>
      </w:r>
    </w:p>
    <w:p w14:paraId="1B77928E" w14:textId="77777777" w:rsidR="002549AE" w:rsidRPr="00380B40" w:rsidRDefault="002549AE" w:rsidP="002549AE">
      <w:pPr>
        <w:pStyle w:val="Reasons"/>
      </w:pPr>
    </w:p>
    <w:p w14:paraId="553E061C" w14:textId="77777777" w:rsidR="002549AE" w:rsidRPr="003370B7" w:rsidRDefault="002549AE" w:rsidP="002549AE">
      <w:pPr>
        <w:pStyle w:val="ResNo"/>
        <w:rPr>
          <w:b/>
          <w:bCs/>
          <w:lang w:val="en-GB"/>
        </w:rPr>
      </w:pPr>
      <w:bookmarkStart w:id="541" w:name="_Toc475345275"/>
      <w:bookmarkStart w:id="542" w:name="_Toc104476625"/>
      <w:bookmarkStart w:id="543" w:name="_Toc111636823"/>
      <w:bookmarkStart w:id="544" w:name="_Toc111638519"/>
      <w:r w:rsidRPr="003370B7">
        <w:rPr>
          <w:b/>
          <w:bCs/>
          <w:lang w:val="en-GB"/>
        </w:rPr>
        <w:t xml:space="preserve">RESOLUTION </w:t>
      </w:r>
      <w:r w:rsidRPr="003370B7">
        <w:rPr>
          <w:rStyle w:val="href"/>
          <w:b/>
          <w:bCs/>
          <w:lang w:val="en-GB"/>
        </w:rPr>
        <w:t xml:space="preserve">66 </w:t>
      </w:r>
      <w:r w:rsidRPr="003370B7">
        <w:rPr>
          <w:b/>
          <w:bCs/>
          <w:lang w:val="en-GB"/>
        </w:rPr>
        <w:t>(R</w:t>
      </w:r>
      <w:r w:rsidR="007046DF" w:rsidRPr="003370B7">
        <w:rPr>
          <w:b/>
          <w:bCs/>
          <w:caps w:val="0"/>
          <w:lang w:val="en-GB"/>
        </w:rPr>
        <w:t>ev</w:t>
      </w:r>
      <w:r w:rsidRPr="003370B7">
        <w:rPr>
          <w:b/>
          <w:bCs/>
          <w:lang w:val="en-GB"/>
        </w:rPr>
        <w:t>. D</w:t>
      </w:r>
      <w:r w:rsidR="007046DF" w:rsidRPr="003370B7">
        <w:rPr>
          <w:b/>
          <w:bCs/>
          <w:caps w:val="0"/>
          <w:lang w:val="en-GB"/>
        </w:rPr>
        <w:t>ubai</w:t>
      </w:r>
      <w:r w:rsidRPr="003370B7">
        <w:rPr>
          <w:b/>
          <w:bCs/>
          <w:lang w:val="en-GB"/>
        </w:rPr>
        <w:t>, 2012)</w:t>
      </w:r>
      <w:bookmarkEnd w:id="541"/>
      <w:bookmarkEnd w:id="542"/>
      <w:bookmarkEnd w:id="543"/>
      <w:bookmarkEnd w:id="544"/>
    </w:p>
    <w:p w14:paraId="477D46AC" w14:textId="77777777" w:rsidR="002549AE" w:rsidRPr="003370B7" w:rsidRDefault="002549AE" w:rsidP="002549AE">
      <w:pPr>
        <w:pStyle w:val="Restitle"/>
        <w:rPr>
          <w:b w:val="0"/>
          <w:bCs/>
          <w:lang w:val="en-GB"/>
        </w:rPr>
      </w:pPr>
      <w:bookmarkStart w:id="545" w:name="_Toc475345276"/>
      <w:bookmarkStart w:id="546" w:name="_Toc104476626"/>
      <w:bookmarkStart w:id="547" w:name="_Toc111638520"/>
      <w:r w:rsidRPr="003370B7">
        <w:rPr>
          <w:b w:val="0"/>
          <w:bCs/>
          <w:lang w:val="en-GB"/>
        </w:rPr>
        <w:t>Technology Watch in the Telecommunication</w:t>
      </w:r>
      <w:r w:rsidRPr="003370B7">
        <w:rPr>
          <w:b w:val="0"/>
          <w:bCs/>
          <w:lang w:val="en-GB"/>
        </w:rPr>
        <w:br/>
        <w:t>Standardization Bureau</w:t>
      </w:r>
      <w:bookmarkEnd w:id="545"/>
      <w:bookmarkEnd w:id="546"/>
      <w:bookmarkEnd w:id="547"/>
    </w:p>
    <w:p w14:paraId="2C0D20E8" w14:textId="77777777" w:rsidR="002549AE" w:rsidRPr="00380B40" w:rsidRDefault="002549AE" w:rsidP="002549AE">
      <w:pPr>
        <w:pStyle w:val="Resref"/>
        <w:rPr>
          <w:lang w:val="en-GB"/>
        </w:rPr>
      </w:pPr>
      <w:r w:rsidRPr="00380B40">
        <w:rPr>
          <w:lang w:val="en-GB"/>
        </w:rPr>
        <w:t>(Johannesburg, 2008; Dubai, 2012)</w:t>
      </w:r>
    </w:p>
    <w:p w14:paraId="0EB437C1" w14:textId="77777777" w:rsidR="00DA0E6E" w:rsidRPr="00380B40" w:rsidRDefault="00DA0E6E" w:rsidP="00F505F9">
      <w:pPr>
        <w:rPr>
          <w:lang w:val="en-GB"/>
        </w:rPr>
      </w:pPr>
    </w:p>
    <w:p w14:paraId="32CBA7ED" w14:textId="77777777" w:rsidR="002549AE" w:rsidRPr="00380B40" w:rsidRDefault="002549AE" w:rsidP="00F505F9">
      <w:pPr>
        <w:rPr>
          <w:lang w:val="en-GB"/>
        </w:rPr>
      </w:pPr>
    </w:p>
    <w:p w14:paraId="49F60D82" w14:textId="77777777" w:rsidR="002549AE" w:rsidRPr="00380B40" w:rsidRDefault="002549AE" w:rsidP="00F505F9">
      <w:pPr>
        <w:rPr>
          <w:lang w:val="en-GB"/>
        </w:rPr>
      </w:pPr>
    </w:p>
    <w:p w14:paraId="7F7108F8" w14:textId="77777777" w:rsidR="002549AE" w:rsidRPr="00380B40" w:rsidRDefault="002549AE" w:rsidP="00F505F9">
      <w:pPr>
        <w:rPr>
          <w:lang w:val="en-GB"/>
        </w:rPr>
      </w:pPr>
    </w:p>
    <w:p w14:paraId="2E71FCA5" w14:textId="77777777" w:rsidR="002549AE" w:rsidRPr="00380B40" w:rsidRDefault="002549AE" w:rsidP="00F505F9">
      <w:pPr>
        <w:rPr>
          <w:lang w:val="en-GB"/>
        </w:rPr>
      </w:pPr>
    </w:p>
    <w:p w14:paraId="65F604CE" w14:textId="77777777" w:rsidR="00DA0E6E" w:rsidRPr="00380B40" w:rsidRDefault="00DA0E6E" w:rsidP="00F505F9">
      <w:pPr>
        <w:rPr>
          <w:lang w:val="en-GB"/>
        </w:rPr>
      </w:pPr>
    </w:p>
    <w:p w14:paraId="2A233BE3" w14:textId="77777777" w:rsidR="00DA0E6E" w:rsidRPr="00380B40" w:rsidRDefault="00DA0E6E" w:rsidP="00C53AF4">
      <w:pPr>
        <w:tabs>
          <w:tab w:val="clear" w:pos="794"/>
          <w:tab w:val="clear" w:pos="1191"/>
          <w:tab w:val="clear" w:pos="1588"/>
          <w:tab w:val="clear" w:pos="1985"/>
        </w:tabs>
        <w:overflowPunct/>
        <w:autoSpaceDE/>
        <w:autoSpaceDN/>
        <w:adjustRightInd/>
        <w:spacing w:before="0" w:line="240" w:lineRule="auto"/>
        <w:jc w:val="left"/>
        <w:textAlignment w:val="auto"/>
        <w:rPr>
          <w:lang w:val="en-GB"/>
        </w:rPr>
        <w:sectPr w:rsidR="00DA0E6E" w:rsidRPr="00380B40" w:rsidSect="006629A2">
          <w:footerReference w:type="even" r:id="rId350"/>
          <w:footnotePr>
            <w:numRestart w:val="eachSect"/>
          </w:footnotePr>
          <w:pgSz w:w="11907" w:h="16834" w:code="9"/>
          <w:pgMar w:top="1134" w:right="1134" w:bottom="1134" w:left="1134" w:header="567" w:footer="567" w:gutter="0"/>
          <w:paperSrc w:first="15" w:other="15"/>
          <w:cols w:space="720"/>
          <w:vAlign w:val="both"/>
          <w:docGrid w:linePitch="299"/>
        </w:sectPr>
      </w:pPr>
    </w:p>
    <w:p w14:paraId="1478F99A" w14:textId="77777777" w:rsidR="008930E6" w:rsidRDefault="008930E6" w:rsidP="008930E6">
      <w:pPr>
        <w:rPr>
          <w:lang w:val="en-GB"/>
        </w:rPr>
      </w:pPr>
      <w:bookmarkStart w:id="548" w:name="_Toc104472184"/>
      <w:bookmarkStart w:id="549" w:name="_Toc104530921"/>
      <w:bookmarkStart w:id="550" w:name="_Toc111636824"/>
      <w:bookmarkStart w:id="551" w:name="_Toc111638521"/>
      <w:bookmarkStart w:id="552" w:name="_Toc89762000"/>
      <w:bookmarkStart w:id="553" w:name="_Toc89767303"/>
      <w:bookmarkStart w:id="554" w:name="_Toc206496672"/>
    </w:p>
    <w:p w14:paraId="000C4950" w14:textId="77777777" w:rsidR="008930E6" w:rsidRDefault="008930E6" w:rsidP="008930E6">
      <w:pPr>
        <w:rPr>
          <w:lang w:val="en-GB"/>
        </w:rPr>
      </w:pPr>
    </w:p>
    <w:p w14:paraId="726536A9" w14:textId="77777777" w:rsidR="008930E6" w:rsidRDefault="008930E6" w:rsidP="008930E6">
      <w:pPr>
        <w:rPr>
          <w:lang w:val="en-GB"/>
        </w:rPr>
      </w:pPr>
    </w:p>
    <w:p w14:paraId="2FEEDEDE" w14:textId="77777777" w:rsidR="008930E6" w:rsidRDefault="008930E6" w:rsidP="008930E6">
      <w:pPr>
        <w:rPr>
          <w:lang w:val="en-GB"/>
        </w:rPr>
      </w:pPr>
    </w:p>
    <w:p w14:paraId="79E8BA4B" w14:textId="77777777" w:rsidR="008930E6" w:rsidRDefault="008930E6" w:rsidP="008930E6">
      <w:pPr>
        <w:rPr>
          <w:lang w:val="en-GB"/>
        </w:rPr>
      </w:pPr>
    </w:p>
    <w:p w14:paraId="703FD2AB" w14:textId="77777777" w:rsidR="008930E6" w:rsidRDefault="008930E6" w:rsidP="008930E6">
      <w:pPr>
        <w:rPr>
          <w:lang w:val="en-GB"/>
        </w:rPr>
      </w:pPr>
    </w:p>
    <w:p w14:paraId="5B81DB09" w14:textId="77777777" w:rsidR="008930E6" w:rsidRDefault="008930E6" w:rsidP="008930E6">
      <w:pPr>
        <w:rPr>
          <w:lang w:val="en-GB"/>
        </w:rPr>
      </w:pPr>
    </w:p>
    <w:p w14:paraId="1FBCDE49" w14:textId="77777777" w:rsidR="008930E6" w:rsidRDefault="008930E6" w:rsidP="008930E6">
      <w:pPr>
        <w:rPr>
          <w:lang w:val="en-GB"/>
        </w:rPr>
      </w:pPr>
    </w:p>
    <w:p w14:paraId="2BA84D38" w14:textId="77777777" w:rsidR="008930E6" w:rsidRDefault="008930E6" w:rsidP="008930E6">
      <w:pPr>
        <w:rPr>
          <w:lang w:val="en-GB"/>
        </w:rPr>
      </w:pPr>
    </w:p>
    <w:p w14:paraId="72A727BF" w14:textId="77777777" w:rsidR="008930E6" w:rsidRDefault="008930E6" w:rsidP="008930E6">
      <w:pPr>
        <w:rPr>
          <w:lang w:val="en-GB"/>
        </w:rPr>
      </w:pPr>
    </w:p>
    <w:p w14:paraId="11ACB264" w14:textId="77777777" w:rsidR="008930E6" w:rsidRDefault="008930E6" w:rsidP="008930E6">
      <w:pPr>
        <w:rPr>
          <w:lang w:val="en-GB"/>
        </w:rPr>
      </w:pPr>
    </w:p>
    <w:p w14:paraId="29445E4D" w14:textId="77777777" w:rsidR="008930E6" w:rsidRPr="008930E6" w:rsidRDefault="008930E6" w:rsidP="008930E6">
      <w:pPr>
        <w:rPr>
          <w:lang w:val="en-GB"/>
        </w:rPr>
      </w:pPr>
    </w:p>
    <w:p w14:paraId="24BD4045" w14:textId="77777777" w:rsidR="006C6557" w:rsidRPr="00380B40" w:rsidRDefault="006C6557" w:rsidP="006C6557">
      <w:pPr>
        <w:pStyle w:val="ChapNo"/>
        <w:rPr>
          <w:lang w:val="en-GB"/>
        </w:rPr>
      </w:pPr>
      <w:r w:rsidRPr="00380B40">
        <w:rPr>
          <w:lang w:val="en-GB"/>
        </w:rPr>
        <w:t>PART II</w:t>
      </w:r>
      <w:r w:rsidR="00202A50" w:rsidRPr="00380B40">
        <w:rPr>
          <w:lang w:val="en-GB"/>
        </w:rPr>
        <w:t xml:space="preserve"> </w:t>
      </w:r>
      <w:bookmarkStart w:id="555" w:name="PartII"/>
      <w:bookmarkEnd w:id="555"/>
      <w:r w:rsidRPr="00380B40">
        <w:rPr>
          <w:lang w:val="en-GB"/>
        </w:rPr>
        <w:br/>
      </w:r>
      <w:r w:rsidR="005E731C" w:rsidRPr="00380B40">
        <w:rPr>
          <w:lang w:val="en-GB"/>
        </w:rPr>
        <w:br/>
      </w:r>
      <w:r w:rsidRPr="00380B40">
        <w:rPr>
          <w:lang w:val="en-GB"/>
        </w:rPr>
        <w:br/>
        <w:t>ITU-T A-series Recommendations and Supplements: Organization of the work of the ITU Telecommunication Standardization Sector</w:t>
      </w:r>
      <w:bookmarkEnd w:id="548"/>
      <w:bookmarkEnd w:id="549"/>
      <w:r w:rsidR="00FD162E" w:rsidRPr="00380B40">
        <w:rPr>
          <w:rStyle w:val="FootnoteReference"/>
          <w:lang w:val="en-GB"/>
        </w:rPr>
        <w:footnoteReference w:id="58"/>
      </w:r>
      <w:bookmarkEnd w:id="550"/>
      <w:bookmarkEnd w:id="551"/>
    </w:p>
    <w:p w14:paraId="16153CC3" w14:textId="77777777" w:rsidR="001E337A" w:rsidRDefault="001E337A" w:rsidP="008C3E8D">
      <w:pPr>
        <w:pStyle w:val="RecNo"/>
        <w:rPr>
          <w:lang w:val="en-GB"/>
        </w:rPr>
      </w:pPr>
      <w:bookmarkStart w:id="556" w:name="_Toc104459813"/>
      <w:bookmarkStart w:id="557" w:name="_Toc111636825"/>
      <w:bookmarkStart w:id="558" w:name="_Toc111638522"/>
      <w:bookmarkEnd w:id="552"/>
      <w:bookmarkEnd w:id="553"/>
    </w:p>
    <w:p w14:paraId="26AA1E8D" w14:textId="4E2FAD39" w:rsidR="001E337A" w:rsidRPr="001E337A" w:rsidRDefault="001E337A" w:rsidP="001E337A">
      <w:pPr>
        <w:pStyle w:val="Rectitle"/>
        <w:rPr>
          <w:lang w:val="en-GB"/>
        </w:rPr>
        <w:sectPr w:rsidR="001E337A" w:rsidRPr="001E337A" w:rsidSect="008930E6">
          <w:headerReference w:type="even" r:id="rId351"/>
          <w:headerReference w:type="default" r:id="rId352"/>
          <w:footerReference w:type="even" r:id="rId353"/>
          <w:footerReference w:type="default" r:id="rId354"/>
          <w:footerReference w:type="first" r:id="rId355"/>
          <w:footnotePr>
            <w:numRestart w:val="eachSect"/>
          </w:footnotePr>
          <w:pgSz w:w="11907" w:h="16840" w:code="9"/>
          <w:pgMar w:top="1134" w:right="1134" w:bottom="1134" w:left="1134" w:header="567" w:footer="567" w:gutter="0"/>
          <w:paperSrc w:first="261" w:other="261"/>
          <w:cols w:space="720"/>
          <w:docGrid w:linePitch="326"/>
        </w:sectPr>
      </w:pPr>
    </w:p>
    <w:p w14:paraId="13B02AD8" w14:textId="77777777" w:rsidR="007E52B2" w:rsidRPr="00380B40" w:rsidRDefault="007E52B2" w:rsidP="008C3E8D">
      <w:pPr>
        <w:pStyle w:val="RecNo"/>
        <w:rPr>
          <w:lang w:val="en-GB"/>
        </w:rPr>
      </w:pPr>
      <w:r w:rsidRPr="00380B40">
        <w:rPr>
          <w:lang w:val="en-GB"/>
        </w:rPr>
        <w:t xml:space="preserve">Recommendation ITU-T </w:t>
      </w:r>
      <w:r w:rsidRPr="00380B40">
        <w:rPr>
          <w:rStyle w:val="href"/>
          <w:lang w:val="en-GB"/>
        </w:rPr>
        <w:t>A.1</w:t>
      </w:r>
      <w:bookmarkEnd w:id="556"/>
      <w:bookmarkEnd w:id="557"/>
      <w:bookmarkEnd w:id="558"/>
    </w:p>
    <w:p w14:paraId="68686B2C" w14:textId="77777777" w:rsidR="00C12517" w:rsidRPr="00380B40" w:rsidRDefault="00C12517" w:rsidP="00C12517">
      <w:pPr>
        <w:pStyle w:val="Rectitle"/>
        <w:rPr>
          <w:lang w:val="en-GB"/>
        </w:rPr>
      </w:pPr>
      <w:bookmarkStart w:id="559" w:name="_Toc104459814"/>
      <w:bookmarkStart w:id="560" w:name="_Toc111638523"/>
      <w:bookmarkEnd w:id="554"/>
      <w:r w:rsidRPr="00380B40">
        <w:rPr>
          <w:lang w:val="en-GB"/>
        </w:rPr>
        <w:t>Working methods for study groups of the ITU Telecommunication</w:t>
      </w:r>
      <w:r w:rsidRPr="00380B40">
        <w:rPr>
          <w:lang w:val="en-GB"/>
        </w:rPr>
        <w:br/>
        <w:t>Standardization Sector</w:t>
      </w:r>
      <w:bookmarkEnd w:id="559"/>
      <w:bookmarkEnd w:id="560"/>
    </w:p>
    <w:p w14:paraId="08E45480" w14:textId="77777777" w:rsidR="00C12517" w:rsidRPr="00380B40" w:rsidRDefault="00C12517" w:rsidP="00C12517">
      <w:pPr>
        <w:pStyle w:val="Heading1"/>
        <w:rPr>
          <w:lang w:val="en-GB"/>
        </w:rPr>
      </w:pPr>
      <w:bookmarkStart w:id="561" w:name="_Toc532428451"/>
      <w:bookmarkStart w:id="562" w:name="_Toc20738307"/>
      <w:bookmarkStart w:id="563" w:name="_Toc21093721"/>
      <w:bookmarkStart w:id="564" w:name="_Toc22280330"/>
      <w:bookmarkStart w:id="565" w:name="_Toc111636826"/>
      <w:r w:rsidRPr="00380B40">
        <w:rPr>
          <w:lang w:val="en-GB"/>
        </w:rPr>
        <w:t>1</w:t>
      </w:r>
      <w:r w:rsidRPr="00380B40">
        <w:rPr>
          <w:lang w:val="en-GB"/>
        </w:rPr>
        <w:tab/>
        <w:t>Study groups and their</w:t>
      </w:r>
      <w:r w:rsidRPr="00380B40">
        <w:rPr>
          <w:spacing w:val="-4"/>
          <w:lang w:val="en-GB"/>
        </w:rPr>
        <w:t xml:space="preserve"> </w:t>
      </w:r>
      <w:r w:rsidRPr="00380B40">
        <w:rPr>
          <w:lang w:val="en-GB"/>
        </w:rPr>
        <w:t>relevant groups</w:t>
      </w:r>
      <w:bookmarkEnd w:id="561"/>
      <w:bookmarkEnd w:id="562"/>
      <w:bookmarkEnd w:id="563"/>
      <w:bookmarkEnd w:id="564"/>
      <w:bookmarkEnd w:id="565"/>
    </w:p>
    <w:p w14:paraId="3A8A59FD" w14:textId="77777777" w:rsidR="00C12517" w:rsidRPr="00380B40" w:rsidRDefault="00C12517" w:rsidP="00C12517">
      <w:pPr>
        <w:pStyle w:val="Heading2"/>
        <w:rPr>
          <w:b w:val="0"/>
          <w:bCs/>
          <w:lang w:val="en-GB"/>
        </w:rPr>
      </w:pPr>
      <w:bookmarkStart w:id="566" w:name="_Toc532428452"/>
      <w:bookmarkStart w:id="567" w:name="_Toc20738308"/>
      <w:bookmarkStart w:id="568" w:name="_Toc21093722"/>
      <w:bookmarkStart w:id="569" w:name="_Toc22280331"/>
      <w:bookmarkStart w:id="570" w:name="_Toc111636827"/>
      <w:r w:rsidRPr="00380B40">
        <w:rPr>
          <w:lang w:val="en-GB"/>
        </w:rPr>
        <w:t>1.1</w:t>
      </w:r>
      <w:r w:rsidRPr="00380B40">
        <w:rPr>
          <w:lang w:val="en-GB"/>
        </w:rPr>
        <w:tab/>
        <w:t>Frequency of</w:t>
      </w:r>
      <w:r w:rsidRPr="00380B40">
        <w:rPr>
          <w:spacing w:val="1"/>
          <w:lang w:val="en-GB"/>
        </w:rPr>
        <w:t xml:space="preserve"> </w:t>
      </w:r>
      <w:r w:rsidRPr="00380B40">
        <w:rPr>
          <w:lang w:val="en-GB"/>
        </w:rPr>
        <w:t>meetings</w:t>
      </w:r>
      <w:bookmarkEnd w:id="566"/>
      <w:bookmarkEnd w:id="567"/>
      <w:bookmarkEnd w:id="568"/>
      <w:bookmarkEnd w:id="569"/>
      <w:bookmarkEnd w:id="570"/>
    </w:p>
    <w:p w14:paraId="68AB0E2F" w14:textId="77777777" w:rsidR="00C12517" w:rsidRPr="00380B40" w:rsidRDefault="00C12517" w:rsidP="00C12517">
      <w:pPr>
        <w:rPr>
          <w:lang w:val="en-GB"/>
        </w:rPr>
      </w:pPr>
      <w:r w:rsidRPr="00380B40">
        <w:rPr>
          <w:b/>
          <w:bCs/>
          <w:lang w:val="en-GB"/>
        </w:rPr>
        <w:t>1.1.1</w:t>
      </w:r>
      <w:r w:rsidRPr="00380B40">
        <w:rPr>
          <w:lang w:val="en-GB"/>
        </w:rPr>
        <w:tab/>
        <w:t>Study</w:t>
      </w:r>
      <w:r w:rsidRPr="00380B40">
        <w:rPr>
          <w:spacing w:val="-3"/>
          <w:lang w:val="en-GB"/>
        </w:rPr>
        <w:t xml:space="preserve"> </w:t>
      </w:r>
      <w:r w:rsidRPr="00380B40">
        <w:rPr>
          <w:lang w:val="en-GB"/>
        </w:rPr>
        <w:t>groups</w:t>
      </w:r>
      <w:r w:rsidRPr="00380B40">
        <w:rPr>
          <w:spacing w:val="1"/>
          <w:lang w:val="en-GB"/>
        </w:rPr>
        <w:t xml:space="preserve"> </w:t>
      </w:r>
      <w:r w:rsidRPr="00380B40">
        <w:rPr>
          <w:lang w:val="en-GB"/>
        </w:rPr>
        <w:t>meet to</w:t>
      </w:r>
      <w:r w:rsidRPr="00380B40">
        <w:rPr>
          <w:spacing w:val="2"/>
          <w:lang w:val="en-GB"/>
        </w:rPr>
        <w:t xml:space="preserve"> </w:t>
      </w:r>
      <w:r w:rsidRPr="00380B40">
        <w:rPr>
          <w:lang w:val="en-GB"/>
        </w:rPr>
        <w:t>facilitate the approval of</w:t>
      </w:r>
      <w:r w:rsidRPr="00380B40">
        <w:rPr>
          <w:spacing w:val="1"/>
          <w:lang w:val="en-GB"/>
        </w:rPr>
        <w:t xml:space="preserve"> </w:t>
      </w:r>
      <w:r w:rsidRPr="00380B40">
        <w:rPr>
          <w:lang w:val="en-GB"/>
        </w:rPr>
        <w:t>Recommendations. Such meetings</w:t>
      </w:r>
      <w:r w:rsidRPr="00380B40">
        <w:rPr>
          <w:spacing w:val="2"/>
          <w:lang w:val="en-GB"/>
        </w:rPr>
        <w:t xml:space="preserve"> </w:t>
      </w:r>
      <w:r w:rsidRPr="00380B40">
        <w:rPr>
          <w:lang w:val="en-GB"/>
        </w:rPr>
        <w:t xml:space="preserve">shall </w:t>
      </w:r>
      <w:r w:rsidRPr="00380B40">
        <w:rPr>
          <w:spacing w:val="1"/>
          <w:lang w:val="en-GB"/>
        </w:rPr>
        <w:t>only</w:t>
      </w:r>
      <w:r w:rsidRPr="00380B40">
        <w:rPr>
          <w:spacing w:val="83"/>
          <w:lang w:val="en-GB"/>
        </w:rPr>
        <w:t xml:space="preserve"> </w:t>
      </w:r>
      <w:r w:rsidRPr="00380B40">
        <w:rPr>
          <w:lang w:val="en-GB"/>
        </w:rPr>
        <w:t>be</w:t>
      </w:r>
      <w:r w:rsidRPr="00380B40">
        <w:rPr>
          <w:spacing w:val="6"/>
          <w:lang w:val="en-GB"/>
        </w:rPr>
        <w:t xml:space="preserve"> </w:t>
      </w:r>
      <w:r w:rsidRPr="00380B40">
        <w:rPr>
          <w:lang w:val="en-GB"/>
        </w:rPr>
        <w:t>held</w:t>
      </w:r>
      <w:r w:rsidRPr="00380B40">
        <w:rPr>
          <w:spacing w:val="7"/>
          <w:lang w:val="en-GB"/>
        </w:rPr>
        <w:t xml:space="preserve"> </w:t>
      </w:r>
      <w:r w:rsidRPr="00380B40">
        <w:rPr>
          <w:lang w:val="en-GB"/>
        </w:rPr>
        <w:t>with</w:t>
      </w:r>
      <w:r w:rsidRPr="00380B40">
        <w:rPr>
          <w:spacing w:val="7"/>
          <w:lang w:val="en-GB"/>
        </w:rPr>
        <w:t xml:space="preserve"> </w:t>
      </w:r>
      <w:r w:rsidRPr="00380B40">
        <w:rPr>
          <w:lang w:val="en-GB"/>
        </w:rPr>
        <w:t>the</w:t>
      </w:r>
      <w:r w:rsidRPr="00380B40">
        <w:rPr>
          <w:spacing w:val="6"/>
          <w:lang w:val="en-GB"/>
        </w:rPr>
        <w:t xml:space="preserve"> </w:t>
      </w:r>
      <w:r w:rsidRPr="00380B40">
        <w:rPr>
          <w:lang w:val="en-GB"/>
        </w:rPr>
        <w:t>approval</w:t>
      </w:r>
      <w:r w:rsidRPr="00380B40">
        <w:rPr>
          <w:spacing w:val="7"/>
          <w:lang w:val="en-GB"/>
        </w:rPr>
        <w:t xml:space="preserve"> </w:t>
      </w:r>
      <w:r w:rsidRPr="00380B40">
        <w:rPr>
          <w:lang w:val="en-GB"/>
        </w:rPr>
        <w:t>of</w:t>
      </w:r>
      <w:r w:rsidRPr="00380B40">
        <w:rPr>
          <w:spacing w:val="6"/>
          <w:lang w:val="en-GB"/>
        </w:rPr>
        <w:t xml:space="preserve"> </w:t>
      </w:r>
      <w:r w:rsidRPr="00380B40">
        <w:rPr>
          <w:lang w:val="en-GB"/>
        </w:rPr>
        <w:t>the</w:t>
      </w:r>
      <w:r w:rsidRPr="00380B40">
        <w:rPr>
          <w:spacing w:val="6"/>
          <w:lang w:val="en-GB"/>
        </w:rPr>
        <w:t xml:space="preserve"> </w:t>
      </w:r>
      <w:r w:rsidRPr="00380B40">
        <w:rPr>
          <w:lang w:val="en-GB"/>
        </w:rPr>
        <w:t>Director</w:t>
      </w:r>
      <w:r w:rsidRPr="00380B40">
        <w:rPr>
          <w:spacing w:val="6"/>
          <w:lang w:val="en-GB"/>
        </w:rPr>
        <w:t xml:space="preserve"> </w:t>
      </w:r>
      <w:r w:rsidRPr="00380B40">
        <w:rPr>
          <w:lang w:val="en-GB"/>
        </w:rPr>
        <w:t>of</w:t>
      </w:r>
      <w:r w:rsidRPr="00380B40">
        <w:rPr>
          <w:spacing w:val="6"/>
          <w:lang w:val="en-GB"/>
        </w:rPr>
        <w:t xml:space="preserve"> </w:t>
      </w:r>
      <w:r w:rsidRPr="00380B40">
        <w:rPr>
          <w:lang w:val="en-GB"/>
        </w:rPr>
        <w:t>the</w:t>
      </w:r>
      <w:r w:rsidRPr="00380B40">
        <w:rPr>
          <w:spacing w:val="10"/>
          <w:lang w:val="en-GB"/>
        </w:rPr>
        <w:t xml:space="preserve"> </w:t>
      </w:r>
      <w:r w:rsidRPr="00380B40">
        <w:rPr>
          <w:lang w:val="en-GB"/>
        </w:rPr>
        <w:t>Telecommunication</w:t>
      </w:r>
      <w:r w:rsidRPr="00380B40">
        <w:rPr>
          <w:spacing w:val="6"/>
          <w:lang w:val="en-GB"/>
        </w:rPr>
        <w:t xml:space="preserve"> </w:t>
      </w:r>
      <w:r w:rsidRPr="00380B40">
        <w:rPr>
          <w:lang w:val="en-GB"/>
        </w:rPr>
        <w:t>Standardization</w:t>
      </w:r>
      <w:r w:rsidRPr="00380B40">
        <w:rPr>
          <w:spacing w:val="6"/>
          <w:lang w:val="en-GB"/>
        </w:rPr>
        <w:t xml:space="preserve"> </w:t>
      </w:r>
      <w:r w:rsidRPr="00380B40">
        <w:rPr>
          <w:lang w:val="en-GB"/>
        </w:rPr>
        <w:t>Bureau</w:t>
      </w:r>
      <w:r w:rsidRPr="00380B40">
        <w:rPr>
          <w:spacing w:val="6"/>
          <w:lang w:val="en-GB"/>
        </w:rPr>
        <w:t xml:space="preserve"> </w:t>
      </w:r>
      <w:r w:rsidRPr="00380B40">
        <w:rPr>
          <w:lang w:val="en-GB"/>
        </w:rPr>
        <w:t>(TSB),</w:t>
      </w:r>
      <w:r w:rsidRPr="00380B40">
        <w:rPr>
          <w:spacing w:val="93"/>
          <w:lang w:val="en-GB"/>
        </w:rPr>
        <w:t xml:space="preserve"> </w:t>
      </w:r>
      <w:r w:rsidRPr="00380B40">
        <w:rPr>
          <w:lang w:val="en-GB"/>
        </w:rPr>
        <w:t>and</w:t>
      </w:r>
      <w:r w:rsidRPr="00380B40">
        <w:rPr>
          <w:spacing w:val="-5"/>
          <w:lang w:val="en-GB"/>
        </w:rPr>
        <w:t xml:space="preserve"> </w:t>
      </w:r>
      <w:r w:rsidRPr="00380B40">
        <w:rPr>
          <w:lang w:val="en-GB"/>
        </w:rPr>
        <w:t>with</w:t>
      </w:r>
      <w:r w:rsidRPr="00380B40">
        <w:rPr>
          <w:spacing w:val="-5"/>
          <w:lang w:val="en-GB"/>
        </w:rPr>
        <w:t xml:space="preserve"> </w:t>
      </w:r>
      <w:r w:rsidRPr="00380B40">
        <w:rPr>
          <w:lang w:val="en-GB"/>
        </w:rPr>
        <w:t>due</w:t>
      </w:r>
      <w:r w:rsidRPr="00380B40">
        <w:rPr>
          <w:spacing w:val="-6"/>
          <w:lang w:val="en-GB"/>
        </w:rPr>
        <w:t xml:space="preserve"> </w:t>
      </w:r>
      <w:r w:rsidRPr="00380B40">
        <w:rPr>
          <w:lang w:val="en-GB"/>
        </w:rPr>
        <w:t>consideration</w:t>
      </w:r>
      <w:r w:rsidRPr="00380B40">
        <w:rPr>
          <w:spacing w:val="-5"/>
          <w:lang w:val="en-GB"/>
        </w:rPr>
        <w:t xml:space="preserve"> </w:t>
      </w:r>
      <w:r w:rsidRPr="00380B40">
        <w:rPr>
          <w:lang w:val="en-GB"/>
        </w:rPr>
        <w:t>of</w:t>
      </w:r>
      <w:r w:rsidRPr="00380B40">
        <w:rPr>
          <w:spacing w:val="-6"/>
          <w:lang w:val="en-GB"/>
        </w:rPr>
        <w:t xml:space="preserve"> </w:t>
      </w:r>
      <w:r w:rsidRPr="00380B40">
        <w:rPr>
          <w:lang w:val="en-GB"/>
        </w:rPr>
        <w:t>the</w:t>
      </w:r>
      <w:r w:rsidRPr="00380B40">
        <w:rPr>
          <w:spacing w:val="-6"/>
          <w:lang w:val="en-GB"/>
        </w:rPr>
        <w:t xml:space="preserve"> </w:t>
      </w:r>
      <w:r w:rsidRPr="00380B40">
        <w:rPr>
          <w:lang w:val="en-GB"/>
        </w:rPr>
        <w:t>physical</w:t>
      </w:r>
      <w:r w:rsidRPr="00380B40">
        <w:rPr>
          <w:spacing w:val="-2"/>
          <w:lang w:val="en-GB"/>
        </w:rPr>
        <w:t xml:space="preserve"> </w:t>
      </w:r>
      <w:r w:rsidRPr="00380B40">
        <w:rPr>
          <w:lang w:val="en-GB"/>
        </w:rPr>
        <w:t>and</w:t>
      </w:r>
      <w:r w:rsidRPr="00380B40">
        <w:rPr>
          <w:spacing w:val="-5"/>
          <w:lang w:val="en-GB"/>
        </w:rPr>
        <w:t xml:space="preserve"> </w:t>
      </w:r>
      <w:r w:rsidRPr="00380B40">
        <w:rPr>
          <w:lang w:val="en-GB"/>
        </w:rPr>
        <w:t>budgetary</w:t>
      </w:r>
      <w:r w:rsidRPr="00380B40">
        <w:rPr>
          <w:spacing w:val="-10"/>
          <w:lang w:val="en-GB"/>
        </w:rPr>
        <w:t xml:space="preserve"> </w:t>
      </w:r>
      <w:r w:rsidRPr="00380B40">
        <w:rPr>
          <w:lang w:val="en-GB"/>
        </w:rPr>
        <w:t>capabilities</w:t>
      </w:r>
      <w:r w:rsidRPr="00380B40">
        <w:rPr>
          <w:spacing w:val="-6"/>
          <w:lang w:val="en-GB"/>
        </w:rPr>
        <w:t xml:space="preserve"> </w:t>
      </w:r>
      <w:r w:rsidRPr="00380B40">
        <w:rPr>
          <w:lang w:val="en-GB"/>
        </w:rPr>
        <w:t>of</w:t>
      </w:r>
      <w:r w:rsidRPr="00380B40">
        <w:rPr>
          <w:spacing w:val="-6"/>
          <w:lang w:val="en-GB"/>
        </w:rPr>
        <w:t xml:space="preserve"> </w:t>
      </w:r>
      <w:r w:rsidRPr="00380B40">
        <w:rPr>
          <w:lang w:val="en-GB"/>
        </w:rPr>
        <w:t>the</w:t>
      </w:r>
      <w:r w:rsidRPr="00380B40">
        <w:rPr>
          <w:spacing w:val="-4"/>
          <w:lang w:val="en-GB"/>
        </w:rPr>
        <w:t xml:space="preserve"> </w:t>
      </w:r>
      <w:r w:rsidRPr="00380B40">
        <w:rPr>
          <w:spacing w:val="-2"/>
          <w:lang w:val="en-GB"/>
        </w:rPr>
        <w:t>ITU</w:t>
      </w:r>
      <w:r w:rsidRPr="00380B40">
        <w:rPr>
          <w:spacing w:val="-6"/>
          <w:lang w:val="en-GB"/>
        </w:rPr>
        <w:t xml:space="preserve"> </w:t>
      </w:r>
      <w:r w:rsidRPr="00380B40">
        <w:rPr>
          <w:lang w:val="en-GB"/>
        </w:rPr>
        <w:t>Telecommunication</w:t>
      </w:r>
      <w:r w:rsidRPr="00380B40">
        <w:rPr>
          <w:spacing w:val="84"/>
          <w:lang w:val="en-GB"/>
        </w:rPr>
        <w:t xml:space="preserve"> </w:t>
      </w:r>
      <w:r w:rsidRPr="00380B40">
        <w:rPr>
          <w:lang w:val="en-GB"/>
        </w:rPr>
        <w:t>Standardization</w:t>
      </w:r>
      <w:r w:rsidRPr="00380B40">
        <w:rPr>
          <w:spacing w:val="9"/>
          <w:lang w:val="en-GB"/>
        </w:rPr>
        <w:t xml:space="preserve"> </w:t>
      </w:r>
      <w:r w:rsidRPr="00380B40">
        <w:rPr>
          <w:lang w:val="en-GB"/>
        </w:rPr>
        <w:t>Sector</w:t>
      </w:r>
      <w:r w:rsidRPr="00380B40">
        <w:rPr>
          <w:spacing w:val="9"/>
          <w:lang w:val="en-GB"/>
        </w:rPr>
        <w:t xml:space="preserve"> </w:t>
      </w:r>
      <w:r w:rsidRPr="00380B40">
        <w:rPr>
          <w:lang w:val="en-GB"/>
        </w:rPr>
        <w:t>(ITU</w:t>
      </w:r>
      <w:r w:rsidRPr="00380B40">
        <w:rPr>
          <w:lang w:val="en-GB"/>
        </w:rPr>
        <w:noBreakHyphen/>
        <w:t>T).</w:t>
      </w:r>
      <w:r w:rsidRPr="00380B40">
        <w:rPr>
          <w:spacing w:val="9"/>
          <w:lang w:val="en-GB"/>
        </w:rPr>
        <w:t xml:space="preserve"> </w:t>
      </w:r>
      <w:r w:rsidRPr="00380B40">
        <w:rPr>
          <w:lang w:val="en-GB"/>
        </w:rPr>
        <w:t>To</w:t>
      </w:r>
      <w:r w:rsidRPr="00380B40">
        <w:rPr>
          <w:spacing w:val="11"/>
          <w:lang w:val="en-GB"/>
        </w:rPr>
        <w:t xml:space="preserve"> </w:t>
      </w:r>
      <w:r w:rsidRPr="00380B40">
        <w:rPr>
          <w:lang w:val="en-GB"/>
        </w:rPr>
        <w:t>minimize</w:t>
      </w:r>
      <w:r w:rsidRPr="00380B40">
        <w:rPr>
          <w:spacing w:val="8"/>
          <w:lang w:val="en-GB"/>
        </w:rPr>
        <w:t xml:space="preserve"> </w:t>
      </w:r>
      <w:r w:rsidRPr="00380B40">
        <w:rPr>
          <w:lang w:val="en-GB"/>
        </w:rPr>
        <w:t>the</w:t>
      </w:r>
      <w:r w:rsidRPr="00380B40">
        <w:rPr>
          <w:spacing w:val="8"/>
          <w:lang w:val="en-GB"/>
        </w:rPr>
        <w:t xml:space="preserve"> </w:t>
      </w:r>
      <w:r w:rsidRPr="00380B40">
        <w:rPr>
          <w:lang w:val="en-GB"/>
        </w:rPr>
        <w:t>number</w:t>
      </w:r>
      <w:r w:rsidRPr="00380B40">
        <w:rPr>
          <w:spacing w:val="8"/>
          <w:lang w:val="en-GB"/>
        </w:rPr>
        <w:t xml:space="preserve"> </w:t>
      </w:r>
      <w:r w:rsidRPr="00380B40">
        <w:rPr>
          <w:lang w:val="en-GB"/>
        </w:rPr>
        <w:t>of</w:t>
      </w:r>
      <w:r w:rsidRPr="00380B40">
        <w:rPr>
          <w:spacing w:val="8"/>
          <w:lang w:val="en-GB"/>
        </w:rPr>
        <w:t xml:space="preserve"> </w:t>
      </w:r>
      <w:r w:rsidRPr="00380B40">
        <w:rPr>
          <w:lang w:val="en-GB"/>
        </w:rPr>
        <w:t>meetings</w:t>
      </w:r>
      <w:r w:rsidRPr="00380B40">
        <w:rPr>
          <w:spacing w:val="11"/>
          <w:lang w:val="en-GB"/>
        </w:rPr>
        <w:t xml:space="preserve"> </w:t>
      </w:r>
      <w:r w:rsidRPr="00380B40">
        <w:rPr>
          <w:lang w:val="en-GB"/>
        </w:rPr>
        <w:t>required,</w:t>
      </w:r>
      <w:r w:rsidRPr="00380B40">
        <w:rPr>
          <w:spacing w:val="9"/>
          <w:lang w:val="en-GB"/>
        </w:rPr>
        <w:t xml:space="preserve"> </w:t>
      </w:r>
      <w:r w:rsidRPr="00380B40">
        <w:rPr>
          <w:lang w:val="en-GB"/>
        </w:rPr>
        <w:t>every</w:t>
      </w:r>
      <w:r w:rsidRPr="00380B40">
        <w:rPr>
          <w:spacing w:val="4"/>
          <w:lang w:val="en-GB"/>
        </w:rPr>
        <w:t xml:space="preserve"> </w:t>
      </w:r>
      <w:r w:rsidRPr="00380B40">
        <w:rPr>
          <w:lang w:val="en-GB"/>
        </w:rPr>
        <w:t>effort</w:t>
      </w:r>
      <w:r w:rsidRPr="00380B40">
        <w:rPr>
          <w:spacing w:val="9"/>
          <w:lang w:val="en-GB"/>
        </w:rPr>
        <w:t xml:space="preserve"> </w:t>
      </w:r>
      <w:r w:rsidRPr="00380B40">
        <w:rPr>
          <w:lang w:val="en-GB"/>
        </w:rPr>
        <w:t>should</w:t>
      </w:r>
      <w:r w:rsidRPr="00380B40">
        <w:rPr>
          <w:spacing w:val="89"/>
          <w:lang w:val="en-GB"/>
        </w:rPr>
        <w:t xml:space="preserve"> </w:t>
      </w:r>
      <w:r w:rsidRPr="00380B40">
        <w:rPr>
          <w:lang w:val="en-GB"/>
        </w:rPr>
        <w:t>be made</w:t>
      </w:r>
      <w:r w:rsidRPr="00380B40">
        <w:rPr>
          <w:spacing w:val="-2"/>
          <w:lang w:val="en-GB"/>
        </w:rPr>
        <w:t xml:space="preserve"> </w:t>
      </w:r>
      <w:r w:rsidRPr="00380B40">
        <w:rPr>
          <w:lang w:val="en-GB"/>
        </w:rPr>
        <w:t xml:space="preserve">to resolve questions </w:t>
      </w:r>
      <w:r w:rsidRPr="00380B40">
        <w:rPr>
          <w:spacing w:val="1"/>
          <w:lang w:val="en-GB"/>
        </w:rPr>
        <w:t>by</w:t>
      </w:r>
      <w:r w:rsidRPr="00380B40">
        <w:rPr>
          <w:spacing w:val="-5"/>
          <w:lang w:val="en-GB"/>
        </w:rPr>
        <w:t xml:space="preserve"> </w:t>
      </w:r>
      <w:r w:rsidRPr="00380B40">
        <w:rPr>
          <w:lang w:val="en-GB"/>
        </w:rPr>
        <w:t>correspondence</w:t>
      </w:r>
      <w:r w:rsidRPr="00380B40">
        <w:rPr>
          <w:spacing w:val="1"/>
          <w:lang w:val="en-GB"/>
        </w:rPr>
        <w:t xml:space="preserve"> </w:t>
      </w:r>
      <w:r w:rsidRPr="00380B40">
        <w:rPr>
          <w:lang w:val="en-GB"/>
        </w:rPr>
        <w:t>(No. 245 of the</w:t>
      </w:r>
      <w:r w:rsidRPr="00380B40">
        <w:rPr>
          <w:spacing w:val="1"/>
          <w:lang w:val="en-GB"/>
        </w:rPr>
        <w:t xml:space="preserve"> </w:t>
      </w:r>
      <w:r w:rsidRPr="00380B40">
        <w:rPr>
          <w:spacing w:val="-2"/>
          <w:lang w:val="en-GB"/>
        </w:rPr>
        <w:t>ITU</w:t>
      </w:r>
      <w:r w:rsidRPr="00380B40">
        <w:rPr>
          <w:lang w:val="en-GB"/>
        </w:rPr>
        <w:t xml:space="preserve"> Convention).</w:t>
      </w:r>
    </w:p>
    <w:p w14:paraId="054C01A9" w14:textId="77777777" w:rsidR="00C12517" w:rsidRPr="00380B40" w:rsidRDefault="00C12517" w:rsidP="00C12517">
      <w:pPr>
        <w:rPr>
          <w:lang w:val="en-GB"/>
        </w:rPr>
      </w:pPr>
      <w:r w:rsidRPr="00380B40">
        <w:rPr>
          <w:b/>
          <w:bCs/>
          <w:lang w:val="en-GB"/>
        </w:rPr>
        <w:t>1.1.2</w:t>
      </w:r>
      <w:r w:rsidRPr="00380B40">
        <w:rPr>
          <w:lang w:val="en-GB"/>
        </w:rPr>
        <w:tab/>
      </w:r>
      <w:r w:rsidRPr="00380B40">
        <w:rPr>
          <w:spacing w:val="-2"/>
          <w:lang w:val="en-GB"/>
        </w:rPr>
        <w:t>In</w:t>
      </w:r>
      <w:r w:rsidRPr="00380B40">
        <w:rPr>
          <w:spacing w:val="-15"/>
          <w:lang w:val="en-GB"/>
        </w:rPr>
        <w:t xml:space="preserve"> </w:t>
      </w:r>
      <w:r w:rsidRPr="00380B40">
        <w:rPr>
          <w:lang w:val="en-GB"/>
        </w:rPr>
        <w:t>the</w:t>
      </w:r>
      <w:r w:rsidRPr="00380B40">
        <w:rPr>
          <w:spacing w:val="-16"/>
          <w:lang w:val="en-GB"/>
        </w:rPr>
        <w:t xml:space="preserve"> </w:t>
      </w:r>
      <w:r w:rsidRPr="00380B40">
        <w:rPr>
          <w:spacing w:val="-1"/>
          <w:lang w:val="en-GB"/>
        </w:rPr>
        <w:t>establishment</w:t>
      </w:r>
      <w:r w:rsidRPr="00380B40">
        <w:rPr>
          <w:spacing w:val="-15"/>
          <w:lang w:val="en-GB"/>
        </w:rPr>
        <w:t xml:space="preserve"> </w:t>
      </w:r>
      <w:r w:rsidRPr="00380B40">
        <w:rPr>
          <w:lang w:val="en-GB"/>
        </w:rPr>
        <w:t>of</w:t>
      </w:r>
      <w:r w:rsidRPr="00380B40">
        <w:rPr>
          <w:spacing w:val="-16"/>
          <w:lang w:val="en-GB"/>
        </w:rPr>
        <w:t xml:space="preserve"> </w:t>
      </w:r>
      <w:r w:rsidRPr="00380B40">
        <w:rPr>
          <w:lang w:val="en-GB"/>
        </w:rPr>
        <w:t>the</w:t>
      </w:r>
      <w:r w:rsidRPr="00380B40">
        <w:rPr>
          <w:spacing w:val="-16"/>
          <w:lang w:val="en-GB"/>
        </w:rPr>
        <w:t xml:space="preserve"> </w:t>
      </w:r>
      <w:r w:rsidRPr="00380B40">
        <w:rPr>
          <w:spacing w:val="-1"/>
          <w:lang w:val="en-GB"/>
        </w:rPr>
        <w:t>work</w:t>
      </w:r>
      <w:r w:rsidRPr="00380B40">
        <w:rPr>
          <w:spacing w:val="-15"/>
          <w:lang w:val="en-GB"/>
        </w:rPr>
        <w:t xml:space="preserve"> </w:t>
      </w:r>
      <w:r w:rsidRPr="00380B40">
        <w:rPr>
          <w:spacing w:val="-1"/>
          <w:lang w:val="en-GB"/>
        </w:rPr>
        <w:t>programme,</w:t>
      </w:r>
      <w:r w:rsidRPr="00380B40">
        <w:rPr>
          <w:spacing w:val="-15"/>
          <w:lang w:val="en-GB"/>
        </w:rPr>
        <w:t xml:space="preserve"> </w:t>
      </w:r>
      <w:r w:rsidRPr="00380B40">
        <w:rPr>
          <w:lang w:val="en-GB"/>
        </w:rPr>
        <w:t>the</w:t>
      </w:r>
      <w:r w:rsidRPr="00380B40">
        <w:rPr>
          <w:spacing w:val="-15"/>
          <w:lang w:val="en-GB"/>
        </w:rPr>
        <w:t xml:space="preserve"> </w:t>
      </w:r>
      <w:r w:rsidRPr="00380B40">
        <w:rPr>
          <w:lang w:val="en-GB"/>
        </w:rPr>
        <w:t>timetable</w:t>
      </w:r>
      <w:r w:rsidRPr="00380B40">
        <w:rPr>
          <w:spacing w:val="-15"/>
          <w:lang w:val="en-GB"/>
        </w:rPr>
        <w:t xml:space="preserve"> </w:t>
      </w:r>
      <w:r w:rsidRPr="00380B40">
        <w:rPr>
          <w:lang w:val="en-GB"/>
        </w:rPr>
        <w:t>of</w:t>
      </w:r>
      <w:r w:rsidRPr="00380B40">
        <w:rPr>
          <w:spacing w:val="-16"/>
          <w:lang w:val="en-GB"/>
        </w:rPr>
        <w:t xml:space="preserve"> </w:t>
      </w:r>
      <w:r w:rsidRPr="00380B40">
        <w:rPr>
          <w:spacing w:val="-1"/>
          <w:lang w:val="en-GB"/>
        </w:rPr>
        <w:t>meetings</w:t>
      </w:r>
      <w:r w:rsidRPr="00380B40">
        <w:rPr>
          <w:spacing w:val="-15"/>
          <w:lang w:val="en-GB"/>
        </w:rPr>
        <w:t xml:space="preserve"> </w:t>
      </w:r>
      <w:r w:rsidRPr="00380B40">
        <w:rPr>
          <w:lang w:val="en-GB"/>
        </w:rPr>
        <w:t>must</w:t>
      </w:r>
      <w:r w:rsidRPr="00380B40">
        <w:rPr>
          <w:spacing w:val="-12"/>
          <w:lang w:val="en-GB"/>
        </w:rPr>
        <w:t xml:space="preserve"> </w:t>
      </w:r>
      <w:r w:rsidRPr="00380B40">
        <w:rPr>
          <w:lang w:val="en-GB"/>
        </w:rPr>
        <w:t>take</w:t>
      </w:r>
      <w:r w:rsidRPr="00380B40">
        <w:rPr>
          <w:spacing w:val="-16"/>
          <w:lang w:val="en-GB"/>
        </w:rPr>
        <w:t xml:space="preserve"> </w:t>
      </w:r>
      <w:r w:rsidRPr="00380B40">
        <w:rPr>
          <w:lang w:val="en-GB"/>
        </w:rPr>
        <w:t>into</w:t>
      </w:r>
      <w:r w:rsidRPr="00380B40">
        <w:rPr>
          <w:spacing w:val="-15"/>
          <w:lang w:val="en-GB"/>
        </w:rPr>
        <w:t xml:space="preserve"> </w:t>
      </w:r>
      <w:r w:rsidRPr="00380B40">
        <w:rPr>
          <w:spacing w:val="-1"/>
          <w:lang w:val="en-GB"/>
        </w:rPr>
        <w:t>account</w:t>
      </w:r>
      <w:r w:rsidRPr="00380B40">
        <w:rPr>
          <w:spacing w:val="79"/>
          <w:lang w:val="en-GB"/>
        </w:rPr>
        <w:t xml:space="preserve"> </w:t>
      </w:r>
      <w:r w:rsidRPr="00380B40">
        <w:rPr>
          <w:lang w:val="en-GB"/>
        </w:rPr>
        <w:t>the</w:t>
      </w:r>
      <w:r w:rsidRPr="00380B40">
        <w:rPr>
          <w:spacing w:val="11"/>
          <w:lang w:val="en-GB"/>
        </w:rPr>
        <w:t xml:space="preserve"> </w:t>
      </w:r>
      <w:r w:rsidRPr="00380B40">
        <w:rPr>
          <w:lang w:val="en-GB"/>
        </w:rPr>
        <w:t>time</w:t>
      </w:r>
      <w:r w:rsidRPr="00380B40">
        <w:rPr>
          <w:spacing w:val="11"/>
          <w:lang w:val="en-GB"/>
        </w:rPr>
        <w:t xml:space="preserve"> </w:t>
      </w:r>
      <w:r w:rsidRPr="00380B40">
        <w:rPr>
          <w:spacing w:val="-1"/>
          <w:lang w:val="en-GB"/>
        </w:rPr>
        <w:t>required</w:t>
      </w:r>
      <w:r w:rsidRPr="00380B40">
        <w:rPr>
          <w:spacing w:val="13"/>
          <w:lang w:val="en-GB"/>
        </w:rPr>
        <w:t xml:space="preserve"> </w:t>
      </w:r>
      <w:r w:rsidRPr="00380B40">
        <w:rPr>
          <w:lang w:val="en-GB"/>
        </w:rPr>
        <w:t>for</w:t>
      </w:r>
      <w:r w:rsidRPr="00380B40">
        <w:rPr>
          <w:spacing w:val="10"/>
          <w:lang w:val="en-GB"/>
        </w:rPr>
        <w:t xml:space="preserve"> </w:t>
      </w:r>
      <w:r w:rsidRPr="00380B40">
        <w:rPr>
          <w:lang w:val="en-GB"/>
        </w:rPr>
        <w:t>participating</w:t>
      </w:r>
      <w:r w:rsidRPr="00380B40">
        <w:rPr>
          <w:spacing w:val="12"/>
          <w:lang w:val="en-GB"/>
        </w:rPr>
        <w:t xml:space="preserve"> </w:t>
      </w:r>
      <w:r w:rsidRPr="00380B40">
        <w:rPr>
          <w:lang w:val="en-GB"/>
        </w:rPr>
        <w:t>bodies</w:t>
      </w:r>
      <w:r w:rsidRPr="00380B40">
        <w:rPr>
          <w:spacing w:val="11"/>
          <w:lang w:val="en-GB"/>
        </w:rPr>
        <w:t xml:space="preserve"> </w:t>
      </w:r>
      <w:r w:rsidRPr="00380B40">
        <w:rPr>
          <w:spacing w:val="-1"/>
          <w:lang w:val="en-GB"/>
        </w:rPr>
        <w:t>(administrations</w:t>
      </w:r>
      <w:r w:rsidRPr="00380B40">
        <w:rPr>
          <w:spacing w:val="12"/>
          <w:lang w:val="en-GB"/>
        </w:rPr>
        <w:t xml:space="preserve"> </w:t>
      </w:r>
      <w:r w:rsidRPr="00380B40">
        <w:rPr>
          <w:lang w:val="en-GB"/>
        </w:rPr>
        <w:t>of</w:t>
      </w:r>
      <w:r w:rsidRPr="00380B40">
        <w:rPr>
          <w:spacing w:val="11"/>
          <w:lang w:val="en-GB"/>
        </w:rPr>
        <w:t xml:space="preserve"> </w:t>
      </w:r>
      <w:r w:rsidRPr="00380B40">
        <w:rPr>
          <w:spacing w:val="-1"/>
          <w:lang w:val="en-GB"/>
        </w:rPr>
        <w:t>Member</w:t>
      </w:r>
      <w:r w:rsidRPr="00380B40">
        <w:rPr>
          <w:spacing w:val="10"/>
          <w:lang w:val="en-GB"/>
        </w:rPr>
        <w:t xml:space="preserve"> </w:t>
      </w:r>
      <w:r w:rsidRPr="00380B40">
        <w:rPr>
          <w:spacing w:val="-1"/>
          <w:lang w:val="en-GB"/>
        </w:rPr>
        <w:t>States</w:t>
      </w:r>
      <w:r w:rsidRPr="00380B40">
        <w:rPr>
          <w:spacing w:val="12"/>
          <w:lang w:val="en-GB"/>
        </w:rPr>
        <w:t xml:space="preserve"> </w:t>
      </w:r>
      <w:r w:rsidRPr="00380B40">
        <w:rPr>
          <w:spacing w:val="-1"/>
          <w:lang w:val="en-GB"/>
        </w:rPr>
        <w:t>and</w:t>
      </w:r>
      <w:r w:rsidRPr="00380B40">
        <w:rPr>
          <w:spacing w:val="11"/>
          <w:lang w:val="en-GB"/>
        </w:rPr>
        <w:t xml:space="preserve"> </w:t>
      </w:r>
      <w:r w:rsidRPr="00380B40">
        <w:rPr>
          <w:lang w:val="en-GB"/>
        </w:rPr>
        <w:t>other</w:t>
      </w:r>
      <w:r w:rsidRPr="00380B40">
        <w:rPr>
          <w:spacing w:val="12"/>
          <w:lang w:val="en-GB"/>
        </w:rPr>
        <w:t xml:space="preserve"> </w:t>
      </w:r>
      <w:r w:rsidRPr="00380B40">
        <w:rPr>
          <w:spacing w:val="2"/>
          <w:lang w:val="en-GB"/>
        </w:rPr>
        <w:t>duly</w:t>
      </w:r>
      <w:r w:rsidRPr="00380B40">
        <w:rPr>
          <w:spacing w:val="61"/>
          <w:lang w:val="en-GB"/>
        </w:rPr>
        <w:t xml:space="preserve"> </w:t>
      </w:r>
      <w:r w:rsidRPr="00380B40">
        <w:rPr>
          <w:spacing w:val="-1"/>
          <w:lang w:val="en-GB"/>
        </w:rPr>
        <w:t>authorized</w:t>
      </w:r>
      <w:r w:rsidRPr="00380B40">
        <w:rPr>
          <w:spacing w:val="4"/>
          <w:lang w:val="en-GB"/>
        </w:rPr>
        <w:t xml:space="preserve"> </w:t>
      </w:r>
      <w:r w:rsidRPr="00380B40">
        <w:rPr>
          <w:spacing w:val="-1"/>
          <w:lang w:val="en-GB"/>
        </w:rPr>
        <w:t>entities)</w:t>
      </w:r>
      <w:r w:rsidRPr="00380B40">
        <w:rPr>
          <w:spacing w:val="4"/>
          <w:lang w:val="en-GB"/>
        </w:rPr>
        <w:t xml:space="preserve"> </w:t>
      </w:r>
      <w:r w:rsidRPr="00380B40">
        <w:rPr>
          <w:lang w:val="en-GB"/>
        </w:rPr>
        <w:t>to</w:t>
      </w:r>
      <w:r w:rsidRPr="00380B40">
        <w:rPr>
          <w:spacing w:val="5"/>
          <w:lang w:val="en-GB"/>
        </w:rPr>
        <w:t xml:space="preserve"> </w:t>
      </w:r>
      <w:r w:rsidRPr="00380B40">
        <w:rPr>
          <w:lang w:val="en-GB"/>
        </w:rPr>
        <w:t>react</w:t>
      </w:r>
      <w:r w:rsidRPr="00380B40">
        <w:rPr>
          <w:spacing w:val="5"/>
          <w:lang w:val="en-GB"/>
        </w:rPr>
        <w:t xml:space="preserve"> </w:t>
      </w:r>
      <w:r w:rsidRPr="00380B40">
        <w:rPr>
          <w:spacing w:val="-1"/>
          <w:lang w:val="en-GB"/>
        </w:rPr>
        <w:t>and</w:t>
      </w:r>
      <w:r w:rsidRPr="00380B40">
        <w:rPr>
          <w:spacing w:val="4"/>
          <w:lang w:val="en-GB"/>
        </w:rPr>
        <w:t xml:space="preserve"> </w:t>
      </w:r>
      <w:r w:rsidRPr="00380B40">
        <w:rPr>
          <w:lang w:val="en-GB"/>
        </w:rPr>
        <w:t>prepare</w:t>
      </w:r>
      <w:r w:rsidRPr="00380B40">
        <w:rPr>
          <w:spacing w:val="5"/>
          <w:lang w:val="en-GB"/>
        </w:rPr>
        <w:t xml:space="preserve"> </w:t>
      </w:r>
      <w:r w:rsidRPr="00380B40">
        <w:rPr>
          <w:spacing w:val="-1"/>
          <w:lang w:val="en-GB"/>
        </w:rPr>
        <w:t>contributions.</w:t>
      </w:r>
      <w:r w:rsidRPr="00380B40">
        <w:rPr>
          <w:spacing w:val="5"/>
          <w:lang w:val="en-GB"/>
        </w:rPr>
        <w:t xml:space="preserve"> </w:t>
      </w:r>
      <w:r w:rsidRPr="00380B40">
        <w:rPr>
          <w:spacing w:val="-1"/>
          <w:lang w:val="en-GB"/>
        </w:rPr>
        <w:t>Meetings</w:t>
      </w:r>
      <w:r w:rsidRPr="00380B40">
        <w:rPr>
          <w:spacing w:val="4"/>
          <w:lang w:val="en-GB"/>
        </w:rPr>
        <w:t xml:space="preserve"> </w:t>
      </w:r>
      <w:r w:rsidRPr="00380B40">
        <w:rPr>
          <w:lang w:val="en-GB"/>
        </w:rPr>
        <w:t>should</w:t>
      </w:r>
      <w:r w:rsidRPr="00380B40">
        <w:rPr>
          <w:spacing w:val="4"/>
          <w:lang w:val="en-GB"/>
        </w:rPr>
        <w:t xml:space="preserve"> </w:t>
      </w:r>
      <w:r w:rsidRPr="00380B40">
        <w:rPr>
          <w:lang w:val="en-GB"/>
        </w:rPr>
        <w:t>not</w:t>
      </w:r>
      <w:r w:rsidRPr="00380B40">
        <w:rPr>
          <w:spacing w:val="5"/>
          <w:lang w:val="en-GB"/>
        </w:rPr>
        <w:t xml:space="preserve"> </w:t>
      </w:r>
      <w:r w:rsidRPr="00380B40">
        <w:rPr>
          <w:lang w:val="en-GB"/>
        </w:rPr>
        <w:t>be</w:t>
      </w:r>
      <w:r w:rsidRPr="00380B40">
        <w:rPr>
          <w:spacing w:val="3"/>
          <w:lang w:val="en-GB"/>
        </w:rPr>
        <w:t xml:space="preserve"> </w:t>
      </w:r>
      <w:r w:rsidRPr="00380B40">
        <w:rPr>
          <w:spacing w:val="-1"/>
          <w:lang w:val="en-GB"/>
        </w:rPr>
        <w:t>held</w:t>
      </w:r>
      <w:r w:rsidRPr="00380B40">
        <w:rPr>
          <w:spacing w:val="5"/>
          <w:lang w:val="en-GB"/>
        </w:rPr>
        <w:t xml:space="preserve"> </w:t>
      </w:r>
      <w:r w:rsidRPr="00380B40">
        <w:rPr>
          <w:lang w:val="en-GB"/>
        </w:rPr>
        <w:t>more</w:t>
      </w:r>
      <w:r w:rsidRPr="00380B40">
        <w:rPr>
          <w:spacing w:val="5"/>
          <w:lang w:val="en-GB"/>
        </w:rPr>
        <w:t xml:space="preserve"> </w:t>
      </w:r>
      <w:r w:rsidRPr="00380B40">
        <w:rPr>
          <w:lang w:val="en-GB"/>
        </w:rPr>
        <w:t>frequently</w:t>
      </w:r>
      <w:r w:rsidRPr="00380B40">
        <w:rPr>
          <w:spacing w:val="93"/>
          <w:lang w:val="en-GB"/>
        </w:rPr>
        <w:t xml:space="preserve"> </w:t>
      </w:r>
      <w:r w:rsidRPr="00380B40">
        <w:rPr>
          <w:lang w:val="en-GB"/>
        </w:rPr>
        <w:t>than</w:t>
      </w:r>
      <w:r w:rsidRPr="00380B40">
        <w:rPr>
          <w:spacing w:val="-15"/>
          <w:lang w:val="en-GB"/>
        </w:rPr>
        <w:t xml:space="preserve"> </w:t>
      </w:r>
      <w:r w:rsidRPr="00380B40">
        <w:rPr>
          <w:lang w:val="en-GB"/>
        </w:rPr>
        <w:t>is</w:t>
      </w:r>
      <w:r w:rsidRPr="00380B40">
        <w:rPr>
          <w:spacing w:val="-14"/>
          <w:lang w:val="en-GB"/>
        </w:rPr>
        <w:t xml:space="preserve"> </w:t>
      </w:r>
      <w:r w:rsidRPr="00380B40">
        <w:rPr>
          <w:lang w:val="en-GB"/>
        </w:rPr>
        <w:t>necessary</w:t>
      </w:r>
      <w:r w:rsidRPr="00380B40">
        <w:rPr>
          <w:spacing w:val="-20"/>
          <w:lang w:val="en-GB"/>
        </w:rPr>
        <w:t xml:space="preserve"> </w:t>
      </w:r>
      <w:r w:rsidRPr="00380B40">
        <w:rPr>
          <w:lang w:val="en-GB"/>
        </w:rPr>
        <w:t>to</w:t>
      </w:r>
      <w:r w:rsidRPr="00380B40">
        <w:rPr>
          <w:spacing w:val="-14"/>
          <w:lang w:val="en-GB"/>
        </w:rPr>
        <w:t xml:space="preserve"> </w:t>
      </w:r>
      <w:r w:rsidRPr="00380B40">
        <w:rPr>
          <w:lang w:val="en-GB"/>
        </w:rPr>
        <w:t>make</w:t>
      </w:r>
      <w:r w:rsidRPr="00380B40">
        <w:rPr>
          <w:spacing w:val="-14"/>
          <w:lang w:val="en-GB"/>
        </w:rPr>
        <w:t xml:space="preserve"> </w:t>
      </w:r>
      <w:r w:rsidRPr="00380B40">
        <w:rPr>
          <w:spacing w:val="-1"/>
          <w:lang w:val="en-GB"/>
        </w:rPr>
        <w:t>effective</w:t>
      </w:r>
      <w:r w:rsidRPr="00380B40">
        <w:rPr>
          <w:spacing w:val="-16"/>
          <w:lang w:val="en-GB"/>
        </w:rPr>
        <w:t xml:space="preserve"> </w:t>
      </w:r>
      <w:r w:rsidRPr="00380B40">
        <w:rPr>
          <w:spacing w:val="-1"/>
          <w:lang w:val="en-GB"/>
        </w:rPr>
        <w:t>progress</w:t>
      </w:r>
      <w:r w:rsidRPr="00380B40">
        <w:rPr>
          <w:spacing w:val="-14"/>
          <w:lang w:val="en-GB"/>
        </w:rPr>
        <w:t xml:space="preserve"> </w:t>
      </w:r>
      <w:r w:rsidRPr="00380B40">
        <w:rPr>
          <w:spacing w:val="-1"/>
          <w:lang w:val="en-GB"/>
        </w:rPr>
        <w:t>and</w:t>
      </w:r>
      <w:r w:rsidRPr="00380B40">
        <w:rPr>
          <w:spacing w:val="-15"/>
          <w:lang w:val="en-GB"/>
        </w:rPr>
        <w:t xml:space="preserve"> </w:t>
      </w:r>
      <w:r w:rsidRPr="00380B40">
        <w:rPr>
          <w:lang w:val="en-GB"/>
        </w:rPr>
        <w:t>should</w:t>
      </w:r>
      <w:r w:rsidRPr="00380B40">
        <w:rPr>
          <w:spacing w:val="-15"/>
          <w:lang w:val="en-GB"/>
        </w:rPr>
        <w:t xml:space="preserve"> </w:t>
      </w:r>
      <w:r w:rsidRPr="00380B40">
        <w:rPr>
          <w:lang w:val="en-GB"/>
        </w:rPr>
        <w:t>take</w:t>
      </w:r>
      <w:r w:rsidRPr="00380B40">
        <w:rPr>
          <w:spacing w:val="-16"/>
          <w:lang w:val="en-GB"/>
        </w:rPr>
        <w:t xml:space="preserve"> </w:t>
      </w:r>
      <w:r w:rsidRPr="00380B40">
        <w:rPr>
          <w:lang w:val="en-GB"/>
        </w:rPr>
        <w:t>into</w:t>
      </w:r>
      <w:r w:rsidRPr="00380B40">
        <w:rPr>
          <w:spacing w:val="-15"/>
          <w:lang w:val="en-GB"/>
        </w:rPr>
        <w:t xml:space="preserve"> </w:t>
      </w:r>
      <w:r w:rsidRPr="00380B40">
        <w:rPr>
          <w:spacing w:val="-1"/>
          <w:lang w:val="en-GB"/>
        </w:rPr>
        <w:t>account</w:t>
      </w:r>
      <w:r w:rsidRPr="00380B40">
        <w:rPr>
          <w:spacing w:val="-14"/>
          <w:lang w:val="en-GB"/>
        </w:rPr>
        <w:t xml:space="preserve"> </w:t>
      </w:r>
      <w:r w:rsidRPr="00380B40">
        <w:rPr>
          <w:spacing w:val="-1"/>
          <w:lang w:val="en-GB"/>
        </w:rPr>
        <w:t>TSB's</w:t>
      </w:r>
      <w:r w:rsidRPr="00380B40">
        <w:rPr>
          <w:spacing w:val="-15"/>
          <w:lang w:val="en-GB"/>
        </w:rPr>
        <w:t xml:space="preserve"> </w:t>
      </w:r>
      <w:r w:rsidRPr="00380B40">
        <w:rPr>
          <w:spacing w:val="-1"/>
          <w:lang w:val="en-GB"/>
        </w:rPr>
        <w:t>capabilities</w:t>
      </w:r>
      <w:r w:rsidRPr="00380B40">
        <w:rPr>
          <w:spacing w:val="-15"/>
          <w:lang w:val="en-GB"/>
        </w:rPr>
        <w:t xml:space="preserve"> </w:t>
      </w:r>
      <w:r w:rsidRPr="00380B40">
        <w:rPr>
          <w:lang w:val="en-GB"/>
        </w:rPr>
        <w:t>to</w:t>
      </w:r>
      <w:r w:rsidRPr="00380B40">
        <w:rPr>
          <w:spacing w:val="-14"/>
          <w:lang w:val="en-GB"/>
        </w:rPr>
        <w:t xml:space="preserve"> </w:t>
      </w:r>
      <w:r w:rsidRPr="00380B40">
        <w:rPr>
          <w:lang w:val="en-GB"/>
        </w:rPr>
        <w:t>provide</w:t>
      </w:r>
      <w:r w:rsidRPr="00380B40">
        <w:rPr>
          <w:spacing w:val="63"/>
          <w:lang w:val="en-GB"/>
        </w:rPr>
        <w:t xml:space="preserve"> </w:t>
      </w:r>
      <w:r w:rsidRPr="00380B40">
        <w:rPr>
          <w:lang w:val="en-GB"/>
        </w:rPr>
        <w:t>the</w:t>
      </w:r>
      <w:r w:rsidRPr="00380B40">
        <w:rPr>
          <w:spacing w:val="6"/>
          <w:lang w:val="en-GB"/>
        </w:rPr>
        <w:t xml:space="preserve"> </w:t>
      </w:r>
      <w:r w:rsidRPr="00380B40">
        <w:rPr>
          <w:lang w:val="en-GB"/>
        </w:rPr>
        <w:t>necessary</w:t>
      </w:r>
      <w:r w:rsidRPr="00380B40">
        <w:rPr>
          <w:spacing w:val="2"/>
          <w:lang w:val="en-GB"/>
        </w:rPr>
        <w:t xml:space="preserve"> </w:t>
      </w:r>
      <w:r w:rsidRPr="00380B40">
        <w:rPr>
          <w:lang w:val="en-GB"/>
        </w:rPr>
        <w:t>documentation.</w:t>
      </w:r>
    </w:p>
    <w:p w14:paraId="4FE8690A" w14:textId="77777777" w:rsidR="00C12517" w:rsidRPr="00380B40" w:rsidRDefault="00C12517" w:rsidP="00C12517">
      <w:pPr>
        <w:rPr>
          <w:lang w:val="en-GB"/>
        </w:rPr>
      </w:pPr>
      <w:r w:rsidRPr="00380B40">
        <w:rPr>
          <w:b/>
          <w:bCs/>
          <w:lang w:val="en-GB"/>
        </w:rPr>
        <w:t>1.1.3</w:t>
      </w:r>
      <w:r w:rsidRPr="00380B40">
        <w:rPr>
          <w:lang w:val="en-GB"/>
        </w:rPr>
        <w:tab/>
      </w:r>
      <w:r w:rsidRPr="00380B40">
        <w:rPr>
          <w:spacing w:val="-1"/>
          <w:lang w:val="en-GB"/>
        </w:rPr>
        <w:t>Meetings</w:t>
      </w:r>
      <w:r w:rsidRPr="00380B40">
        <w:rPr>
          <w:spacing w:val="33"/>
          <w:lang w:val="en-GB"/>
        </w:rPr>
        <w:t xml:space="preserve"> </w:t>
      </w:r>
      <w:r w:rsidRPr="00380B40">
        <w:rPr>
          <w:spacing w:val="1"/>
          <w:lang w:val="en-GB"/>
        </w:rPr>
        <w:t>of</w:t>
      </w:r>
      <w:r w:rsidRPr="00380B40">
        <w:rPr>
          <w:spacing w:val="32"/>
          <w:lang w:val="en-GB"/>
        </w:rPr>
        <w:t xml:space="preserve"> </w:t>
      </w:r>
      <w:r w:rsidRPr="00380B40">
        <w:rPr>
          <w:lang w:val="en-GB"/>
        </w:rPr>
        <w:t>study</w:t>
      </w:r>
      <w:r w:rsidRPr="00380B40">
        <w:rPr>
          <w:spacing w:val="30"/>
          <w:lang w:val="en-GB"/>
        </w:rPr>
        <w:t xml:space="preserve"> </w:t>
      </w:r>
      <w:r w:rsidRPr="00380B40">
        <w:rPr>
          <w:lang w:val="en-GB"/>
        </w:rPr>
        <w:t>groups</w:t>
      </w:r>
      <w:r w:rsidRPr="00380B40">
        <w:rPr>
          <w:spacing w:val="33"/>
          <w:lang w:val="en-GB"/>
        </w:rPr>
        <w:t xml:space="preserve"> </w:t>
      </w:r>
      <w:r w:rsidRPr="00380B40">
        <w:rPr>
          <w:spacing w:val="-1"/>
          <w:lang w:val="en-GB"/>
        </w:rPr>
        <w:t>having</w:t>
      </w:r>
      <w:r w:rsidRPr="00380B40">
        <w:rPr>
          <w:spacing w:val="33"/>
          <w:lang w:val="en-GB"/>
        </w:rPr>
        <w:t xml:space="preserve"> </w:t>
      </w:r>
      <w:r w:rsidRPr="00380B40">
        <w:rPr>
          <w:spacing w:val="-1"/>
          <w:lang w:val="en-GB"/>
        </w:rPr>
        <w:t>common</w:t>
      </w:r>
      <w:r w:rsidRPr="00380B40">
        <w:rPr>
          <w:spacing w:val="33"/>
          <w:lang w:val="en-GB"/>
        </w:rPr>
        <w:t xml:space="preserve"> </w:t>
      </w:r>
      <w:r w:rsidRPr="00380B40">
        <w:rPr>
          <w:spacing w:val="-1"/>
          <w:lang w:val="en-GB"/>
        </w:rPr>
        <w:t>interests</w:t>
      </w:r>
      <w:r w:rsidRPr="00380B40">
        <w:rPr>
          <w:spacing w:val="34"/>
          <w:lang w:val="en-GB"/>
        </w:rPr>
        <w:t xml:space="preserve"> </w:t>
      </w:r>
      <w:r w:rsidRPr="00380B40">
        <w:rPr>
          <w:lang w:val="en-GB"/>
        </w:rPr>
        <w:t>or</w:t>
      </w:r>
      <w:r w:rsidRPr="00380B40">
        <w:rPr>
          <w:spacing w:val="32"/>
          <w:lang w:val="en-GB"/>
        </w:rPr>
        <w:t xml:space="preserve"> </w:t>
      </w:r>
      <w:r w:rsidRPr="00380B40">
        <w:rPr>
          <w:lang w:val="en-GB"/>
        </w:rPr>
        <w:t>dealing</w:t>
      </w:r>
      <w:r w:rsidRPr="00380B40">
        <w:rPr>
          <w:spacing w:val="30"/>
          <w:lang w:val="en-GB"/>
        </w:rPr>
        <w:t xml:space="preserve"> </w:t>
      </w:r>
      <w:r w:rsidRPr="00380B40">
        <w:rPr>
          <w:lang w:val="en-GB"/>
        </w:rPr>
        <w:t>with</w:t>
      </w:r>
      <w:r w:rsidRPr="00380B40">
        <w:rPr>
          <w:spacing w:val="33"/>
          <w:lang w:val="en-GB"/>
        </w:rPr>
        <w:t xml:space="preserve"> </w:t>
      </w:r>
      <w:r w:rsidRPr="00380B40">
        <w:rPr>
          <w:lang w:val="en-GB"/>
        </w:rPr>
        <w:t>problems</w:t>
      </w:r>
      <w:r w:rsidRPr="00380B40">
        <w:rPr>
          <w:spacing w:val="33"/>
          <w:lang w:val="en-GB"/>
        </w:rPr>
        <w:t xml:space="preserve"> </w:t>
      </w:r>
      <w:r w:rsidRPr="00380B40">
        <w:rPr>
          <w:lang w:val="en-GB"/>
        </w:rPr>
        <w:t>possessing</w:t>
      </w:r>
      <w:r w:rsidRPr="00380B40">
        <w:rPr>
          <w:spacing w:val="62"/>
          <w:lang w:val="en-GB"/>
        </w:rPr>
        <w:t xml:space="preserve"> </w:t>
      </w:r>
      <w:r w:rsidRPr="00380B40">
        <w:rPr>
          <w:spacing w:val="-1"/>
          <w:lang w:val="en-GB"/>
        </w:rPr>
        <w:t>affinities</w:t>
      </w:r>
      <w:r w:rsidRPr="00380B40">
        <w:rPr>
          <w:spacing w:val="2"/>
          <w:lang w:val="en-GB"/>
        </w:rPr>
        <w:t xml:space="preserve"> </w:t>
      </w:r>
      <w:r w:rsidRPr="00380B40">
        <w:rPr>
          <w:lang w:val="en-GB"/>
        </w:rPr>
        <w:t>should,</w:t>
      </w:r>
      <w:r w:rsidRPr="00380B40">
        <w:rPr>
          <w:spacing w:val="2"/>
          <w:lang w:val="en-GB"/>
        </w:rPr>
        <w:t xml:space="preserve"> </w:t>
      </w:r>
      <w:r w:rsidRPr="00380B40">
        <w:rPr>
          <w:lang w:val="en-GB"/>
        </w:rPr>
        <w:t>if</w:t>
      </w:r>
      <w:r w:rsidRPr="00380B40">
        <w:rPr>
          <w:spacing w:val="1"/>
          <w:lang w:val="en-GB"/>
        </w:rPr>
        <w:t xml:space="preserve"> </w:t>
      </w:r>
      <w:r w:rsidRPr="00380B40">
        <w:rPr>
          <w:lang w:val="en-GB"/>
        </w:rPr>
        <w:t>possible</w:t>
      </w:r>
      <w:r w:rsidRPr="00380B40">
        <w:rPr>
          <w:spacing w:val="-1"/>
          <w:lang w:val="en-GB"/>
        </w:rPr>
        <w:t>,</w:t>
      </w:r>
      <w:r w:rsidRPr="00380B40">
        <w:rPr>
          <w:spacing w:val="1"/>
          <w:lang w:val="en-GB"/>
        </w:rPr>
        <w:t xml:space="preserve"> </w:t>
      </w:r>
      <w:r w:rsidRPr="00380B40">
        <w:rPr>
          <w:lang w:val="en-GB"/>
        </w:rPr>
        <w:t>be</w:t>
      </w:r>
      <w:r w:rsidRPr="00380B40">
        <w:rPr>
          <w:spacing w:val="1"/>
          <w:lang w:val="en-GB"/>
        </w:rPr>
        <w:t xml:space="preserve"> </w:t>
      </w:r>
      <w:r w:rsidRPr="00380B40">
        <w:rPr>
          <w:spacing w:val="-1"/>
          <w:lang w:val="en-GB"/>
        </w:rPr>
        <w:t>arranged</w:t>
      </w:r>
      <w:r w:rsidRPr="00380B40">
        <w:rPr>
          <w:spacing w:val="2"/>
          <w:lang w:val="en-GB"/>
        </w:rPr>
        <w:t xml:space="preserve"> </w:t>
      </w:r>
      <w:r w:rsidRPr="00380B40">
        <w:rPr>
          <w:lang w:val="en-GB"/>
        </w:rPr>
        <w:t>so</w:t>
      </w:r>
      <w:r w:rsidRPr="00380B40">
        <w:rPr>
          <w:spacing w:val="2"/>
          <w:lang w:val="en-GB"/>
        </w:rPr>
        <w:t xml:space="preserve"> </w:t>
      </w:r>
      <w:r w:rsidRPr="00380B40">
        <w:rPr>
          <w:spacing w:val="-1"/>
          <w:lang w:val="en-GB"/>
        </w:rPr>
        <w:t>as</w:t>
      </w:r>
      <w:r w:rsidRPr="00380B40">
        <w:rPr>
          <w:spacing w:val="2"/>
          <w:lang w:val="en-GB"/>
        </w:rPr>
        <w:t xml:space="preserve"> </w:t>
      </w:r>
      <w:r w:rsidRPr="00380B40">
        <w:rPr>
          <w:lang w:val="en-GB"/>
        </w:rPr>
        <w:t>to</w:t>
      </w:r>
      <w:r w:rsidRPr="00380B40">
        <w:rPr>
          <w:spacing w:val="2"/>
          <w:lang w:val="en-GB"/>
        </w:rPr>
        <w:t xml:space="preserve"> </w:t>
      </w:r>
      <w:r w:rsidRPr="00380B40">
        <w:rPr>
          <w:spacing w:val="-1"/>
          <w:lang w:val="en-GB"/>
        </w:rPr>
        <w:t>enable</w:t>
      </w:r>
      <w:r w:rsidRPr="00380B40">
        <w:rPr>
          <w:spacing w:val="1"/>
          <w:lang w:val="en-GB"/>
        </w:rPr>
        <w:t xml:space="preserve"> </w:t>
      </w:r>
      <w:r w:rsidRPr="00380B40">
        <w:rPr>
          <w:spacing w:val="-1"/>
          <w:lang w:val="en-GB"/>
        </w:rPr>
        <w:t xml:space="preserve">participating </w:t>
      </w:r>
      <w:r w:rsidRPr="00380B40">
        <w:rPr>
          <w:lang w:val="en-GB"/>
        </w:rPr>
        <w:t>bodies</w:t>
      </w:r>
      <w:r w:rsidRPr="00380B40">
        <w:rPr>
          <w:spacing w:val="2"/>
          <w:lang w:val="en-GB"/>
        </w:rPr>
        <w:t xml:space="preserve"> </w:t>
      </w:r>
      <w:r w:rsidRPr="00380B40">
        <w:rPr>
          <w:lang w:val="en-GB"/>
        </w:rPr>
        <w:t>to</w:t>
      </w:r>
      <w:r w:rsidRPr="00380B40">
        <w:rPr>
          <w:spacing w:val="2"/>
          <w:lang w:val="en-GB"/>
        </w:rPr>
        <w:t xml:space="preserve"> </w:t>
      </w:r>
      <w:r w:rsidRPr="00380B40">
        <w:rPr>
          <w:spacing w:val="-1"/>
          <w:lang w:val="en-GB"/>
        </w:rPr>
        <w:t>send</w:t>
      </w:r>
      <w:r w:rsidRPr="00380B40">
        <w:rPr>
          <w:spacing w:val="2"/>
          <w:lang w:val="en-GB"/>
        </w:rPr>
        <w:t xml:space="preserve"> </w:t>
      </w:r>
      <w:r w:rsidRPr="00380B40">
        <w:rPr>
          <w:lang w:val="en-GB"/>
        </w:rPr>
        <w:t>one</w:t>
      </w:r>
      <w:r w:rsidRPr="00380B40">
        <w:rPr>
          <w:spacing w:val="1"/>
          <w:lang w:val="en-GB"/>
        </w:rPr>
        <w:t xml:space="preserve"> </w:t>
      </w:r>
      <w:r w:rsidRPr="00380B40">
        <w:rPr>
          <w:spacing w:val="-1"/>
          <w:lang w:val="en-GB"/>
        </w:rPr>
        <w:t>delegate</w:t>
      </w:r>
      <w:r w:rsidRPr="00380B40">
        <w:rPr>
          <w:spacing w:val="1"/>
          <w:lang w:val="en-GB"/>
        </w:rPr>
        <w:t xml:space="preserve"> or</w:t>
      </w:r>
      <w:r w:rsidRPr="00380B40">
        <w:rPr>
          <w:spacing w:val="89"/>
          <w:lang w:val="en-GB"/>
        </w:rPr>
        <w:t xml:space="preserve"> </w:t>
      </w:r>
      <w:r w:rsidRPr="00380B40">
        <w:rPr>
          <w:spacing w:val="-1"/>
          <w:lang w:val="en-GB"/>
        </w:rPr>
        <w:t>representative</w:t>
      </w:r>
      <w:r w:rsidRPr="00380B40">
        <w:rPr>
          <w:spacing w:val="13"/>
          <w:lang w:val="en-GB"/>
        </w:rPr>
        <w:t xml:space="preserve"> </w:t>
      </w:r>
      <w:r w:rsidRPr="00380B40">
        <w:rPr>
          <w:lang w:val="en-GB"/>
        </w:rPr>
        <w:t>to</w:t>
      </w:r>
      <w:r w:rsidRPr="00380B40">
        <w:rPr>
          <w:spacing w:val="14"/>
          <w:lang w:val="en-GB"/>
        </w:rPr>
        <w:t xml:space="preserve"> </w:t>
      </w:r>
      <w:r w:rsidRPr="00380B40">
        <w:rPr>
          <w:spacing w:val="-1"/>
          <w:lang w:val="en-GB"/>
        </w:rPr>
        <w:t>cover</w:t>
      </w:r>
      <w:r w:rsidRPr="00380B40">
        <w:rPr>
          <w:spacing w:val="13"/>
          <w:lang w:val="en-GB"/>
        </w:rPr>
        <w:t xml:space="preserve"> </w:t>
      </w:r>
      <w:r w:rsidRPr="00380B40">
        <w:rPr>
          <w:spacing w:val="-1"/>
          <w:lang w:val="en-GB"/>
        </w:rPr>
        <w:t>several</w:t>
      </w:r>
      <w:r w:rsidRPr="00380B40">
        <w:rPr>
          <w:spacing w:val="14"/>
          <w:lang w:val="en-GB"/>
        </w:rPr>
        <w:t xml:space="preserve"> </w:t>
      </w:r>
      <w:r w:rsidRPr="00380B40">
        <w:rPr>
          <w:spacing w:val="-1"/>
          <w:lang w:val="en-GB"/>
        </w:rPr>
        <w:t>meetings.</w:t>
      </w:r>
      <w:r w:rsidRPr="00380B40">
        <w:rPr>
          <w:spacing w:val="14"/>
          <w:lang w:val="en-GB"/>
        </w:rPr>
        <w:t xml:space="preserve"> </w:t>
      </w:r>
      <w:r w:rsidRPr="00380B40">
        <w:rPr>
          <w:lang w:val="en-GB"/>
        </w:rPr>
        <w:t>As</w:t>
      </w:r>
      <w:r w:rsidRPr="00380B40">
        <w:rPr>
          <w:spacing w:val="13"/>
          <w:lang w:val="en-GB"/>
        </w:rPr>
        <w:t xml:space="preserve"> </w:t>
      </w:r>
      <w:r w:rsidRPr="00380B40">
        <w:rPr>
          <w:lang w:val="en-GB"/>
        </w:rPr>
        <w:t>far</w:t>
      </w:r>
      <w:r w:rsidRPr="00380B40">
        <w:rPr>
          <w:spacing w:val="13"/>
          <w:lang w:val="en-GB"/>
        </w:rPr>
        <w:t xml:space="preserve"> </w:t>
      </w:r>
      <w:r w:rsidRPr="00380B40">
        <w:rPr>
          <w:lang w:val="en-GB"/>
        </w:rPr>
        <w:t>as</w:t>
      </w:r>
      <w:r w:rsidRPr="00380B40">
        <w:rPr>
          <w:spacing w:val="14"/>
          <w:lang w:val="en-GB"/>
        </w:rPr>
        <w:t xml:space="preserve"> </w:t>
      </w:r>
      <w:r w:rsidRPr="00380B40">
        <w:rPr>
          <w:lang w:val="en-GB"/>
        </w:rPr>
        <w:t>possible,</w:t>
      </w:r>
      <w:r w:rsidRPr="00380B40">
        <w:rPr>
          <w:spacing w:val="13"/>
          <w:lang w:val="en-GB"/>
        </w:rPr>
        <w:t xml:space="preserve"> </w:t>
      </w:r>
      <w:r w:rsidRPr="00380B40">
        <w:rPr>
          <w:lang w:val="en-GB"/>
        </w:rPr>
        <w:t>the</w:t>
      </w:r>
      <w:r w:rsidRPr="00380B40">
        <w:rPr>
          <w:spacing w:val="13"/>
          <w:lang w:val="en-GB"/>
        </w:rPr>
        <w:t xml:space="preserve"> </w:t>
      </w:r>
      <w:r w:rsidRPr="00380B40">
        <w:rPr>
          <w:spacing w:val="-1"/>
          <w:lang w:val="en-GB"/>
        </w:rPr>
        <w:t>arrangement</w:t>
      </w:r>
      <w:r w:rsidRPr="00380B40">
        <w:rPr>
          <w:spacing w:val="14"/>
          <w:lang w:val="en-GB"/>
        </w:rPr>
        <w:t xml:space="preserve"> </w:t>
      </w:r>
      <w:r w:rsidRPr="00380B40">
        <w:rPr>
          <w:spacing w:val="-1"/>
          <w:lang w:val="en-GB"/>
        </w:rPr>
        <w:t>chosen</w:t>
      </w:r>
      <w:r w:rsidRPr="00380B40">
        <w:rPr>
          <w:spacing w:val="14"/>
          <w:lang w:val="en-GB"/>
        </w:rPr>
        <w:t xml:space="preserve"> </w:t>
      </w:r>
      <w:r w:rsidRPr="00380B40">
        <w:rPr>
          <w:lang w:val="en-GB"/>
        </w:rPr>
        <w:t>should</w:t>
      </w:r>
      <w:r w:rsidRPr="00380B40">
        <w:rPr>
          <w:spacing w:val="14"/>
          <w:lang w:val="en-GB"/>
        </w:rPr>
        <w:t xml:space="preserve"> </w:t>
      </w:r>
      <w:r w:rsidRPr="00380B40">
        <w:rPr>
          <w:spacing w:val="-1"/>
          <w:lang w:val="en-GB"/>
        </w:rPr>
        <w:t>enable</w:t>
      </w:r>
      <w:r w:rsidRPr="00380B40">
        <w:rPr>
          <w:spacing w:val="81"/>
          <w:lang w:val="en-GB"/>
        </w:rPr>
        <w:t xml:space="preserve"> </w:t>
      </w:r>
      <w:r w:rsidRPr="00380B40">
        <w:rPr>
          <w:lang w:val="en-GB"/>
        </w:rPr>
        <w:t>the</w:t>
      </w:r>
      <w:r w:rsidRPr="00380B40">
        <w:rPr>
          <w:spacing w:val="13"/>
          <w:lang w:val="en-GB"/>
        </w:rPr>
        <w:t xml:space="preserve"> </w:t>
      </w:r>
      <w:r w:rsidRPr="00380B40">
        <w:rPr>
          <w:lang w:val="en-GB"/>
        </w:rPr>
        <w:t>study</w:t>
      </w:r>
      <w:r w:rsidRPr="00380B40">
        <w:rPr>
          <w:spacing w:val="11"/>
          <w:lang w:val="en-GB"/>
        </w:rPr>
        <w:t xml:space="preserve"> </w:t>
      </w:r>
      <w:r w:rsidRPr="00380B40">
        <w:rPr>
          <w:spacing w:val="-1"/>
          <w:lang w:val="en-GB"/>
        </w:rPr>
        <w:t>groups</w:t>
      </w:r>
      <w:r w:rsidRPr="00380B40">
        <w:rPr>
          <w:spacing w:val="14"/>
          <w:lang w:val="en-GB"/>
        </w:rPr>
        <w:t xml:space="preserve"> </w:t>
      </w:r>
      <w:r w:rsidRPr="00380B40">
        <w:rPr>
          <w:lang w:val="en-GB"/>
        </w:rPr>
        <w:t>meeting</w:t>
      </w:r>
      <w:r w:rsidRPr="00380B40">
        <w:rPr>
          <w:spacing w:val="13"/>
          <w:lang w:val="en-GB"/>
        </w:rPr>
        <w:t xml:space="preserve"> </w:t>
      </w:r>
      <w:r w:rsidRPr="00380B40">
        <w:rPr>
          <w:lang w:val="en-GB"/>
        </w:rPr>
        <w:t>during</w:t>
      </w:r>
      <w:r w:rsidRPr="00380B40">
        <w:rPr>
          <w:spacing w:val="13"/>
          <w:lang w:val="en-GB"/>
        </w:rPr>
        <w:t xml:space="preserve"> </w:t>
      </w:r>
      <w:r w:rsidRPr="00380B40">
        <w:rPr>
          <w:lang w:val="en-GB"/>
        </w:rPr>
        <w:t>the</w:t>
      </w:r>
      <w:r w:rsidRPr="00380B40">
        <w:rPr>
          <w:spacing w:val="13"/>
          <w:lang w:val="en-GB"/>
        </w:rPr>
        <w:t xml:space="preserve"> </w:t>
      </w:r>
      <w:r w:rsidRPr="00380B40">
        <w:rPr>
          <w:lang w:val="en-GB"/>
        </w:rPr>
        <w:t>period</w:t>
      </w:r>
      <w:r w:rsidRPr="00380B40">
        <w:rPr>
          <w:spacing w:val="13"/>
          <w:lang w:val="en-GB"/>
        </w:rPr>
        <w:t xml:space="preserve"> </w:t>
      </w:r>
      <w:r w:rsidRPr="00380B40">
        <w:rPr>
          <w:lang w:val="en-GB"/>
        </w:rPr>
        <w:t>to</w:t>
      </w:r>
      <w:r w:rsidRPr="00380B40">
        <w:rPr>
          <w:spacing w:val="16"/>
          <w:lang w:val="en-GB"/>
        </w:rPr>
        <w:t xml:space="preserve"> </w:t>
      </w:r>
      <w:r w:rsidRPr="00380B40">
        <w:rPr>
          <w:spacing w:val="-1"/>
          <w:lang w:val="en-GB"/>
        </w:rPr>
        <w:t>exchange</w:t>
      </w:r>
      <w:r w:rsidRPr="00380B40">
        <w:rPr>
          <w:spacing w:val="15"/>
          <w:lang w:val="en-GB"/>
        </w:rPr>
        <w:t xml:space="preserve"> </w:t>
      </w:r>
      <w:r w:rsidRPr="00380B40">
        <w:rPr>
          <w:spacing w:val="1"/>
          <w:lang w:val="en-GB"/>
        </w:rPr>
        <w:t>any</w:t>
      </w:r>
      <w:r w:rsidRPr="00380B40">
        <w:rPr>
          <w:spacing w:val="9"/>
          <w:lang w:val="en-GB"/>
        </w:rPr>
        <w:t xml:space="preserve"> </w:t>
      </w:r>
      <w:r w:rsidRPr="00380B40">
        <w:rPr>
          <w:spacing w:val="-1"/>
          <w:lang w:val="en-GB"/>
        </w:rPr>
        <w:t>information</w:t>
      </w:r>
      <w:r w:rsidRPr="00380B40">
        <w:rPr>
          <w:spacing w:val="14"/>
          <w:lang w:val="en-GB"/>
        </w:rPr>
        <w:t xml:space="preserve"> </w:t>
      </w:r>
      <w:r w:rsidRPr="00380B40">
        <w:rPr>
          <w:lang w:val="en-GB"/>
        </w:rPr>
        <w:t>they</w:t>
      </w:r>
      <w:r w:rsidRPr="00380B40">
        <w:rPr>
          <w:spacing w:val="11"/>
          <w:lang w:val="en-GB"/>
        </w:rPr>
        <w:t xml:space="preserve"> </w:t>
      </w:r>
      <w:r w:rsidRPr="00380B40">
        <w:rPr>
          <w:spacing w:val="1"/>
          <w:lang w:val="en-GB"/>
        </w:rPr>
        <w:t>may</w:t>
      </w:r>
      <w:r w:rsidRPr="00380B40">
        <w:rPr>
          <w:spacing w:val="11"/>
          <w:lang w:val="en-GB"/>
        </w:rPr>
        <w:t xml:space="preserve"> </w:t>
      </w:r>
      <w:r w:rsidRPr="00380B40">
        <w:rPr>
          <w:spacing w:val="-1"/>
          <w:lang w:val="en-GB"/>
        </w:rPr>
        <w:t>require</w:t>
      </w:r>
      <w:r w:rsidRPr="00380B40">
        <w:rPr>
          <w:spacing w:val="13"/>
          <w:lang w:val="en-GB"/>
        </w:rPr>
        <w:t xml:space="preserve"> </w:t>
      </w:r>
      <w:r w:rsidRPr="00380B40">
        <w:rPr>
          <w:lang w:val="en-GB"/>
        </w:rPr>
        <w:t>without</w:t>
      </w:r>
      <w:r w:rsidRPr="00380B40">
        <w:rPr>
          <w:spacing w:val="72"/>
          <w:lang w:val="en-GB"/>
        </w:rPr>
        <w:t xml:space="preserve"> </w:t>
      </w:r>
      <w:r w:rsidRPr="00380B40">
        <w:rPr>
          <w:spacing w:val="-1"/>
          <w:lang w:val="en-GB"/>
        </w:rPr>
        <w:t>delay.</w:t>
      </w:r>
      <w:r w:rsidRPr="00380B40">
        <w:rPr>
          <w:spacing w:val="-8"/>
          <w:lang w:val="en-GB"/>
        </w:rPr>
        <w:t xml:space="preserve"> </w:t>
      </w:r>
      <w:r w:rsidRPr="00380B40">
        <w:rPr>
          <w:spacing w:val="-1"/>
          <w:lang w:val="en-GB"/>
        </w:rPr>
        <w:t>Furthermore,</w:t>
      </w:r>
      <w:r w:rsidRPr="00380B40">
        <w:rPr>
          <w:spacing w:val="-8"/>
          <w:lang w:val="en-GB"/>
        </w:rPr>
        <w:t xml:space="preserve"> </w:t>
      </w:r>
      <w:r w:rsidRPr="00380B40">
        <w:rPr>
          <w:lang w:val="en-GB"/>
        </w:rPr>
        <w:t>it</w:t>
      </w:r>
      <w:r w:rsidRPr="00380B40">
        <w:rPr>
          <w:spacing w:val="-7"/>
          <w:lang w:val="en-GB"/>
        </w:rPr>
        <w:t xml:space="preserve"> </w:t>
      </w:r>
      <w:r w:rsidRPr="00380B40">
        <w:rPr>
          <w:lang w:val="en-GB"/>
        </w:rPr>
        <w:t>should</w:t>
      </w:r>
      <w:r w:rsidRPr="00380B40">
        <w:rPr>
          <w:spacing w:val="-8"/>
          <w:lang w:val="en-GB"/>
        </w:rPr>
        <w:t xml:space="preserve"> </w:t>
      </w:r>
      <w:r w:rsidRPr="00380B40">
        <w:rPr>
          <w:spacing w:val="-1"/>
          <w:lang w:val="en-GB"/>
        </w:rPr>
        <w:t>enable</w:t>
      </w:r>
      <w:r w:rsidRPr="00380B40">
        <w:rPr>
          <w:spacing w:val="-8"/>
          <w:lang w:val="en-GB"/>
        </w:rPr>
        <w:t xml:space="preserve"> </w:t>
      </w:r>
      <w:r w:rsidRPr="00380B40">
        <w:rPr>
          <w:spacing w:val="-1"/>
          <w:lang w:val="en-GB"/>
        </w:rPr>
        <w:t>specialists</w:t>
      </w:r>
      <w:r w:rsidRPr="00380B40">
        <w:rPr>
          <w:spacing w:val="-7"/>
          <w:lang w:val="en-GB"/>
        </w:rPr>
        <w:t xml:space="preserve"> </w:t>
      </w:r>
      <w:r w:rsidRPr="00380B40">
        <w:rPr>
          <w:spacing w:val="-1"/>
          <w:lang w:val="en-GB"/>
        </w:rPr>
        <w:t>from</w:t>
      </w:r>
      <w:r w:rsidRPr="00380B40">
        <w:rPr>
          <w:spacing w:val="-7"/>
          <w:lang w:val="en-GB"/>
        </w:rPr>
        <w:t xml:space="preserve"> </w:t>
      </w:r>
      <w:r w:rsidRPr="00380B40">
        <w:rPr>
          <w:spacing w:val="-1"/>
          <w:lang w:val="en-GB"/>
        </w:rPr>
        <w:t>all</w:t>
      </w:r>
      <w:r w:rsidRPr="00380B40">
        <w:rPr>
          <w:spacing w:val="-7"/>
          <w:lang w:val="en-GB"/>
        </w:rPr>
        <w:t xml:space="preserve"> </w:t>
      </w:r>
      <w:r w:rsidRPr="00380B40">
        <w:rPr>
          <w:spacing w:val="-1"/>
          <w:lang w:val="en-GB"/>
        </w:rPr>
        <w:t>over</w:t>
      </w:r>
      <w:r w:rsidRPr="00380B40">
        <w:rPr>
          <w:spacing w:val="-8"/>
          <w:lang w:val="en-GB"/>
        </w:rPr>
        <w:t xml:space="preserve"> </w:t>
      </w:r>
      <w:r w:rsidRPr="00380B40">
        <w:rPr>
          <w:lang w:val="en-GB"/>
        </w:rPr>
        <w:t>the</w:t>
      </w:r>
      <w:r w:rsidRPr="00380B40">
        <w:rPr>
          <w:spacing w:val="-8"/>
          <w:lang w:val="en-GB"/>
        </w:rPr>
        <w:t xml:space="preserve"> </w:t>
      </w:r>
      <w:r w:rsidRPr="00380B40">
        <w:rPr>
          <w:spacing w:val="-1"/>
          <w:lang w:val="en-GB"/>
        </w:rPr>
        <w:t>world</w:t>
      </w:r>
      <w:r w:rsidRPr="00380B40">
        <w:rPr>
          <w:spacing w:val="-7"/>
          <w:lang w:val="en-GB"/>
        </w:rPr>
        <w:t xml:space="preserve"> </w:t>
      </w:r>
      <w:r w:rsidRPr="00380B40">
        <w:rPr>
          <w:lang w:val="en-GB"/>
        </w:rPr>
        <w:t>in</w:t>
      </w:r>
      <w:r w:rsidRPr="00380B40">
        <w:rPr>
          <w:spacing w:val="-10"/>
          <w:lang w:val="en-GB"/>
        </w:rPr>
        <w:t xml:space="preserve"> </w:t>
      </w:r>
      <w:r w:rsidRPr="00380B40">
        <w:rPr>
          <w:spacing w:val="-1"/>
          <w:lang w:val="en-GB"/>
        </w:rPr>
        <w:t>the</w:t>
      </w:r>
      <w:r w:rsidRPr="00380B40">
        <w:rPr>
          <w:spacing w:val="-9"/>
          <w:lang w:val="en-GB"/>
        </w:rPr>
        <w:t xml:space="preserve"> </w:t>
      </w:r>
      <w:r w:rsidRPr="00380B40">
        <w:rPr>
          <w:spacing w:val="-1"/>
          <w:lang w:val="en-GB"/>
        </w:rPr>
        <w:t>same</w:t>
      </w:r>
      <w:r w:rsidRPr="00380B40">
        <w:rPr>
          <w:spacing w:val="-8"/>
          <w:lang w:val="en-GB"/>
        </w:rPr>
        <w:t xml:space="preserve"> </w:t>
      </w:r>
      <w:r w:rsidRPr="00380B40">
        <w:rPr>
          <w:lang w:val="en-GB"/>
        </w:rPr>
        <w:t>or</w:t>
      </w:r>
      <w:r w:rsidRPr="00380B40">
        <w:rPr>
          <w:spacing w:val="-8"/>
          <w:lang w:val="en-GB"/>
        </w:rPr>
        <w:t xml:space="preserve"> </w:t>
      </w:r>
      <w:r w:rsidRPr="00380B40">
        <w:rPr>
          <w:spacing w:val="-1"/>
          <w:lang w:val="en-GB"/>
        </w:rPr>
        <w:t>related</w:t>
      </w:r>
      <w:r w:rsidRPr="00380B40">
        <w:rPr>
          <w:spacing w:val="-8"/>
          <w:lang w:val="en-GB"/>
        </w:rPr>
        <w:t xml:space="preserve"> </w:t>
      </w:r>
      <w:r w:rsidRPr="00380B40">
        <w:rPr>
          <w:lang w:val="en-GB"/>
        </w:rPr>
        <w:t>subjects</w:t>
      </w:r>
      <w:r w:rsidRPr="00380B40">
        <w:rPr>
          <w:spacing w:val="87"/>
          <w:lang w:val="en-GB"/>
        </w:rPr>
        <w:t xml:space="preserve"> </w:t>
      </w:r>
      <w:r w:rsidRPr="00380B40">
        <w:rPr>
          <w:lang w:val="en-GB"/>
        </w:rPr>
        <w:t>to have</w:t>
      </w:r>
      <w:r w:rsidRPr="00380B40">
        <w:rPr>
          <w:spacing w:val="-2"/>
          <w:lang w:val="en-GB"/>
        </w:rPr>
        <w:t xml:space="preserve"> </w:t>
      </w:r>
      <w:r w:rsidRPr="00380B40">
        <w:rPr>
          <w:spacing w:val="-1"/>
          <w:lang w:val="en-GB"/>
        </w:rPr>
        <w:t>direct</w:t>
      </w:r>
      <w:r w:rsidRPr="00380B40">
        <w:rPr>
          <w:lang w:val="en-GB"/>
        </w:rPr>
        <w:t xml:space="preserve"> contacts with </w:t>
      </w:r>
      <w:r w:rsidRPr="00380B40">
        <w:rPr>
          <w:spacing w:val="-1"/>
          <w:lang w:val="en-GB"/>
        </w:rPr>
        <w:t>each</w:t>
      </w:r>
      <w:r w:rsidRPr="00380B40">
        <w:rPr>
          <w:lang w:val="en-GB"/>
        </w:rPr>
        <w:t xml:space="preserve"> other</w:t>
      </w:r>
      <w:r w:rsidRPr="00380B40">
        <w:rPr>
          <w:spacing w:val="-2"/>
          <w:lang w:val="en-GB"/>
        </w:rPr>
        <w:t xml:space="preserve"> </w:t>
      </w:r>
      <w:r w:rsidRPr="00380B40">
        <w:rPr>
          <w:lang w:val="en-GB"/>
        </w:rPr>
        <w:t xml:space="preserve">of </w:t>
      </w:r>
      <w:r w:rsidRPr="00380B40">
        <w:rPr>
          <w:spacing w:val="-1"/>
          <w:lang w:val="en-GB"/>
        </w:rPr>
        <w:t>benefit</w:t>
      </w:r>
      <w:r w:rsidRPr="00380B40">
        <w:rPr>
          <w:lang w:val="en-GB"/>
        </w:rPr>
        <w:t xml:space="preserve"> </w:t>
      </w:r>
      <w:r w:rsidRPr="00380B40">
        <w:rPr>
          <w:spacing w:val="1"/>
          <w:lang w:val="en-GB"/>
        </w:rPr>
        <w:t>to</w:t>
      </w:r>
      <w:r w:rsidRPr="00380B40">
        <w:rPr>
          <w:lang w:val="en-GB"/>
        </w:rPr>
        <w:t xml:space="preserve"> their</w:t>
      </w:r>
      <w:r w:rsidRPr="00380B40">
        <w:rPr>
          <w:spacing w:val="-1"/>
          <w:lang w:val="en-GB"/>
        </w:rPr>
        <w:t xml:space="preserve"> organizations.</w:t>
      </w:r>
      <w:r w:rsidRPr="00380B40">
        <w:rPr>
          <w:spacing w:val="2"/>
          <w:lang w:val="en-GB"/>
        </w:rPr>
        <w:t xml:space="preserve"> </w:t>
      </w:r>
      <w:r w:rsidRPr="00380B40">
        <w:rPr>
          <w:spacing w:val="-3"/>
          <w:lang w:val="en-GB"/>
        </w:rPr>
        <w:t>It</w:t>
      </w:r>
      <w:r w:rsidRPr="00380B40">
        <w:rPr>
          <w:lang w:val="en-GB"/>
        </w:rPr>
        <w:t xml:space="preserve"> </w:t>
      </w:r>
      <w:r w:rsidRPr="00380B40">
        <w:rPr>
          <w:spacing w:val="1"/>
          <w:lang w:val="en-GB"/>
        </w:rPr>
        <w:t>should</w:t>
      </w:r>
      <w:r w:rsidRPr="00380B40">
        <w:rPr>
          <w:lang w:val="en-GB"/>
        </w:rPr>
        <w:t xml:space="preserve"> </w:t>
      </w:r>
      <w:r w:rsidRPr="00380B40">
        <w:rPr>
          <w:spacing w:val="-1"/>
          <w:lang w:val="en-GB"/>
        </w:rPr>
        <w:t>likewise</w:t>
      </w:r>
      <w:r w:rsidRPr="00380B40">
        <w:rPr>
          <w:lang w:val="en-GB"/>
        </w:rPr>
        <w:t xml:space="preserve"> </w:t>
      </w:r>
      <w:r w:rsidRPr="00380B40">
        <w:rPr>
          <w:spacing w:val="-1"/>
          <w:lang w:val="en-GB"/>
        </w:rPr>
        <w:t>enable</w:t>
      </w:r>
      <w:r w:rsidRPr="00380B40">
        <w:rPr>
          <w:lang w:val="en-GB"/>
        </w:rPr>
        <w:t xml:space="preserve"> the</w:t>
      </w:r>
      <w:r w:rsidRPr="00380B40">
        <w:rPr>
          <w:spacing w:val="65"/>
          <w:lang w:val="en-GB"/>
        </w:rPr>
        <w:t xml:space="preserve"> </w:t>
      </w:r>
      <w:r w:rsidRPr="00380B40">
        <w:rPr>
          <w:spacing w:val="-1"/>
          <w:lang w:val="en-GB"/>
        </w:rPr>
        <w:t>specialists</w:t>
      </w:r>
      <w:r w:rsidRPr="00380B40">
        <w:rPr>
          <w:lang w:val="en-GB"/>
        </w:rPr>
        <w:t xml:space="preserve"> </w:t>
      </w:r>
      <w:r w:rsidRPr="00380B40">
        <w:rPr>
          <w:spacing w:val="-1"/>
          <w:lang w:val="en-GB"/>
        </w:rPr>
        <w:t>concerned</w:t>
      </w:r>
      <w:r w:rsidRPr="00380B40">
        <w:rPr>
          <w:lang w:val="en-GB"/>
        </w:rPr>
        <w:t xml:space="preserve"> to avoid </w:t>
      </w:r>
      <w:r w:rsidRPr="00380B40">
        <w:rPr>
          <w:spacing w:val="-1"/>
          <w:lang w:val="en-GB"/>
        </w:rPr>
        <w:t>leaving</w:t>
      </w:r>
      <w:r w:rsidRPr="00380B40">
        <w:rPr>
          <w:spacing w:val="-2"/>
          <w:lang w:val="en-GB"/>
        </w:rPr>
        <w:t xml:space="preserve"> </w:t>
      </w:r>
      <w:r w:rsidRPr="00380B40">
        <w:rPr>
          <w:lang w:val="en-GB"/>
        </w:rPr>
        <w:t>their</w:t>
      </w:r>
      <w:r w:rsidRPr="00380B40">
        <w:rPr>
          <w:spacing w:val="-1"/>
          <w:lang w:val="en-GB"/>
        </w:rPr>
        <w:t xml:space="preserve"> </w:t>
      </w:r>
      <w:r w:rsidRPr="00380B40">
        <w:rPr>
          <w:lang w:val="en-GB"/>
        </w:rPr>
        <w:t>home</w:t>
      </w:r>
      <w:r w:rsidRPr="00380B40">
        <w:rPr>
          <w:spacing w:val="-1"/>
          <w:lang w:val="en-GB"/>
        </w:rPr>
        <w:t xml:space="preserve"> </w:t>
      </w:r>
      <w:r w:rsidRPr="00380B40">
        <w:rPr>
          <w:lang w:val="en-GB"/>
        </w:rPr>
        <w:t xml:space="preserve">countries too </w:t>
      </w:r>
      <w:r w:rsidRPr="00380B40">
        <w:rPr>
          <w:spacing w:val="-1"/>
          <w:lang w:val="en-GB"/>
        </w:rPr>
        <w:t>often.</w:t>
      </w:r>
    </w:p>
    <w:p w14:paraId="22128AC3" w14:textId="77777777" w:rsidR="00C12517" w:rsidRPr="00380B40" w:rsidRDefault="00C12517" w:rsidP="00C12517">
      <w:pPr>
        <w:rPr>
          <w:lang w:val="en-GB"/>
        </w:rPr>
      </w:pPr>
      <w:r w:rsidRPr="00380B40">
        <w:rPr>
          <w:b/>
          <w:bCs/>
          <w:lang w:val="en-GB"/>
        </w:rPr>
        <w:t>1.1.4</w:t>
      </w:r>
      <w:r w:rsidRPr="00380B40">
        <w:rPr>
          <w:lang w:val="en-GB"/>
        </w:rPr>
        <w:tab/>
        <w:t>The</w:t>
      </w:r>
      <w:r w:rsidRPr="00380B40">
        <w:rPr>
          <w:spacing w:val="5"/>
          <w:lang w:val="en-GB"/>
        </w:rPr>
        <w:t xml:space="preserve"> </w:t>
      </w:r>
      <w:r w:rsidRPr="00380B40">
        <w:rPr>
          <w:spacing w:val="-1"/>
          <w:lang w:val="en-GB"/>
        </w:rPr>
        <w:t>timetable</w:t>
      </w:r>
      <w:r w:rsidRPr="00380B40">
        <w:rPr>
          <w:spacing w:val="6"/>
          <w:lang w:val="en-GB"/>
        </w:rPr>
        <w:t xml:space="preserve"> </w:t>
      </w:r>
      <w:r w:rsidRPr="00380B40">
        <w:rPr>
          <w:lang w:val="en-GB"/>
        </w:rPr>
        <w:t>of</w:t>
      </w:r>
      <w:r w:rsidRPr="00380B40">
        <w:rPr>
          <w:spacing w:val="6"/>
          <w:lang w:val="en-GB"/>
        </w:rPr>
        <w:t xml:space="preserve"> </w:t>
      </w:r>
      <w:r w:rsidRPr="00380B40">
        <w:rPr>
          <w:spacing w:val="-1"/>
          <w:lang w:val="en-GB"/>
        </w:rPr>
        <w:t>meetings</w:t>
      </w:r>
      <w:r w:rsidRPr="00380B40">
        <w:rPr>
          <w:spacing w:val="7"/>
          <w:lang w:val="en-GB"/>
        </w:rPr>
        <w:t xml:space="preserve"> </w:t>
      </w:r>
      <w:r w:rsidRPr="00380B40">
        <w:rPr>
          <w:spacing w:val="-1"/>
          <w:lang w:val="en-GB"/>
        </w:rPr>
        <w:t>shall</w:t>
      </w:r>
      <w:r w:rsidRPr="00380B40">
        <w:rPr>
          <w:spacing w:val="7"/>
          <w:lang w:val="en-GB"/>
        </w:rPr>
        <w:t xml:space="preserve"> </w:t>
      </w:r>
      <w:r w:rsidRPr="00380B40">
        <w:rPr>
          <w:lang w:val="en-GB"/>
        </w:rPr>
        <w:t>be</w:t>
      </w:r>
      <w:r w:rsidRPr="00380B40">
        <w:rPr>
          <w:spacing w:val="6"/>
          <w:lang w:val="en-GB"/>
        </w:rPr>
        <w:t xml:space="preserve"> </w:t>
      </w:r>
      <w:r w:rsidRPr="00380B40">
        <w:rPr>
          <w:spacing w:val="-1"/>
          <w:lang w:val="en-GB"/>
        </w:rPr>
        <w:t>prepared</w:t>
      </w:r>
      <w:r w:rsidRPr="00380B40">
        <w:rPr>
          <w:spacing w:val="6"/>
          <w:lang w:val="en-GB"/>
        </w:rPr>
        <w:t xml:space="preserve"> </w:t>
      </w:r>
      <w:r w:rsidRPr="00380B40">
        <w:rPr>
          <w:spacing w:val="-1"/>
          <w:lang w:val="en-GB"/>
        </w:rPr>
        <w:t>and</w:t>
      </w:r>
      <w:r w:rsidRPr="00380B40">
        <w:rPr>
          <w:spacing w:val="6"/>
          <w:lang w:val="en-GB"/>
        </w:rPr>
        <w:t xml:space="preserve"> </w:t>
      </w:r>
      <w:r w:rsidRPr="00380B40">
        <w:rPr>
          <w:spacing w:val="-1"/>
          <w:lang w:val="en-GB"/>
        </w:rPr>
        <w:t>communicated</w:t>
      </w:r>
      <w:r w:rsidRPr="00380B40">
        <w:rPr>
          <w:spacing w:val="6"/>
          <w:lang w:val="en-GB"/>
        </w:rPr>
        <w:t xml:space="preserve"> </w:t>
      </w:r>
      <w:r w:rsidRPr="00380B40">
        <w:rPr>
          <w:lang w:val="en-GB"/>
        </w:rPr>
        <w:t>to</w:t>
      </w:r>
      <w:r w:rsidRPr="00380B40">
        <w:rPr>
          <w:spacing w:val="7"/>
          <w:lang w:val="en-GB"/>
        </w:rPr>
        <w:t xml:space="preserve"> </w:t>
      </w:r>
      <w:r w:rsidRPr="00380B40">
        <w:rPr>
          <w:spacing w:val="-1"/>
          <w:lang w:val="en-GB"/>
        </w:rPr>
        <w:t>participating</w:t>
      </w:r>
      <w:r w:rsidRPr="00380B40">
        <w:rPr>
          <w:spacing w:val="5"/>
          <w:lang w:val="en-GB"/>
        </w:rPr>
        <w:t xml:space="preserve"> </w:t>
      </w:r>
      <w:r w:rsidRPr="00380B40">
        <w:rPr>
          <w:lang w:val="en-GB"/>
        </w:rPr>
        <w:t>bodies</w:t>
      </w:r>
      <w:r w:rsidRPr="00380B40">
        <w:rPr>
          <w:spacing w:val="6"/>
          <w:lang w:val="en-GB"/>
        </w:rPr>
        <w:t xml:space="preserve"> </w:t>
      </w:r>
      <w:r w:rsidRPr="00380B40">
        <w:rPr>
          <w:spacing w:val="-1"/>
          <w:lang w:val="en-GB"/>
        </w:rPr>
        <w:t>well</w:t>
      </w:r>
      <w:r w:rsidRPr="00380B40">
        <w:rPr>
          <w:spacing w:val="95"/>
          <w:lang w:val="en-GB"/>
        </w:rPr>
        <w:t xml:space="preserve"> </w:t>
      </w:r>
      <w:r w:rsidRPr="00380B40">
        <w:rPr>
          <w:lang w:val="en-GB"/>
        </w:rPr>
        <w:t>in</w:t>
      </w:r>
      <w:r w:rsidRPr="00380B40">
        <w:rPr>
          <w:spacing w:val="33"/>
          <w:lang w:val="en-GB"/>
        </w:rPr>
        <w:t xml:space="preserve"> </w:t>
      </w:r>
      <w:r w:rsidRPr="00380B40">
        <w:rPr>
          <w:spacing w:val="-1"/>
          <w:lang w:val="en-GB"/>
        </w:rPr>
        <w:t>advance</w:t>
      </w:r>
      <w:r w:rsidRPr="00380B40">
        <w:rPr>
          <w:spacing w:val="34"/>
          <w:lang w:val="en-GB"/>
        </w:rPr>
        <w:t xml:space="preserve"> </w:t>
      </w:r>
      <w:r w:rsidRPr="00380B40">
        <w:rPr>
          <w:lang w:val="en-GB"/>
        </w:rPr>
        <w:t>(one</w:t>
      </w:r>
      <w:r w:rsidRPr="00380B40">
        <w:rPr>
          <w:spacing w:val="36"/>
          <w:lang w:val="en-GB"/>
        </w:rPr>
        <w:t xml:space="preserve"> </w:t>
      </w:r>
      <w:r w:rsidRPr="00380B40">
        <w:rPr>
          <w:spacing w:val="-1"/>
          <w:lang w:val="en-GB"/>
        </w:rPr>
        <w:t>year),</w:t>
      </w:r>
      <w:r w:rsidRPr="00380B40">
        <w:rPr>
          <w:spacing w:val="32"/>
          <w:lang w:val="en-GB"/>
        </w:rPr>
        <w:t xml:space="preserve"> </w:t>
      </w:r>
      <w:r w:rsidRPr="00380B40">
        <w:rPr>
          <w:spacing w:val="1"/>
          <w:lang w:val="en-GB"/>
        </w:rPr>
        <w:t>to</w:t>
      </w:r>
      <w:r w:rsidRPr="00380B40">
        <w:rPr>
          <w:spacing w:val="33"/>
          <w:lang w:val="en-GB"/>
        </w:rPr>
        <w:t xml:space="preserve"> </w:t>
      </w:r>
      <w:r w:rsidRPr="00380B40">
        <w:rPr>
          <w:spacing w:val="-1"/>
          <w:lang w:val="en-GB"/>
        </w:rPr>
        <w:t>give</w:t>
      </w:r>
      <w:r w:rsidRPr="00380B40">
        <w:rPr>
          <w:spacing w:val="32"/>
          <w:lang w:val="en-GB"/>
        </w:rPr>
        <w:t xml:space="preserve"> </w:t>
      </w:r>
      <w:r w:rsidRPr="00380B40">
        <w:rPr>
          <w:lang w:val="en-GB"/>
        </w:rPr>
        <w:t>them</w:t>
      </w:r>
      <w:r w:rsidRPr="00380B40">
        <w:rPr>
          <w:spacing w:val="33"/>
          <w:lang w:val="en-GB"/>
        </w:rPr>
        <w:t xml:space="preserve"> </w:t>
      </w:r>
      <w:r w:rsidRPr="00380B40">
        <w:rPr>
          <w:lang w:val="en-GB"/>
        </w:rPr>
        <w:t>time</w:t>
      </w:r>
      <w:r w:rsidRPr="00380B40">
        <w:rPr>
          <w:spacing w:val="32"/>
          <w:lang w:val="en-GB"/>
        </w:rPr>
        <w:t xml:space="preserve"> </w:t>
      </w:r>
      <w:r w:rsidRPr="00380B40">
        <w:rPr>
          <w:lang w:val="en-GB"/>
        </w:rPr>
        <w:t>to</w:t>
      </w:r>
      <w:r w:rsidRPr="00380B40">
        <w:rPr>
          <w:spacing w:val="33"/>
          <w:lang w:val="en-GB"/>
        </w:rPr>
        <w:t xml:space="preserve"> </w:t>
      </w:r>
      <w:r w:rsidRPr="00380B40">
        <w:rPr>
          <w:lang w:val="en-GB"/>
        </w:rPr>
        <w:t>study</w:t>
      </w:r>
      <w:r w:rsidRPr="00380B40">
        <w:rPr>
          <w:spacing w:val="28"/>
          <w:lang w:val="en-GB"/>
        </w:rPr>
        <w:t xml:space="preserve"> </w:t>
      </w:r>
      <w:r w:rsidRPr="00380B40">
        <w:rPr>
          <w:lang w:val="en-GB"/>
        </w:rPr>
        <w:t>problems</w:t>
      </w:r>
      <w:r w:rsidRPr="00380B40">
        <w:rPr>
          <w:spacing w:val="34"/>
          <w:lang w:val="en-GB"/>
        </w:rPr>
        <w:t xml:space="preserve"> </w:t>
      </w:r>
      <w:r w:rsidRPr="00380B40">
        <w:rPr>
          <w:spacing w:val="-1"/>
          <w:lang w:val="en-GB"/>
        </w:rPr>
        <w:t>and</w:t>
      </w:r>
      <w:r w:rsidRPr="00380B40">
        <w:rPr>
          <w:spacing w:val="39"/>
          <w:lang w:val="en-GB"/>
        </w:rPr>
        <w:t xml:space="preserve"> </w:t>
      </w:r>
      <w:r w:rsidRPr="00380B40">
        <w:rPr>
          <w:lang w:val="en-GB"/>
        </w:rPr>
        <w:t>submit</w:t>
      </w:r>
      <w:r w:rsidRPr="00380B40">
        <w:rPr>
          <w:spacing w:val="34"/>
          <w:lang w:val="en-GB"/>
        </w:rPr>
        <w:t xml:space="preserve"> </w:t>
      </w:r>
      <w:r w:rsidRPr="00380B40">
        <w:rPr>
          <w:spacing w:val="-1"/>
          <w:lang w:val="en-GB"/>
        </w:rPr>
        <w:t>contributions</w:t>
      </w:r>
      <w:r w:rsidRPr="00380B40">
        <w:rPr>
          <w:spacing w:val="34"/>
          <w:lang w:val="en-GB"/>
        </w:rPr>
        <w:t xml:space="preserve"> </w:t>
      </w:r>
      <w:r w:rsidRPr="00380B40">
        <w:rPr>
          <w:lang w:val="en-GB"/>
        </w:rPr>
        <w:t>within</w:t>
      </w:r>
      <w:r w:rsidRPr="00380B40">
        <w:rPr>
          <w:spacing w:val="33"/>
          <w:lang w:val="en-GB"/>
        </w:rPr>
        <w:t xml:space="preserve"> </w:t>
      </w:r>
      <w:r w:rsidRPr="00380B40">
        <w:rPr>
          <w:lang w:val="en-GB"/>
        </w:rPr>
        <w:t>the</w:t>
      </w:r>
      <w:r w:rsidRPr="00380B40">
        <w:rPr>
          <w:spacing w:val="48"/>
          <w:lang w:val="en-GB"/>
        </w:rPr>
        <w:t xml:space="preserve"> </w:t>
      </w:r>
      <w:r w:rsidRPr="00380B40">
        <w:rPr>
          <w:spacing w:val="-1"/>
          <w:lang w:val="en-GB"/>
        </w:rPr>
        <w:t>prescribed</w:t>
      </w:r>
      <w:r w:rsidRPr="00380B40">
        <w:rPr>
          <w:spacing w:val="6"/>
          <w:lang w:val="en-GB"/>
        </w:rPr>
        <w:t xml:space="preserve"> </w:t>
      </w:r>
      <w:r w:rsidRPr="00380B40">
        <w:rPr>
          <w:spacing w:val="-1"/>
          <w:lang w:val="en-GB"/>
        </w:rPr>
        <w:t>time-limits</w:t>
      </w:r>
      <w:r w:rsidRPr="00380B40">
        <w:rPr>
          <w:spacing w:val="5"/>
          <w:lang w:val="en-GB"/>
        </w:rPr>
        <w:t xml:space="preserve"> </w:t>
      </w:r>
      <w:r w:rsidRPr="00380B40">
        <w:rPr>
          <w:spacing w:val="-1"/>
          <w:lang w:val="en-GB"/>
        </w:rPr>
        <w:t>and</w:t>
      </w:r>
      <w:r w:rsidRPr="00380B40">
        <w:rPr>
          <w:spacing w:val="4"/>
          <w:lang w:val="en-GB"/>
        </w:rPr>
        <w:t xml:space="preserve"> </w:t>
      </w:r>
      <w:r w:rsidRPr="00380B40">
        <w:rPr>
          <w:lang w:val="en-GB"/>
        </w:rPr>
        <w:t>to</w:t>
      </w:r>
      <w:r w:rsidRPr="00380B40">
        <w:rPr>
          <w:spacing w:val="5"/>
          <w:lang w:val="en-GB"/>
        </w:rPr>
        <w:t xml:space="preserve"> </w:t>
      </w:r>
      <w:r w:rsidRPr="00380B40">
        <w:rPr>
          <w:spacing w:val="-1"/>
          <w:lang w:val="en-GB"/>
        </w:rPr>
        <w:t>give</w:t>
      </w:r>
      <w:r w:rsidRPr="00380B40">
        <w:rPr>
          <w:spacing w:val="4"/>
          <w:lang w:val="en-GB"/>
        </w:rPr>
        <w:t xml:space="preserve"> </w:t>
      </w:r>
      <w:r w:rsidRPr="00380B40">
        <w:rPr>
          <w:lang w:val="en-GB"/>
        </w:rPr>
        <w:t>TSB</w:t>
      </w:r>
      <w:r w:rsidRPr="00380B40">
        <w:rPr>
          <w:spacing w:val="2"/>
          <w:lang w:val="en-GB"/>
        </w:rPr>
        <w:t xml:space="preserve"> </w:t>
      </w:r>
      <w:r w:rsidRPr="00380B40">
        <w:rPr>
          <w:lang w:val="en-GB"/>
        </w:rPr>
        <w:t>time</w:t>
      </w:r>
      <w:r w:rsidRPr="00380B40">
        <w:rPr>
          <w:spacing w:val="4"/>
          <w:lang w:val="en-GB"/>
        </w:rPr>
        <w:t xml:space="preserve"> </w:t>
      </w:r>
      <w:r w:rsidRPr="00380B40">
        <w:rPr>
          <w:lang w:val="en-GB"/>
        </w:rPr>
        <w:t>to</w:t>
      </w:r>
      <w:r w:rsidRPr="00380B40">
        <w:rPr>
          <w:spacing w:val="5"/>
          <w:lang w:val="en-GB"/>
        </w:rPr>
        <w:t xml:space="preserve"> </w:t>
      </w:r>
      <w:r w:rsidRPr="00380B40">
        <w:rPr>
          <w:lang w:val="en-GB"/>
        </w:rPr>
        <w:t>distribute</w:t>
      </w:r>
      <w:r w:rsidRPr="00380B40">
        <w:rPr>
          <w:spacing w:val="3"/>
          <w:lang w:val="en-GB"/>
        </w:rPr>
        <w:t xml:space="preserve"> </w:t>
      </w:r>
      <w:r w:rsidRPr="00380B40">
        <w:rPr>
          <w:lang w:val="en-GB"/>
        </w:rPr>
        <w:t>the</w:t>
      </w:r>
      <w:r w:rsidRPr="00380B40">
        <w:rPr>
          <w:spacing w:val="4"/>
          <w:lang w:val="en-GB"/>
        </w:rPr>
        <w:t xml:space="preserve"> </w:t>
      </w:r>
      <w:r w:rsidRPr="00380B40">
        <w:rPr>
          <w:spacing w:val="-1"/>
          <w:lang w:val="en-GB"/>
        </w:rPr>
        <w:t>contributions.</w:t>
      </w:r>
      <w:r w:rsidRPr="00380B40">
        <w:rPr>
          <w:spacing w:val="5"/>
          <w:lang w:val="en-GB"/>
        </w:rPr>
        <w:t xml:space="preserve"> </w:t>
      </w:r>
      <w:r w:rsidRPr="00380B40">
        <w:rPr>
          <w:spacing w:val="-2"/>
          <w:lang w:val="en-GB"/>
        </w:rPr>
        <w:t>In</w:t>
      </w:r>
      <w:r w:rsidRPr="00380B40">
        <w:rPr>
          <w:spacing w:val="4"/>
          <w:lang w:val="en-GB"/>
        </w:rPr>
        <w:t xml:space="preserve"> </w:t>
      </w:r>
      <w:r w:rsidRPr="00380B40">
        <w:rPr>
          <w:lang w:val="en-GB"/>
        </w:rPr>
        <w:t>this</w:t>
      </w:r>
      <w:r w:rsidRPr="00380B40">
        <w:rPr>
          <w:spacing w:val="4"/>
          <w:lang w:val="en-GB"/>
        </w:rPr>
        <w:t xml:space="preserve"> </w:t>
      </w:r>
      <w:r w:rsidRPr="00380B40">
        <w:rPr>
          <w:spacing w:val="-1"/>
          <w:lang w:val="en-GB"/>
        </w:rPr>
        <w:t>way,</w:t>
      </w:r>
      <w:r w:rsidRPr="00380B40">
        <w:rPr>
          <w:spacing w:val="4"/>
          <w:lang w:val="en-GB"/>
        </w:rPr>
        <w:t xml:space="preserve"> </w:t>
      </w:r>
      <w:r w:rsidRPr="00380B40">
        <w:rPr>
          <w:lang w:val="en-GB"/>
        </w:rPr>
        <w:t>study</w:t>
      </w:r>
      <w:r w:rsidRPr="00380B40">
        <w:rPr>
          <w:spacing w:val="2"/>
          <w:lang w:val="en-GB"/>
        </w:rPr>
        <w:t xml:space="preserve"> </w:t>
      </w:r>
      <w:r w:rsidRPr="00380B40">
        <w:rPr>
          <w:lang w:val="en-GB"/>
        </w:rPr>
        <w:t>group</w:t>
      </w:r>
      <w:r w:rsidRPr="00380B40">
        <w:rPr>
          <w:spacing w:val="77"/>
          <w:lang w:val="en-GB"/>
        </w:rPr>
        <w:t xml:space="preserve"> </w:t>
      </w:r>
      <w:r w:rsidRPr="00380B40">
        <w:rPr>
          <w:spacing w:val="-1"/>
          <w:lang w:val="en-GB"/>
        </w:rPr>
        <w:t>chairmen</w:t>
      </w:r>
      <w:r w:rsidRPr="00380B40">
        <w:rPr>
          <w:spacing w:val="9"/>
          <w:lang w:val="en-GB"/>
        </w:rPr>
        <w:t xml:space="preserve"> </w:t>
      </w:r>
      <w:r w:rsidRPr="00380B40">
        <w:rPr>
          <w:spacing w:val="-1"/>
          <w:lang w:val="en-GB"/>
        </w:rPr>
        <w:t>and</w:t>
      </w:r>
      <w:r w:rsidRPr="00380B40">
        <w:rPr>
          <w:spacing w:val="9"/>
          <w:lang w:val="en-GB"/>
        </w:rPr>
        <w:t xml:space="preserve"> </w:t>
      </w:r>
      <w:r w:rsidRPr="00380B40">
        <w:rPr>
          <w:spacing w:val="-1"/>
          <w:lang w:val="en-GB"/>
        </w:rPr>
        <w:t>delegates</w:t>
      </w:r>
      <w:r w:rsidRPr="00380B40">
        <w:rPr>
          <w:spacing w:val="11"/>
          <w:lang w:val="en-GB"/>
        </w:rPr>
        <w:t xml:space="preserve"> </w:t>
      </w:r>
      <w:r w:rsidRPr="00380B40">
        <w:rPr>
          <w:lang w:val="en-GB"/>
        </w:rPr>
        <w:t>will</w:t>
      </w:r>
      <w:r w:rsidRPr="00380B40">
        <w:rPr>
          <w:spacing w:val="10"/>
          <w:lang w:val="en-GB"/>
        </w:rPr>
        <w:t xml:space="preserve"> </w:t>
      </w:r>
      <w:r w:rsidRPr="00380B40">
        <w:rPr>
          <w:lang w:val="en-GB"/>
        </w:rPr>
        <w:t>be</w:t>
      </w:r>
      <w:r w:rsidRPr="00380B40">
        <w:rPr>
          <w:spacing w:val="8"/>
          <w:lang w:val="en-GB"/>
        </w:rPr>
        <w:t xml:space="preserve"> </w:t>
      </w:r>
      <w:r w:rsidRPr="00380B40">
        <w:rPr>
          <w:spacing w:val="-1"/>
          <w:lang w:val="en-GB"/>
        </w:rPr>
        <w:t>given</w:t>
      </w:r>
      <w:r w:rsidRPr="00380B40">
        <w:rPr>
          <w:spacing w:val="8"/>
          <w:lang w:val="en-GB"/>
        </w:rPr>
        <w:t xml:space="preserve"> </w:t>
      </w:r>
      <w:r w:rsidRPr="00380B40">
        <w:rPr>
          <w:lang w:val="en-GB"/>
        </w:rPr>
        <w:t>the</w:t>
      </w:r>
      <w:r w:rsidRPr="00380B40">
        <w:rPr>
          <w:spacing w:val="8"/>
          <w:lang w:val="en-GB"/>
        </w:rPr>
        <w:t xml:space="preserve"> </w:t>
      </w:r>
      <w:r w:rsidRPr="00380B40">
        <w:rPr>
          <w:lang w:val="en-GB"/>
        </w:rPr>
        <w:t>opportunity</w:t>
      </w:r>
      <w:r w:rsidRPr="00380B40">
        <w:rPr>
          <w:spacing w:val="2"/>
          <w:lang w:val="en-GB"/>
        </w:rPr>
        <w:t xml:space="preserve"> </w:t>
      </w:r>
      <w:r w:rsidRPr="00380B40">
        <w:rPr>
          <w:lang w:val="en-GB"/>
        </w:rPr>
        <w:t>to</w:t>
      </w:r>
      <w:r w:rsidRPr="00380B40">
        <w:rPr>
          <w:spacing w:val="9"/>
          <w:lang w:val="en-GB"/>
        </w:rPr>
        <w:t xml:space="preserve"> </w:t>
      </w:r>
      <w:r w:rsidRPr="00380B40">
        <w:rPr>
          <w:lang w:val="en-GB"/>
        </w:rPr>
        <w:t>consider</w:t>
      </w:r>
      <w:r w:rsidRPr="00380B40">
        <w:rPr>
          <w:spacing w:val="8"/>
          <w:lang w:val="en-GB"/>
        </w:rPr>
        <w:t xml:space="preserve"> </w:t>
      </w:r>
      <w:r w:rsidRPr="00380B40">
        <w:rPr>
          <w:lang w:val="en-GB"/>
        </w:rPr>
        <w:t>the</w:t>
      </w:r>
      <w:r w:rsidRPr="00380B40">
        <w:rPr>
          <w:spacing w:val="8"/>
          <w:lang w:val="en-GB"/>
        </w:rPr>
        <w:t xml:space="preserve"> </w:t>
      </w:r>
      <w:r w:rsidRPr="00380B40">
        <w:rPr>
          <w:lang w:val="en-GB"/>
        </w:rPr>
        <w:t>contributions</w:t>
      </w:r>
      <w:r w:rsidRPr="00380B40">
        <w:rPr>
          <w:spacing w:val="10"/>
          <w:lang w:val="en-GB"/>
        </w:rPr>
        <w:t xml:space="preserve"> </w:t>
      </w:r>
      <w:r w:rsidRPr="00380B40">
        <w:rPr>
          <w:lang w:val="en-GB"/>
        </w:rPr>
        <w:t>in</w:t>
      </w:r>
      <w:r w:rsidRPr="00380B40">
        <w:rPr>
          <w:spacing w:val="9"/>
          <w:lang w:val="en-GB"/>
        </w:rPr>
        <w:t xml:space="preserve"> </w:t>
      </w:r>
      <w:r w:rsidRPr="00380B40">
        <w:rPr>
          <w:spacing w:val="-1"/>
          <w:lang w:val="en-GB"/>
        </w:rPr>
        <w:t>advance,</w:t>
      </w:r>
      <w:r w:rsidRPr="00380B40">
        <w:rPr>
          <w:spacing w:val="9"/>
          <w:lang w:val="en-GB"/>
        </w:rPr>
        <w:t xml:space="preserve"> </w:t>
      </w:r>
      <w:r w:rsidRPr="00380B40">
        <w:rPr>
          <w:lang w:val="en-GB"/>
        </w:rPr>
        <w:t>thus</w:t>
      </w:r>
      <w:r w:rsidRPr="00380B40">
        <w:rPr>
          <w:spacing w:val="49"/>
          <w:lang w:val="en-GB"/>
        </w:rPr>
        <w:t xml:space="preserve"> </w:t>
      </w:r>
      <w:r w:rsidRPr="00380B40">
        <w:rPr>
          <w:spacing w:val="-1"/>
          <w:lang w:val="en-GB"/>
        </w:rPr>
        <w:t>helping</w:t>
      </w:r>
      <w:r w:rsidRPr="00380B40">
        <w:rPr>
          <w:spacing w:val="50"/>
          <w:lang w:val="en-GB"/>
        </w:rPr>
        <w:t xml:space="preserve"> </w:t>
      </w:r>
      <w:r w:rsidRPr="00380B40">
        <w:rPr>
          <w:lang w:val="en-GB"/>
        </w:rPr>
        <w:t>to</w:t>
      </w:r>
      <w:r w:rsidRPr="00380B40">
        <w:rPr>
          <w:spacing w:val="53"/>
          <w:lang w:val="en-GB"/>
        </w:rPr>
        <w:t xml:space="preserve"> </w:t>
      </w:r>
      <w:r w:rsidRPr="00380B40">
        <w:rPr>
          <w:lang w:val="en-GB"/>
        </w:rPr>
        <w:t>make</w:t>
      </w:r>
      <w:r w:rsidRPr="00380B40">
        <w:rPr>
          <w:spacing w:val="51"/>
          <w:lang w:val="en-GB"/>
        </w:rPr>
        <w:t xml:space="preserve"> </w:t>
      </w:r>
      <w:r w:rsidRPr="00380B40">
        <w:rPr>
          <w:spacing w:val="-1"/>
          <w:lang w:val="en-GB"/>
        </w:rPr>
        <w:t>meetings</w:t>
      </w:r>
      <w:r w:rsidRPr="00380B40">
        <w:rPr>
          <w:spacing w:val="52"/>
          <w:lang w:val="en-GB"/>
        </w:rPr>
        <w:t xml:space="preserve"> </w:t>
      </w:r>
      <w:r w:rsidRPr="00380B40">
        <w:rPr>
          <w:lang w:val="en-GB"/>
        </w:rPr>
        <w:t>more</w:t>
      </w:r>
      <w:r w:rsidRPr="00380B40">
        <w:rPr>
          <w:spacing w:val="53"/>
          <w:lang w:val="en-GB"/>
        </w:rPr>
        <w:t xml:space="preserve"> </w:t>
      </w:r>
      <w:r w:rsidRPr="00380B40">
        <w:rPr>
          <w:spacing w:val="-1"/>
          <w:lang w:val="en-GB"/>
        </w:rPr>
        <w:t>efficient</w:t>
      </w:r>
      <w:r w:rsidRPr="00380B40">
        <w:rPr>
          <w:spacing w:val="53"/>
          <w:lang w:val="en-GB"/>
        </w:rPr>
        <w:t xml:space="preserve"> </w:t>
      </w:r>
      <w:r w:rsidRPr="00380B40">
        <w:rPr>
          <w:spacing w:val="-1"/>
          <w:lang w:val="en-GB"/>
        </w:rPr>
        <w:t>and</w:t>
      </w:r>
      <w:r w:rsidRPr="00380B40">
        <w:rPr>
          <w:spacing w:val="52"/>
          <w:lang w:val="en-GB"/>
        </w:rPr>
        <w:t xml:space="preserve"> </w:t>
      </w:r>
      <w:r w:rsidRPr="00380B40">
        <w:rPr>
          <w:spacing w:val="-1"/>
          <w:lang w:val="en-GB"/>
        </w:rPr>
        <w:t>reduce</w:t>
      </w:r>
      <w:r w:rsidRPr="00380B40">
        <w:rPr>
          <w:spacing w:val="51"/>
          <w:lang w:val="en-GB"/>
        </w:rPr>
        <w:t xml:space="preserve"> </w:t>
      </w:r>
      <w:r w:rsidRPr="00380B40">
        <w:rPr>
          <w:lang w:val="en-GB"/>
        </w:rPr>
        <w:t>their</w:t>
      </w:r>
      <w:r w:rsidRPr="00380B40">
        <w:rPr>
          <w:spacing w:val="51"/>
          <w:lang w:val="en-GB"/>
        </w:rPr>
        <w:t xml:space="preserve"> </w:t>
      </w:r>
      <w:r w:rsidRPr="00380B40">
        <w:rPr>
          <w:spacing w:val="-1"/>
          <w:lang w:val="en-GB"/>
        </w:rPr>
        <w:t>length.</w:t>
      </w:r>
      <w:r w:rsidRPr="00380B40">
        <w:rPr>
          <w:spacing w:val="53"/>
          <w:lang w:val="en-GB"/>
        </w:rPr>
        <w:t xml:space="preserve"> </w:t>
      </w:r>
      <w:r w:rsidRPr="00380B40">
        <w:rPr>
          <w:lang w:val="en-GB"/>
        </w:rPr>
        <w:t>A</w:t>
      </w:r>
      <w:r w:rsidRPr="00380B40">
        <w:rPr>
          <w:spacing w:val="52"/>
          <w:lang w:val="en-GB"/>
        </w:rPr>
        <w:t xml:space="preserve"> </w:t>
      </w:r>
      <w:r w:rsidRPr="00380B40">
        <w:rPr>
          <w:lang w:val="en-GB"/>
        </w:rPr>
        <w:t>study</w:t>
      </w:r>
      <w:r w:rsidRPr="00380B40">
        <w:rPr>
          <w:spacing w:val="50"/>
          <w:lang w:val="en-GB"/>
        </w:rPr>
        <w:t xml:space="preserve"> </w:t>
      </w:r>
      <w:r w:rsidRPr="00380B40">
        <w:rPr>
          <w:spacing w:val="-1"/>
          <w:lang w:val="en-GB"/>
        </w:rPr>
        <w:t>group</w:t>
      </w:r>
      <w:r w:rsidRPr="00380B40">
        <w:rPr>
          <w:spacing w:val="51"/>
          <w:lang w:val="en-GB"/>
        </w:rPr>
        <w:t xml:space="preserve"> </w:t>
      </w:r>
      <w:r w:rsidRPr="00380B40">
        <w:rPr>
          <w:spacing w:val="-1"/>
          <w:lang w:val="en-GB"/>
        </w:rPr>
        <w:t>chairman,</w:t>
      </w:r>
      <w:r w:rsidRPr="00380B40">
        <w:rPr>
          <w:spacing w:val="52"/>
          <w:lang w:val="en-GB"/>
        </w:rPr>
        <w:t xml:space="preserve"> </w:t>
      </w:r>
      <w:r w:rsidRPr="00380B40">
        <w:rPr>
          <w:lang w:val="en-GB"/>
        </w:rPr>
        <w:t>in</w:t>
      </w:r>
      <w:r w:rsidRPr="00380B40">
        <w:rPr>
          <w:spacing w:val="91"/>
          <w:lang w:val="en-GB"/>
        </w:rPr>
        <w:t xml:space="preserve"> </w:t>
      </w:r>
      <w:r w:rsidRPr="00380B40">
        <w:rPr>
          <w:spacing w:val="-1"/>
          <w:lang w:val="en-GB"/>
        </w:rPr>
        <w:t>conjunction</w:t>
      </w:r>
      <w:r w:rsidRPr="00380B40">
        <w:rPr>
          <w:lang w:val="en-GB"/>
        </w:rPr>
        <w:t xml:space="preserve"> with the</w:t>
      </w:r>
      <w:r w:rsidRPr="00380B40">
        <w:rPr>
          <w:spacing w:val="1"/>
          <w:lang w:val="en-GB"/>
        </w:rPr>
        <w:t xml:space="preserve"> </w:t>
      </w:r>
      <w:r w:rsidRPr="00380B40">
        <w:rPr>
          <w:spacing w:val="-1"/>
          <w:lang w:val="en-GB"/>
        </w:rPr>
        <w:t>Director,</w:t>
      </w:r>
      <w:r w:rsidRPr="00380B40">
        <w:rPr>
          <w:lang w:val="en-GB"/>
        </w:rPr>
        <w:t xml:space="preserve"> </w:t>
      </w:r>
      <w:r w:rsidRPr="00380B40">
        <w:rPr>
          <w:spacing w:val="1"/>
          <w:lang w:val="en-GB"/>
        </w:rPr>
        <w:t>may</w:t>
      </w:r>
      <w:r w:rsidRPr="00380B40">
        <w:rPr>
          <w:spacing w:val="-5"/>
          <w:lang w:val="en-GB"/>
        </w:rPr>
        <w:t xml:space="preserve"> </w:t>
      </w:r>
      <w:r w:rsidRPr="00380B40">
        <w:rPr>
          <w:lang w:val="en-GB"/>
        </w:rPr>
        <w:t xml:space="preserve">schedule short </w:t>
      </w:r>
      <w:r w:rsidRPr="00380B40">
        <w:rPr>
          <w:spacing w:val="-1"/>
          <w:lang w:val="en-GB"/>
        </w:rPr>
        <w:t>additional</w:t>
      </w:r>
      <w:r w:rsidRPr="00380B40">
        <w:rPr>
          <w:lang w:val="en-GB"/>
        </w:rPr>
        <w:t xml:space="preserve"> study</w:t>
      </w:r>
      <w:r w:rsidRPr="00380B40">
        <w:rPr>
          <w:spacing w:val="-3"/>
          <w:lang w:val="en-GB"/>
        </w:rPr>
        <w:t xml:space="preserve"> </w:t>
      </w:r>
      <w:r w:rsidRPr="00380B40">
        <w:rPr>
          <w:spacing w:val="-1"/>
          <w:lang w:val="en-GB"/>
        </w:rPr>
        <w:t>group</w:t>
      </w:r>
      <w:r w:rsidRPr="00380B40">
        <w:rPr>
          <w:spacing w:val="1"/>
          <w:lang w:val="en-GB"/>
        </w:rPr>
        <w:t xml:space="preserve"> or</w:t>
      </w:r>
      <w:r w:rsidRPr="00380B40">
        <w:rPr>
          <w:lang w:val="en-GB"/>
        </w:rPr>
        <w:t xml:space="preserve"> </w:t>
      </w:r>
      <w:r w:rsidRPr="00380B40">
        <w:rPr>
          <w:spacing w:val="-1"/>
          <w:lang w:val="en-GB"/>
        </w:rPr>
        <w:t>working</w:t>
      </w:r>
      <w:r w:rsidRPr="00380B40">
        <w:rPr>
          <w:lang w:val="en-GB"/>
        </w:rPr>
        <w:t xml:space="preserve"> party</w:t>
      </w:r>
      <w:r w:rsidRPr="00380B40">
        <w:rPr>
          <w:spacing w:val="-5"/>
          <w:lang w:val="en-GB"/>
        </w:rPr>
        <w:t xml:space="preserve"> </w:t>
      </w:r>
      <w:r w:rsidRPr="00380B40">
        <w:rPr>
          <w:spacing w:val="-1"/>
          <w:lang w:val="en-GB"/>
        </w:rPr>
        <w:t>meetings</w:t>
      </w:r>
      <w:r w:rsidRPr="00380B40">
        <w:rPr>
          <w:spacing w:val="102"/>
          <w:lang w:val="en-GB"/>
        </w:rPr>
        <w:t xml:space="preserve"> </w:t>
      </w:r>
      <w:r w:rsidRPr="00380B40">
        <w:rPr>
          <w:lang w:val="en-GB"/>
        </w:rPr>
        <w:t>for</w:t>
      </w:r>
      <w:r w:rsidRPr="00380B40">
        <w:rPr>
          <w:spacing w:val="10"/>
          <w:lang w:val="en-GB"/>
        </w:rPr>
        <w:t xml:space="preserve"> </w:t>
      </w:r>
      <w:r w:rsidRPr="00380B40">
        <w:rPr>
          <w:lang w:val="en-GB"/>
        </w:rPr>
        <w:t>the</w:t>
      </w:r>
      <w:r w:rsidRPr="00380B40">
        <w:rPr>
          <w:spacing w:val="11"/>
          <w:lang w:val="en-GB"/>
        </w:rPr>
        <w:t xml:space="preserve"> </w:t>
      </w:r>
      <w:r w:rsidRPr="00380B40">
        <w:rPr>
          <w:lang w:val="en-GB"/>
        </w:rPr>
        <w:t>purpose</w:t>
      </w:r>
      <w:r w:rsidRPr="00380B40">
        <w:rPr>
          <w:spacing w:val="10"/>
          <w:lang w:val="en-GB"/>
        </w:rPr>
        <w:t xml:space="preserve"> </w:t>
      </w:r>
      <w:r w:rsidRPr="00380B40">
        <w:rPr>
          <w:lang w:val="en-GB"/>
        </w:rPr>
        <w:t>of</w:t>
      </w:r>
      <w:r w:rsidRPr="00380B40">
        <w:rPr>
          <w:spacing w:val="11"/>
          <w:lang w:val="en-GB"/>
        </w:rPr>
        <w:t xml:space="preserve"> </w:t>
      </w:r>
      <w:r w:rsidRPr="00380B40">
        <w:rPr>
          <w:lang w:val="en-GB"/>
        </w:rPr>
        <w:t>making</w:t>
      </w:r>
      <w:r w:rsidRPr="00380B40">
        <w:rPr>
          <w:spacing w:val="9"/>
          <w:lang w:val="en-GB"/>
        </w:rPr>
        <w:t xml:space="preserve"> </w:t>
      </w:r>
      <w:r w:rsidRPr="00380B40">
        <w:rPr>
          <w:lang w:val="en-GB"/>
        </w:rPr>
        <w:t>the</w:t>
      </w:r>
      <w:r w:rsidRPr="00380B40">
        <w:rPr>
          <w:spacing w:val="13"/>
          <w:lang w:val="en-GB"/>
        </w:rPr>
        <w:t xml:space="preserve"> </w:t>
      </w:r>
      <w:r w:rsidRPr="00380B40">
        <w:rPr>
          <w:spacing w:val="-1"/>
          <w:lang w:val="en-GB"/>
        </w:rPr>
        <w:t>consent,</w:t>
      </w:r>
      <w:r w:rsidRPr="00380B40">
        <w:rPr>
          <w:spacing w:val="12"/>
          <w:lang w:val="en-GB"/>
        </w:rPr>
        <w:t xml:space="preserve"> </w:t>
      </w:r>
      <w:r w:rsidRPr="00380B40">
        <w:rPr>
          <w:lang w:val="en-GB"/>
        </w:rPr>
        <w:t>determination</w:t>
      </w:r>
      <w:r w:rsidRPr="00380B40">
        <w:rPr>
          <w:spacing w:val="12"/>
          <w:lang w:val="en-GB"/>
        </w:rPr>
        <w:t xml:space="preserve"> </w:t>
      </w:r>
      <w:r w:rsidRPr="00380B40">
        <w:rPr>
          <w:lang w:val="en-GB"/>
        </w:rPr>
        <w:t>or</w:t>
      </w:r>
      <w:r w:rsidRPr="00380B40">
        <w:rPr>
          <w:spacing w:val="11"/>
          <w:lang w:val="en-GB"/>
        </w:rPr>
        <w:t xml:space="preserve"> </w:t>
      </w:r>
      <w:r w:rsidRPr="00380B40">
        <w:rPr>
          <w:spacing w:val="-1"/>
          <w:lang w:val="en-GB"/>
        </w:rPr>
        <w:t>decision,</w:t>
      </w:r>
      <w:r w:rsidRPr="00380B40">
        <w:rPr>
          <w:spacing w:val="11"/>
          <w:lang w:val="en-GB"/>
        </w:rPr>
        <w:t xml:space="preserve"> </w:t>
      </w:r>
      <w:r w:rsidRPr="00380B40">
        <w:rPr>
          <w:spacing w:val="-1"/>
          <w:lang w:val="en-GB"/>
        </w:rPr>
        <w:t>as</w:t>
      </w:r>
      <w:r w:rsidRPr="00380B40">
        <w:rPr>
          <w:spacing w:val="12"/>
          <w:lang w:val="en-GB"/>
        </w:rPr>
        <w:t xml:space="preserve"> </w:t>
      </w:r>
      <w:r w:rsidRPr="00380B40">
        <w:rPr>
          <w:lang w:val="en-GB"/>
        </w:rPr>
        <w:t>appropriate,</w:t>
      </w:r>
      <w:r w:rsidRPr="00380B40">
        <w:rPr>
          <w:spacing w:val="11"/>
          <w:lang w:val="en-GB"/>
        </w:rPr>
        <w:t xml:space="preserve"> </w:t>
      </w:r>
      <w:r w:rsidRPr="00380B40">
        <w:rPr>
          <w:lang w:val="en-GB"/>
        </w:rPr>
        <w:t>on</w:t>
      </w:r>
      <w:r w:rsidRPr="00380B40">
        <w:rPr>
          <w:spacing w:val="11"/>
          <w:lang w:val="en-GB"/>
        </w:rPr>
        <w:t xml:space="preserve"> </w:t>
      </w:r>
      <w:r w:rsidRPr="00380B40">
        <w:rPr>
          <w:lang w:val="en-GB"/>
        </w:rPr>
        <w:t>a</w:t>
      </w:r>
      <w:r w:rsidRPr="00380B40">
        <w:rPr>
          <w:spacing w:val="17"/>
          <w:lang w:val="en-GB"/>
        </w:rPr>
        <w:t xml:space="preserve"> </w:t>
      </w:r>
      <w:r w:rsidRPr="00380B40">
        <w:rPr>
          <w:lang w:val="en-GB"/>
        </w:rPr>
        <w:t>draft</w:t>
      </w:r>
      <w:r w:rsidRPr="00380B40">
        <w:rPr>
          <w:spacing w:val="11"/>
          <w:lang w:val="en-GB"/>
        </w:rPr>
        <w:t xml:space="preserve"> </w:t>
      </w:r>
      <w:r w:rsidRPr="00380B40">
        <w:rPr>
          <w:lang w:val="en-GB"/>
        </w:rPr>
        <w:t>new</w:t>
      </w:r>
      <w:r w:rsidRPr="00380B40">
        <w:rPr>
          <w:spacing w:val="11"/>
          <w:lang w:val="en-GB"/>
        </w:rPr>
        <w:t xml:space="preserve"> </w:t>
      </w:r>
      <w:r w:rsidRPr="00380B40">
        <w:rPr>
          <w:lang w:val="en-GB"/>
        </w:rPr>
        <w:t>or</w:t>
      </w:r>
      <w:r w:rsidRPr="00380B40">
        <w:rPr>
          <w:spacing w:val="38"/>
          <w:lang w:val="en-GB"/>
        </w:rPr>
        <w:t xml:space="preserve"> </w:t>
      </w:r>
      <w:r w:rsidRPr="00380B40">
        <w:rPr>
          <w:spacing w:val="-1"/>
          <w:lang w:val="en-GB"/>
        </w:rPr>
        <w:t>revised</w:t>
      </w:r>
      <w:r w:rsidRPr="00380B40">
        <w:rPr>
          <w:lang w:val="en-GB"/>
        </w:rPr>
        <w:t xml:space="preserve"> </w:t>
      </w:r>
      <w:r w:rsidRPr="00380B40">
        <w:rPr>
          <w:spacing w:val="-1"/>
          <w:lang w:val="en-GB"/>
        </w:rPr>
        <w:t>Recommendation.</w:t>
      </w:r>
    </w:p>
    <w:p w14:paraId="3C62246C" w14:textId="77777777" w:rsidR="00C12517" w:rsidRPr="00380B40" w:rsidRDefault="00C12517" w:rsidP="00C12517">
      <w:pPr>
        <w:rPr>
          <w:lang w:val="en-GB"/>
        </w:rPr>
      </w:pPr>
      <w:r w:rsidRPr="00380B40">
        <w:rPr>
          <w:b/>
          <w:bCs/>
          <w:lang w:val="en-GB"/>
        </w:rPr>
        <w:t>1.1.5</w:t>
      </w:r>
      <w:r w:rsidRPr="00380B40">
        <w:rPr>
          <w:lang w:val="en-GB"/>
        </w:rPr>
        <w:tab/>
      </w:r>
      <w:r w:rsidRPr="00380B40">
        <w:rPr>
          <w:spacing w:val="-1"/>
          <w:lang w:val="en-GB"/>
        </w:rPr>
        <w:t>Subject</w:t>
      </w:r>
      <w:r w:rsidRPr="00380B40">
        <w:rPr>
          <w:spacing w:val="-2"/>
          <w:lang w:val="en-GB"/>
        </w:rPr>
        <w:t xml:space="preserve"> </w:t>
      </w:r>
      <w:r w:rsidRPr="00380B40">
        <w:rPr>
          <w:lang w:val="en-GB"/>
        </w:rPr>
        <w:t>to</w:t>
      </w:r>
      <w:r w:rsidRPr="00380B40">
        <w:rPr>
          <w:spacing w:val="-2"/>
          <w:lang w:val="en-GB"/>
        </w:rPr>
        <w:t xml:space="preserve"> </w:t>
      </w:r>
      <w:r w:rsidRPr="00380B40">
        <w:rPr>
          <w:spacing w:val="-1"/>
          <w:lang w:val="en-GB"/>
        </w:rPr>
        <w:t>physical</w:t>
      </w:r>
      <w:r w:rsidRPr="00380B40">
        <w:rPr>
          <w:spacing w:val="-2"/>
          <w:lang w:val="en-GB"/>
        </w:rPr>
        <w:t xml:space="preserve"> </w:t>
      </w:r>
      <w:r w:rsidRPr="00380B40">
        <w:rPr>
          <w:spacing w:val="-1"/>
          <w:lang w:val="en-GB"/>
        </w:rPr>
        <w:t>and</w:t>
      </w:r>
      <w:r w:rsidRPr="00380B40">
        <w:rPr>
          <w:spacing w:val="-3"/>
          <w:lang w:val="en-GB"/>
        </w:rPr>
        <w:t xml:space="preserve"> </w:t>
      </w:r>
      <w:r w:rsidRPr="00380B40">
        <w:rPr>
          <w:lang w:val="en-GB"/>
        </w:rPr>
        <w:t>budgetary</w:t>
      </w:r>
      <w:r w:rsidRPr="00380B40">
        <w:rPr>
          <w:spacing w:val="-10"/>
          <w:lang w:val="en-GB"/>
        </w:rPr>
        <w:t xml:space="preserve"> </w:t>
      </w:r>
      <w:r w:rsidRPr="00380B40">
        <w:rPr>
          <w:lang w:val="en-GB"/>
        </w:rPr>
        <w:t>limitations</w:t>
      </w:r>
      <w:r w:rsidRPr="00380B40">
        <w:rPr>
          <w:spacing w:val="-2"/>
          <w:lang w:val="en-GB"/>
        </w:rPr>
        <w:t xml:space="preserve"> </w:t>
      </w:r>
      <w:r w:rsidRPr="00380B40">
        <w:rPr>
          <w:spacing w:val="-1"/>
          <w:lang w:val="en-GB"/>
        </w:rPr>
        <w:t>and</w:t>
      </w:r>
      <w:r w:rsidRPr="00380B40">
        <w:rPr>
          <w:spacing w:val="-3"/>
          <w:lang w:val="en-GB"/>
        </w:rPr>
        <w:t xml:space="preserve"> </w:t>
      </w:r>
      <w:r w:rsidRPr="00380B40">
        <w:rPr>
          <w:spacing w:val="-1"/>
          <w:lang w:val="en-GB"/>
        </w:rPr>
        <w:t>in</w:t>
      </w:r>
      <w:r w:rsidRPr="00380B40">
        <w:rPr>
          <w:spacing w:val="-3"/>
          <w:lang w:val="en-GB"/>
        </w:rPr>
        <w:t xml:space="preserve"> </w:t>
      </w:r>
      <w:r w:rsidRPr="00380B40">
        <w:rPr>
          <w:spacing w:val="-1"/>
          <w:lang w:val="en-GB"/>
        </w:rPr>
        <w:t>consultation</w:t>
      </w:r>
      <w:r w:rsidRPr="00380B40">
        <w:rPr>
          <w:spacing w:val="-2"/>
          <w:lang w:val="en-GB"/>
        </w:rPr>
        <w:t xml:space="preserve"> </w:t>
      </w:r>
      <w:r w:rsidRPr="00380B40">
        <w:rPr>
          <w:lang w:val="en-GB"/>
        </w:rPr>
        <w:t>with</w:t>
      </w:r>
      <w:r w:rsidRPr="00380B40">
        <w:rPr>
          <w:spacing w:val="-5"/>
          <w:lang w:val="en-GB"/>
        </w:rPr>
        <w:t xml:space="preserve"> </w:t>
      </w:r>
      <w:r w:rsidRPr="00380B40">
        <w:rPr>
          <w:lang w:val="en-GB"/>
        </w:rPr>
        <w:t>the</w:t>
      </w:r>
      <w:r w:rsidRPr="00380B40">
        <w:rPr>
          <w:spacing w:val="-3"/>
          <w:lang w:val="en-GB"/>
        </w:rPr>
        <w:t xml:space="preserve"> </w:t>
      </w:r>
      <w:r w:rsidRPr="00380B40">
        <w:rPr>
          <w:spacing w:val="-1"/>
          <w:lang w:val="en-GB"/>
        </w:rPr>
        <w:t>Director,</w:t>
      </w:r>
      <w:r w:rsidRPr="00380B40">
        <w:rPr>
          <w:spacing w:val="-3"/>
          <w:lang w:val="en-GB"/>
        </w:rPr>
        <w:t xml:space="preserve"> </w:t>
      </w:r>
      <w:r w:rsidRPr="00380B40">
        <w:rPr>
          <w:lang w:val="en-GB"/>
        </w:rPr>
        <w:t>the</w:t>
      </w:r>
      <w:r w:rsidRPr="00380B40">
        <w:rPr>
          <w:spacing w:val="-3"/>
          <w:lang w:val="en-GB"/>
        </w:rPr>
        <w:t xml:space="preserve"> </w:t>
      </w:r>
      <w:r w:rsidRPr="00380B40">
        <w:rPr>
          <w:spacing w:val="-1"/>
          <w:lang w:val="en-GB"/>
        </w:rPr>
        <w:t>work</w:t>
      </w:r>
      <w:r w:rsidRPr="00380B40">
        <w:rPr>
          <w:spacing w:val="51"/>
          <w:lang w:val="en-GB"/>
        </w:rPr>
        <w:t xml:space="preserve"> </w:t>
      </w:r>
      <w:r w:rsidRPr="00380B40">
        <w:rPr>
          <w:lang w:val="en-GB"/>
        </w:rPr>
        <w:t>of the</w:t>
      </w:r>
      <w:r w:rsidRPr="00380B40">
        <w:rPr>
          <w:spacing w:val="-2"/>
          <w:lang w:val="en-GB"/>
        </w:rPr>
        <w:t xml:space="preserve"> </w:t>
      </w:r>
      <w:r w:rsidRPr="00380B40">
        <w:rPr>
          <w:lang w:val="en-GB"/>
        </w:rPr>
        <w:t>study</w:t>
      </w:r>
      <w:r w:rsidRPr="00380B40">
        <w:rPr>
          <w:spacing w:val="-3"/>
          <w:lang w:val="en-GB"/>
        </w:rPr>
        <w:t xml:space="preserve"> </w:t>
      </w:r>
      <w:r w:rsidRPr="00380B40">
        <w:rPr>
          <w:spacing w:val="-1"/>
          <w:lang w:val="en-GB"/>
        </w:rPr>
        <w:t>groups</w:t>
      </w:r>
      <w:r w:rsidRPr="00380B40">
        <w:rPr>
          <w:lang w:val="en-GB"/>
        </w:rPr>
        <w:t xml:space="preserve"> should be</w:t>
      </w:r>
      <w:r w:rsidRPr="00380B40">
        <w:rPr>
          <w:spacing w:val="-1"/>
          <w:lang w:val="en-GB"/>
        </w:rPr>
        <w:t xml:space="preserve"> </w:t>
      </w:r>
      <w:r w:rsidRPr="00380B40">
        <w:rPr>
          <w:spacing w:val="9"/>
          <w:lang w:val="en-GB"/>
        </w:rPr>
        <w:t>on</w:t>
      </w:r>
      <w:r w:rsidRPr="00380B40">
        <w:rPr>
          <w:lang w:val="en-GB"/>
        </w:rPr>
        <w:t xml:space="preserve"> a</w:t>
      </w:r>
      <w:r w:rsidRPr="00380B40">
        <w:rPr>
          <w:spacing w:val="-1"/>
          <w:lang w:val="en-GB"/>
        </w:rPr>
        <w:t xml:space="preserve"> continuous</w:t>
      </w:r>
      <w:r w:rsidRPr="00380B40">
        <w:rPr>
          <w:lang w:val="en-GB"/>
        </w:rPr>
        <w:t xml:space="preserve"> basis </w:t>
      </w:r>
      <w:r w:rsidRPr="00380B40">
        <w:rPr>
          <w:spacing w:val="-1"/>
          <w:lang w:val="en-GB"/>
        </w:rPr>
        <w:t>and</w:t>
      </w:r>
      <w:r w:rsidRPr="00380B40">
        <w:rPr>
          <w:lang w:val="en-GB"/>
        </w:rPr>
        <w:t xml:space="preserve"> </w:t>
      </w:r>
      <w:r w:rsidRPr="00380B40">
        <w:rPr>
          <w:spacing w:val="-1"/>
          <w:lang w:val="en-GB"/>
        </w:rPr>
        <w:t>dissociated</w:t>
      </w:r>
      <w:r w:rsidRPr="00380B40">
        <w:rPr>
          <w:lang w:val="en-GB"/>
        </w:rPr>
        <w:t xml:space="preserve"> </w:t>
      </w:r>
      <w:r w:rsidRPr="00380B40">
        <w:rPr>
          <w:spacing w:val="-1"/>
          <w:lang w:val="en-GB"/>
        </w:rPr>
        <w:t>from</w:t>
      </w:r>
      <w:r w:rsidRPr="00380B40">
        <w:rPr>
          <w:lang w:val="en-GB"/>
        </w:rPr>
        <w:t xml:space="preserve"> the</w:t>
      </w:r>
      <w:r w:rsidRPr="00380B40">
        <w:rPr>
          <w:spacing w:val="-1"/>
          <w:lang w:val="en-GB"/>
        </w:rPr>
        <w:t xml:space="preserve"> interval</w:t>
      </w:r>
      <w:r w:rsidRPr="00380B40">
        <w:rPr>
          <w:lang w:val="en-GB"/>
        </w:rPr>
        <w:t xml:space="preserve"> </w:t>
      </w:r>
      <w:r w:rsidRPr="00380B40">
        <w:rPr>
          <w:spacing w:val="-1"/>
          <w:lang w:val="en-GB"/>
        </w:rPr>
        <w:t>between</w:t>
      </w:r>
      <w:r w:rsidRPr="00380B40">
        <w:rPr>
          <w:lang w:val="en-GB"/>
        </w:rPr>
        <w:t xml:space="preserve"> world</w:t>
      </w:r>
      <w:r w:rsidRPr="00380B40">
        <w:rPr>
          <w:spacing w:val="89"/>
          <w:lang w:val="en-GB"/>
        </w:rPr>
        <w:t xml:space="preserve"> </w:t>
      </w:r>
      <w:r w:rsidRPr="00380B40">
        <w:rPr>
          <w:spacing w:val="-1"/>
          <w:lang w:val="en-GB"/>
        </w:rPr>
        <w:t>telecommunication</w:t>
      </w:r>
      <w:r w:rsidRPr="00380B40">
        <w:rPr>
          <w:lang w:val="en-GB"/>
        </w:rPr>
        <w:t xml:space="preserve"> </w:t>
      </w:r>
      <w:r w:rsidRPr="00380B40">
        <w:rPr>
          <w:spacing w:val="-1"/>
          <w:lang w:val="en-GB"/>
        </w:rPr>
        <w:t>standardization</w:t>
      </w:r>
      <w:r w:rsidRPr="00380B40">
        <w:rPr>
          <w:lang w:val="en-GB"/>
        </w:rPr>
        <w:t xml:space="preserve"> </w:t>
      </w:r>
      <w:r w:rsidRPr="00380B40">
        <w:rPr>
          <w:spacing w:val="-1"/>
          <w:lang w:val="en-GB"/>
        </w:rPr>
        <w:t>assemblies</w:t>
      </w:r>
      <w:r w:rsidRPr="00380B40">
        <w:rPr>
          <w:lang w:val="en-GB"/>
        </w:rPr>
        <w:t xml:space="preserve"> </w:t>
      </w:r>
      <w:r w:rsidRPr="00380B40">
        <w:rPr>
          <w:spacing w:val="-1"/>
          <w:lang w:val="en-GB"/>
        </w:rPr>
        <w:t>(WTSA).</w:t>
      </w:r>
      <w:bookmarkStart w:id="571" w:name="_Toc206496674"/>
    </w:p>
    <w:p w14:paraId="1C1C04F3" w14:textId="77777777" w:rsidR="00DB6A21" w:rsidRPr="00380B40" w:rsidRDefault="00DB6A21" w:rsidP="00C12517">
      <w:pPr>
        <w:pStyle w:val="Heading2"/>
        <w:rPr>
          <w:lang w:val="en-GB"/>
        </w:rPr>
      </w:pPr>
      <w:bookmarkStart w:id="572" w:name="_Toc471716637"/>
      <w:bookmarkStart w:id="573" w:name="_Toc20738309"/>
      <w:bookmarkStart w:id="574" w:name="_Toc21093723"/>
      <w:bookmarkStart w:id="575" w:name="_Toc22280332"/>
      <w:r w:rsidRPr="00380B40">
        <w:rPr>
          <w:lang w:val="en-GB"/>
        </w:rPr>
        <w:br w:type="page"/>
      </w:r>
    </w:p>
    <w:p w14:paraId="79F69D37" w14:textId="77777777" w:rsidR="00C12517" w:rsidRPr="00380B40" w:rsidRDefault="00C12517" w:rsidP="00C12517">
      <w:pPr>
        <w:pStyle w:val="Heading2"/>
        <w:rPr>
          <w:b w:val="0"/>
          <w:bCs/>
          <w:lang w:val="en-GB"/>
        </w:rPr>
      </w:pPr>
      <w:bookmarkStart w:id="576" w:name="_Toc111636828"/>
      <w:r w:rsidRPr="00380B40">
        <w:rPr>
          <w:lang w:val="en-GB"/>
        </w:rPr>
        <w:t>1.2</w:t>
      </w:r>
      <w:r w:rsidRPr="00380B40">
        <w:rPr>
          <w:lang w:val="en-GB"/>
        </w:rPr>
        <w:tab/>
      </w:r>
      <w:bookmarkStart w:id="577" w:name="_Toc532428453"/>
      <w:r w:rsidRPr="00380B40">
        <w:rPr>
          <w:lang w:val="en-GB"/>
        </w:rPr>
        <w:t>Coordination of work</w:t>
      </w:r>
      <w:bookmarkEnd w:id="571"/>
      <w:bookmarkEnd w:id="572"/>
      <w:bookmarkEnd w:id="573"/>
      <w:bookmarkEnd w:id="574"/>
      <w:bookmarkEnd w:id="575"/>
      <w:bookmarkEnd w:id="576"/>
      <w:bookmarkEnd w:id="577"/>
    </w:p>
    <w:p w14:paraId="04FA3701" w14:textId="77777777" w:rsidR="00C12517" w:rsidRPr="00380B40" w:rsidRDefault="00C12517" w:rsidP="00C12517">
      <w:pPr>
        <w:rPr>
          <w:lang w:val="en-GB"/>
        </w:rPr>
      </w:pPr>
      <w:r w:rsidRPr="00380B40">
        <w:rPr>
          <w:b/>
          <w:bCs/>
          <w:lang w:val="en-GB"/>
        </w:rPr>
        <w:t>1.2.1</w:t>
      </w:r>
      <w:r w:rsidRPr="00380B40">
        <w:rPr>
          <w:lang w:val="en-GB"/>
        </w:rPr>
        <w:tab/>
        <w:t>A</w:t>
      </w:r>
      <w:r w:rsidRPr="00380B40">
        <w:rPr>
          <w:spacing w:val="1"/>
          <w:lang w:val="en-GB"/>
        </w:rPr>
        <w:t xml:space="preserve"> </w:t>
      </w:r>
      <w:r w:rsidRPr="00380B40">
        <w:rPr>
          <w:lang w:val="en-GB"/>
        </w:rPr>
        <w:t>joint</w:t>
      </w:r>
      <w:r w:rsidRPr="00380B40">
        <w:rPr>
          <w:spacing w:val="2"/>
          <w:lang w:val="en-GB"/>
        </w:rPr>
        <w:t xml:space="preserve"> </w:t>
      </w:r>
      <w:r w:rsidRPr="00380B40">
        <w:rPr>
          <w:lang w:val="en-GB"/>
        </w:rPr>
        <w:t>coordination</w:t>
      </w:r>
      <w:r w:rsidRPr="00380B40">
        <w:rPr>
          <w:spacing w:val="2"/>
          <w:lang w:val="en-GB"/>
        </w:rPr>
        <w:t xml:space="preserve"> </w:t>
      </w:r>
      <w:r w:rsidRPr="00380B40">
        <w:rPr>
          <w:lang w:val="en-GB"/>
        </w:rPr>
        <w:t>activity</w:t>
      </w:r>
      <w:r w:rsidRPr="00380B40">
        <w:rPr>
          <w:spacing w:val="-3"/>
          <w:lang w:val="en-GB"/>
        </w:rPr>
        <w:t xml:space="preserve"> </w:t>
      </w:r>
      <w:r w:rsidRPr="00380B40">
        <w:rPr>
          <w:lang w:val="en-GB"/>
        </w:rPr>
        <w:t>(JCA) may</w:t>
      </w:r>
      <w:r w:rsidRPr="00380B40">
        <w:rPr>
          <w:spacing w:val="-6"/>
          <w:lang w:val="en-GB"/>
        </w:rPr>
        <w:t xml:space="preserve"> </w:t>
      </w:r>
      <w:r w:rsidRPr="00380B40">
        <w:rPr>
          <w:lang w:val="en-GB"/>
        </w:rPr>
        <w:t>be</w:t>
      </w:r>
      <w:r w:rsidRPr="00380B40">
        <w:rPr>
          <w:spacing w:val="1"/>
          <w:lang w:val="en-GB"/>
        </w:rPr>
        <w:t xml:space="preserve"> </w:t>
      </w:r>
      <w:r w:rsidRPr="00380B40">
        <w:rPr>
          <w:lang w:val="en-GB"/>
        </w:rPr>
        <w:t>formed</w:t>
      </w:r>
      <w:r w:rsidRPr="00380B40">
        <w:rPr>
          <w:spacing w:val="2"/>
          <w:lang w:val="en-GB"/>
        </w:rPr>
        <w:t xml:space="preserve"> </w:t>
      </w:r>
      <w:r w:rsidRPr="00380B40">
        <w:rPr>
          <w:lang w:val="en-GB"/>
        </w:rPr>
        <w:t>to</w:t>
      </w:r>
      <w:r w:rsidRPr="00380B40">
        <w:rPr>
          <w:spacing w:val="2"/>
          <w:lang w:val="en-GB"/>
        </w:rPr>
        <w:t xml:space="preserve"> </w:t>
      </w:r>
      <w:r w:rsidRPr="00380B40">
        <w:rPr>
          <w:lang w:val="en-GB"/>
        </w:rPr>
        <w:t>coordinate</w:t>
      </w:r>
      <w:r w:rsidRPr="00380B40">
        <w:rPr>
          <w:spacing w:val="1"/>
          <w:lang w:val="en-GB"/>
        </w:rPr>
        <w:t xml:space="preserve"> </w:t>
      </w:r>
      <w:r w:rsidRPr="00380B40">
        <w:rPr>
          <w:lang w:val="en-GB"/>
        </w:rPr>
        <w:t>work</w:t>
      </w:r>
      <w:r w:rsidRPr="00380B40">
        <w:rPr>
          <w:spacing w:val="2"/>
          <w:lang w:val="en-GB"/>
        </w:rPr>
        <w:t xml:space="preserve"> </w:t>
      </w:r>
      <w:r w:rsidRPr="00380B40">
        <w:rPr>
          <w:lang w:val="en-GB"/>
        </w:rPr>
        <w:t>relating to</w:t>
      </w:r>
      <w:r w:rsidRPr="00380B40">
        <w:rPr>
          <w:spacing w:val="2"/>
          <w:lang w:val="en-GB"/>
        </w:rPr>
        <w:t xml:space="preserve"> </w:t>
      </w:r>
      <w:r w:rsidRPr="00380B40">
        <w:rPr>
          <w:lang w:val="en-GB"/>
        </w:rPr>
        <w:t>more than</w:t>
      </w:r>
      <w:r w:rsidRPr="00380B40">
        <w:rPr>
          <w:spacing w:val="71"/>
          <w:lang w:val="en-GB"/>
        </w:rPr>
        <w:t xml:space="preserve"> </w:t>
      </w:r>
      <w:r w:rsidRPr="00380B40">
        <w:rPr>
          <w:lang w:val="en-GB"/>
        </w:rPr>
        <w:t>one</w:t>
      </w:r>
      <w:r w:rsidRPr="00380B40">
        <w:rPr>
          <w:spacing w:val="22"/>
          <w:lang w:val="en-GB"/>
        </w:rPr>
        <w:t xml:space="preserve"> </w:t>
      </w:r>
      <w:r w:rsidRPr="00380B40">
        <w:rPr>
          <w:spacing w:val="1"/>
          <w:lang w:val="en-GB"/>
        </w:rPr>
        <w:t>study</w:t>
      </w:r>
      <w:r w:rsidRPr="00380B40">
        <w:rPr>
          <w:spacing w:val="21"/>
          <w:lang w:val="en-GB"/>
        </w:rPr>
        <w:t xml:space="preserve"> </w:t>
      </w:r>
      <w:r w:rsidRPr="00380B40">
        <w:rPr>
          <w:lang w:val="en-GB"/>
        </w:rPr>
        <w:t>group.</w:t>
      </w:r>
      <w:r w:rsidRPr="00380B40">
        <w:rPr>
          <w:spacing w:val="27"/>
          <w:lang w:val="en-GB"/>
        </w:rPr>
        <w:t xml:space="preserve"> </w:t>
      </w:r>
      <w:r w:rsidRPr="00380B40">
        <w:rPr>
          <w:spacing w:val="-2"/>
          <w:lang w:val="en-GB"/>
        </w:rPr>
        <w:t>Its</w:t>
      </w:r>
      <w:r w:rsidRPr="00380B40">
        <w:rPr>
          <w:spacing w:val="24"/>
          <w:lang w:val="en-GB"/>
        </w:rPr>
        <w:t xml:space="preserve"> </w:t>
      </w:r>
      <w:r w:rsidRPr="00380B40">
        <w:rPr>
          <w:lang w:val="en-GB"/>
        </w:rPr>
        <w:t>primary</w:t>
      </w:r>
      <w:r w:rsidRPr="00380B40">
        <w:rPr>
          <w:spacing w:val="21"/>
          <w:lang w:val="en-GB"/>
        </w:rPr>
        <w:t xml:space="preserve"> </w:t>
      </w:r>
      <w:r w:rsidRPr="00380B40">
        <w:rPr>
          <w:lang w:val="en-GB"/>
        </w:rPr>
        <w:t>role</w:t>
      </w:r>
      <w:r w:rsidRPr="00380B40">
        <w:rPr>
          <w:spacing w:val="24"/>
          <w:lang w:val="en-GB"/>
        </w:rPr>
        <w:t xml:space="preserve"> </w:t>
      </w:r>
      <w:r w:rsidRPr="00380B40">
        <w:rPr>
          <w:lang w:val="en-GB"/>
        </w:rPr>
        <w:t>is</w:t>
      </w:r>
      <w:r w:rsidRPr="00380B40">
        <w:rPr>
          <w:spacing w:val="24"/>
          <w:lang w:val="en-GB"/>
        </w:rPr>
        <w:t xml:space="preserve"> </w:t>
      </w:r>
      <w:r w:rsidRPr="00380B40">
        <w:rPr>
          <w:lang w:val="en-GB"/>
        </w:rPr>
        <w:t>to</w:t>
      </w:r>
      <w:r w:rsidRPr="00380B40">
        <w:rPr>
          <w:spacing w:val="24"/>
          <w:lang w:val="en-GB"/>
        </w:rPr>
        <w:t xml:space="preserve"> </w:t>
      </w:r>
      <w:r w:rsidRPr="00380B40">
        <w:rPr>
          <w:lang w:val="en-GB"/>
        </w:rPr>
        <w:t>harmonize</w:t>
      </w:r>
      <w:r w:rsidRPr="00380B40">
        <w:rPr>
          <w:spacing w:val="22"/>
          <w:lang w:val="en-GB"/>
        </w:rPr>
        <w:t xml:space="preserve"> </w:t>
      </w:r>
      <w:r w:rsidRPr="00380B40">
        <w:rPr>
          <w:lang w:val="en-GB"/>
        </w:rPr>
        <w:t>planned</w:t>
      </w:r>
      <w:r w:rsidRPr="00380B40">
        <w:rPr>
          <w:spacing w:val="23"/>
          <w:lang w:val="en-GB"/>
        </w:rPr>
        <w:t xml:space="preserve"> </w:t>
      </w:r>
      <w:r w:rsidRPr="00380B40">
        <w:rPr>
          <w:lang w:val="en-GB"/>
        </w:rPr>
        <w:t>work</w:t>
      </w:r>
      <w:r w:rsidRPr="00380B40">
        <w:rPr>
          <w:spacing w:val="25"/>
          <w:lang w:val="en-GB"/>
        </w:rPr>
        <w:t xml:space="preserve"> </w:t>
      </w:r>
      <w:r w:rsidRPr="00380B40">
        <w:rPr>
          <w:lang w:val="en-GB"/>
        </w:rPr>
        <w:t>effort</w:t>
      </w:r>
      <w:r w:rsidRPr="00380B40">
        <w:rPr>
          <w:spacing w:val="23"/>
          <w:lang w:val="en-GB"/>
        </w:rPr>
        <w:t xml:space="preserve"> </w:t>
      </w:r>
      <w:r w:rsidRPr="00380B40">
        <w:rPr>
          <w:spacing w:val="1"/>
          <w:lang w:val="en-GB"/>
        </w:rPr>
        <w:t>in</w:t>
      </w:r>
      <w:r w:rsidRPr="00380B40">
        <w:rPr>
          <w:spacing w:val="23"/>
          <w:lang w:val="en-GB"/>
        </w:rPr>
        <w:t xml:space="preserve"> </w:t>
      </w:r>
      <w:r w:rsidRPr="00380B40">
        <w:rPr>
          <w:lang w:val="en-GB"/>
        </w:rPr>
        <w:t>terms</w:t>
      </w:r>
      <w:r w:rsidRPr="00380B40">
        <w:rPr>
          <w:spacing w:val="24"/>
          <w:lang w:val="en-GB"/>
        </w:rPr>
        <w:t xml:space="preserve"> </w:t>
      </w:r>
      <w:r w:rsidRPr="00380B40">
        <w:rPr>
          <w:lang w:val="en-GB"/>
        </w:rPr>
        <w:t>of</w:t>
      </w:r>
      <w:r w:rsidRPr="00380B40">
        <w:rPr>
          <w:spacing w:val="25"/>
          <w:lang w:val="en-GB"/>
        </w:rPr>
        <w:t xml:space="preserve"> </w:t>
      </w:r>
      <w:r w:rsidRPr="00380B40">
        <w:rPr>
          <w:lang w:val="en-GB"/>
        </w:rPr>
        <w:t>subject</w:t>
      </w:r>
      <w:r w:rsidRPr="00380B40">
        <w:rPr>
          <w:spacing w:val="26"/>
          <w:lang w:val="en-GB"/>
        </w:rPr>
        <w:t xml:space="preserve"> </w:t>
      </w:r>
      <w:r w:rsidRPr="00380B40">
        <w:rPr>
          <w:lang w:val="en-GB"/>
        </w:rPr>
        <w:t>matter,</w:t>
      </w:r>
      <w:r w:rsidRPr="00380B40">
        <w:rPr>
          <w:spacing w:val="63"/>
          <w:lang w:val="en-GB"/>
        </w:rPr>
        <w:t xml:space="preserve"> </w:t>
      </w:r>
      <w:r w:rsidRPr="00380B40">
        <w:rPr>
          <w:lang w:val="en-GB"/>
        </w:rPr>
        <w:t>time</w:t>
      </w:r>
      <w:r w:rsidRPr="00380B40">
        <w:rPr>
          <w:lang w:val="en-GB"/>
        </w:rPr>
        <w:noBreakHyphen/>
        <w:t>frames for meetings</w:t>
      </w:r>
      <w:r w:rsidRPr="00380B40">
        <w:rPr>
          <w:spacing w:val="2"/>
          <w:lang w:val="en-GB"/>
        </w:rPr>
        <w:t xml:space="preserve"> </w:t>
      </w:r>
      <w:r w:rsidRPr="00380B40">
        <w:rPr>
          <w:lang w:val="en-GB"/>
        </w:rPr>
        <w:t>and publication goals (see clause 5).</w:t>
      </w:r>
    </w:p>
    <w:p w14:paraId="0E1CC3C2" w14:textId="77777777" w:rsidR="00C12517" w:rsidRPr="00380B40" w:rsidRDefault="00C12517" w:rsidP="00C12517">
      <w:pPr>
        <w:pStyle w:val="Heading2"/>
        <w:tabs>
          <w:tab w:val="left" w:pos="908"/>
        </w:tabs>
        <w:rPr>
          <w:b w:val="0"/>
          <w:bCs/>
          <w:lang w:val="en-GB"/>
        </w:rPr>
      </w:pPr>
      <w:bookmarkStart w:id="578" w:name="_Toc206496675"/>
      <w:bookmarkStart w:id="579" w:name="_Toc471716638"/>
      <w:bookmarkStart w:id="580" w:name="_Toc20738310"/>
      <w:bookmarkStart w:id="581" w:name="_Toc21093724"/>
      <w:bookmarkStart w:id="582" w:name="_Toc22280333"/>
      <w:bookmarkStart w:id="583" w:name="_Toc111636829"/>
      <w:r w:rsidRPr="00380B40">
        <w:rPr>
          <w:lang w:val="en-GB"/>
        </w:rPr>
        <w:t>1.3</w:t>
      </w:r>
      <w:r w:rsidRPr="00380B40">
        <w:rPr>
          <w:lang w:val="en-GB"/>
        </w:rPr>
        <w:tab/>
      </w:r>
      <w:bookmarkStart w:id="584" w:name="_Toc532428454"/>
      <w:r w:rsidRPr="00380B40">
        <w:rPr>
          <w:spacing w:val="-1"/>
          <w:lang w:val="en-GB"/>
        </w:rPr>
        <w:t>Preparation</w:t>
      </w:r>
      <w:r w:rsidRPr="00380B40">
        <w:rPr>
          <w:lang w:val="en-GB"/>
        </w:rPr>
        <w:t xml:space="preserve"> of</w:t>
      </w:r>
      <w:r w:rsidRPr="00380B40">
        <w:rPr>
          <w:spacing w:val="1"/>
          <w:lang w:val="en-GB"/>
        </w:rPr>
        <w:t xml:space="preserve"> </w:t>
      </w:r>
      <w:r w:rsidRPr="00380B40">
        <w:rPr>
          <w:lang w:val="en-GB"/>
        </w:rPr>
        <w:t xml:space="preserve">studies </w:t>
      </w:r>
      <w:r w:rsidRPr="00380B40">
        <w:rPr>
          <w:spacing w:val="-1"/>
          <w:lang w:val="en-GB"/>
        </w:rPr>
        <w:t>and</w:t>
      </w:r>
      <w:r w:rsidRPr="00380B40">
        <w:rPr>
          <w:lang w:val="en-GB"/>
        </w:rPr>
        <w:t xml:space="preserve"> </w:t>
      </w:r>
      <w:r w:rsidRPr="00380B40">
        <w:rPr>
          <w:spacing w:val="-1"/>
          <w:lang w:val="en-GB"/>
        </w:rPr>
        <w:t>meetings</w:t>
      </w:r>
      <w:bookmarkEnd w:id="578"/>
      <w:bookmarkEnd w:id="579"/>
      <w:bookmarkEnd w:id="580"/>
      <w:bookmarkEnd w:id="581"/>
      <w:bookmarkEnd w:id="582"/>
      <w:bookmarkEnd w:id="583"/>
      <w:bookmarkEnd w:id="584"/>
    </w:p>
    <w:p w14:paraId="008EAB45" w14:textId="77777777" w:rsidR="00C12517" w:rsidRPr="00380B40" w:rsidRDefault="00C12517" w:rsidP="00C12517">
      <w:pPr>
        <w:rPr>
          <w:lang w:val="en-GB"/>
        </w:rPr>
      </w:pPr>
      <w:r w:rsidRPr="00380B40">
        <w:rPr>
          <w:b/>
          <w:bCs/>
          <w:lang w:val="en-GB"/>
        </w:rPr>
        <w:t>1.3.1</w:t>
      </w:r>
      <w:r w:rsidRPr="00380B40">
        <w:rPr>
          <w:lang w:val="en-GB"/>
        </w:rPr>
        <w:tab/>
        <w:t>At</w:t>
      </w:r>
      <w:r w:rsidRPr="00380B40">
        <w:rPr>
          <w:spacing w:val="14"/>
          <w:lang w:val="en-GB"/>
        </w:rPr>
        <w:t xml:space="preserve"> </w:t>
      </w:r>
      <w:r w:rsidRPr="00380B40">
        <w:rPr>
          <w:lang w:val="en-GB"/>
        </w:rPr>
        <w:t>the</w:t>
      </w:r>
      <w:r w:rsidRPr="00380B40">
        <w:rPr>
          <w:spacing w:val="13"/>
          <w:lang w:val="en-GB"/>
        </w:rPr>
        <w:t xml:space="preserve"> </w:t>
      </w:r>
      <w:r w:rsidRPr="00380B40">
        <w:rPr>
          <w:spacing w:val="-1"/>
          <w:lang w:val="en-GB"/>
        </w:rPr>
        <w:t>beginning</w:t>
      </w:r>
      <w:r w:rsidRPr="00380B40">
        <w:rPr>
          <w:spacing w:val="14"/>
          <w:lang w:val="en-GB"/>
        </w:rPr>
        <w:t xml:space="preserve"> </w:t>
      </w:r>
      <w:r w:rsidRPr="00380B40">
        <w:rPr>
          <w:lang w:val="en-GB"/>
        </w:rPr>
        <w:t>of</w:t>
      </w:r>
      <w:r w:rsidRPr="00380B40">
        <w:rPr>
          <w:spacing w:val="13"/>
          <w:lang w:val="en-GB"/>
        </w:rPr>
        <w:t xml:space="preserve"> </w:t>
      </w:r>
      <w:r w:rsidRPr="00380B40">
        <w:rPr>
          <w:spacing w:val="-1"/>
          <w:lang w:val="en-GB"/>
        </w:rPr>
        <w:t>each</w:t>
      </w:r>
      <w:r w:rsidRPr="00380B40">
        <w:rPr>
          <w:spacing w:val="16"/>
          <w:lang w:val="en-GB"/>
        </w:rPr>
        <w:t xml:space="preserve"> </w:t>
      </w:r>
      <w:r w:rsidRPr="00380B40">
        <w:rPr>
          <w:lang w:val="en-GB"/>
        </w:rPr>
        <w:t>study</w:t>
      </w:r>
      <w:r w:rsidRPr="00380B40">
        <w:rPr>
          <w:spacing w:val="9"/>
          <w:lang w:val="en-GB"/>
        </w:rPr>
        <w:t xml:space="preserve"> </w:t>
      </w:r>
      <w:r w:rsidRPr="00380B40">
        <w:rPr>
          <w:lang w:val="en-GB"/>
        </w:rPr>
        <w:t>period,</w:t>
      </w:r>
      <w:r w:rsidRPr="00380B40">
        <w:rPr>
          <w:spacing w:val="13"/>
          <w:lang w:val="en-GB"/>
        </w:rPr>
        <w:t xml:space="preserve"> </w:t>
      </w:r>
      <w:r w:rsidRPr="00380B40">
        <w:rPr>
          <w:spacing w:val="-1"/>
          <w:lang w:val="en-GB"/>
        </w:rPr>
        <w:t>an</w:t>
      </w:r>
      <w:r w:rsidRPr="00380B40">
        <w:rPr>
          <w:spacing w:val="14"/>
          <w:lang w:val="en-GB"/>
        </w:rPr>
        <w:t xml:space="preserve"> </w:t>
      </w:r>
      <w:r w:rsidRPr="00380B40">
        <w:rPr>
          <w:lang w:val="en-GB"/>
        </w:rPr>
        <w:t>organization</w:t>
      </w:r>
      <w:r w:rsidRPr="00380B40">
        <w:rPr>
          <w:spacing w:val="14"/>
          <w:lang w:val="en-GB"/>
        </w:rPr>
        <w:t xml:space="preserve"> </w:t>
      </w:r>
      <w:r w:rsidRPr="00380B40">
        <w:rPr>
          <w:spacing w:val="-1"/>
          <w:lang w:val="en-GB"/>
        </w:rPr>
        <w:t>proposal</w:t>
      </w:r>
      <w:r w:rsidRPr="00380B40">
        <w:rPr>
          <w:spacing w:val="14"/>
          <w:lang w:val="en-GB"/>
        </w:rPr>
        <w:t xml:space="preserve"> </w:t>
      </w:r>
      <w:r w:rsidRPr="00380B40">
        <w:rPr>
          <w:spacing w:val="-1"/>
          <w:lang w:val="en-GB"/>
        </w:rPr>
        <w:t>and</w:t>
      </w:r>
      <w:r w:rsidRPr="00380B40">
        <w:rPr>
          <w:spacing w:val="16"/>
          <w:lang w:val="en-GB"/>
        </w:rPr>
        <w:t xml:space="preserve"> </w:t>
      </w:r>
      <w:r w:rsidRPr="00380B40">
        <w:rPr>
          <w:spacing w:val="-1"/>
          <w:lang w:val="en-GB"/>
        </w:rPr>
        <w:t>an</w:t>
      </w:r>
      <w:r w:rsidRPr="00380B40">
        <w:rPr>
          <w:spacing w:val="14"/>
          <w:lang w:val="en-GB"/>
        </w:rPr>
        <w:t xml:space="preserve"> </w:t>
      </w:r>
      <w:r w:rsidRPr="00380B40">
        <w:rPr>
          <w:lang w:val="en-GB"/>
        </w:rPr>
        <w:t>action</w:t>
      </w:r>
      <w:r w:rsidRPr="00380B40">
        <w:rPr>
          <w:spacing w:val="14"/>
          <w:lang w:val="en-GB"/>
        </w:rPr>
        <w:t xml:space="preserve"> </w:t>
      </w:r>
      <w:r w:rsidRPr="00380B40">
        <w:rPr>
          <w:lang w:val="en-GB"/>
        </w:rPr>
        <w:t>plan</w:t>
      </w:r>
      <w:r w:rsidRPr="00380B40">
        <w:rPr>
          <w:spacing w:val="13"/>
          <w:lang w:val="en-GB"/>
        </w:rPr>
        <w:t xml:space="preserve"> </w:t>
      </w:r>
      <w:r w:rsidRPr="00380B40">
        <w:rPr>
          <w:lang w:val="en-GB"/>
        </w:rPr>
        <w:t>for</w:t>
      </w:r>
      <w:r w:rsidRPr="00380B40">
        <w:rPr>
          <w:spacing w:val="12"/>
          <w:lang w:val="en-GB"/>
        </w:rPr>
        <w:t xml:space="preserve"> </w:t>
      </w:r>
      <w:r w:rsidRPr="00380B40">
        <w:rPr>
          <w:lang w:val="en-GB"/>
        </w:rPr>
        <w:t>the</w:t>
      </w:r>
      <w:r w:rsidRPr="00380B40">
        <w:rPr>
          <w:spacing w:val="51"/>
          <w:lang w:val="en-GB"/>
        </w:rPr>
        <w:t xml:space="preserve"> </w:t>
      </w:r>
      <w:r w:rsidRPr="00380B40">
        <w:rPr>
          <w:lang w:val="en-GB"/>
        </w:rPr>
        <w:t>study</w:t>
      </w:r>
      <w:r w:rsidRPr="00380B40">
        <w:rPr>
          <w:spacing w:val="-3"/>
          <w:lang w:val="en-GB"/>
        </w:rPr>
        <w:t xml:space="preserve"> </w:t>
      </w:r>
      <w:r w:rsidRPr="00380B40">
        <w:rPr>
          <w:lang w:val="en-GB"/>
        </w:rPr>
        <w:t>period</w:t>
      </w:r>
      <w:r w:rsidRPr="00380B40">
        <w:rPr>
          <w:spacing w:val="1"/>
          <w:lang w:val="en-GB"/>
        </w:rPr>
        <w:t xml:space="preserve"> </w:t>
      </w:r>
      <w:r w:rsidRPr="00380B40">
        <w:rPr>
          <w:spacing w:val="-1"/>
          <w:lang w:val="en-GB"/>
        </w:rPr>
        <w:t>shall</w:t>
      </w:r>
      <w:r w:rsidRPr="00380B40">
        <w:rPr>
          <w:spacing w:val="2"/>
          <w:lang w:val="en-GB"/>
        </w:rPr>
        <w:t xml:space="preserve"> </w:t>
      </w:r>
      <w:r w:rsidRPr="00380B40">
        <w:rPr>
          <w:lang w:val="en-GB"/>
        </w:rPr>
        <w:t>be</w:t>
      </w:r>
      <w:r w:rsidRPr="00380B40">
        <w:rPr>
          <w:spacing w:val="3"/>
          <w:lang w:val="en-GB"/>
        </w:rPr>
        <w:t xml:space="preserve"> </w:t>
      </w:r>
      <w:r w:rsidRPr="00380B40">
        <w:rPr>
          <w:spacing w:val="-1"/>
          <w:lang w:val="en-GB"/>
        </w:rPr>
        <w:t>prepared</w:t>
      </w:r>
      <w:r w:rsidRPr="00380B40">
        <w:rPr>
          <w:spacing w:val="2"/>
          <w:lang w:val="en-GB"/>
        </w:rPr>
        <w:t xml:space="preserve"> by</w:t>
      </w:r>
      <w:r w:rsidRPr="00380B40">
        <w:rPr>
          <w:spacing w:val="-1"/>
          <w:lang w:val="en-GB"/>
        </w:rPr>
        <w:t xml:space="preserve"> each</w:t>
      </w:r>
      <w:r w:rsidRPr="00380B40">
        <w:rPr>
          <w:spacing w:val="2"/>
          <w:lang w:val="en-GB"/>
        </w:rPr>
        <w:t xml:space="preserve"> </w:t>
      </w:r>
      <w:r w:rsidRPr="00380B40">
        <w:rPr>
          <w:spacing w:val="1"/>
          <w:lang w:val="en-GB"/>
        </w:rPr>
        <w:t>study</w:t>
      </w:r>
      <w:r w:rsidRPr="00380B40">
        <w:rPr>
          <w:spacing w:val="-1"/>
          <w:lang w:val="en-GB"/>
        </w:rPr>
        <w:t xml:space="preserve"> </w:t>
      </w:r>
      <w:r w:rsidRPr="00380B40">
        <w:rPr>
          <w:lang w:val="en-GB"/>
        </w:rPr>
        <w:t>group</w:t>
      </w:r>
      <w:r w:rsidRPr="00380B40">
        <w:rPr>
          <w:spacing w:val="2"/>
          <w:lang w:val="en-GB"/>
        </w:rPr>
        <w:t xml:space="preserve"> </w:t>
      </w:r>
      <w:r w:rsidRPr="00380B40">
        <w:rPr>
          <w:lang w:val="en-GB"/>
        </w:rPr>
        <w:t>chairman</w:t>
      </w:r>
      <w:r w:rsidRPr="00380B40">
        <w:rPr>
          <w:spacing w:val="4"/>
          <w:lang w:val="en-GB"/>
        </w:rPr>
        <w:t xml:space="preserve"> </w:t>
      </w:r>
      <w:r w:rsidRPr="00380B40">
        <w:rPr>
          <w:lang w:val="en-GB"/>
        </w:rPr>
        <w:t>with</w:t>
      </w:r>
      <w:r w:rsidRPr="00380B40">
        <w:rPr>
          <w:spacing w:val="2"/>
          <w:lang w:val="en-GB"/>
        </w:rPr>
        <w:t xml:space="preserve"> </w:t>
      </w:r>
      <w:r w:rsidRPr="00380B40">
        <w:rPr>
          <w:lang w:val="en-GB"/>
        </w:rPr>
        <w:t>the</w:t>
      </w:r>
      <w:r w:rsidRPr="00380B40">
        <w:rPr>
          <w:spacing w:val="1"/>
          <w:lang w:val="en-GB"/>
        </w:rPr>
        <w:t xml:space="preserve"> </w:t>
      </w:r>
      <w:r w:rsidRPr="00380B40">
        <w:rPr>
          <w:lang w:val="en-GB"/>
        </w:rPr>
        <w:t>help</w:t>
      </w:r>
      <w:r w:rsidRPr="00380B40">
        <w:rPr>
          <w:spacing w:val="4"/>
          <w:lang w:val="en-GB"/>
        </w:rPr>
        <w:t xml:space="preserve"> </w:t>
      </w:r>
      <w:r w:rsidRPr="00380B40">
        <w:rPr>
          <w:lang w:val="en-GB"/>
        </w:rPr>
        <w:t>of</w:t>
      </w:r>
      <w:r w:rsidRPr="00380B40">
        <w:rPr>
          <w:spacing w:val="1"/>
          <w:lang w:val="en-GB"/>
        </w:rPr>
        <w:t xml:space="preserve"> </w:t>
      </w:r>
      <w:r w:rsidRPr="00380B40">
        <w:rPr>
          <w:spacing w:val="-1"/>
          <w:lang w:val="en-GB"/>
        </w:rPr>
        <w:t>TSB.</w:t>
      </w:r>
      <w:r w:rsidRPr="00380B40">
        <w:rPr>
          <w:spacing w:val="4"/>
          <w:lang w:val="en-GB"/>
        </w:rPr>
        <w:t xml:space="preserve"> </w:t>
      </w:r>
      <w:r w:rsidRPr="00380B40">
        <w:rPr>
          <w:lang w:val="en-GB"/>
        </w:rPr>
        <w:t>The</w:t>
      </w:r>
      <w:r w:rsidRPr="00380B40">
        <w:rPr>
          <w:spacing w:val="3"/>
          <w:lang w:val="en-GB"/>
        </w:rPr>
        <w:t xml:space="preserve"> </w:t>
      </w:r>
      <w:r w:rsidRPr="00380B40">
        <w:rPr>
          <w:lang w:val="en-GB"/>
        </w:rPr>
        <w:t>plan</w:t>
      </w:r>
      <w:r w:rsidRPr="00380B40">
        <w:rPr>
          <w:spacing w:val="1"/>
          <w:lang w:val="en-GB"/>
        </w:rPr>
        <w:t xml:space="preserve"> </w:t>
      </w:r>
      <w:r w:rsidRPr="00380B40">
        <w:rPr>
          <w:spacing w:val="-1"/>
          <w:lang w:val="en-GB"/>
        </w:rPr>
        <w:t>should</w:t>
      </w:r>
      <w:r w:rsidRPr="00380B40">
        <w:rPr>
          <w:spacing w:val="52"/>
          <w:lang w:val="en-GB"/>
        </w:rPr>
        <w:t xml:space="preserve"> </w:t>
      </w:r>
      <w:r w:rsidRPr="00380B40">
        <w:rPr>
          <w:lang w:val="en-GB"/>
        </w:rPr>
        <w:t>take</w:t>
      </w:r>
      <w:r w:rsidRPr="00380B40">
        <w:rPr>
          <w:spacing w:val="34"/>
          <w:lang w:val="en-GB"/>
        </w:rPr>
        <w:t xml:space="preserve"> </w:t>
      </w:r>
      <w:r w:rsidRPr="00380B40">
        <w:rPr>
          <w:lang w:val="en-GB"/>
        </w:rPr>
        <w:t>into</w:t>
      </w:r>
      <w:r w:rsidRPr="00380B40">
        <w:rPr>
          <w:spacing w:val="35"/>
          <w:lang w:val="en-GB"/>
        </w:rPr>
        <w:t xml:space="preserve"> </w:t>
      </w:r>
      <w:r w:rsidRPr="00380B40">
        <w:rPr>
          <w:spacing w:val="-1"/>
          <w:lang w:val="en-GB"/>
        </w:rPr>
        <w:t>account</w:t>
      </w:r>
      <w:r w:rsidRPr="00380B40">
        <w:rPr>
          <w:spacing w:val="38"/>
          <w:lang w:val="en-GB"/>
        </w:rPr>
        <w:t xml:space="preserve"> </w:t>
      </w:r>
      <w:r w:rsidRPr="00380B40">
        <w:rPr>
          <w:lang w:val="en-GB"/>
        </w:rPr>
        <w:t>any</w:t>
      </w:r>
      <w:r w:rsidRPr="00380B40">
        <w:rPr>
          <w:spacing w:val="33"/>
          <w:lang w:val="en-GB"/>
        </w:rPr>
        <w:t xml:space="preserve"> </w:t>
      </w:r>
      <w:r w:rsidRPr="00380B40">
        <w:rPr>
          <w:spacing w:val="-1"/>
          <w:lang w:val="en-GB"/>
        </w:rPr>
        <w:t>priorities</w:t>
      </w:r>
      <w:r w:rsidRPr="00380B40">
        <w:rPr>
          <w:spacing w:val="37"/>
          <w:lang w:val="en-GB"/>
        </w:rPr>
        <w:t xml:space="preserve"> </w:t>
      </w:r>
      <w:r w:rsidRPr="00380B40">
        <w:rPr>
          <w:spacing w:val="-1"/>
          <w:lang w:val="en-GB"/>
        </w:rPr>
        <w:t>and</w:t>
      </w:r>
      <w:r w:rsidRPr="00380B40">
        <w:rPr>
          <w:spacing w:val="35"/>
          <w:lang w:val="en-GB"/>
        </w:rPr>
        <w:t xml:space="preserve"> </w:t>
      </w:r>
      <w:r w:rsidRPr="00380B40">
        <w:rPr>
          <w:lang w:val="en-GB"/>
        </w:rPr>
        <w:t>coordination</w:t>
      </w:r>
      <w:r w:rsidRPr="00380B40">
        <w:rPr>
          <w:spacing w:val="36"/>
          <w:lang w:val="en-GB"/>
        </w:rPr>
        <w:t xml:space="preserve"> </w:t>
      </w:r>
      <w:r w:rsidRPr="00380B40">
        <w:rPr>
          <w:spacing w:val="-1"/>
          <w:lang w:val="en-GB"/>
        </w:rPr>
        <w:t>arrangements</w:t>
      </w:r>
      <w:r w:rsidRPr="00380B40">
        <w:rPr>
          <w:spacing w:val="38"/>
          <w:lang w:val="en-GB"/>
        </w:rPr>
        <w:t xml:space="preserve"> </w:t>
      </w:r>
      <w:r w:rsidRPr="00380B40">
        <w:rPr>
          <w:spacing w:val="-1"/>
          <w:lang w:val="en-GB"/>
        </w:rPr>
        <w:t>recommended</w:t>
      </w:r>
      <w:r w:rsidRPr="00380B40">
        <w:rPr>
          <w:spacing w:val="35"/>
          <w:lang w:val="en-GB"/>
        </w:rPr>
        <w:t xml:space="preserve"> </w:t>
      </w:r>
      <w:r w:rsidRPr="00380B40">
        <w:rPr>
          <w:spacing w:val="2"/>
          <w:lang w:val="en-GB"/>
        </w:rPr>
        <w:t>by</w:t>
      </w:r>
      <w:r w:rsidRPr="00380B40">
        <w:rPr>
          <w:spacing w:val="30"/>
          <w:lang w:val="en-GB"/>
        </w:rPr>
        <w:t xml:space="preserve"> </w:t>
      </w:r>
      <w:r w:rsidRPr="00380B40">
        <w:rPr>
          <w:lang w:val="en-GB"/>
        </w:rPr>
        <w:t>the</w:t>
      </w:r>
      <w:r w:rsidRPr="00380B40">
        <w:rPr>
          <w:spacing w:val="71"/>
          <w:lang w:val="en-GB"/>
        </w:rPr>
        <w:t xml:space="preserve"> </w:t>
      </w:r>
      <w:r w:rsidRPr="00380B40">
        <w:rPr>
          <w:spacing w:val="-1"/>
          <w:lang w:val="en-GB"/>
        </w:rPr>
        <w:t>Telecommunication</w:t>
      </w:r>
      <w:r w:rsidRPr="00380B40">
        <w:rPr>
          <w:lang w:val="en-GB"/>
        </w:rPr>
        <w:t xml:space="preserve"> </w:t>
      </w:r>
      <w:r w:rsidRPr="00380B40">
        <w:rPr>
          <w:spacing w:val="-1"/>
          <w:lang w:val="en-GB"/>
        </w:rPr>
        <w:t>Standardization</w:t>
      </w:r>
      <w:r w:rsidRPr="00380B40">
        <w:rPr>
          <w:lang w:val="en-GB"/>
        </w:rPr>
        <w:t xml:space="preserve"> Advisory</w:t>
      </w:r>
      <w:r w:rsidRPr="00380B40">
        <w:rPr>
          <w:spacing w:val="-5"/>
          <w:lang w:val="en-GB"/>
        </w:rPr>
        <w:t xml:space="preserve"> </w:t>
      </w:r>
      <w:r w:rsidRPr="00380B40">
        <w:rPr>
          <w:lang w:val="en-GB"/>
        </w:rPr>
        <w:t xml:space="preserve">Group </w:t>
      </w:r>
      <w:r w:rsidRPr="00380B40">
        <w:rPr>
          <w:spacing w:val="-1"/>
          <w:lang w:val="en-GB"/>
        </w:rPr>
        <w:t>(TSAG)</w:t>
      </w:r>
      <w:r w:rsidRPr="00380B40">
        <w:rPr>
          <w:lang w:val="en-GB"/>
        </w:rPr>
        <w:t xml:space="preserve"> or</w:t>
      </w:r>
      <w:r w:rsidRPr="00380B40">
        <w:rPr>
          <w:spacing w:val="-2"/>
          <w:lang w:val="en-GB"/>
        </w:rPr>
        <w:t xml:space="preserve"> </w:t>
      </w:r>
      <w:r w:rsidRPr="00380B40">
        <w:rPr>
          <w:lang w:val="en-GB"/>
        </w:rPr>
        <w:t>decided by</w:t>
      </w:r>
      <w:r w:rsidRPr="00380B40">
        <w:rPr>
          <w:spacing w:val="-5"/>
          <w:lang w:val="en-GB"/>
        </w:rPr>
        <w:t xml:space="preserve"> </w:t>
      </w:r>
      <w:r w:rsidRPr="00380B40">
        <w:rPr>
          <w:lang w:val="en-GB"/>
        </w:rPr>
        <w:t>WTSA.</w:t>
      </w:r>
    </w:p>
    <w:p w14:paraId="7C4D159C" w14:textId="77777777" w:rsidR="00C12517" w:rsidRPr="00380B40" w:rsidRDefault="00C12517" w:rsidP="00C12517">
      <w:pPr>
        <w:rPr>
          <w:lang w:val="en-GB"/>
        </w:rPr>
      </w:pPr>
      <w:r w:rsidRPr="00380B40">
        <w:rPr>
          <w:lang w:val="en-GB"/>
        </w:rPr>
        <w:t>How</w:t>
      </w:r>
      <w:r w:rsidRPr="00380B40">
        <w:rPr>
          <w:spacing w:val="3"/>
          <w:lang w:val="en-GB"/>
        </w:rPr>
        <w:t xml:space="preserve"> </w:t>
      </w:r>
      <w:r w:rsidRPr="00380B40">
        <w:rPr>
          <w:lang w:val="en-GB"/>
        </w:rPr>
        <w:t>the</w:t>
      </w:r>
      <w:r w:rsidRPr="00380B40">
        <w:rPr>
          <w:spacing w:val="4"/>
          <w:lang w:val="en-GB"/>
        </w:rPr>
        <w:t xml:space="preserve"> </w:t>
      </w:r>
      <w:r w:rsidRPr="00380B40">
        <w:rPr>
          <w:spacing w:val="-1"/>
          <w:lang w:val="en-GB"/>
        </w:rPr>
        <w:t>proposed</w:t>
      </w:r>
      <w:r w:rsidRPr="00380B40">
        <w:rPr>
          <w:spacing w:val="6"/>
          <w:lang w:val="en-GB"/>
        </w:rPr>
        <w:t xml:space="preserve"> </w:t>
      </w:r>
      <w:r w:rsidRPr="00380B40">
        <w:rPr>
          <w:spacing w:val="-1"/>
          <w:lang w:val="en-GB"/>
        </w:rPr>
        <w:t>action</w:t>
      </w:r>
      <w:r w:rsidRPr="00380B40">
        <w:rPr>
          <w:spacing w:val="6"/>
          <w:lang w:val="en-GB"/>
        </w:rPr>
        <w:t xml:space="preserve"> </w:t>
      </w:r>
      <w:r w:rsidRPr="00380B40">
        <w:rPr>
          <w:lang w:val="en-GB"/>
        </w:rPr>
        <w:t>plan</w:t>
      </w:r>
      <w:r w:rsidRPr="00380B40">
        <w:rPr>
          <w:spacing w:val="4"/>
          <w:lang w:val="en-GB"/>
        </w:rPr>
        <w:t xml:space="preserve"> </w:t>
      </w:r>
      <w:r w:rsidRPr="00380B40">
        <w:rPr>
          <w:lang w:val="en-GB"/>
        </w:rPr>
        <w:t>is</w:t>
      </w:r>
      <w:r w:rsidRPr="00380B40">
        <w:rPr>
          <w:spacing w:val="5"/>
          <w:lang w:val="en-GB"/>
        </w:rPr>
        <w:t xml:space="preserve"> </w:t>
      </w:r>
      <w:r w:rsidRPr="00380B40">
        <w:rPr>
          <w:spacing w:val="-1"/>
          <w:lang w:val="en-GB"/>
        </w:rPr>
        <w:t>implemented</w:t>
      </w:r>
      <w:r w:rsidRPr="00380B40">
        <w:rPr>
          <w:spacing w:val="4"/>
          <w:lang w:val="en-GB"/>
        </w:rPr>
        <w:t xml:space="preserve"> </w:t>
      </w:r>
      <w:r w:rsidRPr="00380B40">
        <w:rPr>
          <w:lang w:val="en-GB"/>
        </w:rPr>
        <w:t>will</w:t>
      </w:r>
      <w:r w:rsidRPr="00380B40">
        <w:rPr>
          <w:spacing w:val="5"/>
          <w:lang w:val="en-GB"/>
        </w:rPr>
        <w:t xml:space="preserve"> </w:t>
      </w:r>
      <w:r w:rsidRPr="00380B40">
        <w:rPr>
          <w:spacing w:val="-1"/>
          <w:lang w:val="en-GB"/>
        </w:rPr>
        <w:t>depend</w:t>
      </w:r>
      <w:r w:rsidRPr="00380B40">
        <w:rPr>
          <w:spacing w:val="8"/>
          <w:lang w:val="en-GB"/>
        </w:rPr>
        <w:t xml:space="preserve"> </w:t>
      </w:r>
      <w:r w:rsidRPr="00380B40">
        <w:rPr>
          <w:lang w:val="en-GB"/>
        </w:rPr>
        <w:t>upon</w:t>
      </w:r>
      <w:r w:rsidRPr="00380B40">
        <w:rPr>
          <w:spacing w:val="4"/>
          <w:lang w:val="en-GB"/>
        </w:rPr>
        <w:t xml:space="preserve"> </w:t>
      </w:r>
      <w:r w:rsidRPr="00380B40">
        <w:rPr>
          <w:lang w:val="en-GB"/>
        </w:rPr>
        <w:t>the</w:t>
      </w:r>
      <w:r w:rsidRPr="00380B40">
        <w:rPr>
          <w:spacing w:val="4"/>
          <w:lang w:val="en-GB"/>
        </w:rPr>
        <w:t xml:space="preserve"> </w:t>
      </w:r>
      <w:r w:rsidRPr="00380B40">
        <w:rPr>
          <w:lang w:val="en-GB"/>
        </w:rPr>
        <w:t>contributions</w:t>
      </w:r>
      <w:r w:rsidRPr="00380B40">
        <w:rPr>
          <w:spacing w:val="4"/>
          <w:lang w:val="en-GB"/>
        </w:rPr>
        <w:t xml:space="preserve"> </w:t>
      </w:r>
      <w:r w:rsidRPr="00380B40">
        <w:rPr>
          <w:spacing w:val="-1"/>
          <w:lang w:val="en-GB"/>
        </w:rPr>
        <w:t>received</w:t>
      </w:r>
      <w:r w:rsidRPr="00380B40">
        <w:rPr>
          <w:spacing w:val="6"/>
          <w:lang w:val="en-GB"/>
        </w:rPr>
        <w:t xml:space="preserve"> </w:t>
      </w:r>
      <w:r w:rsidRPr="00380B40">
        <w:rPr>
          <w:spacing w:val="-1"/>
          <w:lang w:val="en-GB"/>
        </w:rPr>
        <w:t>from</w:t>
      </w:r>
      <w:r w:rsidRPr="00380B40">
        <w:rPr>
          <w:spacing w:val="5"/>
          <w:lang w:val="en-GB"/>
        </w:rPr>
        <w:t xml:space="preserve"> </w:t>
      </w:r>
      <w:r w:rsidRPr="00380B40">
        <w:rPr>
          <w:lang w:val="en-GB"/>
        </w:rPr>
        <w:t>the</w:t>
      </w:r>
      <w:r w:rsidRPr="00380B40">
        <w:rPr>
          <w:spacing w:val="63"/>
          <w:lang w:val="en-GB"/>
        </w:rPr>
        <w:t xml:space="preserve"> </w:t>
      </w:r>
      <w:r w:rsidRPr="00380B40">
        <w:rPr>
          <w:spacing w:val="-1"/>
          <w:lang w:val="en-GB"/>
        </w:rPr>
        <w:t>members</w:t>
      </w:r>
      <w:r w:rsidRPr="00380B40">
        <w:rPr>
          <w:lang w:val="en-GB"/>
        </w:rPr>
        <w:t xml:space="preserve"> of </w:t>
      </w:r>
      <w:r w:rsidRPr="00380B40">
        <w:rPr>
          <w:spacing w:val="-1"/>
          <w:lang w:val="en-GB"/>
        </w:rPr>
        <w:t>ITU</w:t>
      </w:r>
      <w:r w:rsidRPr="00380B40">
        <w:rPr>
          <w:lang w:val="en-GB"/>
        </w:rPr>
        <w:noBreakHyphen/>
      </w:r>
      <w:r w:rsidRPr="00380B40">
        <w:rPr>
          <w:spacing w:val="-1"/>
          <w:lang w:val="en-GB"/>
        </w:rPr>
        <w:t>T</w:t>
      </w:r>
      <w:r w:rsidRPr="00380B40">
        <w:rPr>
          <w:lang w:val="en-GB"/>
        </w:rPr>
        <w:t xml:space="preserve"> </w:t>
      </w:r>
      <w:r w:rsidRPr="00380B40">
        <w:rPr>
          <w:spacing w:val="-1"/>
          <w:lang w:val="en-GB"/>
        </w:rPr>
        <w:t>and</w:t>
      </w:r>
      <w:r w:rsidRPr="00380B40">
        <w:rPr>
          <w:lang w:val="en-GB"/>
        </w:rPr>
        <w:t xml:space="preserve"> the</w:t>
      </w:r>
      <w:r w:rsidRPr="00380B40">
        <w:rPr>
          <w:spacing w:val="-1"/>
          <w:lang w:val="en-GB"/>
        </w:rPr>
        <w:t xml:space="preserve"> views</w:t>
      </w:r>
      <w:r w:rsidRPr="00380B40">
        <w:rPr>
          <w:lang w:val="en-GB"/>
        </w:rPr>
        <w:t xml:space="preserve"> </w:t>
      </w:r>
      <w:r w:rsidRPr="00380B40">
        <w:rPr>
          <w:spacing w:val="-1"/>
          <w:lang w:val="en-GB"/>
        </w:rPr>
        <w:t>expressed</w:t>
      </w:r>
      <w:r w:rsidRPr="00380B40">
        <w:rPr>
          <w:lang w:val="en-GB"/>
        </w:rPr>
        <w:t xml:space="preserve"> </w:t>
      </w:r>
      <w:r w:rsidRPr="00380B40">
        <w:rPr>
          <w:spacing w:val="2"/>
          <w:lang w:val="en-GB"/>
        </w:rPr>
        <w:t>by</w:t>
      </w:r>
      <w:r w:rsidRPr="00380B40">
        <w:rPr>
          <w:spacing w:val="-5"/>
          <w:lang w:val="en-GB"/>
        </w:rPr>
        <w:t xml:space="preserve"> </w:t>
      </w:r>
      <w:r w:rsidRPr="00380B40">
        <w:rPr>
          <w:lang w:val="en-GB"/>
        </w:rPr>
        <w:t xml:space="preserve">participants in the </w:t>
      </w:r>
      <w:r w:rsidRPr="00380B40">
        <w:rPr>
          <w:spacing w:val="-1"/>
          <w:lang w:val="en-GB"/>
        </w:rPr>
        <w:t>meetings.</w:t>
      </w:r>
    </w:p>
    <w:p w14:paraId="3442ED92" w14:textId="77777777" w:rsidR="00C12517" w:rsidRPr="00380B40" w:rsidRDefault="00C12517" w:rsidP="00C12517">
      <w:pPr>
        <w:rPr>
          <w:lang w:val="en-GB"/>
        </w:rPr>
      </w:pPr>
      <w:r w:rsidRPr="00380B40">
        <w:rPr>
          <w:b/>
          <w:bCs/>
          <w:lang w:val="en-GB"/>
        </w:rPr>
        <w:t>1.3.2</w:t>
      </w:r>
      <w:r w:rsidRPr="00380B40">
        <w:rPr>
          <w:lang w:val="en-GB"/>
        </w:rPr>
        <w:tab/>
        <w:t>A</w:t>
      </w:r>
      <w:r w:rsidRPr="00380B40">
        <w:rPr>
          <w:spacing w:val="32"/>
          <w:lang w:val="en-GB"/>
        </w:rPr>
        <w:t xml:space="preserve"> </w:t>
      </w:r>
      <w:r w:rsidRPr="00380B40">
        <w:rPr>
          <w:spacing w:val="-1"/>
          <w:lang w:val="en-GB"/>
        </w:rPr>
        <w:t>collective</w:t>
      </w:r>
      <w:r w:rsidRPr="00380B40">
        <w:rPr>
          <w:spacing w:val="32"/>
          <w:lang w:val="en-GB"/>
        </w:rPr>
        <w:t xml:space="preserve"> </w:t>
      </w:r>
      <w:r w:rsidRPr="00380B40">
        <w:rPr>
          <w:lang w:val="en-GB"/>
        </w:rPr>
        <w:t>letter</w:t>
      </w:r>
      <w:r w:rsidRPr="00380B40">
        <w:rPr>
          <w:spacing w:val="32"/>
          <w:lang w:val="en-GB"/>
        </w:rPr>
        <w:t xml:space="preserve"> </w:t>
      </w:r>
      <w:r w:rsidRPr="00380B40">
        <w:rPr>
          <w:lang w:val="en-GB"/>
        </w:rPr>
        <w:t>with</w:t>
      </w:r>
      <w:r w:rsidRPr="00380B40">
        <w:rPr>
          <w:spacing w:val="33"/>
          <w:lang w:val="en-GB"/>
        </w:rPr>
        <w:t xml:space="preserve"> </w:t>
      </w:r>
      <w:r w:rsidRPr="00380B40">
        <w:rPr>
          <w:spacing w:val="-1"/>
          <w:lang w:val="en-GB"/>
        </w:rPr>
        <w:t>an</w:t>
      </w:r>
      <w:r w:rsidRPr="00380B40">
        <w:rPr>
          <w:spacing w:val="33"/>
          <w:lang w:val="en-GB"/>
        </w:rPr>
        <w:t xml:space="preserve"> </w:t>
      </w:r>
      <w:r w:rsidRPr="00380B40">
        <w:rPr>
          <w:spacing w:val="-1"/>
          <w:lang w:val="en-GB"/>
        </w:rPr>
        <w:t>agenda</w:t>
      </w:r>
      <w:r w:rsidRPr="00380B40">
        <w:rPr>
          <w:spacing w:val="32"/>
          <w:lang w:val="en-GB"/>
        </w:rPr>
        <w:t xml:space="preserve"> </w:t>
      </w:r>
      <w:r w:rsidRPr="00380B40">
        <w:rPr>
          <w:lang w:val="en-GB"/>
        </w:rPr>
        <w:t>of</w:t>
      </w:r>
      <w:r w:rsidRPr="00380B40">
        <w:rPr>
          <w:spacing w:val="32"/>
          <w:lang w:val="en-GB"/>
        </w:rPr>
        <w:t xml:space="preserve"> </w:t>
      </w:r>
      <w:r w:rsidRPr="00380B40">
        <w:rPr>
          <w:lang w:val="en-GB"/>
        </w:rPr>
        <w:t>the</w:t>
      </w:r>
      <w:r w:rsidRPr="00380B40">
        <w:rPr>
          <w:spacing w:val="32"/>
          <w:lang w:val="en-GB"/>
        </w:rPr>
        <w:t xml:space="preserve"> </w:t>
      </w:r>
      <w:r w:rsidRPr="00380B40">
        <w:rPr>
          <w:spacing w:val="-1"/>
          <w:lang w:val="en-GB"/>
        </w:rPr>
        <w:t>meeting,</w:t>
      </w:r>
      <w:r w:rsidRPr="00380B40">
        <w:rPr>
          <w:spacing w:val="33"/>
          <w:lang w:val="en-GB"/>
        </w:rPr>
        <w:t xml:space="preserve"> </w:t>
      </w:r>
      <w:r w:rsidRPr="00380B40">
        <w:rPr>
          <w:lang w:val="en-GB"/>
        </w:rPr>
        <w:t>a</w:t>
      </w:r>
      <w:r w:rsidRPr="00380B40">
        <w:rPr>
          <w:spacing w:val="32"/>
          <w:lang w:val="en-GB"/>
        </w:rPr>
        <w:t xml:space="preserve"> </w:t>
      </w:r>
      <w:r w:rsidRPr="00380B40">
        <w:rPr>
          <w:lang w:val="en-GB"/>
        </w:rPr>
        <w:t>draft</w:t>
      </w:r>
      <w:r w:rsidRPr="00380B40">
        <w:rPr>
          <w:spacing w:val="33"/>
          <w:lang w:val="en-GB"/>
        </w:rPr>
        <w:t xml:space="preserve"> </w:t>
      </w:r>
      <w:r w:rsidRPr="00380B40">
        <w:rPr>
          <w:spacing w:val="-1"/>
          <w:lang w:val="en-GB"/>
        </w:rPr>
        <w:t>work</w:t>
      </w:r>
      <w:r w:rsidRPr="00380B40">
        <w:rPr>
          <w:spacing w:val="33"/>
          <w:lang w:val="en-GB"/>
        </w:rPr>
        <w:t xml:space="preserve"> </w:t>
      </w:r>
      <w:r w:rsidRPr="00380B40">
        <w:rPr>
          <w:lang w:val="en-GB"/>
        </w:rPr>
        <w:t>plan</w:t>
      </w:r>
      <w:r w:rsidRPr="00380B40">
        <w:rPr>
          <w:spacing w:val="32"/>
          <w:lang w:val="en-GB"/>
        </w:rPr>
        <w:t xml:space="preserve"> </w:t>
      </w:r>
      <w:r w:rsidRPr="00380B40">
        <w:rPr>
          <w:spacing w:val="-1"/>
          <w:lang w:val="en-GB"/>
        </w:rPr>
        <w:t>and</w:t>
      </w:r>
      <w:r w:rsidRPr="00380B40">
        <w:rPr>
          <w:spacing w:val="33"/>
          <w:lang w:val="en-GB"/>
        </w:rPr>
        <w:t xml:space="preserve"> </w:t>
      </w:r>
      <w:r w:rsidRPr="00380B40">
        <w:rPr>
          <w:lang w:val="en-GB"/>
        </w:rPr>
        <w:t>a</w:t>
      </w:r>
      <w:r w:rsidRPr="00380B40">
        <w:rPr>
          <w:spacing w:val="32"/>
          <w:lang w:val="en-GB"/>
        </w:rPr>
        <w:t xml:space="preserve"> </w:t>
      </w:r>
      <w:r w:rsidRPr="00380B40">
        <w:rPr>
          <w:lang w:val="en-GB"/>
        </w:rPr>
        <w:t>listing</w:t>
      </w:r>
      <w:r w:rsidRPr="00380B40">
        <w:rPr>
          <w:spacing w:val="30"/>
          <w:lang w:val="en-GB"/>
        </w:rPr>
        <w:t xml:space="preserve"> </w:t>
      </w:r>
      <w:r w:rsidRPr="00380B40">
        <w:rPr>
          <w:lang w:val="en-GB"/>
        </w:rPr>
        <w:t>of</w:t>
      </w:r>
      <w:r w:rsidRPr="00380B40">
        <w:rPr>
          <w:spacing w:val="32"/>
          <w:lang w:val="en-GB"/>
        </w:rPr>
        <w:t xml:space="preserve"> </w:t>
      </w:r>
      <w:r w:rsidRPr="00380B40">
        <w:rPr>
          <w:spacing w:val="-1"/>
          <w:lang w:val="en-GB"/>
        </w:rPr>
        <w:t>the</w:t>
      </w:r>
      <w:r w:rsidRPr="00380B40">
        <w:rPr>
          <w:spacing w:val="45"/>
          <w:lang w:val="en-GB"/>
        </w:rPr>
        <w:t xml:space="preserve"> </w:t>
      </w:r>
      <w:r w:rsidRPr="00380B40">
        <w:rPr>
          <w:spacing w:val="-1"/>
          <w:lang w:val="en-GB"/>
        </w:rPr>
        <w:t>Questions</w:t>
      </w:r>
      <w:r w:rsidRPr="00380B40">
        <w:rPr>
          <w:lang w:val="en-GB"/>
        </w:rPr>
        <w:t xml:space="preserve"> or </w:t>
      </w:r>
      <w:r w:rsidRPr="00380B40">
        <w:rPr>
          <w:spacing w:val="-1"/>
          <w:lang w:val="en-GB"/>
        </w:rPr>
        <w:t>proposals</w:t>
      </w:r>
      <w:r w:rsidRPr="00380B40">
        <w:rPr>
          <w:lang w:val="en-GB"/>
        </w:rPr>
        <w:t xml:space="preserve"> under the </w:t>
      </w:r>
      <w:r w:rsidRPr="00380B40">
        <w:rPr>
          <w:spacing w:val="-1"/>
          <w:lang w:val="en-GB"/>
        </w:rPr>
        <w:t>general</w:t>
      </w:r>
      <w:r w:rsidRPr="00380B40">
        <w:rPr>
          <w:spacing w:val="1"/>
          <w:lang w:val="en-GB"/>
        </w:rPr>
        <w:t xml:space="preserve"> </w:t>
      </w:r>
      <w:r w:rsidRPr="00380B40">
        <w:rPr>
          <w:spacing w:val="-1"/>
          <w:lang w:val="en-GB"/>
        </w:rPr>
        <w:t>areas</w:t>
      </w:r>
      <w:r w:rsidRPr="00380B40">
        <w:rPr>
          <w:lang w:val="en-GB"/>
        </w:rPr>
        <w:t xml:space="preserve"> </w:t>
      </w:r>
      <w:r w:rsidRPr="00380B40">
        <w:rPr>
          <w:spacing w:val="1"/>
          <w:lang w:val="en-GB"/>
        </w:rPr>
        <w:t xml:space="preserve">of </w:t>
      </w:r>
      <w:r w:rsidRPr="00380B40">
        <w:rPr>
          <w:lang w:val="en-GB"/>
        </w:rPr>
        <w:t>responsibility</w:t>
      </w:r>
      <w:r w:rsidRPr="00380B40">
        <w:rPr>
          <w:spacing w:val="-5"/>
          <w:lang w:val="en-GB"/>
        </w:rPr>
        <w:t xml:space="preserve"> </w:t>
      </w:r>
      <w:r w:rsidRPr="00380B40">
        <w:rPr>
          <w:lang w:val="en-GB"/>
        </w:rPr>
        <w:t>to be</w:t>
      </w:r>
      <w:r w:rsidRPr="00380B40">
        <w:rPr>
          <w:spacing w:val="1"/>
          <w:lang w:val="en-GB"/>
        </w:rPr>
        <w:t xml:space="preserve"> </w:t>
      </w:r>
      <w:r w:rsidRPr="00380B40">
        <w:rPr>
          <w:spacing w:val="-1"/>
          <w:lang w:val="en-GB"/>
        </w:rPr>
        <w:t>examined</w:t>
      </w:r>
      <w:r w:rsidRPr="00380B40">
        <w:rPr>
          <w:lang w:val="en-GB"/>
        </w:rPr>
        <w:t xml:space="preserve"> </w:t>
      </w:r>
      <w:r w:rsidRPr="00380B40">
        <w:rPr>
          <w:spacing w:val="-1"/>
          <w:lang w:val="en-GB"/>
        </w:rPr>
        <w:t>shall</w:t>
      </w:r>
      <w:r w:rsidRPr="00380B40">
        <w:rPr>
          <w:lang w:val="en-GB"/>
        </w:rPr>
        <w:t xml:space="preserve"> be</w:t>
      </w:r>
      <w:r w:rsidRPr="00380B40">
        <w:rPr>
          <w:spacing w:val="-1"/>
          <w:lang w:val="en-GB"/>
        </w:rPr>
        <w:t xml:space="preserve"> prepared</w:t>
      </w:r>
      <w:r w:rsidRPr="00380B40">
        <w:rPr>
          <w:lang w:val="en-GB"/>
        </w:rPr>
        <w:t xml:space="preserve"> </w:t>
      </w:r>
      <w:r w:rsidRPr="00380B40">
        <w:rPr>
          <w:spacing w:val="2"/>
          <w:lang w:val="en-GB"/>
        </w:rPr>
        <w:t>by</w:t>
      </w:r>
      <w:r w:rsidRPr="00380B40">
        <w:rPr>
          <w:spacing w:val="83"/>
          <w:lang w:val="en-GB"/>
        </w:rPr>
        <w:t xml:space="preserve"> </w:t>
      </w:r>
      <w:r w:rsidRPr="00380B40">
        <w:rPr>
          <w:lang w:val="en-GB"/>
        </w:rPr>
        <w:t>TSB</w:t>
      </w:r>
      <w:r w:rsidRPr="00380B40">
        <w:rPr>
          <w:spacing w:val="-2"/>
          <w:lang w:val="en-GB"/>
        </w:rPr>
        <w:t xml:space="preserve"> </w:t>
      </w:r>
      <w:r w:rsidRPr="00380B40">
        <w:rPr>
          <w:lang w:val="en-GB"/>
        </w:rPr>
        <w:t>with the</w:t>
      </w:r>
      <w:r w:rsidRPr="00380B40">
        <w:rPr>
          <w:spacing w:val="-1"/>
          <w:lang w:val="en-GB"/>
        </w:rPr>
        <w:t xml:space="preserve"> help</w:t>
      </w:r>
      <w:r w:rsidRPr="00380B40">
        <w:rPr>
          <w:lang w:val="en-GB"/>
        </w:rPr>
        <w:t xml:space="preserve"> of the</w:t>
      </w:r>
      <w:r w:rsidRPr="00380B40">
        <w:rPr>
          <w:spacing w:val="1"/>
          <w:lang w:val="en-GB"/>
        </w:rPr>
        <w:t xml:space="preserve"> </w:t>
      </w:r>
      <w:r w:rsidRPr="00380B40">
        <w:rPr>
          <w:spacing w:val="-1"/>
          <w:lang w:val="en-GB"/>
        </w:rPr>
        <w:t>chairman.</w:t>
      </w:r>
    </w:p>
    <w:p w14:paraId="06A0CEA3" w14:textId="77777777" w:rsidR="00C12517" w:rsidRPr="00380B40" w:rsidRDefault="00C12517" w:rsidP="00C12517">
      <w:pPr>
        <w:rPr>
          <w:lang w:val="en-GB"/>
        </w:rPr>
      </w:pPr>
      <w:r w:rsidRPr="00380B40">
        <w:rPr>
          <w:lang w:val="en-GB"/>
        </w:rPr>
        <w:t>The</w:t>
      </w:r>
      <w:r w:rsidRPr="00380B40">
        <w:rPr>
          <w:spacing w:val="17"/>
          <w:lang w:val="en-GB"/>
        </w:rPr>
        <w:t xml:space="preserve"> </w:t>
      </w:r>
      <w:r w:rsidRPr="00380B40">
        <w:rPr>
          <w:spacing w:val="-1"/>
          <w:lang w:val="en-GB"/>
        </w:rPr>
        <w:t>work</w:t>
      </w:r>
      <w:r w:rsidRPr="00380B40">
        <w:rPr>
          <w:spacing w:val="18"/>
          <w:lang w:val="en-GB"/>
        </w:rPr>
        <w:t xml:space="preserve"> </w:t>
      </w:r>
      <w:r w:rsidRPr="00380B40">
        <w:rPr>
          <w:lang w:val="en-GB"/>
        </w:rPr>
        <w:t>plan</w:t>
      </w:r>
      <w:r w:rsidRPr="00380B40">
        <w:rPr>
          <w:spacing w:val="18"/>
          <w:lang w:val="en-GB"/>
        </w:rPr>
        <w:t xml:space="preserve"> </w:t>
      </w:r>
      <w:r w:rsidRPr="00380B40">
        <w:rPr>
          <w:spacing w:val="-1"/>
          <w:lang w:val="en-GB"/>
        </w:rPr>
        <w:t>should</w:t>
      </w:r>
      <w:r w:rsidRPr="00380B40">
        <w:rPr>
          <w:spacing w:val="18"/>
          <w:lang w:val="en-GB"/>
        </w:rPr>
        <w:t xml:space="preserve"> </w:t>
      </w:r>
      <w:r w:rsidRPr="00380B40">
        <w:rPr>
          <w:lang w:val="en-GB"/>
        </w:rPr>
        <w:t>state</w:t>
      </w:r>
      <w:r w:rsidRPr="00380B40">
        <w:rPr>
          <w:spacing w:val="18"/>
          <w:lang w:val="en-GB"/>
        </w:rPr>
        <w:t xml:space="preserve"> </w:t>
      </w:r>
      <w:r w:rsidRPr="00380B40">
        <w:rPr>
          <w:spacing w:val="-1"/>
          <w:lang w:val="en-GB"/>
        </w:rPr>
        <w:t>which</w:t>
      </w:r>
      <w:r w:rsidRPr="00380B40">
        <w:rPr>
          <w:spacing w:val="18"/>
          <w:lang w:val="en-GB"/>
        </w:rPr>
        <w:t xml:space="preserve"> </w:t>
      </w:r>
      <w:r w:rsidRPr="00380B40">
        <w:rPr>
          <w:spacing w:val="-1"/>
          <w:lang w:val="en-GB"/>
        </w:rPr>
        <w:t>items</w:t>
      </w:r>
      <w:r w:rsidRPr="00380B40">
        <w:rPr>
          <w:spacing w:val="22"/>
          <w:lang w:val="en-GB"/>
        </w:rPr>
        <w:t xml:space="preserve"> </w:t>
      </w:r>
      <w:r w:rsidRPr="00380B40">
        <w:rPr>
          <w:spacing w:val="-1"/>
          <w:lang w:val="en-GB"/>
        </w:rPr>
        <w:t>are</w:t>
      </w:r>
      <w:r w:rsidRPr="00380B40">
        <w:rPr>
          <w:spacing w:val="19"/>
          <w:lang w:val="en-GB"/>
        </w:rPr>
        <w:t xml:space="preserve"> </w:t>
      </w:r>
      <w:r w:rsidRPr="00380B40">
        <w:rPr>
          <w:lang w:val="en-GB"/>
        </w:rPr>
        <w:t>to</w:t>
      </w:r>
      <w:r w:rsidRPr="00380B40">
        <w:rPr>
          <w:spacing w:val="19"/>
          <w:lang w:val="en-GB"/>
        </w:rPr>
        <w:t xml:space="preserve"> </w:t>
      </w:r>
      <w:r w:rsidRPr="00380B40">
        <w:rPr>
          <w:spacing w:val="1"/>
          <w:lang w:val="en-GB"/>
        </w:rPr>
        <w:t>be</w:t>
      </w:r>
      <w:r w:rsidRPr="00380B40">
        <w:rPr>
          <w:spacing w:val="18"/>
          <w:lang w:val="en-GB"/>
        </w:rPr>
        <w:t xml:space="preserve"> </w:t>
      </w:r>
      <w:r w:rsidRPr="00380B40">
        <w:rPr>
          <w:spacing w:val="-1"/>
          <w:lang w:val="en-GB"/>
        </w:rPr>
        <w:t>studied</w:t>
      </w:r>
      <w:r w:rsidRPr="00380B40">
        <w:rPr>
          <w:spacing w:val="18"/>
          <w:lang w:val="en-GB"/>
        </w:rPr>
        <w:t xml:space="preserve"> </w:t>
      </w:r>
      <w:r w:rsidRPr="00380B40">
        <w:rPr>
          <w:lang w:val="en-GB"/>
        </w:rPr>
        <w:t>on</w:t>
      </w:r>
      <w:r w:rsidRPr="00380B40">
        <w:rPr>
          <w:spacing w:val="18"/>
          <w:lang w:val="en-GB"/>
        </w:rPr>
        <w:t xml:space="preserve"> </w:t>
      </w:r>
      <w:r w:rsidRPr="00380B40">
        <w:rPr>
          <w:spacing w:val="-1"/>
          <w:lang w:val="en-GB"/>
        </w:rPr>
        <w:t>each</w:t>
      </w:r>
      <w:r w:rsidRPr="00380B40">
        <w:rPr>
          <w:spacing w:val="18"/>
          <w:lang w:val="en-GB"/>
        </w:rPr>
        <w:t xml:space="preserve"> </w:t>
      </w:r>
      <w:r w:rsidRPr="00380B40">
        <w:rPr>
          <w:lang w:val="en-GB"/>
        </w:rPr>
        <w:t>day,</w:t>
      </w:r>
      <w:r w:rsidRPr="00380B40">
        <w:rPr>
          <w:spacing w:val="18"/>
          <w:lang w:val="en-GB"/>
        </w:rPr>
        <w:t xml:space="preserve"> </w:t>
      </w:r>
      <w:r w:rsidRPr="00380B40">
        <w:rPr>
          <w:lang w:val="en-GB"/>
        </w:rPr>
        <w:t>but</w:t>
      </w:r>
      <w:r w:rsidRPr="00380B40">
        <w:rPr>
          <w:spacing w:val="19"/>
          <w:lang w:val="en-GB"/>
        </w:rPr>
        <w:t xml:space="preserve"> </w:t>
      </w:r>
      <w:r w:rsidRPr="00380B40">
        <w:rPr>
          <w:lang w:val="en-GB"/>
        </w:rPr>
        <w:t>it</w:t>
      </w:r>
      <w:r w:rsidRPr="00380B40">
        <w:rPr>
          <w:spacing w:val="19"/>
          <w:lang w:val="en-GB"/>
        </w:rPr>
        <w:t xml:space="preserve"> </w:t>
      </w:r>
      <w:r w:rsidRPr="00380B40">
        <w:rPr>
          <w:lang w:val="en-GB"/>
        </w:rPr>
        <w:t>must</w:t>
      </w:r>
      <w:r w:rsidRPr="00380B40">
        <w:rPr>
          <w:spacing w:val="19"/>
          <w:lang w:val="en-GB"/>
        </w:rPr>
        <w:t xml:space="preserve"> </w:t>
      </w:r>
      <w:r w:rsidRPr="00380B40">
        <w:rPr>
          <w:lang w:val="en-GB"/>
        </w:rPr>
        <w:t>be</w:t>
      </w:r>
      <w:r w:rsidRPr="00380B40">
        <w:rPr>
          <w:spacing w:val="18"/>
          <w:lang w:val="en-GB"/>
        </w:rPr>
        <w:t xml:space="preserve"> </w:t>
      </w:r>
      <w:r w:rsidRPr="00380B40">
        <w:rPr>
          <w:spacing w:val="-1"/>
          <w:lang w:val="en-GB"/>
        </w:rPr>
        <w:t>regarded</w:t>
      </w:r>
      <w:r w:rsidRPr="00380B40">
        <w:rPr>
          <w:spacing w:val="21"/>
          <w:lang w:val="en-GB"/>
        </w:rPr>
        <w:t xml:space="preserve"> </w:t>
      </w:r>
      <w:r w:rsidRPr="00380B40">
        <w:rPr>
          <w:spacing w:val="-1"/>
          <w:lang w:val="en-GB"/>
        </w:rPr>
        <w:t>as</w:t>
      </w:r>
      <w:r w:rsidRPr="00380B40">
        <w:rPr>
          <w:spacing w:val="60"/>
          <w:lang w:val="en-GB"/>
        </w:rPr>
        <w:t xml:space="preserve"> </w:t>
      </w:r>
      <w:r w:rsidRPr="00380B40">
        <w:rPr>
          <w:spacing w:val="-1"/>
          <w:lang w:val="en-GB"/>
        </w:rPr>
        <w:t>subject</w:t>
      </w:r>
      <w:r w:rsidRPr="00380B40">
        <w:rPr>
          <w:lang w:val="en-GB"/>
        </w:rPr>
        <w:t xml:space="preserve"> to change</w:t>
      </w:r>
      <w:r w:rsidRPr="00380B40">
        <w:rPr>
          <w:spacing w:val="-1"/>
          <w:lang w:val="en-GB"/>
        </w:rPr>
        <w:t xml:space="preserve"> </w:t>
      </w:r>
      <w:r w:rsidRPr="00380B40">
        <w:rPr>
          <w:lang w:val="en-GB"/>
        </w:rPr>
        <w:t>in the</w:t>
      </w:r>
      <w:r w:rsidRPr="00380B40">
        <w:rPr>
          <w:spacing w:val="-1"/>
          <w:lang w:val="en-GB"/>
        </w:rPr>
        <w:t xml:space="preserve"> </w:t>
      </w:r>
      <w:r w:rsidRPr="00380B40">
        <w:rPr>
          <w:lang w:val="en-GB"/>
        </w:rPr>
        <w:t>light of</w:t>
      </w:r>
      <w:r w:rsidRPr="00380B40">
        <w:rPr>
          <w:spacing w:val="1"/>
          <w:lang w:val="en-GB"/>
        </w:rPr>
        <w:t xml:space="preserve"> </w:t>
      </w:r>
      <w:r w:rsidRPr="00380B40">
        <w:rPr>
          <w:lang w:val="en-GB"/>
        </w:rPr>
        <w:t xml:space="preserve">the </w:t>
      </w:r>
      <w:r w:rsidRPr="00380B40">
        <w:rPr>
          <w:spacing w:val="-1"/>
          <w:lang w:val="en-GB"/>
        </w:rPr>
        <w:t>rate</w:t>
      </w:r>
      <w:r w:rsidRPr="00380B40">
        <w:rPr>
          <w:spacing w:val="1"/>
          <w:lang w:val="en-GB"/>
        </w:rPr>
        <w:t xml:space="preserve"> </w:t>
      </w:r>
      <w:r w:rsidRPr="00380B40">
        <w:rPr>
          <w:spacing w:val="-1"/>
          <w:lang w:val="en-GB"/>
        </w:rPr>
        <w:t>at</w:t>
      </w:r>
      <w:r w:rsidRPr="00380B40">
        <w:rPr>
          <w:lang w:val="en-GB"/>
        </w:rPr>
        <w:t xml:space="preserve"> which</w:t>
      </w:r>
      <w:r w:rsidRPr="00380B40">
        <w:rPr>
          <w:spacing w:val="1"/>
          <w:lang w:val="en-GB"/>
        </w:rPr>
        <w:t xml:space="preserve"> </w:t>
      </w:r>
      <w:r w:rsidRPr="00380B40">
        <w:rPr>
          <w:spacing w:val="-1"/>
          <w:lang w:val="en-GB"/>
        </w:rPr>
        <w:t>work</w:t>
      </w:r>
      <w:r w:rsidRPr="00380B40">
        <w:rPr>
          <w:lang w:val="en-GB"/>
        </w:rPr>
        <w:t xml:space="preserve"> proceeds.</w:t>
      </w:r>
      <w:r w:rsidRPr="00380B40">
        <w:rPr>
          <w:spacing w:val="2"/>
          <w:lang w:val="en-GB"/>
        </w:rPr>
        <w:t xml:space="preserve"> </w:t>
      </w:r>
      <w:r w:rsidRPr="00380B40">
        <w:rPr>
          <w:lang w:val="en-GB"/>
        </w:rPr>
        <w:t>Chairmen should try</w:t>
      </w:r>
      <w:r w:rsidRPr="00380B40">
        <w:rPr>
          <w:spacing w:val="-3"/>
          <w:lang w:val="en-GB"/>
        </w:rPr>
        <w:t xml:space="preserve"> </w:t>
      </w:r>
      <w:r w:rsidRPr="00380B40">
        <w:rPr>
          <w:lang w:val="en-GB"/>
        </w:rPr>
        <w:t>to follow it</w:t>
      </w:r>
      <w:r w:rsidRPr="00380B40">
        <w:rPr>
          <w:spacing w:val="2"/>
          <w:lang w:val="en-GB"/>
        </w:rPr>
        <w:t xml:space="preserve"> </w:t>
      </w:r>
      <w:r w:rsidRPr="00380B40">
        <w:rPr>
          <w:lang w:val="en-GB"/>
        </w:rPr>
        <w:t>as</w:t>
      </w:r>
      <w:r w:rsidRPr="00380B40">
        <w:rPr>
          <w:spacing w:val="32"/>
          <w:lang w:val="en-GB"/>
        </w:rPr>
        <w:t xml:space="preserve"> </w:t>
      </w:r>
      <w:r w:rsidRPr="00380B40">
        <w:rPr>
          <w:spacing w:val="-1"/>
          <w:lang w:val="en-GB"/>
        </w:rPr>
        <w:t>far</w:t>
      </w:r>
      <w:r w:rsidRPr="00380B40">
        <w:rPr>
          <w:lang w:val="en-GB"/>
        </w:rPr>
        <w:t xml:space="preserve"> </w:t>
      </w:r>
      <w:r w:rsidRPr="00380B40">
        <w:rPr>
          <w:spacing w:val="-1"/>
          <w:lang w:val="en-GB"/>
        </w:rPr>
        <w:t>as</w:t>
      </w:r>
      <w:r w:rsidRPr="00380B40">
        <w:rPr>
          <w:lang w:val="en-GB"/>
        </w:rPr>
        <w:t xml:space="preserve"> </w:t>
      </w:r>
      <w:r w:rsidRPr="00380B40">
        <w:rPr>
          <w:spacing w:val="-1"/>
          <w:lang w:val="en-GB"/>
        </w:rPr>
        <w:t>possible.</w:t>
      </w:r>
    </w:p>
    <w:p w14:paraId="6223F976" w14:textId="77777777" w:rsidR="00C12517" w:rsidRPr="00380B40" w:rsidRDefault="00C12517" w:rsidP="00C12517">
      <w:pPr>
        <w:rPr>
          <w:lang w:val="en-GB"/>
        </w:rPr>
      </w:pPr>
      <w:r w:rsidRPr="00380B40">
        <w:rPr>
          <w:lang w:val="en-GB"/>
        </w:rPr>
        <w:t>This</w:t>
      </w:r>
      <w:r w:rsidRPr="00380B40">
        <w:rPr>
          <w:spacing w:val="7"/>
          <w:lang w:val="en-GB"/>
        </w:rPr>
        <w:t xml:space="preserve"> </w:t>
      </w:r>
      <w:r w:rsidRPr="00380B40">
        <w:rPr>
          <w:lang w:val="en-GB"/>
        </w:rPr>
        <w:t>collective</w:t>
      </w:r>
      <w:r w:rsidRPr="00380B40">
        <w:rPr>
          <w:spacing w:val="6"/>
          <w:lang w:val="en-GB"/>
        </w:rPr>
        <w:t xml:space="preserve"> </w:t>
      </w:r>
      <w:r w:rsidRPr="00380B40">
        <w:rPr>
          <w:lang w:val="en-GB"/>
        </w:rPr>
        <w:t>letter</w:t>
      </w:r>
      <w:r w:rsidRPr="00380B40">
        <w:rPr>
          <w:spacing w:val="5"/>
          <w:lang w:val="en-GB"/>
        </w:rPr>
        <w:t xml:space="preserve"> </w:t>
      </w:r>
      <w:r w:rsidRPr="00380B40">
        <w:rPr>
          <w:lang w:val="en-GB"/>
        </w:rPr>
        <w:t>should</w:t>
      </w:r>
      <w:r w:rsidRPr="00380B40">
        <w:rPr>
          <w:spacing w:val="6"/>
          <w:lang w:val="en-GB"/>
        </w:rPr>
        <w:t xml:space="preserve"> </w:t>
      </w:r>
      <w:r w:rsidRPr="00380B40">
        <w:rPr>
          <w:lang w:val="en-GB"/>
        </w:rPr>
        <w:t>be</w:t>
      </w:r>
      <w:r w:rsidRPr="00380B40">
        <w:rPr>
          <w:spacing w:val="6"/>
          <w:lang w:val="en-GB"/>
        </w:rPr>
        <w:t xml:space="preserve"> </w:t>
      </w:r>
      <w:r w:rsidRPr="00380B40">
        <w:rPr>
          <w:lang w:val="en-GB"/>
        </w:rPr>
        <w:t>received</w:t>
      </w:r>
      <w:r w:rsidRPr="00380B40">
        <w:rPr>
          <w:spacing w:val="6"/>
          <w:lang w:val="en-GB"/>
        </w:rPr>
        <w:t xml:space="preserve"> </w:t>
      </w:r>
      <w:r w:rsidRPr="00380B40">
        <w:rPr>
          <w:spacing w:val="1"/>
          <w:lang w:val="en-GB"/>
        </w:rPr>
        <w:t>by</w:t>
      </w:r>
      <w:r w:rsidRPr="00380B40">
        <w:rPr>
          <w:spacing w:val="2"/>
          <w:lang w:val="en-GB"/>
        </w:rPr>
        <w:t xml:space="preserve"> </w:t>
      </w:r>
      <w:r w:rsidRPr="00380B40">
        <w:rPr>
          <w:lang w:val="en-GB"/>
        </w:rPr>
        <w:t>bodies</w:t>
      </w:r>
      <w:r w:rsidRPr="00380B40">
        <w:rPr>
          <w:spacing w:val="7"/>
          <w:lang w:val="en-GB"/>
        </w:rPr>
        <w:t xml:space="preserve"> </w:t>
      </w:r>
      <w:r w:rsidRPr="00380B40">
        <w:rPr>
          <w:lang w:val="en-GB"/>
        </w:rPr>
        <w:t>participating</w:t>
      </w:r>
      <w:r w:rsidRPr="00380B40">
        <w:rPr>
          <w:spacing w:val="5"/>
          <w:lang w:val="en-GB"/>
        </w:rPr>
        <w:t xml:space="preserve"> </w:t>
      </w:r>
      <w:r w:rsidRPr="00380B40">
        <w:rPr>
          <w:lang w:val="en-GB"/>
        </w:rPr>
        <w:t>in</w:t>
      </w:r>
      <w:r w:rsidRPr="00380B40">
        <w:rPr>
          <w:spacing w:val="7"/>
          <w:lang w:val="en-GB"/>
        </w:rPr>
        <w:t xml:space="preserve"> </w:t>
      </w:r>
      <w:r w:rsidRPr="00380B40">
        <w:rPr>
          <w:lang w:val="en-GB"/>
        </w:rPr>
        <w:t>the</w:t>
      </w:r>
      <w:r w:rsidRPr="00380B40">
        <w:rPr>
          <w:spacing w:val="6"/>
          <w:lang w:val="en-GB"/>
        </w:rPr>
        <w:t xml:space="preserve"> </w:t>
      </w:r>
      <w:r w:rsidRPr="00380B40">
        <w:rPr>
          <w:lang w:val="en-GB"/>
        </w:rPr>
        <w:t>activities</w:t>
      </w:r>
      <w:r w:rsidRPr="00380B40">
        <w:rPr>
          <w:spacing w:val="6"/>
          <w:lang w:val="en-GB"/>
        </w:rPr>
        <w:t xml:space="preserve"> </w:t>
      </w:r>
      <w:r w:rsidRPr="00380B40">
        <w:rPr>
          <w:lang w:val="en-GB"/>
        </w:rPr>
        <w:t>of</w:t>
      </w:r>
      <w:r w:rsidRPr="00380B40">
        <w:rPr>
          <w:spacing w:val="6"/>
          <w:lang w:val="en-GB"/>
        </w:rPr>
        <w:t xml:space="preserve"> </w:t>
      </w:r>
      <w:r w:rsidRPr="00380B40">
        <w:rPr>
          <w:lang w:val="en-GB"/>
        </w:rPr>
        <w:t>particular</w:t>
      </w:r>
      <w:r w:rsidRPr="00380B40">
        <w:rPr>
          <w:spacing w:val="8"/>
          <w:lang w:val="en-GB"/>
        </w:rPr>
        <w:t xml:space="preserve"> </w:t>
      </w:r>
      <w:r w:rsidRPr="00380B40">
        <w:rPr>
          <w:spacing w:val="1"/>
          <w:lang w:val="en-GB"/>
        </w:rPr>
        <w:t>ITU</w:t>
      </w:r>
      <w:r w:rsidRPr="00380B40">
        <w:rPr>
          <w:lang w:val="en-GB"/>
        </w:rPr>
        <w:noBreakHyphen/>
      </w:r>
      <w:r w:rsidRPr="00380B40">
        <w:rPr>
          <w:spacing w:val="1"/>
          <w:lang w:val="en-GB"/>
        </w:rPr>
        <w:t>T</w:t>
      </w:r>
      <w:r w:rsidRPr="00380B40">
        <w:rPr>
          <w:spacing w:val="67"/>
          <w:lang w:val="en-GB"/>
        </w:rPr>
        <w:t xml:space="preserve"> </w:t>
      </w:r>
      <w:r w:rsidRPr="00380B40">
        <w:rPr>
          <w:lang w:val="en-GB"/>
        </w:rPr>
        <w:t>study</w:t>
      </w:r>
      <w:r w:rsidRPr="00380B40">
        <w:rPr>
          <w:spacing w:val="6"/>
          <w:lang w:val="en-GB"/>
        </w:rPr>
        <w:t xml:space="preserve"> </w:t>
      </w:r>
      <w:r w:rsidRPr="00380B40">
        <w:rPr>
          <w:lang w:val="en-GB"/>
        </w:rPr>
        <w:t>groups,</w:t>
      </w:r>
      <w:r w:rsidRPr="00380B40">
        <w:rPr>
          <w:spacing w:val="9"/>
          <w:lang w:val="en-GB"/>
        </w:rPr>
        <w:t xml:space="preserve"> </w:t>
      </w:r>
      <w:r w:rsidRPr="00380B40">
        <w:rPr>
          <w:lang w:val="en-GB"/>
        </w:rPr>
        <w:t>as</w:t>
      </w:r>
      <w:r w:rsidRPr="00380B40">
        <w:rPr>
          <w:spacing w:val="11"/>
          <w:lang w:val="en-GB"/>
        </w:rPr>
        <w:t xml:space="preserve"> </w:t>
      </w:r>
      <w:r w:rsidRPr="00380B40">
        <w:rPr>
          <w:lang w:val="en-GB"/>
        </w:rPr>
        <w:t>far</w:t>
      </w:r>
      <w:r w:rsidRPr="00380B40">
        <w:rPr>
          <w:spacing w:val="11"/>
          <w:lang w:val="en-GB"/>
        </w:rPr>
        <w:t xml:space="preserve"> </w:t>
      </w:r>
      <w:r w:rsidRPr="00380B40">
        <w:rPr>
          <w:lang w:val="en-GB"/>
        </w:rPr>
        <w:t>as</w:t>
      </w:r>
      <w:r w:rsidRPr="00380B40">
        <w:rPr>
          <w:spacing w:val="9"/>
          <w:lang w:val="en-GB"/>
        </w:rPr>
        <w:t xml:space="preserve"> </w:t>
      </w:r>
      <w:r w:rsidRPr="00380B40">
        <w:rPr>
          <w:lang w:val="en-GB"/>
        </w:rPr>
        <w:t>practicable,</w:t>
      </w:r>
      <w:r w:rsidRPr="00380B40">
        <w:rPr>
          <w:spacing w:val="11"/>
          <w:lang w:val="en-GB"/>
        </w:rPr>
        <w:t xml:space="preserve"> </w:t>
      </w:r>
      <w:r w:rsidRPr="00380B40">
        <w:rPr>
          <w:lang w:val="en-GB"/>
        </w:rPr>
        <w:t>two</w:t>
      </w:r>
      <w:r w:rsidRPr="00380B40">
        <w:rPr>
          <w:spacing w:val="9"/>
          <w:lang w:val="en-GB"/>
        </w:rPr>
        <w:t xml:space="preserve"> </w:t>
      </w:r>
      <w:r w:rsidRPr="00380B40">
        <w:rPr>
          <w:lang w:val="en-GB"/>
        </w:rPr>
        <w:t>months</w:t>
      </w:r>
      <w:r w:rsidRPr="00380B40">
        <w:rPr>
          <w:spacing w:val="9"/>
          <w:lang w:val="en-GB"/>
        </w:rPr>
        <w:t xml:space="preserve"> </w:t>
      </w:r>
      <w:r w:rsidRPr="00380B40">
        <w:rPr>
          <w:lang w:val="en-GB"/>
        </w:rPr>
        <w:t>before</w:t>
      </w:r>
      <w:r w:rsidRPr="00380B40">
        <w:rPr>
          <w:spacing w:val="8"/>
          <w:lang w:val="en-GB"/>
        </w:rPr>
        <w:t xml:space="preserve"> </w:t>
      </w:r>
      <w:r w:rsidRPr="00380B40">
        <w:rPr>
          <w:lang w:val="en-GB"/>
        </w:rPr>
        <w:t>the</w:t>
      </w:r>
      <w:r w:rsidRPr="00380B40">
        <w:rPr>
          <w:spacing w:val="8"/>
          <w:lang w:val="en-GB"/>
        </w:rPr>
        <w:t xml:space="preserve"> </w:t>
      </w:r>
      <w:r w:rsidRPr="00380B40">
        <w:rPr>
          <w:lang w:val="en-GB"/>
        </w:rPr>
        <w:t>beginning</w:t>
      </w:r>
      <w:r w:rsidRPr="00380B40">
        <w:rPr>
          <w:spacing w:val="9"/>
          <w:lang w:val="en-GB"/>
        </w:rPr>
        <w:t xml:space="preserve"> </w:t>
      </w:r>
      <w:r w:rsidRPr="00380B40">
        <w:rPr>
          <w:lang w:val="en-GB"/>
        </w:rPr>
        <w:t>of</w:t>
      </w:r>
      <w:r w:rsidRPr="00380B40">
        <w:rPr>
          <w:spacing w:val="8"/>
          <w:lang w:val="en-GB"/>
        </w:rPr>
        <w:t xml:space="preserve"> </w:t>
      </w:r>
      <w:r w:rsidRPr="00380B40">
        <w:rPr>
          <w:lang w:val="en-GB"/>
        </w:rPr>
        <w:t>the</w:t>
      </w:r>
      <w:r w:rsidRPr="00380B40">
        <w:rPr>
          <w:spacing w:val="10"/>
          <w:lang w:val="en-GB"/>
        </w:rPr>
        <w:t xml:space="preserve"> </w:t>
      </w:r>
      <w:r w:rsidRPr="00380B40">
        <w:rPr>
          <w:lang w:val="en-GB"/>
        </w:rPr>
        <w:t>meeting.</w:t>
      </w:r>
      <w:r w:rsidRPr="00380B40">
        <w:rPr>
          <w:spacing w:val="9"/>
          <w:lang w:val="en-GB"/>
        </w:rPr>
        <w:t xml:space="preserve"> </w:t>
      </w:r>
      <w:r w:rsidRPr="00380B40">
        <w:rPr>
          <w:lang w:val="en-GB"/>
        </w:rPr>
        <w:t>The</w:t>
      </w:r>
      <w:r w:rsidRPr="00380B40">
        <w:rPr>
          <w:spacing w:val="10"/>
          <w:lang w:val="en-GB"/>
        </w:rPr>
        <w:t xml:space="preserve"> </w:t>
      </w:r>
      <w:r w:rsidRPr="00380B40">
        <w:rPr>
          <w:lang w:val="en-GB"/>
        </w:rPr>
        <w:t>collective</w:t>
      </w:r>
      <w:r w:rsidRPr="00380B40">
        <w:rPr>
          <w:spacing w:val="75"/>
          <w:lang w:val="en-GB"/>
        </w:rPr>
        <w:t xml:space="preserve"> </w:t>
      </w:r>
      <w:r w:rsidRPr="00380B40">
        <w:rPr>
          <w:lang w:val="en-GB"/>
        </w:rPr>
        <w:t>letter</w:t>
      </w:r>
      <w:r w:rsidRPr="00380B40">
        <w:rPr>
          <w:spacing w:val="5"/>
          <w:lang w:val="en-GB"/>
        </w:rPr>
        <w:t xml:space="preserve"> </w:t>
      </w:r>
      <w:r w:rsidRPr="00380B40">
        <w:rPr>
          <w:lang w:val="en-GB"/>
        </w:rPr>
        <w:t>shall</w:t>
      </w:r>
      <w:r w:rsidRPr="00380B40">
        <w:rPr>
          <w:spacing w:val="7"/>
          <w:lang w:val="en-GB"/>
        </w:rPr>
        <w:t xml:space="preserve"> </w:t>
      </w:r>
      <w:r w:rsidRPr="00380B40">
        <w:rPr>
          <w:lang w:val="en-GB"/>
        </w:rPr>
        <w:t>include</w:t>
      </w:r>
      <w:r w:rsidRPr="00380B40">
        <w:rPr>
          <w:spacing w:val="6"/>
          <w:lang w:val="en-GB"/>
        </w:rPr>
        <w:t xml:space="preserve"> </w:t>
      </w:r>
      <w:r w:rsidRPr="00380B40">
        <w:rPr>
          <w:lang w:val="en-GB"/>
        </w:rPr>
        <w:t>registration</w:t>
      </w:r>
      <w:r w:rsidRPr="00380B40">
        <w:rPr>
          <w:spacing w:val="6"/>
          <w:lang w:val="en-GB"/>
        </w:rPr>
        <w:t xml:space="preserve"> </w:t>
      </w:r>
      <w:r w:rsidRPr="00380B40">
        <w:rPr>
          <w:lang w:val="en-GB"/>
        </w:rPr>
        <w:t>information</w:t>
      </w:r>
      <w:r w:rsidRPr="00380B40">
        <w:rPr>
          <w:spacing w:val="9"/>
          <w:lang w:val="en-GB"/>
        </w:rPr>
        <w:t xml:space="preserve"> </w:t>
      </w:r>
      <w:r w:rsidRPr="00380B40">
        <w:rPr>
          <w:lang w:val="en-GB"/>
        </w:rPr>
        <w:t>for</w:t>
      </w:r>
      <w:r w:rsidRPr="00380B40">
        <w:rPr>
          <w:spacing w:val="5"/>
          <w:lang w:val="en-GB"/>
        </w:rPr>
        <w:t xml:space="preserve"> </w:t>
      </w:r>
      <w:r w:rsidRPr="00380B40">
        <w:rPr>
          <w:lang w:val="en-GB"/>
        </w:rPr>
        <w:t>these</w:t>
      </w:r>
      <w:r w:rsidRPr="00380B40">
        <w:rPr>
          <w:spacing w:val="6"/>
          <w:lang w:val="en-GB"/>
        </w:rPr>
        <w:t xml:space="preserve"> </w:t>
      </w:r>
      <w:r w:rsidRPr="00380B40">
        <w:rPr>
          <w:lang w:val="en-GB"/>
        </w:rPr>
        <w:t>bodies</w:t>
      </w:r>
      <w:r w:rsidRPr="00380B40">
        <w:rPr>
          <w:spacing w:val="8"/>
          <w:lang w:val="en-GB"/>
        </w:rPr>
        <w:t xml:space="preserve"> </w:t>
      </w:r>
      <w:r w:rsidRPr="00380B40">
        <w:rPr>
          <w:lang w:val="en-GB"/>
        </w:rPr>
        <w:t>to</w:t>
      </w:r>
      <w:r w:rsidRPr="00380B40">
        <w:rPr>
          <w:spacing w:val="7"/>
          <w:lang w:val="en-GB"/>
        </w:rPr>
        <w:t xml:space="preserve"> </w:t>
      </w:r>
      <w:r w:rsidRPr="00380B40">
        <w:rPr>
          <w:lang w:val="en-GB"/>
        </w:rPr>
        <w:t>indicate</w:t>
      </w:r>
      <w:r w:rsidRPr="00380B40">
        <w:rPr>
          <w:spacing w:val="6"/>
          <w:lang w:val="en-GB"/>
        </w:rPr>
        <w:t xml:space="preserve"> </w:t>
      </w:r>
      <w:r w:rsidRPr="00380B40">
        <w:rPr>
          <w:lang w:val="en-GB"/>
        </w:rPr>
        <w:t>participation</w:t>
      </w:r>
      <w:r w:rsidRPr="00380B40">
        <w:rPr>
          <w:spacing w:val="7"/>
          <w:lang w:val="en-GB"/>
        </w:rPr>
        <w:t xml:space="preserve"> </w:t>
      </w:r>
      <w:r w:rsidRPr="00380B40">
        <w:rPr>
          <w:lang w:val="en-GB"/>
        </w:rPr>
        <w:t>in</w:t>
      </w:r>
      <w:r w:rsidRPr="00380B40">
        <w:rPr>
          <w:spacing w:val="7"/>
          <w:lang w:val="en-GB"/>
        </w:rPr>
        <w:t xml:space="preserve"> </w:t>
      </w:r>
      <w:r w:rsidRPr="00380B40">
        <w:rPr>
          <w:lang w:val="en-GB"/>
        </w:rPr>
        <w:t>the</w:t>
      </w:r>
      <w:r w:rsidRPr="00380B40">
        <w:rPr>
          <w:spacing w:val="6"/>
          <w:lang w:val="en-GB"/>
        </w:rPr>
        <w:t xml:space="preserve"> </w:t>
      </w:r>
      <w:r w:rsidRPr="00380B40">
        <w:rPr>
          <w:lang w:val="en-GB"/>
        </w:rPr>
        <w:t>meeting.</w:t>
      </w:r>
      <w:r w:rsidRPr="00380B40">
        <w:rPr>
          <w:spacing w:val="56"/>
          <w:lang w:val="en-GB"/>
        </w:rPr>
        <w:t xml:space="preserve"> </w:t>
      </w:r>
      <w:r w:rsidRPr="00380B40">
        <w:rPr>
          <w:lang w:val="en-GB"/>
        </w:rPr>
        <w:t>Each</w:t>
      </w:r>
      <w:r w:rsidRPr="00380B40">
        <w:rPr>
          <w:spacing w:val="26"/>
          <w:lang w:val="en-GB"/>
        </w:rPr>
        <w:t xml:space="preserve"> </w:t>
      </w:r>
      <w:r w:rsidRPr="00380B40">
        <w:rPr>
          <w:lang w:val="en-GB"/>
        </w:rPr>
        <w:t>Member</w:t>
      </w:r>
      <w:r w:rsidRPr="00380B40">
        <w:rPr>
          <w:spacing w:val="24"/>
          <w:lang w:val="en-GB"/>
        </w:rPr>
        <w:t xml:space="preserve"> </w:t>
      </w:r>
      <w:r w:rsidRPr="00380B40">
        <w:rPr>
          <w:lang w:val="en-GB"/>
        </w:rPr>
        <w:t>State</w:t>
      </w:r>
      <w:r w:rsidRPr="00380B40">
        <w:rPr>
          <w:spacing w:val="25"/>
          <w:lang w:val="en-GB"/>
        </w:rPr>
        <w:t xml:space="preserve"> </w:t>
      </w:r>
      <w:r w:rsidRPr="00380B40">
        <w:rPr>
          <w:lang w:val="en-GB"/>
        </w:rPr>
        <w:t>administration,</w:t>
      </w:r>
      <w:r w:rsidRPr="00380B40">
        <w:rPr>
          <w:spacing w:val="26"/>
          <w:lang w:val="en-GB"/>
        </w:rPr>
        <w:t xml:space="preserve"> </w:t>
      </w:r>
      <w:r w:rsidRPr="00380B40">
        <w:rPr>
          <w:lang w:val="en-GB"/>
        </w:rPr>
        <w:t>Sector</w:t>
      </w:r>
      <w:r w:rsidRPr="00380B40">
        <w:rPr>
          <w:spacing w:val="25"/>
          <w:lang w:val="en-GB"/>
        </w:rPr>
        <w:t xml:space="preserve"> </w:t>
      </w:r>
      <w:r w:rsidRPr="00380B40">
        <w:rPr>
          <w:lang w:val="en-GB"/>
        </w:rPr>
        <w:t>Member,</w:t>
      </w:r>
      <w:r w:rsidRPr="00380B40">
        <w:rPr>
          <w:spacing w:val="26"/>
          <w:lang w:val="en-GB"/>
        </w:rPr>
        <w:t xml:space="preserve"> </w:t>
      </w:r>
      <w:r w:rsidRPr="00380B40">
        <w:rPr>
          <w:lang w:val="en-GB"/>
        </w:rPr>
        <w:t>Associate, Academia member</w:t>
      </w:r>
      <w:r w:rsidRPr="00380B40">
        <w:rPr>
          <w:spacing w:val="25"/>
          <w:lang w:val="en-GB"/>
        </w:rPr>
        <w:t xml:space="preserve"> </w:t>
      </w:r>
      <w:r w:rsidRPr="00380B40">
        <w:rPr>
          <w:lang w:val="en-GB"/>
        </w:rPr>
        <w:t>and</w:t>
      </w:r>
      <w:r w:rsidRPr="00380B40">
        <w:rPr>
          <w:spacing w:val="26"/>
          <w:lang w:val="en-GB"/>
        </w:rPr>
        <w:t xml:space="preserve"> </w:t>
      </w:r>
      <w:r w:rsidRPr="00380B40">
        <w:rPr>
          <w:lang w:val="en-GB"/>
        </w:rPr>
        <w:t>regional</w:t>
      </w:r>
      <w:r w:rsidRPr="00380B40">
        <w:rPr>
          <w:spacing w:val="26"/>
          <w:lang w:val="en-GB"/>
        </w:rPr>
        <w:t xml:space="preserve"> </w:t>
      </w:r>
      <w:r w:rsidRPr="00380B40">
        <w:rPr>
          <w:lang w:val="en-GB"/>
        </w:rPr>
        <w:t>or</w:t>
      </w:r>
      <w:r w:rsidRPr="00380B40">
        <w:rPr>
          <w:spacing w:val="25"/>
          <w:lang w:val="en-GB"/>
        </w:rPr>
        <w:t xml:space="preserve"> </w:t>
      </w:r>
      <w:r w:rsidRPr="00380B40">
        <w:rPr>
          <w:lang w:val="en-GB"/>
        </w:rPr>
        <w:t>international</w:t>
      </w:r>
      <w:r w:rsidRPr="00380B40">
        <w:rPr>
          <w:spacing w:val="99"/>
          <w:lang w:val="en-GB"/>
        </w:rPr>
        <w:t xml:space="preserve"> </w:t>
      </w:r>
      <w:r w:rsidRPr="00380B40">
        <w:rPr>
          <w:lang w:val="en-GB"/>
        </w:rPr>
        <w:t>organization</w:t>
      </w:r>
      <w:r w:rsidRPr="00380B40">
        <w:rPr>
          <w:spacing w:val="16"/>
          <w:lang w:val="en-GB"/>
        </w:rPr>
        <w:t xml:space="preserve"> </w:t>
      </w:r>
      <w:r w:rsidRPr="00380B40">
        <w:rPr>
          <w:lang w:val="en-GB"/>
        </w:rPr>
        <w:t>should</w:t>
      </w:r>
      <w:r w:rsidRPr="00380B40">
        <w:rPr>
          <w:spacing w:val="16"/>
          <w:lang w:val="en-GB"/>
        </w:rPr>
        <w:t xml:space="preserve"> </w:t>
      </w:r>
      <w:r w:rsidRPr="00380B40">
        <w:rPr>
          <w:lang w:val="en-GB"/>
        </w:rPr>
        <w:t>send</w:t>
      </w:r>
      <w:r w:rsidRPr="00380B40">
        <w:rPr>
          <w:spacing w:val="18"/>
          <w:lang w:val="en-GB"/>
        </w:rPr>
        <w:t xml:space="preserve"> </w:t>
      </w:r>
      <w:r w:rsidRPr="00380B40">
        <w:rPr>
          <w:lang w:val="en-GB"/>
        </w:rPr>
        <w:t>to</w:t>
      </w:r>
      <w:r w:rsidRPr="00380B40">
        <w:rPr>
          <w:spacing w:val="17"/>
          <w:lang w:val="en-GB"/>
        </w:rPr>
        <w:t xml:space="preserve"> </w:t>
      </w:r>
      <w:r w:rsidRPr="00380B40">
        <w:rPr>
          <w:lang w:val="en-GB"/>
        </w:rPr>
        <w:t>TSB</w:t>
      </w:r>
      <w:r w:rsidRPr="00380B40">
        <w:rPr>
          <w:spacing w:val="17"/>
          <w:lang w:val="en-GB"/>
        </w:rPr>
        <w:t xml:space="preserve"> </w:t>
      </w:r>
      <w:r w:rsidRPr="00380B40">
        <w:rPr>
          <w:lang w:val="en-GB"/>
        </w:rPr>
        <w:t>a</w:t>
      </w:r>
      <w:r w:rsidRPr="00380B40">
        <w:rPr>
          <w:spacing w:val="15"/>
          <w:lang w:val="en-GB"/>
        </w:rPr>
        <w:t xml:space="preserve"> </w:t>
      </w:r>
      <w:r w:rsidRPr="00380B40">
        <w:rPr>
          <w:lang w:val="en-GB"/>
        </w:rPr>
        <w:t>list</w:t>
      </w:r>
      <w:r w:rsidRPr="00380B40">
        <w:rPr>
          <w:spacing w:val="17"/>
          <w:lang w:val="en-GB"/>
        </w:rPr>
        <w:t xml:space="preserve"> </w:t>
      </w:r>
      <w:r w:rsidRPr="00380B40">
        <w:rPr>
          <w:lang w:val="en-GB"/>
        </w:rPr>
        <w:t>of</w:t>
      </w:r>
      <w:r w:rsidRPr="00380B40">
        <w:rPr>
          <w:spacing w:val="18"/>
          <w:lang w:val="en-GB"/>
        </w:rPr>
        <w:t xml:space="preserve"> </w:t>
      </w:r>
      <w:r w:rsidRPr="00380B40">
        <w:rPr>
          <w:lang w:val="en-GB"/>
        </w:rPr>
        <w:t>its</w:t>
      </w:r>
      <w:r w:rsidRPr="00380B40">
        <w:rPr>
          <w:spacing w:val="16"/>
          <w:lang w:val="en-GB"/>
        </w:rPr>
        <w:t xml:space="preserve"> </w:t>
      </w:r>
      <w:r w:rsidRPr="00380B40">
        <w:rPr>
          <w:lang w:val="en-GB"/>
        </w:rPr>
        <w:t>participants</w:t>
      </w:r>
      <w:r w:rsidRPr="00380B40">
        <w:rPr>
          <w:spacing w:val="22"/>
          <w:lang w:val="en-GB"/>
        </w:rPr>
        <w:t xml:space="preserve"> </w:t>
      </w:r>
      <w:r w:rsidRPr="00380B40">
        <w:rPr>
          <w:lang w:val="en-GB"/>
        </w:rPr>
        <w:t>at</w:t>
      </w:r>
      <w:r w:rsidRPr="00380B40">
        <w:rPr>
          <w:spacing w:val="17"/>
          <w:lang w:val="en-GB"/>
        </w:rPr>
        <w:t xml:space="preserve"> </w:t>
      </w:r>
      <w:r w:rsidRPr="00380B40">
        <w:rPr>
          <w:lang w:val="en-GB"/>
        </w:rPr>
        <w:t>least</w:t>
      </w:r>
      <w:r w:rsidRPr="00380B40">
        <w:rPr>
          <w:spacing w:val="17"/>
          <w:lang w:val="en-GB"/>
        </w:rPr>
        <w:t xml:space="preserve"> </w:t>
      </w:r>
      <w:r w:rsidRPr="00380B40">
        <w:rPr>
          <w:lang w:val="en-GB"/>
        </w:rPr>
        <w:t>one</w:t>
      </w:r>
      <w:r w:rsidRPr="00380B40">
        <w:rPr>
          <w:spacing w:val="17"/>
          <w:lang w:val="en-GB"/>
        </w:rPr>
        <w:t xml:space="preserve"> </w:t>
      </w:r>
      <w:r w:rsidRPr="00380B40">
        <w:rPr>
          <w:lang w:val="en-GB"/>
        </w:rPr>
        <w:t>month</w:t>
      </w:r>
      <w:r w:rsidRPr="00380B40">
        <w:rPr>
          <w:spacing w:val="16"/>
          <w:lang w:val="en-GB"/>
        </w:rPr>
        <w:t xml:space="preserve"> </w:t>
      </w:r>
      <w:r w:rsidRPr="00380B40">
        <w:rPr>
          <w:lang w:val="en-GB"/>
        </w:rPr>
        <w:t>before</w:t>
      </w:r>
      <w:r w:rsidRPr="00380B40">
        <w:rPr>
          <w:spacing w:val="15"/>
          <w:lang w:val="en-GB"/>
        </w:rPr>
        <w:t xml:space="preserve"> </w:t>
      </w:r>
      <w:r w:rsidRPr="00380B40">
        <w:rPr>
          <w:lang w:val="en-GB"/>
        </w:rPr>
        <w:t>the</w:t>
      </w:r>
      <w:r w:rsidRPr="00380B40">
        <w:rPr>
          <w:spacing w:val="18"/>
          <w:lang w:val="en-GB"/>
        </w:rPr>
        <w:t xml:space="preserve"> </w:t>
      </w:r>
      <w:r w:rsidRPr="00380B40">
        <w:rPr>
          <w:lang w:val="en-GB"/>
        </w:rPr>
        <w:t>start</w:t>
      </w:r>
      <w:r w:rsidRPr="00380B40">
        <w:rPr>
          <w:spacing w:val="17"/>
          <w:lang w:val="en-GB"/>
        </w:rPr>
        <w:t xml:space="preserve"> </w:t>
      </w:r>
      <w:r w:rsidRPr="00380B40">
        <w:rPr>
          <w:spacing w:val="1"/>
          <w:lang w:val="en-GB"/>
        </w:rPr>
        <w:t>of</w:t>
      </w:r>
      <w:r w:rsidRPr="00380B40">
        <w:rPr>
          <w:spacing w:val="15"/>
          <w:lang w:val="en-GB"/>
        </w:rPr>
        <w:t xml:space="preserve"> </w:t>
      </w:r>
      <w:r w:rsidRPr="00380B40">
        <w:rPr>
          <w:lang w:val="en-GB"/>
        </w:rPr>
        <w:t>the</w:t>
      </w:r>
      <w:r w:rsidRPr="00380B40">
        <w:rPr>
          <w:spacing w:val="47"/>
          <w:lang w:val="en-GB"/>
        </w:rPr>
        <w:t xml:space="preserve"> </w:t>
      </w:r>
      <w:r w:rsidRPr="00380B40">
        <w:rPr>
          <w:lang w:val="en-GB"/>
        </w:rPr>
        <w:t>meeting.</w:t>
      </w:r>
      <w:r w:rsidRPr="00380B40">
        <w:rPr>
          <w:spacing w:val="9"/>
          <w:lang w:val="en-GB"/>
        </w:rPr>
        <w:t xml:space="preserve"> </w:t>
      </w:r>
      <w:r w:rsidRPr="00380B40">
        <w:rPr>
          <w:spacing w:val="-2"/>
          <w:lang w:val="en-GB"/>
        </w:rPr>
        <w:t>In</w:t>
      </w:r>
      <w:r w:rsidRPr="00380B40">
        <w:rPr>
          <w:spacing w:val="4"/>
          <w:lang w:val="en-GB"/>
        </w:rPr>
        <w:t xml:space="preserve"> </w:t>
      </w:r>
      <w:r w:rsidRPr="00380B40">
        <w:rPr>
          <w:lang w:val="en-GB"/>
        </w:rPr>
        <w:t>the</w:t>
      </w:r>
      <w:r w:rsidRPr="00380B40">
        <w:rPr>
          <w:spacing w:val="4"/>
          <w:lang w:val="en-GB"/>
        </w:rPr>
        <w:t xml:space="preserve"> </w:t>
      </w:r>
      <w:r w:rsidRPr="00380B40">
        <w:rPr>
          <w:lang w:val="en-GB"/>
        </w:rPr>
        <w:t>event</w:t>
      </w:r>
      <w:r w:rsidRPr="00380B40">
        <w:rPr>
          <w:spacing w:val="5"/>
          <w:lang w:val="en-GB"/>
        </w:rPr>
        <w:t xml:space="preserve"> </w:t>
      </w:r>
      <w:r w:rsidRPr="00380B40">
        <w:rPr>
          <w:lang w:val="en-GB"/>
        </w:rPr>
        <w:t>that</w:t>
      </w:r>
      <w:r w:rsidRPr="00380B40">
        <w:rPr>
          <w:spacing w:val="5"/>
          <w:lang w:val="en-GB"/>
        </w:rPr>
        <w:t xml:space="preserve"> </w:t>
      </w:r>
      <w:r w:rsidRPr="00380B40">
        <w:rPr>
          <w:lang w:val="en-GB"/>
        </w:rPr>
        <w:t>names</w:t>
      </w:r>
      <w:r w:rsidRPr="00380B40">
        <w:rPr>
          <w:spacing w:val="4"/>
          <w:lang w:val="en-GB"/>
        </w:rPr>
        <w:t xml:space="preserve"> </w:t>
      </w:r>
      <w:r w:rsidRPr="00380B40">
        <w:rPr>
          <w:lang w:val="en-GB"/>
        </w:rPr>
        <w:t>cannot</w:t>
      </w:r>
      <w:r w:rsidRPr="00380B40">
        <w:rPr>
          <w:spacing w:val="5"/>
          <w:lang w:val="en-GB"/>
        </w:rPr>
        <w:t xml:space="preserve"> </w:t>
      </w:r>
      <w:r w:rsidRPr="00380B40">
        <w:rPr>
          <w:spacing w:val="1"/>
          <w:lang w:val="en-GB"/>
        </w:rPr>
        <w:t>be</w:t>
      </w:r>
      <w:r w:rsidRPr="00380B40">
        <w:rPr>
          <w:spacing w:val="3"/>
          <w:lang w:val="en-GB"/>
        </w:rPr>
        <w:t xml:space="preserve"> </w:t>
      </w:r>
      <w:r w:rsidRPr="00380B40">
        <w:rPr>
          <w:lang w:val="en-GB"/>
        </w:rPr>
        <w:t>provided,</w:t>
      </w:r>
      <w:r w:rsidRPr="00380B40">
        <w:rPr>
          <w:spacing w:val="4"/>
          <w:lang w:val="en-GB"/>
        </w:rPr>
        <w:t xml:space="preserve"> </w:t>
      </w:r>
      <w:r w:rsidRPr="00380B40">
        <w:rPr>
          <w:lang w:val="en-GB"/>
        </w:rPr>
        <w:t>the</w:t>
      </w:r>
      <w:r w:rsidRPr="00380B40">
        <w:rPr>
          <w:spacing w:val="4"/>
          <w:lang w:val="en-GB"/>
        </w:rPr>
        <w:t xml:space="preserve"> </w:t>
      </w:r>
      <w:r w:rsidRPr="00380B40">
        <w:rPr>
          <w:lang w:val="en-GB"/>
        </w:rPr>
        <w:t>expected</w:t>
      </w:r>
      <w:r w:rsidRPr="00380B40">
        <w:rPr>
          <w:spacing w:val="4"/>
          <w:lang w:val="en-GB"/>
        </w:rPr>
        <w:t xml:space="preserve"> </w:t>
      </w:r>
      <w:r w:rsidRPr="00380B40">
        <w:rPr>
          <w:lang w:val="en-GB"/>
        </w:rPr>
        <w:t>number</w:t>
      </w:r>
      <w:r w:rsidRPr="00380B40">
        <w:rPr>
          <w:spacing w:val="6"/>
          <w:lang w:val="en-GB"/>
        </w:rPr>
        <w:t xml:space="preserve"> </w:t>
      </w:r>
      <w:r w:rsidRPr="00380B40">
        <w:rPr>
          <w:lang w:val="en-GB"/>
        </w:rPr>
        <w:t>of</w:t>
      </w:r>
      <w:r w:rsidRPr="00380B40">
        <w:rPr>
          <w:spacing w:val="3"/>
          <w:lang w:val="en-GB"/>
        </w:rPr>
        <w:t xml:space="preserve"> </w:t>
      </w:r>
      <w:r w:rsidRPr="00380B40">
        <w:rPr>
          <w:lang w:val="en-GB"/>
        </w:rPr>
        <w:t>participants</w:t>
      </w:r>
      <w:r w:rsidRPr="00380B40">
        <w:rPr>
          <w:spacing w:val="4"/>
          <w:lang w:val="en-GB"/>
        </w:rPr>
        <w:t xml:space="preserve"> </w:t>
      </w:r>
      <w:r w:rsidRPr="00380B40">
        <w:rPr>
          <w:lang w:val="en-GB"/>
        </w:rPr>
        <w:t>should</w:t>
      </w:r>
      <w:r w:rsidRPr="00380B40">
        <w:rPr>
          <w:spacing w:val="4"/>
          <w:lang w:val="en-GB"/>
        </w:rPr>
        <w:t xml:space="preserve"> </w:t>
      </w:r>
      <w:r w:rsidRPr="00380B40">
        <w:rPr>
          <w:lang w:val="en-GB"/>
        </w:rPr>
        <w:t>be</w:t>
      </w:r>
      <w:r w:rsidRPr="00380B40">
        <w:rPr>
          <w:spacing w:val="61"/>
          <w:lang w:val="en-GB"/>
        </w:rPr>
        <w:t xml:space="preserve"> </w:t>
      </w:r>
      <w:r w:rsidRPr="00380B40">
        <w:rPr>
          <w:lang w:val="en-GB"/>
        </w:rPr>
        <w:t>indicated.</w:t>
      </w:r>
      <w:r w:rsidRPr="00380B40">
        <w:rPr>
          <w:spacing w:val="40"/>
          <w:lang w:val="en-GB"/>
        </w:rPr>
        <w:t xml:space="preserve"> </w:t>
      </w:r>
      <w:r w:rsidRPr="00380B40">
        <w:rPr>
          <w:lang w:val="en-GB"/>
        </w:rPr>
        <w:t>Such</w:t>
      </w:r>
      <w:r w:rsidRPr="00380B40">
        <w:rPr>
          <w:spacing w:val="40"/>
          <w:lang w:val="en-GB"/>
        </w:rPr>
        <w:t xml:space="preserve"> </w:t>
      </w:r>
      <w:r w:rsidRPr="00380B40">
        <w:rPr>
          <w:lang w:val="en-GB"/>
        </w:rPr>
        <w:t>information</w:t>
      </w:r>
      <w:r w:rsidRPr="00380B40">
        <w:rPr>
          <w:spacing w:val="41"/>
          <w:lang w:val="en-GB"/>
        </w:rPr>
        <w:t xml:space="preserve"> </w:t>
      </w:r>
      <w:r w:rsidRPr="00380B40">
        <w:rPr>
          <w:lang w:val="en-GB"/>
        </w:rPr>
        <w:t>will</w:t>
      </w:r>
      <w:r w:rsidRPr="00380B40">
        <w:rPr>
          <w:spacing w:val="41"/>
          <w:lang w:val="en-GB"/>
        </w:rPr>
        <w:t xml:space="preserve"> </w:t>
      </w:r>
      <w:r w:rsidRPr="00380B40">
        <w:rPr>
          <w:lang w:val="en-GB"/>
        </w:rPr>
        <w:t>facilitate</w:t>
      </w:r>
      <w:r w:rsidRPr="00380B40">
        <w:rPr>
          <w:spacing w:val="40"/>
          <w:lang w:val="en-GB"/>
        </w:rPr>
        <w:t xml:space="preserve"> </w:t>
      </w:r>
      <w:r w:rsidRPr="00380B40">
        <w:rPr>
          <w:lang w:val="en-GB"/>
        </w:rPr>
        <w:t>the</w:t>
      </w:r>
      <w:r w:rsidRPr="00380B40">
        <w:rPr>
          <w:spacing w:val="39"/>
          <w:lang w:val="en-GB"/>
        </w:rPr>
        <w:t xml:space="preserve"> </w:t>
      </w:r>
      <w:r w:rsidRPr="00380B40">
        <w:rPr>
          <w:lang w:val="en-GB"/>
        </w:rPr>
        <w:t>registration</w:t>
      </w:r>
      <w:r w:rsidRPr="00380B40">
        <w:rPr>
          <w:spacing w:val="40"/>
          <w:lang w:val="en-GB"/>
        </w:rPr>
        <w:t xml:space="preserve"> </w:t>
      </w:r>
      <w:r w:rsidRPr="00380B40">
        <w:rPr>
          <w:lang w:val="en-GB"/>
        </w:rPr>
        <w:t>process</w:t>
      </w:r>
      <w:r w:rsidRPr="00380B40">
        <w:rPr>
          <w:spacing w:val="43"/>
          <w:lang w:val="en-GB"/>
        </w:rPr>
        <w:t xml:space="preserve"> </w:t>
      </w:r>
      <w:r w:rsidRPr="00380B40">
        <w:rPr>
          <w:lang w:val="en-GB"/>
        </w:rPr>
        <w:t>and</w:t>
      </w:r>
      <w:r w:rsidRPr="00380B40">
        <w:rPr>
          <w:spacing w:val="40"/>
          <w:lang w:val="en-GB"/>
        </w:rPr>
        <w:t xml:space="preserve"> </w:t>
      </w:r>
      <w:r w:rsidRPr="00380B40">
        <w:rPr>
          <w:lang w:val="en-GB"/>
        </w:rPr>
        <w:t>the</w:t>
      </w:r>
      <w:r w:rsidRPr="00380B40">
        <w:rPr>
          <w:spacing w:val="39"/>
          <w:lang w:val="en-GB"/>
        </w:rPr>
        <w:t xml:space="preserve"> </w:t>
      </w:r>
      <w:r w:rsidRPr="00380B40">
        <w:rPr>
          <w:lang w:val="en-GB"/>
        </w:rPr>
        <w:t>timely</w:t>
      </w:r>
      <w:r w:rsidRPr="00380B40">
        <w:rPr>
          <w:spacing w:val="38"/>
          <w:lang w:val="en-GB"/>
        </w:rPr>
        <w:t xml:space="preserve"> </w:t>
      </w:r>
      <w:r w:rsidRPr="00380B40">
        <w:rPr>
          <w:lang w:val="en-GB"/>
        </w:rPr>
        <w:t>preparation</w:t>
      </w:r>
      <w:r w:rsidRPr="00380B40">
        <w:rPr>
          <w:spacing w:val="40"/>
          <w:lang w:val="en-GB"/>
        </w:rPr>
        <w:t xml:space="preserve"> </w:t>
      </w:r>
      <w:r w:rsidRPr="00380B40">
        <w:rPr>
          <w:lang w:val="en-GB"/>
        </w:rPr>
        <w:t>of</w:t>
      </w:r>
      <w:r w:rsidRPr="00380B40">
        <w:rPr>
          <w:spacing w:val="105"/>
          <w:lang w:val="en-GB"/>
        </w:rPr>
        <w:t xml:space="preserve"> </w:t>
      </w:r>
      <w:r w:rsidRPr="00380B40">
        <w:rPr>
          <w:lang w:val="en-GB"/>
        </w:rPr>
        <w:t>registration</w:t>
      </w:r>
      <w:r w:rsidRPr="00380B40">
        <w:rPr>
          <w:spacing w:val="2"/>
          <w:lang w:val="en-GB"/>
        </w:rPr>
        <w:t xml:space="preserve"> </w:t>
      </w:r>
      <w:r w:rsidRPr="00380B40">
        <w:rPr>
          <w:lang w:val="en-GB"/>
        </w:rPr>
        <w:t>materials.</w:t>
      </w:r>
      <w:r w:rsidRPr="00380B40">
        <w:rPr>
          <w:spacing w:val="4"/>
          <w:lang w:val="en-GB"/>
        </w:rPr>
        <w:t xml:space="preserve"> </w:t>
      </w:r>
      <w:r w:rsidRPr="00380B40">
        <w:rPr>
          <w:lang w:val="en-GB"/>
        </w:rPr>
        <w:t>Individuals</w:t>
      </w:r>
      <w:r w:rsidRPr="00380B40">
        <w:rPr>
          <w:spacing w:val="2"/>
          <w:lang w:val="en-GB"/>
        </w:rPr>
        <w:t xml:space="preserve"> </w:t>
      </w:r>
      <w:r w:rsidRPr="00380B40">
        <w:rPr>
          <w:lang w:val="en-GB"/>
        </w:rPr>
        <w:t>who</w:t>
      </w:r>
      <w:r w:rsidRPr="00380B40">
        <w:rPr>
          <w:spacing w:val="1"/>
          <w:lang w:val="en-GB"/>
        </w:rPr>
        <w:t xml:space="preserve"> </w:t>
      </w:r>
      <w:r w:rsidRPr="00380B40">
        <w:rPr>
          <w:lang w:val="en-GB"/>
        </w:rPr>
        <w:t>attend</w:t>
      </w:r>
      <w:r w:rsidRPr="00380B40">
        <w:rPr>
          <w:spacing w:val="2"/>
          <w:lang w:val="en-GB"/>
        </w:rPr>
        <w:t xml:space="preserve"> </w:t>
      </w:r>
      <w:r w:rsidRPr="00380B40">
        <w:rPr>
          <w:lang w:val="en-GB"/>
        </w:rPr>
        <w:t>the</w:t>
      </w:r>
      <w:r w:rsidRPr="00380B40">
        <w:rPr>
          <w:spacing w:val="4"/>
          <w:lang w:val="en-GB"/>
        </w:rPr>
        <w:t xml:space="preserve"> </w:t>
      </w:r>
      <w:r w:rsidRPr="00380B40">
        <w:rPr>
          <w:lang w:val="en-GB"/>
        </w:rPr>
        <w:t>meeting without</w:t>
      </w:r>
      <w:r w:rsidRPr="00380B40">
        <w:rPr>
          <w:spacing w:val="2"/>
          <w:lang w:val="en-GB"/>
        </w:rPr>
        <w:t xml:space="preserve"> </w:t>
      </w:r>
      <w:r w:rsidRPr="00380B40">
        <w:rPr>
          <w:lang w:val="en-GB"/>
        </w:rPr>
        <w:t>pre-registration</w:t>
      </w:r>
      <w:r w:rsidRPr="00380B40">
        <w:rPr>
          <w:spacing w:val="2"/>
          <w:lang w:val="en-GB"/>
        </w:rPr>
        <w:t xml:space="preserve"> </w:t>
      </w:r>
      <w:r w:rsidRPr="00380B40">
        <w:rPr>
          <w:lang w:val="en-GB"/>
        </w:rPr>
        <w:t>may experience</w:t>
      </w:r>
      <w:r w:rsidRPr="00380B40">
        <w:rPr>
          <w:spacing w:val="3"/>
          <w:lang w:val="en-GB"/>
        </w:rPr>
        <w:t xml:space="preserve"> </w:t>
      </w:r>
      <w:r w:rsidRPr="00380B40">
        <w:rPr>
          <w:lang w:val="en-GB"/>
        </w:rPr>
        <w:t>a</w:t>
      </w:r>
      <w:r w:rsidRPr="00380B40">
        <w:rPr>
          <w:spacing w:val="81"/>
          <w:lang w:val="en-GB"/>
        </w:rPr>
        <w:t xml:space="preserve"> </w:t>
      </w:r>
      <w:r w:rsidRPr="00380B40">
        <w:rPr>
          <w:lang w:val="en-GB"/>
        </w:rPr>
        <w:t>delay</w:t>
      </w:r>
      <w:r w:rsidRPr="00380B40">
        <w:rPr>
          <w:spacing w:val="-5"/>
          <w:lang w:val="en-GB"/>
        </w:rPr>
        <w:t xml:space="preserve"> </w:t>
      </w:r>
      <w:r w:rsidRPr="00380B40">
        <w:rPr>
          <w:lang w:val="en-GB"/>
        </w:rPr>
        <w:t>in receiving</w:t>
      </w:r>
      <w:r w:rsidRPr="00380B40">
        <w:rPr>
          <w:spacing w:val="-3"/>
          <w:lang w:val="en-GB"/>
        </w:rPr>
        <w:t xml:space="preserve"> </w:t>
      </w:r>
      <w:r w:rsidRPr="00380B40">
        <w:rPr>
          <w:lang w:val="en-GB"/>
        </w:rPr>
        <w:t>their documents.</w:t>
      </w:r>
    </w:p>
    <w:p w14:paraId="19261131" w14:textId="77777777" w:rsidR="00C12517" w:rsidRPr="00380B40" w:rsidRDefault="00C12517" w:rsidP="00C12517">
      <w:pPr>
        <w:rPr>
          <w:lang w:val="en-GB"/>
        </w:rPr>
      </w:pPr>
      <w:r w:rsidRPr="00380B40">
        <w:rPr>
          <w:spacing w:val="-2"/>
          <w:lang w:val="en-GB"/>
        </w:rPr>
        <w:t>If</w:t>
      </w:r>
      <w:r w:rsidRPr="00380B40">
        <w:rPr>
          <w:spacing w:val="8"/>
          <w:lang w:val="en-GB"/>
        </w:rPr>
        <w:t xml:space="preserve"> </w:t>
      </w:r>
      <w:r w:rsidRPr="00380B40">
        <w:rPr>
          <w:lang w:val="en-GB"/>
        </w:rPr>
        <w:t>the</w:t>
      </w:r>
      <w:r w:rsidRPr="00380B40">
        <w:rPr>
          <w:spacing w:val="8"/>
          <w:lang w:val="en-GB"/>
        </w:rPr>
        <w:t xml:space="preserve"> </w:t>
      </w:r>
      <w:r w:rsidRPr="00380B40">
        <w:rPr>
          <w:lang w:val="en-GB"/>
        </w:rPr>
        <w:t>meeting</w:t>
      </w:r>
      <w:r w:rsidRPr="00380B40">
        <w:rPr>
          <w:spacing w:val="4"/>
          <w:lang w:val="en-GB"/>
        </w:rPr>
        <w:t xml:space="preserve"> </w:t>
      </w:r>
      <w:r w:rsidRPr="00380B40">
        <w:rPr>
          <w:lang w:val="en-GB"/>
        </w:rPr>
        <w:t>in</w:t>
      </w:r>
      <w:r w:rsidRPr="00380B40">
        <w:rPr>
          <w:spacing w:val="7"/>
          <w:lang w:val="en-GB"/>
        </w:rPr>
        <w:t xml:space="preserve"> </w:t>
      </w:r>
      <w:r w:rsidRPr="00380B40">
        <w:rPr>
          <w:lang w:val="en-GB"/>
        </w:rPr>
        <w:t>question</w:t>
      </w:r>
      <w:r w:rsidRPr="00380B40">
        <w:rPr>
          <w:spacing w:val="6"/>
          <w:lang w:val="en-GB"/>
        </w:rPr>
        <w:t xml:space="preserve"> </w:t>
      </w:r>
      <w:r w:rsidRPr="00380B40">
        <w:rPr>
          <w:lang w:val="en-GB"/>
        </w:rPr>
        <w:t>has</w:t>
      </w:r>
      <w:r w:rsidRPr="00380B40">
        <w:rPr>
          <w:spacing w:val="7"/>
          <w:lang w:val="en-GB"/>
        </w:rPr>
        <w:t xml:space="preserve"> </w:t>
      </w:r>
      <w:r w:rsidRPr="00380B40">
        <w:rPr>
          <w:lang w:val="en-GB"/>
        </w:rPr>
        <w:t>not</w:t>
      </w:r>
      <w:r w:rsidRPr="00380B40">
        <w:rPr>
          <w:spacing w:val="7"/>
          <w:lang w:val="en-GB"/>
        </w:rPr>
        <w:t xml:space="preserve"> </w:t>
      </w:r>
      <w:r w:rsidRPr="00380B40">
        <w:rPr>
          <w:lang w:val="en-GB"/>
        </w:rPr>
        <w:t>been</w:t>
      </w:r>
      <w:r w:rsidRPr="00380B40">
        <w:rPr>
          <w:spacing w:val="6"/>
          <w:lang w:val="en-GB"/>
        </w:rPr>
        <w:t xml:space="preserve"> </w:t>
      </w:r>
      <w:r w:rsidRPr="00380B40">
        <w:rPr>
          <w:lang w:val="en-GB"/>
        </w:rPr>
        <w:t>previously</w:t>
      </w:r>
      <w:r w:rsidRPr="00380B40">
        <w:rPr>
          <w:spacing w:val="4"/>
          <w:lang w:val="en-GB"/>
        </w:rPr>
        <w:t xml:space="preserve"> </w:t>
      </w:r>
      <w:r w:rsidRPr="00380B40">
        <w:rPr>
          <w:lang w:val="en-GB"/>
        </w:rPr>
        <w:t>planned</w:t>
      </w:r>
      <w:r w:rsidRPr="00380B40">
        <w:rPr>
          <w:spacing w:val="9"/>
          <w:lang w:val="en-GB"/>
        </w:rPr>
        <w:t xml:space="preserve"> </w:t>
      </w:r>
      <w:r w:rsidRPr="00380B40">
        <w:rPr>
          <w:lang w:val="en-GB"/>
        </w:rPr>
        <w:t>and</w:t>
      </w:r>
      <w:r w:rsidRPr="00380B40">
        <w:rPr>
          <w:spacing w:val="6"/>
          <w:lang w:val="en-GB"/>
        </w:rPr>
        <w:t xml:space="preserve"> </w:t>
      </w:r>
      <w:r w:rsidRPr="00380B40">
        <w:rPr>
          <w:lang w:val="en-GB"/>
        </w:rPr>
        <w:t>scheduled,</w:t>
      </w:r>
      <w:r w:rsidRPr="00380B40">
        <w:rPr>
          <w:spacing w:val="8"/>
          <w:lang w:val="en-GB"/>
        </w:rPr>
        <w:t xml:space="preserve"> </w:t>
      </w:r>
      <w:r w:rsidRPr="00380B40">
        <w:rPr>
          <w:lang w:val="en-GB"/>
        </w:rPr>
        <w:t>a</w:t>
      </w:r>
      <w:r w:rsidRPr="00380B40">
        <w:rPr>
          <w:spacing w:val="8"/>
          <w:lang w:val="en-GB"/>
        </w:rPr>
        <w:t xml:space="preserve"> </w:t>
      </w:r>
      <w:r w:rsidRPr="00380B40">
        <w:rPr>
          <w:lang w:val="en-GB"/>
        </w:rPr>
        <w:t>collective</w:t>
      </w:r>
      <w:r w:rsidRPr="00380B40">
        <w:rPr>
          <w:spacing w:val="6"/>
          <w:lang w:val="en-GB"/>
        </w:rPr>
        <w:t xml:space="preserve"> </w:t>
      </w:r>
      <w:r w:rsidRPr="00380B40">
        <w:rPr>
          <w:lang w:val="en-GB"/>
        </w:rPr>
        <w:t>letter</w:t>
      </w:r>
      <w:r w:rsidRPr="00380B40">
        <w:rPr>
          <w:spacing w:val="6"/>
          <w:lang w:val="en-GB"/>
        </w:rPr>
        <w:t xml:space="preserve"> </w:t>
      </w:r>
      <w:r w:rsidRPr="00380B40">
        <w:rPr>
          <w:lang w:val="en-GB"/>
        </w:rPr>
        <w:t>should</w:t>
      </w:r>
      <w:r w:rsidRPr="00380B40">
        <w:rPr>
          <w:spacing w:val="31"/>
          <w:lang w:val="en-GB"/>
        </w:rPr>
        <w:t xml:space="preserve"> </w:t>
      </w:r>
      <w:r w:rsidRPr="00380B40">
        <w:rPr>
          <w:lang w:val="en-GB"/>
        </w:rPr>
        <w:t>be received at least three</w:t>
      </w:r>
      <w:r w:rsidRPr="00380B40">
        <w:rPr>
          <w:spacing w:val="1"/>
          <w:lang w:val="en-GB"/>
        </w:rPr>
        <w:t xml:space="preserve"> </w:t>
      </w:r>
      <w:r w:rsidRPr="00380B40">
        <w:rPr>
          <w:lang w:val="en-GB"/>
        </w:rPr>
        <w:t>months before the meeting.</w:t>
      </w:r>
    </w:p>
    <w:p w14:paraId="646E38CD" w14:textId="77777777" w:rsidR="00C12517" w:rsidRPr="00380B40" w:rsidRDefault="00C12517" w:rsidP="00C12517">
      <w:pPr>
        <w:rPr>
          <w:lang w:val="en-GB"/>
        </w:rPr>
      </w:pPr>
      <w:r w:rsidRPr="00380B40">
        <w:rPr>
          <w:b/>
          <w:bCs/>
          <w:lang w:val="en-GB"/>
        </w:rPr>
        <w:t>1.3.3</w:t>
      </w:r>
      <w:r w:rsidRPr="00380B40">
        <w:rPr>
          <w:lang w:val="en-GB"/>
        </w:rPr>
        <w:tab/>
      </w:r>
      <w:r w:rsidRPr="00380B40">
        <w:rPr>
          <w:spacing w:val="-2"/>
          <w:lang w:val="en-GB"/>
        </w:rPr>
        <w:t>If</w:t>
      </w:r>
      <w:r w:rsidRPr="00380B40">
        <w:rPr>
          <w:spacing w:val="-9"/>
          <w:lang w:val="en-GB"/>
        </w:rPr>
        <w:t xml:space="preserve"> </w:t>
      </w:r>
      <w:r w:rsidRPr="00380B40">
        <w:rPr>
          <w:lang w:val="en-GB"/>
        </w:rPr>
        <w:t>an</w:t>
      </w:r>
      <w:r w:rsidRPr="00380B40">
        <w:rPr>
          <w:spacing w:val="-8"/>
          <w:lang w:val="en-GB"/>
        </w:rPr>
        <w:t xml:space="preserve"> </w:t>
      </w:r>
      <w:r w:rsidRPr="00380B40">
        <w:rPr>
          <w:lang w:val="en-GB"/>
        </w:rPr>
        <w:t>insufficient</w:t>
      </w:r>
      <w:r w:rsidRPr="00380B40">
        <w:rPr>
          <w:spacing w:val="-10"/>
          <w:lang w:val="en-GB"/>
        </w:rPr>
        <w:t xml:space="preserve"> </w:t>
      </w:r>
      <w:r w:rsidRPr="00380B40">
        <w:rPr>
          <w:lang w:val="en-GB"/>
        </w:rPr>
        <w:t>number</w:t>
      </w:r>
      <w:r w:rsidRPr="00380B40">
        <w:rPr>
          <w:spacing w:val="-8"/>
          <w:lang w:val="en-GB"/>
        </w:rPr>
        <w:t xml:space="preserve"> </w:t>
      </w:r>
      <w:r w:rsidRPr="00380B40">
        <w:rPr>
          <w:lang w:val="en-GB"/>
        </w:rPr>
        <w:t>of</w:t>
      </w:r>
      <w:r w:rsidRPr="00380B40">
        <w:rPr>
          <w:spacing w:val="-11"/>
          <w:lang w:val="en-GB"/>
        </w:rPr>
        <w:t xml:space="preserve"> </w:t>
      </w:r>
      <w:r w:rsidRPr="00380B40">
        <w:rPr>
          <w:lang w:val="en-GB"/>
        </w:rPr>
        <w:t>contributions</w:t>
      </w:r>
      <w:r w:rsidRPr="00380B40">
        <w:rPr>
          <w:spacing w:val="-9"/>
          <w:lang w:val="en-GB"/>
        </w:rPr>
        <w:t xml:space="preserve"> </w:t>
      </w:r>
      <w:r w:rsidRPr="00380B40">
        <w:rPr>
          <w:lang w:val="en-GB"/>
        </w:rPr>
        <w:t>or</w:t>
      </w:r>
      <w:r w:rsidRPr="00380B40">
        <w:rPr>
          <w:spacing w:val="-11"/>
          <w:lang w:val="en-GB"/>
        </w:rPr>
        <w:t xml:space="preserve"> </w:t>
      </w:r>
      <w:r w:rsidRPr="00380B40">
        <w:rPr>
          <w:lang w:val="en-GB"/>
        </w:rPr>
        <w:t>notification</w:t>
      </w:r>
      <w:r w:rsidRPr="00380B40">
        <w:rPr>
          <w:spacing w:val="-10"/>
          <w:lang w:val="en-GB"/>
        </w:rPr>
        <w:t xml:space="preserve"> </w:t>
      </w:r>
      <w:r w:rsidRPr="00380B40">
        <w:rPr>
          <w:lang w:val="en-GB"/>
        </w:rPr>
        <w:t>of</w:t>
      </w:r>
      <w:r w:rsidRPr="00380B40">
        <w:rPr>
          <w:spacing w:val="-11"/>
          <w:lang w:val="en-GB"/>
        </w:rPr>
        <w:t xml:space="preserve"> </w:t>
      </w:r>
      <w:r w:rsidRPr="00380B40">
        <w:rPr>
          <w:lang w:val="en-GB"/>
        </w:rPr>
        <w:t>contributions</w:t>
      </w:r>
      <w:r w:rsidRPr="00380B40">
        <w:rPr>
          <w:spacing w:val="-9"/>
          <w:lang w:val="en-GB"/>
        </w:rPr>
        <w:t xml:space="preserve"> </w:t>
      </w:r>
      <w:r w:rsidRPr="00380B40">
        <w:rPr>
          <w:lang w:val="en-GB"/>
        </w:rPr>
        <w:t>has</w:t>
      </w:r>
      <w:r w:rsidRPr="00380B40">
        <w:rPr>
          <w:spacing w:val="-8"/>
          <w:lang w:val="en-GB"/>
        </w:rPr>
        <w:t xml:space="preserve"> </w:t>
      </w:r>
      <w:r w:rsidRPr="00380B40">
        <w:rPr>
          <w:lang w:val="en-GB"/>
        </w:rPr>
        <w:t>been</w:t>
      </w:r>
      <w:r w:rsidRPr="00380B40">
        <w:rPr>
          <w:spacing w:val="-10"/>
          <w:lang w:val="en-GB"/>
        </w:rPr>
        <w:t xml:space="preserve"> </w:t>
      </w:r>
      <w:r w:rsidRPr="00380B40">
        <w:rPr>
          <w:lang w:val="en-GB"/>
        </w:rPr>
        <w:t>submitted,</w:t>
      </w:r>
      <w:r w:rsidRPr="00380B40">
        <w:rPr>
          <w:spacing w:val="103"/>
          <w:lang w:val="en-GB"/>
        </w:rPr>
        <w:t xml:space="preserve"> </w:t>
      </w:r>
      <w:r w:rsidRPr="00380B40">
        <w:rPr>
          <w:lang w:val="en-GB"/>
        </w:rPr>
        <w:t>no</w:t>
      </w:r>
      <w:r w:rsidRPr="00380B40">
        <w:rPr>
          <w:spacing w:val="18"/>
          <w:lang w:val="en-GB"/>
        </w:rPr>
        <w:t xml:space="preserve"> </w:t>
      </w:r>
      <w:r w:rsidRPr="00380B40">
        <w:rPr>
          <w:lang w:val="en-GB"/>
        </w:rPr>
        <w:t>meeting</w:t>
      </w:r>
      <w:r w:rsidRPr="00380B40">
        <w:rPr>
          <w:spacing w:val="16"/>
          <w:lang w:val="en-GB"/>
        </w:rPr>
        <w:t xml:space="preserve"> </w:t>
      </w:r>
      <w:r w:rsidRPr="00380B40">
        <w:rPr>
          <w:lang w:val="en-GB"/>
        </w:rPr>
        <w:t>should</w:t>
      </w:r>
      <w:r w:rsidRPr="00380B40">
        <w:rPr>
          <w:spacing w:val="18"/>
          <w:lang w:val="en-GB"/>
        </w:rPr>
        <w:t xml:space="preserve"> </w:t>
      </w:r>
      <w:r w:rsidRPr="00380B40">
        <w:rPr>
          <w:lang w:val="en-GB"/>
        </w:rPr>
        <w:t>be</w:t>
      </w:r>
      <w:r w:rsidRPr="00380B40">
        <w:rPr>
          <w:spacing w:val="18"/>
          <w:lang w:val="en-GB"/>
        </w:rPr>
        <w:t xml:space="preserve"> </w:t>
      </w:r>
      <w:r w:rsidRPr="00380B40">
        <w:rPr>
          <w:lang w:val="en-GB"/>
        </w:rPr>
        <w:t>held.</w:t>
      </w:r>
      <w:r w:rsidRPr="00380B40">
        <w:rPr>
          <w:spacing w:val="19"/>
          <w:lang w:val="en-GB"/>
        </w:rPr>
        <w:t xml:space="preserve"> </w:t>
      </w:r>
      <w:r w:rsidRPr="00380B40">
        <w:rPr>
          <w:lang w:val="en-GB"/>
        </w:rPr>
        <w:t>The</w:t>
      </w:r>
      <w:r w:rsidRPr="00380B40">
        <w:rPr>
          <w:spacing w:val="17"/>
          <w:lang w:val="en-GB"/>
        </w:rPr>
        <w:t xml:space="preserve"> </w:t>
      </w:r>
      <w:r w:rsidRPr="00380B40">
        <w:rPr>
          <w:lang w:val="en-GB"/>
        </w:rPr>
        <w:t>decision</w:t>
      </w:r>
      <w:r w:rsidRPr="00380B40">
        <w:rPr>
          <w:spacing w:val="18"/>
          <w:lang w:val="en-GB"/>
        </w:rPr>
        <w:t xml:space="preserve"> </w:t>
      </w:r>
      <w:r w:rsidRPr="00380B40">
        <w:rPr>
          <w:lang w:val="en-GB"/>
        </w:rPr>
        <w:t>whether</w:t>
      </w:r>
      <w:r w:rsidRPr="00380B40">
        <w:rPr>
          <w:spacing w:val="19"/>
          <w:lang w:val="en-GB"/>
        </w:rPr>
        <w:t xml:space="preserve"> </w:t>
      </w:r>
      <w:r w:rsidRPr="00380B40">
        <w:rPr>
          <w:lang w:val="en-GB"/>
        </w:rPr>
        <w:t>to</w:t>
      </w:r>
      <w:r w:rsidRPr="00380B40">
        <w:rPr>
          <w:spacing w:val="19"/>
          <w:lang w:val="en-GB"/>
        </w:rPr>
        <w:t xml:space="preserve"> </w:t>
      </w:r>
      <w:r w:rsidRPr="00380B40">
        <w:rPr>
          <w:lang w:val="en-GB"/>
        </w:rPr>
        <w:t>cancel</w:t>
      </w:r>
      <w:r w:rsidRPr="00380B40">
        <w:rPr>
          <w:spacing w:val="19"/>
          <w:lang w:val="en-GB"/>
        </w:rPr>
        <w:t xml:space="preserve"> </w:t>
      </w:r>
      <w:r w:rsidRPr="00380B40">
        <w:rPr>
          <w:lang w:val="en-GB"/>
        </w:rPr>
        <w:t>a</w:t>
      </w:r>
      <w:r w:rsidRPr="00380B40">
        <w:rPr>
          <w:spacing w:val="18"/>
          <w:lang w:val="en-GB"/>
        </w:rPr>
        <w:t xml:space="preserve"> </w:t>
      </w:r>
      <w:r w:rsidRPr="00380B40">
        <w:rPr>
          <w:lang w:val="en-GB"/>
        </w:rPr>
        <w:t>meeting</w:t>
      </w:r>
      <w:r w:rsidRPr="00380B40">
        <w:rPr>
          <w:spacing w:val="16"/>
          <w:lang w:val="en-GB"/>
        </w:rPr>
        <w:t xml:space="preserve"> </w:t>
      </w:r>
      <w:r w:rsidRPr="00380B40">
        <w:rPr>
          <w:spacing w:val="1"/>
          <w:lang w:val="en-GB"/>
        </w:rPr>
        <w:t>or</w:t>
      </w:r>
      <w:r w:rsidRPr="00380B40">
        <w:rPr>
          <w:spacing w:val="18"/>
          <w:lang w:val="en-GB"/>
        </w:rPr>
        <w:t xml:space="preserve"> </w:t>
      </w:r>
      <w:r w:rsidRPr="00380B40">
        <w:rPr>
          <w:lang w:val="en-GB"/>
        </w:rPr>
        <w:t>not</w:t>
      </w:r>
      <w:r w:rsidRPr="00380B40">
        <w:rPr>
          <w:spacing w:val="19"/>
          <w:lang w:val="en-GB"/>
        </w:rPr>
        <w:t xml:space="preserve"> </w:t>
      </w:r>
      <w:r w:rsidRPr="00380B40">
        <w:rPr>
          <w:lang w:val="en-GB"/>
        </w:rPr>
        <w:t>shall</w:t>
      </w:r>
      <w:r w:rsidRPr="00380B40">
        <w:rPr>
          <w:spacing w:val="19"/>
          <w:lang w:val="en-GB"/>
        </w:rPr>
        <w:t xml:space="preserve"> </w:t>
      </w:r>
      <w:r w:rsidRPr="00380B40">
        <w:rPr>
          <w:lang w:val="en-GB"/>
        </w:rPr>
        <w:t>be</w:t>
      </w:r>
      <w:r w:rsidRPr="00380B40">
        <w:rPr>
          <w:spacing w:val="18"/>
          <w:lang w:val="en-GB"/>
        </w:rPr>
        <w:t xml:space="preserve"> </w:t>
      </w:r>
      <w:r w:rsidRPr="00380B40">
        <w:rPr>
          <w:lang w:val="en-GB"/>
        </w:rPr>
        <w:t>taken</w:t>
      </w:r>
      <w:r w:rsidRPr="00380B40">
        <w:rPr>
          <w:spacing w:val="18"/>
          <w:lang w:val="en-GB"/>
        </w:rPr>
        <w:t xml:space="preserve"> </w:t>
      </w:r>
      <w:r w:rsidRPr="00380B40">
        <w:rPr>
          <w:spacing w:val="1"/>
          <w:lang w:val="en-GB"/>
        </w:rPr>
        <w:t>by</w:t>
      </w:r>
      <w:r w:rsidRPr="00380B40">
        <w:rPr>
          <w:spacing w:val="14"/>
          <w:lang w:val="en-GB"/>
        </w:rPr>
        <w:t xml:space="preserve"> </w:t>
      </w:r>
      <w:r w:rsidRPr="00380B40">
        <w:rPr>
          <w:lang w:val="en-GB"/>
        </w:rPr>
        <w:t>the</w:t>
      </w:r>
      <w:r w:rsidRPr="00380B40">
        <w:rPr>
          <w:spacing w:val="53"/>
          <w:lang w:val="en-GB"/>
        </w:rPr>
        <w:t xml:space="preserve"> </w:t>
      </w:r>
      <w:r w:rsidRPr="00380B40">
        <w:rPr>
          <w:lang w:val="en-GB"/>
        </w:rPr>
        <w:t>Director, in agreement with the chairman of the</w:t>
      </w:r>
      <w:r w:rsidRPr="00380B40">
        <w:rPr>
          <w:spacing w:val="-2"/>
          <w:lang w:val="en-GB"/>
        </w:rPr>
        <w:t xml:space="preserve"> </w:t>
      </w:r>
      <w:r w:rsidRPr="00380B40">
        <w:rPr>
          <w:lang w:val="en-GB"/>
        </w:rPr>
        <w:t>study</w:t>
      </w:r>
      <w:r w:rsidRPr="00380B40">
        <w:rPr>
          <w:spacing w:val="-3"/>
          <w:lang w:val="en-GB"/>
        </w:rPr>
        <w:t xml:space="preserve"> </w:t>
      </w:r>
      <w:r w:rsidRPr="00380B40">
        <w:rPr>
          <w:lang w:val="en-GB"/>
        </w:rPr>
        <w:t xml:space="preserve">group </w:t>
      </w:r>
      <w:r w:rsidRPr="00380B40">
        <w:rPr>
          <w:spacing w:val="1"/>
          <w:lang w:val="en-GB"/>
        </w:rPr>
        <w:t>or</w:t>
      </w:r>
      <w:r w:rsidRPr="00380B40">
        <w:rPr>
          <w:lang w:val="en-GB"/>
        </w:rPr>
        <w:t xml:space="preserve"> working</w:t>
      </w:r>
      <w:r w:rsidRPr="00380B40">
        <w:rPr>
          <w:spacing w:val="-3"/>
          <w:lang w:val="en-GB"/>
        </w:rPr>
        <w:t xml:space="preserve"> </w:t>
      </w:r>
      <w:r w:rsidRPr="00380B40">
        <w:rPr>
          <w:lang w:val="en-GB"/>
        </w:rPr>
        <w:t>party</w:t>
      </w:r>
      <w:r w:rsidRPr="00380B40">
        <w:rPr>
          <w:spacing w:val="-5"/>
          <w:lang w:val="en-GB"/>
        </w:rPr>
        <w:t xml:space="preserve"> </w:t>
      </w:r>
      <w:r w:rsidRPr="00380B40">
        <w:rPr>
          <w:lang w:val="en-GB"/>
        </w:rPr>
        <w:t>concerned.</w:t>
      </w:r>
    </w:p>
    <w:p w14:paraId="7385EC8F" w14:textId="77777777" w:rsidR="00C12517" w:rsidRPr="00380B40" w:rsidRDefault="00C12517" w:rsidP="00C12517">
      <w:pPr>
        <w:pStyle w:val="Heading2"/>
        <w:tabs>
          <w:tab w:val="left" w:pos="908"/>
        </w:tabs>
        <w:rPr>
          <w:b w:val="0"/>
          <w:bCs/>
          <w:lang w:val="en-GB"/>
        </w:rPr>
      </w:pPr>
      <w:bookmarkStart w:id="585" w:name="_Toc206496676"/>
      <w:bookmarkStart w:id="586" w:name="_Toc471716639"/>
      <w:bookmarkStart w:id="587" w:name="_Toc20738311"/>
      <w:bookmarkStart w:id="588" w:name="_Toc21093725"/>
      <w:bookmarkStart w:id="589" w:name="_Toc22280334"/>
      <w:bookmarkStart w:id="590" w:name="_Toc111636830"/>
      <w:r w:rsidRPr="00380B40">
        <w:rPr>
          <w:lang w:val="en-GB"/>
        </w:rPr>
        <w:t>1.4</w:t>
      </w:r>
      <w:r w:rsidRPr="00380B40">
        <w:rPr>
          <w:lang w:val="en-GB"/>
        </w:rPr>
        <w:tab/>
      </w:r>
      <w:bookmarkStart w:id="591" w:name="_Toc532428455"/>
      <w:r w:rsidRPr="00380B40">
        <w:rPr>
          <w:lang w:val="en-GB"/>
        </w:rPr>
        <w:t xml:space="preserve">Conduct of </w:t>
      </w:r>
      <w:r w:rsidRPr="00380B40">
        <w:rPr>
          <w:spacing w:val="-1"/>
          <w:lang w:val="en-GB"/>
        </w:rPr>
        <w:t>meetings</w:t>
      </w:r>
      <w:bookmarkEnd w:id="585"/>
      <w:bookmarkEnd w:id="586"/>
      <w:bookmarkEnd w:id="587"/>
      <w:bookmarkEnd w:id="588"/>
      <w:bookmarkEnd w:id="589"/>
      <w:bookmarkEnd w:id="590"/>
      <w:bookmarkEnd w:id="591"/>
    </w:p>
    <w:p w14:paraId="73D10CDA" w14:textId="77777777" w:rsidR="00C12517" w:rsidRPr="00380B40" w:rsidRDefault="00C12517" w:rsidP="00C12517">
      <w:pPr>
        <w:rPr>
          <w:lang w:val="en-GB"/>
        </w:rPr>
      </w:pPr>
      <w:r w:rsidRPr="00380B40">
        <w:rPr>
          <w:b/>
          <w:bCs/>
          <w:lang w:val="en-GB"/>
        </w:rPr>
        <w:t>1.4.1</w:t>
      </w:r>
      <w:r w:rsidRPr="00380B40">
        <w:rPr>
          <w:lang w:val="en-GB"/>
        </w:rPr>
        <w:tab/>
        <w:t>The</w:t>
      </w:r>
      <w:r w:rsidRPr="00380B40">
        <w:rPr>
          <w:spacing w:val="-2"/>
          <w:lang w:val="en-GB"/>
        </w:rPr>
        <w:t xml:space="preserve"> </w:t>
      </w:r>
      <w:r w:rsidRPr="00380B40">
        <w:rPr>
          <w:lang w:val="en-GB"/>
        </w:rPr>
        <w:t>chairman shall direct</w:t>
      </w:r>
      <w:r w:rsidRPr="00380B40">
        <w:rPr>
          <w:spacing w:val="2"/>
          <w:lang w:val="en-GB"/>
        </w:rPr>
        <w:t xml:space="preserve"> </w:t>
      </w:r>
      <w:r w:rsidRPr="00380B40">
        <w:rPr>
          <w:lang w:val="en-GB"/>
        </w:rPr>
        <w:t>the debates during</w:t>
      </w:r>
      <w:r w:rsidRPr="00380B40">
        <w:rPr>
          <w:spacing w:val="-3"/>
          <w:lang w:val="en-GB"/>
        </w:rPr>
        <w:t xml:space="preserve"> </w:t>
      </w:r>
      <w:r w:rsidRPr="00380B40">
        <w:rPr>
          <w:lang w:val="en-GB"/>
        </w:rPr>
        <w:t>the meeting,</w:t>
      </w:r>
      <w:r w:rsidRPr="00380B40">
        <w:rPr>
          <w:spacing w:val="2"/>
          <w:lang w:val="en-GB"/>
        </w:rPr>
        <w:t xml:space="preserve"> </w:t>
      </w:r>
      <w:r w:rsidRPr="00380B40">
        <w:rPr>
          <w:lang w:val="en-GB"/>
        </w:rPr>
        <w:t>with the assistance of TSB.</w:t>
      </w:r>
    </w:p>
    <w:p w14:paraId="35E6FE68" w14:textId="77777777" w:rsidR="00DB6A21" w:rsidRPr="00380B40" w:rsidRDefault="00DB6A21" w:rsidP="00C12517">
      <w:pPr>
        <w:rPr>
          <w:b/>
          <w:bCs/>
          <w:lang w:val="en-GB"/>
        </w:rPr>
      </w:pPr>
      <w:r w:rsidRPr="00380B40">
        <w:rPr>
          <w:b/>
          <w:bCs/>
          <w:lang w:val="en-GB"/>
        </w:rPr>
        <w:br w:type="page"/>
      </w:r>
    </w:p>
    <w:p w14:paraId="79BAB551" w14:textId="77777777" w:rsidR="00C12517" w:rsidRPr="00380B40" w:rsidRDefault="00C12517" w:rsidP="00C12517">
      <w:pPr>
        <w:rPr>
          <w:lang w:val="en-GB"/>
        </w:rPr>
      </w:pPr>
      <w:r w:rsidRPr="00380B40">
        <w:rPr>
          <w:b/>
          <w:bCs/>
          <w:lang w:val="en-GB"/>
        </w:rPr>
        <w:t>1.4.2</w:t>
      </w:r>
      <w:r w:rsidRPr="00380B40">
        <w:rPr>
          <w:lang w:val="en-GB"/>
        </w:rPr>
        <w:tab/>
        <w:t>The</w:t>
      </w:r>
      <w:r w:rsidRPr="00380B40">
        <w:rPr>
          <w:spacing w:val="-9"/>
          <w:lang w:val="en-GB"/>
        </w:rPr>
        <w:t xml:space="preserve"> </w:t>
      </w:r>
      <w:r w:rsidRPr="00380B40">
        <w:rPr>
          <w:spacing w:val="-1"/>
          <w:lang w:val="en-GB"/>
        </w:rPr>
        <w:t>chairman</w:t>
      </w:r>
      <w:r w:rsidRPr="00380B40">
        <w:rPr>
          <w:spacing w:val="-8"/>
          <w:lang w:val="en-GB"/>
        </w:rPr>
        <w:t xml:space="preserve"> </w:t>
      </w:r>
      <w:r w:rsidRPr="00380B40">
        <w:rPr>
          <w:lang w:val="en-GB"/>
        </w:rPr>
        <w:t>is</w:t>
      </w:r>
      <w:r w:rsidRPr="00380B40">
        <w:rPr>
          <w:spacing w:val="-5"/>
          <w:lang w:val="en-GB"/>
        </w:rPr>
        <w:t xml:space="preserve"> </w:t>
      </w:r>
      <w:r w:rsidRPr="00380B40">
        <w:rPr>
          <w:spacing w:val="-1"/>
          <w:lang w:val="en-GB"/>
        </w:rPr>
        <w:t>authorized</w:t>
      </w:r>
      <w:r w:rsidRPr="00380B40">
        <w:rPr>
          <w:spacing w:val="-8"/>
          <w:lang w:val="en-GB"/>
        </w:rPr>
        <w:t xml:space="preserve"> </w:t>
      </w:r>
      <w:r w:rsidRPr="00380B40">
        <w:rPr>
          <w:lang w:val="en-GB"/>
        </w:rPr>
        <w:t>to</w:t>
      </w:r>
      <w:r w:rsidRPr="00380B40">
        <w:rPr>
          <w:spacing w:val="-7"/>
          <w:lang w:val="en-GB"/>
        </w:rPr>
        <w:t xml:space="preserve"> </w:t>
      </w:r>
      <w:r w:rsidRPr="00380B40">
        <w:rPr>
          <w:lang w:val="en-GB"/>
        </w:rPr>
        <w:t>decide</w:t>
      </w:r>
      <w:r w:rsidRPr="00380B40">
        <w:rPr>
          <w:spacing w:val="-8"/>
          <w:lang w:val="en-GB"/>
        </w:rPr>
        <w:t xml:space="preserve"> </w:t>
      </w:r>
      <w:r w:rsidRPr="00380B40">
        <w:rPr>
          <w:lang w:val="en-GB"/>
        </w:rPr>
        <w:t>that</w:t>
      </w:r>
      <w:r w:rsidRPr="00380B40">
        <w:rPr>
          <w:spacing w:val="-7"/>
          <w:lang w:val="en-GB"/>
        </w:rPr>
        <w:t xml:space="preserve"> </w:t>
      </w:r>
      <w:r w:rsidRPr="00380B40">
        <w:rPr>
          <w:lang w:val="en-GB"/>
        </w:rPr>
        <w:t>there</w:t>
      </w:r>
      <w:r w:rsidRPr="00380B40">
        <w:rPr>
          <w:spacing w:val="-9"/>
          <w:lang w:val="en-GB"/>
        </w:rPr>
        <w:t xml:space="preserve"> </w:t>
      </w:r>
      <w:r w:rsidRPr="00380B40">
        <w:rPr>
          <w:lang w:val="en-GB"/>
        </w:rPr>
        <w:t>shall</w:t>
      </w:r>
      <w:r w:rsidRPr="00380B40">
        <w:rPr>
          <w:spacing w:val="-7"/>
          <w:lang w:val="en-GB"/>
        </w:rPr>
        <w:t xml:space="preserve"> </w:t>
      </w:r>
      <w:r w:rsidRPr="00380B40">
        <w:rPr>
          <w:lang w:val="en-GB"/>
        </w:rPr>
        <w:t>be</w:t>
      </w:r>
      <w:r w:rsidRPr="00380B40">
        <w:rPr>
          <w:spacing w:val="-9"/>
          <w:lang w:val="en-GB"/>
        </w:rPr>
        <w:t xml:space="preserve"> </w:t>
      </w:r>
      <w:r w:rsidRPr="00380B40">
        <w:rPr>
          <w:lang w:val="en-GB"/>
        </w:rPr>
        <w:t>no</w:t>
      </w:r>
      <w:r w:rsidRPr="00380B40">
        <w:rPr>
          <w:spacing w:val="-6"/>
          <w:lang w:val="en-GB"/>
        </w:rPr>
        <w:t xml:space="preserve"> </w:t>
      </w:r>
      <w:r w:rsidRPr="00380B40">
        <w:rPr>
          <w:lang w:val="en-GB"/>
        </w:rPr>
        <w:t>discussion</w:t>
      </w:r>
      <w:r w:rsidRPr="00380B40">
        <w:rPr>
          <w:spacing w:val="-8"/>
          <w:lang w:val="en-GB"/>
        </w:rPr>
        <w:t xml:space="preserve"> </w:t>
      </w:r>
      <w:r w:rsidRPr="00380B40">
        <w:rPr>
          <w:lang w:val="en-GB"/>
        </w:rPr>
        <w:t>on</w:t>
      </w:r>
      <w:r w:rsidRPr="00380B40">
        <w:rPr>
          <w:spacing w:val="-8"/>
          <w:lang w:val="en-GB"/>
        </w:rPr>
        <w:t xml:space="preserve"> </w:t>
      </w:r>
      <w:r w:rsidRPr="00380B40">
        <w:rPr>
          <w:lang w:val="en-GB"/>
        </w:rPr>
        <w:t>Questions</w:t>
      </w:r>
      <w:r w:rsidRPr="00380B40">
        <w:rPr>
          <w:spacing w:val="-7"/>
          <w:lang w:val="en-GB"/>
        </w:rPr>
        <w:t xml:space="preserve"> </w:t>
      </w:r>
      <w:r w:rsidRPr="00380B40">
        <w:rPr>
          <w:lang w:val="en-GB"/>
        </w:rPr>
        <w:t>on</w:t>
      </w:r>
      <w:r w:rsidRPr="00380B40">
        <w:rPr>
          <w:spacing w:val="-8"/>
          <w:lang w:val="en-GB"/>
        </w:rPr>
        <w:t xml:space="preserve"> </w:t>
      </w:r>
      <w:r w:rsidRPr="00380B40">
        <w:rPr>
          <w:spacing w:val="-1"/>
          <w:lang w:val="en-GB"/>
        </w:rPr>
        <w:t>which</w:t>
      </w:r>
      <w:r w:rsidRPr="00380B40">
        <w:rPr>
          <w:spacing w:val="52"/>
          <w:lang w:val="en-GB"/>
        </w:rPr>
        <w:t xml:space="preserve"> </w:t>
      </w:r>
      <w:r w:rsidRPr="00380B40">
        <w:rPr>
          <w:spacing w:val="-1"/>
          <w:lang w:val="en-GB"/>
        </w:rPr>
        <w:t>insufficient</w:t>
      </w:r>
      <w:r w:rsidRPr="00380B40">
        <w:rPr>
          <w:lang w:val="en-GB"/>
        </w:rPr>
        <w:t xml:space="preserve"> </w:t>
      </w:r>
      <w:r w:rsidRPr="00380B40">
        <w:rPr>
          <w:spacing w:val="-1"/>
          <w:lang w:val="en-GB"/>
        </w:rPr>
        <w:t>contributions</w:t>
      </w:r>
      <w:r w:rsidRPr="00380B40">
        <w:rPr>
          <w:lang w:val="en-GB"/>
        </w:rPr>
        <w:t xml:space="preserve"> </w:t>
      </w:r>
      <w:r w:rsidRPr="00380B40">
        <w:rPr>
          <w:spacing w:val="-1"/>
          <w:lang w:val="en-GB"/>
        </w:rPr>
        <w:t xml:space="preserve">have </w:t>
      </w:r>
      <w:r w:rsidRPr="00380B40">
        <w:rPr>
          <w:lang w:val="en-GB"/>
        </w:rPr>
        <w:t xml:space="preserve">been </w:t>
      </w:r>
      <w:r w:rsidRPr="00380B40">
        <w:rPr>
          <w:spacing w:val="-1"/>
          <w:lang w:val="en-GB"/>
        </w:rPr>
        <w:t>received.</w:t>
      </w:r>
    </w:p>
    <w:p w14:paraId="0ACAE6F4" w14:textId="77777777" w:rsidR="00C12517" w:rsidRPr="00380B40" w:rsidRDefault="00C12517" w:rsidP="00C12517">
      <w:pPr>
        <w:rPr>
          <w:lang w:val="en-GB"/>
        </w:rPr>
      </w:pPr>
      <w:r w:rsidRPr="00380B40">
        <w:rPr>
          <w:b/>
          <w:bCs/>
          <w:lang w:val="en-GB"/>
        </w:rPr>
        <w:t>1.4.3</w:t>
      </w:r>
      <w:r w:rsidRPr="00380B40">
        <w:rPr>
          <w:lang w:val="en-GB"/>
        </w:rPr>
        <w:tab/>
      </w:r>
      <w:r w:rsidRPr="00380B40">
        <w:rPr>
          <w:spacing w:val="-1"/>
          <w:lang w:val="en-GB"/>
        </w:rPr>
        <w:t>Questions</w:t>
      </w:r>
      <w:r w:rsidRPr="00380B40">
        <w:rPr>
          <w:spacing w:val="-5"/>
          <w:lang w:val="en-GB"/>
        </w:rPr>
        <w:t xml:space="preserve"> </w:t>
      </w:r>
      <w:r w:rsidRPr="00380B40">
        <w:rPr>
          <w:spacing w:val="-1"/>
          <w:lang w:val="en-GB"/>
        </w:rPr>
        <w:t>which</w:t>
      </w:r>
      <w:r w:rsidRPr="00380B40">
        <w:rPr>
          <w:spacing w:val="-5"/>
          <w:lang w:val="en-GB"/>
        </w:rPr>
        <w:t xml:space="preserve"> </w:t>
      </w:r>
      <w:r w:rsidRPr="00380B40">
        <w:rPr>
          <w:spacing w:val="-1"/>
          <w:lang w:val="en-GB"/>
        </w:rPr>
        <w:t>have</w:t>
      </w:r>
      <w:r w:rsidRPr="00380B40">
        <w:rPr>
          <w:spacing w:val="-6"/>
          <w:lang w:val="en-GB"/>
        </w:rPr>
        <w:t xml:space="preserve"> </w:t>
      </w:r>
      <w:r w:rsidRPr="00380B40">
        <w:rPr>
          <w:lang w:val="en-GB"/>
        </w:rPr>
        <w:t>not</w:t>
      </w:r>
      <w:r w:rsidRPr="00380B40">
        <w:rPr>
          <w:spacing w:val="-5"/>
          <w:lang w:val="en-GB"/>
        </w:rPr>
        <w:t xml:space="preserve"> </w:t>
      </w:r>
      <w:r w:rsidRPr="00380B40">
        <w:rPr>
          <w:spacing w:val="-1"/>
          <w:lang w:val="en-GB"/>
        </w:rPr>
        <w:t>elicited</w:t>
      </w:r>
      <w:r w:rsidRPr="00380B40">
        <w:rPr>
          <w:spacing w:val="-5"/>
          <w:lang w:val="en-GB"/>
        </w:rPr>
        <w:t xml:space="preserve"> </w:t>
      </w:r>
      <w:r w:rsidRPr="00380B40">
        <w:rPr>
          <w:lang w:val="en-GB"/>
        </w:rPr>
        <w:t>any</w:t>
      </w:r>
      <w:r w:rsidRPr="00380B40">
        <w:rPr>
          <w:spacing w:val="-10"/>
          <w:lang w:val="en-GB"/>
        </w:rPr>
        <w:t xml:space="preserve"> </w:t>
      </w:r>
      <w:r w:rsidRPr="00380B40">
        <w:rPr>
          <w:lang w:val="en-GB"/>
        </w:rPr>
        <w:t>contributions</w:t>
      </w:r>
      <w:r w:rsidRPr="00380B40">
        <w:rPr>
          <w:spacing w:val="-5"/>
          <w:lang w:val="en-GB"/>
        </w:rPr>
        <w:t xml:space="preserve"> </w:t>
      </w:r>
      <w:r w:rsidRPr="00380B40">
        <w:rPr>
          <w:lang w:val="en-GB"/>
        </w:rPr>
        <w:t>should</w:t>
      </w:r>
      <w:r w:rsidRPr="00380B40">
        <w:rPr>
          <w:spacing w:val="-5"/>
          <w:lang w:val="en-GB"/>
        </w:rPr>
        <w:t xml:space="preserve"> </w:t>
      </w:r>
      <w:r w:rsidRPr="00380B40">
        <w:rPr>
          <w:lang w:val="en-GB"/>
        </w:rPr>
        <w:t>not</w:t>
      </w:r>
      <w:r w:rsidRPr="00380B40">
        <w:rPr>
          <w:spacing w:val="-5"/>
          <w:lang w:val="en-GB"/>
        </w:rPr>
        <w:t xml:space="preserve"> </w:t>
      </w:r>
      <w:r w:rsidRPr="00380B40">
        <w:rPr>
          <w:lang w:val="en-GB"/>
        </w:rPr>
        <w:t>be</w:t>
      </w:r>
      <w:r w:rsidRPr="00380B40">
        <w:rPr>
          <w:spacing w:val="-6"/>
          <w:lang w:val="en-GB"/>
        </w:rPr>
        <w:t xml:space="preserve"> </w:t>
      </w:r>
      <w:r w:rsidRPr="00380B40">
        <w:rPr>
          <w:spacing w:val="-1"/>
          <w:lang w:val="en-GB"/>
        </w:rPr>
        <w:t>placed</w:t>
      </w:r>
      <w:r w:rsidRPr="00380B40">
        <w:rPr>
          <w:spacing w:val="-5"/>
          <w:lang w:val="en-GB"/>
        </w:rPr>
        <w:t xml:space="preserve"> </w:t>
      </w:r>
      <w:r w:rsidRPr="00380B40">
        <w:rPr>
          <w:lang w:val="en-GB"/>
        </w:rPr>
        <w:t>on</w:t>
      </w:r>
      <w:r w:rsidRPr="00380B40">
        <w:rPr>
          <w:spacing w:val="-5"/>
          <w:lang w:val="en-GB"/>
        </w:rPr>
        <w:t xml:space="preserve"> </w:t>
      </w:r>
      <w:r w:rsidRPr="00380B40">
        <w:rPr>
          <w:lang w:val="en-GB"/>
        </w:rPr>
        <w:t>the</w:t>
      </w:r>
      <w:r w:rsidRPr="00380B40">
        <w:rPr>
          <w:spacing w:val="-6"/>
          <w:lang w:val="en-GB"/>
        </w:rPr>
        <w:t xml:space="preserve"> </w:t>
      </w:r>
      <w:r w:rsidRPr="00380B40">
        <w:rPr>
          <w:spacing w:val="-1"/>
          <w:lang w:val="en-GB"/>
        </w:rPr>
        <w:t>final</w:t>
      </w:r>
      <w:r w:rsidRPr="00380B40">
        <w:rPr>
          <w:spacing w:val="-5"/>
          <w:lang w:val="en-GB"/>
        </w:rPr>
        <w:t xml:space="preserve"> </w:t>
      </w:r>
      <w:r w:rsidRPr="00380B40">
        <w:rPr>
          <w:spacing w:val="-1"/>
          <w:lang w:val="en-GB"/>
        </w:rPr>
        <w:t>agenda</w:t>
      </w:r>
      <w:r w:rsidRPr="00380B40">
        <w:rPr>
          <w:spacing w:val="67"/>
          <w:lang w:val="en-GB"/>
        </w:rPr>
        <w:t xml:space="preserve"> </w:t>
      </w:r>
      <w:r w:rsidRPr="00380B40">
        <w:rPr>
          <w:lang w:val="en-GB"/>
        </w:rPr>
        <w:t>of</w:t>
      </w:r>
      <w:r w:rsidRPr="00380B40">
        <w:rPr>
          <w:spacing w:val="18"/>
          <w:lang w:val="en-GB"/>
        </w:rPr>
        <w:t xml:space="preserve"> </w:t>
      </w:r>
      <w:r w:rsidRPr="00380B40">
        <w:rPr>
          <w:lang w:val="en-GB"/>
        </w:rPr>
        <w:t>the</w:t>
      </w:r>
      <w:r w:rsidRPr="00380B40">
        <w:rPr>
          <w:spacing w:val="18"/>
          <w:lang w:val="en-GB"/>
        </w:rPr>
        <w:t xml:space="preserve"> </w:t>
      </w:r>
      <w:r w:rsidRPr="00380B40">
        <w:rPr>
          <w:spacing w:val="-1"/>
          <w:lang w:val="en-GB"/>
        </w:rPr>
        <w:t>meeting,</w:t>
      </w:r>
      <w:r w:rsidRPr="00380B40">
        <w:rPr>
          <w:spacing w:val="21"/>
          <w:lang w:val="en-GB"/>
        </w:rPr>
        <w:t xml:space="preserve"> </w:t>
      </w:r>
      <w:r w:rsidRPr="00380B40">
        <w:rPr>
          <w:spacing w:val="-1"/>
          <w:lang w:val="en-GB"/>
        </w:rPr>
        <w:t>and</w:t>
      </w:r>
      <w:r w:rsidRPr="00380B40">
        <w:rPr>
          <w:spacing w:val="18"/>
          <w:lang w:val="en-GB"/>
        </w:rPr>
        <w:t xml:space="preserve"> </w:t>
      </w:r>
      <w:r w:rsidRPr="00380B40">
        <w:rPr>
          <w:lang w:val="en-GB"/>
        </w:rPr>
        <w:t>according</w:t>
      </w:r>
      <w:r w:rsidRPr="00380B40">
        <w:rPr>
          <w:spacing w:val="16"/>
          <w:lang w:val="en-GB"/>
        </w:rPr>
        <w:t xml:space="preserve"> </w:t>
      </w:r>
      <w:r w:rsidRPr="00380B40">
        <w:rPr>
          <w:lang w:val="en-GB"/>
        </w:rPr>
        <w:t>to</w:t>
      </w:r>
      <w:r w:rsidRPr="00380B40">
        <w:rPr>
          <w:spacing w:val="19"/>
          <w:lang w:val="en-GB"/>
        </w:rPr>
        <w:t xml:space="preserve"> </w:t>
      </w:r>
      <w:r w:rsidRPr="00380B40">
        <w:rPr>
          <w:lang w:val="en-GB"/>
        </w:rPr>
        <w:t>provisions</w:t>
      </w:r>
      <w:r w:rsidRPr="00380B40">
        <w:rPr>
          <w:spacing w:val="19"/>
          <w:lang w:val="en-GB"/>
        </w:rPr>
        <w:t xml:space="preserve"> </w:t>
      </w:r>
      <w:r w:rsidRPr="00380B40">
        <w:rPr>
          <w:lang w:val="en-GB"/>
        </w:rPr>
        <w:t>of</w:t>
      </w:r>
      <w:r w:rsidRPr="00380B40">
        <w:rPr>
          <w:spacing w:val="18"/>
          <w:lang w:val="en-GB"/>
        </w:rPr>
        <w:t xml:space="preserve"> </w:t>
      </w:r>
      <w:r w:rsidRPr="00380B40">
        <w:rPr>
          <w:lang w:val="en-GB"/>
        </w:rPr>
        <w:t>7.4.1</w:t>
      </w:r>
      <w:r w:rsidRPr="00380B40">
        <w:rPr>
          <w:spacing w:val="18"/>
          <w:lang w:val="en-GB"/>
        </w:rPr>
        <w:t xml:space="preserve"> </w:t>
      </w:r>
      <w:r w:rsidRPr="00380B40">
        <w:rPr>
          <w:lang w:val="en-GB"/>
        </w:rPr>
        <w:t>of</w:t>
      </w:r>
      <w:r w:rsidRPr="00380B40">
        <w:rPr>
          <w:spacing w:val="18"/>
          <w:lang w:val="en-GB"/>
        </w:rPr>
        <w:t xml:space="preserve"> [</w:t>
      </w:r>
      <w:r w:rsidRPr="00380B40">
        <w:rPr>
          <w:lang w:val="en-GB"/>
        </w:rPr>
        <w:t>WTSA</w:t>
      </w:r>
      <w:r w:rsidRPr="00380B40">
        <w:rPr>
          <w:spacing w:val="18"/>
          <w:lang w:val="en-GB"/>
        </w:rPr>
        <w:t xml:space="preserve"> </w:t>
      </w:r>
      <w:r w:rsidRPr="00380B40">
        <w:rPr>
          <w:spacing w:val="-1"/>
          <w:lang w:val="en-GB"/>
        </w:rPr>
        <w:t>Res.</w:t>
      </w:r>
      <w:r w:rsidRPr="00380B40">
        <w:rPr>
          <w:spacing w:val="7"/>
          <w:lang w:val="en-GB"/>
        </w:rPr>
        <w:t xml:space="preserve"> </w:t>
      </w:r>
      <w:r w:rsidRPr="00380B40">
        <w:rPr>
          <w:lang w:val="en-GB"/>
        </w:rPr>
        <w:t>1],</w:t>
      </w:r>
      <w:r w:rsidRPr="00380B40">
        <w:rPr>
          <w:spacing w:val="18"/>
          <w:lang w:val="en-GB"/>
        </w:rPr>
        <w:t xml:space="preserve"> </w:t>
      </w:r>
      <w:r w:rsidRPr="00380B40">
        <w:rPr>
          <w:lang w:val="en-GB"/>
        </w:rPr>
        <w:t>may</w:t>
      </w:r>
      <w:r w:rsidRPr="00380B40">
        <w:rPr>
          <w:spacing w:val="16"/>
          <w:lang w:val="en-GB"/>
        </w:rPr>
        <w:t xml:space="preserve"> </w:t>
      </w:r>
      <w:r w:rsidRPr="00380B40">
        <w:rPr>
          <w:lang w:val="en-GB"/>
        </w:rPr>
        <w:t>be</w:t>
      </w:r>
      <w:r w:rsidRPr="00380B40">
        <w:rPr>
          <w:spacing w:val="18"/>
          <w:lang w:val="en-GB"/>
        </w:rPr>
        <w:t xml:space="preserve"> </w:t>
      </w:r>
      <w:r w:rsidRPr="00380B40">
        <w:rPr>
          <w:lang w:val="en-GB"/>
        </w:rPr>
        <w:t>deleted</w:t>
      </w:r>
      <w:r w:rsidRPr="00380B40">
        <w:rPr>
          <w:spacing w:val="18"/>
          <w:lang w:val="en-GB"/>
        </w:rPr>
        <w:t xml:space="preserve"> </w:t>
      </w:r>
      <w:r w:rsidRPr="00380B40">
        <w:rPr>
          <w:lang w:val="en-GB"/>
        </w:rPr>
        <w:t>if</w:t>
      </w:r>
      <w:r w:rsidRPr="00380B40">
        <w:rPr>
          <w:spacing w:val="18"/>
          <w:lang w:val="en-GB"/>
        </w:rPr>
        <w:t xml:space="preserve"> </w:t>
      </w:r>
      <w:r w:rsidRPr="00380B40">
        <w:rPr>
          <w:spacing w:val="1"/>
          <w:lang w:val="en-GB"/>
        </w:rPr>
        <w:t>no</w:t>
      </w:r>
      <w:r w:rsidRPr="00380B40">
        <w:rPr>
          <w:spacing w:val="46"/>
          <w:lang w:val="en-GB"/>
        </w:rPr>
        <w:t xml:space="preserve"> </w:t>
      </w:r>
      <w:r w:rsidRPr="00380B40">
        <w:rPr>
          <w:spacing w:val="-1"/>
          <w:lang w:val="en-GB"/>
        </w:rPr>
        <w:t>contributions</w:t>
      </w:r>
      <w:r w:rsidRPr="00380B40">
        <w:rPr>
          <w:lang w:val="en-GB"/>
        </w:rPr>
        <w:t xml:space="preserve"> </w:t>
      </w:r>
      <w:r w:rsidRPr="00380B40">
        <w:rPr>
          <w:spacing w:val="-1"/>
          <w:lang w:val="en-GB"/>
        </w:rPr>
        <w:t>have been</w:t>
      </w:r>
      <w:r w:rsidRPr="00380B40">
        <w:rPr>
          <w:spacing w:val="2"/>
          <w:lang w:val="en-GB"/>
        </w:rPr>
        <w:t xml:space="preserve"> </w:t>
      </w:r>
      <w:r w:rsidRPr="00380B40">
        <w:rPr>
          <w:spacing w:val="-1"/>
          <w:lang w:val="en-GB"/>
        </w:rPr>
        <w:t>received</w:t>
      </w:r>
      <w:r w:rsidRPr="00380B40">
        <w:rPr>
          <w:spacing w:val="1"/>
          <w:lang w:val="en-GB"/>
        </w:rPr>
        <w:t xml:space="preserve"> </w:t>
      </w:r>
      <w:r w:rsidRPr="00380B40">
        <w:rPr>
          <w:lang w:val="en-GB"/>
        </w:rPr>
        <w:t>for</w:t>
      </w:r>
      <w:r w:rsidRPr="00380B40">
        <w:rPr>
          <w:spacing w:val="-2"/>
          <w:lang w:val="en-GB"/>
        </w:rPr>
        <w:t xml:space="preserve"> </w:t>
      </w:r>
      <w:r w:rsidRPr="00380B40">
        <w:rPr>
          <w:lang w:val="en-GB"/>
        </w:rPr>
        <w:t xml:space="preserve">the </w:t>
      </w:r>
      <w:r w:rsidRPr="00380B40">
        <w:rPr>
          <w:spacing w:val="-1"/>
          <w:lang w:val="en-GB"/>
        </w:rPr>
        <w:t>previous</w:t>
      </w:r>
      <w:r w:rsidRPr="00380B40">
        <w:rPr>
          <w:lang w:val="en-GB"/>
        </w:rPr>
        <w:t xml:space="preserve"> two study</w:t>
      </w:r>
      <w:r w:rsidRPr="00380B40">
        <w:rPr>
          <w:spacing w:val="-3"/>
          <w:lang w:val="en-GB"/>
        </w:rPr>
        <w:t xml:space="preserve"> </w:t>
      </w:r>
      <w:r w:rsidRPr="00380B40">
        <w:rPr>
          <w:spacing w:val="-1"/>
          <w:lang w:val="en-GB"/>
        </w:rPr>
        <w:t>group meetings.</w:t>
      </w:r>
    </w:p>
    <w:p w14:paraId="250AE24E" w14:textId="77777777" w:rsidR="00C12517" w:rsidRPr="00380B40" w:rsidRDefault="00C12517" w:rsidP="00C12517">
      <w:pPr>
        <w:rPr>
          <w:lang w:val="en-GB"/>
        </w:rPr>
      </w:pPr>
      <w:r w:rsidRPr="00380B40">
        <w:rPr>
          <w:b/>
          <w:bCs/>
          <w:lang w:val="en-GB"/>
        </w:rPr>
        <w:t>1.4.4</w:t>
      </w:r>
      <w:r w:rsidRPr="00380B40">
        <w:rPr>
          <w:lang w:val="en-GB"/>
        </w:rPr>
        <w:tab/>
        <w:t>Study</w:t>
      </w:r>
      <w:r w:rsidRPr="00380B40">
        <w:rPr>
          <w:spacing w:val="9"/>
          <w:lang w:val="en-GB"/>
        </w:rPr>
        <w:t xml:space="preserve"> </w:t>
      </w:r>
      <w:r w:rsidRPr="00380B40">
        <w:rPr>
          <w:spacing w:val="-1"/>
          <w:lang w:val="en-GB"/>
        </w:rPr>
        <w:t>groups</w:t>
      </w:r>
      <w:r w:rsidRPr="00380B40">
        <w:rPr>
          <w:spacing w:val="14"/>
          <w:lang w:val="en-GB"/>
        </w:rPr>
        <w:t xml:space="preserve"> </w:t>
      </w:r>
      <w:r w:rsidRPr="00380B40">
        <w:rPr>
          <w:spacing w:val="-1"/>
          <w:lang w:val="en-GB"/>
        </w:rPr>
        <w:t>and</w:t>
      </w:r>
      <w:r w:rsidRPr="00380B40">
        <w:rPr>
          <w:spacing w:val="14"/>
          <w:lang w:val="en-GB"/>
        </w:rPr>
        <w:t xml:space="preserve"> </w:t>
      </w:r>
      <w:r w:rsidRPr="00380B40">
        <w:rPr>
          <w:lang w:val="en-GB"/>
        </w:rPr>
        <w:t>working</w:t>
      </w:r>
      <w:r w:rsidRPr="00380B40">
        <w:rPr>
          <w:spacing w:val="11"/>
          <w:lang w:val="en-GB"/>
        </w:rPr>
        <w:t xml:space="preserve"> </w:t>
      </w:r>
      <w:r w:rsidRPr="00380B40">
        <w:rPr>
          <w:lang w:val="en-GB"/>
        </w:rPr>
        <w:t>parties</w:t>
      </w:r>
      <w:r w:rsidRPr="00380B40">
        <w:rPr>
          <w:spacing w:val="14"/>
          <w:lang w:val="en-GB"/>
        </w:rPr>
        <w:t xml:space="preserve"> </w:t>
      </w:r>
      <w:r w:rsidRPr="00380B40">
        <w:rPr>
          <w:spacing w:val="1"/>
          <w:lang w:val="en-GB"/>
        </w:rPr>
        <w:t>may</w:t>
      </w:r>
      <w:r w:rsidRPr="00380B40">
        <w:rPr>
          <w:spacing w:val="9"/>
          <w:lang w:val="en-GB"/>
        </w:rPr>
        <w:t xml:space="preserve"> </w:t>
      </w:r>
      <w:r w:rsidRPr="00380B40">
        <w:rPr>
          <w:spacing w:val="-1"/>
          <w:lang w:val="en-GB"/>
        </w:rPr>
        <w:t>set</w:t>
      </w:r>
      <w:r w:rsidRPr="00380B40">
        <w:rPr>
          <w:spacing w:val="14"/>
          <w:lang w:val="en-GB"/>
        </w:rPr>
        <w:t xml:space="preserve"> </w:t>
      </w:r>
      <w:r w:rsidRPr="00380B40">
        <w:rPr>
          <w:lang w:val="en-GB"/>
        </w:rPr>
        <w:t>up</w:t>
      </w:r>
      <w:r w:rsidRPr="00380B40">
        <w:rPr>
          <w:spacing w:val="14"/>
          <w:lang w:val="en-GB"/>
        </w:rPr>
        <w:t xml:space="preserve"> </w:t>
      </w:r>
      <w:r w:rsidRPr="00380B40">
        <w:rPr>
          <w:lang w:val="en-GB"/>
        </w:rPr>
        <w:t>ad hoc groups</w:t>
      </w:r>
      <w:r w:rsidRPr="00380B40">
        <w:rPr>
          <w:spacing w:val="14"/>
          <w:lang w:val="en-GB"/>
        </w:rPr>
        <w:t xml:space="preserve"> </w:t>
      </w:r>
      <w:r w:rsidRPr="00380B40">
        <w:rPr>
          <w:spacing w:val="-1"/>
          <w:lang w:val="en-GB"/>
        </w:rPr>
        <w:t>(which</w:t>
      </w:r>
      <w:r w:rsidRPr="00380B40">
        <w:rPr>
          <w:spacing w:val="13"/>
          <w:lang w:val="en-GB"/>
        </w:rPr>
        <w:t xml:space="preserve"> </w:t>
      </w:r>
      <w:r w:rsidRPr="00380B40">
        <w:rPr>
          <w:lang w:val="en-GB"/>
        </w:rPr>
        <w:t>should</w:t>
      </w:r>
      <w:r w:rsidRPr="00380B40">
        <w:rPr>
          <w:spacing w:val="14"/>
          <w:lang w:val="en-GB"/>
        </w:rPr>
        <w:t xml:space="preserve"> </w:t>
      </w:r>
      <w:r w:rsidRPr="00380B40">
        <w:rPr>
          <w:lang w:val="en-GB"/>
        </w:rPr>
        <w:t>be</w:t>
      </w:r>
      <w:r w:rsidRPr="00380B40">
        <w:rPr>
          <w:spacing w:val="13"/>
          <w:lang w:val="en-GB"/>
        </w:rPr>
        <w:t xml:space="preserve"> </w:t>
      </w:r>
      <w:r w:rsidRPr="00380B40">
        <w:rPr>
          <w:spacing w:val="-1"/>
          <w:lang w:val="en-GB"/>
        </w:rPr>
        <w:t>as</w:t>
      </w:r>
      <w:r w:rsidRPr="00380B40">
        <w:rPr>
          <w:spacing w:val="14"/>
          <w:lang w:val="en-GB"/>
        </w:rPr>
        <w:t xml:space="preserve"> </w:t>
      </w:r>
      <w:r w:rsidRPr="00380B40">
        <w:rPr>
          <w:lang w:val="en-GB"/>
        </w:rPr>
        <w:t>small</w:t>
      </w:r>
      <w:r w:rsidRPr="00380B40">
        <w:rPr>
          <w:spacing w:val="14"/>
          <w:lang w:val="en-GB"/>
        </w:rPr>
        <w:t xml:space="preserve"> </w:t>
      </w:r>
      <w:r w:rsidRPr="00380B40">
        <w:rPr>
          <w:spacing w:val="-1"/>
          <w:lang w:val="en-GB"/>
        </w:rPr>
        <w:t>as</w:t>
      </w:r>
      <w:r w:rsidRPr="00380B40">
        <w:rPr>
          <w:spacing w:val="42"/>
          <w:lang w:val="en-GB"/>
        </w:rPr>
        <w:t xml:space="preserve"> </w:t>
      </w:r>
      <w:r w:rsidRPr="00380B40">
        <w:rPr>
          <w:lang w:val="en-GB"/>
        </w:rPr>
        <w:t>possible</w:t>
      </w:r>
      <w:r w:rsidRPr="00380B40">
        <w:rPr>
          <w:spacing w:val="-15"/>
          <w:lang w:val="en-GB"/>
        </w:rPr>
        <w:t xml:space="preserve"> </w:t>
      </w:r>
      <w:r w:rsidRPr="00380B40">
        <w:rPr>
          <w:spacing w:val="-1"/>
          <w:lang w:val="en-GB"/>
        </w:rPr>
        <w:t>and</w:t>
      </w:r>
      <w:r w:rsidRPr="00380B40">
        <w:rPr>
          <w:spacing w:val="-15"/>
          <w:lang w:val="en-GB"/>
        </w:rPr>
        <w:t xml:space="preserve"> </w:t>
      </w:r>
      <w:r w:rsidRPr="00380B40">
        <w:rPr>
          <w:spacing w:val="-1"/>
          <w:lang w:val="en-GB"/>
        </w:rPr>
        <w:t>are</w:t>
      </w:r>
      <w:r w:rsidRPr="00380B40">
        <w:rPr>
          <w:spacing w:val="-17"/>
          <w:lang w:val="en-GB"/>
        </w:rPr>
        <w:t xml:space="preserve"> </w:t>
      </w:r>
      <w:r w:rsidRPr="00380B40">
        <w:rPr>
          <w:spacing w:val="-1"/>
          <w:lang w:val="en-GB"/>
        </w:rPr>
        <w:t>subject</w:t>
      </w:r>
      <w:r w:rsidRPr="00380B40">
        <w:rPr>
          <w:spacing w:val="-14"/>
          <w:lang w:val="en-GB"/>
        </w:rPr>
        <w:t xml:space="preserve"> </w:t>
      </w:r>
      <w:r w:rsidRPr="00380B40">
        <w:rPr>
          <w:spacing w:val="1"/>
          <w:lang w:val="en-GB"/>
        </w:rPr>
        <w:t>to</w:t>
      </w:r>
      <w:r w:rsidRPr="00380B40">
        <w:rPr>
          <w:spacing w:val="-15"/>
          <w:lang w:val="en-GB"/>
        </w:rPr>
        <w:t xml:space="preserve"> </w:t>
      </w:r>
      <w:r w:rsidRPr="00380B40">
        <w:rPr>
          <w:lang w:val="en-GB"/>
        </w:rPr>
        <w:t>the</w:t>
      </w:r>
      <w:r w:rsidRPr="00380B40">
        <w:rPr>
          <w:spacing w:val="-15"/>
          <w:lang w:val="en-GB"/>
        </w:rPr>
        <w:t xml:space="preserve"> </w:t>
      </w:r>
      <w:r w:rsidRPr="00380B40">
        <w:rPr>
          <w:spacing w:val="-1"/>
          <w:lang w:val="en-GB"/>
        </w:rPr>
        <w:t>normal</w:t>
      </w:r>
      <w:r w:rsidRPr="00380B40">
        <w:rPr>
          <w:spacing w:val="-14"/>
          <w:lang w:val="en-GB"/>
        </w:rPr>
        <w:t xml:space="preserve"> </w:t>
      </w:r>
      <w:r w:rsidRPr="00380B40">
        <w:rPr>
          <w:spacing w:val="-1"/>
          <w:lang w:val="en-GB"/>
        </w:rPr>
        <w:t>rules</w:t>
      </w:r>
      <w:r w:rsidRPr="00380B40">
        <w:rPr>
          <w:spacing w:val="-15"/>
          <w:lang w:val="en-GB"/>
        </w:rPr>
        <w:t xml:space="preserve"> </w:t>
      </w:r>
      <w:r w:rsidRPr="00380B40">
        <w:rPr>
          <w:lang w:val="en-GB"/>
        </w:rPr>
        <w:t>of</w:t>
      </w:r>
      <w:r w:rsidRPr="00380B40">
        <w:rPr>
          <w:spacing w:val="-16"/>
          <w:lang w:val="en-GB"/>
        </w:rPr>
        <w:t xml:space="preserve"> </w:t>
      </w:r>
      <w:r w:rsidRPr="00380B40">
        <w:rPr>
          <w:lang w:val="en-GB"/>
        </w:rPr>
        <w:t>the</w:t>
      </w:r>
      <w:r w:rsidRPr="00380B40">
        <w:rPr>
          <w:spacing w:val="-15"/>
          <w:lang w:val="en-GB"/>
        </w:rPr>
        <w:t xml:space="preserve"> </w:t>
      </w:r>
      <w:r w:rsidRPr="00380B40">
        <w:rPr>
          <w:lang w:val="en-GB"/>
        </w:rPr>
        <w:t>study</w:t>
      </w:r>
      <w:r w:rsidRPr="00380B40">
        <w:rPr>
          <w:spacing w:val="-17"/>
          <w:lang w:val="en-GB"/>
        </w:rPr>
        <w:t xml:space="preserve"> </w:t>
      </w:r>
      <w:r w:rsidRPr="00380B40">
        <w:rPr>
          <w:spacing w:val="-1"/>
          <w:lang w:val="en-GB"/>
        </w:rPr>
        <w:t>group</w:t>
      </w:r>
      <w:r w:rsidRPr="00380B40">
        <w:rPr>
          <w:spacing w:val="-16"/>
          <w:lang w:val="en-GB"/>
        </w:rPr>
        <w:t xml:space="preserve"> </w:t>
      </w:r>
      <w:r w:rsidRPr="00380B40">
        <w:rPr>
          <w:lang w:val="en-GB"/>
        </w:rPr>
        <w:t>or</w:t>
      </w:r>
      <w:r w:rsidRPr="00380B40">
        <w:rPr>
          <w:spacing w:val="-16"/>
          <w:lang w:val="en-GB"/>
        </w:rPr>
        <w:t xml:space="preserve"> </w:t>
      </w:r>
      <w:r w:rsidRPr="00380B40">
        <w:rPr>
          <w:lang w:val="en-GB"/>
        </w:rPr>
        <w:t>working</w:t>
      </w:r>
      <w:r w:rsidRPr="00380B40">
        <w:rPr>
          <w:spacing w:val="-17"/>
          <w:lang w:val="en-GB"/>
        </w:rPr>
        <w:t xml:space="preserve"> </w:t>
      </w:r>
      <w:r w:rsidRPr="00380B40">
        <w:rPr>
          <w:spacing w:val="-1"/>
          <w:lang w:val="en-GB"/>
        </w:rPr>
        <w:t>party)</w:t>
      </w:r>
      <w:r w:rsidRPr="00380B40">
        <w:rPr>
          <w:spacing w:val="-16"/>
          <w:lang w:val="en-GB"/>
        </w:rPr>
        <w:t xml:space="preserve"> </w:t>
      </w:r>
      <w:r w:rsidRPr="00380B40">
        <w:rPr>
          <w:lang w:val="en-GB"/>
        </w:rPr>
        <w:t>during</w:t>
      </w:r>
      <w:r w:rsidRPr="00380B40">
        <w:rPr>
          <w:spacing w:val="-14"/>
          <w:lang w:val="en-GB"/>
        </w:rPr>
        <w:t xml:space="preserve"> </w:t>
      </w:r>
      <w:r w:rsidRPr="00380B40">
        <w:rPr>
          <w:lang w:val="en-GB"/>
        </w:rPr>
        <w:t>their</w:t>
      </w:r>
      <w:r w:rsidRPr="00380B40">
        <w:rPr>
          <w:spacing w:val="-16"/>
          <w:lang w:val="en-GB"/>
        </w:rPr>
        <w:t xml:space="preserve"> </w:t>
      </w:r>
      <w:r w:rsidRPr="00380B40">
        <w:rPr>
          <w:spacing w:val="-1"/>
          <w:lang w:val="en-GB"/>
        </w:rPr>
        <w:t>meetings,</w:t>
      </w:r>
      <w:r w:rsidRPr="00380B40">
        <w:rPr>
          <w:spacing w:val="67"/>
          <w:lang w:val="en-GB"/>
        </w:rPr>
        <w:t xml:space="preserve"> </w:t>
      </w:r>
      <w:r w:rsidRPr="00380B40">
        <w:rPr>
          <w:lang w:val="en-GB"/>
        </w:rPr>
        <w:t>to study</w:t>
      </w:r>
      <w:r w:rsidRPr="00380B40">
        <w:rPr>
          <w:spacing w:val="-5"/>
          <w:lang w:val="en-GB"/>
        </w:rPr>
        <w:t xml:space="preserve"> </w:t>
      </w:r>
      <w:r w:rsidRPr="00380B40">
        <w:rPr>
          <w:spacing w:val="-1"/>
          <w:lang w:val="en-GB"/>
        </w:rPr>
        <w:t>Questions</w:t>
      </w:r>
      <w:r w:rsidRPr="00380B40">
        <w:rPr>
          <w:lang w:val="en-GB"/>
        </w:rPr>
        <w:t xml:space="preserve"> </w:t>
      </w:r>
      <w:r w:rsidRPr="00380B40">
        <w:rPr>
          <w:spacing w:val="-1"/>
          <w:lang w:val="en-GB"/>
        </w:rPr>
        <w:t>allocated</w:t>
      </w:r>
      <w:r w:rsidRPr="00380B40">
        <w:rPr>
          <w:lang w:val="en-GB"/>
        </w:rPr>
        <w:t xml:space="preserve"> to those</w:t>
      </w:r>
      <w:r w:rsidRPr="00380B40">
        <w:rPr>
          <w:spacing w:val="-1"/>
          <w:lang w:val="en-GB"/>
        </w:rPr>
        <w:t xml:space="preserve"> </w:t>
      </w:r>
      <w:r w:rsidRPr="00380B40">
        <w:rPr>
          <w:lang w:val="en-GB"/>
        </w:rPr>
        <w:t>study</w:t>
      </w:r>
      <w:r w:rsidRPr="00380B40">
        <w:rPr>
          <w:spacing w:val="-3"/>
          <w:lang w:val="en-GB"/>
        </w:rPr>
        <w:t xml:space="preserve"> </w:t>
      </w:r>
      <w:r w:rsidRPr="00380B40">
        <w:rPr>
          <w:spacing w:val="-1"/>
          <w:lang w:val="en-GB"/>
        </w:rPr>
        <w:t>groups</w:t>
      </w:r>
      <w:r w:rsidRPr="00380B40">
        <w:rPr>
          <w:spacing w:val="1"/>
          <w:lang w:val="en-GB"/>
        </w:rPr>
        <w:t xml:space="preserve"> </w:t>
      </w:r>
      <w:r w:rsidRPr="00380B40">
        <w:rPr>
          <w:spacing w:val="-1"/>
          <w:lang w:val="en-GB"/>
        </w:rPr>
        <w:t>and</w:t>
      </w:r>
      <w:r w:rsidRPr="00380B40">
        <w:rPr>
          <w:lang w:val="en-GB"/>
        </w:rPr>
        <w:t xml:space="preserve"> working</w:t>
      </w:r>
      <w:r w:rsidRPr="00380B40">
        <w:rPr>
          <w:spacing w:val="-3"/>
          <w:lang w:val="en-GB"/>
        </w:rPr>
        <w:t xml:space="preserve"> </w:t>
      </w:r>
      <w:r w:rsidRPr="00380B40">
        <w:rPr>
          <w:spacing w:val="-1"/>
          <w:lang w:val="en-GB"/>
        </w:rPr>
        <w:t>parties.</w:t>
      </w:r>
    </w:p>
    <w:p w14:paraId="2D987EA3" w14:textId="77777777" w:rsidR="00C12517" w:rsidRPr="00380B40" w:rsidRDefault="00C12517" w:rsidP="00C12517">
      <w:pPr>
        <w:rPr>
          <w:lang w:val="en-GB"/>
        </w:rPr>
      </w:pPr>
      <w:r w:rsidRPr="00380B40">
        <w:rPr>
          <w:b/>
          <w:bCs/>
          <w:lang w:val="en-GB"/>
        </w:rPr>
        <w:t>1.4.5</w:t>
      </w:r>
      <w:r w:rsidRPr="00380B40">
        <w:rPr>
          <w:lang w:val="en-GB"/>
        </w:rPr>
        <w:tab/>
      </w:r>
      <w:r w:rsidRPr="00380B40">
        <w:rPr>
          <w:spacing w:val="-1"/>
          <w:lang w:val="en-GB"/>
        </w:rPr>
        <w:t>For</w:t>
      </w:r>
      <w:r w:rsidRPr="00380B40">
        <w:rPr>
          <w:spacing w:val="11"/>
          <w:lang w:val="en-GB"/>
        </w:rPr>
        <w:t xml:space="preserve"> </w:t>
      </w:r>
      <w:r w:rsidRPr="00380B40">
        <w:rPr>
          <w:spacing w:val="-1"/>
          <w:lang w:val="en-GB"/>
        </w:rPr>
        <w:t>projects</w:t>
      </w:r>
      <w:r w:rsidRPr="00380B40">
        <w:rPr>
          <w:spacing w:val="12"/>
          <w:lang w:val="en-GB"/>
        </w:rPr>
        <w:t xml:space="preserve"> </w:t>
      </w:r>
      <w:r w:rsidRPr="00380B40">
        <w:rPr>
          <w:lang w:val="en-GB"/>
        </w:rPr>
        <w:t>involving</w:t>
      </w:r>
      <w:r w:rsidRPr="00380B40">
        <w:rPr>
          <w:spacing w:val="9"/>
          <w:lang w:val="en-GB"/>
        </w:rPr>
        <w:t xml:space="preserve"> </w:t>
      </w:r>
      <w:r w:rsidRPr="00380B40">
        <w:rPr>
          <w:lang w:val="en-GB"/>
        </w:rPr>
        <w:t>more</w:t>
      </w:r>
      <w:r w:rsidRPr="00380B40">
        <w:rPr>
          <w:spacing w:val="10"/>
          <w:lang w:val="en-GB"/>
        </w:rPr>
        <w:t xml:space="preserve"> </w:t>
      </w:r>
      <w:r w:rsidRPr="00380B40">
        <w:rPr>
          <w:lang w:val="en-GB"/>
        </w:rPr>
        <w:t>than</w:t>
      </w:r>
      <w:r w:rsidRPr="00380B40">
        <w:rPr>
          <w:spacing w:val="13"/>
          <w:lang w:val="en-GB"/>
        </w:rPr>
        <w:t xml:space="preserve"> </w:t>
      </w:r>
      <w:r w:rsidRPr="00380B40">
        <w:rPr>
          <w:lang w:val="en-GB"/>
        </w:rPr>
        <w:t>one</w:t>
      </w:r>
      <w:r w:rsidRPr="00380B40">
        <w:rPr>
          <w:spacing w:val="10"/>
          <w:lang w:val="en-GB"/>
        </w:rPr>
        <w:t xml:space="preserve"> </w:t>
      </w:r>
      <w:r w:rsidRPr="00380B40">
        <w:rPr>
          <w:spacing w:val="1"/>
          <w:lang w:val="en-GB"/>
        </w:rPr>
        <w:t>study</w:t>
      </w:r>
      <w:r w:rsidRPr="00380B40">
        <w:rPr>
          <w:spacing w:val="9"/>
          <w:lang w:val="en-GB"/>
        </w:rPr>
        <w:t xml:space="preserve"> </w:t>
      </w:r>
      <w:r w:rsidRPr="00380B40">
        <w:rPr>
          <w:lang w:val="en-GB"/>
        </w:rPr>
        <w:t>group,</w:t>
      </w:r>
      <w:r w:rsidRPr="00380B40">
        <w:rPr>
          <w:spacing w:val="11"/>
          <w:lang w:val="en-GB"/>
        </w:rPr>
        <w:t xml:space="preserve"> </w:t>
      </w:r>
      <w:r w:rsidRPr="00380B40">
        <w:rPr>
          <w:spacing w:val="-1"/>
          <w:lang w:val="en-GB"/>
        </w:rPr>
        <w:t>baseline</w:t>
      </w:r>
      <w:r w:rsidRPr="00380B40">
        <w:rPr>
          <w:spacing w:val="10"/>
          <w:lang w:val="en-GB"/>
        </w:rPr>
        <w:t xml:space="preserve"> </w:t>
      </w:r>
      <w:r w:rsidRPr="00380B40">
        <w:rPr>
          <w:lang w:val="en-GB"/>
        </w:rPr>
        <w:t>documents</w:t>
      </w:r>
      <w:r w:rsidRPr="00380B40">
        <w:rPr>
          <w:spacing w:val="12"/>
          <w:lang w:val="en-GB"/>
        </w:rPr>
        <w:t xml:space="preserve"> </w:t>
      </w:r>
      <w:r w:rsidRPr="00380B40">
        <w:rPr>
          <w:lang w:val="en-GB"/>
        </w:rPr>
        <w:t>may</w:t>
      </w:r>
      <w:r w:rsidRPr="00380B40">
        <w:rPr>
          <w:spacing w:val="9"/>
          <w:lang w:val="en-GB"/>
        </w:rPr>
        <w:t xml:space="preserve"> </w:t>
      </w:r>
      <w:r w:rsidRPr="00380B40">
        <w:rPr>
          <w:spacing w:val="1"/>
          <w:lang w:val="en-GB"/>
        </w:rPr>
        <w:t>be</w:t>
      </w:r>
      <w:r w:rsidRPr="00380B40">
        <w:rPr>
          <w:spacing w:val="10"/>
          <w:lang w:val="en-GB"/>
        </w:rPr>
        <w:t xml:space="preserve"> </w:t>
      </w:r>
      <w:r w:rsidRPr="00380B40">
        <w:rPr>
          <w:spacing w:val="-1"/>
          <w:lang w:val="en-GB"/>
        </w:rPr>
        <w:t>prepared</w:t>
      </w:r>
      <w:r w:rsidRPr="00380B40">
        <w:rPr>
          <w:spacing w:val="11"/>
          <w:lang w:val="en-GB"/>
        </w:rPr>
        <w:t xml:space="preserve"> </w:t>
      </w:r>
      <w:r w:rsidRPr="00380B40">
        <w:rPr>
          <w:lang w:val="en-GB"/>
        </w:rPr>
        <w:t>in</w:t>
      </w:r>
      <w:r w:rsidRPr="00380B40">
        <w:rPr>
          <w:spacing w:val="56"/>
          <w:lang w:val="en-GB"/>
        </w:rPr>
        <w:t xml:space="preserve"> </w:t>
      </w:r>
      <w:r w:rsidRPr="00380B40">
        <w:rPr>
          <w:spacing w:val="-1"/>
          <w:lang w:val="en-GB"/>
        </w:rPr>
        <w:t>order</w:t>
      </w:r>
      <w:r w:rsidRPr="00380B40">
        <w:rPr>
          <w:spacing w:val="1"/>
          <w:lang w:val="en-GB"/>
        </w:rPr>
        <w:t xml:space="preserve"> </w:t>
      </w:r>
      <w:r w:rsidRPr="00380B40">
        <w:rPr>
          <w:lang w:val="en-GB"/>
        </w:rPr>
        <w:t>to</w:t>
      </w:r>
      <w:r w:rsidRPr="00380B40">
        <w:rPr>
          <w:spacing w:val="2"/>
          <w:lang w:val="en-GB"/>
        </w:rPr>
        <w:t xml:space="preserve"> </w:t>
      </w:r>
      <w:r w:rsidRPr="00380B40">
        <w:rPr>
          <w:lang w:val="en-GB"/>
        </w:rPr>
        <w:t>provide the</w:t>
      </w:r>
      <w:r w:rsidRPr="00380B40">
        <w:rPr>
          <w:spacing w:val="1"/>
          <w:lang w:val="en-GB"/>
        </w:rPr>
        <w:t xml:space="preserve"> </w:t>
      </w:r>
      <w:r w:rsidRPr="00380B40">
        <w:rPr>
          <w:spacing w:val="-1"/>
          <w:lang w:val="en-GB"/>
        </w:rPr>
        <w:t>basis</w:t>
      </w:r>
      <w:r w:rsidRPr="00380B40">
        <w:rPr>
          <w:spacing w:val="2"/>
          <w:lang w:val="en-GB"/>
        </w:rPr>
        <w:t xml:space="preserve"> </w:t>
      </w:r>
      <w:r w:rsidRPr="00380B40">
        <w:rPr>
          <w:lang w:val="en-GB"/>
        </w:rPr>
        <w:t xml:space="preserve">for </w:t>
      </w:r>
      <w:r w:rsidRPr="00380B40">
        <w:rPr>
          <w:spacing w:val="-1"/>
          <w:lang w:val="en-GB"/>
        </w:rPr>
        <w:t>coordinated</w:t>
      </w:r>
      <w:r w:rsidRPr="00380B40">
        <w:rPr>
          <w:spacing w:val="1"/>
          <w:lang w:val="en-GB"/>
        </w:rPr>
        <w:t xml:space="preserve"> </w:t>
      </w:r>
      <w:r w:rsidRPr="00380B40">
        <w:rPr>
          <w:lang w:val="en-GB"/>
        </w:rPr>
        <w:t>study</w:t>
      </w:r>
      <w:r w:rsidRPr="00380B40">
        <w:rPr>
          <w:spacing w:val="-3"/>
          <w:lang w:val="en-GB"/>
        </w:rPr>
        <w:t xml:space="preserve"> </w:t>
      </w:r>
      <w:r w:rsidRPr="00380B40">
        <w:rPr>
          <w:lang w:val="en-GB"/>
        </w:rPr>
        <w:t>among the</w:t>
      </w:r>
      <w:r w:rsidRPr="00380B40">
        <w:rPr>
          <w:spacing w:val="1"/>
          <w:lang w:val="en-GB"/>
        </w:rPr>
        <w:t xml:space="preserve"> </w:t>
      </w:r>
      <w:r w:rsidRPr="00380B40">
        <w:rPr>
          <w:spacing w:val="-1"/>
          <w:lang w:val="en-GB"/>
        </w:rPr>
        <w:t>various</w:t>
      </w:r>
      <w:r w:rsidRPr="00380B40">
        <w:rPr>
          <w:spacing w:val="2"/>
          <w:lang w:val="en-GB"/>
        </w:rPr>
        <w:t xml:space="preserve"> </w:t>
      </w:r>
      <w:r w:rsidRPr="00380B40">
        <w:rPr>
          <w:lang w:val="en-GB"/>
        </w:rPr>
        <w:t>study</w:t>
      </w:r>
      <w:r w:rsidRPr="00380B40">
        <w:rPr>
          <w:spacing w:val="-1"/>
          <w:lang w:val="en-GB"/>
        </w:rPr>
        <w:t xml:space="preserve"> </w:t>
      </w:r>
      <w:r w:rsidRPr="00380B40">
        <w:rPr>
          <w:lang w:val="en-GB"/>
        </w:rPr>
        <w:t>groups.</w:t>
      </w:r>
      <w:r w:rsidRPr="00380B40">
        <w:rPr>
          <w:spacing w:val="1"/>
          <w:lang w:val="en-GB"/>
        </w:rPr>
        <w:t xml:space="preserve"> </w:t>
      </w:r>
      <w:r w:rsidRPr="00380B40">
        <w:rPr>
          <w:lang w:val="en-GB"/>
        </w:rPr>
        <w:t xml:space="preserve">The </w:t>
      </w:r>
      <w:r w:rsidRPr="00380B40">
        <w:rPr>
          <w:spacing w:val="-1"/>
          <w:lang w:val="en-GB"/>
        </w:rPr>
        <w:t>term</w:t>
      </w:r>
      <w:r w:rsidRPr="00380B40">
        <w:rPr>
          <w:spacing w:val="2"/>
          <w:lang w:val="en-GB"/>
        </w:rPr>
        <w:t xml:space="preserve"> </w:t>
      </w:r>
      <w:r w:rsidRPr="00380B40">
        <w:rPr>
          <w:spacing w:val="-1"/>
          <w:lang w:val="en-GB"/>
        </w:rPr>
        <w:t>"baseline</w:t>
      </w:r>
      <w:r w:rsidRPr="00380B40">
        <w:rPr>
          <w:spacing w:val="81"/>
          <w:lang w:val="en-GB"/>
        </w:rPr>
        <w:t xml:space="preserve"> </w:t>
      </w:r>
      <w:r w:rsidRPr="00380B40">
        <w:rPr>
          <w:spacing w:val="-1"/>
          <w:lang w:val="en-GB"/>
        </w:rPr>
        <w:t>document"</w:t>
      </w:r>
      <w:r w:rsidRPr="00380B40">
        <w:rPr>
          <w:lang w:val="en-GB"/>
        </w:rPr>
        <w:t xml:space="preserve"> refers</w:t>
      </w:r>
      <w:r w:rsidRPr="00380B40">
        <w:rPr>
          <w:spacing w:val="1"/>
          <w:lang w:val="en-GB"/>
        </w:rPr>
        <w:t xml:space="preserve"> </w:t>
      </w:r>
      <w:r w:rsidRPr="00380B40">
        <w:rPr>
          <w:lang w:val="en-GB"/>
        </w:rPr>
        <w:t>to</w:t>
      </w:r>
      <w:r w:rsidRPr="00380B40">
        <w:rPr>
          <w:spacing w:val="2"/>
          <w:lang w:val="en-GB"/>
        </w:rPr>
        <w:t xml:space="preserve"> </w:t>
      </w:r>
      <w:r w:rsidRPr="00380B40">
        <w:rPr>
          <w:lang w:val="en-GB"/>
        </w:rPr>
        <w:t>a</w:t>
      </w:r>
      <w:r w:rsidRPr="00380B40">
        <w:rPr>
          <w:spacing w:val="1"/>
          <w:lang w:val="en-GB"/>
        </w:rPr>
        <w:t xml:space="preserve"> </w:t>
      </w:r>
      <w:r w:rsidRPr="00380B40">
        <w:rPr>
          <w:spacing w:val="-1"/>
          <w:lang w:val="en-GB"/>
        </w:rPr>
        <w:t>document</w:t>
      </w:r>
      <w:r w:rsidRPr="00380B40">
        <w:rPr>
          <w:spacing w:val="2"/>
          <w:lang w:val="en-GB"/>
        </w:rPr>
        <w:t xml:space="preserve"> </w:t>
      </w:r>
      <w:r w:rsidRPr="00380B40">
        <w:rPr>
          <w:spacing w:val="-1"/>
          <w:lang w:val="en-GB"/>
        </w:rPr>
        <w:t>which</w:t>
      </w:r>
      <w:r w:rsidRPr="00380B40">
        <w:rPr>
          <w:spacing w:val="2"/>
          <w:lang w:val="en-GB"/>
        </w:rPr>
        <w:t xml:space="preserve"> </w:t>
      </w:r>
      <w:r w:rsidRPr="00380B40">
        <w:rPr>
          <w:spacing w:val="-1"/>
          <w:lang w:val="en-GB"/>
        </w:rPr>
        <w:t>contains</w:t>
      </w:r>
      <w:r w:rsidRPr="00380B40">
        <w:rPr>
          <w:spacing w:val="2"/>
          <w:lang w:val="en-GB"/>
        </w:rPr>
        <w:t xml:space="preserve"> </w:t>
      </w:r>
      <w:r w:rsidRPr="00380B40">
        <w:rPr>
          <w:lang w:val="en-GB"/>
        </w:rPr>
        <w:t>the</w:t>
      </w:r>
      <w:r w:rsidRPr="00380B40">
        <w:rPr>
          <w:spacing w:val="1"/>
          <w:lang w:val="en-GB"/>
        </w:rPr>
        <w:t xml:space="preserve"> </w:t>
      </w:r>
      <w:r w:rsidRPr="00380B40">
        <w:rPr>
          <w:spacing w:val="-1"/>
          <w:lang w:val="en-GB"/>
        </w:rPr>
        <w:t>elements</w:t>
      </w:r>
      <w:r w:rsidRPr="00380B40">
        <w:rPr>
          <w:spacing w:val="2"/>
          <w:lang w:val="en-GB"/>
        </w:rPr>
        <w:t xml:space="preserve"> </w:t>
      </w:r>
      <w:r w:rsidRPr="00380B40">
        <w:rPr>
          <w:lang w:val="en-GB"/>
        </w:rPr>
        <w:t>of</w:t>
      </w:r>
      <w:r w:rsidRPr="00380B40">
        <w:rPr>
          <w:spacing w:val="1"/>
          <w:lang w:val="en-GB"/>
        </w:rPr>
        <w:t xml:space="preserve"> </w:t>
      </w:r>
      <w:r w:rsidRPr="00380B40">
        <w:rPr>
          <w:spacing w:val="-1"/>
          <w:lang w:val="en-GB"/>
        </w:rPr>
        <w:t>common</w:t>
      </w:r>
      <w:r w:rsidRPr="00380B40">
        <w:rPr>
          <w:spacing w:val="4"/>
          <w:lang w:val="en-GB"/>
        </w:rPr>
        <w:t xml:space="preserve"> </w:t>
      </w:r>
      <w:r w:rsidRPr="00380B40">
        <w:rPr>
          <w:spacing w:val="-1"/>
          <w:lang w:val="en-GB"/>
        </w:rPr>
        <w:t>agreement</w:t>
      </w:r>
      <w:r w:rsidRPr="00380B40">
        <w:rPr>
          <w:spacing w:val="2"/>
          <w:lang w:val="en-GB"/>
        </w:rPr>
        <w:t xml:space="preserve"> </w:t>
      </w:r>
      <w:r w:rsidRPr="00380B40">
        <w:rPr>
          <w:spacing w:val="-1"/>
          <w:lang w:val="en-GB"/>
        </w:rPr>
        <w:t>at</w:t>
      </w:r>
      <w:r w:rsidRPr="00380B40">
        <w:rPr>
          <w:spacing w:val="2"/>
          <w:lang w:val="en-GB"/>
        </w:rPr>
        <w:t xml:space="preserve"> </w:t>
      </w:r>
      <w:r w:rsidRPr="00380B40">
        <w:rPr>
          <w:lang w:val="en-GB"/>
        </w:rPr>
        <w:t>a</w:t>
      </w:r>
      <w:r w:rsidRPr="00380B40">
        <w:rPr>
          <w:spacing w:val="3"/>
          <w:lang w:val="en-GB"/>
        </w:rPr>
        <w:t xml:space="preserve"> </w:t>
      </w:r>
      <w:r w:rsidRPr="00380B40">
        <w:rPr>
          <w:spacing w:val="-1"/>
          <w:lang w:val="en-GB"/>
        </w:rPr>
        <w:t>given</w:t>
      </w:r>
      <w:r w:rsidRPr="00380B40">
        <w:rPr>
          <w:spacing w:val="1"/>
          <w:lang w:val="en-GB"/>
        </w:rPr>
        <w:t xml:space="preserve"> </w:t>
      </w:r>
      <w:r w:rsidRPr="00380B40">
        <w:rPr>
          <w:lang w:val="en-GB"/>
        </w:rPr>
        <w:t>point</w:t>
      </w:r>
      <w:r w:rsidRPr="00380B40">
        <w:rPr>
          <w:spacing w:val="93"/>
          <w:lang w:val="en-GB"/>
        </w:rPr>
        <w:t xml:space="preserve"> </w:t>
      </w:r>
      <w:r w:rsidRPr="00380B40">
        <w:rPr>
          <w:lang w:val="en-GB"/>
        </w:rPr>
        <w:t xml:space="preserve">in </w:t>
      </w:r>
      <w:r w:rsidRPr="00380B40">
        <w:rPr>
          <w:spacing w:val="-1"/>
          <w:lang w:val="en-GB"/>
        </w:rPr>
        <w:t>time.</w:t>
      </w:r>
    </w:p>
    <w:p w14:paraId="4E3F04D0" w14:textId="2CB821AC" w:rsidR="00C12517" w:rsidRPr="00380B40" w:rsidRDefault="00C12517" w:rsidP="0099195D">
      <w:pPr>
        <w:rPr>
          <w:lang w:val="en-GB"/>
        </w:rPr>
      </w:pPr>
      <w:r w:rsidRPr="00380B40">
        <w:rPr>
          <w:b/>
          <w:bCs/>
          <w:lang w:val="en-GB"/>
        </w:rPr>
        <w:t>1.4.6</w:t>
      </w:r>
      <w:r w:rsidRPr="00380B40">
        <w:rPr>
          <w:lang w:val="en-GB"/>
        </w:rPr>
        <w:tab/>
        <w:t>Chairmen</w:t>
      </w:r>
      <w:r w:rsidRPr="00380B40">
        <w:rPr>
          <w:spacing w:val="50"/>
          <w:lang w:val="en-GB"/>
        </w:rPr>
        <w:t xml:space="preserve"> </w:t>
      </w:r>
      <w:r w:rsidRPr="00380B40">
        <w:rPr>
          <w:lang w:val="en-GB"/>
        </w:rPr>
        <w:t>will</w:t>
      </w:r>
      <w:r w:rsidRPr="00380B40">
        <w:rPr>
          <w:spacing w:val="50"/>
          <w:lang w:val="en-GB"/>
        </w:rPr>
        <w:t xml:space="preserve"> </w:t>
      </w:r>
      <w:r w:rsidRPr="00380B40">
        <w:rPr>
          <w:lang w:val="en-GB"/>
        </w:rPr>
        <w:t>ask,</w:t>
      </w:r>
      <w:r w:rsidRPr="00380B40">
        <w:rPr>
          <w:spacing w:val="50"/>
          <w:lang w:val="en-GB"/>
        </w:rPr>
        <w:t xml:space="preserve"> </w:t>
      </w:r>
      <w:r w:rsidRPr="00380B40">
        <w:rPr>
          <w:lang w:val="en-GB"/>
        </w:rPr>
        <w:t>during</w:t>
      </w:r>
      <w:r w:rsidRPr="00380B40">
        <w:rPr>
          <w:spacing w:val="47"/>
          <w:lang w:val="en-GB"/>
        </w:rPr>
        <w:t xml:space="preserve"> </w:t>
      </w:r>
      <w:r w:rsidRPr="00380B40">
        <w:rPr>
          <w:lang w:val="en-GB"/>
        </w:rPr>
        <w:t>each</w:t>
      </w:r>
      <w:r w:rsidRPr="00380B40">
        <w:rPr>
          <w:spacing w:val="50"/>
          <w:lang w:val="en-GB"/>
        </w:rPr>
        <w:t xml:space="preserve"> </w:t>
      </w:r>
      <w:r w:rsidRPr="00380B40">
        <w:rPr>
          <w:lang w:val="en-GB"/>
        </w:rPr>
        <w:t>meeting,</w:t>
      </w:r>
      <w:r w:rsidRPr="00380B40">
        <w:rPr>
          <w:spacing w:val="50"/>
          <w:lang w:val="en-GB"/>
        </w:rPr>
        <w:t xml:space="preserve"> </w:t>
      </w:r>
      <w:r w:rsidRPr="00380B40">
        <w:rPr>
          <w:lang w:val="en-GB"/>
        </w:rPr>
        <w:t>whether</w:t>
      </w:r>
      <w:r w:rsidRPr="00380B40">
        <w:rPr>
          <w:spacing w:val="49"/>
          <w:lang w:val="en-GB"/>
        </w:rPr>
        <w:t xml:space="preserve"> </w:t>
      </w:r>
      <w:r w:rsidRPr="00380B40">
        <w:rPr>
          <w:lang w:val="en-GB"/>
        </w:rPr>
        <w:t>anyone</w:t>
      </w:r>
      <w:r w:rsidRPr="00380B40">
        <w:rPr>
          <w:spacing w:val="49"/>
          <w:lang w:val="en-GB"/>
        </w:rPr>
        <w:t xml:space="preserve"> </w:t>
      </w:r>
      <w:r w:rsidRPr="00380B40">
        <w:rPr>
          <w:lang w:val="en-GB"/>
        </w:rPr>
        <w:t>has</w:t>
      </w:r>
      <w:r w:rsidRPr="00380B40">
        <w:rPr>
          <w:spacing w:val="50"/>
          <w:lang w:val="en-GB"/>
        </w:rPr>
        <w:t xml:space="preserve"> </w:t>
      </w:r>
      <w:r w:rsidRPr="00380B40">
        <w:rPr>
          <w:lang w:val="en-GB"/>
        </w:rPr>
        <w:t>knowledge</w:t>
      </w:r>
      <w:r w:rsidRPr="00380B40">
        <w:rPr>
          <w:spacing w:val="49"/>
          <w:lang w:val="en-GB"/>
        </w:rPr>
        <w:t xml:space="preserve"> </w:t>
      </w:r>
      <w:r w:rsidRPr="00380B40">
        <w:rPr>
          <w:spacing w:val="1"/>
          <w:lang w:val="en-GB"/>
        </w:rPr>
        <w:t>of</w:t>
      </w:r>
      <w:r w:rsidRPr="00380B40">
        <w:rPr>
          <w:spacing w:val="49"/>
          <w:lang w:val="en-GB"/>
        </w:rPr>
        <w:t xml:space="preserve"> </w:t>
      </w:r>
      <w:r w:rsidRPr="00380B40">
        <w:rPr>
          <w:lang w:val="en-GB"/>
        </w:rPr>
        <w:t>intellectual property rights issues</w:t>
      </w:r>
      <w:r w:rsidR="00840F7A">
        <w:rPr>
          <w:rStyle w:val="FootnoteReference"/>
          <w:lang w:val="en-GB"/>
        </w:rPr>
        <w:footnoteReference w:id="59"/>
      </w:r>
      <w:r w:rsidRPr="00380B40">
        <w:rPr>
          <w:lang w:val="en-GB"/>
        </w:rPr>
        <w:t>, including patents, copyright for software or text, marks,</w:t>
      </w:r>
      <w:r w:rsidRPr="00380B40">
        <w:rPr>
          <w:spacing w:val="29"/>
          <w:lang w:val="en-GB"/>
        </w:rPr>
        <w:t xml:space="preserve"> </w:t>
      </w:r>
      <w:r w:rsidRPr="00380B40">
        <w:rPr>
          <w:lang w:val="en-GB"/>
        </w:rPr>
        <w:t>the</w:t>
      </w:r>
      <w:r w:rsidRPr="00380B40">
        <w:rPr>
          <w:spacing w:val="29"/>
          <w:lang w:val="en-GB"/>
        </w:rPr>
        <w:t xml:space="preserve"> </w:t>
      </w:r>
      <w:r w:rsidRPr="00380B40">
        <w:rPr>
          <w:lang w:val="en-GB"/>
        </w:rPr>
        <w:t>use</w:t>
      </w:r>
      <w:r w:rsidRPr="00380B40">
        <w:rPr>
          <w:spacing w:val="27"/>
          <w:lang w:val="en-GB"/>
        </w:rPr>
        <w:t xml:space="preserve"> </w:t>
      </w:r>
      <w:r w:rsidRPr="00380B40">
        <w:rPr>
          <w:spacing w:val="1"/>
          <w:lang w:val="en-GB"/>
        </w:rPr>
        <w:t>of</w:t>
      </w:r>
      <w:r w:rsidRPr="00380B40">
        <w:rPr>
          <w:spacing w:val="27"/>
          <w:lang w:val="en-GB"/>
        </w:rPr>
        <w:t xml:space="preserve"> </w:t>
      </w:r>
      <w:r w:rsidRPr="00380B40">
        <w:rPr>
          <w:lang w:val="en-GB"/>
        </w:rPr>
        <w:t>which</w:t>
      </w:r>
      <w:r w:rsidRPr="00380B40">
        <w:rPr>
          <w:spacing w:val="30"/>
          <w:lang w:val="en-GB"/>
        </w:rPr>
        <w:t xml:space="preserve"> </w:t>
      </w:r>
      <w:r w:rsidRPr="00380B40">
        <w:rPr>
          <w:spacing w:val="1"/>
          <w:lang w:val="en-GB"/>
        </w:rPr>
        <w:t>may</w:t>
      </w:r>
      <w:r w:rsidRPr="00380B40">
        <w:rPr>
          <w:spacing w:val="23"/>
          <w:lang w:val="en-GB"/>
        </w:rPr>
        <w:t xml:space="preserve"> </w:t>
      </w:r>
      <w:r w:rsidRPr="00380B40">
        <w:rPr>
          <w:spacing w:val="1"/>
          <w:lang w:val="en-GB"/>
        </w:rPr>
        <w:t>be</w:t>
      </w:r>
      <w:r w:rsidRPr="00380B40">
        <w:rPr>
          <w:spacing w:val="30"/>
          <w:lang w:val="en-GB"/>
        </w:rPr>
        <w:t xml:space="preserve"> </w:t>
      </w:r>
      <w:r w:rsidRPr="00380B40">
        <w:rPr>
          <w:lang w:val="en-GB"/>
        </w:rPr>
        <w:t>required</w:t>
      </w:r>
      <w:r w:rsidRPr="00380B40">
        <w:rPr>
          <w:spacing w:val="28"/>
          <w:lang w:val="en-GB"/>
        </w:rPr>
        <w:t xml:space="preserve"> </w:t>
      </w:r>
      <w:r w:rsidRPr="00380B40">
        <w:rPr>
          <w:lang w:val="en-GB"/>
        </w:rPr>
        <w:t>to</w:t>
      </w:r>
      <w:r w:rsidRPr="00380B40">
        <w:rPr>
          <w:spacing w:val="31"/>
          <w:lang w:val="en-GB"/>
        </w:rPr>
        <w:t xml:space="preserve"> </w:t>
      </w:r>
      <w:r w:rsidRPr="00380B40">
        <w:rPr>
          <w:lang w:val="en-GB"/>
        </w:rPr>
        <w:t>implement or publish the Recommendation</w:t>
      </w:r>
      <w:r w:rsidRPr="00380B40">
        <w:rPr>
          <w:spacing w:val="28"/>
          <w:lang w:val="en-GB"/>
        </w:rPr>
        <w:t xml:space="preserve"> </w:t>
      </w:r>
      <w:r w:rsidRPr="00380B40">
        <w:rPr>
          <w:lang w:val="en-GB"/>
        </w:rPr>
        <w:t>being</w:t>
      </w:r>
      <w:r w:rsidRPr="00380B40">
        <w:rPr>
          <w:spacing w:val="94"/>
          <w:lang w:val="en-GB"/>
        </w:rPr>
        <w:t xml:space="preserve"> </w:t>
      </w:r>
      <w:r w:rsidRPr="00380B40">
        <w:rPr>
          <w:lang w:val="en-GB"/>
        </w:rPr>
        <w:t>considered.</w:t>
      </w:r>
      <w:r w:rsidRPr="00380B40">
        <w:rPr>
          <w:spacing w:val="-10"/>
          <w:lang w:val="en-GB"/>
        </w:rPr>
        <w:t xml:space="preserve"> </w:t>
      </w:r>
      <w:r w:rsidRPr="00380B40">
        <w:rPr>
          <w:lang w:val="en-GB"/>
        </w:rPr>
        <w:t>The</w:t>
      </w:r>
      <w:r w:rsidRPr="00380B40">
        <w:rPr>
          <w:spacing w:val="-9"/>
          <w:lang w:val="en-GB"/>
        </w:rPr>
        <w:t xml:space="preserve"> </w:t>
      </w:r>
      <w:r w:rsidRPr="00380B40">
        <w:rPr>
          <w:lang w:val="en-GB"/>
        </w:rPr>
        <w:t>fact</w:t>
      </w:r>
      <w:r w:rsidRPr="00380B40">
        <w:rPr>
          <w:spacing w:val="-10"/>
          <w:lang w:val="en-GB"/>
        </w:rPr>
        <w:t xml:space="preserve"> </w:t>
      </w:r>
      <w:r w:rsidRPr="00380B40">
        <w:rPr>
          <w:lang w:val="en-GB"/>
        </w:rPr>
        <w:t>that</w:t>
      </w:r>
      <w:r w:rsidRPr="00380B40">
        <w:rPr>
          <w:spacing w:val="-8"/>
          <w:lang w:val="en-GB"/>
        </w:rPr>
        <w:t xml:space="preserve"> </w:t>
      </w:r>
      <w:r w:rsidRPr="00380B40">
        <w:rPr>
          <w:lang w:val="en-GB"/>
        </w:rPr>
        <w:t>the</w:t>
      </w:r>
      <w:r w:rsidRPr="00380B40">
        <w:rPr>
          <w:spacing w:val="-11"/>
          <w:lang w:val="en-GB"/>
        </w:rPr>
        <w:t xml:space="preserve"> </w:t>
      </w:r>
      <w:r w:rsidRPr="00380B40">
        <w:rPr>
          <w:lang w:val="en-GB"/>
        </w:rPr>
        <w:t>question</w:t>
      </w:r>
      <w:r w:rsidRPr="00380B40">
        <w:rPr>
          <w:spacing w:val="-10"/>
          <w:lang w:val="en-GB"/>
        </w:rPr>
        <w:t xml:space="preserve"> </w:t>
      </w:r>
      <w:r w:rsidRPr="00380B40">
        <w:rPr>
          <w:lang w:val="en-GB"/>
        </w:rPr>
        <w:t>was</w:t>
      </w:r>
      <w:r w:rsidRPr="00380B40">
        <w:rPr>
          <w:spacing w:val="-10"/>
          <w:lang w:val="en-GB"/>
        </w:rPr>
        <w:t xml:space="preserve"> </w:t>
      </w:r>
      <w:r w:rsidRPr="00380B40">
        <w:rPr>
          <w:lang w:val="en-GB"/>
        </w:rPr>
        <w:t>asked</w:t>
      </w:r>
      <w:r w:rsidRPr="00380B40">
        <w:rPr>
          <w:spacing w:val="-10"/>
          <w:lang w:val="en-GB"/>
        </w:rPr>
        <w:t xml:space="preserve"> </w:t>
      </w:r>
      <w:r w:rsidRPr="00380B40">
        <w:rPr>
          <w:lang w:val="en-GB"/>
        </w:rPr>
        <w:t>shall</w:t>
      </w:r>
      <w:r w:rsidRPr="00380B40">
        <w:rPr>
          <w:spacing w:val="-9"/>
          <w:lang w:val="en-GB"/>
        </w:rPr>
        <w:t xml:space="preserve"> </w:t>
      </w:r>
      <w:r w:rsidRPr="00380B40">
        <w:rPr>
          <w:lang w:val="en-GB"/>
        </w:rPr>
        <w:t>be</w:t>
      </w:r>
      <w:r w:rsidRPr="00380B40">
        <w:rPr>
          <w:spacing w:val="-11"/>
          <w:lang w:val="en-GB"/>
        </w:rPr>
        <w:t xml:space="preserve"> </w:t>
      </w:r>
      <w:r w:rsidRPr="00380B40">
        <w:rPr>
          <w:lang w:val="en-GB"/>
        </w:rPr>
        <w:t>recorded</w:t>
      </w:r>
      <w:r w:rsidRPr="00380B40">
        <w:rPr>
          <w:spacing w:val="-10"/>
          <w:lang w:val="en-GB"/>
        </w:rPr>
        <w:t xml:space="preserve"> </w:t>
      </w:r>
      <w:r w:rsidRPr="00380B40">
        <w:rPr>
          <w:lang w:val="en-GB"/>
        </w:rPr>
        <w:t>in</w:t>
      </w:r>
      <w:r w:rsidRPr="00380B40">
        <w:rPr>
          <w:spacing w:val="-10"/>
          <w:lang w:val="en-GB"/>
        </w:rPr>
        <w:t xml:space="preserve"> </w:t>
      </w:r>
      <w:r w:rsidRPr="00380B40">
        <w:rPr>
          <w:lang w:val="en-GB"/>
        </w:rPr>
        <w:t>the</w:t>
      </w:r>
      <w:r w:rsidRPr="00380B40">
        <w:rPr>
          <w:spacing w:val="-11"/>
          <w:lang w:val="en-GB"/>
        </w:rPr>
        <w:t xml:space="preserve"> </w:t>
      </w:r>
      <w:r w:rsidRPr="00380B40">
        <w:rPr>
          <w:lang w:val="en-GB"/>
        </w:rPr>
        <w:t>working</w:t>
      </w:r>
      <w:r w:rsidRPr="00380B40">
        <w:rPr>
          <w:spacing w:val="-12"/>
          <w:lang w:val="en-GB"/>
        </w:rPr>
        <w:t xml:space="preserve"> </w:t>
      </w:r>
      <w:r w:rsidRPr="00380B40">
        <w:rPr>
          <w:lang w:val="en-GB"/>
        </w:rPr>
        <w:t>party</w:t>
      </w:r>
      <w:r w:rsidRPr="00380B40">
        <w:rPr>
          <w:spacing w:val="-15"/>
          <w:lang w:val="en-GB"/>
        </w:rPr>
        <w:t xml:space="preserve"> </w:t>
      </w:r>
      <w:r w:rsidRPr="00380B40">
        <w:rPr>
          <w:lang w:val="en-GB"/>
        </w:rPr>
        <w:t>or</w:t>
      </w:r>
      <w:r w:rsidRPr="00380B40">
        <w:rPr>
          <w:spacing w:val="-11"/>
          <w:lang w:val="en-GB"/>
        </w:rPr>
        <w:t xml:space="preserve"> </w:t>
      </w:r>
      <w:r w:rsidRPr="00380B40">
        <w:rPr>
          <w:spacing w:val="1"/>
          <w:lang w:val="en-GB"/>
        </w:rPr>
        <w:t>study</w:t>
      </w:r>
      <w:r w:rsidRPr="00380B40">
        <w:rPr>
          <w:spacing w:val="-12"/>
          <w:lang w:val="en-GB"/>
        </w:rPr>
        <w:t xml:space="preserve"> </w:t>
      </w:r>
      <w:r w:rsidRPr="00380B40">
        <w:rPr>
          <w:lang w:val="en-GB"/>
        </w:rPr>
        <w:t>group</w:t>
      </w:r>
      <w:r w:rsidRPr="00380B40">
        <w:rPr>
          <w:spacing w:val="67"/>
          <w:lang w:val="en-GB"/>
        </w:rPr>
        <w:t xml:space="preserve"> </w:t>
      </w:r>
      <w:r w:rsidRPr="00380B40">
        <w:rPr>
          <w:lang w:val="en-GB"/>
        </w:rPr>
        <w:t>meeting</w:t>
      </w:r>
      <w:r w:rsidRPr="00380B40">
        <w:rPr>
          <w:spacing w:val="-3"/>
          <w:lang w:val="en-GB"/>
        </w:rPr>
        <w:t xml:space="preserve"> </w:t>
      </w:r>
      <w:r w:rsidRPr="00380B40">
        <w:rPr>
          <w:lang w:val="en-GB"/>
        </w:rPr>
        <w:t>report, along</w:t>
      </w:r>
      <w:r w:rsidRPr="00380B40">
        <w:rPr>
          <w:spacing w:val="-3"/>
          <w:lang w:val="en-GB"/>
        </w:rPr>
        <w:t xml:space="preserve"> </w:t>
      </w:r>
      <w:r w:rsidRPr="00380B40">
        <w:rPr>
          <w:lang w:val="en-GB"/>
        </w:rPr>
        <w:t>with any</w:t>
      </w:r>
      <w:r w:rsidRPr="00380B40">
        <w:rPr>
          <w:spacing w:val="-3"/>
          <w:lang w:val="en-GB"/>
        </w:rPr>
        <w:t xml:space="preserve"> </w:t>
      </w:r>
      <w:r w:rsidRPr="00380B40">
        <w:rPr>
          <w:lang w:val="en-GB"/>
        </w:rPr>
        <w:t xml:space="preserve">affirmative responses. </w:t>
      </w:r>
    </w:p>
    <w:p w14:paraId="62A871FB" w14:textId="77777777" w:rsidR="00C12517" w:rsidRPr="00380B40" w:rsidRDefault="00C12517" w:rsidP="00C12517">
      <w:pPr>
        <w:rPr>
          <w:lang w:val="en-GB"/>
        </w:rPr>
      </w:pPr>
      <w:r w:rsidRPr="00380B40">
        <w:rPr>
          <w:b/>
          <w:bCs/>
          <w:lang w:val="en-GB"/>
        </w:rPr>
        <w:t>1.4.7</w:t>
      </w:r>
      <w:r w:rsidRPr="00380B40">
        <w:rPr>
          <w:lang w:val="en-GB"/>
        </w:rPr>
        <w:tab/>
        <w:t>Study</w:t>
      </w:r>
      <w:r w:rsidRPr="00380B40">
        <w:rPr>
          <w:spacing w:val="-12"/>
          <w:lang w:val="en-GB"/>
        </w:rPr>
        <w:t xml:space="preserve"> </w:t>
      </w:r>
      <w:r w:rsidRPr="00380B40">
        <w:rPr>
          <w:lang w:val="en-GB"/>
        </w:rPr>
        <w:t>groups</w:t>
      </w:r>
      <w:r w:rsidRPr="00380B40">
        <w:rPr>
          <w:spacing w:val="-7"/>
          <w:lang w:val="en-GB"/>
        </w:rPr>
        <w:t xml:space="preserve"> </w:t>
      </w:r>
      <w:r w:rsidRPr="00380B40">
        <w:rPr>
          <w:lang w:val="en-GB"/>
        </w:rPr>
        <w:t>shall</w:t>
      </w:r>
      <w:r w:rsidRPr="00380B40">
        <w:rPr>
          <w:spacing w:val="-7"/>
          <w:lang w:val="en-GB"/>
        </w:rPr>
        <w:t xml:space="preserve"> </w:t>
      </w:r>
      <w:r w:rsidRPr="00380B40">
        <w:rPr>
          <w:lang w:val="en-GB"/>
        </w:rPr>
        <w:t>establish</w:t>
      </w:r>
      <w:r w:rsidRPr="00380B40">
        <w:rPr>
          <w:spacing w:val="-8"/>
          <w:lang w:val="en-GB"/>
        </w:rPr>
        <w:t xml:space="preserve"> </w:t>
      </w:r>
      <w:r w:rsidRPr="00380B40">
        <w:rPr>
          <w:lang w:val="en-GB"/>
        </w:rPr>
        <w:t>and</w:t>
      </w:r>
      <w:r w:rsidRPr="00380B40">
        <w:rPr>
          <w:spacing w:val="-8"/>
          <w:lang w:val="en-GB"/>
        </w:rPr>
        <w:t xml:space="preserve"> </w:t>
      </w:r>
      <w:r w:rsidRPr="00380B40">
        <w:rPr>
          <w:lang w:val="en-GB"/>
        </w:rPr>
        <w:t>maintain</w:t>
      </w:r>
      <w:r w:rsidRPr="00380B40">
        <w:rPr>
          <w:spacing w:val="-8"/>
          <w:lang w:val="en-GB"/>
        </w:rPr>
        <w:t xml:space="preserve"> </w:t>
      </w:r>
      <w:r w:rsidRPr="00380B40">
        <w:rPr>
          <w:lang w:val="en-GB"/>
        </w:rPr>
        <w:t>a</w:t>
      </w:r>
      <w:r w:rsidRPr="00380B40">
        <w:rPr>
          <w:spacing w:val="-9"/>
          <w:lang w:val="en-GB"/>
        </w:rPr>
        <w:t xml:space="preserve"> </w:t>
      </w:r>
      <w:r w:rsidRPr="00380B40">
        <w:rPr>
          <w:lang w:val="en-GB"/>
        </w:rPr>
        <w:t>work</w:t>
      </w:r>
      <w:r w:rsidRPr="00380B40">
        <w:rPr>
          <w:spacing w:val="-8"/>
          <w:lang w:val="en-GB"/>
        </w:rPr>
        <w:t xml:space="preserve"> </w:t>
      </w:r>
      <w:r w:rsidRPr="00380B40">
        <w:rPr>
          <w:lang w:val="en-GB"/>
        </w:rPr>
        <w:t>programme,</w:t>
      </w:r>
      <w:r w:rsidRPr="00380B40">
        <w:rPr>
          <w:spacing w:val="-8"/>
          <w:lang w:val="en-GB"/>
        </w:rPr>
        <w:t xml:space="preserve"> </w:t>
      </w:r>
      <w:r w:rsidRPr="00380B40">
        <w:rPr>
          <w:lang w:val="en-GB"/>
        </w:rPr>
        <w:t>which</w:t>
      </w:r>
      <w:r w:rsidRPr="00380B40">
        <w:rPr>
          <w:spacing w:val="-8"/>
          <w:lang w:val="en-GB"/>
        </w:rPr>
        <w:t xml:space="preserve"> </w:t>
      </w:r>
      <w:r w:rsidRPr="00380B40">
        <w:rPr>
          <w:lang w:val="en-GB"/>
        </w:rPr>
        <w:t>includes</w:t>
      </w:r>
      <w:r w:rsidRPr="00380B40">
        <w:rPr>
          <w:spacing w:val="-7"/>
          <w:lang w:val="en-GB"/>
        </w:rPr>
        <w:t xml:space="preserve"> </w:t>
      </w:r>
      <w:r w:rsidRPr="00380B40">
        <w:rPr>
          <w:lang w:val="en-GB"/>
        </w:rPr>
        <w:t>target</w:t>
      </w:r>
      <w:r w:rsidRPr="00380B40">
        <w:rPr>
          <w:spacing w:val="-7"/>
          <w:lang w:val="en-GB"/>
        </w:rPr>
        <w:t xml:space="preserve"> </w:t>
      </w:r>
      <w:r w:rsidRPr="00380B40">
        <w:rPr>
          <w:lang w:val="en-GB"/>
        </w:rPr>
        <w:t>dates</w:t>
      </w:r>
      <w:r w:rsidRPr="00380B40">
        <w:rPr>
          <w:spacing w:val="-8"/>
          <w:lang w:val="en-GB"/>
        </w:rPr>
        <w:t xml:space="preserve"> </w:t>
      </w:r>
      <w:r w:rsidRPr="00380B40">
        <w:rPr>
          <w:lang w:val="en-GB"/>
        </w:rPr>
        <w:t>for</w:t>
      </w:r>
      <w:r w:rsidRPr="00380B40">
        <w:rPr>
          <w:spacing w:val="85"/>
          <w:lang w:val="en-GB"/>
        </w:rPr>
        <w:t xml:space="preserve"> </w:t>
      </w:r>
      <w:r w:rsidRPr="00380B40">
        <w:rPr>
          <w:lang w:val="en-GB"/>
        </w:rPr>
        <w:t>consenting</w:t>
      </w:r>
      <w:r w:rsidRPr="00380B40">
        <w:rPr>
          <w:spacing w:val="47"/>
          <w:lang w:val="en-GB"/>
        </w:rPr>
        <w:t xml:space="preserve"> </w:t>
      </w:r>
      <w:r w:rsidRPr="00380B40">
        <w:rPr>
          <w:lang w:val="en-GB"/>
        </w:rPr>
        <w:t>or</w:t>
      </w:r>
      <w:r w:rsidRPr="00380B40">
        <w:rPr>
          <w:spacing w:val="47"/>
          <w:lang w:val="en-GB"/>
        </w:rPr>
        <w:t xml:space="preserve"> </w:t>
      </w:r>
      <w:r w:rsidRPr="00380B40">
        <w:rPr>
          <w:lang w:val="en-GB"/>
        </w:rPr>
        <w:t>determining</w:t>
      </w:r>
      <w:r w:rsidRPr="00380B40">
        <w:rPr>
          <w:spacing w:val="47"/>
          <w:lang w:val="en-GB"/>
        </w:rPr>
        <w:t xml:space="preserve"> </w:t>
      </w:r>
      <w:r w:rsidRPr="00380B40">
        <w:rPr>
          <w:lang w:val="en-GB"/>
        </w:rPr>
        <w:t>each</w:t>
      </w:r>
      <w:r w:rsidRPr="00380B40">
        <w:rPr>
          <w:spacing w:val="49"/>
          <w:lang w:val="en-GB"/>
        </w:rPr>
        <w:t xml:space="preserve"> </w:t>
      </w:r>
      <w:r w:rsidRPr="00380B40">
        <w:rPr>
          <w:lang w:val="en-GB"/>
        </w:rPr>
        <w:t>draft</w:t>
      </w:r>
      <w:r w:rsidRPr="00380B40">
        <w:rPr>
          <w:spacing w:val="47"/>
          <w:lang w:val="en-GB"/>
        </w:rPr>
        <w:t xml:space="preserve"> </w:t>
      </w:r>
      <w:r w:rsidRPr="00380B40">
        <w:rPr>
          <w:lang w:val="en-GB"/>
        </w:rPr>
        <w:t>Recommendation.</w:t>
      </w:r>
      <w:r w:rsidRPr="00380B40">
        <w:rPr>
          <w:spacing w:val="47"/>
          <w:lang w:val="en-GB"/>
        </w:rPr>
        <w:t xml:space="preserve"> </w:t>
      </w:r>
      <w:r w:rsidRPr="00380B40">
        <w:rPr>
          <w:lang w:val="en-GB"/>
        </w:rPr>
        <w:t>The</w:t>
      </w:r>
      <w:r w:rsidRPr="00380B40">
        <w:rPr>
          <w:spacing w:val="46"/>
          <w:lang w:val="en-GB"/>
        </w:rPr>
        <w:t xml:space="preserve"> </w:t>
      </w:r>
      <w:r w:rsidRPr="00380B40">
        <w:rPr>
          <w:lang w:val="en-GB"/>
        </w:rPr>
        <w:t>work</w:t>
      </w:r>
      <w:r w:rsidRPr="00380B40">
        <w:rPr>
          <w:spacing w:val="49"/>
          <w:lang w:val="en-GB"/>
        </w:rPr>
        <w:t xml:space="preserve"> </w:t>
      </w:r>
      <w:r w:rsidRPr="00380B40">
        <w:rPr>
          <w:lang w:val="en-GB"/>
        </w:rPr>
        <w:t>programme</w:t>
      </w:r>
      <w:r w:rsidRPr="00380B40">
        <w:rPr>
          <w:spacing w:val="46"/>
          <w:lang w:val="en-GB"/>
        </w:rPr>
        <w:t xml:space="preserve"> </w:t>
      </w:r>
      <w:r w:rsidRPr="00380B40">
        <w:rPr>
          <w:lang w:val="en-GB"/>
        </w:rPr>
        <w:t>is</w:t>
      </w:r>
      <w:r w:rsidRPr="00380B40">
        <w:rPr>
          <w:spacing w:val="48"/>
          <w:lang w:val="en-GB"/>
        </w:rPr>
        <w:t xml:space="preserve"> </w:t>
      </w:r>
      <w:r w:rsidRPr="00380B40">
        <w:rPr>
          <w:lang w:val="en-GB"/>
        </w:rPr>
        <w:t>available</w:t>
      </w:r>
      <w:r w:rsidRPr="00380B40">
        <w:rPr>
          <w:spacing w:val="47"/>
          <w:lang w:val="en-GB"/>
        </w:rPr>
        <w:t xml:space="preserve"> </w:t>
      </w:r>
      <w:r w:rsidRPr="00380B40">
        <w:rPr>
          <w:lang w:val="en-GB"/>
        </w:rPr>
        <w:t>in</w:t>
      </w:r>
      <w:r w:rsidRPr="00380B40">
        <w:rPr>
          <w:spacing w:val="48"/>
          <w:lang w:val="en-GB"/>
        </w:rPr>
        <w:t xml:space="preserve"> </w:t>
      </w:r>
      <w:r w:rsidRPr="00380B40">
        <w:rPr>
          <w:lang w:val="en-GB"/>
        </w:rPr>
        <w:t>a</w:t>
      </w:r>
      <w:r w:rsidRPr="00380B40">
        <w:rPr>
          <w:spacing w:val="81"/>
          <w:lang w:val="en-GB"/>
        </w:rPr>
        <w:t xml:space="preserve"> </w:t>
      </w:r>
      <w:r w:rsidRPr="00380B40">
        <w:rPr>
          <w:lang w:val="en-GB"/>
        </w:rPr>
        <w:t>database</w:t>
      </w:r>
      <w:r w:rsidRPr="00380B40">
        <w:rPr>
          <w:spacing w:val="3"/>
          <w:lang w:val="en-GB"/>
        </w:rPr>
        <w:t xml:space="preserve"> </w:t>
      </w:r>
      <w:r w:rsidRPr="00380B40">
        <w:rPr>
          <w:lang w:val="en-GB"/>
        </w:rPr>
        <w:t>which</w:t>
      </w:r>
      <w:r w:rsidRPr="00380B40">
        <w:rPr>
          <w:spacing w:val="2"/>
          <w:lang w:val="en-GB"/>
        </w:rPr>
        <w:t xml:space="preserve"> </w:t>
      </w:r>
      <w:r w:rsidRPr="00380B40">
        <w:rPr>
          <w:lang w:val="en-GB"/>
        </w:rPr>
        <w:t>is</w:t>
      </w:r>
      <w:r w:rsidRPr="00380B40">
        <w:rPr>
          <w:spacing w:val="2"/>
          <w:lang w:val="en-GB"/>
        </w:rPr>
        <w:t xml:space="preserve"> </w:t>
      </w:r>
      <w:r w:rsidRPr="00380B40">
        <w:rPr>
          <w:lang w:val="en-GB"/>
        </w:rPr>
        <w:t>searchable</w:t>
      </w:r>
      <w:r w:rsidRPr="00380B40">
        <w:rPr>
          <w:spacing w:val="1"/>
          <w:lang w:val="en-GB"/>
        </w:rPr>
        <w:t xml:space="preserve"> </w:t>
      </w:r>
      <w:r w:rsidRPr="00380B40">
        <w:rPr>
          <w:lang w:val="en-GB"/>
        </w:rPr>
        <w:t>from</w:t>
      </w:r>
      <w:r w:rsidRPr="00380B40">
        <w:rPr>
          <w:spacing w:val="2"/>
          <w:lang w:val="en-GB"/>
        </w:rPr>
        <w:t xml:space="preserve"> </w:t>
      </w:r>
      <w:r w:rsidRPr="00380B40">
        <w:rPr>
          <w:lang w:val="en-GB"/>
        </w:rPr>
        <w:t>the</w:t>
      </w:r>
      <w:r w:rsidRPr="00380B40">
        <w:rPr>
          <w:spacing w:val="1"/>
          <w:lang w:val="en-GB"/>
        </w:rPr>
        <w:t xml:space="preserve"> study</w:t>
      </w:r>
      <w:r w:rsidRPr="00380B40">
        <w:rPr>
          <w:lang w:val="en-GB"/>
        </w:rPr>
        <w:t xml:space="preserve"> group</w:t>
      </w:r>
      <w:r w:rsidRPr="00380B40">
        <w:rPr>
          <w:spacing w:val="2"/>
          <w:lang w:val="en-GB"/>
        </w:rPr>
        <w:t xml:space="preserve"> </w:t>
      </w:r>
      <w:r w:rsidRPr="00380B40">
        <w:rPr>
          <w:lang w:val="en-GB"/>
        </w:rPr>
        <w:t>website.</w:t>
      </w:r>
      <w:r w:rsidRPr="00380B40">
        <w:rPr>
          <w:spacing w:val="4"/>
          <w:lang w:val="en-GB"/>
        </w:rPr>
        <w:t xml:space="preserve"> </w:t>
      </w:r>
      <w:r w:rsidRPr="00380B40">
        <w:rPr>
          <w:lang w:val="en-GB"/>
        </w:rPr>
        <w:t>For</w:t>
      </w:r>
      <w:r w:rsidRPr="00380B40">
        <w:rPr>
          <w:spacing w:val="3"/>
          <w:lang w:val="en-GB"/>
        </w:rPr>
        <w:t xml:space="preserve"> </w:t>
      </w:r>
      <w:r w:rsidRPr="00380B40">
        <w:rPr>
          <w:lang w:val="en-GB"/>
        </w:rPr>
        <w:t>each</w:t>
      </w:r>
      <w:r w:rsidRPr="00380B40">
        <w:rPr>
          <w:spacing w:val="4"/>
          <w:lang w:val="en-GB"/>
        </w:rPr>
        <w:t xml:space="preserve"> </w:t>
      </w:r>
      <w:r w:rsidRPr="00380B40">
        <w:rPr>
          <w:lang w:val="en-GB"/>
        </w:rPr>
        <w:t>work</w:t>
      </w:r>
      <w:r w:rsidRPr="00380B40">
        <w:rPr>
          <w:spacing w:val="4"/>
          <w:lang w:val="en-GB"/>
        </w:rPr>
        <w:t xml:space="preserve"> </w:t>
      </w:r>
      <w:r w:rsidRPr="00380B40">
        <w:rPr>
          <w:lang w:val="en-GB"/>
        </w:rPr>
        <w:t>item</w:t>
      </w:r>
      <w:r w:rsidRPr="00380B40">
        <w:rPr>
          <w:spacing w:val="2"/>
          <w:lang w:val="en-GB"/>
        </w:rPr>
        <w:t xml:space="preserve"> </w:t>
      </w:r>
      <w:r w:rsidRPr="00380B40">
        <w:rPr>
          <w:lang w:val="en-GB"/>
        </w:rPr>
        <w:t>under</w:t>
      </w:r>
      <w:r w:rsidRPr="00380B40">
        <w:rPr>
          <w:spacing w:val="1"/>
          <w:lang w:val="en-GB"/>
        </w:rPr>
        <w:t xml:space="preserve"> </w:t>
      </w:r>
      <w:r w:rsidRPr="00380B40">
        <w:rPr>
          <w:lang w:val="en-GB"/>
        </w:rPr>
        <w:t>development,</w:t>
      </w:r>
      <w:r w:rsidRPr="00380B40">
        <w:rPr>
          <w:spacing w:val="69"/>
          <w:lang w:val="en-GB"/>
        </w:rPr>
        <w:t xml:space="preserve"> </w:t>
      </w:r>
      <w:r w:rsidRPr="00380B40">
        <w:rPr>
          <w:lang w:val="en-GB"/>
        </w:rPr>
        <w:t>the database contains the Recommendation number</w:t>
      </w:r>
      <w:r w:rsidRPr="00380B40">
        <w:rPr>
          <w:spacing w:val="-2"/>
          <w:lang w:val="en-GB"/>
        </w:rPr>
        <w:t xml:space="preserve"> </w:t>
      </w:r>
      <w:r w:rsidRPr="00380B40">
        <w:rPr>
          <w:lang w:val="en-GB"/>
        </w:rPr>
        <w:t>(or</w:t>
      </w:r>
      <w:r w:rsidRPr="00380B40">
        <w:rPr>
          <w:spacing w:val="-2"/>
          <w:lang w:val="en-GB"/>
        </w:rPr>
        <w:t xml:space="preserve"> </w:t>
      </w:r>
      <w:r w:rsidRPr="00380B40">
        <w:rPr>
          <w:lang w:val="en-GB"/>
        </w:rPr>
        <w:t>provisional mnemonic designation), the</w:t>
      </w:r>
      <w:r w:rsidRPr="00380B40">
        <w:rPr>
          <w:spacing w:val="-2"/>
          <w:lang w:val="en-GB"/>
        </w:rPr>
        <w:t xml:space="preserve"> </w:t>
      </w:r>
      <w:r w:rsidRPr="00380B40">
        <w:rPr>
          <w:lang w:val="en-GB"/>
        </w:rPr>
        <w:t>title,</w:t>
      </w:r>
      <w:r w:rsidRPr="00380B40">
        <w:rPr>
          <w:spacing w:val="103"/>
          <w:lang w:val="en-GB"/>
        </w:rPr>
        <w:t xml:space="preserve"> </w:t>
      </w:r>
      <w:r w:rsidRPr="00380B40">
        <w:rPr>
          <w:lang w:val="en-GB"/>
        </w:rPr>
        <w:t>scope,</w:t>
      </w:r>
      <w:r w:rsidRPr="00380B40">
        <w:rPr>
          <w:spacing w:val="33"/>
          <w:lang w:val="en-GB"/>
        </w:rPr>
        <w:t xml:space="preserve"> </w:t>
      </w:r>
      <w:r w:rsidRPr="00380B40">
        <w:rPr>
          <w:lang w:val="en-GB"/>
        </w:rPr>
        <w:t>editor,</w:t>
      </w:r>
      <w:r w:rsidRPr="00380B40">
        <w:rPr>
          <w:spacing w:val="30"/>
          <w:lang w:val="en-GB"/>
        </w:rPr>
        <w:t xml:space="preserve"> </w:t>
      </w:r>
      <w:r w:rsidRPr="00380B40">
        <w:rPr>
          <w:lang w:val="en-GB"/>
        </w:rPr>
        <w:t>timing,</w:t>
      </w:r>
      <w:r w:rsidRPr="00380B40">
        <w:rPr>
          <w:spacing w:val="33"/>
          <w:lang w:val="en-GB"/>
        </w:rPr>
        <w:t xml:space="preserve"> </w:t>
      </w:r>
      <w:r w:rsidRPr="00380B40">
        <w:rPr>
          <w:lang w:val="en-GB"/>
        </w:rPr>
        <w:t>priority,</w:t>
      </w:r>
      <w:r w:rsidRPr="00380B40">
        <w:rPr>
          <w:spacing w:val="30"/>
          <w:lang w:val="en-GB"/>
        </w:rPr>
        <w:t xml:space="preserve"> </w:t>
      </w:r>
      <w:r w:rsidRPr="00380B40">
        <w:rPr>
          <w:lang w:val="en-GB"/>
        </w:rPr>
        <w:t>identification</w:t>
      </w:r>
      <w:r w:rsidRPr="00380B40">
        <w:rPr>
          <w:spacing w:val="30"/>
          <w:lang w:val="en-GB"/>
        </w:rPr>
        <w:t xml:space="preserve"> </w:t>
      </w:r>
      <w:r w:rsidRPr="00380B40">
        <w:rPr>
          <w:lang w:val="en-GB"/>
        </w:rPr>
        <w:t>of</w:t>
      </w:r>
      <w:r w:rsidRPr="00380B40">
        <w:rPr>
          <w:spacing w:val="32"/>
          <w:lang w:val="en-GB"/>
        </w:rPr>
        <w:t xml:space="preserve"> </w:t>
      </w:r>
      <w:r w:rsidRPr="00380B40">
        <w:rPr>
          <w:spacing w:val="1"/>
          <w:lang w:val="en-GB"/>
        </w:rPr>
        <w:t>any</w:t>
      </w:r>
      <w:r w:rsidRPr="00380B40">
        <w:rPr>
          <w:spacing w:val="26"/>
          <w:lang w:val="en-GB"/>
        </w:rPr>
        <w:t xml:space="preserve"> </w:t>
      </w:r>
      <w:r w:rsidRPr="00380B40">
        <w:rPr>
          <w:lang w:val="en-GB"/>
        </w:rPr>
        <w:t>liaison</w:t>
      </w:r>
      <w:r w:rsidRPr="00380B40">
        <w:rPr>
          <w:spacing w:val="33"/>
          <w:lang w:val="en-GB"/>
        </w:rPr>
        <w:t xml:space="preserve"> </w:t>
      </w:r>
      <w:r w:rsidRPr="00380B40">
        <w:rPr>
          <w:lang w:val="en-GB"/>
        </w:rPr>
        <w:t>relationships,</w:t>
      </w:r>
      <w:r w:rsidRPr="00380B40">
        <w:rPr>
          <w:spacing w:val="34"/>
          <w:lang w:val="en-GB"/>
        </w:rPr>
        <w:t xml:space="preserve"> </w:t>
      </w:r>
      <w:r w:rsidRPr="00380B40">
        <w:rPr>
          <w:lang w:val="en-GB"/>
        </w:rPr>
        <w:t>any</w:t>
      </w:r>
      <w:r w:rsidRPr="00380B40">
        <w:rPr>
          <w:spacing w:val="28"/>
          <w:lang w:val="en-GB"/>
        </w:rPr>
        <w:t xml:space="preserve"> </w:t>
      </w:r>
      <w:r w:rsidRPr="00380B40">
        <w:rPr>
          <w:lang w:val="en-GB"/>
        </w:rPr>
        <w:t>editor</w:t>
      </w:r>
      <w:r w:rsidRPr="00380B40">
        <w:rPr>
          <w:spacing w:val="32"/>
          <w:lang w:val="en-GB"/>
        </w:rPr>
        <w:t xml:space="preserve"> </w:t>
      </w:r>
      <w:r w:rsidRPr="00380B40">
        <w:rPr>
          <w:lang w:val="en-GB"/>
        </w:rPr>
        <w:t>assigned,</w:t>
      </w:r>
      <w:r w:rsidRPr="00380B40">
        <w:rPr>
          <w:spacing w:val="30"/>
          <w:lang w:val="en-GB"/>
        </w:rPr>
        <w:t xml:space="preserve"> </w:t>
      </w:r>
      <w:r w:rsidRPr="00380B40">
        <w:rPr>
          <w:lang w:val="en-GB"/>
        </w:rPr>
        <w:t>the</w:t>
      </w:r>
      <w:r w:rsidRPr="00380B40">
        <w:rPr>
          <w:spacing w:val="109"/>
          <w:lang w:val="en-GB"/>
        </w:rPr>
        <w:t xml:space="preserve"> </w:t>
      </w:r>
      <w:r w:rsidRPr="00380B40">
        <w:rPr>
          <w:lang w:val="en-GB"/>
        </w:rPr>
        <w:t>location</w:t>
      </w:r>
      <w:r w:rsidRPr="00380B40">
        <w:rPr>
          <w:spacing w:val="11"/>
          <w:lang w:val="en-GB"/>
        </w:rPr>
        <w:t xml:space="preserve"> </w:t>
      </w:r>
      <w:r w:rsidRPr="00380B40">
        <w:rPr>
          <w:lang w:val="en-GB"/>
        </w:rPr>
        <w:t>of</w:t>
      </w:r>
      <w:r w:rsidRPr="00380B40">
        <w:rPr>
          <w:spacing w:val="11"/>
          <w:lang w:val="en-GB"/>
        </w:rPr>
        <w:t xml:space="preserve"> </w:t>
      </w:r>
      <w:r w:rsidRPr="00380B40">
        <w:rPr>
          <w:lang w:val="en-GB"/>
        </w:rPr>
        <w:t>the</w:t>
      </w:r>
      <w:r w:rsidRPr="00380B40">
        <w:rPr>
          <w:spacing w:val="11"/>
          <w:lang w:val="en-GB"/>
        </w:rPr>
        <w:t xml:space="preserve"> </w:t>
      </w:r>
      <w:r w:rsidRPr="00380B40">
        <w:rPr>
          <w:lang w:val="en-GB"/>
        </w:rPr>
        <w:t>most</w:t>
      </w:r>
      <w:r w:rsidRPr="00380B40">
        <w:rPr>
          <w:spacing w:val="12"/>
          <w:lang w:val="en-GB"/>
        </w:rPr>
        <w:t xml:space="preserve"> </w:t>
      </w:r>
      <w:r w:rsidRPr="00380B40">
        <w:rPr>
          <w:lang w:val="en-GB"/>
        </w:rPr>
        <w:t>recent</w:t>
      </w:r>
      <w:r w:rsidRPr="00380B40">
        <w:rPr>
          <w:spacing w:val="12"/>
          <w:lang w:val="en-GB"/>
        </w:rPr>
        <w:t xml:space="preserve"> </w:t>
      </w:r>
      <w:r w:rsidRPr="00380B40">
        <w:rPr>
          <w:lang w:val="en-GB"/>
        </w:rPr>
        <w:t>text,</w:t>
      </w:r>
      <w:r w:rsidRPr="00380B40">
        <w:rPr>
          <w:spacing w:val="12"/>
          <w:lang w:val="en-GB"/>
        </w:rPr>
        <w:t xml:space="preserve"> </w:t>
      </w:r>
      <w:r w:rsidRPr="00380B40">
        <w:rPr>
          <w:lang w:val="en-GB"/>
        </w:rPr>
        <w:t>the</w:t>
      </w:r>
      <w:r w:rsidRPr="00380B40">
        <w:rPr>
          <w:spacing w:val="11"/>
          <w:lang w:val="en-GB"/>
        </w:rPr>
        <w:t xml:space="preserve"> </w:t>
      </w:r>
      <w:r w:rsidRPr="00380B40">
        <w:rPr>
          <w:lang w:val="en-GB"/>
        </w:rPr>
        <w:t>approval</w:t>
      </w:r>
      <w:r w:rsidRPr="00380B40">
        <w:rPr>
          <w:spacing w:val="12"/>
          <w:lang w:val="en-GB"/>
        </w:rPr>
        <w:t xml:space="preserve"> </w:t>
      </w:r>
      <w:r w:rsidRPr="00380B40">
        <w:rPr>
          <w:lang w:val="en-GB"/>
        </w:rPr>
        <w:t>process</w:t>
      </w:r>
      <w:r w:rsidRPr="00380B40">
        <w:rPr>
          <w:spacing w:val="12"/>
          <w:lang w:val="en-GB"/>
        </w:rPr>
        <w:t xml:space="preserve"> </w:t>
      </w:r>
      <w:r w:rsidRPr="00380B40">
        <w:rPr>
          <w:lang w:val="en-GB"/>
        </w:rPr>
        <w:t>and</w:t>
      </w:r>
      <w:r w:rsidRPr="00380B40">
        <w:rPr>
          <w:spacing w:val="13"/>
          <w:lang w:val="en-GB"/>
        </w:rPr>
        <w:t xml:space="preserve"> </w:t>
      </w:r>
      <w:r w:rsidRPr="00380B40">
        <w:rPr>
          <w:lang w:val="en-GB"/>
        </w:rPr>
        <w:t>the</w:t>
      </w:r>
      <w:r w:rsidRPr="00380B40">
        <w:rPr>
          <w:spacing w:val="11"/>
          <w:lang w:val="en-GB"/>
        </w:rPr>
        <w:t xml:space="preserve"> </w:t>
      </w:r>
      <w:r w:rsidRPr="00380B40">
        <w:rPr>
          <w:lang w:val="en-GB"/>
        </w:rPr>
        <w:t>status</w:t>
      </w:r>
      <w:r w:rsidRPr="00380B40">
        <w:rPr>
          <w:spacing w:val="12"/>
          <w:lang w:val="en-GB"/>
        </w:rPr>
        <w:t xml:space="preserve"> </w:t>
      </w:r>
      <w:r w:rsidRPr="00380B40">
        <w:rPr>
          <w:lang w:val="en-GB"/>
        </w:rPr>
        <w:t>for</w:t>
      </w:r>
      <w:r w:rsidRPr="00380B40">
        <w:rPr>
          <w:spacing w:val="11"/>
          <w:lang w:val="en-GB"/>
        </w:rPr>
        <w:t xml:space="preserve"> </w:t>
      </w:r>
      <w:r w:rsidRPr="00380B40">
        <w:rPr>
          <w:lang w:val="en-GB"/>
        </w:rPr>
        <w:t>documents</w:t>
      </w:r>
      <w:r w:rsidRPr="00380B40">
        <w:rPr>
          <w:spacing w:val="12"/>
          <w:lang w:val="en-GB"/>
        </w:rPr>
        <w:t xml:space="preserve"> </w:t>
      </w:r>
      <w:r w:rsidRPr="00380B40">
        <w:rPr>
          <w:lang w:val="en-GB"/>
        </w:rPr>
        <w:t>in</w:t>
      </w:r>
      <w:r w:rsidRPr="00380B40">
        <w:rPr>
          <w:spacing w:val="12"/>
          <w:lang w:val="en-GB"/>
        </w:rPr>
        <w:t xml:space="preserve"> </w:t>
      </w:r>
      <w:r w:rsidRPr="00380B40">
        <w:rPr>
          <w:lang w:val="en-GB"/>
        </w:rPr>
        <w:t>the</w:t>
      </w:r>
      <w:r w:rsidRPr="00380B40">
        <w:rPr>
          <w:spacing w:val="11"/>
          <w:lang w:val="en-GB"/>
        </w:rPr>
        <w:t xml:space="preserve"> </w:t>
      </w:r>
      <w:r w:rsidRPr="00380B40">
        <w:rPr>
          <w:lang w:val="en-GB"/>
        </w:rPr>
        <w:t>approval process.</w:t>
      </w:r>
      <w:r w:rsidRPr="00380B40">
        <w:rPr>
          <w:spacing w:val="-10"/>
          <w:lang w:val="en-GB"/>
        </w:rPr>
        <w:t xml:space="preserve"> </w:t>
      </w:r>
      <w:r w:rsidRPr="00380B40">
        <w:rPr>
          <w:lang w:val="en-GB"/>
        </w:rPr>
        <w:t>The</w:t>
      </w:r>
      <w:r w:rsidRPr="00380B40">
        <w:rPr>
          <w:spacing w:val="-11"/>
          <w:lang w:val="en-GB"/>
        </w:rPr>
        <w:t xml:space="preserve"> </w:t>
      </w:r>
      <w:r w:rsidRPr="00380B40">
        <w:rPr>
          <w:lang w:val="en-GB"/>
        </w:rPr>
        <w:t>database</w:t>
      </w:r>
      <w:r w:rsidRPr="00380B40">
        <w:rPr>
          <w:spacing w:val="-11"/>
          <w:lang w:val="en-GB"/>
        </w:rPr>
        <w:t xml:space="preserve"> </w:t>
      </w:r>
      <w:r w:rsidRPr="00380B40">
        <w:rPr>
          <w:lang w:val="en-GB"/>
        </w:rPr>
        <w:t>is</w:t>
      </w:r>
      <w:r w:rsidRPr="00380B40">
        <w:rPr>
          <w:spacing w:val="-7"/>
          <w:lang w:val="en-GB"/>
        </w:rPr>
        <w:t xml:space="preserve"> </w:t>
      </w:r>
      <w:r w:rsidRPr="00380B40">
        <w:rPr>
          <w:lang w:val="en-GB"/>
        </w:rPr>
        <w:t>updated</w:t>
      </w:r>
      <w:r w:rsidRPr="00380B40">
        <w:rPr>
          <w:spacing w:val="-11"/>
          <w:lang w:val="en-GB"/>
        </w:rPr>
        <w:t xml:space="preserve"> </w:t>
      </w:r>
      <w:r w:rsidRPr="00380B40">
        <w:rPr>
          <w:lang w:val="en-GB"/>
        </w:rPr>
        <w:t>to</w:t>
      </w:r>
      <w:r w:rsidRPr="00380B40">
        <w:rPr>
          <w:spacing w:val="-10"/>
          <w:lang w:val="en-GB"/>
        </w:rPr>
        <w:t xml:space="preserve"> </w:t>
      </w:r>
      <w:r w:rsidRPr="00380B40">
        <w:rPr>
          <w:lang w:val="en-GB"/>
        </w:rPr>
        <w:t>reflect</w:t>
      </w:r>
      <w:r w:rsidRPr="00380B40">
        <w:rPr>
          <w:spacing w:val="-10"/>
          <w:lang w:val="en-GB"/>
        </w:rPr>
        <w:t xml:space="preserve"> </w:t>
      </w:r>
      <w:r w:rsidRPr="00380B40">
        <w:rPr>
          <w:lang w:val="en-GB"/>
        </w:rPr>
        <w:t>progress</w:t>
      </w:r>
      <w:r w:rsidRPr="00380B40">
        <w:rPr>
          <w:spacing w:val="-10"/>
          <w:lang w:val="en-GB"/>
        </w:rPr>
        <w:t xml:space="preserve"> </w:t>
      </w:r>
      <w:r w:rsidRPr="00380B40">
        <w:rPr>
          <w:lang w:val="en-GB"/>
        </w:rPr>
        <w:t>or</w:t>
      </w:r>
      <w:r w:rsidRPr="00380B40">
        <w:rPr>
          <w:spacing w:val="-11"/>
          <w:lang w:val="en-GB"/>
        </w:rPr>
        <w:t xml:space="preserve"> </w:t>
      </w:r>
      <w:r w:rsidRPr="00380B40">
        <w:rPr>
          <w:lang w:val="en-GB"/>
        </w:rPr>
        <w:t>completion</w:t>
      </w:r>
      <w:r w:rsidRPr="00380B40">
        <w:rPr>
          <w:spacing w:val="-10"/>
          <w:lang w:val="en-GB"/>
        </w:rPr>
        <w:t xml:space="preserve"> </w:t>
      </w:r>
      <w:r w:rsidRPr="00380B40">
        <w:rPr>
          <w:lang w:val="en-GB"/>
        </w:rPr>
        <w:t>of</w:t>
      </w:r>
      <w:r w:rsidRPr="00380B40">
        <w:rPr>
          <w:spacing w:val="-11"/>
          <w:lang w:val="en-GB"/>
        </w:rPr>
        <w:t xml:space="preserve"> </w:t>
      </w:r>
      <w:r w:rsidRPr="00380B40">
        <w:rPr>
          <w:lang w:val="en-GB"/>
        </w:rPr>
        <w:t>work,</w:t>
      </w:r>
      <w:r w:rsidRPr="00380B40">
        <w:rPr>
          <w:spacing w:val="-8"/>
          <w:lang w:val="en-GB"/>
        </w:rPr>
        <w:t xml:space="preserve"> </w:t>
      </w:r>
      <w:r w:rsidRPr="00380B40">
        <w:rPr>
          <w:lang w:val="en-GB"/>
        </w:rPr>
        <w:t>re-planning</w:t>
      </w:r>
      <w:r w:rsidRPr="00380B40">
        <w:rPr>
          <w:spacing w:val="-12"/>
          <w:lang w:val="en-GB"/>
        </w:rPr>
        <w:t xml:space="preserve"> </w:t>
      </w:r>
      <w:r w:rsidRPr="00380B40">
        <w:rPr>
          <w:lang w:val="en-GB"/>
        </w:rPr>
        <w:t>of</w:t>
      </w:r>
      <w:r w:rsidRPr="00380B40">
        <w:rPr>
          <w:spacing w:val="-11"/>
          <w:lang w:val="en-GB"/>
        </w:rPr>
        <w:t xml:space="preserve"> </w:t>
      </w:r>
      <w:r w:rsidRPr="00380B40">
        <w:rPr>
          <w:lang w:val="en-GB"/>
        </w:rPr>
        <w:t>in-progress</w:t>
      </w:r>
      <w:r w:rsidRPr="00380B40">
        <w:rPr>
          <w:spacing w:val="75"/>
          <w:lang w:val="en-GB"/>
        </w:rPr>
        <w:t xml:space="preserve"> </w:t>
      </w:r>
      <w:r w:rsidRPr="00380B40">
        <w:rPr>
          <w:lang w:val="en-GB"/>
        </w:rPr>
        <w:t>items, or addition of new</w:t>
      </w:r>
      <w:r w:rsidRPr="00380B40">
        <w:rPr>
          <w:spacing w:val="1"/>
          <w:lang w:val="en-GB"/>
        </w:rPr>
        <w:t xml:space="preserve"> </w:t>
      </w:r>
      <w:r w:rsidRPr="00380B40">
        <w:rPr>
          <w:lang w:val="en-GB"/>
        </w:rPr>
        <w:t>work items.</w:t>
      </w:r>
    </w:p>
    <w:p w14:paraId="7329A2E4" w14:textId="77777777" w:rsidR="00C12517" w:rsidRPr="00380B40" w:rsidRDefault="00C12517" w:rsidP="00C12517">
      <w:pPr>
        <w:rPr>
          <w:lang w:val="en-GB"/>
        </w:rPr>
      </w:pPr>
      <w:r w:rsidRPr="00380B40">
        <w:rPr>
          <w:lang w:val="en-GB"/>
        </w:rPr>
        <w:t>The decision</w:t>
      </w:r>
      <w:r w:rsidRPr="00380B40">
        <w:rPr>
          <w:spacing w:val="2"/>
          <w:lang w:val="en-GB"/>
        </w:rPr>
        <w:t xml:space="preserve"> </w:t>
      </w:r>
      <w:r w:rsidRPr="00380B40">
        <w:rPr>
          <w:lang w:val="en-GB"/>
        </w:rPr>
        <w:t>to</w:t>
      </w:r>
      <w:r w:rsidRPr="00380B40">
        <w:rPr>
          <w:spacing w:val="2"/>
          <w:lang w:val="en-GB"/>
        </w:rPr>
        <w:t xml:space="preserve"> </w:t>
      </w:r>
      <w:r w:rsidRPr="00380B40">
        <w:rPr>
          <w:spacing w:val="-1"/>
          <w:lang w:val="en-GB"/>
        </w:rPr>
        <w:t>add</w:t>
      </w:r>
      <w:r w:rsidRPr="00380B40">
        <w:rPr>
          <w:spacing w:val="2"/>
          <w:lang w:val="en-GB"/>
        </w:rPr>
        <w:t xml:space="preserve"> </w:t>
      </w:r>
      <w:r w:rsidRPr="00380B40">
        <w:rPr>
          <w:lang w:val="en-GB"/>
        </w:rPr>
        <w:t>a</w:t>
      </w:r>
      <w:r w:rsidRPr="00380B40">
        <w:rPr>
          <w:spacing w:val="3"/>
          <w:lang w:val="en-GB"/>
        </w:rPr>
        <w:t xml:space="preserve"> </w:t>
      </w:r>
      <w:r w:rsidRPr="00380B40">
        <w:rPr>
          <w:lang w:val="en-GB"/>
        </w:rPr>
        <w:t>new</w:t>
      </w:r>
      <w:r w:rsidRPr="00380B40">
        <w:rPr>
          <w:spacing w:val="1"/>
          <w:lang w:val="en-GB"/>
        </w:rPr>
        <w:t xml:space="preserve"> </w:t>
      </w:r>
      <w:r w:rsidRPr="00380B40">
        <w:rPr>
          <w:spacing w:val="-1"/>
          <w:lang w:val="en-GB"/>
        </w:rPr>
        <w:t>work</w:t>
      </w:r>
      <w:r w:rsidRPr="00380B40">
        <w:rPr>
          <w:spacing w:val="2"/>
          <w:lang w:val="en-GB"/>
        </w:rPr>
        <w:t xml:space="preserve"> </w:t>
      </w:r>
      <w:r w:rsidRPr="00380B40">
        <w:rPr>
          <w:spacing w:val="-1"/>
          <w:lang w:val="en-GB"/>
        </w:rPr>
        <w:t>item</w:t>
      </w:r>
      <w:r w:rsidRPr="00380B40">
        <w:rPr>
          <w:spacing w:val="2"/>
          <w:lang w:val="en-GB"/>
        </w:rPr>
        <w:t xml:space="preserve"> </w:t>
      </w:r>
      <w:r w:rsidRPr="00380B40">
        <w:rPr>
          <w:lang w:val="en-GB"/>
        </w:rPr>
        <w:t>to</w:t>
      </w:r>
      <w:r w:rsidRPr="00380B40">
        <w:rPr>
          <w:spacing w:val="2"/>
          <w:lang w:val="en-GB"/>
        </w:rPr>
        <w:t xml:space="preserve"> </w:t>
      </w:r>
      <w:r w:rsidRPr="00380B40">
        <w:rPr>
          <w:lang w:val="en-GB"/>
        </w:rPr>
        <w:t>the</w:t>
      </w:r>
      <w:r w:rsidRPr="00380B40">
        <w:rPr>
          <w:spacing w:val="1"/>
          <w:lang w:val="en-GB"/>
        </w:rPr>
        <w:t xml:space="preserve"> </w:t>
      </w:r>
      <w:r w:rsidRPr="00380B40">
        <w:rPr>
          <w:spacing w:val="-1"/>
          <w:lang w:val="en-GB"/>
        </w:rPr>
        <w:t>work</w:t>
      </w:r>
      <w:r w:rsidRPr="00380B40">
        <w:rPr>
          <w:spacing w:val="6"/>
          <w:lang w:val="en-GB"/>
        </w:rPr>
        <w:t xml:space="preserve"> </w:t>
      </w:r>
      <w:r w:rsidRPr="00380B40">
        <w:rPr>
          <w:spacing w:val="-1"/>
          <w:lang w:val="en-GB"/>
        </w:rPr>
        <w:t>programme</w:t>
      </w:r>
      <w:r w:rsidRPr="00380B40">
        <w:rPr>
          <w:spacing w:val="1"/>
          <w:lang w:val="en-GB"/>
        </w:rPr>
        <w:t xml:space="preserve"> </w:t>
      </w:r>
      <w:r w:rsidRPr="00380B40">
        <w:rPr>
          <w:lang w:val="en-GB"/>
        </w:rPr>
        <w:t>shall</w:t>
      </w:r>
      <w:r w:rsidRPr="00380B40">
        <w:rPr>
          <w:spacing w:val="2"/>
          <w:lang w:val="en-GB"/>
        </w:rPr>
        <w:t xml:space="preserve"> </w:t>
      </w:r>
      <w:r w:rsidRPr="00380B40">
        <w:rPr>
          <w:spacing w:val="1"/>
          <w:lang w:val="en-GB"/>
        </w:rPr>
        <w:t xml:space="preserve">be </w:t>
      </w:r>
      <w:r w:rsidRPr="00380B40">
        <w:rPr>
          <w:lang w:val="en-GB"/>
        </w:rPr>
        <w:t>documented</w:t>
      </w:r>
      <w:r w:rsidRPr="00380B40">
        <w:rPr>
          <w:spacing w:val="2"/>
          <w:lang w:val="en-GB"/>
        </w:rPr>
        <w:t xml:space="preserve"> </w:t>
      </w:r>
      <w:r w:rsidRPr="00380B40">
        <w:rPr>
          <w:lang w:val="en-GB"/>
        </w:rPr>
        <w:t>in</w:t>
      </w:r>
      <w:r w:rsidRPr="00380B40">
        <w:rPr>
          <w:spacing w:val="2"/>
          <w:lang w:val="en-GB"/>
        </w:rPr>
        <w:t xml:space="preserve"> the</w:t>
      </w:r>
      <w:r w:rsidRPr="00380B40">
        <w:rPr>
          <w:spacing w:val="3"/>
          <w:lang w:val="en-GB"/>
        </w:rPr>
        <w:t xml:space="preserve"> </w:t>
      </w:r>
      <w:r w:rsidRPr="00380B40">
        <w:rPr>
          <w:lang w:val="en-GB"/>
        </w:rPr>
        <w:t>report</w:t>
      </w:r>
      <w:r w:rsidRPr="00380B40">
        <w:rPr>
          <w:spacing w:val="1"/>
          <w:lang w:val="en-GB"/>
        </w:rPr>
        <w:t xml:space="preserve"> </w:t>
      </w:r>
      <w:r w:rsidRPr="00380B40">
        <w:rPr>
          <w:lang w:val="en-GB"/>
        </w:rPr>
        <w:t>of</w:t>
      </w:r>
      <w:r w:rsidRPr="00380B40">
        <w:rPr>
          <w:spacing w:val="40"/>
          <w:lang w:val="en-GB"/>
        </w:rPr>
        <w:t xml:space="preserve"> </w:t>
      </w:r>
      <w:r w:rsidRPr="00380B40">
        <w:rPr>
          <w:lang w:val="en-GB"/>
        </w:rPr>
        <w:t>the</w:t>
      </w:r>
      <w:r w:rsidRPr="00380B40">
        <w:rPr>
          <w:spacing w:val="20"/>
          <w:lang w:val="en-GB"/>
        </w:rPr>
        <w:t xml:space="preserve"> </w:t>
      </w:r>
      <w:r w:rsidRPr="00380B40">
        <w:rPr>
          <w:lang w:val="en-GB"/>
        </w:rPr>
        <w:t>meeting</w:t>
      </w:r>
      <w:r w:rsidRPr="00380B40">
        <w:rPr>
          <w:spacing w:val="18"/>
          <w:lang w:val="en-GB"/>
        </w:rPr>
        <w:t xml:space="preserve"> </w:t>
      </w:r>
      <w:r w:rsidRPr="00380B40">
        <w:rPr>
          <w:lang w:val="en-GB"/>
        </w:rPr>
        <w:t>using</w:t>
      </w:r>
      <w:r w:rsidRPr="00380B40">
        <w:rPr>
          <w:spacing w:val="21"/>
          <w:lang w:val="en-GB"/>
        </w:rPr>
        <w:t xml:space="preserve"> </w:t>
      </w:r>
      <w:r w:rsidRPr="00380B40">
        <w:rPr>
          <w:lang w:val="en-GB"/>
        </w:rPr>
        <w:t>the</w:t>
      </w:r>
      <w:r w:rsidRPr="00380B40">
        <w:rPr>
          <w:spacing w:val="20"/>
          <w:lang w:val="en-GB"/>
        </w:rPr>
        <w:t xml:space="preserve"> </w:t>
      </w:r>
      <w:r w:rsidRPr="00380B40">
        <w:rPr>
          <w:lang w:val="en-GB"/>
        </w:rPr>
        <w:t>template</w:t>
      </w:r>
      <w:r w:rsidRPr="00380B40">
        <w:rPr>
          <w:spacing w:val="20"/>
          <w:lang w:val="en-GB"/>
        </w:rPr>
        <w:t xml:space="preserve"> </w:t>
      </w:r>
      <w:r w:rsidRPr="00380B40">
        <w:rPr>
          <w:lang w:val="en-GB"/>
        </w:rPr>
        <w:t>in</w:t>
      </w:r>
      <w:r w:rsidRPr="00380B40">
        <w:rPr>
          <w:spacing w:val="21"/>
          <w:lang w:val="en-GB"/>
        </w:rPr>
        <w:t xml:space="preserve"> </w:t>
      </w:r>
      <w:r w:rsidRPr="00380B40">
        <w:rPr>
          <w:spacing w:val="-1"/>
          <w:lang w:val="en-GB"/>
        </w:rPr>
        <w:t>Annex</w:t>
      </w:r>
      <w:r w:rsidRPr="00380B40">
        <w:rPr>
          <w:spacing w:val="23"/>
          <w:lang w:val="en-GB"/>
        </w:rPr>
        <w:t xml:space="preserve"> </w:t>
      </w:r>
      <w:r w:rsidRPr="00380B40">
        <w:rPr>
          <w:lang w:val="en-GB"/>
        </w:rPr>
        <w:t>A.</w:t>
      </w:r>
      <w:r w:rsidRPr="00380B40">
        <w:rPr>
          <w:spacing w:val="20"/>
          <w:lang w:val="en-GB"/>
        </w:rPr>
        <w:t xml:space="preserve"> </w:t>
      </w:r>
      <w:r w:rsidRPr="00380B40">
        <w:rPr>
          <w:lang w:val="en-GB"/>
        </w:rPr>
        <w:t>Note</w:t>
      </w:r>
      <w:r w:rsidRPr="00380B40">
        <w:rPr>
          <w:spacing w:val="20"/>
          <w:lang w:val="en-GB"/>
        </w:rPr>
        <w:t xml:space="preserve"> </w:t>
      </w:r>
      <w:r w:rsidRPr="00380B40">
        <w:rPr>
          <w:lang w:val="en-GB"/>
        </w:rPr>
        <w:t>that</w:t>
      </w:r>
      <w:r w:rsidRPr="00380B40">
        <w:rPr>
          <w:spacing w:val="21"/>
          <w:lang w:val="en-GB"/>
        </w:rPr>
        <w:t xml:space="preserve"> </w:t>
      </w:r>
      <w:r w:rsidRPr="00380B40">
        <w:rPr>
          <w:lang w:val="en-GB"/>
        </w:rPr>
        <w:t>this</w:t>
      </w:r>
      <w:r w:rsidRPr="00380B40">
        <w:rPr>
          <w:spacing w:val="21"/>
          <w:lang w:val="en-GB"/>
        </w:rPr>
        <w:t xml:space="preserve"> </w:t>
      </w:r>
      <w:r w:rsidRPr="00380B40">
        <w:rPr>
          <w:spacing w:val="1"/>
          <w:lang w:val="en-GB"/>
        </w:rPr>
        <w:t>may</w:t>
      </w:r>
      <w:r w:rsidRPr="00380B40">
        <w:rPr>
          <w:spacing w:val="16"/>
          <w:lang w:val="en-GB"/>
        </w:rPr>
        <w:t xml:space="preserve"> </w:t>
      </w:r>
      <w:r w:rsidRPr="00380B40">
        <w:rPr>
          <w:lang w:val="en-GB"/>
        </w:rPr>
        <w:t>not</w:t>
      </w:r>
      <w:r w:rsidRPr="00380B40">
        <w:rPr>
          <w:spacing w:val="21"/>
          <w:lang w:val="en-GB"/>
        </w:rPr>
        <w:t xml:space="preserve"> </w:t>
      </w:r>
      <w:r w:rsidRPr="00380B40">
        <w:rPr>
          <w:lang w:val="en-GB"/>
        </w:rPr>
        <w:t>be</w:t>
      </w:r>
      <w:r w:rsidRPr="00380B40">
        <w:rPr>
          <w:spacing w:val="20"/>
          <w:lang w:val="en-GB"/>
        </w:rPr>
        <w:t xml:space="preserve"> </w:t>
      </w:r>
      <w:r w:rsidRPr="00380B40">
        <w:rPr>
          <w:lang w:val="en-GB"/>
        </w:rPr>
        <w:t>necessary</w:t>
      </w:r>
      <w:r w:rsidRPr="00380B40">
        <w:rPr>
          <w:spacing w:val="16"/>
          <w:lang w:val="en-GB"/>
        </w:rPr>
        <w:t xml:space="preserve"> </w:t>
      </w:r>
      <w:r w:rsidRPr="00380B40">
        <w:rPr>
          <w:lang w:val="en-GB"/>
        </w:rPr>
        <w:t>to</w:t>
      </w:r>
      <w:r w:rsidRPr="00380B40">
        <w:rPr>
          <w:spacing w:val="21"/>
          <w:lang w:val="en-GB"/>
        </w:rPr>
        <w:t xml:space="preserve"> </w:t>
      </w:r>
      <w:r w:rsidRPr="00380B40">
        <w:rPr>
          <w:spacing w:val="-1"/>
          <w:lang w:val="en-GB"/>
        </w:rPr>
        <w:t>document</w:t>
      </w:r>
      <w:r w:rsidRPr="00380B40">
        <w:rPr>
          <w:spacing w:val="21"/>
          <w:lang w:val="en-GB"/>
        </w:rPr>
        <w:t xml:space="preserve"> </w:t>
      </w:r>
      <w:r w:rsidRPr="00380B40">
        <w:rPr>
          <w:lang w:val="en-GB"/>
        </w:rPr>
        <w:t>the</w:t>
      </w:r>
      <w:r w:rsidRPr="00380B40">
        <w:rPr>
          <w:spacing w:val="36"/>
          <w:lang w:val="en-GB"/>
        </w:rPr>
        <w:t xml:space="preserve"> </w:t>
      </w:r>
      <w:r w:rsidRPr="00380B40">
        <w:rPr>
          <w:spacing w:val="-1"/>
          <w:lang w:val="en-GB"/>
        </w:rPr>
        <w:t>continuation</w:t>
      </w:r>
      <w:r w:rsidRPr="00380B40">
        <w:rPr>
          <w:lang w:val="en-GB"/>
        </w:rPr>
        <w:t xml:space="preserve"> of</w:t>
      </w:r>
      <w:r w:rsidRPr="00380B40">
        <w:rPr>
          <w:spacing w:val="-1"/>
          <w:lang w:val="en-GB"/>
        </w:rPr>
        <w:t xml:space="preserve"> </w:t>
      </w:r>
      <w:r w:rsidRPr="00380B40">
        <w:rPr>
          <w:lang w:val="en-GB"/>
        </w:rPr>
        <w:t>existing</w:t>
      </w:r>
      <w:r w:rsidRPr="00380B40">
        <w:rPr>
          <w:spacing w:val="-2"/>
          <w:lang w:val="en-GB"/>
        </w:rPr>
        <w:t xml:space="preserve"> </w:t>
      </w:r>
      <w:r w:rsidRPr="00380B40">
        <w:rPr>
          <w:spacing w:val="-1"/>
          <w:lang w:val="en-GB"/>
        </w:rPr>
        <w:t>work</w:t>
      </w:r>
      <w:r w:rsidRPr="00380B40">
        <w:rPr>
          <w:lang w:val="en-GB"/>
        </w:rPr>
        <w:t xml:space="preserve"> </w:t>
      </w:r>
      <w:r w:rsidRPr="00380B40">
        <w:rPr>
          <w:spacing w:val="-1"/>
          <w:lang w:val="en-GB"/>
        </w:rPr>
        <w:t>(e.g.,</w:t>
      </w:r>
      <w:r w:rsidRPr="00380B40">
        <w:rPr>
          <w:lang w:val="en-GB"/>
        </w:rPr>
        <w:t> </w:t>
      </w:r>
      <w:r w:rsidRPr="00380B40">
        <w:rPr>
          <w:spacing w:val="-1"/>
          <w:lang w:val="en-GB"/>
        </w:rPr>
        <w:t>an</w:t>
      </w:r>
      <w:r w:rsidRPr="00380B40">
        <w:rPr>
          <w:lang w:val="en-GB"/>
        </w:rPr>
        <w:t xml:space="preserve"> amendment or </w:t>
      </w:r>
      <w:r w:rsidRPr="00380B40">
        <w:rPr>
          <w:spacing w:val="-1"/>
          <w:lang w:val="en-GB"/>
        </w:rPr>
        <w:t>revision</w:t>
      </w:r>
      <w:r w:rsidRPr="00380B40">
        <w:rPr>
          <w:lang w:val="en-GB"/>
        </w:rPr>
        <w:t xml:space="preserve"> of</w:t>
      </w:r>
      <w:r w:rsidRPr="00380B40">
        <w:rPr>
          <w:spacing w:val="-1"/>
          <w:lang w:val="en-GB"/>
        </w:rPr>
        <w:t xml:space="preserve"> an</w:t>
      </w:r>
      <w:r w:rsidRPr="00380B40">
        <w:rPr>
          <w:lang w:val="en-GB"/>
        </w:rPr>
        <w:t xml:space="preserve"> existing</w:t>
      </w:r>
      <w:r w:rsidRPr="00380B40">
        <w:rPr>
          <w:spacing w:val="-2"/>
          <w:lang w:val="en-GB"/>
        </w:rPr>
        <w:t xml:space="preserve"> </w:t>
      </w:r>
      <w:r w:rsidRPr="00380B40">
        <w:rPr>
          <w:spacing w:val="-1"/>
          <w:lang w:val="en-GB"/>
        </w:rPr>
        <w:t>Recommendation).</w:t>
      </w:r>
    </w:p>
    <w:p w14:paraId="1F5AF692" w14:textId="77777777" w:rsidR="00C12517" w:rsidRPr="00380B40" w:rsidRDefault="00C12517" w:rsidP="00C12517">
      <w:pPr>
        <w:rPr>
          <w:lang w:val="en-GB"/>
        </w:rPr>
      </w:pPr>
      <w:r w:rsidRPr="00380B40">
        <w:rPr>
          <w:lang w:val="en-GB"/>
        </w:rPr>
        <w:t>A</w:t>
      </w:r>
      <w:r w:rsidRPr="00380B40">
        <w:rPr>
          <w:spacing w:val="-3"/>
          <w:lang w:val="en-GB"/>
        </w:rPr>
        <w:t xml:space="preserve"> </w:t>
      </w:r>
      <w:r w:rsidRPr="00380B40">
        <w:rPr>
          <w:lang w:val="en-GB"/>
        </w:rPr>
        <w:t>work</w:t>
      </w:r>
      <w:r w:rsidRPr="00380B40">
        <w:rPr>
          <w:spacing w:val="-3"/>
          <w:lang w:val="en-GB"/>
        </w:rPr>
        <w:t xml:space="preserve"> </w:t>
      </w:r>
      <w:r w:rsidRPr="00380B40">
        <w:rPr>
          <w:lang w:val="en-GB"/>
        </w:rPr>
        <w:t>item</w:t>
      </w:r>
      <w:r w:rsidRPr="00380B40">
        <w:rPr>
          <w:spacing w:val="-2"/>
          <w:lang w:val="en-GB"/>
        </w:rPr>
        <w:t xml:space="preserve"> </w:t>
      </w:r>
      <w:r w:rsidRPr="00380B40">
        <w:rPr>
          <w:lang w:val="en-GB"/>
        </w:rPr>
        <w:t>may</w:t>
      </w:r>
      <w:r w:rsidRPr="00380B40">
        <w:rPr>
          <w:spacing w:val="-10"/>
          <w:lang w:val="en-GB"/>
        </w:rPr>
        <w:t xml:space="preserve"> </w:t>
      </w:r>
      <w:r w:rsidRPr="00380B40">
        <w:rPr>
          <w:lang w:val="en-GB"/>
        </w:rPr>
        <w:t>be</w:t>
      </w:r>
      <w:r w:rsidRPr="00380B40">
        <w:rPr>
          <w:spacing w:val="-4"/>
          <w:lang w:val="en-GB"/>
        </w:rPr>
        <w:t xml:space="preserve"> </w:t>
      </w:r>
      <w:r w:rsidRPr="00380B40">
        <w:rPr>
          <w:lang w:val="en-GB"/>
        </w:rPr>
        <w:t>considered</w:t>
      </w:r>
      <w:r w:rsidRPr="00380B40">
        <w:rPr>
          <w:spacing w:val="-3"/>
          <w:lang w:val="en-GB"/>
        </w:rPr>
        <w:t xml:space="preserve"> </w:t>
      </w:r>
      <w:r w:rsidRPr="00380B40">
        <w:rPr>
          <w:lang w:val="en-GB"/>
        </w:rPr>
        <w:t>for</w:t>
      </w:r>
      <w:r w:rsidRPr="00380B40">
        <w:rPr>
          <w:spacing w:val="-4"/>
          <w:lang w:val="en-GB"/>
        </w:rPr>
        <w:t xml:space="preserve"> </w:t>
      </w:r>
      <w:r w:rsidRPr="00380B40">
        <w:rPr>
          <w:lang w:val="en-GB"/>
        </w:rPr>
        <w:t>discontinuation</w:t>
      </w:r>
      <w:r w:rsidRPr="00380B40">
        <w:rPr>
          <w:spacing w:val="-3"/>
          <w:lang w:val="en-GB"/>
        </w:rPr>
        <w:t xml:space="preserve"> </w:t>
      </w:r>
      <w:r w:rsidRPr="00380B40">
        <w:rPr>
          <w:lang w:val="en-GB"/>
        </w:rPr>
        <w:t>from the</w:t>
      </w:r>
      <w:r w:rsidRPr="00380B40">
        <w:rPr>
          <w:spacing w:val="-3"/>
          <w:lang w:val="en-GB"/>
        </w:rPr>
        <w:t xml:space="preserve"> </w:t>
      </w:r>
      <w:r w:rsidRPr="00380B40">
        <w:rPr>
          <w:lang w:val="en-GB"/>
        </w:rPr>
        <w:t>work</w:t>
      </w:r>
      <w:r w:rsidRPr="00380B40">
        <w:rPr>
          <w:spacing w:val="-3"/>
          <w:lang w:val="en-GB"/>
        </w:rPr>
        <w:t xml:space="preserve"> </w:t>
      </w:r>
      <w:r w:rsidRPr="00380B40">
        <w:rPr>
          <w:lang w:val="en-GB"/>
        </w:rPr>
        <w:t>programme</w:t>
      </w:r>
      <w:r w:rsidRPr="00380B40">
        <w:rPr>
          <w:spacing w:val="-3"/>
          <w:lang w:val="en-GB"/>
        </w:rPr>
        <w:t xml:space="preserve"> </w:t>
      </w:r>
      <w:r w:rsidRPr="00380B40">
        <w:rPr>
          <w:lang w:val="en-GB"/>
        </w:rPr>
        <w:t>if</w:t>
      </w:r>
      <w:r w:rsidRPr="00380B40">
        <w:rPr>
          <w:spacing w:val="-3"/>
          <w:lang w:val="en-GB"/>
        </w:rPr>
        <w:t xml:space="preserve"> </w:t>
      </w:r>
      <w:r w:rsidRPr="00380B40">
        <w:rPr>
          <w:lang w:val="en-GB"/>
        </w:rPr>
        <w:t>it</w:t>
      </w:r>
      <w:r w:rsidRPr="00380B40">
        <w:rPr>
          <w:spacing w:val="-2"/>
          <w:lang w:val="en-GB"/>
        </w:rPr>
        <w:t xml:space="preserve"> </w:t>
      </w:r>
      <w:r w:rsidRPr="00380B40">
        <w:rPr>
          <w:lang w:val="en-GB"/>
        </w:rPr>
        <w:t>has</w:t>
      </w:r>
      <w:r w:rsidRPr="00380B40">
        <w:rPr>
          <w:spacing w:val="-5"/>
          <w:lang w:val="en-GB"/>
        </w:rPr>
        <w:t xml:space="preserve"> </w:t>
      </w:r>
      <w:r w:rsidRPr="00380B40">
        <w:rPr>
          <w:lang w:val="en-GB"/>
        </w:rPr>
        <w:t>not</w:t>
      </w:r>
      <w:r w:rsidRPr="00380B40">
        <w:rPr>
          <w:spacing w:val="-2"/>
          <w:lang w:val="en-GB"/>
        </w:rPr>
        <w:t xml:space="preserve"> </w:t>
      </w:r>
      <w:r w:rsidRPr="00380B40">
        <w:rPr>
          <w:lang w:val="en-GB"/>
        </w:rPr>
        <w:t>given</w:t>
      </w:r>
      <w:r w:rsidRPr="00380B40">
        <w:rPr>
          <w:spacing w:val="-3"/>
          <w:lang w:val="en-GB"/>
        </w:rPr>
        <w:t xml:space="preserve"> </w:t>
      </w:r>
      <w:r w:rsidRPr="00380B40">
        <w:rPr>
          <w:lang w:val="en-GB"/>
        </w:rPr>
        <w:t>rise</w:t>
      </w:r>
      <w:r w:rsidRPr="00380B40">
        <w:rPr>
          <w:spacing w:val="83"/>
          <w:lang w:val="en-GB"/>
        </w:rPr>
        <w:t xml:space="preserve"> </w:t>
      </w:r>
      <w:r w:rsidRPr="00380B40">
        <w:rPr>
          <w:lang w:val="en-GB"/>
        </w:rPr>
        <w:t>to any</w:t>
      </w:r>
      <w:r w:rsidRPr="00380B40">
        <w:rPr>
          <w:spacing w:val="-3"/>
          <w:lang w:val="en-GB"/>
        </w:rPr>
        <w:t xml:space="preserve"> </w:t>
      </w:r>
      <w:r w:rsidRPr="00380B40">
        <w:rPr>
          <w:lang w:val="en-GB"/>
        </w:rPr>
        <w:t>contribution in the time interval of the previous two study</w:t>
      </w:r>
      <w:r w:rsidRPr="00380B40">
        <w:rPr>
          <w:spacing w:val="-3"/>
          <w:lang w:val="en-GB"/>
        </w:rPr>
        <w:t xml:space="preserve"> </w:t>
      </w:r>
      <w:r w:rsidRPr="00380B40">
        <w:rPr>
          <w:lang w:val="en-GB"/>
        </w:rPr>
        <w:t>group meetings.</w:t>
      </w:r>
      <w:bookmarkStart w:id="592" w:name="_Toc206496677"/>
    </w:p>
    <w:p w14:paraId="7FB20EAF" w14:textId="77777777" w:rsidR="00C12517" w:rsidRPr="00380B40" w:rsidRDefault="00C12517" w:rsidP="00C12517">
      <w:pPr>
        <w:pStyle w:val="Heading2"/>
        <w:tabs>
          <w:tab w:val="left" w:pos="908"/>
        </w:tabs>
        <w:rPr>
          <w:b w:val="0"/>
          <w:bCs/>
          <w:lang w:val="en-GB"/>
        </w:rPr>
      </w:pPr>
      <w:bookmarkStart w:id="593" w:name="_Toc471716640"/>
      <w:bookmarkStart w:id="594" w:name="_Toc20738312"/>
      <w:bookmarkStart w:id="595" w:name="_Toc21093726"/>
      <w:bookmarkStart w:id="596" w:name="_Toc22280335"/>
      <w:bookmarkStart w:id="597" w:name="_Toc111636831"/>
      <w:r w:rsidRPr="00380B40">
        <w:rPr>
          <w:lang w:val="en-GB"/>
        </w:rPr>
        <w:t>1.5</w:t>
      </w:r>
      <w:r w:rsidRPr="00380B40">
        <w:rPr>
          <w:lang w:val="en-GB"/>
        </w:rPr>
        <w:tab/>
      </w:r>
      <w:bookmarkStart w:id="598" w:name="_Toc532428456"/>
      <w:r w:rsidRPr="00380B40">
        <w:rPr>
          <w:lang w:val="en-GB"/>
        </w:rPr>
        <w:t xml:space="preserve">Liaison </w:t>
      </w:r>
      <w:r w:rsidRPr="00380B40">
        <w:rPr>
          <w:spacing w:val="-1"/>
          <w:lang w:val="en-GB"/>
        </w:rPr>
        <w:t>statements</w:t>
      </w:r>
      <w:bookmarkEnd w:id="592"/>
      <w:bookmarkEnd w:id="593"/>
      <w:bookmarkEnd w:id="594"/>
      <w:bookmarkEnd w:id="595"/>
      <w:bookmarkEnd w:id="596"/>
      <w:bookmarkEnd w:id="597"/>
      <w:bookmarkEnd w:id="598"/>
    </w:p>
    <w:p w14:paraId="6CEA52FF" w14:textId="77777777" w:rsidR="00C12517" w:rsidRPr="00380B40" w:rsidRDefault="00C12517" w:rsidP="00C12517">
      <w:pPr>
        <w:rPr>
          <w:lang w:val="en-GB"/>
        </w:rPr>
      </w:pPr>
      <w:r w:rsidRPr="00380B40">
        <w:rPr>
          <w:b/>
          <w:bCs/>
          <w:lang w:val="en-GB"/>
        </w:rPr>
        <w:t>1.5.1</w:t>
      </w:r>
      <w:r w:rsidRPr="00380B40">
        <w:rPr>
          <w:lang w:val="en-GB"/>
        </w:rPr>
        <w:tab/>
        <w:t>The</w:t>
      </w:r>
      <w:r w:rsidRPr="00380B40">
        <w:rPr>
          <w:spacing w:val="12"/>
          <w:lang w:val="en-GB"/>
        </w:rPr>
        <w:t xml:space="preserve"> </w:t>
      </w:r>
      <w:r w:rsidRPr="00380B40">
        <w:rPr>
          <w:lang w:val="en-GB"/>
        </w:rPr>
        <w:t>following</w:t>
      </w:r>
      <w:r w:rsidRPr="00380B40">
        <w:rPr>
          <w:spacing w:val="11"/>
          <w:lang w:val="en-GB"/>
        </w:rPr>
        <w:t xml:space="preserve"> </w:t>
      </w:r>
      <w:r w:rsidRPr="00380B40">
        <w:rPr>
          <w:lang w:val="en-GB"/>
        </w:rPr>
        <w:t>information</w:t>
      </w:r>
      <w:r w:rsidRPr="00380B40">
        <w:rPr>
          <w:spacing w:val="14"/>
          <w:lang w:val="en-GB"/>
        </w:rPr>
        <w:t xml:space="preserve"> </w:t>
      </w:r>
      <w:r w:rsidRPr="00380B40">
        <w:rPr>
          <w:lang w:val="en-GB"/>
        </w:rPr>
        <w:t>shall</w:t>
      </w:r>
      <w:r w:rsidRPr="00380B40">
        <w:rPr>
          <w:spacing w:val="14"/>
          <w:lang w:val="en-GB"/>
        </w:rPr>
        <w:t xml:space="preserve"> </w:t>
      </w:r>
      <w:r w:rsidRPr="00380B40">
        <w:rPr>
          <w:lang w:val="en-GB"/>
        </w:rPr>
        <w:t>be</w:t>
      </w:r>
      <w:r w:rsidRPr="00380B40">
        <w:rPr>
          <w:spacing w:val="15"/>
          <w:lang w:val="en-GB"/>
        </w:rPr>
        <w:t xml:space="preserve"> </w:t>
      </w:r>
      <w:r w:rsidRPr="00380B40">
        <w:rPr>
          <w:lang w:val="en-GB"/>
        </w:rPr>
        <w:t>included</w:t>
      </w:r>
      <w:r w:rsidRPr="00380B40">
        <w:rPr>
          <w:spacing w:val="16"/>
          <w:lang w:val="en-GB"/>
        </w:rPr>
        <w:t xml:space="preserve"> </w:t>
      </w:r>
      <w:r w:rsidRPr="00380B40">
        <w:rPr>
          <w:lang w:val="en-GB"/>
        </w:rPr>
        <w:t>in outgoing liaison</w:t>
      </w:r>
      <w:r w:rsidRPr="00380B40">
        <w:rPr>
          <w:spacing w:val="14"/>
          <w:lang w:val="en-GB"/>
        </w:rPr>
        <w:t xml:space="preserve"> </w:t>
      </w:r>
      <w:r w:rsidRPr="00380B40">
        <w:rPr>
          <w:lang w:val="en-GB"/>
        </w:rPr>
        <w:t>statements</w:t>
      </w:r>
      <w:r w:rsidRPr="00380B40">
        <w:rPr>
          <w:spacing w:val="14"/>
          <w:lang w:val="en-GB"/>
        </w:rPr>
        <w:t xml:space="preserve"> </w:t>
      </w:r>
      <w:r w:rsidRPr="00380B40">
        <w:rPr>
          <w:lang w:val="en-GB"/>
        </w:rPr>
        <w:t>prepared</w:t>
      </w:r>
      <w:r w:rsidRPr="00380B40">
        <w:rPr>
          <w:spacing w:val="14"/>
          <w:lang w:val="en-GB"/>
        </w:rPr>
        <w:t xml:space="preserve"> </w:t>
      </w:r>
      <w:r w:rsidRPr="00380B40">
        <w:rPr>
          <w:lang w:val="en-GB"/>
        </w:rPr>
        <w:t>at</w:t>
      </w:r>
      <w:r w:rsidRPr="00380B40">
        <w:rPr>
          <w:spacing w:val="14"/>
          <w:lang w:val="en-GB"/>
        </w:rPr>
        <w:t xml:space="preserve"> </w:t>
      </w:r>
      <w:r w:rsidRPr="00380B40">
        <w:rPr>
          <w:spacing w:val="1"/>
          <w:lang w:val="en-GB"/>
        </w:rPr>
        <w:t>study</w:t>
      </w:r>
      <w:r w:rsidRPr="00380B40">
        <w:rPr>
          <w:spacing w:val="11"/>
          <w:lang w:val="en-GB"/>
        </w:rPr>
        <w:t xml:space="preserve"> </w:t>
      </w:r>
      <w:r w:rsidRPr="00380B40">
        <w:rPr>
          <w:lang w:val="en-GB"/>
        </w:rPr>
        <w:t>group,</w:t>
      </w:r>
      <w:r w:rsidRPr="00380B40">
        <w:rPr>
          <w:spacing w:val="74"/>
          <w:lang w:val="en-GB"/>
        </w:rPr>
        <w:t xml:space="preserve"> </w:t>
      </w:r>
      <w:r w:rsidRPr="00380B40">
        <w:rPr>
          <w:lang w:val="en-GB"/>
        </w:rPr>
        <w:t>working</w:t>
      </w:r>
      <w:r w:rsidRPr="00380B40">
        <w:rPr>
          <w:spacing w:val="41"/>
          <w:lang w:val="en-GB"/>
        </w:rPr>
        <w:t xml:space="preserve"> </w:t>
      </w:r>
      <w:r w:rsidRPr="00380B40">
        <w:rPr>
          <w:lang w:val="en-GB"/>
        </w:rPr>
        <w:t>party</w:t>
      </w:r>
      <w:r w:rsidRPr="00380B40">
        <w:rPr>
          <w:spacing w:val="35"/>
          <w:lang w:val="en-GB"/>
        </w:rPr>
        <w:t xml:space="preserve"> </w:t>
      </w:r>
      <w:r w:rsidRPr="00380B40">
        <w:rPr>
          <w:spacing w:val="1"/>
          <w:lang w:val="en-GB"/>
        </w:rPr>
        <w:t>or</w:t>
      </w:r>
      <w:r w:rsidRPr="00380B40">
        <w:rPr>
          <w:spacing w:val="39"/>
          <w:lang w:val="en-GB"/>
        </w:rPr>
        <w:t xml:space="preserve"> </w:t>
      </w:r>
      <w:r w:rsidRPr="00380B40">
        <w:rPr>
          <w:lang w:val="en-GB"/>
        </w:rPr>
        <w:t>rapporteur</w:t>
      </w:r>
      <w:r w:rsidRPr="00380B40">
        <w:rPr>
          <w:spacing w:val="41"/>
          <w:lang w:val="en-GB"/>
        </w:rPr>
        <w:t xml:space="preserve"> </w:t>
      </w:r>
      <w:r w:rsidRPr="00380B40">
        <w:rPr>
          <w:lang w:val="en-GB"/>
        </w:rPr>
        <w:t>group</w:t>
      </w:r>
      <w:r w:rsidRPr="00380B40">
        <w:rPr>
          <w:spacing w:val="39"/>
          <w:lang w:val="en-GB"/>
        </w:rPr>
        <w:t xml:space="preserve"> </w:t>
      </w:r>
      <w:r w:rsidRPr="00380B40">
        <w:rPr>
          <w:lang w:val="en-GB"/>
        </w:rPr>
        <w:t>meetings.</w:t>
      </w:r>
      <w:r w:rsidRPr="00380B40">
        <w:rPr>
          <w:spacing w:val="42"/>
          <w:lang w:val="en-GB"/>
        </w:rPr>
        <w:t xml:space="preserve"> </w:t>
      </w:r>
      <w:r w:rsidRPr="00380B40">
        <w:rPr>
          <w:lang w:val="en-GB"/>
        </w:rPr>
        <w:t>When</w:t>
      </w:r>
      <w:r w:rsidRPr="00380B40">
        <w:rPr>
          <w:spacing w:val="40"/>
          <w:lang w:val="en-GB"/>
        </w:rPr>
        <w:t xml:space="preserve"> </w:t>
      </w:r>
      <w:r w:rsidRPr="00380B40">
        <w:rPr>
          <w:lang w:val="en-GB"/>
        </w:rPr>
        <w:t>necessary,</w:t>
      </w:r>
      <w:r w:rsidRPr="00380B40">
        <w:rPr>
          <w:spacing w:val="42"/>
          <w:lang w:val="en-GB"/>
        </w:rPr>
        <w:t xml:space="preserve"> </w:t>
      </w:r>
      <w:r w:rsidRPr="00380B40">
        <w:rPr>
          <w:lang w:val="en-GB"/>
        </w:rPr>
        <w:t>between</w:t>
      </w:r>
      <w:r w:rsidRPr="00380B40">
        <w:rPr>
          <w:spacing w:val="42"/>
          <w:lang w:val="en-GB"/>
        </w:rPr>
        <w:t xml:space="preserve"> </w:t>
      </w:r>
      <w:r w:rsidRPr="00380B40">
        <w:rPr>
          <w:lang w:val="en-GB"/>
        </w:rPr>
        <w:t>scheduled</w:t>
      </w:r>
      <w:r w:rsidRPr="00380B40">
        <w:rPr>
          <w:spacing w:val="40"/>
          <w:lang w:val="en-GB"/>
        </w:rPr>
        <w:t xml:space="preserve"> </w:t>
      </w:r>
      <w:r w:rsidRPr="00380B40">
        <w:rPr>
          <w:lang w:val="en-GB"/>
        </w:rPr>
        <w:t>meetings,</w:t>
      </w:r>
      <w:r w:rsidRPr="00380B40">
        <w:rPr>
          <w:spacing w:val="40"/>
          <w:lang w:val="en-GB"/>
        </w:rPr>
        <w:t xml:space="preserve"> </w:t>
      </w:r>
      <w:r w:rsidRPr="00380B40">
        <w:rPr>
          <w:lang w:val="en-GB"/>
        </w:rPr>
        <w:t>the</w:t>
      </w:r>
      <w:r w:rsidRPr="00380B40">
        <w:rPr>
          <w:spacing w:val="91"/>
          <w:lang w:val="en-GB"/>
        </w:rPr>
        <w:t xml:space="preserve"> </w:t>
      </w:r>
      <w:r w:rsidRPr="00380B40">
        <w:rPr>
          <w:lang w:val="en-GB"/>
        </w:rPr>
        <w:t>liaison</w:t>
      </w:r>
      <w:r w:rsidRPr="00380B40">
        <w:rPr>
          <w:spacing w:val="19"/>
          <w:lang w:val="en-GB"/>
        </w:rPr>
        <w:t xml:space="preserve"> </w:t>
      </w:r>
      <w:r w:rsidRPr="00380B40">
        <w:rPr>
          <w:lang w:val="en-GB"/>
        </w:rPr>
        <w:t>statement</w:t>
      </w:r>
      <w:r w:rsidRPr="00380B40">
        <w:rPr>
          <w:spacing w:val="18"/>
          <w:lang w:val="en-GB"/>
        </w:rPr>
        <w:t xml:space="preserve"> </w:t>
      </w:r>
      <w:r w:rsidRPr="00380B40">
        <w:rPr>
          <w:spacing w:val="1"/>
          <w:lang w:val="en-GB"/>
        </w:rPr>
        <w:t>may</w:t>
      </w:r>
      <w:r w:rsidRPr="00380B40">
        <w:rPr>
          <w:spacing w:val="14"/>
          <w:lang w:val="en-GB"/>
        </w:rPr>
        <w:t xml:space="preserve"> </w:t>
      </w:r>
      <w:r w:rsidRPr="00380B40">
        <w:rPr>
          <w:spacing w:val="1"/>
          <w:lang w:val="en-GB"/>
        </w:rPr>
        <w:t>be</w:t>
      </w:r>
      <w:r w:rsidRPr="00380B40">
        <w:rPr>
          <w:spacing w:val="20"/>
          <w:lang w:val="en-GB"/>
        </w:rPr>
        <w:t xml:space="preserve"> </w:t>
      </w:r>
      <w:r w:rsidRPr="00380B40">
        <w:rPr>
          <w:lang w:val="en-GB"/>
        </w:rPr>
        <w:t>prepared</w:t>
      </w:r>
      <w:r w:rsidRPr="00380B40">
        <w:rPr>
          <w:spacing w:val="21"/>
          <w:lang w:val="en-GB"/>
        </w:rPr>
        <w:t xml:space="preserve"> </w:t>
      </w:r>
      <w:r w:rsidRPr="00380B40">
        <w:rPr>
          <w:spacing w:val="2"/>
          <w:lang w:val="en-GB"/>
        </w:rPr>
        <w:t>by</w:t>
      </w:r>
      <w:r w:rsidRPr="00380B40">
        <w:rPr>
          <w:spacing w:val="14"/>
          <w:lang w:val="en-GB"/>
        </w:rPr>
        <w:t xml:space="preserve"> </w:t>
      </w:r>
      <w:r w:rsidRPr="00380B40">
        <w:rPr>
          <w:lang w:val="en-GB"/>
        </w:rPr>
        <w:t>an</w:t>
      </w:r>
      <w:r w:rsidRPr="00380B40">
        <w:rPr>
          <w:spacing w:val="21"/>
          <w:lang w:val="en-GB"/>
        </w:rPr>
        <w:t xml:space="preserve"> </w:t>
      </w:r>
      <w:r w:rsidRPr="00380B40">
        <w:rPr>
          <w:lang w:val="en-GB"/>
        </w:rPr>
        <w:t>appropriate</w:t>
      </w:r>
      <w:r w:rsidRPr="00380B40">
        <w:rPr>
          <w:spacing w:val="18"/>
          <w:lang w:val="en-GB"/>
        </w:rPr>
        <w:t xml:space="preserve"> </w:t>
      </w:r>
      <w:r w:rsidRPr="00380B40">
        <w:rPr>
          <w:lang w:val="en-GB"/>
        </w:rPr>
        <w:t>correspondence</w:t>
      </w:r>
      <w:r w:rsidRPr="00380B40">
        <w:rPr>
          <w:spacing w:val="20"/>
          <w:lang w:val="en-GB"/>
        </w:rPr>
        <w:t xml:space="preserve"> </w:t>
      </w:r>
      <w:r w:rsidRPr="00380B40">
        <w:rPr>
          <w:lang w:val="en-GB"/>
        </w:rPr>
        <w:t>process</w:t>
      </w:r>
      <w:r w:rsidRPr="00380B40">
        <w:rPr>
          <w:spacing w:val="19"/>
          <w:lang w:val="en-GB"/>
        </w:rPr>
        <w:t xml:space="preserve"> </w:t>
      </w:r>
      <w:r w:rsidRPr="00380B40">
        <w:rPr>
          <w:lang w:val="en-GB"/>
        </w:rPr>
        <w:t>and</w:t>
      </w:r>
      <w:r w:rsidRPr="00380B40">
        <w:rPr>
          <w:spacing w:val="21"/>
          <w:lang w:val="en-GB"/>
        </w:rPr>
        <w:t xml:space="preserve"> </w:t>
      </w:r>
      <w:r w:rsidRPr="00380B40">
        <w:rPr>
          <w:lang w:val="en-GB"/>
        </w:rPr>
        <w:t>approved</w:t>
      </w:r>
      <w:r w:rsidRPr="00380B40">
        <w:rPr>
          <w:spacing w:val="18"/>
          <w:lang w:val="en-GB"/>
        </w:rPr>
        <w:t xml:space="preserve"> </w:t>
      </w:r>
      <w:r w:rsidRPr="00380B40">
        <w:rPr>
          <w:spacing w:val="2"/>
          <w:lang w:val="en-GB"/>
        </w:rPr>
        <w:t>by</w:t>
      </w:r>
      <w:r w:rsidRPr="00380B40">
        <w:rPr>
          <w:spacing w:val="14"/>
          <w:lang w:val="en-GB"/>
        </w:rPr>
        <w:t xml:space="preserve"> </w:t>
      </w:r>
      <w:r w:rsidRPr="00380B40">
        <w:rPr>
          <w:lang w:val="en-GB"/>
        </w:rPr>
        <w:t>the</w:t>
      </w:r>
      <w:r w:rsidRPr="00380B40">
        <w:rPr>
          <w:spacing w:val="90"/>
          <w:lang w:val="en-GB"/>
        </w:rPr>
        <w:t xml:space="preserve"> </w:t>
      </w:r>
      <w:r w:rsidRPr="00380B40">
        <w:rPr>
          <w:lang w:val="en-GB"/>
        </w:rPr>
        <w:t>study</w:t>
      </w:r>
      <w:r w:rsidRPr="00380B40">
        <w:rPr>
          <w:spacing w:val="-3"/>
          <w:lang w:val="en-GB"/>
        </w:rPr>
        <w:t xml:space="preserve"> </w:t>
      </w:r>
      <w:r w:rsidRPr="00380B40">
        <w:rPr>
          <w:lang w:val="en-GB"/>
        </w:rPr>
        <w:t>group chairman in</w:t>
      </w:r>
      <w:r w:rsidRPr="00380B40">
        <w:rPr>
          <w:spacing w:val="2"/>
          <w:lang w:val="en-GB"/>
        </w:rPr>
        <w:t xml:space="preserve"> </w:t>
      </w:r>
      <w:r w:rsidRPr="00380B40">
        <w:rPr>
          <w:lang w:val="en-GB"/>
        </w:rPr>
        <w:t>consultation with the study</w:t>
      </w:r>
      <w:r w:rsidRPr="00380B40">
        <w:rPr>
          <w:spacing w:val="-3"/>
          <w:lang w:val="en-GB"/>
        </w:rPr>
        <w:t xml:space="preserve"> </w:t>
      </w:r>
      <w:r w:rsidRPr="00380B40">
        <w:rPr>
          <w:lang w:val="en-GB"/>
        </w:rPr>
        <w:t>group management team.</w:t>
      </w:r>
    </w:p>
    <w:p w14:paraId="747EF18D" w14:textId="77777777" w:rsidR="00C12517" w:rsidRPr="00380B40" w:rsidRDefault="00C12517" w:rsidP="00C12517">
      <w:pPr>
        <w:pStyle w:val="enumlev1"/>
        <w:rPr>
          <w:lang w:val="en-GB"/>
        </w:rPr>
      </w:pPr>
      <w:r w:rsidRPr="00380B40">
        <w:rPr>
          <w:lang w:val="en-GB"/>
        </w:rPr>
        <w:t>–</w:t>
      </w:r>
      <w:r w:rsidRPr="00380B40">
        <w:rPr>
          <w:lang w:val="en-GB"/>
        </w:rPr>
        <w:tab/>
      </w:r>
      <w:r w:rsidRPr="00380B40">
        <w:rPr>
          <w:spacing w:val="-1"/>
          <w:lang w:val="en-GB"/>
        </w:rPr>
        <w:t>List</w:t>
      </w:r>
      <w:r w:rsidRPr="00380B40">
        <w:rPr>
          <w:lang w:val="en-GB"/>
        </w:rPr>
        <w:t xml:space="preserve"> the </w:t>
      </w:r>
      <w:r w:rsidRPr="00380B40">
        <w:rPr>
          <w:spacing w:val="-1"/>
          <w:lang w:val="en-GB"/>
        </w:rPr>
        <w:t>appropriate</w:t>
      </w:r>
      <w:r w:rsidRPr="00380B40">
        <w:rPr>
          <w:lang w:val="en-GB"/>
        </w:rPr>
        <w:t xml:space="preserve"> Question </w:t>
      </w:r>
      <w:r w:rsidRPr="00380B40">
        <w:rPr>
          <w:spacing w:val="-1"/>
          <w:lang w:val="en-GB"/>
        </w:rPr>
        <w:t>numbers</w:t>
      </w:r>
      <w:r w:rsidRPr="00380B40">
        <w:rPr>
          <w:lang w:val="en-GB"/>
        </w:rPr>
        <w:t xml:space="preserve"> of the</w:t>
      </w:r>
      <w:r w:rsidRPr="00380B40">
        <w:rPr>
          <w:spacing w:val="-1"/>
          <w:lang w:val="en-GB"/>
        </w:rPr>
        <w:t xml:space="preserve"> originating</w:t>
      </w:r>
      <w:r w:rsidRPr="00380B40">
        <w:rPr>
          <w:spacing w:val="-2"/>
          <w:lang w:val="en-GB"/>
        </w:rPr>
        <w:t xml:space="preserve"> </w:t>
      </w:r>
      <w:r w:rsidRPr="00380B40">
        <w:rPr>
          <w:spacing w:val="-1"/>
          <w:lang w:val="en-GB"/>
        </w:rPr>
        <w:t>and</w:t>
      </w:r>
      <w:r w:rsidRPr="00380B40">
        <w:rPr>
          <w:lang w:val="en-GB"/>
        </w:rPr>
        <w:t xml:space="preserve"> destination study</w:t>
      </w:r>
      <w:r w:rsidRPr="00380B40">
        <w:rPr>
          <w:spacing w:val="-3"/>
          <w:lang w:val="en-GB"/>
        </w:rPr>
        <w:t xml:space="preserve"> </w:t>
      </w:r>
      <w:r w:rsidRPr="00380B40">
        <w:rPr>
          <w:spacing w:val="-1"/>
          <w:lang w:val="en-GB"/>
        </w:rPr>
        <w:t>groups.</w:t>
      </w:r>
    </w:p>
    <w:p w14:paraId="4505A43C" w14:textId="77777777" w:rsidR="00DB6A21" w:rsidRPr="00380B40" w:rsidRDefault="00DB6A21" w:rsidP="00C12517">
      <w:pPr>
        <w:pStyle w:val="enumlev1"/>
        <w:rPr>
          <w:lang w:val="en-GB"/>
        </w:rPr>
      </w:pPr>
      <w:r w:rsidRPr="00380B40">
        <w:rPr>
          <w:lang w:val="en-GB"/>
        </w:rPr>
        <w:br w:type="page"/>
      </w:r>
    </w:p>
    <w:p w14:paraId="047A6EF0" w14:textId="77777777" w:rsidR="00C12517" w:rsidRPr="00380B40" w:rsidRDefault="00C12517" w:rsidP="00C12517">
      <w:pPr>
        <w:pStyle w:val="enumlev1"/>
        <w:rPr>
          <w:lang w:val="en-GB"/>
        </w:rPr>
      </w:pPr>
      <w:r w:rsidRPr="00380B40">
        <w:rPr>
          <w:lang w:val="en-GB"/>
        </w:rPr>
        <w:t>–</w:t>
      </w:r>
      <w:r w:rsidRPr="00380B40">
        <w:rPr>
          <w:lang w:val="en-GB"/>
        </w:rPr>
        <w:tab/>
        <w:t>Identify</w:t>
      </w:r>
      <w:r w:rsidRPr="00380B40">
        <w:rPr>
          <w:spacing w:val="21"/>
          <w:lang w:val="en-GB"/>
        </w:rPr>
        <w:t xml:space="preserve"> </w:t>
      </w:r>
      <w:r w:rsidRPr="00380B40">
        <w:rPr>
          <w:lang w:val="en-GB"/>
        </w:rPr>
        <w:t>the</w:t>
      </w:r>
      <w:r w:rsidRPr="00380B40">
        <w:rPr>
          <w:spacing w:val="25"/>
          <w:lang w:val="en-GB"/>
        </w:rPr>
        <w:t xml:space="preserve"> </w:t>
      </w:r>
      <w:r w:rsidRPr="00380B40">
        <w:rPr>
          <w:spacing w:val="1"/>
          <w:lang w:val="en-GB"/>
        </w:rPr>
        <w:t>study</w:t>
      </w:r>
      <w:r w:rsidRPr="00380B40">
        <w:rPr>
          <w:spacing w:val="23"/>
          <w:lang w:val="en-GB"/>
        </w:rPr>
        <w:t xml:space="preserve"> </w:t>
      </w:r>
      <w:r w:rsidRPr="00380B40">
        <w:rPr>
          <w:spacing w:val="-1"/>
          <w:lang w:val="en-GB"/>
        </w:rPr>
        <w:t>group,</w:t>
      </w:r>
      <w:r w:rsidRPr="00380B40">
        <w:rPr>
          <w:spacing w:val="28"/>
          <w:lang w:val="en-GB"/>
        </w:rPr>
        <w:t xml:space="preserve"> </w:t>
      </w:r>
      <w:r w:rsidRPr="00380B40">
        <w:rPr>
          <w:lang w:val="en-GB"/>
        </w:rPr>
        <w:t>working</w:t>
      </w:r>
      <w:r w:rsidRPr="00380B40">
        <w:rPr>
          <w:spacing w:val="23"/>
          <w:lang w:val="en-GB"/>
        </w:rPr>
        <w:t xml:space="preserve"> </w:t>
      </w:r>
      <w:r w:rsidRPr="00380B40">
        <w:rPr>
          <w:lang w:val="en-GB"/>
        </w:rPr>
        <w:t>party</w:t>
      </w:r>
      <w:r w:rsidRPr="00380B40">
        <w:rPr>
          <w:spacing w:val="23"/>
          <w:lang w:val="en-GB"/>
        </w:rPr>
        <w:t xml:space="preserve"> </w:t>
      </w:r>
      <w:r w:rsidRPr="00380B40">
        <w:rPr>
          <w:lang w:val="en-GB"/>
        </w:rPr>
        <w:t>or</w:t>
      </w:r>
      <w:r w:rsidRPr="00380B40">
        <w:rPr>
          <w:spacing w:val="27"/>
          <w:lang w:val="en-GB"/>
        </w:rPr>
        <w:t xml:space="preserve"> </w:t>
      </w:r>
      <w:r w:rsidRPr="00380B40">
        <w:rPr>
          <w:spacing w:val="-1"/>
          <w:lang w:val="en-GB"/>
        </w:rPr>
        <w:t>rapporteur</w:t>
      </w:r>
      <w:r w:rsidRPr="00380B40">
        <w:rPr>
          <w:spacing w:val="27"/>
          <w:lang w:val="en-GB"/>
        </w:rPr>
        <w:t xml:space="preserve"> </w:t>
      </w:r>
      <w:r w:rsidRPr="00380B40">
        <w:rPr>
          <w:spacing w:val="-1"/>
          <w:lang w:val="en-GB"/>
        </w:rPr>
        <w:t>group</w:t>
      </w:r>
      <w:r w:rsidRPr="00380B40">
        <w:rPr>
          <w:spacing w:val="27"/>
          <w:lang w:val="en-GB"/>
        </w:rPr>
        <w:t xml:space="preserve"> </w:t>
      </w:r>
      <w:r w:rsidRPr="00380B40">
        <w:rPr>
          <w:lang w:val="en-GB"/>
        </w:rPr>
        <w:t>meeting</w:t>
      </w:r>
      <w:r w:rsidRPr="00380B40">
        <w:rPr>
          <w:spacing w:val="26"/>
          <w:lang w:val="en-GB"/>
        </w:rPr>
        <w:t xml:space="preserve"> </w:t>
      </w:r>
      <w:r w:rsidRPr="00380B40">
        <w:rPr>
          <w:spacing w:val="-1"/>
          <w:lang w:val="en-GB"/>
        </w:rPr>
        <w:t>at</w:t>
      </w:r>
      <w:r w:rsidRPr="00380B40">
        <w:rPr>
          <w:spacing w:val="29"/>
          <w:lang w:val="en-GB"/>
        </w:rPr>
        <w:t xml:space="preserve"> </w:t>
      </w:r>
      <w:r w:rsidRPr="00380B40">
        <w:rPr>
          <w:spacing w:val="-1"/>
          <w:lang w:val="en-GB"/>
        </w:rPr>
        <w:t>which</w:t>
      </w:r>
      <w:r w:rsidRPr="00380B40">
        <w:rPr>
          <w:spacing w:val="26"/>
          <w:lang w:val="en-GB"/>
        </w:rPr>
        <w:t xml:space="preserve"> </w:t>
      </w:r>
      <w:r w:rsidRPr="00380B40">
        <w:rPr>
          <w:lang w:val="en-GB"/>
        </w:rPr>
        <w:t>the</w:t>
      </w:r>
      <w:r w:rsidRPr="00380B40">
        <w:rPr>
          <w:spacing w:val="25"/>
          <w:lang w:val="en-GB"/>
        </w:rPr>
        <w:t xml:space="preserve"> </w:t>
      </w:r>
      <w:r w:rsidRPr="00380B40">
        <w:rPr>
          <w:spacing w:val="-1"/>
          <w:lang w:val="en-GB"/>
        </w:rPr>
        <w:t>liaison</w:t>
      </w:r>
      <w:r w:rsidRPr="00380B40">
        <w:rPr>
          <w:spacing w:val="57"/>
          <w:lang w:val="en-GB"/>
        </w:rPr>
        <w:t xml:space="preserve"> </w:t>
      </w:r>
      <w:r w:rsidRPr="00380B40">
        <w:rPr>
          <w:spacing w:val="-1"/>
          <w:lang w:val="en-GB"/>
        </w:rPr>
        <w:t>statement</w:t>
      </w:r>
      <w:r w:rsidRPr="00380B40">
        <w:rPr>
          <w:lang w:val="en-GB"/>
        </w:rPr>
        <w:t xml:space="preserve"> </w:t>
      </w:r>
      <w:r w:rsidRPr="00380B40">
        <w:rPr>
          <w:spacing w:val="-1"/>
          <w:lang w:val="en-GB"/>
        </w:rPr>
        <w:t>was</w:t>
      </w:r>
      <w:r w:rsidRPr="00380B40">
        <w:rPr>
          <w:lang w:val="en-GB"/>
        </w:rPr>
        <w:t xml:space="preserve"> </w:t>
      </w:r>
      <w:r w:rsidRPr="00380B40">
        <w:rPr>
          <w:spacing w:val="-1"/>
          <w:lang w:val="en-GB"/>
        </w:rPr>
        <w:t>prepared.</w:t>
      </w:r>
    </w:p>
    <w:p w14:paraId="67FE9832" w14:textId="77777777" w:rsidR="00C12517" w:rsidRPr="00380B40" w:rsidRDefault="00C12517" w:rsidP="00C12517">
      <w:pPr>
        <w:pStyle w:val="enumlev1"/>
        <w:rPr>
          <w:lang w:val="en-GB"/>
        </w:rPr>
      </w:pPr>
      <w:r w:rsidRPr="00380B40">
        <w:rPr>
          <w:lang w:val="en-GB"/>
        </w:rPr>
        <w:t>–</w:t>
      </w:r>
      <w:r w:rsidRPr="00380B40">
        <w:rPr>
          <w:lang w:val="en-GB"/>
        </w:rPr>
        <w:tab/>
      </w:r>
      <w:r w:rsidRPr="00380B40">
        <w:rPr>
          <w:spacing w:val="-1"/>
          <w:lang w:val="en-GB"/>
        </w:rPr>
        <w:t>Include</w:t>
      </w:r>
      <w:r w:rsidRPr="00380B40">
        <w:rPr>
          <w:spacing w:val="47"/>
          <w:lang w:val="en-GB"/>
        </w:rPr>
        <w:t xml:space="preserve"> </w:t>
      </w:r>
      <w:r w:rsidRPr="00380B40">
        <w:rPr>
          <w:lang w:val="en-GB"/>
        </w:rPr>
        <w:t>a</w:t>
      </w:r>
      <w:r w:rsidRPr="00380B40">
        <w:rPr>
          <w:spacing w:val="46"/>
          <w:lang w:val="en-GB"/>
        </w:rPr>
        <w:t xml:space="preserve"> </w:t>
      </w:r>
      <w:r w:rsidRPr="00380B40">
        <w:rPr>
          <w:lang w:val="en-GB"/>
        </w:rPr>
        <w:t>concise</w:t>
      </w:r>
      <w:r w:rsidRPr="00380B40">
        <w:rPr>
          <w:spacing w:val="47"/>
          <w:lang w:val="en-GB"/>
        </w:rPr>
        <w:t xml:space="preserve"> </w:t>
      </w:r>
      <w:r w:rsidRPr="00380B40">
        <w:rPr>
          <w:lang w:val="en-GB"/>
        </w:rPr>
        <w:t>title</w:t>
      </w:r>
      <w:r w:rsidRPr="00380B40">
        <w:rPr>
          <w:spacing w:val="46"/>
          <w:lang w:val="en-GB"/>
        </w:rPr>
        <w:t xml:space="preserve"> </w:t>
      </w:r>
      <w:r w:rsidRPr="00380B40">
        <w:rPr>
          <w:spacing w:val="-1"/>
          <w:lang w:val="en-GB"/>
        </w:rPr>
        <w:t>appropriate</w:t>
      </w:r>
      <w:r w:rsidRPr="00380B40">
        <w:rPr>
          <w:spacing w:val="47"/>
          <w:lang w:val="en-GB"/>
        </w:rPr>
        <w:t xml:space="preserve"> </w:t>
      </w:r>
      <w:r w:rsidRPr="00380B40">
        <w:rPr>
          <w:lang w:val="en-GB"/>
        </w:rPr>
        <w:t>to</w:t>
      </w:r>
      <w:r w:rsidRPr="00380B40">
        <w:rPr>
          <w:spacing w:val="48"/>
          <w:lang w:val="en-GB"/>
        </w:rPr>
        <w:t xml:space="preserve"> </w:t>
      </w:r>
      <w:r w:rsidRPr="00380B40">
        <w:rPr>
          <w:lang w:val="en-GB"/>
        </w:rPr>
        <w:t>the</w:t>
      </w:r>
      <w:r w:rsidRPr="00380B40">
        <w:rPr>
          <w:spacing w:val="47"/>
          <w:lang w:val="en-GB"/>
        </w:rPr>
        <w:t xml:space="preserve"> </w:t>
      </w:r>
      <w:r w:rsidRPr="00380B40">
        <w:rPr>
          <w:lang w:val="en-GB"/>
        </w:rPr>
        <w:t>subject</w:t>
      </w:r>
      <w:r w:rsidRPr="00380B40">
        <w:rPr>
          <w:spacing w:val="48"/>
          <w:lang w:val="en-GB"/>
        </w:rPr>
        <w:t xml:space="preserve"> </w:t>
      </w:r>
      <w:r w:rsidRPr="00380B40">
        <w:rPr>
          <w:lang w:val="en-GB"/>
        </w:rPr>
        <w:t>matter.</w:t>
      </w:r>
      <w:r w:rsidRPr="00380B40">
        <w:rPr>
          <w:spacing w:val="49"/>
          <w:lang w:val="en-GB"/>
        </w:rPr>
        <w:t xml:space="preserve"> </w:t>
      </w:r>
      <w:r w:rsidRPr="00380B40">
        <w:rPr>
          <w:spacing w:val="-3"/>
          <w:lang w:val="en-GB"/>
        </w:rPr>
        <w:t>If</w:t>
      </w:r>
      <w:r w:rsidRPr="00380B40">
        <w:rPr>
          <w:spacing w:val="47"/>
          <w:lang w:val="en-GB"/>
        </w:rPr>
        <w:t xml:space="preserve"> </w:t>
      </w:r>
      <w:r w:rsidRPr="00380B40">
        <w:rPr>
          <w:lang w:val="en-GB"/>
        </w:rPr>
        <w:t>this</w:t>
      </w:r>
      <w:r w:rsidRPr="00380B40">
        <w:rPr>
          <w:spacing w:val="48"/>
          <w:lang w:val="en-GB"/>
        </w:rPr>
        <w:t xml:space="preserve"> </w:t>
      </w:r>
      <w:r w:rsidRPr="00380B40">
        <w:rPr>
          <w:lang w:val="en-GB"/>
        </w:rPr>
        <w:t>is</w:t>
      </w:r>
      <w:r w:rsidRPr="00380B40">
        <w:rPr>
          <w:spacing w:val="48"/>
          <w:lang w:val="en-GB"/>
        </w:rPr>
        <w:t xml:space="preserve"> </w:t>
      </w:r>
      <w:r w:rsidRPr="00380B40">
        <w:rPr>
          <w:lang w:val="en-GB"/>
        </w:rPr>
        <w:t>in</w:t>
      </w:r>
      <w:r w:rsidRPr="00380B40">
        <w:rPr>
          <w:spacing w:val="48"/>
          <w:lang w:val="en-GB"/>
        </w:rPr>
        <w:t xml:space="preserve"> </w:t>
      </w:r>
      <w:r w:rsidRPr="00380B40">
        <w:rPr>
          <w:lang w:val="en-GB"/>
        </w:rPr>
        <w:t>reply</w:t>
      </w:r>
      <w:r w:rsidRPr="00380B40">
        <w:rPr>
          <w:spacing w:val="42"/>
          <w:lang w:val="en-GB"/>
        </w:rPr>
        <w:t xml:space="preserve"> </w:t>
      </w:r>
      <w:r w:rsidRPr="00380B40">
        <w:rPr>
          <w:lang w:val="en-GB"/>
        </w:rPr>
        <w:t>to</w:t>
      </w:r>
      <w:r w:rsidRPr="00380B40">
        <w:rPr>
          <w:spacing w:val="48"/>
          <w:lang w:val="en-GB"/>
        </w:rPr>
        <w:t xml:space="preserve"> </w:t>
      </w:r>
      <w:r w:rsidRPr="00380B40">
        <w:rPr>
          <w:lang w:val="en-GB"/>
        </w:rPr>
        <w:t>a</w:t>
      </w:r>
      <w:r w:rsidRPr="00380B40">
        <w:rPr>
          <w:spacing w:val="46"/>
          <w:lang w:val="en-GB"/>
        </w:rPr>
        <w:t xml:space="preserve"> </w:t>
      </w:r>
      <w:r w:rsidRPr="00380B40">
        <w:rPr>
          <w:spacing w:val="-1"/>
          <w:lang w:val="en-GB"/>
        </w:rPr>
        <w:t>liaison</w:t>
      </w:r>
      <w:r w:rsidRPr="00380B40">
        <w:rPr>
          <w:spacing w:val="39"/>
          <w:lang w:val="en-GB"/>
        </w:rPr>
        <w:t xml:space="preserve"> </w:t>
      </w:r>
      <w:r w:rsidRPr="00380B40">
        <w:rPr>
          <w:spacing w:val="-1"/>
          <w:lang w:val="en-GB"/>
        </w:rPr>
        <w:t>statement,</w:t>
      </w:r>
      <w:r w:rsidRPr="00380B40">
        <w:rPr>
          <w:spacing w:val="21"/>
          <w:lang w:val="en-GB"/>
        </w:rPr>
        <w:t xml:space="preserve"> </w:t>
      </w:r>
      <w:r w:rsidRPr="00380B40">
        <w:rPr>
          <w:lang w:val="en-GB"/>
        </w:rPr>
        <w:t>make</w:t>
      </w:r>
      <w:r w:rsidRPr="00380B40">
        <w:rPr>
          <w:spacing w:val="19"/>
          <w:lang w:val="en-GB"/>
        </w:rPr>
        <w:t xml:space="preserve"> </w:t>
      </w:r>
      <w:r w:rsidRPr="00380B40">
        <w:rPr>
          <w:lang w:val="en-GB"/>
        </w:rPr>
        <w:t>this</w:t>
      </w:r>
      <w:r w:rsidRPr="00380B40">
        <w:rPr>
          <w:spacing w:val="21"/>
          <w:lang w:val="en-GB"/>
        </w:rPr>
        <w:t xml:space="preserve"> </w:t>
      </w:r>
      <w:r w:rsidRPr="00380B40">
        <w:rPr>
          <w:spacing w:val="-1"/>
          <w:lang w:val="en-GB"/>
        </w:rPr>
        <w:t>clear,</w:t>
      </w:r>
      <w:r w:rsidRPr="00380B40">
        <w:rPr>
          <w:spacing w:val="20"/>
          <w:lang w:val="en-GB"/>
        </w:rPr>
        <w:t xml:space="preserve"> </w:t>
      </w:r>
      <w:r w:rsidRPr="00380B40">
        <w:rPr>
          <w:spacing w:val="-1"/>
          <w:lang w:val="en-GB"/>
        </w:rPr>
        <w:t>e.g.,</w:t>
      </w:r>
      <w:r w:rsidRPr="00380B40">
        <w:rPr>
          <w:lang w:val="en-GB"/>
        </w:rPr>
        <w:t> "Reply</w:t>
      </w:r>
      <w:r w:rsidRPr="00380B40">
        <w:rPr>
          <w:spacing w:val="16"/>
          <w:lang w:val="en-GB"/>
        </w:rPr>
        <w:t xml:space="preserve"> </w:t>
      </w:r>
      <w:r w:rsidRPr="00380B40">
        <w:rPr>
          <w:lang w:val="en-GB"/>
        </w:rPr>
        <w:t>to</w:t>
      </w:r>
      <w:r w:rsidRPr="00380B40">
        <w:rPr>
          <w:spacing w:val="21"/>
          <w:lang w:val="en-GB"/>
        </w:rPr>
        <w:t xml:space="preserve"> </w:t>
      </w:r>
      <w:r w:rsidRPr="00380B40">
        <w:rPr>
          <w:spacing w:val="-1"/>
          <w:lang w:val="en-GB"/>
        </w:rPr>
        <w:t>liaison</w:t>
      </w:r>
      <w:r w:rsidRPr="00380B40">
        <w:rPr>
          <w:spacing w:val="22"/>
          <w:lang w:val="en-GB"/>
        </w:rPr>
        <w:t xml:space="preserve"> </w:t>
      </w:r>
      <w:r w:rsidRPr="00380B40">
        <w:rPr>
          <w:spacing w:val="-1"/>
          <w:lang w:val="en-GB"/>
        </w:rPr>
        <w:t>statement</w:t>
      </w:r>
      <w:r w:rsidRPr="00380B40">
        <w:rPr>
          <w:spacing w:val="21"/>
          <w:lang w:val="en-GB"/>
        </w:rPr>
        <w:t xml:space="preserve"> </w:t>
      </w:r>
      <w:r w:rsidRPr="00380B40">
        <w:rPr>
          <w:spacing w:val="-1"/>
          <w:lang w:val="en-GB"/>
        </w:rPr>
        <w:t>from</w:t>
      </w:r>
      <w:r w:rsidRPr="00380B40">
        <w:rPr>
          <w:spacing w:val="21"/>
          <w:lang w:val="en-GB"/>
        </w:rPr>
        <w:t xml:space="preserve"> </w:t>
      </w:r>
      <w:r w:rsidRPr="00380B40">
        <w:rPr>
          <w:lang w:val="en-GB"/>
        </w:rPr>
        <w:t>(</w:t>
      </w:r>
      <w:r w:rsidRPr="00380B40">
        <w:rPr>
          <w:i/>
          <w:lang w:val="en-GB"/>
        </w:rPr>
        <w:t>source</w:t>
      </w:r>
      <w:r w:rsidRPr="00380B40">
        <w:rPr>
          <w:i/>
          <w:spacing w:val="19"/>
          <w:lang w:val="en-GB"/>
        </w:rPr>
        <w:t xml:space="preserve"> </w:t>
      </w:r>
      <w:r w:rsidRPr="00380B40">
        <w:rPr>
          <w:i/>
          <w:lang w:val="en-GB"/>
        </w:rPr>
        <w:t>and</w:t>
      </w:r>
      <w:r w:rsidRPr="00380B40">
        <w:rPr>
          <w:i/>
          <w:spacing w:val="21"/>
          <w:lang w:val="en-GB"/>
        </w:rPr>
        <w:t xml:space="preserve"> </w:t>
      </w:r>
      <w:r w:rsidRPr="00380B40">
        <w:rPr>
          <w:i/>
          <w:lang w:val="en-GB"/>
        </w:rPr>
        <w:t>date</w:t>
      </w:r>
      <w:r w:rsidRPr="00380B40">
        <w:rPr>
          <w:lang w:val="en-GB"/>
        </w:rPr>
        <w:t>)</w:t>
      </w:r>
      <w:r w:rsidRPr="00380B40">
        <w:rPr>
          <w:spacing w:val="73"/>
          <w:lang w:val="en-GB"/>
        </w:rPr>
        <w:t xml:space="preserve"> </w:t>
      </w:r>
      <w:r w:rsidRPr="00380B40">
        <w:rPr>
          <w:spacing w:val="-1"/>
          <w:lang w:val="en-GB"/>
        </w:rPr>
        <w:t>concerning</w:t>
      </w:r>
      <w:r w:rsidRPr="00380B40">
        <w:rPr>
          <w:spacing w:val="-3"/>
          <w:lang w:val="en-GB"/>
        </w:rPr>
        <w:t xml:space="preserve"> </w:t>
      </w:r>
      <w:r w:rsidRPr="00380B40">
        <w:rPr>
          <w:lang w:val="en-GB"/>
        </w:rPr>
        <w:t>...".</w:t>
      </w:r>
    </w:p>
    <w:p w14:paraId="2D219A0C" w14:textId="77777777" w:rsidR="00C12517" w:rsidRPr="00380B40" w:rsidRDefault="00C12517" w:rsidP="00C12517">
      <w:pPr>
        <w:pStyle w:val="enumlev1"/>
        <w:rPr>
          <w:lang w:val="en-GB"/>
        </w:rPr>
      </w:pPr>
      <w:r w:rsidRPr="00380B40">
        <w:rPr>
          <w:lang w:val="en-GB"/>
        </w:rPr>
        <w:t>–</w:t>
      </w:r>
      <w:r w:rsidRPr="00380B40">
        <w:rPr>
          <w:lang w:val="en-GB"/>
        </w:rPr>
        <w:tab/>
        <w:t>Identify</w:t>
      </w:r>
      <w:r w:rsidRPr="00380B40">
        <w:rPr>
          <w:spacing w:val="-17"/>
          <w:lang w:val="en-GB"/>
        </w:rPr>
        <w:t xml:space="preserve"> </w:t>
      </w:r>
      <w:r w:rsidRPr="00380B40">
        <w:rPr>
          <w:lang w:val="en-GB"/>
        </w:rPr>
        <w:t>the</w:t>
      </w:r>
      <w:r w:rsidRPr="00380B40">
        <w:rPr>
          <w:spacing w:val="-13"/>
          <w:lang w:val="en-GB"/>
        </w:rPr>
        <w:t xml:space="preserve"> </w:t>
      </w:r>
      <w:r w:rsidRPr="00380B40">
        <w:rPr>
          <w:spacing w:val="1"/>
          <w:lang w:val="en-GB"/>
        </w:rPr>
        <w:t>study</w:t>
      </w:r>
      <w:r w:rsidRPr="00380B40">
        <w:rPr>
          <w:spacing w:val="-15"/>
          <w:lang w:val="en-GB"/>
        </w:rPr>
        <w:t xml:space="preserve"> </w:t>
      </w:r>
      <w:r w:rsidRPr="00380B40">
        <w:rPr>
          <w:spacing w:val="-1"/>
          <w:lang w:val="en-GB"/>
        </w:rPr>
        <w:t>group(s)</w:t>
      </w:r>
      <w:r w:rsidRPr="00380B40">
        <w:rPr>
          <w:spacing w:val="-14"/>
          <w:lang w:val="en-GB"/>
        </w:rPr>
        <w:t xml:space="preserve"> </w:t>
      </w:r>
      <w:r w:rsidRPr="00380B40">
        <w:rPr>
          <w:spacing w:val="-1"/>
          <w:lang w:val="en-GB"/>
        </w:rPr>
        <w:t>and</w:t>
      </w:r>
      <w:r w:rsidRPr="00380B40">
        <w:rPr>
          <w:spacing w:val="-12"/>
          <w:lang w:val="en-GB"/>
        </w:rPr>
        <w:t xml:space="preserve"> </w:t>
      </w:r>
      <w:r w:rsidRPr="00380B40">
        <w:rPr>
          <w:lang w:val="en-GB"/>
        </w:rPr>
        <w:t>working</w:t>
      </w:r>
      <w:r w:rsidRPr="00380B40">
        <w:rPr>
          <w:spacing w:val="-13"/>
          <w:lang w:val="en-GB"/>
        </w:rPr>
        <w:t xml:space="preserve"> </w:t>
      </w:r>
      <w:r w:rsidRPr="00380B40">
        <w:rPr>
          <w:spacing w:val="-1"/>
          <w:lang w:val="en-GB"/>
        </w:rPr>
        <w:t>party(ies)</w:t>
      </w:r>
      <w:r w:rsidRPr="00380B40">
        <w:rPr>
          <w:spacing w:val="-13"/>
          <w:lang w:val="en-GB"/>
        </w:rPr>
        <w:t xml:space="preserve"> </w:t>
      </w:r>
      <w:r w:rsidRPr="00380B40">
        <w:rPr>
          <w:spacing w:val="1"/>
          <w:lang w:val="en-GB"/>
        </w:rPr>
        <w:t>(</w:t>
      </w:r>
      <w:r w:rsidRPr="00380B40">
        <w:rPr>
          <w:i/>
          <w:spacing w:val="1"/>
          <w:lang w:val="en-GB"/>
        </w:rPr>
        <w:t>if</w:t>
      </w:r>
      <w:r w:rsidRPr="00380B40">
        <w:rPr>
          <w:i/>
          <w:spacing w:val="-12"/>
          <w:lang w:val="en-GB"/>
        </w:rPr>
        <w:t xml:space="preserve"> </w:t>
      </w:r>
      <w:r w:rsidRPr="00380B40">
        <w:rPr>
          <w:i/>
          <w:spacing w:val="-1"/>
          <w:lang w:val="en-GB"/>
        </w:rPr>
        <w:t>known</w:t>
      </w:r>
      <w:r w:rsidRPr="00380B40">
        <w:rPr>
          <w:spacing w:val="-1"/>
          <w:lang w:val="en-GB"/>
        </w:rPr>
        <w:t>)</w:t>
      </w:r>
      <w:r w:rsidRPr="00380B40">
        <w:rPr>
          <w:spacing w:val="-13"/>
          <w:lang w:val="en-GB"/>
        </w:rPr>
        <w:t xml:space="preserve"> </w:t>
      </w:r>
      <w:r w:rsidRPr="00380B40">
        <w:rPr>
          <w:lang w:val="en-GB"/>
        </w:rPr>
        <w:t>or</w:t>
      </w:r>
      <w:r w:rsidRPr="00380B40">
        <w:rPr>
          <w:spacing w:val="-13"/>
          <w:lang w:val="en-GB"/>
        </w:rPr>
        <w:t xml:space="preserve"> </w:t>
      </w:r>
      <w:r w:rsidRPr="00380B40">
        <w:rPr>
          <w:lang w:val="en-GB"/>
        </w:rPr>
        <w:t>other</w:t>
      </w:r>
      <w:r w:rsidRPr="00380B40">
        <w:rPr>
          <w:spacing w:val="-14"/>
          <w:lang w:val="en-GB"/>
        </w:rPr>
        <w:t xml:space="preserve"> </w:t>
      </w:r>
      <w:r w:rsidRPr="00380B40">
        <w:rPr>
          <w:lang w:val="en-GB"/>
        </w:rPr>
        <w:t>standards</w:t>
      </w:r>
      <w:r w:rsidRPr="00380B40">
        <w:rPr>
          <w:spacing w:val="-12"/>
          <w:lang w:val="en-GB"/>
        </w:rPr>
        <w:t xml:space="preserve"> </w:t>
      </w:r>
      <w:r w:rsidRPr="00380B40">
        <w:rPr>
          <w:spacing w:val="-1"/>
          <w:lang w:val="en-GB"/>
        </w:rPr>
        <w:t>organizations</w:t>
      </w:r>
      <w:r w:rsidRPr="00380B40">
        <w:rPr>
          <w:spacing w:val="70"/>
          <w:lang w:val="en-GB"/>
        </w:rPr>
        <w:t xml:space="preserve"> </w:t>
      </w:r>
      <w:r w:rsidRPr="00380B40">
        <w:rPr>
          <w:lang w:val="en-GB"/>
        </w:rPr>
        <w:t xml:space="preserve">to which it has </w:t>
      </w:r>
      <w:r w:rsidRPr="00380B40">
        <w:rPr>
          <w:spacing w:val="-1"/>
          <w:lang w:val="en-GB"/>
        </w:rPr>
        <w:t>been</w:t>
      </w:r>
      <w:r w:rsidRPr="00380B40">
        <w:rPr>
          <w:lang w:val="en-GB"/>
        </w:rPr>
        <w:t xml:space="preserve"> </w:t>
      </w:r>
      <w:r w:rsidRPr="00380B40">
        <w:rPr>
          <w:spacing w:val="-1"/>
          <w:lang w:val="en-GB"/>
        </w:rPr>
        <w:t>sent.</w:t>
      </w:r>
      <w:r w:rsidRPr="00380B40">
        <w:rPr>
          <w:spacing w:val="2"/>
          <w:lang w:val="en-GB"/>
        </w:rPr>
        <w:t xml:space="preserve"> </w:t>
      </w:r>
      <w:r w:rsidRPr="00380B40">
        <w:rPr>
          <w:i/>
          <w:spacing w:val="-2"/>
          <w:lang w:val="en-GB"/>
        </w:rPr>
        <w:t>(A</w:t>
      </w:r>
      <w:r w:rsidRPr="00380B40">
        <w:rPr>
          <w:i/>
          <w:lang w:val="en-GB"/>
        </w:rPr>
        <w:t xml:space="preserve"> liaison </w:t>
      </w:r>
      <w:r w:rsidRPr="00380B40">
        <w:rPr>
          <w:i/>
          <w:spacing w:val="-1"/>
          <w:lang w:val="en-GB"/>
        </w:rPr>
        <w:t>statement</w:t>
      </w:r>
      <w:r w:rsidRPr="00380B40">
        <w:rPr>
          <w:i/>
          <w:lang w:val="en-GB"/>
        </w:rPr>
        <w:t xml:space="preserve"> can</w:t>
      </w:r>
      <w:r w:rsidRPr="00380B40">
        <w:rPr>
          <w:i/>
          <w:spacing w:val="1"/>
          <w:lang w:val="en-GB"/>
        </w:rPr>
        <w:t xml:space="preserve"> </w:t>
      </w:r>
      <w:r w:rsidRPr="00380B40">
        <w:rPr>
          <w:i/>
          <w:lang w:val="en-GB"/>
        </w:rPr>
        <w:t>be</w:t>
      </w:r>
      <w:r w:rsidRPr="00380B40">
        <w:rPr>
          <w:i/>
          <w:spacing w:val="-1"/>
          <w:lang w:val="en-GB"/>
        </w:rPr>
        <w:t xml:space="preserve"> sent</w:t>
      </w:r>
      <w:r w:rsidRPr="00380B40">
        <w:rPr>
          <w:i/>
          <w:lang w:val="en-GB"/>
        </w:rPr>
        <w:t xml:space="preserve"> to more</w:t>
      </w:r>
      <w:r w:rsidRPr="00380B40">
        <w:rPr>
          <w:i/>
          <w:spacing w:val="-2"/>
          <w:lang w:val="en-GB"/>
        </w:rPr>
        <w:t xml:space="preserve"> </w:t>
      </w:r>
      <w:r w:rsidRPr="00380B40">
        <w:rPr>
          <w:i/>
          <w:lang w:val="en-GB"/>
        </w:rPr>
        <w:t>than one</w:t>
      </w:r>
      <w:r w:rsidRPr="00380B40">
        <w:rPr>
          <w:i/>
          <w:spacing w:val="1"/>
          <w:lang w:val="en-GB"/>
        </w:rPr>
        <w:t xml:space="preserve"> </w:t>
      </w:r>
      <w:r w:rsidRPr="00380B40">
        <w:rPr>
          <w:i/>
          <w:lang w:val="en-GB"/>
        </w:rPr>
        <w:t>organization.)</w:t>
      </w:r>
    </w:p>
    <w:p w14:paraId="7D1F76B4" w14:textId="77777777" w:rsidR="00C12517" w:rsidRPr="00380B40" w:rsidRDefault="00C12517" w:rsidP="00C12517">
      <w:pPr>
        <w:pStyle w:val="enumlev1"/>
        <w:rPr>
          <w:lang w:val="en-GB"/>
        </w:rPr>
      </w:pPr>
      <w:r w:rsidRPr="00380B40">
        <w:rPr>
          <w:lang w:val="en-GB"/>
        </w:rPr>
        <w:t>–</w:t>
      </w:r>
      <w:r w:rsidRPr="00380B40">
        <w:rPr>
          <w:lang w:val="en-GB"/>
        </w:rPr>
        <w:tab/>
      </w:r>
      <w:r w:rsidRPr="00380B40">
        <w:rPr>
          <w:spacing w:val="-1"/>
          <w:lang w:val="en-GB"/>
        </w:rPr>
        <w:t>Indicate</w:t>
      </w:r>
      <w:r w:rsidRPr="00380B40">
        <w:rPr>
          <w:spacing w:val="23"/>
          <w:lang w:val="en-GB"/>
        </w:rPr>
        <w:t xml:space="preserve"> </w:t>
      </w:r>
      <w:r w:rsidRPr="00380B40">
        <w:rPr>
          <w:lang w:val="en-GB"/>
        </w:rPr>
        <w:t>the</w:t>
      </w:r>
      <w:r w:rsidRPr="00380B40">
        <w:rPr>
          <w:spacing w:val="25"/>
          <w:lang w:val="en-GB"/>
        </w:rPr>
        <w:t xml:space="preserve"> </w:t>
      </w:r>
      <w:r w:rsidRPr="00380B40">
        <w:rPr>
          <w:spacing w:val="-1"/>
          <w:lang w:val="en-GB"/>
        </w:rPr>
        <w:t>level</w:t>
      </w:r>
      <w:r w:rsidRPr="00380B40">
        <w:rPr>
          <w:spacing w:val="24"/>
          <w:lang w:val="en-GB"/>
        </w:rPr>
        <w:t xml:space="preserve"> </w:t>
      </w:r>
      <w:r w:rsidRPr="00380B40">
        <w:rPr>
          <w:lang w:val="en-GB"/>
        </w:rPr>
        <w:t>of</w:t>
      </w:r>
      <w:r w:rsidRPr="00380B40">
        <w:rPr>
          <w:spacing w:val="25"/>
          <w:lang w:val="en-GB"/>
        </w:rPr>
        <w:t xml:space="preserve"> </w:t>
      </w:r>
      <w:r w:rsidRPr="00380B40">
        <w:rPr>
          <w:spacing w:val="-1"/>
          <w:lang w:val="en-GB"/>
        </w:rPr>
        <w:t>approval,</w:t>
      </w:r>
      <w:r w:rsidRPr="00380B40">
        <w:rPr>
          <w:spacing w:val="24"/>
          <w:lang w:val="en-GB"/>
        </w:rPr>
        <w:t xml:space="preserve"> </w:t>
      </w:r>
      <w:r w:rsidRPr="00380B40">
        <w:rPr>
          <w:lang w:val="en-GB"/>
        </w:rPr>
        <w:t>e.g., </w:t>
      </w:r>
      <w:r w:rsidRPr="00380B40">
        <w:rPr>
          <w:spacing w:val="1"/>
          <w:lang w:val="en-GB"/>
        </w:rPr>
        <w:t>study</w:t>
      </w:r>
      <w:r w:rsidRPr="00380B40">
        <w:rPr>
          <w:spacing w:val="21"/>
          <w:lang w:val="en-GB"/>
        </w:rPr>
        <w:t xml:space="preserve"> </w:t>
      </w:r>
      <w:r w:rsidRPr="00380B40">
        <w:rPr>
          <w:spacing w:val="-1"/>
          <w:lang w:val="en-GB"/>
        </w:rPr>
        <w:t>group</w:t>
      </w:r>
      <w:r w:rsidRPr="00380B40">
        <w:rPr>
          <w:spacing w:val="25"/>
          <w:lang w:val="en-GB"/>
        </w:rPr>
        <w:t xml:space="preserve"> </w:t>
      </w:r>
      <w:r w:rsidRPr="00380B40">
        <w:rPr>
          <w:lang w:val="en-GB"/>
        </w:rPr>
        <w:t>or</w:t>
      </w:r>
      <w:r w:rsidRPr="00380B40">
        <w:rPr>
          <w:spacing w:val="23"/>
          <w:lang w:val="en-GB"/>
        </w:rPr>
        <w:t xml:space="preserve"> </w:t>
      </w:r>
      <w:r w:rsidRPr="00380B40">
        <w:rPr>
          <w:lang w:val="en-GB"/>
        </w:rPr>
        <w:t>working</w:t>
      </w:r>
      <w:r w:rsidRPr="00380B40">
        <w:rPr>
          <w:spacing w:val="21"/>
          <w:lang w:val="en-GB"/>
        </w:rPr>
        <w:t xml:space="preserve"> </w:t>
      </w:r>
      <w:r w:rsidRPr="00380B40">
        <w:rPr>
          <w:spacing w:val="-1"/>
          <w:lang w:val="en-GB"/>
        </w:rPr>
        <w:t>party,</w:t>
      </w:r>
      <w:r w:rsidRPr="00380B40">
        <w:rPr>
          <w:spacing w:val="25"/>
          <w:lang w:val="en-GB"/>
        </w:rPr>
        <w:t xml:space="preserve"> </w:t>
      </w:r>
      <w:r w:rsidRPr="00380B40">
        <w:rPr>
          <w:lang w:val="en-GB"/>
        </w:rPr>
        <w:t>or</w:t>
      </w:r>
      <w:r w:rsidRPr="00380B40">
        <w:rPr>
          <w:spacing w:val="23"/>
          <w:lang w:val="en-GB"/>
        </w:rPr>
        <w:t xml:space="preserve"> </w:t>
      </w:r>
      <w:r w:rsidRPr="00380B40">
        <w:rPr>
          <w:lang w:val="en-GB"/>
        </w:rPr>
        <w:t>state</w:t>
      </w:r>
      <w:r w:rsidRPr="00380B40">
        <w:rPr>
          <w:spacing w:val="22"/>
          <w:lang w:val="en-GB"/>
        </w:rPr>
        <w:t xml:space="preserve"> </w:t>
      </w:r>
      <w:r w:rsidRPr="00380B40">
        <w:rPr>
          <w:lang w:val="en-GB"/>
        </w:rPr>
        <w:t>that</w:t>
      </w:r>
      <w:r w:rsidRPr="00380B40">
        <w:rPr>
          <w:spacing w:val="23"/>
          <w:lang w:val="en-GB"/>
        </w:rPr>
        <w:t xml:space="preserve"> </w:t>
      </w:r>
      <w:r w:rsidRPr="00380B40">
        <w:rPr>
          <w:lang w:val="en-GB"/>
        </w:rPr>
        <w:t>the</w:t>
      </w:r>
      <w:r w:rsidRPr="00380B40">
        <w:rPr>
          <w:spacing w:val="23"/>
          <w:lang w:val="en-GB"/>
        </w:rPr>
        <w:t xml:space="preserve"> </w:t>
      </w:r>
      <w:r w:rsidRPr="00380B40">
        <w:rPr>
          <w:spacing w:val="-1"/>
          <w:lang w:val="en-GB"/>
        </w:rPr>
        <w:t>liaison</w:t>
      </w:r>
      <w:r w:rsidRPr="00380B40">
        <w:rPr>
          <w:spacing w:val="57"/>
          <w:lang w:val="en-GB"/>
        </w:rPr>
        <w:t xml:space="preserve"> </w:t>
      </w:r>
      <w:r w:rsidRPr="00380B40">
        <w:rPr>
          <w:spacing w:val="-1"/>
          <w:lang w:val="en-GB"/>
        </w:rPr>
        <w:t>statement</w:t>
      </w:r>
      <w:r w:rsidRPr="00380B40">
        <w:rPr>
          <w:lang w:val="en-GB"/>
        </w:rPr>
        <w:t xml:space="preserve"> </w:t>
      </w:r>
      <w:r w:rsidRPr="00380B40">
        <w:rPr>
          <w:spacing w:val="-1"/>
          <w:lang w:val="en-GB"/>
        </w:rPr>
        <w:t>has</w:t>
      </w:r>
      <w:r w:rsidRPr="00380B40">
        <w:rPr>
          <w:lang w:val="en-GB"/>
        </w:rPr>
        <w:t xml:space="preserve"> </w:t>
      </w:r>
      <w:r w:rsidRPr="00380B40">
        <w:rPr>
          <w:spacing w:val="-1"/>
          <w:lang w:val="en-GB"/>
        </w:rPr>
        <w:t>been</w:t>
      </w:r>
      <w:r w:rsidRPr="00380B40">
        <w:rPr>
          <w:spacing w:val="2"/>
          <w:lang w:val="en-GB"/>
        </w:rPr>
        <w:t xml:space="preserve"> </w:t>
      </w:r>
      <w:r w:rsidRPr="00380B40">
        <w:rPr>
          <w:spacing w:val="-1"/>
          <w:lang w:val="en-GB"/>
        </w:rPr>
        <w:t>agreed</w:t>
      </w:r>
      <w:r w:rsidRPr="00380B40">
        <w:rPr>
          <w:lang w:val="en-GB"/>
        </w:rPr>
        <w:t xml:space="preserve"> </w:t>
      </w:r>
      <w:r w:rsidRPr="00380B40">
        <w:rPr>
          <w:spacing w:val="-1"/>
          <w:lang w:val="en-GB"/>
        </w:rPr>
        <w:t>at</w:t>
      </w:r>
      <w:r w:rsidRPr="00380B40">
        <w:rPr>
          <w:lang w:val="en-GB"/>
        </w:rPr>
        <w:t xml:space="preserve"> a </w:t>
      </w:r>
      <w:r w:rsidRPr="00380B40">
        <w:rPr>
          <w:spacing w:val="-1"/>
          <w:lang w:val="en-GB"/>
        </w:rPr>
        <w:t>rapporteur</w:t>
      </w:r>
      <w:r w:rsidRPr="00380B40">
        <w:rPr>
          <w:spacing w:val="1"/>
          <w:lang w:val="en-GB"/>
        </w:rPr>
        <w:t xml:space="preserve"> </w:t>
      </w:r>
      <w:r w:rsidRPr="00380B40">
        <w:rPr>
          <w:spacing w:val="-1"/>
          <w:lang w:val="en-GB"/>
        </w:rPr>
        <w:t>group meeting.</w:t>
      </w:r>
    </w:p>
    <w:p w14:paraId="3B19C802" w14:textId="77777777" w:rsidR="00C12517" w:rsidRPr="00380B40" w:rsidRDefault="00C12517" w:rsidP="00C12517">
      <w:pPr>
        <w:pStyle w:val="enumlev1"/>
        <w:rPr>
          <w:lang w:val="en-GB"/>
        </w:rPr>
      </w:pPr>
      <w:r w:rsidRPr="00380B40">
        <w:rPr>
          <w:lang w:val="en-GB"/>
        </w:rPr>
        <w:t>–</w:t>
      </w:r>
      <w:r w:rsidRPr="00380B40">
        <w:rPr>
          <w:lang w:val="en-GB"/>
        </w:rPr>
        <w:tab/>
      </w:r>
      <w:r w:rsidRPr="00380B40">
        <w:rPr>
          <w:spacing w:val="-1"/>
          <w:lang w:val="en-GB"/>
        </w:rPr>
        <w:t>Indicate</w:t>
      </w:r>
      <w:r w:rsidRPr="00380B40">
        <w:rPr>
          <w:spacing w:val="-8"/>
          <w:lang w:val="en-GB"/>
        </w:rPr>
        <w:t xml:space="preserve"> </w:t>
      </w:r>
      <w:r w:rsidRPr="00380B40">
        <w:rPr>
          <w:lang w:val="en-GB"/>
        </w:rPr>
        <w:t>if</w:t>
      </w:r>
      <w:r w:rsidRPr="00380B40">
        <w:rPr>
          <w:spacing w:val="-6"/>
          <w:lang w:val="en-GB"/>
        </w:rPr>
        <w:t xml:space="preserve"> </w:t>
      </w:r>
      <w:r w:rsidRPr="00380B40">
        <w:rPr>
          <w:lang w:val="en-GB"/>
        </w:rPr>
        <w:t>the</w:t>
      </w:r>
      <w:r w:rsidRPr="00380B40">
        <w:rPr>
          <w:spacing w:val="-8"/>
          <w:lang w:val="en-GB"/>
        </w:rPr>
        <w:t xml:space="preserve"> </w:t>
      </w:r>
      <w:r w:rsidRPr="00380B40">
        <w:rPr>
          <w:spacing w:val="-1"/>
          <w:lang w:val="en-GB"/>
        </w:rPr>
        <w:t>liaison</w:t>
      </w:r>
      <w:r w:rsidRPr="00380B40">
        <w:rPr>
          <w:spacing w:val="-7"/>
          <w:lang w:val="en-GB"/>
        </w:rPr>
        <w:t xml:space="preserve"> </w:t>
      </w:r>
      <w:r w:rsidRPr="00380B40">
        <w:rPr>
          <w:lang w:val="en-GB"/>
        </w:rPr>
        <w:t>statement</w:t>
      </w:r>
      <w:r w:rsidRPr="00380B40">
        <w:rPr>
          <w:spacing w:val="-8"/>
          <w:lang w:val="en-GB"/>
        </w:rPr>
        <w:t xml:space="preserve"> </w:t>
      </w:r>
      <w:r w:rsidRPr="00380B40">
        <w:rPr>
          <w:lang w:val="en-GB"/>
        </w:rPr>
        <w:t>is</w:t>
      </w:r>
      <w:r w:rsidRPr="00380B40">
        <w:rPr>
          <w:spacing w:val="-7"/>
          <w:lang w:val="en-GB"/>
        </w:rPr>
        <w:t xml:space="preserve"> </w:t>
      </w:r>
      <w:r w:rsidRPr="00380B40">
        <w:rPr>
          <w:spacing w:val="-1"/>
          <w:lang w:val="en-GB"/>
        </w:rPr>
        <w:t>sent</w:t>
      </w:r>
      <w:r w:rsidRPr="00380B40">
        <w:rPr>
          <w:spacing w:val="-7"/>
          <w:lang w:val="en-GB"/>
        </w:rPr>
        <w:t xml:space="preserve"> </w:t>
      </w:r>
      <w:r w:rsidRPr="00380B40">
        <w:rPr>
          <w:lang w:val="en-GB"/>
        </w:rPr>
        <w:t>for</w:t>
      </w:r>
      <w:r w:rsidRPr="00380B40">
        <w:rPr>
          <w:spacing w:val="-7"/>
          <w:lang w:val="en-GB"/>
        </w:rPr>
        <w:t xml:space="preserve"> </w:t>
      </w:r>
      <w:r w:rsidRPr="00380B40">
        <w:rPr>
          <w:spacing w:val="-1"/>
          <w:lang w:val="en-GB"/>
        </w:rPr>
        <w:t>action</w:t>
      </w:r>
      <w:r w:rsidRPr="00380B40">
        <w:rPr>
          <w:spacing w:val="-7"/>
          <w:lang w:val="en-GB"/>
        </w:rPr>
        <w:t xml:space="preserve"> </w:t>
      </w:r>
      <w:r w:rsidRPr="00380B40">
        <w:rPr>
          <w:i/>
          <w:spacing w:val="1"/>
          <w:lang w:val="en-GB"/>
        </w:rPr>
        <w:t>or</w:t>
      </w:r>
      <w:r w:rsidRPr="00380B40">
        <w:rPr>
          <w:i/>
          <w:spacing w:val="-7"/>
          <w:lang w:val="en-GB"/>
        </w:rPr>
        <w:t xml:space="preserve"> </w:t>
      </w:r>
      <w:r w:rsidRPr="00380B40">
        <w:rPr>
          <w:spacing w:val="-1"/>
          <w:lang w:val="en-GB"/>
        </w:rPr>
        <w:t>comment</w:t>
      </w:r>
      <w:r w:rsidRPr="00380B40">
        <w:rPr>
          <w:spacing w:val="-6"/>
          <w:lang w:val="en-GB"/>
        </w:rPr>
        <w:t xml:space="preserve"> </w:t>
      </w:r>
      <w:r w:rsidRPr="00380B40">
        <w:rPr>
          <w:i/>
          <w:lang w:val="en-GB"/>
        </w:rPr>
        <w:t>or</w:t>
      </w:r>
      <w:r w:rsidRPr="00380B40">
        <w:rPr>
          <w:i/>
          <w:spacing w:val="-7"/>
          <w:lang w:val="en-GB"/>
        </w:rPr>
        <w:t xml:space="preserve"> </w:t>
      </w:r>
      <w:r w:rsidRPr="00380B40">
        <w:rPr>
          <w:lang w:val="en-GB"/>
        </w:rPr>
        <w:t>information.</w:t>
      </w:r>
      <w:r w:rsidRPr="00380B40">
        <w:rPr>
          <w:spacing w:val="-5"/>
          <w:lang w:val="en-GB"/>
        </w:rPr>
        <w:t xml:space="preserve"> </w:t>
      </w:r>
      <w:r w:rsidRPr="00380B40">
        <w:rPr>
          <w:i/>
          <w:spacing w:val="-2"/>
          <w:lang w:val="en-GB"/>
        </w:rPr>
        <w:t>(If</w:t>
      </w:r>
      <w:r w:rsidRPr="00380B40">
        <w:rPr>
          <w:i/>
          <w:spacing w:val="-8"/>
          <w:lang w:val="en-GB"/>
        </w:rPr>
        <w:t xml:space="preserve"> </w:t>
      </w:r>
      <w:r w:rsidRPr="00380B40">
        <w:rPr>
          <w:i/>
          <w:spacing w:val="-1"/>
          <w:lang w:val="en-GB"/>
        </w:rPr>
        <w:t>sent</w:t>
      </w:r>
      <w:r w:rsidRPr="00380B40">
        <w:rPr>
          <w:i/>
          <w:spacing w:val="-7"/>
          <w:lang w:val="en-GB"/>
        </w:rPr>
        <w:t xml:space="preserve"> </w:t>
      </w:r>
      <w:r w:rsidRPr="00380B40">
        <w:rPr>
          <w:i/>
          <w:lang w:val="en-GB"/>
        </w:rPr>
        <w:t>to</w:t>
      </w:r>
      <w:r w:rsidRPr="00380B40">
        <w:rPr>
          <w:i/>
          <w:spacing w:val="-7"/>
          <w:lang w:val="en-GB"/>
        </w:rPr>
        <w:t xml:space="preserve"> </w:t>
      </w:r>
      <w:r w:rsidRPr="00380B40">
        <w:rPr>
          <w:i/>
          <w:lang w:val="en-GB"/>
        </w:rPr>
        <w:t>more</w:t>
      </w:r>
      <w:r w:rsidRPr="00380B40">
        <w:rPr>
          <w:i/>
          <w:spacing w:val="61"/>
          <w:lang w:val="en-GB"/>
        </w:rPr>
        <w:t xml:space="preserve"> </w:t>
      </w:r>
      <w:r w:rsidRPr="00380B40">
        <w:rPr>
          <w:i/>
          <w:lang w:val="en-GB"/>
        </w:rPr>
        <w:t xml:space="preserve">than one organization, </w:t>
      </w:r>
      <w:r w:rsidRPr="00380B40">
        <w:rPr>
          <w:i/>
          <w:spacing w:val="-1"/>
          <w:lang w:val="en-GB"/>
        </w:rPr>
        <w:t xml:space="preserve">indicate </w:t>
      </w:r>
      <w:r w:rsidRPr="00380B40">
        <w:rPr>
          <w:i/>
          <w:lang w:val="en-GB"/>
        </w:rPr>
        <w:t xml:space="preserve">this for </w:t>
      </w:r>
      <w:r w:rsidRPr="00380B40">
        <w:rPr>
          <w:i/>
          <w:spacing w:val="-1"/>
          <w:lang w:val="en-GB"/>
        </w:rPr>
        <w:t>each</w:t>
      </w:r>
      <w:r w:rsidRPr="00380B40">
        <w:rPr>
          <w:i/>
          <w:lang w:val="en-GB"/>
        </w:rPr>
        <w:t xml:space="preserve"> one.)</w:t>
      </w:r>
    </w:p>
    <w:p w14:paraId="671ACEDD" w14:textId="77777777" w:rsidR="00C12517" w:rsidRPr="00380B40" w:rsidRDefault="00C12517" w:rsidP="00C12517">
      <w:pPr>
        <w:pStyle w:val="enumlev1"/>
        <w:rPr>
          <w:lang w:val="en-GB"/>
        </w:rPr>
      </w:pPr>
      <w:r w:rsidRPr="00380B40">
        <w:rPr>
          <w:lang w:val="en-GB"/>
        </w:rPr>
        <w:t>–</w:t>
      </w:r>
      <w:r w:rsidRPr="00380B40">
        <w:rPr>
          <w:lang w:val="en-GB"/>
        </w:rPr>
        <w:tab/>
      </w:r>
      <w:r w:rsidRPr="00380B40">
        <w:rPr>
          <w:spacing w:val="-2"/>
          <w:lang w:val="en-GB"/>
        </w:rPr>
        <w:t>If</w:t>
      </w:r>
      <w:r w:rsidRPr="00380B40">
        <w:rPr>
          <w:spacing w:val="1"/>
          <w:lang w:val="en-GB"/>
        </w:rPr>
        <w:t xml:space="preserve"> </w:t>
      </w:r>
      <w:r w:rsidRPr="00380B40">
        <w:rPr>
          <w:spacing w:val="-1"/>
          <w:lang w:val="en-GB"/>
        </w:rPr>
        <w:t>action</w:t>
      </w:r>
      <w:r w:rsidRPr="00380B40">
        <w:rPr>
          <w:lang w:val="en-GB"/>
        </w:rPr>
        <w:t xml:space="preserve"> is </w:t>
      </w:r>
      <w:r w:rsidRPr="00380B40">
        <w:rPr>
          <w:spacing w:val="-1"/>
          <w:lang w:val="en-GB"/>
        </w:rPr>
        <w:t>requested,</w:t>
      </w:r>
      <w:r w:rsidRPr="00380B40">
        <w:rPr>
          <w:lang w:val="en-GB"/>
        </w:rPr>
        <w:t xml:space="preserve"> indicate the</w:t>
      </w:r>
      <w:r w:rsidRPr="00380B40">
        <w:rPr>
          <w:spacing w:val="-1"/>
          <w:lang w:val="en-GB"/>
        </w:rPr>
        <w:t xml:space="preserve"> date</w:t>
      </w:r>
      <w:r w:rsidRPr="00380B40">
        <w:rPr>
          <w:lang w:val="en-GB"/>
        </w:rPr>
        <w:t xml:space="preserve"> </w:t>
      </w:r>
      <w:r w:rsidRPr="00380B40">
        <w:rPr>
          <w:spacing w:val="2"/>
          <w:lang w:val="en-GB"/>
        </w:rPr>
        <w:t>by</w:t>
      </w:r>
      <w:r w:rsidRPr="00380B40">
        <w:rPr>
          <w:spacing w:val="-3"/>
          <w:lang w:val="en-GB"/>
        </w:rPr>
        <w:t xml:space="preserve"> </w:t>
      </w:r>
      <w:r w:rsidRPr="00380B40">
        <w:rPr>
          <w:spacing w:val="-1"/>
          <w:lang w:val="en-GB"/>
        </w:rPr>
        <w:t>which</w:t>
      </w:r>
      <w:r w:rsidRPr="00380B40">
        <w:rPr>
          <w:lang w:val="en-GB"/>
        </w:rPr>
        <w:t xml:space="preserve"> a</w:t>
      </w:r>
      <w:r w:rsidRPr="00380B40">
        <w:rPr>
          <w:spacing w:val="1"/>
          <w:lang w:val="en-GB"/>
        </w:rPr>
        <w:t xml:space="preserve"> </w:t>
      </w:r>
      <w:r w:rsidRPr="00380B40">
        <w:rPr>
          <w:lang w:val="en-GB"/>
        </w:rPr>
        <w:t>reply</w:t>
      </w:r>
      <w:r w:rsidRPr="00380B40">
        <w:rPr>
          <w:spacing w:val="-5"/>
          <w:lang w:val="en-GB"/>
        </w:rPr>
        <w:t xml:space="preserve"> </w:t>
      </w:r>
      <w:r w:rsidRPr="00380B40">
        <w:rPr>
          <w:lang w:val="en-GB"/>
        </w:rPr>
        <w:t xml:space="preserve">is </w:t>
      </w:r>
      <w:r w:rsidRPr="00380B40">
        <w:rPr>
          <w:spacing w:val="-1"/>
          <w:lang w:val="en-GB"/>
        </w:rPr>
        <w:t>required.</w:t>
      </w:r>
    </w:p>
    <w:p w14:paraId="0A7EE1D5" w14:textId="77777777" w:rsidR="00C12517" w:rsidRPr="00380B40" w:rsidRDefault="00C12517" w:rsidP="00C12517">
      <w:pPr>
        <w:pStyle w:val="enumlev1"/>
        <w:rPr>
          <w:lang w:val="en-GB"/>
        </w:rPr>
      </w:pPr>
      <w:r w:rsidRPr="00380B40">
        <w:rPr>
          <w:lang w:val="en-GB"/>
        </w:rPr>
        <w:t>–</w:t>
      </w:r>
      <w:r w:rsidRPr="00380B40">
        <w:rPr>
          <w:lang w:val="en-GB"/>
        </w:rPr>
        <w:tab/>
      </w:r>
      <w:r w:rsidRPr="00380B40">
        <w:rPr>
          <w:spacing w:val="-1"/>
          <w:lang w:val="en-GB"/>
        </w:rPr>
        <w:t>Include</w:t>
      </w:r>
      <w:r w:rsidRPr="00380B40">
        <w:rPr>
          <w:lang w:val="en-GB"/>
        </w:rPr>
        <w:t xml:space="preserve"> the</w:t>
      </w:r>
      <w:r w:rsidRPr="00380B40">
        <w:rPr>
          <w:spacing w:val="-1"/>
          <w:lang w:val="en-GB"/>
        </w:rPr>
        <w:t xml:space="preserve"> </w:t>
      </w:r>
      <w:r w:rsidRPr="00380B40">
        <w:rPr>
          <w:lang w:val="en-GB"/>
        </w:rPr>
        <w:t>name</w:t>
      </w:r>
      <w:r w:rsidRPr="00380B40">
        <w:rPr>
          <w:spacing w:val="-1"/>
          <w:lang w:val="en-GB"/>
        </w:rPr>
        <w:t xml:space="preserve"> and</w:t>
      </w:r>
      <w:r w:rsidRPr="00380B40">
        <w:rPr>
          <w:lang w:val="en-GB"/>
        </w:rPr>
        <w:t xml:space="preserve"> </w:t>
      </w:r>
      <w:r w:rsidRPr="00380B40">
        <w:rPr>
          <w:spacing w:val="-1"/>
          <w:lang w:val="en-GB"/>
        </w:rPr>
        <w:t>address</w:t>
      </w:r>
      <w:r w:rsidRPr="00380B40">
        <w:rPr>
          <w:lang w:val="en-GB"/>
        </w:rPr>
        <w:t xml:space="preserve"> of the </w:t>
      </w:r>
      <w:r w:rsidRPr="00380B40">
        <w:rPr>
          <w:spacing w:val="-1"/>
          <w:lang w:val="en-GB"/>
        </w:rPr>
        <w:t>contact</w:t>
      </w:r>
      <w:r w:rsidRPr="00380B40">
        <w:rPr>
          <w:lang w:val="en-GB"/>
        </w:rPr>
        <w:t xml:space="preserve"> person.</w:t>
      </w:r>
    </w:p>
    <w:p w14:paraId="40AA7149" w14:textId="77777777" w:rsidR="00C12517" w:rsidRPr="00380B40" w:rsidRDefault="00C12517" w:rsidP="00C12517">
      <w:pPr>
        <w:rPr>
          <w:lang w:val="en-GB"/>
        </w:rPr>
      </w:pPr>
      <w:r w:rsidRPr="00380B40">
        <w:rPr>
          <w:lang w:val="en-GB"/>
        </w:rPr>
        <w:t>The</w:t>
      </w:r>
      <w:r w:rsidRPr="00380B40">
        <w:rPr>
          <w:spacing w:val="-2"/>
          <w:lang w:val="en-GB"/>
        </w:rPr>
        <w:t xml:space="preserve"> </w:t>
      </w:r>
      <w:r w:rsidRPr="00380B40">
        <w:rPr>
          <w:lang w:val="en-GB"/>
        </w:rPr>
        <w:t>text of the liaison statement should be concise</w:t>
      </w:r>
      <w:r w:rsidRPr="00380B40">
        <w:rPr>
          <w:spacing w:val="1"/>
          <w:lang w:val="en-GB"/>
        </w:rPr>
        <w:t xml:space="preserve"> </w:t>
      </w:r>
      <w:r w:rsidRPr="00380B40">
        <w:rPr>
          <w:lang w:val="en-GB"/>
        </w:rPr>
        <w:t>and clear, using a minimum of jargon.</w:t>
      </w:r>
    </w:p>
    <w:p w14:paraId="65C8CD3E" w14:textId="77777777" w:rsidR="00C12517" w:rsidRPr="00380B40" w:rsidRDefault="00C12517" w:rsidP="00C12517">
      <w:pPr>
        <w:rPr>
          <w:szCs w:val="24"/>
          <w:lang w:val="en-GB"/>
        </w:rPr>
      </w:pPr>
      <w:r w:rsidRPr="00380B40">
        <w:rPr>
          <w:szCs w:val="24"/>
          <w:lang w:val="en-GB"/>
        </w:rPr>
        <w:t>An example of the information required in a liaison statement is shown in Figure 1-1.</w:t>
      </w:r>
    </w:p>
    <w:tbl>
      <w:tblPr>
        <w:tblW w:w="5129" w:type="pct"/>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82"/>
        <w:gridCol w:w="567"/>
        <w:gridCol w:w="1843"/>
        <w:gridCol w:w="1842"/>
        <w:gridCol w:w="3543"/>
      </w:tblGrid>
      <w:tr w:rsidR="00C12517" w:rsidRPr="00380B40" w14:paraId="250D9CCF" w14:textId="77777777" w:rsidTr="00302EF6">
        <w:trPr>
          <w:cantSplit/>
          <w:trHeight w:val="357"/>
        </w:trPr>
        <w:tc>
          <w:tcPr>
            <w:tcW w:w="2082" w:type="dxa"/>
            <w:shd w:val="clear" w:color="auto" w:fill="auto"/>
          </w:tcPr>
          <w:p w14:paraId="6376A78D" w14:textId="77777777" w:rsidR="00C12517" w:rsidRPr="00380B40" w:rsidRDefault="00C12517" w:rsidP="00D559E0">
            <w:pPr>
              <w:keepNext/>
              <w:rPr>
                <w:b/>
                <w:bCs/>
                <w:szCs w:val="24"/>
                <w:lang w:val="en-GB"/>
              </w:rPr>
            </w:pPr>
            <w:bookmarkStart w:id="599" w:name="_Toc532428457"/>
            <w:r w:rsidRPr="00380B40">
              <w:rPr>
                <w:b/>
                <w:bCs/>
                <w:szCs w:val="24"/>
                <w:lang w:val="en-GB"/>
              </w:rPr>
              <w:t>Question(s):</w:t>
            </w:r>
          </w:p>
        </w:tc>
        <w:tc>
          <w:tcPr>
            <w:tcW w:w="2410" w:type="dxa"/>
            <w:gridSpan w:val="2"/>
            <w:shd w:val="clear" w:color="auto" w:fill="auto"/>
          </w:tcPr>
          <w:p w14:paraId="5A06B8DE" w14:textId="77777777" w:rsidR="00C12517" w:rsidRPr="00380B40" w:rsidRDefault="00C12517" w:rsidP="00D559E0">
            <w:pPr>
              <w:keepNext/>
              <w:rPr>
                <w:bCs/>
                <w:szCs w:val="24"/>
                <w:lang w:val="en-GB"/>
              </w:rPr>
            </w:pPr>
            <w:r w:rsidRPr="00380B40">
              <w:rPr>
                <w:bCs/>
                <w:szCs w:val="24"/>
                <w:lang w:val="en-GB"/>
              </w:rPr>
              <w:t>4</w:t>
            </w:r>
          </w:p>
        </w:tc>
        <w:tc>
          <w:tcPr>
            <w:tcW w:w="1842" w:type="dxa"/>
            <w:shd w:val="clear" w:color="auto" w:fill="auto"/>
          </w:tcPr>
          <w:p w14:paraId="4EEF0506" w14:textId="77777777" w:rsidR="00C12517" w:rsidRPr="00380B40" w:rsidRDefault="00C12517" w:rsidP="00D559E0">
            <w:pPr>
              <w:keepNext/>
              <w:rPr>
                <w:b/>
                <w:bCs/>
                <w:szCs w:val="24"/>
                <w:lang w:val="en-GB"/>
              </w:rPr>
            </w:pPr>
            <w:r w:rsidRPr="00380B40">
              <w:rPr>
                <w:b/>
                <w:bCs/>
                <w:szCs w:val="24"/>
                <w:lang w:val="en-GB"/>
              </w:rPr>
              <w:t>Meeting, date:</w:t>
            </w:r>
          </w:p>
        </w:tc>
        <w:tc>
          <w:tcPr>
            <w:tcW w:w="3543" w:type="dxa"/>
            <w:shd w:val="clear" w:color="auto" w:fill="auto"/>
          </w:tcPr>
          <w:p w14:paraId="42A091FE" w14:textId="77777777" w:rsidR="00C12517" w:rsidRPr="00380B40" w:rsidRDefault="00C12517" w:rsidP="00D559E0">
            <w:pPr>
              <w:keepNext/>
              <w:rPr>
                <w:b/>
                <w:bCs/>
                <w:lang w:val="en-GB"/>
              </w:rPr>
            </w:pPr>
            <w:r w:rsidRPr="00380B40">
              <w:rPr>
                <w:lang w:val="en-GB"/>
              </w:rPr>
              <w:t>London, 2-6 October 2017</w:t>
            </w:r>
          </w:p>
        </w:tc>
      </w:tr>
      <w:tr w:rsidR="00C12517" w:rsidRPr="00380B40" w14:paraId="36FC1ABF" w14:textId="77777777" w:rsidTr="00302EF6">
        <w:trPr>
          <w:cantSplit/>
          <w:trHeight w:val="357"/>
        </w:trPr>
        <w:tc>
          <w:tcPr>
            <w:tcW w:w="2082" w:type="dxa"/>
            <w:shd w:val="clear" w:color="auto" w:fill="auto"/>
          </w:tcPr>
          <w:p w14:paraId="16457B62" w14:textId="77777777" w:rsidR="00C12517" w:rsidRPr="00380B40" w:rsidRDefault="00C12517" w:rsidP="00D559E0">
            <w:pPr>
              <w:keepNext/>
              <w:rPr>
                <w:b/>
                <w:bCs/>
                <w:szCs w:val="24"/>
                <w:lang w:val="en-GB"/>
              </w:rPr>
            </w:pPr>
            <w:r w:rsidRPr="00380B40">
              <w:rPr>
                <w:b/>
                <w:bCs/>
                <w:szCs w:val="24"/>
                <w:lang w:val="en-GB"/>
              </w:rPr>
              <w:t>Study Group:</w:t>
            </w:r>
          </w:p>
        </w:tc>
        <w:tc>
          <w:tcPr>
            <w:tcW w:w="567" w:type="dxa"/>
            <w:shd w:val="clear" w:color="auto" w:fill="auto"/>
          </w:tcPr>
          <w:p w14:paraId="029B0B56" w14:textId="77777777" w:rsidR="00C12517" w:rsidRPr="00380B40" w:rsidRDefault="00C12517" w:rsidP="00D559E0">
            <w:pPr>
              <w:keepNext/>
              <w:rPr>
                <w:bCs/>
                <w:szCs w:val="24"/>
                <w:lang w:val="en-GB"/>
              </w:rPr>
            </w:pPr>
            <w:r w:rsidRPr="00380B40">
              <w:rPr>
                <w:bCs/>
                <w:szCs w:val="24"/>
                <w:lang w:val="en-GB"/>
              </w:rPr>
              <w:t>15</w:t>
            </w:r>
          </w:p>
        </w:tc>
        <w:tc>
          <w:tcPr>
            <w:tcW w:w="1843" w:type="dxa"/>
            <w:shd w:val="clear" w:color="auto" w:fill="auto"/>
          </w:tcPr>
          <w:p w14:paraId="110EA694" w14:textId="77777777" w:rsidR="00C12517" w:rsidRPr="00380B40" w:rsidRDefault="00C12517" w:rsidP="00D559E0">
            <w:pPr>
              <w:keepNext/>
              <w:rPr>
                <w:b/>
                <w:szCs w:val="24"/>
                <w:lang w:val="en-GB"/>
              </w:rPr>
            </w:pPr>
            <w:r w:rsidRPr="00380B40">
              <w:rPr>
                <w:b/>
                <w:szCs w:val="24"/>
                <w:lang w:val="en-GB"/>
              </w:rPr>
              <w:t>Working Party:</w:t>
            </w:r>
          </w:p>
        </w:tc>
        <w:tc>
          <w:tcPr>
            <w:tcW w:w="5385" w:type="dxa"/>
            <w:gridSpan w:val="2"/>
            <w:shd w:val="clear" w:color="auto" w:fill="auto"/>
          </w:tcPr>
          <w:p w14:paraId="7A19486B" w14:textId="77777777" w:rsidR="00C12517" w:rsidRPr="00380B40" w:rsidRDefault="00C12517" w:rsidP="00D559E0">
            <w:pPr>
              <w:keepNext/>
              <w:rPr>
                <w:bCs/>
                <w:szCs w:val="24"/>
                <w:lang w:val="en-GB"/>
              </w:rPr>
            </w:pPr>
            <w:r w:rsidRPr="00380B40">
              <w:rPr>
                <w:bCs/>
                <w:szCs w:val="24"/>
                <w:lang w:val="en-GB"/>
              </w:rPr>
              <w:t>1</w:t>
            </w:r>
          </w:p>
        </w:tc>
      </w:tr>
      <w:tr w:rsidR="00C12517" w:rsidRPr="00380B40" w14:paraId="5D8B1670" w14:textId="77777777" w:rsidTr="00302EF6">
        <w:trPr>
          <w:cantSplit/>
          <w:trHeight w:val="357"/>
        </w:trPr>
        <w:tc>
          <w:tcPr>
            <w:tcW w:w="2082" w:type="dxa"/>
            <w:shd w:val="clear" w:color="auto" w:fill="auto"/>
          </w:tcPr>
          <w:p w14:paraId="009ADE31" w14:textId="77777777" w:rsidR="00C12517" w:rsidRPr="00380B40" w:rsidRDefault="00C12517" w:rsidP="00D559E0">
            <w:pPr>
              <w:keepNext/>
              <w:rPr>
                <w:b/>
                <w:bCs/>
                <w:szCs w:val="24"/>
                <w:lang w:val="en-GB"/>
              </w:rPr>
            </w:pPr>
            <w:r w:rsidRPr="00380B40">
              <w:rPr>
                <w:b/>
                <w:bCs/>
                <w:szCs w:val="24"/>
                <w:lang w:val="en-GB"/>
              </w:rPr>
              <w:t>Source:</w:t>
            </w:r>
          </w:p>
        </w:tc>
        <w:tc>
          <w:tcPr>
            <w:tcW w:w="7795" w:type="dxa"/>
            <w:gridSpan w:val="4"/>
            <w:shd w:val="clear" w:color="auto" w:fill="auto"/>
          </w:tcPr>
          <w:p w14:paraId="504AB83F" w14:textId="77777777" w:rsidR="00C12517" w:rsidRPr="00380B40" w:rsidRDefault="00C12517" w:rsidP="00F55448">
            <w:pPr>
              <w:rPr>
                <w:b/>
                <w:lang w:val="en-GB"/>
              </w:rPr>
            </w:pPr>
            <w:r w:rsidRPr="00380B40">
              <w:rPr>
                <w:lang w:val="en-GB"/>
              </w:rPr>
              <w:t>ITU</w:t>
            </w:r>
            <w:r w:rsidRPr="00380B40">
              <w:rPr>
                <w:lang w:val="en-GB"/>
              </w:rPr>
              <w:noBreakHyphen/>
              <w:t>T SG15, Rapporteur group for Q4/15</w:t>
            </w:r>
          </w:p>
        </w:tc>
      </w:tr>
      <w:tr w:rsidR="00C12517" w:rsidRPr="004E0F36" w14:paraId="7F86213F" w14:textId="77777777" w:rsidTr="00302EF6">
        <w:trPr>
          <w:cantSplit/>
          <w:trHeight w:val="357"/>
        </w:trPr>
        <w:tc>
          <w:tcPr>
            <w:tcW w:w="2082" w:type="dxa"/>
            <w:shd w:val="clear" w:color="auto" w:fill="auto"/>
          </w:tcPr>
          <w:p w14:paraId="3BE8ABEB" w14:textId="77777777" w:rsidR="00C12517" w:rsidRPr="00380B40" w:rsidRDefault="00C12517" w:rsidP="00D559E0">
            <w:pPr>
              <w:keepNext/>
              <w:rPr>
                <w:b/>
                <w:bCs/>
                <w:szCs w:val="24"/>
                <w:lang w:val="en-GB"/>
              </w:rPr>
            </w:pPr>
            <w:r w:rsidRPr="00380B40">
              <w:rPr>
                <w:b/>
                <w:bCs/>
                <w:szCs w:val="24"/>
                <w:lang w:val="en-GB"/>
              </w:rPr>
              <w:t xml:space="preserve">Title: </w:t>
            </w:r>
          </w:p>
        </w:tc>
        <w:tc>
          <w:tcPr>
            <w:tcW w:w="7795" w:type="dxa"/>
            <w:gridSpan w:val="4"/>
            <w:shd w:val="clear" w:color="auto" w:fill="auto"/>
          </w:tcPr>
          <w:p w14:paraId="6818190E" w14:textId="77777777" w:rsidR="00C12517" w:rsidRPr="00380B40" w:rsidRDefault="00C12517" w:rsidP="00E36F7A">
            <w:pPr>
              <w:jc w:val="left"/>
              <w:rPr>
                <w:b/>
                <w:lang w:val="en-GB"/>
              </w:rPr>
            </w:pPr>
            <w:r w:rsidRPr="00380B40">
              <w:rPr>
                <w:lang w:val="en-GB"/>
              </w:rPr>
              <w:t>LS/o/r on Object identifier registration – Reply to liaison statement from Q11/17 (Geneva, 5-9 February 2017)</w:t>
            </w:r>
          </w:p>
        </w:tc>
      </w:tr>
      <w:tr w:rsidR="00C12517" w:rsidRPr="00380B40" w14:paraId="0DB58E01" w14:textId="77777777" w:rsidTr="00302EF6">
        <w:trPr>
          <w:cantSplit/>
          <w:trHeight w:val="357"/>
        </w:trPr>
        <w:tc>
          <w:tcPr>
            <w:tcW w:w="9877" w:type="dxa"/>
            <w:gridSpan w:val="5"/>
            <w:shd w:val="clear" w:color="auto" w:fill="auto"/>
          </w:tcPr>
          <w:p w14:paraId="57B6750E" w14:textId="77777777" w:rsidR="00C12517" w:rsidRPr="00380B40" w:rsidRDefault="00C12517" w:rsidP="00D559E0">
            <w:pPr>
              <w:keepNext/>
              <w:jc w:val="center"/>
              <w:rPr>
                <w:b/>
                <w:szCs w:val="24"/>
                <w:lang w:val="en-GB"/>
              </w:rPr>
            </w:pPr>
            <w:r w:rsidRPr="00380B40">
              <w:rPr>
                <w:b/>
                <w:szCs w:val="24"/>
                <w:lang w:val="en-GB"/>
              </w:rPr>
              <w:t>LIAISON STATEMENT</w:t>
            </w:r>
          </w:p>
        </w:tc>
      </w:tr>
      <w:tr w:rsidR="00C12517" w:rsidRPr="00380B40" w14:paraId="015DADCC" w14:textId="77777777" w:rsidTr="00302EF6">
        <w:trPr>
          <w:cantSplit/>
          <w:trHeight w:val="357"/>
        </w:trPr>
        <w:tc>
          <w:tcPr>
            <w:tcW w:w="2082" w:type="dxa"/>
            <w:shd w:val="clear" w:color="auto" w:fill="auto"/>
          </w:tcPr>
          <w:p w14:paraId="09156FC5" w14:textId="77777777" w:rsidR="00C12517" w:rsidRPr="00380B40" w:rsidRDefault="00C12517" w:rsidP="00D559E0">
            <w:pPr>
              <w:keepNext/>
              <w:rPr>
                <w:b/>
                <w:bCs/>
                <w:szCs w:val="24"/>
                <w:lang w:val="en-GB"/>
              </w:rPr>
            </w:pPr>
            <w:r w:rsidRPr="00380B40">
              <w:rPr>
                <w:b/>
                <w:bCs/>
                <w:szCs w:val="24"/>
                <w:lang w:val="en-GB"/>
              </w:rPr>
              <w:t>For action to:</w:t>
            </w:r>
          </w:p>
        </w:tc>
        <w:tc>
          <w:tcPr>
            <w:tcW w:w="7795" w:type="dxa"/>
            <w:gridSpan w:val="4"/>
            <w:shd w:val="clear" w:color="auto" w:fill="auto"/>
          </w:tcPr>
          <w:p w14:paraId="166D7CE9" w14:textId="77777777" w:rsidR="00C12517" w:rsidRPr="00380B40" w:rsidRDefault="00C12517" w:rsidP="00F55448">
            <w:pPr>
              <w:rPr>
                <w:b/>
                <w:lang w:val="en-GB"/>
              </w:rPr>
            </w:pPr>
            <w:r w:rsidRPr="00380B40">
              <w:rPr>
                <w:lang w:val="en-GB"/>
              </w:rPr>
              <w:t>ITU-T Q11/17</w:t>
            </w:r>
          </w:p>
        </w:tc>
      </w:tr>
      <w:tr w:rsidR="00C12517" w:rsidRPr="004E0F36" w14:paraId="57122BA4" w14:textId="77777777" w:rsidTr="00302EF6">
        <w:trPr>
          <w:cantSplit/>
          <w:trHeight w:val="357"/>
        </w:trPr>
        <w:tc>
          <w:tcPr>
            <w:tcW w:w="2082" w:type="dxa"/>
            <w:shd w:val="clear" w:color="auto" w:fill="auto"/>
          </w:tcPr>
          <w:p w14:paraId="01E1129A" w14:textId="77777777" w:rsidR="00C12517" w:rsidRPr="00380B40" w:rsidRDefault="00C12517" w:rsidP="00D559E0">
            <w:pPr>
              <w:keepNext/>
              <w:rPr>
                <w:b/>
                <w:bCs/>
                <w:szCs w:val="24"/>
                <w:lang w:val="en-GB"/>
              </w:rPr>
            </w:pPr>
            <w:r w:rsidRPr="00380B40">
              <w:rPr>
                <w:b/>
                <w:bCs/>
                <w:szCs w:val="24"/>
                <w:lang w:val="en-GB"/>
              </w:rPr>
              <w:t>For information to:</w:t>
            </w:r>
          </w:p>
        </w:tc>
        <w:tc>
          <w:tcPr>
            <w:tcW w:w="7795" w:type="dxa"/>
            <w:gridSpan w:val="4"/>
            <w:shd w:val="clear" w:color="auto" w:fill="auto"/>
          </w:tcPr>
          <w:p w14:paraId="329346DC" w14:textId="77777777" w:rsidR="00C12517" w:rsidRPr="00380B40" w:rsidRDefault="00C12517" w:rsidP="00F55448">
            <w:pPr>
              <w:rPr>
                <w:b/>
                <w:lang w:val="en-GB"/>
              </w:rPr>
            </w:pPr>
            <w:r w:rsidRPr="00380B40">
              <w:rPr>
                <w:lang w:val="en-GB"/>
              </w:rPr>
              <w:t>ITU-R SG11, ISO/IEC JTC 1/SC 6</w:t>
            </w:r>
          </w:p>
        </w:tc>
      </w:tr>
      <w:tr w:rsidR="00C12517" w:rsidRPr="004E0F36" w14:paraId="0918279F" w14:textId="77777777" w:rsidTr="00302EF6">
        <w:trPr>
          <w:cantSplit/>
          <w:trHeight w:val="357"/>
        </w:trPr>
        <w:tc>
          <w:tcPr>
            <w:tcW w:w="2082" w:type="dxa"/>
            <w:shd w:val="clear" w:color="auto" w:fill="auto"/>
          </w:tcPr>
          <w:p w14:paraId="6F21093B" w14:textId="77777777" w:rsidR="00C12517" w:rsidRPr="00380B40" w:rsidRDefault="00C12517" w:rsidP="00D559E0">
            <w:pPr>
              <w:keepNext/>
              <w:rPr>
                <w:b/>
                <w:bCs/>
                <w:szCs w:val="24"/>
                <w:lang w:val="en-GB"/>
              </w:rPr>
            </w:pPr>
            <w:r w:rsidRPr="00380B40">
              <w:rPr>
                <w:b/>
                <w:bCs/>
                <w:szCs w:val="24"/>
                <w:lang w:val="en-GB"/>
              </w:rPr>
              <w:t>Approval:</w:t>
            </w:r>
          </w:p>
        </w:tc>
        <w:tc>
          <w:tcPr>
            <w:tcW w:w="7795" w:type="dxa"/>
            <w:gridSpan w:val="4"/>
            <w:shd w:val="clear" w:color="auto" w:fill="auto"/>
          </w:tcPr>
          <w:p w14:paraId="616C0C13" w14:textId="77777777" w:rsidR="00C12517" w:rsidRPr="00380B40" w:rsidRDefault="00C12517" w:rsidP="00F55448">
            <w:pPr>
              <w:rPr>
                <w:b/>
                <w:bCs/>
                <w:lang w:val="en-GB"/>
              </w:rPr>
            </w:pPr>
            <w:r w:rsidRPr="00380B40">
              <w:rPr>
                <w:lang w:val="en-GB"/>
              </w:rPr>
              <w:t>Q4/15 rapporteur group meeting (London, 6 October 2017)</w:t>
            </w:r>
          </w:p>
        </w:tc>
      </w:tr>
      <w:tr w:rsidR="00C12517" w:rsidRPr="00380B40" w14:paraId="24BBF8B5" w14:textId="77777777" w:rsidTr="00302EF6">
        <w:trPr>
          <w:cantSplit/>
          <w:trHeight w:val="357"/>
        </w:trPr>
        <w:tc>
          <w:tcPr>
            <w:tcW w:w="2082" w:type="dxa"/>
            <w:shd w:val="clear" w:color="auto" w:fill="auto"/>
          </w:tcPr>
          <w:p w14:paraId="7EB4B5C1" w14:textId="77777777" w:rsidR="00C12517" w:rsidRPr="00380B40" w:rsidRDefault="00C12517" w:rsidP="00D559E0">
            <w:pPr>
              <w:keepNext/>
              <w:rPr>
                <w:b/>
                <w:bCs/>
                <w:szCs w:val="24"/>
                <w:lang w:val="en-GB"/>
              </w:rPr>
            </w:pPr>
            <w:r w:rsidRPr="00380B40">
              <w:rPr>
                <w:b/>
                <w:bCs/>
                <w:szCs w:val="24"/>
                <w:lang w:val="en-GB"/>
              </w:rPr>
              <w:t>Deadline:</w:t>
            </w:r>
          </w:p>
        </w:tc>
        <w:tc>
          <w:tcPr>
            <w:tcW w:w="7795" w:type="dxa"/>
            <w:gridSpan w:val="4"/>
            <w:shd w:val="clear" w:color="auto" w:fill="auto"/>
          </w:tcPr>
          <w:p w14:paraId="75ADB9C0" w14:textId="77777777" w:rsidR="00C12517" w:rsidRPr="00380B40" w:rsidRDefault="00C12517" w:rsidP="00F55448">
            <w:pPr>
              <w:rPr>
                <w:b/>
                <w:lang w:val="en-GB"/>
              </w:rPr>
            </w:pPr>
            <w:r w:rsidRPr="00380B40">
              <w:rPr>
                <w:lang w:val="en-GB"/>
              </w:rPr>
              <w:t>22 January 2018</w:t>
            </w:r>
          </w:p>
        </w:tc>
      </w:tr>
      <w:tr w:rsidR="00C12517" w:rsidRPr="00380B40" w14:paraId="34B76F09" w14:textId="77777777" w:rsidTr="00302EF6">
        <w:trPr>
          <w:cantSplit/>
          <w:trHeight w:val="204"/>
        </w:trPr>
        <w:tc>
          <w:tcPr>
            <w:tcW w:w="2082" w:type="dxa"/>
            <w:shd w:val="clear" w:color="auto" w:fill="auto"/>
          </w:tcPr>
          <w:p w14:paraId="5A40F844" w14:textId="77777777" w:rsidR="00C12517" w:rsidRPr="00380B40" w:rsidRDefault="00C12517" w:rsidP="00D559E0">
            <w:pPr>
              <w:keepNext/>
              <w:rPr>
                <w:b/>
                <w:bCs/>
                <w:szCs w:val="24"/>
                <w:lang w:val="en-GB"/>
              </w:rPr>
            </w:pPr>
            <w:r w:rsidRPr="00380B40">
              <w:rPr>
                <w:b/>
                <w:bCs/>
                <w:szCs w:val="24"/>
                <w:lang w:val="en-GB"/>
              </w:rPr>
              <w:t>Contact:</w:t>
            </w:r>
          </w:p>
        </w:tc>
        <w:tc>
          <w:tcPr>
            <w:tcW w:w="4252" w:type="dxa"/>
            <w:gridSpan w:val="3"/>
            <w:shd w:val="clear" w:color="auto" w:fill="auto"/>
          </w:tcPr>
          <w:p w14:paraId="0981319B" w14:textId="77777777" w:rsidR="00C12517" w:rsidRPr="00380B40" w:rsidRDefault="00C12517" w:rsidP="00E36F7A">
            <w:pPr>
              <w:keepNext/>
              <w:jc w:val="left"/>
              <w:rPr>
                <w:szCs w:val="24"/>
                <w:lang w:val="en-GB"/>
              </w:rPr>
            </w:pPr>
            <w:r w:rsidRPr="00380B40">
              <w:rPr>
                <w:szCs w:val="24"/>
                <w:lang w:val="en-GB"/>
              </w:rPr>
              <w:t>John Jones, rapporteur for Q4/15</w:t>
            </w:r>
            <w:r w:rsidR="00E36F7A" w:rsidRPr="00380B40">
              <w:rPr>
                <w:szCs w:val="24"/>
                <w:lang w:val="en-GB"/>
              </w:rPr>
              <w:br/>
            </w:r>
            <w:r w:rsidRPr="00380B40">
              <w:rPr>
                <w:szCs w:val="24"/>
                <w:lang w:val="en-GB"/>
              </w:rPr>
              <w:t>ABC Company</w:t>
            </w:r>
            <w:r w:rsidR="00E36F7A" w:rsidRPr="00380B40">
              <w:rPr>
                <w:szCs w:val="24"/>
                <w:lang w:val="en-GB"/>
              </w:rPr>
              <w:br/>
            </w:r>
            <w:r w:rsidRPr="00380B40">
              <w:rPr>
                <w:szCs w:val="24"/>
                <w:lang w:val="en-GB"/>
              </w:rPr>
              <w:t>USA</w:t>
            </w:r>
          </w:p>
        </w:tc>
        <w:tc>
          <w:tcPr>
            <w:tcW w:w="3543" w:type="dxa"/>
            <w:shd w:val="clear" w:color="auto" w:fill="auto"/>
          </w:tcPr>
          <w:p w14:paraId="3C58C62D" w14:textId="77777777" w:rsidR="00C12517" w:rsidRPr="00380B40" w:rsidRDefault="00C12517" w:rsidP="00E36F7A">
            <w:pPr>
              <w:keepNext/>
              <w:jc w:val="left"/>
              <w:rPr>
                <w:lang w:val="en-GB"/>
              </w:rPr>
            </w:pPr>
            <w:r w:rsidRPr="00380B40">
              <w:rPr>
                <w:lang w:val="en-GB"/>
              </w:rPr>
              <w:t>Tel: +1 576 980 9987</w:t>
            </w:r>
            <w:r w:rsidR="00E36F7A" w:rsidRPr="00380B40">
              <w:rPr>
                <w:lang w:val="en-GB"/>
              </w:rPr>
              <w:br/>
            </w:r>
            <w:r w:rsidRPr="00380B40">
              <w:rPr>
                <w:lang w:val="en-GB"/>
              </w:rPr>
              <w:t>Fax: +1 576 980 9956</w:t>
            </w:r>
            <w:r w:rsidR="00E36F7A" w:rsidRPr="00380B40">
              <w:rPr>
                <w:lang w:val="en-GB"/>
              </w:rPr>
              <w:br/>
            </w:r>
            <w:r w:rsidRPr="00380B40">
              <w:rPr>
                <w:lang w:val="en-GB"/>
              </w:rPr>
              <w:t xml:space="preserve">E-mail: </w:t>
            </w:r>
            <w:hyperlink r:id="rId356" w:history="1">
              <w:r w:rsidR="00F55448" w:rsidRPr="00380B40">
                <w:rPr>
                  <w:rStyle w:val="Hyperlink"/>
                  <w:lang w:val="en-GB"/>
                </w:rPr>
                <w:t>jj@abcco.com</w:t>
              </w:r>
            </w:hyperlink>
            <w:r w:rsidR="00F55448" w:rsidRPr="00380B40">
              <w:rPr>
                <w:lang w:val="en-GB"/>
              </w:rPr>
              <w:t xml:space="preserve"> </w:t>
            </w:r>
          </w:p>
        </w:tc>
      </w:tr>
    </w:tbl>
    <w:p w14:paraId="2AD08859" w14:textId="77777777" w:rsidR="00C12517" w:rsidRPr="00380B40" w:rsidRDefault="00C12517" w:rsidP="00F55448">
      <w:pPr>
        <w:pStyle w:val="FigureNoTitle1"/>
      </w:pPr>
      <w:bookmarkStart w:id="600" w:name="_Hlk105417766"/>
      <w:r w:rsidRPr="00380B40">
        <w:t>Figure 1-1 – Example of the information required in</w:t>
      </w:r>
      <w:r w:rsidRPr="00380B40">
        <w:rPr>
          <w:spacing w:val="1"/>
        </w:rPr>
        <w:t xml:space="preserve"> </w:t>
      </w:r>
      <w:r w:rsidRPr="00380B40">
        <w:t>a liaison</w:t>
      </w:r>
      <w:r w:rsidRPr="00380B40">
        <w:rPr>
          <w:spacing w:val="1"/>
        </w:rPr>
        <w:t xml:space="preserve"> </w:t>
      </w:r>
      <w:r w:rsidRPr="00380B40">
        <w:t>statement</w:t>
      </w:r>
      <w:bookmarkEnd w:id="599"/>
      <w:bookmarkEnd w:id="600"/>
    </w:p>
    <w:p w14:paraId="1D0B8BE3" w14:textId="77777777" w:rsidR="00C12517" w:rsidRPr="00380B40" w:rsidRDefault="00C12517" w:rsidP="00C12517">
      <w:pPr>
        <w:rPr>
          <w:spacing w:val="-1"/>
          <w:lang w:val="en-GB"/>
        </w:rPr>
      </w:pPr>
      <w:r w:rsidRPr="00380B40">
        <w:rPr>
          <w:b/>
          <w:bCs/>
          <w:lang w:val="en-GB"/>
        </w:rPr>
        <w:t>1.5.2</w:t>
      </w:r>
      <w:r w:rsidRPr="00380B40">
        <w:rPr>
          <w:lang w:val="en-GB"/>
        </w:rPr>
        <w:tab/>
      </w:r>
      <w:r w:rsidRPr="00380B40">
        <w:rPr>
          <w:spacing w:val="-1"/>
          <w:lang w:val="en-GB"/>
        </w:rPr>
        <w:t>Liaison</w:t>
      </w:r>
      <w:r w:rsidRPr="00380B40">
        <w:rPr>
          <w:spacing w:val="36"/>
          <w:lang w:val="en-GB"/>
        </w:rPr>
        <w:t xml:space="preserve"> </w:t>
      </w:r>
      <w:r w:rsidRPr="00380B40">
        <w:rPr>
          <w:spacing w:val="-1"/>
          <w:lang w:val="en-GB"/>
        </w:rPr>
        <w:t>statements</w:t>
      </w:r>
      <w:r w:rsidRPr="00380B40">
        <w:rPr>
          <w:spacing w:val="36"/>
          <w:lang w:val="en-GB"/>
        </w:rPr>
        <w:t xml:space="preserve"> </w:t>
      </w:r>
      <w:r w:rsidRPr="00380B40">
        <w:rPr>
          <w:lang w:val="en-GB"/>
        </w:rPr>
        <w:t>should</w:t>
      </w:r>
      <w:r w:rsidRPr="00380B40">
        <w:rPr>
          <w:spacing w:val="35"/>
          <w:lang w:val="en-GB"/>
        </w:rPr>
        <w:t xml:space="preserve"> </w:t>
      </w:r>
      <w:r w:rsidRPr="00380B40">
        <w:rPr>
          <w:lang w:val="en-GB"/>
        </w:rPr>
        <w:t>be</w:t>
      </w:r>
      <w:r w:rsidRPr="00380B40">
        <w:rPr>
          <w:spacing w:val="34"/>
          <w:lang w:val="en-GB"/>
        </w:rPr>
        <w:t xml:space="preserve"> </w:t>
      </w:r>
      <w:r w:rsidRPr="00380B40">
        <w:rPr>
          <w:spacing w:val="-1"/>
          <w:lang w:val="en-GB"/>
        </w:rPr>
        <w:t>forwarded</w:t>
      </w:r>
      <w:r w:rsidRPr="00380B40">
        <w:rPr>
          <w:spacing w:val="37"/>
          <w:lang w:val="en-GB"/>
        </w:rPr>
        <w:t xml:space="preserve"> </w:t>
      </w:r>
      <w:r w:rsidRPr="00380B40">
        <w:rPr>
          <w:lang w:val="en-GB"/>
        </w:rPr>
        <w:t>to</w:t>
      </w:r>
      <w:r w:rsidRPr="00380B40">
        <w:rPr>
          <w:spacing w:val="36"/>
          <w:lang w:val="en-GB"/>
        </w:rPr>
        <w:t xml:space="preserve"> </w:t>
      </w:r>
      <w:r w:rsidRPr="00380B40">
        <w:rPr>
          <w:lang w:val="en-GB"/>
        </w:rPr>
        <w:t>the</w:t>
      </w:r>
      <w:r w:rsidRPr="00380B40">
        <w:rPr>
          <w:spacing w:val="35"/>
          <w:lang w:val="en-GB"/>
        </w:rPr>
        <w:t xml:space="preserve"> </w:t>
      </w:r>
      <w:r w:rsidRPr="00380B40">
        <w:rPr>
          <w:spacing w:val="-1"/>
          <w:lang w:val="en-GB"/>
        </w:rPr>
        <w:t>appropriate</w:t>
      </w:r>
      <w:r w:rsidRPr="00380B40">
        <w:rPr>
          <w:spacing w:val="35"/>
          <w:lang w:val="en-GB"/>
        </w:rPr>
        <w:t xml:space="preserve"> </w:t>
      </w:r>
      <w:r w:rsidRPr="00380B40">
        <w:rPr>
          <w:spacing w:val="-1"/>
          <w:lang w:val="en-GB"/>
        </w:rPr>
        <w:t>destinations</w:t>
      </w:r>
      <w:r w:rsidRPr="00380B40">
        <w:rPr>
          <w:spacing w:val="36"/>
          <w:lang w:val="en-GB"/>
        </w:rPr>
        <w:t xml:space="preserve"> </w:t>
      </w:r>
      <w:r w:rsidRPr="00380B40">
        <w:rPr>
          <w:lang w:val="en-GB"/>
        </w:rPr>
        <w:t>as</w:t>
      </w:r>
      <w:r w:rsidRPr="00380B40">
        <w:rPr>
          <w:spacing w:val="36"/>
          <w:lang w:val="en-GB"/>
        </w:rPr>
        <w:t xml:space="preserve"> </w:t>
      </w:r>
      <w:r w:rsidRPr="00380B40">
        <w:rPr>
          <w:lang w:val="en-GB"/>
        </w:rPr>
        <w:t>soon</w:t>
      </w:r>
      <w:r w:rsidRPr="00380B40">
        <w:rPr>
          <w:spacing w:val="36"/>
          <w:lang w:val="en-GB"/>
        </w:rPr>
        <w:t xml:space="preserve"> </w:t>
      </w:r>
      <w:r w:rsidRPr="00380B40">
        <w:rPr>
          <w:spacing w:val="-1"/>
          <w:lang w:val="en-GB"/>
        </w:rPr>
        <w:t>after</w:t>
      </w:r>
      <w:r w:rsidRPr="00380B40">
        <w:rPr>
          <w:spacing w:val="35"/>
          <w:lang w:val="en-GB"/>
        </w:rPr>
        <w:t xml:space="preserve"> </w:t>
      </w:r>
      <w:r w:rsidRPr="00380B40">
        <w:rPr>
          <w:lang w:val="en-GB"/>
        </w:rPr>
        <w:t>the</w:t>
      </w:r>
      <w:r w:rsidRPr="00380B40">
        <w:rPr>
          <w:spacing w:val="85"/>
          <w:lang w:val="en-GB"/>
        </w:rPr>
        <w:t xml:space="preserve"> </w:t>
      </w:r>
      <w:r w:rsidRPr="00380B40">
        <w:rPr>
          <w:spacing w:val="-1"/>
          <w:lang w:val="en-GB"/>
        </w:rPr>
        <w:t>meeting as</w:t>
      </w:r>
      <w:r w:rsidRPr="00380B40">
        <w:rPr>
          <w:lang w:val="en-GB"/>
        </w:rPr>
        <w:t xml:space="preserve"> </w:t>
      </w:r>
      <w:r w:rsidRPr="00380B40">
        <w:rPr>
          <w:spacing w:val="-1"/>
          <w:lang w:val="en-GB"/>
        </w:rPr>
        <w:t>possible.</w:t>
      </w:r>
      <w:r w:rsidRPr="00380B40">
        <w:rPr>
          <w:lang w:val="en-GB"/>
        </w:rPr>
        <w:t xml:space="preserve"> Copies of</w:t>
      </w:r>
      <w:r w:rsidRPr="00380B40">
        <w:rPr>
          <w:spacing w:val="-1"/>
          <w:lang w:val="en-GB"/>
        </w:rPr>
        <w:t xml:space="preserve"> all</w:t>
      </w:r>
      <w:r w:rsidRPr="00380B40">
        <w:rPr>
          <w:lang w:val="en-GB"/>
        </w:rPr>
        <w:t xml:space="preserve"> </w:t>
      </w:r>
      <w:r w:rsidRPr="00380B40">
        <w:rPr>
          <w:spacing w:val="-1"/>
          <w:lang w:val="en-GB"/>
        </w:rPr>
        <w:t>liaison</w:t>
      </w:r>
      <w:r w:rsidRPr="00380B40">
        <w:rPr>
          <w:lang w:val="en-GB"/>
        </w:rPr>
        <w:t xml:space="preserve"> statements should also be</w:t>
      </w:r>
      <w:r w:rsidRPr="00380B40">
        <w:rPr>
          <w:spacing w:val="-1"/>
          <w:lang w:val="en-GB"/>
        </w:rPr>
        <w:t xml:space="preserve"> </w:t>
      </w:r>
      <w:r w:rsidRPr="00380B40">
        <w:rPr>
          <w:lang w:val="en-GB"/>
        </w:rPr>
        <w:t>sent</w:t>
      </w:r>
      <w:r w:rsidRPr="00380B40">
        <w:rPr>
          <w:spacing w:val="5"/>
          <w:lang w:val="en-GB"/>
        </w:rPr>
        <w:t xml:space="preserve"> </w:t>
      </w:r>
      <w:r w:rsidRPr="00380B40">
        <w:rPr>
          <w:lang w:val="en-GB"/>
        </w:rPr>
        <w:t xml:space="preserve">to </w:t>
      </w:r>
      <w:r w:rsidRPr="00380B40">
        <w:rPr>
          <w:spacing w:val="1"/>
          <w:lang w:val="en-GB"/>
        </w:rPr>
        <w:t>the</w:t>
      </w:r>
      <w:r w:rsidRPr="00380B40">
        <w:rPr>
          <w:spacing w:val="-1"/>
          <w:lang w:val="en-GB"/>
        </w:rPr>
        <w:t xml:space="preserve"> chairmen</w:t>
      </w:r>
      <w:r w:rsidRPr="00380B40">
        <w:rPr>
          <w:lang w:val="en-GB"/>
        </w:rPr>
        <w:t xml:space="preserve"> of</w:t>
      </w:r>
      <w:r w:rsidRPr="00380B40">
        <w:rPr>
          <w:spacing w:val="1"/>
          <w:lang w:val="en-GB"/>
        </w:rPr>
        <w:t xml:space="preserve"> </w:t>
      </w:r>
      <w:r w:rsidRPr="00380B40">
        <w:rPr>
          <w:lang w:val="en-GB"/>
        </w:rPr>
        <w:t>the study</w:t>
      </w:r>
      <w:r w:rsidRPr="00380B40">
        <w:rPr>
          <w:spacing w:val="76"/>
          <w:lang w:val="en-GB"/>
        </w:rPr>
        <w:t xml:space="preserve"> </w:t>
      </w:r>
      <w:r w:rsidRPr="00380B40">
        <w:rPr>
          <w:spacing w:val="-1"/>
          <w:lang w:val="en-GB"/>
        </w:rPr>
        <w:t>groups</w:t>
      </w:r>
      <w:r w:rsidRPr="00380B40">
        <w:rPr>
          <w:spacing w:val="1"/>
          <w:lang w:val="en-GB"/>
        </w:rPr>
        <w:t xml:space="preserve"> </w:t>
      </w:r>
      <w:r w:rsidRPr="00380B40">
        <w:rPr>
          <w:spacing w:val="-1"/>
          <w:lang w:val="en-GB"/>
        </w:rPr>
        <w:t>and</w:t>
      </w:r>
      <w:r w:rsidRPr="00380B40">
        <w:rPr>
          <w:lang w:val="en-GB"/>
        </w:rPr>
        <w:t xml:space="preserve"> working</w:t>
      </w:r>
      <w:r w:rsidRPr="00380B40">
        <w:rPr>
          <w:spacing w:val="-3"/>
          <w:lang w:val="en-GB"/>
        </w:rPr>
        <w:t xml:space="preserve"> </w:t>
      </w:r>
      <w:r w:rsidRPr="00380B40">
        <w:rPr>
          <w:lang w:val="en-GB"/>
        </w:rPr>
        <w:t xml:space="preserve">parties involved </w:t>
      </w:r>
      <w:r w:rsidRPr="00380B40">
        <w:rPr>
          <w:spacing w:val="-1"/>
          <w:lang w:val="en-GB"/>
        </w:rPr>
        <w:t>for</w:t>
      </w:r>
      <w:r w:rsidRPr="00380B40">
        <w:rPr>
          <w:lang w:val="en-GB"/>
        </w:rPr>
        <w:t xml:space="preserve"> information </w:t>
      </w:r>
      <w:r w:rsidRPr="00380B40">
        <w:rPr>
          <w:spacing w:val="-1"/>
          <w:lang w:val="en-GB"/>
        </w:rPr>
        <w:t>and</w:t>
      </w:r>
      <w:r w:rsidRPr="00380B40">
        <w:rPr>
          <w:lang w:val="en-GB"/>
        </w:rPr>
        <w:t xml:space="preserve"> to TSB</w:t>
      </w:r>
      <w:r w:rsidRPr="00380B40">
        <w:rPr>
          <w:spacing w:val="-2"/>
          <w:lang w:val="en-GB"/>
        </w:rPr>
        <w:t xml:space="preserve"> </w:t>
      </w:r>
      <w:r w:rsidRPr="00380B40">
        <w:rPr>
          <w:lang w:val="en-GB"/>
        </w:rPr>
        <w:t>for</w:t>
      </w:r>
      <w:r w:rsidRPr="00380B40">
        <w:rPr>
          <w:spacing w:val="-2"/>
          <w:lang w:val="en-GB"/>
        </w:rPr>
        <w:t xml:space="preserve"> </w:t>
      </w:r>
      <w:r w:rsidRPr="00380B40">
        <w:rPr>
          <w:spacing w:val="-1"/>
          <w:lang w:val="en-GB"/>
        </w:rPr>
        <w:t>processing.</w:t>
      </w:r>
    </w:p>
    <w:p w14:paraId="5F0236DD" w14:textId="77777777" w:rsidR="00DB6A21" w:rsidRPr="00380B40" w:rsidRDefault="00DB6A21" w:rsidP="00C12517">
      <w:pPr>
        <w:rPr>
          <w:spacing w:val="-1"/>
          <w:lang w:val="en-GB"/>
        </w:rPr>
      </w:pPr>
      <w:r w:rsidRPr="00380B40">
        <w:rPr>
          <w:spacing w:val="-1"/>
          <w:lang w:val="en-GB"/>
        </w:rPr>
        <w:br w:type="page"/>
      </w:r>
    </w:p>
    <w:p w14:paraId="72FFAD59" w14:textId="77777777" w:rsidR="00C12517" w:rsidRPr="00380B40" w:rsidRDefault="00C12517" w:rsidP="00C12517">
      <w:pPr>
        <w:pStyle w:val="Heading2"/>
        <w:tabs>
          <w:tab w:val="left" w:pos="908"/>
        </w:tabs>
        <w:rPr>
          <w:b w:val="0"/>
          <w:bCs/>
          <w:lang w:val="en-GB"/>
        </w:rPr>
      </w:pPr>
      <w:bookmarkStart w:id="601" w:name="_Toc471716641"/>
      <w:bookmarkStart w:id="602" w:name="_Toc20738313"/>
      <w:bookmarkStart w:id="603" w:name="_Toc21093727"/>
      <w:bookmarkStart w:id="604" w:name="_Toc22280336"/>
      <w:bookmarkStart w:id="605" w:name="_Toc111636832"/>
      <w:r w:rsidRPr="00380B40">
        <w:rPr>
          <w:lang w:val="en-GB"/>
        </w:rPr>
        <w:t>1.6</w:t>
      </w:r>
      <w:r w:rsidRPr="00380B40">
        <w:rPr>
          <w:lang w:val="en-GB"/>
        </w:rPr>
        <w:tab/>
      </w:r>
      <w:bookmarkStart w:id="606" w:name="_Toc532428458"/>
      <w:r w:rsidRPr="00380B40">
        <w:rPr>
          <w:spacing w:val="-1"/>
          <w:lang w:val="en-GB"/>
        </w:rPr>
        <w:t xml:space="preserve">Correspondence </w:t>
      </w:r>
      <w:r w:rsidRPr="00380B40">
        <w:rPr>
          <w:lang w:val="en-GB"/>
        </w:rPr>
        <w:t>activities</w:t>
      </w:r>
      <w:bookmarkEnd w:id="601"/>
      <w:bookmarkEnd w:id="602"/>
      <w:bookmarkEnd w:id="603"/>
      <w:bookmarkEnd w:id="604"/>
      <w:bookmarkEnd w:id="605"/>
      <w:bookmarkEnd w:id="606"/>
    </w:p>
    <w:p w14:paraId="55AA3334" w14:textId="77777777" w:rsidR="00C12517" w:rsidRPr="00380B40" w:rsidRDefault="00C12517" w:rsidP="00C12517">
      <w:pPr>
        <w:rPr>
          <w:lang w:val="en-GB"/>
        </w:rPr>
      </w:pPr>
      <w:r w:rsidRPr="00380B40">
        <w:rPr>
          <w:lang w:val="en-GB"/>
        </w:rPr>
        <w:t>A correspondence</w:t>
      </w:r>
      <w:r w:rsidRPr="00380B40">
        <w:rPr>
          <w:spacing w:val="27"/>
          <w:lang w:val="en-GB"/>
        </w:rPr>
        <w:t xml:space="preserve"> </w:t>
      </w:r>
      <w:r w:rsidRPr="00380B40">
        <w:rPr>
          <w:lang w:val="en-GB"/>
        </w:rPr>
        <w:t>activity on a particular topic</w:t>
      </w:r>
      <w:r w:rsidRPr="00380B40">
        <w:rPr>
          <w:spacing w:val="25"/>
          <w:lang w:val="en-GB"/>
        </w:rPr>
        <w:t xml:space="preserve"> </w:t>
      </w:r>
      <w:r w:rsidRPr="00380B40">
        <w:rPr>
          <w:spacing w:val="1"/>
          <w:lang w:val="en-GB"/>
        </w:rPr>
        <w:t>may</w:t>
      </w:r>
      <w:r w:rsidRPr="00380B40">
        <w:rPr>
          <w:spacing w:val="21"/>
          <w:lang w:val="en-GB"/>
        </w:rPr>
        <w:t xml:space="preserve"> </w:t>
      </w:r>
      <w:r w:rsidRPr="00380B40">
        <w:rPr>
          <w:lang w:val="en-GB"/>
        </w:rPr>
        <w:t>be</w:t>
      </w:r>
      <w:r w:rsidRPr="00380B40">
        <w:rPr>
          <w:spacing w:val="27"/>
          <w:lang w:val="en-GB"/>
        </w:rPr>
        <w:t xml:space="preserve"> </w:t>
      </w:r>
      <w:r w:rsidRPr="00380B40">
        <w:rPr>
          <w:lang w:val="en-GB"/>
        </w:rPr>
        <w:t>authorized</w:t>
      </w:r>
      <w:r w:rsidRPr="00380B40">
        <w:rPr>
          <w:spacing w:val="26"/>
          <w:lang w:val="en-GB"/>
        </w:rPr>
        <w:t xml:space="preserve"> </w:t>
      </w:r>
      <w:r w:rsidRPr="00380B40">
        <w:rPr>
          <w:lang w:val="en-GB"/>
        </w:rPr>
        <w:t>to</w:t>
      </w:r>
      <w:r w:rsidRPr="00380B40">
        <w:rPr>
          <w:spacing w:val="31"/>
          <w:lang w:val="en-GB"/>
        </w:rPr>
        <w:t xml:space="preserve"> </w:t>
      </w:r>
      <w:r w:rsidRPr="00380B40">
        <w:rPr>
          <w:lang w:val="en-GB"/>
        </w:rPr>
        <w:t>be</w:t>
      </w:r>
      <w:r w:rsidRPr="00380B40">
        <w:rPr>
          <w:spacing w:val="25"/>
          <w:lang w:val="en-GB"/>
        </w:rPr>
        <w:t xml:space="preserve"> </w:t>
      </w:r>
      <w:r w:rsidRPr="00380B40">
        <w:rPr>
          <w:lang w:val="en-GB"/>
        </w:rPr>
        <w:t>conducted</w:t>
      </w:r>
      <w:r w:rsidRPr="00380B40">
        <w:rPr>
          <w:spacing w:val="25"/>
          <w:lang w:val="en-GB"/>
        </w:rPr>
        <w:t xml:space="preserve"> </w:t>
      </w:r>
      <w:r w:rsidRPr="00380B40">
        <w:rPr>
          <w:lang w:val="en-GB"/>
        </w:rPr>
        <w:t>via</w:t>
      </w:r>
      <w:r w:rsidRPr="00380B40">
        <w:rPr>
          <w:spacing w:val="27"/>
          <w:lang w:val="en-GB"/>
        </w:rPr>
        <w:t xml:space="preserve"> </w:t>
      </w:r>
      <w:r w:rsidRPr="00380B40">
        <w:rPr>
          <w:spacing w:val="1"/>
          <w:lang w:val="en-GB"/>
        </w:rPr>
        <w:t>e</w:t>
      </w:r>
      <w:r w:rsidRPr="00380B40">
        <w:rPr>
          <w:lang w:val="en-GB"/>
        </w:rPr>
        <w:noBreakHyphen/>
      </w:r>
      <w:r w:rsidRPr="00380B40">
        <w:rPr>
          <w:spacing w:val="1"/>
          <w:lang w:val="en-GB"/>
        </w:rPr>
        <w:t>mail</w:t>
      </w:r>
      <w:r w:rsidRPr="00380B40">
        <w:rPr>
          <w:spacing w:val="26"/>
          <w:lang w:val="en-GB"/>
        </w:rPr>
        <w:t xml:space="preserve"> </w:t>
      </w:r>
      <w:r w:rsidRPr="00380B40">
        <w:rPr>
          <w:lang w:val="en-GB"/>
        </w:rPr>
        <w:t>between</w:t>
      </w:r>
      <w:r w:rsidRPr="00380B40">
        <w:rPr>
          <w:spacing w:val="26"/>
          <w:lang w:val="en-GB"/>
        </w:rPr>
        <w:t xml:space="preserve"> </w:t>
      </w:r>
      <w:r w:rsidRPr="00380B40">
        <w:rPr>
          <w:lang w:val="en-GB"/>
        </w:rPr>
        <w:t>meetings.</w:t>
      </w:r>
      <w:r w:rsidRPr="00380B40">
        <w:rPr>
          <w:spacing w:val="28"/>
          <w:lang w:val="en-GB"/>
        </w:rPr>
        <w:t xml:space="preserve"> </w:t>
      </w:r>
      <w:r w:rsidRPr="00380B40">
        <w:rPr>
          <w:lang w:val="en-GB"/>
        </w:rPr>
        <w:t>Each</w:t>
      </w:r>
      <w:r w:rsidRPr="00380B40">
        <w:rPr>
          <w:spacing w:val="89"/>
          <w:lang w:val="en-GB"/>
        </w:rPr>
        <w:t xml:space="preserve"> </w:t>
      </w:r>
      <w:r w:rsidRPr="00380B40">
        <w:rPr>
          <w:lang w:val="en-GB"/>
        </w:rPr>
        <w:t>correspondence</w:t>
      </w:r>
      <w:r w:rsidRPr="00380B40">
        <w:rPr>
          <w:spacing w:val="58"/>
          <w:lang w:val="en-GB"/>
        </w:rPr>
        <w:t xml:space="preserve"> </w:t>
      </w:r>
      <w:r w:rsidRPr="00380B40">
        <w:rPr>
          <w:lang w:val="en-GB"/>
        </w:rPr>
        <w:t>activity</w:t>
      </w:r>
      <w:r w:rsidRPr="00380B40">
        <w:rPr>
          <w:spacing w:val="57"/>
          <w:lang w:val="en-GB"/>
        </w:rPr>
        <w:t xml:space="preserve"> </w:t>
      </w:r>
      <w:r w:rsidRPr="00380B40">
        <w:rPr>
          <w:lang w:val="en-GB"/>
        </w:rPr>
        <w:t>should</w:t>
      </w:r>
      <w:r w:rsidRPr="00380B40">
        <w:rPr>
          <w:spacing w:val="57"/>
          <w:lang w:val="en-GB"/>
        </w:rPr>
        <w:t xml:space="preserve"> </w:t>
      </w:r>
      <w:r w:rsidRPr="00380B40">
        <w:rPr>
          <w:lang w:val="en-GB"/>
        </w:rPr>
        <w:t>have</w:t>
      </w:r>
      <w:r w:rsidRPr="00380B40">
        <w:rPr>
          <w:spacing w:val="58"/>
          <w:lang w:val="en-GB"/>
        </w:rPr>
        <w:t xml:space="preserve"> </w:t>
      </w:r>
      <w:r w:rsidRPr="00380B40">
        <w:rPr>
          <w:lang w:val="en-GB"/>
        </w:rPr>
        <w:t>specified</w:t>
      </w:r>
      <w:r w:rsidRPr="00380B40">
        <w:rPr>
          <w:spacing w:val="59"/>
          <w:lang w:val="en-GB"/>
        </w:rPr>
        <w:t xml:space="preserve"> </w:t>
      </w:r>
      <w:r w:rsidRPr="00380B40">
        <w:rPr>
          <w:lang w:val="en-GB"/>
        </w:rPr>
        <w:t>terms</w:t>
      </w:r>
      <w:r w:rsidRPr="00380B40">
        <w:rPr>
          <w:spacing w:val="58"/>
          <w:lang w:val="en-GB"/>
        </w:rPr>
        <w:t xml:space="preserve"> </w:t>
      </w:r>
      <w:r w:rsidRPr="00380B40">
        <w:rPr>
          <w:lang w:val="en-GB"/>
        </w:rPr>
        <w:t>of</w:t>
      </w:r>
      <w:r w:rsidRPr="00380B40">
        <w:rPr>
          <w:spacing w:val="59"/>
          <w:lang w:val="en-GB"/>
        </w:rPr>
        <w:t xml:space="preserve"> </w:t>
      </w:r>
      <w:r w:rsidRPr="00380B40">
        <w:rPr>
          <w:lang w:val="en-GB"/>
        </w:rPr>
        <w:t>reference.</w:t>
      </w:r>
      <w:r w:rsidRPr="00380B40">
        <w:rPr>
          <w:spacing w:val="59"/>
          <w:lang w:val="en-GB"/>
        </w:rPr>
        <w:t xml:space="preserve"> </w:t>
      </w:r>
      <w:r w:rsidRPr="00380B40">
        <w:rPr>
          <w:lang w:val="en-GB"/>
        </w:rPr>
        <w:t>A</w:t>
      </w:r>
      <w:r w:rsidRPr="00380B40">
        <w:rPr>
          <w:spacing w:val="59"/>
          <w:lang w:val="en-GB"/>
        </w:rPr>
        <w:t xml:space="preserve"> </w:t>
      </w:r>
      <w:r w:rsidRPr="00380B40">
        <w:rPr>
          <w:lang w:val="en-GB"/>
        </w:rPr>
        <w:t>convener</w:t>
      </w:r>
      <w:r w:rsidRPr="00380B40">
        <w:rPr>
          <w:spacing w:val="56"/>
          <w:lang w:val="en-GB"/>
        </w:rPr>
        <w:t xml:space="preserve"> </w:t>
      </w:r>
      <w:r w:rsidRPr="00380B40">
        <w:rPr>
          <w:lang w:val="en-GB"/>
        </w:rPr>
        <w:t>is appointed</w:t>
      </w:r>
      <w:r w:rsidRPr="00380B40">
        <w:rPr>
          <w:spacing w:val="57"/>
          <w:lang w:val="en-GB"/>
        </w:rPr>
        <w:t xml:space="preserve"> </w:t>
      </w:r>
      <w:r w:rsidRPr="00380B40">
        <w:rPr>
          <w:lang w:val="en-GB"/>
        </w:rPr>
        <w:t>to</w:t>
      </w:r>
      <w:r w:rsidRPr="00380B40">
        <w:rPr>
          <w:spacing w:val="95"/>
          <w:lang w:val="en-GB"/>
        </w:rPr>
        <w:t xml:space="preserve"> </w:t>
      </w:r>
      <w:r w:rsidRPr="00380B40">
        <w:rPr>
          <w:lang w:val="en-GB"/>
        </w:rPr>
        <w:t>moderate</w:t>
      </w:r>
      <w:r w:rsidRPr="00380B40">
        <w:rPr>
          <w:spacing w:val="32"/>
          <w:lang w:val="en-GB"/>
        </w:rPr>
        <w:t xml:space="preserve"> </w:t>
      </w:r>
      <w:r w:rsidRPr="00380B40">
        <w:rPr>
          <w:lang w:val="en-GB"/>
        </w:rPr>
        <w:t>the</w:t>
      </w:r>
      <w:r w:rsidRPr="00380B40">
        <w:rPr>
          <w:spacing w:val="35"/>
          <w:lang w:val="en-GB"/>
        </w:rPr>
        <w:t xml:space="preserve"> </w:t>
      </w:r>
      <w:r w:rsidRPr="00380B40">
        <w:rPr>
          <w:lang w:val="en-GB"/>
        </w:rPr>
        <w:t>e</w:t>
      </w:r>
      <w:r w:rsidRPr="00380B40">
        <w:rPr>
          <w:lang w:val="en-GB"/>
        </w:rPr>
        <w:noBreakHyphen/>
        <w:t>mail</w:t>
      </w:r>
      <w:r w:rsidRPr="00380B40">
        <w:rPr>
          <w:spacing w:val="33"/>
          <w:lang w:val="en-GB"/>
        </w:rPr>
        <w:t xml:space="preserve"> </w:t>
      </w:r>
      <w:r w:rsidRPr="00380B40">
        <w:rPr>
          <w:lang w:val="en-GB"/>
        </w:rPr>
        <w:t>discussion</w:t>
      </w:r>
      <w:r w:rsidRPr="00380B40">
        <w:rPr>
          <w:spacing w:val="33"/>
          <w:lang w:val="en-GB"/>
        </w:rPr>
        <w:t xml:space="preserve"> </w:t>
      </w:r>
      <w:r w:rsidRPr="00380B40">
        <w:rPr>
          <w:lang w:val="en-GB"/>
        </w:rPr>
        <w:t>and</w:t>
      </w:r>
      <w:r w:rsidRPr="00380B40">
        <w:rPr>
          <w:spacing w:val="33"/>
          <w:lang w:val="en-GB"/>
        </w:rPr>
        <w:t xml:space="preserve"> </w:t>
      </w:r>
      <w:r w:rsidRPr="00380B40">
        <w:rPr>
          <w:lang w:val="en-GB"/>
        </w:rPr>
        <w:t>prepare</w:t>
      </w:r>
      <w:r w:rsidRPr="00380B40">
        <w:rPr>
          <w:spacing w:val="32"/>
          <w:lang w:val="en-GB"/>
        </w:rPr>
        <w:t xml:space="preserve"> </w:t>
      </w:r>
      <w:r w:rsidRPr="00380B40">
        <w:rPr>
          <w:lang w:val="en-GB"/>
        </w:rPr>
        <w:t>a</w:t>
      </w:r>
      <w:r w:rsidRPr="00380B40">
        <w:rPr>
          <w:spacing w:val="34"/>
          <w:lang w:val="en-GB"/>
        </w:rPr>
        <w:t xml:space="preserve"> </w:t>
      </w:r>
      <w:r w:rsidRPr="00380B40">
        <w:rPr>
          <w:lang w:val="en-GB"/>
        </w:rPr>
        <w:t>report</w:t>
      </w:r>
      <w:r w:rsidRPr="00380B40">
        <w:rPr>
          <w:spacing w:val="33"/>
          <w:lang w:val="en-GB"/>
        </w:rPr>
        <w:t xml:space="preserve"> </w:t>
      </w:r>
      <w:r w:rsidRPr="00380B40">
        <w:rPr>
          <w:lang w:val="en-GB"/>
        </w:rPr>
        <w:t>to</w:t>
      </w:r>
      <w:r w:rsidRPr="00380B40">
        <w:rPr>
          <w:spacing w:val="33"/>
          <w:lang w:val="en-GB"/>
        </w:rPr>
        <w:t xml:space="preserve"> </w:t>
      </w:r>
      <w:r w:rsidRPr="00380B40">
        <w:rPr>
          <w:lang w:val="en-GB"/>
        </w:rPr>
        <w:t>a</w:t>
      </w:r>
      <w:r w:rsidRPr="00380B40">
        <w:rPr>
          <w:spacing w:val="32"/>
          <w:lang w:val="en-GB"/>
        </w:rPr>
        <w:t xml:space="preserve"> </w:t>
      </w:r>
      <w:r w:rsidRPr="00380B40">
        <w:rPr>
          <w:lang w:val="en-GB"/>
        </w:rPr>
        <w:t>subsequent</w:t>
      </w:r>
      <w:r w:rsidRPr="00380B40">
        <w:rPr>
          <w:spacing w:val="33"/>
          <w:lang w:val="en-GB"/>
        </w:rPr>
        <w:t xml:space="preserve"> </w:t>
      </w:r>
      <w:r w:rsidRPr="00380B40">
        <w:rPr>
          <w:lang w:val="en-GB"/>
        </w:rPr>
        <w:t>meeting.</w:t>
      </w:r>
      <w:r w:rsidRPr="00380B40">
        <w:rPr>
          <w:spacing w:val="33"/>
          <w:lang w:val="en-GB"/>
        </w:rPr>
        <w:t xml:space="preserve"> </w:t>
      </w:r>
      <w:r w:rsidRPr="00380B40">
        <w:rPr>
          <w:lang w:val="en-GB"/>
        </w:rPr>
        <w:t>A</w:t>
      </w:r>
      <w:r w:rsidRPr="00380B40">
        <w:rPr>
          <w:spacing w:val="35"/>
          <w:lang w:val="en-GB"/>
        </w:rPr>
        <w:t xml:space="preserve"> </w:t>
      </w:r>
      <w:r w:rsidRPr="00380B40">
        <w:rPr>
          <w:lang w:val="en-GB"/>
        </w:rPr>
        <w:t>correspondence</w:t>
      </w:r>
      <w:r w:rsidRPr="00380B40">
        <w:rPr>
          <w:spacing w:val="79"/>
          <w:lang w:val="en-GB"/>
        </w:rPr>
        <w:t xml:space="preserve"> </w:t>
      </w:r>
      <w:r w:rsidRPr="00380B40">
        <w:rPr>
          <w:lang w:val="en-GB"/>
        </w:rPr>
        <w:t>activity</w:t>
      </w:r>
      <w:r w:rsidRPr="00380B40">
        <w:rPr>
          <w:spacing w:val="2"/>
          <w:lang w:val="en-GB"/>
        </w:rPr>
        <w:t xml:space="preserve"> </w:t>
      </w:r>
      <w:r w:rsidRPr="00380B40">
        <w:rPr>
          <w:lang w:val="en-GB"/>
        </w:rPr>
        <w:t>should</w:t>
      </w:r>
      <w:r w:rsidRPr="00380B40">
        <w:rPr>
          <w:spacing w:val="6"/>
          <w:lang w:val="en-GB"/>
        </w:rPr>
        <w:t xml:space="preserve"> </w:t>
      </w:r>
      <w:r w:rsidRPr="00380B40">
        <w:rPr>
          <w:lang w:val="en-GB"/>
        </w:rPr>
        <w:t>normally</w:t>
      </w:r>
      <w:r w:rsidRPr="00380B40">
        <w:rPr>
          <w:spacing w:val="4"/>
          <w:lang w:val="en-GB"/>
        </w:rPr>
        <w:t xml:space="preserve"> </w:t>
      </w:r>
      <w:r w:rsidRPr="00380B40">
        <w:rPr>
          <w:lang w:val="en-GB"/>
        </w:rPr>
        <w:t>conclude</w:t>
      </w:r>
      <w:r w:rsidRPr="00380B40">
        <w:rPr>
          <w:spacing w:val="6"/>
          <w:lang w:val="en-GB"/>
        </w:rPr>
        <w:t xml:space="preserve"> </w:t>
      </w:r>
      <w:r w:rsidRPr="00380B40">
        <w:rPr>
          <w:lang w:val="en-GB"/>
        </w:rPr>
        <w:t>no</w:t>
      </w:r>
      <w:r w:rsidRPr="00380B40">
        <w:rPr>
          <w:spacing w:val="6"/>
          <w:lang w:val="en-GB"/>
        </w:rPr>
        <w:t xml:space="preserve"> </w:t>
      </w:r>
      <w:r w:rsidRPr="00380B40">
        <w:rPr>
          <w:lang w:val="en-GB"/>
        </w:rPr>
        <w:t>later</w:t>
      </w:r>
      <w:r w:rsidRPr="00380B40">
        <w:rPr>
          <w:spacing w:val="5"/>
          <w:lang w:val="en-GB"/>
        </w:rPr>
        <w:t xml:space="preserve"> </w:t>
      </w:r>
      <w:r w:rsidRPr="00380B40">
        <w:rPr>
          <w:lang w:val="en-GB"/>
        </w:rPr>
        <w:t>than</w:t>
      </w:r>
      <w:r w:rsidRPr="00380B40">
        <w:rPr>
          <w:spacing w:val="8"/>
          <w:lang w:val="en-GB"/>
        </w:rPr>
        <w:t xml:space="preserve"> </w:t>
      </w:r>
      <w:r w:rsidRPr="00380B40">
        <w:rPr>
          <w:lang w:val="en-GB"/>
        </w:rPr>
        <w:t>the</w:t>
      </w:r>
      <w:r w:rsidRPr="00380B40">
        <w:rPr>
          <w:spacing w:val="6"/>
          <w:lang w:val="en-GB"/>
        </w:rPr>
        <w:t xml:space="preserve"> </w:t>
      </w:r>
      <w:r w:rsidRPr="00380B40">
        <w:rPr>
          <w:lang w:val="en-GB"/>
        </w:rPr>
        <w:t>contribution</w:t>
      </w:r>
      <w:r w:rsidRPr="00380B40">
        <w:rPr>
          <w:spacing w:val="7"/>
          <w:lang w:val="en-GB"/>
        </w:rPr>
        <w:t xml:space="preserve"> </w:t>
      </w:r>
      <w:r w:rsidRPr="00380B40">
        <w:rPr>
          <w:lang w:val="en-GB"/>
        </w:rPr>
        <w:t>deadline</w:t>
      </w:r>
      <w:r w:rsidRPr="00380B40">
        <w:rPr>
          <w:spacing w:val="8"/>
          <w:lang w:val="en-GB"/>
        </w:rPr>
        <w:t xml:space="preserve"> </w:t>
      </w:r>
      <w:r w:rsidRPr="00380B40">
        <w:rPr>
          <w:spacing w:val="1"/>
          <w:lang w:val="en-GB"/>
        </w:rPr>
        <w:t>of</w:t>
      </w:r>
      <w:r w:rsidRPr="00380B40">
        <w:rPr>
          <w:spacing w:val="6"/>
          <w:lang w:val="en-GB"/>
        </w:rPr>
        <w:t xml:space="preserve"> </w:t>
      </w:r>
      <w:r w:rsidRPr="00380B40">
        <w:rPr>
          <w:lang w:val="en-GB"/>
        </w:rPr>
        <w:t>the</w:t>
      </w:r>
      <w:r w:rsidRPr="00380B40">
        <w:rPr>
          <w:spacing w:val="6"/>
          <w:lang w:val="en-GB"/>
        </w:rPr>
        <w:t xml:space="preserve"> </w:t>
      </w:r>
      <w:r w:rsidRPr="00380B40">
        <w:rPr>
          <w:lang w:val="en-GB"/>
        </w:rPr>
        <w:t>meeting</w:t>
      </w:r>
      <w:r w:rsidRPr="00380B40">
        <w:rPr>
          <w:spacing w:val="4"/>
          <w:lang w:val="en-GB"/>
        </w:rPr>
        <w:t xml:space="preserve"> </w:t>
      </w:r>
      <w:r w:rsidRPr="00380B40">
        <w:rPr>
          <w:lang w:val="en-GB"/>
        </w:rPr>
        <w:t>to</w:t>
      </w:r>
      <w:r w:rsidRPr="00380B40">
        <w:rPr>
          <w:spacing w:val="7"/>
          <w:lang w:val="en-GB"/>
        </w:rPr>
        <w:t xml:space="preserve"> </w:t>
      </w:r>
      <w:r w:rsidRPr="00380B40">
        <w:rPr>
          <w:spacing w:val="1"/>
          <w:lang w:val="en-GB"/>
        </w:rPr>
        <w:t>which</w:t>
      </w:r>
      <w:r w:rsidRPr="00380B40">
        <w:rPr>
          <w:spacing w:val="6"/>
          <w:lang w:val="en-GB"/>
        </w:rPr>
        <w:t xml:space="preserve"> </w:t>
      </w:r>
      <w:r w:rsidRPr="00380B40">
        <w:rPr>
          <w:lang w:val="en-GB"/>
        </w:rPr>
        <w:t>it</w:t>
      </w:r>
      <w:r w:rsidRPr="00380B40">
        <w:rPr>
          <w:spacing w:val="62"/>
          <w:lang w:val="en-GB"/>
        </w:rPr>
        <w:t xml:space="preserve"> </w:t>
      </w:r>
      <w:r w:rsidRPr="00380B40">
        <w:rPr>
          <w:lang w:val="en-GB"/>
        </w:rPr>
        <w:t>is expected to report (see also clause 2.3.3.5).</w:t>
      </w:r>
    </w:p>
    <w:p w14:paraId="7D7B461A" w14:textId="77777777" w:rsidR="00C12517" w:rsidRPr="00380B40" w:rsidRDefault="00C12517" w:rsidP="00C12517">
      <w:pPr>
        <w:pStyle w:val="Heading2"/>
        <w:tabs>
          <w:tab w:val="left" w:pos="908"/>
        </w:tabs>
        <w:ind w:right="822"/>
        <w:rPr>
          <w:b w:val="0"/>
          <w:bCs/>
          <w:lang w:val="en-GB"/>
        </w:rPr>
      </w:pPr>
      <w:bookmarkStart w:id="607" w:name="_Toc20738314"/>
      <w:bookmarkStart w:id="608" w:name="_Toc206496678"/>
      <w:bookmarkStart w:id="609" w:name="_Toc471716642"/>
      <w:bookmarkStart w:id="610" w:name="_Toc21093728"/>
      <w:bookmarkStart w:id="611" w:name="_Toc22280337"/>
      <w:bookmarkStart w:id="612" w:name="_Toc111636833"/>
      <w:r w:rsidRPr="00380B40">
        <w:rPr>
          <w:lang w:val="en-GB"/>
        </w:rPr>
        <w:t>1.7</w:t>
      </w:r>
      <w:r w:rsidRPr="00380B40">
        <w:rPr>
          <w:lang w:val="en-GB"/>
        </w:rPr>
        <w:tab/>
      </w:r>
      <w:bookmarkStart w:id="613" w:name="_Toc532428459"/>
      <w:r w:rsidRPr="00380B40">
        <w:rPr>
          <w:spacing w:val="-1"/>
          <w:lang w:val="en-GB"/>
        </w:rPr>
        <w:t>Preparation</w:t>
      </w:r>
      <w:r w:rsidRPr="00380B40">
        <w:rPr>
          <w:lang w:val="en-GB"/>
        </w:rPr>
        <w:t xml:space="preserve"> of</w:t>
      </w:r>
      <w:r w:rsidRPr="00380B40">
        <w:rPr>
          <w:spacing w:val="1"/>
          <w:lang w:val="en-GB"/>
        </w:rPr>
        <w:t xml:space="preserve"> </w:t>
      </w:r>
      <w:r w:rsidRPr="00380B40">
        <w:rPr>
          <w:spacing w:val="-1"/>
          <w:lang w:val="en-GB"/>
        </w:rPr>
        <w:t>reports</w:t>
      </w:r>
      <w:r w:rsidRPr="00380B40">
        <w:rPr>
          <w:spacing w:val="1"/>
          <w:lang w:val="en-GB"/>
        </w:rPr>
        <w:t xml:space="preserve"> </w:t>
      </w:r>
      <w:r w:rsidRPr="00380B40">
        <w:rPr>
          <w:lang w:val="en-GB"/>
        </w:rPr>
        <w:t>of</w:t>
      </w:r>
      <w:r w:rsidRPr="00380B40">
        <w:rPr>
          <w:spacing w:val="1"/>
          <w:lang w:val="en-GB"/>
        </w:rPr>
        <w:t xml:space="preserve"> </w:t>
      </w:r>
      <w:r w:rsidRPr="00380B40">
        <w:rPr>
          <w:lang w:val="en-GB"/>
        </w:rPr>
        <w:t xml:space="preserve">study </w:t>
      </w:r>
      <w:r w:rsidRPr="00380B40">
        <w:rPr>
          <w:spacing w:val="-1"/>
          <w:lang w:val="en-GB"/>
        </w:rPr>
        <w:t>groups,</w:t>
      </w:r>
      <w:r w:rsidRPr="00380B40">
        <w:rPr>
          <w:lang w:val="en-GB"/>
        </w:rPr>
        <w:t xml:space="preserve"> </w:t>
      </w:r>
      <w:r w:rsidRPr="00380B40">
        <w:rPr>
          <w:spacing w:val="-1"/>
          <w:lang w:val="en-GB"/>
        </w:rPr>
        <w:t>working</w:t>
      </w:r>
      <w:r w:rsidRPr="00380B40">
        <w:rPr>
          <w:lang w:val="en-GB"/>
        </w:rPr>
        <w:t xml:space="preserve"> </w:t>
      </w:r>
      <w:r w:rsidRPr="00380B40">
        <w:rPr>
          <w:spacing w:val="-1"/>
          <w:lang w:val="en-GB"/>
        </w:rPr>
        <w:t>parties</w:t>
      </w:r>
      <w:r w:rsidRPr="00380B40">
        <w:rPr>
          <w:lang w:val="en-GB"/>
        </w:rPr>
        <w:t xml:space="preserve"> or</w:t>
      </w:r>
      <w:r w:rsidRPr="00380B40">
        <w:rPr>
          <w:spacing w:val="-1"/>
          <w:lang w:val="en-GB"/>
        </w:rPr>
        <w:t xml:space="preserve"> </w:t>
      </w:r>
      <w:r w:rsidRPr="00380B40">
        <w:rPr>
          <w:lang w:val="en-GB"/>
        </w:rPr>
        <w:t xml:space="preserve">joint working </w:t>
      </w:r>
      <w:r w:rsidRPr="00380B40">
        <w:rPr>
          <w:spacing w:val="-1"/>
          <w:lang w:val="en-GB"/>
        </w:rPr>
        <w:t>parties,</w:t>
      </w:r>
      <w:r w:rsidRPr="00380B40">
        <w:rPr>
          <w:lang w:val="en-GB"/>
        </w:rPr>
        <w:t xml:space="preserve"> and </w:t>
      </w:r>
      <w:r w:rsidRPr="00380B40">
        <w:rPr>
          <w:spacing w:val="-1"/>
          <w:lang w:val="en-GB"/>
        </w:rPr>
        <w:t>Recommendations</w:t>
      </w:r>
      <w:bookmarkEnd w:id="607"/>
      <w:bookmarkEnd w:id="608"/>
      <w:bookmarkEnd w:id="609"/>
      <w:bookmarkEnd w:id="610"/>
      <w:bookmarkEnd w:id="611"/>
      <w:bookmarkEnd w:id="612"/>
      <w:bookmarkEnd w:id="613"/>
    </w:p>
    <w:p w14:paraId="7D3D4914" w14:textId="77777777" w:rsidR="00C12517" w:rsidRPr="00380B40" w:rsidRDefault="00C12517" w:rsidP="00C12517">
      <w:pPr>
        <w:rPr>
          <w:lang w:val="en-GB"/>
        </w:rPr>
      </w:pPr>
      <w:r w:rsidRPr="00380B40">
        <w:rPr>
          <w:b/>
          <w:bCs/>
          <w:lang w:val="en-GB"/>
        </w:rPr>
        <w:t>1.7.1</w:t>
      </w:r>
      <w:r w:rsidRPr="00380B40">
        <w:rPr>
          <w:lang w:val="en-GB"/>
        </w:rPr>
        <w:tab/>
        <w:t>A</w:t>
      </w:r>
      <w:r w:rsidRPr="00380B40">
        <w:rPr>
          <w:spacing w:val="-6"/>
          <w:lang w:val="en-GB"/>
        </w:rPr>
        <w:t xml:space="preserve"> </w:t>
      </w:r>
      <w:r w:rsidRPr="00380B40">
        <w:rPr>
          <w:lang w:val="en-GB"/>
        </w:rPr>
        <w:t>report</w:t>
      </w:r>
      <w:r w:rsidRPr="00380B40">
        <w:rPr>
          <w:spacing w:val="-6"/>
          <w:lang w:val="en-GB"/>
        </w:rPr>
        <w:t xml:space="preserve"> </w:t>
      </w:r>
      <w:r w:rsidRPr="00380B40">
        <w:rPr>
          <w:lang w:val="en-GB"/>
        </w:rPr>
        <w:t>on</w:t>
      </w:r>
      <w:r w:rsidRPr="00380B40">
        <w:rPr>
          <w:spacing w:val="-5"/>
          <w:lang w:val="en-GB"/>
        </w:rPr>
        <w:t xml:space="preserve"> </w:t>
      </w:r>
      <w:r w:rsidRPr="00380B40">
        <w:rPr>
          <w:lang w:val="en-GB"/>
        </w:rPr>
        <w:t>the</w:t>
      </w:r>
      <w:r w:rsidRPr="00380B40">
        <w:rPr>
          <w:spacing w:val="-6"/>
          <w:lang w:val="en-GB"/>
        </w:rPr>
        <w:t xml:space="preserve"> </w:t>
      </w:r>
      <w:r w:rsidRPr="00380B40">
        <w:rPr>
          <w:lang w:val="en-GB"/>
        </w:rPr>
        <w:t>work</w:t>
      </w:r>
      <w:r w:rsidRPr="00380B40">
        <w:rPr>
          <w:spacing w:val="-5"/>
          <w:lang w:val="en-GB"/>
        </w:rPr>
        <w:t xml:space="preserve"> </w:t>
      </w:r>
      <w:r w:rsidRPr="00380B40">
        <w:rPr>
          <w:lang w:val="en-GB"/>
        </w:rPr>
        <w:t>done</w:t>
      </w:r>
      <w:r w:rsidRPr="00380B40">
        <w:rPr>
          <w:spacing w:val="-6"/>
          <w:lang w:val="en-GB"/>
        </w:rPr>
        <w:t xml:space="preserve"> </w:t>
      </w:r>
      <w:r w:rsidRPr="00380B40">
        <w:rPr>
          <w:lang w:val="en-GB"/>
        </w:rPr>
        <w:t>during</w:t>
      </w:r>
      <w:r w:rsidRPr="00380B40">
        <w:rPr>
          <w:spacing w:val="-8"/>
          <w:lang w:val="en-GB"/>
        </w:rPr>
        <w:t xml:space="preserve"> </w:t>
      </w:r>
      <w:r w:rsidRPr="00380B40">
        <w:rPr>
          <w:lang w:val="en-GB"/>
        </w:rPr>
        <w:t>a</w:t>
      </w:r>
      <w:r w:rsidRPr="00380B40">
        <w:rPr>
          <w:spacing w:val="-6"/>
          <w:lang w:val="en-GB"/>
        </w:rPr>
        <w:t xml:space="preserve"> </w:t>
      </w:r>
      <w:r w:rsidRPr="00380B40">
        <w:rPr>
          <w:lang w:val="en-GB"/>
        </w:rPr>
        <w:t>meeting</w:t>
      </w:r>
      <w:r w:rsidRPr="00380B40">
        <w:rPr>
          <w:spacing w:val="-8"/>
          <w:lang w:val="en-GB"/>
        </w:rPr>
        <w:t xml:space="preserve"> </w:t>
      </w:r>
      <w:r w:rsidRPr="00380B40">
        <w:rPr>
          <w:lang w:val="en-GB"/>
        </w:rPr>
        <w:t>of</w:t>
      </w:r>
      <w:r w:rsidRPr="00380B40">
        <w:rPr>
          <w:spacing w:val="-6"/>
          <w:lang w:val="en-GB"/>
        </w:rPr>
        <w:t xml:space="preserve"> </w:t>
      </w:r>
      <w:r w:rsidRPr="00380B40">
        <w:rPr>
          <w:lang w:val="en-GB"/>
        </w:rPr>
        <w:t>a</w:t>
      </w:r>
      <w:r w:rsidRPr="00380B40">
        <w:rPr>
          <w:spacing w:val="-6"/>
          <w:lang w:val="en-GB"/>
        </w:rPr>
        <w:t xml:space="preserve"> </w:t>
      </w:r>
      <w:r w:rsidRPr="00380B40">
        <w:rPr>
          <w:lang w:val="en-GB"/>
        </w:rPr>
        <w:t>study</w:t>
      </w:r>
      <w:r w:rsidRPr="00380B40">
        <w:rPr>
          <w:spacing w:val="-8"/>
          <w:lang w:val="en-GB"/>
        </w:rPr>
        <w:t xml:space="preserve"> </w:t>
      </w:r>
      <w:r w:rsidRPr="00380B40">
        <w:rPr>
          <w:lang w:val="en-GB"/>
        </w:rPr>
        <w:t>group,</w:t>
      </w:r>
      <w:r w:rsidRPr="00380B40">
        <w:rPr>
          <w:spacing w:val="-6"/>
          <w:lang w:val="en-GB"/>
        </w:rPr>
        <w:t xml:space="preserve"> </w:t>
      </w:r>
      <w:r w:rsidRPr="00380B40">
        <w:rPr>
          <w:lang w:val="en-GB"/>
        </w:rPr>
        <w:t>working</w:t>
      </w:r>
      <w:r w:rsidRPr="00380B40">
        <w:rPr>
          <w:spacing w:val="-8"/>
          <w:lang w:val="en-GB"/>
        </w:rPr>
        <w:t xml:space="preserve"> </w:t>
      </w:r>
      <w:r w:rsidRPr="00380B40">
        <w:rPr>
          <w:lang w:val="en-GB"/>
        </w:rPr>
        <w:t>party</w:t>
      </w:r>
      <w:r w:rsidRPr="00380B40">
        <w:rPr>
          <w:spacing w:val="-8"/>
          <w:lang w:val="en-GB"/>
        </w:rPr>
        <w:t xml:space="preserve"> </w:t>
      </w:r>
      <w:r w:rsidRPr="00380B40">
        <w:rPr>
          <w:lang w:val="en-GB"/>
        </w:rPr>
        <w:t>or</w:t>
      </w:r>
      <w:r w:rsidRPr="00380B40">
        <w:rPr>
          <w:spacing w:val="-6"/>
          <w:lang w:val="en-GB"/>
        </w:rPr>
        <w:t xml:space="preserve"> </w:t>
      </w:r>
      <w:r w:rsidRPr="00380B40">
        <w:rPr>
          <w:lang w:val="en-GB"/>
        </w:rPr>
        <w:t>joint</w:t>
      </w:r>
      <w:r w:rsidRPr="00380B40">
        <w:rPr>
          <w:spacing w:val="-7"/>
          <w:lang w:val="en-GB"/>
        </w:rPr>
        <w:t xml:space="preserve"> </w:t>
      </w:r>
      <w:r w:rsidRPr="00380B40">
        <w:rPr>
          <w:lang w:val="en-GB"/>
        </w:rPr>
        <w:t>working</w:t>
      </w:r>
      <w:r w:rsidRPr="00380B40">
        <w:rPr>
          <w:spacing w:val="39"/>
          <w:lang w:val="en-GB"/>
        </w:rPr>
        <w:t xml:space="preserve"> </w:t>
      </w:r>
      <w:r w:rsidRPr="00380B40">
        <w:rPr>
          <w:lang w:val="en-GB"/>
        </w:rPr>
        <w:t>party shall</w:t>
      </w:r>
      <w:r w:rsidRPr="00380B40">
        <w:rPr>
          <w:spacing w:val="5"/>
          <w:lang w:val="en-GB"/>
        </w:rPr>
        <w:t xml:space="preserve"> </w:t>
      </w:r>
      <w:r w:rsidRPr="00380B40">
        <w:rPr>
          <w:lang w:val="en-GB"/>
        </w:rPr>
        <w:t>be</w:t>
      </w:r>
      <w:r w:rsidRPr="00380B40">
        <w:rPr>
          <w:spacing w:val="3"/>
          <w:lang w:val="en-GB"/>
        </w:rPr>
        <w:t xml:space="preserve"> </w:t>
      </w:r>
      <w:r w:rsidRPr="00380B40">
        <w:rPr>
          <w:lang w:val="en-GB"/>
        </w:rPr>
        <w:t>prepared</w:t>
      </w:r>
      <w:r w:rsidRPr="00380B40">
        <w:rPr>
          <w:spacing w:val="4"/>
          <w:lang w:val="en-GB"/>
        </w:rPr>
        <w:t xml:space="preserve"> </w:t>
      </w:r>
      <w:r w:rsidRPr="00380B40">
        <w:rPr>
          <w:spacing w:val="1"/>
          <w:lang w:val="en-GB"/>
        </w:rPr>
        <w:t>by</w:t>
      </w:r>
      <w:r w:rsidRPr="00380B40">
        <w:rPr>
          <w:spacing w:val="2"/>
          <w:lang w:val="en-GB"/>
        </w:rPr>
        <w:t xml:space="preserve"> </w:t>
      </w:r>
      <w:r w:rsidRPr="00380B40">
        <w:rPr>
          <w:lang w:val="en-GB"/>
        </w:rPr>
        <w:t>TSB.</w:t>
      </w:r>
      <w:r w:rsidRPr="00380B40">
        <w:rPr>
          <w:spacing w:val="4"/>
          <w:lang w:val="en-GB"/>
        </w:rPr>
        <w:t xml:space="preserve"> </w:t>
      </w:r>
      <w:r w:rsidRPr="00380B40">
        <w:rPr>
          <w:lang w:val="en-GB"/>
        </w:rPr>
        <w:t>Reports</w:t>
      </w:r>
      <w:r w:rsidRPr="00380B40">
        <w:rPr>
          <w:spacing w:val="4"/>
          <w:lang w:val="en-GB"/>
        </w:rPr>
        <w:t xml:space="preserve"> </w:t>
      </w:r>
      <w:r w:rsidRPr="00380B40">
        <w:rPr>
          <w:lang w:val="en-GB"/>
        </w:rPr>
        <w:t>of</w:t>
      </w:r>
      <w:r w:rsidRPr="00380B40">
        <w:rPr>
          <w:spacing w:val="3"/>
          <w:lang w:val="en-GB"/>
        </w:rPr>
        <w:t xml:space="preserve"> </w:t>
      </w:r>
      <w:r w:rsidRPr="00380B40">
        <w:rPr>
          <w:lang w:val="en-GB"/>
        </w:rPr>
        <w:t>meetings</w:t>
      </w:r>
      <w:r w:rsidRPr="00380B40">
        <w:rPr>
          <w:spacing w:val="4"/>
          <w:lang w:val="en-GB"/>
        </w:rPr>
        <w:t xml:space="preserve"> </w:t>
      </w:r>
      <w:r w:rsidRPr="00380B40">
        <w:rPr>
          <w:lang w:val="en-GB"/>
        </w:rPr>
        <w:t>not</w:t>
      </w:r>
      <w:r w:rsidRPr="00380B40">
        <w:rPr>
          <w:spacing w:val="5"/>
          <w:lang w:val="en-GB"/>
        </w:rPr>
        <w:t xml:space="preserve"> </w:t>
      </w:r>
      <w:r w:rsidRPr="00380B40">
        <w:rPr>
          <w:lang w:val="en-GB"/>
        </w:rPr>
        <w:t>attended</w:t>
      </w:r>
      <w:r w:rsidRPr="00380B40">
        <w:rPr>
          <w:spacing w:val="4"/>
          <w:lang w:val="en-GB"/>
        </w:rPr>
        <w:t xml:space="preserve"> </w:t>
      </w:r>
      <w:r w:rsidRPr="00380B40">
        <w:rPr>
          <w:spacing w:val="1"/>
          <w:lang w:val="en-GB"/>
        </w:rPr>
        <w:t>by</w:t>
      </w:r>
      <w:r w:rsidRPr="00380B40">
        <w:rPr>
          <w:lang w:val="en-GB"/>
        </w:rPr>
        <w:t xml:space="preserve"> TSB</w:t>
      </w:r>
      <w:r w:rsidRPr="00380B40">
        <w:rPr>
          <w:spacing w:val="5"/>
          <w:lang w:val="en-GB"/>
        </w:rPr>
        <w:t xml:space="preserve"> </w:t>
      </w:r>
      <w:r w:rsidRPr="00380B40">
        <w:rPr>
          <w:lang w:val="en-GB"/>
        </w:rPr>
        <w:t>should</w:t>
      </w:r>
      <w:r w:rsidRPr="00380B40">
        <w:rPr>
          <w:spacing w:val="4"/>
          <w:lang w:val="en-GB"/>
        </w:rPr>
        <w:t xml:space="preserve"> </w:t>
      </w:r>
      <w:r w:rsidRPr="00380B40">
        <w:rPr>
          <w:lang w:val="en-GB"/>
        </w:rPr>
        <w:t>be</w:t>
      </w:r>
      <w:r w:rsidRPr="00380B40">
        <w:rPr>
          <w:spacing w:val="3"/>
          <w:lang w:val="en-GB"/>
        </w:rPr>
        <w:t xml:space="preserve"> </w:t>
      </w:r>
      <w:r w:rsidRPr="00380B40">
        <w:rPr>
          <w:lang w:val="en-GB"/>
        </w:rPr>
        <w:t>prepared</w:t>
      </w:r>
      <w:r w:rsidRPr="00380B40">
        <w:rPr>
          <w:spacing w:val="4"/>
          <w:lang w:val="en-GB"/>
        </w:rPr>
        <w:t xml:space="preserve"> </w:t>
      </w:r>
      <w:r w:rsidRPr="00380B40">
        <w:rPr>
          <w:lang w:val="en-GB"/>
        </w:rPr>
        <w:t>under</w:t>
      </w:r>
      <w:r w:rsidRPr="00380B40">
        <w:rPr>
          <w:spacing w:val="65"/>
          <w:lang w:val="en-GB"/>
        </w:rPr>
        <w:t xml:space="preserve"> </w:t>
      </w:r>
      <w:r w:rsidRPr="00380B40">
        <w:rPr>
          <w:lang w:val="en-GB"/>
        </w:rPr>
        <w:t>the</w:t>
      </w:r>
      <w:r w:rsidRPr="00380B40">
        <w:rPr>
          <w:spacing w:val="-6"/>
          <w:lang w:val="en-GB"/>
        </w:rPr>
        <w:t xml:space="preserve"> </w:t>
      </w:r>
      <w:r w:rsidRPr="00380B40">
        <w:rPr>
          <w:lang w:val="en-GB"/>
        </w:rPr>
        <w:t>responsibility</w:t>
      </w:r>
      <w:r w:rsidRPr="00380B40">
        <w:rPr>
          <w:spacing w:val="-12"/>
          <w:lang w:val="en-GB"/>
        </w:rPr>
        <w:t xml:space="preserve"> </w:t>
      </w:r>
      <w:r w:rsidRPr="00380B40">
        <w:rPr>
          <w:lang w:val="en-GB"/>
        </w:rPr>
        <w:t>of</w:t>
      </w:r>
      <w:r w:rsidRPr="00380B40">
        <w:rPr>
          <w:spacing w:val="-6"/>
          <w:lang w:val="en-GB"/>
        </w:rPr>
        <w:t xml:space="preserve"> </w:t>
      </w:r>
      <w:r w:rsidRPr="00380B40">
        <w:rPr>
          <w:lang w:val="en-GB"/>
        </w:rPr>
        <w:t>the</w:t>
      </w:r>
      <w:r w:rsidRPr="00380B40">
        <w:rPr>
          <w:spacing w:val="-3"/>
          <w:lang w:val="en-GB"/>
        </w:rPr>
        <w:t xml:space="preserve"> </w:t>
      </w:r>
      <w:r w:rsidRPr="00380B40">
        <w:rPr>
          <w:lang w:val="en-GB"/>
        </w:rPr>
        <w:t>chairman</w:t>
      </w:r>
      <w:r w:rsidRPr="00380B40">
        <w:rPr>
          <w:spacing w:val="-5"/>
          <w:lang w:val="en-GB"/>
        </w:rPr>
        <w:t xml:space="preserve"> </w:t>
      </w:r>
      <w:r w:rsidRPr="00380B40">
        <w:rPr>
          <w:lang w:val="en-GB"/>
        </w:rPr>
        <w:t>of</w:t>
      </w:r>
      <w:r w:rsidRPr="00380B40">
        <w:rPr>
          <w:spacing w:val="-6"/>
          <w:lang w:val="en-GB"/>
        </w:rPr>
        <w:t xml:space="preserve"> </w:t>
      </w:r>
      <w:r w:rsidRPr="00380B40">
        <w:rPr>
          <w:lang w:val="en-GB"/>
        </w:rPr>
        <w:t>the</w:t>
      </w:r>
      <w:r w:rsidRPr="00380B40">
        <w:rPr>
          <w:spacing w:val="-6"/>
          <w:lang w:val="en-GB"/>
        </w:rPr>
        <w:t xml:space="preserve"> </w:t>
      </w:r>
      <w:r w:rsidRPr="00380B40">
        <w:rPr>
          <w:lang w:val="en-GB"/>
        </w:rPr>
        <w:t>meeting.</w:t>
      </w:r>
      <w:r w:rsidRPr="00380B40">
        <w:rPr>
          <w:spacing w:val="-5"/>
          <w:lang w:val="en-GB"/>
        </w:rPr>
        <w:t xml:space="preserve"> </w:t>
      </w:r>
      <w:r w:rsidRPr="00380B40">
        <w:rPr>
          <w:lang w:val="en-GB"/>
        </w:rPr>
        <w:t>This</w:t>
      </w:r>
      <w:r w:rsidRPr="00380B40">
        <w:rPr>
          <w:spacing w:val="-5"/>
          <w:lang w:val="en-GB"/>
        </w:rPr>
        <w:t xml:space="preserve"> </w:t>
      </w:r>
      <w:r w:rsidRPr="00380B40">
        <w:rPr>
          <w:lang w:val="en-GB"/>
        </w:rPr>
        <w:t>report</w:t>
      </w:r>
      <w:r w:rsidRPr="00380B40">
        <w:rPr>
          <w:spacing w:val="-6"/>
          <w:lang w:val="en-GB"/>
        </w:rPr>
        <w:t xml:space="preserve"> </w:t>
      </w:r>
      <w:r w:rsidRPr="00380B40">
        <w:rPr>
          <w:lang w:val="en-GB"/>
        </w:rPr>
        <w:t>should</w:t>
      </w:r>
      <w:r w:rsidRPr="00380B40">
        <w:rPr>
          <w:spacing w:val="-5"/>
          <w:lang w:val="en-GB"/>
        </w:rPr>
        <w:t xml:space="preserve"> </w:t>
      </w:r>
      <w:r w:rsidRPr="00380B40">
        <w:rPr>
          <w:lang w:val="en-GB"/>
        </w:rPr>
        <w:t>set</w:t>
      </w:r>
      <w:r w:rsidRPr="00380B40">
        <w:rPr>
          <w:spacing w:val="-5"/>
          <w:lang w:val="en-GB"/>
        </w:rPr>
        <w:t xml:space="preserve"> </w:t>
      </w:r>
      <w:r w:rsidRPr="00380B40">
        <w:rPr>
          <w:lang w:val="en-GB"/>
        </w:rPr>
        <w:t>out</w:t>
      </w:r>
      <w:r w:rsidRPr="00380B40">
        <w:rPr>
          <w:spacing w:val="-7"/>
          <w:lang w:val="en-GB"/>
        </w:rPr>
        <w:t xml:space="preserve"> </w:t>
      </w:r>
      <w:r w:rsidRPr="00380B40">
        <w:rPr>
          <w:lang w:val="en-GB"/>
        </w:rPr>
        <w:t>the</w:t>
      </w:r>
      <w:r w:rsidRPr="00380B40">
        <w:rPr>
          <w:spacing w:val="-6"/>
          <w:lang w:val="en-GB"/>
        </w:rPr>
        <w:t xml:space="preserve"> </w:t>
      </w:r>
      <w:r w:rsidRPr="00380B40">
        <w:rPr>
          <w:lang w:val="en-GB"/>
        </w:rPr>
        <w:t>results</w:t>
      </w:r>
      <w:r w:rsidRPr="00380B40">
        <w:rPr>
          <w:spacing w:val="-5"/>
          <w:lang w:val="en-GB"/>
        </w:rPr>
        <w:t xml:space="preserve"> </w:t>
      </w:r>
      <w:r w:rsidRPr="00380B40">
        <w:rPr>
          <w:lang w:val="en-GB"/>
        </w:rPr>
        <w:t>of</w:t>
      </w:r>
      <w:r w:rsidRPr="00380B40">
        <w:rPr>
          <w:spacing w:val="-6"/>
          <w:lang w:val="en-GB"/>
        </w:rPr>
        <w:t xml:space="preserve"> </w:t>
      </w:r>
      <w:r w:rsidRPr="00380B40">
        <w:rPr>
          <w:lang w:val="en-GB"/>
        </w:rPr>
        <w:t>the</w:t>
      </w:r>
      <w:r w:rsidRPr="00380B40">
        <w:rPr>
          <w:spacing w:val="-6"/>
          <w:lang w:val="en-GB"/>
        </w:rPr>
        <w:t xml:space="preserve"> </w:t>
      </w:r>
      <w:r w:rsidRPr="00380B40">
        <w:rPr>
          <w:lang w:val="en-GB"/>
        </w:rPr>
        <w:t>meeting</w:t>
      </w:r>
      <w:r w:rsidRPr="00380B40">
        <w:rPr>
          <w:spacing w:val="59"/>
          <w:lang w:val="en-GB"/>
        </w:rPr>
        <w:t xml:space="preserve"> </w:t>
      </w:r>
      <w:r w:rsidRPr="00380B40">
        <w:rPr>
          <w:lang w:val="en-GB"/>
        </w:rPr>
        <w:t>and</w:t>
      </w:r>
      <w:r w:rsidRPr="00380B40">
        <w:rPr>
          <w:spacing w:val="-15"/>
          <w:lang w:val="en-GB"/>
        </w:rPr>
        <w:t xml:space="preserve"> </w:t>
      </w:r>
      <w:r w:rsidRPr="00380B40">
        <w:rPr>
          <w:lang w:val="en-GB"/>
        </w:rPr>
        <w:t>the</w:t>
      </w:r>
      <w:r w:rsidRPr="00380B40">
        <w:rPr>
          <w:spacing w:val="-13"/>
          <w:lang w:val="en-GB"/>
        </w:rPr>
        <w:t xml:space="preserve"> </w:t>
      </w:r>
      <w:r w:rsidRPr="00380B40">
        <w:rPr>
          <w:lang w:val="en-GB"/>
        </w:rPr>
        <w:t>agreements</w:t>
      </w:r>
      <w:r w:rsidRPr="00380B40">
        <w:rPr>
          <w:spacing w:val="-15"/>
          <w:lang w:val="en-GB"/>
        </w:rPr>
        <w:t xml:space="preserve"> </w:t>
      </w:r>
      <w:r w:rsidRPr="00380B40">
        <w:rPr>
          <w:lang w:val="en-GB"/>
        </w:rPr>
        <w:t>reached</w:t>
      </w:r>
      <w:r w:rsidRPr="00380B40">
        <w:rPr>
          <w:spacing w:val="-15"/>
          <w:lang w:val="en-GB"/>
        </w:rPr>
        <w:t xml:space="preserve"> </w:t>
      </w:r>
      <w:r w:rsidRPr="00380B40">
        <w:rPr>
          <w:lang w:val="en-GB"/>
        </w:rPr>
        <w:t>in</w:t>
      </w:r>
      <w:r w:rsidRPr="00380B40">
        <w:rPr>
          <w:spacing w:val="-14"/>
          <w:lang w:val="en-GB"/>
        </w:rPr>
        <w:t xml:space="preserve"> </w:t>
      </w:r>
      <w:r w:rsidRPr="00380B40">
        <w:rPr>
          <w:lang w:val="en-GB"/>
        </w:rPr>
        <w:t>a</w:t>
      </w:r>
      <w:r w:rsidRPr="00380B40">
        <w:rPr>
          <w:spacing w:val="-14"/>
          <w:lang w:val="en-GB"/>
        </w:rPr>
        <w:t xml:space="preserve"> </w:t>
      </w:r>
      <w:r w:rsidRPr="00380B40">
        <w:rPr>
          <w:lang w:val="en-GB"/>
        </w:rPr>
        <w:t>condensed</w:t>
      </w:r>
      <w:r w:rsidRPr="00380B40">
        <w:rPr>
          <w:spacing w:val="-15"/>
          <w:lang w:val="en-GB"/>
        </w:rPr>
        <w:t xml:space="preserve"> </w:t>
      </w:r>
      <w:r w:rsidRPr="00380B40">
        <w:rPr>
          <w:lang w:val="en-GB"/>
        </w:rPr>
        <w:t>form</w:t>
      </w:r>
      <w:r w:rsidRPr="00380B40">
        <w:rPr>
          <w:spacing w:val="-15"/>
          <w:lang w:val="en-GB"/>
        </w:rPr>
        <w:t xml:space="preserve"> </w:t>
      </w:r>
      <w:r w:rsidRPr="00380B40">
        <w:rPr>
          <w:lang w:val="en-GB"/>
        </w:rPr>
        <w:t>and</w:t>
      </w:r>
      <w:r w:rsidRPr="00380B40">
        <w:rPr>
          <w:spacing w:val="-15"/>
          <w:lang w:val="en-GB"/>
        </w:rPr>
        <w:t xml:space="preserve"> </w:t>
      </w:r>
      <w:r w:rsidRPr="00380B40">
        <w:rPr>
          <w:lang w:val="en-GB"/>
        </w:rPr>
        <w:t>should</w:t>
      </w:r>
      <w:r w:rsidRPr="00380B40">
        <w:rPr>
          <w:spacing w:val="-15"/>
          <w:lang w:val="en-GB"/>
        </w:rPr>
        <w:t xml:space="preserve"> </w:t>
      </w:r>
      <w:r w:rsidRPr="00380B40">
        <w:rPr>
          <w:lang w:val="en-GB"/>
        </w:rPr>
        <w:t>identify</w:t>
      </w:r>
      <w:r w:rsidRPr="00380B40">
        <w:rPr>
          <w:spacing w:val="-17"/>
          <w:lang w:val="en-GB"/>
        </w:rPr>
        <w:t xml:space="preserve"> </w:t>
      </w:r>
      <w:r w:rsidRPr="00380B40">
        <w:rPr>
          <w:lang w:val="en-GB"/>
        </w:rPr>
        <w:t>the</w:t>
      </w:r>
      <w:r w:rsidRPr="00380B40">
        <w:rPr>
          <w:spacing w:val="-15"/>
          <w:lang w:val="en-GB"/>
        </w:rPr>
        <w:t xml:space="preserve"> </w:t>
      </w:r>
      <w:r w:rsidRPr="00380B40">
        <w:rPr>
          <w:lang w:val="en-GB"/>
        </w:rPr>
        <w:t>points</w:t>
      </w:r>
      <w:r w:rsidRPr="00380B40">
        <w:rPr>
          <w:spacing w:val="-14"/>
          <w:lang w:val="en-GB"/>
        </w:rPr>
        <w:t xml:space="preserve"> </w:t>
      </w:r>
      <w:r w:rsidRPr="00380B40">
        <w:rPr>
          <w:lang w:val="en-GB"/>
        </w:rPr>
        <w:t>left</w:t>
      </w:r>
      <w:r w:rsidRPr="00380B40">
        <w:rPr>
          <w:spacing w:val="-14"/>
          <w:lang w:val="en-GB"/>
        </w:rPr>
        <w:t xml:space="preserve"> </w:t>
      </w:r>
      <w:r w:rsidRPr="00380B40">
        <w:rPr>
          <w:lang w:val="en-GB"/>
        </w:rPr>
        <w:t>to</w:t>
      </w:r>
      <w:r w:rsidRPr="00380B40">
        <w:rPr>
          <w:spacing w:val="-14"/>
          <w:lang w:val="en-GB"/>
        </w:rPr>
        <w:t xml:space="preserve"> </w:t>
      </w:r>
      <w:r w:rsidRPr="00380B40">
        <w:rPr>
          <w:lang w:val="en-GB"/>
        </w:rPr>
        <w:t>the</w:t>
      </w:r>
      <w:r w:rsidRPr="00380B40">
        <w:rPr>
          <w:spacing w:val="-15"/>
          <w:lang w:val="en-GB"/>
        </w:rPr>
        <w:t xml:space="preserve"> </w:t>
      </w:r>
      <w:r w:rsidRPr="00380B40">
        <w:rPr>
          <w:lang w:val="en-GB"/>
        </w:rPr>
        <w:t>next</w:t>
      </w:r>
      <w:r w:rsidRPr="00380B40">
        <w:rPr>
          <w:spacing w:val="-14"/>
          <w:lang w:val="en-GB"/>
        </w:rPr>
        <w:t xml:space="preserve"> </w:t>
      </w:r>
      <w:r w:rsidRPr="00380B40">
        <w:rPr>
          <w:lang w:val="en-GB"/>
        </w:rPr>
        <w:t>meeting</w:t>
      </w:r>
      <w:r w:rsidRPr="00380B40">
        <w:rPr>
          <w:spacing w:val="80"/>
          <w:lang w:val="en-GB"/>
        </w:rPr>
        <w:t xml:space="preserve"> </w:t>
      </w:r>
      <w:r w:rsidRPr="00380B40">
        <w:rPr>
          <w:lang w:val="en-GB"/>
        </w:rPr>
        <w:t>for</w:t>
      </w:r>
      <w:r w:rsidRPr="00380B40">
        <w:rPr>
          <w:spacing w:val="3"/>
          <w:lang w:val="en-GB"/>
        </w:rPr>
        <w:t xml:space="preserve"> </w:t>
      </w:r>
      <w:r w:rsidRPr="00380B40">
        <w:rPr>
          <w:lang w:val="en-GB"/>
        </w:rPr>
        <w:t>further</w:t>
      </w:r>
      <w:r w:rsidRPr="00380B40">
        <w:rPr>
          <w:spacing w:val="3"/>
          <w:lang w:val="en-GB"/>
        </w:rPr>
        <w:t xml:space="preserve"> </w:t>
      </w:r>
      <w:r w:rsidRPr="00380B40">
        <w:rPr>
          <w:lang w:val="en-GB"/>
        </w:rPr>
        <w:t>study.</w:t>
      </w:r>
      <w:r w:rsidRPr="00380B40">
        <w:rPr>
          <w:spacing w:val="4"/>
          <w:lang w:val="en-GB"/>
        </w:rPr>
        <w:t xml:space="preserve"> </w:t>
      </w:r>
      <w:r w:rsidRPr="00380B40">
        <w:rPr>
          <w:lang w:val="en-GB"/>
        </w:rPr>
        <w:t>The</w:t>
      </w:r>
      <w:r w:rsidRPr="00380B40">
        <w:rPr>
          <w:spacing w:val="3"/>
          <w:lang w:val="en-GB"/>
        </w:rPr>
        <w:t xml:space="preserve"> </w:t>
      </w:r>
      <w:r w:rsidRPr="00380B40">
        <w:rPr>
          <w:lang w:val="en-GB"/>
        </w:rPr>
        <w:t>number</w:t>
      </w:r>
      <w:r w:rsidRPr="00380B40">
        <w:rPr>
          <w:spacing w:val="3"/>
          <w:lang w:val="en-GB"/>
        </w:rPr>
        <w:t xml:space="preserve"> </w:t>
      </w:r>
      <w:r w:rsidRPr="00380B40">
        <w:rPr>
          <w:lang w:val="en-GB"/>
        </w:rPr>
        <w:t>of</w:t>
      </w:r>
      <w:r w:rsidRPr="00380B40">
        <w:rPr>
          <w:spacing w:val="3"/>
          <w:lang w:val="en-GB"/>
        </w:rPr>
        <w:t xml:space="preserve"> </w:t>
      </w:r>
      <w:r w:rsidRPr="00380B40">
        <w:rPr>
          <w:lang w:val="en-GB"/>
        </w:rPr>
        <w:t>annexes</w:t>
      </w:r>
      <w:r w:rsidRPr="00380B40">
        <w:rPr>
          <w:spacing w:val="4"/>
          <w:lang w:val="en-GB"/>
        </w:rPr>
        <w:t xml:space="preserve"> </w:t>
      </w:r>
      <w:r w:rsidRPr="00380B40">
        <w:rPr>
          <w:lang w:val="en-GB"/>
        </w:rPr>
        <w:t>to</w:t>
      </w:r>
      <w:r w:rsidRPr="00380B40">
        <w:rPr>
          <w:spacing w:val="5"/>
          <w:lang w:val="en-GB"/>
        </w:rPr>
        <w:t xml:space="preserve"> </w:t>
      </w:r>
      <w:r w:rsidRPr="00380B40">
        <w:rPr>
          <w:lang w:val="en-GB"/>
        </w:rPr>
        <w:t>the</w:t>
      </w:r>
      <w:r w:rsidRPr="00380B40">
        <w:rPr>
          <w:spacing w:val="4"/>
          <w:lang w:val="en-GB"/>
        </w:rPr>
        <w:t xml:space="preserve"> </w:t>
      </w:r>
      <w:r w:rsidRPr="00380B40">
        <w:rPr>
          <w:lang w:val="en-GB"/>
        </w:rPr>
        <w:t>report</w:t>
      </w:r>
      <w:r w:rsidRPr="00380B40">
        <w:rPr>
          <w:spacing w:val="4"/>
          <w:lang w:val="en-GB"/>
        </w:rPr>
        <w:t xml:space="preserve"> </w:t>
      </w:r>
      <w:r w:rsidRPr="00380B40">
        <w:rPr>
          <w:lang w:val="en-GB"/>
        </w:rPr>
        <w:t>should</w:t>
      </w:r>
      <w:r w:rsidRPr="00380B40">
        <w:rPr>
          <w:spacing w:val="4"/>
          <w:lang w:val="en-GB"/>
        </w:rPr>
        <w:t xml:space="preserve"> </w:t>
      </w:r>
      <w:r w:rsidRPr="00380B40">
        <w:rPr>
          <w:lang w:val="en-GB"/>
        </w:rPr>
        <w:t>be</w:t>
      </w:r>
      <w:r w:rsidRPr="00380B40">
        <w:rPr>
          <w:spacing w:val="3"/>
          <w:lang w:val="en-GB"/>
        </w:rPr>
        <w:t xml:space="preserve"> </w:t>
      </w:r>
      <w:r w:rsidRPr="00380B40">
        <w:rPr>
          <w:lang w:val="en-GB"/>
        </w:rPr>
        <w:t>kept</w:t>
      </w:r>
      <w:r w:rsidRPr="00380B40">
        <w:rPr>
          <w:spacing w:val="5"/>
          <w:lang w:val="en-GB"/>
        </w:rPr>
        <w:t xml:space="preserve"> </w:t>
      </w:r>
      <w:r w:rsidRPr="00380B40">
        <w:rPr>
          <w:lang w:val="en-GB"/>
        </w:rPr>
        <w:t>to</w:t>
      </w:r>
      <w:r w:rsidRPr="00380B40">
        <w:rPr>
          <w:spacing w:val="5"/>
          <w:lang w:val="en-GB"/>
        </w:rPr>
        <w:t xml:space="preserve"> </w:t>
      </w:r>
      <w:r w:rsidRPr="00380B40">
        <w:rPr>
          <w:lang w:val="en-GB"/>
        </w:rPr>
        <w:t>a</w:t>
      </w:r>
      <w:r w:rsidRPr="00380B40">
        <w:rPr>
          <w:spacing w:val="3"/>
          <w:lang w:val="en-GB"/>
        </w:rPr>
        <w:t xml:space="preserve"> </w:t>
      </w:r>
      <w:r w:rsidRPr="00380B40">
        <w:rPr>
          <w:lang w:val="en-GB"/>
        </w:rPr>
        <w:t>strict</w:t>
      </w:r>
      <w:r w:rsidRPr="00380B40">
        <w:rPr>
          <w:spacing w:val="5"/>
          <w:lang w:val="en-GB"/>
        </w:rPr>
        <w:t xml:space="preserve"> </w:t>
      </w:r>
      <w:r w:rsidRPr="00380B40">
        <w:rPr>
          <w:lang w:val="en-GB"/>
        </w:rPr>
        <w:t>minimum</w:t>
      </w:r>
      <w:r w:rsidRPr="00380B40">
        <w:rPr>
          <w:spacing w:val="2"/>
          <w:lang w:val="en-GB"/>
        </w:rPr>
        <w:t xml:space="preserve"> </w:t>
      </w:r>
      <w:r w:rsidRPr="00380B40">
        <w:rPr>
          <w:spacing w:val="1"/>
          <w:lang w:val="en-GB"/>
        </w:rPr>
        <w:t>by</w:t>
      </w:r>
      <w:r w:rsidRPr="00380B40">
        <w:rPr>
          <w:spacing w:val="-3"/>
          <w:lang w:val="en-GB"/>
        </w:rPr>
        <w:t xml:space="preserve"> </w:t>
      </w:r>
      <w:r w:rsidRPr="00380B40">
        <w:rPr>
          <w:lang w:val="en-GB"/>
        </w:rPr>
        <w:t>means</w:t>
      </w:r>
      <w:r w:rsidRPr="00380B40">
        <w:rPr>
          <w:spacing w:val="45"/>
          <w:lang w:val="en-GB"/>
        </w:rPr>
        <w:t xml:space="preserve"> </w:t>
      </w:r>
      <w:r w:rsidRPr="00380B40">
        <w:rPr>
          <w:lang w:val="en-GB"/>
        </w:rPr>
        <w:t>of</w:t>
      </w:r>
      <w:r w:rsidRPr="00380B40">
        <w:rPr>
          <w:spacing w:val="3"/>
          <w:lang w:val="en-GB"/>
        </w:rPr>
        <w:t xml:space="preserve"> </w:t>
      </w:r>
      <w:r w:rsidRPr="00380B40">
        <w:rPr>
          <w:lang w:val="en-GB"/>
        </w:rPr>
        <w:t>cross-references</w:t>
      </w:r>
      <w:r w:rsidRPr="00380B40">
        <w:rPr>
          <w:spacing w:val="4"/>
          <w:lang w:val="en-GB"/>
        </w:rPr>
        <w:t xml:space="preserve"> </w:t>
      </w:r>
      <w:r w:rsidRPr="00380B40">
        <w:rPr>
          <w:lang w:val="en-GB"/>
        </w:rPr>
        <w:t>to</w:t>
      </w:r>
      <w:r w:rsidRPr="00380B40">
        <w:rPr>
          <w:spacing w:val="5"/>
          <w:lang w:val="en-GB"/>
        </w:rPr>
        <w:t xml:space="preserve"> </w:t>
      </w:r>
      <w:r w:rsidRPr="00380B40">
        <w:rPr>
          <w:lang w:val="en-GB"/>
        </w:rPr>
        <w:t>contributions,</w:t>
      </w:r>
      <w:r w:rsidRPr="00380B40">
        <w:rPr>
          <w:spacing w:val="5"/>
          <w:lang w:val="en-GB"/>
        </w:rPr>
        <w:t xml:space="preserve"> </w:t>
      </w:r>
      <w:r w:rsidRPr="00380B40">
        <w:rPr>
          <w:lang w:val="en-GB"/>
        </w:rPr>
        <w:t>reports,</w:t>
      </w:r>
      <w:r w:rsidRPr="00380B40">
        <w:rPr>
          <w:spacing w:val="4"/>
          <w:lang w:val="en-GB"/>
        </w:rPr>
        <w:t xml:space="preserve"> </w:t>
      </w:r>
      <w:r w:rsidRPr="00380B40">
        <w:rPr>
          <w:lang w:val="en-GB"/>
        </w:rPr>
        <w:t>etc.,</w:t>
      </w:r>
      <w:r w:rsidRPr="00380B40">
        <w:rPr>
          <w:spacing w:val="1"/>
          <w:lang w:val="en-GB"/>
        </w:rPr>
        <w:t xml:space="preserve"> </w:t>
      </w:r>
      <w:r w:rsidRPr="00380B40">
        <w:rPr>
          <w:lang w:val="en-GB"/>
        </w:rPr>
        <w:t>and</w:t>
      </w:r>
      <w:r w:rsidRPr="00380B40">
        <w:rPr>
          <w:spacing w:val="4"/>
          <w:lang w:val="en-GB"/>
        </w:rPr>
        <w:t xml:space="preserve"> </w:t>
      </w:r>
      <w:r w:rsidRPr="00380B40">
        <w:rPr>
          <w:lang w:val="en-GB"/>
        </w:rPr>
        <w:t>references</w:t>
      </w:r>
      <w:r w:rsidRPr="00380B40">
        <w:rPr>
          <w:spacing w:val="4"/>
          <w:lang w:val="en-GB"/>
        </w:rPr>
        <w:t xml:space="preserve"> </w:t>
      </w:r>
      <w:r w:rsidRPr="00380B40">
        <w:rPr>
          <w:lang w:val="en-GB"/>
        </w:rPr>
        <w:t>to</w:t>
      </w:r>
      <w:r w:rsidRPr="00380B40">
        <w:rPr>
          <w:spacing w:val="5"/>
          <w:lang w:val="en-GB"/>
        </w:rPr>
        <w:t xml:space="preserve"> </w:t>
      </w:r>
      <w:r w:rsidRPr="00380B40">
        <w:rPr>
          <w:lang w:val="en-GB"/>
        </w:rPr>
        <w:t>material</w:t>
      </w:r>
      <w:r w:rsidRPr="00380B40">
        <w:rPr>
          <w:spacing w:val="5"/>
          <w:lang w:val="en-GB"/>
        </w:rPr>
        <w:t xml:space="preserve"> </w:t>
      </w:r>
      <w:r w:rsidRPr="00380B40">
        <w:rPr>
          <w:lang w:val="en-GB"/>
        </w:rPr>
        <w:t>in</w:t>
      </w:r>
      <w:r w:rsidRPr="00380B40">
        <w:rPr>
          <w:spacing w:val="5"/>
          <w:lang w:val="en-GB"/>
        </w:rPr>
        <w:t xml:space="preserve"> </w:t>
      </w:r>
      <w:r w:rsidRPr="00380B40">
        <w:rPr>
          <w:lang w:val="en-GB"/>
        </w:rPr>
        <w:t>the</w:t>
      </w:r>
      <w:r w:rsidRPr="00380B40">
        <w:rPr>
          <w:spacing w:val="4"/>
          <w:lang w:val="en-GB"/>
        </w:rPr>
        <w:t xml:space="preserve"> </w:t>
      </w:r>
      <w:r w:rsidRPr="00380B40">
        <w:rPr>
          <w:lang w:val="en-GB"/>
        </w:rPr>
        <w:t>documentation</w:t>
      </w:r>
      <w:r w:rsidRPr="00380B40">
        <w:rPr>
          <w:spacing w:val="2"/>
          <w:lang w:val="en-GB"/>
        </w:rPr>
        <w:t xml:space="preserve"> </w:t>
      </w:r>
      <w:r w:rsidRPr="00380B40">
        <w:rPr>
          <w:lang w:val="en-GB"/>
        </w:rPr>
        <w:t>of</w:t>
      </w:r>
      <w:r w:rsidRPr="00380B40">
        <w:rPr>
          <w:spacing w:val="123"/>
          <w:lang w:val="en-GB"/>
        </w:rPr>
        <w:t xml:space="preserve"> </w:t>
      </w:r>
      <w:r w:rsidRPr="00380B40">
        <w:rPr>
          <w:lang w:val="en-GB"/>
        </w:rPr>
        <w:t>a</w:t>
      </w:r>
      <w:r w:rsidRPr="00380B40">
        <w:rPr>
          <w:spacing w:val="-6"/>
          <w:lang w:val="en-GB"/>
        </w:rPr>
        <w:t xml:space="preserve"> </w:t>
      </w:r>
      <w:r w:rsidRPr="00380B40">
        <w:rPr>
          <w:spacing w:val="1"/>
          <w:lang w:val="en-GB"/>
        </w:rPr>
        <w:t>study</w:t>
      </w:r>
      <w:r w:rsidRPr="00380B40">
        <w:rPr>
          <w:spacing w:val="-8"/>
          <w:lang w:val="en-GB"/>
        </w:rPr>
        <w:t xml:space="preserve"> </w:t>
      </w:r>
      <w:r w:rsidRPr="00380B40">
        <w:rPr>
          <w:lang w:val="en-GB"/>
        </w:rPr>
        <w:t>group</w:t>
      </w:r>
      <w:r w:rsidRPr="00380B40">
        <w:rPr>
          <w:spacing w:val="-3"/>
          <w:lang w:val="en-GB"/>
        </w:rPr>
        <w:t xml:space="preserve"> </w:t>
      </w:r>
      <w:r w:rsidRPr="00380B40">
        <w:rPr>
          <w:lang w:val="en-GB"/>
        </w:rPr>
        <w:t>or</w:t>
      </w:r>
      <w:r w:rsidRPr="00380B40">
        <w:rPr>
          <w:spacing w:val="-4"/>
          <w:lang w:val="en-GB"/>
        </w:rPr>
        <w:t xml:space="preserve"> </w:t>
      </w:r>
      <w:r w:rsidRPr="00380B40">
        <w:rPr>
          <w:lang w:val="en-GB"/>
        </w:rPr>
        <w:t>working</w:t>
      </w:r>
      <w:r w:rsidRPr="00380B40">
        <w:rPr>
          <w:spacing w:val="-5"/>
          <w:lang w:val="en-GB"/>
        </w:rPr>
        <w:t xml:space="preserve"> </w:t>
      </w:r>
      <w:r w:rsidRPr="00380B40">
        <w:rPr>
          <w:lang w:val="en-GB"/>
        </w:rPr>
        <w:t xml:space="preserve">party. </w:t>
      </w:r>
      <w:r w:rsidRPr="00380B40">
        <w:rPr>
          <w:spacing w:val="-3"/>
          <w:lang w:val="en-GB"/>
        </w:rPr>
        <w:t xml:space="preserve">It </w:t>
      </w:r>
      <w:r w:rsidRPr="00380B40">
        <w:rPr>
          <w:lang w:val="en-GB"/>
        </w:rPr>
        <w:t>would</w:t>
      </w:r>
      <w:r w:rsidRPr="00380B40">
        <w:rPr>
          <w:spacing w:val="-5"/>
          <w:lang w:val="en-GB"/>
        </w:rPr>
        <w:t xml:space="preserve"> </w:t>
      </w:r>
      <w:r w:rsidRPr="00380B40">
        <w:rPr>
          <w:spacing w:val="1"/>
          <w:lang w:val="en-GB"/>
        </w:rPr>
        <w:t>be</w:t>
      </w:r>
      <w:r w:rsidRPr="00380B40">
        <w:rPr>
          <w:spacing w:val="-6"/>
          <w:lang w:val="en-GB"/>
        </w:rPr>
        <w:t xml:space="preserve"> </w:t>
      </w:r>
      <w:r w:rsidRPr="00380B40">
        <w:rPr>
          <w:lang w:val="en-GB"/>
        </w:rPr>
        <w:t>desirable</w:t>
      </w:r>
      <w:r w:rsidRPr="00380B40">
        <w:rPr>
          <w:spacing w:val="-6"/>
          <w:lang w:val="en-GB"/>
        </w:rPr>
        <w:t xml:space="preserve"> </w:t>
      </w:r>
      <w:r w:rsidRPr="00380B40">
        <w:rPr>
          <w:lang w:val="en-GB"/>
        </w:rPr>
        <w:t>to</w:t>
      </w:r>
      <w:r w:rsidRPr="00380B40">
        <w:rPr>
          <w:spacing w:val="-5"/>
          <w:lang w:val="en-GB"/>
        </w:rPr>
        <w:t xml:space="preserve"> </w:t>
      </w:r>
      <w:r w:rsidRPr="00380B40">
        <w:rPr>
          <w:lang w:val="en-GB"/>
        </w:rPr>
        <w:t>have</w:t>
      </w:r>
      <w:r w:rsidRPr="00380B40">
        <w:rPr>
          <w:spacing w:val="-6"/>
          <w:lang w:val="en-GB"/>
        </w:rPr>
        <w:t xml:space="preserve"> </w:t>
      </w:r>
      <w:r w:rsidRPr="00380B40">
        <w:rPr>
          <w:lang w:val="en-GB"/>
        </w:rPr>
        <w:t>a</w:t>
      </w:r>
      <w:r w:rsidRPr="00380B40">
        <w:rPr>
          <w:spacing w:val="-4"/>
          <w:lang w:val="en-GB"/>
        </w:rPr>
        <w:t xml:space="preserve"> </w:t>
      </w:r>
      <w:r w:rsidRPr="00380B40">
        <w:rPr>
          <w:lang w:val="en-GB"/>
        </w:rPr>
        <w:t>concise</w:t>
      </w:r>
      <w:r w:rsidRPr="00380B40">
        <w:rPr>
          <w:spacing w:val="-6"/>
          <w:lang w:val="en-GB"/>
        </w:rPr>
        <w:t xml:space="preserve"> </w:t>
      </w:r>
      <w:r w:rsidRPr="00380B40">
        <w:rPr>
          <w:lang w:val="en-GB"/>
        </w:rPr>
        <w:t>summary</w:t>
      </w:r>
      <w:r w:rsidRPr="00380B40">
        <w:rPr>
          <w:spacing w:val="-8"/>
          <w:lang w:val="en-GB"/>
        </w:rPr>
        <w:t xml:space="preserve"> </w:t>
      </w:r>
      <w:r w:rsidRPr="00380B40">
        <w:rPr>
          <w:lang w:val="en-GB"/>
        </w:rPr>
        <w:t>of</w:t>
      </w:r>
      <w:r w:rsidRPr="00380B40">
        <w:rPr>
          <w:spacing w:val="-4"/>
          <w:lang w:val="en-GB"/>
        </w:rPr>
        <w:t xml:space="preserve"> </w:t>
      </w:r>
      <w:r w:rsidRPr="00380B40">
        <w:rPr>
          <w:lang w:val="en-GB"/>
        </w:rPr>
        <w:t>contributions</w:t>
      </w:r>
      <w:r w:rsidRPr="00380B40">
        <w:rPr>
          <w:spacing w:val="-5"/>
          <w:lang w:val="en-GB"/>
        </w:rPr>
        <w:t xml:space="preserve"> </w:t>
      </w:r>
      <w:r w:rsidRPr="00380B40">
        <w:rPr>
          <w:lang w:val="en-GB"/>
        </w:rPr>
        <w:t>(or</w:t>
      </w:r>
      <w:r w:rsidRPr="00380B40">
        <w:rPr>
          <w:spacing w:val="44"/>
          <w:lang w:val="en-GB"/>
        </w:rPr>
        <w:t xml:space="preserve"> </w:t>
      </w:r>
      <w:r w:rsidRPr="00380B40">
        <w:rPr>
          <w:lang w:val="en-GB"/>
        </w:rPr>
        <w:t xml:space="preserve">equivalent) considered </w:t>
      </w:r>
      <w:r w:rsidRPr="00380B40">
        <w:rPr>
          <w:spacing w:val="1"/>
          <w:lang w:val="en-GB"/>
        </w:rPr>
        <w:t>by</w:t>
      </w:r>
      <w:r w:rsidRPr="00380B40">
        <w:rPr>
          <w:spacing w:val="-3"/>
          <w:lang w:val="en-GB"/>
        </w:rPr>
        <w:t xml:space="preserve"> </w:t>
      </w:r>
      <w:r w:rsidRPr="00380B40">
        <w:rPr>
          <w:lang w:val="en-GB"/>
        </w:rPr>
        <w:t>the meeting.</w:t>
      </w:r>
    </w:p>
    <w:p w14:paraId="33298B5D" w14:textId="77777777" w:rsidR="00C12517" w:rsidRPr="00380B40" w:rsidRDefault="00C12517" w:rsidP="00C12517">
      <w:pPr>
        <w:rPr>
          <w:lang w:val="en-GB"/>
        </w:rPr>
      </w:pPr>
      <w:r w:rsidRPr="00380B40">
        <w:rPr>
          <w:lang w:val="en-GB"/>
        </w:rPr>
        <w:t>The</w:t>
      </w:r>
      <w:r w:rsidRPr="00380B40">
        <w:rPr>
          <w:spacing w:val="8"/>
          <w:lang w:val="en-GB"/>
        </w:rPr>
        <w:t xml:space="preserve"> </w:t>
      </w:r>
      <w:r w:rsidRPr="00380B40">
        <w:rPr>
          <w:lang w:val="en-GB"/>
        </w:rPr>
        <w:t>report</w:t>
      </w:r>
      <w:r w:rsidRPr="00380B40">
        <w:rPr>
          <w:spacing w:val="9"/>
          <w:lang w:val="en-GB"/>
        </w:rPr>
        <w:t xml:space="preserve"> </w:t>
      </w:r>
      <w:r w:rsidRPr="00380B40">
        <w:rPr>
          <w:lang w:val="en-GB"/>
        </w:rPr>
        <w:t>should</w:t>
      </w:r>
      <w:r w:rsidRPr="00380B40">
        <w:rPr>
          <w:spacing w:val="9"/>
          <w:lang w:val="en-GB"/>
        </w:rPr>
        <w:t xml:space="preserve"> </w:t>
      </w:r>
      <w:r w:rsidRPr="00380B40">
        <w:rPr>
          <w:lang w:val="en-GB"/>
        </w:rPr>
        <w:t>concisely</w:t>
      </w:r>
      <w:r w:rsidRPr="00380B40">
        <w:rPr>
          <w:spacing w:val="4"/>
          <w:lang w:val="en-GB"/>
        </w:rPr>
        <w:t xml:space="preserve"> </w:t>
      </w:r>
      <w:r w:rsidRPr="00380B40">
        <w:rPr>
          <w:lang w:val="en-GB"/>
        </w:rPr>
        <w:t>present</w:t>
      </w:r>
      <w:r w:rsidRPr="00380B40">
        <w:rPr>
          <w:spacing w:val="9"/>
          <w:lang w:val="en-GB"/>
        </w:rPr>
        <w:t xml:space="preserve"> </w:t>
      </w:r>
      <w:r w:rsidRPr="00380B40">
        <w:rPr>
          <w:lang w:val="en-GB"/>
        </w:rPr>
        <w:t>the</w:t>
      </w:r>
      <w:r w:rsidRPr="00380B40">
        <w:rPr>
          <w:spacing w:val="8"/>
          <w:lang w:val="en-GB"/>
        </w:rPr>
        <w:t xml:space="preserve"> </w:t>
      </w:r>
      <w:r w:rsidRPr="00380B40">
        <w:rPr>
          <w:lang w:val="en-GB"/>
        </w:rPr>
        <w:t>following:</w:t>
      </w:r>
      <w:r w:rsidRPr="00380B40">
        <w:rPr>
          <w:spacing w:val="9"/>
          <w:lang w:val="en-GB"/>
        </w:rPr>
        <w:t xml:space="preserve"> </w:t>
      </w:r>
      <w:r w:rsidRPr="00380B40">
        <w:rPr>
          <w:lang w:val="en-GB"/>
        </w:rPr>
        <w:t>organization</w:t>
      </w:r>
      <w:r w:rsidRPr="00380B40">
        <w:rPr>
          <w:spacing w:val="9"/>
          <w:lang w:val="en-GB"/>
        </w:rPr>
        <w:t xml:space="preserve"> </w:t>
      </w:r>
      <w:r w:rsidRPr="00380B40">
        <w:rPr>
          <w:lang w:val="en-GB"/>
        </w:rPr>
        <w:t>of</w:t>
      </w:r>
      <w:r w:rsidRPr="00380B40">
        <w:rPr>
          <w:spacing w:val="8"/>
          <w:lang w:val="en-GB"/>
        </w:rPr>
        <w:t xml:space="preserve"> </w:t>
      </w:r>
      <w:r w:rsidRPr="00380B40">
        <w:rPr>
          <w:lang w:val="en-GB"/>
        </w:rPr>
        <w:t>work;</w:t>
      </w:r>
      <w:r w:rsidRPr="00380B40">
        <w:rPr>
          <w:spacing w:val="9"/>
          <w:lang w:val="en-GB"/>
        </w:rPr>
        <w:t xml:space="preserve"> </w:t>
      </w:r>
      <w:r w:rsidRPr="00380B40">
        <w:rPr>
          <w:lang w:val="en-GB"/>
        </w:rPr>
        <w:t>references</w:t>
      </w:r>
      <w:r w:rsidRPr="00380B40">
        <w:rPr>
          <w:spacing w:val="9"/>
          <w:lang w:val="en-GB"/>
        </w:rPr>
        <w:t xml:space="preserve"> </w:t>
      </w:r>
      <w:r w:rsidRPr="00380B40">
        <w:rPr>
          <w:lang w:val="en-GB"/>
        </w:rPr>
        <w:t>to</w:t>
      </w:r>
      <w:r w:rsidRPr="00380B40">
        <w:rPr>
          <w:spacing w:val="9"/>
          <w:lang w:val="en-GB"/>
        </w:rPr>
        <w:t xml:space="preserve"> </w:t>
      </w:r>
      <w:r w:rsidRPr="00380B40">
        <w:rPr>
          <w:lang w:val="en-GB"/>
        </w:rPr>
        <w:t>and</w:t>
      </w:r>
      <w:r w:rsidRPr="00380B40">
        <w:rPr>
          <w:spacing w:val="9"/>
          <w:lang w:val="en-GB"/>
        </w:rPr>
        <w:t xml:space="preserve"> </w:t>
      </w:r>
      <w:r w:rsidRPr="00380B40">
        <w:rPr>
          <w:lang w:val="en-GB"/>
        </w:rPr>
        <w:t>possible</w:t>
      </w:r>
      <w:r w:rsidRPr="00380B40">
        <w:rPr>
          <w:spacing w:val="59"/>
          <w:lang w:val="en-GB"/>
        </w:rPr>
        <w:t xml:space="preserve"> </w:t>
      </w:r>
      <w:r w:rsidRPr="00380B40">
        <w:rPr>
          <w:lang w:val="en-GB"/>
        </w:rPr>
        <w:t>summary</w:t>
      </w:r>
      <w:r w:rsidRPr="00380B40">
        <w:rPr>
          <w:spacing w:val="4"/>
          <w:lang w:val="en-GB"/>
        </w:rPr>
        <w:t xml:space="preserve"> </w:t>
      </w:r>
      <w:r w:rsidRPr="00380B40">
        <w:rPr>
          <w:lang w:val="en-GB"/>
        </w:rPr>
        <w:t>of</w:t>
      </w:r>
      <w:r w:rsidRPr="00380B40">
        <w:rPr>
          <w:spacing w:val="11"/>
          <w:lang w:val="en-GB"/>
        </w:rPr>
        <w:t xml:space="preserve"> </w:t>
      </w:r>
      <w:r w:rsidRPr="00380B40">
        <w:rPr>
          <w:lang w:val="en-GB"/>
        </w:rPr>
        <w:t>contributions</w:t>
      </w:r>
      <w:r w:rsidRPr="00380B40">
        <w:rPr>
          <w:spacing w:val="10"/>
          <w:lang w:val="en-GB"/>
        </w:rPr>
        <w:t xml:space="preserve"> </w:t>
      </w:r>
      <w:r w:rsidRPr="00380B40">
        <w:rPr>
          <w:lang w:val="en-GB"/>
        </w:rPr>
        <w:t>and/or</w:t>
      </w:r>
      <w:r w:rsidRPr="00380B40">
        <w:rPr>
          <w:spacing w:val="9"/>
          <w:lang w:val="en-GB"/>
        </w:rPr>
        <w:t xml:space="preserve"> </w:t>
      </w:r>
      <w:r w:rsidRPr="00380B40">
        <w:rPr>
          <w:lang w:val="en-GB"/>
        </w:rPr>
        <w:t>documents</w:t>
      </w:r>
      <w:r w:rsidRPr="00380B40">
        <w:rPr>
          <w:spacing w:val="9"/>
          <w:lang w:val="en-GB"/>
        </w:rPr>
        <w:t xml:space="preserve"> </w:t>
      </w:r>
      <w:r w:rsidRPr="00380B40">
        <w:rPr>
          <w:lang w:val="en-GB"/>
        </w:rPr>
        <w:t>issued</w:t>
      </w:r>
      <w:r w:rsidRPr="00380B40">
        <w:rPr>
          <w:spacing w:val="9"/>
          <w:lang w:val="en-GB"/>
        </w:rPr>
        <w:t xml:space="preserve"> </w:t>
      </w:r>
      <w:r w:rsidRPr="00380B40">
        <w:rPr>
          <w:lang w:val="en-GB"/>
        </w:rPr>
        <w:t>during</w:t>
      </w:r>
      <w:r w:rsidRPr="00380B40">
        <w:rPr>
          <w:spacing w:val="6"/>
          <w:lang w:val="en-GB"/>
        </w:rPr>
        <w:t xml:space="preserve"> </w:t>
      </w:r>
      <w:r w:rsidRPr="00380B40">
        <w:rPr>
          <w:lang w:val="en-GB"/>
        </w:rPr>
        <w:t>a</w:t>
      </w:r>
      <w:r w:rsidRPr="00380B40">
        <w:rPr>
          <w:spacing w:val="8"/>
          <w:lang w:val="en-GB"/>
        </w:rPr>
        <w:t xml:space="preserve"> </w:t>
      </w:r>
      <w:r w:rsidRPr="00380B40">
        <w:rPr>
          <w:lang w:val="en-GB"/>
        </w:rPr>
        <w:t>meeting;</w:t>
      </w:r>
      <w:r w:rsidRPr="00380B40">
        <w:rPr>
          <w:spacing w:val="9"/>
          <w:lang w:val="en-GB"/>
        </w:rPr>
        <w:t xml:space="preserve"> </w:t>
      </w:r>
      <w:r w:rsidRPr="00380B40">
        <w:rPr>
          <w:lang w:val="en-GB"/>
        </w:rPr>
        <w:t>main</w:t>
      </w:r>
      <w:r w:rsidRPr="00380B40">
        <w:rPr>
          <w:spacing w:val="11"/>
          <w:lang w:val="en-GB"/>
        </w:rPr>
        <w:t xml:space="preserve"> </w:t>
      </w:r>
      <w:r w:rsidRPr="00380B40">
        <w:rPr>
          <w:lang w:val="en-GB"/>
        </w:rPr>
        <w:t>results,</w:t>
      </w:r>
      <w:r w:rsidRPr="00380B40">
        <w:rPr>
          <w:spacing w:val="9"/>
          <w:lang w:val="en-GB"/>
        </w:rPr>
        <w:t xml:space="preserve"> </w:t>
      </w:r>
      <w:r w:rsidRPr="00380B40">
        <w:rPr>
          <w:lang w:val="en-GB"/>
        </w:rPr>
        <w:t>including</w:t>
      </w:r>
      <w:r w:rsidRPr="00380B40">
        <w:rPr>
          <w:spacing w:val="7"/>
          <w:lang w:val="en-GB"/>
        </w:rPr>
        <w:t xml:space="preserve"> </w:t>
      </w:r>
      <w:r w:rsidRPr="00380B40">
        <w:rPr>
          <w:lang w:val="en-GB"/>
        </w:rPr>
        <w:t>status</w:t>
      </w:r>
      <w:r w:rsidRPr="00380B40">
        <w:rPr>
          <w:spacing w:val="65"/>
          <w:lang w:val="en-GB"/>
        </w:rPr>
        <w:t xml:space="preserve"> </w:t>
      </w:r>
      <w:r w:rsidRPr="00380B40">
        <w:rPr>
          <w:lang w:val="en-GB"/>
        </w:rPr>
        <w:t>of</w:t>
      </w:r>
      <w:r w:rsidRPr="00380B40">
        <w:rPr>
          <w:spacing w:val="1"/>
          <w:lang w:val="en-GB"/>
        </w:rPr>
        <w:t xml:space="preserve"> </w:t>
      </w:r>
      <w:r w:rsidRPr="00380B40">
        <w:rPr>
          <w:lang w:val="en-GB"/>
        </w:rPr>
        <w:t>new</w:t>
      </w:r>
      <w:r w:rsidRPr="00380B40">
        <w:rPr>
          <w:spacing w:val="1"/>
          <w:lang w:val="en-GB"/>
        </w:rPr>
        <w:t xml:space="preserve"> </w:t>
      </w:r>
      <w:r w:rsidRPr="00380B40">
        <w:rPr>
          <w:lang w:val="en-GB"/>
        </w:rPr>
        <w:t>and/or</w:t>
      </w:r>
      <w:r w:rsidRPr="00380B40">
        <w:rPr>
          <w:spacing w:val="1"/>
          <w:lang w:val="en-GB"/>
        </w:rPr>
        <w:t xml:space="preserve"> </w:t>
      </w:r>
      <w:r w:rsidRPr="00380B40">
        <w:rPr>
          <w:lang w:val="en-GB"/>
        </w:rPr>
        <w:t>revised</w:t>
      </w:r>
      <w:r w:rsidRPr="00380B40">
        <w:rPr>
          <w:spacing w:val="1"/>
          <w:lang w:val="en-GB"/>
        </w:rPr>
        <w:t xml:space="preserve"> </w:t>
      </w:r>
      <w:r w:rsidRPr="00380B40">
        <w:rPr>
          <w:lang w:val="en-GB"/>
        </w:rPr>
        <w:t>Recommendations</w:t>
      </w:r>
      <w:r w:rsidRPr="00380B40">
        <w:rPr>
          <w:spacing w:val="2"/>
          <w:lang w:val="en-GB"/>
        </w:rPr>
        <w:t xml:space="preserve"> </w:t>
      </w:r>
      <w:r w:rsidRPr="00380B40">
        <w:rPr>
          <w:lang w:val="en-GB"/>
        </w:rPr>
        <w:t>consented,</w:t>
      </w:r>
      <w:r w:rsidRPr="00380B40">
        <w:rPr>
          <w:spacing w:val="2"/>
          <w:lang w:val="en-GB"/>
        </w:rPr>
        <w:t xml:space="preserve"> </w:t>
      </w:r>
      <w:r w:rsidRPr="00380B40">
        <w:rPr>
          <w:lang w:val="en-GB"/>
        </w:rPr>
        <w:t>determined</w:t>
      </w:r>
      <w:r w:rsidRPr="00380B40">
        <w:rPr>
          <w:spacing w:val="2"/>
          <w:lang w:val="en-GB"/>
        </w:rPr>
        <w:t xml:space="preserve"> </w:t>
      </w:r>
      <w:r w:rsidRPr="00380B40">
        <w:rPr>
          <w:lang w:val="en-GB"/>
        </w:rPr>
        <w:t>or</w:t>
      </w:r>
      <w:r w:rsidRPr="00380B40">
        <w:rPr>
          <w:spacing w:val="1"/>
          <w:lang w:val="en-GB"/>
        </w:rPr>
        <w:t xml:space="preserve"> </w:t>
      </w:r>
      <w:r w:rsidRPr="00380B40">
        <w:rPr>
          <w:lang w:val="en-GB"/>
        </w:rPr>
        <w:t>under</w:t>
      </w:r>
      <w:r w:rsidRPr="00380B40">
        <w:rPr>
          <w:spacing w:val="1"/>
          <w:lang w:val="en-GB"/>
        </w:rPr>
        <w:t xml:space="preserve"> </w:t>
      </w:r>
      <w:r w:rsidRPr="00380B40">
        <w:rPr>
          <w:lang w:val="en-GB"/>
        </w:rPr>
        <w:t>development;</w:t>
      </w:r>
      <w:r w:rsidRPr="00380B40">
        <w:rPr>
          <w:spacing w:val="2"/>
          <w:lang w:val="en-GB"/>
        </w:rPr>
        <w:t xml:space="preserve"> </w:t>
      </w:r>
      <w:r w:rsidRPr="00380B40">
        <w:rPr>
          <w:lang w:val="en-GB"/>
        </w:rPr>
        <w:t>directive</w:t>
      </w:r>
      <w:r w:rsidRPr="00380B40">
        <w:rPr>
          <w:spacing w:val="1"/>
          <w:lang w:val="en-GB"/>
        </w:rPr>
        <w:t xml:space="preserve"> </w:t>
      </w:r>
      <w:r w:rsidRPr="00380B40">
        <w:rPr>
          <w:lang w:val="en-GB"/>
        </w:rPr>
        <w:t>for</w:t>
      </w:r>
      <w:r w:rsidRPr="00380B40">
        <w:rPr>
          <w:spacing w:val="119"/>
          <w:lang w:val="en-GB"/>
        </w:rPr>
        <w:t xml:space="preserve"> </w:t>
      </w:r>
      <w:r w:rsidRPr="00380B40">
        <w:rPr>
          <w:lang w:val="en-GB"/>
        </w:rPr>
        <w:t>future</w:t>
      </w:r>
      <w:r w:rsidRPr="00380B40">
        <w:rPr>
          <w:spacing w:val="15"/>
          <w:lang w:val="en-GB"/>
        </w:rPr>
        <w:t xml:space="preserve"> </w:t>
      </w:r>
      <w:r w:rsidRPr="00380B40">
        <w:rPr>
          <w:lang w:val="en-GB"/>
        </w:rPr>
        <w:t>work;</w:t>
      </w:r>
      <w:r w:rsidRPr="00380B40">
        <w:rPr>
          <w:spacing w:val="17"/>
          <w:lang w:val="en-GB"/>
        </w:rPr>
        <w:t xml:space="preserve"> </w:t>
      </w:r>
      <w:r w:rsidRPr="00380B40">
        <w:rPr>
          <w:lang w:val="en-GB"/>
        </w:rPr>
        <w:t>planned</w:t>
      </w:r>
      <w:r w:rsidRPr="00380B40">
        <w:rPr>
          <w:spacing w:val="16"/>
          <w:lang w:val="en-GB"/>
        </w:rPr>
        <w:t xml:space="preserve"> </w:t>
      </w:r>
      <w:r w:rsidRPr="00380B40">
        <w:rPr>
          <w:lang w:val="en-GB"/>
        </w:rPr>
        <w:t>meetings</w:t>
      </w:r>
      <w:r w:rsidRPr="00380B40">
        <w:rPr>
          <w:spacing w:val="16"/>
          <w:lang w:val="en-GB"/>
        </w:rPr>
        <w:t xml:space="preserve"> </w:t>
      </w:r>
      <w:r w:rsidRPr="00380B40">
        <w:rPr>
          <w:lang w:val="en-GB"/>
        </w:rPr>
        <w:t>of</w:t>
      </w:r>
      <w:r w:rsidRPr="00380B40">
        <w:rPr>
          <w:spacing w:val="15"/>
          <w:lang w:val="en-GB"/>
        </w:rPr>
        <w:t xml:space="preserve"> </w:t>
      </w:r>
      <w:r w:rsidRPr="00380B40">
        <w:rPr>
          <w:lang w:val="en-GB"/>
        </w:rPr>
        <w:t>working</w:t>
      </w:r>
      <w:r w:rsidRPr="00380B40">
        <w:rPr>
          <w:spacing w:val="14"/>
          <w:lang w:val="en-GB"/>
        </w:rPr>
        <w:t xml:space="preserve"> </w:t>
      </w:r>
      <w:r w:rsidRPr="00380B40">
        <w:rPr>
          <w:lang w:val="en-GB"/>
        </w:rPr>
        <w:t>parties,</w:t>
      </w:r>
      <w:r w:rsidRPr="00380B40">
        <w:rPr>
          <w:spacing w:val="16"/>
          <w:lang w:val="en-GB"/>
        </w:rPr>
        <w:t xml:space="preserve"> </w:t>
      </w:r>
      <w:r w:rsidRPr="00380B40">
        <w:rPr>
          <w:lang w:val="en-GB"/>
        </w:rPr>
        <w:t>sub-working</w:t>
      </w:r>
      <w:r w:rsidRPr="00380B40">
        <w:rPr>
          <w:spacing w:val="14"/>
          <w:lang w:val="en-GB"/>
        </w:rPr>
        <w:t xml:space="preserve"> </w:t>
      </w:r>
      <w:r w:rsidRPr="00380B40">
        <w:rPr>
          <w:lang w:val="en-GB"/>
        </w:rPr>
        <w:t>parties</w:t>
      </w:r>
      <w:r w:rsidRPr="00380B40">
        <w:rPr>
          <w:spacing w:val="16"/>
          <w:lang w:val="en-GB"/>
        </w:rPr>
        <w:t xml:space="preserve"> </w:t>
      </w:r>
      <w:r w:rsidRPr="00380B40">
        <w:rPr>
          <w:lang w:val="en-GB"/>
        </w:rPr>
        <w:t>and</w:t>
      </w:r>
      <w:r w:rsidRPr="00380B40">
        <w:rPr>
          <w:spacing w:val="16"/>
          <w:lang w:val="en-GB"/>
        </w:rPr>
        <w:t xml:space="preserve"> </w:t>
      </w:r>
      <w:r w:rsidRPr="00380B40">
        <w:rPr>
          <w:lang w:val="en-GB"/>
        </w:rPr>
        <w:t>rapporteur</w:t>
      </w:r>
      <w:r w:rsidRPr="00380B40">
        <w:rPr>
          <w:spacing w:val="18"/>
          <w:lang w:val="en-GB"/>
        </w:rPr>
        <w:t xml:space="preserve"> </w:t>
      </w:r>
      <w:r w:rsidRPr="00380B40">
        <w:rPr>
          <w:lang w:val="en-GB"/>
        </w:rPr>
        <w:t>groups;</w:t>
      </w:r>
      <w:r w:rsidRPr="00380B40">
        <w:rPr>
          <w:spacing w:val="17"/>
          <w:lang w:val="en-GB"/>
        </w:rPr>
        <w:t xml:space="preserve"> </w:t>
      </w:r>
      <w:r w:rsidRPr="00380B40">
        <w:rPr>
          <w:lang w:val="en-GB"/>
        </w:rPr>
        <w:t>and</w:t>
      </w:r>
      <w:r w:rsidRPr="00380B40">
        <w:rPr>
          <w:spacing w:val="65"/>
          <w:lang w:val="en-GB"/>
        </w:rPr>
        <w:t xml:space="preserve"> </w:t>
      </w:r>
      <w:r w:rsidRPr="00380B40">
        <w:rPr>
          <w:lang w:val="en-GB"/>
        </w:rPr>
        <w:t>condensed</w:t>
      </w:r>
      <w:r w:rsidRPr="00380B40">
        <w:rPr>
          <w:spacing w:val="4"/>
          <w:lang w:val="en-GB"/>
        </w:rPr>
        <w:t xml:space="preserve"> </w:t>
      </w:r>
      <w:r w:rsidRPr="00380B40">
        <w:rPr>
          <w:lang w:val="en-GB"/>
        </w:rPr>
        <w:t>liaison</w:t>
      </w:r>
      <w:r w:rsidRPr="00380B40">
        <w:rPr>
          <w:spacing w:val="2"/>
          <w:lang w:val="en-GB"/>
        </w:rPr>
        <w:t xml:space="preserve"> </w:t>
      </w:r>
      <w:r w:rsidRPr="00380B40">
        <w:rPr>
          <w:lang w:val="en-GB"/>
        </w:rPr>
        <w:t>statements</w:t>
      </w:r>
      <w:r w:rsidRPr="00380B40">
        <w:rPr>
          <w:spacing w:val="2"/>
          <w:lang w:val="en-GB"/>
        </w:rPr>
        <w:t xml:space="preserve"> </w:t>
      </w:r>
      <w:r w:rsidRPr="00380B40">
        <w:rPr>
          <w:lang w:val="en-GB"/>
        </w:rPr>
        <w:t>endorsed</w:t>
      </w:r>
      <w:r w:rsidRPr="00380B40">
        <w:rPr>
          <w:spacing w:val="2"/>
          <w:lang w:val="en-GB"/>
        </w:rPr>
        <w:t xml:space="preserve"> </w:t>
      </w:r>
      <w:r w:rsidRPr="00380B40">
        <w:rPr>
          <w:lang w:val="en-GB"/>
        </w:rPr>
        <w:t>at</w:t>
      </w:r>
      <w:r w:rsidRPr="00380B40">
        <w:rPr>
          <w:spacing w:val="4"/>
          <w:lang w:val="en-GB"/>
        </w:rPr>
        <w:t xml:space="preserve"> </w:t>
      </w:r>
      <w:r w:rsidRPr="00380B40">
        <w:rPr>
          <w:lang w:val="en-GB"/>
        </w:rPr>
        <w:t>the</w:t>
      </w:r>
      <w:r w:rsidRPr="00380B40">
        <w:rPr>
          <w:spacing w:val="1"/>
          <w:lang w:val="en-GB"/>
        </w:rPr>
        <w:t xml:space="preserve"> </w:t>
      </w:r>
      <w:r w:rsidRPr="00380B40">
        <w:rPr>
          <w:lang w:val="en-GB"/>
        </w:rPr>
        <w:t>study group</w:t>
      </w:r>
      <w:r w:rsidRPr="00380B40">
        <w:rPr>
          <w:spacing w:val="2"/>
          <w:lang w:val="en-GB"/>
        </w:rPr>
        <w:t xml:space="preserve"> </w:t>
      </w:r>
      <w:r w:rsidRPr="00380B40">
        <w:rPr>
          <w:lang w:val="en-GB"/>
        </w:rPr>
        <w:t>or</w:t>
      </w:r>
      <w:r w:rsidRPr="00380B40">
        <w:rPr>
          <w:spacing w:val="3"/>
          <w:lang w:val="en-GB"/>
        </w:rPr>
        <w:t xml:space="preserve"> </w:t>
      </w:r>
      <w:r w:rsidRPr="00380B40">
        <w:rPr>
          <w:lang w:val="en-GB"/>
        </w:rPr>
        <w:t>working</w:t>
      </w:r>
      <w:r w:rsidRPr="00380B40">
        <w:rPr>
          <w:spacing w:val="2"/>
          <w:lang w:val="en-GB"/>
        </w:rPr>
        <w:t xml:space="preserve"> </w:t>
      </w:r>
      <w:r w:rsidRPr="00380B40">
        <w:rPr>
          <w:lang w:val="en-GB"/>
        </w:rPr>
        <w:t>party level.</w:t>
      </w:r>
      <w:r w:rsidRPr="00380B40">
        <w:rPr>
          <w:spacing w:val="2"/>
          <w:lang w:val="en-GB"/>
        </w:rPr>
        <w:t xml:space="preserve"> </w:t>
      </w:r>
      <w:r w:rsidRPr="00380B40">
        <w:rPr>
          <w:lang w:val="en-GB"/>
        </w:rPr>
        <w:t>The</w:t>
      </w:r>
      <w:r w:rsidRPr="00380B40">
        <w:rPr>
          <w:spacing w:val="1"/>
          <w:lang w:val="en-GB"/>
        </w:rPr>
        <w:t xml:space="preserve"> </w:t>
      </w:r>
      <w:r w:rsidRPr="00380B40">
        <w:rPr>
          <w:lang w:val="en-GB"/>
        </w:rPr>
        <w:t>table</w:t>
      </w:r>
      <w:r w:rsidRPr="00380B40">
        <w:rPr>
          <w:spacing w:val="3"/>
          <w:lang w:val="en-GB"/>
        </w:rPr>
        <w:t xml:space="preserve"> </w:t>
      </w:r>
      <w:r w:rsidRPr="00380B40">
        <w:rPr>
          <w:lang w:val="en-GB"/>
        </w:rPr>
        <w:t>showing</w:t>
      </w:r>
      <w:r w:rsidRPr="00380B40">
        <w:rPr>
          <w:spacing w:val="66"/>
          <w:lang w:val="en-GB"/>
        </w:rPr>
        <w:t xml:space="preserve"> </w:t>
      </w:r>
      <w:r w:rsidRPr="00380B40">
        <w:rPr>
          <w:lang w:val="en-GB"/>
        </w:rPr>
        <w:t>the</w:t>
      </w:r>
      <w:r w:rsidRPr="00380B40">
        <w:rPr>
          <w:spacing w:val="1"/>
          <w:lang w:val="en-GB"/>
        </w:rPr>
        <w:t xml:space="preserve"> </w:t>
      </w:r>
      <w:r w:rsidRPr="00380B40">
        <w:rPr>
          <w:lang w:val="en-GB"/>
        </w:rPr>
        <w:t>status</w:t>
      </w:r>
      <w:r w:rsidRPr="00380B40">
        <w:rPr>
          <w:spacing w:val="2"/>
          <w:lang w:val="en-GB"/>
        </w:rPr>
        <w:t xml:space="preserve"> </w:t>
      </w:r>
      <w:r w:rsidRPr="00380B40">
        <w:rPr>
          <w:lang w:val="en-GB"/>
        </w:rPr>
        <w:t>of</w:t>
      </w:r>
      <w:r w:rsidRPr="00380B40">
        <w:rPr>
          <w:spacing w:val="1"/>
          <w:lang w:val="en-GB"/>
        </w:rPr>
        <w:t xml:space="preserve"> </w:t>
      </w:r>
      <w:r w:rsidRPr="00380B40">
        <w:rPr>
          <w:lang w:val="en-GB"/>
        </w:rPr>
        <w:t>Recommendations</w:t>
      </w:r>
      <w:r w:rsidRPr="00380B40">
        <w:rPr>
          <w:spacing w:val="2"/>
          <w:lang w:val="en-GB"/>
        </w:rPr>
        <w:t xml:space="preserve"> </w:t>
      </w:r>
      <w:r w:rsidRPr="00380B40">
        <w:rPr>
          <w:lang w:val="en-GB"/>
        </w:rPr>
        <w:t>from</w:t>
      </w:r>
      <w:r w:rsidRPr="00380B40">
        <w:rPr>
          <w:spacing w:val="2"/>
          <w:lang w:val="en-GB"/>
        </w:rPr>
        <w:t xml:space="preserve"> </w:t>
      </w:r>
      <w:r w:rsidRPr="00380B40">
        <w:rPr>
          <w:lang w:val="en-GB"/>
        </w:rPr>
        <w:t>the</w:t>
      </w:r>
      <w:r w:rsidRPr="00380B40">
        <w:rPr>
          <w:spacing w:val="3"/>
          <w:lang w:val="en-GB"/>
        </w:rPr>
        <w:t xml:space="preserve"> </w:t>
      </w:r>
      <w:r w:rsidRPr="00380B40">
        <w:rPr>
          <w:lang w:val="en-GB"/>
        </w:rPr>
        <w:t>report</w:t>
      </w:r>
      <w:r w:rsidRPr="00380B40">
        <w:rPr>
          <w:spacing w:val="1"/>
          <w:lang w:val="en-GB"/>
        </w:rPr>
        <w:t xml:space="preserve"> </w:t>
      </w:r>
      <w:r w:rsidRPr="00380B40">
        <w:rPr>
          <w:lang w:val="en-GB"/>
        </w:rPr>
        <w:t>is</w:t>
      </w:r>
      <w:r w:rsidRPr="00380B40">
        <w:rPr>
          <w:spacing w:val="5"/>
          <w:lang w:val="en-GB"/>
        </w:rPr>
        <w:t xml:space="preserve"> </w:t>
      </w:r>
      <w:r w:rsidRPr="00380B40">
        <w:rPr>
          <w:lang w:val="en-GB"/>
        </w:rPr>
        <w:t>used</w:t>
      </w:r>
      <w:r w:rsidRPr="00380B40">
        <w:rPr>
          <w:spacing w:val="2"/>
          <w:lang w:val="en-GB"/>
        </w:rPr>
        <w:t xml:space="preserve"> </w:t>
      </w:r>
      <w:r w:rsidRPr="00380B40">
        <w:rPr>
          <w:lang w:val="en-GB"/>
        </w:rPr>
        <w:t>to</w:t>
      </w:r>
      <w:r w:rsidRPr="00380B40">
        <w:rPr>
          <w:spacing w:val="2"/>
          <w:lang w:val="en-GB"/>
        </w:rPr>
        <w:t xml:space="preserve"> </w:t>
      </w:r>
      <w:r w:rsidRPr="00380B40">
        <w:rPr>
          <w:lang w:val="en-GB"/>
        </w:rPr>
        <w:t>update</w:t>
      </w:r>
      <w:r w:rsidRPr="00380B40">
        <w:rPr>
          <w:spacing w:val="3"/>
          <w:lang w:val="en-GB"/>
        </w:rPr>
        <w:t xml:space="preserve"> </w:t>
      </w:r>
      <w:r w:rsidRPr="00380B40">
        <w:rPr>
          <w:lang w:val="en-GB"/>
        </w:rPr>
        <w:t>the</w:t>
      </w:r>
      <w:r w:rsidRPr="00380B40">
        <w:rPr>
          <w:spacing w:val="1"/>
          <w:lang w:val="en-GB"/>
        </w:rPr>
        <w:t xml:space="preserve"> </w:t>
      </w:r>
      <w:r w:rsidRPr="00380B40">
        <w:rPr>
          <w:lang w:val="en-GB"/>
        </w:rPr>
        <w:t>work</w:t>
      </w:r>
      <w:r w:rsidRPr="00380B40">
        <w:rPr>
          <w:spacing w:val="3"/>
          <w:lang w:val="en-GB"/>
        </w:rPr>
        <w:t xml:space="preserve"> </w:t>
      </w:r>
      <w:r w:rsidRPr="00380B40">
        <w:rPr>
          <w:lang w:val="en-GB"/>
        </w:rPr>
        <w:t>programme</w:t>
      </w:r>
      <w:r w:rsidRPr="00380B40">
        <w:rPr>
          <w:spacing w:val="1"/>
          <w:lang w:val="en-GB"/>
        </w:rPr>
        <w:t xml:space="preserve"> </w:t>
      </w:r>
      <w:r w:rsidRPr="00380B40">
        <w:rPr>
          <w:lang w:val="en-GB"/>
        </w:rPr>
        <w:t>database</w:t>
      </w:r>
      <w:r w:rsidRPr="00380B40">
        <w:rPr>
          <w:spacing w:val="1"/>
          <w:lang w:val="en-GB"/>
        </w:rPr>
        <w:t xml:space="preserve"> </w:t>
      </w:r>
      <w:r w:rsidRPr="00380B40">
        <w:rPr>
          <w:lang w:val="en-GB"/>
        </w:rPr>
        <w:t>(see</w:t>
      </w:r>
      <w:r w:rsidRPr="00380B40">
        <w:rPr>
          <w:spacing w:val="37"/>
          <w:lang w:val="en-GB"/>
        </w:rPr>
        <w:t xml:space="preserve"> </w:t>
      </w:r>
      <w:r w:rsidRPr="00380B40">
        <w:rPr>
          <w:lang w:val="en-GB"/>
        </w:rPr>
        <w:t>clause</w:t>
      </w:r>
      <w:r w:rsidRPr="00380B40">
        <w:rPr>
          <w:spacing w:val="-2"/>
          <w:lang w:val="en-GB"/>
        </w:rPr>
        <w:t xml:space="preserve"> </w:t>
      </w:r>
      <w:r w:rsidRPr="00380B40">
        <w:rPr>
          <w:lang w:val="en-GB"/>
        </w:rPr>
        <w:t>1.4.7).</w:t>
      </w:r>
    </w:p>
    <w:p w14:paraId="5BD43571" w14:textId="77777777" w:rsidR="00C12517" w:rsidRPr="00380B40" w:rsidRDefault="00C12517" w:rsidP="00C12517">
      <w:pPr>
        <w:rPr>
          <w:lang w:val="en-GB"/>
        </w:rPr>
      </w:pPr>
      <w:r w:rsidRPr="00380B40">
        <w:rPr>
          <w:b/>
          <w:bCs/>
          <w:lang w:val="en-GB"/>
        </w:rPr>
        <w:t>1.7.2</w:t>
      </w:r>
      <w:r w:rsidRPr="00380B40">
        <w:rPr>
          <w:lang w:val="en-GB"/>
        </w:rPr>
        <w:tab/>
        <w:t>To</w:t>
      </w:r>
      <w:r w:rsidRPr="00380B40">
        <w:rPr>
          <w:spacing w:val="18"/>
          <w:lang w:val="en-GB"/>
        </w:rPr>
        <w:t xml:space="preserve"> </w:t>
      </w:r>
      <w:r w:rsidRPr="00380B40">
        <w:rPr>
          <w:lang w:val="en-GB"/>
        </w:rPr>
        <w:t>assist</w:t>
      </w:r>
      <w:r w:rsidRPr="00380B40">
        <w:rPr>
          <w:spacing w:val="19"/>
          <w:lang w:val="en-GB"/>
        </w:rPr>
        <w:t xml:space="preserve"> </w:t>
      </w:r>
      <w:r w:rsidRPr="00380B40">
        <w:rPr>
          <w:lang w:val="en-GB"/>
        </w:rPr>
        <w:t>TSB</w:t>
      </w:r>
      <w:r w:rsidRPr="00380B40">
        <w:rPr>
          <w:spacing w:val="17"/>
          <w:lang w:val="en-GB"/>
        </w:rPr>
        <w:t xml:space="preserve"> </w:t>
      </w:r>
      <w:r w:rsidRPr="00380B40">
        <w:rPr>
          <w:lang w:val="en-GB"/>
        </w:rPr>
        <w:t>in</w:t>
      </w:r>
      <w:r w:rsidRPr="00380B40">
        <w:rPr>
          <w:spacing w:val="19"/>
          <w:lang w:val="en-GB"/>
        </w:rPr>
        <w:t xml:space="preserve"> </w:t>
      </w:r>
      <w:r w:rsidRPr="00380B40">
        <w:rPr>
          <w:lang w:val="en-GB"/>
        </w:rPr>
        <w:t>this</w:t>
      </w:r>
      <w:r w:rsidRPr="00380B40">
        <w:rPr>
          <w:spacing w:val="19"/>
          <w:lang w:val="en-GB"/>
        </w:rPr>
        <w:t xml:space="preserve"> </w:t>
      </w:r>
      <w:r w:rsidRPr="00380B40">
        <w:rPr>
          <w:lang w:val="en-GB"/>
        </w:rPr>
        <w:t>task,</w:t>
      </w:r>
      <w:r w:rsidRPr="00380B40">
        <w:rPr>
          <w:spacing w:val="18"/>
          <w:lang w:val="en-GB"/>
        </w:rPr>
        <w:t xml:space="preserve"> </w:t>
      </w:r>
      <w:r w:rsidRPr="00380B40">
        <w:rPr>
          <w:lang w:val="en-GB"/>
        </w:rPr>
        <w:t>the</w:t>
      </w:r>
      <w:r w:rsidRPr="00380B40">
        <w:rPr>
          <w:spacing w:val="21"/>
          <w:lang w:val="en-GB"/>
        </w:rPr>
        <w:t xml:space="preserve"> </w:t>
      </w:r>
      <w:r w:rsidRPr="00380B40">
        <w:rPr>
          <w:spacing w:val="1"/>
          <w:lang w:val="en-GB"/>
        </w:rPr>
        <w:t>study</w:t>
      </w:r>
      <w:r w:rsidRPr="00380B40">
        <w:rPr>
          <w:spacing w:val="16"/>
          <w:lang w:val="en-GB"/>
        </w:rPr>
        <w:t xml:space="preserve"> </w:t>
      </w:r>
      <w:r w:rsidRPr="00380B40">
        <w:rPr>
          <w:lang w:val="en-GB"/>
        </w:rPr>
        <w:t>group</w:t>
      </w:r>
      <w:r w:rsidRPr="00380B40">
        <w:rPr>
          <w:spacing w:val="20"/>
          <w:lang w:val="en-GB"/>
        </w:rPr>
        <w:t xml:space="preserve"> </w:t>
      </w:r>
      <w:r w:rsidRPr="00380B40">
        <w:rPr>
          <w:lang w:val="en-GB"/>
        </w:rPr>
        <w:t>or</w:t>
      </w:r>
      <w:r w:rsidRPr="00380B40">
        <w:rPr>
          <w:spacing w:val="18"/>
          <w:lang w:val="en-GB"/>
        </w:rPr>
        <w:t xml:space="preserve"> </w:t>
      </w:r>
      <w:r w:rsidRPr="00380B40">
        <w:rPr>
          <w:lang w:val="en-GB"/>
        </w:rPr>
        <w:t>working</w:t>
      </w:r>
      <w:r w:rsidRPr="00380B40">
        <w:rPr>
          <w:spacing w:val="16"/>
          <w:lang w:val="en-GB"/>
        </w:rPr>
        <w:t xml:space="preserve"> </w:t>
      </w:r>
      <w:r w:rsidRPr="00380B40">
        <w:rPr>
          <w:spacing w:val="1"/>
          <w:lang w:val="en-GB"/>
        </w:rPr>
        <w:t>party</w:t>
      </w:r>
      <w:r w:rsidRPr="00380B40">
        <w:rPr>
          <w:spacing w:val="14"/>
          <w:lang w:val="en-GB"/>
        </w:rPr>
        <w:t xml:space="preserve"> </w:t>
      </w:r>
      <w:r w:rsidRPr="00380B40">
        <w:rPr>
          <w:spacing w:val="1"/>
          <w:lang w:val="en-GB"/>
        </w:rPr>
        <w:t>may</w:t>
      </w:r>
      <w:r w:rsidRPr="00380B40">
        <w:rPr>
          <w:spacing w:val="16"/>
          <w:lang w:val="en-GB"/>
        </w:rPr>
        <w:t xml:space="preserve"> </w:t>
      </w:r>
      <w:r w:rsidRPr="00380B40">
        <w:rPr>
          <w:lang w:val="en-GB"/>
        </w:rPr>
        <w:t>arrange</w:t>
      </w:r>
      <w:r w:rsidRPr="00380B40">
        <w:rPr>
          <w:spacing w:val="20"/>
          <w:lang w:val="en-GB"/>
        </w:rPr>
        <w:t xml:space="preserve"> </w:t>
      </w:r>
      <w:r w:rsidRPr="00380B40">
        <w:rPr>
          <w:lang w:val="en-GB"/>
        </w:rPr>
        <w:t>for</w:t>
      </w:r>
      <w:r w:rsidRPr="00380B40">
        <w:rPr>
          <w:spacing w:val="17"/>
          <w:lang w:val="en-GB"/>
        </w:rPr>
        <w:t xml:space="preserve"> </w:t>
      </w:r>
      <w:r w:rsidRPr="00380B40">
        <w:rPr>
          <w:lang w:val="en-GB"/>
        </w:rPr>
        <w:t>delegates</w:t>
      </w:r>
      <w:r w:rsidRPr="00380B40">
        <w:rPr>
          <w:spacing w:val="18"/>
          <w:lang w:val="en-GB"/>
        </w:rPr>
        <w:t xml:space="preserve"> </w:t>
      </w:r>
      <w:r w:rsidRPr="00380B40">
        <w:rPr>
          <w:lang w:val="en-GB"/>
        </w:rPr>
        <w:t>to</w:t>
      </w:r>
      <w:r w:rsidRPr="00380B40">
        <w:rPr>
          <w:spacing w:val="34"/>
          <w:lang w:val="en-GB"/>
        </w:rPr>
        <w:t xml:space="preserve"> </w:t>
      </w:r>
      <w:r w:rsidRPr="00380B40">
        <w:rPr>
          <w:lang w:val="en-GB"/>
        </w:rPr>
        <w:t>draft</w:t>
      </w:r>
      <w:r w:rsidRPr="00380B40">
        <w:rPr>
          <w:spacing w:val="13"/>
          <w:lang w:val="en-GB"/>
        </w:rPr>
        <w:t xml:space="preserve"> </w:t>
      </w:r>
      <w:r w:rsidRPr="00380B40">
        <w:rPr>
          <w:lang w:val="en-GB"/>
        </w:rPr>
        <w:t>some</w:t>
      </w:r>
      <w:r w:rsidRPr="00380B40">
        <w:rPr>
          <w:spacing w:val="13"/>
          <w:lang w:val="en-GB"/>
        </w:rPr>
        <w:t xml:space="preserve"> </w:t>
      </w:r>
      <w:r w:rsidRPr="00380B40">
        <w:rPr>
          <w:lang w:val="en-GB"/>
        </w:rPr>
        <w:t>parts</w:t>
      </w:r>
      <w:r w:rsidRPr="00380B40">
        <w:rPr>
          <w:spacing w:val="14"/>
          <w:lang w:val="en-GB"/>
        </w:rPr>
        <w:t xml:space="preserve"> </w:t>
      </w:r>
      <w:r w:rsidRPr="00380B40">
        <w:rPr>
          <w:lang w:val="en-GB"/>
        </w:rPr>
        <w:t>of</w:t>
      </w:r>
      <w:r w:rsidRPr="00380B40">
        <w:rPr>
          <w:spacing w:val="13"/>
          <w:lang w:val="en-GB"/>
        </w:rPr>
        <w:t xml:space="preserve"> </w:t>
      </w:r>
      <w:r w:rsidRPr="00380B40">
        <w:rPr>
          <w:lang w:val="en-GB"/>
        </w:rPr>
        <w:t>the</w:t>
      </w:r>
      <w:r w:rsidRPr="00380B40">
        <w:rPr>
          <w:spacing w:val="13"/>
          <w:lang w:val="en-GB"/>
        </w:rPr>
        <w:t xml:space="preserve"> </w:t>
      </w:r>
      <w:r w:rsidRPr="00380B40">
        <w:rPr>
          <w:lang w:val="en-GB"/>
        </w:rPr>
        <w:t>report.</w:t>
      </w:r>
      <w:r w:rsidRPr="00380B40">
        <w:rPr>
          <w:spacing w:val="13"/>
          <w:lang w:val="en-GB"/>
        </w:rPr>
        <w:t xml:space="preserve"> </w:t>
      </w:r>
      <w:r w:rsidRPr="00380B40">
        <w:rPr>
          <w:lang w:val="en-GB"/>
        </w:rPr>
        <w:t>TSB</w:t>
      </w:r>
      <w:r w:rsidRPr="00380B40">
        <w:rPr>
          <w:spacing w:val="12"/>
          <w:lang w:val="en-GB"/>
        </w:rPr>
        <w:t xml:space="preserve"> </w:t>
      </w:r>
      <w:r w:rsidRPr="00380B40">
        <w:rPr>
          <w:lang w:val="en-GB"/>
        </w:rPr>
        <w:t>should</w:t>
      </w:r>
      <w:r w:rsidRPr="00380B40">
        <w:rPr>
          <w:spacing w:val="14"/>
          <w:lang w:val="en-GB"/>
        </w:rPr>
        <w:t xml:space="preserve"> </w:t>
      </w:r>
      <w:r w:rsidRPr="00380B40">
        <w:rPr>
          <w:lang w:val="en-GB"/>
        </w:rPr>
        <w:t>coordinate</w:t>
      </w:r>
      <w:r w:rsidRPr="00380B40">
        <w:rPr>
          <w:spacing w:val="13"/>
          <w:lang w:val="en-GB"/>
        </w:rPr>
        <w:t xml:space="preserve"> </w:t>
      </w:r>
      <w:r w:rsidRPr="00380B40">
        <w:rPr>
          <w:lang w:val="en-GB"/>
        </w:rPr>
        <w:t>this</w:t>
      </w:r>
      <w:r w:rsidRPr="00380B40">
        <w:rPr>
          <w:spacing w:val="14"/>
          <w:lang w:val="en-GB"/>
        </w:rPr>
        <w:t xml:space="preserve"> </w:t>
      </w:r>
      <w:r w:rsidRPr="00380B40">
        <w:rPr>
          <w:lang w:val="en-GB"/>
        </w:rPr>
        <w:t>drafting</w:t>
      </w:r>
      <w:r w:rsidRPr="00380B40">
        <w:rPr>
          <w:spacing w:val="14"/>
          <w:lang w:val="en-GB"/>
        </w:rPr>
        <w:t xml:space="preserve"> </w:t>
      </w:r>
      <w:r w:rsidRPr="00380B40">
        <w:rPr>
          <w:lang w:val="en-GB"/>
        </w:rPr>
        <w:t>work.</w:t>
      </w:r>
      <w:r w:rsidRPr="00380B40">
        <w:rPr>
          <w:spacing w:val="16"/>
          <w:lang w:val="en-GB"/>
        </w:rPr>
        <w:t xml:space="preserve"> </w:t>
      </w:r>
      <w:r w:rsidRPr="00380B40" w:rsidDel="00B62247">
        <w:rPr>
          <w:spacing w:val="-2"/>
          <w:lang w:val="en-GB"/>
        </w:rPr>
        <w:t>If</w:t>
      </w:r>
      <w:r w:rsidRPr="00380B40" w:rsidDel="00B62247">
        <w:rPr>
          <w:spacing w:val="15"/>
          <w:lang w:val="en-GB"/>
        </w:rPr>
        <w:t xml:space="preserve"> </w:t>
      </w:r>
      <w:r w:rsidRPr="00380B40" w:rsidDel="00B62247">
        <w:rPr>
          <w:lang w:val="en-GB"/>
        </w:rPr>
        <w:t>necessary,</w:t>
      </w:r>
      <w:r w:rsidRPr="00380B40" w:rsidDel="00B62247">
        <w:rPr>
          <w:spacing w:val="14"/>
          <w:lang w:val="en-GB"/>
        </w:rPr>
        <w:t xml:space="preserve"> </w:t>
      </w:r>
      <w:r w:rsidRPr="00380B40" w:rsidDel="00B62247">
        <w:rPr>
          <w:lang w:val="en-GB"/>
        </w:rPr>
        <w:t>the</w:t>
      </w:r>
      <w:r w:rsidRPr="00380B40" w:rsidDel="00B62247">
        <w:rPr>
          <w:spacing w:val="13"/>
          <w:lang w:val="en-GB"/>
        </w:rPr>
        <w:t xml:space="preserve"> </w:t>
      </w:r>
      <w:r w:rsidRPr="00380B40" w:rsidDel="00B62247">
        <w:rPr>
          <w:lang w:val="en-GB"/>
        </w:rPr>
        <w:t>meeting</w:t>
      </w:r>
      <w:r w:rsidRPr="00380B40" w:rsidDel="00B62247">
        <w:rPr>
          <w:spacing w:val="45"/>
          <w:lang w:val="en-GB"/>
        </w:rPr>
        <w:t xml:space="preserve"> </w:t>
      </w:r>
      <w:r w:rsidRPr="00380B40" w:rsidDel="00B62247">
        <w:rPr>
          <w:lang w:val="en-GB"/>
        </w:rPr>
        <w:t>will</w:t>
      </w:r>
      <w:r w:rsidRPr="00380B40" w:rsidDel="00B62247">
        <w:rPr>
          <w:spacing w:val="-5"/>
          <w:lang w:val="en-GB"/>
        </w:rPr>
        <w:t xml:space="preserve"> </w:t>
      </w:r>
      <w:r w:rsidRPr="00380B40" w:rsidDel="00B62247">
        <w:rPr>
          <w:lang w:val="en-GB"/>
        </w:rPr>
        <w:t>set</w:t>
      </w:r>
      <w:r w:rsidRPr="00380B40" w:rsidDel="00B62247">
        <w:rPr>
          <w:spacing w:val="-5"/>
          <w:lang w:val="en-GB"/>
        </w:rPr>
        <w:t xml:space="preserve"> </w:t>
      </w:r>
      <w:r w:rsidRPr="00380B40" w:rsidDel="00B62247">
        <w:rPr>
          <w:lang w:val="en-GB"/>
        </w:rPr>
        <w:t>up</w:t>
      </w:r>
      <w:r w:rsidRPr="00380B40" w:rsidDel="00B62247">
        <w:rPr>
          <w:spacing w:val="-5"/>
          <w:lang w:val="en-GB"/>
        </w:rPr>
        <w:t xml:space="preserve"> </w:t>
      </w:r>
      <w:r w:rsidRPr="00380B40" w:rsidDel="00B62247">
        <w:rPr>
          <w:lang w:val="en-GB"/>
        </w:rPr>
        <w:t>an</w:t>
      </w:r>
      <w:r w:rsidRPr="00380B40" w:rsidDel="00B62247">
        <w:rPr>
          <w:spacing w:val="-5"/>
          <w:lang w:val="en-GB"/>
        </w:rPr>
        <w:t xml:space="preserve"> </w:t>
      </w:r>
      <w:r w:rsidRPr="00380B40" w:rsidDel="00B62247">
        <w:rPr>
          <w:lang w:val="en-GB"/>
        </w:rPr>
        <w:t>editorial</w:t>
      </w:r>
      <w:r w:rsidRPr="00380B40" w:rsidDel="00B62247">
        <w:rPr>
          <w:spacing w:val="-5"/>
          <w:lang w:val="en-GB"/>
        </w:rPr>
        <w:t xml:space="preserve"> </w:t>
      </w:r>
      <w:r w:rsidRPr="00380B40" w:rsidDel="00B62247">
        <w:rPr>
          <w:lang w:val="en-GB"/>
        </w:rPr>
        <w:t>group</w:t>
      </w:r>
      <w:r w:rsidRPr="00380B40" w:rsidDel="00B62247">
        <w:rPr>
          <w:spacing w:val="-5"/>
          <w:lang w:val="en-GB"/>
        </w:rPr>
        <w:t xml:space="preserve"> </w:t>
      </w:r>
      <w:r w:rsidRPr="00380B40" w:rsidDel="00B62247">
        <w:rPr>
          <w:lang w:val="en-GB"/>
        </w:rPr>
        <w:t>to</w:t>
      </w:r>
      <w:r w:rsidRPr="00380B40" w:rsidDel="00B62247">
        <w:rPr>
          <w:spacing w:val="-5"/>
          <w:lang w:val="en-GB"/>
        </w:rPr>
        <w:t xml:space="preserve"> </w:t>
      </w:r>
      <w:r w:rsidRPr="00380B40" w:rsidDel="00B62247">
        <w:rPr>
          <w:lang w:val="en-GB"/>
        </w:rPr>
        <w:t>improve</w:t>
      </w:r>
      <w:r w:rsidRPr="00380B40" w:rsidDel="00B62247">
        <w:rPr>
          <w:spacing w:val="-7"/>
          <w:lang w:val="en-GB"/>
        </w:rPr>
        <w:t xml:space="preserve"> </w:t>
      </w:r>
      <w:r w:rsidRPr="00380B40" w:rsidDel="00B62247">
        <w:rPr>
          <w:lang w:val="en-GB"/>
        </w:rPr>
        <w:t>the</w:t>
      </w:r>
      <w:r w:rsidRPr="00380B40" w:rsidDel="00B62247">
        <w:rPr>
          <w:spacing w:val="-8"/>
          <w:lang w:val="en-GB"/>
        </w:rPr>
        <w:t xml:space="preserve"> </w:t>
      </w:r>
      <w:r w:rsidRPr="00380B40" w:rsidDel="00B62247">
        <w:rPr>
          <w:lang w:val="en-GB"/>
        </w:rPr>
        <w:t>texts</w:t>
      </w:r>
      <w:r w:rsidRPr="00380B40" w:rsidDel="00B62247">
        <w:rPr>
          <w:spacing w:val="-9"/>
          <w:lang w:val="en-GB"/>
        </w:rPr>
        <w:t xml:space="preserve"> </w:t>
      </w:r>
      <w:r w:rsidRPr="00380B40" w:rsidDel="00B62247">
        <w:rPr>
          <w:lang w:val="en-GB"/>
        </w:rPr>
        <w:t>of</w:t>
      </w:r>
      <w:r w:rsidRPr="00380B40" w:rsidDel="00B62247">
        <w:rPr>
          <w:spacing w:val="-6"/>
          <w:lang w:val="en-GB"/>
        </w:rPr>
        <w:t xml:space="preserve"> </w:t>
      </w:r>
      <w:r w:rsidRPr="00380B40" w:rsidDel="00B62247">
        <w:rPr>
          <w:lang w:val="en-GB"/>
        </w:rPr>
        <w:t>draft</w:t>
      </w:r>
      <w:r w:rsidRPr="00380B40" w:rsidDel="00B62247">
        <w:rPr>
          <w:spacing w:val="-6"/>
          <w:lang w:val="en-GB"/>
        </w:rPr>
        <w:t xml:space="preserve"> </w:t>
      </w:r>
      <w:r w:rsidRPr="00380B40" w:rsidDel="00B62247">
        <w:rPr>
          <w:lang w:val="en-GB"/>
        </w:rPr>
        <w:t>Recommendations</w:t>
      </w:r>
      <w:r w:rsidRPr="00380B40" w:rsidDel="00B62247">
        <w:rPr>
          <w:spacing w:val="-5"/>
          <w:lang w:val="en-GB"/>
        </w:rPr>
        <w:t xml:space="preserve"> </w:t>
      </w:r>
      <w:r w:rsidRPr="00380B40" w:rsidDel="00B62247">
        <w:rPr>
          <w:lang w:val="en-GB"/>
        </w:rPr>
        <w:t>in</w:t>
      </w:r>
      <w:r w:rsidRPr="00380B40" w:rsidDel="00B62247">
        <w:rPr>
          <w:spacing w:val="-5"/>
          <w:lang w:val="en-GB"/>
        </w:rPr>
        <w:t xml:space="preserve"> </w:t>
      </w:r>
      <w:r w:rsidRPr="00380B40" w:rsidDel="00B62247">
        <w:rPr>
          <w:lang w:val="en-GB"/>
        </w:rPr>
        <w:t>the</w:t>
      </w:r>
      <w:r w:rsidRPr="00380B40" w:rsidDel="00B62247">
        <w:rPr>
          <w:spacing w:val="-6"/>
          <w:lang w:val="en-GB"/>
        </w:rPr>
        <w:t xml:space="preserve"> </w:t>
      </w:r>
      <w:r w:rsidRPr="00380B40" w:rsidDel="00B62247">
        <w:rPr>
          <w:lang w:val="en-GB"/>
        </w:rPr>
        <w:t>official</w:t>
      </w:r>
      <w:r w:rsidRPr="00380B40" w:rsidDel="00B62247">
        <w:rPr>
          <w:spacing w:val="-5"/>
          <w:lang w:val="en-GB"/>
        </w:rPr>
        <w:t xml:space="preserve"> </w:t>
      </w:r>
      <w:r w:rsidRPr="00380B40" w:rsidDel="00B62247">
        <w:rPr>
          <w:lang w:val="en-GB"/>
        </w:rPr>
        <w:t>languages</w:t>
      </w:r>
      <w:r w:rsidRPr="00380B40" w:rsidDel="00B62247">
        <w:rPr>
          <w:spacing w:val="79"/>
          <w:lang w:val="en-GB"/>
        </w:rPr>
        <w:t xml:space="preserve"> </w:t>
      </w:r>
      <w:r w:rsidRPr="00380B40" w:rsidDel="00B62247">
        <w:rPr>
          <w:lang w:val="en-GB"/>
        </w:rPr>
        <w:t>of the</w:t>
      </w:r>
      <w:r w:rsidRPr="00380B40" w:rsidDel="00B62247">
        <w:rPr>
          <w:spacing w:val="-2"/>
          <w:lang w:val="en-GB"/>
        </w:rPr>
        <w:t xml:space="preserve"> </w:t>
      </w:r>
      <w:r w:rsidRPr="00380B40" w:rsidDel="00B62247">
        <w:rPr>
          <w:lang w:val="en-GB"/>
        </w:rPr>
        <w:t>Union.</w:t>
      </w:r>
    </w:p>
    <w:p w14:paraId="771314E7" w14:textId="77777777" w:rsidR="00C12517" w:rsidRPr="00380B40" w:rsidRDefault="00C12517" w:rsidP="00C12517">
      <w:pPr>
        <w:rPr>
          <w:lang w:val="en-GB"/>
        </w:rPr>
      </w:pPr>
      <w:r w:rsidRPr="00380B40">
        <w:rPr>
          <w:b/>
          <w:bCs/>
          <w:lang w:val="en-GB"/>
        </w:rPr>
        <w:t>1.7.3</w:t>
      </w:r>
      <w:r w:rsidRPr="00380B40">
        <w:rPr>
          <w:lang w:val="en-GB"/>
        </w:rPr>
        <w:tab/>
      </w:r>
      <w:r w:rsidRPr="00380B40">
        <w:rPr>
          <w:spacing w:val="-2"/>
          <w:lang w:val="en-GB"/>
        </w:rPr>
        <w:t>If</w:t>
      </w:r>
      <w:r w:rsidRPr="00380B40">
        <w:rPr>
          <w:spacing w:val="56"/>
          <w:lang w:val="en-GB"/>
        </w:rPr>
        <w:t xml:space="preserve"> </w:t>
      </w:r>
      <w:r w:rsidRPr="00380B40">
        <w:rPr>
          <w:lang w:val="en-GB"/>
        </w:rPr>
        <w:t>possible,</w:t>
      </w:r>
      <w:r w:rsidRPr="00380B40">
        <w:rPr>
          <w:spacing w:val="56"/>
          <w:lang w:val="en-GB"/>
        </w:rPr>
        <w:t xml:space="preserve"> </w:t>
      </w:r>
      <w:r w:rsidRPr="00380B40">
        <w:rPr>
          <w:lang w:val="en-GB"/>
        </w:rPr>
        <w:t>the</w:t>
      </w:r>
      <w:r w:rsidRPr="00380B40">
        <w:rPr>
          <w:spacing w:val="56"/>
          <w:lang w:val="en-GB"/>
        </w:rPr>
        <w:t xml:space="preserve"> </w:t>
      </w:r>
      <w:r w:rsidRPr="00380B40">
        <w:rPr>
          <w:lang w:val="en-GB"/>
        </w:rPr>
        <w:t>report</w:t>
      </w:r>
      <w:r w:rsidRPr="00380B40">
        <w:rPr>
          <w:spacing w:val="57"/>
          <w:lang w:val="en-GB"/>
        </w:rPr>
        <w:t xml:space="preserve"> </w:t>
      </w:r>
      <w:r w:rsidRPr="00380B40">
        <w:rPr>
          <w:lang w:val="en-GB"/>
        </w:rPr>
        <w:t>shall</w:t>
      </w:r>
      <w:r w:rsidRPr="00380B40">
        <w:rPr>
          <w:spacing w:val="58"/>
          <w:lang w:val="en-GB"/>
        </w:rPr>
        <w:t xml:space="preserve"> </w:t>
      </w:r>
      <w:r w:rsidRPr="00380B40">
        <w:rPr>
          <w:lang w:val="en-GB"/>
        </w:rPr>
        <w:t>be</w:t>
      </w:r>
      <w:r w:rsidRPr="00380B40">
        <w:rPr>
          <w:spacing w:val="56"/>
          <w:lang w:val="en-GB"/>
        </w:rPr>
        <w:t xml:space="preserve"> </w:t>
      </w:r>
      <w:r w:rsidRPr="00380B40">
        <w:rPr>
          <w:lang w:val="en-GB"/>
        </w:rPr>
        <w:t>submitted</w:t>
      </w:r>
      <w:r w:rsidRPr="00380B40">
        <w:rPr>
          <w:spacing w:val="56"/>
          <w:lang w:val="en-GB"/>
        </w:rPr>
        <w:t xml:space="preserve"> </w:t>
      </w:r>
      <w:r w:rsidRPr="00380B40">
        <w:rPr>
          <w:lang w:val="en-GB"/>
        </w:rPr>
        <w:t>for</w:t>
      </w:r>
      <w:r w:rsidRPr="00380B40">
        <w:rPr>
          <w:spacing w:val="55"/>
          <w:lang w:val="en-GB"/>
        </w:rPr>
        <w:t xml:space="preserve"> </w:t>
      </w:r>
      <w:r w:rsidRPr="00380B40">
        <w:rPr>
          <w:lang w:val="en-GB"/>
        </w:rPr>
        <w:t>approval</w:t>
      </w:r>
      <w:r w:rsidRPr="00380B40">
        <w:rPr>
          <w:spacing w:val="57"/>
          <w:lang w:val="en-GB"/>
        </w:rPr>
        <w:t xml:space="preserve"> </w:t>
      </w:r>
      <w:r w:rsidRPr="00380B40">
        <w:rPr>
          <w:lang w:val="en-GB"/>
        </w:rPr>
        <w:t>before</w:t>
      </w:r>
      <w:r w:rsidRPr="00380B40">
        <w:rPr>
          <w:spacing w:val="56"/>
          <w:lang w:val="en-GB"/>
        </w:rPr>
        <w:t xml:space="preserve"> </w:t>
      </w:r>
      <w:r w:rsidRPr="00380B40">
        <w:rPr>
          <w:lang w:val="en-GB"/>
        </w:rPr>
        <w:t>the</w:t>
      </w:r>
      <w:r w:rsidRPr="00380B40">
        <w:rPr>
          <w:spacing w:val="56"/>
          <w:lang w:val="en-GB"/>
        </w:rPr>
        <w:t xml:space="preserve"> </w:t>
      </w:r>
      <w:r w:rsidRPr="00380B40">
        <w:rPr>
          <w:lang w:val="en-GB"/>
        </w:rPr>
        <w:t>end</w:t>
      </w:r>
      <w:r w:rsidRPr="00380B40">
        <w:rPr>
          <w:spacing w:val="59"/>
          <w:lang w:val="en-GB"/>
        </w:rPr>
        <w:t xml:space="preserve"> </w:t>
      </w:r>
      <w:r w:rsidRPr="00380B40">
        <w:rPr>
          <w:lang w:val="en-GB"/>
        </w:rPr>
        <w:t>of</w:t>
      </w:r>
      <w:r w:rsidRPr="00380B40">
        <w:rPr>
          <w:spacing w:val="56"/>
          <w:lang w:val="en-GB"/>
        </w:rPr>
        <w:t xml:space="preserve"> </w:t>
      </w:r>
      <w:r w:rsidRPr="00380B40">
        <w:rPr>
          <w:lang w:val="en-GB"/>
        </w:rPr>
        <w:t>the</w:t>
      </w:r>
      <w:r w:rsidRPr="00380B40">
        <w:rPr>
          <w:spacing w:val="56"/>
          <w:lang w:val="en-GB"/>
        </w:rPr>
        <w:t xml:space="preserve"> </w:t>
      </w:r>
      <w:r w:rsidRPr="00380B40">
        <w:rPr>
          <w:lang w:val="en-GB"/>
        </w:rPr>
        <w:t>meeting;</w:t>
      </w:r>
      <w:r w:rsidRPr="00380B40">
        <w:rPr>
          <w:spacing w:val="33"/>
          <w:lang w:val="en-GB"/>
        </w:rPr>
        <w:t xml:space="preserve"> </w:t>
      </w:r>
      <w:r w:rsidRPr="00380B40">
        <w:rPr>
          <w:lang w:val="en-GB"/>
        </w:rPr>
        <w:t>otherwise, it shall be submitted to the chairman of</w:t>
      </w:r>
      <w:r w:rsidRPr="00380B40">
        <w:rPr>
          <w:spacing w:val="1"/>
          <w:lang w:val="en-GB"/>
        </w:rPr>
        <w:t xml:space="preserve"> </w:t>
      </w:r>
      <w:r w:rsidRPr="00380B40">
        <w:rPr>
          <w:lang w:val="en-GB"/>
        </w:rPr>
        <w:t>the meeting for</w:t>
      </w:r>
      <w:r w:rsidRPr="00380B40">
        <w:rPr>
          <w:spacing w:val="-2"/>
          <w:lang w:val="en-GB"/>
        </w:rPr>
        <w:t xml:space="preserve"> </w:t>
      </w:r>
      <w:r w:rsidRPr="00380B40">
        <w:rPr>
          <w:lang w:val="en-GB"/>
        </w:rPr>
        <w:t>approval.</w:t>
      </w:r>
    </w:p>
    <w:p w14:paraId="3215CE7E" w14:textId="77777777" w:rsidR="00C12517" w:rsidRPr="00380B40" w:rsidRDefault="00C12517" w:rsidP="00C12517">
      <w:pPr>
        <w:rPr>
          <w:lang w:val="en-GB"/>
        </w:rPr>
      </w:pPr>
      <w:r w:rsidRPr="00380B40">
        <w:rPr>
          <w:b/>
          <w:bCs/>
          <w:lang w:val="en-GB"/>
        </w:rPr>
        <w:t>1.7.4</w:t>
      </w:r>
      <w:r w:rsidRPr="00380B40">
        <w:rPr>
          <w:lang w:val="en-GB"/>
        </w:rPr>
        <w:tab/>
        <w:t>When</w:t>
      </w:r>
      <w:r w:rsidRPr="00380B40">
        <w:rPr>
          <w:spacing w:val="-12"/>
          <w:lang w:val="en-GB"/>
        </w:rPr>
        <w:t xml:space="preserve"> </w:t>
      </w:r>
      <w:r w:rsidRPr="00380B40">
        <w:rPr>
          <w:lang w:val="en-GB"/>
        </w:rPr>
        <w:t>existing</w:t>
      </w:r>
      <w:r w:rsidRPr="00380B40">
        <w:rPr>
          <w:spacing w:val="-14"/>
          <w:lang w:val="en-GB"/>
        </w:rPr>
        <w:t xml:space="preserve"> </w:t>
      </w:r>
      <w:r w:rsidRPr="00380B40">
        <w:rPr>
          <w:lang w:val="en-GB"/>
        </w:rPr>
        <w:t>and</w:t>
      </w:r>
      <w:r w:rsidRPr="00380B40">
        <w:rPr>
          <w:spacing w:val="-12"/>
          <w:lang w:val="en-GB"/>
        </w:rPr>
        <w:t xml:space="preserve"> </w:t>
      </w:r>
      <w:r w:rsidRPr="00380B40">
        <w:rPr>
          <w:lang w:val="en-GB"/>
        </w:rPr>
        <w:t>already</w:t>
      </w:r>
      <w:r w:rsidRPr="00380B40">
        <w:rPr>
          <w:spacing w:val="-15"/>
          <w:lang w:val="en-GB"/>
        </w:rPr>
        <w:t xml:space="preserve"> </w:t>
      </w:r>
      <w:r w:rsidRPr="00380B40">
        <w:rPr>
          <w:lang w:val="en-GB"/>
        </w:rPr>
        <w:t>translated</w:t>
      </w:r>
      <w:r w:rsidRPr="00380B40">
        <w:rPr>
          <w:spacing w:val="-10"/>
          <w:lang w:val="en-GB"/>
        </w:rPr>
        <w:t xml:space="preserve"> </w:t>
      </w:r>
      <w:r w:rsidRPr="00380B40">
        <w:rPr>
          <w:lang w:val="en-GB"/>
        </w:rPr>
        <w:t>ITU</w:t>
      </w:r>
      <w:r w:rsidRPr="00380B40">
        <w:rPr>
          <w:lang w:val="en-GB"/>
        </w:rPr>
        <w:noBreakHyphen/>
        <w:t>T</w:t>
      </w:r>
      <w:r w:rsidRPr="00380B40">
        <w:rPr>
          <w:spacing w:val="-13"/>
          <w:lang w:val="en-GB"/>
        </w:rPr>
        <w:t xml:space="preserve"> </w:t>
      </w:r>
      <w:r w:rsidRPr="00380B40">
        <w:rPr>
          <w:lang w:val="en-GB"/>
        </w:rPr>
        <w:t>texts</w:t>
      </w:r>
      <w:r w:rsidRPr="00380B40">
        <w:rPr>
          <w:spacing w:val="-12"/>
          <w:lang w:val="en-GB"/>
        </w:rPr>
        <w:t xml:space="preserve"> </w:t>
      </w:r>
      <w:r w:rsidRPr="00380B40">
        <w:rPr>
          <w:lang w:val="en-GB"/>
        </w:rPr>
        <w:t>have</w:t>
      </w:r>
      <w:r w:rsidRPr="00380B40">
        <w:rPr>
          <w:spacing w:val="-13"/>
          <w:lang w:val="en-GB"/>
        </w:rPr>
        <w:t xml:space="preserve"> </w:t>
      </w:r>
      <w:r w:rsidRPr="00380B40">
        <w:rPr>
          <w:lang w:val="en-GB"/>
        </w:rPr>
        <w:t>been</w:t>
      </w:r>
      <w:r w:rsidRPr="00380B40">
        <w:rPr>
          <w:spacing w:val="-12"/>
          <w:lang w:val="en-GB"/>
        </w:rPr>
        <w:t xml:space="preserve"> </w:t>
      </w:r>
      <w:r w:rsidRPr="00380B40">
        <w:rPr>
          <w:lang w:val="en-GB"/>
        </w:rPr>
        <w:t>used</w:t>
      </w:r>
      <w:r w:rsidRPr="00380B40">
        <w:rPr>
          <w:spacing w:val="-12"/>
          <w:lang w:val="en-GB"/>
        </w:rPr>
        <w:t xml:space="preserve"> </w:t>
      </w:r>
      <w:r w:rsidRPr="00380B40">
        <w:rPr>
          <w:lang w:val="en-GB"/>
        </w:rPr>
        <w:t>for</w:t>
      </w:r>
      <w:r w:rsidRPr="00380B40">
        <w:rPr>
          <w:spacing w:val="-13"/>
          <w:lang w:val="en-GB"/>
        </w:rPr>
        <w:t xml:space="preserve"> </w:t>
      </w:r>
      <w:r w:rsidRPr="00380B40">
        <w:rPr>
          <w:lang w:val="en-GB"/>
        </w:rPr>
        <w:t>some</w:t>
      </w:r>
      <w:r w:rsidRPr="00380B40">
        <w:rPr>
          <w:spacing w:val="-13"/>
          <w:lang w:val="en-GB"/>
        </w:rPr>
        <w:t xml:space="preserve"> </w:t>
      </w:r>
      <w:r w:rsidRPr="00380B40">
        <w:rPr>
          <w:lang w:val="en-GB"/>
        </w:rPr>
        <w:t>parts</w:t>
      </w:r>
      <w:r w:rsidRPr="00380B40">
        <w:rPr>
          <w:spacing w:val="-12"/>
          <w:lang w:val="en-GB"/>
        </w:rPr>
        <w:t xml:space="preserve"> </w:t>
      </w:r>
      <w:r w:rsidRPr="00380B40">
        <w:rPr>
          <w:lang w:val="en-GB"/>
        </w:rPr>
        <w:t>of</w:t>
      </w:r>
      <w:r w:rsidRPr="00380B40">
        <w:rPr>
          <w:spacing w:val="-13"/>
          <w:lang w:val="en-GB"/>
        </w:rPr>
        <w:t xml:space="preserve"> </w:t>
      </w:r>
      <w:r w:rsidRPr="00380B40">
        <w:rPr>
          <w:lang w:val="en-GB"/>
        </w:rPr>
        <w:t>the</w:t>
      </w:r>
      <w:r w:rsidRPr="00380B40">
        <w:rPr>
          <w:spacing w:val="-13"/>
          <w:lang w:val="en-GB"/>
        </w:rPr>
        <w:t xml:space="preserve"> </w:t>
      </w:r>
      <w:r w:rsidRPr="00380B40">
        <w:rPr>
          <w:lang w:val="en-GB"/>
        </w:rPr>
        <w:t>report,</w:t>
      </w:r>
      <w:r w:rsidRPr="00380B40">
        <w:rPr>
          <w:spacing w:val="59"/>
          <w:lang w:val="en-GB"/>
        </w:rPr>
        <w:t xml:space="preserve"> </w:t>
      </w:r>
      <w:r w:rsidRPr="00380B40">
        <w:rPr>
          <w:lang w:val="en-GB"/>
        </w:rPr>
        <w:t>a</w:t>
      </w:r>
      <w:r w:rsidRPr="00380B40">
        <w:rPr>
          <w:spacing w:val="6"/>
          <w:lang w:val="en-GB"/>
        </w:rPr>
        <w:t xml:space="preserve"> </w:t>
      </w:r>
      <w:r w:rsidRPr="00380B40">
        <w:rPr>
          <w:lang w:val="en-GB"/>
        </w:rPr>
        <w:t>copy</w:t>
      </w:r>
      <w:r w:rsidRPr="00380B40">
        <w:rPr>
          <w:spacing w:val="2"/>
          <w:lang w:val="en-GB"/>
        </w:rPr>
        <w:t xml:space="preserve"> </w:t>
      </w:r>
      <w:r w:rsidRPr="00380B40">
        <w:rPr>
          <w:spacing w:val="1"/>
          <w:lang w:val="en-GB"/>
        </w:rPr>
        <w:t>of</w:t>
      </w:r>
      <w:r w:rsidRPr="00380B40">
        <w:rPr>
          <w:spacing w:val="6"/>
          <w:lang w:val="en-GB"/>
        </w:rPr>
        <w:t xml:space="preserve"> </w:t>
      </w:r>
      <w:r w:rsidRPr="00380B40">
        <w:rPr>
          <w:lang w:val="en-GB"/>
        </w:rPr>
        <w:t>the</w:t>
      </w:r>
      <w:r w:rsidRPr="00380B40">
        <w:rPr>
          <w:spacing w:val="8"/>
          <w:lang w:val="en-GB"/>
        </w:rPr>
        <w:t xml:space="preserve"> </w:t>
      </w:r>
      <w:r w:rsidRPr="00380B40">
        <w:rPr>
          <w:lang w:val="en-GB"/>
        </w:rPr>
        <w:t>report</w:t>
      </w:r>
      <w:r w:rsidRPr="00380B40">
        <w:rPr>
          <w:spacing w:val="9"/>
          <w:lang w:val="en-GB"/>
        </w:rPr>
        <w:t xml:space="preserve"> </w:t>
      </w:r>
      <w:r w:rsidRPr="00380B40">
        <w:rPr>
          <w:lang w:val="en-GB"/>
        </w:rPr>
        <w:t>annotated</w:t>
      </w:r>
      <w:r w:rsidRPr="00380B40">
        <w:rPr>
          <w:spacing w:val="6"/>
          <w:lang w:val="en-GB"/>
        </w:rPr>
        <w:t xml:space="preserve"> </w:t>
      </w:r>
      <w:r w:rsidRPr="00380B40">
        <w:rPr>
          <w:lang w:val="en-GB"/>
        </w:rPr>
        <w:t>with</w:t>
      </w:r>
      <w:r w:rsidRPr="00380B40">
        <w:rPr>
          <w:spacing w:val="7"/>
          <w:lang w:val="en-GB"/>
        </w:rPr>
        <w:t xml:space="preserve"> </w:t>
      </w:r>
      <w:r w:rsidRPr="00380B40">
        <w:rPr>
          <w:lang w:val="en-GB"/>
        </w:rPr>
        <w:t>references</w:t>
      </w:r>
      <w:r w:rsidRPr="00380B40">
        <w:rPr>
          <w:spacing w:val="7"/>
          <w:lang w:val="en-GB"/>
        </w:rPr>
        <w:t xml:space="preserve"> </w:t>
      </w:r>
      <w:r w:rsidRPr="00380B40">
        <w:rPr>
          <w:lang w:val="en-GB"/>
        </w:rPr>
        <w:t>to</w:t>
      </w:r>
      <w:r w:rsidRPr="00380B40">
        <w:rPr>
          <w:spacing w:val="7"/>
          <w:lang w:val="en-GB"/>
        </w:rPr>
        <w:t xml:space="preserve"> </w:t>
      </w:r>
      <w:r w:rsidRPr="00380B40">
        <w:rPr>
          <w:lang w:val="en-GB"/>
        </w:rPr>
        <w:t>the</w:t>
      </w:r>
      <w:r w:rsidRPr="00380B40">
        <w:rPr>
          <w:spacing w:val="6"/>
          <w:lang w:val="en-GB"/>
        </w:rPr>
        <w:t xml:space="preserve"> </w:t>
      </w:r>
      <w:r w:rsidRPr="00380B40">
        <w:rPr>
          <w:lang w:val="en-GB"/>
        </w:rPr>
        <w:t>original</w:t>
      </w:r>
      <w:r w:rsidRPr="00380B40">
        <w:rPr>
          <w:spacing w:val="6"/>
          <w:lang w:val="en-GB"/>
        </w:rPr>
        <w:t xml:space="preserve"> </w:t>
      </w:r>
      <w:r w:rsidRPr="00380B40">
        <w:rPr>
          <w:lang w:val="en-GB"/>
        </w:rPr>
        <w:t>sources</w:t>
      </w:r>
      <w:r w:rsidRPr="00380B40">
        <w:rPr>
          <w:spacing w:val="7"/>
          <w:lang w:val="en-GB"/>
        </w:rPr>
        <w:t xml:space="preserve"> </w:t>
      </w:r>
      <w:r w:rsidRPr="00380B40">
        <w:rPr>
          <w:lang w:val="en-GB"/>
        </w:rPr>
        <w:t>should</w:t>
      </w:r>
      <w:r w:rsidRPr="00380B40">
        <w:rPr>
          <w:spacing w:val="6"/>
          <w:lang w:val="en-GB"/>
        </w:rPr>
        <w:t xml:space="preserve"> </w:t>
      </w:r>
      <w:r w:rsidRPr="00380B40">
        <w:rPr>
          <w:lang w:val="en-GB"/>
        </w:rPr>
        <w:t>also</w:t>
      </w:r>
      <w:r w:rsidRPr="00380B40">
        <w:rPr>
          <w:spacing w:val="7"/>
          <w:lang w:val="en-GB"/>
        </w:rPr>
        <w:t xml:space="preserve"> </w:t>
      </w:r>
      <w:r w:rsidRPr="00380B40">
        <w:rPr>
          <w:lang w:val="en-GB"/>
        </w:rPr>
        <w:t>be</w:t>
      </w:r>
      <w:r w:rsidRPr="00380B40">
        <w:rPr>
          <w:spacing w:val="6"/>
          <w:lang w:val="en-GB"/>
        </w:rPr>
        <w:t xml:space="preserve"> </w:t>
      </w:r>
      <w:r w:rsidRPr="00380B40">
        <w:rPr>
          <w:lang w:val="en-GB"/>
        </w:rPr>
        <w:t>sent</w:t>
      </w:r>
      <w:r w:rsidRPr="00380B40">
        <w:rPr>
          <w:spacing w:val="7"/>
          <w:lang w:val="en-GB"/>
        </w:rPr>
        <w:t xml:space="preserve"> </w:t>
      </w:r>
      <w:r w:rsidRPr="00380B40">
        <w:rPr>
          <w:lang w:val="en-GB"/>
        </w:rPr>
        <w:t>to</w:t>
      </w:r>
      <w:r w:rsidRPr="00380B40">
        <w:rPr>
          <w:spacing w:val="7"/>
          <w:lang w:val="en-GB"/>
        </w:rPr>
        <w:t xml:space="preserve"> </w:t>
      </w:r>
      <w:r w:rsidRPr="00380B40">
        <w:rPr>
          <w:lang w:val="en-GB"/>
        </w:rPr>
        <w:t>TSB.</w:t>
      </w:r>
      <w:r w:rsidRPr="00380B40">
        <w:rPr>
          <w:spacing w:val="11"/>
          <w:lang w:val="en-GB"/>
        </w:rPr>
        <w:t xml:space="preserve"> </w:t>
      </w:r>
      <w:r w:rsidRPr="00380B40">
        <w:rPr>
          <w:spacing w:val="-2"/>
          <w:lang w:val="en-GB"/>
        </w:rPr>
        <w:t>If</w:t>
      </w:r>
      <w:r w:rsidRPr="00380B40">
        <w:rPr>
          <w:spacing w:val="75"/>
          <w:lang w:val="en-GB"/>
        </w:rPr>
        <w:t xml:space="preserve"> </w:t>
      </w:r>
      <w:r w:rsidRPr="00380B40">
        <w:rPr>
          <w:lang w:val="en-GB"/>
        </w:rPr>
        <w:t>the</w:t>
      </w:r>
      <w:r w:rsidRPr="00380B40">
        <w:rPr>
          <w:spacing w:val="-15"/>
          <w:lang w:val="en-GB"/>
        </w:rPr>
        <w:t xml:space="preserve"> </w:t>
      </w:r>
      <w:r w:rsidRPr="00380B40">
        <w:rPr>
          <w:lang w:val="en-GB"/>
        </w:rPr>
        <w:t>report</w:t>
      </w:r>
      <w:r w:rsidRPr="00380B40">
        <w:rPr>
          <w:spacing w:val="-15"/>
          <w:lang w:val="en-GB"/>
        </w:rPr>
        <w:t xml:space="preserve"> </w:t>
      </w:r>
      <w:r w:rsidRPr="00380B40">
        <w:rPr>
          <w:lang w:val="en-GB"/>
        </w:rPr>
        <w:t>contains</w:t>
      </w:r>
      <w:r w:rsidRPr="00380B40">
        <w:rPr>
          <w:spacing w:val="-10"/>
          <w:lang w:val="en-GB"/>
        </w:rPr>
        <w:t xml:space="preserve"> </w:t>
      </w:r>
      <w:r w:rsidRPr="00380B40">
        <w:rPr>
          <w:lang w:val="en-GB"/>
        </w:rPr>
        <w:t>ITU</w:t>
      </w:r>
      <w:r w:rsidRPr="00380B40">
        <w:rPr>
          <w:lang w:val="en-GB"/>
        </w:rPr>
        <w:noBreakHyphen/>
        <w:t>T</w:t>
      </w:r>
      <w:r w:rsidRPr="00380B40">
        <w:rPr>
          <w:spacing w:val="-13"/>
          <w:lang w:val="en-GB"/>
        </w:rPr>
        <w:t xml:space="preserve"> </w:t>
      </w:r>
      <w:r w:rsidRPr="00380B40">
        <w:rPr>
          <w:lang w:val="en-GB"/>
        </w:rPr>
        <w:t>figures,</w:t>
      </w:r>
      <w:r w:rsidRPr="00380B40">
        <w:rPr>
          <w:spacing w:val="-15"/>
          <w:lang w:val="en-GB"/>
        </w:rPr>
        <w:t xml:space="preserve"> </w:t>
      </w:r>
      <w:r w:rsidRPr="00380B40">
        <w:rPr>
          <w:lang w:val="en-GB"/>
        </w:rPr>
        <w:t>the</w:t>
      </w:r>
      <w:r w:rsidRPr="00380B40">
        <w:rPr>
          <w:spacing w:val="-13"/>
          <w:lang w:val="en-GB"/>
        </w:rPr>
        <w:t xml:space="preserve"> </w:t>
      </w:r>
      <w:r w:rsidRPr="00380B40">
        <w:rPr>
          <w:lang w:val="en-GB"/>
        </w:rPr>
        <w:t>ITU</w:t>
      </w:r>
      <w:r w:rsidRPr="00380B40">
        <w:rPr>
          <w:lang w:val="en-GB"/>
        </w:rPr>
        <w:noBreakHyphen/>
        <w:t>T</w:t>
      </w:r>
      <w:r w:rsidRPr="00380B40">
        <w:rPr>
          <w:spacing w:val="-13"/>
          <w:lang w:val="en-GB"/>
        </w:rPr>
        <w:t xml:space="preserve"> </w:t>
      </w:r>
      <w:r w:rsidRPr="00380B40">
        <w:rPr>
          <w:lang w:val="en-GB"/>
        </w:rPr>
        <w:t>reference</w:t>
      </w:r>
      <w:r w:rsidRPr="00380B40">
        <w:rPr>
          <w:spacing w:val="-16"/>
          <w:lang w:val="en-GB"/>
        </w:rPr>
        <w:t xml:space="preserve"> </w:t>
      </w:r>
      <w:r w:rsidRPr="00380B40">
        <w:rPr>
          <w:lang w:val="en-GB"/>
        </w:rPr>
        <w:t>number</w:t>
      </w:r>
      <w:r w:rsidRPr="00380B40">
        <w:rPr>
          <w:spacing w:val="-16"/>
          <w:lang w:val="en-GB"/>
        </w:rPr>
        <w:t xml:space="preserve"> </w:t>
      </w:r>
      <w:r w:rsidRPr="00380B40">
        <w:rPr>
          <w:lang w:val="en-GB"/>
        </w:rPr>
        <w:t>should</w:t>
      </w:r>
      <w:r w:rsidRPr="00380B40">
        <w:rPr>
          <w:spacing w:val="-15"/>
          <w:lang w:val="en-GB"/>
        </w:rPr>
        <w:t xml:space="preserve"> </w:t>
      </w:r>
      <w:r w:rsidRPr="00380B40">
        <w:rPr>
          <w:lang w:val="en-GB"/>
        </w:rPr>
        <w:t>not</w:t>
      </w:r>
      <w:r w:rsidRPr="00380B40">
        <w:rPr>
          <w:spacing w:val="-14"/>
          <w:lang w:val="en-GB"/>
        </w:rPr>
        <w:t xml:space="preserve"> </w:t>
      </w:r>
      <w:r w:rsidRPr="00380B40">
        <w:rPr>
          <w:spacing w:val="1"/>
          <w:lang w:val="en-GB"/>
        </w:rPr>
        <w:t>be</w:t>
      </w:r>
      <w:r w:rsidRPr="00380B40">
        <w:rPr>
          <w:spacing w:val="-14"/>
          <w:lang w:val="en-GB"/>
        </w:rPr>
        <w:t xml:space="preserve"> </w:t>
      </w:r>
      <w:r w:rsidRPr="00380B40">
        <w:rPr>
          <w:lang w:val="en-GB"/>
        </w:rPr>
        <w:t>deleted</w:t>
      </w:r>
      <w:r w:rsidRPr="00380B40">
        <w:rPr>
          <w:spacing w:val="-12"/>
          <w:lang w:val="en-GB"/>
        </w:rPr>
        <w:t xml:space="preserve"> </w:t>
      </w:r>
      <w:r w:rsidRPr="00380B40">
        <w:rPr>
          <w:lang w:val="en-GB"/>
        </w:rPr>
        <w:t>even</w:t>
      </w:r>
      <w:r w:rsidRPr="00380B40">
        <w:rPr>
          <w:spacing w:val="-13"/>
          <w:lang w:val="en-GB"/>
        </w:rPr>
        <w:t xml:space="preserve"> </w:t>
      </w:r>
      <w:r w:rsidRPr="00380B40">
        <w:rPr>
          <w:lang w:val="en-GB"/>
        </w:rPr>
        <w:t>if</w:t>
      </w:r>
      <w:r w:rsidRPr="00380B40">
        <w:rPr>
          <w:spacing w:val="-15"/>
          <w:lang w:val="en-GB"/>
        </w:rPr>
        <w:t xml:space="preserve"> </w:t>
      </w:r>
      <w:r w:rsidRPr="00380B40">
        <w:rPr>
          <w:lang w:val="en-GB"/>
        </w:rPr>
        <w:t>the</w:t>
      </w:r>
      <w:r w:rsidRPr="00380B40">
        <w:rPr>
          <w:spacing w:val="-13"/>
          <w:lang w:val="en-GB"/>
        </w:rPr>
        <w:t xml:space="preserve"> </w:t>
      </w:r>
      <w:r w:rsidRPr="00380B40">
        <w:rPr>
          <w:lang w:val="en-GB"/>
        </w:rPr>
        <w:t>figure</w:t>
      </w:r>
      <w:r w:rsidRPr="00380B40">
        <w:rPr>
          <w:spacing w:val="67"/>
          <w:lang w:val="en-GB"/>
        </w:rPr>
        <w:t xml:space="preserve"> </w:t>
      </w:r>
      <w:r w:rsidRPr="00380B40">
        <w:rPr>
          <w:lang w:val="en-GB"/>
        </w:rPr>
        <w:t>has been modified.</w:t>
      </w:r>
    </w:p>
    <w:p w14:paraId="099F72E5" w14:textId="77777777" w:rsidR="00C12517" w:rsidRPr="00380B40" w:rsidRDefault="00C12517" w:rsidP="00C12517">
      <w:pPr>
        <w:rPr>
          <w:lang w:val="en-GB"/>
        </w:rPr>
      </w:pPr>
      <w:r w:rsidRPr="00380B40">
        <w:rPr>
          <w:b/>
          <w:bCs/>
          <w:lang w:val="en-GB"/>
        </w:rPr>
        <w:t>1.7.5</w:t>
      </w:r>
      <w:r w:rsidRPr="00380B40">
        <w:rPr>
          <w:lang w:val="en-GB"/>
        </w:rPr>
        <w:tab/>
        <w:t>Individual</w:t>
      </w:r>
      <w:r w:rsidRPr="00380B40">
        <w:rPr>
          <w:spacing w:val="21"/>
          <w:lang w:val="en-GB"/>
        </w:rPr>
        <w:t xml:space="preserve"> </w:t>
      </w:r>
      <w:r w:rsidRPr="00380B40">
        <w:rPr>
          <w:lang w:val="en-GB"/>
        </w:rPr>
        <w:t>reports</w:t>
      </w:r>
      <w:r w:rsidRPr="00380B40">
        <w:rPr>
          <w:spacing w:val="21"/>
          <w:lang w:val="en-GB"/>
        </w:rPr>
        <w:t xml:space="preserve"> </w:t>
      </w:r>
      <w:r w:rsidRPr="00380B40">
        <w:rPr>
          <w:lang w:val="en-GB"/>
        </w:rPr>
        <w:t>of</w:t>
      </w:r>
      <w:r w:rsidRPr="00380B40">
        <w:rPr>
          <w:spacing w:val="20"/>
          <w:lang w:val="en-GB"/>
        </w:rPr>
        <w:t xml:space="preserve"> </w:t>
      </w:r>
      <w:r w:rsidRPr="00380B40">
        <w:rPr>
          <w:lang w:val="en-GB"/>
        </w:rPr>
        <w:t>meetings</w:t>
      </w:r>
      <w:r w:rsidRPr="00380B40">
        <w:rPr>
          <w:spacing w:val="21"/>
          <w:lang w:val="en-GB"/>
        </w:rPr>
        <w:t xml:space="preserve"> </w:t>
      </w:r>
      <w:r w:rsidRPr="00380B40">
        <w:rPr>
          <w:lang w:val="en-GB"/>
        </w:rPr>
        <w:t>should</w:t>
      </w:r>
      <w:r w:rsidRPr="00380B40">
        <w:rPr>
          <w:spacing w:val="21"/>
          <w:lang w:val="en-GB"/>
        </w:rPr>
        <w:t xml:space="preserve"> </w:t>
      </w:r>
      <w:r w:rsidRPr="00380B40">
        <w:rPr>
          <w:lang w:val="en-GB"/>
        </w:rPr>
        <w:t>be</w:t>
      </w:r>
      <w:r w:rsidRPr="00380B40">
        <w:rPr>
          <w:spacing w:val="20"/>
          <w:lang w:val="en-GB"/>
        </w:rPr>
        <w:t xml:space="preserve"> </w:t>
      </w:r>
      <w:r w:rsidRPr="00380B40">
        <w:rPr>
          <w:lang w:val="en-GB"/>
        </w:rPr>
        <w:t>accessible</w:t>
      </w:r>
      <w:r w:rsidRPr="00380B40">
        <w:rPr>
          <w:spacing w:val="20"/>
          <w:lang w:val="en-GB"/>
        </w:rPr>
        <w:t xml:space="preserve"> </w:t>
      </w:r>
      <w:r w:rsidRPr="00380B40">
        <w:rPr>
          <w:lang w:val="en-GB"/>
        </w:rPr>
        <w:t>online</w:t>
      </w:r>
      <w:r w:rsidRPr="00380B40">
        <w:rPr>
          <w:spacing w:val="20"/>
          <w:lang w:val="en-GB"/>
        </w:rPr>
        <w:t xml:space="preserve"> </w:t>
      </w:r>
      <w:r w:rsidRPr="00380B40">
        <w:rPr>
          <w:lang w:val="en-GB"/>
        </w:rPr>
        <w:t>to</w:t>
      </w:r>
      <w:r w:rsidRPr="00380B40">
        <w:rPr>
          <w:spacing w:val="21"/>
          <w:lang w:val="en-GB"/>
        </w:rPr>
        <w:t xml:space="preserve"> </w:t>
      </w:r>
      <w:r w:rsidRPr="00380B40">
        <w:rPr>
          <w:lang w:val="en-GB"/>
        </w:rPr>
        <w:t>appropriate</w:t>
      </w:r>
      <w:r w:rsidRPr="00380B40">
        <w:rPr>
          <w:spacing w:val="23"/>
          <w:lang w:val="en-GB"/>
        </w:rPr>
        <w:t xml:space="preserve"> </w:t>
      </w:r>
      <w:r w:rsidRPr="00380B40">
        <w:rPr>
          <w:lang w:val="en-GB"/>
        </w:rPr>
        <w:t>users</w:t>
      </w:r>
      <w:r w:rsidRPr="00380B40">
        <w:rPr>
          <w:spacing w:val="20"/>
          <w:lang w:val="en-GB"/>
        </w:rPr>
        <w:t xml:space="preserve"> </w:t>
      </w:r>
      <w:r w:rsidRPr="00380B40">
        <w:rPr>
          <w:lang w:val="en-GB"/>
        </w:rPr>
        <w:t>as</w:t>
      </w:r>
      <w:r w:rsidRPr="00380B40">
        <w:rPr>
          <w:spacing w:val="21"/>
          <w:lang w:val="en-GB"/>
        </w:rPr>
        <w:t xml:space="preserve"> </w:t>
      </w:r>
      <w:r w:rsidRPr="00380B40">
        <w:rPr>
          <w:lang w:val="en-GB"/>
        </w:rPr>
        <w:t>soon</w:t>
      </w:r>
      <w:r w:rsidRPr="00380B40">
        <w:rPr>
          <w:spacing w:val="21"/>
          <w:lang w:val="en-GB"/>
        </w:rPr>
        <w:t xml:space="preserve"> </w:t>
      </w:r>
      <w:r w:rsidRPr="00380B40">
        <w:rPr>
          <w:lang w:val="en-GB"/>
        </w:rPr>
        <w:t>as</w:t>
      </w:r>
      <w:r w:rsidRPr="00380B40">
        <w:rPr>
          <w:spacing w:val="47"/>
          <w:lang w:val="en-GB"/>
        </w:rPr>
        <w:t xml:space="preserve"> </w:t>
      </w:r>
      <w:r w:rsidRPr="00380B40">
        <w:rPr>
          <w:lang w:val="en-GB"/>
        </w:rPr>
        <w:t>electronic versions of these documents are available to TSB.</w:t>
      </w:r>
    </w:p>
    <w:p w14:paraId="45077ABB" w14:textId="77777777" w:rsidR="00C12517" w:rsidRPr="00380B40" w:rsidRDefault="00C12517" w:rsidP="00C12517">
      <w:pPr>
        <w:rPr>
          <w:lang w:val="en-GB"/>
        </w:rPr>
      </w:pPr>
      <w:r w:rsidRPr="00380B40">
        <w:rPr>
          <w:b/>
          <w:bCs/>
          <w:lang w:val="en-GB"/>
        </w:rPr>
        <w:t>1.7.6</w:t>
      </w:r>
      <w:r w:rsidRPr="00380B40">
        <w:rPr>
          <w:lang w:val="en-GB"/>
        </w:rPr>
        <w:tab/>
        <w:t>ITU</w:t>
      </w:r>
      <w:r w:rsidRPr="00380B40">
        <w:rPr>
          <w:lang w:val="en-GB"/>
        </w:rPr>
        <w:noBreakHyphen/>
        <w:t>T</w:t>
      </w:r>
      <w:r w:rsidRPr="00380B40">
        <w:rPr>
          <w:spacing w:val="11"/>
          <w:lang w:val="en-GB"/>
        </w:rPr>
        <w:t xml:space="preserve"> </w:t>
      </w:r>
      <w:r w:rsidRPr="00380B40">
        <w:rPr>
          <w:lang w:val="en-GB"/>
        </w:rPr>
        <w:t>participating</w:t>
      </w:r>
      <w:r w:rsidRPr="00380B40">
        <w:rPr>
          <w:spacing w:val="9"/>
          <w:lang w:val="en-GB"/>
        </w:rPr>
        <w:t xml:space="preserve"> </w:t>
      </w:r>
      <w:r w:rsidRPr="00380B40">
        <w:rPr>
          <w:lang w:val="en-GB"/>
        </w:rPr>
        <w:t>bodies</w:t>
      </w:r>
      <w:r w:rsidRPr="00380B40">
        <w:rPr>
          <w:spacing w:val="12"/>
          <w:lang w:val="en-GB"/>
        </w:rPr>
        <w:t xml:space="preserve"> </w:t>
      </w:r>
      <w:r w:rsidRPr="00380B40">
        <w:rPr>
          <w:lang w:val="en-GB"/>
        </w:rPr>
        <w:t>are</w:t>
      </w:r>
      <w:r w:rsidRPr="00380B40">
        <w:rPr>
          <w:spacing w:val="12"/>
          <w:lang w:val="en-GB"/>
        </w:rPr>
        <w:t xml:space="preserve"> </w:t>
      </w:r>
      <w:r w:rsidRPr="00380B40">
        <w:rPr>
          <w:lang w:val="en-GB"/>
        </w:rPr>
        <w:t>authorized</w:t>
      </w:r>
      <w:r w:rsidRPr="00380B40">
        <w:rPr>
          <w:spacing w:val="11"/>
          <w:lang w:val="en-GB"/>
        </w:rPr>
        <w:t xml:space="preserve"> </w:t>
      </w:r>
      <w:r w:rsidRPr="00380B40">
        <w:rPr>
          <w:lang w:val="en-GB"/>
        </w:rPr>
        <w:t>to</w:t>
      </w:r>
      <w:r w:rsidRPr="00380B40">
        <w:rPr>
          <w:spacing w:val="12"/>
          <w:lang w:val="en-GB"/>
        </w:rPr>
        <w:t xml:space="preserve"> </w:t>
      </w:r>
      <w:r w:rsidRPr="00380B40">
        <w:rPr>
          <w:lang w:val="en-GB"/>
        </w:rPr>
        <w:t>transmit</w:t>
      </w:r>
      <w:r w:rsidRPr="00380B40">
        <w:rPr>
          <w:spacing w:val="12"/>
          <w:lang w:val="en-GB"/>
        </w:rPr>
        <w:t xml:space="preserve"> </w:t>
      </w:r>
      <w:r w:rsidRPr="00380B40">
        <w:rPr>
          <w:lang w:val="en-GB"/>
        </w:rPr>
        <w:t>study</w:t>
      </w:r>
      <w:r w:rsidRPr="00380B40">
        <w:rPr>
          <w:spacing w:val="6"/>
          <w:lang w:val="en-GB"/>
        </w:rPr>
        <w:t xml:space="preserve"> </w:t>
      </w:r>
      <w:r w:rsidRPr="00380B40">
        <w:rPr>
          <w:lang w:val="en-GB"/>
        </w:rPr>
        <w:t>group</w:t>
      </w:r>
      <w:r w:rsidRPr="00380B40">
        <w:rPr>
          <w:spacing w:val="11"/>
          <w:lang w:val="en-GB"/>
        </w:rPr>
        <w:t xml:space="preserve"> </w:t>
      </w:r>
      <w:r w:rsidRPr="00380B40">
        <w:rPr>
          <w:lang w:val="en-GB"/>
        </w:rPr>
        <w:t>or</w:t>
      </w:r>
      <w:r w:rsidRPr="00380B40">
        <w:rPr>
          <w:spacing w:val="11"/>
          <w:lang w:val="en-GB"/>
        </w:rPr>
        <w:t xml:space="preserve"> </w:t>
      </w:r>
      <w:r w:rsidRPr="00380B40">
        <w:rPr>
          <w:lang w:val="en-GB"/>
        </w:rPr>
        <w:t>working</w:t>
      </w:r>
      <w:r w:rsidRPr="00380B40">
        <w:rPr>
          <w:spacing w:val="9"/>
          <w:lang w:val="en-GB"/>
        </w:rPr>
        <w:t xml:space="preserve"> </w:t>
      </w:r>
      <w:r w:rsidRPr="00380B40">
        <w:rPr>
          <w:lang w:val="en-GB"/>
        </w:rPr>
        <w:t>party</w:t>
      </w:r>
      <w:r w:rsidRPr="00380B40">
        <w:rPr>
          <w:spacing w:val="9"/>
          <w:lang w:val="en-GB"/>
        </w:rPr>
        <w:t xml:space="preserve"> </w:t>
      </w:r>
      <w:r w:rsidRPr="00380B40">
        <w:rPr>
          <w:lang w:val="en-GB"/>
        </w:rPr>
        <w:t>reports</w:t>
      </w:r>
      <w:r w:rsidRPr="00380B40">
        <w:rPr>
          <w:spacing w:val="61"/>
          <w:lang w:val="en-GB"/>
        </w:rPr>
        <w:t xml:space="preserve"> </w:t>
      </w:r>
      <w:r w:rsidRPr="00380B40">
        <w:rPr>
          <w:lang w:val="en-GB"/>
        </w:rPr>
        <w:t>and</w:t>
      </w:r>
      <w:r w:rsidRPr="00380B40">
        <w:rPr>
          <w:spacing w:val="2"/>
          <w:lang w:val="en-GB"/>
        </w:rPr>
        <w:t xml:space="preserve"> </w:t>
      </w:r>
      <w:r w:rsidRPr="00380B40">
        <w:rPr>
          <w:lang w:val="en-GB"/>
        </w:rPr>
        <w:t>documents</w:t>
      </w:r>
      <w:r w:rsidRPr="00380B40">
        <w:rPr>
          <w:spacing w:val="2"/>
          <w:lang w:val="en-GB"/>
        </w:rPr>
        <w:t xml:space="preserve"> </w:t>
      </w:r>
      <w:r w:rsidRPr="00380B40">
        <w:rPr>
          <w:lang w:val="en-GB"/>
        </w:rPr>
        <w:t>to</w:t>
      </w:r>
      <w:r w:rsidRPr="00380B40">
        <w:rPr>
          <w:spacing w:val="5"/>
          <w:lang w:val="en-GB"/>
        </w:rPr>
        <w:t xml:space="preserve"> </w:t>
      </w:r>
      <w:r w:rsidRPr="00380B40">
        <w:rPr>
          <w:spacing w:val="1"/>
          <w:lang w:val="en-GB"/>
        </w:rPr>
        <w:t>any</w:t>
      </w:r>
      <w:r w:rsidRPr="00380B40">
        <w:rPr>
          <w:spacing w:val="-3"/>
          <w:lang w:val="en-GB"/>
        </w:rPr>
        <w:t xml:space="preserve"> </w:t>
      </w:r>
      <w:r w:rsidRPr="00380B40">
        <w:rPr>
          <w:lang w:val="en-GB"/>
        </w:rPr>
        <w:t>experts</w:t>
      </w:r>
      <w:r w:rsidRPr="00380B40">
        <w:rPr>
          <w:spacing w:val="2"/>
          <w:lang w:val="en-GB"/>
        </w:rPr>
        <w:t xml:space="preserve"> </w:t>
      </w:r>
      <w:r w:rsidRPr="00380B40">
        <w:rPr>
          <w:spacing w:val="1"/>
          <w:lang w:val="en-GB"/>
        </w:rPr>
        <w:t>they</w:t>
      </w:r>
      <w:r w:rsidRPr="00380B40">
        <w:rPr>
          <w:spacing w:val="-3"/>
          <w:lang w:val="en-GB"/>
        </w:rPr>
        <w:t xml:space="preserve"> </w:t>
      </w:r>
      <w:r w:rsidRPr="00380B40">
        <w:rPr>
          <w:lang w:val="en-GB"/>
        </w:rPr>
        <w:t>consider</w:t>
      </w:r>
      <w:r w:rsidRPr="00380B40">
        <w:rPr>
          <w:spacing w:val="1"/>
          <w:lang w:val="en-GB"/>
        </w:rPr>
        <w:t xml:space="preserve"> </w:t>
      </w:r>
      <w:r w:rsidRPr="00380B40">
        <w:rPr>
          <w:lang w:val="en-GB"/>
        </w:rPr>
        <w:t>it</w:t>
      </w:r>
      <w:r w:rsidRPr="00380B40">
        <w:rPr>
          <w:spacing w:val="2"/>
          <w:lang w:val="en-GB"/>
        </w:rPr>
        <w:t xml:space="preserve"> </w:t>
      </w:r>
      <w:r w:rsidRPr="00380B40">
        <w:rPr>
          <w:lang w:val="en-GB"/>
        </w:rPr>
        <w:t>expedient</w:t>
      </w:r>
      <w:r w:rsidRPr="00380B40">
        <w:rPr>
          <w:spacing w:val="2"/>
          <w:lang w:val="en-GB"/>
        </w:rPr>
        <w:t xml:space="preserve"> </w:t>
      </w:r>
      <w:r w:rsidRPr="00380B40">
        <w:rPr>
          <w:lang w:val="en-GB"/>
        </w:rPr>
        <w:t>to</w:t>
      </w:r>
      <w:r w:rsidRPr="00380B40">
        <w:rPr>
          <w:spacing w:val="2"/>
          <w:lang w:val="en-GB"/>
        </w:rPr>
        <w:t xml:space="preserve"> </w:t>
      </w:r>
      <w:r w:rsidRPr="00380B40">
        <w:rPr>
          <w:lang w:val="en-GB"/>
        </w:rPr>
        <w:t>consult,</w:t>
      </w:r>
      <w:r w:rsidRPr="00380B40">
        <w:rPr>
          <w:spacing w:val="2"/>
          <w:lang w:val="en-GB"/>
        </w:rPr>
        <w:t xml:space="preserve"> </w:t>
      </w:r>
      <w:r w:rsidRPr="00380B40">
        <w:rPr>
          <w:lang w:val="en-GB"/>
        </w:rPr>
        <w:t>except</w:t>
      </w:r>
      <w:r w:rsidRPr="00380B40">
        <w:rPr>
          <w:spacing w:val="5"/>
          <w:lang w:val="en-GB"/>
        </w:rPr>
        <w:t xml:space="preserve"> </w:t>
      </w:r>
      <w:r w:rsidRPr="00380B40">
        <w:rPr>
          <w:lang w:val="en-GB"/>
        </w:rPr>
        <w:t>where</w:t>
      </w:r>
      <w:r w:rsidRPr="00380B40">
        <w:rPr>
          <w:spacing w:val="2"/>
          <w:lang w:val="en-GB"/>
        </w:rPr>
        <w:t xml:space="preserve"> </w:t>
      </w:r>
      <w:r w:rsidRPr="00380B40">
        <w:rPr>
          <w:lang w:val="en-GB"/>
        </w:rPr>
        <w:t>the</w:t>
      </w:r>
      <w:r w:rsidRPr="00380B40">
        <w:rPr>
          <w:spacing w:val="1"/>
          <w:lang w:val="en-GB"/>
        </w:rPr>
        <w:t xml:space="preserve"> study</w:t>
      </w:r>
      <w:r w:rsidRPr="00380B40">
        <w:rPr>
          <w:lang w:val="en-GB"/>
        </w:rPr>
        <w:t xml:space="preserve"> group</w:t>
      </w:r>
      <w:r w:rsidRPr="00380B40">
        <w:rPr>
          <w:spacing w:val="3"/>
          <w:lang w:val="en-GB"/>
        </w:rPr>
        <w:t xml:space="preserve"> </w:t>
      </w:r>
      <w:r w:rsidRPr="00380B40">
        <w:rPr>
          <w:lang w:val="en-GB"/>
        </w:rPr>
        <w:t>or</w:t>
      </w:r>
      <w:r w:rsidRPr="00380B40">
        <w:rPr>
          <w:spacing w:val="54"/>
          <w:lang w:val="en-GB"/>
        </w:rPr>
        <w:t xml:space="preserve"> </w:t>
      </w:r>
      <w:r w:rsidRPr="00380B40">
        <w:rPr>
          <w:lang w:val="en-GB"/>
        </w:rPr>
        <w:t>working</w:t>
      </w:r>
      <w:r w:rsidRPr="00380B40">
        <w:rPr>
          <w:spacing w:val="14"/>
          <w:lang w:val="en-GB"/>
        </w:rPr>
        <w:t xml:space="preserve"> </w:t>
      </w:r>
      <w:r w:rsidRPr="00380B40">
        <w:rPr>
          <w:spacing w:val="1"/>
          <w:lang w:val="en-GB"/>
        </w:rPr>
        <w:t>party</w:t>
      </w:r>
      <w:r w:rsidRPr="00380B40">
        <w:rPr>
          <w:spacing w:val="11"/>
          <w:lang w:val="en-GB"/>
        </w:rPr>
        <w:t xml:space="preserve"> </w:t>
      </w:r>
      <w:r w:rsidRPr="00380B40">
        <w:rPr>
          <w:lang w:val="en-GB"/>
        </w:rPr>
        <w:t>concerned</w:t>
      </w:r>
      <w:r w:rsidRPr="00380B40">
        <w:rPr>
          <w:spacing w:val="18"/>
          <w:lang w:val="en-GB"/>
        </w:rPr>
        <w:t xml:space="preserve"> </w:t>
      </w:r>
      <w:r w:rsidRPr="00380B40">
        <w:rPr>
          <w:lang w:val="en-GB"/>
        </w:rPr>
        <w:t>has</w:t>
      </w:r>
      <w:r w:rsidRPr="00380B40">
        <w:rPr>
          <w:spacing w:val="16"/>
          <w:lang w:val="en-GB"/>
        </w:rPr>
        <w:t xml:space="preserve"> </w:t>
      </w:r>
      <w:r w:rsidRPr="00380B40">
        <w:rPr>
          <w:lang w:val="en-GB"/>
        </w:rPr>
        <w:t>specifically</w:t>
      </w:r>
      <w:r w:rsidRPr="00380B40">
        <w:rPr>
          <w:spacing w:val="11"/>
          <w:lang w:val="en-GB"/>
        </w:rPr>
        <w:t xml:space="preserve"> </w:t>
      </w:r>
      <w:r w:rsidRPr="00380B40">
        <w:rPr>
          <w:lang w:val="en-GB"/>
        </w:rPr>
        <w:t>decided</w:t>
      </w:r>
      <w:r w:rsidRPr="00380B40">
        <w:rPr>
          <w:spacing w:val="18"/>
          <w:lang w:val="en-GB"/>
        </w:rPr>
        <w:t xml:space="preserve"> </w:t>
      </w:r>
      <w:r w:rsidRPr="00380B40">
        <w:rPr>
          <w:lang w:val="en-GB"/>
        </w:rPr>
        <w:t>that</w:t>
      </w:r>
      <w:r w:rsidRPr="00380B40">
        <w:rPr>
          <w:spacing w:val="16"/>
          <w:lang w:val="en-GB"/>
        </w:rPr>
        <w:t xml:space="preserve"> </w:t>
      </w:r>
      <w:r w:rsidRPr="00380B40">
        <w:rPr>
          <w:lang w:val="en-GB"/>
        </w:rPr>
        <w:t>its</w:t>
      </w:r>
      <w:r w:rsidRPr="00380B40">
        <w:rPr>
          <w:spacing w:val="16"/>
          <w:lang w:val="en-GB"/>
        </w:rPr>
        <w:t xml:space="preserve"> </w:t>
      </w:r>
      <w:r w:rsidRPr="00380B40">
        <w:rPr>
          <w:lang w:val="en-GB"/>
        </w:rPr>
        <w:t>report,</w:t>
      </w:r>
      <w:r w:rsidRPr="00380B40">
        <w:rPr>
          <w:spacing w:val="16"/>
          <w:lang w:val="en-GB"/>
        </w:rPr>
        <w:t xml:space="preserve"> </w:t>
      </w:r>
      <w:r w:rsidRPr="00380B40">
        <w:rPr>
          <w:lang w:val="en-GB"/>
        </w:rPr>
        <w:t>or</w:t>
      </w:r>
      <w:r w:rsidRPr="00380B40">
        <w:rPr>
          <w:spacing w:val="15"/>
          <w:lang w:val="en-GB"/>
        </w:rPr>
        <w:t xml:space="preserve"> </w:t>
      </w:r>
      <w:r w:rsidRPr="00380B40">
        <w:rPr>
          <w:lang w:val="en-GB"/>
        </w:rPr>
        <w:t>a</w:t>
      </w:r>
      <w:r w:rsidRPr="00380B40">
        <w:rPr>
          <w:spacing w:val="15"/>
          <w:lang w:val="en-GB"/>
        </w:rPr>
        <w:t xml:space="preserve"> </w:t>
      </w:r>
      <w:r w:rsidRPr="00380B40">
        <w:rPr>
          <w:lang w:val="en-GB"/>
        </w:rPr>
        <w:t>document,</w:t>
      </w:r>
      <w:r w:rsidRPr="00380B40">
        <w:rPr>
          <w:spacing w:val="16"/>
          <w:lang w:val="en-GB"/>
        </w:rPr>
        <w:t xml:space="preserve"> </w:t>
      </w:r>
      <w:r w:rsidRPr="00380B40">
        <w:rPr>
          <w:lang w:val="en-GB"/>
        </w:rPr>
        <w:t>is</w:t>
      </w:r>
      <w:r w:rsidRPr="00380B40">
        <w:rPr>
          <w:spacing w:val="17"/>
          <w:lang w:val="en-GB"/>
        </w:rPr>
        <w:t xml:space="preserve"> </w:t>
      </w:r>
      <w:r w:rsidRPr="00380B40">
        <w:rPr>
          <w:lang w:val="en-GB"/>
        </w:rPr>
        <w:t>to</w:t>
      </w:r>
      <w:r w:rsidRPr="00380B40">
        <w:rPr>
          <w:spacing w:val="17"/>
          <w:lang w:val="en-GB"/>
        </w:rPr>
        <w:t xml:space="preserve"> </w:t>
      </w:r>
      <w:r w:rsidRPr="00380B40">
        <w:rPr>
          <w:lang w:val="en-GB"/>
        </w:rPr>
        <w:t>be</w:t>
      </w:r>
      <w:r w:rsidRPr="00380B40">
        <w:rPr>
          <w:spacing w:val="15"/>
          <w:lang w:val="en-GB"/>
        </w:rPr>
        <w:t xml:space="preserve"> </w:t>
      </w:r>
      <w:r w:rsidRPr="00380B40">
        <w:rPr>
          <w:lang w:val="en-GB"/>
        </w:rPr>
        <w:t>treated</w:t>
      </w:r>
      <w:r w:rsidRPr="00380B40">
        <w:rPr>
          <w:spacing w:val="16"/>
          <w:lang w:val="en-GB"/>
        </w:rPr>
        <w:t xml:space="preserve"> </w:t>
      </w:r>
      <w:r w:rsidRPr="00380B40">
        <w:rPr>
          <w:lang w:val="en-GB"/>
        </w:rPr>
        <w:t>as</w:t>
      </w:r>
      <w:r w:rsidRPr="00380B40">
        <w:rPr>
          <w:spacing w:val="55"/>
          <w:lang w:val="en-GB"/>
        </w:rPr>
        <w:t xml:space="preserve"> </w:t>
      </w:r>
      <w:r w:rsidRPr="00380B40">
        <w:rPr>
          <w:lang w:val="en-GB"/>
        </w:rPr>
        <w:t>confidential.</w:t>
      </w:r>
    </w:p>
    <w:p w14:paraId="4AFC32F9" w14:textId="77777777" w:rsidR="00DB6A21" w:rsidRPr="00380B40" w:rsidRDefault="00DB6A21" w:rsidP="00C12517">
      <w:pPr>
        <w:rPr>
          <w:b/>
          <w:bCs/>
          <w:lang w:val="en-GB"/>
        </w:rPr>
      </w:pPr>
      <w:r w:rsidRPr="00380B40">
        <w:rPr>
          <w:b/>
          <w:bCs/>
          <w:lang w:val="en-GB"/>
        </w:rPr>
        <w:br w:type="page"/>
      </w:r>
    </w:p>
    <w:p w14:paraId="483C4888" w14:textId="77777777" w:rsidR="00C12517" w:rsidRPr="00380B40" w:rsidRDefault="00C12517" w:rsidP="00C12517">
      <w:pPr>
        <w:rPr>
          <w:lang w:val="en-GB"/>
        </w:rPr>
      </w:pPr>
      <w:r w:rsidRPr="00380B40">
        <w:rPr>
          <w:b/>
          <w:bCs/>
          <w:lang w:val="en-GB"/>
        </w:rPr>
        <w:t>1.7.7</w:t>
      </w:r>
      <w:r w:rsidRPr="00380B40">
        <w:rPr>
          <w:lang w:val="en-GB"/>
        </w:rPr>
        <w:tab/>
        <w:t>The</w:t>
      </w:r>
      <w:r w:rsidRPr="00380B40">
        <w:rPr>
          <w:spacing w:val="10"/>
          <w:lang w:val="en-GB"/>
        </w:rPr>
        <w:t xml:space="preserve"> </w:t>
      </w:r>
      <w:r w:rsidRPr="00380B40">
        <w:rPr>
          <w:lang w:val="en-GB"/>
        </w:rPr>
        <w:t>report</w:t>
      </w:r>
      <w:r w:rsidRPr="00380B40">
        <w:rPr>
          <w:spacing w:val="11"/>
          <w:lang w:val="en-GB"/>
        </w:rPr>
        <w:t xml:space="preserve"> </w:t>
      </w:r>
      <w:r w:rsidRPr="00380B40">
        <w:rPr>
          <w:lang w:val="en-GB"/>
        </w:rPr>
        <w:t>of</w:t>
      </w:r>
      <w:r w:rsidRPr="00380B40">
        <w:rPr>
          <w:spacing w:val="13"/>
          <w:lang w:val="en-GB"/>
        </w:rPr>
        <w:t xml:space="preserve"> </w:t>
      </w:r>
      <w:r w:rsidRPr="00380B40">
        <w:rPr>
          <w:lang w:val="en-GB"/>
        </w:rPr>
        <w:t>a</w:t>
      </w:r>
      <w:r w:rsidRPr="00380B40">
        <w:rPr>
          <w:spacing w:val="10"/>
          <w:lang w:val="en-GB"/>
        </w:rPr>
        <w:t xml:space="preserve"> </w:t>
      </w:r>
      <w:r w:rsidRPr="00380B40">
        <w:rPr>
          <w:spacing w:val="1"/>
          <w:lang w:val="en-GB"/>
        </w:rPr>
        <w:t>study</w:t>
      </w:r>
      <w:r w:rsidRPr="00380B40">
        <w:rPr>
          <w:spacing w:val="9"/>
          <w:lang w:val="en-GB"/>
        </w:rPr>
        <w:t xml:space="preserve"> </w:t>
      </w:r>
      <w:r w:rsidRPr="00380B40">
        <w:rPr>
          <w:lang w:val="en-GB"/>
        </w:rPr>
        <w:t>group's</w:t>
      </w:r>
      <w:r w:rsidRPr="00380B40">
        <w:rPr>
          <w:spacing w:val="14"/>
          <w:lang w:val="en-GB"/>
        </w:rPr>
        <w:t xml:space="preserve"> </w:t>
      </w:r>
      <w:r w:rsidRPr="00380B40">
        <w:rPr>
          <w:lang w:val="en-GB"/>
        </w:rPr>
        <w:t>first</w:t>
      </w:r>
      <w:r w:rsidRPr="00380B40">
        <w:rPr>
          <w:spacing w:val="12"/>
          <w:lang w:val="en-GB"/>
        </w:rPr>
        <w:t xml:space="preserve"> </w:t>
      </w:r>
      <w:r w:rsidRPr="00380B40">
        <w:rPr>
          <w:lang w:val="en-GB"/>
        </w:rPr>
        <w:t>meeting</w:t>
      </w:r>
      <w:r w:rsidRPr="00380B40">
        <w:rPr>
          <w:spacing w:val="9"/>
          <w:lang w:val="en-GB"/>
        </w:rPr>
        <w:t xml:space="preserve"> </w:t>
      </w:r>
      <w:r w:rsidRPr="00380B40">
        <w:rPr>
          <w:lang w:val="en-GB"/>
        </w:rPr>
        <w:t>in</w:t>
      </w:r>
      <w:r w:rsidRPr="00380B40">
        <w:rPr>
          <w:spacing w:val="12"/>
          <w:lang w:val="en-GB"/>
        </w:rPr>
        <w:t xml:space="preserve"> </w:t>
      </w:r>
      <w:r w:rsidRPr="00380B40">
        <w:rPr>
          <w:lang w:val="en-GB"/>
        </w:rPr>
        <w:t>the</w:t>
      </w:r>
      <w:r w:rsidRPr="00380B40">
        <w:rPr>
          <w:spacing w:val="13"/>
          <w:lang w:val="en-GB"/>
        </w:rPr>
        <w:t xml:space="preserve"> </w:t>
      </w:r>
      <w:r w:rsidRPr="00380B40">
        <w:rPr>
          <w:lang w:val="en-GB"/>
        </w:rPr>
        <w:t>study</w:t>
      </w:r>
      <w:r w:rsidRPr="00380B40">
        <w:rPr>
          <w:spacing w:val="6"/>
          <w:lang w:val="en-GB"/>
        </w:rPr>
        <w:t xml:space="preserve"> </w:t>
      </w:r>
      <w:r w:rsidRPr="00380B40">
        <w:rPr>
          <w:lang w:val="en-GB"/>
        </w:rPr>
        <w:t>period</w:t>
      </w:r>
      <w:r w:rsidRPr="00380B40">
        <w:rPr>
          <w:spacing w:val="11"/>
          <w:lang w:val="en-GB"/>
        </w:rPr>
        <w:t xml:space="preserve"> </w:t>
      </w:r>
      <w:r w:rsidRPr="00380B40">
        <w:rPr>
          <w:lang w:val="en-GB"/>
        </w:rPr>
        <w:t>shall</w:t>
      </w:r>
      <w:r w:rsidRPr="00380B40">
        <w:rPr>
          <w:spacing w:val="12"/>
          <w:lang w:val="en-GB"/>
        </w:rPr>
        <w:t xml:space="preserve"> </w:t>
      </w:r>
      <w:r w:rsidRPr="00380B40">
        <w:rPr>
          <w:lang w:val="en-GB"/>
        </w:rPr>
        <w:t>include</w:t>
      </w:r>
      <w:r w:rsidRPr="00380B40">
        <w:rPr>
          <w:spacing w:val="10"/>
          <w:lang w:val="en-GB"/>
        </w:rPr>
        <w:t xml:space="preserve"> </w:t>
      </w:r>
      <w:r w:rsidRPr="00380B40">
        <w:rPr>
          <w:lang w:val="en-GB"/>
        </w:rPr>
        <w:t>a</w:t>
      </w:r>
      <w:r w:rsidRPr="00380B40">
        <w:rPr>
          <w:spacing w:val="10"/>
          <w:lang w:val="en-GB"/>
        </w:rPr>
        <w:t xml:space="preserve"> </w:t>
      </w:r>
      <w:r w:rsidRPr="00380B40">
        <w:rPr>
          <w:lang w:val="en-GB"/>
        </w:rPr>
        <w:t>list</w:t>
      </w:r>
      <w:r w:rsidRPr="00380B40">
        <w:rPr>
          <w:spacing w:val="12"/>
          <w:lang w:val="en-GB"/>
        </w:rPr>
        <w:t xml:space="preserve"> </w:t>
      </w:r>
      <w:r w:rsidRPr="00380B40">
        <w:rPr>
          <w:lang w:val="en-GB"/>
        </w:rPr>
        <w:t>of</w:t>
      </w:r>
      <w:r w:rsidRPr="00380B40">
        <w:rPr>
          <w:spacing w:val="13"/>
          <w:lang w:val="en-GB"/>
        </w:rPr>
        <w:t xml:space="preserve"> </w:t>
      </w:r>
      <w:r w:rsidRPr="00380B40">
        <w:rPr>
          <w:lang w:val="en-GB"/>
        </w:rPr>
        <w:t>all</w:t>
      </w:r>
      <w:r w:rsidRPr="00380B40">
        <w:rPr>
          <w:spacing w:val="12"/>
          <w:lang w:val="en-GB"/>
        </w:rPr>
        <w:t xml:space="preserve"> </w:t>
      </w:r>
      <w:r w:rsidRPr="00380B40">
        <w:rPr>
          <w:lang w:val="en-GB"/>
        </w:rPr>
        <w:t>the</w:t>
      </w:r>
      <w:r w:rsidRPr="00380B40">
        <w:rPr>
          <w:spacing w:val="24"/>
          <w:lang w:val="en-GB"/>
        </w:rPr>
        <w:t xml:space="preserve"> </w:t>
      </w:r>
      <w:r w:rsidRPr="00380B40">
        <w:rPr>
          <w:lang w:val="en-GB"/>
        </w:rPr>
        <w:t>rapporteurs</w:t>
      </w:r>
      <w:r w:rsidRPr="00380B40">
        <w:rPr>
          <w:spacing w:val="1"/>
          <w:lang w:val="en-GB"/>
        </w:rPr>
        <w:t xml:space="preserve"> </w:t>
      </w:r>
      <w:r w:rsidRPr="00380B40">
        <w:rPr>
          <w:lang w:val="en-GB"/>
        </w:rPr>
        <w:t>appointed. This list shall be updated, as required, in subsequent reports.</w:t>
      </w:r>
      <w:bookmarkStart w:id="614" w:name="_Toc206496679"/>
    </w:p>
    <w:p w14:paraId="4BB76D96" w14:textId="77777777" w:rsidR="00C12517" w:rsidRPr="00380B40" w:rsidRDefault="00C12517" w:rsidP="00C12517">
      <w:pPr>
        <w:pStyle w:val="Heading2"/>
        <w:tabs>
          <w:tab w:val="left" w:pos="908"/>
        </w:tabs>
        <w:rPr>
          <w:b w:val="0"/>
          <w:bCs/>
          <w:lang w:val="en-GB"/>
        </w:rPr>
      </w:pPr>
      <w:bookmarkStart w:id="615" w:name="_Toc471716643"/>
      <w:bookmarkStart w:id="616" w:name="_Toc20738315"/>
      <w:bookmarkStart w:id="617" w:name="_Toc21093729"/>
      <w:bookmarkStart w:id="618" w:name="_Toc22280338"/>
      <w:bookmarkStart w:id="619" w:name="_Toc111636834"/>
      <w:r w:rsidRPr="00380B40">
        <w:rPr>
          <w:lang w:val="en-GB"/>
        </w:rPr>
        <w:t>1.8</w:t>
      </w:r>
      <w:r w:rsidRPr="00380B40">
        <w:rPr>
          <w:lang w:val="en-GB"/>
        </w:rPr>
        <w:tab/>
      </w:r>
      <w:bookmarkStart w:id="620" w:name="_Toc532428460"/>
      <w:r w:rsidRPr="00380B40">
        <w:rPr>
          <w:lang w:val="en-GB"/>
        </w:rPr>
        <w:t>Definitions</w:t>
      </w:r>
      <w:bookmarkEnd w:id="614"/>
      <w:bookmarkEnd w:id="615"/>
      <w:bookmarkEnd w:id="616"/>
      <w:bookmarkEnd w:id="617"/>
      <w:bookmarkEnd w:id="618"/>
      <w:bookmarkEnd w:id="619"/>
      <w:bookmarkEnd w:id="620"/>
    </w:p>
    <w:p w14:paraId="56F3E7B6" w14:textId="77777777" w:rsidR="00C12517" w:rsidRPr="00380B40" w:rsidRDefault="00C12517" w:rsidP="00C12517">
      <w:pPr>
        <w:pStyle w:val="Heading3"/>
        <w:rPr>
          <w:lang w:val="en-GB"/>
        </w:rPr>
      </w:pPr>
      <w:bookmarkStart w:id="621" w:name="_Toc532428461"/>
      <w:bookmarkStart w:id="622" w:name="_Toc111636835"/>
      <w:r w:rsidRPr="00380B40">
        <w:rPr>
          <w:lang w:val="en-GB"/>
        </w:rPr>
        <w:t>1.8.1</w:t>
      </w:r>
      <w:r w:rsidRPr="00380B40">
        <w:rPr>
          <w:lang w:val="en-GB"/>
        </w:rPr>
        <w:tab/>
        <w:t>Terms defined elsewhere</w:t>
      </w:r>
      <w:bookmarkEnd w:id="621"/>
      <w:bookmarkEnd w:id="622"/>
    </w:p>
    <w:p w14:paraId="660D1140" w14:textId="77777777" w:rsidR="00C12517" w:rsidRPr="00380B40" w:rsidRDefault="00C12517" w:rsidP="00C12517">
      <w:pPr>
        <w:pStyle w:val="Note"/>
        <w:rPr>
          <w:lang w:val="en-GB"/>
        </w:rPr>
      </w:pPr>
      <w:r w:rsidRPr="00380B40" w:rsidDel="00F24ADC">
        <w:rPr>
          <w:lang w:val="en-GB"/>
        </w:rPr>
        <w:t>NOTE</w:t>
      </w:r>
      <w:r w:rsidRPr="00380B40">
        <w:rPr>
          <w:lang w:val="en-GB"/>
        </w:rPr>
        <w:t xml:space="preserve"> </w:t>
      </w:r>
      <w:r w:rsidRPr="00380B40" w:rsidDel="00F24ADC">
        <w:rPr>
          <w:lang w:val="en-GB"/>
        </w:rPr>
        <w:t xml:space="preserve">– [b-ITU-T A.13] describes procedures </w:t>
      </w:r>
      <w:r w:rsidRPr="00380B40">
        <w:rPr>
          <w:lang w:val="en-GB"/>
        </w:rPr>
        <w:t>and defines terms related to</w:t>
      </w:r>
      <w:r w:rsidRPr="00380B40" w:rsidDel="00F24ADC">
        <w:rPr>
          <w:lang w:val="en-GB"/>
        </w:rPr>
        <w:t xml:space="preserve"> non-normative </w:t>
      </w:r>
      <w:r w:rsidRPr="00380B40">
        <w:rPr>
          <w:lang w:val="en-GB"/>
        </w:rPr>
        <w:t xml:space="preserve">publications </w:t>
      </w:r>
      <w:r w:rsidRPr="00380B40" w:rsidDel="00F24ADC">
        <w:rPr>
          <w:lang w:val="en-GB"/>
        </w:rPr>
        <w:t>in addition to those defined in clause 1.8.2.</w:t>
      </w:r>
    </w:p>
    <w:p w14:paraId="1E5B9FD1" w14:textId="77777777" w:rsidR="00C12517" w:rsidRPr="00380B40" w:rsidRDefault="00C12517" w:rsidP="00C12517">
      <w:pPr>
        <w:rPr>
          <w:lang w:val="en-GB"/>
        </w:rPr>
      </w:pPr>
      <w:r w:rsidRPr="00380B40" w:rsidDel="00F24ADC">
        <w:rPr>
          <w:lang w:val="en-GB"/>
        </w:rPr>
        <w:t xml:space="preserve">This </w:t>
      </w:r>
      <w:r w:rsidRPr="00380B40" w:rsidDel="00F24ADC">
        <w:rPr>
          <w:spacing w:val="-1"/>
          <w:lang w:val="en-GB"/>
        </w:rPr>
        <w:t>Recommendation</w:t>
      </w:r>
      <w:r w:rsidRPr="00380B40" w:rsidDel="00F24ADC">
        <w:rPr>
          <w:lang w:val="en-GB"/>
        </w:rPr>
        <w:t xml:space="preserve"> </w:t>
      </w:r>
      <w:r w:rsidRPr="00380B40">
        <w:rPr>
          <w:lang w:val="en-GB"/>
        </w:rPr>
        <w:t xml:space="preserve">uses the </w:t>
      </w:r>
      <w:r w:rsidRPr="00380B40" w:rsidDel="00F24ADC">
        <w:rPr>
          <w:lang w:val="en-GB"/>
        </w:rPr>
        <w:t>following</w:t>
      </w:r>
      <w:r w:rsidRPr="00380B40" w:rsidDel="00F24ADC">
        <w:rPr>
          <w:spacing w:val="-3"/>
          <w:lang w:val="en-GB"/>
        </w:rPr>
        <w:t xml:space="preserve"> </w:t>
      </w:r>
      <w:r w:rsidRPr="00380B40" w:rsidDel="00F24ADC">
        <w:rPr>
          <w:lang w:val="en-GB"/>
        </w:rPr>
        <w:t>term</w:t>
      </w:r>
      <w:r w:rsidRPr="00380B40">
        <w:rPr>
          <w:lang w:val="en-GB"/>
        </w:rPr>
        <w:t xml:space="preserve"> defined elsewhere</w:t>
      </w:r>
      <w:r w:rsidRPr="00380B40" w:rsidDel="00F24ADC">
        <w:rPr>
          <w:lang w:val="en-GB"/>
        </w:rPr>
        <w:t>:</w:t>
      </w:r>
    </w:p>
    <w:p w14:paraId="3C0EC70E" w14:textId="77777777" w:rsidR="00C12517" w:rsidRPr="00380B40" w:rsidDel="00F24ADC" w:rsidRDefault="00C12517" w:rsidP="0006074E">
      <w:pPr>
        <w:rPr>
          <w:lang w:val="en-GB"/>
        </w:rPr>
      </w:pPr>
      <w:r w:rsidRPr="00380B40">
        <w:rPr>
          <w:b/>
          <w:bCs/>
          <w:lang w:val="en-GB"/>
        </w:rPr>
        <w:t>1.8.1.1</w:t>
      </w:r>
      <w:r w:rsidRPr="00380B40">
        <w:rPr>
          <w:lang w:val="en-GB"/>
        </w:rPr>
        <w:tab/>
      </w:r>
      <w:r w:rsidRPr="00380B40">
        <w:rPr>
          <w:b/>
          <w:lang w:val="en-GB"/>
        </w:rPr>
        <w:t>Question</w:t>
      </w:r>
      <w:r w:rsidRPr="00380B40">
        <w:rPr>
          <w:spacing w:val="2"/>
          <w:lang w:val="en-GB"/>
        </w:rPr>
        <w:t xml:space="preserve"> </w:t>
      </w:r>
      <w:r w:rsidRPr="00380B40">
        <w:rPr>
          <w:lang w:val="en-GB"/>
        </w:rPr>
        <w:t>([WTSA</w:t>
      </w:r>
      <w:r w:rsidRPr="00380B40">
        <w:rPr>
          <w:spacing w:val="1"/>
          <w:lang w:val="en-GB"/>
        </w:rPr>
        <w:t xml:space="preserve"> </w:t>
      </w:r>
      <w:r w:rsidRPr="00380B40">
        <w:rPr>
          <w:lang w:val="en-GB"/>
        </w:rPr>
        <w:t>Res.</w:t>
      </w:r>
      <w:r w:rsidRPr="00380B40">
        <w:rPr>
          <w:spacing w:val="2"/>
          <w:lang w:val="en-GB"/>
        </w:rPr>
        <w:t xml:space="preserve"> </w:t>
      </w:r>
      <w:r w:rsidRPr="00380B40">
        <w:rPr>
          <w:lang w:val="en-GB"/>
        </w:rPr>
        <w:t>1]):</w:t>
      </w:r>
      <w:r w:rsidRPr="00380B40">
        <w:rPr>
          <w:spacing w:val="2"/>
          <w:lang w:val="en-GB"/>
        </w:rPr>
        <w:t xml:space="preserve"> </w:t>
      </w:r>
      <w:r w:rsidRPr="00380B40">
        <w:rPr>
          <w:lang w:val="en-GB"/>
        </w:rPr>
        <w:t>Description</w:t>
      </w:r>
      <w:r w:rsidRPr="00380B40">
        <w:rPr>
          <w:spacing w:val="2"/>
          <w:lang w:val="en-GB"/>
        </w:rPr>
        <w:t xml:space="preserve"> </w:t>
      </w:r>
      <w:r w:rsidRPr="00380B40">
        <w:rPr>
          <w:lang w:val="en-GB"/>
        </w:rPr>
        <w:t>of</w:t>
      </w:r>
      <w:r w:rsidRPr="00380B40">
        <w:rPr>
          <w:spacing w:val="3"/>
          <w:lang w:val="en-GB"/>
        </w:rPr>
        <w:t xml:space="preserve"> </w:t>
      </w:r>
      <w:r w:rsidRPr="00380B40">
        <w:rPr>
          <w:lang w:val="en-GB"/>
        </w:rPr>
        <w:t>an</w:t>
      </w:r>
      <w:r w:rsidRPr="00380B40">
        <w:rPr>
          <w:spacing w:val="4"/>
          <w:lang w:val="en-GB"/>
        </w:rPr>
        <w:t xml:space="preserve"> </w:t>
      </w:r>
      <w:r w:rsidRPr="00380B40">
        <w:rPr>
          <w:lang w:val="en-GB"/>
        </w:rPr>
        <w:t>area</w:t>
      </w:r>
      <w:r w:rsidRPr="00380B40">
        <w:rPr>
          <w:spacing w:val="1"/>
          <w:lang w:val="en-GB"/>
        </w:rPr>
        <w:t xml:space="preserve"> of </w:t>
      </w:r>
      <w:r w:rsidRPr="00380B40">
        <w:rPr>
          <w:lang w:val="en-GB"/>
        </w:rPr>
        <w:t>work</w:t>
      </w:r>
      <w:r w:rsidRPr="00380B40">
        <w:rPr>
          <w:spacing w:val="1"/>
          <w:lang w:val="en-GB"/>
        </w:rPr>
        <w:t xml:space="preserve"> </w:t>
      </w:r>
      <w:r w:rsidRPr="00380B40">
        <w:rPr>
          <w:lang w:val="en-GB"/>
        </w:rPr>
        <w:t>to be studied, normally</w:t>
      </w:r>
      <w:r w:rsidRPr="00380B40">
        <w:rPr>
          <w:spacing w:val="-5"/>
          <w:lang w:val="en-GB"/>
        </w:rPr>
        <w:t xml:space="preserve"> </w:t>
      </w:r>
      <w:r w:rsidRPr="00380B40">
        <w:rPr>
          <w:lang w:val="en-GB"/>
        </w:rPr>
        <w:t>leading</w:t>
      </w:r>
      <w:r w:rsidRPr="00380B40">
        <w:rPr>
          <w:spacing w:val="-2"/>
          <w:lang w:val="en-GB"/>
        </w:rPr>
        <w:t xml:space="preserve"> </w:t>
      </w:r>
      <w:r w:rsidRPr="00380B40">
        <w:rPr>
          <w:lang w:val="en-GB"/>
        </w:rPr>
        <w:t>to the production of one or more new or</w:t>
      </w:r>
      <w:r w:rsidRPr="00380B40">
        <w:rPr>
          <w:spacing w:val="-2"/>
          <w:lang w:val="en-GB"/>
        </w:rPr>
        <w:t xml:space="preserve"> </w:t>
      </w:r>
      <w:r w:rsidRPr="00380B40">
        <w:rPr>
          <w:lang w:val="en-GB"/>
        </w:rPr>
        <w:t xml:space="preserve">revised Recommendations. </w:t>
      </w:r>
    </w:p>
    <w:p w14:paraId="1DF72B6C" w14:textId="77777777" w:rsidR="00C12517" w:rsidRPr="00380B40" w:rsidRDefault="00C12517" w:rsidP="00C12517">
      <w:pPr>
        <w:pStyle w:val="Heading3"/>
        <w:rPr>
          <w:lang w:val="en-GB"/>
        </w:rPr>
      </w:pPr>
      <w:bookmarkStart w:id="623" w:name="_Toc532428462"/>
      <w:bookmarkStart w:id="624" w:name="_Toc111636836"/>
      <w:r w:rsidRPr="00380B40">
        <w:rPr>
          <w:lang w:val="en-GB"/>
        </w:rPr>
        <w:t>1.8.2</w:t>
      </w:r>
      <w:r w:rsidRPr="00380B40">
        <w:rPr>
          <w:lang w:val="en-GB"/>
        </w:rPr>
        <w:tab/>
        <w:t>Terms defined in this Recommendation</w:t>
      </w:r>
      <w:bookmarkEnd w:id="623"/>
      <w:bookmarkEnd w:id="624"/>
    </w:p>
    <w:p w14:paraId="2E497EB7" w14:textId="77777777" w:rsidR="00C12517" w:rsidRPr="00380B40" w:rsidDel="00F24ADC" w:rsidRDefault="00C12517" w:rsidP="00C12517">
      <w:pPr>
        <w:rPr>
          <w:lang w:val="en-GB"/>
        </w:rPr>
      </w:pPr>
      <w:r w:rsidRPr="00380B40" w:rsidDel="00F24ADC">
        <w:rPr>
          <w:lang w:val="en-GB"/>
        </w:rPr>
        <w:t xml:space="preserve">This </w:t>
      </w:r>
      <w:r w:rsidRPr="00380B40" w:rsidDel="00F24ADC">
        <w:rPr>
          <w:spacing w:val="-1"/>
          <w:lang w:val="en-GB"/>
        </w:rPr>
        <w:t>Recommendation</w:t>
      </w:r>
      <w:r w:rsidRPr="00380B40" w:rsidDel="00F24ADC">
        <w:rPr>
          <w:lang w:val="en-GB"/>
        </w:rPr>
        <w:t xml:space="preserve"> </w:t>
      </w:r>
      <w:r w:rsidRPr="00380B40" w:rsidDel="00F24ADC">
        <w:rPr>
          <w:spacing w:val="-1"/>
          <w:lang w:val="en-GB"/>
        </w:rPr>
        <w:t>defines</w:t>
      </w:r>
      <w:r w:rsidRPr="00380B40" w:rsidDel="00F24ADC">
        <w:rPr>
          <w:lang w:val="en-GB"/>
        </w:rPr>
        <w:t xml:space="preserve"> the following</w:t>
      </w:r>
      <w:r w:rsidRPr="00380B40" w:rsidDel="00F24ADC">
        <w:rPr>
          <w:spacing w:val="-3"/>
          <w:lang w:val="en-GB"/>
        </w:rPr>
        <w:t xml:space="preserve"> </w:t>
      </w:r>
      <w:r w:rsidRPr="00380B40" w:rsidDel="00F24ADC">
        <w:rPr>
          <w:lang w:val="en-GB"/>
        </w:rPr>
        <w:t>terms:</w:t>
      </w:r>
    </w:p>
    <w:p w14:paraId="548EF9F6" w14:textId="77777777" w:rsidR="00C12517" w:rsidRPr="00380B40" w:rsidRDefault="00C12517" w:rsidP="00C12517">
      <w:pPr>
        <w:rPr>
          <w:lang w:val="en-GB"/>
        </w:rPr>
      </w:pPr>
      <w:r w:rsidRPr="00380B40">
        <w:rPr>
          <w:b/>
          <w:bCs/>
          <w:lang w:val="en-GB"/>
        </w:rPr>
        <w:t>1.8.2.1</w:t>
      </w:r>
      <w:r w:rsidRPr="00380B40">
        <w:rPr>
          <w:b/>
          <w:bCs/>
          <w:lang w:val="en-GB"/>
        </w:rPr>
        <w:tab/>
      </w:r>
      <w:r w:rsidRPr="00380B40">
        <w:rPr>
          <w:b/>
          <w:spacing w:val="-1"/>
          <w:lang w:val="en-GB"/>
        </w:rPr>
        <w:t>amendment</w:t>
      </w:r>
      <w:r w:rsidRPr="00380B40">
        <w:rPr>
          <w:spacing w:val="-1"/>
          <w:lang w:val="en-GB"/>
        </w:rPr>
        <w:t>:</w:t>
      </w:r>
      <w:r w:rsidRPr="00380B40">
        <w:rPr>
          <w:spacing w:val="41"/>
          <w:lang w:val="en-GB"/>
        </w:rPr>
        <w:t xml:space="preserve"> </w:t>
      </w:r>
      <w:r w:rsidRPr="00380B40">
        <w:rPr>
          <w:lang w:val="en-GB"/>
        </w:rPr>
        <w:t>Changes or additions to an already published ITU-T Recommendation.</w:t>
      </w:r>
    </w:p>
    <w:p w14:paraId="0C183726" w14:textId="77777777" w:rsidR="00C12517" w:rsidRPr="00380B40" w:rsidRDefault="00C12517" w:rsidP="00C12517">
      <w:pPr>
        <w:pStyle w:val="Note"/>
        <w:rPr>
          <w:lang w:val="en-GB"/>
        </w:rPr>
      </w:pPr>
      <w:r w:rsidRPr="00380B40">
        <w:rPr>
          <w:spacing w:val="-1"/>
          <w:lang w:val="en-GB"/>
        </w:rPr>
        <w:t>NOTE</w:t>
      </w:r>
      <w:r w:rsidRPr="00380B40">
        <w:rPr>
          <w:spacing w:val="21"/>
          <w:lang w:val="en-GB"/>
        </w:rPr>
        <w:t xml:space="preserve"> </w:t>
      </w:r>
      <w:r w:rsidRPr="00380B40">
        <w:rPr>
          <w:lang w:val="en-GB"/>
        </w:rPr>
        <w:t xml:space="preserve">– </w:t>
      </w:r>
      <w:r w:rsidRPr="00380B40">
        <w:rPr>
          <w:spacing w:val="-2"/>
          <w:lang w:val="en-GB"/>
        </w:rPr>
        <w:t>If</w:t>
      </w:r>
      <w:r w:rsidRPr="00380B40">
        <w:rPr>
          <w:spacing w:val="17"/>
          <w:lang w:val="en-GB"/>
        </w:rPr>
        <w:t xml:space="preserve"> </w:t>
      </w:r>
      <w:r w:rsidRPr="00380B40">
        <w:rPr>
          <w:lang w:val="en-GB"/>
        </w:rPr>
        <w:t>an amendment</w:t>
      </w:r>
      <w:r w:rsidRPr="00380B40">
        <w:rPr>
          <w:spacing w:val="15"/>
          <w:lang w:val="en-GB"/>
        </w:rPr>
        <w:t xml:space="preserve"> </w:t>
      </w:r>
      <w:r w:rsidRPr="00380B40">
        <w:rPr>
          <w:spacing w:val="-1"/>
          <w:lang w:val="en-GB"/>
        </w:rPr>
        <w:t>forms</w:t>
      </w:r>
      <w:r w:rsidRPr="00380B40">
        <w:rPr>
          <w:spacing w:val="17"/>
          <w:lang w:val="en-GB"/>
        </w:rPr>
        <w:t xml:space="preserve"> </w:t>
      </w:r>
      <w:r w:rsidRPr="00380B40">
        <w:rPr>
          <w:lang w:val="en-GB"/>
        </w:rPr>
        <w:t>an</w:t>
      </w:r>
      <w:r w:rsidRPr="00380B40">
        <w:rPr>
          <w:spacing w:val="14"/>
          <w:lang w:val="en-GB"/>
        </w:rPr>
        <w:t xml:space="preserve"> </w:t>
      </w:r>
      <w:r w:rsidRPr="00380B40">
        <w:rPr>
          <w:spacing w:val="-1"/>
          <w:lang w:val="en-GB"/>
        </w:rPr>
        <w:t>integral</w:t>
      </w:r>
      <w:r w:rsidRPr="00380B40">
        <w:rPr>
          <w:spacing w:val="17"/>
          <w:lang w:val="en-GB"/>
        </w:rPr>
        <w:t xml:space="preserve"> </w:t>
      </w:r>
      <w:r w:rsidRPr="00380B40">
        <w:rPr>
          <w:spacing w:val="-1"/>
          <w:lang w:val="en-GB"/>
        </w:rPr>
        <w:t>part</w:t>
      </w:r>
      <w:r w:rsidRPr="00380B40">
        <w:rPr>
          <w:spacing w:val="15"/>
          <w:lang w:val="en-GB"/>
        </w:rPr>
        <w:t xml:space="preserve"> </w:t>
      </w:r>
      <w:r w:rsidRPr="00380B40">
        <w:rPr>
          <w:lang w:val="en-GB"/>
        </w:rPr>
        <w:t>of</w:t>
      </w:r>
      <w:r w:rsidRPr="00380B40">
        <w:rPr>
          <w:spacing w:val="15"/>
          <w:lang w:val="en-GB"/>
        </w:rPr>
        <w:t xml:space="preserve"> </w:t>
      </w:r>
      <w:r w:rsidRPr="00380B40">
        <w:rPr>
          <w:lang w:val="en-GB"/>
        </w:rPr>
        <w:t>the</w:t>
      </w:r>
      <w:r w:rsidRPr="00380B40">
        <w:rPr>
          <w:spacing w:val="17"/>
          <w:lang w:val="en-GB"/>
        </w:rPr>
        <w:t xml:space="preserve"> </w:t>
      </w:r>
      <w:r w:rsidRPr="00380B40">
        <w:rPr>
          <w:spacing w:val="-1"/>
          <w:lang w:val="en-GB"/>
        </w:rPr>
        <w:t>Recommendation,</w:t>
      </w:r>
      <w:r w:rsidRPr="00380B40">
        <w:rPr>
          <w:spacing w:val="14"/>
          <w:lang w:val="en-GB"/>
        </w:rPr>
        <w:t xml:space="preserve"> </w:t>
      </w:r>
      <w:r w:rsidRPr="00380B40">
        <w:rPr>
          <w:spacing w:val="-1"/>
          <w:lang w:val="en-GB"/>
        </w:rPr>
        <w:t>approval</w:t>
      </w:r>
      <w:r w:rsidRPr="00380B40">
        <w:rPr>
          <w:spacing w:val="17"/>
          <w:lang w:val="en-GB"/>
        </w:rPr>
        <w:t xml:space="preserve"> </w:t>
      </w:r>
      <w:r w:rsidRPr="00380B40">
        <w:rPr>
          <w:lang w:val="en-GB"/>
        </w:rPr>
        <w:t>of</w:t>
      </w:r>
      <w:r w:rsidRPr="00380B40">
        <w:rPr>
          <w:spacing w:val="15"/>
          <w:lang w:val="en-GB"/>
        </w:rPr>
        <w:t xml:space="preserve"> </w:t>
      </w:r>
      <w:r w:rsidRPr="00380B40">
        <w:rPr>
          <w:lang w:val="en-GB"/>
        </w:rPr>
        <w:t>the</w:t>
      </w:r>
      <w:r w:rsidRPr="00380B40">
        <w:rPr>
          <w:spacing w:val="17"/>
          <w:lang w:val="en-GB"/>
        </w:rPr>
        <w:t xml:space="preserve"> </w:t>
      </w:r>
      <w:r w:rsidRPr="00380B40">
        <w:rPr>
          <w:spacing w:val="-1"/>
          <w:lang w:val="en-GB"/>
        </w:rPr>
        <w:t>amendment</w:t>
      </w:r>
      <w:r w:rsidRPr="00380B40">
        <w:rPr>
          <w:spacing w:val="17"/>
          <w:lang w:val="en-GB"/>
        </w:rPr>
        <w:t xml:space="preserve"> </w:t>
      </w:r>
      <w:r w:rsidRPr="00380B40">
        <w:rPr>
          <w:spacing w:val="-1"/>
          <w:lang w:val="en-GB"/>
        </w:rPr>
        <w:t>follows</w:t>
      </w:r>
      <w:r w:rsidRPr="00380B40">
        <w:rPr>
          <w:spacing w:val="14"/>
          <w:lang w:val="en-GB"/>
        </w:rPr>
        <w:t xml:space="preserve"> </w:t>
      </w:r>
      <w:r w:rsidRPr="00380B40">
        <w:rPr>
          <w:spacing w:val="-1"/>
          <w:lang w:val="en-GB"/>
        </w:rPr>
        <w:t>the</w:t>
      </w:r>
      <w:r w:rsidRPr="00380B40">
        <w:rPr>
          <w:spacing w:val="17"/>
          <w:lang w:val="en-GB"/>
        </w:rPr>
        <w:t xml:space="preserve"> </w:t>
      </w:r>
      <w:r w:rsidRPr="00380B40">
        <w:rPr>
          <w:spacing w:val="-1"/>
          <w:lang w:val="en-GB"/>
        </w:rPr>
        <w:t>same</w:t>
      </w:r>
      <w:r w:rsidRPr="00380B40">
        <w:rPr>
          <w:spacing w:val="57"/>
          <w:lang w:val="en-GB"/>
        </w:rPr>
        <w:t xml:space="preserve"> </w:t>
      </w:r>
      <w:r w:rsidRPr="00380B40">
        <w:rPr>
          <w:spacing w:val="-1"/>
          <w:lang w:val="en-GB"/>
        </w:rPr>
        <w:t>approval</w:t>
      </w:r>
      <w:r w:rsidRPr="00380B40">
        <w:rPr>
          <w:spacing w:val="-2"/>
          <w:lang w:val="en-GB"/>
        </w:rPr>
        <w:t xml:space="preserve"> </w:t>
      </w:r>
      <w:r w:rsidRPr="00380B40">
        <w:rPr>
          <w:spacing w:val="-1"/>
          <w:lang w:val="en-GB"/>
        </w:rPr>
        <w:t>procedure</w:t>
      </w:r>
      <w:r w:rsidRPr="00380B40">
        <w:rPr>
          <w:spacing w:val="-2"/>
          <w:lang w:val="en-GB"/>
        </w:rPr>
        <w:t xml:space="preserve"> </w:t>
      </w:r>
      <w:r w:rsidRPr="00380B40">
        <w:rPr>
          <w:lang w:val="en-GB"/>
        </w:rPr>
        <w:t xml:space="preserve">as </w:t>
      </w:r>
      <w:r w:rsidRPr="00380B40">
        <w:rPr>
          <w:spacing w:val="-1"/>
          <w:lang w:val="en-GB"/>
        </w:rPr>
        <w:t>the</w:t>
      </w:r>
      <w:r w:rsidRPr="00380B40">
        <w:rPr>
          <w:spacing w:val="-2"/>
          <w:lang w:val="en-GB"/>
        </w:rPr>
        <w:t xml:space="preserve"> </w:t>
      </w:r>
      <w:r w:rsidRPr="00380B40">
        <w:rPr>
          <w:spacing w:val="-1"/>
          <w:lang w:val="en-GB"/>
        </w:rPr>
        <w:t>Recommendation;</w:t>
      </w:r>
      <w:r w:rsidRPr="00380B40">
        <w:rPr>
          <w:spacing w:val="1"/>
          <w:lang w:val="en-GB"/>
        </w:rPr>
        <w:t xml:space="preserve"> </w:t>
      </w:r>
      <w:r w:rsidRPr="00380B40">
        <w:rPr>
          <w:spacing w:val="-1"/>
          <w:lang w:val="en-GB"/>
        </w:rPr>
        <w:t>otherwise (e.g., when all changes are in appendices),</w:t>
      </w:r>
      <w:r w:rsidRPr="00380B40">
        <w:rPr>
          <w:lang w:val="en-GB"/>
        </w:rPr>
        <w:t xml:space="preserve"> </w:t>
      </w:r>
      <w:r w:rsidRPr="00380B40">
        <w:rPr>
          <w:spacing w:val="-1"/>
          <w:lang w:val="en-GB"/>
        </w:rPr>
        <w:t>it</w:t>
      </w:r>
      <w:r w:rsidRPr="00380B40">
        <w:rPr>
          <w:spacing w:val="1"/>
          <w:lang w:val="en-GB"/>
        </w:rPr>
        <w:t xml:space="preserve"> </w:t>
      </w:r>
      <w:r w:rsidRPr="00380B40">
        <w:rPr>
          <w:spacing w:val="-1"/>
          <w:lang w:val="en-GB"/>
        </w:rPr>
        <w:t>is</w:t>
      </w:r>
      <w:r w:rsidRPr="00380B40">
        <w:rPr>
          <w:lang w:val="en-GB"/>
        </w:rPr>
        <w:t xml:space="preserve"> </w:t>
      </w:r>
      <w:r w:rsidRPr="00380B40">
        <w:rPr>
          <w:spacing w:val="-1"/>
          <w:lang w:val="en-GB"/>
        </w:rPr>
        <w:t>agreed</w:t>
      </w:r>
      <w:r w:rsidRPr="00380B40">
        <w:rPr>
          <w:lang w:val="en-GB"/>
        </w:rPr>
        <w:t xml:space="preserve"> by</w:t>
      </w:r>
      <w:r w:rsidRPr="00380B40">
        <w:rPr>
          <w:spacing w:val="-3"/>
          <w:lang w:val="en-GB"/>
        </w:rPr>
        <w:t xml:space="preserve"> </w:t>
      </w:r>
      <w:r w:rsidRPr="00380B40">
        <w:rPr>
          <w:lang w:val="en-GB"/>
        </w:rPr>
        <w:t>the</w:t>
      </w:r>
      <w:r w:rsidRPr="00380B40">
        <w:rPr>
          <w:spacing w:val="-2"/>
          <w:lang w:val="en-GB"/>
        </w:rPr>
        <w:t xml:space="preserve"> </w:t>
      </w:r>
      <w:r w:rsidRPr="00380B40">
        <w:rPr>
          <w:lang w:val="en-GB"/>
        </w:rPr>
        <w:t>study</w:t>
      </w:r>
      <w:r w:rsidRPr="00380B40">
        <w:rPr>
          <w:spacing w:val="-5"/>
          <w:lang w:val="en-GB"/>
        </w:rPr>
        <w:t xml:space="preserve"> </w:t>
      </w:r>
      <w:r w:rsidRPr="00380B40">
        <w:rPr>
          <w:spacing w:val="-1"/>
          <w:lang w:val="en-GB"/>
        </w:rPr>
        <w:t>group.</w:t>
      </w:r>
    </w:p>
    <w:p w14:paraId="18086C0C" w14:textId="77777777" w:rsidR="00C12517" w:rsidRPr="00380B40" w:rsidRDefault="00C12517" w:rsidP="00C12517">
      <w:pPr>
        <w:rPr>
          <w:lang w:val="en-GB"/>
        </w:rPr>
      </w:pPr>
      <w:r w:rsidRPr="00380B40">
        <w:rPr>
          <w:b/>
          <w:bCs/>
          <w:lang w:val="en-GB"/>
        </w:rPr>
        <w:t>1.8.2.2</w:t>
      </w:r>
      <w:r w:rsidRPr="00380B40">
        <w:rPr>
          <w:b/>
          <w:bCs/>
          <w:lang w:val="en-GB"/>
        </w:rPr>
        <w:tab/>
      </w:r>
      <w:r w:rsidRPr="00380B40">
        <w:rPr>
          <w:b/>
          <w:spacing w:val="-1"/>
          <w:lang w:val="en-GB"/>
        </w:rPr>
        <w:t>annex</w:t>
      </w:r>
      <w:r w:rsidRPr="00380B40">
        <w:rPr>
          <w:spacing w:val="-1"/>
          <w:lang w:val="en-GB"/>
        </w:rPr>
        <w:t xml:space="preserve">: </w:t>
      </w:r>
      <w:r w:rsidRPr="00380B40">
        <w:rPr>
          <w:lang w:val="en-GB"/>
        </w:rPr>
        <w:t>Material (e.g., technical detail or explanation) that is necessary to the overall completeness and comprehensibility of a Recommendation, and is therefore considered an integral part of the Recommendation.</w:t>
      </w:r>
    </w:p>
    <w:p w14:paraId="1625C787" w14:textId="77777777" w:rsidR="00C12517" w:rsidRPr="00380B40" w:rsidRDefault="00C12517" w:rsidP="00C12517">
      <w:pPr>
        <w:pStyle w:val="Note"/>
        <w:rPr>
          <w:lang w:val="en-GB"/>
        </w:rPr>
      </w:pPr>
      <w:r w:rsidRPr="00380B40">
        <w:rPr>
          <w:lang w:val="en-GB"/>
        </w:rPr>
        <w:t>NOTE</w:t>
      </w:r>
      <w:r w:rsidRPr="00380B40">
        <w:rPr>
          <w:spacing w:val="16"/>
          <w:lang w:val="en-GB"/>
        </w:rPr>
        <w:t xml:space="preserve"> </w:t>
      </w:r>
      <w:r w:rsidRPr="00380B40">
        <w:rPr>
          <w:lang w:val="en-GB"/>
        </w:rPr>
        <w:t>1</w:t>
      </w:r>
      <w:r w:rsidRPr="00380B40">
        <w:rPr>
          <w:spacing w:val="17"/>
          <w:lang w:val="en-GB"/>
        </w:rPr>
        <w:t xml:space="preserve"> </w:t>
      </w:r>
      <w:r w:rsidRPr="00380B40">
        <w:rPr>
          <w:lang w:val="en-GB"/>
        </w:rPr>
        <w:t>–</w:t>
      </w:r>
      <w:r w:rsidRPr="00380B40">
        <w:rPr>
          <w:spacing w:val="16"/>
          <w:lang w:val="en-GB"/>
        </w:rPr>
        <w:t xml:space="preserve"> </w:t>
      </w:r>
      <w:r w:rsidRPr="00380B40">
        <w:rPr>
          <w:lang w:val="en-GB"/>
        </w:rPr>
        <w:t>As</w:t>
      </w:r>
      <w:r w:rsidRPr="00380B40">
        <w:rPr>
          <w:spacing w:val="14"/>
          <w:lang w:val="en-GB"/>
        </w:rPr>
        <w:t xml:space="preserve"> </w:t>
      </w:r>
      <w:r w:rsidRPr="00380B40">
        <w:rPr>
          <w:lang w:val="en-GB"/>
        </w:rPr>
        <w:t>an</w:t>
      </w:r>
      <w:r w:rsidRPr="00380B40">
        <w:rPr>
          <w:spacing w:val="14"/>
          <w:lang w:val="en-GB"/>
        </w:rPr>
        <w:t xml:space="preserve"> </w:t>
      </w:r>
      <w:r w:rsidRPr="00380B40">
        <w:rPr>
          <w:lang w:val="en-GB"/>
        </w:rPr>
        <w:t>annex</w:t>
      </w:r>
      <w:r w:rsidRPr="00380B40">
        <w:rPr>
          <w:spacing w:val="14"/>
          <w:lang w:val="en-GB"/>
        </w:rPr>
        <w:t xml:space="preserve"> </w:t>
      </w:r>
      <w:r w:rsidRPr="00380B40">
        <w:rPr>
          <w:lang w:val="en-GB"/>
        </w:rPr>
        <w:t>is</w:t>
      </w:r>
      <w:r w:rsidRPr="00380B40">
        <w:rPr>
          <w:spacing w:val="12"/>
          <w:lang w:val="en-GB"/>
        </w:rPr>
        <w:t xml:space="preserve"> </w:t>
      </w:r>
      <w:r w:rsidRPr="00380B40">
        <w:rPr>
          <w:lang w:val="en-GB"/>
        </w:rPr>
        <w:t>an</w:t>
      </w:r>
      <w:r w:rsidRPr="00380B40">
        <w:rPr>
          <w:spacing w:val="17"/>
          <w:lang w:val="en-GB"/>
        </w:rPr>
        <w:t xml:space="preserve"> </w:t>
      </w:r>
      <w:r w:rsidRPr="00380B40">
        <w:rPr>
          <w:lang w:val="en-GB"/>
        </w:rPr>
        <w:t>integral</w:t>
      </w:r>
      <w:r w:rsidRPr="00380B40">
        <w:rPr>
          <w:spacing w:val="17"/>
          <w:lang w:val="en-GB"/>
        </w:rPr>
        <w:t xml:space="preserve"> </w:t>
      </w:r>
      <w:r w:rsidRPr="00380B40">
        <w:rPr>
          <w:lang w:val="en-GB"/>
        </w:rPr>
        <w:t>part</w:t>
      </w:r>
      <w:r w:rsidRPr="00380B40">
        <w:rPr>
          <w:spacing w:val="15"/>
          <w:lang w:val="en-GB"/>
        </w:rPr>
        <w:t xml:space="preserve"> </w:t>
      </w:r>
      <w:r w:rsidRPr="00380B40">
        <w:rPr>
          <w:lang w:val="en-GB"/>
        </w:rPr>
        <w:t>of</w:t>
      </w:r>
      <w:r w:rsidRPr="00380B40">
        <w:rPr>
          <w:spacing w:val="15"/>
          <w:lang w:val="en-GB"/>
        </w:rPr>
        <w:t xml:space="preserve"> </w:t>
      </w:r>
      <w:r w:rsidRPr="00380B40">
        <w:rPr>
          <w:lang w:val="en-GB"/>
        </w:rPr>
        <w:t>the</w:t>
      </w:r>
      <w:r w:rsidRPr="00380B40">
        <w:rPr>
          <w:spacing w:val="17"/>
          <w:lang w:val="en-GB"/>
        </w:rPr>
        <w:t xml:space="preserve"> </w:t>
      </w:r>
      <w:r w:rsidRPr="00380B40">
        <w:rPr>
          <w:lang w:val="en-GB"/>
        </w:rPr>
        <w:t>Recommendation,</w:t>
      </w:r>
      <w:r w:rsidRPr="00380B40">
        <w:rPr>
          <w:spacing w:val="16"/>
          <w:lang w:val="en-GB"/>
        </w:rPr>
        <w:t xml:space="preserve"> </w:t>
      </w:r>
      <w:r w:rsidRPr="00380B40">
        <w:rPr>
          <w:lang w:val="en-GB"/>
        </w:rPr>
        <w:t>approval</w:t>
      </w:r>
      <w:r w:rsidRPr="00380B40">
        <w:rPr>
          <w:spacing w:val="15"/>
          <w:lang w:val="en-GB"/>
        </w:rPr>
        <w:t xml:space="preserve"> </w:t>
      </w:r>
      <w:r w:rsidRPr="00380B40">
        <w:rPr>
          <w:lang w:val="en-GB"/>
        </w:rPr>
        <w:t>of</w:t>
      </w:r>
      <w:r w:rsidRPr="00380B40">
        <w:rPr>
          <w:spacing w:val="15"/>
          <w:lang w:val="en-GB"/>
        </w:rPr>
        <w:t xml:space="preserve"> </w:t>
      </w:r>
      <w:r w:rsidRPr="00380B40">
        <w:rPr>
          <w:lang w:val="en-GB"/>
        </w:rPr>
        <w:t>an</w:t>
      </w:r>
      <w:r w:rsidRPr="00380B40">
        <w:rPr>
          <w:spacing w:val="17"/>
          <w:lang w:val="en-GB"/>
        </w:rPr>
        <w:t xml:space="preserve"> </w:t>
      </w:r>
      <w:r w:rsidRPr="00380B40">
        <w:rPr>
          <w:lang w:val="en-GB"/>
        </w:rPr>
        <w:t>annex</w:t>
      </w:r>
      <w:r w:rsidRPr="00380B40">
        <w:rPr>
          <w:spacing w:val="17"/>
          <w:lang w:val="en-GB"/>
        </w:rPr>
        <w:t xml:space="preserve"> </w:t>
      </w:r>
      <w:r w:rsidRPr="00380B40">
        <w:rPr>
          <w:lang w:val="en-GB"/>
        </w:rPr>
        <w:t>follows</w:t>
      </w:r>
      <w:r w:rsidRPr="00380B40">
        <w:rPr>
          <w:spacing w:val="15"/>
          <w:lang w:val="en-GB"/>
        </w:rPr>
        <w:t xml:space="preserve"> </w:t>
      </w:r>
      <w:r w:rsidRPr="00380B40">
        <w:rPr>
          <w:lang w:val="en-GB"/>
        </w:rPr>
        <w:t>the</w:t>
      </w:r>
      <w:r w:rsidRPr="00380B40">
        <w:rPr>
          <w:spacing w:val="17"/>
          <w:lang w:val="en-GB"/>
        </w:rPr>
        <w:t xml:space="preserve"> </w:t>
      </w:r>
      <w:r w:rsidRPr="00380B40">
        <w:rPr>
          <w:spacing w:val="-2"/>
          <w:lang w:val="en-GB"/>
        </w:rPr>
        <w:t>same</w:t>
      </w:r>
      <w:r w:rsidRPr="00380B40">
        <w:rPr>
          <w:spacing w:val="33"/>
          <w:lang w:val="en-GB"/>
        </w:rPr>
        <w:t xml:space="preserve"> </w:t>
      </w:r>
      <w:r w:rsidRPr="00380B40">
        <w:rPr>
          <w:lang w:val="en-GB"/>
        </w:rPr>
        <w:t>approval</w:t>
      </w:r>
      <w:r w:rsidRPr="00380B40">
        <w:rPr>
          <w:spacing w:val="-2"/>
          <w:lang w:val="en-GB"/>
        </w:rPr>
        <w:t xml:space="preserve"> </w:t>
      </w:r>
      <w:r w:rsidRPr="00380B40">
        <w:rPr>
          <w:lang w:val="en-GB"/>
        </w:rPr>
        <w:t>procedure</w:t>
      </w:r>
      <w:r w:rsidRPr="00380B40">
        <w:rPr>
          <w:spacing w:val="-2"/>
          <w:lang w:val="en-GB"/>
        </w:rPr>
        <w:t xml:space="preserve"> </w:t>
      </w:r>
      <w:r w:rsidRPr="00380B40">
        <w:rPr>
          <w:lang w:val="en-GB"/>
        </w:rPr>
        <w:t>as the Recommendation.</w:t>
      </w:r>
    </w:p>
    <w:p w14:paraId="42643E3D" w14:textId="77777777" w:rsidR="00C12517" w:rsidRPr="00380B40" w:rsidRDefault="00C12517" w:rsidP="00C12517">
      <w:pPr>
        <w:pStyle w:val="Note"/>
        <w:rPr>
          <w:lang w:val="en-GB"/>
        </w:rPr>
      </w:pPr>
      <w:r w:rsidRPr="00380B40">
        <w:rPr>
          <w:lang w:val="en-GB"/>
        </w:rPr>
        <w:t xml:space="preserve">NOTE 2 – </w:t>
      </w:r>
      <w:r w:rsidRPr="00380B40">
        <w:rPr>
          <w:spacing w:val="-2"/>
          <w:lang w:val="en-GB"/>
        </w:rPr>
        <w:t>In</w:t>
      </w:r>
      <w:r w:rsidRPr="00380B40">
        <w:rPr>
          <w:lang w:val="en-GB"/>
        </w:rPr>
        <w:t xml:space="preserve"> common</w:t>
      </w:r>
      <w:r w:rsidRPr="00380B40">
        <w:rPr>
          <w:spacing w:val="2"/>
          <w:lang w:val="en-GB"/>
        </w:rPr>
        <w:t xml:space="preserve"> </w:t>
      </w:r>
      <w:r w:rsidRPr="00380B40">
        <w:rPr>
          <w:lang w:val="en-GB"/>
        </w:rPr>
        <w:t>ITU</w:t>
      </w:r>
      <w:r w:rsidRPr="00380B40">
        <w:rPr>
          <w:lang w:val="en-GB"/>
        </w:rPr>
        <w:noBreakHyphen/>
        <w:t>T</w:t>
      </w:r>
      <w:r w:rsidRPr="00380B40">
        <w:rPr>
          <w:spacing w:val="4"/>
          <w:lang w:val="en-GB"/>
        </w:rPr>
        <w:t xml:space="preserve"> </w:t>
      </w:r>
      <w:r w:rsidRPr="00380B40">
        <w:rPr>
          <w:lang w:val="en-GB"/>
        </w:rPr>
        <w:t>| ISO/IEC texts,</w:t>
      </w:r>
      <w:r w:rsidRPr="00380B40">
        <w:rPr>
          <w:spacing w:val="-2"/>
          <w:lang w:val="en-GB"/>
        </w:rPr>
        <w:t xml:space="preserve"> </w:t>
      </w:r>
      <w:r w:rsidRPr="00380B40">
        <w:rPr>
          <w:lang w:val="en-GB"/>
        </w:rPr>
        <w:t xml:space="preserve">this </w:t>
      </w:r>
      <w:r w:rsidRPr="00380B40">
        <w:rPr>
          <w:spacing w:val="-2"/>
          <w:lang w:val="en-GB"/>
        </w:rPr>
        <w:t>element</w:t>
      </w:r>
      <w:r w:rsidRPr="00380B40">
        <w:rPr>
          <w:spacing w:val="1"/>
          <w:lang w:val="en-GB"/>
        </w:rPr>
        <w:t xml:space="preserve"> </w:t>
      </w:r>
      <w:r w:rsidRPr="00380B40">
        <w:rPr>
          <w:lang w:val="en-GB"/>
        </w:rPr>
        <w:t>is called an</w:t>
      </w:r>
      <w:r w:rsidRPr="00380B40">
        <w:rPr>
          <w:spacing w:val="-3"/>
          <w:lang w:val="en-GB"/>
        </w:rPr>
        <w:t xml:space="preserve"> </w:t>
      </w:r>
      <w:r w:rsidRPr="00380B40">
        <w:rPr>
          <w:lang w:val="en-GB"/>
        </w:rPr>
        <w:t>"integral</w:t>
      </w:r>
      <w:r w:rsidRPr="00380B40">
        <w:rPr>
          <w:spacing w:val="1"/>
          <w:lang w:val="en-GB"/>
        </w:rPr>
        <w:t xml:space="preserve"> </w:t>
      </w:r>
      <w:r w:rsidRPr="00380B40">
        <w:rPr>
          <w:lang w:val="en-GB"/>
        </w:rPr>
        <w:t>annex".</w:t>
      </w:r>
    </w:p>
    <w:p w14:paraId="1AB48CD8" w14:textId="77777777" w:rsidR="00C12517" w:rsidRPr="00380B40" w:rsidRDefault="00C12517" w:rsidP="00C12517">
      <w:pPr>
        <w:rPr>
          <w:lang w:val="en-GB"/>
        </w:rPr>
      </w:pPr>
      <w:r w:rsidRPr="00380B40">
        <w:rPr>
          <w:b/>
          <w:bCs/>
          <w:lang w:val="en-GB"/>
        </w:rPr>
        <w:t>1.8.2.3</w:t>
      </w:r>
      <w:r w:rsidRPr="00380B40">
        <w:rPr>
          <w:b/>
          <w:bCs/>
          <w:lang w:val="en-GB"/>
        </w:rPr>
        <w:tab/>
      </w:r>
      <w:r w:rsidRPr="00380B40">
        <w:rPr>
          <w:b/>
          <w:spacing w:val="-1"/>
          <w:lang w:val="en-GB"/>
        </w:rPr>
        <w:t>appendix</w:t>
      </w:r>
      <w:r w:rsidRPr="00380B40">
        <w:rPr>
          <w:spacing w:val="-1"/>
          <w:lang w:val="en-GB"/>
        </w:rPr>
        <w:t>:</w:t>
      </w:r>
      <w:r w:rsidRPr="00380B40">
        <w:rPr>
          <w:spacing w:val="-7"/>
          <w:lang w:val="en-GB"/>
        </w:rPr>
        <w:t xml:space="preserve"> </w:t>
      </w:r>
      <w:r w:rsidRPr="00380B40">
        <w:rPr>
          <w:lang w:val="en-GB"/>
        </w:rPr>
        <w:t>Material that is supplementary to and associated with the subject matter of a Recommendation but is not essential to its completeness or comprehensibility.</w:t>
      </w:r>
    </w:p>
    <w:p w14:paraId="1B8BF66A" w14:textId="77777777" w:rsidR="00C12517" w:rsidRPr="00380B40" w:rsidRDefault="00C12517" w:rsidP="00C12517">
      <w:pPr>
        <w:pStyle w:val="Note"/>
        <w:rPr>
          <w:lang w:val="en-GB"/>
        </w:rPr>
      </w:pPr>
      <w:r w:rsidRPr="00380B40">
        <w:rPr>
          <w:lang w:val="en-GB"/>
        </w:rPr>
        <w:t>NOTE</w:t>
      </w:r>
      <w:r w:rsidRPr="00380B40">
        <w:rPr>
          <w:spacing w:val="9"/>
          <w:lang w:val="en-GB"/>
        </w:rPr>
        <w:t xml:space="preserve"> </w:t>
      </w:r>
      <w:r w:rsidRPr="00380B40">
        <w:rPr>
          <w:lang w:val="en-GB"/>
        </w:rPr>
        <w:t>1</w:t>
      </w:r>
      <w:r w:rsidRPr="00380B40">
        <w:rPr>
          <w:spacing w:val="7"/>
          <w:lang w:val="en-GB"/>
        </w:rPr>
        <w:t xml:space="preserve"> </w:t>
      </w:r>
      <w:r w:rsidRPr="00380B40">
        <w:rPr>
          <w:lang w:val="en-GB"/>
        </w:rPr>
        <w:t>–</w:t>
      </w:r>
      <w:r w:rsidRPr="00380B40">
        <w:rPr>
          <w:spacing w:val="9"/>
          <w:lang w:val="en-GB"/>
        </w:rPr>
        <w:t xml:space="preserve"> </w:t>
      </w:r>
      <w:r w:rsidRPr="00380B40">
        <w:rPr>
          <w:lang w:val="en-GB"/>
        </w:rPr>
        <w:t>An</w:t>
      </w:r>
      <w:r w:rsidRPr="00380B40">
        <w:rPr>
          <w:spacing w:val="9"/>
          <w:lang w:val="en-GB"/>
        </w:rPr>
        <w:t xml:space="preserve"> </w:t>
      </w:r>
      <w:r w:rsidRPr="00380B40">
        <w:rPr>
          <w:lang w:val="en-GB"/>
        </w:rPr>
        <w:t>appendix</w:t>
      </w:r>
      <w:r w:rsidRPr="00380B40">
        <w:rPr>
          <w:spacing w:val="7"/>
          <w:lang w:val="en-GB"/>
        </w:rPr>
        <w:t xml:space="preserve"> </w:t>
      </w:r>
      <w:r w:rsidRPr="00380B40">
        <w:rPr>
          <w:lang w:val="en-GB"/>
        </w:rPr>
        <w:t>is</w:t>
      </w:r>
      <w:r w:rsidRPr="00380B40">
        <w:rPr>
          <w:spacing w:val="5"/>
          <w:lang w:val="en-GB"/>
        </w:rPr>
        <w:t xml:space="preserve"> </w:t>
      </w:r>
      <w:r w:rsidRPr="00380B40">
        <w:rPr>
          <w:lang w:val="en-GB"/>
        </w:rPr>
        <w:t>not</w:t>
      </w:r>
      <w:r w:rsidRPr="00380B40">
        <w:rPr>
          <w:spacing w:val="10"/>
          <w:lang w:val="en-GB"/>
        </w:rPr>
        <w:t xml:space="preserve"> </w:t>
      </w:r>
      <w:r w:rsidRPr="00380B40">
        <w:rPr>
          <w:lang w:val="en-GB"/>
        </w:rPr>
        <w:t>considered</w:t>
      </w:r>
      <w:r w:rsidRPr="00380B40">
        <w:rPr>
          <w:spacing w:val="7"/>
          <w:lang w:val="en-GB"/>
        </w:rPr>
        <w:t xml:space="preserve"> </w:t>
      </w:r>
      <w:r w:rsidRPr="00380B40">
        <w:rPr>
          <w:lang w:val="en-GB"/>
        </w:rPr>
        <w:t>to</w:t>
      </w:r>
      <w:r w:rsidRPr="00380B40">
        <w:rPr>
          <w:spacing w:val="7"/>
          <w:lang w:val="en-GB"/>
        </w:rPr>
        <w:t xml:space="preserve"> </w:t>
      </w:r>
      <w:r w:rsidRPr="00380B40">
        <w:rPr>
          <w:lang w:val="en-GB"/>
        </w:rPr>
        <w:t>be</w:t>
      </w:r>
      <w:r w:rsidRPr="00380B40">
        <w:rPr>
          <w:spacing w:val="9"/>
          <w:lang w:val="en-GB"/>
        </w:rPr>
        <w:t xml:space="preserve"> </w:t>
      </w:r>
      <w:r w:rsidRPr="00380B40">
        <w:rPr>
          <w:lang w:val="en-GB"/>
        </w:rPr>
        <w:t>an</w:t>
      </w:r>
      <w:r w:rsidRPr="00380B40">
        <w:rPr>
          <w:spacing w:val="9"/>
          <w:lang w:val="en-GB"/>
        </w:rPr>
        <w:t xml:space="preserve"> </w:t>
      </w:r>
      <w:r w:rsidRPr="00380B40">
        <w:rPr>
          <w:lang w:val="en-GB"/>
        </w:rPr>
        <w:t>integral</w:t>
      </w:r>
      <w:r w:rsidRPr="00380B40">
        <w:rPr>
          <w:spacing w:val="10"/>
          <w:lang w:val="en-GB"/>
        </w:rPr>
        <w:t xml:space="preserve"> </w:t>
      </w:r>
      <w:r w:rsidRPr="00380B40">
        <w:rPr>
          <w:spacing w:val="-2"/>
          <w:lang w:val="en-GB"/>
        </w:rPr>
        <w:t>part</w:t>
      </w:r>
      <w:r w:rsidRPr="00380B40">
        <w:rPr>
          <w:spacing w:val="10"/>
          <w:lang w:val="en-GB"/>
        </w:rPr>
        <w:t xml:space="preserve"> </w:t>
      </w:r>
      <w:r w:rsidRPr="00380B40">
        <w:rPr>
          <w:spacing w:val="-2"/>
          <w:lang w:val="en-GB"/>
        </w:rPr>
        <w:t>of</w:t>
      </w:r>
      <w:r w:rsidRPr="00380B40">
        <w:rPr>
          <w:spacing w:val="10"/>
          <w:lang w:val="en-GB"/>
        </w:rPr>
        <w:t xml:space="preserve"> </w:t>
      </w:r>
      <w:r w:rsidRPr="00380B40">
        <w:rPr>
          <w:lang w:val="en-GB"/>
        </w:rPr>
        <w:t>the</w:t>
      </w:r>
      <w:r w:rsidRPr="00380B40">
        <w:rPr>
          <w:spacing w:val="9"/>
          <w:lang w:val="en-GB"/>
        </w:rPr>
        <w:t xml:space="preserve"> </w:t>
      </w:r>
      <w:r w:rsidRPr="00380B40">
        <w:rPr>
          <w:lang w:val="en-GB"/>
        </w:rPr>
        <w:t>Recommendation</w:t>
      </w:r>
      <w:r w:rsidRPr="00380B40">
        <w:rPr>
          <w:spacing w:val="7"/>
          <w:lang w:val="en-GB"/>
        </w:rPr>
        <w:t xml:space="preserve"> </w:t>
      </w:r>
      <w:r w:rsidRPr="00380B40">
        <w:rPr>
          <w:lang w:val="en-GB"/>
        </w:rPr>
        <w:t>and</w:t>
      </w:r>
      <w:r w:rsidRPr="00380B40">
        <w:rPr>
          <w:spacing w:val="7"/>
          <w:lang w:val="en-GB"/>
        </w:rPr>
        <w:t xml:space="preserve"> </w:t>
      </w:r>
      <w:r w:rsidRPr="00380B40">
        <w:rPr>
          <w:lang w:val="en-GB"/>
        </w:rPr>
        <w:t>thus</w:t>
      </w:r>
      <w:r w:rsidRPr="00380B40">
        <w:rPr>
          <w:spacing w:val="7"/>
          <w:lang w:val="en-GB"/>
        </w:rPr>
        <w:t xml:space="preserve"> </w:t>
      </w:r>
      <w:r w:rsidRPr="00380B40">
        <w:rPr>
          <w:lang w:val="en-GB"/>
        </w:rPr>
        <w:t>it</w:t>
      </w:r>
      <w:r w:rsidRPr="00380B40">
        <w:rPr>
          <w:spacing w:val="10"/>
          <w:lang w:val="en-GB"/>
        </w:rPr>
        <w:t xml:space="preserve"> </w:t>
      </w:r>
      <w:r w:rsidRPr="00380B40">
        <w:rPr>
          <w:lang w:val="en-GB"/>
        </w:rPr>
        <w:t>does</w:t>
      </w:r>
      <w:r w:rsidRPr="00380B40">
        <w:rPr>
          <w:spacing w:val="7"/>
          <w:lang w:val="en-GB"/>
        </w:rPr>
        <w:t xml:space="preserve"> </w:t>
      </w:r>
      <w:r w:rsidRPr="00380B40">
        <w:rPr>
          <w:lang w:val="en-GB"/>
        </w:rPr>
        <w:t>not</w:t>
      </w:r>
      <w:r w:rsidRPr="00380B40">
        <w:rPr>
          <w:spacing w:val="45"/>
          <w:lang w:val="en-GB"/>
        </w:rPr>
        <w:t xml:space="preserve"> </w:t>
      </w:r>
      <w:r w:rsidRPr="00380B40">
        <w:rPr>
          <w:lang w:val="en-GB"/>
        </w:rPr>
        <w:t>require</w:t>
      </w:r>
      <w:r w:rsidRPr="00380B40">
        <w:rPr>
          <w:spacing w:val="-2"/>
          <w:lang w:val="en-GB"/>
        </w:rPr>
        <w:t xml:space="preserve"> </w:t>
      </w:r>
      <w:r w:rsidRPr="00380B40">
        <w:rPr>
          <w:lang w:val="en-GB"/>
        </w:rPr>
        <w:t>the same approval</w:t>
      </w:r>
      <w:r w:rsidRPr="00380B40">
        <w:rPr>
          <w:spacing w:val="1"/>
          <w:lang w:val="en-GB"/>
        </w:rPr>
        <w:t xml:space="preserve"> </w:t>
      </w:r>
      <w:r w:rsidRPr="00380B40">
        <w:rPr>
          <w:lang w:val="en-GB"/>
        </w:rPr>
        <w:t>procedure as the Recommendation;</w:t>
      </w:r>
      <w:r w:rsidRPr="00380B40">
        <w:rPr>
          <w:spacing w:val="1"/>
          <w:lang w:val="en-GB"/>
        </w:rPr>
        <w:t xml:space="preserve"> </w:t>
      </w:r>
      <w:r w:rsidRPr="00380B40">
        <w:rPr>
          <w:lang w:val="en-GB"/>
        </w:rPr>
        <w:t>agreement</w:t>
      </w:r>
      <w:r w:rsidRPr="00380B40">
        <w:rPr>
          <w:spacing w:val="1"/>
          <w:lang w:val="en-GB"/>
        </w:rPr>
        <w:t xml:space="preserve"> </w:t>
      </w:r>
      <w:r w:rsidRPr="00380B40">
        <w:rPr>
          <w:lang w:val="en-GB"/>
        </w:rPr>
        <w:t>by</w:t>
      </w:r>
      <w:r w:rsidRPr="00380B40">
        <w:rPr>
          <w:spacing w:val="-3"/>
          <w:lang w:val="en-GB"/>
        </w:rPr>
        <w:t xml:space="preserve"> </w:t>
      </w:r>
      <w:r w:rsidRPr="00380B40">
        <w:rPr>
          <w:lang w:val="en-GB"/>
        </w:rPr>
        <w:t>the study group is</w:t>
      </w:r>
      <w:r w:rsidRPr="00380B40">
        <w:rPr>
          <w:spacing w:val="-2"/>
          <w:lang w:val="en-GB"/>
        </w:rPr>
        <w:t xml:space="preserve"> </w:t>
      </w:r>
      <w:r w:rsidRPr="00380B40">
        <w:rPr>
          <w:lang w:val="en-GB"/>
        </w:rPr>
        <w:t>sufficient. See [b-ITU-T A.13] for the case of an appendix agreed separately from its base Recommendation.</w:t>
      </w:r>
    </w:p>
    <w:p w14:paraId="6378FFF8" w14:textId="77777777" w:rsidR="00E96E4D" w:rsidRPr="00380B40" w:rsidRDefault="00C12517" w:rsidP="00F55448">
      <w:pPr>
        <w:pStyle w:val="Note"/>
        <w:rPr>
          <w:b/>
          <w:bCs/>
          <w:lang w:val="en-GB"/>
        </w:rPr>
      </w:pPr>
      <w:r w:rsidRPr="00380B40">
        <w:rPr>
          <w:lang w:val="en-GB"/>
        </w:rPr>
        <w:t xml:space="preserve">NOTE 2 – </w:t>
      </w:r>
      <w:r w:rsidRPr="00380B40">
        <w:rPr>
          <w:spacing w:val="-2"/>
          <w:lang w:val="en-GB"/>
        </w:rPr>
        <w:t>In</w:t>
      </w:r>
      <w:r w:rsidRPr="00380B40">
        <w:rPr>
          <w:lang w:val="en-GB"/>
        </w:rPr>
        <w:t xml:space="preserve"> common</w:t>
      </w:r>
      <w:r w:rsidRPr="00380B40">
        <w:rPr>
          <w:spacing w:val="2"/>
          <w:lang w:val="en-GB"/>
        </w:rPr>
        <w:t xml:space="preserve"> </w:t>
      </w:r>
      <w:r w:rsidRPr="00380B40">
        <w:rPr>
          <w:lang w:val="en-GB"/>
        </w:rPr>
        <w:t>ITU</w:t>
      </w:r>
      <w:r w:rsidRPr="00380B40">
        <w:rPr>
          <w:lang w:val="en-GB"/>
        </w:rPr>
        <w:noBreakHyphen/>
        <w:t>T</w:t>
      </w:r>
      <w:r w:rsidRPr="00380B40">
        <w:rPr>
          <w:spacing w:val="4"/>
          <w:lang w:val="en-GB"/>
        </w:rPr>
        <w:t xml:space="preserve"> </w:t>
      </w:r>
      <w:r w:rsidRPr="00380B40">
        <w:rPr>
          <w:lang w:val="en-GB"/>
        </w:rPr>
        <w:t>| ISO/IEC texts,</w:t>
      </w:r>
      <w:r w:rsidRPr="00380B40">
        <w:rPr>
          <w:spacing w:val="-2"/>
          <w:lang w:val="en-GB"/>
        </w:rPr>
        <w:t xml:space="preserve"> </w:t>
      </w:r>
      <w:r w:rsidRPr="00380B40">
        <w:rPr>
          <w:lang w:val="en-GB"/>
        </w:rPr>
        <w:t xml:space="preserve">this </w:t>
      </w:r>
      <w:r w:rsidRPr="00380B40">
        <w:rPr>
          <w:spacing w:val="-2"/>
          <w:lang w:val="en-GB"/>
        </w:rPr>
        <w:t>element</w:t>
      </w:r>
      <w:r w:rsidRPr="00380B40">
        <w:rPr>
          <w:spacing w:val="1"/>
          <w:lang w:val="en-GB"/>
        </w:rPr>
        <w:t xml:space="preserve"> </w:t>
      </w:r>
      <w:r w:rsidRPr="00380B40">
        <w:rPr>
          <w:lang w:val="en-GB"/>
        </w:rPr>
        <w:t>is called a</w:t>
      </w:r>
      <w:r w:rsidRPr="00380B40">
        <w:rPr>
          <w:spacing w:val="-2"/>
          <w:lang w:val="en-GB"/>
        </w:rPr>
        <w:t xml:space="preserve"> </w:t>
      </w:r>
      <w:r w:rsidRPr="00380B40">
        <w:rPr>
          <w:lang w:val="en-GB"/>
        </w:rPr>
        <w:t>"non-integral</w:t>
      </w:r>
      <w:r w:rsidRPr="00380B40">
        <w:rPr>
          <w:spacing w:val="1"/>
          <w:lang w:val="en-GB"/>
        </w:rPr>
        <w:t xml:space="preserve"> </w:t>
      </w:r>
      <w:r w:rsidRPr="00380B40">
        <w:rPr>
          <w:lang w:val="en-GB"/>
        </w:rPr>
        <w:t>annex".</w:t>
      </w:r>
    </w:p>
    <w:p w14:paraId="3400C787" w14:textId="77777777" w:rsidR="00C12517" w:rsidRPr="00380B40" w:rsidRDefault="00C12517" w:rsidP="00C12517">
      <w:pPr>
        <w:rPr>
          <w:lang w:val="en-GB"/>
        </w:rPr>
      </w:pPr>
      <w:r w:rsidRPr="00380B40">
        <w:rPr>
          <w:b/>
          <w:bCs/>
          <w:lang w:val="en-GB"/>
        </w:rPr>
        <w:t>1.8.2.4</w:t>
      </w:r>
      <w:r w:rsidRPr="00380B40">
        <w:rPr>
          <w:b/>
          <w:bCs/>
          <w:lang w:val="en-GB"/>
        </w:rPr>
        <w:tab/>
      </w:r>
      <w:r w:rsidRPr="00380B40">
        <w:rPr>
          <w:b/>
          <w:spacing w:val="-1"/>
          <w:lang w:val="en-GB"/>
        </w:rPr>
        <w:t>clause</w:t>
      </w:r>
      <w:r w:rsidRPr="00380B40">
        <w:rPr>
          <w:spacing w:val="-1"/>
          <w:lang w:val="en-GB"/>
        </w:rPr>
        <w:t>:</w:t>
      </w:r>
      <w:r w:rsidRPr="00380B40">
        <w:rPr>
          <w:spacing w:val="2"/>
          <w:lang w:val="en-GB"/>
        </w:rPr>
        <w:t xml:space="preserve"> </w:t>
      </w:r>
      <w:r w:rsidRPr="00380B40">
        <w:rPr>
          <w:lang w:val="en-GB"/>
        </w:rPr>
        <w:t>Single-digit or multiple-digit numbered text passages.</w:t>
      </w:r>
    </w:p>
    <w:p w14:paraId="1CF3583E" w14:textId="77777777" w:rsidR="00C12517" w:rsidRPr="00380B40" w:rsidRDefault="00C12517" w:rsidP="00C12517">
      <w:pPr>
        <w:rPr>
          <w:lang w:val="en-GB"/>
        </w:rPr>
      </w:pPr>
      <w:r w:rsidRPr="00380B40">
        <w:rPr>
          <w:b/>
          <w:bCs/>
          <w:lang w:val="en-GB"/>
        </w:rPr>
        <w:t>1.8.2.5</w:t>
      </w:r>
      <w:r w:rsidRPr="00380B40">
        <w:rPr>
          <w:b/>
          <w:bCs/>
          <w:lang w:val="en-GB"/>
        </w:rPr>
        <w:tab/>
      </w:r>
      <w:r w:rsidRPr="00380B40">
        <w:rPr>
          <w:b/>
          <w:spacing w:val="-1"/>
          <w:lang w:val="en-GB"/>
        </w:rPr>
        <w:t>corrigendum</w:t>
      </w:r>
      <w:r w:rsidRPr="00380B40">
        <w:rPr>
          <w:spacing w:val="-1"/>
          <w:lang w:val="en-GB"/>
        </w:rPr>
        <w:t>:</w:t>
      </w:r>
      <w:r w:rsidRPr="00380B40">
        <w:rPr>
          <w:spacing w:val="48"/>
          <w:lang w:val="en-GB"/>
        </w:rPr>
        <w:t xml:space="preserve"> </w:t>
      </w:r>
      <w:r w:rsidRPr="00380B40">
        <w:rPr>
          <w:lang w:val="en-GB"/>
        </w:rPr>
        <w:t>Corrections to an already published ITU</w:t>
      </w:r>
      <w:r w:rsidRPr="00380B40">
        <w:rPr>
          <w:lang w:val="en-GB"/>
        </w:rPr>
        <w:softHyphen/>
        <w:t>-T Recommendation.</w:t>
      </w:r>
    </w:p>
    <w:p w14:paraId="3E8CFFF7" w14:textId="77777777" w:rsidR="00C12517" w:rsidRPr="00380B40" w:rsidRDefault="00C12517" w:rsidP="00C12517">
      <w:pPr>
        <w:pStyle w:val="Note"/>
        <w:rPr>
          <w:lang w:val="en-GB"/>
        </w:rPr>
      </w:pPr>
      <w:r w:rsidRPr="00380B40">
        <w:rPr>
          <w:lang w:val="en-GB"/>
        </w:rPr>
        <w:t>NOTE 1 – Approval of a corrigendum follows the same approval procedure as an amendment.</w:t>
      </w:r>
    </w:p>
    <w:p w14:paraId="42447E79" w14:textId="77777777" w:rsidR="00C12517" w:rsidRPr="00380B40" w:rsidRDefault="00C12517" w:rsidP="00C12517">
      <w:pPr>
        <w:pStyle w:val="Note"/>
        <w:rPr>
          <w:spacing w:val="-1"/>
          <w:lang w:val="en-GB"/>
        </w:rPr>
      </w:pPr>
      <w:r w:rsidRPr="00380B40">
        <w:rPr>
          <w:spacing w:val="-1"/>
          <w:lang w:val="en-GB"/>
        </w:rPr>
        <w:t>NOTE 2</w:t>
      </w:r>
      <w:r w:rsidRPr="00380B40">
        <w:rPr>
          <w:lang w:val="en-GB"/>
        </w:rPr>
        <w:t xml:space="preserve"> – </w:t>
      </w:r>
      <w:r w:rsidRPr="00380B40">
        <w:rPr>
          <w:spacing w:val="-2"/>
          <w:lang w:val="en-GB"/>
        </w:rPr>
        <w:t>In</w:t>
      </w:r>
      <w:r w:rsidRPr="00380B40">
        <w:rPr>
          <w:lang w:val="en-GB"/>
        </w:rPr>
        <w:t xml:space="preserve"> </w:t>
      </w:r>
      <w:r w:rsidRPr="00380B40">
        <w:rPr>
          <w:spacing w:val="-1"/>
          <w:lang w:val="en-GB"/>
        </w:rPr>
        <w:t>common</w:t>
      </w:r>
      <w:r w:rsidRPr="00380B40">
        <w:rPr>
          <w:spacing w:val="2"/>
          <w:lang w:val="en-GB"/>
        </w:rPr>
        <w:t xml:space="preserve"> </w:t>
      </w:r>
      <w:r w:rsidRPr="00380B40">
        <w:rPr>
          <w:spacing w:val="-1"/>
          <w:lang w:val="en-GB"/>
        </w:rPr>
        <w:t>ITU</w:t>
      </w:r>
      <w:r w:rsidRPr="00380B40">
        <w:rPr>
          <w:lang w:val="en-GB"/>
        </w:rPr>
        <w:noBreakHyphen/>
      </w:r>
      <w:r w:rsidRPr="00380B40">
        <w:rPr>
          <w:spacing w:val="-1"/>
          <w:lang w:val="en-GB"/>
        </w:rPr>
        <w:t>T</w:t>
      </w:r>
      <w:r w:rsidRPr="00380B40">
        <w:rPr>
          <w:spacing w:val="1"/>
          <w:lang w:val="en-GB"/>
        </w:rPr>
        <w:t xml:space="preserve"> </w:t>
      </w:r>
      <w:r w:rsidRPr="00380B40">
        <w:rPr>
          <w:lang w:val="en-GB"/>
        </w:rPr>
        <w:t>|</w:t>
      </w:r>
      <w:r w:rsidRPr="00380B40">
        <w:rPr>
          <w:spacing w:val="-1"/>
          <w:lang w:val="en-GB"/>
        </w:rPr>
        <w:t xml:space="preserve"> ISO/IEC</w:t>
      </w:r>
      <w:r w:rsidRPr="00380B40">
        <w:rPr>
          <w:spacing w:val="-2"/>
          <w:lang w:val="en-GB"/>
        </w:rPr>
        <w:t xml:space="preserve"> </w:t>
      </w:r>
      <w:r w:rsidRPr="00380B40">
        <w:rPr>
          <w:lang w:val="en-GB"/>
        </w:rPr>
        <w:t>texts,</w:t>
      </w:r>
      <w:r w:rsidRPr="00380B40">
        <w:rPr>
          <w:spacing w:val="-2"/>
          <w:lang w:val="en-GB"/>
        </w:rPr>
        <w:t xml:space="preserve"> </w:t>
      </w:r>
      <w:r w:rsidRPr="00380B40">
        <w:rPr>
          <w:spacing w:val="-1"/>
          <w:lang w:val="en-GB"/>
        </w:rPr>
        <w:t>this</w:t>
      </w:r>
      <w:r w:rsidRPr="00380B40">
        <w:rPr>
          <w:lang w:val="en-GB"/>
        </w:rPr>
        <w:t xml:space="preserve"> </w:t>
      </w:r>
      <w:r w:rsidRPr="00380B40">
        <w:rPr>
          <w:spacing w:val="-1"/>
          <w:lang w:val="en-GB"/>
        </w:rPr>
        <w:t>element</w:t>
      </w:r>
      <w:r w:rsidRPr="00380B40">
        <w:rPr>
          <w:spacing w:val="1"/>
          <w:lang w:val="en-GB"/>
        </w:rPr>
        <w:t xml:space="preserve"> </w:t>
      </w:r>
      <w:r w:rsidRPr="00380B40">
        <w:rPr>
          <w:spacing w:val="-1"/>
          <w:lang w:val="en-GB"/>
        </w:rPr>
        <w:t>is</w:t>
      </w:r>
      <w:r w:rsidRPr="00380B40">
        <w:rPr>
          <w:lang w:val="en-GB"/>
        </w:rPr>
        <w:t xml:space="preserve"> </w:t>
      </w:r>
      <w:r w:rsidRPr="00380B40">
        <w:rPr>
          <w:spacing w:val="-1"/>
          <w:lang w:val="en-GB"/>
        </w:rPr>
        <w:t>called</w:t>
      </w:r>
      <w:r w:rsidRPr="00380B40">
        <w:rPr>
          <w:lang w:val="en-GB"/>
        </w:rPr>
        <w:t xml:space="preserve"> a</w:t>
      </w:r>
      <w:r w:rsidRPr="00380B40">
        <w:rPr>
          <w:spacing w:val="-2"/>
          <w:lang w:val="en-GB"/>
        </w:rPr>
        <w:t xml:space="preserve"> </w:t>
      </w:r>
      <w:r w:rsidRPr="00380B40">
        <w:rPr>
          <w:spacing w:val="-1"/>
          <w:lang w:val="en-GB"/>
        </w:rPr>
        <w:t>"technical</w:t>
      </w:r>
      <w:r w:rsidRPr="00380B40">
        <w:rPr>
          <w:spacing w:val="1"/>
          <w:lang w:val="en-GB"/>
        </w:rPr>
        <w:t xml:space="preserve"> </w:t>
      </w:r>
      <w:r w:rsidRPr="00380B40">
        <w:rPr>
          <w:spacing w:val="-1"/>
          <w:lang w:val="en-GB"/>
        </w:rPr>
        <w:t>corrigendum".</w:t>
      </w:r>
    </w:p>
    <w:p w14:paraId="58B4B655" w14:textId="77777777" w:rsidR="00DB6A21" w:rsidRPr="00380B40" w:rsidRDefault="00DB6A21" w:rsidP="00C12517">
      <w:pPr>
        <w:rPr>
          <w:b/>
          <w:lang w:val="en-GB"/>
        </w:rPr>
      </w:pPr>
      <w:r w:rsidRPr="00380B40">
        <w:rPr>
          <w:b/>
          <w:lang w:val="en-GB"/>
        </w:rPr>
        <w:br w:type="page"/>
      </w:r>
    </w:p>
    <w:p w14:paraId="27C3B492" w14:textId="77777777" w:rsidR="00C12517" w:rsidRPr="00380B40" w:rsidRDefault="00C12517" w:rsidP="00C12517">
      <w:pPr>
        <w:rPr>
          <w:lang w:val="en-GB"/>
        </w:rPr>
      </w:pPr>
      <w:r w:rsidRPr="00380B40">
        <w:rPr>
          <w:b/>
          <w:lang w:val="en-GB"/>
        </w:rPr>
        <w:t>1.8.2.6</w:t>
      </w:r>
      <w:r w:rsidRPr="00380B40">
        <w:rPr>
          <w:b/>
          <w:lang w:val="en-GB"/>
        </w:rPr>
        <w:tab/>
        <w:t>erratum</w:t>
      </w:r>
      <w:r w:rsidRPr="00380B40">
        <w:rPr>
          <w:lang w:val="en-GB"/>
        </w:rPr>
        <w:t>: Corrections of publication and editorial errors in an already published ITU-T Recommendation. An erratum is published by TSB with the concurrence of the study group Chairman, in consultation with other relevant parties.</w:t>
      </w:r>
    </w:p>
    <w:p w14:paraId="19F308C7" w14:textId="77777777" w:rsidR="00C12517" w:rsidRPr="00380B40" w:rsidRDefault="00C12517" w:rsidP="00C12517">
      <w:pPr>
        <w:rPr>
          <w:lang w:val="en-GB"/>
        </w:rPr>
      </w:pPr>
      <w:r w:rsidRPr="00380B40">
        <w:rPr>
          <w:b/>
          <w:bCs/>
          <w:lang w:val="en-GB"/>
        </w:rPr>
        <w:t>1.8.2.7</w:t>
      </w:r>
      <w:r w:rsidRPr="00380B40">
        <w:rPr>
          <w:b/>
          <w:bCs/>
          <w:lang w:val="en-GB"/>
        </w:rPr>
        <w:tab/>
      </w:r>
      <w:r w:rsidRPr="00380B40">
        <w:rPr>
          <w:b/>
          <w:spacing w:val="-1"/>
          <w:lang w:val="en-GB"/>
        </w:rPr>
        <w:t>normative</w:t>
      </w:r>
      <w:r w:rsidRPr="00380B40">
        <w:rPr>
          <w:b/>
          <w:spacing w:val="3"/>
          <w:lang w:val="en-GB"/>
        </w:rPr>
        <w:t xml:space="preserve"> </w:t>
      </w:r>
      <w:r w:rsidRPr="00380B40">
        <w:rPr>
          <w:b/>
          <w:lang w:val="en-GB"/>
        </w:rPr>
        <w:t>reference</w:t>
      </w:r>
      <w:r w:rsidRPr="00380B40">
        <w:rPr>
          <w:lang w:val="en-GB"/>
        </w:rPr>
        <w:t>:</w:t>
      </w:r>
      <w:r w:rsidRPr="00380B40">
        <w:rPr>
          <w:spacing w:val="5"/>
          <w:lang w:val="en-GB"/>
        </w:rPr>
        <w:t xml:space="preserve"> </w:t>
      </w:r>
      <w:r w:rsidRPr="00380B40">
        <w:rPr>
          <w:lang w:val="en-GB"/>
        </w:rPr>
        <w:t>The whole or parts of another document where the referenced document contains provisions which, through reference to it, constitute provisions to the referring document.</w:t>
      </w:r>
    </w:p>
    <w:p w14:paraId="1BA47590" w14:textId="77777777" w:rsidR="00C12517" w:rsidRPr="00380B40" w:rsidRDefault="00C12517" w:rsidP="00C12517">
      <w:pPr>
        <w:rPr>
          <w:lang w:val="en-GB"/>
        </w:rPr>
      </w:pPr>
      <w:r w:rsidRPr="00380B40">
        <w:rPr>
          <w:b/>
          <w:bCs/>
          <w:lang w:val="en-GB"/>
        </w:rPr>
        <w:t>1.8.2.8</w:t>
      </w:r>
      <w:r w:rsidRPr="00380B40">
        <w:rPr>
          <w:b/>
          <w:bCs/>
          <w:lang w:val="en-GB"/>
        </w:rPr>
        <w:tab/>
      </w:r>
      <w:r w:rsidRPr="00380B40">
        <w:rPr>
          <w:b/>
          <w:lang w:val="en-GB"/>
        </w:rPr>
        <w:t>text</w:t>
      </w:r>
      <w:r w:rsidRPr="00380B40">
        <w:rPr>
          <w:lang w:val="en-GB"/>
        </w:rPr>
        <w:t>:</w:t>
      </w:r>
      <w:r w:rsidRPr="00380B40">
        <w:rPr>
          <w:spacing w:val="2"/>
          <w:lang w:val="en-GB"/>
        </w:rPr>
        <w:t xml:space="preserve"> </w:t>
      </w:r>
      <w:r w:rsidRPr="00380B40">
        <w:rPr>
          <w:lang w:val="en-GB"/>
        </w:rPr>
        <w:t>The</w:t>
      </w:r>
      <w:r w:rsidRPr="00380B40">
        <w:rPr>
          <w:spacing w:val="3"/>
          <w:lang w:val="en-GB"/>
        </w:rPr>
        <w:t xml:space="preserve"> </w:t>
      </w:r>
      <w:r w:rsidRPr="00380B40">
        <w:rPr>
          <w:lang w:val="en-GB"/>
        </w:rPr>
        <w:t>"text" of</w:t>
      </w:r>
      <w:r w:rsidRPr="00380B40">
        <w:rPr>
          <w:spacing w:val="3"/>
          <w:lang w:val="en-GB"/>
        </w:rPr>
        <w:t xml:space="preserve"> </w:t>
      </w:r>
      <w:r w:rsidRPr="00380B40">
        <w:rPr>
          <w:lang w:val="en-GB"/>
        </w:rPr>
        <w:t>Recommendations</w:t>
      </w:r>
      <w:r w:rsidRPr="00380B40">
        <w:rPr>
          <w:spacing w:val="2"/>
          <w:lang w:val="en-GB"/>
        </w:rPr>
        <w:t xml:space="preserve"> </w:t>
      </w:r>
      <w:r w:rsidRPr="00380B40">
        <w:rPr>
          <w:lang w:val="en-GB"/>
        </w:rPr>
        <w:t>is</w:t>
      </w:r>
      <w:r w:rsidRPr="00380B40">
        <w:rPr>
          <w:spacing w:val="2"/>
          <w:lang w:val="en-GB"/>
        </w:rPr>
        <w:t xml:space="preserve"> </w:t>
      </w:r>
      <w:r w:rsidRPr="00380B40">
        <w:rPr>
          <w:lang w:val="en-GB"/>
        </w:rPr>
        <w:t>understood</w:t>
      </w:r>
      <w:r w:rsidRPr="00380B40">
        <w:rPr>
          <w:spacing w:val="2"/>
          <w:lang w:val="en-GB"/>
        </w:rPr>
        <w:t xml:space="preserve"> </w:t>
      </w:r>
      <w:r w:rsidRPr="00380B40">
        <w:rPr>
          <w:lang w:val="en-GB"/>
        </w:rPr>
        <w:t>in</w:t>
      </w:r>
      <w:r w:rsidRPr="00380B40">
        <w:rPr>
          <w:spacing w:val="2"/>
          <w:lang w:val="en-GB"/>
        </w:rPr>
        <w:t xml:space="preserve"> </w:t>
      </w:r>
      <w:r w:rsidRPr="00380B40">
        <w:rPr>
          <w:lang w:val="en-GB"/>
        </w:rPr>
        <w:t>a</w:t>
      </w:r>
      <w:r w:rsidRPr="00380B40">
        <w:rPr>
          <w:spacing w:val="1"/>
          <w:lang w:val="en-GB"/>
        </w:rPr>
        <w:t xml:space="preserve"> </w:t>
      </w:r>
      <w:r w:rsidRPr="00380B40">
        <w:rPr>
          <w:lang w:val="en-GB"/>
        </w:rPr>
        <w:t>broad</w:t>
      </w:r>
      <w:r w:rsidRPr="00380B40">
        <w:rPr>
          <w:spacing w:val="2"/>
          <w:lang w:val="en-GB"/>
        </w:rPr>
        <w:t xml:space="preserve"> </w:t>
      </w:r>
      <w:r w:rsidRPr="00380B40">
        <w:rPr>
          <w:lang w:val="en-GB"/>
        </w:rPr>
        <w:t>sense.</w:t>
      </w:r>
      <w:r w:rsidRPr="00380B40">
        <w:rPr>
          <w:spacing w:val="4"/>
          <w:lang w:val="en-GB"/>
        </w:rPr>
        <w:t xml:space="preserve"> </w:t>
      </w:r>
      <w:r w:rsidRPr="00380B40">
        <w:rPr>
          <w:spacing w:val="-2"/>
          <w:lang w:val="en-GB"/>
        </w:rPr>
        <w:t>It</w:t>
      </w:r>
      <w:r w:rsidRPr="00380B40">
        <w:rPr>
          <w:spacing w:val="4"/>
          <w:lang w:val="en-GB"/>
        </w:rPr>
        <w:t xml:space="preserve"> </w:t>
      </w:r>
      <w:r w:rsidRPr="00380B40">
        <w:rPr>
          <w:lang w:val="en-GB"/>
        </w:rPr>
        <w:t>may contain</w:t>
      </w:r>
      <w:r w:rsidRPr="00380B40">
        <w:rPr>
          <w:spacing w:val="2"/>
          <w:lang w:val="en-GB"/>
        </w:rPr>
        <w:t xml:space="preserve"> </w:t>
      </w:r>
      <w:r w:rsidRPr="00380B40">
        <w:rPr>
          <w:lang w:val="en-GB"/>
        </w:rPr>
        <w:t>printed</w:t>
      </w:r>
      <w:r w:rsidRPr="00380B40">
        <w:rPr>
          <w:spacing w:val="61"/>
          <w:lang w:val="en-GB"/>
        </w:rPr>
        <w:t xml:space="preserve"> </w:t>
      </w:r>
      <w:r w:rsidRPr="00380B40">
        <w:rPr>
          <w:lang w:val="en-GB"/>
        </w:rPr>
        <w:t>or coded text and/or data</w:t>
      </w:r>
      <w:r w:rsidRPr="00380B40">
        <w:rPr>
          <w:spacing w:val="1"/>
          <w:lang w:val="en-GB"/>
        </w:rPr>
        <w:t xml:space="preserve"> </w:t>
      </w:r>
      <w:r w:rsidRPr="00380B40">
        <w:rPr>
          <w:lang w:val="en-GB"/>
        </w:rPr>
        <w:t>(such as test images,</w:t>
      </w:r>
      <w:r w:rsidRPr="00380B40">
        <w:rPr>
          <w:spacing w:val="2"/>
          <w:lang w:val="en-GB"/>
        </w:rPr>
        <w:t xml:space="preserve"> </w:t>
      </w:r>
      <w:r w:rsidRPr="00380B40">
        <w:rPr>
          <w:lang w:val="en-GB"/>
        </w:rPr>
        <w:t>graphics, software,</w:t>
      </w:r>
      <w:r w:rsidRPr="00380B40">
        <w:rPr>
          <w:spacing w:val="2"/>
          <w:lang w:val="en-GB"/>
        </w:rPr>
        <w:t xml:space="preserve"> </w:t>
      </w:r>
      <w:r w:rsidRPr="00380B40">
        <w:rPr>
          <w:lang w:val="en-GB"/>
        </w:rPr>
        <w:t>etc.).</w:t>
      </w:r>
    </w:p>
    <w:p w14:paraId="0F3EE2CB" w14:textId="77777777" w:rsidR="00C12517" w:rsidRPr="00380B40" w:rsidRDefault="00C12517" w:rsidP="00C12517">
      <w:pPr>
        <w:rPr>
          <w:lang w:val="en-GB"/>
        </w:rPr>
      </w:pPr>
      <w:r w:rsidRPr="00380B40">
        <w:rPr>
          <w:b/>
          <w:bCs/>
          <w:lang w:val="en-GB"/>
        </w:rPr>
        <w:t>1.8.2.9</w:t>
      </w:r>
      <w:r w:rsidRPr="00380B40">
        <w:rPr>
          <w:b/>
          <w:bCs/>
          <w:lang w:val="en-GB"/>
        </w:rPr>
        <w:tab/>
      </w:r>
      <w:r w:rsidRPr="00380B40">
        <w:rPr>
          <w:b/>
          <w:lang w:val="en-GB"/>
        </w:rPr>
        <w:t>work</w:t>
      </w:r>
      <w:r w:rsidRPr="00380B40">
        <w:rPr>
          <w:b/>
          <w:spacing w:val="-7"/>
          <w:lang w:val="en-GB"/>
        </w:rPr>
        <w:t xml:space="preserve"> </w:t>
      </w:r>
      <w:r w:rsidRPr="00380B40">
        <w:rPr>
          <w:b/>
          <w:lang w:val="en-GB"/>
        </w:rPr>
        <w:t>item</w:t>
      </w:r>
      <w:r w:rsidRPr="00380B40">
        <w:rPr>
          <w:lang w:val="en-GB"/>
        </w:rPr>
        <w:t>:</w:t>
      </w:r>
      <w:r w:rsidRPr="00380B40">
        <w:rPr>
          <w:spacing w:val="-5"/>
          <w:lang w:val="en-GB"/>
        </w:rPr>
        <w:t xml:space="preserve"> </w:t>
      </w:r>
      <w:r w:rsidRPr="00380B40">
        <w:rPr>
          <w:lang w:val="en-GB"/>
        </w:rPr>
        <w:t>An</w:t>
      </w:r>
      <w:r w:rsidRPr="00380B40">
        <w:rPr>
          <w:spacing w:val="-8"/>
          <w:lang w:val="en-GB"/>
        </w:rPr>
        <w:t xml:space="preserve"> </w:t>
      </w:r>
      <w:r w:rsidRPr="00380B40">
        <w:rPr>
          <w:lang w:val="en-GB"/>
        </w:rPr>
        <w:t>assigned</w:t>
      </w:r>
      <w:r w:rsidRPr="00380B40">
        <w:rPr>
          <w:spacing w:val="-6"/>
          <w:lang w:val="en-GB"/>
        </w:rPr>
        <w:t xml:space="preserve"> </w:t>
      </w:r>
      <w:r w:rsidRPr="00380B40">
        <w:rPr>
          <w:lang w:val="en-GB"/>
        </w:rPr>
        <w:t>piece</w:t>
      </w:r>
      <w:r w:rsidRPr="00380B40">
        <w:rPr>
          <w:spacing w:val="-9"/>
          <w:lang w:val="en-GB"/>
        </w:rPr>
        <w:t xml:space="preserve"> </w:t>
      </w:r>
      <w:r w:rsidRPr="00380B40">
        <w:rPr>
          <w:spacing w:val="1"/>
          <w:lang w:val="en-GB"/>
        </w:rPr>
        <w:t>of</w:t>
      </w:r>
      <w:r w:rsidRPr="00380B40">
        <w:rPr>
          <w:spacing w:val="-8"/>
          <w:lang w:val="en-GB"/>
        </w:rPr>
        <w:t xml:space="preserve"> </w:t>
      </w:r>
      <w:r w:rsidRPr="00380B40">
        <w:rPr>
          <w:lang w:val="en-GB"/>
        </w:rPr>
        <w:t>work,</w:t>
      </w:r>
      <w:r w:rsidRPr="00380B40">
        <w:rPr>
          <w:spacing w:val="-8"/>
          <w:lang w:val="en-GB"/>
        </w:rPr>
        <w:t xml:space="preserve"> </w:t>
      </w:r>
      <w:r w:rsidRPr="00380B40">
        <w:rPr>
          <w:lang w:val="en-GB"/>
        </w:rPr>
        <w:t>which</w:t>
      </w:r>
      <w:r w:rsidRPr="00380B40">
        <w:rPr>
          <w:spacing w:val="-8"/>
          <w:lang w:val="en-GB"/>
        </w:rPr>
        <w:t xml:space="preserve"> </w:t>
      </w:r>
      <w:r w:rsidRPr="00380B40">
        <w:rPr>
          <w:lang w:val="en-GB"/>
        </w:rPr>
        <w:t>is</w:t>
      </w:r>
      <w:r w:rsidRPr="00380B40">
        <w:rPr>
          <w:spacing w:val="-7"/>
          <w:lang w:val="en-GB"/>
        </w:rPr>
        <w:t xml:space="preserve"> </w:t>
      </w:r>
      <w:r w:rsidRPr="00380B40">
        <w:rPr>
          <w:lang w:val="en-GB"/>
        </w:rPr>
        <w:t>identifiable</w:t>
      </w:r>
      <w:r w:rsidRPr="00380B40">
        <w:rPr>
          <w:spacing w:val="-8"/>
          <w:lang w:val="en-GB"/>
        </w:rPr>
        <w:t xml:space="preserve"> </w:t>
      </w:r>
      <w:r w:rsidRPr="00380B40">
        <w:rPr>
          <w:lang w:val="en-GB"/>
        </w:rPr>
        <w:t>with</w:t>
      </w:r>
      <w:r w:rsidRPr="00380B40">
        <w:rPr>
          <w:spacing w:val="-7"/>
          <w:lang w:val="en-GB"/>
        </w:rPr>
        <w:t xml:space="preserve"> </w:t>
      </w:r>
      <w:r w:rsidRPr="00380B40">
        <w:rPr>
          <w:lang w:val="en-GB"/>
        </w:rPr>
        <w:t>a</w:t>
      </w:r>
      <w:r w:rsidRPr="00380B40">
        <w:rPr>
          <w:spacing w:val="-6"/>
          <w:lang w:val="en-GB"/>
        </w:rPr>
        <w:t xml:space="preserve"> </w:t>
      </w:r>
      <w:r w:rsidRPr="00380B40">
        <w:rPr>
          <w:lang w:val="en-GB"/>
        </w:rPr>
        <w:t>Question</w:t>
      </w:r>
      <w:r w:rsidRPr="00380B40">
        <w:rPr>
          <w:spacing w:val="-8"/>
          <w:lang w:val="en-GB"/>
        </w:rPr>
        <w:t xml:space="preserve"> </w:t>
      </w:r>
      <w:r w:rsidRPr="00380B40">
        <w:rPr>
          <w:lang w:val="en-GB"/>
        </w:rPr>
        <w:t>and</w:t>
      </w:r>
      <w:r w:rsidRPr="00380B40">
        <w:rPr>
          <w:spacing w:val="-8"/>
          <w:lang w:val="en-GB"/>
        </w:rPr>
        <w:t xml:space="preserve"> </w:t>
      </w:r>
      <w:r w:rsidRPr="00380B40">
        <w:rPr>
          <w:lang w:val="en-GB"/>
        </w:rPr>
        <w:t>which</w:t>
      </w:r>
      <w:r w:rsidRPr="00380B40">
        <w:rPr>
          <w:spacing w:val="-6"/>
          <w:lang w:val="en-GB"/>
        </w:rPr>
        <w:t xml:space="preserve"> </w:t>
      </w:r>
      <w:r w:rsidRPr="00380B40">
        <w:rPr>
          <w:lang w:val="en-GB"/>
        </w:rPr>
        <w:t>has</w:t>
      </w:r>
      <w:r w:rsidRPr="00380B40">
        <w:rPr>
          <w:spacing w:val="67"/>
          <w:lang w:val="en-GB"/>
        </w:rPr>
        <w:t xml:space="preserve"> </w:t>
      </w:r>
      <w:r w:rsidRPr="00380B40">
        <w:rPr>
          <w:lang w:val="en-GB"/>
        </w:rPr>
        <w:t>specific</w:t>
      </w:r>
      <w:r w:rsidRPr="00380B40">
        <w:rPr>
          <w:spacing w:val="56"/>
          <w:lang w:val="en-GB"/>
        </w:rPr>
        <w:t xml:space="preserve"> </w:t>
      </w:r>
      <w:r w:rsidRPr="00380B40">
        <w:rPr>
          <w:spacing w:val="1"/>
          <w:lang w:val="en-GB"/>
        </w:rPr>
        <w:t>or</w:t>
      </w:r>
      <w:r w:rsidRPr="00380B40">
        <w:rPr>
          <w:spacing w:val="59"/>
          <w:lang w:val="en-GB"/>
        </w:rPr>
        <w:t xml:space="preserve"> </w:t>
      </w:r>
      <w:r w:rsidRPr="00380B40">
        <w:rPr>
          <w:lang w:val="en-GB"/>
        </w:rPr>
        <w:t>general</w:t>
      </w:r>
      <w:r w:rsidRPr="00380B40">
        <w:rPr>
          <w:spacing w:val="57"/>
          <w:lang w:val="en-GB"/>
        </w:rPr>
        <w:t xml:space="preserve"> </w:t>
      </w:r>
      <w:r w:rsidRPr="00380B40">
        <w:rPr>
          <w:lang w:val="en-GB"/>
        </w:rPr>
        <w:t>objectives,</w:t>
      </w:r>
      <w:r w:rsidRPr="00380B40">
        <w:rPr>
          <w:spacing w:val="57"/>
          <w:lang w:val="en-GB"/>
        </w:rPr>
        <w:t xml:space="preserve"> </w:t>
      </w:r>
      <w:r w:rsidRPr="00380B40">
        <w:rPr>
          <w:lang w:val="en-GB"/>
        </w:rPr>
        <w:t>which</w:t>
      </w:r>
      <w:r w:rsidRPr="00380B40">
        <w:rPr>
          <w:spacing w:val="59"/>
          <w:lang w:val="en-GB"/>
        </w:rPr>
        <w:t xml:space="preserve"> </w:t>
      </w:r>
      <w:r w:rsidRPr="00380B40">
        <w:rPr>
          <w:lang w:val="en-GB"/>
        </w:rPr>
        <w:t>will</w:t>
      </w:r>
      <w:r w:rsidRPr="00380B40">
        <w:rPr>
          <w:spacing w:val="58"/>
          <w:lang w:val="en-GB"/>
        </w:rPr>
        <w:t xml:space="preserve"> </w:t>
      </w:r>
      <w:r w:rsidRPr="00380B40">
        <w:rPr>
          <w:lang w:val="en-GB"/>
        </w:rPr>
        <w:t>result</w:t>
      </w:r>
      <w:r w:rsidRPr="00380B40">
        <w:rPr>
          <w:spacing w:val="57"/>
          <w:lang w:val="en-GB"/>
        </w:rPr>
        <w:t xml:space="preserve"> </w:t>
      </w:r>
      <w:r w:rsidRPr="00380B40">
        <w:rPr>
          <w:lang w:val="en-GB"/>
        </w:rPr>
        <w:t>in</w:t>
      </w:r>
      <w:r w:rsidRPr="00380B40">
        <w:rPr>
          <w:spacing w:val="57"/>
          <w:lang w:val="en-GB"/>
        </w:rPr>
        <w:t xml:space="preserve"> </w:t>
      </w:r>
      <w:r w:rsidRPr="00380B40">
        <w:rPr>
          <w:lang w:val="en-GB"/>
        </w:rPr>
        <w:t>a</w:t>
      </w:r>
      <w:r w:rsidRPr="00380B40">
        <w:rPr>
          <w:spacing w:val="56"/>
          <w:lang w:val="en-GB"/>
        </w:rPr>
        <w:t xml:space="preserve"> </w:t>
      </w:r>
      <w:r w:rsidRPr="00380B40">
        <w:rPr>
          <w:lang w:val="en-GB"/>
        </w:rPr>
        <w:t>product,</w:t>
      </w:r>
      <w:r w:rsidRPr="00380B40">
        <w:rPr>
          <w:spacing w:val="57"/>
          <w:lang w:val="en-GB"/>
        </w:rPr>
        <w:t xml:space="preserve"> </w:t>
      </w:r>
      <w:r w:rsidRPr="00380B40">
        <w:rPr>
          <w:lang w:val="en-GB"/>
        </w:rPr>
        <w:t>such as</w:t>
      </w:r>
      <w:r w:rsidRPr="00380B40">
        <w:rPr>
          <w:spacing w:val="54"/>
          <w:lang w:val="en-GB"/>
        </w:rPr>
        <w:t xml:space="preserve"> </w:t>
      </w:r>
      <w:r w:rsidRPr="00380B40">
        <w:rPr>
          <w:lang w:val="en-GB"/>
        </w:rPr>
        <w:t>a</w:t>
      </w:r>
      <w:r w:rsidRPr="00380B40">
        <w:rPr>
          <w:spacing w:val="56"/>
          <w:lang w:val="en-GB"/>
        </w:rPr>
        <w:t xml:space="preserve"> </w:t>
      </w:r>
      <w:r w:rsidRPr="00380B40">
        <w:rPr>
          <w:lang w:val="en-GB"/>
        </w:rPr>
        <w:t>Recommendation,</w:t>
      </w:r>
      <w:r w:rsidRPr="00380B40">
        <w:rPr>
          <w:spacing w:val="57"/>
          <w:lang w:val="en-GB"/>
        </w:rPr>
        <w:t xml:space="preserve"> </w:t>
      </w:r>
      <w:r w:rsidRPr="00380B40">
        <w:rPr>
          <w:lang w:val="en-GB"/>
        </w:rPr>
        <w:t>for</w:t>
      </w:r>
      <w:r w:rsidRPr="00380B40">
        <w:rPr>
          <w:spacing w:val="67"/>
          <w:lang w:val="en-GB"/>
        </w:rPr>
        <w:t xml:space="preserve"> </w:t>
      </w:r>
      <w:r w:rsidRPr="00380B40">
        <w:rPr>
          <w:lang w:val="en-GB"/>
        </w:rPr>
        <w:t xml:space="preserve">publication </w:t>
      </w:r>
      <w:r w:rsidRPr="00380B40">
        <w:rPr>
          <w:spacing w:val="1"/>
          <w:lang w:val="en-GB"/>
        </w:rPr>
        <w:t>by</w:t>
      </w:r>
      <w:r w:rsidRPr="00380B40">
        <w:rPr>
          <w:spacing w:val="-3"/>
          <w:lang w:val="en-GB"/>
        </w:rPr>
        <w:t xml:space="preserve"> </w:t>
      </w:r>
      <w:r w:rsidRPr="00380B40">
        <w:rPr>
          <w:lang w:val="en-GB"/>
        </w:rPr>
        <w:t>ITU</w:t>
      </w:r>
      <w:r w:rsidRPr="00380B40">
        <w:rPr>
          <w:lang w:val="en-GB"/>
        </w:rPr>
        <w:noBreakHyphen/>
        <w:t>T.</w:t>
      </w:r>
    </w:p>
    <w:p w14:paraId="7A8F322D" w14:textId="77777777" w:rsidR="00C12517" w:rsidRPr="00380B40" w:rsidRDefault="00C12517" w:rsidP="00C12517">
      <w:pPr>
        <w:tabs>
          <w:tab w:val="clear" w:pos="794"/>
          <w:tab w:val="left" w:pos="851"/>
        </w:tabs>
        <w:rPr>
          <w:lang w:val="en-GB"/>
        </w:rPr>
      </w:pPr>
      <w:r w:rsidRPr="00380B40">
        <w:rPr>
          <w:b/>
          <w:bCs/>
          <w:lang w:val="en-GB"/>
        </w:rPr>
        <w:t>1.8.2.10</w:t>
      </w:r>
      <w:r w:rsidRPr="00380B40">
        <w:rPr>
          <w:b/>
          <w:bCs/>
          <w:lang w:val="en-GB"/>
        </w:rPr>
        <w:tab/>
      </w:r>
      <w:r w:rsidRPr="00380B40">
        <w:rPr>
          <w:b/>
          <w:lang w:val="en-GB"/>
        </w:rPr>
        <w:t>work programme</w:t>
      </w:r>
      <w:r w:rsidRPr="00380B40">
        <w:rPr>
          <w:lang w:val="en-GB"/>
        </w:rPr>
        <w:t>: A list of work items that are</w:t>
      </w:r>
      <w:r w:rsidRPr="00380B40">
        <w:rPr>
          <w:spacing w:val="1"/>
          <w:lang w:val="en-GB"/>
        </w:rPr>
        <w:t xml:space="preserve"> </w:t>
      </w:r>
      <w:r w:rsidRPr="00380B40">
        <w:rPr>
          <w:lang w:val="en-GB"/>
        </w:rPr>
        <w:t xml:space="preserve">owned </w:t>
      </w:r>
      <w:r w:rsidRPr="00380B40">
        <w:rPr>
          <w:spacing w:val="2"/>
          <w:lang w:val="en-GB"/>
        </w:rPr>
        <w:t>by</w:t>
      </w:r>
      <w:r w:rsidRPr="00380B40">
        <w:rPr>
          <w:spacing w:val="-5"/>
          <w:lang w:val="en-GB"/>
        </w:rPr>
        <w:t xml:space="preserve"> </w:t>
      </w:r>
      <w:r w:rsidRPr="00380B40">
        <w:rPr>
          <w:lang w:val="en-GB"/>
        </w:rPr>
        <w:t xml:space="preserve">a </w:t>
      </w:r>
      <w:r w:rsidRPr="00380B40">
        <w:rPr>
          <w:spacing w:val="1"/>
          <w:lang w:val="en-GB"/>
        </w:rPr>
        <w:t>study</w:t>
      </w:r>
      <w:r w:rsidRPr="00380B40">
        <w:rPr>
          <w:spacing w:val="-3"/>
          <w:lang w:val="en-GB"/>
        </w:rPr>
        <w:t xml:space="preserve"> </w:t>
      </w:r>
      <w:r w:rsidRPr="00380B40">
        <w:rPr>
          <w:lang w:val="en-GB"/>
        </w:rPr>
        <w:t>group.</w:t>
      </w:r>
      <w:bookmarkStart w:id="625" w:name="_Toc206496680"/>
    </w:p>
    <w:p w14:paraId="6284DD89" w14:textId="77777777" w:rsidR="00C12517" w:rsidRPr="00380B40" w:rsidRDefault="00C12517" w:rsidP="00C12517">
      <w:pPr>
        <w:pStyle w:val="Heading2"/>
        <w:tabs>
          <w:tab w:val="left" w:pos="908"/>
        </w:tabs>
        <w:rPr>
          <w:b w:val="0"/>
          <w:bCs/>
          <w:lang w:val="en-GB"/>
        </w:rPr>
      </w:pPr>
      <w:bookmarkStart w:id="626" w:name="_Toc532428463"/>
      <w:bookmarkStart w:id="627" w:name="_Toc20738316"/>
      <w:bookmarkStart w:id="628" w:name="_Toc21093730"/>
      <w:bookmarkStart w:id="629" w:name="_Toc22280339"/>
      <w:bookmarkStart w:id="630" w:name="_Toc111636837"/>
      <w:r w:rsidRPr="00380B40">
        <w:rPr>
          <w:lang w:val="en-GB"/>
        </w:rPr>
        <w:t>1.9</w:t>
      </w:r>
      <w:r w:rsidRPr="00380B40">
        <w:rPr>
          <w:lang w:val="en-GB"/>
        </w:rPr>
        <w:tab/>
        <w:t>References</w:t>
      </w:r>
      <w:bookmarkEnd w:id="626"/>
      <w:bookmarkEnd w:id="627"/>
      <w:bookmarkEnd w:id="628"/>
      <w:bookmarkEnd w:id="629"/>
      <w:bookmarkEnd w:id="630"/>
    </w:p>
    <w:p w14:paraId="1E33ADE8" w14:textId="77777777" w:rsidR="00AC3A13" w:rsidRPr="00380B40" w:rsidRDefault="00C12517" w:rsidP="00AC3A13">
      <w:pPr>
        <w:rPr>
          <w:lang w:val="en-GB"/>
        </w:rPr>
      </w:pPr>
      <w:r w:rsidRPr="00380B40">
        <w:rPr>
          <w:lang w:val="en-GB"/>
        </w:rPr>
        <w:t>The following ITU-T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 The reference to a document within this Recommendation does not give it, as a stand-alone document, the status of a Recommendation.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7657"/>
      </w:tblGrid>
      <w:tr w:rsidR="00AC3A13" w:rsidRPr="004E0F36" w14:paraId="4A2B3992" w14:textId="77777777" w:rsidTr="00C91A38">
        <w:tc>
          <w:tcPr>
            <w:tcW w:w="1028" w:type="pct"/>
          </w:tcPr>
          <w:p w14:paraId="3FA36EA7" w14:textId="77777777" w:rsidR="00AC3A13" w:rsidRPr="00380B40" w:rsidRDefault="00AC3A13" w:rsidP="004E4CA9">
            <w:pPr>
              <w:jc w:val="left"/>
              <w:rPr>
                <w:lang w:val="en-GB"/>
              </w:rPr>
            </w:pPr>
            <w:r w:rsidRPr="00380B40">
              <w:rPr>
                <w:lang w:val="en-GB"/>
              </w:rPr>
              <w:t>[ITU-T A.2]</w:t>
            </w:r>
          </w:p>
        </w:tc>
        <w:tc>
          <w:tcPr>
            <w:tcW w:w="3972" w:type="pct"/>
          </w:tcPr>
          <w:p w14:paraId="7BD8E08B" w14:textId="77777777" w:rsidR="00AC3A13" w:rsidRPr="00380B40" w:rsidRDefault="00AC3A13" w:rsidP="004E4CA9">
            <w:pPr>
              <w:jc w:val="left"/>
              <w:rPr>
                <w:lang w:val="en-US"/>
              </w:rPr>
            </w:pPr>
            <w:r w:rsidRPr="00380B40">
              <w:rPr>
                <w:lang w:val="en-GB"/>
              </w:rPr>
              <w:t xml:space="preserve">Recommendation ITU-T A.2 (2012), </w:t>
            </w:r>
            <w:r w:rsidRPr="00380B40">
              <w:rPr>
                <w:i/>
                <w:lang w:val="en-GB"/>
              </w:rPr>
              <w:t>Presentation of contributions to the ITU Telecommunication Standardization Sector</w:t>
            </w:r>
            <w:r w:rsidRPr="00380B40">
              <w:rPr>
                <w:lang w:val="en-GB"/>
              </w:rPr>
              <w:t>.</w:t>
            </w:r>
          </w:p>
        </w:tc>
      </w:tr>
      <w:tr w:rsidR="00AC3A13" w:rsidRPr="004E0F36" w14:paraId="341A786D" w14:textId="77777777" w:rsidTr="00C91A38">
        <w:tc>
          <w:tcPr>
            <w:tcW w:w="1028" w:type="pct"/>
          </w:tcPr>
          <w:p w14:paraId="774C604A" w14:textId="77777777" w:rsidR="00AC3A13" w:rsidRPr="00380B40" w:rsidRDefault="00AC3A13" w:rsidP="004E4CA9">
            <w:pPr>
              <w:jc w:val="left"/>
              <w:rPr>
                <w:lang w:val="en-GB"/>
              </w:rPr>
            </w:pPr>
            <w:r w:rsidRPr="00380B40">
              <w:rPr>
                <w:lang w:val="en-GB"/>
              </w:rPr>
              <w:t>[ITU</w:t>
            </w:r>
            <w:r w:rsidRPr="00380B40">
              <w:rPr>
                <w:lang w:val="en-GB"/>
              </w:rPr>
              <w:noBreakHyphen/>
              <w:t>T A.5]</w:t>
            </w:r>
          </w:p>
        </w:tc>
        <w:tc>
          <w:tcPr>
            <w:tcW w:w="3972" w:type="pct"/>
          </w:tcPr>
          <w:p w14:paraId="4816F74F" w14:textId="77777777" w:rsidR="00AC3A13" w:rsidRPr="00380B40" w:rsidRDefault="00AC3A13" w:rsidP="004E4CA9">
            <w:pPr>
              <w:jc w:val="left"/>
              <w:rPr>
                <w:lang w:val="en-US"/>
              </w:rPr>
            </w:pPr>
            <w:r w:rsidRPr="00380B40">
              <w:rPr>
                <w:lang w:val="en-GB"/>
              </w:rPr>
              <w:t>Recommendation ITU</w:t>
            </w:r>
            <w:r w:rsidRPr="00380B40">
              <w:rPr>
                <w:lang w:val="en-GB"/>
              </w:rPr>
              <w:noBreakHyphen/>
              <w:t>T A.5 (2019),</w:t>
            </w:r>
            <w:r w:rsidRPr="00380B40">
              <w:rPr>
                <w:i/>
                <w:lang w:val="en-GB"/>
              </w:rPr>
              <w:t xml:space="preserve"> Generic procedures for including references to documents of other organizations in ITU-T Recommendations.</w:t>
            </w:r>
          </w:p>
        </w:tc>
      </w:tr>
      <w:tr w:rsidR="00AC3A13" w:rsidRPr="004E0F36" w14:paraId="50B9083F" w14:textId="77777777" w:rsidTr="00C91A38">
        <w:tc>
          <w:tcPr>
            <w:tcW w:w="1028" w:type="pct"/>
          </w:tcPr>
          <w:p w14:paraId="768AC88F" w14:textId="77777777" w:rsidR="00AC3A13" w:rsidRPr="00380B40" w:rsidRDefault="00AC3A13" w:rsidP="004E4CA9">
            <w:pPr>
              <w:jc w:val="left"/>
              <w:rPr>
                <w:rFonts w:eastAsia="Batang"/>
                <w:lang w:val="en-GB"/>
              </w:rPr>
            </w:pPr>
            <w:r w:rsidRPr="00380B40">
              <w:rPr>
                <w:lang w:val="en-GB"/>
              </w:rPr>
              <w:t>[ITU-T A.7]</w:t>
            </w:r>
          </w:p>
        </w:tc>
        <w:tc>
          <w:tcPr>
            <w:tcW w:w="3972" w:type="pct"/>
          </w:tcPr>
          <w:p w14:paraId="453D036B" w14:textId="77777777" w:rsidR="00AC3A13" w:rsidRPr="00380B40" w:rsidRDefault="00AC3A13" w:rsidP="004E4CA9">
            <w:pPr>
              <w:jc w:val="left"/>
              <w:rPr>
                <w:rFonts w:eastAsia="Batang"/>
                <w:lang w:val="en-GB"/>
              </w:rPr>
            </w:pPr>
            <w:r w:rsidRPr="00380B40">
              <w:rPr>
                <w:lang w:val="en-GB"/>
              </w:rPr>
              <w:t xml:space="preserve">Recommendation ITU-T A.7 (2016), </w:t>
            </w:r>
            <w:r w:rsidRPr="00380B40">
              <w:rPr>
                <w:i/>
                <w:lang w:val="en-GB"/>
              </w:rPr>
              <w:t>Focus groups: Establishment and working procedures</w:t>
            </w:r>
            <w:r w:rsidRPr="00380B40">
              <w:rPr>
                <w:lang w:val="en-GB"/>
              </w:rPr>
              <w:t>.</w:t>
            </w:r>
          </w:p>
        </w:tc>
      </w:tr>
      <w:tr w:rsidR="00AC3A13" w:rsidRPr="004E0F36" w14:paraId="45B7137E" w14:textId="77777777" w:rsidTr="00C91A38">
        <w:tc>
          <w:tcPr>
            <w:tcW w:w="1028" w:type="pct"/>
          </w:tcPr>
          <w:p w14:paraId="657E33B3" w14:textId="77777777" w:rsidR="00AC3A13" w:rsidRPr="00380B40" w:rsidRDefault="00AC3A13" w:rsidP="004E4CA9">
            <w:pPr>
              <w:jc w:val="left"/>
              <w:rPr>
                <w:rFonts w:eastAsia="Batang"/>
                <w:lang w:val="en-GB"/>
              </w:rPr>
            </w:pPr>
            <w:r w:rsidRPr="00380B40">
              <w:rPr>
                <w:lang w:val="en-GB"/>
              </w:rPr>
              <w:t>[ITU-T A.11]</w:t>
            </w:r>
          </w:p>
        </w:tc>
        <w:tc>
          <w:tcPr>
            <w:tcW w:w="3972" w:type="pct"/>
          </w:tcPr>
          <w:p w14:paraId="35923990" w14:textId="77777777" w:rsidR="00AC3A13" w:rsidRPr="00380B40" w:rsidRDefault="00AC3A13" w:rsidP="004E4CA9">
            <w:pPr>
              <w:jc w:val="left"/>
              <w:rPr>
                <w:rFonts w:eastAsia="Batang"/>
                <w:lang w:val="en-GB"/>
              </w:rPr>
            </w:pPr>
            <w:r w:rsidRPr="00380B40">
              <w:rPr>
                <w:lang w:val="en-GB"/>
              </w:rPr>
              <w:t xml:space="preserve">Recommendation ITU-T A.11 (2012), </w:t>
            </w:r>
            <w:r w:rsidRPr="00380B40">
              <w:rPr>
                <w:i/>
                <w:lang w:val="en-GB"/>
              </w:rPr>
              <w:t>Publication of ITU-T Recommendations and World Telecommunication Standardization Assembly proceedings</w:t>
            </w:r>
            <w:r w:rsidRPr="00380B40">
              <w:rPr>
                <w:lang w:val="en-GB"/>
              </w:rPr>
              <w:t>.</w:t>
            </w:r>
          </w:p>
        </w:tc>
      </w:tr>
      <w:tr w:rsidR="00AC3A13" w:rsidRPr="004E0F36" w14:paraId="620EE8FB" w14:textId="77777777" w:rsidTr="00C91A38">
        <w:tc>
          <w:tcPr>
            <w:tcW w:w="1028" w:type="pct"/>
          </w:tcPr>
          <w:p w14:paraId="1B739BDF" w14:textId="77777777" w:rsidR="00AC3A13" w:rsidRPr="00380B40" w:rsidRDefault="00AC3A13" w:rsidP="004E4CA9">
            <w:pPr>
              <w:jc w:val="left"/>
              <w:rPr>
                <w:rFonts w:eastAsia="Batang"/>
                <w:lang w:val="en-GB"/>
              </w:rPr>
            </w:pPr>
            <w:r w:rsidRPr="00380B40">
              <w:rPr>
                <w:lang w:val="en-GB"/>
              </w:rPr>
              <w:t>[ITU</w:t>
            </w:r>
            <w:r w:rsidRPr="00380B40">
              <w:rPr>
                <w:lang w:val="en-GB"/>
              </w:rPr>
              <w:noBreakHyphen/>
              <w:t>T A.25]</w:t>
            </w:r>
          </w:p>
        </w:tc>
        <w:tc>
          <w:tcPr>
            <w:tcW w:w="3972" w:type="pct"/>
          </w:tcPr>
          <w:p w14:paraId="3D2F7E59" w14:textId="77777777" w:rsidR="00AC3A13" w:rsidRPr="00380B40" w:rsidRDefault="00AC3A13" w:rsidP="004E4CA9">
            <w:pPr>
              <w:jc w:val="left"/>
              <w:rPr>
                <w:rFonts w:eastAsia="Batang"/>
                <w:lang w:val="en-GB"/>
              </w:rPr>
            </w:pPr>
            <w:r w:rsidRPr="00380B40">
              <w:rPr>
                <w:lang w:val="en-GB"/>
              </w:rPr>
              <w:t>Recommendation ITU</w:t>
            </w:r>
            <w:r w:rsidRPr="00380B40">
              <w:rPr>
                <w:lang w:val="en-GB"/>
              </w:rPr>
              <w:noBreakHyphen/>
              <w:t>T A.25 (2019),</w:t>
            </w:r>
            <w:r w:rsidRPr="00380B40">
              <w:rPr>
                <w:i/>
                <w:lang w:val="en-GB"/>
              </w:rPr>
              <w:t xml:space="preserve"> Generic procedures for incorporating text between ITU-T and other organizations.</w:t>
            </w:r>
          </w:p>
        </w:tc>
      </w:tr>
      <w:tr w:rsidR="00AC3A13" w:rsidRPr="004E0F36" w14:paraId="229746DA" w14:textId="77777777" w:rsidTr="00C91A38">
        <w:tc>
          <w:tcPr>
            <w:tcW w:w="1028" w:type="pct"/>
          </w:tcPr>
          <w:p w14:paraId="710CDE6A" w14:textId="77777777" w:rsidR="00AC3A13" w:rsidRPr="00380B40" w:rsidRDefault="00AC3A13" w:rsidP="004E4CA9">
            <w:pPr>
              <w:jc w:val="left"/>
              <w:rPr>
                <w:rFonts w:eastAsia="Batang"/>
                <w:lang w:val="en-GB"/>
              </w:rPr>
            </w:pPr>
            <w:r w:rsidRPr="00380B40">
              <w:rPr>
                <w:rFonts w:eastAsia="Batang"/>
                <w:lang w:val="en-GB"/>
              </w:rPr>
              <w:t>[PP Res. 66]</w:t>
            </w:r>
          </w:p>
        </w:tc>
        <w:tc>
          <w:tcPr>
            <w:tcW w:w="3972" w:type="pct"/>
          </w:tcPr>
          <w:p w14:paraId="15BD84AB" w14:textId="77777777" w:rsidR="00AC3A13" w:rsidRPr="00380B40" w:rsidRDefault="00AC3A13" w:rsidP="004E4CA9">
            <w:pPr>
              <w:jc w:val="left"/>
              <w:rPr>
                <w:rFonts w:eastAsia="Batang"/>
                <w:lang w:val="en-GB"/>
              </w:rPr>
            </w:pPr>
            <w:r w:rsidRPr="00380B40">
              <w:rPr>
                <w:rFonts w:eastAsia="Batang"/>
                <w:lang w:val="en-GB"/>
              </w:rPr>
              <w:t xml:space="preserve">Plenipotentiary Conference Resolution 66 (Rev. Dubai, 2018), </w:t>
            </w:r>
            <w:r w:rsidRPr="00380B40">
              <w:rPr>
                <w:rFonts w:eastAsia="Batang"/>
                <w:i/>
                <w:lang w:val="en-GB"/>
              </w:rPr>
              <w:t>Documents and publication of the Union</w:t>
            </w:r>
            <w:r w:rsidRPr="00380B40">
              <w:rPr>
                <w:rFonts w:eastAsia="Batang"/>
                <w:lang w:val="en-GB"/>
              </w:rPr>
              <w:t>.</w:t>
            </w:r>
          </w:p>
        </w:tc>
      </w:tr>
    </w:tbl>
    <w:p w14:paraId="2085CB8D" w14:textId="77777777" w:rsidR="00AC3A13" w:rsidRPr="00C777D4" w:rsidRDefault="00AC3A13" w:rsidP="00C12517">
      <w:pPr>
        <w:rPr>
          <w:lang w:val="en-GB"/>
        </w:rPr>
      </w:pPr>
    </w:p>
    <w:p w14:paraId="47DE9619" w14:textId="77777777" w:rsidR="00DB6A21" w:rsidRPr="00380B40" w:rsidRDefault="00DB6A21" w:rsidP="00C12517">
      <w:pPr>
        <w:pStyle w:val="Reftext"/>
        <w:tabs>
          <w:tab w:val="clear" w:pos="794"/>
          <w:tab w:val="clear" w:pos="1191"/>
          <w:tab w:val="clear" w:pos="1588"/>
        </w:tabs>
        <w:spacing w:after="120"/>
        <w:ind w:left="1985" w:hanging="1985"/>
        <w:rPr>
          <w:lang w:val="en-GB"/>
        </w:rPr>
      </w:pPr>
      <w:r w:rsidRPr="00380B40">
        <w:rPr>
          <w:lang w:val="en-G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7653"/>
      </w:tblGrid>
      <w:tr w:rsidR="00AC3A13" w:rsidRPr="004E0F36" w14:paraId="2AFCFC96" w14:textId="77777777" w:rsidTr="00C91A38">
        <w:tc>
          <w:tcPr>
            <w:tcW w:w="1030" w:type="pct"/>
          </w:tcPr>
          <w:p w14:paraId="41310790" w14:textId="77777777" w:rsidR="00AC3A13" w:rsidRPr="00380B40" w:rsidRDefault="00AC3A13" w:rsidP="004E4CA9">
            <w:pPr>
              <w:jc w:val="left"/>
              <w:rPr>
                <w:lang w:val="en-GB"/>
              </w:rPr>
            </w:pPr>
            <w:r w:rsidRPr="00380B40">
              <w:rPr>
                <w:lang w:val="en-GB"/>
              </w:rPr>
              <w:t>[WTSA Res. 1]</w:t>
            </w:r>
          </w:p>
        </w:tc>
        <w:tc>
          <w:tcPr>
            <w:tcW w:w="3970" w:type="pct"/>
          </w:tcPr>
          <w:p w14:paraId="10FBE7EC" w14:textId="77777777" w:rsidR="00AC3A13" w:rsidRPr="00380B40" w:rsidRDefault="00AC3A13" w:rsidP="004E4CA9">
            <w:pPr>
              <w:jc w:val="left"/>
              <w:rPr>
                <w:lang w:val="en-US"/>
              </w:rPr>
            </w:pPr>
            <w:r w:rsidRPr="00380B40">
              <w:rPr>
                <w:lang w:val="en-GB"/>
              </w:rPr>
              <w:t xml:space="preserve">WTSA Resolution 1 (Rev. Hammamet, 2016), </w:t>
            </w:r>
            <w:r w:rsidRPr="00380B40">
              <w:rPr>
                <w:i/>
                <w:lang w:val="en-GB"/>
              </w:rPr>
              <w:t>Rules of procedure of the ITU Telecommunication Standardization Sector</w:t>
            </w:r>
            <w:r w:rsidRPr="00380B40">
              <w:rPr>
                <w:lang w:val="en-GB"/>
              </w:rPr>
              <w:t>.</w:t>
            </w:r>
          </w:p>
        </w:tc>
      </w:tr>
      <w:tr w:rsidR="00AC3A13" w:rsidRPr="004E0F36" w14:paraId="4B27E9AB" w14:textId="77777777" w:rsidTr="00C91A38">
        <w:tc>
          <w:tcPr>
            <w:tcW w:w="1030" w:type="pct"/>
          </w:tcPr>
          <w:p w14:paraId="4672D4A4" w14:textId="77777777" w:rsidR="00AC3A13" w:rsidRPr="00380B40" w:rsidRDefault="00AC3A13" w:rsidP="004E4CA9">
            <w:pPr>
              <w:jc w:val="left"/>
              <w:rPr>
                <w:lang w:val="en-GB"/>
              </w:rPr>
            </w:pPr>
            <w:r w:rsidRPr="00380B40">
              <w:rPr>
                <w:lang w:val="en-GB"/>
              </w:rPr>
              <w:t>[WTSA Res. 2]</w:t>
            </w:r>
          </w:p>
        </w:tc>
        <w:tc>
          <w:tcPr>
            <w:tcW w:w="3970" w:type="pct"/>
          </w:tcPr>
          <w:p w14:paraId="3E5482BA" w14:textId="77777777" w:rsidR="00AC3A13" w:rsidRPr="00380B40" w:rsidRDefault="00AC3A13" w:rsidP="004E4CA9">
            <w:pPr>
              <w:jc w:val="left"/>
              <w:rPr>
                <w:lang w:val="en-US"/>
              </w:rPr>
            </w:pPr>
            <w:r w:rsidRPr="00380B40">
              <w:rPr>
                <w:lang w:val="en-GB"/>
              </w:rPr>
              <w:t xml:space="preserve">WTSA Resolution 2 (Rev. Hammamet, 2016), </w:t>
            </w:r>
            <w:r w:rsidRPr="00380B40">
              <w:rPr>
                <w:i/>
                <w:lang w:val="en-GB"/>
              </w:rPr>
              <w:t>ITU Telecommunication Standardization Sector study group responsibility and mandates</w:t>
            </w:r>
            <w:r w:rsidRPr="00380B40">
              <w:rPr>
                <w:lang w:val="en-GB"/>
              </w:rPr>
              <w:t>.</w:t>
            </w:r>
          </w:p>
        </w:tc>
      </w:tr>
      <w:tr w:rsidR="00AC3A13" w:rsidRPr="004E0F36" w14:paraId="62E94A4A" w14:textId="77777777" w:rsidTr="00C91A38">
        <w:tc>
          <w:tcPr>
            <w:tcW w:w="1030" w:type="pct"/>
          </w:tcPr>
          <w:p w14:paraId="553C25A1" w14:textId="77777777" w:rsidR="00AC3A13" w:rsidRPr="00380B40" w:rsidRDefault="00AC3A13" w:rsidP="004E4CA9">
            <w:pPr>
              <w:jc w:val="left"/>
              <w:rPr>
                <w:rFonts w:eastAsia="Batang"/>
                <w:lang w:val="en-GB"/>
              </w:rPr>
            </w:pPr>
            <w:r w:rsidRPr="00380B40">
              <w:rPr>
                <w:lang w:val="en-GB"/>
              </w:rPr>
              <w:t>[WTSA Res. 18]</w:t>
            </w:r>
          </w:p>
        </w:tc>
        <w:tc>
          <w:tcPr>
            <w:tcW w:w="3970" w:type="pct"/>
          </w:tcPr>
          <w:p w14:paraId="7F7C6987" w14:textId="77777777" w:rsidR="00AC3A13" w:rsidRPr="00380B40" w:rsidRDefault="00AC3A13" w:rsidP="004E4CA9">
            <w:pPr>
              <w:jc w:val="left"/>
              <w:rPr>
                <w:rFonts w:eastAsia="Batang"/>
                <w:lang w:val="en-GB"/>
              </w:rPr>
            </w:pPr>
            <w:r w:rsidRPr="00380B40">
              <w:rPr>
                <w:lang w:val="en-GB"/>
              </w:rPr>
              <w:t xml:space="preserve">WTSA Resolution 18 (Rev. Hammamet, 2016), </w:t>
            </w:r>
            <w:r w:rsidRPr="00380B40">
              <w:rPr>
                <w:i/>
                <w:lang w:val="en-GB"/>
              </w:rPr>
              <w:t>Principles and procedures for the allocation of work to, and strengthening coordination and cooperation among, the ITU Radiocommunication, ITU Telecommunication Standardization and ITU Telecommunication Development Sectors</w:t>
            </w:r>
            <w:r w:rsidRPr="00380B40">
              <w:rPr>
                <w:lang w:val="en-GB"/>
              </w:rPr>
              <w:t>.</w:t>
            </w:r>
          </w:p>
        </w:tc>
      </w:tr>
      <w:tr w:rsidR="00AC3A13" w:rsidRPr="004E0F36" w14:paraId="760F5D33" w14:textId="77777777" w:rsidTr="00C91A38">
        <w:tc>
          <w:tcPr>
            <w:tcW w:w="1030" w:type="pct"/>
          </w:tcPr>
          <w:p w14:paraId="2AD3E89A" w14:textId="77777777" w:rsidR="00AC3A13" w:rsidRPr="00380B40" w:rsidRDefault="00AC3A13" w:rsidP="004E4CA9">
            <w:pPr>
              <w:jc w:val="left"/>
              <w:rPr>
                <w:rFonts w:eastAsia="Batang"/>
                <w:lang w:val="en-GB"/>
              </w:rPr>
            </w:pPr>
            <w:r w:rsidRPr="00380B40">
              <w:rPr>
                <w:lang w:val="en-GB"/>
              </w:rPr>
              <w:t>[WTSA Res. 22]</w:t>
            </w:r>
          </w:p>
        </w:tc>
        <w:tc>
          <w:tcPr>
            <w:tcW w:w="3970" w:type="pct"/>
          </w:tcPr>
          <w:p w14:paraId="1E8F2F1E" w14:textId="55142708" w:rsidR="00AC3A13" w:rsidRPr="00380B40" w:rsidRDefault="00AC3A13" w:rsidP="004E4CA9">
            <w:pPr>
              <w:jc w:val="left"/>
              <w:rPr>
                <w:rFonts w:eastAsia="Batang"/>
                <w:lang w:val="en-GB"/>
              </w:rPr>
            </w:pPr>
            <w:r w:rsidRPr="00380B40">
              <w:rPr>
                <w:lang w:val="en-GB"/>
              </w:rPr>
              <w:t xml:space="preserve">WTSA Resolution 22 (Rev. Hammamet, 2016), </w:t>
            </w:r>
            <w:r w:rsidRPr="00380B40">
              <w:rPr>
                <w:i/>
                <w:lang w:val="en-GB"/>
              </w:rPr>
              <w:t>Authorization for the Telecommunication Standardization Advisory Group to act between world telecommunication standardization assemblies</w:t>
            </w:r>
            <w:r w:rsidRPr="00380B40">
              <w:rPr>
                <w:lang w:val="en-GB"/>
              </w:rPr>
              <w:t>.</w:t>
            </w:r>
          </w:p>
        </w:tc>
      </w:tr>
      <w:tr w:rsidR="00AC3A13" w:rsidRPr="004E0F36" w14:paraId="599836F4" w14:textId="77777777" w:rsidTr="00C91A38">
        <w:tc>
          <w:tcPr>
            <w:tcW w:w="1030" w:type="pct"/>
          </w:tcPr>
          <w:p w14:paraId="46775C6C" w14:textId="77777777" w:rsidR="00AC3A13" w:rsidRPr="00380B40" w:rsidRDefault="00AC3A13" w:rsidP="004E4CA9">
            <w:pPr>
              <w:jc w:val="left"/>
              <w:rPr>
                <w:rFonts w:eastAsia="Batang"/>
                <w:lang w:val="en-GB"/>
              </w:rPr>
            </w:pPr>
            <w:r w:rsidRPr="00380B40">
              <w:rPr>
                <w:lang w:val="en-GB"/>
              </w:rPr>
              <w:t>[WTSA Res. 45]</w:t>
            </w:r>
          </w:p>
        </w:tc>
        <w:tc>
          <w:tcPr>
            <w:tcW w:w="3970" w:type="pct"/>
          </w:tcPr>
          <w:p w14:paraId="6C216E7A" w14:textId="77777777" w:rsidR="00AC3A13" w:rsidRPr="00380B40" w:rsidRDefault="00AC3A13" w:rsidP="004E4CA9">
            <w:pPr>
              <w:jc w:val="left"/>
              <w:rPr>
                <w:rFonts w:eastAsia="Batang"/>
                <w:lang w:val="en-GB"/>
              </w:rPr>
            </w:pPr>
            <w:r w:rsidRPr="00380B40">
              <w:rPr>
                <w:lang w:val="en-GB"/>
              </w:rPr>
              <w:t xml:space="preserve">WTSA Resolution 45 (Rev. Hammamet, 2016), </w:t>
            </w:r>
            <w:r w:rsidRPr="00380B40">
              <w:rPr>
                <w:i/>
                <w:lang w:val="en-GB"/>
              </w:rPr>
              <w:t>Effective coordination of standardization work across study groups in the ITU Telecommunication Standardization Sector and the role of the ITU Telecommunication Standardization Advisory Group</w:t>
            </w:r>
            <w:r w:rsidRPr="00380B40">
              <w:rPr>
                <w:lang w:val="en-GB"/>
              </w:rPr>
              <w:t>.</w:t>
            </w:r>
          </w:p>
        </w:tc>
      </w:tr>
      <w:tr w:rsidR="00AC3A13" w:rsidRPr="004E0F36" w14:paraId="66E25384" w14:textId="77777777" w:rsidTr="00C91A38">
        <w:tc>
          <w:tcPr>
            <w:tcW w:w="1030" w:type="pct"/>
          </w:tcPr>
          <w:p w14:paraId="3F811990" w14:textId="77777777" w:rsidR="00AC3A13" w:rsidRPr="00380B40" w:rsidRDefault="00AC3A13" w:rsidP="004E4CA9">
            <w:pPr>
              <w:jc w:val="left"/>
              <w:rPr>
                <w:rFonts w:eastAsia="Batang"/>
                <w:lang w:val="en-GB"/>
              </w:rPr>
            </w:pPr>
            <w:r w:rsidRPr="00380B40">
              <w:rPr>
                <w:lang w:val="en-GB"/>
              </w:rPr>
              <w:t>[WTSA Res. 54]</w:t>
            </w:r>
          </w:p>
        </w:tc>
        <w:tc>
          <w:tcPr>
            <w:tcW w:w="3970" w:type="pct"/>
          </w:tcPr>
          <w:p w14:paraId="56BE8ADE" w14:textId="77777777" w:rsidR="00AC3A13" w:rsidRPr="00380B40" w:rsidRDefault="00AC3A13" w:rsidP="004E4CA9">
            <w:pPr>
              <w:jc w:val="left"/>
              <w:rPr>
                <w:rFonts w:eastAsia="Batang"/>
                <w:lang w:val="en-GB"/>
              </w:rPr>
            </w:pPr>
            <w:r w:rsidRPr="00380B40">
              <w:rPr>
                <w:lang w:val="en-GB"/>
              </w:rPr>
              <w:t xml:space="preserve">WTSA Resolution 54 (Rev. Hammamet, 2016), </w:t>
            </w:r>
            <w:r w:rsidRPr="00380B40">
              <w:rPr>
                <w:i/>
                <w:lang w:val="en-GB"/>
              </w:rPr>
              <w:t>Creation of, and assistance to, regional groups</w:t>
            </w:r>
            <w:r w:rsidRPr="00380B40">
              <w:rPr>
                <w:lang w:val="en-GB"/>
              </w:rPr>
              <w:t>.</w:t>
            </w:r>
          </w:p>
        </w:tc>
      </w:tr>
    </w:tbl>
    <w:p w14:paraId="13AAEC3C" w14:textId="77777777" w:rsidR="00C12517" w:rsidRPr="00380B40" w:rsidRDefault="00C12517" w:rsidP="00C12517">
      <w:pPr>
        <w:pStyle w:val="Heading1"/>
        <w:rPr>
          <w:lang w:val="en-GB"/>
        </w:rPr>
      </w:pPr>
      <w:bookmarkStart w:id="631" w:name="_Toc471716644"/>
      <w:bookmarkStart w:id="632" w:name="_Toc532428464"/>
      <w:bookmarkStart w:id="633" w:name="_Toc20738317"/>
      <w:bookmarkStart w:id="634" w:name="_Toc21093731"/>
      <w:bookmarkStart w:id="635" w:name="_Toc22280340"/>
      <w:bookmarkStart w:id="636" w:name="_Toc111636838"/>
      <w:r w:rsidRPr="00380B40">
        <w:rPr>
          <w:lang w:val="en-GB"/>
        </w:rPr>
        <w:t>2</w:t>
      </w:r>
      <w:r w:rsidRPr="00380B40">
        <w:rPr>
          <w:lang w:val="en-GB"/>
        </w:rPr>
        <w:tab/>
        <w:t>Study group management</w:t>
      </w:r>
      <w:bookmarkEnd w:id="625"/>
      <w:bookmarkEnd w:id="631"/>
      <w:bookmarkEnd w:id="632"/>
      <w:bookmarkEnd w:id="633"/>
      <w:bookmarkEnd w:id="634"/>
      <w:bookmarkEnd w:id="635"/>
      <w:bookmarkEnd w:id="636"/>
    </w:p>
    <w:p w14:paraId="1F358840" w14:textId="77777777" w:rsidR="00C12517" w:rsidRPr="00380B40" w:rsidRDefault="00C12517" w:rsidP="00C12517">
      <w:pPr>
        <w:pStyle w:val="Heading2"/>
        <w:tabs>
          <w:tab w:val="left" w:pos="908"/>
        </w:tabs>
        <w:rPr>
          <w:b w:val="0"/>
          <w:bCs/>
          <w:lang w:val="en-GB"/>
        </w:rPr>
      </w:pPr>
      <w:bookmarkStart w:id="637" w:name="_Toc206496681"/>
      <w:bookmarkStart w:id="638" w:name="_Toc471716645"/>
      <w:bookmarkStart w:id="639" w:name="_Toc532428465"/>
      <w:bookmarkStart w:id="640" w:name="_Toc20738318"/>
      <w:bookmarkStart w:id="641" w:name="_Toc21093732"/>
      <w:bookmarkStart w:id="642" w:name="_Toc22280341"/>
      <w:bookmarkStart w:id="643" w:name="_Toc111636839"/>
      <w:r w:rsidRPr="00380B40">
        <w:rPr>
          <w:lang w:val="en-GB"/>
        </w:rPr>
        <w:t>2.1</w:t>
      </w:r>
      <w:r w:rsidRPr="00380B40">
        <w:rPr>
          <w:lang w:val="en-GB"/>
        </w:rPr>
        <w:tab/>
        <w:t xml:space="preserve">Study </w:t>
      </w:r>
      <w:r w:rsidRPr="00380B40">
        <w:rPr>
          <w:spacing w:val="-1"/>
          <w:lang w:val="en-GB"/>
        </w:rPr>
        <w:t>group</w:t>
      </w:r>
      <w:r w:rsidRPr="00380B40">
        <w:rPr>
          <w:lang w:val="en-GB"/>
        </w:rPr>
        <w:t xml:space="preserve"> </w:t>
      </w:r>
      <w:r w:rsidRPr="00380B40">
        <w:rPr>
          <w:spacing w:val="-1"/>
          <w:lang w:val="en-GB"/>
        </w:rPr>
        <w:t xml:space="preserve">structure </w:t>
      </w:r>
      <w:r w:rsidRPr="00380B40">
        <w:rPr>
          <w:lang w:val="en-GB"/>
        </w:rPr>
        <w:t xml:space="preserve">and </w:t>
      </w:r>
      <w:r w:rsidRPr="00380B40">
        <w:rPr>
          <w:spacing w:val="-1"/>
          <w:lang w:val="en-GB"/>
        </w:rPr>
        <w:t>distribution</w:t>
      </w:r>
      <w:r w:rsidRPr="00380B40">
        <w:rPr>
          <w:lang w:val="en-GB"/>
        </w:rPr>
        <w:t xml:space="preserve"> </w:t>
      </w:r>
      <w:r w:rsidRPr="00380B40">
        <w:rPr>
          <w:spacing w:val="-2"/>
          <w:lang w:val="en-GB"/>
        </w:rPr>
        <w:t>of</w:t>
      </w:r>
      <w:r w:rsidRPr="00380B40">
        <w:rPr>
          <w:spacing w:val="1"/>
          <w:lang w:val="en-GB"/>
        </w:rPr>
        <w:t xml:space="preserve"> </w:t>
      </w:r>
      <w:r w:rsidRPr="00380B40">
        <w:rPr>
          <w:spacing w:val="-1"/>
          <w:lang w:val="en-GB"/>
        </w:rPr>
        <w:t>work</w:t>
      </w:r>
      <w:bookmarkEnd w:id="637"/>
      <w:bookmarkEnd w:id="638"/>
      <w:bookmarkEnd w:id="639"/>
      <w:bookmarkEnd w:id="640"/>
      <w:bookmarkEnd w:id="641"/>
      <w:bookmarkEnd w:id="642"/>
      <w:bookmarkEnd w:id="643"/>
    </w:p>
    <w:p w14:paraId="63B8B98B" w14:textId="77777777" w:rsidR="00C12517" w:rsidRPr="00380B40" w:rsidRDefault="00C12517" w:rsidP="00C12517">
      <w:pPr>
        <w:rPr>
          <w:lang w:val="en-GB"/>
        </w:rPr>
      </w:pPr>
      <w:r w:rsidRPr="00380B40">
        <w:rPr>
          <w:b/>
          <w:bCs/>
          <w:lang w:val="en-GB"/>
        </w:rPr>
        <w:t>2.1.1</w:t>
      </w:r>
      <w:r w:rsidRPr="00380B40">
        <w:rPr>
          <w:lang w:val="en-GB"/>
        </w:rPr>
        <w:tab/>
        <w:t>Study</w:t>
      </w:r>
      <w:r w:rsidRPr="00380B40">
        <w:rPr>
          <w:spacing w:val="2"/>
          <w:lang w:val="en-GB"/>
        </w:rPr>
        <w:t xml:space="preserve"> </w:t>
      </w:r>
      <w:r w:rsidRPr="00380B40">
        <w:rPr>
          <w:lang w:val="en-GB"/>
        </w:rPr>
        <w:t>group</w:t>
      </w:r>
      <w:r w:rsidRPr="00380B40">
        <w:rPr>
          <w:spacing w:val="6"/>
          <w:lang w:val="en-GB"/>
        </w:rPr>
        <w:t xml:space="preserve"> </w:t>
      </w:r>
      <w:r w:rsidRPr="00380B40">
        <w:rPr>
          <w:lang w:val="en-GB"/>
        </w:rPr>
        <w:t>chairmen</w:t>
      </w:r>
      <w:r w:rsidRPr="00380B40">
        <w:rPr>
          <w:spacing w:val="6"/>
          <w:lang w:val="en-GB"/>
        </w:rPr>
        <w:t xml:space="preserve"> </w:t>
      </w:r>
      <w:r w:rsidRPr="00380B40">
        <w:rPr>
          <w:lang w:val="en-GB"/>
        </w:rPr>
        <w:t>shall</w:t>
      </w:r>
      <w:r w:rsidRPr="00380B40">
        <w:rPr>
          <w:spacing w:val="7"/>
          <w:lang w:val="en-GB"/>
        </w:rPr>
        <w:t xml:space="preserve"> </w:t>
      </w:r>
      <w:r w:rsidRPr="00380B40">
        <w:rPr>
          <w:lang w:val="en-GB"/>
        </w:rPr>
        <w:t>be</w:t>
      </w:r>
      <w:r w:rsidRPr="00380B40">
        <w:rPr>
          <w:spacing w:val="6"/>
          <w:lang w:val="en-GB"/>
        </w:rPr>
        <w:t xml:space="preserve"> </w:t>
      </w:r>
      <w:r w:rsidRPr="00380B40">
        <w:rPr>
          <w:lang w:val="en-GB"/>
        </w:rPr>
        <w:t>responsible</w:t>
      </w:r>
      <w:r w:rsidRPr="00380B40">
        <w:rPr>
          <w:spacing w:val="6"/>
          <w:lang w:val="en-GB"/>
        </w:rPr>
        <w:t xml:space="preserve"> </w:t>
      </w:r>
      <w:r w:rsidRPr="00380B40">
        <w:rPr>
          <w:lang w:val="en-GB"/>
        </w:rPr>
        <w:t>for</w:t>
      </w:r>
      <w:r w:rsidRPr="00380B40">
        <w:rPr>
          <w:spacing w:val="6"/>
          <w:lang w:val="en-GB"/>
        </w:rPr>
        <w:t xml:space="preserve"> </w:t>
      </w:r>
      <w:r w:rsidRPr="00380B40">
        <w:rPr>
          <w:lang w:val="en-GB"/>
        </w:rPr>
        <w:t>the</w:t>
      </w:r>
      <w:r w:rsidRPr="00380B40">
        <w:rPr>
          <w:spacing w:val="8"/>
          <w:lang w:val="en-GB"/>
        </w:rPr>
        <w:t xml:space="preserve"> </w:t>
      </w:r>
      <w:r w:rsidRPr="00380B40">
        <w:rPr>
          <w:lang w:val="en-GB"/>
        </w:rPr>
        <w:t>establishment</w:t>
      </w:r>
      <w:r w:rsidRPr="00380B40">
        <w:rPr>
          <w:spacing w:val="7"/>
          <w:lang w:val="en-GB"/>
        </w:rPr>
        <w:t xml:space="preserve"> </w:t>
      </w:r>
      <w:r w:rsidRPr="00380B40">
        <w:rPr>
          <w:lang w:val="en-GB"/>
        </w:rPr>
        <w:t>of</w:t>
      </w:r>
      <w:r w:rsidRPr="00380B40">
        <w:rPr>
          <w:spacing w:val="6"/>
          <w:lang w:val="en-GB"/>
        </w:rPr>
        <w:t xml:space="preserve"> </w:t>
      </w:r>
      <w:r w:rsidRPr="00380B40">
        <w:rPr>
          <w:lang w:val="en-GB"/>
        </w:rPr>
        <w:t>an</w:t>
      </w:r>
      <w:r w:rsidRPr="00380B40">
        <w:rPr>
          <w:spacing w:val="6"/>
          <w:lang w:val="en-GB"/>
        </w:rPr>
        <w:t xml:space="preserve"> </w:t>
      </w:r>
      <w:r w:rsidRPr="00380B40">
        <w:rPr>
          <w:lang w:val="en-GB"/>
        </w:rPr>
        <w:t>appropriate</w:t>
      </w:r>
      <w:r w:rsidRPr="00380B40">
        <w:rPr>
          <w:spacing w:val="6"/>
          <w:lang w:val="en-GB"/>
        </w:rPr>
        <w:t xml:space="preserve"> </w:t>
      </w:r>
      <w:r w:rsidRPr="00380B40">
        <w:rPr>
          <w:lang w:val="en-GB"/>
        </w:rPr>
        <w:t>structure</w:t>
      </w:r>
      <w:r w:rsidRPr="00380B40">
        <w:rPr>
          <w:spacing w:val="50"/>
          <w:lang w:val="en-GB"/>
        </w:rPr>
        <w:t xml:space="preserve"> </w:t>
      </w:r>
      <w:r w:rsidRPr="00380B40">
        <w:rPr>
          <w:lang w:val="en-GB"/>
        </w:rPr>
        <w:t>for</w:t>
      </w:r>
      <w:r w:rsidRPr="00380B40">
        <w:rPr>
          <w:spacing w:val="3"/>
          <w:lang w:val="en-GB"/>
        </w:rPr>
        <w:t xml:space="preserve"> </w:t>
      </w:r>
      <w:r w:rsidRPr="00380B40">
        <w:rPr>
          <w:lang w:val="en-GB"/>
        </w:rPr>
        <w:t>the</w:t>
      </w:r>
      <w:r w:rsidRPr="00380B40">
        <w:rPr>
          <w:spacing w:val="6"/>
          <w:lang w:val="en-GB"/>
        </w:rPr>
        <w:t xml:space="preserve"> </w:t>
      </w:r>
      <w:r w:rsidRPr="00380B40">
        <w:rPr>
          <w:lang w:val="en-GB"/>
        </w:rPr>
        <w:t>distribution</w:t>
      </w:r>
      <w:r w:rsidRPr="00380B40">
        <w:rPr>
          <w:spacing w:val="4"/>
          <w:lang w:val="en-GB"/>
        </w:rPr>
        <w:t xml:space="preserve"> </w:t>
      </w:r>
      <w:r w:rsidRPr="00380B40">
        <w:rPr>
          <w:lang w:val="en-GB"/>
        </w:rPr>
        <w:t>of</w:t>
      </w:r>
      <w:r w:rsidRPr="00380B40">
        <w:rPr>
          <w:spacing w:val="3"/>
          <w:lang w:val="en-GB"/>
        </w:rPr>
        <w:t xml:space="preserve"> </w:t>
      </w:r>
      <w:r w:rsidRPr="00380B40">
        <w:rPr>
          <w:lang w:val="en-GB"/>
        </w:rPr>
        <w:t>work</w:t>
      </w:r>
      <w:r w:rsidRPr="00380B40">
        <w:rPr>
          <w:spacing w:val="3"/>
          <w:lang w:val="en-GB"/>
        </w:rPr>
        <w:t xml:space="preserve"> </w:t>
      </w:r>
      <w:r w:rsidRPr="00380B40">
        <w:rPr>
          <w:lang w:val="en-GB"/>
        </w:rPr>
        <w:t>and</w:t>
      </w:r>
      <w:r w:rsidRPr="00380B40">
        <w:rPr>
          <w:spacing w:val="6"/>
          <w:lang w:val="en-GB"/>
        </w:rPr>
        <w:t xml:space="preserve"> </w:t>
      </w:r>
      <w:r w:rsidRPr="00380B40">
        <w:rPr>
          <w:lang w:val="en-GB"/>
        </w:rPr>
        <w:t>the</w:t>
      </w:r>
      <w:r w:rsidRPr="00380B40">
        <w:rPr>
          <w:spacing w:val="4"/>
          <w:lang w:val="en-GB"/>
        </w:rPr>
        <w:t xml:space="preserve"> </w:t>
      </w:r>
      <w:r w:rsidRPr="00380B40">
        <w:rPr>
          <w:lang w:val="en-GB"/>
        </w:rPr>
        <w:t>selection</w:t>
      </w:r>
      <w:r w:rsidRPr="00380B40">
        <w:rPr>
          <w:spacing w:val="4"/>
          <w:lang w:val="en-GB"/>
        </w:rPr>
        <w:t xml:space="preserve"> </w:t>
      </w:r>
      <w:r w:rsidRPr="00380B40">
        <w:rPr>
          <w:spacing w:val="1"/>
          <w:lang w:val="en-GB"/>
        </w:rPr>
        <w:t>of</w:t>
      </w:r>
      <w:r w:rsidRPr="00380B40">
        <w:rPr>
          <w:spacing w:val="3"/>
          <w:lang w:val="en-GB"/>
        </w:rPr>
        <w:t xml:space="preserve"> </w:t>
      </w:r>
      <w:r w:rsidRPr="00380B40">
        <w:rPr>
          <w:lang w:val="en-GB"/>
        </w:rPr>
        <w:t>an</w:t>
      </w:r>
      <w:r w:rsidRPr="00380B40">
        <w:rPr>
          <w:spacing w:val="6"/>
          <w:lang w:val="en-GB"/>
        </w:rPr>
        <w:t xml:space="preserve"> </w:t>
      </w:r>
      <w:r w:rsidRPr="00380B40">
        <w:rPr>
          <w:lang w:val="en-GB"/>
        </w:rPr>
        <w:t>appropriate</w:t>
      </w:r>
      <w:r w:rsidRPr="00380B40">
        <w:rPr>
          <w:spacing w:val="4"/>
          <w:lang w:val="en-GB"/>
        </w:rPr>
        <w:t xml:space="preserve"> </w:t>
      </w:r>
      <w:r w:rsidRPr="00380B40">
        <w:rPr>
          <w:lang w:val="en-GB"/>
        </w:rPr>
        <w:t>team</w:t>
      </w:r>
      <w:r w:rsidRPr="00380B40">
        <w:rPr>
          <w:spacing w:val="5"/>
          <w:lang w:val="en-GB"/>
        </w:rPr>
        <w:t xml:space="preserve"> </w:t>
      </w:r>
      <w:r w:rsidRPr="00380B40">
        <w:rPr>
          <w:lang w:val="en-GB"/>
        </w:rPr>
        <w:t>of</w:t>
      </w:r>
      <w:r w:rsidRPr="00380B40">
        <w:rPr>
          <w:spacing w:val="6"/>
          <w:lang w:val="en-GB"/>
        </w:rPr>
        <w:t xml:space="preserve"> </w:t>
      </w:r>
      <w:r w:rsidRPr="00380B40">
        <w:rPr>
          <w:lang w:val="en-GB"/>
        </w:rPr>
        <w:t>working</w:t>
      </w:r>
      <w:r w:rsidRPr="00380B40">
        <w:rPr>
          <w:spacing w:val="2"/>
          <w:lang w:val="en-GB"/>
        </w:rPr>
        <w:t xml:space="preserve"> </w:t>
      </w:r>
      <w:r w:rsidRPr="00380B40">
        <w:rPr>
          <w:spacing w:val="1"/>
          <w:lang w:val="en-GB"/>
        </w:rPr>
        <w:t>party</w:t>
      </w:r>
      <w:r w:rsidRPr="00380B40">
        <w:rPr>
          <w:spacing w:val="2"/>
          <w:lang w:val="en-GB"/>
        </w:rPr>
        <w:t xml:space="preserve"> </w:t>
      </w:r>
      <w:r w:rsidRPr="00380B40">
        <w:rPr>
          <w:lang w:val="en-GB"/>
        </w:rPr>
        <w:t>chairmen</w:t>
      </w:r>
      <w:r w:rsidRPr="00380B40">
        <w:rPr>
          <w:spacing w:val="6"/>
          <w:lang w:val="en-GB"/>
        </w:rPr>
        <w:t xml:space="preserve"> </w:t>
      </w:r>
      <w:r w:rsidRPr="00380B40">
        <w:rPr>
          <w:lang w:val="en-GB"/>
        </w:rPr>
        <w:t>and</w:t>
      </w:r>
      <w:r w:rsidRPr="00380B40">
        <w:rPr>
          <w:spacing w:val="54"/>
          <w:lang w:val="en-GB"/>
        </w:rPr>
        <w:t xml:space="preserve"> </w:t>
      </w:r>
      <w:r w:rsidRPr="00380B40">
        <w:rPr>
          <w:lang w:val="en-GB"/>
        </w:rPr>
        <w:t>shall</w:t>
      </w:r>
      <w:r w:rsidRPr="00380B40">
        <w:rPr>
          <w:spacing w:val="2"/>
          <w:lang w:val="en-GB"/>
        </w:rPr>
        <w:t xml:space="preserve"> </w:t>
      </w:r>
      <w:r w:rsidRPr="00380B40">
        <w:rPr>
          <w:lang w:val="en-GB"/>
        </w:rPr>
        <w:t>take into</w:t>
      </w:r>
      <w:r w:rsidRPr="00380B40">
        <w:rPr>
          <w:spacing w:val="2"/>
          <w:lang w:val="en-GB"/>
        </w:rPr>
        <w:t xml:space="preserve"> </w:t>
      </w:r>
      <w:r w:rsidRPr="00380B40">
        <w:rPr>
          <w:lang w:val="en-GB"/>
        </w:rPr>
        <w:t>account</w:t>
      </w:r>
      <w:r w:rsidRPr="00380B40">
        <w:rPr>
          <w:spacing w:val="2"/>
          <w:lang w:val="en-GB"/>
        </w:rPr>
        <w:t xml:space="preserve"> </w:t>
      </w:r>
      <w:r w:rsidRPr="00380B40">
        <w:rPr>
          <w:lang w:val="en-GB"/>
        </w:rPr>
        <w:t>the</w:t>
      </w:r>
      <w:r w:rsidRPr="00380B40">
        <w:rPr>
          <w:spacing w:val="1"/>
          <w:lang w:val="en-GB"/>
        </w:rPr>
        <w:t xml:space="preserve"> </w:t>
      </w:r>
      <w:r w:rsidRPr="00380B40">
        <w:rPr>
          <w:lang w:val="en-GB"/>
        </w:rPr>
        <w:t>advice</w:t>
      </w:r>
      <w:r w:rsidRPr="00380B40">
        <w:rPr>
          <w:spacing w:val="1"/>
          <w:lang w:val="en-GB"/>
        </w:rPr>
        <w:t xml:space="preserve"> </w:t>
      </w:r>
      <w:r w:rsidRPr="00380B40">
        <w:rPr>
          <w:lang w:val="en-GB"/>
        </w:rPr>
        <w:t>provided</w:t>
      </w:r>
      <w:r w:rsidRPr="00380B40">
        <w:rPr>
          <w:spacing w:val="4"/>
          <w:lang w:val="en-GB"/>
        </w:rPr>
        <w:t xml:space="preserve"> </w:t>
      </w:r>
      <w:r w:rsidRPr="00380B40">
        <w:rPr>
          <w:spacing w:val="2"/>
          <w:lang w:val="en-GB"/>
        </w:rPr>
        <w:t>by</w:t>
      </w:r>
      <w:r w:rsidRPr="00380B40">
        <w:rPr>
          <w:spacing w:val="-3"/>
          <w:lang w:val="en-GB"/>
        </w:rPr>
        <w:t xml:space="preserve"> </w:t>
      </w:r>
      <w:r w:rsidRPr="00380B40">
        <w:rPr>
          <w:lang w:val="en-GB"/>
        </w:rPr>
        <w:t>the</w:t>
      </w:r>
      <w:r w:rsidRPr="00380B40">
        <w:rPr>
          <w:spacing w:val="4"/>
          <w:lang w:val="en-GB"/>
        </w:rPr>
        <w:t xml:space="preserve"> </w:t>
      </w:r>
      <w:r w:rsidRPr="00380B40">
        <w:rPr>
          <w:lang w:val="en-GB"/>
        </w:rPr>
        <w:t>members</w:t>
      </w:r>
      <w:r w:rsidRPr="00380B40">
        <w:rPr>
          <w:spacing w:val="1"/>
          <w:lang w:val="en-GB"/>
        </w:rPr>
        <w:t xml:space="preserve"> </w:t>
      </w:r>
      <w:r w:rsidRPr="00380B40">
        <w:rPr>
          <w:lang w:val="en-GB"/>
        </w:rPr>
        <w:t>of</w:t>
      </w:r>
      <w:r w:rsidRPr="00380B40">
        <w:rPr>
          <w:spacing w:val="1"/>
          <w:lang w:val="en-GB"/>
        </w:rPr>
        <w:t xml:space="preserve"> </w:t>
      </w:r>
      <w:r w:rsidRPr="00380B40">
        <w:rPr>
          <w:lang w:val="en-GB"/>
        </w:rPr>
        <w:t>the</w:t>
      </w:r>
      <w:r w:rsidRPr="00380B40">
        <w:rPr>
          <w:spacing w:val="1"/>
          <w:lang w:val="en-GB"/>
        </w:rPr>
        <w:t xml:space="preserve"> study</w:t>
      </w:r>
      <w:r w:rsidRPr="00380B40">
        <w:rPr>
          <w:lang w:val="en-GB"/>
        </w:rPr>
        <w:t xml:space="preserve"> group</w:t>
      </w:r>
      <w:r w:rsidRPr="00380B40">
        <w:rPr>
          <w:spacing w:val="2"/>
          <w:lang w:val="en-GB"/>
        </w:rPr>
        <w:t xml:space="preserve"> </w:t>
      </w:r>
      <w:r w:rsidRPr="00380B40">
        <w:rPr>
          <w:lang w:val="en-GB"/>
        </w:rPr>
        <w:t>as</w:t>
      </w:r>
      <w:r w:rsidRPr="00380B40">
        <w:rPr>
          <w:spacing w:val="2"/>
          <w:lang w:val="en-GB"/>
        </w:rPr>
        <w:t xml:space="preserve"> </w:t>
      </w:r>
      <w:r w:rsidRPr="00380B40">
        <w:rPr>
          <w:lang w:val="en-GB"/>
        </w:rPr>
        <w:t>well</w:t>
      </w:r>
      <w:r w:rsidRPr="00380B40">
        <w:rPr>
          <w:spacing w:val="5"/>
          <w:lang w:val="en-GB"/>
        </w:rPr>
        <w:t xml:space="preserve"> </w:t>
      </w:r>
      <w:r w:rsidRPr="00380B40">
        <w:rPr>
          <w:lang w:val="en-GB"/>
        </w:rPr>
        <w:t>as</w:t>
      </w:r>
      <w:r w:rsidRPr="00380B40">
        <w:rPr>
          <w:spacing w:val="2"/>
          <w:lang w:val="en-GB"/>
        </w:rPr>
        <w:t xml:space="preserve"> </w:t>
      </w:r>
      <w:r w:rsidRPr="00380B40">
        <w:rPr>
          <w:lang w:val="en-GB"/>
        </w:rPr>
        <w:t>the</w:t>
      </w:r>
      <w:r w:rsidRPr="00380B40">
        <w:rPr>
          <w:spacing w:val="1"/>
          <w:lang w:val="en-GB"/>
        </w:rPr>
        <w:t xml:space="preserve"> </w:t>
      </w:r>
      <w:r w:rsidRPr="00380B40">
        <w:rPr>
          <w:lang w:val="en-GB"/>
        </w:rPr>
        <w:t>proven</w:t>
      </w:r>
      <w:r w:rsidRPr="00380B40">
        <w:rPr>
          <w:spacing w:val="67"/>
          <w:lang w:val="en-GB"/>
        </w:rPr>
        <w:t xml:space="preserve"> </w:t>
      </w:r>
      <w:r w:rsidRPr="00380B40">
        <w:rPr>
          <w:lang w:val="en-GB"/>
        </w:rPr>
        <w:t>competence, both technical and managerial, of the</w:t>
      </w:r>
      <w:r w:rsidRPr="00380B40">
        <w:rPr>
          <w:spacing w:val="1"/>
          <w:lang w:val="en-GB"/>
        </w:rPr>
        <w:t xml:space="preserve"> </w:t>
      </w:r>
      <w:r w:rsidRPr="00380B40">
        <w:rPr>
          <w:lang w:val="en-GB"/>
        </w:rPr>
        <w:t>candidates.</w:t>
      </w:r>
    </w:p>
    <w:p w14:paraId="40B2EF79" w14:textId="77777777" w:rsidR="00C12517" w:rsidRPr="00380B40" w:rsidRDefault="00C12517" w:rsidP="00C12517">
      <w:pPr>
        <w:rPr>
          <w:lang w:val="en-GB"/>
        </w:rPr>
      </w:pPr>
      <w:r w:rsidRPr="00380B40">
        <w:rPr>
          <w:b/>
          <w:bCs/>
          <w:lang w:val="en-GB"/>
        </w:rPr>
        <w:t>2.1.2</w:t>
      </w:r>
      <w:r w:rsidRPr="00380B40">
        <w:rPr>
          <w:lang w:val="en-GB"/>
        </w:rPr>
        <w:tab/>
        <w:t>A</w:t>
      </w:r>
      <w:r w:rsidRPr="00380B40">
        <w:rPr>
          <w:spacing w:val="23"/>
          <w:lang w:val="en-GB"/>
        </w:rPr>
        <w:t xml:space="preserve"> </w:t>
      </w:r>
      <w:r w:rsidRPr="00380B40">
        <w:rPr>
          <w:lang w:val="en-GB"/>
        </w:rPr>
        <w:t>study</w:t>
      </w:r>
      <w:r w:rsidRPr="00380B40">
        <w:rPr>
          <w:spacing w:val="21"/>
          <w:lang w:val="en-GB"/>
        </w:rPr>
        <w:t xml:space="preserve"> </w:t>
      </w:r>
      <w:r w:rsidRPr="00380B40">
        <w:rPr>
          <w:lang w:val="en-GB"/>
        </w:rPr>
        <w:t>group</w:t>
      </w:r>
      <w:r w:rsidRPr="00380B40">
        <w:rPr>
          <w:spacing w:val="23"/>
          <w:lang w:val="en-GB"/>
        </w:rPr>
        <w:t xml:space="preserve"> </w:t>
      </w:r>
      <w:r w:rsidRPr="00380B40">
        <w:rPr>
          <w:spacing w:val="1"/>
          <w:lang w:val="en-GB"/>
        </w:rPr>
        <w:t>may</w:t>
      </w:r>
      <w:r w:rsidRPr="00380B40">
        <w:rPr>
          <w:spacing w:val="18"/>
          <w:lang w:val="en-GB"/>
        </w:rPr>
        <w:t xml:space="preserve"> </w:t>
      </w:r>
      <w:r w:rsidRPr="00380B40">
        <w:rPr>
          <w:lang w:val="en-GB"/>
        </w:rPr>
        <w:t>entrust</w:t>
      </w:r>
      <w:r w:rsidRPr="00380B40">
        <w:rPr>
          <w:spacing w:val="24"/>
          <w:lang w:val="en-GB"/>
        </w:rPr>
        <w:t xml:space="preserve"> </w:t>
      </w:r>
      <w:r w:rsidRPr="00380B40">
        <w:rPr>
          <w:lang w:val="en-GB"/>
        </w:rPr>
        <w:t>a</w:t>
      </w:r>
      <w:r w:rsidRPr="00380B40">
        <w:rPr>
          <w:spacing w:val="22"/>
          <w:lang w:val="en-GB"/>
        </w:rPr>
        <w:t xml:space="preserve"> </w:t>
      </w:r>
      <w:r w:rsidRPr="00380B40">
        <w:rPr>
          <w:lang w:val="en-GB"/>
        </w:rPr>
        <w:t>Question,</w:t>
      </w:r>
      <w:r w:rsidRPr="00380B40">
        <w:rPr>
          <w:spacing w:val="23"/>
          <w:lang w:val="en-GB"/>
        </w:rPr>
        <w:t xml:space="preserve"> </w:t>
      </w:r>
      <w:r w:rsidRPr="00380B40">
        <w:rPr>
          <w:lang w:val="en-GB"/>
        </w:rPr>
        <w:t>a</w:t>
      </w:r>
      <w:r w:rsidRPr="00380B40">
        <w:rPr>
          <w:spacing w:val="22"/>
          <w:lang w:val="en-GB"/>
        </w:rPr>
        <w:t xml:space="preserve"> </w:t>
      </w:r>
      <w:r w:rsidRPr="00380B40">
        <w:rPr>
          <w:lang w:val="en-GB"/>
        </w:rPr>
        <w:t>group</w:t>
      </w:r>
      <w:r w:rsidRPr="00380B40">
        <w:rPr>
          <w:spacing w:val="25"/>
          <w:lang w:val="en-GB"/>
        </w:rPr>
        <w:t xml:space="preserve"> </w:t>
      </w:r>
      <w:r w:rsidRPr="00380B40">
        <w:rPr>
          <w:lang w:val="en-GB"/>
        </w:rPr>
        <w:t>of</w:t>
      </w:r>
      <w:r w:rsidRPr="00380B40">
        <w:rPr>
          <w:spacing w:val="23"/>
          <w:lang w:val="en-GB"/>
        </w:rPr>
        <w:t xml:space="preserve"> </w:t>
      </w:r>
      <w:r w:rsidRPr="00380B40">
        <w:rPr>
          <w:lang w:val="en-GB"/>
        </w:rPr>
        <w:t>Questions</w:t>
      </w:r>
      <w:r w:rsidRPr="00380B40">
        <w:rPr>
          <w:spacing w:val="24"/>
          <w:lang w:val="en-GB"/>
        </w:rPr>
        <w:t xml:space="preserve"> </w:t>
      </w:r>
      <w:r w:rsidRPr="00380B40">
        <w:rPr>
          <w:lang w:val="en-GB"/>
        </w:rPr>
        <w:t>or</w:t>
      </w:r>
      <w:r w:rsidRPr="00380B40">
        <w:rPr>
          <w:spacing w:val="23"/>
          <w:lang w:val="en-GB"/>
        </w:rPr>
        <w:t xml:space="preserve"> </w:t>
      </w:r>
      <w:r w:rsidRPr="00380B40">
        <w:rPr>
          <w:lang w:val="en-GB"/>
        </w:rPr>
        <w:t>the</w:t>
      </w:r>
      <w:r w:rsidRPr="00380B40">
        <w:rPr>
          <w:spacing w:val="23"/>
          <w:lang w:val="en-GB"/>
        </w:rPr>
        <w:t xml:space="preserve"> </w:t>
      </w:r>
      <w:r w:rsidRPr="00380B40">
        <w:rPr>
          <w:lang w:val="en-GB"/>
        </w:rPr>
        <w:t>maintenance</w:t>
      </w:r>
      <w:r w:rsidRPr="00380B40">
        <w:rPr>
          <w:spacing w:val="22"/>
          <w:lang w:val="en-GB"/>
        </w:rPr>
        <w:t xml:space="preserve"> </w:t>
      </w:r>
      <w:r w:rsidRPr="00380B40">
        <w:rPr>
          <w:lang w:val="en-GB"/>
        </w:rPr>
        <w:t>of</w:t>
      </w:r>
      <w:r w:rsidRPr="00380B40">
        <w:rPr>
          <w:spacing w:val="23"/>
          <w:lang w:val="en-GB"/>
        </w:rPr>
        <w:t xml:space="preserve"> </w:t>
      </w:r>
      <w:r w:rsidRPr="00380B40">
        <w:rPr>
          <w:lang w:val="en-GB"/>
        </w:rPr>
        <w:t>some</w:t>
      </w:r>
      <w:r w:rsidRPr="00380B40">
        <w:rPr>
          <w:spacing w:val="59"/>
          <w:lang w:val="en-GB"/>
        </w:rPr>
        <w:t xml:space="preserve"> </w:t>
      </w:r>
      <w:r w:rsidRPr="00380B40">
        <w:rPr>
          <w:lang w:val="en-GB"/>
        </w:rPr>
        <w:t>existing</w:t>
      </w:r>
      <w:r w:rsidRPr="00380B40">
        <w:rPr>
          <w:spacing w:val="-2"/>
          <w:lang w:val="en-GB"/>
        </w:rPr>
        <w:t xml:space="preserve"> </w:t>
      </w:r>
      <w:r w:rsidRPr="00380B40">
        <w:rPr>
          <w:lang w:val="en-GB"/>
        </w:rPr>
        <w:t>Recommendations within its general</w:t>
      </w:r>
      <w:r w:rsidRPr="00380B40">
        <w:rPr>
          <w:spacing w:val="2"/>
          <w:lang w:val="en-GB"/>
        </w:rPr>
        <w:t xml:space="preserve"> </w:t>
      </w:r>
      <w:r w:rsidRPr="00380B40">
        <w:rPr>
          <w:lang w:val="en-GB"/>
        </w:rPr>
        <w:t>area</w:t>
      </w:r>
      <w:r w:rsidRPr="00380B40">
        <w:rPr>
          <w:spacing w:val="1"/>
          <w:lang w:val="en-GB"/>
        </w:rPr>
        <w:t xml:space="preserve"> </w:t>
      </w:r>
      <w:r w:rsidRPr="00380B40">
        <w:rPr>
          <w:lang w:val="en-GB"/>
        </w:rPr>
        <w:t>of responsibility</w:t>
      </w:r>
      <w:r w:rsidRPr="00380B40">
        <w:rPr>
          <w:spacing w:val="-5"/>
          <w:lang w:val="en-GB"/>
        </w:rPr>
        <w:t xml:space="preserve"> </w:t>
      </w:r>
      <w:r w:rsidRPr="00380B40">
        <w:rPr>
          <w:lang w:val="en-GB"/>
        </w:rPr>
        <w:t>to a working</w:t>
      </w:r>
      <w:r w:rsidRPr="00380B40">
        <w:rPr>
          <w:spacing w:val="-3"/>
          <w:lang w:val="en-GB"/>
        </w:rPr>
        <w:t xml:space="preserve"> </w:t>
      </w:r>
      <w:r w:rsidRPr="00380B40">
        <w:rPr>
          <w:lang w:val="en-GB"/>
        </w:rPr>
        <w:t>party.</w:t>
      </w:r>
    </w:p>
    <w:p w14:paraId="2B99D6F7" w14:textId="77777777" w:rsidR="00C12517" w:rsidRPr="00380B40" w:rsidRDefault="00C12517" w:rsidP="00C12517">
      <w:pPr>
        <w:rPr>
          <w:lang w:val="en-GB"/>
        </w:rPr>
      </w:pPr>
      <w:r w:rsidRPr="00380B40">
        <w:rPr>
          <w:b/>
          <w:bCs/>
          <w:lang w:val="en-GB"/>
        </w:rPr>
        <w:t>2.1.3</w:t>
      </w:r>
      <w:r w:rsidRPr="00380B40">
        <w:rPr>
          <w:lang w:val="en-GB"/>
        </w:rPr>
        <w:tab/>
        <w:t>Where the</w:t>
      </w:r>
      <w:r w:rsidRPr="00380B40">
        <w:rPr>
          <w:spacing w:val="1"/>
          <w:lang w:val="en-GB"/>
        </w:rPr>
        <w:t xml:space="preserve"> </w:t>
      </w:r>
      <w:r w:rsidRPr="00380B40">
        <w:rPr>
          <w:lang w:val="en-GB"/>
        </w:rPr>
        <w:t>scope</w:t>
      </w:r>
      <w:r w:rsidRPr="00380B40">
        <w:rPr>
          <w:spacing w:val="1"/>
          <w:lang w:val="en-GB"/>
        </w:rPr>
        <w:t xml:space="preserve"> </w:t>
      </w:r>
      <w:r w:rsidRPr="00380B40">
        <w:rPr>
          <w:lang w:val="en-GB"/>
        </w:rPr>
        <w:t>of</w:t>
      </w:r>
      <w:r w:rsidRPr="00380B40">
        <w:rPr>
          <w:spacing w:val="1"/>
          <w:lang w:val="en-GB"/>
        </w:rPr>
        <w:t xml:space="preserve"> </w:t>
      </w:r>
      <w:r w:rsidRPr="00380B40">
        <w:rPr>
          <w:lang w:val="en-GB"/>
        </w:rPr>
        <w:t>the</w:t>
      </w:r>
      <w:r w:rsidRPr="00380B40">
        <w:rPr>
          <w:spacing w:val="1"/>
          <w:lang w:val="en-GB"/>
        </w:rPr>
        <w:t xml:space="preserve"> </w:t>
      </w:r>
      <w:r w:rsidRPr="00380B40">
        <w:rPr>
          <w:lang w:val="en-GB"/>
        </w:rPr>
        <w:t>work</w:t>
      </w:r>
      <w:r w:rsidRPr="00380B40">
        <w:rPr>
          <w:spacing w:val="1"/>
          <w:lang w:val="en-GB"/>
        </w:rPr>
        <w:t xml:space="preserve"> </w:t>
      </w:r>
      <w:r w:rsidRPr="00380B40">
        <w:rPr>
          <w:lang w:val="en-GB"/>
        </w:rPr>
        <w:t>is</w:t>
      </w:r>
      <w:r w:rsidRPr="00380B40">
        <w:rPr>
          <w:spacing w:val="5"/>
          <w:lang w:val="en-GB"/>
        </w:rPr>
        <w:t xml:space="preserve"> </w:t>
      </w:r>
      <w:r w:rsidRPr="00380B40">
        <w:rPr>
          <w:lang w:val="en-GB"/>
        </w:rPr>
        <w:t>considerable,</w:t>
      </w:r>
      <w:r w:rsidRPr="00380B40">
        <w:rPr>
          <w:spacing w:val="1"/>
          <w:lang w:val="en-GB"/>
        </w:rPr>
        <w:t xml:space="preserve"> </w:t>
      </w:r>
      <w:r w:rsidRPr="00380B40">
        <w:rPr>
          <w:lang w:val="en-GB"/>
        </w:rPr>
        <w:t>a</w:t>
      </w:r>
      <w:r w:rsidRPr="00380B40">
        <w:rPr>
          <w:spacing w:val="1"/>
          <w:lang w:val="en-GB"/>
        </w:rPr>
        <w:t xml:space="preserve"> </w:t>
      </w:r>
      <w:r w:rsidRPr="00380B40">
        <w:rPr>
          <w:lang w:val="en-GB"/>
        </w:rPr>
        <w:t>study group</w:t>
      </w:r>
      <w:r w:rsidRPr="00380B40">
        <w:rPr>
          <w:spacing w:val="1"/>
          <w:lang w:val="en-GB"/>
        </w:rPr>
        <w:t xml:space="preserve"> may</w:t>
      </w:r>
      <w:r w:rsidRPr="00380B40">
        <w:rPr>
          <w:spacing w:val="-3"/>
          <w:lang w:val="en-GB"/>
        </w:rPr>
        <w:t xml:space="preserve"> </w:t>
      </w:r>
      <w:r w:rsidRPr="00380B40">
        <w:rPr>
          <w:lang w:val="en-GB"/>
        </w:rPr>
        <w:t>decide</w:t>
      </w:r>
      <w:r w:rsidRPr="00380B40">
        <w:rPr>
          <w:spacing w:val="1"/>
          <w:lang w:val="en-GB"/>
        </w:rPr>
        <w:t xml:space="preserve"> </w:t>
      </w:r>
      <w:r w:rsidRPr="00380B40">
        <w:rPr>
          <w:lang w:val="en-GB"/>
        </w:rPr>
        <w:t>to</w:t>
      </w:r>
      <w:r w:rsidRPr="00380B40">
        <w:rPr>
          <w:spacing w:val="2"/>
          <w:lang w:val="en-GB"/>
        </w:rPr>
        <w:t xml:space="preserve"> </w:t>
      </w:r>
      <w:r w:rsidRPr="00380B40">
        <w:rPr>
          <w:lang w:val="en-GB"/>
        </w:rPr>
        <w:t>further divide</w:t>
      </w:r>
      <w:r w:rsidRPr="00380B40">
        <w:rPr>
          <w:spacing w:val="1"/>
          <w:lang w:val="en-GB"/>
        </w:rPr>
        <w:t xml:space="preserve"> </w:t>
      </w:r>
      <w:r w:rsidRPr="00380B40">
        <w:rPr>
          <w:lang w:val="en-GB"/>
        </w:rPr>
        <w:t>the</w:t>
      </w:r>
      <w:r w:rsidRPr="00380B40">
        <w:rPr>
          <w:spacing w:val="49"/>
          <w:lang w:val="en-GB"/>
        </w:rPr>
        <w:t xml:space="preserve"> </w:t>
      </w:r>
      <w:r w:rsidRPr="00380B40">
        <w:rPr>
          <w:lang w:val="en-GB"/>
        </w:rPr>
        <w:t>tasks assigned to</w:t>
      </w:r>
      <w:r w:rsidRPr="00380B40">
        <w:rPr>
          <w:spacing w:val="2"/>
          <w:lang w:val="en-GB"/>
        </w:rPr>
        <w:t xml:space="preserve"> </w:t>
      </w:r>
      <w:r w:rsidRPr="00380B40">
        <w:rPr>
          <w:lang w:val="en-GB"/>
        </w:rPr>
        <w:t>a working</w:t>
      </w:r>
      <w:r w:rsidRPr="00380B40">
        <w:rPr>
          <w:spacing w:val="-3"/>
          <w:lang w:val="en-GB"/>
        </w:rPr>
        <w:t xml:space="preserve"> </w:t>
      </w:r>
      <w:r w:rsidRPr="00380B40">
        <w:rPr>
          <w:lang w:val="en-GB"/>
        </w:rPr>
        <w:t>party</w:t>
      </w:r>
      <w:r w:rsidRPr="00380B40">
        <w:rPr>
          <w:spacing w:val="-5"/>
          <w:lang w:val="en-GB"/>
        </w:rPr>
        <w:t xml:space="preserve"> </w:t>
      </w:r>
      <w:r w:rsidRPr="00380B40">
        <w:rPr>
          <w:lang w:val="en-GB"/>
        </w:rPr>
        <w:t>to sub-working parties.</w:t>
      </w:r>
    </w:p>
    <w:p w14:paraId="47D88BAF" w14:textId="77777777" w:rsidR="00C12517" w:rsidRPr="00380B40" w:rsidRDefault="00C12517" w:rsidP="00C12517">
      <w:pPr>
        <w:rPr>
          <w:lang w:val="en-GB"/>
        </w:rPr>
      </w:pPr>
      <w:r w:rsidRPr="00380B40">
        <w:rPr>
          <w:b/>
          <w:bCs/>
          <w:lang w:val="en-GB"/>
        </w:rPr>
        <w:t>2.1.4</w:t>
      </w:r>
      <w:r w:rsidRPr="00380B40">
        <w:rPr>
          <w:lang w:val="en-GB"/>
        </w:rPr>
        <w:tab/>
        <w:t>Working parties</w:t>
      </w:r>
      <w:r w:rsidRPr="00380B40">
        <w:rPr>
          <w:spacing w:val="4"/>
          <w:lang w:val="en-GB"/>
        </w:rPr>
        <w:t xml:space="preserve"> </w:t>
      </w:r>
      <w:r w:rsidRPr="00380B40">
        <w:rPr>
          <w:lang w:val="en-GB"/>
        </w:rPr>
        <w:t>and</w:t>
      </w:r>
      <w:r w:rsidRPr="00380B40">
        <w:rPr>
          <w:spacing w:val="2"/>
          <w:lang w:val="en-GB"/>
        </w:rPr>
        <w:t xml:space="preserve"> </w:t>
      </w:r>
      <w:r w:rsidRPr="00380B40">
        <w:rPr>
          <w:lang w:val="en-GB"/>
        </w:rPr>
        <w:t>sub-working</w:t>
      </w:r>
      <w:r w:rsidRPr="00380B40">
        <w:rPr>
          <w:spacing w:val="2"/>
          <w:lang w:val="en-GB"/>
        </w:rPr>
        <w:t xml:space="preserve"> </w:t>
      </w:r>
      <w:r w:rsidRPr="00380B40">
        <w:rPr>
          <w:lang w:val="en-GB"/>
        </w:rPr>
        <w:t>parties</w:t>
      </w:r>
      <w:r w:rsidRPr="00380B40">
        <w:rPr>
          <w:spacing w:val="2"/>
          <w:lang w:val="en-GB"/>
        </w:rPr>
        <w:t xml:space="preserve"> </w:t>
      </w:r>
      <w:r w:rsidRPr="00380B40">
        <w:rPr>
          <w:lang w:val="en-GB"/>
        </w:rPr>
        <w:t>should</w:t>
      </w:r>
      <w:r w:rsidRPr="00380B40">
        <w:rPr>
          <w:spacing w:val="2"/>
          <w:lang w:val="en-GB"/>
        </w:rPr>
        <w:t xml:space="preserve"> </w:t>
      </w:r>
      <w:r w:rsidRPr="00380B40">
        <w:rPr>
          <w:spacing w:val="1"/>
          <w:lang w:val="en-GB"/>
        </w:rPr>
        <w:t xml:space="preserve">be </w:t>
      </w:r>
      <w:r w:rsidRPr="00380B40">
        <w:rPr>
          <w:lang w:val="en-GB"/>
        </w:rPr>
        <w:t>set</w:t>
      </w:r>
      <w:r w:rsidRPr="00380B40">
        <w:rPr>
          <w:spacing w:val="2"/>
          <w:lang w:val="en-GB"/>
        </w:rPr>
        <w:t xml:space="preserve"> </w:t>
      </w:r>
      <w:r w:rsidRPr="00380B40">
        <w:rPr>
          <w:lang w:val="en-GB"/>
        </w:rPr>
        <w:t>up</w:t>
      </w:r>
      <w:r w:rsidRPr="00380B40">
        <w:rPr>
          <w:spacing w:val="2"/>
          <w:lang w:val="en-GB"/>
        </w:rPr>
        <w:t xml:space="preserve"> </w:t>
      </w:r>
      <w:r w:rsidRPr="00380B40">
        <w:rPr>
          <w:spacing w:val="1"/>
          <w:lang w:val="en-GB"/>
        </w:rPr>
        <w:t>only</w:t>
      </w:r>
      <w:r w:rsidRPr="00380B40">
        <w:rPr>
          <w:spacing w:val="-3"/>
          <w:lang w:val="en-GB"/>
        </w:rPr>
        <w:t xml:space="preserve"> </w:t>
      </w:r>
      <w:r w:rsidRPr="00380B40">
        <w:rPr>
          <w:lang w:val="en-GB"/>
        </w:rPr>
        <w:t>after</w:t>
      </w:r>
      <w:r w:rsidRPr="00380B40">
        <w:rPr>
          <w:spacing w:val="1"/>
          <w:lang w:val="en-GB"/>
        </w:rPr>
        <w:t xml:space="preserve"> </w:t>
      </w:r>
      <w:r w:rsidRPr="00380B40">
        <w:rPr>
          <w:lang w:val="en-GB"/>
        </w:rPr>
        <w:t>thorough</w:t>
      </w:r>
      <w:r w:rsidRPr="00380B40">
        <w:rPr>
          <w:spacing w:val="4"/>
          <w:lang w:val="en-GB"/>
        </w:rPr>
        <w:t xml:space="preserve"> </w:t>
      </w:r>
      <w:r w:rsidRPr="00380B40">
        <w:rPr>
          <w:lang w:val="en-GB"/>
        </w:rPr>
        <w:t>consideration</w:t>
      </w:r>
      <w:r w:rsidRPr="00380B40">
        <w:rPr>
          <w:spacing w:val="71"/>
          <w:lang w:val="en-GB"/>
        </w:rPr>
        <w:t xml:space="preserve"> </w:t>
      </w:r>
      <w:r w:rsidRPr="00380B40">
        <w:rPr>
          <w:lang w:val="en-GB"/>
        </w:rPr>
        <w:t>of</w:t>
      </w:r>
      <w:r w:rsidRPr="00380B40">
        <w:rPr>
          <w:spacing w:val="-8"/>
          <w:lang w:val="en-GB"/>
        </w:rPr>
        <w:t xml:space="preserve"> </w:t>
      </w:r>
      <w:r w:rsidRPr="00380B40">
        <w:rPr>
          <w:lang w:val="en-GB"/>
        </w:rPr>
        <w:t>the</w:t>
      </w:r>
      <w:r w:rsidRPr="00380B40">
        <w:rPr>
          <w:spacing w:val="-8"/>
          <w:lang w:val="en-GB"/>
        </w:rPr>
        <w:t xml:space="preserve"> </w:t>
      </w:r>
      <w:r w:rsidRPr="00380B40">
        <w:rPr>
          <w:lang w:val="en-GB"/>
        </w:rPr>
        <w:t>Questions.</w:t>
      </w:r>
      <w:r w:rsidRPr="00380B40">
        <w:rPr>
          <w:spacing w:val="-7"/>
          <w:lang w:val="en-GB"/>
        </w:rPr>
        <w:t xml:space="preserve"> </w:t>
      </w:r>
      <w:r w:rsidRPr="00380B40">
        <w:rPr>
          <w:lang w:val="en-GB"/>
        </w:rPr>
        <w:t>Proliferation</w:t>
      </w:r>
      <w:r w:rsidRPr="00380B40">
        <w:rPr>
          <w:spacing w:val="-8"/>
          <w:lang w:val="en-GB"/>
        </w:rPr>
        <w:t xml:space="preserve"> </w:t>
      </w:r>
      <w:r w:rsidRPr="00380B40">
        <w:rPr>
          <w:lang w:val="en-GB"/>
        </w:rPr>
        <w:t>of</w:t>
      </w:r>
      <w:r w:rsidRPr="00380B40">
        <w:rPr>
          <w:spacing w:val="-8"/>
          <w:lang w:val="en-GB"/>
        </w:rPr>
        <w:t xml:space="preserve"> </w:t>
      </w:r>
      <w:r w:rsidRPr="00380B40">
        <w:rPr>
          <w:lang w:val="en-GB"/>
        </w:rPr>
        <w:t>working</w:t>
      </w:r>
      <w:r w:rsidRPr="00380B40">
        <w:rPr>
          <w:spacing w:val="-10"/>
          <w:lang w:val="en-GB"/>
        </w:rPr>
        <w:t xml:space="preserve"> </w:t>
      </w:r>
      <w:r w:rsidRPr="00380B40">
        <w:rPr>
          <w:lang w:val="en-GB"/>
        </w:rPr>
        <w:t>parties,</w:t>
      </w:r>
      <w:r w:rsidRPr="00380B40">
        <w:rPr>
          <w:spacing w:val="-5"/>
          <w:lang w:val="en-GB"/>
        </w:rPr>
        <w:t xml:space="preserve"> </w:t>
      </w:r>
      <w:r w:rsidRPr="00380B40">
        <w:rPr>
          <w:lang w:val="en-GB"/>
        </w:rPr>
        <w:t>sub-working</w:t>
      </w:r>
      <w:r w:rsidRPr="00380B40">
        <w:rPr>
          <w:spacing w:val="-10"/>
          <w:lang w:val="en-GB"/>
        </w:rPr>
        <w:t xml:space="preserve"> </w:t>
      </w:r>
      <w:r w:rsidRPr="00380B40">
        <w:rPr>
          <w:lang w:val="en-GB"/>
        </w:rPr>
        <w:t>parties</w:t>
      </w:r>
      <w:r w:rsidRPr="00380B40">
        <w:rPr>
          <w:spacing w:val="-5"/>
          <w:lang w:val="en-GB"/>
        </w:rPr>
        <w:t xml:space="preserve"> </w:t>
      </w:r>
      <w:r w:rsidRPr="00380B40">
        <w:rPr>
          <w:lang w:val="en-GB"/>
        </w:rPr>
        <w:t>or</w:t>
      </w:r>
      <w:r w:rsidRPr="00380B40">
        <w:rPr>
          <w:spacing w:val="-6"/>
          <w:lang w:val="en-GB"/>
        </w:rPr>
        <w:t xml:space="preserve"> </w:t>
      </w:r>
      <w:r w:rsidRPr="00380B40">
        <w:rPr>
          <w:lang w:val="en-GB"/>
        </w:rPr>
        <w:t>any</w:t>
      </w:r>
      <w:r w:rsidRPr="00380B40">
        <w:rPr>
          <w:spacing w:val="-10"/>
          <w:lang w:val="en-GB"/>
        </w:rPr>
        <w:t xml:space="preserve"> </w:t>
      </w:r>
      <w:r w:rsidRPr="00380B40">
        <w:rPr>
          <w:lang w:val="en-GB"/>
        </w:rPr>
        <w:t>other</w:t>
      </w:r>
      <w:r w:rsidRPr="00380B40">
        <w:rPr>
          <w:spacing w:val="-8"/>
          <w:lang w:val="en-GB"/>
        </w:rPr>
        <w:t xml:space="preserve"> </w:t>
      </w:r>
      <w:r w:rsidRPr="00380B40">
        <w:rPr>
          <w:lang w:val="en-GB"/>
        </w:rPr>
        <w:t>subgroups</w:t>
      </w:r>
      <w:r w:rsidRPr="00380B40">
        <w:rPr>
          <w:spacing w:val="-8"/>
          <w:lang w:val="en-GB"/>
        </w:rPr>
        <w:t xml:space="preserve"> </w:t>
      </w:r>
      <w:r w:rsidRPr="00380B40">
        <w:rPr>
          <w:lang w:val="en-GB"/>
        </w:rPr>
        <w:t>should</w:t>
      </w:r>
      <w:r w:rsidRPr="00380B40">
        <w:rPr>
          <w:spacing w:val="56"/>
          <w:lang w:val="en-GB"/>
        </w:rPr>
        <w:t xml:space="preserve"> </w:t>
      </w:r>
      <w:r w:rsidRPr="00380B40">
        <w:rPr>
          <w:lang w:val="en-GB"/>
        </w:rPr>
        <w:t>be avoided.</w:t>
      </w:r>
    </w:p>
    <w:p w14:paraId="59739D20" w14:textId="77777777" w:rsidR="00DB6A21" w:rsidRPr="00380B40" w:rsidRDefault="00DB6A21" w:rsidP="00C12517">
      <w:pPr>
        <w:rPr>
          <w:b/>
          <w:bCs/>
          <w:lang w:val="en-GB"/>
        </w:rPr>
      </w:pPr>
      <w:r w:rsidRPr="00380B40">
        <w:rPr>
          <w:b/>
          <w:bCs/>
          <w:lang w:val="en-GB"/>
        </w:rPr>
        <w:br w:type="page"/>
      </w:r>
    </w:p>
    <w:p w14:paraId="435FCBB0" w14:textId="77777777" w:rsidR="00C12517" w:rsidRPr="00380B40" w:rsidRDefault="00C12517" w:rsidP="00C12517">
      <w:pPr>
        <w:rPr>
          <w:lang w:val="en-GB"/>
        </w:rPr>
      </w:pPr>
      <w:r w:rsidRPr="00380B40">
        <w:rPr>
          <w:b/>
          <w:bCs/>
          <w:lang w:val="en-GB"/>
        </w:rPr>
        <w:t>2.1.5</w:t>
      </w:r>
      <w:r w:rsidRPr="00380B40">
        <w:rPr>
          <w:lang w:val="en-GB"/>
        </w:rPr>
        <w:tab/>
        <w:t>A</w:t>
      </w:r>
      <w:r w:rsidRPr="00380B40">
        <w:rPr>
          <w:spacing w:val="-13"/>
          <w:lang w:val="en-GB"/>
        </w:rPr>
        <w:t xml:space="preserve"> </w:t>
      </w:r>
      <w:r w:rsidRPr="00380B40">
        <w:rPr>
          <w:lang w:val="en-GB"/>
        </w:rPr>
        <w:t>study</w:t>
      </w:r>
      <w:r w:rsidRPr="00380B40">
        <w:rPr>
          <w:spacing w:val="-17"/>
          <w:lang w:val="en-GB"/>
        </w:rPr>
        <w:t xml:space="preserve"> </w:t>
      </w:r>
      <w:r w:rsidRPr="00380B40">
        <w:rPr>
          <w:lang w:val="en-GB"/>
        </w:rPr>
        <w:t>group</w:t>
      </w:r>
      <w:r w:rsidRPr="00380B40">
        <w:rPr>
          <w:spacing w:val="-13"/>
          <w:lang w:val="en-GB"/>
        </w:rPr>
        <w:t xml:space="preserve"> </w:t>
      </w:r>
      <w:r w:rsidRPr="00380B40">
        <w:rPr>
          <w:lang w:val="en-GB"/>
        </w:rPr>
        <w:t>may</w:t>
      </w:r>
      <w:r w:rsidRPr="00380B40">
        <w:rPr>
          <w:spacing w:val="-15"/>
          <w:lang w:val="en-GB"/>
        </w:rPr>
        <w:t xml:space="preserve"> </w:t>
      </w:r>
      <w:r w:rsidRPr="00380B40">
        <w:rPr>
          <w:lang w:val="en-GB"/>
        </w:rPr>
        <w:t>exceptionally,</w:t>
      </w:r>
      <w:r w:rsidRPr="00380B40">
        <w:rPr>
          <w:spacing w:val="-12"/>
          <w:lang w:val="en-GB"/>
        </w:rPr>
        <w:t xml:space="preserve"> </w:t>
      </w:r>
      <w:r w:rsidRPr="00380B40">
        <w:rPr>
          <w:spacing w:val="1"/>
          <w:lang w:val="en-GB"/>
        </w:rPr>
        <w:t>by</w:t>
      </w:r>
      <w:r w:rsidRPr="00380B40">
        <w:rPr>
          <w:spacing w:val="-17"/>
          <w:lang w:val="en-GB"/>
        </w:rPr>
        <w:t xml:space="preserve"> </w:t>
      </w:r>
      <w:r w:rsidRPr="00380B40">
        <w:rPr>
          <w:lang w:val="en-GB"/>
        </w:rPr>
        <w:t>agreement</w:t>
      </w:r>
      <w:r w:rsidRPr="00380B40">
        <w:rPr>
          <w:spacing w:val="-12"/>
          <w:lang w:val="en-GB"/>
        </w:rPr>
        <w:t xml:space="preserve"> </w:t>
      </w:r>
      <w:r w:rsidRPr="00380B40">
        <w:rPr>
          <w:lang w:val="en-GB"/>
        </w:rPr>
        <w:t>with</w:t>
      </w:r>
      <w:r w:rsidRPr="00380B40">
        <w:rPr>
          <w:spacing w:val="-12"/>
          <w:lang w:val="en-GB"/>
        </w:rPr>
        <w:t xml:space="preserve"> </w:t>
      </w:r>
      <w:r w:rsidRPr="00380B40">
        <w:rPr>
          <w:lang w:val="en-GB"/>
        </w:rPr>
        <w:t>other</w:t>
      </w:r>
      <w:r w:rsidRPr="00380B40">
        <w:rPr>
          <w:spacing w:val="-14"/>
          <w:lang w:val="en-GB"/>
        </w:rPr>
        <w:t xml:space="preserve"> </w:t>
      </w:r>
      <w:r w:rsidRPr="00380B40">
        <w:rPr>
          <w:lang w:val="en-GB"/>
        </w:rPr>
        <w:t>relevant</w:t>
      </w:r>
      <w:r w:rsidRPr="00380B40">
        <w:rPr>
          <w:spacing w:val="-12"/>
          <w:lang w:val="en-GB"/>
        </w:rPr>
        <w:t xml:space="preserve"> </w:t>
      </w:r>
      <w:r w:rsidRPr="00380B40">
        <w:rPr>
          <w:lang w:val="en-GB"/>
        </w:rPr>
        <w:t>study</w:t>
      </w:r>
      <w:r w:rsidRPr="00380B40">
        <w:rPr>
          <w:spacing w:val="-15"/>
          <w:lang w:val="en-GB"/>
        </w:rPr>
        <w:t xml:space="preserve"> </w:t>
      </w:r>
      <w:r w:rsidRPr="00380B40">
        <w:rPr>
          <w:lang w:val="en-GB"/>
        </w:rPr>
        <w:t>group(s)</w:t>
      </w:r>
      <w:r w:rsidRPr="00380B40">
        <w:rPr>
          <w:spacing w:val="-14"/>
          <w:lang w:val="en-GB"/>
        </w:rPr>
        <w:t xml:space="preserve"> </w:t>
      </w:r>
      <w:r w:rsidRPr="00380B40">
        <w:rPr>
          <w:lang w:val="en-GB"/>
        </w:rPr>
        <w:t>and</w:t>
      </w:r>
      <w:r w:rsidRPr="00380B40">
        <w:rPr>
          <w:spacing w:val="-12"/>
          <w:lang w:val="en-GB"/>
        </w:rPr>
        <w:t xml:space="preserve"> </w:t>
      </w:r>
      <w:r w:rsidRPr="00380B40">
        <w:rPr>
          <w:lang w:val="en-GB"/>
        </w:rPr>
        <w:t>taking</w:t>
      </w:r>
      <w:r w:rsidRPr="00380B40">
        <w:rPr>
          <w:spacing w:val="70"/>
          <w:lang w:val="en-GB"/>
        </w:rPr>
        <w:t xml:space="preserve"> </w:t>
      </w:r>
      <w:r w:rsidRPr="00380B40">
        <w:rPr>
          <w:lang w:val="en-GB"/>
        </w:rPr>
        <w:t>account</w:t>
      </w:r>
      <w:r w:rsidRPr="00380B40">
        <w:rPr>
          <w:spacing w:val="38"/>
          <w:lang w:val="en-GB"/>
        </w:rPr>
        <w:t xml:space="preserve"> </w:t>
      </w:r>
      <w:r w:rsidRPr="00380B40">
        <w:rPr>
          <w:lang w:val="en-GB"/>
        </w:rPr>
        <w:t>of</w:t>
      </w:r>
      <w:r w:rsidRPr="00380B40">
        <w:rPr>
          <w:spacing w:val="37"/>
          <w:lang w:val="en-GB"/>
        </w:rPr>
        <w:t xml:space="preserve"> </w:t>
      </w:r>
      <w:r w:rsidRPr="00380B40">
        <w:rPr>
          <w:spacing w:val="1"/>
          <w:lang w:val="en-GB"/>
        </w:rPr>
        <w:t>any</w:t>
      </w:r>
      <w:r w:rsidRPr="00380B40">
        <w:rPr>
          <w:spacing w:val="35"/>
          <w:lang w:val="en-GB"/>
        </w:rPr>
        <w:t xml:space="preserve"> </w:t>
      </w:r>
      <w:r w:rsidRPr="00380B40">
        <w:rPr>
          <w:lang w:val="en-GB"/>
        </w:rPr>
        <w:t>advice</w:t>
      </w:r>
      <w:r w:rsidRPr="00380B40">
        <w:rPr>
          <w:spacing w:val="36"/>
          <w:lang w:val="en-GB"/>
        </w:rPr>
        <w:t xml:space="preserve"> </w:t>
      </w:r>
      <w:r w:rsidRPr="00380B40">
        <w:rPr>
          <w:lang w:val="en-GB"/>
        </w:rPr>
        <w:t>from</w:t>
      </w:r>
      <w:r w:rsidRPr="00380B40">
        <w:rPr>
          <w:spacing w:val="37"/>
          <w:lang w:val="en-GB"/>
        </w:rPr>
        <w:t xml:space="preserve"> </w:t>
      </w:r>
      <w:r w:rsidRPr="00380B40">
        <w:rPr>
          <w:lang w:val="en-GB"/>
        </w:rPr>
        <w:t>TSAG</w:t>
      </w:r>
      <w:r w:rsidRPr="00380B40">
        <w:rPr>
          <w:spacing w:val="37"/>
          <w:lang w:val="en-GB"/>
        </w:rPr>
        <w:t xml:space="preserve"> </w:t>
      </w:r>
      <w:r w:rsidRPr="00380B40">
        <w:rPr>
          <w:lang w:val="en-GB"/>
        </w:rPr>
        <w:t>and</w:t>
      </w:r>
      <w:r w:rsidRPr="00380B40">
        <w:rPr>
          <w:spacing w:val="38"/>
          <w:lang w:val="en-GB"/>
        </w:rPr>
        <w:t xml:space="preserve"> </w:t>
      </w:r>
      <w:r w:rsidRPr="00380B40">
        <w:rPr>
          <w:lang w:val="en-GB"/>
        </w:rPr>
        <w:t>the</w:t>
      </w:r>
      <w:r w:rsidRPr="00380B40">
        <w:rPr>
          <w:spacing w:val="37"/>
          <w:lang w:val="en-GB"/>
        </w:rPr>
        <w:t xml:space="preserve"> </w:t>
      </w:r>
      <w:r w:rsidRPr="00380B40">
        <w:rPr>
          <w:lang w:val="en-GB"/>
        </w:rPr>
        <w:t>Director</w:t>
      </w:r>
      <w:r w:rsidRPr="00380B40">
        <w:rPr>
          <w:spacing w:val="37"/>
          <w:lang w:val="en-GB"/>
        </w:rPr>
        <w:t xml:space="preserve"> </w:t>
      </w:r>
      <w:r w:rsidRPr="00380B40">
        <w:rPr>
          <w:lang w:val="en-GB"/>
        </w:rPr>
        <w:t>of</w:t>
      </w:r>
      <w:r w:rsidRPr="00380B40">
        <w:rPr>
          <w:spacing w:val="37"/>
          <w:lang w:val="en-GB"/>
        </w:rPr>
        <w:t xml:space="preserve"> </w:t>
      </w:r>
      <w:r w:rsidRPr="00380B40">
        <w:rPr>
          <w:lang w:val="en-GB"/>
        </w:rPr>
        <w:t>TSB,</w:t>
      </w:r>
      <w:r w:rsidRPr="00380B40">
        <w:rPr>
          <w:spacing w:val="38"/>
          <w:lang w:val="en-GB"/>
        </w:rPr>
        <w:t xml:space="preserve"> </w:t>
      </w:r>
      <w:r w:rsidRPr="00380B40">
        <w:rPr>
          <w:lang w:val="en-GB"/>
        </w:rPr>
        <w:t>entrust</w:t>
      </w:r>
      <w:r w:rsidRPr="00380B40">
        <w:rPr>
          <w:spacing w:val="38"/>
          <w:lang w:val="en-GB"/>
        </w:rPr>
        <w:t xml:space="preserve"> </w:t>
      </w:r>
      <w:r w:rsidRPr="00380B40">
        <w:rPr>
          <w:lang w:val="en-GB"/>
        </w:rPr>
        <w:t>a</w:t>
      </w:r>
      <w:r w:rsidRPr="00380B40">
        <w:rPr>
          <w:spacing w:val="37"/>
          <w:lang w:val="en-GB"/>
        </w:rPr>
        <w:t xml:space="preserve"> </w:t>
      </w:r>
      <w:r w:rsidRPr="00380B40">
        <w:rPr>
          <w:lang w:val="en-GB"/>
        </w:rPr>
        <w:t>joint</w:t>
      </w:r>
      <w:r w:rsidRPr="00380B40">
        <w:rPr>
          <w:spacing w:val="38"/>
          <w:lang w:val="en-GB"/>
        </w:rPr>
        <w:t xml:space="preserve"> </w:t>
      </w:r>
      <w:r w:rsidRPr="00380B40">
        <w:rPr>
          <w:lang w:val="en-GB"/>
        </w:rPr>
        <w:t>working</w:t>
      </w:r>
      <w:r w:rsidRPr="00380B40">
        <w:rPr>
          <w:spacing w:val="36"/>
          <w:lang w:val="en-GB"/>
        </w:rPr>
        <w:t xml:space="preserve"> </w:t>
      </w:r>
      <w:r w:rsidRPr="00380B40">
        <w:rPr>
          <w:spacing w:val="2"/>
          <w:lang w:val="en-GB"/>
        </w:rPr>
        <w:t>party</w:t>
      </w:r>
      <w:r w:rsidRPr="00380B40">
        <w:rPr>
          <w:spacing w:val="33"/>
          <w:lang w:val="en-GB"/>
        </w:rPr>
        <w:t xml:space="preserve"> </w:t>
      </w:r>
      <w:r w:rsidRPr="00380B40">
        <w:rPr>
          <w:lang w:val="en-GB"/>
        </w:rPr>
        <w:t>with</w:t>
      </w:r>
      <w:r w:rsidRPr="00380B40">
        <w:rPr>
          <w:spacing w:val="51"/>
          <w:lang w:val="en-GB"/>
        </w:rPr>
        <w:t xml:space="preserve"> </w:t>
      </w:r>
      <w:r w:rsidRPr="00380B40">
        <w:rPr>
          <w:lang w:val="en-GB"/>
        </w:rPr>
        <w:t>Questions or parts of Questions of common interest to the study</w:t>
      </w:r>
      <w:r w:rsidRPr="00380B40">
        <w:rPr>
          <w:spacing w:val="-6"/>
          <w:lang w:val="en-GB"/>
        </w:rPr>
        <w:t xml:space="preserve"> </w:t>
      </w:r>
      <w:r w:rsidRPr="00380B40">
        <w:rPr>
          <w:lang w:val="en-GB"/>
        </w:rPr>
        <w:t>groups concerned.</w:t>
      </w:r>
      <w:r w:rsidRPr="00380B40">
        <w:rPr>
          <w:spacing w:val="2"/>
          <w:lang w:val="en-GB"/>
        </w:rPr>
        <w:t xml:space="preserve"> </w:t>
      </w:r>
      <w:r w:rsidRPr="00380B40">
        <w:rPr>
          <w:lang w:val="en-GB"/>
        </w:rPr>
        <w:t>This study</w:t>
      </w:r>
      <w:r w:rsidRPr="00380B40">
        <w:rPr>
          <w:spacing w:val="-3"/>
          <w:lang w:val="en-GB"/>
        </w:rPr>
        <w:t xml:space="preserve"> </w:t>
      </w:r>
      <w:r w:rsidRPr="00380B40">
        <w:rPr>
          <w:lang w:val="en-GB"/>
        </w:rPr>
        <w:t>group</w:t>
      </w:r>
      <w:r w:rsidRPr="00380B40">
        <w:rPr>
          <w:spacing w:val="81"/>
          <w:lang w:val="en-GB"/>
        </w:rPr>
        <w:t xml:space="preserve"> </w:t>
      </w:r>
      <w:r w:rsidRPr="00380B40">
        <w:rPr>
          <w:lang w:val="en-GB"/>
        </w:rPr>
        <w:t>shall</w:t>
      </w:r>
      <w:r w:rsidRPr="00380B40">
        <w:rPr>
          <w:spacing w:val="5"/>
          <w:lang w:val="en-GB"/>
        </w:rPr>
        <w:t xml:space="preserve"> </w:t>
      </w:r>
      <w:r w:rsidRPr="00380B40">
        <w:rPr>
          <w:lang w:val="en-GB"/>
        </w:rPr>
        <w:t>act</w:t>
      </w:r>
      <w:r w:rsidRPr="00380B40">
        <w:rPr>
          <w:spacing w:val="7"/>
          <w:lang w:val="en-GB"/>
        </w:rPr>
        <w:t xml:space="preserve"> </w:t>
      </w:r>
      <w:r w:rsidRPr="00380B40">
        <w:rPr>
          <w:lang w:val="en-GB"/>
        </w:rPr>
        <w:t>as</w:t>
      </w:r>
      <w:r w:rsidRPr="00380B40">
        <w:rPr>
          <w:spacing w:val="4"/>
          <w:lang w:val="en-GB"/>
        </w:rPr>
        <w:t xml:space="preserve"> </w:t>
      </w:r>
      <w:r w:rsidRPr="00380B40">
        <w:rPr>
          <w:lang w:val="en-GB"/>
        </w:rPr>
        <w:t>the</w:t>
      </w:r>
      <w:r w:rsidRPr="00380B40">
        <w:rPr>
          <w:spacing w:val="6"/>
          <w:lang w:val="en-GB"/>
        </w:rPr>
        <w:t xml:space="preserve"> </w:t>
      </w:r>
      <w:r w:rsidRPr="00380B40">
        <w:rPr>
          <w:lang w:val="en-GB"/>
        </w:rPr>
        <w:t>parent</w:t>
      </w:r>
      <w:r w:rsidRPr="00380B40">
        <w:rPr>
          <w:spacing w:val="6"/>
          <w:lang w:val="en-GB"/>
        </w:rPr>
        <w:t xml:space="preserve"> </w:t>
      </w:r>
      <w:r w:rsidRPr="00380B40">
        <w:rPr>
          <w:lang w:val="en-GB"/>
        </w:rPr>
        <w:t>study</w:t>
      </w:r>
      <w:r w:rsidRPr="00380B40">
        <w:rPr>
          <w:spacing w:val="2"/>
          <w:lang w:val="en-GB"/>
        </w:rPr>
        <w:t xml:space="preserve"> </w:t>
      </w:r>
      <w:r w:rsidRPr="00380B40">
        <w:rPr>
          <w:lang w:val="en-GB"/>
        </w:rPr>
        <w:t>group</w:t>
      </w:r>
      <w:r w:rsidRPr="00380B40">
        <w:rPr>
          <w:spacing w:val="6"/>
          <w:lang w:val="en-GB"/>
        </w:rPr>
        <w:t xml:space="preserve"> </w:t>
      </w:r>
      <w:r w:rsidRPr="00380B40">
        <w:rPr>
          <w:lang w:val="en-GB"/>
        </w:rPr>
        <w:t>for</w:t>
      </w:r>
      <w:r w:rsidRPr="00380B40">
        <w:rPr>
          <w:spacing w:val="3"/>
          <w:lang w:val="en-GB"/>
        </w:rPr>
        <w:t xml:space="preserve"> </w:t>
      </w:r>
      <w:r w:rsidRPr="00380B40">
        <w:rPr>
          <w:lang w:val="en-GB"/>
        </w:rPr>
        <w:t>the</w:t>
      </w:r>
      <w:r w:rsidRPr="00380B40">
        <w:rPr>
          <w:spacing w:val="3"/>
          <w:lang w:val="en-GB"/>
        </w:rPr>
        <w:t xml:space="preserve"> </w:t>
      </w:r>
      <w:r w:rsidRPr="00380B40">
        <w:rPr>
          <w:lang w:val="en-GB"/>
        </w:rPr>
        <w:t>joint</w:t>
      </w:r>
      <w:r w:rsidRPr="00380B40">
        <w:rPr>
          <w:spacing w:val="5"/>
          <w:lang w:val="en-GB"/>
        </w:rPr>
        <w:t xml:space="preserve"> </w:t>
      </w:r>
      <w:r w:rsidRPr="00380B40">
        <w:rPr>
          <w:lang w:val="en-GB"/>
        </w:rPr>
        <w:t>working</w:t>
      </w:r>
      <w:r w:rsidRPr="00380B40">
        <w:rPr>
          <w:spacing w:val="2"/>
          <w:lang w:val="en-GB"/>
        </w:rPr>
        <w:t xml:space="preserve"> </w:t>
      </w:r>
      <w:r w:rsidRPr="00380B40">
        <w:rPr>
          <w:spacing w:val="1"/>
          <w:lang w:val="en-GB"/>
        </w:rPr>
        <w:t>party</w:t>
      </w:r>
      <w:r w:rsidRPr="00380B40">
        <w:rPr>
          <w:spacing w:val="2"/>
          <w:lang w:val="en-GB"/>
        </w:rPr>
        <w:t xml:space="preserve"> </w:t>
      </w:r>
      <w:r w:rsidRPr="00380B40">
        <w:rPr>
          <w:lang w:val="en-GB"/>
        </w:rPr>
        <w:t>and</w:t>
      </w:r>
      <w:r w:rsidRPr="00380B40">
        <w:rPr>
          <w:spacing w:val="4"/>
          <w:lang w:val="en-GB"/>
        </w:rPr>
        <w:t xml:space="preserve"> </w:t>
      </w:r>
      <w:r w:rsidRPr="00380B40">
        <w:rPr>
          <w:lang w:val="en-GB"/>
        </w:rPr>
        <w:t>shall</w:t>
      </w:r>
      <w:r w:rsidRPr="00380B40">
        <w:rPr>
          <w:spacing w:val="5"/>
          <w:lang w:val="en-GB"/>
        </w:rPr>
        <w:t xml:space="preserve"> </w:t>
      </w:r>
      <w:r w:rsidRPr="00380B40">
        <w:rPr>
          <w:lang w:val="en-GB"/>
        </w:rPr>
        <w:t>coordinate</w:t>
      </w:r>
      <w:r w:rsidRPr="00380B40">
        <w:rPr>
          <w:spacing w:val="6"/>
          <w:lang w:val="en-GB"/>
        </w:rPr>
        <w:t xml:space="preserve"> </w:t>
      </w:r>
      <w:r w:rsidRPr="00380B40">
        <w:rPr>
          <w:lang w:val="en-GB"/>
        </w:rPr>
        <w:t>and</w:t>
      </w:r>
      <w:r w:rsidRPr="00380B40">
        <w:rPr>
          <w:spacing w:val="6"/>
          <w:lang w:val="en-GB"/>
        </w:rPr>
        <w:t xml:space="preserve"> </w:t>
      </w:r>
      <w:r w:rsidRPr="00380B40">
        <w:rPr>
          <w:lang w:val="en-GB"/>
        </w:rPr>
        <w:t>have</w:t>
      </w:r>
      <w:r w:rsidRPr="00380B40">
        <w:rPr>
          <w:spacing w:val="54"/>
          <w:lang w:val="en-GB"/>
        </w:rPr>
        <w:t xml:space="preserve"> </w:t>
      </w:r>
      <w:r w:rsidRPr="00380B40">
        <w:rPr>
          <w:lang w:val="en-GB"/>
        </w:rPr>
        <w:t>responsibility</w:t>
      </w:r>
      <w:r w:rsidRPr="00380B40">
        <w:rPr>
          <w:spacing w:val="11"/>
          <w:lang w:val="en-GB"/>
        </w:rPr>
        <w:t xml:space="preserve"> </w:t>
      </w:r>
      <w:r w:rsidRPr="00380B40">
        <w:rPr>
          <w:lang w:val="en-GB"/>
        </w:rPr>
        <w:t>for</w:t>
      </w:r>
      <w:r w:rsidRPr="00380B40">
        <w:rPr>
          <w:spacing w:val="15"/>
          <w:lang w:val="en-GB"/>
        </w:rPr>
        <w:t xml:space="preserve"> </w:t>
      </w:r>
      <w:r w:rsidRPr="00380B40">
        <w:rPr>
          <w:lang w:val="en-GB"/>
        </w:rPr>
        <w:t>the</w:t>
      </w:r>
      <w:r w:rsidRPr="00380B40">
        <w:rPr>
          <w:spacing w:val="18"/>
          <w:lang w:val="en-GB"/>
        </w:rPr>
        <w:t xml:space="preserve"> </w:t>
      </w:r>
      <w:r w:rsidRPr="00380B40">
        <w:rPr>
          <w:lang w:val="en-GB"/>
        </w:rPr>
        <w:t>work</w:t>
      </w:r>
      <w:r w:rsidRPr="00380B40">
        <w:rPr>
          <w:spacing w:val="15"/>
          <w:lang w:val="en-GB"/>
        </w:rPr>
        <w:t xml:space="preserve"> </w:t>
      </w:r>
      <w:r w:rsidRPr="00380B40">
        <w:rPr>
          <w:lang w:val="en-GB"/>
        </w:rPr>
        <w:t>concerned.</w:t>
      </w:r>
      <w:r w:rsidRPr="00380B40">
        <w:rPr>
          <w:spacing w:val="16"/>
          <w:lang w:val="en-GB"/>
        </w:rPr>
        <w:t xml:space="preserve"> </w:t>
      </w:r>
      <w:r w:rsidRPr="00380B40">
        <w:rPr>
          <w:lang w:val="en-GB"/>
        </w:rPr>
        <w:t>The</w:t>
      </w:r>
      <w:r w:rsidRPr="00380B40">
        <w:rPr>
          <w:spacing w:val="15"/>
          <w:lang w:val="en-GB"/>
        </w:rPr>
        <w:t xml:space="preserve"> </w:t>
      </w:r>
      <w:r w:rsidRPr="00380B40">
        <w:rPr>
          <w:lang w:val="en-GB"/>
        </w:rPr>
        <w:t>contributions</w:t>
      </w:r>
      <w:r w:rsidRPr="00380B40">
        <w:rPr>
          <w:spacing w:val="21"/>
          <w:lang w:val="en-GB"/>
        </w:rPr>
        <w:t xml:space="preserve"> </w:t>
      </w:r>
      <w:r w:rsidRPr="00380B40">
        <w:rPr>
          <w:lang w:val="en-GB"/>
        </w:rPr>
        <w:t>used</w:t>
      </w:r>
      <w:r w:rsidRPr="00380B40">
        <w:rPr>
          <w:spacing w:val="16"/>
          <w:lang w:val="en-GB"/>
        </w:rPr>
        <w:t xml:space="preserve"> </w:t>
      </w:r>
      <w:r w:rsidRPr="00380B40">
        <w:rPr>
          <w:lang w:val="en-GB"/>
        </w:rPr>
        <w:t>as</w:t>
      </w:r>
      <w:r w:rsidRPr="00380B40">
        <w:rPr>
          <w:spacing w:val="16"/>
          <w:lang w:val="en-GB"/>
        </w:rPr>
        <w:t xml:space="preserve"> </w:t>
      </w:r>
      <w:r w:rsidRPr="00380B40">
        <w:rPr>
          <w:lang w:val="en-GB"/>
        </w:rPr>
        <w:t>a</w:t>
      </w:r>
      <w:r w:rsidRPr="00380B40">
        <w:rPr>
          <w:spacing w:val="15"/>
          <w:lang w:val="en-GB"/>
        </w:rPr>
        <w:t xml:space="preserve"> </w:t>
      </w:r>
      <w:r w:rsidRPr="00380B40">
        <w:rPr>
          <w:lang w:val="en-GB"/>
        </w:rPr>
        <w:t>basis</w:t>
      </w:r>
      <w:r w:rsidRPr="00380B40">
        <w:rPr>
          <w:spacing w:val="17"/>
          <w:lang w:val="en-GB"/>
        </w:rPr>
        <w:t xml:space="preserve"> </w:t>
      </w:r>
      <w:r w:rsidRPr="00380B40">
        <w:rPr>
          <w:lang w:val="en-GB"/>
        </w:rPr>
        <w:t>for</w:t>
      </w:r>
      <w:r w:rsidRPr="00380B40">
        <w:rPr>
          <w:spacing w:val="15"/>
          <w:lang w:val="en-GB"/>
        </w:rPr>
        <w:t xml:space="preserve"> </w:t>
      </w:r>
      <w:r w:rsidRPr="00380B40">
        <w:rPr>
          <w:lang w:val="en-GB"/>
        </w:rPr>
        <w:t>discussion</w:t>
      </w:r>
      <w:r w:rsidRPr="00380B40">
        <w:rPr>
          <w:spacing w:val="16"/>
          <w:lang w:val="en-GB"/>
        </w:rPr>
        <w:t xml:space="preserve"> </w:t>
      </w:r>
      <w:r w:rsidRPr="00380B40">
        <w:rPr>
          <w:lang w:val="en-GB"/>
        </w:rPr>
        <w:t>in</w:t>
      </w:r>
      <w:r w:rsidRPr="00380B40">
        <w:rPr>
          <w:spacing w:val="17"/>
          <w:lang w:val="en-GB"/>
        </w:rPr>
        <w:t xml:space="preserve"> </w:t>
      </w:r>
      <w:r w:rsidRPr="00380B40">
        <w:rPr>
          <w:lang w:val="en-GB"/>
        </w:rPr>
        <w:t>the</w:t>
      </w:r>
      <w:r w:rsidRPr="00380B40">
        <w:rPr>
          <w:spacing w:val="16"/>
          <w:lang w:val="en-GB"/>
        </w:rPr>
        <w:t xml:space="preserve"> </w:t>
      </w:r>
      <w:r w:rsidRPr="00380B40">
        <w:rPr>
          <w:lang w:val="en-GB"/>
        </w:rPr>
        <w:t>joint working</w:t>
      </w:r>
      <w:r w:rsidRPr="00380B40">
        <w:rPr>
          <w:spacing w:val="-10"/>
          <w:lang w:val="en-GB"/>
        </w:rPr>
        <w:t xml:space="preserve"> </w:t>
      </w:r>
      <w:r w:rsidRPr="00380B40">
        <w:rPr>
          <w:spacing w:val="1"/>
          <w:lang w:val="en-GB"/>
        </w:rPr>
        <w:t>party</w:t>
      </w:r>
      <w:r w:rsidRPr="00380B40">
        <w:rPr>
          <w:spacing w:val="-15"/>
          <w:lang w:val="en-GB"/>
        </w:rPr>
        <w:t xml:space="preserve"> </w:t>
      </w:r>
      <w:r w:rsidRPr="00380B40">
        <w:rPr>
          <w:lang w:val="en-GB"/>
        </w:rPr>
        <w:t>shall</w:t>
      </w:r>
      <w:r w:rsidRPr="00380B40">
        <w:rPr>
          <w:spacing w:val="-7"/>
          <w:lang w:val="en-GB"/>
        </w:rPr>
        <w:t xml:space="preserve"> </w:t>
      </w:r>
      <w:r w:rsidRPr="00380B40">
        <w:rPr>
          <w:lang w:val="en-GB"/>
        </w:rPr>
        <w:t>be</w:t>
      </w:r>
      <w:r w:rsidRPr="00380B40">
        <w:rPr>
          <w:spacing w:val="-9"/>
          <w:lang w:val="en-GB"/>
        </w:rPr>
        <w:t xml:space="preserve"> </w:t>
      </w:r>
      <w:r w:rsidRPr="00380B40">
        <w:rPr>
          <w:lang w:val="en-GB"/>
        </w:rPr>
        <w:t>sent</w:t>
      </w:r>
      <w:r w:rsidRPr="00380B40">
        <w:rPr>
          <w:spacing w:val="-7"/>
          <w:lang w:val="en-GB"/>
        </w:rPr>
        <w:t xml:space="preserve"> </w:t>
      </w:r>
      <w:r w:rsidRPr="00380B40">
        <w:rPr>
          <w:lang w:val="en-GB"/>
        </w:rPr>
        <w:t>exclusively</w:t>
      </w:r>
      <w:r w:rsidRPr="00380B40">
        <w:rPr>
          <w:spacing w:val="-15"/>
          <w:lang w:val="en-GB"/>
        </w:rPr>
        <w:t xml:space="preserve"> </w:t>
      </w:r>
      <w:r w:rsidRPr="00380B40">
        <w:rPr>
          <w:lang w:val="en-GB"/>
        </w:rPr>
        <w:t>to</w:t>
      </w:r>
      <w:r w:rsidRPr="00380B40">
        <w:rPr>
          <w:spacing w:val="-7"/>
          <w:lang w:val="en-GB"/>
        </w:rPr>
        <w:t xml:space="preserve"> </w:t>
      </w:r>
      <w:r w:rsidRPr="00380B40">
        <w:rPr>
          <w:lang w:val="en-GB"/>
        </w:rPr>
        <w:t>those</w:t>
      </w:r>
      <w:r w:rsidRPr="00380B40">
        <w:rPr>
          <w:spacing w:val="-8"/>
          <w:lang w:val="en-GB"/>
        </w:rPr>
        <w:t xml:space="preserve"> </w:t>
      </w:r>
      <w:r w:rsidRPr="00380B40">
        <w:rPr>
          <w:lang w:val="en-GB"/>
        </w:rPr>
        <w:t>registered</w:t>
      </w:r>
      <w:r w:rsidRPr="00380B40">
        <w:rPr>
          <w:spacing w:val="-8"/>
          <w:lang w:val="en-GB"/>
        </w:rPr>
        <w:t xml:space="preserve"> </w:t>
      </w:r>
      <w:r w:rsidRPr="00380B40">
        <w:rPr>
          <w:lang w:val="en-GB"/>
        </w:rPr>
        <w:t>in</w:t>
      </w:r>
      <w:r w:rsidRPr="00380B40">
        <w:rPr>
          <w:spacing w:val="-7"/>
          <w:lang w:val="en-GB"/>
        </w:rPr>
        <w:t xml:space="preserve"> </w:t>
      </w:r>
      <w:r w:rsidRPr="00380B40">
        <w:rPr>
          <w:lang w:val="en-GB"/>
        </w:rPr>
        <w:t>the</w:t>
      </w:r>
      <w:r w:rsidRPr="00380B40">
        <w:rPr>
          <w:spacing w:val="-8"/>
          <w:lang w:val="en-GB"/>
        </w:rPr>
        <w:t xml:space="preserve"> </w:t>
      </w:r>
      <w:r w:rsidRPr="00380B40">
        <w:rPr>
          <w:lang w:val="en-GB"/>
        </w:rPr>
        <w:t>joint</w:t>
      </w:r>
      <w:r w:rsidRPr="00380B40">
        <w:rPr>
          <w:spacing w:val="-7"/>
          <w:lang w:val="en-GB"/>
        </w:rPr>
        <w:t xml:space="preserve"> </w:t>
      </w:r>
      <w:r w:rsidRPr="00380B40">
        <w:rPr>
          <w:lang w:val="en-GB"/>
        </w:rPr>
        <w:t>working</w:t>
      </w:r>
      <w:r w:rsidRPr="00380B40">
        <w:rPr>
          <w:spacing w:val="-10"/>
          <w:lang w:val="en-GB"/>
        </w:rPr>
        <w:t xml:space="preserve"> </w:t>
      </w:r>
      <w:r w:rsidRPr="00380B40">
        <w:rPr>
          <w:lang w:val="en-GB"/>
        </w:rPr>
        <w:t>party.</w:t>
      </w:r>
      <w:r w:rsidRPr="00380B40">
        <w:rPr>
          <w:spacing w:val="-8"/>
          <w:lang w:val="en-GB"/>
        </w:rPr>
        <w:t xml:space="preserve"> </w:t>
      </w:r>
      <w:r w:rsidRPr="00380B40">
        <w:rPr>
          <w:spacing w:val="1"/>
          <w:lang w:val="en-GB"/>
        </w:rPr>
        <w:t>Only</w:t>
      </w:r>
      <w:r w:rsidRPr="00380B40">
        <w:rPr>
          <w:spacing w:val="-12"/>
          <w:lang w:val="en-GB"/>
        </w:rPr>
        <w:t xml:space="preserve"> </w:t>
      </w:r>
      <w:r w:rsidRPr="00380B40">
        <w:rPr>
          <w:lang w:val="en-GB"/>
        </w:rPr>
        <w:t>the</w:t>
      </w:r>
      <w:r w:rsidRPr="00380B40">
        <w:rPr>
          <w:spacing w:val="-8"/>
          <w:lang w:val="en-GB"/>
        </w:rPr>
        <w:t xml:space="preserve"> </w:t>
      </w:r>
      <w:r w:rsidRPr="00380B40">
        <w:rPr>
          <w:lang w:val="en-GB"/>
        </w:rPr>
        <w:t>reports</w:t>
      </w:r>
      <w:r w:rsidRPr="00380B40">
        <w:rPr>
          <w:spacing w:val="46"/>
          <w:lang w:val="en-GB"/>
        </w:rPr>
        <w:t xml:space="preserve"> </w:t>
      </w:r>
      <w:r w:rsidRPr="00380B40">
        <w:rPr>
          <w:lang w:val="en-GB"/>
        </w:rPr>
        <w:t>shall be sent to all participating</w:t>
      </w:r>
      <w:r w:rsidRPr="00380B40">
        <w:rPr>
          <w:spacing w:val="-3"/>
          <w:lang w:val="en-GB"/>
        </w:rPr>
        <w:t xml:space="preserve"> </w:t>
      </w:r>
      <w:r w:rsidRPr="00380B40">
        <w:rPr>
          <w:lang w:val="en-GB"/>
        </w:rPr>
        <w:t>bodies of the study</w:t>
      </w:r>
      <w:r w:rsidRPr="00380B40">
        <w:rPr>
          <w:spacing w:val="-2"/>
          <w:lang w:val="en-GB"/>
        </w:rPr>
        <w:t xml:space="preserve"> </w:t>
      </w:r>
      <w:r w:rsidRPr="00380B40">
        <w:rPr>
          <w:lang w:val="en-GB"/>
        </w:rPr>
        <w:t>groups</w:t>
      </w:r>
      <w:r w:rsidRPr="00380B40">
        <w:rPr>
          <w:spacing w:val="2"/>
          <w:lang w:val="en-GB"/>
        </w:rPr>
        <w:t xml:space="preserve"> </w:t>
      </w:r>
      <w:r w:rsidRPr="00380B40">
        <w:rPr>
          <w:lang w:val="en-GB"/>
        </w:rPr>
        <w:t>concerned.</w:t>
      </w:r>
    </w:p>
    <w:p w14:paraId="4D15EA77" w14:textId="77777777" w:rsidR="00C12517" w:rsidRPr="00380B40" w:rsidRDefault="00C12517" w:rsidP="00C12517">
      <w:pPr>
        <w:pStyle w:val="Note"/>
        <w:rPr>
          <w:lang w:val="en-GB"/>
        </w:rPr>
      </w:pPr>
      <w:r w:rsidRPr="00380B40">
        <w:rPr>
          <w:lang w:val="en-GB"/>
        </w:rPr>
        <w:t>NOTE – Two or more study groups may decide to progress work on topics of common interest through joint meetings of their rapporteur groups.</w:t>
      </w:r>
    </w:p>
    <w:p w14:paraId="5CD0B4AA" w14:textId="77777777" w:rsidR="00C12517" w:rsidRPr="00380B40" w:rsidRDefault="00C12517" w:rsidP="00C12517">
      <w:pPr>
        <w:rPr>
          <w:lang w:val="en-GB"/>
        </w:rPr>
      </w:pPr>
      <w:r w:rsidRPr="00380B40">
        <w:rPr>
          <w:b/>
          <w:bCs/>
          <w:lang w:val="en-GB"/>
        </w:rPr>
        <w:t>2.1.6</w:t>
      </w:r>
      <w:r w:rsidRPr="00380B40">
        <w:rPr>
          <w:lang w:val="en-GB"/>
        </w:rPr>
        <w:tab/>
        <w:t>As</w:t>
      </w:r>
      <w:r w:rsidRPr="00380B40">
        <w:rPr>
          <w:spacing w:val="13"/>
          <w:lang w:val="en-GB"/>
        </w:rPr>
        <w:t xml:space="preserve"> </w:t>
      </w:r>
      <w:r w:rsidRPr="00380B40">
        <w:rPr>
          <w:lang w:val="en-GB"/>
        </w:rPr>
        <w:t>the</w:t>
      </w:r>
      <w:r w:rsidRPr="00380B40">
        <w:rPr>
          <w:spacing w:val="13"/>
          <w:lang w:val="en-GB"/>
        </w:rPr>
        <w:t xml:space="preserve"> </w:t>
      </w:r>
      <w:r w:rsidRPr="00380B40">
        <w:rPr>
          <w:lang w:val="en-GB"/>
        </w:rPr>
        <w:t>promotion</w:t>
      </w:r>
      <w:r w:rsidRPr="00380B40">
        <w:rPr>
          <w:spacing w:val="14"/>
          <w:lang w:val="en-GB"/>
        </w:rPr>
        <w:t xml:space="preserve"> </w:t>
      </w:r>
      <w:r w:rsidRPr="00380B40">
        <w:rPr>
          <w:lang w:val="en-GB"/>
        </w:rPr>
        <w:t>of</w:t>
      </w:r>
      <w:r w:rsidRPr="00380B40">
        <w:rPr>
          <w:spacing w:val="13"/>
          <w:lang w:val="en-GB"/>
        </w:rPr>
        <w:t xml:space="preserve"> </w:t>
      </w:r>
      <w:r w:rsidRPr="00380B40">
        <w:rPr>
          <w:lang w:val="en-GB"/>
        </w:rPr>
        <w:t>study</w:t>
      </w:r>
      <w:r w:rsidRPr="00380B40">
        <w:rPr>
          <w:spacing w:val="11"/>
          <w:lang w:val="en-GB"/>
        </w:rPr>
        <w:t xml:space="preserve"> </w:t>
      </w:r>
      <w:r w:rsidRPr="00380B40">
        <w:rPr>
          <w:lang w:val="en-GB"/>
        </w:rPr>
        <w:t>group</w:t>
      </w:r>
      <w:r w:rsidRPr="00380B40">
        <w:rPr>
          <w:spacing w:val="14"/>
          <w:lang w:val="en-GB"/>
        </w:rPr>
        <w:t xml:space="preserve"> </w:t>
      </w:r>
      <w:r w:rsidRPr="00380B40">
        <w:rPr>
          <w:lang w:val="en-GB"/>
        </w:rPr>
        <w:t>activities</w:t>
      </w:r>
      <w:r w:rsidRPr="00380B40">
        <w:rPr>
          <w:spacing w:val="13"/>
          <w:lang w:val="en-GB"/>
        </w:rPr>
        <w:t xml:space="preserve"> </w:t>
      </w:r>
      <w:r w:rsidRPr="00380B40">
        <w:rPr>
          <w:lang w:val="en-GB"/>
        </w:rPr>
        <w:t>is</w:t>
      </w:r>
      <w:r w:rsidRPr="00380B40">
        <w:rPr>
          <w:spacing w:val="14"/>
          <w:lang w:val="en-GB"/>
        </w:rPr>
        <w:t xml:space="preserve"> </w:t>
      </w:r>
      <w:r w:rsidRPr="00380B40">
        <w:rPr>
          <w:lang w:val="en-GB"/>
        </w:rPr>
        <w:t>an</w:t>
      </w:r>
      <w:r w:rsidRPr="00380B40">
        <w:rPr>
          <w:spacing w:val="14"/>
          <w:lang w:val="en-GB"/>
        </w:rPr>
        <w:t xml:space="preserve"> </w:t>
      </w:r>
      <w:r w:rsidRPr="00380B40">
        <w:rPr>
          <w:lang w:val="en-GB"/>
        </w:rPr>
        <w:t>essential</w:t>
      </w:r>
      <w:r w:rsidRPr="00380B40">
        <w:rPr>
          <w:spacing w:val="14"/>
          <w:lang w:val="en-GB"/>
        </w:rPr>
        <w:t xml:space="preserve"> </w:t>
      </w:r>
      <w:r w:rsidRPr="00380B40">
        <w:rPr>
          <w:lang w:val="en-GB"/>
        </w:rPr>
        <w:t>element</w:t>
      </w:r>
      <w:r w:rsidRPr="00380B40">
        <w:rPr>
          <w:spacing w:val="14"/>
          <w:lang w:val="en-GB"/>
        </w:rPr>
        <w:t xml:space="preserve"> </w:t>
      </w:r>
      <w:r w:rsidRPr="00380B40">
        <w:rPr>
          <w:lang w:val="en-GB"/>
        </w:rPr>
        <w:t>in</w:t>
      </w:r>
      <w:r w:rsidRPr="00380B40">
        <w:rPr>
          <w:spacing w:val="14"/>
          <w:lang w:val="en-GB"/>
        </w:rPr>
        <w:t xml:space="preserve"> </w:t>
      </w:r>
      <w:r w:rsidRPr="00380B40">
        <w:rPr>
          <w:lang w:val="en-GB"/>
        </w:rPr>
        <w:t>any</w:t>
      </w:r>
      <w:r w:rsidRPr="00380B40">
        <w:rPr>
          <w:spacing w:val="11"/>
          <w:lang w:val="en-GB"/>
        </w:rPr>
        <w:t xml:space="preserve"> </w:t>
      </w:r>
      <w:r w:rsidRPr="00380B40">
        <w:rPr>
          <w:lang w:val="en-GB"/>
        </w:rPr>
        <w:t>ITU</w:t>
      </w:r>
      <w:r w:rsidRPr="00380B40">
        <w:rPr>
          <w:lang w:val="en-GB"/>
        </w:rPr>
        <w:noBreakHyphen/>
        <w:t>T</w:t>
      </w:r>
      <w:r w:rsidRPr="00380B40">
        <w:rPr>
          <w:spacing w:val="13"/>
          <w:lang w:val="en-GB"/>
        </w:rPr>
        <w:t xml:space="preserve"> </w:t>
      </w:r>
      <w:r w:rsidRPr="00380B40">
        <w:rPr>
          <w:lang w:val="en-GB"/>
        </w:rPr>
        <w:t>marketing</w:t>
      </w:r>
      <w:r w:rsidRPr="00380B40">
        <w:rPr>
          <w:spacing w:val="57"/>
          <w:lang w:val="en-GB"/>
        </w:rPr>
        <w:t xml:space="preserve"> </w:t>
      </w:r>
      <w:r w:rsidRPr="00380B40">
        <w:rPr>
          <w:lang w:val="en-GB"/>
        </w:rPr>
        <w:t>plan,</w:t>
      </w:r>
      <w:r w:rsidRPr="00380B40">
        <w:rPr>
          <w:spacing w:val="1"/>
          <w:lang w:val="en-GB"/>
        </w:rPr>
        <w:t xml:space="preserve"> </w:t>
      </w:r>
      <w:r w:rsidRPr="00380B40">
        <w:rPr>
          <w:lang w:val="en-GB"/>
        </w:rPr>
        <w:t>each</w:t>
      </w:r>
      <w:r w:rsidRPr="00380B40">
        <w:rPr>
          <w:spacing w:val="2"/>
          <w:lang w:val="en-GB"/>
        </w:rPr>
        <w:t xml:space="preserve"> </w:t>
      </w:r>
      <w:r w:rsidRPr="00380B40">
        <w:rPr>
          <w:lang w:val="en-GB"/>
        </w:rPr>
        <w:t>study group</w:t>
      </w:r>
      <w:r w:rsidRPr="00380B40">
        <w:rPr>
          <w:spacing w:val="1"/>
          <w:lang w:val="en-GB"/>
        </w:rPr>
        <w:t xml:space="preserve"> </w:t>
      </w:r>
      <w:r w:rsidRPr="00380B40">
        <w:rPr>
          <w:lang w:val="en-GB"/>
        </w:rPr>
        <w:t>chairman,</w:t>
      </w:r>
      <w:r w:rsidRPr="00380B40">
        <w:rPr>
          <w:spacing w:val="2"/>
          <w:lang w:val="en-GB"/>
        </w:rPr>
        <w:t xml:space="preserve"> </w:t>
      </w:r>
      <w:r w:rsidRPr="00380B40">
        <w:rPr>
          <w:lang w:val="en-GB"/>
        </w:rPr>
        <w:t>supported</w:t>
      </w:r>
      <w:r w:rsidRPr="00380B40">
        <w:rPr>
          <w:spacing w:val="2"/>
          <w:lang w:val="en-GB"/>
        </w:rPr>
        <w:t xml:space="preserve"> </w:t>
      </w:r>
      <w:r w:rsidRPr="00380B40">
        <w:rPr>
          <w:spacing w:val="1"/>
          <w:lang w:val="en-GB"/>
        </w:rPr>
        <w:t>by</w:t>
      </w:r>
      <w:r w:rsidRPr="00380B40">
        <w:rPr>
          <w:spacing w:val="-3"/>
          <w:lang w:val="en-GB"/>
        </w:rPr>
        <w:t xml:space="preserve"> </w:t>
      </w:r>
      <w:r w:rsidRPr="00380B40">
        <w:rPr>
          <w:lang w:val="en-GB"/>
        </w:rPr>
        <w:t>other</w:t>
      </w:r>
      <w:r w:rsidRPr="00380B40">
        <w:rPr>
          <w:spacing w:val="1"/>
          <w:lang w:val="en-GB"/>
        </w:rPr>
        <w:t xml:space="preserve"> </w:t>
      </w:r>
      <w:r w:rsidRPr="00380B40">
        <w:rPr>
          <w:lang w:val="en-GB"/>
        </w:rPr>
        <w:t>study group</w:t>
      </w:r>
      <w:r w:rsidRPr="00380B40">
        <w:rPr>
          <w:spacing w:val="1"/>
          <w:lang w:val="en-GB"/>
        </w:rPr>
        <w:t xml:space="preserve"> </w:t>
      </w:r>
      <w:r w:rsidRPr="00380B40">
        <w:rPr>
          <w:lang w:val="en-GB"/>
        </w:rPr>
        <w:t>leaders</w:t>
      </w:r>
      <w:r w:rsidRPr="00380B40">
        <w:rPr>
          <w:spacing w:val="1"/>
          <w:lang w:val="en-GB"/>
        </w:rPr>
        <w:t xml:space="preserve"> </w:t>
      </w:r>
      <w:r w:rsidRPr="00380B40">
        <w:rPr>
          <w:lang w:val="en-GB"/>
        </w:rPr>
        <w:t>and</w:t>
      </w:r>
      <w:r w:rsidRPr="00380B40">
        <w:rPr>
          <w:spacing w:val="2"/>
          <w:lang w:val="en-GB"/>
        </w:rPr>
        <w:t xml:space="preserve"> </w:t>
      </w:r>
      <w:r w:rsidRPr="00380B40">
        <w:rPr>
          <w:lang w:val="en-GB"/>
        </w:rPr>
        <w:t>subject</w:t>
      </w:r>
      <w:r w:rsidRPr="00380B40">
        <w:rPr>
          <w:spacing w:val="2"/>
          <w:lang w:val="en-GB"/>
        </w:rPr>
        <w:t xml:space="preserve"> </w:t>
      </w:r>
      <w:r w:rsidRPr="00380B40">
        <w:rPr>
          <w:lang w:val="en-GB"/>
        </w:rPr>
        <w:t>matter experts,</w:t>
      </w:r>
      <w:r w:rsidRPr="00380B40">
        <w:rPr>
          <w:spacing w:val="87"/>
          <w:lang w:val="en-GB"/>
        </w:rPr>
        <w:t xml:space="preserve"> </w:t>
      </w:r>
      <w:r w:rsidRPr="00380B40">
        <w:rPr>
          <w:lang w:val="en-GB"/>
        </w:rPr>
        <w:t>is</w:t>
      </w:r>
      <w:r w:rsidRPr="00380B40">
        <w:rPr>
          <w:spacing w:val="-14"/>
          <w:lang w:val="en-GB"/>
        </w:rPr>
        <w:t xml:space="preserve"> </w:t>
      </w:r>
      <w:r w:rsidRPr="00380B40">
        <w:rPr>
          <w:lang w:val="en-GB"/>
        </w:rPr>
        <w:t>encouraged</w:t>
      </w:r>
      <w:r w:rsidRPr="00380B40">
        <w:rPr>
          <w:spacing w:val="-15"/>
          <w:lang w:val="en-GB"/>
        </w:rPr>
        <w:t xml:space="preserve"> </w:t>
      </w:r>
      <w:r w:rsidRPr="00380B40">
        <w:rPr>
          <w:lang w:val="en-GB"/>
        </w:rPr>
        <w:t>to</w:t>
      </w:r>
      <w:r w:rsidRPr="00380B40">
        <w:rPr>
          <w:spacing w:val="-12"/>
          <w:lang w:val="en-GB"/>
        </w:rPr>
        <w:t xml:space="preserve"> </w:t>
      </w:r>
      <w:r w:rsidRPr="00380B40">
        <w:rPr>
          <w:lang w:val="en-GB"/>
        </w:rPr>
        <w:t>establish,</w:t>
      </w:r>
      <w:r w:rsidRPr="00380B40">
        <w:rPr>
          <w:spacing w:val="-15"/>
          <w:lang w:val="en-GB"/>
        </w:rPr>
        <w:t xml:space="preserve"> </w:t>
      </w:r>
      <w:r w:rsidRPr="00380B40">
        <w:rPr>
          <w:lang w:val="en-GB"/>
        </w:rPr>
        <w:t>maintain</w:t>
      </w:r>
      <w:r w:rsidRPr="00380B40">
        <w:rPr>
          <w:spacing w:val="-15"/>
          <w:lang w:val="en-GB"/>
        </w:rPr>
        <w:t xml:space="preserve"> </w:t>
      </w:r>
      <w:r w:rsidRPr="00380B40">
        <w:rPr>
          <w:lang w:val="en-GB"/>
        </w:rPr>
        <w:t>and</w:t>
      </w:r>
      <w:r w:rsidRPr="00380B40">
        <w:rPr>
          <w:spacing w:val="-15"/>
          <w:lang w:val="en-GB"/>
        </w:rPr>
        <w:t xml:space="preserve"> </w:t>
      </w:r>
      <w:r w:rsidRPr="00380B40">
        <w:rPr>
          <w:lang w:val="en-GB"/>
        </w:rPr>
        <w:t>participate</w:t>
      </w:r>
      <w:r w:rsidRPr="00380B40">
        <w:rPr>
          <w:spacing w:val="-13"/>
          <w:lang w:val="en-GB"/>
        </w:rPr>
        <w:t xml:space="preserve"> </w:t>
      </w:r>
      <w:r w:rsidRPr="00380B40">
        <w:rPr>
          <w:lang w:val="en-GB"/>
        </w:rPr>
        <w:t>in</w:t>
      </w:r>
      <w:r w:rsidRPr="00380B40">
        <w:rPr>
          <w:spacing w:val="-14"/>
          <w:lang w:val="en-GB"/>
        </w:rPr>
        <w:t xml:space="preserve"> </w:t>
      </w:r>
      <w:r w:rsidRPr="00380B40">
        <w:rPr>
          <w:lang w:val="en-GB"/>
        </w:rPr>
        <w:t>a</w:t>
      </w:r>
      <w:r w:rsidRPr="00380B40">
        <w:rPr>
          <w:spacing w:val="-16"/>
          <w:lang w:val="en-GB"/>
        </w:rPr>
        <w:t xml:space="preserve"> </w:t>
      </w:r>
      <w:r w:rsidRPr="00380B40">
        <w:rPr>
          <w:lang w:val="en-GB"/>
        </w:rPr>
        <w:t>promotion</w:t>
      </w:r>
      <w:r w:rsidRPr="00380B40">
        <w:rPr>
          <w:spacing w:val="-15"/>
          <w:lang w:val="en-GB"/>
        </w:rPr>
        <w:t xml:space="preserve"> </w:t>
      </w:r>
      <w:r w:rsidRPr="00380B40">
        <w:rPr>
          <w:lang w:val="en-GB"/>
        </w:rPr>
        <w:t>plan,</w:t>
      </w:r>
      <w:r w:rsidRPr="00380B40">
        <w:rPr>
          <w:spacing w:val="-13"/>
          <w:lang w:val="en-GB"/>
        </w:rPr>
        <w:t xml:space="preserve"> </w:t>
      </w:r>
      <w:r w:rsidRPr="00380B40">
        <w:rPr>
          <w:lang w:val="en-GB"/>
        </w:rPr>
        <w:t>coordinated</w:t>
      </w:r>
      <w:r w:rsidRPr="00380B40">
        <w:rPr>
          <w:spacing w:val="-15"/>
          <w:lang w:val="en-GB"/>
        </w:rPr>
        <w:t xml:space="preserve"> </w:t>
      </w:r>
      <w:r w:rsidRPr="00380B40">
        <w:rPr>
          <w:lang w:val="en-GB"/>
        </w:rPr>
        <w:t>with</w:t>
      </w:r>
      <w:r w:rsidRPr="00380B40">
        <w:rPr>
          <w:spacing w:val="-14"/>
          <w:lang w:val="en-GB"/>
        </w:rPr>
        <w:t xml:space="preserve"> </w:t>
      </w:r>
      <w:r w:rsidRPr="00380B40">
        <w:rPr>
          <w:lang w:val="en-GB"/>
        </w:rPr>
        <w:t>TSB,</w:t>
      </w:r>
      <w:r w:rsidRPr="00380B40">
        <w:rPr>
          <w:spacing w:val="-12"/>
          <w:lang w:val="en-GB"/>
        </w:rPr>
        <w:t xml:space="preserve"> </w:t>
      </w:r>
      <w:r w:rsidRPr="00380B40">
        <w:rPr>
          <w:lang w:val="en-GB"/>
        </w:rPr>
        <w:t>whose</w:t>
      </w:r>
      <w:r w:rsidRPr="00380B40">
        <w:rPr>
          <w:spacing w:val="59"/>
          <w:lang w:val="en-GB"/>
        </w:rPr>
        <w:t xml:space="preserve"> </w:t>
      </w:r>
      <w:r w:rsidRPr="00380B40">
        <w:rPr>
          <w:lang w:val="en-GB"/>
        </w:rPr>
        <w:t>emphasis</w:t>
      </w:r>
      <w:r w:rsidRPr="00380B40">
        <w:rPr>
          <w:spacing w:val="-10"/>
          <w:lang w:val="en-GB"/>
        </w:rPr>
        <w:t xml:space="preserve"> </w:t>
      </w:r>
      <w:r w:rsidRPr="00380B40">
        <w:rPr>
          <w:lang w:val="en-GB"/>
        </w:rPr>
        <w:t>is</w:t>
      </w:r>
      <w:r w:rsidRPr="00380B40">
        <w:rPr>
          <w:spacing w:val="-9"/>
          <w:lang w:val="en-GB"/>
        </w:rPr>
        <w:t xml:space="preserve"> </w:t>
      </w:r>
      <w:r w:rsidRPr="00380B40">
        <w:rPr>
          <w:lang w:val="en-GB"/>
        </w:rPr>
        <w:t>the</w:t>
      </w:r>
      <w:r w:rsidRPr="00380B40">
        <w:rPr>
          <w:spacing w:val="-11"/>
          <w:lang w:val="en-GB"/>
        </w:rPr>
        <w:t xml:space="preserve"> </w:t>
      </w:r>
      <w:r w:rsidRPr="00380B40">
        <w:rPr>
          <w:lang w:val="en-GB"/>
        </w:rPr>
        <w:t>dissemination</w:t>
      </w:r>
      <w:r w:rsidRPr="00380B40">
        <w:rPr>
          <w:spacing w:val="-10"/>
          <w:lang w:val="en-GB"/>
        </w:rPr>
        <w:t xml:space="preserve"> </w:t>
      </w:r>
      <w:r w:rsidRPr="00380B40">
        <w:rPr>
          <w:lang w:val="en-GB"/>
        </w:rPr>
        <w:t>of</w:t>
      </w:r>
      <w:r w:rsidRPr="00380B40">
        <w:rPr>
          <w:spacing w:val="-11"/>
          <w:lang w:val="en-GB"/>
        </w:rPr>
        <w:t xml:space="preserve"> </w:t>
      </w:r>
      <w:r w:rsidRPr="00380B40">
        <w:rPr>
          <w:lang w:val="en-GB"/>
        </w:rPr>
        <w:t>study</w:t>
      </w:r>
      <w:r w:rsidRPr="00380B40">
        <w:rPr>
          <w:spacing w:val="-17"/>
          <w:lang w:val="en-GB"/>
        </w:rPr>
        <w:t xml:space="preserve"> </w:t>
      </w:r>
      <w:r w:rsidRPr="00380B40">
        <w:rPr>
          <w:lang w:val="en-GB"/>
        </w:rPr>
        <w:t>group</w:t>
      </w:r>
      <w:r w:rsidRPr="00380B40">
        <w:rPr>
          <w:spacing w:val="-11"/>
          <w:lang w:val="en-GB"/>
        </w:rPr>
        <w:t xml:space="preserve"> </w:t>
      </w:r>
      <w:r w:rsidRPr="00380B40">
        <w:rPr>
          <w:lang w:val="en-GB"/>
        </w:rPr>
        <w:t>information</w:t>
      </w:r>
      <w:r w:rsidRPr="00380B40">
        <w:rPr>
          <w:spacing w:val="-10"/>
          <w:lang w:val="en-GB"/>
        </w:rPr>
        <w:t xml:space="preserve"> </w:t>
      </w:r>
      <w:r w:rsidRPr="00380B40">
        <w:rPr>
          <w:lang w:val="en-GB"/>
        </w:rPr>
        <w:t>to</w:t>
      </w:r>
      <w:r w:rsidRPr="00380B40">
        <w:rPr>
          <w:spacing w:val="-10"/>
          <w:lang w:val="en-GB"/>
        </w:rPr>
        <w:t xml:space="preserve"> </w:t>
      </w:r>
      <w:r w:rsidRPr="00380B40">
        <w:rPr>
          <w:lang w:val="en-GB"/>
        </w:rPr>
        <w:t>the</w:t>
      </w:r>
      <w:r w:rsidRPr="00380B40">
        <w:rPr>
          <w:spacing w:val="-13"/>
          <w:lang w:val="en-GB"/>
        </w:rPr>
        <w:t xml:space="preserve"> </w:t>
      </w:r>
      <w:r w:rsidRPr="00380B40">
        <w:rPr>
          <w:lang w:val="en-GB"/>
        </w:rPr>
        <w:t>telecommunication</w:t>
      </w:r>
      <w:r w:rsidRPr="00380B40">
        <w:rPr>
          <w:spacing w:val="-10"/>
          <w:lang w:val="en-GB"/>
        </w:rPr>
        <w:t xml:space="preserve"> </w:t>
      </w:r>
      <w:r w:rsidRPr="00380B40">
        <w:rPr>
          <w:lang w:val="en-GB"/>
        </w:rPr>
        <w:t>community.</w:t>
      </w:r>
      <w:r w:rsidRPr="00380B40">
        <w:rPr>
          <w:spacing w:val="-10"/>
          <w:lang w:val="en-GB"/>
        </w:rPr>
        <w:t xml:space="preserve"> </w:t>
      </w:r>
      <w:r w:rsidRPr="00380B40">
        <w:rPr>
          <w:lang w:val="en-GB"/>
        </w:rPr>
        <w:t>Such</w:t>
      </w:r>
      <w:r w:rsidRPr="00380B40">
        <w:rPr>
          <w:spacing w:val="73"/>
          <w:lang w:val="en-GB"/>
        </w:rPr>
        <w:t xml:space="preserve"> </w:t>
      </w:r>
      <w:r w:rsidRPr="00380B40">
        <w:rPr>
          <w:lang w:val="en-GB"/>
        </w:rPr>
        <w:t>study</w:t>
      </w:r>
      <w:r w:rsidRPr="00380B40">
        <w:rPr>
          <w:spacing w:val="6"/>
          <w:lang w:val="en-GB"/>
        </w:rPr>
        <w:t xml:space="preserve"> </w:t>
      </w:r>
      <w:r w:rsidRPr="00380B40">
        <w:rPr>
          <w:lang w:val="en-GB"/>
        </w:rPr>
        <w:t>group</w:t>
      </w:r>
      <w:r w:rsidRPr="00380B40">
        <w:rPr>
          <w:spacing w:val="8"/>
          <w:lang w:val="en-GB"/>
        </w:rPr>
        <w:t xml:space="preserve"> </w:t>
      </w:r>
      <w:r w:rsidRPr="00380B40">
        <w:rPr>
          <w:lang w:val="en-GB"/>
        </w:rPr>
        <w:t>information</w:t>
      </w:r>
      <w:r w:rsidRPr="00380B40">
        <w:rPr>
          <w:spacing w:val="9"/>
          <w:lang w:val="en-GB"/>
        </w:rPr>
        <w:t xml:space="preserve"> </w:t>
      </w:r>
      <w:r w:rsidRPr="00380B40">
        <w:rPr>
          <w:lang w:val="en-GB"/>
        </w:rPr>
        <w:t>dissemination</w:t>
      </w:r>
      <w:r w:rsidRPr="00380B40">
        <w:rPr>
          <w:spacing w:val="9"/>
          <w:lang w:val="en-GB"/>
        </w:rPr>
        <w:t xml:space="preserve"> </w:t>
      </w:r>
      <w:r w:rsidRPr="00380B40">
        <w:rPr>
          <w:lang w:val="en-GB"/>
        </w:rPr>
        <w:t>should</w:t>
      </w:r>
      <w:r w:rsidRPr="00380B40">
        <w:rPr>
          <w:spacing w:val="9"/>
          <w:lang w:val="en-GB"/>
        </w:rPr>
        <w:t xml:space="preserve"> </w:t>
      </w:r>
      <w:r w:rsidRPr="00380B40">
        <w:rPr>
          <w:lang w:val="en-GB"/>
        </w:rPr>
        <w:t>cover,</w:t>
      </w:r>
      <w:r w:rsidRPr="00380B40">
        <w:rPr>
          <w:spacing w:val="8"/>
          <w:lang w:val="en-GB"/>
        </w:rPr>
        <w:t xml:space="preserve"> </w:t>
      </w:r>
      <w:r w:rsidRPr="00380B40">
        <w:rPr>
          <w:lang w:val="en-GB"/>
        </w:rPr>
        <w:t>but</w:t>
      </w:r>
      <w:r w:rsidRPr="00380B40">
        <w:rPr>
          <w:spacing w:val="9"/>
          <w:lang w:val="en-GB"/>
        </w:rPr>
        <w:t xml:space="preserve"> </w:t>
      </w:r>
      <w:r w:rsidRPr="00380B40">
        <w:rPr>
          <w:lang w:val="en-GB"/>
        </w:rPr>
        <w:t>is</w:t>
      </w:r>
      <w:r w:rsidRPr="00380B40">
        <w:rPr>
          <w:spacing w:val="10"/>
          <w:lang w:val="en-GB"/>
        </w:rPr>
        <w:t xml:space="preserve"> </w:t>
      </w:r>
      <w:r w:rsidRPr="00380B40">
        <w:rPr>
          <w:lang w:val="en-GB"/>
        </w:rPr>
        <w:t>not</w:t>
      </w:r>
      <w:r w:rsidRPr="00380B40">
        <w:rPr>
          <w:spacing w:val="9"/>
          <w:lang w:val="en-GB"/>
        </w:rPr>
        <w:t xml:space="preserve"> </w:t>
      </w:r>
      <w:r w:rsidRPr="00380B40">
        <w:rPr>
          <w:lang w:val="en-GB"/>
        </w:rPr>
        <w:t>limited</w:t>
      </w:r>
      <w:r w:rsidRPr="00380B40">
        <w:rPr>
          <w:spacing w:val="8"/>
          <w:lang w:val="en-GB"/>
        </w:rPr>
        <w:t xml:space="preserve"> </w:t>
      </w:r>
      <w:r w:rsidRPr="00380B40">
        <w:rPr>
          <w:lang w:val="en-GB"/>
        </w:rPr>
        <w:t>to,</w:t>
      </w:r>
      <w:r w:rsidRPr="00380B40">
        <w:rPr>
          <w:spacing w:val="7"/>
          <w:lang w:val="en-GB"/>
        </w:rPr>
        <w:t xml:space="preserve"> </w:t>
      </w:r>
      <w:r w:rsidRPr="00380B40">
        <w:rPr>
          <w:lang w:val="en-GB"/>
        </w:rPr>
        <w:t>new</w:t>
      </w:r>
      <w:r w:rsidRPr="00380B40">
        <w:rPr>
          <w:spacing w:val="8"/>
          <w:lang w:val="en-GB"/>
        </w:rPr>
        <w:t xml:space="preserve"> </w:t>
      </w:r>
      <w:r w:rsidRPr="00380B40">
        <w:rPr>
          <w:lang w:val="en-GB"/>
        </w:rPr>
        <w:t>work</w:t>
      </w:r>
      <w:r w:rsidRPr="00380B40">
        <w:rPr>
          <w:spacing w:val="9"/>
          <w:lang w:val="en-GB"/>
        </w:rPr>
        <w:t xml:space="preserve"> </w:t>
      </w:r>
      <w:r w:rsidRPr="00380B40">
        <w:rPr>
          <w:lang w:val="en-GB"/>
        </w:rPr>
        <w:t>initiatives</w:t>
      </w:r>
      <w:r w:rsidRPr="00380B40">
        <w:rPr>
          <w:spacing w:val="9"/>
          <w:lang w:val="en-GB"/>
        </w:rPr>
        <w:t xml:space="preserve"> </w:t>
      </w:r>
      <w:r w:rsidRPr="00380B40">
        <w:rPr>
          <w:lang w:val="en-GB"/>
        </w:rPr>
        <w:t>and</w:t>
      </w:r>
      <w:r w:rsidRPr="00380B40">
        <w:rPr>
          <w:spacing w:val="67"/>
          <w:lang w:val="en-GB"/>
        </w:rPr>
        <w:t xml:space="preserve"> </w:t>
      </w:r>
      <w:r w:rsidRPr="00380B40">
        <w:rPr>
          <w:lang w:val="en-GB"/>
        </w:rPr>
        <w:t>significant</w:t>
      </w:r>
      <w:r w:rsidRPr="00380B40">
        <w:rPr>
          <w:spacing w:val="2"/>
          <w:lang w:val="en-GB"/>
        </w:rPr>
        <w:t xml:space="preserve"> </w:t>
      </w:r>
      <w:r w:rsidRPr="00380B40">
        <w:rPr>
          <w:lang w:val="en-GB"/>
        </w:rPr>
        <w:t>accomplishments regarding</w:t>
      </w:r>
      <w:r w:rsidRPr="00380B40">
        <w:rPr>
          <w:spacing w:val="-3"/>
          <w:lang w:val="en-GB"/>
        </w:rPr>
        <w:t xml:space="preserve"> </w:t>
      </w:r>
      <w:r w:rsidRPr="00380B40">
        <w:rPr>
          <w:lang w:val="en-GB"/>
        </w:rPr>
        <w:t>technologies</w:t>
      </w:r>
      <w:r w:rsidRPr="00380B40">
        <w:rPr>
          <w:spacing w:val="2"/>
          <w:lang w:val="en-GB"/>
        </w:rPr>
        <w:t xml:space="preserve"> </w:t>
      </w:r>
      <w:r w:rsidRPr="00380B40">
        <w:rPr>
          <w:lang w:val="en-GB"/>
        </w:rPr>
        <w:t>and technical solutions.</w:t>
      </w:r>
    </w:p>
    <w:p w14:paraId="4DAFCB01" w14:textId="77777777" w:rsidR="00C12517" w:rsidRPr="00380B40" w:rsidRDefault="00C12517" w:rsidP="00C12517">
      <w:pPr>
        <w:pStyle w:val="Heading2"/>
        <w:tabs>
          <w:tab w:val="left" w:pos="908"/>
        </w:tabs>
        <w:rPr>
          <w:lang w:val="en-GB"/>
        </w:rPr>
      </w:pPr>
      <w:bookmarkStart w:id="644" w:name="_Toc471716646"/>
      <w:bookmarkStart w:id="645" w:name="_Toc20738319"/>
      <w:bookmarkStart w:id="646" w:name="_Toc21093733"/>
      <w:bookmarkStart w:id="647" w:name="_Toc22280342"/>
      <w:bookmarkStart w:id="648" w:name="_Toc111636840"/>
      <w:bookmarkStart w:id="649" w:name="_Toc143057589"/>
      <w:r w:rsidRPr="00380B40">
        <w:rPr>
          <w:lang w:val="en-GB"/>
        </w:rPr>
        <w:t>2.2</w:t>
      </w:r>
      <w:r w:rsidRPr="00380B40">
        <w:rPr>
          <w:lang w:val="en-GB"/>
        </w:rPr>
        <w:tab/>
      </w:r>
      <w:bookmarkStart w:id="650" w:name="_Toc532428466"/>
      <w:r w:rsidRPr="00380B40">
        <w:rPr>
          <w:lang w:val="en-GB"/>
        </w:rPr>
        <w:t>Joint coordination activities</w:t>
      </w:r>
      <w:bookmarkEnd w:id="644"/>
      <w:bookmarkEnd w:id="645"/>
      <w:bookmarkEnd w:id="646"/>
      <w:bookmarkEnd w:id="647"/>
      <w:bookmarkEnd w:id="648"/>
      <w:bookmarkEnd w:id="650"/>
    </w:p>
    <w:p w14:paraId="6C0BB8C2" w14:textId="77777777" w:rsidR="00C12517" w:rsidRPr="00380B40" w:rsidRDefault="00C12517" w:rsidP="00C12517">
      <w:pPr>
        <w:rPr>
          <w:lang w:val="en-GB"/>
        </w:rPr>
      </w:pPr>
      <w:r w:rsidRPr="00380B40">
        <w:rPr>
          <w:lang w:val="en-GB"/>
        </w:rPr>
        <w:t>See clause 5.</w:t>
      </w:r>
      <w:bookmarkEnd w:id="649"/>
    </w:p>
    <w:p w14:paraId="18BBCAB0" w14:textId="77777777" w:rsidR="00C12517" w:rsidRPr="00380B40" w:rsidRDefault="00C12517" w:rsidP="00C12517">
      <w:pPr>
        <w:pStyle w:val="Heading2"/>
        <w:tabs>
          <w:tab w:val="left" w:pos="908"/>
        </w:tabs>
        <w:rPr>
          <w:b w:val="0"/>
          <w:bCs/>
          <w:lang w:val="en-GB"/>
        </w:rPr>
      </w:pPr>
      <w:bookmarkStart w:id="651" w:name="_Toc206496683"/>
      <w:bookmarkStart w:id="652" w:name="_Toc471716647"/>
      <w:bookmarkStart w:id="653" w:name="_Toc532428468"/>
      <w:bookmarkStart w:id="654" w:name="_Toc20738320"/>
      <w:bookmarkStart w:id="655" w:name="_Toc21093734"/>
      <w:bookmarkStart w:id="656" w:name="_Toc22280343"/>
      <w:bookmarkStart w:id="657" w:name="_Toc111636841"/>
      <w:bookmarkEnd w:id="651"/>
      <w:r w:rsidRPr="00380B40">
        <w:rPr>
          <w:lang w:val="en-GB"/>
        </w:rPr>
        <w:t>2.3</w:t>
      </w:r>
      <w:r w:rsidRPr="00380B40">
        <w:rPr>
          <w:lang w:val="en-GB"/>
        </w:rPr>
        <w:tab/>
        <w:t>The</w:t>
      </w:r>
      <w:r w:rsidRPr="00380B40">
        <w:rPr>
          <w:spacing w:val="-1"/>
          <w:lang w:val="en-GB"/>
        </w:rPr>
        <w:t xml:space="preserve"> roles</w:t>
      </w:r>
      <w:r w:rsidRPr="00380B40">
        <w:rPr>
          <w:lang w:val="en-GB"/>
        </w:rPr>
        <w:t xml:space="preserve"> of</w:t>
      </w:r>
      <w:r w:rsidRPr="00380B40">
        <w:rPr>
          <w:spacing w:val="1"/>
          <w:lang w:val="en-GB"/>
        </w:rPr>
        <w:t xml:space="preserve"> </w:t>
      </w:r>
      <w:r w:rsidRPr="00380B40">
        <w:rPr>
          <w:spacing w:val="-1"/>
          <w:lang w:val="en-GB"/>
        </w:rPr>
        <w:t>rapporteurs</w:t>
      </w:r>
      <w:bookmarkEnd w:id="652"/>
      <w:bookmarkEnd w:id="653"/>
      <w:bookmarkEnd w:id="654"/>
      <w:bookmarkEnd w:id="655"/>
      <w:bookmarkEnd w:id="656"/>
      <w:bookmarkEnd w:id="657"/>
    </w:p>
    <w:p w14:paraId="775B7E1A" w14:textId="77777777" w:rsidR="00C12517" w:rsidRPr="00380B40" w:rsidRDefault="00C12517" w:rsidP="00C12517">
      <w:pPr>
        <w:rPr>
          <w:lang w:val="en-GB"/>
        </w:rPr>
      </w:pPr>
      <w:r w:rsidRPr="00380B40">
        <w:rPr>
          <w:b/>
          <w:bCs/>
          <w:lang w:val="en-GB"/>
        </w:rPr>
        <w:t>2.3.1</w:t>
      </w:r>
      <w:r w:rsidRPr="00380B40">
        <w:rPr>
          <w:lang w:val="en-GB"/>
        </w:rPr>
        <w:tab/>
      </w:r>
      <w:r w:rsidRPr="00380B40">
        <w:rPr>
          <w:spacing w:val="-1"/>
          <w:lang w:val="en-GB"/>
        </w:rPr>
        <w:t>The</w:t>
      </w:r>
      <w:r w:rsidRPr="00380B40">
        <w:rPr>
          <w:spacing w:val="37"/>
          <w:lang w:val="en-GB"/>
        </w:rPr>
        <w:t xml:space="preserve"> </w:t>
      </w:r>
      <w:r w:rsidRPr="00380B40">
        <w:rPr>
          <w:spacing w:val="-1"/>
          <w:lang w:val="en-GB"/>
        </w:rPr>
        <w:t>chairmen</w:t>
      </w:r>
      <w:r w:rsidRPr="00380B40">
        <w:rPr>
          <w:spacing w:val="38"/>
          <w:lang w:val="en-GB"/>
        </w:rPr>
        <w:t xml:space="preserve"> </w:t>
      </w:r>
      <w:r w:rsidRPr="00380B40">
        <w:rPr>
          <w:lang w:val="en-GB"/>
        </w:rPr>
        <w:t>of</w:t>
      </w:r>
      <w:r w:rsidRPr="00380B40">
        <w:rPr>
          <w:spacing w:val="37"/>
          <w:lang w:val="en-GB"/>
        </w:rPr>
        <w:t xml:space="preserve"> </w:t>
      </w:r>
      <w:r w:rsidRPr="00380B40">
        <w:rPr>
          <w:spacing w:val="1"/>
          <w:lang w:val="en-GB"/>
        </w:rPr>
        <w:t>study</w:t>
      </w:r>
      <w:r w:rsidRPr="00380B40">
        <w:rPr>
          <w:spacing w:val="35"/>
          <w:lang w:val="en-GB"/>
        </w:rPr>
        <w:t xml:space="preserve"> </w:t>
      </w:r>
      <w:r w:rsidRPr="00380B40">
        <w:rPr>
          <w:spacing w:val="-1"/>
          <w:lang w:val="en-GB"/>
        </w:rPr>
        <w:t>groups</w:t>
      </w:r>
      <w:r w:rsidRPr="00380B40">
        <w:rPr>
          <w:spacing w:val="40"/>
          <w:lang w:val="en-GB"/>
        </w:rPr>
        <w:t xml:space="preserve"> </w:t>
      </w:r>
      <w:r w:rsidRPr="00380B40">
        <w:rPr>
          <w:spacing w:val="-1"/>
          <w:lang w:val="en-GB"/>
        </w:rPr>
        <w:t>and</w:t>
      </w:r>
      <w:r w:rsidRPr="00380B40">
        <w:rPr>
          <w:spacing w:val="38"/>
          <w:lang w:val="en-GB"/>
        </w:rPr>
        <w:t xml:space="preserve"> </w:t>
      </w:r>
      <w:r w:rsidRPr="00380B40">
        <w:rPr>
          <w:lang w:val="en-GB"/>
        </w:rPr>
        <w:t>working</w:t>
      </w:r>
      <w:r w:rsidRPr="00380B40">
        <w:rPr>
          <w:spacing w:val="35"/>
          <w:lang w:val="en-GB"/>
        </w:rPr>
        <w:t xml:space="preserve"> </w:t>
      </w:r>
      <w:r w:rsidRPr="00380B40">
        <w:rPr>
          <w:lang w:val="en-GB"/>
        </w:rPr>
        <w:t>parties</w:t>
      </w:r>
      <w:r w:rsidRPr="00380B40">
        <w:rPr>
          <w:spacing w:val="38"/>
          <w:lang w:val="en-GB"/>
        </w:rPr>
        <w:t xml:space="preserve"> </w:t>
      </w:r>
      <w:r w:rsidRPr="00380B40">
        <w:rPr>
          <w:spacing w:val="-1"/>
          <w:lang w:val="en-GB"/>
        </w:rPr>
        <w:t>(including</w:t>
      </w:r>
      <w:r w:rsidRPr="00380B40">
        <w:rPr>
          <w:spacing w:val="35"/>
          <w:lang w:val="en-GB"/>
        </w:rPr>
        <w:t xml:space="preserve"> </w:t>
      </w:r>
      <w:r w:rsidRPr="00380B40">
        <w:rPr>
          <w:lang w:val="en-GB"/>
        </w:rPr>
        <w:t>joint</w:t>
      </w:r>
      <w:r w:rsidRPr="00380B40">
        <w:rPr>
          <w:spacing w:val="38"/>
          <w:lang w:val="en-GB"/>
        </w:rPr>
        <w:t xml:space="preserve"> </w:t>
      </w:r>
      <w:r w:rsidRPr="00380B40">
        <w:rPr>
          <w:lang w:val="en-GB"/>
        </w:rPr>
        <w:t>working</w:t>
      </w:r>
      <w:r w:rsidRPr="00380B40">
        <w:rPr>
          <w:spacing w:val="36"/>
          <w:lang w:val="en-GB"/>
        </w:rPr>
        <w:t xml:space="preserve"> </w:t>
      </w:r>
      <w:r w:rsidRPr="00380B40">
        <w:rPr>
          <w:lang w:val="en-GB"/>
        </w:rPr>
        <w:t>parties)</w:t>
      </w:r>
      <w:r w:rsidRPr="00380B40">
        <w:rPr>
          <w:spacing w:val="37"/>
          <w:lang w:val="en-GB"/>
        </w:rPr>
        <w:t xml:space="preserve"> </w:t>
      </w:r>
      <w:r w:rsidRPr="00380B40">
        <w:rPr>
          <w:lang w:val="en-GB"/>
        </w:rPr>
        <w:t>are</w:t>
      </w:r>
      <w:r w:rsidRPr="00380B40">
        <w:rPr>
          <w:spacing w:val="47"/>
          <w:lang w:val="en-GB"/>
        </w:rPr>
        <w:t xml:space="preserve"> </w:t>
      </w:r>
      <w:r w:rsidRPr="00380B40">
        <w:rPr>
          <w:spacing w:val="-1"/>
          <w:lang w:val="en-GB"/>
        </w:rPr>
        <w:t>encouraged</w:t>
      </w:r>
      <w:r w:rsidRPr="00380B40">
        <w:rPr>
          <w:spacing w:val="-5"/>
          <w:lang w:val="en-GB"/>
        </w:rPr>
        <w:t xml:space="preserve"> </w:t>
      </w:r>
      <w:r w:rsidRPr="00380B40">
        <w:rPr>
          <w:lang w:val="en-GB"/>
        </w:rPr>
        <w:t>to</w:t>
      </w:r>
      <w:r w:rsidRPr="00380B40">
        <w:rPr>
          <w:spacing w:val="-5"/>
          <w:lang w:val="en-GB"/>
        </w:rPr>
        <w:t xml:space="preserve"> </w:t>
      </w:r>
      <w:r w:rsidRPr="00380B40">
        <w:rPr>
          <w:lang w:val="en-GB"/>
        </w:rPr>
        <w:t>make</w:t>
      </w:r>
      <w:r w:rsidRPr="00380B40">
        <w:rPr>
          <w:spacing w:val="-7"/>
          <w:lang w:val="en-GB"/>
        </w:rPr>
        <w:t xml:space="preserve"> </w:t>
      </w:r>
      <w:r w:rsidRPr="00380B40">
        <w:rPr>
          <w:lang w:val="en-GB"/>
        </w:rPr>
        <w:t>most</w:t>
      </w:r>
      <w:r w:rsidRPr="00380B40">
        <w:rPr>
          <w:spacing w:val="-4"/>
          <w:lang w:val="en-GB"/>
        </w:rPr>
        <w:t xml:space="preserve"> </w:t>
      </w:r>
      <w:r w:rsidRPr="00380B40">
        <w:rPr>
          <w:spacing w:val="-1"/>
          <w:lang w:val="en-GB"/>
        </w:rPr>
        <w:t>effective</w:t>
      </w:r>
      <w:r w:rsidRPr="00380B40">
        <w:rPr>
          <w:spacing w:val="-6"/>
          <w:lang w:val="en-GB"/>
        </w:rPr>
        <w:t xml:space="preserve"> </w:t>
      </w:r>
      <w:r w:rsidRPr="00380B40">
        <w:rPr>
          <w:lang w:val="en-GB"/>
        </w:rPr>
        <w:t>use</w:t>
      </w:r>
      <w:r w:rsidRPr="00380B40">
        <w:rPr>
          <w:spacing w:val="-6"/>
          <w:lang w:val="en-GB"/>
        </w:rPr>
        <w:t xml:space="preserve"> </w:t>
      </w:r>
      <w:r w:rsidRPr="00380B40">
        <w:rPr>
          <w:spacing w:val="1"/>
          <w:lang w:val="en-GB"/>
        </w:rPr>
        <w:t>of</w:t>
      </w:r>
      <w:r w:rsidRPr="00380B40">
        <w:rPr>
          <w:spacing w:val="-6"/>
          <w:lang w:val="en-GB"/>
        </w:rPr>
        <w:t xml:space="preserve"> </w:t>
      </w:r>
      <w:r w:rsidRPr="00380B40">
        <w:rPr>
          <w:lang w:val="en-GB"/>
        </w:rPr>
        <w:t>the</w:t>
      </w:r>
      <w:r w:rsidRPr="00380B40">
        <w:rPr>
          <w:spacing w:val="-6"/>
          <w:lang w:val="en-GB"/>
        </w:rPr>
        <w:t xml:space="preserve"> </w:t>
      </w:r>
      <w:r w:rsidRPr="00380B40">
        <w:rPr>
          <w:spacing w:val="-1"/>
          <w:lang w:val="en-GB"/>
        </w:rPr>
        <w:t>limited</w:t>
      </w:r>
      <w:r w:rsidRPr="00380B40">
        <w:rPr>
          <w:spacing w:val="-3"/>
          <w:lang w:val="en-GB"/>
        </w:rPr>
        <w:t xml:space="preserve"> </w:t>
      </w:r>
      <w:r w:rsidRPr="00380B40">
        <w:rPr>
          <w:spacing w:val="-1"/>
          <w:lang w:val="en-GB"/>
        </w:rPr>
        <w:t>resources</w:t>
      </w:r>
      <w:r w:rsidRPr="00380B40">
        <w:rPr>
          <w:spacing w:val="-5"/>
          <w:lang w:val="en-GB"/>
        </w:rPr>
        <w:t xml:space="preserve"> </w:t>
      </w:r>
      <w:r w:rsidRPr="00380B40">
        <w:rPr>
          <w:spacing w:val="-1"/>
          <w:lang w:val="en-GB"/>
        </w:rPr>
        <w:t>available</w:t>
      </w:r>
      <w:r w:rsidRPr="00380B40">
        <w:rPr>
          <w:spacing w:val="-6"/>
          <w:lang w:val="en-GB"/>
        </w:rPr>
        <w:t xml:space="preserve"> </w:t>
      </w:r>
      <w:r w:rsidRPr="00380B40">
        <w:rPr>
          <w:spacing w:val="2"/>
          <w:lang w:val="en-GB"/>
        </w:rPr>
        <w:t>by</w:t>
      </w:r>
      <w:r w:rsidRPr="00380B40">
        <w:rPr>
          <w:spacing w:val="-8"/>
          <w:lang w:val="en-GB"/>
        </w:rPr>
        <w:t xml:space="preserve"> </w:t>
      </w:r>
      <w:r w:rsidRPr="00380B40">
        <w:rPr>
          <w:spacing w:val="-1"/>
          <w:lang w:val="en-GB"/>
        </w:rPr>
        <w:t>delegating</w:t>
      </w:r>
      <w:r w:rsidRPr="00380B40">
        <w:rPr>
          <w:spacing w:val="-8"/>
          <w:lang w:val="en-GB"/>
        </w:rPr>
        <w:t xml:space="preserve"> </w:t>
      </w:r>
      <w:r w:rsidRPr="00380B40">
        <w:rPr>
          <w:lang w:val="en-GB"/>
        </w:rPr>
        <w:t>responsibility</w:t>
      </w:r>
      <w:r w:rsidRPr="00380B40">
        <w:rPr>
          <w:spacing w:val="75"/>
          <w:lang w:val="en-GB"/>
        </w:rPr>
        <w:t xml:space="preserve"> </w:t>
      </w:r>
      <w:r w:rsidRPr="00380B40">
        <w:rPr>
          <w:lang w:val="en-GB"/>
        </w:rPr>
        <w:t>to</w:t>
      </w:r>
      <w:r w:rsidRPr="00380B40">
        <w:rPr>
          <w:spacing w:val="21"/>
          <w:lang w:val="en-GB"/>
        </w:rPr>
        <w:t xml:space="preserve"> </w:t>
      </w:r>
      <w:r w:rsidRPr="00380B40">
        <w:rPr>
          <w:spacing w:val="-1"/>
          <w:lang w:val="en-GB"/>
        </w:rPr>
        <w:t>rapporteurs</w:t>
      </w:r>
      <w:r w:rsidRPr="00380B40">
        <w:rPr>
          <w:spacing w:val="20"/>
          <w:lang w:val="en-GB"/>
        </w:rPr>
        <w:t xml:space="preserve"> </w:t>
      </w:r>
      <w:r w:rsidRPr="00380B40">
        <w:rPr>
          <w:lang w:val="en-GB"/>
        </w:rPr>
        <w:t>for</w:t>
      </w:r>
      <w:r w:rsidRPr="00380B40">
        <w:rPr>
          <w:spacing w:val="19"/>
          <w:lang w:val="en-GB"/>
        </w:rPr>
        <w:t xml:space="preserve"> </w:t>
      </w:r>
      <w:r w:rsidRPr="00380B40">
        <w:rPr>
          <w:lang w:val="en-GB"/>
        </w:rPr>
        <w:t>the</w:t>
      </w:r>
      <w:r w:rsidRPr="00380B40">
        <w:rPr>
          <w:spacing w:val="20"/>
          <w:lang w:val="en-GB"/>
        </w:rPr>
        <w:t xml:space="preserve"> </w:t>
      </w:r>
      <w:r w:rsidRPr="00380B40">
        <w:rPr>
          <w:lang w:val="en-GB"/>
        </w:rPr>
        <w:t>detailed</w:t>
      </w:r>
      <w:r w:rsidRPr="00380B40">
        <w:rPr>
          <w:spacing w:val="20"/>
          <w:lang w:val="en-GB"/>
        </w:rPr>
        <w:t xml:space="preserve"> </w:t>
      </w:r>
      <w:r w:rsidRPr="00380B40">
        <w:rPr>
          <w:lang w:val="en-GB"/>
        </w:rPr>
        <w:t>study</w:t>
      </w:r>
      <w:r w:rsidRPr="00380B40">
        <w:rPr>
          <w:spacing w:val="14"/>
          <w:lang w:val="en-GB"/>
        </w:rPr>
        <w:t xml:space="preserve"> </w:t>
      </w:r>
      <w:r w:rsidRPr="00380B40">
        <w:rPr>
          <w:lang w:val="en-GB"/>
        </w:rPr>
        <w:t>of</w:t>
      </w:r>
      <w:r w:rsidRPr="00380B40">
        <w:rPr>
          <w:spacing w:val="20"/>
          <w:lang w:val="en-GB"/>
        </w:rPr>
        <w:t xml:space="preserve"> </w:t>
      </w:r>
      <w:r w:rsidRPr="00380B40">
        <w:rPr>
          <w:lang w:val="en-GB"/>
        </w:rPr>
        <w:t>individual</w:t>
      </w:r>
      <w:r w:rsidRPr="00380B40">
        <w:rPr>
          <w:spacing w:val="21"/>
          <w:lang w:val="en-GB"/>
        </w:rPr>
        <w:t xml:space="preserve"> </w:t>
      </w:r>
      <w:r w:rsidRPr="00380B40">
        <w:rPr>
          <w:spacing w:val="-1"/>
          <w:lang w:val="en-GB"/>
        </w:rPr>
        <w:t>Questions</w:t>
      </w:r>
      <w:r w:rsidRPr="00380B40">
        <w:rPr>
          <w:spacing w:val="21"/>
          <w:lang w:val="en-GB"/>
        </w:rPr>
        <w:t xml:space="preserve"> </w:t>
      </w:r>
      <w:r w:rsidRPr="00380B40">
        <w:rPr>
          <w:lang w:val="en-GB"/>
        </w:rPr>
        <w:t>or</w:t>
      </w:r>
      <w:r w:rsidRPr="00380B40">
        <w:rPr>
          <w:spacing w:val="20"/>
          <w:lang w:val="en-GB"/>
        </w:rPr>
        <w:t xml:space="preserve"> </w:t>
      </w:r>
      <w:r w:rsidRPr="00380B40">
        <w:rPr>
          <w:spacing w:val="-1"/>
          <w:lang w:val="en-GB"/>
        </w:rPr>
        <w:t>small</w:t>
      </w:r>
      <w:r w:rsidRPr="00380B40">
        <w:rPr>
          <w:spacing w:val="21"/>
          <w:lang w:val="en-GB"/>
        </w:rPr>
        <w:t xml:space="preserve"> </w:t>
      </w:r>
      <w:r w:rsidRPr="00380B40">
        <w:rPr>
          <w:spacing w:val="-1"/>
          <w:lang w:val="en-GB"/>
        </w:rPr>
        <w:t>groups</w:t>
      </w:r>
      <w:r w:rsidRPr="00380B40">
        <w:rPr>
          <w:spacing w:val="20"/>
          <w:lang w:val="en-GB"/>
        </w:rPr>
        <w:t xml:space="preserve"> </w:t>
      </w:r>
      <w:r w:rsidRPr="00380B40">
        <w:rPr>
          <w:lang w:val="en-GB"/>
        </w:rPr>
        <w:t>of</w:t>
      </w:r>
      <w:r w:rsidRPr="00380B40">
        <w:rPr>
          <w:spacing w:val="20"/>
          <w:lang w:val="en-GB"/>
        </w:rPr>
        <w:t xml:space="preserve"> </w:t>
      </w:r>
      <w:r w:rsidRPr="00380B40">
        <w:rPr>
          <w:spacing w:val="-1"/>
          <w:lang w:val="en-GB"/>
        </w:rPr>
        <w:t>related</w:t>
      </w:r>
      <w:r w:rsidRPr="00380B40">
        <w:rPr>
          <w:spacing w:val="21"/>
          <w:lang w:val="en-GB"/>
        </w:rPr>
        <w:t xml:space="preserve"> </w:t>
      </w:r>
      <w:r w:rsidRPr="00380B40">
        <w:rPr>
          <w:spacing w:val="-1"/>
          <w:lang w:val="en-GB"/>
        </w:rPr>
        <w:t>Questions,</w:t>
      </w:r>
      <w:r w:rsidRPr="00380B40">
        <w:rPr>
          <w:spacing w:val="71"/>
          <w:lang w:val="en-GB"/>
        </w:rPr>
        <w:t xml:space="preserve"> </w:t>
      </w:r>
      <w:r w:rsidRPr="00380B40">
        <w:rPr>
          <w:spacing w:val="-1"/>
          <w:lang w:val="en-GB"/>
        </w:rPr>
        <w:t>parts</w:t>
      </w:r>
      <w:r w:rsidRPr="00380B40">
        <w:rPr>
          <w:spacing w:val="33"/>
          <w:lang w:val="en-GB"/>
        </w:rPr>
        <w:t xml:space="preserve"> </w:t>
      </w:r>
      <w:r w:rsidRPr="00380B40">
        <w:rPr>
          <w:lang w:val="en-GB"/>
        </w:rPr>
        <w:t>of</w:t>
      </w:r>
      <w:r w:rsidRPr="00380B40">
        <w:rPr>
          <w:spacing w:val="32"/>
          <w:lang w:val="en-GB"/>
        </w:rPr>
        <w:t xml:space="preserve"> </w:t>
      </w:r>
      <w:r w:rsidRPr="00380B40">
        <w:rPr>
          <w:spacing w:val="-1"/>
          <w:lang w:val="en-GB"/>
        </w:rPr>
        <w:t>Questions,</w:t>
      </w:r>
      <w:r w:rsidRPr="00380B40">
        <w:rPr>
          <w:spacing w:val="33"/>
          <w:lang w:val="en-GB"/>
        </w:rPr>
        <w:t xml:space="preserve"> </w:t>
      </w:r>
      <w:r w:rsidRPr="00380B40">
        <w:rPr>
          <w:spacing w:val="-1"/>
          <w:lang w:val="en-GB"/>
        </w:rPr>
        <w:t>terminology,</w:t>
      </w:r>
      <w:r w:rsidRPr="00380B40">
        <w:rPr>
          <w:spacing w:val="33"/>
          <w:lang w:val="en-GB"/>
        </w:rPr>
        <w:t xml:space="preserve"> </w:t>
      </w:r>
      <w:r w:rsidRPr="00380B40">
        <w:rPr>
          <w:lang w:val="en-GB"/>
        </w:rPr>
        <w:t>or</w:t>
      </w:r>
      <w:r w:rsidRPr="00380B40">
        <w:rPr>
          <w:spacing w:val="32"/>
          <w:lang w:val="en-GB"/>
        </w:rPr>
        <w:t xml:space="preserve"> </w:t>
      </w:r>
      <w:r w:rsidRPr="00380B40">
        <w:rPr>
          <w:spacing w:val="-1"/>
          <w:lang w:val="en-GB"/>
        </w:rPr>
        <w:t>amendment</w:t>
      </w:r>
      <w:r w:rsidRPr="00380B40">
        <w:rPr>
          <w:spacing w:val="33"/>
          <w:lang w:val="en-GB"/>
        </w:rPr>
        <w:t xml:space="preserve"> </w:t>
      </w:r>
      <w:r w:rsidRPr="00380B40">
        <w:rPr>
          <w:lang w:val="en-GB"/>
        </w:rPr>
        <w:t>of</w:t>
      </w:r>
      <w:r w:rsidRPr="00380B40">
        <w:rPr>
          <w:spacing w:val="32"/>
          <w:lang w:val="en-GB"/>
        </w:rPr>
        <w:t xml:space="preserve"> </w:t>
      </w:r>
      <w:r w:rsidRPr="00380B40">
        <w:rPr>
          <w:lang w:val="en-GB"/>
        </w:rPr>
        <w:t>existing</w:t>
      </w:r>
      <w:r w:rsidRPr="00380B40">
        <w:rPr>
          <w:spacing w:val="31"/>
          <w:lang w:val="en-GB"/>
        </w:rPr>
        <w:t xml:space="preserve"> </w:t>
      </w:r>
      <w:r w:rsidRPr="00380B40">
        <w:rPr>
          <w:spacing w:val="-1"/>
          <w:lang w:val="en-GB"/>
        </w:rPr>
        <w:t>Recommendations.</w:t>
      </w:r>
      <w:r w:rsidRPr="00380B40">
        <w:rPr>
          <w:spacing w:val="33"/>
          <w:lang w:val="en-GB"/>
        </w:rPr>
        <w:t xml:space="preserve"> </w:t>
      </w:r>
      <w:r w:rsidRPr="00380B40">
        <w:rPr>
          <w:spacing w:val="-1"/>
          <w:lang w:val="en-GB"/>
        </w:rPr>
        <w:t>Responsibility</w:t>
      </w:r>
      <w:r w:rsidRPr="00380B40">
        <w:rPr>
          <w:spacing w:val="26"/>
          <w:lang w:val="en-GB"/>
        </w:rPr>
        <w:t xml:space="preserve"> </w:t>
      </w:r>
      <w:r w:rsidRPr="00380B40">
        <w:rPr>
          <w:lang w:val="en-GB"/>
        </w:rPr>
        <w:t>for</w:t>
      </w:r>
      <w:r w:rsidRPr="00380B40">
        <w:rPr>
          <w:spacing w:val="107"/>
          <w:lang w:val="en-GB"/>
        </w:rPr>
        <w:t xml:space="preserve"> </w:t>
      </w:r>
      <w:r w:rsidRPr="00380B40">
        <w:rPr>
          <w:spacing w:val="-1"/>
          <w:lang w:val="en-GB"/>
        </w:rPr>
        <w:t>review and</w:t>
      </w:r>
      <w:r w:rsidRPr="00380B40">
        <w:rPr>
          <w:spacing w:val="2"/>
          <w:lang w:val="en-GB"/>
        </w:rPr>
        <w:t xml:space="preserve"> </w:t>
      </w:r>
      <w:r w:rsidRPr="00380B40">
        <w:rPr>
          <w:spacing w:val="-1"/>
          <w:lang w:val="en-GB"/>
        </w:rPr>
        <w:t>approval</w:t>
      </w:r>
      <w:r w:rsidRPr="00380B40">
        <w:rPr>
          <w:lang w:val="en-GB"/>
        </w:rPr>
        <w:t xml:space="preserve"> of the</w:t>
      </w:r>
      <w:r w:rsidRPr="00380B40">
        <w:rPr>
          <w:spacing w:val="-1"/>
          <w:lang w:val="en-GB"/>
        </w:rPr>
        <w:t xml:space="preserve"> results</w:t>
      </w:r>
      <w:r w:rsidRPr="00380B40">
        <w:rPr>
          <w:lang w:val="en-GB"/>
        </w:rPr>
        <w:t xml:space="preserve"> </w:t>
      </w:r>
      <w:r w:rsidRPr="00380B40">
        <w:rPr>
          <w:spacing w:val="-1"/>
          <w:lang w:val="en-GB"/>
        </w:rPr>
        <w:t>resides</w:t>
      </w:r>
      <w:r w:rsidRPr="00380B40">
        <w:rPr>
          <w:lang w:val="en-GB"/>
        </w:rPr>
        <w:t xml:space="preserve"> with the</w:t>
      </w:r>
      <w:r w:rsidRPr="00380B40">
        <w:rPr>
          <w:spacing w:val="-1"/>
          <w:lang w:val="en-GB"/>
        </w:rPr>
        <w:t xml:space="preserve"> </w:t>
      </w:r>
      <w:r w:rsidRPr="00380B40">
        <w:rPr>
          <w:lang w:val="en-GB"/>
        </w:rPr>
        <w:t>study</w:t>
      </w:r>
      <w:r w:rsidRPr="00380B40">
        <w:rPr>
          <w:spacing w:val="-3"/>
          <w:lang w:val="en-GB"/>
        </w:rPr>
        <w:t xml:space="preserve"> </w:t>
      </w:r>
      <w:r w:rsidRPr="00380B40">
        <w:rPr>
          <w:spacing w:val="-1"/>
          <w:lang w:val="en-GB"/>
        </w:rPr>
        <w:t xml:space="preserve">group </w:t>
      </w:r>
      <w:r w:rsidRPr="00380B40">
        <w:rPr>
          <w:spacing w:val="1"/>
          <w:lang w:val="en-GB"/>
        </w:rPr>
        <w:t>or</w:t>
      </w:r>
      <w:r w:rsidRPr="00380B40">
        <w:rPr>
          <w:lang w:val="en-GB"/>
        </w:rPr>
        <w:t xml:space="preserve"> </w:t>
      </w:r>
      <w:r w:rsidRPr="00380B40">
        <w:rPr>
          <w:spacing w:val="-1"/>
          <w:lang w:val="en-GB"/>
        </w:rPr>
        <w:t>working</w:t>
      </w:r>
      <w:r w:rsidRPr="00380B40">
        <w:rPr>
          <w:lang w:val="en-GB"/>
        </w:rPr>
        <w:t xml:space="preserve"> </w:t>
      </w:r>
      <w:r w:rsidRPr="00380B40">
        <w:rPr>
          <w:spacing w:val="-1"/>
          <w:lang w:val="en-GB"/>
        </w:rPr>
        <w:t>party.</w:t>
      </w:r>
    </w:p>
    <w:p w14:paraId="0C01A62E" w14:textId="77777777" w:rsidR="00C12517" w:rsidRPr="00380B40" w:rsidRDefault="00C12517" w:rsidP="00C12517">
      <w:pPr>
        <w:rPr>
          <w:lang w:val="en-GB"/>
        </w:rPr>
      </w:pPr>
      <w:r w:rsidRPr="00380B40">
        <w:rPr>
          <w:b/>
          <w:bCs/>
          <w:lang w:val="en-GB"/>
        </w:rPr>
        <w:t>2.3.2</w:t>
      </w:r>
      <w:r w:rsidRPr="00380B40">
        <w:rPr>
          <w:lang w:val="en-GB"/>
        </w:rPr>
        <w:tab/>
        <w:t>Liaison</w:t>
      </w:r>
      <w:r w:rsidRPr="00380B40">
        <w:rPr>
          <w:spacing w:val="52"/>
          <w:lang w:val="en-GB"/>
        </w:rPr>
        <w:t xml:space="preserve"> </w:t>
      </w:r>
      <w:r w:rsidRPr="00380B40">
        <w:rPr>
          <w:lang w:val="en-GB"/>
        </w:rPr>
        <w:t>between</w:t>
      </w:r>
      <w:r w:rsidRPr="00380B40">
        <w:rPr>
          <w:spacing w:val="57"/>
          <w:lang w:val="en-GB"/>
        </w:rPr>
        <w:t xml:space="preserve"> </w:t>
      </w:r>
      <w:r w:rsidRPr="00380B40">
        <w:rPr>
          <w:lang w:val="en-GB"/>
        </w:rPr>
        <w:t>ITU</w:t>
      </w:r>
      <w:r w:rsidRPr="00380B40">
        <w:rPr>
          <w:lang w:val="en-GB"/>
        </w:rPr>
        <w:noBreakHyphen/>
        <w:t>T</w:t>
      </w:r>
      <w:r w:rsidRPr="00380B40">
        <w:rPr>
          <w:spacing w:val="54"/>
          <w:lang w:val="en-GB"/>
        </w:rPr>
        <w:t xml:space="preserve"> </w:t>
      </w:r>
      <w:r w:rsidRPr="00380B40">
        <w:rPr>
          <w:lang w:val="en-GB"/>
        </w:rPr>
        <w:t>study</w:t>
      </w:r>
      <w:r w:rsidRPr="00380B40">
        <w:rPr>
          <w:spacing w:val="50"/>
          <w:lang w:val="en-GB"/>
        </w:rPr>
        <w:t xml:space="preserve"> </w:t>
      </w:r>
      <w:r w:rsidRPr="00380B40">
        <w:rPr>
          <w:lang w:val="en-GB"/>
        </w:rPr>
        <w:t>groups</w:t>
      </w:r>
      <w:r w:rsidRPr="00380B40">
        <w:rPr>
          <w:spacing w:val="52"/>
          <w:lang w:val="en-GB"/>
        </w:rPr>
        <w:t xml:space="preserve"> </w:t>
      </w:r>
      <w:r w:rsidRPr="00380B40">
        <w:rPr>
          <w:lang w:val="en-GB"/>
        </w:rPr>
        <w:t>or</w:t>
      </w:r>
      <w:r w:rsidRPr="00380B40">
        <w:rPr>
          <w:spacing w:val="54"/>
          <w:lang w:val="en-GB"/>
        </w:rPr>
        <w:t xml:space="preserve"> </w:t>
      </w:r>
      <w:r w:rsidRPr="00380B40">
        <w:rPr>
          <w:lang w:val="en-GB"/>
        </w:rPr>
        <w:t>with</w:t>
      </w:r>
      <w:r w:rsidRPr="00380B40">
        <w:rPr>
          <w:spacing w:val="53"/>
          <w:lang w:val="en-GB"/>
        </w:rPr>
        <w:t xml:space="preserve"> </w:t>
      </w:r>
      <w:r w:rsidRPr="00380B40">
        <w:rPr>
          <w:lang w:val="en-GB"/>
        </w:rPr>
        <w:t>other</w:t>
      </w:r>
      <w:r w:rsidRPr="00380B40">
        <w:rPr>
          <w:spacing w:val="51"/>
          <w:lang w:val="en-GB"/>
        </w:rPr>
        <w:t xml:space="preserve"> </w:t>
      </w:r>
      <w:r w:rsidRPr="00380B40">
        <w:rPr>
          <w:lang w:val="en-GB"/>
        </w:rPr>
        <w:t>organizations</w:t>
      </w:r>
      <w:r w:rsidRPr="00380B40">
        <w:rPr>
          <w:spacing w:val="52"/>
          <w:lang w:val="en-GB"/>
        </w:rPr>
        <w:t xml:space="preserve"> </w:t>
      </w:r>
      <w:r w:rsidRPr="00380B40">
        <w:rPr>
          <w:lang w:val="en-GB"/>
        </w:rPr>
        <w:t>can</w:t>
      </w:r>
      <w:r w:rsidRPr="00380B40">
        <w:rPr>
          <w:spacing w:val="54"/>
          <w:lang w:val="en-GB"/>
        </w:rPr>
        <w:t xml:space="preserve"> </w:t>
      </w:r>
      <w:r w:rsidRPr="00380B40">
        <w:rPr>
          <w:lang w:val="en-GB"/>
        </w:rPr>
        <w:t>be</w:t>
      </w:r>
      <w:r w:rsidRPr="00380B40">
        <w:rPr>
          <w:spacing w:val="51"/>
          <w:lang w:val="en-GB"/>
        </w:rPr>
        <w:t xml:space="preserve"> </w:t>
      </w:r>
      <w:r w:rsidRPr="00380B40">
        <w:rPr>
          <w:lang w:val="en-GB"/>
        </w:rPr>
        <w:t>facilitated</w:t>
      </w:r>
      <w:r w:rsidRPr="00380B40">
        <w:rPr>
          <w:spacing w:val="52"/>
          <w:lang w:val="en-GB"/>
        </w:rPr>
        <w:t xml:space="preserve"> </w:t>
      </w:r>
      <w:r w:rsidRPr="00380B40">
        <w:rPr>
          <w:spacing w:val="1"/>
          <w:lang w:val="en-GB"/>
        </w:rPr>
        <w:t>by</w:t>
      </w:r>
      <w:r w:rsidRPr="00380B40">
        <w:rPr>
          <w:spacing w:val="71"/>
          <w:lang w:val="en-GB"/>
        </w:rPr>
        <w:t xml:space="preserve"> </w:t>
      </w:r>
      <w:r w:rsidRPr="00380B40">
        <w:rPr>
          <w:lang w:val="en-GB"/>
        </w:rPr>
        <w:t xml:space="preserve">rapporteurs or </w:t>
      </w:r>
      <w:r w:rsidRPr="00380B40">
        <w:rPr>
          <w:spacing w:val="1"/>
          <w:lang w:val="en-GB"/>
        </w:rPr>
        <w:t>by</w:t>
      </w:r>
      <w:r w:rsidRPr="00380B40">
        <w:rPr>
          <w:spacing w:val="-5"/>
          <w:lang w:val="en-GB"/>
        </w:rPr>
        <w:t xml:space="preserve"> </w:t>
      </w:r>
      <w:r w:rsidRPr="00380B40">
        <w:rPr>
          <w:lang w:val="en-GB"/>
        </w:rPr>
        <w:t>the appointment of liaison rapporteurs.</w:t>
      </w:r>
    </w:p>
    <w:p w14:paraId="3650FA91" w14:textId="77777777" w:rsidR="00C12517" w:rsidRPr="00380B40" w:rsidRDefault="00C12517" w:rsidP="00C12517">
      <w:pPr>
        <w:rPr>
          <w:lang w:val="en-GB"/>
        </w:rPr>
      </w:pPr>
      <w:r w:rsidRPr="00380B40">
        <w:rPr>
          <w:b/>
          <w:bCs/>
          <w:lang w:val="en-GB"/>
        </w:rPr>
        <w:t>2.3.3</w:t>
      </w:r>
      <w:r w:rsidRPr="00380B40">
        <w:rPr>
          <w:lang w:val="en-GB"/>
        </w:rPr>
        <w:tab/>
        <w:t>The</w:t>
      </w:r>
      <w:r w:rsidRPr="00380B40">
        <w:rPr>
          <w:spacing w:val="-6"/>
          <w:lang w:val="en-GB"/>
        </w:rPr>
        <w:t xml:space="preserve"> </w:t>
      </w:r>
      <w:r w:rsidRPr="00380B40">
        <w:rPr>
          <w:lang w:val="en-GB"/>
        </w:rPr>
        <w:t>following</w:t>
      </w:r>
      <w:r w:rsidRPr="00380B40">
        <w:rPr>
          <w:spacing w:val="-5"/>
          <w:lang w:val="en-GB"/>
        </w:rPr>
        <w:t xml:space="preserve"> </w:t>
      </w:r>
      <w:r w:rsidRPr="00380B40">
        <w:rPr>
          <w:lang w:val="en-GB"/>
        </w:rPr>
        <w:t>guidelines</w:t>
      </w:r>
      <w:r w:rsidRPr="00380B40">
        <w:rPr>
          <w:spacing w:val="-3"/>
          <w:lang w:val="en-GB"/>
        </w:rPr>
        <w:t xml:space="preserve"> </w:t>
      </w:r>
      <w:r w:rsidRPr="00380B40">
        <w:rPr>
          <w:lang w:val="en-GB"/>
        </w:rPr>
        <w:t>should</w:t>
      </w:r>
      <w:r w:rsidRPr="00380B40">
        <w:rPr>
          <w:spacing w:val="-4"/>
          <w:lang w:val="en-GB"/>
        </w:rPr>
        <w:t xml:space="preserve"> </w:t>
      </w:r>
      <w:r w:rsidRPr="00380B40">
        <w:rPr>
          <w:lang w:val="en-GB"/>
        </w:rPr>
        <w:t>be</w:t>
      </w:r>
      <w:r w:rsidRPr="00380B40">
        <w:rPr>
          <w:spacing w:val="-6"/>
          <w:lang w:val="en-GB"/>
        </w:rPr>
        <w:t xml:space="preserve"> </w:t>
      </w:r>
      <w:r w:rsidRPr="00380B40">
        <w:rPr>
          <w:lang w:val="en-GB"/>
        </w:rPr>
        <w:t>used</w:t>
      </w:r>
      <w:r w:rsidRPr="00380B40">
        <w:rPr>
          <w:spacing w:val="-5"/>
          <w:lang w:val="en-GB"/>
        </w:rPr>
        <w:t xml:space="preserve"> </w:t>
      </w:r>
      <w:r w:rsidRPr="00380B40">
        <w:rPr>
          <w:lang w:val="en-GB"/>
        </w:rPr>
        <w:t>as</w:t>
      </w:r>
      <w:r w:rsidRPr="00380B40">
        <w:rPr>
          <w:spacing w:val="-3"/>
          <w:lang w:val="en-GB"/>
        </w:rPr>
        <w:t xml:space="preserve"> </w:t>
      </w:r>
      <w:r w:rsidRPr="00380B40">
        <w:rPr>
          <w:lang w:val="en-GB"/>
        </w:rPr>
        <w:t>a</w:t>
      </w:r>
      <w:r w:rsidRPr="00380B40">
        <w:rPr>
          <w:spacing w:val="-6"/>
          <w:lang w:val="en-GB"/>
        </w:rPr>
        <w:t xml:space="preserve"> </w:t>
      </w:r>
      <w:r w:rsidRPr="00380B40">
        <w:rPr>
          <w:lang w:val="en-GB"/>
        </w:rPr>
        <w:t>basis</w:t>
      </w:r>
      <w:r w:rsidRPr="00380B40">
        <w:rPr>
          <w:spacing w:val="-2"/>
          <w:lang w:val="en-GB"/>
        </w:rPr>
        <w:t xml:space="preserve"> </w:t>
      </w:r>
      <w:r w:rsidRPr="00380B40">
        <w:rPr>
          <w:lang w:val="en-GB"/>
        </w:rPr>
        <w:t>within</w:t>
      </w:r>
      <w:r w:rsidRPr="00380B40">
        <w:rPr>
          <w:spacing w:val="-5"/>
          <w:lang w:val="en-GB"/>
        </w:rPr>
        <w:t xml:space="preserve"> </w:t>
      </w:r>
      <w:r w:rsidRPr="00380B40">
        <w:rPr>
          <w:lang w:val="en-GB"/>
        </w:rPr>
        <w:t>each</w:t>
      </w:r>
      <w:r w:rsidRPr="00380B40">
        <w:rPr>
          <w:spacing w:val="-5"/>
          <w:lang w:val="en-GB"/>
        </w:rPr>
        <w:t xml:space="preserve"> </w:t>
      </w:r>
      <w:r w:rsidRPr="00380B40">
        <w:rPr>
          <w:spacing w:val="1"/>
          <w:lang w:val="en-GB"/>
        </w:rPr>
        <w:t>study</w:t>
      </w:r>
      <w:r w:rsidRPr="00380B40">
        <w:rPr>
          <w:spacing w:val="-8"/>
          <w:lang w:val="en-GB"/>
        </w:rPr>
        <w:t xml:space="preserve"> </w:t>
      </w:r>
      <w:r w:rsidRPr="00380B40">
        <w:rPr>
          <w:lang w:val="en-GB"/>
        </w:rPr>
        <w:t>group or</w:t>
      </w:r>
      <w:r w:rsidRPr="00380B40">
        <w:rPr>
          <w:spacing w:val="-6"/>
          <w:lang w:val="en-GB"/>
        </w:rPr>
        <w:t xml:space="preserve"> </w:t>
      </w:r>
      <w:r w:rsidRPr="00380B40">
        <w:rPr>
          <w:lang w:val="en-GB"/>
        </w:rPr>
        <w:t>working</w:t>
      </w:r>
      <w:r w:rsidRPr="00380B40">
        <w:rPr>
          <w:spacing w:val="-8"/>
          <w:lang w:val="en-GB"/>
        </w:rPr>
        <w:t xml:space="preserve"> </w:t>
      </w:r>
      <w:r w:rsidRPr="00380B40">
        <w:rPr>
          <w:lang w:val="en-GB"/>
        </w:rPr>
        <w:t>party</w:t>
      </w:r>
      <w:r w:rsidRPr="00380B40">
        <w:rPr>
          <w:spacing w:val="45"/>
          <w:lang w:val="en-GB"/>
        </w:rPr>
        <w:t xml:space="preserve"> </w:t>
      </w:r>
      <w:r w:rsidRPr="00380B40">
        <w:rPr>
          <w:lang w:val="en-GB"/>
        </w:rPr>
        <w:t>to</w:t>
      </w:r>
      <w:r w:rsidRPr="00380B40">
        <w:rPr>
          <w:spacing w:val="12"/>
          <w:lang w:val="en-GB"/>
        </w:rPr>
        <w:t xml:space="preserve"> </w:t>
      </w:r>
      <w:r w:rsidRPr="00380B40">
        <w:rPr>
          <w:lang w:val="en-GB"/>
        </w:rPr>
        <w:t>define</w:t>
      </w:r>
      <w:r w:rsidRPr="00380B40">
        <w:rPr>
          <w:spacing w:val="10"/>
          <w:lang w:val="en-GB"/>
        </w:rPr>
        <w:t xml:space="preserve"> </w:t>
      </w:r>
      <w:r w:rsidRPr="00380B40">
        <w:rPr>
          <w:lang w:val="en-GB"/>
        </w:rPr>
        <w:t>the</w:t>
      </w:r>
      <w:r w:rsidRPr="00380B40">
        <w:rPr>
          <w:spacing w:val="11"/>
          <w:lang w:val="en-GB"/>
        </w:rPr>
        <w:t xml:space="preserve"> </w:t>
      </w:r>
      <w:r w:rsidRPr="00380B40">
        <w:rPr>
          <w:lang w:val="en-GB"/>
        </w:rPr>
        <w:t>roles</w:t>
      </w:r>
      <w:r w:rsidRPr="00380B40">
        <w:rPr>
          <w:spacing w:val="12"/>
          <w:lang w:val="en-GB"/>
        </w:rPr>
        <w:t xml:space="preserve"> </w:t>
      </w:r>
      <w:r w:rsidRPr="00380B40">
        <w:rPr>
          <w:lang w:val="en-GB"/>
        </w:rPr>
        <w:t>of</w:t>
      </w:r>
      <w:r w:rsidRPr="00380B40">
        <w:rPr>
          <w:spacing w:val="11"/>
          <w:lang w:val="en-GB"/>
        </w:rPr>
        <w:t xml:space="preserve"> </w:t>
      </w:r>
      <w:r w:rsidRPr="00380B40">
        <w:rPr>
          <w:lang w:val="en-GB"/>
        </w:rPr>
        <w:t>rapporteurs,</w:t>
      </w:r>
      <w:r w:rsidRPr="00380B40">
        <w:rPr>
          <w:spacing w:val="11"/>
          <w:lang w:val="en-GB"/>
        </w:rPr>
        <w:t xml:space="preserve"> </w:t>
      </w:r>
      <w:r w:rsidRPr="00380B40">
        <w:rPr>
          <w:lang w:val="en-GB"/>
        </w:rPr>
        <w:t>associate</w:t>
      </w:r>
      <w:r w:rsidRPr="00380B40">
        <w:rPr>
          <w:spacing w:val="11"/>
          <w:lang w:val="en-GB"/>
        </w:rPr>
        <w:t xml:space="preserve"> </w:t>
      </w:r>
      <w:r w:rsidRPr="00380B40">
        <w:rPr>
          <w:lang w:val="en-GB"/>
        </w:rPr>
        <w:t>rapporteurs</w:t>
      </w:r>
      <w:r w:rsidRPr="00380B40">
        <w:rPr>
          <w:spacing w:val="11"/>
          <w:lang w:val="en-GB"/>
        </w:rPr>
        <w:t xml:space="preserve"> </w:t>
      </w:r>
      <w:r w:rsidRPr="00380B40">
        <w:rPr>
          <w:lang w:val="en-GB"/>
        </w:rPr>
        <w:t>and</w:t>
      </w:r>
      <w:r w:rsidRPr="00380B40">
        <w:rPr>
          <w:spacing w:val="11"/>
          <w:lang w:val="en-GB"/>
        </w:rPr>
        <w:t xml:space="preserve"> </w:t>
      </w:r>
      <w:r w:rsidRPr="00380B40">
        <w:rPr>
          <w:lang w:val="en-GB"/>
        </w:rPr>
        <w:t>liaison</w:t>
      </w:r>
      <w:r w:rsidRPr="00380B40">
        <w:rPr>
          <w:spacing w:val="12"/>
          <w:lang w:val="en-GB"/>
        </w:rPr>
        <w:t xml:space="preserve"> </w:t>
      </w:r>
      <w:r w:rsidRPr="00380B40">
        <w:rPr>
          <w:lang w:val="en-GB"/>
        </w:rPr>
        <w:t>rapporteurs;</w:t>
      </w:r>
      <w:r w:rsidRPr="00380B40">
        <w:rPr>
          <w:spacing w:val="11"/>
          <w:lang w:val="en-GB"/>
        </w:rPr>
        <w:t xml:space="preserve"> </w:t>
      </w:r>
      <w:r w:rsidRPr="00380B40">
        <w:rPr>
          <w:lang w:val="en-GB"/>
        </w:rPr>
        <w:t>however,</w:t>
      </w:r>
      <w:r w:rsidRPr="00380B40">
        <w:rPr>
          <w:spacing w:val="11"/>
          <w:lang w:val="en-GB"/>
        </w:rPr>
        <w:t xml:space="preserve"> </w:t>
      </w:r>
      <w:r w:rsidRPr="00380B40">
        <w:rPr>
          <w:spacing w:val="1"/>
          <w:lang w:val="en-GB"/>
        </w:rPr>
        <w:t>they</w:t>
      </w:r>
      <w:r w:rsidRPr="00380B40">
        <w:rPr>
          <w:spacing w:val="6"/>
          <w:lang w:val="en-GB"/>
        </w:rPr>
        <w:t xml:space="preserve"> </w:t>
      </w:r>
      <w:r w:rsidRPr="00380B40">
        <w:rPr>
          <w:spacing w:val="1"/>
          <w:lang w:val="en-GB"/>
        </w:rPr>
        <w:t>may</w:t>
      </w:r>
      <w:r w:rsidRPr="00380B40">
        <w:rPr>
          <w:spacing w:val="91"/>
          <w:lang w:val="en-GB"/>
        </w:rPr>
        <w:t xml:space="preserve"> </w:t>
      </w:r>
      <w:r w:rsidRPr="00380B40">
        <w:rPr>
          <w:lang w:val="en-GB"/>
        </w:rPr>
        <w:t>be</w:t>
      </w:r>
      <w:r w:rsidRPr="00380B40">
        <w:rPr>
          <w:spacing w:val="-11"/>
          <w:lang w:val="en-GB"/>
        </w:rPr>
        <w:t xml:space="preserve"> </w:t>
      </w:r>
      <w:r w:rsidRPr="00380B40">
        <w:rPr>
          <w:lang w:val="en-GB"/>
        </w:rPr>
        <w:t>adjusted</w:t>
      </w:r>
      <w:r w:rsidRPr="00380B40">
        <w:rPr>
          <w:spacing w:val="-10"/>
          <w:lang w:val="en-GB"/>
        </w:rPr>
        <w:t xml:space="preserve"> </w:t>
      </w:r>
      <w:r w:rsidRPr="00380B40">
        <w:rPr>
          <w:lang w:val="en-GB"/>
        </w:rPr>
        <w:t>following</w:t>
      </w:r>
      <w:r w:rsidRPr="00380B40">
        <w:rPr>
          <w:spacing w:val="-12"/>
          <w:lang w:val="en-GB"/>
        </w:rPr>
        <w:t xml:space="preserve"> </w:t>
      </w:r>
      <w:r w:rsidRPr="00380B40">
        <w:rPr>
          <w:lang w:val="en-GB"/>
        </w:rPr>
        <w:t>careful</w:t>
      </w:r>
      <w:r w:rsidRPr="00380B40">
        <w:rPr>
          <w:spacing w:val="-10"/>
          <w:lang w:val="en-GB"/>
        </w:rPr>
        <w:t xml:space="preserve"> </w:t>
      </w:r>
      <w:r w:rsidRPr="00380B40">
        <w:rPr>
          <w:lang w:val="en-GB"/>
        </w:rPr>
        <w:t>deliberation</w:t>
      </w:r>
      <w:r w:rsidRPr="00380B40">
        <w:rPr>
          <w:spacing w:val="-10"/>
          <w:lang w:val="en-GB"/>
        </w:rPr>
        <w:t xml:space="preserve"> </w:t>
      </w:r>
      <w:r w:rsidRPr="00380B40">
        <w:rPr>
          <w:lang w:val="en-GB"/>
        </w:rPr>
        <w:t>of</w:t>
      </w:r>
      <w:r w:rsidRPr="00380B40">
        <w:rPr>
          <w:spacing w:val="-11"/>
          <w:lang w:val="en-GB"/>
        </w:rPr>
        <w:t xml:space="preserve"> </w:t>
      </w:r>
      <w:r w:rsidRPr="00380B40">
        <w:rPr>
          <w:lang w:val="en-GB"/>
        </w:rPr>
        <w:t>the</w:t>
      </w:r>
      <w:r w:rsidRPr="00380B40">
        <w:rPr>
          <w:spacing w:val="-11"/>
          <w:lang w:val="en-GB"/>
        </w:rPr>
        <w:t xml:space="preserve"> </w:t>
      </w:r>
      <w:r w:rsidRPr="00380B40">
        <w:rPr>
          <w:lang w:val="en-GB"/>
        </w:rPr>
        <w:t>need</w:t>
      </w:r>
      <w:r w:rsidRPr="00380B40">
        <w:rPr>
          <w:spacing w:val="-10"/>
          <w:lang w:val="en-GB"/>
        </w:rPr>
        <w:t xml:space="preserve"> </w:t>
      </w:r>
      <w:r w:rsidRPr="00380B40">
        <w:rPr>
          <w:lang w:val="en-GB"/>
        </w:rPr>
        <w:t>for</w:t>
      </w:r>
      <w:r w:rsidRPr="00380B40">
        <w:rPr>
          <w:spacing w:val="-12"/>
          <w:lang w:val="en-GB"/>
        </w:rPr>
        <w:t xml:space="preserve"> </w:t>
      </w:r>
      <w:r w:rsidRPr="00380B40">
        <w:rPr>
          <w:lang w:val="en-GB"/>
        </w:rPr>
        <w:t>change</w:t>
      </w:r>
      <w:r w:rsidRPr="00380B40">
        <w:rPr>
          <w:spacing w:val="-11"/>
          <w:lang w:val="en-GB"/>
        </w:rPr>
        <w:t xml:space="preserve"> </w:t>
      </w:r>
      <w:r w:rsidRPr="00380B40">
        <w:rPr>
          <w:lang w:val="en-GB"/>
        </w:rPr>
        <w:t>and</w:t>
      </w:r>
      <w:r w:rsidRPr="00380B40">
        <w:rPr>
          <w:spacing w:val="-10"/>
          <w:lang w:val="en-GB"/>
        </w:rPr>
        <w:t xml:space="preserve"> </w:t>
      </w:r>
      <w:r w:rsidRPr="00380B40">
        <w:rPr>
          <w:lang w:val="en-GB"/>
        </w:rPr>
        <w:t>with</w:t>
      </w:r>
      <w:r w:rsidRPr="00380B40">
        <w:rPr>
          <w:spacing w:val="-10"/>
          <w:lang w:val="en-GB"/>
        </w:rPr>
        <w:t xml:space="preserve"> </w:t>
      </w:r>
      <w:r w:rsidRPr="00380B40">
        <w:rPr>
          <w:lang w:val="en-GB"/>
        </w:rPr>
        <w:t>the</w:t>
      </w:r>
      <w:r w:rsidRPr="00380B40">
        <w:rPr>
          <w:spacing w:val="-11"/>
          <w:lang w:val="en-GB"/>
        </w:rPr>
        <w:t xml:space="preserve"> </w:t>
      </w:r>
      <w:r w:rsidRPr="00380B40">
        <w:rPr>
          <w:lang w:val="en-GB"/>
        </w:rPr>
        <w:t>approval</w:t>
      </w:r>
      <w:r w:rsidRPr="00380B40">
        <w:rPr>
          <w:spacing w:val="-10"/>
          <w:lang w:val="en-GB"/>
        </w:rPr>
        <w:t xml:space="preserve"> </w:t>
      </w:r>
      <w:r w:rsidRPr="00380B40">
        <w:rPr>
          <w:lang w:val="en-GB"/>
        </w:rPr>
        <w:t>of</w:t>
      </w:r>
      <w:r w:rsidRPr="00380B40">
        <w:rPr>
          <w:spacing w:val="-11"/>
          <w:lang w:val="en-GB"/>
        </w:rPr>
        <w:t xml:space="preserve"> </w:t>
      </w:r>
      <w:r w:rsidRPr="00380B40">
        <w:rPr>
          <w:lang w:val="en-GB"/>
        </w:rPr>
        <w:t>the</w:t>
      </w:r>
      <w:r w:rsidRPr="00380B40">
        <w:rPr>
          <w:spacing w:val="-7"/>
          <w:lang w:val="en-GB"/>
        </w:rPr>
        <w:t xml:space="preserve"> </w:t>
      </w:r>
      <w:r w:rsidRPr="00380B40">
        <w:rPr>
          <w:lang w:val="en-GB"/>
        </w:rPr>
        <w:t>relevant</w:t>
      </w:r>
      <w:r w:rsidRPr="00380B40">
        <w:rPr>
          <w:spacing w:val="71"/>
          <w:lang w:val="en-GB"/>
        </w:rPr>
        <w:t xml:space="preserve"> </w:t>
      </w:r>
      <w:r w:rsidRPr="00380B40">
        <w:rPr>
          <w:lang w:val="en-GB"/>
        </w:rPr>
        <w:t>study</w:t>
      </w:r>
      <w:r w:rsidRPr="00380B40">
        <w:rPr>
          <w:spacing w:val="-3"/>
          <w:lang w:val="en-GB"/>
        </w:rPr>
        <w:t xml:space="preserve"> </w:t>
      </w:r>
      <w:r w:rsidRPr="00380B40">
        <w:rPr>
          <w:lang w:val="en-GB"/>
        </w:rPr>
        <w:t>group or</w:t>
      </w:r>
      <w:r w:rsidRPr="00380B40">
        <w:rPr>
          <w:spacing w:val="1"/>
          <w:lang w:val="en-GB"/>
        </w:rPr>
        <w:t xml:space="preserve"> </w:t>
      </w:r>
      <w:r w:rsidRPr="00380B40">
        <w:rPr>
          <w:lang w:val="en-GB"/>
        </w:rPr>
        <w:t>working</w:t>
      </w:r>
      <w:r w:rsidRPr="00380B40">
        <w:rPr>
          <w:spacing w:val="-3"/>
          <w:lang w:val="en-GB"/>
        </w:rPr>
        <w:t xml:space="preserve"> </w:t>
      </w:r>
      <w:r w:rsidRPr="00380B40">
        <w:rPr>
          <w:lang w:val="en-GB"/>
        </w:rPr>
        <w:t>party.</w:t>
      </w:r>
    </w:p>
    <w:p w14:paraId="5BA96DEE" w14:textId="77777777" w:rsidR="00C12517" w:rsidRPr="00380B40" w:rsidRDefault="00C12517" w:rsidP="00C12517">
      <w:pPr>
        <w:rPr>
          <w:lang w:val="en-GB"/>
        </w:rPr>
      </w:pPr>
      <w:r w:rsidRPr="00380B40">
        <w:rPr>
          <w:b/>
          <w:bCs/>
          <w:lang w:val="en-GB"/>
        </w:rPr>
        <w:t>2.3.3.1</w:t>
      </w:r>
      <w:r w:rsidRPr="00380B40">
        <w:rPr>
          <w:lang w:val="en-GB"/>
        </w:rPr>
        <w:tab/>
        <w:t>Specific</w:t>
      </w:r>
      <w:r w:rsidRPr="00380B40">
        <w:rPr>
          <w:spacing w:val="23"/>
          <w:lang w:val="en-GB"/>
        </w:rPr>
        <w:t xml:space="preserve"> </w:t>
      </w:r>
      <w:r w:rsidRPr="00380B40">
        <w:rPr>
          <w:lang w:val="en-GB"/>
        </w:rPr>
        <w:t>persons</w:t>
      </w:r>
      <w:r w:rsidRPr="00380B40">
        <w:rPr>
          <w:spacing w:val="23"/>
          <w:lang w:val="en-GB"/>
        </w:rPr>
        <w:t xml:space="preserve"> </w:t>
      </w:r>
      <w:r w:rsidRPr="00380B40">
        <w:rPr>
          <w:lang w:val="en-GB"/>
        </w:rPr>
        <w:t>should</w:t>
      </w:r>
      <w:r w:rsidRPr="00380B40">
        <w:rPr>
          <w:spacing w:val="26"/>
          <w:lang w:val="en-GB"/>
        </w:rPr>
        <w:t xml:space="preserve"> </w:t>
      </w:r>
      <w:r w:rsidRPr="00380B40">
        <w:rPr>
          <w:lang w:val="en-GB"/>
        </w:rPr>
        <w:t>be</w:t>
      </w:r>
      <w:r w:rsidRPr="00380B40">
        <w:rPr>
          <w:spacing w:val="22"/>
          <w:lang w:val="en-GB"/>
        </w:rPr>
        <w:t xml:space="preserve"> </w:t>
      </w:r>
      <w:r w:rsidRPr="00380B40">
        <w:rPr>
          <w:lang w:val="en-GB"/>
        </w:rPr>
        <w:t>appointed</w:t>
      </w:r>
      <w:r w:rsidRPr="00380B40">
        <w:rPr>
          <w:spacing w:val="25"/>
          <w:lang w:val="en-GB"/>
        </w:rPr>
        <w:t xml:space="preserve"> </w:t>
      </w:r>
      <w:r w:rsidRPr="00380B40">
        <w:rPr>
          <w:lang w:val="en-GB"/>
        </w:rPr>
        <w:t>as</w:t>
      </w:r>
      <w:r w:rsidRPr="00380B40">
        <w:rPr>
          <w:spacing w:val="26"/>
          <w:lang w:val="en-GB"/>
        </w:rPr>
        <w:t xml:space="preserve"> </w:t>
      </w:r>
      <w:r w:rsidRPr="00380B40">
        <w:rPr>
          <w:lang w:val="en-GB"/>
        </w:rPr>
        <w:t>rapporteurs</w:t>
      </w:r>
      <w:r w:rsidRPr="00380B40">
        <w:rPr>
          <w:spacing w:val="23"/>
          <w:lang w:val="en-GB"/>
        </w:rPr>
        <w:t xml:space="preserve"> </w:t>
      </w:r>
      <w:r w:rsidRPr="00380B40">
        <w:rPr>
          <w:lang w:val="en-GB"/>
        </w:rPr>
        <w:t>to</w:t>
      </w:r>
      <w:r w:rsidRPr="00380B40">
        <w:rPr>
          <w:spacing w:val="24"/>
          <w:lang w:val="en-GB"/>
        </w:rPr>
        <w:t xml:space="preserve"> </w:t>
      </w:r>
      <w:r w:rsidRPr="00380B40">
        <w:rPr>
          <w:lang w:val="en-GB"/>
        </w:rPr>
        <w:t>be</w:t>
      </w:r>
      <w:r w:rsidRPr="00380B40">
        <w:rPr>
          <w:spacing w:val="24"/>
          <w:lang w:val="en-GB"/>
        </w:rPr>
        <w:t xml:space="preserve"> </w:t>
      </w:r>
      <w:r w:rsidRPr="00380B40">
        <w:rPr>
          <w:lang w:val="en-GB"/>
        </w:rPr>
        <w:t>responsible</w:t>
      </w:r>
      <w:r w:rsidRPr="00380B40">
        <w:rPr>
          <w:spacing w:val="25"/>
          <w:lang w:val="en-GB"/>
        </w:rPr>
        <w:t xml:space="preserve"> </w:t>
      </w:r>
      <w:r w:rsidRPr="00380B40">
        <w:rPr>
          <w:lang w:val="en-GB"/>
        </w:rPr>
        <w:t>for</w:t>
      </w:r>
      <w:r w:rsidRPr="00380B40">
        <w:rPr>
          <w:spacing w:val="24"/>
          <w:lang w:val="en-GB"/>
        </w:rPr>
        <w:t xml:space="preserve"> </w:t>
      </w:r>
      <w:r w:rsidRPr="00380B40">
        <w:rPr>
          <w:lang w:val="en-GB"/>
        </w:rPr>
        <w:t>progressing</w:t>
      </w:r>
      <w:r w:rsidRPr="00380B40">
        <w:rPr>
          <w:spacing w:val="23"/>
          <w:lang w:val="en-GB"/>
        </w:rPr>
        <w:t xml:space="preserve"> </w:t>
      </w:r>
      <w:r w:rsidRPr="00380B40">
        <w:rPr>
          <w:lang w:val="en-GB"/>
        </w:rPr>
        <w:t>the</w:t>
      </w:r>
      <w:r w:rsidRPr="00380B40">
        <w:rPr>
          <w:spacing w:val="67"/>
          <w:lang w:val="en-GB"/>
        </w:rPr>
        <w:t xml:space="preserve"> </w:t>
      </w:r>
      <w:r w:rsidRPr="00380B40">
        <w:rPr>
          <w:lang w:val="en-GB"/>
        </w:rPr>
        <w:t>study</w:t>
      </w:r>
      <w:r w:rsidRPr="00380B40">
        <w:rPr>
          <w:spacing w:val="28"/>
          <w:lang w:val="en-GB"/>
        </w:rPr>
        <w:t xml:space="preserve"> </w:t>
      </w:r>
      <w:r w:rsidRPr="00380B40">
        <w:rPr>
          <w:lang w:val="en-GB"/>
        </w:rPr>
        <w:t>of</w:t>
      </w:r>
      <w:r w:rsidRPr="00380B40">
        <w:rPr>
          <w:spacing w:val="34"/>
          <w:lang w:val="en-GB"/>
        </w:rPr>
        <w:t xml:space="preserve"> </w:t>
      </w:r>
      <w:r w:rsidRPr="00380B40">
        <w:rPr>
          <w:lang w:val="en-GB"/>
        </w:rPr>
        <w:t>those</w:t>
      </w:r>
      <w:r w:rsidRPr="00380B40">
        <w:rPr>
          <w:spacing w:val="33"/>
          <w:lang w:val="en-GB"/>
        </w:rPr>
        <w:t xml:space="preserve"> </w:t>
      </w:r>
      <w:r w:rsidRPr="00380B40">
        <w:rPr>
          <w:lang w:val="en-GB"/>
        </w:rPr>
        <w:t>Questions,</w:t>
      </w:r>
      <w:r w:rsidRPr="00380B40">
        <w:rPr>
          <w:spacing w:val="33"/>
          <w:lang w:val="en-GB"/>
        </w:rPr>
        <w:t xml:space="preserve"> </w:t>
      </w:r>
      <w:r w:rsidRPr="00380B40">
        <w:rPr>
          <w:lang w:val="en-GB"/>
        </w:rPr>
        <w:t>or</w:t>
      </w:r>
      <w:r w:rsidRPr="00380B40">
        <w:rPr>
          <w:spacing w:val="32"/>
          <w:lang w:val="en-GB"/>
        </w:rPr>
        <w:t xml:space="preserve"> </w:t>
      </w:r>
      <w:r w:rsidRPr="00380B40">
        <w:rPr>
          <w:lang w:val="en-GB"/>
        </w:rPr>
        <w:t>specific</w:t>
      </w:r>
      <w:r w:rsidRPr="00380B40">
        <w:rPr>
          <w:spacing w:val="32"/>
          <w:lang w:val="en-GB"/>
        </w:rPr>
        <w:t xml:space="preserve"> </w:t>
      </w:r>
      <w:r w:rsidRPr="00380B40">
        <w:rPr>
          <w:spacing w:val="1"/>
          <w:lang w:val="en-GB"/>
        </w:rPr>
        <w:t>study</w:t>
      </w:r>
      <w:r w:rsidRPr="00380B40">
        <w:rPr>
          <w:spacing w:val="28"/>
          <w:lang w:val="en-GB"/>
        </w:rPr>
        <w:t xml:space="preserve"> </w:t>
      </w:r>
      <w:r w:rsidRPr="00380B40">
        <w:rPr>
          <w:lang w:val="en-GB"/>
        </w:rPr>
        <w:t>topics,</w:t>
      </w:r>
      <w:r w:rsidRPr="00380B40">
        <w:rPr>
          <w:spacing w:val="33"/>
          <w:lang w:val="en-GB"/>
        </w:rPr>
        <w:t xml:space="preserve"> </w:t>
      </w:r>
      <w:r w:rsidRPr="00380B40">
        <w:rPr>
          <w:lang w:val="en-GB"/>
        </w:rPr>
        <w:t>that</w:t>
      </w:r>
      <w:r w:rsidRPr="00380B40">
        <w:rPr>
          <w:spacing w:val="33"/>
          <w:lang w:val="en-GB"/>
        </w:rPr>
        <w:t xml:space="preserve"> </w:t>
      </w:r>
      <w:r w:rsidRPr="00380B40">
        <w:rPr>
          <w:lang w:val="en-GB"/>
        </w:rPr>
        <w:t>are</w:t>
      </w:r>
      <w:r w:rsidRPr="00380B40">
        <w:rPr>
          <w:spacing w:val="32"/>
          <w:lang w:val="en-GB"/>
        </w:rPr>
        <w:t xml:space="preserve"> </w:t>
      </w:r>
      <w:r w:rsidRPr="00380B40">
        <w:rPr>
          <w:lang w:val="en-GB"/>
        </w:rPr>
        <w:t>felt</w:t>
      </w:r>
      <w:r w:rsidRPr="00380B40">
        <w:rPr>
          <w:spacing w:val="34"/>
          <w:lang w:val="en-GB"/>
        </w:rPr>
        <w:t xml:space="preserve"> </w:t>
      </w:r>
      <w:r w:rsidRPr="00380B40">
        <w:rPr>
          <w:lang w:val="en-GB"/>
        </w:rPr>
        <w:t>to</w:t>
      </w:r>
      <w:r w:rsidRPr="00380B40">
        <w:rPr>
          <w:spacing w:val="33"/>
          <w:lang w:val="en-GB"/>
        </w:rPr>
        <w:t xml:space="preserve"> </w:t>
      </w:r>
      <w:r w:rsidRPr="00380B40">
        <w:rPr>
          <w:lang w:val="en-GB"/>
        </w:rPr>
        <w:t>be</w:t>
      </w:r>
      <w:r w:rsidRPr="00380B40">
        <w:rPr>
          <w:spacing w:val="32"/>
          <w:lang w:val="en-GB"/>
        </w:rPr>
        <w:t xml:space="preserve"> </w:t>
      </w:r>
      <w:r w:rsidRPr="00380B40">
        <w:rPr>
          <w:lang w:val="en-GB"/>
        </w:rPr>
        <w:t>likely</w:t>
      </w:r>
      <w:r w:rsidRPr="00380B40">
        <w:rPr>
          <w:spacing w:val="28"/>
          <w:lang w:val="en-GB"/>
        </w:rPr>
        <w:t xml:space="preserve"> </w:t>
      </w:r>
      <w:r w:rsidRPr="00380B40">
        <w:rPr>
          <w:lang w:val="en-GB"/>
        </w:rPr>
        <w:t>to</w:t>
      </w:r>
      <w:r w:rsidRPr="00380B40">
        <w:rPr>
          <w:spacing w:val="33"/>
          <w:lang w:val="en-GB"/>
        </w:rPr>
        <w:t xml:space="preserve"> </w:t>
      </w:r>
      <w:r w:rsidRPr="00380B40">
        <w:rPr>
          <w:lang w:val="en-GB"/>
        </w:rPr>
        <w:t>benefit</w:t>
      </w:r>
      <w:r w:rsidRPr="00380B40">
        <w:rPr>
          <w:spacing w:val="33"/>
          <w:lang w:val="en-GB"/>
        </w:rPr>
        <w:t xml:space="preserve"> </w:t>
      </w:r>
      <w:r w:rsidRPr="00380B40">
        <w:rPr>
          <w:lang w:val="en-GB"/>
        </w:rPr>
        <w:t>from</w:t>
      </w:r>
      <w:r w:rsidRPr="00380B40">
        <w:rPr>
          <w:spacing w:val="33"/>
          <w:lang w:val="en-GB"/>
        </w:rPr>
        <w:t xml:space="preserve"> </w:t>
      </w:r>
      <w:r w:rsidRPr="00380B40">
        <w:rPr>
          <w:lang w:val="en-GB"/>
        </w:rPr>
        <w:t>such</w:t>
      </w:r>
      <w:r w:rsidRPr="00380B40">
        <w:rPr>
          <w:spacing w:val="34"/>
          <w:lang w:val="en-GB"/>
        </w:rPr>
        <w:t xml:space="preserve"> </w:t>
      </w:r>
      <w:r w:rsidRPr="00380B40">
        <w:rPr>
          <w:lang w:val="en-GB"/>
        </w:rPr>
        <w:t>appointments.</w:t>
      </w:r>
      <w:r w:rsidRPr="00380B40">
        <w:rPr>
          <w:spacing w:val="-7"/>
          <w:lang w:val="en-GB"/>
        </w:rPr>
        <w:t xml:space="preserve"> </w:t>
      </w:r>
      <w:r w:rsidRPr="00380B40">
        <w:rPr>
          <w:lang w:val="en-GB"/>
        </w:rPr>
        <w:t>The</w:t>
      </w:r>
      <w:r w:rsidRPr="00380B40">
        <w:rPr>
          <w:spacing w:val="-9"/>
          <w:lang w:val="en-GB"/>
        </w:rPr>
        <w:t xml:space="preserve"> </w:t>
      </w:r>
      <w:r w:rsidRPr="00380B40">
        <w:rPr>
          <w:lang w:val="en-GB"/>
        </w:rPr>
        <w:t>same</w:t>
      </w:r>
      <w:r w:rsidRPr="00380B40">
        <w:rPr>
          <w:spacing w:val="-6"/>
          <w:lang w:val="en-GB"/>
        </w:rPr>
        <w:t xml:space="preserve"> </w:t>
      </w:r>
      <w:r w:rsidRPr="00380B40">
        <w:rPr>
          <w:lang w:val="en-GB"/>
        </w:rPr>
        <w:t>person</w:t>
      </w:r>
      <w:r w:rsidRPr="00380B40">
        <w:rPr>
          <w:spacing w:val="-8"/>
          <w:lang w:val="en-GB"/>
        </w:rPr>
        <w:t xml:space="preserve"> </w:t>
      </w:r>
      <w:r w:rsidRPr="00380B40">
        <w:rPr>
          <w:spacing w:val="1"/>
          <w:lang w:val="en-GB"/>
        </w:rPr>
        <w:t>may</w:t>
      </w:r>
      <w:r w:rsidRPr="00380B40">
        <w:rPr>
          <w:spacing w:val="-12"/>
          <w:lang w:val="en-GB"/>
        </w:rPr>
        <w:t xml:space="preserve"> </w:t>
      </w:r>
      <w:r w:rsidRPr="00380B40">
        <w:rPr>
          <w:lang w:val="en-GB"/>
        </w:rPr>
        <w:t>be</w:t>
      </w:r>
      <w:r w:rsidRPr="00380B40">
        <w:rPr>
          <w:spacing w:val="-6"/>
          <w:lang w:val="en-GB"/>
        </w:rPr>
        <w:t xml:space="preserve"> </w:t>
      </w:r>
      <w:r w:rsidRPr="00380B40">
        <w:rPr>
          <w:lang w:val="en-GB"/>
        </w:rPr>
        <w:t>appointed</w:t>
      </w:r>
      <w:r w:rsidRPr="00380B40">
        <w:rPr>
          <w:spacing w:val="-5"/>
          <w:lang w:val="en-GB"/>
        </w:rPr>
        <w:t xml:space="preserve"> </w:t>
      </w:r>
      <w:r w:rsidRPr="00380B40">
        <w:rPr>
          <w:lang w:val="en-GB"/>
        </w:rPr>
        <w:t>as</w:t>
      </w:r>
      <w:r w:rsidRPr="00380B40">
        <w:rPr>
          <w:spacing w:val="-7"/>
          <w:lang w:val="en-GB"/>
        </w:rPr>
        <w:t xml:space="preserve"> </w:t>
      </w:r>
      <w:r w:rsidRPr="00380B40">
        <w:rPr>
          <w:lang w:val="en-GB"/>
        </w:rPr>
        <w:t>rapporteur</w:t>
      </w:r>
      <w:r w:rsidRPr="00380B40">
        <w:rPr>
          <w:spacing w:val="-8"/>
          <w:lang w:val="en-GB"/>
        </w:rPr>
        <w:t xml:space="preserve"> </w:t>
      </w:r>
      <w:r w:rsidRPr="00380B40">
        <w:rPr>
          <w:lang w:val="en-GB"/>
        </w:rPr>
        <w:t>for</w:t>
      </w:r>
      <w:r w:rsidRPr="00380B40">
        <w:rPr>
          <w:spacing w:val="-8"/>
          <w:lang w:val="en-GB"/>
        </w:rPr>
        <w:t xml:space="preserve"> </w:t>
      </w:r>
      <w:r w:rsidRPr="00380B40">
        <w:rPr>
          <w:lang w:val="en-GB"/>
        </w:rPr>
        <w:t>more</w:t>
      </w:r>
      <w:r w:rsidRPr="00380B40">
        <w:rPr>
          <w:spacing w:val="-9"/>
          <w:lang w:val="en-GB"/>
        </w:rPr>
        <w:t xml:space="preserve"> </w:t>
      </w:r>
      <w:r w:rsidRPr="00380B40">
        <w:rPr>
          <w:lang w:val="en-GB"/>
        </w:rPr>
        <w:t>than</w:t>
      </w:r>
      <w:r w:rsidRPr="00380B40">
        <w:rPr>
          <w:spacing w:val="-8"/>
          <w:lang w:val="en-GB"/>
        </w:rPr>
        <w:t xml:space="preserve"> </w:t>
      </w:r>
      <w:r w:rsidRPr="00380B40">
        <w:rPr>
          <w:lang w:val="en-GB"/>
        </w:rPr>
        <w:t>one</w:t>
      </w:r>
      <w:r w:rsidRPr="00380B40">
        <w:rPr>
          <w:spacing w:val="-9"/>
          <w:lang w:val="en-GB"/>
        </w:rPr>
        <w:t xml:space="preserve"> </w:t>
      </w:r>
      <w:r w:rsidRPr="00380B40">
        <w:rPr>
          <w:lang w:val="en-GB"/>
        </w:rPr>
        <w:t>Question,</w:t>
      </w:r>
      <w:r w:rsidRPr="00380B40">
        <w:rPr>
          <w:spacing w:val="-8"/>
          <w:lang w:val="en-GB"/>
        </w:rPr>
        <w:t xml:space="preserve"> </w:t>
      </w:r>
      <w:r w:rsidRPr="00380B40">
        <w:rPr>
          <w:lang w:val="en-GB"/>
        </w:rPr>
        <w:t>or</w:t>
      </w:r>
      <w:r w:rsidRPr="00380B40">
        <w:rPr>
          <w:spacing w:val="-8"/>
          <w:lang w:val="en-GB"/>
        </w:rPr>
        <w:t xml:space="preserve"> </w:t>
      </w:r>
      <w:r w:rsidRPr="00380B40">
        <w:rPr>
          <w:lang w:val="en-GB"/>
        </w:rPr>
        <w:t>topic,</w:t>
      </w:r>
      <w:r w:rsidRPr="00380B40">
        <w:rPr>
          <w:spacing w:val="94"/>
          <w:lang w:val="en-GB"/>
        </w:rPr>
        <w:t xml:space="preserve"> </w:t>
      </w:r>
      <w:r w:rsidRPr="00380B40">
        <w:rPr>
          <w:lang w:val="en-GB"/>
        </w:rPr>
        <w:t>particularly</w:t>
      </w:r>
      <w:r w:rsidRPr="00380B40">
        <w:rPr>
          <w:spacing w:val="45"/>
          <w:lang w:val="en-GB"/>
        </w:rPr>
        <w:t xml:space="preserve"> </w:t>
      </w:r>
      <w:r w:rsidRPr="00380B40">
        <w:rPr>
          <w:lang w:val="en-GB"/>
        </w:rPr>
        <w:t>if</w:t>
      </w:r>
      <w:r w:rsidRPr="00380B40">
        <w:rPr>
          <w:spacing w:val="49"/>
          <w:lang w:val="en-GB"/>
        </w:rPr>
        <w:t xml:space="preserve"> </w:t>
      </w:r>
      <w:r w:rsidRPr="00380B40">
        <w:rPr>
          <w:lang w:val="en-GB"/>
        </w:rPr>
        <w:t>the</w:t>
      </w:r>
      <w:r w:rsidRPr="00380B40">
        <w:rPr>
          <w:spacing w:val="49"/>
          <w:lang w:val="en-GB"/>
        </w:rPr>
        <w:t xml:space="preserve"> </w:t>
      </w:r>
      <w:r w:rsidRPr="00380B40">
        <w:rPr>
          <w:lang w:val="en-GB"/>
        </w:rPr>
        <w:t>Questions,</w:t>
      </w:r>
      <w:r w:rsidRPr="00380B40">
        <w:rPr>
          <w:spacing w:val="50"/>
          <w:lang w:val="en-GB"/>
        </w:rPr>
        <w:t xml:space="preserve"> </w:t>
      </w:r>
      <w:r w:rsidRPr="00380B40">
        <w:rPr>
          <w:lang w:val="en-GB"/>
        </w:rPr>
        <w:t>parts</w:t>
      </w:r>
      <w:r w:rsidRPr="00380B40">
        <w:rPr>
          <w:spacing w:val="50"/>
          <w:lang w:val="en-GB"/>
        </w:rPr>
        <w:t xml:space="preserve"> </w:t>
      </w:r>
      <w:r w:rsidRPr="00380B40">
        <w:rPr>
          <w:lang w:val="en-GB"/>
        </w:rPr>
        <w:t>of</w:t>
      </w:r>
      <w:r w:rsidRPr="00380B40">
        <w:rPr>
          <w:spacing w:val="49"/>
          <w:lang w:val="en-GB"/>
        </w:rPr>
        <w:t xml:space="preserve"> </w:t>
      </w:r>
      <w:r w:rsidRPr="00380B40">
        <w:rPr>
          <w:lang w:val="en-GB"/>
        </w:rPr>
        <w:t>Questions,</w:t>
      </w:r>
      <w:r w:rsidRPr="00380B40">
        <w:rPr>
          <w:spacing w:val="50"/>
          <w:lang w:val="en-GB"/>
        </w:rPr>
        <w:t xml:space="preserve"> </w:t>
      </w:r>
      <w:r w:rsidRPr="00380B40">
        <w:rPr>
          <w:lang w:val="en-GB"/>
        </w:rPr>
        <w:t>terminology,</w:t>
      </w:r>
      <w:r w:rsidRPr="00380B40">
        <w:rPr>
          <w:spacing w:val="50"/>
          <w:lang w:val="en-GB"/>
        </w:rPr>
        <w:t xml:space="preserve"> </w:t>
      </w:r>
      <w:r w:rsidRPr="00380B40">
        <w:rPr>
          <w:spacing w:val="1"/>
          <w:lang w:val="en-GB"/>
        </w:rPr>
        <w:t>or</w:t>
      </w:r>
      <w:r w:rsidRPr="00380B40">
        <w:rPr>
          <w:spacing w:val="51"/>
          <w:lang w:val="en-GB"/>
        </w:rPr>
        <w:t xml:space="preserve"> </w:t>
      </w:r>
      <w:r w:rsidRPr="00380B40">
        <w:rPr>
          <w:lang w:val="en-GB"/>
        </w:rPr>
        <w:t>amendment</w:t>
      </w:r>
      <w:r w:rsidRPr="00380B40">
        <w:rPr>
          <w:spacing w:val="50"/>
          <w:lang w:val="en-GB"/>
        </w:rPr>
        <w:t xml:space="preserve"> </w:t>
      </w:r>
      <w:r w:rsidRPr="00380B40">
        <w:rPr>
          <w:lang w:val="en-GB"/>
        </w:rPr>
        <w:t>of</w:t>
      </w:r>
      <w:r w:rsidRPr="00380B40">
        <w:rPr>
          <w:spacing w:val="49"/>
          <w:lang w:val="en-GB"/>
        </w:rPr>
        <w:t xml:space="preserve"> </w:t>
      </w:r>
      <w:r w:rsidRPr="00380B40">
        <w:rPr>
          <w:lang w:val="en-GB"/>
        </w:rPr>
        <w:t>existing</w:t>
      </w:r>
      <w:r w:rsidRPr="00380B40">
        <w:rPr>
          <w:spacing w:val="49"/>
          <w:lang w:val="en-GB"/>
        </w:rPr>
        <w:t xml:space="preserve"> </w:t>
      </w:r>
      <w:r w:rsidRPr="00380B40">
        <w:rPr>
          <w:lang w:val="en-GB"/>
        </w:rPr>
        <w:t>Recommendations concerned are closely</w:t>
      </w:r>
      <w:r w:rsidRPr="00380B40">
        <w:rPr>
          <w:spacing w:val="-5"/>
          <w:lang w:val="en-GB"/>
        </w:rPr>
        <w:t xml:space="preserve"> </w:t>
      </w:r>
      <w:r w:rsidRPr="00380B40">
        <w:rPr>
          <w:lang w:val="en-GB"/>
        </w:rPr>
        <w:t>related.</w:t>
      </w:r>
    </w:p>
    <w:p w14:paraId="0DEB3AD3" w14:textId="77777777" w:rsidR="00DB6A21" w:rsidRPr="00380B40" w:rsidRDefault="00DB6A21" w:rsidP="00C12517">
      <w:pPr>
        <w:rPr>
          <w:b/>
          <w:bCs/>
          <w:lang w:val="en-GB"/>
        </w:rPr>
      </w:pPr>
      <w:r w:rsidRPr="00380B40">
        <w:rPr>
          <w:b/>
          <w:bCs/>
          <w:lang w:val="en-GB"/>
        </w:rPr>
        <w:br w:type="page"/>
      </w:r>
    </w:p>
    <w:p w14:paraId="143C71B1" w14:textId="77777777" w:rsidR="00C12517" w:rsidRPr="00380B40" w:rsidRDefault="00C12517" w:rsidP="00C12517">
      <w:pPr>
        <w:rPr>
          <w:lang w:val="en-GB"/>
        </w:rPr>
      </w:pPr>
      <w:r w:rsidRPr="00380B40">
        <w:rPr>
          <w:b/>
          <w:bCs/>
          <w:lang w:val="en-GB"/>
        </w:rPr>
        <w:t>2.3.3.2</w:t>
      </w:r>
      <w:r w:rsidRPr="00380B40">
        <w:rPr>
          <w:lang w:val="en-GB"/>
        </w:rPr>
        <w:tab/>
        <w:t>Rapporteurs</w:t>
      </w:r>
      <w:r w:rsidRPr="00380B40">
        <w:rPr>
          <w:spacing w:val="1"/>
          <w:lang w:val="en-GB"/>
        </w:rPr>
        <w:t xml:space="preserve"> may</w:t>
      </w:r>
      <w:r w:rsidRPr="00380B40">
        <w:rPr>
          <w:spacing w:val="-3"/>
          <w:lang w:val="en-GB"/>
        </w:rPr>
        <w:t xml:space="preserve"> </w:t>
      </w:r>
      <w:r w:rsidRPr="00380B40">
        <w:rPr>
          <w:lang w:val="en-GB"/>
        </w:rPr>
        <w:t>be</w:t>
      </w:r>
      <w:r w:rsidRPr="00380B40">
        <w:rPr>
          <w:spacing w:val="1"/>
          <w:lang w:val="en-GB"/>
        </w:rPr>
        <w:t xml:space="preserve"> </w:t>
      </w:r>
      <w:r w:rsidRPr="00380B40">
        <w:rPr>
          <w:lang w:val="en-GB"/>
        </w:rPr>
        <w:t>appointed</w:t>
      </w:r>
      <w:r w:rsidRPr="00380B40">
        <w:rPr>
          <w:spacing w:val="2"/>
          <w:lang w:val="en-GB"/>
        </w:rPr>
        <w:t xml:space="preserve"> </w:t>
      </w:r>
      <w:r w:rsidRPr="00380B40">
        <w:rPr>
          <w:lang w:val="en-GB"/>
        </w:rPr>
        <w:t>(and</w:t>
      </w:r>
      <w:r w:rsidRPr="00380B40">
        <w:rPr>
          <w:spacing w:val="2"/>
          <w:lang w:val="en-GB"/>
        </w:rPr>
        <w:t xml:space="preserve"> </w:t>
      </w:r>
      <w:r w:rsidRPr="00380B40">
        <w:rPr>
          <w:lang w:val="en-GB"/>
        </w:rPr>
        <w:t>their</w:t>
      </w:r>
      <w:r w:rsidRPr="00380B40">
        <w:rPr>
          <w:spacing w:val="1"/>
          <w:lang w:val="en-GB"/>
        </w:rPr>
        <w:t xml:space="preserve"> </w:t>
      </w:r>
      <w:r w:rsidRPr="00380B40">
        <w:rPr>
          <w:lang w:val="en-GB"/>
        </w:rPr>
        <w:t>appointments</w:t>
      </w:r>
      <w:r w:rsidRPr="00380B40">
        <w:rPr>
          <w:spacing w:val="2"/>
          <w:lang w:val="en-GB"/>
        </w:rPr>
        <w:t xml:space="preserve"> </w:t>
      </w:r>
      <w:r w:rsidRPr="00380B40">
        <w:rPr>
          <w:lang w:val="en-GB"/>
        </w:rPr>
        <w:t>may</w:t>
      </w:r>
      <w:r w:rsidRPr="00380B40">
        <w:rPr>
          <w:spacing w:val="-3"/>
          <w:lang w:val="en-GB"/>
        </w:rPr>
        <w:t xml:space="preserve"> </w:t>
      </w:r>
      <w:r w:rsidRPr="00380B40">
        <w:rPr>
          <w:lang w:val="en-GB"/>
        </w:rPr>
        <w:t>be</w:t>
      </w:r>
      <w:r w:rsidRPr="00380B40">
        <w:rPr>
          <w:spacing w:val="1"/>
          <w:lang w:val="en-GB"/>
        </w:rPr>
        <w:t xml:space="preserve"> </w:t>
      </w:r>
      <w:r w:rsidRPr="00380B40">
        <w:rPr>
          <w:lang w:val="en-GB"/>
        </w:rPr>
        <w:t>terminated)</w:t>
      </w:r>
      <w:r w:rsidRPr="00380B40">
        <w:rPr>
          <w:spacing w:val="1"/>
          <w:lang w:val="en-GB"/>
        </w:rPr>
        <w:t xml:space="preserve"> </w:t>
      </w:r>
      <w:r w:rsidRPr="00380B40">
        <w:rPr>
          <w:lang w:val="en-GB"/>
        </w:rPr>
        <w:t>at</w:t>
      </w:r>
      <w:r w:rsidRPr="00380B40">
        <w:rPr>
          <w:spacing w:val="2"/>
          <w:lang w:val="en-GB"/>
        </w:rPr>
        <w:t xml:space="preserve"> </w:t>
      </w:r>
      <w:r w:rsidRPr="00380B40">
        <w:rPr>
          <w:spacing w:val="1"/>
          <w:lang w:val="en-GB"/>
        </w:rPr>
        <w:t>any</w:t>
      </w:r>
      <w:r w:rsidRPr="00380B40">
        <w:rPr>
          <w:spacing w:val="3"/>
          <w:lang w:val="en-GB"/>
        </w:rPr>
        <w:t xml:space="preserve"> </w:t>
      </w:r>
      <w:r w:rsidRPr="00380B40">
        <w:rPr>
          <w:lang w:val="en-GB"/>
        </w:rPr>
        <w:t>time</w:t>
      </w:r>
      <w:r w:rsidRPr="00380B40">
        <w:rPr>
          <w:spacing w:val="1"/>
          <w:lang w:val="en-GB"/>
        </w:rPr>
        <w:t xml:space="preserve"> </w:t>
      </w:r>
      <w:r w:rsidRPr="00380B40">
        <w:rPr>
          <w:lang w:val="en-GB"/>
        </w:rPr>
        <w:t>with</w:t>
      </w:r>
      <w:r w:rsidRPr="00380B40">
        <w:rPr>
          <w:spacing w:val="32"/>
          <w:lang w:val="en-GB"/>
        </w:rPr>
        <w:t xml:space="preserve"> </w:t>
      </w:r>
      <w:r w:rsidRPr="00380B40">
        <w:rPr>
          <w:lang w:val="en-GB"/>
        </w:rPr>
        <w:t>the</w:t>
      </w:r>
      <w:r w:rsidRPr="00380B40">
        <w:rPr>
          <w:spacing w:val="6"/>
          <w:lang w:val="en-GB"/>
        </w:rPr>
        <w:t xml:space="preserve"> </w:t>
      </w:r>
      <w:r w:rsidRPr="00380B40">
        <w:rPr>
          <w:lang w:val="en-GB"/>
        </w:rPr>
        <w:t>agreement</w:t>
      </w:r>
      <w:r w:rsidRPr="00380B40">
        <w:rPr>
          <w:spacing w:val="7"/>
          <w:lang w:val="en-GB"/>
        </w:rPr>
        <w:t xml:space="preserve"> </w:t>
      </w:r>
      <w:r w:rsidRPr="00380B40">
        <w:rPr>
          <w:lang w:val="en-GB"/>
        </w:rPr>
        <w:t>of</w:t>
      </w:r>
      <w:r w:rsidRPr="00380B40">
        <w:rPr>
          <w:spacing w:val="6"/>
          <w:lang w:val="en-GB"/>
        </w:rPr>
        <w:t xml:space="preserve"> </w:t>
      </w:r>
      <w:r w:rsidRPr="00380B40">
        <w:rPr>
          <w:lang w:val="en-GB"/>
        </w:rPr>
        <w:t>the</w:t>
      </w:r>
      <w:r w:rsidRPr="00380B40">
        <w:rPr>
          <w:spacing w:val="6"/>
          <w:lang w:val="en-GB"/>
        </w:rPr>
        <w:t xml:space="preserve"> </w:t>
      </w:r>
      <w:r w:rsidRPr="00380B40">
        <w:rPr>
          <w:lang w:val="en-GB"/>
        </w:rPr>
        <w:t>competent</w:t>
      </w:r>
      <w:r w:rsidRPr="00380B40">
        <w:rPr>
          <w:spacing w:val="7"/>
          <w:lang w:val="en-GB"/>
        </w:rPr>
        <w:t xml:space="preserve"> </w:t>
      </w:r>
      <w:r w:rsidRPr="00380B40">
        <w:rPr>
          <w:lang w:val="en-GB"/>
        </w:rPr>
        <w:t>working</w:t>
      </w:r>
      <w:r w:rsidRPr="00380B40">
        <w:rPr>
          <w:spacing w:val="5"/>
          <w:lang w:val="en-GB"/>
        </w:rPr>
        <w:t xml:space="preserve"> </w:t>
      </w:r>
      <w:r w:rsidRPr="00380B40">
        <w:rPr>
          <w:lang w:val="en-GB"/>
        </w:rPr>
        <w:t>party,</w:t>
      </w:r>
      <w:r w:rsidRPr="00380B40">
        <w:rPr>
          <w:spacing w:val="6"/>
          <w:lang w:val="en-GB"/>
        </w:rPr>
        <w:t xml:space="preserve"> </w:t>
      </w:r>
      <w:r w:rsidRPr="00380B40">
        <w:rPr>
          <w:lang w:val="en-GB"/>
        </w:rPr>
        <w:t>or</w:t>
      </w:r>
      <w:r w:rsidRPr="00380B40">
        <w:rPr>
          <w:spacing w:val="6"/>
          <w:lang w:val="en-GB"/>
        </w:rPr>
        <w:t xml:space="preserve"> </w:t>
      </w:r>
      <w:r w:rsidRPr="00380B40">
        <w:rPr>
          <w:lang w:val="en-GB"/>
        </w:rPr>
        <w:t>of</w:t>
      </w:r>
      <w:r w:rsidRPr="00380B40">
        <w:rPr>
          <w:spacing w:val="6"/>
          <w:lang w:val="en-GB"/>
        </w:rPr>
        <w:t xml:space="preserve"> </w:t>
      </w:r>
      <w:r w:rsidRPr="00380B40">
        <w:rPr>
          <w:lang w:val="en-GB"/>
        </w:rPr>
        <w:t>the</w:t>
      </w:r>
      <w:r w:rsidRPr="00380B40">
        <w:rPr>
          <w:spacing w:val="6"/>
          <w:lang w:val="en-GB"/>
        </w:rPr>
        <w:t xml:space="preserve"> </w:t>
      </w:r>
      <w:r w:rsidRPr="00380B40">
        <w:rPr>
          <w:lang w:val="en-GB"/>
        </w:rPr>
        <w:t>study</w:t>
      </w:r>
      <w:r w:rsidRPr="00380B40">
        <w:rPr>
          <w:spacing w:val="4"/>
          <w:lang w:val="en-GB"/>
        </w:rPr>
        <w:t xml:space="preserve"> </w:t>
      </w:r>
      <w:r w:rsidRPr="00380B40">
        <w:rPr>
          <w:lang w:val="en-GB"/>
        </w:rPr>
        <w:t>group,</w:t>
      </w:r>
      <w:r w:rsidRPr="00380B40">
        <w:rPr>
          <w:spacing w:val="6"/>
          <w:lang w:val="en-GB"/>
        </w:rPr>
        <w:t xml:space="preserve"> </w:t>
      </w:r>
      <w:r w:rsidRPr="00380B40">
        <w:rPr>
          <w:lang w:val="en-GB"/>
        </w:rPr>
        <w:t>where</w:t>
      </w:r>
      <w:r w:rsidRPr="00380B40">
        <w:rPr>
          <w:spacing w:val="5"/>
          <w:lang w:val="en-GB"/>
        </w:rPr>
        <w:t xml:space="preserve"> </w:t>
      </w:r>
      <w:r w:rsidRPr="00380B40">
        <w:rPr>
          <w:lang w:val="en-GB"/>
        </w:rPr>
        <w:t>the</w:t>
      </w:r>
      <w:r w:rsidRPr="00380B40">
        <w:rPr>
          <w:spacing w:val="6"/>
          <w:lang w:val="en-GB"/>
        </w:rPr>
        <w:t xml:space="preserve"> </w:t>
      </w:r>
      <w:r w:rsidRPr="00380B40">
        <w:rPr>
          <w:lang w:val="en-GB"/>
        </w:rPr>
        <w:t>Question(s)</w:t>
      </w:r>
      <w:r w:rsidRPr="00380B40">
        <w:rPr>
          <w:spacing w:val="5"/>
          <w:lang w:val="en-GB"/>
        </w:rPr>
        <w:t xml:space="preserve"> </w:t>
      </w:r>
      <w:r w:rsidRPr="00380B40">
        <w:rPr>
          <w:lang w:val="en-GB"/>
        </w:rPr>
        <w:t>are</w:t>
      </w:r>
      <w:r w:rsidRPr="00380B40">
        <w:rPr>
          <w:spacing w:val="5"/>
          <w:lang w:val="en-GB"/>
        </w:rPr>
        <w:t xml:space="preserve"> </w:t>
      </w:r>
      <w:r w:rsidRPr="00380B40">
        <w:rPr>
          <w:lang w:val="en-GB"/>
        </w:rPr>
        <w:t>not</w:t>
      </w:r>
      <w:r w:rsidRPr="00380B40">
        <w:rPr>
          <w:spacing w:val="60"/>
          <w:lang w:val="en-GB"/>
        </w:rPr>
        <w:t xml:space="preserve"> </w:t>
      </w:r>
      <w:r w:rsidRPr="00380B40">
        <w:rPr>
          <w:lang w:val="en-GB"/>
        </w:rPr>
        <w:t>allocated</w:t>
      </w:r>
      <w:r w:rsidRPr="00380B40">
        <w:rPr>
          <w:spacing w:val="8"/>
          <w:lang w:val="en-GB"/>
        </w:rPr>
        <w:t xml:space="preserve"> </w:t>
      </w:r>
      <w:r w:rsidRPr="00380B40">
        <w:rPr>
          <w:lang w:val="en-GB"/>
        </w:rPr>
        <w:t>to</w:t>
      </w:r>
      <w:r w:rsidRPr="00380B40">
        <w:rPr>
          <w:spacing w:val="9"/>
          <w:lang w:val="en-GB"/>
        </w:rPr>
        <w:t xml:space="preserve"> </w:t>
      </w:r>
      <w:r w:rsidRPr="00380B40">
        <w:rPr>
          <w:lang w:val="en-GB"/>
        </w:rPr>
        <w:t>a</w:t>
      </w:r>
      <w:r w:rsidRPr="00380B40">
        <w:rPr>
          <w:spacing w:val="8"/>
          <w:lang w:val="en-GB"/>
        </w:rPr>
        <w:t xml:space="preserve"> </w:t>
      </w:r>
      <w:r w:rsidRPr="00380B40">
        <w:rPr>
          <w:lang w:val="en-GB"/>
        </w:rPr>
        <w:t>working</w:t>
      </w:r>
      <w:r w:rsidRPr="00380B40">
        <w:rPr>
          <w:spacing w:val="7"/>
          <w:lang w:val="en-GB"/>
        </w:rPr>
        <w:t xml:space="preserve"> </w:t>
      </w:r>
      <w:r w:rsidRPr="00380B40">
        <w:rPr>
          <w:lang w:val="en-GB"/>
        </w:rPr>
        <w:t>party.</w:t>
      </w:r>
      <w:r w:rsidRPr="00380B40">
        <w:rPr>
          <w:spacing w:val="9"/>
          <w:lang w:val="en-GB"/>
        </w:rPr>
        <w:t xml:space="preserve"> </w:t>
      </w:r>
      <w:r w:rsidRPr="00380B40">
        <w:rPr>
          <w:lang w:val="en-GB"/>
        </w:rPr>
        <w:t>The</w:t>
      </w:r>
      <w:r w:rsidRPr="00380B40">
        <w:rPr>
          <w:spacing w:val="8"/>
          <w:lang w:val="en-GB"/>
        </w:rPr>
        <w:t xml:space="preserve"> </w:t>
      </w:r>
      <w:r w:rsidRPr="00380B40">
        <w:rPr>
          <w:lang w:val="en-GB"/>
        </w:rPr>
        <w:t>term</w:t>
      </w:r>
      <w:r w:rsidRPr="00380B40">
        <w:rPr>
          <w:spacing w:val="9"/>
          <w:lang w:val="en-GB"/>
        </w:rPr>
        <w:t xml:space="preserve"> </w:t>
      </w:r>
      <w:r w:rsidRPr="00380B40">
        <w:rPr>
          <w:lang w:val="en-GB"/>
        </w:rPr>
        <w:t>of</w:t>
      </w:r>
      <w:r w:rsidRPr="00380B40">
        <w:rPr>
          <w:spacing w:val="8"/>
          <w:lang w:val="en-GB"/>
        </w:rPr>
        <w:t xml:space="preserve"> </w:t>
      </w:r>
      <w:r w:rsidRPr="00380B40">
        <w:rPr>
          <w:lang w:val="en-GB"/>
        </w:rPr>
        <w:t>the</w:t>
      </w:r>
      <w:r w:rsidRPr="00380B40">
        <w:rPr>
          <w:spacing w:val="8"/>
          <w:lang w:val="en-GB"/>
        </w:rPr>
        <w:t xml:space="preserve"> </w:t>
      </w:r>
      <w:r w:rsidRPr="00380B40">
        <w:rPr>
          <w:lang w:val="en-GB"/>
        </w:rPr>
        <w:t>appointment</w:t>
      </w:r>
      <w:r w:rsidRPr="00380B40">
        <w:rPr>
          <w:spacing w:val="9"/>
          <w:lang w:val="en-GB"/>
        </w:rPr>
        <w:t xml:space="preserve"> </w:t>
      </w:r>
      <w:r w:rsidRPr="00380B40">
        <w:rPr>
          <w:lang w:val="en-GB"/>
        </w:rPr>
        <w:t>relates</w:t>
      </w:r>
      <w:r w:rsidRPr="00380B40">
        <w:rPr>
          <w:spacing w:val="9"/>
          <w:lang w:val="en-GB"/>
        </w:rPr>
        <w:t xml:space="preserve"> </w:t>
      </w:r>
      <w:r w:rsidRPr="00380B40">
        <w:rPr>
          <w:lang w:val="en-GB"/>
        </w:rPr>
        <w:t>to</w:t>
      </w:r>
      <w:r w:rsidRPr="00380B40">
        <w:rPr>
          <w:spacing w:val="9"/>
          <w:lang w:val="en-GB"/>
        </w:rPr>
        <w:t xml:space="preserve"> </w:t>
      </w:r>
      <w:r w:rsidRPr="00380B40">
        <w:rPr>
          <w:lang w:val="en-GB"/>
        </w:rPr>
        <w:t>the</w:t>
      </w:r>
      <w:r w:rsidRPr="00380B40">
        <w:rPr>
          <w:spacing w:val="8"/>
          <w:lang w:val="en-GB"/>
        </w:rPr>
        <w:t xml:space="preserve"> </w:t>
      </w:r>
      <w:r w:rsidRPr="00380B40">
        <w:rPr>
          <w:lang w:val="en-GB"/>
        </w:rPr>
        <w:t>work</w:t>
      </w:r>
      <w:r w:rsidRPr="00380B40">
        <w:rPr>
          <w:spacing w:val="8"/>
          <w:lang w:val="en-GB"/>
        </w:rPr>
        <w:t xml:space="preserve"> </w:t>
      </w:r>
      <w:r w:rsidRPr="00380B40">
        <w:rPr>
          <w:lang w:val="en-GB"/>
        </w:rPr>
        <w:t>that</w:t>
      </w:r>
      <w:r w:rsidRPr="00380B40">
        <w:rPr>
          <w:spacing w:val="9"/>
          <w:lang w:val="en-GB"/>
        </w:rPr>
        <w:t xml:space="preserve"> </w:t>
      </w:r>
      <w:r w:rsidRPr="00380B40">
        <w:rPr>
          <w:lang w:val="en-GB"/>
        </w:rPr>
        <w:t>needs</w:t>
      </w:r>
      <w:r w:rsidRPr="00380B40">
        <w:rPr>
          <w:spacing w:val="9"/>
          <w:lang w:val="en-GB"/>
        </w:rPr>
        <w:t xml:space="preserve"> </w:t>
      </w:r>
      <w:r w:rsidRPr="00380B40">
        <w:rPr>
          <w:lang w:val="en-GB"/>
        </w:rPr>
        <w:t>to</w:t>
      </w:r>
      <w:r w:rsidRPr="00380B40">
        <w:rPr>
          <w:spacing w:val="9"/>
          <w:lang w:val="en-GB"/>
        </w:rPr>
        <w:t xml:space="preserve"> </w:t>
      </w:r>
      <w:r w:rsidRPr="00380B40">
        <w:rPr>
          <w:lang w:val="en-GB"/>
        </w:rPr>
        <w:t>be</w:t>
      </w:r>
      <w:r w:rsidRPr="00380B40">
        <w:rPr>
          <w:spacing w:val="8"/>
          <w:lang w:val="en-GB"/>
        </w:rPr>
        <w:t xml:space="preserve"> </w:t>
      </w:r>
      <w:r w:rsidRPr="00380B40">
        <w:rPr>
          <w:lang w:val="en-GB"/>
        </w:rPr>
        <w:t>done</w:t>
      </w:r>
      <w:r w:rsidRPr="00380B40">
        <w:rPr>
          <w:spacing w:val="71"/>
          <w:lang w:val="en-GB"/>
        </w:rPr>
        <w:t xml:space="preserve"> </w:t>
      </w:r>
      <w:r w:rsidRPr="00380B40">
        <w:rPr>
          <w:lang w:val="en-GB"/>
        </w:rPr>
        <w:t>rather</w:t>
      </w:r>
      <w:r w:rsidRPr="00380B40">
        <w:rPr>
          <w:spacing w:val="43"/>
          <w:lang w:val="en-GB"/>
        </w:rPr>
        <w:t xml:space="preserve"> </w:t>
      </w:r>
      <w:r w:rsidRPr="00380B40">
        <w:rPr>
          <w:lang w:val="en-GB"/>
        </w:rPr>
        <w:t>than</w:t>
      </w:r>
      <w:r w:rsidRPr="00380B40">
        <w:rPr>
          <w:spacing w:val="42"/>
          <w:lang w:val="en-GB"/>
        </w:rPr>
        <w:t xml:space="preserve"> </w:t>
      </w:r>
      <w:r w:rsidRPr="00380B40">
        <w:rPr>
          <w:lang w:val="en-GB"/>
        </w:rPr>
        <w:t>to</w:t>
      </w:r>
      <w:r w:rsidRPr="00380B40">
        <w:rPr>
          <w:spacing w:val="43"/>
          <w:lang w:val="en-GB"/>
        </w:rPr>
        <w:t xml:space="preserve"> </w:t>
      </w:r>
      <w:r w:rsidRPr="00380B40">
        <w:rPr>
          <w:lang w:val="en-GB"/>
        </w:rPr>
        <w:t>the</w:t>
      </w:r>
      <w:r w:rsidRPr="00380B40">
        <w:rPr>
          <w:spacing w:val="44"/>
          <w:lang w:val="en-GB"/>
        </w:rPr>
        <w:t xml:space="preserve"> </w:t>
      </w:r>
      <w:r w:rsidRPr="00380B40">
        <w:rPr>
          <w:lang w:val="en-GB"/>
        </w:rPr>
        <w:t>interval</w:t>
      </w:r>
      <w:r w:rsidRPr="00380B40">
        <w:rPr>
          <w:spacing w:val="43"/>
          <w:lang w:val="en-GB"/>
        </w:rPr>
        <w:t xml:space="preserve"> </w:t>
      </w:r>
      <w:r w:rsidRPr="00380B40">
        <w:rPr>
          <w:lang w:val="en-GB"/>
        </w:rPr>
        <w:t>between</w:t>
      </w:r>
      <w:r w:rsidRPr="00380B40">
        <w:rPr>
          <w:spacing w:val="42"/>
          <w:lang w:val="en-GB"/>
        </w:rPr>
        <w:t xml:space="preserve"> </w:t>
      </w:r>
      <w:r w:rsidRPr="00380B40">
        <w:rPr>
          <w:lang w:val="en-GB"/>
        </w:rPr>
        <w:t>WTSAs.</w:t>
      </w:r>
      <w:r w:rsidRPr="00380B40">
        <w:rPr>
          <w:spacing w:val="45"/>
          <w:lang w:val="en-GB"/>
        </w:rPr>
        <w:t xml:space="preserve"> </w:t>
      </w:r>
      <w:r w:rsidRPr="00380B40">
        <w:rPr>
          <w:spacing w:val="-2"/>
          <w:lang w:val="en-GB"/>
        </w:rPr>
        <w:t>If</w:t>
      </w:r>
      <w:r w:rsidRPr="00380B40">
        <w:rPr>
          <w:spacing w:val="49"/>
          <w:lang w:val="en-GB"/>
        </w:rPr>
        <w:t xml:space="preserve"> </w:t>
      </w:r>
      <w:r w:rsidRPr="00380B40">
        <w:rPr>
          <w:lang w:val="en-GB"/>
        </w:rPr>
        <w:t>the</w:t>
      </w:r>
      <w:r w:rsidRPr="00380B40">
        <w:rPr>
          <w:spacing w:val="42"/>
          <w:lang w:val="en-GB"/>
        </w:rPr>
        <w:t xml:space="preserve"> </w:t>
      </w:r>
      <w:r w:rsidRPr="00380B40">
        <w:rPr>
          <w:lang w:val="en-GB"/>
        </w:rPr>
        <w:t>related</w:t>
      </w:r>
      <w:r w:rsidRPr="00380B40">
        <w:rPr>
          <w:spacing w:val="42"/>
          <w:lang w:val="en-GB"/>
        </w:rPr>
        <w:t xml:space="preserve"> </w:t>
      </w:r>
      <w:r w:rsidRPr="00380B40">
        <w:rPr>
          <w:lang w:val="en-GB"/>
        </w:rPr>
        <w:t>Question</w:t>
      </w:r>
      <w:r w:rsidRPr="00380B40">
        <w:rPr>
          <w:spacing w:val="42"/>
          <w:lang w:val="en-GB"/>
        </w:rPr>
        <w:t xml:space="preserve"> </w:t>
      </w:r>
      <w:r w:rsidRPr="00380B40">
        <w:rPr>
          <w:lang w:val="en-GB"/>
        </w:rPr>
        <w:t>is</w:t>
      </w:r>
      <w:r w:rsidRPr="00380B40">
        <w:rPr>
          <w:spacing w:val="46"/>
          <w:lang w:val="en-GB"/>
        </w:rPr>
        <w:t xml:space="preserve"> </w:t>
      </w:r>
      <w:r w:rsidRPr="00380B40">
        <w:rPr>
          <w:lang w:val="en-GB"/>
        </w:rPr>
        <w:t>modified</w:t>
      </w:r>
      <w:r w:rsidRPr="00380B40">
        <w:rPr>
          <w:spacing w:val="42"/>
          <w:lang w:val="en-GB"/>
        </w:rPr>
        <w:t xml:space="preserve"> </w:t>
      </w:r>
      <w:r w:rsidRPr="00380B40">
        <w:rPr>
          <w:spacing w:val="1"/>
          <w:lang w:val="en-GB"/>
        </w:rPr>
        <w:t>by</w:t>
      </w:r>
      <w:r w:rsidRPr="00380B40">
        <w:rPr>
          <w:spacing w:val="38"/>
          <w:lang w:val="en-GB"/>
        </w:rPr>
        <w:t xml:space="preserve"> </w:t>
      </w:r>
      <w:r w:rsidRPr="00380B40">
        <w:rPr>
          <w:lang w:val="en-GB"/>
        </w:rPr>
        <w:t>WTSA,</w:t>
      </w:r>
      <w:r w:rsidRPr="00380B40">
        <w:rPr>
          <w:spacing w:val="44"/>
          <w:lang w:val="en-GB"/>
        </w:rPr>
        <w:t xml:space="preserve"> </w:t>
      </w:r>
      <w:r w:rsidRPr="00380B40">
        <w:rPr>
          <w:lang w:val="en-GB"/>
        </w:rPr>
        <w:t>for</w:t>
      </w:r>
      <w:r w:rsidRPr="00380B40">
        <w:rPr>
          <w:spacing w:val="67"/>
          <w:lang w:val="en-GB"/>
        </w:rPr>
        <w:t xml:space="preserve"> </w:t>
      </w:r>
      <w:r w:rsidRPr="00380B40">
        <w:rPr>
          <w:lang w:val="en-GB"/>
        </w:rPr>
        <w:t>continuity</w:t>
      </w:r>
      <w:r w:rsidRPr="00380B40">
        <w:rPr>
          <w:spacing w:val="-8"/>
          <w:lang w:val="en-GB"/>
        </w:rPr>
        <w:t xml:space="preserve"> </w:t>
      </w:r>
      <w:r w:rsidRPr="00380B40">
        <w:rPr>
          <w:lang w:val="en-GB"/>
        </w:rPr>
        <w:t>purposes,</w:t>
      </w:r>
      <w:r w:rsidRPr="00380B40">
        <w:rPr>
          <w:spacing w:val="-3"/>
          <w:lang w:val="en-GB"/>
        </w:rPr>
        <w:t xml:space="preserve"> </w:t>
      </w:r>
      <w:r w:rsidRPr="00380B40">
        <w:rPr>
          <w:lang w:val="en-GB"/>
        </w:rPr>
        <w:t>the rapporteur may, at</w:t>
      </w:r>
      <w:r w:rsidRPr="00380B40">
        <w:rPr>
          <w:spacing w:val="-2"/>
          <w:lang w:val="en-GB"/>
        </w:rPr>
        <w:t xml:space="preserve"> </w:t>
      </w:r>
      <w:r w:rsidRPr="00380B40">
        <w:rPr>
          <w:lang w:val="en-GB"/>
        </w:rPr>
        <w:t>the discretion</w:t>
      </w:r>
      <w:r w:rsidRPr="00380B40">
        <w:rPr>
          <w:spacing w:val="-3"/>
          <w:lang w:val="en-GB"/>
        </w:rPr>
        <w:t xml:space="preserve"> </w:t>
      </w:r>
      <w:r w:rsidRPr="00380B40">
        <w:rPr>
          <w:lang w:val="en-GB"/>
        </w:rPr>
        <w:t>of the new study</w:t>
      </w:r>
      <w:r w:rsidRPr="00380B40">
        <w:rPr>
          <w:spacing w:val="-3"/>
          <w:lang w:val="en-GB"/>
        </w:rPr>
        <w:t xml:space="preserve"> </w:t>
      </w:r>
      <w:r w:rsidRPr="00380B40">
        <w:rPr>
          <w:lang w:val="en-GB"/>
        </w:rPr>
        <w:t>group chairman, continue</w:t>
      </w:r>
      <w:r w:rsidRPr="00380B40">
        <w:rPr>
          <w:spacing w:val="87"/>
          <w:lang w:val="en-GB"/>
        </w:rPr>
        <w:t xml:space="preserve"> </w:t>
      </w:r>
      <w:r w:rsidRPr="00380B40">
        <w:rPr>
          <w:lang w:val="en-GB"/>
        </w:rPr>
        <w:t>to progress the relevant</w:t>
      </w:r>
      <w:r w:rsidRPr="00380B40">
        <w:rPr>
          <w:spacing w:val="2"/>
          <w:lang w:val="en-GB"/>
        </w:rPr>
        <w:t xml:space="preserve"> </w:t>
      </w:r>
      <w:r w:rsidRPr="00380B40">
        <w:rPr>
          <w:lang w:val="en-GB"/>
        </w:rPr>
        <w:t>work until the next meeting</w:t>
      </w:r>
      <w:r w:rsidRPr="00380B40">
        <w:rPr>
          <w:spacing w:val="-3"/>
          <w:lang w:val="en-GB"/>
        </w:rPr>
        <w:t xml:space="preserve"> </w:t>
      </w:r>
      <w:r w:rsidRPr="00380B40">
        <w:rPr>
          <w:lang w:val="en-GB"/>
        </w:rPr>
        <w:t>of the</w:t>
      </w:r>
      <w:r w:rsidRPr="00380B40">
        <w:rPr>
          <w:spacing w:val="-2"/>
          <w:lang w:val="en-GB"/>
        </w:rPr>
        <w:t xml:space="preserve"> </w:t>
      </w:r>
      <w:r w:rsidRPr="00380B40">
        <w:rPr>
          <w:spacing w:val="1"/>
          <w:lang w:val="en-GB"/>
        </w:rPr>
        <w:t>study</w:t>
      </w:r>
      <w:r w:rsidRPr="00380B40">
        <w:rPr>
          <w:spacing w:val="-3"/>
          <w:lang w:val="en-GB"/>
        </w:rPr>
        <w:t xml:space="preserve"> </w:t>
      </w:r>
      <w:r w:rsidRPr="00380B40">
        <w:rPr>
          <w:lang w:val="en-GB"/>
        </w:rPr>
        <w:t>group.</w:t>
      </w:r>
    </w:p>
    <w:p w14:paraId="6DE26040" w14:textId="77777777" w:rsidR="00C12517" w:rsidRPr="00380B40" w:rsidRDefault="00C12517" w:rsidP="00C12517">
      <w:pPr>
        <w:rPr>
          <w:lang w:val="en-GB"/>
        </w:rPr>
      </w:pPr>
      <w:r w:rsidRPr="00380B40">
        <w:rPr>
          <w:b/>
          <w:bCs/>
          <w:lang w:val="en-GB"/>
        </w:rPr>
        <w:t>2.3.3.3</w:t>
      </w:r>
      <w:r w:rsidRPr="00380B40">
        <w:rPr>
          <w:lang w:val="en-GB"/>
        </w:rPr>
        <w:tab/>
        <w:t>Where</w:t>
      </w:r>
      <w:r w:rsidRPr="00380B40">
        <w:rPr>
          <w:spacing w:val="36"/>
          <w:lang w:val="en-GB"/>
        </w:rPr>
        <w:t xml:space="preserve"> </w:t>
      </w:r>
      <w:r w:rsidRPr="00380B40">
        <w:rPr>
          <w:lang w:val="en-GB"/>
        </w:rPr>
        <w:t>the</w:t>
      </w:r>
      <w:r w:rsidRPr="00380B40">
        <w:rPr>
          <w:spacing w:val="37"/>
          <w:lang w:val="en-GB"/>
        </w:rPr>
        <w:t xml:space="preserve"> </w:t>
      </w:r>
      <w:r w:rsidRPr="00380B40">
        <w:rPr>
          <w:lang w:val="en-GB"/>
        </w:rPr>
        <w:t>work</w:t>
      </w:r>
      <w:r w:rsidRPr="00380B40">
        <w:rPr>
          <w:spacing w:val="38"/>
          <w:lang w:val="en-GB"/>
        </w:rPr>
        <w:t xml:space="preserve"> </w:t>
      </w:r>
      <w:r w:rsidRPr="00380B40">
        <w:rPr>
          <w:lang w:val="en-GB"/>
        </w:rPr>
        <w:t>so</w:t>
      </w:r>
      <w:r w:rsidRPr="00380B40">
        <w:rPr>
          <w:spacing w:val="38"/>
          <w:lang w:val="en-GB"/>
        </w:rPr>
        <w:t xml:space="preserve"> </w:t>
      </w:r>
      <w:r w:rsidRPr="00380B40">
        <w:rPr>
          <w:lang w:val="en-GB"/>
        </w:rPr>
        <w:t>requires,</w:t>
      </w:r>
      <w:r w:rsidRPr="00380B40">
        <w:rPr>
          <w:spacing w:val="40"/>
          <w:lang w:val="en-GB"/>
        </w:rPr>
        <w:t xml:space="preserve"> </w:t>
      </w:r>
      <w:r w:rsidRPr="00380B40">
        <w:rPr>
          <w:lang w:val="en-GB"/>
        </w:rPr>
        <w:t>a</w:t>
      </w:r>
      <w:r w:rsidRPr="00380B40">
        <w:rPr>
          <w:spacing w:val="37"/>
          <w:lang w:val="en-GB"/>
        </w:rPr>
        <w:t xml:space="preserve"> </w:t>
      </w:r>
      <w:r w:rsidRPr="00380B40">
        <w:rPr>
          <w:lang w:val="en-GB"/>
        </w:rPr>
        <w:t>rapporteur</w:t>
      </w:r>
      <w:r w:rsidRPr="00380B40">
        <w:rPr>
          <w:spacing w:val="37"/>
          <w:lang w:val="en-GB"/>
        </w:rPr>
        <w:t xml:space="preserve"> </w:t>
      </w:r>
      <w:r w:rsidRPr="00380B40">
        <w:rPr>
          <w:spacing w:val="1"/>
          <w:lang w:val="en-GB"/>
        </w:rPr>
        <w:t>may</w:t>
      </w:r>
      <w:r w:rsidRPr="00380B40">
        <w:rPr>
          <w:spacing w:val="33"/>
          <w:lang w:val="en-GB"/>
        </w:rPr>
        <w:t xml:space="preserve"> </w:t>
      </w:r>
      <w:r w:rsidRPr="00380B40">
        <w:rPr>
          <w:lang w:val="en-GB"/>
        </w:rPr>
        <w:t>propose</w:t>
      </w:r>
      <w:r w:rsidRPr="00380B40">
        <w:rPr>
          <w:spacing w:val="36"/>
          <w:lang w:val="en-GB"/>
        </w:rPr>
        <w:t xml:space="preserve"> </w:t>
      </w:r>
      <w:r w:rsidRPr="00380B40">
        <w:rPr>
          <w:lang w:val="en-GB"/>
        </w:rPr>
        <w:t>the</w:t>
      </w:r>
      <w:r w:rsidRPr="00380B40">
        <w:rPr>
          <w:spacing w:val="37"/>
          <w:lang w:val="en-GB"/>
        </w:rPr>
        <w:t xml:space="preserve"> </w:t>
      </w:r>
      <w:r w:rsidRPr="00380B40">
        <w:rPr>
          <w:lang w:val="en-GB"/>
        </w:rPr>
        <w:t>appointment</w:t>
      </w:r>
      <w:r w:rsidRPr="00380B40">
        <w:rPr>
          <w:spacing w:val="35"/>
          <w:lang w:val="en-GB"/>
        </w:rPr>
        <w:t xml:space="preserve"> </w:t>
      </w:r>
      <w:r w:rsidRPr="00380B40">
        <w:rPr>
          <w:lang w:val="en-GB"/>
        </w:rPr>
        <w:t>of</w:t>
      </w:r>
      <w:r w:rsidRPr="00380B40">
        <w:rPr>
          <w:spacing w:val="37"/>
          <w:lang w:val="en-GB"/>
        </w:rPr>
        <w:t xml:space="preserve"> </w:t>
      </w:r>
      <w:r w:rsidRPr="00380B40">
        <w:rPr>
          <w:lang w:val="en-GB"/>
        </w:rPr>
        <w:t>one</w:t>
      </w:r>
      <w:r w:rsidRPr="00380B40">
        <w:rPr>
          <w:spacing w:val="37"/>
          <w:lang w:val="en-GB"/>
        </w:rPr>
        <w:t xml:space="preserve"> </w:t>
      </w:r>
      <w:r w:rsidRPr="00380B40">
        <w:rPr>
          <w:lang w:val="en-GB"/>
        </w:rPr>
        <w:t>or</w:t>
      </w:r>
      <w:r w:rsidRPr="00380B40">
        <w:rPr>
          <w:spacing w:val="37"/>
          <w:lang w:val="en-GB"/>
        </w:rPr>
        <w:t xml:space="preserve"> </w:t>
      </w:r>
      <w:r w:rsidRPr="00380B40">
        <w:rPr>
          <w:lang w:val="en-GB"/>
        </w:rPr>
        <w:t>more</w:t>
      </w:r>
      <w:r w:rsidRPr="00380B40">
        <w:rPr>
          <w:spacing w:val="53"/>
          <w:lang w:val="en-GB"/>
        </w:rPr>
        <w:t xml:space="preserve"> </w:t>
      </w:r>
      <w:r w:rsidRPr="00380B40">
        <w:rPr>
          <w:lang w:val="en-GB"/>
        </w:rPr>
        <w:t>associate</w:t>
      </w:r>
      <w:r w:rsidRPr="00380B40">
        <w:rPr>
          <w:spacing w:val="-3"/>
          <w:lang w:val="en-GB"/>
        </w:rPr>
        <w:t xml:space="preserve"> </w:t>
      </w:r>
      <w:r w:rsidRPr="00380B40">
        <w:rPr>
          <w:lang w:val="en-GB"/>
        </w:rPr>
        <w:t>rapporteurs,</w:t>
      </w:r>
      <w:r w:rsidRPr="00380B40">
        <w:rPr>
          <w:spacing w:val="-3"/>
          <w:lang w:val="en-GB"/>
        </w:rPr>
        <w:t xml:space="preserve"> </w:t>
      </w:r>
      <w:r w:rsidRPr="00380B40">
        <w:rPr>
          <w:lang w:val="en-GB"/>
        </w:rPr>
        <w:t>liaison</w:t>
      </w:r>
      <w:r w:rsidRPr="00380B40">
        <w:rPr>
          <w:spacing w:val="-2"/>
          <w:lang w:val="en-GB"/>
        </w:rPr>
        <w:t xml:space="preserve"> </w:t>
      </w:r>
      <w:r w:rsidRPr="00380B40">
        <w:rPr>
          <w:lang w:val="en-GB"/>
        </w:rPr>
        <w:t>rapporteurs</w:t>
      </w:r>
      <w:r w:rsidRPr="00380B40">
        <w:rPr>
          <w:spacing w:val="-3"/>
          <w:lang w:val="en-GB"/>
        </w:rPr>
        <w:t xml:space="preserve"> </w:t>
      </w:r>
      <w:r w:rsidRPr="00380B40">
        <w:rPr>
          <w:lang w:val="en-GB"/>
        </w:rPr>
        <w:t>or</w:t>
      </w:r>
      <w:r w:rsidRPr="00380B40">
        <w:rPr>
          <w:spacing w:val="-4"/>
          <w:lang w:val="en-GB"/>
        </w:rPr>
        <w:t xml:space="preserve"> </w:t>
      </w:r>
      <w:r w:rsidRPr="00380B40">
        <w:rPr>
          <w:lang w:val="en-GB"/>
        </w:rPr>
        <w:t>editors,</w:t>
      </w:r>
      <w:r w:rsidRPr="00380B40">
        <w:rPr>
          <w:spacing w:val="-3"/>
          <w:lang w:val="en-GB"/>
        </w:rPr>
        <w:t xml:space="preserve"> </w:t>
      </w:r>
      <w:r w:rsidRPr="00380B40">
        <w:rPr>
          <w:lang w:val="en-GB"/>
        </w:rPr>
        <w:t>whose</w:t>
      </w:r>
      <w:r w:rsidRPr="00380B40">
        <w:rPr>
          <w:spacing w:val="-4"/>
          <w:lang w:val="en-GB"/>
        </w:rPr>
        <w:t xml:space="preserve"> </w:t>
      </w:r>
      <w:r w:rsidRPr="00380B40">
        <w:rPr>
          <w:lang w:val="en-GB"/>
        </w:rPr>
        <w:t>appointments</w:t>
      </w:r>
      <w:r w:rsidRPr="00380B40">
        <w:rPr>
          <w:spacing w:val="-3"/>
          <w:lang w:val="en-GB"/>
        </w:rPr>
        <w:t xml:space="preserve"> </w:t>
      </w:r>
      <w:r w:rsidRPr="00380B40">
        <w:rPr>
          <w:lang w:val="en-GB"/>
        </w:rPr>
        <w:t>should</w:t>
      </w:r>
      <w:r w:rsidRPr="00380B40">
        <w:rPr>
          <w:spacing w:val="-2"/>
          <w:lang w:val="en-GB"/>
        </w:rPr>
        <w:t xml:space="preserve"> </w:t>
      </w:r>
      <w:r w:rsidRPr="00380B40">
        <w:rPr>
          <w:lang w:val="en-GB"/>
        </w:rPr>
        <w:t>then</w:t>
      </w:r>
      <w:r w:rsidRPr="00380B40">
        <w:rPr>
          <w:spacing w:val="-3"/>
          <w:lang w:val="en-GB"/>
        </w:rPr>
        <w:t xml:space="preserve"> </w:t>
      </w:r>
      <w:r w:rsidRPr="00380B40">
        <w:rPr>
          <w:lang w:val="en-GB"/>
        </w:rPr>
        <w:t>be</w:t>
      </w:r>
      <w:r w:rsidRPr="00380B40">
        <w:rPr>
          <w:spacing w:val="-4"/>
          <w:lang w:val="en-GB"/>
        </w:rPr>
        <w:t xml:space="preserve"> </w:t>
      </w:r>
      <w:r w:rsidRPr="00380B40">
        <w:rPr>
          <w:lang w:val="en-GB"/>
        </w:rPr>
        <w:t>endorsed</w:t>
      </w:r>
      <w:r w:rsidRPr="00380B40">
        <w:rPr>
          <w:spacing w:val="-3"/>
          <w:lang w:val="en-GB"/>
        </w:rPr>
        <w:t xml:space="preserve"> </w:t>
      </w:r>
      <w:r w:rsidRPr="00380B40">
        <w:rPr>
          <w:spacing w:val="1"/>
          <w:lang w:val="en-GB"/>
        </w:rPr>
        <w:t>by</w:t>
      </w:r>
      <w:r w:rsidRPr="00380B40">
        <w:rPr>
          <w:spacing w:val="99"/>
          <w:lang w:val="en-GB"/>
        </w:rPr>
        <w:t xml:space="preserve"> </w:t>
      </w:r>
      <w:r w:rsidRPr="00380B40">
        <w:rPr>
          <w:lang w:val="en-GB"/>
        </w:rPr>
        <w:t>the</w:t>
      </w:r>
      <w:r w:rsidRPr="00380B40">
        <w:rPr>
          <w:spacing w:val="-3"/>
          <w:lang w:val="en-GB"/>
        </w:rPr>
        <w:t xml:space="preserve"> </w:t>
      </w:r>
      <w:r w:rsidRPr="00380B40">
        <w:rPr>
          <w:lang w:val="en-GB"/>
        </w:rPr>
        <w:t>relevant</w:t>
      </w:r>
      <w:r w:rsidRPr="00380B40">
        <w:rPr>
          <w:spacing w:val="-2"/>
          <w:lang w:val="en-GB"/>
        </w:rPr>
        <w:t xml:space="preserve"> </w:t>
      </w:r>
      <w:r w:rsidRPr="00380B40">
        <w:rPr>
          <w:lang w:val="en-GB"/>
        </w:rPr>
        <w:t>working</w:t>
      </w:r>
      <w:r w:rsidRPr="00380B40">
        <w:rPr>
          <w:spacing w:val="-5"/>
          <w:lang w:val="en-GB"/>
        </w:rPr>
        <w:t xml:space="preserve"> </w:t>
      </w:r>
      <w:r w:rsidRPr="00380B40">
        <w:rPr>
          <w:lang w:val="en-GB"/>
        </w:rPr>
        <w:t>party</w:t>
      </w:r>
      <w:r w:rsidRPr="00380B40">
        <w:rPr>
          <w:spacing w:val="-5"/>
          <w:lang w:val="en-GB"/>
        </w:rPr>
        <w:t xml:space="preserve"> </w:t>
      </w:r>
      <w:r w:rsidRPr="00380B40">
        <w:rPr>
          <w:lang w:val="en-GB"/>
        </w:rPr>
        <w:t>(or</w:t>
      </w:r>
      <w:r w:rsidRPr="00380B40">
        <w:rPr>
          <w:spacing w:val="-4"/>
          <w:lang w:val="en-GB"/>
        </w:rPr>
        <w:t xml:space="preserve"> </w:t>
      </w:r>
      <w:r w:rsidRPr="00380B40">
        <w:rPr>
          <w:lang w:val="en-GB"/>
        </w:rPr>
        <w:t>study</w:t>
      </w:r>
      <w:r w:rsidRPr="00380B40">
        <w:rPr>
          <w:spacing w:val="-5"/>
          <w:lang w:val="en-GB"/>
        </w:rPr>
        <w:t xml:space="preserve"> </w:t>
      </w:r>
      <w:r w:rsidRPr="00380B40">
        <w:rPr>
          <w:lang w:val="en-GB"/>
        </w:rPr>
        <w:t>group).</w:t>
      </w:r>
      <w:r w:rsidRPr="00380B40">
        <w:rPr>
          <w:spacing w:val="-4"/>
          <w:lang w:val="en-GB"/>
        </w:rPr>
        <w:t xml:space="preserve"> </w:t>
      </w:r>
      <w:r w:rsidRPr="00380B40">
        <w:rPr>
          <w:lang w:val="en-GB"/>
        </w:rPr>
        <w:t>Again, these</w:t>
      </w:r>
      <w:r w:rsidRPr="00380B40">
        <w:rPr>
          <w:spacing w:val="-4"/>
          <w:lang w:val="en-GB"/>
        </w:rPr>
        <w:t xml:space="preserve"> </w:t>
      </w:r>
      <w:r w:rsidRPr="00380B40">
        <w:rPr>
          <w:lang w:val="en-GB"/>
        </w:rPr>
        <w:t>appointments</w:t>
      </w:r>
      <w:r w:rsidRPr="00380B40">
        <w:rPr>
          <w:spacing w:val="-3"/>
          <w:lang w:val="en-GB"/>
        </w:rPr>
        <w:t xml:space="preserve"> </w:t>
      </w:r>
      <w:r w:rsidRPr="00380B40">
        <w:rPr>
          <w:lang w:val="en-GB"/>
        </w:rPr>
        <w:t>may</w:t>
      </w:r>
      <w:r w:rsidRPr="00380B40">
        <w:rPr>
          <w:spacing w:val="-8"/>
          <w:lang w:val="en-GB"/>
        </w:rPr>
        <w:t xml:space="preserve"> </w:t>
      </w:r>
      <w:r w:rsidRPr="00380B40">
        <w:rPr>
          <w:lang w:val="en-GB"/>
        </w:rPr>
        <w:t>be</w:t>
      </w:r>
      <w:r w:rsidRPr="00380B40">
        <w:rPr>
          <w:spacing w:val="-4"/>
          <w:lang w:val="en-GB"/>
        </w:rPr>
        <w:t xml:space="preserve"> </w:t>
      </w:r>
      <w:r w:rsidRPr="00380B40">
        <w:rPr>
          <w:lang w:val="en-GB"/>
        </w:rPr>
        <w:t>made</w:t>
      </w:r>
      <w:r w:rsidRPr="00380B40">
        <w:rPr>
          <w:spacing w:val="-4"/>
          <w:lang w:val="en-GB"/>
        </w:rPr>
        <w:t xml:space="preserve"> </w:t>
      </w:r>
      <w:r w:rsidRPr="00380B40">
        <w:rPr>
          <w:lang w:val="en-GB"/>
        </w:rPr>
        <w:t>or</w:t>
      </w:r>
      <w:r w:rsidRPr="00380B40">
        <w:rPr>
          <w:spacing w:val="-4"/>
          <w:lang w:val="en-GB"/>
        </w:rPr>
        <w:t xml:space="preserve"> </w:t>
      </w:r>
      <w:r w:rsidRPr="00380B40">
        <w:rPr>
          <w:lang w:val="en-GB"/>
        </w:rPr>
        <w:t>terminated</w:t>
      </w:r>
      <w:r w:rsidRPr="00380B40">
        <w:rPr>
          <w:spacing w:val="-3"/>
          <w:lang w:val="en-GB"/>
        </w:rPr>
        <w:t xml:space="preserve"> </w:t>
      </w:r>
      <w:r w:rsidRPr="00380B40">
        <w:rPr>
          <w:lang w:val="en-GB"/>
        </w:rPr>
        <w:t>at</w:t>
      </w:r>
      <w:r w:rsidRPr="00380B40">
        <w:rPr>
          <w:spacing w:val="69"/>
          <w:lang w:val="en-GB"/>
        </w:rPr>
        <w:t xml:space="preserve"> </w:t>
      </w:r>
      <w:r w:rsidRPr="00380B40">
        <w:rPr>
          <w:lang w:val="en-GB"/>
        </w:rPr>
        <w:t>any</w:t>
      </w:r>
      <w:r w:rsidRPr="00380B40">
        <w:rPr>
          <w:spacing w:val="9"/>
          <w:lang w:val="en-GB"/>
        </w:rPr>
        <w:t xml:space="preserve"> </w:t>
      </w:r>
      <w:r w:rsidRPr="00380B40">
        <w:rPr>
          <w:lang w:val="en-GB"/>
        </w:rPr>
        <w:t>time</w:t>
      </w:r>
      <w:r w:rsidRPr="00380B40">
        <w:rPr>
          <w:spacing w:val="11"/>
          <w:lang w:val="en-GB"/>
        </w:rPr>
        <w:t xml:space="preserve"> </w:t>
      </w:r>
      <w:r w:rsidRPr="00380B40">
        <w:rPr>
          <w:lang w:val="en-GB"/>
        </w:rPr>
        <w:t>in</w:t>
      </w:r>
      <w:r w:rsidRPr="00380B40">
        <w:rPr>
          <w:spacing w:val="14"/>
          <w:lang w:val="en-GB"/>
        </w:rPr>
        <w:t xml:space="preserve"> </w:t>
      </w:r>
      <w:r w:rsidRPr="00380B40">
        <w:rPr>
          <w:lang w:val="en-GB"/>
        </w:rPr>
        <w:t>accordance</w:t>
      </w:r>
      <w:r w:rsidRPr="00380B40">
        <w:rPr>
          <w:spacing w:val="13"/>
          <w:lang w:val="en-GB"/>
        </w:rPr>
        <w:t xml:space="preserve"> </w:t>
      </w:r>
      <w:r w:rsidRPr="00380B40">
        <w:rPr>
          <w:lang w:val="en-GB"/>
        </w:rPr>
        <w:t>with</w:t>
      </w:r>
      <w:r w:rsidRPr="00380B40">
        <w:rPr>
          <w:spacing w:val="12"/>
          <w:lang w:val="en-GB"/>
        </w:rPr>
        <w:t xml:space="preserve"> </w:t>
      </w:r>
      <w:r w:rsidRPr="00380B40">
        <w:rPr>
          <w:lang w:val="en-GB"/>
        </w:rPr>
        <w:t>the</w:t>
      </w:r>
      <w:r w:rsidRPr="00380B40">
        <w:rPr>
          <w:spacing w:val="11"/>
          <w:lang w:val="en-GB"/>
        </w:rPr>
        <w:t xml:space="preserve"> </w:t>
      </w:r>
      <w:r w:rsidRPr="00380B40">
        <w:rPr>
          <w:lang w:val="en-GB"/>
        </w:rPr>
        <w:t>work</w:t>
      </w:r>
      <w:r w:rsidRPr="00380B40">
        <w:rPr>
          <w:spacing w:val="13"/>
          <w:lang w:val="en-GB"/>
        </w:rPr>
        <w:t xml:space="preserve"> </w:t>
      </w:r>
      <w:r w:rsidRPr="00380B40">
        <w:rPr>
          <w:lang w:val="en-GB"/>
        </w:rPr>
        <w:t>requirements.</w:t>
      </w:r>
      <w:r w:rsidRPr="00380B40">
        <w:rPr>
          <w:spacing w:val="12"/>
          <w:lang w:val="en-GB"/>
        </w:rPr>
        <w:t xml:space="preserve"> </w:t>
      </w:r>
      <w:r w:rsidRPr="00380B40">
        <w:rPr>
          <w:lang w:val="en-GB"/>
        </w:rPr>
        <w:t>An</w:t>
      </w:r>
      <w:r w:rsidRPr="00380B40">
        <w:rPr>
          <w:spacing w:val="11"/>
          <w:lang w:val="en-GB"/>
        </w:rPr>
        <w:t xml:space="preserve"> </w:t>
      </w:r>
      <w:r w:rsidRPr="00380B40">
        <w:rPr>
          <w:lang w:val="en-GB"/>
        </w:rPr>
        <w:t>associate</w:t>
      </w:r>
      <w:r w:rsidRPr="00380B40">
        <w:rPr>
          <w:spacing w:val="11"/>
          <w:lang w:val="en-GB"/>
        </w:rPr>
        <w:t xml:space="preserve"> </w:t>
      </w:r>
      <w:r w:rsidRPr="00380B40">
        <w:rPr>
          <w:lang w:val="en-GB"/>
        </w:rPr>
        <w:t>rapporteur</w:t>
      </w:r>
      <w:r w:rsidRPr="00380B40">
        <w:rPr>
          <w:spacing w:val="13"/>
          <w:lang w:val="en-GB"/>
        </w:rPr>
        <w:t xml:space="preserve"> </w:t>
      </w:r>
      <w:r w:rsidRPr="00380B40">
        <w:rPr>
          <w:lang w:val="en-GB"/>
        </w:rPr>
        <w:t>assists</w:t>
      </w:r>
      <w:r w:rsidRPr="00380B40">
        <w:rPr>
          <w:spacing w:val="12"/>
          <w:lang w:val="en-GB"/>
        </w:rPr>
        <w:t xml:space="preserve"> </w:t>
      </w:r>
      <w:r w:rsidRPr="00380B40">
        <w:rPr>
          <w:lang w:val="en-GB"/>
        </w:rPr>
        <w:t>the</w:t>
      </w:r>
      <w:r w:rsidRPr="00380B40">
        <w:rPr>
          <w:spacing w:val="11"/>
          <w:lang w:val="en-GB"/>
        </w:rPr>
        <w:t xml:space="preserve"> </w:t>
      </w:r>
      <w:r w:rsidRPr="00380B40">
        <w:rPr>
          <w:lang w:val="en-GB"/>
        </w:rPr>
        <w:t>rapporteur,</w:t>
      </w:r>
      <w:r w:rsidRPr="00380B40">
        <w:rPr>
          <w:spacing w:val="79"/>
          <w:lang w:val="en-GB"/>
        </w:rPr>
        <w:t xml:space="preserve"> </w:t>
      </w:r>
      <w:r w:rsidRPr="00380B40">
        <w:rPr>
          <w:lang w:val="en-GB"/>
        </w:rPr>
        <w:t>either</w:t>
      </w:r>
      <w:r w:rsidRPr="00380B40">
        <w:rPr>
          <w:spacing w:val="-4"/>
          <w:lang w:val="en-GB"/>
        </w:rPr>
        <w:t xml:space="preserve"> </w:t>
      </w:r>
      <w:r w:rsidRPr="00380B40">
        <w:rPr>
          <w:lang w:val="en-GB"/>
        </w:rPr>
        <w:t>in general</w:t>
      </w:r>
      <w:r w:rsidRPr="00380B40">
        <w:rPr>
          <w:spacing w:val="-2"/>
          <w:lang w:val="en-GB"/>
        </w:rPr>
        <w:t xml:space="preserve"> </w:t>
      </w:r>
      <w:r w:rsidRPr="00380B40">
        <w:rPr>
          <w:lang w:val="en-GB"/>
        </w:rPr>
        <w:t>or to</w:t>
      </w:r>
      <w:r w:rsidRPr="00380B40">
        <w:rPr>
          <w:spacing w:val="-2"/>
          <w:lang w:val="en-GB"/>
        </w:rPr>
        <w:t xml:space="preserve"> </w:t>
      </w:r>
      <w:r w:rsidRPr="00380B40">
        <w:rPr>
          <w:lang w:val="en-GB"/>
        </w:rPr>
        <w:t>deal</w:t>
      </w:r>
      <w:r w:rsidRPr="00380B40">
        <w:rPr>
          <w:spacing w:val="-2"/>
          <w:lang w:val="en-GB"/>
        </w:rPr>
        <w:t xml:space="preserve"> </w:t>
      </w:r>
      <w:r w:rsidRPr="00380B40">
        <w:rPr>
          <w:lang w:val="en-GB"/>
        </w:rPr>
        <w:t>with</w:t>
      </w:r>
      <w:r w:rsidRPr="00380B40">
        <w:rPr>
          <w:spacing w:val="-2"/>
          <w:lang w:val="en-GB"/>
        </w:rPr>
        <w:t xml:space="preserve"> </w:t>
      </w:r>
      <w:r w:rsidRPr="00380B40">
        <w:rPr>
          <w:lang w:val="en-GB"/>
        </w:rPr>
        <w:t>a</w:t>
      </w:r>
      <w:r w:rsidRPr="00380B40">
        <w:rPr>
          <w:spacing w:val="-4"/>
          <w:lang w:val="en-GB"/>
        </w:rPr>
        <w:t xml:space="preserve"> </w:t>
      </w:r>
      <w:r w:rsidRPr="00380B40">
        <w:rPr>
          <w:lang w:val="en-GB"/>
        </w:rPr>
        <w:t>particular</w:t>
      </w:r>
      <w:r w:rsidRPr="00380B40">
        <w:rPr>
          <w:spacing w:val="-2"/>
          <w:lang w:val="en-GB"/>
        </w:rPr>
        <w:t xml:space="preserve"> </w:t>
      </w:r>
      <w:r w:rsidRPr="00380B40">
        <w:rPr>
          <w:lang w:val="en-GB"/>
        </w:rPr>
        <w:t>point</w:t>
      </w:r>
      <w:r w:rsidRPr="00380B40">
        <w:rPr>
          <w:spacing w:val="-2"/>
          <w:lang w:val="en-GB"/>
        </w:rPr>
        <w:t xml:space="preserve"> </w:t>
      </w:r>
      <w:r w:rsidRPr="00380B40">
        <w:rPr>
          <w:spacing w:val="1"/>
          <w:lang w:val="en-GB"/>
        </w:rPr>
        <w:t>or</w:t>
      </w:r>
      <w:r w:rsidRPr="00380B40">
        <w:rPr>
          <w:spacing w:val="-4"/>
          <w:lang w:val="en-GB"/>
        </w:rPr>
        <w:t xml:space="preserve"> </w:t>
      </w:r>
      <w:r w:rsidRPr="00380B40">
        <w:rPr>
          <w:lang w:val="en-GB"/>
        </w:rPr>
        <w:t>area</w:t>
      </w:r>
      <w:r w:rsidRPr="00380B40">
        <w:rPr>
          <w:spacing w:val="-2"/>
          <w:lang w:val="en-GB"/>
        </w:rPr>
        <w:t xml:space="preserve"> </w:t>
      </w:r>
      <w:r w:rsidRPr="00380B40">
        <w:rPr>
          <w:lang w:val="en-GB"/>
        </w:rPr>
        <w:t>of</w:t>
      </w:r>
      <w:r w:rsidRPr="00380B40">
        <w:rPr>
          <w:spacing w:val="-4"/>
          <w:lang w:val="en-GB"/>
        </w:rPr>
        <w:t xml:space="preserve"> </w:t>
      </w:r>
      <w:r w:rsidRPr="00380B40">
        <w:rPr>
          <w:spacing w:val="1"/>
          <w:lang w:val="en-GB"/>
        </w:rPr>
        <w:t>study</w:t>
      </w:r>
      <w:r w:rsidRPr="00380B40">
        <w:rPr>
          <w:spacing w:val="-8"/>
          <w:lang w:val="en-GB"/>
        </w:rPr>
        <w:t xml:space="preserve"> </w:t>
      </w:r>
      <w:r w:rsidRPr="00380B40">
        <w:rPr>
          <w:lang w:val="en-GB"/>
        </w:rPr>
        <w:t>in a</w:t>
      </w:r>
      <w:r w:rsidRPr="00380B40">
        <w:rPr>
          <w:spacing w:val="-2"/>
          <w:lang w:val="en-GB"/>
        </w:rPr>
        <w:t xml:space="preserve"> </w:t>
      </w:r>
      <w:r w:rsidRPr="00380B40">
        <w:rPr>
          <w:lang w:val="en-GB"/>
        </w:rPr>
        <w:t>Question.</w:t>
      </w:r>
      <w:r w:rsidRPr="00380B40">
        <w:rPr>
          <w:spacing w:val="-2"/>
          <w:lang w:val="en-GB"/>
        </w:rPr>
        <w:t xml:space="preserve"> </w:t>
      </w:r>
      <w:r w:rsidRPr="00380B40">
        <w:rPr>
          <w:lang w:val="en-GB"/>
        </w:rPr>
        <w:t>A</w:t>
      </w:r>
      <w:r w:rsidRPr="00380B40">
        <w:rPr>
          <w:spacing w:val="-3"/>
          <w:lang w:val="en-GB"/>
        </w:rPr>
        <w:t xml:space="preserve"> </w:t>
      </w:r>
      <w:r w:rsidRPr="00380B40">
        <w:rPr>
          <w:lang w:val="en-GB"/>
        </w:rPr>
        <w:t>liaison</w:t>
      </w:r>
      <w:r w:rsidRPr="00380B40">
        <w:rPr>
          <w:spacing w:val="-2"/>
          <w:lang w:val="en-GB"/>
        </w:rPr>
        <w:t xml:space="preserve"> </w:t>
      </w:r>
      <w:r w:rsidRPr="00380B40">
        <w:rPr>
          <w:lang w:val="en-GB"/>
        </w:rPr>
        <w:t>rapporteur</w:t>
      </w:r>
      <w:r w:rsidRPr="00380B40">
        <w:rPr>
          <w:spacing w:val="40"/>
          <w:lang w:val="en-GB"/>
        </w:rPr>
        <w:t xml:space="preserve"> </w:t>
      </w:r>
      <w:r w:rsidRPr="00380B40">
        <w:rPr>
          <w:lang w:val="en-GB"/>
        </w:rPr>
        <w:t>assists</w:t>
      </w:r>
      <w:r w:rsidRPr="00380B40">
        <w:rPr>
          <w:spacing w:val="5"/>
          <w:lang w:val="en-GB"/>
        </w:rPr>
        <w:t xml:space="preserve"> </w:t>
      </w:r>
      <w:r w:rsidRPr="00380B40">
        <w:rPr>
          <w:lang w:val="en-GB"/>
        </w:rPr>
        <w:t>the</w:t>
      </w:r>
      <w:r w:rsidRPr="00380B40">
        <w:rPr>
          <w:spacing w:val="4"/>
          <w:lang w:val="en-GB"/>
        </w:rPr>
        <w:t xml:space="preserve"> </w:t>
      </w:r>
      <w:r w:rsidRPr="00380B40">
        <w:rPr>
          <w:lang w:val="en-GB"/>
        </w:rPr>
        <w:t>rapporteur</w:t>
      </w:r>
      <w:r w:rsidRPr="00380B40">
        <w:rPr>
          <w:spacing w:val="3"/>
          <w:lang w:val="en-GB"/>
        </w:rPr>
        <w:t xml:space="preserve"> </w:t>
      </w:r>
      <w:r w:rsidRPr="00380B40">
        <w:rPr>
          <w:spacing w:val="2"/>
          <w:lang w:val="en-GB"/>
        </w:rPr>
        <w:t xml:space="preserve">by </w:t>
      </w:r>
      <w:r w:rsidRPr="00380B40">
        <w:rPr>
          <w:lang w:val="en-GB"/>
        </w:rPr>
        <w:t>ensuring</w:t>
      </w:r>
      <w:r w:rsidRPr="00380B40">
        <w:rPr>
          <w:spacing w:val="4"/>
          <w:lang w:val="en-GB"/>
        </w:rPr>
        <w:t xml:space="preserve"> </w:t>
      </w:r>
      <w:r w:rsidRPr="00380B40">
        <w:rPr>
          <w:lang w:val="en-GB"/>
        </w:rPr>
        <w:t>there</w:t>
      </w:r>
      <w:r w:rsidRPr="00380B40">
        <w:rPr>
          <w:spacing w:val="3"/>
          <w:lang w:val="en-GB"/>
        </w:rPr>
        <w:t xml:space="preserve"> </w:t>
      </w:r>
      <w:r w:rsidRPr="00380B40">
        <w:rPr>
          <w:lang w:val="en-GB"/>
        </w:rPr>
        <w:t>is</w:t>
      </w:r>
      <w:r w:rsidRPr="00380B40">
        <w:rPr>
          <w:spacing w:val="5"/>
          <w:lang w:val="en-GB"/>
        </w:rPr>
        <w:t xml:space="preserve"> </w:t>
      </w:r>
      <w:r w:rsidRPr="00380B40">
        <w:rPr>
          <w:lang w:val="en-GB"/>
        </w:rPr>
        <w:t>effective</w:t>
      </w:r>
      <w:r w:rsidRPr="00380B40">
        <w:rPr>
          <w:spacing w:val="3"/>
          <w:lang w:val="en-GB"/>
        </w:rPr>
        <w:t xml:space="preserve"> </w:t>
      </w:r>
      <w:r w:rsidRPr="00380B40">
        <w:rPr>
          <w:lang w:val="en-GB"/>
        </w:rPr>
        <w:t>liaison</w:t>
      </w:r>
      <w:r w:rsidRPr="00380B40">
        <w:rPr>
          <w:spacing w:val="5"/>
          <w:lang w:val="en-GB"/>
        </w:rPr>
        <w:t xml:space="preserve"> </w:t>
      </w:r>
      <w:r w:rsidRPr="00380B40">
        <w:rPr>
          <w:lang w:val="en-GB"/>
        </w:rPr>
        <w:t>with</w:t>
      </w:r>
      <w:r w:rsidRPr="00380B40">
        <w:rPr>
          <w:spacing w:val="5"/>
          <w:lang w:val="en-GB"/>
        </w:rPr>
        <w:t xml:space="preserve"> </w:t>
      </w:r>
      <w:r w:rsidRPr="00380B40">
        <w:rPr>
          <w:lang w:val="en-GB"/>
        </w:rPr>
        <w:t>other</w:t>
      </w:r>
      <w:r w:rsidRPr="00380B40">
        <w:rPr>
          <w:spacing w:val="5"/>
          <w:lang w:val="en-GB"/>
        </w:rPr>
        <w:t xml:space="preserve"> </w:t>
      </w:r>
      <w:r w:rsidRPr="00380B40">
        <w:rPr>
          <w:lang w:val="en-GB"/>
        </w:rPr>
        <w:t>groups,</w:t>
      </w:r>
      <w:r w:rsidRPr="00380B40">
        <w:rPr>
          <w:spacing w:val="4"/>
          <w:lang w:val="en-GB"/>
        </w:rPr>
        <w:t xml:space="preserve"> </w:t>
      </w:r>
      <w:r w:rsidRPr="00380B40">
        <w:rPr>
          <w:spacing w:val="1"/>
          <w:lang w:val="en-GB"/>
        </w:rPr>
        <w:t>by</w:t>
      </w:r>
      <w:r w:rsidRPr="00380B40">
        <w:rPr>
          <w:spacing w:val="2"/>
          <w:lang w:val="en-GB"/>
        </w:rPr>
        <w:t xml:space="preserve"> </w:t>
      </w:r>
      <w:r w:rsidRPr="00380B40">
        <w:rPr>
          <w:lang w:val="en-GB"/>
        </w:rPr>
        <w:t>attending</w:t>
      </w:r>
      <w:r w:rsidRPr="00380B40">
        <w:rPr>
          <w:spacing w:val="2"/>
          <w:lang w:val="en-GB"/>
        </w:rPr>
        <w:t xml:space="preserve"> </w:t>
      </w:r>
      <w:r w:rsidRPr="00380B40">
        <w:rPr>
          <w:lang w:val="en-GB"/>
        </w:rPr>
        <w:t>meetings</w:t>
      </w:r>
      <w:r w:rsidRPr="00380B40">
        <w:rPr>
          <w:spacing w:val="64"/>
          <w:lang w:val="en-GB"/>
        </w:rPr>
        <w:t xml:space="preserve"> </w:t>
      </w:r>
      <w:r w:rsidRPr="00380B40">
        <w:rPr>
          <w:lang w:val="en-GB"/>
        </w:rPr>
        <w:t>of</w:t>
      </w:r>
      <w:r w:rsidRPr="00380B40">
        <w:rPr>
          <w:spacing w:val="6"/>
          <w:lang w:val="en-GB"/>
        </w:rPr>
        <w:t xml:space="preserve"> </w:t>
      </w:r>
      <w:r w:rsidRPr="00380B40">
        <w:rPr>
          <w:lang w:val="en-GB"/>
        </w:rPr>
        <w:t>other</w:t>
      </w:r>
      <w:r w:rsidRPr="00380B40">
        <w:rPr>
          <w:spacing w:val="7"/>
          <w:lang w:val="en-GB"/>
        </w:rPr>
        <w:t xml:space="preserve"> </w:t>
      </w:r>
      <w:r w:rsidRPr="00380B40">
        <w:rPr>
          <w:lang w:val="en-GB"/>
        </w:rPr>
        <w:t>designated</w:t>
      </w:r>
      <w:r w:rsidRPr="00380B40">
        <w:rPr>
          <w:spacing w:val="11"/>
          <w:lang w:val="en-GB"/>
        </w:rPr>
        <w:t xml:space="preserve"> </w:t>
      </w:r>
      <w:r w:rsidRPr="00380B40">
        <w:rPr>
          <w:lang w:val="en-GB"/>
        </w:rPr>
        <w:t>groups</w:t>
      </w:r>
      <w:r w:rsidRPr="00380B40">
        <w:rPr>
          <w:spacing w:val="7"/>
          <w:lang w:val="en-GB"/>
        </w:rPr>
        <w:t xml:space="preserve"> </w:t>
      </w:r>
      <w:r w:rsidRPr="00380B40">
        <w:rPr>
          <w:lang w:val="en-GB"/>
        </w:rPr>
        <w:t>to</w:t>
      </w:r>
      <w:r w:rsidRPr="00380B40">
        <w:rPr>
          <w:spacing w:val="7"/>
          <w:lang w:val="en-GB"/>
        </w:rPr>
        <w:t xml:space="preserve"> </w:t>
      </w:r>
      <w:r w:rsidRPr="00380B40">
        <w:rPr>
          <w:lang w:val="en-GB"/>
        </w:rPr>
        <w:t>advise</w:t>
      </w:r>
      <w:r w:rsidRPr="00380B40">
        <w:rPr>
          <w:spacing w:val="9"/>
          <w:lang w:val="en-GB"/>
        </w:rPr>
        <w:t xml:space="preserve"> </w:t>
      </w:r>
      <w:r w:rsidRPr="00380B40">
        <w:rPr>
          <w:lang w:val="en-GB"/>
        </w:rPr>
        <w:t>and</w:t>
      </w:r>
      <w:r w:rsidRPr="00380B40">
        <w:rPr>
          <w:spacing w:val="9"/>
          <w:lang w:val="en-GB"/>
        </w:rPr>
        <w:t xml:space="preserve"> </w:t>
      </w:r>
      <w:r w:rsidRPr="00380B40">
        <w:rPr>
          <w:lang w:val="en-GB"/>
        </w:rPr>
        <w:t>assist</w:t>
      </w:r>
      <w:r w:rsidRPr="00380B40">
        <w:rPr>
          <w:spacing w:val="7"/>
          <w:lang w:val="en-GB"/>
        </w:rPr>
        <w:t xml:space="preserve"> </w:t>
      </w:r>
      <w:r w:rsidRPr="00380B40">
        <w:rPr>
          <w:lang w:val="en-GB"/>
        </w:rPr>
        <w:t>in</w:t>
      </w:r>
      <w:r w:rsidRPr="00380B40">
        <w:rPr>
          <w:spacing w:val="7"/>
          <w:lang w:val="en-GB"/>
        </w:rPr>
        <w:t xml:space="preserve"> </w:t>
      </w:r>
      <w:r w:rsidRPr="00380B40">
        <w:rPr>
          <w:lang w:val="en-GB"/>
        </w:rPr>
        <w:t>an</w:t>
      </w:r>
      <w:r w:rsidRPr="00380B40">
        <w:rPr>
          <w:spacing w:val="6"/>
          <w:lang w:val="en-GB"/>
        </w:rPr>
        <w:t xml:space="preserve"> </w:t>
      </w:r>
      <w:r w:rsidRPr="00380B40">
        <w:rPr>
          <w:lang w:val="en-GB"/>
        </w:rPr>
        <w:t>official</w:t>
      </w:r>
      <w:r w:rsidRPr="00380B40">
        <w:rPr>
          <w:spacing w:val="9"/>
          <w:lang w:val="en-GB"/>
        </w:rPr>
        <w:t xml:space="preserve"> </w:t>
      </w:r>
      <w:r w:rsidRPr="00380B40">
        <w:rPr>
          <w:lang w:val="en-GB"/>
        </w:rPr>
        <w:t>capacity,</w:t>
      </w:r>
      <w:r w:rsidRPr="00380B40">
        <w:rPr>
          <w:spacing w:val="9"/>
          <w:lang w:val="en-GB"/>
        </w:rPr>
        <w:t xml:space="preserve"> </w:t>
      </w:r>
      <w:r w:rsidRPr="00380B40">
        <w:rPr>
          <w:spacing w:val="2"/>
          <w:lang w:val="en-GB"/>
        </w:rPr>
        <w:t>by</w:t>
      </w:r>
      <w:r w:rsidRPr="00380B40">
        <w:rPr>
          <w:spacing w:val="4"/>
          <w:lang w:val="en-GB"/>
        </w:rPr>
        <w:t xml:space="preserve"> </w:t>
      </w:r>
      <w:r w:rsidRPr="00380B40">
        <w:rPr>
          <w:lang w:val="en-GB"/>
        </w:rPr>
        <w:t>correspondence</w:t>
      </w:r>
      <w:r w:rsidRPr="00380B40">
        <w:rPr>
          <w:spacing w:val="8"/>
          <w:lang w:val="en-GB"/>
        </w:rPr>
        <w:t xml:space="preserve"> </w:t>
      </w:r>
      <w:r w:rsidRPr="00380B40">
        <w:rPr>
          <w:lang w:val="en-GB"/>
        </w:rPr>
        <w:t>with</w:t>
      </w:r>
      <w:r w:rsidRPr="00380B40">
        <w:rPr>
          <w:spacing w:val="7"/>
          <w:lang w:val="en-GB"/>
        </w:rPr>
        <w:t xml:space="preserve"> </w:t>
      </w:r>
      <w:r w:rsidRPr="00380B40">
        <w:rPr>
          <w:lang w:val="en-GB"/>
        </w:rPr>
        <w:t>such</w:t>
      </w:r>
      <w:r w:rsidRPr="00380B40">
        <w:rPr>
          <w:spacing w:val="95"/>
          <w:lang w:val="en-GB"/>
        </w:rPr>
        <w:t xml:space="preserve"> </w:t>
      </w:r>
      <w:r w:rsidRPr="00380B40">
        <w:rPr>
          <w:lang w:val="en-GB"/>
        </w:rPr>
        <w:t>groups</w:t>
      </w:r>
      <w:r w:rsidRPr="00380B40">
        <w:rPr>
          <w:spacing w:val="18"/>
          <w:lang w:val="en-GB"/>
        </w:rPr>
        <w:t xml:space="preserve"> </w:t>
      </w:r>
      <w:r w:rsidRPr="00380B40">
        <w:rPr>
          <w:lang w:val="en-GB"/>
        </w:rPr>
        <w:t>or</w:t>
      </w:r>
      <w:r w:rsidRPr="00380B40">
        <w:rPr>
          <w:spacing w:val="18"/>
          <w:lang w:val="en-GB"/>
        </w:rPr>
        <w:t xml:space="preserve"> </w:t>
      </w:r>
      <w:r w:rsidRPr="00380B40">
        <w:rPr>
          <w:spacing w:val="2"/>
          <w:lang w:val="en-GB"/>
        </w:rPr>
        <w:t>by</w:t>
      </w:r>
      <w:r w:rsidRPr="00380B40">
        <w:rPr>
          <w:spacing w:val="14"/>
          <w:lang w:val="en-GB"/>
        </w:rPr>
        <w:t xml:space="preserve"> </w:t>
      </w:r>
      <w:r w:rsidRPr="00380B40">
        <w:rPr>
          <w:spacing w:val="1"/>
          <w:lang w:val="en-GB"/>
        </w:rPr>
        <w:t>any</w:t>
      </w:r>
      <w:r w:rsidRPr="00380B40">
        <w:rPr>
          <w:spacing w:val="11"/>
          <w:lang w:val="en-GB"/>
        </w:rPr>
        <w:t xml:space="preserve"> </w:t>
      </w:r>
      <w:r w:rsidRPr="00380B40">
        <w:rPr>
          <w:lang w:val="en-GB"/>
        </w:rPr>
        <w:t>other</w:t>
      </w:r>
      <w:r w:rsidRPr="00380B40">
        <w:rPr>
          <w:spacing w:val="18"/>
          <w:lang w:val="en-GB"/>
        </w:rPr>
        <w:t xml:space="preserve"> </w:t>
      </w:r>
      <w:r w:rsidRPr="00380B40">
        <w:rPr>
          <w:lang w:val="en-GB"/>
        </w:rPr>
        <w:t>means</w:t>
      </w:r>
      <w:r w:rsidRPr="00380B40">
        <w:rPr>
          <w:spacing w:val="19"/>
          <w:lang w:val="en-GB"/>
        </w:rPr>
        <w:t xml:space="preserve"> </w:t>
      </w:r>
      <w:r w:rsidRPr="00380B40">
        <w:rPr>
          <w:lang w:val="en-GB"/>
        </w:rPr>
        <w:t>considered</w:t>
      </w:r>
      <w:r w:rsidRPr="00380B40">
        <w:rPr>
          <w:spacing w:val="18"/>
          <w:lang w:val="en-GB"/>
        </w:rPr>
        <w:t xml:space="preserve"> </w:t>
      </w:r>
      <w:r w:rsidRPr="00380B40">
        <w:rPr>
          <w:lang w:val="en-GB"/>
        </w:rPr>
        <w:t>appropriate</w:t>
      </w:r>
      <w:r w:rsidRPr="00380B40">
        <w:rPr>
          <w:spacing w:val="18"/>
          <w:lang w:val="en-GB"/>
        </w:rPr>
        <w:t xml:space="preserve"> </w:t>
      </w:r>
      <w:r w:rsidRPr="00380B40">
        <w:rPr>
          <w:spacing w:val="1"/>
          <w:lang w:val="en-GB"/>
        </w:rPr>
        <w:t>by</w:t>
      </w:r>
      <w:r w:rsidRPr="00380B40">
        <w:rPr>
          <w:spacing w:val="14"/>
          <w:lang w:val="en-GB"/>
        </w:rPr>
        <w:t xml:space="preserve"> </w:t>
      </w:r>
      <w:r w:rsidRPr="00380B40">
        <w:rPr>
          <w:lang w:val="en-GB"/>
        </w:rPr>
        <w:t>the</w:t>
      </w:r>
      <w:r w:rsidRPr="00380B40">
        <w:rPr>
          <w:spacing w:val="18"/>
          <w:lang w:val="en-GB"/>
        </w:rPr>
        <w:t xml:space="preserve"> </w:t>
      </w:r>
      <w:r w:rsidRPr="00380B40">
        <w:rPr>
          <w:lang w:val="en-GB"/>
        </w:rPr>
        <w:t>rapporteur.</w:t>
      </w:r>
      <w:r w:rsidRPr="00380B40">
        <w:rPr>
          <w:spacing w:val="18"/>
          <w:lang w:val="en-GB"/>
        </w:rPr>
        <w:t xml:space="preserve"> </w:t>
      </w:r>
      <w:r w:rsidRPr="00380B40">
        <w:rPr>
          <w:spacing w:val="-2"/>
          <w:lang w:val="en-GB"/>
        </w:rPr>
        <w:t>In</w:t>
      </w:r>
      <w:r w:rsidRPr="00380B40">
        <w:rPr>
          <w:spacing w:val="18"/>
          <w:lang w:val="en-GB"/>
        </w:rPr>
        <w:t xml:space="preserve"> </w:t>
      </w:r>
      <w:r w:rsidRPr="00380B40">
        <w:rPr>
          <w:lang w:val="en-GB"/>
        </w:rPr>
        <w:t>the</w:t>
      </w:r>
      <w:r w:rsidRPr="00380B40">
        <w:rPr>
          <w:spacing w:val="18"/>
          <w:lang w:val="en-GB"/>
        </w:rPr>
        <w:t xml:space="preserve"> </w:t>
      </w:r>
      <w:r w:rsidRPr="00380B40">
        <w:rPr>
          <w:lang w:val="en-GB"/>
        </w:rPr>
        <w:t>event</w:t>
      </w:r>
      <w:r w:rsidRPr="00380B40">
        <w:rPr>
          <w:spacing w:val="19"/>
          <w:lang w:val="en-GB"/>
        </w:rPr>
        <w:t xml:space="preserve"> </w:t>
      </w:r>
      <w:r w:rsidRPr="00380B40">
        <w:rPr>
          <w:lang w:val="en-GB"/>
        </w:rPr>
        <w:t>that</w:t>
      </w:r>
      <w:r w:rsidRPr="00380B40">
        <w:rPr>
          <w:spacing w:val="18"/>
          <w:lang w:val="en-GB"/>
        </w:rPr>
        <w:t xml:space="preserve"> </w:t>
      </w:r>
      <w:r w:rsidRPr="00380B40">
        <w:rPr>
          <w:lang w:val="en-GB"/>
        </w:rPr>
        <w:t>a</w:t>
      </w:r>
      <w:r w:rsidRPr="00380B40">
        <w:rPr>
          <w:spacing w:val="18"/>
          <w:lang w:val="en-GB"/>
        </w:rPr>
        <w:t xml:space="preserve"> </w:t>
      </w:r>
      <w:r w:rsidRPr="00380B40">
        <w:rPr>
          <w:lang w:val="en-GB"/>
        </w:rPr>
        <w:t>liaison</w:t>
      </w:r>
      <w:r w:rsidRPr="00380B40">
        <w:rPr>
          <w:spacing w:val="81"/>
          <w:lang w:val="en-GB"/>
        </w:rPr>
        <w:t xml:space="preserve"> </w:t>
      </w:r>
      <w:r w:rsidRPr="00380B40">
        <w:rPr>
          <w:lang w:val="en-GB"/>
        </w:rPr>
        <w:t>rapporteur</w:t>
      </w:r>
      <w:r w:rsidRPr="00380B40">
        <w:rPr>
          <w:spacing w:val="3"/>
          <w:lang w:val="en-GB"/>
        </w:rPr>
        <w:t xml:space="preserve"> </w:t>
      </w:r>
      <w:r w:rsidRPr="00380B40">
        <w:rPr>
          <w:lang w:val="en-GB"/>
        </w:rPr>
        <w:t>is</w:t>
      </w:r>
      <w:r w:rsidRPr="00380B40">
        <w:rPr>
          <w:spacing w:val="5"/>
          <w:lang w:val="en-GB"/>
        </w:rPr>
        <w:t xml:space="preserve"> </w:t>
      </w:r>
      <w:r w:rsidRPr="00380B40">
        <w:rPr>
          <w:lang w:val="en-GB"/>
        </w:rPr>
        <w:t>not</w:t>
      </w:r>
      <w:r w:rsidRPr="00380B40">
        <w:rPr>
          <w:spacing w:val="5"/>
          <w:lang w:val="en-GB"/>
        </w:rPr>
        <w:t xml:space="preserve"> </w:t>
      </w:r>
      <w:r w:rsidRPr="00380B40">
        <w:rPr>
          <w:lang w:val="en-GB"/>
        </w:rPr>
        <w:t>appointed,</w:t>
      </w:r>
      <w:r w:rsidRPr="00380B40">
        <w:rPr>
          <w:spacing w:val="4"/>
          <w:lang w:val="en-GB"/>
        </w:rPr>
        <w:t xml:space="preserve"> </w:t>
      </w:r>
      <w:r w:rsidRPr="00380B40">
        <w:rPr>
          <w:lang w:val="en-GB"/>
        </w:rPr>
        <w:t>the</w:t>
      </w:r>
      <w:r w:rsidRPr="00380B40">
        <w:rPr>
          <w:spacing w:val="4"/>
          <w:lang w:val="en-GB"/>
        </w:rPr>
        <w:t xml:space="preserve"> </w:t>
      </w:r>
      <w:r w:rsidRPr="00380B40">
        <w:rPr>
          <w:lang w:val="en-GB"/>
        </w:rPr>
        <w:t>responsibility</w:t>
      </w:r>
      <w:r w:rsidRPr="00380B40">
        <w:rPr>
          <w:spacing w:val="-3"/>
          <w:lang w:val="en-GB"/>
        </w:rPr>
        <w:t xml:space="preserve"> </w:t>
      </w:r>
      <w:r w:rsidRPr="00380B40">
        <w:rPr>
          <w:lang w:val="en-GB"/>
        </w:rPr>
        <w:t>to</w:t>
      </w:r>
      <w:r w:rsidRPr="00380B40">
        <w:rPr>
          <w:spacing w:val="5"/>
          <w:lang w:val="en-GB"/>
        </w:rPr>
        <w:t xml:space="preserve"> </w:t>
      </w:r>
      <w:r w:rsidRPr="00380B40">
        <w:rPr>
          <w:lang w:val="en-GB"/>
        </w:rPr>
        <w:t>ensure</w:t>
      </w:r>
      <w:r w:rsidRPr="00380B40">
        <w:rPr>
          <w:spacing w:val="3"/>
          <w:lang w:val="en-GB"/>
        </w:rPr>
        <w:t xml:space="preserve"> </w:t>
      </w:r>
      <w:r w:rsidRPr="00380B40">
        <w:rPr>
          <w:lang w:val="en-GB"/>
        </w:rPr>
        <w:t>effective</w:t>
      </w:r>
      <w:r w:rsidRPr="00380B40">
        <w:rPr>
          <w:spacing w:val="3"/>
          <w:lang w:val="en-GB"/>
        </w:rPr>
        <w:t xml:space="preserve"> </w:t>
      </w:r>
      <w:r w:rsidRPr="00380B40">
        <w:rPr>
          <w:lang w:val="en-GB"/>
        </w:rPr>
        <w:t>liaison</w:t>
      </w:r>
      <w:r w:rsidRPr="00380B40">
        <w:rPr>
          <w:spacing w:val="5"/>
          <w:lang w:val="en-GB"/>
        </w:rPr>
        <w:t xml:space="preserve"> </w:t>
      </w:r>
      <w:r w:rsidRPr="00380B40">
        <w:rPr>
          <w:lang w:val="en-GB"/>
        </w:rPr>
        <w:t>resides</w:t>
      </w:r>
      <w:r w:rsidRPr="00380B40">
        <w:rPr>
          <w:spacing w:val="4"/>
          <w:lang w:val="en-GB"/>
        </w:rPr>
        <w:t xml:space="preserve"> </w:t>
      </w:r>
      <w:r w:rsidRPr="00380B40">
        <w:rPr>
          <w:lang w:val="en-GB"/>
        </w:rPr>
        <w:t>with</w:t>
      </w:r>
      <w:r w:rsidRPr="00380B40">
        <w:rPr>
          <w:spacing w:val="5"/>
          <w:lang w:val="en-GB"/>
        </w:rPr>
        <w:t xml:space="preserve"> </w:t>
      </w:r>
      <w:r w:rsidRPr="00380B40">
        <w:rPr>
          <w:lang w:val="en-GB"/>
        </w:rPr>
        <w:t>the</w:t>
      </w:r>
      <w:r w:rsidRPr="00380B40">
        <w:rPr>
          <w:spacing w:val="4"/>
          <w:lang w:val="en-GB"/>
        </w:rPr>
        <w:t xml:space="preserve"> </w:t>
      </w:r>
      <w:r w:rsidRPr="00380B40">
        <w:rPr>
          <w:lang w:val="en-GB"/>
        </w:rPr>
        <w:t>rapporteur. The</w:t>
      </w:r>
      <w:r w:rsidRPr="00380B40">
        <w:rPr>
          <w:spacing w:val="20"/>
          <w:lang w:val="en-GB"/>
        </w:rPr>
        <w:t xml:space="preserve"> </w:t>
      </w:r>
      <w:r w:rsidRPr="00380B40">
        <w:rPr>
          <w:lang w:val="en-GB"/>
        </w:rPr>
        <w:t>editor</w:t>
      </w:r>
      <w:r w:rsidRPr="00380B40">
        <w:rPr>
          <w:spacing w:val="22"/>
          <w:lang w:val="en-GB"/>
        </w:rPr>
        <w:t xml:space="preserve"> </w:t>
      </w:r>
      <w:r w:rsidRPr="00380B40">
        <w:rPr>
          <w:lang w:val="en-GB"/>
        </w:rPr>
        <w:t>assists</w:t>
      </w:r>
      <w:r w:rsidRPr="00380B40">
        <w:rPr>
          <w:spacing w:val="22"/>
          <w:lang w:val="en-GB"/>
        </w:rPr>
        <w:t xml:space="preserve"> </w:t>
      </w:r>
      <w:r w:rsidRPr="00380B40">
        <w:rPr>
          <w:lang w:val="en-GB"/>
        </w:rPr>
        <w:t>the</w:t>
      </w:r>
      <w:r w:rsidRPr="00380B40">
        <w:rPr>
          <w:spacing w:val="23"/>
          <w:lang w:val="en-GB"/>
        </w:rPr>
        <w:t xml:space="preserve"> </w:t>
      </w:r>
      <w:r w:rsidRPr="00380B40">
        <w:rPr>
          <w:lang w:val="en-GB"/>
        </w:rPr>
        <w:t>rapporteur</w:t>
      </w:r>
      <w:r w:rsidRPr="00380B40">
        <w:rPr>
          <w:spacing w:val="20"/>
          <w:lang w:val="en-GB"/>
        </w:rPr>
        <w:t xml:space="preserve"> </w:t>
      </w:r>
      <w:r w:rsidRPr="00380B40">
        <w:rPr>
          <w:lang w:val="en-GB"/>
        </w:rPr>
        <w:t>in</w:t>
      </w:r>
      <w:r w:rsidRPr="00380B40">
        <w:rPr>
          <w:spacing w:val="24"/>
          <w:lang w:val="en-GB"/>
        </w:rPr>
        <w:t xml:space="preserve"> </w:t>
      </w:r>
      <w:r w:rsidRPr="00380B40">
        <w:rPr>
          <w:lang w:val="en-GB"/>
        </w:rPr>
        <w:t>the</w:t>
      </w:r>
      <w:r w:rsidRPr="00380B40">
        <w:rPr>
          <w:spacing w:val="20"/>
          <w:lang w:val="en-GB"/>
        </w:rPr>
        <w:t xml:space="preserve"> </w:t>
      </w:r>
      <w:r w:rsidRPr="00380B40">
        <w:rPr>
          <w:lang w:val="en-GB"/>
        </w:rPr>
        <w:t>preparation</w:t>
      </w:r>
      <w:r w:rsidRPr="00380B40">
        <w:rPr>
          <w:spacing w:val="21"/>
          <w:lang w:val="en-GB"/>
        </w:rPr>
        <w:t xml:space="preserve"> </w:t>
      </w:r>
      <w:r w:rsidRPr="00380B40">
        <w:rPr>
          <w:lang w:val="en-GB"/>
        </w:rPr>
        <w:t>of</w:t>
      </w:r>
      <w:r w:rsidRPr="00380B40">
        <w:rPr>
          <w:spacing w:val="20"/>
          <w:lang w:val="en-GB"/>
        </w:rPr>
        <w:t xml:space="preserve"> </w:t>
      </w:r>
      <w:r w:rsidRPr="00380B40">
        <w:rPr>
          <w:lang w:val="en-GB"/>
        </w:rPr>
        <w:t>the</w:t>
      </w:r>
      <w:r w:rsidRPr="00380B40">
        <w:rPr>
          <w:spacing w:val="23"/>
          <w:lang w:val="en-GB"/>
        </w:rPr>
        <w:t xml:space="preserve"> </w:t>
      </w:r>
      <w:r w:rsidRPr="00380B40">
        <w:rPr>
          <w:lang w:val="en-GB"/>
        </w:rPr>
        <w:t>text</w:t>
      </w:r>
      <w:r w:rsidRPr="00380B40">
        <w:rPr>
          <w:spacing w:val="21"/>
          <w:lang w:val="en-GB"/>
        </w:rPr>
        <w:t xml:space="preserve"> </w:t>
      </w:r>
      <w:r w:rsidRPr="00380B40">
        <w:rPr>
          <w:lang w:val="en-GB"/>
        </w:rPr>
        <w:t>of</w:t>
      </w:r>
      <w:r w:rsidRPr="00380B40">
        <w:rPr>
          <w:spacing w:val="20"/>
          <w:lang w:val="en-GB"/>
        </w:rPr>
        <w:t xml:space="preserve"> </w:t>
      </w:r>
      <w:r w:rsidRPr="00380B40">
        <w:rPr>
          <w:lang w:val="en-GB"/>
        </w:rPr>
        <w:t>draft</w:t>
      </w:r>
      <w:r w:rsidRPr="00380B40">
        <w:rPr>
          <w:spacing w:val="23"/>
          <w:lang w:val="en-GB"/>
        </w:rPr>
        <w:t xml:space="preserve"> </w:t>
      </w:r>
      <w:r w:rsidRPr="00380B40">
        <w:rPr>
          <w:lang w:val="en-GB"/>
        </w:rPr>
        <w:t>Recommendations</w:t>
      </w:r>
      <w:r w:rsidRPr="00380B40">
        <w:rPr>
          <w:spacing w:val="21"/>
          <w:lang w:val="en-GB"/>
        </w:rPr>
        <w:t xml:space="preserve"> </w:t>
      </w:r>
      <w:r w:rsidRPr="00380B40">
        <w:rPr>
          <w:lang w:val="en-GB"/>
        </w:rPr>
        <w:t>or</w:t>
      </w:r>
      <w:r w:rsidRPr="00380B40">
        <w:rPr>
          <w:spacing w:val="22"/>
          <w:lang w:val="en-GB"/>
        </w:rPr>
        <w:t xml:space="preserve"> </w:t>
      </w:r>
      <w:r w:rsidRPr="00380B40">
        <w:rPr>
          <w:lang w:val="en-GB"/>
        </w:rPr>
        <w:t>other</w:t>
      </w:r>
      <w:r w:rsidRPr="00380B40">
        <w:rPr>
          <w:spacing w:val="69"/>
          <w:lang w:val="en-GB"/>
        </w:rPr>
        <w:t xml:space="preserve"> </w:t>
      </w:r>
      <w:r w:rsidRPr="00380B40">
        <w:rPr>
          <w:lang w:val="en-GB"/>
        </w:rPr>
        <w:t>publications.</w:t>
      </w:r>
    </w:p>
    <w:p w14:paraId="209365FF" w14:textId="77777777" w:rsidR="00C12517" w:rsidRPr="00380B40" w:rsidRDefault="00C12517" w:rsidP="00C12517">
      <w:pPr>
        <w:rPr>
          <w:lang w:val="en-GB"/>
        </w:rPr>
      </w:pPr>
      <w:r w:rsidRPr="00380B40">
        <w:rPr>
          <w:b/>
          <w:bCs/>
          <w:lang w:val="en-GB"/>
        </w:rPr>
        <w:t>2.3.3.4</w:t>
      </w:r>
      <w:r w:rsidRPr="00380B40">
        <w:rPr>
          <w:lang w:val="en-GB"/>
        </w:rPr>
        <w:tab/>
        <w:t>Rapporteurs,</w:t>
      </w:r>
      <w:r w:rsidRPr="00380B40">
        <w:rPr>
          <w:spacing w:val="49"/>
          <w:lang w:val="en-GB"/>
        </w:rPr>
        <w:t xml:space="preserve"> </w:t>
      </w:r>
      <w:r w:rsidRPr="00380B40">
        <w:rPr>
          <w:lang w:val="en-GB"/>
        </w:rPr>
        <w:t>and</w:t>
      </w:r>
      <w:r w:rsidRPr="00380B40">
        <w:rPr>
          <w:spacing w:val="50"/>
          <w:lang w:val="en-GB"/>
        </w:rPr>
        <w:t xml:space="preserve"> </w:t>
      </w:r>
      <w:r w:rsidRPr="00380B40">
        <w:rPr>
          <w:lang w:val="en-GB"/>
        </w:rPr>
        <w:t>their</w:t>
      </w:r>
      <w:r w:rsidRPr="00380B40">
        <w:rPr>
          <w:spacing w:val="49"/>
          <w:lang w:val="en-GB"/>
        </w:rPr>
        <w:t xml:space="preserve"> </w:t>
      </w:r>
      <w:r w:rsidRPr="00380B40">
        <w:rPr>
          <w:lang w:val="en-GB"/>
        </w:rPr>
        <w:t>associate</w:t>
      </w:r>
      <w:r w:rsidRPr="00380B40">
        <w:rPr>
          <w:spacing w:val="49"/>
          <w:lang w:val="en-GB"/>
        </w:rPr>
        <w:t xml:space="preserve"> </w:t>
      </w:r>
      <w:r w:rsidRPr="00380B40">
        <w:rPr>
          <w:lang w:val="en-GB"/>
        </w:rPr>
        <w:t>and</w:t>
      </w:r>
      <w:r w:rsidRPr="00380B40">
        <w:rPr>
          <w:spacing w:val="50"/>
          <w:lang w:val="en-GB"/>
        </w:rPr>
        <w:t xml:space="preserve"> </w:t>
      </w:r>
      <w:r w:rsidRPr="00380B40">
        <w:rPr>
          <w:lang w:val="en-GB"/>
        </w:rPr>
        <w:t>liaison</w:t>
      </w:r>
      <w:r w:rsidRPr="00380B40">
        <w:rPr>
          <w:spacing w:val="50"/>
          <w:lang w:val="en-GB"/>
        </w:rPr>
        <w:t xml:space="preserve"> </w:t>
      </w:r>
      <w:r w:rsidRPr="00380B40">
        <w:rPr>
          <w:lang w:val="en-GB"/>
        </w:rPr>
        <w:t>rapporteurs</w:t>
      </w:r>
      <w:r w:rsidRPr="00380B40">
        <w:rPr>
          <w:spacing w:val="49"/>
          <w:lang w:val="en-GB"/>
        </w:rPr>
        <w:t xml:space="preserve"> </w:t>
      </w:r>
      <w:r w:rsidRPr="00380B40">
        <w:rPr>
          <w:lang w:val="en-GB"/>
        </w:rPr>
        <w:t>as</w:t>
      </w:r>
      <w:r w:rsidRPr="00380B40">
        <w:rPr>
          <w:spacing w:val="50"/>
          <w:lang w:val="en-GB"/>
        </w:rPr>
        <w:t xml:space="preserve"> </w:t>
      </w:r>
      <w:r w:rsidRPr="00380B40">
        <w:rPr>
          <w:lang w:val="en-GB"/>
        </w:rPr>
        <w:t>well</w:t>
      </w:r>
      <w:r w:rsidRPr="00380B40">
        <w:rPr>
          <w:spacing w:val="50"/>
          <w:lang w:val="en-GB"/>
        </w:rPr>
        <w:t xml:space="preserve"> </w:t>
      </w:r>
      <w:r w:rsidRPr="00380B40">
        <w:rPr>
          <w:lang w:val="en-GB"/>
        </w:rPr>
        <w:t>as</w:t>
      </w:r>
      <w:r w:rsidRPr="00380B40">
        <w:rPr>
          <w:spacing w:val="50"/>
          <w:lang w:val="en-GB"/>
        </w:rPr>
        <w:t xml:space="preserve"> </w:t>
      </w:r>
      <w:r w:rsidRPr="00380B40">
        <w:rPr>
          <w:lang w:val="en-GB"/>
        </w:rPr>
        <w:t>the</w:t>
      </w:r>
      <w:r w:rsidRPr="00380B40">
        <w:rPr>
          <w:spacing w:val="47"/>
          <w:lang w:val="en-GB"/>
        </w:rPr>
        <w:t xml:space="preserve"> </w:t>
      </w:r>
      <w:r w:rsidRPr="00380B40">
        <w:rPr>
          <w:lang w:val="en-GB"/>
        </w:rPr>
        <w:t>editors,</w:t>
      </w:r>
      <w:r w:rsidRPr="00380B40">
        <w:rPr>
          <w:spacing w:val="49"/>
          <w:lang w:val="en-GB"/>
        </w:rPr>
        <w:t xml:space="preserve"> </w:t>
      </w:r>
      <w:r w:rsidRPr="00380B40">
        <w:rPr>
          <w:lang w:val="en-GB"/>
        </w:rPr>
        <w:t>play</w:t>
      </w:r>
      <w:r w:rsidRPr="00380B40">
        <w:rPr>
          <w:spacing w:val="45"/>
          <w:lang w:val="en-GB"/>
        </w:rPr>
        <w:t xml:space="preserve"> </w:t>
      </w:r>
      <w:r w:rsidRPr="00380B40">
        <w:rPr>
          <w:lang w:val="en-GB"/>
        </w:rPr>
        <w:t>an</w:t>
      </w:r>
      <w:r w:rsidRPr="00380B40">
        <w:rPr>
          <w:spacing w:val="89"/>
          <w:lang w:val="en-GB"/>
        </w:rPr>
        <w:t xml:space="preserve"> </w:t>
      </w:r>
      <w:r w:rsidRPr="00380B40">
        <w:rPr>
          <w:lang w:val="en-GB"/>
        </w:rPr>
        <w:t>indispensable</w:t>
      </w:r>
      <w:r w:rsidRPr="00380B40">
        <w:rPr>
          <w:spacing w:val="52"/>
          <w:lang w:val="en-GB"/>
        </w:rPr>
        <w:t xml:space="preserve"> </w:t>
      </w:r>
      <w:r w:rsidRPr="00380B40">
        <w:rPr>
          <w:lang w:val="en-GB"/>
        </w:rPr>
        <w:t>role</w:t>
      </w:r>
      <w:r w:rsidRPr="00380B40">
        <w:rPr>
          <w:spacing w:val="51"/>
          <w:lang w:val="en-GB"/>
        </w:rPr>
        <w:t xml:space="preserve"> </w:t>
      </w:r>
      <w:r w:rsidRPr="00380B40">
        <w:rPr>
          <w:lang w:val="en-GB"/>
        </w:rPr>
        <w:t>in</w:t>
      </w:r>
      <w:r w:rsidRPr="00380B40">
        <w:rPr>
          <w:spacing w:val="55"/>
          <w:lang w:val="en-GB"/>
        </w:rPr>
        <w:t xml:space="preserve"> </w:t>
      </w:r>
      <w:r w:rsidRPr="00380B40">
        <w:rPr>
          <w:lang w:val="en-GB"/>
        </w:rPr>
        <w:t>coordinating</w:t>
      </w:r>
      <w:r w:rsidRPr="00380B40">
        <w:rPr>
          <w:spacing w:val="50"/>
          <w:lang w:val="en-GB"/>
        </w:rPr>
        <w:t xml:space="preserve"> </w:t>
      </w:r>
      <w:r w:rsidRPr="00380B40">
        <w:rPr>
          <w:lang w:val="en-GB"/>
        </w:rPr>
        <w:t>increasingly</w:t>
      </w:r>
      <w:r w:rsidRPr="00380B40">
        <w:rPr>
          <w:spacing w:val="50"/>
          <w:lang w:val="en-GB"/>
        </w:rPr>
        <w:t xml:space="preserve"> </w:t>
      </w:r>
      <w:r w:rsidRPr="00380B40">
        <w:rPr>
          <w:lang w:val="en-GB"/>
        </w:rPr>
        <w:t>detailed</w:t>
      </w:r>
      <w:r w:rsidRPr="00380B40">
        <w:rPr>
          <w:spacing w:val="52"/>
          <w:lang w:val="en-GB"/>
        </w:rPr>
        <w:t xml:space="preserve"> </w:t>
      </w:r>
      <w:r w:rsidRPr="00380B40">
        <w:rPr>
          <w:lang w:val="en-GB"/>
        </w:rPr>
        <w:t>and</w:t>
      </w:r>
      <w:r w:rsidRPr="00380B40">
        <w:rPr>
          <w:spacing w:val="52"/>
          <w:lang w:val="en-GB"/>
        </w:rPr>
        <w:t xml:space="preserve"> </w:t>
      </w:r>
      <w:r w:rsidRPr="00380B40">
        <w:rPr>
          <w:lang w:val="en-GB"/>
        </w:rPr>
        <w:t>often</w:t>
      </w:r>
      <w:r w:rsidRPr="00380B40">
        <w:rPr>
          <w:spacing w:val="54"/>
          <w:lang w:val="en-GB"/>
        </w:rPr>
        <w:t xml:space="preserve"> </w:t>
      </w:r>
      <w:r w:rsidRPr="00380B40">
        <w:rPr>
          <w:lang w:val="en-GB"/>
        </w:rPr>
        <w:t>highly</w:t>
      </w:r>
      <w:r w:rsidRPr="00380B40">
        <w:rPr>
          <w:spacing w:val="47"/>
          <w:lang w:val="en-GB"/>
        </w:rPr>
        <w:t xml:space="preserve"> </w:t>
      </w:r>
      <w:r w:rsidRPr="00380B40">
        <w:rPr>
          <w:lang w:val="en-GB"/>
        </w:rPr>
        <w:t>technical</w:t>
      </w:r>
      <w:r w:rsidRPr="00380B40">
        <w:rPr>
          <w:spacing w:val="53"/>
          <w:lang w:val="en-GB"/>
        </w:rPr>
        <w:t xml:space="preserve"> </w:t>
      </w:r>
      <w:r w:rsidRPr="00380B40">
        <w:rPr>
          <w:lang w:val="en-GB"/>
        </w:rPr>
        <w:t>study.</w:t>
      </w:r>
      <w:r w:rsidRPr="00380B40">
        <w:rPr>
          <w:spacing w:val="91"/>
          <w:lang w:val="en-GB"/>
        </w:rPr>
        <w:t xml:space="preserve"> </w:t>
      </w:r>
      <w:r w:rsidRPr="00380B40">
        <w:rPr>
          <w:lang w:val="en-GB"/>
        </w:rPr>
        <w:t>Consequently,</w:t>
      </w:r>
      <w:r w:rsidRPr="00380B40">
        <w:rPr>
          <w:spacing w:val="26"/>
          <w:lang w:val="en-GB"/>
        </w:rPr>
        <w:t xml:space="preserve"> </w:t>
      </w:r>
      <w:r w:rsidRPr="00380B40">
        <w:rPr>
          <w:lang w:val="en-GB"/>
        </w:rPr>
        <w:t>their</w:t>
      </w:r>
      <w:r w:rsidRPr="00380B40">
        <w:rPr>
          <w:spacing w:val="25"/>
          <w:lang w:val="en-GB"/>
        </w:rPr>
        <w:t xml:space="preserve"> </w:t>
      </w:r>
      <w:r w:rsidRPr="00380B40">
        <w:rPr>
          <w:lang w:val="en-GB"/>
        </w:rPr>
        <w:t>appointment</w:t>
      </w:r>
      <w:r w:rsidRPr="00380B40">
        <w:rPr>
          <w:spacing w:val="26"/>
          <w:lang w:val="en-GB"/>
        </w:rPr>
        <w:t xml:space="preserve"> </w:t>
      </w:r>
      <w:r w:rsidRPr="00380B40">
        <w:rPr>
          <w:lang w:val="en-GB"/>
        </w:rPr>
        <w:t>should</w:t>
      </w:r>
      <w:r w:rsidRPr="00380B40">
        <w:rPr>
          <w:spacing w:val="23"/>
          <w:lang w:val="en-GB"/>
        </w:rPr>
        <w:t xml:space="preserve"> </w:t>
      </w:r>
      <w:r w:rsidRPr="00380B40">
        <w:rPr>
          <w:lang w:val="en-GB"/>
        </w:rPr>
        <w:t>be</w:t>
      </w:r>
      <w:r w:rsidRPr="00380B40">
        <w:rPr>
          <w:spacing w:val="25"/>
          <w:lang w:val="en-GB"/>
        </w:rPr>
        <w:t xml:space="preserve"> </w:t>
      </w:r>
      <w:r w:rsidRPr="00380B40">
        <w:rPr>
          <w:lang w:val="en-GB"/>
        </w:rPr>
        <w:t>primarily</w:t>
      </w:r>
      <w:r w:rsidRPr="00380B40">
        <w:rPr>
          <w:spacing w:val="21"/>
          <w:lang w:val="en-GB"/>
        </w:rPr>
        <w:t xml:space="preserve"> </w:t>
      </w:r>
      <w:r w:rsidRPr="00380B40">
        <w:rPr>
          <w:lang w:val="en-GB"/>
        </w:rPr>
        <w:t>based</w:t>
      </w:r>
      <w:r w:rsidRPr="00380B40">
        <w:rPr>
          <w:spacing w:val="26"/>
          <w:lang w:val="en-GB"/>
        </w:rPr>
        <w:t xml:space="preserve"> </w:t>
      </w:r>
      <w:r w:rsidRPr="00380B40">
        <w:rPr>
          <w:lang w:val="en-GB"/>
        </w:rPr>
        <w:t>on</w:t>
      </w:r>
      <w:r w:rsidRPr="00380B40">
        <w:rPr>
          <w:spacing w:val="26"/>
          <w:lang w:val="en-GB"/>
        </w:rPr>
        <w:t xml:space="preserve"> </w:t>
      </w:r>
      <w:r w:rsidRPr="00380B40">
        <w:rPr>
          <w:lang w:val="en-GB"/>
        </w:rPr>
        <w:t>their</w:t>
      </w:r>
      <w:r w:rsidRPr="00380B40">
        <w:rPr>
          <w:spacing w:val="25"/>
          <w:lang w:val="en-GB"/>
        </w:rPr>
        <w:t xml:space="preserve"> </w:t>
      </w:r>
      <w:r w:rsidRPr="00380B40">
        <w:rPr>
          <w:lang w:val="en-GB"/>
        </w:rPr>
        <w:t>expertise</w:t>
      </w:r>
      <w:r w:rsidRPr="00380B40">
        <w:rPr>
          <w:spacing w:val="25"/>
          <w:lang w:val="en-GB"/>
        </w:rPr>
        <w:t xml:space="preserve"> </w:t>
      </w:r>
      <w:r w:rsidRPr="00380B40">
        <w:rPr>
          <w:lang w:val="en-GB"/>
        </w:rPr>
        <w:t>in</w:t>
      </w:r>
      <w:r w:rsidRPr="00380B40">
        <w:rPr>
          <w:spacing w:val="26"/>
          <w:lang w:val="en-GB"/>
        </w:rPr>
        <w:t xml:space="preserve"> </w:t>
      </w:r>
      <w:r w:rsidRPr="00380B40">
        <w:rPr>
          <w:lang w:val="en-GB"/>
        </w:rPr>
        <w:t>the</w:t>
      </w:r>
      <w:r w:rsidRPr="00380B40">
        <w:rPr>
          <w:spacing w:val="25"/>
          <w:lang w:val="en-GB"/>
        </w:rPr>
        <w:t xml:space="preserve"> </w:t>
      </w:r>
      <w:r w:rsidRPr="00380B40">
        <w:rPr>
          <w:lang w:val="en-GB"/>
        </w:rPr>
        <w:t>subject</w:t>
      </w:r>
      <w:r w:rsidRPr="00380B40">
        <w:rPr>
          <w:spacing w:val="26"/>
          <w:lang w:val="en-GB"/>
        </w:rPr>
        <w:t xml:space="preserve"> </w:t>
      </w:r>
      <w:r w:rsidRPr="00380B40">
        <w:rPr>
          <w:lang w:val="en-GB"/>
        </w:rPr>
        <w:t>to</w:t>
      </w:r>
      <w:r w:rsidRPr="00380B40">
        <w:rPr>
          <w:spacing w:val="24"/>
          <w:lang w:val="en-GB"/>
        </w:rPr>
        <w:t xml:space="preserve"> </w:t>
      </w:r>
      <w:r w:rsidRPr="00380B40">
        <w:rPr>
          <w:spacing w:val="-2"/>
          <w:lang w:val="en-GB"/>
        </w:rPr>
        <w:t>be</w:t>
      </w:r>
      <w:r w:rsidRPr="00380B40">
        <w:rPr>
          <w:spacing w:val="59"/>
          <w:lang w:val="en-GB"/>
        </w:rPr>
        <w:t xml:space="preserve"> </w:t>
      </w:r>
      <w:r w:rsidRPr="00380B40">
        <w:rPr>
          <w:lang w:val="en-GB"/>
        </w:rPr>
        <w:t>studied.</w:t>
      </w:r>
    </w:p>
    <w:p w14:paraId="51BCAD18" w14:textId="77777777" w:rsidR="00C12517" w:rsidRPr="00380B40" w:rsidRDefault="00C12517" w:rsidP="00C12517">
      <w:pPr>
        <w:rPr>
          <w:lang w:val="en-GB"/>
        </w:rPr>
      </w:pPr>
      <w:r w:rsidRPr="00380B40">
        <w:rPr>
          <w:b/>
          <w:bCs/>
          <w:lang w:val="en-GB"/>
        </w:rPr>
        <w:t>2.3.3.5</w:t>
      </w:r>
      <w:r w:rsidRPr="00380B40">
        <w:rPr>
          <w:lang w:val="en-GB"/>
        </w:rPr>
        <w:tab/>
        <w:t>As</w:t>
      </w:r>
      <w:r w:rsidRPr="00380B40">
        <w:rPr>
          <w:spacing w:val="11"/>
          <w:lang w:val="en-GB"/>
        </w:rPr>
        <w:t xml:space="preserve"> </w:t>
      </w:r>
      <w:r w:rsidRPr="00380B40">
        <w:rPr>
          <w:lang w:val="en-GB"/>
        </w:rPr>
        <w:t>a</w:t>
      </w:r>
      <w:r w:rsidRPr="00380B40">
        <w:rPr>
          <w:spacing w:val="13"/>
          <w:lang w:val="en-GB"/>
        </w:rPr>
        <w:t xml:space="preserve"> </w:t>
      </w:r>
      <w:r w:rsidRPr="00380B40">
        <w:rPr>
          <w:lang w:val="en-GB"/>
        </w:rPr>
        <w:t>general</w:t>
      </w:r>
      <w:r w:rsidRPr="00380B40">
        <w:rPr>
          <w:spacing w:val="12"/>
          <w:lang w:val="en-GB"/>
        </w:rPr>
        <w:t xml:space="preserve"> </w:t>
      </w:r>
      <w:r w:rsidRPr="00380B40">
        <w:rPr>
          <w:lang w:val="en-GB"/>
        </w:rPr>
        <w:t>principle,</w:t>
      </w:r>
      <w:r w:rsidRPr="00380B40">
        <w:rPr>
          <w:spacing w:val="13"/>
          <w:lang w:val="en-GB"/>
        </w:rPr>
        <w:t xml:space="preserve"> </w:t>
      </w:r>
      <w:r w:rsidRPr="00380B40">
        <w:rPr>
          <w:lang w:val="en-GB"/>
        </w:rPr>
        <w:t>work</w:t>
      </w:r>
      <w:r w:rsidRPr="00380B40">
        <w:rPr>
          <w:spacing w:val="11"/>
          <w:lang w:val="en-GB"/>
        </w:rPr>
        <w:t xml:space="preserve"> </w:t>
      </w:r>
      <w:r w:rsidRPr="00380B40">
        <w:rPr>
          <w:spacing w:val="2"/>
          <w:lang w:val="en-GB"/>
        </w:rPr>
        <w:t>by</w:t>
      </w:r>
      <w:r w:rsidRPr="00380B40">
        <w:rPr>
          <w:spacing w:val="6"/>
          <w:lang w:val="en-GB"/>
        </w:rPr>
        <w:t xml:space="preserve"> </w:t>
      </w:r>
      <w:r w:rsidRPr="00380B40">
        <w:rPr>
          <w:lang w:val="en-GB"/>
        </w:rPr>
        <w:t>correspondence</w:t>
      </w:r>
      <w:r w:rsidRPr="00380B40">
        <w:rPr>
          <w:spacing w:val="10"/>
          <w:lang w:val="en-GB"/>
        </w:rPr>
        <w:t xml:space="preserve"> </w:t>
      </w:r>
      <w:r w:rsidRPr="00380B40">
        <w:rPr>
          <w:lang w:val="en-GB"/>
        </w:rPr>
        <w:t>(including</w:t>
      </w:r>
      <w:r w:rsidRPr="00380B40">
        <w:rPr>
          <w:spacing w:val="9"/>
          <w:lang w:val="en-GB"/>
        </w:rPr>
        <w:t xml:space="preserve"> </w:t>
      </w:r>
      <w:r w:rsidRPr="00380B40">
        <w:rPr>
          <w:lang w:val="en-GB"/>
        </w:rPr>
        <w:t>electronic</w:t>
      </w:r>
      <w:r w:rsidRPr="00380B40">
        <w:rPr>
          <w:spacing w:val="13"/>
          <w:lang w:val="en-GB"/>
        </w:rPr>
        <w:t xml:space="preserve"> </w:t>
      </w:r>
      <w:r w:rsidRPr="00380B40">
        <w:rPr>
          <w:lang w:val="en-GB"/>
        </w:rPr>
        <w:t>messaging</w:t>
      </w:r>
      <w:r w:rsidRPr="00380B40">
        <w:rPr>
          <w:spacing w:val="11"/>
          <w:lang w:val="en-GB"/>
        </w:rPr>
        <w:t xml:space="preserve"> </w:t>
      </w:r>
      <w:r w:rsidRPr="00380B40">
        <w:rPr>
          <w:lang w:val="en-GB"/>
        </w:rPr>
        <w:t>and</w:t>
      </w:r>
      <w:r w:rsidRPr="00380B40">
        <w:rPr>
          <w:spacing w:val="83"/>
          <w:lang w:val="en-GB"/>
        </w:rPr>
        <w:t xml:space="preserve"> </w:t>
      </w:r>
      <w:r w:rsidRPr="00380B40">
        <w:rPr>
          <w:lang w:val="en-GB"/>
        </w:rPr>
        <w:t>telephone</w:t>
      </w:r>
      <w:r w:rsidRPr="00380B40">
        <w:rPr>
          <w:spacing w:val="46"/>
          <w:lang w:val="en-GB"/>
        </w:rPr>
        <w:t xml:space="preserve"> </w:t>
      </w:r>
      <w:r w:rsidRPr="00380B40">
        <w:rPr>
          <w:lang w:val="en-GB"/>
        </w:rPr>
        <w:t>communications)</w:t>
      </w:r>
      <w:r w:rsidRPr="00380B40">
        <w:rPr>
          <w:spacing w:val="47"/>
          <w:lang w:val="en-GB"/>
        </w:rPr>
        <w:t xml:space="preserve"> </w:t>
      </w:r>
      <w:r w:rsidRPr="00380B40">
        <w:rPr>
          <w:lang w:val="en-GB"/>
        </w:rPr>
        <w:t>is</w:t>
      </w:r>
      <w:r w:rsidRPr="00380B40">
        <w:rPr>
          <w:spacing w:val="48"/>
          <w:lang w:val="en-GB"/>
        </w:rPr>
        <w:t xml:space="preserve"> </w:t>
      </w:r>
      <w:r w:rsidRPr="00380B40">
        <w:rPr>
          <w:lang w:val="en-GB"/>
        </w:rPr>
        <w:t>preferred</w:t>
      </w:r>
      <w:r w:rsidRPr="00380B40">
        <w:rPr>
          <w:spacing w:val="47"/>
          <w:lang w:val="en-GB"/>
        </w:rPr>
        <w:t xml:space="preserve"> </w:t>
      </w:r>
      <w:r w:rsidRPr="00380B40">
        <w:rPr>
          <w:lang w:val="en-GB"/>
        </w:rPr>
        <w:t>(see also clause 1.6) and</w:t>
      </w:r>
      <w:r w:rsidRPr="00380B40">
        <w:rPr>
          <w:spacing w:val="47"/>
          <w:lang w:val="en-GB"/>
        </w:rPr>
        <w:t xml:space="preserve"> </w:t>
      </w:r>
      <w:r w:rsidRPr="00380B40">
        <w:rPr>
          <w:lang w:val="en-GB"/>
        </w:rPr>
        <w:t>the</w:t>
      </w:r>
      <w:r w:rsidRPr="00380B40">
        <w:rPr>
          <w:spacing w:val="49"/>
          <w:lang w:val="en-GB"/>
        </w:rPr>
        <w:t xml:space="preserve"> </w:t>
      </w:r>
      <w:r w:rsidRPr="00380B40">
        <w:rPr>
          <w:lang w:val="en-GB"/>
        </w:rPr>
        <w:t>number</w:t>
      </w:r>
      <w:r w:rsidRPr="00380B40">
        <w:rPr>
          <w:spacing w:val="46"/>
          <w:lang w:val="en-GB"/>
        </w:rPr>
        <w:t xml:space="preserve"> </w:t>
      </w:r>
      <w:r w:rsidRPr="00380B40">
        <w:rPr>
          <w:lang w:val="en-GB"/>
        </w:rPr>
        <w:t>of</w:t>
      </w:r>
      <w:r w:rsidRPr="00380B40">
        <w:rPr>
          <w:spacing w:val="47"/>
          <w:lang w:val="en-GB"/>
        </w:rPr>
        <w:t xml:space="preserve"> </w:t>
      </w:r>
      <w:r w:rsidRPr="00380B40">
        <w:rPr>
          <w:lang w:val="en-GB"/>
        </w:rPr>
        <w:t>meetings</w:t>
      </w:r>
      <w:r w:rsidRPr="00380B40">
        <w:rPr>
          <w:spacing w:val="48"/>
          <w:lang w:val="en-GB"/>
        </w:rPr>
        <w:t xml:space="preserve"> </w:t>
      </w:r>
      <w:r w:rsidRPr="00380B40">
        <w:rPr>
          <w:lang w:val="en-GB"/>
        </w:rPr>
        <w:t>should</w:t>
      </w:r>
      <w:r w:rsidRPr="00380B40">
        <w:rPr>
          <w:spacing w:val="47"/>
          <w:lang w:val="en-GB"/>
        </w:rPr>
        <w:t xml:space="preserve"> </w:t>
      </w:r>
      <w:r w:rsidRPr="00380B40">
        <w:rPr>
          <w:lang w:val="en-GB"/>
        </w:rPr>
        <w:t>be</w:t>
      </w:r>
      <w:r w:rsidRPr="00380B40">
        <w:rPr>
          <w:spacing w:val="46"/>
          <w:lang w:val="en-GB"/>
        </w:rPr>
        <w:t xml:space="preserve"> </w:t>
      </w:r>
      <w:r w:rsidRPr="00380B40">
        <w:rPr>
          <w:lang w:val="en-GB"/>
        </w:rPr>
        <w:t>kept</w:t>
      </w:r>
      <w:r w:rsidRPr="00380B40">
        <w:rPr>
          <w:spacing w:val="48"/>
          <w:lang w:val="en-GB"/>
        </w:rPr>
        <w:t xml:space="preserve"> </w:t>
      </w:r>
      <w:r w:rsidRPr="00380B40">
        <w:rPr>
          <w:lang w:val="en-GB"/>
        </w:rPr>
        <w:t>to</w:t>
      </w:r>
      <w:r w:rsidRPr="00380B40">
        <w:rPr>
          <w:spacing w:val="48"/>
          <w:lang w:val="en-GB"/>
        </w:rPr>
        <w:t xml:space="preserve"> </w:t>
      </w:r>
      <w:r w:rsidRPr="00380B40">
        <w:rPr>
          <w:lang w:val="en-GB"/>
        </w:rPr>
        <w:t>a</w:t>
      </w:r>
      <w:r w:rsidRPr="00380B40">
        <w:rPr>
          <w:spacing w:val="46"/>
          <w:lang w:val="en-GB"/>
        </w:rPr>
        <w:t xml:space="preserve"> </w:t>
      </w:r>
      <w:r w:rsidRPr="00380B40">
        <w:rPr>
          <w:lang w:val="en-GB"/>
        </w:rPr>
        <w:t>strict</w:t>
      </w:r>
      <w:r w:rsidRPr="00380B40">
        <w:rPr>
          <w:spacing w:val="73"/>
          <w:lang w:val="en-GB"/>
        </w:rPr>
        <w:t xml:space="preserve"> </w:t>
      </w:r>
      <w:r w:rsidRPr="00380B40">
        <w:rPr>
          <w:lang w:val="en-GB"/>
        </w:rPr>
        <w:t>minimum,</w:t>
      </w:r>
      <w:r w:rsidRPr="00380B40">
        <w:rPr>
          <w:spacing w:val="36"/>
          <w:lang w:val="en-GB"/>
        </w:rPr>
        <w:t xml:space="preserve"> </w:t>
      </w:r>
      <w:r w:rsidRPr="00380B40">
        <w:rPr>
          <w:lang w:val="en-GB"/>
        </w:rPr>
        <w:t>consistent</w:t>
      </w:r>
      <w:r w:rsidRPr="00380B40">
        <w:rPr>
          <w:spacing w:val="35"/>
          <w:lang w:val="en-GB"/>
        </w:rPr>
        <w:t xml:space="preserve"> </w:t>
      </w:r>
      <w:r w:rsidRPr="00380B40">
        <w:rPr>
          <w:lang w:val="en-GB"/>
        </w:rPr>
        <w:t>with</w:t>
      </w:r>
      <w:r w:rsidRPr="00380B40">
        <w:rPr>
          <w:spacing w:val="35"/>
          <w:lang w:val="en-GB"/>
        </w:rPr>
        <w:t xml:space="preserve"> </w:t>
      </w:r>
      <w:r w:rsidRPr="00380B40">
        <w:rPr>
          <w:lang w:val="en-GB"/>
        </w:rPr>
        <w:t>the</w:t>
      </w:r>
      <w:r w:rsidRPr="00380B40">
        <w:rPr>
          <w:spacing w:val="35"/>
          <w:lang w:val="en-GB"/>
        </w:rPr>
        <w:t xml:space="preserve"> </w:t>
      </w:r>
      <w:r w:rsidRPr="00380B40">
        <w:rPr>
          <w:lang w:val="en-GB"/>
        </w:rPr>
        <w:t>scale</w:t>
      </w:r>
      <w:r w:rsidRPr="00380B40">
        <w:rPr>
          <w:spacing w:val="35"/>
          <w:lang w:val="en-GB"/>
        </w:rPr>
        <w:t xml:space="preserve"> </w:t>
      </w:r>
      <w:r w:rsidRPr="00380B40">
        <w:rPr>
          <w:lang w:val="en-GB"/>
        </w:rPr>
        <w:t>and</w:t>
      </w:r>
      <w:r w:rsidRPr="00380B40">
        <w:rPr>
          <w:spacing w:val="35"/>
          <w:lang w:val="en-GB"/>
        </w:rPr>
        <w:t xml:space="preserve"> </w:t>
      </w:r>
      <w:r w:rsidRPr="00380B40">
        <w:rPr>
          <w:lang w:val="en-GB"/>
        </w:rPr>
        <w:t>milestones</w:t>
      </w:r>
      <w:r w:rsidRPr="00380B40">
        <w:rPr>
          <w:spacing w:val="36"/>
          <w:lang w:val="en-GB"/>
        </w:rPr>
        <w:t xml:space="preserve"> </w:t>
      </w:r>
      <w:r w:rsidRPr="00380B40">
        <w:rPr>
          <w:lang w:val="en-GB"/>
        </w:rPr>
        <w:t>agreed</w:t>
      </w:r>
      <w:r w:rsidRPr="00380B40">
        <w:rPr>
          <w:spacing w:val="35"/>
          <w:lang w:val="en-GB"/>
        </w:rPr>
        <w:t xml:space="preserve"> </w:t>
      </w:r>
      <w:r w:rsidRPr="00380B40">
        <w:rPr>
          <w:spacing w:val="2"/>
          <w:lang w:val="en-GB"/>
        </w:rPr>
        <w:t>by</w:t>
      </w:r>
      <w:r w:rsidRPr="00380B40">
        <w:rPr>
          <w:spacing w:val="30"/>
          <w:lang w:val="en-GB"/>
        </w:rPr>
        <w:t xml:space="preserve"> </w:t>
      </w:r>
      <w:r w:rsidRPr="00380B40">
        <w:rPr>
          <w:lang w:val="en-GB"/>
        </w:rPr>
        <w:t>the</w:t>
      </w:r>
      <w:r w:rsidRPr="00380B40">
        <w:rPr>
          <w:spacing w:val="35"/>
          <w:lang w:val="en-GB"/>
        </w:rPr>
        <w:t xml:space="preserve"> </w:t>
      </w:r>
      <w:r w:rsidRPr="00380B40">
        <w:rPr>
          <w:lang w:val="en-GB"/>
        </w:rPr>
        <w:t>parent</w:t>
      </w:r>
      <w:r w:rsidRPr="00380B40">
        <w:rPr>
          <w:spacing w:val="38"/>
          <w:lang w:val="en-GB"/>
        </w:rPr>
        <w:t xml:space="preserve"> </w:t>
      </w:r>
      <w:r w:rsidRPr="00380B40">
        <w:rPr>
          <w:lang w:val="en-GB"/>
        </w:rPr>
        <w:t>group.</w:t>
      </w:r>
      <w:r w:rsidRPr="00380B40">
        <w:rPr>
          <w:spacing w:val="35"/>
          <w:lang w:val="en-GB"/>
        </w:rPr>
        <w:t xml:space="preserve"> </w:t>
      </w:r>
      <w:r w:rsidRPr="00380B40">
        <w:rPr>
          <w:lang w:val="en-GB"/>
        </w:rPr>
        <w:t>Where</w:t>
      </w:r>
      <w:r w:rsidRPr="00380B40">
        <w:rPr>
          <w:spacing w:val="34"/>
          <w:lang w:val="en-GB"/>
        </w:rPr>
        <w:t xml:space="preserve"> </w:t>
      </w:r>
      <w:r w:rsidRPr="00380B40">
        <w:rPr>
          <w:lang w:val="en-GB"/>
        </w:rPr>
        <w:t>possible,</w:t>
      </w:r>
      <w:r w:rsidRPr="00380B40">
        <w:rPr>
          <w:spacing w:val="51"/>
          <w:lang w:val="en-GB"/>
        </w:rPr>
        <w:t xml:space="preserve"> </w:t>
      </w:r>
      <w:r w:rsidRPr="00380B40">
        <w:rPr>
          <w:lang w:val="en-GB"/>
        </w:rPr>
        <w:t>meetings</w:t>
      </w:r>
      <w:r w:rsidRPr="00380B40">
        <w:rPr>
          <w:spacing w:val="2"/>
          <w:lang w:val="en-GB"/>
        </w:rPr>
        <w:t xml:space="preserve"> </w:t>
      </w:r>
      <w:r w:rsidRPr="00380B40">
        <w:rPr>
          <w:lang w:val="en-GB"/>
        </w:rPr>
        <w:t>in</w:t>
      </w:r>
      <w:r w:rsidRPr="00380B40">
        <w:rPr>
          <w:spacing w:val="2"/>
          <w:lang w:val="en-GB"/>
        </w:rPr>
        <w:t xml:space="preserve"> </w:t>
      </w:r>
      <w:r w:rsidRPr="00380B40">
        <w:rPr>
          <w:lang w:val="en-GB"/>
        </w:rPr>
        <w:t>related</w:t>
      </w:r>
      <w:r w:rsidRPr="00380B40">
        <w:rPr>
          <w:spacing w:val="2"/>
          <w:lang w:val="en-GB"/>
        </w:rPr>
        <w:t xml:space="preserve"> </w:t>
      </w:r>
      <w:r w:rsidRPr="00380B40">
        <w:rPr>
          <w:lang w:val="en-GB"/>
        </w:rPr>
        <w:t>areas</w:t>
      </w:r>
      <w:r w:rsidRPr="00380B40">
        <w:rPr>
          <w:spacing w:val="4"/>
          <w:lang w:val="en-GB"/>
        </w:rPr>
        <w:t xml:space="preserve"> </w:t>
      </w:r>
      <w:r w:rsidRPr="00380B40">
        <w:rPr>
          <w:lang w:val="en-GB"/>
        </w:rPr>
        <w:t>of</w:t>
      </w:r>
      <w:r w:rsidRPr="00380B40">
        <w:rPr>
          <w:spacing w:val="1"/>
          <w:lang w:val="en-GB"/>
        </w:rPr>
        <w:t xml:space="preserve"> </w:t>
      </w:r>
      <w:r w:rsidRPr="00380B40">
        <w:rPr>
          <w:lang w:val="en-GB"/>
        </w:rPr>
        <w:t>study</w:t>
      </w:r>
      <w:r w:rsidRPr="00380B40">
        <w:rPr>
          <w:spacing w:val="-3"/>
          <w:lang w:val="en-GB"/>
        </w:rPr>
        <w:t xml:space="preserve"> </w:t>
      </w:r>
      <w:r w:rsidRPr="00380B40">
        <w:rPr>
          <w:lang w:val="en-GB"/>
        </w:rPr>
        <w:t>or</w:t>
      </w:r>
      <w:r w:rsidRPr="00380B40">
        <w:rPr>
          <w:spacing w:val="1"/>
          <w:lang w:val="en-GB"/>
        </w:rPr>
        <w:t xml:space="preserve"> </w:t>
      </w:r>
      <w:r w:rsidRPr="00380B40">
        <w:rPr>
          <w:lang w:val="en-GB"/>
        </w:rPr>
        <w:t>within</w:t>
      </w:r>
      <w:r w:rsidRPr="00380B40">
        <w:rPr>
          <w:spacing w:val="2"/>
          <w:lang w:val="en-GB"/>
        </w:rPr>
        <w:t xml:space="preserve"> </w:t>
      </w:r>
      <w:r w:rsidRPr="00380B40">
        <w:rPr>
          <w:lang w:val="en-GB"/>
        </w:rPr>
        <w:t>a</w:t>
      </w:r>
      <w:r w:rsidRPr="00380B40">
        <w:rPr>
          <w:spacing w:val="1"/>
          <w:lang w:val="en-GB"/>
        </w:rPr>
        <w:t xml:space="preserve"> </w:t>
      </w:r>
      <w:r w:rsidRPr="00380B40">
        <w:rPr>
          <w:lang w:val="en-GB"/>
        </w:rPr>
        <w:t>work</w:t>
      </w:r>
      <w:r w:rsidRPr="00380B40">
        <w:rPr>
          <w:spacing w:val="4"/>
          <w:lang w:val="en-GB"/>
        </w:rPr>
        <w:t xml:space="preserve"> </w:t>
      </w:r>
      <w:r w:rsidRPr="00380B40">
        <w:rPr>
          <w:lang w:val="en-GB"/>
        </w:rPr>
        <w:t>area</w:t>
      </w:r>
      <w:r w:rsidRPr="00380B40">
        <w:rPr>
          <w:spacing w:val="1"/>
          <w:lang w:val="en-GB"/>
        </w:rPr>
        <w:t xml:space="preserve"> </w:t>
      </w:r>
      <w:r w:rsidRPr="00380B40">
        <w:rPr>
          <w:lang w:val="en-GB"/>
        </w:rPr>
        <w:t>covered</w:t>
      </w:r>
      <w:r w:rsidRPr="00380B40">
        <w:rPr>
          <w:spacing w:val="2"/>
          <w:lang w:val="en-GB"/>
        </w:rPr>
        <w:t xml:space="preserve"> </w:t>
      </w:r>
      <w:r w:rsidRPr="00380B40">
        <w:rPr>
          <w:spacing w:val="1"/>
          <w:lang w:val="en-GB"/>
        </w:rPr>
        <w:t>by</w:t>
      </w:r>
      <w:r w:rsidRPr="00380B40">
        <w:rPr>
          <w:lang w:val="en-GB"/>
        </w:rPr>
        <w:t xml:space="preserve"> a</w:t>
      </w:r>
      <w:r w:rsidRPr="00380B40">
        <w:rPr>
          <w:spacing w:val="1"/>
          <w:lang w:val="en-GB"/>
        </w:rPr>
        <w:t xml:space="preserve"> </w:t>
      </w:r>
      <w:r w:rsidRPr="00380B40">
        <w:rPr>
          <w:lang w:val="en-GB"/>
        </w:rPr>
        <w:t>JCA</w:t>
      </w:r>
      <w:r w:rsidRPr="00380B40">
        <w:rPr>
          <w:spacing w:val="1"/>
          <w:lang w:val="en-GB"/>
        </w:rPr>
        <w:t xml:space="preserve"> </w:t>
      </w:r>
      <w:r w:rsidRPr="00380B40">
        <w:rPr>
          <w:lang w:val="en-GB"/>
        </w:rPr>
        <w:t>should</w:t>
      </w:r>
      <w:r w:rsidRPr="00380B40">
        <w:rPr>
          <w:spacing w:val="2"/>
          <w:lang w:val="en-GB"/>
        </w:rPr>
        <w:t xml:space="preserve"> </w:t>
      </w:r>
      <w:r w:rsidRPr="00380B40">
        <w:rPr>
          <w:lang w:val="en-GB"/>
        </w:rPr>
        <w:t>be</w:t>
      </w:r>
      <w:r w:rsidRPr="00380B40">
        <w:rPr>
          <w:spacing w:val="1"/>
          <w:lang w:val="en-GB"/>
        </w:rPr>
        <w:t xml:space="preserve"> </w:t>
      </w:r>
      <w:r w:rsidRPr="00380B40">
        <w:rPr>
          <w:lang w:val="en-GB"/>
        </w:rPr>
        <w:t>coordinated.</w:t>
      </w:r>
      <w:r w:rsidRPr="00380B40">
        <w:rPr>
          <w:spacing w:val="4"/>
          <w:lang w:val="en-GB"/>
        </w:rPr>
        <w:t xml:space="preserve"> </w:t>
      </w:r>
      <w:r w:rsidRPr="00380B40">
        <w:rPr>
          <w:spacing w:val="-2"/>
          <w:lang w:val="en-GB"/>
        </w:rPr>
        <w:t>In</w:t>
      </w:r>
      <w:r w:rsidRPr="00380B40">
        <w:rPr>
          <w:spacing w:val="63"/>
          <w:lang w:val="en-GB"/>
        </w:rPr>
        <w:t xml:space="preserve"> </w:t>
      </w:r>
      <w:r w:rsidRPr="00380B40">
        <w:rPr>
          <w:lang w:val="en-GB"/>
        </w:rPr>
        <w:t>any</w:t>
      </w:r>
      <w:r w:rsidRPr="00380B40">
        <w:rPr>
          <w:spacing w:val="-3"/>
          <w:lang w:val="en-GB"/>
        </w:rPr>
        <w:t xml:space="preserve"> </w:t>
      </w:r>
      <w:r w:rsidRPr="00380B40">
        <w:rPr>
          <w:lang w:val="en-GB"/>
        </w:rPr>
        <w:t>case, this work should proceed in</w:t>
      </w:r>
      <w:r w:rsidRPr="00380B40">
        <w:rPr>
          <w:spacing w:val="2"/>
          <w:lang w:val="en-GB"/>
        </w:rPr>
        <w:t xml:space="preserve"> </w:t>
      </w:r>
      <w:r w:rsidRPr="00380B40">
        <w:rPr>
          <w:lang w:val="en-GB"/>
        </w:rPr>
        <w:t>a continuous fashion between meetings of the parent group.</w:t>
      </w:r>
    </w:p>
    <w:p w14:paraId="4E495A2B" w14:textId="77777777" w:rsidR="00C12517" w:rsidRPr="00380B40" w:rsidRDefault="00C12517" w:rsidP="00C12517">
      <w:pPr>
        <w:rPr>
          <w:lang w:val="en-GB"/>
        </w:rPr>
      </w:pPr>
      <w:r w:rsidRPr="00380B40">
        <w:rPr>
          <w:b/>
          <w:bCs/>
          <w:lang w:val="en-GB"/>
        </w:rPr>
        <w:t>2.3.3.6</w:t>
      </w:r>
      <w:r w:rsidRPr="00380B40">
        <w:rPr>
          <w:lang w:val="en-GB"/>
        </w:rPr>
        <w:tab/>
        <w:t>The</w:t>
      </w:r>
      <w:r w:rsidRPr="00380B40">
        <w:rPr>
          <w:spacing w:val="-2"/>
          <w:lang w:val="en-GB"/>
        </w:rPr>
        <w:t xml:space="preserve"> </w:t>
      </w:r>
      <w:r w:rsidRPr="00380B40">
        <w:rPr>
          <w:spacing w:val="-1"/>
          <w:lang w:val="en-GB"/>
        </w:rPr>
        <w:t>rapporteur's</w:t>
      </w:r>
      <w:r w:rsidRPr="00380B40">
        <w:rPr>
          <w:lang w:val="en-GB"/>
        </w:rPr>
        <w:t xml:space="preserve"> responsibilities </w:t>
      </w:r>
      <w:r w:rsidRPr="00380B40">
        <w:rPr>
          <w:spacing w:val="-1"/>
          <w:lang w:val="en-GB"/>
        </w:rPr>
        <w:t>are:</w:t>
      </w:r>
    </w:p>
    <w:p w14:paraId="6F150566" w14:textId="77777777" w:rsidR="00C12517" w:rsidRPr="00380B40" w:rsidRDefault="00C12517" w:rsidP="00C12517">
      <w:pPr>
        <w:pStyle w:val="enumlev1"/>
        <w:rPr>
          <w:lang w:val="en-GB"/>
        </w:rPr>
      </w:pPr>
      <w:r w:rsidRPr="00380B40">
        <w:rPr>
          <w:lang w:val="en-GB"/>
        </w:rPr>
        <w:t>a.</w:t>
      </w:r>
      <w:r w:rsidRPr="00380B40">
        <w:rPr>
          <w:lang w:val="en-GB"/>
        </w:rPr>
        <w:tab/>
        <w:t>to</w:t>
      </w:r>
      <w:r w:rsidRPr="00380B40">
        <w:rPr>
          <w:spacing w:val="12"/>
          <w:lang w:val="en-GB"/>
        </w:rPr>
        <w:t xml:space="preserve"> </w:t>
      </w:r>
      <w:r w:rsidRPr="00380B40">
        <w:rPr>
          <w:lang w:val="en-GB"/>
        </w:rPr>
        <w:t>coordinate</w:t>
      </w:r>
      <w:r w:rsidRPr="00380B40">
        <w:rPr>
          <w:spacing w:val="11"/>
          <w:lang w:val="en-GB"/>
        </w:rPr>
        <w:t xml:space="preserve"> </w:t>
      </w:r>
      <w:r w:rsidRPr="00380B40">
        <w:rPr>
          <w:lang w:val="en-GB"/>
        </w:rPr>
        <w:t>the</w:t>
      </w:r>
      <w:r w:rsidRPr="00380B40">
        <w:rPr>
          <w:spacing w:val="11"/>
          <w:lang w:val="en-GB"/>
        </w:rPr>
        <w:t xml:space="preserve"> </w:t>
      </w:r>
      <w:r w:rsidRPr="00380B40">
        <w:rPr>
          <w:lang w:val="en-GB"/>
        </w:rPr>
        <w:t>detailed</w:t>
      </w:r>
      <w:r w:rsidRPr="00380B40">
        <w:rPr>
          <w:spacing w:val="11"/>
          <w:lang w:val="en-GB"/>
        </w:rPr>
        <w:t xml:space="preserve"> </w:t>
      </w:r>
      <w:r w:rsidRPr="00380B40">
        <w:rPr>
          <w:lang w:val="en-GB"/>
        </w:rPr>
        <w:t>study</w:t>
      </w:r>
      <w:r w:rsidRPr="00380B40">
        <w:rPr>
          <w:spacing w:val="6"/>
          <w:lang w:val="en-GB"/>
        </w:rPr>
        <w:t xml:space="preserve"> </w:t>
      </w:r>
      <w:r w:rsidRPr="00380B40">
        <w:rPr>
          <w:lang w:val="en-GB"/>
        </w:rPr>
        <w:t>in</w:t>
      </w:r>
      <w:r w:rsidRPr="00380B40">
        <w:rPr>
          <w:spacing w:val="12"/>
          <w:lang w:val="en-GB"/>
        </w:rPr>
        <w:t xml:space="preserve"> </w:t>
      </w:r>
      <w:r w:rsidRPr="00380B40">
        <w:rPr>
          <w:lang w:val="en-GB"/>
        </w:rPr>
        <w:t>accordance</w:t>
      </w:r>
      <w:r w:rsidRPr="00380B40">
        <w:rPr>
          <w:spacing w:val="10"/>
          <w:lang w:val="en-GB"/>
        </w:rPr>
        <w:t xml:space="preserve"> </w:t>
      </w:r>
      <w:r w:rsidRPr="00380B40">
        <w:rPr>
          <w:lang w:val="en-GB"/>
        </w:rPr>
        <w:t>with</w:t>
      </w:r>
      <w:r w:rsidRPr="00380B40">
        <w:rPr>
          <w:spacing w:val="12"/>
          <w:lang w:val="en-GB"/>
        </w:rPr>
        <w:t xml:space="preserve"> </w:t>
      </w:r>
      <w:r w:rsidRPr="00380B40">
        <w:rPr>
          <w:lang w:val="en-GB"/>
        </w:rPr>
        <w:t>guidelines</w:t>
      </w:r>
      <w:r w:rsidRPr="00380B40">
        <w:rPr>
          <w:spacing w:val="11"/>
          <w:lang w:val="en-GB"/>
        </w:rPr>
        <w:t xml:space="preserve"> </w:t>
      </w:r>
      <w:r w:rsidRPr="00380B40">
        <w:rPr>
          <w:lang w:val="en-GB"/>
        </w:rPr>
        <w:t>established</w:t>
      </w:r>
      <w:r w:rsidRPr="00380B40">
        <w:rPr>
          <w:spacing w:val="14"/>
          <w:lang w:val="en-GB"/>
        </w:rPr>
        <w:t xml:space="preserve"> </w:t>
      </w:r>
      <w:r w:rsidRPr="00380B40">
        <w:rPr>
          <w:lang w:val="en-GB"/>
        </w:rPr>
        <w:t>at</w:t>
      </w:r>
      <w:r w:rsidRPr="00380B40">
        <w:rPr>
          <w:spacing w:val="12"/>
          <w:lang w:val="en-GB"/>
        </w:rPr>
        <w:t xml:space="preserve"> </w:t>
      </w:r>
      <w:r w:rsidRPr="00380B40">
        <w:rPr>
          <w:lang w:val="en-GB"/>
        </w:rPr>
        <w:t>working</w:t>
      </w:r>
      <w:r w:rsidRPr="00380B40">
        <w:rPr>
          <w:spacing w:val="9"/>
          <w:lang w:val="en-GB"/>
        </w:rPr>
        <w:t xml:space="preserve"> </w:t>
      </w:r>
      <w:r w:rsidRPr="00380B40">
        <w:rPr>
          <w:spacing w:val="1"/>
          <w:lang w:val="en-GB"/>
        </w:rPr>
        <w:t>party</w:t>
      </w:r>
      <w:r w:rsidRPr="00380B40">
        <w:rPr>
          <w:spacing w:val="83"/>
          <w:lang w:val="en-GB"/>
        </w:rPr>
        <w:t xml:space="preserve"> </w:t>
      </w:r>
      <w:r w:rsidRPr="00380B40">
        <w:rPr>
          <w:lang w:val="en-GB"/>
        </w:rPr>
        <w:t>(or</w:t>
      </w:r>
      <w:r w:rsidRPr="00380B40">
        <w:rPr>
          <w:spacing w:val="-2"/>
          <w:lang w:val="en-GB"/>
        </w:rPr>
        <w:t xml:space="preserve"> </w:t>
      </w:r>
      <w:r w:rsidRPr="00380B40">
        <w:rPr>
          <w:lang w:val="en-GB"/>
        </w:rPr>
        <w:t>study</w:t>
      </w:r>
      <w:r w:rsidRPr="00380B40">
        <w:rPr>
          <w:spacing w:val="-3"/>
          <w:lang w:val="en-GB"/>
        </w:rPr>
        <w:t xml:space="preserve"> </w:t>
      </w:r>
      <w:r w:rsidRPr="00380B40">
        <w:rPr>
          <w:lang w:val="en-GB"/>
        </w:rPr>
        <w:t>group) level;</w:t>
      </w:r>
    </w:p>
    <w:p w14:paraId="147D1BD5" w14:textId="77777777" w:rsidR="00C12517" w:rsidRPr="00380B40" w:rsidRDefault="00C12517" w:rsidP="00C12517">
      <w:pPr>
        <w:pStyle w:val="enumlev1"/>
        <w:rPr>
          <w:lang w:val="en-GB"/>
        </w:rPr>
      </w:pPr>
      <w:r w:rsidRPr="00380B40">
        <w:rPr>
          <w:lang w:val="en-GB"/>
        </w:rPr>
        <w:t>b.</w:t>
      </w:r>
      <w:r w:rsidRPr="00380B40">
        <w:rPr>
          <w:lang w:val="en-GB"/>
        </w:rPr>
        <w:tab/>
        <w:t>to</w:t>
      </w:r>
      <w:r w:rsidRPr="00380B40">
        <w:rPr>
          <w:spacing w:val="5"/>
          <w:lang w:val="en-GB"/>
        </w:rPr>
        <w:t xml:space="preserve"> </w:t>
      </w:r>
      <w:r w:rsidRPr="00380B40">
        <w:rPr>
          <w:lang w:val="en-GB"/>
        </w:rPr>
        <w:t>the</w:t>
      </w:r>
      <w:r w:rsidRPr="00380B40">
        <w:rPr>
          <w:spacing w:val="4"/>
          <w:lang w:val="en-GB"/>
        </w:rPr>
        <w:t xml:space="preserve"> </w:t>
      </w:r>
      <w:r w:rsidRPr="00380B40">
        <w:rPr>
          <w:lang w:val="en-GB"/>
        </w:rPr>
        <w:t>extent</w:t>
      </w:r>
      <w:r w:rsidRPr="00380B40">
        <w:rPr>
          <w:spacing w:val="4"/>
          <w:lang w:val="en-GB"/>
        </w:rPr>
        <w:t xml:space="preserve"> </w:t>
      </w:r>
      <w:r w:rsidRPr="00380B40">
        <w:rPr>
          <w:lang w:val="en-GB"/>
        </w:rPr>
        <w:t>authorized</w:t>
      </w:r>
      <w:r w:rsidRPr="00380B40">
        <w:rPr>
          <w:spacing w:val="4"/>
          <w:lang w:val="en-GB"/>
        </w:rPr>
        <w:t xml:space="preserve"> </w:t>
      </w:r>
      <w:r w:rsidRPr="00380B40">
        <w:rPr>
          <w:spacing w:val="1"/>
          <w:lang w:val="en-GB"/>
        </w:rPr>
        <w:t>by</w:t>
      </w:r>
      <w:r w:rsidRPr="00380B40">
        <w:rPr>
          <w:lang w:val="en-GB"/>
        </w:rPr>
        <w:t xml:space="preserve"> the</w:t>
      </w:r>
      <w:r w:rsidRPr="00380B40">
        <w:rPr>
          <w:spacing w:val="4"/>
          <w:lang w:val="en-GB"/>
        </w:rPr>
        <w:t xml:space="preserve"> </w:t>
      </w:r>
      <w:r w:rsidRPr="00380B40">
        <w:rPr>
          <w:spacing w:val="1"/>
          <w:lang w:val="en-GB"/>
        </w:rPr>
        <w:t>study</w:t>
      </w:r>
      <w:r w:rsidRPr="00380B40">
        <w:rPr>
          <w:lang w:val="en-GB"/>
        </w:rPr>
        <w:t xml:space="preserve"> group,</w:t>
      </w:r>
      <w:r w:rsidRPr="00380B40">
        <w:rPr>
          <w:spacing w:val="4"/>
          <w:lang w:val="en-GB"/>
        </w:rPr>
        <w:t xml:space="preserve"> </w:t>
      </w:r>
      <w:r w:rsidRPr="00380B40">
        <w:rPr>
          <w:lang w:val="en-GB"/>
        </w:rPr>
        <w:t>to</w:t>
      </w:r>
      <w:r w:rsidRPr="00380B40">
        <w:rPr>
          <w:spacing w:val="5"/>
          <w:lang w:val="en-GB"/>
        </w:rPr>
        <w:t xml:space="preserve"> </w:t>
      </w:r>
      <w:r w:rsidRPr="00380B40">
        <w:rPr>
          <w:lang w:val="en-GB"/>
        </w:rPr>
        <w:t>act</w:t>
      </w:r>
      <w:r w:rsidRPr="00380B40">
        <w:rPr>
          <w:spacing w:val="5"/>
          <w:lang w:val="en-GB"/>
        </w:rPr>
        <w:t xml:space="preserve"> </w:t>
      </w:r>
      <w:r w:rsidRPr="00380B40">
        <w:rPr>
          <w:lang w:val="en-GB"/>
        </w:rPr>
        <w:t>as</w:t>
      </w:r>
      <w:r w:rsidRPr="00380B40">
        <w:rPr>
          <w:spacing w:val="4"/>
          <w:lang w:val="en-GB"/>
        </w:rPr>
        <w:t xml:space="preserve"> </w:t>
      </w:r>
      <w:r w:rsidRPr="00380B40">
        <w:rPr>
          <w:lang w:val="en-GB"/>
        </w:rPr>
        <w:t>a</w:t>
      </w:r>
      <w:r w:rsidRPr="00380B40">
        <w:rPr>
          <w:spacing w:val="3"/>
          <w:lang w:val="en-GB"/>
        </w:rPr>
        <w:t xml:space="preserve"> </w:t>
      </w:r>
      <w:r w:rsidRPr="00380B40">
        <w:rPr>
          <w:lang w:val="en-GB"/>
        </w:rPr>
        <w:t>contact</w:t>
      </w:r>
      <w:r w:rsidRPr="00380B40">
        <w:rPr>
          <w:spacing w:val="5"/>
          <w:lang w:val="en-GB"/>
        </w:rPr>
        <w:t xml:space="preserve"> </w:t>
      </w:r>
      <w:r w:rsidRPr="00380B40">
        <w:rPr>
          <w:lang w:val="en-GB"/>
        </w:rPr>
        <w:t>point</w:t>
      </w:r>
      <w:r w:rsidRPr="00380B40">
        <w:rPr>
          <w:spacing w:val="5"/>
          <w:lang w:val="en-GB"/>
        </w:rPr>
        <w:t xml:space="preserve"> </w:t>
      </w:r>
      <w:r w:rsidRPr="00380B40">
        <w:rPr>
          <w:lang w:val="en-GB"/>
        </w:rPr>
        <w:t>and</w:t>
      </w:r>
      <w:r w:rsidRPr="00380B40">
        <w:rPr>
          <w:spacing w:val="4"/>
          <w:lang w:val="en-GB"/>
        </w:rPr>
        <w:t xml:space="preserve"> </w:t>
      </w:r>
      <w:r w:rsidRPr="00380B40">
        <w:rPr>
          <w:lang w:val="en-GB"/>
        </w:rPr>
        <w:t>source</w:t>
      </w:r>
      <w:r w:rsidRPr="00380B40">
        <w:rPr>
          <w:spacing w:val="3"/>
          <w:lang w:val="en-GB"/>
        </w:rPr>
        <w:t xml:space="preserve"> </w:t>
      </w:r>
      <w:r w:rsidRPr="00380B40">
        <w:rPr>
          <w:lang w:val="en-GB"/>
        </w:rPr>
        <w:t>of</w:t>
      </w:r>
      <w:r w:rsidRPr="00380B40">
        <w:rPr>
          <w:spacing w:val="3"/>
          <w:lang w:val="en-GB"/>
        </w:rPr>
        <w:t xml:space="preserve"> </w:t>
      </w:r>
      <w:r w:rsidRPr="00380B40">
        <w:rPr>
          <w:lang w:val="en-GB"/>
        </w:rPr>
        <w:t>expertise</w:t>
      </w:r>
      <w:r w:rsidRPr="00380B40">
        <w:rPr>
          <w:spacing w:val="47"/>
          <w:lang w:val="en-GB"/>
        </w:rPr>
        <w:t xml:space="preserve"> </w:t>
      </w:r>
      <w:r w:rsidRPr="00380B40">
        <w:rPr>
          <w:lang w:val="en-GB"/>
        </w:rPr>
        <w:t>for</w:t>
      </w:r>
      <w:r w:rsidRPr="00380B40">
        <w:rPr>
          <w:spacing w:val="22"/>
          <w:lang w:val="en-GB"/>
        </w:rPr>
        <w:t xml:space="preserve"> </w:t>
      </w:r>
      <w:r w:rsidRPr="00380B40">
        <w:rPr>
          <w:lang w:val="en-GB"/>
        </w:rPr>
        <w:t>the</w:t>
      </w:r>
      <w:r w:rsidRPr="00380B40">
        <w:rPr>
          <w:spacing w:val="23"/>
          <w:lang w:val="en-GB"/>
        </w:rPr>
        <w:t xml:space="preserve"> </w:t>
      </w:r>
      <w:r w:rsidRPr="00380B40">
        <w:rPr>
          <w:lang w:val="en-GB"/>
        </w:rPr>
        <w:t>allocated</w:t>
      </w:r>
      <w:r w:rsidRPr="00380B40">
        <w:rPr>
          <w:spacing w:val="23"/>
          <w:lang w:val="en-GB"/>
        </w:rPr>
        <w:t xml:space="preserve"> </w:t>
      </w:r>
      <w:r w:rsidRPr="00380B40">
        <w:rPr>
          <w:spacing w:val="1"/>
          <w:lang w:val="en-GB"/>
        </w:rPr>
        <w:t>study</w:t>
      </w:r>
      <w:r w:rsidRPr="00380B40">
        <w:rPr>
          <w:spacing w:val="18"/>
          <w:lang w:val="en-GB"/>
        </w:rPr>
        <w:t xml:space="preserve"> </w:t>
      </w:r>
      <w:r w:rsidRPr="00380B40">
        <w:rPr>
          <w:lang w:val="en-GB"/>
        </w:rPr>
        <w:t>topic</w:t>
      </w:r>
      <w:r w:rsidRPr="00380B40">
        <w:rPr>
          <w:spacing w:val="23"/>
          <w:lang w:val="en-GB"/>
        </w:rPr>
        <w:t xml:space="preserve"> </w:t>
      </w:r>
      <w:r w:rsidRPr="00380B40">
        <w:rPr>
          <w:lang w:val="en-GB"/>
        </w:rPr>
        <w:t>with</w:t>
      </w:r>
      <w:r w:rsidRPr="00380B40">
        <w:rPr>
          <w:spacing w:val="26"/>
          <w:lang w:val="en-GB"/>
        </w:rPr>
        <w:t xml:space="preserve"> </w:t>
      </w:r>
      <w:r w:rsidRPr="00380B40">
        <w:rPr>
          <w:lang w:val="en-GB"/>
        </w:rPr>
        <w:t>other</w:t>
      </w:r>
      <w:r w:rsidRPr="00380B40">
        <w:rPr>
          <w:spacing w:val="24"/>
          <w:lang w:val="en-GB"/>
        </w:rPr>
        <w:t xml:space="preserve"> </w:t>
      </w:r>
      <w:r w:rsidRPr="00380B40">
        <w:rPr>
          <w:lang w:val="en-GB"/>
        </w:rPr>
        <w:t>ITU</w:t>
      </w:r>
      <w:r w:rsidRPr="00380B40">
        <w:rPr>
          <w:lang w:val="en-GB"/>
        </w:rPr>
        <w:noBreakHyphen/>
        <w:t>T,</w:t>
      </w:r>
      <w:r w:rsidRPr="00380B40">
        <w:rPr>
          <w:spacing w:val="25"/>
          <w:lang w:val="en-GB"/>
        </w:rPr>
        <w:t xml:space="preserve"> </w:t>
      </w:r>
      <w:r w:rsidRPr="00380B40">
        <w:rPr>
          <w:lang w:val="en-GB"/>
        </w:rPr>
        <w:t>ITU</w:t>
      </w:r>
      <w:r w:rsidRPr="00380B40">
        <w:rPr>
          <w:spacing w:val="23"/>
          <w:lang w:val="en-GB"/>
        </w:rPr>
        <w:t xml:space="preserve"> </w:t>
      </w:r>
      <w:r w:rsidRPr="00380B40">
        <w:rPr>
          <w:lang w:val="en-GB"/>
        </w:rPr>
        <w:t>Radiocommunication</w:t>
      </w:r>
      <w:r w:rsidRPr="00380B40">
        <w:rPr>
          <w:spacing w:val="23"/>
          <w:lang w:val="en-GB"/>
        </w:rPr>
        <w:t xml:space="preserve"> </w:t>
      </w:r>
      <w:r w:rsidRPr="00380B40">
        <w:rPr>
          <w:lang w:val="en-GB"/>
        </w:rPr>
        <w:t>Sector</w:t>
      </w:r>
      <w:r w:rsidRPr="00380B40">
        <w:rPr>
          <w:spacing w:val="23"/>
          <w:lang w:val="en-GB"/>
        </w:rPr>
        <w:t xml:space="preserve"> </w:t>
      </w:r>
      <w:r w:rsidRPr="00380B40">
        <w:rPr>
          <w:lang w:val="en-GB"/>
        </w:rPr>
        <w:t>(ITU</w:t>
      </w:r>
      <w:r w:rsidRPr="00380B40">
        <w:rPr>
          <w:lang w:val="en-GB"/>
        </w:rPr>
        <w:noBreakHyphen/>
        <w:t>R)</w:t>
      </w:r>
      <w:r w:rsidRPr="00380B40">
        <w:rPr>
          <w:spacing w:val="69"/>
          <w:lang w:val="en-GB"/>
        </w:rPr>
        <w:t xml:space="preserve"> </w:t>
      </w:r>
      <w:r w:rsidRPr="00380B40">
        <w:rPr>
          <w:lang w:val="en-GB"/>
        </w:rPr>
        <w:t>and</w:t>
      </w:r>
      <w:r w:rsidRPr="00380B40">
        <w:rPr>
          <w:spacing w:val="6"/>
          <w:lang w:val="en-GB"/>
        </w:rPr>
        <w:t xml:space="preserve"> </w:t>
      </w:r>
      <w:r w:rsidRPr="00380B40">
        <w:rPr>
          <w:spacing w:val="-2"/>
          <w:lang w:val="en-GB"/>
        </w:rPr>
        <w:t>ITU</w:t>
      </w:r>
      <w:r w:rsidRPr="00380B40">
        <w:rPr>
          <w:spacing w:val="3"/>
          <w:lang w:val="en-GB"/>
        </w:rPr>
        <w:t xml:space="preserve"> </w:t>
      </w:r>
      <w:r w:rsidRPr="00380B40">
        <w:rPr>
          <w:lang w:val="en-GB"/>
        </w:rPr>
        <w:t>Telecommunication</w:t>
      </w:r>
      <w:r w:rsidRPr="00380B40">
        <w:rPr>
          <w:spacing w:val="4"/>
          <w:lang w:val="en-GB"/>
        </w:rPr>
        <w:t xml:space="preserve"> </w:t>
      </w:r>
      <w:r w:rsidRPr="00380B40">
        <w:rPr>
          <w:lang w:val="en-GB"/>
        </w:rPr>
        <w:t>Development</w:t>
      </w:r>
      <w:r w:rsidRPr="00380B40">
        <w:rPr>
          <w:spacing w:val="5"/>
          <w:lang w:val="en-GB"/>
        </w:rPr>
        <w:t xml:space="preserve"> </w:t>
      </w:r>
      <w:r w:rsidRPr="00380B40">
        <w:rPr>
          <w:lang w:val="en-GB"/>
        </w:rPr>
        <w:t>Sector</w:t>
      </w:r>
      <w:r w:rsidRPr="00380B40">
        <w:rPr>
          <w:spacing w:val="6"/>
          <w:lang w:val="en-GB"/>
        </w:rPr>
        <w:t xml:space="preserve"> </w:t>
      </w:r>
      <w:r w:rsidRPr="00380B40">
        <w:rPr>
          <w:lang w:val="en-GB"/>
        </w:rPr>
        <w:t>(ITU</w:t>
      </w:r>
      <w:r w:rsidRPr="00380B40">
        <w:rPr>
          <w:lang w:val="en-GB"/>
        </w:rPr>
        <w:noBreakHyphen/>
        <w:t>D)</w:t>
      </w:r>
      <w:r w:rsidRPr="00380B40">
        <w:rPr>
          <w:spacing w:val="3"/>
          <w:lang w:val="en-GB"/>
        </w:rPr>
        <w:t xml:space="preserve"> </w:t>
      </w:r>
      <w:r w:rsidRPr="00380B40">
        <w:rPr>
          <w:lang w:val="en-GB"/>
        </w:rPr>
        <w:t>study</w:t>
      </w:r>
      <w:r w:rsidRPr="00380B40">
        <w:rPr>
          <w:spacing w:val="2"/>
          <w:lang w:val="en-GB"/>
        </w:rPr>
        <w:t xml:space="preserve"> </w:t>
      </w:r>
      <w:r w:rsidRPr="00380B40">
        <w:rPr>
          <w:lang w:val="en-GB"/>
        </w:rPr>
        <w:t>groups,</w:t>
      </w:r>
      <w:r w:rsidRPr="00380B40">
        <w:rPr>
          <w:spacing w:val="4"/>
          <w:lang w:val="en-GB"/>
        </w:rPr>
        <w:t xml:space="preserve"> </w:t>
      </w:r>
      <w:r w:rsidRPr="00380B40">
        <w:rPr>
          <w:lang w:val="en-GB"/>
        </w:rPr>
        <w:t>other</w:t>
      </w:r>
      <w:r w:rsidRPr="00380B40">
        <w:rPr>
          <w:spacing w:val="3"/>
          <w:lang w:val="en-GB"/>
        </w:rPr>
        <w:t xml:space="preserve"> </w:t>
      </w:r>
      <w:r w:rsidRPr="00380B40">
        <w:rPr>
          <w:lang w:val="en-GB"/>
        </w:rPr>
        <w:t>rapporteurs,</w:t>
      </w:r>
      <w:r w:rsidRPr="00380B40">
        <w:rPr>
          <w:spacing w:val="97"/>
          <w:lang w:val="en-GB"/>
        </w:rPr>
        <w:t xml:space="preserve"> </w:t>
      </w:r>
      <w:r w:rsidRPr="00380B40">
        <w:rPr>
          <w:lang w:val="en-GB"/>
        </w:rPr>
        <w:t>other</w:t>
      </w:r>
      <w:r w:rsidRPr="00380B40">
        <w:rPr>
          <w:spacing w:val="8"/>
          <w:lang w:val="en-GB"/>
        </w:rPr>
        <w:t xml:space="preserve"> </w:t>
      </w:r>
      <w:r w:rsidRPr="00380B40">
        <w:rPr>
          <w:lang w:val="en-GB"/>
        </w:rPr>
        <w:t>international</w:t>
      </w:r>
      <w:r w:rsidRPr="00380B40">
        <w:rPr>
          <w:spacing w:val="9"/>
          <w:lang w:val="en-GB"/>
        </w:rPr>
        <w:t xml:space="preserve"> </w:t>
      </w:r>
      <w:r w:rsidRPr="00380B40">
        <w:rPr>
          <w:lang w:val="en-GB"/>
        </w:rPr>
        <w:t>organizations</w:t>
      </w:r>
      <w:r w:rsidRPr="00380B40">
        <w:rPr>
          <w:spacing w:val="9"/>
          <w:lang w:val="en-GB"/>
        </w:rPr>
        <w:t xml:space="preserve"> </w:t>
      </w:r>
      <w:r w:rsidRPr="00380B40">
        <w:rPr>
          <w:lang w:val="en-GB"/>
        </w:rPr>
        <w:t>and</w:t>
      </w:r>
      <w:r w:rsidRPr="00380B40">
        <w:rPr>
          <w:spacing w:val="9"/>
          <w:lang w:val="en-GB"/>
        </w:rPr>
        <w:t xml:space="preserve"> </w:t>
      </w:r>
      <w:r w:rsidRPr="00380B40">
        <w:rPr>
          <w:lang w:val="en-GB"/>
        </w:rPr>
        <w:t>other</w:t>
      </w:r>
      <w:r w:rsidRPr="00380B40">
        <w:rPr>
          <w:spacing w:val="8"/>
          <w:lang w:val="en-GB"/>
        </w:rPr>
        <w:t xml:space="preserve"> </w:t>
      </w:r>
      <w:r w:rsidRPr="00380B40">
        <w:rPr>
          <w:lang w:val="en-GB"/>
        </w:rPr>
        <w:t>standards</w:t>
      </w:r>
      <w:r w:rsidRPr="00380B40">
        <w:rPr>
          <w:spacing w:val="8"/>
          <w:lang w:val="en-GB"/>
        </w:rPr>
        <w:t xml:space="preserve"> </w:t>
      </w:r>
      <w:r w:rsidRPr="00380B40">
        <w:rPr>
          <w:lang w:val="en-GB"/>
        </w:rPr>
        <w:t>organizations</w:t>
      </w:r>
      <w:r w:rsidRPr="00380B40">
        <w:rPr>
          <w:spacing w:val="9"/>
          <w:lang w:val="en-GB"/>
        </w:rPr>
        <w:t xml:space="preserve"> </w:t>
      </w:r>
      <w:r w:rsidRPr="00380B40">
        <w:rPr>
          <w:lang w:val="en-GB"/>
        </w:rPr>
        <w:t>(where</w:t>
      </w:r>
      <w:r w:rsidRPr="00380B40">
        <w:rPr>
          <w:spacing w:val="9"/>
          <w:lang w:val="en-GB"/>
        </w:rPr>
        <w:t xml:space="preserve"> </w:t>
      </w:r>
      <w:r w:rsidRPr="00380B40">
        <w:rPr>
          <w:lang w:val="en-GB"/>
        </w:rPr>
        <w:t>appropriate)</w:t>
      </w:r>
      <w:r w:rsidRPr="00380B40">
        <w:rPr>
          <w:spacing w:val="10"/>
          <w:lang w:val="en-GB"/>
        </w:rPr>
        <w:t xml:space="preserve"> </w:t>
      </w:r>
      <w:r w:rsidRPr="00380B40">
        <w:rPr>
          <w:lang w:val="en-GB"/>
        </w:rPr>
        <w:t>and</w:t>
      </w:r>
      <w:r w:rsidRPr="00380B40">
        <w:rPr>
          <w:spacing w:val="109"/>
          <w:lang w:val="en-GB"/>
        </w:rPr>
        <w:t xml:space="preserve"> </w:t>
      </w:r>
      <w:r w:rsidRPr="00380B40">
        <w:rPr>
          <w:lang w:val="en-GB"/>
        </w:rPr>
        <w:t>TSB;</w:t>
      </w:r>
    </w:p>
    <w:p w14:paraId="1EA184EF" w14:textId="77777777" w:rsidR="00C12517" w:rsidRPr="00380B40" w:rsidRDefault="00C12517" w:rsidP="00C12517">
      <w:pPr>
        <w:pStyle w:val="enumlev1"/>
        <w:rPr>
          <w:lang w:val="en-GB"/>
        </w:rPr>
      </w:pPr>
      <w:r w:rsidRPr="00380B40">
        <w:rPr>
          <w:lang w:val="en-GB"/>
        </w:rPr>
        <w:t>c.</w:t>
      </w:r>
      <w:r w:rsidRPr="00380B40">
        <w:rPr>
          <w:lang w:val="en-GB"/>
        </w:rPr>
        <w:tab/>
        <w:t>to</w:t>
      </w:r>
      <w:r w:rsidRPr="00380B40">
        <w:rPr>
          <w:spacing w:val="41"/>
          <w:lang w:val="en-GB"/>
        </w:rPr>
        <w:t xml:space="preserve"> </w:t>
      </w:r>
      <w:r w:rsidRPr="00380B40">
        <w:rPr>
          <w:lang w:val="en-GB"/>
        </w:rPr>
        <w:t>adopt</w:t>
      </w:r>
      <w:r w:rsidRPr="00380B40">
        <w:rPr>
          <w:spacing w:val="41"/>
          <w:lang w:val="en-GB"/>
        </w:rPr>
        <w:t xml:space="preserve"> </w:t>
      </w:r>
      <w:r w:rsidRPr="00380B40">
        <w:rPr>
          <w:lang w:val="en-GB"/>
        </w:rPr>
        <w:t>methods</w:t>
      </w:r>
      <w:r w:rsidRPr="00380B40">
        <w:rPr>
          <w:spacing w:val="40"/>
          <w:lang w:val="en-GB"/>
        </w:rPr>
        <w:t xml:space="preserve"> </w:t>
      </w:r>
      <w:r w:rsidRPr="00380B40">
        <w:rPr>
          <w:lang w:val="en-GB"/>
        </w:rPr>
        <w:t>of</w:t>
      </w:r>
      <w:r w:rsidRPr="00380B40">
        <w:rPr>
          <w:spacing w:val="41"/>
          <w:lang w:val="en-GB"/>
        </w:rPr>
        <w:t xml:space="preserve"> </w:t>
      </w:r>
      <w:r w:rsidRPr="00380B40">
        <w:rPr>
          <w:lang w:val="en-GB"/>
        </w:rPr>
        <w:t>work</w:t>
      </w:r>
      <w:r w:rsidRPr="00380B40">
        <w:rPr>
          <w:spacing w:val="39"/>
          <w:lang w:val="en-GB"/>
        </w:rPr>
        <w:t xml:space="preserve"> </w:t>
      </w:r>
      <w:r w:rsidRPr="00380B40">
        <w:rPr>
          <w:lang w:val="en-GB"/>
        </w:rPr>
        <w:t>(correspondence,</w:t>
      </w:r>
      <w:r w:rsidRPr="00380B40">
        <w:rPr>
          <w:spacing w:val="40"/>
          <w:lang w:val="en-GB"/>
        </w:rPr>
        <w:t xml:space="preserve"> </w:t>
      </w:r>
      <w:r w:rsidRPr="00380B40">
        <w:rPr>
          <w:lang w:val="en-GB"/>
        </w:rPr>
        <w:t>including</w:t>
      </w:r>
      <w:r w:rsidRPr="00380B40">
        <w:rPr>
          <w:spacing w:val="38"/>
          <w:lang w:val="en-GB"/>
        </w:rPr>
        <w:t xml:space="preserve"> </w:t>
      </w:r>
      <w:r w:rsidRPr="00380B40">
        <w:rPr>
          <w:lang w:val="en-GB"/>
        </w:rPr>
        <w:t>the</w:t>
      </w:r>
      <w:r w:rsidRPr="00380B40">
        <w:rPr>
          <w:spacing w:val="40"/>
          <w:lang w:val="en-GB"/>
        </w:rPr>
        <w:t xml:space="preserve"> </w:t>
      </w:r>
      <w:r w:rsidRPr="00380B40">
        <w:rPr>
          <w:lang w:val="en-GB"/>
        </w:rPr>
        <w:t>use</w:t>
      </w:r>
      <w:r w:rsidRPr="00380B40">
        <w:rPr>
          <w:spacing w:val="39"/>
          <w:lang w:val="en-GB"/>
        </w:rPr>
        <w:t xml:space="preserve"> </w:t>
      </w:r>
      <w:r w:rsidRPr="00380B40">
        <w:rPr>
          <w:lang w:val="en-GB"/>
        </w:rPr>
        <w:t>of</w:t>
      </w:r>
      <w:r w:rsidRPr="00380B40">
        <w:rPr>
          <w:spacing w:val="39"/>
          <w:lang w:val="en-GB"/>
        </w:rPr>
        <w:t xml:space="preserve"> </w:t>
      </w:r>
      <w:r w:rsidRPr="00380B40">
        <w:rPr>
          <w:lang w:val="en-GB"/>
        </w:rPr>
        <w:t>the</w:t>
      </w:r>
      <w:r w:rsidRPr="00380B40">
        <w:rPr>
          <w:spacing w:val="40"/>
          <w:lang w:val="en-GB"/>
        </w:rPr>
        <w:t xml:space="preserve"> </w:t>
      </w:r>
      <w:r w:rsidRPr="00380B40">
        <w:rPr>
          <w:lang w:val="en-GB"/>
        </w:rPr>
        <w:t>TSB</w:t>
      </w:r>
      <w:r w:rsidRPr="00380B40">
        <w:rPr>
          <w:spacing w:val="38"/>
          <w:lang w:val="en-GB"/>
        </w:rPr>
        <w:t xml:space="preserve"> </w:t>
      </w:r>
      <w:r w:rsidRPr="00380B40">
        <w:rPr>
          <w:lang w:val="en-GB"/>
        </w:rPr>
        <w:t>EDH</w:t>
      </w:r>
      <w:r w:rsidRPr="00380B40">
        <w:rPr>
          <w:spacing w:val="40"/>
          <w:lang w:val="en-GB"/>
        </w:rPr>
        <w:t xml:space="preserve"> </w:t>
      </w:r>
      <w:r w:rsidRPr="00380B40">
        <w:rPr>
          <w:lang w:val="en-GB"/>
        </w:rPr>
        <w:t>system,</w:t>
      </w:r>
      <w:r w:rsidRPr="00380B40">
        <w:rPr>
          <w:spacing w:val="47"/>
          <w:lang w:val="en-GB"/>
        </w:rPr>
        <w:t xml:space="preserve"> </w:t>
      </w:r>
      <w:r w:rsidRPr="00380B40">
        <w:rPr>
          <w:lang w:val="en-GB"/>
        </w:rPr>
        <w:t>meetings of</w:t>
      </w:r>
      <w:r w:rsidRPr="00380B40">
        <w:rPr>
          <w:spacing w:val="1"/>
          <w:lang w:val="en-GB"/>
        </w:rPr>
        <w:t xml:space="preserve"> </w:t>
      </w:r>
      <w:r w:rsidRPr="00380B40">
        <w:rPr>
          <w:lang w:val="en-GB"/>
        </w:rPr>
        <w:t>experts, etc.) as considered</w:t>
      </w:r>
      <w:r w:rsidRPr="00380B40">
        <w:rPr>
          <w:spacing w:val="2"/>
          <w:lang w:val="en-GB"/>
        </w:rPr>
        <w:t xml:space="preserve"> </w:t>
      </w:r>
      <w:r w:rsidRPr="00380B40">
        <w:rPr>
          <w:lang w:val="en-GB"/>
        </w:rPr>
        <w:t>appropriate for the</w:t>
      </w:r>
      <w:r w:rsidRPr="00380B40">
        <w:rPr>
          <w:spacing w:val="-2"/>
          <w:lang w:val="en-GB"/>
        </w:rPr>
        <w:t xml:space="preserve"> </w:t>
      </w:r>
      <w:r w:rsidRPr="00380B40">
        <w:rPr>
          <w:lang w:val="en-GB"/>
        </w:rPr>
        <w:t>task;</w:t>
      </w:r>
    </w:p>
    <w:p w14:paraId="35759466" w14:textId="77777777" w:rsidR="00C12517" w:rsidRPr="00380B40" w:rsidRDefault="00C12517" w:rsidP="00C12517">
      <w:pPr>
        <w:pStyle w:val="enumlev1"/>
        <w:rPr>
          <w:lang w:val="en-GB"/>
        </w:rPr>
      </w:pPr>
      <w:r w:rsidRPr="00380B40">
        <w:rPr>
          <w:lang w:val="en-GB"/>
        </w:rPr>
        <w:t>d.</w:t>
      </w:r>
      <w:r w:rsidRPr="00380B40">
        <w:rPr>
          <w:lang w:val="en-GB"/>
        </w:rPr>
        <w:tab/>
        <w:t>in</w:t>
      </w:r>
      <w:r w:rsidRPr="00380B40">
        <w:rPr>
          <w:spacing w:val="31"/>
          <w:lang w:val="en-GB"/>
        </w:rPr>
        <w:t xml:space="preserve"> </w:t>
      </w:r>
      <w:r w:rsidRPr="00380B40">
        <w:rPr>
          <w:lang w:val="en-GB"/>
        </w:rPr>
        <w:t>consultation</w:t>
      </w:r>
      <w:r w:rsidRPr="00380B40">
        <w:rPr>
          <w:spacing w:val="31"/>
          <w:lang w:val="en-GB"/>
        </w:rPr>
        <w:t xml:space="preserve"> </w:t>
      </w:r>
      <w:r w:rsidRPr="00380B40">
        <w:rPr>
          <w:lang w:val="en-GB"/>
        </w:rPr>
        <w:t>with</w:t>
      </w:r>
      <w:r w:rsidRPr="00380B40">
        <w:rPr>
          <w:spacing w:val="29"/>
          <w:lang w:val="en-GB"/>
        </w:rPr>
        <w:t xml:space="preserve"> </w:t>
      </w:r>
      <w:r w:rsidRPr="00380B40">
        <w:rPr>
          <w:lang w:val="en-GB"/>
        </w:rPr>
        <w:t>the</w:t>
      </w:r>
      <w:r w:rsidRPr="00380B40">
        <w:rPr>
          <w:spacing w:val="28"/>
          <w:lang w:val="en-GB"/>
        </w:rPr>
        <w:t xml:space="preserve"> </w:t>
      </w:r>
      <w:r w:rsidRPr="00380B40">
        <w:rPr>
          <w:lang w:val="en-GB"/>
        </w:rPr>
        <w:t>collaborators</w:t>
      </w:r>
      <w:r w:rsidRPr="00380B40">
        <w:rPr>
          <w:spacing w:val="30"/>
          <w:lang w:val="en-GB"/>
        </w:rPr>
        <w:t xml:space="preserve"> </w:t>
      </w:r>
      <w:r w:rsidRPr="00380B40">
        <w:rPr>
          <w:lang w:val="en-GB"/>
        </w:rPr>
        <w:t>for</w:t>
      </w:r>
      <w:r w:rsidRPr="00380B40">
        <w:rPr>
          <w:spacing w:val="29"/>
          <w:lang w:val="en-GB"/>
        </w:rPr>
        <w:t xml:space="preserve"> </w:t>
      </w:r>
      <w:r w:rsidRPr="00380B40">
        <w:rPr>
          <w:lang w:val="en-GB"/>
        </w:rPr>
        <w:t>the</w:t>
      </w:r>
      <w:r w:rsidRPr="00380B40">
        <w:rPr>
          <w:spacing w:val="30"/>
          <w:lang w:val="en-GB"/>
        </w:rPr>
        <w:t xml:space="preserve"> </w:t>
      </w:r>
      <w:r w:rsidRPr="00380B40">
        <w:rPr>
          <w:lang w:val="en-GB"/>
        </w:rPr>
        <w:t>study</w:t>
      </w:r>
      <w:r w:rsidRPr="00380B40">
        <w:rPr>
          <w:spacing w:val="26"/>
          <w:lang w:val="en-GB"/>
        </w:rPr>
        <w:t xml:space="preserve"> </w:t>
      </w:r>
      <w:r w:rsidRPr="00380B40">
        <w:rPr>
          <w:lang w:val="en-GB"/>
        </w:rPr>
        <w:t>topic,</w:t>
      </w:r>
      <w:r w:rsidRPr="00380B40">
        <w:rPr>
          <w:spacing w:val="30"/>
          <w:lang w:val="en-GB"/>
        </w:rPr>
        <w:t xml:space="preserve"> </w:t>
      </w:r>
      <w:r w:rsidRPr="00380B40">
        <w:rPr>
          <w:lang w:val="en-GB"/>
        </w:rPr>
        <w:t>to</w:t>
      </w:r>
      <w:r w:rsidRPr="00380B40">
        <w:rPr>
          <w:spacing w:val="31"/>
          <w:lang w:val="en-GB"/>
        </w:rPr>
        <w:t xml:space="preserve"> </w:t>
      </w:r>
      <w:r w:rsidRPr="00380B40">
        <w:rPr>
          <w:lang w:val="en-GB"/>
        </w:rPr>
        <w:t>review</w:t>
      </w:r>
      <w:r w:rsidRPr="00380B40">
        <w:rPr>
          <w:spacing w:val="30"/>
          <w:lang w:val="en-GB"/>
        </w:rPr>
        <w:t xml:space="preserve"> </w:t>
      </w:r>
      <w:r w:rsidRPr="00380B40">
        <w:rPr>
          <w:lang w:val="en-GB"/>
        </w:rPr>
        <w:t>and</w:t>
      </w:r>
      <w:r w:rsidRPr="00380B40">
        <w:rPr>
          <w:spacing w:val="33"/>
          <w:lang w:val="en-GB"/>
        </w:rPr>
        <w:t xml:space="preserve"> </w:t>
      </w:r>
      <w:r w:rsidRPr="00380B40">
        <w:rPr>
          <w:lang w:val="en-GB"/>
        </w:rPr>
        <w:t>update</w:t>
      </w:r>
      <w:r w:rsidRPr="00380B40">
        <w:rPr>
          <w:spacing w:val="30"/>
          <w:lang w:val="en-GB"/>
        </w:rPr>
        <w:t xml:space="preserve"> </w:t>
      </w:r>
      <w:r w:rsidRPr="00380B40">
        <w:rPr>
          <w:lang w:val="en-GB"/>
        </w:rPr>
        <w:t>the</w:t>
      </w:r>
      <w:r w:rsidRPr="00380B40">
        <w:rPr>
          <w:spacing w:val="30"/>
          <w:lang w:val="en-GB"/>
        </w:rPr>
        <w:t xml:space="preserve"> </w:t>
      </w:r>
      <w:r w:rsidRPr="00380B40">
        <w:rPr>
          <w:lang w:val="en-GB"/>
        </w:rPr>
        <w:t>work</w:t>
      </w:r>
      <w:r w:rsidRPr="00380B40">
        <w:rPr>
          <w:spacing w:val="85"/>
          <w:lang w:val="en-GB"/>
        </w:rPr>
        <w:t xml:space="preserve"> </w:t>
      </w:r>
      <w:r w:rsidRPr="00380B40">
        <w:rPr>
          <w:lang w:val="en-GB"/>
        </w:rPr>
        <w:t>programme,</w:t>
      </w:r>
      <w:r w:rsidRPr="00380B40">
        <w:rPr>
          <w:spacing w:val="14"/>
          <w:lang w:val="en-GB"/>
        </w:rPr>
        <w:t xml:space="preserve"> </w:t>
      </w:r>
      <w:r w:rsidRPr="00380B40">
        <w:rPr>
          <w:lang w:val="en-GB"/>
        </w:rPr>
        <w:t>which</w:t>
      </w:r>
      <w:r w:rsidRPr="00380B40">
        <w:rPr>
          <w:spacing w:val="14"/>
          <w:lang w:val="en-GB"/>
        </w:rPr>
        <w:t xml:space="preserve"> </w:t>
      </w:r>
      <w:r w:rsidRPr="00380B40">
        <w:rPr>
          <w:lang w:val="en-GB"/>
        </w:rPr>
        <w:t>should</w:t>
      </w:r>
      <w:r w:rsidRPr="00380B40">
        <w:rPr>
          <w:spacing w:val="14"/>
          <w:lang w:val="en-GB"/>
        </w:rPr>
        <w:t xml:space="preserve"> </w:t>
      </w:r>
      <w:r w:rsidRPr="00380B40">
        <w:rPr>
          <w:lang w:val="en-GB"/>
        </w:rPr>
        <w:t>be</w:t>
      </w:r>
      <w:r w:rsidRPr="00380B40">
        <w:rPr>
          <w:spacing w:val="13"/>
          <w:lang w:val="en-GB"/>
        </w:rPr>
        <w:t xml:space="preserve"> </w:t>
      </w:r>
      <w:r w:rsidRPr="00380B40">
        <w:rPr>
          <w:lang w:val="en-GB"/>
        </w:rPr>
        <w:t>approved</w:t>
      </w:r>
      <w:r w:rsidRPr="00380B40">
        <w:rPr>
          <w:spacing w:val="14"/>
          <w:lang w:val="en-GB"/>
        </w:rPr>
        <w:t xml:space="preserve"> </w:t>
      </w:r>
      <w:r w:rsidRPr="00380B40">
        <w:rPr>
          <w:lang w:val="en-GB"/>
        </w:rPr>
        <w:t>and</w:t>
      </w:r>
      <w:r w:rsidRPr="00380B40">
        <w:rPr>
          <w:spacing w:val="14"/>
          <w:lang w:val="en-GB"/>
        </w:rPr>
        <w:t xml:space="preserve"> </w:t>
      </w:r>
      <w:r w:rsidRPr="00380B40">
        <w:rPr>
          <w:lang w:val="en-GB"/>
        </w:rPr>
        <w:t>reviewed</w:t>
      </w:r>
      <w:r w:rsidRPr="00380B40">
        <w:rPr>
          <w:spacing w:val="14"/>
          <w:lang w:val="en-GB"/>
        </w:rPr>
        <w:t xml:space="preserve"> </w:t>
      </w:r>
      <w:r w:rsidRPr="00380B40">
        <w:rPr>
          <w:lang w:val="en-GB"/>
        </w:rPr>
        <w:t>periodically</w:t>
      </w:r>
      <w:r w:rsidRPr="00380B40">
        <w:rPr>
          <w:spacing w:val="6"/>
          <w:lang w:val="en-GB"/>
        </w:rPr>
        <w:t xml:space="preserve"> </w:t>
      </w:r>
      <w:r w:rsidRPr="00380B40">
        <w:rPr>
          <w:spacing w:val="2"/>
          <w:lang w:val="en-GB"/>
        </w:rPr>
        <w:t>by</w:t>
      </w:r>
      <w:r w:rsidRPr="00380B40">
        <w:rPr>
          <w:spacing w:val="9"/>
          <w:lang w:val="en-GB"/>
        </w:rPr>
        <w:t xml:space="preserve"> </w:t>
      </w:r>
      <w:r w:rsidRPr="00380B40">
        <w:rPr>
          <w:lang w:val="en-GB"/>
        </w:rPr>
        <w:t>the</w:t>
      </w:r>
      <w:r w:rsidRPr="00380B40">
        <w:rPr>
          <w:spacing w:val="16"/>
          <w:lang w:val="en-GB"/>
        </w:rPr>
        <w:t xml:space="preserve"> </w:t>
      </w:r>
      <w:r w:rsidRPr="00380B40">
        <w:rPr>
          <w:lang w:val="en-GB"/>
        </w:rPr>
        <w:t>parent</w:t>
      </w:r>
      <w:r w:rsidRPr="00380B40">
        <w:rPr>
          <w:spacing w:val="14"/>
          <w:lang w:val="en-GB"/>
        </w:rPr>
        <w:t xml:space="preserve"> </w:t>
      </w:r>
      <w:r w:rsidRPr="00380B40">
        <w:rPr>
          <w:lang w:val="en-GB"/>
        </w:rPr>
        <w:t>group</w:t>
      </w:r>
      <w:r w:rsidRPr="00380B40">
        <w:rPr>
          <w:spacing w:val="13"/>
          <w:lang w:val="en-GB"/>
        </w:rPr>
        <w:t xml:space="preserve"> </w:t>
      </w:r>
      <w:r w:rsidRPr="00380B40">
        <w:rPr>
          <w:lang w:val="en-GB"/>
        </w:rPr>
        <w:t>(see</w:t>
      </w:r>
      <w:r w:rsidRPr="00380B40">
        <w:rPr>
          <w:spacing w:val="63"/>
          <w:lang w:val="en-GB"/>
        </w:rPr>
        <w:t xml:space="preserve"> </w:t>
      </w:r>
      <w:r w:rsidRPr="00380B40">
        <w:rPr>
          <w:lang w:val="en-GB"/>
        </w:rPr>
        <w:t>clause</w:t>
      </w:r>
      <w:r w:rsidRPr="00380B40">
        <w:rPr>
          <w:spacing w:val="-2"/>
          <w:lang w:val="en-GB"/>
        </w:rPr>
        <w:t xml:space="preserve"> </w:t>
      </w:r>
      <w:r w:rsidRPr="00380B40">
        <w:rPr>
          <w:lang w:val="en-GB"/>
        </w:rPr>
        <w:t>1.4.7);</w:t>
      </w:r>
    </w:p>
    <w:p w14:paraId="7ACAE325" w14:textId="77777777" w:rsidR="00DB6A21" w:rsidRPr="00380B40" w:rsidRDefault="00DB6A21" w:rsidP="00C12517">
      <w:pPr>
        <w:pStyle w:val="enumlev1"/>
        <w:rPr>
          <w:lang w:val="en-GB"/>
        </w:rPr>
      </w:pPr>
      <w:r w:rsidRPr="00380B40">
        <w:rPr>
          <w:lang w:val="en-GB"/>
        </w:rPr>
        <w:br w:type="page"/>
      </w:r>
    </w:p>
    <w:p w14:paraId="5478F754" w14:textId="77777777" w:rsidR="00C12517" w:rsidRPr="00380B40" w:rsidRDefault="00C12517" w:rsidP="00C12517">
      <w:pPr>
        <w:pStyle w:val="enumlev1"/>
        <w:rPr>
          <w:lang w:val="en-GB"/>
        </w:rPr>
      </w:pPr>
      <w:r w:rsidRPr="00380B40">
        <w:rPr>
          <w:lang w:val="en-GB"/>
        </w:rPr>
        <w:t>e.</w:t>
      </w:r>
      <w:r w:rsidRPr="00380B40">
        <w:rPr>
          <w:lang w:val="en-GB"/>
        </w:rPr>
        <w:tab/>
        <w:t>to</w:t>
      </w:r>
      <w:r w:rsidRPr="00380B40">
        <w:rPr>
          <w:spacing w:val="-5"/>
          <w:lang w:val="en-GB"/>
        </w:rPr>
        <w:t xml:space="preserve"> </w:t>
      </w:r>
      <w:r w:rsidRPr="00380B40">
        <w:rPr>
          <w:lang w:val="en-GB"/>
        </w:rPr>
        <w:t>ensure</w:t>
      </w:r>
      <w:r w:rsidRPr="00380B40">
        <w:rPr>
          <w:spacing w:val="-7"/>
          <w:lang w:val="en-GB"/>
        </w:rPr>
        <w:t xml:space="preserve"> </w:t>
      </w:r>
      <w:r w:rsidRPr="00380B40">
        <w:rPr>
          <w:lang w:val="en-GB"/>
        </w:rPr>
        <w:t>that</w:t>
      </w:r>
      <w:r w:rsidRPr="00380B40">
        <w:rPr>
          <w:spacing w:val="-5"/>
          <w:lang w:val="en-GB"/>
        </w:rPr>
        <w:t xml:space="preserve"> </w:t>
      </w:r>
      <w:r w:rsidRPr="00380B40">
        <w:rPr>
          <w:lang w:val="en-GB"/>
        </w:rPr>
        <w:t>the</w:t>
      </w:r>
      <w:r w:rsidRPr="00380B40">
        <w:rPr>
          <w:spacing w:val="-6"/>
          <w:lang w:val="en-GB"/>
        </w:rPr>
        <w:t xml:space="preserve"> </w:t>
      </w:r>
      <w:r w:rsidRPr="00380B40">
        <w:rPr>
          <w:lang w:val="en-GB"/>
        </w:rPr>
        <w:t>parent</w:t>
      </w:r>
      <w:r w:rsidRPr="00380B40">
        <w:rPr>
          <w:spacing w:val="-2"/>
          <w:lang w:val="en-GB"/>
        </w:rPr>
        <w:t xml:space="preserve"> </w:t>
      </w:r>
      <w:r w:rsidRPr="00380B40">
        <w:rPr>
          <w:lang w:val="en-GB"/>
        </w:rPr>
        <w:t>working</w:t>
      </w:r>
      <w:r w:rsidRPr="00380B40">
        <w:rPr>
          <w:spacing w:val="-7"/>
          <w:lang w:val="en-GB"/>
        </w:rPr>
        <w:t xml:space="preserve"> </w:t>
      </w:r>
      <w:r w:rsidRPr="00380B40">
        <w:rPr>
          <w:spacing w:val="1"/>
          <w:lang w:val="en-GB"/>
        </w:rPr>
        <w:t>party</w:t>
      </w:r>
      <w:r w:rsidRPr="00380B40">
        <w:rPr>
          <w:spacing w:val="-10"/>
          <w:lang w:val="en-GB"/>
        </w:rPr>
        <w:t xml:space="preserve"> </w:t>
      </w:r>
      <w:r w:rsidRPr="00380B40">
        <w:rPr>
          <w:lang w:val="en-GB"/>
        </w:rPr>
        <w:t>(or</w:t>
      </w:r>
      <w:r w:rsidRPr="00380B40">
        <w:rPr>
          <w:spacing w:val="-7"/>
          <w:lang w:val="en-GB"/>
        </w:rPr>
        <w:t xml:space="preserve"> </w:t>
      </w:r>
      <w:r w:rsidRPr="00380B40">
        <w:rPr>
          <w:lang w:val="en-GB"/>
        </w:rPr>
        <w:t>study</w:t>
      </w:r>
      <w:r w:rsidRPr="00380B40">
        <w:rPr>
          <w:spacing w:val="-8"/>
          <w:lang w:val="en-GB"/>
        </w:rPr>
        <w:t xml:space="preserve"> </w:t>
      </w:r>
      <w:r w:rsidRPr="00380B40">
        <w:rPr>
          <w:lang w:val="en-GB"/>
        </w:rPr>
        <w:t>group)</w:t>
      </w:r>
      <w:r w:rsidRPr="00380B40">
        <w:rPr>
          <w:spacing w:val="-6"/>
          <w:lang w:val="en-GB"/>
        </w:rPr>
        <w:t xml:space="preserve"> </w:t>
      </w:r>
      <w:r w:rsidRPr="00380B40">
        <w:rPr>
          <w:lang w:val="en-GB"/>
        </w:rPr>
        <w:t>is</w:t>
      </w:r>
      <w:r w:rsidRPr="00380B40">
        <w:rPr>
          <w:spacing w:val="-5"/>
          <w:lang w:val="en-GB"/>
        </w:rPr>
        <w:t xml:space="preserve"> </w:t>
      </w:r>
      <w:r w:rsidRPr="00380B40">
        <w:rPr>
          <w:lang w:val="en-GB"/>
        </w:rPr>
        <w:t>kept</w:t>
      </w:r>
      <w:r w:rsidRPr="00380B40">
        <w:rPr>
          <w:spacing w:val="-5"/>
          <w:lang w:val="en-GB"/>
        </w:rPr>
        <w:t xml:space="preserve"> </w:t>
      </w:r>
      <w:r w:rsidRPr="00380B40">
        <w:rPr>
          <w:lang w:val="en-GB"/>
        </w:rPr>
        <w:t>well</w:t>
      </w:r>
      <w:r w:rsidRPr="00380B40">
        <w:rPr>
          <w:spacing w:val="-5"/>
          <w:lang w:val="en-GB"/>
        </w:rPr>
        <w:t xml:space="preserve"> </w:t>
      </w:r>
      <w:r w:rsidRPr="00380B40">
        <w:rPr>
          <w:lang w:val="en-GB"/>
        </w:rPr>
        <w:t>informed</w:t>
      </w:r>
      <w:r w:rsidRPr="00380B40">
        <w:rPr>
          <w:spacing w:val="-6"/>
          <w:lang w:val="en-GB"/>
        </w:rPr>
        <w:t xml:space="preserve"> </w:t>
      </w:r>
      <w:r w:rsidRPr="00380B40">
        <w:rPr>
          <w:lang w:val="en-GB"/>
        </w:rPr>
        <w:t>of</w:t>
      </w:r>
      <w:r w:rsidRPr="00380B40">
        <w:rPr>
          <w:spacing w:val="-6"/>
          <w:lang w:val="en-GB"/>
        </w:rPr>
        <w:t xml:space="preserve"> </w:t>
      </w:r>
      <w:r w:rsidRPr="00380B40">
        <w:rPr>
          <w:lang w:val="en-GB"/>
        </w:rPr>
        <w:t>the</w:t>
      </w:r>
      <w:r w:rsidRPr="00380B40">
        <w:rPr>
          <w:spacing w:val="-6"/>
          <w:lang w:val="en-GB"/>
        </w:rPr>
        <w:t xml:space="preserve"> </w:t>
      </w:r>
      <w:r w:rsidRPr="00380B40">
        <w:rPr>
          <w:lang w:val="en-GB"/>
        </w:rPr>
        <w:t>progress</w:t>
      </w:r>
      <w:r w:rsidRPr="00380B40">
        <w:rPr>
          <w:spacing w:val="75"/>
          <w:lang w:val="en-GB"/>
        </w:rPr>
        <w:t xml:space="preserve"> </w:t>
      </w:r>
      <w:r w:rsidRPr="00380B40">
        <w:rPr>
          <w:lang w:val="en-GB"/>
        </w:rPr>
        <w:t>of</w:t>
      </w:r>
      <w:r w:rsidRPr="00380B40">
        <w:rPr>
          <w:spacing w:val="3"/>
          <w:lang w:val="en-GB"/>
        </w:rPr>
        <w:t xml:space="preserve"> </w:t>
      </w:r>
      <w:r w:rsidRPr="00380B40">
        <w:rPr>
          <w:lang w:val="en-GB"/>
        </w:rPr>
        <w:t>the</w:t>
      </w:r>
      <w:r w:rsidRPr="00380B40">
        <w:rPr>
          <w:spacing w:val="4"/>
          <w:lang w:val="en-GB"/>
        </w:rPr>
        <w:t xml:space="preserve"> </w:t>
      </w:r>
      <w:r w:rsidRPr="00380B40">
        <w:rPr>
          <w:lang w:val="en-GB"/>
        </w:rPr>
        <w:t>study,</w:t>
      </w:r>
      <w:r w:rsidRPr="00380B40">
        <w:rPr>
          <w:spacing w:val="4"/>
          <w:lang w:val="en-GB"/>
        </w:rPr>
        <w:t xml:space="preserve"> </w:t>
      </w:r>
      <w:r w:rsidRPr="00380B40">
        <w:rPr>
          <w:lang w:val="en-GB"/>
        </w:rPr>
        <w:t>particularly</w:t>
      </w:r>
      <w:r w:rsidRPr="00380B40">
        <w:rPr>
          <w:spacing w:val="2"/>
          <w:lang w:val="en-GB"/>
        </w:rPr>
        <w:t xml:space="preserve"> </w:t>
      </w:r>
      <w:r w:rsidRPr="00380B40">
        <w:rPr>
          <w:lang w:val="en-GB"/>
        </w:rPr>
        <w:t>of</w:t>
      </w:r>
      <w:r w:rsidRPr="00380B40">
        <w:rPr>
          <w:spacing w:val="3"/>
          <w:lang w:val="en-GB"/>
        </w:rPr>
        <w:t xml:space="preserve"> </w:t>
      </w:r>
      <w:r w:rsidRPr="00380B40">
        <w:rPr>
          <w:lang w:val="en-GB"/>
        </w:rPr>
        <w:t>work</w:t>
      </w:r>
      <w:r w:rsidRPr="00380B40">
        <w:rPr>
          <w:spacing w:val="4"/>
          <w:lang w:val="en-GB"/>
        </w:rPr>
        <w:t xml:space="preserve"> </w:t>
      </w:r>
      <w:r w:rsidRPr="00380B40">
        <w:rPr>
          <w:lang w:val="en-GB"/>
        </w:rPr>
        <w:t>proceeding</w:t>
      </w:r>
      <w:r w:rsidRPr="00380B40">
        <w:rPr>
          <w:spacing w:val="2"/>
          <w:lang w:val="en-GB"/>
        </w:rPr>
        <w:t xml:space="preserve"> by</w:t>
      </w:r>
      <w:r w:rsidRPr="00380B40">
        <w:rPr>
          <w:lang w:val="en-GB"/>
        </w:rPr>
        <w:t xml:space="preserve"> correspondence</w:t>
      </w:r>
      <w:r w:rsidRPr="00380B40">
        <w:rPr>
          <w:spacing w:val="3"/>
          <w:lang w:val="en-GB"/>
        </w:rPr>
        <w:t xml:space="preserve"> </w:t>
      </w:r>
      <w:r w:rsidRPr="00380B40">
        <w:rPr>
          <w:lang w:val="en-GB"/>
        </w:rPr>
        <w:t>or</w:t>
      </w:r>
      <w:r w:rsidRPr="00380B40">
        <w:rPr>
          <w:spacing w:val="3"/>
          <w:lang w:val="en-GB"/>
        </w:rPr>
        <w:t xml:space="preserve"> </w:t>
      </w:r>
      <w:r w:rsidRPr="00380B40">
        <w:rPr>
          <w:lang w:val="en-GB"/>
        </w:rPr>
        <w:t>otherwise</w:t>
      </w:r>
      <w:r w:rsidRPr="00380B40">
        <w:rPr>
          <w:spacing w:val="4"/>
          <w:lang w:val="en-GB"/>
        </w:rPr>
        <w:t xml:space="preserve"> </w:t>
      </w:r>
      <w:r w:rsidRPr="00380B40">
        <w:rPr>
          <w:lang w:val="en-GB"/>
        </w:rPr>
        <w:t>outside</w:t>
      </w:r>
      <w:r w:rsidRPr="00380B40">
        <w:rPr>
          <w:spacing w:val="3"/>
          <w:lang w:val="en-GB"/>
        </w:rPr>
        <w:t xml:space="preserve"> </w:t>
      </w:r>
      <w:r w:rsidRPr="00380B40">
        <w:rPr>
          <w:lang w:val="en-GB"/>
        </w:rPr>
        <w:t>of</w:t>
      </w:r>
      <w:r w:rsidRPr="00380B40">
        <w:rPr>
          <w:spacing w:val="3"/>
          <w:lang w:val="en-GB"/>
        </w:rPr>
        <w:t xml:space="preserve"> </w:t>
      </w:r>
      <w:r w:rsidRPr="00380B40">
        <w:rPr>
          <w:spacing w:val="2"/>
          <w:lang w:val="en-GB"/>
        </w:rPr>
        <w:t>the</w:t>
      </w:r>
      <w:r w:rsidRPr="00380B40">
        <w:rPr>
          <w:spacing w:val="46"/>
          <w:lang w:val="en-GB"/>
        </w:rPr>
        <w:t xml:space="preserve"> </w:t>
      </w:r>
      <w:r w:rsidRPr="00380B40">
        <w:rPr>
          <w:lang w:val="en-GB"/>
        </w:rPr>
        <w:t>normal study</w:t>
      </w:r>
      <w:r w:rsidRPr="00380B40">
        <w:rPr>
          <w:spacing w:val="-3"/>
          <w:lang w:val="en-GB"/>
        </w:rPr>
        <w:t xml:space="preserve"> </w:t>
      </w:r>
      <w:r w:rsidRPr="00380B40">
        <w:rPr>
          <w:lang w:val="en-GB"/>
        </w:rPr>
        <w:t>group</w:t>
      </w:r>
      <w:r w:rsidRPr="00380B40">
        <w:rPr>
          <w:spacing w:val="1"/>
          <w:lang w:val="en-GB"/>
        </w:rPr>
        <w:t xml:space="preserve"> </w:t>
      </w:r>
      <w:r w:rsidRPr="00380B40">
        <w:rPr>
          <w:lang w:val="en-GB"/>
        </w:rPr>
        <w:t>and</w:t>
      </w:r>
      <w:r w:rsidRPr="00380B40">
        <w:rPr>
          <w:spacing w:val="2"/>
          <w:lang w:val="en-GB"/>
        </w:rPr>
        <w:t xml:space="preserve"> </w:t>
      </w:r>
      <w:r w:rsidRPr="00380B40">
        <w:rPr>
          <w:lang w:val="en-GB"/>
        </w:rPr>
        <w:t>working</w:t>
      </w:r>
      <w:r w:rsidRPr="00380B40">
        <w:rPr>
          <w:spacing w:val="-2"/>
          <w:lang w:val="en-GB"/>
        </w:rPr>
        <w:t xml:space="preserve"> </w:t>
      </w:r>
      <w:r w:rsidRPr="00380B40">
        <w:rPr>
          <w:spacing w:val="1"/>
          <w:lang w:val="en-GB"/>
        </w:rPr>
        <w:t>party</w:t>
      </w:r>
      <w:r w:rsidRPr="00380B40">
        <w:rPr>
          <w:spacing w:val="-5"/>
          <w:lang w:val="en-GB"/>
        </w:rPr>
        <w:t xml:space="preserve"> </w:t>
      </w:r>
      <w:r w:rsidRPr="00380B40">
        <w:rPr>
          <w:lang w:val="en-GB"/>
        </w:rPr>
        <w:t>meetings;</w:t>
      </w:r>
    </w:p>
    <w:p w14:paraId="3FB53924" w14:textId="77777777" w:rsidR="00C12517" w:rsidRPr="00380B40" w:rsidRDefault="00C12517" w:rsidP="00C12517">
      <w:pPr>
        <w:pStyle w:val="enumlev1"/>
        <w:rPr>
          <w:spacing w:val="5"/>
          <w:lang w:val="en-GB"/>
        </w:rPr>
      </w:pPr>
      <w:r w:rsidRPr="00380B40">
        <w:rPr>
          <w:lang w:val="en-GB"/>
        </w:rPr>
        <w:t>f.</w:t>
      </w:r>
      <w:r w:rsidRPr="00380B40">
        <w:rPr>
          <w:lang w:val="en-GB"/>
        </w:rPr>
        <w:tab/>
        <w:t>in</w:t>
      </w:r>
      <w:r w:rsidRPr="00380B40">
        <w:rPr>
          <w:spacing w:val="7"/>
          <w:lang w:val="en-GB"/>
        </w:rPr>
        <w:t xml:space="preserve"> </w:t>
      </w:r>
      <w:r w:rsidRPr="00380B40">
        <w:rPr>
          <w:lang w:val="en-GB"/>
        </w:rPr>
        <w:t>particular,</w:t>
      </w:r>
      <w:r w:rsidRPr="00380B40">
        <w:rPr>
          <w:spacing w:val="6"/>
          <w:lang w:val="en-GB"/>
        </w:rPr>
        <w:t xml:space="preserve"> </w:t>
      </w:r>
      <w:r w:rsidRPr="00380B40">
        <w:rPr>
          <w:lang w:val="en-GB"/>
        </w:rPr>
        <w:t>to</w:t>
      </w:r>
      <w:r w:rsidRPr="00380B40">
        <w:rPr>
          <w:spacing w:val="7"/>
          <w:lang w:val="en-GB"/>
        </w:rPr>
        <w:t xml:space="preserve"> </w:t>
      </w:r>
      <w:r w:rsidRPr="00380B40">
        <w:rPr>
          <w:lang w:val="en-GB"/>
        </w:rPr>
        <w:t>submit</w:t>
      </w:r>
      <w:r w:rsidRPr="00380B40">
        <w:rPr>
          <w:spacing w:val="5"/>
          <w:lang w:val="en-GB"/>
        </w:rPr>
        <w:t xml:space="preserve"> </w:t>
      </w:r>
      <w:r w:rsidRPr="00380B40">
        <w:rPr>
          <w:lang w:val="en-GB"/>
        </w:rPr>
        <w:t>a</w:t>
      </w:r>
      <w:r w:rsidRPr="00380B40">
        <w:rPr>
          <w:spacing w:val="3"/>
          <w:lang w:val="en-GB"/>
        </w:rPr>
        <w:t xml:space="preserve"> </w:t>
      </w:r>
      <w:r w:rsidRPr="00380B40">
        <w:rPr>
          <w:lang w:val="en-GB"/>
        </w:rPr>
        <w:t>progress</w:t>
      </w:r>
      <w:r w:rsidRPr="00380B40">
        <w:rPr>
          <w:spacing w:val="7"/>
          <w:lang w:val="en-GB"/>
        </w:rPr>
        <w:t xml:space="preserve"> </w:t>
      </w:r>
      <w:r w:rsidRPr="00380B40">
        <w:rPr>
          <w:lang w:val="en-GB"/>
        </w:rPr>
        <w:t>report</w:t>
      </w:r>
      <w:r w:rsidRPr="00380B40">
        <w:rPr>
          <w:spacing w:val="6"/>
          <w:lang w:val="en-GB"/>
        </w:rPr>
        <w:t xml:space="preserve"> </w:t>
      </w:r>
      <w:r w:rsidRPr="00380B40">
        <w:rPr>
          <w:lang w:val="en-GB"/>
        </w:rPr>
        <w:t>(e.g., of</w:t>
      </w:r>
      <w:r w:rsidRPr="00380B40">
        <w:rPr>
          <w:spacing w:val="6"/>
          <w:lang w:val="en-GB"/>
        </w:rPr>
        <w:t xml:space="preserve"> </w:t>
      </w:r>
      <w:r w:rsidRPr="00380B40">
        <w:rPr>
          <w:lang w:val="en-GB"/>
        </w:rPr>
        <w:t>a</w:t>
      </w:r>
      <w:r w:rsidRPr="00380B40">
        <w:rPr>
          <w:spacing w:val="8"/>
          <w:lang w:val="en-GB"/>
        </w:rPr>
        <w:t xml:space="preserve"> </w:t>
      </w:r>
      <w:r w:rsidRPr="00380B40">
        <w:rPr>
          <w:lang w:val="en-GB"/>
        </w:rPr>
        <w:t>rapporteur's</w:t>
      </w:r>
      <w:r w:rsidRPr="00380B40">
        <w:rPr>
          <w:spacing w:val="7"/>
          <w:lang w:val="en-GB"/>
        </w:rPr>
        <w:t xml:space="preserve"> </w:t>
      </w:r>
      <w:r w:rsidRPr="00380B40">
        <w:rPr>
          <w:lang w:val="en-GB"/>
        </w:rPr>
        <w:t>meeting</w:t>
      </w:r>
      <w:r w:rsidRPr="00380B40">
        <w:rPr>
          <w:spacing w:val="4"/>
          <w:lang w:val="en-GB"/>
        </w:rPr>
        <w:t xml:space="preserve"> </w:t>
      </w:r>
      <w:r w:rsidRPr="00380B40">
        <w:rPr>
          <w:lang w:val="en-GB"/>
        </w:rPr>
        <w:t>or</w:t>
      </w:r>
      <w:r w:rsidRPr="00380B40">
        <w:rPr>
          <w:spacing w:val="6"/>
          <w:lang w:val="en-GB"/>
        </w:rPr>
        <w:t xml:space="preserve"> </w:t>
      </w:r>
      <w:r w:rsidRPr="00380B40">
        <w:rPr>
          <w:lang w:val="en-GB"/>
        </w:rPr>
        <w:t>editor's</w:t>
      </w:r>
      <w:r w:rsidRPr="00380B40">
        <w:rPr>
          <w:spacing w:val="7"/>
          <w:lang w:val="en-GB"/>
        </w:rPr>
        <w:t xml:space="preserve"> </w:t>
      </w:r>
      <w:r w:rsidRPr="00380B40">
        <w:rPr>
          <w:lang w:val="en-GB"/>
        </w:rPr>
        <w:t>work)</w:t>
      </w:r>
      <w:r w:rsidRPr="00380B40">
        <w:rPr>
          <w:spacing w:val="6"/>
          <w:lang w:val="en-GB"/>
        </w:rPr>
        <w:t xml:space="preserve"> </w:t>
      </w:r>
      <w:r w:rsidRPr="00380B40">
        <w:rPr>
          <w:lang w:val="en-GB"/>
        </w:rPr>
        <w:t>to</w:t>
      </w:r>
      <w:r w:rsidRPr="00380B40">
        <w:rPr>
          <w:spacing w:val="59"/>
          <w:lang w:val="en-GB"/>
        </w:rPr>
        <w:t xml:space="preserve"> </w:t>
      </w:r>
      <w:r w:rsidRPr="00380B40">
        <w:rPr>
          <w:lang w:val="en-GB"/>
        </w:rPr>
        <w:t>each</w:t>
      </w:r>
      <w:r w:rsidRPr="00380B40">
        <w:rPr>
          <w:spacing w:val="9"/>
          <w:lang w:val="en-GB"/>
        </w:rPr>
        <w:t xml:space="preserve"> </w:t>
      </w:r>
      <w:r w:rsidRPr="00380B40">
        <w:rPr>
          <w:lang w:val="en-GB"/>
        </w:rPr>
        <w:t>of</w:t>
      </w:r>
      <w:r w:rsidRPr="00380B40">
        <w:rPr>
          <w:spacing w:val="8"/>
          <w:lang w:val="en-GB"/>
        </w:rPr>
        <w:t xml:space="preserve"> </w:t>
      </w:r>
      <w:r w:rsidRPr="00380B40">
        <w:rPr>
          <w:lang w:val="en-GB"/>
        </w:rPr>
        <w:t>the</w:t>
      </w:r>
      <w:r w:rsidRPr="00380B40">
        <w:rPr>
          <w:spacing w:val="8"/>
          <w:lang w:val="en-GB"/>
        </w:rPr>
        <w:t xml:space="preserve"> </w:t>
      </w:r>
      <w:r w:rsidRPr="00380B40">
        <w:rPr>
          <w:lang w:val="en-GB"/>
        </w:rPr>
        <w:t>parent</w:t>
      </w:r>
      <w:r w:rsidRPr="00380B40">
        <w:rPr>
          <w:spacing w:val="9"/>
          <w:lang w:val="en-GB"/>
        </w:rPr>
        <w:t xml:space="preserve"> </w:t>
      </w:r>
      <w:r w:rsidRPr="00380B40">
        <w:rPr>
          <w:lang w:val="en-GB"/>
        </w:rPr>
        <w:t>group's</w:t>
      </w:r>
      <w:r w:rsidRPr="00380B40">
        <w:rPr>
          <w:spacing w:val="9"/>
          <w:lang w:val="en-GB"/>
        </w:rPr>
        <w:t xml:space="preserve"> </w:t>
      </w:r>
      <w:r w:rsidRPr="00380B40">
        <w:rPr>
          <w:lang w:val="en-GB"/>
        </w:rPr>
        <w:t>meetings</w:t>
      </w:r>
      <w:r w:rsidRPr="00380B40">
        <w:rPr>
          <w:spacing w:val="9"/>
          <w:lang w:val="en-GB"/>
        </w:rPr>
        <w:t xml:space="preserve"> </w:t>
      </w:r>
      <w:r w:rsidRPr="00380B40">
        <w:rPr>
          <w:lang w:val="en-GB"/>
        </w:rPr>
        <w:t>(see</w:t>
      </w:r>
      <w:r w:rsidRPr="00380B40">
        <w:rPr>
          <w:spacing w:val="8"/>
          <w:lang w:val="en-GB"/>
        </w:rPr>
        <w:t xml:space="preserve"> </w:t>
      </w:r>
      <w:r w:rsidRPr="00380B40">
        <w:rPr>
          <w:lang w:val="en-GB"/>
        </w:rPr>
        <w:t>suggested</w:t>
      </w:r>
      <w:r w:rsidRPr="00380B40">
        <w:rPr>
          <w:spacing w:val="9"/>
          <w:lang w:val="en-GB"/>
        </w:rPr>
        <w:t xml:space="preserve"> </w:t>
      </w:r>
      <w:r w:rsidRPr="00380B40">
        <w:rPr>
          <w:lang w:val="en-GB"/>
        </w:rPr>
        <w:t>format</w:t>
      </w:r>
      <w:r w:rsidRPr="00380B40">
        <w:rPr>
          <w:spacing w:val="9"/>
          <w:lang w:val="en-GB"/>
        </w:rPr>
        <w:t xml:space="preserve"> </w:t>
      </w:r>
      <w:r w:rsidRPr="00380B40">
        <w:rPr>
          <w:lang w:val="en-GB"/>
        </w:rPr>
        <w:t>in</w:t>
      </w:r>
      <w:r w:rsidRPr="00380B40">
        <w:rPr>
          <w:spacing w:val="9"/>
          <w:lang w:val="en-GB"/>
        </w:rPr>
        <w:t xml:space="preserve"> </w:t>
      </w:r>
      <w:r w:rsidRPr="00380B40">
        <w:rPr>
          <w:lang w:val="en-GB"/>
        </w:rPr>
        <w:t>Appendix </w:t>
      </w:r>
      <w:r w:rsidRPr="00380B40">
        <w:rPr>
          <w:spacing w:val="-2"/>
          <w:lang w:val="en-GB"/>
        </w:rPr>
        <w:t>I),</w:t>
      </w:r>
      <w:r w:rsidRPr="00380B40">
        <w:rPr>
          <w:spacing w:val="9"/>
          <w:lang w:val="en-GB"/>
        </w:rPr>
        <w:t xml:space="preserve"> </w:t>
      </w:r>
      <w:r w:rsidRPr="00380B40">
        <w:rPr>
          <w:lang w:val="en-GB"/>
        </w:rPr>
        <w:t>in</w:t>
      </w:r>
      <w:r w:rsidRPr="00380B40">
        <w:rPr>
          <w:spacing w:val="9"/>
          <w:lang w:val="en-GB"/>
        </w:rPr>
        <w:t xml:space="preserve"> </w:t>
      </w:r>
      <w:r w:rsidRPr="00380B40">
        <w:rPr>
          <w:lang w:val="en-GB"/>
        </w:rPr>
        <w:t>the</w:t>
      </w:r>
      <w:r w:rsidRPr="00380B40">
        <w:rPr>
          <w:spacing w:val="8"/>
          <w:lang w:val="en-GB"/>
        </w:rPr>
        <w:t xml:space="preserve"> </w:t>
      </w:r>
      <w:r w:rsidRPr="00380B40">
        <w:rPr>
          <w:lang w:val="en-GB"/>
        </w:rPr>
        <w:t>form</w:t>
      </w:r>
      <w:r w:rsidRPr="00380B40">
        <w:rPr>
          <w:spacing w:val="9"/>
          <w:lang w:val="en-GB"/>
        </w:rPr>
        <w:t xml:space="preserve"> </w:t>
      </w:r>
      <w:r w:rsidRPr="00380B40">
        <w:rPr>
          <w:lang w:val="en-GB"/>
        </w:rPr>
        <w:t>of</w:t>
      </w:r>
      <w:r w:rsidRPr="00380B40">
        <w:rPr>
          <w:spacing w:val="8"/>
          <w:lang w:val="en-GB"/>
        </w:rPr>
        <w:t xml:space="preserve"> </w:t>
      </w:r>
      <w:r w:rsidRPr="00380B40">
        <w:rPr>
          <w:lang w:val="en-GB"/>
        </w:rPr>
        <w:t>a</w:t>
      </w:r>
      <w:r w:rsidRPr="00380B40">
        <w:rPr>
          <w:spacing w:val="79"/>
          <w:lang w:val="en-GB"/>
        </w:rPr>
        <w:t xml:space="preserve"> </w:t>
      </w:r>
      <w:r w:rsidRPr="00380B40">
        <w:rPr>
          <w:lang w:val="en-GB"/>
        </w:rPr>
        <w:t>TD</w:t>
      </w:r>
      <w:r w:rsidRPr="00380B40">
        <w:rPr>
          <w:spacing w:val="3"/>
          <w:lang w:val="en-GB"/>
        </w:rPr>
        <w:t xml:space="preserve"> </w:t>
      </w:r>
      <w:r w:rsidRPr="00380B40">
        <w:rPr>
          <w:lang w:val="en-GB"/>
        </w:rPr>
        <w:t>to</w:t>
      </w:r>
      <w:r w:rsidRPr="00380B40">
        <w:rPr>
          <w:spacing w:val="5"/>
          <w:lang w:val="en-GB"/>
        </w:rPr>
        <w:t xml:space="preserve"> </w:t>
      </w:r>
      <w:r w:rsidRPr="00380B40">
        <w:rPr>
          <w:lang w:val="en-GB"/>
        </w:rPr>
        <w:t>be</w:t>
      </w:r>
      <w:r w:rsidRPr="00380B40">
        <w:rPr>
          <w:spacing w:val="3"/>
          <w:lang w:val="en-GB"/>
        </w:rPr>
        <w:t xml:space="preserve"> </w:t>
      </w:r>
      <w:r w:rsidRPr="00380B40">
        <w:rPr>
          <w:lang w:val="en-GB"/>
        </w:rPr>
        <w:t>submitted</w:t>
      </w:r>
      <w:r w:rsidRPr="00380B40">
        <w:rPr>
          <w:spacing w:val="4"/>
          <w:lang w:val="en-GB"/>
        </w:rPr>
        <w:t xml:space="preserve"> </w:t>
      </w:r>
      <w:r w:rsidRPr="00380B40">
        <w:rPr>
          <w:lang w:val="en-GB"/>
        </w:rPr>
        <w:t>as</w:t>
      </w:r>
      <w:r w:rsidRPr="00380B40">
        <w:rPr>
          <w:spacing w:val="4"/>
          <w:lang w:val="en-GB"/>
        </w:rPr>
        <w:t xml:space="preserve"> </w:t>
      </w:r>
      <w:r w:rsidRPr="00380B40">
        <w:rPr>
          <w:lang w:val="en-GB"/>
        </w:rPr>
        <w:t>soon</w:t>
      </w:r>
      <w:r w:rsidRPr="00380B40">
        <w:rPr>
          <w:spacing w:val="4"/>
          <w:lang w:val="en-GB"/>
        </w:rPr>
        <w:t xml:space="preserve"> </w:t>
      </w:r>
      <w:r w:rsidRPr="00380B40">
        <w:rPr>
          <w:lang w:val="en-GB"/>
        </w:rPr>
        <w:t>as</w:t>
      </w:r>
      <w:r w:rsidRPr="00380B40">
        <w:rPr>
          <w:spacing w:val="4"/>
          <w:lang w:val="en-GB"/>
        </w:rPr>
        <w:t xml:space="preserve"> </w:t>
      </w:r>
      <w:r w:rsidRPr="00380B40">
        <w:rPr>
          <w:lang w:val="en-GB"/>
        </w:rPr>
        <w:t>possible</w:t>
      </w:r>
      <w:r w:rsidRPr="00380B40">
        <w:rPr>
          <w:spacing w:val="4"/>
          <w:lang w:val="en-GB"/>
        </w:rPr>
        <w:t xml:space="preserve"> </w:t>
      </w:r>
      <w:r w:rsidRPr="00380B40">
        <w:rPr>
          <w:lang w:val="en-GB"/>
        </w:rPr>
        <w:t>(see clause 3.3.3);</w:t>
      </w:r>
    </w:p>
    <w:p w14:paraId="265DFBF0" w14:textId="77777777" w:rsidR="00C12517" w:rsidRPr="00380B40" w:rsidRDefault="00C12517" w:rsidP="00C12517">
      <w:pPr>
        <w:pStyle w:val="enumlev1"/>
        <w:rPr>
          <w:lang w:val="en-GB"/>
        </w:rPr>
      </w:pPr>
      <w:r w:rsidRPr="00380B40">
        <w:rPr>
          <w:lang w:val="en-GB"/>
        </w:rPr>
        <w:t>g.</w:t>
      </w:r>
      <w:r w:rsidRPr="00380B40">
        <w:rPr>
          <w:spacing w:val="5"/>
          <w:lang w:val="en-GB"/>
        </w:rPr>
        <w:tab/>
        <w:t xml:space="preserve">to submit, where possible, as separate TDs each </w:t>
      </w:r>
      <w:r w:rsidRPr="00380B40">
        <w:rPr>
          <w:lang w:val="en-GB"/>
        </w:rPr>
        <w:t>draft</w:t>
      </w:r>
      <w:r w:rsidRPr="00380B40">
        <w:rPr>
          <w:spacing w:val="26"/>
          <w:lang w:val="en-GB"/>
        </w:rPr>
        <w:t xml:space="preserve"> </w:t>
      </w:r>
      <w:r w:rsidRPr="00380B40">
        <w:rPr>
          <w:lang w:val="en-GB"/>
        </w:rPr>
        <w:t>new</w:t>
      </w:r>
      <w:r w:rsidRPr="00380B40">
        <w:rPr>
          <w:spacing w:val="25"/>
          <w:lang w:val="en-GB"/>
        </w:rPr>
        <w:t xml:space="preserve"> </w:t>
      </w:r>
      <w:r w:rsidRPr="00380B40">
        <w:rPr>
          <w:lang w:val="en-GB"/>
        </w:rPr>
        <w:t>or</w:t>
      </w:r>
      <w:r w:rsidRPr="00380B40">
        <w:rPr>
          <w:spacing w:val="25"/>
          <w:lang w:val="en-GB"/>
        </w:rPr>
        <w:t xml:space="preserve"> </w:t>
      </w:r>
      <w:r w:rsidRPr="00380B40">
        <w:rPr>
          <w:lang w:val="en-GB"/>
        </w:rPr>
        <w:t>revised</w:t>
      </w:r>
      <w:r w:rsidRPr="00380B40">
        <w:rPr>
          <w:spacing w:val="25"/>
          <w:lang w:val="en-GB"/>
        </w:rPr>
        <w:t xml:space="preserve"> </w:t>
      </w:r>
      <w:r w:rsidRPr="00380B40">
        <w:rPr>
          <w:lang w:val="en-GB"/>
        </w:rPr>
        <w:t>Recommendation planned for consent or determination (or draft document planned for agreement),</w:t>
      </w:r>
      <w:r w:rsidRPr="00380B40">
        <w:rPr>
          <w:spacing w:val="26"/>
          <w:lang w:val="en-GB"/>
        </w:rPr>
        <w:t xml:space="preserve"> </w:t>
      </w:r>
      <w:r w:rsidRPr="00380B40">
        <w:rPr>
          <w:lang w:val="en-GB"/>
        </w:rPr>
        <w:t>at least six</w:t>
      </w:r>
      <w:r w:rsidRPr="00380B40">
        <w:rPr>
          <w:spacing w:val="2"/>
          <w:lang w:val="en-GB"/>
        </w:rPr>
        <w:t xml:space="preserve"> </w:t>
      </w:r>
      <w:r w:rsidRPr="00380B40">
        <w:rPr>
          <w:lang w:val="en-GB"/>
        </w:rPr>
        <w:t>weeks prior to the parent</w:t>
      </w:r>
      <w:r w:rsidRPr="00380B40">
        <w:rPr>
          <w:spacing w:val="2"/>
          <w:lang w:val="en-GB"/>
        </w:rPr>
        <w:t xml:space="preserve"> </w:t>
      </w:r>
      <w:r w:rsidRPr="00380B40">
        <w:rPr>
          <w:lang w:val="en-GB"/>
        </w:rPr>
        <w:t>group's</w:t>
      </w:r>
      <w:r w:rsidRPr="00380B40">
        <w:rPr>
          <w:spacing w:val="2"/>
          <w:lang w:val="en-GB"/>
        </w:rPr>
        <w:t xml:space="preserve"> </w:t>
      </w:r>
      <w:r w:rsidRPr="00380B40">
        <w:rPr>
          <w:lang w:val="en-GB"/>
        </w:rPr>
        <w:t>meeting;</w:t>
      </w:r>
    </w:p>
    <w:p w14:paraId="7E96E234" w14:textId="77777777" w:rsidR="00C12517" w:rsidRPr="00380B40" w:rsidRDefault="00C12517" w:rsidP="00C12517">
      <w:pPr>
        <w:pStyle w:val="enumlev1"/>
        <w:rPr>
          <w:lang w:val="en-GB"/>
        </w:rPr>
      </w:pPr>
      <w:r w:rsidRPr="00380B40">
        <w:rPr>
          <w:lang w:val="en-GB"/>
        </w:rPr>
        <w:t>h.</w:t>
      </w:r>
      <w:r w:rsidRPr="00380B40">
        <w:rPr>
          <w:lang w:val="en-GB"/>
        </w:rPr>
        <w:tab/>
        <w:t>to</w:t>
      </w:r>
      <w:r w:rsidRPr="00380B40">
        <w:rPr>
          <w:spacing w:val="24"/>
          <w:lang w:val="en-GB"/>
        </w:rPr>
        <w:t xml:space="preserve"> </w:t>
      </w:r>
      <w:r w:rsidRPr="00380B40">
        <w:rPr>
          <w:lang w:val="en-GB"/>
        </w:rPr>
        <w:t>give</w:t>
      </w:r>
      <w:r w:rsidRPr="00380B40">
        <w:rPr>
          <w:spacing w:val="25"/>
          <w:lang w:val="en-GB"/>
        </w:rPr>
        <w:t xml:space="preserve"> </w:t>
      </w:r>
      <w:r w:rsidRPr="00380B40">
        <w:rPr>
          <w:lang w:val="en-GB"/>
        </w:rPr>
        <w:t>the</w:t>
      </w:r>
      <w:r w:rsidRPr="00380B40">
        <w:rPr>
          <w:spacing w:val="23"/>
          <w:lang w:val="en-GB"/>
        </w:rPr>
        <w:t xml:space="preserve"> </w:t>
      </w:r>
      <w:r w:rsidRPr="00380B40">
        <w:rPr>
          <w:lang w:val="en-GB"/>
        </w:rPr>
        <w:t>parent</w:t>
      </w:r>
      <w:r w:rsidRPr="00380B40">
        <w:rPr>
          <w:spacing w:val="26"/>
          <w:lang w:val="en-GB"/>
        </w:rPr>
        <w:t xml:space="preserve"> </w:t>
      </w:r>
      <w:r w:rsidRPr="00380B40">
        <w:rPr>
          <w:lang w:val="en-GB"/>
        </w:rPr>
        <w:t>working</w:t>
      </w:r>
      <w:r w:rsidRPr="00380B40">
        <w:rPr>
          <w:spacing w:val="21"/>
          <w:lang w:val="en-GB"/>
        </w:rPr>
        <w:t xml:space="preserve"> </w:t>
      </w:r>
      <w:r w:rsidRPr="00380B40">
        <w:rPr>
          <w:spacing w:val="1"/>
          <w:lang w:val="en-GB"/>
        </w:rPr>
        <w:t>party</w:t>
      </w:r>
      <w:r w:rsidRPr="00380B40">
        <w:rPr>
          <w:spacing w:val="18"/>
          <w:lang w:val="en-GB"/>
        </w:rPr>
        <w:t xml:space="preserve"> </w:t>
      </w:r>
      <w:r w:rsidRPr="00380B40">
        <w:rPr>
          <w:spacing w:val="1"/>
          <w:lang w:val="en-GB"/>
        </w:rPr>
        <w:t>or</w:t>
      </w:r>
      <w:r w:rsidRPr="00380B40">
        <w:rPr>
          <w:spacing w:val="23"/>
          <w:lang w:val="en-GB"/>
        </w:rPr>
        <w:t xml:space="preserve"> </w:t>
      </w:r>
      <w:r w:rsidRPr="00380B40">
        <w:rPr>
          <w:spacing w:val="1"/>
          <w:lang w:val="en-GB"/>
        </w:rPr>
        <w:t>study</w:t>
      </w:r>
      <w:r w:rsidRPr="00380B40">
        <w:rPr>
          <w:spacing w:val="21"/>
          <w:lang w:val="en-GB"/>
        </w:rPr>
        <w:t xml:space="preserve"> </w:t>
      </w:r>
      <w:r w:rsidRPr="00380B40">
        <w:rPr>
          <w:lang w:val="en-GB"/>
        </w:rPr>
        <w:t>group</w:t>
      </w:r>
      <w:r w:rsidRPr="00380B40">
        <w:rPr>
          <w:spacing w:val="27"/>
          <w:lang w:val="en-GB"/>
        </w:rPr>
        <w:t xml:space="preserve"> </w:t>
      </w:r>
      <w:r w:rsidRPr="00380B40">
        <w:rPr>
          <w:lang w:val="en-GB"/>
        </w:rPr>
        <w:t>and</w:t>
      </w:r>
      <w:r w:rsidRPr="00380B40">
        <w:rPr>
          <w:spacing w:val="23"/>
          <w:lang w:val="en-GB"/>
        </w:rPr>
        <w:t xml:space="preserve"> </w:t>
      </w:r>
      <w:r w:rsidRPr="00380B40">
        <w:rPr>
          <w:lang w:val="en-GB"/>
        </w:rPr>
        <w:t>TSB</w:t>
      </w:r>
      <w:r w:rsidRPr="00380B40">
        <w:rPr>
          <w:spacing w:val="24"/>
          <w:lang w:val="en-GB"/>
        </w:rPr>
        <w:t xml:space="preserve"> </w:t>
      </w:r>
      <w:r w:rsidRPr="00380B40">
        <w:rPr>
          <w:lang w:val="en-GB"/>
        </w:rPr>
        <w:t>adequate</w:t>
      </w:r>
      <w:r w:rsidRPr="00380B40">
        <w:rPr>
          <w:spacing w:val="25"/>
          <w:lang w:val="en-GB"/>
        </w:rPr>
        <w:t xml:space="preserve"> </w:t>
      </w:r>
      <w:r w:rsidRPr="00380B40">
        <w:rPr>
          <w:lang w:val="en-GB"/>
        </w:rPr>
        <w:t>advance</w:t>
      </w:r>
      <w:r w:rsidRPr="00380B40">
        <w:rPr>
          <w:spacing w:val="22"/>
          <w:lang w:val="en-GB"/>
        </w:rPr>
        <w:t xml:space="preserve"> </w:t>
      </w:r>
      <w:r w:rsidRPr="00380B40">
        <w:rPr>
          <w:lang w:val="en-GB"/>
        </w:rPr>
        <w:t>notice</w:t>
      </w:r>
      <w:r w:rsidRPr="00380B40">
        <w:rPr>
          <w:spacing w:val="22"/>
          <w:lang w:val="en-GB"/>
        </w:rPr>
        <w:t xml:space="preserve"> </w:t>
      </w:r>
      <w:r w:rsidRPr="00380B40">
        <w:rPr>
          <w:lang w:val="en-GB"/>
        </w:rPr>
        <w:t>of</w:t>
      </w:r>
      <w:r w:rsidRPr="00380B40">
        <w:rPr>
          <w:spacing w:val="25"/>
          <w:lang w:val="en-GB"/>
        </w:rPr>
        <w:t xml:space="preserve"> </w:t>
      </w:r>
      <w:r w:rsidRPr="00380B40">
        <w:rPr>
          <w:lang w:val="en-GB"/>
        </w:rPr>
        <w:t>the</w:t>
      </w:r>
      <w:r w:rsidRPr="00380B40">
        <w:rPr>
          <w:spacing w:val="48"/>
          <w:lang w:val="en-GB"/>
        </w:rPr>
        <w:t xml:space="preserve"> </w:t>
      </w:r>
      <w:r w:rsidRPr="00380B40">
        <w:rPr>
          <w:lang w:val="en-GB"/>
        </w:rPr>
        <w:t>intention</w:t>
      </w:r>
      <w:r w:rsidRPr="00380B40">
        <w:rPr>
          <w:spacing w:val="-10"/>
          <w:lang w:val="en-GB"/>
        </w:rPr>
        <w:t xml:space="preserve"> </w:t>
      </w:r>
      <w:r w:rsidRPr="00380B40">
        <w:rPr>
          <w:lang w:val="en-GB"/>
        </w:rPr>
        <w:t>to</w:t>
      </w:r>
      <w:r w:rsidRPr="00380B40">
        <w:rPr>
          <w:spacing w:val="-10"/>
          <w:lang w:val="en-GB"/>
        </w:rPr>
        <w:t xml:space="preserve"> </w:t>
      </w:r>
      <w:r w:rsidRPr="00380B40">
        <w:rPr>
          <w:lang w:val="en-GB"/>
        </w:rPr>
        <w:t>hold</w:t>
      </w:r>
      <w:r w:rsidRPr="00380B40">
        <w:rPr>
          <w:spacing w:val="-12"/>
          <w:lang w:val="en-GB"/>
        </w:rPr>
        <w:t xml:space="preserve"> </w:t>
      </w:r>
      <w:r w:rsidRPr="00380B40">
        <w:rPr>
          <w:lang w:val="en-GB"/>
        </w:rPr>
        <w:t>any</w:t>
      </w:r>
      <w:r w:rsidRPr="00380B40">
        <w:rPr>
          <w:spacing w:val="-15"/>
          <w:lang w:val="en-GB"/>
        </w:rPr>
        <w:t xml:space="preserve"> </w:t>
      </w:r>
      <w:r w:rsidRPr="00380B40">
        <w:rPr>
          <w:lang w:val="en-GB"/>
        </w:rPr>
        <w:t>meetings</w:t>
      </w:r>
      <w:r w:rsidRPr="00380B40">
        <w:rPr>
          <w:spacing w:val="-10"/>
          <w:lang w:val="en-GB"/>
        </w:rPr>
        <w:t xml:space="preserve"> </w:t>
      </w:r>
      <w:r w:rsidRPr="00380B40">
        <w:rPr>
          <w:lang w:val="en-GB"/>
        </w:rPr>
        <w:t>of</w:t>
      </w:r>
      <w:r w:rsidRPr="00380B40">
        <w:rPr>
          <w:spacing w:val="-11"/>
          <w:lang w:val="en-GB"/>
        </w:rPr>
        <w:t xml:space="preserve"> </w:t>
      </w:r>
      <w:r w:rsidRPr="00380B40">
        <w:rPr>
          <w:lang w:val="en-GB"/>
        </w:rPr>
        <w:t>experts</w:t>
      </w:r>
      <w:r w:rsidRPr="00380B40">
        <w:rPr>
          <w:spacing w:val="-10"/>
          <w:lang w:val="en-GB"/>
        </w:rPr>
        <w:t xml:space="preserve"> </w:t>
      </w:r>
      <w:r w:rsidRPr="00380B40">
        <w:rPr>
          <w:lang w:val="en-GB"/>
        </w:rPr>
        <w:t>(see</w:t>
      </w:r>
      <w:r w:rsidRPr="00380B40">
        <w:rPr>
          <w:spacing w:val="-11"/>
          <w:lang w:val="en-GB"/>
        </w:rPr>
        <w:t xml:space="preserve"> </w:t>
      </w:r>
      <w:r w:rsidRPr="00380B40">
        <w:rPr>
          <w:lang w:val="en-GB"/>
        </w:rPr>
        <w:t>clause</w:t>
      </w:r>
      <w:r w:rsidRPr="00380B40">
        <w:rPr>
          <w:spacing w:val="-11"/>
          <w:lang w:val="en-GB"/>
        </w:rPr>
        <w:t xml:space="preserve"> </w:t>
      </w:r>
      <w:r w:rsidRPr="00380B40">
        <w:rPr>
          <w:lang w:val="en-GB"/>
        </w:rPr>
        <w:t>2.3.3.10),</w:t>
      </w:r>
      <w:r w:rsidRPr="00380B40">
        <w:rPr>
          <w:spacing w:val="-11"/>
          <w:lang w:val="en-GB"/>
        </w:rPr>
        <w:t xml:space="preserve"> </w:t>
      </w:r>
      <w:r w:rsidRPr="00380B40">
        <w:rPr>
          <w:lang w:val="en-GB"/>
        </w:rPr>
        <w:t>particularly</w:t>
      </w:r>
      <w:r w:rsidRPr="00380B40">
        <w:rPr>
          <w:spacing w:val="-15"/>
          <w:lang w:val="en-GB"/>
        </w:rPr>
        <w:t xml:space="preserve"> </w:t>
      </w:r>
      <w:r w:rsidRPr="00380B40">
        <w:rPr>
          <w:lang w:val="en-GB"/>
        </w:rPr>
        <w:t>where</w:t>
      </w:r>
      <w:r w:rsidRPr="00380B40">
        <w:rPr>
          <w:spacing w:val="-12"/>
          <w:lang w:val="en-GB"/>
        </w:rPr>
        <w:t xml:space="preserve"> </w:t>
      </w:r>
      <w:r w:rsidRPr="00380B40">
        <w:rPr>
          <w:lang w:val="en-GB"/>
        </w:rPr>
        <w:t>such</w:t>
      </w:r>
      <w:r w:rsidRPr="00380B40">
        <w:rPr>
          <w:spacing w:val="51"/>
          <w:lang w:val="en-GB"/>
        </w:rPr>
        <w:t xml:space="preserve"> </w:t>
      </w:r>
      <w:r w:rsidRPr="00380B40">
        <w:rPr>
          <w:lang w:val="en-GB"/>
        </w:rPr>
        <w:t>meetings are</w:t>
      </w:r>
      <w:r w:rsidRPr="00380B40">
        <w:rPr>
          <w:spacing w:val="-2"/>
          <w:lang w:val="en-GB"/>
        </w:rPr>
        <w:t xml:space="preserve"> </w:t>
      </w:r>
      <w:r w:rsidRPr="00380B40">
        <w:rPr>
          <w:lang w:val="en-GB"/>
        </w:rPr>
        <w:t>not included in the original programme of</w:t>
      </w:r>
      <w:r w:rsidRPr="00380B40">
        <w:rPr>
          <w:spacing w:val="-2"/>
          <w:lang w:val="en-GB"/>
        </w:rPr>
        <w:t xml:space="preserve"> </w:t>
      </w:r>
      <w:r w:rsidRPr="00380B40">
        <w:rPr>
          <w:lang w:val="en-GB"/>
        </w:rPr>
        <w:t>work;</w:t>
      </w:r>
    </w:p>
    <w:p w14:paraId="7D70D1AF" w14:textId="77777777" w:rsidR="00C12517" w:rsidRPr="00380B40" w:rsidRDefault="00C12517" w:rsidP="00C12517">
      <w:pPr>
        <w:pStyle w:val="enumlev1"/>
        <w:rPr>
          <w:lang w:val="en-GB"/>
        </w:rPr>
      </w:pPr>
      <w:r w:rsidRPr="00380B40">
        <w:rPr>
          <w:lang w:val="en-GB"/>
        </w:rPr>
        <w:t>i.</w:t>
      </w:r>
      <w:r w:rsidRPr="00380B40">
        <w:rPr>
          <w:lang w:val="en-GB"/>
        </w:rPr>
        <w:tab/>
        <w:t>to establish a</w:t>
      </w:r>
      <w:r w:rsidRPr="00380B40">
        <w:rPr>
          <w:spacing w:val="1"/>
          <w:lang w:val="en-GB"/>
        </w:rPr>
        <w:t xml:space="preserve"> </w:t>
      </w:r>
      <w:r w:rsidRPr="00380B40">
        <w:rPr>
          <w:lang w:val="en-GB"/>
        </w:rPr>
        <w:t>group of</w:t>
      </w:r>
      <w:r w:rsidRPr="00380B40">
        <w:rPr>
          <w:spacing w:val="1"/>
          <w:lang w:val="en-GB"/>
        </w:rPr>
        <w:t xml:space="preserve"> </w:t>
      </w:r>
      <w:r w:rsidRPr="00380B40">
        <w:rPr>
          <w:lang w:val="en-GB"/>
        </w:rPr>
        <w:t>active "collaborators" from</w:t>
      </w:r>
      <w:r w:rsidRPr="00380B40">
        <w:rPr>
          <w:spacing w:val="2"/>
          <w:lang w:val="en-GB"/>
        </w:rPr>
        <w:t xml:space="preserve"> </w:t>
      </w:r>
      <w:r w:rsidRPr="00380B40">
        <w:rPr>
          <w:lang w:val="en-GB"/>
        </w:rPr>
        <w:t>the working party</w:t>
      </w:r>
      <w:r w:rsidRPr="00380B40">
        <w:rPr>
          <w:spacing w:val="-3"/>
          <w:lang w:val="en-GB"/>
        </w:rPr>
        <w:t xml:space="preserve"> </w:t>
      </w:r>
      <w:r w:rsidRPr="00380B40">
        <w:rPr>
          <w:lang w:val="en-GB"/>
        </w:rPr>
        <w:t>(or</w:t>
      </w:r>
      <w:r w:rsidRPr="00380B40">
        <w:rPr>
          <w:spacing w:val="-2"/>
          <w:lang w:val="en-GB"/>
        </w:rPr>
        <w:t xml:space="preserve"> </w:t>
      </w:r>
      <w:r w:rsidRPr="00380B40">
        <w:rPr>
          <w:lang w:val="en-GB"/>
        </w:rPr>
        <w:t>study</w:t>
      </w:r>
      <w:r w:rsidRPr="00380B40">
        <w:rPr>
          <w:spacing w:val="-3"/>
          <w:lang w:val="en-GB"/>
        </w:rPr>
        <w:t xml:space="preserve"> </w:t>
      </w:r>
      <w:r w:rsidRPr="00380B40">
        <w:rPr>
          <w:lang w:val="en-GB"/>
        </w:rPr>
        <w:t>group)</w:t>
      </w:r>
      <w:r w:rsidRPr="00380B40">
        <w:rPr>
          <w:spacing w:val="1"/>
          <w:lang w:val="en-GB"/>
        </w:rPr>
        <w:t xml:space="preserve"> </w:t>
      </w:r>
      <w:r w:rsidRPr="00380B40">
        <w:rPr>
          <w:lang w:val="en-GB"/>
        </w:rPr>
        <w:t>where</w:t>
      </w:r>
      <w:r w:rsidRPr="00380B40">
        <w:rPr>
          <w:spacing w:val="86"/>
          <w:lang w:val="en-GB"/>
        </w:rPr>
        <w:t xml:space="preserve"> </w:t>
      </w:r>
      <w:r w:rsidRPr="00380B40">
        <w:rPr>
          <w:lang w:val="en-GB"/>
        </w:rPr>
        <w:t>appropriate,</w:t>
      </w:r>
      <w:r w:rsidRPr="00380B40">
        <w:rPr>
          <w:spacing w:val="6"/>
          <w:lang w:val="en-GB"/>
        </w:rPr>
        <w:t xml:space="preserve"> </w:t>
      </w:r>
      <w:r w:rsidRPr="00380B40">
        <w:rPr>
          <w:lang w:val="en-GB"/>
        </w:rPr>
        <w:t>with</w:t>
      </w:r>
      <w:r w:rsidRPr="00380B40">
        <w:rPr>
          <w:spacing w:val="5"/>
          <w:lang w:val="en-GB"/>
        </w:rPr>
        <w:t xml:space="preserve"> </w:t>
      </w:r>
      <w:r w:rsidRPr="00380B40">
        <w:rPr>
          <w:lang w:val="en-GB"/>
        </w:rPr>
        <w:t>an</w:t>
      </w:r>
      <w:r w:rsidRPr="00380B40">
        <w:rPr>
          <w:spacing w:val="6"/>
          <w:lang w:val="en-GB"/>
        </w:rPr>
        <w:t xml:space="preserve"> </w:t>
      </w:r>
      <w:r w:rsidRPr="00380B40">
        <w:rPr>
          <w:lang w:val="en-GB"/>
        </w:rPr>
        <w:t>updated</w:t>
      </w:r>
      <w:r w:rsidRPr="00380B40">
        <w:rPr>
          <w:spacing w:val="4"/>
          <w:lang w:val="en-GB"/>
        </w:rPr>
        <w:t xml:space="preserve"> </w:t>
      </w:r>
      <w:r w:rsidRPr="00380B40">
        <w:rPr>
          <w:lang w:val="en-GB"/>
        </w:rPr>
        <w:t>list</w:t>
      </w:r>
      <w:r w:rsidRPr="00380B40">
        <w:rPr>
          <w:spacing w:val="5"/>
          <w:lang w:val="en-GB"/>
        </w:rPr>
        <w:t xml:space="preserve"> </w:t>
      </w:r>
      <w:r w:rsidRPr="00380B40">
        <w:rPr>
          <w:lang w:val="en-GB"/>
        </w:rPr>
        <w:t>of</w:t>
      </w:r>
      <w:r w:rsidRPr="00380B40">
        <w:rPr>
          <w:spacing w:val="3"/>
          <w:lang w:val="en-GB"/>
        </w:rPr>
        <w:t xml:space="preserve"> </w:t>
      </w:r>
      <w:r w:rsidRPr="00380B40">
        <w:rPr>
          <w:lang w:val="en-GB"/>
        </w:rPr>
        <w:t>those</w:t>
      </w:r>
      <w:r w:rsidRPr="00380B40">
        <w:rPr>
          <w:spacing w:val="6"/>
          <w:lang w:val="en-GB"/>
        </w:rPr>
        <w:t xml:space="preserve"> </w:t>
      </w:r>
      <w:r w:rsidRPr="00380B40">
        <w:rPr>
          <w:lang w:val="en-GB"/>
        </w:rPr>
        <w:t>collaborators</w:t>
      </w:r>
      <w:r w:rsidRPr="00380B40">
        <w:rPr>
          <w:spacing w:val="4"/>
          <w:lang w:val="en-GB"/>
        </w:rPr>
        <w:t xml:space="preserve"> </w:t>
      </w:r>
      <w:r w:rsidRPr="00380B40">
        <w:rPr>
          <w:lang w:val="en-GB"/>
        </w:rPr>
        <w:t>being</w:t>
      </w:r>
      <w:r w:rsidRPr="00380B40">
        <w:rPr>
          <w:spacing w:val="4"/>
          <w:lang w:val="en-GB"/>
        </w:rPr>
        <w:t xml:space="preserve"> </w:t>
      </w:r>
      <w:r w:rsidRPr="00380B40">
        <w:rPr>
          <w:lang w:val="en-GB"/>
        </w:rPr>
        <w:t>given</w:t>
      </w:r>
      <w:r w:rsidRPr="00380B40">
        <w:rPr>
          <w:spacing w:val="4"/>
          <w:lang w:val="en-GB"/>
        </w:rPr>
        <w:t xml:space="preserve"> </w:t>
      </w:r>
      <w:r w:rsidRPr="00380B40">
        <w:rPr>
          <w:lang w:val="en-GB"/>
        </w:rPr>
        <w:t>to</w:t>
      </w:r>
      <w:r w:rsidRPr="00380B40">
        <w:rPr>
          <w:spacing w:val="5"/>
          <w:lang w:val="en-GB"/>
        </w:rPr>
        <w:t xml:space="preserve"> </w:t>
      </w:r>
      <w:r w:rsidRPr="00380B40">
        <w:rPr>
          <w:lang w:val="en-GB"/>
        </w:rPr>
        <w:t>TSB</w:t>
      </w:r>
      <w:r w:rsidRPr="00380B40">
        <w:rPr>
          <w:spacing w:val="5"/>
          <w:lang w:val="en-GB"/>
        </w:rPr>
        <w:t xml:space="preserve"> </w:t>
      </w:r>
      <w:r w:rsidRPr="00380B40">
        <w:rPr>
          <w:lang w:val="en-GB"/>
        </w:rPr>
        <w:t>at</w:t>
      </w:r>
      <w:r w:rsidRPr="00380B40">
        <w:rPr>
          <w:spacing w:val="5"/>
          <w:lang w:val="en-GB"/>
        </w:rPr>
        <w:t xml:space="preserve"> </w:t>
      </w:r>
      <w:r w:rsidRPr="00380B40">
        <w:rPr>
          <w:lang w:val="en-GB"/>
        </w:rPr>
        <w:t>each</w:t>
      </w:r>
      <w:r w:rsidRPr="00380B40">
        <w:rPr>
          <w:spacing w:val="6"/>
          <w:lang w:val="en-GB"/>
        </w:rPr>
        <w:t xml:space="preserve"> </w:t>
      </w:r>
      <w:r w:rsidRPr="00380B40">
        <w:rPr>
          <w:lang w:val="en-GB"/>
        </w:rPr>
        <w:t>working</w:t>
      </w:r>
      <w:r w:rsidRPr="00380B40">
        <w:rPr>
          <w:spacing w:val="41"/>
          <w:lang w:val="en-GB"/>
        </w:rPr>
        <w:t xml:space="preserve"> </w:t>
      </w:r>
      <w:r w:rsidRPr="00380B40">
        <w:rPr>
          <w:lang w:val="en-GB"/>
        </w:rPr>
        <w:t>party</w:t>
      </w:r>
      <w:r w:rsidRPr="00380B40">
        <w:rPr>
          <w:spacing w:val="-5"/>
          <w:lang w:val="en-GB"/>
        </w:rPr>
        <w:t xml:space="preserve"> </w:t>
      </w:r>
      <w:r w:rsidRPr="00380B40">
        <w:rPr>
          <w:lang w:val="en-GB"/>
        </w:rPr>
        <w:t>meeting;</w:t>
      </w:r>
    </w:p>
    <w:p w14:paraId="6C291CE2" w14:textId="77777777" w:rsidR="00C12517" w:rsidRPr="00380B40" w:rsidRDefault="00C12517" w:rsidP="00C12517">
      <w:pPr>
        <w:pStyle w:val="enumlev1"/>
        <w:rPr>
          <w:lang w:val="en-GB"/>
        </w:rPr>
      </w:pPr>
      <w:r w:rsidRPr="00380B40">
        <w:rPr>
          <w:lang w:val="en-GB"/>
        </w:rPr>
        <w:t>j.</w:t>
      </w:r>
      <w:r w:rsidRPr="00380B40">
        <w:rPr>
          <w:lang w:val="en-GB"/>
        </w:rPr>
        <w:tab/>
        <w:t>to</w:t>
      </w:r>
      <w:r w:rsidRPr="00380B40">
        <w:rPr>
          <w:spacing w:val="7"/>
          <w:lang w:val="en-GB"/>
        </w:rPr>
        <w:t xml:space="preserve"> </w:t>
      </w:r>
      <w:r w:rsidRPr="00380B40">
        <w:rPr>
          <w:lang w:val="en-GB"/>
        </w:rPr>
        <w:t>delegate</w:t>
      </w:r>
      <w:r w:rsidRPr="00380B40">
        <w:rPr>
          <w:spacing w:val="6"/>
          <w:lang w:val="en-GB"/>
        </w:rPr>
        <w:t xml:space="preserve"> </w:t>
      </w:r>
      <w:r w:rsidRPr="00380B40">
        <w:rPr>
          <w:lang w:val="en-GB"/>
        </w:rPr>
        <w:t>the</w:t>
      </w:r>
      <w:r w:rsidRPr="00380B40">
        <w:rPr>
          <w:spacing w:val="6"/>
          <w:lang w:val="en-GB"/>
        </w:rPr>
        <w:t xml:space="preserve"> </w:t>
      </w:r>
      <w:r w:rsidRPr="00380B40">
        <w:rPr>
          <w:lang w:val="en-GB"/>
        </w:rPr>
        <w:t>relevant</w:t>
      </w:r>
      <w:r w:rsidRPr="00380B40">
        <w:rPr>
          <w:spacing w:val="9"/>
          <w:lang w:val="en-GB"/>
        </w:rPr>
        <w:t xml:space="preserve"> </w:t>
      </w:r>
      <w:r w:rsidRPr="00380B40">
        <w:rPr>
          <w:lang w:val="en-GB"/>
        </w:rPr>
        <w:t>functions</w:t>
      </w:r>
      <w:r w:rsidRPr="00380B40">
        <w:rPr>
          <w:spacing w:val="7"/>
          <w:lang w:val="en-GB"/>
        </w:rPr>
        <w:t xml:space="preserve"> </w:t>
      </w:r>
      <w:r w:rsidRPr="00380B40">
        <w:rPr>
          <w:lang w:val="en-GB"/>
        </w:rPr>
        <w:t>from</w:t>
      </w:r>
      <w:r w:rsidRPr="00380B40">
        <w:rPr>
          <w:spacing w:val="7"/>
          <w:lang w:val="en-GB"/>
        </w:rPr>
        <w:t xml:space="preserve"> </w:t>
      </w:r>
      <w:r w:rsidRPr="00380B40">
        <w:rPr>
          <w:lang w:val="en-GB"/>
        </w:rPr>
        <w:t>the</w:t>
      </w:r>
      <w:r w:rsidRPr="00380B40">
        <w:rPr>
          <w:spacing w:val="6"/>
          <w:lang w:val="en-GB"/>
        </w:rPr>
        <w:t xml:space="preserve"> </w:t>
      </w:r>
      <w:r w:rsidRPr="00380B40">
        <w:rPr>
          <w:lang w:val="en-GB"/>
        </w:rPr>
        <w:t>list</w:t>
      </w:r>
      <w:r w:rsidRPr="00380B40">
        <w:rPr>
          <w:spacing w:val="7"/>
          <w:lang w:val="en-GB"/>
        </w:rPr>
        <w:t xml:space="preserve"> </w:t>
      </w:r>
      <w:r w:rsidRPr="00380B40">
        <w:rPr>
          <w:lang w:val="en-GB"/>
        </w:rPr>
        <w:t>above</w:t>
      </w:r>
      <w:r w:rsidRPr="00380B40">
        <w:rPr>
          <w:spacing w:val="6"/>
          <w:lang w:val="en-GB"/>
        </w:rPr>
        <w:t xml:space="preserve"> </w:t>
      </w:r>
      <w:r w:rsidRPr="00380B40">
        <w:rPr>
          <w:lang w:val="en-GB"/>
        </w:rPr>
        <w:t>to</w:t>
      </w:r>
      <w:r w:rsidRPr="00380B40">
        <w:rPr>
          <w:spacing w:val="7"/>
          <w:lang w:val="en-GB"/>
        </w:rPr>
        <w:t xml:space="preserve"> </w:t>
      </w:r>
      <w:r w:rsidRPr="00380B40">
        <w:rPr>
          <w:lang w:val="en-GB"/>
        </w:rPr>
        <w:t>associate</w:t>
      </w:r>
      <w:r w:rsidRPr="00380B40">
        <w:rPr>
          <w:spacing w:val="8"/>
          <w:lang w:val="en-GB"/>
        </w:rPr>
        <w:t xml:space="preserve"> </w:t>
      </w:r>
      <w:r w:rsidRPr="00380B40">
        <w:rPr>
          <w:lang w:val="en-GB"/>
        </w:rPr>
        <w:t>rapporteurs</w:t>
      </w:r>
      <w:r w:rsidRPr="00380B40">
        <w:rPr>
          <w:spacing w:val="6"/>
          <w:lang w:val="en-GB"/>
        </w:rPr>
        <w:t xml:space="preserve"> </w:t>
      </w:r>
      <w:r w:rsidRPr="00380B40">
        <w:rPr>
          <w:lang w:val="en-GB"/>
        </w:rPr>
        <w:t>and/or</w:t>
      </w:r>
      <w:r w:rsidRPr="00380B40">
        <w:rPr>
          <w:spacing w:val="6"/>
          <w:lang w:val="en-GB"/>
        </w:rPr>
        <w:t xml:space="preserve"> </w:t>
      </w:r>
      <w:r w:rsidRPr="00380B40">
        <w:rPr>
          <w:lang w:val="en-GB"/>
        </w:rPr>
        <w:t>liaison</w:t>
      </w:r>
      <w:r w:rsidRPr="00380B40">
        <w:rPr>
          <w:spacing w:val="77"/>
          <w:lang w:val="en-GB"/>
        </w:rPr>
        <w:t xml:space="preserve"> </w:t>
      </w:r>
      <w:r w:rsidRPr="00380B40">
        <w:rPr>
          <w:lang w:val="en-GB"/>
        </w:rPr>
        <w:t>rapporteurs,</w:t>
      </w:r>
      <w:r w:rsidRPr="00380B40">
        <w:rPr>
          <w:spacing w:val="1"/>
          <w:lang w:val="en-GB"/>
        </w:rPr>
        <w:t xml:space="preserve"> </w:t>
      </w:r>
      <w:r w:rsidRPr="00380B40">
        <w:rPr>
          <w:lang w:val="en-GB"/>
        </w:rPr>
        <w:t>as necessary.</w:t>
      </w:r>
    </w:p>
    <w:p w14:paraId="0046031D" w14:textId="77777777" w:rsidR="00C12517" w:rsidRPr="00380B40" w:rsidRDefault="00C12517" w:rsidP="00C12517">
      <w:pPr>
        <w:rPr>
          <w:lang w:val="en-GB"/>
        </w:rPr>
      </w:pPr>
      <w:r w:rsidRPr="00380B40">
        <w:rPr>
          <w:b/>
          <w:bCs/>
          <w:lang w:val="en-GB"/>
        </w:rPr>
        <w:t>2.3.3.7</w:t>
      </w:r>
      <w:r w:rsidRPr="00380B40">
        <w:rPr>
          <w:lang w:val="en-GB"/>
        </w:rPr>
        <w:tab/>
        <w:t>The</w:t>
      </w:r>
      <w:r w:rsidRPr="00380B40">
        <w:rPr>
          <w:spacing w:val="-4"/>
          <w:lang w:val="en-GB"/>
        </w:rPr>
        <w:t xml:space="preserve"> </w:t>
      </w:r>
      <w:r w:rsidRPr="00380B40">
        <w:rPr>
          <w:spacing w:val="-1"/>
          <w:lang w:val="en-GB"/>
        </w:rPr>
        <w:t>basic</w:t>
      </w:r>
      <w:r w:rsidRPr="00380B40">
        <w:rPr>
          <w:spacing w:val="1"/>
          <w:lang w:val="en-GB"/>
        </w:rPr>
        <w:t xml:space="preserve"> </w:t>
      </w:r>
      <w:r w:rsidRPr="00380B40">
        <w:rPr>
          <w:spacing w:val="-1"/>
          <w:lang w:val="en-GB"/>
        </w:rPr>
        <w:t>goal</w:t>
      </w:r>
      <w:r w:rsidRPr="00380B40">
        <w:rPr>
          <w:lang w:val="en-GB"/>
        </w:rPr>
        <w:t xml:space="preserve"> of </w:t>
      </w:r>
      <w:r w:rsidRPr="00380B40">
        <w:rPr>
          <w:spacing w:val="-1"/>
          <w:lang w:val="en-GB"/>
        </w:rPr>
        <w:t>each</w:t>
      </w:r>
      <w:r w:rsidRPr="00380B40">
        <w:rPr>
          <w:spacing w:val="-3"/>
          <w:lang w:val="en-GB"/>
        </w:rPr>
        <w:t xml:space="preserve"> </w:t>
      </w:r>
      <w:r w:rsidRPr="00380B40">
        <w:rPr>
          <w:lang w:val="en-GB"/>
        </w:rPr>
        <w:t>rapporteur</w:t>
      </w:r>
      <w:r w:rsidRPr="00380B40">
        <w:rPr>
          <w:spacing w:val="-4"/>
          <w:lang w:val="en-GB"/>
        </w:rPr>
        <w:t xml:space="preserve"> </w:t>
      </w:r>
      <w:r w:rsidRPr="00380B40">
        <w:rPr>
          <w:lang w:val="en-GB"/>
        </w:rPr>
        <w:t>is</w:t>
      </w:r>
      <w:r w:rsidRPr="00380B40">
        <w:rPr>
          <w:spacing w:val="-2"/>
          <w:lang w:val="en-GB"/>
        </w:rPr>
        <w:t xml:space="preserve"> </w:t>
      </w:r>
      <w:r w:rsidRPr="00380B40">
        <w:rPr>
          <w:lang w:val="en-GB"/>
        </w:rPr>
        <w:t xml:space="preserve">to </w:t>
      </w:r>
      <w:r w:rsidRPr="00380B40">
        <w:rPr>
          <w:spacing w:val="-1"/>
          <w:lang w:val="en-GB"/>
        </w:rPr>
        <w:t>assist</w:t>
      </w:r>
      <w:r w:rsidRPr="00380B40">
        <w:rPr>
          <w:spacing w:val="-2"/>
          <w:lang w:val="en-GB"/>
        </w:rPr>
        <w:t xml:space="preserve"> </w:t>
      </w:r>
      <w:r w:rsidRPr="00380B40">
        <w:rPr>
          <w:lang w:val="en-GB"/>
        </w:rPr>
        <w:t>the</w:t>
      </w:r>
      <w:r w:rsidRPr="00380B40">
        <w:rPr>
          <w:spacing w:val="-1"/>
          <w:lang w:val="en-GB"/>
        </w:rPr>
        <w:t xml:space="preserve"> </w:t>
      </w:r>
      <w:r w:rsidRPr="00380B40">
        <w:rPr>
          <w:lang w:val="en-GB"/>
        </w:rPr>
        <w:t>study</w:t>
      </w:r>
      <w:r w:rsidRPr="00380B40">
        <w:rPr>
          <w:spacing w:val="-5"/>
          <w:lang w:val="en-GB"/>
        </w:rPr>
        <w:t xml:space="preserve"> </w:t>
      </w:r>
      <w:r w:rsidRPr="00380B40">
        <w:rPr>
          <w:spacing w:val="-1"/>
          <w:lang w:val="en-GB"/>
        </w:rPr>
        <w:t>group</w:t>
      </w:r>
      <w:r w:rsidRPr="00380B40">
        <w:rPr>
          <w:spacing w:val="-3"/>
          <w:lang w:val="en-GB"/>
        </w:rPr>
        <w:t xml:space="preserve"> </w:t>
      </w:r>
      <w:r w:rsidRPr="00380B40">
        <w:rPr>
          <w:spacing w:val="1"/>
          <w:lang w:val="en-GB"/>
        </w:rPr>
        <w:t>or</w:t>
      </w:r>
      <w:r w:rsidRPr="00380B40">
        <w:rPr>
          <w:spacing w:val="-4"/>
          <w:lang w:val="en-GB"/>
        </w:rPr>
        <w:t xml:space="preserve"> </w:t>
      </w:r>
      <w:r w:rsidRPr="00380B40">
        <w:rPr>
          <w:lang w:val="en-GB"/>
        </w:rPr>
        <w:t>working</w:t>
      </w:r>
      <w:r w:rsidRPr="00380B40">
        <w:rPr>
          <w:spacing w:val="-3"/>
          <w:lang w:val="en-GB"/>
        </w:rPr>
        <w:t xml:space="preserve"> </w:t>
      </w:r>
      <w:r w:rsidRPr="00380B40">
        <w:rPr>
          <w:lang w:val="en-GB"/>
        </w:rPr>
        <w:t>party</w:t>
      </w:r>
      <w:r w:rsidRPr="00380B40">
        <w:rPr>
          <w:spacing w:val="-8"/>
          <w:lang w:val="en-GB"/>
        </w:rPr>
        <w:t xml:space="preserve"> </w:t>
      </w:r>
      <w:r w:rsidRPr="00380B40">
        <w:rPr>
          <w:lang w:val="en-GB"/>
        </w:rPr>
        <w:t>in developing</w:t>
      </w:r>
      <w:r w:rsidRPr="00380B40">
        <w:rPr>
          <w:spacing w:val="40"/>
          <w:lang w:val="en-GB"/>
        </w:rPr>
        <w:t xml:space="preserve"> </w:t>
      </w:r>
      <w:r w:rsidRPr="00380B40">
        <w:rPr>
          <w:spacing w:val="-1"/>
          <w:lang w:val="en-GB"/>
        </w:rPr>
        <w:t>new</w:t>
      </w:r>
      <w:r w:rsidRPr="00380B40">
        <w:rPr>
          <w:spacing w:val="-3"/>
          <w:lang w:val="en-GB"/>
        </w:rPr>
        <w:t xml:space="preserve"> </w:t>
      </w:r>
      <w:r w:rsidRPr="00380B40">
        <w:rPr>
          <w:spacing w:val="-1"/>
          <w:lang w:val="en-GB"/>
        </w:rPr>
        <w:t>and</w:t>
      </w:r>
      <w:r w:rsidRPr="00380B40">
        <w:rPr>
          <w:spacing w:val="-3"/>
          <w:lang w:val="en-GB"/>
        </w:rPr>
        <w:t xml:space="preserve"> </w:t>
      </w:r>
      <w:r w:rsidRPr="00380B40">
        <w:rPr>
          <w:lang w:val="en-GB"/>
        </w:rPr>
        <w:t>revised</w:t>
      </w:r>
      <w:r w:rsidRPr="00380B40">
        <w:rPr>
          <w:spacing w:val="-3"/>
          <w:lang w:val="en-GB"/>
        </w:rPr>
        <w:t xml:space="preserve"> </w:t>
      </w:r>
      <w:r w:rsidRPr="00380B40">
        <w:rPr>
          <w:spacing w:val="-1"/>
          <w:lang w:val="en-GB"/>
        </w:rPr>
        <w:t>Recommendations</w:t>
      </w:r>
      <w:r w:rsidRPr="00380B40">
        <w:rPr>
          <w:spacing w:val="-3"/>
          <w:lang w:val="en-GB"/>
        </w:rPr>
        <w:t xml:space="preserve"> </w:t>
      </w:r>
      <w:r w:rsidRPr="00380B40">
        <w:rPr>
          <w:lang w:val="en-GB"/>
        </w:rPr>
        <w:t>to</w:t>
      </w:r>
      <w:r w:rsidRPr="00380B40">
        <w:rPr>
          <w:spacing w:val="-2"/>
          <w:lang w:val="en-GB"/>
        </w:rPr>
        <w:t xml:space="preserve"> </w:t>
      </w:r>
      <w:r w:rsidRPr="00380B40">
        <w:rPr>
          <w:spacing w:val="-1"/>
          <w:lang w:val="en-GB"/>
        </w:rPr>
        <w:t>meet</w:t>
      </w:r>
      <w:r w:rsidRPr="00380B40">
        <w:rPr>
          <w:spacing w:val="-2"/>
          <w:lang w:val="en-GB"/>
        </w:rPr>
        <w:t xml:space="preserve"> </w:t>
      </w:r>
      <w:r w:rsidRPr="00380B40">
        <w:rPr>
          <w:spacing w:val="-1"/>
          <w:lang w:val="en-GB"/>
        </w:rPr>
        <w:t>changing</w:t>
      </w:r>
      <w:r w:rsidRPr="00380B40">
        <w:rPr>
          <w:spacing w:val="-5"/>
          <w:lang w:val="en-GB"/>
        </w:rPr>
        <w:t xml:space="preserve"> </w:t>
      </w:r>
      <w:r w:rsidRPr="00380B40">
        <w:rPr>
          <w:spacing w:val="-1"/>
          <w:lang w:val="en-GB"/>
        </w:rPr>
        <w:t>requirements</w:t>
      </w:r>
      <w:r w:rsidRPr="00380B40">
        <w:rPr>
          <w:spacing w:val="-3"/>
          <w:lang w:val="en-GB"/>
        </w:rPr>
        <w:t xml:space="preserve"> </w:t>
      </w:r>
      <w:r w:rsidRPr="00380B40">
        <w:rPr>
          <w:lang w:val="en-GB"/>
        </w:rPr>
        <w:t>in</w:t>
      </w:r>
      <w:r w:rsidRPr="00380B40">
        <w:rPr>
          <w:spacing w:val="-2"/>
          <w:lang w:val="en-GB"/>
        </w:rPr>
        <w:t xml:space="preserve"> </w:t>
      </w:r>
      <w:r w:rsidRPr="00380B40">
        <w:rPr>
          <w:spacing w:val="-1"/>
          <w:lang w:val="en-GB"/>
        </w:rPr>
        <w:t>telecommunication</w:t>
      </w:r>
      <w:r w:rsidRPr="00380B40">
        <w:rPr>
          <w:spacing w:val="-3"/>
          <w:lang w:val="en-GB"/>
        </w:rPr>
        <w:t xml:space="preserve"> </w:t>
      </w:r>
      <w:r w:rsidRPr="00380B40">
        <w:rPr>
          <w:spacing w:val="-1"/>
          <w:lang w:val="en-GB"/>
        </w:rPr>
        <w:t>techniques</w:t>
      </w:r>
      <w:r w:rsidRPr="00380B40">
        <w:rPr>
          <w:spacing w:val="119"/>
          <w:lang w:val="en-GB"/>
        </w:rPr>
        <w:t xml:space="preserve"> </w:t>
      </w:r>
      <w:r w:rsidRPr="00380B40">
        <w:rPr>
          <w:spacing w:val="-1"/>
          <w:lang w:val="en-GB"/>
        </w:rPr>
        <w:t>and</w:t>
      </w:r>
      <w:r w:rsidRPr="00380B40">
        <w:rPr>
          <w:spacing w:val="33"/>
          <w:lang w:val="en-GB"/>
        </w:rPr>
        <w:t xml:space="preserve"> </w:t>
      </w:r>
      <w:r w:rsidRPr="00380B40">
        <w:rPr>
          <w:spacing w:val="-1"/>
          <w:lang w:val="en-GB"/>
        </w:rPr>
        <w:t>services.</w:t>
      </w:r>
      <w:r w:rsidRPr="00380B40">
        <w:rPr>
          <w:spacing w:val="33"/>
          <w:lang w:val="en-GB"/>
        </w:rPr>
        <w:t xml:space="preserve"> </w:t>
      </w:r>
      <w:r w:rsidRPr="00380B40">
        <w:rPr>
          <w:lang w:val="en-GB"/>
        </w:rPr>
        <w:t>However,</w:t>
      </w:r>
      <w:r w:rsidRPr="00380B40">
        <w:rPr>
          <w:spacing w:val="35"/>
          <w:lang w:val="en-GB"/>
        </w:rPr>
        <w:t xml:space="preserve"> </w:t>
      </w:r>
      <w:r w:rsidRPr="00380B40">
        <w:rPr>
          <w:lang w:val="en-GB"/>
        </w:rPr>
        <w:t>it</w:t>
      </w:r>
      <w:r w:rsidRPr="00380B40">
        <w:rPr>
          <w:spacing w:val="34"/>
          <w:lang w:val="en-GB"/>
        </w:rPr>
        <w:t xml:space="preserve"> </w:t>
      </w:r>
      <w:r w:rsidRPr="00380B40">
        <w:rPr>
          <w:lang w:val="en-GB"/>
        </w:rPr>
        <w:t>must</w:t>
      </w:r>
      <w:r w:rsidRPr="00380B40">
        <w:rPr>
          <w:spacing w:val="34"/>
          <w:lang w:val="en-GB"/>
        </w:rPr>
        <w:t xml:space="preserve"> </w:t>
      </w:r>
      <w:r w:rsidRPr="00380B40">
        <w:rPr>
          <w:lang w:val="en-GB"/>
        </w:rPr>
        <w:t>be</w:t>
      </w:r>
      <w:r w:rsidRPr="00380B40">
        <w:rPr>
          <w:spacing w:val="32"/>
          <w:lang w:val="en-GB"/>
        </w:rPr>
        <w:t xml:space="preserve"> </w:t>
      </w:r>
      <w:r w:rsidRPr="00380B40">
        <w:rPr>
          <w:lang w:val="en-GB"/>
        </w:rPr>
        <w:t>clearly</w:t>
      </w:r>
      <w:r w:rsidRPr="00380B40">
        <w:rPr>
          <w:spacing w:val="28"/>
          <w:lang w:val="en-GB"/>
        </w:rPr>
        <w:t xml:space="preserve"> </w:t>
      </w:r>
      <w:r w:rsidRPr="00380B40">
        <w:rPr>
          <w:lang w:val="en-GB"/>
        </w:rPr>
        <w:t>understood</w:t>
      </w:r>
      <w:r w:rsidRPr="00380B40">
        <w:rPr>
          <w:spacing w:val="33"/>
          <w:lang w:val="en-GB"/>
        </w:rPr>
        <w:t xml:space="preserve"> </w:t>
      </w:r>
      <w:r w:rsidRPr="00380B40">
        <w:rPr>
          <w:lang w:val="en-GB"/>
        </w:rPr>
        <w:t>that</w:t>
      </w:r>
      <w:r w:rsidRPr="00380B40">
        <w:rPr>
          <w:spacing w:val="33"/>
          <w:lang w:val="en-GB"/>
        </w:rPr>
        <w:t xml:space="preserve"> </w:t>
      </w:r>
      <w:r w:rsidRPr="00380B40">
        <w:rPr>
          <w:spacing w:val="-1"/>
          <w:lang w:val="en-GB"/>
        </w:rPr>
        <w:t>rapporteurs</w:t>
      </w:r>
      <w:r w:rsidRPr="00380B40">
        <w:rPr>
          <w:spacing w:val="32"/>
          <w:lang w:val="en-GB"/>
        </w:rPr>
        <w:t xml:space="preserve"> </w:t>
      </w:r>
      <w:r w:rsidRPr="00380B40">
        <w:rPr>
          <w:lang w:val="en-GB"/>
        </w:rPr>
        <w:t>should</w:t>
      </w:r>
      <w:r w:rsidRPr="00380B40">
        <w:rPr>
          <w:spacing w:val="33"/>
          <w:lang w:val="en-GB"/>
        </w:rPr>
        <w:t xml:space="preserve"> </w:t>
      </w:r>
      <w:r w:rsidRPr="00380B40">
        <w:rPr>
          <w:lang w:val="en-GB"/>
        </w:rPr>
        <w:t>not</w:t>
      </w:r>
      <w:r w:rsidRPr="00380B40">
        <w:rPr>
          <w:spacing w:val="33"/>
          <w:lang w:val="en-GB"/>
        </w:rPr>
        <w:t xml:space="preserve"> </w:t>
      </w:r>
      <w:r w:rsidRPr="00380B40">
        <w:rPr>
          <w:spacing w:val="-1"/>
          <w:lang w:val="en-GB"/>
        </w:rPr>
        <w:t>feel</w:t>
      </w:r>
      <w:r w:rsidRPr="00380B40">
        <w:rPr>
          <w:spacing w:val="33"/>
          <w:lang w:val="en-GB"/>
        </w:rPr>
        <w:t xml:space="preserve"> </w:t>
      </w:r>
      <w:r w:rsidRPr="00380B40">
        <w:rPr>
          <w:lang w:val="en-GB"/>
        </w:rPr>
        <w:t>under</w:t>
      </w:r>
      <w:r w:rsidRPr="00380B40">
        <w:rPr>
          <w:spacing w:val="34"/>
          <w:lang w:val="en-GB"/>
        </w:rPr>
        <w:t xml:space="preserve"> </w:t>
      </w:r>
      <w:r w:rsidRPr="00380B40">
        <w:rPr>
          <w:lang w:val="en-GB"/>
        </w:rPr>
        <w:t>any</w:t>
      </w:r>
      <w:r w:rsidRPr="00380B40">
        <w:rPr>
          <w:spacing w:val="56"/>
          <w:lang w:val="en-GB"/>
        </w:rPr>
        <w:t xml:space="preserve"> </w:t>
      </w:r>
      <w:r w:rsidRPr="00380B40">
        <w:rPr>
          <w:spacing w:val="-1"/>
          <w:lang w:val="en-GB"/>
        </w:rPr>
        <w:t>obligation</w:t>
      </w:r>
      <w:r w:rsidRPr="00380B40">
        <w:rPr>
          <w:spacing w:val="-12"/>
          <w:lang w:val="en-GB"/>
        </w:rPr>
        <w:t xml:space="preserve"> </w:t>
      </w:r>
      <w:r w:rsidRPr="00380B40">
        <w:rPr>
          <w:lang w:val="en-GB"/>
        </w:rPr>
        <w:t>to</w:t>
      </w:r>
      <w:r w:rsidRPr="00380B40">
        <w:rPr>
          <w:spacing w:val="-12"/>
          <w:lang w:val="en-GB"/>
        </w:rPr>
        <w:t xml:space="preserve"> </w:t>
      </w:r>
      <w:r w:rsidRPr="00380B40">
        <w:rPr>
          <w:lang w:val="en-GB"/>
        </w:rPr>
        <w:t>produce</w:t>
      </w:r>
      <w:r w:rsidRPr="00380B40">
        <w:rPr>
          <w:spacing w:val="-11"/>
          <w:lang w:val="en-GB"/>
        </w:rPr>
        <w:t xml:space="preserve"> </w:t>
      </w:r>
      <w:r w:rsidRPr="00380B40">
        <w:rPr>
          <w:lang w:val="en-GB"/>
        </w:rPr>
        <w:t>such</w:t>
      </w:r>
      <w:r w:rsidRPr="00380B40">
        <w:rPr>
          <w:spacing w:val="-12"/>
          <w:lang w:val="en-GB"/>
        </w:rPr>
        <w:t xml:space="preserve"> </w:t>
      </w:r>
      <w:r w:rsidRPr="00380B40">
        <w:rPr>
          <w:lang w:val="en-GB"/>
        </w:rPr>
        <w:t>texts</w:t>
      </w:r>
      <w:r w:rsidRPr="00380B40">
        <w:rPr>
          <w:spacing w:val="-12"/>
          <w:lang w:val="en-GB"/>
        </w:rPr>
        <w:t xml:space="preserve"> </w:t>
      </w:r>
      <w:r w:rsidRPr="00380B40">
        <w:rPr>
          <w:lang w:val="en-GB"/>
        </w:rPr>
        <w:t>unless</w:t>
      </w:r>
      <w:r w:rsidRPr="00380B40">
        <w:rPr>
          <w:spacing w:val="-12"/>
          <w:lang w:val="en-GB"/>
        </w:rPr>
        <w:t xml:space="preserve"> </w:t>
      </w:r>
      <w:r w:rsidRPr="00380B40">
        <w:rPr>
          <w:lang w:val="en-GB"/>
        </w:rPr>
        <w:t>a</w:t>
      </w:r>
      <w:r w:rsidRPr="00380B40">
        <w:rPr>
          <w:spacing w:val="-13"/>
          <w:lang w:val="en-GB"/>
        </w:rPr>
        <w:t xml:space="preserve"> </w:t>
      </w:r>
      <w:r w:rsidRPr="00380B40">
        <w:rPr>
          <w:spacing w:val="-1"/>
          <w:lang w:val="en-GB"/>
        </w:rPr>
        <w:t>thorough</w:t>
      </w:r>
      <w:r w:rsidRPr="00380B40">
        <w:rPr>
          <w:spacing w:val="-8"/>
          <w:lang w:val="en-GB"/>
        </w:rPr>
        <w:t xml:space="preserve"> </w:t>
      </w:r>
      <w:r w:rsidRPr="00380B40">
        <w:rPr>
          <w:lang w:val="en-GB"/>
        </w:rPr>
        <w:t>study</w:t>
      </w:r>
      <w:r w:rsidRPr="00380B40">
        <w:rPr>
          <w:spacing w:val="-17"/>
          <w:lang w:val="en-GB"/>
        </w:rPr>
        <w:t xml:space="preserve"> </w:t>
      </w:r>
      <w:r w:rsidRPr="00380B40">
        <w:rPr>
          <w:lang w:val="en-GB"/>
        </w:rPr>
        <w:t>of</w:t>
      </w:r>
      <w:r w:rsidRPr="00380B40">
        <w:rPr>
          <w:spacing w:val="-11"/>
          <w:lang w:val="en-GB"/>
        </w:rPr>
        <w:t xml:space="preserve"> </w:t>
      </w:r>
      <w:r w:rsidRPr="00380B40">
        <w:rPr>
          <w:lang w:val="en-GB"/>
        </w:rPr>
        <w:t>the</w:t>
      </w:r>
      <w:r w:rsidRPr="00380B40">
        <w:rPr>
          <w:spacing w:val="-11"/>
          <w:lang w:val="en-GB"/>
        </w:rPr>
        <w:t xml:space="preserve"> </w:t>
      </w:r>
      <w:r w:rsidRPr="00380B40">
        <w:rPr>
          <w:spacing w:val="-1"/>
          <w:lang w:val="en-GB"/>
        </w:rPr>
        <w:t>Question</w:t>
      </w:r>
      <w:r w:rsidRPr="00380B40">
        <w:rPr>
          <w:spacing w:val="-12"/>
          <w:lang w:val="en-GB"/>
        </w:rPr>
        <w:t xml:space="preserve"> </w:t>
      </w:r>
      <w:r w:rsidRPr="00380B40">
        <w:rPr>
          <w:lang w:val="en-GB"/>
        </w:rPr>
        <w:t>reveals</w:t>
      </w:r>
      <w:r w:rsidRPr="00380B40">
        <w:rPr>
          <w:spacing w:val="-12"/>
          <w:lang w:val="en-GB"/>
        </w:rPr>
        <w:t xml:space="preserve"> </w:t>
      </w:r>
      <w:r w:rsidRPr="00380B40">
        <w:rPr>
          <w:lang w:val="en-GB"/>
        </w:rPr>
        <w:t>a</w:t>
      </w:r>
      <w:r w:rsidRPr="00380B40">
        <w:rPr>
          <w:spacing w:val="-11"/>
          <w:lang w:val="en-GB"/>
        </w:rPr>
        <w:t xml:space="preserve"> </w:t>
      </w:r>
      <w:r w:rsidRPr="00380B40">
        <w:rPr>
          <w:spacing w:val="-1"/>
          <w:lang w:val="en-GB"/>
        </w:rPr>
        <w:t>clear</w:t>
      </w:r>
      <w:r w:rsidRPr="00380B40">
        <w:rPr>
          <w:spacing w:val="-11"/>
          <w:lang w:val="en-GB"/>
        </w:rPr>
        <w:t xml:space="preserve"> </w:t>
      </w:r>
      <w:r w:rsidRPr="00380B40">
        <w:rPr>
          <w:spacing w:val="-1"/>
          <w:lang w:val="en-GB"/>
        </w:rPr>
        <w:t>need</w:t>
      </w:r>
      <w:r w:rsidRPr="00380B40">
        <w:rPr>
          <w:spacing w:val="-10"/>
          <w:lang w:val="en-GB"/>
        </w:rPr>
        <w:t xml:space="preserve"> </w:t>
      </w:r>
      <w:r w:rsidRPr="00380B40">
        <w:rPr>
          <w:lang w:val="en-GB"/>
        </w:rPr>
        <w:t>for</w:t>
      </w:r>
      <w:r w:rsidRPr="00380B40">
        <w:rPr>
          <w:spacing w:val="-12"/>
          <w:lang w:val="en-GB"/>
        </w:rPr>
        <w:t xml:space="preserve"> </w:t>
      </w:r>
      <w:r w:rsidRPr="00380B40">
        <w:rPr>
          <w:lang w:val="en-GB"/>
        </w:rPr>
        <w:t>them.</w:t>
      </w:r>
      <w:r w:rsidRPr="00380B40">
        <w:rPr>
          <w:spacing w:val="61"/>
          <w:lang w:val="en-GB"/>
        </w:rPr>
        <w:t xml:space="preserve"> </w:t>
      </w:r>
      <w:r w:rsidRPr="00380B40">
        <w:rPr>
          <w:spacing w:val="-2"/>
          <w:lang w:val="en-GB"/>
        </w:rPr>
        <w:t>If</w:t>
      </w:r>
      <w:r w:rsidRPr="00380B40">
        <w:rPr>
          <w:spacing w:val="-4"/>
          <w:lang w:val="en-GB"/>
        </w:rPr>
        <w:t xml:space="preserve"> </w:t>
      </w:r>
      <w:r w:rsidRPr="00380B40">
        <w:rPr>
          <w:lang w:val="en-GB"/>
        </w:rPr>
        <w:t>it</w:t>
      </w:r>
      <w:r w:rsidRPr="00380B40">
        <w:rPr>
          <w:spacing w:val="-5"/>
          <w:lang w:val="en-GB"/>
        </w:rPr>
        <w:t xml:space="preserve"> </w:t>
      </w:r>
      <w:r w:rsidRPr="00380B40">
        <w:rPr>
          <w:lang w:val="en-GB"/>
        </w:rPr>
        <w:t>turns</w:t>
      </w:r>
      <w:r w:rsidRPr="00380B40">
        <w:rPr>
          <w:spacing w:val="-5"/>
          <w:lang w:val="en-GB"/>
        </w:rPr>
        <w:t xml:space="preserve"> </w:t>
      </w:r>
      <w:r w:rsidRPr="00380B40">
        <w:rPr>
          <w:lang w:val="en-GB"/>
        </w:rPr>
        <w:t>out</w:t>
      </w:r>
      <w:r w:rsidRPr="00380B40">
        <w:rPr>
          <w:spacing w:val="-5"/>
          <w:lang w:val="en-GB"/>
        </w:rPr>
        <w:t xml:space="preserve"> </w:t>
      </w:r>
      <w:r w:rsidRPr="00380B40">
        <w:rPr>
          <w:lang w:val="en-GB"/>
        </w:rPr>
        <w:t>that</w:t>
      </w:r>
      <w:r w:rsidRPr="00380B40">
        <w:rPr>
          <w:spacing w:val="-5"/>
          <w:lang w:val="en-GB"/>
        </w:rPr>
        <w:t xml:space="preserve"> </w:t>
      </w:r>
      <w:r w:rsidRPr="00380B40">
        <w:rPr>
          <w:lang w:val="en-GB"/>
        </w:rPr>
        <w:t>this</w:t>
      </w:r>
      <w:r w:rsidRPr="00380B40">
        <w:rPr>
          <w:spacing w:val="-5"/>
          <w:lang w:val="en-GB"/>
        </w:rPr>
        <w:t xml:space="preserve"> </w:t>
      </w:r>
      <w:r w:rsidRPr="00380B40">
        <w:rPr>
          <w:lang w:val="en-GB"/>
        </w:rPr>
        <w:t>is</w:t>
      </w:r>
      <w:r w:rsidRPr="00380B40">
        <w:rPr>
          <w:spacing w:val="-5"/>
          <w:lang w:val="en-GB"/>
        </w:rPr>
        <w:t xml:space="preserve"> </w:t>
      </w:r>
      <w:r w:rsidRPr="00380B40">
        <w:rPr>
          <w:spacing w:val="-1"/>
          <w:lang w:val="en-GB"/>
        </w:rPr>
        <w:t>not</w:t>
      </w:r>
      <w:r w:rsidRPr="00380B40">
        <w:rPr>
          <w:spacing w:val="-5"/>
          <w:lang w:val="en-GB"/>
        </w:rPr>
        <w:t xml:space="preserve"> </w:t>
      </w:r>
      <w:r w:rsidRPr="00380B40">
        <w:rPr>
          <w:lang w:val="en-GB"/>
        </w:rPr>
        <w:t>the</w:t>
      </w:r>
      <w:r w:rsidRPr="00380B40">
        <w:rPr>
          <w:spacing w:val="-6"/>
          <w:lang w:val="en-GB"/>
        </w:rPr>
        <w:t xml:space="preserve"> </w:t>
      </w:r>
      <w:r w:rsidRPr="00380B40">
        <w:rPr>
          <w:spacing w:val="-1"/>
          <w:lang w:val="en-GB"/>
        </w:rPr>
        <w:t>case,</w:t>
      </w:r>
      <w:r w:rsidRPr="00380B40">
        <w:rPr>
          <w:spacing w:val="-5"/>
          <w:lang w:val="en-GB"/>
        </w:rPr>
        <w:t xml:space="preserve"> </w:t>
      </w:r>
      <w:r w:rsidRPr="00380B40">
        <w:rPr>
          <w:lang w:val="en-GB"/>
        </w:rPr>
        <w:t>the</w:t>
      </w:r>
      <w:r w:rsidRPr="00380B40">
        <w:rPr>
          <w:spacing w:val="-6"/>
          <w:lang w:val="en-GB"/>
        </w:rPr>
        <w:t xml:space="preserve"> </w:t>
      </w:r>
      <w:r w:rsidRPr="00380B40">
        <w:rPr>
          <w:spacing w:val="-1"/>
          <w:lang w:val="en-GB"/>
        </w:rPr>
        <w:t>work</w:t>
      </w:r>
      <w:r w:rsidRPr="00380B40">
        <w:rPr>
          <w:spacing w:val="-5"/>
          <w:lang w:val="en-GB"/>
        </w:rPr>
        <w:t xml:space="preserve"> </w:t>
      </w:r>
      <w:r w:rsidRPr="00380B40">
        <w:rPr>
          <w:lang w:val="en-GB"/>
        </w:rPr>
        <w:t>should</w:t>
      </w:r>
      <w:r w:rsidRPr="00380B40">
        <w:rPr>
          <w:spacing w:val="-5"/>
          <w:lang w:val="en-GB"/>
        </w:rPr>
        <w:t xml:space="preserve"> </w:t>
      </w:r>
      <w:r w:rsidRPr="00380B40">
        <w:rPr>
          <w:lang w:val="en-GB"/>
        </w:rPr>
        <w:t>be</w:t>
      </w:r>
      <w:r w:rsidRPr="00380B40">
        <w:rPr>
          <w:spacing w:val="-6"/>
          <w:lang w:val="en-GB"/>
        </w:rPr>
        <w:t xml:space="preserve"> </w:t>
      </w:r>
      <w:r w:rsidRPr="00380B40">
        <w:rPr>
          <w:spacing w:val="-1"/>
          <w:lang w:val="en-GB"/>
        </w:rPr>
        <w:t>concluded</w:t>
      </w:r>
      <w:r w:rsidRPr="00380B40">
        <w:rPr>
          <w:spacing w:val="-6"/>
          <w:lang w:val="en-GB"/>
        </w:rPr>
        <w:t xml:space="preserve"> </w:t>
      </w:r>
      <w:r w:rsidRPr="00380B40">
        <w:rPr>
          <w:lang w:val="en-GB"/>
        </w:rPr>
        <w:t>with</w:t>
      </w:r>
      <w:r w:rsidRPr="00380B40">
        <w:rPr>
          <w:spacing w:val="-5"/>
          <w:lang w:val="en-GB"/>
        </w:rPr>
        <w:t xml:space="preserve"> </w:t>
      </w:r>
      <w:r w:rsidRPr="00380B40">
        <w:rPr>
          <w:lang w:val="en-GB"/>
        </w:rPr>
        <w:t>a</w:t>
      </w:r>
      <w:r w:rsidRPr="00380B40">
        <w:rPr>
          <w:spacing w:val="-6"/>
          <w:lang w:val="en-GB"/>
        </w:rPr>
        <w:t xml:space="preserve"> </w:t>
      </w:r>
      <w:r w:rsidRPr="00380B40">
        <w:rPr>
          <w:lang w:val="en-GB"/>
        </w:rPr>
        <w:t>simple</w:t>
      </w:r>
      <w:r w:rsidRPr="00380B40">
        <w:rPr>
          <w:spacing w:val="-6"/>
          <w:lang w:val="en-GB"/>
        </w:rPr>
        <w:t xml:space="preserve"> </w:t>
      </w:r>
      <w:r w:rsidRPr="00380B40">
        <w:rPr>
          <w:spacing w:val="-1"/>
          <w:lang w:val="en-GB"/>
        </w:rPr>
        <w:t>report</w:t>
      </w:r>
      <w:r w:rsidRPr="00380B40">
        <w:rPr>
          <w:spacing w:val="-6"/>
          <w:lang w:val="en-GB"/>
        </w:rPr>
        <w:t xml:space="preserve"> </w:t>
      </w:r>
      <w:r w:rsidRPr="00380B40">
        <w:rPr>
          <w:lang w:val="en-GB"/>
        </w:rPr>
        <w:t>to</w:t>
      </w:r>
      <w:r w:rsidRPr="00380B40">
        <w:rPr>
          <w:spacing w:val="-5"/>
          <w:lang w:val="en-GB"/>
        </w:rPr>
        <w:t xml:space="preserve"> </w:t>
      </w:r>
      <w:r w:rsidRPr="00380B40">
        <w:rPr>
          <w:lang w:val="en-GB"/>
        </w:rPr>
        <w:t>the</w:t>
      </w:r>
      <w:r w:rsidRPr="00380B40">
        <w:rPr>
          <w:spacing w:val="-6"/>
          <w:lang w:val="en-GB"/>
        </w:rPr>
        <w:t xml:space="preserve"> </w:t>
      </w:r>
      <w:r w:rsidRPr="00380B40">
        <w:rPr>
          <w:spacing w:val="-1"/>
          <w:lang w:val="en-GB"/>
        </w:rPr>
        <w:t>parent</w:t>
      </w:r>
      <w:r w:rsidRPr="00380B40">
        <w:rPr>
          <w:spacing w:val="47"/>
          <w:lang w:val="en-GB"/>
        </w:rPr>
        <w:t xml:space="preserve"> </w:t>
      </w:r>
      <w:r w:rsidRPr="00380B40">
        <w:rPr>
          <w:spacing w:val="-1"/>
          <w:lang w:val="en-GB"/>
        </w:rPr>
        <w:t>group</w:t>
      </w:r>
      <w:r w:rsidRPr="00380B40">
        <w:rPr>
          <w:spacing w:val="1"/>
          <w:lang w:val="en-GB"/>
        </w:rPr>
        <w:t xml:space="preserve"> </w:t>
      </w:r>
      <w:r w:rsidRPr="00380B40">
        <w:rPr>
          <w:spacing w:val="-1"/>
          <w:lang w:val="en-GB"/>
        </w:rPr>
        <w:t>establishing</w:t>
      </w:r>
      <w:r w:rsidRPr="00380B40">
        <w:rPr>
          <w:spacing w:val="-2"/>
          <w:lang w:val="en-GB"/>
        </w:rPr>
        <w:t xml:space="preserve"> </w:t>
      </w:r>
      <w:r w:rsidRPr="00380B40">
        <w:rPr>
          <w:lang w:val="en-GB"/>
        </w:rPr>
        <w:t>that fact.</w:t>
      </w:r>
    </w:p>
    <w:p w14:paraId="18F23080" w14:textId="77777777" w:rsidR="00C12517" w:rsidRPr="00380B40" w:rsidRDefault="00C12517" w:rsidP="00C12517">
      <w:pPr>
        <w:rPr>
          <w:lang w:val="en-GB"/>
        </w:rPr>
      </w:pPr>
      <w:r w:rsidRPr="00380B40">
        <w:rPr>
          <w:b/>
          <w:bCs/>
          <w:lang w:val="en-GB"/>
        </w:rPr>
        <w:t>2.3.3.8</w:t>
      </w:r>
      <w:r w:rsidRPr="00380B40">
        <w:rPr>
          <w:lang w:val="en-GB"/>
        </w:rPr>
        <w:tab/>
        <w:t>Rapporteurs</w:t>
      </w:r>
      <w:r w:rsidRPr="00380B40">
        <w:rPr>
          <w:spacing w:val="16"/>
          <w:lang w:val="en-GB"/>
        </w:rPr>
        <w:t xml:space="preserve"> </w:t>
      </w:r>
      <w:r w:rsidRPr="00380B40">
        <w:rPr>
          <w:lang w:val="en-GB"/>
        </w:rPr>
        <w:t>are</w:t>
      </w:r>
      <w:r w:rsidRPr="00380B40">
        <w:rPr>
          <w:spacing w:val="14"/>
          <w:lang w:val="en-GB"/>
        </w:rPr>
        <w:t xml:space="preserve"> </w:t>
      </w:r>
      <w:r w:rsidRPr="00380B40">
        <w:rPr>
          <w:lang w:val="en-GB"/>
        </w:rPr>
        <w:t>responsible</w:t>
      </w:r>
      <w:r w:rsidRPr="00380B40">
        <w:rPr>
          <w:spacing w:val="13"/>
          <w:lang w:val="en-GB"/>
        </w:rPr>
        <w:t xml:space="preserve"> </w:t>
      </w:r>
      <w:r w:rsidRPr="00380B40">
        <w:rPr>
          <w:lang w:val="en-GB"/>
        </w:rPr>
        <w:t>for</w:t>
      </w:r>
      <w:r w:rsidRPr="00380B40">
        <w:rPr>
          <w:spacing w:val="14"/>
          <w:lang w:val="en-GB"/>
        </w:rPr>
        <w:t xml:space="preserve"> </w:t>
      </w:r>
      <w:r w:rsidRPr="00380B40">
        <w:rPr>
          <w:lang w:val="en-GB"/>
        </w:rPr>
        <w:t>the</w:t>
      </w:r>
      <w:r w:rsidRPr="00380B40">
        <w:rPr>
          <w:spacing w:val="13"/>
          <w:lang w:val="en-GB"/>
        </w:rPr>
        <w:t xml:space="preserve"> </w:t>
      </w:r>
      <w:r w:rsidRPr="00380B40">
        <w:rPr>
          <w:lang w:val="en-GB"/>
        </w:rPr>
        <w:t>quality</w:t>
      </w:r>
      <w:r w:rsidRPr="00380B40">
        <w:rPr>
          <w:spacing w:val="9"/>
          <w:lang w:val="en-GB"/>
        </w:rPr>
        <w:t xml:space="preserve"> </w:t>
      </w:r>
      <w:r w:rsidRPr="00380B40">
        <w:rPr>
          <w:lang w:val="en-GB"/>
        </w:rPr>
        <w:t>of</w:t>
      </w:r>
      <w:r w:rsidRPr="00380B40">
        <w:rPr>
          <w:spacing w:val="15"/>
          <w:lang w:val="en-GB"/>
        </w:rPr>
        <w:t xml:space="preserve"> </w:t>
      </w:r>
      <w:r w:rsidRPr="00380B40">
        <w:rPr>
          <w:lang w:val="en-GB"/>
        </w:rPr>
        <w:t>their</w:t>
      </w:r>
      <w:r w:rsidRPr="00380B40">
        <w:rPr>
          <w:spacing w:val="13"/>
          <w:lang w:val="en-GB"/>
        </w:rPr>
        <w:t xml:space="preserve"> </w:t>
      </w:r>
      <w:r w:rsidRPr="00380B40">
        <w:rPr>
          <w:lang w:val="en-GB"/>
        </w:rPr>
        <w:t>texts,</w:t>
      </w:r>
      <w:r w:rsidRPr="00380B40">
        <w:rPr>
          <w:spacing w:val="14"/>
          <w:lang w:val="en-GB"/>
        </w:rPr>
        <w:t xml:space="preserve"> </w:t>
      </w:r>
      <w:r w:rsidRPr="00380B40">
        <w:rPr>
          <w:lang w:val="en-GB"/>
        </w:rPr>
        <w:t>submitted</w:t>
      </w:r>
      <w:r w:rsidRPr="00380B40">
        <w:rPr>
          <w:spacing w:val="13"/>
          <w:lang w:val="en-GB"/>
        </w:rPr>
        <w:t xml:space="preserve"> </w:t>
      </w:r>
      <w:r w:rsidRPr="00380B40">
        <w:rPr>
          <w:spacing w:val="1"/>
          <w:lang w:val="en-GB"/>
        </w:rPr>
        <w:t>by</w:t>
      </w:r>
      <w:r w:rsidRPr="00380B40">
        <w:rPr>
          <w:spacing w:val="9"/>
          <w:lang w:val="en-GB"/>
        </w:rPr>
        <w:t xml:space="preserve"> </w:t>
      </w:r>
      <w:r w:rsidRPr="00380B40">
        <w:rPr>
          <w:lang w:val="en-GB"/>
        </w:rPr>
        <w:t>the</w:t>
      </w:r>
      <w:r w:rsidRPr="00380B40">
        <w:rPr>
          <w:spacing w:val="15"/>
          <w:lang w:val="en-GB"/>
        </w:rPr>
        <w:t xml:space="preserve"> </w:t>
      </w:r>
      <w:r w:rsidRPr="00380B40">
        <w:rPr>
          <w:lang w:val="en-GB"/>
        </w:rPr>
        <w:t>study</w:t>
      </w:r>
      <w:r w:rsidRPr="00380B40">
        <w:rPr>
          <w:spacing w:val="11"/>
          <w:lang w:val="en-GB"/>
        </w:rPr>
        <w:t xml:space="preserve"> </w:t>
      </w:r>
      <w:r w:rsidRPr="00380B40">
        <w:rPr>
          <w:lang w:val="en-GB"/>
        </w:rPr>
        <w:t>group</w:t>
      </w:r>
      <w:r w:rsidRPr="00380B40">
        <w:rPr>
          <w:spacing w:val="13"/>
          <w:lang w:val="en-GB"/>
        </w:rPr>
        <w:t xml:space="preserve"> </w:t>
      </w:r>
      <w:r w:rsidRPr="00380B40">
        <w:rPr>
          <w:lang w:val="en-GB"/>
        </w:rPr>
        <w:t>for</w:t>
      </w:r>
      <w:r w:rsidRPr="00380B40">
        <w:rPr>
          <w:spacing w:val="40"/>
          <w:lang w:val="en-GB"/>
        </w:rPr>
        <w:t xml:space="preserve"> </w:t>
      </w:r>
      <w:r w:rsidRPr="00380B40">
        <w:rPr>
          <w:lang w:val="en-GB"/>
        </w:rPr>
        <w:t>publication.</w:t>
      </w:r>
      <w:r w:rsidRPr="00380B40">
        <w:rPr>
          <w:spacing w:val="9"/>
          <w:lang w:val="en-GB"/>
        </w:rPr>
        <w:t xml:space="preserve"> </w:t>
      </w:r>
      <w:r w:rsidRPr="00380B40">
        <w:rPr>
          <w:lang w:val="en-GB"/>
        </w:rPr>
        <w:t>They</w:t>
      </w:r>
      <w:r w:rsidRPr="00380B40">
        <w:rPr>
          <w:spacing w:val="4"/>
          <w:lang w:val="en-GB"/>
        </w:rPr>
        <w:t xml:space="preserve"> </w:t>
      </w:r>
      <w:r w:rsidRPr="00380B40">
        <w:rPr>
          <w:lang w:val="en-GB"/>
        </w:rPr>
        <w:t>shall</w:t>
      </w:r>
      <w:r w:rsidRPr="00380B40">
        <w:rPr>
          <w:spacing w:val="10"/>
          <w:lang w:val="en-GB"/>
        </w:rPr>
        <w:t xml:space="preserve"> </w:t>
      </w:r>
      <w:r w:rsidRPr="00380B40">
        <w:rPr>
          <w:lang w:val="en-GB"/>
        </w:rPr>
        <w:t>be</w:t>
      </w:r>
      <w:r w:rsidRPr="00380B40">
        <w:rPr>
          <w:spacing w:val="8"/>
          <w:lang w:val="en-GB"/>
        </w:rPr>
        <w:t xml:space="preserve"> </w:t>
      </w:r>
      <w:r w:rsidRPr="00380B40">
        <w:rPr>
          <w:lang w:val="en-GB"/>
        </w:rPr>
        <w:t>involved</w:t>
      </w:r>
      <w:r w:rsidRPr="00380B40">
        <w:rPr>
          <w:spacing w:val="9"/>
          <w:lang w:val="en-GB"/>
        </w:rPr>
        <w:t xml:space="preserve"> </w:t>
      </w:r>
      <w:r w:rsidRPr="00380B40">
        <w:rPr>
          <w:lang w:val="en-GB"/>
        </w:rPr>
        <w:t>in</w:t>
      </w:r>
      <w:r w:rsidRPr="00380B40">
        <w:rPr>
          <w:spacing w:val="9"/>
          <w:lang w:val="en-GB"/>
        </w:rPr>
        <w:t xml:space="preserve"> </w:t>
      </w:r>
      <w:r w:rsidRPr="00380B40">
        <w:rPr>
          <w:lang w:val="en-GB"/>
        </w:rPr>
        <w:t>the</w:t>
      </w:r>
      <w:r w:rsidRPr="00380B40">
        <w:rPr>
          <w:spacing w:val="8"/>
          <w:lang w:val="en-GB"/>
        </w:rPr>
        <w:t xml:space="preserve"> </w:t>
      </w:r>
      <w:r w:rsidRPr="00380B40">
        <w:rPr>
          <w:lang w:val="en-GB"/>
        </w:rPr>
        <w:t>final</w:t>
      </w:r>
      <w:r w:rsidRPr="00380B40">
        <w:rPr>
          <w:spacing w:val="9"/>
          <w:lang w:val="en-GB"/>
        </w:rPr>
        <w:t xml:space="preserve"> </w:t>
      </w:r>
      <w:r w:rsidRPr="00380B40">
        <w:rPr>
          <w:lang w:val="en-GB"/>
        </w:rPr>
        <w:t>review</w:t>
      </w:r>
      <w:r w:rsidRPr="00380B40">
        <w:rPr>
          <w:spacing w:val="8"/>
          <w:lang w:val="en-GB"/>
        </w:rPr>
        <w:t xml:space="preserve"> </w:t>
      </w:r>
      <w:r w:rsidRPr="00380B40">
        <w:rPr>
          <w:lang w:val="en-GB"/>
        </w:rPr>
        <w:t>of</w:t>
      </w:r>
      <w:r w:rsidRPr="00380B40">
        <w:rPr>
          <w:spacing w:val="8"/>
          <w:lang w:val="en-GB"/>
        </w:rPr>
        <w:t xml:space="preserve"> </w:t>
      </w:r>
      <w:r w:rsidRPr="00380B40">
        <w:rPr>
          <w:lang w:val="en-GB"/>
        </w:rPr>
        <w:t>that</w:t>
      </w:r>
      <w:r w:rsidRPr="00380B40">
        <w:rPr>
          <w:spacing w:val="9"/>
          <w:lang w:val="en-GB"/>
        </w:rPr>
        <w:t xml:space="preserve"> </w:t>
      </w:r>
      <w:r w:rsidRPr="00380B40">
        <w:rPr>
          <w:lang w:val="en-GB"/>
        </w:rPr>
        <w:t>text</w:t>
      </w:r>
      <w:r w:rsidRPr="00380B40">
        <w:rPr>
          <w:spacing w:val="9"/>
          <w:lang w:val="en-GB"/>
        </w:rPr>
        <w:t xml:space="preserve"> </w:t>
      </w:r>
      <w:r w:rsidRPr="00380B40">
        <w:rPr>
          <w:lang w:val="en-GB"/>
        </w:rPr>
        <w:t>prior</w:t>
      </w:r>
      <w:r w:rsidRPr="00380B40">
        <w:rPr>
          <w:spacing w:val="8"/>
          <w:lang w:val="en-GB"/>
        </w:rPr>
        <w:t xml:space="preserve"> </w:t>
      </w:r>
      <w:r w:rsidRPr="00380B40">
        <w:rPr>
          <w:lang w:val="en-GB"/>
        </w:rPr>
        <w:t>to</w:t>
      </w:r>
      <w:r w:rsidRPr="00380B40">
        <w:rPr>
          <w:spacing w:val="7"/>
          <w:lang w:val="en-GB"/>
        </w:rPr>
        <w:t xml:space="preserve"> </w:t>
      </w:r>
      <w:r w:rsidRPr="00380B40">
        <w:rPr>
          <w:lang w:val="en-GB"/>
        </w:rPr>
        <w:t>it</w:t>
      </w:r>
      <w:r w:rsidRPr="00380B40">
        <w:rPr>
          <w:spacing w:val="17"/>
          <w:lang w:val="en-GB"/>
        </w:rPr>
        <w:t xml:space="preserve"> </w:t>
      </w:r>
      <w:r w:rsidRPr="00380B40">
        <w:rPr>
          <w:lang w:val="en-GB"/>
        </w:rPr>
        <w:t>being</w:t>
      </w:r>
      <w:r w:rsidRPr="00380B40">
        <w:rPr>
          <w:spacing w:val="7"/>
          <w:lang w:val="en-GB"/>
        </w:rPr>
        <w:t xml:space="preserve"> </w:t>
      </w:r>
      <w:r w:rsidRPr="00380B40">
        <w:rPr>
          <w:lang w:val="en-GB"/>
        </w:rPr>
        <w:t>submitted</w:t>
      </w:r>
      <w:r w:rsidRPr="00380B40">
        <w:rPr>
          <w:spacing w:val="8"/>
          <w:lang w:val="en-GB"/>
        </w:rPr>
        <w:t xml:space="preserve"> </w:t>
      </w:r>
      <w:r w:rsidRPr="00380B40">
        <w:rPr>
          <w:lang w:val="en-GB"/>
        </w:rPr>
        <w:t>to</w:t>
      </w:r>
      <w:r w:rsidRPr="00380B40">
        <w:rPr>
          <w:spacing w:val="9"/>
          <w:lang w:val="en-GB"/>
        </w:rPr>
        <w:t xml:space="preserve"> </w:t>
      </w:r>
      <w:r w:rsidRPr="00380B40">
        <w:rPr>
          <w:lang w:val="en-GB"/>
        </w:rPr>
        <w:t>the publication</w:t>
      </w:r>
      <w:r w:rsidRPr="00380B40">
        <w:rPr>
          <w:spacing w:val="2"/>
          <w:lang w:val="en-GB"/>
        </w:rPr>
        <w:t xml:space="preserve"> </w:t>
      </w:r>
      <w:r w:rsidRPr="00380B40">
        <w:rPr>
          <w:lang w:val="en-GB"/>
        </w:rPr>
        <w:t>process.</w:t>
      </w:r>
      <w:r w:rsidRPr="00380B40">
        <w:rPr>
          <w:spacing w:val="2"/>
          <w:lang w:val="en-GB"/>
        </w:rPr>
        <w:t xml:space="preserve"> </w:t>
      </w:r>
      <w:r w:rsidRPr="00380B40">
        <w:rPr>
          <w:lang w:val="en-GB"/>
        </w:rPr>
        <w:t>This</w:t>
      </w:r>
      <w:r w:rsidRPr="00380B40">
        <w:rPr>
          <w:spacing w:val="2"/>
          <w:lang w:val="en-GB"/>
        </w:rPr>
        <w:t xml:space="preserve"> </w:t>
      </w:r>
      <w:r w:rsidRPr="00380B40">
        <w:rPr>
          <w:lang w:val="en-GB"/>
        </w:rPr>
        <w:t>responsibility</w:t>
      </w:r>
      <w:r w:rsidRPr="00380B40">
        <w:rPr>
          <w:spacing w:val="-6"/>
          <w:lang w:val="en-GB"/>
        </w:rPr>
        <w:t xml:space="preserve"> </w:t>
      </w:r>
      <w:r w:rsidRPr="00380B40">
        <w:rPr>
          <w:lang w:val="en-GB"/>
        </w:rPr>
        <w:t>extends</w:t>
      </w:r>
      <w:r w:rsidRPr="00380B40">
        <w:rPr>
          <w:spacing w:val="1"/>
          <w:lang w:val="en-GB"/>
        </w:rPr>
        <w:t xml:space="preserve"> </w:t>
      </w:r>
      <w:r w:rsidRPr="00380B40">
        <w:rPr>
          <w:lang w:val="en-GB"/>
        </w:rPr>
        <w:t>only</w:t>
      </w:r>
      <w:r w:rsidRPr="00380B40">
        <w:rPr>
          <w:spacing w:val="-6"/>
          <w:lang w:val="en-GB"/>
        </w:rPr>
        <w:t xml:space="preserve"> </w:t>
      </w:r>
      <w:r w:rsidRPr="00380B40">
        <w:rPr>
          <w:lang w:val="en-GB"/>
        </w:rPr>
        <w:t>to</w:t>
      </w:r>
      <w:r w:rsidRPr="00380B40">
        <w:rPr>
          <w:spacing w:val="2"/>
          <w:lang w:val="en-GB"/>
        </w:rPr>
        <w:t xml:space="preserve"> </w:t>
      </w:r>
      <w:r w:rsidRPr="00380B40">
        <w:rPr>
          <w:lang w:val="en-GB"/>
        </w:rPr>
        <w:t>text</w:t>
      </w:r>
      <w:r w:rsidRPr="00380B40">
        <w:rPr>
          <w:spacing w:val="2"/>
          <w:lang w:val="en-GB"/>
        </w:rPr>
        <w:t xml:space="preserve"> </w:t>
      </w:r>
      <w:r w:rsidRPr="00380B40">
        <w:rPr>
          <w:lang w:val="en-GB"/>
        </w:rPr>
        <w:t>in</w:t>
      </w:r>
      <w:r w:rsidRPr="00380B40">
        <w:rPr>
          <w:spacing w:val="2"/>
          <w:lang w:val="en-GB"/>
        </w:rPr>
        <w:t xml:space="preserve"> </w:t>
      </w:r>
      <w:r w:rsidRPr="00380B40">
        <w:rPr>
          <w:lang w:val="en-GB"/>
        </w:rPr>
        <w:t>the</w:t>
      </w:r>
      <w:r w:rsidRPr="00380B40">
        <w:rPr>
          <w:spacing w:val="1"/>
          <w:lang w:val="en-GB"/>
        </w:rPr>
        <w:t xml:space="preserve"> </w:t>
      </w:r>
      <w:r w:rsidRPr="00380B40">
        <w:rPr>
          <w:lang w:val="en-GB"/>
        </w:rPr>
        <w:t>original language</w:t>
      </w:r>
      <w:r w:rsidRPr="00380B40">
        <w:rPr>
          <w:spacing w:val="1"/>
          <w:lang w:val="en-GB"/>
        </w:rPr>
        <w:t xml:space="preserve"> </w:t>
      </w:r>
      <w:r w:rsidRPr="00380B40">
        <w:rPr>
          <w:lang w:val="en-GB"/>
        </w:rPr>
        <w:t>and</w:t>
      </w:r>
      <w:r w:rsidRPr="00380B40">
        <w:rPr>
          <w:spacing w:val="2"/>
          <w:lang w:val="en-GB"/>
        </w:rPr>
        <w:t xml:space="preserve"> </w:t>
      </w:r>
      <w:r w:rsidRPr="00380B40">
        <w:rPr>
          <w:lang w:val="en-GB"/>
        </w:rPr>
        <w:t>should</w:t>
      </w:r>
      <w:r w:rsidRPr="00380B40">
        <w:rPr>
          <w:spacing w:val="2"/>
          <w:lang w:val="en-GB"/>
        </w:rPr>
        <w:t xml:space="preserve"> </w:t>
      </w:r>
      <w:r w:rsidRPr="00380B40">
        <w:rPr>
          <w:lang w:val="en-GB"/>
        </w:rPr>
        <w:t>take</w:t>
      </w:r>
      <w:r w:rsidRPr="00380B40">
        <w:rPr>
          <w:spacing w:val="63"/>
          <w:lang w:val="en-GB"/>
        </w:rPr>
        <w:t xml:space="preserve"> </w:t>
      </w:r>
      <w:r w:rsidRPr="00380B40">
        <w:rPr>
          <w:lang w:val="en-GB"/>
        </w:rPr>
        <w:t>into</w:t>
      </w:r>
      <w:r w:rsidRPr="00380B40">
        <w:rPr>
          <w:spacing w:val="23"/>
          <w:lang w:val="en-GB"/>
        </w:rPr>
        <w:t xml:space="preserve"> </w:t>
      </w:r>
      <w:r w:rsidRPr="00380B40">
        <w:rPr>
          <w:lang w:val="en-GB"/>
        </w:rPr>
        <w:t>account</w:t>
      </w:r>
      <w:r w:rsidRPr="00380B40">
        <w:rPr>
          <w:spacing w:val="24"/>
          <w:lang w:val="en-GB"/>
        </w:rPr>
        <w:t xml:space="preserve"> </w:t>
      </w:r>
      <w:r w:rsidRPr="00380B40">
        <w:rPr>
          <w:lang w:val="en-GB"/>
        </w:rPr>
        <w:t>applicable</w:t>
      </w:r>
      <w:r w:rsidRPr="00380B40">
        <w:rPr>
          <w:spacing w:val="23"/>
          <w:lang w:val="en-GB"/>
        </w:rPr>
        <w:t xml:space="preserve"> </w:t>
      </w:r>
      <w:r w:rsidRPr="00380B40">
        <w:rPr>
          <w:lang w:val="en-GB"/>
        </w:rPr>
        <w:t>time</w:t>
      </w:r>
      <w:r w:rsidRPr="00380B40">
        <w:rPr>
          <w:spacing w:val="23"/>
          <w:lang w:val="en-GB"/>
        </w:rPr>
        <w:t xml:space="preserve"> </w:t>
      </w:r>
      <w:r w:rsidRPr="00380B40">
        <w:rPr>
          <w:lang w:val="en-GB"/>
        </w:rPr>
        <w:t>constraints.</w:t>
      </w:r>
      <w:r w:rsidRPr="00380B40">
        <w:rPr>
          <w:spacing w:val="24"/>
          <w:lang w:val="en-GB"/>
        </w:rPr>
        <w:t xml:space="preserve"> </w:t>
      </w:r>
      <w:r w:rsidRPr="00380B40">
        <w:rPr>
          <w:lang w:val="en-GB"/>
        </w:rPr>
        <w:t>(See</w:t>
      </w:r>
      <w:r w:rsidRPr="00380B40">
        <w:rPr>
          <w:spacing w:val="22"/>
          <w:lang w:val="en-GB"/>
        </w:rPr>
        <w:t xml:space="preserve"> </w:t>
      </w:r>
      <w:r w:rsidRPr="00380B40">
        <w:rPr>
          <w:lang w:val="en-GB"/>
        </w:rPr>
        <w:t>[</w:t>
      </w:r>
      <w:r w:rsidRPr="00380B40">
        <w:rPr>
          <w:spacing w:val="-2"/>
          <w:lang w:val="en-GB"/>
        </w:rPr>
        <w:t>ITU</w:t>
      </w:r>
      <w:r w:rsidRPr="00380B40">
        <w:rPr>
          <w:spacing w:val="-2"/>
          <w:lang w:val="en-GB"/>
        </w:rPr>
        <w:noBreakHyphen/>
        <w:t>T</w:t>
      </w:r>
      <w:r w:rsidRPr="00380B40">
        <w:rPr>
          <w:spacing w:val="23"/>
          <w:lang w:val="en-GB"/>
        </w:rPr>
        <w:t> </w:t>
      </w:r>
      <w:r w:rsidRPr="00380B40">
        <w:rPr>
          <w:lang w:val="en-GB"/>
        </w:rPr>
        <w:t>A.11]</w:t>
      </w:r>
      <w:r w:rsidRPr="00380B40">
        <w:rPr>
          <w:spacing w:val="23"/>
          <w:lang w:val="en-GB"/>
        </w:rPr>
        <w:t xml:space="preserve"> </w:t>
      </w:r>
      <w:r w:rsidRPr="00380B40">
        <w:rPr>
          <w:lang w:val="en-GB"/>
        </w:rPr>
        <w:t>on</w:t>
      </w:r>
      <w:r w:rsidRPr="00380B40">
        <w:rPr>
          <w:spacing w:val="23"/>
          <w:lang w:val="en-GB"/>
        </w:rPr>
        <w:t xml:space="preserve"> </w:t>
      </w:r>
      <w:r w:rsidRPr="00380B40">
        <w:rPr>
          <w:lang w:val="en-GB"/>
        </w:rPr>
        <w:t>the</w:t>
      </w:r>
      <w:r w:rsidRPr="00380B40">
        <w:rPr>
          <w:spacing w:val="23"/>
          <w:lang w:val="en-GB"/>
        </w:rPr>
        <w:t xml:space="preserve"> </w:t>
      </w:r>
      <w:r w:rsidRPr="00380B40">
        <w:rPr>
          <w:lang w:val="en-GB"/>
        </w:rPr>
        <w:t>publication</w:t>
      </w:r>
      <w:r w:rsidRPr="00380B40">
        <w:rPr>
          <w:spacing w:val="23"/>
          <w:lang w:val="en-GB"/>
        </w:rPr>
        <w:t xml:space="preserve"> </w:t>
      </w:r>
      <w:r w:rsidRPr="00380B40">
        <w:rPr>
          <w:lang w:val="en-GB"/>
        </w:rPr>
        <w:t>of</w:t>
      </w:r>
      <w:r w:rsidRPr="00380B40">
        <w:rPr>
          <w:spacing w:val="95"/>
          <w:lang w:val="en-GB"/>
        </w:rPr>
        <w:t xml:space="preserve"> </w:t>
      </w:r>
      <w:r w:rsidRPr="00380B40">
        <w:rPr>
          <w:lang w:val="en-GB"/>
        </w:rPr>
        <w:t>ITU</w:t>
      </w:r>
      <w:r w:rsidRPr="00380B40">
        <w:rPr>
          <w:lang w:val="en-GB"/>
        </w:rPr>
        <w:noBreakHyphen/>
        <w:t>T Recommendations.)</w:t>
      </w:r>
    </w:p>
    <w:p w14:paraId="1E3B647D" w14:textId="77777777" w:rsidR="00C12517" w:rsidRPr="00380B40" w:rsidRDefault="00C12517" w:rsidP="00C12517">
      <w:pPr>
        <w:rPr>
          <w:lang w:val="en-GB"/>
        </w:rPr>
      </w:pPr>
      <w:r w:rsidRPr="00380B40">
        <w:rPr>
          <w:b/>
          <w:bCs/>
          <w:lang w:val="en-GB"/>
        </w:rPr>
        <w:t>2.3.3.9</w:t>
      </w:r>
      <w:r w:rsidRPr="00380B40">
        <w:rPr>
          <w:lang w:val="en-GB"/>
        </w:rPr>
        <w:tab/>
        <w:t>Rapporteurs</w:t>
      </w:r>
      <w:r w:rsidRPr="00380B40">
        <w:rPr>
          <w:spacing w:val="4"/>
          <w:lang w:val="en-GB"/>
        </w:rPr>
        <w:t xml:space="preserve"> </w:t>
      </w:r>
      <w:r w:rsidRPr="00380B40">
        <w:rPr>
          <w:lang w:val="en-GB"/>
        </w:rPr>
        <w:t>should</w:t>
      </w:r>
      <w:r w:rsidRPr="00380B40">
        <w:rPr>
          <w:spacing w:val="4"/>
          <w:lang w:val="en-GB"/>
        </w:rPr>
        <w:t xml:space="preserve"> </w:t>
      </w:r>
      <w:r w:rsidRPr="00380B40">
        <w:rPr>
          <w:lang w:val="en-GB"/>
        </w:rPr>
        <w:t>normally base</w:t>
      </w:r>
      <w:r w:rsidRPr="00380B40">
        <w:rPr>
          <w:spacing w:val="3"/>
          <w:lang w:val="en-GB"/>
        </w:rPr>
        <w:t xml:space="preserve"> </w:t>
      </w:r>
      <w:r w:rsidRPr="00380B40">
        <w:rPr>
          <w:spacing w:val="1"/>
          <w:lang w:val="en-GB"/>
        </w:rPr>
        <w:t>any</w:t>
      </w:r>
      <w:r w:rsidRPr="00380B40">
        <w:rPr>
          <w:lang w:val="en-GB"/>
        </w:rPr>
        <w:t xml:space="preserve"> draft</w:t>
      </w:r>
      <w:r w:rsidRPr="00380B40">
        <w:rPr>
          <w:spacing w:val="4"/>
          <w:lang w:val="en-GB"/>
        </w:rPr>
        <w:t xml:space="preserve"> </w:t>
      </w:r>
      <w:r w:rsidRPr="00380B40">
        <w:rPr>
          <w:lang w:val="en-GB"/>
        </w:rPr>
        <w:t>new</w:t>
      </w:r>
      <w:r w:rsidRPr="00380B40">
        <w:rPr>
          <w:spacing w:val="4"/>
          <w:lang w:val="en-GB"/>
        </w:rPr>
        <w:t xml:space="preserve"> </w:t>
      </w:r>
      <w:r w:rsidRPr="00380B40">
        <w:rPr>
          <w:spacing w:val="1"/>
          <w:lang w:val="en-GB"/>
        </w:rPr>
        <w:t>or</w:t>
      </w:r>
      <w:r w:rsidRPr="00380B40">
        <w:rPr>
          <w:spacing w:val="3"/>
          <w:lang w:val="en-GB"/>
        </w:rPr>
        <w:t xml:space="preserve"> </w:t>
      </w:r>
      <w:r w:rsidRPr="00380B40">
        <w:rPr>
          <w:lang w:val="en-GB"/>
        </w:rPr>
        <w:t>substantially revised</w:t>
      </w:r>
      <w:r w:rsidRPr="00380B40">
        <w:rPr>
          <w:spacing w:val="4"/>
          <w:lang w:val="en-GB"/>
        </w:rPr>
        <w:t xml:space="preserve"> </w:t>
      </w:r>
      <w:r w:rsidRPr="00380B40">
        <w:rPr>
          <w:lang w:val="en-GB"/>
        </w:rPr>
        <w:t>Recommendations</w:t>
      </w:r>
      <w:r w:rsidRPr="00380B40">
        <w:rPr>
          <w:spacing w:val="68"/>
          <w:lang w:val="en-GB"/>
        </w:rPr>
        <w:t xml:space="preserve"> </w:t>
      </w:r>
      <w:r w:rsidRPr="00380B40">
        <w:rPr>
          <w:lang w:val="en-GB"/>
        </w:rPr>
        <w:t>on written contribution(s) from</w:t>
      </w:r>
      <w:r w:rsidRPr="00380B40">
        <w:rPr>
          <w:spacing w:val="2"/>
          <w:lang w:val="en-GB"/>
        </w:rPr>
        <w:t xml:space="preserve"> </w:t>
      </w:r>
      <w:r w:rsidRPr="00380B40">
        <w:rPr>
          <w:lang w:val="en-GB"/>
        </w:rPr>
        <w:t>ITU</w:t>
      </w:r>
      <w:r w:rsidRPr="00380B40">
        <w:rPr>
          <w:lang w:val="en-GB"/>
        </w:rPr>
        <w:noBreakHyphen/>
        <w:t>T members (see also clause 1.4.7).</w:t>
      </w:r>
    </w:p>
    <w:p w14:paraId="678AC3EA" w14:textId="77777777" w:rsidR="00C12517" w:rsidRPr="00380B40" w:rsidRDefault="00C12517" w:rsidP="00C12517">
      <w:pPr>
        <w:tabs>
          <w:tab w:val="clear" w:pos="794"/>
          <w:tab w:val="clear" w:pos="1191"/>
          <w:tab w:val="left" w:pos="868"/>
        </w:tabs>
        <w:rPr>
          <w:lang w:val="en-GB"/>
        </w:rPr>
      </w:pPr>
      <w:r w:rsidRPr="00380B40">
        <w:rPr>
          <w:b/>
          <w:bCs/>
          <w:lang w:val="en-GB"/>
        </w:rPr>
        <w:t>2.3.3.10</w:t>
      </w:r>
      <w:r w:rsidRPr="00380B40">
        <w:rPr>
          <w:b/>
          <w:bCs/>
          <w:lang w:val="en-GB"/>
        </w:rPr>
        <w:tab/>
      </w:r>
      <w:r w:rsidRPr="00380B40">
        <w:rPr>
          <w:spacing w:val="-2"/>
          <w:lang w:val="en-GB"/>
        </w:rPr>
        <w:t>In</w:t>
      </w:r>
      <w:r w:rsidRPr="00380B40">
        <w:rPr>
          <w:spacing w:val="21"/>
          <w:lang w:val="en-GB"/>
        </w:rPr>
        <w:t xml:space="preserve"> </w:t>
      </w:r>
      <w:r w:rsidRPr="00380B40">
        <w:rPr>
          <w:lang w:val="en-GB"/>
        </w:rPr>
        <w:t>conjunction</w:t>
      </w:r>
      <w:r w:rsidRPr="00380B40">
        <w:rPr>
          <w:spacing w:val="21"/>
          <w:lang w:val="en-GB"/>
        </w:rPr>
        <w:t xml:space="preserve"> </w:t>
      </w:r>
      <w:r w:rsidRPr="00380B40">
        <w:rPr>
          <w:lang w:val="en-GB"/>
        </w:rPr>
        <w:t>with</w:t>
      </w:r>
      <w:r w:rsidRPr="00380B40">
        <w:rPr>
          <w:spacing w:val="19"/>
          <w:lang w:val="en-GB"/>
        </w:rPr>
        <w:t xml:space="preserve"> </w:t>
      </w:r>
      <w:r w:rsidRPr="00380B40">
        <w:rPr>
          <w:lang w:val="en-GB"/>
        </w:rPr>
        <w:t>their</w:t>
      </w:r>
      <w:r w:rsidRPr="00380B40">
        <w:rPr>
          <w:spacing w:val="20"/>
          <w:lang w:val="en-GB"/>
        </w:rPr>
        <w:t xml:space="preserve"> </w:t>
      </w:r>
      <w:r w:rsidRPr="00380B40">
        <w:rPr>
          <w:lang w:val="en-GB"/>
        </w:rPr>
        <w:t>work</w:t>
      </w:r>
      <w:r w:rsidRPr="00380B40">
        <w:rPr>
          <w:spacing w:val="18"/>
          <w:lang w:val="en-GB"/>
        </w:rPr>
        <w:t xml:space="preserve"> </w:t>
      </w:r>
      <w:r w:rsidRPr="00380B40">
        <w:rPr>
          <w:lang w:val="en-GB"/>
        </w:rPr>
        <w:t>planning,</w:t>
      </w:r>
      <w:r w:rsidRPr="00380B40">
        <w:rPr>
          <w:spacing w:val="21"/>
          <w:lang w:val="en-GB"/>
        </w:rPr>
        <w:t xml:space="preserve"> </w:t>
      </w:r>
      <w:r w:rsidRPr="00380B40">
        <w:rPr>
          <w:lang w:val="en-GB"/>
        </w:rPr>
        <w:t>rapporteurs</w:t>
      </w:r>
      <w:r w:rsidRPr="00380B40">
        <w:rPr>
          <w:spacing w:val="18"/>
          <w:lang w:val="en-GB"/>
        </w:rPr>
        <w:t xml:space="preserve"> </w:t>
      </w:r>
      <w:r w:rsidRPr="00380B40">
        <w:rPr>
          <w:lang w:val="en-GB"/>
        </w:rPr>
        <w:t>must</w:t>
      </w:r>
      <w:r w:rsidRPr="00380B40">
        <w:rPr>
          <w:spacing w:val="22"/>
          <w:lang w:val="en-GB"/>
        </w:rPr>
        <w:t xml:space="preserve"> </w:t>
      </w:r>
      <w:r w:rsidRPr="00380B40">
        <w:rPr>
          <w:lang w:val="en-GB"/>
        </w:rPr>
        <w:t>give</w:t>
      </w:r>
      <w:r w:rsidRPr="00380B40">
        <w:rPr>
          <w:spacing w:val="20"/>
          <w:lang w:val="en-GB"/>
        </w:rPr>
        <w:t xml:space="preserve"> </w:t>
      </w:r>
      <w:r w:rsidRPr="00380B40">
        <w:rPr>
          <w:lang w:val="en-GB"/>
        </w:rPr>
        <w:t>advance</w:t>
      </w:r>
      <w:r w:rsidRPr="00380B40">
        <w:rPr>
          <w:spacing w:val="18"/>
          <w:lang w:val="en-GB"/>
        </w:rPr>
        <w:t xml:space="preserve"> </w:t>
      </w:r>
      <w:r w:rsidRPr="00380B40">
        <w:rPr>
          <w:lang w:val="en-GB"/>
        </w:rPr>
        <w:t>notice</w:t>
      </w:r>
      <w:r w:rsidRPr="00380B40">
        <w:rPr>
          <w:spacing w:val="18"/>
          <w:lang w:val="en-GB"/>
        </w:rPr>
        <w:t xml:space="preserve"> </w:t>
      </w:r>
      <w:r w:rsidRPr="00380B40">
        <w:rPr>
          <w:lang w:val="en-GB"/>
        </w:rPr>
        <w:t>of</w:t>
      </w:r>
      <w:r w:rsidRPr="00380B40">
        <w:rPr>
          <w:spacing w:val="20"/>
          <w:lang w:val="en-GB"/>
        </w:rPr>
        <w:t xml:space="preserve"> </w:t>
      </w:r>
      <w:r w:rsidRPr="00380B40">
        <w:rPr>
          <w:spacing w:val="1"/>
          <w:lang w:val="en-GB"/>
        </w:rPr>
        <w:t>any</w:t>
      </w:r>
      <w:r w:rsidRPr="00380B40">
        <w:rPr>
          <w:spacing w:val="57"/>
          <w:lang w:val="en-GB"/>
        </w:rPr>
        <w:t xml:space="preserve"> </w:t>
      </w:r>
      <w:r w:rsidRPr="00380B40">
        <w:rPr>
          <w:lang w:val="en-GB"/>
        </w:rPr>
        <w:t>meetings</w:t>
      </w:r>
      <w:r w:rsidRPr="00380B40">
        <w:rPr>
          <w:spacing w:val="-5"/>
          <w:lang w:val="en-GB"/>
        </w:rPr>
        <w:t xml:space="preserve"> </w:t>
      </w:r>
      <w:r w:rsidRPr="00380B40">
        <w:rPr>
          <w:spacing w:val="1"/>
          <w:lang w:val="en-GB"/>
        </w:rPr>
        <w:t>they</w:t>
      </w:r>
      <w:r w:rsidRPr="00380B40">
        <w:rPr>
          <w:spacing w:val="-8"/>
          <w:lang w:val="en-GB"/>
        </w:rPr>
        <w:t xml:space="preserve"> </w:t>
      </w:r>
      <w:r w:rsidRPr="00380B40">
        <w:rPr>
          <w:lang w:val="en-GB"/>
        </w:rPr>
        <w:t>arrange,</w:t>
      </w:r>
      <w:r w:rsidRPr="00380B40">
        <w:rPr>
          <w:spacing w:val="-3"/>
          <w:lang w:val="en-GB"/>
        </w:rPr>
        <w:t xml:space="preserve"> </w:t>
      </w:r>
      <w:r w:rsidRPr="00380B40">
        <w:rPr>
          <w:lang w:val="en-GB"/>
        </w:rPr>
        <w:t>not</w:t>
      </w:r>
      <w:r w:rsidRPr="00380B40">
        <w:rPr>
          <w:spacing w:val="-3"/>
          <w:lang w:val="en-GB"/>
        </w:rPr>
        <w:t xml:space="preserve"> </w:t>
      </w:r>
      <w:r w:rsidRPr="00380B40">
        <w:rPr>
          <w:lang w:val="en-GB"/>
        </w:rPr>
        <w:t>only</w:t>
      </w:r>
      <w:r w:rsidRPr="00380B40">
        <w:rPr>
          <w:spacing w:val="-10"/>
          <w:lang w:val="en-GB"/>
        </w:rPr>
        <w:t xml:space="preserve"> </w:t>
      </w:r>
      <w:r w:rsidRPr="00380B40">
        <w:rPr>
          <w:lang w:val="en-GB"/>
        </w:rPr>
        <w:t>to</w:t>
      </w:r>
      <w:r w:rsidRPr="00380B40">
        <w:rPr>
          <w:spacing w:val="-5"/>
          <w:lang w:val="en-GB"/>
        </w:rPr>
        <w:t xml:space="preserve"> </w:t>
      </w:r>
      <w:r w:rsidRPr="00380B40">
        <w:rPr>
          <w:lang w:val="en-GB"/>
        </w:rPr>
        <w:t>the</w:t>
      </w:r>
      <w:r w:rsidRPr="00380B40">
        <w:rPr>
          <w:spacing w:val="-3"/>
          <w:lang w:val="en-GB"/>
        </w:rPr>
        <w:t xml:space="preserve"> </w:t>
      </w:r>
      <w:r w:rsidRPr="00380B40">
        <w:rPr>
          <w:lang w:val="en-GB"/>
        </w:rPr>
        <w:t>collaborators</w:t>
      </w:r>
      <w:r w:rsidRPr="00380B40">
        <w:rPr>
          <w:spacing w:val="-5"/>
          <w:lang w:val="en-GB"/>
        </w:rPr>
        <w:t xml:space="preserve"> </w:t>
      </w:r>
      <w:r w:rsidRPr="00380B40">
        <w:rPr>
          <w:lang w:val="en-GB"/>
        </w:rPr>
        <w:t>on</w:t>
      </w:r>
      <w:r w:rsidRPr="00380B40">
        <w:rPr>
          <w:spacing w:val="-5"/>
          <w:lang w:val="en-GB"/>
        </w:rPr>
        <w:t xml:space="preserve"> </w:t>
      </w:r>
      <w:r w:rsidRPr="00380B40">
        <w:rPr>
          <w:lang w:val="en-GB"/>
        </w:rPr>
        <w:t>their</w:t>
      </w:r>
      <w:r w:rsidRPr="00380B40">
        <w:rPr>
          <w:spacing w:val="-6"/>
          <w:lang w:val="en-GB"/>
        </w:rPr>
        <w:t xml:space="preserve"> </w:t>
      </w:r>
      <w:r w:rsidRPr="00380B40">
        <w:rPr>
          <w:lang w:val="en-GB"/>
        </w:rPr>
        <w:t>Question</w:t>
      </w:r>
      <w:r w:rsidRPr="00380B40">
        <w:rPr>
          <w:spacing w:val="-5"/>
          <w:lang w:val="en-GB"/>
        </w:rPr>
        <w:t xml:space="preserve"> </w:t>
      </w:r>
      <w:r w:rsidRPr="00380B40">
        <w:rPr>
          <w:lang w:val="en-GB"/>
        </w:rPr>
        <w:t>or</w:t>
      </w:r>
      <w:r w:rsidRPr="00380B40">
        <w:rPr>
          <w:spacing w:val="-6"/>
          <w:lang w:val="en-GB"/>
        </w:rPr>
        <w:t xml:space="preserve"> </w:t>
      </w:r>
      <w:r w:rsidRPr="00380B40">
        <w:rPr>
          <w:lang w:val="en-GB"/>
        </w:rPr>
        <w:t>project,</w:t>
      </w:r>
      <w:r w:rsidRPr="00380B40">
        <w:rPr>
          <w:spacing w:val="-5"/>
          <w:lang w:val="en-GB"/>
        </w:rPr>
        <w:t xml:space="preserve"> </w:t>
      </w:r>
      <w:r w:rsidRPr="00380B40">
        <w:rPr>
          <w:lang w:val="en-GB"/>
        </w:rPr>
        <w:t>but</w:t>
      </w:r>
      <w:r w:rsidRPr="00380B40">
        <w:rPr>
          <w:spacing w:val="-5"/>
          <w:lang w:val="en-GB"/>
        </w:rPr>
        <w:t xml:space="preserve"> </w:t>
      </w:r>
      <w:r w:rsidRPr="00380B40">
        <w:rPr>
          <w:lang w:val="en-GB"/>
        </w:rPr>
        <w:t>also</w:t>
      </w:r>
      <w:r w:rsidRPr="00380B40">
        <w:rPr>
          <w:spacing w:val="-5"/>
          <w:lang w:val="en-GB"/>
        </w:rPr>
        <w:t xml:space="preserve"> </w:t>
      </w:r>
      <w:r w:rsidRPr="00380B40">
        <w:rPr>
          <w:lang w:val="en-GB"/>
        </w:rPr>
        <w:t>to</w:t>
      </w:r>
      <w:r w:rsidRPr="00380B40">
        <w:rPr>
          <w:spacing w:val="-5"/>
          <w:lang w:val="en-GB"/>
        </w:rPr>
        <w:t xml:space="preserve"> </w:t>
      </w:r>
      <w:r w:rsidRPr="00380B40">
        <w:rPr>
          <w:lang w:val="en-GB"/>
        </w:rPr>
        <w:t>the</w:t>
      </w:r>
      <w:r w:rsidRPr="00380B40">
        <w:rPr>
          <w:spacing w:val="-6"/>
          <w:lang w:val="en-GB"/>
        </w:rPr>
        <w:t xml:space="preserve"> </w:t>
      </w:r>
      <w:r w:rsidRPr="00380B40">
        <w:rPr>
          <w:spacing w:val="1"/>
          <w:lang w:val="en-GB"/>
        </w:rPr>
        <w:t>study</w:t>
      </w:r>
      <w:r w:rsidRPr="00380B40">
        <w:rPr>
          <w:spacing w:val="65"/>
          <w:lang w:val="en-GB"/>
        </w:rPr>
        <w:t xml:space="preserve"> </w:t>
      </w:r>
      <w:r w:rsidRPr="00380B40">
        <w:rPr>
          <w:lang w:val="en-GB"/>
        </w:rPr>
        <w:t>group and working party</w:t>
      </w:r>
      <w:r w:rsidRPr="00380B40">
        <w:rPr>
          <w:spacing w:val="3"/>
          <w:lang w:val="en-GB"/>
        </w:rPr>
        <w:t xml:space="preserve"> </w:t>
      </w:r>
      <w:r w:rsidRPr="00380B40">
        <w:rPr>
          <w:lang w:val="en-GB"/>
        </w:rPr>
        <w:t>(see</w:t>
      </w:r>
      <w:r w:rsidRPr="00380B40">
        <w:rPr>
          <w:spacing w:val="3"/>
          <w:lang w:val="en-GB"/>
        </w:rPr>
        <w:t xml:space="preserve"> </w:t>
      </w:r>
      <w:r w:rsidRPr="00380B40">
        <w:rPr>
          <w:lang w:val="en-GB"/>
        </w:rPr>
        <w:t>clause</w:t>
      </w:r>
      <w:r w:rsidRPr="00380B40">
        <w:rPr>
          <w:spacing w:val="3"/>
          <w:lang w:val="en-GB"/>
        </w:rPr>
        <w:t xml:space="preserve"> </w:t>
      </w:r>
      <w:r w:rsidRPr="00380B40">
        <w:rPr>
          <w:lang w:val="en-GB"/>
        </w:rPr>
        <w:t>2.3.3.11)</w:t>
      </w:r>
      <w:r w:rsidRPr="00380B40">
        <w:rPr>
          <w:spacing w:val="3"/>
          <w:lang w:val="en-GB"/>
        </w:rPr>
        <w:t xml:space="preserve"> </w:t>
      </w:r>
      <w:r w:rsidRPr="00380B40">
        <w:rPr>
          <w:lang w:val="en-GB"/>
        </w:rPr>
        <w:t>and</w:t>
      </w:r>
      <w:r w:rsidRPr="00380B40">
        <w:rPr>
          <w:spacing w:val="4"/>
          <w:lang w:val="en-GB"/>
        </w:rPr>
        <w:t xml:space="preserve"> </w:t>
      </w:r>
      <w:r w:rsidRPr="00380B40">
        <w:rPr>
          <w:lang w:val="en-GB"/>
        </w:rPr>
        <w:t>to</w:t>
      </w:r>
      <w:r w:rsidRPr="00380B40">
        <w:rPr>
          <w:spacing w:val="5"/>
          <w:lang w:val="en-GB"/>
        </w:rPr>
        <w:t xml:space="preserve"> </w:t>
      </w:r>
      <w:r w:rsidRPr="00380B40">
        <w:rPr>
          <w:lang w:val="en-GB"/>
        </w:rPr>
        <w:t>TSB.</w:t>
      </w:r>
      <w:r w:rsidRPr="00380B40">
        <w:rPr>
          <w:spacing w:val="4"/>
          <w:lang w:val="en-GB"/>
        </w:rPr>
        <w:t xml:space="preserve"> </w:t>
      </w:r>
      <w:r w:rsidRPr="00380B40">
        <w:rPr>
          <w:lang w:val="en-GB"/>
        </w:rPr>
        <w:t>TSB</w:t>
      </w:r>
      <w:r w:rsidRPr="00380B40">
        <w:rPr>
          <w:spacing w:val="2"/>
          <w:lang w:val="en-GB"/>
        </w:rPr>
        <w:t xml:space="preserve"> </w:t>
      </w:r>
      <w:r w:rsidRPr="00380B40">
        <w:rPr>
          <w:lang w:val="en-GB"/>
        </w:rPr>
        <w:t>is</w:t>
      </w:r>
      <w:r w:rsidRPr="00380B40">
        <w:rPr>
          <w:spacing w:val="5"/>
          <w:lang w:val="en-GB"/>
        </w:rPr>
        <w:t xml:space="preserve"> </w:t>
      </w:r>
      <w:r w:rsidRPr="00380B40">
        <w:rPr>
          <w:lang w:val="en-GB"/>
        </w:rPr>
        <w:t>not</w:t>
      </w:r>
      <w:r w:rsidRPr="00380B40">
        <w:rPr>
          <w:spacing w:val="5"/>
          <w:lang w:val="en-GB"/>
        </w:rPr>
        <w:t xml:space="preserve"> </w:t>
      </w:r>
      <w:r w:rsidRPr="00380B40">
        <w:rPr>
          <w:lang w:val="en-GB"/>
        </w:rPr>
        <w:t>required</w:t>
      </w:r>
      <w:r w:rsidRPr="00380B40">
        <w:rPr>
          <w:spacing w:val="4"/>
          <w:lang w:val="en-GB"/>
        </w:rPr>
        <w:t xml:space="preserve"> </w:t>
      </w:r>
      <w:r w:rsidRPr="00380B40">
        <w:rPr>
          <w:lang w:val="en-GB"/>
        </w:rPr>
        <w:t>to</w:t>
      </w:r>
      <w:r w:rsidRPr="00380B40">
        <w:rPr>
          <w:spacing w:val="5"/>
          <w:lang w:val="en-GB"/>
        </w:rPr>
        <w:t xml:space="preserve"> </w:t>
      </w:r>
      <w:r w:rsidRPr="00380B40">
        <w:rPr>
          <w:lang w:val="en-GB"/>
        </w:rPr>
        <w:t>circulate</w:t>
      </w:r>
      <w:r w:rsidRPr="00380B40">
        <w:rPr>
          <w:spacing w:val="3"/>
          <w:lang w:val="en-GB"/>
        </w:rPr>
        <w:t xml:space="preserve"> </w:t>
      </w:r>
      <w:r w:rsidRPr="00380B40">
        <w:rPr>
          <w:lang w:val="en-GB"/>
        </w:rPr>
        <w:t>collective</w:t>
      </w:r>
      <w:r w:rsidRPr="00380B40">
        <w:rPr>
          <w:spacing w:val="3"/>
          <w:lang w:val="en-GB"/>
        </w:rPr>
        <w:t xml:space="preserve"> </w:t>
      </w:r>
      <w:r w:rsidRPr="00380B40">
        <w:rPr>
          <w:lang w:val="en-GB"/>
        </w:rPr>
        <w:t>letters</w:t>
      </w:r>
      <w:r w:rsidRPr="00380B40">
        <w:rPr>
          <w:spacing w:val="51"/>
          <w:lang w:val="en-GB"/>
        </w:rPr>
        <w:t xml:space="preserve"> </w:t>
      </w:r>
      <w:r w:rsidRPr="00380B40">
        <w:rPr>
          <w:lang w:val="en-GB"/>
        </w:rPr>
        <w:t>for</w:t>
      </w:r>
      <w:r w:rsidRPr="00380B40">
        <w:rPr>
          <w:spacing w:val="19"/>
          <w:lang w:val="en-GB"/>
        </w:rPr>
        <w:t xml:space="preserve"> </w:t>
      </w:r>
      <w:r w:rsidRPr="00380B40">
        <w:rPr>
          <w:lang w:val="en-GB"/>
        </w:rPr>
        <w:t>meetings</w:t>
      </w:r>
      <w:r w:rsidRPr="00380B40">
        <w:rPr>
          <w:spacing w:val="21"/>
          <w:lang w:val="en-GB"/>
        </w:rPr>
        <w:t xml:space="preserve"> </w:t>
      </w:r>
      <w:r w:rsidRPr="00380B40">
        <w:rPr>
          <w:lang w:val="en-GB"/>
        </w:rPr>
        <w:t>below</w:t>
      </w:r>
      <w:r w:rsidRPr="00380B40">
        <w:rPr>
          <w:spacing w:val="21"/>
          <w:lang w:val="en-GB"/>
        </w:rPr>
        <w:t xml:space="preserve"> </w:t>
      </w:r>
      <w:r w:rsidRPr="00380B40">
        <w:rPr>
          <w:lang w:val="en-GB"/>
        </w:rPr>
        <w:t>working</w:t>
      </w:r>
      <w:r w:rsidRPr="00380B40">
        <w:rPr>
          <w:spacing w:val="19"/>
          <w:lang w:val="en-GB"/>
        </w:rPr>
        <w:t xml:space="preserve"> </w:t>
      </w:r>
      <w:r w:rsidRPr="00380B40">
        <w:rPr>
          <w:lang w:val="en-GB"/>
        </w:rPr>
        <w:t>party</w:t>
      </w:r>
      <w:r w:rsidRPr="00380B40">
        <w:rPr>
          <w:spacing w:val="14"/>
          <w:lang w:val="en-GB"/>
        </w:rPr>
        <w:t xml:space="preserve"> </w:t>
      </w:r>
      <w:r w:rsidRPr="00380B40">
        <w:rPr>
          <w:lang w:val="en-GB"/>
        </w:rPr>
        <w:t>level. The intention</w:t>
      </w:r>
      <w:r w:rsidRPr="00380B40">
        <w:rPr>
          <w:spacing w:val="2"/>
          <w:lang w:val="en-GB"/>
        </w:rPr>
        <w:t xml:space="preserve"> </w:t>
      </w:r>
      <w:r w:rsidRPr="00380B40">
        <w:rPr>
          <w:lang w:val="en-GB"/>
        </w:rPr>
        <w:t>to</w:t>
      </w:r>
      <w:r w:rsidRPr="00380B40">
        <w:rPr>
          <w:spacing w:val="2"/>
          <w:lang w:val="en-GB"/>
        </w:rPr>
        <w:t xml:space="preserve"> </w:t>
      </w:r>
      <w:r w:rsidRPr="00380B40">
        <w:rPr>
          <w:lang w:val="en-GB"/>
        </w:rPr>
        <w:t>hold rapporteur</w:t>
      </w:r>
      <w:r w:rsidRPr="00380B40">
        <w:rPr>
          <w:spacing w:val="1"/>
          <w:lang w:val="en-GB"/>
        </w:rPr>
        <w:t xml:space="preserve"> group </w:t>
      </w:r>
      <w:r w:rsidRPr="00380B40">
        <w:rPr>
          <w:lang w:val="en-GB"/>
        </w:rPr>
        <w:t>meetings,</w:t>
      </w:r>
      <w:r w:rsidRPr="00380B40">
        <w:rPr>
          <w:spacing w:val="2"/>
          <w:lang w:val="en-GB"/>
        </w:rPr>
        <w:t xml:space="preserve"> </w:t>
      </w:r>
      <w:r w:rsidRPr="00380B40">
        <w:rPr>
          <w:lang w:val="en-GB"/>
        </w:rPr>
        <w:t>along</w:t>
      </w:r>
      <w:r w:rsidRPr="00380B40">
        <w:rPr>
          <w:spacing w:val="2"/>
          <w:lang w:val="en-GB"/>
        </w:rPr>
        <w:t xml:space="preserve"> </w:t>
      </w:r>
      <w:r w:rsidRPr="00380B40">
        <w:rPr>
          <w:lang w:val="en-GB"/>
        </w:rPr>
        <w:t>with</w:t>
      </w:r>
      <w:r w:rsidRPr="00380B40">
        <w:rPr>
          <w:spacing w:val="2"/>
          <w:lang w:val="en-GB"/>
        </w:rPr>
        <w:t xml:space="preserve"> </w:t>
      </w:r>
      <w:r w:rsidRPr="00380B40">
        <w:rPr>
          <w:lang w:val="en-GB"/>
        </w:rPr>
        <w:t>details</w:t>
      </w:r>
      <w:r w:rsidRPr="00380B40">
        <w:rPr>
          <w:spacing w:val="2"/>
          <w:lang w:val="en-GB"/>
        </w:rPr>
        <w:t xml:space="preserve"> </w:t>
      </w:r>
      <w:r w:rsidRPr="00380B40">
        <w:rPr>
          <w:lang w:val="en-GB"/>
        </w:rPr>
        <w:t>of</w:t>
      </w:r>
      <w:r w:rsidRPr="00380B40">
        <w:rPr>
          <w:spacing w:val="1"/>
          <w:lang w:val="en-GB"/>
        </w:rPr>
        <w:t xml:space="preserve"> </w:t>
      </w:r>
      <w:r w:rsidRPr="00380B40">
        <w:rPr>
          <w:lang w:val="en-GB"/>
        </w:rPr>
        <w:t>the</w:t>
      </w:r>
      <w:r w:rsidRPr="00380B40">
        <w:rPr>
          <w:spacing w:val="1"/>
          <w:lang w:val="en-GB"/>
        </w:rPr>
        <w:t xml:space="preserve"> </w:t>
      </w:r>
      <w:r w:rsidRPr="00380B40">
        <w:rPr>
          <w:lang w:val="en-GB"/>
        </w:rPr>
        <w:t>issues to</w:t>
      </w:r>
      <w:r w:rsidRPr="00380B40">
        <w:rPr>
          <w:spacing w:val="2"/>
          <w:lang w:val="en-GB"/>
        </w:rPr>
        <w:t xml:space="preserve"> </w:t>
      </w:r>
      <w:r w:rsidRPr="00380B40">
        <w:rPr>
          <w:lang w:val="en-GB"/>
        </w:rPr>
        <w:t>be</w:t>
      </w:r>
      <w:r w:rsidRPr="00380B40">
        <w:rPr>
          <w:spacing w:val="7"/>
          <w:lang w:val="en-GB"/>
        </w:rPr>
        <w:t xml:space="preserve"> </w:t>
      </w:r>
      <w:r w:rsidRPr="00380B40">
        <w:rPr>
          <w:lang w:val="en-GB"/>
        </w:rPr>
        <w:t>studied,</w:t>
      </w:r>
      <w:r w:rsidRPr="00380B40">
        <w:rPr>
          <w:spacing w:val="85"/>
          <w:lang w:val="en-GB"/>
        </w:rPr>
        <w:t xml:space="preserve"> </w:t>
      </w:r>
      <w:r w:rsidRPr="00380B40">
        <w:rPr>
          <w:lang w:val="en-GB"/>
        </w:rPr>
        <w:t>should</w:t>
      </w:r>
      <w:r w:rsidRPr="00380B40">
        <w:rPr>
          <w:spacing w:val="9"/>
          <w:lang w:val="en-GB"/>
        </w:rPr>
        <w:t xml:space="preserve"> </w:t>
      </w:r>
      <w:r w:rsidRPr="00380B40">
        <w:rPr>
          <w:lang w:val="en-GB"/>
        </w:rPr>
        <w:t>be</w:t>
      </w:r>
      <w:r w:rsidRPr="00380B40">
        <w:rPr>
          <w:spacing w:val="8"/>
          <w:lang w:val="en-GB"/>
        </w:rPr>
        <w:t xml:space="preserve"> </w:t>
      </w:r>
      <w:r w:rsidRPr="00380B40">
        <w:rPr>
          <w:lang w:val="en-GB"/>
        </w:rPr>
        <w:t>agreed</w:t>
      </w:r>
      <w:r w:rsidRPr="00380B40">
        <w:rPr>
          <w:spacing w:val="9"/>
          <w:lang w:val="en-GB"/>
        </w:rPr>
        <w:t xml:space="preserve"> </w:t>
      </w:r>
      <w:r w:rsidRPr="00380B40">
        <w:rPr>
          <w:lang w:val="en-GB"/>
        </w:rPr>
        <w:t>in</w:t>
      </w:r>
      <w:r w:rsidRPr="00380B40">
        <w:rPr>
          <w:spacing w:val="9"/>
          <w:lang w:val="en-GB"/>
        </w:rPr>
        <w:t xml:space="preserve"> </w:t>
      </w:r>
      <w:r w:rsidRPr="00380B40">
        <w:rPr>
          <w:lang w:val="en-GB"/>
        </w:rPr>
        <w:t>principle</w:t>
      </w:r>
      <w:r w:rsidRPr="00380B40">
        <w:rPr>
          <w:spacing w:val="8"/>
          <w:lang w:val="en-GB"/>
        </w:rPr>
        <w:t xml:space="preserve"> </w:t>
      </w:r>
      <w:r w:rsidRPr="00380B40">
        <w:rPr>
          <w:lang w:val="en-GB"/>
        </w:rPr>
        <w:t>and</w:t>
      </w:r>
      <w:r w:rsidRPr="00380B40">
        <w:rPr>
          <w:spacing w:val="9"/>
          <w:lang w:val="en-GB"/>
        </w:rPr>
        <w:t xml:space="preserve"> </w:t>
      </w:r>
      <w:r w:rsidRPr="00380B40">
        <w:rPr>
          <w:lang w:val="en-GB"/>
        </w:rPr>
        <w:t>publicized</w:t>
      </w:r>
      <w:r w:rsidRPr="00380B40">
        <w:rPr>
          <w:spacing w:val="9"/>
          <w:lang w:val="en-GB"/>
        </w:rPr>
        <w:t xml:space="preserve"> </w:t>
      </w:r>
      <w:r w:rsidRPr="00380B40">
        <w:rPr>
          <w:lang w:val="en-GB"/>
        </w:rPr>
        <w:t>with</w:t>
      </w:r>
      <w:r w:rsidRPr="00380B40">
        <w:rPr>
          <w:spacing w:val="7"/>
          <w:lang w:val="en-GB"/>
        </w:rPr>
        <w:t xml:space="preserve"> </w:t>
      </w:r>
      <w:r w:rsidRPr="00380B40">
        <w:rPr>
          <w:lang w:val="en-GB"/>
        </w:rPr>
        <w:t>as</w:t>
      </w:r>
      <w:r w:rsidRPr="00380B40">
        <w:rPr>
          <w:spacing w:val="9"/>
          <w:lang w:val="en-GB"/>
        </w:rPr>
        <w:t xml:space="preserve"> </w:t>
      </w:r>
      <w:r w:rsidRPr="00380B40">
        <w:rPr>
          <w:lang w:val="en-GB"/>
        </w:rPr>
        <w:t>much</w:t>
      </w:r>
      <w:r w:rsidRPr="00380B40">
        <w:rPr>
          <w:spacing w:val="8"/>
          <w:lang w:val="en-GB"/>
        </w:rPr>
        <w:t xml:space="preserve"> </w:t>
      </w:r>
      <w:r w:rsidRPr="00380B40">
        <w:rPr>
          <w:lang w:val="en-GB"/>
        </w:rPr>
        <w:t>notice</w:t>
      </w:r>
      <w:r w:rsidRPr="00380B40">
        <w:rPr>
          <w:spacing w:val="8"/>
          <w:lang w:val="en-GB"/>
        </w:rPr>
        <w:t xml:space="preserve"> </w:t>
      </w:r>
      <w:r w:rsidRPr="00380B40">
        <w:rPr>
          <w:lang w:val="en-GB"/>
        </w:rPr>
        <w:t>as</w:t>
      </w:r>
      <w:r w:rsidRPr="00380B40">
        <w:rPr>
          <w:spacing w:val="9"/>
          <w:lang w:val="en-GB"/>
        </w:rPr>
        <w:t xml:space="preserve"> </w:t>
      </w:r>
      <w:r w:rsidRPr="00380B40">
        <w:rPr>
          <w:lang w:val="en-GB"/>
        </w:rPr>
        <w:t>possible</w:t>
      </w:r>
      <w:r w:rsidRPr="00380B40">
        <w:rPr>
          <w:spacing w:val="8"/>
          <w:lang w:val="en-GB"/>
        </w:rPr>
        <w:t xml:space="preserve"> </w:t>
      </w:r>
      <w:r w:rsidRPr="00380B40">
        <w:rPr>
          <w:lang w:val="en-GB"/>
        </w:rPr>
        <w:t>(normally</w:t>
      </w:r>
      <w:r w:rsidRPr="00380B40">
        <w:rPr>
          <w:spacing w:val="4"/>
          <w:lang w:val="en-GB"/>
        </w:rPr>
        <w:t xml:space="preserve"> </w:t>
      </w:r>
      <w:r w:rsidRPr="00380B40">
        <w:rPr>
          <w:lang w:val="en-GB"/>
        </w:rPr>
        <w:t>at</w:t>
      </w:r>
      <w:r w:rsidRPr="00380B40">
        <w:rPr>
          <w:spacing w:val="9"/>
          <w:lang w:val="en-GB"/>
        </w:rPr>
        <w:t xml:space="preserve"> </w:t>
      </w:r>
      <w:r w:rsidRPr="00380B40">
        <w:rPr>
          <w:lang w:val="en-GB"/>
        </w:rPr>
        <w:t>least</w:t>
      </w:r>
      <w:r w:rsidRPr="00380B40">
        <w:rPr>
          <w:spacing w:val="10"/>
          <w:lang w:val="en-GB"/>
        </w:rPr>
        <w:t xml:space="preserve"> </w:t>
      </w:r>
      <w:r w:rsidRPr="00380B40">
        <w:rPr>
          <w:lang w:val="en-GB"/>
        </w:rPr>
        <w:t>two</w:t>
      </w:r>
      <w:r w:rsidRPr="00380B40">
        <w:rPr>
          <w:spacing w:val="69"/>
          <w:lang w:val="en-GB"/>
        </w:rPr>
        <w:t xml:space="preserve"> </w:t>
      </w:r>
      <w:r w:rsidRPr="00380B40">
        <w:rPr>
          <w:lang w:val="en-GB"/>
        </w:rPr>
        <w:t>months)</w:t>
      </w:r>
      <w:r w:rsidRPr="00380B40">
        <w:rPr>
          <w:spacing w:val="13"/>
          <w:lang w:val="en-GB"/>
        </w:rPr>
        <w:t xml:space="preserve"> </w:t>
      </w:r>
      <w:r w:rsidRPr="00380B40">
        <w:rPr>
          <w:lang w:val="en-GB"/>
        </w:rPr>
        <w:t>at</w:t>
      </w:r>
      <w:r w:rsidRPr="00380B40">
        <w:rPr>
          <w:spacing w:val="14"/>
          <w:lang w:val="en-GB"/>
        </w:rPr>
        <w:t xml:space="preserve"> </w:t>
      </w:r>
      <w:r w:rsidRPr="00380B40">
        <w:rPr>
          <w:lang w:val="en-GB"/>
        </w:rPr>
        <w:t>study</w:t>
      </w:r>
      <w:r w:rsidRPr="00380B40">
        <w:rPr>
          <w:spacing w:val="6"/>
          <w:lang w:val="en-GB"/>
        </w:rPr>
        <w:t xml:space="preserve"> </w:t>
      </w:r>
      <w:r w:rsidRPr="00380B40">
        <w:rPr>
          <w:lang w:val="en-GB"/>
        </w:rPr>
        <w:t>group</w:t>
      </w:r>
      <w:r w:rsidRPr="00380B40">
        <w:rPr>
          <w:spacing w:val="13"/>
          <w:lang w:val="en-GB"/>
        </w:rPr>
        <w:t xml:space="preserve"> </w:t>
      </w:r>
      <w:r w:rsidRPr="00380B40">
        <w:rPr>
          <w:lang w:val="en-GB"/>
        </w:rPr>
        <w:t>or</w:t>
      </w:r>
      <w:r w:rsidRPr="00380B40">
        <w:rPr>
          <w:spacing w:val="13"/>
          <w:lang w:val="en-GB"/>
        </w:rPr>
        <w:t xml:space="preserve"> </w:t>
      </w:r>
      <w:r w:rsidRPr="00380B40">
        <w:rPr>
          <w:lang w:val="en-GB"/>
        </w:rPr>
        <w:t>working</w:t>
      </w:r>
      <w:r w:rsidRPr="00380B40">
        <w:rPr>
          <w:spacing w:val="12"/>
          <w:lang w:val="en-GB"/>
        </w:rPr>
        <w:t xml:space="preserve"> </w:t>
      </w:r>
      <w:r w:rsidRPr="00380B40">
        <w:rPr>
          <w:lang w:val="en-GB"/>
        </w:rPr>
        <w:t>party</w:t>
      </w:r>
      <w:r w:rsidRPr="00380B40">
        <w:rPr>
          <w:spacing w:val="9"/>
          <w:lang w:val="en-GB"/>
        </w:rPr>
        <w:t xml:space="preserve"> </w:t>
      </w:r>
      <w:r w:rsidRPr="00380B40">
        <w:rPr>
          <w:lang w:val="en-GB"/>
        </w:rPr>
        <w:t>meetings</w:t>
      </w:r>
      <w:r w:rsidRPr="00380B40">
        <w:rPr>
          <w:spacing w:val="14"/>
          <w:lang w:val="en-GB"/>
        </w:rPr>
        <w:t xml:space="preserve"> </w:t>
      </w:r>
      <w:r w:rsidRPr="00380B40">
        <w:rPr>
          <w:lang w:val="en-GB"/>
        </w:rPr>
        <w:t>(for</w:t>
      </w:r>
      <w:r w:rsidRPr="00380B40">
        <w:rPr>
          <w:spacing w:val="13"/>
          <w:lang w:val="en-GB"/>
        </w:rPr>
        <w:t xml:space="preserve"> </w:t>
      </w:r>
      <w:r w:rsidRPr="00380B40">
        <w:rPr>
          <w:lang w:val="en-GB"/>
        </w:rPr>
        <w:t>inclusion</w:t>
      </w:r>
      <w:r w:rsidRPr="00380B40">
        <w:rPr>
          <w:spacing w:val="14"/>
          <w:lang w:val="en-GB"/>
        </w:rPr>
        <w:t xml:space="preserve"> </w:t>
      </w:r>
      <w:r w:rsidRPr="00380B40">
        <w:rPr>
          <w:lang w:val="en-GB"/>
        </w:rPr>
        <w:t>in</w:t>
      </w:r>
      <w:r w:rsidRPr="00380B40">
        <w:rPr>
          <w:spacing w:val="12"/>
          <w:lang w:val="en-GB"/>
        </w:rPr>
        <w:t xml:space="preserve"> </w:t>
      </w:r>
      <w:r w:rsidRPr="00380B40">
        <w:rPr>
          <w:lang w:val="en-GB"/>
        </w:rPr>
        <w:t>their</w:t>
      </w:r>
      <w:r w:rsidRPr="00380B40">
        <w:rPr>
          <w:spacing w:val="13"/>
          <w:lang w:val="en-GB"/>
        </w:rPr>
        <w:t xml:space="preserve"> </w:t>
      </w:r>
      <w:r w:rsidRPr="00380B40">
        <w:rPr>
          <w:lang w:val="en-GB"/>
        </w:rPr>
        <w:t>reports)</w:t>
      </w:r>
      <w:r w:rsidRPr="00380B40">
        <w:rPr>
          <w:spacing w:val="13"/>
          <w:lang w:val="en-GB"/>
        </w:rPr>
        <w:t xml:space="preserve"> </w:t>
      </w:r>
      <w:r w:rsidRPr="00380B40">
        <w:rPr>
          <w:lang w:val="en-GB"/>
        </w:rPr>
        <w:t>and</w:t>
      </w:r>
      <w:r w:rsidRPr="00380B40">
        <w:rPr>
          <w:spacing w:val="14"/>
          <w:lang w:val="en-GB"/>
        </w:rPr>
        <w:t xml:space="preserve"> </w:t>
      </w:r>
      <w:r w:rsidRPr="00380B40">
        <w:rPr>
          <w:lang w:val="en-GB"/>
        </w:rPr>
        <w:t>via</w:t>
      </w:r>
      <w:r w:rsidRPr="00380B40">
        <w:rPr>
          <w:spacing w:val="13"/>
          <w:lang w:val="en-GB"/>
        </w:rPr>
        <w:t xml:space="preserve"> </w:t>
      </w:r>
      <w:r w:rsidRPr="00380B40">
        <w:rPr>
          <w:lang w:val="en-GB"/>
        </w:rPr>
        <w:t>the</w:t>
      </w:r>
      <w:r w:rsidRPr="00380B40">
        <w:rPr>
          <w:spacing w:val="13"/>
          <w:lang w:val="en-GB"/>
        </w:rPr>
        <w:t xml:space="preserve"> </w:t>
      </w:r>
      <w:r w:rsidRPr="00380B40">
        <w:rPr>
          <w:lang w:val="en-GB"/>
        </w:rPr>
        <w:t>study</w:t>
      </w:r>
      <w:r w:rsidRPr="00380B40">
        <w:rPr>
          <w:spacing w:val="46"/>
          <w:lang w:val="en-GB"/>
        </w:rPr>
        <w:t xml:space="preserve"> </w:t>
      </w:r>
      <w:r w:rsidRPr="00380B40">
        <w:rPr>
          <w:lang w:val="en-GB"/>
        </w:rPr>
        <w:t>group</w:t>
      </w:r>
      <w:r w:rsidRPr="00380B40">
        <w:rPr>
          <w:spacing w:val="25"/>
          <w:lang w:val="en-GB"/>
        </w:rPr>
        <w:t xml:space="preserve"> </w:t>
      </w:r>
      <w:r w:rsidRPr="00380B40">
        <w:rPr>
          <w:lang w:val="en-GB"/>
        </w:rPr>
        <w:t>webpage,</w:t>
      </w:r>
      <w:r w:rsidRPr="00380B40">
        <w:rPr>
          <w:spacing w:val="26"/>
          <w:lang w:val="en-GB"/>
        </w:rPr>
        <w:t xml:space="preserve"> </w:t>
      </w:r>
      <w:r w:rsidRPr="00380B40">
        <w:rPr>
          <w:lang w:val="en-GB"/>
        </w:rPr>
        <w:t>for</w:t>
      </w:r>
      <w:r w:rsidRPr="00380B40">
        <w:rPr>
          <w:spacing w:val="25"/>
          <w:lang w:val="en-GB"/>
        </w:rPr>
        <w:t xml:space="preserve"> </w:t>
      </w:r>
      <w:r w:rsidRPr="00380B40">
        <w:rPr>
          <w:lang w:val="en-GB"/>
        </w:rPr>
        <w:t>example.</w:t>
      </w:r>
    </w:p>
    <w:p w14:paraId="518AD660" w14:textId="77777777" w:rsidR="00DB6A21" w:rsidRPr="00380B40" w:rsidRDefault="00DB6A21" w:rsidP="00C12517">
      <w:pPr>
        <w:tabs>
          <w:tab w:val="clear" w:pos="794"/>
          <w:tab w:val="clear" w:pos="1191"/>
          <w:tab w:val="left" w:pos="896"/>
        </w:tabs>
        <w:rPr>
          <w:b/>
          <w:bCs/>
          <w:lang w:val="en-GB"/>
        </w:rPr>
      </w:pPr>
      <w:r w:rsidRPr="00380B40">
        <w:rPr>
          <w:b/>
          <w:bCs/>
          <w:lang w:val="en-GB"/>
        </w:rPr>
        <w:br w:type="page"/>
      </w:r>
    </w:p>
    <w:p w14:paraId="564F1011" w14:textId="77777777" w:rsidR="00C12517" w:rsidRPr="00380B40" w:rsidRDefault="00C12517" w:rsidP="00C12517">
      <w:pPr>
        <w:tabs>
          <w:tab w:val="clear" w:pos="794"/>
          <w:tab w:val="clear" w:pos="1191"/>
          <w:tab w:val="left" w:pos="896"/>
        </w:tabs>
        <w:rPr>
          <w:lang w:val="en-GB"/>
        </w:rPr>
      </w:pPr>
      <w:r w:rsidRPr="00380B40">
        <w:rPr>
          <w:b/>
          <w:bCs/>
          <w:lang w:val="en-GB"/>
        </w:rPr>
        <w:t>2.</w:t>
      </w:r>
      <w:r w:rsidRPr="00380B40">
        <w:rPr>
          <w:b/>
          <w:lang w:val="en-GB"/>
        </w:rPr>
        <w:t>3.3.11</w:t>
      </w:r>
      <w:r w:rsidRPr="00380B40">
        <w:rPr>
          <w:lang w:val="en-GB"/>
        </w:rPr>
        <w:tab/>
        <w:t>TSB</w:t>
      </w:r>
      <w:r w:rsidRPr="00380B40">
        <w:rPr>
          <w:spacing w:val="19"/>
          <w:lang w:val="en-GB"/>
        </w:rPr>
        <w:t xml:space="preserve"> </w:t>
      </w:r>
      <w:r w:rsidRPr="00380B40">
        <w:rPr>
          <w:lang w:val="en-GB"/>
        </w:rPr>
        <w:t>will</w:t>
      </w:r>
      <w:r w:rsidRPr="00380B40">
        <w:rPr>
          <w:spacing w:val="22"/>
          <w:lang w:val="en-GB"/>
        </w:rPr>
        <w:t xml:space="preserve"> </w:t>
      </w:r>
      <w:r w:rsidRPr="00380B40">
        <w:rPr>
          <w:lang w:val="en-GB"/>
        </w:rPr>
        <w:t>post</w:t>
      </w:r>
      <w:r w:rsidRPr="00380B40">
        <w:rPr>
          <w:spacing w:val="19"/>
          <w:lang w:val="en-GB"/>
        </w:rPr>
        <w:t xml:space="preserve"> </w:t>
      </w:r>
      <w:r w:rsidRPr="00380B40">
        <w:rPr>
          <w:lang w:val="en-GB"/>
        </w:rPr>
        <w:t>a</w:t>
      </w:r>
      <w:r w:rsidRPr="00380B40">
        <w:rPr>
          <w:spacing w:val="20"/>
          <w:lang w:val="en-GB"/>
        </w:rPr>
        <w:t xml:space="preserve"> </w:t>
      </w:r>
      <w:r w:rsidRPr="00380B40">
        <w:rPr>
          <w:spacing w:val="-1"/>
          <w:lang w:val="en-GB"/>
        </w:rPr>
        <w:t>convening</w:t>
      </w:r>
      <w:r w:rsidRPr="00380B40">
        <w:rPr>
          <w:spacing w:val="19"/>
          <w:lang w:val="en-GB"/>
        </w:rPr>
        <w:t xml:space="preserve"> </w:t>
      </w:r>
      <w:r w:rsidRPr="00380B40">
        <w:rPr>
          <w:lang w:val="en-GB"/>
        </w:rPr>
        <w:t>letter</w:t>
      </w:r>
      <w:r w:rsidRPr="00380B40">
        <w:rPr>
          <w:spacing w:val="22"/>
          <w:lang w:val="en-GB"/>
        </w:rPr>
        <w:t xml:space="preserve"> </w:t>
      </w:r>
      <w:r w:rsidRPr="00380B40">
        <w:rPr>
          <w:lang w:val="en-GB"/>
        </w:rPr>
        <w:t>for</w:t>
      </w:r>
      <w:r w:rsidRPr="00380B40">
        <w:rPr>
          <w:spacing w:val="26"/>
          <w:lang w:val="en-GB"/>
        </w:rPr>
        <w:t xml:space="preserve"> </w:t>
      </w:r>
      <w:r w:rsidRPr="00380B40">
        <w:rPr>
          <w:lang w:val="en-GB"/>
        </w:rPr>
        <w:t>rapporteur group</w:t>
      </w:r>
      <w:r w:rsidRPr="00380B40">
        <w:rPr>
          <w:spacing w:val="20"/>
          <w:lang w:val="en-GB"/>
        </w:rPr>
        <w:t xml:space="preserve"> </w:t>
      </w:r>
      <w:r w:rsidRPr="00380B40">
        <w:rPr>
          <w:spacing w:val="-1"/>
          <w:lang w:val="en-GB"/>
        </w:rPr>
        <w:t>meetings</w:t>
      </w:r>
      <w:r w:rsidRPr="00380B40">
        <w:rPr>
          <w:spacing w:val="57"/>
          <w:lang w:val="en-GB"/>
        </w:rPr>
        <w:t xml:space="preserve"> </w:t>
      </w:r>
      <w:r w:rsidRPr="00380B40">
        <w:rPr>
          <w:lang w:val="en-GB"/>
        </w:rPr>
        <w:t>(using</w:t>
      </w:r>
      <w:r w:rsidRPr="00380B40">
        <w:rPr>
          <w:spacing w:val="-12"/>
          <w:lang w:val="en-GB"/>
        </w:rPr>
        <w:t xml:space="preserve"> </w:t>
      </w:r>
      <w:r w:rsidRPr="00380B40">
        <w:rPr>
          <w:lang w:val="en-GB"/>
        </w:rPr>
        <w:t>a</w:t>
      </w:r>
      <w:r w:rsidRPr="00380B40">
        <w:rPr>
          <w:spacing w:val="-11"/>
          <w:lang w:val="en-GB"/>
        </w:rPr>
        <w:t xml:space="preserve"> </w:t>
      </w:r>
      <w:r w:rsidRPr="00380B40">
        <w:rPr>
          <w:spacing w:val="-1"/>
          <w:lang w:val="en-GB"/>
        </w:rPr>
        <w:t>TSB-defined</w:t>
      </w:r>
      <w:r w:rsidRPr="00380B40">
        <w:rPr>
          <w:spacing w:val="-10"/>
          <w:lang w:val="en-GB"/>
        </w:rPr>
        <w:t xml:space="preserve"> </w:t>
      </w:r>
      <w:r w:rsidRPr="00380B40">
        <w:rPr>
          <w:lang w:val="en-GB"/>
        </w:rPr>
        <w:t>template),</w:t>
      </w:r>
      <w:r w:rsidRPr="00380B40">
        <w:rPr>
          <w:spacing w:val="-11"/>
          <w:lang w:val="en-GB"/>
        </w:rPr>
        <w:t xml:space="preserve"> </w:t>
      </w:r>
      <w:r w:rsidRPr="00380B40">
        <w:rPr>
          <w:lang w:val="en-GB"/>
        </w:rPr>
        <w:t>normally</w:t>
      </w:r>
      <w:r w:rsidRPr="00380B40">
        <w:rPr>
          <w:spacing w:val="-15"/>
          <w:lang w:val="en-GB"/>
        </w:rPr>
        <w:t xml:space="preserve"> </w:t>
      </w:r>
      <w:r w:rsidRPr="00380B40">
        <w:rPr>
          <w:spacing w:val="-1"/>
          <w:lang w:val="en-GB"/>
        </w:rPr>
        <w:t>at</w:t>
      </w:r>
      <w:r w:rsidRPr="00380B40">
        <w:rPr>
          <w:spacing w:val="-10"/>
          <w:lang w:val="en-GB"/>
        </w:rPr>
        <w:t xml:space="preserve"> </w:t>
      </w:r>
      <w:r w:rsidRPr="00380B40">
        <w:rPr>
          <w:spacing w:val="-1"/>
          <w:lang w:val="en-GB"/>
        </w:rPr>
        <w:t>least</w:t>
      </w:r>
      <w:r w:rsidRPr="00380B40">
        <w:rPr>
          <w:spacing w:val="-9"/>
          <w:lang w:val="en-GB"/>
        </w:rPr>
        <w:t xml:space="preserve"> </w:t>
      </w:r>
      <w:r w:rsidRPr="00380B40">
        <w:rPr>
          <w:lang w:val="en-GB"/>
        </w:rPr>
        <w:t>two</w:t>
      </w:r>
      <w:r w:rsidRPr="00380B40">
        <w:rPr>
          <w:spacing w:val="-10"/>
          <w:lang w:val="en-GB"/>
        </w:rPr>
        <w:t xml:space="preserve"> </w:t>
      </w:r>
      <w:r w:rsidRPr="00380B40">
        <w:rPr>
          <w:lang w:val="en-GB"/>
        </w:rPr>
        <w:t>months</w:t>
      </w:r>
      <w:r w:rsidRPr="00380B40">
        <w:rPr>
          <w:spacing w:val="-10"/>
          <w:lang w:val="en-GB"/>
        </w:rPr>
        <w:t xml:space="preserve"> </w:t>
      </w:r>
      <w:r w:rsidRPr="00380B40">
        <w:rPr>
          <w:lang w:val="en-GB"/>
        </w:rPr>
        <w:t>prior</w:t>
      </w:r>
      <w:r w:rsidRPr="00380B40">
        <w:rPr>
          <w:spacing w:val="-13"/>
          <w:lang w:val="en-GB"/>
        </w:rPr>
        <w:t xml:space="preserve"> </w:t>
      </w:r>
      <w:r w:rsidRPr="00380B40">
        <w:rPr>
          <w:lang w:val="en-GB"/>
        </w:rPr>
        <w:t>to</w:t>
      </w:r>
      <w:r w:rsidRPr="00380B40">
        <w:rPr>
          <w:spacing w:val="-10"/>
          <w:lang w:val="en-GB"/>
        </w:rPr>
        <w:t xml:space="preserve"> </w:t>
      </w:r>
      <w:r w:rsidRPr="00380B40">
        <w:rPr>
          <w:lang w:val="en-GB"/>
        </w:rPr>
        <w:t>the</w:t>
      </w:r>
      <w:r w:rsidRPr="00380B40">
        <w:rPr>
          <w:spacing w:val="-13"/>
          <w:lang w:val="en-GB"/>
        </w:rPr>
        <w:t xml:space="preserve"> </w:t>
      </w:r>
      <w:r w:rsidRPr="00380B40">
        <w:rPr>
          <w:spacing w:val="-1"/>
          <w:lang w:val="en-GB"/>
        </w:rPr>
        <w:t>meeting,</w:t>
      </w:r>
      <w:r w:rsidRPr="00380B40">
        <w:rPr>
          <w:spacing w:val="-10"/>
          <w:lang w:val="en-GB"/>
        </w:rPr>
        <w:t xml:space="preserve"> </w:t>
      </w:r>
      <w:r w:rsidRPr="00380B40">
        <w:rPr>
          <w:lang w:val="en-GB"/>
        </w:rPr>
        <w:t>on</w:t>
      </w:r>
      <w:r w:rsidRPr="00380B40">
        <w:rPr>
          <w:spacing w:val="-10"/>
          <w:lang w:val="en-GB"/>
        </w:rPr>
        <w:t xml:space="preserve"> </w:t>
      </w:r>
      <w:r w:rsidRPr="00380B40">
        <w:rPr>
          <w:lang w:val="en-GB"/>
        </w:rPr>
        <w:t>the</w:t>
      </w:r>
      <w:r w:rsidRPr="00380B40">
        <w:rPr>
          <w:spacing w:val="-11"/>
          <w:lang w:val="en-GB"/>
        </w:rPr>
        <w:t xml:space="preserve"> </w:t>
      </w:r>
      <w:r w:rsidRPr="00380B40">
        <w:rPr>
          <w:lang w:val="en-GB"/>
        </w:rPr>
        <w:t>study</w:t>
      </w:r>
      <w:r w:rsidRPr="00380B40">
        <w:rPr>
          <w:spacing w:val="-15"/>
          <w:lang w:val="en-GB"/>
        </w:rPr>
        <w:t xml:space="preserve"> </w:t>
      </w:r>
      <w:r w:rsidRPr="00380B40">
        <w:rPr>
          <w:lang w:val="en-GB"/>
        </w:rPr>
        <w:t>group</w:t>
      </w:r>
      <w:r w:rsidRPr="00380B40">
        <w:rPr>
          <w:spacing w:val="35"/>
          <w:lang w:val="en-GB"/>
        </w:rPr>
        <w:t xml:space="preserve"> </w:t>
      </w:r>
      <w:r w:rsidRPr="00380B40">
        <w:rPr>
          <w:spacing w:val="-1"/>
          <w:lang w:val="en-GB"/>
        </w:rPr>
        <w:t>webpage,</w:t>
      </w:r>
      <w:r w:rsidRPr="00380B40">
        <w:rPr>
          <w:spacing w:val="2"/>
          <w:lang w:val="en-GB"/>
        </w:rPr>
        <w:t xml:space="preserve"> </w:t>
      </w:r>
      <w:r w:rsidRPr="00380B40">
        <w:rPr>
          <w:spacing w:val="-1"/>
          <w:lang w:val="en-GB"/>
        </w:rPr>
        <w:t>as</w:t>
      </w:r>
      <w:r w:rsidRPr="00380B40">
        <w:rPr>
          <w:lang w:val="en-GB"/>
        </w:rPr>
        <w:t xml:space="preserve"> </w:t>
      </w:r>
      <w:r w:rsidRPr="00380B40">
        <w:rPr>
          <w:spacing w:val="-1"/>
          <w:lang w:val="en-GB"/>
        </w:rPr>
        <w:t>provided</w:t>
      </w:r>
      <w:r w:rsidRPr="00380B40">
        <w:rPr>
          <w:lang w:val="en-GB"/>
        </w:rPr>
        <w:t xml:space="preserve"> </w:t>
      </w:r>
      <w:r w:rsidRPr="00380B40">
        <w:rPr>
          <w:spacing w:val="2"/>
          <w:lang w:val="en-GB"/>
        </w:rPr>
        <w:t>by</w:t>
      </w:r>
      <w:r w:rsidRPr="00380B40">
        <w:rPr>
          <w:spacing w:val="-3"/>
          <w:lang w:val="en-GB"/>
        </w:rPr>
        <w:t xml:space="preserve"> </w:t>
      </w:r>
      <w:r w:rsidRPr="00380B40">
        <w:rPr>
          <w:lang w:val="en-GB"/>
        </w:rPr>
        <w:t>the study</w:t>
      </w:r>
      <w:r w:rsidRPr="00380B40">
        <w:rPr>
          <w:spacing w:val="-3"/>
          <w:lang w:val="en-GB"/>
        </w:rPr>
        <w:t xml:space="preserve"> </w:t>
      </w:r>
      <w:r w:rsidRPr="00380B40">
        <w:rPr>
          <w:spacing w:val="-1"/>
          <w:lang w:val="en-GB"/>
        </w:rPr>
        <w:t xml:space="preserve">group. </w:t>
      </w:r>
      <w:r w:rsidRPr="00380B40">
        <w:rPr>
          <w:bCs/>
          <w:lang w:val="en-GB"/>
        </w:rPr>
        <w:t>V</w:t>
      </w:r>
      <w:r w:rsidRPr="00380B40">
        <w:rPr>
          <w:lang w:val="en-GB"/>
        </w:rPr>
        <w:t>isa</w:t>
      </w:r>
      <w:r w:rsidRPr="00380B40">
        <w:rPr>
          <w:spacing w:val="35"/>
          <w:lang w:val="en-GB"/>
        </w:rPr>
        <w:t xml:space="preserve"> </w:t>
      </w:r>
      <w:r w:rsidRPr="00380B40">
        <w:rPr>
          <w:lang w:val="en-GB"/>
        </w:rPr>
        <w:t>support</w:t>
      </w:r>
      <w:r w:rsidRPr="00380B40">
        <w:rPr>
          <w:spacing w:val="35"/>
          <w:lang w:val="en-GB"/>
        </w:rPr>
        <w:t xml:space="preserve"> </w:t>
      </w:r>
      <w:r w:rsidRPr="00380B40">
        <w:rPr>
          <w:lang w:val="en-GB"/>
        </w:rPr>
        <w:t>should</w:t>
      </w:r>
      <w:r w:rsidRPr="00380B40">
        <w:rPr>
          <w:spacing w:val="35"/>
          <w:lang w:val="en-GB"/>
        </w:rPr>
        <w:t xml:space="preserve"> </w:t>
      </w:r>
      <w:r w:rsidRPr="00380B40">
        <w:rPr>
          <w:spacing w:val="1"/>
          <w:lang w:val="en-GB"/>
        </w:rPr>
        <w:t>be</w:t>
      </w:r>
      <w:r w:rsidRPr="00380B40">
        <w:rPr>
          <w:spacing w:val="38"/>
          <w:lang w:val="en-GB"/>
        </w:rPr>
        <w:t xml:space="preserve"> </w:t>
      </w:r>
      <w:r w:rsidRPr="00380B40">
        <w:rPr>
          <w:spacing w:val="-1"/>
          <w:lang w:val="en-GB"/>
        </w:rPr>
        <w:t>provided</w:t>
      </w:r>
      <w:r w:rsidRPr="00380B40">
        <w:rPr>
          <w:lang w:val="en-GB"/>
        </w:rPr>
        <w:t xml:space="preserve"> </w:t>
      </w:r>
      <w:r w:rsidRPr="00380B40">
        <w:rPr>
          <w:spacing w:val="2"/>
          <w:lang w:val="en-GB"/>
        </w:rPr>
        <w:t>by</w:t>
      </w:r>
      <w:r w:rsidRPr="00380B40">
        <w:rPr>
          <w:spacing w:val="-5"/>
          <w:lang w:val="en-GB"/>
        </w:rPr>
        <w:t xml:space="preserve"> </w:t>
      </w:r>
      <w:r w:rsidRPr="00380B40">
        <w:rPr>
          <w:lang w:val="en-GB"/>
        </w:rPr>
        <w:t>the meeting</w:t>
      </w:r>
      <w:r w:rsidRPr="00380B40">
        <w:rPr>
          <w:spacing w:val="-1"/>
          <w:lang w:val="en-GB"/>
        </w:rPr>
        <w:t xml:space="preserve"> </w:t>
      </w:r>
      <w:r w:rsidRPr="00380B40">
        <w:rPr>
          <w:lang w:val="en-GB"/>
        </w:rPr>
        <w:t>host.</w:t>
      </w:r>
    </w:p>
    <w:p w14:paraId="32284B4C" w14:textId="77777777" w:rsidR="00C12517" w:rsidRPr="00380B40" w:rsidRDefault="00C12517" w:rsidP="00C12517">
      <w:pPr>
        <w:tabs>
          <w:tab w:val="clear" w:pos="794"/>
          <w:tab w:val="left" w:pos="910"/>
        </w:tabs>
        <w:rPr>
          <w:lang w:val="en-GB"/>
        </w:rPr>
      </w:pPr>
      <w:r w:rsidRPr="00380B40">
        <w:rPr>
          <w:b/>
          <w:bCs/>
          <w:lang w:val="en-GB"/>
        </w:rPr>
        <w:t>2.3.3.12</w:t>
      </w:r>
      <w:r w:rsidRPr="00380B40">
        <w:rPr>
          <w:b/>
          <w:bCs/>
          <w:lang w:val="en-GB"/>
        </w:rPr>
        <w:tab/>
      </w:r>
      <w:r w:rsidRPr="00380B40">
        <w:rPr>
          <w:spacing w:val="-1"/>
          <w:lang w:val="en-GB"/>
        </w:rPr>
        <w:t>Rapporteurs</w:t>
      </w:r>
      <w:r w:rsidRPr="00380B40">
        <w:rPr>
          <w:spacing w:val="-15"/>
          <w:lang w:val="en-GB"/>
        </w:rPr>
        <w:t xml:space="preserve"> </w:t>
      </w:r>
      <w:r w:rsidRPr="00380B40">
        <w:rPr>
          <w:lang w:val="en-GB"/>
        </w:rPr>
        <w:t>should</w:t>
      </w:r>
      <w:r w:rsidRPr="00380B40">
        <w:rPr>
          <w:spacing w:val="-15"/>
          <w:lang w:val="en-GB"/>
        </w:rPr>
        <w:t xml:space="preserve"> </w:t>
      </w:r>
      <w:r w:rsidRPr="00380B40">
        <w:rPr>
          <w:lang w:val="en-GB"/>
        </w:rPr>
        <w:t>prepare</w:t>
      </w:r>
      <w:r w:rsidRPr="00380B40">
        <w:rPr>
          <w:spacing w:val="-17"/>
          <w:lang w:val="en-GB"/>
        </w:rPr>
        <w:t xml:space="preserve"> </w:t>
      </w:r>
      <w:r w:rsidRPr="00380B40">
        <w:rPr>
          <w:lang w:val="en-GB"/>
        </w:rPr>
        <w:t>a</w:t>
      </w:r>
      <w:r w:rsidRPr="00380B40">
        <w:rPr>
          <w:spacing w:val="-14"/>
          <w:lang w:val="en-GB"/>
        </w:rPr>
        <w:t xml:space="preserve"> </w:t>
      </w:r>
      <w:r w:rsidRPr="00380B40">
        <w:rPr>
          <w:lang w:val="en-GB"/>
        </w:rPr>
        <w:t>meeting</w:t>
      </w:r>
      <w:r w:rsidRPr="00380B40">
        <w:rPr>
          <w:spacing w:val="-15"/>
          <w:lang w:val="en-GB"/>
        </w:rPr>
        <w:t xml:space="preserve"> </w:t>
      </w:r>
      <w:r w:rsidRPr="00380B40">
        <w:rPr>
          <w:spacing w:val="-1"/>
          <w:lang w:val="en-GB"/>
        </w:rPr>
        <w:t>report</w:t>
      </w:r>
      <w:r w:rsidRPr="00380B40">
        <w:rPr>
          <w:spacing w:val="-13"/>
          <w:lang w:val="en-GB"/>
        </w:rPr>
        <w:t xml:space="preserve"> </w:t>
      </w:r>
      <w:r w:rsidRPr="00380B40">
        <w:rPr>
          <w:lang w:val="en-GB"/>
        </w:rPr>
        <w:t>for</w:t>
      </w:r>
      <w:r w:rsidRPr="00380B40">
        <w:rPr>
          <w:spacing w:val="-14"/>
          <w:lang w:val="en-GB"/>
        </w:rPr>
        <w:t xml:space="preserve"> </w:t>
      </w:r>
      <w:r w:rsidRPr="00380B40">
        <w:rPr>
          <w:spacing w:val="-1"/>
          <w:lang w:val="en-GB"/>
        </w:rPr>
        <w:t>each</w:t>
      </w:r>
      <w:r w:rsidRPr="00380B40">
        <w:rPr>
          <w:spacing w:val="-15"/>
          <w:lang w:val="en-GB"/>
        </w:rPr>
        <w:t xml:space="preserve"> </w:t>
      </w:r>
      <w:r w:rsidRPr="00380B40">
        <w:rPr>
          <w:spacing w:val="-1"/>
          <w:lang w:val="en-GB"/>
        </w:rPr>
        <w:t>rapporteur</w:t>
      </w:r>
      <w:r w:rsidRPr="00380B40">
        <w:rPr>
          <w:spacing w:val="-13"/>
          <w:lang w:val="en-GB"/>
        </w:rPr>
        <w:t xml:space="preserve"> group </w:t>
      </w:r>
      <w:r w:rsidRPr="00380B40">
        <w:rPr>
          <w:lang w:val="en-GB"/>
        </w:rPr>
        <w:t>meeting</w:t>
      </w:r>
      <w:r w:rsidRPr="00380B40">
        <w:rPr>
          <w:spacing w:val="-17"/>
          <w:lang w:val="en-GB"/>
        </w:rPr>
        <w:t xml:space="preserve"> </w:t>
      </w:r>
      <w:r w:rsidRPr="00380B40">
        <w:rPr>
          <w:lang w:val="en-GB"/>
        </w:rPr>
        <w:t>held</w:t>
      </w:r>
      <w:r w:rsidRPr="00380B40">
        <w:rPr>
          <w:spacing w:val="-14"/>
          <w:lang w:val="en-GB"/>
        </w:rPr>
        <w:t xml:space="preserve"> </w:t>
      </w:r>
      <w:r w:rsidRPr="00380B40">
        <w:rPr>
          <w:spacing w:val="-1"/>
          <w:lang w:val="en-GB"/>
        </w:rPr>
        <w:t>and</w:t>
      </w:r>
      <w:r w:rsidRPr="00380B40">
        <w:rPr>
          <w:spacing w:val="-15"/>
          <w:lang w:val="en-GB"/>
        </w:rPr>
        <w:t xml:space="preserve"> </w:t>
      </w:r>
      <w:r w:rsidRPr="00380B40">
        <w:rPr>
          <w:lang w:val="en-GB"/>
        </w:rPr>
        <w:t>submit</w:t>
      </w:r>
      <w:r w:rsidRPr="00380B40">
        <w:rPr>
          <w:spacing w:val="55"/>
          <w:lang w:val="en-GB"/>
        </w:rPr>
        <w:t xml:space="preserve"> </w:t>
      </w:r>
      <w:r w:rsidRPr="00380B40">
        <w:rPr>
          <w:lang w:val="en-GB"/>
        </w:rPr>
        <w:t>it</w:t>
      </w:r>
      <w:r w:rsidRPr="00380B40">
        <w:rPr>
          <w:spacing w:val="31"/>
          <w:lang w:val="en-GB"/>
        </w:rPr>
        <w:t xml:space="preserve"> </w:t>
      </w:r>
      <w:r w:rsidRPr="00380B40">
        <w:rPr>
          <w:spacing w:val="-1"/>
          <w:lang w:val="en-GB"/>
        </w:rPr>
        <w:t>as</w:t>
      </w:r>
      <w:r w:rsidRPr="00380B40">
        <w:rPr>
          <w:spacing w:val="31"/>
          <w:lang w:val="en-GB"/>
        </w:rPr>
        <w:t xml:space="preserve"> </w:t>
      </w:r>
      <w:r w:rsidRPr="00380B40">
        <w:rPr>
          <w:lang w:val="en-GB"/>
        </w:rPr>
        <w:t>a</w:t>
      </w:r>
      <w:r w:rsidRPr="00380B40">
        <w:rPr>
          <w:spacing w:val="30"/>
          <w:lang w:val="en-GB"/>
        </w:rPr>
        <w:t xml:space="preserve"> </w:t>
      </w:r>
      <w:r w:rsidRPr="00380B40">
        <w:rPr>
          <w:lang w:val="en-GB"/>
        </w:rPr>
        <w:t>TD</w:t>
      </w:r>
      <w:r w:rsidRPr="00380B40">
        <w:rPr>
          <w:spacing w:val="30"/>
          <w:lang w:val="en-GB"/>
        </w:rPr>
        <w:t xml:space="preserve"> </w:t>
      </w:r>
      <w:r w:rsidRPr="00380B40">
        <w:rPr>
          <w:lang w:val="en-GB"/>
        </w:rPr>
        <w:t>to</w:t>
      </w:r>
      <w:r w:rsidRPr="00380B40">
        <w:rPr>
          <w:spacing w:val="31"/>
          <w:lang w:val="en-GB"/>
        </w:rPr>
        <w:t xml:space="preserve"> </w:t>
      </w:r>
      <w:r w:rsidRPr="00380B40">
        <w:rPr>
          <w:lang w:val="en-GB"/>
        </w:rPr>
        <w:t>the</w:t>
      </w:r>
      <w:r w:rsidRPr="00380B40">
        <w:rPr>
          <w:spacing w:val="30"/>
          <w:lang w:val="en-GB"/>
        </w:rPr>
        <w:t xml:space="preserve"> </w:t>
      </w:r>
      <w:r w:rsidRPr="00380B40">
        <w:rPr>
          <w:spacing w:val="-1"/>
          <w:lang w:val="en-GB"/>
        </w:rPr>
        <w:t>next</w:t>
      </w:r>
      <w:r w:rsidRPr="00380B40">
        <w:rPr>
          <w:spacing w:val="29"/>
          <w:lang w:val="en-GB"/>
        </w:rPr>
        <w:t xml:space="preserve"> </w:t>
      </w:r>
      <w:r w:rsidRPr="00380B40">
        <w:rPr>
          <w:lang w:val="en-GB"/>
        </w:rPr>
        <w:t>study</w:t>
      </w:r>
      <w:r w:rsidRPr="00380B40">
        <w:rPr>
          <w:spacing w:val="28"/>
          <w:lang w:val="en-GB"/>
        </w:rPr>
        <w:t xml:space="preserve"> </w:t>
      </w:r>
      <w:r w:rsidRPr="00380B40">
        <w:rPr>
          <w:spacing w:val="-1"/>
          <w:lang w:val="en-GB"/>
        </w:rPr>
        <w:t>group</w:t>
      </w:r>
      <w:r w:rsidRPr="00380B40">
        <w:rPr>
          <w:spacing w:val="30"/>
          <w:lang w:val="en-GB"/>
        </w:rPr>
        <w:t xml:space="preserve"> </w:t>
      </w:r>
      <w:r w:rsidRPr="00380B40">
        <w:rPr>
          <w:lang w:val="en-GB"/>
        </w:rPr>
        <w:t>or</w:t>
      </w:r>
      <w:r w:rsidRPr="00380B40">
        <w:rPr>
          <w:spacing w:val="30"/>
          <w:lang w:val="en-GB"/>
        </w:rPr>
        <w:t xml:space="preserve"> </w:t>
      </w:r>
      <w:r w:rsidRPr="00380B40">
        <w:rPr>
          <w:lang w:val="en-GB"/>
        </w:rPr>
        <w:t>working</w:t>
      </w:r>
      <w:r w:rsidRPr="00380B40">
        <w:rPr>
          <w:spacing w:val="28"/>
          <w:lang w:val="en-GB"/>
        </w:rPr>
        <w:t xml:space="preserve"> </w:t>
      </w:r>
      <w:r w:rsidRPr="00380B40">
        <w:rPr>
          <w:lang w:val="en-GB"/>
        </w:rPr>
        <w:t>party</w:t>
      </w:r>
      <w:r w:rsidRPr="00380B40">
        <w:rPr>
          <w:spacing w:val="31"/>
          <w:lang w:val="en-GB"/>
        </w:rPr>
        <w:t xml:space="preserve"> </w:t>
      </w:r>
      <w:r w:rsidRPr="00380B40">
        <w:rPr>
          <w:spacing w:val="-1"/>
          <w:lang w:val="en-GB"/>
        </w:rPr>
        <w:t>meeting.</w:t>
      </w:r>
      <w:r w:rsidRPr="00380B40">
        <w:rPr>
          <w:spacing w:val="30"/>
          <w:lang w:val="en-GB"/>
        </w:rPr>
        <w:t xml:space="preserve"> </w:t>
      </w:r>
      <w:r w:rsidRPr="00380B40">
        <w:rPr>
          <w:spacing w:val="-1"/>
          <w:lang w:val="en-GB"/>
        </w:rPr>
        <w:t>See</w:t>
      </w:r>
      <w:r w:rsidRPr="00380B40">
        <w:rPr>
          <w:spacing w:val="30"/>
          <w:lang w:val="en-GB"/>
        </w:rPr>
        <w:t xml:space="preserve"> </w:t>
      </w:r>
      <w:r w:rsidRPr="00380B40">
        <w:rPr>
          <w:lang w:val="en-GB"/>
        </w:rPr>
        <w:t>clause</w:t>
      </w:r>
      <w:r w:rsidRPr="00380B40">
        <w:rPr>
          <w:spacing w:val="32"/>
          <w:lang w:val="en-GB"/>
        </w:rPr>
        <w:t xml:space="preserve"> </w:t>
      </w:r>
      <w:r w:rsidRPr="00380B40">
        <w:rPr>
          <w:lang w:val="en-GB"/>
        </w:rPr>
        <w:t>3.3</w:t>
      </w:r>
      <w:r w:rsidRPr="00380B40">
        <w:rPr>
          <w:spacing w:val="30"/>
          <w:lang w:val="en-GB"/>
        </w:rPr>
        <w:t xml:space="preserve"> </w:t>
      </w:r>
      <w:r w:rsidRPr="00380B40">
        <w:rPr>
          <w:lang w:val="en-GB"/>
        </w:rPr>
        <w:t>for</w:t>
      </w:r>
      <w:r w:rsidRPr="00380B40">
        <w:rPr>
          <w:spacing w:val="29"/>
          <w:lang w:val="en-GB"/>
        </w:rPr>
        <w:t xml:space="preserve"> </w:t>
      </w:r>
      <w:r w:rsidRPr="00380B40">
        <w:rPr>
          <w:lang w:val="en-GB"/>
        </w:rPr>
        <w:t>submission</w:t>
      </w:r>
      <w:r w:rsidRPr="00380B40">
        <w:rPr>
          <w:spacing w:val="29"/>
          <w:lang w:val="en-GB"/>
        </w:rPr>
        <w:t xml:space="preserve"> </w:t>
      </w:r>
      <w:r w:rsidRPr="00380B40">
        <w:rPr>
          <w:spacing w:val="-1"/>
          <w:lang w:val="en-GB"/>
        </w:rPr>
        <w:t>and</w:t>
      </w:r>
      <w:r w:rsidRPr="00380B40">
        <w:rPr>
          <w:spacing w:val="33"/>
          <w:lang w:val="en-GB"/>
        </w:rPr>
        <w:t xml:space="preserve"> </w:t>
      </w:r>
      <w:r w:rsidRPr="00380B40">
        <w:rPr>
          <w:spacing w:val="-1"/>
          <w:lang w:val="en-GB"/>
        </w:rPr>
        <w:t>processing</w:t>
      </w:r>
      <w:r w:rsidRPr="00380B40">
        <w:rPr>
          <w:spacing w:val="-3"/>
          <w:lang w:val="en-GB"/>
        </w:rPr>
        <w:t xml:space="preserve"> </w:t>
      </w:r>
      <w:r w:rsidRPr="00380B40">
        <w:rPr>
          <w:lang w:val="en-GB"/>
        </w:rPr>
        <w:t xml:space="preserve">of </w:t>
      </w:r>
      <w:r w:rsidRPr="00380B40">
        <w:rPr>
          <w:spacing w:val="-1"/>
          <w:lang w:val="en-GB"/>
        </w:rPr>
        <w:t>TDs, and in particular clause 3.3.3.</w:t>
      </w:r>
    </w:p>
    <w:p w14:paraId="4EDD6465" w14:textId="77777777" w:rsidR="00C12517" w:rsidRPr="00380B40" w:rsidRDefault="00C12517" w:rsidP="00C12517">
      <w:pPr>
        <w:rPr>
          <w:lang w:val="en-GB"/>
        </w:rPr>
      </w:pPr>
      <w:r w:rsidRPr="00380B40">
        <w:rPr>
          <w:lang w:val="en-GB"/>
        </w:rPr>
        <w:t>This</w:t>
      </w:r>
      <w:r w:rsidRPr="00380B40">
        <w:rPr>
          <w:spacing w:val="33"/>
          <w:lang w:val="en-GB"/>
        </w:rPr>
        <w:t xml:space="preserve"> </w:t>
      </w:r>
      <w:r w:rsidRPr="00380B40">
        <w:rPr>
          <w:spacing w:val="-1"/>
          <w:lang w:val="en-GB"/>
        </w:rPr>
        <w:t>report</w:t>
      </w:r>
      <w:r w:rsidRPr="00380B40">
        <w:rPr>
          <w:spacing w:val="33"/>
          <w:lang w:val="en-GB"/>
        </w:rPr>
        <w:t xml:space="preserve"> </w:t>
      </w:r>
      <w:r w:rsidRPr="00380B40">
        <w:rPr>
          <w:lang w:val="en-GB"/>
        </w:rPr>
        <w:t>should</w:t>
      </w:r>
      <w:r w:rsidRPr="00380B40">
        <w:rPr>
          <w:spacing w:val="33"/>
          <w:lang w:val="en-GB"/>
        </w:rPr>
        <w:t xml:space="preserve"> </w:t>
      </w:r>
      <w:r w:rsidRPr="00380B40">
        <w:rPr>
          <w:lang w:val="en-GB"/>
        </w:rPr>
        <w:t>include</w:t>
      </w:r>
      <w:r w:rsidRPr="00380B40">
        <w:rPr>
          <w:spacing w:val="32"/>
          <w:lang w:val="en-GB"/>
        </w:rPr>
        <w:t xml:space="preserve"> </w:t>
      </w:r>
      <w:r w:rsidRPr="00380B40">
        <w:rPr>
          <w:lang w:val="en-GB"/>
        </w:rPr>
        <w:t>the</w:t>
      </w:r>
      <w:r w:rsidRPr="00380B40">
        <w:rPr>
          <w:spacing w:val="32"/>
          <w:lang w:val="en-GB"/>
        </w:rPr>
        <w:t xml:space="preserve"> </w:t>
      </w:r>
      <w:r w:rsidRPr="00380B40">
        <w:rPr>
          <w:spacing w:val="-1"/>
          <w:lang w:val="en-GB"/>
        </w:rPr>
        <w:t>date,</w:t>
      </w:r>
      <w:r w:rsidRPr="00380B40">
        <w:rPr>
          <w:spacing w:val="32"/>
          <w:lang w:val="en-GB"/>
        </w:rPr>
        <w:t xml:space="preserve"> </w:t>
      </w:r>
      <w:r w:rsidRPr="00380B40">
        <w:rPr>
          <w:spacing w:val="-1"/>
          <w:lang w:val="en-GB"/>
        </w:rPr>
        <w:t>venue</w:t>
      </w:r>
      <w:r w:rsidRPr="00380B40">
        <w:rPr>
          <w:spacing w:val="32"/>
          <w:lang w:val="en-GB"/>
        </w:rPr>
        <w:t xml:space="preserve"> </w:t>
      </w:r>
      <w:r w:rsidRPr="00380B40">
        <w:rPr>
          <w:spacing w:val="-1"/>
          <w:lang w:val="en-GB"/>
        </w:rPr>
        <w:t>and</w:t>
      </w:r>
      <w:r w:rsidRPr="00380B40">
        <w:rPr>
          <w:spacing w:val="35"/>
          <w:lang w:val="en-GB"/>
        </w:rPr>
        <w:t xml:space="preserve"> </w:t>
      </w:r>
      <w:r w:rsidRPr="00380B40">
        <w:rPr>
          <w:spacing w:val="-1"/>
          <w:lang w:val="en-GB"/>
        </w:rPr>
        <w:t>chairman,</w:t>
      </w:r>
      <w:r w:rsidRPr="00380B40">
        <w:rPr>
          <w:spacing w:val="33"/>
          <w:lang w:val="en-GB"/>
        </w:rPr>
        <w:t xml:space="preserve"> </w:t>
      </w:r>
      <w:r w:rsidRPr="00380B40">
        <w:rPr>
          <w:spacing w:val="-1"/>
          <w:lang w:val="en-GB"/>
        </w:rPr>
        <w:t>an</w:t>
      </w:r>
      <w:r w:rsidRPr="00380B40">
        <w:rPr>
          <w:spacing w:val="33"/>
          <w:lang w:val="en-GB"/>
        </w:rPr>
        <w:t xml:space="preserve"> </w:t>
      </w:r>
      <w:r w:rsidRPr="00380B40">
        <w:rPr>
          <w:spacing w:val="-1"/>
          <w:lang w:val="en-GB"/>
        </w:rPr>
        <w:t>attendance</w:t>
      </w:r>
      <w:r w:rsidRPr="00380B40">
        <w:rPr>
          <w:spacing w:val="34"/>
          <w:lang w:val="en-GB"/>
        </w:rPr>
        <w:t xml:space="preserve"> </w:t>
      </w:r>
      <w:r w:rsidRPr="00380B40">
        <w:rPr>
          <w:lang w:val="en-GB"/>
        </w:rPr>
        <w:t>list</w:t>
      </w:r>
      <w:r w:rsidRPr="00380B40">
        <w:rPr>
          <w:spacing w:val="34"/>
          <w:lang w:val="en-GB"/>
        </w:rPr>
        <w:t xml:space="preserve"> </w:t>
      </w:r>
      <w:r w:rsidRPr="00380B40">
        <w:rPr>
          <w:lang w:val="en-GB"/>
        </w:rPr>
        <w:t>with</w:t>
      </w:r>
      <w:r w:rsidRPr="00380B40">
        <w:rPr>
          <w:spacing w:val="31"/>
          <w:lang w:val="en-GB"/>
        </w:rPr>
        <w:t xml:space="preserve"> </w:t>
      </w:r>
      <w:r w:rsidRPr="00380B40">
        <w:rPr>
          <w:spacing w:val="-1"/>
          <w:lang w:val="en-GB"/>
        </w:rPr>
        <w:t>affiliations,</w:t>
      </w:r>
      <w:r w:rsidRPr="00380B40">
        <w:rPr>
          <w:spacing w:val="33"/>
          <w:lang w:val="en-GB"/>
        </w:rPr>
        <w:t xml:space="preserve"> </w:t>
      </w:r>
      <w:r w:rsidRPr="00380B40">
        <w:rPr>
          <w:spacing w:val="-1"/>
          <w:lang w:val="en-GB"/>
        </w:rPr>
        <w:t>the</w:t>
      </w:r>
      <w:r w:rsidRPr="00380B40">
        <w:rPr>
          <w:spacing w:val="81"/>
          <w:lang w:val="en-GB"/>
        </w:rPr>
        <w:t xml:space="preserve"> </w:t>
      </w:r>
      <w:r w:rsidRPr="00380B40">
        <w:rPr>
          <w:spacing w:val="-1"/>
          <w:lang w:val="en-GB"/>
        </w:rPr>
        <w:t>agenda</w:t>
      </w:r>
      <w:r w:rsidRPr="00380B40">
        <w:rPr>
          <w:spacing w:val="-11"/>
          <w:lang w:val="en-GB"/>
        </w:rPr>
        <w:t xml:space="preserve"> </w:t>
      </w:r>
      <w:r w:rsidRPr="00380B40">
        <w:rPr>
          <w:lang w:val="en-GB"/>
        </w:rPr>
        <w:t>of</w:t>
      </w:r>
      <w:r w:rsidRPr="00380B40">
        <w:rPr>
          <w:spacing w:val="-11"/>
          <w:lang w:val="en-GB"/>
        </w:rPr>
        <w:t xml:space="preserve"> </w:t>
      </w:r>
      <w:r w:rsidRPr="00380B40">
        <w:rPr>
          <w:lang w:val="en-GB"/>
        </w:rPr>
        <w:t>the</w:t>
      </w:r>
      <w:r w:rsidRPr="00380B40">
        <w:rPr>
          <w:spacing w:val="-11"/>
          <w:lang w:val="en-GB"/>
        </w:rPr>
        <w:t xml:space="preserve"> </w:t>
      </w:r>
      <w:r w:rsidRPr="00380B40">
        <w:rPr>
          <w:spacing w:val="-1"/>
          <w:lang w:val="en-GB"/>
        </w:rPr>
        <w:t>meeting,</w:t>
      </w:r>
      <w:r w:rsidRPr="00380B40">
        <w:rPr>
          <w:spacing w:val="-8"/>
          <w:lang w:val="en-GB"/>
        </w:rPr>
        <w:t xml:space="preserve"> </w:t>
      </w:r>
      <w:r w:rsidRPr="00380B40">
        <w:rPr>
          <w:lang w:val="en-GB"/>
        </w:rPr>
        <w:t>a</w:t>
      </w:r>
      <w:r w:rsidRPr="00380B40">
        <w:rPr>
          <w:spacing w:val="-9"/>
          <w:lang w:val="en-GB"/>
        </w:rPr>
        <w:t xml:space="preserve"> </w:t>
      </w:r>
      <w:r w:rsidRPr="00380B40">
        <w:rPr>
          <w:lang w:val="en-GB"/>
        </w:rPr>
        <w:t>summary</w:t>
      </w:r>
      <w:r w:rsidRPr="00380B40">
        <w:rPr>
          <w:spacing w:val="-15"/>
          <w:lang w:val="en-GB"/>
        </w:rPr>
        <w:t xml:space="preserve"> </w:t>
      </w:r>
      <w:r w:rsidRPr="00380B40">
        <w:rPr>
          <w:lang w:val="en-GB"/>
        </w:rPr>
        <w:t>of</w:t>
      </w:r>
      <w:r w:rsidRPr="00380B40">
        <w:rPr>
          <w:spacing w:val="-11"/>
          <w:lang w:val="en-GB"/>
        </w:rPr>
        <w:t xml:space="preserve"> </w:t>
      </w:r>
      <w:r w:rsidRPr="00380B40">
        <w:rPr>
          <w:spacing w:val="-1"/>
          <w:lang w:val="en-GB"/>
        </w:rPr>
        <w:t>technical</w:t>
      </w:r>
      <w:r w:rsidRPr="00380B40">
        <w:rPr>
          <w:spacing w:val="-10"/>
          <w:lang w:val="en-GB"/>
        </w:rPr>
        <w:t xml:space="preserve"> </w:t>
      </w:r>
      <w:r w:rsidRPr="00380B40">
        <w:rPr>
          <w:lang w:val="en-GB"/>
        </w:rPr>
        <w:t>inputs,</w:t>
      </w:r>
      <w:r w:rsidRPr="00380B40">
        <w:rPr>
          <w:spacing w:val="-9"/>
          <w:lang w:val="en-GB"/>
        </w:rPr>
        <w:t xml:space="preserve"> </w:t>
      </w:r>
      <w:r w:rsidRPr="00380B40">
        <w:rPr>
          <w:lang w:val="en-GB"/>
        </w:rPr>
        <w:t>a</w:t>
      </w:r>
      <w:r w:rsidRPr="00380B40">
        <w:rPr>
          <w:spacing w:val="-11"/>
          <w:lang w:val="en-GB"/>
        </w:rPr>
        <w:t xml:space="preserve"> </w:t>
      </w:r>
      <w:r w:rsidRPr="00380B40">
        <w:rPr>
          <w:lang w:val="en-GB"/>
        </w:rPr>
        <w:t>summary</w:t>
      </w:r>
      <w:r w:rsidRPr="00380B40">
        <w:rPr>
          <w:spacing w:val="-15"/>
          <w:lang w:val="en-GB"/>
        </w:rPr>
        <w:t xml:space="preserve"> </w:t>
      </w:r>
      <w:r w:rsidRPr="00380B40">
        <w:rPr>
          <w:lang w:val="en-GB"/>
        </w:rPr>
        <w:t>of</w:t>
      </w:r>
      <w:r w:rsidRPr="00380B40">
        <w:rPr>
          <w:spacing w:val="-11"/>
          <w:lang w:val="en-GB"/>
        </w:rPr>
        <w:t xml:space="preserve"> </w:t>
      </w:r>
      <w:r w:rsidRPr="00380B40">
        <w:rPr>
          <w:lang w:val="en-GB"/>
        </w:rPr>
        <w:t>results</w:t>
      </w:r>
      <w:r w:rsidRPr="00380B40">
        <w:rPr>
          <w:spacing w:val="-10"/>
          <w:lang w:val="en-GB"/>
        </w:rPr>
        <w:t xml:space="preserve"> </w:t>
      </w:r>
      <w:r w:rsidRPr="00380B40">
        <w:rPr>
          <w:spacing w:val="-1"/>
          <w:lang w:val="en-GB"/>
        </w:rPr>
        <w:t>and</w:t>
      </w:r>
      <w:r w:rsidRPr="00380B40">
        <w:rPr>
          <w:spacing w:val="-10"/>
          <w:lang w:val="en-GB"/>
        </w:rPr>
        <w:t xml:space="preserve"> </w:t>
      </w:r>
      <w:r w:rsidRPr="00380B40">
        <w:rPr>
          <w:lang w:val="en-GB"/>
        </w:rPr>
        <w:t>the</w:t>
      </w:r>
      <w:r w:rsidRPr="00380B40">
        <w:rPr>
          <w:spacing w:val="-11"/>
          <w:lang w:val="en-GB"/>
        </w:rPr>
        <w:t xml:space="preserve"> </w:t>
      </w:r>
      <w:r w:rsidRPr="00380B40">
        <w:rPr>
          <w:spacing w:val="-1"/>
          <w:lang w:val="en-GB"/>
        </w:rPr>
        <w:t>liaison</w:t>
      </w:r>
      <w:r w:rsidRPr="00380B40">
        <w:rPr>
          <w:spacing w:val="-9"/>
          <w:lang w:val="en-GB"/>
        </w:rPr>
        <w:t xml:space="preserve"> </w:t>
      </w:r>
      <w:r w:rsidRPr="00380B40">
        <w:rPr>
          <w:lang w:val="en-GB"/>
        </w:rPr>
        <w:t>statements</w:t>
      </w:r>
      <w:r w:rsidRPr="00380B40">
        <w:rPr>
          <w:spacing w:val="59"/>
          <w:lang w:val="en-GB"/>
        </w:rPr>
        <w:t xml:space="preserve"> </w:t>
      </w:r>
      <w:r w:rsidRPr="00380B40">
        <w:rPr>
          <w:spacing w:val="-1"/>
          <w:lang w:val="en-GB"/>
        </w:rPr>
        <w:t>sent</w:t>
      </w:r>
      <w:r w:rsidRPr="00380B40">
        <w:rPr>
          <w:lang w:val="en-GB"/>
        </w:rPr>
        <w:t xml:space="preserve"> to other</w:t>
      </w:r>
      <w:r w:rsidRPr="00380B40">
        <w:rPr>
          <w:spacing w:val="-2"/>
          <w:lang w:val="en-GB"/>
        </w:rPr>
        <w:t xml:space="preserve"> </w:t>
      </w:r>
      <w:r w:rsidRPr="00380B40">
        <w:rPr>
          <w:spacing w:val="-1"/>
          <w:lang w:val="en-GB"/>
        </w:rPr>
        <w:t>organizations.</w:t>
      </w:r>
    </w:p>
    <w:p w14:paraId="1E6162F7" w14:textId="77777777" w:rsidR="00C12517" w:rsidRPr="00380B40" w:rsidRDefault="00C12517" w:rsidP="00C12517">
      <w:pPr>
        <w:rPr>
          <w:lang w:val="en-GB"/>
        </w:rPr>
      </w:pPr>
      <w:r w:rsidRPr="00380B40">
        <w:rPr>
          <w:spacing w:val="-1"/>
          <w:lang w:val="en-GB"/>
        </w:rPr>
        <w:t>Rapporteurs</w:t>
      </w:r>
      <w:r w:rsidRPr="00380B40">
        <w:rPr>
          <w:spacing w:val="20"/>
          <w:lang w:val="en-GB"/>
        </w:rPr>
        <w:t xml:space="preserve"> </w:t>
      </w:r>
      <w:r w:rsidRPr="00380B40">
        <w:rPr>
          <w:lang w:val="en-GB"/>
        </w:rPr>
        <w:t>will</w:t>
      </w:r>
      <w:r w:rsidRPr="00380B40">
        <w:rPr>
          <w:spacing w:val="22"/>
          <w:lang w:val="en-GB"/>
        </w:rPr>
        <w:t xml:space="preserve"> </w:t>
      </w:r>
      <w:r w:rsidRPr="00380B40">
        <w:rPr>
          <w:spacing w:val="-1"/>
          <w:lang w:val="en-GB"/>
        </w:rPr>
        <w:t>ask,</w:t>
      </w:r>
      <w:r w:rsidRPr="00380B40">
        <w:rPr>
          <w:spacing w:val="21"/>
          <w:lang w:val="en-GB"/>
        </w:rPr>
        <w:t xml:space="preserve"> </w:t>
      </w:r>
      <w:r w:rsidRPr="00380B40">
        <w:rPr>
          <w:lang w:val="en-GB"/>
        </w:rPr>
        <w:t>during</w:t>
      </w:r>
      <w:r w:rsidRPr="00380B40">
        <w:rPr>
          <w:spacing w:val="21"/>
          <w:lang w:val="en-GB"/>
        </w:rPr>
        <w:t xml:space="preserve"> </w:t>
      </w:r>
      <w:r w:rsidRPr="00380B40">
        <w:rPr>
          <w:spacing w:val="-1"/>
          <w:lang w:val="en-GB"/>
        </w:rPr>
        <w:t>each</w:t>
      </w:r>
      <w:r w:rsidRPr="00380B40">
        <w:rPr>
          <w:spacing w:val="21"/>
          <w:lang w:val="en-GB"/>
        </w:rPr>
        <w:t xml:space="preserve"> </w:t>
      </w:r>
      <w:r w:rsidRPr="00380B40">
        <w:rPr>
          <w:spacing w:val="-1"/>
          <w:lang w:val="en-GB"/>
        </w:rPr>
        <w:t>meeting,</w:t>
      </w:r>
      <w:r w:rsidRPr="00380B40">
        <w:rPr>
          <w:spacing w:val="21"/>
          <w:lang w:val="en-GB"/>
        </w:rPr>
        <w:t xml:space="preserve"> </w:t>
      </w:r>
      <w:r w:rsidRPr="00380B40">
        <w:rPr>
          <w:lang w:val="en-GB"/>
        </w:rPr>
        <w:t>whether</w:t>
      </w:r>
      <w:r w:rsidRPr="00380B40">
        <w:rPr>
          <w:spacing w:val="20"/>
          <w:lang w:val="en-GB"/>
        </w:rPr>
        <w:t xml:space="preserve"> </w:t>
      </w:r>
      <w:r w:rsidRPr="00380B40">
        <w:rPr>
          <w:lang w:val="en-GB"/>
        </w:rPr>
        <w:t>anyone</w:t>
      </w:r>
      <w:r w:rsidRPr="00380B40">
        <w:rPr>
          <w:spacing w:val="20"/>
          <w:lang w:val="en-GB"/>
        </w:rPr>
        <w:t xml:space="preserve"> </w:t>
      </w:r>
      <w:r w:rsidRPr="00380B40">
        <w:rPr>
          <w:spacing w:val="-1"/>
          <w:lang w:val="en-GB"/>
        </w:rPr>
        <w:t>has</w:t>
      </w:r>
      <w:r w:rsidRPr="00380B40">
        <w:rPr>
          <w:spacing w:val="23"/>
          <w:lang w:val="en-GB"/>
        </w:rPr>
        <w:t xml:space="preserve"> </w:t>
      </w:r>
      <w:r w:rsidRPr="00380B40">
        <w:rPr>
          <w:spacing w:val="-1"/>
          <w:lang w:val="en-GB"/>
        </w:rPr>
        <w:t>knowledge</w:t>
      </w:r>
      <w:r w:rsidRPr="00380B40">
        <w:rPr>
          <w:spacing w:val="22"/>
          <w:lang w:val="en-GB"/>
        </w:rPr>
        <w:t xml:space="preserve"> </w:t>
      </w:r>
      <w:r w:rsidRPr="00380B40">
        <w:rPr>
          <w:lang w:val="en-GB"/>
        </w:rPr>
        <w:t>of</w:t>
      </w:r>
      <w:r w:rsidRPr="00380B40">
        <w:rPr>
          <w:spacing w:val="20"/>
          <w:lang w:val="en-GB"/>
        </w:rPr>
        <w:t xml:space="preserve"> </w:t>
      </w:r>
      <w:r w:rsidRPr="00380B40">
        <w:rPr>
          <w:spacing w:val="-1"/>
          <w:lang w:val="en-GB"/>
        </w:rPr>
        <w:t>intellectual property rights issues, including patents, copyright for software or text, marks,</w:t>
      </w:r>
      <w:r w:rsidRPr="00380B40">
        <w:rPr>
          <w:spacing w:val="10"/>
          <w:lang w:val="en-GB"/>
        </w:rPr>
        <w:t xml:space="preserve"> </w:t>
      </w:r>
      <w:r w:rsidRPr="00380B40">
        <w:rPr>
          <w:lang w:val="en-GB"/>
        </w:rPr>
        <w:t>the</w:t>
      </w:r>
      <w:r w:rsidRPr="00380B40">
        <w:rPr>
          <w:spacing w:val="8"/>
          <w:lang w:val="en-GB"/>
        </w:rPr>
        <w:t xml:space="preserve"> </w:t>
      </w:r>
      <w:r w:rsidRPr="00380B40">
        <w:rPr>
          <w:lang w:val="en-GB"/>
        </w:rPr>
        <w:t>use</w:t>
      </w:r>
      <w:r w:rsidRPr="00380B40">
        <w:rPr>
          <w:spacing w:val="8"/>
          <w:lang w:val="en-GB"/>
        </w:rPr>
        <w:t xml:space="preserve"> </w:t>
      </w:r>
      <w:r w:rsidRPr="00380B40">
        <w:rPr>
          <w:lang w:val="en-GB"/>
        </w:rPr>
        <w:t>of</w:t>
      </w:r>
      <w:r w:rsidRPr="00380B40">
        <w:rPr>
          <w:spacing w:val="8"/>
          <w:lang w:val="en-GB"/>
        </w:rPr>
        <w:t xml:space="preserve"> </w:t>
      </w:r>
      <w:r w:rsidRPr="00380B40">
        <w:rPr>
          <w:lang w:val="en-GB"/>
        </w:rPr>
        <w:t>which</w:t>
      </w:r>
      <w:r w:rsidRPr="00380B40">
        <w:rPr>
          <w:spacing w:val="8"/>
          <w:lang w:val="en-GB"/>
        </w:rPr>
        <w:t xml:space="preserve"> </w:t>
      </w:r>
      <w:r w:rsidRPr="00380B40">
        <w:rPr>
          <w:lang w:val="en-GB"/>
        </w:rPr>
        <w:t>may</w:t>
      </w:r>
      <w:r w:rsidRPr="00380B40">
        <w:rPr>
          <w:spacing w:val="4"/>
          <w:lang w:val="en-GB"/>
        </w:rPr>
        <w:t xml:space="preserve"> </w:t>
      </w:r>
      <w:r w:rsidRPr="00380B40">
        <w:rPr>
          <w:lang w:val="en-GB"/>
        </w:rPr>
        <w:t>be</w:t>
      </w:r>
      <w:r w:rsidRPr="00380B40">
        <w:rPr>
          <w:spacing w:val="8"/>
          <w:lang w:val="en-GB"/>
        </w:rPr>
        <w:t xml:space="preserve"> </w:t>
      </w:r>
      <w:r w:rsidRPr="00380B40">
        <w:rPr>
          <w:spacing w:val="-1"/>
          <w:lang w:val="en-GB"/>
        </w:rPr>
        <w:t>required</w:t>
      </w:r>
      <w:r w:rsidRPr="00380B40">
        <w:rPr>
          <w:spacing w:val="9"/>
          <w:lang w:val="en-GB"/>
        </w:rPr>
        <w:t xml:space="preserve"> </w:t>
      </w:r>
      <w:r w:rsidRPr="00380B40">
        <w:rPr>
          <w:lang w:val="en-GB"/>
        </w:rPr>
        <w:t>to</w:t>
      </w:r>
      <w:r w:rsidRPr="00380B40">
        <w:rPr>
          <w:spacing w:val="9"/>
          <w:lang w:val="en-GB"/>
        </w:rPr>
        <w:t xml:space="preserve"> </w:t>
      </w:r>
      <w:r w:rsidRPr="00380B40">
        <w:rPr>
          <w:spacing w:val="-1"/>
          <w:lang w:val="en-GB"/>
        </w:rPr>
        <w:t>implement</w:t>
      </w:r>
      <w:r w:rsidRPr="00380B40">
        <w:rPr>
          <w:spacing w:val="9"/>
          <w:lang w:val="en-GB"/>
        </w:rPr>
        <w:t xml:space="preserve"> or publish </w:t>
      </w:r>
      <w:r w:rsidRPr="00380B40">
        <w:rPr>
          <w:lang w:val="en-GB"/>
        </w:rPr>
        <w:t>the</w:t>
      </w:r>
      <w:r w:rsidRPr="00380B40">
        <w:rPr>
          <w:spacing w:val="8"/>
          <w:lang w:val="en-GB"/>
        </w:rPr>
        <w:t xml:space="preserve"> </w:t>
      </w:r>
      <w:r w:rsidRPr="00380B40">
        <w:rPr>
          <w:spacing w:val="-1"/>
          <w:lang w:val="en-GB"/>
        </w:rPr>
        <w:t>Recommendation</w:t>
      </w:r>
      <w:r w:rsidRPr="00380B40">
        <w:rPr>
          <w:spacing w:val="9"/>
          <w:lang w:val="en-GB"/>
        </w:rPr>
        <w:t xml:space="preserve"> </w:t>
      </w:r>
      <w:r w:rsidRPr="00380B40">
        <w:rPr>
          <w:spacing w:val="-1"/>
          <w:lang w:val="en-GB"/>
        </w:rPr>
        <w:t>being</w:t>
      </w:r>
      <w:r w:rsidRPr="00380B40">
        <w:rPr>
          <w:spacing w:val="7"/>
          <w:lang w:val="en-GB"/>
        </w:rPr>
        <w:t xml:space="preserve"> </w:t>
      </w:r>
      <w:r w:rsidRPr="00380B40">
        <w:rPr>
          <w:lang w:val="en-GB"/>
        </w:rPr>
        <w:t>considered.</w:t>
      </w:r>
      <w:r w:rsidRPr="00380B40">
        <w:rPr>
          <w:spacing w:val="71"/>
          <w:lang w:val="en-GB"/>
        </w:rPr>
        <w:t xml:space="preserve"> </w:t>
      </w:r>
      <w:r w:rsidRPr="00380B40">
        <w:rPr>
          <w:lang w:val="en-GB"/>
        </w:rPr>
        <w:t>The</w:t>
      </w:r>
      <w:r w:rsidRPr="00380B40">
        <w:rPr>
          <w:spacing w:val="51"/>
          <w:lang w:val="en-GB"/>
        </w:rPr>
        <w:t xml:space="preserve"> </w:t>
      </w:r>
      <w:r w:rsidRPr="00380B40">
        <w:rPr>
          <w:spacing w:val="-1"/>
          <w:lang w:val="en-GB"/>
        </w:rPr>
        <w:t>fact</w:t>
      </w:r>
      <w:r w:rsidRPr="00380B40">
        <w:rPr>
          <w:spacing w:val="53"/>
          <w:lang w:val="en-GB"/>
        </w:rPr>
        <w:t xml:space="preserve"> </w:t>
      </w:r>
      <w:r w:rsidRPr="00380B40">
        <w:rPr>
          <w:lang w:val="en-GB"/>
        </w:rPr>
        <w:t>that</w:t>
      </w:r>
      <w:r w:rsidRPr="00380B40">
        <w:rPr>
          <w:spacing w:val="52"/>
          <w:lang w:val="en-GB"/>
        </w:rPr>
        <w:t xml:space="preserve"> </w:t>
      </w:r>
      <w:r w:rsidRPr="00380B40">
        <w:rPr>
          <w:lang w:val="en-GB"/>
        </w:rPr>
        <w:t>the</w:t>
      </w:r>
      <w:r w:rsidRPr="00380B40">
        <w:rPr>
          <w:spacing w:val="52"/>
          <w:lang w:val="en-GB"/>
        </w:rPr>
        <w:t xml:space="preserve"> </w:t>
      </w:r>
      <w:r w:rsidRPr="00380B40">
        <w:rPr>
          <w:lang w:val="en-GB"/>
        </w:rPr>
        <w:t>question</w:t>
      </w:r>
      <w:r w:rsidRPr="00380B40">
        <w:rPr>
          <w:spacing w:val="52"/>
          <w:lang w:val="en-GB"/>
        </w:rPr>
        <w:t xml:space="preserve"> </w:t>
      </w:r>
      <w:r w:rsidRPr="00380B40">
        <w:rPr>
          <w:spacing w:val="-1"/>
          <w:lang w:val="en-GB"/>
        </w:rPr>
        <w:t>was</w:t>
      </w:r>
      <w:r w:rsidRPr="00380B40">
        <w:rPr>
          <w:spacing w:val="55"/>
          <w:lang w:val="en-GB"/>
        </w:rPr>
        <w:t xml:space="preserve"> </w:t>
      </w:r>
      <w:r w:rsidRPr="00380B40">
        <w:rPr>
          <w:spacing w:val="-1"/>
          <w:lang w:val="en-GB"/>
        </w:rPr>
        <w:t>asked</w:t>
      </w:r>
      <w:r w:rsidRPr="00380B40">
        <w:rPr>
          <w:spacing w:val="54"/>
          <w:lang w:val="en-GB"/>
        </w:rPr>
        <w:t xml:space="preserve"> </w:t>
      </w:r>
      <w:r w:rsidRPr="00380B40">
        <w:rPr>
          <w:spacing w:val="-1"/>
          <w:lang w:val="en-GB"/>
        </w:rPr>
        <w:t>shall</w:t>
      </w:r>
      <w:r w:rsidRPr="00380B40">
        <w:rPr>
          <w:spacing w:val="53"/>
          <w:lang w:val="en-GB"/>
        </w:rPr>
        <w:t xml:space="preserve"> </w:t>
      </w:r>
      <w:r w:rsidRPr="00380B40">
        <w:rPr>
          <w:lang w:val="en-GB"/>
        </w:rPr>
        <w:t>be</w:t>
      </w:r>
      <w:r w:rsidRPr="00380B40">
        <w:rPr>
          <w:spacing w:val="54"/>
          <w:lang w:val="en-GB"/>
        </w:rPr>
        <w:t xml:space="preserve"> </w:t>
      </w:r>
      <w:r w:rsidRPr="00380B40">
        <w:rPr>
          <w:spacing w:val="-1"/>
          <w:lang w:val="en-GB"/>
        </w:rPr>
        <w:t>recorded</w:t>
      </w:r>
      <w:r w:rsidRPr="00380B40">
        <w:rPr>
          <w:spacing w:val="52"/>
          <w:lang w:val="en-GB"/>
        </w:rPr>
        <w:t xml:space="preserve"> </w:t>
      </w:r>
      <w:r w:rsidRPr="00380B40">
        <w:rPr>
          <w:lang w:val="en-GB"/>
        </w:rPr>
        <w:t>in</w:t>
      </w:r>
      <w:r w:rsidRPr="00380B40">
        <w:rPr>
          <w:spacing w:val="53"/>
          <w:lang w:val="en-GB"/>
        </w:rPr>
        <w:t xml:space="preserve"> </w:t>
      </w:r>
      <w:r w:rsidRPr="00380B40">
        <w:rPr>
          <w:lang w:val="en-GB"/>
        </w:rPr>
        <w:t>the</w:t>
      </w:r>
      <w:r w:rsidRPr="00380B40">
        <w:rPr>
          <w:spacing w:val="52"/>
          <w:lang w:val="en-GB"/>
        </w:rPr>
        <w:t xml:space="preserve"> </w:t>
      </w:r>
      <w:r w:rsidRPr="00380B40">
        <w:rPr>
          <w:lang w:val="en-GB"/>
        </w:rPr>
        <w:t>meeting</w:t>
      </w:r>
      <w:r w:rsidRPr="00380B40">
        <w:rPr>
          <w:spacing w:val="52"/>
          <w:lang w:val="en-GB"/>
        </w:rPr>
        <w:t xml:space="preserve"> </w:t>
      </w:r>
      <w:r w:rsidRPr="00380B40">
        <w:rPr>
          <w:spacing w:val="-1"/>
          <w:lang w:val="en-GB"/>
        </w:rPr>
        <w:t>report,</w:t>
      </w:r>
      <w:r w:rsidRPr="00380B40">
        <w:rPr>
          <w:spacing w:val="52"/>
          <w:lang w:val="en-GB"/>
        </w:rPr>
        <w:t xml:space="preserve"> </w:t>
      </w:r>
      <w:r w:rsidRPr="00380B40">
        <w:rPr>
          <w:lang w:val="en-GB"/>
        </w:rPr>
        <w:t>along</w:t>
      </w:r>
      <w:r w:rsidRPr="00380B40">
        <w:rPr>
          <w:spacing w:val="50"/>
          <w:lang w:val="en-GB"/>
        </w:rPr>
        <w:t xml:space="preserve"> </w:t>
      </w:r>
      <w:r w:rsidRPr="00380B40">
        <w:rPr>
          <w:lang w:val="en-GB"/>
        </w:rPr>
        <w:t>with</w:t>
      </w:r>
      <w:r w:rsidRPr="00380B40">
        <w:rPr>
          <w:spacing w:val="55"/>
          <w:lang w:val="en-GB"/>
        </w:rPr>
        <w:t xml:space="preserve"> </w:t>
      </w:r>
      <w:r w:rsidRPr="00380B40">
        <w:rPr>
          <w:spacing w:val="1"/>
          <w:lang w:val="en-GB"/>
        </w:rPr>
        <w:t>any</w:t>
      </w:r>
      <w:r w:rsidRPr="00380B40">
        <w:rPr>
          <w:spacing w:val="49"/>
          <w:lang w:val="en-GB"/>
        </w:rPr>
        <w:t xml:space="preserve"> </w:t>
      </w:r>
      <w:r w:rsidRPr="00380B40">
        <w:rPr>
          <w:spacing w:val="-1"/>
          <w:lang w:val="en-GB"/>
        </w:rPr>
        <w:t>affirmative</w:t>
      </w:r>
      <w:r w:rsidRPr="00380B40">
        <w:rPr>
          <w:spacing w:val="1"/>
          <w:lang w:val="en-GB"/>
        </w:rPr>
        <w:t xml:space="preserve"> </w:t>
      </w:r>
      <w:r w:rsidRPr="00380B40">
        <w:rPr>
          <w:spacing w:val="-1"/>
          <w:lang w:val="en-GB"/>
        </w:rPr>
        <w:t>responses.</w:t>
      </w:r>
    </w:p>
    <w:p w14:paraId="191E6344" w14:textId="77777777" w:rsidR="00C12517" w:rsidRPr="00380B40" w:rsidRDefault="00C12517" w:rsidP="00C12517">
      <w:pPr>
        <w:tabs>
          <w:tab w:val="clear" w:pos="794"/>
          <w:tab w:val="left" w:pos="882"/>
        </w:tabs>
        <w:rPr>
          <w:lang w:val="en-GB"/>
        </w:rPr>
      </w:pPr>
      <w:r w:rsidRPr="00380B40">
        <w:rPr>
          <w:b/>
          <w:bCs/>
          <w:lang w:val="en-GB"/>
        </w:rPr>
        <w:t>2.3.3.13</w:t>
      </w:r>
      <w:r w:rsidRPr="00380B40">
        <w:rPr>
          <w:lang w:val="en-GB"/>
        </w:rPr>
        <w:tab/>
        <w:t>Rapporteur group meetings</w:t>
      </w:r>
      <w:r w:rsidRPr="00380B40">
        <w:rPr>
          <w:spacing w:val="-1"/>
          <w:lang w:val="en-GB"/>
        </w:rPr>
        <w:t>,</w:t>
      </w:r>
      <w:r w:rsidRPr="00380B40">
        <w:rPr>
          <w:spacing w:val="14"/>
          <w:lang w:val="en-GB"/>
        </w:rPr>
        <w:t xml:space="preserve"> </w:t>
      </w:r>
      <w:r w:rsidRPr="00380B40">
        <w:rPr>
          <w:spacing w:val="-1"/>
          <w:lang w:val="en-GB"/>
        </w:rPr>
        <w:t>as</w:t>
      </w:r>
      <w:r w:rsidRPr="00380B40">
        <w:rPr>
          <w:spacing w:val="14"/>
          <w:lang w:val="en-GB"/>
        </w:rPr>
        <w:t xml:space="preserve"> </w:t>
      </w:r>
      <w:r w:rsidRPr="00380B40">
        <w:rPr>
          <w:spacing w:val="-1"/>
          <w:lang w:val="en-GB"/>
        </w:rPr>
        <w:t>such,</w:t>
      </w:r>
      <w:r w:rsidRPr="00380B40">
        <w:rPr>
          <w:spacing w:val="14"/>
          <w:lang w:val="en-GB"/>
        </w:rPr>
        <w:t xml:space="preserve"> </w:t>
      </w:r>
      <w:r w:rsidRPr="00380B40">
        <w:rPr>
          <w:lang w:val="en-GB"/>
        </w:rPr>
        <w:t>should</w:t>
      </w:r>
      <w:r w:rsidRPr="00380B40">
        <w:rPr>
          <w:spacing w:val="14"/>
          <w:lang w:val="en-GB"/>
        </w:rPr>
        <w:t xml:space="preserve"> </w:t>
      </w:r>
      <w:r w:rsidRPr="00380B40">
        <w:rPr>
          <w:lang w:val="en-GB"/>
        </w:rPr>
        <w:t>not</w:t>
      </w:r>
      <w:r w:rsidRPr="00380B40">
        <w:rPr>
          <w:spacing w:val="14"/>
          <w:lang w:val="en-GB"/>
        </w:rPr>
        <w:t xml:space="preserve"> </w:t>
      </w:r>
      <w:r w:rsidRPr="00380B40">
        <w:rPr>
          <w:lang w:val="en-GB"/>
        </w:rPr>
        <w:t>be</w:t>
      </w:r>
      <w:r w:rsidRPr="00380B40">
        <w:rPr>
          <w:spacing w:val="13"/>
          <w:lang w:val="en-GB"/>
        </w:rPr>
        <w:t xml:space="preserve"> </w:t>
      </w:r>
      <w:r w:rsidRPr="00380B40">
        <w:rPr>
          <w:spacing w:val="-1"/>
          <w:lang w:val="en-GB"/>
        </w:rPr>
        <w:t>held</w:t>
      </w:r>
      <w:r w:rsidRPr="00380B40">
        <w:rPr>
          <w:spacing w:val="12"/>
          <w:lang w:val="en-GB"/>
        </w:rPr>
        <w:t xml:space="preserve"> </w:t>
      </w:r>
      <w:r w:rsidRPr="00380B40">
        <w:rPr>
          <w:lang w:val="en-GB"/>
        </w:rPr>
        <w:t>during</w:t>
      </w:r>
      <w:r w:rsidRPr="00380B40">
        <w:rPr>
          <w:spacing w:val="11"/>
          <w:lang w:val="en-GB"/>
        </w:rPr>
        <w:t xml:space="preserve"> </w:t>
      </w:r>
      <w:r w:rsidRPr="00380B40">
        <w:rPr>
          <w:lang w:val="en-GB"/>
        </w:rPr>
        <w:t>working</w:t>
      </w:r>
      <w:r w:rsidRPr="00380B40">
        <w:rPr>
          <w:spacing w:val="11"/>
          <w:lang w:val="en-GB"/>
        </w:rPr>
        <w:t xml:space="preserve"> </w:t>
      </w:r>
      <w:r w:rsidRPr="00380B40">
        <w:rPr>
          <w:lang w:val="en-GB"/>
        </w:rPr>
        <w:t>party</w:t>
      </w:r>
      <w:r w:rsidRPr="00380B40">
        <w:rPr>
          <w:spacing w:val="9"/>
          <w:lang w:val="en-GB"/>
        </w:rPr>
        <w:t xml:space="preserve"> </w:t>
      </w:r>
      <w:r w:rsidRPr="00380B40">
        <w:rPr>
          <w:lang w:val="en-GB"/>
        </w:rPr>
        <w:t>or</w:t>
      </w:r>
      <w:r w:rsidRPr="00380B40">
        <w:rPr>
          <w:spacing w:val="15"/>
          <w:lang w:val="en-GB"/>
        </w:rPr>
        <w:t xml:space="preserve"> </w:t>
      </w:r>
      <w:r w:rsidRPr="00380B40">
        <w:rPr>
          <w:lang w:val="en-GB"/>
        </w:rPr>
        <w:t>study</w:t>
      </w:r>
      <w:r w:rsidRPr="00380B40">
        <w:rPr>
          <w:spacing w:val="9"/>
          <w:lang w:val="en-GB"/>
        </w:rPr>
        <w:t xml:space="preserve"> </w:t>
      </w:r>
      <w:r w:rsidRPr="00380B40">
        <w:rPr>
          <w:lang w:val="en-GB"/>
        </w:rPr>
        <w:t>group</w:t>
      </w:r>
      <w:r w:rsidRPr="00380B40">
        <w:rPr>
          <w:spacing w:val="53"/>
          <w:lang w:val="en-GB"/>
        </w:rPr>
        <w:t xml:space="preserve"> </w:t>
      </w:r>
      <w:r w:rsidRPr="00380B40">
        <w:rPr>
          <w:spacing w:val="-1"/>
          <w:lang w:val="en-GB"/>
        </w:rPr>
        <w:t>meetings.</w:t>
      </w:r>
      <w:r w:rsidRPr="00380B40">
        <w:rPr>
          <w:spacing w:val="-5"/>
          <w:lang w:val="en-GB"/>
        </w:rPr>
        <w:t xml:space="preserve"> </w:t>
      </w:r>
      <w:r w:rsidRPr="00380B40">
        <w:rPr>
          <w:spacing w:val="-1"/>
          <w:lang w:val="en-GB"/>
        </w:rPr>
        <w:t>However,</w:t>
      </w:r>
      <w:r w:rsidRPr="00380B40">
        <w:rPr>
          <w:spacing w:val="-6"/>
          <w:lang w:val="en-GB"/>
        </w:rPr>
        <w:t xml:space="preserve"> </w:t>
      </w:r>
      <w:r w:rsidRPr="00380B40">
        <w:rPr>
          <w:lang w:val="en-GB"/>
        </w:rPr>
        <w:t>rapporteurs</w:t>
      </w:r>
      <w:r w:rsidRPr="00380B40">
        <w:rPr>
          <w:spacing w:val="-6"/>
          <w:lang w:val="en-GB"/>
        </w:rPr>
        <w:t xml:space="preserve"> </w:t>
      </w:r>
      <w:r w:rsidRPr="00380B40">
        <w:rPr>
          <w:spacing w:val="1"/>
          <w:lang w:val="en-GB"/>
        </w:rPr>
        <w:t>may</w:t>
      </w:r>
      <w:r w:rsidRPr="00380B40">
        <w:rPr>
          <w:spacing w:val="-12"/>
          <w:lang w:val="en-GB"/>
        </w:rPr>
        <w:t xml:space="preserve"> </w:t>
      </w:r>
      <w:r w:rsidRPr="00380B40">
        <w:rPr>
          <w:spacing w:val="1"/>
          <w:lang w:val="en-GB"/>
        </w:rPr>
        <w:t>be</w:t>
      </w:r>
      <w:r w:rsidRPr="00380B40">
        <w:rPr>
          <w:spacing w:val="-6"/>
          <w:lang w:val="en-GB"/>
        </w:rPr>
        <w:t xml:space="preserve"> </w:t>
      </w:r>
      <w:r w:rsidRPr="00380B40">
        <w:rPr>
          <w:spacing w:val="-1"/>
          <w:lang w:val="en-GB"/>
        </w:rPr>
        <w:t>called</w:t>
      </w:r>
      <w:r w:rsidRPr="00380B40">
        <w:rPr>
          <w:spacing w:val="-5"/>
          <w:lang w:val="en-GB"/>
        </w:rPr>
        <w:t xml:space="preserve"> </w:t>
      </w:r>
      <w:r w:rsidRPr="00380B40">
        <w:rPr>
          <w:lang w:val="en-GB"/>
        </w:rPr>
        <w:t>upon</w:t>
      </w:r>
      <w:r w:rsidRPr="00380B40">
        <w:rPr>
          <w:spacing w:val="-5"/>
          <w:lang w:val="en-GB"/>
        </w:rPr>
        <w:t xml:space="preserve"> </w:t>
      </w:r>
      <w:r w:rsidRPr="00380B40">
        <w:rPr>
          <w:lang w:val="en-GB"/>
        </w:rPr>
        <w:t>to</w:t>
      </w:r>
      <w:r w:rsidRPr="00380B40">
        <w:rPr>
          <w:spacing w:val="-5"/>
          <w:lang w:val="en-GB"/>
        </w:rPr>
        <w:t xml:space="preserve"> </w:t>
      </w:r>
      <w:r w:rsidRPr="00380B40">
        <w:rPr>
          <w:spacing w:val="-1"/>
          <w:lang w:val="en-GB"/>
        </w:rPr>
        <w:t>chair</w:t>
      </w:r>
      <w:r w:rsidRPr="00380B40">
        <w:rPr>
          <w:spacing w:val="-6"/>
          <w:lang w:val="en-GB"/>
        </w:rPr>
        <w:t xml:space="preserve"> </w:t>
      </w:r>
      <w:r w:rsidRPr="00380B40">
        <w:rPr>
          <w:lang w:val="en-GB"/>
        </w:rPr>
        <w:t>those</w:t>
      </w:r>
      <w:r w:rsidRPr="00380B40">
        <w:rPr>
          <w:spacing w:val="-6"/>
          <w:lang w:val="en-GB"/>
        </w:rPr>
        <w:t xml:space="preserve"> </w:t>
      </w:r>
      <w:r w:rsidRPr="00380B40">
        <w:rPr>
          <w:lang w:val="en-GB"/>
        </w:rPr>
        <w:t>portions</w:t>
      </w:r>
      <w:r w:rsidRPr="00380B40">
        <w:rPr>
          <w:spacing w:val="-7"/>
          <w:lang w:val="en-GB"/>
        </w:rPr>
        <w:t xml:space="preserve"> </w:t>
      </w:r>
      <w:r w:rsidRPr="00380B40">
        <w:rPr>
          <w:spacing w:val="1"/>
          <w:lang w:val="en-GB"/>
        </w:rPr>
        <w:t>of</w:t>
      </w:r>
      <w:r w:rsidRPr="00380B40">
        <w:rPr>
          <w:spacing w:val="-6"/>
          <w:lang w:val="en-GB"/>
        </w:rPr>
        <w:t xml:space="preserve"> </w:t>
      </w:r>
      <w:r w:rsidRPr="00380B40">
        <w:rPr>
          <w:spacing w:val="-1"/>
          <w:lang w:val="en-GB"/>
        </w:rPr>
        <w:t>working</w:t>
      </w:r>
      <w:r w:rsidRPr="00380B40">
        <w:rPr>
          <w:spacing w:val="-7"/>
          <w:lang w:val="en-GB"/>
        </w:rPr>
        <w:t xml:space="preserve"> </w:t>
      </w:r>
      <w:r w:rsidRPr="00380B40">
        <w:rPr>
          <w:lang w:val="en-GB"/>
        </w:rPr>
        <w:t>party</w:t>
      </w:r>
      <w:r w:rsidRPr="00380B40">
        <w:rPr>
          <w:spacing w:val="-10"/>
          <w:lang w:val="en-GB"/>
        </w:rPr>
        <w:t xml:space="preserve"> </w:t>
      </w:r>
      <w:r w:rsidRPr="00380B40">
        <w:rPr>
          <w:lang w:val="en-GB"/>
        </w:rPr>
        <w:t>or</w:t>
      </w:r>
      <w:r w:rsidRPr="00380B40">
        <w:rPr>
          <w:spacing w:val="-6"/>
          <w:lang w:val="en-GB"/>
        </w:rPr>
        <w:t xml:space="preserve"> </w:t>
      </w:r>
      <w:r w:rsidRPr="00380B40">
        <w:rPr>
          <w:lang w:val="en-GB"/>
        </w:rPr>
        <w:t>study</w:t>
      </w:r>
      <w:r w:rsidRPr="00380B40">
        <w:rPr>
          <w:spacing w:val="58"/>
          <w:lang w:val="en-GB"/>
        </w:rPr>
        <w:t xml:space="preserve"> </w:t>
      </w:r>
      <w:r w:rsidRPr="00380B40">
        <w:rPr>
          <w:spacing w:val="-1"/>
          <w:lang w:val="en-GB"/>
        </w:rPr>
        <w:t>group</w:t>
      </w:r>
      <w:r w:rsidRPr="00380B40">
        <w:rPr>
          <w:spacing w:val="34"/>
          <w:lang w:val="en-GB"/>
        </w:rPr>
        <w:t xml:space="preserve"> </w:t>
      </w:r>
      <w:r w:rsidRPr="00380B40">
        <w:rPr>
          <w:spacing w:val="-1"/>
          <w:lang w:val="en-GB"/>
        </w:rPr>
        <w:t>meetings</w:t>
      </w:r>
      <w:r w:rsidRPr="00380B40">
        <w:rPr>
          <w:spacing w:val="33"/>
          <w:lang w:val="en-GB"/>
        </w:rPr>
        <w:t xml:space="preserve"> </w:t>
      </w:r>
      <w:r w:rsidRPr="00380B40">
        <w:rPr>
          <w:lang w:val="en-GB"/>
        </w:rPr>
        <w:t>that</w:t>
      </w:r>
      <w:r w:rsidRPr="00380B40">
        <w:rPr>
          <w:spacing w:val="33"/>
          <w:lang w:val="en-GB"/>
        </w:rPr>
        <w:t xml:space="preserve"> </w:t>
      </w:r>
      <w:r w:rsidRPr="00380B40">
        <w:rPr>
          <w:lang w:val="en-GB"/>
        </w:rPr>
        <w:t>deal</w:t>
      </w:r>
      <w:r w:rsidRPr="00380B40">
        <w:rPr>
          <w:spacing w:val="33"/>
          <w:lang w:val="en-GB"/>
        </w:rPr>
        <w:t xml:space="preserve"> </w:t>
      </w:r>
      <w:r w:rsidRPr="00380B40">
        <w:rPr>
          <w:lang w:val="en-GB"/>
        </w:rPr>
        <w:t>with</w:t>
      </w:r>
      <w:r w:rsidRPr="00380B40">
        <w:rPr>
          <w:spacing w:val="33"/>
          <w:lang w:val="en-GB"/>
        </w:rPr>
        <w:t xml:space="preserve"> </w:t>
      </w:r>
      <w:r w:rsidRPr="00380B40">
        <w:rPr>
          <w:lang w:val="en-GB"/>
        </w:rPr>
        <w:t>their</w:t>
      </w:r>
      <w:r w:rsidRPr="00380B40">
        <w:rPr>
          <w:spacing w:val="32"/>
          <w:lang w:val="en-GB"/>
        </w:rPr>
        <w:t xml:space="preserve"> </w:t>
      </w:r>
      <w:r w:rsidRPr="00380B40">
        <w:rPr>
          <w:lang w:val="en-GB"/>
        </w:rPr>
        <w:t>particular</w:t>
      </w:r>
      <w:r w:rsidRPr="00380B40">
        <w:rPr>
          <w:spacing w:val="34"/>
          <w:lang w:val="en-GB"/>
        </w:rPr>
        <w:t xml:space="preserve"> </w:t>
      </w:r>
      <w:r w:rsidRPr="00380B40">
        <w:rPr>
          <w:spacing w:val="-1"/>
          <w:lang w:val="en-GB"/>
        </w:rPr>
        <w:t>area</w:t>
      </w:r>
      <w:r w:rsidRPr="00380B40">
        <w:rPr>
          <w:spacing w:val="32"/>
          <w:lang w:val="en-GB"/>
        </w:rPr>
        <w:t xml:space="preserve"> </w:t>
      </w:r>
      <w:r w:rsidRPr="00380B40">
        <w:rPr>
          <w:lang w:val="en-GB"/>
        </w:rPr>
        <w:t>of</w:t>
      </w:r>
      <w:r w:rsidRPr="00380B40">
        <w:rPr>
          <w:spacing w:val="34"/>
          <w:lang w:val="en-GB"/>
        </w:rPr>
        <w:t xml:space="preserve"> </w:t>
      </w:r>
      <w:r w:rsidRPr="00380B40">
        <w:rPr>
          <w:lang w:val="en-GB"/>
        </w:rPr>
        <w:t>expertise.</w:t>
      </w:r>
      <w:r w:rsidRPr="00380B40">
        <w:rPr>
          <w:spacing w:val="35"/>
          <w:lang w:val="en-GB"/>
        </w:rPr>
        <w:t xml:space="preserve"> </w:t>
      </w:r>
      <w:r w:rsidRPr="00380B40">
        <w:rPr>
          <w:spacing w:val="-2"/>
          <w:lang w:val="en-GB"/>
        </w:rPr>
        <w:t>In</w:t>
      </w:r>
      <w:r w:rsidRPr="00380B40">
        <w:rPr>
          <w:spacing w:val="35"/>
          <w:lang w:val="en-GB"/>
        </w:rPr>
        <w:t xml:space="preserve"> </w:t>
      </w:r>
      <w:r w:rsidRPr="00380B40">
        <w:rPr>
          <w:lang w:val="en-GB"/>
        </w:rPr>
        <w:t>these</w:t>
      </w:r>
      <w:r w:rsidRPr="00380B40">
        <w:rPr>
          <w:spacing w:val="34"/>
          <w:lang w:val="en-GB"/>
        </w:rPr>
        <w:t xml:space="preserve"> </w:t>
      </w:r>
      <w:r w:rsidRPr="00380B40">
        <w:rPr>
          <w:spacing w:val="-1"/>
          <w:lang w:val="en-GB"/>
        </w:rPr>
        <w:t>cases,</w:t>
      </w:r>
      <w:r w:rsidRPr="00380B40">
        <w:rPr>
          <w:spacing w:val="35"/>
          <w:lang w:val="en-GB"/>
        </w:rPr>
        <w:t xml:space="preserve"> </w:t>
      </w:r>
      <w:r w:rsidRPr="00380B40">
        <w:rPr>
          <w:spacing w:val="-1"/>
          <w:lang w:val="en-GB"/>
        </w:rPr>
        <w:t>rapporteurs</w:t>
      </w:r>
      <w:r w:rsidRPr="00380B40">
        <w:rPr>
          <w:spacing w:val="32"/>
          <w:lang w:val="en-GB"/>
        </w:rPr>
        <w:t xml:space="preserve"> </w:t>
      </w:r>
      <w:r w:rsidRPr="00380B40">
        <w:rPr>
          <w:lang w:val="en-GB"/>
        </w:rPr>
        <w:t>must</w:t>
      </w:r>
      <w:r w:rsidRPr="00380B40">
        <w:rPr>
          <w:spacing w:val="49"/>
          <w:lang w:val="en-GB"/>
        </w:rPr>
        <w:t xml:space="preserve"> </w:t>
      </w:r>
      <w:r w:rsidRPr="00380B40">
        <w:rPr>
          <w:spacing w:val="-1"/>
          <w:lang w:val="en-GB"/>
        </w:rPr>
        <w:t>recognize</w:t>
      </w:r>
      <w:r w:rsidRPr="00380B40">
        <w:rPr>
          <w:spacing w:val="27"/>
          <w:lang w:val="en-GB"/>
        </w:rPr>
        <w:t xml:space="preserve"> </w:t>
      </w:r>
      <w:r w:rsidRPr="00380B40">
        <w:rPr>
          <w:lang w:val="en-GB"/>
        </w:rPr>
        <w:t>that</w:t>
      </w:r>
      <w:r w:rsidRPr="00380B40">
        <w:rPr>
          <w:spacing w:val="28"/>
          <w:lang w:val="en-GB"/>
        </w:rPr>
        <w:t xml:space="preserve"> </w:t>
      </w:r>
      <w:r w:rsidRPr="00380B40">
        <w:rPr>
          <w:lang w:val="en-GB"/>
        </w:rPr>
        <w:t>the</w:t>
      </w:r>
      <w:r w:rsidRPr="00380B40">
        <w:rPr>
          <w:spacing w:val="30"/>
          <w:lang w:val="en-GB"/>
        </w:rPr>
        <w:t xml:space="preserve"> </w:t>
      </w:r>
      <w:r w:rsidRPr="00380B40">
        <w:rPr>
          <w:spacing w:val="-1"/>
          <w:lang w:val="en-GB"/>
        </w:rPr>
        <w:t>rules</w:t>
      </w:r>
      <w:r w:rsidRPr="00380B40">
        <w:rPr>
          <w:spacing w:val="31"/>
          <w:lang w:val="en-GB"/>
        </w:rPr>
        <w:t xml:space="preserve"> </w:t>
      </w:r>
      <w:r w:rsidRPr="00380B40">
        <w:rPr>
          <w:lang w:val="en-GB"/>
        </w:rPr>
        <w:t>of</w:t>
      </w:r>
      <w:r w:rsidRPr="00380B40">
        <w:rPr>
          <w:spacing w:val="27"/>
          <w:lang w:val="en-GB"/>
        </w:rPr>
        <w:t xml:space="preserve"> </w:t>
      </w:r>
      <w:r w:rsidRPr="00380B40">
        <w:rPr>
          <w:lang w:val="en-GB"/>
        </w:rPr>
        <w:t>the</w:t>
      </w:r>
      <w:r w:rsidRPr="00380B40">
        <w:rPr>
          <w:spacing w:val="28"/>
          <w:lang w:val="en-GB"/>
        </w:rPr>
        <w:t xml:space="preserve"> </w:t>
      </w:r>
      <w:r w:rsidRPr="00380B40">
        <w:rPr>
          <w:lang w:val="en-GB"/>
        </w:rPr>
        <w:t>working</w:t>
      </w:r>
      <w:r w:rsidRPr="00380B40">
        <w:rPr>
          <w:spacing w:val="26"/>
          <w:lang w:val="en-GB"/>
        </w:rPr>
        <w:t xml:space="preserve"> </w:t>
      </w:r>
      <w:r w:rsidRPr="00380B40">
        <w:rPr>
          <w:spacing w:val="1"/>
          <w:lang w:val="en-GB"/>
        </w:rPr>
        <w:t>party</w:t>
      </w:r>
      <w:r w:rsidRPr="00380B40">
        <w:rPr>
          <w:spacing w:val="23"/>
          <w:lang w:val="en-GB"/>
        </w:rPr>
        <w:t xml:space="preserve"> </w:t>
      </w:r>
      <w:r w:rsidRPr="00380B40">
        <w:rPr>
          <w:lang w:val="en-GB"/>
        </w:rPr>
        <w:t>and</w:t>
      </w:r>
      <w:r w:rsidRPr="00380B40">
        <w:rPr>
          <w:spacing w:val="28"/>
          <w:lang w:val="en-GB"/>
        </w:rPr>
        <w:t xml:space="preserve"> </w:t>
      </w:r>
      <w:r w:rsidRPr="00380B40">
        <w:rPr>
          <w:lang w:val="en-GB"/>
        </w:rPr>
        <w:t>study</w:t>
      </w:r>
      <w:r w:rsidRPr="00380B40">
        <w:rPr>
          <w:spacing w:val="26"/>
          <w:lang w:val="en-GB"/>
        </w:rPr>
        <w:t xml:space="preserve"> </w:t>
      </w:r>
      <w:r w:rsidRPr="00380B40">
        <w:rPr>
          <w:spacing w:val="-1"/>
          <w:lang w:val="en-GB"/>
        </w:rPr>
        <w:t>group</w:t>
      </w:r>
      <w:r w:rsidRPr="00380B40">
        <w:rPr>
          <w:spacing w:val="30"/>
          <w:lang w:val="en-GB"/>
        </w:rPr>
        <w:t xml:space="preserve"> </w:t>
      </w:r>
      <w:r w:rsidRPr="00380B40">
        <w:rPr>
          <w:spacing w:val="-1"/>
          <w:lang w:val="en-GB"/>
        </w:rPr>
        <w:t>meetings</w:t>
      </w:r>
      <w:r w:rsidRPr="00380B40">
        <w:rPr>
          <w:spacing w:val="31"/>
          <w:lang w:val="en-GB"/>
        </w:rPr>
        <w:t xml:space="preserve"> </w:t>
      </w:r>
      <w:r w:rsidRPr="00380B40">
        <w:rPr>
          <w:lang w:val="en-GB"/>
        </w:rPr>
        <w:t>then</w:t>
      </w:r>
      <w:r w:rsidRPr="00380B40">
        <w:rPr>
          <w:spacing w:val="28"/>
          <w:lang w:val="en-GB"/>
        </w:rPr>
        <w:t xml:space="preserve"> </w:t>
      </w:r>
      <w:r w:rsidRPr="00380B40">
        <w:rPr>
          <w:lang w:val="en-GB"/>
        </w:rPr>
        <w:t>apply</w:t>
      </w:r>
      <w:r w:rsidRPr="00380B40">
        <w:rPr>
          <w:spacing w:val="23"/>
          <w:lang w:val="en-GB"/>
        </w:rPr>
        <w:t xml:space="preserve"> </w:t>
      </w:r>
      <w:r w:rsidRPr="00380B40">
        <w:rPr>
          <w:spacing w:val="-1"/>
          <w:lang w:val="en-GB"/>
        </w:rPr>
        <w:t>and</w:t>
      </w:r>
      <w:r w:rsidRPr="00380B40">
        <w:rPr>
          <w:spacing w:val="28"/>
          <w:lang w:val="en-GB"/>
        </w:rPr>
        <w:t xml:space="preserve"> </w:t>
      </w:r>
      <w:r w:rsidRPr="00380B40">
        <w:rPr>
          <w:lang w:val="en-GB"/>
        </w:rPr>
        <w:t>the</w:t>
      </w:r>
      <w:r w:rsidRPr="00380B40">
        <w:rPr>
          <w:spacing w:val="27"/>
          <w:lang w:val="en-GB"/>
        </w:rPr>
        <w:t xml:space="preserve"> </w:t>
      </w:r>
      <w:r w:rsidRPr="00380B40">
        <w:rPr>
          <w:lang w:val="en-GB"/>
        </w:rPr>
        <w:t>more</w:t>
      </w:r>
      <w:r w:rsidRPr="00380B40">
        <w:rPr>
          <w:spacing w:val="55"/>
          <w:lang w:val="en-GB"/>
        </w:rPr>
        <w:t xml:space="preserve"> </w:t>
      </w:r>
      <w:r w:rsidRPr="00380B40">
        <w:rPr>
          <w:spacing w:val="-1"/>
          <w:lang w:val="en-GB"/>
        </w:rPr>
        <w:t>relaxed</w:t>
      </w:r>
      <w:r w:rsidRPr="00380B40">
        <w:rPr>
          <w:spacing w:val="16"/>
          <w:lang w:val="en-GB"/>
        </w:rPr>
        <w:t xml:space="preserve"> </w:t>
      </w:r>
      <w:r w:rsidRPr="00380B40">
        <w:rPr>
          <w:spacing w:val="-1"/>
          <w:lang w:val="en-GB"/>
        </w:rPr>
        <w:t>rules</w:t>
      </w:r>
      <w:r w:rsidRPr="00380B40">
        <w:rPr>
          <w:spacing w:val="16"/>
          <w:lang w:val="en-GB"/>
        </w:rPr>
        <w:t xml:space="preserve"> </w:t>
      </w:r>
      <w:r w:rsidRPr="00380B40">
        <w:rPr>
          <w:spacing w:val="-1"/>
          <w:lang w:val="en-GB"/>
        </w:rPr>
        <w:t>described</w:t>
      </w:r>
      <w:r w:rsidRPr="00380B40">
        <w:rPr>
          <w:spacing w:val="18"/>
          <w:lang w:val="en-GB"/>
        </w:rPr>
        <w:t xml:space="preserve"> </w:t>
      </w:r>
      <w:r w:rsidRPr="00380B40">
        <w:rPr>
          <w:lang w:val="en-GB"/>
        </w:rPr>
        <w:t>above,</w:t>
      </w:r>
      <w:r w:rsidRPr="00380B40">
        <w:rPr>
          <w:spacing w:val="16"/>
          <w:lang w:val="en-GB"/>
        </w:rPr>
        <w:t xml:space="preserve"> </w:t>
      </w:r>
      <w:r w:rsidRPr="00380B40">
        <w:rPr>
          <w:lang w:val="en-GB"/>
        </w:rPr>
        <w:t>particularly</w:t>
      </w:r>
      <w:r w:rsidRPr="00380B40">
        <w:rPr>
          <w:spacing w:val="11"/>
          <w:lang w:val="en-GB"/>
        </w:rPr>
        <w:t xml:space="preserve"> </w:t>
      </w:r>
      <w:r w:rsidRPr="00380B40">
        <w:rPr>
          <w:lang w:val="en-GB"/>
        </w:rPr>
        <w:t>those</w:t>
      </w:r>
      <w:r w:rsidRPr="00380B40">
        <w:rPr>
          <w:spacing w:val="16"/>
          <w:lang w:val="en-GB"/>
        </w:rPr>
        <w:t xml:space="preserve"> </w:t>
      </w:r>
      <w:r w:rsidRPr="00380B40">
        <w:rPr>
          <w:lang w:val="en-GB"/>
        </w:rPr>
        <w:t>that</w:t>
      </w:r>
      <w:r w:rsidRPr="00380B40">
        <w:rPr>
          <w:spacing w:val="17"/>
          <w:lang w:val="en-GB"/>
        </w:rPr>
        <w:t xml:space="preserve"> </w:t>
      </w:r>
      <w:r w:rsidRPr="00380B40">
        <w:rPr>
          <w:spacing w:val="-1"/>
          <w:lang w:val="en-GB"/>
        </w:rPr>
        <w:t>relate</w:t>
      </w:r>
      <w:r w:rsidRPr="00380B40">
        <w:rPr>
          <w:spacing w:val="15"/>
          <w:lang w:val="en-GB"/>
        </w:rPr>
        <w:t xml:space="preserve"> </w:t>
      </w:r>
      <w:r w:rsidRPr="00380B40">
        <w:rPr>
          <w:lang w:val="en-GB"/>
        </w:rPr>
        <w:t>to</w:t>
      </w:r>
      <w:r w:rsidRPr="00380B40">
        <w:rPr>
          <w:spacing w:val="17"/>
          <w:lang w:val="en-GB"/>
        </w:rPr>
        <w:t xml:space="preserve"> </w:t>
      </w:r>
      <w:r w:rsidRPr="00380B40">
        <w:rPr>
          <w:spacing w:val="-1"/>
          <w:lang w:val="en-GB"/>
        </w:rPr>
        <w:t>document</w:t>
      </w:r>
      <w:r w:rsidRPr="00380B40">
        <w:rPr>
          <w:spacing w:val="16"/>
          <w:lang w:val="en-GB"/>
        </w:rPr>
        <w:t xml:space="preserve"> </w:t>
      </w:r>
      <w:r w:rsidRPr="00380B40">
        <w:rPr>
          <w:spacing w:val="-1"/>
          <w:lang w:val="en-GB"/>
        </w:rPr>
        <w:t>approvals</w:t>
      </w:r>
      <w:r w:rsidRPr="00380B40">
        <w:rPr>
          <w:spacing w:val="17"/>
          <w:lang w:val="en-GB"/>
        </w:rPr>
        <w:t xml:space="preserve"> </w:t>
      </w:r>
      <w:r w:rsidRPr="00380B40">
        <w:rPr>
          <w:spacing w:val="-1"/>
          <w:lang w:val="en-GB"/>
        </w:rPr>
        <w:t>and</w:t>
      </w:r>
      <w:r w:rsidRPr="00380B40">
        <w:rPr>
          <w:spacing w:val="16"/>
          <w:lang w:val="en-GB"/>
        </w:rPr>
        <w:t xml:space="preserve"> </w:t>
      </w:r>
      <w:r w:rsidRPr="00380B40">
        <w:rPr>
          <w:spacing w:val="-1"/>
          <w:lang w:val="en-GB"/>
        </w:rPr>
        <w:t>submission</w:t>
      </w:r>
      <w:r w:rsidRPr="00380B40">
        <w:rPr>
          <w:spacing w:val="93"/>
          <w:lang w:val="en-GB"/>
        </w:rPr>
        <w:t xml:space="preserve"> </w:t>
      </w:r>
      <w:r w:rsidRPr="00380B40">
        <w:rPr>
          <w:spacing w:val="-1"/>
          <w:lang w:val="en-GB"/>
        </w:rPr>
        <w:t>deadlines,</w:t>
      </w:r>
      <w:r w:rsidRPr="00380B40">
        <w:rPr>
          <w:lang w:val="en-GB"/>
        </w:rPr>
        <w:t xml:space="preserve"> would not </w:t>
      </w:r>
      <w:r w:rsidRPr="00380B40">
        <w:rPr>
          <w:spacing w:val="-1"/>
          <w:lang w:val="en-GB"/>
        </w:rPr>
        <w:t>apply.</w:t>
      </w:r>
    </w:p>
    <w:p w14:paraId="3DD2F0C2" w14:textId="77777777" w:rsidR="00C12517" w:rsidRPr="00380B40" w:rsidRDefault="00C12517" w:rsidP="00C12517">
      <w:pPr>
        <w:tabs>
          <w:tab w:val="clear" w:pos="794"/>
          <w:tab w:val="left" w:pos="882"/>
        </w:tabs>
        <w:rPr>
          <w:lang w:val="en-GB"/>
        </w:rPr>
      </w:pPr>
      <w:r w:rsidRPr="00380B40">
        <w:rPr>
          <w:b/>
          <w:bCs/>
          <w:lang w:val="en-GB"/>
        </w:rPr>
        <w:t>2.3.3.14</w:t>
      </w:r>
      <w:r w:rsidRPr="00380B40">
        <w:rPr>
          <w:lang w:val="en-GB"/>
        </w:rPr>
        <w:tab/>
        <w:t xml:space="preserve">The </w:t>
      </w:r>
      <w:r w:rsidRPr="00380B40">
        <w:rPr>
          <w:spacing w:val="-1"/>
          <w:lang w:val="en-GB"/>
        </w:rPr>
        <w:t>parent</w:t>
      </w:r>
      <w:r w:rsidRPr="00380B40">
        <w:rPr>
          <w:spacing w:val="2"/>
          <w:lang w:val="en-GB"/>
        </w:rPr>
        <w:t xml:space="preserve"> </w:t>
      </w:r>
      <w:r w:rsidRPr="00380B40">
        <w:rPr>
          <w:lang w:val="en-GB"/>
        </w:rPr>
        <w:t>working</w:t>
      </w:r>
      <w:r w:rsidRPr="00380B40">
        <w:rPr>
          <w:spacing w:val="-1"/>
          <w:lang w:val="en-GB"/>
        </w:rPr>
        <w:t xml:space="preserve"> </w:t>
      </w:r>
      <w:r w:rsidRPr="00380B40">
        <w:rPr>
          <w:lang w:val="en-GB"/>
        </w:rPr>
        <w:t>party</w:t>
      </w:r>
      <w:r w:rsidRPr="00380B40">
        <w:rPr>
          <w:spacing w:val="-1"/>
          <w:lang w:val="en-GB"/>
        </w:rPr>
        <w:t xml:space="preserve"> </w:t>
      </w:r>
      <w:r w:rsidRPr="00380B40">
        <w:rPr>
          <w:lang w:val="en-GB"/>
        </w:rPr>
        <w:t>(or study</w:t>
      </w:r>
      <w:r w:rsidRPr="00380B40">
        <w:rPr>
          <w:spacing w:val="-1"/>
          <w:lang w:val="en-GB"/>
        </w:rPr>
        <w:t xml:space="preserve"> group)</w:t>
      </w:r>
      <w:r w:rsidRPr="00380B40">
        <w:rPr>
          <w:lang w:val="en-GB"/>
        </w:rPr>
        <w:t xml:space="preserve"> must</w:t>
      </w:r>
      <w:r w:rsidRPr="00380B40">
        <w:rPr>
          <w:spacing w:val="3"/>
          <w:lang w:val="en-GB"/>
        </w:rPr>
        <w:t xml:space="preserve"> </w:t>
      </w:r>
      <w:r w:rsidRPr="00380B40">
        <w:rPr>
          <w:lang w:val="en-GB"/>
        </w:rPr>
        <w:t xml:space="preserve">define </w:t>
      </w:r>
      <w:r w:rsidRPr="00380B40">
        <w:rPr>
          <w:spacing w:val="-1"/>
          <w:lang w:val="en-GB"/>
        </w:rPr>
        <w:t>clear</w:t>
      </w:r>
      <w:r w:rsidRPr="00380B40">
        <w:rPr>
          <w:spacing w:val="1"/>
          <w:lang w:val="en-GB"/>
        </w:rPr>
        <w:t xml:space="preserve"> </w:t>
      </w:r>
      <w:r w:rsidRPr="00380B40">
        <w:rPr>
          <w:lang w:val="en-GB"/>
        </w:rPr>
        <w:t>terms</w:t>
      </w:r>
      <w:r w:rsidRPr="00380B40">
        <w:rPr>
          <w:spacing w:val="2"/>
          <w:lang w:val="en-GB"/>
        </w:rPr>
        <w:t xml:space="preserve"> </w:t>
      </w:r>
      <w:r w:rsidRPr="00380B40">
        <w:rPr>
          <w:lang w:val="en-GB"/>
        </w:rPr>
        <w:t>of</w:t>
      </w:r>
      <w:r w:rsidRPr="00380B40">
        <w:rPr>
          <w:spacing w:val="1"/>
          <w:lang w:val="en-GB"/>
        </w:rPr>
        <w:t xml:space="preserve"> </w:t>
      </w:r>
      <w:r w:rsidRPr="00380B40">
        <w:rPr>
          <w:spacing w:val="-1"/>
          <w:lang w:val="en-GB"/>
        </w:rPr>
        <w:t>reference</w:t>
      </w:r>
      <w:r w:rsidRPr="00380B40">
        <w:rPr>
          <w:spacing w:val="1"/>
          <w:lang w:val="en-GB"/>
        </w:rPr>
        <w:t xml:space="preserve"> </w:t>
      </w:r>
      <w:r w:rsidRPr="00380B40">
        <w:rPr>
          <w:lang w:val="en-GB"/>
        </w:rPr>
        <w:t xml:space="preserve">for </w:t>
      </w:r>
      <w:r w:rsidRPr="00380B40">
        <w:rPr>
          <w:spacing w:val="-1"/>
          <w:lang w:val="en-GB"/>
        </w:rPr>
        <w:t>each</w:t>
      </w:r>
      <w:r w:rsidRPr="00380B40">
        <w:rPr>
          <w:spacing w:val="47"/>
          <w:lang w:val="en-GB"/>
        </w:rPr>
        <w:t xml:space="preserve"> </w:t>
      </w:r>
      <w:r w:rsidRPr="00380B40">
        <w:rPr>
          <w:spacing w:val="-1"/>
          <w:lang w:val="en-GB"/>
        </w:rPr>
        <w:t>rapporteur.</w:t>
      </w:r>
      <w:r w:rsidRPr="00380B40">
        <w:rPr>
          <w:spacing w:val="44"/>
          <w:lang w:val="en-GB"/>
        </w:rPr>
        <w:t xml:space="preserve"> </w:t>
      </w:r>
      <w:r w:rsidRPr="00380B40">
        <w:rPr>
          <w:lang w:val="en-GB"/>
        </w:rPr>
        <w:t>The</w:t>
      </w:r>
      <w:r w:rsidRPr="00380B40">
        <w:rPr>
          <w:spacing w:val="46"/>
          <w:lang w:val="en-GB"/>
        </w:rPr>
        <w:t xml:space="preserve"> </w:t>
      </w:r>
      <w:r w:rsidRPr="00380B40">
        <w:rPr>
          <w:spacing w:val="-1"/>
          <w:lang w:val="en-GB"/>
        </w:rPr>
        <w:t>general</w:t>
      </w:r>
      <w:r w:rsidRPr="00380B40">
        <w:rPr>
          <w:spacing w:val="45"/>
          <w:lang w:val="en-GB"/>
        </w:rPr>
        <w:t xml:space="preserve"> </w:t>
      </w:r>
      <w:r w:rsidRPr="00380B40">
        <w:rPr>
          <w:spacing w:val="-1"/>
          <w:lang w:val="en-GB"/>
        </w:rPr>
        <w:t>direction</w:t>
      </w:r>
      <w:r w:rsidRPr="00380B40">
        <w:rPr>
          <w:spacing w:val="42"/>
          <w:lang w:val="en-GB"/>
        </w:rPr>
        <w:t xml:space="preserve"> </w:t>
      </w:r>
      <w:r w:rsidRPr="00380B40">
        <w:rPr>
          <w:lang w:val="en-GB"/>
        </w:rPr>
        <w:t>to</w:t>
      </w:r>
      <w:r w:rsidRPr="00380B40">
        <w:rPr>
          <w:spacing w:val="43"/>
          <w:lang w:val="en-GB"/>
        </w:rPr>
        <w:t xml:space="preserve"> </w:t>
      </w:r>
      <w:r w:rsidRPr="00380B40">
        <w:rPr>
          <w:lang w:val="en-GB"/>
        </w:rPr>
        <w:t>be</w:t>
      </w:r>
      <w:r w:rsidRPr="00380B40">
        <w:rPr>
          <w:spacing w:val="44"/>
          <w:lang w:val="en-GB"/>
        </w:rPr>
        <w:t xml:space="preserve"> </w:t>
      </w:r>
      <w:r w:rsidRPr="00380B40">
        <w:rPr>
          <w:spacing w:val="-1"/>
          <w:lang w:val="en-GB"/>
        </w:rPr>
        <w:t>followed</w:t>
      </w:r>
      <w:r w:rsidRPr="00380B40">
        <w:rPr>
          <w:spacing w:val="45"/>
          <w:lang w:val="en-GB"/>
        </w:rPr>
        <w:t xml:space="preserve"> </w:t>
      </w:r>
      <w:r w:rsidRPr="00380B40">
        <w:rPr>
          <w:lang w:val="en-GB"/>
        </w:rPr>
        <w:t>in</w:t>
      </w:r>
      <w:r w:rsidRPr="00380B40">
        <w:rPr>
          <w:spacing w:val="43"/>
          <w:lang w:val="en-GB"/>
        </w:rPr>
        <w:t xml:space="preserve"> </w:t>
      </w:r>
      <w:r w:rsidRPr="00380B40">
        <w:rPr>
          <w:lang w:val="en-GB"/>
        </w:rPr>
        <w:t>the</w:t>
      </w:r>
      <w:r w:rsidRPr="00380B40">
        <w:rPr>
          <w:spacing w:val="42"/>
          <w:lang w:val="en-GB"/>
        </w:rPr>
        <w:t xml:space="preserve"> </w:t>
      </w:r>
      <w:r w:rsidRPr="00380B40">
        <w:rPr>
          <w:spacing w:val="1"/>
          <w:lang w:val="en-GB"/>
        </w:rPr>
        <w:t>study</w:t>
      </w:r>
      <w:r w:rsidRPr="00380B40">
        <w:rPr>
          <w:spacing w:val="38"/>
          <w:lang w:val="en-GB"/>
        </w:rPr>
        <w:t xml:space="preserve"> </w:t>
      </w:r>
      <w:r w:rsidRPr="00380B40">
        <w:rPr>
          <w:lang w:val="en-GB"/>
        </w:rPr>
        <w:t>should</w:t>
      </w:r>
      <w:r w:rsidRPr="00380B40">
        <w:rPr>
          <w:spacing w:val="49"/>
          <w:lang w:val="en-GB"/>
        </w:rPr>
        <w:t xml:space="preserve"> </w:t>
      </w:r>
      <w:r w:rsidRPr="00380B40">
        <w:rPr>
          <w:lang w:val="en-GB"/>
        </w:rPr>
        <w:t>be</w:t>
      </w:r>
      <w:r w:rsidRPr="00380B40">
        <w:rPr>
          <w:spacing w:val="44"/>
          <w:lang w:val="en-GB"/>
        </w:rPr>
        <w:t xml:space="preserve"> </w:t>
      </w:r>
      <w:r w:rsidRPr="00380B40">
        <w:rPr>
          <w:spacing w:val="-1"/>
          <w:lang w:val="en-GB"/>
        </w:rPr>
        <w:t>discussed,</w:t>
      </w:r>
      <w:r w:rsidRPr="00380B40">
        <w:rPr>
          <w:spacing w:val="42"/>
          <w:lang w:val="en-GB"/>
        </w:rPr>
        <w:t xml:space="preserve"> </w:t>
      </w:r>
      <w:r w:rsidRPr="00380B40">
        <w:rPr>
          <w:spacing w:val="-1"/>
          <w:lang w:val="en-GB"/>
        </w:rPr>
        <w:t>reviewed</w:t>
      </w:r>
      <w:r w:rsidRPr="00380B40">
        <w:rPr>
          <w:spacing w:val="45"/>
          <w:lang w:val="en-GB"/>
        </w:rPr>
        <w:t xml:space="preserve"> </w:t>
      </w:r>
      <w:r w:rsidRPr="00380B40">
        <w:rPr>
          <w:spacing w:val="-1"/>
          <w:lang w:val="en-GB"/>
        </w:rPr>
        <w:t>as</w:t>
      </w:r>
      <w:r w:rsidRPr="00380B40">
        <w:rPr>
          <w:spacing w:val="75"/>
          <w:lang w:val="en-GB"/>
        </w:rPr>
        <w:t xml:space="preserve"> </w:t>
      </w:r>
      <w:r w:rsidRPr="00380B40">
        <w:rPr>
          <w:lang w:val="en-GB"/>
        </w:rPr>
        <w:t>necessary</w:t>
      </w:r>
      <w:r w:rsidRPr="00380B40">
        <w:rPr>
          <w:spacing w:val="-5"/>
          <w:lang w:val="en-GB"/>
        </w:rPr>
        <w:t xml:space="preserve"> </w:t>
      </w:r>
      <w:r w:rsidRPr="00380B40">
        <w:rPr>
          <w:spacing w:val="-1"/>
          <w:lang w:val="en-GB"/>
        </w:rPr>
        <w:t>and</w:t>
      </w:r>
      <w:r w:rsidRPr="00380B40">
        <w:rPr>
          <w:lang w:val="en-GB"/>
        </w:rPr>
        <w:t xml:space="preserve"> agreed periodically</w:t>
      </w:r>
      <w:r w:rsidRPr="00380B40">
        <w:rPr>
          <w:spacing w:val="-5"/>
          <w:lang w:val="en-GB"/>
        </w:rPr>
        <w:t xml:space="preserve"> </w:t>
      </w:r>
      <w:r w:rsidRPr="00380B40">
        <w:rPr>
          <w:spacing w:val="2"/>
          <w:lang w:val="en-GB"/>
        </w:rPr>
        <w:t>by</w:t>
      </w:r>
      <w:r w:rsidRPr="00380B40">
        <w:rPr>
          <w:spacing w:val="-5"/>
          <w:lang w:val="en-GB"/>
        </w:rPr>
        <w:t xml:space="preserve"> </w:t>
      </w:r>
      <w:r w:rsidRPr="00380B40">
        <w:rPr>
          <w:lang w:val="en-GB"/>
        </w:rPr>
        <w:t xml:space="preserve">the </w:t>
      </w:r>
      <w:r w:rsidRPr="00380B40">
        <w:rPr>
          <w:spacing w:val="-1"/>
          <w:lang w:val="en-GB"/>
        </w:rPr>
        <w:t>parent</w:t>
      </w:r>
      <w:r w:rsidRPr="00380B40">
        <w:rPr>
          <w:spacing w:val="2"/>
          <w:lang w:val="en-GB"/>
        </w:rPr>
        <w:t xml:space="preserve"> </w:t>
      </w:r>
      <w:r w:rsidRPr="00380B40">
        <w:rPr>
          <w:spacing w:val="-1"/>
          <w:lang w:val="en-GB"/>
        </w:rPr>
        <w:t>group.</w:t>
      </w:r>
    </w:p>
    <w:p w14:paraId="606B2023" w14:textId="77777777" w:rsidR="00C12517" w:rsidRPr="00380B40" w:rsidRDefault="00C12517" w:rsidP="00C12517">
      <w:pPr>
        <w:tabs>
          <w:tab w:val="clear" w:pos="794"/>
          <w:tab w:val="left" w:pos="882"/>
        </w:tabs>
        <w:rPr>
          <w:lang w:val="en-GB"/>
        </w:rPr>
      </w:pPr>
      <w:r w:rsidRPr="00380B40">
        <w:rPr>
          <w:b/>
          <w:bCs/>
          <w:lang w:val="en-GB"/>
        </w:rPr>
        <w:t>2.3.3.15</w:t>
      </w:r>
      <w:r w:rsidRPr="00380B40">
        <w:rPr>
          <w:lang w:val="en-GB"/>
        </w:rPr>
        <w:tab/>
        <w:t>When</w:t>
      </w:r>
      <w:r w:rsidRPr="00380B40">
        <w:rPr>
          <w:spacing w:val="-3"/>
          <w:lang w:val="en-GB"/>
        </w:rPr>
        <w:t xml:space="preserve"> </w:t>
      </w:r>
      <w:r w:rsidRPr="00380B40">
        <w:rPr>
          <w:spacing w:val="-1"/>
          <w:lang w:val="en-GB"/>
        </w:rPr>
        <w:t>meetings</w:t>
      </w:r>
      <w:r w:rsidRPr="00380B40">
        <w:rPr>
          <w:spacing w:val="-3"/>
          <w:lang w:val="en-GB"/>
        </w:rPr>
        <w:t xml:space="preserve"> </w:t>
      </w:r>
      <w:r w:rsidRPr="00380B40">
        <w:rPr>
          <w:lang w:val="en-GB"/>
        </w:rPr>
        <w:t>are</w:t>
      </w:r>
      <w:r w:rsidRPr="00380B40">
        <w:rPr>
          <w:spacing w:val="-5"/>
          <w:lang w:val="en-GB"/>
        </w:rPr>
        <w:t xml:space="preserve"> </w:t>
      </w:r>
      <w:r w:rsidRPr="00380B40">
        <w:rPr>
          <w:spacing w:val="-1"/>
          <w:lang w:val="en-GB"/>
        </w:rPr>
        <w:t>arranged</w:t>
      </w:r>
      <w:r w:rsidRPr="00380B40">
        <w:rPr>
          <w:spacing w:val="-3"/>
          <w:lang w:val="en-GB"/>
        </w:rPr>
        <w:t xml:space="preserve"> </w:t>
      </w:r>
      <w:r w:rsidRPr="00380B40">
        <w:rPr>
          <w:lang w:val="en-GB"/>
        </w:rPr>
        <w:t>to</w:t>
      </w:r>
      <w:r w:rsidRPr="00380B40">
        <w:rPr>
          <w:spacing w:val="-2"/>
          <w:lang w:val="en-GB"/>
        </w:rPr>
        <w:t xml:space="preserve"> </w:t>
      </w:r>
      <w:r w:rsidRPr="00380B40">
        <w:rPr>
          <w:spacing w:val="1"/>
          <w:lang w:val="en-GB"/>
        </w:rPr>
        <w:t>be</w:t>
      </w:r>
      <w:r w:rsidRPr="00380B40">
        <w:rPr>
          <w:spacing w:val="-4"/>
          <w:lang w:val="en-GB"/>
        </w:rPr>
        <w:t xml:space="preserve"> </w:t>
      </w:r>
      <w:r w:rsidRPr="00380B40">
        <w:rPr>
          <w:spacing w:val="-1"/>
          <w:lang w:val="en-GB"/>
        </w:rPr>
        <w:t>held</w:t>
      </w:r>
      <w:r w:rsidRPr="00380B40">
        <w:rPr>
          <w:spacing w:val="-2"/>
          <w:lang w:val="en-GB"/>
        </w:rPr>
        <w:t xml:space="preserve"> </w:t>
      </w:r>
      <w:r w:rsidRPr="00380B40">
        <w:rPr>
          <w:lang w:val="en-GB"/>
        </w:rPr>
        <w:t>outside</w:t>
      </w:r>
      <w:r w:rsidRPr="00380B40">
        <w:rPr>
          <w:spacing w:val="-1"/>
          <w:lang w:val="en-GB"/>
        </w:rPr>
        <w:t xml:space="preserve"> ITU</w:t>
      </w:r>
      <w:r w:rsidRPr="00380B40">
        <w:rPr>
          <w:spacing w:val="-3"/>
          <w:lang w:val="en-GB"/>
        </w:rPr>
        <w:t xml:space="preserve"> </w:t>
      </w:r>
      <w:r w:rsidRPr="00380B40">
        <w:rPr>
          <w:spacing w:val="-1"/>
          <w:lang w:val="en-GB"/>
        </w:rPr>
        <w:t>premises,</w:t>
      </w:r>
      <w:r w:rsidRPr="00380B40">
        <w:rPr>
          <w:spacing w:val="-3"/>
          <w:lang w:val="en-GB"/>
        </w:rPr>
        <w:t xml:space="preserve"> </w:t>
      </w:r>
      <w:r w:rsidRPr="00380B40">
        <w:rPr>
          <w:lang w:val="en-GB"/>
        </w:rPr>
        <w:t>participants</w:t>
      </w:r>
      <w:r w:rsidRPr="00380B40">
        <w:rPr>
          <w:spacing w:val="-3"/>
          <w:lang w:val="en-GB"/>
        </w:rPr>
        <w:t xml:space="preserve"> </w:t>
      </w:r>
      <w:r w:rsidRPr="00380B40">
        <w:rPr>
          <w:lang w:val="en-GB"/>
        </w:rPr>
        <w:t>should</w:t>
      </w:r>
      <w:r w:rsidRPr="00380B40">
        <w:rPr>
          <w:spacing w:val="-3"/>
          <w:lang w:val="en-GB"/>
        </w:rPr>
        <w:t xml:space="preserve"> </w:t>
      </w:r>
      <w:r w:rsidRPr="00380B40">
        <w:rPr>
          <w:lang w:val="en-GB"/>
        </w:rPr>
        <w:t>not</w:t>
      </w:r>
      <w:r w:rsidRPr="00380B40">
        <w:rPr>
          <w:spacing w:val="-2"/>
          <w:lang w:val="en-GB"/>
        </w:rPr>
        <w:t xml:space="preserve"> </w:t>
      </w:r>
      <w:r w:rsidRPr="00380B40">
        <w:rPr>
          <w:lang w:val="en-GB"/>
        </w:rPr>
        <w:t>be</w:t>
      </w:r>
      <w:r w:rsidRPr="00380B40">
        <w:rPr>
          <w:spacing w:val="35"/>
          <w:lang w:val="en-GB"/>
        </w:rPr>
        <w:t xml:space="preserve"> </w:t>
      </w:r>
      <w:r w:rsidRPr="00380B40">
        <w:rPr>
          <w:spacing w:val="-1"/>
          <w:lang w:val="en-GB"/>
        </w:rPr>
        <w:t>charged</w:t>
      </w:r>
      <w:r w:rsidRPr="00380B40">
        <w:rPr>
          <w:spacing w:val="4"/>
          <w:lang w:val="en-GB"/>
        </w:rPr>
        <w:t xml:space="preserve"> </w:t>
      </w:r>
      <w:r w:rsidRPr="00380B40">
        <w:rPr>
          <w:lang w:val="en-GB"/>
        </w:rPr>
        <w:t>for</w:t>
      </w:r>
      <w:r w:rsidRPr="00380B40">
        <w:rPr>
          <w:spacing w:val="2"/>
          <w:lang w:val="en-GB"/>
        </w:rPr>
        <w:t xml:space="preserve"> </w:t>
      </w:r>
      <w:r w:rsidRPr="00380B40">
        <w:rPr>
          <w:lang w:val="en-GB"/>
        </w:rPr>
        <w:t>meeting</w:t>
      </w:r>
      <w:r w:rsidRPr="00380B40">
        <w:rPr>
          <w:spacing w:val="-1"/>
          <w:lang w:val="en-GB"/>
        </w:rPr>
        <w:t xml:space="preserve"> </w:t>
      </w:r>
      <w:r w:rsidRPr="00380B40">
        <w:rPr>
          <w:lang w:val="en-GB"/>
        </w:rPr>
        <w:t>facilities,</w:t>
      </w:r>
      <w:r w:rsidRPr="00380B40">
        <w:rPr>
          <w:spacing w:val="1"/>
          <w:lang w:val="en-GB"/>
        </w:rPr>
        <w:t xml:space="preserve"> </w:t>
      </w:r>
      <w:r w:rsidRPr="00380B40">
        <w:rPr>
          <w:lang w:val="en-GB"/>
        </w:rPr>
        <w:t>unless</w:t>
      </w:r>
      <w:r w:rsidRPr="00380B40">
        <w:rPr>
          <w:spacing w:val="2"/>
          <w:lang w:val="en-GB"/>
        </w:rPr>
        <w:t xml:space="preserve"> </w:t>
      </w:r>
      <w:r w:rsidRPr="00380B40">
        <w:rPr>
          <w:spacing w:val="-1"/>
          <w:lang w:val="en-GB"/>
        </w:rPr>
        <w:t>agreed</w:t>
      </w:r>
      <w:r w:rsidRPr="00380B40">
        <w:rPr>
          <w:spacing w:val="2"/>
          <w:lang w:val="en-GB"/>
        </w:rPr>
        <w:t xml:space="preserve"> </w:t>
      </w:r>
      <w:r w:rsidRPr="00380B40">
        <w:rPr>
          <w:lang w:val="en-GB"/>
        </w:rPr>
        <w:t>in</w:t>
      </w:r>
      <w:r w:rsidRPr="00380B40">
        <w:rPr>
          <w:spacing w:val="2"/>
          <w:lang w:val="en-GB"/>
        </w:rPr>
        <w:t xml:space="preserve"> </w:t>
      </w:r>
      <w:r w:rsidRPr="00380B40">
        <w:rPr>
          <w:spacing w:val="-1"/>
          <w:lang w:val="en-GB"/>
        </w:rPr>
        <w:t>advance</w:t>
      </w:r>
      <w:r w:rsidRPr="00380B40">
        <w:rPr>
          <w:spacing w:val="1"/>
          <w:lang w:val="en-GB"/>
        </w:rPr>
        <w:t xml:space="preserve"> </w:t>
      </w:r>
      <w:r w:rsidRPr="00380B40">
        <w:rPr>
          <w:spacing w:val="2"/>
          <w:lang w:val="en-GB"/>
        </w:rPr>
        <w:t>by</w:t>
      </w:r>
      <w:r w:rsidRPr="00380B40">
        <w:rPr>
          <w:spacing w:val="-3"/>
          <w:lang w:val="en-GB"/>
        </w:rPr>
        <w:t xml:space="preserve"> </w:t>
      </w:r>
      <w:r w:rsidRPr="00380B40">
        <w:rPr>
          <w:lang w:val="en-GB"/>
        </w:rPr>
        <w:t>the</w:t>
      </w:r>
      <w:r w:rsidRPr="00380B40">
        <w:rPr>
          <w:spacing w:val="1"/>
          <w:lang w:val="en-GB"/>
        </w:rPr>
        <w:t xml:space="preserve"> study</w:t>
      </w:r>
      <w:r w:rsidRPr="00380B40">
        <w:rPr>
          <w:spacing w:val="-1"/>
          <w:lang w:val="en-GB"/>
        </w:rPr>
        <w:t xml:space="preserve"> group.</w:t>
      </w:r>
      <w:r w:rsidRPr="00380B40">
        <w:rPr>
          <w:spacing w:val="10"/>
          <w:lang w:val="en-GB"/>
        </w:rPr>
        <w:t xml:space="preserve"> </w:t>
      </w:r>
      <w:r w:rsidRPr="00380B40">
        <w:rPr>
          <w:lang w:val="en-GB"/>
        </w:rPr>
        <w:t>Meeting</w:t>
      </w:r>
      <w:r w:rsidRPr="00380B40">
        <w:rPr>
          <w:spacing w:val="-1"/>
          <w:lang w:val="en-GB"/>
        </w:rPr>
        <w:t xml:space="preserve"> charges</w:t>
      </w:r>
      <w:r w:rsidRPr="00380B40">
        <w:rPr>
          <w:spacing w:val="2"/>
          <w:lang w:val="en-GB"/>
        </w:rPr>
        <w:t xml:space="preserve"> </w:t>
      </w:r>
      <w:r w:rsidRPr="00380B40">
        <w:rPr>
          <w:lang w:val="en-GB"/>
        </w:rPr>
        <w:t>should</w:t>
      </w:r>
      <w:r w:rsidRPr="00380B40">
        <w:rPr>
          <w:spacing w:val="47"/>
          <w:lang w:val="en-GB"/>
        </w:rPr>
        <w:t xml:space="preserve"> </w:t>
      </w:r>
      <w:r w:rsidRPr="00380B40">
        <w:rPr>
          <w:lang w:val="en-GB"/>
        </w:rPr>
        <w:t>be</w:t>
      </w:r>
      <w:r w:rsidRPr="00380B40">
        <w:rPr>
          <w:spacing w:val="-6"/>
          <w:lang w:val="en-GB"/>
        </w:rPr>
        <w:t xml:space="preserve"> </w:t>
      </w:r>
      <w:r w:rsidRPr="00380B40">
        <w:rPr>
          <w:spacing w:val="-1"/>
          <w:lang w:val="en-GB"/>
        </w:rPr>
        <w:t>an</w:t>
      </w:r>
      <w:r w:rsidRPr="00380B40">
        <w:rPr>
          <w:spacing w:val="-3"/>
          <w:lang w:val="en-GB"/>
        </w:rPr>
        <w:t xml:space="preserve"> </w:t>
      </w:r>
      <w:r w:rsidRPr="00380B40">
        <w:rPr>
          <w:spacing w:val="-1"/>
          <w:lang w:val="en-GB"/>
        </w:rPr>
        <w:t>exceptional</w:t>
      </w:r>
      <w:r w:rsidRPr="00380B40">
        <w:rPr>
          <w:spacing w:val="-5"/>
          <w:lang w:val="en-GB"/>
        </w:rPr>
        <w:t xml:space="preserve"> </w:t>
      </w:r>
      <w:r w:rsidRPr="00380B40">
        <w:rPr>
          <w:lang w:val="en-GB"/>
        </w:rPr>
        <w:t>case</w:t>
      </w:r>
      <w:r w:rsidRPr="00380B40">
        <w:rPr>
          <w:spacing w:val="-4"/>
          <w:lang w:val="en-GB"/>
        </w:rPr>
        <w:t xml:space="preserve"> </w:t>
      </w:r>
      <w:r w:rsidRPr="00380B40">
        <w:rPr>
          <w:lang w:val="en-GB"/>
        </w:rPr>
        <w:t>and</w:t>
      </w:r>
      <w:r w:rsidRPr="00380B40">
        <w:rPr>
          <w:spacing w:val="-5"/>
          <w:lang w:val="en-GB"/>
        </w:rPr>
        <w:t xml:space="preserve"> </w:t>
      </w:r>
      <w:r w:rsidRPr="00380B40">
        <w:rPr>
          <w:lang w:val="en-GB"/>
        </w:rPr>
        <w:t>only</w:t>
      </w:r>
      <w:r w:rsidRPr="00380B40">
        <w:rPr>
          <w:spacing w:val="-8"/>
          <w:lang w:val="en-GB"/>
        </w:rPr>
        <w:t xml:space="preserve"> </w:t>
      </w:r>
      <w:r w:rsidRPr="00380B40">
        <w:rPr>
          <w:lang w:val="en-GB"/>
        </w:rPr>
        <w:t>done</w:t>
      </w:r>
      <w:r w:rsidRPr="00380B40">
        <w:rPr>
          <w:spacing w:val="-4"/>
          <w:lang w:val="en-GB"/>
        </w:rPr>
        <w:t xml:space="preserve"> </w:t>
      </w:r>
      <w:r w:rsidRPr="00380B40">
        <w:rPr>
          <w:lang w:val="en-GB"/>
        </w:rPr>
        <w:t>if,</w:t>
      </w:r>
      <w:r w:rsidRPr="00380B40">
        <w:rPr>
          <w:spacing w:val="-6"/>
          <w:lang w:val="en-GB"/>
        </w:rPr>
        <w:t xml:space="preserve"> </w:t>
      </w:r>
      <w:r w:rsidRPr="00380B40">
        <w:rPr>
          <w:lang w:val="en-GB"/>
        </w:rPr>
        <w:t>for</w:t>
      </w:r>
      <w:r w:rsidRPr="00380B40">
        <w:rPr>
          <w:spacing w:val="-6"/>
          <w:lang w:val="en-GB"/>
        </w:rPr>
        <w:t xml:space="preserve"> </w:t>
      </w:r>
      <w:r w:rsidRPr="00380B40">
        <w:rPr>
          <w:lang w:val="en-GB"/>
        </w:rPr>
        <w:t>example,</w:t>
      </w:r>
      <w:r w:rsidRPr="00380B40">
        <w:rPr>
          <w:spacing w:val="-6"/>
          <w:lang w:val="en-GB"/>
        </w:rPr>
        <w:t xml:space="preserve"> </w:t>
      </w:r>
      <w:r w:rsidRPr="00380B40">
        <w:rPr>
          <w:lang w:val="en-GB"/>
        </w:rPr>
        <w:t>the</w:t>
      </w:r>
      <w:r w:rsidRPr="00380B40">
        <w:rPr>
          <w:spacing w:val="-6"/>
          <w:lang w:val="en-GB"/>
        </w:rPr>
        <w:t xml:space="preserve"> </w:t>
      </w:r>
      <w:r w:rsidRPr="00380B40">
        <w:rPr>
          <w:spacing w:val="1"/>
          <w:lang w:val="en-GB"/>
        </w:rPr>
        <w:t>study</w:t>
      </w:r>
      <w:r w:rsidRPr="00380B40">
        <w:rPr>
          <w:spacing w:val="-8"/>
          <w:lang w:val="en-GB"/>
        </w:rPr>
        <w:t xml:space="preserve"> </w:t>
      </w:r>
      <w:r w:rsidRPr="00380B40">
        <w:rPr>
          <w:lang w:val="en-GB"/>
        </w:rPr>
        <w:t>group</w:t>
      </w:r>
      <w:r w:rsidRPr="00380B40">
        <w:rPr>
          <w:spacing w:val="-6"/>
          <w:lang w:val="en-GB"/>
        </w:rPr>
        <w:t xml:space="preserve"> </w:t>
      </w:r>
      <w:r w:rsidRPr="00380B40">
        <w:rPr>
          <w:lang w:val="en-GB"/>
        </w:rPr>
        <w:t>is</w:t>
      </w:r>
      <w:r w:rsidRPr="00380B40">
        <w:rPr>
          <w:spacing w:val="-5"/>
          <w:lang w:val="en-GB"/>
        </w:rPr>
        <w:t xml:space="preserve"> </w:t>
      </w:r>
      <w:r w:rsidRPr="00380B40">
        <w:rPr>
          <w:spacing w:val="1"/>
          <w:lang w:val="en-GB"/>
        </w:rPr>
        <w:t>of</w:t>
      </w:r>
      <w:r w:rsidRPr="00380B40">
        <w:rPr>
          <w:spacing w:val="-6"/>
          <w:lang w:val="en-GB"/>
        </w:rPr>
        <w:t xml:space="preserve"> </w:t>
      </w:r>
      <w:r w:rsidRPr="00380B40">
        <w:rPr>
          <w:lang w:val="en-GB"/>
        </w:rPr>
        <w:t>the</w:t>
      </w:r>
      <w:r w:rsidRPr="00380B40">
        <w:rPr>
          <w:spacing w:val="-6"/>
          <w:lang w:val="en-GB"/>
        </w:rPr>
        <w:t xml:space="preserve"> </w:t>
      </w:r>
      <w:r w:rsidRPr="00380B40">
        <w:rPr>
          <w:lang w:val="en-GB"/>
        </w:rPr>
        <w:t>opinion</w:t>
      </w:r>
      <w:r w:rsidRPr="00380B40">
        <w:rPr>
          <w:spacing w:val="-5"/>
          <w:lang w:val="en-GB"/>
        </w:rPr>
        <w:t xml:space="preserve"> </w:t>
      </w:r>
      <w:r w:rsidRPr="00380B40">
        <w:rPr>
          <w:lang w:val="en-GB"/>
        </w:rPr>
        <w:t>that</w:t>
      </w:r>
      <w:r w:rsidRPr="00380B40">
        <w:rPr>
          <w:spacing w:val="-3"/>
          <w:lang w:val="en-GB"/>
        </w:rPr>
        <w:t xml:space="preserve"> </w:t>
      </w:r>
      <w:r w:rsidRPr="00380B40">
        <w:rPr>
          <w:lang w:val="en-GB"/>
        </w:rPr>
        <w:t>a</w:t>
      </w:r>
      <w:r w:rsidRPr="00380B40">
        <w:rPr>
          <w:spacing w:val="-6"/>
          <w:lang w:val="en-GB"/>
        </w:rPr>
        <w:t xml:space="preserve"> </w:t>
      </w:r>
      <w:r w:rsidRPr="00380B40">
        <w:rPr>
          <w:lang w:val="en-GB"/>
        </w:rPr>
        <w:t>meeting</w:t>
      </w:r>
      <w:r w:rsidRPr="00380B40">
        <w:rPr>
          <w:spacing w:val="36"/>
          <w:lang w:val="en-GB"/>
        </w:rPr>
        <w:t xml:space="preserve"> </w:t>
      </w:r>
      <w:r w:rsidRPr="00380B40">
        <w:rPr>
          <w:spacing w:val="-1"/>
          <w:lang w:val="en-GB"/>
        </w:rPr>
        <w:t>charge</w:t>
      </w:r>
      <w:r w:rsidRPr="00380B40">
        <w:rPr>
          <w:spacing w:val="17"/>
          <w:lang w:val="en-GB"/>
        </w:rPr>
        <w:t xml:space="preserve"> </w:t>
      </w:r>
      <w:r w:rsidRPr="00380B40">
        <w:rPr>
          <w:lang w:val="en-GB"/>
        </w:rPr>
        <w:t>is</w:t>
      </w:r>
      <w:r w:rsidRPr="00380B40">
        <w:rPr>
          <w:spacing w:val="17"/>
          <w:lang w:val="en-GB"/>
        </w:rPr>
        <w:t xml:space="preserve"> </w:t>
      </w:r>
      <w:r w:rsidRPr="00380B40">
        <w:rPr>
          <w:lang w:val="en-GB"/>
        </w:rPr>
        <w:t>necessary</w:t>
      </w:r>
      <w:r w:rsidRPr="00380B40">
        <w:rPr>
          <w:spacing w:val="14"/>
          <w:lang w:val="en-GB"/>
        </w:rPr>
        <w:t xml:space="preserve"> </w:t>
      </w:r>
      <w:r w:rsidRPr="00380B40">
        <w:rPr>
          <w:lang w:val="en-GB"/>
        </w:rPr>
        <w:t>for</w:t>
      </w:r>
      <w:r w:rsidRPr="00380B40">
        <w:rPr>
          <w:spacing w:val="15"/>
          <w:lang w:val="en-GB"/>
        </w:rPr>
        <w:t xml:space="preserve"> </w:t>
      </w:r>
      <w:r w:rsidRPr="00380B40">
        <w:rPr>
          <w:lang w:val="en-GB"/>
        </w:rPr>
        <w:t>the</w:t>
      </w:r>
      <w:r w:rsidRPr="00380B40">
        <w:rPr>
          <w:spacing w:val="15"/>
          <w:lang w:val="en-GB"/>
        </w:rPr>
        <w:t xml:space="preserve"> </w:t>
      </w:r>
      <w:r w:rsidRPr="00380B40">
        <w:rPr>
          <w:spacing w:val="-1"/>
          <w:lang w:val="en-GB"/>
        </w:rPr>
        <w:t>work</w:t>
      </w:r>
      <w:r w:rsidRPr="00380B40">
        <w:rPr>
          <w:spacing w:val="16"/>
          <w:lang w:val="en-GB"/>
        </w:rPr>
        <w:t xml:space="preserve"> </w:t>
      </w:r>
      <w:r w:rsidRPr="00380B40">
        <w:rPr>
          <w:lang w:val="en-GB"/>
        </w:rPr>
        <w:t>to</w:t>
      </w:r>
      <w:r w:rsidRPr="00380B40">
        <w:rPr>
          <w:spacing w:val="17"/>
          <w:lang w:val="en-GB"/>
        </w:rPr>
        <w:t xml:space="preserve"> </w:t>
      </w:r>
      <w:r w:rsidRPr="00380B40">
        <w:rPr>
          <w:lang w:val="en-GB"/>
        </w:rPr>
        <w:t>proceed</w:t>
      </w:r>
      <w:r w:rsidRPr="00380B40">
        <w:rPr>
          <w:spacing w:val="16"/>
          <w:lang w:val="en-GB"/>
        </w:rPr>
        <w:t xml:space="preserve"> </w:t>
      </w:r>
      <w:r w:rsidRPr="00380B40">
        <w:rPr>
          <w:spacing w:val="-1"/>
          <w:lang w:val="en-GB"/>
        </w:rPr>
        <w:t>properly.</w:t>
      </w:r>
      <w:r w:rsidRPr="00380B40">
        <w:rPr>
          <w:spacing w:val="18"/>
          <w:lang w:val="en-GB"/>
        </w:rPr>
        <w:t xml:space="preserve"> </w:t>
      </w:r>
      <w:r w:rsidRPr="00380B40">
        <w:rPr>
          <w:spacing w:val="-1"/>
          <w:lang w:val="en-GB"/>
        </w:rPr>
        <w:t>However,</w:t>
      </w:r>
      <w:r w:rsidRPr="00380B40">
        <w:rPr>
          <w:spacing w:val="15"/>
          <w:lang w:val="en-GB"/>
        </w:rPr>
        <w:t xml:space="preserve"> </w:t>
      </w:r>
      <w:r w:rsidRPr="00380B40">
        <w:rPr>
          <w:lang w:val="en-GB"/>
        </w:rPr>
        <w:t>no</w:t>
      </w:r>
      <w:r w:rsidRPr="00380B40">
        <w:rPr>
          <w:spacing w:val="18"/>
          <w:lang w:val="en-GB"/>
        </w:rPr>
        <w:t xml:space="preserve"> </w:t>
      </w:r>
      <w:r w:rsidRPr="00380B40">
        <w:rPr>
          <w:lang w:val="en-GB"/>
        </w:rPr>
        <w:t>participant</w:t>
      </w:r>
      <w:r w:rsidRPr="00380B40">
        <w:rPr>
          <w:spacing w:val="16"/>
          <w:lang w:val="en-GB"/>
        </w:rPr>
        <w:t xml:space="preserve"> </w:t>
      </w:r>
      <w:r w:rsidRPr="00380B40">
        <w:rPr>
          <w:lang w:val="en-GB"/>
        </w:rPr>
        <w:t>should</w:t>
      </w:r>
      <w:r w:rsidRPr="00380B40">
        <w:rPr>
          <w:spacing w:val="16"/>
          <w:lang w:val="en-GB"/>
        </w:rPr>
        <w:t xml:space="preserve"> </w:t>
      </w:r>
      <w:r w:rsidRPr="00380B40">
        <w:rPr>
          <w:lang w:val="en-GB"/>
        </w:rPr>
        <w:t>be</w:t>
      </w:r>
      <w:r w:rsidRPr="00380B40">
        <w:rPr>
          <w:spacing w:val="15"/>
          <w:lang w:val="en-GB"/>
        </w:rPr>
        <w:t xml:space="preserve"> </w:t>
      </w:r>
      <w:r w:rsidRPr="00380B40">
        <w:rPr>
          <w:lang w:val="en-GB"/>
        </w:rPr>
        <w:t>excluded</w:t>
      </w:r>
      <w:r w:rsidRPr="00380B40">
        <w:rPr>
          <w:spacing w:val="40"/>
          <w:lang w:val="en-GB"/>
        </w:rPr>
        <w:t xml:space="preserve"> </w:t>
      </w:r>
      <w:r w:rsidRPr="00380B40">
        <w:rPr>
          <w:spacing w:val="-1"/>
          <w:lang w:val="en-GB"/>
        </w:rPr>
        <w:t>from</w:t>
      </w:r>
      <w:r w:rsidRPr="00380B40">
        <w:rPr>
          <w:lang w:val="en-GB"/>
        </w:rPr>
        <w:t xml:space="preserve"> </w:t>
      </w:r>
      <w:r w:rsidRPr="00380B40">
        <w:rPr>
          <w:spacing w:val="-1"/>
          <w:lang w:val="en-GB"/>
        </w:rPr>
        <w:t>participation</w:t>
      </w:r>
      <w:r w:rsidRPr="00380B40">
        <w:rPr>
          <w:lang w:val="en-GB"/>
        </w:rPr>
        <w:t xml:space="preserve"> if he </w:t>
      </w:r>
      <w:r w:rsidRPr="00380B40">
        <w:rPr>
          <w:spacing w:val="1"/>
          <w:lang w:val="en-GB"/>
        </w:rPr>
        <w:t>or</w:t>
      </w:r>
      <w:r w:rsidRPr="00380B40">
        <w:rPr>
          <w:lang w:val="en-GB"/>
        </w:rPr>
        <w:t xml:space="preserve"> she</w:t>
      </w:r>
      <w:r w:rsidRPr="00380B40">
        <w:rPr>
          <w:spacing w:val="-2"/>
          <w:lang w:val="en-GB"/>
        </w:rPr>
        <w:t xml:space="preserve"> </w:t>
      </w:r>
      <w:r w:rsidRPr="00380B40">
        <w:rPr>
          <w:spacing w:val="1"/>
          <w:lang w:val="en-GB"/>
        </w:rPr>
        <w:t>is</w:t>
      </w:r>
      <w:r w:rsidRPr="00380B40">
        <w:rPr>
          <w:lang w:val="en-GB"/>
        </w:rPr>
        <w:t xml:space="preserve"> unwilling</w:t>
      </w:r>
      <w:r w:rsidRPr="00380B40">
        <w:rPr>
          <w:spacing w:val="-2"/>
          <w:lang w:val="en-GB"/>
        </w:rPr>
        <w:t xml:space="preserve"> </w:t>
      </w:r>
      <w:r w:rsidRPr="00380B40">
        <w:rPr>
          <w:lang w:val="en-GB"/>
        </w:rPr>
        <w:t xml:space="preserve">to </w:t>
      </w:r>
      <w:r w:rsidRPr="00380B40">
        <w:rPr>
          <w:spacing w:val="1"/>
          <w:lang w:val="en-GB"/>
        </w:rPr>
        <w:t>pay</w:t>
      </w:r>
      <w:r w:rsidRPr="00380B40">
        <w:rPr>
          <w:spacing w:val="-5"/>
          <w:lang w:val="en-GB"/>
        </w:rPr>
        <w:t xml:space="preserve"> </w:t>
      </w:r>
      <w:r w:rsidRPr="00380B40">
        <w:rPr>
          <w:lang w:val="en-GB"/>
        </w:rPr>
        <w:t>the</w:t>
      </w:r>
      <w:r w:rsidRPr="00380B40">
        <w:rPr>
          <w:spacing w:val="-1"/>
          <w:lang w:val="en-GB"/>
        </w:rPr>
        <w:t xml:space="preserve"> charge.</w:t>
      </w:r>
      <w:r w:rsidRPr="00380B40">
        <w:rPr>
          <w:spacing w:val="2"/>
          <w:lang w:val="en-GB"/>
        </w:rPr>
        <w:t xml:space="preserve"> </w:t>
      </w:r>
      <w:r w:rsidRPr="00380B40">
        <w:rPr>
          <w:spacing w:val="-1"/>
          <w:lang w:val="en-GB"/>
        </w:rPr>
        <w:t>Additional</w:t>
      </w:r>
      <w:r w:rsidRPr="00380B40">
        <w:rPr>
          <w:lang w:val="en-GB"/>
        </w:rPr>
        <w:t xml:space="preserve"> </w:t>
      </w:r>
      <w:r w:rsidRPr="00380B40">
        <w:rPr>
          <w:spacing w:val="-1"/>
          <w:lang w:val="en-GB"/>
        </w:rPr>
        <w:t>services</w:t>
      </w:r>
      <w:r w:rsidRPr="00380B40">
        <w:rPr>
          <w:lang w:val="en-GB"/>
        </w:rPr>
        <w:t xml:space="preserve"> </w:t>
      </w:r>
      <w:r w:rsidRPr="00380B40">
        <w:rPr>
          <w:spacing w:val="-1"/>
          <w:lang w:val="en-GB"/>
        </w:rPr>
        <w:t>offered</w:t>
      </w:r>
      <w:r w:rsidRPr="00380B40">
        <w:rPr>
          <w:lang w:val="en-GB"/>
        </w:rPr>
        <w:t xml:space="preserve"> </w:t>
      </w:r>
      <w:r w:rsidRPr="00380B40">
        <w:rPr>
          <w:spacing w:val="2"/>
          <w:lang w:val="en-GB"/>
        </w:rPr>
        <w:t>by</w:t>
      </w:r>
      <w:r w:rsidRPr="00380B40">
        <w:rPr>
          <w:spacing w:val="-5"/>
          <w:lang w:val="en-GB"/>
        </w:rPr>
        <w:t xml:space="preserve"> </w:t>
      </w:r>
      <w:r w:rsidRPr="00380B40">
        <w:rPr>
          <w:lang w:val="en-GB"/>
        </w:rPr>
        <w:t>the</w:t>
      </w:r>
      <w:r w:rsidRPr="00380B40">
        <w:rPr>
          <w:spacing w:val="1"/>
          <w:lang w:val="en-GB"/>
        </w:rPr>
        <w:t xml:space="preserve"> </w:t>
      </w:r>
      <w:r w:rsidRPr="00380B40">
        <w:rPr>
          <w:lang w:val="en-GB"/>
        </w:rPr>
        <w:t>host</w:t>
      </w:r>
      <w:r w:rsidRPr="00380B40">
        <w:rPr>
          <w:spacing w:val="90"/>
          <w:lang w:val="en-GB"/>
        </w:rPr>
        <w:t xml:space="preserve"> </w:t>
      </w:r>
      <w:r w:rsidRPr="00380B40">
        <w:rPr>
          <w:spacing w:val="-1"/>
          <w:lang w:val="en-GB"/>
        </w:rPr>
        <w:t>shall</w:t>
      </w:r>
      <w:r w:rsidRPr="00380B40">
        <w:rPr>
          <w:spacing w:val="19"/>
          <w:lang w:val="en-GB"/>
        </w:rPr>
        <w:t xml:space="preserve"> </w:t>
      </w:r>
      <w:r w:rsidRPr="00380B40">
        <w:rPr>
          <w:lang w:val="en-GB"/>
        </w:rPr>
        <w:t>be</w:t>
      </w:r>
      <w:r w:rsidRPr="00380B40">
        <w:rPr>
          <w:spacing w:val="18"/>
          <w:lang w:val="en-GB"/>
        </w:rPr>
        <w:t xml:space="preserve"> </w:t>
      </w:r>
      <w:r w:rsidRPr="00380B40">
        <w:rPr>
          <w:spacing w:val="-1"/>
          <w:lang w:val="en-GB"/>
        </w:rPr>
        <w:t>voluntary,</w:t>
      </w:r>
      <w:r w:rsidRPr="00380B40">
        <w:rPr>
          <w:spacing w:val="18"/>
          <w:lang w:val="en-GB"/>
        </w:rPr>
        <w:t xml:space="preserve"> </w:t>
      </w:r>
      <w:r w:rsidRPr="00380B40">
        <w:rPr>
          <w:lang w:val="en-GB"/>
        </w:rPr>
        <w:t>and</w:t>
      </w:r>
      <w:r w:rsidRPr="00380B40">
        <w:rPr>
          <w:spacing w:val="18"/>
          <w:lang w:val="en-GB"/>
        </w:rPr>
        <w:t xml:space="preserve"> </w:t>
      </w:r>
      <w:r w:rsidRPr="00380B40">
        <w:rPr>
          <w:spacing w:val="-1"/>
          <w:lang w:val="en-GB"/>
        </w:rPr>
        <w:t>there</w:t>
      </w:r>
      <w:r w:rsidRPr="00380B40">
        <w:rPr>
          <w:spacing w:val="18"/>
          <w:lang w:val="en-GB"/>
        </w:rPr>
        <w:t xml:space="preserve"> </w:t>
      </w:r>
      <w:r w:rsidRPr="00380B40">
        <w:rPr>
          <w:spacing w:val="-1"/>
          <w:lang w:val="en-GB"/>
        </w:rPr>
        <w:t>shall</w:t>
      </w:r>
      <w:r w:rsidRPr="00380B40">
        <w:rPr>
          <w:spacing w:val="19"/>
          <w:lang w:val="en-GB"/>
        </w:rPr>
        <w:t xml:space="preserve"> </w:t>
      </w:r>
      <w:r w:rsidRPr="00380B40">
        <w:rPr>
          <w:lang w:val="en-GB"/>
        </w:rPr>
        <w:t>be</w:t>
      </w:r>
      <w:r w:rsidRPr="00380B40">
        <w:rPr>
          <w:spacing w:val="18"/>
          <w:lang w:val="en-GB"/>
        </w:rPr>
        <w:t xml:space="preserve"> </w:t>
      </w:r>
      <w:r w:rsidRPr="00380B40">
        <w:rPr>
          <w:lang w:val="en-GB"/>
        </w:rPr>
        <w:t>no</w:t>
      </w:r>
      <w:r w:rsidRPr="00380B40">
        <w:rPr>
          <w:spacing w:val="18"/>
          <w:lang w:val="en-GB"/>
        </w:rPr>
        <w:t xml:space="preserve"> </w:t>
      </w:r>
      <w:r w:rsidRPr="00380B40">
        <w:rPr>
          <w:spacing w:val="-1"/>
          <w:lang w:val="en-GB"/>
        </w:rPr>
        <w:t>obligation</w:t>
      </w:r>
      <w:r w:rsidRPr="00380B40">
        <w:rPr>
          <w:spacing w:val="18"/>
          <w:lang w:val="en-GB"/>
        </w:rPr>
        <w:t xml:space="preserve"> </w:t>
      </w:r>
      <w:r w:rsidRPr="00380B40">
        <w:rPr>
          <w:lang w:val="en-GB"/>
        </w:rPr>
        <w:t>on</w:t>
      </w:r>
      <w:r w:rsidRPr="00380B40">
        <w:rPr>
          <w:spacing w:val="18"/>
          <w:lang w:val="en-GB"/>
        </w:rPr>
        <w:t xml:space="preserve"> </w:t>
      </w:r>
      <w:r w:rsidRPr="00380B40">
        <w:rPr>
          <w:lang w:val="en-GB"/>
        </w:rPr>
        <w:t>any</w:t>
      </w:r>
      <w:r w:rsidRPr="00380B40">
        <w:rPr>
          <w:spacing w:val="14"/>
          <w:lang w:val="en-GB"/>
        </w:rPr>
        <w:t xml:space="preserve"> </w:t>
      </w:r>
      <w:r w:rsidRPr="00380B40">
        <w:rPr>
          <w:lang w:val="en-GB"/>
        </w:rPr>
        <w:t>of</w:t>
      </w:r>
      <w:r w:rsidRPr="00380B40">
        <w:rPr>
          <w:spacing w:val="18"/>
          <w:lang w:val="en-GB"/>
        </w:rPr>
        <w:t xml:space="preserve"> </w:t>
      </w:r>
      <w:r w:rsidRPr="00380B40">
        <w:rPr>
          <w:lang w:val="en-GB"/>
        </w:rPr>
        <w:t>the</w:t>
      </w:r>
      <w:r w:rsidRPr="00380B40">
        <w:rPr>
          <w:spacing w:val="18"/>
          <w:lang w:val="en-GB"/>
        </w:rPr>
        <w:t xml:space="preserve"> </w:t>
      </w:r>
      <w:r w:rsidRPr="00380B40">
        <w:rPr>
          <w:lang w:val="en-GB"/>
        </w:rPr>
        <w:t>participants</w:t>
      </w:r>
      <w:r w:rsidRPr="00380B40">
        <w:rPr>
          <w:spacing w:val="19"/>
          <w:lang w:val="en-GB"/>
        </w:rPr>
        <w:t xml:space="preserve"> </w:t>
      </w:r>
      <w:r w:rsidRPr="00380B40">
        <w:rPr>
          <w:spacing w:val="-1"/>
          <w:lang w:val="en-GB"/>
        </w:rPr>
        <w:t>resulting</w:t>
      </w:r>
      <w:r w:rsidRPr="00380B40">
        <w:rPr>
          <w:spacing w:val="17"/>
          <w:lang w:val="en-GB"/>
        </w:rPr>
        <w:t xml:space="preserve"> </w:t>
      </w:r>
      <w:r w:rsidRPr="00380B40">
        <w:rPr>
          <w:spacing w:val="-1"/>
          <w:lang w:val="en-GB"/>
        </w:rPr>
        <w:t>from</w:t>
      </w:r>
      <w:r w:rsidRPr="00380B40">
        <w:rPr>
          <w:spacing w:val="19"/>
          <w:lang w:val="en-GB"/>
        </w:rPr>
        <w:t xml:space="preserve"> </w:t>
      </w:r>
      <w:r w:rsidRPr="00380B40">
        <w:rPr>
          <w:lang w:val="en-GB"/>
        </w:rPr>
        <w:t>these</w:t>
      </w:r>
      <w:r w:rsidRPr="00380B40">
        <w:rPr>
          <w:spacing w:val="77"/>
          <w:lang w:val="en-GB"/>
        </w:rPr>
        <w:t xml:space="preserve"> </w:t>
      </w:r>
      <w:r w:rsidRPr="00380B40">
        <w:rPr>
          <w:spacing w:val="-1"/>
          <w:lang w:val="en-GB"/>
        </w:rPr>
        <w:t>additional</w:t>
      </w:r>
      <w:r w:rsidRPr="00380B40">
        <w:rPr>
          <w:lang w:val="en-GB"/>
        </w:rPr>
        <w:t xml:space="preserve"> </w:t>
      </w:r>
      <w:r w:rsidRPr="00380B40">
        <w:rPr>
          <w:spacing w:val="-1"/>
          <w:lang w:val="en-GB"/>
        </w:rPr>
        <w:t>services.</w:t>
      </w:r>
    </w:p>
    <w:p w14:paraId="08BCBA81" w14:textId="77777777" w:rsidR="00C12517" w:rsidRPr="00380B40" w:rsidRDefault="00C12517" w:rsidP="00C12517">
      <w:pPr>
        <w:pStyle w:val="Heading1"/>
        <w:rPr>
          <w:lang w:val="en-GB"/>
        </w:rPr>
      </w:pPr>
      <w:bookmarkStart w:id="658" w:name="_Toc532428469"/>
      <w:bookmarkStart w:id="659" w:name="_Toc206496684"/>
      <w:bookmarkStart w:id="660" w:name="_Toc471716648"/>
      <w:bookmarkStart w:id="661" w:name="_Toc20738321"/>
      <w:bookmarkStart w:id="662" w:name="_Toc21093735"/>
      <w:bookmarkStart w:id="663" w:name="_Toc22280344"/>
      <w:bookmarkStart w:id="664" w:name="_Toc111636842"/>
      <w:r w:rsidRPr="00380B40">
        <w:rPr>
          <w:lang w:val="en-GB"/>
        </w:rPr>
        <w:t>3</w:t>
      </w:r>
      <w:r w:rsidRPr="00380B40">
        <w:rPr>
          <w:lang w:val="en-GB"/>
        </w:rPr>
        <w:tab/>
        <w:t>Submission and processing of contributions</w:t>
      </w:r>
      <w:bookmarkEnd w:id="658"/>
      <w:bookmarkEnd w:id="659"/>
      <w:bookmarkEnd w:id="660"/>
      <w:bookmarkEnd w:id="661"/>
      <w:bookmarkEnd w:id="662"/>
      <w:bookmarkEnd w:id="663"/>
      <w:bookmarkEnd w:id="664"/>
    </w:p>
    <w:p w14:paraId="4B4BADE5" w14:textId="77777777" w:rsidR="00C12517" w:rsidRPr="00380B40" w:rsidRDefault="00C12517" w:rsidP="00C12517">
      <w:pPr>
        <w:pStyle w:val="Heading2"/>
        <w:tabs>
          <w:tab w:val="left" w:pos="908"/>
        </w:tabs>
        <w:rPr>
          <w:b w:val="0"/>
          <w:bCs/>
          <w:lang w:val="en-GB"/>
        </w:rPr>
      </w:pPr>
      <w:bookmarkStart w:id="665" w:name="_Toc206496685"/>
      <w:bookmarkStart w:id="666" w:name="_Toc471716649"/>
      <w:bookmarkStart w:id="667" w:name="_Toc20738322"/>
      <w:bookmarkStart w:id="668" w:name="_Toc21093736"/>
      <w:bookmarkStart w:id="669" w:name="_Toc22280345"/>
      <w:bookmarkStart w:id="670" w:name="_Toc111636843"/>
      <w:r w:rsidRPr="00380B40">
        <w:rPr>
          <w:lang w:val="en-GB"/>
        </w:rPr>
        <w:t>3.1</w:t>
      </w:r>
      <w:r w:rsidRPr="00380B40">
        <w:rPr>
          <w:lang w:val="en-GB"/>
        </w:rPr>
        <w:tab/>
      </w:r>
      <w:bookmarkStart w:id="671" w:name="_Toc532428470"/>
      <w:r w:rsidRPr="00380B40">
        <w:rPr>
          <w:spacing w:val="-1"/>
          <w:lang w:val="en-GB"/>
        </w:rPr>
        <w:t>Submission</w:t>
      </w:r>
      <w:r w:rsidRPr="00380B40">
        <w:rPr>
          <w:spacing w:val="1"/>
          <w:lang w:val="en-GB"/>
        </w:rPr>
        <w:t xml:space="preserve"> </w:t>
      </w:r>
      <w:r w:rsidRPr="00380B40">
        <w:rPr>
          <w:lang w:val="en-GB"/>
        </w:rPr>
        <w:t>of</w:t>
      </w:r>
      <w:r w:rsidRPr="00380B40">
        <w:rPr>
          <w:spacing w:val="3"/>
          <w:lang w:val="en-GB"/>
        </w:rPr>
        <w:t xml:space="preserve"> </w:t>
      </w:r>
      <w:r w:rsidRPr="00380B40">
        <w:rPr>
          <w:spacing w:val="-1"/>
          <w:lang w:val="en-GB"/>
        </w:rPr>
        <w:t>contributions</w:t>
      </w:r>
      <w:bookmarkEnd w:id="665"/>
      <w:bookmarkEnd w:id="666"/>
      <w:bookmarkEnd w:id="667"/>
      <w:bookmarkEnd w:id="668"/>
      <w:bookmarkEnd w:id="669"/>
      <w:bookmarkEnd w:id="670"/>
      <w:bookmarkEnd w:id="671"/>
    </w:p>
    <w:p w14:paraId="315B0B86" w14:textId="77777777" w:rsidR="00C12517" w:rsidRPr="00380B40" w:rsidRDefault="00C12517" w:rsidP="00C12517">
      <w:pPr>
        <w:rPr>
          <w:lang w:val="en-GB"/>
        </w:rPr>
      </w:pPr>
      <w:r w:rsidRPr="00380B40">
        <w:rPr>
          <w:b/>
          <w:bCs/>
          <w:lang w:val="en-GB"/>
        </w:rPr>
        <w:t>3.1.1</w:t>
      </w:r>
      <w:r w:rsidRPr="00380B40">
        <w:rPr>
          <w:lang w:val="en-GB"/>
        </w:rPr>
        <w:tab/>
        <w:t>Member</w:t>
      </w:r>
      <w:r w:rsidRPr="00380B40">
        <w:rPr>
          <w:spacing w:val="-9"/>
          <w:lang w:val="en-GB"/>
        </w:rPr>
        <w:t xml:space="preserve"> </w:t>
      </w:r>
      <w:r w:rsidRPr="00380B40">
        <w:rPr>
          <w:lang w:val="en-GB"/>
        </w:rPr>
        <w:t>States</w:t>
      </w:r>
      <w:r w:rsidRPr="00380B40">
        <w:rPr>
          <w:spacing w:val="-7"/>
          <w:lang w:val="en-GB"/>
        </w:rPr>
        <w:t xml:space="preserve"> </w:t>
      </w:r>
      <w:r w:rsidRPr="00380B40">
        <w:rPr>
          <w:lang w:val="en-GB"/>
        </w:rPr>
        <w:t>and</w:t>
      </w:r>
      <w:r w:rsidRPr="00380B40">
        <w:rPr>
          <w:spacing w:val="-8"/>
          <w:lang w:val="en-GB"/>
        </w:rPr>
        <w:t xml:space="preserve"> </w:t>
      </w:r>
      <w:r w:rsidRPr="00380B40">
        <w:rPr>
          <w:lang w:val="en-GB"/>
        </w:rPr>
        <w:t>other</w:t>
      </w:r>
      <w:r w:rsidRPr="00380B40">
        <w:rPr>
          <w:spacing w:val="-9"/>
          <w:lang w:val="en-GB"/>
        </w:rPr>
        <w:t xml:space="preserve"> </w:t>
      </w:r>
      <w:r w:rsidRPr="00380B40">
        <w:rPr>
          <w:lang w:val="en-GB"/>
        </w:rPr>
        <w:t>duly</w:t>
      </w:r>
      <w:r w:rsidRPr="00380B40">
        <w:rPr>
          <w:spacing w:val="-12"/>
          <w:lang w:val="en-GB"/>
        </w:rPr>
        <w:t xml:space="preserve"> </w:t>
      </w:r>
      <w:r w:rsidRPr="00380B40">
        <w:rPr>
          <w:lang w:val="en-GB"/>
        </w:rPr>
        <w:t>authorized</w:t>
      </w:r>
      <w:r w:rsidRPr="00380B40">
        <w:rPr>
          <w:spacing w:val="-8"/>
          <w:lang w:val="en-GB"/>
        </w:rPr>
        <w:t xml:space="preserve"> </w:t>
      </w:r>
      <w:r w:rsidRPr="00380B40">
        <w:rPr>
          <w:lang w:val="en-GB"/>
        </w:rPr>
        <w:t>entities</w:t>
      </w:r>
      <w:r w:rsidRPr="00380B40">
        <w:rPr>
          <w:spacing w:val="-7"/>
          <w:lang w:val="en-GB"/>
        </w:rPr>
        <w:t xml:space="preserve"> </w:t>
      </w:r>
      <w:r w:rsidRPr="00380B40">
        <w:rPr>
          <w:lang w:val="en-GB"/>
        </w:rPr>
        <w:t>registered</w:t>
      </w:r>
      <w:r w:rsidRPr="00380B40">
        <w:rPr>
          <w:spacing w:val="-8"/>
          <w:lang w:val="en-GB"/>
        </w:rPr>
        <w:t xml:space="preserve"> </w:t>
      </w:r>
      <w:r w:rsidRPr="00380B40">
        <w:rPr>
          <w:lang w:val="en-GB"/>
        </w:rPr>
        <w:t>with</w:t>
      </w:r>
      <w:r w:rsidRPr="00380B40">
        <w:rPr>
          <w:spacing w:val="-7"/>
          <w:lang w:val="en-GB"/>
        </w:rPr>
        <w:t xml:space="preserve"> </w:t>
      </w:r>
      <w:r w:rsidRPr="00380B40">
        <w:rPr>
          <w:lang w:val="en-GB"/>
        </w:rPr>
        <w:t>a</w:t>
      </w:r>
      <w:r w:rsidRPr="00380B40">
        <w:rPr>
          <w:spacing w:val="-9"/>
          <w:lang w:val="en-GB"/>
        </w:rPr>
        <w:t xml:space="preserve"> </w:t>
      </w:r>
      <w:r w:rsidRPr="00380B40">
        <w:rPr>
          <w:lang w:val="en-GB"/>
        </w:rPr>
        <w:t>study</w:t>
      </w:r>
      <w:r w:rsidRPr="00380B40">
        <w:rPr>
          <w:spacing w:val="-12"/>
          <w:lang w:val="en-GB"/>
        </w:rPr>
        <w:t xml:space="preserve"> </w:t>
      </w:r>
      <w:r w:rsidRPr="00380B40">
        <w:rPr>
          <w:lang w:val="en-GB"/>
        </w:rPr>
        <w:t>group</w:t>
      </w:r>
      <w:r w:rsidRPr="00380B40">
        <w:rPr>
          <w:spacing w:val="-8"/>
          <w:lang w:val="en-GB"/>
        </w:rPr>
        <w:t xml:space="preserve"> </w:t>
      </w:r>
      <w:r w:rsidRPr="00380B40">
        <w:rPr>
          <w:lang w:val="en-GB"/>
        </w:rPr>
        <w:t>or</w:t>
      </w:r>
      <w:r w:rsidRPr="00380B40">
        <w:rPr>
          <w:spacing w:val="-8"/>
          <w:lang w:val="en-GB"/>
        </w:rPr>
        <w:t xml:space="preserve"> </w:t>
      </w:r>
      <w:r w:rsidRPr="00380B40">
        <w:rPr>
          <w:lang w:val="en-GB"/>
        </w:rPr>
        <w:t>its</w:t>
      </w:r>
      <w:r w:rsidRPr="00380B40">
        <w:rPr>
          <w:spacing w:val="-7"/>
          <w:lang w:val="en-GB"/>
        </w:rPr>
        <w:t xml:space="preserve"> </w:t>
      </w:r>
      <w:r w:rsidRPr="00380B40">
        <w:rPr>
          <w:lang w:val="en-GB"/>
        </w:rPr>
        <w:t>relevant</w:t>
      </w:r>
      <w:r w:rsidRPr="00380B40">
        <w:rPr>
          <w:spacing w:val="81"/>
          <w:lang w:val="en-GB"/>
        </w:rPr>
        <w:t xml:space="preserve"> </w:t>
      </w:r>
      <w:r w:rsidRPr="00380B40">
        <w:rPr>
          <w:lang w:val="en-GB"/>
        </w:rPr>
        <w:t>group</w:t>
      </w:r>
      <w:r w:rsidRPr="00380B40">
        <w:rPr>
          <w:spacing w:val="11"/>
          <w:lang w:val="en-GB"/>
        </w:rPr>
        <w:t xml:space="preserve"> </w:t>
      </w:r>
      <w:r w:rsidRPr="00380B40">
        <w:rPr>
          <w:lang w:val="en-GB"/>
        </w:rPr>
        <w:t>should</w:t>
      </w:r>
      <w:r w:rsidRPr="00380B40">
        <w:rPr>
          <w:spacing w:val="11"/>
          <w:lang w:val="en-GB"/>
        </w:rPr>
        <w:t xml:space="preserve"> </w:t>
      </w:r>
      <w:r w:rsidRPr="00380B40">
        <w:rPr>
          <w:lang w:val="en-GB"/>
        </w:rPr>
        <w:t>submit</w:t>
      </w:r>
      <w:r w:rsidRPr="00380B40">
        <w:rPr>
          <w:spacing w:val="12"/>
          <w:lang w:val="en-GB"/>
        </w:rPr>
        <w:t xml:space="preserve"> </w:t>
      </w:r>
      <w:r w:rsidRPr="00380B40">
        <w:rPr>
          <w:lang w:val="en-GB"/>
        </w:rPr>
        <w:t>their</w:t>
      </w:r>
      <w:r w:rsidRPr="00380B40">
        <w:rPr>
          <w:spacing w:val="11"/>
          <w:lang w:val="en-GB"/>
        </w:rPr>
        <w:t xml:space="preserve"> </w:t>
      </w:r>
      <w:r w:rsidRPr="00380B40">
        <w:rPr>
          <w:lang w:val="en-GB"/>
        </w:rPr>
        <w:t>contributions</w:t>
      </w:r>
      <w:r w:rsidRPr="00380B40">
        <w:rPr>
          <w:spacing w:val="12"/>
          <w:lang w:val="en-GB"/>
        </w:rPr>
        <w:t xml:space="preserve"> </w:t>
      </w:r>
      <w:r w:rsidRPr="00380B40">
        <w:rPr>
          <w:lang w:val="en-GB"/>
        </w:rPr>
        <w:t>to</w:t>
      </w:r>
      <w:r w:rsidRPr="00380B40">
        <w:rPr>
          <w:spacing w:val="12"/>
          <w:lang w:val="en-GB"/>
        </w:rPr>
        <w:t xml:space="preserve"> </w:t>
      </w:r>
      <w:r w:rsidRPr="00380B40">
        <w:rPr>
          <w:lang w:val="en-GB"/>
        </w:rPr>
        <w:t>current</w:t>
      </w:r>
      <w:r w:rsidRPr="00380B40">
        <w:rPr>
          <w:spacing w:val="14"/>
          <w:lang w:val="en-GB"/>
        </w:rPr>
        <w:t xml:space="preserve"> </w:t>
      </w:r>
      <w:r w:rsidRPr="00380B40">
        <w:rPr>
          <w:lang w:val="en-GB"/>
        </w:rPr>
        <w:t>studies</w:t>
      </w:r>
      <w:r w:rsidRPr="00380B40">
        <w:rPr>
          <w:spacing w:val="12"/>
          <w:lang w:val="en-GB"/>
        </w:rPr>
        <w:t xml:space="preserve"> </w:t>
      </w:r>
      <w:r w:rsidRPr="00380B40">
        <w:rPr>
          <w:lang w:val="en-GB"/>
        </w:rPr>
        <w:t>via</w:t>
      </w:r>
      <w:r w:rsidRPr="00380B40">
        <w:rPr>
          <w:spacing w:val="11"/>
          <w:lang w:val="en-GB"/>
        </w:rPr>
        <w:t xml:space="preserve"> </w:t>
      </w:r>
      <w:r w:rsidRPr="00380B40">
        <w:rPr>
          <w:lang w:val="en-GB"/>
        </w:rPr>
        <w:t>electronic</w:t>
      </w:r>
      <w:r w:rsidRPr="00380B40">
        <w:rPr>
          <w:spacing w:val="10"/>
          <w:lang w:val="en-GB"/>
        </w:rPr>
        <w:t xml:space="preserve"> </w:t>
      </w:r>
      <w:r w:rsidRPr="00380B40">
        <w:rPr>
          <w:lang w:val="en-GB"/>
        </w:rPr>
        <w:t>means,</w:t>
      </w:r>
      <w:r w:rsidRPr="00380B40">
        <w:rPr>
          <w:spacing w:val="12"/>
          <w:lang w:val="en-GB"/>
        </w:rPr>
        <w:t xml:space="preserve"> </w:t>
      </w:r>
      <w:r w:rsidRPr="00380B40">
        <w:rPr>
          <w:lang w:val="en-GB"/>
        </w:rPr>
        <w:t>in</w:t>
      </w:r>
      <w:r w:rsidRPr="00380B40">
        <w:rPr>
          <w:spacing w:val="12"/>
          <w:lang w:val="en-GB"/>
        </w:rPr>
        <w:t xml:space="preserve"> </w:t>
      </w:r>
      <w:r w:rsidRPr="00380B40">
        <w:rPr>
          <w:lang w:val="en-GB"/>
        </w:rPr>
        <w:t>accordance</w:t>
      </w:r>
      <w:r w:rsidRPr="00380B40">
        <w:rPr>
          <w:spacing w:val="12"/>
          <w:lang w:val="en-GB"/>
        </w:rPr>
        <w:t xml:space="preserve"> </w:t>
      </w:r>
      <w:r w:rsidRPr="00380B40">
        <w:rPr>
          <w:lang w:val="en-GB"/>
        </w:rPr>
        <w:t>with</w:t>
      </w:r>
      <w:r w:rsidRPr="00380B40">
        <w:rPr>
          <w:spacing w:val="89"/>
          <w:lang w:val="en-GB"/>
        </w:rPr>
        <w:t xml:space="preserve"> </w:t>
      </w:r>
      <w:r w:rsidRPr="00380B40">
        <w:rPr>
          <w:lang w:val="en-GB"/>
        </w:rPr>
        <w:t>guidance from the Director of TSB</w:t>
      </w:r>
      <w:r w:rsidRPr="00380B40">
        <w:rPr>
          <w:spacing w:val="-2"/>
          <w:lang w:val="en-GB"/>
        </w:rPr>
        <w:t xml:space="preserve"> </w:t>
      </w:r>
      <w:r w:rsidRPr="00380B40">
        <w:rPr>
          <w:lang w:val="en-GB"/>
        </w:rPr>
        <w:t>(see clause 3.2.6).</w:t>
      </w:r>
    </w:p>
    <w:p w14:paraId="0CD5EBA6" w14:textId="77777777" w:rsidR="00DB6A21" w:rsidRPr="00380B40" w:rsidRDefault="00DB6A21" w:rsidP="00C12517">
      <w:pPr>
        <w:rPr>
          <w:b/>
          <w:bCs/>
          <w:lang w:val="en-GB"/>
        </w:rPr>
      </w:pPr>
      <w:r w:rsidRPr="00380B40">
        <w:rPr>
          <w:b/>
          <w:bCs/>
          <w:lang w:val="en-GB"/>
        </w:rPr>
        <w:br w:type="page"/>
      </w:r>
    </w:p>
    <w:p w14:paraId="05BDFC3A" w14:textId="77777777" w:rsidR="00C12517" w:rsidRPr="00380B40" w:rsidRDefault="00C12517" w:rsidP="00C12517">
      <w:pPr>
        <w:rPr>
          <w:b/>
          <w:bCs/>
          <w:lang w:val="en-GB"/>
        </w:rPr>
      </w:pPr>
      <w:r w:rsidRPr="00380B40">
        <w:rPr>
          <w:b/>
          <w:bCs/>
          <w:lang w:val="en-GB"/>
        </w:rPr>
        <w:t>3.1.2</w:t>
      </w:r>
      <w:r w:rsidRPr="00380B40">
        <w:rPr>
          <w:b/>
          <w:bCs/>
          <w:lang w:val="en-GB"/>
        </w:rPr>
        <w:tab/>
      </w:r>
      <w:r w:rsidRPr="00380B40">
        <w:rPr>
          <w:lang w:val="en-GB"/>
        </w:rPr>
        <w:t>(</w:t>
      </w:r>
      <w:r w:rsidRPr="00380B40">
        <w:rPr>
          <w:i/>
          <w:lang w:val="en-GB"/>
        </w:rPr>
        <w:t>clause intentionally left blank</w:t>
      </w:r>
      <w:r w:rsidRPr="00380B40">
        <w:rPr>
          <w:lang w:val="en-GB"/>
        </w:rPr>
        <w:t>)</w:t>
      </w:r>
    </w:p>
    <w:p w14:paraId="6481E408" w14:textId="77777777" w:rsidR="00C12517" w:rsidRPr="00380B40" w:rsidRDefault="00C12517" w:rsidP="00C12517">
      <w:pPr>
        <w:rPr>
          <w:lang w:val="en-GB"/>
        </w:rPr>
      </w:pPr>
      <w:r w:rsidRPr="00380B40">
        <w:rPr>
          <w:b/>
          <w:bCs/>
          <w:lang w:val="en-GB"/>
        </w:rPr>
        <w:t>3.1.3</w:t>
      </w:r>
      <w:r w:rsidRPr="00380B40">
        <w:rPr>
          <w:lang w:val="en-GB"/>
        </w:rPr>
        <w:tab/>
        <w:t>These</w:t>
      </w:r>
      <w:r w:rsidRPr="00380B40">
        <w:rPr>
          <w:spacing w:val="-11"/>
          <w:lang w:val="en-GB"/>
        </w:rPr>
        <w:t xml:space="preserve"> </w:t>
      </w:r>
      <w:r w:rsidRPr="00380B40">
        <w:rPr>
          <w:lang w:val="en-GB"/>
        </w:rPr>
        <w:t>contributions</w:t>
      </w:r>
      <w:r w:rsidRPr="00380B40">
        <w:rPr>
          <w:spacing w:val="-12"/>
          <w:lang w:val="en-GB"/>
        </w:rPr>
        <w:t xml:space="preserve"> </w:t>
      </w:r>
      <w:r w:rsidRPr="00380B40">
        <w:rPr>
          <w:lang w:val="en-GB"/>
        </w:rPr>
        <w:t>shall</w:t>
      </w:r>
      <w:r w:rsidRPr="00380B40">
        <w:rPr>
          <w:spacing w:val="-9"/>
          <w:lang w:val="en-GB"/>
        </w:rPr>
        <w:t xml:space="preserve"> </w:t>
      </w:r>
      <w:r w:rsidRPr="00380B40">
        <w:rPr>
          <w:lang w:val="en-GB"/>
        </w:rPr>
        <w:t>contain</w:t>
      </w:r>
      <w:r w:rsidRPr="00380B40">
        <w:rPr>
          <w:spacing w:val="-12"/>
          <w:lang w:val="en-GB"/>
        </w:rPr>
        <w:t xml:space="preserve"> </w:t>
      </w:r>
      <w:r w:rsidRPr="00380B40">
        <w:rPr>
          <w:lang w:val="en-GB"/>
        </w:rPr>
        <w:t>comments</w:t>
      </w:r>
      <w:r w:rsidRPr="00380B40">
        <w:rPr>
          <w:spacing w:val="-12"/>
          <w:lang w:val="en-GB"/>
        </w:rPr>
        <w:t xml:space="preserve"> </w:t>
      </w:r>
      <w:r w:rsidRPr="00380B40">
        <w:rPr>
          <w:spacing w:val="1"/>
          <w:lang w:val="en-GB"/>
        </w:rPr>
        <w:t>or</w:t>
      </w:r>
      <w:r w:rsidRPr="00380B40">
        <w:rPr>
          <w:spacing w:val="-13"/>
          <w:lang w:val="en-GB"/>
        </w:rPr>
        <w:t xml:space="preserve"> </w:t>
      </w:r>
      <w:r w:rsidRPr="00380B40">
        <w:rPr>
          <w:lang w:val="en-GB"/>
        </w:rPr>
        <w:t>results</w:t>
      </w:r>
      <w:r w:rsidRPr="00380B40">
        <w:rPr>
          <w:spacing w:val="-12"/>
          <w:lang w:val="en-GB"/>
        </w:rPr>
        <w:t xml:space="preserve"> </w:t>
      </w:r>
      <w:r w:rsidRPr="00380B40">
        <w:rPr>
          <w:lang w:val="en-GB"/>
        </w:rPr>
        <w:t>of</w:t>
      </w:r>
      <w:r w:rsidRPr="00380B40">
        <w:rPr>
          <w:spacing w:val="-13"/>
          <w:lang w:val="en-GB"/>
        </w:rPr>
        <w:t xml:space="preserve"> </w:t>
      </w:r>
      <w:r w:rsidRPr="00380B40">
        <w:rPr>
          <w:lang w:val="en-GB"/>
        </w:rPr>
        <w:t>experiments</w:t>
      </w:r>
      <w:r w:rsidRPr="00380B40">
        <w:rPr>
          <w:spacing w:val="-12"/>
          <w:lang w:val="en-GB"/>
        </w:rPr>
        <w:t xml:space="preserve"> </w:t>
      </w:r>
      <w:r w:rsidRPr="00380B40">
        <w:rPr>
          <w:lang w:val="en-GB"/>
        </w:rPr>
        <w:t>and</w:t>
      </w:r>
      <w:r w:rsidRPr="00380B40">
        <w:rPr>
          <w:spacing w:val="-10"/>
          <w:lang w:val="en-GB"/>
        </w:rPr>
        <w:t xml:space="preserve"> </w:t>
      </w:r>
      <w:r w:rsidRPr="00380B40">
        <w:rPr>
          <w:lang w:val="en-GB"/>
        </w:rPr>
        <w:t>proposals</w:t>
      </w:r>
      <w:r w:rsidRPr="00380B40">
        <w:rPr>
          <w:spacing w:val="-12"/>
          <w:lang w:val="en-GB"/>
        </w:rPr>
        <w:t xml:space="preserve"> </w:t>
      </w:r>
      <w:r w:rsidRPr="00380B40">
        <w:rPr>
          <w:lang w:val="en-GB"/>
        </w:rPr>
        <w:t>designed</w:t>
      </w:r>
      <w:r w:rsidRPr="00380B40">
        <w:rPr>
          <w:spacing w:val="101"/>
          <w:lang w:val="en-GB"/>
        </w:rPr>
        <w:t xml:space="preserve"> </w:t>
      </w:r>
      <w:r w:rsidRPr="00380B40">
        <w:rPr>
          <w:lang w:val="en-GB"/>
        </w:rPr>
        <w:t>to further</w:t>
      </w:r>
      <w:r w:rsidRPr="00380B40">
        <w:rPr>
          <w:spacing w:val="-2"/>
          <w:lang w:val="en-GB"/>
        </w:rPr>
        <w:t xml:space="preserve"> </w:t>
      </w:r>
      <w:r w:rsidRPr="00380B40">
        <w:rPr>
          <w:lang w:val="en-GB"/>
        </w:rPr>
        <w:t>the studies to</w:t>
      </w:r>
      <w:r w:rsidRPr="00380B40">
        <w:rPr>
          <w:spacing w:val="2"/>
          <w:lang w:val="en-GB"/>
        </w:rPr>
        <w:t xml:space="preserve"> </w:t>
      </w:r>
      <w:r w:rsidRPr="00380B40">
        <w:rPr>
          <w:lang w:val="en-GB"/>
        </w:rPr>
        <w:t xml:space="preserve">which </w:t>
      </w:r>
      <w:r w:rsidRPr="00380B40">
        <w:rPr>
          <w:spacing w:val="1"/>
          <w:lang w:val="en-GB"/>
        </w:rPr>
        <w:t>they</w:t>
      </w:r>
      <w:r w:rsidRPr="00380B40">
        <w:rPr>
          <w:spacing w:val="-5"/>
          <w:lang w:val="en-GB"/>
        </w:rPr>
        <w:t xml:space="preserve"> </w:t>
      </w:r>
      <w:r w:rsidRPr="00380B40">
        <w:rPr>
          <w:lang w:val="en-GB"/>
        </w:rPr>
        <w:t>relate.</w:t>
      </w:r>
    </w:p>
    <w:p w14:paraId="6615F220" w14:textId="77777777" w:rsidR="00C12517" w:rsidRPr="00380B40" w:rsidRDefault="00C12517" w:rsidP="00C12517">
      <w:pPr>
        <w:rPr>
          <w:lang w:val="en-GB"/>
        </w:rPr>
      </w:pPr>
      <w:r w:rsidRPr="00380B40">
        <w:rPr>
          <w:b/>
          <w:bCs/>
          <w:lang w:val="en-GB"/>
        </w:rPr>
        <w:t>3.1.4</w:t>
      </w:r>
      <w:r w:rsidRPr="00380B40">
        <w:rPr>
          <w:lang w:val="en-GB"/>
        </w:rPr>
        <w:tab/>
        <w:t>Contributors</w:t>
      </w:r>
      <w:r w:rsidRPr="00380B40">
        <w:rPr>
          <w:spacing w:val="30"/>
          <w:lang w:val="en-GB"/>
        </w:rPr>
        <w:t xml:space="preserve"> </w:t>
      </w:r>
      <w:r w:rsidRPr="00380B40">
        <w:rPr>
          <w:lang w:val="en-GB"/>
        </w:rPr>
        <w:t>are</w:t>
      </w:r>
      <w:r w:rsidRPr="00380B40">
        <w:rPr>
          <w:spacing w:val="29"/>
          <w:lang w:val="en-GB"/>
        </w:rPr>
        <w:t xml:space="preserve"> </w:t>
      </w:r>
      <w:r w:rsidRPr="00380B40">
        <w:rPr>
          <w:lang w:val="en-GB"/>
        </w:rPr>
        <w:t>reminded,</w:t>
      </w:r>
      <w:r w:rsidRPr="00380B40">
        <w:rPr>
          <w:spacing w:val="30"/>
          <w:lang w:val="en-GB"/>
        </w:rPr>
        <w:t xml:space="preserve"> </w:t>
      </w:r>
      <w:r w:rsidRPr="00380B40">
        <w:rPr>
          <w:lang w:val="en-GB"/>
        </w:rPr>
        <w:t>when</w:t>
      </w:r>
      <w:r w:rsidRPr="00380B40">
        <w:rPr>
          <w:spacing w:val="30"/>
          <w:lang w:val="en-GB"/>
        </w:rPr>
        <w:t xml:space="preserve"> </w:t>
      </w:r>
      <w:r w:rsidRPr="00380B40">
        <w:rPr>
          <w:lang w:val="en-GB"/>
        </w:rPr>
        <w:t>submitting</w:t>
      </w:r>
      <w:r w:rsidRPr="00380B40">
        <w:rPr>
          <w:spacing w:val="28"/>
          <w:lang w:val="en-GB"/>
        </w:rPr>
        <w:t xml:space="preserve"> </w:t>
      </w:r>
      <w:r w:rsidRPr="00380B40">
        <w:rPr>
          <w:lang w:val="en-GB"/>
        </w:rPr>
        <w:t>contributions,</w:t>
      </w:r>
      <w:r w:rsidRPr="00380B40">
        <w:rPr>
          <w:spacing w:val="31"/>
          <w:lang w:val="en-GB"/>
        </w:rPr>
        <w:t xml:space="preserve"> </w:t>
      </w:r>
      <w:r w:rsidRPr="00380B40">
        <w:rPr>
          <w:lang w:val="en-GB"/>
        </w:rPr>
        <w:t>that</w:t>
      </w:r>
      <w:r w:rsidRPr="00380B40">
        <w:rPr>
          <w:spacing w:val="28"/>
          <w:lang w:val="en-GB"/>
        </w:rPr>
        <w:t xml:space="preserve"> </w:t>
      </w:r>
      <w:r w:rsidRPr="00380B40">
        <w:rPr>
          <w:lang w:val="en-GB"/>
        </w:rPr>
        <w:t>early</w:t>
      </w:r>
      <w:r w:rsidRPr="00380B40">
        <w:rPr>
          <w:spacing w:val="26"/>
          <w:lang w:val="en-GB"/>
        </w:rPr>
        <w:t xml:space="preserve"> </w:t>
      </w:r>
      <w:r w:rsidRPr="00380B40">
        <w:rPr>
          <w:lang w:val="en-GB"/>
        </w:rPr>
        <w:t>disclosure</w:t>
      </w:r>
      <w:r w:rsidRPr="00380B40">
        <w:rPr>
          <w:spacing w:val="29"/>
          <w:lang w:val="en-GB"/>
        </w:rPr>
        <w:t xml:space="preserve"> </w:t>
      </w:r>
      <w:r w:rsidRPr="00380B40">
        <w:rPr>
          <w:lang w:val="en-GB"/>
        </w:rPr>
        <w:t>of</w:t>
      </w:r>
      <w:r w:rsidRPr="00380B40">
        <w:rPr>
          <w:spacing w:val="30"/>
          <w:lang w:val="en-GB"/>
        </w:rPr>
        <w:t xml:space="preserve"> </w:t>
      </w:r>
      <w:r w:rsidRPr="00380B40">
        <w:rPr>
          <w:lang w:val="en-GB"/>
        </w:rPr>
        <w:t>patent</w:t>
      </w:r>
      <w:r w:rsidRPr="00380B40">
        <w:rPr>
          <w:spacing w:val="65"/>
          <w:lang w:val="en-GB"/>
        </w:rPr>
        <w:t xml:space="preserve"> </w:t>
      </w:r>
      <w:r w:rsidRPr="00380B40">
        <w:rPr>
          <w:lang w:val="en-GB"/>
        </w:rPr>
        <w:t>information</w:t>
      </w:r>
      <w:r w:rsidRPr="00380B40">
        <w:rPr>
          <w:spacing w:val="23"/>
          <w:lang w:val="en-GB"/>
        </w:rPr>
        <w:t xml:space="preserve"> </w:t>
      </w:r>
      <w:r w:rsidRPr="00380B40">
        <w:rPr>
          <w:lang w:val="en-GB"/>
        </w:rPr>
        <w:t>is</w:t>
      </w:r>
      <w:r w:rsidRPr="00380B40">
        <w:rPr>
          <w:spacing w:val="24"/>
          <w:lang w:val="en-GB"/>
        </w:rPr>
        <w:t xml:space="preserve"> </w:t>
      </w:r>
      <w:r w:rsidRPr="00380B40">
        <w:rPr>
          <w:lang w:val="en-GB"/>
        </w:rPr>
        <w:t>desired,</w:t>
      </w:r>
      <w:r w:rsidRPr="00380B40">
        <w:rPr>
          <w:spacing w:val="23"/>
          <w:lang w:val="en-GB"/>
        </w:rPr>
        <w:t xml:space="preserve"> </w:t>
      </w:r>
      <w:r w:rsidRPr="00380B40">
        <w:rPr>
          <w:lang w:val="en-GB"/>
        </w:rPr>
        <w:t>as</w:t>
      </w:r>
      <w:r w:rsidRPr="00380B40">
        <w:rPr>
          <w:spacing w:val="24"/>
          <w:lang w:val="en-GB"/>
        </w:rPr>
        <w:t xml:space="preserve"> </w:t>
      </w:r>
      <w:r w:rsidRPr="00380B40">
        <w:rPr>
          <w:lang w:val="en-GB"/>
        </w:rPr>
        <w:t>contained</w:t>
      </w:r>
      <w:r w:rsidRPr="00380B40">
        <w:rPr>
          <w:spacing w:val="23"/>
          <w:lang w:val="en-GB"/>
        </w:rPr>
        <w:t xml:space="preserve"> </w:t>
      </w:r>
      <w:r w:rsidRPr="00380B40">
        <w:rPr>
          <w:lang w:val="en-GB"/>
        </w:rPr>
        <w:t>in</w:t>
      </w:r>
      <w:r w:rsidRPr="00380B40">
        <w:rPr>
          <w:spacing w:val="24"/>
          <w:lang w:val="en-GB"/>
        </w:rPr>
        <w:t xml:space="preserve"> </w:t>
      </w:r>
      <w:r w:rsidRPr="00380B40">
        <w:rPr>
          <w:lang w:val="en-GB"/>
        </w:rPr>
        <w:t>the</w:t>
      </w:r>
      <w:r w:rsidRPr="00380B40">
        <w:rPr>
          <w:spacing w:val="20"/>
          <w:lang w:val="en-GB"/>
        </w:rPr>
        <w:t xml:space="preserve"> </w:t>
      </w:r>
      <w:r w:rsidRPr="00380B40">
        <w:rPr>
          <w:lang w:val="en-GB"/>
        </w:rPr>
        <w:t>statement</w:t>
      </w:r>
      <w:r w:rsidRPr="00380B40">
        <w:rPr>
          <w:spacing w:val="23"/>
          <w:lang w:val="en-GB"/>
        </w:rPr>
        <w:t xml:space="preserve"> </w:t>
      </w:r>
      <w:r w:rsidRPr="00380B40">
        <w:rPr>
          <w:lang w:val="en-GB"/>
        </w:rPr>
        <w:t>on</w:t>
      </w:r>
      <w:r w:rsidRPr="00380B40">
        <w:rPr>
          <w:spacing w:val="21"/>
          <w:lang w:val="en-GB"/>
        </w:rPr>
        <w:t xml:space="preserve"> </w:t>
      </w:r>
      <w:r w:rsidRPr="00380B40">
        <w:rPr>
          <w:lang w:val="en-GB"/>
        </w:rPr>
        <w:t>Common</w:t>
      </w:r>
      <w:r w:rsidRPr="00380B40">
        <w:rPr>
          <w:spacing w:val="23"/>
          <w:lang w:val="en-GB"/>
        </w:rPr>
        <w:t xml:space="preserve"> </w:t>
      </w:r>
      <w:r w:rsidRPr="00380B40">
        <w:rPr>
          <w:lang w:val="en-GB"/>
        </w:rPr>
        <w:t>Patent</w:t>
      </w:r>
      <w:r w:rsidRPr="00380B40">
        <w:rPr>
          <w:spacing w:val="23"/>
          <w:lang w:val="en-GB"/>
        </w:rPr>
        <w:t xml:space="preserve"> </w:t>
      </w:r>
      <w:r w:rsidRPr="00380B40">
        <w:rPr>
          <w:lang w:val="en-GB"/>
        </w:rPr>
        <w:t>Policy</w:t>
      </w:r>
      <w:r w:rsidRPr="00380B40">
        <w:rPr>
          <w:spacing w:val="16"/>
          <w:lang w:val="en-GB"/>
        </w:rPr>
        <w:t xml:space="preserve"> </w:t>
      </w:r>
      <w:r w:rsidRPr="00380B40">
        <w:rPr>
          <w:lang w:val="en-GB"/>
        </w:rPr>
        <w:t>for</w:t>
      </w:r>
      <w:r w:rsidRPr="00380B40">
        <w:rPr>
          <w:spacing w:val="91"/>
          <w:lang w:val="en-GB"/>
        </w:rPr>
        <w:t xml:space="preserve"> </w:t>
      </w:r>
      <w:r w:rsidRPr="00380B40">
        <w:rPr>
          <w:lang w:val="en-GB"/>
        </w:rPr>
        <w:t>ITU</w:t>
      </w:r>
      <w:r w:rsidRPr="00380B40">
        <w:rPr>
          <w:lang w:val="en-GB"/>
        </w:rPr>
        <w:noBreakHyphen/>
        <w:t>T/ITU</w:t>
      </w:r>
      <w:r w:rsidRPr="00380B40">
        <w:rPr>
          <w:lang w:val="en-GB"/>
        </w:rPr>
        <w:noBreakHyphen/>
        <w:t>R/ISO/IEC</w:t>
      </w:r>
      <w:r w:rsidRPr="00380B40">
        <w:rPr>
          <w:spacing w:val="-5"/>
          <w:lang w:val="en-GB"/>
        </w:rPr>
        <w:t xml:space="preserve"> </w:t>
      </w:r>
      <w:r w:rsidRPr="00380B40">
        <w:rPr>
          <w:lang w:val="en-GB"/>
        </w:rPr>
        <w:t>(available</w:t>
      </w:r>
      <w:r w:rsidRPr="00380B40">
        <w:rPr>
          <w:spacing w:val="-8"/>
          <w:lang w:val="en-GB"/>
        </w:rPr>
        <w:t xml:space="preserve"> </w:t>
      </w:r>
      <w:r w:rsidRPr="00380B40">
        <w:rPr>
          <w:lang w:val="en-GB"/>
        </w:rPr>
        <w:t>at</w:t>
      </w:r>
      <w:r w:rsidRPr="00380B40">
        <w:rPr>
          <w:spacing w:val="-7"/>
          <w:lang w:val="en-GB"/>
        </w:rPr>
        <w:t xml:space="preserve"> </w:t>
      </w:r>
      <w:r w:rsidRPr="00380B40">
        <w:rPr>
          <w:lang w:val="en-GB"/>
        </w:rPr>
        <w:t>the</w:t>
      </w:r>
      <w:r w:rsidRPr="00380B40">
        <w:rPr>
          <w:spacing w:val="-4"/>
          <w:lang w:val="en-GB"/>
        </w:rPr>
        <w:t xml:space="preserve"> </w:t>
      </w:r>
      <w:r w:rsidRPr="00380B40">
        <w:rPr>
          <w:lang w:val="en-GB"/>
        </w:rPr>
        <w:t>ITU</w:t>
      </w:r>
      <w:r w:rsidRPr="00380B40">
        <w:rPr>
          <w:lang w:val="en-GB"/>
        </w:rPr>
        <w:noBreakHyphen/>
        <w:t>T</w:t>
      </w:r>
      <w:r w:rsidRPr="00380B40">
        <w:rPr>
          <w:spacing w:val="-8"/>
          <w:lang w:val="en-GB"/>
        </w:rPr>
        <w:t xml:space="preserve"> </w:t>
      </w:r>
      <w:r w:rsidRPr="00380B40">
        <w:rPr>
          <w:lang w:val="en-GB"/>
        </w:rPr>
        <w:t>website).</w:t>
      </w:r>
      <w:r w:rsidRPr="00380B40">
        <w:rPr>
          <w:spacing w:val="-8"/>
          <w:lang w:val="en-GB"/>
        </w:rPr>
        <w:t xml:space="preserve"> </w:t>
      </w:r>
      <w:r w:rsidRPr="00380B40">
        <w:rPr>
          <w:lang w:val="en-GB"/>
        </w:rPr>
        <w:t>Patent</w:t>
      </w:r>
      <w:r w:rsidRPr="00380B40">
        <w:rPr>
          <w:spacing w:val="-8"/>
          <w:lang w:val="en-GB"/>
        </w:rPr>
        <w:t xml:space="preserve"> </w:t>
      </w:r>
      <w:r w:rsidRPr="00380B40">
        <w:rPr>
          <w:lang w:val="en-GB"/>
        </w:rPr>
        <w:t>declarations</w:t>
      </w:r>
      <w:r w:rsidRPr="00380B40">
        <w:rPr>
          <w:spacing w:val="-7"/>
          <w:lang w:val="en-GB"/>
        </w:rPr>
        <w:t xml:space="preserve"> </w:t>
      </w:r>
      <w:r w:rsidRPr="00380B40">
        <w:rPr>
          <w:lang w:val="en-GB"/>
        </w:rPr>
        <w:t>are</w:t>
      </w:r>
      <w:r w:rsidRPr="00380B40">
        <w:rPr>
          <w:spacing w:val="-9"/>
          <w:lang w:val="en-GB"/>
        </w:rPr>
        <w:t xml:space="preserve"> </w:t>
      </w:r>
      <w:r w:rsidRPr="00380B40">
        <w:rPr>
          <w:lang w:val="en-GB"/>
        </w:rPr>
        <w:t>to</w:t>
      </w:r>
      <w:r w:rsidRPr="00380B40">
        <w:rPr>
          <w:spacing w:val="-7"/>
          <w:lang w:val="en-GB"/>
        </w:rPr>
        <w:t xml:space="preserve"> </w:t>
      </w:r>
      <w:r w:rsidRPr="00380B40">
        <w:rPr>
          <w:lang w:val="en-GB"/>
        </w:rPr>
        <w:t>be</w:t>
      </w:r>
      <w:r w:rsidRPr="00380B40">
        <w:rPr>
          <w:spacing w:val="-6"/>
          <w:lang w:val="en-GB"/>
        </w:rPr>
        <w:t xml:space="preserve"> </w:t>
      </w:r>
      <w:r w:rsidRPr="00380B40">
        <w:rPr>
          <w:lang w:val="en-GB"/>
        </w:rPr>
        <w:t>made</w:t>
      </w:r>
      <w:r w:rsidRPr="00380B40">
        <w:rPr>
          <w:spacing w:val="-9"/>
          <w:lang w:val="en-GB"/>
        </w:rPr>
        <w:t xml:space="preserve"> </w:t>
      </w:r>
      <w:r w:rsidRPr="00380B40">
        <w:rPr>
          <w:lang w:val="en-GB"/>
        </w:rPr>
        <w:t>using</w:t>
      </w:r>
      <w:r w:rsidRPr="00380B40">
        <w:rPr>
          <w:spacing w:val="-10"/>
          <w:lang w:val="en-GB"/>
        </w:rPr>
        <w:t xml:space="preserve"> </w:t>
      </w:r>
      <w:r w:rsidRPr="00380B40">
        <w:rPr>
          <w:lang w:val="en-GB"/>
        </w:rPr>
        <w:t>the</w:t>
      </w:r>
      <w:r w:rsidRPr="00380B40">
        <w:rPr>
          <w:spacing w:val="93"/>
          <w:lang w:val="en-GB"/>
        </w:rPr>
        <w:t xml:space="preserve"> </w:t>
      </w:r>
      <w:r w:rsidRPr="00380B40">
        <w:rPr>
          <w:lang w:val="en-GB"/>
        </w:rPr>
        <w:t>"Patent</w:t>
      </w:r>
      <w:r w:rsidRPr="00380B40">
        <w:rPr>
          <w:spacing w:val="26"/>
          <w:lang w:val="en-GB"/>
        </w:rPr>
        <w:t xml:space="preserve"> </w:t>
      </w:r>
      <w:r w:rsidRPr="00380B40">
        <w:rPr>
          <w:lang w:val="en-GB"/>
        </w:rPr>
        <w:t>Statement</w:t>
      </w:r>
      <w:r w:rsidRPr="00380B40">
        <w:rPr>
          <w:spacing w:val="26"/>
          <w:lang w:val="en-GB"/>
        </w:rPr>
        <w:t xml:space="preserve"> </w:t>
      </w:r>
      <w:r w:rsidRPr="00380B40">
        <w:rPr>
          <w:lang w:val="en-GB"/>
        </w:rPr>
        <w:t>and</w:t>
      </w:r>
      <w:r w:rsidRPr="00380B40">
        <w:rPr>
          <w:spacing w:val="28"/>
          <w:lang w:val="en-GB"/>
        </w:rPr>
        <w:t xml:space="preserve"> </w:t>
      </w:r>
      <w:r w:rsidRPr="00380B40">
        <w:rPr>
          <w:lang w:val="en-GB"/>
        </w:rPr>
        <w:t>Licensing</w:t>
      </w:r>
      <w:r w:rsidRPr="00380B40">
        <w:rPr>
          <w:spacing w:val="24"/>
          <w:lang w:val="en-GB"/>
        </w:rPr>
        <w:t xml:space="preserve"> </w:t>
      </w:r>
      <w:r w:rsidRPr="00380B40">
        <w:rPr>
          <w:lang w:val="en-GB"/>
        </w:rPr>
        <w:t>Declaration</w:t>
      </w:r>
      <w:r w:rsidRPr="00380B40">
        <w:rPr>
          <w:spacing w:val="26"/>
          <w:lang w:val="en-GB"/>
        </w:rPr>
        <w:t xml:space="preserve"> </w:t>
      </w:r>
      <w:r w:rsidRPr="00380B40">
        <w:rPr>
          <w:lang w:val="en-GB"/>
        </w:rPr>
        <w:t>Form</w:t>
      </w:r>
      <w:r w:rsidRPr="00380B40">
        <w:rPr>
          <w:spacing w:val="26"/>
          <w:lang w:val="en-GB"/>
        </w:rPr>
        <w:t xml:space="preserve"> </w:t>
      </w:r>
      <w:r w:rsidRPr="00380B40">
        <w:rPr>
          <w:lang w:val="en-GB"/>
        </w:rPr>
        <w:t>for</w:t>
      </w:r>
      <w:r w:rsidRPr="00380B40">
        <w:rPr>
          <w:spacing w:val="27"/>
          <w:lang w:val="en-GB"/>
        </w:rPr>
        <w:t xml:space="preserve"> </w:t>
      </w:r>
      <w:r w:rsidRPr="00380B40">
        <w:rPr>
          <w:lang w:val="en-GB"/>
        </w:rPr>
        <w:t>ITU</w:t>
      </w:r>
      <w:r w:rsidRPr="00380B40">
        <w:rPr>
          <w:lang w:val="en-GB"/>
        </w:rPr>
        <w:noBreakHyphen/>
        <w:t>T/ITU</w:t>
      </w:r>
      <w:r w:rsidRPr="00380B40">
        <w:rPr>
          <w:lang w:val="en-GB"/>
        </w:rPr>
        <w:noBreakHyphen/>
        <w:t>R</w:t>
      </w:r>
      <w:r w:rsidRPr="00380B40">
        <w:rPr>
          <w:spacing w:val="26"/>
          <w:lang w:val="en-GB"/>
        </w:rPr>
        <w:t xml:space="preserve"> </w:t>
      </w:r>
      <w:r w:rsidRPr="00380B40">
        <w:rPr>
          <w:lang w:val="en-GB"/>
        </w:rPr>
        <w:t>Recommendation</w:t>
      </w:r>
      <w:r w:rsidRPr="00380B40">
        <w:rPr>
          <w:spacing w:val="30"/>
          <w:lang w:val="en-GB"/>
        </w:rPr>
        <w:t xml:space="preserve"> </w:t>
      </w:r>
      <w:r w:rsidRPr="00380B40">
        <w:rPr>
          <w:lang w:val="en-GB"/>
        </w:rPr>
        <w:t>|</w:t>
      </w:r>
      <w:r w:rsidRPr="00380B40">
        <w:rPr>
          <w:spacing w:val="24"/>
          <w:lang w:val="en-GB"/>
        </w:rPr>
        <w:t xml:space="preserve"> </w:t>
      </w:r>
      <w:r w:rsidRPr="00380B40">
        <w:rPr>
          <w:spacing w:val="-2"/>
          <w:lang w:val="en-GB"/>
        </w:rPr>
        <w:t>ISO/IEC</w:t>
      </w:r>
      <w:r w:rsidRPr="00380B40">
        <w:rPr>
          <w:spacing w:val="107"/>
          <w:lang w:val="en-GB"/>
        </w:rPr>
        <w:t xml:space="preserve"> </w:t>
      </w:r>
      <w:r w:rsidRPr="00380B40">
        <w:rPr>
          <w:lang w:val="en-GB"/>
        </w:rPr>
        <w:t>Deliverable" available</w:t>
      </w:r>
      <w:r w:rsidRPr="00380B40">
        <w:rPr>
          <w:spacing w:val="1"/>
          <w:lang w:val="en-GB"/>
        </w:rPr>
        <w:t xml:space="preserve"> </w:t>
      </w:r>
      <w:r w:rsidRPr="00380B40">
        <w:rPr>
          <w:lang w:val="en-GB"/>
        </w:rPr>
        <w:t>at the</w:t>
      </w:r>
      <w:r w:rsidRPr="00380B40">
        <w:rPr>
          <w:spacing w:val="1"/>
          <w:lang w:val="en-GB"/>
        </w:rPr>
        <w:t xml:space="preserve"> </w:t>
      </w:r>
      <w:r w:rsidRPr="00380B40">
        <w:rPr>
          <w:lang w:val="en-GB"/>
        </w:rPr>
        <w:t>ITU</w:t>
      </w:r>
      <w:r w:rsidRPr="00380B40">
        <w:rPr>
          <w:lang w:val="en-GB"/>
        </w:rPr>
        <w:noBreakHyphen/>
        <w:t>T website. See also clause 3.1.5.</w:t>
      </w:r>
    </w:p>
    <w:p w14:paraId="72F6B30D" w14:textId="77777777" w:rsidR="00C12517" w:rsidRPr="00380B40" w:rsidRDefault="00C12517" w:rsidP="00C12517">
      <w:pPr>
        <w:rPr>
          <w:lang w:val="en-GB"/>
        </w:rPr>
      </w:pPr>
      <w:r w:rsidRPr="00380B40">
        <w:rPr>
          <w:b/>
          <w:bCs/>
          <w:lang w:val="en-GB"/>
        </w:rPr>
        <w:t>3.1.5</w:t>
      </w:r>
      <w:r w:rsidRPr="00380B40">
        <w:rPr>
          <w:lang w:val="en-GB"/>
        </w:rPr>
        <w:tab/>
        <w:t xml:space="preserve">A </w:t>
      </w:r>
      <w:r w:rsidRPr="00380B40">
        <w:rPr>
          <w:spacing w:val="-1"/>
          <w:lang w:val="en-GB"/>
        </w:rPr>
        <w:t>general</w:t>
      </w:r>
      <w:r w:rsidRPr="00380B40">
        <w:rPr>
          <w:spacing w:val="41"/>
          <w:lang w:val="en-GB"/>
        </w:rPr>
        <w:t xml:space="preserve"> </w:t>
      </w:r>
      <w:r w:rsidRPr="00380B40">
        <w:rPr>
          <w:spacing w:val="-1"/>
          <w:lang w:val="en-GB"/>
        </w:rPr>
        <w:t>patent</w:t>
      </w:r>
      <w:r w:rsidRPr="00380B40">
        <w:rPr>
          <w:spacing w:val="40"/>
          <w:lang w:val="en-GB"/>
        </w:rPr>
        <w:t xml:space="preserve"> </w:t>
      </w:r>
      <w:r w:rsidRPr="00380B40">
        <w:rPr>
          <w:lang w:val="en-GB"/>
        </w:rPr>
        <w:t>statement</w:t>
      </w:r>
      <w:r w:rsidRPr="00380B40">
        <w:rPr>
          <w:spacing w:val="41"/>
          <w:lang w:val="en-GB"/>
        </w:rPr>
        <w:t xml:space="preserve"> </w:t>
      </w:r>
      <w:r w:rsidRPr="00380B40">
        <w:rPr>
          <w:spacing w:val="-1"/>
          <w:lang w:val="en-GB"/>
        </w:rPr>
        <w:t>and</w:t>
      </w:r>
      <w:r w:rsidRPr="00380B40">
        <w:rPr>
          <w:spacing w:val="42"/>
          <w:lang w:val="en-GB"/>
        </w:rPr>
        <w:t xml:space="preserve"> </w:t>
      </w:r>
      <w:r w:rsidRPr="00380B40">
        <w:rPr>
          <w:spacing w:val="-1"/>
          <w:lang w:val="en-GB"/>
        </w:rPr>
        <w:t>licensing</w:t>
      </w:r>
      <w:r w:rsidRPr="00380B40">
        <w:rPr>
          <w:spacing w:val="38"/>
          <w:lang w:val="en-GB"/>
        </w:rPr>
        <w:t xml:space="preserve"> </w:t>
      </w:r>
      <w:r w:rsidRPr="00380B40">
        <w:rPr>
          <w:lang w:val="en-GB"/>
        </w:rPr>
        <w:t>declaration may be submitted</w:t>
      </w:r>
      <w:r w:rsidRPr="00380B40">
        <w:rPr>
          <w:spacing w:val="9"/>
          <w:lang w:val="en-GB"/>
        </w:rPr>
        <w:t xml:space="preserve"> </w:t>
      </w:r>
      <w:r w:rsidRPr="00380B40">
        <w:rPr>
          <w:lang w:val="en-GB"/>
        </w:rPr>
        <w:t>using</w:t>
      </w:r>
      <w:r w:rsidRPr="00380B40">
        <w:rPr>
          <w:spacing w:val="81"/>
          <w:lang w:val="en-GB"/>
        </w:rPr>
        <w:t xml:space="preserve"> </w:t>
      </w:r>
      <w:r w:rsidRPr="00380B40">
        <w:rPr>
          <w:lang w:val="en-GB"/>
        </w:rPr>
        <w:t>the</w:t>
      </w:r>
      <w:r w:rsidRPr="00380B40">
        <w:rPr>
          <w:spacing w:val="35"/>
          <w:lang w:val="en-GB"/>
        </w:rPr>
        <w:t xml:space="preserve"> </w:t>
      </w:r>
      <w:r w:rsidRPr="00380B40">
        <w:rPr>
          <w:spacing w:val="-1"/>
          <w:lang w:val="en-GB"/>
        </w:rPr>
        <w:t>form</w:t>
      </w:r>
      <w:r w:rsidRPr="00380B40">
        <w:rPr>
          <w:spacing w:val="36"/>
          <w:lang w:val="en-GB"/>
        </w:rPr>
        <w:t xml:space="preserve"> </w:t>
      </w:r>
      <w:r w:rsidRPr="00380B40">
        <w:rPr>
          <w:spacing w:val="-1"/>
          <w:lang w:val="en-GB"/>
        </w:rPr>
        <w:t>available</w:t>
      </w:r>
      <w:r w:rsidRPr="00380B40">
        <w:rPr>
          <w:spacing w:val="35"/>
          <w:lang w:val="en-GB"/>
        </w:rPr>
        <w:t xml:space="preserve"> </w:t>
      </w:r>
      <w:r w:rsidRPr="00380B40">
        <w:rPr>
          <w:spacing w:val="-1"/>
          <w:lang w:val="en-GB"/>
        </w:rPr>
        <w:t>at</w:t>
      </w:r>
      <w:r w:rsidRPr="00380B40">
        <w:rPr>
          <w:spacing w:val="36"/>
          <w:lang w:val="en-GB"/>
        </w:rPr>
        <w:t xml:space="preserve"> </w:t>
      </w:r>
      <w:r w:rsidRPr="00380B40">
        <w:rPr>
          <w:lang w:val="en-GB"/>
        </w:rPr>
        <w:t>the</w:t>
      </w:r>
      <w:r w:rsidRPr="00380B40">
        <w:rPr>
          <w:spacing w:val="37"/>
          <w:lang w:val="en-GB"/>
        </w:rPr>
        <w:t xml:space="preserve"> </w:t>
      </w:r>
      <w:r w:rsidRPr="00380B40">
        <w:rPr>
          <w:spacing w:val="-1"/>
          <w:lang w:val="en-GB"/>
        </w:rPr>
        <w:t>ITU</w:t>
      </w:r>
      <w:r w:rsidRPr="00380B40">
        <w:rPr>
          <w:lang w:val="en-GB"/>
        </w:rPr>
        <w:noBreakHyphen/>
      </w:r>
      <w:r w:rsidRPr="00380B40">
        <w:rPr>
          <w:spacing w:val="-1"/>
          <w:lang w:val="en-GB"/>
        </w:rPr>
        <w:t>T</w:t>
      </w:r>
      <w:r w:rsidRPr="00380B40">
        <w:rPr>
          <w:spacing w:val="37"/>
          <w:lang w:val="en-GB"/>
        </w:rPr>
        <w:t xml:space="preserve"> </w:t>
      </w:r>
      <w:r w:rsidRPr="00380B40">
        <w:rPr>
          <w:spacing w:val="-1"/>
          <w:lang w:val="en-GB"/>
        </w:rPr>
        <w:t>website.</w:t>
      </w:r>
      <w:r w:rsidRPr="00380B40">
        <w:rPr>
          <w:spacing w:val="35"/>
          <w:lang w:val="en-GB"/>
        </w:rPr>
        <w:t xml:space="preserve"> </w:t>
      </w:r>
      <w:r w:rsidRPr="00380B40">
        <w:rPr>
          <w:lang w:val="en-GB"/>
        </w:rPr>
        <w:t>The</w:t>
      </w:r>
      <w:r w:rsidRPr="00380B40">
        <w:rPr>
          <w:spacing w:val="34"/>
          <w:lang w:val="en-GB"/>
        </w:rPr>
        <w:t xml:space="preserve"> </w:t>
      </w:r>
      <w:r w:rsidRPr="00380B40">
        <w:rPr>
          <w:lang w:val="en-GB"/>
        </w:rPr>
        <w:t>purpose</w:t>
      </w:r>
      <w:r w:rsidRPr="00380B40">
        <w:rPr>
          <w:spacing w:val="34"/>
          <w:lang w:val="en-GB"/>
        </w:rPr>
        <w:t xml:space="preserve"> </w:t>
      </w:r>
      <w:r w:rsidRPr="00380B40">
        <w:rPr>
          <w:lang w:val="en-GB"/>
        </w:rPr>
        <w:t>of</w:t>
      </w:r>
      <w:r w:rsidRPr="00380B40">
        <w:rPr>
          <w:spacing w:val="35"/>
          <w:lang w:val="en-GB"/>
        </w:rPr>
        <w:t xml:space="preserve"> </w:t>
      </w:r>
      <w:r w:rsidRPr="00380B40">
        <w:rPr>
          <w:lang w:val="en-GB"/>
        </w:rPr>
        <w:t>this</w:t>
      </w:r>
      <w:r w:rsidRPr="00380B40">
        <w:rPr>
          <w:spacing w:val="36"/>
          <w:lang w:val="en-GB"/>
        </w:rPr>
        <w:t xml:space="preserve"> </w:t>
      </w:r>
      <w:r w:rsidRPr="00380B40">
        <w:rPr>
          <w:spacing w:val="-1"/>
          <w:lang w:val="en-GB"/>
        </w:rPr>
        <w:t>form</w:t>
      </w:r>
      <w:r w:rsidRPr="00380B40">
        <w:rPr>
          <w:spacing w:val="36"/>
          <w:lang w:val="en-GB"/>
        </w:rPr>
        <w:t xml:space="preserve"> </w:t>
      </w:r>
      <w:r w:rsidRPr="00380B40">
        <w:rPr>
          <w:lang w:val="en-GB"/>
        </w:rPr>
        <w:t>is</w:t>
      </w:r>
      <w:r w:rsidRPr="00380B40">
        <w:rPr>
          <w:spacing w:val="36"/>
          <w:lang w:val="en-GB"/>
        </w:rPr>
        <w:t xml:space="preserve"> </w:t>
      </w:r>
      <w:r w:rsidRPr="00380B40">
        <w:rPr>
          <w:spacing w:val="1"/>
          <w:lang w:val="en-GB"/>
        </w:rPr>
        <w:t>to</w:t>
      </w:r>
      <w:r w:rsidRPr="00380B40">
        <w:rPr>
          <w:spacing w:val="35"/>
          <w:lang w:val="en-GB"/>
        </w:rPr>
        <w:t xml:space="preserve"> </w:t>
      </w:r>
      <w:r w:rsidRPr="00380B40">
        <w:rPr>
          <w:spacing w:val="-1"/>
          <w:lang w:val="en-GB"/>
        </w:rPr>
        <w:t>give</w:t>
      </w:r>
      <w:r w:rsidRPr="00380B40">
        <w:rPr>
          <w:spacing w:val="35"/>
          <w:lang w:val="en-GB"/>
        </w:rPr>
        <w:t xml:space="preserve"> </w:t>
      </w:r>
      <w:r w:rsidRPr="00380B40">
        <w:rPr>
          <w:lang w:val="en-GB"/>
        </w:rPr>
        <w:t>patent</w:t>
      </w:r>
      <w:r w:rsidRPr="00380B40">
        <w:rPr>
          <w:spacing w:val="35"/>
          <w:lang w:val="en-GB"/>
        </w:rPr>
        <w:t xml:space="preserve"> </w:t>
      </w:r>
      <w:r w:rsidRPr="00380B40">
        <w:rPr>
          <w:spacing w:val="-1"/>
          <w:lang w:val="en-GB"/>
        </w:rPr>
        <w:t>holders</w:t>
      </w:r>
      <w:r w:rsidRPr="00380B40">
        <w:rPr>
          <w:spacing w:val="36"/>
          <w:lang w:val="en-GB"/>
        </w:rPr>
        <w:t xml:space="preserve"> </w:t>
      </w:r>
      <w:r w:rsidRPr="00380B40">
        <w:rPr>
          <w:lang w:val="en-GB"/>
        </w:rPr>
        <w:t>the</w:t>
      </w:r>
      <w:r w:rsidRPr="00380B40">
        <w:rPr>
          <w:spacing w:val="67"/>
          <w:lang w:val="en-GB"/>
        </w:rPr>
        <w:t xml:space="preserve"> </w:t>
      </w:r>
      <w:r w:rsidRPr="00380B40">
        <w:rPr>
          <w:lang w:val="en-GB"/>
        </w:rPr>
        <w:t>voluntary</w:t>
      </w:r>
      <w:r w:rsidRPr="00380B40">
        <w:rPr>
          <w:spacing w:val="-3"/>
          <w:lang w:val="en-GB"/>
        </w:rPr>
        <w:t xml:space="preserve"> </w:t>
      </w:r>
      <w:r w:rsidRPr="00380B40">
        <w:rPr>
          <w:lang w:val="en-GB"/>
        </w:rPr>
        <w:t>option</w:t>
      </w:r>
      <w:r w:rsidRPr="00380B40">
        <w:rPr>
          <w:spacing w:val="2"/>
          <w:lang w:val="en-GB"/>
        </w:rPr>
        <w:t xml:space="preserve"> </w:t>
      </w:r>
      <w:r w:rsidRPr="00380B40">
        <w:rPr>
          <w:lang w:val="en-GB"/>
        </w:rPr>
        <w:t>of</w:t>
      </w:r>
      <w:r w:rsidRPr="00380B40">
        <w:rPr>
          <w:spacing w:val="3"/>
          <w:lang w:val="en-GB"/>
        </w:rPr>
        <w:t xml:space="preserve"> </w:t>
      </w:r>
      <w:r w:rsidRPr="00380B40">
        <w:rPr>
          <w:lang w:val="en-GB"/>
        </w:rPr>
        <w:t>making</w:t>
      </w:r>
      <w:r w:rsidRPr="00380B40">
        <w:rPr>
          <w:spacing w:val="2"/>
          <w:lang w:val="en-GB"/>
        </w:rPr>
        <w:t xml:space="preserve"> </w:t>
      </w:r>
      <w:r w:rsidRPr="00380B40">
        <w:rPr>
          <w:lang w:val="en-GB"/>
        </w:rPr>
        <w:t>a</w:t>
      </w:r>
      <w:r w:rsidRPr="00380B40">
        <w:rPr>
          <w:spacing w:val="3"/>
          <w:lang w:val="en-GB"/>
        </w:rPr>
        <w:t xml:space="preserve"> </w:t>
      </w:r>
      <w:r w:rsidRPr="00380B40">
        <w:rPr>
          <w:spacing w:val="-1"/>
          <w:lang w:val="en-GB"/>
        </w:rPr>
        <w:t>general</w:t>
      </w:r>
      <w:r w:rsidRPr="00380B40">
        <w:rPr>
          <w:spacing w:val="2"/>
          <w:lang w:val="en-GB"/>
        </w:rPr>
        <w:t xml:space="preserve"> </w:t>
      </w:r>
      <w:r w:rsidRPr="00380B40">
        <w:rPr>
          <w:lang w:val="en-GB"/>
        </w:rPr>
        <w:t>licensing</w:t>
      </w:r>
      <w:r w:rsidRPr="00380B40">
        <w:rPr>
          <w:spacing w:val="-1"/>
          <w:lang w:val="en-GB"/>
        </w:rPr>
        <w:t xml:space="preserve"> declaration</w:t>
      </w:r>
      <w:r w:rsidRPr="00380B40">
        <w:rPr>
          <w:spacing w:val="2"/>
          <w:lang w:val="en-GB"/>
        </w:rPr>
        <w:t xml:space="preserve"> </w:t>
      </w:r>
      <w:r w:rsidRPr="00380B40">
        <w:rPr>
          <w:lang w:val="en-GB"/>
        </w:rPr>
        <w:t>relative</w:t>
      </w:r>
      <w:r w:rsidRPr="00380B40">
        <w:rPr>
          <w:spacing w:val="1"/>
          <w:lang w:val="en-GB"/>
        </w:rPr>
        <w:t xml:space="preserve"> </w:t>
      </w:r>
      <w:r w:rsidRPr="00380B40">
        <w:rPr>
          <w:lang w:val="en-GB"/>
        </w:rPr>
        <w:t>to</w:t>
      </w:r>
      <w:r w:rsidRPr="00380B40">
        <w:rPr>
          <w:spacing w:val="2"/>
          <w:lang w:val="en-GB"/>
        </w:rPr>
        <w:t xml:space="preserve"> </w:t>
      </w:r>
      <w:r w:rsidRPr="00380B40">
        <w:rPr>
          <w:lang w:val="en-GB"/>
        </w:rPr>
        <w:t>patented</w:t>
      </w:r>
      <w:r w:rsidRPr="00380B40">
        <w:rPr>
          <w:spacing w:val="1"/>
          <w:lang w:val="en-GB"/>
        </w:rPr>
        <w:t xml:space="preserve"> </w:t>
      </w:r>
      <w:r w:rsidRPr="00380B40">
        <w:rPr>
          <w:spacing w:val="-1"/>
          <w:lang w:val="en-GB"/>
        </w:rPr>
        <w:t>material</w:t>
      </w:r>
      <w:r w:rsidRPr="00380B40">
        <w:rPr>
          <w:spacing w:val="2"/>
          <w:lang w:val="en-GB"/>
        </w:rPr>
        <w:t xml:space="preserve"> </w:t>
      </w:r>
      <w:r w:rsidRPr="00380B40">
        <w:rPr>
          <w:lang w:val="en-GB"/>
        </w:rPr>
        <w:t>contained</w:t>
      </w:r>
      <w:r w:rsidRPr="00380B40">
        <w:rPr>
          <w:spacing w:val="1"/>
          <w:lang w:val="en-GB"/>
        </w:rPr>
        <w:t xml:space="preserve"> </w:t>
      </w:r>
      <w:r w:rsidRPr="00380B40">
        <w:rPr>
          <w:lang w:val="en-GB"/>
        </w:rPr>
        <w:t>in</w:t>
      </w:r>
      <w:r w:rsidRPr="00380B40">
        <w:rPr>
          <w:spacing w:val="39"/>
          <w:lang w:val="en-GB"/>
        </w:rPr>
        <w:t xml:space="preserve"> </w:t>
      </w:r>
      <w:r w:rsidRPr="00380B40">
        <w:rPr>
          <w:lang w:val="en-GB"/>
        </w:rPr>
        <w:t>any</w:t>
      </w:r>
      <w:r w:rsidRPr="00380B40">
        <w:rPr>
          <w:spacing w:val="59"/>
          <w:lang w:val="en-GB"/>
        </w:rPr>
        <w:t xml:space="preserve"> </w:t>
      </w:r>
      <w:r w:rsidRPr="00380B40">
        <w:rPr>
          <w:lang w:val="en-GB"/>
        </w:rPr>
        <w:t>of</w:t>
      </w:r>
      <w:r w:rsidRPr="00380B40">
        <w:rPr>
          <w:spacing w:val="3"/>
          <w:lang w:val="en-GB"/>
        </w:rPr>
        <w:t xml:space="preserve"> </w:t>
      </w:r>
      <w:r w:rsidRPr="00380B40">
        <w:rPr>
          <w:lang w:val="en-GB"/>
        </w:rPr>
        <w:t>their</w:t>
      </w:r>
      <w:r w:rsidRPr="00380B40">
        <w:rPr>
          <w:spacing w:val="3"/>
          <w:lang w:val="en-GB"/>
        </w:rPr>
        <w:t xml:space="preserve"> </w:t>
      </w:r>
      <w:r w:rsidRPr="00380B40">
        <w:rPr>
          <w:spacing w:val="-1"/>
          <w:lang w:val="en-GB"/>
        </w:rPr>
        <w:t>contributions.</w:t>
      </w:r>
      <w:r w:rsidRPr="00380B40">
        <w:rPr>
          <w:spacing w:val="2"/>
          <w:lang w:val="en-GB"/>
        </w:rPr>
        <w:t xml:space="preserve"> </w:t>
      </w:r>
      <w:r w:rsidRPr="00380B40">
        <w:rPr>
          <w:spacing w:val="-1"/>
          <w:lang w:val="en-GB"/>
        </w:rPr>
        <w:t>Specifically,</w:t>
      </w:r>
      <w:r w:rsidRPr="00380B40">
        <w:rPr>
          <w:spacing w:val="2"/>
          <w:lang w:val="en-GB"/>
        </w:rPr>
        <w:t xml:space="preserve"> </w:t>
      </w:r>
      <w:r w:rsidRPr="00380B40">
        <w:rPr>
          <w:lang w:val="en-GB"/>
        </w:rPr>
        <w:t>the</w:t>
      </w:r>
      <w:r w:rsidRPr="00380B40">
        <w:rPr>
          <w:spacing w:val="1"/>
          <w:lang w:val="en-GB"/>
        </w:rPr>
        <w:t xml:space="preserve"> </w:t>
      </w:r>
      <w:r w:rsidRPr="00380B40">
        <w:rPr>
          <w:lang w:val="en-GB"/>
        </w:rPr>
        <w:t>submitter</w:t>
      </w:r>
      <w:r w:rsidRPr="00380B40">
        <w:rPr>
          <w:spacing w:val="1"/>
          <w:lang w:val="en-GB"/>
        </w:rPr>
        <w:t xml:space="preserve"> </w:t>
      </w:r>
      <w:r w:rsidRPr="00380B40">
        <w:rPr>
          <w:lang w:val="en-GB"/>
        </w:rPr>
        <w:t>of</w:t>
      </w:r>
      <w:r w:rsidRPr="00380B40">
        <w:rPr>
          <w:spacing w:val="1"/>
          <w:lang w:val="en-GB"/>
        </w:rPr>
        <w:t xml:space="preserve"> </w:t>
      </w:r>
      <w:r w:rsidRPr="00380B40">
        <w:rPr>
          <w:lang w:val="en-GB"/>
        </w:rPr>
        <w:t>the</w:t>
      </w:r>
      <w:r w:rsidRPr="00380B40">
        <w:rPr>
          <w:spacing w:val="3"/>
          <w:lang w:val="en-GB"/>
        </w:rPr>
        <w:t xml:space="preserve"> </w:t>
      </w:r>
      <w:r w:rsidRPr="00380B40">
        <w:rPr>
          <w:lang w:val="en-GB"/>
        </w:rPr>
        <w:t>licensing</w:t>
      </w:r>
      <w:r w:rsidRPr="00380B40">
        <w:rPr>
          <w:spacing w:val="2"/>
          <w:lang w:val="en-GB"/>
        </w:rPr>
        <w:t xml:space="preserve"> </w:t>
      </w:r>
      <w:r w:rsidRPr="00380B40">
        <w:rPr>
          <w:spacing w:val="-1"/>
          <w:lang w:val="en-GB"/>
        </w:rPr>
        <w:t>declaration</w:t>
      </w:r>
      <w:r w:rsidRPr="00380B40">
        <w:rPr>
          <w:spacing w:val="2"/>
          <w:lang w:val="en-GB"/>
        </w:rPr>
        <w:t xml:space="preserve"> </w:t>
      </w:r>
      <w:r w:rsidRPr="00380B40">
        <w:rPr>
          <w:spacing w:val="-1"/>
          <w:lang w:val="en-GB"/>
        </w:rPr>
        <w:t>declares</w:t>
      </w:r>
      <w:r w:rsidRPr="00380B40">
        <w:rPr>
          <w:spacing w:val="2"/>
          <w:lang w:val="en-GB"/>
        </w:rPr>
        <w:t xml:space="preserve"> </w:t>
      </w:r>
      <w:r w:rsidRPr="00380B40">
        <w:rPr>
          <w:lang w:val="en-GB"/>
        </w:rPr>
        <w:t>its</w:t>
      </w:r>
      <w:r w:rsidRPr="00380B40">
        <w:rPr>
          <w:spacing w:val="90"/>
          <w:lang w:val="en-GB"/>
        </w:rPr>
        <w:t xml:space="preserve"> </w:t>
      </w:r>
      <w:r w:rsidRPr="00380B40">
        <w:rPr>
          <w:spacing w:val="-1"/>
          <w:lang w:val="en-GB"/>
        </w:rPr>
        <w:t>willingness</w:t>
      </w:r>
      <w:r w:rsidRPr="00380B40">
        <w:rPr>
          <w:spacing w:val="2"/>
          <w:lang w:val="en-GB"/>
        </w:rPr>
        <w:t xml:space="preserve"> </w:t>
      </w:r>
      <w:r w:rsidRPr="00380B40">
        <w:rPr>
          <w:lang w:val="en-GB"/>
        </w:rPr>
        <w:t>to</w:t>
      </w:r>
      <w:r w:rsidRPr="00380B40">
        <w:rPr>
          <w:spacing w:val="2"/>
          <w:lang w:val="en-GB"/>
        </w:rPr>
        <w:t xml:space="preserve"> </w:t>
      </w:r>
      <w:r w:rsidRPr="00380B40">
        <w:rPr>
          <w:spacing w:val="-1"/>
          <w:lang w:val="en-GB"/>
        </w:rPr>
        <w:t>license,</w:t>
      </w:r>
      <w:r w:rsidRPr="00380B40">
        <w:rPr>
          <w:spacing w:val="2"/>
          <w:lang w:val="en-GB"/>
        </w:rPr>
        <w:t xml:space="preserve"> </w:t>
      </w:r>
      <w:r w:rsidRPr="00380B40">
        <w:rPr>
          <w:lang w:val="en-GB"/>
        </w:rPr>
        <w:t>in</w:t>
      </w:r>
      <w:r w:rsidRPr="00380B40">
        <w:rPr>
          <w:spacing w:val="2"/>
          <w:lang w:val="en-GB"/>
        </w:rPr>
        <w:t xml:space="preserve"> </w:t>
      </w:r>
      <w:r w:rsidRPr="00380B40">
        <w:rPr>
          <w:spacing w:val="-1"/>
          <w:lang w:val="en-GB"/>
        </w:rPr>
        <w:t>case</w:t>
      </w:r>
      <w:r w:rsidRPr="00380B40">
        <w:rPr>
          <w:spacing w:val="1"/>
          <w:lang w:val="en-GB"/>
        </w:rPr>
        <w:t xml:space="preserve"> </w:t>
      </w:r>
      <w:r w:rsidRPr="00380B40">
        <w:rPr>
          <w:lang w:val="en-GB"/>
        </w:rPr>
        <w:t>part(s)</w:t>
      </w:r>
      <w:r w:rsidRPr="00380B40">
        <w:rPr>
          <w:spacing w:val="1"/>
          <w:lang w:val="en-GB"/>
        </w:rPr>
        <w:t xml:space="preserve"> </w:t>
      </w:r>
      <w:r w:rsidRPr="00380B40">
        <w:rPr>
          <w:lang w:val="en-GB"/>
        </w:rPr>
        <w:t>or</w:t>
      </w:r>
      <w:r w:rsidRPr="00380B40">
        <w:rPr>
          <w:spacing w:val="1"/>
          <w:lang w:val="en-GB"/>
        </w:rPr>
        <w:t xml:space="preserve"> </w:t>
      </w:r>
      <w:r w:rsidRPr="00380B40">
        <w:rPr>
          <w:spacing w:val="-1"/>
          <w:lang w:val="en-GB"/>
        </w:rPr>
        <w:t>all</w:t>
      </w:r>
      <w:r w:rsidRPr="00380B40">
        <w:rPr>
          <w:spacing w:val="2"/>
          <w:lang w:val="en-GB"/>
        </w:rPr>
        <w:t xml:space="preserve"> </w:t>
      </w:r>
      <w:r w:rsidRPr="00380B40">
        <w:rPr>
          <w:lang w:val="en-GB"/>
        </w:rPr>
        <w:t>of</w:t>
      </w:r>
      <w:r w:rsidRPr="00380B40">
        <w:rPr>
          <w:spacing w:val="1"/>
          <w:lang w:val="en-GB"/>
        </w:rPr>
        <w:t xml:space="preserve"> any</w:t>
      </w:r>
      <w:r w:rsidRPr="00380B40">
        <w:rPr>
          <w:spacing w:val="-1"/>
          <w:lang w:val="en-GB"/>
        </w:rPr>
        <w:t xml:space="preserve"> proposals</w:t>
      </w:r>
      <w:r w:rsidRPr="00380B40">
        <w:rPr>
          <w:spacing w:val="2"/>
          <w:lang w:val="en-GB"/>
        </w:rPr>
        <w:t xml:space="preserve"> </w:t>
      </w:r>
      <w:r w:rsidRPr="00380B40">
        <w:rPr>
          <w:spacing w:val="-1"/>
          <w:lang w:val="en-GB"/>
        </w:rPr>
        <w:t>contained</w:t>
      </w:r>
      <w:r w:rsidRPr="00380B40">
        <w:rPr>
          <w:spacing w:val="2"/>
          <w:lang w:val="en-GB"/>
        </w:rPr>
        <w:t xml:space="preserve"> </w:t>
      </w:r>
      <w:r w:rsidRPr="00380B40">
        <w:rPr>
          <w:lang w:val="en-GB"/>
        </w:rPr>
        <w:t>in</w:t>
      </w:r>
      <w:r w:rsidRPr="00380B40">
        <w:rPr>
          <w:spacing w:val="2"/>
          <w:lang w:val="en-GB"/>
        </w:rPr>
        <w:t xml:space="preserve"> </w:t>
      </w:r>
      <w:r w:rsidRPr="00380B40">
        <w:rPr>
          <w:lang w:val="en-GB"/>
        </w:rPr>
        <w:t>contributions</w:t>
      </w:r>
      <w:r w:rsidRPr="00380B40">
        <w:rPr>
          <w:spacing w:val="2"/>
          <w:lang w:val="en-GB"/>
        </w:rPr>
        <w:t xml:space="preserve"> </w:t>
      </w:r>
      <w:r w:rsidRPr="00380B40">
        <w:rPr>
          <w:spacing w:val="-1"/>
          <w:lang w:val="en-GB"/>
        </w:rPr>
        <w:t>submitted</w:t>
      </w:r>
      <w:r w:rsidRPr="00380B40">
        <w:rPr>
          <w:spacing w:val="2"/>
          <w:lang w:val="en-GB"/>
        </w:rPr>
        <w:t xml:space="preserve"> </w:t>
      </w:r>
      <w:r w:rsidRPr="00380B40">
        <w:rPr>
          <w:spacing w:val="1"/>
          <w:lang w:val="en-GB"/>
        </w:rPr>
        <w:t>by</w:t>
      </w:r>
      <w:r w:rsidRPr="00380B40">
        <w:rPr>
          <w:spacing w:val="77"/>
          <w:lang w:val="en-GB"/>
        </w:rPr>
        <w:t xml:space="preserve"> </w:t>
      </w:r>
      <w:r w:rsidRPr="00380B40">
        <w:rPr>
          <w:lang w:val="en-GB"/>
        </w:rPr>
        <w:t>the</w:t>
      </w:r>
      <w:r w:rsidRPr="00380B40">
        <w:rPr>
          <w:spacing w:val="18"/>
          <w:lang w:val="en-GB"/>
        </w:rPr>
        <w:t xml:space="preserve"> </w:t>
      </w:r>
      <w:r w:rsidRPr="00380B40">
        <w:rPr>
          <w:spacing w:val="-1"/>
          <w:lang w:val="en-GB"/>
        </w:rPr>
        <w:t>organization</w:t>
      </w:r>
      <w:r w:rsidRPr="00380B40">
        <w:rPr>
          <w:spacing w:val="18"/>
          <w:lang w:val="en-GB"/>
        </w:rPr>
        <w:t xml:space="preserve"> </w:t>
      </w:r>
      <w:r w:rsidRPr="00380B40">
        <w:rPr>
          <w:spacing w:val="-1"/>
          <w:lang w:val="en-GB"/>
        </w:rPr>
        <w:t>are</w:t>
      </w:r>
      <w:r w:rsidRPr="00380B40">
        <w:rPr>
          <w:spacing w:val="17"/>
          <w:lang w:val="en-GB"/>
        </w:rPr>
        <w:t xml:space="preserve"> </w:t>
      </w:r>
      <w:r w:rsidRPr="00380B40">
        <w:rPr>
          <w:lang w:val="en-GB"/>
        </w:rPr>
        <w:t>included</w:t>
      </w:r>
      <w:r w:rsidRPr="00380B40">
        <w:rPr>
          <w:spacing w:val="18"/>
          <w:lang w:val="en-GB"/>
        </w:rPr>
        <w:t xml:space="preserve"> </w:t>
      </w:r>
      <w:r w:rsidRPr="00380B40">
        <w:rPr>
          <w:lang w:val="en-GB"/>
        </w:rPr>
        <w:t>in</w:t>
      </w:r>
      <w:r w:rsidRPr="00380B40">
        <w:rPr>
          <w:spacing w:val="21"/>
          <w:lang w:val="en-GB"/>
        </w:rPr>
        <w:t xml:space="preserve"> </w:t>
      </w:r>
      <w:r w:rsidRPr="00380B40">
        <w:rPr>
          <w:spacing w:val="-1"/>
          <w:lang w:val="en-GB"/>
        </w:rPr>
        <w:t>ITU</w:t>
      </w:r>
      <w:r w:rsidRPr="00380B40">
        <w:rPr>
          <w:lang w:val="en-GB"/>
        </w:rPr>
        <w:noBreakHyphen/>
      </w:r>
      <w:r w:rsidRPr="00380B40">
        <w:rPr>
          <w:spacing w:val="-1"/>
          <w:lang w:val="en-GB"/>
        </w:rPr>
        <w:t>T</w:t>
      </w:r>
      <w:r w:rsidRPr="00380B40">
        <w:rPr>
          <w:spacing w:val="18"/>
          <w:lang w:val="en-GB"/>
        </w:rPr>
        <w:t xml:space="preserve"> </w:t>
      </w:r>
      <w:r w:rsidRPr="00380B40">
        <w:rPr>
          <w:spacing w:val="-1"/>
          <w:lang w:val="en-GB"/>
        </w:rPr>
        <w:t>Recommendation(s)</w:t>
      </w:r>
      <w:r w:rsidRPr="00380B40">
        <w:rPr>
          <w:spacing w:val="17"/>
          <w:lang w:val="en-GB"/>
        </w:rPr>
        <w:t xml:space="preserve"> </w:t>
      </w:r>
      <w:r w:rsidRPr="00380B40">
        <w:rPr>
          <w:spacing w:val="-1"/>
          <w:lang w:val="en-GB"/>
        </w:rPr>
        <w:t>and</w:t>
      </w:r>
      <w:r w:rsidRPr="00380B40">
        <w:rPr>
          <w:spacing w:val="18"/>
          <w:lang w:val="en-GB"/>
        </w:rPr>
        <w:t xml:space="preserve"> </w:t>
      </w:r>
      <w:r w:rsidRPr="00380B40">
        <w:rPr>
          <w:lang w:val="en-GB"/>
        </w:rPr>
        <w:t>the</w:t>
      </w:r>
      <w:r w:rsidRPr="00380B40">
        <w:rPr>
          <w:spacing w:val="18"/>
          <w:lang w:val="en-GB"/>
        </w:rPr>
        <w:t xml:space="preserve"> </w:t>
      </w:r>
      <w:r w:rsidRPr="00380B40">
        <w:rPr>
          <w:lang w:val="en-GB"/>
        </w:rPr>
        <w:t>included</w:t>
      </w:r>
      <w:r w:rsidRPr="00380B40">
        <w:rPr>
          <w:spacing w:val="18"/>
          <w:lang w:val="en-GB"/>
        </w:rPr>
        <w:t xml:space="preserve"> </w:t>
      </w:r>
      <w:r w:rsidRPr="00380B40">
        <w:rPr>
          <w:spacing w:val="-1"/>
          <w:lang w:val="en-GB"/>
        </w:rPr>
        <w:t>part(s)</w:t>
      </w:r>
      <w:r w:rsidRPr="00380B40">
        <w:rPr>
          <w:spacing w:val="20"/>
          <w:lang w:val="en-GB"/>
        </w:rPr>
        <w:t xml:space="preserve"> </w:t>
      </w:r>
      <w:r w:rsidRPr="00380B40">
        <w:rPr>
          <w:spacing w:val="-1"/>
          <w:lang w:val="en-GB"/>
        </w:rPr>
        <w:t>contain</w:t>
      </w:r>
      <w:r w:rsidRPr="00380B40">
        <w:rPr>
          <w:spacing w:val="18"/>
          <w:lang w:val="en-GB"/>
        </w:rPr>
        <w:t xml:space="preserve"> </w:t>
      </w:r>
      <w:r w:rsidRPr="00380B40">
        <w:rPr>
          <w:spacing w:val="-1"/>
          <w:lang w:val="en-GB"/>
        </w:rPr>
        <w:t>items</w:t>
      </w:r>
      <w:r w:rsidRPr="00380B40">
        <w:rPr>
          <w:spacing w:val="95"/>
          <w:lang w:val="en-GB"/>
        </w:rPr>
        <w:t xml:space="preserve"> </w:t>
      </w:r>
      <w:r w:rsidRPr="00380B40">
        <w:rPr>
          <w:lang w:val="en-GB"/>
        </w:rPr>
        <w:t>that</w:t>
      </w:r>
      <w:r w:rsidRPr="00380B40">
        <w:rPr>
          <w:spacing w:val="21"/>
          <w:lang w:val="en-GB"/>
        </w:rPr>
        <w:t xml:space="preserve"> </w:t>
      </w:r>
      <w:r w:rsidRPr="00380B40">
        <w:rPr>
          <w:spacing w:val="-1"/>
          <w:lang w:val="en-GB"/>
        </w:rPr>
        <w:t>have</w:t>
      </w:r>
      <w:r w:rsidRPr="00380B40">
        <w:rPr>
          <w:spacing w:val="20"/>
          <w:lang w:val="en-GB"/>
        </w:rPr>
        <w:t xml:space="preserve"> </w:t>
      </w:r>
      <w:r w:rsidRPr="00380B40">
        <w:rPr>
          <w:spacing w:val="-1"/>
          <w:lang w:val="en-GB"/>
        </w:rPr>
        <w:t>been</w:t>
      </w:r>
      <w:r w:rsidRPr="00380B40">
        <w:rPr>
          <w:spacing w:val="21"/>
          <w:lang w:val="en-GB"/>
        </w:rPr>
        <w:t xml:space="preserve"> </w:t>
      </w:r>
      <w:r w:rsidRPr="00380B40">
        <w:rPr>
          <w:lang w:val="en-GB"/>
        </w:rPr>
        <w:t>patented</w:t>
      </w:r>
      <w:r w:rsidRPr="00380B40">
        <w:rPr>
          <w:spacing w:val="21"/>
          <w:lang w:val="en-GB"/>
        </w:rPr>
        <w:t xml:space="preserve"> </w:t>
      </w:r>
      <w:r w:rsidRPr="00380B40">
        <w:rPr>
          <w:lang w:val="en-GB"/>
        </w:rPr>
        <w:t>or</w:t>
      </w:r>
      <w:r w:rsidRPr="00380B40">
        <w:rPr>
          <w:spacing w:val="20"/>
          <w:lang w:val="en-GB"/>
        </w:rPr>
        <w:t xml:space="preserve"> </w:t>
      </w:r>
      <w:r w:rsidRPr="00380B40">
        <w:rPr>
          <w:lang w:val="en-GB"/>
        </w:rPr>
        <w:t>for</w:t>
      </w:r>
      <w:r w:rsidRPr="00380B40">
        <w:rPr>
          <w:spacing w:val="19"/>
          <w:lang w:val="en-GB"/>
        </w:rPr>
        <w:t xml:space="preserve"> </w:t>
      </w:r>
      <w:r w:rsidRPr="00380B40">
        <w:rPr>
          <w:spacing w:val="-1"/>
          <w:lang w:val="en-GB"/>
        </w:rPr>
        <w:t>which</w:t>
      </w:r>
      <w:r w:rsidRPr="00380B40">
        <w:rPr>
          <w:spacing w:val="21"/>
          <w:lang w:val="en-GB"/>
        </w:rPr>
        <w:t xml:space="preserve"> </w:t>
      </w:r>
      <w:r w:rsidRPr="00380B40">
        <w:rPr>
          <w:spacing w:val="-1"/>
          <w:lang w:val="en-GB"/>
        </w:rPr>
        <w:t>patent</w:t>
      </w:r>
      <w:r w:rsidRPr="00380B40">
        <w:rPr>
          <w:spacing w:val="21"/>
          <w:lang w:val="en-GB"/>
        </w:rPr>
        <w:t xml:space="preserve"> </w:t>
      </w:r>
      <w:r w:rsidRPr="00380B40">
        <w:rPr>
          <w:spacing w:val="-1"/>
          <w:lang w:val="en-GB"/>
        </w:rPr>
        <w:t>applications</w:t>
      </w:r>
      <w:r w:rsidRPr="00380B40">
        <w:rPr>
          <w:spacing w:val="21"/>
          <w:lang w:val="en-GB"/>
        </w:rPr>
        <w:t xml:space="preserve"> </w:t>
      </w:r>
      <w:r w:rsidRPr="00380B40">
        <w:rPr>
          <w:spacing w:val="-1"/>
          <w:lang w:val="en-GB"/>
        </w:rPr>
        <w:t>have</w:t>
      </w:r>
      <w:r w:rsidRPr="00380B40">
        <w:rPr>
          <w:spacing w:val="20"/>
          <w:lang w:val="en-GB"/>
        </w:rPr>
        <w:t xml:space="preserve"> </w:t>
      </w:r>
      <w:r w:rsidRPr="00380B40">
        <w:rPr>
          <w:spacing w:val="-1"/>
          <w:lang w:val="en-GB"/>
        </w:rPr>
        <w:t>been</w:t>
      </w:r>
      <w:r w:rsidRPr="00380B40">
        <w:rPr>
          <w:spacing w:val="21"/>
          <w:lang w:val="en-GB"/>
        </w:rPr>
        <w:t xml:space="preserve"> </w:t>
      </w:r>
      <w:r w:rsidRPr="00380B40">
        <w:rPr>
          <w:spacing w:val="-1"/>
          <w:lang w:val="en-GB"/>
        </w:rPr>
        <w:t>filed</w:t>
      </w:r>
      <w:r w:rsidRPr="00380B40">
        <w:rPr>
          <w:spacing w:val="23"/>
          <w:lang w:val="en-GB"/>
        </w:rPr>
        <w:t xml:space="preserve"> </w:t>
      </w:r>
      <w:r w:rsidRPr="00380B40">
        <w:rPr>
          <w:spacing w:val="-1"/>
          <w:lang w:val="en-GB"/>
        </w:rPr>
        <w:t>and</w:t>
      </w:r>
      <w:r w:rsidRPr="00380B40">
        <w:rPr>
          <w:spacing w:val="21"/>
          <w:lang w:val="en-GB"/>
        </w:rPr>
        <w:t xml:space="preserve"> </w:t>
      </w:r>
      <w:r w:rsidRPr="00380B40">
        <w:rPr>
          <w:lang w:val="en-GB"/>
        </w:rPr>
        <w:t>whose</w:t>
      </w:r>
      <w:r w:rsidRPr="00380B40">
        <w:rPr>
          <w:spacing w:val="20"/>
          <w:lang w:val="en-GB"/>
        </w:rPr>
        <w:t xml:space="preserve"> </w:t>
      </w:r>
      <w:r w:rsidRPr="00380B40">
        <w:rPr>
          <w:lang w:val="en-GB"/>
        </w:rPr>
        <w:t>use</w:t>
      </w:r>
      <w:r w:rsidRPr="00380B40">
        <w:rPr>
          <w:spacing w:val="20"/>
          <w:lang w:val="en-GB"/>
        </w:rPr>
        <w:t xml:space="preserve"> </w:t>
      </w:r>
      <w:r w:rsidRPr="00380B40">
        <w:rPr>
          <w:lang w:val="en-GB"/>
        </w:rPr>
        <w:t>would</w:t>
      </w:r>
      <w:r w:rsidRPr="00380B40">
        <w:rPr>
          <w:spacing w:val="21"/>
          <w:lang w:val="en-GB"/>
        </w:rPr>
        <w:t xml:space="preserve"> </w:t>
      </w:r>
      <w:r w:rsidRPr="00380B40">
        <w:rPr>
          <w:lang w:val="en-GB"/>
        </w:rPr>
        <w:t>be</w:t>
      </w:r>
      <w:r w:rsidRPr="00380B40">
        <w:rPr>
          <w:spacing w:val="73"/>
          <w:lang w:val="en-GB"/>
        </w:rPr>
        <w:t xml:space="preserve"> </w:t>
      </w:r>
      <w:r w:rsidRPr="00380B40">
        <w:rPr>
          <w:spacing w:val="-1"/>
          <w:lang w:val="en-GB"/>
        </w:rPr>
        <w:t>required</w:t>
      </w:r>
      <w:r w:rsidRPr="00380B40">
        <w:rPr>
          <w:lang w:val="en-GB"/>
        </w:rPr>
        <w:t xml:space="preserve"> to </w:t>
      </w:r>
      <w:r w:rsidRPr="00380B40">
        <w:rPr>
          <w:spacing w:val="-1"/>
          <w:lang w:val="en-GB"/>
        </w:rPr>
        <w:t>implement</w:t>
      </w:r>
      <w:r w:rsidRPr="00380B40">
        <w:rPr>
          <w:spacing w:val="2"/>
          <w:lang w:val="en-GB"/>
        </w:rPr>
        <w:t xml:space="preserve"> </w:t>
      </w:r>
      <w:r w:rsidRPr="00380B40">
        <w:rPr>
          <w:spacing w:val="-1"/>
          <w:lang w:val="en-GB"/>
        </w:rPr>
        <w:t>ITU</w:t>
      </w:r>
      <w:r w:rsidRPr="00380B40">
        <w:rPr>
          <w:lang w:val="en-GB"/>
        </w:rPr>
        <w:noBreakHyphen/>
      </w:r>
      <w:r w:rsidRPr="00380B40">
        <w:rPr>
          <w:spacing w:val="-1"/>
          <w:lang w:val="en-GB"/>
        </w:rPr>
        <w:t>T</w:t>
      </w:r>
      <w:r w:rsidRPr="00380B40">
        <w:rPr>
          <w:lang w:val="en-GB"/>
        </w:rPr>
        <w:t xml:space="preserve"> </w:t>
      </w:r>
      <w:r w:rsidRPr="00380B40">
        <w:rPr>
          <w:spacing w:val="-1"/>
          <w:lang w:val="en-GB"/>
        </w:rPr>
        <w:t>Recommendation(s).</w:t>
      </w:r>
    </w:p>
    <w:p w14:paraId="7D3FFC78" w14:textId="77777777" w:rsidR="00C12517" w:rsidRPr="00380B40" w:rsidRDefault="00C12517" w:rsidP="00C12517">
      <w:pPr>
        <w:rPr>
          <w:lang w:val="en-GB"/>
        </w:rPr>
      </w:pPr>
      <w:r w:rsidRPr="00380B40">
        <w:rPr>
          <w:lang w:val="en-GB"/>
        </w:rPr>
        <w:t>The</w:t>
      </w:r>
      <w:r w:rsidRPr="00380B40">
        <w:rPr>
          <w:spacing w:val="17"/>
          <w:lang w:val="en-GB"/>
        </w:rPr>
        <w:t xml:space="preserve"> </w:t>
      </w:r>
      <w:r w:rsidRPr="00380B40">
        <w:rPr>
          <w:lang w:val="en-GB"/>
        </w:rPr>
        <w:t>general</w:t>
      </w:r>
      <w:r w:rsidRPr="00380B40">
        <w:rPr>
          <w:spacing w:val="19"/>
          <w:lang w:val="en-GB"/>
        </w:rPr>
        <w:t xml:space="preserve"> </w:t>
      </w:r>
      <w:r w:rsidRPr="00380B40">
        <w:rPr>
          <w:lang w:val="en-GB"/>
        </w:rPr>
        <w:t>patent</w:t>
      </w:r>
      <w:r w:rsidRPr="00380B40">
        <w:rPr>
          <w:spacing w:val="18"/>
          <w:lang w:val="en-GB"/>
        </w:rPr>
        <w:t xml:space="preserve"> </w:t>
      </w:r>
      <w:r w:rsidRPr="00380B40">
        <w:rPr>
          <w:lang w:val="en-GB"/>
        </w:rPr>
        <w:t>statement</w:t>
      </w:r>
      <w:r w:rsidRPr="00380B40">
        <w:rPr>
          <w:spacing w:val="18"/>
          <w:lang w:val="en-GB"/>
        </w:rPr>
        <w:t xml:space="preserve"> </w:t>
      </w:r>
      <w:r w:rsidRPr="00380B40">
        <w:rPr>
          <w:lang w:val="en-GB"/>
        </w:rPr>
        <w:t>and</w:t>
      </w:r>
      <w:r w:rsidRPr="00380B40">
        <w:rPr>
          <w:spacing w:val="18"/>
          <w:lang w:val="en-GB"/>
        </w:rPr>
        <w:t xml:space="preserve"> </w:t>
      </w:r>
      <w:r w:rsidRPr="00380B40">
        <w:rPr>
          <w:lang w:val="en-GB"/>
        </w:rPr>
        <w:t>licensing</w:t>
      </w:r>
      <w:r w:rsidRPr="00380B40">
        <w:rPr>
          <w:spacing w:val="17"/>
          <w:lang w:val="en-GB"/>
        </w:rPr>
        <w:t xml:space="preserve"> </w:t>
      </w:r>
      <w:r w:rsidRPr="00380B40">
        <w:rPr>
          <w:lang w:val="en-GB"/>
        </w:rPr>
        <w:t>declaration</w:t>
      </w:r>
      <w:r w:rsidRPr="00380B40">
        <w:rPr>
          <w:spacing w:val="18"/>
          <w:lang w:val="en-GB"/>
        </w:rPr>
        <w:t xml:space="preserve"> </w:t>
      </w:r>
      <w:r w:rsidRPr="00380B40">
        <w:rPr>
          <w:lang w:val="en-GB"/>
        </w:rPr>
        <w:t>is</w:t>
      </w:r>
      <w:r w:rsidRPr="00380B40">
        <w:rPr>
          <w:spacing w:val="19"/>
          <w:lang w:val="en-GB"/>
        </w:rPr>
        <w:t xml:space="preserve"> </w:t>
      </w:r>
      <w:r w:rsidRPr="00380B40">
        <w:rPr>
          <w:lang w:val="en-GB"/>
        </w:rPr>
        <w:t>not</w:t>
      </w:r>
      <w:r w:rsidRPr="00380B40">
        <w:rPr>
          <w:spacing w:val="19"/>
          <w:lang w:val="en-GB"/>
        </w:rPr>
        <w:t xml:space="preserve"> </w:t>
      </w:r>
      <w:r w:rsidRPr="00380B40">
        <w:rPr>
          <w:lang w:val="en-GB"/>
        </w:rPr>
        <w:t>a</w:t>
      </w:r>
      <w:r w:rsidRPr="00380B40">
        <w:rPr>
          <w:spacing w:val="18"/>
          <w:lang w:val="en-GB"/>
        </w:rPr>
        <w:t xml:space="preserve"> </w:t>
      </w:r>
      <w:r w:rsidRPr="00380B40">
        <w:rPr>
          <w:lang w:val="en-GB"/>
        </w:rPr>
        <w:t>replacement</w:t>
      </w:r>
      <w:r w:rsidRPr="00380B40">
        <w:rPr>
          <w:spacing w:val="18"/>
          <w:lang w:val="en-GB"/>
        </w:rPr>
        <w:t xml:space="preserve"> </w:t>
      </w:r>
      <w:r w:rsidRPr="00380B40">
        <w:rPr>
          <w:lang w:val="en-GB"/>
        </w:rPr>
        <w:t>for</w:t>
      </w:r>
      <w:r w:rsidRPr="00380B40">
        <w:rPr>
          <w:spacing w:val="17"/>
          <w:lang w:val="en-GB"/>
        </w:rPr>
        <w:t xml:space="preserve"> </w:t>
      </w:r>
      <w:r w:rsidRPr="00380B40">
        <w:rPr>
          <w:lang w:val="en-GB"/>
        </w:rPr>
        <w:t>the</w:t>
      </w:r>
      <w:r w:rsidRPr="00380B40">
        <w:rPr>
          <w:spacing w:val="18"/>
          <w:lang w:val="en-GB"/>
        </w:rPr>
        <w:t xml:space="preserve"> </w:t>
      </w:r>
      <w:r w:rsidRPr="00380B40">
        <w:rPr>
          <w:lang w:val="en-GB"/>
        </w:rPr>
        <w:t>individual</w:t>
      </w:r>
      <w:r w:rsidRPr="00380B40">
        <w:rPr>
          <w:spacing w:val="18"/>
          <w:lang w:val="en-GB"/>
        </w:rPr>
        <w:t xml:space="preserve"> </w:t>
      </w:r>
      <w:r w:rsidRPr="00380B40">
        <w:rPr>
          <w:lang w:val="en-GB"/>
        </w:rPr>
        <w:t>(per</w:t>
      </w:r>
      <w:r w:rsidRPr="00380B40">
        <w:rPr>
          <w:spacing w:val="85"/>
          <w:lang w:val="en-GB"/>
        </w:rPr>
        <w:t xml:space="preserve"> </w:t>
      </w:r>
      <w:r w:rsidRPr="00380B40">
        <w:rPr>
          <w:lang w:val="en-GB"/>
        </w:rPr>
        <w:t>Recommendation)</w:t>
      </w:r>
      <w:r w:rsidRPr="00380B40">
        <w:rPr>
          <w:spacing w:val="56"/>
          <w:lang w:val="en-GB"/>
        </w:rPr>
        <w:t xml:space="preserve"> </w:t>
      </w:r>
      <w:r w:rsidRPr="00380B40">
        <w:rPr>
          <w:lang w:val="en-GB"/>
        </w:rPr>
        <w:t>patent</w:t>
      </w:r>
      <w:r w:rsidRPr="00380B40">
        <w:rPr>
          <w:spacing w:val="57"/>
          <w:lang w:val="en-GB"/>
        </w:rPr>
        <w:t xml:space="preserve"> </w:t>
      </w:r>
      <w:r w:rsidRPr="00380B40">
        <w:rPr>
          <w:lang w:val="en-GB"/>
        </w:rPr>
        <w:t>statement</w:t>
      </w:r>
      <w:r w:rsidRPr="00380B40">
        <w:rPr>
          <w:spacing w:val="57"/>
          <w:lang w:val="en-GB"/>
        </w:rPr>
        <w:t xml:space="preserve"> </w:t>
      </w:r>
      <w:r w:rsidRPr="00380B40">
        <w:rPr>
          <w:lang w:val="en-GB"/>
        </w:rPr>
        <w:t>and</w:t>
      </w:r>
      <w:r w:rsidRPr="00380B40">
        <w:rPr>
          <w:spacing w:val="57"/>
          <w:lang w:val="en-GB"/>
        </w:rPr>
        <w:t xml:space="preserve"> </w:t>
      </w:r>
      <w:r w:rsidRPr="00380B40">
        <w:rPr>
          <w:lang w:val="en-GB"/>
        </w:rPr>
        <w:t>licensing</w:t>
      </w:r>
      <w:r w:rsidRPr="00380B40">
        <w:rPr>
          <w:spacing w:val="55"/>
          <w:lang w:val="en-GB"/>
        </w:rPr>
        <w:t xml:space="preserve"> </w:t>
      </w:r>
      <w:r w:rsidRPr="00380B40">
        <w:rPr>
          <w:lang w:val="en-GB"/>
        </w:rPr>
        <w:t>declaration</w:t>
      </w:r>
      <w:r w:rsidRPr="00380B40">
        <w:rPr>
          <w:spacing w:val="57"/>
          <w:lang w:val="en-GB"/>
        </w:rPr>
        <w:t xml:space="preserve"> </w:t>
      </w:r>
      <w:r w:rsidRPr="00380B40">
        <w:rPr>
          <w:lang w:val="en-GB"/>
        </w:rPr>
        <w:t>but</w:t>
      </w:r>
      <w:r w:rsidRPr="00380B40">
        <w:rPr>
          <w:spacing w:val="57"/>
          <w:lang w:val="en-GB"/>
        </w:rPr>
        <w:t xml:space="preserve"> </w:t>
      </w:r>
      <w:r w:rsidRPr="00380B40">
        <w:rPr>
          <w:lang w:val="en-GB"/>
        </w:rPr>
        <w:t>is</w:t>
      </w:r>
      <w:r w:rsidRPr="00380B40">
        <w:rPr>
          <w:spacing w:val="58"/>
          <w:lang w:val="en-GB"/>
        </w:rPr>
        <w:t xml:space="preserve"> </w:t>
      </w:r>
      <w:r w:rsidRPr="00380B40">
        <w:rPr>
          <w:lang w:val="en-GB"/>
        </w:rPr>
        <w:t>expected</w:t>
      </w:r>
      <w:r w:rsidRPr="00380B40">
        <w:rPr>
          <w:spacing w:val="56"/>
          <w:lang w:val="en-GB"/>
        </w:rPr>
        <w:t xml:space="preserve"> </w:t>
      </w:r>
      <w:r w:rsidRPr="00380B40">
        <w:rPr>
          <w:lang w:val="en-GB"/>
        </w:rPr>
        <w:t>to</w:t>
      </w:r>
      <w:r w:rsidRPr="00380B40">
        <w:rPr>
          <w:spacing w:val="57"/>
          <w:lang w:val="en-GB"/>
        </w:rPr>
        <w:t xml:space="preserve"> </w:t>
      </w:r>
      <w:r w:rsidRPr="00380B40">
        <w:rPr>
          <w:lang w:val="en-GB"/>
        </w:rPr>
        <w:t>improve</w:t>
      </w:r>
      <w:r w:rsidRPr="00380B40">
        <w:rPr>
          <w:spacing w:val="75"/>
          <w:lang w:val="en-GB"/>
        </w:rPr>
        <w:t xml:space="preserve"> </w:t>
      </w:r>
      <w:r w:rsidRPr="00380B40">
        <w:rPr>
          <w:lang w:val="en-GB"/>
        </w:rPr>
        <w:t>responsiveness</w:t>
      </w:r>
      <w:r w:rsidRPr="00380B40">
        <w:rPr>
          <w:spacing w:val="-10"/>
          <w:lang w:val="en-GB"/>
        </w:rPr>
        <w:t xml:space="preserve"> </w:t>
      </w:r>
      <w:r w:rsidRPr="00380B40">
        <w:rPr>
          <w:lang w:val="en-GB"/>
        </w:rPr>
        <w:t>and</w:t>
      </w:r>
      <w:r w:rsidRPr="00380B40">
        <w:rPr>
          <w:spacing w:val="-10"/>
          <w:lang w:val="en-GB"/>
        </w:rPr>
        <w:t xml:space="preserve"> </w:t>
      </w:r>
      <w:r w:rsidRPr="00380B40">
        <w:rPr>
          <w:lang w:val="en-GB"/>
        </w:rPr>
        <w:t>early</w:t>
      </w:r>
      <w:r w:rsidRPr="00380B40">
        <w:rPr>
          <w:spacing w:val="-12"/>
          <w:lang w:val="en-GB"/>
        </w:rPr>
        <w:t xml:space="preserve"> </w:t>
      </w:r>
      <w:r w:rsidRPr="00380B40">
        <w:rPr>
          <w:lang w:val="en-GB"/>
        </w:rPr>
        <w:t>disclosure</w:t>
      </w:r>
      <w:r w:rsidRPr="00380B40">
        <w:rPr>
          <w:spacing w:val="-14"/>
          <w:lang w:val="en-GB"/>
        </w:rPr>
        <w:t xml:space="preserve"> </w:t>
      </w:r>
      <w:r w:rsidRPr="00380B40">
        <w:rPr>
          <w:lang w:val="en-GB"/>
        </w:rPr>
        <w:t>of</w:t>
      </w:r>
      <w:r w:rsidRPr="00380B40">
        <w:rPr>
          <w:spacing w:val="-11"/>
          <w:lang w:val="en-GB"/>
        </w:rPr>
        <w:t xml:space="preserve"> </w:t>
      </w:r>
      <w:r w:rsidRPr="00380B40">
        <w:rPr>
          <w:lang w:val="en-GB"/>
        </w:rPr>
        <w:t>the</w:t>
      </w:r>
      <w:r w:rsidRPr="00380B40">
        <w:rPr>
          <w:spacing w:val="-13"/>
          <w:lang w:val="en-GB"/>
        </w:rPr>
        <w:t xml:space="preserve"> </w:t>
      </w:r>
      <w:r w:rsidRPr="00380B40">
        <w:rPr>
          <w:lang w:val="en-GB"/>
        </w:rPr>
        <w:t>patent</w:t>
      </w:r>
      <w:r w:rsidRPr="00380B40">
        <w:rPr>
          <w:spacing w:val="-12"/>
          <w:lang w:val="en-GB"/>
        </w:rPr>
        <w:t xml:space="preserve"> </w:t>
      </w:r>
      <w:r w:rsidRPr="00380B40">
        <w:rPr>
          <w:lang w:val="en-GB"/>
        </w:rPr>
        <w:t>holder's</w:t>
      </w:r>
      <w:r w:rsidRPr="00380B40">
        <w:rPr>
          <w:spacing w:val="-12"/>
          <w:lang w:val="en-GB"/>
        </w:rPr>
        <w:t xml:space="preserve"> </w:t>
      </w:r>
      <w:r w:rsidRPr="00380B40">
        <w:rPr>
          <w:lang w:val="en-GB"/>
        </w:rPr>
        <w:t>compliance</w:t>
      </w:r>
      <w:r w:rsidRPr="00380B40">
        <w:rPr>
          <w:spacing w:val="-13"/>
          <w:lang w:val="en-GB"/>
        </w:rPr>
        <w:t xml:space="preserve"> </w:t>
      </w:r>
      <w:r w:rsidRPr="00380B40">
        <w:rPr>
          <w:lang w:val="en-GB"/>
        </w:rPr>
        <w:t>with</w:t>
      </w:r>
      <w:r w:rsidRPr="00380B40">
        <w:rPr>
          <w:spacing w:val="-12"/>
          <w:lang w:val="en-GB"/>
        </w:rPr>
        <w:t xml:space="preserve"> </w:t>
      </w:r>
      <w:r w:rsidRPr="00380B40">
        <w:rPr>
          <w:lang w:val="en-GB"/>
        </w:rPr>
        <w:t>the</w:t>
      </w:r>
      <w:r w:rsidRPr="00380B40">
        <w:rPr>
          <w:spacing w:val="-13"/>
          <w:lang w:val="en-GB"/>
        </w:rPr>
        <w:t xml:space="preserve"> </w:t>
      </w:r>
      <w:r w:rsidRPr="00380B40">
        <w:rPr>
          <w:lang w:val="en-GB"/>
        </w:rPr>
        <w:t>Common</w:t>
      </w:r>
      <w:r w:rsidRPr="00380B40">
        <w:rPr>
          <w:spacing w:val="-12"/>
          <w:lang w:val="en-GB"/>
        </w:rPr>
        <w:t xml:space="preserve"> </w:t>
      </w:r>
      <w:r w:rsidRPr="00380B40">
        <w:rPr>
          <w:lang w:val="en-GB"/>
        </w:rPr>
        <w:t>Patent</w:t>
      </w:r>
      <w:r w:rsidRPr="00380B40">
        <w:rPr>
          <w:spacing w:val="-12"/>
          <w:lang w:val="en-GB"/>
        </w:rPr>
        <w:t xml:space="preserve"> </w:t>
      </w:r>
      <w:r w:rsidRPr="00380B40">
        <w:rPr>
          <w:lang w:val="en-GB"/>
        </w:rPr>
        <w:t>Policy</w:t>
      </w:r>
      <w:r w:rsidRPr="00380B40">
        <w:rPr>
          <w:spacing w:val="78"/>
          <w:lang w:val="en-GB"/>
        </w:rPr>
        <w:t xml:space="preserve"> </w:t>
      </w:r>
      <w:r w:rsidRPr="00380B40">
        <w:rPr>
          <w:lang w:val="en-GB"/>
        </w:rPr>
        <w:t>for ITU</w:t>
      </w:r>
      <w:r w:rsidRPr="00380B40">
        <w:rPr>
          <w:lang w:val="en-GB"/>
        </w:rPr>
        <w:noBreakHyphen/>
        <w:t>T/ITU</w:t>
      </w:r>
      <w:r w:rsidRPr="00380B40">
        <w:rPr>
          <w:lang w:val="en-GB"/>
        </w:rPr>
        <w:noBreakHyphen/>
        <w:t>R/ISO/IEC.</w:t>
      </w:r>
    </w:p>
    <w:p w14:paraId="1AC58673" w14:textId="77777777" w:rsidR="00C12517" w:rsidRPr="00380B40" w:rsidRDefault="00C12517" w:rsidP="00C12517">
      <w:pPr>
        <w:rPr>
          <w:lang w:val="en-GB"/>
        </w:rPr>
      </w:pPr>
      <w:r w:rsidRPr="00380B40">
        <w:rPr>
          <w:b/>
          <w:bCs/>
          <w:lang w:val="en-GB"/>
        </w:rPr>
        <w:t>3.1.6</w:t>
      </w:r>
      <w:r w:rsidRPr="00380B40">
        <w:rPr>
          <w:lang w:val="en-GB"/>
        </w:rPr>
        <w:tab/>
        <w:t>By making a contribution, contributors acknowledge, to the best of their knowledge, that material</w:t>
      </w:r>
      <w:r w:rsidRPr="00380B40">
        <w:rPr>
          <w:spacing w:val="23"/>
          <w:lang w:val="en-GB"/>
        </w:rPr>
        <w:t xml:space="preserve"> </w:t>
      </w:r>
      <w:r w:rsidRPr="00380B40">
        <w:rPr>
          <w:lang w:val="en-GB"/>
        </w:rPr>
        <w:t>such</w:t>
      </w:r>
      <w:r w:rsidRPr="00380B40">
        <w:rPr>
          <w:spacing w:val="23"/>
          <w:lang w:val="en-GB"/>
        </w:rPr>
        <w:t xml:space="preserve"> </w:t>
      </w:r>
      <w:r w:rsidRPr="00380B40">
        <w:rPr>
          <w:lang w:val="en-GB"/>
        </w:rPr>
        <w:t>as</w:t>
      </w:r>
      <w:r w:rsidRPr="00380B40">
        <w:rPr>
          <w:spacing w:val="24"/>
          <w:lang w:val="en-GB"/>
        </w:rPr>
        <w:t xml:space="preserve"> </w:t>
      </w:r>
      <w:r w:rsidRPr="00380B40">
        <w:rPr>
          <w:lang w:val="en-GB"/>
        </w:rPr>
        <w:t>text,</w:t>
      </w:r>
      <w:r w:rsidRPr="00380B40">
        <w:rPr>
          <w:spacing w:val="24"/>
          <w:lang w:val="en-GB"/>
        </w:rPr>
        <w:t xml:space="preserve"> </w:t>
      </w:r>
      <w:r w:rsidRPr="00380B40">
        <w:rPr>
          <w:lang w:val="en-GB"/>
        </w:rPr>
        <w:t>diagrams,</w:t>
      </w:r>
      <w:r w:rsidRPr="00380B40">
        <w:rPr>
          <w:spacing w:val="24"/>
          <w:lang w:val="en-GB"/>
        </w:rPr>
        <w:t xml:space="preserve"> </w:t>
      </w:r>
      <w:r w:rsidRPr="00380B40">
        <w:rPr>
          <w:lang w:val="en-GB"/>
        </w:rPr>
        <w:t>etc.,</w:t>
      </w:r>
      <w:r w:rsidRPr="00380B40">
        <w:rPr>
          <w:spacing w:val="23"/>
          <w:lang w:val="en-GB"/>
        </w:rPr>
        <w:t xml:space="preserve"> </w:t>
      </w:r>
      <w:r w:rsidRPr="00380B40">
        <w:rPr>
          <w:lang w:val="en-GB"/>
        </w:rPr>
        <w:t>submitted</w:t>
      </w:r>
      <w:r w:rsidRPr="00380B40">
        <w:rPr>
          <w:spacing w:val="23"/>
          <w:lang w:val="en-GB"/>
        </w:rPr>
        <w:t xml:space="preserve"> </w:t>
      </w:r>
      <w:r w:rsidRPr="00380B40">
        <w:rPr>
          <w:lang w:val="en-GB"/>
        </w:rPr>
        <w:t>as</w:t>
      </w:r>
      <w:r w:rsidRPr="00380B40">
        <w:rPr>
          <w:spacing w:val="24"/>
          <w:lang w:val="en-GB"/>
        </w:rPr>
        <w:t xml:space="preserve"> </w:t>
      </w:r>
      <w:r w:rsidRPr="00380B40">
        <w:rPr>
          <w:lang w:val="en-GB"/>
        </w:rPr>
        <w:t>their</w:t>
      </w:r>
      <w:r w:rsidRPr="00380B40">
        <w:rPr>
          <w:spacing w:val="22"/>
          <w:lang w:val="en-GB"/>
        </w:rPr>
        <w:t xml:space="preserve"> </w:t>
      </w:r>
      <w:r w:rsidRPr="00380B40">
        <w:rPr>
          <w:lang w:val="en-GB"/>
        </w:rPr>
        <w:t>contribution</w:t>
      </w:r>
      <w:r w:rsidRPr="00380B40">
        <w:rPr>
          <w:spacing w:val="24"/>
          <w:lang w:val="en-GB"/>
        </w:rPr>
        <w:t xml:space="preserve"> </w:t>
      </w:r>
      <w:r w:rsidRPr="00380B40">
        <w:rPr>
          <w:lang w:val="en-GB"/>
        </w:rPr>
        <w:t>to</w:t>
      </w:r>
      <w:r w:rsidRPr="00380B40">
        <w:rPr>
          <w:spacing w:val="21"/>
          <w:lang w:val="en-GB"/>
        </w:rPr>
        <w:t xml:space="preserve"> </w:t>
      </w:r>
      <w:r w:rsidRPr="00380B40">
        <w:rPr>
          <w:lang w:val="en-GB"/>
        </w:rPr>
        <w:t>the</w:t>
      </w:r>
      <w:r w:rsidRPr="00380B40">
        <w:rPr>
          <w:spacing w:val="23"/>
          <w:lang w:val="en-GB"/>
        </w:rPr>
        <w:t xml:space="preserve"> </w:t>
      </w:r>
      <w:r w:rsidRPr="00380B40">
        <w:rPr>
          <w:lang w:val="en-GB"/>
        </w:rPr>
        <w:t>work</w:t>
      </w:r>
      <w:r w:rsidRPr="00380B40">
        <w:rPr>
          <w:spacing w:val="23"/>
          <w:lang w:val="en-GB"/>
        </w:rPr>
        <w:t xml:space="preserve"> </w:t>
      </w:r>
      <w:r w:rsidRPr="00380B40">
        <w:rPr>
          <w:lang w:val="en-GB"/>
        </w:rPr>
        <w:t>of</w:t>
      </w:r>
      <w:r w:rsidRPr="00380B40">
        <w:rPr>
          <w:spacing w:val="25"/>
          <w:lang w:val="en-GB"/>
        </w:rPr>
        <w:t xml:space="preserve"> </w:t>
      </w:r>
      <w:r w:rsidRPr="00380B40">
        <w:rPr>
          <w:lang w:val="en-GB"/>
        </w:rPr>
        <w:t>ITU</w:t>
      </w:r>
      <w:r w:rsidRPr="00380B40">
        <w:rPr>
          <w:lang w:val="en-GB"/>
        </w:rPr>
        <w:noBreakHyphen/>
        <w:t>T</w:t>
      </w:r>
      <w:r w:rsidRPr="00380B40">
        <w:rPr>
          <w:spacing w:val="49"/>
          <w:lang w:val="en-GB"/>
        </w:rPr>
        <w:t xml:space="preserve"> </w:t>
      </w:r>
      <w:r w:rsidRPr="00380B40">
        <w:rPr>
          <w:lang w:val="en-GB"/>
        </w:rPr>
        <w:t>has no</w:t>
      </w:r>
      <w:r w:rsidRPr="00380B40">
        <w:rPr>
          <w:spacing w:val="-5"/>
          <w:lang w:val="en-GB"/>
        </w:rPr>
        <w:t xml:space="preserve"> </w:t>
      </w:r>
      <w:r w:rsidRPr="00380B40">
        <w:rPr>
          <w:lang w:val="en-GB"/>
        </w:rPr>
        <w:t>restriction</w:t>
      </w:r>
      <w:r w:rsidR="00FD162E" w:rsidRPr="00380B40">
        <w:rPr>
          <w:rStyle w:val="FootnoteReference"/>
          <w:lang w:val="en-GB"/>
        </w:rPr>
        <w:footnoteReference w:id="60"/>
      </w:r>
      <w:r w:rsidRPr="00380B40">
        <w:rPr>
          <w:lang w:val="en-GB"/>
        </w:rPr>
        <w:t xml:space="preserve"> in</w:t>
      </w:r>
      <w:r w:rsidRPr="00380B40">
        <w:rPr>
          <w:spacing w:val="-7"/>
          <w:lang w:val="en-GB"/>
        </w:rPr>
        <w:t xml:space="preserve"> </w:t>
      </w:r>
      <w:r w:rsidRPr="00380B40">
        <w:rPr>
          <w:lang w:val="en-GB"/>
        </w:rPr>
        <w:t>order</w:t>
      </w:r>
      <w:r w:rsidRPr="00380B40">
        <w:rPr>
          <w:spacing w:val="-6"/>
          <w:lang w:val="en-GB"/>
        </w:rPr>
        <w:t xml:space="preserve"> </w:t>
      </w:r>
      <w:r w:rsidRPr="00380B40">
        <w:rPr>
          <w:lang w:val="en-GB"/>
        </w:rPr>
        <w:t>to</w:t>
      </w:r>
      <w:r w:rsidRPr="00380B40">
        <w:rPr>
          <w:spacing w:val="-5"/>
          <w:lang w:val="en-GB"/>
        </w:rPr>
        <w:t xml:space="preserve"> </w:t>
      </w:r>
      <w:r w:rsidRPr="00380B40">
        <w:rPr>
          <w:lang w:val="en-GB"/>
        </w:rPr>
        <w:t>permit</w:t>
      </w:r>
      <w:r w:rsidRPr="00380B40">
        <w:rPr>
          <w:spacing w:val="-5"/>
          <w:lang w:val="en-GB"/>
        </w:rPr>
        <w:t xml:space="preserve"> </w:t>
      </w:r>
      <w:r w:rsidRPr="00380B40">
        <w:rPr>
          <w:lang w:val="en-GB"/>
        </w:rPr>
        <w:t>the</w:t>
      </w:r>
      <w:r w:rsidRPr="00380B40">
        <w:rPr>
          <w:spacing w:val="-6"/>
          <w:lang w:val="en-GB"/>
        </w:rPr>
        <w:t xml:space="preserve"> </w:t>
      </w:r>
      <w:r w:rsidRPr="00380B40">
        <w:rPr>
          <w:lang w:val="en-GB"/>
        </w:rPr>
        <w:t>normal</w:t>
      </w:r>
      <w:r w:rsidRPr="00380B40">
        <w:rPr>
          <w:spacing w:val="-5"/>
          <w:lang w:val="en-GB"/>
        </w:rPr>
        <w:t xml:space="preserve"> </w:t>
      </w:r>
      <w:r w:rsidRPr="00380B40">
        <w:rPr>
          <w:lang w:val="en-GB"/>
        </w:rPr>
        <w:t>distribution</w:t>
      </w:r>
      <w:r w:rsidRPr="00380B40">
        <w:rPr>
          <w:spacing w:val="-5"/>
          <w:lang w:val="en-GB"/>
        </w:rPr>
        <w:t xml:space="preserve"> </w:t>
      </w:r>
      <w:r w:rsidRPr="00380B40">
        <w:rPr>
          <w:lang w:val="en-GB"/>
        </w:rPr>
        <w:t>of</w:t>
      </w:r>
      <w:r w:rsidRPr="00380B40">
        <w:rPr>
          <w:spacing w:val="-6"/>
          <w:lang w:val="en-GB"/>
        </w:rPr>
        <w:t xml:space="preserve"> </w:t>
      </w:r>
      <w:r w:rsidRPr="00380B40">
        <w:rPr>
          <w:lang w:val="en-GB"/>
        </w:rPr>
        <w:t>this</w:t>
      </w:r>
      <w:r w:rsidRPr="00380B40">
        <w:rPr>
          <w:spacing w:val="-7"/>
          <w:lang w:val="en-GB"/>
        </w:rPr>
        <w:t xml:space="preserve"> </w:t>
      </w:r>
      <w:r w:rsidRPr="00380B40">
        <w:rPr>
          <w:lang w:val="en-GB"/>
        </w:rPr>
        <w:t>material</w:t>
      </w:r>
      <w:r w:rsidRPr="00380B40">
        <w:rPr>
          <w:spacing w:val="-5"/>
          <w:lang w:val="en-GB"/>
        </w:rPr>
        <w:t xml:space="preserve"> </w:t>
      </w:r>
      <w:r w:rsidRPr="00380B40">
        <w:rPr>
          <w:lang w:val="en-GB"/>
        </w:rPr>
        <w:t>for</w:t>
      </w:r>
      <w:r w:rsidRPr="00380B40">
        <w:rPr>
          <w:spacing w:val="87"/>
          <w:lang w:val="en-GB"/>
        </w:rPr>
        <w:t xml:space="preserve"> </w:t>
      </w:r>
      <w:r w:rsidRPr="00380B40">
        <w:rPr>
          <w:lang w:val="en-GB"/>
        </w:rPr>
        <w:t>discussions</w:t>
      </w:r>
      <w:r w:rsidRPr="00380B40">
        <w:rPr>
          <w:spacing w:val="-10"/>
          <w:lang w:val="en-GB"/>
        </w:rPr>
        <w:t xml:space="preserve"> </w:t>
      </w:r>
      <w:r w:rsidRPr="00380B40">
        <w:rPr>
          <w:lang w:val="en-GB"/>
        </w:rPr>
        <w:t>within</w:t>
      </w:r>
      <w:r w:rsidRPr="00380B40">
        <w:rPr>
          <w:spacing w:val="-12"/>
          <w:lang w:val="en-GB"/>
        </w:rPr>
        <w:t xml:space="preserve"> </w:t>
      </w:r>
      <w:r w:rsidRPr="00380B40">
        <w:rPr>
          <w:lang w:val="en-GB"/>
        </w:rPr>
        <w:t>the</w:t>
      </w:r>
      <w:r w:rsidRPr="00380B40">
        <w:rPr>
          <w:spacing w:val="-11"/>
          <w:lang w:val="en-GB"/>
        </w:rPr>
        <w:t xml:space="preserve"> </w:t>
      </w:r>
      <w:r w:rsidRPr="00380B40">
        <w:rPr>
          <w:lang w:val="en-GB"/>
        </w:rPr>
        <w:t>appropriate</w:t>
      </w:r>
      <w:r w:rsidRPr="00380B40">
        <w:rPr>
          <w:spacing w:val="-11"/>
          <w:lang w:val="en-GB"/>
        </w:rPr>
        <w:t xml:space="preserve"> ITU-T study </w:t>
      </w:r>
      <w:r w:rsidRPr="00380B40">
        <w:rPr>
          <w:lang w:val="en-GB"/>
        </w:rPr>
        <w:t>groups</w:t>
      </w:r>
      <w:r w:rsidRPr="00380B40">
        <w:rPr>
          <w:spacing w:val="-10"/>
          <w:lang w:val="en-GB"/>
        </w:rPr>
        <w:t xml:space="preserve"> and other groups </w:t>
      </w:r>
      <w:r w:rsidRPr="00380B40">
        <w:rPr>
          <w:lang w:val="en-GB"/>
        </w:rPr>
        <w:t>and</w:t>
      </w:r>
      <w:r w:rsidRPr="00380B40">
        <w:rPr>
          <w:spacing w:val="-10"/>
          <w:lang w:val="en-GB"/>
        </w:rPr>
        <w:t xml:space="preserve"> </w:t>
      </w:r>
      <w:r w:rsidRPr="00380B40">
        <w:rPr>
          <w:lang w:val="en-GB"/>
        </w:rPr>
        <w:t>possible</w:t>
      </w:r>
      <w:r w:rsidRPr="00380B40">
        <w:rPr>
          <w:spacing w:val="-11"/>
          <w:lang w:val="en-GB"/>
        </w:rPr>
        <w:t xml:space="preserve"> </w:t>
      </w:r>
      <w:r w:rsidRPr="00380B40">
        <w:rPr>
          <w:lang w:val="en-GB"/>
        </w:rPr>
        <w:t>use,</w:t>
      </w:r>
      <w:r w:rsidRPr="00380B40">
        <w:rPr>
          <w:spacing w:val="-10"/>
          <w:lang w:val="en-GB"/>
        </w:rPr>
        <w:t xml:space="preserve"> </w:t>
      </w:r>
      <w:r w:rsidRPr="00380B40">
        <w:rPr>
          <w:lang w:val="en-GB"/>
        </w:rPr>
        <w:t>in</w:t>
      </w:r>
      <w:r w:rsidRPr="00380B40">
        <w:rPr>
          <w:spacing w:val="-10"/>
          <w:lang w:val="en-GB"/>
        </w:rPr>
        <w:t xml:space="preserve"> </w:t>
      </w:r>
      <w:r w:rsidRPr="00380B40">
        <w:rPr>
          <w:lang w:val="en-GB"/>
        </w:rPr>
        <w:t>whole</w:t>
      </w:r>
      <w:r w:rsidRPr="00380B40">
        <w:rPr>
          <w:spacing w:val="-13"/>
          <w:lang w:val="en-GB"/>
        </w:rPr>
        <w:t xml:space="preserve"> </w:t>
      </w:r>
      <w:r w:rsidRPr="00380B40">
        <w:rPr>
          <w:lang w:val="en-GB"/>
        </w:rPr>
        <w:t>or</w:t>
      </w:r>
      <w:r w:rsidRPr="00380B40">
        <w:rPr>
          <w:spacing w:val="-11"/>
          <w:lang w:val="en-GB"/>
        </w:rPr>
        <w:t xml:space="preserve"> </w:t>
      </w:r>
      <w:r w:rsidRPr="00380B40">
        <w:rPr>
          <w:lang w:val="en-GB"/>
        </w:rPr>
        <w:t>in</w:t>
      </w:r>
      <w:r w:rsidRPr="00380B40">
        <w:rPr>
          <w:spacing w:val="-10"/>
          <w:lang w:val="en-GB"/>
        </w:rPr>
        <w:t xml:space="preserve"> </w:t>
      </w:r>
      <w:r w:rsidRPr="00380B40">
        <w:rPr>
          <w:lang w:val="en-GB"/>
        </w:rPr>
        <w:t>part,</w:t>
      </w:r>
      <w:r w:rsidRPr="00380B40">
        <w:rPr>
          <w:spacing w:val="-10"/>
          <w:lang w:val="en-GB"/>
        </w:rPr>
        <w:t xml:space="preserve"> with or without modification, </w:t>
      </w:r>
      <w:r w:rsidRPr="00380B40">
        <w:rPr>
          <w:lang w:val="en-GB"/>
        </w:rPr>
        <w:t>in</w:t>
      </w:r>
      <w:r w:rsidRPr="00380B40">
        <w:rPr>
          <w:spacing w:val="-10"/>
          <w:lang w:val="en-GB"/>
        </w:rPr>
        <w:t xml:space="preserve"> </w:t>
      </w:r>
      <w:r w:rsidRPr="00380B40">
        <w:rPr>
          <w:lang w:val="en-GB"/>
        </w:rPr>
        <w:t>any</w:t>
      </w:r>
      <w:r w:rsidRPr="00380B40">
        <w:rPr>
          <w:spacing w:val="-17"/>
          <w:lang w:val="en-GB"/>
        </w:rPr>
        <w:t xml:space="preserve"> </w:t>
      </w:r>
      <w:r w:rsidRPr="00380B40">
        <w:rPr>
          <w:lang w:val="en-GB"/>
        </w:rPr>
        <w:t>resulting</w:t>
      </w:r>
      <w:r w:rsidRPr="00380B40">
        <w:rPr>
          <w:spacing w:val="-10"/>
          <w:lang w:val="en-GB"/>
        </w:rPr>
        <w:t xml:space="preserve"> </w:t>
      </w:r>
      <w:r w:rsidRPr="00380B40">
        <w:rPr>
          <w:lang w:val="en-GB"/>
        </w:rPr>
        <w:t>ITU-T</w:t>
      </w:r>
      <w:r w:rsidRPr="00380B40">
        <w:rPr>
          <w:spacing w:val="39"/>
          <w:lang w:val="en-GB"/>
        </w:rPr>
        <w:t xml:space="preserve"> </w:t>
      </w:r>
      <w:r w:rsidRPr="00380B40">
        <w:rPr>
          <w:lang w:val="en-GB"/>
        </w:rPr>
        <w:t>Recommendations</w:t>
      </w:r>
      <w:r w:rsidRPr="00380B40">
        <w:rPr>
          <w:spacing w:val="9"/>
          <w:lang w:val="en-GB"/>
        </w:rPr>
        <w:t xml:space="preserve"> </w:t>
      </w:r>
      <w:r w:rsidRPr="00380B40">
        <w:rPr>
          <w:lang w:val="en-GB"/>
        </w:rPr>
        <w:t>that</w:t>
      </w:r>
      <w:r w:rsidRPr="00380B40">
        <w:rPr>
          <w:spacing w:val="9"/>
          <w:lang w:val="en-GB"/>
        </w:rPr>
        <w:t xml:space="preserve"> </w:t>
      </w:r>
      <w:r w:rsidRPr="00380B40">
        <w:rPr>
          <w:lang w:val="en-GB"/>
        </w:rPr>
        <w:t>are</w:t>
      </w:r>
      <w:r w:rsidRPr="00380B40">
        <w:rPr>
          <w:spacing w:val="7"/>
          <w:lang w:val="en-GB"/>
        </w:rPr>
        <w:t xml:space="preserve"> </w:t>
      </w:r>
      <w:r w:rsidRPr="00380B40">
        <w:rPr>
          <w:lang w:val="en-GB"/>
        </w:rPr>
        <w:t>published (see [PP Res. 66]).</w:t>
      </w:r>
    </w:p>
    <w:p w14:paraId="26C3B130" w14:textId="77777777" w:rsidR="00C12517" w:rsidRPr="00380B40" w:rsidRDefault="00C12517" w:rsidP="00C12517">
      <w:pPr>
        <w:rPr>
          <w:lang w:val="en-GB"/>
        </w:rPr>
      </w:pPr>
      <w:r w:rsidRPr="00380B40">
        <w:rPr>
          <w:b/>
          <w:bCs/>
          <w:lang w:val="en-GB"/>
        </w:rPr>
        <w:t>3.</w:t>
      </w:r>
      <w:r w:rsidRPr="00380B40">
        <w:rPr>
          <w:b/>
          <w:lang w:val="en-GB"/>
        </w:rPr>
        <w:t>1.7</w:t>
      </w:r>
      <w:r w:rsidRPr="00380B40">
        <w:rPr>
          <w:lang w:val="en-GB"/>
        </w:rPr>
        <w:tab/>
        <w:t>If a contribution proposes to make normative reference to, or to incorporate text, diagrams, etc. from a document from a source qualified according to [ITU-T A.5], the source document should be clearly identified in the contribution, allowing [ITU-T A.5] or [ITU-T A.25] to be followed in the case the study group reaches consensus on such a proposal.</w:t>
      </w:r>
    </w:p>
    <w:p w14:paraId="3C7135E3" w14:textId="6BF871F9" w:rsidR="00C12517" w:rsidRDefault="00C12517" w:rsidP="00C12517">
      <w:pPr>
        <w:rPr>
          <w:lang w:val="en-GB"/>
        </w:rPr>
      </w:pPr>
      <w:r w:rsidRPr="00380B40">
        <w:rPr>
          <w:b/>
          <w:bCs/>
          <w:lang w:val="en-GB"/>
        </w:rPr>
        <w:t>3.1.8</w:t>
      </w:r>
      <w:r w:rsidRPr="00380B40">
        <w:rPr>
          <w:lang w:val="en-GB"/>
        </w:rPr>
        <w:tab/>
        <w:t>A</w:t>
      </w:r>
      <w:r w:rsidRPr="00380B40">
        <w:rPr>
          <w:spacing w:val="-8"/>
          <w:lang w:val="en-GB"/>
        </w:rPr>
        <w:t xml:space="preserve"> </w:t>
      </w:r>
      <w:r w:rsidRPr="00380B40">
        <w:rPr>
          <w:lang w:val="en-GB"/>
        </w:rPr>
        <w:t>contributor</w:t>
      </w:r>
      <w:r w:rsidRPr="00380B40">
        <w:rPr>
          <w:spacing w:val="-6"/>
          <w:lang w:val="en-GB"/>
        </w:rPr>
        <w:t xml:space="preserve"> </w:t>
      </w:r>
      <w:r w:rsidRPr="00380B40">
        <w:rPr>
          <w:lang w:val="en-GB"/>
        </w:rPr>
        <w:t>submitting</w:t>
      </w:r>
      <w:r w:rsidRPr="00380B40">
        <w:rPr>
          <w:spacing w:val="-8"/>
          <w:lang w:val="en-GB"/>
        </w:rPr>
        <w:t xml:space="preserve"> copyrighted </w:t>
      </w:r>
      <w:r w:rsidRPr="00380B40">
        <w:rPr>
          <w:lang w:val="en-GB"/>
        </w:rPr>
        <w:t>software</w:t>
      </w:r>
      <w:r w:rsidRPr="00380B40">
        <w:rPr>
          <w:spacing w:val="-7"/>
          <w:lang w:val="en-GB"/>
        </w:rPr>
        <w:t xml:space="preserve"> </w:t>
      </w:r>
      <w:r w:rsidRPr="00380B40">
        <w:rPr>
          <w:lang w:val="en-GB"/>
        </w:rPr>
        <w:t>for</w:t>
      </w:r>
      <w:r w:rsidRPr="00380B40">
        <w:rPr>
          <w:spacing w:val="-7"/>
          <w:lang w:val="en-GB"/>
        </w:rPr>
        <w:t xml:space="preserve"> </w:t>
      </w:r>
      <w:r w:rsidRPr="00380B40">
        <w:rPr>
          <w:lang w:val="en-GB"/>
        </w:rPr>
        <w:t>incorporation</w:t>
      </w:r>
      <w:r w:rsidRPr="00380B40">
        <w:rPr>
          <w:spacing w:val="-8"/>
          <w:lang w:val="en-GB"/>
        </w:rPr>
        <w:t xml:space="preserve"> </w:t>
      </w:r>
      <w:r w:rsidRPr="00380B40">
        <w:rPr>
          <w:lang w:val="en-GB"/>
        </w:rPr>
        <w:t>in</w:t>
      </w:r>
      <w:r w:rsidRPr="00380B40">
        <w:rPr>
          <w:spacing w:val="-7"/>
          <w:lang w:val="en-GB"/>
        </w:rPr>
        <w:t xml:space="preserve"> </w:t>
      </w:r>
      <w:r w:rsidRPr="00380B40">
        <w:rPr>
          <w:lang w:val="en-GB"/>
        </w:rPr>
        <w:t>the</w:t>
      </w:r>
      <w:r w:rsidRPr="00380B40">
        <w:rPr>
          <w:spacing w:val="-8"/>
          <w:lang w:val="en-GB"/>
        </w:rPr>
        <w:t xml:space="preserve"> </w:t>
      </w:r>
      <w:r w:rsidRPr="00380B40">
        <w:rPr>
          <w:lang w:val="en-GB"/>
        </w:rPr>
        <w:t>draft</w:t>
      </w:r>
      <w:r w:rsidRPr="00380B40">
        <w:rPr>
          <w:spacing w:val="-6"/>
          <w:lang w:val="en-GB"/>
        </w:rPr>
        <w:t xml:space="preserve"> </w:t>
      </w:r>
      <w:r w:rsidRPr="00380B40">
        <w:rPr>
          <w:lang w:val="en-GB"/>
        </w:rPr>
        <w:t>Recommendation</w:t>
      </w:r>
      <w:r w:rsidRPr="00380B40">
        <w:rPr>
          <w:spacing w:val="-8"/>
          <w:lang w:val="en-GB"/>
        </w:rPr>
        <w:t xml:space="preserve"> </w:t>
      </w:r>
      <w:r w:rsidRPr="00380B40">
        <w:rPr>
          <w:lang w:val="en-GB"/>
        </w:rPr>
        <w:t>is</w:t>
      </w:r>
      <w:r w:rsidRPr="00380B40">
        <w:rPr>
          <w:spacing w:val="-7"/>
          <w:lang w:val="en-GB"/>
        </w:rPr>
        <w:t xml:space="preserve"> </w:t>
      </w:r>
      <w:r w:rsidRPr="00380B40">
        <w:rPr>
          <w:lang w:val="en-GB"/>
        </w:rPr>
        <w:t>required</w:t>
      </w:r>
      <w:r w:rsidRPr="00380B40">
        <w:rPr>
          <w:spacing w:val="75"/>
          <w:lang w:val="en-GB"/>
        </w:rPr>
        <w:t xml:space="preserve"> </w:t>
      </w:r>
      <w:r w:rsidRPr="00380B40">
        <w:rPr>
          <w:lang w:val="en-GB"/>
        </w:rPr>
        <w:t>to</w:t>
      </w:r>
      <w:r w:rsidRPr="00380B40">
        <w:rPr>
          <w:spacing w:val="41"/>
          <w:lang w:val="en-GB"/>
        </w:rPr>
        <w:t xml:space="preserve"> </w:t>
      </w:r>
      <w:r w:rsidRPr="00380B40">
        <w:rPr>
          <w:lang w:val="en-GB"/>
        </w:rPr>
        <w:t>submit</w:t>
      </w:r>
      <w:r w:rsidRPr="00380B40">
        <w:rPr>
          <w:spacing w:val="41"/>
          <w:lang w:val="en-GB"/>
        </w:rPr>
        <w:t xml:space="preserve"> </w:t>
      </w:r>
      <w:r w:rsidRPr="00380B40">
        <w:rPr>
          <w:lang w:val="en-GB"/>
        </w:rPr>
        <w:t>a</w:t>
      </w:r>
      <w:r w:rsidRPr="00380B40">
        <w:rPr>
          <w:spacing w:val="39"/>
          <w:lang w:val="en-GB"/>
        </w:rPr>
        <w:t xml:space="preserve"> </w:t>
      </w:r>
      <w:r w:rsidRPr="00380B40">
        <w:rPr>
          <w:lang w:val="en-GB"/>
        </w:rPr>
        <w:t>software</w:t>
      </w:r>
      <w:r w:rsidRPr="00380B40">
        <w:rPr>
          <w:spacing w:val="41"/>
          <w:lang w:val="en-GB"/>
        </w:rPr>
        <w:t xml:space="preserve"> </w:t>
      </w:r>
      <w:r w:rsidRPr="00380B40">
        <w:rPr>
          <w:lang w:val="en-GB"/>
        </w:rPr>
        <w:t>copyright</w:t>
      </w:r>
      <w:r w:rsidRPr="00380B40">
        <w:rPr>
          <w:spacing w:val="41"/>
          <w:lang w:val="en-GB"/>
        </w:rPr>
        <w:t xml:space="preserve"> </w:t>
      </w:r>
      <w:r w:rsidRPr="00380B40">
        <w:rPr>
          <w:lang w:val="en-GB"/>
        </w:rPr>
        <w:t>statement</w:t>
      </w:r>
      <w:r w:rsidRPr="00380B40">
        <w:rPr>
          <w:spacing w:val="40"/>
          <w:lang w:val="en-GB"/>
        </w:rPr>
        <w:t xml:space="preserve"> </w:t>
      </w:r>
      <w:r w:rsidRPr="00380B40">
        <w:rPr>
          <w:lang w:val="en-GB"/>
        </w:rPr>
        <w:t>and</w:t>
      </w:r>
      <w:r w:rsidRPr="00380B40">
        <w:rPr>
          <w:spacing w:val="42"/>
          <w:lang w:val="en-GB"/>
        </w:rPr>
        <w:t xml:space="preserve"> </w:t>
      </w:r>
      <w:r w:rsidRPr="00380B40">
        <w:rPr>
          <w:lang w:val="en-GB"/>
        </w:rPr>
        <w:t>licensing</w:t>
      </w:r>
      <w:r w:rsidRPr="00380B40">
        <w:rPr>
          <w:spacing w:val="41"/>
          <w:lang w:val="en-GB"/>
        </w:rPr>
        <w:t xml:space="preserve"> </w:t>
      </w:r>
      <w:r w:rsidRPr="00380B40">
        <w:rPr>
          <w:lang w:val="en-GB"/>
        </w:rPr>
        <w:t>declaration</w:t>
      </w:r>
      <w:r w:rsidRPr="00380B40">
        <w:rPr>
          <w:spacing w:val="40"/>
          <w:lang w:val="en-GB"/>
        </w:rPr>
        <w:t xml:space="preserve"> </w:t>
      </w:r>
      <w:r w:rsidRPr="00380B40">
        <w:rPr>
          <w:lang w:val="en-GB"/>
        </w:rPr>
        <w:t>form</w:t>
      </w:r>
      <w:r w:rsidRPr="00380B40">
        <w:rPr>
          <w:spacing w:val="41"/>
          <w:lang w:val="en-GB"/>
        </w:rPr>
        <w:t xml:space="preserve"> </w:t>
      </w:r>
      <w:r w:rsidRPr="00380B40">
        <w:rPr>
          <w:lang w:val="en-GB"/>
        </w:rPr>
        <w:t>available</w:t>
      </w:r>
      <w:r w:rsidRPr="00380B40">
        <w:rPr>
          <w:spacing w:val="42"/>
          <w:lang w:val="en-GB"/>
        </w:rPr>
        <w:t xml:space="preserve"> </w:t>
      </w:r>
      <w:r w:rsidRPr="00380B40">
        <w:rPr>
          <w:lang w:val="en-GB"/>
        </w:rPr>
        <w:t>at</w:t>
      </w:r>
      <w:r w:rsidRPr="00380B40">
        <w:rPr>
          <w:spacing w:val="41"/>
          <w:lang w:val="en-GB"/>
        </w:rPr>
        <w:t xml:space="preserve"> </w:t>
      </w:r>
      <w:r w:rsidRPr="00380B40">
        <w:rPr>
          <w:lang w:val="en-GB"/>
        </w:rPr>
        <w:t>the</w:t>
      </w:r>
      <w:r w:rsidRPr="00380B40">
        <w:rPr>
          <w:spacing w:val="44"/>
          <w:lang w:val="en-GB"/>
        </w:rPr>
        <w:t xml:space="preserve"> </w:t>
      </w:r>
      <w:r w:rsidRPr="00380B40">
        <w:rPr>
          <w:spacing w:val="1"/>
          <w:lang w:val="en-GB"/>
        </w:rPr>
        <w:t>ITU</w:t>
      </w:r>
      <w:r w:rsidRPr="00380B40">
        <w:rPr>
          <w:lang w:val="en-GB"/>
        </w:rPr>
        <w:noBreakHyphen/>
      </w:r>
      <w:r w:rsidRPr="00380B40">
        <w:rPr>
          <w:spacing w:val="1"/>
          <w:lang w:val="en-GB"/>
        </w:rPr>
        <w:t>T</w:t>
      </w:r>
      <w:r w:rsidRPr="00380B40">
        <w:rPr>
          <w:spacing w:val="65"/>
          <w:lang w:val="en-GB"/>
        </w:rPr>
        <w:t xml:space="preserve"> </w:t>
      </w:r>
      <w:r w:rsidRPr="00380B40">
        <w:rPr>
          <w:lang w:val="en-GB"/>
        </w:rPr>
        <w:t>website.</w:t>
      </w:r>
      <w:r w:rsidRPr="00380B40">
        <w:rPr>
          <w:spacing w:val="-12"/>
          <w:lang w:val="en-GB"/>
        </w:rPr>
        <w:t xml:space="preserve"> </w:t>
      </w:r>
      <w:r w:rsidRPr="00380B40">
        <w:rPr>
          <w:lang w:val="en-GB"/>
        </w:rPr>
        <w:t>The</w:t>
      </w:r>
      <w:r w:rsidRPr="00380B40">
        <w:rPr>
          <w:spacing w:val="-14"/>
          <w:lang w:val="en-GB"/>
        </w:rPr>
        <w:t xml:space="preserve"> </w:t>
      </w:r>
      <w:r w:rsidRPr="00380B40">
        <w:rPr>
          <w:lang w:val="en-GB"/>
        </w:rPr>
        <w:t>form</w:t>
      </w:r>
      <w:r w:rsidRPr="00380B40">
        <w:rPr>
          <w:spacing w:val="-12"/>
          <w:lang w:val="en-GB"/>
        </w:rPr>
        <w:t xml:space="preserve"> </w:t>
      </w:r>
      <w:r w:rsidRPr="00380B40">
        <w:rPr>
          <w:lang w:val="en-GB"/>
        </w:rPr>
        <w:t>must</w:t>
      </w:r>
      <w:r w:rsidRPr="00380B40">
        <w:rPr>
          <w:spacing w:val="-12"/>
          <w:lang w:val="en-GB"/>
        </w:rPr>
        <w:t xml:space="preserve"> </w:t>
      </w:r>
      <w:r w:rsidRPr="00380B40">
        <w:rPr>
          <w:spacing w:val="-2"/>
          <w:lang w:val="en-GB"/>
        </w:rPr>
        <w:t>be</w:t>
      </w:r>
      <w:r w:rsidRPr="00380B40">
        <w:rPr>
          <w:spacing w:val="-13"/>
          <w:lang w:val="en-GB"/>
        </w:rPr>
        <w:t xml:space="preserve"> </w:t>
      </w:r>
      <w:r w:rsidRPr="00380B40">
        <w:rPr>
          <w:lang w:val="en-GB"/>
        </w:rPr>
        <w:t>provided</w:t>
      </w:r>
      <w:r w:rsidRPr="00380B40">
        <w:rPr>
          <w:spacing w:val="-12"/>
          <w:lang w:val="en-GB"/>
        </w:rPr>
        <w:t xml:space="preserve"> </w:t>
      </w:r>
      <w:r w:rsidRPr="00380B40">
        <w:rPr>
          <w:lang w:val="en-GB"/>
        </w:rPr>
        <w:t>to</w:t>
      </w:r>
      <w:r w:rsidRPr="00380B40">
        <w:rPr>
          <w:spacing w:val="-12"/>
          <w:lang w:val="en-GB"/>
        </w:rPr>
        <w:t xml:space="preserve"> </w:t>
      </w:r>
      <w:r w:rsidRPr="00380B40">
        <w:rPr>
          <w:lang w:val="en-GB"/>
        </w:rPr>
        <w:t>TSB</w:t>
      </w:r>
      <w:r w:rsidRPr="00380B40">
        <w:rPr>
          <w:spacing w:val="-14"/>
          <w:lang w:val="en-GB"/>
        </w:rPr>
        <w:t xml:space="preserve"> </w:t>
      </w:r>
      <w:r w:rsidRPr="00380B40">
        <w:rPr>
          <w:lang w:val="en-GB"/>
        </w:rPr>
        <w:t>at</w:t>
      </w:r>
      <w:r w:rsidRPr="00380B40">
        <w:rPr>
          <w:spacing w:val="-12"/>
          <w:lang w:val="en-GB"/>
        </w:rPr>
        <w:t xml:space="preserve"> </w:t>
      </w:r>
      <w:r w:rsidRPr="00380B40">
        <w:rPr>
          <w:lang w:val="en-GB"/>
        </w:rPr>
        <w:t>the</w:t>
      </w:r>
      <w:r w:rsidRPr="00380B40">
        <w:rPr>
          <w:spacing w:val="-13"/>
          <w:lang w:val="en-GB"/>
        </w:rPr>
        <w:t xml:space="preserve"> </w:t>
      </w:r>
      <w:r w:rsidRPr="00380B40">
        <w:rPr>
          <w:lang w:val="en-GB"/>
        </w:rPr>
        <w:t>same</w:t>
      </w:r>
      <w:r w:rsidRPr="00380B40">
        <w:rPr>
          <w:spacing w:val="-13"/>
          <w:lang w:val="en-GB"/>
        </w:rPr>
        <w:t xml:space="preserve"> </w:t>
      </w:r>
      <w:r w:rsidRPr="00380B40">
        <w:rPr>
          <w:lang w:val="en-GB"/>
        </w:rPr>
        <w:t>time</w:t>
      </w:r>
      <w:r w:rsidRPr="00380B40">
        <w:rPr>
          <w:spacing w:val="-13"/>
          <w:lang w:val="en-GB"/>
        </w:rPr>
        <w:t xml:space="preserve"> </w:t>
      </w:r>
      <w:r w:rsidRPr="00380B40">
        <w:rPr>
          <w:lang w:val="en-GB"/>
        </w:rPr>
        <w:t>that</w:t>
      </w:r>
      <w:r w:rsidRPr="00380B40">
        <w:rPr>
          <w:spacing w:val="-12"/>
          <w:lang w:val="en-GB"/>
        </w:rPr>
        <w:t xml:space="preserve"> </w:t>
      </w:r>
      <w:r w:rsidRPr="00380B40">
        <w:rPr>
          <w:lang w:val="en-GB"/>
        </w:rPr>
        <w:t>the</w:t>
      </w:r>
      <w:r w:rsidRPr="00380B40">
        <w:rPr>
          <w:spacing w:val="-13"/>
          <w:lang w:val="en-GB"/>
        </w:rPr>
        <w:t xml:space="preserve"> </w:t>
      </w:r>
      <w:r w:rsidRPr="00380B40">
        <w:rPr>
          <w:lang w:val="en-GB"/>
        </w:rPr>
        <w:t>contributor</w:t>
      </w:r>
      <w:r w:rsidRPr="00380B40">
        <w:rPr>
          <w:spacing w:val="-13"/>
          <w:lang w:val="en-GB"/>
        </w:rPr>
        <w:t xml:space="preserve"> </w:t>
      </w:r>
      <w:r w:rsidRPr="00380B40">
        <w:rPr>
          <w:lang w:val="en-GB"/>
        </w:rPr>
        <w:t>submits</w:t>
      </w:r>
      <w:r w:rsidRPr="00380B40">
        <w:rPr>
          <w:spacing w:val="-15"/>
          <w:lang w:val="en-GB"/>
        </w:rPr>
        <w:t xml:space="preserve"> </w:t>
      </w:r>
      <w:r w:rsidRPr="00380B40">
        <w:rPr>
          <w:lang w:val="en-GB"/>
        </w:rPr>
        <w:t>the</w:t>
      </w:r>
      <w:r w:rsidRPr="00380B40">
        <w:rPr>
          <w:spacing w:val="-13"/>
          <w:lang w:val="en-GB"/>
        </w:rPr>
        <w:t xml:space="preserve"> copyrighted </w:t>
      </w:r>
      <w:r w:rsidRPr="00380B40">
        <w:rPr>
          <w:lang w:val="en-GB"/>
        </w:rPr>
        <w:t>software</w:t>
      </w:r>
      <w:r w:rsidR="00FD162E" w:rsidRPr="00380B40">
        <w:rPr>
          <w:rStyle w:val="FootnoteReference"/>
          <w:lang w:val="en-GB"/>
        </w:rPr>
        <w:footnoteReference w:id="61"/>
      </w:r>
      <w:r w:rsidRPr="00380B40">
        <w:rPr>
          <w:lang w:val="en-GB"/>
        </w:rPr>
        <w:t>.</w:t>
      </w:r>
    </w:p>
    <w:p w14:paraId="353953B2" w14:textId="06627526" w:rsidR="0004766B" w:rsidRDefault="0004766B" w:rsidP="00C12517">
      <w:pPr>
        <w:rPr>
          <w:lang w:val="en-GB"/>
        </w:rPr>
      </w:pPr>
    </w:p>
    <w:p w14:paraId="0A34E3F6" w14:textId="77777777" w:rsidR="0004766B" w:rsidRPr="00380B40" w:rsidRDefault="0004766B" w:rsidP="00C12517">
      <w:pPr>
        <w:rPr>
          <w:lang w:val="en-GB"/>
        </w:rPr>
      </w:pPr>
    </w:p>
    <w:p w14:paraId="5E2D08D3" w14:textId="77777777" w:rsidR="00E96E4D" w:rsidRPr="00380B40" w:rsidRDefault="00E96E4D" w:rsidP="00C12517">
      <w:pPr>
        <w:rPr>
          <w:b/>
          <w:bCs/>
          <w:lang w:val="en-GB"/>
        </w:rPr>
      </w:pPr>
      <w:r w:rsidRPr="00380B40">
        <w:rPr>
          <w:b/>
          <w:bCs/>
          <w:lang w:val="en-GB"/>
        </w:rPr>
        <w:br w:type="page"/>
      </w:r>
    </w:p>
    <w:p w14:paraId="00B86BCF" w14:textId="77777777" w:rsidR="00C12517" w:rsidRPr="00380B40" w:rsidRDefault="00C12517" w:rsidP="00C12517">
      <w:pPr>
        <w:rPr>
          <w:lang w:val="en-GB"/>
        </w:rPr>
      </w:pPr>
      <w:r w:rsidRPr="00380B40">
        <w:rPr>
          <w:b/>
          <w:bCs/>
          <w:lang w:val="en-GB"/>
        </w:rPr>
        <w:t>3.1.9</w:t>
      </w:r>
      <w:r w:rsidRPr="00380B40">
        <w:rPr>
          <w:lang w:val="en-GB"/>
        </w:rPr>
        <w:tab/>
        <w:t>The full text of contributions</w:t>
      </w:r>
      <w:r w:rsidRPr="00380B40">
        <w:rPr>
          <w:spacing w:val="-5"/>
          <w:lang w:val="en-GB"/>
        </w:rPr>
        <w:t xml:space="preserve"> </w:t>
      </w:r>
      <w:r w:rsidRPr="00380B40">
        <w:rPr>
          <w:lang w:val="en-GB"/>
        </w:rPr>
        <w:t>that</w:t>
      </w:r>
      <w:r w:rsidRPr="00380B40">
        <w:rPr>
          <w:spacing w:val="-5"/>
          <w:lang w:val="en-GB"/>
        </w:rPr>
        <w:t xml:space="preserve"> </w:t>
      </w:r>
      <w:r w:rsidRPr="00380B40">
        <w:rPr>
          <w:spacing w:val="-1"/>
          <w:lang w:val="en-GB"/>
        </w:rPr>
        <w:t>are</w:t>
      </w:r>
      <w:r w:rsidRPr="00380B40">
        <w:rPr>
          <w:spacing w:val="-7"/>
          <w:lang w:val="en-GB"/>
        </w:rPr>
        <w:t xml:space="preserve"> </w:t>
      </w:r>
      <w:r w:rsidRPr="00380B40">
        <w:rPr>
          <w:lang w:val="en-GB"/>
        </w:rPr>
        <w:t>to</w:t>
      </w:r>
      <w:r w:rsidRPr="00380B40">
        <w:rPr>
          <w:spacing w:val="-7"/>
          <w:lang w:val="en-GB"/>
        </w:rPr>
        <w:t xml:space="preserve"> </w:t>
      </w:r>
      <w:r w:rsidRPr="00380B40">
        <w:rPr>
          <w:lang w:val="en-GB"/>
        </w:rPr>
        <w:t>be</w:t>
      </w:r>
      <w:r w:rsidRPr="00380B40">
        <w:rPr>
          <w:spacing w:val="-6"/>
          <w:lang w:val="en-GB"/>
        </w:rPr>
        <w:t xml:space="preserve"> </w:t>
      </w:r>
      <w:r w:rsidRPr="00380B40">
        <w:rPr>
          <w:spacing w:val="-1"/>
          <w:lang w:val="en-GB"/>
        </w:rPr>
        <w:t>considered</w:t>
      </w:r>
      <w:r w:rsidRPr="00380B40">
        <w:rPr>
          <w:spacing w:val="-3"/>
          <w:lang w:val="en-GB"/>
        </w:rPr>
        <w:t xml:space="preserve"> </w:t>
      </w:r>
      <w:r w:rsidRPr="00380B40">
        <w:rPr>
          <w:spacing w:val="-1"/>
          <w:lang w:val="en-GB"/>
        </w:rPr>
        <w:t>at</w:t>
      </w:r>
      <w:r w:rsidRPr="00380B40">
        <w:rPr>
          <w:spacing w:val="-5"/>
          <w:lang w:val="en-GB"/>
        </w:rPr>
        <w:t xml:space="preserve"> </w:t>
      </w:r>
      <w:r w:rsidRPr="00380B40">
        <w:rPr>
          <w:lang w:val="en-GB"/>
        </w:rPr>
        <w:t>a</w:t>
      </w:r>
      <w:r w:rsidRPr="00380B40">
        <w:rPr>
          <w:spacing w:val="-6"/>
          <w:lang w:val="en-GB"/>
        </w:rPr>
        <w:t xml:space="preserve"> </w:t>
      </w:r>
      <w:r w:rsidRPr="00380B40">
        <w:rPr>
          <w:lang w:val="en-GB"/>
        </w:rPr>
        <w:t>study</w:t>
      </w:r>
      <w:r w:rsidRPr="00380B40">
        <w:rPr>
          <w:spacing w:val="-8"/>
          <w:lang w:val="en-GB"/>
        </w:rPr>
        <w:t xml:space="preserve"> </w:t>
      </w:r>
      <w:r w:rsidRPr="00380B40">
        <w:rPr>
          <w:spacing w:val="-1"/>
          <w:lang w:val="en-GB"/>
        </w:rPr>
        <w:t>group</w:t>
      </w:r>
      <w:r w:rsidRPr="00380B40">
        <w:rPr>
          <w:spacing w:val="-6"/>
          <w:lang w:val="en-GB"/>
        </w:rPr>
        <w:t xml:space="preserve"> </w:t>
      </w:r>
      <w:r w:rsidRPr="00380B40">
        <w:rPr>
          <w:lang w:val="en-GB"/>
        </w:rPr>
        <w:t>or</w:t>
      </w:r>
      <w:r w:rsidRPr="00380B40">
        <w:rPr>
          <w:spacing w:val="-6"/>
          <w:lang w:val="en-GB"/>
        </w:rPr>
        <w:t xml:space="preserve"> </w:t>
      </w:r>
      <w:r w:rsidRPr="00380B40">
        <w:rPr>
          <w:lang w:val="en-GB"/>
        </w:rPr>
        <w:t>working</w:t>
      </w:r>
      <w:r w:rsidRPr="00380B40">
        <w:rPr>
          <w:spacing w:val="-8"/>
          <w:lang w:val="en-GB"/>
        </w:rPr>
        <w:t xml:space="preserve"> </w:t>
      </w:r>
      <w:r w:rsidRPr="00380B40">
        <w:rPr>
          <w:lang w:val="en-GB"/>
        </w:rPr>
        <w:t>party</w:t>
      </w:r>
      <w:r w:rsidRPr="00380B40">
        <w:rPr>
          <w:spacing w:val="-8"/>
          <w:lang w:val="en-GB"/>
        </w:rPr>
        <w:t xml:space="preserve"> </w:t>
      </w:r>
      <w:r w:rsidRPr="00380B40">
        <w:rPr>
          <w:spacing w:val="-1"/>
          <w:lang w:val="en-GB"/>
        </w:rPr>
        <w:t>meeting</w:t>
      </w:r>
      <w:r w:rsidRPr="00380B40">
        <w:rPr>
          <w:spacing w:val="-8"/>
          <w:lang w:val="en-GB"/>
        </w:rPr>
        <w:t xml:space="preserve"> </w:t>
      </w:r>
      <w:r w:rsidRPr="00380B40">
        <w:rPr>
          <w:spacing w:val="-1"/>
          <w:lang w:val="en-GB"/>
        </w:rPr>
        <w:t>shall</w:t>
      </w:r>
      <w:r w:rsidRPr="00380B40">
        <w:rPr>
          <w:spacing w:val="-5"/>
          <w:lang w:val="en-GB"/>
        </w:rPr>
        <w:t xml:space="preserve"> </w:t>
      </w:r>
      <w:r w:rsidRPr="00380B40">
        <w:rPr>
          <w:spacing w:val="-1"/>
          <w:lang w:val="en-GB"/>
        </w:rPr>
        <w:t>reach</w:t>
      </w:r>
      <w:r w:rsidRPr="00380B40">
        <w:rPr>
          <w:spacing w:val="61"/>
          <w:lang w:val="en-GB"/>
        </w:rPr>
        <w:t xml:space="preserve"> </w:t>
      </w:r>
      <w:r w:rsidRPr="00380B40">
        <w:rPr>
          <w:lang w:val="en-GB"/>
        </w:rPr>
        <w:t>TSB</w:t>
      </w:r>
      <w:r w:rsidRPr="00380B40">
        <w:rPr>
          <w:spacing w:val="-2"/>
          <w:lang w:val="en-GB"/>
        </w:rPr>
        <w:t xml:space="preserve"> </w:t>
      </w:r>
      <w:r w:rsidRPr="00380B40">
        <w:rPr>
          <w:spacing w:val="-1"/>
          <w:lang w:val="en-GB"/>
        </w:rPr>
        <w:t>at</w:t>
      </w:r>
      <w:r w:rsidRPr="00380B40">
        <w:rPr>
          <w:lang w:val="en-GB"/>
        </w:rPr>
        <w:t xml:space="preserve"> </w:t>
      </w:r>
      <w:r w:rsidRPr="00380B40">
        <w:rPr>
          <w:spacing w:val="-1"/>
          <w:lang w:val="en-GB"/>
        </w:rPr>
        <w:t>least</w:t>
      </w:r>
      <w:r w:rsidRPr="00380B40">
        <w:rPr>
          <w:lang w:val="en-GB"/>
        </w:rPr>
        <w:t xml:space="preserve"> 12 calendar</w:t>
      </w:r>
      <w:r w:rsidRPr="00380B40">
        <w:rPr>
          <w:spacing w:val="1"/>
          <w:lang w:val="en-GB"/>
        </w:rPr>
        <w:t xml:space="preserve"> </w:t>
      </w:r>
      <w:r w:rsidRPr="00380B40">
        <w:rPr>
          <w:spacing w:val="-1"/>
          <w:lang w:val="en-GB"/>
        </w:rPr>
        <w:t>days</w:t>
      </w:r>
      <w:r w:rsidRPr="00380B40">
        <w:rPr>
          <w:lang w:val="en-GB"/>
        </w:rPr>
        <w:t xml:space="preserve"> before</w:t>
      </w:r>
      <w:r w:rsidRPr="00380B40">
        <w:rPr>
          <w:spacing w:val="-1"/>
          <w:lang w:val="en-GB"/>
        </w:rPr>
        <w:t xml:space="preserve"> </w:t>
      </w:r>
      <w:r w:rsidRPr="00380B40">
        <w:rPr>
          <w:lang w:val="en-GB"/>
        </w:rPr>
        <w:t xml:space="preserve">the </w:t>
      </w:r>
      <w:r w:rsidRPr="00380B40">
        <w:rPr>
          <w:spacing w:val="-1"/>
          <w:lang w:val="en-GB"/>
        </w:rPr>
        <w:t>meeting.</w:t>
      </w:r>
      <w:bookmarkStart w:id="672" w:name="_Toc206496686"/>
    </w:p>
    <w:p w14:paraId="3E0C9FEB" w14:textId="77777777" w:rsidR="00C12517" w:rsidRPr="00380B40" w:rsidRDefault="00C12517" w:rsidP="00C12517">
      <w:pPr>
        <w:pStyle w:val="Heading2"/>
        <w:tabs>
          <w:tab w:val="left" w:pos="908"/>
        </w:tabs>
        <w:rPr>
          <w:b w:val="0"/>
          <w:bCs/>
          <w:lang w:val="en-GB"/>
        </w:rPr>
      </w:pPr>
      <w:bookmarkStart w:id="673" w:name="_Toc471716650"/>
      <w:bookmarkStart w:id="674" w:name="_Toc20738323"/>
      <w:bookmarkStart w:id="675" w:name="_Toc21093737"/>
      <w:bookmarkStart w:id="676" w:name="_Toc22280346"/>
      <w:bookmarkStart w:id="677" w:name="_Toc111636844"/>
      <w:r w:rsidRPr="00380B40">
        <w:rPr>
          <w:lang w:val="en-GB"/>
        </w:rPr>
        <w:t>3.2</w:t>
      </w:r>
      <w:r w:rsidRPr="00380B40">
        <w:rPr>
          <w:lang w:val="en-GB"/>
        </w:rPr>
        <w:tab/>
      </w:r>
      <w:bookmarkStart w:id="678" w:name="_Toc532428471"/>
      <w:r w:rsidRPr="00380B40">
        <w:rPr>
          <w:spacing w:val="-1"/>
          <w:lang w:val="en-GB"/>
        </w:rPr>
        <w:t>Processing</w:t>
      </w:r>
      <w:r w:rsidRPr="00380B40">
        <w:rPr>
          <w:lang w:val="en-GB"/>
        </w:rPr>
        <w:t xml:space="preserve"> of</w:t>
      </w:r>
      <w:r w:rsidRPr="00380B40">
        <w:rPr>
          <w:spacing w:val="1"/>
          <w:lang w:val="en-GB"/>
        </w:rPr>
        <w:t xml:space="preserve"> </w:t>
      </w:r>
      <w:r w:rsidRPr="00380B40">
        <w:rPr>
          <w:spacing w:val="-1"/>
          <w:lang w:val="en-GB"/>
        </w:rPr>
        <w:t>contributions</w:t>
      </w:r>
      <w:bookmarkEnd w:id="672"/>
      <w:bookmarkEnd w:id="673"/>
      <w:bookmarkEnd w:id="674"/>
      <w:bookmarkEnd w:id="675"/>
      <w:bookmarkEnd w:id="676"/>
      <w:bookmarkEnd w:id="677"/>
      <w:bookmarkEnd w:id="678"/>
    </w:p>
    <w:p w14:paraId="055FCB4C" w14:textId="77777777" w:rsidR="00C12517" w:rsidRPr="00380B40" w:rsidRDefault="00C12517" w:rsidP="00C12517">
      <w:pPr>
        <w:rPr>
          <w:lang w:val="en-GB"/>
        </w:rPr>
      </w:pPr>
      <w:r w:rsidRPr="00380B40">
        <w:rPr>
          <w:b/>
          <w:bCs/>
          <w:lang w:val="en-GB"/>
        </w:rPr>
        <w:t>3.2.1</w:t>
      </w:r>
      <w:r w:rsidRPr="00380B40">
        <w:rPr>
          <w:lang w:val="en-GB"/>
        </w:rPr>
        <w:tab/>
        <w:t>Contributions</w:t>
      </w:r>
      <w:r w:rsidRPr="00380B40">
        <w:rPr>
          <w:spacing w:val="12"/>
          <w:lang w:val="en-GB"/>
        </w:rPr>
        <w:t xml:space="preserve"> </w:t>
      </w:r>
      <w:r w:rsidRPr="00380B40">
        <w:rPr>
          <w:spacing w:val="-1"/>
          <w:lang w:val="en-GB"/>
        </w:rPr>
        <w:t>received</w:t>
      </w:r>
      <w:r w:rsidRPr="00380B40">
        <w:rPr>
          <w:spacing w:val="13"/>
          <w:lang w:val="en-GB"/>
        </w:rPr>
        <w:t xml:space="preserve"> </w:t>
      </w:r>
      <w:r w:rsidRPr="00380B40">
        <w:rPr>
          <w:spacing w:val="-1"/>
          <w:lang w:val="en-GB"/>
        </w:rPr>
        <w:t>at</w:t>
      </w:r>
      <w:r w:rsidRPr="00380B40">
        <w:rPr>
          <w:spacing w:val="12"/>
          <w:lang w:val="en-GB"/>
        </w:rPr>
        <w:t xml:space="preserve"> </w:t>
      </w:r>
      <w:r w:rsidRPr="00380B40">
        <w:rPr>
          <w:spacing w:val="-1"/>
          <w:lang w:val="en-GB"/>
        </w:rPr>
        <w:t>least</w:t>
      </w:r>
      <w:r w:rsidRPr="00380B40">
        <w:rPr>
          <w:spacing w:val="12"/>
          <w:lang w:val="en-GB"/>
        </w:rPr>
        <w:t xml:space="preserve"> </w:t>
      </w:r>
      <w:r w:rsidRPr="00380B40">
        <w:rPr>
          <w:lang w:val="en-GB"/>
        </w:rPr>
        <w:t>two</w:t>
      </w:r>
      <w:r w:rsidRPr="00380B40">
        <w:rPr>
          <w:spacing w:val="11"/>
          <w:lang w:val="en-GB"/>
        </w:rPr>
        <w:t xml:space="preserve"> </w:t>
      </w:r>
      <w:r w:rsidRPr="00380B40">
        <w:rPr>
          <w:lang w:val="en-GB"/>
        </w:rPr>
        <w:t>months</w:t>
      </w:r>
      <w:r w:rsidRPr="00380B40">
        <w:rPr>
          <w:spacing w:val="12"/>
          <w:lang w:val="en-GB"/>
        </w:rPr>
        <w:t xml:space="preserve"> </w:t>
      </w:r>
      <w:r w:rsidRPr="00380B40">
        <w:rPr>
          <w:spacing w:val="-1"/>
          <w:lang w:val="en-GB"/>
        </w:rPr>
        <w:t>before</w:t>
      </w:r>
      <w:r w:rsidRPr="00380B40">
        <w:rPr>
          <w:spacing w:val="10"/>
          <w:lang w:val="en-GB"/>
        </w:rPr>
        <w:t xml:space="preserve"> </w:t>
      </w:r>
      <w:r w:rsidRPr="00380B40">
        <w:rPr>
          <w:lang w:val="en-GB"/>
        </w:rPr>
        <w:t>a</w:t>
      </w:r>
      <w:r w:rsidRPr="00380B40">
        <w:rPr>
          <w:spacing w:val="10"/>
          <w:lang w:val="en-GB"/>
        </w:rPr>
        <w:t xml:space="preserve"> </w:t>
      </w:r>
      <w:r w:rsidRPr="00380B40">
        <w:rPr>
          <w:lang w:val="en-GB"/>
        </w:rPr>
        <w:t>meeting</w:t>
      </w:r>
      <w:r w:rsidRPr="00380B40">
        <w:rPr>
          <w:spacing w:val="9"/>
          <w:lang w:val="en-GB"/>
        </w:rPr>
        <w:t xml:space="preserve"> </w:t>
      </w:r>
      <w:r w:rsidRPr="00380B40">
        <w:rPr>
          <w:spacing w:val="1"/>
          <w:lang w:val="en-GB"/>
        </w:rPr>
        <w:t>may</w:t>
      </w:r>
      <w:r w:rsidRPr="00380B40">
        <w:rPr>
          <w:lang w:val="en-GB"/>
        </w:rPr>
        <w:t xml:space="preserve"> </w:t>
      </w:r>
      <w:r w:rsidRPr="00380B40">
        <w:rPr>
          <w:spacing w:val="1"/>
          <w:lang w:val="en-GB"/>
        </w:rPr>
        <w:t>be</w:t>
      </w:r>
      <w:r w:rsidRPr="00380B40">
        <w:rPr>
          <w:spacing w:val="12"/>
          <w:lang w:val="en-GB"/>
        </w:rPr>
        <w:t xml:space="preserve"> </w:t>
      </w:r>
      <w:r w:rsidRPr="00380B40">
        <w:rPr>
          <w:spacing w:val="-1"/>
          <w:lang w:val="en-GB"/>
        </w:rPr>
        <w:t>translated</w:t>
      </w:r>
      <w:r w:rsidRPr="00380B40">
        <w:rPr>
          <w:lang w:val="en-GB"/>
        </w:rPr>
        <w:t xml:space="preserve"> (see</w:t>
      </w:r>
      <w:r w:rsidRPr="00380B40">
        <w:rPr>
          <w:spacing w:val="39"/>
          <w:lang w:val="en-GB"/>
        </w:rPr>
        <w:t xml:space="preserve"> </w:t>
      </w:r>
      <w:r w:rsidRPr="00380B40">
        <w:rPr>
          <w:spacing w:val="-1"/>
          <w:lang w:val="en-GB"/>
        </w:rPr>
        <w:t>clause</w:t>
      </w:r>
      <w:r w:rsidRPr="00380B40">
        <w:rPr>
          <w:lang w:val="en-GB"/>
        </w:rPr>
        <w:t> 3.2.2)</w:t>
      </w:r>
      <w:r w:rsidRPr="00380B40">
        <w:rPr>
          <w:spacing w:val="11"/>
          <w:lang w:val="en-GB"/>
        </w:rPr>
        <w:t xml:space="preserve"> </w:t>
      </w:r>
      <w:r w:rsidRPr="00380B40">
        <w:rPr>
          <w:spacing w:val="-1"/>
          <w:lang w:val="en-GB"/>
        </w:rPr>
        <w:t>and</w:t>
      </w:r>
      <w:r w:rsidRPr="00380B40">
        <w:rPr>
          <w:spacing w:val="11"/>
          <w:lang w:val="en-GB"/>
        </w:rPr>
        <w:t xml:space="preserve"> </w:t>
      </w:r>
      <w:r w:rsidRPr="00380B40">
        <w:rPr>
          <w:lang w:val="en-GB"/>
        </w:rPr>
        <w:t>will</w:t>
      </w:r>
      <w:r w:rsidRPr="00380B40">
        <w:rPr>
          <w:spacing w:val="10"/>
          <w:lang w:val="en-GB"/>
        </w:rPr>
        <w:t xml:space="preserve"> </w:t>
      </w:r>
      <w:r w:rsidRPr="00380B40">
        <w:rPr>
          <w:lang w:val="en-GB"/>
        </w:rPr>
        <w:t>be</w:t>
      </w:r>
      <w:r w:rsidRPr="00380B40">
        <w:rPr>
          <w:spacing w:val="8"/>
          <w:lang w:val="en-GB"/>
        </w:rPr>
        <w:t xml:space="preserve"> </w:t>
      </w:r>
      <w:r w:rsidRPr="00380B40">
        <w:rPr>
          <w:spacing w:val="-1"/>
          <w:lang w:val="en-GB"/>
        </w:rPr>
        <w:t>posted</w:t>
      </w:r>
      <w:r w:rsidRPr="00380B40">
        <w:rPr>
          <w:spacing w:val="9"/>
          <w:lang w:val="en-GB"/>
        </w:rPr>
        <w:t xml:space="preserve"> </w:t>
      </w:r>
      <w:r w:rsidRPr="00380B40">
        <w:rPr>
          <w:lang w:val="en-GB"/>
        </w:rPr>
        <w:t>in</w:t>
      </w:r>
      <w:r w:rsidRPr="00380B40">
        <w:rPr>
          <w:spacing w:val="9"/>
          <w:lang w:val="en-GB"/>
        </w:rPr>
        <w:t xml:space="preserve"> </w:t>
      </w:r>
      <w:r w:rsidRPr="00380B40">
        <w:rPr>
          <w:lang w:val="en-GB"/>
        </w:rPr>
        <w:t>the</w:t>
      </w:r>
      <w:r w:rsidRPr="00380B40">
        <w:rPr>
          <w:spacing w:val="11"/>
          <w:lang w:val="en-GB"/>
        </w:rPr>
        <w:t xml:space="preserve"> </w:t>
      </w:r>
      <w:r w:rsidRPr="00380B40">
        <w:rPr>
          <w:lang w:val="en-GB"/>
        </w:rPr>
        <w:t>original</w:t>
      </w:r>
      <w:r w:rsidRPr="00380B40">
        <w:rPr>
          <w:spacing w:val="9"/>
          <w:lang w:val="en-GB"/>
        </w:rPr>
        <w:t xml:space="preserve"> </w:t>
      </w:r>
      <w:r w:rsidRPr="00380B40">
        <w:rPr>
          <w:spacing w:val="-1"/>
          <w:lang w:val="en-GB"/>
        </w:rPr>
        <w:t>and,</w:t>
      </w:r>
      <w:r w:rsidRPr="00380B40">
        <w:rPr>
          <w:spacing w:val="9"/>
          <w:lang w:val="en-GB"/>
        </w:rPr>
        <w:t xml:space="preserve"> </w:t>
      </w:r>
      <w:r w:rsidRPr="00380B40">
        <w:rPr>
          <w:lang w:val="en-GB"/>
        </w:rPr>
        <w:t>if</w:t>
      </w:r>
      <w:r w:rsidRPr="00380B40">
        <w:rPr>
          <w:spacing w:val="11"/>
          <w:lang w:val="en-GB"/>
        </w:rPr>
        <w:t xml:space="preserve"> </w:t>
      </w:r>
      <w:r w:rsidRPr="00380B40">
        <w:rPr>
          <w:spacing w:val="-1"/>
          <w:lang w:val="en-GB"/>
        </w:rPr>
        <w:t>applicable,</w:t>
      </w:r>
      <w:r w:rsidRPr="00380B40">
        <w:rPr>
          <w:spacing w:val="11"/>
          <w:lang w:val="en-GB"/>
        </w:rPr>
        <w:t xml:space="preserve"> </w:t>
      </w:r>
      <w:r w:rsidRPr="00380B40">
        <w:rPr>
          <w:lang w:val="en-GB"/>
        </w:rPr>
        <w:t>in</w:t>
      </w:r>
      <w:r w:rsidRPr="00380B40">
        <w:rPr>
          <w:spacing w:val="9"/>
          <w:lang w:val="en-GB"/>
        </w:rPr>
        <w:t xml:space="preserve"> </w:t>
      </w:r>
      <w:r w:rsidRPr="00380B40">
        <w:rPr>
          <w:spacing w:val="-1"/>
          <w:lang w:val="en-GB"/>
        </w:rPr>
        <w:t>translated</w:t>
      </w:r>
      <w:r w:rsidRPr="00380B40">
        <w:rPr>
          <w:spacing w:val="9"/>
          <w:lang w:val="en-GB"/>
        </w:rPr>
        <w:t xml:space="preserve"> </w:t>
      </w:r>
      <w:r w:rsidRPr="00380B40">
        <w:rPr>
          <w:spacing w:val="-1"/>
          <w:lang w:val="en-GB"/>
        </w:rPr>
        <w:t>languages,</w:t>
      </w:r>
      <w:r w:rsidRPr="00380B40">
        <w:rPr>
          <w:spacing w:val="11"/>
          <w:lang w:val="en-GB"/>
        </w:rPr>
        <w:t xml:space="preserve"> </w:t>
      </w:r>
      <w:r w:rsidRPr="00380B40">
        <w:rPr>
          <w:lang w:val="en-GB"/>
        </w:rPr>
        <w:t>on</w:t>
      </w:r>
      <w:r w:rsidRPr="00380B40">
        <w:rPr>
          <w:spacing w:val="79"/>
          <w:lang w:val="en-GB"/>
        </w:rPr>
        <w:t xml:space="preserve"> </w:t>
      </w:r>
      <w:r w:rsidRPr="00380B40">
        <w:rPr>
          <w:lang w:val="en-GB"/>
        </w:rPr>
        <w:t>the</w:t>
      </w:r>
      <w:r w:rsidRPr="00380B40">
        <w:rPr>
          <w:spacing w:val="23"/>
          <w:lang w:val="en-GB"/>
        </w:rPr>
        <w:t xml:space="preserve"> </w:t>
      </w:r>
      <w:r w:rsidRPr="00380B40">
        <w:rPr>
          <w:spacing w:val="-1"/>
          <w:lang w:val="en-GB"/>
        </w:rPr>
        <w:t>web</w:t>
      </w:r>
      <w:r w:rsidRPr="00380B40">
        <w:rPr>
          <w:spacing w:val="23"/>
          <w:lang w:val="en-GB"/>
        </w:rPr>
        <w:t xml:space="preserve"> </w:t>
      </w:r>
      <w:r w:rsidRPr="00380B40">
        <w:rPr>
          <w:spacing w:val="-1"/>
          <w:lang w:val="en-GB"/>
        </w:rPr>
        <w:t>as</w:t>
      </w:r>
      <w:r w:rsidRPr="00380B40">
        <w:rPr>
          <w:spacing w:val="24"/>
          <w:lang w:val="en-GB"/>
        </w:rPr>
        <w:t xml:space="preserve"> </w:t>
      </w:r>
      <w:r w:rsidRPr="00380B40">
        <w:rPr>
          <w:lang w:val="en-GB"/>
        </w:rPr>
        <w:t>soon</w:t>
      </w:r>
      <w:r w:rsidRPr="00380B40">
        <w:rPr>
          <w:spacing w:val="24"/>
          <w:lang w:val="en-GB"/>
        </w:rPr>
        <w:t xml:space="preserve"> </w:t>
      </w:r>
      <w:r w:rsidRPr="00380B40">
        <w:rPr>
          <w:spacing w:val="-1"/>
          <w:lang w:val="en-GB"/>
        </w:rPr>
        <w:t>as</w:t>
      </w:r>
      <w:r w:rsidRPr="00380B40">
        <w:rPr>
          <w:spacing w:val="24"/>
          <w:lang w:val="en-GB"/>
        </w:rPr>
        <w:t xml:space="preserve"> </w:t>
      </w:r>
      <w:r w:rsidRPr="00380B40">
        <w:rPr>
          <w:spacing w:val="-1"/>
          <w:lang w:val="en-GB"/>
        </w:rPr>
        <w:t>practicable</w:t>
      </w:r>
      <w:r w:rsidRPr="00380B40">
        <w:rPr>
          <w:spacing w:val="23"/>
          <w:lang w:val="en-GB"/>
        </w:rPr>
        <w:t xml:space="preserve"> </w:t>
      </w:r>
      <w:r w:rsidRPr="00380B40">
        <w:rPr>
          <w:spacing w:val="-1"/>
          <w:lang w:val="en-GB"/>
        </w:rPr>
        <w:t>after</w:t>
      </w:r>
      <w:r w:rsidRPr="00380B40">
        <w:rPr>
          <w:spacing w:val="23"/>
          <w:lang w:val="en-GB"/>
        </w:rPr>
        <w:t xml:space="preserve"> </w:t>
      </w:r>
      <w:r w:rsidRPr="00380B40">
        <w:rPr>
          <w:spacing w:val="1"/>
          <w:lang w:val="en-GB"/>
        </w:rPr>
        <w:t>they</w:t>
      </w:r>
      <w:r w:rsidRPr="00380B40">
        <w:rPr>
          <w:spacing w:val="18"/>
          <w:lang w:val="en-GB"/>
        </w:rPr>
        <w:t xml:space="preserve"> </w:t>
      </w:r>
      <w:r w:rsidRPr="00380B40">
        <w:rPr>
          <w:lang w:val="en-GB"/>
        </w:rPr>
        <w:t>are</w:t>
      </w:r>
      <w:r w:rsidRPr="00380B40">
        <w:rPr>
          <w:spacing w:val="22"/>
          <w:lang w:val="en-GB"/>
        </w:rPr>
        <w:t xml:space="preserve"> </w:t>
      </w:r>
      <w:r w:rsidRPr="00380B40">
        <w:rPr>
          <w:lang w:val="en-GB"/>
        </w:rPr>
        <w:t>received.</w:t>
      </w:r>
      <w:r w:rsidRPr="00380B40">
        <w:rPr>
          <w:spacing w:val="23"/>
          <w:lang w:val="en-GB"/>
        </w:rPr>
        <w:t xml:space="preserve"> </w:t>
      </w:r>
      <w:r w:rsidRPr="00380B40">
        <w:rPr>
          <w:lang w:val="en-GB"/>
        </w:rPr>
        <w:t>They</w:t>
      </w:r>
      <w:r w:rsidRPr="00380B40">
        <w:rPr>
          <w:spacing w:val="18"/>
          <w:lang w:val="en-GB"/>
        </w:rPr>
        <w:t xml:space="preserve"> </w:t>
      </w:r>
      <w:r w:rsidRPr="00380B40">
        <w:rPr>
          <w:lang w:val="en-GB"/>
        </w:rPr>
        <w:t>will</w:t>
      </w:r>
      <w:r w:rsidRPr="00380B40">
        <w:rPr>
          <w:spacing w:val="24"/>
          <w:lang w:val="en-GB"/>
        </w:rPr>
        <w:t xml:space="preserve"> </w:t>
      </w:r>
      <w:r w:rsidRPr="00380B40">
        <w:rPr>
          <w:lang w:val="en-GB"/>
        </w:rPr>
        <w:t>be</w:t>
      </w:r>
      <w:r w:rsidRPr="00380B40">
        <w:rPr>
          <w:spacing w:val="22"/>
          <w:lang w:val="en-GB"/>
        </w:rPr>
        <w:t xml:space="preserve"> </w:t>
      </w:r>
      <w:r w:rsidRPr="00380B40">
        <w:rPr>
          <w:spacing w:val="-1"/>
          <w:lang w:val="en-GB"/>
        </w:rPr>
        <w:t>printed</w:t>
      </w:r>
      <w:r w:rsidRPr="00380B40">
        <w:rPr>
          <w:spacing w:val="23"/>
          <w:lang w:val="en-GB"/>
        </w:rPr>
        <w:t xml:space="preserve"> </w:t>
      </w:r>
      <w:r w:rsidRPr="00380B40">
        <w:rPr>
          <w:spacing w:val="-1"/>
          <w:lang w:val="en-GB"/>
        </w:rPr>
        <w:t>and</w:t>
      </w:r>
      <w:r w:rsidRPr="00380B40">
        <w:rPr>
          <w:spacing w:val="23"/>
          <w:lang w:val="en-GB"/>
        </w:rPr>
        <w:t xml:space="preserve"> </w:t>
      </w:r>
      <w:r w:rsidRPr="00380B40">
        <w:rPr>
          <w:spacing w:val="-1"/>
          <w:lang w:val="en-GB"/>
        </w:rPr>
        <w:t>distributed</w:t>
      </w:r>
      <w:r w:rsidRPr="00380B40">
        <w:rPr>
          <w:spacing w:val="23"/>
          <w:lang w:val="en-GB"/>
        </w:rPr>
        <w:t xml:space="preserve"> </w:t>
      </w:r>
      <w:r w:rsidRPr="00380B40">
        <w:rPr>
          <w:spacing w:val="-1"/>
          <w:lang w:val="en-GB"/>
        </w:rPr>
        <w:t>at</w:t>
      </w:r>
      <w:r w:rsidRPr="00380B40">
        <w:rPr>
          <w:spacing w:val="24"/>
          <w:lang w:val="en-GB"/>
        </w:rPr>
        <w:t xml:space="preserve"> </w:t>
      </w:r>
      <w:r w:rsidRPr="00380B40">
        <w:rPr>
          <w:spacing w:val="-1"/>
          <w:lang w:val="en-GB"/>
        </w:rPr>
        <w:t>the</w:t>
      </w:r>
      <w:r w:rsidRPr="00380B40">
        <w:rPr>
          <w:spacing w:val="63"/>
          <w:lang w:val="en-GB"/>
        </w:rPr>
        <w:t xml:space="preserve"> </w:t>
      </w:r>
      <w:r w:rsidRPr="00380B40">
        <w:rPr>
          <w:spacing w:val="-1"/>
          <w:lang w:val="en-GB"/>
        </w:rPr>
        <w:t>beginning</w:t>
      </w:r>
      <w:r w:rsidRPr="00380B40">
        <w:rPr>
          <w:spacing w:val="-3"/>
          <w:lang w:val="en-GB"/>
        </w:rPr>
        <w:t xml:space="preserve"> </w:t>
      </w:r>
      <w:r w:rsidRPr="00380B40">
        <w:rPr>
          <w:lang w:val="en-GB"/>
        </w:rPr>
        <w:t>of the</w:t>
      </w:r>
      <w:r w:rsidRPr="00380B40">
        <w:rPr>
          <w:spacing w:val="-2"/>
          <w:lang w:val="en-GB"/>
        </w:rPr>
        <w:t xml:space="preserve"> </w:t>
      </w:r>
      <w:r w:rsidRPr="00380B40">
        <w:rPr>
          <w:lang w:val="en-GB"/>
        </w:rPr>
        <w:t>meeting only</w:t>
      </w:r>
      <w:r w:rsidRPr="00380B40">
        <w:rPr>
          <w:spacing w:val="-5"/>
          <w:lang w:val="en-GB"/>
        </w:rPr>
        <w:t xml:space="preserve"> </w:t>
      </w:r>
      <w:r w:rsidRPr="00380B40">
        <w:rPr>
          <w:lang w:val="en-GB"/>
        </w:rPr>
        <w:t>to the</w:t>
      </w:r>
      <w:r w:rsidRPr="00380B40">
        <w:rPr>
          <w:spacing w:val="-1"/>
          <w:lang w:val="en-GB"/>
        </w:rPr>
        <w:t xml:space="preserve"> participants</w:t>
      </w:r>
      <w:r w:rsidRPr="00380B40">
        <w:rPr>
          <w:lang w:val="en-GB"/>
        </w:rPr>
        <w:t xml:space="preserve"> present who </w:t>
      </w:r>
      <w:r w:rsidRPr="00380B40">
        <w:rPr>
          <w:spacing w:val="-1"/>
          <w:lang w:val="en-GB"/>
        </w:rPr>
        <w:t>request</w:t>
      </w:r>
      <w:r w:rsidRPr="00380B40">
        <w:rPr>
          <w:lang w:val="en-GB"/>
        </w:rPr>
        <w:t xml:space="preserve"> paper</w:t>
      </w:r>
      <w:r w:rsidRPr="00380B40">
        <w:rPr>
          <w:spacing w:val="1"/>
          <w:lang w:val="en-GB"/>
        </w:rPr>
        <w:t xml:space="preserve"> </w:t>
      </w:r>
      <w:r w:rsidRPr="00380B40">
        <w:rPr>
          <w:spacing w:val="-1"/>
          <w:lang w:val="en-GB"/>
        </w:rPr>
        <w:t>copies.</w:t>
      </w:r>
    </w:p>
    <w:p w14:paraId="4706E825" w14:textId="77777777" w:rsidR="00C12517" w:rsidRPr="00380B40" w:rsidRDefault="00C12517" w:rsidP="00C12517">
      <w:pPr>
        <w:rPr>
          <w:lang w:val="en-GB"/>
        </w:rPr>
      </w:pPr>
      <w:r w:rsidRPr="00380B40">
        <w:rPr>
          <w:b/>
          <w:bCs/>
          <w:lang w:val="en-GB"/>
        </w:rPr>
        <w:t>3.2.2</w:t>
      </w:r>
      <w:r w:rsidRPr="00380B40">
        <w:rPr>
          <w:lang w:val="en-GB"/>
        </w:rPr>
        <w:tab/>
      </w:r>
      <w:r w:rsidRPr="00380B40">
        <w:rPr>
          <w:spacing w:val="-2"/>
          <w:lang w:val="en-GB"/>
        </w:rPr>
        <w:t>If</w:t>
      </w:r>
      <w:r w:rsidRPr="00380B40">
        <w:rPr>
          <w:spacing w:val="-9"/>
          <w:lang w:val="en-GB"/>
        </w:rPr>
        <w:t xml:space="preserve"> </w:t>
      </w:r>
      <w:r w:rsidRPr="00380B40">
        <w:rPr>
          <w:lang w:val="en-GB"/>
        </w:rPr>
        <w:t>a</w:t>
      </w:r>
      <w:r w:rsidRPr="00380B40">
        <w:rPr>
          <w:spacing w:val="-9"/>
          <w:lang w:val="en-GB"/>
        </w:rPr>
        <w:t xml:space="preserve"> </w:t>
      </w:r>
      <w:r w:rsidRPr="00380B40">
        <w:rPr>
          <w:spacing w:val="-1"/>
          <w:lang w:val="en-GB"/>
        </w:rPr>
        <w:t>chairman,</w:t>
      </w:r>
      <w:r w:rsidRPr="00380B40">
        <w:rPr>
          <w:spacing w:val="-10"/>
          <w:lang w:val="en-GB"/>
        </w:rPr>
        <w:t xml:space="preserve"> </w:t>
      </w:r>
      <w:r w:rsidRPr="00380B40">
        <w:rPr>
          <w:lang w:val="en-GB"/>
        </w:rPr>
        <w:t>in</w:t>
      </w:r>
      <w:r w:rsidRPr="00380B40">
        <w:rPr>
          <w:spacing w:val="-7"/>
          <w:lang w:val="en-GB"/>
        </w:rPr>
        <w:t xml:space="preserve"> </w:t>
      </w:r>
      <w:r w:rsidRPr="00380B40">
        <w:rPr>
          <w:spacing w:val="-1"/>
          <w:lang w:val="en-GB"/>
        </w:rPr>
        <w:t>agreement</w:t>
      </w:r>
      <w:r w:rsidRPr="00380B40">
        <w:rPr>
          <w:spacing w:val="-10"/>
          <w:lang w:val="en-GB"/>
        </w:rPr>
        <w:t xml:space="preserve"> </w:t>
      </w:r>
      <w:r w:rsidRPr="00380B40">
        <w:rPr>
          <w:lang w:val="en-GB"/>
        </w:rPr>
        <w:t>with</w:t>
      </w:r>
      <w:r w:rsidRPr="00380B40">
        <w:rPr>
          <w:spacing w:val="-10"/>
          <w:lang w:val="en-GB"/>
        </w:rPr>
        <w:t xml:space="preserve"> </w:t>
      </w:r>
      <w:r w:rsidRPr="00380B40">
        <w:rPr>
          <w:lang w:val="en-GB"/>
        </w:rPr>
        <w:t>the</w:t>
      </w:r>
      <w:r w:rsidRPr="00380B40">
        <w:rPr>
          <w:spacing w:val="-11"/>
          <w:lang w:val="en-GB"/>
        </w:rPr>
        <w:t xml:space="preserve"> </w:t>
      </w:r>
      <w:r w:rsidRPr="00380B40">
        <w:rPr>
          <w:lang w:val="en-GB"/>
        </w:rPr>
        <w:t>participants</w:t>
      </w:r>
      <w:r w:rsidRPr="00380B40">
        <w:rPr>
          <w:spacing w:val="-10"/>
          <w:lang w:val="en-GB"/>
        </w:rPr>
        <w:t xml:space="preserve"> </w:t>
      </w:r>
      <w:r w:rsidRPr="00380B40">
        <w:rPr>
          <w:lang w:val="en-GB"/>
        </w:rPr>
        <w:t>of</w:t>
      </w:r>
      <w:r w:rsidRPr="00380B40">
        <w:rPr>
          <w:spacing w:val="-9"/>
          <w:lang w:val="en-GB"/>
        </w:rPr>
        <w:t xml:space="preserve"> </w:t>
      </w:r>
      <w:r w:rsidRPr="00380B40">
        <w:rPr>
          <w:lang w:val="en-GB"/>
        </w:rPr>
        <w:t>his</w:t>
      </w:r>
      <w:r w:rsidRPr="00380B40">
        <w:rPr>
          <w:spacing w:val="-9"/>
          <w:lang w:val="en-GB"/>
        </w:rPr>
        <w:t xml:space="preserve"> </w:t>
      </w:r>
      <w:r w:rsidRPr="00380B40">
        <w:rPr>
          <w:lang w:val="en-GB"/>
        </w:rPr>
        <w:t>or</w:t>
      </w:r>
      <w:r w:rsidRPr="00380B40">
        <w:rPr>
          <w:spacing w:val="-11"/>
          <w:lang w:val="en-GB"/>
        </w:rPr>
        <w:t xml:space="preserve"> </w:t>
      </w:r>
      <w:r w:rsidRPr="00380B40">
        <w:rPr>
          <w:lang w:val="en-GB"/>
        </w:rPr>
        <w:t>her</w:t>
      </w:r>
      <w:r w:rsidRPr="00380B40">
        <w:rPr>
          <w:spacing w:val="-11"/>
          <w:lang w:val="en-GB"/>
        </w:rPr>
        <w:t xml:space="preserve"> </w:t>
      </w:r>
      <w:r w:rsidRPr="00380B40">
        <w:rPr>
          <w:spacing w:val="1"/>
          <w:lang w:val="en-GB"/>
        </w:rPr>
        <w:t>study</w:t>
      </w:r>
      <w:r w:rsidRPr="00380B40">
        <w:rPr>
          <w:spacing w:val="-12"/>
          <w:lang w:val="en-GB"/>
        </w:rPr>
        <w:t xml:space="preserve"> </w:t>
      </w:r>
      <w:r w:rsidRPr="00380B40">
        <w:rPr>
          <w:lang w:val="en-GB"/>
        </w:rPr>
        <w:t>group</w:t>
      </w:r>
      <w:r w:rsidRPr="00380B40">
        <w:rPr>
          <w:spacing w:val="-11"/>
          <w:lang w:val="en-GB"/>
        </w:rPr>
        <w:t xml:space="preserve"> </w:t>
      </w:r>
      <w:r w:rsidRPr="00380B40">
        <w:rPr>
          <w:lang w:val="en-GB"/>
        </w:rPr>
        <w:t>(or</w:t>
      </w:r>
      <w:r w:rsidRPr="00380B40">
        <w:rPr>
          <w:spacing w:val="-9"/>
          <w:lang w:val="en-GB"/>
        </w:rPr>
        <w:t xml:space="preserve"> </w:t>
      </w:r>
      <w:r w:rsidRPr="00380B40">
        <w:rPr>
          <w:lang w:val="en-GB"/>
        </w:rPr>
        <w:t>working</w:t>
      </w:r>
      <w:r w:rsidRPr="00380B40">
        <w:rPr>
          <w:spacing w:val="-12"/>
          <w:lang w:val="en-GB"/>
        </w:rPr>
        <w:t xml:space="preserve"> </w:t>
      </w:r>
      <w:r w:rsidRPr="00380B40">
        <w:rPr>
          <w:lang w:val="en-GB"/>
        </w:rPr>
        <w:t>party),</w:t>
      </w:r>
      <w:r w:rsidRPr="00380B40">
        <w:rPr>
          <w:spacing w:val="34"/>
          <w:lang w:val="en-GB"/>
        </w:rPr>
        <w:t xml:space="preserve"> </w:t>
      </w:r>
      <w:r w:rsidRPr="00380B40">
        <w:rPr>
          <w:spacing w:val="-1"/>
          <w:lang w:val="en-GB"/>
        </w:rPr>
        <w:t>states</w:t>
      </w:r>
      <w:r w:rsidRPr="00380B40">
        <w:rPr>
          <w:spacing w:val="-5"/>
          <w:lang w:val="en-GB"/>
        </w:rPr>
        <w:t xml:space="preserve"> </w:t>
      </w:r>
      <w:r w:rsidRPr="00380B40">
        <w:rPr>
          <w:lang w:val="en-GB"/>
        </w:rPr>
        <w:t>that</w:t>
      </w:r>
      <w:r w:rsidRPr="00380B40">
        <w:rPr>
          <w:spacing w:val="-5"/>
          <w:lang w:val="en-GB"/>
        </w:rPr>
        <w:t xml:space="preserve"> </w:t>
      </w:r>
      <w:r w:rsidRPr="00380B40">
        <w:rPr>
          <w:lang w:val="en-GB"/>
        </w:rPr>
        <w:t>the</w:t>
      </w:r>
      <w:r w:rsidRPr="00380B40">
        <w:rPr>
          <w:spacing w:val="-6"/>
          <w:lang w:val="en-GB"/>
        </w:rPr>
        <w:t xml:space="preserve"> </w:t>
      </w:r>
      <w:r w:rsidRPr="00380B40">
        <w:rPr>
          <w:lang w:val="en-GB"/>
        </w:rPr>
        <w:t>study</w:t>
      </w:r>
      <w:r w:rsidRPr="00380B40">
        <w:rPr>
          <w:spacing w:val="-8"/>
          <w:lang w:val="en-GB"/>
        </w:rPr>
        <w:t xml:space="preserve"> </w:t>
      </w:r>
      <w:r w:rsidRPr="00380B40">
        <w:rPr>
          <w:lang w:val="en-GB"/>
        </w:rPr>
        <w:t>group</w:t>
      </w:r>
      <w:r w:rsidRPr="00380B40">
        <w:rPr>
          <w:spacing w:val="-5"/>
          <w:lang w:val="en-GB"/>
        </w:rPr>
        <w:t xml:space="preserve"> </w:t>
      </w:r>
      <w:r w:rsidRPr="00380B40">
        <w:rPr>
          <w:lang w:val="en-GB"/>
        </w:rPr>
        <w:t>(or</w:t>
      </w:r>
      <w:r w:rsidRPr="00380B40">
        <w:rPr>
          <w:spacing w:val="-7"/>
          <w:lang w:val="en-GB"/>
        </w:rPr>
        <w:t xml:space="preserve"> </w:t>
      </w:r>
      <w:r w:rsidRPr="00380B40">
        <w:rPr>
          <w:lang w:val="en-GB"/>
        </w:rPr>
        <w:t>working</w:t>
      </w:r>
      <w:r w:rsidRPr="00380B40">
        <w:rPr>
          <w:spacing w:val="-8"/>
          <w:lang w:val="en-GB"/>
        </w:rPr>
        <w:t xml:space="preserve"> </w:t>
      </w:r>
      <w:r w:rsidRPr="00380B40">
        <w:rPr>
          <w:lang w:val="en-GB"/>
        </w:rPr>
        <w:t>party)</w:t>
      </w:r>
      <w:r w:rsidRPr="00380B40">
        <w:rPr>
          <w:spacing w:val="-6"/>
          <w:lang w:val="en-GB"/>
        </w:rPr>
        <w:t xml:space="preserve"> </w:t>
      </w:r>
      <w:r w:rsidRPr="00380B40">
        <w:rPr>
          <w:lang w:val="en-GB"/>
        </w:rPr>
        <w:t>is</w:t>
      </w:r>
      <w:r w:rsidRPr="00380B40">
        <w:rPr>
          <w:spacing w:val="-5"/>
          <w:lang w:val="en-GB"/>
        </w:rPr>
        <w:t xml:space="preserve"> </w:t>
      </w:r>
      <w:r w:rsidRPr="00380B40">
        <w:rPr>
          <w:lang w:val="en-GB"/>
        </w:rPr>
        <w:t>willing</w:t>
      </w:r>
      <w:r w:rsidRPr="00380B40">
        <w:rPr>
          <w:spacing w:val="-7"/>
          <w:lang w:val="en-GB"/>
        </w:rPr>
        <w:t xml:space="preserve"> </w:t>
      </w:r>
      <w:r w:rsidRPr="00380B40">
        <w:rPr>
          <w:lang w:val="en-GB"/>
        </w:rPr>
        <w:t>to</w:t>
      </w:r>
      <w:r w:rsidRPr="00380B40">
        <w:rPr>
          <w:spacing w:val="-5"/>
          <w:lang w:val="en-GB"/>
        </w:rPr>
        <w:t xml:space="preserve"> </w:t>
      </w:r>
      <w:r w:rsidRPr="00380B40">
        <w:rPr>
          <w:lang w:val="en-GB"/>
        </w:rPr>
        <w:t>use</w:t>
      </w:r>
      <w:r w:rsidRPr="00380B40">
        <w:rPr>
          <w:spacing w:val="-6"/>
          <w:lang w:val="en-GB"/>
        </w:rPr>
        <w:t xml:space="preserve"> </w:t>
      </w:r>
      <w:r w:rsidRPr="00380B40">
        <w:rPr>
          <w:spacing w:val="-1"/>
          <w:lang w:val="en-GB"/>
        </w:rPr>
        <w:t>documents</w:t>
      </w:r>
      <w:r w:rsidRPr="00380B40">
        <w:rPr>
          <w:spacing w:val="-5"/>
          <w:lang w:val="en-GB"/>
        </w:rPr>
        <w:t xml:space="preserve"> </w:t>
      </w:r>
      <w:r w:rsidRPr="00380B40">
        <w:rPr>
          <w:lang w:val="en-GB"/>
        </w:rPr>
        <w:t>in</w:t>
      </w:r>
      <w:r w:rsidRPr="00380B40">
        <w:rPr>
          <w:spacing w:val="-2"/>
          <w:lang w:val="en-GB"/>
        </w:rPr>
        <w:t xml:space="preserve"> </w:t>
      </w:r>
      <w:r w:rsidRPr="00380B40">
        <w:rPr>
          <w:lang w:val="en-GB"/>
        </w:rPr>
        <w:t>the</w:t>
      </w:r>
      <w:r w:rsidRPr="00380B40">
        <w:rPr>
          <w:spacing w:val="-6"/>
          <w:lang w:val="en-GB"/>
        </w:rPr>
        <w:t xml:space="preserve"> </w:t>
      </w:r>
      <w:r w:rsidRPr="00380B40">
        <w:rPr>
          <w:spacing w:val="-1"/>
          <w:lang w:val="en-GB"/>
        </w:rPr>
        <w:t>original</w:t>
      </w:r>
      <w:r w:rsidRPr="00380B40">
        <w:rPr>
          <w:spacing w:val="-5"/>
          <w:lang w:val="en-GB"/>
        </w:rPr>
        <w:t xml:space="preserve"> </w:t>
      </w:r>
      <w:r w:rsidRPr="00380B40">
        <w:rPr>
          <w:spacing w:val="-1"/>
          <w:lang w:val="en-GB"/>
        </w:rPr>
        <w:t>language,</w:t>
      </w:r>
      <w:r w:rsidRPr="00380B40">
        <w:rPr>
          <w:spacing w:val="-5"/>
          <w:lang w:val="en-GB"/>
        </w:rPr>
        <w:t xml:space="preserve"> </w:t>
      </w:r>
      <w:r w:rsidRPr="00380B40">
        <w:rPr>
          <w:lang w:val="en-GB"/>
        </w:rPr>
        <w:t>no</w:t>
      </w:r>
      <w:r w:rsidRPr="00380B40">
        <w:rPr>
          <w:spacing w:val="56"/>
          <w:lang w:val="en-GB"/>
        </w:rPr>
        <w:t xml:space="preserve"> </w:t>
      </w:r>
      <w:r w:rsidRPr="00380B40">
        <w:rPr>
          <w:spacing w:val="-1"/>
          <w:lang w:val="en-GB"/>
        </w:rPr>
        <w:t>translations</w:t>
      </w:r>
      <w:r w:rsidRPr="00380B40">
        <w:rPr>
          <w:lang w:val="en-GB"/>
        </w:rPr>
        <w:t xml:space="preserve"> will</w:t>
      </w:r>
      <w:r w:rsidRPr="00380B40">
        <w:rPr>
          <w:spacing w:val="1"/>
          <w:lang w:val="en-GB"/>
        </w:rPr>
        <w:t xml:space="preserve"> </w:t>
      </w:r>
      <w:r w:rsidRPr="00380B40">
        <w:rPr>
          <w:lang w:val="en-GB"/>
        </w:rPr>
        <w:t>be</w:t>
      </w:r>
      <w:r w:rsidRPr="00380B40">
        <w:rPr>
          <w:spacing w:val="-1"/>
          <w:lang w:val="en-GB"/>
        </w:rPr>
        <w:t xml:space="preserve"> </w:t>
      </w:r>
      <w:r w:rsidRPr="00380B40">
        <w:rPr>
          <w:lang w:val="en-GB"/>
        </w:rPr>
        <w:t>made.</w:t>
      </w:r>
    </w:p>
    <w:p w14:paraId="6F049C7E" w14:textId="77777777" w:rsidR="00C12517" w:rsidRPr="00380B40" w:rsidRDefault="00C12517" w:rsidP="00C12517">
      <w:pPr>
        <w:rPr>
          <w:lang w:val="en-GB"/>
        </w:rPr>
      </w:pPr>
      <w:r w:rsidRPr="00380B40">
        <w:rPr>
          <w:b/>
          <w:bCs/>
          <w:lang w:val="en-GB"/>
        </w:rPr>
        <w:t>3.2.3</w:t>
      </w:r>
      <w:r w:rsidRPr="00380B40">
        <w:rPr>
          <w:lang w:val="en-GB"/>
        </w:rPr>
        <w:tab/>
        <w:t>Contributions</w:t>
      </w:r>
      <w:r w:rsidRPr="00380B40">
        <w:rPr>
          <w:spacing w:val="19"/>
          <w:lang w:val="en-GB"/>
        </w:rPr>
        <w:t xml:space="preserve"> </w:t>
      </w:r>
      <w:r w:rsidRPr="00380B40">
        <w:rPr>
          <w:spacing w:val="-1"/>
          <w:lang w:val="en-GB"/>
        </w:rPr>
        <w:t>received</w:t>
      </w:r>
      <w:r w:rsidRPr="00380B40">
        <w:rPr>
          <w:spacing w:val="18"/>
          <w:lang w:val="en-GB"/>
        </w:rPr>
        <w:t xml:space="preserve"> </w:t>
      </w:r>
      <w:r w:rsidRPr="00380B40">
        <w:rPr>
          <w:lang w:val="en-GB"/>
        </w:rPr>
        <w:t>by</w:t>
      </w:r>
      <w:r w:rsidRPr="00380B40">
        <w:rPr>
          <w:spacing w:val="16"/>
          <w:lang w:val="en-GB"/>
        </w:rPr>
        <w:t xml:space="preserve"> </w:t>
      </w:r>
      <w:r w:rsidRPr="00380B40">
        <w:rPr>
          <w:lang w:val="en-GB"/>
        </w:rPr>
        <w:t>the</w:t>
      </w:r>
      <w:r w:rsidRPr="00380B40">
        <w:rPr>
          <w:spacing w:val="18"/>
          <w:lang w:val="en-GB"/>
        </w:rPr>
        <w:t xml:space="preserve"> </w:t>
      </w:r>
      <w:r w:rsidRPr="00380B40">
        <w:rPr>
          <w:spacing w:val="-1"/>
          <w:lang w:val="en-GB"/>
        </w:rPr>
        <w:t>Director</w:t>
      </w:r>
      <w:r w:rsidRPr="00380B40">
        <w:rPr>
          <w:spacing w:val="18"/>
          <w:lang w:val="en-GB"/>
        </w:rPr>
        <w:t xml:space="preserve"> </w:t>
      </w:r>
      <w:r w:rsidRPr="00380B40">
        <w:rPr>
          <w:lang w:val="en-GB"/>
        </w:rPr>
        <w:t>less</w:t>
      </w:r>
      <w:r w:rsidRPr="00380B40">
        <w:rPr>
          <w:spacing w:val="18"/>
          <w:lang w:val="en-GB"/>
        </w:rPr>
        <w:t xml:space="preserve"> </w:t>
      </w:r>
      <w:r w:rsidRPr="00380B40">
        <w:rPr>
          <w:lang w:val="en-GB"/>
        </w:rPr>
        <w:t>than</w:t>
      </w:r>
      <w:r w:rsidRPr="00380B40">
        <w:rPr>
          <w:spacing w:val="18"/>
          <w:lang w:val="en-GB"/>
        </w:rPr>
        <w:t xml:space="preserve"> </w:t>
      </w:r>
      <w:r w:rsidRPr="00380B40">
        <w:rPr>
          <w:lang w:val="en-GB"/>
        </w:rPr>
        <w:t>two</w:t>
      </w:r>
      <w:r w:rsidRPr="00380B40">
        <w:rPr>
          <w:spacing w:val="18"/>
          <w:lang w:val="en-GB"/>
        </w:rPr>
        <w:t xml:space="preserve"> </w:t>
      </w:r>
      <w:r w:rsidRPr="00380B40">
        <w:rPr>
          <w:lang w:val="en-GB"/>
        </w:rPr>
        <w:t>months</w:t>
      </w:r>
      <w:r w:rsidRPr="00380B40">
        <w:rPr>
          <w:spacing w:val="19"/>
          <w:lang w:val="en-GB"/>
        </w:rPr>
        <w:t xml:space="preserve"> </w:t>
      </w:r>
      <w:r w:rsidRPr="00380B40">
        <w:rPr>
          <w:lang w:val="en-GB"/>
        </w:rPr>
        <w:t>but</w:t>
      </w:r>
      <w:r w:rsidRPr="00380B40">
        <w:rPr>
          <w:spacing w:val="19"/>
          <w:lang w:val="en-GB"/>
        </w:rPr>
        <w:t xml:space="preserve"> </w:t>
      </w:r>
      <w:r w:rsidRPr="00380B40">
        <w:rPr>
          <w:lang w:val="en-GB"/>
        </w:rPr>
        <w:t>not</w:t>
      </w:r>
      <w:r w:rsidRPr="00380B40">
        <w:rPr>
          <w:spacing w:val="17"/>
          <w:lang w:val="en-GB"/>
        </w:rPr>
        <w:t xml:space="preserve"> </w:t>
      </w:r>
      <w:r w:rsidRPr="00380B40">
        <w:rPr>
          <w:lang w:val="en-GB"/>
        </w:rPr>
        <w:t>less</w:t>
      </w:r>
      <w:r w:rsidRPr="00380B40">
        <w:rPr>
          <w:spacing w:val="18"/>
          <w:lang w:val="en-GB"/>
        </w:rPr>
        <w:t xml:space="preserve"> </w:t>
      </w:r>
      <w:r w:rsidRPr="00380B40">
        <w:rPr>
          <w:spacing w:val="-1"/>
          <w:lang w:val="en-GB"/>
        </w:rPr>
        <w:t>than</w:t>
      </w:r>
      <w:r w:rsidRPr="00380B40">
        <w:rPr>
          <w:spacing w:val="18"/>
          <w:lang w:val="en-GB"/>
        </w:rPr>
        <w:t xml:space="preserve"> </w:t>
      </w:r>
      <w:r w:rsidRPr="00380B40">
        <w:rPr>
          <w:lang w:val="en-GB"/>
        </w:rPr>
        <w:t>12</w:t>
      </w:r>
      <w:r w:rsidRPr="00380B40">
        <w:rPr>
          <w:spacing w:val="18"/>
          <w:lang w:val="en-GB"/>
        </w:rPr>
        <w:t xml:space="preserve"> </w:t>
      </w:r>
      <w:r w:rsidRPr="00380B40">
        <w:rPr>
          <w:spacing w:val="-1"/>
          <w:lang w:val="en-GB"/>
        </w:rPr>
        <w:t>calendar</w:t>
      </w:r>
      <w:r w:rsidRPr="00380B40">
        <w:rPr>
          <w:spacing w:val="37"/>
          <w:lang w:val="en-GB"/>
        </w:rPr>
        <w:t xml:space="preserve"> </w:t>
      </w:r>
      <w:r w:rsidRPr="00380B40">
        <w:rPr>
          <w:spacing w:val="-1"/>
          <w:lang w:val="en-GB"/>
        </w:rPr>
        <w:t>days</w:t>
      </w:r>
      <w:r w:rsidRPr="00380B40">
        <w:rPr>
          <w:lang w:val="en-GB"/>
        </w:rPr>
        <w:t xml:space="preserve"> before</w:t>
      </w:r>
      <w:r w:rsidRPr="00380B40">
        <w:rPr>
          <w:spacing w:val="-1"/>
          <w:lang w:val="en-GB"/>
        </w:rPr>
        <w:t xml:space="preserve"> </w:t>
      </w:r>
      <w:r w:rsidRPr="00380B40">
        <w:rPr>
          <w:lang w:val="en-GB"/>
        </w:rPr>
        <w:t xml:space="preserve">the </w:t>
      </w:r>
      <w:r w:rsidRPr="00380B40">
        <w:rPr>
          <w:spacing w:val="-1"/>
          <w:lang w:val="en-GB"/>
        </w:rPr>
        <w:t>date</w:t>
      </w:r>
      <w:r w:rsidRPr="00380B40">
        <w:rPr>
          <w:lang w:val="en-GB"/>
        </w:rPr>
        <w:t xml:space="preserve"> set for the</w:t>
      </w:r>
      <w:r w:rsidRPr="00380B40">
        <w:rPr>
          <w:spacing w:val="-2"/>
          <w:lang w:val="en-GB"/>
        </w:rPr>
        <w:t xml:space="preserve"> </w:t>
      </w:r>
      <w:r w:rsidRPr="00380B40">
        <w:rPr>
          <w:lang w:val="en-GB"/>
        </w:rPr>
        <w:t>opening</w:t>
      </w:r>
      <w:r w:rsidRPr="00380B40">
        <w:rPr>
          <w:spacing w:val="-3"/>
          <w:lang w:val="en-GB"/>
        </w:rPr>
        <w:t xml:space="preserve"> </w:t>
      </w:r>
      <w:r w:rsidRPr="00380B40">
        <w:rPr>
          <w:lang w:val="en-GB"/>
        </w:rPr>
        <w:t>of a</w:t>
      </w:r>
      <w:r w:rsidRPr="00380B40">
        <w:rPr>
          <w:spacing w:val="-2"/>
          <w:lang w:val="en-GB"/>
        </w:rPr>
        <w:t xml:space="preserve"> </w:t>
      </w:r>
      <w:r w:rsidRPr="00380B40">
        <w:rPr>
          <w:lang w:val="en-GB"/>
        </w:rPr>
        <w:t>meeting</w:t>
      </w:r>
      <w:r w:rsidRPr="00380B40">
        <w:rPr>
          <w:spacing w:val="-3"/>
          <w:lang w:val="en-GB"/>
        </w:rPr>
        <w:t xml:space="preserve"> </w:t>
      </w:r>
      <w:r w:rsidRPr="00380B40">
        <w:rPr>
          <w:lang w:val="en-GB"/>
        </w:rPr>
        <w:t xml:space="preserve">cannot be </w:t>
      </w:r>
      <w:r w:rsidRPr="00380B40">
        <w:rPr>
          <w:spacing w:val="-1"/>
          <w:lang w:val="en-GB"/>
        </w:rPr>
        <w:t>translated.</w:t>
      </w:r>
    </w:p>
    <w:p w14:paraId="1EF491CD" w14:textId="77777777" w:rsidR="00C12517" w:rsidRPr="00380B40" w:rsidRDefault="00C12517" w:rsidP="00C12517">
      <w:pPr>
        <w:rPr>
          <w:lang w:val="en-GB"/>
        </w:rPr>
      </w:pPr>
      <w:r w:rsidRPr="00380B40">
        <w:rPr>
          <w:b/>
          <w:bCs/>
          <w:lang w:val="en-GB"/>
        </w:rPr>
        <w:t>3.2.4</w:t>
      </w:r>
      <w:r w:rsidRPr="00380B40">
        <w:rPr>
          <w:lang w:val="en-GB"/>
        </w:rPr>
        <w:tab/>
        <w:t>Contributions</w:t>
      </w:r>
      <w:r w:rsidRPr="00380B40">
        <w:rPr>
          <w:spacing w:val="12"/>
          <w:lang w:val="en-GB"/>
        </w:rPr>
        <w:t xml:space="preserve"> </w:t>
      </w:r>
      <w:r w:rsidRPr="00380B40">
        <w:rPr>
          <w:lang w:val="en-GB"/>
        </w:rPr>
        <w:t>should</w:t>
      </w:r>
      <w:r w:rsidRPr="00380B40">
        <w:rPr>
          <w:spacing w:val="11"/>
          <w:lang w:val="en-GB"/>
        </w:rPr>
        <w:t xml:space="preserve"> </w:t>
      </w:r>
      <w:r w:rsidRPr="00380B40">
        <w:rPr>
          <w:lang w:val="en-GB"/>
        </w:rPr>
        <w:t>be</w:t>
      </w:r>
      <w:r w:rsidRPr="00380B40">
        <w:rPr>
          <w:spacing w:val="10"/>
          <w:lang w:val="en-GB"/>
        </w:rPr>
        <w:t xml:space="preserve"> </w:t>
      </w:r>
      <w:r w:rsidRPr="00380B40">
        <w:rPr>
          <w:spacing w:val="-1"/>
          <w:lang w:val="en-GB"/>
        </w:rPr>
        <w:t>posted</w:t>
      </w:r>
      <w:r w:rsidRPr="00380B40">
        <w:rPr>
          <w:spacing w:val="11"/>
          <w:lang w:val="en-GB"/>
        </w:rPr>
        <w:t xml:space="preserve"> </w:t>
      </w:r>
      <w:r w:rsidRPr="00380B40">
        <w:rPr>
          <w:lang w:val="en-GB"/>
        </w:rPr>
        <w:t>on</w:t>
      </w:r>
      <w:r w:rsidRPr="00380B40">
        <w:rPr>
          <w:spacing w:val="11"/>
          <w:lang w:val="en-GB"/>
        </w:rPr>
        <w:t xml:space="preserve"> </w:t>
      </w:r>
      <w:r w:rsidRPr="00380B40">
        <w:rPr>
          <w:lang w:val="en-GB"/>
        </w:rPr>
        <w:t>the</w:t>
      </w:r>
      <w:r w:rsidRPr="00380B40">
        <w:rPr>
          <w:spacing w:val="11"/>
          <w:lang w:val="en-GB"/>
        </w:rPr>
        <w:t xml:space="preserve"> </w:t>
      </w:r>
      <w:r w:rsidRPr="00380B40">
        <w:rPr>
          <w:spacing w:val="-1"/>
          <w:lang w:val="en-GB"/>
        </w:rPr>
        <w:t>web</w:t>
      </w:r>
      <w:r w:rsidRPr="00380B40">
        <w:rPr>
          <w:spacing w:val="13"/>
          <w:lang w:val="en-GB"/>
        </w:rPr>
        <w:t xml:space="preserve"> </w:t>
      </w:r>
      <w:r w:rsidRPr="00380B40">
        <w:rPr>
          <w:lang w:val="en-GB"/>
        </w:rPr>
        <w:t>no</w:t>
      </w:r>
      <w:r w:rsidRPr="00380B40">
        <w:rPr>
          <w:spacing w:val="11"/>
          <w:lang w:val="en-GB"/>
        </w:rPr>
        <w:t xml:space="preserve"> </w:t>
      </w:r>
      <w:r w:rsidRPr="00380B40">
        <w:rPr>
          <w:lang w:val="en-GB"/>
        </w:rPr>
        <w:t>more</w:t>
      </w:r>
      <w:r w:rsidRPr="00380B40">
        <w:rPr>
          <w:spacing w:val="10"/>
          <w:lang w:val="en-GB"/>
        </w:rPr>
        <w:t xml:space="preserve"> </w:t>
      </w:r>
      <w:r w:rsidRPr="00380B40">
        <w:rPr>
          <w:lang w:val="en-GB"/>
        </w:rPr>
        <w:t>than</w:t>
      </w:r>
      <w:r w:rsidRPr="00380B40">
        <w:rPr>
          <w:spacing w:val="11"/>
          <w:lang w:val="en-GB"/>
        </w:rPr>
        <w:t xml:space="preserve"> </w:t>
      </w:r>
      <w:r w:rsidRPr="00380B40">
        <w:rPr>
          <w:lang w:val="en-GB"/>
        </w:rPr>
        <w:t>three</w:t>
      </w:r>
      <w:r w:rsidRPr="00380B40">
        <w:rPr>
          <w:spacing w:val="13"/>
          <w:lang w:val="en-GB"/>
        </w:rPr>
        <w:t xml:space="preserve"> </w:t>
      </w:r>
      <w:r w:rsidRPr="00380B40">
        <w:rPr>
          <w:lang w:val="en-GB"/>
        </w:rPr>
        <w:t>working</w:t>
      </w:r>
      <w:r w:rsidRPr="00380B40">
        <w:rPr>
          <w:spacing w:val="15"/>
          <w:lang w:val="en-GB"/>
        </w:rPr>
        <w:t xml:space="preserve"> </w:t>
      </w:r>
      <w:r w:rsidRPr="00380B40">
        <w:rPr>
          <w:spacing w:val="-1"/>
          <w:lang w:val="en-GB"/>
        </w:rPr>
        <w:t>days</w:t>
      </w:r>
      <w:r w:rsidRPr="00380B40">
        <w:rPr>
          <w:spacing w:val="14"/>
          <w:lang w:val="en-GB"/>
        </w:rPr>
        <w:t xml:space="preserve"> </w:t>
      </w:r>
      <w:r w:rsidRPr="00380B40">
        <w:rPr>
          <w:spacing w:val="-1"/>
          <w:lang w:val="en-GB"/>
        </w:rPr>
        <w:t>after</w:t>
      </w:r>
      <w:r w:rsidRPr="00380B40">
        <w:rPr>
          <w:spacing w:val="11"/>
          <w:lang w:val="en-GB"/>
        </w:rPr>
        <w:t xml:space="preserve"> </w:t>
      </w:r>
      <w:r w:rsidRPr="00380B40">
        <w:rPr>
          <w:spacing w:val="1"/>
          <w:lang w:val="en-GB"/>
        </w:rPr>
        <w:t>they</w:t>
      </w:r>
      <w:r w:rsidRPr="00380B40">
        <w:rPr>
          <w:spacing w:val="9"/>
          <w:lang w:val="en-GB"/>
        </w:rPr>
        <w:t xml:space="preserve"> </w:t>
      </w:r>
      <w:r w:rsidRPr="00380B40">
        <w:rPr>
          <w:spacing w:val="-1"/>
          <w:lang w:val="en-GB"/>
        </w:rPr>
        <w:t>are</w:t>
      </w:r>
      <w:r w:rsidRPr="00380B40">
        <w:rPr>
          <w:spacing w:val="32"/>
          <w:lang w:val="en-GB"/>
        </w:rPr>
        <w:t xml:space="preserve"> </w:t>
      </w:r>
      <w:r w:rsidRPr="00380B40">
        <w:rPr>
          <w:spacing w:val="-1"/>
          <w:lang w:val="en-GB"/>
        </w:rPr>
        <w:t>received</w:t>
      </w:r>
      <w:r w:rsidRPr="00380B40">
        <w:rPr>
          <w:lang w:val="en-GB"/>
        </w:rPr>
        <w:t xml:space="preserve"> </w:t>
      </w:r>
      <w:r w:rsidRPr="00380B40">
        <w:rPr>
          <w:spacing w:val="2"/>
          <w:lang w:val="en-GB"/>
        </w:rPr>
        <w:t>by</w:t>
      </w:r>
      <w:r w:rsidRPr="00380B40">
        <w:rPr>
          <w:spacing w:val="-5"/>
          <w:lang w:val="en-GB"/>
        </w:rPr>
        <w:t xml:space="preserve"> </w:t>
      </w:r>
      <w:r w:rsidRPr="00380B40">
        <w:rPr>
          <w:lang w:val="en-GB"/>
        </w:rPr>
        <w:t xml:space="preserve">the </w:t>
      </w:r>
      <w:r w:rsidRPr="00380B40">
        <w:rPr>
          <w:spacing w:val="-1"/>
          <w:lang w:val="en-GB"/>
        </w:rPr>
        <w:t>secretariat.</w:t>
      </w:r>
    </w:p>
    <w:p w14:paraId="278A1B0C" w14:textId="77777777" w:rsidR="00C12517" w:rsidRPr="00380B40" w:rsidRDefault="00C12517" w:rsidP="00C12517">
      <w:pPr>
        <w:rPr>
          <w:lang w:val="en-GB"/>
        </w:rPr>
      </w:pPr>
      <w:r w:rsidRPr="00380B40">
        <w:rPr>
          <w:b/>
          <w:bCs/>
          <w:lang w:val="en-GB"/>
        </w:rPr>
        <w:t>3.2.5</w:t>
      </w:r>
      <w:r w:rsidRPr="00380B40">
        <w:rPr>
          <w:lang w:val="en-GB"/>
        </w:rPr>
        <w:tab/>
        <w:t>Contributions</w:t>
      </w:r>
      <w:r w:rsidRPr="00380B40">
        <w:rPr>
          <w:spacing w:val="-7"/>
          <w:lang w:val="en-GB"/>
        </w:rPr>
        <w:t xml:space="preserve"> </w:t>
      </w:r>
      <w:r w:rsidRPr="00380B40">
        <w:rPr>
          <w:spacing w:val="-1"/>
          <w:lang w:val="en-GB"/>
        </w:rPr>
        <w:t>received</w:t>
      </w:r>
      <w:r w:rsidRPr="00380B40">
        <w:rPr>
          <w:spacing w:val="-6"/>
          <w:lang w:val="en-GB"/>
        </w:rPr>
        <w:t xml:space="preserve"> </w:t>
      </w:r>
      <w:r w:rsidRPr="00380B40">
        <w:rPr>
          <w:spacing w:val="1"/>
          <w:lang w:val="en-GB"/>
        </w:rPr>
        <w:t>by</w:t>
      </w:r>
      <w:r w:rsidRPr="00380B40">
        <w:rPr>
          <w:spacing w:val="-10"/>
          <w:lang w:val="en-GB"/>
        </w:rPr>
        <w:t xml:space="preserve"> </w:t>
      </w:r>
      <w:r w:rsidRPr="00380B40">
        <w:rPr>
          <w:lang w:val="en-GB"/>
        </w:rPr>
        <w:t>the</w:t>
      </w:r>
      <w:r w:rsidRPr="00380B40">
        <w:rPr>
          <w:spacing w:val="-9"/>
          <w:lang w:val="en-GB"/>
        </w:rPr>
        <w:t xml:space="preserve"> </w:t>
      </w:r>
      <w:r w:rsidRPr="00380B40">
        <w:rPr>
          <w:spacing w:val="-1"/>
          <w:lang w:val="en-GB"/>
        </w:rPr>
        <w:t>Director</w:t>
      </w:r>
      <w:r w:rsidRPr="00380B40">
        <w:rPr>
          <w:spacing w:val="-6"/>
          <w:lang w:val="en-GB"/>
        </w:rPr>
        <w:t xml:space="preserve"> </w:t>
      </w:r>
      <w:r w:rsidRPr="00380B40">
        <w:rPr>
          <w:lang w:val="en-GB"/>
        </w:rPr>
        <w:t>less</w:t>
      </w:r>
      <w:r w:rsidRPr="00380B40">
        <w:rPr>
          <w:spacing w:val="-8"/>
          <w:lang w:val="en-GB"/>
        </w:rPr>
        <w:t xml:space="preserve"> </w:t>
      </w:r>
      <w:r w:rsidRPr="00380B40">
        <w:rPr>
          <w:lang w:val="en-GB"/>
        </w:rPr>
        <w:t>than</w:t>
      </w:r>
      <w:r w:rsidRPr="00380B40">
        <w:rPr>
          <w:spacing w:val="-6"/>
          <w:lang w:val="en-GB"/>
        </w:rPr>
        <w:t xml:space="preserve"> </w:t>
      </w:r>
      <w:r w:rsidRPr="00380B40">
        <w:rPr>
          <w:spacing w:val="1"/>
          <w:lang w:val="en-GB"/>
        </w:rPr>
        <w:t>12</w:t>
      </w:r>
      <w:r w:rsidRPr="00380B40">
        <w:rPr>
          <w:spacing w:val="-8"/>
          <w:lang w:val="en-GB"/>
        </w:rPr>
        <w:t xml:space="preserve"> </w:t>
      </w:r>
      <w:r w:rsidRPr="00380B40">
        <w:rPr>
          <w:spacing w:val="-1"/>
          <w:lang w:val="en-GB"/>
        </w:rPr>
        <w:t>calendar</w:t>
      </w:r>
      <w:r w:rsidRPr="00380B40">
        <w:rPr>
          <w:spacing w:val="-6"/>
          <w:lang w:val="en-GB"/>
        </w:rPr>
        <w:t xml:space="preserve"> </w:t>
      </w:r>
      <w:r w:rsidRPr="00380B40">
        <w:rPr>
          <w:spacing w:val="-1"/>
          <w:lang w:val="en-GB"/>
        </w:rPr>
        <w:t>days</w:t>
      </w:r>
      <w:r w:rsidRPr="00380B40">
        <w:rPr>
          <w:spacing w:val="-7"/>
          <w:lang w:val="en-GB"/>
        </w:rPr>
        <w:t xml:space="preserve"> </w:t>
      </w:r>
      <w:r w:rsidRPr="00380B40">
        <w:rPr>
          <w:lang w:val="en-GB"/>
        </w:rPr>
        <w:t>before</w:t>
      </w:r>
      <w:r w:rsidRPr="00380B40">
        <w:rPr>
          <w:spacing w:val="-9"/>
          <w:lang w:val="en-GB"/>
        </w:rPr>
        <w:t xml:space="preserve"> </w:t>
      </w:r>
      <w:r w:rsidRPr="00380B40">
        <w:rPr>
          <w:lang w:val="en-GB"/>
        </w:rPr>
        <w:t>the</w:t>
      </w:r>
      <w:r w:rsidRPr="00380B40">
        <w:rPr>
          <w:spacing w:val="-9"/>
          <w:lang w:val="en-GB"/>
        </w:rPr>
        <w:t xml:space="preserve"> </w:t>
      </w:r>
      <w:r w:rsidRPr="00380B40">
        <w:rPr>
          <w:lang w:val="en-GB"/>
        </w:rPr>
        <w:t>meeting</w:t>
      </w:r>
      <w:r w:rsidRPr="00380B40">
        <w:rPr>
          <w:spacing w:val="-8"/>
          <w:lang w:val="en-GB"/>
        </w:rPr>
        <w:t xml:space="preserve"> </w:t>
      </w:r>
      <w:r w:rsidRPr="00380B40">
        <w:rPr>
          <w:lang w:val="en-GB"/>
        </w:rPr>
        <w:t>will</w:t>
      </w:r>
      <w:r w:rsidRPr="00380B40">
        <w:rPr>
          <w:spacing w:val="-7"/>
          <w:lang w:val="en-GB"/>
        </w:rPr>
        <w:t xml:space="preserve"> </w:t>
      </w:r>
      <w:r w:rsidRPr="00380B40">
        <w:rPr>
          <w:lang w:val="en-GB"/>
        </w:rPr>
        <w:t>not</w:t>
      </w:r>
      <w:r w:rsidRPr="00380B40">
        <w:rPr>
          <w:spacing w:val="48"/>
          <w:lang w:val="en-GB"/>
        </w:rPr>
        <w:t xml:space="preserve"> </w:t>
      </w:r>
      <w:r w:rsidRPr="00380B40">
        <w:rPr>
          <w:spacing w:val="-1"/>
          <w:lang w:val="en-GB"/>
        </w:rPr>
        <w:t>appear</w:t>
      </w:r>
      <w:r w:rsidRPr="00380B40">
        <w:rPr>
          <w:spacing w:val="15"/>
          <w:lang w:val="en-GB"/>
        </w:rPr>
        <w:t xml:space="preserve"> </w:t>
      </w:r>
      <w:r w:rsidRPr="00380B40">
        <w:rPr>
          <w:lang w:val="en-GB"/>
        </w:rPr>
        <w:t>on</w:t>
      </w:r>
      <w:r w:rsidRPr="00380B40">
        <w:rPr>
          <w:spacing w:val="14"/>
          <w:lang w:val="en-GB"/>
        </w:rPr>
        <w:t xml:space="preserve"> </w:t>
      </w:r>
      <w:r w:rsidRPr="00380B40">
        <w:rPr>
          <w:lang w:val="en-GB"/>
        </w:rPr>
        <w:t>the</w:t>
      </w:r>
      <w:r w:rsidRPr="00380B40">
        <w:rPr>
          <w:spacing w:val="16"/>
          <w:lang w:val="en-GB"/>
        </w:rPr>
        <w:t xml:space="preserve"> </w:t>
      </w:r>
      <w:r w:rsidRPr="00380B40">
        <w:rPr>
          <w:spacing w:val="-1"/>
          <w:lang w:val="en-GB"/>
        </w:rPr>
        <w:t>agenda</w:t>
      </w:r>
      <w:r w:rsidRPr="00380B40">
        <w:rPr>
          <w:spacing w:val="15"/>
          <w:lang w:val="en-GB"/>
        </w:rPr>
        <w:t xml:space="preserve"> </w:t>
      </w:r>
      <w:r w:rsidRPr="00380B40">
        <w:rPr>
          <w:lang w:val="en-GB"/>
        </w:rPr>
        <w:t>of</w:t>
      </w:r>
      <w:r w:rsidRPr="00380B40">
        <w:rPr>
          <w:spacing w:val="15"/>
          <w:lang w:val="en-GB"/>
        </w:rPr>
        <w:t xml:space="preserve"> </w:t>
      </w:r>
      <w:r w:rsidRPr="00380B40">
        <w:rPr>
          <w:lang w:val="en-GB"/>
        </w:rPr>
        <w:t>the</w:t>
      </w:r>
      <w:r w:rsidRPr="00380B40">
        <w:rPr>
          <w:spacing w:val="13"/>
          <w:lang w:val="en-GB"/>
        </w:rPr>
        <w:t xml:space="preserve"> </w:t>
      </w:r>
      <w:r w:rsidRPr="00380B40">
        <w:rPr>
          <w:spacing w:val="-1"/>
          <w:lang w:val="en-GB"/>
        </w:rPr>
        <w:t>meeting,</w:t>
      </w:r>
      <w:r w:rsidRPr="00380B40">
        <w:rPr>
          <w:spacing w:val="14"/>
          <w:lang w:val="en-GB"/>
        </w:rPr>
        <w:t xml:space="preserve"> </w:t>
      </w:r>
      <w:r w:rsidRPr="00380B40">
        <w:rPr>
          <w:lang w:val="en-GB"/>
        </w:rPr>
        <w:t>will</w:t>
      </w:r>
      <w:r w:rsidRPr="00380B40">
        <w:rPr>
          <w:spacing w:val="14"/>
          <w:lang w:val="en-GB"/>
        </w:rPr>
        <w:t xml:space="preserve"> </w:t>
      </w:r>
      <w:r w:rsidRPr="00380B40">
        <w:rPr>
          <w:lang w:val="en-GB"/>
        </w:rPr>
        <w:t>not</w:t>
      </w:r>
      <w:r w:rsidRPr="00380B40">
        <w:rPr>
          <w:spacing w:val="14"/>
          <w:lang w:val="en-GB"/>
        </w:rPr>
        <w:t xml:space="preserve"> </w:t>
      </w:r>
      <w:r w:rsidRPr="00380B40">
        <w:rPr>
          <w:lang w:val="en-GB"/>
        </w:rPr>
        <w:t>be</w:t>
      </w:r>
      <w:r w:rsidRPr="00380B40">
        <w:rPr>
          <w:spacing w:val="15"/>
          <w:lang w:val="en-GB"/>
        </w:rPr>
        <w:t xml:space="preserve"> </w:t>
      </w:r>
      <w:r w:rsidRPr="00380B40">
        <w:rPr>
          <w:spacing w:val="-1"/>
          <w:lang w:val="en-GB"/>
        </w:rPr>
        <w:t>distributed</w:t>
      </w:r>
      <w:r w:rsidRPr="00380B40">
        <w:rPr>
          <w:spacing w:val="14"/>
          <w:lang w:val="en-GB"/>
        </w:rPr>
        <w:t xml:space="preserve"> </w:t>
      </w:r>
      <w:r w:rsidRPr="00380B40">
        <w:rPr>
          <w:spacing w:val="-1"/>
          <w:lang w:val="en-GB"/>
        </w:rPr>
        <w:t>and</w:t>
      </w:r>
      <w:r w:rsidRPr="00380B40">
        <w:rPr>
          <w:spacing w:val="14"/>
          <w:lang w:val="en-GB"/>
        </w:rPr>
        <w:t xml:space="preserve"> </w:t>
      </w:r>
      <w:r w:rsidRPr="00380B40">
        <w:rPr>
          <w:lang w:val="en-GB"/>
        </w:rPr>
        <w:t>will</w:t>
      </w:r>
      <w:r w:rsidRPr="00380B40">
        <w:rPr>
          <w:spacing w:val="14"/>
          <w:lang w:val="en-GB"/>
        </w:rPr>
        <w:t xml:space="preserve"> </w:t>
      </w:r>
      <w:r w:rsidRPr="00380B40">
        <w:rPr>
          <w:lang w:val="en-GB"/>
        </w:rPr>
        <w:t>be</w:t>
      </w:r>
      <w:r w:rsidRPr="00380B40">
        <w:rPr>
          <w:spacing w:val="13"/>
          <w:lang w:val="en-GB"/>
        </w:rPr>
        <w:t xml:space="preserve"> </w:t>
      </w:r>
      <w:r w:rsidRPr="00380B40">
        <w:rPr>
          <w:lang w:val="en-GB"/>
        </w:rPr>
        <w:t>held</w:t>
      </w:r>
      <w:r w:rsidRPr="00380B40">
        <w:rPr>
          <w:spacing w:val="14"/>
          <w:lang w:val="en-GB"/>
        </w:rPr>
        <w:t xml:space="preserve"> </w:t>
      </w:r>
      <w:r w:rsidRPr="00380B40">
        <w:rPr>
          <w:lang w:val="en-GB"/>
        </w:rPr>
        <w:t>for</w:t>
      </w:r>
      <w:r w:rsidRPr="00380B40">
        <w:rPr>
          <w:spacing w:val="12"/>
          <w:lang w:val="en-GB"/>
        </w:rPr>
        <w:t xml:space="preserve"> </w:t>
      </w:r>
      <w:r w:rsidRPr="00380B40">
        <w:rPr>
          <w:lang w:val="en-GB"/>
        </w:rPr>
        <w:t>the</w:t>
      </w:r>
      <w:r w:rsidRPr="00380B40">
        <w:rPr>
          <w:spacing w:val="15"/>
          <w:lang w:val="en-GB"/>
        </w:rPr>
        <w:t xml:space="preserve"> </w:t>
      </w:r>
      <w:r w:rsidRPr="00380B40">
        <w:rPr>
          <w:lang w:val="en-GB"/>
        </w:rPr>
        <w:t>next</w:t>
      </w:r>
      <w:r w:rsidRPr="00380B40">
        <w:rPr>
          <w:spacing w:val="14"/>
          <w:lang w:val="en-GB"/>
        </w:rPr>
        <w:t xml:space="preserve"> </w:t>
      </w:r>
      <w:r w:rsidRPr="00380B40">
        <w:rPr>
          <w:spacing w:val="-1"/>
          <w:lang w:val="en-GB"/>
        </w:rPr>
        <w:t xml:space="preserve">meeting. </w:t>
      </w:r>
      <w:r w:rsidRPr="00380B40">
        <w:rPr>
          <w:lang w:val="en-GB"/>
        </w:rPr>
        <w:t>Contributions judged to be of extreme importance may be admitted by the Director at shorter notice. The final decision as to their consideration by the meeting shall be taken by the study group (or working party).</w:t>
      </w:r>
    </w:p>
    <w:p w14:paraId="783C7053" w14:textId="77777777" w:rsidR="00C12517" w:rsidRPr="00380B40" w:rsidRDefault="00C12517" w:rsidP="00C12517">
      <w:pPr>
        <w:rPr>
          <w:lang w:val="en-GB"/>
        </w:rPr>
      </w:pPr>
      <w:r w:rsidRPr="00380B40">
        <w:rPr>
          <w:b/>
          <w:bCs/>
          <w:lang w:val="en-GB"/>
        </w:rPr>
        <w:t>3.2.6</w:t>
      </w:r>
      <w:r w:rsidRPr="00380B40">
        <w:rPr>
          <w:lang w:val="en-GB"/>
        </w:rPr>
        <w:tab/>
        <w:t>The</w:t>
      </w:r>
      <w:r w:rsidRPr="00380B40">
        <w:rPr>
          <w:spacing w:val="5"/>
          <w:lang w:val="en-GB"/>
        </w:rPr>
        <w:t xml:space="preserve"> </w:t>
      </w:r>
      <w:r w:rsidRPr="00380B40">
        <w:rPr>
          <w:spacing w:val="-1"/>
          <w:lang w:val="en-GB"/>
        </w:rPr>
        <w:t>Director</w:t>
      </w:r>
      <w:r w:rsidRPr="00380B40">
        <w:rPr>
          <w:spacing w:val="6"/>
          <w:lang w:val="en-GB"/>
        </w:rPr>
        <w:t xml:space="preserve"> </w:t>
      </w:r>
      <w:r w:rsidRPr="00380B40">
        <w:rPr>
          <w:lang w:val="en-GB"/>
        </w:rPr>
        <w:t>should</w:t>
      </w:r>
      <w:r w:rsidRPr="00380B40">
        <w:rPr>
          <w:spacing w:val="6"/>
          <w:lang w:val="en-GB"/>
        </w:rPr>
        <w:t xml:space="preserve"> </w:t>
      </w:r>
      <w:r w:rsidRPr="00380B40">
        <w:rPr>
          <w:lang w:val="en-GB"/>
        </w:rPr>
        <w:t>insist</w:t>
      </w:r>
      <w:r w:rsidRPr="00380B40">
        <w:rPr>
          <w:spacing w:val="7"/>
          <w:lang w:val="en-GB"/>
        </w:rPr>
        <w:t xml:space="preserve"> </w:t>
      </w:r>
      <w:r w:rsidRPr="00380B40">
        <w:rPr>
          <w:lang w:val="en-GB"/>
        </w:rPr>
        <w:t>that</w:t>
      </w:r>
      <w:r w:rsidRPr="00380B40">
        <w:rPr>
          <w:spacing w:val="6"/>
          <w:lang w:val="en-GB"/>
        </w:rPr>
        <w:t xml:space="preserve"> </w:t>
      </w:r>
      <w:r w:rsidRPr="00380B40">
        <w:rPr>
          <w:lang w:val="en-GB"/>
        </w:rPr>
        <w:t>contributors</w:t>
      </w:r>
      <w:r w:rsidRPr="00380B40">
        <w:rPr>
          <w:spacing w:val="7"/>
          <w:lang w:val="en-GB"/>
        </w:rPr>
        <w:t xml:space="preserve"> </w:t>
      </w:r>
      <w:r w:rsidRPr="00380B40">
        <w:rPr>
          <w:lang w:val="en-GB"/>
        </w:rPr>
        <w:t>follow</w:t>
      </w:r>
      <w:r w:rsidRPr="00380B40">
        <w:rPr>
          <w:spacing w:val="6"/>
          <w:lang w:val="en-GB"/>
        </w:rPr>
        <w:t xml:space="preserve"> </w:t>
      </w:r>
      <w:r w:rsidRPr="00380B40">
        <w:rPr>
          <w:lang w:val="en-GB"/>
        </w:rPr>
        <w:t>the</w:t>
      </w:r>
      <w:r w:rsidRPr="00380B40">
        <w:rPr>
          <w:spacing w:val="6"/>
          <w:lang w:val="en-GB"/>
        </w:rPr>
        <w:t xml:space="preserve"> </w:t>
      </w:r>
      <w:r w:rsidRPr="00380B40">
        <w:rPr>
          <w:spacing w:val="-1"/>
          <w:lang w:val="en-GB"/>
        </w:rPr>
        <w:t>rules</w:t>
      </w:r>
      <w:r w:rsidRPr="00380B40">
        <w:rPr>
          <w:spacing w:val="7"/>
          <w:lang w:val="en-GB"/>
        </w:rPr>
        <w:t xml:space="preserve"> </w:t>
      </w:r>
      <w:r w:rsidRPr="00380B40">
        <w:rPr>
          <w:spacing w:val="-1"/>
          <w:lang w:val="en-GB"/>
        </w:rPr>
        <w:t>established</w:t>
      </w:r>
      <w:r w:rsidRPr="00380B40">
        <w:rPr>
          <w:spacing w:val="6"/>
          <w:lang w:val="en-GB"/>
        </w:rPr>
        <w:t xml:space="preserve"> </w:t>
      </w:r>
      <w:r w:rsidRPr="00380B40">
        <w:rPr>
          <w:lang w:val="en-GB"/>
        </w:rPr>
        <w:t>for</w:t>
      </w:r>
      <w:r w:rsidRPr="00380B40">
        <w:rPr>
          <w:spacing w:val="8"/>
          <w:lang w:val="en-GB"/>
        </w:rPr>
        <w:t xml:space="preserve"> </w:t>
      </w:r>
      <w:r w:rsidRPr="00380B40">
        <w:rPr>
          <w:lang w:val="en-GB"/>
        </w:rPr>
        <w:t>the</w:t>
      </w:r>
      <w:r w:rsidRPr="00380B40">
        <w:rPr>
          <w:spacing w:val="6"/>
          <w:lang w:val="en-GB"/>
        </w:rPr>
        <w:t xml:space="preserve"> </w:t>
      </w:r>
      <w:r w:rsidRPr="00380B40">
        <w:rPr>
          <w:spacing w:val="-1"/>
          <w:lang w:val="en-GB"/>
        </w:rPr>
        <w:t>presentation</w:t>
      </w:r>
      <w:r w:rsidRPr="00380B40">
        <w:rPr>
          <w:spacing w:val="61"/>
          <w:lang w:val="en-GB"/>
        </w:rPr>
        <w:t xml:space="preserve"> </w:t>
      </w:r>
      <w:r w:rsidRPr="00380B40">
        <w:rPr>
          <w:spacing w:val="-1"/>
          <w:lang w:val="en-GB"/>
        </w:rPr>
        <w:t>and</w:t>
      </w:r>
      <w:r w:rsidRPr="00380B40">
        <w:rPr>
          <w:lang w:val="en-GB"/>
        </w:rPr>
        <w:t xml:space="preserve"> </w:t>
      </w:r>
      <w:r w:rsidRPr="00380B40">
        <w:rPr>
          <w:spacing w:val="-1"/>
          <w:lang w:val="en-GB"/>
        </w:rPr>
        <w:t>form</w:t>
      </w:r>
      <w:r w:rsidRPr="00380B40">
        <w:rPr>
          <w:lang w:val="en-GB"/>
        </w:rPr>
        <w:t xml:space="preserve"> of </w:t>
      </w:r>
      <w:r w:rsidRPr="00380B40">
        <w:rPr>
          <w:spacing w:val="-1"/>
          <w:lang w:val="en-GB"/>
        </w:rPr>
        <w:t>documents</w:t>
      </w:r>
      <w:r w:rsidRPr="00380B40">
        <w:rPr>
          <w:lang w:val="en-GB"/>
        </w:rPr>
        <w:t xml:space="preserve"> set out in clause 2 of </w:t>
      </w:r>
      <w:r w:rsidRPr="00380B40">
        <w:rPr>
          <w:spacing w:val="-1"/>
          <w:lang w:val="en-GB"/>
        </w:rPr>
        <w:t>[ITU</w:t>
      </w:r>
      <w:r w:rsidRPr="00380B40">
        <w:rPr>
          <w:lang w:val="en-GB"/>
        </w:rPr>
        <w:noBreakHyphen/>
      </w:r>
      <w:r w:rsidRPr="00380B40">
        <w:rPr>
          <w:spacing w:val="-1"/>
          <w:lang w:val="en-GB"/>
        </w:rPr>
        <w:t>T</w:t>
      </w:r>
      <w:r w:rsidRPr="00380B40">
        <w:rPr>
          <w:spacing w:val="1"/>
          <w:lang w:val="en-GB"/>
        </w:rPr>
        <w:t xml:space="preserve"> </w:t>
      </w:r>
      <w:r w:rsidRPr="00380B40">
        <w:rPr>
          <w:lang w:val="en-GB"/>
        </w:rPr>
        <w:t xml:space="preserve">A.2], </w:t>
      </w:r>
      <w:r w:rsidRPr="00380B40">
        <w:rPr>
          <w:spacing w:val="-1"/>
          <w:lang w:val="en-GB"/>
        </w:rPr>
        <w:t>and</w:t>
      </w:r>
      <w:r w:rsidRPr="00380B40">
        <w:rPr>
          <w:spacing w:val="2"/>
          <w:lang w:val="en-GB"/>
        </w:rPr>
        <w:t xml:space="preserve"> </w:t>
      </w:r>
      <w:r w:rsidRPr="00380B40">
        <w:rPr>
          <w:lang w:val="en-GB"/>
        </w:rPr>
        <w:t xml:space="preserve">the timing </w:t>
      </w:r>
      <w:r w:rsidRPr="00380B40">
        <w:rPr>
          <w:spacing w:val="-1"/>
          <w:lang w:val="en-GB"/>
        </w:rPr>
        <w:t>given</w:t>
      </w:r>
      <w:r w:rsidRPr="00380B40">
        <w:rPr>
          <w:lang w:val="en-GB"/>
        </w:rPr>
        <w:t xml:space="preserve"> in</w:t>
      </w:r>
      <w:r w:rsidRPr="00380B40">
        <w:rPr>
          <w:spacing w:val="2"/>
          <w:lang w:val="en-GB"/>
        </w:rPr>
        <w:t xml:space="preserve"> </w:t>
      </w:r>
      <w:r w:rsidRPr="00380B40">
        <w:rPr>
          <w:spacing w:val="-1"/>
          <w:lang w:val="en-GB"/>
        </w:rPr>
        <w:t>clause</w:t>
      </w:r>
      <w:r w:rsidRPr="00380B40">
        <w:rPr>
          <w:lang w:val="en-GB"/>
        </w:rPr>
        <w:t> 3.1.9.</w:t>
      </w:r>
      <w:r w:rsidRPr="00380B40">
        <w:rPr>
          <w:spacing w:val="73"/>
          <w:lang w:val="en-GB"/>
        </w:rPr>
        <w:t xml:space="preserve"> </w:t>
      </w:r>
      <w:r w:rsidRPr="00380B40">
        <w:rPr>
          <w:lang w:val="en-GB"/>
        </w:rPr>
        <w:t xml:space="preserve">A </w:t>
      </w:r>
      <w:r w:rsidRPr="00380B40">
        <w:rPr>
          <w:spacing w:val="-1"/>
          <w:lang w:val="en-GB"/>
        </w:rPr>
        <w:t>reminder</w:t>
      </w:r>
      <w:r w:rsidRPr="00380B40">
        <w:rPr>
          <w:lang w:val="en-GB"/>
        </w:rPr>
        <w:t xml:space="preserve"> should be</w:t>
      </w:r>
      <w:r w:rsidRPr="00380B40">
        <w:rPr>
          <w:spacing w:val="-1"/>
          <w:lang w:val="en-GB"/>
        </w:rPr>
        <w:t xml:space="preserve"> </w:t>
      </w:r>
      <w:r w:rsidRPr="00380B40">
        <w:rPr>
          <w:lang w:val="en-GB"/>
        </w:rPr>
        <w:t xml:space="preserve">sent out </w:t>
      </w:r>
      <w:r w:rsidRPr="00380B40">
        <w:rPr>
          <w:spacing w:val="1"/>
          <w:lang w:val="en-GB"/>
        </w:rPr>
        <w:t>by</w:t>
      </w:r>
      <w:r w:rsidRPr="00380B40">
        <w:rPr>
          <w:spacing w:val="-5"/>
          <w:lang w:val="en-GB"/>
        </w:rPr>
        <w:t xml:space="preserve"> </w:t>
      </w:r>
      <w:r w:rsidRPr="00380B40">
        <w:rPr>
          <w:lang w:val="en-GB"/>
        </w:rPr>
        <w:t xml:space="preserve">the </w:t>
      </w:r>
      <w:r w:rsidRPr="00380B40">
        <w:rPr>
          <w:spacing w:val="-1"/>
          <w:lang w:val="en-GB"/>
        </w:rPr>
        <w:t>Director</w:t>
      </w:r>
      <w:r w:rsidRPr="00380B40">
        <w:rPr>
          <w:lang w:val="en-GB"/>
        </w:rPr>
        <w:t xml:space="preserve"> </w:t>
      </w:r>
      <w:r w:rsidRPr="00380B40">
        <w:rPr>
          <w:spacing w:val="-1"/>
          <w:lang w:val="en-GB"/>
        </w:rPr>
        <w:t>whenever</w:t>
      </w:r>
      <w:r w:rsidRPr="00380B40">
        <w:rPr>
          <w:spacing w:val="1"/>
          <w:lang w:val="en-GB"/>
        </w:rPr>
        <w:t xml:space="preserve"> </w:t>
      </w:r>
      <w:r w:rsidRPr="00380B40">
        <w:rPr>
          <w:spacing w:val="-1"/>
          <w:lang w:val="en-GB"/>
        </w:rPr>
        <w:t>appropriate.</w:t>
      </w:r>
    </w:p>
    <w:p w14:paraId="41AE1F9B" w14:textId="77777777" w:rsidR="00C12517" w:rsidRPr="00380B40" w:rsidRDefault="00C12517" w:rsidP="00C12517">
      <w:pPr>
        <w:rPr>
          <w:lang w:val="en-GB"/>
        </w:rPr>
      </w:pPr>
      <w:r w:rsidRPr="00380B40">
        <w:rPr>
          <w:b/>
          <w:bCs/>
          <w:lang w:val="en-GB"/>
        </w:rPr>
        <w:t>3.2.7</w:t>
      </w:r>
      <w:r w:rsidRPr="00380B40">
        <w:rPr>
          <w:lang w:val="en-GB"/>
        </w:rPr>
        <w:tab/>
        <w:t>The</w:t>
      </w:r>
      <w:r w:rsidRPr="00380B40">
        <w:rPr>
          <w:spacing w:val="-2"/>
          <w:lang w:val="en-GB"/>
        </w:rPr>
        <w:t xml:space="preserve"> </w:t>
      </w:r>
      <w:r w:rsidRPr="00380B40">
        <w:rPr>
          <w:spacing w:val="-1"/>
          <w:lang w:val="en-GB"/>
        </w:rPr>
        <w:t>Director,</w:t>
      </w:r>
      <w:r w:rsidRPr="00380B40">
        <w:rPr>
          <w:lang w:val="en-GB"/>
        </w:rPr>
        <w:t xml:space="preserve"> </w:t>
      </w:r>
      <w:r w:rsidRPr="00380B40">
        <w:rPr>
          <w:spacing w:val="-1"/>
          <w:lang w:val="en-GB"/>
        </w:rPr>
        <w:t>with</w:t>
      </w:r>
      <w:r w:rsidRPr="00380B40">
        <w:rPr>
          <w:lang w:val="en-GB"/>
        </w:rPr>
        <w:t xml:space="preserve"> the </w:t>
      </w:r>
      <w:r w:rsidRPr="00380B40">
        <w:rPr>
          <w:spacing w:val="-1"/>
          <w:lang w:val="en-GB"/>
        </w:rPr>
        <w:t>agreement</w:t>
      </w:r>
      <w:r w:rsidRPr="00380B40">
        <w:rPr>
          <w:spacing w:val="1"/>
          <w:lang w:val="en-GB"/>
        </w:rPr>
        <w:t xml:space="preserve"> </w:t>
      </w:r>
      <w:r w:rsidRPr="00380B40">
        <w:rPr>
          <w:lang w:val="en-GB"/>
        </w:rPr>
        <w:t>of the</w:t>
      </w:r>
      <w:r w:rsidRPr="00380B40">
        <w:rPr>
          <w:spacing w:val="-2"/>
          <w:lang w:val="en-GB"/>
        </w:rPr>
        <w:t xml:space="preserve"> </w:t>
      </w:r>
      <w:r w:rsidRPr="00380B40">
        <w:rPr>
          <w:spacing w:val="1"/>
          <w:lang w:val="en-GB"/>
        </w:rPr>
        <w:t>study</w:t>
      </w:r>
      <w:r w:rsidRPr="00380B40">
        <w:rPr>
          <w:spacing w:val="-3"/>
          <w:lang w:val="en-GB"/>
        </w:rPr>
        <w:t xml:space="preserve"> </w:t>
      </w:r>
      <w:r w:rsidRPr="00380B40">
        <w:rPr>
          <w:spacing w:val="-1"/>
          <w:lang w:val="en-GB"/>
        </w:rPr>
        <w:t>group</w:t>
      </w:r>
      <w:r w:rsidRPr="00380B40">
        <w:rPr>
          <w:lang w:val="en-GB"/>
        </w:rPr>
        <w:t xml:space="preserve"> </w:t>
      </w:r>
      <w:r w:rsidRPr="00380B40">
        <w:rPr>
          <w:spacing w:val="-1"/>
          <w:lang w:val="en-GB"/>
        </w:rPr>
        <w:t>chairman,</w:t>
      </w:r>
      <w:r w:rsidRPr="00380B40">
        <w:rPr>
          <w:lang w:val="en-GB"/>
        </w:rPr>
        <w:t xml:space="preserve"> </w:t>
      </w:r>
      <w:r w:rsidRPr="00380B40">
        <w:rPr>
          <w:spacing w:val="1"/>
          <w:lang w:val="en-GB"/>
        </w:rPr>
        <w:t>may</w:t>
      </w:r>
      <w:r w:rsidRPr="00380B40">
        <w:rPr>
          <w:spacing w:val="-5"/>
          <w:lang w:val="en-GB"/>
        </w:rPr>
        <w:t xml:space="preserve"> </w:t>
      </w:r>
      <w:r w:rsidRPr="00380B40">
        <w:rPr>
          <w:lang w:val="en-GB"/>
        </w:rPr>
        <w:t xml:space="preserve">return to the </w:t>
      </w:r>
      <w:r w:rsidRPr="00380B40">
        <w:rPr>
          <w:spacing w:val="-1"/>
          <w:lang w:val="en-GB"/>
        </w:rPr>
        <w:t>contributor</w:t>
      </w:r>
      <w:r w:rsidRPr="00380B40">
        <w:rPr>
          <w:spacing w:val="67"/>
          <w:lang w:val="en-GB"/>
        </w:rPr>
        <w:t xml:space="preserve"> </w:t>
      </w:r>
      <w:r w:rsidRPr="00380B40">
        <w:rPr>
          <w:lang w:val="en-GB"/>
        </w:rPr>
        <w:t>any</w:t>
      </w:r>
      <w:r w:rsidRPr="00380B40">
        <w:rPr>
          <w:spacing w:val="14"/>
          <w:lang w:val="en-GB"/>
        </w:rPr>
        <w:t xml:space="preserve"> </w:t>
      </w:r>
      <w:r w:rsidRPr="00380B40">
        <w:rPr>
          <w:spacing w:val="-1"/>
          <w:lang w:val="en-GB"/>
        </w:rPr>
        <w:t>document</w:t>
      </w:r>
      <w:r w:rsidRPr="00380B40">
        <w:rPr>
          <w:spacing w:val="16"/>
          <w:lang w:val="en-GB"/>
        </w:rPr>
        <w:t xml:space="preserve"> </w:t>
      </w:r>
      <w:r w:rsidRPr="00380B40">
        <w:rPr>
          <w:lang w:val="en-GB"/>
        </w:rPr>
        <w:t>that</w:t>
      </w:r>
      <w:r w:rsidRPr="00380B40">
        <w:rPr>
          <w:spacing w:val="16"/>
          <w:lang w:val="en-GB"/>
        </w:rPr>
        <w:t xml:space="preserve"> </w:t>
      </w:r>
      <w:r w:rsidRPr="00380B40">
        <w:rPr>
          <w:lang w:val="en-GB"/>
        </w:rPr>
        <w:t>does</w:t>
      </w:r>
      <w:r w:rsidRPr="00380B40">
        <w:rPr>
          <w:spacing w:val="19"/>
          <w:lang w:val="en-GB"/>
        </w:rPr>
        <w:t xml:space="preserve"> </w:t>
      </w:r>
      <w:r w:rsidRPr="00380B40">
        <w:rPr>
          <w:lang w:val="en-GB"/>
        </w:rPr>
        <w:t>not</w:t>
      </w:r>
      <w:r w:rsidRPr="00380B40">
        <w:rPr>
          <w:spacing w:val="17"/>
          <w:lang w:val="en-GB"/>
        </w:rPr>
        <w:t xml:space="preserve"> </w:t>
      </w:r>
      <w:r w:rsidRPr="00380B40">
        <w:rPr>
          <w:lang w:val="en-GB"/>
        </w:rPr>
        <w:t>comply</w:t>
      </w:r>
      <w:r w:rsidRPr="00380B40">
        <w:rPr>
          <w:spacing w:val="11"/>
          <w:lang w:val="en-GB"/>
        </w:rPr>
        <w:t xml:space="preserve"> </w:t>
      </w:r>
      <w:r w:rsidRPr="00380B40">
        <w:rPr>
          <w:lang w:val="en-GB"/>
        </w:rPr>
        <w:t>with</w:t>
      </w:r>
      <w:r w:rsidRPr="00380B40">
        <w:rPr>
          <w:spacing w:val="17"/>
          <w:lang w:val="en-GB"/>
        </w:rPr>
        <w:t xml:space="preserve"> </w:t>
      </w:r>
      <w:r w:rsidRPr="00380B40">
        <w:rPr>
          <w:lang w:val="en-GB"/>
        </w:rPr>
        <w:t>the</w:t>
      </w:r>
      <w:r w:rsidRPr="00380B40">
        <w:rPr>
          <w:spacing w:val="20"/>
          <w:lang w:val="en-GB"/>
        </w:rPr>
        <w:t xml:space="preserve"> </w:t>
      </w:r>
      <w:r w:rsidRPr="00380B40">
        <w:rPr>
          <w:spacing w:val="-1"/>
          <w:lang w:val="en-GB"/>
        </w:rPr>
        <w:t>general</w:t>
      </w:r>
      <w:r w:rsidRPr="00380B40">
        <w:rPr>
          <w:spacing w:val="17"/>
          <w:lang w:val="en-GB"/>
        </w:rPr>
        <w:t xml:space="preserve"> </w:t>
      </w:r>
      <w:r w:rsidRPr="00380B40">
        <w:rPr>
          <w:spacing w:val="-1"/>
          <w:lang w:val="en-GB"/>
        </w:rPr>
        <w:t>directives</w:t>
      </w:r>
      <w:r w:rsidRPr="00380B40">
        <w:rPr>
          <w:spacing w:val="16"/>
          <w:lang w:val="en-GB"/>
        </w:rPr>
        <w:t xml:space="preserve"> </w:t>
      </w:r>
      <w:r w:rsidRPr="00380B40">
        <w:rPr>
          <w:spacing w:val="-1"/>
          <w:lang w:val="en-GB"/>
        </w:rPr>
        <w:t>set</w:t>
      </w:r>
      <w:r w:rsidRPr="00380B40">
        <w:rPr>
          <w:spacing w:val="17"/>
          <w:lang w:val="en-GB"/>
        </w:rPr>
        <w:t xml:space="preserve"> </w:t>
      </w:r>
      <w:r w:rsidRPr="00380B40">
        <w:rPr>
          <w:lang w:val="en-GB"/>
        </w:rPr>
        <w:t>out</w:t>
      </w:r>
      <w:r w:rsidRPr="00380B40">
        <w:rPr>
          <w:spacing w:val="17"/>
          <w:lang w:val="en-GB"/>
        </w:rPr>
        <w:t xml:space="preserve"> </w:t>
      </w:r>
      <w:r w:rsidRPr="00380B40">
        <w:rPr>
          <w:lang w:val="en-GB"/>
        </w:rPr>
        <w:t>in</w:t>
      </w:r>
      <w:r w:rsidRPr="00380B40">
        <w:rPr>
          <w:spacing w:val="19"/>
          <w:lang w:val="en-GB"/>
        </w:rPr>
        <w:t xml:space="preserve"> </w:t>
      </w:r>
      <w:r w:rsidRPr="00380B40">
        <w:rPr>
          <w:spacing w:val="-1"/>
          <w:lang w:val="en-GB"/>
        </w:rPr>
        <w:t>[</w:t>
      </w:r>
      <w:r w:rsidRPr="00380B40">
        <w:rPr>
          <w:lang w:val="en-GB"/>
        </w:rPr>
        <w:t>ITU</w:t>
      </w:r>
      <w:r w:rsidRPr="00380B40">
        <w:rPr>
          <w:lang w:val="en-GB"/>
        </w:rPr>
        <w:noBreakHyphen/>
        <w:t>T</w:t>
      </w:r>
      <w:r w:rsidRPr="00380B40">
        <w:rPr>
          <w:spacing w:val="75"/>
          <w:lang w:val="en-GB"/>
        </w:rPr>
        <w:t> </w:t>
      </w:r>
      <w:r w:rsidRPr="00380B40">
        <w:rPr>
          <w:lang w:val="en-GB"/>
        </w:rPr>
        <w:t xml:space="preserve">A.2], so </w:t>
      </w:r>
      <w:r w:rsidRPr="00380B40">
        <w:rPr>
          <w:spacing w:val="-1"/>
          <w:lang w:val="en-GB"/>
        </w:rPr>
        <w:t>that</w:t>
      </w:r>
      <w:r w:rsidRPr="00380B40">
        <w:rPr>
          <w:lang w:val="en-GB"/>
        </w:rPr>
        <w:t xml:space="preserve"> it may</w:t>
      </w:r>
      <w:r w:rsidRPr="00380B40">
        <w:rPr>
          <w:spacing w:val="-5"/>
          <w:lang w:val="en-GB"/>
        </w:rPr>
        <w:t xml:space="preserve"> </w:t>
      </w:r>
      <w:r w:rsidRPr="00380B40">
        <w:rPr>
          <w:lang w:val="en-GB"/>
        </w:rPr>
        <w:t>be</w:t>
      </w:r>
      <w:r w:rsidRPr="00380B40">
        <w:rPr>
          <w:spacing w:val="-1"/>
          <w:lang w:val="en-GB"/>
        </w:rPr>
        <w:t xml:space="preserve"> </w:t>
      </w:r>
      <w:r w:rsidRPr="00380B40">
        <w:rPr>
          <w:lang w:val="en-GB"/>
        </w:rPr>
        <w:t xml:space="preserve">brought into line </w:t>
      </w:r>
      <w:r w:rsidRPr="00380B40">
        <w:rPr>
          <w:spacing w:val="-1"/>
          <w:lang w:val="en-GB"/>
        </w:rPr>
        <w:t>with</w:t>
      </w:r>
      <w:r w:rsidRPr="00380B40">
        <w:rPr>
          <w:lang w:val="en-GB"/>
        </w:rPr>
        <w:t xml:space="preserve"> those</w:t>
      </w:r>
      <w:r w:rsidRPr="00380B40">
        <w:rPr>
          <w:spacing w:val="-1"/>
          <w:lang w:val="en-GB"/>
        </w:rPr>
        <w:t xml:space="preserve"> directives.</w:t>
      </w:r>
    </w:p>
    <w:p w14:paraId="4FFF5619" w14:textId="77777777" w:rsidR="00C12517" w:rsidRPr="00380B40" w:rsidRDefault="00C12517" w:rsidP="00C12517">
      <w:pPr>
        <w:rPr>
          <w:lang w:val="en-GB"/>
        </w:rPr>
      </w:pPr>
      <w:r w:rsidRPr="00380B40">
        <w:rPr>
          <w:b/>
          <w:bCs/>
          <w:lang w:val="en-GB"/>
        </w:rPr>
        <w:t>3.2.8</w:t>
      </w:r>
      <w:r w:rsidRPr="00380B40">
        <w:rPr>
          <w:lang w:val="en-GB"/>
        </w:rPr>
        <w:tab/>
        <w:t>Contributions</w:t>
      </w:r>
      <w:r w:rsidRPr="00380B40">
        <w:rPr>
          <w:spacing w:val="-9"/>
          <w:lang w:val="en-GB"/>
        </w:rPr>
        <w:t xml:space="preserve"> </w:t>
      </w:r>
      <w:r w:rsidRPr="00380B40">
        <w:rPr>
          <w:spacing w:val="-1"/>
          <w:lang w:val="en-GB"/>
        </w:rPr>
        <w:t>shall</w:t>
      </w:r>
      <w:r w:rsidRPr="00380B40">
        <w:rPr>
          <w:spacing w:val="-9"/>
          <w:lang w:val="en-GB"/>
        </w:rPr>
        <w:t xml:space="preserve"> </w:t>
      </w:r>
      <w:r w:rsidRPr="00380B40">
        <w:rPr>
          <w:spacing w:val="-1"/>
          <w:lang w:val="en-GB"/>
        </w:rPr>
        <w:t>not</w:t>
      </w:r>
      <w:r w:rsidRPr="00380B40">
        <w:rPr>
          <w:spacing w:val="-10"/>
          <w:lang w:val="en-GB"/>
        </w:rPr>
        <w:t xml:space="preserve"> </w:t>
      </w:r>
      <w:r w:rsidRPr="00380B40">
        <w:rPr>
          <w:spacing w:val="-2"/>
          <w:lang w:val="en-GB"/>
        </w:rPr>
        <w:t>be</w:t>
      </w:r>
      <w:r w:rsidRPr="00380B40">
        <w:rPr>
          <w:spacing w:val="-11"/>
          <w:lang w:val="en-GB"/>
        </w:rPr>
        <w:t xml:space="preserve"> </w:t>
      </w:r>
      <w:r w:rsidRPr="00380B40">
        <w:rPr>
          <w:lang w:val="en-GB"/>
        </w:rPr>
        <w:t>included</w:t>
      </w:r>
      <w:r w:rsidRPr="00380B40">
        <w:rPr>
          <w:spacing w:val="-10"/>
          <w:lang w:val="en-GB"/>
        </w:rPr>
        <w:t xml:space="preserve"> </w:t>
      </w:r>
      <w:r w:rsidRPr="00380B40">
        <w:rPr>
          <w:lang w:val="en-GB"/>
        </w:rPr>
        <w:t>in</w:t>
      </w:r>
      <w:r w:rsidRPr="00380B40">
        <w:rPr>
          <w:spacing w:val="-10"/>
          <w:lang w:val="en-GB"/>
        </w:rPr>
        <w:t xml:space="preserve"> </w:t>
      </w:r>
      <w:r w:rsidRPr="00380B40">
        <w:rPr>
          <w:spacing w:val="-1"/>
          <w:lang w:val="en-GB"/>
        </w:rPr>
        <w:t>reports</w:t>
      </w:r>
      <w:r w:rsidRPr="00380B40">
        <w:rPr>
          <w:spacing w:val="-10"/>
          <w:lang w:val="en-GB"/>
        </w:rPr>
        <w:t xml:space="preserve"> </w:t>
      </w:r>
      <w:r w:rsidRPr="00380B40">
        <w:rPr>
          <w:spacing w:val="-1"/>
          <w:lang w:val="en-GB"/>
        </w:rPr>
        <w:t>as</w:t>
      </w:r>
      <w:r w:rsidRPr="00380B40">
        <w:rPr>
          <w:spacing w:val="-10"/>
          <w:lang w:val="en-GB"/>
        </w:rPr>
        <w:t xml:space="preserve"> </w:t>
      </w:r>
      <w:r w:rsidRPr="00380B40">
        <w:rPr>
          <w:lang w:val="en-GB"/>
        </w:rPr>
        <w:t>annexes,</w:t>
      </w:r>
      <w:r w:rsidRPr="00380B40">
        <w:rPr>
          <w:spacing w:val="-10"/>
          <w:lang w:val="en-GB"/>
        </w:rPr>
        <w:t xml:space="preserve"> </w:t>
      </w:r>
      <w:r w:rsidRPr="00380B40">
        <w:rPr>
          <w:lang w:val="en-GB"/>
        </w:rPr>
        <w:t>but</w:t>
      </w:r>
      <w:r w:rsidRPr="00380B40">
        <w:rPr>
          <w:spacing w:val="-10"/>
          <w:lang w:val="en-GB"/>
        </w:rPr>
        <w:t xml:space="preserve"> </w:t>
      </w:r>
      <w:r w:rsidRPr="00380B40">
        <w:rPr>
          <w:lang w:val="en-GB"/>
        </w:rPr>
        <w:t>should</w:t>
      </w:r>
      <w:r w:rsidRPr="00380B40">
        <w:rPr>
          <w:spacing w:val="-10"/>
          <w:lang w:val="en-GB"/>
        </w:rPr>
        <w:t xml:space="preserve"> </w:t>
      </w:r>
      <w:r w:rsidRPr="00380B40">
        <w:rPr>
          <w:lang w:val="en-GB"/>
        </w:rPr>
        <w:t>be</w:t>
      </w:r>
      <w:r w:rsidRPr="00380B40">
        <w:rPr>
          <w:spacing w:val="-11"/>
          <w:lang w:val="en-GB"/>
        </w:rPr>
        <w:t xml:space="preserve"> </w:t>
      </w:r>
      <w:r w:rsidRPr="00380B40">
        <w:rPr>
          <w:spacing w:val="-1"/>
          <w:lang w:val="en-GB"/>
        </w:rPr>
        <w:t>referenced</w:t>
      </w:r>
      <w:r w:rsidRPr="00380B40">
        <w:rPr>
          <w:spacing w:val="-10"/>
          <w:lang w:val="en-GB"/>
        </w:rPr>
        <w:t xml:space="preserve"> </w:t>
      </w:r>
      <w:r w:rsidRPr="00380B40">
        <w:rPr>
          <w:spacing w:val="-1"/>
          <w:lang w:val="en-GB"/>
        </w:rPr>
        <w:t>as</w:t>
      </w:r>
      <w:r w:rsidRPr="00380B40">
        <w:rPr>
          <w:spacing w:val="-10"/>
          <w:lang w:val="en-GB"/>
        </w:rPr>
        <w:t xml:space="preserve"> </w:t>
      </w:r>
      <w:r w:rsidRPr="00380B40">
        <w:rPr>
          <w:spacing w:val="-1"/>
          <w:lang w:val="en-GB"/>
        </w:rPr>
        <w:t>needed.</w:t>
      </w:r>
    </w:p>
    <w:p w14:paraId="1196E04A" w14:textId="77777777" w:rsidR="00C12517" w:rsidRPr="00380B40" w:rsidRDefault="00C12517" w:rsidP="00C12517">
      <w:pPr>
        <w:rPr>
          <w:lang w:val="en-GB"/>
        </w:rPr>
      </w:pPr>
      <w:r w:rsidRPr="00380B40">
        <w:rPr>
          <w:b/>
          <w:bCs/>
          <w:lang w:val="en-GB"/>
        </w:rPr>
        <w:t>3.2.9</w:t>
      </w:r>
      <w:r w:rsidRPr="00380B40">
        <w:rPr>
          <w:lang w:val="en-GB"/>
        </w:rPr>
        <w:tab/>
        <w:t>Contributions</w:t>
      </w:r>
      <w:r w:rsidRPr="00380B40">
        <w:rPr>
          <w:spacing w:val="2"/>
          <w:lang w:val="en-GB"/>
        </w:rPr>
        <w:t xml:space="preserve"> </w:t>
      </w:r>
      <w:r w:rsidRPr="00380B40">
        <w:rPr>
          <w:lang w:val="en-GB"/>
        </w:rPr>
        <w:t>should,</w:t>
      </w:r>
      <w:r w:rsidRPr="00380B40">
        <w:rPr>
          <w:spacing w:val="2"/>
          <w:lang w:val="en-GB"/>
        </w:rPr>
        <w:t xml:space="preserve"> </w:t>
      </w:r>
      <w:r w:rsidRPr="00380B40">
        <w:rPr>
          <w:lang w:val="en-GB"/>
        </w:rPr>
        <w:t>as far</w:t>
      </w:r>
      <w:r w:rsidRPr="00380B40">
        <w:rPr>
          <w:spacing w:val="1"/>
          <w:lang w:val="en-GB"/>
        </w:rPr>
        <w:t xml:space="preserve"> </w:t>
      </w:r>
      <w:r w:rsidRPr="00380B40">
        <w:rPr>
          <w:lang w:val="en-GB"/>
        </w:rPr>
        <w:t>as</w:t>
      </w:r>
      <w:r w:rsidRPr="00380B40">
        <w:rPr>
          <w:spacing w:val="2"/>
          <w:lang w:val="en-GB"/>
        </w:rPr>
        <w:t xml:space="preserve"> </w:t>
      </w:r>
      <w:r w:rsidRPr="00380B40">
        <w:rPr>
          <w:lang w:val="en-GB"/>
        </w:rPr>
        <w:t>possible,</w:t>
      </w:r>
      <w:r w:rsidRPr="00380B40">
        <w:rPr>
          <w:spacing w:val="1"/>
          <w:lang w:val="en-GB"/>
        </w:rPr>
        <w:t xml:space="preserve"> </w:t>
      </w:r>
      <w:r w:rsidRPr="00380B40">
        <w:rPr>
          <w:lang w:val="en-GB"/>
        </w:rPr>
        <w:t>be</w:t>
      </w:r>
      <w:r w:rsidRPr="00380B40">
        <w:rPr>
          <w:spacing w:val="1"/>
          <w:lang w:val="en-GB"/>
        </w:rPr>
        <w:t xml:space="preserve"> </w:t>
      </w:r>
      <w:r w:rsidRPr="00380B40">
        <w:rPr>
          <w:lang w:val="en-GB"/>
        </w:rPr>
        <w:t>submitted</w:t>
      </w:r>
      <w:r w:rsidRPr="00380B40">
        <w:rPr>
          <w:spacing w:val="1"/>
          <w:lang w:val="en-GB"/>
        </w:rPr>
        <w:t xml:space="preserve"> </w:t>
      </w:r>
      <w:r w:rsidRPr="00380B40">
        <w:rPr>
          <w:lang w:val="en-GB"/>
        </w:rPr>
        <w:t>to</w:t>
      </w:r>
      <w:r w:rsidRPr="00380B40">
        <w:rPr>
          <w:spacing w:val="2"/>
          <w:lang w:val="en-GB"/>
        </w:rPr>
        <w:t xml:space="preserve"> </w:t>
      </w:r>
      <w:r w:rsidRPr="00380B40">
        <w:rPr>
          <w:lang w:val="en-GB"/>
        </w:rPr>
        <w:t>a</w:t>
      </w:r>
      <w:r w:rsidRPr="00380B40">
        <w:rPr>
          <w:spacing w:val="1"/>
          <w:lang w:val="en-GB"/>
        </w:rPr>
        <w:t xml:space="preserve"> </w:t>
      </w:r>
      <w:r w:rsidRPr="00380B40">
        <w:rPr>
          <w:lang w:val="en-GB"/>
        </w:rPr>
        <w:t>single</w:t>
      </w:r>
      <w:r w:rsidRPr="00380B40">
        <w:rPr>
          <w:spacing w:val="1"/>
          <w:lang w:val="en-GB"/>
        </w:rPr>
        <w:t xml:space="preserve"> </w:t>
      </w:r>
      <w:r w:rsidRPr="00380B40">
        <w:rPr>
          <w:lang w:val="en-GB"/>
        </w:rPr>
        <w:t>study</w:t>
      </w:r>
      <w:r w:rsidRPr="00380B40">
        <w:rPr>
          <w:spacing w:val="-3"/>
          <w:lang w:val="en-GB"/>
        </w:rPr>
        <w:t xml:space="preserve"> </w:t>
      </w:r>
      <w:r w:rsidRPr="00380B40">
        <w:rPr>
          <w:lang w:val="en-GB"/>
        </w:rPr>
        <w:t>group.</w:t>
      </w:r>
      <w:r w:rsidRPr="00380B40">
        <w:rPr>
          <w:spacing w:val="4"/>
          <w:lang w:val="en-GB"/>
        </w:rPr>
        <w:t xml:space="preserve"> </w:t>
      </w:r>
      <w:r w:rsidRPr="00380B40">
        <w:rPr>
          <w:spacing w:val="-2"/>
          <w:lang w:val="en-GB"/>
        </w:rPr>
        <w:t>If,</w:t>
      </w:r>
      <w:r w:rsidRPr="00380B40">
        <w:rPr>
          <w:spacing w:val="1"/>
          <w:lang w:val="en-GB"/>
        </w:rPr>
        <w:t xml:space="preserve"> </w:t>
      </w:r>
      <w:r w:rsidRPr="00380B40">
        <w:rPr>
          <w:lang w:val="en-GB"/>
        </w:rPr>
        <w:t>however,</w:t>
      </w:r>
      <w:r w:rsidRPr="00380B40">
        <w:rPr>
          <w:spacing w:val="1"/>
          <w:lang w:val="en-GB"/>
        </w:rPr>
        <w:t xml:space="preserve"> </w:t>
      </w:r>
      <w:r w:rsidRPr="00380B40">
        <w:rPr>
          <w:lang w:val="en-GB"/>
        </w:rPr>
        <w:t>a</w:t>
      </w:r>
      <w:r w:rsidRPr="00380B40">
        <w:rPr>
          <w:spacing w:val="63"/>
          <w:lang w:val="en-GB"/>
        </w:rPr>
        <w:t xml:space="preserve"> </w:t>
      </w:r>
      <w:r w:rsidRPr="00380B40">
        <w:rPr>
          <w:lang w:val="en-GB"/>
        </w:rPr>
        <w:t>member</w:t>
      </w:r>
      <w:r w:rsidRPr="00380B40">
        <w:rPr>
          <w:spacing w:val="23"/>
          <w:lang w:val="en-GB"/>
        </w:rPr>
        <w:t xml:space="preserve"> </w:t>
      </w:r>
      <w:r w:rsidRPr="00380B40">
        <w:rPr>
          <w:lang w:val="en-GB"/>
        </w:rPr>
        <w:t>submits</w:t>
      </w:r>
      <w:r w:rsidRPr="00380B40">
        <w:rPr>
          <w:spacing w:val="28"/>
          <w:lang w:val="en-GB"/>
        </w:rPr>
        <w:t xml:space="preserve"> </w:t>
      </w:r>
      <w:r w:rsidRPr="00380B40">
        <w:rPr>
          <w:lang w:val="en-GB"/>
        </w:rPr>
        <w:t>a</w:t>
      </w:r>
      <w:r w:rsidRPr="00380B40">
        <w:rPr>
          <w:spacing w:val="27"/>
          <w:lang w:val="en-GB"/>
        </w:rPr>
        <w:t xml:space="preserve"> </w:t>
      </w:r>
      <w:r w:rsidRPr="00380B40">
        <w:rPr>
          <w:lang w:val="en-GB"/>
        </w:rPr>
        <w:t>contribution</w:t>
      </w:r>
      <w:r w:rsidRPr="00380B40">
        <w:rPr>
          <w:spacing w:val="29"/>
          <w:lang w:val="en-GB"/>
        </w:rPr>
        <w:t xml:space="preserve"> </w:t>
      </w:r>
      <w:r w:rsidRPr="00380B40">
        <w:rPr>
          <w:lang w:val="en-GB"/>
        </w:rPr>
        <w:t>that</w:t>
      </w:r>
      <w:r w:rsidRPr="00380B40">
        <w:rPr>
          <w:spacing w:val="28"/>
          <w:lang w:val="en-GB"/>
        </w:rPr>
        <w:t xml:space="preserve"> </w:t>
      </w:r>
      <w:r w:rsidRPr="00380B40">
        <w:rPr>
          <w:lang w:val="en-GB"/>
        </w:rPr>
        <w:t>it</w:t>
      </w:r>
      <w:r w:rsidRPr="00380B40">
        <w:rPr>
          <w:spacing w:val="29"/>
          <w:lang w:val="en-GB"/>
        </w:rPr>
        <w:t xml:space="preserve"> </w:t>
      </w:r>
      <w:r w:rsidRPr="00380B40">
        <w:rPr>
          <w:lang w:val="en-GB"/>
        </w:rPr>
        <w:t>believes</w:t>
      </w:r>
      <w:r w:rsidRPr="00380B40">
        <w:rPr>
          <w:spacing w:val="28"/>
          <w:lang w:val="en-GB"/>
        </w:rPr>
        <w:t xml:space="preserve"> </w:t>
      </w:r>
      <w:r w:rsidRPr="00380B40">
        <w:rPr>
          <w:lang w:val="en-GB"/>
        </w:rPr>
        <w:t>is</w:t>
      </w:r>
      <w:r w:rsidRPr="00380B40">
        <w:rPr>
          <w:spacing w:val="29"/>
          <w:lang w:val="en-GB"/>
        </w:rPr>
        <w:t xml:space="preserve"> </w:t>
      </w:r>
      <w:r w:rsidRPr="00380B40">
        <w:rPr>
          <w:lang w:val="en-GB"/>
        </w:rPr>
        <w:t>of</w:t>
      </w:r>
      <w:r w:rsidRPr="00380B40">
        <w:rPr>
          <w:spacing w:val="27"/>
          <w:lang w:val="en-GB"/>
        </w:rPr>
        <w:t xml:space="preserve"> </w:t>
      </w:r>
      <w:r w:rsidRPr="00380B40">
        <w:rPr>
          <w:lang w:val="en-GB"/>
        </w:rPr>
        <w:t>interest</w:t>
      </w:r>
      <w:r w:rsidRPr="00380B40">
        <w:rPr>
          <w:spacing w:val="29"/>
          <w:lang w:val="en-GB"/>
        </w:rPr>
        <w:t xml:space="preserve"> </w:t>
      </w:r>
      <w:r w:rsidRPr="00380B40">
        <w:rPr>
          <w:lang w:val="en-GB"/>
        </w:rPr>
        <w:t>to</w:t>
      </w:r>
      <w:r w:rsidRPr="00380B40">
        <w:rPr>
          <w:spacing w:val="31"/>
          <w:lang w:val="en-GB"/>
        </w:rPr>
        <w:t xml:space="preserve"> </w:t>
      </w:r>
      <w:r w:rsidRPr="00380B40">
        <w:rPr>
          <w:lang w:val="en-GB"/>
        </w:rPr>
        <w:t>several</w:t>
      </w:r>
      <w:r w:rsidRPr="00380B40">
        <w:rPr>
          <w:spacing w:val="29"/>
          <w:lang w:val="en-GB"/>
        </w:rPr>
        <w:t xml:space="preserve"> </w:t>
      </w:r>
      <w:r w:rsidRPr="00380B40">
        <w:rPr>
          <w:lang w:val="en-GB"/>
        </w:rPr>
        <w:t>study</w:t>
      </w:r>
      <w:r w:rsidRPr="00380B40">
        <w:rPr>
          <w:spacing w:val="26"/>
          <w:lang w:val="en-GB"/>
        </w:rPr>
        <w:t xml:space="preserve"> </w:t>
      </w:r>
      <w:r w:rsidRPr="00380B40">
        <w:rPr>
          <w:spacing w:val="1"/>
          <w:lang w:val="en-GB"/>
        </w:rPr>
        <w:t>groups,</w:t>
      </w:r>
      <w:r w:rsidRPr="00380B40">
        <w:rPr>
          <w:spacing w:val="28"/>
          <w:lang w:val="en-GB"/>
        </w:rPr>
        <w:t xml:space="preserve"> </w:t>
      </w:r>
      <w:r w:rsidRPr="00380B40">
        <w:rPr>
          <w:lang w:val="en-GB"/>
        </w:rPr>
        <w:t>it</w:t>
      </w:r>
      <w:r w:rsidRPr="00380B40">
        <w:rPr>
          <w:spacing w:val="86"/>
          <w:lang w:val="en-GB"/>
        </w:rPr>
        <w:t xml:space="preserve"> </w:t>
      </w:r>
      <w:r w:rsidRPr="00380B40">
        <w:rPr>
          <w:lang w:val="en-GB"/>
        </w:rPr>
        <w:t>should</w:t>
      </w:r>
      <w:r w:rsidRPr="00380B40">
        <w:rPr>
          <w:spacing w:val="-10"/>
          <w:lang w:val="en-GB"/>
        </w:rPr>
        <w:t xml:space="preserve"> </w:t>
      </w:r>
      <w:r w:rsidRPr="00380B40">
        <w:rPr>
          <w:lang w:val="en-GB"/>
        </w:rPr>
        <w:t>identify</w:t>
      </w:r>
      <w:r w:rsidRPr="00380B40">
        <w:rPr>
          <w:spacing w:val="-15"/>
          <w:lang w:val="en-GB"/>
        </w:rPr>
        <w:t xml:space="preserve"> </w:t>
      </w:r>
      <w:r w:rsidRPr="00380B40">
        <w:rPr>
          <w:lang w:val="en-GB"/>
        </w:rPr>
        <w:t>the</w:t>
      </w:r>
      <w:r w:rsidRPr="00380B40">
        <w:rPr>
          <w:spacing w:val="-11"/>
          <w:lang w:val="en-GB"/>
        </w:rPr>
        <w:t xml:space="preserve"> </w:t>
      </w:r>
      <w:r w:rsidRPr="00380B40">
        <w:rPr>
          <w:spacing w:val="1"/>
          <w:lang w:val="en-GB"/>
        </w:rPr>
        <w:t>study</w:t>
      </w:r>
      <w:r w:rsidRPr="00380B40">
        <w:rPr>
          <w:spacing w:val="-12"/>
          <w:lang w:val="en-GB"/>
        </w:rPr>
        <w:t xml:space="preserve"> </w:t>
      </w:r>
      <w:r w:rsidRPr="00380B40">
        <w:rPr>
          <w:lang w:val="en-GB"/>
        </w:rPr>
        <w:t>group</w:t>
      </w:r>
      <w:r w:rsidRPr="00380B40">
        <w:rPr>
          <w:spacing w:val="-11"/>
          <w:lang w:val="en-GB"/>
        </w:rPr>
        <w:t xml:space="preserve"> </w:t>
      </w:r>
      <w:r w:rsidRPr="00380B40">
        <w:rPr>
          <w:lang w:val="en-GB"/>
        </w:rPr>
        <w:t>primarily</w:t>
      </w:r>
      <w:r w:rsidRPr="00380B40">
        <w:rPr>
          <w:spacing w:val="-12"/>
          <w:lang w:val="en-GB"/>
        </w:rPr>
        <w:t xml:space="preserve"> </w:t>
      </w:r>
      <w:r w:rsidRPr="00380B40">
        <w:rPr>
          <w:lang w:val="en-GB"/>
        </w:rPr>
        <w:t>concerned;</w:t>
      </w:r>
      <w:r w:rsidRPr="00380B40">
        <w:rPr>
          <w:spacing w:val="-10"/>
          <w:lang w:val="en-GB"/>
        </w:rPr>
        <w:t xml:space="preserve"> </w:t>
      </w:r>
      <w:r w:rsidRPr="00380B40">
        <w:rPr>
          <w:lang w:val="en-GB"/>
        </w:rPr>
        <w:t>a</w:t>
      </w:r>
      <w:r w:rsidRPr="00380B40">
        <w:rPr>
          <w:spacing w:val="-11"/>
          <w:lang w:val="en-GB"/>
        </w:rPr>
        <w:t xml:space="preserve"> </w:t>
      </w:r>
      <w:r w:rsidRPr="00380B40">
        <w:rPr>
          <w:lang w:val="en-GB"/>
        </w:rPr>
        <w:t>single</w:t>
      </w:r>
      <w:r w:rsidRPr="00380B40">
        <w:rPr>
          <w:spacing w:val="-11"/>
          <w:lang w:val="en-GB"/>
        </w:rPr>
        <w:t xml:space="preserve"> </w:t>
      </w:r>
      <w:r w:rsidRPr="00380B40">
        <w:rPr>
          <w:lang w:val="en-GB"/>
        </w:rPr>
        <w:t>sheet</w:t>
      </w:r>
      <w:r w:rsidRPr="00380B40">
        <w:rPr>
          <w:spacing w:val="-10"/>
          <w:lang w:val="en-GB"/>
        </w:rPr>
        <w:t xml:space="preserve"> </w:t>
      </w:r>
      <w:r w:rsidRPr="00380B40">
        <w:rPr>
          <w:lang w:val="en-GB"/>
        </w:rPr>
        <w:t>giving</w:t>
      </w:r>
      <w:r w:rsidRPr="00380B40">
        <w:rPr>
          <w:spacing w:val="-12"/>
          <w:lang w:val="en-GB"/>
        </w:rPr>
        <w:t xml:space="preserve"> </w:t>
      </w:r>
      <w:r w:rsidRPr="00380B40">
        <w:rPr>
          <w:lang w:val="en-GB"/>
        </w:rPr>
        <w:t>the</w:t>
      </w:r>
      <w:r w:rsidRPr="00380B40">
        <w:rPr>
          <w:spacing w:val="-11"/>
          <w:lang w:val="en-GB"/>
        </w:rPr>
        <w:t xml:space="preserve"> </w:t>
      </w:r>
      <w:r w:rsidRPr="00380B40">
        <w:rPr>
          <w:lang w:val="en-GB"/>
        </w:rPr>
        <w:t>title</w:t>
      </w:r>
      <w:r w:rsidRPr="00380B40">
        <w:rPr>
          <w:spacing w:val="-11"/>
          <w:lang w:val="en-GB"/>
        </w:rPr>
        <w:t xml:space="preserve"> </w:t>
      </w:r>
      <w:r w:rsidRPr="00380B40">
        <w:rPr>
          <w:lang w:val="en-GB"/>
        </w:rPr>
        <w:t>of</w:t>
      </w:r>
      <w:r w:rsidRPr="00380B40">
        <w:rPr>
          <w:spacing w:val="-11"/>
          <w:lang w:val="en-GB"/>
        </w:rPr>
        <w:t xml:space="preserve"> </w:t>
      </w:r>
      <w:r w:rsidRPr="00380B40">
        <w:rPr>
          <w:lang w:val="en-GB"/>
        </w:rPr>
        <w:t>the</w:t>
      </w:r>
      <w:r w:rsidRPr="00380B40">
        <w:rPr>
          <w:spacing w:val="-11"/>
          <w:lang w:val="en-GB"/>
        </w:rPr>
        <w:t xml:space="preserve"> </w:t>
      </w:r>
      <w:r w:rsidRPr="00380B40">
        <w:rPr>
          <w:lang w:val="en-GB"/>
        </w:rPr>
        <w:t>contribution,</w:t>
      </w:r>
      <w:r w:rsidRPr="00380B40">
        <w:rPr>
          <w:spacing w:val="76"/>
          <w:lang w:val="en-GB"/>
        </w:rPr>
        <w:t xml:space="preserve"> </w:t>
      </w:r>
      <w:r w:rsidRPr="00380B40">
        <w:rPr>
          <w:lang w:val="en-GB"/>
        </w:rPr>
        <w:t>its</w:t>
      </w:r>
      <w:r w:rsidRPr="00380B40">
        <w:rPr>
          <w:spacing w:val="12"/>
          <w:lang w:val="en-GB"/>
        </w:rPr>
        <w:t xml:space="preserve"> </w:t>
      </w:r>
      <w:r w:rsidRPr="00380B40">
        <w:rPr>
          <w:lang w:val="en-GB"/>
        </w:rPr>
        <w:t>source</w:t>
      </w:r>
      <w:r w:rsidRPr="00380B40">
        <w:rPr>
          <w:spacing w:val="13"/>
          <w:lang w:val="en-GB"/>
        </w:rPr>
        <w:t xml:space="preserve"> </w:t>
      </w:r>
      <w:r w:rsidRPr="00380B40">
        <w:rPr>
          <w:lang w:val="en-GB"/>
        </w:rPr>
        <w:t>and</w:t>
      </w:r>
      <w:r w:rsidRPr="00380B40">
        <w:rPr>
          <w:spacing w:val="14"/>
          <w:lang w:val="en-GB"/>
        </w:rPr>
        <w:t xml:space="preserve"> </w:t>
      </w:r>
      <w:r w:rsidRPr="00380B40">
        <w:rPr>
          <w:lang w:val="en-GB"/>
        </w:rPr>
        <w:t>a</w:t>
      </w:r>
      <w:r w:rsidRPr="00380B40">
        <w:rPr>
          <w:spacing w:val="10"/>
          <w:lang w:val="en-GB"/>
        </w:rPr>
        <w:t xml:space="preserve"> </w:t>
      </w:r>
      <w:r w:rsidRPr="00380B40">
        <w:rPr>
          <w:lang w:val="en-GB"/>
        </w:rPr>
        <w:t>summary</w:t>
      </w:r>
      <w:r w:rsidRPr="00380B40">
        <w:rPr>
          <w:spacing w:val="9"/>
          <w:lang w:val="en-GB"/>
        </w:rPr>
        <w:t xml:space="preserve"> </w:t>
      </w:r>
      <w:r w:rsidRPr="00380B40">
        <w:rPr>
          <w:spacing w:val="1"/>
          <w:lang w:val="en-GB"/>
        </w:rPr>
        <w:t>of</w:t>
      </w:r>
      <w:r w:rsidRPr="00380B40">
        <w:rPr>
          <w:spacing w:val="11"/>
          <w:lang w:val="en-GB"/>
        </w:rPr>
        <w:t xml:space="preserve"> </w:t>
      </w:r>
      <w:r w:rsidRPr="00380B40">
        <w:rPr>
          <w:lang w:val="en-GB"/>
        </w:rPr>
        <w:t>its</w:t>
      </w:r>
      <w:r w:rsidRPr="00380B40">
        <w:rPr>
          <w:spacing w:val="12"/>
          <w:lang w:val="en-GB"/>
        </w:rPr>
        <w:t xml:space="preserve"> </w:t>
      </w:r>
      <w:r w:rsidRPr="00380B40">
        <w:rPr>
          <w:lang w:val="en-GB"/>
        </w:rPr>
        <w:t>contents</w:t>
      </w:r>
      <w:r w:rsidRPr="00380B40">
        <w:rPr>
          <w:spacing w:val="12"/>
          <w:lang w:val="en-GB"/>
        </w:rPr>
        <w:t xml:space="preserve"> </w:t>
      </w:r>
      <w:r w:rsidRPr="00380B40">
        <w:rPr>
          <w:lang w:val="en-GB"/>
        </w:rPr>
        <w:t>will</w:t>
      </w:r>
      <w:r w:rsidRPr="00380B40">
        <w:rPr>
          <w:spacing w:val="12"/>
          <w:lang w:val="en-GB"/>
        </w:rPr>
        <w:t xml:space="preserve"> </w:t>
      </w:r>
      <w:r w:rsidRPr="00380B40">
        <w:rPr>
          <w:lang w:val="en-GB"/>
        </w:rPr>
        <w:t>be</w:t>
      </w:r>
      <w:r w:rsidRPr="00380B40">
        <w:rPr>
          <w:spacing w:val="12"/>
          <w:lang w:val="en-GB"/>
        </w:rPr>
        <w:t xml:space="preserve"> </w:t>
      </w:r>
      <w:r w:rsidRPr="00380B40">
        <w:rPr>
          <w:lang w:val="en-GB"/>
        </w:rPr>
        <w:t>issued</w:t>
      </w:r>
      <w:r w:rsidRPr="00380B40">
        <w:rPr>
          <w:spacing w:val="11"/>
          <w:lang w:val="en-GB"/>
        </w:rPr>
        <w:t xml:space="preserve"> </w:t>
      </w:r>
      <w:r w:rsidRPr="00380B40">
        <w:rPr>
          <w:lang w:val="en-GB"/>
        </w:rPr>
        <w:t>to</w:t>
      </w:r>
      <w:r w:rsidRPr="00380B40">
        <w:rPr>
          <w:spacing w:val="12"/>
          <w:lang w:val="en-GB"/>
        </w:rPr>
        <w:t xml:space="preserve"> </w:t>
      </w:r>
      <w:r w:rsidRPr="00380B40">
        <w:rPr>
          <w:lang w:val="en-GB"/>
        </w:rPr>
        <w:t>the</w:t>
      </w:r>
      <w:r w:rsidRPr="00380B40">
        <w:rPr>
          <w:spacing w:val="11"/>
          <w:lang w:val="en-GB"/>
        </w:rPr>
        <w:t xml:space="preserve"> </w:t>
      </w:r>
      <w:r w:rsidRPr="00380B40">
        <w:rPr>
          <w:lang w:val="en-GB"/>
        </w:rPr>
        <w:t>other</w:t>
      </w:r>
      <w:r w:rsidRPr="00380B40">
        <w:rPr>
          <w:spacing w:val="11"/>
          <w:lang w:val="en-GB"/>
        </w:rPr>
        <w:t xml:space="preserve"> </w:t>
      </w:r>
      <w:r w:rsidRPr="00380B40">
        <w:rPr>
          <w:spacing w:val="1"/>
          <w:lang w:val="en-GB"/>
        </w:rPr>
        <w:t>study</w:t>
      </w:r>
      <w:r w:rsidRPr="00380B40">
        <w:rPr>
          <w:spacing w:val="9"/>
          <w:lang w:val="en-GB"/>
        </w:rPr>
        <w:t xml:space="preserve"> </w:t>
      </w:r>
      <w:r w:rsidRPr="00380B40">
        <w:rPr>
          <w:lang w:val="en-GB"/>
        </w:rPr>
        <w:t>groups by the member.</w:t>
      </w:r>
      <w:r w:rsidRPr="00380B40">
        <w:rPr>
          <w:spacing w:val="13"/>
          <w:lang w:val="en-GB"/>
        </w:rPr>
        <w:t xml:space="preserve"> </w:t>
      </w:r>
      <w:r w:rsidRPr="00380B40">
        <w:rPr>
          <w:lang w:val="en-GB"/>
        </w:rPr>
        <w:t>This</w:t>
      </w:r>
      <w:r w:rsidRPr="00380B40">
        <w:rPr>
          <w:spacing w:val="12"/>
          <w:lang w:val="en-GB"/>
        </w:rPr>
        <w:t xml:space="preserve"> </w:t>
      </w:r>
      <w:r w:rsidRPr="00380B40">
        <w:rPr>
          <w:lang w:val="en-GB"/>
        </w:rPr>
        <w:t>single</w:t>
      </w:r>
      <w:r w:rsidRPr="00380B40">
        <w:rPr>
          <w:spacing w:val="11"/>
          <w:lang w:val="en-GB"/>
        </w:rPr>
        <w:t xml:space="preserve"> </w:t>
      </w:r>
      <w:r w:rsidRPr="00380B40">
        <w:rPr>
          <w:lang w:val="en-GB"/>
        </w:rPr>
        <w:t>sheet</w:t>
      </w:r>
      <w:r w:rsidRPr="00380B40">
        <w:rPr>
          <w:spacing w:val="43"/>
          <w:lang w:val="en-GB"/>
        </w:rPr>
        <w:t xml:space="preserve"> </w:t>
      </w:r>
      <w:r w:rsidRPr="00380B40">
        <w:rPr>
          <w:lang w:val="en-GB"/>
        </w:rPr>
        <w:t>will be numbered in the series of contributions of each study</w:t>
      </w:r>
      <w:r w:rsidRPr="00380B40">
        <w:rPr>
          <w:spacing w:val="-3"/>
          <w:lang w:val="en-GB"/>
        </w:rPr>
        <w:t xml:space="preserve"> </w:t>
      </w:r>
      <w:r w:rsidRPr="00380B40">
        <w:rPr>
          <w:lang w:val="en-GB"/>
        </w:rPr>
        <w:t>group to which it is issued.</w:t>
      </w:r>
    </w:p>
    <w:p w14:paraId="64273D3D" w14:textId="77777777" w:rsidR="00DB6A21" w:rsidRPr="00380B40" w:rsidRDefault="00DB6A21" w:rsidP="00DB6A21">
      <w:pPr>
        <w:rPr>
          <w:lang w:val="en-GB"/>
        </w:rPr>
      </w:pPr>
      <w:bookmarkStart w:id="679" w:name="_Toc206496687"/>
      <w:bookmarkStart w:id="680" w:name="_Toc471716651"/>
      <w:bookmarkStart w:id="681" w:name="_Toc20738324"/>
      <w:bookmarkStart w:id="682" w:name="_Toc21093738"/>
      <w:bookmarkStart w:id="683" w:name="_Toc22280347"/>
      <w:r w:rsidRPr="00380B40">
        <w:rPr>
          <w:lang w:val="en-GB"/>
        </w:rPr>
        <w:br w:type="page"/>
      </w:r>
    </w:p>
    <w:p w14:paraId="50653C81" w14:textId="77777777" w:rsidR="00C12517" w:rsidRPr="00380B40" w:rsidRDefault="00C12517" w:rsidP="00C12517">
      <w:pPr>
        <w:pStyle w:val="Heading2"/>
        <w:tabs>
          <w:tab w:val="left" w:pos="908"/>
        </w:tabs>
        <w:rPr>
          <w:b w:val="0"/>
          <w:bCs/>
          <w:lang w:val="en-GB"/>
        </w:rPr>
      </w:pPr>
      <w:bookmarkStart w:id="684" w:name="_Toc111636845"/>
      <w:r w:rsidRPr="00380B40">
        <w:rPr>
          <w:lang w:val="en-GB"/>
        </w:rPr>
        <w:t>3.3</w:t>
      </w:r>
      <w:r w:rsidRPr="00380B40">
        <w:rPr>
          <w:lang w:val="en-GB"/>
        </w:rPr>
        <w:tab/>
      </w:r>
      <w:bookmarkStart w:id="685" w:name="_Toc532428472"/>
      <w:r w:rsidRPr="00380B40">
        <w:rPr>
          <w:lang w:val="en-GB"/>
        </w:rPr>
        <w:t>TDs</w:t>
      </w:r>
      <w:bookmarkEnd w:id="679"/>
      <w:bookmarkEnd w:id="680"/>
      <w:bookmarkEnd w:id="681"/>
      <w:bookmarkEnd w:id="682"/>
      <w:bookmarkEnd w:id="683"/>
      <w:bookmarkEnd w:id="684"/>
      <w:bookmarkEnd w:id="685"/>
    </w:p>
    <w:p w14:paraId="56CEF78E" w14:textId="77777777" w:rsidR="00C12517" w:rsidRPr="00380B40" w:rsidRDefault="00C12517" w:rsidP="00C12517">
      <w:pPr>
        <w:rPr>
          <w:lang w:val="en-GB"/>
        </w:rPr>
      </w:pPr>
      <w:r w:rsidRPr="00380B40">
        <w:rPr>
          <w:b/>
          <w:bCs/>
          <w:lang w:val="en-GB"/>
        </w:rPr>
        <w:t>3.3.1</w:t>
      </w:r>
      <w:r w:rsidRPr="00380B40">
        <w:rPr>
          <w:lang w:val="en-GB"/>
        </w:rPr>
        <w:tab/>
        <w:t>TDs</w:t>
      </w:r>
      <w:r w:rsidRPr="00380B40">
        <w:rPr>
          <w:spacing w:val="-7"/>
          <w:lang w:val="en-GB"/>
        </w:rPr>
        <w:t xml:space="preserve"> </w:t>
      </w:r>
      <w:r w:rsidRPr="00380B40">
        <w:rPr>
          <w:lang w:val="en-GB"/>
        </w:rPr>
        <w:t>should</w:t>
      </w:r>
      <w:r w:rsidRPr="00380B40">
        <w:rPr>
          <w:spacing w:val="-8"/>
          <w:lang w:val="en-GB"/>
        </w:rPr>
        <w:t xml:space="preserve"> </w:t>
      </w:r>
      <w:r w:rsidRPr="00380B40">
        <w:rPr>
          <w:lang w:val="en-GB"/>
        </w:rPr>
        <w:t>be</w:t>
      </w:r>
      <w:r w:rsidRPr="00380B40">
        <w:rPr>
          <w:spacing w:val="-9"/>
          <w:lang w:val="en-GB"/>
        </w:rPr>
        <w:t xml:space="preserve"> </w:t>
      </w:r>
      <w:r w:rsidRPr="00380B40">
        <w:rPr>
          <w:lang w:val="en-GB"/>
        </w:rPr>
        <w:t>provided</w:t>
      </w:r>
      <w:r w:rsidRPr="00380B40">
        <w:rPr>
          <w:spacing w:val="-8"/>
          <w:lang w:val="en-GB"/>
        </w:rPr>
        <w:t xml:space="preserve"> </w:t>
      </w:r>
      <w:r w:rsidRPr="00380B40">
        <w:rPr>
          <w:lang w:val="en-GB"/>
        </w:rPr>
        <w:t>to</w:t>
      </w:r>
      <w:r w:rsidRPr="00380B40">
        <w:rPr>
          <w:spacing w:val="-7"/>
          <w:lang w:val="en-GB"/>
        </w:rPr>
        <w:t xml:space="preserve"> </w:t>
      </w:r>
      <w:r w:rsidRPr="00380B40">
        <w:rPr>
          <w:lang w:val="en-GB"/>
        </w:rPr>
        <w:t>TSB</w:t>
      </w:r>
      <w:r w:rsidRPr="00380B40">
        <w:rPr>
          <w:spacing w:val="-9"/>
          <w:lang w:val="en-GB"/>
        </w:rPr>
        <w:t xml:space="preserve"> </w:t>
      </w:r>
      <w:r w:rsidRPr="00380B40">
        <w:rPr>
          <w:lang w:val="en-GB"/>
        </w:rPr>
        <w:t>in</w:t>
      </w:r>
      <w:r w:rsidRPr="00380B40">
        <w:rPr>
          <w:spacing w:val="-7"/>
          <w:lang w:val="en-GB"/>
        </w:rPr>
        <w:t xml:space="preserve"> </w:t>
      </w:r>
      <w:r w:rsidRPr="00380B40">
        <w:rPr>
          <w:lang w:val="en-GB"/>
        </w:rPr>
        <w:t>electronic</w:t>
      </w:r>
      <w:r w:rsidRPr="00380B40">
        <w:rPr>
          <w:spacing w:val="-8"/>
          <w:lang w:val="en-GB"/>
        </w:rPr>
        <w:t xml:space="preserve"> </w:t>
      </w:r>
      <w:r w:rsidRPr="00380B40">
        <w:rPr>
          <w:lang w:val="en-GB"/>
        </w:rPr>
        <w:t>format.</w:t>
      </w:r>
      <w:r w:rsidRPr="00380B40">
        <w:rPr>
          <w:spacing w:val="-7"/>
          <w:lang w:val="en-GB"/>
        </w:rPr>
        <w:t xml:space="preserve"> </w:t>
      </w:r>
      <w:r w:rsidRPr="00380B40">
        <w:rPr>
          <w:lang w:val="en-GB"/>
        </w:rPr>
        <w:t>TSB</w:t>
      </w:r>
      <w:r w:rsidRPr="00380B40">
        <w:rPr>
          <w:spacing w:val="-9"/>
          <w:lang w:val="en-GB"/>
        </w:rPr>
        <w:t xml:space="preserve"> </w:t>
      </w:r>
      <w:r w:rsidRPr="00380B40">
        <w:rPr>
          <w:lang w:val="en-GB"/>
        </w:rPr>
        <w:t>shall</w:t>
      </w:r>
      <w:r w:rsidRPr="00380B40">
        <w:rPr>
          <w:spacing w:val="-7"/>
          <w:lang w:val="en-GB"/>
        </w:rPr>
        <w:t xml:space="preserve"> </w:t>
      </w:r>
      <w:r w:rsidRPr="00380B40">
        <w:rPr>
          <w:lang w:val="en-GB"/>
        </w:rPr>
        <w:t>post</w:t>
      </w:r>
      <w:r w:rsidRPr="00380B40">
        <w:rPr>
          <w:spacing w:val="-7"/>
          <w:lang w:val="en-GB"/>
        </w:rPr>
        <w:t xml:space="preserve"> </w:t>
      </w:r>
      <w:r w:rsidRPr="00380B40">
        <w:rPr>
          <w:lang w:val="en-GB"/>
        </w:rPr>
        <w:t>electronically</w:t>
      </w:r>
      <w:r w:rsidRPr="00380B40">
        <w:rPr>
          <w:spacing w:val="-12"/>
          <w:lang w:val="en-GB"/>
        </w:rPr>
        <w:t xml:space="preserve"> </w:t>
      </w:r>
      <w:r w:rsidRPr="00380B40">
        <w:rPr>
          <w:lang w:val="en-GB"/>
        </w:rPr>
        <w:t>those</w:t>
      </w:r>
      <w:r w:rsidRPr="00380B40">
        <w:rPr>
          <w:spacing w:val="-8"/>
          <w:lang w:val="en-GB"/>
        </w:rPr>
        <w:t xml:space="preserve"> </w:t>
      </w:r>
      <w:r w:rsidRPr="00380B40">
        <w:rPr>
          <w:lang w:val="en-GB"/>
        </w:rPr>
        <w:t>TDs</w:t>
      </w:r>
      <w:r w:rsidRPr="00380B40">
        <w:rPr>
          <w:spacing w:val="81"/>
          <w:lang w:val="en-GB"/>
        </w:rPr>
        <w:t xml:space="preserve"> </w:t>
      </w:r>
      <w:r w:rsidRPr="00380B40">
        <w:rPr>
          <w:lang w:val="en-GB"/>
        </w:rPr>
        <w:t>submitted</w:t>
      </w:r>
      <w:r w:rsidRPr="00380B40">
        <w:rPr>
          <w:spacing w:val="6"/>
          <w:lang w:val="en-GB"/>
        </w:rPr>
        <w:t xml:space="preserve"> </w:t>
      </w:r>
      <w:r w:rsidRPr="00380B40">
        <w:rPr>
          <w:lang w:val="en-GB"/>
        </w:rPr>
        <w:t>as</w:t>
      </w:r>
      <w:r w:rsidRPr="00380B40">
        <w:rPr>
          <w:spacing w:val="7"/>
          <w:lang w:val="en-GB"/>
        </w:rPr>
        <w:t xml:space="preserve"> </w:t>
      </w:r>
      <w:r w:rsidRPr="00380B40">
        <w:rPr>
          <w:lang w:val="en-GB"/>
        </w:rPr>
        <w:t>electronic</w:t>
      </w:r>
      <w:r w:rsidRPr="00380B40">
        <w:rPr>
          <w:spacing w:val="8"/>
          <w:lang w:val="en-GB"/>
        </w:rPr>
        <w:t xml:space="preserve"> </w:t>
      </w:r>
      <w:r w:rsidRPr="00380B40">
        <w:rPr>
          <w:lang w:val="en-GB"/>
        </w:rPr>
        <w:t>files</w:t>
      </w:r>
      <w:r w:rsidRPr="00380B40">
        <w:rPr>
          <w:spacing w:val="6"/>
          <w:lang w:val="en-GB"/>
        </w:rPr>
        <w:t xml:space="preserve"> </w:t>
      </w:r>
      <w:r w:rsidRPr="00380B40">
        <w:rPr>
          <w:lang w:val="en-GB"/>
        </w:rPr>
        <w:t>as</w:t>
      </w:r>
      <w:r w:rsidRPr="00380B40">
        <w:rPr>
          <w:spacing w:val="7"/>
          <w:lang w:val="en-GB"/>
        </w:rPr>
        <w:t xml:space="preserve"> </w:t>
      </w:r>
      <w:r w:rsidRPr="00380B40">
        <w:rPr>
          <w:lang w:val="en-GB"/>
        </w:rPr>
        <w:t>soon</w:t>
      </w:r>
      <w:r w:rsidRPr="00380B40">
        <w:rPr>
          <w:spacing w:val="7"/>
          <w:lang w:val="en-GB"/>
        </w:rPr>
        <w:t xml:space="preserve"> </w:t>
      </w:r>
      <w:r w:rsidRPr="00380B40">
        <w:rPr>
          <w:lang w:val="en-GB"/>
        </w:rPr>
        <w:t>as</w:t>
      </w:r>
      <w:r w:rsidRPr="00380B40">
        <w:rPr>
          <w:spacing w:val="7"/>
          <w:lang w:val="en-GB"/>
        </w:rPr>
        <w:t xml:space="preserve"> </w:t>
      </w:r>
      <w:r w:rsidRPr="00380B40">
        <w:rPr>
          <w:spacing w:val="1"/>
          <w:lang w:val="en-GB"/>
        </w:rPr>
        <w:t>they</w:t>
      </w:r>
      <w:r w:rsidRPr="00380B40">
        <w:rPr>
          <w:spacing w:val="2"/>
          <w:lang w:val="en-GB"/>
        </w:rPr>
        <w:t xml:space="preserve"> </w:t>
      </w:r>
      <w:r w:rsidRPr="00380B40">
        <w:rPr>
          <w:lang w:val="en-GB"/>
        </w:rPr>
        <w:t>become</w:t>
      </w:r>
      <w:r w:rsidRPr="00380B40">
        <w:rPr>
          <w:spacing w:val="6"/>
          <w:lang w:val="en-GB"/>
        </w:rPr>
        <w:t xml:space="preserve"> </w:t>
      </w:r>
      <w:r w:rsidRPr="00380B40">
        <w:rPr>
          <w:lang w:val="en-GB"/>
        </w:rPr>
        <w:t>available;</w:t>
      </w:r>
      <w:r w:rsidRPr="00380B40">
        <w:rPr>
          <w:spacing w:val="6"/>
          <w:lang w:val="en-GB"/>
        </w:rPr>
        <w:t xml:space="preserve"> </w:t>
      </w:r>
      <w:r w:rsidRPr="00380B40">
        <w:rPr>
          <w:lang w:val="en-GB"/>
        </w:rPr>
        <w:t>those</w:t>
      </w:r>
      <w:r w:rsidRPr="00380B40">
        <w:rPr>
          <w:spacing w:val="8"/>
          <w:lang w:val="en-GB"/>
        </w:rPr>
        <w:t xml:space="preserve"> </w:t>
      </w:r>
      <w:r w:rsidRPr="00380B40">
        <w:rPr>
          <w:lang w:val="en-GB"/>
        </w:rPr>
        <w:t>submitted</w:t>
      </w:r>
      <w:r w:rsidRPr="00380B40">
        <w:rPr>
          <w:spacing w:val="6"/>
          <w:lang w:val="en-GB"/>
        </w:rPr>
        <w:t xml:space="preserve"> </w:t>
      </w:r>
      <w:r w:rsidRPr="00380B40">
        <w:rPr>
          <w:lang w:val="en-GB"/>
        </w:rPr>
        <w:t>as</w:t>
      </w:r>
      <w:r w:rsidRPr="00380B40">
        <w:rPr>
          <w:spacing w:val="7"/>
          <w:lang w:val="en-GB"/>
        </w:rPr>
        <w:t xml:space="preserve"> </w:t>
      </w:r>
      <w:r w:rsidRPr="00380B40">
        <w:rPr>
          <w:lang w:val="en-GB"/>
        </w:rPr>
        <w:t>paper</w:t>
      </w:r>
      <w:r w:rsidRPr="00380B40">
        <w:rPr>
          <w:spacing w:val="6"/>
          <w:lang w:val="en-GB"/>
        </w:rPr>
        <w:t xml:space="preserve"> </w:t>
      </w:r>
      <w:r w:rsidRPr="00380B40">
        <w:rPr>
          <w:lang w:val="en-GB"/>
        </w:rPr>
        <w:t>copies</w:t>
      </w:r>
      <w:r w:rsidRPr="00380B40">
        <w:rPr>
          <w:spacing w:val="9"/>
          <w:lang w:val="en-GB"/>
        </w:rPr>
        <w:t xml:space="preserve"> </w:t>
      </w:r>
      <w:r w:rsidRPr="00380B40">
        <w:rPr>
          <w:spacing w:val="2"/>
          <w:lang w:val="en-GB"/>
        </w:rPr>
        <w:t>will</w:t>
      </w:r>
      <w:r w:rsidRPr="00380B40">
        <w:rPr>
          <w:spacing w:val="56"/>
          <w:lang w:val="en-GB"/>
        </w:rPr>
        <w:t xml:space="preserve"> </w:t>
      </w:r>
      <w:r w:rsidRPr="00380B40">
        <w:rPr>
          <w:lang w:val="en-GB"/>
        </w:rPr>
        <w:t>be posted as soon as practicable. Printed copies may be provided upon request to persons with disabilities and specific needs.</w:t>
      </w:r>
    </w:p>
    <w:p w14:paraId="5CFBE27E" w14:textId="77777777" w:rsidR="00C12517" w:rsidRPr="00380B40" w:rsidRDefault="00C12517" w:rsidP="00C12517">
      <w:pPr>
        <w:rPr>
          <w:lang w:val="en-GB"/>
        </w:rPr>
      </w:pPr>
      <w:r w:rsidRPr="00380B40">
        <w:rPr>
          <w:b/>
          <w:bCs/>
          <w:lang w:val="en-GB"/>
        </w:rPr>
        <w:t>3.3.2</w:t>
      </w:r>
      <w:r w:rsidRPr="00380B40">
        <w:rPr>
          <w:lang w:val="en-GB"/>
        </w:rPr>
        <w:tab/>
        <w:t>Extracts</w:t>
      </w:r>
      <w:r w:rsidRPr="00380B40">
        <w:rPr>
          <w:spacing w:val="-5"/>
          <w:lang w:val="en-GB"/>
        </w:rPr>
        <w:t xml:space="preserve"> </w:t>
      </w:r>
      <w:r w:rsidRPr="00380B40">
        <w:rPr>
          <w:lang w:val="en-GB"/>
        </w:rPr>
        <w:t>from</w:t>
      </w:r>
      <w:r w:rsidRPr="00380B40">
        <w:rPr>
          <w:spacing w:val="-5"/>
          <w:lang w:val="en-GB"/>
        </w:rPr>
        <w:t xml:space="preserve"> </w:t>
      </w:r>
      <w:r w:rsidRPr="00380B40">
        <w:rPr>
          <w:lang w:val="en-GB"/>
        </w:rPr>
        <w:t>reports</w:t>
      </w:r>
      <w:r w:rsidRPr="00380B40">
        <w:rPr>
          <w:spacing w:val="-5"/>
          <w:lang w:val="en-GB"/>
        </w:rPr>
        <w:t xml:space="preserve"> </w:t>
      </w:r>
      <w:r w:rsidRPr="00380B40">
        <w:rPr>
          <w:lang w:val="en-GB"/>
        </w:rPr>
        <w:t>of</w:t>
      </w:r>
      <w:r w:rsidRPr="00380B40">
        <w:rPr>
          <w:spacing w:val="-6"/>
          <w:lang w:val="en-GB"/>
        </w:rPr>
        <w:t xml:space="preserve"> </w:t>
      </w:r>
      <w:r w:rsidRPr="00380B40">
        <w:rPr>
          <w:lang w:val="en-GB"/>
        </w:rPr>
        <w:t>other</w:t>
      </w:r>
      <w:r w:rsidRPr="00380B40">
        <w:rPr>
          <w:spacing w:val="-6"/>
          <w:lang w:val="en-GB"/>
        </w:rPr>
        <w:t xml:space="preserve"> </w:t>
      </w:r>
      <w:r w:rsidRPr="00380B40">
        <w:rPr>
          <w:lang w:val="en-GB"/>
        </w:rPr>
        <w:t>study</w:t>
      </w:r>
      <w:r w:rsidRPr="00380B40">
        <w:rPr>
          <w:spacing w:val="-8"/>
          <w:lang w:val="en-GB"/>
        </w:rPr>
        <w:t xml:space="preserve"> </w:t>
      </w:r>
      <w:r w:rsidRPr="00380B40">
        <w:rPr>
          <w:lang w:val="en-GB"/>
        </w:rPr>
        <w:t>group</w:t>
      </w:r>
      <w:r w:rsidRPr="00380B40">
        <w:rPr>
          <w:spacing w:val="-6"/>
          <w:lang w:val="en-GB"/>
        </w:rPr>
        <w:t xml:space="preserve"> </w:t>
      </w:r>
      <w:r w:rsidRPr="00380B40">
        <w:rPr>
          <w:lang w:val="en-GB"/>
        </w:rPr>
        <w:t>meetings</w:t>
      </w:r>
      <w:r w:rsidRPr="00380B40">
        <w:rPr>
          <w:spacing w:val="-5"/>
          <w:lang w:val="en-GB"/>
        </w:rPr>
        <w:t xml:space="preserve"> </w:t>
      </w:r>
      <w:r w:rsidRPr="00380B40">
        <w:rPr>
          <w:lang w:val="en-GB"/>
        </w:rPr>
        <w:t>or</w:t>
      </w:r>
      <w:r w:rsidRPr="00380B40">
        <w:rPr>
          <w:spacing w:val="-6"/>
          <w:lang w:val="en-GB"/>
        </w:rPr>
        <w:t xml:space="preserve"> </w:t>
      </w:r>
      <w:r w:rsidRPr="00380B40">
        <w:rPr>
          <w:lang w:val="en-GB"/>
        </w:rPr>
        <w:t>from</w:t>
      </w:r>
      <w:r w:rsidRPr="00380B40">
        <w:rPr>
          <w:spacing w:val="-5"/>
          <w:lang w:val="en-GB"/>
        </w:rPr>
        <w:t xml:space="preserve"> </w:t>
      </w:r>
      <w:r w:rsidRPr="00380B40">
        <w:rPr>
          <w:lang w:val="en-GB"/>
        </w:rPr>
        <w:t>reports</w:t>
      </w:r>
      <w:r w:rsidRPr="00380B40">
        <w:rPr>
          <w:spacing w:val="-5"/>
          <w:lang w:val="en-GB"/>
        </w:rPr>
        <w:t xml:space="preserve"> </w:t>
      </w:r>
      <w:r w:rsidRPr="00380B40">
        <w:rPr>
          <w:lang w:val="en-GB"/>
        </w:rPr>
        <w:t>of</w:t>
      </w:r>
      <w:r w:rsidRPr="00380B40">
        <w:rPr>
          <w:spacing w:val="-6"/>
          <w:lang w:val="en-GB"/>
        </w:rPr>
        <w:t xml:space="preserve"> </w:t>
      </w:r>
      <w:r w:rsidRPr="00380B40">
        <w:rPr>
          <w:lang w:val="en-GB"/>
        </w:rPr>
        <w:t>chairmen,</w:t>
      </w:r>
      <w:r w:rsidRPr="00380B40">
        <w:rPr>
          <w:spacing w:val="-5"/>
          <w:lang w:val="en-GB"/>
        </w:rPr>
        <w:t xml:space="preserve"> </w:t>
      </w:r>
      <w:r w:rsidRPr="00380B40">
        <w:rPr>
          <w:lang w:val="en-GB"/>
        </w:rPr>
        <w:t>rapporteurs</w:t>
      </w:r>
      <w:r w:rsidRPr="00380B40">
        <w:rPr>
          <w:spacing w:val="81"/>
          <w:lang w:val="en-GB"/>
        </w:rPr>
        <w:t xml:space="preserve"> </w:t>
      </w:r>
      <w:r w:rsidRPr="00380B40">
        <w:rPr>
          <w:lang w:val="en-GB"/>
        </w:rPr>
        <w:t>or</w:t>
      </w:r>
      <w:r w:rsidRPr="00380B40">
        <w:rPr>
          <w:spacing w:val="-6"/>
          <w:lang w:val="en-GB"/>
        </w:rPr>
        <w:t xml:space="preserve"> </w:t>
      </w:r>
      <w:r w:rsidRPr="00380B40">
        <w:rPr>
          <w:lang w:val="en-GB"/>
        </w:rPr>
        <w:t>drafting</w:t>
      </w:r>
      <w:r w:rsidRPr="00380B40">
        <w:rPr>
          <w:spacing w:val="-3"/>
          <w:lang w:val="en-GB"/>
        </w:rPr>
        <w:t xml:space="preserve"> </w:t>
      </w:r>
      <w:r w:rsidRPr="00380B40">
        <w:rPr>
          <w:lang w:val="en-GB"/>
        </w:rPr>
        <w:t>groups</w:t>
      </w:r>
      <w:r w:rsidRPr="00380B40">
        <w:rPr>
          <w:spacing w:val="-4"/>
          <w:lang w:val="en-GB"/>
        </w:rPr>
        <w:t xml:space="preserve"> </w:t>
      </w:r>
      <w:r w:rsidRPr="00380B40">
        <w:rPr>
          <w:lang w:val="en-GB"/>
        </w:rPr>
        <w:t>shall</w:t>
      </w:r>
      <w:r w:rsidRPr="00380B40">
        <w:rPr>
          <w:spacing w:val="-5"/>
          <w:lang w:val="en-GB"/>
        </w:rPr>
        <w:t xml:space="preserve"> </w:t>
      </w:r>
      <w:r w:rsidRPr="00380B40">
        <w:rPr>
          <w:spacing w:val="1"/>
          <w:lang w:val="en-GB"/>
        </w:rPr>
        <w:t>be</w:t>
      </w:r>
      <w:r w:rsidRPr="00380B40">
        <w:rPr>
          <w:spacing w:val="-6"/>
          <w:lang w:val="en-GB"/>
        </w:rPr>
        <w:t xml:space="preserve"> </w:t>
      </w:r>
      <w:r w:rsidRPr="00380B40">
        <w:rPr>
          <w:lang w:val="en-GB"/>
        </w:rPr>
        <w:t>published</w:t>
      </w:r>
      <w:r w:rsidRPr="00380B40">
        <w:rPr>
          <w:spacing w:val="-3"/>
          <w:lang w:val="en-GB"/>
        </w:rPr>
        <w:t xml:space="preserve"> </w:t>
      </w:r>
      <w:r w:rsidRPr="00380B40">
        <w:rPr>
          <w:lang w:val="en-GB"/>
        </w:rPr>
        <w:t>as</w:t>
      </w:r>
      <w:r w:rsidRPr="00380B40">
        <w:rPr>
          <w:spacing w:val="-5"/>
          <w:lang w:val="en-GB"/>
        </w:rPr>
        <w:t xml:space="preserve"> </w:t>
      </w:r>
      <w:r w:rsidRPr="00380B40">
        <w:rPr>
          <w:lang w:val="en-GB"/>
        </w:rPr>
        <w:t>TDs.</w:t>
      </w:r>
    </w:p>
    <w:p w14:paraId="462CE8CB" w14:textId="77777777" w:rsidR="00C12517" w:rsidRPr="00380B40" w:rsidRDefault="00C12517" w:rsidP="00C12517">
      <w:pPr>
        <w:rPr>
          <w:lang w:val="en-GB"/>
        </w:rPr>
      </w:pPr>
      <w:r w:rsidRPr="00380B40">
        <w:rPr>
          <w:b/>
          <w:bCs/>
          <w:lang w:val="en-GB"/>
        </w:rPr>
        <w:t>3.3.3</w:t>
      </w:r>
      <w:r w:rsidRPr="00380B40">
        <w:rPr>
          <w:lang w:val="en-GB"/>
        </w:rPr>
        <w:tab/>
      </w:r>
      <w:r w:rsidRPr="00380B40">
        <w:rPr>
          <w:spacing w:val="-1"/>
          <w:lang w:val="en-GB"/>
        </w:rPr>
        <w:t>TDs</w:t>
      </w:r>
      <w:r w:rsidRPr="00380B40">
        <w:rPr>
          <w:spacing w:val="-5"/>
          <w:lang w:val="en-GB"/>
        </w:rPr>
        <w:t xml:space="preserve"> </w:t>
      </w:r>
      <w:r w:rsidRPr="00380B40">
        <w:rPr>
          <w:lang w:val="en-GB"/>
        </w:rPr>
        <w:t>input</w:t>
      </w:r>
      <w:r w:rsidRPr="00380B40">
        <w:rPr>
          <w:spacing w:val="-5"/>
          <w:lang w:val="en-GB"/>
        </w:rPr>
        <w:t xml:space="preserve"> </w:t>
      </w:r>
      <w:r w:rsidRPr="00380B40">
        <w:rPr>
          <w:spacing w:val="-1"/>
          <w:lang w:val="en-GB"/>
        </w:rPr>
        <w:t>before</w:t>
      </w:r>
      <w:r w:rsidRPr="00380B40">
        <w:rPr>
          <w:spacing w:val="-6"/>
          <w:lang w:val="en-GB"/>
        </w:rPr>
        <w:t xml:space="preserve"> </w:t>
      </w:r>
      <w:r w:rsidRPr="00380B40">
        <w:rPr>
          <w:lang w:val="en-GB"/>
        </w:rPr>
        <w:t>the</w:t>
      </w:r>
      <w:r w:rsidRPr="00380B40">
        <w:rPr>
          <w:spacing w:val="-6"/>
          <w:lang w:val="en-GB"/>
        </w:rPr>
        <w:t xml:space="preserve"> </w:t>
      </w:r>
      <w:r w:rsidRPr="00380B40">
        <w:rPr>
          <w:lang w:val="en-GB"/>
        </w:rPr>
        <w:t>start</w:t>
      </w:r>
      <w:r w:rsidRPr="00380B40">
        <w:rPr>
          <w:spacing w:val="-3"/>
          <w:lang w:val="en-GB"/>
        </w:rPr>
        <w:t xml:space="preserve"> </w:t>
      </w:r>
      <w:r w:rsidRPr="00380B40">
        <w:rPr>
          <w:lang w:val="en-GB"/>
        </w:rPr>
        <w:t>of</w:t>
      </w:r>
      <w:r w:rsidRPr="00380B40">
        <w:rPr>
          <w:spacing w:val="-6"/>
          <w:lang w:val="en-GB"/>
        </w:rPr>
        <w:t xml:space="preserve"> </w:t>
      </w:r>
      <w:r w:rsidRPr="00380B40">
        <w:rPr>
          <w:lang w:val="en-GB"/>
        </w:rPr>
        <w:t>the</w:t>
      </w:r>
      <w:r w:rsidRPr="00380B40">
        <w:rPr>
          <w:spacing w:val="-6"/>
          <w:lang w:val="en-GB"/>
        </w:rPr>
        <w:t xml:space="preserve"> </w:t>
      </w:r>
      <w:r w:rsidRPr="00380B40">
        <w:rPr>
          <w:lang w:val="en-GB"/>
        </w:rPr>
        <w:t>study</w:t>
      </w:r>
      <w:r w:rsidRPr="00380B40">
        <w:rPr>
          <w:spacing w:val="-8"/>
          <w:lang w:val="en-GB"/>
        </w:rPr>
        <w:t xml:space="preserve"> </w:t>
      </w:r>
      <w:r w:rsidRPr="00380B40">
        <w:rPr>
          <w:lang w:val="en-GB"/>
        </w:rPr>
        <w:t>group</w:t>
      </w:r>
      <w:r w:rsidRPr="00380B40">
        <w:rPr>
          <w:spacing w:val="-6"/>
          <w:lang w:val="en-GB"/>
        </w:rPr>
        <w:t xml:space="preserve"> </w:t>
      </w:r>
      <w:r w:rsidRPr="00380B40">
        <w:rPr>
          <w:lang w:val="en-GB"/>
        </w:rPr>
        <w:t>or</w:t>
      </w:r>
      <w:r w:rsidRPr="00380B40">
        <w:rPr>
          <w:spacing w:val="-6"/>
          <w:lang w:val="en-GB"/>
        </w:rPr>
        <w:t xml:space="preserve"> </w:t>
      </w:r>
      <w:r w:rsidRPr="00380B40">
        <w:rPr>
          <w:lang w:val="en-GB"/>
        </w:rPr>
        <w:t>working</w:t>
      </w:r>
      <w:r w:rsidRPr="00380B40">
        <w:rPr>
          <w:spacing w:val="-8"/>
          <w:lang w:val="en-GB"/>
        </w:rPr>
        <w:t xml:space="preserve"> </w:t>
      </w:r>
      <w:r w:rsidRPr="00380B40">
        <w:rPr>
          <w:spacing w:val="1"/>
          <w:lang w:val="en-GB"/>
        </w:rPr>
        <w:t>party</w:t>
      </w:r>
      <w:r w:rsidRPr="00380B40">
        <w:rPr>
          <w:spacing w:val="-10"/>
          <w:lang w:val="en-GB"/>
        </w:rPr>
        <w:t xml:space="preserve"> </w:t>
      </w:r>
      <w:r w:rsidRPr="00380B40">
        <w:rPr>
          <w:spacing w:val="-1"/>
          <w:lang w:val="en-GB"/>
        </w:rPr>
        <w:t>meeting,</w:t>
      </w:r>
      <w:r w:rsidRPr="00380B40">
        <w:rPr>
          <w:spacing w:val="-5"/>
          <w:lang w:val="en-GB"/>
        </w:rPr>
        <w:t xml:space="preserve"> </w:t>
      </w:r>
      <w:r w:rsidRPr="00380B40">
        <w:rPr>
          <w:lang w:val="en-GB"/>
        </w:rPr>
        <w:t>including</w:t>
      </w:r>
      <w:r w:rsidRPr="00380B40">
        <w:rPr>
          <w:spacing w:val="-7"/>
          <w:lang w:val="en-GB"/>
        </w:rPr>
        <w:t xml:space="preserve"> </w:t>
      </w:r>
      <w:r w:rsidRPr="00380B40">
        <w:rPr>
          <w:spacing w:val="-1"/>
          <w:lang w:val="en-GB"/>
        </w:rPr>
        <w:t>documents</w:t>
      </w:r>
      <w:r w:rsidRPr="00380B40">
        <w:rPr>
          <w:spacing w:val="48"/>
          <w:lang w:val="en-GB"/>
        </w:rPr>
        <w:t xml:space="preserve"> </w:t>
      </w:r>
      <w:r w:rsidRPr="00380B40">
        <w:rPr>
          <w:spacing w:val="-1"/>
          <w:lang w:val="en-GB"/>
        </w:rPr>
        <w:t>from</w:t>
      </w:r>
      <w:r w:rsidRPr="00380B40">
        <w:rPr>
          <w:spacing w:val="19"/>
          <w:lang w:val="en-GB"/>
        </w:rPr>
        <w:t xml:space="preserve"> </w:t>
      </w:r>
      <w:r w:rsidRPr="00380B40">
        <w:rPr>
          <w:lang w:val="en-GB"/>
        </w:rPr>
        <w:t>the</w:t>
      </w:r>
      <w:r w:rsidRPr="00380B40">
        <w:rPr>
          <w:spacing w:val="20"/>
          <w:lang w:val="en-GB"/>
        </w:rPr>
        <w:t xml:space="preserve"> </w:t>
      </w:r>
      <w:r w:rsidRPr="00380B40">
        <w:rPr>
          <w:spacing w:val="-2"/>
          <w:lang w:val="en-GB"/>
        </w:rPr>
        <w:t>ITU</w:t>
      </w:r>
      <w:r w:rsidRPr="00380B40">
        <w:rPr>
          <w:spacing w:val="18"/>
          <w:lang w:val="en-GB"/>
        </w:rPr>
        <w:t xml:space="preserve"> </w:t>
      </w:r>
      <w:r w:rsidRPr="00380B40">
        <w:rPr>
          <w:spacing w:val="-1"/>
          <w:lang w:val="en-GB"/>
        </w:rPr>
        <w:t>secretariat,</w:t>
      </w:r>
      <w:r w:rsidRPr="00380B40">
        <w:rPr>
          <w:spacing w:val="21"/>
          <w:lang w:val="en-GB"/>
        </w:rPr>
        <w:t xml:space="preserve"> </w:t>
      </w:r>
      <w:r w:rsidRPr="00380B40">
        <w:rPr>
          <w:lang w:val="en-GB"/>
        </w:rPr>
        <w:t>should</w:t>
      </w:r>
      <w:r w:rsidRPr="00380B40">
        <w:rPr>
          <w:spacing w:val="18"/>
          <w:lang w:val="en-GB"/>
        </w:rPr>
        <w:t xml:space="preserve"> </w:t>
      </w:r>
      <w:r w:rsidRPr="00380B40">
        <w:rPr>
          <w:lang w:val="en-GB"/>
        </w:rPr>
        <w:t>be</w:t>
      </w:r>
      <w:r w:rsidRPr="00380B40">
        <w:rPr>
          <w:spacing w:val="18"/>
          <w:lang w:val="en-GB"/>
        </w:rPr>
        <w:t xml:space="preserve"> </w:t>
      </w:r>
      <w:r w:rsidRPr="00380B40">
        <w:rPr>
          <w:spacing w:val="-1"/>
          <w:lang w:val="en-GB"/>
        </w:rPr>
        <w:t>posted</w:t>
      </w:r>
      <w:r w:rsidRPr="00380B40">
        <w:rPr>
          <w:spacing w:val="18"/>
          <w:lang w:val="en-GB"/>
        </w:rPr>
        <w:t xml:space="preserve"> </w:t>
      </w:r>
      <w:r w:rsidRPr="00380B40">
        <w:rPr>
          <w:lang w:val="en-GB"/>
        </w:rPr>
        <w:t>on</w:t>
      </w:r>
      <w:r w:rsidRPr="00380B40">
        <w:rPr>
          <w:spacing w:val="16"/>
          <w:lang w:val="en-GB"/>
        </w:rPr>
        <w:t xml:space="preserve"> </w:t>
      </w:r>
      <w:r w:rsidRPr="00380B40">
        <w:rPr>
          <w:lang w:val="en-GB"/>
        </w:rPr>
        <w:t>the</w:t>
      </w:r>
      <w:r w:rsidRPr="00380B40">
        <w:rPr>
          <w:spacing w:val="16"/>
          <w:lang w:val="en-GB"/>
        </w:rPr>
        <w:t xml:space="preserve"> </w:t>
      </w:r>
      <w:r w:rsidRPr="00380B40">
        <w:rPr>
          <w:spacing w:val="-1"/>
          <w:lang w:val="en-GB"/>
        </w:rPr>
        <w:t>relevant</w:t>
      </w:r>
      <w:r w:rsidRPr="00380B40">
        <w:rPr>
          <w:spacing w:val="19"/>
          <w:lang w:val="en-GB"/>
        </w:rPr>
        <w:t xml:space="preserve"> </w:t>
      </w:r>
      <w:r w:rsidRPr="00380B40">
        <w:rPr>
          <w:spacing w:val="-1"/>
          <w:lang w:val="en-GB"/>
        </w:rPr>
        <w:t>page</w:t>
      </w:r>
      <w:r w:rsidRPr="00380B40">
        <w:rPr>
          <w:spacing w:val="18"/>
          <w:lang w:val="en-GB"/>
        </w:rPr>
        <w:t xml:space="preserve"> </w:t>
      </w:r>
      <w:r w:rsidRPr="00380B40">
        <w:rPr>
          <w:lang w:val="en-GB"/>
        </w:rPr>
        <w:t>of</w:t>
      </w:r>
      <w:r w:rsidRPr="00380B40">
        <w:rPr>
          <w:spacing w:val="18"/>
          <w:lang w:val="en-GB"/>
        </w:rPr>
        <w:t xml:space="preserve"> </w:t>
      </w:r>
      <w:r w:rsidRPr="00380B40">
        <w:rPr>
          <w:lang w:val="en-GB"/>
        </w:rPr>
        <w:t>the</w:t>
      </w:r>
      <w:r w:rsidRPr="00380B40">
        <w:rPr>
          <w:spacing w:val="18"/>
          <w:lang w:val="en-GB"/>
        </w:rPr>
        <w:t xml:space="preserve"> </w:t>
      </w:r>
      <w:r w:rsidRPr="00380B40">
        <w:rPr>
          <w:lang w:val="en-GB"/>
        </w:rPr>
        <w:t>website</w:t>
      </w:r>
      <w:r w:rsidRPr="00380B40">
        <w:rPr>
          <w:spacing w:val="18"/>
          <w:lang w:val="en-GB"/>
        </w:rPr>
        <w:t xml:space="preserve"> </w:t>
      </w:r>
      <w:r w:rsidRPr="00380B40">
        <w:rPr>
          <w:lang w:val="en-GB"/>
        </w:rPr>
        <w:t>not</w:t>
      </w:r>
      <w:r w:rsidRPr="00380B40">
        <w:rPr>
          <w:spacing w:val="19"/>
          <w:lang w:val="en-GB"/>
        </w:rPr>
        <w:t xml:space="preserve"> </w:t>
      </w:r>
      <w:r w:rsidRPr="00380B40">
        <w:rPr>
          <w:spacing w:val="-1"/>
          <w:lang w:val="en-GB"/>
        </w:rPr>
        <w:t>later</w:t>
      </w:r>
      <w:r w:rsidRPr="00380B40">
        <w:rPr>
          <w:spacing w:val="18"/>
          <w:lang w:val="en-GB"/>
        </w:rPr>
        <w:t xml:space="preserve"> </w:t>
      </w:r>
      <w:r w:rsidRPr="00380B40">
        <w:rPr>
          <w:lang w:val="en-GB"/>
        </w:rPr>
        <w:t>than</w:t>
      </w:r>
      <w:r w:rsidRPr="00380B40">
        <w:rPr>
          <w:spacing w:val="18"/>
          <w:lang w:val="en-GB"/>
        </w:rPr>
        <w:t xml:space="preserve"> </w:t>
      </w:r>
      <w:r w:rsidRPr="00380B40">
        <w:rPr>
          <w:spacing w:val="-1"/>
          <w:lang w:val="en-GB"/>
        </w:rPr>
        <w:t>three</w:t>
      </w:r>
      <w:r w:rsidRPr="00380B40">
        <w:rPr>
          <w:spacing w:val="59"/>
          <w:lang w:val="en-GB"/>
        </w:rPr>
        <w:t xml:space="preserve"> </w:t>
      </w:r>
      <w:r w:rsidRPr="00380B40">
        <w:rPr>
          <w:spacing w:val="-1"/>
          <w:lang w:val="en-GB"/>
        </w:rPr>
        <w:t>working</w:t>
      </w:r>
      <w:r w:rsidRPr="00380B40">
        <w:rPr>
          <w:lang w:val="en-GB"/>
        </w:rPr>
        <w:t xml:space="preserve"> </w:t>
      </w:r>
      <w:r w:rsidRPr="00380B40">
        <w:rPr>
          <w:spacing w:val="-1"/>
          <w:lang w:val="en-GB"/>
        </w:rPr>
        <w:t>days</w:t>
      </w:r>
      <w:r w:rsidRPr="00380B40">
        <w:rPr>
          <w:spacing w:val="2"/>
          <w:lang w:val="en-GB"/>
        </w:rPr>
        <w:t xml:space="preserve"> </w:t>
      </w:r>
      <w:r w:rsidRPr="00380B40">
        <w:rPr>
          <w:spacing w:val="-1"/>
          <w:lang w:val="en-GB"/>
        </w:rPr>
        <w:t>from</w:t>
      </w:r>
      <w:r w:rsidRPr="00380B40">
        <w:rPr>
          <w:spacing w:val="3"/>
          <w:lang w:val="en-GB"/>
        </w:rPr>
        <w:t xml:space="preserve"> </w:t>
      </w:r>
      <w:r w:rsidRPr="00380B40">
        <w:rPr>
          <w:lang w:val="en-GB"/>
        </w:rPr>
        <w:t>the</w:t>
      </w:r>
      <w:r w:rsidRPr="00380B40">
        <w:rPr>
          <w:spacing w:val="1"/>
          <w:lang w:val="en-GB"/>
        </w:rPr>
        <w:t xml:space="preserve"> </w:t>
      </w:r>
      <w:r w:rsidRPr="00380B40">
        <w:rPr>
          <w:lang w:val="en-GB"/>
        </w:rPr>
        <w:t>date</w:t>
      </w:r>
      <w:r w:rsidRPr="00380B40">
        <w:rPr>
          <w:spacing w:val="1"/>
          <w:lang w:val="en-GB"/>
        </w:rPr>
        <w:t xml:space="preserve"> </w:t>
      </w:r>
      <w:r w:rsidRPr="00380B40">
        <w:rPr>
          <w:lang w:val="en-GB"/>
        </w:rPr>
        <w:t>on</w:t>
      </w:r>
      <w:r w:rsidRPr="00380B40">
        <w:rPr>
          <w:spacing w:val="2"/>
          <w:lang w:val="en-GB"/>
        </w:rPr>
        <w:t xml:space="preserve"> </w:t>
      </w:r>
      <w:r w:rsidRPr="00380B40">
        <w:rPr>
          <w:spacing w:val="-1"/>
          <w:lang w:val="en-GB"/>
        </w:rPr>
        <w:t>which</w:t>
      </w:r>
      <w:r w:rsidRPr="00380B40">
        <w:rPr>
          <w:spacing w:val="2"/>
          <w:lang w:val="en-GB"/>
        </w:rPr>
        <w:t xml:space="preserve"> </w:t>
      </w:r>
      <w:r w:rsidRPr="00380B40">
        <w:rPr>
          <w:lang w:val="en-GB"/>
        </w:rPr>
        <w:t>they</w:t>
      </w:r>
      <w:r w:rsidRPr="00380B40">
        <w:rPr>
          <w:spacing w:val="-3"/>
          <w:lang w:val="en-GB"/>
        </w:rPr>
        <w:t xml:space="preserve"> </w:t>
      </w:r>
      <w:r w:rsidRPr="00380B40">
        <w:rPr>
          <w:lang w:val="en-GB"/>
        </w:rPr>
        <w:t>are</w:t>
      </w:r>
      <w:r w:rsidRPr="00380B40">
        <w:rPr>
          <w:spacing w:val="1"/>
          <w:lang w:val="en-GB"/>
        </w:rPr>
        <w:t xml:space="preserve"> </w:t>
      </w:r>
      <w:r w:rsidRPr="00380B40">
        <w:rPr>
          <w:spacing w:val="-1"/>
          <w:lang w:val="en-GB"/>
        </w:rPr>
        <w:t>received</w:t>
      </w:r>
      <w:r w:rsidRPr="00380B40">
        <w:rPr>
          <w:spacing w:val="1"/>
          <w:lang w:val="en-GB"/>
        </w:rPr>
        <w:t xml:space="preserve"> by</w:t>
      </w:r>
      <w:r w:rsidRPr="00380B40">
        <w:rPr>
          <w:spacing w:val="-3"/>
          <w:lang w:val="en-GB"/>
        </w:rPr>
        <w:t xml:space="preserve"> </w:t>
      </w:r>
      <w:r w:rsidRPr="00380B40">
        <w:rPr>
          <w:lang w:val="en-GB"/>
        </w:rPr>
        <w:t>the</w:t>
      </w:r>
      <w:r w:rsidRPr="00380B40">
        <w:rPr>
          <w:spacing w:val="1"/>
          <w:lang w:val="en-GB"/>
        </w:rPr>
        <w:t xml:space="preserve"> </w:t>
      </w:r>
      <w:r w:rsidRPr="00380B40">
        <w:rPr>
          <w:spacing w:val="-1"/>
          <w:lang w:val="en-GB"/>
        </w:rPr>
        <w:t>secretariat,</w:t>
      </w:r>
      <w:r w:rsidRPr="00380B40">
        <w:rPr>
          <w:spacing w:val="2"/>
          <w:lang w:val="en-GB"/>
        </w:rPr>
        <w:t xml:space="preserve"> </w:t>
      </w:r>
      <w:r w:rsidRPr="00380B40">
        <w:rPr>
          <w:lang w:val="en-GB"/>
        </w:rPr>
        <w:t>to</w:t>
      </w:r>
      <w:r w:rsidRPr="00380B40">
        <w:rPr>
          <w:spacing w:val="2"/>
          <w:lang w:val="en-GB"/>
        </w:rPr>
        <w:t xml:space="preserve"> </w:t>
      </w:r>
      <w:r w:rsidRPr="00380B40">
        <w:rPr>
          <w:spacing w:val="-1"/>
          <w:lang w:val="en-GB"/>
        </w:rPr>
        <w:t>ensure</w:t>
      </w:r>
      <w:r w:rsidRPr="00380B40">
        <w:rPr>
          <w:lang w:val="en-GB"/>
        </w:rPr>
        <w:t xml:space="preserve"> their</w:t>
      </w:r>
      <w:r w:rsidRPr="00380B40">
        <w:rPr>
          <w:spacing w:val="1"/>
          <w:lang w:val="en-GB"/>
        </w:rPr>
        <w:t xml:space="preserve"> </w:t>
      </w:r>
      <w:r w:rsidRPr="00380B40">
        <w:rPr>
          <w:lang w:val="en-GB"/>
        </w:rPr>
        <w:t>availability</w:t>
      </w:r>
      <w:r w:rsidRPr="00380B40">
        <w:rPr>
          <w:spacing w:val="71"/>
          <w:lang w:val="en-GB"/>
        </w:rPr>
        <w:t xml:space="preserve"> </w:t>
      </w:r>
      <w:r w:rsidRPr="00380B40">
        <w:rPr>
          <w:lang w:val="en-GB"/>
        </w:rPr>
        <w:t>not</w:t>
      </w:r>
      <w:r w:rsidRPr="00380B40">
        <w:rPr>
          <w:spacing w:val="12"/>
          <w:lang w:val="en-GB"/>
        </w:rPr>
        <w:t xml:space="preserve"> </w:t>
      </w:r>
      <w:r w:rsidRPr="00380B40">
        <w:rPr>
          <w:spacing w:val="-1"/>
          <w:lang w:val="en-GB"/>
        </w:rPr>
        <w:t>later</w:t>
      </w:r>
      <w:r w:rsidRPr="00380B40">
        <w:rPr>
          <w:spacing w:val="11"/>
          <w:lang w:val="en-GB"/>
        </w:rPr>
        <w:t xml:space="preserve"> </w:t>
      </w:r>
      <w:r w:rsidRPr="00380B40">
        <w:rPr>
          <w:lang w:val="en-GB"/>
        </w:rPr>
        <w:t>than</w:t>
      </w:r>
      <w:r w:rsidRPr="00380B40">
        <w:rPr>
          <w:spacing w:val="11"/>
          <w:lang w:val="en-GB"/>
        </w:rPr>
        <w:t xml:space="preserve"> </w:t>
      </w:r>
      <w:r w:rsidRPr="00380B40">
        <w:rPr>
          <w:spacing w:val="-1"/>
          <w:lang w:val="en-GB"/>
        </w:rPr>
        <w:t>seven</w:t>
      </w:r>
      <w:r w:rsidRPr="00380B40">
        <w:rPr>
          <w:spacing w:val="14"/>
          <w:lang w:val="en-GB"/>
        </w:rPr>
        <w:t xml:space="preserve"> </w:t>
      </w:r>
      <w:r w:rsidRPr="00380B40">
        <w:rPr>
          <w:spacing w:val="-1"/>
          <w:lang w:val="en-GB"/>
        </w:rPr>
        <w:t>calendar</w:t>
      </w:r>
      <w:r w:rsidRPr="00380B40">
        <w:rPr>
          <w:spacing w:val="11"/>
          <w:lang w:val="en-GB"/>
        </w:rPr>
        <w:t xml:space="preserve"> </w:t>
      </w:r>
      <w:r w:rsidRPr="00380B40">
        <w:rPr>
          <w:spacing w:val="-1"/>
          <w:lang w:val="en-GB"/>
        </w:rPr>
        <w:t>days</w:t>
      </w:r>
      <w:r w:rsidRPr="00380B40">
        <w:rPr>
          <w:spacing w:val="12"/>
          <w:lang w:val="en-GB"/>
        </w:rPr>
        <w:t xml:space="preserve"> </w:t>
      </w:r>
      <w:r w:rsidRPr="00380B40">
        <w:rPr>
          <w:spacing w:val="-1"/>
          <w:lang w:val="en-GB"/>
        </w:rPr>
        <w:t>before</w:t>
      </w:r>
      <w:r w:rsidRPr="00380B40">
        <w:rPr>
          <w:spacing w:val="10"/>
          <w:lang w:val="en-GB"/>
        </w:rPr>
        <w:t xml:space="preserve"> </w:t>
      </w:r>
      <w:r w:rsidRPr="00380B40">
        <w:rPr>
          <w:lang w:val="en-GB"/>
        </w:rPr>
        <w:t>the</w:t>
      </w:r>
      <w:r w:rsidRPr="00380B40">
        <w:rPr>
          <w:spacing w:val="11"/>
          <w:lang w:val="en-GB"/>
        </w:rPr>
        <w:t xml:space="preserve"> </w:t>
      </w:r>
      <w:r w:rsidRPr="00380B40">
        <w:rPr>
          <w:lang w:val="en-GB"/>
        </w:rPr>
        <w:t>start</w:t>
      </w:r>
      <w:r w:rsidRPr="00380B40">
        <w:rPr>
          <w:spacing w:val="12"/>
          <w:lang w:val="en-GB"/>
        </w:rPr>
        <w:t xml:space="preserve"> </w:t>
      </w:r>
      <w:r w:rsidRPr="00380B40">
        <w:rPr>
          <w:lang w:val="en-GB"/>
        </w:rPr>
        <w:t>of</w:t>
      </w:r>
      <w:r w:rsidRPr="00380B40">
        <w:rPr>
          <w:spacing w:val="11"/>
          <w:lang w:val="en-GB"/>
        </w:rPr>
        <w:t xml:space="preserve"> </w:t>
      </w:r>
      <w:r w:rsidRPr="00380B40">
        <w:rPr>
          <w:lang w:val="en-GB"/>
        </w:rPr>
        <w:t>the</w:t>
      </w:r>
      <w:r w:rsidRPr="00380B40">
        <w:rPr>
          <w:spacing w:val="11"/>
          <w:lang w:val="en-GB"/>
        </w:rPr>
        <w:t xml:space="preserve"> </w:t>
      </w:r>
      <w:r w:rsidRPr="00380B40">
        <w:rPr>
          <w:spacing w:val="-1"/>
          <w:lang w:val="en-GB"/>
        </w:rPr>
        <w:t>meeting.</w:t>
      </w:r>
      <w:r w:rsidRPr="00380B40">
        <w:rPr>
          <w:spacing w:val="11"/>
          <w:lang w:val="en-GB"/>
        </w:rPr>
        <w:t xml:space="preserve"> </w:t>
      </w:r>
      <w:r w:rsidRPr="00380B40">
        <w:rPr>
          <w:lang w:val="en-GB"/>
        </w:rPr>
        <w:t>This</w:t>
      </w:r>
      <w:r w:rsidRPr="00380B40">
        <w:rPr>
          <w:spacing w:val="12"/>
          <w:lang w:val="en-GB"/>
        </w:rPr>
        <w:t xml:space="preserve"> </w:t>
      </w:r>
      <w:r w:rsidRPr="00380B40">
        <w:rPr>
          <w:lang w:val="en-GB"/>
        </w:rPr>
        <w:t>deadline</w:t>
      </w:r>
      <w:r w:rsidRPr="00380B40">
        <w:rPr>
          <w:spacing w:val="10"/>
          <w:lang w:val="en-GB"/>
        </w:rPr>
        <w:t xml:space="preserve"> </w:t>
      </w:r>
      <w:r w:rsidRPr="00380B40">
        <w:rPr>
          <w:spacing w:val="-1"/>
          <w:lang w:val="en-GB"/>
        </w:rPr>
        <w:t>shall</w:t>
      </w:r>
      <w:r w:rsidRPr="00380B40">
        <w:rPr>
          <w:spacing w:val="12"/>
          <w:lang w:val="en-GB"/>
        </w:rPr>
        <w:t xml:space="preserve"> </w:t>
      </w:r>
      <w:r w:rsidRPr="00380B40">
        <w:rPr>
          <w:lang w:val="en-GB"/>
        </w:rPr>
        <w:t>not</w:t>
      </w:r>
      <w:r w:rsidRPr="00380B40">
        <w:rPr>
          <w:spacing w:val="12"/>
          <w:lang w:val="en-GB"/>
        </w:rPr>
        <w:t xml:space="preserve"> </w:t>
      </w:r>
      <w:r w:rsidRPr="00380B40">
        <w:rPr>
          <w:lang w:val="en-GB"/>
        </w:rPr>
        <w:t>extend</w:t>
      </w:r>
      <w:r w:rsidRPr="00380B40">
        <w:rPr>
          <w:spacing w:val="11"/>
          <w:lang w:val="en-GB"/>
        </w:rPr>
        <w:t xml:space="preserve"> </w:t>
      </w:r>
      <w:r w:rsidRPr="00380B40">
        <w:rPr>
          <w:spacing w:val="-1"/>
          <w:lang w:val="en-GB"/>
        </w:rPr>
        <w:t>to</w:t>
      </w:r>
      <w:r w:rsidRPr="00380B40">
        <w:rPr>
          <w:spacing w:val="61"/>
          <w:lang w:val="en-GB"/>
        </w:rPr>
        <w:t xml:space="preserve"> </w:t>
      </w:r>
      <w:r w:rsidRPr="00380B40">
        <w:rPr>
          <w:spacing w:val="-1"/>
          <w:lang w:val="en-GB"/>
        </w:rPr>
        <w:t>administrative</w:t>
      </w:r>
      <w:r w:rsidRPr="00380B40">
        <w:rPr>
          <w:spacing w:val="-9"/>
          <w:lang w:val="en-GB"/>
        </w:rPr>
        <w:t xml:space="preserve"> </w:t>
      </w:r>
      <w:r w:rsidRPr="00380B40">
        <w:rPr>
          <w:spacing w:val="-1"/>
          <w:lang w:val="en-GB"/>
        </w:rPr>
        <w:t>documents</w:t>
      </w:r>
      <w:r w:rsidRPr="00380B40">
        <w:rPr>
          <w:spacing w:val="-7"/>
          <w:lang w:val="en-GB"/>
        </w:rPr>
        <w:t xml:space="preserve"> </w:t>
      </w:r>
      <w:r w:rsidRPr="00380B40">
        <w:rPr>
          <w:lang w:val="en-GB"/>
        </w:rPr>
        <w:t>or</w:t>
      </w:r>
      <w:r w:rsidRPr="00380B40">
        <w:rPr>
          <w:spacing w:val="-8"/>
          <w:lang w:val="en-GB"/>
        </w:rPr>
        <w:t xml:space="preserve"> </w:t>
      </w:r>
      <w:r w:rsidRPr="00380B40">
        <w:rPr>
          <w:spacing w:val="-1"/>
          <w:lang w:val="en-GB"/>
        </w:rPr>
        <w:t>reports</w:t>
      </w:r>
      <w:r w:rsidRPr="00380B40">
        <w:rPr>
          <w:spacing w:val="-8"/>
          <w:lang w:val="en-GB"/>
        </w:rPr>
        <w:t xml:space="preserve"> </w:t>
      </w:r>
      <w:r w:rsidRPr="00380B40">
        <w:rPr>
          <w:lang w:val="en-GB"/>
        </w:rPr>
        <w:t>on</w:t>
      </w:r>
      <w:r w:rsidRPr="00380B40">
        <w:rPr>
          <w:spacing w:val="-8"/>
          <w:lang w:val="en-GB"/>
        </w:rPr>
        <w:t xml:space="preserve"> </w:t>
      </w:r>
      <w:r w:rsidRPr="00380B40">
        <w:rPr>
          <w:spacing w:val="-1"/>
          <w:lang w:val="en-GB"/>
        </w:rPr>
        <w:t>events</w:t>
      </w:r>
      <w:r w:rsidRPr="00380B40">
        <w:rPr>
          <w:spacing w:val="-7"/>
          <w:lang w:val="en-GB"/>
        </w:rPr>
        <w:t xml:space="preserve"> </w:t>
      </w:r>
      <w:r w:rsidRPr="00380B40">
        <w:rPr>
          <w:lang w:val="en-GB"/>
        </w:rPr>
        <w:t>that</w:t>
      </w:r>
      <w:r w:rsidRPr="00380B40">
        <w:rPr>
          <w:spacing w:val="-6"/>
          <w:lang w:val="en-GB"/>
        </w:rPr>
        <w:t xml:space="preserve"> </w:t>
      </w:r>
      <w:r w:rsidRPr="00380B40">
        <w:rPr>
          <w:spacing w:val="-1"/>
          <w:lang w:val="en-GB"/>
        </w:rPr>
        <w:t>have</w:t>
      </w:r>
      <w:r w:rsidRPr="00380B40">
        <w:rPr>
          <w:spacing w:val="-9"/>
          <w:lang w:val="en-GB"/>
        </w:rPr>
        <w:t xml:space="preserve"> </w:t>
      </w:r>
      <w:r w:rsidRPr="00380B40">
        <w:rPr>
          <w:spacing w:val="-1"/>
          <w:lang w:val="en-GB"/>
        </w:rPr>
        <w:t>taken</w:t>
      </w:r>
      <w:r w:rsidRPr="00380B40">
        <w:rPr>
          <w:spacing w:val="-8"/>
          <w:lang w:val="en-GB"/>
        </w:rPr>
        <w:t xml:space="preserve"> </w:t>
      </w:r>
      <w:r w:rsidRPr="00380B40">
        <w:rPr>
          <w:lang w:val="en-GB"/>
        </w:rPr>
        <w:t>place</w:t>
      </w:r>
      <w:r w:rsidRPr="00380B40">
        <w:rPr>
          <w:spacing w:val="-9"/>
          <w:lang w:val="en-GB"/>
        </w:rPr>
        <w:t xml:space="preserve"> </w:t>
      </w:r>
      <w:r w:rsidRPr="00380B40">
        <w:rPr>
          <w:lang w:val="en-GB"/>
        </w:rPr>
        <w:t>less</w:t>
      </w:r>
      <w:r w:rsidRPr="00380B40">
        <w:rPr>
          <w:spacing w:val="-7"/>
          <w:lang w:val="en-GB"/>
        </w:rPr>
        <w:t xml:space="preserve"> </w:t>
      </w:r>
      <w:r w:rsidRPr="00380B40">
        <w:rPr>
          <w:lang w:val="en-GB"/>
        </w:rPr>
        <w:t>than</w:t>
      </w:r>
      <w:r w:rsidRPr="00380B40">
        <w:rPr>
          <w:spacing w:val="-8"/>
          <w:lang w:val="en-GB"/>
        </w:rPr>
        <w:t xml:space="preserve"> </w:t>
      </w:r>
      <w:r w:rsidRPr="00380B40">
        <w:rPr>
          <w:lang w:val="en-GB"/>
        </w:rPr>
        <w:t>21</w:t>
      </w:r>
      <w:r w:rsidRPr="00380B40">
        <w:rPr>
          <w:spacing w:val="-8"/>
          <w:lang w:val="en-GB"/>
        </w:rPr>
        <w:t xml:space="preserve"> </w:t>
      </w:r>
      <w:r w:rsidRPr="00380B40">
        <w:rPr>
          <w:spacing w:val="-1"/>
          <w:lang w:val="en-GB"/>
        </w:rPr>
        <w:t>calendar</w:t>
      </w:r>
      <w:r w:rsidRPr="00380B40">
        <w:rPr>
          <w:spacing w:val="-8"/>
          <w:lang w:val="en-GB"/>
        </w:rPr>
        <w:t xml:space="preserve"> </w:t>
      </w:r>
      <w:r w:rsidRPr="00380B40">
        <w:rPr>
          <w:spacing w:val="-1"/>
          <w:lang w:val="en-GB"/>
        </w:rPr>
        <w:t>days</w:t>
      </w:r>
      <w:r w:rsidRPr="00380B40">
        <w:rPr>
          <w:spacing w:val="-7"/>
          <w:lang w:val="en-GB"/>
        </w:rPr>
        <w:t xml:space="preserve"> </w:t>
      </w:r>
      <w:r w:rsidRPr="00380B40">
        <w:rPr>
          <w:lang w:val="en-GB"/>
        </w:rPr>
        <w:t>before</w:t>
      </w:r>
      <w:r w:rsidRPr="00380B40">
        <w:rPr>
          <w:spacing w:val="89"/>
          <w:lang w:val="en-GB"/>
        </w:rPr>
        <w:t xml:space="preserve"> </w:t>
      </w:r>
      <w:r w:rsidRPr="00380B40">
        <w:rPr>
          <w:lang w:val="en-GB"/>
        </w:rPr>
        <w:t>the</w:t>
      </w:r>
      <w:r w:rsidRPr="00380B40">
        <w:rPr>
          <w:spacing w:val="-13"/>
          <w:lang w:val="en-GB"/>
        </w:rPr>
        <w:t xml:space="preserve"> </w:t>
      </w:r>
      <w:r w:rsidRPr="00380B40">
        <w:rPr>
          <w:spacing w:val="-1"/>
          <w:lang w:val="en-GB"/>
        </w:rPr>
        <w:t>start</w:t>
      </w:r>
      <w:r w:rsidRPr="00380B40">
        <w:rPr>
          <w:spacing w:val="-12"/>
          <w:lang w:val="en-GB"/>
        </w:rPr>
        <w:t xml:space="preserve"> </w:t>
      </w:r>
      <w:r w:rsidRPr="00380B40">
        <w:rPr>
          <w:lang w:val="en-GB"/>
        </w:rPr>
        <w:t>of</w:t>
      </w:r>
      <w:r w:rsidRPr="00380B40">
        <w:rPr>
          <w:spacing w:val="-13"/>
          <w:lang w:val="en-GB"/>
        </w:rPr>
        <w:t xml:space="preserve"> </w:t>
      </w:r>
      <w:r w:rsidRPr="00380B40">
        <w:rPr>
          <w:lang w:val="en-GB"/>
        </w:rPr>
        <w:t>the</w:t>
      </w:r>
      <w:r w:rsidRPr="00380B40">
        <w:rPr>
          <w:spacing w:val="-13"/>
          <w:lang w:val="en-GB"/>
        </w:rPr>
        <w:t xml:space="preserve"> </w:t>
      </w:r>
      <w:r w:rsidRPr="00380B40">
        <w:rPr>
          <w:spacing w:val="-1"/>
          <w:lang w:val="en-GB"/>
        </w:rPr>
        <w:t>meeting,</w:t>
      </w:r>
      <w:r w:rsidRPr="00380B40">
        <w:rPr>
          <w:spacing w:val="-12"/>
          <w:lang w:val="en-GB"/>
        </w:rPr>
        <w:t xml:space="preserve"> </w:t>
      </w:r>
      <w:r w:rsidRPr="00380B40">
        <w:rPr>
          <w:lang w:val="en-GB"/>
        </w:rPr>
        <w:t>nor</w:t>
      </w:r>
      <w:r w:rsidRPr="00380B40">
        <w:rPr>
          <w:spacing w:val="-13"/>
          <w:lang w:val="en-GB"/>
        </w:rPr>
        <w:t xml:space="preserve"> </w:t>
      </w:r>
      <w:r w:rsidRPr="00380B40">
        <w:rPr>
          <w:lang w:val="en-GB"/>
        </w:rPr>
        <w:t>to</w:t>
      </w:r>
      <w:r w:rsidRPr="00380B40">
        <w:rPr>
          <w:spacing w:val="-12"/>
          <w:lang w:val="en-GB"/>
        </w:rPr>
        <w:t xml:space="preserve"> </w:t>
      </w:r>
      <w:r w:rsidRPr="00380B40">
        <w:rPr>
          <w:spacing w:val="-1"/>
          <w:lang w:val="en-GB"/>
        </w:rPr>
        <w:t>proposals</w:t>
      </w:r>
      <w:r w:rsidRPr="00380B40">
        <w:rPr>
          <w:spacing w:val="-12"/>
          <w:lang w:val="en-GB"/>
        </w:rPr>
        <w:t xml:space="preserve"> </w:t>
      </w:r>
      <w:r w:rsidRPr="00380B40">
        <w:rPr>
          <w:spacing w:val="-1"/>
          <w:lang w:val="en-GB"/>
        </w:rPr>
        <w:t>from</w:t>
      </w:r>
      <w:r w:rsidRPr="00380B40">
        <w:rPr>
          <w:spacing w:val="-12"/>
          <w:lang w:val="en-GB"/>
        </w:rPr>
        <w:t xml:space="preserve"> </w:t>
      </w:r>
      <w:r w:rsidRPr="00380B40">
        <w:rPr>
          <w:spacing w:val="-1"/>
          <w:lang w:val="en-GB"/>
        </w:rPr>
        <w:t>chairmen</w:t>
      </w:r>
      <w:r w:rsidRPr="00380B40">
        <w:rPr>
          <w:spacing w:val="-13"/>
          <w:lang w:val="en-GB"/>
        </w:rPr>
        <w:t xml:space="preserve"> </w:t>
      </w:r>
      <w:r w:rsidRPr="00380B40">
        <w:rPr>
          <w:spacing w:val="-1"/>
          <w:lang w:val="en-GB"/>
        </w:rPr>
        <w:t>and</w:t>
      </w:r>
      <w:r w:rsidRPr="00380B40">
        <w:rPr>
          <w:spacing w:val="-12"/>
          <w:lang w:val="en-GB"/>
        </w:rPr>
        <w:t xml:space="preserve"> </w:t>
      </w:r>
      <w:r w:rsidRPr="00380B40">
        <w:rPr>
          <w:spacing w:val="-1"/>
          <w:lang w:val="en-GB"/>
        </w:rPr>
        <w:t>convenors</w:t>
      </w:r>
      <w:r w:rsidRPr="00380B40">
        <w:rPr>
          <w:spacing w:val="-13"/>
          <w:lang w:val="en-GB"/>
        </w:rPr>
        <w:t xml:space="preserve"> </w:t>
      </w:r>
      <w:r w:rsidRPr="00380B40">
        <w:rPr>
          <w:lang w:val="en-GB"/>
        </w:rPr>
        <w:t>of</w:t>
      </w:r>
      <w:r w:rsidRPr="00380B40">
        <w:rPr>
          <w:spacing w:val="-11"/>
          <w:lang w:val="en-GB"/>
        </w:rPr>
        <w:t xml:space="preserve"> </w:t>
      </w:r>
      <w:r w:rsidRPr="00380B40">
        <w:rPr>
          <w:spacing w:val="-1"/>
          <w:lang w:val="en-GB"/>
        </w:rPr>
        <w:t>ad</w:t>
      </w:r>
      <w:r w:rsidRPr="00380B40">
        <w:rPr>
          <w:spacing w:val="-12"/>
          <w:lang w:val="en-GB"/>
        </w:rPr>
        <w:t xml:space="preserve"> </w:t>
      </w:r>
      <w:r w:rsidRPr="00380B40">
        <w:rPr>
          <w:lang w:val="en-GB"/>
        </w:rPr>
        <w:t>hoc</w:t>
      </w:r>
      <w:r w:rsidRPr="00380B40">
        <w:rPr>
          <w:spacing w:val="-13"/>
          <w:lang w:val="en-GB"/>
        </w:rPr>
        <w:t xml:space="preserve"> </w:t>
      </w:r>
      <w:r w:rsidRPr="00380B40">
        <w:rPr>
          <w:spacing w:val="-1"/>
          <w:lang w:val="en-GB"/>
        </w:rPr>
        <w:t>groups,</w:t>
      </w:r>
      <w:r w:rsidRPr="00380B40">
        <w:rPr>
          <w:spacing w:val="-12"/>
          <w:lang w:val="en-GB"/>
        </w:rPr>
        <w:t xml:space="preserve"> </w:t>
      </w:r>
      <w:r w:rsidRPr="00380B40">
        <w:rPr>
          <w:spacing w:val="-1"/>
          <w:lang w:val="en-GB"/>
        </w:rPr>
        <w:t>compilations</w:t>
      </w:r>
      <w:r w:rsidRPr="00380B40">
        <w:rPr>
          <w:spacing w:val="105"/>
          <w:lang w:val="en-GB"/>
        </w:rPr>
        <w:t xml:space="preserve"> </w:t>
      </w:r>
      <w:r w:rsidRPr="00380B40">
        <w:rPr>
          <w:lang w:val="en-GB"/>
        </w:rPr>
        <w:t>of</w:t>
      </w:r>
      <w:r w:rsidRPr="00380B40">
        <w:rPr>
          <w:spacing w:val="32"/>
          <w:lang w:val="en-GB"/>
        </w:rPr>
        <w:t xml:space="preserve"> </w:t>
      </w:r>
      <w:r w:rsidRPr="00380B40">
        <w:rPr>
          <w:spacing w:val="-1"/>
          <w:lang w:val="en-GB"/>
        </w:rPr>
        <w:t>proposals</w:t>
      </w:r>
      <w:r w:rsidRPr="00380B40">
        <w:rPr>
          <w:spacing w:val="34"/>
          <w:lang w:val="en-GB"/>
        </w:rPr>
        <w:t xml:space="preserve"> </w:t>
      </w:r>
      <w:r w:rsidRPr="00380B40">
        <w:rPr>
          <w:spacing w:val="-1"/>
          <w:lang w:val="en-GB"/>
        </w:rPr>
        <w:t>prepared</w:t>
      </w:r>
      <w:r w:rsidRPr="00380B40">
        <w:rPr>
          <w:spacing w:val="33"/>
          <w:lang w:val="en-GB"/>
        </w:rPr>
        <w:t xml:space="preserve"> </w:t>
      </w:r>
      <w:r w:rsidRPr="00380B40">
        <w:rPr>
          <w:spacing w:val="1"/>
          <w:lang w:val="en-GB"/>
        </w:rPr>
        <w:t>by</w:t>
      </w:r>
      <w:r w:rsidRPr="00380B40">
        <w:rPr>
          <w:spacing w:val="30"/>
          <w:lang w:val="en-GB"/>
        </w:rPr>
        <w:t xml:space="preserve"> </w:t>
      </w:r>
      <w:r w:rsidRPr="00380B40">
        <w:rPr>
          <w:spacing w:val="-1"/>
          <w:lang w:val="en-GB"/>
        </w:rPr>
        <w:t>chairmen</w:t>
      </w:r>
      <w:r w:rsidRPr="00380B40">
        <w:rPr>
          <w:spacing w:val="33"/>
          <w:lang w:val="en-GB"/>
        </w:rPr>
        <w:t xml:space="preserve"> </w:t>
      </w:r>
      <w:r w:rsidRPr="00380B40">
        <w:rPr>
          <w:lang w:val="en-GB"/>
        </w:rPr>
        <w:t>or</w:t>
      </w:r>
      <w:r w:rsidRPr="00380B40">
        <w:rPr>
          <w:spacing w:val="32"/>
          <w:lang w:val="en-GB"/>
        </w:rPr>
        <w:t xml:space="preserve"> </w:t>
      </w:r>
      <w:r w:rsidRPr="00380B40">
        <w:rPr>
          <w:lang w:val="en-GB"/>
        </w:rPr>
        <w:t>the</w:t>
      </w:r>
      <w:r w:rsidRPr="00380B40">
        <w:rPr>
          <w:spacing w:val="32"/>
          <w:lang w:val="en-GB"/>
        </w:rPr>
        <w:t xml:space="preserve"> </w:t>
      </w:r>
      <w:r w:rsidRPr="00380B40">
        <w:rPr>
          <w:spacing w:val="-1"/>
          <w:lang w:val="en-GB"/>
        </w:rPr>
        <w:t>secretariat,</w:t>
      </w:r>
      <w:r w:rsidRPr="00380B40">
        <w:rPr>
          <w:spacing w:val="33"/>
          <w:lang w:val="en-GB"/>
        </w:rPr>
        <w:t xml:space="preserve"> </w:t>
      </w:r>
      <w:r w:rsidRPr="00380B40">
        <w:rPr>
          <w:lang w:val="en-GB"/>
        </w:rPr>
        <w:t>or</w:t>
      </w:r>
      <w:r w:rsidRPr="00380B40">
        <w:rPr>
          <w:spacing w:val="32"/>
          <w:lang w:val="en-GB"/>
        </w:rPr>
        <w:t xml:space="preserve"> </w:t>
      </w:r>
      <w:r w:rsidRPr="00380B40">
        <w:rPr>
          <w:spacing w:val="-1"/>
          <w:lang w:val="en-GB"/>
        </w:rPr>
        <w:t>documents</w:t>
      </w:r>
      <w:r w:rsidRPr="00380B40">
        <w:rPr>
          <w:spacing w:val="33"/>
          <w:lang w:val="en-GB"/>
        </w:rPr>
        <w:t xml:space="preserve"> </w:t>
      </w:r>
      <w:r w:rsidRPr="00380B40">
        <w:rPr>
          <w:lang w:val="en-GB"/>
        </w:rPr>
        <w:t>specifically</w:t>
      </w:r>
      <w:r w:rsidRPr="00380B40">
        <w:rPr>
          <w:spacing w:val="28"/>
          <w:lang w:val="en-GB"/>
        </w:rPr>
        <w:t xml:space="preserve"> </w:t>
      </w:r>
      <w:r w:rsidRPr="00380B40">
        <w:rPr>
          <w:spacing w:val="-1"/>
          <w:lang w:val="en-GB"/>
        </w:rPr>
        <w:t>requested</w:t>
      </w:r>
      <w:r w:rsidRPr="00380B40">
        <w:rPr>
          <w:spacing w:val="33"/>
          <w:lang w:val="en-GB"/>
        </w:rPr>
        <w:t xml:space="preserve"> </w:t>
      </w:r>
      <w:r w:rsidRPr="00380B40">
        <w:rPr>
          <w:spacing w:val="2"/>
          <w:lang w:val="en-GB"/>
        </w:rPr>
        <w:t>by</w:t>
      </w:r>
      <w:r w:rsidRPr="00380B40">
        <w:rPr>
          <w:spacing w:val="28"/>
          <w:lang w:val="en-GB"/>
        </w:rPr>
        <w:t xml:space="preserve"> </w:t>
      </w:r>
      <w:r w:rsidRPr="00380B40">
        <w:rPr>
          <w:lang w:val="en-GB"/>
        </w:rPr>
        <w:t>the</w:t>
      </w:r>
      <w:r w:rsidRPr="00380B40">
        <w:rPr>
          <w:spacing w:val="91"/>
          <w:lang w:val="en-GB"/>
        </w:rPr>
        <w:t xml:space="preserve"> </w:t>
      </w:r>
      <w:r w:rsidRPr="00380B40">
        <w:rPr>
          <w:spacing w:val="-1"/>
          <w:lang w:val="en-GB"/>
        </w:rPr>
        <w:t>meeting.</w:t>
      </w:r>
      <w:r w:rsidRPr="00380B40">
        <w:rPr>
          <w:spacing w:val="16"/>
          <w:lang w:val="en-GB"/>
        </w:rPr>
        <w:t xml:space="preserve"> </w:t>
      </w:r>
      <w:r w:rsidRPr="00380B40">
        <w:rPr>
          <w:spacing w:val="-1"/>
          <w:lang w:val="en-GB"/>
        </w:rPr>
        <w:t>Reports</w:t>
      </w:r>
      <w:r w:rsidRPr="00380B40">
        <w:rPr>
          <w:spacing w:val="16"/>
          <w:lang w:val="en-GB"/>
        </w:rPr>
        <w:t xml:space="preserve"> </w:t>
      </w:r>
      <w:r w:rsidRPr="00380B40">
        <w:rPr>
          <w:lang w:val="en-GB"/>
        </w:rPr>
        <w:t>on</w:t>
      </w:r>
      <w:r w:rsidRPr="00380B40">
        <w:rPr>
          <w:spacing w:val="16"/>
          <w:lang w:val="en-GB"/>
        </w:rPr>
        <w:t xml:space="preserve"> </w:t>
      </w:r>
      <w:r w:rsidRPr="00380B40">
        <w:rPr>
          <w:lang w:val="en-GB"/>
        </w:rPr>
        <w:t>events</w:t>
      </w:r>
      <w:r w:rsidRPr="00380B40">
        <w:rPr>
          <w:spacing w:val="17"/>
          <w:lang w:val="en-GB"/>
        </w:rPr>
        <w:t xml:space="preserve"> </w:t>
      </w:r>
      <w:r w:rsidRPr="00380B40">
        <w:rPr>
          <w:lang w:val="en-GB"/>
        </w:rPr>
        <w:t>that</w:t>
      </w:r>
      <w:r w:rsidRPr="00380B40">
        <w:rPr>
          <w:spacing w:val="16"/>
          <w:lang w:val="en-GB"/>
        </w:rPr>
        <w:t xml:space="preserve"> </w:t>
      </w:r>
      <w:r w:rsidRPr="00380B40">
        <w:rPr>
          <w:spacing w:val="-1"/>
          <w:lang w:val="en-GB"/>
        </w:rPr>
        <w:t>have</w:t>
      </w:r>
      <w:r w:rsidRPr="00380B40">
        <w:rPr>
          <w:spacing w:val="15"/>
          <w:lang w:val="en-GB"/>
        </w:rPr>
        <w:t xml:space="preserve"> </w:t>
      </w:r>
      <w:r w:rsidRPr="00380B40">
        <w:rPr>
          <w:spacing w:val="-1"/>
          <w:lang w:val="en-GB"/>
        </w:rPr>
        <w:t>taken</w:t>
      </w:r>
      <w:r w:rsidRPr="00380B40">
        <w:rPr>
          <w:spacing w:val="16"/>
          <w:lang w:val="en-GB"/>
        </w:rPr>
        <w:t xml:space="preserve"> </w:t>
      </w:r>
      <w:r w:rsidRPr="00380B40">
        <w:rPr>
          <w:spacing w:val="-1"/>
          <w:lang w:val="en-GB"/>
        </w:rPr>
        <w:t>place</w:t>
      </w:r>
      <w:r w:rsidRPr="00380B40">
        <w:rPr>
          <w:spacing w:val="15"/>
          <w:lang w:val="en-GB"/>
        </w:rPr>
        <w:t xml:space="preserve"> </w:t>
      </w:r>
      <w:r w:rsidRPr="00380B40">
        <w:rPr>
          <w:lang w:val="en-GB"/>
        </w:rPr>
        <w:t>less</w:t>
      </w:r>
      <w:r w:rsidRPr="00380B40">
        <w:rPr>
          <w:spacing w:val="16"/>
          <w:lang w:val="en-GB"/>
        </w:rPr>
        <w:t xml:space="preserve"> </w:t>
      </w:r>
      <w:r w:rsidRPr="00380B40">
        <w:rPr>
          <w:lang w:val="en-GB"/>
        </w:rPr>
        <w:t>than</w:t>
      </w:r>
      <w:r w:rsidRPr="00380B40">
        <w:rPr>
          <w:spacing w:val="16"/>
          <w:lang w:val="en-GB"/>
        </w:rPr>
        <w:t xml:space="preserve"> </w:t>
      </w:r>
      <w:r w:rsidRPr="00380B40">
        <w:rPr>
          <w:lang w:val="en-GB"/>
        </w:rPr>
        <w:t>21</w:t>
      </w:r>
      <w:r w:rsidRPr="00380B40">
        <w:rPr>
          <w:spacing w:val="16"/>
          <w:lang w:val="en-GB"/>
        </w:rPr>
        <w:t xml:space="preserve"> </w:t>
      </w:r>
      <w:r w:rsidRPr="00380B40">
        <w:rPr>
          <w:spacing w:val="-1"/>
          <w:lang w:val="en-GB"/>
        </w:rPr>
        <w:t>calendar</w:t>
      </w:r>
      <w:r w:rsidRPr="00380B40">
        <w:rPr>
          <w:spacing w:val="15"/>
          <w:lang w:val="en-GB"/>
        </w:rPr>
        <w:t xml:space="preserve"> </w:t>
      </w:r>
      <w:r w:rsidRPr="00380B40">
        <w:rPr>
          <w:spacing w:val="-2"/>
          <w:lang w:val="en-GB"/>
        </w:rPr>
        <w:t>days</w:t>
      </w:r>
      <w:r w:rsidRPr="00380B40">
        <w:rPr>
          <w:spacing w:val="18"/>
          <w:lang w:val="en-GB"/>
        </w:rPr>
        <w:t xml:space="preserve"> </w:t>
      </w:r>
      <w:r w:rsidRPr="00380B40">
        <w:rPr>
          <w:lang w:val="en-GB"/>
        </w:rPr>
        <w:t>before</w:t>
      </w:r>
      <w:r w:rsidRPr="00380B40">
        <w:rPr>
          <w:spacing w:val="14"/>
          <w:lang w:val="en-GB"/>
        </w:rPr>
        <w:t xml:space="preserve"> </w:t>
      </w:r>
      <w:r w:rsidRPr="00380B40">
        <w:rPr>
          <w:lang w:val="en-GB"/>
        </w:rPr>
        <w:t>the</w:t>
      </w:r>
      <w:r w:rsidRPr="00380B40">
        <w:rPr>
          <w:spacing w:val="16"/>
          <w:lang w:val="en-GB"/>
        </w:rPr>
        <w:t xml:space="preserve"> </w:t>
      </w:r>
      <w:r w:rsidRPr="00380B40">
        <w:rPr>
          <w:spacing w:val="-1"/>
          <w:lang w:val="en-GB"/>
        </w:rPr>
        <w:t>start</w:t>
      </w:r>
      <w:r w:rsidRPr="00380B40">
        <w:rPr>
          <w:spacing w:val="17"/>
          <w:lang w:val="en-GB"/>
        </w:rPr>
        <w:t xml:space="preserve"> </w:t>
      </w:r>
      <w:r w:rsidRPr="00380B40">
        <w:rPr>
          <w:lang w:val="en-GB"/>
        </w:rPr>
        <w:t>of</w:t>
      </w:r>
      <w:r w:rsidRPr="00380B40">
        <w:rPr>
          <w:spacing w:val="15"/>
          <w:lang w:val="en-GB"/>
        </w:rPr>
        <w:t xml:space="preserve"> </w:t>
      </w:r>
      <w:r w:rsidRPr="00380B40">
        <w:rPr>
          <w:lang w:val="en-GB"/>
        </w:rPr>
        <w:t>the</w:t>
      </w:r>
      <w:r w:rsidRPr="00380B40">
        <w:rPr>
          <w:spacing w:val="59"/>
          <w:lang w:val="en-GB"/>
        </w:rPr>
        <w:t xml:space="preserve"> </w:t>
      </w:r>
      <w:r w:rsidRPr="00380B40">
        <w:rPr>
          <w:spacing w:val="-1"/>
          <w:lang w:val="en-GB"/>
        </w:rPr>
        <w:t>meeting</w:t>
      </w:r>
      <w:r w:rsidRPr="00380B40">
        <w:rPr>
          <w:spacing w:val="11"/>
          <w:lang w:val="en-GB"/>
        </w:rPr>
        <w:t xml:space="preserve"> </w:t>
      </w:r>
      <w:r w:rsidRPr="00380B40">
        <w:rPr>
          <w:lang w:val="en-GB"/>
        </w:rPr>
        <w:t>should</w:t>
      </w:r>
      <w:r w:rsidRPr="00380B40">
        <w:rPr>
          <w:spacing w:val="14"/>
          <w:lang w:val="en-GB"/>
        </w:rPr>
        <w:t xml:space="preserve"> </w:t>
      </w:r>
      <w:r w:rsidRPr="00380B40">
        <w:rPr>
          <w:lang w:val="en-GB"/>
        </w:rPr>
        <w:t>normally</w:t>
      </w:r>
      <w:r w:rsidRPr="00380B40">
        <w:rPr>
          <w:spacing w:val="11"/>
          <w:lang w:val="en-GB"/>
        </w:rPr>
        <w:t xml:space="preserve"> </w:t>
      </w:r>
      <w:r w:rsidRPr="00380B40">
        <w:rPr>
          <w:lang w:val="en-GB"/>
        </w:rPr>
        <w:t>be</w:t>
      </w:r>
      <w:r w:rsidRPr="00380B40">
        <w:rPr>
          <w:spacing w:val="13"/>
          <w:lang w:val="en-GB"/>
        </w:rPr>
        <w:t xml:space="preserve"> </w:t>
      </w:r>
      <w:r w:rsidRPr="00380B40">
        <w:rPr>
          <w:spacing w:val="-1"/>
          <w:lang w:val="en-GB"/>
        </w:rPr>
        <w:t>posted</w:t>
      </w:r>
      <w:r w:rsidRPr="00380B40">
        <w:rPr>
          <w:spacing w:val="14"/>
          <w:lang w:val="en-GB"/>
        </w:rPr>
        <w:t xml:space="preserve"> </w:t>
      </w:r>
      <w:r w:rsidRPr="00380B40">
        <w:rPr>
          <w:lang w:val="en-GB"/>
        </w:rPr>
        <w:t>on</w:t>
      </w:r>
      <w:r w:rsidRPr="00380B40">
        <w:rPr>
          <w:spacing w:val="16"/>
          <w:lang w:val="en-GB"/>
        </w:rPr>
        <w:t xml:space="preserve"> </w:t>
      </w:r>
      <w:r w:rsidRPr="00380B40">
        <w:rPr>
          <w:lang w:val="en-GB"/>
        </w:rPr>
        <w:t>the</w:t>
      </w:r>
      <w:r w:rsidRPr="00380B40">
        <w:rPr>
          <w:spacing w:val="16"/>
          <w:lang w:val="en-GB"/>
        </w:rPr>
        <w:t xml:space="preserve"> </w:t>
      </w:r>
      <w:r w:rsidRPr="00380B40">
        <w:rPr>
          <w:spacing w:val="-1"/>
          <w:lang w:val="en-GB"/>
        </w:rPr>
        <w:t>relevant</w:t>
      </w:r>
      <w:r w:rsidRPr="00380B40">
        <w:rPr>
          <w:spacing w:val="14"/>
          <w:lang w:val="en-GB"/>
        </w:rPr>
        <w:t xml:space="preserve"> </w:t>
      </w:r>
      <w:r w:rsidRPr="00380B40">
        <w:rPr>
          <w:spacing w:val="-1"/>
          <w:lang w:val="en-GB"/>
        </w:rPr>
        <w:t>page</w:t>
      </w:r>
      <w:r w:rsidRPr="00380B40">
        <w:rPr>
          <w:spacing w:val="13"/>
          <w:lang w:val="en-GB"/>
        </w:rPr>
        <w:t xml:space="preserve"> </w:t>
      </w:r>
      <w:r w:rsidRPr="00380B40">
        <w:rPr>
          <w:lang w:val="en-GB"/>
        </w:rPr>
        <w:t>of</w:t>
      </w:r>
      <w:r w:rsidRPr="00380B40">
        <w:rPr>
          <w:spacing w:val="15"/>
          <w:lang w:val="en-GB"/>
        </w:rPr>
        <w:t xml:space="preserve"> </w:t>
      </w:r>
      <w:r w:rsidRPr="00380B40">
        <w:rPr>
          <w:lang w:val="en-GB"/>
        </w:rPr>
        <w:t>the</w:t>
      </w:r>
      <w:r w:rsidRPr="00380B40">
        <w:rPr>
          <w:spacing w:val="13"/>
          <w:lang w:val="en-GB"/>
        </w:rPr>
        <w:t xml:space="preserve"> </w:t>
      </w:r>
      <w:r w:rsidRPr="00380B40">
        <w:rPr>
          <w:lang w:val="en-GB"/>
        </w:rPr>
        <w:t>website</w:t>
      </w:r>
      <w:r w:rsidRPr="00380B40">
        <w:rPr>
          <w:spacing w:val="13"/>
          <w:lang w:val="en-GB"/>
        </w:rPr>
        <w:t xml:space="preserve"> </w:t>
      </w:r>
      <w:r w:rsidRPr="00380B40">
        <w:rPr>
          <w:lang w:val="en-GB"/>
        </w:rPr>
        <w:t>not</w:t>
      </w:r>
      <w:r w:rsidRPr="00380B40">
        <w:rPr>
          <w:spacing w:val="14"/>
          <w:lang w:val="en-GB"/>
        </w:rPr>
        <w:t xml:space="preserve"> </w:t>
      </w:r>
      <w:r w:rsidRPr="00380B40">
        <w:rPr>
          <w:spacing w:val="-1"/>
          <w:lang w:val="en-GB"/>
        </w:rPr>
        <w:t>later</w:t>
      </w:r>
      <w:r w:rsidRPr="00380B40">
        <w:rPr>
          <w:spacing w:val="13"/>
          <w:lang w:val="en-GB"/>
        </w:rPr>
        <w:t xml:space="preserve"> </w:t>
      </w:r>
      <w:r w:rsidRPr="00380B40">
        <w:rPr>
          <w:lang w:val="en-GB"/>
        </w:rPr>
        <w:t>than</w:t>
      </w:r>
      <w:r w:rsidRPr="00380B40">
        <w:rPr>
          <w:spacing w:val="15"/>
          <w:lang w:val="en-GB"/>
        </w:rPr>
        <w:t xml:space="preserve"> </w:t>
      </w:r>
      <w:r w:rsidRPr="00380B40">
        <w:rPr>
          <w:lang w:val="en-GB"/>
        </w:rPr>
        <w:t>two</w:t>
      </w:r>
      <w:r w:rsidRPr="00380B40">
        <w:rPr>
          <w:spacing w:val="14"/>
          <w:lang w:val="en-GB"/>
        </w:rPr>
        <w:t xml:space="preserve"> </w:t>
      </w:r>
      <w:r w:rsidRPr="00380B40">
        <w:rPr>
          <w:lang w:val="en-GB"/>
        </w:rPr>
        <w:t>calendar</w:t>
      </w:r>
      <w:r w:rsidRPr="00380B40">
        <w:rPr>
          <w:spacing w:val="61"/>
          <w:lang w:val="en-GB"/>
        </w:rPr>
        <w:t xml:space="preserve"> </w:t>
      </w:r>
      <w:r w:rsidRPr="00380B40">
        <w:rPr>
          <w:spacing w:val="-1"/>
          <w:lang w:val="en-GB"/>
        </w:rPr>
        <w:t>days</w:t>
      </w:r>
      <w:r w:rsidRPr="00380B40">
        <w:rPr>
          <w:spacing w:val="9"/>
          <w:lang w:val="en-GB"/>
        </w:rPr>
        <w:t xml:space="preserve"> </w:t>
      </w:r>
      <w:r w:rsidRPr="00380B40">
        <w:rPr>
          <w:lang w:val="en-GB"/>
        </w:rPr>
        <w:t>before</w:t>
      </w:r>
      <w:r w:rsidRPr="00380B40">
        <w:rPr>
          <w:spacing w:val="5"/>
          <w:lang w:val="en-GB"/>
        </w:rPr>
        <w:t xml:space="preserve"> </w:t>
      </w:r>
      <w:r w:rsidRPr="00380B40">
        <w:rPr>
          <w:lang w:val="en-GB"/>
        </w:rPr>
        <w:t>the</w:t>
      </w:r>
      <w:r w:rsidRPr="00380B40">
        <w:rPr>
          <w:spacing w:val="6"/>
          <w:lang w:val="en-GB"/>
        </w:rPr>
        <w:t xml:space="preserve"> </w:t>
      </w:r>
      <w:r w:rsidRPr="00380B40">
        <w:rPr>
          <w:lang w:val="en-GB"/>
        </w:rPr>
        <w:t>beginning</w:t>
      </w:r>
      <w:r w:rsidRPr="00380B40">
        <w:rPr>
          <w:spacing w:val="4"/>
          <w:lang w:val="en-GB"/>
        </w:rPr>
        <w:t xml:space="preserve"> </w:t>
      </w:r>
      <w:r w:rsidRPr="00380B40">
        <w:rPr>
          <w:spacing w:val="1"/>
          <w:lang w:val="en-GB"/>
        </w:rPr>
        <w:t>of</w:t>
      </w:r>
      <w:r w:rsidRPr="00380B40">
        <w:rPr>
          <w:spacing w:val="6"/>
          <w:lang w:val="en-GB"/>
        </w:rPr>
        <w:t xml:space="preserve"> </w:t>
      </w:r>
      <w:r w:rsidRPr="00380B40">
        <w:rPr>
          <w:lang w:val="en-GB"/>
        </w:rPr>
        <w:t>the</w:t>
      </w:r>
      <w:r w:rsidRPr="00380B40">
        <w:rPr>
          <w:spacing w:val="6"/>
          <w:lang w:val="en-GB"/>
        </w:rPr>
        <w:t xml:space="preserve"> </w:t>
      </w:r>
      <w:r w:rsidRPr="00380B40">
        <w:rPr>
          <w:lang w:val="en-GB"/>
        </w:rPr>
        <w:t>discussion</w:t>
      </w:r>
      <w:r w:rsidRPr="00380B40">
        <w:rPr>
          <w:spacing w:val="6"/>
          <w:lang w:val="en-GB"/>
        </w:rPr>
        <w:t xml:space="preserve"> </w:t>
      </w:r>
      <w:r w:rsidRPr="00380B40">
        <w:rPr>
          <w:lang w:val="en-GB"/>
        </w:rPr>
        <w:t>of</w:t>
      </w:r>
      <w:r w:rsidRPr="00380B40">
        <w:rPr>
          <w:spacing w:val="6"/>
          <w:lang w:val="en-GB"/>
        </w:rPr>
        <w:t xml:space="preserve"> </w:t>
      </w:r>
      <w:r w:rsidRPr="00380B40">
        <w:rPr>
          <w:lang w:val="en-GB"/>
        </w:rPr>
        <w:t>the</w:t>
      </w:r>
      <w:r w:rsidRPr="00380B40">
        <w:rPr>
          <w:spacing w:val="8"/>
          <w:lang w:val="en-GB"/>
        </w:rPr>
        <w:t xml:space="preserve"> </w:t>
      </w:r>
      <w:r w:rsidRPr="00380B40">
        <w:rPr>
          <w:spacing w:val="-1"/>
          <w:lang w:val="en-GB"/>
        </w:rPr>
        <w:t>item</w:t>
      </w:r>
      <w:r w:rsidRPr="00380B40">
        <w:rPr>
          <w:spacing w:val="7"/>
          <w:lang w:val="en-GB"/>
        </w:rPr>
        <w:t xml:space="preserve"> </w:t>
      </w:r>
      <w:r w:rsidRPr="00380B40">
        <w:rPr>
          <w:lang w:val="en-GB"/>
        </w:rPr>
        <w:t>in</w:t>
      </w:r>
      <w:r w:rsidRPr="00380B40">
        <w:rPr>
          <w:spacing w:val="7"/>
          <w:lang w:val="en-GB"/>
        </w:rPr>
        <w:t xml:space="preserve"> </w:t>
      </w:r>
      <w:r w:rsidRPr="00380B40">
        <w:rPr>
          <w:spacing w:val="-1"/>
          <w:lang w:val="en-GB"/>
        </w:rPr>
        <w:t>question</w:t>
      </w:r>
      <w:r w:rsidRPr="00380B40">
        <w:rPr>
          <w:spacing w:val="6"/>
          <w:lang w:val="en-GB"/>
        </w:rPr>
        <w:t xml:space="preserve"> </w:t>
      </w:r>
      <w:r w:rsidRPr="00380B40">
        <w:rPr>
          <w:spacing w:val="-1"/>
          <w:lang w:val="en-GB"/>
        </w:rPr>
        <w:t>at</w:t>
      </w:r>
      <w:r w:rsidRPr="00380B40">
        <w:rPr>
          <w:spacing w:val="7"/>
          <w:lang w:val="en-GB"/>
        </w:rPr>
        <w:t xml:space="preserve"> </w:t>
      </w:r>
      <w:r w:rsidRPr="00380B40">
        <w:rPr>
          <w:lang w:val="en-GB"/>
        </w:rPr>
        <w:t>the</w:t>
      </w:r>
      <w:r w:rsidRPr="00380B40">
        <w:rPr>
          <w:spacing w:val="11"/>
          <w:lang w:val="en-GB"/>
        </w:rPr>
        <w:t xml:space="preserve"> </w:t>
      </w:r>
      <w:r w:rsidRPr="00380B40">
        <w:rPr>
          <w:lang w:val="en-GB"/>
        </w:rPr>
        <w:t>meeting,</w:t>
      </w:r>
      <w:r w:rsidRPr="00380B40">
        <w:rPr>
          <w:spacing w:val="6"/>
          <w:lang w:val="en-GB"/>
        </w:rPr>
        <w:t xml:space="preserve"> </w:t>
      </w:r>
      <w:r w:rsidRPr="00380B40">
        <w:rPr>
          <w:lang w:val="en-GB"/>
        </w:rPr>
        <w:t>unless</w:t>
      </w:r>
      <w:r w:rsidRPr="00380B40">
        <w:rPr>
          <w:spacing w:val="7"/>
          <w:lang w:val="en-GB"/>
        </w:rPr>
        <w:t xml:space="preserve"> </w:t>
      </w:r>
      <w:r w:rsidRPr="00380B40">
        <w:rPr>
          <w:lang w:val="en-GB"/>
        </w:rPr>
        <w:t>otherwise</w:t>
      </w:r>
      <w:r w:rsidRPr="00380B40">
        <w:rPr>
          <w:spacing w:val="38"/>
          <w:lang w:val="en-GB"/>
        </w:rPr>
        <w:t xml:space="preserve"> </w:t>
      </w:r>
      <w:r w:rsidRPr="00380B40">
        <w:rPr>
          <w:spacing w:val="-1"/>
          <w:lang w:val="en-GB"/>
        </w:rPr>
        <w:t>agreed</w:t>
      </w:r>
      <w:r w:rsidRPr="00380B40">
        <w:rPr>
          <w:lang w:val="en-GB"/>
        </w:rPr>
        <w:t xml:space="preserve"> </w:t>
      </w:r>
      <w:r w:rsidRPr="00380B40">
        <w:rPr>
          <w:spacing w:val="2"/>
          <w:lang w:val="en-GB"/>
        </w:rPr>
        <w:t>by</w:t>
      </w:r>
      <w:r w:rsidRPr="00380B40">
        <w:rPr>
          <w:spacing w:val="-5"/>
          <w:lang w:val="en-GB"/>
        </w:rPr>
        <w:t xml:space="preserve"> </w:t>
      </w:r>
      <w:r w:rsidRPr="00380B40">
        <w:rPr>
          <w:lang w:val="en-GB"/>
        </w:rPr>
        <w:t>the</w:t>
      </w:r>
      <w:r w:rsidRPr="00380B40">
        <w:rPr>
          <w:spacing w:val="-1"/>
          <w:lang w:val="en-GB"/>
        </w:rPr>
        <w:t xml:space="preserve"> meeting.</w:t>
      </w:r>
    </w:p>
    <w:p w14:paraId="43EB989A" w14:textId="77777777" w:rsidR="00C12517" w:rsidRPr="00380B40" w:rsidRDefault="00C12517" w:rsidP="00C12517">
      <w:pPr>
        <w:rPr>
          <w:lang w:val="en-GB"/>
        </w:rPr>
      </w:pPr>
      <w:r w:rsidRPr="00380B40">
        <w:rPr>
          <w:b/>
          <w:bCs/>
          <w:lang w:val="en-GB"/>
        </w:rPr>
        <w:t>3.3.4</w:t>
      </w:r>
      <w:r w:rsidRPr="00380B40">
        <w:rPr>
          <w:lang w:val="en-GB"/>
        </w:rPr>
        <w:tab/>
        <w:t>TDs can be produced during</w:t>
      </w:r>
      <w:r w:rsidRPr="00380B40">
        <w:rPr>
          <w:spacing w:val="-2"/>
          <w:lang w:val="en-GB"/>
        </w:rPr>
        <w:t xml:space="preserve"> </w:t>
      </w:r>
      <w:r w:rsidRPr="00380B40">
        <w:rPr>
          <w:lang w:val="en-GB"/>
        </w:rPr>
        <w:t>the meeting.</w:t>
      </w:r>
    </w:p>
    <w:p w14:paraId="404A1227" w14:textId="77777777" w:rsidR="00C12517" w:rsidRPr="00380B40" w:rsidRDefault="00C12517" w:rsidP="00C12517">
      <w:pPr>
        <w:rPr>
          <w:b/>
          <w:bCs/>
          <w:lang w:val="en-GB"/>
        </w:rPr>
      </w:pPr>
      <w:r w:rsidRPr="00380B40">
        <w:rPr>
          <w:b/>
          <w:bCs/>
          <w:lang w:val="en-GB"/>
        </w:rPr>
        <w:t>3.3.5</w:t>
      </w:r>
      <w:r w:rsidRPr="00380B40">
        <w:rPr>
          <w:lang w:val="en-GB"/>
        </w:rPr>
        <w:tab/>
        <w:t>Chairmen</w:t>
      </w:r>
      <w:r w:rsidRPr="00380B40">
        <w:rPr>
          <w:spacing w:val="16"/>
          <w:lang w:val="en-GB"/>
        </w:rPr>
        <w:t xml:space="preserve"> </w:t>
      </w:r>
      <w:r w:rsidRPr="00380B40">
        <w:rPr>
          <w:lang w:val="en-GB"/>
        </w:rPr>
        <w:t>and</w:t>
      </w:r>
      <w:r w:rsidRPr="00380B40">
        <w:rPr>
          <w:spacing w:val="16"/>
          <w:lang w:val="en-GB"/>
        </w:rPr>
        <w:t xml:space="preserve"> </w:t>
      </w:r>
      <w:r w:rsidRPr="00380B40">
        <w:rPr>
          <w:lang w:val="en-GB"/>
        </w:rPr>
        <w:t>vice-chairmen</w:t>
      </w:r>
      <w:r w:rsidRPr="00380B40">
        <w:rPr>
          <w:spacing w:val="16"/>
          <w:lang w:val="en-GB"/>
        </w:rPr>
        <w:t xml:space="preserve"> </w:t>
      </w:r>
      <w:r w:rsidRPr="00380B40">
        <w:rPr>
          <w:lang w:val="en-GB"/>
        </w:rPr>
        <w:t>of</w:t>
      </w:r>
      <w:r w:rsidRPr="00380B40">
        <w:rPr>
          <w:spacing w:val="15"/>
          <w:lang w:val="en-GB"/>
        </w:rPr>
        <w:t xml:space="preserve"> </w:t>
      </w:r>
      <w:r w:rsidRPr="00380B40">
        <w:rPr>
          <w:spacing w:val="1"/>
          <w:lang w:val="en-GB"/>
        </w:rPr>
        <w:t>study</w:t>
      </w:r>
      <w:r w:rsidRPr="00380B40">
        <w:rPr>
          <w:spacing w:val="14"/>
          <w:lang w:val="en-GB"/>
        </w:rPr>
        <w:t xml:space="preserve"> </w:t>
      </w:r>
      <w:r w:rsidRPr="00380B40">
        <w:rPr>
          <w:lang w:val="en-GB"/>
        </w:rPr>
        <w:t>groups</w:t>
      </w:r>
      <w:r w:rsidRPr="00380B40">
        <w:rPr>
          <w:spacing w:val="18"/>
          <w:lang w:val="en-GB"/>
        </w:rPr>
        <w:t xml:space="preserve"> </w:t>
      </w:r>
      <w:r w:rsidRPr="00380B40">
        <w:rPr>
          <w:lang w:val="en-GB"/>
        </w:rPr>
        <w:t>and</w:t>
      </w:r>
      <w:r w:rsidRPr="00380B40">
        <w:rPr>
          <w:spacing w:val="18"/>
          <w:lang w:val="en-GB"/>
        </w:rPr>
        <w:t xml:space="preserve"> </w:t>
      </w:r>
      <w:r w:rsidRPr="00380B40">
        <w:rPr>
          <w:lang w:val="en-GB"/>
        </w:rPr>
        <w:t>working</w:t>
      </w:r>
      <w:r w:rsidRPr="00380B40">
        <w:rPr>
          <w:spacing w:val="14"/>
          <w:lang w:val="en-GB"/>
        </w:rPr>
        <w:t xml:space="preserve"> </w:t>
      </w:r>
      <w:r w:rsidRPr="00380B40">
        <w:rPr>
          <w:lang w:val="en-GB"/>
        </w:rPr>
        <w:t>parties</w:t>
      </w:r>
      <w:r w:rsidRPr="00380B40">
        <w:rPr>
          <w:spacing w:val="16"/>
          <w:lang w:val="en-GB"/>
        </w:rPr>
        <w:t xml:space="preserve"> </w:t>
      </w:r>
      <w:r w:rsidRPr="00380B40">
        <w:rPr>
          <w:spacing w:val="1"/>
          <w:lang w:val="en-GB"/>
        </w:rPr>
        <w:t>may</w:t>
      </w:r>
      <w:r w:rsidRPr="00380B40">
        <w:rPr>
          <w:spacing w:val="14"/>
          <w:lang w:val="en-GB"/>
        </w:rPr>
        <w:t xml:space="preserve"> </w:t>
      </w:r>
      <w:r w:rsidRPr="00380B40">
        <w:rPr>
          <w:lang w:val="en-GB"/>
        </w:rPr>
        <w:t>at</w:t>
      </w:r>
      <w:r w:rsidRPr="00380B40">
        <w:rPr>
          <w:spacing w:val="19"/>
          <w:lang w:val="en-GB"/>
        </w:rPr>
        <w:t xml:space="preserve"> </w:t>
      </w:r>
      <w:r w:rsidRPr="00380B40">
        <w:rPr>
          <w:lang w:val="en-GB"/>
        </w:rPr>
        <w:t>any</w:t>
      </w:r>
      <w:r w:rsidRPr="00380B40">
        <w:rPr>
          <w:spacing w:val="11"/>
          <w:lang w:val="en-GB"/>
        </w:rPr>
        <w:t xml:space="preserve"> </w:t>
      </w:r>
      <w:r w:rsidRPr="00380B40">
        <w:rPr>
          <w:lang w:val="en-GB"/>
        </w:rPr>
        <w:t>time</w:t>
      </w:r>
      <w:r w:rsidRPr="00380B40">
        <w:rPr>
          <w:spacing w:val="18"/>
          <w:lang w:val="en-GB"/>
        </w:rPr>
        <w:t xml:space="preserve"> </w:t>
      </w:r>
      <w:r w:rsidRPr="00380B40">
        <w:rPr>
          <w:lang w:val="en-GB"/>
        </w:rPr>
        <w:t>submit</w:t>
      </w:r>
      <w:r w:rsidRPr="00380B40">
        <w:rPr>
          <w:spacing w:val="34"/>
          <w:lang w:val="en-GB"/>
        </w:rPr>
        <w:t xml:space="preserve"> </w:t>
      </w:r>
      <w:r w:rsidRPr="00380B40">
        <w:rPr>
          <w:lang w:val="en-GB"/>
        </w:rPr>
        <w:t>inputs</w:t>
      </w:r>
      <w:r w:rsidRPr="00380B40">
        <w:rPr>
          <w:spacing w:val="12"/>
          <w:lang w:val="en-GB"/>
        </w:rPr>
        <w:t xml:space="preserve"> </w:t>
      </w:r>
      <w:r w:rsidRPr="00380B40">
        <w:rPr>
          <w:lang w:val="en-GB"/>
        </w:rPr>
        <w:t>as</w:t>
      </w:r>
      <w:r w:rsidRPr="00380B40">
        <w:rPr>
          <w:spacing w:val="12"/>
          <w:lang w:val="en-GB"/>
        </w:rPr>
        <w:t xml:space="preserve"> </w:t>
      </w:r>
      <w:r w:rsidRPr="00380B40">
        <w:rPr>
          <w:lang w:val="en-GB"/>
        </w:rPr>
        <w:t>TDs to their study group or working party,</w:t>
      </w:r>
      <w:r w:rsidRPr="00380B40">
        <w:rPr>
          <w:spacing w:val="12"/>
          <w:lang w:val="en-GB"/>
        </w:rPr>
        <w:t xml:space="preserve"> </w:t>
      </w:r>
      <w:r w:rsidRPr="00380B40">
        <w:rPr>
          <w:lang w:val="en-GB"/>
        </w:rPr>
        <w:t>including,</w:t>
      </w:r>
      <w:r w:rsidRPr="00380B40">
        <w:rPr>
          <w:spacing w:val="13"/>
          <w:lang w:val="en-GB"/>
        </w:rPr>
        <w:t xml:space="preserve"> </w:t>
      </w:r>
      <w:r w:rsidRPr="00380B40">
        <w:rPr>
          <w:lang w:val="en-GB"/>
        </w:rPr>
        <w:t>in</w:t>
      </w:r>
      <w:r w:rsidRPr="00380B40">
        <w:rPr>
          <w:spacing w:val="12"/>
          <w:lang w:val="en-GB"/>
        </w:rPr>
        <w:t xml:space="preserve"> </w:t>
      </w:r>
      <w:r w:rsidRPr="00380B40">
        <w:rPr>
          <w:lang w:val="en-GB"/>
        </w:rPr>
        <w:t>particular,</w:t>
      </w:r>
      <w:r w:rsidRPr="00380B40">
        <w:rPr>
          <w:spacing w:val="11"/>
          <w:lang w:val="en-GB"/>
        </w:rPr>
        <w:t xml:space="preserve"> </w:t>
      </w:r>
      <w:r w:rsidRPr="00380B40">
        <w:rPr>
          <w:lang w:val="en-GB"/>
        </w:rPr>
        <w:t>proposals</w:t>
      </w:r>
      <w:r w:rsidRPr="00380B40">
        <w:rPr>
          <w:spacing w:val="12"/>
          <w:lang w:val="en-GB"/>
        </w:rPr>
        <w:t xml:space="preserve"> </w:t>
      </w:r>
      <w:r w:rsidRPr="00380B40">
        <w:rPr>
          <w:lang w:val="en-GB"/>
        </w:rPr>
        <w:t>likely</w:t>
      </w:r>
      <w:r w:rsidRPr="00380B40">
        <w:rPr>
          <w:spacing w:val="6"/>
          <w:lang w:val="en-GB"/>
        </w:rPr>
        <w:t xml:space="preserve"> </w:t>
      </w:r>
      <w:r w:rsidRPr="00380B40">
        <w:rPr>
          <w:lang w:val="en-GB"/>
        </w:rPr>
        <w:t>to</w:t>
      </w:r>
      <w:r w:rsidRPr="00380B40">
        <w:rPr>
          <w:spacing w:val="12"/>
          <w:lang w:val="en-GB"/>
        </w:rPr>
        <w:t xml:space="preserve"> </w:t>
      </w:r>
      <w:r w:rsidRPr="00380B40">
        <w:rPr>
          <w:lang w:val="en-GB"/>
        </w:rPr>
        <w:t>accelerate</w:t>
      </w:r>
      <w:r w:rsidRPr="00380B40">
        <w:rPr>
          <w:spacing w:val="11"/>
          <w:lang w:val="en-GB"/>
        </w:rPr>
        <w:t xml:space="preserve"> </w:t>
      </w:r>
      <w:r w:rsidRPr="00380B40">
        <w:rPr>
          <w:lang w:val="en-GB"/>
        </w:rPr>
        <w:t>the</w:t>
      </w:r>
      <w:r w:rsidRPr="00380B40">
        <w:rPr>
          <w:spacing w:val="10"/>
          <w:lang w:val="en-GB"/>
        </w:rPr>
        <w:t xml:space="preserve"> </w:t>
      </w:r>
      <w:r w:rsidRPr="00380B40">
        <w:rPr>
          <w:lang w:val="en-GB"/>
        </w:rPr>
        <w:t>debates.</w:t>
      </w:r>
    </w:p>
    <w:p w14:paraId="74A74392" w14:textId="77777777" w:rsidR="00C12517" w:rsidRPr="00380B40" w:rsidRDefault="00C12517" w:rsidP="00C12517">
      <w:pPr>
        <w:pStyle w:val="Heading2"/>
        <w:tabs>
          <w:tab w:val="left" w:pos="908"/>
        </w:tabs>
        <w:rPr>
          <w:b w:val="0"/>
          <w:bCs/>
          <w:lang w:val="en-GB"/>
        </w:rPr>
      </w:pPr>
      <w:bookmarkStart w:id="686" w:name="_Toc206496688"/>
      <w:bookmarkStart w:id="687" w:name="_Toc471716652"/>
      <w:bookmarkStart w:id="688" w:name="_Toc20738325"/>
      <w:bookmarkStart w:id="689" w:name="_Toc21093739"/>
      <w:bookmarkStart w:id="690" w:name="_Toc22280348"/>
      <w:bookmarkStart w:id="691" w:name="_Toc111636846"/>
      <w:r w:rsidRPr="00380B40">
        <w:rPr>
          <w:lang w:val="en-GB"/>
        </w:rPr>
        <w:t>3.4</w:t>
      </w:r>
      <w:r w:rsidRPr="00380B40">
        <w:rPr>
          <w:lang w:val="en-GB"/>
        </w:rPr>
        <w:tab/>
      </w:r>
      <w:bookmarkStart w:id="692" w:name="_Toc532428473"/>
      <w:r w:rsidRPr="00380B40">
        <w:rPr>
          <w:spacing w:val="-1"/>
          <w:lang w:val="en-GB"/>
        </w:rPr>
        <w:t>Electronic</w:t>
      </w:r>
      <w:r w:rsidRPr="00380B40">
        <w:rPr>
          <w:lang w:val="en-GB"/>
        </w:rPr>
        <w:t xml:space="preserve"> </w:t>
      </w:r>
      <w:r w:rsidRPr="00380B40">
        <w:rPr>
          <w:spacing w:val="-1"/>
          <w:lang w:val="en-GB"/>
        </w:rPr>
        <w:t>access</w:t>
      </w:r>
      <w:bookmarkEnd w:id="686"/>
      <w:bookmarkEnd w:id="687"/>
      <w:bookmarkEnd w:id="688"/>
      <w:bookmarkEnd w:id="689"/>
      <w:bookmarkEnd w:id="690"/>
      <w:bookmarkEnd w:id="691"/>
      <w:bookmarkEnd w:id="692"/>
    </w:p>
    <w:p w14:paraId="4FD83D56" w14:textId="77777777" w:rsidR="00C12517" w:rsidRPr="00380B40" w:rsidRDefault="00C12517" w:rsidP="00C12517">
      <w:pPr>
        <w:rPr>
          <w:lang w:val="en-GB"/>
        </w:rPr>
      </w:pPr>
      <w:r w:rsidRPr="00380B40">
        <w:rPr>
          <w:b/>
          <w:bCs/>
          <w:lang w:val="en-GB"/>
        </w:rPr>
        <w:t>3.4.1</w:t>
      </w:r>
      <w:r w:rsidRPr="00380B40">
        <w:rPr>
          <w:lang w:val="en-GB"/>
        </w:rPr>
        <w:tab/>
        <w:t>TSB</w:t>
      </w:r>
      <w:r w:rsidRPr="00380B40">
        <w:rPr>
          <w:spacing w:val="2"/>
          <w:lang w:val="en-GB"/>
        </w:rPr>
        <w:t xml:space="preserve"> </w:t>
      </w:r>
      <w:r w:rsidRPr="00380B40">
        <w:rPr>
          <w:lang w:val="en-GB"/>
        </w:rPr>
        <w:t>will</w:t>
      </w:r>
      <w:r w:rsidRPr="00380B40">
        <w:rPr>
          <w:spacing w:val="5"/>
          <w:lang w:val="en-GB"/>
        </w:rPr>
        <w:t xml:space="preserve"> </w:t>
      </w:r>
      <w:r w:rsidRPr="00380B40">
        <w:rPr>
          <w:lang w:val="en-GB"/>
        </w:rPr>
        <w:t>post</w:t>
      </w:r>
      <w:r w:rsidRPr="00380B40">
        <w:rPr>
          <w:spacing w:val="5"/>
          <w:lang w:val="en-GB"/>
        </w:rPr>
        <w:t xml:space="preserve"> </w:t>
      </w:r>
      <w:r w:rsidRPr="00380B40">
        <w:rPr>
          <w:lang w:val="en-GB"/>
        </w:rPr>
        <w:t>electronically</w:t>
      </w:r>
      <w:r w:rsidRPr="00380B40">
        <w:rPr>
          <w:spacing w:val="2"/>
          <w:lang w:val="en-GB"/>
        </w:rPr>
        <w:t xml:space="preserve"> </w:t>
      </w:r>
      <w:r w:rsidRPr="00380B40">
        <w:rPr>
          <w:lang w:val="en-GB"/>
        </w:rPr>
        <w:t>all</w:t>
      </w:r>
      <w:r w:rsidRPr="00380B40">
        <w:rPr>
          <w:spacing w:val="5"/>
          <w:lang w:val="en-GB"/>
        </w:rPr>
        <w:t xml:space="preserve"> </w:t>
      </w:r>
      <w:r w:rsidRPr="00380B40">
        <w:rPr>
          <w:lang w:val="en-GB"/>
        </w:rPr>
        <w:t>documents</w:t>
      </w:r>
      <w:r w:rsidRPr="00380B40">
        <w:rPr>
          <w:spacing w:val="4"/>
          <w:lang w:val="en-GB"/>
        </w:rPr>
        <w:t xml:space="preserve"> </w:t>
      </w:r>
      <w:r w:rsidRPr="00380B40">
        <w:rPr>
          <w:lang w:val="en-GB"/>
        </w:rPr>
        <w:t>(e.g., contributions,</w:t>
      </w:r>
      <w:r w:rsidRPr="00380B40">
        <w:rPr>
          <w:spacing w:val="5"/>
          <w:lang w:val="en-GB"/>
        </w:rPr>
        <w:t xml:space="preserve"> </w:t>
      </w:r>
      <w:r w:rsidRPr="00380B40">
        <w:rPr>
          <w:lang w:val="en-GB"/>
        </w:rPr>
        <w:t>TDs</w:t>
      </w:r>
      <w:r w:rsidRPr="00380B40">
        <w:rPr>
          <w:spacing w:val="4"/>
          <w:lang w:val="en-GB"/>
        </w:rPr>
        <w:t xml:space="preserve"> </w:t>
      </w:r>
      <w:r w:rsidRPr="00380B40">
        <w:rPr>
          <w:lang w:val="en-GB"/>
        </w:rPr>
        <w:t>(including</w:t>
      </w:r>
      <w:r w:rsidRPr="00380B40">
        <w:rPr>
          <w:spacing w:val="2"/>
          <w:lang w:val="en-GB"/>
        </w:rPr>
        <w:t xml:space="preserve"> </w:t>
      </w:r>
      <w:r w:rsidRPr="00380B40">
        <w:rPr>
          <w:lang w:val="en-GB"/>
        </w:rPr>
        <w:t>liaison</w:t>
      </w:r>
      <w:r w:rsidRPr="00380B40">
        <w:rPr>
          <w:spacing w:val="56"/>
          <w:lang w:val="en-GB"/>
        </w:rPr>
        <w:t xml:space="preserve"> </w:t>
      </w:r>
      <w:r w:rsidRPr="00380B40">
        <w:rPr>
          <w:lang w:val="en-GB"/>
        </w:rPr>
        <w:t>statements))</w:t>
      </w:r>
      <w:r w:rsidRPr="00380B40">
        <w:rPr>
          <w:spacing w:val="34"/>
          <w:lang w:val="en-GB"/>
        </w:rPr>
        <w:t xml:space="preserve"> </w:t>
      </w:r>
      <w:r w:rsidRPr="00380B40">
        <w:rPr>
          <w:lang w:val="en-GB"/>
        </w:rPr>
        <w:t>as</w:t>
      </w:r>
      <w:r w:rsidRPr="00380B40">
        <w:rPr>
          <w:spacing w:val="36"/>
          <w:lang w:val="en-GB"/>
        </w:rPr>
        <w:t xml:space="preserve"> </w:t>
      </w:r>
      <w:r w:rsidRPr="00380B40">
        <w:rPr>
          <w:lang w:val="en-GB"/>
        </w:rPr>
        <w:t>soon</w:t>
      </w:r>
      <w:r w:rsidRPr="00380B40">
        <w:rPr>
          <w:spacing w:val="36"/>
          <w:lang w:val="en-GB"/>
        </w:rPr>
        <w:t xml:space="preserve"> </w:t>
      </w:r>
      <w:r w:rsidRPr="00380B40">
        <w:rPr>
          <w:lang w:val="en-GB"/>
        </w:rPr>
        <w:t>as</w:t>
      </w:r>
      <w:r w:rsidRPr="00380B40">
        <w:rPr>
          <w:spacing w:val="36"/>
          <w:lang w:val="en-GB"/>
        </w:rPr>
        <w:t xml:space="preserve"> </w:t>
      </w:r>
      <w:r w:rsidRPr="00380B40">
        <w:rPr>
          <w:lang w:val="en-GB"/>
        </w:rPr>
        <w:t>electronic</w:t>
      </w:r>
      <w:r w:rsidRPr="00380B40">
        <w:rPr>
          <w:spacing w:val="35"/>
          <w:lang w:val="en-GB"/>
        </w:rPr>
        <w:t xml:space="preserve"> </w:t>
      </w:r>
      <w:r w:rsidRPr="00380B40">
        <w:rPr>
          <w:lang w:val="en-GB"/>
        </w:rPr>
        <w:t>versions</w:t>
      </w:r>
      <w:r w:rsidRPr="00380B40">
        <w:rPr>
          <w:spacing w:val="36"/>
          <w:lang w:val="en-GB"/>
        </w:rPr>
        <w:t xml:space="preserve"> </w:t>
      </w:r>
      <w:r w:rsidRPr="00380B40">
        <w:rPr>
          <w:lang w:val="en-GB"/>
        </w:rPr>
        <w:t>of</w:t>
      </w:r>
      <w:r w:rsidRPr="00380B40">
        <w:rPr>
          <w:spacing w:val="35"/>
          <w:lang w:val="en-GB"/>
        </w:rPr>
        <w:t xml:space="preserve"> </w:t>
      </w:r>
      <w:r w:rsidRPr="00380B40">
        <w:rPr>
          <w:lang w:val="en-GB"/>
        </w:rPr>
        <w:t>these</w:t>
      </w:r>
      <w:r w:rsidRPr="00380B40">
        <w:rPr>
          <w:spacing w:val="34"/>
          <w:lang w:val="en-GB"/>
        </w:rPr>
        <w:t xml:space="preserve"> </w:t>
      </w:r>
      <w:r w:rsidRPr="00380B40">
        <w:rPr>
          <w:lang w:val="en-GB"/>
        </w:rPr>
        <w:t>documents</w:t>
      </w:r>
      <w:r w:rsidRPr="00380B40">
        <w:rPr>
          <w:spacing w:val="36"/>
          <w:lang w:val="en-GB"/>
        </w:rPr>
        <w:t xml:space="preserve"> </w:t>
      </w:r>
      <w:r w:rsidRPr="00380B40">
        <w:rPr>
          <w:lang w:val="en-GB"/>
        </w:rPr>
        <w:t>are</w:t>
      </w:r>
      <w:r w:rsidRPr="00380B40">
        <w:rPr>
          <w:spacing w:val="34"/>
          <w:lang w:val="en-GB"/>
        </w:rPr>
        <w:t xml:space="preserve"> </w:t>
      </w:r>
      <w:r w:rsidRPr="00380B40">
        <w:rPr>
          <w:lang w:val="en-GB"/>
        </w:rPr>
        <w:t>available.</w:t>
      </w:r>
      <w:r w:rsidRPr="00380B40">
        <w:rPr>
          <w:spacing w:val="35"/>
          <w:lang w:val="en-GB"/>
        </w:rPr>
        <w:t xml:space="preserve"> </w:t>
      </w:r>
      <w:r w:rsidRPr="00380B40">
        <w:rPr>
          <w:lang w:val="en-GB"/>
        </w:rPr>
        <w:t>Appropriate</w:t>
      </w:r>
      <w:r w:rsidRPr="00380B40">
        <w:rPr>
          <w:spacing w:val="35"/>
          <w:lang w:val="en-GB"/>
        </w:rPr>
        <w:t xml:space="preserve"> </w:t>
      </w:r>
      <w:r w:rsidRPr="00380B40">
        <w:rPr>
          <w:lang w:val="en-GB"/>
        </w:rPr>
        <w:t>search</w:t>
      </w:r>
      <w:r w:rsidRPr="00380B40">
        <w:rPr>
          <w:spacing w:val="103"/>
          <w:lang w:val="en-GB"/>
        </w:rPr>
        <w:t xml:space="preserve"> </w:t>
      </w:r>
      <w:r w:rsidRPr="00380B40">
        <w:rPr>
          <w:lang w:val="en-GB"/>
        </w:rPr>
        <w:t>facilities for posted documents should be provided (see also clause 3.3.3).</w:t>
      </w:r>
    </w:p>
    <w:p w14:paraId="35B5EB7A" w14:textId="77777777" w:rsidR="00C12517" w:rsidRPr="00380B40" w:rsidRDefault="00C12517" w:rsidP="00C12517">
      <w:pPr>
        <w:pStyle w:val="Heading2"/>
        <w:tabs>
          <w:tab w:val="left" w:pos="908"/>
        </w:tabs>
        <w:rPr>
          <w:lang w:val="en-GB"/>
        </w:rPr>
      </w:pPr>
      <w:bookmarkStart w:id="693" w:name="_Toc532428474"/>
      <w:bookmarkStart w:id="694" w:name="_Toc20738326"/>
      <w:bookmarkStart w:id="695" w:name="_Toc21093740"/>
      <w:bookmarkStart w:id="696" w:name="_Toc22280349"/>
      <w:bookmarkStart w:id="697" w:name="_Toc111636847"/>
      <w:r w:rsidRPr="00380B40">
        <w:rPr>
          <w:lang w:val="en-GB"/>
        </w:rPr>
        <w:t>3.5</w:t>
      </w:r>
      <w:r w:rsidRPr="00380B40">
        <w:rPr>
          <w:lang w:val="en-GB"/>
        </w:rPr>
        <w:tab/>
        <w:t>Other document types</w:t>
      </w:r>
      <w:bookmarkEnd w:id="693"/>
      <w:bookmarkEnd w:id="694"/>
      <w:bookmarkEnd w:id="695"/>
      <w:bookmarkEnd w:id="696"/>
      <w:bookmarkEnd w:id="697"/>
    </w:p>
    <w:p w14:paraId="1F177BFE" w14:textId="77777777" w:rsidR="00C12517" w:rsidRPr="00380B40" w:rsidRDefault="00C12517" w:rsidP="00C12517">
      <w:pPr>
        <w:rPr>
          <w:rFonts w:eastAsia="SimSun"/>
          <w:lang w:val="en-GB" w:eastAsia="ja-JP"/>
        </w:rPr>
      </w:pPr>
      <w:r w:rsidRPr="00380B40">
        <w:rPr>
          <w:rFonts w:eastAsia="SimSun"/>
          <w:lang w:val="en-GB" w:eastAsia="ja-JP"/>
        </w:rPr>
        <w:t>As the work of the ITU-T and its groups progresses, various types of output materials might result, in addition to Recommendations and other texts previously described. This clause addresses the types of texts that are in use within ITU-T, other than those defined in [</w:t>
      </w:r>
      <w:r w:rsidRPr="00380B40">
        <w:rPr>
          <w:lang w:val="en-GB"/>
        </w:rPr>
        <w:t>WTSA</w:t>
      </w:r>
      <w:r w:rsidRPr="00380B40">
        <w:rPr>
          <w:rFonts w:eastAsia="SimSun"/>
          <w:lang w:val="en-GB" w:eastAsia="ja-JP"/>
        </w:rPr>
        <w:t xml:space="preserve"> Res. 1] or clause 1.8.2 of this Recommendation. Other types of ITU-T documents include non-WTSA proceedings (e.g., Kaleidoscope), tutorials, e-learning and web-based guides. These document types do not require agreement by a study group and do not have working methods described by an A-series Recommendation.</w:t>
      </w:r>
    </w:p>
    <w:p w14:paraId="62FC7C7D" w14:textId="77777777" w:rsidR="00DB6A21" w:rsidRPr="00380B40" w:rsidRDefault="00DB6A21" w:rsidP="00DB6A21">
      <w:pPr>
        <w:rPr>
          <w:lang w:val="en-GB"/>
        </w:rPr>
      </w:pPr>
      <w:bookmarkStart w:id="698" w:name="_Toc532428475"/>
      <w:bookmarkStart w:id="699" w:name="_Toc20738327"/>
      <w:bookmarkStart w:id="700" w:name="_Toc21093741"/>
      <w:bookmarkStart w:id="701" w:name="_Toc22280350"/>
      <w:r w:rsidRPr="00380B40">
        <w:rPr>
          <w:lang w:val="en-GB"/>
        </w:rPr>
        <w:br w:type="page"/>
      </w:r>
    </w:p>
    <w:p w14:paraId="0B40B09D" w14:textId="77777777" w:rsidR="00C12517" w:rsidRPr="00380B40" w:rsidRDefault="00C12517" w:rsidP="00C12517">
      <w:pPr>
        <w:pStyle w:val="Heading1"/>
        <w:rPr>
          <w:lang w:val="en-GB"/>
        </w:rPr>
      </w:pPr>
      <w:bookmarkStart w:id="702" w:name="_Toc111636848"/>
      <w:r w:rsidRPr="00380B40">
        <w:rPr>
          <w:lang w:val="en-GB"/>
        </w:rPr>
        <w:t>4</w:t>
      </w:r>
      <w:r w:rsidRPr="00380B40">
        <w:rPr>
          <w:lang w:val="en-GB"/>
        </w:rPr>
        <w:tab/>
        <w:t>Other ITU-T groups</w:t>
      </w:r>
      <w:bookmarkEnd w:id="698"/>
      <w:bookmarkEnd w:id="699"/>
      <w:bookmarkEnd w:id="700"/>
      <w:bookmarkEnd w:id="701"/>
      <w:bookmarkEnd w:id="702"/>
    </w:p>
    <w:p w14:paraId="4BC42B69" w14:textId="77777777" w:rsidR="00C12517" w:rsidRPr="00380B40" w:rsidRDefault="00C12517" w:rsidP="00C12517">
      <w:pPr>
        <w:pStyle w:val="Heading2"/>
        <w:tabs>
          <w:tab w:val="left" w:pos="908"/>
        </w:tabs>
        <w:rPr>
          <w:lang w:val="en-GB"/>
        </w:rPr>
      </w:pPr>
      <w:bookmarkStart w:id="703" w:name="_Toc532428476"/>
      <w:bookmarkStart w:id="704" w:name="_Toc20738328"/>
      <w:bookmarkStart w:id="705" w:name="_Toc21093742"/>
      <w:bookmarkStart w:id="706" w:name="_Toc22280351"/>
      <w:bookmarkStart w:id="707" w:name="_Toc111636849"/>
      <w:r w:rsidRPr="00380B40">
        <w:rPr>
          <w:lang w:val="en-GB"/>
        </w:rPr>
        <w:t>4.1</w:t>
      </w:r>
      <w:r w:rsidRPr="00380B40">
        <w:rPr>
          <w:lang w:val="en-GB"/>
        </w:rPr>
        <w:tab/>
        <w:t>Overview</w:t>
      </w:r>
      <w:bookmarkEnd w:id="703"/>
      <w:bookmarkEnd w:id="704"/>
      <w:bookmarkEnd w:id="705"/>
      <w:bookmarkEnd w:id="706"/>
      <w:bookmarkEnd w:id="707"/>
    </w:p>
    <w:p w14:paraId="3FC233B6" w14:textId="77777777" w:rsidR="00C12517" w:rsidRPr="00380B40" w:rsidRDefault="00C12517" w:rsidP="00C12517">
      <w:pPr>
        <w:rPr>
          <w:rFonts w:eastAsia="SimSun"/>
          <w:lang w:val="en-GB" w:eastAsia="ja-JP"/>
        </w:rPr>
      </w:pPr>
      <w:r w:rsidRPr="00380B40">
        <w:rPr>
          <w:rFonts w:eastAsia="SimSun"/>
          <w:lang w:val="en-GB" w:eastAsia="ja-JP"/>
        </w:rPr>
        <w:t>In addition to study groups, other groups operate to carry forward the mission of the ITU-T. This clause documents the types of groups other than study groups that exist within ITU-T.</w:t>
      </w:r>
    </w:p>
    <w:p w14:paraId="18469B6C" w14:textId="77777777" w:rsidR="00C12517" w:rsidRPr="00380B40" w:rsidRDefault="00C12517" w:rsidP="00C12517">
      <w:pPr>
        <w:pStyle w:val="Heading2"/>
        <w:tabs>
          <w:tab w:val="left" w:pos="908"/>
        </w:tabs>
        <w:rPr>
          <w:lang w:val="en-GB"/>
        </w:rPr>
      </w:pPr>
      <w:bookmarkStart w:id="708" w:name="_Toc20738329"/>
      <w:bookmarkStart w:id="709" w:name="_Toc21093743"/>
      <w:bookmarkStart w:id="710" w:name="_Toc22280352"/>
      <w:bookmarkStart w:id="711" w:name="_Toc111636850"/>
      <w:r w:rsidRPr="00380B40">
        <w:rPr>
          <w:lang w:val="en-GB"/>
        </w:rPr>
        <w:t>4.2</w:t>
      </w:r>
      <w:r w:rsidRPr="00380B40">
        <w:rPr>
          <w:lang w:val="en-GB"/>
        </w:rPr>
        <w:tab/>
        <w:t>Focus group (FG)</w:t>
      </w:r>
      <w:bookmarkEnd w:id="708"/>
      <w:bookmarkEnd w:id="709"/>
      <w:bookmarkEnd w:id="710"/>
      <w:bookmarkEnd w:id="711"/>
    </w:p>
    <w:p w14:paraId="67C52A97" w14:textId="77777777" w:rsidR="00C12517" w:rsidRPr="00380B40" w:rsidRDefault="00C12517" w:rsidP="00C12517">
      <w:pPr>
        <w:rPr>
          <w:lang w:val="en-GB"/>
        </w:rPr>
      </w:pPr>
      <w:r w:rsidRPr="00380B40">
        <w:rPr>
          <w:lang w:val="en-GB"/>
        </w:rPr>
        <w:t>The objective of focus groups is to help advance the work of the ITU Telecommunication Standardization Sector (ITU-T) study groups and to encourage the participation of members of other standards organizations, including experts and individuals who may not be members of ITU. Focus group activities may include an analysis of gaps between current Recommendations and expected Recommendations, and provide material</w:t>
      </w:r>
      <w:r w:rsidR="00E96E4D" w:rsidRPr="00380B40">
        <w:rPr>
          <w:lang w:val="en-GB"/>
        </w:rPr>
        <w:t> </w:t>
      </w:r>
      <w:r w:rsidRPr="00380B40">
        <w:rPr>
          <w:lang w:val="en-GB"/>
        </w:rPr>
        <w:t>for</w:t>
      </w:r>
      <w:r w:rsidR="00E96E4D" w:rsidRPr="00380B40">
        <w:rPr>
          <w:lang w:val="en-GB"/>
        </w:rPr>
        <w:t> </w:t>
      </w:r>
      <w:r w:rsidRPr="00380B40">
        <w:rPr>
          <w:lang w:val="en-GB"/>
        </w:rPr>
        <w:t>consideration in the development of Recommendations. Their working methods are documented in</w:t>
      </w:r>
      <w:r w:rsidR="00E96E4D" w:rsidRPr="00380B40">
        <w:rPr>
          <w:lang w:val="en-GB"/>
        </w:rPr>
        <w:t> </w:t>
      </w:r>
      <w:r w:rsidRPr="00380B40">
        <w:rPr>
          <w:lang w:val="en-GB"/>
        </w:rPr>
        <w:t>[ITU-T</w:t>
      </w:r>
      <w:r w:rsidR="00E96E4D" w:rsidRPr="00380B40">
        <w:rPr>
          <w:lang w:val="en-GB"/>
        </w:rPr>
        <w:t> </w:t>
      </w:r>
      <w:r w:rsidRPr="00380B40">
        <w:rPr>
          <w:lang w:val="en-GB"/>
        </w:rPr>
        <w:t>A.7].</w:t>
      </w:r>
    </w:p>
    <w:p w14:paraId="11FFD114" w14:textId="77777777" w:rsidR="00C12517" w:rsidRPr="00380B40" w:rsidRDefault="00C12517" w:rsidP="00C12517">
      <w:pPr>
        <w:pStyle w:val="Heading2"/>
        <w:tabs>
          <w:tab w:val="left" w:pos="908"/>
        </w:tabs>
        <w:rPr>
          <w:lang w:val="en-GB"/>
        </w:rPr>
      </w:pPr>
      <w:bookmarkStart w:id="712" w:name="_Toc20738330"/>
      <w:bookmarkStart w:id="713" w:name="_Toc21093744"/>
      <w:bookmarkStart w:id="714" w:name="_Toc22280353"/>
      <w:bookmarkStart w:id="715" w:name="_Toc111636851"/>
      <w:r w:rsidRPr="00380B40">
        <w:rPr>
          <w:lang w:val="en-GB"/>
        </w:rPr>
        <w:t>4.3</w:t>
      </w:r>
      <w:r w:rsidRPr="00380B40">
        <w:rPr>
          <w:lang w:val="en-GB"/>
        </w:rPr>
        <w:tab/>
        <w:t>Intersector Rapporteur Group (IRG)</w:t>
      </w:r>
      <w:bookmarkEnd w:id="712"/>
      <w:bookmarkEnd w:id="713"/>
      <w:bookmarkEnd w:id="714"/>
      <w:bookmarkEnd w:id="715"/>
    </w:p>
    <w:p w14:paraId="1E04A729" w14:textId="77777777" w:rsidR="00C12517" w:rsidRPr="00380B40" w:rsidRDefault="00C12517" w:rsidP="00C12517">
      <w:pPr>
        <w:rPr>
          <w:lang w:val="en-GB"/>
        </w:rPr>
      </w:pPr>
      <w:r w:rsidRPr="00380B40">
        <w:rPr>
          <w:lang w:val="en-GB"/>
        </w:rPr>
        <w:t>Intersector Rapporteur Groups (IRGs) are established to coordinate the progress of specific topics of mutual interest between sectors of the ITU. For a given topic, IRGs encourage the collaboration between ITU-T study groups and groups from other ITU sectors on work items unique to each study group. See [WTSA Res. 18] for more details.</w:t>
      </w:r>
    </w:p>
    <w:p w14:paraId="338DA0E5" w14:textId="77777777" w:rsidR="00C12517" w:rsidRPr="00380B40" w:rsidRDefault="00C12517" w:rsidP="00C12517">
      <w:pPr>
        <w:pStyle w:val="Heading2"/>
        <w:tabs>
          <w:tab w:val="left" w:pos="908"/>
        </w:tabs>
        <w:rPr>
          <w:lang w:val="en-GB"/>
        </w:rPr>
      </w:pPr>
      <w:bookmarkStart w:id="716" w:name="_Toc20738331"/>
      <w:bookmarkStart w:id="717" w:name="_Toc21093745"/>
      <w:bookmarkStart w:id="718" w:name="_Toc22280354"/>
      <w:bookmarkStart w:id="719" w:name="_Toc111636852"/>
      <w:r w:rsidRPr="00380B40">
        <w:rPr>
          <w:lang w:val="en-GB"/>
        </w:rPr>
        <w:t>4.4</w:t>
      </w:r>
      <w:r w:rsidRPr="00380B40">
        <w:rPr>
          <w:lang w:val="en-GB"/>
        </w:rPr>
        <w:tab/>
        <w:t>Joint Coordination Activity (JCA)</w:t>
      </w:r>
      <w:bookmarkEnd w:id="716"/>
      <w:bookmarkEnd w:id="717"/>
      <w:bookmarkEnd w:id="718"/>
      <w:bookmarkEnd w:id="719"/>
    </w:p>
    <w:p w14:paraId="5B62323A" w14:textId="77777777" w:rsidR="00C12517" w:rsidRPr="00380B40" w:rsidRDefault="00C12517" w:rsidP="00C12517">
      <w:pPr>
        <w:rPr>
          <w:lang w:val="en-GB"/>
        </w:rPr>
      </w:pPr>
      <w:r w:rsidRPr="00380B40">
        <w:rPr>
          <w:lang w:val="en-GB"/>
        </w:rPr>
        <w:t>A Joint Coordination Activity (JCA) is formed to coordinate activities on topics of relevance across ITU-T Study Groups. They report their progress either to TSAG or to a particular study group. Where FGs are typically formed to study forward-looking topics, report results, and dissolve, JCAs are envisioned as tools for coordination between study groups. Like FGs, JCAs do not write Recommendations. Their working methods are documented in clause 5.</w:t>
      </w:r>
    </w:p>
    <w:p w14:paraId="612DCE62" w14:textId="77777777" w:rsidR="00C12517" w:rsidRPr="00380B40" w:rsidRDefault="00C12517" w:rsidP="00C12517">
      <w:pPr>
        <w:pStyle w:val="Heading2"/>
        <w:tabs>
          <w:tab w:val="left" w:pos="908"/>
        </w:tabs>
        <w:rPr>
          <w:lang w:val="en-GB"/>
        </w:rPr>
      </w:pPr>
      <w:bookmarkStart w:id="720" w:name="_Toc20738332"/>
      <w:bookmarkStart w:id="721" w:name="_Toc21093746"/>
      <w:bookmarkStart w:id="722" w:name="_Toc22280355"/>
      <w:bookmarkStart w:id="723" w:name="_Toc111636853"/>
      <w:r w:rsidRPr="00380B40">
        <w:rPr>
          <w:lang w:val="en-GB"/>
        </w:rPr>
        <w:t>4.5</w:t>
      </w:r>
      <w:r w:rsidRPr="00380B40">
        <w:rPr>
          <w:lang w:val="en-GB"/>
        </w:rPr>
        <w:tab/>
        <w:t>Regional Group (RG)</w:t>
      </w:r>
      <w:bookmarkEnd w:id="720"/>
      <w:bookmarkEnd w:id="721"/>
      <w:bookmarkEnd w:id="722"/>
      <w:bookmarkEnd w:id="723"/>
    </w:p>
    <w:p w14:paraId="35537459" w14:textId="77777777" w:rsidR="00C12517" w:rsidRPr="00380B40" w:rsidRDefault="00C12517" w:rsidP="00C12517">
      <w:pPr>
        <w:rPr>
          <w:lang w:val="en-GB"/>
        </w:rPr>
      </w:pPr>
      <w:r w:rsidRPr="00380B40">
        <w:rPr>
          <w:rFonts w:eastAsia="SimSun"/>
          <w:szCs w:val="24"/>
          <w:lang w:val="en-GB" w:eastAsia="ja-JP"/>
        </w:rPr>
        <w:t xml:space="preserve">For information on </w:t>
      </w:r>
      <w:r w:rsidRPr="00380B40">
        <w:rPr>
          <w:lang w:val="en-GB"/>
        </w:rPr>
        <w:t>regional groups see [WTSA Res. 54].</w:t>
      </w:r>
    </w:p>
    <w:p w14:paraId="5DA33FA4" w14:textId="77777777" w:rsidR="00C12517" w:rsidRPr="00380B40" w:rsidRDefault="00C12517" w:rsidP="00C12517">
      <w:pPr>
        <w:pStyle w:val="Heading2"/>
        <w:tabs>
          <w:tab w:val="left" w:pos="908"/>
        </w:tabs>
        <w:rPr>
          <w:lang w:val="en-GB"/>
        </w:rPr>
      </w:pPr>
      <w:bookmarkStart w:id="724" w:name="_Toc20738333"/>
      <w:bookmarkStart w:id="725" w:name="_Toc21093747"/>
      <w:bookmarkStart w:id="726" w:name="_Toc22280356"/>
      <w:bookmarkStart w:id="727" w:name="_Toc111636854"/>
      <w:r w:rsidRPr="00380B40">
        <w:rPr>
          <w:lang w:val="en-GB"/>
        </w:rPr>
        <w:t>4.6</w:t>
      </w:r>
      <w:r w:rsidRPr="00380B40">
        <w:rPr>
          <w:lang w:val="en-GB"/>
        </w:rPr>
        <w:tab/>
        <w:t>ITU-T group types for collaborating with other SDOs</w:t>
      </w:r>
      <w:bookmarkEnd w:id="724"/>
      <w:bookmarkEnd w:id="725"/>
      <w:bookmarkEnd w:id="726"/>
      <w:bookmarkEnd w:id="727"/>
    </w:p>
    <w:p w14:paraId="5ACD5117" w14:textId="77777777" w:rsidR="00C12517" w:rsidRPr="00380B40" w:rsidRDefault="00C12517" w:rsidP="00C12517">
      <w:pPr>
        <w:rPr>
          <w:lang w:val="en-GB"/>
        </w:rPr>
      </w:pPr>
      <w:r w:rsidRPr="00380B40">
        <w:rPr>
          <w:lang w:val="en-GB"/>
        </w:rPr>
        <w:t xml:space="preserve">Several groups within ITU-T have been formed to support joint efforts between ITU-T and other </w:t>
      </w:r>
      <w:r w:rsidRPr="00380B40" w:rsidDel="003F5905">
        <w:rPr>
          <w:lang w:val="en-GB"/>
        </w:rPr>
        <w:t xml:space="preserve">standards development organizations </w:t>
      </w:r>
      <w:r w:rsidRPr="00380B40">
        <w:rPr>
          <w:lang w:val="en-GB"/>
        </w:rPr>
        <w:t>(SDOs) on the development of common or aligned specifications or standards. The working methods of these groups vary, as does the documentation regarding how new instances of such groups are formed. In some cases, such groups seek to align the timing by which standards development progresses through two processes, such as ITU-T and another SDO. In other cases, participation in the collaborative effort is not limited to a specific SDO. See [b</w:t>
      </w:r>
      <w:r w:rsidRPr="00380B40">
        <w:rPr>
          <w:lang w:val="en-GB"/>
        </w:rPr>
        <w:noBreakHyphen/>
        <w:t>ITU-T A.sup5] for more information.</w:t>
      </w:r>
    </w:p>
    <w:p w14:paraId="11ACC962" w14:textId="77777777" w:rsidR="00DB6A21" w:rsidRPr="00380B40" w:rsidRDefault="00DB6A21" w:rsidP="00C12517">
      <w:pPr>
        <w:pStyle w:val="Heading2"/>
        <w:tabs>
          <w:tab w:val="left" w:pos="908"/>
        </w:tabs>
        <w:rPr>
          <w:lang w:val="en-GB"/>
        </w:rPr>
      </w:pPr>
      <w:bookmarkStart w:id="728" w:name="_Toc20738334"/>
      <w:bookmarkStart w:id="729" w:name="_Toc21093748"/>
      <w:bookmarkStart w:id="730" w:name="_Toc22280357"/>
      <w:r w:rsidRPr="00380B40">
        <w:rPr>
          <w:lang w:val="en-GB"/>
        </w:rPr>
        <w:br w:type="page"/>
      </w:r>
    </w:p>
    <w:p w14:paraId="2CB668E7" w14:textId="77777777" w:rsidR="00C12517" w:rsidRPr="00380B40" w:rsidRDefault="00C12517" w:rsidP="00C12517">
      <w:pPr>
        <w:pStyle w:val="Heading2"/>
        <w:tabs>
          <w:tab w:val="left" w:pos="908"/>
        </w:tabs>
        <w:rPr>
          <w:lang w:val="en-GB"/>
        </w:rPr>
      </w:pPr>
      <w:bookmarkStart w:id="731" w:name="_Toc111636855"/>
      <w:r w:rsidRPr="00380B40">
        <w:rPr>
          <w:lang w:val="en-GB"/>
        </w:rPr>
        <w:t>4.7</w:t>
      </w:r>
      <w:r w:rsidRPr="00380B40">
        <w:rPr>
          <w:lang w:val="en-GB"/>
        </w:rPr>
        <w:tab/>
        <w:t>Additional ITU-T groups</w:t>
      </w:r>
      <w:bookmarkEnd w:id="728"/>
      <w:bookmarkEnd w:id="729"/>
      <w:bookmarkEnd w:id="730"/>
      <w:bookmarkEnd w:id="731"/>
    </w:p>
    <w:p w14:paraId="6CE33783" w14:textId="77777777" w:rsidR="00C12517" w:rsidRPr="00380B40" w:rsidRDefault="00C12517" w:rsidP="00C12517">
      <w:pPr>
        <w:rPr>
          <w:lang w:val="en-GB"/>
        </w:rPr>
      </w:pPr>
      <w:r w:rsidRPr="00380B40">
        <w:rPr>
          <w:lang w:val="en-GB"/>
        </w:rPr>
        <w:t xml:space="preserve">In addition to the group types documented above, additional groups exist that operate with working methods distinct from those documented above. [WTSA Res. 22] </w:t>
      </w:r>
      <w:r w:rsidRPr="00380B40">
        <w:rPr>
          <w:i/>
          <w:lang w:val="en-GB"/>
        </w:rPr>
        <w:t xml:space="preserve">resolves </w:t>
      </w:r>
      <w:r w:rsidRPr="00380B40">
        <w:rPr>
          <w:lang w:val="en-GB"/>
        </w:rPr>
        <w:t>1</w:t>
      </w:r>
      <w:r w:rsidRPr="00380B40">
        <w:rPr>
          <w:i/>
          <w:lang w:val="en-GB"/>
        </w:rPr>
        <w:t xml:space="preserve"> e)</w:t>
      </w:r>
      <w:r w:rsidRPr="00380B40">
        <w:rPr>
          <w:lang w:val="en-GB"/>
        </w:rPr>
        <w:t xml:space="preserve"> provides more information. TSAG and study groups should terminate inactive groups.</w:t>
      </w:r>
    </w:p>
    <w:p w14:paraId="63D5955F" w14:textId="77777777" w:rsidR="00C12517" w:rsidRPr="00380B40" w:rsidRDefault="00C12517" w:rsidP="00C12517">
      <w:pPr>
        <w:pStyle w:val="Heading1"/>
        <w:rPr>
          <w:lang w:val="en-GB"/>
        </w:rPr>
      </w:pPr>
      <w:bookmarkStart w:id="732" w:name="_Toc20738335"/>
      <w:bookmarkStart w:id="733" w:name="_Toc21093749"/>
      <w:bookmarkStart w:id="734" w:name="_Toc22280358"/>
      <w:bookmarkStart w:id="735" w:name="_Toc111636856"/>
      <w:r w:rsidRPr="00380B40">
        <w:rPr>
          <w:lang w:val="en-GB"/>
        </w:rPr>
        <w:t>5</w:t>
      </w:r>
      <w:r w:rsidRPr="00380B40">
        <w:rPr>
          <w:lang w:val="en-GB"/>
        </w:rPr>
        <w:tab/>
        <w:t>Joint coordination activities</w:t>
      </w:r>
      <w:bookmarkEnd w:id="732"/>
      <w:bookmarkEnd w:id="733"/>
      <w:bookmarkEnd w:id="734"/>
      <w:bookmarkEnd w:id="735"/>
    </w:p>
    <w:p w14:paraId="13D05639" w14:textId="77777777" w:rsidR="00C12517" w:rsidRPr="00380B40" w:rsidDel="003F5905" w:rsidRDefault="00C12517" w:rsidP="00C12517">
      <w:pPr>
        <w:rPr>
          <w:lang w:val="en-GB"/>
        </w:rPr>
      </w:pPr>
      <w:r w:rsidRPr="00380B40">
        <w:rPr>
          <w:b/>
          <w:bCs/>
          <w:lang w:val="en-GB"/>
        </w:rPr>
        <w:t>5</w:t>
      </w:r>
      <w:r w:rsidRPr="00380B40" w:rsidDel="003F5905">
        <w:rPr>
          <w:b/>
          <w:bCs/>
          <w:lang w:val="en-GB"/>
        </w:rPr>
        <w:t>.1</w:t>
      </w:r>
      <w:r w:rsidRPr="00380B40" w:rsidDel="003F5905">
        <w:rPr>
          <w:lang w:val="en-GB"/>
        </w:rPr>
        <w:tab/>
        <w:t>A joint coordination activity (JCA) is a tool for management of the work programme of ITU</w:t>
      </w:r>
      <w:r w:rsidRPr="00380B40" w:rsidDel="003F5905">
        <w:rPr>
          <w:lang w:val="en-GB"/>
        </w:rPr>
        <w:noBreakHyphen/>
        <w:t>T when there is a need to address a broad subject covering the area of competence of more than one study group</w:t>
      </w:r>
      <w:r w:rsidRPr="00380B40">
        <w:rPr>
          <w:lang w:val="en-GB"/>
        </w:rPr>
        <w:t xml:space="preserve"> (see also [WTSA Res. 45])</w:t>
      </w:r>
      <w:r w:rsidRPr="00380B40" w:rsidDel="003F5905">
        <w:rPr>
          <w:lang w:val="en-GB"/>
        </w:rPr>
        <w:t>. A JCA may help to coordinate the planned work effort in terms of subject matter, time-frames for meetings, collocated meetings where necessary and publication goals including, where appropriate, release planning of the resulting Recommendations.</w:t>
      </w:r>
    </w:p>
    <w:p w14:paraId="3A889416" w14:textId="77777777" w:rsidR="00C12517" w:rsidRPr="00380B40" w:rsidDel="003F5905" w:rsidRDefault="00C12517" w:rsidP="00C12517">
      <w:pPr>
        <w:rPr>
          <w:lang w:val="en-GB"/>
        </w:rPr>
      </w:pPr>
      <w:r w:rsidRPr="00380B40" w:rsidDel="003F5905">
        <w:rPr>
          <w:lang w:val="en-GB"/>
        </w:rPr>
        <w:t>The establishment of a JCA aims mainly at improving coordination and planning. The work itself will continue to be conducted by the relevant study groups and the results are subject to the normal approval processes within each study group. A JCA may identify technical and strategic issues within the scope of its coordination role, but will not perform technical studies nor write Recommendations. A JCA may also address coordination of activities with recognized standards development organizations (SDOs) and forums, including periodic discussion of work plans and schedules of deliverables. The study groups take JCA suggestions into consideration as they carry out their work.</w:t>
      </w:r>
    </w:p>
    <w:p w14:paraId="24A5DF7E" w14:textId="77777777" w:rsidR="00C12517" w:rsidRPr="00380B40" w:rsidDel="003F5905" w:rsidRDefault="00C12517" w:rsidP="00C12517">
      <w:pPr>
        <w:rPr>
          <w:lang w:val="en-GB"/>
        </w:rPr>
      </w:pPr>
      <w:r w:rsidRPr="00380B40">
        <w:rPr>
          <w:b/>
          <w:bCs/>
          <w:lang w:val="en-GB"/>
        </w:rPr>
        <w:t>5</w:t>
      </w:r>
      <w:r w:rsidRPr="00380B40" w:rsidDel="003F5905">
        <w:rPr>
          <w:b/>
          <w:bCs/>
          <w:lang w:val="en-GB"/>
        </w:rPr>
        <w:t>.2</w:t>
      </w:r>
      <w:r w:rsidRPr="00380B40" w:rsidDel="003F5905">
        <w:rPr>
          <w:lang w:val="en-GB"/>
        </w:rPr>
        <w:tab/>
        <w:t>Any group (study group or TSAG) may propose that a JCA be established. The proposal to establish a JCA should first be discussed within the proposing group's management team, then among the relevant study group chairmen and the TSAG chairman. Discussions may be held with external SDOs and forum leaders.</w:t>
      </w:r>
    </w:p>
    <w:p w14:paraId="0A7BB3E7" w14:textId="77777777" w:rsidR="00C12517" w:rsidRPr="00380B40" w:rsidDel="003F5905" w:rsidRDefault="00C12517" w:rsidP="00C12517">
      <w:pPr>
        <w:rPr>
          <w:szCs w:val="24"/>
          <w:lang w:val="en-GB"/>
        </w:rPr>
      </w:pPr>
      <w:r w:rsidRPr="00380B40" w:rsidDel="003F5905">
        <w:rPr>
          <w:szCs w:val="24"/>
          <w:lang w:val="en-GB"/>
        </w:rPr>
        <w:t xml:space="preserve">If the study group proposing the establishment of the JCA has been designated as the lead study group by WTSA or TSAG according to Section 2 of </w:t>
      </w:r>
      <w:r w:rsidRPr="00380B40">
        <w:rPr>
          <w:szCs w:val="24"/>
          <w:lang w:val="en-GB"/>
        </w:rPr>
        <w:t>[</w:t>
      </w:r>
      <w:r w:rsidRPr="00380B40">
        <w:rPr>
          <w:lang w:val="en-GB"/>
        </w:rPr>
        <w:t>WTSA</w:t>
      </w:r>
      <w:r w:rsidRPr="00380B40">
        <w:rPr>
          <w:szCs w:val="24"/>
          <w:lang w:val="en-GB"/>
        </w:rPr>
        <w:t xml:space="preserve"> </w:t>
      </w:r>
      <w:r w:rsidRPr="00380B40" w:rsidDel="003F5905">
        <w:rPr>
          <w:szCs w:val="24"/>
          <w:lang w:val="en-GB"/>
        </w:rPr>
        <w:t>Res</w:t>
      </w:r>
      <w:r w:rsidRPr="00380B40">
        <w:rPr>
          <w:szCs w:val="24"/>
          <w:lang w:val="en-GB"/>
        </w:rPr>
        <w:t>.</w:t>
      </w:r>
      <w:r w:rsidRPr="00380B40" w:rsidDel="003F5905">
        <w:rPr>
          <w:szCs w:val="24"/>
          <w:lang w:val="en-GB"/>
        </w:rPr>
        <w:t> 1</w:t>
      </w:r>
      <w:r w:rsidRPr="00380B40">
        <w:rPr>
          <w:szCs w:val="24"/>
          <w:lang w:val="en-GB"/>
        </w:rPr>
        <w:t>]</w:t>
      </w:r>
      <w:r w:rsidRPr="00380B40" w:rsidDel="003F5905">
        <w:rPr>
          <w:szCs w:val="24"/>
          <w:lang w:val="en-GB"/>
        </w:rPr>
        <w:t xml:space="preserve">, and if the subject is under their responsibility and mandate as described in </w:t>
      </w:r>
      <w:r w:rsidRPr="00380B40">
        <w:rPr>
          <w:szCs w:val="24"/>
          <w:lang w:val="en-GB"/>
        </w:rPr>
        <w:t>[</w:t>
      </w:r>
      <w:r w:rsidRPr="00380B40">
        <w:rPr>
          <w:lang w:val="en-GB"/>
        </w:rPr>
        <w:t>WTSA</w:t>
      </w:r>
      <w:r w:rsidRPr="00380B40" w:rsidDel="003F5905">
        <w:rPr>
          <w:szCs w:val="24"/>
          <w:lang w:val="en-GB"/>
        </w:rPr>
        <w:t xml:space="preserve"> Res</w:t>
      </w:r>
      <w:r w:rsidRPr="00380B40">
        <w:rPr>
          <w:szCs w:val="24"/>
          <w:lang w:val="en-GB"/>
        </w:rPr>
        <w:t>.</w:t>
      </w:r>
      <w:r w:rsidRPr="00380B40" w:rsidDel="003F5905">
        <w:rPr>
          <w:szCs w:val="24"/>
          <w:lang w:val="en-GB"/>
        </w:rPr>
        <w:t> 2</w:t>
      </w:r>
      <w:r w:rsidRPr="00380B40">
        <w:rPr>
          <w:szCs w:val="24"/>
          <w:lang w:val="en-GB"/>
        </w:rPr>
        <w:t>]</w:t>
      </w:r>
      <w:r w:rsidRPr="00380B40" w:rsidDel="003F5905">
        <w:rPr>
          <w:szCs w:val="24"/>
          <w:lang w:val="en-GB"/>
        </w:rPr>
        <w:t xml:space="preserve">, then </w:t>
      </w:r>
      <w:r w:rsidRPr="00380B40">
        <w:rPr>
          <w:szCs w:val="24"/>
          <w:lang w:val="en-GB"/>
        </w:rPr>
        <w:t>the</w:t>
      </w:r>
      <w:r w:rsidRPr="00380B40" w:rsidDel="003F5905">
        <w:rPr>
          <w:szCs w:val="24"/>
          <w:lang w:val="en-GB"/>
        </w:rPr>
        <w:t xml:space="preserve"> study group may establish a JCA on its own authority. If a study group meeting is pending within the next two months, then an electronic notification</w:t>
      </w:r>
      <w:r w:rsidR="00FD162E" w:rsidRPr="00380B40">
        <w:rPr>
          <w:rStyle w:val="FootnoteReference"/>
          <w:szCs w:val="24"/>
          <w:lang w:val="en-GB"/>
        </w:rPr>
        <w:footnoteReference w:id="62"/>
      </w:r>
      <w:r w:rsidRPr="00380B40" w:rsidDel="003F5905">
        <w:rPr>
          <w:szCs w:val="24"/>
          <w:lang w:val="en-GB"/>
        </w:rPr>
        <w:t xml:space="preserve"> proposing the JCA, including the terms of reference (including scope, objectives and anticipated lifetime) and the chairman, is published four weeks prior to the study group meeting, giving opportunity for the membership to give their position at the meeting. If this is done at least four weeks prior to the study group meeting, following the resolution of any comments, the JCA may be established by the study group by consensus at its meeting. If a study group meeting is not pending within the next two months, then an electronic notification as above is sent for the membership to give their position by electronic response. If the notification is sent less than four weeks before the study group meeting, no decision is taken at the study group meeting; the decision may be taken four weeks after the notification, excluding the meeting time. If necessary, the proposal is adjusted taking into consideration comments received and made available to the study group electronically for decision with a further four-week interval. If there are no substantive comments, the JCA is considered approved. TSAG will be informed for review, possible comment, and endorsement. TSAG may consider the terms of reference of the JCA in the context of the overall work programme of ITU</w:t>
      </w:r>
      <w:r w:rsidRPr="00380B40" w:rsidDel="003F5905">
        <w:rPr>
          <w:szCs w:val="24"/>
          <w:lang w:val="en-GB"/>
        </w:rPr>
        <w:noBreakHyphen/>
        <w:t>T and may provide comments to modify the terms of reference.</w:t>
      </w:r>
    </w:p>
    <w:p w14:paraId="46B15133" w14:textId="77777777" w:rsidR="00DB6A21" w:rsidRPr="00380B40" w:rsidRDefault="00DB6A21" w:rsidP="00C12517">
      <w:pPr>
        <w:rPr>
          <w:szCs w:val="24"/>
          <w:lang w:val="en-GB"/>
        </w:rPr>
      </w:pPr>
      <w:r w:rsidRPr="00380B40">
        <w:rPr>
          <w:szCs w:val="24"/>
          <w:lang w:val="en-GB"/>
        </w:rPr>
        <w:br w:type="page"/>
      </w:r>
    </w:p>
    <w:p w14:paraId="1B84F8C8" w14:textId="77777777" w:rsidR="00C12517" w:rsidRPr="00380B40" w:rsidDel="003F5905" w:rsidRDefault="00C12517" w:rsidP="00C12517">
      <w:pPr>
        <w:rPr>
          <w:szCs w:val="24"/>
          <w:lang w:val="en-GB"/>
        </w:rPr>
      </w:pPr>
      <w:r w:rsidRPr="00380B40" w:rsidDel="003F5905">
        <w:rPr>
          <w:szCs w:val="24"/>
          <w:lang w:val="en-GB"/>
        </w:rPr>
        <w:t xml:space="preserve">Where the lead study group has not yet been designated by WTSA or TSAG for the subject, or where the subject for the JCA is a </w:t>
      </w:r>
      <w:r w:rsidRPr="00380B40" w:rsidDel="003F5905">
        <w:rPr>
          <w:lang w:val="en-GB"/>
        </w:rPr>
        <w:t xml:space="preserve">broad subject potentially falling under the responsibility and mandate of a number of study groups as described in </w:t>
      </w:r>
      <w:r w:rsidRPr="00380B40">
        <w:rPr>
          <w:lang w:val="en-GB"/>
        </w:rPr>
        <w:t>[WTSA</w:t>
      </w:r>
      <w:r w:rsidRPr="00380B40" w:rsidDel="003F5905">
        <w:rPr>
          <w:lang w:val="en-GB"/>
        </w:rPr>
        <w:t xml:space="preserve"> Res</w:t>
      </w:r>
      <w:r w:rsidRPr="00380B40">
        <w:rPr>
          <w:lang w:val="en-GB"/>
        </w:rPr>
        <w:t>.</w:t>
      </w:r>
      <w:r w:rsidRPr="00380B40" w:rsidDel="003F5905">
        <w:rPr>
          <w:lang w:val="en-GB"/>
        </w:rPr>
        <w:t> 2</w:t>
      </w:r>
      <w:r w:rsidRPr="00380B40">
        <w:rPr>
          <w:lang w:val="en-GB"/>
        </w:rPr>
        <w:t>]</w:t>
      </w:r>
      <w:r w:rsidRPr="00380B40" w:rsidDel="003F5905">
        <w:rPr>
          <w:lang w:val="en-GB"/>
        </w:rPr>
        <w:t>, then the proposal has to be made available to the membership for consideration. If a TSAG meeting is pending within the next two months, then an electronic notification</w:t>
      </w:r>
      <w:r w:rsidR="00FD162E" w:rsidRPr="00380B40">
        <w:rPr>
          <w:rStyle w:val="FootnoteReference"/>
          <w:lang w:val="en-GB"/>
        </w:rPr>
        <w:footnoteReference w:id="63"/>
      </w:r>
      <w:r w:rsidRPr="00380B40" w:rsidDel="003F5905">
        <w:rPr>
          <w:lang w:val="en-GB"/>
        </w:rPr>
        <w:t xml:space="preserve"> proposing the JCA, including the terms of reference (including scope, objectives and anticipated lifetime) and the chairman, is published four weeks prior to the TSAG meeting, giving opportunity for the membership to give their position at the meeting. If this is done at least four weeks prior to the TSAG meeting, following the resolution of any comments, the JCA may be established by TSAG by consensus at its meeting. If a TSAG meeting is not pending within the next two months, then an electronic notification as above is sent for the membership to give their position by electronic</w:t>
      </w:r>
      <w:r w:rsidRPr="00380B40" w:rsidDel="003F5905">
        <w:rPr>
          <w:szCs w:val="24"/>
          <w:lang w:val="en-GB"/>
        </w:rPr>
        <w:t xml:space="preserve"> response. If the notification is sent less than four weeks before the TSAG meeting, no decision is taken at the TSAG meeting; the decision may be taken four weeks after the notification, excluding the meeting time. If necessary, the proposal is adjusted taking into consideration comments received and made available to the membership electronically for decision with a further four-week interval. If there are no substantive comments, the JCA is considered approved. The decision includes the designation of the group responsible (a study group or TSAG), the terms of reference (including scope, objectives and anticipated lifetime) and the chairman.</w:t>
      </w:r>
    </w:p>
    <w:p w14:paraId="5748CFAB" w14:textId="77777777" w:rsidR="00C12517" w:rsidRPr="00380B40" w:rsidRDefault="00C12517" w:rsidP="00C12517">
      <w:pPr>
        <w:rPr>
          <w:lang w:val="en-GB"/>
        </w:rPr>
      </w:pPr>
      <w:r w:rsidRPr="00380B40" w:rsidDel="003F5905">
        <w:rPr>
          <w:lang w:val="en-GB"/>
        </w:rPr>
        <w:t>Figure </w:t>
      </w:r>
      <w:r w:rsidRPr="00380B40">
        <w:rPr>
          <w:lang w:val="en-GB"/>
        </w:rPr>
        <w:t>5</w:t>
      </w:r>
      <w:r w:rsidRPr="00380B40" w:rsidDel="003F5905">
        <w:rPr>
          <w:lang w:val="en-GB"/>
        </w:rPr>
        <w:t>-1 provides a schematic of the alternatives in proposing and approving the creation of a JCA.</w:t>
      </w:r>
    </w:p>
    <w:p w14:paraId="1F53CA1C" w14:textId="77777777" w:rsidR="00366EC0" w:rsidRPr="00380B40" w:rsidRDefault="00366EC0" w:rsidP="00C12517">
      <w:pPr>
        <w:rPr>
          <w:lang w:val="en-GB"/>
        </w:rPr>
      </w:pPr>
    </w:p>
    <w:p w14:paraId="6C7D58BB" w14:textId="77777777" w:rsidR="00366EC0" w:rsidRPr="00380B40" w:rsidRDefault="00366EC0" w:rsidP="00C12517">
      <w:pPr>
        <w:rPr>
          <w:lang w:val="en-GB"/>
        </w:rPr>
      </w:pPr>
    </w:p>
    <w:p w14:paraId="1FC1DF7E" w14:textId="77777777" w:rsidR="00366EC0" w:rsidRPr="00380B40" w:rsidRDefault="00366EC0" w:rsidP="00C12517">
      <w:pPr>
        <w:rPr>
          <w:lang w:val="en-GB"/>
        </w:rPr>
      </w:pPr>
    </w:p>
    <w:p w14:paraId="6BA7AB6E" w14:textId="77777777" w:rsidR="00366EC0" w:rsidRPr="00380B40" w:rsidRDefault="00366EC0" w:rsidP="00C12517">
      <w:pPr>
        <w:rPr>
          <w:lang w:val="en-GB"/>
        </w:rPr>
      </w:pPr>
    </w:p>
    <w:p w14:paraId="1A687FD1" w14:textId="77777777" w:rsidR="00366EC0" w:rsidRPr="00380B40" w:rsidRDefault="00366EC0" w:rsidP="00C12517">
      <w:pPr>
        <w:rPr>
          <w:lang w:val="en-GB"/>
        </w:rPr>
      </w:pPr>
    </w:p>
    <w:p w14:paraId="35FC3B49" w14:textId="77777777" w:rsidR="00366EC0" w:rsidRPr="00380B40" w:rsidRDefault="00366EC0" w:rsidP="00C12517">
      <w:pPr>
        <w:rPr>
          <w:lang w:val="en-GB"/>
        </w:rPr>
      </w:pPr>
    </w:p>
    <w:p w14:paraId="287B2880" w14:textId="77777777" w:rsidR="00366EC0" w:rsidRPr="00380B40" w:rsidRDefault="00366EC0" w:rsidP="00C12517">
      <w:pPr>
        <w:rPr>
          <w:lang w:val="en-GB"/>
        </w:rPr>
      </w:pPr>
    </w:p>
    <w:p w14:paraId="17CD8D32" w14:textId="77777777" w:rsidR="00366EC0" w:rsidRPr="00380B40" w:rsidRDefault="00366EC0" w:rsidP="00C12517">
      <w:pPr>
        <w:rPr>
          <w:lang w:val="en-GB"/>
        </w:rPr>
      </w:pPr>
    </w:p>
    <w:p w14:paraId="43AE70B6" w14:textId="77777777" w:rsidR="00366EC0" w:rsidRPr="00380B40" w:rsidRDefault="00366EC0" w:rsidP="00C12517">
      <w:pPr>
        <w:rPr>
          <w:lang w:val="en-GB"/>
        </w:rPr>
      </w:pPr>
    </w:p>
    <w:p w14:paraId="1626BCC7" w14:textId="77777777" w:rsidR="00366EC0" w:rsidRPr="00380B40" w:rsidRDefault="00366EC0" w:rsidP="00C12517">
      <w:pPr>
        <w:rPr>
          <w:lang w:val="en-GB"/>
        </w:rPr>
      </w:pPr>
    </w:p>
    <w:p w14:paraId="6724DCC8" w14:textId="77777777" w:rsidR="00366EC0" w:rsidRPr="00380B40" w:rsidRDefault="00366EC0" w:rsidP="00C12517">
      <w:pPr>
        <w:rPr>
          <w:lang w:val="en-GB"/>
        </w:rPr>
      </w:pPr>
    </w:p>
    <w:p w14:paraId="0C36D13B" w14:textId="77777777" w:rsidR="00366EC0" w:rsidRPr="00380B40" w:rsidRDefault="00366EC0" w:rsidP="00C12517">
      <w:pPr>
        <w:rPr>
          <w:lang w:val="en-GB"/>
        </w:rPr>
      </w:pPr>
    </w:p>
    <w:p w14:paraId="2E057F7A" w14:textId="77777777" w:rsidR="00C12517" w:rsidRPr="00380B40" w:rsidDel="003F5905" w:rsidRDefault="00C12517" w:rsidP="00C12517">
      <w:pPr>
        <w:pStyle w:val="Figure"/>
        <w:rPr>
          <w:lang w:val="en-GB"/>
        </w:rPr>
      </w:pPr>
      <w:r w:rsidRPr="00380B40">
        <w:rPr>
          <w:noProof/>
          <w:lang w:val="en-US" w:eastAsia="zh-CN"/>
        </w:rPr>
        <w:drawing>
          <wp:inline distT="0" distB="0" distL="0" distR="0" wp14:anchorId="01C60E86" wp14:editId="310CA4ED">
            <wp:extent cx="6122670" cy="5599430"/>
            <wp:effectExtent l="0" t="0" r="0" b="1270"/>
            <wp:docPr id="1993" name="Picture 1993" descr="Figure 5-1 – Alternatives in proposing and approving the creation of a J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 name="Picture 1993" descr="Figure 5-1 – Alternatives in proposing and approving the creation of a JCA"/>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6122670" cy="5599430"/>
                    </a:xfrm>
                    <a:prstGeom prst="rect">
                      <a:avLst/>
                    </a:prstGeom>
                  </pic:spPr>
                </pic:pic>
              </a:graphicData>
            </a:graphic>
          </wp:inline>
        </w:drawing>
      </w:r>
    </w:p>
    <w:p w14:paraId="07457EC7" w14:textId="77777777" w:rsidR="00C12517" w:rsidRPr="00380B40" w:rsidRDefault="00C12517" w:rsidP="00F55448">
      <w:pPr>
        <w:pStyle w:val="FigureNoTitle1"/>
      </w:pPr>
      <w:r w:rsidRPr="00380B40" w:rsidDel="003F5905">
        <w:t>Figure </w:t>
      </w:r>
      <w:r w:rsidRPr="00380B40">
        <w:t>5</w:t>
      </w:r>
      <w:r w:rsidRPr="00380B40" w:rsidDel="003F5905">
        <w:t>-1 – Alternatives in proposing and approving the creation of a JCA</w:t>
      </w:r>
    </w:p>
    <w:p w14:paraId="101D3FA2" w14:textId="77777777" w:rsidR="00C12517" w:rsidRPr="00380B40" w:rsidDel="003F5905" w:rsidRDefault="00C12517" w:rsidP="00C12517">
      <w:pPr>
        <w:spacing w:before="240"/>
        <w:rPr>
          <w:lang w:val="en-GB"/>
        </w:rPr>
      </w:pPr>
      <w:r w:rsidRPr="00380B40">
        <w:rPr>
          <w:b/>
          <w:bCs/>
          <w:lang w:val="en-GB"/>
        </w:rPr>
        <w:t>5</w:t>
      </w:r>
      <w:r w:rsidRPr="00380B40" w:rsidDel="003F5905">
        <w:rPr>
          <w:b/>
          <w:bCs/>
          <w:lang w:val="en-GB"/>
        </w:rPr>
        <w:t>.3</w:t>
      </w:r>
      <w:r w:rsidRPr="00380B40" w:rsidDel="003F5905">
        <w:rPr>
          <w:lang w:val="en-GB"/>
        </w:rPr>
        <w:tab/>
        <w:t>JCAs are open, but (to restrict their size) should primarily be limited to official representatives from the relevant study groups that are responsible for work covered by the scope of the JCA. A JCA may also include invited experts and invited representatives of other SDOs and forums, as appropriate. All participants should confine inputs to a JCA to the purpose of the JCA.</w:t>
      </w:r>
    </w:p>
    <w:p w14:paraId="4D1EEB30" w14:textId="77777777" w:rsidR="00C12517" w:rsidRPr="00380B40" w:rsidRDefault="00C12517" w:rsidP="00C12517">
      <w:pPr>
        <w:rPr>
          <w:lang w:val="en-GB"/>
        </w:rPr>
      </w:pPr>
      <w:r w:rsidRPr="00380B40">
        <w:rPr>
          <w:b/>
          <w:bCs/>
          <w:lang w:val="en-GB"/>
        </w:rPr>
        <w:t>5</w:t>
      </w:r>
      <w:r w:rsidRPr="00380B40" w:rsidDel="003F5905">
        <w:rPr>
          <w:b/>
          <w:bCs/>
          <w:lang w:val="en-GB"/>
        </w:rPr>
        <w:t>.4</w:t>
      </w:r>
      <w:r w:rsidRPr="00380B40" w:rsidDel="003F5905">
        <w:rPr>
          <w:lang w:val="en-GB"/>
        </w:rPr>
        <w:tab/>
        <w:t>The establishment of a JCA is to be announced in a TSB circular, which should include the terms of reference of the JCA, the chairman of the JCA, and the study group responsible for the JCA.</w:t>
      </w:r>
    </w:p>
    <w:p w14:paraId="36317943" w14:textId="77777777" w:rsidR="009D5149" w:rsidRPr="00380B40" w:rsidDel="003F5905" w:rsidRDefault="009D5149" w:rsidP="00C12517">
      <w:pPr>
        <w:rPr>
          <w:lang w:val="en-GB"/>
        </w:rPr>
      </w:pPr>
    </w:p>
    <w:p w14:paraId="2305DD9A" w14:textId="77777777" w:rsidR="00366EC0" w:rsidRPr="00380B40" w:rsidRDefault="00366EC0" w:rsidP="00C12517">
      <w:pPr>
        <w:rPr>
          <w:b/>
          <w:bCs/>
          <w:szCs w:val="24"/>
          <w:lang w:val="en-GB"/>
        </w:rPr>
      </w:pPr>
      <w:r w:rsidRPr="00380B40">
        <w:rPr>
          <w:b/>
          <w:bCs/>
          <w:szCs w:val="24"/>
          <w:lang w:val="en-GB"/>
        </w:rPr>
        <w:br w:type="page"/>
      </w:r>
    </w:p>
    <w:p w14:paraId="331323C1" w14:textId="77777777" w:rsidR="00C12517" w:rsidRPr="00380B40" w:rsidDel="003F5905" w:rsidRDefault="00C12517" w:rsidP="00C12517">
      <w:pPr>
        <w:rPr>
          <w:szCs w:val="24"/>
          <w:lang w:val="en-GB"/>
        </w:rPr>
      </w:pPr>
      <w:r w:rsidRPr="00380B40">
        <w:rPr>
          <w:b/>
          <w:bCs/>
          <w:szCs w:val="24"/>
          <w:lang w:val="en-GB"/>
        </w:rPr>
        <w:t>5</w:t>
      </w:r>
      <w:r w:rsidRPr="00380B40" w:rsidDel="003F5905">
        <w:rPr>
          <w:b/>
          <w:bCs/>
          <w:szCs w:val="24"/>
          <w:lang w:val="en-GB"/>
        </w:rPr>
        <w:t>.5</w:t>
      </w:r>
      <w:r w:rsidRPr="00380B40" w:rsidDel="003F5905">
        <w:rPr>
          <w:szCs w:val="24"/>
          <w:lang w:val="en-GB"/>
        </w:rPr>
        <w:tab/>
        <w:t>JCAs should work primarily by correspondence and electronic meetings. Any physical meeting considered necessary should be convened by the chairman of the JCA. Physical meetings should be supported by conferencing capabilities where possible, and both physical and electronic meetings should be scheduled as far as practicable at times that will provide maximum opportunity for broad participation. It is anticipated that physical meetings will be in conjunction with the involved study group meetings (in which case it is reflected in the collective letter for that study group) as far as practicable, but if a separate meeting is to be held, it is to be announced at least four weeks in advance by an (electronic) collective invitation letter.</w:t>
      </w:r>
    </w:p>
    <w:p w14:paraId="004F6F8B" w14:textId="77777777" w:rsidR="00C12517" w:rsidRPr="00380B40" w:rsidDel="003F5905" w:rsidRDefault="00C12517" w:rsidP="00C12517">
      <w:pPr>
        <w:rPr>
          <w:szCs w:val="24"/>
          <w:lang w:val="en-GB"/>
        </w:rPr>
      </w:pPr>
      <w:r w:rsidRPr="00380B40">
        <w:rPr>
          <w:b/>
          <w:bCs/>
          <w:szCs w:val="24"/>
          <w:lang w:val="en-GB"/>
        </w:rPr>
        <w:t>5</w:t>
      </w:r>
      <w:r w:rsidRPr="00380B40" w:rsidDel="003F5905">
        <w:rPr>
          <w:b/>
          <w:bCs/>
          <w:szCs w:val="24"/>
          <w:lang w:val="en-GB"/>
        </w:rPr>
        <w:t>.6</w:t>
      </w:r>
      <w:r w:rsidRPr="00380B40" w:rsidDel="003F5905">
        <w:rPr>
          <w:szCs w:val="24"/>
          <w:lang w:val="en-GB"/>
        </w:rPr>
        <w:tab/>
        <w:t>Inputs to the work of a JCA should be sent to the JCA chairman and to the concerned TSB counsellor, and the latter will make these available to the members of the JCA.</w:t>
      </w:r>
    </w:p>
    <w:p w14:paraId="0276E577" w14:textId="77777777" w:rsidR="00C12517" w:rsidRPr="00380B40" w:rsidDel="003F5905" w:rsidRDefault="00C12517" w:rsidP="00C12517">
      <w:pPr>
        <w:rPr>
          <w:lang w:val="en-GB"/>
        </w:rPr>
      </w:pPr>
      <w:r w:rsidRPr="00380B40">
        <w:rPr>
          <w:b/>
          <w:bCs/>
          <w:lang w:val="en-GB"/>
        </w:rPr>
        <w:t>5</w:t>
      </w:r>
      <w:r w:rsidRPr="00380B40" w:rsidDel="003F5905">
        <w:rPr>
          <w:b/>
          <w:bCs/>
          <w:lang w:val="en-GB"/>
        </w:rPr>
        <w:t>.7</w:t>
      </w:r>
      <w:r w:rsidRPr="00380B40" w:rsidDel="003F5905">
        <w:rPr>
          <w:lang w:val="en-GB"/>
        </w:rPr>
        <w:tab/>
        <w:t>JCAs may submit proposals to the relevant study groups to achieve alignment in the development of related Recommendations and other deliverables by the respective study groups. A</w:t>
      </w:r>
      <w:r w:rsidRPr="00380B40">
        <w:rPr>
          <w:lang w:val="en-GB"/>
        </w:rPr>
        <w:t> </w:t>
      </w:r>
      <w:r w:rsidRPr="00380B40" w:rsidDel="003F5905">
        <w:rPr>
          <w:lang w:val="en-GB"/>
        </w:rPr>
        <w:t>JCA may also issue liaison statements.</w:t>
      </w:r>
    </w:p>
    <w:p w14:paraId="264DC207" w14:textId="77777777" w:rsidR="00C12517" w:rsidRPr="00380B40" w:rsidDel="003F5905" w:rsidRDefault="00C12517" w:rsidP="00C12517">
      <w:pPr>
        <w:rPr>
          <w:lang w:val="en-GB"/>
        </w:rPr>
      </w:pPr>
      <w:r w:rsidRPr="00380B40">
        <w:rPr>
          <w:b/>
          <w:bCs/>
          <w:lang w:val="en-GB"/>
        </w:rPr>
        <w:t>5</w:t>
      </w:r>
      <w:r w:rsidRPr="00380B40" w:rsidDel="003F5905">
        <w:rPr>
          <w:b/>
          <w:bCs/>
          <w:lang w:val="en-GB"/>
        </w:rPr>
        <w:t>.8</w:t>
      </w:r>
      <w:r w:rsidRPr="00380B40" w:rsidDel="003F5905">
        <w:rPr>
          <w:lang w:val="en-GB"/>
        </w:rPr>
        <w:tab/>
        <w:t>JCA input and output documents and reports are made available to the ITU</w:t>
      </w:r>
      <w:r w:rsidRPr="00380B40" w:rsidDel="003F5905">
        <w:rPr>
          <w:lang w:val="en-GB"/>
        </w:rPr>
        <w:noBreakHyphen/>
        <w:t>T membership. Reports are issued after each JCA meeting. TSAG may monitor JCA activities through these reports.</w:t>
      </w:r>
    </w:p>
    <w:p w14:paraId="10194673" w14:textId="77777777" w:rsidR="00C12517" w:rsidRPr="00380B40" w:rsidDel="003F5905" w:rsidRDefault="00C12517" w:rsidP="00C12517">
      <w:pPr>
        <w:rPr>
          <w:lang w:val="en-GB"/>
        </w:rPr>
      </w:pPr>
      <w:r w:rsidRPr="00380B40">
        <w:rPr>
          <w:b/>
          <w:bCs/>
          <w:lang w:val="en-GB"/>
        </w:rPr>
        <w:t>5</w:t>
      </w:r>
      <w:r w:rsidRPr="00380B40" w:rsidDel="003F5905">
        <w:rPr>
          <w:b/>
          <w:bCs/>
          <w:lang w:val="en-GB"/>
        </w:rPr>
        <w:t>.9</w:t>
      </w:r>
      <w:r w:rsidRPr="00380B40" w:rsidDel="003F5905">
        <w:rPr>
          <w:lang w:val="en-GB"/>
        </w:rPr>
        <w:tab/>
        <w:t>TSB will provide support for a JCA, within available resource limits.</w:t>
      </w:r>
    </w:p>
    <w:p w14:paraId="34B05B0B" w14:textId="77777777" w:rsidR="00C12517" w:rsidRPr="00380B40" w:rsidRDefault="00C12517" w:rsidP="00C12517">
      <w:pPr>
        <w:rPr>
          <w:szCs w:val="24"/>
          <w:lang w:val="en-GB"/>
        </w:rPr>
      </w:pPr>
      <w:r w:rsidRPr="00380B40">
        <w:rPr>
          <w:b/>
          <w:bCs/>
          <w:szCs w:val="24"/>
          <w:lang w:val="en-GB"/>
        </w:rPr>
        <w:t>5</w:t>
      </w:r>
      <w:r w:rsidRPr="00380B40" w:rsidDel="003F5905">
        <w:rPr>
          <w:b/>
          <w:bCs/>
          <w:szCs w:val="24"/>
          <w:lang w:val="en-GB"/>
        </w:rPr>
        <w:t>.10</w:t>
      </w:r>
      <w:r w:rsidRPr="00380B40" w:rsidDel="003F5905">
        <w:rPr>
          <w:szCs w:val="24"/>
          <w:lang w:val="en-GB"/>
        </w:rPr>
        <w:tab/>
        <w:t xml:space="preserve">A JCA may be terminated at any time if the involved study groups agree that the JCA is no longer required. A proposal to do so, including justification, may be submitted by any study group involved or by TSAG, and examined for decision by the study group responsible for the JCA, after consulting the involved study groups and TSAG (via electronic means, if a TSAG meeting is not pending in the near future). </w:t>
      </w:r>
      <w:r w:rsidRPr="00380B40">
        <w:rPr>
          <w:szCs w:val="24"/>
          <w:lang w:val="en-GB"/>
        </w:rPr>
        <w:t>A JCA will be reviewed at the first TSAG meeting following the WTSA. A specific decision must be taken on the continuation of the JCA, potentially with adjusted terms of reference.</w:t>
      </w:r>
    </w:p>
    <w:p w14:paraId="6CA18C19" w14:textId="77777777" w:rsidR="00E96E4D" w:rsidRPr="00380B40" w:rsidRDefault="00E96E4D" w:rsidP="00C12517">
      <w:pPr>
        <w:rPr>
          <w:szCs w:val="24"/>
          <w:lang w:val="en-GB"/>
        </w:rPr>
      </w:pPr>
    </w:p>
    <w:p w14:paraId="0C888E23" w14:textId="77777777" w:rsidR="00E96E4D" w:rsidRPr="00380B40" w:rsidRDefault="00E96E4D" w:rsidP="00C12517">
      <w:pPr>
        <w:rPr>
          <w:szCs w:val="24"/>
          <w:lang w:val="en-GB"/>
        </w:rPr>
      </w:pPr>
    </w:p>
    <w:p w14:paraId="6DC197EC" w14:textId="77777777" w:rsidR="00E96E4D" w:rsidRPr="00380B40" w:rsidRDefault="00E96E4D" w:rsidP="00C12517">
      <w:pPr>
        <w:rPr>
          <w:szCs w:val="24"/>
          <w:lang w:val="en-GB"/>
        </w:rPr>
      </w:pPr>
    </w:p>
    <w:p w14:paraId="36EE3651" w14:textId="77777777" w:rsidR="00E96E4D" w:rsidRPr="00380B40" w:rsidRDefault="00E96E4D" w:rsidP="00C12517">
      <w:pPr>
        <w:rPr>
          <w:szCs w:val="24"/>
          <w:lang w:val="en-GB"/>
        </w:rPr>
      </w:pPr>
    </w:p>
    <w:p w14:paraId="6BA68562" w14:textId="77777777" w:rsidR="00E96E4D" w:rsidRPr="00380B40" w:rsidRDefault="00E96E4D" w:rsidP="00C12517">
      <w:pPr>
        <w:rPr>
          <w:szCs w:val="24"/>
          <w:lang w:val="en-GB"/>
        </w:rPr>
      </w:pPr>
    </w:p>
    <w:p w14:paraId="6E57F723" w14:textId="77777777" w:rsidR="00E96E4D" w:rsidRPr="00380B40" w:rsidRDefault="00E96E4D" w:rsidP="00C12517">
      <w:pPr>
        <w:rPr>
          <w:szCs w:val="24"/>
          <w:lang w:val="en-GB"/>
        </w:rPr>
      </w:pPr>
    </w:p>
    <w:p w14:paraId="3FB0E157" w14:textId="77777777" w:rsidR="00E96E4D" w:rsidRPr="00380B40" w:rsidRDefault="00E96E4D" w:rsidP="00C12517">
      <w:pPr>
        <w:rPr>
          <w:szCs w:val="24"/>
          <w:lang w:val="en-GB"/>
        </w:rPr>
      </w:pPr>
    </w:p>
    <w:p w14:paraId="7FC1A888" w14:textId="77777777" w:rsidR="00E96E4D" w:rsidRPr="00380B40" w:rsidRDefault="00E96E4D" w:rsidP="00C12517">
      <w:pPr>
        <w:rPr>
          <w:szCs w:val="24"/>
          <w:lang w:val="en-GB"/>
        </w:rPr>
      </w:pPr>
    </w:p>
    <w:p w14:paraId="436B791E" w14:textId="77777777" w:rsidR="00E96E4D" w:rsidRPr="00380B40" w:rsidRDefault="00E96E4D" w:rsidP="00C12517">
      <w:pPr>
        <w:rPr>
          <w:szCs w:val="24"/>
          <w:lang w:val="en-GB"/>
        </w:rPr>
      </w:pPr>
    </w:p>
    <w:p w14:paraId="0D125CBA" w14:textId="77777777" w:rsidR="00E96E4D" w:rsidRPr="00380B40" w:rsidRDefault="00E96E4D" w:rsidP="00C12517">
      <w:pPr>
        <w:rPr>
          <w:szCs w:val="24"/>
          <w:lang w:val="en-GB"/>
        </w:rPr>
      </w:pPr>
    </w:p>
    <w:p w14:paraId="147C0378" w14:textId="77777777" w:rsidR="00E96E4D" w:rsidRPr="00380B40" w:rsidRDefault="00E96E4D" w:rsidP="00C12517">
      <w:pPr>
        <w:rPr>
          <w:szCs w:val="24"/>
          <w:lang w:val="en-GB"/>
        </w:rPr>
      </w:pPr>
    </w:p>
    <w:p w14:paraId="749DD966" w14:textId="77777777" w:rsidR="00E96E4D" w:rsidRPr="00380B40" w:rsidRDefault="00E96E4D" w:rsidP="00C12517">
      <w:pPr>
        <w:rPr>
          <w:szCs w:val="24"/>
          <w:lang w:val="en-GB"/>
        </w:rPr>
      </w:pPr>
    </w:p>
    <w:p w14:paraId="66AA10D8" w14:textId="77777777" w:rsidR="00C12517" w:rsidRPr="00380B40" w:rsidRDefault="00C12517" w:rsidP="00C12517">
      <w:pPr>
        <w:pStyle w:val="AnnexNo"/>
      </w:pPr>
      <w:r w:rsidRPr="00380B40">
        <w:br w:type="page"/>
      </w:r>
    </w:p>
    <w:p w14:paraId="255512CD" w14:textId="77777777" w:rsidR="005F3BBF" w:rsidRPr="00380B40" w:rsidRDefault="00C12517" w:rsidP="005F3BBF">
      <w:pPr>
        <w:pStyle w:val="AnnexNo"/>
      </w:pPr>
      <w:bookmarkStart w:id="736" w:name="_Toc532428477"/>
      <w:bookmarkStart w:id="737" w:name="_Toc111636857"/>
      <w:bookmarkStart w:id="738" w:name="_Toc471716653"/>
      <w:bookmarkStart w:id="739" w:name="_Toc20738336"/>
      <w:bookmarkStart w:id="740" w:name="_Toc21093750"/>
      <w:bookmarkStart w:id="741" w:name="_Toc22280359"/>
      <w:r w:rsidRPr="00380B40">
        <w:t>Annex A</w:t>
      </w:r>
      <w:bookmarkEnd w:id="736"/>
      <w:bookmarkEnd w:id="737"/>
    </w:p>
    <w:p w14:paraId="4BBEFE44" w14:textId="77777777" w:rsidR="00C12517" w:rsidRPr="00380B40" w:rsidRDefault="00C12517" w:rsidP="005F3BBF">
      <w:pPr>
        <w:pStyle w:val="Annextitle"/>
      </w:pPr>
      <w:r w:rsidRPr="00380B40">
        <w:t>Template to describe a proposed new Recommendation</w:t>
      </w:r>
      <w:r w:rsidRPr="00380B40">
        <w:br/>
        <w:t>in the work programme</w:t>
      </w:r>
      <w:bookmarkEnd w:id="738"/>
      <w:bookmarkEnd w:id="739"/>
      <w:bookmarkEnd w:id="740"/>
      <w:bookmarkEnd w:id="741"/>
    </w:p>
    <w:p w14:paraId="792D4E97" w14:textId="77777777" w:rsidR="00C12517" w:rsidRPr="00380B40" w:rsidRDefault="00C12517" w:rsidP="00566AA6">
      <w:pPr>
        <w:pStyle w:val="Normalcenteraligned"/>
        <w:rPr>
          <w:b/>
          <w:bCs/>
        </w:rPr>
      </w:pPr>
      <w:r w:rsidRPr="00380B40">
        <w:t>(This annex forms an integral part of this Recommendation.)</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1"/>
        <w:gridCol w:w="414"/>
        <w:gridCol w:w="465"/>
        <w:gridCol w:w="4621"/>
        <w:gridCol w:w="1213"/>
        <w:gridCol w:w="1745"/>
      </w:tblGrid>
      <w:tr w:rsidR="00C12517" w:rsidRPr="00380B40" w14:paraId="6ECC51CD" w14:textId="77777777" w:rsidTr="00DE1739">
        <w:tc>
          <w:tcPr>
            <w:tcW w:w="1181" w:type="dxa"/>
            <w:shd w:val="clear" w:color="auto" w:fill="auto"/>
            <w:hideMark/>
          </w:tcPr>
          <w:p w14:paraId="5A2CF987" w14:textId="77777777" w:rsidR="00C12517" w:rsidRPr="00380B40" w:rsidRDefault="00C12517" w:rsidP="00D559E0">
            <w:pPr>
              <w:pStyle w:val="Tablehead"/>
              <w:rPr>
                <w:sz w:val="20"/>
                <w:lang w:val="en-GB"/>
              </w:rPr>
            </w:pPr>
            <w:r w:rsidRPr="00380B40">
              <w:rPr>
                <w:sz w:val="20"/>
                <w:lang w:val="en-GB"/>
              </w:rPr>
              <w:t>Question:</w:t>
            </w:r>
          </w:p>
        </w:tc>
        <w:tc>
          <w:tcPr>
            <w:tcW w:w="414" w:type="dxa"/>
            <w:shd w:val="clear" w:color="auto" w:fill="auto"/>
          </w:tcPr>
          <w:p w14:paraId="0A6DA7DB" w14:textId="77777777" w:rsidR="00C12517" w:rsidRPr="00380B40" w:rsidRDefault="00C12517" w:rsidP="00D559E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c>
          <w:tcPr>
            <w:tcW w:w="465" w:type="dxa"/>
            <w:shd w:val="clear" w:color="auto" w:fill="auto"/>
            <w:hideMark/>
          </w:tcPr>
          <w:p w14:paraId="2BCD410B" w14:textId="77777777" w:rsidR="00C12517" w:rsidRPr="00380B40" w:rsidRDefault="00C12517" w:rsidP="00D559E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380B40">
              <w:rPr>
                <w:sz w:val="20"/>
                <w:lang w:val="en-GB"/>
              </w:rPr>
              <w:t>/</w:t>
            </w:r>
          </w:p>
        </w:tc>
        <w:tc>
          <w:tcPr>
            <w:tcW w:w="4621" w:type="dxa"/>
            <w:shd w:val="clear" w:color="auto" w:fill="auto"/>
            <w:hideMark/>
          </w:tcPr>
          <w:p w14:paraId="7C451D95" w14:textId="77777777" w:rsidR="00C12517" w:rsidRPr="00380B40" w:rsidRDefault="00C12517" w:rsidP="00D559E0">
            <w:pPr>
              <w:pStyle w:val="Tablehead"/>
              <w:rPr>
                <w:sz w:val="20"/>
                <w:lang w:val="en-GB"/>
              </w:rPr>
            </w:pPr>
            <w:r w:rsidRPr="00380B40">
              <w:rPr>
                <w:sz w:val="20"/>
                <w:lang w:val="en-GB"/>
              </w:rPr>
              <w:t>Proposed new ITU</w:t>
            </w:r>
            <w:r w:rsidRPr="00380B40">
              <w:rPr>
                <w:sz w:val="20"/>
                <w:lang w:val="en-GB"/>
              </w:rPr>
              <w:noBreakHyphen/>
              <w:t>T Recommendation</w:t>
            </w:r>
          </w:p>
        </w:tc>
        <w:tc>
          <w:tcPr>
            <w:tcW w:w="2958" w:type="dxa"/>
            <w:gridSpan w:val="2"/>
            <w:shd w:val="clear" w:color="auto" w:fill="auto"/>
            <w:hideMark/>
          </w:tcPr>
          <w:p w14:paraId="028CCE20" w14:textId="77777777" w:rsidR="00C12517" w:rsidRPr="00380B40" w:rsidRDefault="00C12517" w:rsidP="00D559E0">
            <w:pPr>
              <w:pStyle w:val="Tablehead"/>
              <w:jc w:val="left"/>
              <w:rPr>
                <w:sz w:val="20"/>
                <w:lang w:val="en-GB"/>
              </w:rPr>
            </w:pPr>
            <w:r w:rsidRPr="00380B40">
              <w:rPr>
                <w:sz w:val="20"/>
                <w:lang w:val="en-GB"/>
              </w:rPr>
              <w:t>&lt;Meeting date&gt;</w:t>
            </w:r>
          </w:p>
        </w:tc>
      </w:tr>
      <w:tr w:rsidR="00C12517" w:rsidRPr="00380B40" w14:paraId="716CC45A" w14:textId="77777777" w:rsidTr="00DE1739">
        <w:trPr>
          <w:trHeight w:val="334"/>
        </w:trPr>
        <w:tc>
          <w:tcPr>
            <w:tcW w:w="1181" w:type="dxa"/>
            <w:shd w:val="clear" w:color="auto" w:fill="auto"/>
            <w:hideMark/>
          </w:tcPr>
          <w:p w14:paraId="2F6B1DD0" w14:textId="77777777" w:rsidR="00C12517" w:rsidRPr="00380B40" w:rsidRDefault="00C12517" w:rsidP="00D559E0">
            <w:pPr>
              <w:pStyle w:val="Tabletext"/>
              <w:rPr>
                <w:b/>
                <w:bCs/>
                <w:sz w:val="20"/>
                <w:lang w:val="en-GB"/>
              </w:rPr>
            </w:pPr>
            <w:r w:rsidRPr="00380B40">
              <w:rPr>
                <w:b/>
                <w:bCs/>
                <w:sz w:val="20"/>
                <w:lang w:val="en-GB"/>
              </w:rPr>
              <w:t>Reference and title:</w:t>
            </w:r>
          </w:p>
        </w:tc>
        <w:tc>
          <w:tcPr>
            <w:tcW w:w="8458" w:type="dxa"/>
            <w:gridSpan w:val="5"/>
            <w:shd w:val="clear" w:color="auto" w:fill="auto"/>
            <w:hideMark/>
          </w:tcPr>
          <w:p w14:paraId="3B63742D" w14:textId="77777777" w:rsidR="00C12517" w:rsidRPr="00380B40" w:rsidRDefault="00C12517" w:rsidP="00D559E0">
            <w:pPr>
              <w:pStyle w:val="Tabletext"/>
              <w:rPr>
                <w:sz w:val="20"/>
                <w:lang w:val="fr-CH"/>
              </w:rPr>
            </w:pPr>
            <w:r w:rsidRPr="00380B40">
              <w:rPr>
                <w:sz w:val="20"/>
                <w:lang w:val="fr-CH"/>
              </w:rPr>
              <w:t>Recommendation ITU</w:t>
            </w:r>
            <w:r w:rsidRPr="00380B40">
              <w:rPr>
                <w:sz w:val="20"/>
                <w:lang w:val="fr-CH"/>
              </w:rPr>
              <w:noBreakHyphen/>
              <w:t>T &lt;X.xxx&gt; "Title"</w:t>
            </w:r>
          </w:p>
        </w:tc>
      </w:tr>
      <w:tr w:rsidR="00C12517" w:rsidRPr="00380B40" w14:paraId="16F98436" w14:textId="77777777" w:rsidTr="00DE1739">
        <w:trPr>
          <w:trHeight w:val="280"/>
        </w:trPr>
        <w:tc>
          <w:tcPr>
            <w:tcW w:w="1181" w:type="dxa"/>
            <w:shd w:val="clear" w:color="auto" w:fill="auto"/>
            <w:hideMark/>
          </w:tcPr>
          <w:p w14:paraId="74B5A103" w14:textId="77777777" w:rsidR="00C12517" w:rsidRPr="00380B40" w:rsidRDefault="00C12517" w:rsidP="00D559E0">
            <w:pPr>
              <w:pStyle w:val="Tabletext"/>
              <w:rPr>
                <w:b/>
                <w:bCs/>
                <w:sz w:val="20"/>
                <w:lang w:val="en-GB"/>
              </w:rPr>
            </w:pPr>
            <w:r w:rsidRPr="00380B40">
              <w:rPr>
                <w:b/>
                <w:bCs/>
                <w:sz w:val="20"/>
                <w:lang w:val="en-GB"/>
              </w:rPr>
              <w:t>Base text:</w:t>
            </w:r>
          </w:p>
        </w:tc>
        <w:tc>
          <w:tcPr>
            <w:tcW w:w="5500" w:type="dxa"/>
            <w:gridSpan w:val="3"/>
            <w:shd w:val="clear" w:color="auto" w:fill="auto"/>
            <w:hideMark/>
          </w:tcPr>
          <w:p w14:paraId="76EED4B7" w14:textId="77777777" w:rsidR="00C12517" w:rsidRPr="00380B40" w:rsidRDefault="00C12517" w:rsidP="00D559E0">
            <w:pPr>
              <w:pStyle w:val="Tabletext"/>
              <w:rPr>
                <w:sz w:val="20"/>
                <w:lang w:val="en-GB"/>
              </w:rPr>
            </w:pPr>
            <w:r w:rsidRPr="00380B40">
              <w:rPr>
                <w:sz w:val="20"/>
                <w:lang w:val="en-GB"/>
              </w:rPr>
              <w:t>&lt;C nnn&gt; or &lt;TD nnnn&gt;</w:t>
            </w:r>
          </w:p>
        </w:tc>
        <w:tc>
          <w:tcPr>
            <w:tcW w:w="1213" w:type="dxa"/>
            <w:shd w:val="clear" w:color="auto" w:fill="auto"/>
            <w:hideMark/>
          </w:tcPr>
          <w:p w14:paraId="43636E96" w14:textId="77777777" w:rsidR="00C12517" w:rsidRPr="00380B40" w:rsidRDefault="00C12517" w:rsidP="00D559E0">
            <w:pPr>
              <w:pStyle w:val="Tabletext"/>
              <w:rPr>
                <w:b/>
                <w:bCs/>
                <w:sz w:val="20"/>
                <w:lang w:val="en-GB"/>
              </w:rPr>
            </w:pPr>
            <w:r w:rsidRPr="00380B40">
              <w:rPr>
                <w:b/>
                <w:bCs/>
                <w:sz w:val="20"/>
                <w:lang w:val="en-GB"/>
              </w:rPr>
              <w:t>Timing:</w:t>
            </w:r>
          </w:p>
        </w:tc>
        <w:tc>
          <w:tcPr>
            <w:tcW w:w="1745" w:type="dxa"/>
            <w:shd w:val="clear" w:color="auto" w:fill="auto"/>
            <w:hideMark/>
          </w:tcPr>
          <w:p w14:paraId="58963EF1" w14:textId="77777777" w:rsidR="00C12517" w:rsidRPr="00380B40" w:rsidRDefault="00C12517" w:rsidP="00D559E0">
            <w:pPr>
              <w:pStyle w:val="Tabletext"/>
              <w:rPr>
                <w:sz w:val="20"/>
                <w:lang w:val="en-GB"/>
              </w:rPr>
            </w:pPr>
            <w:r w:rsidRPr="00380B40">
              <w:rPr>
                <w:sz w:val="20"/>
                <w:lang w:val="en-GB"/>
              </w:rPr>
              <w:t>&lt;Month-Year&gt;</w:t>
            </w:r>
          </w:p>
        </w:tc>
      </w:tr>
      <w:tr w:rsidR="00C12517" w:rsidRPr="00380B40" w14:paraId="34BC4312" w14:textId="77777777" w:rsidTr="00DE1739">
        <w:trPr>
          <w:trHeight w:val="512"/>
        </w:trPr>
        <w:tc>
          <w:tcPr>
            <w:tcW w:w="1181" w:type="dxa"/>
            <w:shd w:val="clear" w:color="auto" w:fill="auto"/>
            <w:hideMark/>
          </w:tcPr>
          <w:p w14:paraId="7D51CB3A" w14:textId="77777777" w:rsidR="00C12517" w:rsidRPr="00380B40" w:rsidRDefault="00C12517" w:rsidP="00D559E0">
            <w:pPr>
              <w:pStyle w:val="Tabletext"/>
              <w:rPr>
                <w:b/>
                <w:bCs/>
                <w:sz w:val="20"/>
                <w:lang w:val="en-GB"/>
              </w:rPr>
            </w:pPr>
            <w:r w:rsidRPr="00380B40">
              <w:rPr>
                <w:b/>
                <w:bCs/>
                <w:sz w:val="20"/>
                <w:lang w:val="en-GB"/>
              </w:rPr>
              <w:t>Editor(s):</w:t>
            </w:r>
          </w:p>
        </w:tc>
        <w:tc>
          <w:tcPr>
            <w:tcW w:w="5500" w:type="dxa"/>
            <w:gridSpan w:val="3"/>
            <w:shd w:val="clear" w:color="auto" w:fill="auto"/>
            <w:hideMark/>
          </w:tcPr>
          <w:p w14:paraId="45EE7871" w14:textId="77777777" w:rsidR="00C12517" w:rsidRPr="00380B40" w:rsidRDefault="00C12517" w:rsidP="00D559E0">
            <w:pPr>
              <w:pStyle w:val="Tabletext"/>
              <w:rPr>
                <w:sz w:val="20"/>
                <w:lang w:val="en-GB"/>
              </w:rPr>
            </w:pPr>
            <w:r w:rsidRPr="00380B40">
              <w:rPr>
                <w:sz w:val="20"/>
                <w:lang w:val="en-GB"/>
              </w:rPr>
              <w:t>&lt;Name, membership, e</w:t>
            </w:r>
            <w:r w:rsidRPr="00380B40">
              <w:rPr>
                <w:sz w:val="20"/>
                <w:lang w:val="en-GB"/>
              </w:rPr>
              <w:noBreakHyphen/>
              <w:t>mail address&gt;</w:t>
            </w:r>
          </w:p>
        </w:tc>
        <w:tc>
          <w:tcPr>
            <w:tcW w:w="1213" w:type="dxa"/>
            <w:shd w:val="clear" w:color="auto" w:fill="auto"/>
            <w:hideMark/>
          </w:tcPr>
          <w:p w14:paraId="688F5101" w14:textId="77777777" w:rsidR="00C12517" w:rsidRPr="00380B40" w:rsidRDefault="00C12517" w:rsidP="00D559E0">
            <w:pPr>
              <w:pStyle w:val="Tabletext"/>
              <w:rPr>
                <w:b/>
                <w:bCs/>
                <w:sz w:val="20"/>
                <w:lang w:val="en-GB"/>
              </w:rPr>
            </w:pPr>
            <w:r w:rsidRPr="00380B40">
              <w:rPr>
                <w:b/>
                <w:bCs/>
                <w:sz w:val="20"/>
                <w:lang w:val="en-GB"/>
              </w:rPr>
              <w:t>Approval process:</w:t>
            </w:r>
          </w:p>
        </w:tc>
        <w:tc>
          <w:tcPr>
            <w:tcW w:w="1745" w:type="dxa"/>
            <w:shd w:val="clear" w:color="auto" w:fill="auto"/>
            <w:hideMark/>
          </w:tcPr>
          <w:p w14:paraId="5D2377EA" w14:textId="77777777" w:rsidR="00C12517" w:rsidRPr="00380B40" w:rsidRDefault="00C12517" w:rsidP="00D559E0">
            <w:pPr>
              <w:pStyle w:val="Tabletext"/>
              <w:rPr>
                <w:sz w:val="20"/>
                <w:lang w:val="en-GB"/>
              </w:rPr>
            </w:pPr>
            <w:r w:rsidRPr="00380B40">
              <w:rPr>
                <w:sz w:val="20"/>
                <w:lang w:val="en-GB"/>
              </w:rPr>
              <w:t>&lt;AAP or TAP&gt;</w:t>
            </w:r>
          </w:p>
        </w:tc>
      </w:tr>
      <w:tr w:rsidR="00C12517" w:rsidRPr="004E0F36" w14:paraId="1EABCA9D" w14:textId="77777777" w:rsidTr="00DE1739">
        <w:tc>
          <w:tcPr>
            <w:tcW w:w="9639" w:type="dxa"/>
            <w:gridSpan w:val="6"/>
            <w:shd w:val="clear" w:color="auto" w:fill="auto"/>
            <w:hideMark/>
          </w:tcPr>
          <w:p w14:paraId="3565D511" w14:textId="77777777" w:rsidR="00C12517" w:rsidRPr="00380B40" w:rsidRDefault="00C12517" w:rsidP="00D559E0">
            <w:pPr>
              <w:pStyle w:val="Tabletext"/>
              <w:rPr>
                <w:sz w:val="20"/>
                <w:lang w:val="en-GB"/>
              </w:rPr>
            </w:pPr>
            <w:r w:rsidRPr="00380B40">
              <w:rPr>
                <w:b/>
                <w:bCs/>
                <w:sz w:val="20"/>
                <w:lang w:val="en-GB"/>
              </w:rPr>
              <w:t xml:space="preserve">Scope </w:t>
            </w:r>
            <w:r w:rsidRPr="00380B40">
              <w:rPr>
                <w:sz w:val="20"/>
                <w:lang w:val="en-GB"/>
              </w:rPr>
              <w:t>(defines the intent or object of the Recommendation and the aspects covered, thereby indicating the limits of its applicability):</w:t>
            </w:r>
          </w:p>
        </w:tc>
      </w:tr>
      <w:tr w:rsidR="00C12517" w:rsidRPr="004E0F36" w14:paraId="79D19DC3" w14:textId="77777777" w:rsidTr="00DE1739">
        <w:trPr>
          <w:trHeight w:val="55"/>
        </w:trPr>
        <w:tc>
          <w:tcPr>
            <w:tcW w:w="9639" w:type="dxa"/>
            <w:gridSpan w:val="6"/>
            <w:shd w:val="clear" w:color="auto" w:fill="auto"/>
          </w:tcPr>
          <w:p w14:paraId="3F88AFEB" w14:textId="77777777" w:rsidR="00C12517" w:rsidRPr="00380B40" w:rsidRDefault="00C12517" w:rsidP="00D559E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r>
      <w:tr w:rsidR="00C12517" w:rsidRPr="004E0F36" w14:paraId="484CC6AD" w14:textId="77777777" w:rsidTr="00DE1739">
        <w:tc>
          <w:tcPr>
            <w:tcW w:w="9639" w:type="dxa"/>
            <w:gridSpan w:val="6"/>
            <w:shd w:val="clear" w:color="auto" w:fill="auto"/>
            <w:hideMark/>
          </w:tcPr>
          <w:p w14:paraId="799E4868" w14:textId="77777777" w:rsidR="00C12517" w:rsidRPr="00380B40" w:rsidRDefault="00C12517" w:rsidP="00D559E0">
            <w:pPr>
              <w:pStyle w:val="Tabletext"/>
              <w:rPr>
                <w:sz w:val="20"/>
                <w:lang w:val="en-GB"/>
              </w:rPr>
            </w:pPr>
            <w:r w:rsidRPr="00380B40">
              <w:rPr>
                <w:b/>
                <w:bCs/>
                <w:sz w:val="20"/>
                <w:lang w:val="en-GB"/>
              </w:rPr>
              <w:t xml:space="preserve">Summary </w:t>
            </w:r>
            <w:r w:rsidRPr="00380B40">
              <w:rPr>
                <w:sz w:val="20"/>
                <w:lang w:val="en-GB"/>
              </w:rPr>
              <w:t>(provides a brief overview of the purpose and contents of the Recommendation, thus permitting readers to judge its usefulness for their work):</w:t>
            </w:r>
          </w:p>
        </w:tc>
      </w:tr>
      <w:tr w:rsidR="00C12517" w:rsidRPr="004E0F36" w14:paraId="65479EEB" w14:textId="77777777" w:rsidTr="00DE1739">
        <w:trPr>
          <w:trHeight w:val="124"/>
        </w:trPr>
        <w:tc>
          <w:tcPr>
            <w:tcW w:w="9639" w:type="dxa"/>
            <w:gridSpan w:val="6"/>
            <w:shd w:val="clear" w:color="auto" w:fill="auto"/>
          </w:tcPr>
          <w:p w14:paraId="446EAF4B" w14:textId="77777777" w:rsidR="00C12517" w:rsidRPr="00380B40" w:rsidRDefault="00C12517" w:rsidP="00D559E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r>
      <w:tr w:rsidR="00C12517" w:rsidRPr="004E0F36" w14:paraId="6919B470" w14:textId="77777777" w:rsidTr="00DE1739">
        <w:tc>
          <w:tcPr>
            <w:tcW w:w="9639" w:type="dxa"/>
            <w:gridSpan w:val="6"/>
            <w:shd w:val="clear" w:color="auto" w:fill="auto"/>
            <w:hideMark/>
          </w:tcPr>
          <w:p w14:paraId="07A892F0" w14:textId="77777777" w:rsidR="00C12517" w:rsidRPr="00380B40" w:rsidRDefault="00C12517" w:rsidP="00D559E0">
            <w:pPr>
              <w:pStyle w:val="Tabletext"/>
              <w:rPr>
                <w:sz w:val="20"/>
                <w:lang w:val="en-GB"/>
              </w:rPr>
            </w:pPr>
            <w:r w:rsidRPr="00380B40">
              <w:rPr>
                <w:b/>
                <w:bCs/>
                <w:sz w:val="20"/>
                <w:lang w:val="en-GB"/>
              </w:rPr>
              <w:t>Relations to ITU</w:t>
            </w:r>
            <w:r w:rsidRPr="00380B40">
              <w:rPr>
                <w:b/>
                <w:bCs/>
                <w:sz w:val="20"/>
                <w:lang w:val="en-GB"/>
              </w:rPr>
              <w:noBreakHyphen/>
              <w:t>T Recommendations or to other standards</w:t>
            </w:r>
            <w:r w:rsidRPr="00380B40">
              <w:rPr>
                <w:sz w:val="20"/>
                <w:lang w:val="en-GB"/>
              </w:rPr>
              <w:t xml:space="preserve"> (approved or under development):</w:t>
            </w:r>
          </w:p>
        </w:tc>
      </w:tr>
      <w:tr w:rsidR="00C12517" w:rsidRPr="004E0F36" w14:paraId="2767AAAE" w14:textId="77777777" w:rsidTr="00DE1739">
        <w:trPr>
          <w:trHeight w:val="62"/>
        </w:trPr>
        <w:tc>
          <w:tcPr>
            <w:tcW w:w="9639" w:type="dxa"/>
            <w:gridSpan w:val="6"/>
            <w:shd w:val="clear" w:color="auto" w:fill="auto"/>
          </w:tcPr>
          <w:p w14:paraId="1A2C0FD2" w14:textId="77777777" w:rsidR="00C12517" w:rsidRPr="00380B40" w:rsidRDefault="00C12517" w:rsidP="00D559E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r>
      <w:tr w:rsidR="00C12517" w:rsidRPr="004E0F36" w14:paraId="0C5EAD62" w14:textId="77777777" w:rsidTr="00DE1739">
        <w:tc>
          <w:tcPr>
            <w:tcW w:w="9639" w:type="dxa"/>
            <w:gridSpan w:val="6"/>
            <w:shd w:val="clear" w:color="auto" w:fill="auto"/>
            <w:hideMark/>
          </w:tcPr>
          <w:p w14:paraId="4F0BA250" w14:textId="77777777" w:rsidR="00C12517" w:rsidRPr="00380B40" w:rsidRDefault="00C12517" w:rsidP="00D559E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lang w:val="en-GB"/>
              </w:rPr>
            </w:pPr>
            <w:r w:rsidRPr="00380B40">
              <w:rPr>
                <w:b/>
                <w:bCs/>
                <w:sz w:val="20"/>
                <w:lang w:val="en-GB"/>
              </w:rPr>
              <w:t>Liaisons with other study groups or with other standards bodies:</w:t>
            </w:r>
          </w:p>
        </w:tc>
      </w:tr>
      <w:tr w:rsidR="00C12517" w:rsidRPr="004E0F36" w14:paraId="35338C62" w14:textId="77777777" w:rsidTr="00DE1739">
        <w:trPr>
          <w:trHeight w:val="142"/>
        </w:trPr>
        <w:tc>
          <w:tcPr>
            <w:tcW w:w="9639" w:type="dxa"/>
            <w:gridSpan w:val="6"/>
            <w:shd w:val="clear" w:color="auto" w:fill="auto"/>
          </w:tcPr>
          <w:p w14:paraId="272E45AC" w14:textId="77777777" w:rsidR="00C12517" w:rsidRPr="00380B40" w:rsidRDefault="00C12517" w:rsidP="00D559E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r>
      <w:tr w:rsidR="00C12517" w:rsidRPr="004E0F36" w14:paraId="53A821F2" w14:textId="77777777" w:rsidTr="00DE1739">
        <w:tc>
          <w:tcPr>
            <w:tcW w:w="9639" w:type="dxa"/>
            <w:gridSpan w:val="6"/>
            <w:shd w:val="clear" w:color="auto" w:fill="auto"/>
            <w:hideMark/>
          </w:tcPr>
          <w:p w14:paraId="159D6E96" w14:textId="77777777" w:rsidR="00C12517" w:rsidRPr="00380B40" w:rsidRDefault="00C12517" w:rsidP="00D559E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lang w:val="en-GB"/>
              </w:rPr>
            </w:pPr>
            <w:r w:rsidRPr="00380B40">
              <w:rPr>
                <w:b/>
                <w:bCs/>
                <w:sz w:val="20"/>
                <w:lang w:val="en-GB"/>
              </w:rPr>
              <w:t>Supporting members that are committing to contributing actively to the work item:</w:t>
            </w:r>
          </w:p>
        </w:tc>
      </w:tr>
      <w:tr w:rsidR="00C12517" w:rsidRPr="004E0F36" w14:paraId="3401B78C" w14:textId="77777777" w:rsidTr="00DE1739">
        <w:trPr>
          <w:trHeight w:val="222"/>
        </w:trPr>
        <w:tc>
          <w:tcPr>
            <w:tcW w:w="9639" w:type="dxa"/>
            <w:gridSpan w:val="6"/>
            <w:shd w:val="clear" w:color="auto" w:fill="auto"/>
            <w:hideMark/>
          </w:tcPr>
          <w:p w14:paraId="742B1641" w14:textId="77777777" w:rsidR="00C12517" w:rsidRPr="00380B40" w:rsidRDefault="00C12517" w:rsidP="00D559E0">
            <w:pPr>
              <w:pStyle w:val="Tabletext"/>
              <w:rPr>
                <w:sz w:val="20"/>
                <w:lang w:val="en-GB"/>
              </w:rPr>
            </w:pPr>
            <w:r w:rsidRPr="00380B40">
              <w:rPr>
                <w:sz w:val="20"/>
                <w:lang w:val="en-GB"/>
              </w:rPr>
              <w:t>&lt;Member States, Sector Members, Associates, Academia&gt;</w:t>
            </w:r>
          </w:p>
        </w:tc>
      </w:tr>
    </w:tbl>
    <w:p w14:paraId="40EB3A1F" w14:textId="77777777" w:rsidR="00C12517" w:rsidRPr="00380B40" w:rsidRDefault="00C12517" w:rsidP="00E96E4D">
      <w:pPr>
        <w:rPr>
          <w:lang w:val="en-GB"/>
        </w:rPr>
      </w:pPr>
      <w:bookmarkStart w:id="742" w:name="_Toc532428478"/>
      <w:bookmarkStart w:id="743" w:name="_Toc471716654"/>
      <w:bookmarkStart w:id="744" w:name="_Toc20738337"/>
    </w:p>
    <w:p w14:paraId="1B217CF3" w14:textId="77777777" w:rsidR="00E96E4D" w:rsidRPr="00380B40" w:rsidRDefault="00E96E4D" w:rsidP="00E96E4D">
      <w:pPr>
        <w:rPr>
          <w:lang w:val="en-GB"/>
        </w:rPr>
      </w:pPr>
    </w:p>
    <w:p w14:paraId="6EC326E7" w14:textId="77777777" w:rsidR="00E96E4D" w:rsidRPr="00380B40" w:rsidRDefault="00E96E4D" w:rsidP="00E96E4D">
      <w:pPr>
        <w:rPr>
          <w:lang w:val="en-GB"/>
        </w:rPr>
      </w:pPr>
    </w:p>
    <w:p w14:paraId="4FB867B3" w14:textId="77777777" w:rsidR="00E96E4D" w:rsidRPr="00380B40" w:rsidRDefault="00E96E4D" w:rsidP="00E96E4D">
      <w:pPr>
        <w:rPr>
          <w:lang w:val="en-GB"/>
        </w:rPr>
      </w:pPr>
    </w:p>
    <w:p w14:paraId="706F1A90" w14:textId="77777777" w:rsidR="00E96E4D" w:rsidRPr="00380B40" w:rsidRDefault="00E96E4D" w:rsidP="00E96E4D">
      <w:pPr>
        <w:rPr>
          <w:lang w:val="en-GB"/>
        </w:rPr>
      </w:pPr>
    </w:p>
    <w:p w14:paraId="715AECA9" w14:textId="77777777" w:rsidR="00E96E4D" w:rsidRPr="00380B40" w:rsidRDefault="00E96E4D" w:rsidP="00E96E4D">
      <w:pPr>
        <w:rPr>
          <w:lang w:val="en-GB"/>
        </w:rPr>
      </w:pPr>
    </w:p>
    <w:p w14:paraId="48361464" w14:textId="77777777" w:rsidR="00E96E4D" w:rsidRPr="00380B40" w:rsidRDefault="00E96E4D" w:rsidP="00E96E4D">
      <w:pPr>
        <w:rPr>
          <w:lang w:val="en-GB"/>
        </w:rPr>
      </w:pPr>
    </w:p>
    <w:p w14:paraId="5DB92A0D" w14:textId="77777777" w:rsidR="00E96E4D" w:rsidRPr="00380B40" w:rsidRDefault="00E96E4D" w:rsidP="00E96E4D">
      <w:pPr>
        <w:rPr>
          <w:lang w:val="en-GB"/>
        </w:rPr>
      </w:pPr>
    </w:p>
    <w:p w14:paraId="238F19E1" w14:textId="77777777" w:rsidR="00E96E4D" w:rsidRPr="00380B40" w:rsidRDefault="00E96E4D" w:rsidP="00E96E4D">
      <w:pPr>
        <w:rPr>
          <w:lang w:val="en-GB"/>
        </w:rPr>
      </w:pPr>
    </w:p>
    <w:p w14:paraId="43E08875" w14:textId="77777777" w:rsidR="00E96E4D" w:rsidRPr="00380B40" w:rsidRDefault="00E96E4D" w:rsidP="00E96E4D">
      <w:pPr>
        <w:rPr>
          <w:lang w:val="en-GB"/>
        </w:rPr>
      </w:pPr>
    </w:p>
    <w:p w14:paraId="17DFC16E" w14:textId="77777777" w:rsidR="00E96E4D" w:rsidRPr="00380B40" w:rsidRDefault="00E96E4D" w:rsidP="00E96E4D">
      <w:pPr>
        <w:rPr>
          <w:lang w:val="en-GB"/>
        </w:rPr>
      </w:pPr>
    </w:p>
    <w:p w14:paraId="7E0C5307" w14:textId="77777777" w:rsidR="00E96E4D" w:rsidRPr="00380B40" w:rsidRDefault="00E96E4D" w:rsidP="00E96E4D">
      <w:pPr>
        <w:rPr>
          <w:lang w:val="en-GB"/>
        </w:rPr>
      </w:pPr>
    </w:p>
    <w:p w14:paraId="39DA2AFB" w14:textId="77777777" w:rsidR="00C12517" w:rsidRPr="00380B40" w:rsidRDefault="00C12517" w:rsidP="00E96E4D">
      <w:pPr>
        <w:rPr>
          <w:b/>
          <w:sz w:val="28"/>
          <w:lang w:val="en-GB"/>
        </w:rPr>
      </w:pPr>
      <w:r w:rsidRPr="00380B40">
        <w:rPr>
          <w:lang w:val="en-GB"/>
        </w:rPr>
        <w:br w:type="page"/>
      </w:r>
    </w:p>
    <w:p w14:paraId="01AFA758" w14:textId="77777777" w:rsidR="005F3BBF" w:rsidRPr="00C777D4" w:rsidRDefault="00C12517" w:rsidP="005F3BBF">
      <w:pPr>
        <w:pStyle w:val="AppendixNo"/>
        <w:rPr>
          <w:lang w:val="fr-FR"/>
        </w:rPr>
      </w:pPr>
      <w:bookmarkStart w:id="745" w:name="_Toc21093751"/>
      <w:bookmarkStart w:id="746" w:name="_Toc22280360"/>
      <w:r w:rsidRPr="00C777D4">
        <w:rPr>
          <w:lang w:val="fr-FR"/>
        </w:rPr>
        <w:t>Appendix I</w:t>
      </w:r>
      <w:bookmarkStart w:id="747" w:name="_Toc88457393"/>
      <w:bookmarkEnd w:id="742"/>
    </w:p>
    <w:p w14:paraId="4AB38B5F" w14:textId="77777777" w:rsidR="00C12517" w:rsidRPr="00C777D4" w:rsidRDefault="00C12517" w:rsidP="005F3BBF">
      <w:pPr>
        <w:pStyle w:val="Appendixtitle"/>
        <w:rPr>
          <w:lang w:val="fr-FR"/>
        </w:rPr>
      </w:pPr>
      <w:r w:rsidRPr="00C777D4">
        <w:rPr>
          <w:lang w:val="fr-FR"/>
        </w:rPr>
        <w:t>Rapporteur progress report format</w:t>
      </w:r>
      <w:bookmarkEnd w:id="743"/>
      <w:bookmarkEnd w:id="744"/>
      <w:bookmarkEnd w:id="745"/>
      <w:bookmarkEnd w:id="746"/>
      <w:bookmarkEnd w:id="747"/>
    </w:p>
    <w:p w14:paraId="64F6A264" w14:textId="77777777" w:rsidR="00C12517" w:rsidRPr="00380B40" w:rsidRDefault="00C12517" w:rsidP="00C12517">
      <w:pPr>
        <w:pStyle w:val="Appendixref"/>
      </w:pPr>
      <w:r w:rsidRPr="00380B40">
        <w:t>(This appendix does not form an integral part of this Recommendation.)</w:t>
      </w:r>
    </w:p>
    <w:p w14:paraId="64C0AFDE" w14:textId="77777777" w:rsidR="00C12517" w:rsidRPr="00380B40" w:rsidRDefault="00C12517" w:rsidP="00C12517">
      <w:pPr>
        <w:pStyle w:val="Normalaftertitle0"/>
        <w:spacing w:before="120" w:after="120"/>
      </w:pPr>
      <w:r w:rsidRPr="00380B40">
        <w:t>The following format is recommended for the progress reports of rapporteurs to enable a maximum transfer of information to all concerned:</w:t>
      </w:r>
    </w:p>
    <w:p w14:paraId="4F27B3CF" w14:textId="77777777" w:rsidR="00C12517" w:rsidRPr="00380B40" w:rsidRDefault="00C12517" w:rsidP="00C12517">
      <w:pPr>
        <w:pStyle w:val="enumlev1"/>
        <w:rPr>
          <w:lang w:val="en-GB"/>
        </w:rPr>
      </w:pPr>
      <w:r w:rsidRPr="00380B40">
        <w:rPr>
          <w:i/>
          <w:iCs/>
          <w:lang w:val="en-GB"/>
        </w:rPr>
        <w:t>a)</w:t>
      </w:r>
      <w:r w:rsidRPr="00380B40">
        <w:rPr>
          <w:lang w:val="en-GB"/>
        </w:rPr>
        <w:tab/>
      </w:r>
      <w:r w:rsidRPr="00380B40">
        <w:rPr>
          <w:spacing w:val="-1"/>
          <w:lang w:val="en-GB"/>
        </w:rPr>
        <w:t>brief</w:t>
      </w:r>
      <w:r w:rsidRPr="00380B40">
        <w:rPr>
          <w:lang w:val="en-GB"/>
        </w:rPr>
        <w:t xml:space="preserve"> summary</w:t>
      </w:r>
      <w:r w:rsidRPr="00380B40">
        <w:rPr>
          <w:spacing w:val="-5"/>
          <w:lang w:val="en-GB"/>
        </w:rPr>
        <w:t xml:space="preserve"> </w:t>
      </w:r>
      <w:r w:rsidRPr="00380B40">
        <w:rPr>
          <w:lang w:val="en-GB"/>
        </w:rPr>
        <w:t>of</w:t>
      </w:r>
      <w:r w:rsidRPr="00380B40">
        <w:rPr>
          <w:spacing w:val="1"/>
          <w:lang w:val="en-GB"/>
        </w:rPr>
        <w:t xml:space="preserve"> </w:t>
      </w:r>
      <w:r w:rsidRPr="00380B40">
        <w:rPr>
          <w:lang w:val="en-GB"/>
        </w:rPr>
        <w:t xml:space="preserve">contents of </w:t>
      </w:r>
      <w:r w:rsidRPr="00380B40">
        <w:rPr>
          <w:spacing w:val="-1"/>
          <w:lang w:val="en-GB"/>
        </w:rPr>
        <w:t>report;</w:t>
      </w:r>
    </w:p>
    <w:p w14:paraId="4129F613" w14:textId="77777777" w:rsidR="00C12517" w:rsidRPr="00380B40" w:rsidRDefault="00C12517" w:rsidP="00C12517">
      <w:pPr>
        <w:pStyle w:val="enumlev1"/>
        <w:rPr>
          <w:lang w:val="en-GB"/>
        </w:rPr>
      </w:pPr>
      <w:r w:rsidRPr="00380B40">
        <w:rPr>
          <w:i/>
          <w:iCs/>
          <w:lang w:val="en-GB"/>
        </w:rPr>
        <w:t>b)</w:t>
      </w:r>
      <w:r w:rsidRPr="00380B40">
        <w:rPr>
          <w:lang w:val="en-GB"/>
        </w:rPr>
        <w:tab/>
      </w:r>
      <w:r w:rsidRPr="00380B40">
        <w:rPr>
          <w:spacing w:val="-1"/>
          <w:lang w:val="en-GB"/>
        </w:rPr>
        <w:t>conclusions</w:t>
      </w:r>
      <w:r w:rsidRPr="00380B40">
        <w:rPr>
          <w:lang w:val="en-GB"/>
        </w:rPr>
        <w:t xml:space="preserve"> or </w:t>
      </w:r>
      <w:r w:rsidRPr="00380B40">
        <w:rPr>
          <w:spacing w:val="-1"/>
          <w:lang w:val="en-GB"/>
        </w:rPr>
        <w:t>Recommendations</w:t>
      </w:r>
      <w:r w:rsidRPr="00380B40">
        <w:rPr>
          <w:lang w:val="en-GB"/>
        </w:rPr>
        <w:t xml:space="preserve"> </w:t>
      </w:r>
      <w:r w:rsidRPr="00380B40">
        <w:rPr>
          <w:spacing w:val="-1"/>
          <w:lang w:val="en-GB"/>
        </w:rPr>
        <w:t>sought</w:t>
      </w:r>
      <w:r w:rsidRPr="00380B40">
        <w:rPr>
          <w:lang w:val="en-GB"/>
        </w:rPr>
        <w:t xml:space="preserve"> to be</w:t>
      </w:r>
      <w:r w:rsidRPr="00380B40">
        <w:rPr>
          <w:spacing w:val="-1"/>
          <w:lang w:val="en-GB"/>
        </w:rPr>
        <w:t xml:space="preserve"> endorsed;</w:t>
      </w:r>
    </w:p>
    <w:p w14:paraId="01D203A2" w14:textId="77777777" w:rsidR="00C12517" w:rsidRPr="00380B40" w:rsidRDefault="00C12517" w:rsidP="00C12517">
      <w:pPr>
        <w:pStyle w:val="enumlev1"/>
        <w:rPr>
          <w:i/>
          <w:iCs/>
          <w:lang w:val="en-GB"/>
        </w:rPr>
      </w:pPr>
      <w:r w:rsidRPr="00380B40">
        <w:rPr>
          <w:i/>
          <w:iCs/>
          <w:lang w:val="en-GB"/>
        </w:rPr>
        <w:t>c)</w:t>
      </w:r>
      <w:r w:rsidRPr="00380B40">
        <w:rPr>
          <w:i/>
          <w:iCs/>
          <w:lang w:val="en-GB"/>
        </w:rPr>
        <w:tab/>
        <w:t>status of work with reference to work plan, including baseline document if available;</w:t>
      </w:r>
    </w:p>
    <w:p w14:paraId="70E21153" w14:textId="77777777" w:rsidR="00C12517" w:rsidRPr="00380B40" w:rsidRDefault="00C12517" w:rsidP="00C12517">
      <w:pPr>
        <w:pStyle w:val="enumlev1"/>
        <w:rPr>
          <w:lang w:val="en-GB"/>
        </w:rPr>
      </w:pPr>
      <w:r w:rsidRPr="00380B40">
        <w:rPr>
          <w:i/>
          <w:iCs/>
          <w:lang w:val="en-GB"/>
        </w:rPr>
        <w:t>d)</w:t>
      </w:r>
      <w:r w:rsidRPr="00380B40">
        <w:rPr>
          <w:lang w:val="en-GB"/>
        </w:rPr>
        <w:tab/>
      </w:r>
      <w:r w:rsidRPr="00380B40">
        <w:rPr>
          <w:spacing w:val="-1"/>
          <w:lang w:val="en-GB"/>
        </w:rPr>
        <w:t>draft</w:t>
      </w:r>
      <w:r w:rsidRPr="00380B40">
        <w:rPr>
          <w:lang w:val="en-GB"/>
        </w:rPr>
        <w:t xml:space="preserve"> </w:t>
      </w:r>
      <w:r w:rsidRPr="00380B40">
        <w:rPr>
          <w:spacing w:val="-1"/>
          <w:lang w:val="en-GB"/>
        </w:rPr>
        <w:t>new</w:t>
      </w:r>
      <w:r w:rsidRPr="00380B40">
        <w:rPr>
          <w:lang w:val="en-GB"/>
        </w:rPr>
        <w:t xml:space="preserve"> or </w:t>
      </w:r>
      <w:r w:rsidRPr="00380B40">
        <w:rPr>
          <w:spacing w:val="-1"/>
          <w:lang w:val="en-GB"/>
        </w:rPr>
        <w:t>draft</w:t>
      </w:r>
      <w:r w:rsidRPr="00380B40">
        <w:rPr>
          <w:lang w:val="en-GB"/>
        </w:rPr>
        <w:t xml:space="preserve"> </w:t>
      </w:r>
      <w:r w:rsidRPr="00380B40">
        <w:rPr>
          <w:spacing w:val="-1"/>
          <w:lang w:val="en-GB"/>
        </w:rPr>
        <w:t>revised</w:t>
      </w:r>
      <w:r w:rsidRPr="00380B40">
        <w:rPr>
          <w:spacing w:val="1"/>
          <w:lang w:val="en-GB"/>
        </w:rPr>
        <w:t xml:space="preserve"> </w:t>
      </w:r>
      <w:r w:rsidRPr="00380B40">
        <w:rPr>
          <w:spacing w:val="-1"/>
          <w:lang w:val="en-GB"/>
        </w:rPr>
        <w:t>Recommendations;</w:t>
      </w:r>
    </w:p>
    <w:p w14:paraId="2BBF9531" w14:textId="77777777" w:rsidR="00C12517" w:rsidRPr="00380B40" w:rsidRDefault="00C12517" w:rsidP="00C12517">
      <w:pPr>
        <w:pStyle w:val="enumlev1"/>
        <w:rPr>
          <w:lang w:val="en-GB"/>
        </w:rPr>
      </w:pPr>
      <w:r w:rsidRPr="00380B40">
        <w:rPr>
          <w:i/>
          <w:iCs/>
          <w:lang w:val="en-GB"/>
        </w:rPr>
        <w:t>e)</w:t>
      </w:r>
      <w:r w:rsidRPr="00380B40">
        <w:rPr>
          <w:lang w:val="en-GB"/>
        </w:rPr>
        <w:tab/>
      </w:r>
      <w:r w:rsidRPr="00380B40">
        <w:rPr>
          <w:spacing w:val="-1"/>
          <w:lang w:val="en-GB"/>
        </w:rPr>
        <w:t>draft</w:t>
      </w:r>
      <w:r w:rsidRPr="00380B40">
        <w:rPr>
          <w:lang w:val="en-GB"/>
        </w:rPr>
        <w:t xml:space="preserve"> </w:t>
      </w:r>
      <w:r w:rsidRPr="00380B40">
        <w:rPr>
          <w:spacing w:val="-1"/>
          <w:lang w:val="en-GB"/>
        </w:rPr>
        <w:t>liaison</w:t>
      </w:r>
      <w:r w:rsidRPr="00380B40">
        <w:rPr>
          <w:lang w:val="en-GB"/>
        </w:rPr>
        <w:t xml:space="preserve"> in </w:t>
      </w:r>
      <w:r w:rsidRPr="00380B40">
        <w:rPr>
          <w:spacing w:val="-1"/>
          <w:lang w:val="en-GB"/>
        </w:rPr>
        <w:t>response</w:t>
      </w:r>
      <w:r w:rsidRPr="00380B40">
        <w:rPr>
          <w:lang w:val="en-GB"/>
        </w:rPr>
        <w:t xml:space="preserve"> </w:t>
      </w:r>
      <w:r w:rsidRPr="00380B40">
        <w:rPr>
          <w:spacing w:val="1"/>
          <w:lang w:val="en-GB"/>
        </w:rPr>
        <w:t>to</w:t>
      </w:r>
      <w:r w:rsidRPr="00380B40">
        <w:rPr>
          <w:lang w:val="en-GB"/>
        </w:rPr>
        <w:t xml:space="preserve"> or </w:t>
      </w:r>
      <w:r w:rsidRPr="00380B40">
        <w:rPr>
          <w:spacing w:val="-1"/>
          <w:lang w:val="en-GB"/>
        </w:rPr>
        <w:t>requesting</w:t>
      </w:r>
      <w:r w:rsidRPr="00380B40">
        <w:rPr>
          <w:spacing w:val="-3"/>
          <w:lang w:val="en-GB"/>
        </w:rPr>
        <w:t xml:space="preserve"> </w:t>
      </w:r>
      <w:r w:rsidRPr="00380B40">
        <w:rPr>
          <w:lang w:val="en-GB"/>
        </w:rPr>
        <w:t xml:space="preserve">action </w:t>
      </w:r>
      <w:r w:rsidRPr="00380B40">
        <w:rPr>
          <w:spacing w:val="1"/>
          <w:lang w:val="en-GB"/>
        </w:rPr>
        <w:t>by</w:t>
      </w:r>
      <w:r w:rsidRPr="00380B40">
        <w:rPr>
          <w:spacing w:val="-3"/>
          <w:lang w:val="en-GB"/>
        </w:rPr>
        <w:t xml:space="preserve"> </w:t>
      </w:r>
      <w:r w:rsidRPr="00380B40">
        <w:rPr>
          <w:lang w:val="en-GB"/>
        </w:rPr>
        <w:t>other</w:t>
      </w:r>
      <w:r w:rsidRPr="00380B40">
        <w:rPr>
          <w:spacing w:val="-2"/>
          <w:lang w:val="en-GB"/>
        </w:rPr>
        <w:t xml:space="preserve"> </w:t>
      </w:r>
      <w:r w:rsidRPr="00380B40">
        <w:rPr>
          <w:lang w:val="en-GB"/>
        </w:rPr>
        <w:t>study</w:t>
      </w:r>
      <w:r w:rsidRPr="00380B40">
        <w:rPr>
          <w:spacing w:val="-3"/>
          <w:lang w:val="en-GB"/>
        </w:rPr>
        <w:t xml:space="preserve"> </w:t>
      </w:r>
      <w:r w:rsidRPr="00380B40">
        <w:rPr>
          <w:spacing w:val="-1"/>
          <w:lang w:val="en-GB"/>
        </w:rPr>
        <w:t>groups</w:t>
      </w:r>
      <w:r w:rsidRPr="00380B40">
        <w:rPr>
          <w:lang w:val="en-GB"/>
        </w:rPr>
        <w:t xml:space="preserve"> or </w:t>
      </w:r>
      <w:r w:rsidRPr="00380B40">
        <w:rPr>
          <w:spacing w:val="-1"/>
          <w:lang w:val="en-GB"/>
        </w:rPr>
        <w:t>organizations;</w:t>
      </w:r>
    </w:p>
    <w:p w14:paraId="6FCB42E7" w14:textId="77777777" w:rsidR="00C12517" w:rsidRPr="00380B40" w:rsidRDefault="00C12517" w:rsidP="00C12517">
      <w:pPr>
        <w:pStyle w:val="enumlev1"/>
        <w:rPr>
          <w:lang w:val="en-GB"/>
        </w:rPr>
      </w:pPr>
      <w:r w:rsidRPr="00380B40">
        <w:rPr>
          <w:i/>
          <w:iCs/>
          <w:lang w:val="en-GB"/>
        </w:rPr>
        <w:t>f)</w:t>
      </w:r>
      <w:r w:rsidRPr="00380B40">
        <w:rPr>
          <w:lang w:val="en-GB"/>
        </w:rPr>
        <w:tab/>
      </w:r>
      <w:r w:rsidRPr="00380B40">
        <w:rPr>
          <w:spacing w:val="-1"/>
          <w:lang w:val="en-GB"/>
        </w:rPr>
        <w:t>reference</w:t>
      </w:r>
      <w:r w:rsidRPr="00380B40">
        <w:rPr>
          <w:spacing w:val="15"/>
          <w:lang w:val="en-GB"/>
        </w:rPr>
        <w:t xml:space="preserve"> </w:t>
      </w:r>
      <w:r w:rsidRPr="00380B40">
        <w:rPr>
          <w:lang w:val="en-GB"/>
        </w:rPr>
        <w:t>to</w:t>
      </w:r>
      <w:r w:rsidRPr="00380B40">
        <w:rPr>
          <w:spacing w:val="17"/>
          <w:lang w:val="en-GB"/>
        </w:rPr>
        <w:t xml:space="preserve"> </w:t>
      </w:r>
      <w:r w:rsidRPr="00380B40">
        <w:rPr>
          <w:spacing w:val="-1"/>
          <w:lang w:val="en-GB"/>
        </w:rPr>
        <w:t>contributions</w:t>
      </w:r>
      <w:r w:rsidRPr="00380B40">
        <w:rPr>
          <w:spacing w:val="17"/>
          <w:lang w:val="en-GB"/>
        </w:rPr>
        <w:t xml:space="preserve"> </w:t>
      </w:r>
      <w:r w:rsidRPr="00380B40">
        <w:rPr>
          <w:spacing w:val="-1"/>
          <w:lang w:val="en-GB"/>
        </w:rPr>
        <w:t>considered</w:t>
      </w:r>
      <w:r w:rsidRPr="00380B40">
        <w:rPr>
          <w:spacing w:val="16"/>
          <w:lang w:val="en-GB"/>
        </w:rPr>
        <w:t xml:space="preserve"> </w:t>
      </w:r>
      <w:r w:rsidRPr="00380B40">
        <w:rPr>
          <w:spacing w:val="-1"/>
          <w:lang w:val="en-GB"/>
        </w:rPr>
        <w:t>part</w:t>
      </w:r>
      <w:r w:rsidRPr="00380B40">
        <w:rPr>
          <w:spacing w:val="16"/>
          <w:lang w:val="en-GB"/>
        </w:rPr>
        <w:t xml:space="preserve"> </w:t>
      </w:r>
      <w:r w:rsidRPr="00380B40">
        <w:rPr>
          <w:lang w:val="en-GB"/>
        </w:rPr>
        <w:t>of</w:t>
      </w:r>
      <w:r w:rsidRPr="00380B40">
        <w:rPr>
          <w:spacing w:val="15"/>
          <w:lang w:val="en-GB"/>
        </w:rPr>
        <w:t xml:space="preserve"> </w:t>
      </w:r>
      <w:r w:rsidRPr="00380B40">
        <w:rPr>
          <w:spacing w:val="-1"/>
          <w:lang w:val="en-GB"/>
        </w:rPr>
        <w:t>assigned</w:t>
      </w:r>
      <w:r w:rsidRPr="00380B40">
        <w:rPr>
          <w:spacing w:val="16"/>
          <w:lang w:val="en-GB"/>
        </w:rPr>
        <w:t xml:space="preserve"> </w:t>
      </w:r>
      <w:r w:rsidRPr="00380B40">
        <w:rPr>
          <w:spacing w:val="1"/>
          <w:lang w:val="en-GB"/>
        </w:rPr>
        <w:t>study</w:t>
      </w:r>
      <w:r w:rsidRPr="00380B40">
        <w:rPr>
          <w:spacing w:val="11"/>
          <w:lang w:val="en-GB"/>
        </w:rPr>
        <w:t xml:space="preserve"> </w:t>
      </w:r>
      <w:r w:rsidRPr="00380B40">
        <w:rPr>
          <w:spacing w:val="-1"/>
          <w:lang w:val="en-GB"/>
        </w:rPr>
        <w:t>and</w:t>
      </w:r>
      <w:r w:rsidRPr="00380B40">
        <w:rPr>
          <w:spacing w:val="16"/>
          <w:lang w:val="en-GB"/>
        </w:rPr>
        <w:t xml:space="preserve"> </w:t>
      </w:r>
      <w:r w:rsidRPr="00380B40">
        <w:rPr>
          <w:lang w:val="en-GB"/>
        </w:rPr>
        <w:t>summary</w:t>
      </w:r>
      <w:r w:rsidRPr="00380B40">
        <w:rPr>
          <w:spacing w:val="14"/>
          <w:lang w:val="en-GB"/>
        </w:rPr>
        <w:t xml:space="preserve"> </w:t>
      </w:r>
      <w:r w:rsidRPr="00380B40">
        <w:rPr>
          <w:lang w:val="en-GB"/>
        </w:rPr>
        <w:t>of</w:t>
      </w:r>
      <w:r w:rsidRPr="00380B40">
        <w:rPr>
          <w:spacing w:val="15"/>
          <w:lang w:val="en-GB"/>
        </w:rPr>
        <w:t xml:space="preserve"> </w:t>
      </w:r>
      <w:r w:rsidRPr="00380B40">
        <w:rPr>
          <w:spacing w:val="-1"/>
          <w:lang w:val="en-GB"/>
        </w:rPr>
        <w:t>contributions</w:t>
      </w:r>
      <w:r w:rsidRPr="00380B40">
        <w:rPr>
          <w:spacing w:val="89"/>
          <w:lang w:val="en-GB"/>
        </w:rPr>
        <w:t xml:space="preserve"> </w:t>
      </w:r>
      <w:r w:rsidRPr="00380B40">
        <w:rPr>
          <w:spacing w:val="-1"/>
          <w:lang w:val="en-GB"/>
        </w:rPr>
        <w:t>considered</w:t>
      </w:r>
      <w:r w:rsidRPr="00380B40">
        <w:rPr>
          <w:spacing w:val="2"/>
          <w:lang w:val="en-GB"/>
        </w:rPr>
        <w:t xml:space="preserve"> </w:t>
      </w:r>
      <w:r w:rsidRPr="00380B40">
        <w:rPr>
          <w:spacing w:val="-1"/>
          <w:lang w:val="en-GB"/>
        </w:rPr>
        <w:t>at</w:t>
      </w:r>
      <w:r w:rsidRPr="00380B40">
        <w:rPr>
          <w:lang w:val="en-GB"/>
        </w:rPr>
        <w:t xml:space="preserve"> </w:t>
      </w:r>
      <w:r w:rsidRPr="00380B40">
        <w:rPr>
          <w:spacing w:val="-1"/>
          <w:lang w:val="en-GB"/>
        </w:rPr>
        <w:t>rapporteur</w:t>
      </w:r>
      <w:r w:rsidRPr="00380B40">
        <w:rPr>
          <w:spacing w:val="1"/>
          <w:lang w:val="en-GB"/>
        </w:rPr>
        <w:t xml:space="preserve"> </w:t>
      </w:r>
      <w:r w:rsidRPr="00380B40">
        <w:rPr>
          <w:spacing w:val="-1"/>
          <w:lang w:val="en-GB"/>
        </w:rPr>
        <w:t>group meetings</w:t>
      </w:r>
      <w:r w:rsidRPr="00380B40">
        <w:rPr>
          <w:spacing w:val="2"/>
          <w:lang w:val="en-GB"/>
        </w:rPr>
        <w:t xml:space="preserve"> </w:t>
      </w:r>
      <w:r w:rsidRPr="00380B40">
        <w:rPr>
          <w:spacing w:val="-1"/>
          <w:lang w:val="en-GB"/>
        </w:rPr>
        <w:t>(see</w:t>
      </w:r>
      <w:r w:rsidRPr="00380B40">
        <w:rPr>
          <w:spacing w:val="1"/>
          <w:lang w:val="en-GB"/>
        </w:rPr>
        <w:t xml:space="preserve"> </w:t>
      </w:r>
      <w:r w:rsidRPr="00380B40">
        <w:rPr>
          <w:spacing w:val="-1"/>
          <w:lang w:val="en-GB"/>
        </w:rPr>
        <w:t>Note);</w:t>
      </w:r>
    </w:p>
    <w:p w14:paraId="63D28A68" w14:textId="77777777" w:rsidR="00C12517" w:rsidRPr="00380B40" w:rsidRDefault="00C12517" w:rsidP="00C12517">
      <w:pPr>
        <w:pStyle w:val="enumlev1"/>
        <w:rPr>
          <w:lang w:val="en-GB"/>
        </w:rPr>
      </w:pPr>
      <w:r w:rsidRPr="00380B40">
        <w:rPr>
          <w:i/>
          <w:iCs/>
          <w:lang w:val="en-GB"/>
        </w:rPr>
        <w:t>g)</w:t>
      </w:r>
      <w:r w:rsidRPr="00380B40">
        <w:rPr>
          <w:lang w:val="en-GB"/>
        </w:rPr>
        <w:tab/>
      </w:r>
      <w:r w:rsidRPr="00380B40">
        <w:rPr>
          <w:spacing w:val="-1"/>
          <w:lang w:val="en-GB"/>
        </w:rPr>
        <w:t xml:space="preserve">reference </w:t>
      </w:r>
      <w:r w:rsidRPr="00380B40">
        <w:rPr>
          <w:lang w:val="en-GB"/>
        </w:rPr>
        <w:t xml:space="preserve">to liaison statements from </w:t>
      </w:r>
      <w:r w:rsidRPr="00380B40">
        <w:rPr>
          <w:spacing w:val="-1"/>
          <w:lang w:val="en-GB"/>
        </w:rPr>
        <w:t>other</w:t>
      </w:r>
      <w:r w:rsidRPr="00380B40">
        <w:rPr>
          <w:lang w:val="en-GB"/>
        </w:rPr>
        <w:t xml:space="preserve"> </w:t>
      </w:r>
      <w:r w:rsidRPr="00380B40">
        <w:rPr>
          <w:spacing w:val="-1"/>
          <w:lang w:val="en-GB"/>
        </w:rPr>
        <w:t>organizations;</w:t>
      </w:r>
    </w:p>
    <w:p w14:paraId="1F14A69A" w14:textId="77777777" w:rsidR="00C12517" w:rsidRPr="00380B40" w:rsidRDefault="00C12517" w:rsidP="00C12517">
      <w:pPr>
        <w:pStyle w:val="enumlev1"/>
        <w:rPr>
          <w:i/>
          <w:iCs/>
          <w:lang w:val="en-GB"/>
        </w:rPr>
      </w:pPr>
      <w:r w:rsidRPr="00380B40">
        <w:rPr>
          <w:i/>
          <w:iCs/>
          <w:lang w:val="en-GB"/>
        </w:rPr>
        <w:t>h)</w:t>
      </w:r>
      <w:r w:rsidRPr="00380B40">
        <w:rPr>
          <w:i/>
          <w:iCs/>
          <w:lang w:val="en-GB"/>
        </w:rPr>
        <w:tab/>
        <w:t>major issues remaining for resolution and draft agenda of future approved meeting, if any;</w:t>
      </w:r>
    </w:p>
    <w:p w14:paraId="76482E38" w14:textId="77777777" w:rsidR="00C12517" w:rsidRPr="00380B40" w:rsidRDefault="00C12517" w:rsidP="00C12517">
      <w:pPr>
        <w:pStyle w:val="enumlev1"/>
        <w:rPr>
          <w:lang w:val="en-GB"/>
        </w:rPr>
      </w:pPr>
      <w:r w:rsidRPr="00380B40">
        <w:rPr>
          <w:i/>
          <w:iCs/>
          <w:lang w:val="en-GB"/>
        </w:rPr>
        <w:t>i)</w:t>
      </w:r>
      <w:r w:rsidRPr="00380B40">
        <w:rPr>
          <w:lang w:val="en-GB"/>
        </w:rPr>
        <w:tab/>
      </w:r>
      <w:r w:rsidRPr="00380B40">
        <w:rPr>
          <w:spacing w:val="-1"/>
          <w:lang w:val="en-GB"/>
        </w:rPr>
        <w:t>response</w:t>
      </w:r>
      <w:r w:rsidRPr="00380B40">
        <w:rPr>
          <w:lang w:val="en-GB"/>
        </w:rPr>
        <w:t xml:space="preserve"> to </w:t>
      </w:r>
      <w:r w:rsidRPr="00380B40">
        <w:rPr>
          <w:spacing w:val="-1"/>
          <w:lang w:val="en-GB"/>
        </w:rPr>
        <w:t>question</w:t>
      </w:r>
      <w:r w:rsidRPr="00380B40">
        <w:rPr>
          <w:lang w:val="en-GB"/>
        </w:rPr>
        <w:t xml:space="preserve"> on knowledge</w:t>
      </w:r>
      <w:r w:rsidRPr="00380B40">
        <w:rPr>
          <w:spacing w:val="-1"/>
          <w:lang w:val="en-GB"/>
        </w:rPr>
        <w:t xml:space="preserve"> </w:t>
      </w:r>
      <w:r w:rsidRPr="00380B40">
        <w:rPr>
          <w:lang w:val="en-GB"/>
        </w:rPr>
        <w:t xml:space="preserve">of </w:t>
      </w:r>
      <w:r w:rsidRPr="00380B40">
        <w:rPr>
          <w:spacing w:val="-1"/>
          <w:lang w:val="en-GB"/>
        </w:rPr>
        <w:t>intellectual property rights issues, including patents, copyright for software or text, marks</w:t>
      </w:r>
      <w:r w:rsidRPr="00380B40">
        <w:rPr>
          <w:lang w:val="en-GB"/>
        </w:rPr>
        <w:t>;</w:t>
      </w:r>
    </w:p>
    <w:p w14:paraId="4A221719" w14:textId="77777777" w:rsidR="00C12517" w:rsidRPr="00380B40" w:rsidRDefault="00C12517" w:rsidP="00C12517">
      <w:pPr>
        <w:pStyle w:val="enumlev1"/>
        <w:rPr>
          <w:lang w:val="en-GB"/>
        </w:rPr>
      </w:pPr>
      <w:r w:rsidRPr="00380B40">
        <w:rPr>
          <w:i/>
          <w:iCs/>
          <w:lang w:val="en-GB"/>
        </w:rPr>
        <w:t>j)</w:t>
      </w:r>
      <w:r w:rsidRPr="00380B40">
        <w:rPr>
          <w:lang w:val="en-GB"/>
        </w:rPr>
        <w:tab/>
        <w:t xml:space="preserve">list of </w:t>
      </w:r>
      <w:r w:rsidRPr="00380B40">
        <w:rPr>
          <w:spacing w:val="-1"/>
          <w:lang w:val="en-GB"/>
        </w:rPr>
        <w:t>attendees</w:t>
      </w:r>
      <w:r w:rsidRPr="00380B40">
        <w:rPr>
          <w:lang w:val="en-GB"/>
        </w:rPr>
        <w:t xml:space="preserve"> </w:t>
      </w:r>
      <w:r w:rsidRPr="00380B40">
        <w:rPr>
          <w:spacing w:val="-1"/>
          <w:lang w:val="en-GB"/>
        </w:rPr>
        <w:t>at</w:t>
      </w:r>
      <w:r w:rsidRPr="00380B40">
        <w:rPr>
          <w:lang w:val="en-GB"/>
        </w:rPr>
        <w:t xml:space="preserve"> all </w:t>
      </w:r>
      <w:r w:rsidRPr="00380B40">
        <w:rPr>
          <w:spacing w:val="-1"/>
          <w:lang w:val="en-GB"/>
        </w:rPr>
        <w:t>meetings</w:t>
      </w:r>
      <w:r w:rsidRPr="00380B40">
        <w:rPr>
          <w:lang w:val="en-GB"/>
        </w:rPr>
        <w:t xml:space="preserve"> </w:t>
      </w:r>
      <w:r w:rsidRPr="00380B40">
        <w:rPr>
          <w:spacing w:val="-1"/>
          <w:lang w:val="en-GB"/>
        </w:rPr>
        <w:t>held</w:t>
      </w:r>
      <w:r w:rsidRPr="00380B40">
        <w:rPr>
          <w:lang w:val="en-GB"/>
        </w:rPr>
        <w:t xml:space="preserve"> since</w:t>
      </w:r>
      <w:r w:rsidRPr="00380B40">
        <w:rPr>
          <w:spacing w:val="-1"/>
          <w:lang w:val="en-GB"/>
        </w:rPr>
        <w:t xml:space="preserve"> </w:t>
      </w:r>
      <w:r w:rsidRPr="00380B40">
        <w:rPr>
          <w:lang w:val="en-GB"/>
        </w:rPr>
        <w:t xml:space="preserve">last </w:t>
      </w:r>
      <w:r w:rsidRPr="00380B40">
        <w:rPr>
          <w:spacing w:val="-1"/>
          <w:lang w:val="en-GB"/>
        </w:rPr>
        <w:t>progress</w:t>
      </w:r>
      <w:r w:rsidRPr="00380B40">
        <w:rPr>
          <w:spacing w:val="3"/>
          <w:lang w:val="en-GB"/>
        </w:rPr>
        <w:t xml:space="preserve"> </w:t>
      </w:r>
      <w:r w:rsidRPr="00380B40">
        <w:rPr>
          <w:lang w:val="en-GB"/>
        </w:rPr>
        <w:t>report.</w:t>
      </w:r>
    </w:p>
    <w:p w14:paraId="18DD048F" w14:textId="77777777" w:rsidR="00C12517" w:rsidRPr="00380B40" w:rsidRDefault="00C12517" w:rsidP="00C12517">
      <w:pPr>
        <w:rPr>
          <w:lang w:val="en-GB"/>
        </w:rPr>
      </w:pPr>
      <w:r w:rsidRPr="00380B40">
        <w:rPr>
          <w:lang w:val="en-GB"/>
        </w:rPr>
        <w:t>A</w:t>
      </w:r>
      <w:r w:rsidRPr="00380B40">
        <w:rPr>
          <w:spacing w:val="8"/>
          <w:lang w:val="en-GB"/>
        </w:rPr>
        <w:t xml:space="preserve"> </w:t>
      </w:r>
      <w:r w:rsidRPr="00380B40">
        <w:rPr>
          <w:spacing w:val="-1"/>
          <w:lang w:val="en-GB"/>
        </w:rPr>
        <w:t>meeting</w:t>
      </w:r>
      <w:r w:rsidRPr="00380B40">
        <w:rPr>
          <w:spacing w:val="9"/>
          <w:lang w:val="en-GB"/>
        </w:rPr>
        <w:t xml:space="preserve"> </w:t>
      </w:r>
      <w:r w:rsidRPr="00380B40">
        <w:rPr>
          <w:lang w:val="en-GB"/>
        </w:rPr>
        <w:t>report</w:t>
      </w:r>
      <w:r w:rsidRPr="00380B40">
        <w:rPr>
          <w:spacing w:val="9"/>
          <w:lang w:val="en-GB"/>
        </w:rPr>
        <w:t xml:space="preserve"> </w:t>
      </w:r>
      <w:r w:rsidRPr="00380B40">
        <w:rPr>
          <w:spacing w:val="-1"/>
          <w:lang w:val="en-GB"/>
        </w:rPr>
        <w:t>shall</w:t>
      </w:r>
      <w:r w:rsidRPr="00380B40">
        <w:rPr>
          <w:spacing w:val="10"/>
          <w:lang w:val="en-GB"/>
        </w:rPr>
        <w:t xml:space="preserve"> </w:t>
      </w:r>
      <w:r w:rsidRPr="00380B40">
        <w:rPr>
          <w:lang w:val="en-GB"/>
        </w:rPr>
        <w:t>clearly</w:t>
      </w:r>
      <w:r w:rsidRPr="00380B40">
        <w:rPr>
          <w:spacing w:val="4"/>
          <w:lang w:val="en-GB"/>
        </w:rPr>
        <w:t xml:space="preserve"> </w:t>
      </w:r>
      <w:r w:rsidRPr="00380B40">
        <w:rPr>
          <w:lang w:val="en-GB"/>
        </w:rPr>
        <w:t>indicate</w:t>
      </w:r>
      <w:r w:rsidRPr="00380B40">
        <w:rPr>
          <w:spacing w:val="8"/>
          <w:lang w:val="en-GB"/>
        </w:rPr>
        <w:t xml:space="preserve"> </w:t>
      </w:r>
      <w:r w:rsidRPr="00380B40">
        <w:rPr>
          <w:lang w:val="en-GB"/>
        </w:rPr>
        <w:t>in</w:t>
      </w:r>
      <w:r w:rsidRPr="00380B40">
        <w:rPr>
          <w:spacing w:val="9"/>
          <w:lang w:val="en-GB"/>
        </w:rPr>
        <w:t xml:space="preserve"> </w:t>
      </w:r>
      <w:r w:rsidRPr="00380B40">
        <w:rPr>
          <w:lang w:val="en-GB"/>
        </w:rPr>
        <w:t>its</w:t>
      </w:r>
      <w:r w:rsidRPr="00380B40">
        <w:rPr>
          <w:spacing w:val="9"/>
          <w:lang w:val="en-GB"/>
        </w:rPr>
        <w:t xml:space="preserve"> </w:t>
      </w:r>
      <w:r w:rsidRPr="00380B40">
        <w:rPr>
          <w:lang w:val="en-GB"/>
        </w:rPr>
        <w:t>title</w:t>
      </w:r>
      <w:r w:rsidRPr="00380B40">
        <w:rPr>
          <w:spacing w:val="8"/>
          <w:lang w:val="en-GB"/>
        </w:rPr>
        <w:t xml:space="preserve"> </w:t>
      </w:r>
      <w:r w:rsidRPr="00380B40">
        <w:rPr>
          <w:lang w:val="en-GB"/>
        </w:rPr>
        <w:t>the</w:t>
      </w:r>
      <w:r w:rsidRPr="00380B40">
        <w:rPr>
          <w:spacing w:val="8"/>
          <w:lang w:val="en-GB"/>
        </w:rPr>
        <w:t xml:space="preserve"> </w:t>
      </w:r>
      <w:r w:rsidRPr="00380B40">
        <w:rPr>
          <w:spacing w:val="-1"/>
          <w:lang w:val="en-GB"/>
        </w:rPr>
        <w:t>Question</w:t>
      </w:r>
      <w:r w:rsidRPr="00380B40">
        <w:rPr>
          <w:spacing w:val="9"/>
          <w:lang w:val="en-GB"/>
        </w:rPr>
        <w:t xml:space="preserve"> </w:t>
      </w:r>
      <w:r w:rsidRPr="00380B40">
        <w:rPr>
          <w:spacing w:val="-1"/>
          <w:lang w:val="en-GB"/>
        </w:rPr>
        <w:t>number,</w:t>
      </w:r>
      <w:r w:rsidRPr="00380B40">
        <w:rPr>
          <w:spacing w:val="9"/>
          <w:lang w:val="en-GB"/>
        </w:rPr>
        <w:t xml:space="preserve"> </w:t>
      </w:r>
      <w:r w:rsidRPr="00380B40">
        <w:rPr>
          <w:lang w:val="en-GB"/>
        </w:rPr>
        <w:t>meeting</w:t>
      </w:r>
      <w:r w:rsidRPr="00380B40">
        <w:rPr>
          <w:spacing w:val="6"/>
          <w:lang w:val="en-GB"/>
        </w:rPr>
        <w:t xml:space="preserve"> </w:t>
      </w:r>
      <w:r w:rsidRPr="00380B40">
        <w:rPr>
          <w:lang w:val="en-GB"/>
        </w:rPr>
        <w:t>venue</w:t>
      </w:r>
      <w:r w:rsidRPr="00380B40">
        <w:rPr>
          <w:spacing w:val="8"/>
          <w:lang w:val="en-GB"/>
        </w:rPr>
        <w:t xml:space="preserve"> </w:t>
      </w:r>
      <w:r w:rsidRPr="00380B40">
        <w:rPr>
          <w:spacing w:val="-1"/>
          <w:lang w:val="en-GB"/>
        </w:rPr>
        <w:t>and</w:t>
      </w:r>
      <w:r w:rsidRPr="00380B40">
        <w:rPr>
          <w:spacing w:val="11"/>
          <w:lang w:val="en-GB"/>
        </w:rPr>
        <w:t xml:space="preserve"> </w:t>
      </w:r>
      <w:r w:rsidRPr="00380B40">
        <w:rPr>
          <w:lang w:val="en-GB"/>
        </w:rPr>
        <w:t>meeting</w:t>
      </w:r>
      <w:r w:rsidRPr="00380B40">
        <w:rPr>
          <w:spacing w:val="56"/>
          <w:lang w:val="en-GB"/>
        </w:rPr>
        <w:t xml:space="preserve"> </w:t>
      </w:r>
      <w:r w:rsidRPr="00380B40">
        <w:rPr>
          <w:spacing w:val="-1"/>
          <w:lang w:val="en-GB"/>
        </w:rPr>
        <w:t>date.</w:t>
      </w:r>
      <w:r w:rsidRPr="00380B40">
        <w:rPr>
          <w:spacing w:val="1"/>
          <w:lang w:val="en-GB"/>
        </w:rPr>
        <w:t xml:space="preserve"> </w:t>
      </w:r>
      <w:r w:rsidRPr="00380B40">
        <w:rPr>
          <w:spacing w:val="-2"/>
          <w:lang w:val="en-GB"/>
        </w:rPr>
        <w:t>In</w:t>
      </w:r>
      <w:r w:rsidRPr="00380B40">
        <w:rPr>
          <w:spacing w:val="2"/>
          <w:lang w:val="en-GB"/>
        </w:rPr>
        <w:t xml:space="preserve"> </w:t>
      </w:r>
      <w:r w:rsidRPr="00380B40">
        <w:rPr>
          <w:spacing w:val="-1"/>
          <w:lang w:val="en-GB"/>
        </w:rPr>
        <w:t>general,</w:t>
      </w:r>
      <w:r w:rsidRPr="00380B40">
        <w:rPr>
          <w:lang w:val="en-GB"/>
        </w:rPr>
        <w:t xml:space="preserve"> the</w:t>
      </w:r>
      <w:r w:rsidRPr="00380B40">
        <w:rPr>
          <w:spacing w:val="-1"/>
          <w:lang w:val="en-GB"/>
        </w:rPr>
        <w:t xml:space="preserve"> </w:t>
      </w:r>
      <w:r w:rsidRPr="00380B40">
        <w:rPr>
          <w:lang w:val="en-GB"/>
        </w:rPr>
        <w:t>title</w:t>
      </w:r>
      <w:r w:rsidRPr="00380B40">
        <w:rPr>
          <w:spacing w:val="1"/>
          <w:lang w:val="en-GB"/>
        </w:rPr>
        <w:t xml:space="preserve"> </w:t>
      </w:r>
      <w:r w:rsidRPr="00380B40">
        <w:rPr>
          <w:spacing w:val="-1"/>
          <w:lang w:val="en-GB"/>
        </w:rPr>
        <w:t>shall</w:t>
      </w:r>
      <w:r w:rsidRPr="00380B40">
        <w:rPr>
          <w:lang w:val="en-GB"/>
        </w:rPr>
        <w:t xml:space="preserve"> be</w:t>
      </w:r>
      <w:r w:rsidRPr="00380B40">
        <w:rPr>
          <w:spacing w:val="-1"/>
          <w:lang w:val="en-GB"/>
        </w:rPr>
        <w:t xml:space="preserve"> </w:t>
      </w:r>
      <w:r w:rsidRPr="00380B40">
        <w:rPr>
          <w:lang w:val="en-GB"/>
        </w:rPr>
        <w:t>of the</w:t>
      </w:r>
      <w:r w:rsidRPr="00380B40">
        <w:rPr>
          <w:spacing w:val="-2"/>
          <w:lang w:val="en-GB"/>
        </w:rPr>
        <w:t xml:space="preserve"> </w:t>
      </w:r>
      <w:r w:rsidRPr="00380B40">
        <w:rPr>
          <w:spacing w:val="-1"/>
          <w:lang w:val="en-GB"/>
        </w:rPr>
        <w:t>form</w:t>
      </w:r>
      <w:r w:rsidRPr="00380B40">
        <w:rPr>
          <w:spacing w:val="2"/>
          <w:lang w:val="en-GB"/>
        </w:rPr>
        <w:t xml:space="preserve"> </w:t>
      </w:r>
      <w:r w:rsidRPr="00380B40">
        <w:rPr>
          <w:spacing w:val="-1"/>
          <w:lang w:val="en-GB"/>
        </w:rPr>
        <w:t>"Rapporteur</w:t>
      </w:r>
      <w:r w:rsidRPr="00380B40">
        <w:rPr>
          <w:lang w:val="en-GB"/>
        </w:rPr>
        <w:t xml:space="preserve"> </w:t>
      </w:r>
      <w:r w:rsidRPr="00380B40">
        <w:rPr>
          <w:spacing w:val="-1"/>
          <w:lang w:val="en-GB"/>
        </w:rPr>
        <w:t>Report</w:t>
      </w:r>
      <w:r w:rsidRPr="00380B40">
        <w:rPr>
          <w:lang w:val="en-GB"/>
        </w:rPr>
        <w:t xml:space="preserve"> Qx/x".</w:t>
      </w:r>
    </w:p>
    <w:p w14:paraId="720499B1" w14:textId="77777777" w:rsidR="00C12517" w:rsidRPr="00380B40" w:rsidRDefault="00C12517" w:rsidP="00C12517">
      <w:pPr>
        <w:rPr>
          <w:lang w:val="en-GB"/>
        </w:rPr>
      </w:pPr>
      <w:r w:rsidRPr="00380B40">
        <w:rPr>
          <w:lang w:val="en-GB"/>
        </w:rPr>
        <w:t>Any</w:t>
      </w:r>
      <w:r w:rsidRPr="00380B40">
        <w:rPr>
          <w:spacing w:val="52"/>
          <w:lang w:val="en-GB"/>
        </w:rPr>
        <w:t xml:space="preserve"> </w:t>
      </w:r>
      <w:r w:rsidRPr="00380B40">
        <w:rPr>
          <w:lang w:val="en-GB"/>
        </w:rPr>
        <w:t>draft</w:t>
      </w:r>
      <w:r w:rsidRPr="00380B40">
        <w:rPr>
          <w:spacing w:val="57"/>
          <w:lang w:val="en-GB"/>
        </w:rPr>
        <w:t xml:space="preserve"> </w:t>
      </w:r>
      <w:r w:rsidRPr="00380B40">
        <w:rPr>
          <w:lang w:val="en-GB"/>
        </w:rPr>
        <w:t>Recommendations</w:t>
      </w:r>
      <w:r w:rsidRPr="00380B40">
        <w:rPr>
          <w:spacing w:val="57"/>
          <w:lang w:val="en-GB"/>
        </w:rPr>
        <w:t xml:space="preserve"> </w:t>
      </w:r>
      <w:r w:rsidRPr="00380B40">
        <w:rPr>
          <w:spacing w:val="-1"/>
          <w:lang w:val="en-GB"/>
        </w:rPr>
        <w:t>produced</w:t>
      </w:r>
      <w:r w:rsidRPr="00380B40">
        <w:rPr>
          <w:spacing w:val="57"/>
          <w:lang w:val="en-GB"/>
        </w:rPr>
        <w:t xml:space="preserve"> </w:t>
      </w:r>
      <w:r w:rsidRPr="00380B40">
        <w:rPr>
          <w:spacing w:val="-1"/>
          <w:lang w:val="en-GB"/>
        </w:rPr>
        <w:t>shall</w:t>
      </w:r>
      <w:r w:rsidRPr="00380B40">
        <w:rPr>
          <w:spacing w:val="58"/>
          <w:lang w:val="en-GB"/>
        </w:rPr>
        <w:t xml:space="preserve"> </w:t>
      </w:r>
      <w:r w:rsidRPr="00380B40">
        <w:rPr>
          <w:lang w:val="en-GB"/>
        </w:rPr>
        <w:t>be</w:t>
      </w:r>
      <w:r w:rsidRPr="00380B40">
        <w:rPr>
          <w:spacing w:val="58"/>
          <w:lang w:val="en-GB"/>
        </w:rPr>
        <w:t xml:space="preserve"> </w:t>
      </w:r>
      <w:r w:rsidRPr="00380B40">
        <w:rPr>
          <w:spacing w:val="-1"/>
          <w:lang w:val="en-GB"/>
        </w:rPr>
        <w:t>presented</w:t>
      </w:r>
      <w:r w:rsidRPr="00380B40">
        <w:rPr>
          <w:spacing w:val="59"/>
          <w:lang w:val="en-GB"/>
        </w:rPr>
        <w:t xml:space="preserve"> </w:t>
      </w:r>
      <w:r w:rsidRPr="00380B40">
        <w:rPr>
          <w:spacing w:val="-1"/>
          <w:lang w:val="en-GB"/>
        </w:rPr>
        <w:t>as</w:t>
      </w:r>
      <w:r w:rsidRPr="00380B40">
        <w:rPr>
          <w:spacing w:val="57"/>
          <w:lang w:val="en-GB"/>
        </w:rPr>
        <w:t xml:space="preserve"> </w:t>
      </w:r>
      <w:r w:rsidRPr="00380B40">
        <w:rPr>
          <w:lang w:val="en-GB"/>
        </w:rPr>
        <w:t>separate</w:t>
      </w:r>
      <w:r w:rsidRPr="00380B40">
        <w:rPr>
          <w:spacing w:val="58"/>
          <w:lang w:val="en-GB"/>
        </w:rPr>
        <w:t xml:space="preserve"> </w:t>
      </w:r>
      <w:r w:rsidRPr="00380B40">
        <w:rPr>
          <w:spacing w:val="-1"/>
          <w:lang w:val="en-GB"/>
        </w:rPr>
        <w:t>TDs</w:t>
      </w:r>
      <w:r w:rsidRPr="00380B40">
        <w:rPr>
          <w:spacing w:val="57"/>
          <w:lang w:val="en-GB"/>
        </w:rPr>
        <w:t xml:space="preserve"> </w:t>
      </w:r>
      <w:r w:rsidRPr="00380B40">
        <w:rPr>
          <w:spacing w:val="1"/>
          <w:lang w:val="en-GB"/>
        </w:rPr>
        <w:t>(one</w:t>
      </w:r>
      <w:r w:rsidRPr="00380B40">
        <w:rPr>
          <w:spacing w:val="56"/>
          <w:lang w:val="en-GB"/>
        </w:rPr>
        <w:t xml:space="preserve"> </w:t>
      </w:r>
      <w:r w:rsidRPr="00380B40">
        <w:rPr>
          <w:lang w:val="en-GB"/>
        </w:rPr>
        <w:t>document</w:t>
      </w:r>
      <w:r w:rsidRPr="00380B40">
        <w:rPr>
          <w:spacing w:val="57"/>
          <w:lang w:val="en-GB"/>
        </w:rPr>
        <w:t xml:space="preserve"> </w:t>
      </w:r>
      <w:r w:rsidRPr="00380B40">
        <w:rPr>
          <w:spacing w:val="-1"/>
          <w:lang w:val="en-GB"/>
        </w:rPr>
        <w:t>per</w:t>
      </w:r>
      <w:r w:rsidRPr="00380B40">
        <w:rPr>
          <w:spacing w:val="47"/>
          <w:lang w:val="en-GB"/>
        </w:rPr>
        <w:t xml:space="preserve"> </w:t>
      </w:r>
      <w:r w:rsidRPr="00380B40">
        <w:rPr>
          <w:spacing w:val="-1"/>
          <w:lang w:val="en-GB"/>
        </w:rPr>
        <w:t>Recommendation).</w:t>
      </w:r>
      <w:r w:rsidRPr="00380B40">
        <w:rPr>
          <w:spacing w:val="-4"/>
          <w:lang w:val="en-GB"/>
        </w:rPr>
        <w:t xml:space="preserve"> </w:t>
      </w:r>
      <w:r w:rsidRPr="00380B40">
        <w:rPr>
          <w:lang w:val="en-GB"/>
        </w:rPr>
        <w:t>The</w:t>
      </w:r>
      <w:r w:rsidRPr="00380B40">
        <w:rPr>
          <w:spacing w:val="-4"/>
          <w:lang w:val="en-GB"/>
        </w:rPr>
        <w:t xml:space="preserve"> </w:t>
      </w:r>
      <w:r w:rsidRPr="00380B40">
        <w:rPr>
          <w:lang w:val="en-GB"/>
        </w:rPr>
        <w:t>title</w:t>
      </w:r>
      <w:r w:rsidRPr="00380B40">
        <w:rPr>
          <w:spacing w:val="-4"/>
          <w:lang w:val="en-GB"/>
        </w:rPr>
        <w:t xml:space="preserve"> </w:t>
      </w:r>
      <w:r w:rsidRPr="00380B40">
        <w:rPr>
          <w:lang w:val="en-GB"/>
        </w:rPr>
        <w:t>of</w:t>
      </w:r>
      <w:r w:rsidRPr="00380B40">
        <w:rPr>
          <w:spacing w:val="-4"/>
          <w:lang w:val="en-GB"/>
        </w:rPr>
        <w:t xml:space="preserve"> </w:t>
      </w:r>
      <w:r w:rsidRPr="00380B40">
        <w:rPr>
          <w:lang w:val="en-GB"/>
        </w:rPr>
        <w:t>the</w:t>
      </w:r>
      <w:r w:rsidRPr="00380B40">
        <w:rPr>
          <w:spacing w:val="-3"/>
          <w:lang w:val="en-GB"/>
        </w:rPr>
        <w:t xml:space="preserve"> </w:t>
      </w:r>
      <w:r w:rsidRPr="00380B40">
        <w:rPr>
          <w:lang w:val="en-GB"/>
        </w:rPr>
        <w:t>TD</w:t>
      </w:r>
      <w:r w:rsidRPr="00380B40">
        <w:rPr>
          <w:spacing w:val="-4"/>
          <w:lang w:val="en-GB"/>
        </w:rPr>
        <w:t xml:space="preserve"> </w:t>
      </w:r>
      <w:r w:rsidRPr="00380B40">
        <w:rPr>
          <w:spacing w:val="-1"/>
          <w:lang w:val="en-GB"/>
        </w:rPr>
        <w:t>shall</w:t>
      </w:r>
      <w:r w:rsidRPr="00380B40">
        <w:rPr>
          <w:spacing w:val="-2"/>
          <w:lang w:val="en-GB"/>
        </w:rPr>
        <w:t xml:space="preserve"> </w:t>
      </w:r>
      <w:r w:rsidRPr="00380B40">
        <w:rPr>
          <w:lang w:val="en-GB"/>
        </w:rPr>
        <w:t>be</w:t>
      </w:r>
      <w:r w:rsidRPr="00380B40">
        <w:rPr>
          <w:spacing w:val="-4"/>
          <w:lang w:val="en-GB"/>
        </w:rPr>
        <w:t xml:space="preserve"> </w:t>
      </w:r>
      <w:r w:rsidRPr="00380B40">
        <w:rPr>
          <w:lang w:val="en-GB"/>
        </w:rPr>
        <w:t>of</w:t>
      </w:r>
      <w:r w:rsidRPr="00380B40">
        <w:rPr>
          <w:spacing w:val="-4"/>
          <w:lang w:val="en-GB"/>
        </w:rPr>
        <w:t xml:space="preserve"> </w:t>
      </w:r>
      <w:r w:rsidRPr="00380B40">
        <w:rPr>
          <w:lang w:val="en-GB"/>
        </w:rPr>
        <w:t>the</w:t>
      </w:r>
      <w:r w:rsidRPr="00380B40">
        <w:rPr>
          <w:spacing w:val="-4"/>
          <w:lang w:val="en-GB"/>
        </w:rPr>
        <w:t xml:space="preserve"> </w:t>
      </w:r>
      <w:r w:rsidRPr="00380B40">
        <w:rPr>
          <w:spacing w:val="-1"/>
          <w:lang w:val="en-GB"/>
        </w:rPr>
        <w:t>form</w:t>
      </w:r>
      <w:r w:rsidRPr="00380B40">
        <w:rPr>
          <w:lang w:val="en-GB"/>
        </w:rPr>
        <w:t xml:space="preserve"> </w:t>
      </w:r>
      <w:r w:rsidRPr="00380B40">
        <w:rPr>
          <w:spacing w:val="-1"/>
          <w:lang w:val="en-GB"/>
        </w:rPr>
        <w:t>"Draft</w:t>
      </w:r>
      <w:r w:rsidRPr="00380B40">
        <w:rPr>
          <w:spacing w:val="-3"/>
          <w:lang w:val="en-GB"/>
        </w:rPr>
        <w:t xml:space="preserve"> </w:t>
      </w:r>
      <w:r w:rsidRPr="00380B40">
        <w:rPr>
          <w:spacing w:val="-1"/>
          <w:lang w:val="en-GB"/>
        </w:rPr>
        <w:t>new</w:t>
      </w:r>
      <w:r w:rsidRPr="00380B40">
        <w:rPr>
          <w:spacing w:val="-3"/>
          <w:lang w:val="en-GB"/>
        </w:rPr>
        <w:t xml:space="preserve"> </w:t>
      </w:r>
      <w:r w:rsidRPr="00380B40">
        <w:rPr>
          <w:lang w:val="en-GB"/>
        </w:rPr>
        <w:t xml:space="preserve">Recommendation </w:t>
      </w:r>
      <w:r w:rsidRPr="00380B40">
        <w:rPr>
          <w:spacing w:val="-1"/>
          <w:lang w:val="en-GB"/>
        </w:rPr>
        <w:t>ITU</w:t>
      </w:r>
      <w:r w:rsidRPr="00380B40">
        <w:rPr>
          <w:lang w:val="en-GB"/>
        </w:rPr>
        <w:noBreakHyphen/>
      </w:r>
      <w:r w:rsidRPr="00380B40">
        <w:rPr>
          <w:spacing w:val="-1"/>
          <w:lang w:val="en-GB"/>
        </w:rPr>
        <w:t>T</w:t>
      </w:r>
      <w:r w:rsidRPr="00380B40">
        <w:rPr>
          <w:spacing w:val="-3"/>
          <w:lang w:val="en-GB"/>
        </w:rPr>
        <w:t xml:space="preserve"> </w:t>
      </w:r>
      <w:r w:rsidRPr="00380B40">
        <w:rPr>
          <w:lang w:val="en-GB"/>
        </w:rPr>
        <w:t>X.x:</w:t>
      </w:r>
      <w:r w:rsidRPr="00380B40">
        <w:rPr>
          <w:spacing w:val="64"/>
          <w:lang w:val="en-GB"/>
        </w:rPr>
        <w:t xml:space="preserve"> </w:t>
      </w:r>
      <w:r w:rsidRPr="00380B40">
        <w:rPr>
          <w:spacing w:val="-1"/>
          <w:lang w:val="en-GB"/>
        </w:rPr>
        <w:t>abc",</w:t>
      </w:r>
      <w:r w:rsidRPr="00380B40">
        <w:rPr>
          <w:spacing w:val="54"/>
          <w:lang w:val="en-GB"/>
        </w:rPr>
        <w:t xml:space="preserve"> </w:t>
      </w:r>
      <w:r w:rsidRPr="00380B40">
        <w:rPr>
          <w:lang w:val="en-GB"/>
        </w:rPr>
        <w:t>where</w:t>
      </w:r>
      <w:r w:rsidRPr="00380B40">
        <w:rPr>
          <w:spacing w:val="57"/>
          <w:lang w:val="en-GB"/>
        </w:rPr>
        <w:t xml:space="preserve"> </w:t>
      </w:r>
      <w:r w:rsidRPr="00380B40">
        <w:rPr>
          <w:spacing w:val="-1"/>
          <w:lang w:val="en-GB"/>
        </w:rPr>
        <w:t>"abc"</w:t>
      </w:r>
      <w:r w:rsidRPr="00380B40">
        <w:rPr>
          <w:spacing w:val="55"/>
          <w:lang w:val="en-GB"/>
        </w:rPr>
        <w:t xml:space="preserve"> </w:t>
      </w:r>
      <w:r w:rsidRPr="00380B40">
        <w:rPr>
          <w:lang w:val="en-GB"/>
        </w:rPr>
        <w:t>stands</w:t>
      </w:r>
      <w:r w:rsidRPr="00380B40">
        <w:rPr>
          <w:spacing w:val="55"/>
          <w:lang w:val="en-GB"/>
        </w:rPr>
        <w:t xml:space="preserve"> </w:t>
      </w:r>
      <w:r w:rsidRPr="00380B40">
        <w:rPr>
          <w:lang w:val="en-GB"/>
        </w:rPr>
        <w:t>for</w:t>
      </w:r>
      <w:r w:rsidRPr="00380B40">
        <w:rPr>
          <w:spacing w:val="53"/>
          <w:lang w:val="en-GB"/>
        </w:rPr>
        <w:t xml:space="preserve"> </w:t>
      </w:r>
      <w:r w:rsidRPr="00380B40">
        <w:rPr>
          <w:lang w:val="en-GB"/>
        </w:rPr>
        <w:t>the</w:t>
      </w:r>
      <w:r w:rsidRPr="00380B40">
        <w:rPr>
          <w:spacing w:val="54"/>
          <w:lang w:val="en-GB"/>
        </w:rPr>
        <w:t xml:space="preserve"> </w:t>
      </w:r>
      <w:r w:rsidRPr="00380B40">
        <w:rPr>
          <w:lang w:val="en-GB"/>
        </w:rPr>
        <w:t>title</w:t>
      </w:r>
      <w:r w:rsidRPr="00380B40">
        <w:rPr>
          <w:spacing w:val="54"/>
          <w:lang w:val="en-GB"/>
        </w:rPr>
        <w:t xml:space="preserve"> </w:t>
      </w:r>
      <w:r w:rsidRPr="00380B40">
        <w:rPr>
          <w:lang w:val="en-GB"/>
        </w:rPr>
        <w:t>of</w:t>
      </w:r>
      <w:r w:rsidRPr="00380B40">
        <w:rPr>
          <w:spacing w:val="56"/>
          <w:lang w:val="en-GB"/>
        </w:rPr>
        <w:t xml:space="preserve"> </w:t>
      </w:r>
      <w:r w:rsidRPr="00380B40">
        <w:rPr>
          <w:lang w:val="en-GB"/>
        </w:rPr>
        <w:t>the</w:t>
      </w:r>
      <w:r w:rsidRPr="00380B40">
        <w:rPr>
          <w:spacing w:val="54"/>
          <w:lang w:val="en-GB"/>
        </w:rPr>
        <w:t xml:space="preserve"> </w:t>
      </w:r>
      <w:r w:rsidRPr="00380B40">
        <w:rPr>
          <w:lang w:val="en-GB"/>
        </w:rPr>
        <w:t>draft</w:t>
      </w:r>
      <w:r w:rsidRPr="00380B40">
        <w:rPr>
          <w:spacing w:val="54"/>
          <w:lang w:val="en-GB"/>
        </w:rPr>
        <w:t xml:space="preserve"> </w:t>
      </w:r>
      <w:r w:rsidRPr="00380B40">
        <w:rPr>
          <w:lang w:val="en-GB"/>
        </w:rPr>
        <w:t>Recommendation,</w:t>
      </w:r>
      <w:r w:rsidRPr="00380B40">
        <w:rPr>
          <w:spacing w:val="55"/>
          <w:lang w:val="en-GB"/>
        </w:rPr>
        <w:t xml:space="preserve"> </w:t>
      </w:r>
      <w:r w:rsidRPr="00380B40">
        <w:rPr>
          <w:lang w:val="en-GB"/>
        </w:rPr>
        <w:t>or</w:t>
      </w:r>
      <w:r w:rsidRPr="00380B40">
        <w:rPr>
          <w:spacing w:val="56"/>
          <w:lang w:val="en-GB"/>
        </w:rPr>
        <w:t xml:space="preserve"> </w:t>
      </w:r>
      <w:r w:rsidRPr="00380B40">
        <w:rPr>
          <w:spacing w:val="-1"/>
          <w:lang w:val="en-GB"/>
        </w:rPr>
        <w:t>"Draft</w:t>
      </w:r>
      <w:r w:rsidRPr="00380B40">
        <w:rPr>
          <w:spacing w:val="54"/>
          <w:lang w:val="en-GB"/>
        </w:rPr>
        <w:t xml:space="preserve"> </w:t>
      </w:r>
      <w:r w:rsidRPr="00380B40">
        <w:rPr>
          <w:lang w:val="en-GB"/>
        </w:rPr>
        <w:t>revised</w:t>
      </w:r>
      <w:r w:rsidRPr="00380B40">
        <w:rPr>
          <w:spacing w:val="25"/>
          <w:lang w:val="en-GB"/>
        </w:rPr>
        <w:t xml:space="preserve"> </w:t>
      </w:r>
      <w:r w:rsidRPr="00380B40">
        <w:rPr>
          <w:spacing w:val="-1"/>
          <w:lang w:val="en-GB"/>
        </w:rPr>
        <w:t>Recommendation</w:t>
      </w:r>
      <w:r w:rsidRPr="00380B40">
        <w:rPr>
          <w:spacing w:val="16"/>
          <w:lang w:val="en-GB"/>
        </w:rPr>
        <w:t xml:space="preserve"> </w:t>
      </w:r>
      <w:r w:rsidRPr="00380B40">
        <w:rPr>
          <w:spacing w:val="-2"/>
          <w:lang w:val="en-GB"/>
        </w:rPr>
        <w:t>ITU</w:t>
      </w:r>
      <w:r w:rsidRPr="00380B40">
        <w:rPr>
          <w:lang w:val="en-GB"/>
        </w:rPr>
        <w:noBreakHyphen/>
      </w:r>
      <w:r w:rsidRPr="00380B40">
        <w:rPr>
          <w:spacing w:val="-2"/>
          <w:lang w:val="en-GB"/>
        </w:rPr>
        <w:t>T</w:t>
      </w:r>
      <w:r w:rsidRPr="00380B40">
        <w:rPr>
          <w:spacing w:val="16"/>
          <w:lang w:val="en-GB"/>
        </w:rPr>
        <w:t xml:space="preserve"> </w:t>
      </w:r>
      <w:r w:rsidRPr="00380B40">
        <w:rPr>
          <w:lang w:val="en-GB"/>
        </w:rPr>
        <w:t>X.x:</w:t>
      </w:r>
      <w:r w:rsidRPr="00380B40">
        <w:rPr>
          <w:spacing w:val="12"/>
          <w:lang w:val="en-GB"/>
        </w:rPr>
        <w:t xml:space="preserve"> </w:t>
      </w:r>
      <w:r w:rsidRPr="00380B40">
        <w:rPr>
          <w:spacing w:val="-1"/>
          <w:lang w:val="en-GB"/>
        </w:rPr>
        <w:t>abc",</w:t>
      </w:r>
      <w:r w:rsidRPr="00380B40">
        <w:rPr>
          <w:spacing w:val="14"/>
          <w:lang w:val="en-GB"/>
        </w:rPr>
        <w:t xml:space="preserve"> </w:t>
      </w:r>
      <w:r w:rsidRPr="00380B40">
        <w:rPr>
          <w:lang w:val="en-GB"/>
        </w:rPr>
        <w:t>or</w:t>
      </w:r>
      <w:r w:rsidRPr="00380B40">
        <w:rPr>
          <w:spacing w:val="13"/>
          <w:lang w:val="en-GB"/>
        </w:rPr>
        <w:t xml:space="preserve"> </w:t>
      </w:r>
      <w:r w:rsidRPr="00380B40">
        <w:rPr>
          <w:spacing w:val="-1"/>
          <w:lang w:val="en-GB"/>
        </w:rPr>
        <w:t>"Draft</w:t>
      </w:r>
      <w:r w:rsidRPr="00380B40">
        <w:rPr>
          <w:spacing w:val="13"/>
          <w:lang w:val="en-GB"/>
        </w:rPr>
        <w:t xml:space="preserve"> </w:t>
      </w:r>
      <w:r w:rsidRPr="00380B40">
        <w:rPr>
          <w:lang w:val="en-GB"/>
        </w:rPr>
        <w:t>Amendment</w:t>
      </w:r>
      <w:r w:rsidRPr="00380B40">
        <w:rPr>
          <w:spacing w:val="14"/>
          <w:lang w:val="en-GB"/>
        </w:rPr>
        <w:t xml:space="preserve"> </w:t>
      </w:r>
      <w:r w:rsidRPr="00380B40">
        <w:rPr>
          <w:lang w:val="en-GB"/>
        </w:rPr>
        <w:t>1</w:t>
      </w:r>
      <w:r w:rsidRPr="00380B40">
        <w:rPr>
          <w:spacing w:val="14"/>
          <w:lang w:val="en-GB"/>
        </w:rPr>
        <w:t xml:space="preserve"> </w:t>
      </w:r>
      <w:r w:rsidRPr="00380B40">
        <w:rPr>
          <w:lang w:val="en-GB"/>
        </w:rPr>
        <w:t>to</w:t>
      </w:r>
      <w:r w:rsidRPr="00380B40">
        <w:rPr>
          <w:spacing w:val="14"/>
          <w:lang w:val="en-GB"/>
        </w:rPr>
        <w:t xml:space="preserve"> </w:t>
      </w:r>
      <w:r w:rsidRPr="00380B40">
        <w:rPr>
          <w:spacing w:val="-1"/>
          <w:lang w:val="en-GB"/>
        </w:rPr>
        <w:t>Recommendation</w:t>
      </w:r>
      <w:r w:rsidRPr="00380B40">
        <w:rPr>
          <w:spacing w:val="16"/>
          <w:lang w:val="en-GB"/>
        </w:rPr>
        <w:t xml:space="preserve"> </w:t>
      </w:r>
      <w:r w:rsidRPr="00380B40">
        <w:rPr>
          <w:spacing w:val="-1"/>
          <w:lang w:val="en-GB"/>
        </w:rPr>
        <w:t>ITU</w:t>
      </w:r>
      <w:r w:rsidRPr="00380B40">
        <w:rPr>
          <w:lang w:val="en-GB"/>
        </w:rPr>
        <w:noBreakHyphen/>
      </w:r>
      <w:r w:rsidRPr="00380B40">
        <w:rPr>
          <w:spacing w:val="-1"/>
          <w:lang w:val="en-GB"/>
        </w:rPr>
        <w:t>T</w:t>
      </w:r>
      <w:r w:rsidRPr="00380B40">
        <w:rPr>
          <w:spacing w:val="13"/>
          <w:lang w:val="en-GB"/>
        </w:rPr>
        <w:t xml:space="preserve"> </w:t>
      </w:r>
      <w:r w:rsidRPr="00380B40">
        <w:rPr>
          <w:lang w:val="en-GB"/>
        </w:rPr>
        <w:t>X.x:</w:t>
      </w:r>
      <w:r w:rsidRPr="00380B40">
        <w:rPr>
          <w:spacing w:val="14"/>
          <w:lang w:val="en-GB"/>
        </w:rPr>
        <w:t xml:space="preserve"> </w:t>
      </w:r>
      <w:r w:rsidRPr="00380B40">
        <w:rPr>
          <w:spacing w:val="-1"/>
          <w:lang w:val="en-GB"/>
        </w:rPr>
        <w:t>abc",</w:t>
      </w:r>
      <w:r w:rsidRPr="00380B40">
        <w:rPr>
          <w:spacing w:val="65"/>
          <w:lang w:val="en-GB"/>
        </w:rPr>
        <w:t xml:space="preserve"> </w:t>
      </w:r>
      <w:r w:rsidRPr="00380B40">
        <w:rPr>
          <w:spacing w:val="-1"/>
          <w:lang w:val="en-GB"/>
        </w:rPr>
        <w:t>etc.</w:t>
      </w:r>
    </w:p>
    <w:p w14:paraId="358920E6" w14:textId="77777777" w:rsidR="00C12517" w:rsidRPr="00380B40" w:rsidRDefault="00C12517" w:rsidP="00C12517">
      <w:pPr>
        <w:rPr>
          <w:lang w:val="en-GB"/>
        </w:rPr>
      </w:pPr>
      <w:r w:rsidRPr="00380B40">
        <w:rPr>
          <w:lang w:val="en-GB"/>
        </w:rPr>
        <w:t>A</w:t>
      </w:r>
      <w:r w:rsidRPr="00380B40">
        <w:rPr>
          <w:spacing w:val="23"/>
          <w:lang w:val="en-GB"/>
        </w:rPr>
        <w:t xml:space="preserve"> </w:t>
      </w:r>
      <w:r w:rsidRPr="00380B40">
        <w:rPr>
          <w:spacing w:val="-1"/>
          <w:lang w:val="en-GB"/>
        </w:rPr>
        <w:t>progress</w:t>
      </w:r>
      <w:r w:rsidRPr="00380B40">
        <w:rPr>
          <w:spacing w:val="24"/>
          <w:lang w:val="en-GB"/>
        </w:rPr>
        <w:t xml:space="preserve"> </w:t>
      </w:r>
      <w:r w:rsidRPr="00380B40">
        <w:rPr>
          <w:spacing w:val="-1"/>
          <w:lang w:val="en-GB"/>
        </w:rPr>
        <w:t>report</w:t>
      </w:r>
      <w:r w:rsidRPr="00380B40">
        <w:rPr>
          <w:spacing w:val="23"/>
          <w:lang w:val="en-GB"/>
        </w:rPr>
        <w:t xml:space="preserve"> </w:t>
      </w:r>
      <w:r w:rsidRPr="00380B40">
        <w:rPr>
          <w:spacing w:val="-1"/>
          <w:lang w:val="en-GB"/>
        </w:rPr>
        <w:t>shall</w:t>
      </w:r>
      <w:r w:rsidRPr="00380B40">
        <w:rPr>
          <w:spacing w:val="24"/>
          <w:lang w:val="en-GB"/>
        </w:rPr>
        <w:t xml:space="preserve"> </w:t>
      </w:r>
      <w:r w:rsidRPr="00380B40">
        <w:rPr>
          <w:lang w:val="en-GB"/>
        </w:rPr>
        <w:t>not</w:t>
      </w:r>
      <w:r w:rsidRPr="00380B40">
        <w:rPr>
          <w:spacing w:val="24"/>
          <w:lang w:val="en-GB"/>
        </w:rPr>
        <w:t xml:space="preserve"> </w:t>
      </w:r>
      <w:r w:rsidRPr="00380B40">
        <w:rPr>
          <w:lang w:val="en-GB"/>
        </w:rPr>
        <w:t>be</w:t>
      </w:r>
      <w:r w:rsidRPr="00380B40">
        <w:rPr>
          <w:spacing w:val="22"/>
          <w:lang w:val="en-GB"/>
        </w:rPr>
        <w:t xml:space="preserve"> </w:t>
      </w:r>
      <w:r w:rsidRPr="00380B40">
        <w:rPr>
          <w:spacing w:val="-1"/>
          <w:lang w:val="en-GB"/>
        </w:rPr>
        <w:t>used</w:t>
      </w:r>
      <w:r w:rsidRPr="00380B40">
        <w:rPr>
          <w:spacing w:val="23"/>
          <w:lang w:val="en-GB"/>
        </w:rPr>
        <w:t xml:space="preserve"> </w:t>
      </w:r>
      <w:r w:rsidRPr="00380B40">
        <w:rPr>
          <w:spacing w:val="-1"/>
          <w:lang w:val="en-GB"/>
        </w:rPr>
        <w:t>as</w:t>
      </w:r>
      <w:r w:rsidRPr="00380B40">
        <w:rPr>
          <w:spacing w:val="24"/>
          <w:lang w:val="en-GB"/>
        </w:rPr>
        <w:t xml:space="preserve"> </w:t>
      </w:r>
      <w:r w:rsidRPr="00380B40">
        <w:rPr>
          <w:lang w:val="en-GB"/>
        </w:rPr>
        <w:t>a</w:t>
      </w:r>
      <w:r w:rsidRPr="00380B40">
        <w:rPr>
          <w:spacing w:val="22"/>
          <w:lang w:val="en-GB"/>
        </w:rPr>
        <w:t xml:space="preserve"> </w:t>
      </w:r>
      <w:r w:rsidRPr="00380B40">
        <w:rPr>
          <w:spacing w:val="-1"/>
          <w:lang w:val="en-GB"/>
        </w:rPr>
        <w:t>vehicle</w:t>
      </w:r>
      <w:r w:rsidRPr="00380B40">
        <w:rPr>
          <w:spacing w:val="22"/>
          <w:lang w:val="en-GB"/>
        </w:rPr>
        <w:t xml:space="preserve"> </w:t>
      </w:r>
      <w:r w:rsidRPr="00380B40">
        <w:rPr>
          <w:lang w:val="en-GB"/>
        </w:rPr>
        <w:t>to</w:t>
      </w:r>
      <w:r w:rsidRPr="00380B40">
        <w:rPr>
          <w:spacing w:val="24"/>
          <w:lang w:val="en-GB"/>
        </w:rPr>
        <w:t xml:space="preserve"> </w:t>
      </w:r>
      <w:r w:rsidRPr="00380B40">
        <w:rPr>
          <w:spacing w:val="-1"/>
          <w:lang w:val="en-GB"/>
        </w:rPr>
        <w:t>violate</w:t>
      </w:r>
      <w:r w:rsidRPr="00380B40">
        <w:rPr>
          <w:spacing w:val="23"/>
          <w:lang w:val="en-GB"/>
        </w:rPr>
        <w:t xml:space="preserve"> </w:t>
      </w:r>
      <w:r w:rsidRPr="00380B40">
        <w:rPr>
          <w:lang w:val="en-GB"/>
        </w:rPr>
        <w:t>the</w:t>
      </w:r>
      <w:r w:rsidRPr="00380B40">
        <w:rPr>
          <w:spacing w:val="23"/>
          <w:lang w:val="en-GB"/>
        </w:rPr>
        <w:t xml:space="preserve"> </w:t>
      </w:r>
      <w:r w:rsidRPr="00380B40">
        <w:rPr>
          <w:spacing w:val="-1"/>
          <w:lang w:val="en-GB"/>
        </w:rPr>
        <w:t>rules</w:t>
      </w:r>
      <w:r w:rsidRPr="00380B40">
        <w:rPr>
          <w:spacing w:val="24"/>
          <w:lang w:val="en-GB"/>
        </w:rPr>
        <w:t xml:space="preserve"> </w:t>
      </w:r>
      <w:r w:rsidRPr="00380B40">
        <w:rPr>
          <w:spacing w:val="-1"/>
          <w:lang w:val="en-GB"/>
        </w:rPr>
        <w:t>concerning</w:t>
      </w:r>
      <w:r w:rsidRPr="00380B40">
        <w:rPr>
          <w:spacing w:val="21"/>
          <w:lang w:val="en-GB"/>
        </w:rPr>
        <w:t xml:space="preserve"> </w:t>
      </w:r>
      <w:r w:rsidRPr="00380B40">
        <w:rPr>
          <w:lang w:val="en-GB"/>
        </w:rPr>
        <w:t>the</w:t>
      </w:r>
      <w:r w:rsidRPr="00380B40">
        <w:rPr>
          <w:spacing w:val="23"/>
          <w:lang w:val="en-GB"/>
        </w:rPr>
        <w:t xml:space="preserve"> </w:t>
      </w:r>
      <w:r w:rsidRPr="00380B40">
        <w:rPr>
          <w:lang w:val="en-GB"/>
        </w:rPr>
        <w:t>submission</w:t>
      </w:r>
      <w:r w:rsidRPr="00380B40">
        <w:rPr>
          <w:spacing w:val="21"/>
          <w:lang w:val="en-GB"/>
        </w:rPr>
        <w:t xml:space="preserve"> </w:t>
      </w:r>
      <w:r w:rsidRPr="00380B40">
        <w:rPr>
          <w:lang w:val="en-GB"/>
        </w:rPr>
        <w:t>of</w:t>
      </w:r>
      <w:r w:rsidRPr="00380B40">
        <w:rPr>
          <w:spacing w:val="75"/>
          <w:lang w:val="en-GB"/>
        </w:rPr>
        <w:t xml:space="preserve"> </w:t>
      </w:r>
      <w:r w:rsidRPr="00380B40">
        <w:rPr>
          <w:spacing w:val="-1"/>
          <w:lang w:val="en-GB"/>
        </w:rPr>
        <w:t>contributions</w:t>
      </w:r>
      <w:r w:rsidRPr="00380B40">
        <w:rPr>
          <w:lang w:val="en-GB"/>
        </w:rPr>
        <w:t xml:space="preserve"> </w:t>
      </w:r>
      <w:r w:rsidRPr="00380B40">
        <w:rPr>
          <w:spacing w:val="-1"/>
          <w:lang w:val="en-GB"/>
        </w:rPr>
        <w:t>that</w:t>
      </w:r>
      <w:r w:rsidRPr="00380B40">
        <w:rPr>
          <w:lang w:val="en-GB"/>
        </w:rPr>
        <w:t xml:space="preserve"> </w:t>
      </w:r>
      <w:r w:rsidRPr="00380B40">
        <w:rPr>
          <w:spacing w:val="-1"/>
          <w:lang w:val="en-GB"/>
        </w:rPr>
        <w:t>are inappropriate</w:t>
      </w:r>
      <w:r w:rsidRPr="00380B40">
        <w:rPr>
          <w:lang w:val="en-GB"/>
        </w:rPr>
        <w:t xml:space="preserve"> to the </w:t>
      </w:r>
      <w:r w:rsidRPr="00380B40">
        <w:rPr>
          <w:spacing w:val="-1"/>
          <w:lang w:val="en-GB"/>
        </w:rPr>
        <w:t>assigned</w:t>
      </w:r>
      <w:r w:rsidRPr="00380B40">
        <w:rPr>
          <w:lang w:val="en-GB"/>
        </w:rPr>
        <w:t xml:space="preserve"> study</w:t>
      </w:r>
      <w:r w:rsidRPr="00380B40">
        <w:rPr>
          <w:spacing w:val="-5"/>
          <w:lang w:val="en-GB"/>
        </w:rPr>
        <w:t xml:space="preserve"> </w:t>
      </w:r>
      <w:r w:rsidRPr="00380B40">
        <w:rPr>
          <w:lang w:val="en-GB"/>
        </w:rPr>
        <w:t>task.</w:t>
      </w:r>
    </w:p>
    <w:p w14:paraId="68BFEC4C" w14:textId="77777777" w:rsidR="00C12517" w:rsidRPr="00380B40" w:rsidRDefault="00C12517" w:rsidP="00C12517">
      <w:pPr>
        <w:pStyle w:val="Note"/>
        <w:rPr>
          <w:lang w:val="en-GB"/>
        </w:rPr>
      </w:pPr>
      <w:r w:rsidRPr="00380B40">
        <w:rPr>
          <w:lang w:val="en-GB"/>
        </w:rPr>
        <w:t>NOTE</w:t>
      </w:r>
      <w:r w:rsidRPr="00380B40">
        <w:rPr>
          <w:spacing w:val="-8"/>
          <w:lang w:val="en-GB"/>
        </w:rPr>
        <w:t xml:space="preserve"> </w:t>
      </w:r>
      <w:r w:rsidRPr="00380B40">
        <w:rPr>
          <w:lang w:val="en-GB"/>
        </w:rPr>
        <w:sym w:font="Symbol" w:char="F02D"/>
      </w:r>
      <w:r w:rsidRPr="00380B40">
        <w:rPr>
          <w:lang w:val="en-GB"/>
        </w:rPr>
        <w:t xml:space="preserve"> The</w:t>
      </w:r>
      <w:r w:rsidRPr="00380B40">
        <w:rPr>
          <w:spacing w:val="-7"/>
          <w:lang w:val="en-GB"/>
        </w:rPr>
        <w:t xml:space="preserve"> </w:t>
      </w:r>
      <w:r w:rsidRPr="00380B40">
        <w:rPr>
          <w:lang w:val="en-GB"/>
        </w:rPr>
        <w:t>progress</w:t>
      </w:r>
      <w:r w:rsidRPr="00380B40">
        <w:rPr>
          <w:spacing w:val="-7"/>
          <w:lang w:val="en-GB"/>
        </w:rPr>
        <w:t xml:space="preserve"> </w:t>
      </w:r>
      <w:r w:rsidRPr="00380B40">
        <w:rPr>
          <w:lang w:val="en-GB"/>
        </w:rPr>
        <w:t>report</w:t>
      </w:r>
      <w:r w:rsidRPr="00380B40">
        <w:rPr>
          <w:spacing w:val="-4"/>
          <w:lang w:val="en-GB"/>
        </w:rPr>
        <w:t xml:space="preserve"> </w:t>
      </w:r>
      <w:r w:rsidRPr="00380B40">
        <w:rPr>
          <w:spacing w:val="-2"/>
          <w:lang w:val="en-GB"/>
        </w:rPr>
        <w:t>may</w:t>
      </w:r>
      <w:r w:rsidRPr="00380B40">
        <w:rPr>
          <w:spacing w:val="-5"/>
          <w:lang w:val="en-GB"/>
        </w:rPr>
        <w:t xml:space="preserve"> </w:t>
      </w:r>
      <w:r w:rsidRPr="00380B40">
        <w:rPr>
          <w:spacing w:val="-2"/>
          <w:lang w:val="en-GB"/>
        </w:rPr>
        <w:t>make</w:t>
      </w:r>
      <w:r w:rsidRPr="00380B40">
        <w:rPr>
          <w:spacing w:val="-5"/>
          <w:lang w:val="en-GB"/>
        </w:rPr>
        <w:t xml:space="preserve"> </w:t>
      </w:r>
      <w:r w:rsidRPr="00380B40">
        <w:rPr>
          <w:lang w:val="en-GB"/>
        </w:rPr>
        <w:t>reference</w:t>
      </w:r>
      <w:r w:rsidRPr="00380B40">
        <w:rPr>
          <w:spacing w:val="-7"/>
          <w:lang w:val="en-GB"/>
        </w:rPr>
        <w:t xml:space="preserve"> </w:t>
      </w:r>
      <w:r w:rsidRPr="00380B40">
        <w:rPr>
          <w:lang w:val="en-GB"/>
        </w:rPr>
        <w:t>to</w:t>
      </w:r>
      <w:r w:rsidRPr="00380B40">
        <w:rPr>
          <w:spacing w:val="-8"/>
          <w:lang w:val="en-GB"/>
        </w:rPr>
        <w:t xml:space="preserve"> </w:t>
      </w:r>
      <w:r w:rsidRPr="00380B40">
        <w:rPr>
          <w:lang w:val="en-GB"/>
        </w:rPr>
        <w:t>the</w:t>
      </w:r>
      <w:r w:rsidRPr="00380B40">
        <w:rPr>
          <w:spacing w:val="-5"/>
          <w:lang w:val="en-GB"/>
        </w:rPr>
        <w:t xml:space="preserve"> </w:t>
      </w:r>
      <w:r w:rsidRPr="00380B40">
        <w:rPr>
          <w:lang w:val="en-GB"/>
        </w:rPr>
        <w:t>meeting</w:t>
      </w:r>
      <w:r w:rsidRPr="00380B40">
        <w:rPr>
          <w:spacing w:val="-8"/>
          <w:lang w:val="en-GB"/>
        </w:rPr>
        <w:t xml:space="preserve"> </w:t>
      </w:r>
      <w:r w:rsidRPr="00380B40">
        <w:rPr>
          <w:lang w:val="en-GB"/>
        </w:rPr>
        <w:t>reports</w:t>
      </w:r>
      <w:r w:rsidRPr="00380B40">
        <w:rPr>
          <w:spacing w:val="-7"/>
          <w:lang w:val="en-GB"/>
        </w:rPr>
        <w:t xml:space="preserve"> </w:t>
      </w:r>
      <w:r w:rsidRPr="00380B40">
        <w:rPr>
          <w:lang w:val="en-GB"/>
        </w:rPr>
        <w:t>(see</w:t>
      </w:r>
      <w:r w:rsidRPr="00380B40">
        <w:rPr>
          <w:spacing w:val="-5"/>
          <w:lang w:val="en-GB"/>
        </w:rPr>
        <w:t xml:space="preserve"> </w:t>
      </w:r>
      <w:r w:rsidRPr="00380B40">
        <w:rPr>
          <w:lang w:val="en-GB"/>
        </w:rPr>
        <w:t>clause 2.3.3.12)</w:t>
      </w:r>
      <w:r w:rsidRPr="00380B40">
        <w:rPr>
          <w:spacing w:val="-7"/>
          <w:lang w:val="en-GB"/>
        </w:rPr>
        <w:t xml:space="preserve"> </w:t>
      </w:r>
      <w:r w:rsidRPr="00380B40">
        <w:rPr>
          <w:lang w:val="en-GB"/>
        </w:rPr>
        <w:t>in</w:t>
      </w:r>
      <w:r w:rsidRPr="00380B40">
        <w:rPr>
          <w:spacing w:val="-5"/>
          <w:lang w:val="en-GB"/>
        </w:rPr>
        <w:t xml:space="preserve"> </w:t>
      </w:r>
      <w:r w:rsidRPr="00380B40">
        <w:rPr>
          <w:lang w:val="en-GB"/>
        </w:rPr>
        <w:t>order</w:t>
      </w:r>
      <w:r w:rsidRPr="00380B40">
        <w:rPr>
          <w:spacing w:val="-7"/>
          <w:lang w:val="en-GB"/>
        </w:rPr>
        <w:t xml:space="preserve"> </w:t>
      </w:r>
      <w:r w:rsidRPr="00380B40">
        <w:rPr>
          <w:lang w:val="en-GB"/>
        </w:rPr>
        <w:t>to</w:t>
      </w:r>
      <w:r w:rsidRPr="00380B40">
        <w:rPr>
          <w:spacing w:val="-5"/>
          <w:lang w:val="en-GB"/>
        </w:rPr>
        <w:t xml:space="preserve"> </w:t>
      </w:r>
      <w:r w:rsidRPr="00380B40">
        <w:rPr>
          <w:lang w:val="en-GB"/>
        </w:rPr>
        <w:t>avoid</w:t>
      </w:r>
      <w:r w:rsidRPr="00380B40">
        <w:rPr>
          <w:spacing w:val="61"/>
          <w:lang w:val="en-GB"/>
        </w:rPr>
        <w:t xml:space="preserve"> </w:t>
      </w:r>
      <w:r w:rsidRPr="00380B40">
        <w:rPr>
          <w:lang w:val="en-GB"/>
        </w:rPr>
        <w:t>duplication of</w:t>
      </w:r>
      <w:r w:rsidRPr="00380B40">
        <w:rPr>
          <w:spacing w:val="-2"/>
          <w:lang w:val="en-GB"/>
        </w:rPr>
        <w:t xml:space="preserve"> </w:t>
      </w:r>
      <w:r w:rsidRPr="00380B40">
        <w:rPr>
          <w:lang w:val="en-GB"/>
        </w:rPr>
        <w:t>information.</w:t>
      </w:r>
    </w:p>
    <w:p w14:paraId="25D90A29" w14:textId="77777777" w:rsidR="00E96E4D" w:rsidRPr="00380B40" w:rsidRDefault="00E96E4D" w:rsidP="00C12517">
      <w:pPr>
        <w:pStyle w:val="Note"/>
        <w:rPr>
          <w:lang w:val="en-GB"/>
        </w:rPr>
      </w:pPr>
    </w:p>
    <w:p w14:paraId="1267859D" w14:textId="77777777" w:rsidR="00E96E4D" w:rsidRPr="00380B40" w:rsidRDefault="00E96E4D" w:rsidP="00C12517">
      <w:pPr>
        <w:pStyle w:val="Note"/>
        <w:rPr>
          <w:lang w:val="en-GB"/>
        </w:rPr>
      </w:pPr>
    </w:p>
    <w:p w14:paraId="287D8CC9" w14:textId="77777777" w:rsidR="00E96E4D" w:rsidRPr="00380B40" w:rsidRDefault="00E96E4D" w:rsidP="00C12517">
      <w:pPr>
        <w:pStyle w:val="Note"/>
        <w:rPr>
          <w:lang w:val="en-GB"/>
        </w:rPr>
      </w:pPr>
    </w:p>
    <w:p w14:paraId="738ED00F" w14:textId="77777777" w:rsidR="00E96E4D" w:rsidRPr="00380B40" w:rsidRDefault="00E96E4D" w:rsidP="00C12517">
      <w:pPr>
        <w:pStyle w:val="Note"/>
        <w:rPr>
          <w:spacing w:val="-1"/>
          <w:lang w:val="en-GB"/>
        </w:rPr>
      </w:pPr>
    </w:p>
    <w:p w14:paraId="48D0D5DF" w14:textId="77777777" w:rsidR="00C12517" w:rsidRPr="00380B40" w:rsidRDefault="00C12517" w:rsidP="00C12517">
      <w:pPr>
        <w:widowControl w:val="0"/>
        <w:tabs>
          <w:tab w:val="clear" w:pos="794"/>
          <w:tab w:val="clear" w:pos="1191"/>
          <w:tab w:val="clear" w:pos="1588"/>
          <w:tab w:val="clear" w:pos="1985"/>
        </w:tabs>
        <w:overflowPunct/>
        <w:autoSpaceDE/>
        <w:autoSpaceDN/>
        <w:adjustRightInd/>
        <w:spacing w:before="0"/>
        <w:jc w:val="left"/>
        <w:textAlignment w:val="auto"/>
        <w:rPr>
          <w:b/>
          <w:sz w:val="28"/>
          <w:lang w:val="en-GB"/>
        </w:rPr>
      </w:pPr>
      <w:bookmarkStart w:id="748" w:name="_Toc20738338"/>
      <w:r w:rsidRPr="00380B40">
        <w:rPr>
          <w:lang w:val="en-GB"/>
        </w:rPr>
        <w:br w:type="page"/>
      </w:r>
    </w:p>
    <w:p w14:paraId="0EA9A0C2" w14:textId="77777777" w:rsidR="00C12517" w:rsidRPr="00380B40" w:rsidRDefault="00C12517" w:rsidP="00C12517">
      <w:pPr>
        <w:pStyle w:val="AppendixNoTitle"/>
        <w:rPr>
          <w:lang w:val="en-GB"/>
        </w:rPr>
      </w:pPr>
      <w:bookmarkStart w:id="749" w:name="_Toc21093752"/>
      <w:bookmarkStart w:id="750" w:name="_Toc22280361"/>
      <w:bookmarkStart w:id="751" w:name="_Toc111636858"/>
      <w:r w:rsidRPr="00380B40">
        <w:rPr>
          <w:lang w:val="en-GB"/>
        </w:rPr>
        <w:t>Bibliography</w:t>
      </w:r>
      <w:bookmarkEnd w:id="748"/>
      <w:bookmarkEnd w:id="749"/>
      <w:bookmarkEnd w:id="750"/>
      <w:bookmarkEnd w:id="751"/>
    </w:p>
    <w:p w14:paraId="1C88F6AA" w14:textId="77777777" w:rsidR="00240527" w:rsidRPr="00380B40" w:rsidRDefault="00240527" w:rsidP="00240527">
      <w:pPr>
        <w:rPr>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240527" w:rsidRPr="00380B40" w14:paraId="30163695" w14:textId="77777777" w:rsidTr="00C91A38">
        <w:tc>
          <w:tcPr>
            <w:tcW w:w="1000" w:type="pct"/>
          </w:tcPr>
          <w:p w14:paraId="4D6B9679" w14:textId="77777777" w:rsidR="00240527" w:rsidRPr="00380B40" w:rsidRDefault="00240527" w:rsidP="00240527">
            <w:pPr>
              <w:jc w:val="left"/>
              <w:rPr>
                <w:lang w:val="en-GB"/>
              </w:rPr>
            </w:pPr>
            <w:r w:rsidRPr="00380B40">
              <w:rPr>
                <w:lang w:val="en-GB"/>
              </w:rPr>
              <w:t>[b-ITU-T A.13]</w:t>
            </w:r>
          </w:p>
        </w:tc>
        <w:tc>
          <w:tcPr>
            <w:tcW w:w="4000" w:type="pct"/>
          </w:tcPr>
          <w:p w14:paraId="33787B12" w14:textId="77777777" w:rsidR="00240527" w:rsidRPr="00380B40" w:rsidRDefault="00240527" w:rsidP="004E4CA9">
            <w:pPr>
              <w:jc w:val="left"/>
              <w:rPr>
                <w:lang w:val="fr-CH"/>
              </w:rPr>
            </w:pPr>
            <w:r w:rsidRPr="00380B40">
              <w:rPr>
                <w:rFonts w:eastAsia="Batang"/>
                <w:lang w:val="fr-CH"/>
              </w:rPr>
              <w:t xml:space="preserve">Recommendation ITU-T A.13 (2019), </w:t>
            </w:r>
            <w:r w:rsidRPr="00380B40">
              <w:rPr>
                <w:rFonts w:eastAsia="Batang"/>
                <w:i/>
                <w:iCs/>
                <w:lang w:val="fr-CH"/>
              </w:rPr>
              <w:t>Non-normative ITU-T publications, including Supplements to ITU-T Recommendations</w:t>
            </w:r>
            <w:r w:rsidRPr="00380B40">
              <w:rPr>
                <w:rFonts w:eastAsia="Batang"/>
                <w:lang w:val="fr-CH"/>
              </w:rPr>
              <w:t>.</w:t>
            </w:r>
          </w:p>
        </w:tc>
      </w:tr>
      <w:tr w:rsidR="00240527" w:rsidRPr="004E0F36" w14:paraId="4EDF1F84" w14:textId="77777777" w:rsidTr="00C91A38">
        <w:tc>
          <w:tcPr>
            <w:tcW w:w="1000" w:type="pct"/>
          </w:tcPr>
          <w:p w14:paraId="5F38D22F" w14:textId="77777777" w:rsidR="00240527" w:rsidRPr="00380B40" w:rsidRDefault="00240527" w:rsidP="004E4CA9">
            <w:pPr>
              <w:jc w:val="left"/>
              <w:rPr>
                <w:lang w:val="en-GB"/>
              </w:rPr>
            </w:pPr>
            <w:r w:rsidRPr="00380B40">
              <w:rPr>
                <w:rFonts w:eastAsia="Batang"/>
                <w:lang w:val="en-GB"/>
              </w:rPr>
              <w:t>[b-ITU-T A.sup5]</w:t>
            </w:r>
          </w:p>
        </w:tc>
        <w:tc>
          <w:tcPr>
            <w:tcW w:w="4000" w:type="pct"/>
          </w:tcPr>
          <w:p w14:paraId="21E45009" w14:textId="77777777" w:rsidR="00240527" w:rsidRPr="00380B40" w:rsidRDefault="00240527" w:rsidP="004E4CA9">
            <w:pPr>
              <w:jc w:val="left"/>
              <w:rPr>
                <w:lang w:val="en-US"/>
              </w:rPr>
            </w:pPr>
            <w:r w:rsidRPr="00380B40">
              <w:rPr>
                <w:rFonts w:eastAsia="Batang"/>
                <w:lang w:val="en-GB"/>
              </w:rPr>
              <w:t xml:space="preserve">ITU-T A-series Recommendations – Supplement 5 (2016), </w:t>
            </w:r>
            <w:r w:rsidRPr="00380B40">
              <w:rPr>
                <w:rFonts w:eastAsia="Batang"/>
                <w:i/>
                <w:lang w:val="en-GB"/>
              </w:rPr>
              <w:t>Guidelines for collaboration and exchange of information with other organizations</w:t>
            </w:r>
            <w:r w:rsidRPr="00380B40">
              <w:rPr>
                <w:rFonts w:eastAsia="Batang"/>
                <w:lang w:val="en-GB"/>
              </w:rPr>
              <w:t>.</w:t>
            </w:r>
          </w:p>
        </w:tc>
      </w:tr>
    </w:tbl>
    <w:p w14:paraId="60C8F846" w14:textId="77777777" w:rsidR="00240527" w:rsidRPr="00380B40" w:rsidRDefault="00240527" w:rsidP="00240527">
      <w:pPr>
        <w:rPr>
          <w:lang w:val="en-US"/>
        </w:rPr>
      </w:pPr>
    </w:p>
    <w:p w14:paraId="18E96FCC" w14:textId="77777777" w:rsidR="00BB656D" w:rsidRPr="00380B40" w:rsidRDefault="00BB656D" w:rsidP="008C3E8D">
      <w:pPr>
        <w:pStyle w:val="Note"/>
        <w:rPr>
          <w:lang w:val="en-GB"/>
        </w:rPr>
      </w:pPr>
    </w:p>
    <w:p w14:paraId="4E729AD5" w14:textId="77777777" w:rsidR="00240527" w:rsidRPr="00380B40" w:rsidRDefault="00240527" w:rsidP="008C3E8D">
      <w:pPr>
        <w:pStyle w:val="Note"/>
        <w:rPr>
          <w:lang w:val="en-GB"/>
        </w:rPr>
      </w:pPr>
    </w:p>
    <w:p w14:paraId="1DAAC049" w14:textId="77777777" w:rsidR="00E96E4D" w:rsidRPr="00380B40" w:rsidRDefault="00E96E4D" w:rsidP="008C3E8D">
      <w:pPr>
        <w:pStyle w:val="Note"/>
        <w:rPr>
          <w:lang w:val="en-GB"/>
        </w:rPr>
      </w:pPr>
    </w:p>
    <w:p w14:paraId="3A9F815E" w14:textId="77777777" w:rsidR="00E96E4D" w:rsidRPr="00380B40" w:rsidRDefault="00E96E4D" w:rsidP="008C3E8D">
      <w:pPr>
        <w:pStyle w:val="Note"/>
        <w:rPr>
          <w:lang w:val="en-GB"/>
        </w:rPr>
      </w:pPr>
    </w:p>
    <w:p w14:paraId="1432CC9E" w14:textId="77777777" w:rsidR="00E96E4D" w:rsidRPr="00380B40" w:rsidRDefault="00E96E4D" w:rsidP="008C3E8D">
      <w:pPr>
        <w:pStyle w:val="Note"/>
        <w:rPr>
          <w:lang w:val="en-GB"/>
        </w:rPr>
      </w:pPr>
    </w:p>
    <w:p w14:paraId="7BE0783A" w14:textId="77777777" w:rsidR="00E96E4D" w:rsidRPr="00380B40" w:rsidRDefault="00E96E4D" w:rsidP="008C3E8D">
      <w:pPr>
        <w:pStyle w:val="Note"/>
        <w:rPr>
          <w:lang w:val="en-GB"/>
        </w:rPr>
      </w:pPr>
    </w:p>
    <w:p w14:paraId="6D713710" w14:textId="77777777" w:rsidR="00E96E4D" w:rsidRPr="00380B40" w:rsidRDefault="00E96E4D" w:rsidP="008C3E8D">
      <w:pPr>
        <w:pStyle w:val="Note"/>
        <w:rPr>
          <w:lang w:val="en-GB"/>
        </w:rPr>
      </w:pPr>
    </w:p>
    <w:p w14:paraId="2B5A5388" w14:textId="77777777" w:rsidR="00E96E4D" w:rsidRPr="00380B40" w:rsidRDefault="00E96E4D" w:rsidP="008C3E8D">
      <w:pPr>
        <w:pStyle w:val="Note"/>
        <w:rPr>
          <w:lang w:val="en-GB"/>
        </w:rPr>
      </w:pPr>
    </w:p>
    <w:p w14:paraId="43433F7B" w14:textId="77777777" w:rsidR="00E96E4D" w:rsidRPr="00380B40" w:rsidRDefault="00E96E4D" w:rsidP="008C3E8D">
      <w:pPr>
        <w:pStyle w:val="Note"/>
        <w:rPr>
          <w:lang w:val="en-GB"/>
        </w:rPr>
      </w:pPr>
    </w:p>
    <w:p w14:paraId="05E71892" w14:textId="77777777" w:rsidR="00E96E4D" w:rsidRPr="00380B40" w:rsidRDefault="00E96E4D" w:rsidP="008C3E8D">
      <w:pPr>
        <w:pStyle w:val="Note"/>
        <w:rPr>
          <w:lang w:val="en-GB"/>
        </w:rPr>
      </w:pPr>
    </w:p>
    <w:p w14:paraId="0DA64613" w14:textId="77777777" w:rsidR="00E96E4D" w:rsidRPr="00380B40" w:rsidRDefault="00E96E4D" w:rsidP="008C3E8D">
      <w:pPr>
        <w:pStyle w:val="Note"/>
        <w:rPr>
          <w:lang w:val="en-GB"/>
        </w:rPr>
      </w:pPr>
    </w:p>
    <w:p w14:paraId="3EDB00BF" w14:textId="77777777" w:rsidR="00E96E4D" w:rsidRPr="00380B40" w:rsidRDefault="00E96E4D" w:rsidP="008C3E8D">
      <w:pPr>
        <w:pStyle w:val="Note"/>
        <w:rPr>
          <w:lang w:val="en-GB"/>
        </w:rPr>
      </w:pPr>
    </w:p>
    <w:p w14:paraId="72B881EA" w14:textId="77777777" w:rsidR="00E96E4D" w:rsidRPr="00380B40" w:rsidRDefault="00E96E4D" w:rsidP="008C3E8D">
      <w:pPr>
        <w:pStyle w:val="Note"/>
        <w:rPr>
          <w:lang w:val="en-GB"/>
        </w:rPr>
      </w:pPr>
    </w:p>
    <w:p w14:paraId="2B5CE8BE" w14:textId="77777777" w:rsidR="00E96E4D" w:rsidRPr="00380B40" w:rsidRDefault="00E96E4D" w:rsidP="008C3E8D">
      <w:pPr>
        <w:pStyle w:val="Note"/>
        <w:rPr>
          <w:lang w:val="en-GB"/>
        </w:rPr>
      </w:pPr>
    </w:p>
    <w:p w14:paraId="265988E2" w14:textId="77777777" w:rsidR="00E96E4D" w:rsidRPr="00380B40" w:rsidRDefault="00E96E4D" w:rsidP="008C3E8D">
      <w:pPr>
        <w:pStyle w:val="Note"/>
        <w:rPr>
          <w:lang w:val="en-GB"/>
        </w:rPr>
      </w:pPr>
    </w:p>
    <w:p w14:paraId="53E500FF" w14:textId="77777777" w:rsidR="00E96E4D" w:rsidRPr="00380B40" w:rsidRDefault="00E96E4D" w:rsidP="008C3E8D">
      <w:pPr>
        <w:pStyle w:val="Note"/>
        <w:rPr>
          <w:lang w:val="en-GB"/>
        </w:rPr>
      </w:pPr>
    </w:p>
    <w:p w14:paraId="136407A3" w14:textId="77777777" w:rsidR="00E96E4D" w:rsidRPr="00380B40" w:rsidRDefault="00E96E4D" w:rsidP="008C3E8D">
      <w:pPr>
        <w:pStyle w:val="Note"/>
        <w:rPr>
          <w:lang w:val="en-GB"/>
        </w:rPr>
      </w:pPr>
    </w:p>
    <w:p w14:paraId="7F85B940" w14:textId="77777777" w:rsidR="00E96E4D" w:rsidRPr="00380B40" w:rsidRDefault="00E96E4D" w:rsidP="008C3E8D">
      <w:pPr>
        <w:pStyle w:val="Note"/>
        <w:rPr>
          <w:lang w:val="en-GB"/>
        </w:rPr>
      </w:pPr>
    </w:p>
    <w:p w14:paraId="4820BF91" w14:textId="77777777" w:rsidR="00E96E4D" w:rsidRPr="00380B40" w:rsidRDefault="00E96E4D" w:rsidP="008C3E8D">
      <w:pPr>
        <w:pStyle w:val="Note"/>
        <w:rPr>
          <w:lang w:val="en-GB"/>
        </w:rPr>
      </w:pPr>
    </w:p>
    <w:p w14:paraId="2B61E622" w14:textId="77777777" w:rsidR="00E96E4D" w:rsidRPr="00380B40" w:rsidRDefault="00E96E4D" w:rsidP="008C3E8D">
      <w:pPr>
        <w:pStyle w:val="Note"/>
        <w:rPr>
          <w:lang w:val="en-GB"/>
        </w:rPr>
      </w:pPr>
    </w:p>
    <w:p w14:paraId="65C672A0" w14:textId="77777777" w:rsidR="007E52B2" w:rsidRPr="00380B40" w:rsidRDefault="007E52B2" w:rsidP="008C3E8D">
      <w:pPr>
        <w:rPr>
          <w:lang w:val="en-GB"/>
        </w:rPr>
        <w:sectPr w:rsidR="007E52B2" w:rsidRPr="00380B40" w:rsidSect="001E337A">
          <w:footerReference w:type="even" r:id="rId358"/>
          <w:footerReference w:type="default" r:id="rId359"/>
          <w:footnotePr>
            <w:numRestart w:val="eachSect"/>
          </w:footnotePr>
          <w:type w:val="oddPage"/>
          <w:pgSz w:w="11907" w:h="16840" w:code="9"/>
          <w:pgMar w:top="1134" w:right="1134" w:bottom="1134" w:left="1134" w:header="567" w:footer="567" w:gutter="0"/>
          <w:paperSrc w:first="15" w:other="15"/>
          <w:cols w:space="720"/>
          <w:vAlign w:val="both"/>
          <w:docGrid w:linePitch="326"/>
        </w:sectPr>
      </w:pPr>
    </w:p>
    <w:p w14:paraId="092860E2" w14:textId="77777777" w:rsidR="007E52B2" w:rsidRPr="00380B40" w:rsidRDefault="007E52B2" w:rsidP="008C3E8D">
      <w:pPr>
        <w:pStyle w:val="RecNo"/>
        <w:rPr>
          <w:lang w:val="en-GB"/>
        </w:rPr>
      </w:pPr>
      <w:bookmarkStart w:id="752" w:name="_Toc104459815"/>
      <w:bookmarkStart w:id="753" w:name="_Toc111636859"/>
      <w:bookmarkStart w:id="754" w:name="_Toc111638524"/>
      <w:r w:rsidRPr="00380B40">
        <w:rPr>
          <w:lang w:val="en-GB"/>
        </w:rPr>
        <w:t xml:space="preserve">Recommendation ITU-T </w:t>
      </w:r>
      <w:r w:rsidRPr="00380B40">
        <w:rPr>
          <w:rStyle w:val="href"/>
          <w:lang w:val="en-GB"/>
        </w:rPr>
        <w:t>A.2</w:t>
      </w:r>
      <w:bookmarkEnd w:id="752"/>
      <w:bookmarkEnd w:id="753"/>
      <w:bookmarkEnd w:id="754"/>
    </w:p>
    <w:p w14:paraId="6D198222" w14:textId="77777777" w:rsidR="00C12517" w:rsidRPr="00380B40" w:rsidRDefault="00C12517" w:rsidP="00C12517">
      <w:pPr>
        <w:pStyle w:val="Rectitle"/>
        <w:rPr>
          <w:lang w:val="en-GB"/>
        </w:rPr>
      </w:pPr>
      <w:bookmarkStart w:id="755" w:name="_Toc104459816"/>
      <w:bookmarkStart w:id="756" w:name="_Toc111638525"/>
      <w:r w:rsidRPr="00380B40">
        <w:rPr>
          <w:lang w:val="en-GB"/>
        </w:rPr>
        <w:t>Presentation of contributions to the ITU</w:t>
      </w:r>
      <w:r w:rsidRPr="00380B40">
        <w:rPr>
          <w:lang w:val="en-GB"/>
        </w:rPr>
        <w:br/>
        <w:t>Telecommunication Standardization Sector</w:t>
      </w:r>
      <w:bookmarkEnd w:id="755"/>
      <w:bookmarkEnd w:id="756"/>
    </w:p>
    <w:p w14:paraId="06A24FDC" w14:textId="77777777" w:rsidR="00C12517" w:rsidRPr="00380B40" w:rsidRDefault="00C12517" w:rsidP="00FD3C79">
      <w:pPr>
        <w:pStyle w:val="Recref"/>
        <w:rPr>
          <w:lang w:val="en-GB"/>
        </w:rPr>
      </w:pPr>
      <w:r w:rsidRPr="00380B40">
        <w:rPr>
          <w:lang w:val="en-GB"/>
        </w:rPr>
        <w:t>(1984; 1988; 1993; 1996; 2000; 2004; 2008; 2012)</w:t>
      </w:r>
    </w:p>
    <w:p w14:paraId="1BDE67FE" w14:textId="77777777" w:rsidR="00C12517" w:rsidRPr="00380B40" w:rsidRDefault="00C12517" w:rsidP="00C12517">
      <w:pPr>
        <w:rPr>
          <w:lang w:val="en-GB"/>
        </w:rPr>
      </w:pPr>
      <w:r w:rsidRPr="00380B40">
        <w:rPr>
          <w:b/>
          <w:bCs/>
          <w:lang w:val="en-GB"/>
        </w:rPr>
        <w:t>1</w:t>
      </w:r>
      <w:r w:rsidRPr="00380B40">
        <w:rPr>
          <w:lang w:val="en-GB"/>
        </w:rPr>
        <w:tab/>
        <w:t>With regard to the presentation of contributions to the study of Questions assigned to the ITU Telecommunication Standardization Sector (ITU</w:t>
      </w:r>
      <w:r w:rsidRPr="00380B40">
        <w:rPr>
          <w:lang w:val="en-GB"/>
        </w:rPr>
        <w:noBreakHyphen/>
        <w:t>T), the following general directives should be applied:</w:t>
      </w:r>
    </w:p>
    <w:p w14:paraId="3E48302C" w14:textId="77777777" w:rsidR="00C12517" w:rsidRPr="00380B40" w:rsidRDefault="00C12517" w:rsidP="00C12517">
      <w:pPr>
        <w:pStyle w:val="enumlev1"/>
        <w:rPr>
          <w:lang w:val="en-GB"/>
        </w:rPr>
      </w:pPr>
      <w:r w:rsidRPr="00380B40">
        <w:rPr>
          <w:lang w:val="en-GB"/>
        </w:rPr>
        <w:t>a)</w:t>
      </w:r>
      <w:r w:rsidRPr="00380B40">
        <w:rPr>
          <w:lang w:val="en-GB"/>
        </w:rPr>
        <w:tab/>
        <w:t xml:space="preserve">Contributions should be concisely drafted, avoiding unnecessary details, tables or statistics that make no direct contribution to the study of a Question. They should be clearly written with a view to being universally understood, i.e. they should be as codified as possible, use international terminology and avoid the technical jargon peculiar to the author's country. Contributors should use the units, letter symbols and graphical symbols of the international system of units (SI) as supported by the International Organization for Standardization (ISO) and the International Electrotechnical Commission (IEC). In addition, Coordinated Universal Time (UTC) should be used to designate time. </w:t>
      </w:r>
    </w:p>
    <w:p w14:paraId="726CEAF6" w14:textId="77777777" w:rsidR="00C12517" w:rsidRPr="00380B40" w:rsidRDefault="00C12517" w:rsidP="00C12517">
      <w:pPr>
        <w:pStyle w:val="enumlev1"/>
        <w:rPr>
          <w:lang w:val="en-GB"/>
        </w:rPr>
      </w:pPr>
      <w:r w:rsidRPr="00380B40">
        <w:rPr>
          <w:lang w:val="en-GB"/>
        </w:rPr>
        <w:t>b)</w:t>
      </w:r>
      <w:r w:rsidRPr="00380B40">
        <w:rPr>
          <w:lang w:val="en-GB"/>
        </w:rPr>
        <w:tab/>
        <w:t>A contribution should not, as a rule, exceed about 2500 words (requiring no more than five printed pages to be distributed), nor should it include more than three pages of figures (making eight pages in all). It should be accompanied by an abstract that is no more than 150-200 words, and which summarizes the aim of the contribution and its technical content. Whenever possible, a section with the heading Rationale (or Discussion) should be used for the main text, which sets forth the essential information required for justifying the proposals or conclusions of the contribution. The contribution should end with a Proposal or, if not feasible, a Conclusion (both if required). For self-explanatory proposals, the rationale section may be omitted. These directives do not apply to draft Recommendations.</w:t>
      </w:r>
    </w:p>
    <w:p w14:paraId="577EDD8C" w14:textId="77777777" w:rsidR="00C12517" w:rsidRPr="00380B40" w:rsidRDefault="00C12517" w:rsidP="00C12517">
      <w:pPr>
        <w:pStyle w:val="enumlev1"/>
        <w:rPr>
          <w:lang w:val="en-GB"/>
        </w:rPr>
      </w:pPr>
      <w:r w:rsidRPr="00380B40">
        <w:rPr>
          <w:lang w:val="en-GB"/>
        </w:rPr>
        <w:t>c)</w:t>
      </w:r>
      <w:r w:rsidRPr="00380B40">
        <w:rPr>
          <w:lang w:val="en-GB"/>
        </w:rPr>
        <w:tab/>
        <w:t>Documents of purely theoretical interest that are not directly related to the Questions under study should not be submitted.</w:t>
      </w:r>
    </w:p>
    <w:p w14:paraId="39061934" w14:textId="77777777" w:rsidR="00C12517" w:rsidRPr="00380B40" w:rsidRDefault="00C12517" w:rsidP="00C12517">
      <w:pPr>
        <w:pStyle w:val="enumlev1"/>
        <w:rPr>
          <w:lang w:val="en-GB"/>
        </w:rPr>
      </w:pPr>
      <w:r w:rsidRPr="00380B40">
        <w:rPr>
          <w:lang w:val="en-GB"/>
        </w:rPr>
        <w:t>d)</w:t>
      </w:r>
      <w:r w:rsidRPr="00380B40">
        <w:rPr>
          <w:lang w:val="en-GB"/>
        </w:rPr>
        <w:tab/>
        <w:t>Articles that have been or are to be published in the technical press should not be submitted to ITU</w:t>
      </w:r>
      <w:r w:rsidRPr="00380B40">
        <w:rPr>
          <w:lang w:val="en-GB"/>
        </w:rPr>
        <w:noBreakHyphen/>
        <w:t>T, unless they relate directly to Questions under study.</w:t>
      </w:r>
    </w:p>
    <w:p w14:paraId="3A01B576" w14:textId="77777777" w:rsidR="00C12517" w:rsidRPr="00380B40" w:rsidRDefault="00C12517" w:rsidP="00C12517">
      <w:pPr>
        <w:pStyle w:val="enumlev1"/>
        <w:rPr>
          <w:lang w:val="en-GB"/>
        </w:rPr>
      </w:pPr>
      <w:r w:rsidRPr="00380B40">
        <w:rPr>
          <w:lang w:val="en-GB"/>
        </w:rPr>
        <w:t>e)</w:t>
      </w:r>
      <w:r w:rsidRPr="00380B40">
        <w:rPr>
          <w:lang w:val="en-GB"/>
        </w:rPr>
        <w:tab/>
        <w:t>Passages of an unduly commercial nature included in a contribution may be deleted by the Director of the Telecommunication Standardization Bureau (TSB) in agreement with the chairman; the author of the contribution shall be advised of any such deletions.</w:t>
      </w:r>
    </w:p>
    <w:p w14:paraId="6E9B33F9" w14:textId="77777777" w:rsidR="00C12517" w:rsidRPr="00380B40" w:rsidRDefault="00C12517" w:rsidP="00C12517">
      <w:pPr>
        <w:rPr>
          <w:lang w:val="en-GB"/>
        </w:rPr>
      </w:pPr>
      <w:r w:rsidRPr="00380B40">
        <w:rPr>
          <w:lang w:val="en-GB"/>
        </w:rPr>
        <w:t>Detailed guidelines recommended for the preparation of contributions are provided in Appendix I. Details on the presentation of ITU</w:t>
      </w:r>
      <w:r w:rsidRPr="00380B40">
        <w:rPr>
          <w:lang w:val="en-GB"/>
        </w:rPr>
        <w:noBreakHyphen/>
        <w:t>T texts can be found in the "Author's Guide for drafting ITU</w:t>
      </w:r>
      <w:r w:rsidRPr="00380B40">
        <w:rPr>
          <w:lang w:val="en-GB"/>
        </w:rPr>
        <w:noBreakHyphen/>
        <w:t>T Recommendations" (referred to as "Guide" in the following).</w:t>
      </w:r>
    </w:p>
    <w:p w14:paraId="5325DBEE" w14:textId="77777777" w:rsidR="00366EC0" w:rsidRPr="00380B40" w:rsidRDefault="00366EC0" w:rsidP="00C12517">
      <w:pPr>
        <w:rPr>
          <w:b/>
          <w:bCs/>
          <w:lang w:val="en-GB"/>
        </w:rPr>
      </w:pPr>
      <w:r w:rsidRPr="00380B40">
        <w:rPr>
          <w:b/>
          <w:bCs/>
          <w:lang w:val="en-GB"/>
        </w:rPr>
        <w:br w:type="page"/>
      </w:r>
    </w:p>
    <w:p w14:paraId="6E7318B1" w14:textId="77777777" w:rsidR="00C12517" w:rsidRPr="00380B40" w:rsidRDefault="00C12517" w:rsidP="00C12517">
      <w:pPr>
        <w:rPr>
          <w:lang w:val="en-GB"/>
        </w:rPr>
      </w:pPr>
      <w:r w:rsidRPr="00380B40">
        <w:rPr>
          <w:b/>
          <w:bCs/>
          <w:lang w:val="en-GB"/>
        </w:rPr>
        <w:t>2</w:t>
      </w:r>
      <w:r w:rsidRPr="00380B40">
        <w:rPr>
          <w:lang w:val="en-GB"/>
        </w:rPr>
        <w:tab/>
        <w:t>With regard to the submission of contributions and TDs (including liaison statements), all documents to ITU</w:t>
      </w:r>
      <w:r w:rsidRPr="00380B40">
        <w:rPr>
          <w:lang w:val="en-GB"/>
        </w:rPr>
        <w:noBreakHyphen/>
        <w:t>T should, as far as possible, be sent using electronic means; if no such facilities are available to the contributor, submission of paper only copies is acceptable.</w:t>
      </w:r>
    </w:p>
    <w:p w14:paraId="50873955" w14:textId="77777777" w:rsidR="00C12517" w:rsidRPr="00380B40" w:rsidRDefault="00C12517" w:rsidP="00C12517">
      <w:pPr>
        <w:rPr>
          <w:lang w:val="en-GB"/>
        </w:rPr>
      </w:pPr>
      <w:r w:rsidRPr="00380B40">
        <w:rPr>
          <w:lang w:val="en-GB"/>
        </w:rPr>
        <w:t>Electronic submission facilities include e-mail and the ITU web-based interface. Detailed information and instructions for these methods are maintained by TSB on the ITU</w:t>
      </w:r>
      <w:r w:rsidRPr="00380B40">
        <w:rPr>
          <w:lang w:val="en-GB"/>
        </w:rPr>
        <w:noBreakHyphen/>
        <w:t xml:space="preserve">T website and disseminated periodically via TSB circular. </w:t>
      </w:r>
    </w:p>
    <w:p w14:paraId="6EAF559B" w14:textId="77777777" w:rsidR="00C12517" w:rsidRPr="00380B40" w:rsidRDefault="00C12517" w:rsidP="00C12517">
      <w:pPr>
        <w:rPr>
          <w:lang w:val="en-GB"/>
        </w:rPr>
      </w:pPr>
      <w:r w:rsidRPr="00380B40">
        <w:rPr>
          <w:lang w:val="en-GB"/>
        </w:rPr>
        <w:t>If contributions are submitted as paper documents, they shall be addressed to TSB and copied to the study group chairmen and vice-chairmen, working party chairmen and concerned rapporteur(s).</w:t>
      </w:r>
    </w:p>
    <w:p w14:paraId="57741272" w14:textId="77777777" w:rsidR="00C12517" w:rsidRPr="00380B40" w:rsidRDefault="00C12517" w:rsidP="00C12517">
      <w:pPr>
        <w:rPr>
          <w:lang w:val="en-GB"/>
        </w:rPr>
      </w:pPr>
      <w:r w:rsidRPr="00380B40">
        <w:rPr>
          <w:b/>
          <w:bCs/>
          <w:lang w:val="en-GB"/>
        </w:rPr>
        <w:t>3</w:t>
      </w:r>
      <w:r w:rsidRPr="00380B40">
        <w:rPr>
          <w:lang w:val="en-GB"/>
        </w:rPr>
        <w:tab/>
        <w:t>Contributions should be printable in A4 format, as far as possible. The first page must have the standard layout of ITU</w:t>
      </w:r>
      <w:r w:rsidRPr="00380B40">
        <w:rPr>
          <w:lang w:val="en-GB"/>
        </w:rPr>
        <w:noBreakHyphen/>
        <w:t>T contributions. Drafts must be in one or more of the official and working languages of the Union. When existing ITU</w:t>
      </w:r>
      <w:r w:rsidRPr="00380B40">
        <w:rPr>
          <w:lang w:val="en-GB"/>
        </w:rPr>
        <w:noBreakHyphen/>
        <w:t>T texts already translated have been used in some parts of a contribution, a copy of the contribution with a precise reference to the original sources also should be sent to TSB. If ITU</w:t>
      </w:r>
      <w:r w:rsidRPr="00380B40">
        <w:rPr>
          <w:lang w:val="en-GB"/>
        </w:rPr>
        <w:noBreakHyphen/>
        <w:t>T figures are used in the contributions, the ITU</w:t>
      </w:r>
      <w:r w:rsidRPr="00380B40">
        <w:rPr>
          <w:lang w:val="en-GB"/>
        </w:rPr>
        <w:noBreakHyphen/>
        <w:t>T number must not be deleted, but if the figure has been modified, the abbreviation "mod" should be added after the number. If not required by further development of the text, use of colours in the text of contributions or other submitted documents should be avoided.</w:t>
      </w:r>
    </w:p>
    <w:p w14:paraId="1AF47210" w14:textId="77777777" w:rsidR="00C12517" w:rsidRPr="00380B40" w:rsidRDefault="00C12517" w:rsidP="00C12517">
      <w:pPr>
        <w:rPr>
          <w:lang w:val="en-GB"/>
        </w:rPr>
      </w:pPr>
      <w:r w:rsidRPr="00380B40">
        <w:rPr>
          <w:b/>
          <w:bCs/>
          <w:lang w:val="en-GB"/>
        </w:rPr>
        <w:t>4</w:t>
      </w:r>
      <w:r w:rsidRPr="00380B40">
        <w:rPr>
          <w:lang w:val="en-GB"/>
        </w:rPr>
        <w:tab/>
        <w:t>If a contribution contains electronic material (software, test data, etc., referred to herein as "software"), it should be attached to the text sent to TSB.</w:t>
      </w:r>
    </w:p>
    <w:p w14:paraId="2EC890B4" w14:textId="77777777" w:rsidR="00C12517" w:rsidRPr="00380B40" w:rsidRDefault="00C12517" w:rsidP="00C12517">
      <w:pPr>
        <w:rPr>
          <w:lang w:val="en-GB"/>
        </w:rPr>
      </w:pPr>
      <w:r w:rsidRPr="00380B40">
        <w:rPr>
          <w:lang w:val="en-GB"/>
        </w:rPr>
        <w:t>Contributors are encouraged to submit formal language descriptions as electronic attachments.</w:t>
      </w:r>
    </w:p>
    <w:p w14:paraId="5F640867" w14:textId="77777777" w:rsidR="00C12517" w:rsidRPr="00380B40" w:rsidRDefault="00C12517" w:rsidP="00C12517">
      <w:pPr>
        <w:tabs>
          <w:tab w:val="left" w:pos="284"/>
        </w:tabs>
        <w:spacing w:before="80"/>
        <w:rPr>
          <w:lang w:val="en-GB"/>
        </w:rPr>
      </w:pPr>
    </w:p>
    <w:p w14:paraId="1BA34E68" w14:textId="77777777" w:rsidR="0012578F" w:rsidRPr="00380B40" w:rsidRDefault="0012578F" w:rsidP="00C12517">
      <w:pPr>
        <w:tabs>
          <w:tab w:val="left" w:pos="284"/>
        </w:tabs>
        <w:spacing w:before="80"/>
        <w:rPr>
          <w:lang w:val="en-GB"/>
        </w:rPr>
      </w:pPr>
    </w:p>
    <w:p w14:paraId="6303B057" w14:textId="77777777" w:rsidR="0012578F" w:rsidRPr="00380B40" w:rsidRDefault="0012578F" w:rsidP="00C12517">
      <w:pPr>
        <w:tabs>
          <w:tab w:val="left" w:pos="284"/>
        </w:tabs>
        <w:spacing w:before="80"/>
        <w:rPr>
          <w:lang w:val="en-GB"/>
        </w:rPr>
      </w:pPr>
    </w:p>
    <w:p w14:paraId="1F90DB2A" w14:textId="77777777" w:rsidR="0012578F" w:rsidRPr="00380B40" w:rsidRDefault="0012578F" w:rsidP="00C12517">
      <w:pPr>
        <w:tabs>
          <w:tab w:val="left" w:pos="284"/>
        </w:tabs>
        <w:spacing w:before="80"/>
        <w:rPr>
          <w:lang w:val="en-GB"/>
        </w:rPr>
      </w:pPr>
    </w:p>
    <w:p w14:paraId="1334A0C5" w14:textId="77777777" w:rsidR="0012578F" w:rsidRPr="00380B40" w:rsidRDefault="0012578F" w:rsidP="00C12517">
      <w:pPr>
        <w:tabs>
          <w:tab w:val="left" w:pos="284"/>
        </w:tabs>
        <w:spacing w:before="80"/>
        <w:rPr>
          <w:lang w:val="en-GB"/>
        </w:rPr>
      </w:pPr>
    </w:p>
    <w:p w14:paraId="6508561E" w14:textId="77777777" w:rsidR="0012578F" w:rsidRPr="00380B40" w:rsidRDefault="0012578F" w:rsidP="00C12517">
      <w:pPr>
        <w:tabs>
          <w:tab w:val="left" w:pos="284"/>
        </w:tabs>
        <w:spacing w:before="80"/>
        <w:rPr>
          <w:lang w:val="en-GB"/>
        </w:rPr>
      </w:pPr>
    </w:p>
    <w:p w14:paraId="0BDCB1B7" w14:textId="77777777" w:rsidR="0012578F" w:rsidRPr="00380B40" w:rsidRDefault="0012578F" w:rsidP="00C12517">
      <w:pPr>
        <w:tabs>
          <w:tab w:val="left" w:pos="284"/>
        </w:tabs>
        <w:spacing w:before="80"/>
        <w:rPr>
          <w:lang w:val="en-GB"/>
        </w:rPr>
      </w:pPr>
    </w:p>
    <w:p w14:paraId="2C9A73C7" w14:textId="77777777" w:rsidR="0012578F" w:rsidRPr="00380B40" w:rsidRDefault="0012578F" w:rsidP="00C12517">
      <w:pPr>
        <w:tabs>
          <w:tab w:val="left" w:pos="284"/>
        </w:tabs>
        <w:spacing w:before="80"/>
        <w:rPr>
          <w:lang w:val="en-GB"/>
        </w:rPr>
      </w:pPr>
    </w:p>
    <w:p w14:paraId="3C5858E8" w14:textId="77777777" w:rsidR="0012578F" w:rsidRPr="00380B40" w:rsidRDefault="0012578F" w:rsidP="00C12517">
      <w:pPr>
        <w:tabs>
          <w:tab w:val="left" w:pos="284"/>
        </w:tabs>
        <w:spacing w:before="80"/>
        <w:rPr>
          <w:lang w:val="en-GB"/>
        </w:rPr>
      </w:pPr>
    </w:p>
    <w:p w14:paraId="24579E4A" w14:textId="77777777" w:rsidR="0012578F" w:rsidRPr="00380B40" w:rsidRDefault="0012578F" w:rsidP="00C12517">
      <w:pPr>
        <w:tabs>
          <w:tab w:val="left" w:pos="284"/>
        </w:tabs>
        <w:spacing w:before="80"/>
        <w:rPr>
          <w:lang w:val="en-GB"/>
        </w:rPr>
      </w:pPr>
    </w:p>
    <w:p w14:paraId="506046D6" w14:textId="77777777" w:rsidR="0012578F" w:rsidRPr="00380B40" w:rsidRDefault="0012578F" w:rsidP="00C12517">
      <w:pPr>
        <w:tabs>
          <w:tab w:val="left" w:pos="284"/>
        </w:tabs>
        <w:spacing w:before="80"/>
        <w:rPr>
          <w:lang w:val="en-GB"/>
        </w:rPr>
      </w:pPr>
    </w:p>
    <w:p w14:paraId="188A644C" w14:textId="77777777" w:rsidR="0012578F" w:rsidRPr="00380B40" w:rsidRDefault="0012578F" w:rsidP="00C12517">
      <w:pPr>
        <w:tabs>
          <w:tab w:val="left" w:pos="284"/>
        </w:tabs>
        <w:spacing w:before="80"/>
        <w:rPr>
          <w:lang w:val="en-GB"/>
        </w:rPr>
      </w:pPr>
    </w:p>
    <w:p w14:paraId="1036884F" w14:textId="77777777" w:rsidR="0012578F" w:rsidRPr="00380B40" w:rsidRDefault="0012578F" w:rsidP="00C12517">
      <w:pPr>
        <w:tabs>
          <w:tab w:val="left" w:pos="284"/>
        </w:tabs>
        <w:spacing w:before="80"/>
        <w:rPr>
          <w:lang w:val="en-GB"/>
        </w:rPr>
      </w:pPr>
    </w:p>
    <w:p w14:paraId="17180A3B" w14:textId="77777777" w:rsidR="0012578F" w:rsidRPr="00380B40" w:rsidRDefault="0012578F" w:rsidP="00C12517">
      <w:pPr>
        <w:tabs>
          <w:tab w:val="left" w:pos="284"/>
        </w:tabs>
        <w:spacing w:before="80"/>
        <w:rPr>
          <w:lang w:val="en-GB"/>
        </w:rPr>
      </w:pPr>
    </w:p>
    <w:p w14:paraId="104D3082" w14:textId="77777777" w:rsidR="00C12517" w:rsidRPr="00380B40" w:rsidRDefault="00C12517" w:rsidP="00C12517">
      <w:pPr>
        <w:tabs>
          <w:tab w:val="clear" w:pos="794"/>
          <w:tab w:val="clear" w:pos="1191"/>
          <w:tab w:val="clear" w:pos="1588"/>
          <w:tab w:val="clear" w:pos="1985"/>
        </w:tabs>
        <w:overflowPunct/>
        <w:autoSpaceDE/>
        <w:autoSpaceDN/>
        <w:adjustRightInd/>
        <w:spacing w:before="0"/>
        <w:jc w:val="left"/>
        <w:textAlignment w:val="auto"/>
        <w:rPr>
          <w:b/>
          <w:sz w:val="28"/>
          <w:lang w:val="en-GB"/>
        </w:rPr>
      </w:pPr>
      <w:bookmarkStart w:id="757" w:name="_Toc354053422"/>
      <w:r w:rsidRPr="00380B40">
        <w:rPr>
          <w:lang w:val="en-GB"/>
        </w:rPr>
        <w:br w:type="page"/>
      </w:r>
    </w:p>
    <w:p w14:paraId="7C4AB21B" w14:textId="77777777" w:rsidR="00C12517" w:rsidRPr="00380B40" w:rsidRDefault="00C12517" w:rsidP="00C12517">
      <w:pPr>
        <w:pStyle w:val="AppendixNoTitle"/>
        <w:rPr>
          <w:lang w:val="en-GB"/>
        </w:rPr>
      </w:pPr>
      <w:bookmarkStart w:id="758" w:name="_Toc357087325"/>
      <w:bookmarkStart w:id="759" w:name="_Toc111636860"/>
      <w:r w:rsidRPr="00380B40">
        <w:rPr>
          <w:lang w:val="en-GB"/>
        </w:rPr>
        <w:t>Appendix I</w:t>
      </w:r>
      <w:bookmarkStart w:id="760" w:name="_Toc88459429"/>
      <w:bookmarkEnd w:id="760"/>
      <w:r w:rsidRPr="00380B40">
        <w:rPr>
          <w:lang w:val="en-GB"/>
        </w:rPr>
        <w:br/>
      </w:r>
      <w:r w:rsidRPr="00380B40">
        <w:rPr>
          <w:lang w:val="en-GB"/>
        </w:rPr>
        <w:br/>
        <w:t>Detailed guidelines for the preparation of contributions</w:t>
      </w:r>
      <w:r w:rsidRPr="00380B40">
        <w:rPr>
          <w:lang w:val="en-GB"/>
        </w:rPr>
        <w:br/>
        <w:t>relative to the study of ITU</w:t>
      </w:r>
      <w:r w:rsidRPr="00380B40">
        <w:rPr>
          <w:lang w:val="en-GB"/>
        </w:rPr>
        <w:noBreakHyphen/>
        <w:t>T Questions</w:t>
      </w:r>
      <w:bookmarkEnd w:id="757"/>
      <w:bookmarkEnd w:id="758"/>
      <w:bookmarkEnd w:id="759"/>
    </w:p>
    <w:p w14:paraId="589FAF91" w14:textId="77777777" w:rsidR="00C12517" w:rsidRPr="00380B40" w:rsidRDefault="00C12517" w:rsidP="00092298">
      <w:pPr>
        <w:pStyle w:val="Normalcenteraligned"/>
      </w:pPr>
      <w:r w:rsidRPr="00380B40">
        <w:t>(This appendix does not form an integral part of this Recommendation.)</w:t>
      </w:r>
    </w:p>
    <w:p w14:paraId="011F2DF6" w14:textId="77777777" w:rsidR="0012578F" w:rsidRPr="00380B40" w:rsidRDefault="0012578F" w:rsidP="00C12517">
      <w:pPr>
        <w:jc w:val="center"/>
        <w:rPr>
          <w:lang w:val="en-GB"/>
        </w:rPr>
      </w:pPr>
    </w:p>
    <w:p w14:paraId="2432F981" w14:textId="77777777" w:rsidR="00C12517" w:rsidRPr="00380B40" w:rsidRDefault="00C12517" w:rsidP="00C12517">
      <w:pPr>
        <w:pStyle w:val="Note"/>
        <w:rPr>
          <w:lang w:val="en-GB"/>
        </w:rPr>
      </w:pPr>
      <w:r w:rsidRPr="00380B40">
        <w:rPr>
          <w:lang w:val="en-GB"/>
        </w:rPr>
        <w:t>NOTE – These guidelines will be updated by TSB as necessary. The updated version will be maintained on the ITU</w:t>
      </w:r>
      <w:r w:rsidRPr="00380B40">
        <w:rPr>
          <w:lang w:val="en-GB"/>
        </w:rPr>
        <w:noBreakHyphen/>
        <w:t>T website and issued in a TSB circular.</w:t>
      </w:r>
    </w:p>
    <w:p w14:paraId="529A9A1D" w14:textId="77777777" w:rsidR="00C12517" w:rsidRPr="00380B40" w:rsidRDefault="00C12517" w:rsidP="00C12517">
      <w:pPr>
        <w:rPr>
          <w:lang w:val="en-GB"/>
        </w:rPr>
      </w:pPr>
      <w:r w:rsidRPr="00380B40">
        <w:rPr>
          <w:lang w:val="en-GB"/>
        </w:rPr>
        <w:t>The guidelines in this appendix supplement the general directives set out in Recommendation ITU</w:t>
      </w:r>
      <w:r w:rsidRPr="00380B40">
        <w:rPr>
          <w:lang w:val="en-GB"/>
        </w:rPr>
        <w:noBreakHyphen/>
        <w:t>T A.2. For ease of reference, they are organized under relevant headings in two categories: one deals with the contents of the contribution and the other with the mechanics of its presentation.</w:t>
      </w:r>
    </w:p>
    <w:p w14:paraId="10171E1F" w14:textId="77777777" w:rsidR="00C12517" w:rsidRPr="00380B40" w:rsidRDefault="00C12517" w:rsidP="00C12517">
      <w:pPr>
        <w:pStyle w:val="Heading2"/>
        <w:rPr>
          <w:lang w:val="en-GB"/>
        </w:rPr>
      </w:pPr>
      <w:bookmarkStart w:id="761" w:name="_Toc88459594"/>
      <w:bookmarkStart w:id="762" w:name="_Toc354053423"/>
      <w:bookmarkStart w:id="763" w:name="_Toc357087326"/>
      <w:bookmarkStart w:id="764" w:name="_Toc111636861"/>
      <w:r w:rsidRPr="00380B40">
        <w:rPr>
          <w:lang w:val="en-GB"/>
        </w:rPr>
        <w:t>I.1</w:t>
      </w:r>
      <w:r w:rsidRPr="00380B40">
        <w:rPr>
          <w:lang w:val="en-GB"/>
        </w:rPr>
        <w:tab/>
        <w:t>Contents of contribution</w:t>
      </w:r>
      <w:bookmarkEnd w:id="761"/>
      <w:bookmarkEnd w:id="762"/>
      <w:bookmarkEnd w:id="763"/>
      <w:bookmarkEnd w:id="764"/>
    </w:p>
    <w:p w14:paraId="61EB434E" w14:textId="77777777" w:rsidR="00C12517" w:rsidRPr="00380B40" w:rsidRDefault="00C12517" w:rsidP="00C12517">
      <w:pPr>
        <w:rPr>
          <w:lang w:val="en-GB"/>
        </w:rPr>
      </w:pPr>
      <w:r w:rsidRPr="00380B40">
        <w:rPr>
          <w:lang w:val="en-GB"/>
        </w:rPr>
        <w:t>A contribution should be clear, concise and comprehensive in itself. It should start with the Heading and the Abstract, which are independent sections. The main text of the contribution should contain two sections: Rationale (or Discussion) and Proposal (or Conclusion). Supplementary sections such as annexes, if necessary, should follow the main text. The guidelines for the structure of the main text do not apply to draft Recommendations or to submission by rapporteurs.</w:t>
      </w:r>
    </w:p>
    <w:p w14:paraId="19820272" w14:textId="77777777" w:rsidR="00C12517" w:rsidRPr="00380B40" w:rsidRDefault="00C12517" w:rsidP="00C12517">
      <w:pPr>
        <w:keepNext/>
        <w:rPr>
          <w:lang w:val="en-GB"/>
        </w:rPr>
      </w:pPr>
      <w:bookmarkStart w:id="765" w:name="_Toc517163583"/>
      <w:r w:rsidRPr="00380B40">
        <w:rPr>
          <w:b/>
          <w:bCs/>
          <w:lang w:val="en-GB"/>
        </w:rPr>
        <w:t>I.1.1</w:t>
      </w:r>
      <w:r w:rsidRPr="00380B40">
        <w:rPr>
          <w:lang w:val="en-GB"/>
        </w:rPr>
        <w:tab/>
      </w:r>
      <w:bookmarkEnd w:id="765"/>
      <w:r w:rsidRPr="00380B40">
        <w:rPr>
          <w:i/>
          <w:iCs/>
          <w:lang w:val="en-GB"/>
        </w:rPr>
        <w:t>Heading</w:t>
      </w:r>
      <w:r w:rsidRPr="00380B40">
        <w:rPr>
          <w:lang w:val="en-GB"/>
        </w:rPr>
        <w:t xml:space="preserve"> – The heading of a contribution submitted to TSB should provide:</w:t>
      </w:r>
    </w:p>
    <w:p w14:paraId="2BA4939A" w14:textId="77777777" w:rsidR="00C12517" w:rsidRPr="00380B40" w:rsidRDefault="00C12517" w:rsidP="00C12517">
      <w:pPr>
        <w:pStyle w:val="enumlev1"/>
        <w:rPr>
          <w:lang w:val="en-GB"/>
        </w:rPr>
      </w:pPr>
      <w:r w:rsidRPr="00380B40">
        <w:rPr>
          <w:lang w:val="en-GB"/>
        </w:rPr>
        <w:t>–</w:t>
      </w:r>
      <w:r w:rsidRPr="00380B40">
        <w:rPr>
          <w:lang w:val="en-GB"/>
        </w:rPr>
        <w:tab/>
        <w:t>study group Question number(s) that the contribution is addressing;</w:t>
      </w:r>
    </w:p>
    <w:p w14:paraId="63BF39A9" w14:textId="77777777" w:rsidR="00C12517" w:rsidRPr="00380B40" w:rsidRDefault="00C12517" w:rsidP="00C12517">
      <w:pPr>
        <w:pStyle w:val="enumlev1"/>
        <w:rPr>
          <w:lang w:val="en-GB"/>
        </w:rPr>
      </w:pPr>
      <w:r w:rsidRPr="00380B40">
        <w:rPr>
          <w:lang w:val="en-GB"/>
        </w:rPr>
        <w:t>–</w:t>
      </w:r>
      <w:r w:rsidRPr="00380B40">
        <w:rPr>
          <w:lang w:val="en-GB"/>
        </w:rPr>
        <w:tab/>
        <w:t>place and date of the meeting to which the contribution is directed;</w:t>
      </w:r>
    </w:p>
    <w:p w14:paraId="3A13E382" w14:textId="77777777" w:rsidR="00C12517" w:rsidRPr="00380B40" w:rsidRDefault="00C12517" w:rsidP="00C12517">
      <w:pPr>
        <w:pStyle w:val="enumlev1"/>
        <w:rPr>
          <w:lang w:val="en-GB"/>
        </w:rPr>
      </w:pPr>
      <w:r w:rsidRPr="00380B40">
        <w:rPr>
          <w:lang w:val="en-GB"/>
        </w:rPr>
        <w:t>–</w:t>
      </w:r>
      <w:r w:rsidRPr="00380B40">
        <w:rPr>
          <w:lang w:val="en-GB"/>
        </w:rPr>
        <w:tab/>
        <w:t>study group and working party to which the contribution should be submitted;</w:t>
      </w:r>
    </w:p>
    <w:p w14:paraId="280BC746" w14:textId="77777777" w:rsidR="00C12517" w:rsidRPr="00380B40" w:rsidRDefault="00C12517" w:rsidP="00C12517">
      <w:pPr>
        <w:pStyle w:val="enumlev1"/>
        <w:rPr>
          <w:lang w:val="en-GB"/>
        </w:rPr>
      </w:pPr>
      <w:r w:rsidRPr="00380B40">
        <w:rPr>
          <w:lang w:val="en-GB"/>
        </w:rPr>
        <w:t>–</w:t>
      </w:r>
      <w:r w:rsidRPr="00380B40">
        <w:rPr>
          <w:lang w:val="en-GB"/>
        </w:rPr>
        <w:tab/>
        <w:t>source of the contribution: originating country and/or organization;</w:t>
      </w:r>
    </w:p>
    <w:p w14:paraId="66E8821F" w14:textId="77777777" w:rsidR="00C12517" w:rsidRPr="00380B40" w:rsidRDefault="00C12517" w:rsidP="00C12517">
      <w:pPr>
        <w:pStyle w:val="enumlev1"/>
        <w:rPr>
          <w:lang w:val="en-GB"/>
        </w:rPr>
      </w:pPr>
      <w:r w:rsidRPr="00380B40">
        <w:rPr>
          <w:lang w:val="en-GB"/>
        </w:rPr>
        <w:t>–</w:t>
      </w:r>
      <w:r w:rsidRPr="00380B40">
        <w:rPr>
          <w:lang w:val="en-GB"/>
        </w:rPr>
        <w:tab/>
        <w:t>title of the contribution;</w:t>
      </w:r>
    </w:p>
    <w:p w14:paraId="00D4DA39" w14:textId="77777777" w:rsidR="00C12517" w:rsidRPr="00380B40" w:rsidRDefault="00C12517" w:rsidP="00C12517">
      <w:pPr>
        <w:pStyle w:val="enumlev1"/>
        <w:rPr>
          <w:lang w:val="en-GB"/>
        </w:rPr>
      </w:pPr>
      <w:r w:rsidRPr="00380B40">
        <w:rPr>
          <w:lang w:val="en-GB"/>
        </w:rPr>
        <w:t>–</w:t>
      </w:r>
      <w:r w:rsidRPr="00380B40">
        <w:rPr>
          <w:lang w:val="en-GB"/>
        </w:rPr>
        <w:tab/>
        <w:t>contact information for the contribution originator and/or representative: name, organization, country, telephone, fax and e-mail address.</w:t>
      </w:r>
    </w:p>
    <w:p w14:paraId="00C472F6" w14:textId="77777777" w:rsidR="00C12517" w:rsidRPr="00380B40" w:rsidRDefault="00C12517" w:rsidP="00C12517">
      <w:pPr>
        <w:rPr>
          <w:lang w:val="en-GB"/>
        </w:rPr>
      </w:pPr>
      <w:r w:rsidRPr="00380B40">
        <w:rPr>
          <w:lang w:val="en-GB"/>
        </w:rPr>
        <w:t>A template that defines the recommended heading format is available (under "Guides, Tools, and Templates") on the ITU</w:t>
      </w:r>
      <w:r w:rsidRPr="00380B40">
        <w:rPr>
          <w:lang w:val="en-GB"/>
        </w:rPr>
        <w:noBreakHyphen/>
        <w:t>T study group and TSAG websites.</w:t>
      </w:r>
    </w:p>
    <w:p w14:paraId="0B7AE7F7" w14:textId="77777777" w:rsidR="00C12517" w:rsidRPr="00380B40" w:rsidRDefault="00C12517" w:rsidP="00C12517">
      <w:pPr>
        <w:rPr>
          <w:lang w:val="en-GB"/>
        </w:rPr>
      </w:pPr>
      <w:r w:rsidRPr="00380B40">
        <w:rPr>
          <w:b/>
          <w:bCs/>
          <w:lang w:val="en-GB"/>
        </w:rPr>
        <w:t>I.1.2</w:t>
      </w:r>
      <w:r w:rsidRPr="00380B40">
        <w:rPr>
          <w:lang w:val="en-GB"/>
        </w:rPr>
        <w:tab/>
      </w:r>
      <w:r w:rsidRPr="00380B40">
        <w:rPr>
          <w:i/>
          <w:iCs/>
          <w:lang w:val="en-GB"/>
        </w:rPr>
        <w:t>Abstract</w:t>
      </w:r>
      <w:r w:rsidRPr="00380B40">
        <w:rPr>
          <w:lang w:val="en-GB"/>
        </w:rPr>
        <w:t xml:space="preserve"> – The abstract should outline clearly and concisely the aim (for example, proposal for a new Recommendation) and the content (proposals and/or conclusions of the contribution). In addition, it should enable prospective readers to determine quickly whether the contribution contains information in their area of interest and, often, which working party(ies) should review the contribution. This is a very important part of the document and would normally be prepared after the other sections are written. An abstract should not exceed 150-200 words. It should be understandable by other study groups and not just the intended readers of the contribution.</w:t>
      </w:r>
    </w:p>
    <w:p w14:paraId="0521AE3C" w14:textId="77777777" w:rsidR="00366EC0" w:rsidRPr="00380B40" w:rsidRDefault="00366EC0" w:rsidP="00C12517">
      <w:pPr>
        <w:rPr>
          <w:b/>
          <w:bCs/>
          <w:lang w:val="en-GB"/>
        </w:rPr>
      </w:pPr>
      <w:r w:rsidRPr="00380B40">
        <w:rPr>
          <w:b/>
          <w:bCs/>
          <w:lang w:val="en-GB"/>
        </w:rPr>
        <w:br w:type="page"/>
      </w:r>
    </w:p>
    <w:p w14:paraId="7825E12C" w14:textId="77777777" w:rsidR="00C12517" w:rsidRPr="00380B40" w:rsidRDefault="00C12517" w:rsidP="00C12517">
      <w:pPr>
        <w:rPr>
          <w:lang w:val="en-GB"/>
        </w:rPr>
      </w:pPr>
      <w:r w:rsidRPr="00380B40">
        <w:rPr>
          <w:b/>
          <w:bCs/>
          <w:lang w:val="en-GB"/>
        </w:rPr>
        <w:t>I.1.3</w:t>
      </w:r>
      <w:r w:rsidRPr="00380B40">
        <w:rPr>
          <w:lang w:val="en-GB"/>
        </w:rPr>
        <w:tab/>
      </w:r>
      <w:r w:rsidRPr="00380B40">
        <w:rPr>
          <w:i/>
          <w:iCs/>
          <w:lang w:val="en-GB"/>
        </w:rPr>
        <w:t>Rationale (Discussion)</w:t>
      </w:r>
      <w:r w:rsidRPr="00380B40">
        <w:rPr>
          <w:lang w:val="en-GB"/>
        </w:rPr>
        <w:t xml:space="preserve"> – This section should provide discussion, reasons and justification for the proposals or conclusions. It develops the theme, describing the methods used and the observations or findings, and comments on their significance.</w:t>
      </w:r>
    </w:p>
    <w:p w14:paraId="603C50A0" w14:textId="77777777" w:rsidR="00C12517" w:rsidRPr="00380B40" w:rsidRDefault="00C12517" w:rsidP="00C12517">
      <w:pPr>
        <w:rPr>
          <w:lang w:val="en-GB"/>
        </w:rPr>
      </w:pPr>
      <w:r w:rsidRPr="00380B40">
        <w:rPr>
          <w:b/>
          <w:bCs/>
          <w:lang w:val="en-GB"/>
        </w:rPr>
        <w:t>I.1.4</w:t>
      </w:r>
      <w:r w:rsidRPr="00380B40">
        <w:rPr>
          <w:lang w:val="en-GB"/>
        </w:rPr>
        <w:tab/>
      </w:r>
      <w:r w:rsidRPr="00380B40">
        <w:rPr>
          <w:i/>
          <w:iCs/>
          <w:lang w:val="en-GB"/>
        </w:rPr>
        <w:t>Proposal (Conclusion)</w:t>
      </w:r>
      <w:r w:rsidRPr="00380B40">
        <w:rPr>
          <w:lang w:val="en-GB"/>
        </w:rPr>
        <w:t xml:space="preserve"> – The main text should end with a conclusion that, whenever possible, should be in the form of a concrete proposal indicating the intended disposition of the contribution. It would be useful to make the following distinction between Proposal and Conclusion, so that a standard approach to their application may be adopted. The heading Proposal should be used when the section offers suggestions for acceptance (such as solutions, plans and changes the contributor expects to be implemented) and when decisions or actions are requested. The heading Conclusion should be used when it is merely informational, such as summarizing observations and no decision about a course of action is expected. If both appear in a contribution, the proposals should follow the conclusions.</w:t>
      </w:r>
    </w:p>
    <w:p w14:paraId="04EDE804" w14:textId="77777777" w:rsidR="00C12517" w:rsidRPr="00380B40" w:rsidRDefault="00C12517" w:rsidP="00C12517">
      <w:pPr>
        <w:rPr>
          <w:lang w:val="en-GB"/>
        </w:rPr>
      </w:pPr>
      <w:r w:rsidRPr="00380B40">
        <w:rPr>
          <w:b/>
          <w:bCs/>
          <w:lang w:val="en-GB"/>
        </w:rPr>
        <w:t>I.1.5</w:t>
      </w:r>
      <w:r w:rsidRPr="00380B40">
        <w:rPr>
          <w:lang w:val="en-GB"/>
        </w:rPr>
        <w:tab/>
      </w:r>
      <w:r w:rsidRPr="00380B40">
        <w:rPr>
          <w:i/>
          <w:iCs/>
          <w:lang w:val="en-GB"/>
        </w:rPr>
        <w:t>Supplementary Sections</w:t>
      </w:r>
      <w:r w:rsidRPr="00380B40">
        <w:rPr>
          <w:lang w:val="en-GB"/>
        </w:rPr>
        <w:t xml:space="preserve"> – Supporting or more detailed information that might interrupt the flow of ideas in the main text should be placed in the sections containing annexes, appendices, references and attachments. A solid line can be used to separate such sections from the main text. "The Guide" describes the distinction between the uses of Annex and Appendix.</w:t>
      </w:r>
    </w:p>
    <w:p w14:paraId="35EA856B" w14:textId="77777777" w:rsidR="00C12517" w:rsidRPr="00380B40" w:rsidRDefault="00C12517" w:rsidP="00C12517">
      <w:pPr>
        <w:pStyle w:val="Heading2"/>
        <w:rPr>
          <w:lang w:val="en-GB"/>
        </w:rPr>
      </w:pPr>
      <w:bookmarkStart w:id="766" w:name="_Toc88459595"/>
      <w:bookmarkStart w:id="767" w:name="_Toc354053424"/>
      <w:bookmarkStart w:id="768" w:name="_Toc357087327"/>
      <w:bookmarkStart w:id="769" w:name="_Toc111636862"/>
      <w:r w:rsidRPr="00380B40">
        <w:rPr>
          <w:lang w:val="en-GB"/>
        </w:rPr>
        <w:t>I.2</w:t>
      </w:r>
      <w:r w:rsidRPr="00380B40">
        <w:rPr>
          <w:lang w:val="en-GB"/>
        </w:rPr>
        <w:tab/>
        <w:t>Mechanics and presentation</w:t>
      </w:r>
      <w:bookmarkEnd w:id="766"/>
      <w:bookmarkEnd w:id="767"/>
      <w:bookmarkEnd w:id="768"/>
      <w:bookmarkEnd w:id="769"/>
    </w:p>
    <w:p w14:paraId="010D3AE8" w14:textId="77777777" w:rsidR="00C12517" w:rsidRPr="00380B40" w:rsidRDefault="00C12517" w:rsidP="00C12517">
      <w:pPr>
        <w:rPr>
          <w:lang w:val="en-GB"/>
        </w:rPr>
      </w:pPr>
      <w:r w:rsidRPr="00380B40">
        <w:rPr>
          <w:b/>
          <w:bCs/>
          <w:lang w:val="en-GB"/>
        </w:rPr>
        <w:t>I.2.1</w:t>
      </w:r>
      <w:r w:rsidRPr="00380B40">
        <w:rPr>
          <w:lang w:val="en-GB"/>
        </w:rPr>
        <w:tab/>
      </w:r>
      <w:r w:rsidRPr="00380B40">
        <w:rPr>
          <w:i/>
          <w:iCs/>
          <w:lang w:val="en-GB"/>
        </w:rPr>
        <w:t>Clause numbering</w:t>
      </w:r>
      <w:r w:rsidRPr="00380B40">
        <w:rPr>
          <w:lang w:val="en-GB"/>
        </w:rPr>
        <w:t xml:space="preserve"> – The contribution should be structured logically and, whenever clarity and flow demand, hierarchically, with discrete clauses and subclauses for presenting different levels of detail. Different clauses and subclauses in the main text should be designated with decimal numbers, adhering as much as possible to the hierarchical numbering system recommended for ITU</w:t>
      </w:r>
      <w:r w:rsidRPr="00380B40">
        <w:rPr>
          <w:lang w:val="en-GB"/>
        </w:rPr>
        <w:noBreakHyphen/>
        <w:t>T texts (see "Guide"); for example, 1.1, 1.2.3. Examples for numbering the supplementary sections are A.1.1 of Annex A and VI.3.4 of Appendix VI.</w:t>
      </w:r>
    </w:p>
    <w:p w14:paraId="7399925F" w14:textId="77777777" w:rsidR="00C12517" w:rsidRPr="00380B40" w:rsidRDefault="00C12517" w:rsidP="00C12517">
      <w:pPr>
        <w:rPr>
          <w:lang w:val="en-GB"/>
        </w:rPr>
      </w:pPr>
      <w:r w:rsidRPr="00380B40">
        <w:rPr>
          <w:b/>
          <w:bCs/>
          <w:lang w:val="en-GB"/>
        </w:rPr>
        <w:t>I.2.2</w:t>
      </w:r>
      <w:r w:rsidRPr="00380B40">
        <w:rPr>
          <w:lang w:val="en-GB"/>
        </w:rPr>
        <w:tab/>
      </w:r>
      <w:r w:rsidRPr="00380B40">
        <w:rPr>
          <w:i/>
          <w:iCs/>
          <w:lang w:val="en-GB"/>
        </w:rPr>
        <w:t xml:space="preserve">Page numbering </w:t>
      </w:r>
      <w:r w:rsidRPr="00380B40">
        <w:rPr>
          <w:lang w:val="en-GB"/>
        </w:rPr>
        <w:t>– The title page should be left unnumbered. All the following pages should be numbered consecutively from page 2, including tables, annexes, appendices or attachments. Page numbers should normally be centred at the top of the page. Each page should include the document number (if available) immediately below the page number. It is useful to show the total number of pages with the page number, e.g. 2 of 10.</w:t>
      </w:r>
    </w:p>
    <w:p w14:paraId="65913A46" w14:textId="77777777" w:rsidR="00C12517" w:rsidRPr="00380B40" w:rsidRDefault="00C12517" w:rsidP="00C12517">
      <w:pPr>
        <w:rPr>
          <w:lang w:val="en-GB"/>
        </w:rPr>
      </w:pPr>
      <w:r w:rsidRPr="00380B40">
        <w:rPr>
          <w:b/>
          <w:bCs/>
          <w:lang w:val="en-GB"/>
        </w:rPr>
        <w:t>I.2.3</w:t>
      </w:r>
      <w:r w:rsidRPr="00380B40">
        <w:rPr>
          <w:lang w:val="en-GB"/>
        </w:rPr>
        <w:tab/>
      </w:r>
      <w:r w:rsidRPr="00380B40">
        <w:rPr>
          <w:i/>
          <w:iCs/>
          <w:lang w:val="en-GB"/>
        </w:rPr>
        <w:t>Figures and diagrams</w:t>
      </w:r>
      <w:r w:rsidRPr="00380B40">
        <w:rPr>
          <w:lang w:val="en-GB"/>
        </w:rPr>
        <w:t xml:space="preserve"> – Figures and diagrams must be clear and legible when printed in A4 format.</w:t>
      </w:r>
    </w:p>
    <w:p w14:paraId="0F758D3D" w14:textId="77777777" w:rsidR="00C12517" w:rsidRPr="00380B40" w:rsidRDefault="00C12517" w:rsidP="00C12517">
      <w:pPr>
        <w:rPr>
          <w:lang w:val="en-GB"/>
        </w:rPr>
      </w:pPr>
      <w:r w:rsidRPr="00380B40">
        <w:rPr>
          <w:b/>
          <w:bCs/>
          <w:lang w:val="en-GB"/>
        </w:rPr>
        <w:t>I.2.4</w:t>
      </w:r>
      <w:r w:rsidRPr="00380B40">
        <w:rPr>
          <w:lang w:val="en-GB"/>
        </w:rPr>
        <w:tab/>
      </w:r>
      <w:r w:rsidRPr="00380B40">
        <w:rPr>
          <w:i/>
          <w:iCs/>
          <w:lang w:val="en-GB"/>
        </w:rPr>
        <w:t>Formulae –</w:t>
      </w:r>
      <w:r w:rsidRPr="00380B40">
        <w:rPr>
          <w:lang w:val="en-GB"/>
        </w:rPr>
        <w:t xml:space="preserve"> Mathematical formulae should only be presented for explaining texts. Details of how they are derived should be avoided.</w:t>
      </w:r>
    </w:p>
    <w:p w14:paraId="2BB80FAA" w14:textId="77777777" w:rsidR="00C12517" w:rsidRPr="00380B40" w:rsidRDefault="00C12517" w:rsidP="00C12517">
      <w:pPr>
        <w:rPr>
          <w:lang w:val="en-GB"/>
        </w:rPr>
      </w:pPr>
      <w:r w:rsidRPr="00380B40">
        <w:rPr>
          <w:b/>
          <w:bCs/>
          <w:lang w:val="en-GB"/>
        </w:rPr>
        <w:t>I.2.5</w:t>
      </w:r>
      <w:r w:rsidRPr="00380B40">
        <w:rPr>
          <w:lang w:val="en-GB"/>
        </w:rPr>
        <w:tab/>
      </w:r>
      <w:r w:rsidRPr="00380B40">
        <w:rPr>
          <w:i/>
          <w:iCs/>
          <w:lang w:val="en-GB"/>
        </w:rPr>
        <w:t xml:space="preserve">Quotations </w:t>
      </w:r>
      <w:r w:rsidRPr="00380B40">
        <w:rPr>
          <w:lang w:val="en-GB"/>
        </w:rPr>
        <w:t>– Simple reference to the document number or paragraph number of an existing text or key phrase should be used instead of lengthy quotes. Material available elsewhere in ITU</w:t>
      </w:r>
      <w:r w:rsidRPr="00380B40">
        <w:rPr>
          <w:lang w:val="en-GB"/>
        </w:rPr>
        <w:noBreakHyphen/>
        <w:t>T should not be reproduced or quoted at length. Excerpts or brief summaries may be included in the contribution when it is known that the members of the ITU</w:t>
      </w:r>
      <w:r w:rsidRPr="00380B40">
        <w:rPr>
          <w:lang w:val="en-GB"/>
        </w:rPr>
        <w:noBreakHyphen/>
        <w:t>T study group do not have ready access to such material.</w:t>
      </w:r>
    </w:p>
    <w:p w14:paraId="4F3DB091" w14:textId="77777777" w:rsidR="00366EC0" w:rsidRPr="00380B40" w:rsidRDefault="00366EC0" w:rsidP="00C12517">
      <w:pPr>
        <w:rPr>
          <w:b/>
          <w:bCs/>
          <w:lang w:val="en-GB"/>
        </w:rPr>
      </w:pPr>
      <w:r w:rsidRPr="00380B40">
        <w:rPr>
          <w:b/>
          <w:bCs/>
          <w:lang w:val="en-GB"/>
        </w:rPr>
        <w:br w:type="page"/>
      </w:r>
    </w:p>
    <w:p w14:paraId="0CAB9347" w14:textId="77777777" w:rsidR="00C12517" w:rsidRPr="00380B40" w:rsidRDefault="00C12517" w:rsidP="00C12517">
      <w:pPr>
        <w:rPr>
          <w:lang w:val="en-GB"/>
        </w:rPr>
      </w:pPr>
      <w:r w:rsidRPr="00380B40">
        <w:rPr>
          <w:b/>
          <w:bCs/>
          <w:lang w:val="en-GB"/>
        </w:rPr>
        <w:t>I.2.6</w:t>
      </w:r>
      <w:r w:rsidRPr="00380B40">
        <w:rPr>
          <w:lang w:val="en-GB"/>
        </w:rPr>
        <w:tab/>
      </w:r>
      <w:r w:rsidRPr="00380B40">
        <w:rPr>
          <w:i/>
          <w:iCs/>
          <w:lang w:val="en-GB"/>
        </w:rPr>
        <w:t>References</w:t>
      </w:r>
      <w:r w:rsidRPr="00380B40">
        <w:rPr>
          <w:lang w:val="en-GB"/>
        </w:rPr>
        <w:t xml:space="preserve"> – Reference to other ITU</w:t>
      </w:r>
      <w:r w:rsidRPr="00380B40">
        <w:rPr>
          <w:lang w:val="en-GB"/>
        </w:rPr>
        <w:noBreakHyphen/>
        <w:t>T contributions or Recommendations should be made by using the official document number, e.g. COM 14-10. If the referenced contribution belongs to a previous study period, this fact should be noted as well.</w:t>
      </w:r>
    </w:p>
    <w:p w14:paraId="2D3DD426" w14:textId="77777777" w:rsidR="00C12517" w:rsidRPr="00380B40" w:rsidRDefault="00C12517" w:rsidP="00C12517">
      <w:pPr>
        <w:rPr>
          <w:lang w:val="en-GB"/>
        </w:rPr>
      </w:pPr>
      <w:r w:rsidRPr="00380B40">
        <w:rPr>
          <w:lang w:val="en-GB"/>
        </w:rPr>
        <w:t>References to standards other than ITU or ISO/IEC publications or standards should conform to the requirements of Recommendation ITU</w:t>
      </w:r>
      <w:r w:rsidRPr="00380B40">
        <w:rPr>
          <w:lang w:val="en-GB"/>
        </w:rPr>
        <w:noBreakHyphen/>
        <w:t>T A.5. Other publications not covered by Recommendation ITU</w:t>
      </w:r>
      <w:r w:rsidRPr="00380B40">
        <w:rPr>
          <w:lang w:val="en-GB"/>
        </w:rPr>
        <w:noBreakHyphen/>
        <w:t xml:space="preserve">T A.5 may be referenced in a Bibliography. </w:t>
      </w:r>
    </w:p>
    <w:p w14:paraId="380088FA" w14:textId="77777777" w:rsidR="00C12517" w:rsidRPr="00380B40" w:rsidRDefault="00C12517" w:rsidP="00C12517">
      <w:pPr>
        <w:rPr>
          <w:lang w:val="en-GB"/>
        </w:rPr>
      </w:pPr>
      <w:r w:rsidRPr="00380B40">
        <w:rPr>
          <w:lang w:val="en-GB"/>
        </w:rPr>
        <w:t>(See "Guide" for more information on references and bibliographies.)</w:t>
      </w:r>
    </w:p>
    <w:p w14:paraId="0793AA21" w14:textId="77777777" w:rsidR="00C12517" w:rsidRPr="00380B40" w:rsidRDefault="00C12517" w:rsidP="00C12517">
      <w:pPr>
        <w:rPr>
          <w:lang w:val="en-GB"/>
        </w:rPr>
      </w:pPr>
      <w:r w:rsidRPr="00380B40">
        <w:rPr>
          <w:b/>
          <w:bCs/>
          <w:lang w:val="en-GB"/>
        </w:rPr>
        <w:t>I.2.7</w:t>
      </w:r>
      <w:r w:rsidRPr="00380B40">
        <w:rPr>
          <w:lang w:val="en-GB"/>
        </w:rPr>
        <w:tab/>
      </w:r>
      <w:r w:rsidRPr="00380B40">
        <w:rPr>
          <w:i/>
          <w:iCs/>
          <w:lang w:val="en-GB"/>
        </w:rPr>
        <w:t xml:space="preserve">Revision to existing text </w:t>
      </w:r>
      <w:r w:rsidRPr="00380B40">
        <w:rPr>
          <w:lang w:val="en-GB"/>
        </w:rPr>
        <w:t>– If a contribution proposes modifications to an existing text, e.g.</w:t>
      </w:r>
      <w:r w:rsidR="00B55470" w:rsidRPr="00380B40">
        <w:rPr>
          <w:lang w:val="en-GB"/>
        </w:rPr>
        <w:t>,</w:t>
      </w:r>
      <w:r w:rsidRPr="00380B40">
        <w:rPr>
          <w:lang w:val="en-GB"/>
        </w:rPr>
        <w:t> draft Recommendation, the portions of the text to be modified should be clearly shown with revision marks. Adequate indications shall also be given to identify any changes proposed with regard to the previous version of the same text.</w:t>
      </w:r>
    </w:p>
    <w:p w14:paraId="46F25628" w14:textId="77777777" w:rsidR="00C12517" w:rsidRPr="00380B40" w:rsidRDefault="00C12517" w:rsidP="00C12517">
      <w:pPr>
        <w:rPr>
          <w:lang w:val="en-GB"/>
        </w:rPr>
      </w:pPr>
      <w:r w:rsidRPr="00380B40">
        <w:rPr>
          <w:lang w:val="en-GB"/>
        </w:rPr>
        <w:t xml:space="preserve">Such change indications could be made, for example, by strikethrough, underlining and by vertical revision bars (|) appearing at the margin of the page. </w:t>
      </w:r>
    </w:p>
    <w:p w14:paraId="59E00FC6" w14:textId="77777777" w:rsidR="0012578F" w:rsidRPr="00380B40" w:rsidRDefault="0012578F" w:rsidP="00C12517">
      <w:pPr>
        <w:rPr>
          <w:lang w:val="en-GB"/>
        </w:rPr>
      </w:pPr>
    </w:p>
    <w:p w14:paraId="03CA1791" w14:textId="77777777" w:rsidR="0012578F" w:rsidRPr="00380B40" w:rsidRDefault="0012578F" w:rsidP="00C12517">
      <w:pPr>
        <w:rPr>
          <w:lang w:val="en-GB"/>
        </w:rPr>
      </w:pPr>
    </w:p>
    <w:p w14:paraId="7AF6DA15" w14:textId="77777777" w:rsidR="0012578F" w:rsidRPr="00380B40" w:rsidRDefault="0012578F" w:rsidP="00C12517">
      <w:pPr>
        <w:rPr>
          <w:lang w:val="en-GB"/>
        </w:rPr>
      </w:pPr>
    </w:p>
    <w:p w14:paraId="6B19519C" w14:textId="77777777" w:rsidR="0012578F" w:rsidRPr="00380B40" w:rsidRDefault="0012578F" w:rsidP="00C12517">
      <w:pPr>
        <w:rPr>
          <w:lang w:val="en-GB"/>
        </w:rPr>
      </w:pPr>
    </w:p>
    <w:p w14:paraId="455CC2C9" w14:textId="77777777" w:rsidR="0012578F" w:rsidRPr="00380B40" w:rsidRDefault="0012578F" w:rsidP="00C12517">
      <w:pPr>
        <w:rPr>
          <w:lang w:val="en-GB"/>
        </w:rPr>
      </w:pPr>
    </w:p>
    <w:p w14:paraId="12A96F44" w14:textId="77777777" w:rsidR="0012578F" w:rsidRPr="00380B40" w:rsidRDefault="0012578F" w:rsidP="00C12517">
      <w:pPr>
        <w:rPr>
          <w:lang w:val="en-GB"/>
        </w:rPr>
      </w:pPr>
    </w:p>
    <w:p w14:paraId="091E39CE" w14:textId="77777777" w:rsidR="0012578F" w:rsidRPr="00380B40" w:rsidRDefault="0012578F" w:rsidP="00C12517">
      <w:pPr>
        <w:rPr>
          <w:lang w:val="en-GB"/>
        </w:rPr>
      </w:pPr>
    </w:p>
    <w:p w14:paraId="679C4CDB" w14:textId="77777777" w:rsidR="0012578F" w:rsidRPr="00380B40" w:rsidRDefault="0012578F" w:rsidP="00C12517">
      <w:pPr>
        <w:rPr>
          <w:lang w:val="en-GB"/>
        </w:rPr>
      </w:pPr>
    </w:p>
    <w:p w14:paraId="723D5029" w14:textId="77777777" w:rsidR="0012578F" w:rsidRPr="00380B40" w:rsidRDefault="0012578F" w:rsidP="00C12517">
      <w:pPr>
        <w:rPr>
          <w:lang w:val="en-GB"/>
        </w:rPr>
      </w:pPr>
    </w:p>
    <w:p w14:paraId="35393699" w14:textId="77777777" w:rsidR="0012578F" w:rsidRPr="00380B40" w:rsidRDefault="0012578F" w:rsidP="00C12517">
      <w:pPr>
        <w:rPr>
          <w:lang w:val="en-GB"/>
        </w:rPr>
      </w:pPr>
    </w:p>
    <w:p w14:paraId="6EF04F3D" w14:textId="77777777" w:rsidR="0012578F" w:rsidRPr="00380B40" w:rsidRDefault="0012578F" w:rsidP="00C12517">
      <w:pPr>
        <w:rPr>
          <w:lang w:val="en-GB"/>
        </w:rPr>
      </w:pPr>
    </w:p>
    <w:p w14:paraId="141CD831" w14:textId="77777777" w:rsidR="0012578F" w:rsidRPr="00380B40" w:rsidRDefault="0012578F" w:rsidP="00C12517">
      <w:pPr>
        <w:rPr>
          <w:lang w:val="en-GB"/>
        </w:rPr>
      </w:pPr>
    </w:p>
    <w:p w14:paraId="319E7B2F" w14:textId="77777777" w:rsidR="0012578F" w:rsidRPr="00380B40" w:rsidRDefault="0012578F" w:rsidP="00C12517">
      <w:pPr>
        <w:rPr>
          <w:lang w:val="en-GB"/>
        </w:rPr>
      </w:pPr>
    </w:p>
    <w:p w14:paraId="27E89A6F" w14:textId="77777777" w:rsidR="0012578F" w:rsidRPr="00380B40" w:rsidRDefault="0012578F" w:rsidP="00C12517">
      <w:pPr>
        <w:rPr>
          <w:lang w:val="en-GB"/>
        </w:rPr>
      </w:pPr>
    </w:p>
    <w:p w14:paraId="21795E6E" w14:textId="77777777" w:rsidR="0012578F" w:rsidRPr="00380B40" w:rsidRDefault="0012578F" w:rsidP="00C12517">
      <w:pPr>
        <w:rPr>
          <w:lang w:val="en-GB"/>
        </w:rPr>
      </w:pPr>
    </w:p>
    <w:p w14:paraId="48286E17" w14:textId="77777777" w:rsidR="0012578F" w:rsidRPr="00380B40" w:rsidRDefault="0012578F" w:rsidP="00C12517">
      <w:pPr>
        <w:rPr>
          <w:lang w:val="en-GB"/>
        </w:rPr>
      </w:pPr>
    </w:p>
    <w:p w14:paraId="521430CF" w14:textId="77777777" w:rsidR="004621FC" w:rsidRPr="00380B40" w:rsidRDefault="004621FC" w:rsidP="008C3E8D">
      <w:pPr>
        <w:rPr>
          <w:lang w:val="en-GB"/>
        </w:rPr>
        <w:sectPr w:rsidR="004621FC" w:rsidRPr="00380B40" w:rsidSect="0057705A">
          <w:headerReference w:type="even" r:id="rId360"/>
          <w:headerReference w:type="default" r:id="rId361"/>
          <w:footerReference w:type="even" r:id="rId362"/>
          <w:footerReference w:type="default" r:id="rId363"/>
          <w:pgSz w:w="11907" w:h="16834" w:code="9"/>
          <w:pgMar w:top="1134" w:right="1134" w:bottom="1134" w:left="1134" w:header="567" w:footer="567" w:gutter="0"/>
          <w:paperSrc w:first="15" w:other="15"/>
          <w:cols w:space="720"/>
          <w:vAlign w:val="both"/>
          <w:docGrid w:linePitch="326"/>
        </w:sectPr>
      </w:pPr>
    </w:p>
    <w:p w14:paraId="6BA167D6" w14:textId="77777777" w:rsidR="007E52B2" w:rsidRPr="00380B40" w:rsidRDefault="007E52B2" w:rsidP="008C3E8D">
      <w:pPr>
        <w:pStyle w:val="RecNo"/>
        <w:rPr>
          <w:lang w:val="en-GB"/>
        </w:rPr>
      </w:pPr>
      <w:bookmarkStart w:id="770" w:name="_Toc104459817"/>
      <w:bookmarkStart w:id="771" w:name="_Toc111636863"/>
      <w:bookmarkStart w:id="772" w:name="_Toc111638526"/>
      <w:r w:rsidRPr="00380B40">
        <w:rPr>
          <w:lang w:val="en-GB"/>
        </w:rPr>
        <w:t xml:space="preserve">Recommendation ITU-T </w:t>
      </w:r>
      <w:r w:rsidRPr="00380B40">
        <w:rPr>
          <w:rStyle w:val="href"/>
          <w:lang w:val="en-GB"/>
        </w:rPr>
        <w:t>A.4</w:t>
      </w:r>
      <w:bookmarkEnd w:id="770"/>
      <w:bookmarkEnd w:id="771"/>
      <w:bookmarkEnd w:id="772"/>
    </w:p>
    <w:p w14:paraId="2A197980" w14:textId="77777777" w:rsidR="007821EC" w:rsidRPr="00380B40" w:rsidRDefault="007821EC" w:rsidP="007821EC">
      <w:pPr>
        <w:pStyle w:val="Rectitle"/>
        <w:rPr>
          <w:lang w:val="en-GB"/>
        </w:rPr>
      </w:pPr>
      <w:bookmarkStart w:id="773" w:name="_Toc104459818"/>
      <w:bookmarkStart w:id="774" w:name="_Toc111638527"/>
      <w:bookmarkStart w:id="775" w:name="_Hlk104388630"/>
      <w:r w:rsidRPr="00380B40">
        <w:rPr>
          <w:lang w:val="en-GB"/>
        </w:rPr>
        <w:t>Communication process between the ITU</w:t>
      </w:r>
      <w:r w:rsidRPr="00380B40">
        <w:rPr>
          <w:lang w:val="en-GB"/>
        </w:rPr>
        <w:br/>
        <w:t>Telecommunication Standardization Sector and forums and consortia</w:t>
      </w:r>
      <w:bookmarkEnd w:id="773"/>
      <w:bookmarkEnd w:id="774"/>
    </w:p>
    <w:p w14:paraId="2E56E79C" w14:textId="77777777" w:rsidR="007821EC" w:rsidRPr="00380B40" w:rsidRDefault="007821EC" w:rsidP="00FD3C79">
      <w:pPr>
        <w:pStyle w:val="Recref"/>
        <w:rPr>
          <w:lang w:val="en-GB"/>
        </w:rPr>
      </w:pPr>
      <w:r w:rsidRPr="00380B40">
        <w:rPr>
          <w:lang w:val="en-GB"/>
        </w:rPr>
        <w:t>(1996; 2000; 2002; 2006; 2007; 2012)</w:t>
      </w:r>
    </w:p>
    <w:p w14:paraId="570029C8" w14:textId="77777777" w:rsidR="007821EC" w:rsidRPr="00380B40" w:rsidRDefault="007821EC" w:rsidP="007821EC">
      <w:pPr>
        <w:pStyle w:val="Heading1"/>
        <w:rPr>
          <w:lang w:val="en-GB"/>
        </w:rPr>
      </w:pPr>
      <w:bookmarkStart w:id="776" w:name="_Toc27280887"/>
      <w:bookmarkStart w:id="777" w:name="_Toc357068229"/>
      <w:bookmarkStart w:id="778" w:name="_Toc111636864"/>
      <w:r w:rsidRPr="00380B40">
        <w:rPr>
          <w:lang w:val="en-GB"/>
        </w:rPr>
        <w:t>1</w:t>
      </w:r>
      <w:r w:rsidRPr="00380B40">
        <w:rPr>
          <w:lang w:val="en-GB"/>
        </w:rPr>
        <w:tab/>
        <w:t>Introduction</w:t>
      </w:r>
      <w:bookmarkEnd w:id="776"/>
      <w:bookmarkEnd w:id="777"/>
      <w:bookmarkEnd w:id="778"/>
    </w:p>
    <w:p w14:paraId="3C4FBCE4" w14:textId="77777777" w:rsidR="007821EC" w:rsidRPr="00380B40" w:rsidRDefault="007821EC" w:rsidP="007821EC">
      <w:pPr>
        <w:rPr>
          <w:lang w:val="en-GB"/>
        </w:rPr>
      </w:pPr>
      <w:r w:rsidRPr="00380B40">
        <w:rPr>
          <w:lang w:val="en-GB"/>
        </w:rPr>
        <w:t>The purposes of the International Telecommunication Union are contained in Article 1 of the Constitution. These include the aim "to promote, at the international level, the adoption of a broader approach to the issues of telecommunications in the global information economy and society, by cooperating with other world and regional intergovernmental organizations, and those non-governmental organizations concerned with telecommunications".</w:t>
      </w:r>
    </w:p>
    <w:p w14:paraId="5A0E4B7F" w14:textId="77777777" w:rsidR="007821EC" w:rsidRPr="00380B40" w:rsidRDefault="007821EC" w:rsidP="007821EC">
      <w:pPr>
        <w:rPr>
          <w:lang w:val="en-GB"/>
        </w:rPr>
      </w:pPr>
      <w:r w:rsidRPr="00380B40">
        <w:rPr>
          <w:lang w:val="en-GB"/>
        </w:rPr>
        <w:t>Also noted are the challenges faced by the Union in achieving its purposes in the changing telecommunication environment, both in the period covered by the Strategic Plan for the Union for 1995-1999 and in the following period, as stated in Resolution 1 (Plenipotentiary Conference, Kyoto, 1994). The Annex to Resolution 1 elaborates the Strategic Plan. For the Standardization Sector, its strategy includes recognition of the growing influence of industry forums, and a specific goal to develop appropriate agreements and cooperative relationships with other organizations, including forums. Among the priorities identified for the Sector is the objective "to continue to cooperate with other global and regional standardization organizations and industry forums to harmonize the development and implementation of global telecommunication standards".</w:t>
      </w:r>
    </w:p>
    <w:p w14:paraId="71732AB7" w14:textId="77777777" w:rsidR="007821EC" w:rsidRPr="00380B40" w:rsidRDefault="007821EC" w:rsidP="007821EC">
      <w:pPr>
        <w:rPr>
          <w:lang w:val="en-GB"/>
        </w:rPr>
      </w:pPr>
      <w:r w:rsidRPr="00380B40">
        <w:rPr>
          <w:lang w:val="en-GB"/>
        </w:rPr>
        <w:t>In order to facilitate the development of cooperative relationships with forums, and to encourage information exchange, it is deemed necessary to provide guidance on the means of communication. In particular, it is of benefit to establish procedures for use when structuring the communications process between ITU</w:t>
      </w:r>
      <w:r w:rsidRPr="00380B40">
        <w:rPr>
          <w:lang w:val="en-GB"/>
        </w:rPr>
        <w:noBreakHyphen/>
        <w:t>T and forums and consortia.</w:t>
      </w:r>
    </w:p>
    <w:p w14:paraId="6A3A97AD" w14:textId="77777777" w:rsidR="007821EC" w:rsidRPr="00380B40" w:rsidRDefault="007821EC" w:rsidP="007821EC">
      <w:pPr>
        <w:rPr>
          <w:lang w:val="en-GB"/>
        </w:rPr>
      </w:pPr>
      <w:r w:rsidRPr="00380B40">
        <w:rPr>
          <w:lang w:val="en-GB"/>
        </w:rPr>
        <w:t>WTSA decides that the following procedures be applied.</w:t>
      </w:r>
    </w:p>
    <w:p w14:paraId="64D9C8F2" w14:textId="77777777" w:rsidR="007821EC" w:rsidRPr="00380B40" w:rsidRDefault="007821EC" w:rsidP="007821EC">
      <w:pPr>
        <w:pStyle w:val="Heading1"/>
        <w:rPr>
          <w:lang w:val="en-GB"/>
        </w:rPr>
      </w:pPr>
      <w:bookmarkStart w:id="779" w:name="_Toc27280888"/>
      <w:bookmarkStart w:id="780" w:name="_Toc357068230"/>
      <w:bookmarkStart w:id="781" w:name="_Toc111636865"/>
      <w:r w:rsidRPr="00380B40">
        <w:rPr>
          <w:lang w:val="en-GB"/>
        </w:rPr>
        <w:t>2</w:t>
      </w:r>
      <w:r w:rsidRPr="00380B40">
        <w:rPr>
          <w:lang w:val="en-GB"/>
        </w:rPr>
        <w:tab/>
        <w:t>Procedures</w:t>
      </w:r>
      <w:bookmarkEnd w:id="779"/>
      <w:bookmarkEnd w:id="780"/>
      <w:bookmarkEnd w:id="781"/>
    </w:p>
    <w:p w14:paraId="11FEEAD9" w14:textId="77777777" w:rsidR="007821EC" w:rsidRPr="00380B40" w:rsidRDefault="007821EC" w:rsidP="007821EC">
      <w:pPr>
        <w:rPr>
          <w:lang w:val="en-GB"/>
        </w:rPr>
      </w:pPr>
      <w:r w:rsidRPr="00380B40">
        <w:rPr>
          <w:lang w:val="en-GB"/>
        </w:rPr>
        <w:t>Study group chairmen are encouraged to engage in two-way communication, where appropriate, with representatives of forums/consortia, and to invite presentation to their study groups of the work of the forums/consortia, as identified by the study group.</w:t>
      </w:r>
    </w:p>
    <w:p w14:paraId="7B842EC4" w14:textId="77777777" w:rsidR="007821EC" w:rsidRPr="00380B40" w:rsidRDefault="007821EC" w:rsidP="007821EC">
      <w:pPr>
        <w:rPr>
          <w:lang w:val="en-GB"/>
        </w:rPr>
      </w:pPr>
      <w:r w:rsidRPr="00380B40">
        <w:rPr>
          <w:lang w:val="en-GB"/>
        </w:rPr>
        <w:t>In addition, procedures have been introduced for a formal communication process between ITU</w:t>
      </w:r>
      <w:r w:rsidRPr="00380B40">
        <w:rPr>
          <w:lang w:val="en-GB"/>
        </w:rPr>
        <w:noBreakHyphen/>
        <w:t>T (or one or more of the study groups) and forums/consortia that qualify according to the criteria in Annex A. The communication process permits document exchange between ITU</w:t>
      </w:r>
      <w:r w:rsidRPr="00380B40">
        <w:rPr>
          <w:lang w:val="en-GB"/>
        </w:rPr>
        <w:noBreakHyphen/>
        <w:t>T and qualified forums/consortia. Establishing a communication process provides a framework for ongoing communications, in order to:</w:t>
      </w:r>
    </w:p>
    <w:p w14:paraId="19030E4A" w14:textId="77777777" w:rsidR="007821EC" w:rsidRPr="00380B40" w:rsidRDefault="007821EC" w:rsidP="007821EC">
      <w:pPr>
        <w:pStyle w:val="enumlev1"/>
        <w:rPr>
          <w:lang w:val="en-GB"/>
        </w:rPr>
      </w:pPr>
      <w:r w:rsidRPr="00380B40">
        <w:rPr>
          <w:lang w:val="en-GB"/>
        </w:rPr>
        <w:t>–</w:t>
      </w:r>
      <w:r w:rsidRPr="00380B40">
        <w:rPr>
          <w:lang w:val="en-GB"/>
        </w:rPr>
        <w:tab/>
        <w:t>prevent inadvertent duplication of effort, while allowing each organization to pursue its own mandate;</w:t>
      </w:r>
    </w:p>
    <w:p w14:paraId="2547F4BE" w14:textId="77777777" w:rsidR="00366EC0" w:rsidRPr="00380B40" w:rsidRDefault="00366EC0" w:rsidP="007821EC">
      <w:pPr>
        <w:pStyle w:val="enumlev1"/>
        <w:rPr>
          <w:lang w:val="en-GB"/>
        </w:rPr>
      </w:pPr>
      <w:r w:rsidRPr="00380B40">
        <w:rPr>
          <w:lang w:val="en-GB"/>
        </w:rPr>
        <w:br w:type="page"/>
      </w:r>
    </w:p>
    <w:p w14:paraId="5484D7EB" w14:textId="77777777" w:rsidR="007821EC" w:rsidRPr="00380B40" w:rsidRDefault="007821EC" w:rsidP="007821EC">
      <w:pPr>
        <w:pStyle w:val="enumlev1"/>
        <w:rPr>
          <w:lang w:val="en-GB"/>
        </w:rPr>
      </w:pPr>
      <w:r w:rsidRPr="00380B40">
        <w:rPr>
          <w:lang w:val="en-GB"/>
        </w:rPr>
        <w:t>–</w:t>
      </w:r>
      <w:r w:rsidRPr="00380B40">
        <w:rPr>
          <w:lang w:val="en-GB"/>
        </w:rPr>
        <w:tab/>
        <w:t>provide authoritative information regarding one organization's dependencies on the other's work;</w:t>
      </w:r>
    </w:p>
    <w:p w14:paraId="075C235F" w14:textId="77777777" w:rsidR="007821EC" w:rsidRPr="00380B40" w:rsidRDefault="007821EC" w:rsidP="007821EC">
      <w:pPr>
        <w:pStyle w:val="enumlev1"/>
        <w:rPr>
          <w:lang w:val="en-GB"/>
        </w:rPr>
      </w:pPr>
      <w:r w:rsidRPr="00380B40">
        <w:rPr>
          <w:lang w:val="en-GB"/>
        </w:rPr>
        <w:t>–</w:t>
      </w:r>
      <w:r w:rsidRPr="00380B40">
        <w:rPr>
          <w:lang w:val="en-GB"/>
        </w:rPr>
        <w:tab/>
        <w:t>exchange information on topics of mutual interest.</w:t>
      </w:r>
    </w:p>
    <w:p w14:paraId="74C5B48C" w14:textId="77777777" w:rsidR="007821EC" w:rsidRPr="00380B40" w:rsidRDefault="007821EC" w:rsidP="007821EC">
      <w:pPr>
        <w:pStyle w:val="Heading2"/>
        <w:rPr>
          <w:lang w:val="en-GB"/>
        </w:rPr>
      </w:pPr>
      <w:bookmarkStart w:id="782" w:name="_Toc357068231"/>
      <w:bookmarkStart w:id="783" w:name="_Toc111636866"/>
      <w:r w:rsidRPr="00380B40">
        <w:rPr>
          <w:lang w:val="en-GB"/>
        </w:rPr>
        <w:t>2.1</w:t>
      </w:r>
      <w:r w:rsidRPr="00380B40">
        <w:rPr>
          <w:lang w:val="en-GB"/>
        </w:rPr>
        <w:tab/>
        <w:t>Establishment of the communication process</w:t>
      </w:r>
      <w:bookmarkEnd w:id="782"/>
      <w:bookmarkEnd w:id="783"/>
    </w:p>
    <w:p w14:paraId="5FAC522C" w14:textId="77777777" w:rsidR="007821EC" w:rsidRPr="00380B40" w:rsidRDefault="007821EC" w:rsidP="007821EC">
      <w:pPr>
        <w:rPr>
          <w:lang w:val="en-GB"/>
        </w:rPr>
      </w:pPr>
      <w:r w:rsidRPr="00380B40">
        <w:rPr>
          <w:lang w:val="en-GB"/>
        </w:rPr>
        <w:t>Establishment of a communication process with a forum/consortium should be considered on a case-by-case basis, and should be evaluated with due care and diligence using the set of criteria in Annex A. Normally, the process is established at the study group level. In the case of groups associated with one or more study groups, the evaluation and decision to proceed should be carried out by the lead study group. To avoid multiple requests to a forum/consortium for information pertaining to the criteria in Annex A, and to facilitate evaluation by study groups, the Director of TSB should make the request to the forum/consortium and subsequently make a preliminary analysis of the response. A schematic diagram of the communication process is provided in Appendix I.</w:t>
      </w:r>
      <w:bookmarkStart w:id="784" w:name="_Toc27280890"/>
    </w:p>
    <w:p w14:paraId="70D950CD" w14:textId="77777777" w:rsidR="007821EC" w:rsidRPr="00380B40" w:rsidRDefault="007821EC" w:rsidP="007821EC">
      <w:pPr>
        <w:pStyle w:val="Heading3"/>
        <w:rPr>
          <w:lang w:val="en-GB"/>
        </w:rPr>
      </w:pPr>
      <w:bookmarkStart w:id="785" w:name="_Toc111636867"/>
      <w:r w:rsidRPr="00380B40">
        <w:rPr>
          <w:lang w:val="en-GB"/>
        </w:rPr>
        <w:t>2.1.1</w:t>
      </w:r>
      <w:r w:rsidRPr="00380B40">
        <w:rPr>
          <w:lang w:val="en-GB"/>
        </w:rPr>
        <w:tab/>
        <w:t>Communication process initiated by an ITU</w:t>
      </w:r>
      <w:r w:rsidRPr="00380B40">
        <w:rPr>
          <w:lang w:val="en-GB"/>
        </w:rPr>
        <w:noBreakHyphen/>
        <w:t>T study group</w:t>
      </w:r>
      <w:bookmarkEnd w:id="784"/>
      <w:bookmarkEnd w:id="785"/>
    </w:p>
    <w:p w14:paraId="5BFDBB1D" w14:textId="77777777" w:rsidR="007821EC" w:rsidRPr="00380B40" w:rsidRDefault="007821EC" w:rsidP="007821EC">
      <w:pPr>
        <w:rPr>
          <w:lang w:val="en-GB"/>
        </w:rPr>
      </w:pPr>
      <w:r w:rsidRPr="00380B40">
        <w:rPr>
          <w:lang w:val="en-GB"/>
        </w:rPr>
        <w:t>If a study group considers that it is beneficial to establish a communication process with a forum/consortium, the study group should first check the ITU-T A.4-qualified organizations list (see 2.3) and obtain the Director's analysis. The study group shall review the analysis and make a decision whether or not to communicate with the forum/consortium. If the forum/consortium in question is not on the list, the study group chairman asks the Director to request the forum/consortium to provide the information and fill in the questionnaire relating to the qualifying criteria set forth in Annex A. The Director performs a preliminary analysis of the forum/consortium and transmits it to the affected study group(s), which shall review the analysis and make a decision whether or not to communicate. Any areas of concern should be immediately shared with other interested study group chairmen and the Director. If the study group decides to approve, the study group chairman shall establish the communication process. The study group chairman should facilitate the process as described in 2.2.</w:t>
      </w:r>
    </w:p>
    <w:p w14:paraId="30001E14" w14:textId="77777777" w:rsidR="007821EC" w:rsidRPr="00380B40" w:rsidRDefault="007821EC" w:rsidP="007821EC">
      <w:pPr>
        <w:pStyle w:val="Heading3"/>
        <w:rPr>
          <w:lang w:val="en-GB"/>
        </w:rPr>
      </w:pPr>
      <w:bookmarkStart w:id="786" w:name="_Toc27280891"/>
      <w:bookmarkStart w:id="787" w:name="_Toc111636868"/>
      <w:r w:rsidRPr="00380B40">
        <w:rPr>
          <w:lang w:val="en-GB"/>
        </w:rPr>
        <w:t>2.1.2</w:t>
      </w:r>
      <w:r w:rsidRPr="00380B40">
        <w:rPr>
          <w:lang w:val="en-GB"/>
        </w:rPr>
        <w:tab/>
        <w:t>Communication process initiated by a forum/consortium</w:t>
      </w:r>
      <w:bookmarkEnd w:id="786"/>
      <w:bookmarkEnd w:id="787"/>
    </w:p>
    <w:p w14:paraId="0F8EB73E" w14:textId="77777777" w:rsidR="007821EC" w:rsidRPr="00380B40" w:rsidRDefault="007821EC" w:rsidP="007821EC">
      <w:pPr>
        <w:rPr>
          <w:lang w:val="en-GB"/>
        </w:rPr>
      </w:pPr>
      <w:r w:rsidRPr="00380B40">
        <w:rPr>
          <w:lang w:val="en-GB"/>
        </w:rPr>
        <w:t>If a forum/consortium wishes to establish a communication process with a study group, that study group should first check the ITU-T A.4-qualified organizations list (see 2.3) and obtain the Director's analysis. The study group shall review the analysis and make a decision whether or not to communicate with the forum/consortium. If the forum/consortium is not on the list, the procedure described for this case in 2.1.1 is applied. Any areas of concern should immediately be shared with other interested study group chairmen and the Director. If the study group decides to approve, the communication process can be established. The study group chairman should facilitate the process as described in 2.2.</w:t>
      </w:r>
    </w:p>
    <w:p w14:paraId="71186E0F" w14:textId="77777777" w:rsidR="007821EC" w:rsidRPr="00380B40" w:rsidRDefault="007821EC" w:rsidP="007821EC">
      <w:pPr>
        <w:rPr>
          <w:lang w:val="en-GB"/>
        </w:rPr>
      </w:pPr>
      <w:r w:rsidRPr="00380B40">
        <w:rPr>
          <w:lang w:val="en-GB"/>
        </w:rPr>
        <w:t>If a forum/consortium contacts the Director of TSB to establish a communication process with ITU</w:t>
      </w:r>
      <w:r w:rsidRPr="00380B40">
        <w:rPr>
          <w:lang w:val="en-GB"/>
        </w:rPr>
        <w:noBreakHyphen/>
        <w:t>T, the Director should first determine whether it is appropriate for:</w:t>
      </w:r>
    </w:p>
    <w:p w14:paraId="5143198D" w14:textId="77777777" w:rsidR="007821EC" w:rsidRPr="00380B40" w:rsidRDefault="007821EC" w:rsidP="007821EC">
      <w:pPr>
        <w:pStyle w:val="enumlev1"/>
        <w:rPr>
          <w:lang w:val="en-GB"/>
        </w:rPr>
      </w:pPr>
      <w:r w:rsidRPr="00380B40">
        <w:rPr>
          <w:i/>
          <w:iCs/>
          <w:lang w:val="en-GB"/>
        </w:rPr>
        <w:t>a)</w:t>
      </w:r>
      <w:r w:rsidRPr="00380B40">
        <w:rPr>
          <w:lang w:val="en-GB"/>
        </w:rPr>
        <w:tab/>
        <w:t>ITU</w:t>
      </w:r>
      <w:r w:rsidRPr="00380B40">
        <w:rPr>
          <w:lang w:val="en-GB"/>
        </w:rPr>
        <w:noBreakHyphen/>
        <w:t>T (for related policy issues); or</w:t>
      </w:r>
    </w:p>
    <w:p w14:paraId="163829D7" w14:textId="77777777" w:rsidR="007821EC" w:rsidRPr="00380B40" w:rsidRDefault="007821EC" w:rsidP="007821EC">
      <w:pPr>
        <w:pStyle w:val="enumlev1"/>
        <w:rPr>
          <w:lang w:val="en-GB"/>
        </w:rPr>
      </w:pPr>
      <w:r w:rsidRPr="00380B40">
        <w:rPr>
          <w:i/>
          <w:iCs/>
          <w:lang w:val="en-GB"/>
        </w:rPr>
        <w:t>b)</w:t>
      </w:r>
      <w:r w:rsidRPr="00380B40">
        <w:rPr>
          <w:lang w:val="en-GB"/>
        </w:rPr>
        <w:tab/>
        <w:t>one or more study groups (for topics relating to their work).</w:t>
      </w:r>
    </w:p>
    <w:p w14:paraId="03A9DB00" w14:textId="77777777" w:rsidR="00795C3C" w:rsidRPr="00380B40" w:rsidRDefault="00795C3C" w:rsidP="007821EC">
      <w:pPr>
        <w:rPr>
          <w:lang w:val="en-GB"/>
        </w:rPr>
      </w:pPr>
      <w:r w:rsidRPr="00380B40">
        <w:rPr>
          <w:lang w:val="en-GB"/>
        </w:rPr>
        <w:br w:type="page"/>
      </w:r>
    </w:p>
    <w:p w14:paraId="264343D4" w14:textId="77777777" w:rsidR="007821EC" w:rsidRPr="00380B40" w:rsidRDefault="007821EC" w:rsidP="007821EC">
      <w:pPr>
        <w:rPr>
          <w:lang w:val="en-GB"/>
        </w:rPr>
      </w:pPr>
      <w:r w:rsidRPr="00380B40">
        <w:rPr>
          <w:lang w:val="en-GB"/>
        </w:rPr>
        <w:t xml:space="preserve">In case </w:t>
      </w:r>
      <w:r w:rsidRPr="00380B40">
        <w:rPr>
          <w:i/>
          <w:iCs/>
          <w:lang w:val="en-GB"/>
        </w:rPr>
        <w:t>a)</w:t>
      </w:r>
      <w:r w:rsidRPr="00380B40">
        <w:rPr>
          <w:lang w:val="en-GB"/>
        </w:rPr>
        <w:t>, the Director evaluates the forum/consortium according to the criteria in Annex A. If the Director decides to approve, he shall establish the communication process and inform TSAG and all study groups.</w:t>
      </w:r>
    </w:p>
    <w:p w14:paraId="7D8DD1A9" w14:textId="77777777" w:rsidR="007821EC" w:rsidRPr="00380B40" w:rsidRDefault="007821EC" w:rsidP="007821EC">
      <w:pPr>
        <w:rPr>
          <w:lang w:val="en-GB"/>
        </w:rPr>
      </w:pPr>
      <w:r w:rsidRPr="00380B40">
        <w:rPr>
          <w:lang w:val="en-GB"/>
        </w:rPr>
        <w:t xml:space="preserve">In case </w:t>
      </w:r>
      <w:r w:rsidRPr="00380B40">
        <w:rPr>
          <w:i/>
          <w:iCs/>
          <w:lang w:val="en-GB"/>
        </w:rPr>
        <w:t>b)</w:t>
      </w:r>
      <w:r w:rsidRPr="00380B40">
        <w:rPr>
          <w:lang w:val="en-GB"/>
        </w:rPr>
        <w:t>, the Director performs a preliminary analysis and transmits it to the affected study group(s), which shall proceed as outlined in the first paragraph of 2.1.2. If multiple study groups are involved, the decision of each study group should be communicated to the others, to TSAG and to the Director of TSB.</w:t>
      </w:r>
    </w:p>
    <w:p w14:paraId="44B142B2" w14:textId="77777777" w:rsidR="007821EC" w:rsidRPr="00380B40" w:rsidRDefault="007821EC" w:rsidP="007821EC">
      <w:pPr>
        <w:pStyle w:val="Heading2"/>
        <w:rPr>
          <w:lang w:val="en-GB"/>
        </w:rPr>
      </w:pPr>
      <w:bookmarkStart w:id="788" w:name="_Toc27280892"/>
      <w:bookmarkStart w:id="789" w:name="_Toc357068232"/>
      <w:bookmarkStart w:id="790" w:name="_Toc111636869"/>
      <w:r w:rsidRPr="00380B40">
        <w:rPr>
          <w:lang w:val="en-GB"/>
        </w:rPr>
        <w:t>2.2</w:t>
      </w:r>
      <w:r w:rsidRPr="00380B40">
        <w:rPr>
          <w:lang w:val="en-GB"/>
        </w:rPr>
        <w:tab/>
        <w:t>Communication process once established</w:t>
      </w:r>
      <w:bookmarkEnd w:id="788"/>
      <w:bookmarkEnd w:id="789"/>
      <w:bookmarkEnd w:id="790"/>
    </w:p>
    <w:p w14:paraId="5F587BB5" w14:textId="77777777" w:rsidR="007821EC" w:rsidRPr="00380B40" w:rsidRDefault="007821EC" w:rsidP="007821EC">
      <w:pPr>
        <w:pStyle w:val="Heading3"/>
        <w:rPr>
          <w:lang w:val="en-GB"/>
        </w:rPr>
      </w:pPr>
      <w:bookmarkStart w:id="791" w:name="_Toc111636870"/>
      <w:r w:rsidRPr="00380B40">
        <w:rPr>
          <w:lang w:val="en-GB"/>
        </w:rPr>
        <w:t>2.2.1</w:t>
      </w:r>
      <w:r w:rsidRPr="00380B40">
        <w:rPr>
          <w:lang w:val="en-GB"/>
        </w:rPr>
        <w:tab/>
        <w:t>Documents sent to ITU-T A.4-qualified forums/consortia</w:t>
      </w:r>
      <w:bookmarkEnd w:id="791"/>
    </w:p>
    <w:p w14:paraId="608EAECF" w14:textId="77777777" w:rsidR="007821EC" w:rsidRPr="00380B40" w:rsidRDefault="007821EC" w:rsidP="007821EC">
      <w:pPr>
        <w:rPr>
          <w:lang w:val="en-GB"/>
        </w:rPr>
      </w:pPr>
      <w:r w:rsidRPr="00380B40">
        <w:rPr>
          <w:lang w:val="en-GB"/>
        </w:rPr>
        <w:t>A proposal to send a liaison statement to an ITU-T A.4-qualified forum/consortium can arise from work by a rapporteur group, working party or study group. The decision to send such information is made by the study group chairman in consultation with the relevant working party chairman, and, if arising from a study group meeting, with the agreement of the study group. The documentation is sent to the forum/consortium by TSB on behalf of the study group.</w:t>
      </w:r>
    </w:p>
    <w:p w14:paraId="5CD53628" w14:textId="77777777" w:rsidR="007821EC" w:rsidRPr="00380B40" w:rsidRDefault="007821EC" w:rsidP="007821EC">
      <w:pPr>
        <w:rPr>
          <w:lang w:val="en-GB"/>
        </w:rPr>
      </w:pPr>
      <w:r w:rsidRPr="00380B40">
        <w:rPr>
          <w:lang w:val="en-GB"/>
        </w:rPr>
        <w:t>When necessary, between scheduled meetings, the liaison statement may be prepared by an appropriate correspondence process and approved by the study group chairman in consultation with the study group management.</w:t>
      </w:r>
    </w:p>
    <w:p w14:paraId="7A8B7924" w14:textId="77777777" w:rsidR="007821EC" w:rsidRPr="00380B40" w:rsidRDefault="007821EC" w:rsidP="007821EC">
      <w:pPr>
        <w:pStyle w:val="Heading3"/>
        <w:rPr>
          <w:lang w:val="en-GB"/>
        </w:rPr>
      </w:pPr>
      <w:bookmarkStart w:id="792" w:name="_Toc27280894"/>
      <w:bookmarkStart w:id="793" w:name="_Toc111636871"/>
      <w:r w:rsidRPr="00380B40">
        <w:rPr>
          <w:lang w:val="en-GB"/>
        </w:rPr>
        <w:t>2.2.2</w:t>
      </w:r>
      <w:r w:rsidRPr="00380B40">
        <w:rPr>
          <w:lang w:val="en-GB"/>
        </w:rPr>
        <w:tab/>
        <w:t>Documents received from ITU-T A.4-qualified forums/consortia</w:t>
      </w:r>
      <w:bookmarkEnd w:id="792"/>
      <w:bookmarkEnd w:id="793"/>
    </w:p>
    <w:p w14:paraId="53B34766" w14:textId="77777777" w:rsidR="007821EC" w:rsidRPr="00380B40" w:rsidRDefault="007821EC" w:rsidP="007821EC">
      <w:pPr>
        <w:rPr>
          <w:lang w:val="en-GB"/>
        </w:rPr>
      </w:pPr>
      <w:r w:rsidRPr="00380B40">
        <w:rPr>
          <w:lang w:val="en-GB"/>
        </w:rPr>
        <w:t>Documents submitted to ITU</w:t>
      </w:r>
      <w:r w:rsidRPr="00380B40">
        <w:rPr>
          <w:lang w:val="en-GB"/>
        </w:rPr>
        <w:noBreakHyphen/>
        <w:t>T by qualified forums/consortia should conform to criterion 8 in Annex A. These documents are not issued as Contributions. As soon as they arrive they are made available, with the agreement of the study group chairman for advance consideration by the relevant group. Moreover, they are issued as a document to the relevant group with a reference to the originating forum/consortium, i.e. as a Temporary Document at a study group or working party meeting, or as a document at a rapporteur meeting. In the latter case, the receipt and disposition of the document received should be recorded in the report of the rapporteur meeting.</w:t>
      </w:r>
    </w:p>
    <w:p w14:paraId="1FC6EE7F" w14:textId="77777777" w:rsidR="007821EC" w:rsidRPr="00380B40" w:rsidRDefault="007821EC" w:rsidP="007821EC">
      <w:pPr>
        <w:pStyle w:val="Heading2"/>
        <w:rPr>
          <w:lang w:val="en-GB"/>
        </w:rPr>
      </w:pPr>
      <w:bookmarkStart w:id="794" w:name="_Toc27280895"/>
      <w:bookmarkStart w:id="795" w:name="_Toc357068233"/>
      <w:bookmarkStart w:id="796" w:name="_Toc111636872"/>
      <w:r w:rsidRPr="00380B40">
        <w:rPr>
          <w:lang w:val="en-GB"/>
        </w:rPr>
        <w:t>2.3</w:t>
      </w:r>
      <w:r w:rsidRPr="00380B40">
        <w:rPr>
          <w:lang w:val="en-GB"/>
        </w:rPr>
        <w:tab/>
        <w:t>ITU-T A.4-qualified organizations list</w:t>
      </w:r>
      <w:bookmarkEnd w:id="794"/>
      <w:bookmarkEnd w:id="795"/>
      <w:bookmarkEnd w:id="796"/>
    </w:p>
    <w:p w14:paraId="2DB83AD5" w14:textId="77777777" w:rsidR="007821EC" w:rsidRPr="00380B40" w:rsidRDefault="007821EC" w:rsidP="007821EC">
      <w:pPr>
        <w:rPr>
          <w:lang w:val="en-GB"/>
        </w:rPr>
      </w:pPr>
      <w:r w:rsidRPr="00380B40">
        <w:rPr>
          <w:lang w:val="en-GB"/>
        </w:rPr>
        <w:t>The Director of TSB is requested to maintain an up-to-date ITU-T A.4-qualified list of the forums/consortia that are under evaluation and/or have been approved for the communication process, including identification of the study groups concerned, and make it available online.</w:t>
      </w:r>
    </w:p>
    <w:p w14:paraId="0FB5B5CE" w14:textId="77777777" w:rsidR="007821EC" w:rsidRPr="00380B40" w:rsidRDefault="007821EC" w:rsidP="007821EC">
      <w:pPr>
        <w:pStyle w:val="Heading2"/>
        <w:rPr>
          <w:lang w:val="en-GB"/>
        </w:rPr>
      </w:pPr>
      <w:bookmarkStart w:id="797" w:name="_Toc27280896"/>
      <w:bookmarkStart w:id="798" w:name="_Toc357068234"/>
      <w:bookmarkStart w:id="799" w:name="_Toc111636873"/>
      <w:r w:rsidRPr="00380B40">
        <w:rPr>
          <w:lang w:val="en-GB"/>
        </w:rPr>
        <w:t>2.4</w:t>
      </w:r>
      <w:r w:rsidRPr="00380B40">
        <w:rPr>
          <w:lang w:val="en-GB"/>
        </w:rPr>
        <w:tab/>
        <w:t>Copyright arrangements</w:t>
      </w:r>
      <w:bookmarkEnd w:id="797"/>
      <w:bookmarkEnd w:id="798"/>
      <w:bookmarkEnd w:id="799"/>
    </w:p>
    <w:p w14:paraId="490C4AB2" w14:textId="77777777" w:rsidR="007821EC" w:rsidRPr="00380B40" w:rsidRDefault="007821EC" w:rsidP="007821EC">
      <w:pPr>
        <w:rPr>
          <w:lang w:val="en-GB"/>
        </w:rPr>
      </w:pPr>
      <w:r w:rsidRPr="00380B40">
        <w:rPr>
          <w:lang w:val="en-GB"/>
        </w:rPr>
        <w:t>The subject of modifications to texts and arrangements for royalty-free copyright licenses, including the right to sub-license, for texts accepted by either ITU</w:t>
      </w:r>
      <w:r w:rsidRPr="00380B40">
        <w:rPr>
          <w:lang w:val="en-GB"/>
        </w:rPr>
        <w:noBreakHyphen/>
        <w:t>T or by forums/consortia and their publishers and others, is a matter to be agreed upon between TSB and the particular forums/consortia. However, the originating organization retains the copyright for its texts.</w:t>
      </w:r>
    </w:p>
    <w:p w14:paraId="779A649B" w14:textId="77777777" w:rsidR="00795C3C" w:rsidRPr="00380B40" w:rsidRDefault="00795C3C" w:rsidP="007821EC">
      <w:pPr>
        <w:rPr>
          <w:lang w:val="en-GB"/>
        </w:rPr>
      </w:pPr>
    </w:p>
    <w:p w14:paraId="79127542" w14:textId="77777777" w:rsidR="00795C3C" w:rsidRPr="00380B40" w:rsidRDefault="00795C3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sidRPr="00380B40">
        <w:rPr>
          <w:lang w:val="en-GB"/>
        </w:rPr>
        <w:br w:type="page"/>
      </w:r>
    </w:p>
    <w:p w14:paraId="542954FE" w14:textId="77777777" w:rsidR="005F3BBF" w:rsidRPr="00380B40" w:rsidRDefault="007821EC" w:rsidP="005F3BBF">
      <w:pPr>
        <w:pStyle w:val="AnnexNo"/>
      </w:pPr>
      <w:bookmarkStart w:id="800" w:name="_Toc111636874"/>
      <w:bookmarkStart w:id="801" w:name="_Toc357068235"/>
      <w:bookmarkStart w:id="802" w:name="_Hlk104388715"/>
      <w:bookmarkEnd w:id="775"/>
      <w:r w:rsidRPr="00380B40">
        <w:t>Annex A</w:t>
      </w:r>
      <w:bookmarkStart w:id="803" w:name="_Toc517683399"/>
      <w:bookmarkEnd w:id="800"/>
      <w:bookmarkEnd w:id="803"/>
    </w:p>
    <w:p w14:paraId="50AE8364" w14:textId="77777777" w:rsidR="007821EC" w:rsidRPr="00380B40" w:rsidRDefault="007821EC" w:rsidP="005F3BBF">
      <w:pPr>
        <w:pStyle w:val="Annextitle"/>
      </w:pPr>
      <w:r w:rsidRPr="00380B40">
        <w:t>Qualifying criteria for forums/consortia communication process</w:t>
      </w:r>
      <w:bookmarkEnd w:id="801"/>
    </w:p>
    <w:p w14:paraId="51F37B7A" w14:textId="77777777" w:rsidR="007821EC" w:rsidRPr="00380B40" w:rsidRDefault="007821EC" w:rsidP="00092298">
      <w:pPr>
        <w:pStyle w:val="Normalcenteraligned"/>
      </w:pPr>
      <w:r w:rsidRPr="00380B40">
        <w:t>(This annex forms an integral part of this Recommendation.)</w:t>
      </w:r>
    </w:p>
    <w:p w14:paraId="04D4E398" w14:textId="77777777" w:rsidR="007821EC" w:rsidRPr="00380B40" w:rsidRDefault="007821EC" w:rsidP="007821EC">
      <w:pPr>
        <w:pStyle w:val="Note"/>
        <w:rPr>
          <w:lang w:val="en-GB"/>
        </w:rPr>
      </w:pPr>
      <w:r w:rsidRPr="00380B40">
        <w:rPr>
          <w:lang w:val="en-GB"/>
        </w:rPr>
        <w:t>NOTE – An administration may require that "communications" to ITU</w:t>
      </w:r>
      <w:r w:rsidRPr="00380B40">
        <w:rPr>
          <w:lang w:val="en-GB"/>
        </w:rPr>
        <w:noBreakHyphen/>
        <w:t>T or its study groups, from a forum/consortium within that administration's jurisdiction, follow its established national procedures.</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1"/>
        <w:gridCol w:w="6919"/>
      </w:tblGrid>
      <w:tr w:rsidR="007821EC" w:rsidRPr="00380B40" w14:paraId="2DDD6B5C" w14:textId="77777777" w:rsidTr="00DE1739">
        <w:trPr>
          <w:tblHeader/>
        </w:trPr>
        <w:tc>
          <w:tcPr>
            <w:tcW w:w="2951" w:type="dxa"/>
            <w:shd w:val="clear" w:color="auto" w:fill="auto"/>
          </w:tcPr>
          <w:p w14:paraId="762C03C0" w14:textId="77777777" w:rsidR="007821EC" w:rsidRPr="00380B40" w:rsidRDefault="007821EC" w:rsidP="00427615">
            <w:pPr>
              <w:pStyle w:val="Tableheadwhitecentred"/>
            </w:pPr>
            <w:r w:rsidRPr="00380B40">
              <w:t>Forum/consortium attributes</w:t>
            </w:r>
          </w:p>
        </w:tc>
        <w:tc>
          <w:tcPr>
            <w:tcW w:w="6919" w:type="dxa"/>
            <w:shd w:val="clear" w:color="auto" w:fill="auto"/>
          </w:tcPr>
          <w:p w14:paraId="1198CC2C" w14:textId="77777777" w:rsidR="007821EC" w:rsidRPr="00380B40" w:rsidRDefault="007821EC" w:rsidP="00427615">
            <w:pPr>
              <w:pStyle w:val="Tableheadwhitecentred"/>
            </w:pPr>
            <w:r w:rsidRPr="00380B40">
              <w:t>Desired characteristics</w:t>
            </w:r>
          </w:p>
        </w:tc>
      </w:tr>
      <w:tr w:rsidR="007821EC" w:rsidRPr="004E0F36" w14:paraId="2E16BB73" w14:textId="77777777" w:rsidTr="00DE1739">
        <w:tc>
          <w:tcPr>
            <w:tcW w:w="2951" w:type="dxa"/>
            <w:shd w:val="clear" w:color="auto" w:fill="auto"/>
          </w:tcPr>
          <w:p w14:paraId="226C64D1" w14:textId="77777777" w:rsidR="007821EC" w:rsidRPr="00380B40" w:rsidRDefault="007821EC" w:rsidP="00E36F7A">
            <w:pPr>
              <w:pStyle w:val="Tabletextsmallbullet"/>
              <w:jc w:val="left"/>
            </w:pPr>
            <w:r w:rsidRPr="00380B40">
              <w:t>1)</w:t>
            </w:r>
            <w:r w:rsidRPr="00380B40">
              <w:tab/>
              <w:t>Objectives/relationship of work to ITU</w:t>
            </w:r>
            <w:r w:rsidRPr="00380B40">
              <w:noBreakHyphen/>
              <w:t>T work</w:t>
            </w:r>
          </w:p>
        </w:tc>
        <w:tc>
          <w:tcPr>
            <w:tcW w:w="6919" w:type="dxa"/>
            <w:shd w:val="clear" w:color="auto" w:fill="auto"/>
          </w:tcPr>
          <w:p w14:paraId="336468D6" w14:textId="77777777" w:rsidR="007821EC" w:rsidRPr="00380B40" w:rsidRDefault="007821EC" w:rsidP="00E36F7A">
            <w:pPr>
              <w:pStyle w:val="Tabletextsmall"/>
              <w:jc w:val="left"/>
            </w:pPr>
            <w:r w:rsidRPr="00380B40">
              <w:t>Objectives should refer to use of International Standards/Recommendations, or to the provision of input into international standards organizations, especially ITU</w:t>
            </w:r>
            <w:r w:rsidRPr="00380B40">
              <w:noBreakHyphen/>
              <w:t>T.</w:t>
            </w:r>
          </w:p>
        </w:tc>
      </w:tr>
      <w:tr w:rsidR="007821EC" w:rsidRPr="004E0F36" w14:paraId="3F582159" w14:textId="77777777" w:rsidTr="00DE1739">
        <w:tc>
          <w:tcPr>
            <w:tcW w:w="2951" w:type="dxa"/>
            <w:shd w:val="clear" w:color="auto" w:fill="auto"/>
          </w:tcPr>
          <w:p w14:paraId="3921FF39" w14:textId="77777777" w:rsidR="007821EC" w:rsidRPr="00380B40" w:rsidRDefault="007821EC" w:rsidP="00E36F7A">
            <w:pPr>
              <w:pStyle w:val="Tabletextsmallbullet"/>
              <w:jc w:val="left"/>
            </w:pPr>
            <w:r w:rsidRPr="00380B40">
              <w:t>2)</w:t>
            </w:r>
            <w:r w:rsidRPr="00380B40">
              <w:tab/>
              <w:t>Organization:</w:t>
            </w:r>
          </w:p>
          <w:p w14:paraId="6848FC61" w14:textId="77777777" w:rsidR="007821EC" w:rsidRPr="00380B40" w:rsidRDefault="007821EC" w:rsidP="00E36F7A">
            <w:pPr>
              <w:pStyle w:val="Tabletextsmallbullet"/>
              <w:jc w:val="left"/>
            </w:pPr>
            <w:r w:rsidRPr="00380B40">
              <w:tab/>
              <w:t>–</w:t>
            </w:r>
            <w:r w:rsidRPr="00380B40">
              <w:tab/>
              <w:t>legal status;</w:t>
            </w:r>
          </w:p>
          <w:p w14:paraId="53070ACD" w14:textId="77777777" w:rsidR="007821EC" w:rsidRPr="00380B40" w:rsidRDefault="007821EC" w:rsidP="00E36F7A">
            <w:pPr>
              <w:pStyle w:val="Tabletextsmallbullet"/>
              <w:jc w:val="left"/>
            </w:pPr>
            <w:r w:rsidRPr="00380B40">
              <w:tab/>
              <w:t>–</w:t>
            </w:r>
            <w:r w:rsidRPr="00380B40">
              <w:tab/>
              <w:t>geographic scope;</w:t>
            </w:r>
          </w:p>
          <w:p w14:paraId="50363416" w14:textId="77777777" w:rsidR="007821EC" w:rsidRPr="00380B40" w:rsidRDefault="007821EC" w:rsidP="00E36F7A">
            <w:pPr>
              <w:pStyle w:val="Tabletextsmallbullet"/>
              <w:jc w:val="left"/>
            </w:pPr>
            <w:r w:rsidRPr="00380B40">
              <w:tab/>
              <w:t>–</w:t>
            </w:r>
            <w:r w:rsidRPr="00380B40">
              <w:tab/>
              <w:t>secretariat;</w:t>
            </w:r>
          </w:p>
          <w:p w14:paraId="4A79131F" w14:textId="77777777" w:rsidR="007821EC" w:rsidRPr="00380B40" w:rsidRDefault="007821EC" w:rsidP="00E36F7A">
            <w:pPr>
              <w:pStyle w:val="Tabletextsmallbullet"/>
              <w:jc w:val="left"/>
            </w:pPr>
            <w:r w:rsidRPr="00380B40">
              <w:tab/>
              <w:t>–</w:t>
            </w:r>
            <w:r w:rsidRPr="00380B40">
              <w:tab/>
              <w:t>nominated representative.</w:t>
            </w:r>
          </w:p>
        </w:tc>
        <w:tc>
          <w:tcPr>
            <w:tcW w:w="6919" w:type="dxa"/>
            <w:shd w:val="clear" w:color="auto" w:fill="auto"/>
          </w:tcPr>
          <w:p w14:paraId="21DF7204" w14:textId="77777777" w:rsidR="007821EC" w:rsidRPr="00380B40" w:rsidRDefault="007821EC" w:rsidP="00E36F7A">
            <w:pPr>
              <w:pStyle w:val="Tabletext"/>
              <w:ind w:left="284" w:hanging="284"/>
              <w:rPr>
                <w:sz w:val="18"/>
                <w:szCs w:val="18"/>
                <w:lang w:val="en-GB"/>
              </w:rPr>
            </w:pPr>
          </w:p>
          <w:p w14:paraId="1425D08F" w14:textId="77777777" w:rsidR="007821EC" w:rsidRPr="00380B40" w:rsidRDefault="007821EC" w:rsidP="00E36F7A">
            <w:pPr>
              <w:pStyle w:val="Tabletextsmallbullet"/>
              <w:jc w:val="left"/>
            </w:pPr>
            <w:r w:rsidRPr="00380B40">
              <w:t>–</w:t>
            </w:r>
            <w:r w:rsidRPr="00380B40">
              <w:tab/>
              <w:t>should indicate in which country/countries it has legal status;</w:t>
            </w:r>
          </w:p>
          <w:p w14:paraId="09BEADE8" w14:textId="77777777" w:rsidR="007821EC" w:rsidRPr="00380B40" w:rsidRDefault="007821EC" w:rsidP="00E36F7A">
            <w:pPr>
              <w:pStyle w:val="Tabletextsmallbullet"/>
              <w:jc w:val="left"/>
            </w:pPr>
            <w:r w:rsidRPr="00380B40">
              <w:t>–</w:t>
            </w:r>
            <w:r w:rsidRPr="00380B40">
              <w:tab/>
              <w:t>should be global (i.e., should involve more than one region of the world);</w:t>
            </w:r>
          </w:p>
          <w:p w14:paraId="73225A58" w14:textId="77777777" w:rsidR="007821EC" w:rsidRPr="00380B40" w:rsidRDefault="007821EC" w:rsidP="00E36F7A">
            <w:pPr>
              <w:pStyle w:val="Tabletextsmallbullet"/>
              <w:jc w:val="left"/>
            </w:pPr>
            <w:r w:rsidRPr="00380B40">
              <w:t>–</w:t>
            </w:r>
            <w:r w:rsidRPr="00380B40">
              <w:tab/>
              <w:t>permanent secretariat should exist;</w:t>
            </w:r>
          </w:p>
          <w:p w14:paraId="07F0E399" w14:textId="77777777" w:rsidR="007821EC" w:rsidRPr="00380B40" w:rsidRDefault="007821EC" w:rsidP="00E36F7A">
            <w:pPr>
              <w:pStyle w:val="Tabletextsmallbullet"/>
              <w:jc w:val="left"/>
            </w:pPr>
            <w:r w:rsidRPr="00380B40">
              <w:t>–</w:t>
            </w:r>
            <w:r w:rsidRPr="00380B40">
              <w:tab/>
              <w:t>should be willing to nominate a representative.</w:t>
            </w:r>
          </w:p>
        </w:tc>
      </w:tr>
      <w:tr w:rsidR="007821EC" w:rsidRPr="004E0F36" w14:paraId="70364DB2" w14:textId="77777777" w:rsidTr="00DE1739">
        <w:tc>
          <w:tcPr>
            <w:tcW w:w="2951" w:type="dxa"/>
            <w:shd w:val="clear" w:color="auto" w:fill="auto"/>
          </w:tcPr>
          <w:p w14:paraId="33043916" w14:textId="77777777" w:rsidR="007821EC" w:rsidRPr="00380B40" w:rsidRDefault="007821EC" w:rsidP="00E36F7A">
            <w:pPr>
              <w:pStyle w:val="Tabletextsmallbullet"/>
              <w:jc w:val="left"/>
            </w:pPr>
            <w:r w:rsidRPr="00380B40">
              <w:t>3)</w:t>
            </w:r>
            <w:r w:rsidRPr="00380B40">
              <w:tab/>
              <w:t>Membership (openness)</w:t>
            </w:r>
          </w:p>
        </w:tc>
        <w:tc>
          <w:tcPr>
            <w:tcW w:w="6919" w:type="dxa"/>
            <w:shd w:val="clear" w:color="auto" w:fill="auto"/>
          </w:tcPr>
          <w:p w14:paraId="440ECE18" w14:textId="77777777" w:rsidR="007821EC" w:rsidRPr="00380B40" w:rsidRDefault="007821EC" w:rsidP="00E36F7A">
            <w:pPr>
              <w:pStyle w:val="Tabletextsmallbullet"/>
              <w:jc w:val="left"/>
            </w:pPr>
            <w:r w:rsidRPr="00380B40">
              <w:t>–</w:t>
            </w:r>
            <w:r w:rsidRPr="00380B40">
              <w:tab/>
              <w:t>forums/consortia membership criteria should not preclude any party with material interest, especially ITU Member States and Sector Members;</w:t>
            </w:r>
          </w:p>
          <w:p w14:paraId="0705450A" w14:textId="77777777" w:rsidR="007821EC" w:rsidRPr="00380B40" w:rsidRDefault="007821EC" w:rsidP="00E36F7A">
            <w:pPr>
              <w:pStyle w:val="Tabletextsmallbullet"/>
              <w:jc w:val="left"/>
            </w:pPr>
            <w:r w:rsidRPr="00380B40">
              <w:t>–</w:t>
            </w:r>
            <w:r w:rsidRPr="00380B40">
              <w:tab/>
              <w:t>membership should comprise a significant representation of telecommunication interests.</w:t>
            </w:r>
          </w:p>
        </w:tc>
      </w:tr>
      <w:tr w:rsidR="007821EC" w:rsidRPr="004E0F36" w14:paraId="05B449EC" w14:textId="77777777" w:rsidTr="00DE1739">
        <w:tc>
          <w:tcPr>
            <w:tcW w:w="2951" w:type="dxa"/>
            <w:shd w:val="clear" w:color="auto" w:fill="auto"/>
          </w:tcPr>
          <w:p w14:paraId="6E4FA74A" w14:textId="77777777" w:rsidR="007821EC" w:rsidRPr="00380B40" w:rsidRDefault="007821EC" w:rsidP="00E36F7A">
            <w:pPr>
              <w:pStyle w:val="Tabletextsmallbullet"/>
              <w:jc w:val="left"/>
            </w:pPr>
            <w:r w:rsidRPr="00380B40">
              <w:t>4)</w:t>
            </w:r>
            <w:r w:rsidRPr="00380B40">
              <w:tab/>
              <w:t>Technical subject areas</w:t>
            </w:r>
          </w:p>
        </w:tc>
        <w:tc>
          <w:tcPr>
            <w:tcW w:w="6919" w:type="dxa"/>
            <w:shd w:val="clear" w:color="auto" w:fill="auto"/>
          </w:tcPr>
          <w:p w14:paraId="00D1A504" w14:textId="77777777" w:rsidR="007821EC" w:rsidRPr="00380B40" w:rsidRDefault="007821EC" w:rsidP="00E36F7A">
            <w:pPr>
              <w:pStyle w:val="Tabletextsmall"/>
              <w:jc w:val="left"/>
            </w:pPr>
            <w:r w:rsidRPr="00380B40">
              <w:t>Should be relevant to a particular study group(s) or ITU</w:t>
            </w:r>
            <w:r w:rsidRPr="00380B40">
              <w:noBreakHyphen/>
              <w:t>T as a whole.</w:t>
            </w:r>
          </w:p>
        </w:tc>
      </w:tr>
      <w:tr w:rsidR="007821EC" w:rsidRPr="00380B40" w14:paraId="53CE3B76" w14:textId="77777777" w:rsidTr="00DE1739">
        <w:tc>
          <w:tcPr>
            <w:tcW w:w="2951" w:type="dxa"/>
            <w:shd w:val="clear" w:color="auto" w:fill="auto"/>
          </w:tcPr>
          <w:p w14:paraId="70849070" w14:textId="77777777" w:rsidR="007821EC" w:rsidRPr="00380B40" w:rsidRDefault="007821EC" w:rsidP="00E36F7A">
            <w:pPr>
              <w:pStyle w:val="Tabletextsmallbullet"/>
              <w:jc w:val="left"/>
            </w:pPr>
            <w:r w:rsidRPr="00380B40">
              <w:t>5)</w:t>
            </w:r>
            <w:r w:rsidRPr="00380B40">
              <w:tab/>
              <w:t>IPR Policy and Guidelines on:</w:t>
            </w:r>
          </w:p>
          <w:p w14:paraId="28A61CBF" w14:textId="77777777" w:rsidR="007821EC" w:rsidRPr="00380B40" w:rsidRDefault="007821EC" w:rsidP="00E36F7A">
            <w:pPr>
              <w:pStyle w:val="Tabletextsmallbullet"/>
              <w:jc w:val="left"/>
            </w:pPr>
            <w:r w:rsidRPr="00380B40">
              <w:rPr>
                <w:i/>
                <w:iCs/>
              </w:rPr>
              <w:t>a)</w:t>
            </w:r>
            <w:r w:rsidRPr="00380B40">
              <w:tab/>
              <w:t>patent;</w:t>
            </w:r>
            <w:r w:rsidRPr="00380B40">
              <w:br/>
            </w:r>
            <w:r w:rsidRPr="00380B40">
              <w:br/>
            </w:r>
          </w:p>
          <w:p w14:paraId="07A98FF3" w14:textId="77777777" w:rsidR="007821EC" w:rsidRPr="00380B40" w:rsidRDefault="007821EC" w:rsidP="00E36F7A">
            <w:pPr>
              <w:pStyle w:val="Tabletextsmallbullet"/>
              <w:jc w:val="left"/>
            </w:pPr>
            <w:r w:rsidRPr="00380B40">
              <w:rPr>
                <w:i/>
                <w:iCs/>
              </w:rPr>
              <w:t>b)</w:t>
            </w:r>
            <w:r w:rsidRPr="00380B40">
              <w:tab/>
              <w:t>software copyright (if applicable);</w:t>
            </w:r>
            <w:r w:rsidR="00E36F7A" w:rsidRPr="00380B40">
              <w:br/>
            </w:r>
          </w:p>
          <w:p w14:paraId="0F041879" w14:textId="77777777" w:rsidR="007821EC" w:rsidRPr="00380B40" w:rsidRDefault="007821EC" w:rsidP="00E36F7A">
            <w:pPr>
              <w:pStyle w:val="Tabletextsmallbullet"/>
              <w:jc w:val="left"/>
            </w:pPr>
            <w:r w:rsidRPr="00380B40">
              <w:rPr>
                <w:i/>
                <w:iCs/>
              </w:rPr>
              <w:t>c)</w:t>
            </w:r>
            <w:r w:rsidRPr="00380B40">
              <w:tab/>
              <w:t>marks (if applicable); and</w:t>
            </w:r>
            <w:r w:rsidRPr="00380B40">
              <w:br/>
            </w:r>
          </w:p>
          <w:p w14:paraId="2B2BA077" w14:textId="77777777" w:rsidR="007821EC" w:rsidRPr="00380B40" w:rsidRDefault="007821EC" w:rsidP="00E36F7A">
            <w:pPr>
              <w:pStyle w:val="Tabletextsmallbullet"/>
              <w:jc w:val="left"/>
            </w:pPr>
            <w:r w:rsidRPr="00380B40">
              <w:rPr>
                <w:i/>
                <w:iCs/>
              </w:rPr>
              <w:t>d)</w:t>
            </w:r>
            <w:r w:rsidRPr="00380B40">
              <w:tab/>
              <w:t>copyright.</w:t>
            </w:r>
          </w:p>
        </w:tc>
        <w:tc>
          <w:tcPr>
            <w:tcW w:w="6919" w:type="dxa"/>
            <w:shd w:val="clear" w:color="auto" w:fill="auto"/>
          </w:tcPr>
          <w:p w14:paraId="43B7CC26" w14:textId="77777777" w:rsidR="007821EC" w:rsidRPr="00380B40" w:rsidRDefault="007821EC" w:rsidP="00E36F7A">
            <w:pPr>
              <w:pStyle w:val="Tabletext"/>
              <w:ind w:left="284" w:hanging="284"/>
              <w:rPr>
                <w:sz w:val="18"/>
                <w:szCs w:val="18"/>
                <w:lang w:val="en-GB"/>
              </w:rPr>
            </w:pPr>
          </w:p>
          <w:p w14:paraId="7D1F9C40" w14:textId="77777777" w:rsidR="007821EC" w:rsidRPr="00380B40" w:rsidRDefault="007821EC" w:rsidP="00E36F7A">
            <w:pPr>
              <w:pStyle w:val="Tabletextsmallbullet"/>
              <w:jc w:val="left"/>
            </w:pPr>
            <w:r w:rsidRPr="00380B40">
              <w:rPr>
                <w:i/>
                <w:iCs/>
              </w:rPr>
              <w:t>a)</w:t>
            </w:r>
            <w:r w:rsidRPr="00380B40">
              <w:tab/>
              <w:t>should be consistent with "Common Patent Policy for ITU</w:t>
            </w:r>
            <w:r w:rsidRPr="00380B40">
              <w:noBreakHyphen/>
              <w:t>T/ITU</w:t>
            </w:r>
            <w:r w:rsidRPr="00380B40">
              <w:noBreakHyphen/>
              <w:t>R/ISO/IEC" and "Guidelines for Implementation of the Common Patent Policy for ITU</w:t>
            </w:r>
            <w:r w:rsidRPr="00380B40">
              <w:noBreakHyphen/>
              <w:t>T/ITU</w:t>
            </w:r>
            <w:r w:rsidRPr="00380B40">
              <w:noBreakHyphen/>
              <w:t>R/ISO/IEC"*;</w:t>
            </w:r>
          </w:p>
          <w:p w14:paraId="40BA4A45" w14:textId="77777777" w:rsidR="007821EC" w:rsidRPr="00380B40" w:rsidRDefault="007821EC" w:rsidP="00E36F7A">
            <w:pPr>
              <w:pStyle w:val="Tabletextsmallbullet"/>
              <w:jc w:val="left"/>
            </w:pPr>
            <w:r w:rsidRPr="00380B40">
              <w:rPr>
                <w:i/>
                <w:iCs/>
              </w:rPr>
              <w:t>b)</w:t>
            </w:r>
            <w:r w:rsidRPr="00380B40">
              <w:tab/>
              <w:t>should be consistent with "ITU</w:t>
            </w:r>
            <w:r w:rsidRPr="00380B40">
              <w:noBreakHyphen/>
              <w:t>T Software Copyright Guidelines"</w:t>
            </w:r>
            <w:r w:rsidRPr="00380B40">
              <w:rPr>
                <w:rFonts w:eastAsia="SimSun"/>
              </w:rPr>
              <w:t>*</w:t>
            </w:r>
            <w:r w:rsidRPr="00380B40">
              <w:t>;</w:t>
            </w:r>
          </w:p>
          <w:p w14:paraId="45C01F32" w14:textId="77777777" w:rsidR="007821EC" w:rsidRPr="00380B40" w:rsidRDefault="007821EC" w:rsidP="00E36F7A">
            <w:pPr>
              <w:pStyle w:val="Tabletext"/>
              <w:ind w:left="284" w:hanging="284"/>
              <w:rPr>
                <w:i/>
                <w:iCs/>
                <w:sz w:val="18"/>
                <w:szCs w:val="18"/>
                <w:lang w:val="en-GB"/>
              </w:rPr>
            </w:pPr>
          </w:p>
          <w:p w14:paraId="76798ABE" w14:textId="77777777" w:rsidR="007821EC" w:rsidRPr="00380B40" w:rsidRDefault="007821EC" w:rsidP="00E36F7A">
            <w:pPr>
              <w:pStyle w:val="Tabletextsmallbullet"/>
              <w:jc w:val="left"/>
              <w:rPr>
                <w:rFonts w:eastAsia="SimSun"/>
              </w:rPr>
            </w:pPr>
            <w:r w:rsidRPr="00380B40">
              <w:rPr>
                <w:i/>
                <w:iCs/>
              </w:rPr>
              <w:t>c)</w:t>
            </w:r>
            <w:r w:rsidRPr="00380B40">
              <w:rPr>
                <w:rFonts w:eastAsia="SimSun"/>
              </w:rPr>
              <w:tab/>
              <w:t>should be consistent with "ITU</w:t>
            </w:r>
            <w:r w:rsidRPr="00380B40">
              <w:rPr>
                <w:rFonts w:eastAsia="SimSun"/>
              </w:rPr>
              <w:noBreakHyphen/>
              <w:t>T Guidelines related to the inclusion of Marks in ITU</w:t>
            </w:r>
            <w:r w:rsidRPr="00380B40">
              <w:rPr>
                <w:rFonts w:eastAsia="SimSun"/>
              </w:rPr>
              <w:noBreakHyphen/>
              <w:t>T Recommendations";</w:t>
            </w:r>
          </w:p>
          <w:p w14:paraId="2FCC831A" w14:textId="77777777" w:rsidR="007821EC" w:rsidRPr="00380B40" w:rsidRDefault="007821EC" w:rsidP="00E36F7A">
            <w:pPr>
              <w:pStyle w:val="Tabletextsmallbullet"/>
              <w:jc w:val="left"/>
            </w:pPr>
            <w:r w:rsidRPr="00380B40">
              <w:rPr>
                <w:i/>
                <w:iCs/>
              </w:rPr>
              <w:t>d)</w:t>
            </w:r>
            <w:r w:rsidRPr="00380B40">
              <w:tab/>
              <w:t>ITU and ITU Member States and Sector Members should have the right to copy for standardization-related purposes (see also Rec. ITU</w:t>
            </w:r>
            <w:r w:rsidRPr="00380B40">
              <w:noBreakHyphen/>
              <w:t>T A.1 with regard to copying and distribution).</w:t>
            </w:r>
          </w:p>
        </w:tc>
      </w:tr>
      <w:tr w:rsidR="007821EC" w:rsidRPr="004E0F36" w14:paraId="61FD0E14" w14:textId="77777777" w:rsidTr="00DE1739">
        <w:tc>
          <w:tcPr>
            <w:tcW w:w="2951" w:type="dxa"/>
            <w:shd w:val="clear" w:color="auto" w:fill="auto"/>
          </w:tcPr>
          <w:p w14:paraId="29CBEE7E" w14:textId="77777777" w:rsidR="007821EC" w:rsidRPr="00380B40" w:rsidRDefault="007821EC" w:rsidP="00E36F7A">
            <w:pPr>
              <w:pStyle w:val="Tabletextsmallbullet"/>
              <w:jc w:val="left"/>
            </w:pPr>
            <w:r w:rsidRPr="00380B40">
              <w:t>6)</w:t>
            </w:r>
            <w:r w:rsidRPr="00380B40">
              <w:tab/>
              <w:t>Working methods/processes</w:t>
            </w:r>
          </w:p>
        </w:tc>
        <w:tc>
          <w:tcPr>
            <w:tcW w:w="6919" w:type="dxa"/>
            <w:shd w:val="clear" w:color="auto" w:fill="auto"/>
          </w:tcPr>
          <w:p w14:paraId="0F891C56" w14:textId="77777777" w:rsidR="007821EC" w:rsidRPr="00380B40" w:rsidRDefault="007821EC" w:rsidP="00E36F7A">
            <w:pPr>
              <w:pStyle w:val="Tabletextsmallbullet"/>
              <w:jc w:val="left"/>
            </w:pPr>
            <w:r w:rsidRPr="00380B40">
              <w:t>–</w:t>
            </w:r>
            <w:r w:rsidRPr="00380B40">
              <w:tab/>
              <w:t>should be well-documented;</w:t>
            </w:r>
          </w:p>
          <w:p w14:paraId="1A10CA70" w14:textId="77777777" w:rsidR="007821EC" w:rsidRPr="00380B40" w:rsidRDefault="007821EC" w:rsidP="00E36F7A">
            <w:pPr>
              <w:pStyle w:val="Tabletextsmallbullet"/>
              <w:jc w:val="left"/>
            </w:pPr>
            <w:r w:rsidRPr="00380B40">
              <w:t>–</w:t>
            </w:r>
            <w:r w:rsidRPr="00380B40">
              <w:tab/>
              <w:t>should be open and fair;</w:t>
            </w:r>
          </w:p>
          <w:p w14:paraId="1132F133" w14:textId="77777777" w:rsidR="007821EC" w:rsidRPr="00380B40" w:rsidRDefault="007821EC" w:rsidP="00E36F7A">
            <w:pPr>
              <w:pStyle w:val="Tabletextsmallbullet"/>
              <w:jc w:val="left"/>
            </w:pPr>
            <w:r w:rsidRPr="00380B40">
              <w:t>–</w:t>
            </w:r>
            <w:r w:rsidRPr="00380B40">
              <w:tab/>
              <w:t>should support competition;</w:t>
            </w:r>
          </w:p>
          <w:p w14:paraId="6A5BE214" w14:textId="77777777" w:rsidR="007821EC" w:rsidRPr="00380B40" w:rsidRDefault="007821EC" w:rsidP="00E36F7A">
            <w:pPr>
              <w:pStyle w:val="Tabletextsmallbullet"/>
              <w:jc w:val="left"/>
            </w:pPr>
            <w:r w:rsidRPr="00380B40">
              <w:t>–</w:t>
            </w:r>
            <w:r w:rsidRPr="00380B40">
              <w:tab/>
              <w:t>should explicitly consider anti-trust issues.</w:t>
            </w:r>
          </w:p>
        </w:tc>
      </w:tr>
      <w:tr w:rsidR="007821EC" w:rsidRPr="004E0F36" w14:paraId="30B58195" w14:textId="77777777" w:rsidTr="00DE1739">
        <w:tc>
          <w:tcPr>
            <w:tcW w:w="2951" w:type="dxa"/>
            <w:shd w:val="clear" w:color="auto" w:fill="auto"/>
          </w:tcPr>
          <w:p w14:paraId="4411F5EC" w14:textId="77777777" w:rsidR="007821EC" w:rsidRPr="00380B40" w:rsidRDefault="007821EC" w:rsidP="00E36F7A">
            <w:pPr>
              <w:pStyle w:val="Tabletextsmallbullet"/>
              <w:jc w:val="left"/>
            </w:pPr>
            <w:r w:rsidRPr="00380B40">
              <w:t>7)</w:t>
            </w:r>
            <w:r w:rsidRPr="00380B40">
              <w:tab/>
              <w:t>Outputs</w:t>
            </w:r>
          </w:p>
        </w:tc>
        <w:tc>
          <w:tcPr>
            <w:tcW w:w="6919" w:type="dxa"/>
            <w:shd w:val="clear" w:color="auto" w:fill="auto"/>
          </w:tcPr>
          <w:p w14:paraId="001444B7" w14:textId="77777777" w:rsidR="007821EC" w:rsidRPr="00380B40" w:rsidRDefault="007821EC" w:rsidP="00E36F7A">
            <w:pPr>
              <w:pStyle w:val="Tabletextsmallbullet"/>
              <w:jc w:val="left"/>
            </w:pPr>
            <w:r w:rsidRPr="00380B40">
              <w:t>–</w:t>
            </w:r>
            <w:r w:rsidRPr="00380B40">
              <w:tab/>
              <w:t>outputs available to ITU</w:t>
            </w:r>
            <w:r w:rsidRPr="00380B40">
              <w:noBreakHyphen/>
              <w:t>T should be identified;</w:t>
            </w:r>
          </w:p>
          <w:p w14:paraId="249CDC20" w14:textId="77777777" w:rsidR="007821EC" w:rsidRPr="00380B40" w:rsidRDefault="007821EC" w:rsidP="00E36F7A">
            <w:pPr>
              <w:pStyle w:val="Tabletextsmallbullet"/>
              <w:jc w:val="left"/>
            </w:pPr>
            <w:r w:rsidRPr="00380B40">
              <w:t>–</w:t>
            </w:r>
            <w:r w:rsidRPr="00380B40">
              <w:tab/>
              <w:t>process for ITU</w:t>
            </w:r>
            <w:r w:rsidRPr="00380B40">
              <w:noBreakHyphen/>
              <w:t>T to obtain outputs should be identified.</w:t>
            </w:r>
          </w:p>
        </w:tc>
      </w:tr>
    </w:tbl>
    <w:p w14:paraId="3E38FCF5" w14:textId="77777777" w:rsidR="00E856C8" w:rsidRPr="00C777D4" w:rsidRDefault="00E856C8">
      <w:pPr>
        <w:rPr>
          <w:lang w:val="en-GB"/>
        </w:rPr>
      </w:pPr>
    </w:p>
    <w:p w14:paraId="2B4D15F3" w14:textId="77777777" w:rsidR="00E856C8" w:rsidRPr="00C777D4" w:rsidRDefault="00E856C8">
      <w:pPr>
        <w:rPr>
          <w:lang w:val="en-GB"/>
        </w:rPr>
      </w:pPr>
    </w:p>
    <w:p w14:paraId="474FE80A" w14:textId="77777777" w:rsidR="00E856C8" w:rsidRPr="00C777D4" w:rsidRDefault="00E856C8">
      <w:pPr>
        <w:rPr>
          <w:lang w:val="en-GB"/>
        </w:rPr>
      </w:pPr>
    </w:p>
    <w:p w14:paraId="5F859C86" w14:textId="77777777" w:rsidR="00E856C8" w:rsidRPr="00C777D4" w:rsidRDefault="00E856C8">
      <w:pPr>
        <w:rPr>
          <w:lang w:val="en-GB"/>
        </w:rPr>
      </w:pPr>
    </w:p>
    <w:p w14:paraId="23D2B92B" w14:textId="77777777" w:rsidR="00E856C8" w:rsidRPr="00C777D4" w:rsidRDefault="00E856C8">
      <w:pPr>
        <w:rPr>
          <w:lang w:val="en-GB"/>
        </w:rPr>
      </w:pPr>
    </w:p>
    <w:p w14:paraId="66165D18" w14:textId="77777777" w:rsidR="00D34519" w:rsidRPr="00C777D4" w:rsidRDefault="00D34519">
      <w:pPr>
        <w:rPr>
          <w:lang w:val="en-GB"/>
        </w:rPr>
      </w:pPr>
      <w:r w:rsidRPr="00C777D4">
        <w:rPr>
          <w:lang w:val="en-GB"/>
        </w:rPr>
        <w:br w:type="page"/>
      </w:r>
    </w:p>
    <w:p w14:paraId="02FE3D96" w14:textId="4126AE01" w:rsidR="00D34519" w:rsidRPr="00380B40" w:rsidRDefault="00D34519" w:rsidP="00D34519">
      <w:pPr>
        <w:pStyle w:val="Continued"/>
      </w:pP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1"/>
        <w:gridCol w:w="6919"/>
      </w:tblGrid>
      <w:tr w:rsidR="00D34519" w:rsidRPr="00380B40" w14:paraId="2795A9F3" w14:textId="77777777" w:rsidTr="004E4CA9">
        <w:trPr>
          <w:tblHeader/>
        </w:trPr>
        <w:tc>
          <w:tcPr>
            <w:tcW w:w="2951" w:type="dxa"/>
            <w:shd w:val="clear" w:color="auto" w:fill="auto"/>
          </w:tcPr>
          <w:p w14:paraId="6E8D4B20" w14:textId="77777777" w:rsidR="00D34519" w:rsidRPr="00380B40" w:rsidRDefault="00D34519" w:rsidP="004E4CA9">
            <w:pPr>
              <w:pStyle w:val="Tableheadwhitecentred"/>
            </w:pPr>
            <w:r w:rsidRPr="00380B40">
              <w:t>Forum/consortium attributes</w:t>
            </w:r>
          </w:p>
        </w:tc>
        <w:tc>
          <w:tcPr>
            <w:tcW w:w="6919" w:type="dxa"/>
            <w:shd w:val="clear" w:color="auto" w:fill="auto"/>
          </w:tcPr>
          <w:p w14:paraId="3D880E34" w14:textId="77777777" w:rsidR="00D34519" w:rsidRPr="00380B40" w:rsidRDefault="00D34519" w:rsidP="004E4CA9">
            <w:pPr>
              <w:pStyle w:val="Tableheadwhitecentred"/>
            </w:pPr>
            <w:r w:rsidRPr="00380B40">
              <w:t>Desired characteristics</w:t>
            </w:r>
          </w:p>
        </w:tc>
      </w:tr>
      <w:tr w:rsidR="007821EC" w:rsidRPr="004E0F36" w14:paraId="062911EA" w14:textId="77777777" w:rsidTr="00DE1739">
        <w:tc>
          <w:tcPr>
            <w:tcW w:w="2951" w:type="dxa"/>
            <w:shd w:val="clear" w:color="auto" w:fill="auto"/>
          </w:tcPr>
          <w:p w14:paraId="33A58693" w14:textId="77777777" w:rsidR="007821EC" w:rsidRPr="00380B40" w:rsidRDefault="007821EC" w:rsidP="00E36F7A">
            <w:pPr>
              <w:pStyle w:val="Tabletextsmallbullet"/>
              <w:jc w:val="left"/>
            </w:pPr>
            <w:r w:rsidRPr="00380B40">
              <w:t>8)</w:t>
            </w:r>
            <w:r w:rsidRPr="00380B40">
              <w:tab/>
              <w:t>Documents submitted to ITU</w:t>
            </w:r>
            <w:r w:rsidRPr="00380B40">
              <w:noBreakHyphen/>
              <w:t>T</w:t>
            </w:r>
          </w:p>
        </w:tc>
        <w:tc>
          <w:tcPr>
            <w:tcW w:w="6919" w:type="dxa"/>
            <w:shd w:val="clear" w:color="auto" w:fill="auto"/>
          </w:tcPr>
          <w:p w14:paraId="70289130" w14:textId="77777777" w:rsidR="007821EC" w:rsidRPr="00380B40" w:rsidRDefault="007821EC" w:rsidP="00E36F7A">
            <w:pPr>
              <w:pStyle w:val="Tabletextsmallbullet"/>
              <w:jc w:val="left"/>
            </w:pPr>
            <w:r w:rsidRPr="00380B40">
              <w:t>–</w:t>
            </w:r>
            <w:r w:rsidRPr="00380B40">
              <w:tab/>
              <w:t>should contain no proprietary information (no distribution restriction);</w:t>
            </w:r>
          </w:p>
          <w:p w14:paraId="5F56CBD5" w14:textId="77777777" w:rsidR="007821EC" w:rsidRPr="00380B40" w:rsidRDefault="007821EC" w:rsidP="00E36F7A">
            <w:pPr>
              <w:pStyle w:val="Tabletextsmallbullet"/>
              <w:jc w:val="left"/>
            </w:pPr>
            <w:r w:rsidRPr="00380B40">
              <w:t>–</w:t>
            </w:r>
            <w:r w:rsidRPr="00380B40">
              <w:tab/>
              <w:t>should indicate source within the forum/consortium (e.g., committee, subcommittee, etc.);</w:t>
            </w:r>
          </w:p>
          <w:p w14:paraId="1FD68BB7" w14:textId="77777777" w:rsidR="007821EC" w:rsidRPr="00380B40" w:rsidRDefault="007821EC" w:rsidP="00E36F7A">
            <w:pPr>
              <w:pStyle w:val="Tabletextsmallbullet"/>
              <w:jc w:val="left"/>
            </w:pPr>
            <w:r w:rsidRPr="00380B40">
              <w:t>–</w:t>
            </w:r>
            <w:r w:rsidRPr="00380B40">
              <w:tab/>
              <w:t>should indicate degree of stability of the document (e.g., preliminary, mature, stable, proposed date of adoption, etc.);</w:t>
            </w:r>
          </w:p>
          <w:p w14:paraId="04BA9D16" w14:textId="77777777" w:rsidR="007821EC" w:rsidRPr="00380B40" w:rsidRDefault="007821EC" w:rsidP="00E36F7A">
            <w:pPr>
              <w:pStyle w:val="Tabletextsmallbullet"/>
              <w:jc w:val="left"/>
            </w:pPr>
            <w:r w:rsidRPr="00380B40">
              <w:t>–</w:t>
            </w:r>
            <w:r w:rsidRPr="00380B40">
              <w:tab/>
              <w:t>should indicate degree of approval of document (i.e., per cent of total forum membership involved and per cent of total forum membership that approved the document).</w:t>
            </w:r>
          </w:p>
        </w:tc>
      </w:tr>
      <w:tr w:rsidR="007821EC" w:rsidRPr="004E0F36" w14:paraId="677CE950" w14:textId="77777777" w:rsidTr="00DE1739">
        <w:tc>
          <w:tcPr>
            <w:tcW w:w="9870" w:type="dxa"/>
            <w:gridSpan w:val="2"/>
            <w:shd w:val="clear" w:color="auto" w:fill="auto"/>
          </w:tcPr>
          <w:p w14:paraId="70A0E4F8" w14:textId="77777777" w:rsidR="007821EC" w:rsidRPr="00380B40" w:rsidRDefault="007821EC" w:rsidP="00E36F7A">
            <w:pPr>
              <w:pStyle w:val="Tabletextsmallbullet"/>
              <w:jc w:val="left"/>
            </w:pPr>
            <w:r w:rsidRPr="00380B40">
              <w:t>*)</w:t>
            </w:r>
            <w:r w:rsidRPr="00380B40">
              <w:tab/>
              <w:t>Particularly, licences must be offered on a non-discriminatory basis on reasonable terms and conditions (whether free of charge or with monetary compensation) to both members and non-members.</w:t>
            </w:r>
          </w:p>
        </w:tc>
      </w:tr>
      <w:bookmarkEnd w:id="802"/>
    </w:tbl>
    <w:p w14:paraId="3E0F9F91" w14:textId="77777777" w:rsidR="007E52B2" w:rsidRPr="00380B40" w:rsidRDefault="007E52B2" w:rsidP="008C3E8D">
      <w:pPr>
        <w:rPr>
          <w:lang w:val="en-GB"/>
        </w:rPr>
      </w:pPr>
    </w:p>
    <w:p w14:paraId="78696107" w14:textId="77777777" w:rsidR="00E856C8" w:rsidRPr="00380B40" w:rsidRDefault="00E856C8" w:rsidP="008C3E8D">
      <w:pPr>
        <w:rPr>
          <w:lang w:val="en-GB"/>
        </w:rPr>
      </w:pPr>
    </w:p>
    <w:p w14:paraId="7DBC4432" w14:textId="77777777" w:rsidR="00E856C8" w:rsidRPr="00380B40" w:rsidRDefault="00E856C8" w:rsidP="008C3E8D">
      <w:pPr>
        <w:rPr>
          <w:lang w:val="en-GB"/>
        </w:rPr>
      </w:pPr>
    </w:p>
    <w:p w14:paraId="3A913FB4" w14:textId="77777777" w:rsidR="00E856C8" w:rsidRPr="00380B40" w:rsidRDefault="00E856C8" w:rsidP="008C3E8D">
      <w:pPr>
        <w:rPr>
          <w:lang w:val="en-GB"/>
        </w:rPr>
      </w:pPr>
    </w:p>
    <w:p w14:paraId="7145BADF" w14:textId="77777777" w:rsidR="00E856C8" w:rsidRPr="00380B40" w:rsidRDefault="00E856C8" w:rsidP="008C3E8D">
      <w:pPr>
        <w:rPr>
          <w:lang w:val="en-GB"/>
        </w:rPr>
      </w:pPr>
    </w:p>
    <w:p w14:paraId="1B1EFF17" w14:textId="77777777" w:rsidR="00E856C8" w:rsidRPr="00380B40" w:rsidRDefault="00E856C8" w:rsidP="008C3E8D">
      <w:pPr>
        <w:rPr>
          <w:lang w:val="en-GB"/>
        </w:rPr>
      </w:pPr>
    </w:p>
    <w:p w14:paraId="0F2CD56C" w14:textId="77777777" w:rsidR="00E856C8" w:rsidRPr="00380B40" w:rsidRDefault="00E856C8" w:rsidP="008C3E8D">
      <w:pPr>
        <w:rPr>
          <w:lang w:val="en-GB"/>
        </w:rPr>
      </w:pPr>
    </w:p>
    <w:p w14:paraId="46044F53" w14:textId="77777777" w:rsidR="00E856C8" w:rsidRPr="00380B40" w:rsidRDefault="00E856C8" w:rsidP="008C3E8D">
      <w:pPr>
        <w:rPr>
          <w:lang w:val="en-GB"/>
        </w:rPr>
      </w:pPr>
    </w:p>
    <w:p w14:paraId="2E63FABF" w14:textId="77777777" w:rsidR="00E856C8" w:rsidRPr="00380B40" w:rsidRDefault="00E856C8" w:rsidP="008C3E8D">
      <w:pPr>
        <w:rPr>
          <w:lang w:val="en-GB"/>
        </w:rPr>
      </w:pPr>
    </w:p>
    <w:p w14:paraId="4C9731D3" w14:textId="77777777" w:rsidR="00E856C8" w:rsidRPr="00380B40" w:rsidRDefault="00E856C8" w:rsidP="008C3E8D">
      <w:pPr>
        <w:rPr>
          <w:lang w:val="en-GB"/>
        </w:rPr>
      </w:pPr>
    </w:p>
    <w:p w14:paraId="5F5F4D95" w14:textId="77777777" w:rsidR="00E856C8" w:rsidRPr="00380B40" w:rsidRDefault="00E856C8" w:rsidP="008C3E8D">
      <w:pPr>
        <w:rPr>
          <w:lang w:val="en-GB"/>
        </w:rPr>
      </w:pPr>
    </w:p>
    <w:p w14:paraId="6630367A" w14:textId="77777777" w:rsidR="00E856C8" w:rsidRPr="00380B40" w:rsidRDefault="00E856C8" w:rsidP="008C3E8D">
      <w:pPr>
        <w:rPr>
          <w:lang w:val="en-GB"/>
        </w:rPr>
      </w:pPr>
    </w:p>
    <w:p w14:paraId="62A6CEFE" w14:textId="77777777" w:rsidR="00E856C8" w:rsidRPr="00380B40" w:rsidRDefault="00E856C8" w:rsidP="008C3E8D">
      <w:pPr>
        <w:rPr>
          <w:lang w:val="en-GB"/>
        </w:rPr>
      </w:pPr>
    </w:p>
    <w:p w14:paraId="345FDCF6" w14:textId="77777777" w:rsidR="00E856C8" w:rsidRPr="00380B40" w:rsidRDefault="00E856C8" w:rsidP="008C3E8D">
      <w:pPr>
        <w:rPr>
          <w:lang w:val="en-GB"/>
        </w:rPr>
      </w:pPr>
    </w:p>
    <w:p w14:paraId="5CAC986A" w14:textId="77777777" w:rsidR="00E856C8" w:rsidRPr="00380B40" w:rsidRDefault="00E856C8" w:rsidP="008C3E8D">
      <w:pPr>
        <w:rPr>
          <w:lang w:val="en-GB"/>
        </w:rPr>
      </w:pPr>
    </w:p>
    <w:p w14:paraId="64600C8C" w14:textId="77777777" w:rsidR="0012578F" w:rsidRPr="00380B40" w:rsidRDefault="0012578F" w:rsidP="008C3E8D">
      <w:pPr>
        <w:rPr>
          <w:lang w:val="en-GB"/>
        </w:rPr>
      </w:pPr>
    </w:p>
    <w:p w14:paraId="53CE423B" w14:textId="77777777" w:rsidR="007E52B2" w:rsidRPr="00380B40" w:rsidRDefault="007E52B2" w:rsidP="008C3E8D">
      <w:pPr>
        <w:pStyle w:val="AppendixNoTitle"/>
        <w:rPr>
          <w:lang w:val="en-GB"/>
        </w:rPr>
        <w:sectPr w:rsidR="007E52B2" w:rsidRPr="00380B40" w:rsidSect="00366EC0">
          <w:headerReference w:type="even" r:id="rId364"/>
          <w:headerReference w:type="default" r:id="rId365"/>
          <w:footerReference w:type="even" r:id="rId366"/>
          <w:footerReference w:type="default" r:id="rId367"/>
          <w:pgSz w:w="11907" w:h="16834" w:code="9"/>
          <w:pgMar w:top="1134" w:right="1134" w:bottom="1134" w:left="1134" w:header="567" w:footer="567" w:gutter="0"/>
          <w:paperSrc w:first="261" w:other="261"/>
          <w:cols w:space="720"/>
          <w:vAlign w:val="both"/>
          <w:docGrid w:linePitch="326"/>
        </w:sectPr>
      </w:pPr>
      <w:bookmarkStart w:id="804" w:name="_Toc27280898"/>
    </w:p>
    <w:p w14:paraId="2ACFB670" w14:textId="77777777" w:rsidR="005F3BBF" w:rsidRPr="00380B40" w:rsidRDefault="007821EC" w:rsidP="005F3BBF">
      <w:pPr>
        <w:pStyle w:val="AppendixNo"/>
      </w:pPr>
      <w:bookmarkStart w:id="805" w:name="_Toc357068236"/>
      <w:bookmarkStart w:id="806" w:name="_Hlk104388764"/>
      <w:bookmarkEnd w:id="804"/>
      <w:r w:rsidRPr="00380B40">
        <w:t>Appendix I</w:t>
      </w:r>
    </w:p>
    <w:p w14:paraId="7D96BAD4" w14:textId="77777777" w:rsidR="007821EC" w:rsidRPr="00380B40" w:rsidRDefault="007821EC" w:rsidP="005F3BBF">
      <w:pPr>
        <w:pStyle w:val="Appendixtitle"/>
      </w:pPr>
      <w:r w:rsidRPr="00380B40">
        <w:t>Establishment of a process for cooperation and exchange of information under Rec. ITU</w:t>
      </w:r>
      <w:r w:rsidRPr="00380B40">
        <w:noBreakHyphen/>
        <w:t>T A.4</w:t>
      </w:r>
      <w:bookmarkEnd w:id="805"/>
    </w:p>
    <w:p w14:paraId="1A8A568C" w14:textId="77777777" w:rsidR="007821EC" w:rsidRPr="00380B40" w:rsidRDefault="007821EC" w:rsidP="0021355D">
      <w:pPr>
        <w:pStyle w:val="Appendixref"/>
      </w:pPr>
      <w:r w:rsidRPr="00380B40">
        <w:t>(This appendix does not form an integral part of this Recommendation.)</w:t>
      </w:r>
    </w:p>
    <w:p w14:paraId="4826F254" w14:textId="77777777" w:rsidR="007821EC" w:rsidRPr="00380B40" w:rsidRDefault="007821EC" w:rsidP="007821EC">
      <w:pPr>
        <w:jc w:val="cente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6"/>
        <w:gridCol w:w="3335"/>
        <w:gridCol w:w="240"/>
        <w:gridCol w:w="3305"/>
        <w:gridCol w:w="240"/>
        <w:gridCol w:w="2965"/>
        <w:gridCol w:w="282"/>
        <w:gridCol w:w="3079"/>
      </w:tblGrid>
      <w:tr w:rsidR="007821EC" w:rsidRPr="00380B40" w14:paraId="4314ED37" w14:textId="77777777" w:rsidTr="002E7F82">
        <w:trPr>
          <w:trHeight w:val="255"/>
          <w:tblHeader/>
        </w:trPr>
        <w:tc>
          <w:tcPr>
            <w:tcW w:w="1128" w:type="dxa"/>
            <w:shd w:val="clear" w:color="auto" w:fill="auto"/>
            <w:vAlign w:val="bottom"/>
          </w:tcPr>
          <w:p w14:paraId="192B6692" w14:textId="77777777" w:rsidR="007821EC" w:rsidRPr="00380B40" w:rsidRDefault="007821EC" w:rsidP="00222754">
            <w:pPr>
              <w:pStyle w:val="Tabletext"/>
              <w:spacing w:before="20" w:after="20" w:line="200" w:lineRule="exact"/>
              <w:rPr>
                <w:rFonts w:eastAsia="Arial Unicode MS"/>
                <w:lang w:val="en-GB"/>
              </w:rPr>
            </w:pPr>
          </w:p>
        </w:tc>
        <w:tc>
          <w:tcPr>
            <w:tcW w:w="3378" w:type="dxa"/>
            <w:shd w:val="clear" w:color="auto" w:fill="auto"/>
            <w:vAlign w:val="bottom"/>
          </w:tcPr>
          <w:p w14:paraId="310AB1A7" w14:textId="77777777" w:rsidR="007821EC" w:rsidRPr="00380B40" w:rsidRDefault="007821EC" w:rsidP="0072488D">
            <w:pPr>
              <w:pStyle w:val="Tableheadwhitecentred"/>
              <w:rPr>
                <w:rFonts w:eastAsia="Arial Unicode MS"/>
              </w:rPr>
            </w:pPr>
            <w:r w:rsidRPr="00380B40">
              <w:t>1</w:t>
            </w:r>
          </w:p>
        </w:tc>
        <w:tc>
          <w:tcPr>
            <w:tcW w:w="240" w:type="dxa"/>
            <w:shd w:val="clear" w:color="auto" w:fill="auto"/>
            <w:vAlign w:val="bottom"/>
          </w:tcPr>
          <w:p w14:paraId="024E1981" w14:textId="77777777" w:rsidR="007821EC" w:rsidRPr="00380B40" w:rsidRDefault="007821EC" w:rsidP="0072488D">
            <w:pPr>
              <w:pStyle w:val="Tableheadwhitecentred"/>
              <w:rPr>
                <w:rFonts w:eastAsia="Arial Unicode MS"/>
              </w:rPr>
            </w:pPr>
          </w:p>
        </w:tc>
        <w:tc>
          <w:tcPr>
            <w:tcW w:w="3347" w:type="dxa"/>
            <w:shd w:val="clear" w:color="auto" w:fill="auto"/>
            <w:vAlign w:val="bottom"/>
          </w:tcPr>
          <w:p w14:paraId="0935286F" w14:textId="77777777" w:rsidR="007821EC" w:rsidRPr="00380B40" w:rsidRDefault="007821EC" w:rsidP="0072488D">
            <w:pPr>
              <w:pStyle w:val="Tableheadwhitecentred"/>
              <w:rPr>
                <w:rFonts w:eastAsia="Arial Unicode MS"/>
              </w:rPr>
            </w:pPr>
            <w:r w:rsidRPr="00380B40">
              <w:t>2</w:t>
            </w:r>
          </w:p>
        </w:tc>
        <w:tc>
          <w:tcPr>
            <w:tcW w:w="240" w:type="dxa"/>
            <w:shd w:val="clear" w:color="auto" w:fill="auto"/>
            <w:vAlign w:val="bottom"/>
          </w:tcPr>
          <w:p w14:paraId="575CD123" w14:textId="77777777" w:rsidR="007821EC" w:rsidRPr="00380B40" w:rsidRDefault="007821EC" w:rsidP="0072488D">
            <w:pPr>
              <w:pStyle w:val="Tableheadwhitecentred"/>
              <w:rPr>
                <w:rFonts w:eastAsia="Arial Unicode MS"/>
              </w:rPr>
            </w:pPr>
          </w:p>
        </w:tc>
        <w:tc>
          <w:tcPr>
            <w:tcW w:w="3002" w:type="dxa"/>
            <w:shd w:val="clear" w:color="auto" w:fill="auto"/>
            <w:vAlign w:val="bottom"/>
          </w:tcPr>
          <w:p w14:paraId="1ED01FFF" w14:textId="77777777" w:rsidR="007821EC" w:rsidRPr="00380B40" w:rsidRDefault="007821EC" w:rsidP="0072488D">
            <w:pPr>
              <w:pStyle w:val="Tableheadwhitecentred"/>
              <w:rPr>
                <w:rFonts w:eastAsia="Arial Unicode MS"/>
              </w:rPr>
            </w:pPr>
            <w:r w:rsidRPr="00380B40">
              <w:t>3</w:t>
            </w:r>
          </w:p>
        </w:tc>
        <w:tc>
          <w:tcPr>
            <w:tcW w:w="283" w:type="dxa"/>
            <w:shd w:val="clear" w:color="auto" w:fill="auto"/>
            <w:vAlign w:val="bottom"/>
          </w:tcPr>
          <w:p w14:paraId="31684098" w14:textId="77777777" w:rsidR="007821EC" w:rsidRPr="00380B40" w:rsidRDefault="007821EC" w:rsidP="0072488D">
            <w:pPr>
              <w:pStyle w:val="Tableheadwhitecentred"/>
              <w:rPr>
                <w:rFonts w:eastAsia="Arial Unicode MS"/>
              </w:rPr>
            </w:pPr>
          </w:p>
        </w:tc>
        <w:tc>
          <w:tcPr>
            <w:tcW w:w="3118" w:type="dxa"/>
            <w:shd w:val="clear" w:color="auto" w:fill="auto"/>
            <w:vAlign w:val="bottom"/>
          </w:tcPr>
          <w:p w14:paraId="0782E196" w14:textId="77777777" w:rsidR="007821EC" w:rsidRPr="00380B40" w:rsidRDefault="007821EC" w:rsidP="0072488D">
            <w:pPr>
              <w:pStyle w:val="Tableheadwhitecentred"/>
              <w:rPr>
                <w:rFonts w:eastAsia="Arial Unicode MS"/>
              </w:rPr>
            </w:pPr>
            <w:r w:rsidRPr="00380B40">
              <w:t>4</w:t>
            </w:r>
          </w:p>
        </w:tc>
      </w:tr>
      <w:tr w:rsidR="007821EC" w:rsidRPr="00380B40" w14:paraId="0788AFED" w14:textId="77777777" w:rsidTr="002E7F82">
        <w:trPr>
          <w:trHeight w:val="255"/>
          <w:tblHeader/>
        </w:trPr>
        <w:tc>
          <w:tcPr>
            <w:tcW w:w="1128" w:type="dxa"/>
            <w:shd w:val="clear" w:color="auto" w:fill="auto"/>
            <w:vAlign w:val="bottom"/>
          </w:tcPr>
          <w:p w14:paraId="14DD39E4" w14:textId="77777777" w:rsidR="007821EC" w:rsidRPr="00380B40" w:rsidRDefault="007821EC" w:rsidP="00222754">
            <w:pPr>
              <w:pStyle w:val="Tabletext"/>
              <w:spacing w:before="20" w:after="20" w:line="200" w:lineRule="exact"/>
              <w:rPr>
                <w:rFonts w:eastAsia="Arial Unicode MS"/>
                <w:lang w:val="en-GB"/>
              </w:rPr>
            </w:pPr>
          </w:p>
        </w:tc>
        <w:tc>
          <w:tcPr>
            <w:tcW w:w="3378" w:type="dxa"/>
            <w:shd w:val="clear" w:color="auto" w:fill="auto"/>
            <w:vAlign w:val="bottom"/>
          </w:tcPr>
          <w:p w14:paraId="06028A51" w14:textId="77777777" w:rsidR="007821EC" w:rsidRPr="00380B40" w:rsidRDefault="007821EC" w:rsidP="0072488D">
            <w:pPr>
              <w:pStyle w:val="Tableheadwhitecentred"/>
              <w:rPr>
                <w:rFonts w:eastAsia="Arial Unicode MS"/>
                <w:b w:val="0"/>
                <w:bCs/>
              </w:rPr>
            </w:pPr>
            <w:r w:rsidRPr="00380B40">
              <w:rPr>
                <w:bCs/>
              </w:rPr>
              <w:t>Initiation</w:t>
            </w:r>
          </w:p>
        </w:tc>
        <w:tc>
          <w:tcPr>
            <w:tcW w:w="240" w:type="dxa"/>
            <w:shd w:val="clear" w:color="auto" w:fill="auto"/>
            <w:vAlign w:val="bottom"/>
          </w:tcPr>
          <w:p w14:paraId="2A80F887" w14:textId="77777777" w:rsidR="007821EC" w:rsidRPr="00380B40" w:rsidRDefault="007821EC" w:rsidP="0072488D">
            <w:pPr>
              <w:pStyle w:val="Tableheadwhitecentred"/>
              <w:rPr>
                <w:rFonts w:eastAsia="Arial Unicode MS"/>
              </w:rPr>
            </w:pPr>
          </w:p>
        </w:tc>
        <w:tc>
          <w:tcPr>
            <w:tcW w:w="3347" w:type="dxa"/>
            <w:shd w:val="clear" w:color="auto" w:fill="auto"/>
            <w:vAlign w:val="bottom"/>
          </w:tcPr>
          <w:p w14:paraId="30CB283D" w14:textId="77777777" w:rsidR="007821EC" w:rsidRPr="00380B40" w:rsidRDefault="007821EC" w:rsidP="0072488D">
            <w:pPr>
              <w:pStyle w:val="Tableheadwhitecentred"/>
              <w:rPr>
                <w:rFonts w:eastAsia="Arial Unicode MS"/>
              </w:rPr>
            </w:pPr>
            <w:r w:rsidRPr="00380B40">
              <w:rPr>
                <w:bCs/>
              </w:rPr>
              <w:t>Evaluation</w:t>
            </w:r>
          </w:p>
        </w:tc>
        <w:tc>
          <w:tcPr>
            <w:tcW w:w="240" w:type="dxa"/>
            <w:shd w:val="clear" w:color="auto" w:fill="auto"/>
            <w:vAlign w:val="bottom"/>
          </w:tcPr>
          <w:p w14:paraId="7CD373CA" w14:textId="77777777" w:rsidR="007821EC" w:rsidRPr="00380B40" w:rsidRDefault="007821EC" w:rsidP="0072488D">
            <w:pPr>
              <w:pStyle w:val="Tableheadwhitecentred"/>
              <w:rPr>
                <w:rFonts w:eastAsia="Arial Unicode MS"/>
              </w:rPr>
            </w:pPr>
          </w:p>
        </w:tc>
        <w:tc>
          <w:tcPr>
            <w:tcW w:w="3002" w:type="dxa"/>
            <w:shd w:val="clear" w:color="auto" w:fill="auto"/>
            <w:vAlign w:val="bottom"/>
          </w:tcPr>
          <w:p w14:paraId="570DFF19" w14:textId="77777777" w:rsidR="007821EC" w:rsidRPr="00380B40" w:rsidRDefault="007821EC" w:rsidP="0072488D">
            <w:pPr>
              <w:pStyle w:val="Tableheadwhitecentred"/>
              <w:rPr>
                <w:rFonts w:eastAsia="Arial Unicode MS"/>
              </w:rPr>
            </w:pPr>
            <w:r w:rsidRPr="00380B40">
              <w:rPr>
                <w:bCs/>
              </w:rPr>
              <w:t>Decision</w:t>
            </w:r>
          </w:p>
        </w:tc>
        <w:tc>
          <w:tcPr>
            <w:tcW w:w="283" w:type="dxa"/>
            <w:shd w:val="clear" w:color="auto" w:fill="auto"/>
            <w:vAlign w:val="bottom"/>
          </w:tcPr>
          <w:p w14:paraId="4F003F84" w14:textId="77777777" w:rsidR="007821EC" w:rsidRPr="00380B40" w:rsidRDefault="007821EC" w:rsidP="0072488D">
            <w:pPr>
              <w:pStyle w:val="Tableheadwhitecentred"/>
              <w:rPr>
                <w:rFonts w:eastAsia="Arial Unicode MS"/>
              </w:rPr>
            </w:pPr>
          </w:p>
        </w:tc>
        <w:tc>
          <w:tcPr>
            <w:tcW w:w="3118" w:type="dxa"/>
            <w:shd w:val="clear" w:color="auto" w:fill="auto"/>
            <w:vAlign w:val="bottom"/>
          </w:tcPr>
          <w:p w14:paraId="57919833" w14:textId="77777777" w:rsidR="007821EC" w:rsidRPr="00380B40" w:rsidRDefault="007821EC" w:rsidP="0072488D">
            <w:pPr>
              <w:pStyle w:val="Tableheadwhitecentred"/>
              <w:rPr>
                <w:rFonts w:eastAsia="Arial Unicode MS"/>
                <w:b w:val="0"/>
                <w:bCs/>
              </w:rPr>
            </w:pPr>
            <w:r w:rsidRPr="00380B40">
              <w:rPr>
                <w:bCs/>
              </w:rPr>
              <w:t>Process once established</w:t>
            </w:r>
          </w:p>
        </w:tc>
      </w:tr>
      <w:tr w:rsidR="007821EC" w:rsidRPr="00380B40" w14:paraId="06DA7FB1" w14:textId="77777777" w:rsidTr="002E7F82">
        <w:trPr>
          <w:trHeight w:val="255"/>
          <w:tblHeader/>
        </w:trPr>
        <w:tc>
          <w:tcPr>
            <w:tcW w:w="1128" w:type="dxa"/>
            <w:shd w:val="clear" w:color="auto" w:fill="auto"/>
            <w:vAlign w:val="bottom"/>
          </w:tcPr>
          <w:p w14:paraId="21D1D0F2" w14:textId="77777777" w:rsidR="007821EC" w:rsidRPr="00380B40" w:rsidRDefault="007821EC" w:rsidP="00DE1739">
            <w:pPr>
              <w:pStyle w:val="Tableheadwhite"/>
              <w:rPr>
                <w:rFonts w:eastAsia="Arial Unicode MS"/>
              </w:rPr>
            </w:pPr>
          </w:p>
        </w:tc>
        <w:tc>
          <w:tcPr>
            <w:tcW w:w="3378" w:type="dxa"/>
            <w:shd w:val="clear" w:color="auto" w:fill="auto"/>
            <w:vAlign w:val="bottom"/>
          </w:tcPr>
          <w:p w14:paraId="09499016" w14:textId="77777777" w:rsidR="007821EC" w:rsidRPr="00380B40" w:rsidRDefault="007821EC" w:rsidP="0072488D">
            <w:pPr>
              <w:pStyle w:val="Tableheadwhitecentred"/>
              <w:rPr>
                <w:rFonts w:eastAsia="Arial Unicode MS"/>
              </w:rPr>
            </w:pPr>
            <w:r w:rsidRPr="00380B40">
              <w:t>(includes questionnaire in Annex A)</w:t>
            </w:r>
          </w:p>
        </w:tc>
        <w:tc>
          <w:tcPr>
            <w:tcW w:w="240" w:type="dxa"/>
            <w:shd w:val="clear" w:color="auto" w:fill="auto"/>
            <w:vAlign w:val="bottom"/>
          </w:tcPr>
          <w:p w14:paraId="662949FF" w14:textId="77777777" w:rsidR="007821EC" w:rsidRPr="00380B40" w:rsidRDefault="007821EC" w:rsidP="0072488D">
            <w:pPr>
              <w:pStyle w:val="Tableheadwhitecentred"/>
              <w:rPr>
                <w:rFonts w:eastAsia="Arial Unicode MS"/>
              </w:rPr>
            </w:pPr>
          </w:p>
        </w:tc>
        <w:tc>
          <w:tcPr>
            <w:tcW w:w="3347" w:type="dxa"/>
            <w:shd w:val="clear" w:color="auto" w:fill="auto"/>
          </w:tcPr>
          <w:p w14:paraId="5908A9B5" w14:textId="77777777" w:rsidR="007821EC" w:rsidRPr="00380B40" w:rsidRDefault="007821EC" w:rsidP="0072488D">
            <w:pPr>
              <w:pStyle w:val="Tableheadwhitecentred"/>
              <w:rPr>
                <w:rFonts w:eastAsia="Arial Unicode MS"/>
              </w:rPr>
            </w:pPr>
            <w:r w:rsidRPr="00380B40">
              <w:t>according to the criteria</w:t>
            </w:r>
          </w:p>
        </w:tc>
        <w:tc>
          <w:tcPr>
            <w:tcW w:w="240" w:type="dxa"/>
            <w:shd w:val="clear" w:color="auto" w:fill="auto"/>
            <w:vAlign w:val="bottom"/>
          </w:tcPr>
          <w:p w14:paraId="3C635813" w14:textId="77777777" w:rsidR="007821EC" w:rsidRPr="00380B40" w:rsidRDefault="007821EC" w:rsidP="0072488D">
            <w:pPr>
              <w:pStyle w:val="Tableheadwhitecentred"/>
              <w:rPr>
                <w:rFonts w:eastAsia="Arial Unicode MS"/>
              </w:rPr>
            </w:pPr>
          </w:p>
        </w:tc>
        <w:tc>
          <w:tcPr>
            <w:tcW w:w="3002" w:type="dxa"/>
            <w:shd w:val="clear" w:color="auto" w:fill="auto"/>
            <w:vAlign w:val="bottom"/>
          </w:tcPr>
          <w:p w14:paraId="4A36AA24" w14:textId="77777777" w:rsidR="007821EC" w:rsidRPr="00380B40" w:rsidRDefault="007821EC" w:rsidP="0072488D">
            <w:pPr>
              <w:pStyle w:val="Tableheadwhitecentred"/>
              <w:rPr>
                <w:rFonts w:eastAsia="Arial Unicode MS"/>
              </w:rPr>
            </w:pPr>
          </w:p>
        </w:tc>
        <w:tc>
          <w:tcPr>
            <w:tcW w:w="283" w:type="dxa"/>
            <w:shd w:val="clear" w:color="auto" w:fill="auto"/>
            <w:vAlign w:val="bottom"/>
          </w:tcPr>
          <w:p w14:paraId="2E2A0DBB" w14:textId="77777777" w:rsidR="007821EC" w:rsidRPr="00380B40" w:rsidRDefault="007821EC" w:rsidP="0072488D">
            <w:pPr>
              <w:pStyle w:val="Tableheadwhitecentred"/>
              <w:rPr>
                <w:rFonts w:eastAsia="Arial Unicode MS"/>
              </w:rPr>
            </w:pPr>
          </w:p>
        </w:tc>
        <w:tc>
          <w:tcPr>
            <w:tcW w:w="3118" w:type="dxa"/>
            <w:shd w:val="clear" w:color="auto" w:fill="auto"/>
          </w:tcPr>
          <w:p w14:paraId="1E5D92EE" w14:textId="77777777" w:rsidR="007821EC" w:rsidRPr="00380B40" w:rsidRDefault="007821EC" w:rsidP="0072488D">
            <w:pPr>
              <w:pStyle w:val="Tableheadwhitecentred"/>
              <w:rPr>
                <w:rFonts w:eastAsia="Arial Unicode MS"/>
              </w:rPr>
            </w:pPr>
            <w:r w:rsidRPr="00380B40">
              <w:t>= implementation</w:t>
            </w:r>
          </w:p>
        </w:tc>
      </w:tr>
      <w:tr w:rsidR="007821EC" w:rsidRPr="00380B40" w14:paraId="76F8A770" w14:textId="77777777" w:rsidTr="002E7F82">
        <w:trPr>
          <w:trHeight w:val="105"/>
        </w:trPr>
        <w:tc>
          <w:tcPr>
            <w:tcW w:w="1128" w:type="dxa"/>
            <w:shd w:val="clear" w:color="auto" w:fill="auto"/>
            <w:vAlign w:val="bottom"/>
          </w:tcPr>
          <w:p w14:paraId="07616ADE" w14:textId="77777777" w:rsidR="007821EC" w:rsidRPr="00380B40" w:rsidRDefault="007821EC" w:rsidP="0021355D">
            <w:pPr>
              <w:pStyle w:val="Tabletext"/>
              <w:spacing w:before="20" w:after="20" w:line="200" w:lineRule="exact"/>
              <w:rPr>
                <w:rFonts w:eastAsia="Arial Unicode MS"/>
                <w:lang w:val="en-GB"/>
              </w:rPr>
            </w:pPr>
          </w:p>
        </w:tc>
        <w:tc>
          <w:tcPr>
            <w:tcW w:w="3378" w:type="dxa"/>
            <w:shd w:val="clear" w:color="auto" w:fill="auto"/>
            <w:vAlign w:val="bottom"/>
          </w:tcPr>
          <w:p w14:paraId="3F4D77A7" w14:textId="77777777" w:rsidR="007821EC" w:rsidRPr="00380B40" w:rsidRDefault="007821EC" w:rsidP="0021355D">
            <w:pPr>
              <w:pStyle w:val="Tabletext"/>
              <w:spacing w:before="20" w:after="20" w:line="200" w:lineRule="exact"/>
              <w:rPr>
                <w:rFonts w:eastAsia="Arial Unicode MS"/>
                <w:lang w:val="en-GB"/>
              </w:rPr>
            </w:pPr>
          </w:p>
        </w:tc>
        <w:tc>
          <w:tcPr>
            <w:tcW w:w="240" w:type="dxa"/>
            <w:shd w:val="clear" w:color="auto" w:fill="auto"/>
            <w:vAlign w:val="bottom"/>
          </w:tcPr>
          <w:p w14:paraId="19F41391" w14:textId="77777777" w:rsidR="007821EC" w:rsidRPr="00380B40" w:rsidRDefault="007821EC" w:rsidP="0021355D">
            <w:pPr>
              <w:pStyle w:val="Tabletext"/>
              <w:spacing w:before="20" w:after="20" w:line="200" w:lineRule="exact"/>
              <w:rPr>
                <w:rFonts w:eastAsia="Arial Unicode MS"/>
                <w:lang w:val="en-GB"/>
              </w:rPr>
            </w:pPr>
          </w:p>
        </w:tc>
        <w:tc>
          <w:tcPr>
            <w:tcW w:w="3347" w:type="dxa"/>
            <w:shd w:val="clear" w:color="auto" w:fill="auto"/>
            <w:vAlign w:val="bottom"/>
          </w:tcPr>
          <w:p w14:paraId="439F699B" w14:textId="77777777" w:rsidR="007821EC" w:rsidRPr="00380B40" w:rsidRDefault="007821EC" w:rsidP="0021355D">
            <w:pPr>
              <w:pStyle w:val="Tabletext"/>
              <w:spacing w:before="20" w:after="20" w:line="200" w:lineRule="exact"/>
              <w:rPr>
                <w:rFonts w:eastAsia="Arial Unicode MS"/>
                <w:lang w:val="en-GB"/>
              </w:rPr>
            </w:pPr>
          </w:p>
        </w:tc>
        <w:tc>
          <w:tcPr>
            <w:tcW w:w="240" w:type="dxa"/>
            <w:shd w:val="clear" w:color="auto" w:fill="auto"/>
            <w:vAlign w:val="bottom"/>
          </w:tcPr>
          <w:p w14:paraId="55A34788" w14:textId="77777777" w:rsidR="007821EC" w:rsidRPr="00380B40" w:rsidRDefault="007821EC" w:rsidP="0021355D">
            <w:pPr>
              <w:pStyle w:val="Tabletext"/>
              <w:spacing w:before="20" w:after="20" w:line="200" w:lineRule="exact"/>
              <w:rPr>
                <w:rFonts w:eastAsia="Arial Unicode MS"/>
                <w:lang w:val="en-GB"/>
              </w:rPr>
            </w:pPr>
          </w:p>
        </w:tc>
        <w:tc>
          <w:tcPr>
            <w:tcW w:w="3002" w:type="dxa"/>
            <w:shd w:val="clear" w:color="auto" w:fill="auto"/>
            <w:vAlign w:val="bottom"/>
          </w:tcPr>
          <w:p w14:paraId="73FC1FA5" w14:textId="77777777" w:rsidR="007821EC" w:rsidRPr="00380B40" w:rsidRDefault="007821EC" w:rsidP="0021355D">
            <w:pPr>
              <w:pStyle w:val="Tabletext"/>
              <w:spacing w:before="20" w:after="20" w:line="200" w:lineRule="exact"/>
              <w:rPr>
                <w:rFonts w:eastAsia="Arial Unicode MS"/>
                <w:lang w:val="en-GB"/>
              </w:rPr>
            </w:pPr>
          </w:p>
        </w:tc>
        <w:tc>
          <w:tcPr>
            <w:tcW w:w="283" w:type="dxa"/>
            <w:shd w:val="clear" w:color="auto" w:fill="auto"/>
            <w:vAlign w:val="bottom"/>
          </w:tcPr>
          <w:p w14:paraId="2A56E4B8" w14:textId="77777777" w:rsidR="007821EC" w:rsidRPr="00380B40" w:rsidRDefault="007821EC" w:rsidP="0021355D">
            <w:pPr>
              <w:pStyle w:val="Tabletext"/>
              <w:spacing w:before="20" w:after="20" w:line="200" w:lineRule="exact"/>
              <w:rPr>
                <w:rFonts w:eastAsia="Arial Unicode MS"/>
                <w:lang w:val="en-GB"/>
              </w:rPr>
            </w:pPr>
          </w:p>
        </w:tc>
        <w:tc>
          <w:tcPr>
            <w:tcW w:w="3118" w:type="dxa"/>
            <w:shd w:val="clear" w:color="auto" w:fill="auto"/>
            <w:vAlign w:val="bottom"/>
          </w:tcPr>
          <w:p w14:paraId="62913059" w14:textId="77777777" w:rsidR="007821EC" w:rsidRPr="00380B40" w:rsidRDefault="007821EC" w:rsidP="0021355D">
            <w:pPr>
              <w:pStyle w:val="Tabletext"/>
              <w:spacing w:before="20" w:after="20" w:line="200" w:lineRule="exact"/>
              <w:rPr>
                <w:rFonts w:eastAsia="Arial Unicode MS"/>
                <w:lang w:val="en-GB"/>
              </w:rPr>
            </w:pPr>
          </w:p>
        </w:tc>
      </w:tr>
      <w:tr w:rsidR="007821EC" w:rsidRPr="00380B40" w14:paraId="2C3FF76B" w14:textId="77777777" w:rsidTr="002E7F82">
        <w:trPr>
          <w:trHeight w:val="113"/>
        </w:trPr>
        <w:tc>
          <w:tcPr>
            <w:tcW w:w="1128" w:type="dxa"/>
            <w:shd w:val="clear" w:color="auto" w:fill="auto"/>
            <w:vAlign w:val="bottom"/>
          </w:tcPr>
          <w:p w14:paraId="3C3C5D1D" w14:textId="77777777" w:rsidR="007821EC" w:rsidRPr="00380B40" w:rsidRDefault="007821EC" w:rsidP="0021355D">
            <w:pPr>
              <w:pStyle w:val="Tabletext"/>
              <w:spacing w:before="20" w:after="20" w:line="200" w:lineRule="exact"/>
              <w:rPr>
                <w:rFonts w:eastAsia="Arial Unicode MS"/>
                <w:lang w:val="en-GB"/>
              </w:rPr>
            </w:pPr>
          </w:p>
        </w:tc>
        <w:tc>
          <w:tcPr>
            <w:tcW w:w="3378" w:type="dxa"/>
            <w:shd w:val="clear" w:color="auto" w:fill="auto"/>
            <w:vAlign w:val="bottom"/>
          </w:tcPr>
          <w:p w14:paraId="72CCEAE3" w14:textId="77777777" w:rsidR="007821EC" w:rsidRPr="00380B40" w:rsidRDefault="007821EC" w:rsidP="0021355D">
            <w:pPr>
              <w:pStyle w:val="Tabletext"/>
              <w:spacing w:before="20" w:after="20" w:line="200" w:lineRule="exact"/>
              <w:rPr>
                <w:rFonts w:eastAsia="Arial Unicode MS"/>
                <w:lang w:val="en-GB"/>
              </w:rPr>
            </w:pPr>
          </w:p>
        </w:tc>
        <w:tc>
          <w:tcPr>
            <w:tcW w:w="240" w:type="dxa"/>
            <w:shd w:val="clear" w:color="auto" w:fill="auto"/>
            <w:vAlign w:val="bottom"/>
          </w:tcPr>
          <w:p w14:paraId="3A5C0000" w14:textId="77777777" w:rsidR="007821EC" w:rsidRPr="00380B40" w:rsidRDefault="007821EC" w:rsidP="0021355D">
            <w:pPr>
              <w:pStyle w:val="Tabletext"/>
              <w:spacing w:before="20" w:after="20" w:line="200" w:lineRule="exact"/>
              <w:rPr>
                <w:rFonts w:eastAsia="Arial Unicode MS"/>
                <w:lang w:val="en-GB"/>
              </w:rPr>
            </w:pPr>
          </w:p>
        </w:tc>
        <w:tc>
          <w:tcPr>
            <w:tcW w:w="3347" w:type="dxa"/>
            <w:shd w:val="clear" w:color="auto" w:fill="auto"/>
            <w:vAlign w:val="bottom"/>
          </w:tcPr>
          <w:p w14:paraId="7678CB73" w14:textId="77777777" w:rsidR="007821EC" w:rsidRPr="00380B40" w:rsidRDefault="007821EC" w:rsidP="0021355D">
            <w:pPr>
              <w:pStyle w:val="Tabletext"/>
              <w:spacing w:before="20" w:after="20" w:line="200" w:lineRule="exact"/>
              <w:rPr>
                <w:rFonts w:eastAsia="Arial Unicode MS"/>
                <w:lang w:val="en-GB"/>
              </w:rPr>
            </w:pPr>
          </w:p>
        </w:tc>
        <w:tc>
          <w:tcPr>
            <w:tcW w:w="240" w:type="dxa"/>
            <w:shd w:val="clear" w:color="auto" w:fill="auto"/>
            <w:vAlign w:val="bottom"/>
          </w:tcPr>
          <w:p w14:paraId="1321F79C" w14:textId="77777777" w:rsidR="007821EC" w:rsidRPr="00380B40" w:rsidRDefault="007821EC" w:rsidP="0021355D">
            <w:pPr>
              <w:pStyle w:val="Tabletext"/>
              <w:spacing w:before="20" w:after="20" w:line="200" w:lineRule="exact"/>
              <w:rPr>
                <w:rFonts w:eastAsia="Arial Unicode MS"/>
                <w:lang w:val="en-GB"/>
              </w:rPr>
            </w:pPr>
          </w:p>
        </w:tc>
        <w:tc>
          <w:tcPr>
            <w:tcW w:w="3002" w:type="dxa"/>
            <w:shd w:val="clear" w:color="auto" w:fill="auto"/>
            <w:vAlign w:val="bottom"/>
          </w:tcPr>
          <w:p w14:paraId="1924E6D4" w14:textId="77777777" w:rsidR="007821EC" w:rsidRPr="00380B40" w:rsidRDefault="007821EC" w:rsidP="0021355D">
            <w:pPr>
              <w:pStyle w:val="Tabletext"/>
              <w:spacing w:before="20" w:after="20" w:line="200" w:lineRule="exact"/>
              <w:rPr>
                <w:rFonts w:eastAsia="Arial Unicode MS"/>
                <w:lang w:val="en-GB"/>
              </w:rPr>
            </w:pPr>
          </w:p>
        </w:tc>
        <w:tc>
          <w:tcPr>
            <w:tcW w:w="283" w:type="dxa"/>
            <w:shd w:val="clear" w:color="auto" w:fill="auto"/>
            <w:vAlign w:val="bottom"/>
          </w:tcPr>
          <w:p w14:paraId="37B80D9C" w14:textId="77777777" w:rsidR="007821EC" w:rsidRPr="00380B40" w:rsidRDefault="007821EC" w:rsidP="0021355D">
            <w:pPr>
              <w:pStyle w:val="Tabletext"/>
              <w:spacing w:before="20" w:after="20" w:line="200" w:lineRule="exact"/>
              <w:rPr>
                <w:rFonts w:eastAsia="Arial Unicode MS"/>
                <w:lang w:val="en-GB"/>
              </w:rPr>
            </w:pPr>
          </w:p>
        </w:tc>
        <w:tc>
          <w:tcPr>
            <w:tcW w:w="3118" w:type="dxa"/>
            <w:shd w:val="clear" w:color="auto" w:fill="auto"/>
            <w:vAlign w:val="bottom"/>
          </w:tcPr>
          <w:p w14:paraId="2AEEF529" w14:textId="77777777" w:rsidR="007821EC" w:rsidRPr="00380B40" w:rsidRDefault="007821EC" w:rsidP="0021355D">
            <w:pPr>
              <w:pStyle w:val="Tabletext"/>
              <w:spacing w:before="20" w:after="20" w:line="200" w:lineRule="exact"/>
              <w:rPr>
                <w:rFonts w:eastAsia="Arial Unicode MS"/>
                <w:lang w:val="en-GB"/>
              </w:rPr>
            </w:pPr>
          </w:p>
        </w:tc>
      </w:tr>
      <w:tr w:rsidR="007821EC" w:rsidRPr="004E0F36" w14:paraId="19A8D780" w14:textId="77777777" w:rsidTr="002E7F82">
        <w:trPr>
          <w:trHeight w:val="805"/>
        </w:trPr>
        <w:tc>
          <w:tcPr>
            <w:tcW w:w="1128" w:type="dxa"/>
            <w:shd w:val="clear" w:color="auto" w:fill="auto"/>
          </w:tcPr>
          <w:p w14:paraId="2D038F53" w14:textId="77777777" w:rsidR="007821EC" w:rsidRPr="00380B40" w:rsidRDefault="007821EC" w:rsidP="0021355D">
            <w:pPr>
              <w:pStyle w:val="Tabletext"/>
              <w:spacing w:before="20" w:after="20" w:line="200" w:lineRule="exact"/>
              <w:rPr>
                <w:rFonts w:eastAsia="Arial Unicode MS"/>
                <w:lang w:val="en-GB"/>
              </w:rPr>
            </w:pPr>
            <w:r w:rsidRPr="00380B40">
              <w:rPr>
                <w:lang w:val="en-GB"/>
              </w:rPr>
              <w:t>2.1.1</w:t>
            </w:r>
          </w:p>
        </w:tc>
        <w:tc>
          <w:tcPr>
            <w:tcW w:w="3378" w:type="dxa"/>
            <w:shd w:val="clear" w:color="auto" w:fill="auto"/>
          </w:tcPr>
          <w:p w14:paraId="7C9E399E" w14:textId="77777777" w:rsidR="007821EC" w:rsidRPr="00380B40" w:rsidRDefault="007821EC" w:rsidP="0021355D">
            <w:pPr>
              <w:pStyle w:val="Tabletext"/>
              <w:spacing w:before="20" w:after="20" w:line="200" w:lineRule="exact"/>
              <w:rPr>
                <w:rFonts w:eastAsia="Arial Unicode MS"/>
                <w:lang w:val="en-GB"/>
              </w:rPr>
            </w:pPr>
            <w:r w:rsidRPr="00380B40">
              <w:rPr>
                <w:lang w:val="en-GB"/>
              </w:rPr>
              <w:t>Initiation of the request by an SG</w:t>
            </w:r>
          </w:p>
        </w:tc>
        <w:tc>
          <w:tcPr>
            <w:tcW w:w="240" w:type="dxa"/>
            <w:shd w:val="clear" w:color="auto" w:fill="auto"/>
          </w:tcPr>
          <w:p w14:paraId="5D1553C3" w14:textId="77777777" w:rsidR="007821EC" w:rsidRPr="00380B40" w:rsidRDefault="007821EC" w:rsidP="0021355D">
            <w:pPr>
              <w:pStyle w:val="Tabletext"/>
              <w:spacing w:before="20" w:after="20" w:line="200" w:lineRule="exact"/>
              <w:rPr>
                <w:rFonts w:eastAsia="Arial Unicode MS"/>
                <w:lang w:val="en-GB"/>
              </w:rPr>
            </w:pPr>
          </w:p>
        </w:tc>
        <w:tc>
          <w:tcPr>
            <w:tcW w:w="3347" w:type="dxa"/>
            <w:shd w:val="clear" w:color="auto" w:fill="auto"/>
          </w:tcPr>
          <w:p w14:paraId="163B594D" w14:textId="77777777" w:rsidR="007821EC" w:rsidRPr="00380B40" w:rsidRDefault="007821EC" w:rsidP="0021355D">
            <w:pPr>
              <w:pStyle w:val="Tabletext"/>
              <w:spacing w:before="20" w:after="20" w:line="200" w:lineRule="exact"/>
              <w:rPr>
                <w:rFonts w:eastAsia="Arial Unicode MS"/>
                <w:lang w:val="en-GB"/>
              </w:rPr>
            </w:pPr>
            <w:r w:rsidRPr="00380B40">
              <w:rPr>
                <w:lang w:val="en-GB"/>
              </w:rPr>
              <w:t>The SG checks the ITU-T A.4</w:t>
            </w:r>
            <w:r w:rsidRPr="00380B40">
              <w:rPr>
                <w:lang w:val="en-GB"/>
              </w:rPr>
              <w:noBreakHyphen/>
              <w:t xml:space="preserve">qualified list and reviews the analysis; if not on the list, see 2.1.2 </w:t>
            </w:r>
            <w:r w:rsidRPr="00380B40">
              <w:rPr>
                <w:i/>
                <w:iCs/>
                <w:lang w:val="en-GB"/>
              </w:rPr>
              <w:t>b)</w:t>
            </w:r>
          </w:p>
        </w:tc>
        <w:tc>
          <w:tcPr>
            <w:tcW w:w="240" w:type="dxa"/>
            <w:shd w:val="clear" w:color="auto" w:fill="auto"/>
          </w:tcPr>
          <w:p w14:paraId="7DDDA34E" w14:textId="77777777" w:rsidR="007821EC" w:rsidRPr="00380B40" w:rsidRDefault="007821EC" w:rsidP="0021355D">
            <w:pPr>
              <w:pStyle w:val="Tabletext"/>
              <w:spacing w:before="20" w:after="20" w:line="200" w:lineRule="exact"/>
              <w:rPr>
                <w:rFonts w:eastAsia="Arial Unicode MS"/>
                <w:lang w:val="en-GB"/>
              </w:rPr>
            </w:pPr>
          </w:p>
        </w:tc>
        <w:tc>
          <w:tcPr>
            <w:tcW w:w="3002" w:type="dxa"/>
            <w:shd w:val="clear" w:color="auto" w:fill="auto"/>
          </w:tcPr>
          <w:p w14:paraId="3ACEDA5A" w14:textId="77777777" w:rsidR="007821EC" w:rsidRPr="00380B40" w:rsidRDefault="007821EC" w:rsidP="0021355D">
            <w:pPr>
              <w:pStyle w:val="Tabletext"/>
              <w:spacing w:before="20" w:after="20" w:line="200" w:lineRule="exact"/>
              <w:rPr>
                <w:rFonts w:eastAsia="Arial Unicode MS"/>
                <w:lang w:val="en-GB"/>
              </w:rPr>
            </w:pPr>
            <w:r w:rsidRPr="00380B40">
              <w:rPr>
                <w:lang w:val="en-GB"/>
              </w:rPr>
              <w:t>The SG decides to communicate</w:t>
            </w:r>
          </w:p>
        </w:tc>
        <w:tc>
          <w:tcPr>
            <w:tcW w:w="283" w:type="dxa"/>
            <w:shd w:val="clear" w:color="auto" w:fill="auto"/>
          </w:tcPr>
          <w:p w14:paraId="2C9B81A4" w14:textId="77777777" w:rsidR="007821EC" w:rsidRPr="00380B40" w:rsidRDefault="007821EC" w:rsidP="0021355D">
            <w:pPr>
              <w:pStyle w:val="Tabletext"/>
              <w:spacing w:before="20" w:after="20" w:line="200" w:lineRule="exact"/>
              <w:rPr>
                <w:rFonts w:eastAsia="Arial Unicode MS"/>
                <w:lang w:val="en-GB"/>
              </w:rPr>
            </w:pPr>
          </w:p>
        </w:tc>
        <w:tc>
          <w:tcPr>
            <w:tcW w:w="3118" w:type="dxa"/>
            <w:shd w:val="clear" w:color="auto" w:fill="auto"/>
          </w:tcPr>
          <w:p w14:paraId="64C94D56" w14:textId="77777777" w:rsidR="007821EC" w:rsidRPr="00380B40" w:rsidRDefault="007821EC" w:rsidP="0021355D">
            <w:pPr>
              <w:pStyle w:val="Tabletext"/>
              <w:spacing w:before="20" w:after="20" w:line="200" w:lineRule="exact"/>
              <w:rPr>
                <w:rFonts w:eastAsia="Arial Unicode MS"/>
                <w:lang w:val="en-GB"/>
              </w:rPr>
            </w:pPr>
            <w:r w:rsidRPr="00380B40">
              <w:rPr>
                <w:lang w:val="en-GB"/>
              </w:rPr>
              <w:t>Communication process</w:t>
            </w:r>
            <w:r w:rsidRPr="00380B40">
              <w:rPr>
                <w:lang w:val="en-GB"/>
              </w:rPr>
              <w:br/>
              <w:t>put into practice by the SG</w:t>
            </w:r>
          </w:p>
        </w:tc>
      </w:tr>
      <w:tr w:rsidR="007821EC" w:rsidRPr="004E0F36" w14:paraId="344FAB44" w14:textId="77777777" w:rsidTr="002E7F82">
        <w:trPr>
          <w:trHeight w:val="255"/>
        </w:trPr>
        <w:tc>
          <w:tcPr>
            <w:tcW w:w="1128" w:type="dxa"/>
            <w:shd w:val="clear" w:color="auto" w:fill="auto"/>
            <w:vAlign w:val="bottom"/>
          </w:tcPr>
          <w:p w14:paraId="7D601B9E" w14:textId="77777777" w:rsidR="007821EC" w:rsidRPr="00380B40" w:rsidRDefault="007821EC" w:rsidP="0021355D">
            <w:pPr>
              <w:pStyle w:val="Tabletext"/>
              <w:spacing w:before="20" w:after="20" w:line="200" w:lineRule="exact"/>
              <w:rPr>
                <w:rFonts w:eastAsia="Arial Unicode MS"/>
                <w:lang w:val="en-GB"/>
              </w:rPr>
            </w:pPr>
          </w:p>
        </w:tc>
        <w:tc>
          <w:tcPr>
            <w:tcW w:w="3378" w:type="dxa"/>
            <w:shd w:val="clear" w:color="auto" w:fill="auto"/>
            <w:vAlign w:val="bottom"/>
          </w:tcPr>
          <w:p w14:paraId="6B107F98" w14:textId="77777777" w:rsidR="007821EC" w:rsidRPr="00380B40" w:rsidRDefault="007821EC" w:rsidP="0021355D">
            <w:pPr>
              <w:pStyle w:val="Tabletext"/>
              <w:spacing w:before="20" w:after="20" w:line="200" w:lineRule="exact"/>
              <w:rPr>
                <w:rFonts w:eastAsia="Arial Unicode MS"/>
                <w:lang w:val="en-GB"/>
              </w:rPr>
            </w:pPr>
            <w:r w:rsidRPr="00380B40">
              <w:rPr>
                <w:lang w:val="en-GB"/>
              </w:rPr>
              <w:t> </w:t>
            </w:r>
          </w:p>
        </w:tc>
        <w:tc>
          <w:tcPr>
            <w:tcW w:w="240" w:type="dxa"/>
            <w:shd w:val="clear" w:color="auto" w:fill="auto"/>
            <w:vAlign w:val="bottom"/>
          </w:tcPr>
          <w:p w14:paraId="72FBEC84" w14:textId="77777777" w:rsidR="007821EC" w:rsidRPr="00380B40" w:rsidRDefault="007821EC" w:rsidP="0021355D">
            <w:pPr>
              <w:pStyle w:val="Tabletext"/>
              <w:spacing w:before="20" w:after="20" w:line="200" w:lineRule="exact"/>
              <w:rPr>
                <w:rFonts w:eastAsia="Arial Unicode MS"/>
                <w:lang w:val="en-GB"/>
              </w:rPr>
            </w:pPr>
          </w:p>
        </w:tc>
        <w:tc>
          <w:tcPr>
            <w:tcW w:w="3347" w:type="dxa"/>
            <w:shd w:val="clear" w:color="auto" w:fill="auto"/>
            <w:vAlign w:val="bottom"/>
          </w:tcPr>
          <w:p w14:paraId="45AD7F5C" w14:textId="77777777" w:rsidR="007821EC" w:rsidRPr="00380B40" w:rsidRDefault="007821EC" w:rsidP="0021355D">
            <w:pPr>
              <w:pStyle w:val="Tabletext"/>
              <w:spacing w:before="20" w:after="20" w:line="200" w:lineRule="exact"/>
              <w:rPr>
                <w:rFonts w:eastAsia="Arial Unicode MS"/>
                <w:lang w:val="en-GB"/>
              </w:rPr>
            </w:pPr>
            <w:r w:rsidRPr="00380B40">
              <w:rPr>
                <w:lang w:val="en-GB"/>
              </w:rPr>
              <w:t> </w:t>
            </w:r>
          </w:p>
        </w:tc>
        <w:tc>
          <w:tcPr>
            <w:tcW w:w="240" w:type="dxa"/>
            <w:shd w:val="clear" w:color="auto" w:fill="auto"/>
            <w:vAlign w:val="bottom"/>
          </w:tcPr>
          <w:p w14:paraId="2BFBCC8E" w14:textId="77777777" w:rsidR="007821EC" w:rsidRPr="00380B40" w:rsidRDefault="007821EC" w:rsidP="0021355D">
            <w:pPr>
              <w:pStyle w:val="Tabletext"/>
              <w:spacing w:before="20" w:after="20" w:line="200" w:lineRule="exact"/>
              <w:rPr>
                <w:rFonts w:eastAsia="Arial Unicode MS"/>
                <w:lang w:val="en-GB"/>
              </w:rPr>
            </w:pPr>
          </w:p>
        </w:tc>
        <w:tc>
          <w:tcPr>
            <w:tcW w:w="3002" w:type="dxa"/>
            <w:shd w:val="clear" w:color="auto" w:fill="auto"/>
            <w:vAlign w:val="bottom"/>
          </w:tcPr>
          <w:p w14:paraId="75E33F25" w14:textId="77777777" w:rsidR="007821EC" w:rsidRPr="00380B40" w:rsidRDefault="007821EC" w:rsidP="0021355D">
            <w:pPr>
              <w:pStyle w:val="Tabletext"/>
              <w:spacing w:before="20" w:after="20" w:line="200" w:lineRule="exact"/>
              <w:rPr>
                <w:rFonts w:eastAsia="Arial Unicode MS"/>
                <w:lang w:val="en-GB"/>
              </w:rPr>
            </w:pPr>
            <w:r w:rsidRPr="00380B40">
              <w:rPr>
                <w:lang w:val="en-GB"/>
              </w:rPr>
              <w:t> </w:t>
            </w:r>
          </w:p>
        </w:tc>
        <w:tc>
          <w:tcPr>
            <w:tcW w:w="283" w:type="dxa"/>
            <w:shd w:val="clear" w:color="auto" w:fill="auto"/>
            <w:vAlign w:val="bottom"/>
          </w:tcPr>
          <w:p w14:paraId="29FA6D4C" w14:textId="77777777" w:rsidR="007821EC" w:rsidRPr="00380B40" w:rsidRDefault="007821EC" w:rsidP="0021355D">
            <w:pPr>
              <w:pStyle w:val="Tabletext"/>
              <w:spacing w:before="20" w:after="20" w:line="200" w:lineRule="exact"/>
              <w:rPr>
                <w:rFonts w:eastAsia="Arial Unicode MS"/>
                <w:lang w:val="en-GB"/>
              </w:rPr>
            </w:pPr>
          </w:p>
        </w:tc>
        <w:tc>
          <w:tcPr>
            <w:tcW w:w="3118" w:type="dxa"/>
            <w:shd w:val="clear" w:color="auto" w:fill="auto"/>
            <w:vAlign w:val="bottom"/>
          </w:tcPr>
          <w:p w14:paraId="073FC405" w14:textId="77777777" w:rsidR="007821EC" w:rsidRPr="00380B40" w:rsidRDefault="007821EC" w:rsidP="0021355D">
            <w:pPr>
              <w:pStyle w:val="Tabletext"/>
              <w:spacing w:before="20" w:after="20" w:line="200" w:lineRule="exact"/>
              <w:rPr>
                <w:rFonts w:eastAsia="Arial Unicode MS"/>
                <w:lang w:val="en-GB"/>
              </w:rPr>
            </w:pPr>
            <w:r w:rsidRPr="00380B40">
              <w:rPr>
                <w:lang w:val="en-GB"/>
              </w:rPr>
              <w:t> </w:t>
            </w:r>
          </w:p>
        </w:tc>
      </w:tr>
      <w:tr w:rsidR="007821EC" w:rsidRPr="004E0F36" w14:paraId="427B61F4" w14:textId="77777777" w:rsidTr="002E7F82">
        <w:trPr>
          <w:trHeight w:val="805"/>
        </w:trPr>
        <w:tc>
          <w:tcPr>
            <w:tcW w:w="1128" w:type="dxa"/>
            <w:shd w:val="clear" w:color="auto" w:fill="auto"/>
          </w:tcPr>
          <w:p w14:paraId="6F6A1310" w14:textId="77777777" w:rsidR="007821EC" w:rsidRPr="00380B40" w:rsidRDefault="007821EC" w:rsidP="0021355D">
            <w:pPr>
              <w:pStyle w:val="Tabletext"/>
              <w:spacing w:before="20" w:after="20" w:line="200" w:lineRule="exact"/>
              <w:rPr>
                <w:rFonts w:eastAsia="Arial Unicode MS"/>
                <w:lang w:val="en-GB"/>
              </w:rPr>
            </w:pPr>
            <w:r w:rsidRPr="00380B40">
              <w:rPr>
                <w:lang w:val="en-GB"/>
              </w:rPr>
              <w:t>2.1.2</w:t>
            </w:r>
          </w:p>
        </w:tc>
        <w:tc>
          <w:tcPr>
            <w:tcW w:w="3378" w:type="dxa"/>
            <w:shd w:val="clear" w:color="auto" w:fill="auto"/>
          </w:tcPr>
          <w:p w14:paraId="536A31F7" w14:textId="77777777" w:rsidR="007821EC" w:rsidRPr="00380B40" w:rsidRDefault="007821EC" w:rsidP="0021355D">
            <w:pPr>
              <w:pStyle w:val="Tabletext"/>
              <w:spacing w:before="20" w:after="20" w:line="200" w:lineRule="exact"/>
              <w:rPr>
                <w:rFonts w:eastAsia="Arial Unicode MS"/>
                <w:lang w:val="en-GB"/>
              </w:rPr>
            </w:pPr>
            <w:r w:rsidRPr="00380B40">
              <w:rPr>
                <w:lang w:val="en-GB"/>
              </w:rPr>
              <w:t>Initiation of the request by a forum to an SG</w:t>
            </w:r>
          </w:p>
        </w:tc>
        <w:tc>
          <w:tcPr>
            <w:tcW w:w="240" w:type="dxa"/>
            <w:shd w:val="clear" w:color="auto" w:fill="auto"/>
          </w:tcPr>
          <w:p w14:paraId="2C0BB2F7" w14:textId="77777777" w:rsidR="007821EC" w:rsidRPr="00380B40" w:rsidRDefault="007821EC" w:rsidP="0021355D">
            <w:pPr>
              <w:pStyle w:val="Tabletext"/>
              <w:spacing w:before="20" w:after="20" w:line="200" w:lineRule="exact"/>
              <w:rPr>
                <w:rFonts w:eastAsia="Arial Unicode MS"/>
                <w:lang w:val="en-GB"/>
              </w:rPr>
            </w:pPr>
          </w:p>
        </w:tc>
        <w:tc>
          <w:tcPr>
            <w:tcW w:w="3347" w:type="dxa"/>
            <w:shd w:val="clear" w:color="auto" w:fill="auto"/>
          </w:tcPr>
          <w:p w14:paraId="57DD663A" w14:textId="77777777" w:rsidR="007821EC" w:rsidRPr="00380B40" w:rsidRDefault="007821EC" w:rsidP="0021355D">
            <w:pPr>
              <w:pStyle w:val="Tabletext"/>
              <w:spacing w:before="20" w:after="20" w:line="200" w:lineRule="exact"/>
              <w:rPr>
                <w:rFonts w:eastAsia="Arial Unicode MS"/>
                <w:lang w:val="en-GB"/>
              </w:rPr>
            </w:pPr>
            <w:r w:rsidRPr="00380B40">
              <w:rPr>
                <w:lang w:val="en-GB"/>
              </w:rPr>
              <w:t>The SG checks the ITU-T A.4</w:t>
            </w:r>
            <w:r w:rsidRPr="00380B40">
              <w:rPr>
                <w:lang w:val="en-GB"/>
              </w:rPr>
              <w:noBreakHyphen/>
              <w:t xml:space="preserve">qualified list and reviews the analysis; if not in the list, see 2.1.2 </w:t>
            </w:r>
            <w:r w:rsidRPr="00380B40">
              <w:rPr>
                <w:i/>
                <w:iCs/>
                <w:lang w:val="en-GB"/>
              </w:rPr>
              <w:t>b)</w:t>
            </w:r>
          </w:p>
        </w:tc>
        <w:tc>
          <w:tcPr>
            <w:tcW w:w="240" w:type="dxa"/>
            <w:shd w:val="clear" w:color="auto" w:fill="auto"/>
          </w:tcPr>
          <w:p w14:paraId="63A79742" w14:textId="77777777" w:rsidR="007821EC" w:rsidRPr="00380B40" w:rsidRDefault="007821EC" w:rsidP="0021355D">
            <w:pPr>
              <w:pStyle w:val="Tabletext"/>
              <w:spacing w:before="20" w:after="20" w:line="200" w:lineRule="exact"/>
              <w:rPr>
                <w:rFonts w:eastAsia="Arial Unicode MS"/>
                <w:lang w:val="en-GB"/>
              </w:rPr>
            </w:pPr>
          </w:p>
        </w:tc>
        <w:tc>
          <w:tcPr>
            <w:tcW w:w="3002" w:type="dxa"/>
            <w:shd w:val="clear" w:color="auto" w:fill="auto"/>
          </w:tcPr>
          <w:p w14:paraId="2F62B72A" w14:textId="77777777" w:rsidR="007821EC" w:rsidRPr="00380B40" w:rsidRDefault="007821EC" w:rsidP="0021355D">
            <w:pPr>
              <w:pStyle w:val="Tabletext"/>
              <w:spacing w:before="20" w:after="20" w:line="200" w:lineRule="exact"/>
              <w:rPr>
                <w:rFonts w:eastAsia="Arial Unicode MS"/>
                <w:lang w:val="en-GB"/>
              </w:rPr>
            </w:pPr>
            <w:r w:rsidRPr="00380B40">
              <w:rPr>
                <w:lang w:val="en-GB"/>
              </w:rPr>
              <w:t>The SG makes a decision to approve communication</w:t>
            </w:r>
          </w:p>
        </w:tc>
        <w:tc>
          <w:tcPr>
            <w:tcW w:w="283" w:type="dxa"/>
            <w:shd w:val="clear" w:color="auto" w:fill="auto"/>
          </w:tcPr>
          <w:p w14:paraId="79198738" w14:textId="77777777" w:rsidR="007821EC" w:rsidRPr="00380B40" w:rsidRDefault="007821EC" w:rsidP="0021355D">
            <w:pPr>
              <w:pStyle w:val="Tabletext"/>
              <w:spacing w:before="20" w:after="20" w:line="200" w:lineRule="exact"/>
              <w:rPr>
                <w:rFonts w:eastAsia="Arial Unicode MS"/>
                <w:lang w:val="en-GB"/>
              </w:rPr>
            </w:pPr>
          </w:p>
        </w:tc>
        <w:tc>
          <w:tcPr>
            <w:tcW w:w="3118" w:type="dxa"/>
            <w:shd w:val="clear" w:color="auto" w:fill="auto"/>
          </w:tcPr>
          <w:p w14:paraId="63655BB0" w14:textId="77777777" w:rsidR="007821EC" w:rsidRPr="00380B40" w:rsidRDefault="007821EC" w:rsidP="0021355D">
            <w:pPr>
              <w:pStyle w:val="Tabletext"/>
              <w:spacing w:before="20" w:after="20" w:line="200" w:lineRule="exact"/>
              <w:rPr>
                <w:rFonts w:eastAsia="Arial Unicode MS"/>
                <w:lang w:val="en-GB"/>
              </w:rPr>
            </w:pPr>
            <w:r w:rsidRPr="00380B40">
              <w:rPr>
                <w:lang w:val="en-GB"/>
              </w:rPr>
              <w:t>Communication process</w:t>
            </w:r>
            <w:r w:rsidRPr="00380B40">
              <w:rPr>
                <w:lang w:val="en-GB"/>
              </w:rPr>
              <w:br/>
              <w:t>put into practice by the SG</w:t>
            </w:r>
          </w:p>
        </w:tc>
      </w:tr>
      <w:tr w:rsidR="007821EC" w:rsidRPr="004E0F36" w14:paraId="5B16CF79" w14:textId="77777777" w:rsidTr="002E7F82">
        <w:trPr>
          <w:trHeight w:val="255"/>
        </w:trPr>
        <w:tc>
          <w:tcPr>
            <w:tcW w:w="1128" w:type="dxa"/>
            <w:shd w:val="clear" w:color="auto" w:fill="auto"/>
            <w:vAlign w:val="bottom"/>
          </w:tcPr>
          <w:p w14:paraId="1269A084" w14:textId="77777777" w:rsidR="007821EC" w:rsidRPr="00380B40" w:rsidRDefault="007821EC" w:rsidP="0021355D">
            <w:pPr>
              <w:pStyle w:val="Tabletext"/>
              <w:spacing w:before="20" w:after="20" w:line="200" w:lineRule="exact"/>
              <w:rPr>
                <w:rFonts w:eastAsia="Arial Unicode MS"/>
                <w:lang w:val="en-GB"/>
              </w:rPr>
            </w:pPr>
          </w:p>
        </w:tc>
        <w:tc>
          <w:tcPr>
            <w:tcW w:w="3378" w:type="dxa"/>
            <w:shd w:val="clear" w:color="auto" w:fill="auto"/>
            <w:vAlign w:val="bottom"/>
          </w:tcPr>
          <w:p w14:paraId="793F9761" w14:textId="77777777" w:rsidR="007821EC" w:rsidRPr="00380B40" w:rsidRDefault="007821EC" w:rsidP="0021355D">
            <w:pPr>
              <w:pStyle w:val="Tabletext"/>
              <w:spacing w:before="20" w:after="20" w:line="200" w:lineRule="exact"/>
              <w:rPr>
                <w:rFonts w:eastAsia="Arial Unicode MS"/>
                <w:lang w:val="en-GB"/>
              </w:rPr>
            </w:pPr>
            <w:r w:rsidRPr="00380B40">
              <w:rPr>
                <w:lang w:val="en-GB"/>
              </w:rPr>
              <w:t> </w:t>
            </w:r>
          </w:p>
        </w:tc>
        <w:tc>
          <w:tcPr>
            <w:tcW w:w="240" w:type="dxa"/>
            <w:shd w:val="clear" w:color="auto" w:fill="auto"/>
            <w:vAlign w:val="bottom"/>
          </w:tcPr>
          <w:p w14:paraId="179F639F" w14:textId="77777777" w:rsidR="007821EC" w:rsidRPr="00380B40" w:rsidRDefault="007821EC" w:rsidP="0021355D">
            <w:pPr>
              <w:pStyle w:val="Tabletext"/>
              <w:spacing w:before="20" w:after="20" w:line="200" w:lineRule="exact"/>
              <w:rPr>
                <w:rFonts w:eastAsia="Arial Unicode MS"/>
                <w:lang w:val="en-GB"/>
              </w:rPr>
            </w:pPr>
          </w:p>
        </w:tc>
        <w:tc>
          <w:tcPr>
            <w:tcW w:w="3347" w:type="dxa"/>
            <w:shd w:val="clear" w:color="auto" w:fill="auto"/>
            <w:vAlign w:val="bottom"/>
          </w:tcPr>
          <w:p w14:paraId="58BD7625" w14:textId="77777777" w:rsidR="007821EC" w:rsidRPr="00380B40" w:rsidRDefault="007821EC" w:rsidP="0021355D">
            <w:pPr>
              <w:pStyle w:val="Tabletext"/>
              <w:spacing w:before="20" w:after="20" w:line="200" w:lineRule="exact"/>
              <w:rPr>
                <w:rFonts w:eastAsia="Arial Unicode MS"/>
                <w:lang w:val="en-GB"/>
              </w:rPr>
            </w:pPr>
            <w:r w:rsidRPr="00380B40">
              <w:rPr>
                <w:lang w:val="en-GB"/>
              </w:rPr>
              <w:t> </w:t>
            </w:r>
          </w:p>
        </w:tc>
        <w:tc>
          <w:tcPr>
            <w:tcW w:w="240" w:type="dxa"/>
            <w:shd w:val="clear" w:color="auto" w:fill="auto"/>
            <w:vAlign w:val="bottom"/>
          </w:tcPr>
          <w:p w14:paraId="776A49CC" w14:textId="77777777" w:rsidR="007821EC" w:rsidRPr="00380B40" w:rsidRDefault="007821EC" w:rsidP="0021355D">
            <w:pPr>
              <w:pStyle w:val="Tabletext"/>
              <w:spacing w:before="20" w:after="20" w:line="200" w:lineRule="exact"/>
              <w:rPr>
                <w:rFonts w:eastAsia="Arial Unicode MS"/>
                <w:lang w:val="en-GB"/>
              </w:rPr>
            </w:pPr>
          </w:p>
        </w:tc>
        <w:tc>
          <w:tcPr>
            <w:tcW w:w="3002" w:type="dxa"/>
            <w:shd w:val="clear" w:color="auto" w:fill="auto"/>
            <w:vAlign w:val="bottom"/>
          </w:tcPr>
          <w:p w14:paraId="439E0794" w14:textId="77777777" w:rsidR="007821EC" w:rsidRPr="00380B40" w:rsidRDefault="007821EC" w:rsidP="0021355D">
            <w:pPr>
              <w:pStyle w:val="Tabletext"/>
              <w:spacing w:before="20" w:after="20" w:line="200" w:lineRule="exact"/>
              <w:rPr>
                <w:rFonts w:eastAsia="Arial Unicode MS"/>
                <w:lang w:val="en-GB"/>
              </w:rPr>
            </w:pPr>
            <w:r w:rsidRPr="00380B40">
              <w:rPr>
                <w:lang w:val="en-GB"/>
              </w:rPr>
              <w:t> </w:t>
            </w:r>
          </w:p>
        </w:tc>
        <w:tc>
          <w:tcPr>
            <w:tcW w:w="283" w:type="dxa"/>
            <w:shd w:val="clear" w:color="auto" w:fill="auto"/>
            <w:vAlign w:val="bottom"/>
          </w:tcPr>
          <w:p w14:paraId="209584F8" w14:textId="77777777" w:rsidR="007821EC" w:rsidRPr="00380B40" w:rsidRDefault="007821EC" w:rsidP="0021355D">
            <w:pPr>
              <w:pStyle w:val="Tabletext"/>
              <w:spacing w:before="20" w:after="20" w:line="200" w:lineRule="exact"/>
              <w:rPr>
                <w:rFonts w:eastAsia="Arial Unicode MS"/>
                <w:lang w:val="en-GB"/>
              </w:rPr>
            </w:pPr>
          </w:p>
        </w:tc>
        <w:tc>
          <w:tcPr>
            <w:tcW w:w="3118" w:type="dxa"/>
            <w:shd w:val="clear" w:color="auto" w:fill="auto"/>
            <w:vAlign w:val="bottom"/>
          </w:tcPr>
          <w:p w14:paraId="231AED85" w14:textId="77777777" w:rsidR="007821EC" w:rsidRPr="00380B40" w:rsidRDefault="007821EC" w:rsidP="0021355D">
            <w:pPr>
              <w:pStyle w:val="Tabletext"/>
              <w:spacing w:before="20" w:after="20" w:line="200" w:lineRule="exact"/>
              <w:rPr>
                <w:rFonts w:eastAsia="Arial Unicode MS"/>
                <w:lang w:val="en-GB"/>
              </w:rPr>
            </w:pPr>
            <w:r w:rsidRPr="00380B40">
              <w:rPr>
                <w:lang w:val="en-GB"/>
              </w:rPr>
              <w:t> </w:t>
            </w:r>
          </w:p>
        </w:tc>
      </w:tr>
      <w:tr w:rsidR="007821EC" w:rsidRPr="004E0F36" w14:paraId="1057EEE7" w14:textId="77777777" w:rsidTr="002E7F82">
        <w:trPr>
          <w:trHeight w:val="805"/>
        </w:trPr>
        <w:tc>
          <w:tcPr>
            <w:tcW w:w="1128" w:type="dxa"/>
            <w:shd w:val="clear" w:color="auto" w:fill="auto"/>
          </w:tcPr>
          <w:p w14:paraId="15222BBA" w14:textId="77777777" w:rsidR="007821EC" w:rsidRPr="00380B40" w:rsidRDefault="007821EC" w:rsidP="0021355D">
            <w:pPr>
              <w:pStyle w:val="Tabletext"/>
              <w:spacing w:before="20" w:after="20" w:line="200" w:lineRule="exact"/>
              <w:rPr>
                <w:rFonts w:eastAsia="Arial Unicode MS"/>
                <w:lang w:val="en-GB"/>
              </w:rPr>
            </w:pPr>
            <w:r w:rsidRPr="00380B40">
              <w:rPr>
                <w:lang w:val="en-GB"/>
              </w:rPr>
              <w:t xml:space="preserve">2.1.2 </w:t>
            </w:r>
            <w:r w:rsidRPr="00380B40">
              <w:rPr>
                <w:i/>
                <w:iCs/>
                <w:lang w:val="en-GB"/>
              </w:rPr>
              <w:t>a)</w:t>
            </w:r>
          </w:p>
        </w:tc>
        <w:tc>
          <w:tcPr>
            <w:tcW w:w="3378" w:type="dxa"/>
            <w:shd w:val="clear" w:color="auto" w:fill="auto"/>
          </w:tcPr>
          <w:p w14:paraId="5AF43F15" w14:textId="77777777" w:rsidR="007821EC" w:rsidRPr="00380B40" w:rsidRDefault="007821EC" w:rsidP="0021355D">
            <w:pPr>
              <w:pStyle w:val="Tabletext"/>
              <w:spacing w:before="20" w:after="20" w:line="200" w:lineRule="exact"/>
              <w:rPr>
                <w:rFonts w:eastAsia="Arial Unicode MS"/>
                <w:lang w:val="en-GB"/>
              </w:rPr>
            </w:pPr>
            <w:r w:rsidRPr="00380B40">
              <w:rPr>
                <w:lang w:val="en-GB"/>
              </w:rPr>
              <w:t>Initiation of the request by a forum to the Director for related policy issues</w:t>
            </w:r>
          </w:p>
        </w:tc>
        <w:tc>
          <w:tcPr>
            <w:tcW w:w="240" w:type="dxa"/>
            <w:shd w:val="clear" w:color="auto" w:fill="auto"/>
          </w:tcPr>
          <w:p w14:paraId="6724F187" w14:textId="77777777" w:rsidR="007821EC" w:rsidRPr="00380B40" w:rsidRDefault="007821EC" w:rsidP="0021355D">
            <w:pPr>
              <w:pStyle w:val="Tabletext"/>
              <w:spacing w:before="20" w:after="20" w:line="200" w:lineRule="exact"/>
              <w:rPr>
                <w:rFonts w:eastAsia="Arial Unicode MS"/>
                <w:lang w:val="en-GB"/>
              </w:rPr>
            </w:pPr>
          </w:p>
        </w:tc>
        <w:tc>
          <w:tcPr>
            <w:tcW w:w="3347" w:type="dxa"/>
            <w:shd w:val="clear" w:color="auto" w:fill="auto"/>
          </w:tcPr>
          <w:p w14:paraId="0F52AD46" w14:textId="77777777" w:rsidR="007821EC" w:rsidRPr="00380B40" w:rsidRDefault="007821EC" w:rsidP="0021355D">
            <w:pPr>
              <w:pStyle w:val="Tabletext"/>
              <w:spacing w:before="20" w:after="20" w:line="200" w:lineRule="exact"/>
              <w:rPr>
                <w:rFonts w:eastAsia="Arial Unicode MS"/>
                <w:lang w:val="en-GB"/>
              </w:rPr>
            </w:pPr>
            <w:r w:rsidRPr="00380B40">
              <w:rPr>
                <w:lang w:val="en-GB"/>
              </w:rPr>
              <w:t>Evaluation by the Director</w:t>
            </w:r>
          </w:p>
        </w:tc>
        <w:tc>
          <w:tcPr>
            <w:tcW w:w="240" w:type="dxa"/>
            <w:shd w:val="clear" w:color="auto" w:fill="auto"/>
          </w:tcPr>
          <w:p w14:paraId="71CE191D" w14:textId="77777777" w:rsidR="007821EC" w:rsidRPr="00380B40" w:rsidRDefault="007821EC" w:rsidP="0021355D">
            <w:pPr>
              <w:pStyle w:val="Tabletext"/>
              <w:spacing w:before="20" w:after="20" w:line="200" w:lineRule="exact"/>
              <w:rPr>
                <w:rFonts w:eastAsia="Arial Unicode MS"/>
                <w:lang w:val="en-GB"/>
              </w:rPr>
            </w:pPr>
          </w:p>
        </w:tc>
        <w:tc>
          <w:tcPr>
            <w:tcW w:w="3002" w:type="dxa"/>
            <w:shd w:val="clear" w:color="auto" w:fill="auto"/>
          </w:tcPr>
          <w:p w14:paraId="0AA660B4" w14:textId="77777777" w:rsidR="007821EC" w:rsidRPr="00380B40" w:rsidRDefault="007821EC" w:rsidP="0021355D">
            <w:pPr>
              <w:pStyle w:val="Tabletext"/>
              <w:spacing w:before="20" w:after="20" w:line="200" w:lineRule="exact"/>
              <w:rPr>
                <w:rFonts w:eastAsia="Arial Unicode MS"/>
                <w:lang w:val="en-GB"/>
              </w:rPr>
            </w:pPr>
            <w:r w:rsidRPr="00380B40">
              <w:rPr>
                <w:lang w:val="en-GB"/>
              </w:rPr>
              <w:t>The Director decides to approve and informs TSAG + SGs</w:t>
            </w:r>
          </w:p>
        </w:tc>
        <w:tc>
          <w:tcPr>
            <w:tcW w:w="283" w:type="dxa"/>
            <w:shd w:val="clear" w:color="auto" w:fill="auto"/>
          </w:tcPr>
          <w:p w14:paraId="2BD893E9" w14:textId="77777777" w:rsidR="007821EC" w:rsidRPr="00380B40" w:rsidRDefault="007821EC" w:rsidP="0021355D">
            <w:pPr>
              <w:pStyle w:val="Tabletext"/>
              <w:spacing w:before="20" w:after="20" w:line="200" w:lineRule="exact"/>
              <w:rPr>
                <w:rFonts w:eastAsia="Arial Unicode MS"/>
                <w:lang w:val="en-GB"/>
              </w:rPr>
            </w:pPr>
          </w:p>
        </w:tc>
        <w:tc>
          <w:tcPr>
            <w:tcW w:w="3118" w:type="dxa"/>
            <w:shd w:val="clear" w:color="auto" w:fill="auto"/>
          </w:tcPr>
          <w:p w14:paraId="2EAF262A" w14:textId="77777777" w:rsidR="007821EC" w:rsidRPr="00380B40" w:rsidRDefault="007821EC" w:rsidP="0021355D">
            <w:pPr>
              <w:pStyle w:val="Tabletext"/>
              <w:spacing w:before="20" w:after="20" w:line="200" w:lineRule="exact"/>
              <w:rPr>
                <w:rFonts w:eastAsia="Arial Unicode MS"/>
                <w:lang w:val="en-GB"/>
              </w:rPr>
            </w:pPr>
            <w:r w:rsidRPr="00380B40">
              <w:rPr>
                <w:lang w:val="en-GB"/>
              </w:rPr>
              <w:t>Communication process</w:t>
            </w:r>
            <w:r w:rsidRPr="00380B40">
              <w:rPr>
                <w:lang w:val="en-GB"/>
              </w:rPr>
              <w:br/>
              <w:t>put into practice by the Director</w:t>
            </w:r>
          </w:p>
        </w:tc>
      </w:tr>
      <w:tr w:rsidR="007821EC" w:rsidRPr="004E0F36" w14:paraId="5F252555" w14:textId="77777777" w:rsidTr="002E7F82">
        <w:trPr>
          <w:trHeight w:val="255"/>
        </w:trPr>
        <w:tc>
          <w:tcPr>
            <w:tcW w:w="1128" w:type="dxa"/>
            <w:shd w:val="clear" w:color="auto" w:fill="auto"/>
            <w:vAlign w:val="bottom"/>
          </w:tcPr>
          <w:p w14:paraId="1874DF00" w14:textId="77777777" w:rsidR="007821EC" w:rsidRPr="00380B40" w:rsidRDefault="007821EC" w:rsidP="0021355D">
            <w:pPr>
              <w:pStyle w:val="Tabletext"/>
              <w:spacing w:before="20" w:after="20" w:line="200" w:lineRule="exact"/>
              <w:rPr>
                <w:rFonts w:eastAsia="Arial Unicode MS"/>
                <w:lang w:val="en-GB"/>
              </w:rPr>
            </w:pPr>
          </w:p>
        </w:tc>
        <w:tc>
          <w:tcPr>
            <w:tcW w:w="3378" w:type="dxa"/>
            <w:shd w:val="clear" w:color="auto" w:fill="auto"/>
            <w:vAlign w:val="bottom"/>
          </w:tcPr>
          <w:p w14:paraId="569BB6A0" w14:textId="77777777" w:rsidR="007821EC" w:rsidRPr="00380B40" w:rsidRDefault="007821EC" w:rsidP="0021355D">
            <w:pPr>
              <w:pStyle w:val="Tabletext"/>
              <w:spacing w:before="20" w:after="20" w:line="200" w:lineRule="exact"/>
              <w:rPr>
                <w:rFonts w:eastAsia="Arial Unicode MS"/>
                <w:lang w:val="en-GB"/>
              </w:rPr>
            </w:pPr>
            <w:r w:rsidRPr="00380B40">
              <w:rPr>
                <w:lang w:val="en-GB"/>
              </w:rPr>
              <w:t> </w:t>
            </w:r>
          </w:p>
        </w:tc>
        <w:tc>
          <w:tcPr>
            <w:tcW w:w="240" w:type="dxa"/>
            <w:shd w:val="clear" w:color="auto" w:fill="auto"/>
            <w:vAlign w:val="bottom"/>
          </w:tcPr>
          <w:p w14:paraId="2EB9F7BC" w14:textId="77777777" w:rsidR="007821EC" w:rsidRPr="00380B40" w:rsidRDefault="007821EC" w:rsidP="0021355D">
            <w:pPr>
              <w:pStyle w:val="Tabletext"/>
              <w:spacing w:before="20" w:after="20" w:line="200" w:lineRule="exact"/>
              <w:rPr>
                <w:rFonts w:eastAsia="Arial Unicode MS"/>
                <w:lang w:val="en-GB"/>
              </w:rPr>
            </w:pPr>
          </w:p>
        </w:tc>
        <w:tc>
          <w:tcPr>
            <w:tcW w:w="3347" w:type="dxa"/>
            <w:shd w:val="clear" w:color="auto" w:fill="auto"/>
            <w:vAlign w:val="bottom"/>
          </w:tcPr>
          <w:p w14:paraId="2F61B872" w14:textId="77777777" w:rsidR="007821EC" w:rsidRPr="00380B40" w:rsidRDefault="007821EC" w:rsidP="0021355D">
            <w:pPr>
              <w:pStyle w:val="Tabletext"/>
              <w:spacing w:before="20" w:after="20" w:line="200" w:lineRule="exact"/>
              <w:rPr>
                <w:rFonts w:eastAsia="Arial Unicode MS"/>
                <w:lang w:val="en-GB"/>
              </w:rPr>
            </w:pPr>
            <w:r w:rsidRPr="00380B40">
              <w:rPr>
                <w:lang w:val="en-GB"/>
              </w:rPr>
              <w:t> </w:t>
            </w:r>
          </w:p>
        </w:tc>
        <w:tc>
          <w:tcPr>
            <w:tcW w:w="240" w:type="dxa"/>
            <w:shd w:val="clear" w:color="auto" w:fill="auto"/>
            <w:vAlign w:val="bottom"/>
          </w:tcPr>
          <w:p w14:paraId="52EDBC63" w14:textId="77777777" w:rsidR="007821EC" w:rsidRPr="00380B40" w:rsidRDefault="007821EC" w:rsidP="0021355D">
            <w:pPr>
              <w:pStyle w:val="Tabletext"/>
              <w:spacing w:before="20" w:after="20" w:line="200" w:lineRule="exact"/>
              <w:rPr>
                <w:rFonts w:eastAsia="Arial Unicode MS"/>
                <w:lang w:val="en-GB"/>
              </w:rPr>
            </w:pPr>
          </w:p>
        </w:tc>
        <w:tc>
          <w:tcPr>
            <w:tcW w:w="3002" w:type="dxa"/>
            <w:shd w:val="clear" w:color="auto" w:fill="auto"/>
            <w:vAlign w:val="bottom"/>
          </w:tcPr>
          <w:p w14:paraId="05610D0B" w14:textId="77777777" w:rsidR="007821EC" w:rsidRPr="00380B40" w:rsidRDefault="007821EC" w:rsidP="0021355D">
            <w:pPr>
              <w:pStyle w:val="Tabletext"/>
              <w:spacing w:before="20" w:after="20" w:line="200" w:lineRule="exact"/>
              <w:rPr>
                <w:rFonts w:eastAsia="Arial Unicode MS"/>
                <w:lang w:val="en-GB"/>
              </w:rPr>
            </w:pPr>
            <w:r w:rsidRPr="00380B40">
              <w:rPr>
                <w:lang w:val="en-GB"/>
              </w:rPr>
              <w:t> </w:t>
            </w:r>
          </w:p>
        </w:tc>
        <w:tc>
          <w:tcPr>
            <w:tcW w:w="283" w:type="dxa"/>
            <w:shd w:val="clear" w:color="auto" w:fill="auto"/>
            <w:vAlign w:val="bottom"/>
          </w:tcPr>
          <w:p w14:paraId="773E01C3" w14:textId="77777777" w:rsidR="007821EC" w:rsidRPr="00380B40" w:rsidRDefault="007821EC" w:rsidP="0021355D">
            <w:pPr>
              <w:pStyle w:val="Tabletext"/>
              <w:spacing w:before="20" w:after="20" w:line="200" w:lineRule="exact"/>
              <w:rPr>
                <w:rFonts w:eastAsia="Arial Unicode MS"/>
                <w:lang w:val="en-GB"/>
              </w:rPr>
            </w:pPr>
          </w:p>
        </w:tc>
        <w:tc>
          <w:tcPr>
            <w:tcW w:w="3118" w:type="dxa"/>
            <w:shd w:val="clear" w:color="auto" w:fill="auto"/>
            <w:vAlign w:val="bottom"/>
          </w:tcPr>
          <w:p w14:paraId="20D67A79" w14:textId="77777777" w:rsidR="007821EC" w:rsidRPr="00380B40" w:rsidRDefault="007821EC" w:rsidP="0021355D">
            <w:pPr>
              <w:pStyle w:val="Tabletext"/>
              <w:spacing w:before="20" w:after="20" w:line="200" w:lineRule="exact"/>
              <w:rPr>
                <w:rFonts w:eastAsia="Arial Unicode MS"/>
                <w:lang w:val="en-GB"/>
              </w:rPr>
            </w:pPr>
            <w:r w:rsidRPr="00380B40">
              <w:rPr>
                <w:lang w:val="en-GB"/>
              </w:rPr>
              <w:t> </w:t>
            </w:r>
          </w:p>
        </w:tc>
      </w:tr>
      <w:tr w:rsidR="007821EC" w:rsidRPr="004E0F36" w14:paraId="42A72090" w14:textId="77777777" w:rsidTr="002E7F82">
        <w:trPr>
          <w:trHeight w:val="805"/>
        </w:trPr>
        <w:tc>
          <w:tcPr>
            <w:tcW w:w="1128" w:type="dxa"/>
            <w:shd w:val="clear" w:color="auto" w:fill="auto"/>
          </w:tcPr>
          <w:p w14:paraId="2F16229E" w14:textId="77777777" w:rsidR="007821EC" w:rsidRPr="00380B40" w:rsidRDefault="007821EC" w:rsidP="002E7F82">
            <w:pPr>
              <w:pStyle w:val="Tabletext"/>
              <w:pageBreakBefore/>
              <w:spacing w:before="20" w:after="20" w:line="200" w:lineRule="exact"/>
              <w:rPr>
                <w:rFonts w:eastAsia="Arial Unicode MS"/>
                <w:lang w:val="en-GB"/>
              </w:rPr>
            </w:pPr>
            <w:r w:rsidRPr="00380B40">
              <w:rPr>
                <w:lang w:val="en-GB"/>
              </w:rPr>
              <w:t xml:space="preserve">2.1.2 </w:t>
            </w:r>
            <w:r w:rsidRPr="00380B40">
              <w:rPr>
                <w:i/>
                <w:iCs/>
                <w:lang w:val="en-GB"/>
              </w:rPr>
              <w:t>b)</w:t>
            </w:r>
          </w:p>
        </w:tc>
        <w:tc>
          <w:tcPr>
            <w:tcW w:w="3378" w:type="dxa"/>
            <w:shd w:val="clear" w:color="auto" w:fill="auto"/>
          </w:tcPr>
          <w:p w14:paraId="7F3AE116" w14:textId="77777777" w:rsidR="007821EC" w:rsidRPr="00380B40" w:rsidRDefault="007821EC" w:rsidP="0021355D">
            <w:pPr>
              <w:pStyle w:val="Tabletext"/>
              <w:spacing w:before="20" w:after="20" w:line="200" w:lineRule="exact"/>
              <w:rPr>
                <w:rFonts w:eastAsia="Arial Unicode MS"/>
                <w:lang w:val="en-GB"/>
              </w:rPr>
            </w:pPr>
            <w:r w:rsidRPr="00380B40">
              <w:rPr>
                <w:lang w:val="en-GB"/>
              </w:rPr>
              <w:t>Initiation of the request by a forum to the Director for SG issues </w:t>
            </w:r>
          </w:p>
        </w:tc>
        <w:tc>
          <w:tcPr>
            <w:tcW w:w="240" w:type="dxa"/>
            <w:shd w:val="clear" w:color="auto" w:fill="auto"/>
          </w:tcPr>
          <w:p w14:paraId="10D9F318" w14:textId="77777777" w:rsidR="007821EC" w:rsidRPr="00380B40" w:rsidRDefault="007821EC" w:rsidP="0021355D">
            <w:pPr>
              <w:pStyle w:val="Tabletext"/>
              <w:spacing w:before="20" w:after="20" w:line="200" w:lineRule="exact"/>
              <w:rPr>
                <w:rFonts w:eastAsia="Arial Unicode MS"/>
                <w:lang w:val="en-GB"/>
              </w:rPr>
            </w:pPr>
          </w:p>
        </w:tc>
        <w:tc>
          <w:tcPr>
            <w:tcW w:w="3347" w:type="dxa"/>
            <w:shd w:val="clear" w:color="auto" w:fill="auto"/>
          </w:tcPr>
          <w:p w14:paraId="144F9AFD" w14:textId="77777777" w:rsidR="007821EC" w:rsidRPr="00380B40" w:rsidRDefault="007821EC" w:rsidP="0021355D">
            <w:pPr>
              <w:pStyle w:val="Tabletext"/>
              <w:spacing w:before="20" w:after="20" w:line="200" w:lineRule="exact"/>
              <w:rPr>
                <w:rFonts w:eastAsia="Arial Unicode MS"/>
                <w:lang w:val="en-GB"/>
              </w:rPr>
            </w:pPr>
            <w:r w:rsidRPr="00380B40">
              <w:rPr>
                <w:lang w:val="en-GB"/>
              </w:rPr>
              <w:t>The Director performs a preliminary analysis, the SG reviews the analysis</w:t>
            </w:r>
          </w:p>
        </w:tc>
        <w:tc>
          <w:tcPr>
            <w:tcW w:w="240" w:type="dxa"/>
            <w:shd w:val="clear" w:color="auto" w:fill="auto"/>
          </w:tcPr>
          <w:p w14:paraId="4CF9A963" w14:textId="77777777" w:rsidR="007821EC" w:rsidRPr="00380B40" w:rsidRDefault="007821EC" w:rsidP="0021355D">
            <w:pPr>
              <w:pStyle w:val="Tabletext"/>
              <w:spacing w:before="20" w:after="20" w:line="200" w:lineRule="exact"/>
              <w:rPr>
                <w:rFonts w:eastAsia="Arial Unicode MS"/>
                <w:lang w:val="en-GB"/>
              </w:rPr>
            </w:pPr>
          </w:p>
        </w:tc>
        <w:tc>
          <w:tcPr>
            <w:tcW w:w="3002" w:type="dxa"/>
            <w:shd w:val="clear" w:color="auto" w:fill="auto"/>
          </w:tcPr>
          <w:p w14:paraId="20E40DC3" w14:textId="77777777" w:rsidR="007821EC" w:rsidRPr="00380B40" w:rsidRDefault="007821EC" w:rsidP="0021355D">
            <w:pPr>
              <w:pStyle w:val="Tabletext"/>
              <w:spacing w:before="20" w:after="20" w:line="200" w:lineRule="exact"/>
              <w:rPr>
                <w:rFonts w:eastAsia="Arial Unicode MS"/>
                <w:lang w:val="en-GB"/>
              </w:rPr>
            </w:pPr>
            <w:r w:rsidRPr="00380B40">
              <w:rPr>
                <w:lang w:val="en-GB"/>
              </w:rPr>
              <w:t>The SG decides to communicate, the SG informs other SGs, TSAG and the Director</w:t>
            </w:r>
          </w:p>
        </w:tc>
        <w:tc>
          <w:tcPr>
            <w:tcW w:w="283" w:type="dxa"/>
            <w:shd w:val="clear" w:color="auto" w:fill="auto"/>
          </w:tcPr>
          <w:p w14:paraId="67F0C0AA" w14:textId="77777777" w:rsidR="007821EC" w:rsidRPr="00380B40" w:rsidRDefault="007821EC" w:rsidP="0021355D">
            <w:pPr>
              <w:pStyle w:val="Tabletext"/>
              <w:spacing w:before="20" w:after="20" w:line="200" w:lineRule="exact"/>
              <w:rPr>
                <w:rFonts w:eastAsia="Arial Unicode MS"/>
                <w:lang w:val="en-GB"/>
              </w:rPr>
            </w:pPr>
          </w:p>
        </w:tc>
        <w:tc>
          <w:tcPr>
            <w:tcW w:w="3118" w:type="dxa"/>
            <w:shd w:val="clear" w:color="auto" w:fill="auto"/>
          </w:tcPr>
          <w:p w14:paraId="1A1C16E5" w14:textId="77777777" w:rsidR="007821EC" w:rsidRPr="00380B40" w:rsidRDefault="007821EC" w:rsidP="0021355D">
            <w:pPr>
              <w:pStyle w:val="Tabletext"/>
              <w:spacing w:before="20" w:after="20" w:line="200" w:lineRule="exact"/>
              <w:rPr>
                <w:rFonts w:eastAsia="Arial Unicode MS"/>
                <w:lang w:val="en-GB"/>
              </w:rPr>
            </w:pPr>
            <w:r w:rsidRPr="00380B40">
              <w:rPr>
                <w:lang w:val="en-GB"/>
              </w:rPr>
              <w:t>Communication process</w:t>
            </w:r>
            <w:r w:rsidRPr="00380B40">
              <w:rPr>
                <w:lang w:val="en-GB"/>
              </w:rPr>
              <w:br/>
              <w:t>put into practice by the SG</w:t>
            </w:r>
          </w:p>
        </w:tc>
      </w:tr>
      <w:tr w:rsidR="007821EC" w:rsidRPr="004E0F36" w14:paraId="04AE8A9A" w14:textId="77777777" w:rsidTr="002E7F82">
        <w:tc>
          <w:tcPr>
            <w:tcW w:w="1128" w:type="dxa"/>
            <w:shd w:val="clear" w:color="auto" w:fill="auto"/>
            <w:vAlign w:val="bottom"/>
          </w:tcPr>
          <w:p w14:paraId="20991832" w14:textId="77777777" w:rsidR="007821EC" w:rsidRPr="00380B40" w:rsidRDefault="007821EC" w:rsidP="0021355D">
            <w:pPr>
              <w:pStyle w:val="Tabletext"/>
              <w:spacing w:before="20" w:after="20" w:line="200" w:lineRule="exact"/>
              <w:rPr>
                <w:lang w:val="en-GB"/>
              </w:rPr>
            </w:pPr>
          </w:p>
        </w:tc>
        <w:tc>
          <w:tcPr>
            <w:tcW w:w="3378" w:type="dxa"/>
            <w:shd w:val="clear" w:color="auto" w:fill="auto"/>
            <w:vAlign w:val="bottom"/>
          </w:tcPr>
          <w:p w14:paraId="2C41EE83" w14:textId="77777777" w:rsidR="007821EC" w:rsidRPr="00380B40" w:rsidRDefault="007821EC" w:rsidP="0021355D">
            <w:pPr>
              <w:pStyle w:val="Tabletext"/>
              <w:spacing w:before="20" w:after="20" w:line="200" w:lineRule="exact"/>
              <w:rPr>
                <w:lang w:val="en-GB"/>
              </w:rPr>
            </w:pPr>
          </w:p>
        </w:tc>
        <w:tc>
          <w:tcPr>
            <w:tcW w:w="240" w:type="dxa"/>
            <w:shd w:val="clear" w:color="auto" w:fill="auto"/>
            <w:vAlign w:val="bottom"/>
          </w:tcPr>
          <w:p w14:paraId="7867E1D7" w14:textId="77777777" w:rsidR="007821EC" w:rsidRPr="00380B40" w:rsidRDefault="007821EC" w:rsidP="0021355D">
            <w:pPr>
              <w:pStyle w:val="Tabletext"/>
              <w:spacing w:before="20" w:after="20" w:line="200" w:lineRule="exact"/>
              <w:rPr>
                <w:lang w:val="en-GB"/>
              </w:rPr>
            </w:pPr>
          </w:p>
        </w:tc>
        <w:tc>
          <w:tcPr>
            <w:tcW w:w="3347" w:type="dxa"/>
            <w:shd w:val="clear" w:color="auto" w:fill="auto"/>
            <w:vAlign w:val="bottom"/>
          </w:tcPr>
          <w:p w14:paraId="444FF588" w14:textId="77777777" w:rsidR="007821EC" w:rsidRPr="00380B40" w:rsidRDefault="007821EC" w:rsidP="0021355D">
            <w:pPr>
              <w:pStyle w:val="Tabletext"/>
              <w:spacing w:before="20" w:after="20" w:line="200" w:lineRule="exact"/>
              <w:rPr>
                <w:lang w:val="en-GB"/>
              </w:rPr>
            </w:pPr>
          </w:p>
        </w:tc>
        <w:tc>
          <w:tcPr>
            <w:tcW w:w="240" w:type="dxa"/>
            <w:shd w:val="clear" w:color="auto" w:fill="auto"/>
            <w:vAlign w:val="bottom"/>
          </w:tcPr>
          <w:p w14:paraId="4A8B4922" w14:textId="77777777" w:rsidR="007821EC" w:rsidRPr="00380B40" w:rsidRDefault="007821EC" w:rsidP="0021355D">
            <w:pPr>
              <w:pStyle w:val="Tabletext"/>
              <w:spacing w:before="20" w:after="20" w:line="200" w:lineRule="exact"/>
              <w:rPr>
                <w:lang w:val="en-GB"/>
              </w:rPr>
            </w:pPr>
          </w:p>
        </w:tc>
        <w:tc>
          <w:tcPr>
            <w:tcW w:w="3002" w:type="dxa"/>
            <w:shd w:val="clear" w:color="auto" w:fill="auto"/>
            <w:vAlign w:val="bottom"/>
          </w:tcPr>
          <w:p w14:paraId="5C817850" w14:textId="77777777" w:rsidR="007821EC" w:rsidRPr="00380B40" w:rsidRDefault="007821EC" w:rsidP="0021355D">
            <w:pPr>
              <w:pStyle w:val="Tabletext"/>
              <w:spacing w:before="20" w:after="20" w:line="200" w:lineRule="exact"/>
              <w:rPr>
                <w:lang w:val="en-GB"/>
              </w:rPr>
            </w:pPr>
          </w:p>
        </w:tc>
        <w:tc>
          <w:tcPr>
            <w:tcW w:w="283" w:type="dxa"/>
            <w:shd w:val="clear" w:color="auto" w:fill="auto"/>
            <w:vAlign w:val="bottom"/>
          </w:tcPr>
          <w:p w14:paraId="6DF18288" w14:textId="77777777" w:rsidR="007821EC" w:rsidRPr="00380B40" w:rsidRDefault="007821EC" w:rsidP="0021355D">
            <w:pPr>
              <w:pStyle w:val="Tabletext"/>
              <w:spacing w:before="20" w:after="20" w:line="200" w:lineRule="exact"/>
              <w:rPr>
                <w:lang w:val="en-GB"/>
              </w:rPr>
            </w:pPr>
          </w:p>
        </w:tc>
        <w:tc>
          <w:tcPr>
            <w:tcW w:w="3118" w:type="dxa"/>
            <w:shd w:val="clear" w:color="auto" w:fill="auto"/>
            <w:vAlign w:val="bottom"/>
          </w:tcPr>
          <w:p w14:paraId="652983B4" w14:textId="77777777" w:rsidR="007821EC" w:rsidRPr="00380B40" w:rsidRDefault="007821EC" w:rsidP="0021355D">
            <w:pPr>
              <w:pStyle w:val="Tabletext"/>
              <w:spacing w:before="20" w:after="20" w:line="200" w:lineRule="exact"/>
              <w:rPr>
                <w:lang w:val="en-GB"/>
              </w:rPr>
            </w:pPr>
          </w:p>
        </w:tc>
      </w:tr>
      <w:tr w:rsidR="007821EC" w:rsidRPr="004E0F36" w14:paraId="690D48DC" w14:textId="77777777" w:rsidTr="002E7F82">
        <w:tc>
          <w:tcPr>
            <w:tcW w:w="1128" w:type="dxa"/>
            <w:shd w:val="clear" w:color="auto" w:fill="auto"/>
            <w:vAlign w:val="bottom"/>
          </w:tcPr>
          <w:p w14:paraId="3707F33D" w14:textId="77777777" w:rsidR="007821EC" w:rsidRPr="00380B40" w:rsidRDefault="007821EC" w:rsidP="0021355D">
            <w:pPr>
              <w:pStyle w:val="Tabletext"/>
              <w:spacing w:before="20" w:after="20" w:line="200" w:lineRule="exact"/>
              <w:rPr>
                <w:lang w:val="en-GB"/>
              </w:rPr>
            </w:pPr>
          </w:p>
        </w:tc>
        <w:tc>
          <w:tcPr>
            <w:tcW w:w="3378" w:type="dxa"/>
            <w:shd w:val="clear" w:color="auto" w:fill="auto"/>
            <w:vAlign w:val="bottom"/>
          </w:tcPr>
          <w:p w14:paraId="470B34F7" w14:textId="77777777" w:rsidR="007821EC" w:rsidRPr="00380B40" w:rsidRDefault="007821EC" w:rsidP="0021355D">
            <w:pPr>
              <w:pStyle w:val="Tabletext"/>
              <w:spacing w:before="20" w:after="20" w:line="200" w:lineRule="exact"/>
              <w:rPr>
                <w:lang w:val="en-GB"/>
              </w:rPr>
            </w:pPr>
          </w:p>
        </w:tc>
        <w:tc>
          <w:tcPr>
            <w:tcW w:w="240" w:type="dxa"/>
            <w:shd w:val="clear" w:color="auto" w:fill="auto"/>
            <w:vAlign w:val="bottom"/>
          </w:tcPr>
          <w:p w14:paraId="13FBBE5A" w14:textId="77777777" w:rsidR="007821EC" w:rsidRPr="00380B40" w:rsidRDefault="007821EC" w:rsidP="0021355D">
            <w:pPr>
              <w:pStyle w:val="Tabletext"/>
              <w:spacing w:before="20" w:after="20" w:line="200" w:lineRule="exact"/>
              <w:rPr>
                <w:lang w:val="en-GB"/>
              </w:rPr>
            </w:pPr>
          </w:p>
        </w:tc>
        <w:tc>
          <w:tcPr>
            <w:tcW w:w="3347" w:type="dxa"/>
            <w:shd w:val="clear" w:color="auto" w:fill="auto"/>
            <w:vAlign w:val="bottom"/>
          </w:tcPr>
          <w:p w14:paraId="3BC23546" w14:textId="77777777" w:rsidR="007821EC" w:rsidRPr="00380B40" w:rsidRDefault="007821EC" w:rsidP="0021355D">
            <w:pPr>
              <w:pStyle w:val="Tabletext"/>
              <w:spacing w:before="20" w:after="20" w:line="200" w:lineRule="exact"/>
              <w:rPr>
                <w:lang w:val="en-GB"/>
              </w:rPr>
            </w:pPr>
          </w:p>
        </w:tc>
        <w:tc>
          <w:tcPr>
            <w:tcW w:w="240" w:type="dxa"/>
            <w:shd w:val="clear" w:color="auto" w:fill="auto"/>
            <w:vAlign w:val="bottom"/>
          </w:tcPr>
          <w:p w14:paraId="24828936" w14:textId="77777777" w:rsidR="007821EC" w:rsidRPr="00380B40" w:rsidRDefault="007821EC" w:rsidP="0021355D">
            <w:pPr>
              <w:pStyle w:val="Tabletext"/>
              <w:spacing w:before="20" w:after="20" w:line="200" w:lineRule="exact"/>
              <w:rPr>
                <w:lang w:val="en-GB"/>
              </w:rPr>
            </w:pPr>
          </w:p>
        </w:tc>
        <w:tc>
          <w:tcPr>
            <w:tcW w:w="3002" w:type="dxa"/>
            <w:shd w:val="clear" w:color="auto" w:fill="auto"/>
            <w:vAlign w:val="bottom"/>
          </w:tcPr>
          <w:p w14:paraId="3ED69ABC" w14:textId="77777777" w:rsidR="007821EC" w:rsidRPr="00380B40" w:rsidRDefault="007821EC" w:rsidP="0021355D">
            <w:pPr>
              <w:pStyle w:val="Tabletext"/>
              <w:spacing w:before="20" w:after="20" w:line="200" w:lineRule="exact"/>
              <w:rPr>
                <w:lang w:val="en-GB"/>
              </w:rPr>
            </w:pPr>
          </w:p>
        </w:tc>
        <w:tc>
          <w:tcPr>
            <w:tcW w:w="283" w:type="dxa"/>
            <w:shd w:val="clear" w:color="auto" w:fill="auto"/>
            <w:vAlign w:val="bottom"/>
          </w:tcPr>
          <w:p w14:paraId="49FAE807" w14:textId="77777777" w:rsidR="007821EC" w:rsidRPr="00380B40" w:rsidRDefault="007821EC" w:rsidP="0021355D">
            <w:pPr>
              <w:pStyle w:val="Tabletext"/>
              <w:spacing w:before="20" w:after="20" w:line="200" w:lineRule="exact"/>
              <w:rPr>
                <w:lang w:val="en-GB"/>
              </w:rPr>
            </w:pPr>
          </w:p>
        </w:tc>
        <w:tc>
          <w:tcPr>
            <w:tcW w:w="3118" w:type="dxa"/>
            <w:shd w:val="clear" w:color="auto" w:fill="auto"/>
            <w:vAlign w:val="bottom"/>
          </w:tcPr>
          <w:p w14:paraId="39A42431" w14:textId="77777777" w:rsidR="007821EC" w:rsidRPr="00380B40" w:rsidRDefault="007821EC" w:rsidP="0021355D">
            <w:pPr>
              <w:pStyle w:val="Tabletext"/>
              <w:spacing w:before="20" w:after="20" w:line="200" w:lineRule="exact"/>
              <w:rPr>
                <w:lang w:val="en-GB"/>
              </w:rPr>
            </w:pPr>
          </w:p>
        </w:tc>
      </w:tr>
      <w:tr w:rsidR="007821EC" w:rsidRPr="004E0F36" w14:paraId="1FA1DA69" w14:textId="77777777" w:rsidTr="002E7F82">
        <w:trPr>
          <w:trHeight w:val="790"/>
        </w:trPr>
        <w:tc>
          <w:tcPr>
            <w:tcW w:w="1128" w:type="dxa"/>
            <w:shd w:val="clear" w:color="auto" w:fill="auto"/>
            <w:vAlign w:val="bottom"/>
          </w:tcPr>
          <w:p w14:paraId="3DB110B0" w14:textId="77777777" w:rsidR="007821EC" w:rsidRPr="00380B40" w:rsidRDefault="007821EC" w:rsidP="0021355D">
            <w:pPr>
              <w:pStyle w:val="Tabletext"/>
              <w:spacing w:before="20" w:after="20" w:line="200" w:lineRule="exact"/>
              <w:rPr>
                <w:rFonts w:eastAsia="Arial Unicode MS"/>
                <w:lang w:val="en-GB"/>
              </w:rPr>
            </w:pPr>
          </w:p>
        </w:tc>
        <w:tc>
          <w:tcPr>
            <w:tcW w:w="3378" w:type="dxa"/>
            <w:shd w:val="clear" w:color="auto" w:fill="auto"/>
            <w:vAlign w:val="bottom"/>
          </w:tcPr>
          <w:p w14:paraId="4CDA17F0" w14:textId="77777777" w:rsidR="007821EC" w:rsidRPr="00380B40" w:rsidRDefault="007821EC" w:rsidP="0021355D">
            <w:pPr>
              <w:pStyle w:val="Tabletext"/>
              <w:spacing w:before="20" w:after="20" w:line="200" w:lineRule="exact"/>
              <w:rPr>
                <w:rFonts w:eastAsia="Arial Unicode MS"/>
                <w:lang w:val="en-GB"/>
              </w:rPr>
            </w:pPr>
          </w:p>
        </w:tc>
        <w:tc>
          <w:tcPr>
            <w:tcW w:w="240" w:type="dxa"/>
            <w:shd w:val="clear" w:color="auto" w:fill="auto"/>
            <w:vAlign w:val="bottom"/>
          </w:tcPr>
          <w:p w14:paraId="65D53085" w14:textId="77777777" w:rsidR="007821EC" w:rsidRPr="00380B40" w:rsidRDefault="007821EC" w:rsidP="0021355D">
            <w:pPr>
              <w:pStyle w:val="Tabletext"/>
              <w:spacing w:before="20" w:after="20" w:line="200" w:lineRule="exact"/>
              <w:rPr>
                <w:rFonts w:eastAsia="Arial Unicode MS"/>
                <w:lang w:val="en-GB"/>
              </w:rPr>
            </w:pPr>
          </w:p>
        </w:tc>
        <w:tc>
          <w:tcPr>
            <w:tcW w:w="3347" w:type="dxa"/>
            <w:shd w:val="clear" w:color="auto" w:fill="auto"/>
          </w:tcPr>
          <w:p w14:paraId="3EB35275" w14:textId="77777777" w:rsidR="007821EC" w:rsidRPr="00380B40" w:rsidRDefault="007821EC" w:rsidP="0021355D">
            <w:pPr>
              <w:pStyle w:val="Tabletext"/>
              <w:spacing w:before="20" w:after="20" w:line="200" w:lineRule="exact"/>
              <w:rPr>
                <w:rFonts w:eastAsia="Arial Unicode MS"/>
                <w:lang w:val="en-GB"/>
              </w:rPr>
            </w:pPr>
            <w:r w:rsidRPr="00380B40">
              <w:rPr>
                <w:lang w:val="en-GB"/>
              </w:rPr>
              <w:t>Director adds forum under evaluation to the list</w:t>
            </w:r>
          </w:p>
        </w:tc>
        <w:tc>
          <w:tcPr>
            <w:tcW w:w="240" w:type="dxa"/>
            <w:shd w:val="clear" w:color="auto" w:fill="auto"/>
          </w:tcPr>
          <w:p w14:paraId="006F1AD0" w14:textId="77777777" w:rsidR="007821EC" w:rsidRPr="00380B40" w:rsidRDefault="007821EC" w:rsidP="0021355D">
            <w:pPr>
              <w:pStyle w:val="Tabletext"/>
              <w:spacing w:before="20" w:after="20" w:line="200" w:lineRule="exact"/>
              <w:rPr>
                <w:rFonts w:eastAsia="Arial Unicode MS"/>
                <w:lang w:val="en-GB"/>
              </w:rPr>
            </w:pPr>
          </w:p>
        </w:tc>
        <w:tc>
          <w:tcPr>
            <w:tcW w:w="3002" w:type="dxa"/>
            <w:shd w:val="clear" w:color="auto" w:fill="auto"/>
          </w:tcPr>
          <w:p w14:paraId="41645BE7" w14:textId="77777777" w:rsidR="007821EC" w:rsidRPr="00380B40" w:rsidRDefault="007821EC" w:rsidP="0021355D">
            <w:pPr>
              <w:pStyle w:val="Tabletext"/>
              <w:spacing w:before="20" w:after="20" w:line="200" w:lineRule="exact"/>
              <w:rPr>
                <w:rFonts w:eastAsia="Arial Unicode MS"/>
                <w:lang w:val="en-GB"/>
              </w:rPr>
            </w:pPr>
            <w:r w:rsidRPr="00380B40">
              <w:rPr>
                <w:lang w:val="en-GB"/>
              </w:rPr>
              <w:t>Director indicates on the list that forum is ITU-T A.4</w:t>
            </w:r>
            <w:r w:rsidRPr="00380B40">
              <w:rPr>
                <w:lang w:val="en-GB"/>
              </w:rPr>
              <w:noBreakHyphen/>
              <w:t>qualified</w:t>
            </w:r>
          </w:p>
        </w:tc>
        <w:tc>
          <w:tcPr>
            <w:tcW w:w="283" w:type="dxa"/>
            <w:shd w:val="clear" w:color="auto" w:fill="auto"/>
            <w:vAlign w:val="bottom"/>
          </w:tcPr>
          <w:p w14:paraId="42268B8E" w14:textId="77777777" w:rsidR="007821EC" w:rsidRPr="00380B40" w:rsidRDefault="007821EC" w:rsidP="0021355D">
            <w:pPr>
              <w:pStyle w:val="Tabletext"/>
              <w:spacing w:before="20" w:after="20" w:line="200" w:lineRule="exact"/>
              <w:rPr>
                <w:rFonts w:eastAsia="Arial Unicode MS"/>
                <w:lang w:val="en-GB"/>
              </w:rPr>
            </w:pPr>
          </w:p>
        </w:tc>
        <w:tc>
          <w:tcPr>
            <w:tcW w:w="3118" w:type="dxa"/>
            <w:shd w:val="clear" w:color="auto" w:fill="auto"/>
            <w:vAlign w:val="bottom"/>
          </w:tcPr>
          <w:p w14:paraId="5BC49556" w14:textId="77777777" w:rsidR="007821EC" w:rsidRPr="00380B40" w:rsidRDefault="007821EC" w:rsidP="0021355D">
            <w:pPr>
              <w:pStyle w:val="Tabletext"/>
              <w:spacing w:before="20" w:after="20" w:line="200" w:lineRule="exact"/>
              <w:rPr>
                <w:rFonts w:eastAsia="Arial Unicode MS"/>
                <w:lang w:val="en-GB"/>
              </w:rPr>
            </w:pPr>
          </w:p>
        </w:tc>
      </w:tr>
      <w:bookmarkEnd w:id="806"/>
    </w:tbl>
    <w:p w14:paraId="3C336144" w14:textId="77777777" w:rsidR="0078499C" w:rsidRDefault="0078499C" w:rsidP="00340428">
      <w:pPr>
        <w:spacing w:before="0"/>
        <w:rPr>
          <w:lang w:val="en-GB"/>
        </w:rPr>
        <w:sectPr w:rsidR="0078499C" w:rsidSect="002E7F82">
          <w:headerReference w:type="even" r:id="rId368"/>
          <w:headerReference w:type="default" r:id="rId369"/>
          <w:footerReference w:type="even" r:id="rId370"/>
          <w:footerReference w:type="default" r:id="rId371"/>
          <w:pgSz w:w="16840" w:h="11907" w:orient="landscape" w:code="9"/>
          <w:pgMar w:top="1134" w:right="1134" w:bottom="1134" w:left="1134" w:header="567" w:footer="567" w:gutter="0"/>
          <w:paperSrc w:first="261" w:other="261"/>
          <w:cols w:space="720"/>
          <w:docGrid w:linePitch="326"/>
        </w:sectPr>
      </w:pPr>
    </w:p>
    <w:p w14:paraId="2C1227B9" w14:textId="77777777" w:rsidR="007E52B2" w:rsidRPr="00380B40" w:rsidRDefault="007E52B2" w:rsidP="008C3E8D">
      <w:pPr>
        <w:pStyle w:val="RecNo"/>
        <w:pageBreakBefore/>
        <w:rPr>
          <w:rFonts w:eastAsia="Batang"/>
          <w:b w:val="0"/>
          <w:caps/>
          <w:lang w:val="en-GB"/>
        </w:rPr>
      </w:pPr>
      <w:bookmarkStart w:id="807" w:name="_Toc104459819"/>
      <w:bookmarkStart w:id="808" w:name="_Toc111636875"/>
      <w:bookmarkStart w:id="809" w:name="_Toc111638528"/>
      <w:r w:rsidRPr="00380B40">
        <w:rPr>
          <w:rFonts w:eastAsia="Batang"/>
          <w:lang w:val="en-GB"/>
        </w:rPr>
        <w:t>Recommendation</w:t>
      </w:r>
      <w:r w:rsidRPr="00380B40">
        <w:rPr>
          <w:lang w:val="en-GB"/>
        </w:rPr>
        <w:t xml:space="preserve"> </w:t>
      </w:r>
      <w:r w:rsidRPr="00380B40">
        <w:rPr>
          <w:rFonts w:eastAsia="Batang"/>
          <w:lang w:val="en-GB"/>
        </w:rPr>
        <w:t>ITU</w:t>
      </w:r>
      <w:r w:rsidRPr="00380B40">
        <w:rPr>
          <w:rFonts w:eastAsia="Batang"/>
          <w:lang w:val="en-GB"/>
        </w:rPr>
        <w:noBreakHyphen/>
        <w:t xml:space="preserve">T </w:t>
      </w:r>
      <w:r w:rsidRPr="00380B40">
        <w:rPr>
          <w:rStyle w:val="href"/>
          <w:rFonts w:eastAsia="Batang"/>
          <w:lang w:val="en-GB"/>
        </w:rPr>
        <w:t>A.5</w:t>
      </w:r>
      <w:bookmarkEnd w:id="807"/>
      <w:bookmarkEnd w:id="808"/>
      <w:bookmarkEnd w:id="809"/>
    </w:p>
    <w:p w14:paraId="4F8AA013" w14:textId="77777777" w:rsidR="00310DD3" w:rsidRPr="00380B40" w:rsidRDefault="00310DD3" w:rsidP="00310DD3">
      <w:pPr>
        <w:pStyle w:val="Rectitle"/>
        <w:rPr>
          <w:lang w:val="en-GB"/>
        </w:rPr>
      </w:pPr>
      <w:bookmarkStart w:id="810" w:name="_Toc104459820"/>
      <w:bookmarkStart w:id="811" w:name="_Toc111638529"/>
      <w:bookmarkStart w:id="812" w:name="_Toc357068549"/>
      <w:bookmarkStart w:id="813" w:name="_Toc443485982"/>
      <w:bookmarkStart w:id="814" w:name="_Toc444009752"/>
      <w:bookmarkStart w:id="815" w:name="_Toc444676608"/>
      <w:bookmarkStart w:id="816" w:name="_Toc444676906"/>
      <w:r w:rsidRPr="00380B40">
        <w:rPr>
          <w:lang w:val="en-GB"/>
        </w:rPr>
        <w:t>Generic procedures for including references to documents of</w:t>
      </w:r>
      <w:r w:rsidRPr="00380B40">
        <w:rPr>
          <w:lang w:val="en-GB"/>
        </w:rPr>
        <w:br/>
        <w:t>other organizations in ITU</w:t>
      </w:r>
      <w:r w:rsidRPr="00380B40">
        <w:rPr>
          <w:lang w:val="en-GB"/>
        </w:rPr>
        <w:noBreakHyphen/>
        <w:t>T Recommendations</w:t>
      </w:r>
      <w:bookmarkEnd w:id="810"/>
      <w:bookmarkEnd w:id="811"/>
    </w:p>
    <w:p w14:paraId="142BD7C4" w14:textId="77777777" w:rsidR="00310DD3" w:rsidRPr="00380B40" w:rsidRDefault="00310DD3" w:rsidP="00310DD3">
      <w:pPr>
        <w:pStyle w:val="Heading1"/>
        <w:rPr>
          <w:lang w:val="en-GB"/>
        </w:rPr>
      </w:pPr>
      <w:bookmarkStart w:id="817" w:name="_Toc357068546"/>
      <w:bookmarkStart w:id="818" w:name="_Toc6805599"/>
      <w:bookmarkStart w:id="819" w:name="_Toc443485973"/>
      <w:bookmarkStart w:id="820" w:name="_Toc444009743"/>
      <w:bookmarkStart w:id="821" w:name="_Toc444676599"/>
      <w:bookmarkStart w:id="822" w:name="_Toc444676897"/>
      <w:bookmarkStart w:id="823" w:name="_Toc21336561"/>
      <w:bookmarkStart w:id="824" w:name="_Toc23161963"/>
      <w:bookmarkStart w:id="825" w:name="_Toc99029027"/>
      <w:bookmarkStart w:id="826" w:name="_Toc111636876"/>
      <w:r w:rsidRPr="00380B40">
        <w:rPr>
          <w:lang w:val="en-GB"/>
        </w:rPr>
        <w:t>1</w:t>
      </w:r>
      <w:r w:rsidRPr="00380B40">
        <w:rPr>
          <w:lang w:val="en-GB"/>
        </w:rPr>
        <w:tab/>
        <w:t>Scope</w:t>
      </w:r>
      <w:bookmarkEnd w:id="817"/>
      <w:bookmarkEnd w:id="818"/>
      <w:bookmarkEnd w:id="819"/>
      <w:bookmarkEnd w:id="820"/>
      <w:bookmarkEnd w:id="821"/>
      <w:bookmarkEnd w:id="822"/>
      <w:bookmarkEnd w:id="823"/>
      <w:bookmarkEnd w:id="824"/>
      <w:bookmarkEnd w:id="825"/>
      <w:bookmarkEnd w:id="826"/>
    </w:p>
    <w:p w14:paraId="71012C07" w14:textId="77777777" w:rsidR="00310DD3" w:rsidRPr="00380B40" w:rsidRDefault="00310DD3" w:rsidP="00310DD3">
      <w:pPr>
        <w:rPr>
          <w:lang w:val="en-GB"/>
        </w:rPr>
      </w:pPr>
      <w:r w:rsidRPr="00380B40">
        <w:rPr>
          <w:lang w:val="en-GB"/>
        </w:rPr>
        <w:t>This Recommendation provides generic procedures for normatively referencing the documents of other organizations in ITU</w:t>
      </w:r>
      <w:r w:rsidRPr="00380B40">
        <w:rPr>
          <w:lang w:val="en-GB"/>
        </w:rPr>
        <w:noBreakHyphen/>
        <w:t>T Recommendations. Annex B provides the criteria to qualify a referenced organization. Clauses 6 and 7 describe the procedures in detail. Annex A provides the format for documenting a study group or working party decision with respect to making the reference. Specific information regarding qualified organizations can be found on the ITU</w:t>
      </w:r>
      <w:r w:rsidRPr="00380B40">
        <w:rPr>
          <w:lang w:val="en-GB"/>
        </w:rPr>
        <w:noBreakHyphen/>
        <w:t>T website.</w:t>
      </w:r>
    </w:p>
    <w:p w14:paraId="550300BA" w14:textId="77777777" w:rsidR="00310DD3" w:rsidRPr="00380B40" w:rsidRDefault="00310DD3" w:rsidP="00310DD3">
      <w:pPr>
        <w:pStyle w:val="Note"/>
        <w:rPr>
          <w:lang w:val="en-GB"/>
        </w:rPr>
      </w:pPr>
      <w:r w:rsidRPr="00380B40">
        <w:rPr>
          <w:lang w:val="en-GB"/>
        </w:rPr>
        <w:t>NOTE – These generic procedures do not apply to references to standards produced by ISO and IEC. The long-standing ability to make such references continues unchanged.</w:t>
      </w:r>
    </w:p>
    <w:p w14:paraId="6F3FC6E5" w14:textId="77777777" w:rsidR="00310DD3" w:rsidRPr="00380B40" w:rsidRDefault="00310DD3" w:rsidP="00310DD3">
      <w:pPr>
        <w:rPr>
          <w:lang w:val="en-GB"/>
        </w:rPr>
      </w:pPr>
      <w:r w:rsidRPr="00380B40">
        <w:rPr>
          <w:lang w:val="en-GB"/>
        </w:rPr>
        <w:t>The case of ITU-T accepting texts, in part or in whole, from another organization is addressed in [ITU-T A.25].</w:t>
      </w:r>
    </w:p>
    <w:p w14:paraId="7CBE2B89" w14:textId="77777777" w:rsidR="00310DD3" w:rsidRPr="00380B40" w:rsidRDefault="00310DD3" w:rsidP="00310DD3">
      <w:pPr>
        <w:pStyle w:val="Heading1"/>
        <w:rPr>
          <w:lang w:val="en-GB"/>
        </w:rPr>
      </w:pPr>
      <w:bookmarkStart w:id="827" w:name="_Toc443485974"/>
      <w:bookmarkStart w:id="828" w:name="_Toc444009744"/>
      <w:bookmarkStart w:id="829" w:name="_Toc444676600"/>
      <w:bookmarkStart w:id="830" w:name="_Toc444676898"/>
      <w:bookmarkStart w:id="831" w:name="_Toc21336562"/>
      <w:bookmarkStart w:id="832" w:name="_Toc23161964"/>
      <w:bookmarkStart w:id="833" w:name="_Toc99029028"/>
      <w:bookmarkStart w:id="834" w:name="_Toc111636877"/>
      <w:r w:rsidRPr="00380B40">
        <w:rPr>
          <w:lang w:val="en-GB"/>
        </w:rPr>
        <w:t>2</w:t>
      </w:r>
      <w:r w:rsidRPr="00380B40">
        <w:rPr>
          <w:lang w:val="en-GB"/>
        </w:rPr>
        <w:tab/>
        <w:t>References</w:t>
      </w:r>
      <w:bookmarkEnd w:id="827"/>
      <w:bookmarkEnd w:id="828"/>
      <w:bookmarkEnd w:id="829"/>
      <w:bookmarkEnd w:id="830"/>
      <w:bookmarkEnd w:id="831"/>
      <w:bookmarkEnd w:id="832"/>
      <w:bookmarkEnd w:id="833"/>
      <w:bookmarkEnd w:id="834"/>
    </w:p>
    <w:p w14:paraId="269919C9" w14:textId="77777777" w:rsidR="00310DD3" w:rsidRPr="00380B40" w:rsidRDefault="00310DD3" w:rsidP="00310DD3">
      <w:pPr>
        <w:rPr>
          <w:lang w:val="en-GB"/>
        </w:rPr>
      </w:pPr>
      <w:r w:rsidRPr="00380B40">
        <w:rPr>
          <w:lang w:val="en-GB"/>
        </w:rPr>
        <w:t>The following ITU-T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 The reference to a document within this Recommendation does not give it, as a stand-alone document, the status of a Recommendation.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7231"/>
      </w:tblGrid>
      <w:tr w:rsidR="00565B70" w:rsidRPr="004E0F36" w14:paraId="32A7CCAB" w14:textId="77777777" w:rsidTr="00C91A38">
        <w:tc>
          <w:tcPr>
            <w:tcW w:w="1249" w:type="pct"/>
          </w:tcPr>
          <w:p w14:paraId="5A7F06F7" w14:textId="77777777" w:rsidR="00565B70" w:rsidRPr="00380B40" w:rsidRDefault="00565B70" w:rsidP="004E4CA9">
            <w:pPr>
              <w:jc w:val="left"/>
              <w:rPr>
                <w:lang w:val="en-GB"/>
              </w:rPr>
            </w:pPr>
            <w:r w:rsidRPr="00380B40">
              <w:rPr>
                <w:rFonts w:eastAsia="Batang"/>
                <w:lang w:val="en-GB"/>
              </w:rPr>
              <w:t>[ITU-T A.1]</w:t>
            </w:r>
          </w:p>
        </w:tc>
        <w:tc>
          <w:tcPr>
            <w:tcW w:w="3751" w:type="pct"/>
          </w:tcPr>
          <w:p w14:paraId="563B0E7E" w14:textId="77777777" w:rsidR="00565B70" w:rsidRPr="00380B40" w:rsidRDefault="00565B70" w:rsidP="004E4CA9">
            <w:pPr>
              <w:jc w:val="left"/>
              <w:rPr>
                <w:lang w:val="en-US"/>
              </w:rPr>
            </w:pPr>
            <w:r w:rsidRPr="00380B40">
              <w:rPr>
                <w:rFonts w:eastAsia="Batang"/>
                <w:lang w:val="en-GB"/>
              </w:rPr>
              <w:t xml:space="preserve">Recommendation ITU-T A.1 (2019), </w:t>
            </w:r>
            <w:r w:rsidRPr="00380B40">
              <w:rPr>
                <w:rFonts w:eastAsia="Batang"/>
                <w:i/>
                <w:iCs/>
                <w:lang w:val="en-GB"/>
              </w:rPr>
              <w:t>Working Methods for Study Groups of the ITU Telecommunication Standardization Sector (ITU-T).</w:t>
            </w:r>
          </w:p>
        </w:tc>
      </w:tr>
      <w:tr w:rsidR="00565B70" w:rsidRPr="004E0F36" w14:paraId="35F14E49" w14:textId="77777777" w:rsidTr="00C91A38">
        <w:tc>
          <w:tcPr>
            <w:tcW w:w="1249" w:type="pct"/>
          </w:tcPr>
          <w:p w14:paraId="6A638E3E" w14:textId="77777777" w:rsidR="00565B70" w:rsidRPr="00380B40" w:rsidRDefault="00565B70" w:rsidP="004E4CA9">
            <w:pPr>
              <w:jc w:val="left"/>
              <w:rPr>
                <w:lang w:val="en-GB"/>
              </w:rPr>
            </w:pPr>
            <w:r w:rsidRPr="00380B40">
              <w:rPr>
                <w:rFonts w:eastAsia="Batang"/>
                <w:lang w:val="en-GB"/>
              </w:rPr>
              <w:t>[ITU-T A.25]</w:t>
            </w:r>
          </w:p>
        </w:tc>
        <w:tc>
          <w:tcPr>
            <w:tcW w:w="3751" w:type="pct"/>
          </w:tcPr>
          <w:p w14:paraId="0854BD5D" w14:textId="77777777" w:rsidR="00565B70" w:rsidRPr="00380B40" w:rsidRDefault="00565B70" w:rsidP="004E4CA9">
            <w:pPr>
              <w:jc w:val="left"/>
              <w:rPr>
                <w:lang w:val="en-US"/>
              </w:rPr>
            </w:pPr>
            <w:r w:rsidRPr="00380B40">
              <w:rPr>
                <w:rFonts w:eastAsia="Batang"/>
                <w:lang w:val="en-GB"/>
              </w:rPr>
              <w:t xml:space="preserve">Recommendation ITU-T A.25 (2019), </w:t>
            </w:r>
            <w:r w:rsidRPr="00380B40">
              <w:rPr>
                <w:rFonts w:eastAsia="Batang"/>
                <w:i/>
                <w:iCs/>
                <w:lang w:val="en-GB"/>
              </w:rPr>
              <w:t>Generic Procedures for Incorporating Text Between ITU-T and other Organizations</w:t>
            </w:r>
            <w:r w:rsidRPr="00380B40">
              <w:rPr>
                <w:rFonts w:eastAsia="Batang"/>
                <w:lang w:val="en-GB"/>
              </w:rPr>
              <w:t>.</w:t>
            </w:r>
          </w:p>
        </w:tc>
      </w:tr>
    </w:tbl>
    <w:p w14:paraId="05551486" w14:textId="77777777" w:rsidR="00310DD3" w:rsidRPr="00380B40" w:rsidRDefault="00310DD3" w:rsidP="00310DD3">
      <w:pPr>
        <w:pStyle w:val="Heading1"/>
        <w:rPr>
          <w:lang w:val="en-GB"/>
        </w:rPr>
      </w:pPr>
      <w:bookmarkStart w:id="835" w:name="_Toc443485975"/>
      <w:bookmarkStart w:id="836" w:name="_Toc444009745"/>
      <w:bookmarkStart w:id="837" w:name="_Toc444676601"/>
      <w:bookmarkStart w:id="838" w:name="_Toc444676899"/>
      <w:bookmarkStart w:id="839" w:name="_Toc21336563"/>
      <w:bookmarkStart w:id="840" w:name="_Toc23161965"/>
      <w:bookmarkStart w:id="841" w:name="_Toc99029029"/>
      <w:bookmarkStart w:id="842" w:name="_Toc111636878"/>
      <w:r w:rsidRPr="00380B40">
        <w:rPr>
          <w:lang w:val="en-GB"/>
        </w:rPr>
        <w:t>3</w:t>
      </w:r>
      <w:r w:rsidRPr="00380B40">
        <w:rPr>
          <w:lang w:val="en-GB"/>
        </w:rPr>
        <w:tab/>
        <w:t>Definitions</w:t>
      </w:r>
      <w:bookmarkEnd w:id="835"/>
      <w:bookmarkEnd w:id="836"/>
      <w:bookmarkEnd w:id="837"/>
      <w:bookmarkEnd w:id="838"/>
      <w:bookmarkEnd w:id="839"/>
      <w:bookmarkEnd w:id="840"/>
      <w:bookmarkEnd w:id="841"/>
      <w:bookmarkEnd w:id="842"/>
    </w:p>
    <w:p w14:paraId="2C010F87" w14:textId="77777777" w:rsidR="00310DD3" w:rsidRPr="00380B40" w:rsidRDefault="00310DD3" w:rsidP="00310DD3">
      <w:pPr>
        <w:pStyle w:val="Heading2"/>
        <w:rPr>
          <w:lang w:val="en-GB"/>
        </w:rPr>
      </w:pPr>
      <w:bookmarkStart w:id="843" w:name="_Toc443485976"/>
      <w:bookmarkStart w:id="844" w:name="_Toc444009746"/>
      <w:bookmarkStart w:id="845" w:name="_Toc444676602"/>
      <w:bookmarkStart w:id="846" w:name="_Toc444676900"/>
      <w:bookmarkStart w:id="847" w:name="_Toc21336564"/>
      <w:bookmarkStart w:id="848" w:name="_Toc23161966"/>
      <w:bookmarkStart w:id="849" w:name="_Toc99029030"/>
      <w:bookmarkStart w:id="850" w:name="_Toc111636879"/>
      <w:r w:rsidRPr="00380B40">
        <w:rPr>
          <w:lang w:val="en-GB"/>
        </w:rPr>
        <w:t>3.1</w:t>
      </w:r>
      <w:r w:rsidRPr="00380B40">
        <w:rPr>
          <w:lang w:val="en-GB"/>
        </w:rPr>
        <w:tab/>
        <w:t>Terms defined elsewhere</w:t>
      </w:r>
      <w:bookmarkEnd w:id="843"/>
      <w:bookmarkEnd w:id="844"/>
      <w:bookmarkEnd w:id="845"/>
      <w:bookmarkEnd w:id="846"/>
      <w:bookmarkEnd w:id="847"/>
      <w:bookmarkEnd w:id="848"/>
      <w:bookmarkEnd w:id="849"/>
      <w:bookmarkEnd w:id="850"/>
    </w:p>
    <w:p w14:paraId="3FBD8662" w14:textId="77777777" w:rsidR="00310DD3" w:rsidRPr="00380B40" w:rsidRDefault="00310DD3" w:rsidP="00310DD3">
      <w:pPr>
        <w:rPr>
          <w:lang w:val="en-GB"/>
        </w:rPr>
      </w:pPr>
      <w:r w:rsidRPr="00380B40">
        <w:rPr>
          <w:lang w:val="en-GB"/>
        </w:rPr>
        <w:t>This Recommendation uses the following term defined elsewhere:</w:t>
      </w:r>
    </w:p>
    <w:p w14:paraId="64D93D5C" w14:textId="77777777" w:rsidR="00310DD3" w:rsidRPr="00380B40" w:rsidRDefault="00310DD3" w:rsidP="00310DD3">
      <w:pPr>
        <w:rPr>
          <w:lang w:val="en-GB"/>
        </w:rPr>
      </w:pPr>
      <w:r w:rsidRPr="00380B40">
        <w:rPr>
          <w:b/>
          <w:lang w:val="en-GB"/>
        </w:rPr>
        <w:t>3.1.1</w:t>
      </w:r>
      <w:r w:rsidRPr="00380B40">
        <w:rPr>
          <w:lang w:val="en-GB"/>
        </w:rPr>
        <w:tab/>
      </w:r>
      <w:r w:rsidRPr="00380B40">
        <w:rPr>
          <w:b/>
          <w:lang w:val="en-GB"/>
        </w:rPr>
        <w:t>normative reference</w:t>
      </w:r>
      <w:r w:rsidRPr="00380B40">
        <w:rPr>
          <w:lang w:val="en-GB"/>
        </w:rPr>
        <w:t xml:space="preserve"> [ITU-T A.1]: The whole or parts of another document where the referenced document contains provisions which, through reference to it, constitute provisions to the referring document.</w:t>
      </w:r>
    </w:p>
    <w:p w14:paraId="7D13D181" w14:textId="77777777" w:rsidR="00795C3C" w:rsidRPr="00380B40" w:rsidRDefault="00795C3C" w:rsidP="00795C3C">
      <w:pPr>
        <w:rPr>
          <w:lang w:val="en-GB"/>
        </w:rPr>
      </w:pPr>
      <w:bookmarkStart w:id="851" w:name="_Toc443485977"/>
      <w:bookmarkStart w:id="852" w:name="_Toc444009747"/>
      <w:bookmarkStart w:id="853" w:name="_Toc444676603"/>
      <w:bookmarkStart w:id="854" w:name="_Toc444676901"/>
      <w:bookmarkStart w:id="855" w:name="_Toc21336565"/>
      <w:bookmarkStart w:id="856" w:name="_Toc23161967"/>
      <w:bookmarkStart w:id="857" w:name="_Toc99029031"/>
      <w:r w:rsidRPr="00380B40">
        <w:rPr>
          <w:lang w:val="en-GB"/>
        </w:rPr>
        <w:br w:type="page"/>
      </w:r>
    </w:p>
    <w:p w14:paraId="7C592EF5" w14:textId="77777777" w:rsidR="00310DD3" w:rsidRPr="00380B40" w:rsidRDefault="00310DD3" w:rsidP="00310DD3">
      <w:pPr>
        <w:pStyle w:val="Heading2"/>
        <w:rPr>
          <w:lang w:val="en-GB"/>
        </w:rPr>
      </w:pPr>
      <w:bookmarkStart w:id="858" w:name="_Toc111636880"/>
      <w:r w:rsidRPr="00380B40">
        <w:rPr>
          <w:lang w:val="en-GB"/>
        </w:rPr>
        <w:t>3.2</w:t>
      </w:r>
      <w:r w:rsidRPr="00380B40">
        <w:rPr>
          <w:lang w:val="en-GB"/>
        </w:rPr>
        <w:tab/>
        <w:t>Terms defined in this Recommendation</w:t>
      </w:r>
      <w:bookmarkEnd w:id="851"/>
      <w:bookmarkEnd w:id="852"/>
      <w:bookmarkEnd w:id="853"/>
      <w:bookmarkEnd w:id="854"/>
      <w:bookmarkEnd w:id="855"/>
      <w:bookmarkEnd w:id="856"/>
      <w:bookmarkEnd w:id="857"/>
      <w:bookmarkEnd w:id="858"/>
    </w:p>
    <w:p w14:paraId="046B58D4" w14:textId="77777777" w:rsidR="00310DD3" w:rsidRPr="00380B40" w:rsidRDefault="00310DD3" w:rsidP="00310DD3">
      <w:pPr>
        <w:rPr>
          <w:lang w:val="en-GB"/>
        </w:rPr>
      </w:pPr>
      <w:r w:rsidRPr="00380B40">
        <w:rPr>
          <w:lang w:val="en-GB"/>
        </w:rPr>
        <w:t>This Recommendation defines the following terms:</w:t>
      </w:r>
    </w:p>
    <w:p w14:paraId="253B7F2E" w14:textId="77777777" w:rsidR="00310DD3" w:rsidRPr="00380B40" w:rsidRDefault="00310DD3" w:rsidP="00310DD3">
      <w:pPr>
        <w:rPr>
          <w:lang w:val="en-GB"/>
        </w:rPr>
      </w:pPr>
      <w:r w:rsidRPr="00380B40">
        <w:rPr>
          <w:b/>
          <w:lang w:val="en-GB"/>
        </w:rPr>
        <w:t>3.2.1</w:t>
      </w:r>
      <w:r w:rsidRPr="00380B40">
        <w:rPr>
          <w:lang w:val="en-GB"/>
        </w:rPr>
        <w:tab/>
      </w:r>
      <w:r w:rsidRPr="00380B40">
        <w:rPr>
          <w:b/>
          <w:lang w:val="en-GB"/>
        </w:rPr>
        <w:t>approved document</w:t>
      </w:r>
      <w:r w:rsidRPr="00380B40">
        <w:rPr>
          <w:lang w:val="en-GB"/>
        </w:rPr>
        <w:t>: An official output (such as a standard, a specification, an implementation agreement, etc.) which has been formally approved by an organization.</w:t>
      </w:r>
    </w:p>
    <w:p w14:paraId="768ACA18" w14:textId="77777777" w:rsidR="00310DD3" w:rsidRPr="00380B40" w:rsidRDefault="00310DD3" w:rsidP="00310DD3">
      <w:pPr>
        <w:rPr>
          <w:lang w:val="en-GB"/>
        </w:rPr>
      </w:pPr>
      <w:r w:rsidRPr="00380B40">
        <w:rPr>
          <w:b/>
          <w:bCs/>
          <w:lang w:val="en-GB"/>
        </w:rPr>
        <w:t>3</w:t>
      </w:r>
      <w:r w:rsidRPr="00380B40">
        <w:rPr>
          <w:lang w:val="en-GB"/>
        </w:rPr>
        <w:t>.</w:t>
      </w:r>
      <w:r w:rsidRPr="00380B40">
        <w:rPr>
          <w:b/>
          <w:bCs/>
          <w:lang w:val="en-GB"/>
        </w:rPr>
        <w:t>2.2</w:t>
      </w:r>
      <w:r w:rsidRPr="00380B40">
        <w:rPr>
          <w:b/>
          <w:bCs/>
          <w:lang w:val="en-GB"/>
        </w:rPr>
        <w:tab/>
        <w:t>non-normative reference</w:t>
      </w:r>
      <w:r w:rsidRPr="00380B40">
        <w:rPr>
          <w:bCs/>
          <w:lang w:val="en-GB"/>
        </w:rPr>
        <w:t>:</w:t>
      </w:r>
      <w:r w:rsidRPr="00380B40">
        <w:rPr>
          <w:lang w:val="en-GB"/>
        </w:rPr>
        <w:t xml:space="preserve"> The whole or parts of a document where the referenced document has been used as supplementary information in the preparation of the Recommendation or to assist the understanding or use of the Recommendation, and to which conformance is not necessary.</w:t>
      </w:r>
    </w:p>
    <w:p w14:paraId="4577F860" w14:textId="77777777" w:rsidR="00310DD3" w:rsidRPr="00380B40" w:rsidRDefault="00310DD3" w:rsidP="00310DD3">
      <w:pPr>
        <w:rPr>
          <w:bCs/>
          <w:lang w:val="en-GB"/>
        </w:rPr>
      </w:pPr>
      <w:r w:rsidRPr="00380B40">
        <w:rPr>
          <w:b/>
          <w:bCs/>
          <w:lang w:val="en-GB"/>
        </w:rPr>
        <w:t>3.2.3</w:t>
      </w:r>
      <w:r w:rsidRPr="00380B40">
        <w:rPr>
          <w:b/>
          <w:bCs/>
          <w:lang w:val="en-GB"/>
        </w:rPr>
        <w:tab/>
        <w:t>referenced organization</w:t>
      </w:r>
      <w:r w:rsidRPr="00380B40">
        <w:rPr>
          <w:bCs/>
          <w:lang w:val="en-GB"/>
        </w:rPr>
        <w:t xml:space="preserve">: </w:t>
      </w:r>
      <w:r w:rsidRPr="00380B40">
        <w:rPr>
          <w:lang w:val="en-GB"/>
        </w:rPr>
        <w:t>An organization for which an ITU</w:t>
      </w:r>
      <w:r w:rsidRPr="00380B40">
        <w:rPr>
          <w:lang w:val="en-GB"/>
        </w:rPr>
        <w:noBreakHyphen/>
        <w:t>T study group identifies the need to make a specific reference (either normative or non-normative) to one of its documents.</w:t>
      </w:r>
    </w:p>
    <w:p w14:paraId="268045E1" w14:textId="77777777" w:rsidR="00310DD3" w:rsidRPr="00380B40" w:rsidRDefault="00310DD3" w:rsidP="00310DD3">
      <w:pPr>
        <w:pStyle w:val="Heading1"/>
        <w:rPr>
          <w:lang w:val="en-GB"/>
        </w:rPr>
      </w:pPr>
      <w:bookmarkStart w:id="859" w:name="_Toc443485978"/>
      <w:bookmarkStart w:id="860" w:name="_Toc444009748"/>
      <w:bookmarkStart w:id="861" w:name="_Toc444676604"/>
      <w:bookmarkStart w:id="862" w:name="_Toc444676902"/>
      <w:bookmarkStart w:id="863" w:name="_Toc21336566"/>
      <w:bookmarkStart w:id="864" w:name="_Toc23161968"/>
      <w:bookmarkStart w:id="865" w:name="_Toc99029032"/>
      <w:bookmarkStart w:id="866" w:name="_Toc111636881"/>
      <w:r w:rsidRPr="00380B40">
        <w:rPr>
          <w:lang w:val="en-GB"/>
        </w:rPr>
        <w:t>4</w:t>
      </w:r>
      <w:r w:rsidRPr="00380B40">
        <w:rPr>
          <w:lang w:val="en-GB"/>
        </w:rPr>
        <w:tab/>
        <w:t>Abbreviations and acronyms</w:t>
      </w:r>
      <w:bookmarkEnd w:id="859"/>
      <w:bookmarkEnd w:id="860"/>
      <w:bookmarkEnd w:id="861"/>
      <w:bookmarkEnd w:id="862"/>
      <w:bookmarkEnd w:id="863"/>
      <w:bookmarkEnd w:id="864"/>
      <w:bookmarkEnd w:id="865"/>
      <w:bookmarkEnd w:id="866"/>
    </w:p>
    <w:p w14:paraId="22059BC3" w14:textId="77777777" w:rsidR="00310DD3" w:rsidRPr="00380B40" w:rsidRDefault="00310DD3" w:rsidP="00310DD3">
      <w:pPr>
        <w:rPr>
          <w:lang w:val="en-GB"/>
        </w:rPr>
      </w:pPr>
      <w:r w:rsidRPr="00380B40">
        <w:rPr>
          <w:lang w:val="en-GB"/>
        </w:rPr>
        <w:t>This Recommendation uses the following abbreviations and acronyms: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164B3C" w:rsidRPr="00380B40" w14:paraId="2B28860A" w14:textId="77777777" w:rsidTr="00C91A38">
        <w:tc>
          <w:tcPr>
            <w:tcW w:w="1129" w:type="dxa"/>
          </w:tcPr>
          <w:p w14:paraId="4C354535" w14:textId="77777777" w:rsidR="00164B3C" w:rsidRPr="00380B40" w:rsidRDefault="00164B3C" w:rsidP="004E4CA9">
            <w:pPr>
              <w:tabs>
                <w:tab w:val="clear" w:pos="794"/>
                <w:tab w:val="clear" w:pos="1191"/>
                <w:tab w:val="clear" w:pos="1588"/>
                <w:tab w:val="clear" w:pos="1985"/>
              </w:tabs>
              <w:rPr>
                <w:lang w:val="en-GB"/>
              </w:rPr>
            </w:pPr>
            <w:r w:rsidRPr="00380B40">
              <w:rPr>
                <w:lang w:val="en-GB"/>
              </w:rPr>
              <w:t>AAP</w:t>
            </w:r>
          </w:p>
        </w:tc>
        <w:tc>
          <w:tcPr>
            <w:tcW w:w="8500" w:type="dxa"/>
          </w:tcPr>
          <w:p w14:paraId="32ACD307" w14:textId="77777777" w:rsidR="00164B3C" w:rsidRPr="00380B40" w:rsidRDefault="00164B3C" w:rsidP="004E4CA9">
            <w:pPr>
              <w:tabs>
                <w:tab w:val="clear" w:pos="794"/>
                <w:tab w:val="clear" w:pos="1191"/>
                <w:tab w:val="clear" w:pos="1588"/>
                <w:tab w:val="clear" w:pos="1985"/>
              </w:tabs>
              <w:rPr>
                <w:lang w:val="en-GB"/>
              </w:rPr>
            </w:pPr>
            <w:r w:rsidRPr="00380B40">
              <w:rPr>
                <w:lang w:val="en-GB"/>
              </w:rPr>
              <w:t>Alternative Approval Process</w:t>
            </w:r>
          </w:p>
        </w:tc>
      </w:tr>
      <w:tr w:rsidR="00164B3C" w:rsidRPr="00380B40" w14:paraId="38FBDAA5" w14:textId="77777777" w:rsidTr="00C91A38">
        <w:tc>
          <w:tcPr>
            <w:tcW w:w="1129" w:type="dxa"/>
          </w:tcPr>
          <w:p w14:paraId="4CAB06F2" w14:textId="77777777" w:rsidR="00164B3C" w:rsidRPr="00380B40" w:rsidRDefault="00164B3C" w:rsidP="004E4CA9">
            <w:pPr>
              <w:tabs>
                <w:tab w:val="clear" w:pos="794"/>
                <w:tab w:val="clear" w:pos="1191"/>
                <w:tab w:val="clear" w:pos="1588"/>
                <w:tab w:val="clear" w:pos="1985"/>
              </w:tabs>
              <w:rPr>
                <w:lang w:val="en-GB"/>
              </w:rPr>
            </w:pPr>
            <w:r w:rsidRPr="00380B40">
              <w:rPr>
                <w:lang w:val="en-GB"/>
              </w:rPr>
              <w:t>TAP</w:t>
            </w:r>
          </w:p>
        </w:tc>
        <w:tc>
          <w:tcPr>
            <w:tcW w:w="8500" w:type="dxa"/>
          </w:tcPr>
          <w:p w14:paraId="58365F88" w14:textId="77777777" w:rsidR="00164B3C" w:rsidRPr="00380B40" w:rsidRDefault="00164B3C" w:rsidP="004E4CA9">
            <w:pPr>
              <w:tabs>
                <w:tab w:val="clear" w:pos="794"/>
                <w:tab w:val="clear" w:pos="1191"/>
                <w:tab w:val="clear" w:pos="1588"/>
                <w:tab w:val="clear" w:pos="1985"/>
              </w:tabs>
              <w:rPr>
                <w:lang w:val="en-GB"/>
              </w:rPr>
            </w:pPr>
            <w:r w:rsidRPr="00380B40">
              <w:rPr>
                <w:lang w:val="en-GB"/>
              </w:rPr>
              <w:t>Traditional Approval Process</w:t>
            </w:r>
          </w:p>
        </w:tc>
      </w:tr>
    </w:tbl>
    <w:p w14:paraId="30FFB78C" w14:textId="77777777" w:rsidR="00310DD3" w:rsidRPr="00380B40" w:rsidRDefault="00310DD3" w:rsidP="00310DD3">
      <w:pPr>
        <w:pStyle w:val="Heading1"/>
        <w:rPr>
          <w:lang w:val="en-GB"/>
        </w:rPr>
      </w:pPr>
      <w:bookmarkStart w:id="867" w:name="_Toc443485979"/>
      <w:bookmarkStart w:id="868" w:name="_Toc444009749"/>
      <w:bookmarkStart w:id="869" w:name="_Toc444676605"/>
      <w:bookmarkStart w:id="870" w:name="_Toc444676903"/>
      <w:bookmarkStart w:id="871" w:name="_Toc21336567"/>
      <w:bookmarkStart w:id="872" w:name="_Toc23161969"/>
      <w:bookmarkStart w:id="873" w:name="_Toc99029033"/>
      <w:bookmarkStart w:id="874" w:name="_Toc111636882"/>
      <w:r w:rsidRPr="00380B40">
        <w:rPr>
          <w:lang w:val="en-GB"/>
        </w:rPr>
        <w:t>5</w:t>
      </w:r>
      <w:r w:rsidRPr="00380B40">
        <w:rPr>
          <w:lang w:val="en-GB"/>
        </w:rPr>
        <w:tab/>
        <w:t>Conventions</w:t>
      </w:r>
      <w:bookmarkEnd w:id="867"/>
      <w:bookmarkEnd w:id="868"/>
      <w:bookmarkEnd w:id="869"/>
      <w:bookmarkEnd w:id="870"/>
      <w:bookmarkEnd w:id="871"/>
      <w:bookmarkEnd w:id="872"/>
      <w:bookmarkEnd w:id="873"/>
      <w:bookmarkEnd w:id="874"/>
    </w:p>
    <w:p w14:paraId="5D3133E6" w14:textId="77777777" w:rsidR="00310DD3" w:rsidRPr="00380B40" w:rsidRDefault="00310DD3" w:rsidP="00310DD3">
      <w:pPr>
        <w:rPr>
          <w:lang w:val="en-GB"/>
        </w:rPr>
      </w:pPr>
      <w:r w:rsidRPr="00380B40">
        <w:rPr>
          <w:lang w:val="en-GB"/>
        </w:rPr>
        <w:t>None.</w:t>
      </w:r>
    </w:p>
    <w:p w14:paraId="43A0E7AE" w14:textId="77777777" w:rsidR="00310DD3" w:rsidRPr="00380B40" w:rsidRDefault="00310DD3" w:rsidP="00310DD3">
      <w:pPr>
        <w:pStyle w:val="Heading1"/>
        <w:rPr>
          <w:lang w:val="en-GB"/>
        </w:rPr>
      </w:pPr>
      <w:bookmarkStart w:id="875" w:name="_Toc443485980"/>
      <w:bookmarkStart w:id="876" w:name="_Toc444009750"/>
      <w:bookmarkStart w:id="877" w:name="_Toc444676606"/>
      <w:bookmarkStart w:id="878" w:name="_Toc444676904"/>
      <w:bookmarkStart w:id="879" w:name="_Toc21336568"/>
      <w:bookmarkStart w:id="880" w:name="_Toc23161970"/>
      <w:bookmarkStart w:id="881" w:name="_Toc99029034"/>
      <w:bookmarkStart w:id="882" w:name="_Toc111636883"/>
      <w:r w:rsidRPr="00380B40">
        <w:rPr>
          <w:lang w:val="en-GB"/>
        </w:rPr>
        <w:t>6</w:t>
      </w:r>
      <w:r w:rsidRPr="00380B40">
        <w:rPr>
          <w:lang w:val="en-GB"/>
        </w:rPr>
        <w:tab/>
        <w:t>Generic procedures for including references to documents of other organizations in ITU</w:t>
      </w:r>
      <w:r w:rsidRPr="00380B40">
        <w:rPr>
          <w:lang w:val="en-GB"/>
        </w:rPr>
        <w:noBreakHyphen/>
        <w:t>T Recommendations</w:t>
      </w:r>
      <w:bookmarkEnd w:id="875"/>
      <w:bookmarkEnd w:id="876"/>
      <w:bookmarkEnd w:id="877"/>
      <w:bookmarkEnd w:id="878"/>
      <w:bookmarkEnd w:id="879"/>
      <w:bookmarkEnd w:id="880"/>
      <w:bookmarkEnd w:id="881"/>
      <w:bookmarkEnd w:id="882"/>
    </w:p>
    <w:p w14:paraId="0EE4D1FC" w14:textId="77777777" w:rsidR="00310DD3" w:rsidRPr="00380B40" w:rsidRDefault="00310DD3" w:rsidP="00310DD3">
      <w:pPr>
        <w:rPr>
          <w:lang w:val="en-GB"/>
        </w:rPr>
      </w:pPr>
      <w:r w:rsidRPr="00380B40">
        <w:rPr>
          <w:b/>
          <w:bCs/>
          <w:lang w:val="en-GB"/>
        </w:rPr>
        <w:t>6.1</w:t>
      </w:r>
      <w:r w:rsidRPr="00380B40">
        <w:rPr>
          <w:lang w:val="en-GB"/>
        </w:rPr>
        <w:tab/>
        <w:t>An ITU</w:t>
      </w:r>
      <w:r w:rsidRPr="00380B40">
        <w:rPr>
          <w:lang w:val="en-GB"/>
        </w:rPr>
        <w:noBreakHyphen/>
        <w:t>T study group or a member of a study group may identify the need to make a specific reference (either normative or non-normative) to a document from another organization within a specific draft Recommendation. It is preferred that, rather than making reference to an entire document from an outside organization, reference be made to only the specific section(s) concerned.</w:t>
      </w:r>
    </w:p>
    <w:p w14:paraId="7B5866DE" w14:textId="77777777" w:rsidR="00310DD3" w:rsidRPr="00380B40" w:rsidRDefault="00310DD3" w:rsidP="00310DD3">
      <w:pPr>
        <w:rPr>
          <w:lang w:val="en-GB"/>
        </w:rPr>
      </w:pPr>
      <w:r w:rsidRPr="00380B40">
        <w:rPr>
          <w:lang w:val="en-GB"/>
        </w:rPr>
        <w:t>The requirements of clauses 6.2 to 6.5 do not apply for non-normative references, since such referenced documents are not considered to be an integral part of an ITU</w:t>
      </w:r>
      <w:r w:rsidRPr="00380B40">
        <w:rPr>
          <w:lang w:val="en-GB"/>
        </w:rPr>
        <w:noBreakHyphen/>
        <w:t>T Recommendation. They are documents that add to the reader's understanding but are not essential to the implementation of, or compliance with, the Recommendation.</w:t>
      </w:r>
    </w:p>
    <w:p w14:paraId="096F46F1" w14:textId="77777777" w:rsidR="00310DD3" w:rsidRPr="00380B40" w:rsidRDefault="00310DD3" w:rsidP="00310DD3">
      <w:pPr>
        <w:rPr>
          <w:lang w:val="en-GB"/>
        </w:rPr>
      </w:pPr>
      <w:r w:rsidRPr="00380B40">
        <w:rPr>
          <w:b/>
          <w:bCs/>
          <w:lang w:val="en-GB"/>
        </w:rPr>
        <w:t>6.2</w:t>
      </w:r>
      <w:r w:rsidRPr="00380B40">
        <w:rPr>
          <w:lang w:val="en-GB"/>
        </w:rPr>
        <w:tab/>
        <w:t>For normative references, a member submits a contribution, or the rapporteur or editor submits a TD, to the study group or working party providing information, as outlined in clauses 6.2.1 to 6.2.10.</w:t>
      </w:r>
    </w:p>
    <w:p w14:paraId="0D013B6F" w14:textId="77777777" w:rsidR="00795C3C" w:rsidRPr="00380B40" w:rsidRDefault="00795C3C" w:rsidP="00310DD3">
      <w:pPr>
        <w:rPr>
          <w:lang w:val="en-GB"/>
        </w:rPr>
      </w:pPr>
      <w:r w:rsidRPr="00380B40">
        <w:rPr>
          <w:lang w:val="en-GB"/>
        </w:rPr>
        <w:br w:type="page"/>
      </w:r>
    </w:p>
    <w:p w14:paraId="0351C76D" w14:textId="77777777" w:rsidR="00310DD3" w:rsidRPr="00380B40" w:rsidRDefault="00310DD3" w:rsidP="00310DD3">
      <w:pPr>
        <w:rPr>
          <w:lang w:val="en-GB"/>
        </w:rPr>
      </w:pPr>
      <w:r w:rsidRPr="00380B40">
        <w:rPr>
          <w:lang w:val="en-GB"/>
        </w:rPr>
        <w:t>The study group or working party evaluates this information and decides whether to make the reference. The format for documenting the study group or working party decision is given in Annex A.</w:t>
      </w:r>
    </w:p>
    <w:p w14:paraId="735C599E" w14:textId="3F62AEAB" w:rsidR="00310DD3" w:rsidRPr="00380B40" w:rsidRDefault="00310DD3" w:rsidP="00310DD3">
      <w:pPr>
        <w:rPr>
          <w:lang w:val="en-GB"/>
        </w:rPr>
      </w:pPr>
      <w:r w:rsidRPr="00380B40">
        <w:rPr>
          <w:lang w:val="en-GB"/>
        </w:rPr>
        <w:t>Specific criteria for the qualification of the considered organization are provided in Annex B. The list of those qualified organizations is on the Databases page of the ITU</w:t>
      </w:r>
      <w:r w:rsidRPr="00380B40">
        <w:rPr>
          <w:lang w:val="en-GB"/>
        </w:rPr>
        <w:noBreakHyphen/>
        <w:t>T website</w:t>
      </w:r>
      <w:r w:rsidR="00840F7A">
        <w:rPr>
          <w:rStyle w:val="FootnoteReference"/>
          <w:lang w:val="en-GB"/>
        </w:rPr>
        <w:footnoteReference w:id="64"/>
      </w:r>
      <w:r w:rsidRPr="00380B40">
        <w:rPr>
          <w:lang w:val="en-GB"/>
        </w:rPr>
        <w:t>.</w:t>
      </w:r>
    </w:p>
    <w:p w14:paraId="38E6E502" w14:textId="77777777" w:rsidR="00310DD3" w:rsidRPr="00380B40" w:rsidRDefault="00310DD3" w:rsidP="00310DD3">
      <w:pPr>
        <w:rPr>
          <w:lang w:val="en-GB"/>
        </w:rPr>
      </w:pPr>
      <w:r w:rsidRPr="00380B40">
        <w:rPr>
          <w:b/>
          <w:bCs/>
          <w:lang w:val="en-GB"/>
        </w:rPr>
        <w:t>6.2.1</w:t>
      </w:r>
      <w:r w:rsidRPr="00380B40">
        <w:rPr>
          <w:lang w:val="en-GB"/>
        </w:rPr>
        <w:tab/>
        <w:t>A clear description of the document considered for reference (type of document, title, number, version, date, etc.).</w:t>
      </w:r>
    </w:p>
    <w:p w14:paraId="0CEC49C8" w14:textId="77777777" w:rsidR="00310DD3" w:rsidRPr="00380B40" w:rsidRDefault="00310DD3" w:rsidP="00310DD3">
      <w:pPr>
        <w:rPr>
          <w:lang w:val="en-GB"/>
        </w:rPr>
      </w:pPr>
      <w:r w:rsidRPr="00380B40">
        <w:rPr>
          <w:b/>
          <w:bCs/>
          <w:lang w:val="en-GB"/>
        </w:rPr>
        <w:t>6.2.2</w:t>
      </w:r>
      <w:r w:rsidRPr="00380B40">
        <w:rPr>
          <w:lang w:val="en-GB"/>
        </w:rPr>
        <w:tab/>
        <w:t>Status of approval. Referencing a document that has not yet been approved by the referenced organization can lead to confusion; thus, normative referencing is usually limited to approved documents. If absolutely necessary, such a reference can be made where cooperative work requiring cross-references is being approved by ITU</w:t>
      </w:r>
      <w:r w:rsidRPr="00380B40">
        <w:rPr>
          <w:lang w:val="en-GB"/>
        </w:rPr>
        <w:noBreakHyphen/>
        <w:t>T and another organization in approximately the same time-frame.</w:t>
      </w:r>
    </w:p>
    <w:p w14:paraId="5FD73F24" w14:textId="77777777" w:rsidR="00310DD3" w:rsidRPr="00380B40" w:rsidRDefault="00310DD3" w:rsidP="00310DD3">
      <w:pPr>
        <w:rPr>
          <w:lang w:val="en-GB"/>
        </w:rPr>
      </w:pPr>
      <w:r w:rsidRPr="00380B40">
        <w:rPr>
          <w:b/>
          <w:bCs/>
          <w:lang w:val="en-GB"/>
        </w:rPr>
        <w:t>6.2.3</w:t>
      </w:r>
      <w:r w:rsidRPr="00380B40">
        <w:rPr>
          <w:lang w:val="en-GB"/>
        </w:rPr>
        <w:tab/>
        <w:t>Justification for the specific reference.</w:t>
      </w:r>
    </w:p>
    <w:p w14:paraId="5F9E3ED6" w14:textId="77777777" w:rsidR="00310DD3" w:rsidRPr="00380B40" w:rsidRDefault="00310DD3" w:rsidP="00310DD3">
      <w:pPr>
        <w:rPr>
          <w:szCs w:val="24"/>
          <w:lang w:val="en-GB"/>
        </w:rPr>
      </w:pPr>
      <w:r w:rsidRPr="00380B40">
        <w:rPr>
          <w:b/>
          <w:bCs/>
          <w:szCs w:val="24"/>
          <w:lang w:val="en-GB"/>
        </w:rPr>
        <w:t>6.2.4</w:t>
      </w:r>
      <w:r w:rsidRPr="00380B40">
        <w:rPr>
          <w:szCs w:val="24"/>
          <w:lang w:val="en-GB"/>
        </w:rPr>
        <w:tab/>
        <w:t>Current information about intellectual property rights</w:t>
      </w:r>
      <w:r w:rsidR="00FD162E" w:rsidRPr="00380B40">
        <w:rPr>
          <w:rStyle w:val="FootnoteReference"/>
          <w:szCs w:val="24"/>
          <w:lang w:val="en-GB"/>
        </w:rPr>
        <w:footnoteReference w:id="65"/>
      </w:r>
      <w:r w:rsidRPr="00380B40">
        <w:rPr>
          <w:szCs w:val="24"/>
          <w:lang w:val="en-GB"/>
        </w:rPr>
        <w:t xml:space="preserve"> (patents, copyrights for software, marks) issues, if any, related and specific to the proposed normative reference. Relevant documents should be attached.</w:t>
      </w:r>
    </w:p>
    <w:p w14:paraId="54DD941F" w14:textId="77777777" w:rsidR="00310DD3" w:rsidRPr="00380B40" w:rsidRDefault="00310DD3" w:rsidP="00310DD3">
      <w:pPr>
        <w:rPr>
          <w:lang w:val="en-GB"/>
        </w:rPr>
      </w:pPr>
      <w:r w:rsidRPr="00380B40">
        <w:rPr>
          <w:b/>
          <w:bCs/>
          <w:lang w:val="en-GB"/>
        </w:rPr>
        <w:t>6.2.5</w:t>
      </w:r>
      <w:r w:rsidRPr="00380B40">
        <w:rPr>
          <w:lang w:val="en-GB"/>
        </w:rPr>
        <w:tab/>
        <w:t>Other information that might be useful in describing the "quality" of the document (e.g., whether products have been implemented using it, whether conformance requirements are clear, whether the specification is readily and widely available).</w:t>
      </w:r>
    </w:p>
    <w:p w14:paraId="5388572E" w14:textId="77777777" w:rsidR="00310DD3" w:rsidRPr="00380B40" w:rsidRDefault="00310DD3" w:rsidP="0012578F">
      <w:pPr>
        <w:rPr>
          <w:lang w:val="en-GB"/>
        </w:rPr>
      </w:pPr>
      <w:r w:rsidRPr="00380B40">
        <w:rPr>
          <w:b/>
          <w:bCs/>
          <w:lang w:val="en-GB"/>
        </w:rPr>
        <w:t>6.2.6</w:t>
      </w:r>
      <w:r w:rsidRPr="00380B40">
        <w:rPr>
          <w:lang w:val="en-GB"/>
        </w:rPr>
        <w:tab/>
        <w:t>The degree of stability or maturity of the document (e.g., length of time it has existed).</w:t>
      </w:r>
    </w:p>
    <w:p w14:paraId="30856B76" w14:textId="77777777" w:rsidR="00310DD3" w:rsidRPr="00380B40" w:rsidRDefault="00310DD3" w:rsidP="00310DD3">
      <w:pPr>
        <w:rPr>
          <w:lang w:val="en-GB"/>
        </w:rPr>
      </w:pPr>
      <w:r w:rsidRPr="00380B40">
        <w:rPr>
          <w:b/>
          <w:bCs/>
          <w:lang w:val="en-GB"/>
        </w:rPr>
        <w:t>6.2.7</w:t>
      </w:r>
      <w:r w:rsidRPr="00380B40">
        <w:rPr>
          <w:lang w:val="en-GB"/>
        </w:rPr>
        <w:tab/>
        <w:t>Relationship, if relevant, with other existing or emerging documents in ITU-T or in other standards development organizations.</w:t>
      </w:r>
    </w:p>
    <w:p w14:paraId="097848FD" w14:textId="77777777" w:rsidR="00310DD3" w:rsidRPr="00380B40" w:rsidRDefault="00310DD3" w:rsidP="00310DD3">
      <w:pPr>
        <w:rPr>
          <w:lang w:val="en-GB"/>
        </w:rPr>
      </w:pPr>
      <w:r w:rsidRPr="00380B40">
        <w:rPr>
          <w:b/>
          <w:bCs/>
          <w:lang w:val="en-GB"/>
        </w:rPr>
        <w:t>6.2.8</w:t>
      </w:r>
      <w:r w:rsidRPr="00380B40">
        <w:rPr>
          <w:lang w:val="en-GB"/>
        </w:rPr>
        <w:tab/>
        <w:t>When a document is to be referenced in an ITU</w:t>
      </w:r>
      <w:r w:rsidRPr="00380B40">
        <w:rPr>
          <w:lang w:val="en-GB"/>
        </w:rPr>
        <w:noBreakHyphen/>
        <w:t>T Recommendation, all explicit references within the referenced document should also be listed.</w:t>
      </w:r>
    </w:p>
    <w:p w14:paraId="6694D173" w14:textId="77777777" w:rsidR="00310DD3" w:rsidRPr="00380B40" w:rsidRDefault="00310DD3" w:rsidP="00310DD3">
      <w:pPr>
        <w:rPr>
          <w:lang w:val="en-GB"/>
        </w:rPr>
      </w:pPr>
      <w:r w:rsidRPr="00380B40">
        <w:rPr>
          <w:b/>
          <w:bCs/>
          <w:lang w:val="en-GB"/>
        </w:rPr>
        <w:t>6.2.9</w:t>
      </w:r>
      <w:r w:rsidRPr="00380B40">
        <w:rPr>
          <w:lang w:val="en-GB"/>
        </w:rPr>
        <w:tab/>
        <w:t>Qualification of referenced organization (per clause 7). This need only be done the first time a document from the referenced organization is being considered for referencing and only if such qualification information has not been documented already.</w:t>
      </w:r>
    </w:p>
    <w:p w14:paraId="763403D0" w14:textId="77777777" w:rsidR="00310DD3" w:rsidRPr="00380B40" w:rsidRDefault="00310DD3" w:rsidP="00310DD3">
      <w:pPr>
        <w:rPr>
          <w:lang w:val="en-GB"/>
        </w:rPr>
      </w:pPr>
      <w:r w:rsidRPr="00380B40">
        <w:rPr>
          <w:b/>
          <w:bCs/>
          <w:lang w:val="en-GB"/>
        </w:rPr>
        <w:t>6.2.10</w:t>
      </w:r>
      <w:r w:rsidRPr="00380B40">
        <w:rPr>
          <w:lang w:val="en-GB"/>
        </w:rPr>
        <w:tab/>
        <w:t>A full copy of the existing document. No reformatting is necessary. The objective is to have referenced documents available via the web at no cost, so that the study group or working party may proceed with its evaluation. Accordingly, if a document to be referenced is available in this manner, it is sufficient for the contributing member to provide its exact location on the web. On the other hand, if the document is not available in this manner, a full copy must be provided (in electronic format if permissible by the referenced organization, otherwise in paper format).</w:t>
      </w:r>
    </w:p>
    <w:p w14:paraId="44833700" w14:textId="77777777" w:rsidR="00795C3C" w:rsidRPr="00380B40" w:rsidRDefault="00795C3C" w:rsidP="00310DD3">
      <w:pPr>
        <w:rPr>
          <w:b/>
          <w:bCs/>
          <w:lang w:val="en-GB"/>
        </w:rPr>
      </w:pPr>
      <w:r w:rsidRPr="00380B40">
        <w:rPr>
          <w:b/>
          <w:bCs/>
          <w:lang w:val="en-GB"/>
        </w:rPr>
        <w:br w:type="page"/>
      </w:r>
    </w:p>
    <w:p w14:paraId="78E1DF53" w14:textId="77777777" w:rsidR="00310DD3" w:rsidRPr="00380B40" w:rsidRDefault="00310DD3" w:rsidP="00310DD3">
      <w:pPr>
        <w:rPr>
          <w:lang w:val="en-GB"/>
        </w:rPr>
      </w:pPr>
      <w:r w:rsidRPr="00380B40">
        <w:rPr>
          <w:b/>
          <w:bCs/>
          <w:lang w:val="en-GB"/>
        </w:rPr>
        <w:t>6.3</w:t>
      </w:r>
      <w:r w:rsidRPr="00380B40">
        <w:rPr>
          <w:lang w:val="en-GB"/>
        </w:rPr>
        <w:tab/>
        <w:t>For normative references only, the study group or working party evaluates the above information and comes to its conclusions based on the usual consensus process. The decision of the study group or working party shall be documented using the format in Annex A. This requirement must be completed, at the latest, one day before the time the Recommendation is proposed for determination under the traditional approval process (TAP) or consent under the alternative approval process (AAP).</w:t>
      </w:r>
    </w:p>
    <w:p w14:paraId="0C417BAD" w14:textId="77777777" w:rsidR="00310DD3" w:rsidRPr="00380B40" w:rsidRDefault="00310DD3" w:rsidP="00310DD3">
      <w:pPr>
        <w:rPr>
          <w:lang w:val="en-GB"/>
        </w:rPr>
      </w:pPr>
      <w:r w:rsidRPr="00380B40">
        <w:rPr>
          <w:lang w:val="en-GB"/>
        </w:rPr>
        <w:t>If there is consensus, the study group or working party report may simply note that the procedures of Recommendation ITU</w:t>
      </w:r>
      <w:r w:rsidRPr="00380B40">
        <w:rPr>
          <w:lang w:val="en-GB"/>
        </w:rPr>
        <w:noBreakHyphen/>
        <w:t>T A.5 have been satisfied and provide a pointer to the document where the full details reside.</w:t>
      </w:r>
    </w:p>
    <w:p w14:paraId="47324D86" w14:textId="77777777" w:rsidR="00310DD3" w:rsidRPr="00380B40" w:rsidRDefault="00310DD3" w:rsidP="00310DD3">
      <w:pPr>
        <w:rPr>
          <w:lang w:val="en-GB"/>
        </w:rPr>
      </w:pPr>
      <w:r w:rsidRPr="00380B40">
        <w:rPr>
          <w:b/>
          <w:bCs/>
          <w:lang w:val="en-GB"/>
        </w:rPr>
        <w:t>6.4</w:t>
      </w:r>
      <w:r w:rsidRPr="00380B40">
        <w:rPr>
          <w:bCs/>
          <w:lang w:val="en-GB"/>
        </w:rPr>
        <w:tab/>
        <w:t>If a new normative reference</w:t>
      </w:r>
      <w:r w:rsidRPr="00380B40">
        <w:rPr>
          <w:lang w:val="en-GB"/>
        </w:rPr>
        <w:t xml:space="preserve"> is added as the result of the resolution of comments submitted during an AAP last call, the information outlined in clauses 6.2.1 to 6.2.10 shall be provided by the rapporteur or editor and published as a TD before the draft Recommendation goes for additional review. The TD shall be mentioned in the information provided for the additional review.</w:t>
      </w:r>
    </w:p>
    <w:p w14:paraId="6FD4F7ED" w14:textId="77777777" w:rsidR="00310DD3" w:rsidRPr="00380B40" w:rsidRDefault="00310DD3" w:rsidP="00310DD3">
      <w:pPr>
        <w:pStyle w:val="Note"/>
        <w:rPr>
          <w:lang w:val="en-GB"/>
        </w:rPr>
      </w:pPr>
      <w:r w:rsidRPr="00380B40">
        <w:rPr>
          <w:lang w:val="en-GB"/>
        </w:rPr>
        <w:t>NOTE – If the referenced organization is not already qualified according to the criteria in Annex B, an additional review is not initiated, and the draft Recommendation is submitted for approval to a study group meeting, where clause 7 is applied.</w:t>
      </w:r>
    </w:p>
    <w:p w14:paraId="58382EAA" w14:textId="77777777" w:rsidR="00310DD3" w:rsidRPr="00380B40" w:rsidRDefault="00310DD3" w:rsidP="00310DD3">
      <w:pPr>
        <w:rPr>
          <w:bCs/>
          <w:lang w:val="en-GB"/>
        </w:rPr>
      </w:pPr>
      <w:r w:rsidRPr="00380B40">
        <w:rPr>
          <w:b/>
          <w:bCs/>
          <w:lang w:val="en-GB"/>
        </w:rPr>
        <w:t>6.5</w:t>
      </w:r>
      <w:r w:rsidRPr="00380B40">
        <w:rPr>
          <w:bCs/>
          <w:lang w:val="en-GB"/>
        </w:rPr>
        <w:tab/>
        <w:t>If a new normative reference</w:t>
      </w:r>
      <w:r w:rsidRPr="00380B40">
        <w:rPr>
          <w:lang w:val="en-GB"/>
        </w:rPr>
        <w:t xml:space="preserve"> is added as the result of the resolution of comments submitted during an AAP additional review or during a TAP consultation, or if concerns are expressed during an AAP additional review about a new normative reference added as the result of the resolution of comments submitted during an AAP last call, clause 6.3 applies w</w:t>
      </w:r>
      <w:r w:rsidRPr="00380B40">
        <w:rPr>
          <w:bCs/>
          <w:lang w:val="en-GB"/>
        </w:rPr>
        <w:t xml:space="preserve">hen the </w:t>
      </w:r>
      <w:r w:rsidRPr="00380B40">
        <w:rPr>
          <w:lang w:val="en-GB"/>
        </w:rPr>
        <w:t>draft Recommendation is submitted for approval to a study group meeting.</w:t>
      </w:r>
    </w:p>
    <w:p w14:paraId="7E631B6D" w14:textId="77777777" w:rsidR="00310DD3" w:rsidRPr="00380B40" w:rsidRDefault="00310DD3" w:rsidP="00310DD3">
      <w:pPr>
        <w:keepNext/>
        <w:rPr>
          <w:lang w:val="en-GB"/>
        </w:rPr>
      </w:pPr>
      <w:r w:rsidRPr="00380B40">
        <w:rPr>
          <w:b/>
          <w:bCs/>
          <w:lang w:val="en-GB"/>
        </w:rPr>
        <w:t>6.6</w:t>
      </w:r>
      <w:r w:rsidRPr="00380B40">
        <w:rPr>
          <w:b/>
          <w:bCs/>
          <w:lang w:val="en-GB"/>
        </w:rPr>
        <w:tab/>
      </w:r>
      <w:r w:rsidRPr="00380B40">
        <w:rPr>
          <w:lang w:val="en-GB"/>
        </w:rPr>
        <w:t>If the study group or working party decides to make the normative reference, it should be introduced with the standard text provided in clause 2 of the "Author's guide for drafting ITU</w:t>
      </w:r>
      <w:r w:rsidRPr="00380B40">
        <w:rPr>
          <w:lang w:val="en-GB"/>
        </w:rPr>
        <w:noBreakHyphen/>
        <w:t>T Recommendations"</w:t>
      </w:r>
      <w:r w:rsidR="00FD162E" w:rsidRPr="00380B40">
        <w:rPr>
          <w:rStyle w:val="FootnoteReference"/>
          <w:lang w:val="en-GB"/>
        </w:rPr>
        <w:footnoteReference w:id="66"/>
      </w:r>
      <w:r w:rsidRPr="00380B40">
        <w:rPr>
          <w:lang w:val="en-GB"/>
        </w:rPr>
        <w:t>.</w:t>
      </w:r>
    </w:p>
    <w:p w14:paraId="3B20257A" w14:textId="77777777" w:rsidR="00310DD3" w:rsidRPr="00380B40" w:rsidRDefault="00310DD3" w:rsidP="00310DD3">
      <w:pPr>
        <w:pStyle w:val="Note"/>
        <w:rPr>
          <w:lang w:val="en-GB"/>
        </w:rPr>
      </w:pPr>
      <w:r w:rsidRPr="00380B40">
        <w:rPr>
          <w:lang w:val="en-GB"/>
        </w:rPr>
        <w:t>NOTE – In the case of texts produced jointly by ITU</w:t>
      </w:r>
      <w:r w:rsidRPr="00380B40">
        <w:rPr>
          <w:lang w:val="en-GB"/>
        </w:rPr>
        <w:noBreakHyphen/>
        <w:t xml:space="preserve">T and ISO/IEC JTC 1, it is recognized that clause 6.6 of </w:t>
      </w:r>
      <w:r w:rsidRPr="00380B40">
        <w:rPr>
          <w:szCs w:val="22"/>
          <w:lang w:val="en-GB"/>
        </w:rPr>
        <w:t xml:space="preserve">the </w:t>
      </w:r>
      <w:r w:rsidRPr="00380B40">
        <w:rPr>
          <w:lang w:val="en-GB"/>
        </w:rPr>
        <w:t>"Rules for presentation of ITU-T | ISO/IEC common texts"</w:t>
      </w:r>
      <w:r w:rsidR="00FD162E" w:rsidRPr="00380B40">
        <w:rPr>
          <w:rStyle w:val="FootnoteReference"/>
          <w:lang w:val="en-GB"/>
        </w:rPr>
        <w:footnoteReference w:id="67"/>
      </w:r>
      <w:r w:rsidRPr="00380B40">
        <w:rPr>
          <w:szCs w:val="22"/>
          <w:lang w:val="en-GB"/>
        </w:rPr>
        <w:t xml:space="preserve"> applies</w:t>
      </w:r>
      <w:r w:rsidRPr="00380B40">
        <w:rPr>
          <w:lang w:val="en-GB"/>
        </w:rPr>
        <w:t>.</w:t>
      </w:r>
    </w:p>
    <w:p w14:paraId="5B4A7CFB" w14:textId="77777777" w:rsidR="00310DD3" w:rsidRPr="00380B40" w:rsidRDefault="00310DD3" w:rsidP="0012578F">
      <w:pPr>
        <w:pStyle w:val="Heading1"/>
        <w:keepNext w:val="0"/>
        <w:keepLines w:val="0"/>
        <w:rPr>
          <w:lang w:val="en-GB"/>
        </w:rPr>
      </w:pPr>
      <w:bookmarkStart w:id="883" w:name="_Toc6805601"/>
      <w:bookmarkStart w:id="884" w:name="_Toc357068548"/>
      <w:bookmarkStart w:id="885" w:name="_Toc443485981"/>
      <w:bookmarkStart w:id="886" w:name="_Toc444009751"/>
      <w:bookmarkStart w:id="887" w:name="_Toc444676607"/>
      <w:bookmarkStart w:id="888" w:name="_Toc444676905"/>
      <w:bookmarkStart w:id="889" w:name="_Toc21336569"/>
      <w:bookmarkStart w:id="890" w:name="_Toc23161971"/>
      <w:bookmarkStart w:id="891" w:name="_Toc99029035"/>
      <w:bookmarkStart w:id="892" w:name="_Toc111636884"/>
      <w:r w:rsidRPr="00380B40">
        <w:rPr>
          <w:lang w:val="en-GB"/>
        </w:rPr>
        <w:t>7</w:t>
      </w:r>
      <w:r w:rsidRPr="00380B40">
        <w:rPr>
          <w:lang w:val="en-GB"/>
        </w:rPr>
        <w:tab/>
        <w:t>Qualification of referenced organization</w:t>
      </w:r>
      <w:bookmarkEnd w:id="883"/>
      <w:r w:rsidRPr="00380B40">
        <w:rPr>
          <w:lang w:val="en-GB"/>
        </w:rPr>
        <w:t>s</w:t>
      </w:r>
      <w:bookmarkEnd w:id="884"/>
      <w:bookmarkEnd w:id="885"/>
      <w:bookmarkEnd w:id="886"/>
      <w:bookmarkEnd w:id="887"/>
      <w:bookmarkEnd w:id="888"/>
      <w:bookmarkEnd w:id="889"/>
      <w:bookmarkEnd w:id="890"/>
      <w:bookmarkEnd w:id="891"/>
      <w:bookmarkEnd w:id="892"/>
    </w:p>
    <w:p w14:paraId="53A983D9" w14:textId="77777777" w:rsidR="00310DD3" w:rsidRPr="00380B40" w:rsidRDefault="00310DD3" w:rsidP="00310DD3">
      <w:pPr>
        <w:rPr>
          <w:lang w:val="en-GB"/>
        </w:rPr>
      </w:pPr>
      <w:r w:rsidRPr="00380B40">
        <w:rPr>
          <w:b/>
          <w:lang w:val="en-GB"/>
        </w:rPr>
        <w:t>7.1</w:t>
      </w:r>
      <w:r w:rsidRPr="00380B40">
        <w:rPr>
          <w:lang w:val="en-GB"/>
        </w:rPr>
        <w:tab/>
        <w:t>To ensure the continued quality of the ITU</w:t>
      </w:r>
      <w:r w:rsidRPr="00380B40">
        <w:rPr>
          <w:lang w:val="en-GB"/>
        </w:rPr>
        <w:noBreakHyphen/>
        <w:t>T Recommendations, it is necessary to evaluate the document being proposed for normative reference, and it is also necessary for the study group or working party to consider the referenced organization according to the criteria set out in clauses 7.1.1, 7.1.2 and 7.1.3.</w:t>
      </w:r>
    </w:p>
    <w:p w14:paraId="2933ED6E" w14:textId="77777777" w:rsidR="00795C3C" w:rsidRPr="00380B40" w:rsidRDefault="00795C3C" w:rsidP="00310DD3">
      <w:pPr>
        <w:rPr>
          <w:b/>
          <w:bCs/>
          <w:lang w:val="en-GB"/>
        </w:rPr>
      </w:pPr>
      <w:r w:rsidRPr="00380B40">
        <w:rPr>
          <w:b/>
          <w:bCs/>
          <w:lang w:val="en-GB"/>
        </w:rPr>
        <w:br w:type="page"/>
      </w:r>
    </w:p>
    <w:p w14:paraId="48286762" w14:textId="77777777" w:rsidR="00310DD3" w:rsidRPr="00380B40" w:rsidRDefault="00310DD3" w:rsidP="00310DD3">
      <w:pPr>
        <w:rPr>
          <w:lang w:val="en-GB"/>
        </w:rPr>
      </w:pPr>
      <w:r w:rsidRPr="00380B40">
        <w:rPr>
          <w:b/>
          <w:bCs/>
          <w:lang w:val="en-GB"/>
        </w:rPr>
        <w:t>7.1.</w:t>
      </w:r>
      <w:r w:rsidRPr="00380B40">
        <w:rPr>
          <w:b/>
          <w:lang w:val="en-GB"/>
        </w:rPr>
        <w:t>1</w:t>
      </w:r>
      <w:r w:rsidRPr="00380B40">
        <w:rPr>
          <w:lang w:val="en-GB"/>
        </w:rPr>
        <w:tab/>
        <w:t>Qualification of the referenced organization by a study group or working party according to Annex B, based on an explicit assessment of the intellectual property rights (IPR) policies by the ITU secretariat, shall be conducted before considering a normative reference from that organization. If the referenced organization has already been qualified according to the criteria in Annex B (or previously to Recommendation ITU</w:t>
      </w:r>
      <w:r w:rsidRPr="00380B40">
        <w:rPr>
          <w:lang w:val="en-GB"/>
        </w:rPr>
        <w:noBreakHyphen/>
        <w:t>T A.4 or Recommendation ITU-T A.6), the evaluation may not need to be repeated, and only a note of the result is required.</w:t>
      </w:r>
    </w:p>
    <w:p w14:paraId="5112ECF2" w14:textId="77777777" w:rsidR="00310DD3" w:rsidRPr="00380B40" w:rsidRDefault="00310DD3" w:rsidP="00310DD3">
      <w:pPr>
        <w:rPr>
          <w:lang w:val="en-GB"/>
        </w:rPr>
      </w:pPr>
      <w:r w:rsidRPr="00380B40">
        <w:rPr>
          <w:b/>
          <w:bCs/>
          <w:lang w:val="en-GB"/>
        </w:rPr>
        <w:t>7.1.2</w:t>
      </w:r>
      <w:r w:rsidRPr="00380B40">
        <w:rPr>
          <w:lang w:val="en-GB"/>
        </w:rPr>
        <w:tab/>
        <w:t>In addition, the referenced organization should have a process by which its output documents are published and regularly maintained (i.e., reaffirmed, revised, withdrawn, etc.).</w:t>
      </w:r>
    </w:p>
    <w:p w14:paraId="5E18F1A7" w14:textId="77777777" w:rsidR="00310DD3" w:rsidRPr="00380B40" w:rsidRDefault="00310DD3" w:rsidP="00310DD3">
      <w:pPr>
        <w:rPr>
          <w:lang w:val="en-GB"/>
        </w:rPr>
      </w:pPr>
      <w:r w:rsidRPr="00380B40">
        <w:rPr>
          <w:b/>
          <w:bCs/>
          <w:lang w:val="en-GB"/>
        </w:rPr>
        <w:t>7.1.3</w:t>
      </w:r>
      <w:r w:rsidRPr="00380B40">
        <w:rPr>
          <w:lang w:val="en-GB"/>
        </w:rPr>
        <w:tab/>
        <w:t>The referenced organization should also have a document change control process, including a clear, unambiguous document numbering scheme. In particular, a feature to look for is that updated versions of a given document be distinguishable from the earlier versions.</w:t>
      </w:r>
    </w:p>
    <w:p w14:paraId="7DFB8987" w14:textId="77777777" w:rsidR="00310DD3" w:rsidRPr="00380B40" w:rsidRDefault="00310DD3" w:rsidP="00310DD3">
      <w:pPr>
        <w:rPr>
          <w:lang w:val="en-GB"/>
        </w:rPr>
      </w:pPr>
      <w:r w:rsidRPr="00380B40">
        <w:rPr>
          <w:b/>
          <w:lang w:val="en-GB"/>
        </w:rPr>
        <w:t>7.2</w:t>
      </w:r>
      <w:r w:rsidRPr="00380B40">
        <w:rPr>
          <w:lang w:val="en-GB"/>
        </w:rPr>
        <w:tab/>
        <w:t>Qualification of an organization according to the criteria in Annex B is reviewed on a regular basis by study groups that need to make normative references to documents of that organization. In particular, if the patent policy of that organization has changed, it is important to check that the new patent policy is consistent with the Common Patent Policy for ITU</w:t>
      </w:r>
      <w:r w:rsidRPr="00380B40">
        <w:rPr>
          <w:lang w:val="en-GB"/>
        </w:rPr>
        <w:noBreakHyphen/>
        <w:t>T/ITU</w:t>
      </w:r>
      <w:r w:rsidRPr="00380B40">
        <w:rPr>
          <w:lang w:val="en-GB"/>
        </w:rPr>
        <w:noBreakHyphen/>
        <w:t>R/ISO/IEC and the Guidelines for the Implementation of the Common Patent Policy for ITU</w:t>
      </w:r>
      <w:r w:rsidRPr="00380B40">
        <w:rPr>
          <w:lang w:val="en-GB"/>
        </w:rPr>
        <w:noBreakHyphen/>
        <w:t>T/ITU-R/ISO/IEC</w:t>
      </w:r>
      <w:r w:rsidR="00FD162E" w:rsidRPr="00380B40">
        <w:rPr>
          <w:rStyle w:val="FootnoteReference"/>
          <w:lang w:val="en-GB"/>
        </w:rPr>
        <w:footnoteReference w:id="68"/>
      </w:r>
      <w:r w:rsidRPr="00380B40">
        <w:rPr>
          <w:lang w:val="en-GB"/>
        </w:rPr>
        <w:t>.</w:t>
      </w:r>
    </w:p>
    <w:p w14:paraId="35D7F588" w14:textId="77777777" w:rsidR="00310DD3" w:rsidRPr="00380B40" w:rsidRDefault="00310DD3" w:rsidP="00310DD3">
      <w:pPr>
        <w:rPr>
          <w:lang w:val="en-GB"/>
        </w:rPr>
      </w:pPr>
      <w:r w:rsidRPr="00380B40">
        <w:rPr>
          <w:b/>
          <w:bCs/>
          <w:lang w:val="en-GB"/>
        </w:rPr>
        <w:t>7.3</w:t>
      </w:r>
      <w:r w:rsidRPr="00380B40">
        <w:rPr>
          <w:lang w:val="en-GB"/>
        </w:rPr>
        <w:tab/>
        <w:t xml:space="preserve">For the case of a proposed referenced document jointly owned by multiple organizations in a partnership project that is not a legal entity, the partnership project is considered to be qualified according to the criteria in Annex B if each organization is itself qualified according to the criteria in Annex B. A reference to the </w:t>
      </w:r>
      <w:r w:rsidRPr="00380B40">
        <w:rPr>
          <w:rFonts w:eastAsia="Batang"/>
          <w:lang w:val="en-GB"/>
        </w:rPr>
        <w:t>ITU</w:t>
      </w:r>
      <w:r w:rsidRPr="00380B40">
        <w:rPr>
          <w:rFonts w:eastAsia="Batang"/>
          <w:lang w:val="en-GB"/>
        </w:rPr>
        <w:noBreakHyphen/>
        <w:t>T</w:t>
      </w:r>
      <w:r w:rsidRPr="00380B40">
        <w:rPr>
          <w:lang w:val="en-GB"/>
        </w:rPr>
        <w:t xml:space="preserve"> A.5 justification shall be included in any Circular announcing a TAP consultation or any announcement for an AAP Last Call.</w:t>
      </w:r>
    </w:p>
    <w:p w14:paraId="38F3350E" w14:textId="77777777" w:rsidR="00C32CE0" w:rsidRPr="00380B4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5471AF9" w14:textId="77777777" w:rsidR="00C32CE0" w:rsidRPr="00380B4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3E2A7D5" w14:textId="77777777" w:rsidR="00C32CE0" w:rsidRPr="00380B4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94D8D5D" w14:textId="77777777" w:rsidR="00795C3C" w:rsidRPr="00380B40" w:rsidRDefault="00795C3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F3513B6" w14:textId="77777777" w:rsidR="00C32CE0" w:rsidRPr="00380B4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241E851" w14:textId="77777777" w:rsidR="00C32CE0" w:rsidRPr="00380B4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57A0B92" w14:textId="77777777" w:rsidR="00C32CE0" w:rsidRPr="00380B40" w:rsidRDefault="00C32CE0">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r w:rsidRPr="00380B40">
        <w:rPr>
          <w:lang w:val="en-GB"/>
        </w:rPr>
        <w:br w:type="page"/>
      </w:r>
    </w:p>
    <w:p w14:paraId="261AB6F6" w14:textId="77777777" w:rsidR="005F3BBF" w:rsidRPr="00380B40" w:rsidRDefault="00310DD3" w:rsidP="005F3BBF">
      <w:pPr>
        <w:pStyle w:val="AnnexNo"/>
        <w:rPr>
          <w:rFonts w:eastAsiaTheme="minorHAnsi"/>
          <w:lang w:eastAsia="ja-JP"/>
        </w:rPr>
      </w:pPr>
      <w:bookmarkStart w:id="893" w:name="_Toc111636885"/>
      <w:bookmarkStart w:id="894" w:name="_Toc21336570"/>
      <w:bookmarkStart w:id="895" w:name="_Toc23161972"/>
      <w:bookmarkStart w:id="896" w:name="_Toc99029036"/>
      <w:bookmarkEnd w:id="812"/>
      <w:bookmarkEnd w:id="813"/>
      <w:bookmarkEnd w:id="814"/>
      <w:bookmarkEnd w:id="815"/>
      <w:bookmarkEnd w:id="816"/>
      <w:r w:rsidRPr="00380B40">
        <w:rPr>
          <w:rFonts w:eastAsiaTheme="minorHAnsi"/>
          <w:lang w:eastAsia="ja-JP"/>
        </w:rPr>
        <w:t>Annex A</w:t>
      </w:r>
      <w:bookmarkEnd w:id="893"/>
      <w:r w:rsidRPr="00380B40">
        <w:rPr>
          <w:rFonts w:eastAsiaTheme="minorHAnsi"/>
          <w:lang w:eastAsia="ja-JP"/>
        </w:rPr>
        <w:t xml:space="preserve"> </w:t>
      </w:r>
    </w:p>
    <w:p w14:paraId="69E9BA74" w14:textId="77777777" w:rsidR="00310DD3" w:rsidRPr="00380B40" w:rsidRDefault="00310DD3" w:rsidP="005F3BBF">
      <w:pPr>
        <w:pStyle w:val="Annextitle"/>
        <w:rPr>
          <w:rFonts w:eastAsiaTheme="minorHAnsi"/>
        </w:rPr>
      </w:pPr>
      <w:r w:rsidRPr="00380B40">
        <w:rPr>
          <w:rFonts w:eastAsiaTheme="minorHAnsi"/>
        </w:rPr>
        <w:t>Format for documenting a study group or working party decision</w:t>
      </w:r>
      <w:bookmarkEnd w:id="894"/>
      <w:bookmarkEnd w:id="895"/>
      <w:bookmarkEnd w:id="896"/>
    </w:p>
    <w:p w14:paraId="46A2F218" w14:textId="77777777" w:rsidR="00310DD3" w:rsidRPr="00380B40" w:rsidRDefault="00310DD3" w:rsidP="00092298">
      <w:pPr>
        <w:pStyle w:val="Normalcenteraligned"/>
      </w:pPr>
      <w:r w:rsidRPr="00380B40">
        <w:t>(This annex forms an integral part of this Recommendation.)</w:t>
      </w:r>
    </w:p>
    <w:p w14:paraId="742E6984" w14:textId="77777777" w:rsidR="00310DD3" w:rsidRPr="00380B40" w:rsidRDefault="00310DD3" w:rsidP="00310DD3">
      <w:pPr>
        <w:pStyle w:val="Normalaftertitle"/>
        <w:rPr>
          <w:rFonts w:eastAsia="Batang"/>
          <w:lang w:val="en-GB"/>
        </w:rPr>
      </w:pPr>
      <w:r w:rsidRPr="00380B40">
        <w:rPr>
          <w:rFonts w:eastAsia="Batang"/>
          <w:lang w:val="en-GB"/>
        </w:rPr>
        <w:t>The decision of the study group or working party with respect to making the normative reference must be documented in the meeting report using the following format (called A.5 justification for a normative reference):</w:t>
      </w:r>
    </w:p>
    <w:p w14:paraId="3392F540" w14:textId="77777777" w:rsidR="00310DD3" w:rsidRPr="00380B40" w:rsidRDefault="00310DD3" w:rsidP="00310DD3">
      <w:pPr>
        <w:pStyle w:val="enumlev1"/>
        <w:rPr>
          <w:lang w:val="en-GB"/>
        </w:rPr>
      </w:pPr>
      <w:r w:rsidRPr="00380B40">
        <w:rPr>
          <w:lang w:val="en-GB"/>
        </w:rPr>
        <w:t>1)</w:t>
      </w:r>
      <w:r w:rsidRPr="00380B40">
        <w:rPr>
          <w:lang w:val="en-GB"/>
        </w:rPr>
        <w:tab/>
        <w:t>Clear description of the document:</w:t>
      </w:r>
    </w:p>
    <w:p w14:paraId="27D75B50" w14:textId="77777777" w:rsidR="00310DD3" w:rsidRPr="00380B40" w:rsidRDefault="00310DD3" w:rsidP="00310DD3">
      <w:pPr>
        <w:pStyle w:val="enumlev1"/>
        <w:rPr>
          <w:lang w:val="en-GB"/>
        </w:rPr>
      </w:pPr>
      <w:r w:rsidRPr="00380B40">
        <w:rPr>
          <w:lang w:val="en-GB"/>
        </w:rPr>
        <w:tab/>
        <w:t>(type of document, title, number, version, date, etc.).</w:t>
      </w:r>
    </w:p>
    <w:p w14:paraId="0BD6D559" w14:textId="77777777" w:rsidR="00310DD3" w:rsidRPr="00380B40" w:rsidRDefault="00310DD3" w:rsidP="00310DD3">
      <w:pPr>
        <w:pStyle w:val="enumlev1"/>
        <w:rPr>
          <w:lang w:val="en-GB"/>
        </w:rPr>
      </w:pPr>
      <w:r w:rsidRPr="00380B40">
        <w:rPr>
          <w:lang w:val="en-GB"/>
        </w:rPr>
        <w:t>2)</w:t>
      </w:r>
      <w:r w:rsidRPr="00380B40">
        <w:rPr>
          <w:lang w:val="en-GB"/>
        </w:rPr>
        <w:tab/>
        <w:t>Status of approval.</w:t>
      </w:r>
    </w:p>
    <w:p w14:paraId="4BC35D2C" w14:textId="77777777" w:rsidR="00310DD3" w:rsidRPr="00380B40" w:rsidRDefault="00310DD3" w:rsidP="00310DD3">
      <w:pPr>
        <w:pStyle w:val="Note"/>
        <w:rPr>
          <w:lang w:val="en-GB"/>
        </w:rPr>
      </w:pPr>
      <w:r w:rsidRPr="00380B40">
        <w:rPr>
          <w:lang w:val="en-GB"/>
        </w:rPr>
        <w:t>NOTE – Only approved documents should be considered.</w:t>
      </w:r>
    </w:p>
    <w:p w14:paraId="20DA3069" w14:textId="77777777" w:rsidR="00310DD3" w:rsidRPr="00380B40" w:rsidRDefault="00310DD3" w:rsidP="00310DD3">
      <w:pPr>
        <w:pStyle w:val="enumlev1"/>
        <w:rPr>
          <w:lang w:val="en-GB"/>
        </w:rPr>
      </w:pPr>
      <w:r w:rsidRPr="00380B40">
        <w:rPr>
          <w:lang w:val="en-GB"/>
        </w:rPr>
        <w:t>3)</w:t>
      </w:r>
      <w:r w:rsidRPr="00380B40">
        <w:rPr>
          <w:lang w:val="en-GB"/>
        </w:rPr>
        <w:tab/>
        <w:t>Justification for the specific reference.</w:t>
      </w:r>
    </w:p>
    <w:p w14:paraId="6D7FF44C" w14:textId="77777777" w:rsidR="00310DD3" w:rsidRPr="00380B40" w:rsidRDefault="00310DD3" w:rsidP="00310DD3">
      <w:pPr>
        <w:pStyle w:val="enumlev1"/>
        <w:rPr>
          <w:lang w:val="en-GB"/>
        </w:rPr>
      </w:pPr>
      <w:r w:rsidRPr="00380B40">
        <w:rPr>
          <w:lang w:val="en-GB"/>
        </w:rPr>
        <w:t>4)</w:t>
      </w:r>
      <w:r w:rsidRPr="00380B40">
        <w:rPr>
          <w:lang w:val="en-GB"/>
        </w:rPr>
        <w:tab/>
        <w:t>Current information about intellectual property rights (including patents, copyrights for software, marks) issues, if any, related to the proposed normative reference. Relevant documents should be attached.</w:t>
      </w:r>
    </w:p>
    <w:p w14:paraId="60CC04BD" w14:textId="77777777" w:rsidR="00310DD3" w:rsidRPr="00380B40" w:rsidRDefault="00310DD3" w:rsidP="00310DD3">
      <w:pPr>
        <w:pStyle w:val="enumlev1"/>
        <w:rPr>
          <w:lang w:val="en-GB"/>
        </w:rPr>
      </w:pPr>
      <w:r w:rsidRPr="00380B40">
        <w:rPr>
          <w:lang w:val="en-GB"/>
        </w:rPr>
        <w:t>5)</w:t>
      </w:r>
      <w:r w:rsidRPr="00380B40">
        <w:rPr>
          <w:lang w:val="en-GB"/>
        </w:rPr>
        <w:tab/>
        <w:t>Other useful information describing the "quality" of the document:</w:t>
      </w:r>
    </w:p>
    <w:p w14:paraId="0DDEADB1" w14:textId="77777777" w:rsidR="00310DD3" w:rsidRPr="00380B40" w:rsidRDefault="00310DD3" w:rsidP="00310DD3">
      <w:pPr>
        <w:pStyle w:val="enumlev1"/>
        <w:rPr>
          <w:lang w:val="en-GB"/>
        </w:rPr>
      </w:pPr>
      <w:r w:rsidRPr="00380B40">
        <w:rPr>
          <w:lang w:val="en-GB"/>
        </w:rPr>
        <w:tab/>
        <w:t>(e.g., length of time it has existed, whether products have been implemented using it, whether conformance requirements are clear, whether the specification is readily and widely available).</w:t>
      </w:r>
    </w:p>
    <w:p w14:paraId="32BA0969" w14:textId="77777777" w:rsidR="00310DD3" w:rsidRPr="00380B40" w:rsidRDefault="00310DD3" w:rsidP="00310DD3">
      <w:pPr>
        <w:pStyle w:val="enumlev1"/>
        <w:rPr>
          <w:lang w:val="en-GB"/>
        </w:rPr>
      </w:pPr>
      <w:r w:rsidRPr="00380B40">
        <w:rPr>
          <w:lang w:val="en-GB"/>
        </w:rPr>
        <w:t>6)</w:t>
      </w:r>
      <w:r w:rsidRPr="00380B40">
        <w:rPr>
          <w:lang w:val="en-GB"/>
        </w:rPr>
        <w:tab/>
        <w:t>The degree of stability or maturity of the document.</w:t>
      </w:r>
    </w:p>
    <w:p w14:paraId="2607DE22" w14:textId="77777777" w:rsidR="00310DD3" w:rsidRPr="00380B40" w:rsidRDefault="00310DD3" w:rsidP="00310DD3">
      <w:pPr>
        <w:pStyle w:val="enumlev1"/>
        <w:rPr>
          <w:lang w:val="en-GB"/>
        </w:rPr>
      </w:pPr>
      <w:r w:rsidRPr="00380B40">
        <w:rPr>
          <w:lang w:val="en-GB"/>
        </w:rPr>
        <w:t>7)</w:t>
      </w:r>
      <w:r w:rsidRPr="00380B40">
        <w:rPr>
          <w:lang w:val="en-GB"/>
        </w:rPr>
        <w:tab/>
        <w:t>Relationship, if relevant, with other existing or emerging documents in ITU-T or in other standards development organizations.</w:t>
      </w:r>
    </w:p>
    <w:p w14:paraId="16E181CA" w14:textId="77777777" w:rsidR="00310DD3" w:rsidRPr="00380B40" w:rsidRDefault="00310DD3" w:rsidP="00310DD3">
      <w:pPr>
        <w:pStyle w:val="enumlev1"/>
        <w:rPr>
          <w:lang w:val="en-GB"/>
        </w:rPr>
      </w:pPr>
      <w:r w:rsidRPr="00380B40">
        <w:rPr>
          <w:lang w:val="en-GB"/>
        </w:rPr>
        <w:t>8)</w:t>
      </w:r>
      <w:r w:rsidRPr="00380B40">
        <w:rPr>
          <w:lang w:val="en-GB"/>
        </w:rPr>
        <w:tab/>
        <w:t>When a document is referenced in an ITU</w:t>
      </w:r>
      <w:r w:rsidRPr="00380B40">
        <w:rPr>
          <w:lang w:val="en-GB"/>
        </w:rPr>
        <w:noBreakHyphen/>
        <w:t>T Recommendation, all normative references within that referenced document should also be listed.</w:t>
      </w:r>
    </w:p>
    <w:p w14:paraId="643CE824" w14:textId="77777777" w:rsidR="00310DD3" w:rsidRPr="00380B40" w:rsidRDefault="00310DD3" w:rsidP="00310DD3">
      <w:pPr>
        <w:pStyle w:val="Note"/>
        <w:rPr>
          <w:lang w:val="en-GB"/>
        </w:rPr>
      </w:pPr>
      <w:r w:rsidRPr="00380B40">
        <w:rPr>
          <w:lang w:val="en-GB"/>
        </w:rPr>
        <w:t>NOTE – A separate review is not required for all of these normative references. However, the referenced organization, if different from ISO or IEC, needs to be qualified under Annex B (and previously under Recommendation ITU-T A.4 or Recommendation ITU-T A.6). If the referenced</w:t>
      </w:r>
      <w:r w:rsidRPr="00380B40" w:rsidDel="00A37CB5">
        <w:rPr>
          <w:lang w:val="en-GB"/>
        </w:rPr>
        <w:t xml:space="preserve"> </w:t>
      </w:r>
      <w:r w:rsidRPr="00380B40">
        <w:rPr>
          <w:lang w:val="en-GB"/>
        </w:rPr>
        <w:t>organization for a normative reference is not qualified, a qualification under Annex B should be performed first. In addition, if the draft ITU-T Recommendation is planned for approval under the traditional approval process (TAP) found in [b</w:t>
      </w:r>
      <w:r w:rsidRPr="00380B40">
        <w:rPr>
          <w:lang w:val="en-GB"/>
        </w:rPr>
        <w:noBreakHyphen/>
        <w:t>WTSA Res. 1], all normative references in the referenced document should be reviewed.</w:t>
      </w:r>
    </w:p>
    <w:p w14:paraId="0FA28B0B" w14:textId="77777777" w:rsidR="00310DD3" w:rsidRPr="00380B40" w:rsidRDefault="00310DD3" w:rsidP="00310DD3">
      <w:pPr>
        <w:pStyle w:val="enumlev1"/>
        <w:rPr>
          <w:lang w:val="en-GB"/>
        </w:rPr>
      </w:pPr>
      <w:r w:rsidRPr="00380B40">
        <w:rPr>
          <w:lang w:val="en-GB"/>
        </w:rPr>
        <w:t>9)</w:t>
      </w:r>
      <w:r w:rsidRPr="00380B40">
        <w:rPr>
          <w:lang w:val="en-GB"/>
        </w:rPr>
        <w:tab/>
        <w:t>Qualification of referenced organization.</w:t>
      </w:r>
    </w:p>
    <w:p w14:paraId="69BCCFEE" w14:textId="77777777" w:rsidR="00310DD3" w:rsidRPr="00380B40" w:rsidRDefault="00310DD3" w:rsidP="00310DD3">
      <w:pPr>
        <w:pStyle w:val="Note"/>
        <w:rPr>
          <w:lang w:val="en-GB"/>
        </w:rPr>
      </w:pPr>
      <w:r w:rsidRPr="00380B40">
        <w:rPr>
          <w:lang w:val="en-GB"/>
        </w:rPr>
        <w:t>NOTE – This needs to be done only the first time that a document from the referenced organization is being considered for referencing, and only if such qualification information has not already been documented or if it has changed.</w:t>
      </w:r>
    </w:p>
    <w:p w14:paraId="0B81BA60" w14:textId="77777777" w:rsidR="00310DD3" w:rsidRPr="00380B40" w:rsidRDefault="00310DD3" w:rsidP="00310DD3">
      <w:pPr>
        <w:pStyle w:val="enumlev2"/>
        <w:tabs>
          <w:tab w:val="clear" w:pos="794"/>
          <w:tab w:val="clear" w:pos="1191"/>
          <w:tab w:val="clear" w:pos="1588"/>
        </w:tabs>
        <w:ind w:left="1418" w:hanging="624"/>
        <w:rPr>
          <w:lang w:val="en-GB"/>
        </w:rPr>
      </w:pPr>
      <w:r w:rsidRPr="00380B40">
        <w:rPr>
          <w:lang w:val="en-GB"/>
        </w:rPr>
        <w:t>9.1)</w:t>
      </w:r>
      <w:r w:rsidRPr="00380B40">
        <w:rPr>
          <w:lang w:val="en-GB"/>
        </w:rPr>
        <w:tab/>
        <w:t>Qualification under Annex B.</w:t>
      </w:r>
    </w:p>
    <w:p w14:paraId="0AD7B159" w14:textId="77777777" w:rsidR="00310DD3" w:rsidRPr="00380B40" w:rsidRDefault="00310DD3" w:rsidP="00310DD3">
      <w:pPr>
        <w:pStyle w:val="enumlev2"/>
        <w:tabs>
          <w:tab w:val="clear" w:pos="794"/>
          <w:tab w:val="clear" w:pos="1191"/>
          <w:tab w:val="clear" w:pos="1588"/>
        </w:tabs>
        <w:ind w:left="1418" w:hanging="624"/>
        <w:rPr>
          <w:lang w:val="en-GB"/>
        </w:rPr>
      </w:pPr>
      <w:r w:rsidRPr="00380B40">
        <w:rPr>
          <w:lang w:val="en-GB"/>
        </w:rPr>
        <w:t>9.2)</w:t>
      </w:r>
      <w:r w:rsidRPr="00380B40">
        <w:rPr>
          <w:lang w:val="en-GB"/>
        </w:rPr>
        <w:tab/>
        <w:t>Document publication and maintenance process.</w:t>
      </w:r>
    </w:p>
    <w:p w14:paraId="0FBB46DA" w14:textId="77777777" w:rsidR="00310DD3" w:rsidRPr="00380B40" w:rsidRDefault="00310DD3" w:rsidP="00310DD3">
      <w:pPr>
        <w:pStyle w:val="enumlev2"/>
        <w:tabs>
          <w:tab w:val="clear" w:pos="794"/>
          <w:tab w:val="clear" w:pos="1191"/>
          <w:tab w:val="clear" w:pos="1588"/>
        </w:tabs>
        <w:ind w:left="1418" w:hanging="624"/>
        <w:rPr>
          <w:lang w:val="en-GB"/>
        </w:rPr>
      </w:pPr>
      <w:r w:rsidRPr="00380B40">
        <w:rPr>
          <w:lang w:val="en-GB"/>
        </w:rPr>
        <w:t>9.3)</w:t>
      </w:r>
      <w:r w:rsidRPr="00380B40">
        <w:rPr>
          <w:lang w:val="en-GB"/>
        </w:rPr>
        <w:tab/>
        <w:t>Document change control process.</w:t>
      </w:r>
    </w:p>
    <w:p w14:paraId="1E99D06B" w14:textId="77777777" w:rsidR="00310DD3" w:rsidRPr="00380B40" w:rsidRDefault="00310DD3" w:rsidP="00310DD3">
      <w:pPr>
        <w:pStyle w:val="enumlev1"/>
        <w:rPr>
          <w:lang w:val="en-GB"/>
        </w:rPr>
      </w:pPr>
      <w:r w:rsidRPr="00380B40">
        <w:rPr>
          <w:lang w:val="en-GB"/>
        </w:rPr>
        <w:t>10)</w:t>
      </w:r>
      <w:r w:rsidRPr="00380B40">
        <w:rPr>
          <w:lang w:val="en-GB"/>
        </w:rPr>
        <w:tab/>
        <w:t>Location of a full copy of the document.</w:t>
      </w:r>
    </w:p>
    <w:p w14:paraId="0DDD6DB1" w14:textId="77777777" w:rsidR="00310DD3" w:rsidRPr="00380B40" w:rsidRDefault="00310DD3" w:rsidP="00310DD3">
      <w:pPr>
        <w:pStyle w:val="enumlev1"/>
        <w:rPr>
          <w:lang w:val="en-GB"/>
        </w:rPr>
      </w:pPr>
      <w:r w:rsidRPr="00380B40">
        <w:rPr>
          <w:lang w:val="en-GB"/>
        </w:rPr>
        <w:t>11)</w:t>
      </w:r>
      <w:r w:rsidRPr="00380B40">
        <w:rPr>
          <w:b/>
          <w:lang w:val="en-GB"/>
        </w:rPr>
        <w:tab/>
      </w:r>
      <w:r w:rsidRPr="00380B40">
        <w:rPr>
          <w:lang w:val="en-GB"/>
        </w:rPr>
        <w:t>Other (for any supplementary information).</w:t>
      </w:r>
    </w:p>
    <w:p w14:paraId="02C5EA75" w14:textId="77777777" w:rsidR="00310DD3" w:rsidRPr="00380B40" w:rsidRDefault="00310DD3" w:rsidP="00FD3C79">
      <w:pPr>
        <w:pStyle w:val="AnnexNoTitle1"/>
        <w:rPr>
          <w:rFonts w:eastAsiaTheme="minorHAnsi"/>
          <w:lang w:eastAsia="ja-JP"/>
        </w:rPr>
      </w:pPr>
      <w:bookmarkStart w:id="897" w:name="_Toc443485983"/>
      <w:bookmarkStart w:id="898" w:name="_Toc444009753"/>
      <w:bookmarkStart w:id="899" w:name="_Toc444676609"/>
      <w:bookmarkStart w:id="900" w:name="_Toc444676907"/>
      <w:bookmarkStart w:id="901" w:name="_Toc21336571"/>
      <w:bookmarkStart w:id="902" w:name="_Toc23161973"/>
      <w:bookmarkStart w:id="903" w:name="_Toc99029037"/>
      <w:r w:rsidRPr="00380B40">
        <w:rPr>
          <w:rFonts w:eastAsiaTheme="minorHAnsi"/>
          <w:lang w:eastAsia="ja-JP"/>
        </w:rPr>
        <w:br w:type="page"/>
      </w:r>
    </w:p>
    <w:p w14:paraId="7DC04518" w14:textId="77777777" w:rsidR="005F3BBF" w:rsidRPr="00380B40" w:rsidRDefault="00310DD3" w:rsidP="005F3BBF">
      <w:pPr>
        <w:pStyle w:val="AnnexNo"/>
        <w:rPr>
          <w:rFonts w:eastAsiaTheme="minorHAnsi"/>
          <w:lang w:eastAsia="ja-JP"/>
        </w:rPr>
      </w:pPr>
      <w:bookmarkStart w:id="904" w:name="_Toc111636886"/>
      <w:r w:rsidRPr="00380B40">
        <w:rPr>
          <w:rFonts w:eastAsiaTheme="minorHAnsi"/>
          <w:lang w:eastAsia="ja-JP"/>
        </w:rPr>
        <w:t>Annex B</w:t>
      </w:r>
      <w:bookmarkEnd w:id="904"/>
      <w:r w:rsidRPr="00380B40">
        <w:rPr>
          <w:rFonts w:eastAsiaTheme="minorHAnsi"/>
          <w:lang w:eastAsia="ja-JP"/>
        </w:rPr>
        <w:t xml:space="preserve"> </w:t>
      </w:r>
    </w:p>
    <w:p w14:paraId="5427AB92" w14:textId="77777777" w:rsidR="00310DD3" w:rsidRPr="00380B40" w:rsidRDefault="00310DD3" w:rsidP="00B25E47">
      <w:pPr>
        <w:pStyle w:val="Annextitle"/>
        <w:spacing w:before="0" w:after="0"/>
        <w:rPr>
          <w:rFonts w:eastAsiaTheme="minorHAnsi"/>
        </w:rPr>
      </w:pPr>
      <w:r w:rsidRPr="00380B40">
        <w:rPr>
          <w:rFonts w:eastAsiaTheme="minorHAnsi"/>
        </w:rPr>
        <w:t>Criteria for qualifying organizations</w:t>
      </w:r>
      <w:bookmarkEnd w:id="897"/>
      <w:bookmarkEnd w:id="898"/>
      <w:bookmarkEnd w:id="899"/>
      <w:bookmarkEnd w:id="900"/>
      <w:bookmarkEnd w:id="901"/>
      <w:bookmarkEnd w:id="902"/>
      <w:bookmarkEnd w:id="903"/>
    </w:p>
    <w:p w14:paraId="10EDE891" w14:textId="77777777" w:rsidR="00310DD3" w:rsidRPr="00380B40" w:rsidRDefault="00310DD3" w:rsidP="00B25E47">
      <w:pPr>
        <w:pStyle w:val="Normalcenteraligned"/>
        <w:spacing w:before="0"/>
      </w:pPr>
      <w:r w:rsidRPr="00380B40">
        <w:t>(This annex forms an integral part of this Recommendation.)</w:t>
      </w:r>
    </w:p>
    <w:p w14:paraId="11FFC511" w14:textId="77777777" w:rsidR="00310DD3" w:rsidRPr="00380B40" w:rsidRDefault="00310DD3" w:rsidP="00B25E47">
      <w:pPr>
        <w:pStyle w:val="Normalaftertitle"/>
        <w:spacing w:before="240"/>
        <w:rPr>
          <w:rFonts w:eastAsia="Batang"/>
          <w:lang w:val="en-GB"/>
        </w:rPr>
      </w:pPr>
      <w:r w:rsidRPr="00380B40">
        <w:rPr>
          <w:rFonts w:eastAsia="Batang"/>
          <w:lang w:val="en-GB"/>
        </w:rPr>
        <w:t>The decision of the study group or working party with respect to qualifying an organization must be documented in the meeting report using the following format (called A.5 qualification of an organization):</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4"/>
        <w:gridCol w:w="5925"/>
      </w:tblGrid>
      <w:tr w:rsidR="00310DD3" w:rsidRPr="00380B40" w14:paraId="7CF19AB5" w14:textId="77777777" w:rsidTr="00DE1739">
        <w:trPr>
          <w:tblHeader/>
          <w:jc w:val="center"/>
        </w:trPr>
        <w:tc>
          <w:tcPr>
            <w:tcW w:w="3714" w:type="dxa"/>
            <w:shd w:val="clear" w:color="auto" w:fill="auto"/>
            <w:hideMark/>
          </w:tcPr>
          <w:p w14:paraId="1C37CE1B" w14:textId="77777777" w:rsidR="00310DD3" w:rsidRPr="00380B40" w:rsidRDefault="00310DD3" w:rsidP="00427615">
            <w:pPr>
              <w:pStyle w:val="Tableheadwhitecentred"/>
            </w:pPr>
            <w:r w:rsidRPr="00380B40">
              <w:t>Organization attributes</w:t>
            </w:r>
          </w:p>
        </w:tc>
        <w:tc>
          <w:tcPr>
            <w:tcW w:w="5925" w:type="dxa"/>
            <w:shd w:val="clear" w:color="auto" w:fill="auto"/>
            <w:hideMark/>
          </w:tcPr>
          <w:p w14:paraId="23EAACBD" w14:textId="77777777" w:rsidR="00310DD3" w:rsidRPr="00380B40" w:rsidRDefault="00310DD3" w:rsidP="00427615">
            <w:pPr>
              <w:pStyle w:val="Tableheadwhitecentred"/>
            </w:pPr>
            <w:r w:rsidRPr="00380B40">
              <w:t>Desired characteristics</w:t>
            </w:r>
          </w:p>
        </w:tc>
      </w:tr>
      <w:tr w:rsidR="00310DD3" w:rsidRPr="004E0F36" w14:paraId="1535A089" w14:textId="77777777" w:rsidTr="00DE1739">
        <w:trPr>
          <w:jc w:val="center"/>
        </w:trPr>
        <w:tc>
          <w:tcPr>
            <w:tcW w:w="3714" w:type="dxa"/>
            <w:shd w:val="clear" w:color="auto" w:fill="auto"/>
            <w:hideMark/>
          </w:tcPr>
          <w:p w14:paraId="5BC91FF7" w14:textId="77777777" w:rsidR="00310DD3" w:rsidRPr="00380B40" w:rsidRDefault="00310DD3" w:rsidP="00E36F7A">
            <w:pPr>
              <w:pStyle w:val="Tabletextsmallbullet"/>
              <w:jc w:val="left"/>
            </w:pPr>
            <w:r w:rsidRPr="00380B40">
              <w:t>1)</w:t>
            </w:r>
            <w:r w:rsidRPr="00380B40">
              <w:tab/>
              <w:t>Objectives/relationship of work to ITU</w:t>
            </w:r>
            <w:r w:rsidRPr="00380B40">
              <w:noBreakHyphen/>
              <w:t>T work</w:t>
            </w:r>
          </w:p>
        </w:tc>
        <w:tc>
          <w:tcPr>
            <w:tcW w:w="5925" w:type="dxa"/>
            <w:shd w:val="clear" w:color="auto" w:fill="auto"/>
            <w:hideMark/>
          </w:tcPr>
          <w:p w14:paraId="4DDC3DA4" w14:textId="77777777" w:rsidR="00310DD3" w:rsidRPr="00380B40" w:rsidRDefault="00310DD3" w:rsidP="00E36F7A">
            <w:pPr>
              <w:pStyle w:val="Tabletextsmall"/>
              <w:jc w:val="left"/>
            </w:pPr>
            <w:r w:rsidRPr="00380B40">
              <w:t>Should refer to development, adoption, implementation and use of national, regional or international standards, or to the provision of input into international standards organizations, especially ITU</w:t>
            </w:r>
            <w:r w:rsidRPr="00380B40">
              <w:noBreakHyphen/>
              <w:t>T.</w:t>
            </w:r>
          </w:p>
        </w:tc>
      </w:tr>
      <w:tr w:rsidR="00310DD3" w:rsidRPr="00380B40" w14:paraId="22B2F6B2" w14:textId="77777777" w:rsidTr="00DE1739">
        <w:trPr>
          <w:jc w:val="center"/>
        </w:trPr>
        <w:tc>
          <w:tcPr>
            <w:tcW w:w="3714" w:type="dxa"/>
            <w:shd w:val="clear" w:color="auto" w:fill="auto"/>
            <w:hideMark/>
          </w:tcPr>
          <w:p w14:paraId="455C6715" w14:textId="77777777" w:rsidR="00310DD3" w:rsidRPr="00380B40" w:rsidRDefault="00310DD3" w:rsidP="00E36F7A">
            <w:pPr>
              <w:pStyle w:val="Tabletextsmallbullet"/>
              <w:jc w:val="left"/>
            </w:pPr>
            <w:r w:rsidRPr="00380B40">
              <w:t>2)</w:t>
            </w:r>
            <w:r w:rsidRPr="00380B40">
              <w:tab/>
              <w:t>Organization:</w:t>
            </w:r>
          </w:p>
          <w:p w14:paraId="04EB7D21" w14:textId="77777777" w:rsidR="00310DD3" w:rsidRPr="00380B40" w:rsidRDefault="00310DD3" w:rsidP="00E36F7A">
            <w:pPr>
              <w:pStyle w:val="Tabletextsmallbullet"/>
            </w:pPr>
            <w:r w:rsidRPr="00380B40">
              <w:tab/>
              <w:t>–</w:t>
            </w:r>
            <w:r w:rsidRPr="00380B40">
              <w:tab/>
              <w:t>legal status;</w:t>
            </w:r>
          </w:p>
          <w:p w14:paraId="592C0F10" w14:textId="77777777" w:rsidR="00310DD3" w:rsidRPr="00380B40" w:rsidRDefault="00310DD3" w:rsidP="00E36F7A">
            <w:pPr>
              <w:pStyle w:val="Tabletextsmallbullet"/>
            </w:pPr>
            <w:r w:rsidRPr="00380B40">
              <w:tab/>
              <w:t>–</w:t>
            </w:r>
            <w:r w:rsidRPr="00380B40">
              <w:tab/>
              <w:t>geographic scope;</w:t>
            </w:r>
          </w:p>
          <w:p w14:paraId="0A4ABBDF" w14:textId="77777777" w:rsidR="00310DD3" w:rsidRPr="00380B40" w:rsidRDefault="00310DD3" w:rsidP="00E36F7A">
            <w:pPr>
              <w:pStyle w:val="Tabletextsmallbullet"/>
            </w:pPr>
            <w:r w:rsidRPr="00380B40">
              <w:tab/>
              <w:t>–</w:t>
            </w:r>
            <w:r w:rsidRPr="00380B40">
              <w:tab/>
            </w:r>
            <w:r w:rsidRPr="00380B40">
              <w:rPr>
                <w:rFonts w:asciiTheme="majorBidi" w:hAnsiTheme="majorBidi" w:cstheme="majorBidi"/>
              </w:rPr>
              <w:t>accreditation;</w:t>
            </w:r>
          </w:p>
          <w:p w14:paraId="7016126E" w14:textId="77777777" w:rsidR="00310DD3" w:rsidRPr="00380B40" w:rsidRDefault="00310DD3" w:rsidP="00E36F7A">
            <w:pPr>
              <w:pStyle w:val="Tabletextsmallbullet"/>
            </w:pPr>
            <w:r w:rsidRPr="00380B40">
              <w:tab/>
              <w:t>–</w:t>
            </w:r>
            <w:r w:rsidRPr="00380B40">
              <w:tab/>
              <w:t>secretariat;</w:t>
            </w:r>
          </w:p>
          <w:p w14:paraId="19CDFD8D" w14:textId="77777777" w:rsidR="00310DD3" w:rsidRPr="00380B40" w:rsidRDefault="00310DD3" w:rsidP="00E36F7A">
            <w:pPr>
              <w:pStyle w:val="Tabletextsmallbullet"/>
            </w:pPr>
            <w:r w:rsidRPr="00380B40">
              <w:tab/>
              <w:t>–</w:t>
            </w:r>
            <w:r w:rsidRPr="00380B40">
              <w:tab/>
              <w:t>nominated representative.</w:t>
            </w:r>
          </w:p>
        </w:tc>
        <w:tc>
          <w:tcPr>
            <w:tcW w:w="5925" w:type="dxa"/>
            <w:shd w:val="clear" w:color="auto" w:fill="auto"/>
          </w:tcPr>
          <w:p w14:paraId="0E84B9CE" w14:textId="77777777" w:rsidR="00310DD3" w:rsidRPr="00380B40" w:rsidRDefault="00310DD3" w:rsidP="00E36F7A">
            <w:pPr>
              <w:pStyle w:val="Tabletext"/>
              <w:spacing w:line="220" w:lineRule="exact"/>
              <w:rPr>
                <w:lang w:val="en-GB"/>
              </w:rPr>
            </w:pPr>
          </w:p>
          <w:p w14:paraId="14D8D46D" w14:textId="77777777" w:rsidR="00310DD3" w:rsidRPr="00380B40" w:rsidRDefault="00310DD3" w:rsidP="00E36F7A">
            <w:pPr>
              <w:pStyle w:val="Tabletextsmallbullet"/>
              <w:jc w:val="left"/>
            </w:pPr>
            <w:r w:rsidRPr="00380B40">
              <w:t>–</w:t>
            </w:r>
            <w:r w:rsidRPr="00380B40">
              <w:tab/>
              <w:t>should indicate in which country/countries it has legal status;</w:t>
            </w:r>
          </w:p>
          <w:p w14:paraId="5D5A231A" w14:textId="77777777" w:rsidR="00310DD3" w:rsidRPr="00380B40" w:rsidRDefault="00310DD3" w:rsidP="00E36F7A">
            <w:pPr>
              <w:pStyle w:val="Tabletextsmallbullet"/>
              <w:jc w:val="left"/>
            </w:pPr>
            <w:r w:rsidRPr="00380B40">
              <w:t>–</w:t>
            </w:r>
            <w:r w:rsidRPr="00380B40">
              <w:tab/>
              <w:t>should indicate the scope of the standards of the organization;</w:t>
            </w:r>
          </w:p>
          <w:p w14:paraId="66017D8D" w14:textId="77777777" w:rsidR="00310DD3" w:rsidRPr="00380B40" w:rsidRDefault="00310DD3" w:rsidP="00E36F7A">
            <w:pPr>
              <w:pStyle w:val="Tabletextsmallbullet"/>
              <w:jc w:val="left"/>
            </w:pPr>
            <w:r w:rsidRPr="00380B40">
              <w:rPr>
                <w:rFonts w:asciiTheme="majorBidi" w:hAnsiTheme="majorBidi" w:cstheme="majorBidi"/>
              </w:rPr>
              <w:t>–</w:t>
            </w:r>
            <w:r w:rsidRPr="00380B40">
              <w:rPr>
                <w:rFonts w:asciiTheme="majorBidi" w:hAnsiTheme="majorBidi" w:cstheme="majorBidi"/>
              </w:rPr>
              <w:tab/>
              <w:t>should indicate the accrediting entity;</w:t>
            </w:r>
          </w:p>
          <w:p w14:paraId="623A73A5" w14:textId="77777777" w:rsidR="00310DD3" w:rsidRPr="00380B40" w:rsidRDefault="00310DD3" w:rsidP="00E36F7A">
            <w:pPr>
              <w:pStyle w:val="Tabletextsmallbullet"/>
              <w:jc w:val="left"/>
            </w:pPr>
            <w:r w:rsidRPr="00380B40">
              <w:t>–</w:t>
            </w:r>
            <w:r w:rsidRPr="00380B40">
              <w:tab/>
              <w:t>should identify the permanent secretariat;</w:t>
            </w:r>
          </w:p>
          <w:p w14:paraId="77737095" w14:textId="77777777" w:rsidR="00310DD3" w:rsidRPr="00380B40" w:rsidRDefault="00310DD3" w:rsidP="00E36F7A">
            <w:pPr>
              <w:pStyle w:val="Tabletextsmallbullet"/>
              <w:jc w:val="left"/>
            </w:pPr>
            <w:r w:rsidRPr="00380B40">
              <w:t>–</w:t>
            </w:r>
            <w:r w:rsidRPr="00380B40">
              <w:tab/>
              <w:t>should nominate a representative.</w:t>
            </w:r>
          </w:p>
        </w:tc>
      </w:tr>
      <w:tr w:rsidR="00310DD3" w:rsidRPr="004E0F36" w14:paraId="08F8AA19" w14:textId="77777777" w:rsidTr="00DE1739">
        <w:trPr>
          <w:jc w:val="center"/>
        </w:trPr>
        <w:tc>
          <w:tcPr>
            <w:tcW w:w="3714" w:type="dxa"/>
            <w:shd w:val="clear" w:color="auto" w:fill="auto"/>
            <w:hideMark/>
          </w:tcPr>
          <w:p w14:paraId="46AEDA2A" w14:textId="77777777" w:rsidR="00310DD3" w:rsidRPr="00380B40" w:rsidRDefault="00310DD3" w:rsidP="00E36F7A">
            <w:pPr>
              <w:pStyle w:val="Tabletextsmallbullet"/>
              <w:jc w:val="left"/>
            </w:pPr>
            <w:r w:rsidRPr="00380B40">
              <w:t>3)</w:t>
            </w:r>
            <w:r w:rsidRPr="00380B40">
              <w:tab/>
              <w:t>Membership/participation (openness)</w:t>
            </w:r>
          </w:p>
        </w:tc>
        <w:tc>
          <w:tcPr>
            <w:tcW w:w="5925" w:type="dxa"/>
            <w:shd w:val="clear" w:color="auto" w:fill="auto"/>
            <w:hideMark/>
          </w:tcPr>
          <w:p w14:paraId="3CF44C62" w14:textId="77777777" w:rsidR="00310DD3" w:rsidRPr="00380B40" w:rsidRDefault="00310DD3" w:rsidP="00E36F7A">
            <w:pPr>
              <w:pStyle w:val="Tabletextsmallbullet"/>
              <w:jc w:val="left"/>
            </w:pPr>
            <w:r w:rsidRPr="00380B40">
              <w:t>–</w:t>
            </w:r>
            <w:r w:rsidRPr="00380B40">
              <w:tab/>
              <w:t>should describe the membership/participation model;</w:t>
            </w:r>
          </w:p>
          <w:p w14:paraId="03231E40" w14:textId="77777777" w:rsidR="00310DD3" w:rsidRPr="00380B40" w:rsidRDefault="00310DD3" w:rsidP="00E36F7A">
            <w:pPr>
              <w:pStyle w:val="Tabletextsmallbullet"/>
              <w:jc w:val="left"/>
            </w:pPr>
            <w:r w:rsidRPr="00380B40">
              <w:t>–</w:t>
            </w:r>
            <w:r w:rsidRPr="00380B40">
              <w:tab/>
              <w:t>membership/participation criteria should not preclude any party with material interest, especially ITU Member States and Sector Members. If it has been identified that the criteria preclude or restrict any party with material interest to be a member of the other organization, this will be indicated;</w:t>
            </w:r>
          </w:p>
          <w:p w14:paraId="754C3E23" w14:textId="77777777" w:rsidR="00310DD3" w:rsidRPr="00380B40" w:rsidRDefault="00310DD3" w:rsidP="00E36F7A">
            <w:pPr>
              <w:pStyle w:val="Tabletextsmallbullet"/>
              <w:jc w:val="left"/>
            </w:pPr>
            <w:r w:rsidRPr="00380B40">
              <w:t>–</w:t>
            </w:r>
            <w:r w:rsidRPr="00380B40">
              <w:tab/>
              <w:t>membership/participation should comprise a significant representation of telecommunication interests; otherwise, an explanation will be provided.</w:t>
            </w:r>
          </w:p>
        </w:tc>
      </w:tr>
      <w:tr w:rsidR="00310DD3" w:rsidRPr="004E0F36" w14:paraId="504A8008" w14:textId="77777777" w:rsidTr="00DE1739">
        <w:trPr>
          <w:jc w:val="center"/>
        </w:trPr>
        <w:tc>
          <w:tcPr>
            <w:tcW w:w="3714" w:type="dxa"/>
            <w:shd w:val="clear" w:color="auto" w:fill="auto"/>
            <w:hideMark/>
          </w:tcPr>
          <w:p w14:paraId="46A24258" w14:textId="77777777" w:rsidR="00310DD3" w:rsidRPr="00380B40" w:rsidRDefault="00310DD3" w:rsidP="00E36F7A">
            <w:pPr>
              <w:pStyle w:val="Tabletextsmallbullet"/>
              <w:jc w:val="left"/>
            </w:pPr>
            <w:r w:rsidRPr="00380B40">
              <w:t>4)</w:t>
            </w:r>
            <w:r w:rsidRPr="00380B40">
              <w:tab/>
              <w:t>Technical subject areas</w:t>
            </w:r>
          </w:p>
        </w:tc>
        <w:tc>
          <w:tcPr>
            <w:tcW w:w="5925" w:type="dxa"/>
            <w:shd w:val="clear" w:color="auto" w:fill="auto"/>
            <w:hideMark/>
          </w:tcPr>
          <w:p w14:paraId="59D80BD3" w14:textId="77777777" w:rsidR="00310DD3" w:rsidRPr="00380B40" w:rsidRDefault="00310DD3" w:rsidP="00E36F7A">
            <w:pPr>
              <w:pStyle w:val="Tabletextsmall"/>
              <w:jc w:val="left"/>
            </w:pPr>
            <w:r w:rsidRPr="00380B40">
              <w:t>Should be relevant to a particular study group(s) or ITU</w:t>
            </w:r>
            <w:r w:rsidRPr="00380B40">
              <w:noBreakHyphen/>
              <w:t>T as a whole.</w:t>
            </w:r>
          </w:p>
        </w:tc>
      </w:tr>
      <w:tr w:rsidR="00310DD3" w:rsidRPr="004E0F36" w14:paraId="1FA81C0B" w14:textId="77777777" w:rsidTr="00DE1739">
        <w:trPr>
          <w:jc w:val="center"/>
        </w:trPr>
        <w:tc>
          <w:tcPr>
            <w:tcW w:w="3714" w:type="dxa"/>
            <w:shd w:val="clear" w:color="auto" w:fill="auto"/>
            <w:hideMark/>
          </w:tcPr>
          <w:p w14:paraId="551E9FB3" w14:textId="77777777" w:rsidR="00310DD3" w:rsidRPr="00380B40" w:rsidRDefault="00310DD3" w:rsidP="00E36F7A">
            <w:pPr>
              <w:pStyle w:val="Tabletextsmallbullet"/>
              <w:jc w:val="left"/>
            </w:pPr>
            <w:r w:rsidRPr="00380B40">
              <w:t>5)</w:t>
            </w:r>
            <w:r w:rsidRPr="00380B40">
              <w:tab/>
              <w:t>Intellectual Property Rights Policy and Guidelines on:</w:t>
            </w:r>
          </w:p>
          <w:p w14:paraId="12E18C58" w14:textId="77777777" w:rsidR="00310DD3" w:rsidRPr="00380B40" w:rsidRDefault="00310DD3" w:rsidP="00E36F7A">
            <w:pPr>
              <w:pStyle w:val="Tabletextsmallbullet"/>
              <w:jc w:val="left"/>
            </w:pPr>
            <w:r w:rsidRPr="00380B40">
              <w:t>a)</w:t>
            </w:r>
            <w:r w:rsidRPr="00380B40">
              <w:tab/>
              <w:t>patents;</w:t>
            </w:r>
            <w:r w:rsidRPr="00380B40">
              <w:br/>
            </w:r>
            <w:r w:rsidRPr="00380B40">
              <w:br/>
            </w:r>
          </w:p>
          <w:p w14:paraId="71D1B82C" w14:textId="77777777" w:rsidR="00310DD3" w:rsidRPr="00380B40" w:rsidRDefault="00310DD3" w:rsidP="00E36F7A">
            <w:pPr>
              <w:pStyle w:val="Tabletextsmallbullet"/>
              <w:jc w:val="left"/>
            </w:pPr>
            <w:r w:rsidRPr="00380B40">
              <w:t>b)</w:t>
            </w:r>
            <w:r w:rsidRPr="00380B40">
              <w:tab/>
              <w:t>software copyright (if applicable);</w:t>
            </w:r>
            <w:r w:rsidRPr="00380B40">
              <w:br/>
            </w:r>
          </w:p>
          <w:p w14:paraId="159376A2" w14:textId="77777777" w:rsidR="00310DD3" w:rsidRPr="00380B40" w:rsidRDefault="00310DD3" w:rsidP="00E36F7A">
            <w:pPr>
              <w:pStyle w:val="Tabletextsmallbullet"/>
              <w:jc w:val="left"/>
            </w:pPr>
            <w:r w:rsidRPr="00380B40">
              <w:t>c)</w:t>
            </w:r>
            <w:r w:rsidRPr="00380B40">
              <w:tab/>
              <w:t>marks (if applicable); and</w:t>
            </w:r>
            <w:r w:rsidRPr="00380B40">
              <w:br/>
            </w:r>
          </w:p>
          <w:p w14:paraId="553AE810" w14:textId="77777777" w:rsidR="00310DD3" w:rsidRPr="00380B40" w:rsidRDefault="00310DD3" w:rsidP="00E36F7A">
            <w:pPr>
              <w:pStyle w:val="Tabletextsmallbullet"/>
              <w:jc w:val="left"/>
            </w:pPr>
            <w:r w:rsidRPr="00380B40">
              <w:t>d)</w:t>
            </w:r>
            <w:r w:rsidRPr="00380B40">
              <w:tab/>
              <w:t>copyright</w:t>
            </w:r>
          </w:p>
        </w:tc>
        <w:tc>
          <w:tcPr>
            <w:tcW w:w="5925" w:type="dxa"/>
            <w:shd w:val="clear" w:color="auto" w:fill="auto"/>
          </w:tcPr>
          <w:p w14:paraId="4FE58507" w14:textId="77777777" w:rsidR="00310DD3" w:rsidRPr="00380B40" w:rsidRDefault="00310DD3" w:rsidP="00E36F7A">
            <w:pPr>
              <w:pStyle w:val="Tabletext"/>
              <w:spacing w:line="220" w:lineRule="exact"/>
              <w:ind w:left="284" w:hanging="284"/>
              <w:rPr>
                <w:lang w:val="en-GB"/>
              </w:rPr>
            </w:pPr>
            <w:r w:rsidRPr="00380B40">
              <w:rPr>
                <w:sz w:val="21"/>
                <w:szCs w:val="21"/>
                <w:lang w:val="en-GB"/>
              </w:rPr>
              <w:br/>
            </w:r>
          </w:p>
          <w:p w14:paraId="332D47DE" w14:textId="77777777" w:rsidR="00310DD3" w:rsidRPr="00380B40" w:rsidRDefault="00310DD3" w:rsidP="00E36F7A">
            <w:pPr>
              <w:pStyle w:val="Tabletextsmallbullet"/>
              <w:jc w:val="left"/>
            </w:pPr>
            <w:r w:rsidRPr="00380B40">
              <w:t>a)</w:t>
            </w:r>
            <w:r w:rsidRPr="00380B40">
              <w:tab/>
              <w:t>should be consistent with the "Common Patent Policy for ITU</w:t>
            </w:r>
            <w:r w:rsidRPr="00380B40">
              <w:noBreakHyphen/>
              <w:t>T/ITU</w:t>
            </w:r>
            <w:r w:rsidRPr="00380B40">
              <w:noBreakHyphen/>
              <w:t>R/ISO/IEC" and the "Guidelines for Implementation of the Common Patent Policy for ITU</w:t>
            </w:r>
            <w:r w:rsidRPr="00380B40">
              <w:noBreakHyphen/>
              <w:t>T/ITU</w:t>
            </w:r>
            <w:r w:rsidRPr="00380B40">
              <w:noBreakHyphen/>
              <w:t>R/ISO/IEC"*;</w:t>
            </w:r>
          </w:p>
          <w:p w14:paraId="6B2ADFD2" w14:textId="77777777" w:rsidR="00310DD3" w:rsidRPr="00380B40" w:rsidRDefault="00310DD3" w:rsidP="00E36F7A">
            <w:pPr>
              <w:pStyle w:val="Tabletextsmallbullet"/>
              <w:jc w:val="left"/>
            </w:pPr>
            <w:r w:rsidRPr="00380B40">
              <w:t>b)</w:t>
            </w:r>
            <w:r w:rsidRPr="00380B40">
              <w:tab/>
              <w:t>should be consistent with the "ITU</w:t>
            </w:r>
            <w:r w:rsidRPr="00380B40">
              <w:noBreakHyphen/>
              <w:t>T Software Copyright Guidelines"</w:t>
            </w:r>
            <w:r w:rsidRPr="00380B40">
              <w:rPr>
                <w:rFonts w:eastAsia="SimSun"/>
              </w:rPr>
              <w:t>*</w:t>
            </w:r>
            <w:r w:rsidRPr="00380B40">
              <w:t>;</w:t>
            </w:r>
          </w:p>
          <w:p w14:paraId="66D962C3" w14:textId="77777777" w:rsidR="00310DD3" w:rsidRPr="00380B40" w:rsidRDefault="00310DD3" w:rsidP="00E36F7A">
            <w:pPr>
              <w:pStyle w:val="Tabletextsmallbullet"/>
              <w:jc w:val="left"/>
              <w:rPr>
                <w:rFonts w:eastAsia="SimSun"/>
              </w:rPr>
            </w:pPr>
            <w:r w:rsidRPr="00380B40">
              <w:t>c)</w:t>
            </w:r>
            <w:r w:rsidRPr="00380B40">
              <w:rPr>
                <w:rFonts w:eastAsia="SimSun"/>
              </w:rPr>
              <w:tab/>
              <w:t>should be consistent with the "ITU</w:t>
            </w:r>
            <w:r w:rsidRPr="00380B40">
              <w:rPr>
                <w:rFonts w:eastAsia="SimSun"/>
              </w:rPr>
              <w:noBreakHyphen/>
              <w:t>T Guidelines related to the inclusion of Marks in ITU</w:t>
            </w:r>
            <w:r w:rsidRPr="00380B40">
              <w:rPr>
                <w:rFonts w:eastAsia="SimSun"/>
              </w:rPr>
              <w:noBreakHyphen/>
              <w:t>T Recommendations";</w:t>
            </w:r>
          </w:p>
          <w:p w14:paraId="3CAECD33" w14:textId="77777777" w:rsidR="00310DD3" w:rsidRPr="00380B40" w:rsidRDefault="00310DD3" w:rsidP="00E36F7A">
            <w:pPr>
              <w:pStyle w:val="Tabletextsmallbullet"/>
              <w:jc w:val="left"/>
            </w:pPr>
            <w:r w:rsidRPr="00380B40">
              <w:t>d)</w:t>
            </w:r>
            <w:r w:rsidRPr="00380B40">
              <w:tab/>
              <w:t>ITU and ITU Member States and Sector Members should have the right to copy for standardization-related purposes (see also [ITU</w:t>
            </w:r>
            <w:r w:rsidRPr="00380B40">
              <w:noBreakHyphen/>
              <w:t>T A.1] with regard to copying and distribution, or [ITU</w:t>
            </w:r>
            <w:r w:rsidRPr="00380B40">
              <w:noBreakHyphen/>
              <w:t>T A.25] with regard to incorporation, with or without modification).</w:t>
            </w:r>
          </w:p>
          <w:p w14:paraId="1902E8C2" w14:textId="77777777" w:rsidR="00310DD3" w:rsidRPr="00380B40" w:rsidRDefault="00310DD3" w:rsidP="00E36F7A">
            <w:pPr>
              <w:pStyle w:val="Tabletextsmall"/>
              <w:jc w:val="left"/>
            </w:pPr>
            <w:r w:rsidRPr="00380B40">
              <w:t>Relevant IPR policy documents of the referenced organization shall be attached to this table for the record.</w:t>
            </w:r>
          </w:p>
        </w:tc>
      </w:tr>
      <w:tr w:rsidR="00310DD3" w:rsidRPr="004E0F36" w14:paraId="3121324F" w14:textId="77777777" w:rsidTr="00DE1739">
        <w:trPr>
          <w:jc w:val="center"/>
        </w:trPr>
        <w:tc>
          <w:tcPr>
            <w:tcW w:w="3714" w:type="dxa"/>
            <w:shd w:val="clear" w:color="auto" w:fill="auto"/>
            <w:hideMark/>
          </w:tcPr>
          <w:p w14:paraId="0F488301" w14:textId="77777777" w:rsidR="00310DD3" w:rsidRPr="00380B40" w:rsidRDefault="00310DD3" w:rsidP="00E36F7A">
            <w:pPr>
              <w:pStyle w:val="Tabletextsmallbullet"/>
              <w:jc w:val="left"/>
            </w:pPr>
            <w:r w:rsidRPr="00380B40">
              <w:t>6)</w:t>
            </w:r>
            <w:r w:rsidRPr="00380B40">
              <w:tab/>
              <w:t>Working methods/processes</w:t>
            </w:r>
          </w:p>
        </w:tc>
        <w:tc>
          <w:tcPr>
            <w:tcW w:w="5925" w:type="dxa"/>
            <w:shd w:val="clear" w:color="auto" w:fill="auto"/>
            <w:hideMark/>
          </w:tcPr>
          <w:p w14:paraId="6BD668E5" w14:textId="77777777" w:rsidR="00310DD3" w:rsidRPr="00380B40" w:rsidRDefault="00310DD3" w:rsidP="00E36F7A">
            <w:pPr>
              <w:pStyle w:val="Tabletextsmallbullet"/>
              <w:jc w:val="left"/>
            </w:pPr>
            <w:r w:rsidRPr="00380B40">
              <w:t>–</w:t>
            </w:r>
            <w:r w:rsidRPr="00380B40">
              <w:tab/>
              <w:t>should be documented;</w:t>
            </w:r>
          </w:p>
          <w:p w14:paraId="1B83077D" w14:textId="77777777" w:rsidR="00310DD3" w:rsidRPr="00380B40" w:rsidRDefault="00310DD3" w:rsidP="00E36F7A">
            <w:pPr>
              <w:pStyle w:val="Tabletextsmallbullet"/>
              <w:jc w:val="left"/>
            </w:pPr>
            <w:r w:rsidRPr="00380B40">
              <w:t>–</w:t>
            </w:r>
            <w:r w:rsidRPr="00380B40">
              <w:tab/>
              <w:t>should be open, fair and transparent;</w:t>
            </w:r>
          </w:p>
          <w:p w14:paraId="0CC30847" w14:textId="77777777" w:rsidR="00310DD3" w:rsidRPr="00380B40" w:rsidRDefault="00310DD3" w:rsidP="00E36F7A">
            <w:pPr>
              <w:pStyle w:val="Tabletextsmallbullet"/>
              <w:jc w:val="left"/>
            </w:pPr>
            <w:r w:rsidRPr="00380B40">
              <w:t>–</w:t>
            </w:r>
            <w:r w:rsidRPr="00380B40">
              <w:tab/>
              <w:t>should document anti-trust policy.</w:t>
            </w:r>
          </w:p>
        </w:tc>
      </w:tr>
      <w:tr w:rsidR="00310DD3" w:rsidRPr="004E0F36" w14:paraId="7D6A0083" w14:textId="77777777" w:rsidTr="00DE1739">
        <w:trPr>
          <w:jc w:val="center"/>
        </w:trPr>
        <w:tc>
          <w:tcPr>
            <w:tcW w:w="3714" w:type="dxa"/>
            <w:shd w:val="clear" w:color="auto" w:fill="auto"/>
            <w:hideMark/>
          </w:tcPr>
          <w:p w14:paraId="4E78A35E" w14:textId="77777777" w:rsidR="00310DD3" w:rsidRPr="00380B40" w:rsidRDefault="00310DD3" w:rsidP="005F3BBF">
            <w:pPr>
              <w:pStyle w:val="Tabletextsmallbullet"/>
            </w:pPr>
            <w:r w:rsidRPr="00380B40">
              <w:t>7)</w:t>
            </w:r>
            <w:r w:rsidRPr="00380B40">
              <w:tab/>
              <w:t>Outputs</w:t>
            </w:r>
          </w:p>
        </w:tc>
        <w:tc>
          <w:tcPr>
            <w:tcW w:w="5925" w:type="dxa"/>
            <w:shd w:val="clear" w:color="auto" w:fill="auto"/>
            <w:hideMark/>
          </w:tcPr>
          <w:p w14:paraId="05201D67" w14:textId="77777777" w:rsidR="00310DD3" w:rsidRPr="00380B40" w:rsidRDefault="00310DD3" w:rsidP="005F3BBF">
            <w:pPr>
              <w:pStyle w:val="Tabletextsmallbullet"/>
            </w:pPr>
            <w:r w:rsidRPr="00380B40">
              <w:t>–</w:t>
            </w:r>
            <w:r w:rsidRPr="00380B40">
              <w:tab/>
              <w:t>should identify outputs available to ITU</w:t>
            </w:r>
            <w:r w:rsidRPr="00380B40">
              <w:noBreakHyphen/>
              <w:t>T;</w:t>
            </w:r>
          </w:p>
          <w:p w14:paraId="3C149A23" w14:textId="77777777" w:rsidR="00310DD3" w:rsidRPr="00380B40" w:rsidRDefault="00310DD3" w:rsidP="005F3BBF">
            <w:pPr>
              <w:pStyle w:val="Tabletextsmallbullet"/>
            </w:pPr>
            <w:r w:rsidRPr="00380B40">
              <w:t>–</w:t>
            </w:r>
            <w:r w:rsidRPr="00380B40">
              <w:tab/>
              <w:t>should identify the process for ITU</w:t>
            </w:r>
            <w:r w:rsidRPr="00380B40">
              <w:noBreakHyphen/>
              <w:t>T to obtain outputs.</w:t>
            </w:r>
          </w:p>
        </w:tc>
      </w:tr>
      <w:tr w:rsidR="00310DD3" w:rsidRPr="004E0F36" w14:paraId="04F83F05" w14:textId="77777777" w:rsidTr="00DE1739">
        <w:trPr>
          <w:jc w:val="center"/>
        </w:trPr>
        <w:tc>
          <w:tcPr>
            <w:tcW w:w="9639" w:type="dxa"/>
            <w:gridSpan w:val="2"/>
            <w:shd w:val="clear" w:color="auto" w:fill="auto"/>
          </w:tcPr>
          <w:p w14:paraId="66A28C96" w14:textId="77777777" w:rsidR="00310DD3" w:rsidRPr="00380B40" w:rsidRDefault="00310DD3" w:rsidP="005F3BBF">
            <w:pPr>
              <w:pStyle w:val="Tabletextsmallbullet"/>
            </w:pPr>
            <w:r w:rsidRPr="00380B40">
              <w:rPr>
                <w:rFonts w:eastAsia="SimSun"/>
              </w:rPr>
              <w:t>*</w:t>
            </w:r>
            <w:r w:rsidRPr="00380B40">
              <w:rPr>
                <w:rFonts w:eastAsia="SimSun"/>
              </w:rPr>
              <w:tab/>
              <w:t>Particularly, licences must be offered on a non-discriminatory basis and on reasonable terms and conditions (whether free of charge or with monetary compensation) to both members and non-members.</w:t>
            </w:r>
          </w:p>
        </w:tc>
      </w:tr>
    </w:tbl>
    <w:p w14:paraId="7A93786B" w14:textId="77777777" w:rsidR="002E7F82" w:rsidRDefault="002E7F82" w:rsidP="00D244EB">
      <w:pPr>
        <w:rPr>
          <w:lang w:val="en-GB"/>
        </w:rPr>
      </w:pPr>
    </w:p>
    <w:p w14:paraId="42966534" w14:textId="2CA2BF59" w:rsidR="002E7F82" w:rsidRPr="00380B40" w:rsidRDefault="002E7F82" w:rsidP="00D244EB">
      <w:pPr>
        <w:rPr>
          <w:lang w:val="en-GB"/>
        </w:rPr>
        <w:sectPr w:rsidR="002E7F82" w:rsidRPr="00380B40" w:rsidSect="0078499C">
          <w:footerReference w:type="default" r:id="rId372"/>
          <w:footnotePr>
            <w:numRestart w:val="eachSect"/>
          </w:footnotePr>
          <w:pgSz w:w="11907" w:h="16840" w:code="9"/>
          <w:pgMar w:top="1134" w:right="1134" w:bottom="1134" w:left="1134" w:header="567" w:footer="567" w:gutter="0"/>
          <w:paperSrc w:first="15" w:other="15"/>
          <w:cols w:space="720"/>
          <w:vAlign w:val="both"/>
          <w:docGrid w:linePitch="326"/>
        </w:sectPr>
      </w:pPr>
    </w:p>
    <w:p w14:paraId="1EB5532F" w14:textId="77777777" w:rsidR="009D2170" w:rsidRPr="00380B40" w:rsidRDefault="00310DD3" w:rsidP="009D2170">
      <w:pPr>
        <w:pStyle w:val="AppendixNo"/>
        <w:rPr>
          <w:rFonts w:eastAsiaTheme="minorHAnsi"/>
          <w:lang w:eastAsia="ja-JP"/>
        </w:rPr>
      </w:pPr>
      <w:bookmarkStart w:id="905" w:name="_Toc99029038"/>
      <w:r w:rsidRPr="00380B40">
        <w:rPr>
          <w:rFonts w:eastAsiaTheme="minorHAnsi"/>
          <w:lang w:eastAsia="ja-JP"/>
        </w:rPr>
        <w:t>Appendix I</w:t>
      </w:r>
    </w:p>
    <w:p w14:paraId="2D44FD01" w14:textId="77777777" w:rsidR="00310DD3" w:rsidRPr="00380B40" w:rsidRDefault="00310DD3" w:rsidP="009D2170">
      <w:pPr>
        <w:pStyle w:val="Appendixtitle"/>
        <w:rPr>
          <w:rFonts w:eastAsiaTheme="minorHAnsi"/>
        </w:rPr>
      </w:pPr>
      <w:r w:rsidRPr="00380B40">
        <w:rPr>
          <w:rFonts w:eastAsiaTheme="minorHAnsi"/>
        </w:rPr>
        <w:t>Workflow for including a normative reference to a document from another organization</w:t>
      </w:r>
      <w:bookmarkEnd w:id="905"/>
    </w:p>
    <w:p w14:paraId="4AAADB6A" w14:textId="77777777" w:rsidR="00310DD3" w:rsidRPr="00380B40" w:rsidRDefault="00310DD3" w:rsidP="00092298">
      <w:pPr>
        <w:pStyle w:val="Normalcenteraligned"/>
      </w:pPr>
      <w:r w:rsidRPr="00380B40">
        <w:t>(This appendix does not form an integral part of this Recommendation.)</w:t>
      </w:r>
    </w:p>
    <w:p w14:paraId="17B0595C" w14:textId="77777777" w:rsidR="00310DD3" w:rsidRPr="00380B40" w:rsidRDefault="00310DD3" w:rsidP="00310DD3">
      <w:pPr>
        <w:pStyle w:val="Normalaftertitle"/>
        <w:rPr>
          <w:lang w:val="en-GB"/>
        </w:rPr>
      </w:pPr>
      <w:r w:rsidRPr="00380B40">
        <w:rPr>
          <w:lang w:val="en-GB"/>
        </w:rPr>
        <w:t>This (informative) workflow helps visualizing the different cases where a normative reference can be included. In any case, clauses 6 and 7 prevail.</w:t>
      </w:r>
    </w:p>
    <w:p w14:paraId="6360EED1" w14:textId="77777777" w:rsidR="00310DD3" w:rsidRPr="00380B40" w:rsidRDefault="00310DD3" w:rsidP="00310DD3">
      <w:pPr>
        <w:pStyle w:val="Figure"/>
        <w:rPr>
          <w:lang w:val="en-GB"/>
        </w:rPr>
      </w:pPr>
      <w:r w:rsidRPr="00380B40">
        <w:rPr>
          <w:noProof/>
          <w:lang w:val="en-US" w:eastAsia="zh-CN"/>
        </w:rPr>
        <w:drawing>
          <wp:inline distT="0" distB="0" distL="0" distR="0" wp14:anchorId="600CF287" wp14:editId="738552EB">
            <wp:extent cx="7342599" cy="3615020"/>
            <wp:effectExtent l="0" t="0" r="0" b="5080"/>
            <wp:docPr id="1" name="Picture 1" descr="Workflow for including a normative reference to a document from anoth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rkflow for including a normative reference to a document from another organization"/>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7357201" cy="3622209"/>
                    </a:xfrm>
                    <a:prstGeom prst="rect">
                      <a:avLst/>
                    </a:prstGeom>
                  </pic:spPr>
                </pic:pic>
              </a:graphicData>
            </a:graphic>
          </wp:inline>
        </w:drawing>
      </w:r>
    </w:p>
    <w:p w14:paraId="3695D242" w14:textId="77777777" w:rsidR="00310DD3" w:rsidRPr="00380B40" w:rsidRDefault="00310DD3" w:rsidP="00D244EB">
      <w:pPr>
        <w:rPr>
          <w:lang w:val="en-GB"/>
        </w:rPr>
      </w:pPr>
    </w:p>
    <w:p w14:paraId="2CAFF35D" w14:textId="77777777" w:rsidR="00310DD3" w:rsidRPr="00380B40" w:rsidRDefault="00310DD3" w:rsidP="00D244EB">
      <w:pPr>
        <w:rPr>
          <w:lang w:val="en-GB"/>
        </w:rPr>
        <w:sectPr w:rsidR="00310DD3" w:rsidRPr="00380B40" w:rsidSect="00310DD3">
          <w:headerReference w:type="even" r:id="rId374"/>
          <w:footerReference w:type="even" r:id="rId375"/>
          <w:footerReference w:type="default" r:id="rId376"/>
          <w:pgSz w:w="16840" w:h="11907" w:orient="landscape" w:code="9"/>
          <w:pgMar w:top="1134" w:right="1134" w:bottom="1134" w:left="1134" w:header="567" w:footer="567" w:gutter="0"/>
          <w:paperSrc w:first="261" w:other="261"/>
          <w:cols w:space="720"/>
          <w:vAlign w:val="both"/>
          <w:docGrid w:linePitch="326"/>
        </w:sectPr>
      </w:pPr>
    </w:p>
    <w:p w14:paraId="32A810D2" w14:textId="77777777" w:rsidR="007E52B2" w:rsidRPr="00380B40" w:rsidRDefault="007E52B2" w:rsidP="009D2170">
      <w:pPr>
        <w:pStyle w:val="AppendixNoTitle"/>
      </w:pPr>
      <w:bookmarkStart w:id="906" w:name="_Toc443485984"/>
      <w:bookmarkStart w:id="907" w:name="_Toc444009754"/>
      <w:bookmarkStart w:id="908" w:name="_Toc444676610"/>
      <w:bookmarkStart w:id="909" w:name="_Toc444676908"/>
      <w:bookmarkStart w:id="910" w:name="_Toc111636887"/>
      <w:r w:rsidRPr="00380B40">
        <w:t>Bibliography</w:t>
      </w:r>
      <w:bookmarkEnd w:id="906"/>
      <w:bookmarkEnd w:id="907"/>
      <w:bookmarkEnd w:id="908"/>
      <w:bookmarkEnd w:id="909"/>
      <w:bookmarkEnd w:id="910"/>
    </w:p>
    <w:p w14:paraId="749A2353" w14:textId="77777777" w:rsidR="00240527" w:rsidRPr="00380B40" w:rsidRDefault="00240527" w:rsidP="00240527">
      <w:pPr>
        <w:rPr>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240527" w:rsidRPr="004E0F36" w14:paraId="69D7713A" w14:textId="77777777" w:rsidTr="0078499C">
        <w:tc>
          <w:tcPr>
            <w:tcW w:w="1000" w:type="pct"/>
          </w:tcPr>
          <w:p w14:paraId="584A1B97" w14:textId="77777777" w:rsidR="00240527" w:rsidRPr="00380B40" w:rsidRDefault="00240527" w:rsidP="004E4CA9">
            <w:pPr>
              <w:jc w:val="left"/>
              <w:rPr>
                <w:lang w:val="en-GB"/>
              </w:rPr>
            </w:pPr>
            <w:r w:rsidRPr="00380B40">
              <w:rPr>
                <w:rFonts w:eastAsia="Batang"/>
                <w:lang w:val="en-GB"/>
              </w:rPr>
              <w:t>[b-WTSA Res. 1]</w:t>
            </w:r>
          </w:p>
        </w:tc>
        <w:tc>
          <w:tcPr>
            <w:tcW w:w="4000" w:type="pct"/>
          </w:tcPr>
          <w:p w14:paraId="2E115430" w14:textId="77777777" w:rsidR="00240527" w:rsidRPr="00380B40" w:rsidRDefault="00240527" w:rsidP="004E4CA9">
            <w:pPr>
              <w:jc w:val="left"/>
              <w:rPr>
                <w:lang w:val="en-US"/>
              </w:rPr>
            </w:pPr>
            <w:r w:rsidRPr="00380B40">
              <w:rPr>
                <w:rFonts w:eastAsia="Batang"/>
                <w:lang w:val="en-GB"/>
              </w:rPr>
              <w:t xml:space="preserve">WTSA Resolution 1 (Rev. Geneva, 2022), </w:t>
            </w:r>
            <w:r w:rsidRPr="00380B40">
              <w:rPr>
                <w:rFonts w:eastAsia="Batang"/>
                <w:i/>
                <w:iCs/>
                <w:lang w:val="en-GB"/>
              </w:rPr>
              <w:t>Rules of Procedure of the ITU Telecommunication Standardization Sector</w:t>
            </w:r>
            <w:r w:rsidRPr="00380B40">
              <w:rPr>
                <w:rFonts w:eastAsia="Batang"/>
                <w:lang w:val="en-GB"/>
              </w:rPr>
              <w:t>.</w:t>
            </w:r>
          </w:p>
        </w:tc>
      </w:tr>
    </w:tbl>
    <w:p w14:paraId="091FBC54" w14:textId="77777777" w:rsidR="006642DA" w:rsidRPr="00380B40" w:rsidRDefault="006642DA"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21889877" w14:textId="77777777" w:rsidR="006642DA" w:rsidRPr="00380B40" w:rsidRDefault="006642DA"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104DDEAE" w14:textId="77777777" w:rsidR="006642DA" w:rsidRPr="00380B40" w:rsidRDefault="006642DA"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16647DB3" w14:textId="166C4DD3" w:rsidR="006642DA" w:rsidRDefault="006642DA"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53F24954" w14:textId="5A52B796" w:rsidR="002E7F82" w:rsidRDefault="002E7F82"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3259D0AE" w14:textId="77777777" w:rsidR="002E7F82" w:rsidRPr="00380B40" w:rsidRDefault="002E7F82"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2836F041" w14:textId="77777777" w:rsidR="006642DA" w:rsidRPr="00380B40" w:rsidRDefault="006642DA"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5EABB83E" w14:textId="77777777" w:rsidR="006642DA" w:rsidRPr="00380B40" w:rsidRDefault="006642DA"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7CC7F910" w14:textId="77777777" w:rsidR="006642DA" w:rsidRPr="00380B40" w:rsidRDefault="006642DA"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1EAAD326" w14:textId="77777777" w:rsidR="006642DA" w:rsidRPr="00380B40" w:rsidRDefault="006642DA"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1A7327DB" w14:textId="77777777" w:rsidR="006642DA" w:rsidRPr="00380B40" w:rsidRDefault="006642DA"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4ECCC83C" w14:textId="77777777" w:rsidR="006642DA" w:rsidRPr="00380B40" w:rsidRDefault="006642DA"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212A912C" w14:textId="77777777" w:rsidR="006642DA" w:rsidRPr="00380B40" w:rsidRDefault="006642DA"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7910039F" w14:textId="77777777" w:rsidR="006642DA" w:rsidRPr="00380B40" w:rsidRDefault="006642DA"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7667E544" w14:textId="77777777" w:rsidR="006642DA" w:rsidRPr="00380B40" w:rsidRDefault="006642DA"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0AD3614F" w14:textId="77777777" w:rsidR="006642DA" w:rsidRPr="00380B40" w:rsidRDefault="006642DA"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6A48D40F" w14:textId="77777777" w:rsidR="006642DA" w:rsidRPr="00380B40" w:rsidRDefault="006642DA"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06FC44C7" w14:textId="77777777" w:rsidR="006642DA" w:rsidRPr="00380B40" w:rsidRDefault="006642DA"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16E74D67" w14:textId="77777777" w:rsidR="00292204" w:rsidRPr="00380B40" w:rsidRDefault="00292204"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r w:rsidRPr="00380B40">
        <w:rPr>
          <w:rFonts w:eastAsia="Batang"/>
          <w:lang w:val="en-GB"/>
        </w:rPr>
        <w:br w:type="page"/>
      </w:r>
    </w:p>
    <w:p w14:paraId="42912A5B" w14:textId="77777777" w:rsidR="007E52B2" w:rsidRPr="00380B40" w:rsidRDefault="007E52B2" w:rsidP="008C3E8D">
      <w:pPr>
        <w:pStyle w:val="RecNo"/>
        <w:rPr>
          <w:lang w:val="en-GB"/>
        </w:rPr>
      </w:pPr>
      <w:bookmarkStart w:id="911" w:name="_Toc104459821"/>
      <w:bookmarkStart w:id="912" w:name="_Toc111636888"/>
      <w:bookmarkStart w:id="913" w:name="_Toc111638530"/>
      <w:r w:rsidRPr="00380B40">
        <w:rPr>
          <w:lang w:val="en-GB"/>
        </w:rPr>
        <w:t xml:space="preserve">Recommendation ITU-T </w:t>
      </w:r>
      <w:r w:rsidRPr="00380B40">
        <w:rPr>
          <w:rStyle w:val="href"/>
          <w:lang w:val="en-GB"/>
        </w:rPr>
        <w:t>A.6</w:t>
      </w:r>
      <w:bookmarkEnd w:id="911"/>
      <w:bookmarkEnd w:id="912"/>
      <w:bookmarkEnd w:id="913"/>
    </w:p>
    <w:p w14:paraId="5612B8E7" w14:textId="77777777" w:rsidR="003C356A" w:rsidRPr="00380B40" w:rsidRDefault="003C356A" w:rsidP="003C356A">
      <w:pPr>
        <w:pStyle w:val="Rectitle"/>
        <w:rPr>
          <w:lang w:val="en-GB"/>
        </w:rPr>
      </w:pPr>
      <w:bookmarkStart w:id="914" w:name="_Toc104459822"/>
      <w:bookmarkStart w:id="915" w:name="_Toc111638531"/>
      <w:r w:rsidRPr="00380B40">
        <w:rPr>
          <w:lang w:val="en-GB"/>
        </w:rPr>
        <w:t>Cooperation and exchange of information between the</w:t>
      </w:r>
      <w:r w:rsidRPr="00380B40">
        <w:rPr>
          <w:lang w:val="en-GB"/>
        </w:rPr>
        <w:br/>
        <w:t>ITU Telecommunication Standardization Sector and</w:t>
      </w:r>
      <w:r w:rsidRPr="00380B40">
        <w:rPr>
          <w:lang w:val="en-GB"/>
        </w:rPr>
        <w:br/>
        <w:t>national and regional standards development organizations</w:t>
      </w:r>
      <w:bookmarkEnd w:id="914"/>
      <w:bookmarkEnd w:id="915"/>
    </w:p>
    <w:p w14:paraId="274C5993" w14:textId="77777777" w:rsidR="003C356A" w:rsidRPr="00380B40" w:rsidRDefault="003C356A" w:rsidP="00FD3C79">
      <w:pPr>
        <w:pStyle w:val="Recref"/>
        <w:rPr>
          <w:lang w:val="en-GB"/>
        </w:rPr>
      </w:pPr>
      <w:r w:rsidRPr="00380B40">
        <w:rPr>
          <w:lang w:val="en-GB"/>
        </w:rPr>
        <w:t>(1998; 2000; 2002; 2006; 2007; 2012)</w:t>
      </w:r>
    </w:p>
    <w:p w14:paraId="37152635" w14:textId="77777777" w:rsidR="003C356A" w:rsidRPr="00380B40" w:rsidRDefault="003C356A" w:rsidP="003C356A">
      <w:pPr>
        <w:pStyle w:val="Heading1"/>
        <w:rPr>
          <w:lang w:val="en-GB"/>
        </w:rPr>
      </w:pPr>
      <w:bookmarkStart w:id="916" w:name="_Toc27280675"/>
      <w:bookmarkStart w:id="917" w:name="_Toc357073507"/>
      <w:bookmarkStart w:id="918" w:name="_Toc357073571"/>
      <w:bookmarkStart w:id="919" w:name="_Toc357172408"/>
      <w:bookmarkStart w:id="920" w:name="_Toc111636889"/>
      <w:r w:rsidRPr="00380B40">
        <w:rPr>
          <w:lang w:val="en-GB"/>
        </w:rPr>
        <w:t>1</w:t>
      </w:r>
      <w:r w:rsidRPr="00380B40">
        <w:rPr>
          <w:lang w:val="en-GB"/>
        </w:rPr>
        <w:tab/>
        <w:t>Scope</w:t>
      </w:r>
      <w:bookmarkEnd w:id="916"/>
      <w:bookmarkEnd w:id="917"/>
      <w:bookmarkEnd w:id="918"/>
      <w:bookmarkEnd w:id="919"/>
      <w:bookmarkEnd w:id="920"/>
    </w:p>
    <w:p w14:paraId="416795DF" w14:textId="77777777" w:rsidR="003C356A" w:rsidRPr="00380B40" w:rsidRDefault="003C356A" w:rsidP="003C356A">
      <w:pPr>
        <w:rPr>
          <w:lang w:val="en-GB"/>
        </w:rPr>
      </w:pPr>
      <w:r w:rsidRPr="00380B40">
        <w:rPr>
          <w:lang w:val="en-GB"/>
        </w:rPr>
        <w:t>In order to facilitate the development of cooperative relationships with national and regional standards development organizations, and to encourage cooperation and information exchange, procedures are provided, founded on the basis of reciprocity, for use when structuring the cooperation and information exchange process.</w:t>
      </w:r>
    </w:p>
    <w:p w14:paraId="3DED64F4" w14:textId="77777777" w:rsidR="003C356A" w:rsidRPr="00380B40" w:rsidRDefault="003C356A" w:rsidP="003C356A">
      <w:pPr>
        <w:rPr>
          <w:lang w:val="en-GB"/>
        </w:rPr>
      </w:pPr>
      <w:r w:rsidRPr="00380B40">
        <w:rPr>
          <w:lang w:val="en-GB"/>
        </w:rPr>
        <w:t>"National and regional standards development organizations", referred to as "standards development organizations" (SDOs) in the text that follows, are those organizations that develop standards recognized and implemented at the national and/or regional level. In this Recommendation, the term "approved document" refers to an official output of a standards development organization that has been formally approved. The term "draft document" refers to an output, which is still in draft form.</w:t>
      </w:r>
    </w:p>
    <w:p w14:paraId="5746AF6B" w14:textId="77777777" w:rsidR="003C356A" w:rsidRPr="00380B40" w:rsidRDefault="003C356A" w:rsidP="003C356A">
      <w:pPr>
        <w:pStyle w:val="Heading1"/>
        <w:rPr>
          <w:lang w:val="en-GB"/>
        </w:rPr>
      </w:pPr>
      <w:bookmarkStart w:id="921" w:name="_Toc27280676"/>
      <w:bookmarkStart w:id="922" w:name="_Toc357073508"/>
      <w:bookmarkStart w:id="923" w:name="_Toc357073572"/>
      <w:bookmarkStart w:id="924" w:name="_Toc357172409"/>
      <w:bookmarkStart w:id="925" w:name="_Toc111636890"/>
      <w:r w:rsidRPr="00380B40">
        <w:rPr>
          <w:lang w:val="en-GB"/>
        </w:rPr>
        <w:t>2</w:t>
      </w:r>
      <w:r w:rsidRPr="00380B40">
        <w:rPr>
          <w:lang w:val="en-GB"/>
        </w:rPr>
        <w:tab/>
        <w:t>Procedures</w:t>
      </w:r>
      <w:bookmarkEnd w:id="921"/>
      <w:bookmarkEnd w:id="922"/>
      <w:bookmarkEnd w:id="923"/>
      <w:bookmarkEnd w:id="924"/>
      <w:bookmarkEnd w:id="925"/>
    </w:p>
    <w:p w14:paraId="4DC48059" w14:textId="77777777" w:rsidR="003C356A" w:rsidRPr="00380B40" w:rsidRDefault="003C356A" w:rsidP="003C356A">
      <w:pPr>
        <w:rPr>
          <w:lang w:val="en-GB"/>
        </w:rPr>
      </w:pPr>
      <w:r w:rsidRPr="00380B40">
        <w:rPr>
          <w:lang w:val="en-GB"/>
        </w:rPr>
        <w:t>Study groups are encouraged to make use of documents, both approved and in draft form, provided by standards development organizations, as appropriate. Similarly, standards development organizations are encouraged to make use of draft or approved ITU</w:t>
      </w:r>
      <w:r w:rsidRPr="00380B40">
        <w:rPr>
          <w:lang w:val="en-GB"/>
        </w:rPr>
        <w:noBreakHyphen/>
        <w:t>T Recommendations. This Recommendation contains procedures for formal cooperation and exchange of information between ITU</w:t>
      </w:r>
      <w:r w:rsidRPr="00380B40">
        <w:rPr>
          <w:lang w:val="en-GB"/>
        </w:rPr>
        <w:noBreakHyphen/>
        <w:t>T study groups and standards development organizations that qualify, according to the criteria in Annex A. In particular, this Recommendation addresses the case of an organization accepting texts, in part or in whole, from another organization. The case of normative referencing is addressed in Recommendation ITU</w:t>
      </w:r>
      <w:r w:rsidRPr="00380B40">
        <w:rPr>
          <w:lang w:val="en-GB"/>
        </w:rPr>
        <w:noBreakHyphen/>
        <w:t>T A.5. Establishing a communication process provides a framework for ongoing communications to:</w:t>
      </w:r>
    </w:p>
    <w:p w14:paraId="067CC66E" w14:textId="77777777" w:rsidR="003C356A" w:rsidRPr="00380B40" w:rsidRDefault="003C356A" w:rsidP="003C356A">
      <w:pPr>
        <w:pStyle w:val="enumlev1"/>
        <w:rPr>
          <w:lang w:val="en-GB"/>
        </w:rPr>
      </w:pPr>
      <w:r w:rsidRPr="00380B40">
        <w:rPr>
          <w:lang w:val="en-GB"/>
        </w:rPr>
        <w:t>–</w:t>
      </w:r>
      <w:r w:rsidRPr="00380B40">
        <w:rPr>
          <w:lang w:val="en-GB"/>
        </w:rPr>
        <w:tab/>
        <w:t>prevent inadvertent duplication of effort, while allowing each organization to pursue its own mandate;</w:t>
      </w:r>
    </w:p>
    <w:p w14:paraId="7BD5133E" w14:textId="77777777" w:rsidR="003C356A" w:rsidRPr="00380B40" w:rsidRDefault="003C356A" w:rsidP="003C356A">
      <w:pPr>
        <w:pStyle w:val="enumlev1"/>
        <w:rPr>
          <w:lang w:val="en-GB"/>
        </w:rPr>
      </w:pPr>
      <w:r w:rsidRPr="00380B40">
        <w:rPr>
          <w:lang w:val="en-GB"/>
        </w:rPr>
        <w:t>–</w:t>
      </w:r>
      <w:r w:rsidRPr="00380B40">
        <w:rPr>
          <w:lang w:val="en-GB"/>
        </w:rPr>
        <w:tab/>
        <w:t>provide authoritative information regarding one organization's dependencies on the other's work;</w:t>
      </w:r>
    </w:p>
    <w:p w14:paraId="385034F3" w14:textId="77777777" w:rsidR="003C356A" w:rsidRPr="00380B40" w:rsidRDefault="003C356A" w:rsidP="003C356A">
      <w:pPr>
        <w:pStyle w:val="enumlev1"/>
        <w:rPr>
          <w:lang w:val="en-GB"/>
        </w:rPr>
      </w:pPr>
      <w:r w:rsidRPr="00380B40">
        <w:rPr>
          <w:lang w:val="en-GB"/>
        </w:rPr>
        <w:t>–</w:t>
      </w:r>
      <w:r w:rsidRPr="00380B40">
        <w:rPr>
          <w:lang w:val="en-GB"/>
        </w:rPr>
        <w:tab/>
        <w:t>exchange information on topics of mutual interest.</w:t>
      </w:r>
      <w:bookmarkStart w:id="926" w:name="_Toc27280677"/>
    </w:p>
    <w:p w14:paraId="780C18D4" w14:textId="77777777" w:rsidR="00795C3C" w:rsidRPr="00380B40" w:rsidRDefault="00795C3C" w:rsidP="00795C3C">
      <w:pPr>
        <w:rPr>
          <w:lang w:val="en-GB"/>
        </w:rPr>
      </w:pPr>
      <w:bookmarkStart w:id="927" w:name="_Toc357073509"/>
      <w:bookmarkStart w:id="928" w:name="_Toc357073573"/>
      <w:bookmarkStart w:id="929" w:name="_Toc357172410"/>
      <w:r w:rsidRPr="00380B40">
        <w:rPr>
          <w:lang w:val="en-GB"/>
        </w:rPr>
        <w:br w:type="page"/>
      </w:r>
    </w:p>
    <w:p w14:paraId="032172F5" w14:textId="77777777" w:rsidR="003C356A" w:rsidRPr="00380B40" w:rsidRDefault="003C356A" w:rsidP="003C356A">
      <w:pPr>
        <w:pStyle w:val="Heading2"/>
        <w:rPr>
          <w:lang w:val="en-GB"/>
        </w:rPr>
      </w:pPr>
      <w:bookmarkStart w:id="930" w:name="_Toc111636891"/>
      <w:r w:rsidRPr="00380B40">
        <w:rPr>
          <w:lang w:val="en-GB"/>
        </w:rPr>
        <w:t>2.1</w:t>
      </w:r>
      <w:r w:rsidRPr="00380B40">
        <w:rPr>
          <w:lang w:val="en-GB"/>
        </w:rPr>
        <w:tab/>
        <w:t>Establishment of the process for cooperation and exchange of information</w:t>
      </w:r>
      <w:bookmarkEnd w:id="926"/>
      <w:bookmarkEnd w:id="927"/>
      <w:bookmarkEnd w:id="928"/>
      <w:bookmarkEnd w:id="929"/>
      <w:bookmarkEnd w:id="930"/>
    </w:p>
    <w:p w14:paraId="3543D0E2" w14:textId="77777777" w:rsidR="003C356A" w:rsidRPr="00380B40" w:rsidRDefault="003C356A" w:rsidP="003C356A">
      <w:pPr>
        <w:rPr>
          <w:lang w:val="en-GB"/>
        </w:rPr>
      </w:pPr>
      <w:r w:rsidRPr="00380B40">
        <w:rPr>
          <w:lang w:val="en-GB"/>
        </w:rPr>
        <w:t>Establishment of a process for cooperation and exchange of information between ITU</w:t>
      </w:r>
      <w:r w:rsidRPr="00380B40">
        <w:rPr>
          <w:lang w:val="en-GB"/>
        </w:rPr>
        <w:noBreakHyphen/>
        <w:t>T study groups and standards development organizations should be considered on a case-by-case basis, and should be evaluated with due care and diligence using the set of criteria in Annex A. For ITU</w:t>
      </w:r>
      <w:r w:rsidRPr="00380B40">
        <w:rPr>
          <w:lang w:val="en-GB"/>
        </w:rPr>
        <w:noBreakHyphen/>
        <w:t>T, the process is established at the study group level; for standards development organizations, the process is established at the appropriate level. To avoid multiple requests to a standards development organization for information pertaining to the criteria in Annex A, and to facilitate evaluation by study groups, the Director of TSB makes such requests, and subsequently makes an analysis of the responses to verify that the organizations meet the relevant criteria. A schematic diagram of the process is provided in Appendix I.</w:t>
      </w:r>
    </w:p>
    <w:p w14:paraId="05B14A92" w14:textId="77777777" w:rsidR="003C356A" w:rsidRPr="00380B40" w:rsidRDefault="003C356A" w:rsidP="003C356A">
      <w:pPr>
        <w:pStyle w:val="Heading3"/>
        <w:rPr>
          <w:lang w:val="en-GB"/>
        </w:rPr>
      </w:pPr>
      <w:bookmarkStart w:id="931" w:name="_Toc27280678"/>
      <w:bookmarkStart w:id="932" w:name="_Toc111636892"/>
      <w:r w:rsidRPr="00380B40">
        <w:rPr>
          <w:lang w:val="en-GB"/>
        </w:rPr>
        <w:t>2.1.1</w:t>
      </w:r>
      <w:r w:rsidRPr="00380B40">
        <w:rPr>
          <w:lang w:val="en-GB"/>
        </w:rPr>
        <w:tab/>
        <w:t>Exchange of information initiated by an ITU</w:t>
      </w:r>
      <w:r w:rsidRPr="00380B40">
        <w:rPr>
          <w:lang w:val="en-GB"/>
        </w:rPr>
        <w:noBreakHyphen/>
        <w:t>T study group</w:t>
      </w:r>
      <w:bookmarkEnd w:id="931"/>
      <w:bookmarkEnd w:id="932"/>
    </w:p>
    <w:p w14:paraId="7D866CB2" w14:textId="77777777" w:rsidR="003C356A" w:rsidRPr="00380B40" w:rsidRDefault="003C356A" w:rsidP="003C356A">
      <w:pPr>
        <w:rPr>
          <w:lang w:val="en-GB"/>
        </w:rPr>
      </w:pPr>
      <w:r w:rsidRPr="00380B40">
        <w:rPr>
          <w:lang w:val="en-GB"/>
        </w:rPr>
        <w:t>If a study group considers that it is beneficial to establish an exchange of information or documents with a standards development organization, the study group should first consult the ITU-T A.6</w:t>
      </w:r>
      <w:r w:rsidRPr="00380B40">
        <w:rPr>
          <w:lang w:val="en-GB"/>
        </w:rPr>
        <w:noBreakHyphen/>
        <w:t>qualified organizations list (see 2.3) and obtain an analysis of that standards development organization from the Director. The study group reviews the analysis and decides whether or not to communicate with the standards development organization. If the standards development organization in question is not on the list, the study group chairman asks the Director to request the standards development organization to provide the information and fill in the questionnaire relating to the qualifying criteria set forth in Annex A. The Director performs a preliminary analysis of the standards development organization and transmits it to the affected study group(s), which shall review the analysis and make a decision whether or not to communicate. Any areas of concern should be immediately shared with other interested study group chairmen and the Director. If the study group decides to approve, the study group chairman establishes the cooperation document acceptance and exchange processes in accordance with 2.2.</w:t>
      </w:r>
    </w:p>
    <w:p w14:paraId="2904E892" w14:textId="77777777" w:rsidR="003C356A" w:rsidRPr="00380B40" w:rsidRDefault="003C356A" w:rsidP="003C356A">
      <w:pPr>
        <w:pStyle w:val="Heading3"/>
        <w:rPr>
          <w:lang w:val="en-GB"/>
        </w:rPr>
      </w:pPr>
      <w:bookmarkStart w:id="933" w:name="_Toc27280679"/>
      <w:bookmarkStart w:id="934" w:name="_Toc111636893"/>
      <w:r w:rsidRPr="00380B40">
        <w:rPr>
          <w:lang w:val="en-GB"/>
        </w:rPr>
        <w:t>2.1.2</w:t>
      </w:r>
      <w:r w:rsidRPr="00380B40">
        <w:rPr>
          <w:lang w:val="en-GB"/>
        </w:rPr>
        <w:tab/>
        <w:t>Exchange of information initiated by a national or regional standards development organization</w:t>
      </w:r>
      <w:bookmarkEnd w:id="933"/>
      <w:bookmarkEnd w:id="934"/>
    </w:p>
    <w:p w14:paraId="3C5ADEEA" w14:textId="77777777" w:rsidR="003C356A" w:rsidRPr="00380B40" w:rsidRDefault="003C356A" w:rsidP="003C356A">
      <w:pPr>
        <w:rPr>
          <w:lang w:val="en-GB"/>
        </w:rPr>
      </w:pPr>
      <w:r w:rsidRPr="00380B40">
        <w:rPr>
          <w:lang w:val="en-GB"/>
        </w:rPr>
        <w:t>If a standards development organization contacts the Director of TSB to establish an exchange of information or documents with ITU</w:t>
      </w:r>
      <w:r w:rsidRPr="00380B40">
        <w:rPr>
          <w:lang w:val="en-GB"/>
        </w:rPr>
        <w:noBreakHyphen/>
        <w:t>T, the Director should first determine whether the exchange of information or documents is relevant to:</w:t>
      </w:r>
    </w:p>
    <w:p w14:paraId="0526817E" w14:textId="77777777" w:rsidR="003C356A" w:rsidRPr="00380B40" w:rsidRDefault="003C356A" w:rsidP="003C356A">
      <w:pPr>
        <w:pStyle w:val="enumlev1"/>
        <w:rPr>
          <w:lang w:val="en-GB"/>
        </w:rPr>
      </w:pPr>
      <w:r w:rsidRPr="00380B40">
        <w:rPr>
          <w:i/>
          <w:iCs/>
          <w:lang w:val="en-GB"/>
        </w:rPr>
        <w:t>a)</w:t>
      </w:r>
      <w:r w:rsidRPr="00380B40">
        <w:rPr>
          <w:lang w:val="en-GB"/>
        </w:rPr>
        <w:tab/>
        <w:t>the ITU</w:t>
      </w:r>
      <w:r w:rsidRPr="00380B40">
        <w:rPr>
          <w:lang w:val="en-GB"/>
        </w:rPr>
        <w:noBreakHyphen/>
        <w:t>T Sector (for related policy issues); or</w:t>
      </w:r>
    </w:p>
    <w:p w14:paraId="31426104" w14:textId="77777777" w:rsidR="003C356A" w:rsidRPr="00380B40" w:rsidRDefault="003C356A" w:rsidP="003C356A">
      <w:pPr>
        <w:pStyle w:val="enumlev1"/>
        <w:rPr>
          <w:lang w:val="en-GB"/>
        </w:rPr>
      </w:pPr>
      <w:r w:rsidRPr="00380B40">
        <w:rPr>
          <w:i/>
          <w:iCs/>
          <w:lang w:val="en-GB"/>
        </w:rPr>
        <w:t>b)</w:t>
      </w:r>
      <w:r w:rsidRPr="00380B40">
        <w:rPr>
          <w:lang w:val="en-GB"/>
        </w:rPr>
        <w:tab/>
        <w:t>one or more study groups (for topics relating to their work).</w:t>
      </w:r>
    </w:p>
    <w:p w14:paraId="5A90B0AA" w14:textId="77777777" w:rsidR="003C356A" w:rsidRPr="00380B40" w:rsidRDefault="003C356A" w:rsidP="003C356A">
      <w:pPr>
        <w:rPr>
          <w:lang w:val="en-GB"/>
        </w:rPr>
      </w:pPr>
      <w:r w:rsidRPr="00380B40">
        <w:rPr>
          <w:lang w:val="en-GB"/>
        </w:rPr>
        <w:t xml:space="preserve">In case </w:t>
      </w:r>
      <w:r w:rsidRPr="00380B40">
        <w:rPr>
          <w:i/>
          <w:iCs/>
          <w:lang w:val="en-GB"/>
        </w:rPr>
        <w:t>a)</w:t>
      </w:r>
      <w:r w:rsidRPr="00380B40">
        <w:rPr>
          <w:lang w:val="en-GB"/>
        </w:rPr>
        <w:t>, the Director evaluates the standards development organization according to the criteria in Annex A. If the Director decides to approve, he establishes the exchange and informs TSAG and all ITU</w:t>
      </w:r>
      <w:r w:rsidRPr="00380B40">
        <w:rPr>
          <w:lang w:val="en-GB"/>
        </w:rPr>
        <w:noBreakHyphen/>
        <w:t>T study groups.</w:t>
      </w:r>
    </w:p>
    <w:p w14:paraId="7BD65E45" w14:textId="77777777" w:rsidR="003C356A" w:rsidRPr="00380B40" w:rsidRDefault="003C356A" w:rsidP="003C356A">
      <w:pPr>
        <w:rPr>
          <w:lang w:val="en-GB"/>
        </w:rPr>
      </w:pPr>
      <w:r w:rsidRPr="00380B40">
        <w:rPr>
          <w:lang w:val="en-GB"/>
        </w:rPr>
        <w:t xml:space="preserve">In case </w:t>
      </w:r>
      <w:r w:rsidRPr="00380B40">
        <w:rPr>
          <w:i/>
          <w:iCs/>
          <w:lang w:val="en-GB"/>
        </w:rPr>
        <w:t>b)</w:t>
      </w:r>
      <w:r w:rsidRPr="00380B40">
        <w:rPr>
          <w:lang w:val="en-GB"/>
        </w:rPr>
        <w:t>, the Director performs an analysis and transmits it to the affected study group(s), which shall review the analysis and make a decision whether or not to communicate. If multiple study groups are involved, the decision of each study group should be communicated to the others, to the TSAG and to the Director of TSB.</w:t>
      </w:r>
    </w:p>
    <w:p w14:paraId="69EB6836" w14:textId="77777777" w:rsidR="00795C3C" w:rsidRPr="00380B40" w:rsidRDefault="00795C3C" w:rsidP="00795C3C">
      <w:pPr>
        <w:rPr>
          <w:lang w:val="en-GB"/>
        </w:rPr>
      </w:pPr>
      <w:bookmarkStart w:id="935" w:name="_Toc27280680"/>
      <w:bookmarkStart w:id="936" w:name="_Toc357073510"/>
      <w:bookmarkStart w:id="937" w:name="_Toc357073574"/>
      <w:bookmarkStart w:id="938" w:name="_Toc357172411"/>
      <w:r w:rsidRPr="00380B40">
        <w:rPr>
          <w:lang w:val="en-GB"/>
        </w:rPr>
        <w:br w:type="page"/>
      </w:r>
    </w:p>
    <w:p w14:paraId="0709D63C" w14:textId="77777777" w:rsidR="003C356A" w:rsidRPr="00380B40" w:rsidRDefault="003C356A" w:rsidP="003C356A">
      <w:pPr>
        <w:pStyle w:val="Heading2"/>
        <w:rPr>
          <w:lang w:val="en-GB"/>
        </w:rPr>
      </w:pPr>
      <w:bookmarkStart w:id="939" w:name="_Toc111636894"/>
      <w:r w:rsidRPr="00380B40">
        <w:rPr>
          <w:lang w:val="en-GB"/>
        </w:rPr>
        <w:t>2.2</w:t>
      </w:r>
      <w:r w:rsidRPr="00380B40">
        <w:rPr>
          <w:lang w:val="en-GB"/>
        </w:rPr>
        <w:tab/>
        <w:t>Process for cooperation and exchange of information</w:t>
      </w:r>
      <w:bookmarkEnd w:id="935"/>
      <w:r w:rsidRPr="00380B40">
        <w:rPr>
          <w:lang w:val="en-GB"/>
        </w:rPr>
        <w:t xml:space="preserve"> once the process is established</w:t>
      </w:r>
      <w:bookmarkEnd w:id="936"/>
      <w:bookmarkEnd w:id="937"/>
      <w:bookmarkEnd w:id="938"/>
      <w:bookmarkEnd w:id="939"/>
    </w:p>
    <w:p w14:paraId="1F6C5D84" w14:textId="77777777" w:rsidR="003C356A" w:rsidRPr="00380B40" w:rsidRDefault="003C356A" w:rsidP="003C356A">
      <w:pPr>
        <w:pStyle w:val="Heading3"/>
        <w:rPr>
          <w:lang w:val="en-GB"/>
        </w:rPr>
      </w:pPr>
      <w:bookmarkStart w:id="940" w:name="_Toc111636895"/>
      <w:r w:rsidRPr="00380B40">
        <w:rPr>
          <w:lang w:val="en-GB"/>
        </w:rPr>
        <w:t>2.2.1</w:t>
      </w:r>
      <w:r w:rsidRPr="00380B40">
        <w:rPr>
          <w:lang w:val="en-GB"/>
        </w:rPr>
        <w:tab/>
        <w:t>Documents sent to ITU-T A.6-qualified national and regional standards development organizations</w:t>
      </w:r>
      <w:bookmarkEnd w:id="940"/>
    </w:p>
    <w:p w14:paraId="1B4C60C1" w14:textId="77777777" w:rsidR="003C356A" w:rsidRPr="00380B40" w:rsidRDefault="003C356A" w:rsidP="003C356A">
      <w:pPr>
        <w:rPr>
          <w:lang w:val="en-GB"/>
        </w:rPr>
      </w:pPr>
      <w:r w:rsidRPr="00380B40">
        <w:rPr>
          <w:lang w:val="en-GB"/>
        </w:rPr>
        <w:t>A standards development organization may accept, in whole or in part, the text of a draft or approved ITU</w:t>
      </w:r>
      <w:r w:rsidRPr="00380B40">
        <w:rPr>
          <w:lang w:val="en-GB"/>
        </w:rPr>
        <w:noBreakHyphen/>
        <w:t>T Recommendation, as all or part of the text of its draft document, with or without modification to the ITU</w:t>
      </w:r>
      <w:r w:rsidRPr="00380B40">
        <w:rPr>
          <w:lang w:val="en-GB"/>
        </w:rPr>
        <w:noBreakHyphen/>
        <w:t>T text.</w:t>
      </w:r>
    </w:p>
    <w:p w14:paraId="5C2890BF" w14:textId="77777777" w:rsidR="003C356A" w:rsidRPr="00380B40" w:rsidRDefault="003C356A" w:rsidP="003C356A">
      <w:pPr>
        <w:rPr>
          <w:lang w:val="en-GB"/>
        </w:rPr>
      </w:pPr>
      <w:r w:rsidRPr="00380B40">
        <w:rPr>
          <w:lang w:val="en-GB"/>
        </w:rPr>
        <w:t>When a standards development organization decides to accept ITU</w:t>
      </w:r>
      <w:r w:rsidRPr="00380B40">
        <w:rPr>
          <w:lang w:val="en-GB"/>
        </w:rPr>
        <w:noBreakHyphen/>
        <w:t>T texts, it notifies TSB about the actions taken concerning those texts. The use, acceptance or reproduction of such texts by the standards development organization is subject to the copyright arrangements set out in 2.4.</w:t>
      </w:r>
    </w:p>
    <w:p w14:paraId="1B45D7EA" w14:textId="77777777" w:rsidR="003C356A" w:rsidRPr="00380B40" w:rsidRDefault="003C356A" w:rsidP="003C356A">
      <w:pPr>
        <w:rPr>
          <w:lang w:val="en-GB"/>
        </w:rPr>
      </w:pPr>
      <w:r w:rsidRPr="00380B40">
        <w:rPr>
          <w:lang w:val="en-GB"/>
        </w:rPr>
        <w:t>A proposal to send a liaison statement to an ITU-T A.6-qualified standards development organization can arise from work by a rapporteur group, working party or study group. The decision to send such information is made by the study group chairman in consultation with the relevant working party chairman, and, if arising from a study group meeting, with the agreement of the study group. The text is sent to the standards development organization by TSB on behalf of the study group.</w:t>
      </w:r>
    </w:p>
    <w:p w14:paraId="6178EE64" w14:textId="77777777" w:rsidR="00795C3C" w:rsidRPr="00380B40" w:rsidRDefault="003C356A" w:rsidP="00153048">
      <w:pPr>
        <w:rPr>
          <w:lang w:val="en-GB"/>
        </w:rPr>
      </w:pPr>
      <w:r w:rsidRPr="00380B40">
        <w:rPr>
          <w:lang w:val="en-GB"/>
        </w:rPr>
        <w:t>When necessary, between scheduled meetings, the liaison statement may be prepared by an appropriate correspondence process and approved by the study group chairman in consultation with the study group management.</w:t>
      </w:r>
      <w:bookmarkStart w:id="941" w:name="_Toc27280682"/>
    </w:p>
    <w:p w14:paraId="775E6FFB" w14:textId="77777777" w:rsidR="003C356A" w:rsidRPr="00380B40" w:rsidRDefault="003C356A" w:rsidP="003C356A">
      <w:pPr>
        <w:pStyle w:val="Heading3"/>
        <w:rPr>
          <w:lang w:val="en-GB"/>
        </w:rPr>
      </w:pPr>
      <w:bookmarkStart w:id="942" w:name="_Toc111636896"/>
      <w:r w:rsidRPr="00380B40">
        <w:rPr>
          <w:lang w:val="en-GB"/>
        </w:rPr>
        <w:t>2.2.2</w:t>
      </w:r>
      <w:r w:rsidRPr="00380B40">
        <w:rPr>
          <w:lang w:val="en-GB"/>
        </w:rPr>
        <w:tab/>
        <w:t>Documents received from ITU-T A.6-qualified national and regional standards development organizations</w:t>
      </w:r>
      <w:bookmarkEnd w:id="941"/>
      <w:bookmarkEnd w:id="942"/>
    </w:p>
    <w:p w14:paraId="7CFAE179" w14:textId="77777777" w:rsidR="003C356A" w:rsidRPr="00380B40" w:rsidRDefault="003C356A" w:rsidP="003C356A">
      <w:pPr>
        <w:rPr>
          <w:lang w:val="en-GB"/>
        </w:rPr>
      </w:pPr>
      <w:r w:rsidRPr="00380B40">
        <w:rPr>
          <w:lang w:val="en-GB"/>
        </w:rPr>
        <w:t>An ITU</w:t>
      </w:r>
      <w:r w:rsidRPr="00380B40">
        <w:rPr>
          <w:lang w:val="en-GB"/>
        </w:rPr>
        <w:noBreakHyphen/>
        <w:t>T study group may accept from an ITU-T A.6-qualified standards development organization, in whole or in part, the text of a draft document, or an approved document, as all or part of the text of a draft ITU</w:t>
      </w:r>
      <w:r w:rsidRPr="00380B40">
        <w:rPr>
          <w:lang w:val="en-GB"/>
        </w:rPr>
        <w:noBreakHyphen/>
        <w:t>T Recommendation, with or without modification to the text.</w:t>
      </w:r>
    </w:p>
    <w:p w14:paraId="3FA8D15F" w14:textId="77777777" w:rsidR="003C356A" w:rsidRPr="00380B40" w:rsidRDefault="003C356A" w:rsidP="003C356A">
      <w:pPr>
        <w:rPr>
          <w:lang w:val="en-GB"/>
        </w:rPr>
      </w:pPr>
      <w:r w:rsidRPr="00380B40">
        <w:rPr>
          <w:lang w:val="en-GB"/>
        </w:rPr>
        <w:t>When an ITU</w:t>
      </w:r>
      <w:r w:rsidRPr="00380B40">
        <w:rPr>
          <w:lang w:val="en-GB"/>
        </w:rPr>
        <w:noBreakHyphen/>
        <w:t>T study group decides to accept texts from an ITU-T A.6-qualified standards development organization, it notifies the organization about the actions taken concerning those texts. The use, acceptance or reproduction of such texts by the ITU</w:t>
      </w:r>
      <w:r w:rsidRPr="00380B40">
        <w:rPr>
          <w:lang w:val="en-GB"/>
        </w:rPr>
        <w:noBreakHyphen/>
        <w:t>T study group is subject to the copyright arrangements set out in 2.4.</w:t>
      </w:r>
    </w:p>
    <w:p w14:paraId="4A751170" w14:textId="77777777" w:rsidR="003C356A" w:rsidRPr="00380B40" w:rsidRDefault="003C356A" w:rsidP="003C356A">
      <w:pPr>
        <w:rPr>
          <w:lang w:val="en-GB"/>
        </w:rPr>
      </w:pPr>
      <w:r w:rsidRPr="00380B40">
        <w:rPr>
          <w:lang w:val="en-GB"/>
        </w:rPr>
        <w:t>Documents submitted to the ITU</w:t>
      </w:r>
      <w:r w:rsidRPr="00380B40">
        <w:rPr>
          <w:lang w:val="en-GB"/>
        </w:rPr>
        <w:noBreakHyphen/>
        <w:t>T study groups by ITU-T A.6-qualified standards development organizations should conform to criterion 8) in Annex A.</w:t>
      </w:r>
    </w:p>
    <w:p w14:paraId="082ACD0F" w14:textId="77777777" w:rsidR="003C356A" w:rsidRPr="00380B40" w:rsidRDefault="003C356A" w:rsidP="003C356A">
      <w:pPr>
        <w:rPr>
          <w:lang w:val="en-GB"/>
        </w:rPr>
      </w:pPr>
      <w:r w:rsidRPr="00380B40">
        <w:rPr>
          <w:lang w:val="en-GB"/>
        </w:rPr>
        <w:t>These documents are not issued as Contributions. As soon as they arrive they are made available, with the agreement of the study group chairman, for advance consideration by the relevant group. Moreover, they are issued as a document to the relevant group with a reference to the originating standards development organization, i.e. as a Temporary Document at a study group or working party meeting, or as a document at a rapporteur meeting. In the latter case, the receipt and disposition of the document received should be recorded in the report of the rapporteur meeting.</w:t>
      </w:r>
    </w:p>
    <w:p w14:paraId="6D0963FB" w14:textId="77777777" w:rsidR="00795C3C" w:rsidRPr="00380B40" w:rsidRDefault="00795C3C" w:rsidP="00795C3C">
      <w:pPr>
        <w:rPr>
          <w:lang w:val="en-GB"/>
        </w:rPr>
      </w:pPr>
      <w:bookmarkStart w:id="943" w:name="_Toc27280683"/>
      <w:bookmarkStart w:id="944" w:name="_Toc357073511"/>
      <w:bookmarkStart w:id="945" w:name="_Toc357073575"/>
      <w:bookmarkStart w:id="946" w:name="_Toc357172412"/>
      <w:r w:rsidRPr="00380B40">
        <w:rPr>
          <w:lang w:val="en-GB"/>
        </w:rPr>
        <w:br w:type="page"/>
      </w:r>
    </w:p>
    <w:p w14:paraId="1C4D827B" w14:textId="77777777" w:rsidR="003C356A" w:rsidRPr="00380B40" w:rsidRDefault="003C356A" w:rsidP="003C356A">
      <w:pPr>
        <w:pStyle w:val="Heading2"/>
        <w:rPr>
          <w:lang w:val="en-GB"/>
        </w:rPr>
      </w:pPr>
      <w:bookmarkStart w:id="947" w:name="_Toc111636897"/>
      <w:r w:rsidRPr="00380B40">
        <w:rPr>
          <w:lang w:val="en-GB"/>
        </w:rPr>
        <w:t>2.3</w:t>
      </w:r>
      <w:r w:rsidRPr="00380B40">
        <w:rPr>
          <w:lang w:val="en-GB"/>
        </w:rPr>
        <w:tab/>
        <w:t>ITU-T A.6-qualified organizations list</w:t>
      </w:r>
      <w:bookmarkEnd w:id="943"/>
      <w:bookmarkEnd w:id="944"/>
      <w:bookmarkEnd w:id="945"/>
      <w:bookmarkEnd w:id="946"/>
      <w:bookmarkEnd w:id="947"/>
    </w:p>
    <w:p w14:paraId="64936A8B" w14:textId="77777777" w:rsidR="003C356A" w:rsidRPr="00380B40" w:rsidRDefault="003C356A" w:rsidP="003C356A">
      <w:pPr>
        <w:rPr>
          <w:lang w:val="en-GB"/>
        </w:rPr>
      </w:pPr>
      <w:r w:rsidRPr="00380B40">
        <w:rPr>
          <w:lang w:val="en-GB"/>
        </w:rPr>
        <w:t>The Director of TSB is requested to maintain an up-to-date ITU-T A.6-qualified organizations list and associated analyses of the national and regional standards development organizations that are under evaluation and/or have been approved for cooperation and exchange of information, including identification of the study groups concerned, and make it available online.</w:t>
      </w:r>
    </w:p>
    <w:p w14:paraId="066B49BD" w14:textId="77777777" w:rsidR="003C356A" w:rsidRPr="00380B40" w:rsidRDefault="003C356A" w:rsidP="003C356A">
      <w:pPr>
        <w:pStyle w:val="Heading2"/>
        <w:rPr>
          <w:lang w:val="en-GB"/>
        </w:rPr>
      </w:pPr>
      <w:bookmarkStart w:id="948" w:name="_Toc27280684"/>
      <w:bookmarkStart w:id="949" w:name="_Toc357073512"/>
      <w:bookmarkStart w:id="950" w:name="_Toc357073576"/>
      <w:bookmarkStart w:id="951" w:name="_Toc357172413"/>
      <w:bookmarkStart w:id="952" w:name="_Toc111636898"/>
      <w:r w:rsidRPr="00380B40">
        <w:rPr>
          <w:lang w:val="en-GB"/>
        </w:rPr>
        <w:t>2.4</w:t>
      </w:r>
      <w:r w:rsidRPr="00380B40">
        <w:rPr>
          <w:lang w:val="en-GB"/>
        </w:rPr>
        <w:tab/>
        <w:t>Copyright arrangements</w:t>
      </w:r>
      <w:bookmarkEnd w:id="948"/>
      <w:bookmarkEnd w:id="949"/>
      <w:bookmarkEnd w:id="950"/>
      <w:bookmarkEnd w:id="951"/>
      <w:bookmarkEnd w:id="952"/>
    </w:p>
    <w:p w14:paraId="5CF89912" w14:textId="77777777" w:rsidR="003C356A" w:rsidRPr="00380B40" w:rsidRDefault="003C356A" w:rsidP="003C356A">
      <w:pPr>
        <w:rPr>
          <w:lang w:val="en-GB"/>
        </w:rPr>
      </w:pPr>
      <w:r w:rsidRPr="00380B40">
        <w:rPr>
          <w:lang w:val="en-GB"/>
        </w:rPr>
        <w:t>The subject of modifications to texts and arrangements for royalty-free copyright licenses, including the right to sub-license, for texts accepted by either ITU</w:t>
      </w:r>
      <w:r w:rsidRPr="00380B40">
        <w:rPr>
          <w:lang w:val="en-GB"/>
        </w:rPr>
        <w:noBreakHyphen/>
        <w:t>T or by ITU-T A.6-qualified standards development organizations and their publishers and others, is a matter to be agreed upon between TSB and the particular standards development organization. However, the originating organization retains the copyright for its texts.</w:t>
      </w:r>
    </w:p>
    <w:p w14:paraId="48153755" w14:textId="77777777" w:rsidR="003C356A" w:rsidRPr="00380B40" w:rsidRDefault="003C356A" w:rsidP="003C356A">
      <w:pPr>
        <w:pStyle w:val="Heading2"/>
        <w:rPr>
          <w:lang w:val="en-GB"/>
        </w:rPr>
      </w:pPr>
      <w:bookmarkStart w:id="953" w:name="_Toc27280685"/>
      <w:bookmarkStart w:id="954" w:name="_Toc357073513"/>
      <w:bookmarkStart w:id="955" w:name="_Toc357073577"/>
      <w:bookmarkStart w:id="956" w:name="_Toc357172414"/>
      <w:bookmarkStart w:id="957" w:name="_Toc111636899"/>
      <w:r w:rsidRPr="00380B40">
        <w:rPr>
          <w:lang w:val="en-GB"/>
        </w:rPr>
        <w:t>2.5</w:t>
      </w:r>
      <w:r w:rsidRPr="00380B40">
        <w:rPr>
          <w:lang w:val="en-GB"/>
        </w:rPr>
        <w:tab/>
        <w:t>Electronic document exchange</w:t>
      </w:r>
      <w:bookmarkEnd w:id="953"/>
      <w:bookmarkEnd w:id="954"/>
      <w:bookmarkEnd w:id="955"/>
      <w:bookmarkEnd w:id="956"/>
      <w:bookmarkEnd w:id="957"/>
    </w:p>
    <w:p w14:paraId="70F89204" w14:textId="77777777" w:rsidR="003C356A" w:rsidRPr="00380B40" w:rsidRDefault="003C356A" w:rsidP="003C356A">
      <w:pPr>
        <w:rPr>
          <w:lang w:val="en-GB"/>
        </w:rPr>
      </w:pPr>
      <w:r w:rsidRPr="00380B40">
        <w:rPr>
          <w:lang w:val="en-GB"/>
        </w:rPr>
        <w:t>Where possible, the exchange of documents will be in electronic format. Questions of electronic links to enable document exchange is to be agreed upon by the Secretariats of the organizations concerned.</w:t>
      </w:r>
    </w:p>
    <w:p w14:paraId="0B069100" w14:textId="77777777" w:rsidR="004F0795" w:rsidRPr="00380B40" w:rsidRDefault="004F0795" w:rsidP="003C356A">
      <w:pPr>
        <w:tabs>
          <w:tab w:val="clear" w:pos="794"/>
          <w:tab w:val="clear" w:pos="1191"/>
          <w:tab w:val="clear" w:pos="1588"/>
          <w:tab w:val="clear" w:pos="1985"/>
        </w:tabs>
        <w:overflowPunct/>
        <w:autoSpaceDE/>
        <w:autoSpaceDN/>
        <w:adjustRightInd/>
        <w:spacing w:before="0"/>
        <w:jc w:val="left"/>
        <w:textAlignment w:val="auto"/>
        <w:rPr>
          <w:lang w:val="en-GB"/>
        </w:rPr>
      </w:pPr>
    </w:p>
    <w:p w14:paraId="15F5760F" w14:textId="77777777" w:rsidR="004F0795" w:rsidRPr="00380B40" w:rsidRDefault="004F0795" w:rsidP="003C356A">
      <w:pPr>
        <w:tabs>
          <w:tab w:val="clear" w:pos="794"/>
          <w:tab w:val="clear" w:pos="1191"/>
          <w:tab w:val="clear" w:pos="1588"/>
          <w:tab w:val="clear" w:pos="1985"/>
        </w:tabs>
        <w:overflowPunct/>
        <w:autoSpaceDE/>
        <w:autoSpaceDN/>
        <w:adjustRightInd/>
        <w:spacing w:before="0"/>
        <w:jc w:val="left"/>
        <w:textAlignment w:val="auto"/>
        <w:rPr>
          <w:lang w:val="en-GB"/>
        </w:rPr>
      </w:pPr>
    </w:p>
    <w:p w14:paraId="04BED4C0" w14:textId="77777777" w:rsidR="004F0795" w:rsidRPr="00380B40" w:rsidRDefault="004F0795" w:rsidP="003C356A">
      <w:pPr>
        <w:tabs>
          <w:tab w:val="clear" w:pos="794"/>
          <w:tab w:val="clear" w:pos="1191"/>
          <w:tab w:val="clear" w:pos="1588"/>
          <w:tab w:val="clear" w:pos="1985"/>
        </w:tabs>
        <w:overflowPunct/>
        <w:autoSpaceDE/>
        <w:autoSpaceDN/>
        <w:adjustRightInd/>
        <w:spacing w:before="0"/>
        <w:jc w:val="left"/>
        <w:textAlignment w:val="auto"/>
        <w:rPr>
          <w:lang w:val="en-GB"/>
        </w:rPr>
      </w:pPr>
    </w:p>
    <w:p w14:paraId="27F47F2D" w14:textId="77777777" w:rsidR="00795C3C" w:rsidRPr="00380B40" w:rsidRDefault="00795C3C" w:rsidP="003C356A">
      <w:pPr>
        <w:tabs>
          <w:tab w:val="clear" w:pos="794"/>
          <w:tab w:val="clear" w:pos="1191"/>
          <w:tab w:val="clear" w:pos="1588"/>
          <w:tab w:val="clear" w:pos="1985"/>
        </w:tabs>
        <w:overflowPunct/>
        <w:autoSpaceDE/>
        <w:autoSpaceDN/>
        <w:adjustRightInd/>
        <w:spacing w:before="0"/>
        <w:jc w:val="left"/>
        <w:textAlignment w:val="auto"/>
        <w:rPr>
          <w:lang w:val="en-GB"/>
        </w:rPr>
      </w:pPr>
    </w:p>
    <w:p w14:paraId="69BFA861" w14:textId="77777777" w:rsidR="00795C3C" w:rsidRPr="00380B40" w:rsidRDefault="00795C3C" w:rsidP="003C356A">
      <w:pPr>
        <w:tabs>
          <w:tab w:val="clear" w:pos="794"/>
          <w:tab w:val="clear" w:pos="1191"/>
          <w:tab w:val="clear" w:pos="1588"/>
          <w:tab w:val="clear" w:pos="1985"/>
        </w:tabs>
        <w:overflowPunct/>
        <w:autoSpaceDE/>
        <w:autoSpaceDN/>
        <w:adjustRightInd/>
        <w:spacing w:before="0"/>
        <w:jc w:val="left"/>
        <w:textAlignment w:val="auto"/>
        <w:rPr>
          <w:lang w:val="en-GB"/>
        </w:rPr>
      </w:pPr>
    </w:p>
    <w:p w14:paraId="78AB7291" w14:textId="77777777" w:rsidR="00795C3C" w:rsidRPr="00380B40" w:rsidRDefault="00795C3C" w:rsidP="003C356A">
      <w:pPr>
        <w:tabs>
          <w:tab w:val="clear" w:pos="794"/>
          <w:tab w:val="clear" w:pos="1191"/>
          <w:tab w:val="clear" w:pos="1588"/>
          <w:tab w:val="clear" w:pos="1985"/>
        </w:tabs>
        <w:overflowPunct/>
        <w:autoSpaceDE/>
        <w:autoSpaceDN/>
        <w:adjustRightInd/>
        <w:spacing w:before="0"/>
        <w:jc w:val="left"/>
        <w:textAlignment w:val="auto"/>
        <w:rPr>
          <w:lang w:val="en-GB"/>
        </w:rPr>
      </w:pPr>
    </w:p>
    <w:p w14:paraId="64572301" w14:textId="77777777" w:rsidR="00795C3C" w:rsidRPr="00380B40" w:rsidRDefault="00795C3C" w:rsidP="003C356A">
      <w:pPr>
        <w:tabs>
          <w:tab w:val="clear" w:pos="794"/>
          <w:tab w:val="clear" w:pos="1191"/>
          <w:tab w:val="clear" w:pos="1588"/>
          <w:tab w:val="clear" w:pos="1985"/>
        </w:tabs>
        <w:overflowPunct/>
        <w:autoSpaceDE/>
        <w:autoSpaceDN/>
        <w:adjustRightInd/>
        <w:spacing w:before="0"/>
        <w:jc w:val="left"/>
        <w:textAlignment w:val="auto"/>
        <w:rPr>
          <w:lang w:val="en-GB"/>
        </w:rPr>
      </w:pPr>
    </w:p>
    <w:p w14:paraId="7DE6C0CA" w14:textId="77777777" w:rsidR="00795C3C" w:rsidRPr="00380B40" w:rsidRDefault="00795C3C" w:rsidP="003C356A">
      <w:pPr>
        <w:tabs>
          <w:tab w:val="clear" w:pos="794"/>
          <w:tab w:val="clear" w:pos="1191"/>
          <w:tab w:val="clear" w:pos="1588"/>
          <w:tab w:val="clear" w:pos="1985"/>
        </w:tabs>
        <w:overflowPunct/>
        <w:autoSpaceDE/>
        <w:autoSpaceDN/>
        <w:adjustRightInd/>
        <w:spacing w:before="0"/>
        <w:jc w:val="left"/>
        <w:textAlignment w:val="auto"/>
        <w:rPr>
          <w:lang w:val="en-GB"/>
        </w:rPr>
      </w:pPr>
    </w:p>
    <w:p w14:paraId="187F0703" w14:textId="77777777" w:rsidR="00795C3C" w:rsidRPr="00380B40" w:rsidRDefault="00795C3C" w:rsidP="003C356A">
      <w:pPr>
        <w:tabs>
          <w:tab w:val="clear" w:pos="794"/>
          <w:tab w:val="clear" w:pos="1191"/>
          <w:tab w:val="clear" w:pos="1588"/>
          <w:tab w:val="clear" w:pos="1985"/>
        </w:tabs>
        <w:overflowPunct/>
        <w:autoSpaceDE/>
        <w:autoSpaceDN/>
        <w:adjustRightInd/>
        <w:spacing w:before="0"/>
        <w:jc w:val="left"/>
        <w:textAlignment w:val="auto"/>
        <w:rPr>
          <w:lang w:val="en-GB"/>
        </w:rPr>
      </w:pPr>
    </w:p>
    <w:p w14:paraId="5C3CBADB" w14:textId="77777777" w:rsidR="00795C3C" w:rsidRPr="00380B40" w:rsidRDefault="00795C3C" w:rsidP="003C356A">
      <w:pPr>
        <w:tabs>
          <w:tab w:val="clear" w:pos="794"/>
          <w:tab w:val="clear" w:pos="1191"/>
          <w:tab w:val="clear" w:pos="1588"/>
          <w:tab w:val="clear" w:pos="1985"/>
        </w:tabs>
        <w:overflowPunct/>
        <w:autoSpaceDE/>
        <w:autoSpaceDN/>
        <w:adjustRightInd/>
        <w:spacing w:before="0"/>
        <w:jc w:val="left"/>
        <w:textAlignment w:val="auto"/>
        <w:rPr>
          <w:lang w:val="en-GB"/>
        </w:rPr>
      </w:pPr>
    </w:p>
    <w:p w14:paraId="20D94950" w14:textId="77777777" w:rsidR="00795C3C" w:rsidRPr="00380B40" w:rsidRDefault="00795C3C" w:rsidP="003C356A">
      <w:pPr>
        <w:tabs>
          <w:tab w:val="clear" w:pos="794"/>
          <w:tab w:val="clear" w:pos="1191"/>
          <w:tab w:val="clear" w:pos="1588"/>
          <w:tab w:val="clear" w:pos="1985"/>
        </w:tabs>
        <w:overflowPunct/>
        <w:autoSpaceDE/>
        <w:autoSpaceDN/>
        <w:adjustRightInd/>
        <w:spacing w:before="0"/>
        <w:jc w:val="left"/>
        <w:textAlignment w:val="auto"/>
        <w:rPr>
          <w:lang w:val="en-GB"/>
        </w:rPr>
      </w:pPr>
    </w:p>
    <w:p w14:paraId="4ADE4F2A" w14:textId="77777777" w:rsidR="00795C3C" w:rsidRPr="00380B40" w:rsidRDefault="00795C3C" w:rsidP="003C356A">
      <w:pPr>
        <w:tabs>
          <w:tab w:val="clear" w:pos="794"/>
          <w:tab w:val="clear" w:pos="1191"/>
          <w:tab w:val="clear" w:pos="1588"/>
          <w:tab w:val="clear" w:pos="1985"/>
        </w:tabs>
        <w:overflowPunct/>
        <w:autoSpaceDE/>
        <w:autoSpaceDN/>
        <w:adjustRightInd/>
        <w:spacing w:before="0"/>
        <w:jc w:val="left"/>
        <w:textAlignment w:val="auto"/>
        <w:rPr>
          <w:lang w:val="en-GB"/>
        </w:rPr>
      </w:pPr>
    </w:p>
    <w:p w14:paraId="4D8FD493" w14:textId="77777777" w:rsidR="00795C3C" w:rsidRPr="00380B40" w:rsidRDefault="00795C3C" w:rsidP="003C356A">
      <w:pPr>
        <w:tabs>
          <w:tab w:val="clear" w:pos="794"/>
          <w:tab w:val="clear" w:pos="1191"/>
          <w:tab w:val="clear" w:pos="1588"/>
          <w:tab w:val="clear" w:pos="1985"/>
        </w:tabs>
        <w:overflowPunct/>
        <w:autoSpaceDE/>
        <w:autoSpaceDN/>
        <w:adjustRightInd/>
        <w:spacing w:before="0"/>
        <w:jc w:val="left"/>
        <w:textAlignment w:val="auto"/>
        <w:rPr>
          <w:lang w:val="en-GB"/>
        </w:rPr>
      </w:pPr>
    </w:p>
    <w:p w14:paraId="21DAEED6" w14:textId="77777777" w:rsidR="00795C3C" w:rsidRPr="00380B40" w:rsidRDefault="00795C3C" w:rsidP="003C356A">
      <w:pPr>
        <w:tabs>
          <w:tab w:val="clear" w:pos="794"/>
          <w:tab w:val="clear" w:pos="1191"/>
          <w:tab w:val="clear" w:pos="1588"/>
          <w:tab w:val="clear" w:pos="1985"/>
        </w:tabs>
        <w:overflowPunct/>
        <w:autoSpaceDE/>
        <w:autoSpaceDN/>
        <w:adjustRightInd/>
        <w:spacing w:before="0"/>
        <w:jc w:val="left"/>
        <w:textAlignment w:val="auto"/>
        <w:rPr>
          <w:lang w:val="en-GB"/>
        </w:rPr>
      </w:pPr>
    </w:p>
    <w:p w14:paraId="67093CA4" w14:textId="77777777" w:rsidR="00795C3C" w:rsidRPr="00380B40" w:rsidRDefault="00795C3C" w:rsidP="003C356A">
      <w:pPr>
        <w:tabs>
          <w:tab w:val="clear" w:pos="794"/>
          <w:tab w:val="clear" w:pos="1191"/>
          <w:tab w:val="clear" w:pos="1588"/>
          <w:tab w:val="clear" w:pos="1985"/>
        </w:tabs>
        <w:overflowPunct/>
        <w:autoSpaceDE/>
        <w:autoSpaceDN/>
        <w:adjustRightInd/>
        <w:spacing w:before="0"/>
        <w:jc w:val="left"/>
        <w:textAlignment w:val="auto"/>
        <w:rPr>
          <w:lang w:val="en-GB"/>
        </w:rPr>
      </w:pPr>
    </w:p>
    <w:p w14:paraId="6868428E" w14:textId="77777777" w:rsidR="004F0795" w:rsidRPr="00380B40" w:rsidRDefault="004F0795" w:rsidP="003C356A">
      <w:pPr>
        <w:tabs>
          <w:tab w:val="clear" w:pos="794"/>
          <w:tab w:val="clear" w:pos="1191"/>
          <w:tab w:val="clear" w:pos="1588"/>
          <w:tab w:val="clear" w:pos="1985"/>
        </w:tabs>
        <w:overflowPunct/>
        <w:autoSpaceDE/>
        <w:autoSpaceDN/>
        <w:adjustRightInd/>
        <w:spacing w:before="0"/>
        <w:jc w:val="left"/>
        <w:textAlignment w:val="auto"/>
        <w:rPr>
          <w:lang w:val="en-GB"/>
        </w:rPr>
      </w:pPr>
    </w:p>
    <w:p w14:paraId="02CE3FC5" w14:textId="77777777" w:rsidR="004F0795" w:rsidRPr="00380B40" w:rsidRDefault="004F0795" w:rsidP="003C356A">
      <w:pPr>
        <w:tabs>
          <w:tab w:val="clear" w:pos="794"/>
          <w:tab w:val="clear" w:pos="1191"/>
          <w:tab w:val="clear" w:pos="1588"/>
          <w:tab w:val="clear" w:pos="1985"/>
        </w:tabs>
        <w:overflowPunct/>
        <w:autoSpaceDE/>
        <w:autoSpaceDN/>
        <w:adjustRightInd/>
        <w:spacing w:before="0"/>
        <w:jc w:val="left"/>
        <w:textAlignment w:val="auto"/>
        <w:rPr>
          <w:lang w:val="en-GB"/>
        </w:rPr>
      </w:pPr>
    </w:p>
    <w:p w14:paraId="3D71178C" w14:textId="77777777" w:rsidR="004F0795" w:rsidRPr="00380B40" w:rsidRDefault="004F0795" w:rsidP="003C356A">
      <w:pPr>
        <w:tabs>
          <w:tab w:val="clear" w:pos="794"/>
          <w:tab w:val="clear" w:pos="1191"/>
          <w:tab w:val="clear" w:pos="1588"/>
          <w:tab w:val="clear" w:pos="1985"/>
        </w:tabs>
        <w:overflowPunct/>
        <w:autoSpaceDE/>
        <w:autoSpaceDN/>
        <w:adjustRightInd/>
        <w:spacing w:before="0"/>
        <w:jc w:val="left"/>
        <w:textAlignment w:val="auto"/>
        <w:rPr>
          <w:lang w:val="en-GB"/>
        </w:rPr>
      </w:pPr>
    </w:p>
    <w:p w14:paraId="36A12B6E" w14:textId="77777777" w:rsidR="003C356A" w:rsidRPr="00380B40" w:rsidRDefault="003C356A" w:rsidP="003C356A">
      <w:pPr>
        <w:tabs>
          <w:tab w:val="clear" w:pos="794"/>
          <w:tab w:val="clear" w:pos="1191"/>
          <w:tab w:val="clear" w:pos="1588"/>
          <w:tab w:val="clear" w:pos="1985"/>
        </w:tabs>
        <w:overflowPunct/>
        <w:autoSpaceDE/>
        <w:autoSpaceDN/>
        <w:adjustRightInd/>
        <w:spacing w:before="0"/>
        <w:jc w:val="left"/>
        <w:textAlignment w:val="auto"/>
        <w:rPr>
          <w:b/>
          <w:sz w:val="28"/>
          <w:lang w:val="en-GB"/>
        </w:rPr>
      </w:pPr>
      <w:r w:rsidRPr="00380B40">
        <w:rPr>
          <w:lang w:val="en-GB"/>
        </w:rPr>
        <w:br w:type="page"/>
      </w:r>
    </w:p>
    <w:p w14:paraId="600BF612" w14:textId="77777777" w:rsidR="009D2170" w:rsidRPr="00380B40" w:rsidRDefault="003C356A" w:rsidP="009D2170">
      <w:pPr>
        <w:pStyle w:val="AnnexNo"/>
      </w:pPr>
      <w:bookmarkStart w:id="958" w:name="_Toc111636900"/>
      <w:bookmarkStart w:id="959" w:name="_Toc357073514"/>
      <w:bookmarkStart w:id="960" w:name="_Toc357073578"/>
      <w:bookmarkStart w:id="961" w:name="_Toc357172415"/>
      <w:r w:rsidRPr="00380B40">
        <w:t>Annex A</w:t>
      </w:r>
      <w:bookmarkStart w:id="962" w:name="_Toc517687635"/>
      <w:bookmarkEnd w:id="958"/>
      <w:bookmarkEnd w:id="962"/>
    </w:p>
    <w:p w14:paraId="45EC0BF2" w14:textId="77777777" w:rsidR="003C356A" w:rsidRPr="00380B40" w:rsidRDefault="003C356A" w:rsidP="009D2170">
      <w:pPr>
        <w:pStyle w:val="Annextitle"/>
      </w:pPr>
      <w:r w:rsidRPr="00380B40">
        <w:t>Qualifying criteria for cooperation and exchange of information process</w:t>
      </w:r>
      <w:r w:rsidR="005365A0" w:rsidRPr="00380B40">
        <w:t xml:space="preserve"> </w:t>
      </w:r>
      <w:r w:rsidRPr="00380B40">
        <w:t>with national and regional standards development organizations</w:t>
      </w:r>
      <w:bookmarkEnd w:id="959"/>
      <w:bookmarkEnd w:id="960"/>
      <w:bookmarkEnd w:id="961"/>
    </w:p>
    <w:p w14:paraId="0B9322FA" w14:textId="77777777" w:rsidR="003C356A" w:rsidRPr="00380B40" w:rsidRDefault="003C356A" w:rsidP="00092298">
      <w:pPr>
        <w:pStyle w:val="Normalcenteraligned"/>
      </w:pPr>
      <w:r w:rsidRPr="00380B40">
        <w:t>(This annex forms an integral part of this Recommendation.)</w:t>
      </w:r>
    </w:p>
    <w:p w14:paraId="26B17F0E" w14:textId="77777777" w:rsidR="003C356A" w:rsidRPr="00380B40" w:rsidRDefault="003C356A" w:rsidP="003C356A">
      <w:pPr>
        <w:pStyle w:val="Note"/>
        <w:spacing w:before="0" w:after="120"/>
        <w:rPr>
          <w:lang w:val="en-GB"/>
        </w:rPr>
      </w:pPr>
      <w:r w:rsidRPr="00380B40">
        <w:rPr>
          <w:lang w:val="en-GB"/>
        </w:rPr>
        <w:t>NOTE – An administration may require that cooperation and exchange of information with ITU</w:t>
      </w:r>
      <w:r w:rsidRPr="00380B40">
        <w:rPr>
          <w:lang w:val="en-GB"/>
        </w:rPr>
        <w:noBreakHyphen/>
        <w:t>T or its study groups, by a national or regional standards development organization within that administration's jurisdiction, follow its established national procedures.</w:t>
      </w: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3"/>
        <w:gridCol w:w="6378"/>
      </w:tblGrid>
      <w:tr w:rsidR="003C356A" w:rsidRPr="00380B40" w14:paraId="7AC642E4" w14:textId="77777777" w:rsidTr="00D34519">
        <w:trPr>
          <w:cantSplit/>
          <w:tblHeader/>
          <w:jc w:val="center"/>
        </w:trPr>
        <w:tc>
          <w:tcPr>
            <w:tcW w:w="3403" w:type="dxa"/>
            <w:shd w:val="clear" w:color="auto" w:fill="auto"/>
          </w:tcPr>
          <w:p w14:paraId="0263F257" w14:textId="77777777" w:rsidR="003C356A" w:rsidRPr="00380B40" w:rsidRDefault="003C356A" w:rsidP="00427615">
            <w:pPr>
              <w:pStyle w:val="Tableheadwhitecentred"/>
            </w:pPr>
            <w:r w:rsidRPr="00380B40">
              <w:t>National or regional standards</w:t>
            </w:r>
            <w:r w:rsidRPr="00380B40">
              <w:br/>
              <w:t>development organization attributes</w:t>
            </w:r>
          </w:p>
        </w:tc>
        <w:tc>
          <w:tcPr>
            <w:tcW w:w="6378" w:type="dxa"/>
            <w:shd w:val="clear" w:color="auto" w:fill="auto"/>
            <w:vAlign w:val="center"/>
          </w:tcPr>
          <w:p w14:paraId="4F549433" w14:textId="77777777" w:rsidR="003C356A" w:rsidRPr="00380B40" w:rsidRDefault="003C356A" w:rsidP="00427615">
            <w:pPr>
              <w:pStyle w:val="Tableheadwhitecentred"/>
            </w:pPr>
            <w:r w:rsidRPr="00380B40">
              <w:t>Desired characteristics</w:t>
            </w:r>
          </w:p>
        </w:tc>
      </w:tr>
      <w:tr w:rsidR="003C356A" w:rsidRPr="004E0F36" w14:paraId="10E7254B" w14:textId="77777777" w:rsidTr="00D34519">
        <w:trPr>
          <w:cantSplit/>
          <w:jc w:val="center"/>
        </w:trPr>
        <w:tc>
          <w:tcPr>
            <w:tcW w:w="3403" w:type="dxa"/>
            <w:shd w:val="clear" w:color="auto" w:fill="auto"/>
          </w:tcPr>
          <w:p w14:paraId="230117EC" w14:textId="77777777" w:rsidR="003C356A" w:rsidRPr="00380B40" w:rsidRDefault="003C356A" w:rsidP="009D2170">
            <w:pPr>
              <w:pStyle w:val="Tabletextsmallbullet"/>
              <w:jc w:val="left"/>
            </w:pPr>
            <w:r w:rsidRPr="00380B40">
              <w:t>1)</w:t>
            </w:r>
            <w:r w:rsidRPr="00380B40">
              <w:tab/>
              <w:t>Objectives/relationship of work to ITU</w:t>
            </w:r>
            <w:r w:rsidRPr="00380B40">
              <w:noBreakHyphen/>
              <w:t>T work</w:t>
            </w:r>
          </w:p>
        </w:tc>
        <w:tc>
          <w:tcPr>
            <w:tcW w:w="6378" w:type="dxa"/>
            <w:shd w:val="clear" w:color="auto" w:fill="auto"/>
          </w:tcPr>
          <w:p w14:paraId="7BFF6C35" w14:textId="77777777" w:rsidR="003C356A" w:rsidRPr="00380B40" w:rsidRDefault="003C356A" w:rsidP="009D2170">
            <w:pPr>
              <w:pStyle w:val="Tabletextsmall"/>
              <w:jc w:val="left"/>
            </w:pPr>
            <w:r w:rsidRPr="00380B40">
              <w:t>Objectives should be the development, adoption and implementation of standards and the provision of input into international standards organizations, especially ITU</w:t>
            </w:r>
            <w:r w:rsidRPr="00380B40">
              <w:noBreakHyphen/>
              <w:t>T.</w:t>
            </w:r>
          </w:p>
        </w:tc>
      </w:tr>
      <w:tr w:rsidR="003C356A" w:rsidRPr="00380B40" w14:paraId="23D696B1" w14:textId="77777777" w:rsidTr="00D34519">
        <w:trPr>
          <w:cantSplit/>
          <w:jc w:val="center"/>
        </w:trPr>
        <w:tc>
          <w:tcPr>
            <w:tcW w:w="3403" w:type="dxa"/>
            <w:shd w:val="clear" w:color="auto" w:fill="auto"/>
          </w:tcPr>
          <w:p w14:paraId="0E8E616D" w14:textId="77777777" w:rsidR="003C356A" w:rsidRPr="00380B40" w:rsidRDefault="003C356A" w:rsidP="009D2170">
            <w:pPr>
              <w:pStyle w:val="Tabletextsmallbullet"/>
              <w:jc w:val="left"/>
            </w:pPr>
            <w:r w:rsidRPr="00380B40">
              <w:t>2)</w:t>
            </w:r>
            <w:r w:rsidRPr="00380B40">
              <w:tab/>
              <w:t>Organization:</w:t>
            </w:r>
          </w:p>
          <w:p w14:paraId="073C4866" w14:textId="77777777" w:rsidR="003C356A" w:rsidRPr="00380B40" w:rsidRDefault="003C356A" w:rsidP="00E36F7A">
            <w:pPr>
              <w:pStyle w:val="Tabletextsmallbullet"/>
            </w:pPr>
            <w:r w:rsidRPr="00380B40">
              <w:tab/>
              <w:t>–</w:t>
            </w:r>
            <w:r w:rsidRPr="00380B40">
              <w:tab/>
              <w:t>legal status;</w:t>
            </w:r>
          </w:p>
          <w:p w14:paraId="2EB23491" w14:textId="77777777" w:rsidR="003C356A" w:rsidRPr="00380B40" w:rsidRDefault="003C356A" w:rsidP="00E36F7A">
            <w:pPr>
              <w:pStyle w:val="Tabletextsmallbullet"/>
            </w:pPr>
            <w:r w:rsidRPr="00380B40">
              <w:tab/>
              <w:t>–</w:t>
            </w:r>
            <w:r w:rsidRPr="00380B40">
              <w:tab/>
              <w:t>accreditation;</w:t>
            </w:r>
          </w:p>
          <w:p w14:paraId="05976B68" w14:textId="77777777" w:rsidR="003C356A" w:rsidRPr="00380B40" w:rsidRDefault="003C356A" w:rsidP="00E36F7A">
            <w:pPr>
              <w:pStyle w:val="Tabletextsmallbullet"/>
            </w:pPr>
            <w:r w:rsidRPr="00380B40">
              <w:tab/>
              <w:t>–</w:t>
            </w:r>
            <w:r w:rsidRPr="00380B40">
              <w:tab/>
              <w:t>secretariat;</w:t>
            </w:r>
          </w:p>
          <w:p w14:paraId="1D002842" w14:textId="77777777" w:rsidR="003C356A" w:rsidRPr="00380B40" w:rsidRDefault="003C356A" w:rsidP="00E36F7A">
            <w:pPr>
              <w:pStyle w:val="Tabletextsmallbullet"/>
            </w:pPr>
            <w:r w:rsidRPr="00380B40">
              <w:tab/>
              <w:t>–</w:t>
            </w:r>
            <w:r w:rsidRPr="00380B40">
              <w:tab/>
              <w:t>nominated representative.</w:t>
            </w:r>
          </w:p>
        </w:tc>
        <w:tc>
          <w:tcPr>
            <w:tcW w:w="6378" w:type="dxa"/>
            <w:shd w:val="clear" w:color="auto" w:fill="auto"/>
          </w:tcPr>
          <w:p w14:paraId="2A153DA6" w14:textId="77777777" w:rsidR="003C356A" w:rsidRPr="00380B40" w:rsidRDefault="003C356A" w:rsidP="009D2170">
            <w:pPr>
              <w:pStyle w:val="Tabletextsmall"/>
              <w:jc w:val="left"/>
            </w:pPr>
          </w:p>
          <w:p w14:paraId="0BEAE2B3" w14:textId="77777777" w:rsidR="003C356A" w:rsidRPr="00380B40" w:rsidRDefault="003C356A" w:rsidP="009D2170">
            <w:pPr>
              <w:pStyle w:val="Tabletextsmallbullet"/>
              <w:jc w:val="left"/>
            </w:pPr>
            <w:r w:rsidRPr="00380B40">
              <w:t>–</w:t>
            </w:r>
            <w:r w:rsidRPr="00380B40">
              <w:tab/>
              <w:t>should indicate in which country/countries it has legal status;</w:t>
            </w:r>
          </w:p>
          <w:p w14:paraId="4D0794E4" w14:textId="77777777" w:rsidR="003C356A" w:rsidRPr="00380B40" w:rsidRDefault="003C356A" w:rsidP="009D2170">
            <w:pPr>
              <w:pStyle w:val="Tabletextsmallbullet"/>
              <w:jc w:val="left"/>
            </w:pPr>
            <w:r w:rsidRPr="00380B40">
              <w:t>–</w:t>
            </w:r>
            <w:r w:rsidRPr="00380B40">
              <w:tab/>
              <w:t>should indicate the accrediting entity;</w:t>
            </w:r>
          </w:p>
          <w:p w14:paraId="36E7BA95" w14:textId="77777777" w:rsidR="003C356A" w:rsidRPr="00380B40" w:rsidRDefault="003C356A" w:rsidP="009D2170">
            <w:pPr>
              <w:pStyle w:val="Tabletextsmallbullet"/>
              <w:jc w:val="left"/>
            </w:pPr>
            <w:r w:rsidRPr="00380B40">
              <w:t>–</w:t>
            </w:r>
            <w:r w:rsidRPr="00380B40">
              <w:tab/>
              <w:t>should identify the permanent secretariat;</w:t>
            </w:r>
          </w:p>
          <w:p w14:paraId="72EDB21A" w14:textId="77777777" w:rsidR="003C356A" w:rsidRPr="00380B40" w:rsidRDefault="003C356A" w:rsidP="009D2170">
            <w:pPr>
              <w:pStyle w:val="Tabletextsmallbullet"/>
              <w:jc w:val="left"/>
            </w:pPr>
            <w:r w:rsidRPr="00380B40">
              <w:t>–</w:t>
            </w:r>
            <w:r w:rsidRPr="00380B40">
              <w:tab/>
              <w:t>should identify a representative.</w:t>
            </w:r>
          </w:p>
        </w:tc>
      </w:tr>
      <w:tr w:rsidR="003C356A" w:rsidRPr="004E0F36" w14:paraId="0066C41D" w14:textId="77777777" w:rsidTr="00D34519">
        <w:trPr>
          <w:cantSplit/>
          <w:jc w:val="center"/>
        </w:trPr>
        <w:tc>
          <w:tcPr>
            <w:tcW w:w="3403" w:type="dxa"/>
            <w:shd w:val="clear" w:color="auto" w:fill="auto"/>
          </w:tcPr>
          <w:p w14:paraId="7A5FD8E4" w14:textId="77777777" w:rsidR="003C356A" w:rsidRPr="00380B40" w:rsidRDefault="003C356A" w:rsidP="009D2170">
            <w:pPr>
              <w:pStyle w:val="Tabletextsmallbullet"/>
              <w:jc w:val="left"/>
            </w:pPr>
            <w:r w:rsidRPr="00380B40">
              <w:t>3)</w:t>
            </w:r>
            <w:r w:rsidRPr="00380B40">
              <w:tab/>
              <w:t>Membership (openness)</w:t>
            </w:r>
          </w:p>
        </w:tc>
        <w:tc>
          <w:tcPr>
            <w:tcW w:w="6378" w:type="dxa"/>
            <w:shd w:val="clear" w:color="auto" w:fill="auto"/>
          </w:tcPr>
          <w:p w14:paraId="4A10A5CD" w14:textId="77777777" w:rsidR="003C356A" w:rsidRPr="00380B40" w:rsidRDefault="003C356A" w:rsidP="009D2170">
            <w:pPr>
              <w:pStyle w:val="Tabletextsmallbullet"/>
              <w:jc w:val="left"/>
            </w:pPr>
            <w:r w:rsidRPr="00380B40">
              <w:t>–</w:t>
            </w:r>
            <w:r w:rsidRPr="00380B40">
              <w:tab/>
              <w:t>national or regional standards development organization membership criteria should not preclude any party with material interest;</w:t>
            </w:r>
          </w:p>
          <w:p w14:paraId="7BB596CA" w14:textId="77777777" w:rsidR="003C356A" w:rsidRPr="00380B40" w:rsidRDefault="003C356A" w:rsidP="009D2170">
            <w:pPr>
              <w:pStyle w:val="Tabletextsmallbullet"/>
              <w:jc w:val="left"/>
            </w:pPr>
            <w:r w:rsidRPr="00380B40">
              <w:t>–</w:t>
            </w:r>
            <w:r w:rsidRPr="00380B40">
              <w:tab/>
              <w:t>membership should comprise a significant representation of telecommunications interests.</w:t>
            </w:r>
          </w:p>
        </w:tc>
      </w:tr>
      <w:tr w:rsidR="003C356A" w:rsidRPr="004E0F36" w14:paraId="5141511A" w14:textId="77777777" w:rsidTr="00D34519">
        <w:trPr>
          <w:cantSplit/>
          <w:jc w:val="center"/>
        </w:trPr>
        <w:tc>
          <w:tcPr>
            <w:tcW w:w="3403" w:type="dxa"/>
            <w:shd w:val="clear" w:color="auto" w:fill="auto"/>
          </w:tcPr>
          <w:p w14:paraId="017E426A" w14:textId="77777777" w:rsidR="003C356A" w:rsidRPr="00380B40" w:rsidRDefault="003C356A" w:rsidP="009D2170">
            <w:pPr>
              <w:pStyle w:val="Tabletextsmallbullet"/>
              <w:jc w:val="left"/>
            </w:pPr>
            <w:r w:rsidRPr="00380B40">
              <w:t>4)</w:t>
            </w:r>
            <w:r w:rsidRPr="00380B40">
              <w:tab/>
              <w:t>Technical subject areas</w:t>
            </w:r>
          </w:p>
        </w:tc>
        <w:tc>
          <w:tcPr>
            <w:tcW w:w="6378" w:type="dxa"/>
            <w:shd w:val="clear" w:color="auto" w:fill="auto"/>
          </w:tcPr>
          <w:p w14:paraId="63C6809F" w14:textId="77777777" w:rsidR="003C356A" w:rsidRPr="00380B40" w:rsidRDefault="003C356A" w:rsidP="009D2170">
            <w:pPr>
              <w:pStyle w:val="Tabletextsmall"/>
              <w:jc w:val="left"/>
            </w:pPr>
            <w:r w:rsidRPr="00380B40">
              <w:t>Should be relevant to a particular study group(s) or ITU</w:t>
            </w:r>
            <w:r w:rsidRPr="00380B40">
              <w:noBreakHyphen/>
              <w:t>T as a whole.</w:t>
            </w:r>
          </w:p>
        </w:tc>
      </w:tr>
      <w:tr w:rsidR="003C356A" w:rsidRPr="00380B40" w14:paraId="23339C93" w14:textId="77777777" w:rsidTr="00D34519">
        <w:trPr>
          <w:cantSplit/>
          <w:jc w:val="center"/>
        </w:trPr>
        <w:tc>
          <w:tcPr>
            <w:tcW w:w="3403" w:type="dxa"/>
            <w:shd w:val="clear" w:color="auto" w:fill="auto"/>
          </w:tcPr>
          <w:p w14:paraId="51D142D6" w14:textId="77777777" w:rsidR="003C356A" w:rsidRPr="00380B40" w:rsidRDefault="003C356A" w:rsidP="009D2170">
            <w:pPr>
              <w:pStyle w:val="Tabletextsmallbullet"/>
              <w:jc w:val="left"/>
            </w:pPr>
            <w:r w:rsidRPr="00380B40">
              <w:t>5)</w:t>
            </w:r>
            <w:r w:rsidRPr="00380B40">
              <w:tab/>
              <w:t>IPR Policy and Guidelines on:</w:t>
            </w:r>
          </w:p>
          <w:p w14:paraId="63FDF743" w14:textId="77777777" w:rsidR="003C356A" w:rsidRPr="00380B40" w:rsidRDefault="003C356A" w:rsidP="009D2170">
            <w:pPr>
              <w:pStyle w:val="Tabletextsmallbullet"/>
              <w:jc w:val="left"/>
            </w:pPr>
            <w:r w:rsidRPr="00380B40">
              <w:rPr>
                <w:i/>
                <w:iCs/>
              </w:rPr>
              <w:t>a)</w:t>
            </w:r>
            <w:r w:rsidRPr="00380B40">
              <w:tab/>
              <w:t>patents;</w:t>
            </w:r>
            <w:r w:rsidRPr="00380B40">
              <w:br/>
            </w:r>
            <w:r w:rsidRPr="00380B40">
              <w:br/>
            </w:r>
          </w:p>
          <w:p w14:paraId="2103B848" w14:textId="77777777" w:rsidR="003C356A" w:rsidRPr="00380B40" w:rsidRDefault="003C356A" w:rsidP="009D2170">
            <w:pPr>
              <w:pStyle w:val="Tabletextsmallbullet"/>
              <w:jc w:val="left"/>
            </w:pPr>
            <w:r w:rsidRPr="00380B40">
              <w:rPr>
                <w:i/>
                <w:iCs/>
              </w:rPr>
              <w:t>b)</w:t>
            </w:r>
            <w:r w:rsidRPr="00380B40">
              <w:tab/>
              <w:t>software copyright (if applicable);</w:t>
            </w:r>
          </w:p>
          <w:p w14:paraId="26C16E0F" w14:textId="77777777" w:rsidR="003C356A" w:rsidRPr="00380B40" w:rsidRDefault="003C356A" w:rsidP="009D2170">
            <w:pPr>
              <w:pStyle w:val="Tabletextsmallbullet"/>
              <w:jc w:val="left"/>
            </w:pPr>
            <w:r w:rsidRPr="00380B40">
              <w:rPr>
                <w:i/>
                <w:iCs/>
              </w:rPr>
              <w:t>c)</w:t>
            </w:r>
            <w:r w:rsidRPr="00380B40">
              <w:tab/>
              <w:t>marks (if applicable); and</w:t>
            </w:r>
            <w:r w:rsidRPr="00380B40">
              <w:br/>
            </w:r>
          </w:p>
          <w:p w14:paraId="65A80F5C" w14:textId="77777777" w:rsidR="003C356A" w:rsidRPr="00380B40" w:rsidRDefault="003C356A" w:rsidP="009D2170">
            <w:pPr>
              <w:pStyle w:val="Tabletextsmallbullet"/>
              <w:jc w:val="left"/>
            </w:pPr>
            <w:r w:rsidRPr="00380B40">
              <w:rPr>
                <w:i/>
                <w:iCs/>
              </w:rPr>
              <w:t>d)</w:t>
            </w:r>
            <w:r w:rsidRPr="00380B40">
              <w:tab/>
              <w:t>copyright;</w:t>
            </w:r>
          </w:p>
          <w:p w14:paraId="7B623B6C" w14:textId="77777777" w:rsidR="003C356A" w:rsidRPr="00380B40" w:rsidRDefault="003C356A" w:rsidP="009D2170">
            <w:pPr>
              <w:pStyle w:val="Tabletextsmall"/>
              <w:jc w:val="left"/>
            </w:pPr>
          </w:p>
        </w:tc>
        <w:tc>
          <w:tcPr>
            <w:tcW w:w="6378" w:type="dxa"/>
            <w:shd w:val="clear" w:color="auto" w:fill="auto"/>
          </w:tcPr>
          <w:p w14:paraId="028E99DF" w14:textId="77777777" w:rsidR="003C356A" w:rsidRPr="00380B40" w:rsidRDefault="003C356A" w:rsidP="009D2170">
            <w:pPr>
              <w:pStyle w:val="Tabletextsmall"/>
              <w:jc w:val="left"/>
            </w:pPr>
          </w:p>
          <w:p w14:paraId="33B1A866" w14:textId="77777777" w:rsidR="003C356A" w:rsidRPr="00380B40" w:rsidRDefault="003C356A" w:rsidP="009D2170">
            <w:pPr>
              <w:pStyle w:val="Tabletextsmallbullet"/>
              <w:jc w:val="left"/>
            </w:pPr>
            <w:r w:rsidRPr="00380B40">
              <w:rPr>
                <w:i/>
                <w:iCs/>
              </w:rPr>
              <w:t>a)</w:t>
            </w:r>
            <w:r w:rsidRPr="00380B40">
              <w:tab/>
              <w:t>should be consistent with "Common Patent Policy for ITU</w:t>
            </w:r>
            <w:r w:rsidRPr="00380B40">
              <w:noBreakHyphen/>
              <w:t>T/ ITU</w:t>
            </w:r>
            <w:r w:rsidRPr="00380B40">
              <w:noBreakHyphen/>
              <w:t>R/ISO/IEC" and "Guidelines for Implementation of the Common Patent Policy for ITU</w:t>
            </w:r>
            <w:r w:rsidRPr="00380B40">
              <w:noBreakHyphen/>
              <w:t>T/ITU</w:t>
            </w:r>
            <w:r w:rsidRPr="00380B40">
              <w:noBreakHyphen/>
              <w:t>R/ISO/IEC"*);</w:t>
            </w:r>
          </w:p>
          <w:p w14:paraId="4196273A" w14:textId="77777777" w:rsidR="003C356A" w:rsidRPr="00380B40" w:rsidRDefault="003C356A" w:rsidP="009D2170">
            <w:pPr>
              <w:pStyle w:val="Tabletextsmallbullet"/>
              <w:jc w:val="left"/>
            </w:pPr>
            <w:r w:rsidRPr="00380B40">
              <w:rPr>
                <w:i/>
                <w:iCs/>
              </w:rPr>
              <w:t>b)</w:t>
            </w:r>
            <w:r w:rsidRPr="00380B40">
              <w:tab/>
              <w:t>should be consistent with "ITU</w:t>
            </w:r>
            <w:r w:rsidRPr="00380B40">
              <w:noBreakHyphen/>
              <w:t>T Software Copyright Guidelines</w:t>
            </w:r>
            <w:r w:rsidRPr="00380B40">
              <w:rPr>
                <w:rFonts w:eastAsia="SimSun"/>
              </w:rPr>
              <w:t>"*)</w:t>
            </w:r>
            <w:r w:rsidRPr="00380B40">
              <w:t>;</w:t>
            </w:r>
          </w:p>
          <w:p w14:paraId="386BA234" w14:textId="77777777" w:rsidR="003C356A" w:rsidRPr="00380B40" w:rsidRDefault="003C356A" w:rsidP="009D2170">
            <w:pPr>
              <w:pStyle w:val="Tabletextsmallbullet"/>
              <w:jc w:val="left"/>
              <w:rPr>
                <w:rFonts w:eastAsia="SimSun"/>
              </w:rPr>
            </w:pPr>
            <w:r w:rsidRPr="00380B40">
              <w:rPr>
                <w:i/>
                <w:iCs/>
              </w:rPr>
              <w:t>c)</w:t>
            </w:r>
            <w:r w:rsidRPr="00380B40">
              <w:rPr>
                <w:rFonts w:eastAsia="SimSun"/>
              </w:rPr>
              <w:tab/>
              <w:t>should be consistent with "ITU</w:t>
            </w:r>
            <w:r w:rsidRPr="00380B40">
              <w:rPr>
                <w:rFonts w:eastAsia="SimSun"/>
              </w:rPr>
              <w:noBreakHyphen/>
              <w:t>T Guidelines related to the inclusion of Marks in ITU</w:t>
            </w:r>
            <w:r w:rsidRPr="00380B40">
              <w:rPr>
                <w:rFonts w:eastAsia="SimSun"/>
              </w:rPr>
              <w:noBreakHyphen/>
              <w:t>T Recommendations";</w:t>
            </w:r>
          </w:p>
          <w:p w14:paraId="143A7F55" w14:textId="77777777" w:rsidR="003C356A" w:rsidRPr="00380B40" w:rsidRDefault="003C356A" w:rsidP="009D2170">
            <w:pPr>
              <w:pStyle w:val="Tabletextsmallbullet"/>
              <w:jc w:val="left"/>
            </w:pPr>
            <w:r w:rsidRPr="00380B40">
              <w:rPr>
                <w:i/>
                <w:iCs/>
              </w:rPr>
              <w:t>d)</w:t>
            </w:r>
            <w:r w:rsidRPr="00380B40">
              <w:rPr>
                <w:rFonts w:eastAsia="SimSun"/>
              </w:rPr>
              <w:tab/>
              <w:t xml:space="preserve">ITU and ITU Member States and Sector Members should have the right to copy for standardization-related purposes </w:t>
            </w:r>
            <w:r w:rsidRPr="00380B40">
              <w:t>(see also Rec. ITU</w:t>
            </w:r>
            <w:r w:rsidRPr="00380B40">
              <w:noBreakHyphen/>
              <w:t>T A.1 with regard to copying and distribution).</w:t>
            </w:r>
          </w:p>
        </w:tc>
      </w:tr>
      <w:tr w:rsidR="003C356A" w:rsidRPr="004E0F36" w14:paraId="38D5AF35" w14:textId="77777777" w:rsidTr="00D34519">
        <w:trPr>
          <w:cantSplit/>
          <w:jc w:val="center"/>
        </w:trPr>
        <w:tc>
          <w:tcPr>
            <w:tcW w:w="3403" w:type="dxa"/>
            <w:shd w:val="clear" w:color="auto" w:fill="auto"/>
          </w:tcPr>
          <w:p w14:paraId="0E0A6BD4" w14:textId="77777777" w:rsidR="003C356A" w:rsidRPr="00380B40" w:rsidRDefault="003C356A" w:rsidP="009D2170">
            <w:pPr>
              <w:pStyle w:val="Tabletextsmallbullet"/>
              <w:jc w:val="left"/>
            </w:pPr>
            <w:r w:rsidRPr="00380B40">
              <w:t>6)</w:t>
            </w:r>
            <w:r w:rsidRPr="00380B40">
              <w:tab/>
              <w:t>Working methods/processes</w:t>
            </w:r>
          </w:p>
        </w:tc>
        <w:tc>
          <w:tcPr>
            <w:tcW w:w="6378" w:type="dxa"/>
            <w:shd w:val="clear" w:color="auto" w:fill="auto"/>
          </w:tcPr>
          <w:p w14:paraId="40D74EE0" w14:textId="77777777" w:rsidR="003C356A" w:rsidRPr="00380B40" w:rsidRDefault="003C356A" w:rsidP="009D2170">
            <w:pPr>
              <w:pStyle w:val="Tabletextsmallbullet"/>
              <w:jc w:val="left"/>
            </w:pPr>
            <w:r w:rsidRPr="00380B40">
              <w:t>–</w:t>
            </w:r>
            <w:r w:rsidRPr="00380B40">
              <w:tab/>
              <w:t>should be well-documented;</w:t>
            </w:r>
          </w:p>
          <w:p w14:paraId="1EF9BD52" w14:textId="77777777" w:rsidR="003C356A" w:rsidRPr="00380B40" w:rsidRDefault="003C356A" w:rsidP="009D2170">
            <w:pPr>
              <w:pStyle w:val="Tabletextsmallbullet"/>
              <w:jc w:val="left"/>
            </w:pPr>
            <w:r w:rsidRPr="00380B40">
              <w:t>–</w:t>
            </w:r>
            <w:r w:rsidRPr="00380B40">
              <w:tab/>
              <w:t>should be open and fair;</w:t>
            </w:r>
          </w:p>
          <w:p w14:paraId="6DE0B360" w14:textId="77777777" w:rsidR="003C356A" w:rsidRPr="00380B40" w:rsidRDefault="003C356A" w:rsidP="009D2170">
            <w:pPr>
              <w:pStyle w:val="Tabletextsmallbullet"/>
              <w:jc w:val="left"/>
            </w:pPr>
            <w:r w:rsidRPr="00380B40">
              <w:t>–</w:t>
            </w:r>
            <w:r w:rsidRPr="00380B40">
              <w:tab/>
              <w:t>should support competition;</w:t>
            </w:r>
          </w:p>
          <w:p w14:paraId="604E59BE" w14:textId="77777777" w:rsidR="003C356A" w:rsidRPr="00380B40" w:rsidRDefault="003C356A" w:rsidP="009D2170">
            <w:pPr>
              <w:pStyle w:val="Tabletextsmallbullet"/>
              <w:jc w:val="left"/>
            </w:pPr>
            <w:r w:rsidRPr="00380B40">
              <w:t>–</w:t>
            </w:r>
            <w:r w:rsidRPr="00380B40">
              <w:tab/>
              <w:t>should explicitly consider anti-trust issues.</w:t>
            </w:r>
          </w:p>
        </w:tc>
      </w:tr>
      <w:tr w:rsidR="003C356A" w:rsidRPr="00380B40" w14:paraId="57DBDEDD" w14:textId="77777777" w:rsidTr="00D34519">
        <w:trPr>
          <w:cantSplit/>
          <w:jc w:val="center"/>
        </w:trPr>
        <w:tc>
          <w:tcPr>
            <w:tcW w:w="3403" w:type="dxa"/>
            <w:shd w:val="clear" w:color="auto" w:fill="auto"/>
          </w:tcPr>
          <w:p w14:paraId="78AF4E48" w14:textId="77777777" w:rsidR="003C356A" w:rsidRPr="00380B40" w:rsidRDefault="003C356A" w:rsidP="009D2170">
            <w:pPr>
              <w:pStyle w:val="Tabletextsmall"/>
              <w:jc w:val="left"/>
            </w:pPr>
            <w:r w:rsidRPr="00380B40">
              <w:t>National or regional standards</w:t>
            </w:r>
            <w:r w:rsidRPr="00380B40">
              <w:br/>
              <w:t>development organization attributes</w:t>
            </w:r>
          </w:p>
        </w:tc>
        <w:tc>
          <w:tcPr>
            <w:tcW w:w="6378" w:type="dxa"/>
            <w:shd w:val="clear" w:color="auto" w:fill="auto"/>
          </w:tcPr>
          <w:p w14:paraId="785B0BAD" w14:textId="77777777" w:rsidR="003C356A" w:rsidRPr="00380B40" w:rsidRDefault="003C356A" w:rsidP="009D2170">
            <w:pPr>
              <w:pStyle w:val="Tabletextsmall"/>
              <w:jc w:val="left"/>
            </w:pPr>
            <w:r w:rsidRPr="00380B40">
              <w:t>Desired characteristics</w:t>
            </w:r>
          </w:p>
        </w:tc>
      </w:tr>
      <w:tr w:rsidR="003C356A" w:rsidRPr="004E0F36" w14:paraId="0BB17F93" w14:textId="77777777" w:rsidTr="00D34519">
        <w:trPr>
          <w:cantSplit/>
          <w:jc w:val="center"/>
        </w:trPr>
        <w:tc>
          <w:tcPr>
            <w:tcW w:w="3403" w:type="dxa"/>
            <w:shd w:val="clear" w:color="auto" w:fill="auto"/>
          </w:tcPr>
          <w:p w14:paraId="2901973C" w14:textId="77777777" w:rsidR="003C356A" w:rsidRPr="00380B40" w:rsidRDefault="003C356A" w:rsidP="009D2170">
            <w:pPr>
              <w:pStyle w:val="Tabletextsmallbullet"/>
              <w:jc w:val="left"/>
            </w:pPr>
            <w:r w:rsidRPr="00380B40">
              <w:t>7)</w:t>
            </w:r>
            <w:r w:rsidRPr="00380B40">
              <w:tab/>
              <w:t>Outputs</w:t>
            </w:r>
          </w:p>
        </w:tc>
        <w:tc>
          <w:tcPr>
            <w:tcW w:w="6378" w:type="dxa"/>
            <w:shd w:val="clear" w:color="auto" w:fill="auto"/>
          </w:tcPr>
          <w:p w14:paraId="3D138F32" w14:textId="77777777" w:rsidR="003C356A" w:rsidRPr="00380B40" w:rsidRDefault="003C356A" w:rsidP="009D2170">
            <w:pPr>
              <w:pStyle w:val="Tabletextsmallbullet"/>
              <w:jc w:val="left"/>
            </w:pPr>
            <w:r w:rsidRPr="00380B40">
              <w:t>–</w:t>
            </w:r>
            <w:r w:rsidRPr="00380B40">
              <w:tab/>
              <w:t>outputs available to ITU</w:t>
            </w:r>
            <w:r w:rsidRPr="00380B40">
              <w:noBreakHyphen/>
              <w:t>T should be identified;</w:t>
            </w:r>
          </w:p>
          <w:p w14:paraId="3269460F" w14:textId="77777777" w:rsidR="003C356A" w:rsidRPr="00380B40" w:rsidRDefault="003C356A" w:rsidP="009D2170">
            <w:pPr>
              <w:pStyle w:val="Tabletextsmallbullet"/>
              <w:jc w:val="left"/>
            </w:pPr>
            <w:r w:rsidRPr="00380B40">
              <w:t>–</w:t>
            </w:r>
            <w:r w:rsidRPr="00380B40">
              <w:tab/>
              <w:t>process for ITU</w:t>
            </w:r>
            <w:r w:rsidRPr="00380B40">
              <w:noBreakHyphen/>
              <w:t>T to obtain outputs should be identified.</w:t>
            </w:r>
          </w:p>
        </w:tc>
      </w:tr>
    </w:tbl>
    <w:p w14:paraId="3377E0E0" w14:textId="77777777" w:rsidR="00E856C8" w:rsidRPr="00C777D4" w:rsidRDefault="00E856C8">
      <w:pPr>
        <w:rPr>
          <w:lang w:val="en-GB"/>
        </w:rPr>
      </w:pPr>
    </w:p>
    <w:p w14:paraId="18FACD3D" w14:textId="77777777" w:rsidR="00D34519" w:rsidRPr="00C777D4" w:rsidRDefault="00D34519">
      <w:pPr>
        <w:rPr>
          <w:lang w:val="en-GB"/>
        </w:rPr>
      </w:pPr>
      <w:r w:rsidRPr="00C777D4">
        <w:rPr>
          <w:lang w:val="en-GB"/>
        </w:rPr>
        <w:br w:type="page"/>
      </w:r>
    </w:p>
    <w:p w14:paraId="68A06B29" w14:textId="522A3E23" w:rsidR="00D34519" w:rsidRPr="00380B40" w:rsidRDefault="00D34519" w:rsidP="00D34519">
      <w:pPr>
        <w:pStyle w:val="Continued"/>
      </w:pP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3"/>
        <w:gridCol w:w="6378"/>
      </w:tblGrid>
      <w:tr w:rsidR="00D34519" w:rsidRPr="00380B40" w14:paraId="4A2E0EA3" w14:textId="77777777" w:rsidTr="004E4CA9">
        <w:trPr>
          <w:cantSplit/>
          <w:tblHeader/>
          <w:jc w:val="center"/>
        </w:trPr>
        <w:tc>
          <w:tcPr>
            <w:tcW w:w="3403" w:type="dxa"/>
            <w:shd w:val="clear" w:color="auto" w:fill="auto"/>
          </w:tcPr>
          <w:p w14:paraId="6D3BE11A" w14:textId="77777777" w:rsidR="00D34519" w:rsidRPr="00380B40" w:rsidRDefault="00D34519" w:rsidP="004E4CA9">
            <w:pPr>
              <w:pStyle w:val="Tableheadwhitecentred"/>
            </w:pPr>
            <w:r w:rsidRPr="00380B40">
              <w:t>National or regional standards</w:t>
            </w:r>
            <w:r w:rsidRPr="00380B40">
              <w:br/>
              <w:t>development organization attributes</w:t>
            </w:r>
          </w:p>
        </w:tc>
        <w:tc>
          <w:tcPr>
            <w:tcW w:w="6378" w:type="dxa"/>
            <w:shd w:val="clear" w:color="auto" w:fill="auto"/>
            <w:vAlign w:val="center"/>
          </w:tcPr>
          <w:p w14:paraId="2D37A127" w14:textId="77777777" w:rsidR="00D34519" w:rsidRPr="00380B40" w:rsidRDefault="00D34519" w:rsidP="004E4CA9">
            <w:pPr>
              <w:pStyle w:val="Tableheadwhitecentred"/>
            </w:pPr>
            <w:r w:rsidRPr="00380B40">
              <w:t>Desired characteristics</w:t>
            </w:r>
          </w:p>
        </w:tc>
      </w:tr>
      <w:tr w:rsidR="003C356A" w:rsidRPr="004E0F36" w14:paraId="3D6E0A46" w14:textId="77777777" w:rsidTr="00D34519">
        <w:trPr>
          <w:cantSplit/>
          <w:jc w:val="center"/>
        </w:trPr>
        <w:tc>
          <w:tcPr>
            <w:tcW w:w="3403" w:type="dxa"/>
            <w:shd w:val="clear" w:color="auto" w:fill="auto"/>
          </w:tcPr>
          <w:p w14:paraId="63F46944" w14:textId="77777777" w:rsidR="003C356A" w:rsidRPr="00380B40" w:rsidRDefault="003C356A" w:rsidP="009D2170">
            <w:pPr>
              <w:pStyle w:val="Tabletextsmallbullet"/>
              <w:jc w:val="left"/>
            </w:pPr>
            <w:r w:rsidRPr="00380B40">
              <w:t>8)</w:t>
            </w:r>
            <w:r w:rsidRPr="00380B40">
              <w:tab/>
              <w:t>Documents submitted to ITU</w:t>
            </w:r>
            <w:r w:rsidRPr="00380B40">
              <w:noBreakHyphen/>
              <w:t>T</w:t>
            </w:r>
          </w:p>
        </w:tc>
        <w:tc>
          <w:tcPr>
            <w:tcW w:w="6378" w:type="dxa"/>
            <w:shd w:val="clear" w:color="auto" w:fill="auto"/>
          </w:tcPr>
          <w:p w14:paraId="32773EAE" w14:textId="77777777" w:rsidR="003C356A" w:rsidRPr="00380B40" w:rsidRDefault="003C356A" w:rsidP="009D2170">
            <w:pPr>
              <w:pStyle w:val="Tabletextsmallbullet"/>
              <w:jc w:val="left"/>
            </w:pPr>
            <w:r w:rsidRPr="00380B40">
              <w:t>–</w:t>
            </w:r>
            <w:r w:rsidRPr="00380B40">
              <w:tab/>
              <w:t>should indicate source within the national or regional standards development organization (e.g. committee, subcommittee, etc.);</w:t>
            </w:r>
          </w:p>
          <w:p w14:paraId="23AC5F0C" w14:textId="77777777" w:rsidR="003C356A" w:rsidRPr="00380B40" w:rsidRDefault="003C356A" w:rsidP="009D2170">
            <w:pPr>
              <w:pStyle w:val="Tabletextsmallbullet"/>
              <w:jc w:val="left"/>
            </w:pPr>
            <w:r w:rsidRPr="00380B40">
              <w:t>–</w:t>
            </w:r>
            <w:r w:rsidRPr="00380B40">
              <w:tab/>
              <w:t>should indicate degree of stability of the document (e.g. preliminary, mature, stable, proposed date of adoption, etc.);</w:t>
            </w:r>
          </w:p>
          <w:p w14:paraId="26C70DED" w14:textId="77777777" w:rsidR="003C356A" w:rsidRPr="00380B40" w:rsidRDefault="003C356A" w:rsidP="009D2170">
            <w:pPr>
              <w:pStyle w:val="Tabletextsmallbullet"/>
              <w:jc w:val="left"/>
            </w:pPr>
            <w:r w:rsidRPr="00380B40">
              <w:t>–</w:t>
            </w:r>
            <w:r w:rsidRPr="00380B40">
              <w:tab/>
              <w:t>should indicate status of document (i.e. working document, draft, interim or approved standard).</w:t>
            </w:r>
          </w:p>
        </w:tc>
      </w:tr>
      <w:tr w:rsidR="003C356A" w:rsidRPr="004E0F36" w14:paraId="58C7D7CA" w14:textId="77777777" w:rsidTr="00D34519">
        <w:trPr>
          <w:cantSplit/>
          <w:jc w:val="center"/>
        </w:trPr>
        <w:tc>
          <w:tcPr>
            <w:tcW w:w="9781" w:type="dxa"/>
            <w:gridSpan w:val="2"/>
            <w:shd w:val="clear" w:color="auto" w:fill="auto"/>
          </w:tcPr>
          <w:p w14:paraId="418CFCB7" w14:textId="77777777" w:rsidR="003C356A" w:rsidRPr="00380B40" w:rsidRDefault="003C356A" w:rsidP="00B611A9">
            <w:pPr>
              <w:pStyle w:val="Tabletextsmallbullet"/>
            </w:pPr>
            <w:r w:rsidRPr="00380B40">
              <w:rPr>
                <w:rFonts w:eastAsia="SimSun"/>
              </w:rPr>
              <w:t>*</w:t>
            </w:r>
            <w:r w:rsidRPr="00380B40">
              <w:rPr>
                <w:rFonts w:eastAsia="SimSun"/>
              </w:rPr>
              <w:tab/>
              <w:t>Particularly, licences must be offered on a non-discriminatory basis on reasonable terms and conditions (whether free of charge or with monetary compensation) to both members and non-members.</w:t>
            </w:r>
          </w:p>
        </w:tc>
      </w:tr>
    </w:tbl>
    <w:p w14:paraId="05AE3C06" w14:textId="77777777" w:rsidR="004F0795" w:rsidRPr="00380B40" w:rsidRDefault="004F0795" w:rsidP="008C3E8D">
      <w:pPr>
        <w:rPr>
          <w:lang w:val="en-GB"/>
        </w:rPr>
      </w:pPr>
    </w:p>
    <w:p w14:paraId="08416B47" w14:textId="77777777" w:rsidR="00D34519" w:rsidRPr="00380B40" w:rsidRDefault="00D34519" w:rsidP="008C3E8D">
      <w:pPr>
        <w:rPr>
          <w:lang w:val="en-GB"/>
        </w:rPr>
      </w:pPr>
    </w:p>
    <w:p w14:paraId="50BD4601" w14:textId="77777777" w:rsidR="00D34519" w:rsidRPr="00380B40" w:rsidRDefault="00D34519" w:rsidP="008C3E8D">
      <w:pPr>
        <w:rPr>
          <w:lang w:val="en-GB"/>
        </w:rPr>
      </w:pPr>
    </w:p>
    <w:p w14:paraId="08336B95" w14:textId="77777777" w:rsidR="00D34519" w:rsidRPr="00380B40" w:rsidRDefault="00D34519" w:rsidP="008C3E8D">
      <w:pPr>
        <w:rPr>
          <w:lang w:val="en-GB"/>
        </w:rPr>
      </w:pPr>
    </w:p>
    <w:p w14:paraId="37B2F717" w14:textId="77777777" w:rsidR="00D34519" w:rsidRPr="00380B40" w:rsidRDefault="00D34519" w:rsidP="008C3E8D">
      <w:pPr>
        <w:rPr>
          <w:lang w:val="en-GB"/>
        </w:rPr>
      </w:pPr>
    </w:p>
    <w:p w14:paraId="67BDFD87" w14:textId="77777777" w:rsidR="00D34519" w:rsidRPr="00380B40" w:rsidRDefault="00D34519" w:rsidP="008C3E8D">
      <w:pPr>
        <w:rPr>
          <w:lang w:val="en-GB"/>
        </w:rPr>
      </w:pPr>
    </w:p>
    <w:p w14:paraId="7EB40B84" w14:textId="77777777" w:rsidR="00D34519" w:rsidRPr="00380B40" w:rsidRDefault="00D34519" w:rsidP="008C3E8D">
      <w:pPr>
        <w:rPr>
          <w:lang w:val="en-GB"/>
        </w:rPr>
      </w:pPr>
    </w:p>
    <w:p w14:paraId="5C2AC13C" w14:textId="77777777" w:rsidR="00D34519" w:rsidRPr="00380B40" w:rsidRDefault="00D34519" w:rsidP="008C3E8D">
      <w:pPr>
        <w:rPr>
          <w:lang w:val="en-GB"/>
        </w:rPr>
      </w:pPr>
    </w:p>
    <w:p w14:paraId="6F44056B" w14:textId="77777777" w:rsidR="00D34519" w:rsidRPr="00380B40" w:rsidRDefault="00D34519" w:rsidP="008C3E8D">
      <w:pPr>
        <w:rPr>
          <w:lang w:val="en-GB"/>
        </w:rPr>
      </w:pPr>
    </w:p>
    <w:p w14:paraId="1F90C5EC" w14:textId="77777777" w:rsidR="00D34519" w:rsidRPr="00380B40" w:rsidRDefault="00D34519" w:rsidP="008C3E8D">
      <w:pPr>
        <w:rPr>
          <w:lang w:val="en-GB"/>
        </w:rPr>
      </w:pPr>
    </w:p>
    <w:p w14:paraId="10059F84" w14:textId="77777777" w:rsidR="00D34519" w:rsidRPr="00380B40" w:rsidRDefault="00D34519" w:rsidP="008C3E8D">
      <w:pPr>
        <w:rPr>
          <w:lang w:val="en-GB"/>
        </w:rPr>
      </w:pPr>
    </w:p>
    <w:p w14:paraId="42C547F2" w14:textId="77777777" w:rsidR="00D34519" w:rsidRPr="00380B40" w:rsidRDefault="00D34519" w:rsidP="008C3E8D">
      <w:pPr>
        <w:rPr>
          <w:lang w:val="en-GB"/>
        </w:rPr>
      </w:pPr>
    </w:p>
    <w:p w14:paraId="2565E336" w14:textId="77777777" w:rsidR="00D34519" w:rsidRPr="00380B40" w:rsidRDefault="00D34519" w:rsidP="008C3E8D">
      <w:pPr>
        <w:rPr>
          <w:lang w:val="en-GB"/>
        </w:rPr>
      </w:pPr>
    </w:p>
    <w:p w14:paraId="50CA4F5B" w14:textId="77777777" w:rsidR="00D34519" w:rsidRPr="00380B40" w:rsidRDefault="00D34519" w:rsidP="008C3E8D">
      <w:pPr>
        <w:rPr>
          <w:lang w:val="en-GB"/>
        </w:rPr>
      </w:pPr>
    </w:p>
    <w:p w14:paraId="7C532D7F" w14:textId="77777777" w:rsidR="007E52B2" w:rsidRPr="00380B40" w:rsidRDefault="007E52B2" w:rsidP="008C3E8D">
      <w:pPr>
        <w:pStyle w:val="AppendixNoTitle"/>
        <w:rPr>
          <w:lang w:val="en-GB"/>
        </w:rPr>
        <w:sectPr w:rsidR="007E52B2" w:rsidRPr="00380B40" w:rsidSect="0057705A">
          <w:headerReference w:type="even" r:id="rId377"/>
          <w:headerReference w:type="default" r:id="rId378"/>
          <w:footerReference w:type="even" r:id="rId379"/>
          <w:footerReference w:type="default" r:id="rId380"/>
          <w:footnotePr>
            <w:numRestart w:val="eachSect"/>
          </w:footnotePr>
          <w:pgSz w:w="11907" w:h="16834" w:code="9"/>
          <w:pgMar w:top="1134" w:right="1134" w:bottom="1134" w:left="1134" w:header="567" w:footer="567" w:gutter="0"/>
          <w:paperSrc w:first="15" w:other="15"/>
          <w:cols w:space="720"/>
          <w:vAlign w:val="both"/>
          <w:docGrid w:linePitch="326"/>
        </w:sectPr>
      </w:pPr>
    </w:p>
    <w:p w14:paraId="1E05605E" w14:textId="77777777" w:rsidR="009D2170" w:rsidRPr="00380B40" w:rsidRDefault="003C356A" w:rsidP="009D2170">
      <w:pPr>
        <w:pStyle w:val="AppendixNo"/>
      </w:pPr>
      <w:bookmarkStart w:id="963" w:name="_Toc357073515"/>
      <w:bookmarkStart w:id="964" w:name="_Toc357073579"/>
      <w:bookmarkStart w:id="965" w:name="_Toc357172416"/>
      <w:r w:rsidRPr="00380B40">
        <w:t>Appendix I</w:t>
      </w:r>
      <w:bookmarkStart w:id="966" w:name="_Toc517687637"/>
      <w:bookmarkEnd w:id="966"/>
    </w:p>
    <w:p w14:paraId="4F4EBA1C" w14:textId="77777777" w:rsidR="003C356A" w:rsidRPr="00380B40" w:rsidRDefault="003C356A" w:rsidP="009D2170">
      <w:pPr>
        <w:pStyle w:val="Appendixtitle"/>
      </w:pPr>
      <w:r w:rsidRPr="00380B40">
        <w:t>Establishment of a process for cooperation and exchange of information under Rec. ITU</w:t>
      </w:r>
      <w:r w:rsidRPr="00380B40">
        <w:noBreakHyphen/>
        <w:t>T A.6</w:t>
      </w:r>
      <w:bookmarkEnd w:id="963"/>
      <w:bookmarkEnd w:id="964"/>
      <w:bookmarkEnd w:id="965"/>
    </w:p>
    <w:p w14:paraId="1A469459" w14:textId="77777777" w:rsidR="003C356A" w:rsidRPr="00380B40" w:rsidRDefault="003C356A" w:rsidP="0072488D">
      <w:pPr>
        <w:pStyle w:val="Appendixref"/>
      </w:pPr>
      <w:r w:rsidRPr="00380B40">
        <w:t>(This appendix does not form an integral part of this Recommendation.)</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3629"/>
        <w:gridCol w:w="330"/>
        <w:gridCol w:w="3043"/>
        <w:gridCol w:w="340"/>
        <w:gridCol w:w="3119"/>
        <w:gridCol w:w="340"/>
        <w:gridCol w:w="2750"/>
      </w:tblGrid>
      <w:tr w:rsidR="003C356A" w:rsidRPr="00380B40" w14:paraId="1E708956" w14:textId="77777777" w:rsidTr="00795C3C">
        <w:trPr>
          <w:trHeight w:val="20"/>
          <w:jc w:val="center"/>
        </w:trPr>
        <w:tc>
          <w:tcPr>
            <w:tcW w:w="906" w:type="dxa"/>
            <w:shd w:val="clear" w:color="auto" w:fill="auto"/>
            <w:vAlign w:val="bottom"/>
          </w:tcPr>
          <w:p w14:paraId="20B5DB72" w14:textId="77777777" w:rsidR="003C356A" w:rsidRPr="00380B40" w:rsidRDefault="003C356A" w:rsidP="0072488D">
            <w:pPr>
              <w:pStyle w:val="Tableheadwhitecentred"/>
              <w:rPr>
                <w:rFonts w:eastAsia="Arial Unicode MS"/>
              </w:rPr>
            </w:pPr>
          </w:p>
        </w:tc>
        <w:tc>
          <w:tcPr>
            <w:tcW w:w="3629" w:type="dxa"/>
            <w:shd w:val="clear" w:color="auto" w:fill="auto"/>
            <w:vAlign w:val="bottom"/>
          </w:tcPr>
          <w:p w14:paraId="7BB07855" w14:textId="77777777" w:rsidR="003C356A" w:rsidRPr="00380B40" w:rsidRDefault="003C356A" w:rsidP="0072488D">
            <w:pPr>
              <w:pStyle w:val="Tableheadwhitecentred"/>
              <w:rPr>
                <w:rFonts w:eastAsia="Arial Unicode MS"/>
              </w:rPr>
            </w:pPr>
            <w:r w:rsidRPr="00380B40">
              <w:t>1</w:t>
            </w:r>
          </w:p>
        </w:tc>
        <w:tc>
          <w:tcPr>
            <w:tcW w:w="330" w:type="dxa"/>
            <w:shd w:val="clear" w:color="auto" w:fill="auto"/>
            <w:vAlign w:val="bottom"/>
          </w:tcPr>
          <w:p w14:paraId="3C053F81" w14:textId="77777777" w:rsidR="003C356A" w:rsidRPr="00380B40" w:rsidRDefault="003C356A" w:rsidP="0072488D">
            <w:pPr>
              <w:pStyle w:val="Tableheadwhitecentred"/>
              <w:rPr>
                <w:rFonts w:eastAsia="Arial Unicode MS"/>
              </w:rPr>
            </w:pPr>
          </w:p>
        </w:tc>
        <w:tc>
          <w:tcPr>
            <w:tcW w:w="3043" w:type="dxa"/>
            <w:shd w:val="clear" w:color="auto" w:fill="auto"/>
            <w:vAlign w:val="bottom"/>
          </w:tcPr>
          <w:p w14:paraId="3061FD9F" w14:textId="77777777" w:rsidR="003C356A" w:rsidRPr="00380B40" w:rsidRDefault="003C356A" w:rsidP="0072488D">
            <w:pPr>
              <w:pStyle w:val="Tableheadwhitecentred"/>
              <w:rPr>
                <w:rFonts w:eastAsia="Arial Unicode MS"/>
              </w:rPr>
            </w:pPr>
            <w:r w:rsidRPr="00380B40">
              <w:t>2</w:t>
            </w:r>
          </w:p>
        </w:tc>
        <w:tc>
          <w:tcPr>
            <w:tcW w:w="340" w:type="dxa"/>
            <w:shd w:val="clear" w:color="auto" w:fill="auto"/>
            <w:vAlign w:val="bottom"/>
          </w:tcPr>
          <w:p w14:paraId="3A4B9AB9" w14:textId="77777777" w:rsidR="003C356A" w:rsidRPr="00380B40" w:rsidRDefault="003C356A" w:rsidP="0072488D">
            <w:pPr>
              <w:pStyle w:val="Tableheadwhitecentred"/>
              <w:rPr>
                <w:rFonts w:eastAsia="Arial Unicode MS"/>
              </w:rPr>
            </w:pPr>
          </w:p>
        </w:tc>
        <w:tc>
          <w:tcPr>
            <w:tcW w:w="3119" w:type="dxa"/>
            <w:shd w:val="clear" w:color="auto" w:fill="auto"/>
            <w:vAlign w:val="bottom"/>
          </w:tcPr>
          <w:p w14:paraId="017B7C82" w14:textId="77777777" w:rsidR="003C356A" w:rsidRPr="00380B40" w:rsidRDefault="003C356A" w:rsidP="0072488D">
            <w:pPr>
              <w:pStyle w:val="Tableheadwhitecentred"/>
              <w:rPr>
                <w:rFonts w:eastAsia="Arial Unicode MS"/>
              </w:rPr>
            </w:pPr>
            <w:r w:rsidRPr="00380B40">
              <w:t>3</w:t>
            </w:r>
          </w:p>
        </w:tc>
        <w:tc>
          <w:tcPr>
            <w:tcW w:w="340" w:type="dxa"/>
            <w:shd w:val="clear" w:color="auto" w:fill="auto"/>
            <w:vAlign w:val="bottom"/>
          </w:tcPr>
          <w:p w14:paraId="79643DC5" w14:textId="77777777" w:rsidR="003C356A" w:rsidRPr="00380B40" w:rsidRDefault="003C356A" w:rsidP="0072488D">
            <w:pPr>
              <w:pStyle w:val="Tableheadwhitecentred"/>
              <w:rPr>
                <w:rFonts w:eastAsia="Arial Unicode MS"/>
              </w:rPr>
            </w:pPr>
          </w:p>
        </w:tc>
        <w:tc>
          <w:tcPr>
            <w:tcW w:w="2750" w:type="dxa"/>
            <w:shd w:val="clear" w:color="auto" w:fill="auto"/>
            <w:vAlign w:val="bottom"/>
          </w:tcPr>
          <w:p w14:paraId="15A2B7C4" w14:textId="77777777" w:rsidR="003C356A" w:rsidRPr="00380B40" w:rsidRDefault="003C356A" w:rsidP="0072488D">
            <w:pPr>
              <w:pStyle w:val="Tableheadwhitecentred"/>
              <w:rPr>
                <w:rFonts w:eastAsia="Arial Unicode MS"/>
              </w:rPr>
            </w:pPr>
            <w:r w:rsidRPr="00380B40">
              <w:t>4</w:t>
            </w:r>
          </w:p>
        </w:tc>
      </w:tr>
      <w:tr w:rsidR="003C356A" w:rsidRPr="00380B40" w14:paraId="672D04E0" w14:textId="77777777" w:rsidTr="00795C3C">
        <w:trPr>
          <w:trHeight w:val="255"/>
          <w:jc w:val="center"/>
        </w:trPr>
        <w:tc>
          <w:tcPr>
            <w:tcW w:w="906" w:type="dxa"/>
            <w:shd w:val="clear" w:color="auto" w:fill="auto"/>
            <w:vAlign w:val="bottom"/>
          </w:tcPr>
          <w:p w14:paraId="5E516562" w14:textId="77777777" w:rsidR="003C356A" w:rsidRPr="00380B40" w:rsidRDefault="003C356A" w:rsidP="0072488D">
            <w:pPr>
              <w:pStyle w:val="Tableheadwhitecentred"/>
              <w:rPr>
                <w:rFonts w:eastAsia="Arial Unicode MS"/>
              </w:rPr>
            </w:pPr>
          </w:p>
        </w:tc>
        <w:tc>
          <w:tcPr>
            <w:tcW w:w="3629" w:type="dxa"/>
            <w:shd w:val="clear" w:color="auto" w:fill="auto"/>
            <w:vAlign w:val="bottom"/>
          </w:tcPr>
          <w:p w14:paraId="73AB42D4" w14:textId="77777777" w:rsidR="003C356A" w:rsidRPr="00380B40" w:rsidRDefault="003C356A" w:rsidP="0072488D">
            <w:pPr>
              <w:pStyle w:val="Tableheadwhitecentred"/>
              <w:rPr>
                <w:rFonts w:eastAsia="Arial Unicode MS"/>
                <w:b w:val="0"/>
                <w:bCs/>
              </w:rPr>
            </w:pPr>
            <w:r w:rsidRPr="00380B40">
              <w:rPr>
                <w:bCs/>
              </w:rPr>
              <w:t>Initiation</w:t>
            </w:r>
          </w:p>
        </w:tc>
        <w:tc>
          <w:tcPr>
            <w:tcW w:w="330" w:type="dxa"/>
            <w:shd w:val="clear" w:color="auto" w:fill="auto"/>
            <w:vAlign w:val="bottom"/>
          </w:tcPr>
          <w:p w14:paraId="0C2FC43E" w14:textId="77777777" w:rsidR="003C356A" w:rsidRPr="00380B40" w:rsidRDefault="003C356A" w:rsidP="0072488D">
            <w:pPr>
              <w:pStyle w:val="Tableheadwhitecentred"/>
              <w:rPr>
                <w:rFonts w:eastAsia="Arial Unicode MS"/>
              </w:rPr>
            </w:pPr>
          </w:p>
        </w:tc>
        <w:tc>
          <w:tcPr>
            <w:tcW w:w="3043" w:type="dxa"/>
            <w:shd w:val="clear" w:color="auto" w:fill="auto"/>
            <w:vAlign w:val="bottom"/>
          </w:tcPr>
          <w:p w14:paraId="1F883081" w14:textId="77777777" w:rsidR="003C356A" w:rsidRPr="00380B40" w:rsidRDefault="003C356A" w:rsidP="0072488D">
            <w:pPr>
              <w:pStyle w:val="Tableheadwhitecentred"/>
              <w:rPr>
                <w:rFonts w:eastAsia="Arial Unicode MS"/>
                <w:b w:val="0"/>
                <w:bCs/>
              </w:rPr>
            </w:pPr>
            <w:r w:rsidRPr="00380B40">
              <w:rPr>
                <w:bCs/>
              </w:rPr>
              <w:t>Evaluation</w:t>
            </w:r>
          </w:p>
        </w:tc>
        <w:tc>
          <w:tcPr>
            <w:tcW w:w="340" w:type="dxa"/>
            <w:shd w:val="clear" w:color="auto" w:fill="auto"/>
            <w:vAlign w:val="bottom"/>
          </w:tcPr>
          <w:p w14:paraId="46B97E42" w14:textId="77777777" w:rsidR="003C356A" w:rsidRPr="00380B40" w:rsidRDefault="003C356A" w:rsidP="0072488D">
            <w:pPr>
              <w:pStyle w:val="Tableheadwhitecentred"/>
              <w:rPr>
                <w:rFonts w:eastAsia="Arial Unicode MS"/>
              </w:rPr>
            </w:pPr>
          </w:p>
        </w:tc>
        <w:tc>
          <w:tcPr>
            <w:tcW w:w="3119" w:type="dxa"/>
            <w:shd w:val="clear" w:color="auto" w:fill="auto"/>
            <w:vAlign w:val="bottom"/>
          </w:tcPr>
          <w:p w14:paraId="552D890F" w14:textId="77777777" w:rsidR="003C356A" w:rsidRPr="00380B40" w:rsidRDefault="003C356A" w:rsidP="0072488D">
            <w:pPr>
              <w:pStyle w:val="Tableheadwhitecentred"/>
              <w:rPr>
                <w:rFonts w:eastAsia="Arial Unicode MS"/>
                <w:b w:val="0"/>
                <w:bCs/>
              </w:rPr>
            </w:pPr>
            <w:r w:rsidRPr="00380B40">
              <w:rPr>
                <w:bCs/>
              </w:rPr>
              <w:t>Decision</w:t>
            </w:r>
          </w:p>
        </w:tc>
        <w:tc>
          <w:tcPr>
            <w:tcW w:w="340" w:type="dxa"/>
            <w:shd w:val="clear" w:color="auto" w:fill="auto"/>
            <w:vAlign w:val="bottom"/>
          </w:tcPr>
          <w:p w14:paraId="4EEFF18B" w14:textId="77777777" w:rsidR="003C356A" w:rsidRPr="00380B40" w:rsidRDefault="003C356A" w:rsidP="0072488D">
            <w:pPr>
              <w:pStyle w:val="Tableheadwhitecentred"/>
              <w:rPr>
                <w:rFonts w:eastAsia="Arial Unicode MS"/>
              </w:rPr>
            </w:pPr>
          </w:p>
        </w:tc>
        <w:tc>
          <w:tcPr>
            <w:tcW w:w="2750" w:type="dxa"/>
            <w:shd w:val="clear" w:color="auto" w:fill="auto"/>
            <w:vAlign w:val="bottom"/>
          </w:tcPr>
          <w:p w14:paraId="66124D51" w14:textId="77777777" w:rsidR="003C356A" w:rsidRPr="00380B40" w:rsidRDefault="003C356A" w:rsidP="0072488D">
            <w:pPr>
              <w:pStyle w:val="Tableheadwhitecentred"/>
              <w:rPr>
                <w:rFonts w:eastAsia="Arial Unicode MS"/>
                <w:b w:val="0"/>
                <w:bCs/>
              </w:rPr>
            </w:pPr>
            <w:r w:rsidRPr="00380B40">
              <w:rPr>
                <w:bCs/>
              </w:rPr>
              <w:t>Process once established</w:t>
            </w:r>
          </w:p>
        </w:tc>
      </w:tr>
      <w:tr w:rsidR="003C356A" w:rsidRPr="00380B40" w14:paraId="7DA3B495" w14:textId="77777777" w:rsidTr="00795C3C">
        <w:trPr>
          <w:trHeight w:val="255"/>
          <w:jc w:val="center"/>
        </w:trPr>
        <w:tc>
          <w:tcPr>
            <w:tcW w:w="906" w:type="dxa"/>
            <w:shd w:val="clear" w:color="auto" w:fill="auto"/>
            <w:vAlign w:val="bottom"/>
          </w:tcPr>
          <w:p w14:paraId="4520E728" w14:textId="77777777" w:rsidR="003C356A" w:rsidRPr="00380B40" w:rsidRDefault="003C356A" w:rsidP="0072488D">
            <w:pPr>
              <w:pStyle w:val="Tableheadwhitecentred"/>
              <w:rPr>
                <w:rFonts w:eastAsia="Arial Unicode MS"/>
              </w:rPr>
            </w:pPr>
          </w:p>
        </w:tc>
        <w:tc>
          <w:tcPr>
            <w:tcW w:w="3629" w:type="dxa"/>
            <w:shd w:val="clear" w:color="auto" w:fill="auto"/>
            <w:vAlign w:val="bottom"/>
          </w:tcPr>
          <w:p w14:paraId="1A50C4F2" w14:textId="77777777" w:rsidR="003C356A" w:rsidRPr="00380B40" w:rsidRDefault="003C356A" w:rsidP="0072488D">
            <w:pPr>
              <w:pStyle w:val="Tableheadwhitecentred"/>
              <w:rPr>
                <w:rFonts w:eastAsia="Arial Unicode MS"/>
              </w:rPr>
            </w:pPr>
            <w:r w:rsidRPr="00380B40">
              <w:t>(includes questionnaire in Annex A)</w:t>
            </w:r>
          </w:p>
        </w:tc>
        <w:tc>
          <w:tcPr>
            <w:tcW w:w="330" w:type="dxa"/>
            <w:shd w:val="clear" w:color="auto" w:fill="auto"/>
            <w:vAlign w:val="bottom"/>
          </w:tcPr>
          <w:p w14:paraId="27A04278" w14:textId="77777777" w:rsidR="003C356A" w:rsidRPr="00380B40" w:rsidRDefault="003C356A" w:rsidP="0072488D">
            <w:pPr>
              <w:pStyle w:val="Tableheadwhitecentred"/>
              <w:rPr>
                <w:rFonts w:eastAsia="Arial Unicode MS"/>
              </w:rPr>
            </w:pPr>
          </w:p>
        </w:tc>
        <w:tc>
          <w:tcPr>
            <w:tcW w:w="3043" w:type="dxa"/>
            <w:shd w:val="clear" w:color="auto" w:fill="auto"/>
            <w:vAlign w:val="bottom"/>
          </w:tcPr>
          <w:p w14:paraId="4A22C52B" w14:textId="77777777" w:rsidR="003C356A" w:rsidRPr="00380B40" w:rsidRDefault="003C356A" w:rsidP="0072488D">
            <w:pPr>
              <w:pStyle w:val="Tableheadwhitecentred"/>
              <w:rPr>
                <w:rFonts w:eastAsia="Arial Unicode MS"/>
              </w:rPr>
            </w:pPr>
            <w:r w:rsidRPr="00380B40">
              <w:t>according to the criteria</w:t>
            </w:r>
          </w:p>
        </w:tc>
        <w:tc>
          <w:tcPr>
            <w:tcW w:w="340" w:type="dxa"/>
            <w:shd w:val="clear" w:color="auto" w:fill="auto"/>
            <w:vAlign w:val="bottom"/>
          </w:tcPr>
          <w:p w14:paraId="32F2D8B7" w14:textId="77777777" w:rsidR="003C356A" w:rsidRPr="00380B40" w:rsidRDefault="003C356A" w:rsidP="0072488D">
            <w:pPr>
              <w:pStyle w:val="Tableheadwhitecentred"/>
              <w:rPr>
                <w:rFonts w:eastAsia="Arial Unicode MS"/>
              </w:rPr>
            </w:pPr>
          </w:p>
        </w:tc>
        <w:tc>
          <w:tcPr>
            <w:tcW w:w="3119" w:type="dxa"/>
            <w:shd w:val="clear" w:color="auto" w:fill="auto"/>
            <w:vAlign w:val="bottom"/>
          </w:tcPr>
          <w:p w14:paraId="2970B302" w14:textId="77777777" w:rsidR="003C356A" w:rsidRPr="00380B40" w:rsidRDefault="003C356A" w:rsidP="0072488D">
            <w:pPr>
              <w:pStyle w:val="Tableheadwhitecentred"/>
              <w:rPr>
                <w:rFonts w:eastAsia="Arial Unicode MS"/>
              </w:rPr>
            </w:pPr>
          </w:p>
        </w:tc>
        <w:tc>
          <w:tcPr>
            <w:tcW w:w="340" w:type="dxa"/>
            <w:shd w:val="clear" w:color="auto" w:fill="auto"/>
            <w:vAlign w:val="bottom"/>
          </w:tcPr>
          <w:p w14:paraId="639014FD" w14:textId="77777777" w:rsidR="003C356A" w:rsidRPr="00380B40" w:rsidRDefault="003C356A" w:rsidP="0072488D">
            <w:pPr>
              <w:pStyle w:val="Tableheadwhitecentred"/>
              <w:rPr>
                <w:rFonts w:eastAsia="Arial Unicode MS"/>
              </w:rPr>
            </w:pPr>
          </w:p>
        </w:tc>
        <w:tc>
          <w:tcPr>
            <w:tcW w:w="2750" w:type="dxa"/>
            <w:shd w:val="clear" w:color="auto" w:fill="auto"/>
            <w:vAlign w:val="bottom"/>
          </w:tcPr>
          <w:p w14:paraId="29820FC5" w14:textId="77777777" w:rsidR="003C356A" w:rsidRPr="00380B40" w:rsidRDefault="003C356A" w:rsidP="0072488D">
            <w:pPr>
              <w:pStyle w:val="Tableheadwhitecentred"/>
              <w:rPr>
                <w:rFonts w:eastAsia="Arial Unicode MS"/>
              </w:rPr>
            </w:pPr>
            <w:r w:rsidRPr="00380B40">
              <w:t>= implementation</w:t>
            </w:r>
          </w:p>
        </w:tc>
      </w:tr>
      <w:tr w:rsidR="003C356A" w:rsidRPr="004E0F36" w14:paraId="2437496D" w14:textId="77777777" w:rsidTr="00795C3C">
        <w:trPr>
          <w:trHeight w:val="20"/>
          <w:jc w:val="center"/>
        </w:trPr>
        <w:tc>
          <w:tcPr>
            <w:tcW w:w="906" w:type="dxa"/>
            <w:shd w:val="clear" w:color="auto" w:fill="auto"/>
          </w:tcPr>
          <w:p w14:paraId="0C53A4EE" w14:textId="77777777" w:rsidR="003C356A" w:rsidRPr="00380B40" w:rsidRDefault="003C356A" w:rsidP="00D559E0">
            <w:pPr>
              <w:pStyle w:val="Tabletext"/>
              <w:rPr>
                <w:rFonts w:eastAsia="Arial Unicode MS"/>
                <w:lang w:val="en-GB"/>
              </w:rPr>
            </w:pPr>
            <w:r w:rsidRPr="00380B40">
              <w:rPr>
                <w:lang w:val="en-GB"/>
              </w:rPr>
              <w:t>2.1.1</w:t>
            </w:r>
          </w:p>
        </w:tc>
        <w:tc>
          <w:tcPr>
            <w:tcW w:w="3629" w:type="dxa"/>
            <w:shd w:val="clear" w:color="auto" w:fill="auto"/>
          </w:tcPr>
          <w:p w14:paraId="7FEAE80B" w14:textId="77777777" w:rsidR="003C356A" w:rsidRPr="00380B40" w:rsidRDefault="003C356A" w:rsidP="00D559E0">
            <w:pPr>
              <w:pStyle w:val="Tabletext"/>
              <w:rPr>
                <w:rFonts w:eastAsia="Arial Unicode MS"/>
                <w:lang w:val="en-GB"/>
              </w:rPr>
            </w:pPr>
            <w:r w:rsidRPr="00380B40">
              <w:rPr>
                <w:lang w:val="en-GB"/>
              </w:rPr>
              <w:t>Initiation of the request by an SG</w:t>
            </w:r>
          </w:p>
        </w:tc>
        <w:tc>
          <w:tcPr>
            <w:tcW w:w="330" w:type="dxa"/>
            <w:shd w:val="clear" w:color="auto" w:fill="auto"/>
          </w:tcPr>
          <w:p w14:paraId="71D4E6ED" w14:textId="77777777" w:rsidR="003C356A" w:rsidRPr="00380B40" w:rsidRDefault="003C356A" w:rsidP="00D559E0">
            <w:pPr>
              <w:pStyle w:val="Tabletext"/>
              <w:rPr>
                <w:rFonts w:eastAsia="Arial Unicode MS"/>
                <w:lang w:val="en-GB"/>
              </w:rPr>
            </w:pPr>
          </w:p>
        </w:tc>
        <w:tc>
          <w:tcPr>
            <w:tcW w:w="3043" w:type="dxa"/>
            <w:shd w:val="clear" w:color="auto" w:fill="auto"/>
          </w:tcPr>
          <w:p w14:paraId="0FAC18E6" w14:textId="77777777" w:rsidR="003C356A" w:rsidRPr="00380B40" w:rsidRDefault="003C356A" w:rsidP="00D559E0">
            <w:pPr>
              <w:pStyle w:val="Tabletext"/>
              <w:rPr>
                <w:rFonts w:eastAsia="Arial Unicode MS"/>
                <w:lang w:val="en-GB"/>
              </w:rPr>
            </w:pPr>
            <w:r w:rsidRPr="00380B40">
              <w:rPr>
                <w:lang w:val="en-GB"/>
              </w:rPr>
              <w:t>The SG checks the ITU-T A.6</w:t>
            </w:r>
            <w:r w:rsidRPr="00380B40">
              <w:rPr>
                <w:lang w:val="en-GB"/>
              </w:rPr>
              <w:noBreakHyphen/>
              <w:t xml:space="preserve">qualified list and reviews the analysis (if not on the list, see 2.1.2 </w:t>
            </w:r>
            <w:r w:rsidRPr="00380B40">
              <w:rPr>
                <w:i/>
                <w:iCs/>
                <w:lang w:val="en-GB"/>
              </w:rPr>
              <w:t>b)</w:t>
            </w:r>
          </w:p>
        </w:tc>
        <w:tc>
          <w:tcPr>
            <w:tcW w:w="340" w:type="dxa"/>
            <w:shd w:val="clear" w:color="auto" w:fill="auto"/>
          </w:tcPr>
          <w:p w14:paraId="5843DA56" w14:textId="77777777" w:rsidR="003C356A" w:rsidRPr="00380B40" w:rsidRDefault="003C356A" w:rsidP="00D559E0">
            <w:pPr>
              <w:pStyle w:val="Tabletext"/>
              <w:rPr>
                <w:rFonts w:eastAsia="Arial Unicode MS"/>
                <w:lang w:val="en-GB"/>
              </w:rPr>
            </w:pPr>
          </w:p>
        </w:tc>
        <w:tc>
          <w:tcPr>
            <w:tcW w:w="3119" w:type="dxa"/>
            <w:shd w:val="clear" w:color="auto" w:fill="auto"/>
          </w:tcPr>
          <w:p w14:paraId="3E1C0A95" w14:textId="77777777" w:rsidR="003C356A" w:rsidRPr="00380B40" w:rsidRDefault="003C356A" w:rsidP="00D559E0">
            <w:pPr>
              <w:pStyle w:val="Tabletext"/>
              <w:rPr>
                <w:rFonts w:eastAsia="Arial Unicode MS"/>
                <w:lang w:val="en-GB"/>
              </w:rPr>
            </w:pPr>
            <w:r w:rsidRPr="00380B40">
              <w:rPr>
                <w:lang w:val="en-GB"/>
              </w:rPr>
              <w:t>The SG decides to communicate</w:t>
            </w:r>
          </w:p>
        </w:tc>
        <w:tc>
          <w:tcPr>
            <w:tcW w:w="340" w:type="dxa"/>
            <w:shd w:val="clear" w:color="auto" w:fill="auto"/>
          </w:tcPr>
          <w:p w14:paraId="54CEBAD6" w14:textId="77777777" w:rsidR="003C356A" w:rsidRPr="00380B40" w:rsidRDefault="003C356A" w:rsidP="00D559E0">
            <w:pPr>
              <w:pStyle w:val="Tabletext"/>
              <w:rPr>
                <w:rFonts w:eastAsia="Arial Unicode MS"/>
                <w:lang w:val="en-GB"/>
              </w:rPr>
            </w:pPr>
          </w:p>
        </w:tc>
        <w:tc>
          <w:tcPr>
            <w:tcW w:w="2750" w:type="dxa"/>
            <w:shd w:val="clear" w:color="auto" w:fill="auto"/>
          </w:tcPr>
          <w:p w14:paraId="19E2933D" w14:textId="77777777" w:rsidR="003C356A" w:rsidRPr="00380B40" w:rsidRDefault="003C356A" w:rsidP="00D559E0">
            <w:pPr>
              <w:pStyle w:val="Tabletext"/>
              <w:rPr>
                <w:rFonts w:eastAsia="Arial Unicode MS"/>
                <w:lang w:val="en-GB"/>
              </w:rPr>
            </w:pPr>
            <w:r w:rsidRPr="00380B40">
              <w:rPr>
                <w:lang w:val="en-GB"/>
              </w:rPr>
              <w:t>Communication process put into practice by the SG </w:t>
            </w:r>
          </w:p>
        </w:tc>
      </w:tr>
      <w:tr w:rsidR="003C356A" w:rsidRPr="004E0F36" w14:paraId="3D622E69" w14:textId="77777777" w:rsidTr="00795C3C">
        <w:trPr>
          <w:trHeight w:val="20"/>
          <w:jc w:val="center"/>
        </w:trPr>
        <w:tc>
          <w:tcPr>
            <w:tcW w:w="906" w:type="dxa"/>
            <w:shd w:val="clear" w:color="auto" w:fill="auto"/>
          </w:tcPr>
          <w:p w14:paraId="7808B243" w14:textId="77777777" w:rsidR="003C356A" w:rsidRPr="00380B40" w:rsidRDefault="003C356A" w:rsidP="00D559E0">
            <w:pPr>
              <w:pStyle w:val="Tabletext"/>
              <w:rPr>
                <w:rFonts w:eastAsia="Arial Unicode MS"/>
                <w:lang w:val="en-GB"/>
              </w:rPr>
            </w:pPr>
          </w:p>
        </w:tc>
        <w:tc>
          <w:tcPr>
            <w:tcW w:w="3629" w:type="dxa"/>
            <w:shd w:val="clear" w:color="auto" w:fill="auto"/>
            <w:vAlign w:val="center"/>
          </w:tcPr>
          <w:p w14:paraId="00ABA21D" w14:textId="77777777" w:rsidR="003C356A" w:rsidRPr="00380B40" w:rsidRDefault="003C356A" w:rsidP="00D559E0">
            <w:pPr>
              <w:pStyle w:val="Tabletext"/>
              <w:rPr>
                <w:rFonts w:eastAsia="Arial Unicode MS"/>
                <w:lang w:val="en-GB"/>
              </w:rPr>
            </w:pPr>
          </w:p>
        </w:tc>
        <w:tc>
          <w:tcPr>
            <w:tcW w:w="330" w:type="dxa"/>
            <w:shd w:val="clear" w:color="auto" w:fill="auto"/>
          </w:tcPr>
          <w:p w14:paraId="5376EA0E" w14:textId="77777777" w:rsidR="003C356A" w:rsidRPr="00380B40" w:rsidRDefault="003C356A" w:rsidP="00D559E0">
            <w:pPr>
              <w:pStyle w:val="Tabletext"/>
              <w:rPr>
                <w:rFonts w:eastAsia="Arial Unicode MS"/>
                <w:lang w:val="en-GB"/>
              </w:rPr>
            </w:pPr>
          </w:p>
        </w:tc>
        <w:tc>
          <w:tcPr>
            <w:tcW w:w="3043" w:type="dxa"/>
            <w:shd w:val="clear" w:color="auto" w:fill="auto"/>
          </w:tcPr>
          <w:p w14:paraId="13FE0BC8" w14:textId="77777777" w:rsidR="003C356A" w:rsidRPr="00380B40" w:rsidRDefault="003C356A" w:rsidP="00D559E0">
            <w:pPr>
              <w:pStyle w:val="Tabletext"/>
              <w:rPr>
                <w:rFonts w:eastAsia="Arial Unicode MS"/>
                <w:lang w:val="en-GB"/>
              </w:rPr>
            </w:pPr>
          </w:p>
        </w:tc>
        <w:tc>
          <w:tcPr>
            <w:tcW w:w="340" w:type="dxa"/>
            <w:shd w:val="clear" w:color="auto" w:fill="auto"/>
          </w:tcPr>
          <w:p w14:paraId="1416BDCB" w14:textId="77777777" w:rsidR="003C356A" w:rsidRPr="00380B40" w:rsidRDefault="003C356A" w:rsidP="00D559E0">
            <w:pPr>
              <w:pStyle w:val="Tabletext"/>
              <w:rPr>
                <w:rFonts w:eastAsia="Arial Unicode MS"/>
                <w:lang w:val="en-GB"/>
              </w:rPr>
            </w:pPr>
          </w:p>
        </w:tc>
        <w:tc>
          <w:tcPr>
            <w:tcW w:w="3119" w:type="dxa"/>
            <w:shd w:val="clear" w:color="auto" w:fill="auto"/>
          </w:tcPr>
          <w:p w14:paraId="477BC8D2" w14:textId="77777777" w:rsidR="003C356A" w:rsidRPr="00380B40" w:rsidRDefault="003C356A" w:rsidP="00D559E0">
            <w:pPr>
              <w:pStyle w:val="Tabletext"/>
              <w:rPr>
                <w:rFonts w:eastAsia="Arial Unicode MS"/>
                <w:lang w:val="en-GB"/>
              </w:rPr>
            </w:pPr>
          </w:p>
        </w:tc>
        <w:tc>
          <w:tcPr>
            <w:tcW w:w="340" w:type="dxa"/>
            <w:shd w:val="clear" w:color="auto" w:fill="auto"/>
          </w:tcPr>
          <w:p w14:paraId="72D40357" w14:textId="77777777" w:rsidR="003C356A" w:rsidRPr="00380B40" w:rsidRDefault="003C356A" w:rsidP="00D559E0">
            <w:pPr>
              <w:pStyle w:val="Tabletext"/>
              <w:rPr>
                <w:rFonts w:eastAsia="Arial Unicode MS"/>
                <w:lang w:val="en-GB"/>
              </w:rPr>
            </w:pPr>
          </w:p>
        </w:tc>
        <w:tc>
          <w:tcPr>
            <w:tcW w:w="2750" w:type="dxa"/>
            <w:shd w:val="clear" w:color="auto" w:fill="auto"/>
          </w:tcPr>
          <w:p w14:paraId="4A9125C1" w14:textId="77777777" w:rsidR="003C356A" w:rsidRPr="00380B40" w:rsidRDefault="003C356A" w:rsidP="00D559E0">
            <w:pPr>
              <w:pStyle w:val="Tabletext"/>
              <w:rPr>
                <w:rFonts w:eastAsia="Arial Unicode MS"/>
                <w:lang w:val="en-GB"/>
              </w:rPr>
            </w:pPr>
          </w:p>
        </w:tc>
      </w:tr>
      <w:tr w:rsidR="003C356A" w:rsidRPr="004E0F36" w14:paraId="6263BBC6" w14:textId="77777777" w:rsidTr="00795C3C">
        <w:trPr>
          <w:trHeight w:val="20"/>
          <w:jc w:val="center"/>
        </w:trPr>
        <w:tc>
          <w:tcPr>
            <w:tcW w:w="906" w:type="dxa"/>
            <w:shd w:val="clear" w:color="auto" w:fill="auto"/>
          </w:tcPr>
          <w:p w14:paraId="7A9B4F0D" w14:textId="77777777" w:rsidR="003C356A" w:rsidRPr="00380B40" w:rsidRDefault="003C356A" w:rsidP="00D559E0">
            <w:pPr>
              <w:pStyle w:val="Tabletext"/>
              <w:rPr>
                <w:rFonts w:eastAsia="Arial Unicode MS"/>
                <w:lang w:val="en-GB"/>
              </w:rPr>
            </w:pPr>
            <w:r w:rsidRPr="00380B40">
              <w:rPr>
                <w:lang w:val="en-GB"/>
              </w:rPr>
              <w:t xml:space="preserve">2.1.2 </w:t>
            </w:r>
            <w:r w:rsidRPr="00380B40">
              <w:rPr>
                <w:i/>
                <w:iCs/>
                <w:lang w:val="en-GB"/>
              </w:rPr>
              <w:t>a)</w:t>
            </w:r>
          </w:p>
        </w:tc>
        <w:tc>
          <w:tcPr>
            <w:tcW w:w="3629" w:type="dxa"/>
            <w:shd w:val="clear" w:color="auto" w:fill="auto"/>
          </w:tcPr>
          <w:p w14:paraId="3334AEEB" w14:textId="77777777" w:rsidR="003C356A" w:rsidRPr="00380B40" w:rsidRDefault="003C356A" w:rsidP="00D559E0">
            <w:pPr>
              <w:pStyle w:val="Tabletext"/>
              <w:rPr>
                <w:rFonts w:eastAsia="Arial Unicode MS"/>
                <w:lang w:val="en-GB"/>
              </w:rPr>
            </w:pPr>
            <w:r w:rsidRPr="00380B40">
              <w:rPr>
                <w:lang w:val="en-GB"/>
              </w:rPr>
              <w:t>Initiation of the request by an SDO to the Director</w:t>
            </w:r>
            <w:r w:rsidRPr="00380B40">
              <w:rPr>
                <w:rFonts w:eastAsia="Arial Unicode MS"/>
                <w:lang w:val="en-GB"/>
              </w:rPr>
              <w:t xml:space="preserve"> </w:t>
            </w:r>
            <w:r w:rsidRPr="00380B40">
              <w:rPr>
                <w:lang w:val="en-GB"/>
              </w:rPr>
              <w:t>for related policy issues</w:t>
            </w:r>
          </w:p>
        </w:tc>
        <w:tc>
          <w:tcPr>
            <w:tcW w:w="330" w:type="dxa"/>
            <w:shd w:val="clear" w:color="auto" w:fill="auto"/>
          </w:tcPr>
          <w:p w14:paraId="07273754" w14:textId="77777777" w:rsidR="003C356A" w:rsidRPr="00380B40" w:rsidRDefault="003C356A" w:rsidP="00D559E0">
            <w:pPr>
              <w:pStyle w:val="Tabletext"/>
              <w:rPr>
                <w:rFonts w:eastAsia="Arial Unicode MS"/>
                <w:lang w:val="en-GB"/>
              </w:rPr>
            </w:pPr>
          </w:p>
        </w:tc>
        <w:tc>
          <w:tcPr>
            <w:tcW w:w="3043" w:type="dxa"/>
            <w:shd w:val="clear" w:color="auto" w:fill="auto"/>
          </w:tcPr>
          <w:p w14:paraId="06824FB6" w14:textId="77777777" w:rsidR="003C356A" w:rsidRPr="00380B40" w:rsidRDefault="003C356A" w:rsidP="00D559E0">
            <w:pPr>
              <w:pStyle w:val="Tabletext"/>
              <w:rPr>
                <w:rFonts w:eastAsia="Arial Unicode MS"/>
                <w:lang w:val="en-GB"/>
              </w:rPr>
            </w:pPr>
            <w:r w:rsidRPr="00380B40">
              <w:rPr>
                <w:lang w:val="en-GB"/>
              </w:rPr>
              <w:t>Evaluation by the Director </w:t>
            </w:r>
          </w:p>
        </w:tc>
        <w:tc>
          <w:tcPr>
            <w:tcW w:w="340" w:type="dxa"/>
            <w:shd w:val="clear" w:color="auto" w:fill="auto"/>
          </w:tcPr>
          <w:p w14:paraId="5038A373" w14:textId="77777777" w:rsidR="003C356A" w:rsidRPr="00380B40" w:rsidRDefault="003C356A" w:rsidP="00D559E0">
            <w:pPr>
              <w:pStyle w:val="Tabletext"/>
              <w:rPr>
                <w:rFonts w:eastAsia="Arial Unicode MS"/>
                <w:lang w:val="en-GB"/>
              </w:rPr>
            </w:pPr>
          </w:p>
        </w:tc>
        <w:tc>
          <w:tcPr>
            <w:tcW w:w="3119" w:type="dxa"/>
            <w:shd w:val="clear" w:color="auto" w:fill="auto"/>
          </w:tcPr>
          <w:p w14:paraId="27E364AC" w14:textId="77777777" w:rsidR="003C356A" w:rsidRPr="00380B40" w:rsidRDefault="003C356A" w:rsidP="00D559E0">
            <w:pPr>
              <w:pStyle w:val="Tabletext"/>
              <w:rPr>
                <w:rFonts w:eastAsia="Arial Unicode MS"/>
                <w:lang w:val="en-GB"/>
              </w:rPr>
            </w:pPr>
            <w:r w:rsidRPr="00380B40">
              <w:rPr>
                <w:lang w:val="en-GB"/>
              </w:rPr>
              <w:t>The Director decides to approve</w:t>
            </w:r>
            <w:r w:rsidRPr="00380B40">
              <w:rPr>
                <w:rFonts w:eastAsia="Arial Unicode MS"/>
                <w:lang w:val="en-GB"/>
              </w:rPr>
              <w:t xml:space="preserve"> </w:t>
            </w:r>
            <w:r w:rsidRPr="00380B40">
              <w:rPr>
                <w:lang w:val="en-GB"/>
              </w:rPr>
              <w:t>and informs TSAG + SGs </w:t>
            </w:r>
          </w:p>
        </w:tc>
        <w:tc>
          <w:tcPr>
            <w:tcW w:w="340" w:type="dxa"/>
            <w:shd w:val="clear" w:color="auto" w:fill="auto"/>
          </w:tcPr>
          <w:p w14:paraId="5999D18E" w14:textId="77777777" w:rsidR="003C356A" w:rsidRPr="00380B40" w:rsidRDefault="003C356A" w:rsidP="00D559E0">
            <w:pPr>
              <w:pStyle w:val="Tabletext"/>
              <w:rPr>
                <w:rFonts w:eastAsia="Arial Unicode MS"/>
                <w:lang w:val="en-GB"/>
              </w:rPr>
            </w:pPr>
          </w:p>
        </w:tc>
        <w:tc>
          <w:tcPr>
            <w:tcW w:w="2750" w:type="dxa"/>
            <w:shd w:val="clear" w:color="auto" w:fill="auto"/>
          </w:tcPr>
          <w:p w14:paraId="7D0921D4" w14:textId="77777777" w:rsidR="003C356A" w:rsidRPr="00380B40" w:rsidRDefault="003C356A" w:rsidP="00D559E0">
            <w:pPr>
              <w:pStyle w:val="Tabletext"/>
              <w:rPr>
                <w:rFonts w:eastAsia="Arial Unicode MS"/>
                <w:lang w:val="en-GB"/>
              </w:rPr>
            </w:pPr>
            <w:r w:rsidRPr="00380B40">
              <w:rPr>
                <w:lang w:val="en-GB"/>
              </w:rPr>
              <w:t>Communication process put into practice by the Director</w:t>
            </w:r>
          </w:p>
        </w:tc>
      </w:tr>
      <w:tr w:rsidR="003C356A" w:rsidRPr="004E0F36" w14:paraId="39849B5E" w14:textId="77777777" w:rsidTr="00795C3C">
        <w:trPr>
          <w:trHeight w:val="255"/>
          <w:jc w:val="center"/>
        </w:trPr>
        <w:tc>
          <w:tcPr>
            <w:tcW w:w="906" w:type="dxa"/>
            <w:shd w:val="clear" w:color="auto" w:fill="auto"/>
          </w:tcPr>
          <w:p w14:paraId="27277B37" w14:textId="77777777" w:rsidR="003C356A" w:rsidRPr="00380B40" w:rsidRDefault="003C356A" w:rsidP="00D559E0">
            <w:pPr>
              <w:pStyle w:val="Tabletext"/>
              <w:rPr>
                <w:rFonts w:eastAsia="Arial Unicode MS"/>
                <w:lang w:val="en-GB"/>
              </w:rPr>
            </w:pPr>
          </w:p>
        </w:tc>
        <w:tc>
          <w:tcPr>
            <w:tcW w:w="3629" w:type="dxa"/>
            <w:shd w:val="clear" w:color="auto" w:fill="auto"/>
            <w:vAlign w:val="center"/>
          </w:tcPr>
          <w:p w14:paraId="30AEB01E" w14:textId="77777777" w:rsidR="003C356A" w:rsidRPr="00380B40" w:rsidRDefault="003C356A" w:rsidP="00D559E0">
            <w:pPr>
              <w:pStyle w:val="Tabletext"/>
              <w:rPr>
                <w:rFonts w:eastAsia="Arial Unicode MS"/>
                <w:lang w:val="en-GB"/>
              </w:rPr>
            </w:pPr>
          </w:p>
        </w:tc>
        <w:tc>
          <w:tcPr>
            <w:tcW w:w="330" w:type="dxa"/>
            <w:shd w:val="clear" w:color="auto" w:fill="auto"/>
          </w:tcPr>
          <w:p w14:paraId="38A73F26" w14:textId="77777777" w:rsidR="003C356A" w:rsidRPr="00380B40" w:rsidRDefault="003C356A" w:rsidP="00D559E0">
            <w:pPr>
              <w:pStyle w:val="Tabletext"/>
              <w:rPr>
                <w:rFonts w:eastAsia="Arial Unicode MS"/>
                <w:lang w:val="en-GB"/>
              </w:rPr>
            </w:pPr>
          </w:p>
        </w:tc>
        <w:tc>
          <w:tcPr>
            <w:tcW w:w="3043" w:type="dxa"/>
            <w:shd w:val="clear" w:color="auto" w:fill="auto"/>
            <w:vAlign w:val="center"/>
          </w:tcPr>
          <w:p w14:paraId="032E5CE4" w14:textId="77777777" w:rsidR="003C356A" w:rsidRPr="00380B40" w:rsidRDefault="003C356A" w:rsidP="00D559E0">
            <w:pPr>
              <w:pStyle w:val="Tabletext"/>
              <w:rPr>
                <w:rFonts w:eastAsia="Arial Unicode MS"/>
                <w:lang w:val="en-GB"/>
              </w:rPr>
            </w:pPr>
          </w:p>
        </w:tc>
        <w:tc>
          <w:tcPr>
            <w:tcW w:w="340" w:type="dxa"/>
            <w:shd w:val="clear" w:color="auto" w:fill="auto"/>
          </w:tcPr>
          <w:p w14:paraId="24AE4044" w14:textId="77777777" w:rsidR="003C356A" w:rsidRPr="00380B40" w:rsidRDefault="003C356A" w:rsidP="00D559E0">
            <w:pPr>
              <w:pStyle w:val="Tabletext"/>
              <w:rPr>
                <w:rFonts w:eastAsia="Arial Unicode MS"/>
                <w:lang w:val="en-GB"/>
              </w:rPr>
            </w:pPr>
          </w:p>
        </w:tc>
        <w:tc>
          <w:tcPr>
            <w:tcW w:w="3119" w:type="dxa"/>
            <w:shd w:val="clear" w:color="auto" w:fill="auto"/>
          </w:tcPr>
          <w:p w14:paraId="4BE43557" w14:textId="77777777" w:rsidR="003C356A" w:rsidRPr="00380B40" w:rsidRDefault="003C356A" w:rsidP="00D559E0">
            <w:pPr>
              <w:pStyle w:val="Tabletext"/>
              <w:rPr>
                <w:rFonts w:eastAsia="Arial Unicode MS"/>
                <w:lang w:val="en-GB"/>
              </w:rPr>
            </w:pPr>
          </w:p>
        </w:tc>
        <w:tc>
          <w:tcPr>
            <w:tcW w:w="340" w:type="dxa"/>
            <w:shd w:val="clear" w:color="auto" w:fill="auto"/>
          </w:tcPr>
          <w:p w14:paraId="0CDF23C6" w14:textId="77777777" w:rsidR="003C356A" w:rsidRPr="00380B40" w:rsidRDefault="003C356A" w:rsidP="00D559E0">
            <w:pPr>
              <w:pStyle w:val="Tabletext"/>
              <w:rPr>
                <w:rFonts w:eastAsia="Arial Unicode MS"/>
                <w:lang w:val="en-GB"/>
              </w:rPr>
            </w:pPr>
          </w:p>
        </w:tc>
        <w:tc>
          <w:tcPr>
            <w:tcW w:w="2750" w:type="dxa"/>
            <w:shd w:val="clear" w:color="auto" w:fill="auto"/>
          </w:tcPr>
          <w:p w14:paraId="676C1C3F" w14:textId="77777777" w:rsidR="003C356A" w:rsidRPr="00380B40" w:rsidRDefault="003C356A" w:rsidP="00D559E0">
            <w:pPr>
              <w:pStyle w:val="Tabletext"/>
              <w:rPr>
                <w:rFonts w:eastAsia="Arial Unicode MS"/>
                <w:lang w:val="en-GB"/>
              </w:rPr>
            </w:pPr>
          </w:p>
        </w:tc>
      </w:tr>
      <w:tr w:rsidR="003C356A" w:rsidRPr="004E0F36" w14:paraId="78A531EA" w14:textId="77777777" w:rsidTr="00795C3C">
        <w:trPr>
          <w:trHeight w:val="23"/>
          <w:jc w:val="center"/>
        </w:trPr>
        <w:tc>
          <w:tcPr>
            <w:tcW w:w="906" w:type="dxa"/>
            <w:shd w:val="clear" w:color="auto" w:fill="auto"/>
          </w:tcPr>
          <w:p w14:paraId="2F493001" w14:textId="77777777" w:rsidR="003C356A" w:rsidRPr="00380B40" w:rsidRDefault="003C356A" w:rsidP="00D559E0">
            <w:pPr>
              <w:pStyle w:val="Tabletext"/>
              <w:rPr>
                <w:rFonts w:eastAsia="Arial Unicode MS"/>
                <w:lang w:val="en-GB"/>
              </w:rPr>
            </w:pPr>
            <w:r w:rsidRPr="00380B40">
              <w:rPr>
                <w:lang w:val="en-GB"/>
              </w:rPr>
              <w:t xml:space="preserve">2.1.2 </w:t>
            </w:r>
            <w:r w:rsidRPr="00380B40">
              <w:rPr>
                <w:i/>
                <w:iCs/>
                <w:lang w:val="en-GB"/>
              </w:rPr>
              <w:t>b)</w:t>
            </w:r>
          </w:p>
        </w:tc>
        <w:tc>
          <w:tcPr>
            <w:tcW w:w="3629" w:type="dxa"/>
            <w:shd w:val="clear" w:color="auto" w:fill="auto"/>
          </w:tcPr>
          <w:p w14:paraId="25C35B73" w14:textId="77777777" w:rsidR="003C356A" w:rsidRPr="00380B40" w:rsidRDefault="003C356A" w:rsidP="00D559E0">
            <w:pPr>
              <w:pStyle w:val="Tabletext"/>
              <w:rPr>
                <w:rFonts w:eastAsia="Arial Unicode MS"/>
                <w:lang w:val="en-GB"/>
              </w:rPr>
            </w:pPr>
            <w:r w:rsidRPr="00380B40">
              <w:rPr>
                <w:lang w:val="en-GB"/>
              </w:rPr>
              <w:t>Initiation of the request by an SDO to the Director for SG issues</w:t>
            </w:r>
          </w:p>
        </w:tc>
        <w:tc>
          <w:tcPr>
            <w:tcW w:w="330" w:type="dxa"/>
            <w:shd w:val="clear" w:color="auto" w:fill="auto"/>
          </w:tcPr>
          <w:p w14:paraId="52981063" w14:textId="77777777" w:rsidR="003C356A" w:rsidRPr="00380B40" w:rsidRDefault="003C356A" w:rsidP="00D559E0">
            <w:pPr>
              <w:pStyle w:val="Tabletext"/>
              <w:rPr>
                <w:rFonts w:eastAsia="Arial Unicode MS"/>
                <w:lang w:val="en-GB"/>
              </w:rPr>
            </w:pPr>
          </w:p>
        </w:tc>
        <w:tc>
          <w:tcPr>
            <w:tcW w:w="3043" w:type="dxa"/>
            <w:shd w:val="clear" w:color="auto" w:fill="auto"/>
          </w:tcPr>
          <w:p w14:paraId="2EB975FD" w14:textId="77777777" w:rsidR="003C356A" w:rsidRPr="00380B40" w:rsidRDefault="003C356A" w:rsidP="00D559E0">
            <w:pPr>
              <w:pStyle w:val="Tabletext"/>
              <w:rPr>
                <w:rFonts w:eastAsia="Arial Unicode MS"/>
                <w:lang w:val="en-GB"/>
              </w:rPr>
            </w:pPr>
            <w:r w:rsidRPr="00380B40">
              <w:rPr>
                <w:lang w:val="en-GB"/>
              </w:rPr>
              <w:t>The Director performs a preliminary analysis, the SG reviews the analysis</w:t>
            </w:r>
          </w:p>
        </w:tc>
        <w:tc>
          <w:tcPr>
            <w:tcW w:w="340" w:type="dxa"/>
            <w:shd w:val="clear" w:color="auto" w:fill="auto"/>
          </w:tcPr>
          <w:p w14:paraId="1BF04474" w14:textId="77777777" w:rsidR="003C356A" w:rsidRPr="00380B40" w:rsidRDefault="003C356A" w:rsidP="00D559E0">
            <w:pPr>
              <w:pStyle w:val="Tabletext"/>
              <w:rPr>
                <w:rFonts w:eastAsia="Arial Unicode MS"/>
                <w:lang w:val="en-GB"/>
              </w:rPr>
            </w:pPr>
          </w:p>
        </w:tc>
        <w:tc>
          <w:tcPr>
            <w:tcW w:w="3119" w:type="dxa"/>
            <w:shd w:val="clear" w:color="auto" w:fill="auto"/>
          </w:tcPr>
          <w:p w14:paraId="6B7ECBF0" w14:textId="77777777" w:rsidR="003C356A" w:rsidRPr="00380B40" w:rsidRDefault="003C356A" w:rsidP="00D559E0">
            <w:pPr>
              <w:pStyle w:val="Tabletext"/>
              <w:rPr>
                <w:rFonts w:eastAsia="Arial Unicode MS"/>
                <w:lang w:val="en-GB"/>
              </w:rPr>
            </w:pPr>
            <w:r w:rsidRPr="00380B40">
              <w:rPr>
                <w:lang w:val="en-GB"/>
              </w:rPr>
              <w:t>The SG decides to communicate,</w:t>
            </w:r>
            <w:r w:rsidRPr="00380B40">
              <w:rPr>
                <w:rFonts w:eastAsia="Arial Unicode MS"/>
                <w:lang w:val="en-GB"/>
              </w:rPr>
              <w:t xml:space="preserve"> </w:t>
            </w:r>
            <w:r w:rsidRPr="00380B40">
              <w:rPr>
                <w:lang w:val="en-GB"/>
              </w:rPr>
              <w:t>the SG informs other SGs</w:t>
            </w:r>
            <w:r w:rsidRPr="00380B40">
              <w:rPr>
                <w:rFonts w:eastAsia="Arial Unicode MS"/>
                <w:lang w:val="en-GB"/>
              </w:rPr>
              <w:t xml:space="preserve"> </w:t>
            </w:r>
            <w:r w:rsidRPr="00380B40">
              <w:rPr>
                <w:lang w:val="en-GB"/>
              </w:rPr>
              <w:t>TSAG and the Director</w:t>
            </w:r>
          </w:p>
        </w:tc>
        <w:tc>
          <w:tcPr>
            <w:tcW w:w="340" w:type="dxa"/>
            <w:shd w:val="clear" w:color="auto" w:fill="auto"/>
          </w:tcPr>
          <w:p w14:paraId="7A62A00F" w14:textId="77777777" w:rsidR="003C356A" w:rsidRPr="00380B40" w:rsidRDefault="003C356A" w:rsidP="00D559E0">
            <w:pPr>
              <w:pStyle w:val="Tabletext"/>
              <w:rPr>
                <w:rFonts w:eastAsia="Arial Unicode MS"/>
                <w:lang w:val="en-GB"/>
              </w:rPr>
            </w:pPr>
          </w:p>
        </w:tc>
        <w:tc>
          <w:tcPr>
            <w:tcW w:w="2750" w:type="dxa"/>
            <w:shd w:val="clear" w:color="auto" w:fill="auto"/>
          </w:tcPr>
          <w:p w14:paraId="34A3529D" w14:textId="77777777" w:rsidR="003C356A" w:rsidRPr="00380B40" w:rsidRDefault="003C356A" w:rsidP="00D559E0">
            <w:pPr>
              <w:pStyle w:val="Tabletext"/>
              <w:rPr>
                <w:rFonts w:eastAsia="Arial Unicode MS"/>
                <w:lang w:val="en-GB"/>
              </w:rPr>
            </w:pPr>
            <w:r w:rsidRPr="00380B40">
              <w:rPr>
                <w:lang w:val="en-GB"/>
              </w:rPr>
              <w:t>Communication process put into practice by the SG</w:t>
            </w:r>
          </w:p>
        </w:tc>
      </w:tr>
      <w:tr w:rsidR="003C356A" w:rsidRPr="004E0F36" w14:paraId="2DA318E5" w14:textId="77777777" w:rsidTr="00795C3C">
        <w:trPr>
          <w:trHeight w:val="20"/>
          <w:jc w:val="center"/>
        </w:trPr>
        <w:tc>
          <w:tcPr>
            <w:tcW w:w="906" w:type="dxa"/>
            <w:shd w:val="clear" w:color="auto" w:fill="auto"/>
          </w:tcPr>
          <w:p w14:paraId="7478D8E3" w14:textId="77777777" w:rsidR="003C356A" w:rsidRPr="00380B40" w:rsidRDefault="003C356A" w:rsidP="00D559E0">
            <w:pPr>
              <w:pStyle w:val="Tabletext"/>
              <w:rPr>
                <w:rFonts w:eastAsia="Arial Unicode MS"/>
                <w:lang w:val="en-GB"/>
              </w:rPr>
            </w:pPr>
          </w:p>
        </w:tc>
        <w:tc>
          <w:tcPr>
            <w:tcW w:w="3629" w:type="dxa"/>
            <w:shd w:val="clear" w:color="auto" w:fill="auto"/>
          </w:tcPr>
          <w:p w14:paraId="5B257878" w14:textId="77777777" w:rsidR="003C356A" w:rsidRPr="00380B40" w:rsidRDefault="003C356A" w:rsidP="00D559E0">
            <w:pPr>
              <w:pStyle w:val="Tabletext"/>
              <w:rPr>
                <w:rFonts w:eastAsia="Arial Unicode MS"/>
                <w:lang w:val="en-GB"/>
              </w:rPr>
            </w:pPr>
          </w:p>
        </w:tc>
        <w:tc>
          <w:tcPr>
            <w:tcW w:w="330" w:type="dxa"/>
            <w:shd w:val="clear" w:color="auto" w:fill="auto"/>
          </w:tcPr>
          <w:p w14:paraId="478B851C" w14:textId="77777777" w:rsidR="003C356A" w:rsidRPr="00380B40" w:rsidRDefault="003C356A" w:rsidP="00D559E0">
            <w:pPr>
              <w:pStyle w:val="Tabletext"/>
              <w:rPr>
                <w:rFonts w:eastAsia="Arial Unicode MS"/>
                <w:lang w:val="en-GB"/>
              </w:rPr>
            </w:pPr>
          </w:p>
        </w:tc>
        <w:tc>
          <w:tcPr>
            <w:tcW w:w="3043" w:type="dxa"/>
            <w:shd w:val="clear" w:color="auto" w:fill="auto"/>
          </w:tcPr>
          <w:p w14:paraId="4E7E6421" w14:textId="77777777" w:rsidR="003C356A" w:rsidRPr="00380B40" w:rsidRDefault="003C356A" w:rsidP="00D559E0">
            <w:pPr>
              <w:pStyle w:val="Tabletext"/>
              <w:rPr>
                <w:rFonts w:eastAsia="Arial Unicode MS"/>
                <w:lang w:val="en-GB"/>
              </w:rPr>
            </w:pPr>
            <w:r w:rsidRPr="00380B40">
              <w:rPr>
                <w:lang w:val="en-GB"/>
              </w:rPr>
              <w:t>Director adds the SDO under evaluation to the list</w:t>
            </w:r>
          </w:p>
        </w:tc>
        <w:tc>
          <w:tcPr>
            <w:tcW w:w="340" w:type="dxa"/>
            <w:shd w:val="clear" w:color="auto" w:fill="auto"/>
          </w:tcPr>
          <w:p w14:paraId="61D42179" w14:textId="77777777" w:rsidR="003C356A" w:rsidRPr="00380B40" w:rsidRDefault="003C356A" w:rsidP="00D559E0">
            <w:pPr>
              <w:pStyle w:val="Tabletext"/>
              <w:rPr>
                <w:rFonts w:eastAsia="Arial Unicode MS"/>
                <w:lang w:val="en-GB"/>
              </w:rPr>
            </w:pPr>
          </w:p>
        </w:tc>
        <w:tc>
          <w:tcPr>
            <w:tcW w:w="3119" w:type="dxa"/>
            <w:shd w:val="clear" w:color="auto" w:fill="auto"/>
          </w:tcPr>
          <w:p w14:paraId="221516D8" w14:textId="77777777" w:rsidR="003C356A" w:rsidRPr="00380B40" w:rsidRDefault="003C356A" w:rsidP="00D559E0">
            <w:pPr>
              <w:pStyle w:val="Tabletext"/>
              <w:rPr>
                <w:rFonts w:eastAsia="Arial Unicode MS"/>
                <w:lang w:val="en-GB"/>
              </w:rPr>
            </w:pPr>
            <w:r w:rsidRPr="00380B40">
              <w:rPr>
                <w:lang w:val="en-GB"/>
              </w:rPr>
              <w:t>Director indicates on the list that the SDO is ITU-T A.6-qualified</w:t>
            </w:r>
          </w:p>
        </w:tc>
        <w:tc>
          <w:tcPr>
            <w:tcW w:w="340" w:type="dxa"/>
            <w:shd w:val="clear" w:color="auto" w:fill="auto"/>
          </w:tcPr>
          <w:p w14:paraId="1E1A27ED" w14:textId="77777777" w:rsidR="003C356A" w:rsidRPr="00380B40" w:rsidRDefault="003C356A" w:rsidP="00D559E0">
            <w:pPr>
              <w:pStyle w:val="Tabletext"/>
              <w:rPr>
                <w:rFonts w:eastAsia="Arial Unicode MS"/>
                <w:lang w:val="en-GB"/>
              </w:rPr>
            </w:pPr>
          </w:p>
        </w:tc>
        <w:tc>
          <w:tcPr>
            <w:tcW w:w="2750" w:type="dxa"/>
            <w:shd w:val="clear" w:color="auto" w:fill="auto"/>
          </w:tcPr>
          <w:p w14:paraId="6C7A5F33" w14:textId="77777777" w:rsidR="003C356A" w:rsidRPr="00380B40" w:rsidRDefault="003C356A" w:rsidP="00D559E0">
            <w:pPr>
              <w:pStyle w:val="Tabletext"/>
              <w:rPr>
                <w:rFonts w:eastAsia="Arial Unicode MS"/>
                <w:lang w:val="en-GB"/>
              </w:rPr>
            </w:pPr>
          </w:p>
        </w:tc>
      </w:tr>
    </w:tbl>
    <w:p w14:paraId="64FEDC49" w14:textId="77777777" w:rsidR="000E56DD" w:rsidRPr="00380B40" w:rsidRDefault="000E56DD"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2055C738" w14:textId="77777777" w:rsidR="007E52B2" w:rsidRPr="00380B40" w:rsidRDefault="007E52B2" w:rsidP="008C3E8D">
      <w:pPr>
        <w:rPr>
          <w:lang w:val="en-GB"/>
        </w:rPr>
        <w:sectPr w:rsidR="007E52B2" w:rsidRPr="00380B40" w:rsidSect="003A2A77">
          <w:headerReference w:type="even" r:id="rId381"/>
          <w:headerReference w:type="default" r:id="rId382"/>
          <w:footerReference w:type="even" r:id="rId383"/>
          <w:footerReference w:type="default" r:id="rId384"/>
          <w:pgSz w:w="16834" w:h="11907" w:orient="landscape" w:code="9"/>
          <w:pgMar w:top="1134" w:right="1134" w:bottom="1134" w:left="1134" w:header="567" w:footer="567" w:gutter="0"/>
          <w:paperSrc w:first="15" w:other="15"/>
          <w:cols w:space="720"/>
          <w:vAlign w:val="both"/>
          <w:docGrid w:linePitch="326"/>
        </w:sectPr>
      </w:pPr>
    </w:p>
    <w:p w14:paraId="15C87C00" w14:textId="77777777" w:rsidR="007E52B2" w:rsidRPr="00380B40" w:rsidRDefault="007E52B2" w:rsidP="008C3E8D">
      <w:pPr>
        <w:pStyle w:val="RecNo"/>
        <w:rPr>
          <w:lang w:val="en-GB"/>
        </w:rPr>
      </w:pPr>
      <w:bookmarkStart w:id="967" w:name="_Toc104459823"/>
      <w:bookmarkStart w:id="968" w:name="_Toc111636901"/>
      <w:bookmarkStart w:id="969" w:name="_Toc111638532"/>
      <w:r w:rsidRPr="00380B40">
        <w:rPr>
          <w:lang w:val="en-GB"/>
        </w:rPr>
        <w:t xml:space="preserve">Recommendation ITU-T </w:t>
      </w:r>
      <w:r w:rsidRPr="00380B40">
        <w:rPr>
          <w:rStyle w:val="href"/>
          <w:lang w:val="en-GB"/>
        </w:rPr>
        <w:t>A.7</w:t>
      </w:r>
      <w:bookmarkEnd w:id="967"/>
      <w:bookmarkEnd w:id="968"/>
      <w:bookmarkEnd w:id="969"/>
    </w:p>
    <w:p w14:paraId="4749B882" w14:textId="77777777" w:rsidR="003C356A" w:rsidRPr="00380B40" w:rsidRDefault="003C356A" w:rsidP="003C356A">
      <w:pPr>
        <w:pStyle w:val="Rectitle"/>
        <w:rPr>
          <w:lang w:val="en-GB"/>
        </w:rPr>
      </w:pPr>
      <w:bookmarkStart w:id="970" w:name="_Toc104459824"/>
      <w:bookmarkStart w:id="971" w:name="_Toc111638533"/>
      <w:r w:rsidRPr="00380B40">
        <w:rPr>
          <w:lang w:val="en-GB"/>
        </w:rPr>
        <w:t>Focus groups: Establishment and working procedures</w:t>
      </w:r>
      <w:bookmarkEnd w:id="970"/>
      <w:bookmarkEnd w:id="971"/>
    </w:p>
    <w:p w14:paraId="72382904" w14:textId="77777777" w:rsidR="003C356A" w:rsidRPr="00380B40" w:rsidRDefault="003C356A" w:rsidP="00FD3C79">
      <w:pPr>
        <w:pStyle w:val="Recref"/>
        <w:rPr>
          <w:lang w:val="en-GB"/>
        </w:rPr>
      </w:pPr>
      <w:r w:rsidRPr="00380B40">
        <w:rPr>
          <w:lang w:val="en-GB"/>
        </w:rPr>
        <w:t>(2000; 2002; 2004; 2006; 2008; 2012, 2016)</w:t>
      </w:r>
    </w:p>
    <w:p w14:paraId="6F8A7DD4" w14:textId="77777777" w:rsidR="003C356A" w:rsidRPr="00380B40" w:rsidRDefault="003C356A" w:rsidP="003C356A">
      <w:pPr>
        <w:pStyle w:val="Heading1"/>
        <w:rPr>
          <w:lang w:val="en-GB"/>
        </w:rPr>
      </w:pPr>
      <w:bookmarkStart w:id="972" w:name="_Toc354056991"/>
      <w:bookmarkStart w:id="973" w:name="_Toc357063603"/>
      <w:bookmarkStart w:id="974" w:name="_Toc472065188"/>
      <w:bookmarkStart w:id="975" w:name="_Toc111636902"/>
      <w:r w:rsidRPr="00380B40">
        <w:rPr>
          <w:lang w:val="en-GB"/>
        </w:rPr>
        <w:t>1</w:t>
      </w:r>
      <w:r w:rsidRPr="00380B40">
        <w:rPr>
          <w:lang w:val="en-GB"/>
        </w:rPr>
        <w:tab/>
        <w:t>Scope</w:t>
      </w:r>
      <w:bookmarkEnd w:id="972"/>
      <w:bookmarkEnd w:id="973"/>
      <w:bookmarkEnd w:id="974"/>
      <w:bookmarkEnd w:id="975"/>
    </w:p>
    <w:p w14:paraId="2F0A2621" w14:textId="77777777" w:rsidR="003C356A" w:rsidRPr="00380B40" w:rsidRDefault="003C356A" w:rsidP="003C356A">
      <w:pPr>
        <w:rPr>
          <w:lang w:val="en-GB"/>
        </w:rPr>
      </w:pPr>
      <w:r w:rsidRPr="00380B40">
        <w:rPr>
          <w:lang w:val="en-GB"/>
        </w:rPr>
        <w:t>The objective of focus groups is to help advance the work of the ITU Telecommunication Standardization Sector (ITU</w:t>
      </w:r>
      <w:r w:rsidRPr="00380B40">
        <w:rPr>
          <w:lang w:val="en-GB"/>
        </w:rPr>
        <w:noBreakHyphen/>
        <w:t xml:space="preserve">T) study </w:t>
      </w:r>
      <w:r w:rsidRPr="00380B40" w:rsidDel="00D043A7">
        <w:rPr>
          <w:lang w:val="en-GB"/>
        </w:rPr>
        <w:t>group</w:t>
      </w:r>
      <w:r w:rsidRPr="00380B40">
        <w:rPr>
          <w:lang w:val="en-GB"/>
        </w:rPr>
        <w:t>s and to encourage the participation of members of other standards organizations, including experts and individuals who may not be members of ITU.</w:t>
      </w:r>
      <w:r w:rsidRPr="00380B40">
        <w:rPr>
          <w:sz w:val="20"/>
          <w:lang w:val="en-GB"/>
        </w:rPr>
        <w:t xml:space="preserve"> </w:t>
      </w:r>
      <w:r w:rsidRPr="00380B40">
        <w:rPr>
          <w:lang w:val="en-GB"/>
        </w:rPr>
        <w:t xml:space="preserve">Focus group activities may include an analysis of gaps between current Recommendations and expected Recommendations, and provide material for consideration in the development of Recommendations. </w:t>
      </w:r>
    </w:p>
    <w:p w14:paraId="33657A0F" w14:textId="77777777" w:rsidR="003C356A" w:rsidRPr="00380B40" w:rsidRDefault="003C356A" w:rsidP="003C356A">
      <w:pPr>
        <w:rPr>
          <w:lang w:val="en-GB"/>
        </w:rPr>
      </w:pPr>
      <w:r w:rsidRPr="00380B40">
        <w:rPr>
          <w:lang w:val="en-GB"/>
        </w:rPr>
        <w:t>Procedures and working methods are established to facilitate the financing of focus groups, the completion of work on a well-defined topic and the documentation of the results.</w:t>
      </w:r>
    </w:p>
    <w:p w14:paraId="57086285" w14:textId="77777777" w:rsidR="003C356A" w:rsidRPr="00380B40" w:rsidRDefault="003C356A" w:rsidP="003C356A">
      <w:pPr>
        <w:rPr>
          <w:lang w:val="en-GB"/>
        </w:rPr>
      </w:pPr>
      <w:r w:rsidRPr="00380B40">
        <w:rPr>
          <w:lang w:val="en-GB"/>
        </w:rPr>
        <w:t>The process of establishment is described in order to help identify, in a timely and collaborative manner, all study groups concerned by the scope of a potential focus group, and to agree on a study group or the Telecommunication Standardization Advisory Group (TSAG) as the parent group.</w:t>
      </w:r>
    </w:p>
    <w:p w14:paraId="77B876AF" w14:textId="77777777" w:rsidR="003C356A" w:rsidRPr="00380B40" w:rsidRDefault="003C356A" w:rsidP="003C356A">
      <w:pPr>
        <w:rPr>
          <w:lang w:val="en-GB"/>
        </w:rPr>
      </w:pPr>
      <w:r w:rsidRPr="00380B40">
        <w:rPr>
          <w:lang w:val="en-GB"/>
        </w:rPr>
        <w:t>The management of a focus group is placed under the responsibility of a parent group (study group or TSAG), in association with other involved study groups in the case where the work area of the focus group overlaps with the responsibility and the mandate of those study groups (see clause 2.2).</w:t>
      </w:r>
    </w:p>
    <w:p w14:paraId="7AAE06C4" w14:textId="77777777" w:rsidR="003C356A" w:rsidRPr="00380B40" w:rsidRDefault="003C356A" w:rsidP="003C356A">
      <w:pPr>
        <w:pStyle w:val="Heading1"/>
        <w:rPr>
          <w:lang w:val="en-GB"/>
        </w:rPr>
      </w:pPr>
      <w:bookmarkStart w:id="976" w:name="_Toc354056992"/>
      <w:bookmarkStart w:id="977" w:name="_Toc357063604"/>
      <w:bookmarkStart w:id="978" w:name="_Toc472065189"/>
      <w:bookmarkStart w:id="979" w:name="_Toc111636903"/>
      <w:r w:rsidRPr="00380B40">
        <w:rPr>
          <w:lang w:val="en-GB"/>
        </w:rPr>
        <w:t>2</w:t>
      </w:r>
      <w:r w:rsidRPr="00380B40">
        <w:rPr>
          <w:lang w:val="en-GB"/>
        </w:rPr>
        <w:tab/>
        <w:t>Establishment, terms of reference and leadership</w:t>
      </w:r>
      <w:bookmarkEnd w:id="976"/>
      <w:bookmarkEnd w:id="977"/>
      <w:bookmarkEnd w:id="978"/>
      <w:bookmarkEnd w:id="979"/>
    </w:p>
    <w:p w14:paraId="01467C53" w14:textId="77777777" w:rsidR="003C356A" w:rsidRPr="00380B40" w:rsidRDefault="003C356A" w:rsidP="003C356A">
      <w:pPr>
        <w:rPr>
          <w:lang w:val="en-GB"/>
        </w:rPr>
      </w:pPr>
      <w:r w:rsidRPr="00380B40">
        <w:rPr>
          <w:lang w:val="en-GB"/>
        </w:rPr>
        <w:t>Within the ITU</w:t>
      </w:r>
      <w:r w:rsidRPr="00380B40">
        <w:rPr>
          <w:lang w:val="en-GB"/>
        </w:rPr>
        <w:noBreakHyphen/>
        <w:t>T standardization working structure, the establishment procedures of a focus group should be progressed in a transparent manner.</w:t>
      </w:r>
    </w:p>
    <w:p w14:paraId="081C3E05" w14:textId="77777777" w:rsidR="003C356A" w:rsidRPr="00380B40" w:rsidRDefault="003C356A" w:rsidP="003C356A">
      <w:pPr>
        <w:rPr>
          <w:lang w:val="en-GB"/>
        </w:rPr>
      </w:pPr>
      <w:r w:rsidRPr="00380B40">
        <w:rPr>
          <w:lang w:val="en-GB"/>
        </w:rPr>
        <w:t>For each step of the establishment process, the compliance of the focus group proposal with all clauses of this Recommendation should be ensured, and all decisions are to be made by consensus.</w:t>
      </w:r>
    </w:p>
    <w:p w14:paraId="3E83EC55" w14:textId="77777777" w:rsidR="003C356A" w:rsidRPr="00380B40" w:rsidRDefault="003C356A" w:rsidP="003C356A">
      <w:pPr>
        <w:pStyle w:val="Heading2"/>
        <w:rPr>
          <w:lang w:val="en-GB"/>
        </w:rPr>
      </w:pPr>
      <w:bookmarkStart w:id="980" w:name="_Toc354056993"/>
      <w:bookmarkStart w:id="981" w:name="_Toc357063605"/>
      <w:bookmarkStart w:id="982" w:name="_Toc472065190"/>
      <w:bookmarkStart w:id="983" w:name="_Toc111636904"/>
      <w:r w:rsidRPr="00380B40">
        <w:rPr>
          <w:lang w:val="en-GB"/>
        </w:rPr>
        <w:t>2.1</w:t>
      </w:r>
      <w:r w:rsidRPr="00380B40">
        <w:rPr>
          <w:lang w:val="en-GB"/>
        </w:rPr>
        <w:tab/>
        <w:t>Establishment</w:t>
      </w:r>
      <w:bookmarkEnd w:id="980"/>
      <w:bookmarkEnd w:id="981"/>
      <w:bookmarkEnd w:id="982"/>
      <w:bookmarkEnd w:id="983"/>
    </w:p>
    <w:p w14:paraId="660E45CA" w14:textId="77777777" w:rsidR="003C356A" w:rsidRPr="00380B40" w:rsidRDefault="003C356A" w:rsidP="003C356A">
      <w:pPr>
        <w:rPr>
          <w:lang w:val="en-GB"/>
        </w:rPr>
      </w:pPr>
      <w:r w:rsidRPr="00380B40">
        <w:rPr>
          <w:lang w:val="en-GB"/>
        </w:rPr>
        <w:t>A focus group is established to help advance the work of ITU</w:t>
      </w:r>
      <w:r w:rsidRPr="00380B40">
        <w:rPr>
          <w:lang w:val="en-GB"/>
        </w:rPr>
        <w:noBreakHyphen/>
        <w:t>T study groups.</w:t>
      </w:r>
    </w:p>
    <w:p w14:paraId="4C9854DC" w14:textId="77777777" w:rsidR="00795C3C" w:rsidRPr="00380B40" w:rsidRDefault="00795C3C" w:rsidP="003C356A">
      <w:pPr>
        <w:rPr>
          <w:lang w:val="en-GB"/>
        </w:rPr>
      </w:pPr>
      <w:r w:rsidRPr="00380B40">
        <w:rPr>
          <w:lang w:val="en-GB"/>
        </w:rPr>
        <w:br w:type="page"/>
      </w:r>
    </w:p>
    <w:p w14:paraId="0AFC6D24" w14:textId="77777777" w:rsidR="003C356A" w:rsidRPr="00380B40" w:rsidRDefault="003C356A" w:rsidP="003C356A">
      <w:pPr>
        <w:rPr>
          <w:lang w:val="en-GB"/>
        </w:rPr>
      </w:pPr>
      <w:r w:rsidRPr="00380B40">
        <w:rPr>
          <w:lang w:val="en-GB"/>
        </w:rPr>
        <w:t>To justify the establishment of a focus group, the following basic criteria shall be fulfilled to their full extent:</w:t>
      </w:r>
    </w:p>
    <w:p w14:paraId="10F3C32A" w14:textId="77777777" w:rsidR="003C356A" w:rsidRPr="00380B40" w:rsidRDefault="003C356A" w:rsidP="003C356A">
      <w:pPr>
        <w:pStyle w:val="enumlev1"/>
        <w:rPr>
          <w:lang w:val="en-GB"/>
        </w:rPr>
      </w:pPr>
      <w:r w:rsidRPr="00380B40">
        <w:rPr>
          <w:lang w:val="en-GB"/>
        </w:rPr>
        <w:t>•</w:t>
      </w:r>
      <w:r w:rsidRPr="00380B40">
        <w:rPr>
          <w:lang w:val="en-GB"/>
        </w:rPr>
        <w:tab/>
        <w:t>There is a significant interest in the subject and a need to help advance the work of the ITU</w:t>
      </w:r>
      <w:r w:rsidRPr="00380B40">
        <w:rPr>
          <w:lang w:val="en-GB"/>
        </w:rPr>
        <w:noBreakHyphen/>
        <w:t>T study groups</w:t>
      </w:r>
    </w:p>
    <w:p w14:paraId="7292E7DD" w14:textId="77777777" w:rsidR="003C356A" w:rsidRPr="00380B40" w:rsidRDefault="003C356A" w:rsidP="003C356A">
      <w:pPr>
        <w:pStyle w:val="enumlev1"/>
        <w:rPr>
          <w:lang w:val="en-GB"/>
        </w:rPr>
      </w:pPr>
      <w:r w:rsidRPr="00380B40">
        <w:rPr>
          <w:lang w:val="en-GB"/>
        </w:rPr>
        <w:t>•</w:t>
      </w:r>
      <w:r w:rsidRPr="00380B40">
        <w:rPr>
          <w:lang w:val="en-GB"/>
        </w:rPr>
        <w:tab/>
        <w:t>The subject is not already addressed by work underway in ITU-T study groups, or cannot currently be handled by a study group</w:t>
      </w:r>
    </w:p>
    <w:p w14:paraId="08D5FFAD" w14:textId="77777777" w:rsidR="003C356A" w:rsidRPr="00380B40" w:rsidRDefault="003C356A" w:rsidP="003C356A">
      <w:pPr>
        <w:pStyle w:val="enumlev1"/>
        <w:rPr>
          <w:lang w:val="en-GB"/>
        </w:rPr>
      </w:pPr>
      <w:r w:rsidRPr="00380B40">
        <w:rPr>
          <w:lang w:val="en-GB"/>
        </w:rPr>
        <w:t>•</w:t>
      </w:r>
      <w:r w:rsidRPr="00380B40">
        <w:rPr>
          <w:lang w:val="en-GB"/>
        </w:rPr>
        <w:tab/>
        <w:t>There should normally be at least four members (i.e., Member States, or Sector Members from different Member States) who commit to actively support the new focus group.</w:t>
      </w:r>
    </w:p>
    <w:p w14:paraId="14BE4307" w14:textId="77777777" w:rsidR="003C356A" w:rsidRPr="00380B40" w:rsidRDefault="003C356A" w:rsidP="003C356A">
      <w:pPr>
        <w:rPr>
          <w:lang w:val="en-GB"/>
        </w:rPr>
      </w:pPr>
      <w:r w:rsidRPr="00380B40">
        <w:rPr>
          <w:lang w:val="en-GB"/>
        </w:rPr>
        <w:t>Attention should be paid to distinguishing between the following two situations:</w:t>
      </w:r>
    </w:p>
    <w:p w14:paraId="621E1957" w14:textId="77777777" w:rsidR="003C356A" w:rsidRPr="00380B40" w:rsidRDefault="003C356A" w:rsidP="003C356A">
      <w:pPr>
        <w:rPr>
          <w:i/>
          <w:lang w:val="en-GB"/>
        </w:rPr>
      </w:pPr>
      <w:r w:rsidRPr="00380B40">
        <w:rPr>
          <w:i/>
          <w:lang w:val="en-GB"/>
        </w:rPr>
        <w:t>a)</w:t>
      </w:r>
      <w:r w:rsidRPr="00380B40">
        <w:rPr>
          <w:i/>
          <w:lang w:val="en-GB"/>
        </w:rPr>
        <w:tab/>
        <w:t>Topic is within the mandate of one study group</w:t>
      </w:r>
    </w:p>
    <w:p w14:paraId="37BF087B" w14:textId="77777777" w:rsidR="003C356A" w:rsidRPr="00380B40" w:rsidRDefault="003C356A" w:rsidP="003C356A">
      <w:pPr>
        <w:rPr>
          <w:lang w:val="en-GB"/>
        </w:rPr>
      </w:pPr>
      <w:r w:rsidRPr="00380B40">
        <w:rPr>
          <w:lang w:val="en-GB"/>
        </w:rPr>
        <w:t>When the terms of reference of the focus group fall within the mandate of a single study group, that study group has the necessary authority to approve the formation of a focus group and become its parent group (see clause 2.1.1), provided that the chairman of this study group consults with the chairmen of all possibly impacted study groups. If there is any doubt that all the topics fall under the responsibility and mandate of only this study group, the decision of such an establishment should be referred to TSAG.</w:t>
      </w:r>
    </w:p>
    <w:p w14:paraId="36B52369" w14:textId="77777777" w:rsidR="003C356A" w:rsidRPr="00380B40" w:rsidRDefault="003C356A" w:rsidP="003C356A">
      <w:pPr>
        <w:rPr>
          <w:i/>
          <w:lang w:val="en-GB"/>
        </w:rPr>
      </w:pPr>
      <w:r w:rsidRPr="00380B40">
        <w:rPr>
          <w:i/>
          <w:lang w:val="en-GB"/>
        </w:rPr>
        <w:t>b)</w:t>
      </w:r>
      <w:r w:rsidRPr="00380B40">
        <w:rPr>
          <w:i/>
          <w:lang w:val="en-GB"/>
        </w:rPr>
        <w:tab/>
        <w:t>Topic is within the mandate of multiple study groups</w:t>
      </w:r>
    </w:p>
    <w:p w14:paraId="5E1C4CFB" w14:textId="77777777" w:rsidR="003C356A" w:rsidRPr="00380B40" w:rsidRDefault="003C356A" w:rsidP="003C356A">
      <w:pPr>
        <w:rPr>
          <w:szCs w:val="24"/>
          <w:lang w:val="en-GB"/>
        </w:rPr>
      </w:pPr>
      <w:r w:rsidRPr="00380B40">
        <w:rPr>
          <w:rFonts w:cs="Arial"/>
          <w:color w:val="000000"/>
          <w:szCs w:val="24"/>
          <w:lang w:val="en-GB"/>
        </w:rPr>
        <w:t>When the terms of reference of the focus group fall within the mandate of multiple study groups</w:t>
      </w:r>
      <w:r w:rsidRPr="00380B40">
        <w:rPr>
          <w:szCs w:val="24"/>
          <w:lang w:val="en-GB"/>
        </w:rPr>
        <w:t xml:space="preserve">, TSAG has the necessary authority to approve the formation of a focus group (see clause 2.1.2) and to become its parent group </w:t>
      </w:r>
      <w:r w:rsidRPr="00380B40">
        <w:rPr>
          <w:rFonts w:cs="Arial"/>
          <w:szCs w:val="24"/>
          <w:lang w:val="en-GB"/>
        </w:rPr>
        <w:t>or appoint a study group as the parent group</w:t>
      </w:r>
      <w:r w:rsidRPr="00380B40">
        <w:rPr>
          <w:szCs w:val="24"/>
          <w:lang w:val="en-GB"/>
        </w:rPr>
        <w:t>.</w:t>
      </w:r>
    </w:p>
    <w:p w14:paraId="7EC23137" w14:textId="77777777" w:rsidR="003C356A" w:rsidRPr="00380B40" w:rsidRDefault="003C356A" w:rsidP="003C356A">
      <w:pPr>
        <w:rPr>
          <w:lang w:val="en-GB"/>
        </w:rPr>
      </w:pPr>
      <w:r w:rsidRPr="00380B40">
        <w:rPr>
          <w:lang w:val="en-GB"/>
        </w:rPr>
        <w:t>The study group or TSAG, when receiving the written contribution, should check to see which study group could best address the proposed activity for the focus group. The study group dealing with the proposal for a focus group that contains topics felt as potentially falling under the responsibility and mandate of one or more other study groups remains responsible for the consultation with the other relevant study group chairmen and for informing TSAG and the Director of TSB. The whole procedure for consultation should be kept responsive and fast by using, as often as possible, consultation of relevant parties by e-mail and teleconferencing tools, rather than physical meetings.</w:t>
      </w:r>
    </w:p>
    <w:p w14:paraId="7AE70ABB" w14:textId="77777777" w:rsidR="003C356A" w:rsidRPr="00380B40" w:rsidRDefault="003C356A" w:rsidP="003C356A">
      <w:pPr>
        <w:rPr>
          <w:szCs w:val="24"/>
          <w:lang w:val="en-GB"/>
        </w:rPr>
      </w:pPr>
      <w:r w:rsidRPr="00380B40">
        <w:rPr>
          <w:szCs w:val="24"/>
          <w:lang w:val="en-GB"/>
        </w:rPr>
        <w:t>In all cases, the Director of TSB and the chairman of TSAG are to be kept duly advised during the establishment procedure.</w:t>
      </w:r>
    </w:p>
    <w:p w14:paraId="0C939C9A" w14:textId="77777777" w:rsidR="003C356A" w:rsidRPr="00380B40" w:rsidRDefault="003C356A" w:rsidP="003C356A">
      <w:pPr>
        <w:rPr>
          <w:szCs w:val="24"/>
          <w:lang w:val="en-GB"/>
        </w:rPr>
      </w:pPr>
      <w:r w:rsidRPr="00380B40">
        <w:rPr>
          <w:rFonts w:cs="Arial"/>
          <w:color w:val="000000"/>
          <w:szCs w:val="24"/>
          <w:lang w:val="en-GB"/>
        </w:rPr>
        <w:t>The establishment of a focus group and its first meeting will be announced according to clause 12 by the Director of TSB in cooperation with the parent group.</w:t>
      </w:r>
    </w:p>
    <w:p w14:paraId="15EB6C61" w14:textId="77777777" w:rsidR="00795C3C" w:rsidRPr="00380B40" w:rsidRDefault="00795C3C" w:rsidP="003C356A">
      <w:pPr>
        <w:pStyle w:val="Heading3"/>
        <w:rPr>
          <w:lang w:val="en-GB"/>
        </w:rPr>
      </w:pPr>
      <w:r w:rsidRPr="00380B40">
        <w:rPr>
          <w:lang w:val="en-GB"/>
        </w:rPr>
        <w:br w:type="page"/>
      </w:r>
    </w:p>
    <w:p w14:paraId="03A99411" w14:textId="77777777" w:rsidR="003C356A" w:rsidRPr="00380B40" w:rsidRDefault="003C356A" w:rsidP="003C356A">
      <w:pPr>
        <w:pStyle w:val="Heading3"/>
        <w:rPr>
          <w:lang w:val="en-GB"/>
        </w:rPr>
      </w:pPr>
      <w:bookmarkStart w:id="984" w:name="_Toc111636905"/>
      <w:r w:rsidRPr="00380B40">
        <w:rPr>
          <w:lang w:val="en-GB"/>
        </w:rPr>
        <w:t>2.1.1</w:t>
      </w:r>
      <w:r w:rsidRPr="00380B40" w:rsidDel="00D043A7">
        <w:rPr>
          <w:lang w:val="en-GB"/>
        </w:rPr>
        <w:tab/>
      </w:r>
      <w:r w:rsidRPr="00380B40">
        <w:rPr>
          <w:lang w:val="en-GB"/>
        </w:rPr>
        <w:t>Establishment by a study group</w:t>
      </w:r>
      <w:bookmarkEnd w:id="984"/>
    </w:p>
    <w:p w14:paraId="1BA206F3" w14:textId="77777777" w:rsidR="003C356A" w:rsidRPr="00380B40" w:rsidRDefault="003C356A" w:rsidP="003C356A">
      <w:pPr>
        <w:pStyle w:val="Heading4"/>
        <w:rPr>
          <w:lang w:val="en-GB"/>
        </w:rPr>
      </w:pPr>
      <w:r w:rsidRPr="00380B40">
        <w:rPr>
          <w:lang w:val="en-GB"/>
        </w:rPr>
        <w:t>2.1.1.1</w:t>
      </w:r>
      <w:r w:rsidRPr="00380B40">
        <w:rPr>
          <w:lang w:val="en-GB"/>
        </w:rPr>
        <w:tab/>
        <w:t>Establishment at a study group meeting</w:t>
      </w:r>
    </w:p>
    <w:p w14:paraId="31F169A7" w14:textId="77777777" w:rsidR="003C356A" w:rsidRPr="00380B40" w:rsidRDefault="003C356A" w:rsidP="003C356A">
      <w:pPr>
        <w:rPr>
          <w:szCs w:val="24"/>
          <w:lang w:val="en-GB"/>
        </w:rPr>
      </w:pPr>
      <w:r w:rsidRPr="00380B40">
        <w:rPr>
          <w:szCs w:val="24"/>
          <w:lang w:val="en-GB"/>
        </w:rPr>
        <w:t xml:space="preserve">For establishment at a study group meeting, the submission of a proposal </w:t>
      </w:r>
      <w:r w:rsidRPr="00380B40">
        <w:rPr>
          <w:rFonts w:cs="Arial"/>
          <w:szCs w:val="24"/>
          <w:lang w:val="en-GB"/>
        </w:rPr>
        <w:t xml:space="preserve">to set up </w:t>
      </w:r>
      <w:r w:rsidRPr="00380B40">
        <w:rPr>
          <w:szCs w:val="24"/>
          <w:lang w:val="en-GB"/>
        </w:rPr>
        <w:t xml:space="preserve">a focus group </w:t>
      </w:r>
      <w:r w:rsidRPr="00380B40">
        <w:rPr>
          <w:rFonts w:cs="Arial"/>
          <w:szCs w:val="24"/>
          <w:lang w:val="en-GB"/>
        </w:rPr>
        <w:t xml:space="preserve">on a specific topic, including terms of reference, </w:t>
      </w:r>
      <w:r w:rsidRPr="00380B40">
        <w:rPr>
          <w:szCs w:val="24"/>
          <w:lang w:val="en-GB"/>
        </w:rPr>
        <w:t>should take the form of a written contribution submitted at least twelve calendar days before that study group meeting.</w:t>
      </w:r>
    </w:p>
    <w:p w14:paraId="156EE930" w14:textId="77777777" w:rsidR="003C356A" w:rsidRPr="00380B40" w:rsidRDefault="003C356A" w:rsidP="003C356A">
      <w:pPr>
        <w:rPr>
          <w:lang w:val="en-GB"/>
        </w:rPr>
      </w:pPr>
      <w:r w:rsidRPr="00380B40">
        <w:rPr>
          <w:lang w:val="en-GB"/>
        </w:rPr>
        <w:t>In the case that all topics fall without doubt, within the work area of this study group, the establishment will be discussed during this meeting, and may be decided at the same meeting.</w:t>
      </w:r>
    </w:p>
    <w:p w14:paraId="5AF48EC8" w14:textId="77777777" w:rsidR="003C356A" w:rsidRPr="00380B40" w:rsidRDefault="003C356A" w:rsidP="003C356A">
      <w:pPr>
        <w:rPr>
          <w:lang w:val="en-GB"/>
        </w:rPr>
      </w:pPr>
      <w:r w:rsidRPr="00380B40">
        <w:rPr>
          <w:lang w:val="en-GB"/>
        </w:rPr>
        <w:t>If views are expressed that the proposed topic overlaps with the mandate of another study group, the chairman of the study group to which the proposal is addressed will send the proposal to the chairman of TSAG. The chairman of TSAG will then proceed as described in clauses 2.1.2.1 or 2.1.2.2 below.</w:t>
      </w:r>
    </w:p>
    <w:p w14:paraId="73167F45" w14:textId="77777777" w:rsidR="003C356A" w:rsidRPr="00380B40" w:rsidRDefault="003C356A" w:rsidP="003C356A">
      <w:pPr>
        <w:pStyle w:val="Heading4"/>
        <w:rPr>
          <w:lang w:val="en-GB"/>
        </w:rPr>
      </w:pPr>
      <w:r w:rsidRPr="00380B40">
        <w:rPr>
          <w:lang w:val="en-GB"/>
        </w:rPr>
        <w:t>2.1.1.2</w:t>
      </w:r>
      <w:r w:rsidRPr="00380B40">
        <w:rPr>
          <w:lang w:val="en-GB"/>
        </w:rPr>
        <w:tab/>
        <w:t>Establishment between study group meetings</w:t>
      </w:r>
    </w:p>
    <w:p w14:paraId="411D7A7E" w14:textId="77777777" w:rsidR="003C356A" w:rsidRPr="00380B40" w:rsidRDefault="003C356A" w:rsidP="003C356A">
      <w:pPr>
        <w:rPr>
          <w:lang w:val="en-GB"/>
        </w:rPr>
      </w:pPr>
      <w:r w:rsidRPr="00380B40">
        <w:rPr>
          <w:lang w:val="en-GB"/>
        </w:rPr>
        <w:t>Exceptionally, in response to urgent marketplace needs, a focus group may be established between study group meetings for the purpose of studying technical issues (i.e., those that have no regulatory or policy implications).</w:t>
      </w:r>
    </w:p>
    <w:p w14:paraId="22F11A81" w14:textId="77777777" w:rsidR="003C356A" w:rsidRPr="00380B40" w:rsidRDefault="003C356A" w:rsidP="003C356A">
      <w:pPr>
        <w:rPr>
          <w:lang w:val="en-GB"/>
        </w:rPr>
      </w:pPr>
      <w:r w:rsidRPr="00380B40">
        <w:rPr>
          <w:lang w:val="en-GB"/>
        </w:rPr>
        <w:t>The proposal, including terms of reference, to set up a focus group on a specific technical topic (within the mandate of the parent group) may be sent by any member to the chairman of an appropriate study group selected by the initiators according to the foreseen work content. The chairman coordinates the first review of the proposal with the vice-chairmen and the chairmen of working parties of the study group. If the proposal to establish the focus group is agreed, the proposal, with completed terms of reference, will be posted on the ITU website and distributed to the study group e-mail distribution list, allowing four weeks for comments.</w:t>
      </w:r>
    </w:p>
    <w:p w14:paraId="16927B77" w14:textId="77777777" w:rsidR="003C356A" w:rsidRPr="00380B40" w:rsidRDefault="003C356A" w:rsidP="003C356A">
      <w:pPr>
        <w:rPr>
          <w:lang w:val="en-GB"/>
        </w:rPr>
      </w:pPr>
      <w:r w:rsidRPr="00380B40">
        <w:rPr>
          <w:lang w:val="en-GB"/>
        </w:rPr>
        <w:t>In the absence of unresolved comments, the study group chairman may decide the immediate establishment of the focus group. As far as possible, the chairman should seek to resolve comments by correspondence; however, if this is not possible, the decision to approve the establishment of the focus group is to be deferred to the next meeting of the study group.</w:t>
      </w:r>
    </w:p>
    <w:p w14:paraId="0C974B57" w14:textId="77777777" w:rsidR="003C356A" w:rsidRPr="00380B40" w:rsidRDefault="003C356A" w:rsidP="003C356A">
      <w:pPr>
        <w:rPr>
          <w:lang w:val="en-GB"/>
        </w:rPr>
      </w:pPr>
      <w:r w:rsidRPr="00380B40">
        <w:rPr>
          <w:lang w:val="en-GB"/>
        </w:rPr>
        <w:t xml:space="preserve">If views are expressed that the proposed focus group overlaps with the mandate of another study group, the chairman of the study group to which the proposal is addressed will send the proposal to the chairman of TSAG. The chairman of TSAG will then proceed as described in clauses 2.1.2.1 or 2.1.2.2. </w:t>
      </w:r>
    </w:p>
    <w:p w14:paraId="23320A8B" w14:textId="77777777" w:rsidR="003C356A" w:rsidRPr="00380B40" w:rsidRDefault="003C356A" w:rsidP="003C356A">
      <w:pPr>
        <w:pStyle w:val="Heading3"/>
        <w:rPr>
          <w:lang w:val="en-GB"/>
        </w:rPr>
      </w:pPr>
      <w:bookmarkStart w:id="985" w:name="_Toc111636906"/>
      <w:r w:rsidRPr="00380B40">
        <w:rPr>
          <w:lang w:val="en-GB"/>
        </w:rPr>
        <w:t>2.1.2</w:t>
      </w:r>
      <w:r w:rsidRPr="00380B40">
        <w:rPr>
          <w:lang w:val="en-GB"/>
        </w:rPr>
        <w:tab/>
        <w:t>Establishment by TSAG</w:t>
      </w:r>
      <w:bookmarkEnd w:id="985"/>
      <w:r w:rsidRPr="00380B40">
        <w:rPr>
          <w:lang w:val="en-GB"/>
        </w:rPr>
        <w:t xml:space="preserve"> </w:t>
      </w:r>
    </w:p>
    <w:p w14:paraId="51CB4A57" w14:textId="77777777" w:rsidR="003C356A" w:rsidRPr="00380B40" w:rsidRDefault="003C356A" w:rsidP="003C356A">
      <w:pPr>
        <w:pStyle w:val="Heading4"/>
        <w:rPr>
          <w:lang w:val="en-GB"/>
        </w:rPr>
      </w:pPr>
      <w:r w:rsidRPr="00380B40">
        <w:rPr>
          <w:lang w:val="en-GB"/>
        </w:rPr>
        <w:t>2.1.2.1</w:t>
      </w:r>
      <w:r w:rsidRPr="00380B40">
        <w:rPr>
          <w:lang w:val="en-GB"/>
        </w:rPr>
        <w:tab/>
        <w:t>Establishment at a TSAG meeting</w:t>
      </w:r>
    </w:p>
    <w:p w14:paraId="7EEFCF42" w14:textId="77777777" w:rsidR="003C356A" w:rsidRPr="00380B40" w:rsidRDefault="003C356A" w:rsidP="003C356A">
      <w:pPr>
        <w:rPr>
          <w:szCs w:val="24"/>
          <w:lang w:val="en-GB"/>
        </w:rPr>
      </w:pPr>
      <w:r w:rsidRPr="00380B40">
        <w:rPr>
          <w:rFonts w:cs="Arial"/>
          <w:szCs w:val="24"/>
          <w:lang w:val="en-GB"/>
        </w:rPr>
        <w:t xml:space="preserve">For establishment at a </w:t>
      </w:r>
      <w:r w:rsidRPr="00380B40">
        <w:rPr>
          <w:rFonts w:eastAsia="SimSun" w:cs="Arial"/>
          <w:szCs w:val="24"/>
          <w:lang w:val="en-GB" w:eastAsia="zh-CN"/>
        </w:rPr>
        <w:t>TSAG</w:t>
      </w:r>
      <w:r w:rsidRPr="00380B40">
        <w:rPr>
          <w:rFonts w:cs="Arial"/>
          <w:szCs w:val="24"/>
          <w:lang w:val="en-GB"/>
        </w:rPr>
        <w:t xml:space="preserve"> meeting, the submission of a proposal to set up a focus group on a specific topic, including terms of reference, should take the form of a written contribution submitted at least twelve calendar days before that TSAG meeting.</w:t>
      </w:r>
    </w:p>
    <w:p w14:paraId="50EF0725" w14:textId="77777777" w:rsidR="00795C3C" w:rsidRPr="00380B40" w:rsidRDefault="00795C3C" w:rsidP="003C356A">
      <w:pPr>
        <w:rPr>
          <w:lang w:val="en-GB"/>
        </w:rPr>
      </w:pPr>
      <w:r w:rsidRPr="00380B40">
        <w:rPr>
          <w:lang w:val="en-GB"/>
        </w:rPr>
        <w:br w:type="page"/>
      </w:r>
    </w:p>
    <w:p w14:paraId="7CF1ED21" w14:textId="77777777" w:rsidR="003C356A" w:rsidRPr="00380B40" w:rsidRDefault="003C356A" w:rsidP="003C356A">
      <w:pPr>
        <w:rPr>
          <w:lang w:val="en-GB"/>
        </w:rPr>
      </w:pPr>
      <w:r w:rsidRPr="00380B40">
        <w:rPr>
          <w:lang w:val="en-GB"/>
        </w:rPr>
        <w:t>The TSAG plenary can decide to establish the focus group and designate the parent group or be its parent group.</w:t>
      </w:r>
    </w:p>
    <w:p w14:paraId="68231142" w14:textId="77777777" w:rsidR="003C356A" w:rsidRPr="00380B40" w:rsidRDefault="003C356A" w:rsidP="003C356A">
      <w:pPr>
        <w:rPr>
          <w:szCs w:val="24"/>
          <w:lang w:val="en-GB"/>
        </w:rPr>
      </w:pPr>
      <w:r w:rsidRPr="00380B40">
        <w:rPr>
          <w:lang w:val="en-GB"/>
        </w:rPr>
        <w:t>This way of proceeding can also be adopted to decide on cases transmitted according to clause </w:t>
      </w:r>
      <w:r w:rsidRPr="00380B40">
        <w:rPr>
          <w:szCs w:val="24"/>
          <w:lang w:val="en-GB"/>
        </w:rPr>
        <w:t>2.1.1.2 above, when the schedule of the TSAG meeting is compatible with a timely response,</w:t>
      </w:r>
      <w:r w:rsidRPr="00380B40">
        <w:rPr>
          <w:rFonts w:cs="Arial"/>
          <w:szCs w:val="24"/>
          <w:lang w:val="en-GB"/>
        </w:rPr>
        <w:t xml:space="preserve"> whereby the proposal must be available for the members at least twelve calendar days before the meeting</w:t>
      </w:r>
      <w:r w:rsidRPr="00380B40">
        <w:rPr>
          <w:szCs w:val="24"/>
          <w:lang w:val="en-GB"/>
        </w:rPr>
        <w:t>.</w:t>
      </w:r>
    </w:p>
    <w:p w14:paraId="2459FE00" w14:textId="77777777" w:rsidR="003C356A" w:rsidRPr="00380B40" w:rsidRDefault="003C356A" w:rsidP="003C356A">
      <w:pPr>
        <w:pStyle w:val="Heading4"/>
        <w:rPr>
          <w:lang w:val="en-GB"/>
        </w:rPr>
      </w:pPr>
      <w:r w:rsidRPr="00380B40">
        <w:rPr>
          <w:lang w:val="en-GB"/>
        </w:rPr>
        <w:t>2.1.2.2</w:t>
      </w:r>
      <w:r w:rsidRPr="00380B40">
        <w:rPr>
          <w:lang w:val="en-GB"/>
        </w:rPr>
        <w:tab/>
        <w:t>Establishment between TSAG meetings</w:t>
      </w:r>
    </w:p>
    <w:p w14:paraId="2B72047E" w14:textId="77777777" w:rsidR="003C356A" w:rsidRPr="00380B40" w:rsidRDefault="003C356A" w:rsidP="003C356A">
      <w:pPr>
        <w:rPr>
          <w:lang w:val="en-GB"/>
        </w:rPr>
      </w:pPr>
      <w:r w:rsidRPr="00380B40">
        <w:rPr>
          <w:szCs w:val="24"/>
          <w:lang w:val="en-GB"/>
        </w:rPr>
        <w:t xml:space="preserve">Exceptionally, in response to urgent marketplace needs, a focus group </w:t>
      </w:r>
      <w:r w:rsidRPr="00380B40">
        <w:rPr>
          <w:rFonts w:cs="Arial"/>
          <w:szCs w:val="24"/>
          <w:lang w:val="en-GB"/>
        </w:rPr>
        <w:t xml:space="preserve">may be established between TSAG meetings </w:t>
      </w:r>
      <w:r w:rsidRPr="00380B40">
        <w:rPr>
          <w:szCs w:val="24"/>
          <w:lang w:val="en-GB"/>
        </w:rPr>
        <w:t>for the purpose of studying technical issues (i.e., those that have no regulatory or policy</w:t>
      </w:r>
      <w:r w:rsidRPr="00380B40">
        <w:rPr>
          <w:lang w:val="en-GB"/>
        </w:rPr>
        <w:t xml:space="preserve"> implications).</w:t>
      </w:r>
    </w:p>
    <w:p w14:paraId="50231BFB" w14:textId="77777777" w:rsidR="003C356A" w:rsidRPr="00380B40" w:rsidRDefault="003C356A" w:rsidP="003C356A">
      <w:pPr>
        <w:rPr>
          <w:lang w:val="en-GB"/>
        </w:rPr>
      </w:pPr>
      <w:r w:rsidRPr="00380B40">
        <w:rPr>
          <w:lang w:val="en-GB"/>
        </w:rPr>
        <w:t xml:space="preserve">A proposal to set up a focus group on a specific technical topic, including draft terms of reference, may be submitted by any member to the chairman of TSAG. </w:t>
      </w:r>
    </w:p>
    <w:p w14:paraId="6DF54D97" w14:textId="77777777" w:rsidR="003C356A" w:rsidRPr="00380B40" w:rsidRDefault="003C356A" w:rsidP="003C356A">
      <w:pPr>
        <w:rPr>
          <w:lang w:val="en-GB"/>
        </w:rPr>
      </w:pPr>
      <w:r w:rsidRPr="00380B40">
        <w:rPr>
          <w:lang w:val="en-GB"/>
        </w:rPr>
        <w:t>The chairman of TSAG coordinates the first review of the proposal with the vice-chairmen and working party chairmen of TSAG and chairmen of all study groups. If the proposal to set up a focus group is agreed, the proposal, with completed terms of reference and the nomination of the parent group, will be posted on the ITU</w:t>
      </w:r>
      <w:r w:rsidRPr="00380B40">
        <w:rPr>
          <w:lang w:val="en-GB"/>
        </w:rPr>
        <w:noBreakHyphen/>
        <w:t>T website and distributed to the TSAG e-mail distribution list, allowing four weeks for comments.</w:t>
      </w:r>
    </w:p>
    <w:p w14:paraId="76AE78C9" w14:textId="77777777" w:rsidR="003C356A" w:rsidRPr="00380B40" w:rsidRDefault="003C356A" w:rsidP="003C356A">
      <w:pPr>
        <w:rPr>
          <w:lang w:val="en-GB"/>
        </w:rPr>
      </w:pPr>
      <w:r w:rsidRPr="00380B40">
        <w:rPr>
          <w:lang w:val="en-GB"/>
        </w:rPr>
        <w:t>In the absence of unresolved comments, the chairman of TSAG may decide the immediate establishment of the focus group. As far as possible, the chairman of TSAG should seek to resolve comments by correspondence; however, if this is not possible, the decision to approve establishment of the focus group is deferred to the next meeting of TSAG.</w:t>
      </w:r>
    </w:p>
    <w:p w14:paraId="1E5CBC9E" w14:textId="77777777" w:rsidR="003C356A" w:rsidRPr="00380B40" w:rsidRDefault="003C356A" w:rsidP="003C356A">
      <w:pPr>
        <w:rPr>
          <w:lang w:val="en-GB"/>
        </w:rPr>
      </w:pPr>
      <w:r w:rsidRPr="00380B40">
        <w:rPr>
          <w:lang w:val="en-GB"/>
        </w:rPr>
        <w:t>This way of proceeding can also be adopted to decide on cases transmitted according to clause 2.1.1.2 above, when the schedule of the TSAG meetings is not deemed to be compatible with a timely response.</w:t>
      </w:r>
    </w:p>
    <w:p w14:paraId="66BCCE24" w14:textId="77777777" w:rsidR="003C356A" w:rsidRPr="00380B40" w:rsidRDefault="003C356A" w:rsidP="003C356A">
      <w:pPr>
        <w:pStyle w:val="Heading2"/>
        <w:rPr>
          <w:lang w:val="en-GB"/>
        </w:rPr>
      </w:pPr>
      <w:bookmarkStart w:id="986" w:name="_Toc354056994"/>
      <w:bookmarkStart w:id="987" w:name="_Toc357063606"/>
      <w:bookmarkStart w:id="988" w:name="_Toc472065191"/>
      <w:bookmarkStart w:id="989" w:name="_Toc111636907"/>
      <w:r w:rsidRPr="00380B40">
        <w:rPr>
          <w:lang w:val="en-GB"/>
        </w:rPr>
        <w:t>2.2</w:t>
      </w:r>
      <w:r w:rsidRPr="00380B40">
        <w:rPr>
          <w:lang w:val="en-GB"/>
        </w:rPr>
        <w:tab/>
        <w:t>Terms of reference</w:t>
      </w:r>
      <w:bookmarkEnd w:id="986"/>
      <w:bookmarkEnd w:id="987"/>
      <w:bookmarkEnd w:id="988"/>
      <w:bookmarkEnd w:id="989"/>
    </w:p>
    <w:p w14:paraId="743D25A0" w14:textId="77777777" w:rsidR="003C356A" w:rsidRPr="00380B40" w:rsidRDefault="003C356A" w:rsidP="003C356A">
      <w:pPr>
        <w:rPr>
          <w:lang w:val="en-GB"/>
        </w:rPr>
      </w:pPr>
      <w:r w:rsidRPr="00380B40">
        <w:rPr>
          <w:lang w:val="en-GB"/>
        </w:rPr>
        <w:t>The topic for a particular focus group is to be well defined (prior to approval), and the terms of reference must include the scope of actions, a plan of action, the expected deliverables and the time schedules for completion.</w:t>
      </w:r>
    </w:p>
    <w:p w14:paraId="68D95033" w14:textId="77777777" w:rsidR="003C356A" w:rsidRPr="00380B40" w:rsidRDefault="003C356A" w:rsidP="003C356A">
      <w:pPr>
        <w:rPr>
          <w:lang w:val="en-GB"/>
        </w:rPr>
      </w:pPr>
      <w:r w:rsidRPr="00380B40">
        <w:rPr>
          <w:lang w:val="en-GB"/>
        </w:rPr>
        <w:t>The relationship of this work to that of the parent group must be indicated, in addition to relationships with other ITU study groups, standards organizations, forums and consortia, etc., and the degree of urgency of the specific topic. The justification that the intended activity cannot be handled as efficiently by study groups should be given.</w:t>
      </w:r>
    </w:p>
    <w:p w14:paraId="73E6B613" w14:textId="77777777" w:rsidR="003C356A" w:rsidRPr="00380B40" w:rsidRDefault="003C356A" w:rsidP="003C356A">
      <w:pPr>
        <w:rPr>
          <w:lang w:val="en-GB"/>
        </w:rPr>
      </w:pPr>
      <w:r w:rsidRPr="00380B40">
        <w:rPr>
          <w:lang w:val="en-GB"/>
        </w:rPr>
        <w:t>It is expected that a focus group will complete its work in a short period of time, typically 9</w:t>
      </w:r>
      <w:r w:rsidRPr="00380B40">
        <w:rPr>
          <w:lang w:val="en-GB"/>
        </w:rPr>
        <w:noBreakHyphen/>
        <w:t>12 months, following approval of its formation. In appropriate circumstances, and subject to review and approval by the parent group, the term and scope of a focus group may be extended.</w:t>
      </w:r>
    </w:p>
    <w:p w14:paraId="74E3F946" w14:textId="77777777" w:rsidR="00795C3C" w:rsidRPr="00380B40" w:rsidRDefault="00795C3C" w:rsidP="003C356A">
      <w:pPr>
        <w:rPr>
          <w:lang w:val="en-GB"/>
        </w:rPr>
      </w:pPr>
      <w:r w:rsidRPr="00380B40">
        <w:rPr>
          <w:lang w:val="en-GB"/>
        </w:rPr>
        <w:br w:type="page"/>
      </w:r>
    </w:p>
    <w:p w14:paraId="68DEF4BA" w14:textId="77777777" w:rsidR="003C356A" w:rsidRPr="00380B40" w:rsidRDefault="003C356A" w:rsidP="003C356A">
      <w:pPr>
        <w:rPr>
          <w:lang w:val="en-GB"/>
        </w:rPr>
      </w:pPr>
      <w:r w:rsidRPr="00380B40">
        <w:rPr>
          <w:lang w:val="en-GB"/>
        </w:rPr>
        <w:t>During the life of the focus group, its terms of reference cannot be modified by the focus group itself. Any proposal to modify the terms of reference is to be submitted as a written contribution to the parent group for its consideration and approval.</w:t>
      </w:r>
    </w:p>
    <w:p w14:paraId="4C5F7EFA" w14:textId="77777777" w:rsidR="003C356A" w:rsidRPr="00380B40" w:rsidRDefault="003C356A" w:rsidP="003C356A">
      <w:pPr>
        <w:rPr>
          <w:lang w:val="en-GB"/>
        </w:rPr>
      </w:pPr>
      <w:r w:rsidRPr="00380B40">
        <w:rPr>
          <w:lang w:val="en-GB"/>
        </w:rPr>
        <w:t>If more than one study group is involved (i.e., the topic falls under the responsibility and mandate of one or more other study groups), a possible modification of the terms of reference (including scope) should be discussed with the other involved study groups before a decision is taken.</w:t>
      </w:r>
    </w:p>
    <w:p w14:paraId="06971CE2" w14:textId="77777777" w:rsidR="003C356A" w:rsidRPr="00380B40" w:rsidRDefault="003C356A" w:rsidP="003C356A">
      <w:pPr>
        <w:rPr>
          <w:szCs w:val="24"/>
          <w:lang w:val="en-GB"/>
        </w:rPr>
      </w:pPr>
      <w:r w:rsidRPr="00380B40">
        <w:rPr>
          <w:lang w:val="en-GB"/>
        </w:rPr>
        <w:t xml:space="preserve">Extension of the lifetime requires a decision of the parent group (with no reservations by the other involved study groups in the case where a topic falls under the responsibility and mandate of one or </w:t>
      </w:r>
      <w:r w:rsidRPr="00380B40">
        <w:rPr>
          <w:szCs w:val="24"/>
          <w:lang w:val="en-GB"/>
        </w:rPr>
        <w:t xml:space="preserve">more other study groups). The focus group will automatically stop </w:t>
      </w:r>
      <w:r w:rsidRPr="00380B40">
        <w:rPr>
          <w:rFonts w:cs="Arial"/>
          <w:szCs w:val="24"/>
          <w:lang w:val="en-GB"/>
        </w:rPr>
        <w:t>if the parent group does not agree to extend the lifetime of the focus group</w:t>
      </w:r>
      <w:r w:rsidRPr="00380B40">
        <w:rPr>
          <w:szCs w:val="24"/>
          <w:lang w:val="en-GB"/>
        </w:rPr>
        <w:t>.</w:t>
      </w:r>
    </w:p>
    <w:p w14:paraId="6E3BB854" w14:textId="77777777" w:rsidR="003C356A" w:rsidRPr="00380B40" w:rsidRDefault="003C356A" w:rsidP="003C356A">
      <w:pPr>
        <w:pStyle w:val="Heading2"/>
        <w:rPr>
          <w:lang w:val="en-GB"/>
        </w:rPr>
      </w:pPr>
      <w:bookmarkStart w:id="990" w:name="_Toc354056995"/>
      <w:bookmarkStart w:id="991" w:name="_Toc357063607"/>
      <w:bookmarkStart w:id="992" w:name="_Toc472065192"/>
      <w:bookmarkStart w:id="993" w:name="_Toc111636908"/>
      <w:r w:rsidRPr="00380B40">
        <w:rPr>
          <w:lang w:val="en-GB"/>
        </w:rPr>
        <w:t>2.3</w:t>
      </w:r>
      <w:r w:rsidRPr="00380B40">
        <w:rPr>
          <w:lang w:val="en-GB"/>
        </w:rPr>
        <w:tab/>
        <w:t>Leadership</w:t>
      </w:r>
      <w:bookmarkEnd w:id="990"/>
      <w:bookmarkEnd w:id="991"/>
      <w:bookmarkEnd w:id="992"/>
      <w:bookmarkEnd w:id="993"/>
    </w:p>
    <w:p w14:paraId="041B717F" w14:textId="77777777" w:rsidR="003C356A" w:rsidRPr="00380B40" w:rsidRDefault="003C356A" w:rsidP="003C356A">
      <w:pPr>
        <w:rPr>
          <w:szCs w:val="24"/>
          <w:lang w:val="en-GB"/>
        </w:rPr>
      </w:pPr>
      <w:r w:rsidRPr="00380B40">
        <w:rPr>
          <w:szCs w:val="24"/>
          <w:lang w:val="en-GB"/>
        </w:rPr>
        <w:t>A chairman and vice-chairman are initially appointed by the parent group. If needed, after the initial establishment of the focus group, subsequent management appointments will be made by the focus group, and the parent group informed accordingly.</w:t>
      </w:r>
      <w:r w:rsidRPr="00380B40">
        <w:rPr>
          <w:rFonts w:cs="Arial"/>
          <w:szCs w:val="24"/>
          <w:lang w:val="en-GB"/>
        </w:rPr>
        <w:t xml:space="preserve"> Appointment of chairman and vice-chairman shall be primarily based upon demonstrated competence both in technical content of the parent group and in the management skills required.</w:t>
      </w:r>
    </w:p>
    <w:p w14:paraId="2BDDB5BB" w14:textId="77777777" w:rsidR="003C356A" w:rsidRPr="00380B40" w:rsidRDefault="003C356A" w:rsidP="003C356A">
      <w:pPr>
        <w:rPr>
          <w:szCs w:val="24"/>
          <w:lang w:val="en-GB"/>
        </w:rPr>
      </w:pPr>
      <w:r w:rsidRPr="00380B40">
        <w:rPr>
          <w:rFonts w:cs="Arial"/>
          <w:szCs w:val="24"/>
          <w:lang w:val="en-GB"/>
        </w:rPr>
        <w:t>Member States and ITU-T Sector Member</w:t>
      </w:r>
      <w:r w:rsidRPr="00380B40">
        <w:rPr>
          <w:szCs w:val="24"/>
          <w:lang w:val="en-GB"/>
        </w:rPr>
        <w:t>s will provide the chairmanship, but vice-chairmanships can be open to ITU-T Associates and academia, as well as to external experts.</w:t>
      </w:r>
    </w:p>
    <w:p w14:paraId="7391A14B" w14:textId="77777777" w:rsidR="003C356A" w:rsidRPr="00380B40" w:rsidRDefault="003C356A" w:rsidP="003C356A">
      <w:pPr>
        <w:rPr>
          <w:szCs w:val="24"/>
          <w:lang w:val="en-GB"/>
        </w:rPr>
      </w:pPr>
      <w:r w:rsidRPr="00380B40">
        <w:rPr>
          <w:rFonts w:cs="Arial"/>
          <w:szCs w:val="24"/>
          <w:lang w:val="en-GB"/>
        </w:rPr>
        <w:t xml:space="preserve">A focus group chairman who </w:t>
      </w:r>
      <w:r w:rsidRPr="00380B40">
        <w:rPr>
          <w:rFonts w:cs="Arial"/>
          <w:szCs w:val="24"/>
          <w:lang w:val="en-GB" w:eastAsia="en-GB"/>
        </w:rPr>
        <w:t>is unable to carry out his or her duties is</w:t>
      </w:r>
      <w:r w:rsidRPr="00380B40">
        <w:rPr>
          <w:rFonts w:cs="Arial"/>
          <w:szCs w:val="24"/>
          <w:lang w:val="en-GB"/>
        </w:rPr>
        <w:t xml:space="preserve"> replaced by one of the vice-chairmen, who is chosen and appointed by the parent group at its next meeting. If none of the vice-chairmen is an ITU member, the parent group calls for candidates and the chairman is appointed at the next meeting of the parent group.</w:t>
      </w:r>
    </w:p>
    <w:p w14:paraId="34E5BCB2" w14:textId="77777777" w:rsidR="003C356A" w:rsidRPr="00380B40" w:rsidRDefault="003C356A" w:rsidP="003C356A">
      <w:pPr>
        <w:pStyle w:val="Heading1"/>
        <w:rPr>
          <w:lang w:val="en-GB"/>
        </w:rPr>
      </w:pPr>
      <w:bookmarkStart w:id="994" w:name="_Toc354056996"/>
      <w:bookmarkStart w:id="995" w:name="_Toc357063608"/>
      <w:bookmarkStart w:id="996" w:name="_Toc472065193"/>
      <w:bookmarkStart w:id="997" w:name="_Toc111636909"/>
      <w:r w:rsidRPr="00380B40">
        <w:rPr>
          <w:lang w:val="en-GB"/>
        </w:rPr>
        <w:t>3</w:t>
      </w:r>
      <w:r w:rsidRPr="00380B40">
        <w:rPr>
          <w:lang w:val="en-GB"/>
        </w:rPr>
        <w:tab/>
        <w:t>Focus group working procedures</w:t>
      </w:r>
      <w:bookmarkEnd w:id="994"/>
      <w:bookmarkEnd w:id="995"/>
      <w:bookmarkEnd w:id="996"/>
      <w:bookmarkEnd w:id="997"/>
    </w:p>
    <w:p w14:paraId="6C84DBA4" w14:textId="77777777" w:rsidR="003C356A" w:rsidRPr="00380B40" w:rsidRDefault="003C356A" w:rsidP="003C356A">
      <w:pPr>
        <w:pStyle w:val="Heading2"/>
        <w:rPr>
          <w:lang w:val="en-GB"/>
        </w:rPr>
      </w:pPr>
      <w:bookmarkStart w:id="998" w:name="_Toc354056997"/>
      <w:bookmarkStart w:id="999" w:name="_Toc357063609"/>
      <w:bookmarkStart w:id="1000" w:name="_Toc472065194"/>
      <w:bookmarkStart w:id="1001" w:name="_Toc111636910"/>
      <w:r w:rsidRPr="00380B40">
        <w:rPr>
          <w:lang w:val="en-GB"/>
        </w:rPr>
        <w:t>3.1</w:t>
      </w:r>
      <w:r w:rsidRPr="00380B40">
        <w:rPr>
          <w:lang w:val="en-GB"/>
        </w:rPr>
        <w:tab/>
        <w:t>Participation</w:t>
      </w:r>
      <w:bookmarkEnd w:id="998"/>
      <w:bookmarkEnd w:id="999"/>
      <w:bookmarkEnd w:id="1000"/>
      <w:bookmarkEnd w:id="1001"/>
    </w:p>
    <w:p w14:paraId="3FEB20C2" w14:textId="77777777" w:rsidR="003C356A" w:rsidRPr="00380B40" w:rsidRDefault="003C356A" w:rsidP="003C356A">
      <w:pPr>
        <w:rPr>
          <w:lang w:val="en-GB"/>
        </w:rPr>
      </w:pPr>
      <w:r w:rsidRPr="00380B40">
        <w:rPr>
          <w:lang w:val="en-GB"/>
        </w:rPr>
        <w:t>Any individual from a country that is a member of ITU and who is willing to contribute actively to the work may participate in a focus group. This includes individuals who are also members of international, regional and national organizations.</w:t>
      </w:r>
    </w:p>
    <w:p w14:paraId="3A5487D2" w14:textId="77777777" w:rsidR="003C356A" w:rsidRPr="00380B40" w:rsidRDefault="003C356A" w:rsidP="003C356A">
      <w:pPr>
        <w:rPr>
          <w:lang w:val="en-GB"/>
        </w:rPr>
      </w:pPr>
      <w:r w:rsidRPr="00380B40">
        <w:rPr>
          <w:lang w:val="en-GB"/>
        </w:rPr>
        <w:t>Participation in focus groups shall not be used as an alternative to ITU membership.</w:t>
      </w:r>
    </w:p>
    <w:p w14:paraId="57EB58DB" w14:textId="77777777" w:rsidR="003C356A" w:rsidRPr="00380B40" w:rsidRDefault="003C356A" w:rsidP="003C356A">
      <w:pPr>
        <w:rPr>
          <w:szCs w:val="24"/>
          <w:lang w:val="en-GB"/>
        </w:rPr>
      </w:pPr>
      <w:r w:rsidRPr="00380B40">
        <w:rPr>
          <w:szCs w:val="24"/>
          <w:lang w:val="en-GB"/>
        </w:rPr>
        <w:t xml:space="preserve">A list of participants is to be maintained by the focus group for reference purposes. </w:t>
      </w:r>
      <w:r w:rsidRPr="00380B40">
        <w:rPr>
          <w:rFonts w:cs="Arial"/>
          <w:szCs w:val="24"/>
          <w:lang w:val="en-GB"/>
        </w:rPr>
        <w:t>This list will include information for persons with disabilities on how their participation shall be facilitated.</w:t>
      </w:r>
    </w:p>
    <w:p w14:paraId="7ABCB407" w14:textId="77777777" w:rsidR="003C356A" w:rsidRPr="00380B40" w:rsidRDefault="003C356A" w:rsidP="003C356A">
      <w:pPr>
        <w:rPr>
          <w:lang w:val="en-GB"/>
        </w:rPr>
      </w:pPr>
      <w:r w:rsidRPr="00380B40">
        <w:rPr>
          <w:szCs w:val="24"/>
          <w:lang w:val="en-GB"/>
        </w:rPr>
        <w:t>Participation in focus groups that have impacts on strategic, structural and/or operational aspects of</w:t>
      </w:r>
      <w:r w:rsidRPr="00380B40">
        <w:rPr>
          <w:lang w:val="en-GB"/>
        </w:rPr>
        <w:t xml:space="preserve"> ITU</w:t>
      </w:r>
      <w:r w:rsidRPr="00380B40">
        <w:rPr>
          <w:lang w:val="en-GB"/>
        </w:rPr>
        <w:noBreakHyphen/>
        <w:t>T is limited to ITU</w:t>
      </w:r>
      <w:r w:rsidRPr="00380B40">
        <w:rPr>
          <w:lang w:val="en-GB"/>
        </w:rPr>
        <w:noBreakHyphen/>
        <w:t>T members.</w:t>
      </w:r>
    </w:p>
    <w:p w14:paraId="34537504" w14:textId="77777777" w:rsidR="004F0795" w:rsidRPr="00380B40" w:rsidRDefault="004F0795" w:rsidP="003C356A">
      <w:pPr>
        <w:pStyle w:val="Heading1"/>
        <w:rPr>
          <w:lang w:val="en-GB"/>
        </w:rPr>
      </w:pPr>
      <w:bookmarkStart w:id="1002" w:name="_Toc354056998"/>
      <w:bookmarkStart w:id="1003" w:name="_Toc357063610"/>
      <w:bookmarkStart w:id="1004" w:name="_Toc472065195"/>
      <w:r w:rsidRPr="00380B40">
        <w:rPr>
          <w:lang w:val="en-GB"/>
        </w:rPr>
        <w:br w:type="page"/>
      </w:r>
    </w:p>
    <w:p w14:paraId="00BCF9B1" w14:textId="77777777" w:rsidR="003C356A" w:rsidRPr="00380B40" w:rsidRDefault="003C356A" w:rsidP="003C356A">
      <w:pPr>
        <w:pStyle w:val="Heading1"/>
        <w:rPr>
          <w:lang w:val="en-GB"/>
        </w:rPr>
      </w:pPr>
      <w:bookmarkStart w:id="1005" w:name="_Toc111636911"/>
      <w:r w:rsidRPr="00380B40">
        <w:rPr>
          <w:lang w:val="en-GB"/>
        </w:rPr>
        <w:t>4</w:t>
      </w:r>
      <w:r w:rsidRPr="00380B40">
        <w:rPr>
          <w:lang w:val="en-GB"/>
        </w:rPr>
        <w:tab/>
        <w:t>Financing of focus groups and their meetings</w:t>
      </w:r>
      <w:bookmarkEnd w:id="1002"/>
      <w:bookmarkEnd w:id="1003"/>
      <w:bookmarkEnd w:id="1004"/>
      <w:bookmarkEnd w:id="1005"/>
    </w:p>
    <w:p w14:paraId="6CC3A99B" w14:textId="77777777" w:rsidR="003C356A" w:rsidRPr="00380B40" w:rsidRDefault="003C356A" w:rsidP="003C356A">
      <w:pPr>
        <w:rPr>
          <w:lang w:val="en-GB"/>
        </w:rPr>
      </w:pPr>
      <w:r w:rsidRPr="00380B40">
        <w:rPr>
          <w:lang w:val="en-GB"/>
        </w:rPr>
        <w:t xml:space="preserve">Financing of meetings and their preparation is accomplished by volunteer hosting in a similar manner to rapporteur groups, or on the basis of financial arrangements determined by the focus group, provided there is no incremental increase in expenditure and no adverse impact on the normal work of the study groups and TSAG, except for encouraging the participation of persons with disabilities in accordance with </w:t>
      </w:r>
      <w:r w:rsidRPr="00380B40">
        <w:rPr>
          <w:i/>
          <w:iCs/>
          <w:lang w:val="en-GB"/>
        </w:rPr>
        <w:t>resolves</w:t>
      </w:r>
      <w:r w:rsidRPr="00380B40">
        <w:rPr>
          <w:lang w:val="en-GB"/>
        </w:rPr>
        <w:t xml:space="preserve"> 3 and 4 of Resolution 175 (Guadalajara, 2010) of the Plenipotentiary Conference, and for supporting the participation of representatives of developing countries</w:t>
      </w:r>
      <w:r w:rsidR="00FD162E" w:rsidRPr="00380B40">
        <w:rPr>
          <w:rStyle w:val="FootnoteReference"/>
          <w:lang w:val="en-GB"/>
        </w:rPr>
        <w:footnoteReference w:id="69"/>
      </w:r>
      <w:r w:rsidRPr="00380B40">
        <w:rPr>
          <w:lang w:val="en-GB"/>
        </w:rPr>
        <w:t xml:space="preserve"> in accordance with </w:t>
      </w:r>
      <w:r w:rsidRPr="00380B40">
        <w:rPr>
          <w:i/>
          <w:iCs/>
          <w:lang w:val="en-GB"/>
        </w:rPr>
        <w:t>resolves</w:t>
      </w:r>
      <w:r w:rsidRPr="00380B40">
        <w:rPr>
          <w:lang w:val="en-GB"/>
        </w:rPr>
        <w:t xml:space="preserve"> 3 of Resolution 123 (Rev. Guadalajara, 2010) of the Plenipotentiary Conference.</w:t>
      </w:r>
    </w:p>
    <w:p w14:paraId="294E82E4" w14:textId="77777777" w:rsidR="003C356A" w:rsidRPr="00380B40" w:rsidRDefault="003C356A" w:rsidP="003C356A">
      <w:pPr>
        <w:pStyle w:val="Heading1"/>
        <w:rPr>
          <w:lang w:val="en-GB"/>
        </w:rPr>
      </w:pPr>
      <w:bookmarkStart w:id="1006" w:name="_Toc354056999"/>
      <w:bookmarkStart w:id="1007" w:name="_Toc357063611"/>
      <w:bookmarkStart w:id="1008" w:name="_Toc472065196"/>
      <w:bookmarkStart w:id="1009" w:name="_Toc111636912"/>
      <w:r w:rsidRPr="00380B40">
        <w:rPr>
          <w:lang w:val="en-GB"/>
        </w:rPr>
        <w:t>5</w:t>
      </w:r>
      <w:r w:rsidRPr="00380B40">
        <w:rPr>
          <w:lang w:val="en-GB"/>
        </w:rPr>
        <w:tab/>
        <w:t>Administrative support</w:t>
      </w:r>
      <w:bookmarkEnd w:id="1006"/>
      <w:bookmarkEnd w:id="1007"/>
      <w:bookmarkEnd w:id="1008"/>
      <w:bookmarkEnd w:id="1009"/>
    </w:p>
    <w:p w14:paraId="44003347" w14:textId="77777777" w:rsidR="003C356A" w:rsidRPr="00380B40" w:rsidRDefault="003C356A" w:rsidP="003C356A">
      <w:pPr>
        <w:rPr>
          <w:lang w:val="en-GB"/>
        </w:rPr>
      </w:pPr>
      <w:r w:rsidRPr="00380B40">
        <w:rPr>
          <w:lang w:val="en-GB"/>
        </w:rPr>
        <w:t>Focus groups can establish their own method of providing and financing administrative support between meetings.</w:t>
      </w:r>
    </w:p>
    <w:p w14:paraId="56BC0B73" w14:textId="77777777" w:rsidR="003C356A" w:rsidRPr="00380B40" w:rsidRDefault="003C356A" w:rsidP="003C356A">
      <w:pPr>
        <w:rPr>
          <w:lang w:val="en-GB"/>
        </w:rPr>
      </w:pPr>
      <w:r w:rsidRPr="00380B40">
        <w:rPr>
          <w:lang w:val="en-GB"/>
        </w:rPr>
        <w:t xml:space="preserve">Where administrative services are requested from TSB, there shall be no incremental increase in expenditure and no adverse impact on the normal work of the study groups and TSAG, except for encouraging the participation of persons with disabilities in accordance with </w:t>
      </w:r>
      <w:r w:rsidRPr="00380B40">
        <w:rPr>
          <w:i/>
          <w:iCs/>
          <w:lang w:val="en-GB"/>
        </w:rPr>
        <w:t>resolves</w:t>
      </w:r>
      <w:r w:rsidRPr="00380B40">
        <w:rPr>
          <w:lang w:val="en-GB"/>
        </w:rPr>
        <w:t xml:space="preserve"> 3 and 4 of Resolution 175 (Guadalajara, 2010) of the Plenipotentiary Conference, and for supporting the participation of representatives of developing countries in accordance with </w:t>
      </w:r>
      <w:r w:rsidRPr="00380B40">
        <w:rPr>
          <w:i/>
          <w:iCs/>
          <w:lang w:val="en-GB"/>
        </w:rPr>
        <w:t>resolves</w:t>
      </w:r>
      <w:r w:rsidRPr="00380B40">
        <w:rPr>
          <w:lang w:val="en-GB"/>
        </w:rPr>
        <w:t xml:space="preserve"> 3 of Resolution 123 (Rev. Guadalajara, 2010) of the Plenipotentiary Conference.</w:t>
      </w:r>
    </w:p>
    <w:p w14:paraId="071020C2" w14:textId="77777777" w:rsidR="003C356A" w:rsidRPr="00380B40" w:rsidRDefault="003C356A" w:rsidP="003C356A">
      <w:pPr>
        <w:pStyle w:val="Heading1"/>
        <w:rPr>
          <w:lang w:val="en-GB"/>
        </w:rPr>
      </w:pPr>
      <w:bookmarkStart w:id="1010" w:name="_Toc354057000"/>
      <w:bookmarkStart w:id="1011" w:name="_Toc357063612"/>
      <w:bookmarkStart w:id="1012" w:name="_Toc472065197"/>
      <w:bookmarkStart w:id="1013" w:name="_Toc111636913"/>
      <w:r w:rsidRPr="00380B40">
        <w:rPr>
          <w:lang w:val="en-GB"/>
        </w:rPr>
        <w:t>6</w:t>
      </w:r>
      <w:r w:rsidRPr="00380B40">
        <w:rPr>
          <w:lang w:val="en-GB"/>
        </w:rPr>
        <w:tab/>
        <w:t>Meeting logistics</w:t>
      </w:r>
      <w:bookmarkEnd w:id="1010"/>
      <w:bookmarkEnd w:id="1011"/>
      <w:bookmarkEnd w:id="1012"/>
      <w:bookmarkEnd w:id="1013"/>
    </w:p>
    <w:p w14:paraId="10C56E1F" w14:textId="77777777" w:rsidR="003C356A" w:rsidRPr="00380B40" w:rsidRDefault="003C356A" w:rsidP="003C356A">
      <w:pPr>
        <w:rPr>
          <w:lang w:val="en-GB"/>
        </w:rPr>
      </w:pPr>
      <w:r w:rsidRPr="00380B40">
        <w:rPr>
          <w:szCs w:val="24"/>
          <w:lang w:val="en-GB"/>
        </w:rPr>
        <w:t xml:space="preserve">The frequency and location of meetings is decided by each focus group. Electronic document handling methods should be used as much as possible to advance the work rapidly (e.g., by using electronic conferences and the World Wide Web). Participation of persons with disabilities, including the provision of electronic documents in accessible formats, shall be encouraged in accordance with Resolution 175 (Guadalajara, 2010) of the Plenipotentiary Conference. </w:t>
      </w:r>
    </w:p>
    <w:p w14:paraId="011E6538" w14:textId="77777777" w:rsidR="003C356A" w:rsidRPr="00380B40" w:rsidRDefault="003C356A" w:rsidP="003C356A">
      <w:pPr>
        <w:pStyle w:val="Heading1"/>
        <w:rPr>
          <w:lang w:val="en-GB"/>
        </w:rPr>
      </w:pPr>
      <w:bookmarkStart w:id="1014" w:name="_Toc354057001"/>
      <w:bookmarkStart w:id="1015" w:name="_Toc357063613"/>
      <w:bookmarkStart w:id="1016" w:name="_Toc472065198"/>
      <w:bookmarkStart w:id="1017" w:name="_Toc111636914"/>
      <w:r w:rsidRPr="00380B40">
        <w:rPr>
          <w:lang w:val="en-GB"/>
        </w:rPr>
        <w:t>7</w:t>
      </w:r>
      <w:r w:rsidRPr="00380B40">
        <w:rPr>
          <w:lang w:val="en-GB"/>
        </w:rPr>
        <w:tab/>
        <w:t>Working language</w:t>
      </w:r>
      <w:bookmarkEnd w:id="1014"/>
      <w:bookmarkEnd w:id="1015"/>
      <w:bookmarkEnd w:id="1016"/>
      <w:bookmarkEnd w:id="1017"/>
    </w:p>
    <w:p w14:paraId="061DD38A" w14:textId="77777777" w:rsidR="003C356A" w:rsidRPr="00380B40" w:rsidRDefault="003C356A" w:rsidP="003C356A">
      <w:pPr>
        <w:rPr>
          <w:lang w:val="en-GB"/>
        </w:rPr>
      </w:pPr>
      <w:r w:rsidRPr="00380B40">
        <w:rPr>
          <w:lang w:val="en-GB"/>
        </w:rPr>
        <w:t>The language to be used will be mutually agreed by the focus group participants. However, any communication with the parent group shall preferably be in English or one of the other ITU official languages.</w:t>
      </w:r>
    </w:p>
    <w:p w14:paraId="4148FF78" w14:textId="77777777" w:rsidR="003C356A" w:rsidRPr="00380B40" w:rsidRDefault="003C356A" w:rsidP="003C356A">
      <w:pPr>
        <w:pStyle w:val="Heading1"/>
        <w:rPr>
          <w:lang w:val="en-GB"/>
        </w:rPr>
      </w:pPr>
      <w:bookmarkStart w:id="1018" w:name="_Toc354057002"/>
      <w:bookmarkStart w:id="1019" w:name="_Toc357063614"/>
      <w:bookmarkStart w:id="1020" w:name="_Toc472065199"/>
      <w:bookmarkStart w:id="1021" w:name="_Toc111636915"/>
      <w:r w:rsidRPr="00380B40">
        <w:rPr>
          <w:lang w:val="en-GB"/>
        </w:rPr>
        <w:t>8</w:t>
      </w:r>
      <w:r w:rsidRPr="00380B40">
        <w:rPr>
          <w:lang w:val="en-GB"/>
        </w:rPr>
        <w:tab/>
        <w:t>Technical contributions</w:t>
      </w:r>
      <w:bookmarkEnd w:id="1018"/>
      <w:bookmarkEnd w:id="1019"/>
      <w:bookmarkEnd w:id="1020"/>
      <w:bookmarkEnd w:id="1021"/>
    </w:p>
    <w:p w14:paraId="287D759F" w14:textId="77777777" w:rsidR="003C356A" w:rsidRPr="00380B40" w:rsidRDefault="003C356A" w:rsidP="003C356A">
      <w:pPr>
        <w:rPr>
          <w:lang w:val="en-GB"/>
        </w:rPr>
      </w:pPr>
      <w:r w:rsidRPr="00380B40">
        <w:rPr>
          <w:lang w:val="en-GB"/>
        </w:rPr>
        <w:t xml:space="preserve">Any participant may submit a technical contribution directly to the focus group, in accordance with </w:t>
      </w:r>
      <w:r w:rsidRPr="00380B40">
        <w:rPr>
          <w:szCs w:val="24"/>
          <w:lang w:val="en-GB"/>
        </w:rPr>
        <w:t xml:space="preserve">the time schedule adopted. </w:t>
      </w:r>
      <w:r w:rsidRPr="00380B40">
        <w:rPr>
          <w:rFonts w:cs="Arial"/>
          <w:szCs w:val="24"/>
          <w:lang w:val="en-GB"/>
        </w:rPr>
        <w:t xml:space="preserve">A template for contributions can be found on the ITU-T website. </w:t>
      </w:r>
      <w:r w:rsidRPr="00380B40">
        <w:rPr>
          <w:szCs w:val="24"/>
          <w:lang w:val="en-GB"/>
        </w:rPr>
        <w:t>Electronic</w:t>
      </w:r>
      <w:r w:rsidRPr="00380B40">
        <w:rPr>
          <w:lang w:val="en-GB"/>
        </w:rPr>
        <w:t xml:space="preserve"> document transfer methods should be used whenever possible.</w:t>
      </w:r>
    </w:p>
    <w:p w14:paraId="701612E0" w14:textId="77777777" w:rsidR="004F0795" w:rsidRPr="00380B40" w:rsidRDefault="004F0795" w:rsidP="003C356A">
      <w:pPr>
        <w:pStyle w:val="Heading1"/>
        <w:rPr>
          <w:lang w:val="en-GB"/>
        </w:rPr>
      </w:pPr>
      <w:bookmarkStart w:id="1022" w:name="_Toc354057003"/>
      <w:bookmarkStart w:id="1023" w:name="_Toc357063615"/>
      <w:bookmarkStart w:id="1024" w:name="_Toc472065200"/>
      <w:r w:rsidRPr="00380B40">
        <w:rPr>
          <w:lang w:val="en-GB"/>
        </w:rPr>
        <w:br w:type="page"/>
      </w:r>
    </w:p>
    <w:p w14:paraId="19DF0B78" w14:textId="77777777" w:rsidR="003C356A" w:rsidRPr="00380B40" w:rsidRDefault="003C356A" w:rsidP="003C356A">
      <w:pPr>
        <w:pStyle w:val="Heading1"/>
        <w:rPr>
          <w:lang w:val="en-GB"/>
        </w:rPr>
      </w:pPr>
      <w:bookmarkStart w:id="1025" w:name="_Toc111636916"/>
      <w:r w:rsidRPr="00380B40" w:rsidDel="00D043A7">
        <w:rPr>
          <w:lang w:val="en-GB"/>
        </w:rPr>
        <w:t>9</w:t>
      </w:r>
      <w:r w:rsidRPr="00380B40" w:rsidDel="00D043A7">
        <w:rPr>
          <w:lang w:val="en-GB"/>
        </w:rPr>
        <w:tab/>
      </w:r>
      <w:r w:rsidRPr="00380B40">
        <w:rPr>
          <w:lang w:val="en-GB"/>
        </w:rPr>
        <w:t>Intellectual property rights</w:t>
      </w:r>
      <w:bookmarkEnd w:id="1022"/>
      <w:bookmarkEnd w:id="1023"/>
      <w:bookmarkEnd w:id="1024"/>
      <w:bookmarkEnd w:id="1025"/>
    </w:p>
    <w:p w14:paraId="1CC7CA3F" w14:textId="77777777" w:rsidR="003C356A" w:rsidRPr="00380B40" w:rsidRDefault="003C356A" w:rsidP="003C356A">
      <w:pPr>
        <w:rPr>
          <w:lang w:val="en-GB"/>
        </w:rPr>
      </w:pPr>
      <w:r w:rsidRPr="00380B40">
        <w:rPr>
          <w:lang w:val="en-GB"/>
        </w:rPr>
        <w:t>The Common Patent Policy for ITU</w:t>
      </w:r>
      <w:r w:rsidRPr="00380B40">
        <w:rPr>
          <w:lang w:val="en-GB"/>
        </w:rPr>
        <w:noBreakHyphen/>
        <w:t>T/ITU</w:t>
      </w:r>
      <w:r w:rsidRPr="00380B40">
        <w:rPr>
          <w:lang w:val="en-GB"/>
        </w:rPr>
        <w:noBreakHyphen/>
        <w:t>R/ISO/IEC is to be used.</w:t>
      </w:r>
    </w:p>
    <w:p w14:paraId="37A68996" w14:textId="77777777" w:rsidR="003C356A" w:rsidRPr="00380B40" w:rsidRDefault="003C356A" w:rsidP="003C356A">
      <w:pPr>
        <w:rPr>
          <w:lang w:val="en-GB"/>
        </w:rPr>
      </w:pPr>
      <w:r w:rsidRPr="00380B40">
        <w:rPr>
          <w:lang w:val="en-GB"/>
        </w:rPr>
        <w:t>The chairman of a focus group should announce this during every meeting and record all responses in the meeting report.</w:t>
      </w:r>
    </w:p>
    <w:p w14:paraId="0AF909E6" w14:textId="77777777" w:rsidR="003C356A" w:rsidRPr="00380B40" w:rsidRDefault="003C356A" w:rsidP="003C356A">
      <w:pPr>
        <w:rPr>
          <w:lang w:val="en-GB"/>
        </w:rPr>
      </w:pPr>
      <w:r w:rsidRPr="00380B40">
        <w:rPr>
          <w:lang w:val="en-GB"/>
        </w:rPr>
        <w:t>The copyright provisions in Recommendation ITU</w:t>
      </w:r>
      <w:r w:rsidRPr="00380B40">
        <w:rPr>
          <w:lang w:val="en-GB"/>
        </w:rPr>
        <w:noBreakHyphen/>
        <w:t>T A.1 are to be followed.</w:t>
      </w:r>
    </w:p>
    <w:p w14:paraId="0EFD7E32" w14:textId="77777777" w:rsidR="003C356A" w:rsidRPr="00380B40" w:rsidRDefault="003C356A" w:rsidP="003C356A">
      <w:pPr>
        <w:pStyle w:val="Heading1"/>
        <w:rPr>
          <w:lang w:val="en-GB"/>
        </w:rPr>
      </w:pPr>
      <w:bookmarkStart w:id="1026" w:name="_Toc354057004"/>
      <w:bookmarkStart w:id="1027" w:name="_Toc357063616"/>
      <w:bookmarkStart w:id="1028" w:name="_Toc472065201"/>
      <w:bookmarkStart w:id="1029" w:name="_Toc111636917"/>
      <w:r w:rsidRPr="00380B40">
        <w:rPr>
          <w:lang w:val="en-GB"/>
        </w:rPr>
        <w:t>10</w:t>
      </w:r>
      <w:r w:rsidRPr="00380B40">
        <w:rPr>
          <w:lang w:val="en-GB"/>
        </w:rPr>
        <w:tab/>
        <w:t>Deliverables – approval and distribution</w:t>
      </w:r>
      <w:bookmarkEnd w:id="1026"/>
      <w:bookmarkEnd w:id="1027"/>
      <w:bookmarkEnd w:id="1028"/>
      <w:bookmarkEnd w:id="1029"/>
    </w:p>
    <w:p w14:paraId="2DDEFC23" w14:textId="77777777" w:rsidR="003C356A" w:rsidRPr="00380B40" w:rsidRDefault="003C356A" w:rsidP="003C356A">
      <w:pPr>
        <w:rPr>
          <w:szCs w:val="24"/>
          <w:lang w:val="en-GB"/>
        </w:rPr>
      </w:pPr>
      <w:r w:rsidRPr="00380B40">
        <w:rPr>
          <w:szCs w:val="24"/>
          <w:lang w:val="en-GB"/>
        </w:rPr>
        <w:t>Deliverables can be in the form of technical specifications, reports</w:t>
      </w:r>
      <w:r w:rsidRPr="00380B40">
        <w:rPr>
          <w:rFonts w:cs="Arial"/>
          <w:szCs w:val="24"/>
          <w:lang w:val="en-GB"/>
        </w:rPr>
        <w:t xml:space="preserve"> on standards gap analysis results, base material for the development of draft Recommendations</w:t>
      </w:r>
      <w:r w:rsidRPr="00380B40">
        <w:rPr>
          <w:szCs w:val="24"/>
          <w:lang w:val="en-GB"/>
        </w:rPr>
        <w:t xml:space="preserve">, etc., and are expected to form input to the advanced work of the parent group. The focus group will send all of its deliverables to the parent group for further consideration (see also clause 7). </w:t>
      </w:r>
      <w:r w:rsidRPr="00380B40">
        <w:rPr>
          <w:rFonts w:cs="Arial"/>
          <w:szCs w:val="24"/>
          <w:lang w:val="en-GB"/>
        </w:rPr>
        <w:t>The deliverables shall be published as TDs of the parent group in accordance with clause 3.3.3 of Recommendation ITU-T A.1, but no later than four calendar weeks before the meeting of the parent group.</w:t>
      </w:r>
    </w:p>
    <w:p w14:paraId="5E7B987D" w14:textId="77777777" w:rsidR="003C356A" w:rsidRPr="00380B40" w:rsidRDefault="003C356A" w:rsidP="003C356A">
      <w:pPr>
        <w:rPr>
          <w:lang w:val="en-GB"/>
        </w:rPr>
      </w:pPr>
      <w:r w:rsidRPr="00380B40">
        <w:rPr>
          <w:lang w:val="en-GB"/>
        </w:rPr>
        <w:t>For the sake of clarity, all the output/deliverables of a focus group should be posted on the parent group's website, whether or not one or more study groups are involved.</w:t>
      </w:r>
    </w:p>
    <w:p w14:paraId="4695E214" w14:textId="77777777" w:rsidR="003C356A" w:rsidRPr="00380B40" w:rsidRDefault="003C356A" w:rsidP="003C356A">
      <w:pPr>
        <w:pStyle w:val="Heading2"/>
        <w:rPr>
          <w:lang w:val="en-GB"/>
        </w:rPr>
      </w:pPr>
      <w:bookmarkStart w:id="1030" w:name="_Toc354057005"/>
      <w:bookmarkStart w:id="1031" w:name="_Toc357063617"/>
      <w:bookmarkStart w:id="1032" w:name="_Toc472065202"/>
      <w:bookmarkStart w:id="1033" w:name="_Toc111636918"/>
      <w:r w:rsidRPr="00380B40">
        <w:rPr>
          <w:lang w:val="en-GB"/>
        </w:rPr>
        <w:t>10.1</w:t>
      </w:r>
      <w:r w:rsidRPr="00380B40">
        <w:rPr>
          <w:lang w:val="en-GB"/>
        </w:rPr>
        <w:tab/>
        <w:t>Approval of deliverables</w:t>
      </w:r>
      <w:bookmarkEnd w:id="1030"/>
      <w:bookmarkEnd w:id="1031"/>
      <w:bookmarkEnd w:id="1032"/>
      <w:bookmarkEnd w:id="1033"/>
    </w:p>
    <w:p w14:paraId="7F0EFDF7" w14:textId="77777777" w:rsidR="003C356A" w:rsidRPr="00380B40" w:rsidRDefault="003C356A" w:rsidP="003C356A">
      <w:pPr>
        <w:rPr>
          <w:lang w:val="en-GB"/>
        </w:rPr>
      </w:pPr>
      <w:r w:rsidRPr="00380B40">
        <w:rPr>
          <w:lang w:val="en-GB"/>
        </w:rPr>
        <w:t>Approval shall be obtained by consensus.</w:t>
      </w:r>
    </w:p>
    <w:p w14:paraId="7D31F1BA" w14:textId="77777777" w:rsidR="003C356A" w:rsidRPr="00380B40" w:rsidRDefault="003C356A" w:rsidP="003C356A">
      <w:pPr>
        <w:pStyle w:val="Heading2"/>
        <w:rPr>
          <w:lang w:val="en-GB"/>
        </w:rPr>
      </w:pPr>
      <w:bookmarkStart w:id="1034" w:name="_Toc354057006"/>
      <w:bookmarkStart w:id="1035" w:name="_Toc357063618"/>
      <w:bookmarkStart w:id="1036" w:name="_Toc472065203"/>
      <w:bookmarkStart w:id="1037" w:name="_Toc111636919"/>
      <w:r w:rsidRPr="00380B40">
        <w:rPr>
          <w:lang w:val="en-GB"/>
        </w:rPr>
        <w:t>10.2</w:t>
      </w:r>
      <w:r w:rsidRPr="00380B40">
        <w:rPr>
          <w:lang w:val="en-GB"/>
        </w:rPr>
        <w:tab/>
        <w:t>Printing and distribution of deliverables</w:t>
      </w:r>
      <w:bookmarkEnd w:id="1034"/>
      <w:bookmarkEnd w:id="1035"/>
      <w:bookmarkEnd w:id="1036"/>
      <w:bookmarkEnd w:id="1037"/>
    </w:p>
    <w:p w14:paraId="0013564C" w14:textId="77777777" w:rsidR="003C356A" w:rsidRPr="00380B40" w:rsidRDefault="003C356A" w:rsidP="003C356A">
      <w:pPr>
        <w:rPr>
          <w:lang w:val="en-GB"/>
        </w:rPr>
      </w:pPr>
      <w:r w:rsidRPr="00380B40">
        <w:rPr>
          <w:lang w:val="en-GB"/>
        </w:rPr>
        <w:t>Focus groups may select the method of printing and distribution of deliverables, including the target audience. Deliverables to the parent group, including progress reports, will be processed as TDs by the parent group.</w:t>
      </w:r>
    </w:p>
    <w:p w14:paraId="00E2607A" w14:textId="77777777" w:rsidR="003C356A" w:rsidRPr="00380B40" w:rsidRDefault="003C356A" w:rsidP="003C356A">
      <w:pPr>
        <w:pStyle w:val="Note"/>
        <w:rPr>
          <w:lang w:val="en-GB"/>
        </w:rPr>
      </w:pPr>
      <w:r w:rsidRPr="00380B40">
        <w:rPr>
          <w:lang w:val="en-GB"/>
        </w:rPr>
        <w:t>NOTE – A focus group may, at its discretion, share working documents via liaison statements.</w:t>
      </w:r>
    </w:p>
    <w:p w14:paraId="079BEB03" w14:textId="77777777" w:rsidR="003C356A" w:rsidRPr="00380B40" w:rsidRDefault="003C356A" w:rsidP="003C356A">
      <w:pPr>
        <w:rPr>
          <w:lang w:val="en-GB"/>
        </w:rPr>
      </w:pPr>
      <w:r w:rsidRPr="00380B40">
        <w:rPr>
          <w:lang w:val="en-GB"/>
        </w:rPr>
        <w:t>All costs must be covered by the focus group. ITU</w:t>
      </w:r>
      <w:r w:rsidRPr="00380B40">
        <w:rPr>
          <w:lang w:val="en-GB"/>
        </w:rPr>
        <w:noBreakHyphen/>
        <w:t>T will not be expected to offer any printing and distribution services free of charge, except for progress reports submitted according to clause 11 below, and deliverables to study groups.</w:t>
      </w:r>
    </w:p>
    <w:p w14:paraId="03938630" w14:textId="77777777" w:rsidR="003C356A" w:rsidRPr="00380B40" w:rsidRDefault="003C356A" w:rsidP="003C356A">
      <w:pPr>
        <w:pStyle w:val="Heading1"/>
        <w:rPr>
          <w:lang w:val="en-GB"/>
        </w:rPr>
      </w:pPr>
      <w:bookmarkStart w:id="1038" w:name="_Toc354057007"/>
      <w:bookmarkStart w:id="1039" w:name="_Toc357063619"/>
      <w:bookmarkStart w:id="1040" w:name="_Toc472065204"/>
      <w:bookmarkStart w:id="1041" w:name="_Toc111636920"/>
      <w:r w:rsidRPr="00380B40">
        <w:rPr>
          <w:lang w:val="en-GB"/>
        </w:rPr>
        <w:t>11</w:t>
      </w:r>
      <w:r w:rsidRPr="00380B40">
        <w:rPr>
          <w:lang w:val="en-GB"/>
        </w:rPr>
        <w:tab/>
        <w:t>Progress reports</w:t>
      </w:r>
      <w:bookmarkEnd w:id="1038"/>
      <w:bookmarkEnd w:id="1039"/>
      <w:bookmarkEnd w:id="1040"/>
      <w:bookmarkEnd w:id="1041"/>
    </w:p>
    <w:p w14:paraId="4D8F88C7" w14:textId="77777777" w:rsidR="003C356A" w:rsidRPr="00380B40" w:rsidRDefault="003C356A" w:rsidP="003C356A">
      <w:pPr>
        <w:rPr>
          <w:lang w:val="en-GB"/>
        </w:rPr>
      </w:pPr>
      <w:r w:rsidRPr="00380B40">
        <w:rPr>
          <w:szCs w:val="24"/>
          <w:lang w:val="en-GB"/>
        </w:rPr>
        <w:t>Focus group progress reports are to be provided at each meeting of the parent group meeting</w:t>
      </w:r>
      <w:r w:rsidRPr="00380B40">
        <w:rPr>
          <w:rFonts w:cs="Arial"/>
          <w:szCs w:val="24"/>
          <w:lang w:val="en-GB"/>
        </w:rPr>
        <w:t xml:space="preserve"> at least twelve calendar days before the meeting</w:t>
      </w:r>
      <w:r w:rsidRPr="00380B40">
        <w:rPr>
          <w:szCs w:val="24"/>
          <w:lang w:val="en-GB"/>
        </w:rPr>
        <w:t xml:space="preserve"> and transmitted in copy to all involved study groups. They</w:t>
      </w:r>
      <w:r w:rsidRPr="00380B40">
        <w:rPr>
          <w:lang w:val="en-GB"/>
        </w:rPr>
        <w:t xml:space="preserve"> will be posted in the form of TDs.</w:t>
      </w:r>
    </w:p>
    <w:p w14:paraId="167F262D" w14:textId="77777777" w:rsidR="00795C3C" w:rsidRPr="00380B40" w:rsidRDefault="00795C3C" w:rsidP="003C356A">
      <w:pPr>
        <w:rPr>
          <w:lang w:val="en-GB"/>
        </w:rPr>
      </w:pPr>
      <w:r w:rsidRPr="00380B40">
        <w:rPr>
          <w:lang w:val="en-GB"/>
        </w:rPr>
        <w:br w:type="page"/>
      </w:r>
    </w:p>
    <w:p w14:paraId="26E836E9" w14:textId="77777777" w:rsidR="003C356A" w:rsidRPr="00380B40" w:rsidRDefault="003C356A" w:rsidP="003C356A">
      <w:pPr>
        <w:rPr>
          <w:lang w:val="en-GB"/>
        </w:rPr>
      </w:pPr>
      <w:r w:rsidRPr="00380B40">
        <w:rPr>
          <w:lang w:val="en-GB"/>
        </w:rPr>
        <w:t>These progress reports to the parent group should include the following information:</w:t>
      </w:r>
    </w:p>
    <w:p w14:paraId="358F42B7" w14:textId="77777777" w:rsidR="003C356A" w:rsidRPr="00380B40" w:rsidRDefault="003C356A" w:rsidP="003C356A">
      <w:pPr>
        <w:pStyle w:val="enumlev1"/>
        <w:rPr>
          <w:lang w:val="en-GB"/>
        </w:rPr>
      </w:pPr>
      <w:r w:rsidRPr="00380B40">
        <w:rPr>
          <w:lang w:val="en-GB"/>
        </w:rPr>
        <w:t>–</w:t>
      </w:r>
      <w:r w:rsidRPr="00380B40">
        <w:rPr>
          <w:lang w:val="en-GB"/>
        </w:rPr>
        <w:tab/>
        <w:t>an updated work plan, including a schedule of planned meetings;</w:t>
      </w:r>
    </w:p>
    <w:p w14:paraId="53FF378D" w14:textId="77777777" w:rsidR="003C356A" w:rsidRPr="00380B40" w:rsidRDefault="003C356A" w:rsidP="003C356A">
      <w:pPr>
        <w:pStyle w:val="enumlev1"/>
        <w:rPr>
          <w:lang w:val="en-GB"/>
        </w:rPr>
      </w:pPr>
      <w:r w:rsidRPr="00380B40">
        <w:rPr>
          <w:lang w:val="en-GB"/>
        </w:rPr>
        <w:t>–</w:t>
      </w:r>
      <w:r w:rsidRPr="00380B40">
        <w:rPr>
          <w:lang w:val="en-GB"/>
        </w:rPr>
        <w:tab/>
        <w:t>status of work with reference to the work plan, including a list of outputs and the study groups for which they are intended;</w:t>
      </w:r>
    </w:p>
    <w:p w14:paraId="01030A99" w14:textId="77777777" w:rsidR="003C356A" w:rsidRPr="00380B40" w:rsidRDefault="003C356A" w:rsidP="003C356A">
      <w:pPr>
        <w:pStyle w:val="enumlev1"/>
        <w:rPr>
          <w:lang w:val="en-GB"/>
        </w:rPr>
      </w:pPr>
      <w:r w:rsidRPr="00380B40">
        <w:rPr>
          <w:lang w:val="en-GB"/>
        </w:rPr>
        <w:t>–</w:t>
      </w:r>
      <w:r w:rsidRPr="00380B40">
        <w:rPr>
          <w:lang w:val="en-GB"/>
        </w:rPr>
        <w:tab/>
        <w:t>summary of contributions considered by the focus group;</w:t>
      </w:r>
    </w:p>
    <w:p w14:paraId="6CBA320C" w14:textId="77777777" w:rsidR="003C356A" w:rsidRPr="00380B40" w:rsidRDefault="003C356A" w:rsidP="003C356A">
      <w:pPr>
        <w:pStyle w:val="enumlev1"/>
        <w:rPr>
          <w:lang w:val="en-GB"/>
        </w:rPr>
      </w:pPr>
      <w:r w:rsidRPr="00380B40">
        <w:rPr>
          <w:lang w:val="en-GB"/>
        </w:rPr>
        <w:t>–</w:t>
      </w:r>
      <w:r w:rsidRPr="00380B40">
        <w:rPr>
          <w:lang w:val="en-GB"/>
        </w:rPr>
        <w:tab/>
        <w:t>list of attendees at all meetings held since the last progress report.</w:t>
      </w:r>
    </w:p>
    <w:p w14:paraId="3E1EE57B" w14:textId="77777777" w:rsidR="003C356A" w:rsidRPr="00380B40" w:rsidRDefault="003C356A" w:rsidP="003C356A">
      <w:pPr>
        <w:rPr>
          <w:lang w:val="en-GB"/>
        </w:rPr>
      </w:pPr>
      <w:r w:rsidRPr="00380B40">
        <w:rPr>
          <w:lang w:val="en-GB"/>
        </w:rPr>
        <w:t>The parent group chairman should keep TSAG advised of the progress of the focus group.</w:t>
      </w:r>
    </w:p>
    <w:p w14:paraId="42566D16" w14:textId="77777777" w:rsidR="003C356A" w:rsidRPr="00380B40" w:rsidRDefault="003C356A" w:rsidP="003C356A">
      <w:pPr>
        <w:pStyle w:val="Heading1"/>
        <w:rPr>
          <w:lang w:val="en-GB"/>
        </w:rPr>
      </w:pPr>
      <w:bookmarkStart w:id="1042" w:name="_Toc354057008"/>
      <w:bookmarkStart w:id="1043" w:name="_Toc357063620"/>
      <w:bookmarkStart w:id="1044" w:name="_Toc472065205"/>
      <w:bookmarkStart w:id="1045" w:name="_Toc111636921"/>
      <w:r w:rsidRPr="00380B40">
        <w:rPr>
          <w:lang w:val="en-GB"/>
        </w:rPr>
        <w:t>12</w:t>
      </w:r>
      <w:r w:rsidRPr="00380B40">
        <w:rPr>
          <w:lang w:val="en-GB"/>
        </w:rPr>
        <w:tab/>
        <w:t>Meeting announcements</w:t>
      </w:r>
      <w:bookmarkEnd w:id="1042"/>
      <w:bookmarkEnd w:id="1043"/>
      <w:bookmarkEnd w:id="1044"/>
      <w:bookmarkEnd w:id="1045"/>
    </w:p>
    <w:p w14:paraId="08A3B0D3" w14:textId="77777777" w:rsidR="003C356A" w:rsidRPr="00380B40" w:rsidRDefault="003C356A" w:rsidP="003C356A">
      <w:pPr>
        <w:rPr>
          <w:lang w:val="en-GB"/>
        </w:rPr>
      </w:pPr>
      <w:r w:rsidRPr="00380B40">
        <w:rPr>
          <w:lang w:val="en-GB"/>
        </w:rPr>
        <w:t>The establishment of a focus group will be announced in cooperation with the parent group via ITU publications and other means, including communication with other organizations and/or experts, technical journals and the World Wide Web.</w:t>
      </w:r>
    </w:p>
    <w:p w14:paraId="0AC33B3D" w14:textId="77777777" w:rsidR="003C356A" w:rsidRPr="00380B40" w:rsidRDefault="003C356A" w:rsidP="003C356A">
      <w:pPr>
        <w:rPr>
          <w:lang w:val="en-GB"/>
        </w:rPr>
      </w:pPr>
      <w:r w:rsidRPr="00380B40">
        <w:rPr>
          <w:lang w:val="en-GB"/>
        </w:rPr>
        <w:t>The first meeting of a focus group will be arranged by the parent group and the initially appointed chairman.</w:t>
      </w:r>
    </w:p>
    <w:p w14:paraId="7EC4498E" w14:textId="77777777" w:rsidR="003C356A" w:rsidRPr="00380B40" w:rsidRDefault="003C356A" w:rsidP="003C356A">
      <w:pPr>
        <w:rPr>
          <w:lang w:val="en-GB"/>
        </w:rPr>
      </w:pPr>
      <w:r w:rsidRPr="00380B40">
        <w:rPr>
          <w:lang w:val="en-GB"/>
        </w:rPr>
        <w:t>The schedule of subsequent meetings of a focus group will be decided by the focus group. The process of announcing meetings can be decided by the focus group and will be published at least six weeks in advance on the ITU website.</w:t>
      </w:r>
    </w:p>
    <w:p w14:paraId="4B46C7D8" w14:textId="77777777" w:rsidR="003C356A" w:rsidRPr="00380B40" w:rsidRDefault="003C356A" w:rsidP="003C356A">
      <w:pPr>
        <w:pStyle w:val="Heading1"/>
        <w:rPr>
          <w:lang w:val="en-GB"/>
        </w:rPr>
      </w:pPr>
      <w:bookmarkStart w:id="1046" w:name="_Toc354057009"/>
      <w:bookmarkStart w:id="1047" w:name="_Toc357063621"/>
      <w:bookmarkStart w:id="1048" w:name="_Toc472065206"/>
      <w:bookmarkStart w:id="1049" w:name="_Toc111636922"/>
      <w:r w:rsidRPr="00380B40">
        <w:rPr>
          <w:lang w:val="en-GB"/>
        </w:rPr>
        <w:t>13</w:t>
      </w:r>
      <w:r w:rsidRPr="00380B40">
        <w:rPr>
          <w:lang w:val="en-GB"/>
        </w:rPr>
        <w:tab/>
        <w:t>Working guidelines</w:t>
      </w:r>
      <w:bookmarkEnd w:id="1046"/>
      <w:bookmarkEnd w:id="1047"/>
      <w:bookmarkEnd w:id="1048"/>
      <w:bookmarkEnd w:id="1049"/>
    </w:p>
    <w:p w14:paraId="756D7BAA" w14:textId="77777777" w:rsidR="003C356A" w:rsidRPr="00380B40" w:rsidRDefault="003C356A" w:rsidP="003C356A">
      <w:pPr>
        <w:rPr>
          <w:lang w:val="en-GB"/>
        </w:rPr>
      </w:pPr>
      <w:r w:rsidRPr="00380B40">
        <w:rPr>
          <w:lang w:val="en-GB"/>
        </w:rPr>
        <w:t>Focus groups may develop additional, internal working guidelines, as required.</w:t>
      </w:r>
    </w:p>
    <w:p w14:paraId="042E0C91" w14:textId="77777777" w:rsidR="003C356A" w:rsidRPr="00380B40" w:rsidRDefault="003C356A" w:rsidP="003C356A">
      <w:pPr>
        <w:rPr>
          <w:lang w:val="en-GB"/>
        </w:rPr>
      </w:pPr>
    </w:p>
    <w:p w14:paraId="75A4C80D" w14:textId="77777777" w:rsidR="004F0795" w:rsidRPr="00380B40" w:rsidRDefault="004F0795" w:rsidP="003C356A">
      <w:pPr>
        <w:rPr>
          <w:lang w:val="en-GB"/>
        </w:rPr>
      </w:pPr>
    </w:p>
    <w:p w14:paraId="4D9B8F76" w14:textId="77777777" w:rsidR="004F0795" w:rsidRPr="00380B40" w:rsidRDefault="004F0795" w:rsidP="003C356A">
      <w:pPr>
        <w:rPr>
          <w:lang w:val="en-GB"/>
        </w:rPr>
      </w:pPr>
    </w:p>
    <w:p w14:paraId="63DB7BB4" w14:textId="77777777" w:rsidR="004F0795" w:rsidRPr="00380B40" w:rsidRDefault="004F0795" w:rsidP="003C356A">
      <w:pPr>
        <w:rPr>
          <w:lang w:val="en-GB"/>
        </w:rPr>
      </w:pPr>
    </w:p>
    <w:p w14:paraId="7625A06C" w14:textId="77777777" w:rsidR="004F0795" w:rsidRPr="00380B40" w:rsidRDefault="004F0795" w:rsidP="003C356A">
      <w:pPr>
        <w:rPr>
          <w:lang w:val="en-GB"/>
        </w:rPr>
      </w:pPr>
    </w:p>
    <w:p w14:paraId="1C884EFD" w14:textId="77777777" w:rsidR="004F0795" w:rsidRPr="00380B40" w:rsidRDefault="004F0795" w:rsidP="003C356A">
      <w:pPr>
        <w:rPr>
          <w:lang w:val="en-GB"/>
        </w:rPr>
      </w:pPr>
    </w:p>
    <w:p w14:paraId="344B0E36" w14:textId="77777777" w:rsidR="004F0795" w:rsidRPr="00380B40" w:rsidRDefault="004F0795" w:rsidP="003C356A">
      <w:pPr>
        <w:rPr>
          <w:lang w:val="en-GB"/>
        </w:rPr>
      </w:pPr>
    </w:p>
    <w:p w14:paraId="3E6D0057" w14:textId="77777777" w:rsidR="004F0795" w:rsidRPr="00380B40" w:rsidRDefault="004F0795" w:rsidP="003C356A">
      <w:pPr>
        <w:rPr>
          <w:lang w:val="en-GB"/>
        </w:rPr>
      </w:pPr>
    </w:p>
    <w:p w14:paraId="76B2D175" w14:textId="77777777" w:rsidR="004F0795" w:rsidRPr="00380B40" w:rsidRDefault="004F0795" w:rsidP="003C356A">
      <w:pPr>
        <w:rPr>
          <w:lang w:val="en-GB"/>
        </w:rPr>
      </w:pPr>
    </w:p>
    <w:p w14:paraId="451A7D20" w14:textId="77777777" w:rsidR="004F0795" w:rsidRPr="00380B40" w:rsidRDefault="004F0795" w:rsidP="003C356A">
      <w:pPr>
        <w:rPr>
          <w:lang w:val="en-GB"/>
        </w:rPr>
      </w:pPr>
    </w:p>
    <w:p w14:paraId="243F05C6" w14:textId="77777777" w:rsidR="004F0795" w:rsidRPr="00380B40" w:rsidRDefault="004F0795" w:rsidP="003C356A">
      <w:pPr>
        <w:rPr>
          <w:lang w:val="en-GB"/>
        </w:rPr>
      </w:pPr>
    </w:p>
    <w:p w14:paraId="20CD4BE8" w14:textId="77777777" w:rsidR="004F0795" w:rsidRPr="00380B40" w:rsidRDefault="004F0795" w:rsidP="003C356A">
      <w:pPr>
        <w:rPr>
          <w:lang w:val="en-GB"/>
        </w:rPr>
      </w:pPr>
    </w:p>
    <w:p w14:paraId="7EE5C7FD" w14:textId="77777777" w:rsidR="004F0795" w:rsidRPr="00380B40" w:rsidRDefault="004F0795" w:rsidP="003C356A">
      <w:pPr>
        <w:rPr>
          <w:lang w:val="en-GB"/>
        </w:rPr>
      </w:pPr>
    </w:p>
    <w:p w14:paraId="50362467" w14:textId="77777777" w:rsidR="004F0795" w:rsidRPr="00380B40" w:rsidRDefault="004F0795" w:rsidP="003C356A">
      <w:pPr>
        <w:rPr>
          <w:lang w:val="en-GB"/>
        </w:rPr>
      </w:pPr>
    </w:p>
    <w:p w14:paraId="481F680C" w14:textId="77777777" w:rsidR="003C356A" w:rsidRPr="00380B40" w:rsidRDefault="003C356A" w:rsidP="00AC3A13">
      <w:pPr>
        <w:rPr>
          <w:lang w:val="en-GB"/>
        </w:rPr>
      </w:pPr>
      <w:r w:rsidRPr="00380B40">
        <w:rPr>
          <w:lang w:val="en-GB"/>
        </w:rPr>
        <w:br w:type="page"/>
      </w:r>
    </w:p>
    <w:p w14:paraId="77E76C06" w14:textId="77777777" w:rsidR="009D2170" w:rsidRPr="00380B40" w:rsidRDefault="003C356A" w:rsidP="009D2170">
      <w:pPr>
        <w:pStyle w:val="AppendixNo"/>
      </w:pPr>
      <w:bookmarkStart w:id="1050" w:name="_Toc472065207"/>
      <w:r w:rsidRPr="00380B40">
        <w:t xml:space="preserve">Appendix I </w:t>
      </w:r>
    </w:p>
    <w:p w14:paraId="04280FF4" w14:textId="77777777" w:rsidR="003C356A" w:rsidRPr="00380B40" w:rsidRDefault="003C356A" w:rsidP="009D2170">
      <w:pPr>
        <w:pStyle w:val="Appendixtitle"/>
      </w:pPr>
      <w:r w:rsidRPr="00380B40">
        <w:t xml:space="preserve">Guidelines for the efficient transfer of focus group </w:t>
      </w:r>
      <w:r w:rsidRPr="00380B40">
        <w:br/>
        <w:t>deliverables to its parent group</w:t>
      </w:r>
      <w:bookmarkEnd w:id="1050"/>
    </w:p>
    <w:p w14:paraId="0FF8BB2A" w14:textId="77777777" w:rsidR="003C356A" w:rsidRPr="00380B40" w:rsidRDefault="003C356A" w:rsidP="00092298">
      <w:pPr>
        <w:pStyle w:val="Normalcenteraligned"/>
      </w:pPr>
      <w:r w:rsidRPr="00380B40">
        <w:t>(This appendix does not form an integral part of this Recommendation.)</w:t>
      </w:r>
    </w:p>
    <w:p w14:paraId="54310496" w14:textId="77777777" w:rsidR="003C356A" w:rsidRPr="00380B40" w:rsidRDefault="003C356A" w:rsidP="003C356A">
      <w:pPr>
        <w:pStyle w:val="Heading2"/>
        <w:rPr>
          <w:lang w:val="en-GB"/>
        </w:rPr>
      </w:pPr>
      <w:bookmarkStart w:id="1051" w:name="_Toc425335228"/>
      <w:bookmarkStart w:id="1052" w:name="_Toc472065208"/>
      <w:bookmarkStart w:id="1053" w:name="_Toc111636923"/>
      <w:r w:rsidRPr="00380B40">
        <w:rPr>
          <w:lang w:val="en-GB"/>
        </w:rPr>
        <w:t>I.1</w:t>
      </w:r>
      <w:r w:rsidRPr="00380B40">
        <w:rPr>
          <w:lang w:val="en-GB"/>
        </w:rPr>
        <w:tab/>
        <w:t>Scope</w:t>
      </w:r>
      <w:bookmarkEnd w:id="1051"/>
      <w:bookmarkEnd w:id="1052"/>
      <w:bookmarkEnd w:id="1053"/>
      <w:r w:rsidRPr="00380B40">
        <w:rPr>
          <w:lang w:val="en-GB"/>
        </w:rPr>
        <w:t xml:space="preserve"> </w:t>
      </w:r>
    </w:p>
    <w:p w14:paraId="7789CF85" w14:textId="77777777" w:rsidR="003C356A" w:rsidRPr="00380B40" w:rsidRDefault="003C356A" w:rsidP="003C356A">
      <w:pPr>
        <w:rPr>
          <w:lang w:val="en-GB"/>
        </w:rPr>
      </w:pPr>
      <w:r w:rsidRPr="00380B40">
        <w:rPr>
          <w:lang w:val="en-GB"/>
        </w:rPr>
        <w:t>The guidelines in this appendix are intended to facilitate the efficient transfer of deliverables from focus groups (FGs) aimed at being base material for the development of draft ITU-T Recommendations or Supplements.</w:t>
      </w:r>
    </w:p>
    <w:p w14:paraId="7CEB2A22" w14:textId="77777777" w:rsidR="003C356A" w:rsidRPr="00380B40" w:rsidRDefault="003C356A" w:rsidP="003C356A">
      <w:pPr>
        <w:rPr>
          <w:lang w:val="en-GB"/>
        </w:rPr>
      </w:pPr>
      <w:r w:rsidRPr="00380B40">
        <w:rPr>
          <w:lang w:val="en-GB"/>
        </w:rPr>
        <w:t>Focus groups are a flexible tool for progressing new work. According to the core text of this Recommendation, focus group deliverables can be in the form of technical specifications, reports on standards gap analysis results or base material for the development of draft Recommendations.</w:t>
      </w:r>
    </w:p>
    <w:p w14:paraId="64BC4E44" w14:textId="77777777" w:rsidR="003C356A" w:rsidRPr="00380B40" w:rsidRDefault="003C356A" w:rsidP="003C356A">
      <w:pPr>
        <w:rPr>
          <w:lang w:val="en-GB"/>
        </w:rPr>
      </w:pPr>
      <w:r w:rsidRPr="00380B40">
        <w:rPr>
          <w:lang w:val="en-GB"/>
        </w:rPr>
        <w:t>Such flexibility may allow focus groups to develop a wide range of deliverables with the involvement of external stakeholders. However, this flexibility can sometimes be a shortcoming, as their deliverables may not be structured or contain material ready to be used as specifications, or their development is not sufficiently coordinated with the parent group to ensure a speedy handling at study groups, after completion of the deliverables by focus groups.</w:t>
      </w:r>
    </w:p>
    <w:p w14:paraId="2713608B" w14:textId="77777777" w:rsidR="003C356A" w:rsidRPr="00380B40" w:rsidRDefault="003C356A" w:rsidP="003C356A">
      <w:pPr>
        <w:pStyle w:val="Heading2"/>
        <w:rPr>
          <w:lang w:val="en-GB"/>
        </w:rPr>
      </w:pPr>
      <w:bookmarkStart w:id="1054" w:name="_Toc425335229"/>
      <w:bookmarkStart w:id="1055" w:name="_Toc472065209"/>
      <w:bookmarkStart w:id="1056" w:name="_Toc111636924"/>
      <w:r w:rsidRPr="00380B40">
        <w:rPr>
          <w:lang w:val="en-GB"/>
        </w:rPr>
        <w:t>I.2</w:t>
      </w:r>
      <w:r w:rsidRPr="00380B40">
        <w:rPr>
          <w:lang w:val="en-GB"/>
        </w:rPr>
        <w:tab/>
        <w:t>Streamlining the transfer of deliverables by focus groups and their approval by study groups</w:t>
      </w:r>
      <w:bookmarkEnd w:id="1054"/>
      <w:bookmarkEnd w:id="1055"/>
      <w:bookmarkEnd w:id="1056"/>
    </w:p>
    <w:p w14:paraId="2D6B862B" w14:textId="77777777" w:rsidR="003C356A" w:rsidRPr="00380B40" w:rsidRDefault="003C356A" w:rsidP="003C356A">
      <w:pPr>
        <w:rPr>
          <w:lang w:val="en-GB"/>
        </w:rPr>
      </w:pPr>
      <w:r w:rsidRPr="00380B40">
        <w:rPr>
          <w:lang w:val="en-GB"/>
        </w:rPr>
        <w:t>The following streamlining guidance is provided:</w:t>
      </w:r>
    </w:p>
    <w:p w14:paraId="1106F904" w14:textId="77777777" w:rsidR="003C356A" w:rsidRPr="00380B40" w:rsidRDefault="003C356A" w:rsidP="003C356A">
      <w:pPr>
        <w:pStyle w:val="Note"/>
        <w:rPr>
          <w:lang w:val="en-GB"/>
        </w:rPr>
      </w:pPr>
      <w:r w:rsidRPr="00380B40">
        <w:rPr>
          <w:lang w:val="en-GB"/>
        </w:rPr>
        <w:t>NOTE 1 – It should be noted that not all focus groups aim at producing base material for the development of draft Recommendations or Supplements. In many cases, it is acceptable that a focus group will produce other types of deliverables</w:t>
      </w:r>
      <w:r w:rsidR="009D2170" w:rsidRPr="00380B40">
        <w:rPr>
          <w:lang w:val="en-GB"/>
        </w:rPr>
        <w:t> </w:t>
      </w:r>
      <w:r w:rsidRPr="00380B40">
        <w:rPr>
          <w:lang w:val="en-GB"/>
        </w:rPr>
        <w:t>–</w:t>
      </w:r>
      <w:r w:rsidR="009D2170" w:rsidRPr="00380B40">
        <w:rPr>
          <w:lang w:val="en-GB"/>
        </w:rPr>
        <w:t> </w:t>
      </w:r>
      <w:r w:rsidRPr="00380B40">
        <w:rPr>
          <w:lang w:val="en-GB"/>
        </w:rPr>
        <w:t xml:space="preserve">such as ex ante standardization studies, roadmaps and gap analyses. </w:t>
      </w:r>
    </w:p>
    <w:p w14:paraId="538BB650" w14:textId="77777777" w:rsidR="003C356A" w:rsidRPr="00380B40" w:rsidRDefault="003C356A" w:rsidP="003C356A">
      <w:pPr>
        <w:pStyle w:val="enumlev1"/>
        <w:rPr>
          <w:lang w:val="en-GB"/>
        </w:rPr>
      </w:pPr>
      <w:r w:rsidRPr="00380B40">
        <w:rPr>
          <w:lang w:val="en-GB"/>
        </w:rPr>
        <w:t>1)</w:t>
      </w:r>
      <w:r w:rsidRPr="00380B40">
        <w:rPr>
          <w:lang w:val="en-GB"/>
        </w:rPr>
        <w:tab/>
        <w:t>ITU-T focus groups should be created with terms of reference and working guidelines that clearly indicate the expected deliverables to be developed, including, but not limited to, formatted base material for the Study Group's development and approval of a draft ITU-T Recommendation or Supplement.</w:t>
      </w:r>
    </w:p>
    <w:p w14:paraId="31DE0D2E" w14:textId="77777777" w:rsidR="003C356A" w:rsidRPr="00380B40" w:rsidRDefault="003C356A" w:rsidP="003C356A">
      <w:pPr>
        <w:pStyle w:val="enumlev1"/>
        <w:rPr>
          <w:lang w:val="en-GB"/>
        </w:rPr>
      </w:pPr>
      <w:r w:rsidRPr="00380B40">
        <w:rPr>
          <w:lang w:val="en-GB"/>
        </w:rPr>
        <w:t>2)</w:t>
      </w:r>
      <w:r w:rsidRPr="00380B40">
        <w:rPr>
          <w:lang w:val="en-GB"/>
        </w:rPr>
        <w:tab/>
        <w:t>Where appropriate, deliverables of a focus group should be prepared and formatted in a manner that facilitates their development and adoption by the parent group into draft Recommendations or Supplements (e.g., base material formatted in the structure of an ITU</w:t>
      </w:r>
      <w:r w:rsidRPr="00380B40">
        <w:rPr>
          <w:lang w:val="en-GB"/>
        </w:rPr>
        <w:noBreakHyphen/>
        <w:t>T Recommendation).</w:t>
      </w:r>
    </w:p>
    <w:p w14:paraId="2EAC69B1" w14:textId="77777777" w:rsidR="00795C3C" w:rsidRPr="00380B40" w:rsidRDefault="00795C3C" w:rsidP="003C356A">
      <w:pPr>
        <w:pStyle w:val="enumlev1"/>
        <w:rPr>
          <w:lang w:val="en-GB"/>
        </w:rPr>
      </w:pPr>
      <w:r w:rsidRPr="00380B40">
        <w:rPr>
          <w:lang w:val="en-GB"/>
        </w:rPr>
        <w:br w:type="page"/>
      </w:r>
    </w:p>
    <w:p w14:paraId="275F65D2" w14:textId="77777777" w:rsidR="003C356A" w:rsidRPr="00380B40" w:rsidRDefault="003C356A" w:rsidP="003C356A">
      <w:pPr>
        <w:pStyle w:val="enumlev1"/>
        <w:rPr>
          <w:lang w:val="en-GB"/>
        </w:rPr>
      </w:pPr>
      <w:r w:rsidRPr="00380B40">
        <w:rPr>
          <w:lang w:val="en-GB"/>
        </w:rPr>
        <w:t>3)</w:t>
      </w:r>
      <w:r w:rsidRPr="00380B40">
        <w:rPr>
          <w:lang w:val="en-GB"/>
        </w:rPr>
        <w:tab/>
        <w:t>Where appropriate and necessary, the parent group of the focus group should provide coordination for the timely transfer of focus group deliverable(s) to the appropriate study group(s). This is expected to be required especially in instances where the deliverable(s) of a focus group has an unclear destination study group or multiple destination study groups.</w:t>
      </w:r>
    </w:p>
    <w:p w14:paraId="11D1FDD0" w14:textId="77777777" w:rsidR="003C356A" w:rsidRPr="00380B40" w:rsidRDefault="003C356A" w:rsidP="003C356A">
      <w:pPr>
        <w:pStyle w:val="enumlev1"/>
        <w:rPr>
          <w:lang w:val="en-GB"/>
        </w:rPr>
      </w:pPr>
      <w:r w:rsidRPr="00380B40">
        <w:rPr>
          <w:lang w:val="en-GB"/>
        </w:rPr>
        <w:t>4)</w:t>
      </w:r>
      <w:r w:rsidRPr="00380B40">
        <w:rPr>
          <w:lang w:val="en-GB"/>
        </w:rPr>
        <w:tab/>
        <w:t>Experts leading the work within a focus group</w:t>
      </w:r>
      <w:r w:rsidRPr="00380B40" w:rsidDel="008F5F6E">
        <w:rPr>
          <w:lang w:val="en-GB"/>
        </w:rPr>
        <w:t xml:space="preserve"> </w:t>
      </w:r>
      <w:r w:rsidRPr="00380B40">
        <w:rPr>
          <w:lang w:val="en-GB"/>
        </w:rPr>
        <w:t>should have experience in developing ITU-T Recommendations or Supplements. Additionally, training should be provided to the focus group management and participants on the ITU-T working methods.</w:t>
      </w:r>
    </w:p>
    <w:p w14:paraId="4002C3D8" w14:textId="77777777" w:rsidR="003C356A" w:rsidRPr="00380B40" w:rsidRDefault="003C356A" w:rsidP="003C356A">
      <w:pPr>
        <w:pStyle w:val="enumlev1"/>
        <w:rPr>
          <w:lang w:val="en-GB"/>
        </w:rPr>
      </w:pPr>
      <w:r w:rsidRPr="00380B40">
        <w:rPr>
          <w:lang w:val="en-GB"/>
        </w:rPr>
        <w:t>5)</w:t>
      </w:r>
      <w:r w:rsidRPr="00380B40">
        <w:rPr>
          <w:lang w:val="en-GB"/>
        </w:rPr>
        <w:tab/>
        <w:t xml:space="preserve">Focus group deliverables aimed as future ITU-T Recommendations or Supplements should follow the </w:t>
      </w:r>
      <w:r w:rsidRPr="00380B40">
        <w:rPr>
          <w:i/>
          <w:lang w:val="en-GB"/>
        </w:rPr>
        <w:t>Author's Guide for drafting ITU-T Recommendations</w:t>
      </w:r>
      <w:r w:rsidRPr="00380B40">
        <w:rPr>
          <w:lang w:val="en-GB"/>
        </w:rPr>
        <w:t xml:space="preserve"> and their content must have content that is expected for ITU-T Recommendations or Supplements. </w:t>
      </w:r>
    </w:p>
    <w:p w14:paraId="4520008C" w14:textId="77777777" w:rsidR="003C356A" w:rsidRPr="00380B40" w:rsidRDefault="003C356A" w:rsidP="0030446A">
      <w:pPr>
        <w:pStyle w:val="Note2"/>
      </w:pPr>
      <w:r w:rsidRPr="00380B40">
        <w:t xml:space="preserve">NOTE 2 – The </w:t>
      </w:r>
      <w:r w:rsidRPr="00380B40">
        <w:rPr>
          <w:i/>
        </w:rPr>
        <w:t>Author's Guide for drafting ITU-T Recommendations</w:t>
      </w:r>
      <w:r w:rsidRPr="00380B40">
        <w:t xml:space="preserve"> can be found in the ITU website at </w:t>
      </w:r>
      <w:hyperlink r:id="rId385" w:history="1">
        <w:r w:rsidR="00D55E8F" w:rsidRPr="00380B40">
          <w:rPr>
            <w:rStyle w:val="Hyperlink"/>
          </w:rPr>
          <w:t>http://itu.int/go/trecauthguide</w:t>
        </w:r>
      </w:hyperlink>
      <w:r w:rsidRPr="00380B40">
        <w:t>.</w:t>
      </w:r>
    </w:p>
    <w:p w14:paraId="77C1D4D8" w14:textId="77777777" w:rsidR="003C356A" w:rsidRPr="00380B40" w:rsidRDefault="003C356A" w:rsidP="003C356A">
      <w:pPr>
        <w:pStyle w:val="enumlev1"/>
        <w:keepNext/>
        <w:keepLines/>
        <w:rPr>
          <w:lang w:val="en-GB"/>
        </w:rPr>
      </w:pPr>
      <w:r w:rsidRPr="00380B40">
        <w:rPr>
          <w:lang w:val="en-GB"/>
        </w:rPr>
        <w:t>6)</w:t>
      </w:r>
      <w:r w:rsidRPr="00380B40">
        <w:rPr>
          <w:lang w:val="en-GB"/>
        </w:rPr>
        <w:tab/>
        <w:t>Drafts of focus group deliverables aimed as future ITU-T Recommendations or Supplements should be shared with the parent group on a regular basis. When focus group deliverables aimed as future ITU-T Recommendations or Supplements would fall under the responsibility of different study groups, the focus group should share their deliverables with the relevant groups as soon as possible.</w:t>
      </w:r>
    </w:p>
    <w:p w14:paraId="620F6870" w14:textId="77777777" w:rsidR="003C356A" w:rsidRPr="00380B40" w:rsidRDefault="003C356A" w:rsidP="003C356A">
      <w:pPr>
        <w:pStyle w:val="enumlev1"/>
        <w:rPr>
          <w:lang w:val="en-GB"/>
        </w:rPr>
      </w:pPr>
      <w:r w:rsidRPr="00380B40">
        <w:rPr>
          <w:lang w:val="en-GB"/>
        </w:rPr>
        <w:t>7)</w:t>
      </w:r>
      <w:r w:rsidRPr="00380B40">
        <w:rPr>
          <w:lang w:val="en-GB"/>
        </w:rPr>
        <w:tab/>
        <w:t>Once mature, focus group deliverables aimed as future ITU-T Recommendations or Supplements are approved by the focus group for transmission to the parent group for action.</w:t>
      </w:r>
    </w:p>
    <w:p w14:paraId="04268834" w14:textId="77777777" w:rsidR="004D41C3" w:rsidRPr="00380B40" w:rsidRDefault="004D41C3"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5543DB80" w14:textId="77777777" w:rsidR="004D41C3" w:rsidRPr="00380B40" w:rsidRDefault="004D41C3"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2748A893" w14:textId="77777777" w:rsidR="00C32CE0" w:rsidRPr="00380B40" w:rsidRDefault="00C32CE0"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2977D889" w14:textId="77777777" w:rsidR="00C32CE0" w:rsidRPr="00380B40" w:rsidRDefault="00C32CE0"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75BABE08" w14:textId="77777777" w:rsidR="00C32CE0" w:rsidRPr="00380B40" w:rsidRDefault="00C32CE0"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181936F0" w14:textId="77777777" w:rsidR="00C32CE0" w:rsidRPr="00380B40" w:rsidRDefault="00C32CE0"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1A5D5CBF" w14:textId="77777777" w:rsidR="00C32CE0" w:rsidRPr="00380B40" w:rsidRDefault="00C32CE0"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0ABBD0C6" w14:textId="77777777" w:rsidR="004D41C3" w:rsidRPr="00380B40" w:rsidRDefault="004D41C3"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6244F70C" w14:textId="77777777" w:rsidR="004D41C3" w:rsidRPr="00380B40" w:rsidRDefault="004D41C3"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0AC66D44" w14:textId="77777777" w:rsidR="007E52B2" w:rsidRPr="00380B40" w:rsidRDefault="007E52B2" w:rsidP="008C3E8D">
      <w:pPr>
        <w:rPr>
          <w:lang w:val="en-GB"/>
        </w:rPr>
      </w:pPr>
    </w:p>
    <w:p w14:paraId="795A7E60" w14:textId="77777777" w:rsidR="007E52B2" w:rsidRPr="00380B40" w:rsidRDefault="007E52B2" w:rsidP="008C3E8D">
      <w:pPr>
        <w:rPr>
          <w:lang w:val="en-GB"/>
        </w:rPr>
        <w:sectPr w:rsidR="007E52B2" w:rsidRPr="00380B40" w:rsidSect="0057705A">
          <w:headerReference w:type="even" r:id="rId386"/>
          <w:headerReference w:type="default" r:id="rId387"/>
          <w:footerReference w:type="even" r:id="rId388"/>
          <w:footerReference w:type="default" r:id="rId389"/>
          <w:footnotePr>
            <w:numRestart w:val="eachSect"/>
          </w:footnotePr>
          <w:pgSz w:w="11907" w:h="16834" w:code="9"/>
          <w:pgMar w:top="1134" w:right="1134" w:bottom="1134" w:left="1134" w:header="567" w:footer="567" w:gutter="0"/>
          <w:paperSrc w:first="15" w:other="15"/>
          <w:cols w:space="720"/>
          <w:vAlign w:val="both"/>
          <w:docGrid w:linePitch="326"/>
        </w:sectPr>
      </w:pPr>
    </w:p>
    <w:p w14:paraId="1FAF1D51" w14:textId="77777777" w:rsidR="007E52B2" w:rsidRPr="00380B40" w:rsidRDefault="007E52B2" w:rsidP="008C3E8D">
      <w:pPr>
        <w:pStyle w:val="RecNo"/>
        <w:rPr>
          <w:lang w:val="en-GB"/>
        </w:rPr>
      </w:pPr>
      <w:bookmarkStart w:id="1057" w:name="_Toc104459825"/>
      <w:bookmarkStart w:id="1058" w:name="_Toc111636925"/>
      <w:bookmarkStart w:id="1059" w:name="_Toc111638534"/>
      <w:r w:rsidRPr="00380B40">
        <w:rPr>
          <w:lang w:val="en-GB"/>
        </w:rPr>
        <w:t xml:space="preserve">Recommendation ITU-T </w:t>
      </w:r>
      <w:r w:rsidRPr="00380B40">
        <w:rPr>
          <w:rStyle w:val="href"/>
          <w:lang w:val="en-GB"/>
        </w:rPr>
        <w:t>A.8</w:t>
      </w:r>
      <w:bookmarkEnd w:id="1057"/>
      <w:bookmarkEnd w:id="1058"/>
      <w:bookmarkEnd w:id="1059"/>
    </w:p>
    <w:p w14:paraId="1C046A65" w14:textId="77777777" w:rsidR="003C356A" w:rsidRPr="00380B40" w:rsidRDefault="003C356A" w:rsidP="003C356A">
      <w:pPr>
        <w:pStyle w:val="Rectitle"/>
        <w:rPr>
          <w:lang w:val="en-GB"/>
        </w:rPr>
      </w:pPr>
      <w:bookmarkStart w:id="1060" w:name="_Toc104459826"/>
      <w:bookmarkStart w:id="1061" w:name="_Toc111638535"/>
      <w:r w:rsidRPr="00380B40">
        <w:rPr>
          <w:lang w:val="en-GB"/>
        </w:rPr>
        <w:t xml:space="preserve">Alternative approval process for new and revised </w:t>
      </w:r>
      <w:r w:rsidRPr="00380B40">
        <w:rPr>
          <w:lang w:val="en-GB"/>
        </w:rPr>
        <w:br/>
        <w:t>ITU</w:t>
      </w:r>
      <w:r w:rsidRPr="00380B40">
        <w:rPr>
          <w:lang w:val="en-GB"/>
        </w:rPr>
        <w:noBreakHyphen/>
        <w:t>T Recommendations</w:t>
      </w:r>
      <w:bookmarkEnd w:id="1060"/>
      <w:bookmarkEnd w:id="1061"/>
    </w:p>
    <w:p w14:paraId="7072607B" w14:textId="77777777" w:rsidR="003C356A" w:rsidRPr="00380B40" w:rsidRDefault="003C356A" w:rsidP="003C356A">
      <w:pPr>
        <w:pStyle w:val="Heading1"/>
        <w:rPr>
          <w:lang w:val="en-GB"/>
        </w:rPr>
      </w:pPr>
      <w:bookmarkStart w:id="1062" w:name="_Toc88460312"/>
      <w:bookmarkStart w:id="1063" w:name="_Toc89575670"/>
      <w:bookmarkStart w:id="1064" w:name="_Toc89575701"/>
      <w:bookmarkStart w:id="1065" w:name="_Toc142900163"/>
      <w:bookmarkStart w:id="1066" w:name="_Toc144196562"/>
      <w:bookmarkStart w:id="1067" w:name="_Toc206496692"/>
      <w:bookmarkStart w:id="1068" w:name="_Toc216844943"/>
      <w:bookmarkStart w:id="1069" w:name="_Toc99031902"/>
      <w:bookmarkStart w:id="1070" w:name="_Toc99550364"/>
      <w:bookmarkStart w:id="1071" w:name="_Toc111636926"/>
      <w:r w:rsidRPr="00380B40">
        <w:rPr>
          <w:lang w:val="en-GB"/>
        </w:rPr>
        <w:t>1</w:t>
      </w:r>
      <w:r w:rsidRPr="00380B40">
        <w:rPr>
          <w:lang w:val="en-GB"/>
        </w:rPr>
        <w:tab/>
        <w:t>General</w:t>
      </w:r>
      <w:bookmarkEnd w:id="1062"/>
      <w:bookmarkEnd w:id="1063"/>
      <w:bookmarkEnd w:id="1064"/>
      <w:bookmarkEnd w:id="1065"/>
      <w:bookmarkEnd w:id="1066"/>
      <w:bookmarkEnd w:id="1067"/>
      <w:bookmarkEnd w:id="1068"/>
      <w:bookmarkEnd w:id="1069"/>
      <w:bookmarkEnd w:id="1070"/>
      <w:bookmarkEnd w:id="1071"/>
    </w:p>
    <w:p w14:paraId="6EEC4CEF" w14:textId="77777777" w:rsidR="003C356A" w:rsidRPr="00380B40" w:rsidRDefault="003C356A" w:rsidP="003C356A">
      <w:pPr>
        <w:rPr>
          <w:lang w:val="en-GB"/>
        </w:rPr>
      </w:pPr>
      <w:r w:rsidRPr="00380B40">
        <w:rPr>
          <w:b/>
          <w:lang w:val="en-GB"/>
        </w:rPr>
        <w:t>1.1</w:t>
      </w:r>
      <w:r w:rsidRPr="00380B40">
        <w:rPr>
          <w:lang w:val="en-GB"/>
        </w:rPr>
        <w:tab/>
        <w:t>Recommendations of the ITU Telecommunication Standardization Sector (ITU</w:t>
      </w:r>
      <w:r w:rsidRPr="00380B40">
        <w:rPr>
          <w:lang w:val="en-GB"/>
        </w:rPr>
        <w:noBreakHyphen/>
        <w:t>T) will be approved using this alternative approval process (AAP), except Recommendations that have policy or regulatory implications, which will be approved using the traditional approval process (TAP) found in Resolution 1 of the World Telecommunication Standardization Assembly (WTSA).</w:t>
      </w:r>
    </w:p>
    <w:p w14:paraId="7A506F92" w14:textId="77777777" w:rsidR="003C356A" w:rsidRPr="00380B40" w:rsidRDefault="003C356A" w:rsidP="003C356A">
      <w:pPr>
        <w:rPr>
          <w:lang w:val="en-GB"/>
        </w:rPr>
      </w:pPr>
      <w:r w:rsidRPr="00380B40">
        <w:rPr>
          <w:lang w:val="en-GB"/>
        </w:rPr>
        <w:t>The competent study group may also seek approval at a World Telecommunication Standardization Assembly (WTSA).</w:t>
      </w:r>
    </w:p>
    <w:p w14:paraId="7AD532E4" w14:textId="77777777" w:rsidR="003C356A" w:rsidRPr="00380B40" w:rsidRDefault="003C356A" w:rsidP="003C356A">
      <w:pPr>
        <w:rPr>
          <w:lang w:val="en-GB"/>
        </w:rPr>
      </w:pPr>
      <w:r w:rsidRPr="00380B40">
        <w:rPr>
          <w:b/>
          <w:lang w:val="en-GB"/>
        </w:rPr>
        <w:t>1.2</w:t>
      </w:r>
      <w:r w:rsidRPr="00380B40">
        <w:rPr>
          <w:lang w:val="en-GB"/>
        </w:rPr>
        <w:tab/>
        <w:t>In accordance with the ITU Convention, the status of Recommendations approved is the same for both AAP and TAP methods of approval.</w:t>
      </w:r>
    </w:p>
    <w:p w14:paraId="600E4299" w14:textId="77777777" w:rsidR="003C356A" w:rsidRPr="00380B40" w:rsidRDefault="003C356A" w:rsidP="003C356A">
      <w:pPr>
        <w:pStyle w:val="Heading1"/>
        <w:rPr>
          <w:lang w:val="en-GB"/>
        </w:rPr>
      </w:pPr>
      <w:bookmarkStart w:id="1072" w:name="_Toc517487608"/>
      <w:bookmarkStart w:id="1073" w:name="_Toc88460313"/>
      <w:bookmarkStart w:id="1074" w:name="_Toc89575671"/>
      <w:bookmarkStart w:id="1075" w:name="_Toc89575702"/>
      <w:bookmarkStart w:id="1076" w:name="_Toc142900164"/>
      <w:bookmarkStart w:id="1077" w:name="_Toc144196563"/>
      <w:bookmarkStart w:id="1078" w:name="_Toc206496693"/>
      <w:bookmarkStart w:id="1079" w:name="_Toc216844944"/>
      <w:bookmarkStart w:id="1080" w:name="_Toc99031903"/>
      <w:bookmarkStart w:id="1081" w:name="_Toc99550365"/>
      <w:bookmarkStart w:id="1082" w:name="_Toc111636927"/>
      <w:r w:rsidRPr="00380B40">
        <w:rPr>
          <w:lang w:val="en-GB"/>
        </w:rPr>
        <w:t>2</w:t>
      </w:r>
      <w:r w:rsidRPr="00380B40">
        <w:rPr>
          <w:lang w:val="en-GB"/>
        </w:rPr>
        <w:tab/>
        <w:t>Process</w:t>
      </w:r>
      <w:bookmarkEnd w:id="1072"/>
      <w:bookmarkEnd w:id="1073"/>
      <w:bookmarkEnd w:id="1074"/>
      <w:bookmarkEnd w:id="1075"/>
      <w:bookmarkEnd w:id="1076"/>
      <w:bookmarkEnd w:id="1077"/>
      <w:bookmarkEnd w:id="1078"/>
      <w:bookmarkEnd w:id="1079"/>
      <w:bookmarkEnd w:id="1080"/>
      <w:bookmarkEnd w:id="1081"/>
      <w:bookmarkEnd w:id="1082"/>
    </w:p>
    <w:p w14:paraId="1E1DC578" w14:textId="77777777" w:rsidR="003C356A" w:rsidRPr="00380B40" w:rsidRDefault="003C356A" w:rsidP="003C356A">
      <w:pPr>
        <w:rPr>
          <w:lang w:val="en-GB"/>
        </w:rPr>
      </w:pPr>
      <w:r w:rsidRPr="00380B40">
        <w:rPr>
          <w:b/>
          <w:lang w:val="en-GB"/>
        </w:rPr>
        <w:t>2.1</w:t>
      </w:r>
      <w:r w:rsidRPr="00380B40">
        <w:rPr>
          <w:lang w:val="en-GB"/>
        </w:rPr>
        <w:tab/>
        <w:t>Study groups should apply the AAP described below for seeking the approval of draft new and revised Recommendations as soon as they have been developed to a sufficiently mature state. See Figure 1 for the sequence of events.</w:t>
      </w:r>
    </w:p>
    <w:p w14:paraId="772D56EB" w14:textId="77777777" w:rsidR="003C356A" w:rsidRPr="00380B40" w:rsidRDefault="003C356A" w:rsidP="003C356A">
      <w:pPr>
        <w:pStyle w:val="Heading1"/>
        <w:rPr>
          <w:lang w:val="en-GB"/>
        </w:rPr>
      </w:pPr>
      <w:bookmarkStart w:id="1083" w:name="_Toc517487609"/>
      <w:bookmarkStart w:id="1084" w:name="_Toc88460314"/>
      <w:bookmarkStart w:id="1085" w:name="_Toc89575672"/>
      <w:bookmarkStart w:id="1086" w:name="_Toc89575703"/>
      <w:bookmarkStart w:id="1087" w:name="_Toc142900165"/>
      <w:bookmarkStart w:id="1088" w:name="_Toc144196564"/>
      <w:bookmarkStart w:id="1089" w:name="_Toc206496694"/>
      <w:bookmarkStart w:id="1090" w:name="_Toc216844945"/>
      <w:bookmarkStart w:id="1091" w:name="_Toc99031904"/>
      <w:bookmarkStart w:id="1092" w:name="_Toc99550366"/>
      <w:bookmarkStart w:id="1093" w:name="_Toc111636928"/>
      <w:r w:rsidRPr="00380B40">
        <w:rPr>
          <w:lang w:val="en-GB"/>
        </w:rPr>
        <w:t>3</w:t>
      </w:r>
      <w:r w:rsidRPr="00380B40">
        <w:rPr>
          <w:lang w:val="en-GB"/>
        </w:rPr>
        <w:tab/>
        <w:t>Prerequisites</w:t>
      </w:r>
      <w:bookmarkEnd w:id="1083"/>
      <w:bookmarkEnd w:id="1084"/>
      <w:bookmarkEnd w:id="1085"/>
      <w:bookmarkEnd w:id="1086"/>
      <w:bookmarkEnd w:id="1087"/>
      <w:bookmarkEnd w:id="1088"/>
      <w:bookmarkEnd w:id="1089"/>
      <w:bookmarkEnd w:id="1090"/>
      <w:bookmarkEnd w:id="1091"/>
      <w:bookmarkEnd w:id="1092"/>
      <w:bookmarkEnd w:id="1093"/>
    </w:p>
    <w:p w14:paraId="216C7CC5" w14:textId="77777777" w:rsidR="003C356A" w:rsidRPr="00380B40" w:rsidRDefault="003C356A" w:rsidP="003C356A">
      <w:pPr>
        <w:rPr>
          <w:lang w:val="en-GB"/>
        </w:rPr>
      </w:pPr>
      <w:r w:rsidRPr="00380B40">
        <w:rPr>
          <w:b/>
          <w:lang w:val="en-GB"/>
        </w:rPr>
        <w:t>3.1</w:t>
      </w:r>
      <w:r w:rsidRPr="00380B40">
        <w:rPr>
          <w:lang w:val="en-GB"/>
        </w:rPr>
        <w:tab/>
        <w:t>Upon request of the study group chairman, the Director of the Telecommunication Standardization Bureau (TSB) shall announce the intention to apply AAP and to initiate the last call set out in this Recommendation (see clause 4). Such action shall be based upon consent at a study group or working party meeting or, exceptionally, at a WTSA, that a draft Recommendation is sufficiently mature for such action. At this stage, the draft Recommendation is considered to have "CONSENT". The Director shall include a summary of the draft Recommendation in the announcement. Reference shall be provided to the documentation where the text of the draft new or revised Recommendation to be considered may be found. This information shall be made available to all Member States and Sector Members.</w:t>
      </w:r>
    </w:p>
    <w:p w14:paraId="59FB4DBC" w14:textId="77777777" w:rsidR="00795C3C" w:rsidRPr="00380B40" w:rsidRDefault="00795C3C" w:rsidP="003C356A">
      <w:pPr>
        <w:rPr>
          <w:b/>
          <w:lang w:val="en-GB"/>
        </w:rPr>
      </w:pPr>
      <w:r w:rsidRPr="00380B40">
        <w:rPr>
          <w:b/>
          <w:lang w:val="en-GB"/>
        </w:rPr>
        <w:br w:type="page"/>
      </w:r>
    </w:p>
    <w:p w14:paraId="18E1F9AB" w14:textId="77777777" w:rsidR="003C356A" w:rsidRPr="00380B40" w:rsidRDefault="003C356A" w:rsidP="003C356A">
      <w:pPr>
        <w:rPr>
          <w:lang w:val="en-GB"/>
        </w:rPr>
      </w:pPr>
      <w:r w:rsidRPr="00380B40">
        <w:rPr>
          <w:b/>
          <w:lang w:val="en-GB"/>
        </w:rPr>
        <w:t>3.2</w:t>
      </w:r>
      <w:r w:rsidRPr="00380B40">
        <w:rPr>
          <w:lang w:val="en-GB"/>
        </w:rPr>
        <w:tab/>
        <w:t>The text of the draft new or revised Recommendation must be available to TSB in a final edited form at the time that the Director makes the announcement of the intended application of the AAP set out in this Recommendation. Any associated electronic material included in the Recommendation (e.g., software, test vectors, etc.) must also be made available to TSB at the same time. A summary that reflects the final edited text of the draft Recommendation must also be provided to TSB, in accordance with clause 3.3.</w:t>
      </w:r>
    </w:p>
    <w:p w14:paraId="3033DCD4" w14:textId="77777777" w:rsidR="003C356A" w:rsidRPr="00380B40" w:rsidRDefault="003C356A" w:rsidP="003C356A">
      <w:pPr>
        <w:rPr>
          <w:lang w:val="en-GB"/>
        </w:rPr>
      </w:pPr>
      <w:r w:rsidRPr="00380B40">
        <w:rPr>
          <w:b/>
          <w:lang w:val="en-GB"/>
        </w:rPr>
        <w:t>3.3</w:t>
      </w:r>
      <w:r w:rsidRPr="00380B40">
        <w:rPr>
          <w:lang w:val="en-GB"/>
        </w:rPr>
        <w:tab/>
        <w:t>Such a summary should be prepared in accordance with the Author's Guide for drafting ITU</w:t>
      </w:r>
      <w:r w:rsidRPr="00380B40">
        <w:rPr>
          <w:lang w:val="en-GB"/>
        </w:rPr>
        <w:noBreakHyphen/>
        <w:t>T Recommendations</w:t>
      </w:r>
      <w:r w:rsidR="00FD162E" w:rsidRPr="00380B40">
        <w:rPr>
          <w:rStyle w:val="FootnoteReference"/>
          <w:lang w:val="en-GB"/>
        </w:rPr>
        <w:footnoteReference w:id="70"/>
      </w:r>
      <w:r w:rsidRPr="00380B40">
        <w:rPr>
          <w:lang w:val="en-GB"/>
        </w:rPr>
        <w:t>. This summary is a brief outline of the purpose and content of the new or revised draft Recommendation and, where appropriate, the intent of the revisions. No Recommendation shall be considered as complete and ready for approval without this summary statement.</w:t>
      </w:r>
    </w:p>
    <w:p w14:paraId="50AB8456" w14:textId="77777777" w:rsidR="003C356A" w:rsidRPr="00380B40" w:rsidRDefault="003C356A" w:rsidP="003C356A">
      <w:pPr>
        <w:rPr>
          <w:lang w:val="en-GB"/>
        </w:rPr>
      </w:pPr>
      <w:r w:rsidRPr="00380B40">
        <w:rPr>
          <w:b/>
          <w:lang w:val="en-GB"/>
        </w:rPr>
        <w:t>3.4</w:t>
      </w:r>
      <w:r w:rsidRPr="00380B40">
        <w:rPr>
          <w:lang w:val="en-GB"/>
        </w:rPr>
        <w:tab/>
        <w:t>Approval may only be sought for a draft new or revised Recommendation within the study group's mandate as defined by the Questions allocated to it, in accordance with No. 192 of the Convention. Alternatively, or additionally, approval may be sought for amendment of an existing Recommendation within the study group's responsibility and mandate.</w:t>
      </w:r>
    </w:p>
    <w:p w14:paraId="5F00B07B" w14:textId="77777777" w:rsidR="003C356A" w:rsidRPr="00380B40" w:rsidRDefault="003C356A" w:rsidP="003C356A">
      <w:pPr>
        <w:rPr>
          <w:lang w:val="en-GB"/>
        </w:rPr>
      </w:pPr>
      <w:r w:rsidRPr="00380B40">
        <w:rPr>
          <w:b/>
          <w:lang w:val="en-GB"/>
        </w:rPr>
        <w:t>3.5</w:t>
      </w:r>
      <w:r w:rsidRPr="00380B40">
        <w:rPr>
          <w:lang w:val="en-GB"/>
        </w:rPr>
        <w:tab/>
        <w:t>Where a draft new or revised Recommendation falls within the mandate of more than one study group, the chairman of the study group proposing the approval should consult and take into account the views of any other study group chairmen concerned before proceeding with the application of this approval procedure.</w:t>
      </w:r>
    </w:p>
    <w:p w14:paraId="387F4556" w14:textId="77777777" w:rsidR="003C356A" w:rsidRPr="00380B40" w:rsidRDefault="003C356A" w:rsidP="003C356A">
      <w:pPr>
        <w:rPr>
          <w:lang w:val="en-GB"/>
        </w:rPr>
      </w:pPr>
      <w:r w:rsidRPr="00380B40">
        <w:rPr>
          <w:b/>
          <w:szCs w:val="24"/>
          <w:lang w:val="en-GB"/>
        </w:rPr>
        <w:t>3.6</w:t>
      </w:r>
      <w:r w:rsidRPr="00380B40">
        <w:rPr>
          <w:szCs w:val="24"/>
          <w:lang w:val="en-GB"/>
        </w:rPr>
        <w:tab/>
        <w:t>Recommendations are to be elaborated in accordance with the Common Patent Policy for ITU</w:t>
      </w:r>
      <w:r w:rsidRPr="00380B40">
        <w:rPr>
          <w:szCs w:val="24"/>
          <w:lang w:val="en-GB"/>
        </w:rPr>
        <w:noBreakHyphen/>
        <w:t xml:space="preserve">T/ITU-R/ISO/IEC available at </w:t>
      </w:r>
      <w:hyperlink r:id="rId390" w:history="1">
        <w:r w:rsidR="00D55E8F" w:rsidRPr="00380B40">
          <w:rPr>
            <w:rStyle w:val="Hyperlink"/>
            <w:szCs w:val="24"/>
            <w:lang w:val="en-GB"/>
          </w:rPr>
          <w:t>https://www.itu.int/ipr</w:t>
        </w:r>
      </w:hyperlink>
      <w:r w:rsidRPr="00380B40">
        <w:rPr>
          <w:szCs w:val="24"/>
          <w:lang w:val="en-GB"/>
        </w:rPr>
        <w:t xml:space="preserve">. For example: </w:t>
      </w:r>
    </w:p>
    <w:p w14:paraId="0593C83E" w14:textId="77777777" w:rsidR="003C356A" w:rsidRPr="00380B40" w:rsidRDefault="003C356A" w:rsidP="003C356A">
      <w:pPr>
        <w:rPr>
          <w:szCs w:val="24"/>
          <w:lang w:val="en-GB"/>
        </w:rPr>
      </w:pPr>
      <w:r w:rsidRPr="00380B40">
        <w:rPr>
          <w:b/>
          <w:lang w:val="en-GB"/>
        </w:rPr>
        <w:t>3.6.1</w:t>
      </w:r>
      <w:r w:rsidRPr="00380B40">
        <w:rPr>
          <w:lang w:val="en-GB"/>
        </w:rPr>
        <w:tab/>
      </w:r>
      <w:r w:rsidRPr="00380B40">
        <w:rPr>
          <w:szCs w:val="24"/>
          <w:lang w:val="en-GB"/>
        </w:rPr>
        <w:t>Any party participating in the work of ITU</w:t>
      </w:r>
      <w:r w:rsidRPr="00380B40">
        <w:rPr>
          <w:szCs w:val="24"/>
          <w:lang w:val="en-GB"/>
        </w:rPr>
        <w:noBreakHyphen/>
        <w:t>T should, from the outset, draw the attention of the Director of TSB to any known patent or to any known pending patent application, either of their own or of other organizations. The</w:t>
      </w:r>
      <w:r w:rsidRPr="00380B40" w:rsidDel="00EB01AB">
        <w:rPr>
          <w:szCs w:val="24"/>
          <w:lang w:val="en-GB"/>
        </w:rPr>
        <w:t xml:space="preserve"> </w:t>
      </w:r>
      <w:r w:rsidRPr="00380B40">
        <w:rPr>
          <w:szCs w:val="24"/>
          <w:lang w:val="en-GB"/>
        </w:rPr>
        <w:t>"Patent Statement and Licensing Declaration" form from the ITU</w:t>
      </w:r>
      <w:r w:rsidRPr="00380B40">
        <w:rPr>
          <w:szCs w:val="24"/>
          <w:lang w:val="en-GB"/>
        </w:rPr>
        <w:noBreakHyphen/>
        <w:t xml:space="preserve">T website is to be used. </w:t>
      </w:r>
    </w:p>
    <w:p w14:paraId="11759764" w14:textId="77777777" w:rsidR="003C356A" w:rsidRPr="00380B40" w:rsidRDefault="003C356A" w:rsidP="003C356A">
      <w:pPr>
        <w:rPr>
          <w:lang w:val="en-GB"/>
        </w:rPr>
      </w:pPr>
      <w:r w:rsidRPr="00380B40">
        <w:rPr>
          <w:b/>
          <w:lang w:val="en-GB"/>
        </w:rPr>
        <w:t>3.6.2</w:t>
      </w:r>
      <w:r w:rsidRPr="00380B40">
        <w:rPr>
          <w:lang w:val="en-GB"/>
        </w:rPr>
        <w:tab/>
        <w:t>ITU</w:t>
      </w:r>
      <w:r w:rsidRPr="00380B40">
        <w:rPr>
          <w:lang w:val="en-GB"/>
        </w:rPr>
        <w:noBreakHyphen/>
        <w:t xml:space="preserve">T non-member organizations that hold patent(s) or pending patent application(s), the use of which may be required </w:t>
      </w:r>
      <w:r w:rsidRPr="00380B40">
        <w:rPr>
          <w:szCs w:val="24"/>
          <w:lang w:val="en-GB"/>
        </w:rPr>
        <w:t xml:space="preserve">in order </w:t>
      </w:r>
      <w:r w:rsidRPr="00380B40">
        <w:rPr>
          <w:lang w:val="en-GB"/>
        </w:rPr>
        <w:t>to implement an ITU</w:t>
      </w:r>
      <w:r w:rsidRPr="00380B40">
        <w:rPr>
          <w:lang w:val="en-GB"/>
        </w:rPr>
        <w:noBreakHyphen/>
        <w:t>T Recommendation, can submit a "Patent Statement and Licensing Declaration" to TSB using the form available at the ITU</w:t>
      </w:r>
      <w:r w:rsidRPr="00380B40">
        <w:rPr>
          <w:lang w:val="en-GB"/>
        </w:rPr>
        <w:noBreakHyphen/>
        <w:t>T website.</w:t>
      </w:r>
    </w:p>
    <w:p w14:paraId="673D98E3" w14:textId="77777777" w:rsidR="003C356A" w:rsidRPr="00380B40" w:rsidRDefault="003C356A" w:rsidP="003C356A">
      <w:pPr>
        <w:rPr>
          <w:lang w:val="en-GB"/>
        </w:rPr>
      </w:pPr>
      <w:r w:rsidRPr="00380B40">
        <w:rPr>
          <w:b/>
          <w:lang w:val="en-GB"/>
        </w:rPr>
        <w:t>3.7</w:t>
      </w:r>
      <w:r w:rsidRPr="00380B40">
        <w:rPr>
          <w:lang w:val="en-GB"/>
        </w:rPr>
        <w:tab/>
        <w:t>In the interests of stability, once a new or revised Recommendation has been approved, approval should not normally be sought within a reasonable period of time for any further amendment of that new text or that revised portion, respectively, unless the proposed amendment complements rather than changes the agreement reached in the previous approval process, or a significant error or omission is discovered. As a guideline, in this context "a reasonable period of time" would be at least two years, in most cases.</w:t>
      </w:r>
    </w:p>
    <w:p w14:paraId="411F3A32" w14:textId="77777777" w:rsidR="003C356A" w:rsidRPr="00380B40" w:rsidRDefault="003C356A" w:rsidP="003C356A">
      <w:pPr>
        <w:rPr>
          <w:lang w:val="en-GB"/>
        </w:rPr>
      </w:pPr>
      <w:r w:rsidRPr="00380B40">
        <w:rPr>
          <w:lang w:val="en-GB"/>
        </w:rPr>
        <w:t>Amendments that correct defects may be approved, in accordance with clause 7.1.</w:t>
      </w:r>
    </w:p>
    <w:p w14:paraId="6608620F" w14:textId="77777777" w:rsidR="00795C3C" w:rsidRPr="00380B40" w:rsidRDefault="00795C3C" w:rsidP="003C356A">
      <w:pPr>
        <w:pStyle w:val="Heading1"/>
        <w:rPr>
          <w:lang w:val="en-GB"/>
        </w:rPr>
      </w:pPr>
      <w:bookmarkStart w:id="1094" w:name="_Toc517487610"/>
      <w:bookmarkStart w:id="1095" w:name="_Toc88460315"/>
      <w:bookmarkStart w:id="1096" w:name="_Toc89575673"/>
      <w:bookmarkStart w:id="1097" w:name="_Toc89575704"/>
      <w:bookmarkStart w:id="1098" w:name="_Toc142900166"/>
      <w:bookmarkStart w:id="1099" w:name="_Toc144196565"/>
      <w:bookmarkStart w:id="1100" w:name="_Toc206496695"/>
      <w:bookmarkStart w:id="1101" w:name="_Toc216844946"/>
      <w:bookmarkStart w:id="1102" w:name="_Toc99031905"/>
      <w:bookmarkStart w:id="1103" w:name="_Toc99550367"/>
      <w:r w:rsidRPr="00380B40">
        <w:rPr>
          <w:lang w:val="en-GB"/>
        </w:rPr>
        <w:br w:type="page"/>
      </w:r>
    </w:p>
    <w:p w14:paraId="6AA6C7BE" w14:textId="77777777" w:rsidR="003C356A" w:rsidRPr="00380B40" w:rsidRDefault="003C356A" w:rsidP="003C356A">
      <w:pPr>
        <w:pStyle w:val="Heading1"/>
        <w:rPr>
          <w:lang w:val="en-GB"/>
        </w:rPr>
      </w:pPr>
      <w:bookmarkStart w:id="1104" w:name="_Toc111636929"/>
      <w:r w:rsidRPr="00380B40">
        <w:rPr>
          <w:lang w:val="en-GB"/>
        </w:rPr>
        <w:t>4</w:t>
      </w:r>
      <w:r w:rsidRPr="00380B40">
        <w:rPr>
          <w:lang w:val="en-GB"/>
        </w:rPr>
        <w:tab/>
        <w:t>Last call and additional review</w:t>
      </w:r>
      <w:bookmarkEnd w:id="1094"/>
      <w:bookmarkEnd w:id="1095"/>
      <w:bookmarkEnd w:id="1096"/>
      <w:bookmarkEnd w:id="1097"/>
      <w:bookmarkEnd w:id="1098"/>
      <w:bookmarkEnd w:id="1099"/>
      <w:bookmarkEnd w:id="1100"/>
      <w:bookmarkEnd w:id="1101"/>
      <w:bookmarkEnd w:id="1102"/>
      <w:bookmarkEnd w:id="1103"/>
      <w:bookmarkEnd w:id="1104"/>
    </w:p>
    <w:p w14:paraId="1B49AC40" w14:textId="77777777" w:rsidR="003C356A" w:rsidRPr="00380B40" w:rsidRDefault="003C356A" w:rsidP="003C356A">
      <w:pPr>
        <w:rPr>
          <w:lang w:val="en-GB"/>
        </w:rPr>
      </w:pPr>
      <w:r w:rsidRPr="00380B40">
        <w:rPr>
          <w:b/>
          <w:lang w:val="en-GB"/>
        </w:rPr>
        <w:t>4.1</w:t>
      </w:r>
      <w:r w:rsidRPr="00380B40">
        <w:rPr>
          <w:lang w:val="en-GB"/>
        </w:rPr>
        <w:tab/>
        <w:t>The last call encompasses the four-week period and procedures beginning with the Director's announcement of the intention to apply the alternative approval process (clause 3.1).</w:t>
      </w:r>
    </w:p>
    <w:p w14:paraId="7461E020" w14:textId="77777777" w:rsidR="003C356A" w:rsidRPr="00380B40" w:rsidRDefault="003C356A" w:rsidP="003C356A">
      <w:pPr>
        <w:rPr>
          <w:lang w:val="en-GB"/>
        </w:rPr>
      </w:pPr>
      <w:r w:rsidRPr="00380B40">
        <w:rPr>
          <w:b/>
          <w:lang w:val="en-GB"/>
        </w:rPr>
        <w:t>4.2</w:t>
      </w:r>
      <w:r w:rsidRPr="00380B40">
        <w:rPr>
          <w:lang w:val="en-GB"/>
        </w:rPr>
        <w:tab/>
        <w:t>If TSB has received a statement(s) indicating that the use of intellectual property, protected by one or more copyright(s) or patent(s), issued or pending, may be required in order to implement a draft Recommendation, the Director shall post this information on the ITU</w:t>
      </w:r>
      <w:r w:rsidRPr="00380B40">
        <w:rPr>
          <w:lang w:val="en-GB"/>
        </w:rPr>
        <w:noBreakHyphen/>
        <w:t>T website.</w:t>
      </w:r>
    </w:p>
    <w:p w14:paraId="69E01366" w14:textId="77777777" w:rsidR="003C356A" w:rsidRPr="00380B40" w:rsidRDefault="003C356A" w:rsidP="003C356A">
      <w:pPr>
        <w:rPr>
          <w:lang w:val="en-GB"/>
        </w:rPr>
      </w:pPr>
      <w:r w:rsidRPr="00380B40">
        <w:rPr>
          <w:b/>
          <w:lang w:val="en-GB"/>
        </w:rPr>
        <w:t>4.3</w:t>
      </w:r>
      <w:r w:rsidRPr="00380B40">
        <w:rPr>
          <w:lang w:val="en-GB"/>
        </w:rPr>
        <w:tab/>
        <w:t>The Director of TSB shall advise the Directors of the other two Bureaux that Member States and Sector Members are being asked to comment on the approval of a proposed new or revised Recommendation.</w:t>
      </w:r>
    </w:p>
    <w:p w14:paraId="54551FEC" w14:textId="77777777" w:rsidR="003C356A" w:rsidRPr="00380B40" w:rsidRDefault="003C356A" w:rsidP="003C356A">
      <w:pPr>
        <w:rPr>
          <w:lang w:val="en-GB"/>
        </w:rPr>
      </w:pPr>
      <w:r w:rsidRPr="00380B40">
        <w:rPr>
          <w:b/>
          <w:lang w:val="en-GB"/>
        </w:rPr>
        <w:t>4.4</w:t>
      </w:r>
      <w:r w:rsidRPr="00380B40">
        <w:rPr>
          <w:lang w:val="en-GB"/>
        </w:rPr>
        <w:tab/>
        <w:t>During the last call, should any Member State or Sector Member be of the opinion that the draft new or revised Recommendation should not be approved, they should advise their reasons for disapproving and indicate the possible changes that would facilitate further consideration and approval of the draft new or revised Recommendation. TSB will make the comments available to the membership of ITU</w:t>
      </w:r>
      <w:r w:rsidRPr="00380B40">
        <w:rPr>
          <w:lang w:val="en-GB"/>
        </w:rPr>
        <w:noBreakHyphen/>
        <w:t>T.</w:t>
      </w:r>
    </w:p>
    <w:p w14:paraId="60B681D7" w14:textId="77777777" w:rsidR="003C356A" w:rsidRPr="00380B40" w:rsidRDefault="003C356A" w:rsidP="003C356A">
      <w:pPr>
        <w:rPr>
          <w:lang w:val="en-GB"/>
        </w:rPr>
      </w:pPr>
      <w:r w:rsidRPr="00380B40">
        <w:rPr>
          <w:b/>
          <w:lang w:val="en-GB"/>
        </w:rPr>
        <w:t>4.4.1</w:t>
      </w:r>
      <w:r w:rsidRPr="00380B40">
        <w:rPr>
          <w:lang w:val="en-GB"/>
        </w:rPr>
        <w:tab/>
        <w:t xml:space="preserve">If no comments, other than comments indicating typographical error(s) (misspelling, syntactical and punctuation mistakes, etc.), are received by the end of the last call, the draft new or revised Recommendation is considered as approved, and the typographical errors are corrected. </w:t>
      </w:r>
    </w:p>
    <w:p w14:paraId="549FFE87" w14:textId="77777777" w:rsidR="003C356A" w:rsidRPr="00380B40" w:rsidRDefault="003C356A" w:rsidP="003C356A">
      <w:pPr>
        <w:rPr>
          <w:lang w:val="en-GB"/>
        </w:rPr>
      </w:pPr>
      <w:r w:rsidRPr="00380B40">
        <w:rPr>
          <w:b/>
          <w:lang w:val="en-GB"/>
        </w:rPr>
        <w:t>4.4.2</w:t>
      </w:r>
      <w:r w:rsidRPr="00380B40">
        <w:rPr>
          <w:lang w:val="en-GB"/>
        </w:rPr>
        <w:tab/>
        <w:t xml:space="preserve">If comments, other than those indicating typographical errors, are received by the end of the last call, the study group chairman, in consultation with TSB, makes the judgement whether: </w:t>
      </w:r>
    </w:p>
    <w:p w14:paraId="18F470B0" w14:textId="77777777" w:rsidR="003C356A" w:rsidRPr="00380B40" w:rsidRDefault="003C356A" w:rsidP="003C356A">
      <w:pPr>
        <w:pStyle w:val="enumlev1"/>
        <w:rPr>
          <w:lang w:val="en-GB"/>
        </w:rPr>
      </w:pPr>
      <w:r w:rsidRPr="00380B40">
        <w:rPr>
          <w:lang w:val="en-GB"/>
        </w:rPr>
        <w:t>1)</w:t>
      </w:r>
      <w:r w:rsidRPr="00380B40">
        <w:rPr>
          <w:lang w:val="en-GB"/>
        </w:rPr>
        <w:tab/>
        <w:t xml:space="preserve">a planned study group meeting is sufficiently close to consider the draft Recommendation for approval, in which case the procedures in clause 4.6 regarding approval at a study group meeting are applied; or </w:t>
      </w:r>
    </w:p>
    <w:p w14:paraId="7493DC23" w14:textId="77777777" w:rsidR="003C356A" w:rsidRPr="00380B40" w:rsidRDefault="003C356A" w:rsidP="003C356A">
      <w:pPr>
        <w:pStyle w:val="enumlev1"/>
        <w:rPr>
          <w:lang w:val="en-GB"/>
        </w:rPr>
      </w:pPr>
      <w:r w:rsidRPr="00380B40">
        <w:rPr>
          <w:lang w:val="en-GB"/>
        </w:rPr>
        <w:t>2)</w:t>
      </w:r>
      <w:r w:rsidRPr="00380B40">
        <w:rPr>
          <w:lang w:val="en-GB"/>
        </w:rPr>
        <w:tab/>
        <w:t>to save time and/or because of the nature and maturity of the work, comment resolution should be initiated under the direction of the study group chairman. This will be accomplished by appropriate study group experts, via electronic correspondence or at meetings. Revised, edited draft text is prepared, as appropriate, and the procedures beginning in clause 4.4.3 are applied.</w:t>
      </w:r>
    </w:p>
    <w:p w14:paraId="67712080" w14:textId="77777777" w:rsidR="003C356A" w:rsidRPr="00380B40" w:rsidRDefault="003C356A" w:rsidP="003C356A">
      <w:pPr>
        <w:rPr>
          <w:lang w:val="en-GB"/>
        </w:rPr>
      </w:pPr>
      <w:r w:rsidRPr="00380B40">
        <w:rPr>
          <w:b/>
          <w:lang w:val="en-GB"/>
        </w:rPr>
        <w:t>4.4.3</w:t>
      </w:r>
      <w:r w:rsidRPr="00380B40">
        <w:rPr>
          <w:lang w:val="en-GB"/>
        </w:rPr>
        <w:tab/>
        <w:t>If comments other than typographical amendments are received at the end of the last call process, the rapporteur, with the assistance of the editor, shall, normally within two weeks of the end of the last call, compile all such comments in a single document, for example in the form of a table (see Annex A), to be used as the basis for completion of the comment resolution process.</w:t>
      </w:r>
    </w:p>
    <w:p w14:paraId="79F8BD04" w14:textId="77777777" w:rsidR="003C356A" w:rsidRPr="00380B40" w:rsidRDefault="003C356A" w:rsidP="003C356A">
      <w:pPr>
        <w:rPr>
          <w:lang w:val="en-GB"/>
        </w:rPr>
      </w:pPr>
      <w:r w:rsidRPr="00380B40">
        <w:rPr>
          <w:b/>
          <w:bCs/>
          <w:lang w:val="en-GB"/>
        </w:rPr>
        <w:t>4.4.4</w:t>
      </w:r>
      <w:r w:rsidRPr="00380B40">
        <w:rPr>
          <w:lang w:val="en-GB"/>
        </w:rPr>
        <w:tab/>
        <w:t xml:space="preserve">After comment resolution is completed, and the revised and edited draft text is made available, the study group chairman, in consultation with TSB, makes the judgement whether: </w:t>
      </w:r>
    </w:p>
    <w:p w14:paraId="56783F95" w14:textId="77777777" w:rsidR="003C356A" w:rsidRPr="00380B40" w:rsidRDefault="003C356A" w:rsidP="003C356A">
      <w:pPr>
        <w:pStyle w:val="enumlev1"/>
        <w:rPr>
          <w:lang w:val="en-GB"/>
        </w:rPr>
      </w:pPr>
      <w:r w:rsidRPr="00380B40">
        <w:rPr>
          <w:lang w:val="en-GB"/>
        </w:rPr>
        <w:t>a)</w:t>
      </w:r>
      <w:r w:rsidRPr="00380B40">
        <w:rPr>
          <w:lang w:val="en-GB"/>
        </w:rPr>
        <w:tab/>
        <w:t>a planned study group meeting is sufficiently close to consider the draft Recommendation for approval, in which case the procedures in clause 4.6 are applied; or</w:t>
      </w:r>
    </w:p>
    <w:p w14:paraId="5E2C1E27" w14:textId="77777777" w:rsidR="003C356A" w:rsidRPr="00380B40" w:rsidRDefault="003C356A" w:rsidP="003C356A">
      <w:pPr>
        <w:pStyle w:val="enumlev1"/>
        <w:rPr>
          <w:lang w:val="en-GB"/>
        </w:rPr>
      </w:pPr>
      <w:r w:rsidRPr="00380B40">
        <w:rPr>
          <w:lang w:val="en-GB"/>
        </w:rPr>
        <w:t>b)</w:t>
      </w:r>
      <w:r w:rsidRPr="00380B40">
        <w:rPr>
          <w:lang w:val="en-GB"/>
        </w:rPr>
        <w:tab/>
        <w:t>to save time and/or because of the nature and maturity of the work, an additional review should be initiated, in which case the procedures in clause 4.5 are applied.</w:t>
      </w:r>
    </w:p>
    <w:p w14:paraId="5D8DB501" w14:textId="77777777" w:rsidR="00795C3C" w:rsidRPr="00380B40" w:rsidRDefault="00795C3C" w:rsidP="003C356A">
      <w:pPr>
        <w:rPr>
          <w:b/>
          <w:lang w:val="en-GB"/>
        </w:rPr>
      </w:pPr>
      <w:r w:rsidRPr="00380B40">
        <w:rPr>
          <w:b/>
          <w:lang w:val="en-GB"/>
        </w:rPr>
        <w:br w:type="page"/>
      </w:r>
    </w:p>
    <w:p w14:paraId="2065C45A" w14:textId="77777777" w:rsidR="003C356A" w:rsidRPr="00380B40" w:rsidRDefault="003C356A" w:rsidP="003C356A">
      <w:pPr>
        <w:rPr>
          <w:lang w:val="en-GB"/>
        </w:rPr>
      </w:pPr>
      <w:r w:rsidRPr="00380B40">
        <w:rPr>
          <w:b/>
          <w:lang w:val="en-GB"/>
        </w:rPr>
        <w:t>4.5</w:t>
      </w:r>
      <w:r w:rsidRPr="00380B40">
        <w:rPr>
          <w:lang w:val="en-GB"/>
        </w:rPr>
        <w:tab/>
        <w:t xml:space="preserve">The additional review encompasses a three-week period and will be announced by the Director. The text (including any revisions as a result of comment resolution) of the draft Recommendation in a final edited form and comments from the last call must be made available to TSB at the time that the Director makes the announcement of the additional review. Reference shall be provided to the documentation where the text of the draft Recommendation and last call comments to be considered may be found. </w:t>
      </w:r>
    </w:p>
    <w:p w14:paraId="7B2A7421" w14:textId="77777777" w:rsidR="003C356A" w:rsidRPr="00380B40" w:rsidRDefault="003C356A" w:rsidP="003C356A">
      <w:pPr>
        <w:rPr>
          <w:lang w:val="en-GB"/>
        </w:rPr>
      </w:pPr>
      <w:r w:rsidRPr="00380B40">
        <w:rPr>
          <w:b/>
          <w:lang w:val="en-GB"/>
        </w:rPr>
        <w:t>4.5.1</w:t>
      </w:r>
      <w:r w:rsidRPr="00380B40">
        <w:rPr>
          <w:lang w:val="en-GB"/>
        </w:rPr>
        <w:tab/>
        <w:t xml:space="preserve">If no comments, other than comments indicating typographical error(s) (misspelling, syntactical and punctuation mistakes, etc.), are received by the end of the additional review, the Recommendation is considered as approved, and the typographical errors are corrected by TSB. </w:t>
      </w:r>
    </w:p>
    <w:p w14:paraId="26B6021D" w14:textId="77777777" w:rsidR="003C356A" w:rsidRPr="00380B40" w:rsidRDefault="003C356A" w:rsidP="003C356A">
      <w:pPr>
        <w:rPr>
          <w:lang w:val="en-GB"/>
        </w:rPr>
      </w:pPr>
      <w:r w:rsidRPr="00380B40">
        <w:rPr>
          <w:b/>
          <w:lang w:val="en-GB"/>
        </w:rPr>
        <w:t>4.5.2</w:t>
      </w:r>
      <w:r w:rsidRPr="00380B40">
        <w:rPr>
          <w:lang w:val="en-GB"/>
        </w:rPr>
        <w:tab/>
        <w:t>If comments, other than comments indicating typographical errors(s), are received by the end of the additional review, then the procedures in clause 4.6 regarding approval at a study group meeting are applied.</w:t>
      </w:r>
    </w:p>
    <w:p w14:paraId="2F7BCA35" w14:textId="77777777" w:rsidR="003C356A" w:rsidRPr="00380B40" w:rsidRDefault="003C356A" w:rsidP="003C356A">
      <w:pPr>
        <w:rPr>
          <w:lang w:val="en-GB"/>
        </w:rPr>
      </w:pPr>
      <w:r w:rsidRPr="00380B40">
        <w:rPr>
          <w:b/>
          <w:lang w:val="en-GB"/>
        </w:rPr>
        <w:t>4.6</w:t>
      </w:r>
      <w:r w:rsidRPr="00380B40">
        <w:rPr>
          <w:lang w:val="en-GB"/>
        </w:rPr>
        <w:tab/>
        <w:t>The Director shall explicitly announce the intention to approve the draft Recommendation at least three weeks prior to the study group meeting. The Director shall include the specific intent of the proposal in summarized form. Reference shall be provided to the documentation where the draft text and comments from the last call (and additional review, if relevant) may be found. The documentation should be published 12 days prior to the Director's call, with a table (see Annex A) indicating all comments not resolved in the consultation with the entities that made those comments. The edited text of the draft Recommendation from the additional review (or last call if there is no additional review) is submitted for approval by the study group meeting in accordance with clause 5.</w:t>
      </w:r>
    </w:p>
    <w:p w14:paraId="3B092B85" w14:textId="77777777" w:rsidR="003C356A" w:rsidRPr="00380B40" w:rsidRDefault="003C356A" w:rsidP="003C356A">
      <w:pPr>
        <w:pStyle w:val="Heading1"/>
        <w:rPr>
          <w:lang w:val="en-GB"/>
        </w:rPr>
      </w:pPr>
      <w:bookmarkStart w:id="1105" w:name="_Toc517487611"/>
      <w:bookmarkStart w:id="1106" w:name="_Toc88460316"/>
      <w:bookmarkStart w:id="1107" w:name="_Toc89575674"/>
      <w:bookmarkStart w:id="1108" w:name="_Toc89575705"/>
      <w:bookmarkStart w:id="1109" w:name="_Toc142900167"/>
      <w:bookmarkStart w:id="1110" w:name="_Toc144196566"/>
      <w:bookmarkStart w:id="1111" w:name="_Toc206496696"/>
      <w:bookmarkStart w:id="1112" w:name="_Toc216844947"/>
      <w:bookmarkStart w:id="1113" w:name="_Toc99031906"/>
      <w:bookmarkStart w:id="1114" w:name="_Toc99550368"/>
      <w:bookmarkStart w:id="1115" w:name="_Toc111636930"/>
      <w:r w:rsidRPr="00380B40">
        <w:rPr>
          <w:lang w:val="en-GB"/>
        </w:rPr>
        <w:t>5</w:t>
      </w:r>
      <w:r w:rsidRPr="00380B40">
        <w:rPr>
          <w:lang w:val="en-GB"/>
        </w:rPr>
        <w:tab/>
        <w:t>Procedure at study group meetings</w:t>
      </w:r>
      <w:bookmarkEnd w:id="1105"/>
      <w:bookmarkEnd w:id="1106"/>
      <w:bookmarkEnd w:id="1107"/>
      <w:bookmarkEnd w:id="1108"/>
      <w:bookmarkEnd w:id="1109"/>
      <w:bookmarkEnd w:id="1110"/>
      <w:bookmarkEnd w:id="1111"/>
      <w:bookmarkEnd w:id="1112"/>
      <w:bookmarkEnd w:id="1113"/>
      <w:bookmarkEnd w:id="1114"/>
      <w:bookmarkEnd w:id="1115"/>
    </w:p>
    <w:p w14:paraId="69D7661B" w14:textId="77777777" w:rsidR="003C356A" w:rsidRPr="00380B40" w:rsidRDefault="003C356A" w:rsidP="003C356A">
      <w:pPr>
        <w:rPr>
          <w:lang w:val="en-GB"/>
        </w:rPr>
      </w:pPr>
      <w:r w:rsidRPr="00380B40">
        <w:rPr>
          <w:b/>
          <w:lang w:val="en-GB"/>
        </w:rPr>
        <w:t>5.1</w:t>
      </w:r>
      <w:r w:rsidRPr="00380B40">
        <w:rPr>
          <w:lang w:val="en-GB"/>
        </w:rPr>
        <w:tab/>
        <w:t>The study group should review the text of the draft new or revised Recommendation and the associated comments in the documentation referred to in clause 4.6. The meeting may then accept any corrections or amendments to the draft new or revised Recommendation. The study group should reassess the summary statement in terms of its completeness.</w:t>
      </w:r>
    </w:p>
    <w:p w14:paraId="0774FD04" w14:textId="77777777" w:rsidR="003C356A" w:rsidRPr="00380B40" w:rsidRDefault="003C356A" w:rsidP="003C356A">
      <w:pPr>
        <w:rPr>
          <w:lang w:val="en-GB"/>
        </w:rPr>
      </w:pPr>
      <w:r w:rsidRPr="00380B40">
        <w:rPr>
          <w:b/>
          <w:lang w:val="en-GB"/>
        </w:rPr>
        <w:t>5.2</w:t>
      </w:r>
      <w:r w:rsidRPr="00380B40">
        <w:rPr>
          <w:lang w:val="en-GB"/>
        </w:rPr>
        <w:tab/>
        <w:t>Changes may only be made during the meeting as a consequence of written comments as a result of the last call, additional review, contributions, or temporary documents including liaison statements. Where proposals for such revisions are found to be justified but to have a major impact on the intent of the Recommendation or to depart from points of principle agreed at the previous study group or working party meeting, consideration of this approval procedure should not be applied at this meeting. However, in justified circumstances, the approval procedure may still be applied if the chairman of the study group, in consultation with TSB, considers:</w:t>
      </w:r>
    </w:p>
    <w:p w14:paraId="2E1B48D0" w14:textId="77777777" w:rsidR="003C356A" w:rsidRPr="00380B40" w:rsidRDefault="003C356A" w:rsidP="003C356A">
      <w:pPr>
        <w:pStyle w:val="enumlev1"/>
        <w:rPr>
          <w:lang w:val="en-GB"/>
        </w:rPr>
      </w:pPr>
      <w:r w:rsidRPr="00380B40">
        <w:rPr>
          <w:lang w:val="en-GB"/>
        </w:rPr>
        <w:t>–</w:t>
      </w:r>
      <w:r w:rsidRPr="00380B40">
        <w:rPr>
          <w:lang w:val="en-GB"/>
        </w:rPr>
        <w:tab/>
        <w:t>that the proposed changes are reasonable (in the context of the documentation described in this clause) for those Member States and Sector Members not represented at the meeting, or not represented adequately under the changed circumstances; and</w:t>
      </w:r>
    </w:p>
    <w:p w14:paraId="67C51C8A" w14:textId="77777777" w:rsidR="003C356A" w:rsidRPr="00380B40" w:rsidRDefault="003C356A" w:rsidP="003C356A">
      <w:pPr>
        <w:pStyle w:val="enumlev1"/>
        <w:rPr>
          <w:lang w:val="en-GB"/>
        </w:rPr>
      </w:pPr>
      <w:r w:rsidRPr="00380B40">
        <w:rPr>
          <w:lang w:val="en-GB"/>
        </w:rPr>
        <w:t>–</w:t>
      </w:r>
      <w:r w:rsidRPr="00380B40">
        <w:rPr>
          <w:lang w:val="en-GB"/>
        </w:rPr>
        <w:tab/>
        <w:t>that the proposed text is stable.</w:t>
      </w:r>
    </w:p>
    <w:p w14:paraId="0FE4D731" w14:textId="77777777" w:rsidR="003C356A" w:rsidRPr="00380B40" w:rsidRDefault="003C356A" w:rsidP="003C356A">
      <w:pPr>
        <w:rPr>
          <w:b/>
          <w:lang w:val="en-GB"/>
        </w:rPr>
      </w:pPr>
      <w:r w:rsidRPr="00380B40">
        <w:rPr>
          <w:lang w:val="en-GB"/>
        </w:rPr>
        <w:t>However, if a Member State present declares that this text has policy or regulatory implications or there is a doubt, the approval procedure shall proceed according to WTSA Resolution 1, clause 9.3 or clause 5.8.</w:t>
      </w:r>
    </w:p>
    <w:p w14:paraId="59202C58" w14:textId="77777777" w:rsidR="00795C3C" w:rsidRPr="00380B40" w:rsidRDefault="00795C3C" w:rsidP="003C356A">
      <w:pPr>
        <w:rPr>
          <w:b/>
          <w:lang w:val="en-GB"/>
        </w:rPr>
      </w:pPr>
      <w:r w:rsidRPr="00380B40">
        <w:rPr>
          <w:b/>
          <w:lang w:val="en-GB"/>
        </w:rPr>
        <w:br w:type="page"/>
      </w:r>
    </w:p>
    <w:p w14:paraId="425218FD" w14:textId="77777777" w:rsidR="003C356A" w:rsidRPr="00380B40" w:rsidRDefault="003C356A" w:rsidP="003C356A">
      <w:pPr>
        <w:rPr>
          <w:lang w:val="en-GB"/>
        </w:rPr>
      </w:pPr>
      <w:r w:rsidRPr="00380B40">
        <w:rPr>
          <w:b/>
          <w:lang w:val="en-GB"/>
        </w:rPr>
        <w:t>5.3</w:t>
      </w:r>
      <w:r w:rsidRPr="00380B40">
        <w:rPr>
          <w:lang w:val="en-GB"/>
        </w:rPr>
        <w:tab/>
        <w:t>After debate at the study group meeting, the decision of the meeting to approve the Recommendation under this approval procedure must be unopposed (but see clauses 5.5, 5.7 and 5.8). Every effort should be made to reach unopposed agreement.</w:t>
      </w:r>
    </w:p>
    <w:p w14:paraId="629586C3" w14:textId="77777777" w:rsidR="003C356A" w:rsidRPr="00380B40" w:rsidRDefault="003C356A" w:rsidP="003C356A">
      <w:pPr>
        <w:rPr>
          <w:lang w:val="en-GB"/>
        </w:rPr>
      </w:pPr>
      <w:r w:rsidRPr="00380B40">
        <w:rPr>
          <w:b/>
          <w:lang w:val="en-GB"/>
        </w:rPr>
        <w:t>5.4</w:t>
      </w:r>
      <w:r w:rsidRPr="00380B40">
        <w:rPr>
          <w:lang w:val="en-GB"/>
        </w:rPr>
        <w:tab/>
        <w:t xml:space="preserve">If, despite these attempts, unopposed agreement has not been reached, the Recommendation is considered as approved if, following consultation with their Sector Members present, no more than one Member State present in the meeting opposes the decision to approve the Recommendation (but see clauses 5.5, 5.6 and 5.8). Otherwise, the study group may authorize additional work to address the remaining issues. </w:t>
      </w:r>
    </w:p>
    <w:p w14:paraId="1D5FD36A" w14:textId="77777777" w:rsidR="003C356A" w:rsidRPr="00380B40" w:rsidRDefault="003C356A" w:rsidP="003C356A">
      <w:pPr>
        <w:rPr>
          <w:lang w:val="en-GB"/>
        </w:rPr>
      </w:pPr>
      <w:r w:rsidRPr="00380B40">
        <w:rPr>
          <w:b/>
          <w:lang w:val="en-GB"/>
        </w:rPr>
        <w:t>5.5</w:t>
      </w:r>
      <w:r w:rsidRPr="00380B40">
        <w:rPr>
          <w:lang w:val="en-GB"/>
        </w:rPr>
        <w:tab/>
        <w:t>In cases where a Member State or Sector Member does not elect to oppose approval of a text, but would like to register a degree of concern on one or more aspects, this shall be noted in the report of the meeting. Such concerns shall be mentioned in a concise note appended to the text of the Recommendation concerned.</w:t>
      </w:r>
    </w:p>
    <w:p w14:paraId="003E448E" w14:textId="77777777" w:rsidR="003C356A" w:rsidRPr="00380B40" w:rsidRDefault="003C356A" w:rsidP="003C356A">
      <w:pPr>
        <w:rPr>
          <w:lang w:val="en-GB"/>
        </w:rPr>
      </w:pPr>
      <w:r w:rsidRPr="00380B40">
        <w:rPr>
          <w:b/>
          <w:lang w:val="en-GB"/>
        </w:rPr>
        <w:t>5.6</w:t>
      </w:r>
      <w:r w:rsidRPr="00380B40">
        <w:rPr>
          <w:lang w:val="en-GB"/>
        </w:rPr>
        <w:tab/>
        <w:t>A decision must be reached during the meeting on the basis of a text available in its final form to all participants at the meeting. Exceptionally, but only during the meeting, a Member State may request more time to consider its position for clause 5.4. Unless the Director of TSB is advised of their opposition within a period of four weeks from the end of the meeting, the Recommendation is approved, and the Director shall proceed in accordance with clause 6.1.</w:t>
      </w:r>
    </w:p>
    <w:p w14:paraId="6FD8B427" w14:textId="77777777" w:rsidR="003C356A" w:rsidRPr="00380B40" w:rsidRDefault="003C356A" w:rsidP="003C356A">
      <w:pPr>
        <w:rPr>
          <w:lang w:val="en-GB"/>
        </w:rPr>
      </w:pPr>
      <w:r w:rsidRPr="00380B40">
        <w:rPr>
          <w:b/>
          <w:lang w:val="en-GB"/>
        </w:rPr>
        <w:t>5.6.1</w:t>
      </w:r>
      <w:r w:rsidRPr="00380B40">
        <w:rPr>
          <w:lang w:val="en-GB"/>
        </w:rPr>
        <w:tab/>
        <w:t xml:space="preserve">A Member State that requested more time to consider its position and that then indicates disapproval within the four-week interval specified in clause 5.6 is requested to include its reasons and to indicate the possible changes that would facilitate further consideration, if required, for future approval of the draft new or revised Recommendation. </w:t>
      </w:r>
    </w:p>
    <w:p w14:paraId="678441B1" w14:textId="77777777" w:rsidR="003C356A" w:rsidRPr="00380B40" w:rsidRDefault="003C356A" w:rsidP="003C356A">
      <w:pPr>
        <w:rPr>
          <w:lang w:val="en-GB"/>
        </w:rPr>
      </w:pPr>
      <w:r w:rsidRPr="00380B40">
        <w:rPr>
          <w:b/>
          <w:lang w:val="en-GB"/>
        </w:rPr>
        <w:t>5.7</w:t>
      </w:r>
      <w:r w:rsidRPr="00380B40">
        <w:rPr>
          <w:lang w:val="en-GB"/>
        </w:rPr>
        <w:tab/>
        <w:t>A Member State or Sector Member may advise at the meeting that it is abstaining from the application of the procedure. Their presence shall then be ignored for the purposes of clause 5.3. Such an abstention may subsequently be revoked, but only during the course of the meeting.</w:t>
      </w:r>
    </w:p>
    <w:p w14:paraId="57D8FF63" w14:textId="77777777" w:rsidR="003C356A" w:rsidRPr="00380B40" w:rsidRDefault="003C356A" w:rsidP="003C356A">
      <w:pPr>
        <w:rPr>
          <w:lang w:val="en-GB"/>
        </w:rPr>
      </w:pPr>
      <w:r w:rsidRPr="00380B40">
        <w:rPr>
          <w:b/>
          <w:lang w:val="en-GB"/>
        </w:rPr>
        <w:t>5.8</w:t>
      </w:r>
      <w:r w:rsidRPr="00380B40">
        <w:rPr>
          <w:lang w:val="en-GB"/>
        </w:rPr>
        <w:tab/>
        <w:t>If the draft new or revised Recommendation is not approved, the study group chairman, after consultation with the parties concerned, may proceed according to clause 3.1, without further CONSENT at a subsequent working party or study group meeting.</w:t>
      </w:r>
    </w:p>
    <w:p w14:paraId="3ACA5BDF" w14:textId="77777777" w:rsidR="003C356A" w:rsidRPr="00380B40" w:rsidRDefault="003C356A" w:rsidP="003C356A">
      <w:pPr>
        <w:pStyle w:val="Heading1"/>
        <w:rPr>
          <w:lang w:val="en-GB"/>
        </w:rPr>
      </w:pPr>
      <w:bookmarkStart w:id="1116" w:name="_Toc517487612"/>
      <w:bookmarkStart w:id="1117" w:name="_Toc88460317"/>
      <w:bookmarkStart w:id="1118" w:name="_Toc89575675"/>
      <w:bookmarkStart w:id="1119" w:name="_Toc89575706"/>
      <w:bookmarkStart w:id="1120" w:name="_Toc142900168"/>
      <w:bookmarkStart w:id="1121" w:name="_Toc144196567"/>
      <w:bookmarkStart w:id="1122" w:name="_Toc206496697"/>
      <w:bookmarkStart w:id="1123" w:name="_Toc216844948"/>
      <w:bookmarkStart w:id="1124" w:name="_Toc99031907"/>
      <w:bookmarkStart w:id="1125" w:name="_Toc99550369"/>
      <w:bookmarkStart w:id="1126" w:name="_Toc111636931"/>
      <w:r w:rsidRPr="00380B40">
        <w:rPr>
          <w:lang w:val="en-GB"/>
        </w:rPr>
        <w:t>6</w:t>
      </w:r>
      <w:r w:rsidRPr="00380B40">
        <w:rPr>
          <w:lang w:val="en-GB"/>
        </w:rPr>
        <w:tab/>
        <w:t>Notification</w:t>
      </w:r>
      <w:bookmarkEnd w:id="1116"/>
      <w:bookmarkEnd w:id="1117"/>
      <w:bookmarkEnd w:id="1118"/>
      <w:bookmarkEnd w:id="1119"/>
      <w:bookmarkEnd w:id="1120"/>
      <w:bookmarkEnd w:id="1121"/>
      <w:bookmarkEnd w:id="1122"/>
      <w:bookmarkEnd w:id="1123"/>
      <w:bookmarkEnd w:id="1124"/>
      <w:bookmarkEnd w:id="1125"/>
      <w:bookmarkEnd w:id="1126"/>
    </w:p>
    <w:p w14:paraId="00334ADD" w14:textId="77777777" w:rsidR="003C356A" w:rsidRPr="00380B40" w:rsidRDefault="003C356A" w:rsidP="003C356A">
      <w:pPr>
        <w:rPr>
          <w:lang w:val="en-GB"/>
        </w:rPr>
      </w:pPr>
      <w:r w:rsidRPr="00380B40">
        <w:rPr>
          <w:b/>
          <w:lang w:val="en-GB"/>
        </w:rPr>
        <w:t>6.1</w:t>
      </w:r>
      <w:r w:rsidRPr="00380B40">
        <w:rPr>
          <w:lang w:val="en-GB"/>
        </w:rPr>
        <w:tab/>
        <w:t>The Director of TSB shall promptly notify the membership of the results (indicating approval or non-approval) of the last call and additional review.</w:t>
      </w:r>
    </w:p>
    <w:p w14:paraId="4ACBB363" w14:textId="77777777" w:rsidR="003C356A" w:rsidRPr="00380B40" w:rsidRDefault="003C356A" w:rsidP="003C356A">
      <w:pPr>
        <w:rPr>
          <w:lang w:val="en-GB"/>
        </w:rPr>
      </w:pPr>
      <w:r w:rsidRPr="00380B40">
        <w:rPr>
          <w:b/>
          <w:lang w:val="en-GB"/>
        </w:rPr>
        <w:t>6.2</w:t>
      </w:r>
      <w:r w:rsidRPr="00380B40">
        <w:rPr>
          <w:lang w:val="en-GB"/>
        </w:rPr>
        <w:tab/>
        <w:t>Within two weeks of the closing date of the study group meeting described in clauses 5.3 to 5.5 or, exceptionally, two weeks after the period described in clause 5.6, the Director shall notify by a circular whether the text is approved or not. The Director shall arrange for this information to also be included in the next available ITU Operational Bulletin. Within this same period, the Director shall also ensure that any Recommendation approved is available online, with an indication that the Recommendation may not be in its final publication form.</w:t>
      </w:r>
    </w:p>
    <w:p w14:paraId="03ADB22A" w14:textId="77777777" w:rsidR="00795C3C" w:rsidRPr="00380B40" w:rsidRDefault="00795C3C" w:rsidP="003C356A">
      <w:pPr>
        <w:rPr>
          <w:b/>
          <w:lang w:val="en-GB"/>
        </w:rPr>
      </w:pPr>
      <w:r w:rsidRPr="00380B40">
        <w:rPr>
          <w:b/>
          <w:lang w:val="en-GB"/>
        </w:rPr>
        <w:br w:type="page"/>
      </w:r>
    </w:p>
    <w:p w14:paraId="3998A4EA" w14:textId="77777777" w:rsidR="003C356A" w:rsidRPr="00380B40" w:rsidRDefault="003C356A" w:rsidP="003C356A">
      <w:pPr>
        <w:rPr>
          <w:lang w:val="en-GB"/>
        </w:rPr>
      </w:pPr>
      <w:r w:rsidRPr="00380B40">
        <w:rPr>
          <w:b/>
          <w:lang w:val="en-GB"/>
        </w:rPr>
        <w:t>6.3</w:t>
      </w:r>
      <w:r w:rsidRPr="00380B40">
        <w:rPr>
          <w:lang w:val="en-GB"/>
        </w:rPr>
        <w:tab/>
        <w:t>Should minor, purely editorial amendments or correction of evident oversights or inconsistencies in the text as presented for approval be necessary, TSB may correct these with the approval of the chairman of the study group.</w:t>
      </w:r>
    </w:p>
    <w:p w14:paraId="2FFB6C91" w14:textId="77777777" w:rsidR="003C356A" w:rsidRPr="00380B40" w:rsidRDefault="003C356A" w:rsidP="003C356A">
      <w:pPr>
        <w:rPr>
          <w:lang w:val="en-GB"/>
        </w:rPr>
      </w:pPr>
      <w:r w:rsidRPr="00380B40">
        <w:rPr>
          <w:b/>
          <w:lang w:val="en-GB"/>
        </w:rPr>
        <w:t>6.4</w:t>
      </w:r>
      <w:r w:rsidRPr="00380B40">
        <w:rPr>
          <w:lang w:val="en-GB"/>
        </w:rPr>
        <w:tab/>
        <w:t>The Secretary-General shall publish the approved new or revised Recommendations as soon as practicable, indicating, as necessary, a date of entry into effect. However, in accordance with Recommendation ITU</w:t>
      </w:r>
      <w:r w:rsidRPr="00380B40">
        <w:rPr>
          <w:lang w:val="en-GB"/>
        </w:rPr>
        <w:noBreakHyphen/>
        <w:t>T A.11, minor amendments may be covered by corrigenda rather than a complete reissue. Also, where appropriate, texts may be grouped to suit market needs.</w:t>
      </w:r>
    </w:p>
    <w:p w14:paraId="5B80BC0F" w14:textId="77777777" w:rsidR="003C356A" w:rsidRPr="00380B40" w:rsidRDefault="003C356A" w:rsidP="003C356A">
      <w:pPr>
        <w:rPr>
          <w:lang w:val="en-GB"/>
        </w:rPr>
      </w:pPr>
      <w:r w:rsidRPr="00380B40">
        <w:rPr>
          <w:b/>
          <w:lang w:val="en-GB"/>
        </w:rPr>
        <w:t>6.5</w:t>
      </w:r>
      <w:r w:rsidRPr="00380B40">
        <w:rPr>
          <w:lang w:val="en-GB"/>
        </w:rPr>
        <w:tab/>
        <w:t>Text shall be added to the cover sheets of all new and revised Recommendations urging users to consult the ITU</w:t>
      </w:r>
      <w:r w:rsidRPr="00380B40">
        <w:rPr>
          <w:lang w:val="en-GB"/>
        </w:rPr>
        <w:noBreakHyphen/>
        <w:t>T patent database and the ITU</w:t>
      </w:r>
      <w:r w:rsidRPr="00380B40">
        <w:rPr>
          <w:lang w:val="en-GB"/>
        </w:rPr>
        <w:noBreakHyphen/>
        <w:t>T software copyright database. Suggested wording is:</w:t>
      </w:r>
    </w:p>
    <w:p w14:paraId="74BB6CEE" w14:textId="77777777" w:rsidR="003C356A" w:rsidRPr="00380B40" w:rsidRDefault="003C356A" w:rsidP="003C356A">
      <w:pPr>
        <w:pStyle w:val="enumlev1"/>
        <w:rPr>
          <w:lang w:val="en-GB"/>
        </w:rPr>
      </w:pPr>
      <w:r w:rsidRPr="00380B40">
        <w:rPr>
          <w:lang w:val="en-GB"/>
        </w:rPr>
        <w:tab/>
        <w:t>"ITU 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 States and Sector Members or by others outside of the Recommendation development process."</w:t>
      </w:r>
    </w:p>
    <w:p w14:paraId="554ECC5D" w14:textId="77777777" w:rsidR="003C356A" w:rsidRPr="00380B40" w:rsidRDefault="003C356A" w:rsidP="003C356A">
      <w:pPr>
        <w:pStyle w:val="enumlev1"/>
        <w:rPr>
          <w:lang w:val="en-GB"/>
        </w:rPr>
      </w:pPr>
      <w:r w:rsidRPr="00380B40">
        <w:rPr>
          <w:lang w:val="en-GB"/>
        </w:rPr>
        <w:tab/>
        <w:t>"As of the date of approval of this Recommendation, ITU had/had not received notice of intellectual property, protected by patents/software copyrights, which may be required to implement this Recommendation. However, implementers are cautioned that this may not represent the latest information and are therefore strongly urged to consult the appropriate ITU</w:t>
      </w:r>
      <w:r w:rsidRPr="00380B40">
        <w:rPr>
          <w:lang w:val="en-GB"/>
        </w:rPr>
        <w:noBreakHyphen/>
        <w:t>T databases available at the ITU</w:t>
      </w:r>
      <w:r w:rsidRPr="00380B40">
        <w:rPr>
          <w:lang w:val="en-GB"/>
        </w:rPr>
        <w:noBreakHyphen/>
        <w:t>T website."</w:t>
      </w:r>
    </w:p>
    <w:p w14:paraId="4B02E6D3" w14:textId="77777777" w:rsidR="003C356A" w:rsidRPr="00380B40" w:rsidRDefault="003C356A" w:rsidP="003C356A">
      <w:pPr>
        <w:rPr>
          <w:lang w:val="en-GB"/>
        </w:rPr>
      </w:pPr>
      <w:r w:rsidRPr="00380B40">
        <w:rPr>
          <w:b/>
          <w:lang w:val="en-GB"/>
        </w:rPr>
        <w:t>6.6</w:t>
      </w:r>
      <w:r w:rsidRPr="00380B40">
        <w:rPr>
          <w:lang w:val="en-GB"/>
        </w:rPr>
        <w:tab/>
        <w:t>See Recommendation ITU</w:t>
      </w:r>
      <w:r w:rsidRPr="00380B40">
        <w:rPr>
          <w:lang w:val="en-GB"/>
        </w:rPr>
        <w:noBreakHyphen/>
        <w:t>T A.11 concerning the publication of new and revised Recommendations.</w:t>
      </w:r>
    </w:p>
    <w:p w14:paraId="495DFABA" w14:textId="77777777" w:rsidR="003C356A" w:rsidRPr="00380B40" w:rsidRDefault="003C356A" w:rsidP="003C356A">
      <w:pPr>
        <w:pStyle w:val="Heading1"/>
        <w:rPr>
          <w:lang w:val="en-GB"/>
        </w:rPr>
      </w:pPr>
      <w:bookmarkStart w:id="1127" w:name="_Toc517487613"/>
      <w:bookmarkStart w:id="1128" w:name="_Toc88460318"/>
      <w:bookmarkStart w:id="1129" w:name="_Toc89575676"/>
      <w:bookmarkStart w:id="1130" w:name="_Toc89575707"/>
      <w:bookmarkStart w:id="1131" w:name="_Toc142900169"/>
      <w:bookmarkStart w:id="1132" w:name="_Toc144196568"/>
      <w:bookmarkStart w:id="1133" w:name="_Toc206496698"/>
      <w:bookmarkStart w:id="1134" w:name="_Toc216844949"/>
      <w:bookmarkStart w:id="1135" w:name="_Toc99031908"/>
      <w:bookmarkStart w:id="1136" w:name="_Toc99550370"/>
      <w:bookmarkStart w:id="1137" w:name="_Toc111636932"/>
      <w:r w:rsidRPr="00380B40">
        <w:rPr>
          <w:lang w:val="en-GB"/>
        </w:rPr>
        <w:t>7</w:t>
      </w:r>
      <w:r w:rsidRPr="00380B40">
        <w:rPr>
          <w:lang w:val="en-GB"/>
        </w:rPr>
        <w:tab/>
        <w:t>Correction of defects</w:t>
      </w:r>
      <w:bookmarkEnd w:id="1127"/>
      <w:bookmarkEnd w:id="1128"/>
      <w:bookmarkEnd w:id="1129"/>
      <w:bookmarkEnd w:id="1130"/>
      <w:bookmarkEnd w:id="1131"/>
      <w:bookmarkEnd w:id="1132"/>
      <w:bookmarkEnd w:id="1133"/>
      <w:bookmarkEnd w:id="1134"/>
      <w:bookmarkEnd w:id="1135"/>
      <w:bookmarkEnd w:id="1136"/>
      <w:bookmarkEnd w:id="1137"/>
    </w:p>
    <w:p w14:paraId="356895C0" w14:textId="77777777" w:rsidR="003C356A" w:rsidRPr="00380B40" w:rsidRDefault="003C356A" w:rsidP="003C356A">
      <w:pPr>
        <w:rPr>
          <w:lang w:val="en-GB"/>
        </w:rPr>
      </w:pPr>
      <w:r w:rsidRPr="00380B40">
        <w:rPr>
          <w:b/>
          <w:lang w:val="en-GB"/>
        </w:rPr>
        <w:t>7.1</w:t>
      </w:r>
      <w:r w:rsidRPr="00380B40">
        <w:rPr>
          <w:lang w:val="en-GB"/>
        </w:rPr>
        <w:tab/>
        <w:t>When a study group identifies the need for implementers to be made aware of defects (e.g., typographical errors, editorial errors, ambiguities, omissions or inconsistencies and technical errors) in a Recommendation, one mechanism that may be employed is an implementer's guide. This guide is a historical document recording all identified defects and their status of correction, from their identification to final resolution. Implementer's guides shall be agreed by the study group, or agreed by one of its working parties with the concurrence of the study group chairman. Implementer's guides shall be made available by posting on the ITU</w:t>
      </w:r>
      <w:r w:rsidRPr="00380B40">
        <w:rPr>
          <w:lang w:val="en-GB"/>
        </w:rPr>
        <w:noBreakHyphen/>
        <w:t>T website with open access.</w:t>
      </w:r>
    </w:p>
    <w:p w14:paraId="0845BAF9" w14:textId="77777777" w:rsidR="003C356A" w:rsidRPr="00380B40" w:rsidRDefault="003C356A" w:rsidP="003C356A">
      <w:pPr>
        <w:pStyle w:val="Heading1"/>
        <w:rPr>
          <w:lang w:val="en-GB"/>
        </w:rPr>
      </w:pPr>
      <w:bookmarkStart w:id="1138" w:name="_Toc517487614"/>
      <w:bookmarkStart w:id="1139" w:name="_Toc88460319"/>
      <w:bookmarkStart w:id="1140" w:name="_Toc89575677"/>
      <w:bookmarkStart w:id="1141" w:name="_Toc89575708"/>
      <w:bookmarkStart w:id="1142" w:name="_Toc142900170"/>
      <w:bookmarkStart w:id="1143" w:name="_Toc144196569"/>
      <w:bookmarkStart w:id="1144" w:name="_Toc206496699"/>
      <w:bookmarkStart w:id="1145" w:name="_Toc216844950"/>
      <w:bookmarkStart w:id="1146" w:name="_Toc99031909"/>
      <w:bookmarkStart w:id="1147" w:name="_Toc99550371"/>
      <w:bookmarkStart w:id="1148" w:name="_Toc111636933"/>
      <w:r w:rsidRPr="00380B40">
        <w:rPr>
          <w:lang w:val="en-GB"/>
        </w:rPr>
        <w:t>8</w:t>
      </w:r>
      <w:r w:rsidRPr="00380B40">
        <w:rPr>
          <w:lang w:val="en-GB"/>
        </w:rPr>
        <w:tab/>
        <w:t>Deletion of Recommendations</w:t>
      </w:r>
      <w:bookmarkEnd w:id="1138"/>
      <w:bookmarkEnd w:id="1139"/>
      <w:bookmarkEnd w:id="1140"/>
      <w:bookmarkEnd w:id="1141"/>
      <w:bookmarkEnd w:id="1142"/>
      <w:bookmarkEnd w:id="1143"/>
      <w:bookmarkEnd w:id="1144"/>
      <w:bookmarkEnd w:id="1145"/>
      <w:bookmarkEnd w:id="1146"/>
      <w:bookmarkEnd w:id="1147"/>
      <w:bookmarkEnd w:id="1148"/>
    </w:p>
    <w:p w14:paraId="76229C39" w14:textId="77777777" w:rsidR="003C356A" w:rsidRPr="00380B40" w:rsidRDefault="003C356A" w:rsidP="003C356A">
      <w:pPr>
        <w:rPr>
          <w:lang w:val="en-GB"/>
        </w:rPr>
      </w:pPr>
      <w:r w:rsidRPr="00380B40">
        <w:rPr>
          <w:lang w:val="en-GB"/>
        </w:rPr>
        <w:t>Deletion of Recommendations is specified in clause 9.8 of WTSA Resolution 1 (Rev. Geneva, 2022).</w:t>
      </w:r>
    </w:p>
    <w:p w14:paraId="28D038A2" w14:textId="77777777" w:rsidR="00FC5D97" w:rsidRPr="00380B40" w:rsidRDefault="00FC5D97" w:rsidP="003C356A">
      <w:pPr>
        <w:rPr>
          <w:lang w:val="en-GB"/>
        </w:rPr>
      </w:pPr>
    </w:p>
    <w:p w14:paraId="5719777E" w14:textId="77777777" w:rsidR="00795C3C" w:rsidRPr="00380B40" w:rsidRDefault="00795C3C" w:rsidP="003C356A">
      <w:pPr>
        <w:rPr>
          <w:lang w:val="en-GB"/>
        </w:rPr>
      </w:pPr>
    </w:p>
    <w:p w14:paraId="0709F20C" w14:textId="77777777" w:rsidR="00795C3C" w:rsidRPr="00380B40" w:rsidRDefault="00795C3C" w:rsidP="003C356A">
      <w:pPr>
        <w:rPr>
          <w:lang w:val="en-GB"/>
        </w:rPr>
      </w:pPr>
    </w:p>
    <w:p w14:paraId="23975E99" w14:textId="77777777" w:rsidR="00153048" w:rsidRPr="00380B40" w:rsidRDefault="00153048" w:rsidP="003C356A">
      <w:pPr>
        <w:rPr>
          <w:lang w:val="en-GB"/>
        </w:rPr>
      </w:pPr>
      <w:r w:rsidRPr="00380B40">
        <w:rPr>
          <w:lang w:val="en-GB"/>
        </w:rPr>
        <w:br w:type="page"/>
      </w:r>
    </w:p>
    <w:p w14:paraId="0114DBD1" w14:textId="77777777" w:rsidR="003C356A" w:rsidRPr="00380B40" w:rsidRDefault="003C356A" w:rsidP="003C356A">
      <w:pPr>
        <w:pStyle w:val="Figure"/>
        <w:rPr>
          <w:lang w:val="en-GB"/>
        </w:rPr>
      </w:pPr>
      <w:r w:rsidRPr="00380B40">
        <w:rPr>
          <w:noProof/>
          <w:lang w:val="en-US" w:eastAsia="zh-CN"/>
        </w:rPr>
        <mc:AlternateContent>
          <mc:Choice Requires="wps">
            <w:drawing>
              <wp:anchor distT="0" distB="0" distL="114300" distR="114300" simplePos="0" relativeHeight="251682816" behindDoc="0" locked="0" layoutInCell="1" allowOverlap="1" wp14:anchorId="66A5AE45" wp14:editId="7D1B83F9">
                <wp:simplePos x="0" y="0"/>
                <wp:positionH relativeFrom="column">
                  <wp:posOffset>0</wp:posOffset>
                </wp:positionH>
                <wp:positionV relativeFrom="paragraph">
                  <wp:posOffset>0</wp:posOffset>
                </wp:positionV>
                <wp:extent cx="635000" cy="635000"/>
                <wp:effectExtent l="0" t="0" r="0" b="0"/>
                <wp:wrapNone/>
                <wp:docPr id="1994" name="Rectangle 1994"/>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7C1D7EE" id="Rectangle 1994" o:spid="_x0000_s1026" style="position:absolute;margin-left:0;margin-top:0;width:50pt;height:5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380B40">
        <w:rPr>
          <w:noProof/>
          <w:lang w:val="en-US" w:eastAsia="zh-CN"/>
        </w:rPr>
        <mc:AlternateContent>
          <mc:Choice Requires="wps">
            <w:drawing>
              <wp:anchor distT="0" distB="0" distL="114300" distR="114300" simplePos="0" relativeHeight="251681792" behindDoc="0" locked="0" layoutInCell="1" allowOverlap="1" wp14:anchorId="23A2F1C7" wp14:editId="3D221EC2">
                <wp:simplePos x="0" y="0"/>
                <wp:positionH relativeFrom="column">
                  <wp:posOffset>0</wp:posOffset>
                </wp:positionH>
                <wp:positionV relativeFrom="paragraph">
                  <wp:posOffset>0</wp:posOffset>
                </wp:positionV>
                <wp:extent cx="635000" cy="635000"/>
                <wp:effectExtent l="0" t="0" r="0" b="0"/>
                <wp:wrapNone/>
                <wp:docPr id="1995" name="Rectangle 1995"/>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4049B1D" id="Rectangle 1995" o:spid="_x0000_s1026" style="position:absolute;margin-left:0;margin-top:0;width:50pt;height:5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380B40">
        <w:rPr>
          <w:noProof/>
          <w:lang w:val="en-US" w:eastAsia="zh-CN"/>
        </w:rPr>
        <mc:AlternateContent>
          <mc:Choice Requires="wps">
            <w:drawing>
              <wp:anchor distT="0" distB="0" distL="114300" distR="114300" simplePos="0" relativeHeight="251680768" behindDoc="0" locked="0" layoutInCell="1" allowOverlap="1" wp14:anchorId="6102CC8B" wp14:editId="436DE90E">
                <wp:simplePos x="0" y="0"/>
                <wp:positionH relativeFrom="column">
                  <wp:posOffset>0</wp:posOffset>
                </wp:positionH>
                <wp:positionV relativeFrom="paragraph">
                  <wp:posOffset>0</wp:posOffset>
                </wp:positionV>
                <wp:extent cx="635000" cy="635000"/>
                <wp:effectExtent l="0" t="0" r="0" b="0"/>
                <wp:wrapNone/>
                <wp:docPr id="1996" name="Rectangle 1996"/>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782F517" id="Rectangle 1996" o:spid="_x0000_s1026" style="position:absolute;margin-left:0;margin-top:0;width:50pt;height:5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380B40">
        <w:rPr>
          <w:lang w:val="en-GB"/>
        </w:rPr>
        <w:object w:dxaOrig="8684" w:dyaOrig="3503" w14:anchorId="6A92A1E3">
          <v:shape id="_x0000_i1027" type="#_x0000_t75" style="width:439.5pt;height:172.5pt" o:ole="">
            <v:imagedata r:id="rId391" o:title=""/>
          </v:shape>
          <o:OLEObject Type="Embed" ProgID="CorelDRAW.Graphic.14" ShapeID="_x0000_i1027" DrawAspect="Content" ObjectID="_1724761178" r:id="rId392"/>
        </w:object>
      </w:r>
    </w:p>
    <w:p w14:paraId="277C7E5E" w14:textId="77777777" w:rsidR="003C356A" w:rsidRPr="00380B40" w:rsidRDefault="003C356A" w:rsidP="00FD3C79">
      <w:pPr>
        <w:pStyle w:val="FigureNoTitle1"/>
      </w:pPr>
      <w:r w:rsidRPr="00380B40">
        <w:t>Figure 1 – Sequence of events</w:t>
      </w:r>
    </w:p>
    <w:p w14:paraId="6E08AA8F" w14:textId="77777777" w:rsidR="003C356A" w:rsidRPr="00380B40" w:rsidRDefault="003C356A" w:rsidP="003C356A">
      <w:pPr>
        <w:pStyle w:val="Headingb"/>
        <w:rPr>
          <w:lang w:val="en-GB"/>
        </w:rPr>
      </w:pPr>
      <w:r w:rsidRPr="00380B40">
        <w:rPr>
          <w:lang w:val="en-GB"/>
        </w:rPr>
        <w:t>Notes to Figure 1 – AAP sequence of events</w:t>
      </w:r>
    </w:p>
    <w:p w14:paraId="5D84204D" w14:textId="77777777" w:rsidR="003C356A" w:rsidRPr="00380B40" w:rsidRDefault="003C356A" w:rsidP="003C356A">
      <w:pPr>
        <w:pStyle w:val="enumlev1"/>
        <w:rPr>
          <w:lang w:val="en-GB"/>
        </w:rPr>
      </w:pPr>
      <w:r w:rsidRPr="00380B40">
        <w:rPr>
          <w:lang w:val="en-GB"/>
        </w:rPr>
        <w:t>1)</w:t>
      </w:r>
      <w:r w:rsidRPr="00380B40">
        <w:rPr>
          <w:lang w:val="en-GB"/>
        </w:rPr>
        <w:tab/>
      </w:r>
      <w:r w:rsidRPr="00380B40">
        <w:rPr>
          <w:i/>
          <w:lang w:val="en-GB"/>
        </w:rPr>
        <w:t>SG or WP consent</w:t>
      </w:r>
      <w:r w:rsidRPr="00380B40">
        <w:rPr>
          <w:lang w:val="en-GB"/>
        </w:rPr>
        <w:t xml:space="preserve"> – The study group or working party concludes that the work on a draft Recommendation is sufficiently mature to begin the alternative approval process and to initiate the last call (clause 3.1).</w:t>
      </w:r>
    </w:p>
    <w:p w14:paraId="30D8253B" w14:textId="77777777" w:rsidR="003C356A" w:rsidRPr="00380B40" w:rsidRDefault="003C356A" w:rsidP="003C356A">
      <w:pPr>
        <w:pStyle w:val="enumlev1"/>
        <w:rPr>
          <w:lang w:val="en-GB"/>
        </w:rPr>
      </w:pPr>
      <w:r w:rsidRPr="00380B40">
        <w:rPr>
          <w:lang w:val="en-GB"/>
        </w:rPr>
        <w:t>2)</w:t>
      </w:r>
      <w:r w:rsidRPr="00380B40">
        <w:rPr>
          <w:lang w:val="en-GB"/>
        </w:rPr>
        <w:tab/>
      </w:r>
      <w:r w:rsidRPr="00380B40">
        <w:rPr>
          <w:i/>
          <w:lang w:val="en-GB"/>
        </w:rPr>
        <w:t xml:space="preserve">Edited text available </w:t>
      </w:r>
      <w:r w:rsidRPr="00380B40">
        <w:rPr>
          <w:lang w:val="en-GB"/>
        </w:rPr>
        <w:t>– The final, edited, draft text, including summary, is provided to TSB, and the study group chairman requests the Director to initiate the last call (clause 3.2). Any associated electronic material included in the Recommendation must also be made available to TSB at the same time.</w:t>
      </w:r>
    </w:p>
    <w:p w14:paraId="6F191A8D" w14:textId="77777777" w:rsidR="003C356A" w:rsidRPr="00380B40" w:rsidRDefault="003C356A" w:rsidP="003C356A">
      <w:pPr>
        <w:pStyle w:val="enumlev1"/>
        <w:rPr>
          <w:lang w:val="en-GB"/>
        </w:rPr>
      </w:pPr>
      <w:r w:rsidRPr="00380B40">
        <w:rPr>
          <w:lang w:val="en-GB"/>
        </w:rPr>
        <w:t>3)</w:t>
      </w:r>
      <w:r w:rsidRPr="00380B40">
        <w:rPr>
          <w:lang w:val="en-GB"/>
        </w:rPr>
        <w:tab/>
      </w:r>
      <w:r w:rsidRPr="00380B40">
        <w:rPr>
          <w:i/>
          <w:lang w:val="en-GB"/>
        </w:rPr>
        <w:t xml:space="preserve">Director's last call announcement and posting </w:t>
      </w:r>
      <w:r w:rsidRPr="00380B40">
        <w:rPr>
          <w:lang w:val="en-GB"/>
        </w:rPr>
        <w:t>– The Director announces the beginning of the last call to all Member States, Sector Members and Associates, with reference to the summary and complete text. If the draft Recommendation has not already been electronically posted, it is done at this time (clause 3.1).</w:t>
      </w:r>
    </w:p>
    <w:p w14:paraId="311C966C" w14:textId="77777777" w:rsidR="003C356A" w:rsidRPr="00380B40" w:rsidRDefault="003C356A" w:rsidP="003C356A">
      <w:pPr>
        <w:pStyle w:val="enumlev1"/>
        <w:rPr>
          <w:lang w:val="en-GB"/>
        </w:rPr>
      </w:pPr>
      <w:r w:rsidRPr="00380B40">
        <w:rPr>
          <w:lang w:val="en-GB"/>
        </w:rPr>
        <w:t>4)</w:t>
      </w:r>
      <w:r w:rsidRPr="00380B40">
        <w:rPr>
          <w:lang w:val="en-GB"/>
        </w:rPr>
        <w:tab/>
      </w:r>
      <w:r w:rsidRPr="00380B40">
        <w:rPr>
          <w:i/>
          <w:lang w:val="en-GB"/>
        </w:rPr>
        <w:t>Last call judgement</w:t>
      </w:r>
      <w:r w:rsidRPr="00380B40">
        <w:rPr>
          <w:lang w:val="en-GB"/>
        </w:rPr>
        <w:t xml:space="preserve"> – The study group chairman, in consultation with TSB, makes the judgement whether:</w:t>
      </w:r>
    </w:p>
    <w:p w14:paraId="30C3892C" w14:textId="77777777" w:rsidR="003C356A" w:rsidRPr="00380B40" w:rsidRDefault="003C356A" w:rsidP="003C356A">
      <w:pPr>
        <w:pStyle w:val="enumlev2"/>
        <w:rPr>
          <w:lang w:val="en-GB"/>
        </w:rPr>
      </w:pPr>
      <w:r w:rsidRPr="00380B40">
        <w:rPr>
          <w:lang w:val="en-GB"/>
        </w:rPr>
        <w:t>a)</w:t>
      </w:r>
      <w:r w:rsidRPr="00380B40">
        <w:rPr>
          <w:lang w:val="en-GB"/>
        </w:rPr>
        <w:tab/>
        <w:t>no comments other than those indicating typographical errors have been received. In this case, the Recommendation is considered as approved (clause 4.4.1);</w:t>
      </w:r>
    </w:p>
    <w:p w14:paraId="587231F4" w14:textId="77777777" w:rsidR="003C356A" w:rsidRPr="00380B40" w:rsidRDefault="003C356A" w:rsidP="003C356A">
      <w:pPr>
        <w:pStyle w:val="enumlev2"/>
        <w:rPr>
          <w:lang w:val="en-GB"/>
        </w:rPr>
      </w:pPr>
      <w:r w:rsidRPr="00380B40">
        <w:rPr>
          <w:lang w:val="en-GB"/>
        </w:rPr>
        <w:t>b)</w:t>
      </w:r>
      <w:r w:rsidRPr="00380B40">
        <w:rPr>
          <w:lang w:val="en-GB"/>
        </w:rPr>
        <w:tab/>
        <w:t xml:space="preserve">a planned study group meeting is sufficiently close to consider the comments received (clause 4.4.2); or </w:t>
      </w:r>
    </w:p>
    <w:p w14:paraId="2FF336BB" w14:textId="77777777" w:rsidR="003C356A" w:rsidRPr="00380B40" w:rsidRDefault="003C356A" w:rsidP="003C356A">
      <w:pPr>
        <w:pStyle w:val="enumlev2"/>
        <w:rPr>
          <w:lang w:val="en-GB"/>
        </w:rPr>
      </w:pPr>
      <w:r w:rsidRPr="00380B40">
        <w:rPr>
          <w:lang w:val="en-GB"/>
        </w:rPr>
        <w:t>c)</w:t>
      </w:r>
      <w:r w:rsidRPr="00380B40">
        <w:rPr>
          <w:lang w:val="en-GB"/>
        </w:rPr>
        <w:tab/>
        <w:t>to save time and/or because of the nature and maturity of the work, comment resolution should be initiated leading to the preparation of edited texts (clause 4.4.2).</w:t>
      </w:r>
    </w:p>
    <w:p w14:paraId="20877CA7" w14:textId="77777777" w:rsidR="003C356A" w:rsidRPr="00380B40" w:rsidRDefault="003C356A" w:rsidP="003C356A">
      <w:pPr>
        <w:pStyle w:val="enumlev1"/>
        <w:rPr>
          <w:lang w:val="en-GB"/>
        </w:rPr>
      </w:pPr>
      <w:r w:rsidRPr="00380B40">
        <w:rPr>
          <w:lang w:val="en-GB"/>
        </w:rPr>
        <w:t>5)</w:t>
      </w:r>
      <w:r w:rsidRPr="00380B40">
        <w:rPr>
          <w:lang w:val="en-GB"/>
        </w:rPr>
        <w:tab/>
      </w:r>
      <w:r w:rsidRPr="00380B40">
        <w:rPr>
          <w:i/>
          <w:lang w:val="en-GB"/>
        </w:rPr>
        <w:t>Director's study group announcement and posting</w:t>
      </w:r>
      <w:r w:rsidRPr="00380B40">
        <w:rPr>
          <w:lang w:val="en-GB"/>
        </w:rPr>
        <w:t xml:space="preserve"> – The Director announces that the next study group meeting will consider the draft Recommendation for approval and will include reference to either:</w:t>
      </w:r>
    </w:p>
    <w:p w14:paraId="08C5C88C" w14:textId="77777777" w:rsidR="003C356A" w:rsidRPr="00380B40" w:rsidRDefault="003C356A" w:rsidP="003C356A">
      <w:pPr>
        <w:pStyle w:val="enumlev2"/>
        <w:rPr>
          <w:lang w:val="en-GB"/>
        </w:rPr>
      </w:pPr>
      <w:r w:rsidRPr="00380B40">
        <w:rPr>
          <w:lang w:val="en-GB"/>
        </w:rPr>
        <w:t>a)</w:t>
      </w:r>
      <w:r w:rsidRPr="00380B40">
        <w:rPr>
          <w:lang w:val="en-GB"/>
        </w:rPr>
        <w:tab/>
        <w:t>the draft Recommendation (the edited text (LC) version) plus the comments received from the last call (clause 4.6); or</w:t>
      </w:r>
    </w:p>
    <w:p w14:paraId="26AB46FA" w14:textId="77777777" w:rsidR="003C356A" w:rsidRPr="00380B40" w:rsidRDefault="003C356A" w:rsidP="003C356A">
      <w:pPr>
        <w:pStyle w:val="enumlev2"/>
        <w:rPr>
          <w:lang w:val="en-GB"/>
        </w:rPr>
      </w:pPr>
      <w:r w:rsidRPr="00380B40">
        <w:rPr>
          <w:lang w:val="en-GB"/>
        </w:rPr>
        <w:t>b)</w:t>
      </w:r>
      <w:r w:rsidRPr="00380B40">
        <w:rPr>
          <w:lang w:val="en-GB"/>
        </w:rPr>
        <w:tab/>
        <w:t>if comment resolution has been carried out, the revised draft Recommendation text. If the revised draft Recommendation has not already been electronically posted, it is done at this time (clause 4.6).</w:t>
      </w:r>
    </w:p>
    <w:p w14:paraId="13CEAD6E" w14:textId="77777777" w:rsidR="00FC5D97" w:rsidRPr="00380B40" w:rsidRDefault="00FC5D97" w:rsidP="003C356A">
      <w:pPr>
        <w:pStyle w:val="enumlev1"/>
        <w:rPr>
          <w:lang w:val="en-GB"/>
        </w:rPr>
      </w:pPr>
      <w:r w:rsidRPr="00380B40">
        <w:rPr>
          <w:lang w:val="en-GB"/>
        </w:rPr>
        <w:br w:type="page"/>
      </w:r>
    </w:p>
    <w:p w14:paraId="7AE008CF" w14:textId="77777777" w:rsidR="003C356A" w:rsidRPr="00380B40" w:rsidRDefault="003C356A" w:rsidP="003C356A">
      <w:pPr>
        <w:pStyle w:val="enumlev1"/>
        <w:rPr>
          <w:lang w:val="en-GB"/>
        </w:rPr>
      </w:pPr>
      <w:r w:rsidRPr="00380B40">
        <w:rPr>
          <w:lang w:val="en-GB"/>
        </w:rPr>
        <w:t>6)</w:t>
      </w:r>
      <w:r w:rsidRPr="00380B40">
        <w:rPr>
          <w:lang w:val="en-GB"/>
        </w:rPr>
        <w:tab/>
      </w:r>
      <w:r w:rsidRPr="00380B40">
        <w:rPr>
          <w:i/>
          <w:lang w:val="en-GB"/>
        </w:rPr>
        <w:t xml:space="preserve">Study group decision meeting </w:t>
      </w:r>
      <w:r w:rsidRPr="00380B40">
        <w:rPr>
          <w:lang w:val="en-GB"/>
        </w:rPr>
        <w:t>– The study group meeting reviews and addresses all written comments and either:</w:t>
      </w:r>
    </w:p>
    <w:p w14:paraId="7FBEE1B6" w14:textId="77777777" w:rsidR="003C356A" w:rsidRPr="00380B40" w:rsidRDefault="003C356A" w:rsidP="003C356A">
      <w:pPr>
        <w:pStyle w:val="enumlev2"/>
        <w:rPr>
          <w:lang w:val="en-GB"/>
        </w:rPr>
      </w:pPr>
      <w:r w:rsidRPr="00380B40">
        <w:rPr>
          <w:lang w:val="en-GB"/>
        </w:rPr>
        <w:t>a)</w:t>
      </w:r>
      <w:r w:rsidRPr="00380B40">
        <w:rPr>
          <w:lang w:val="en-GB"/>
        </w:rPr>
        <w:tab/>
        <w:t>proceeds under WTSA Resolution 1 or clause 5.8, as appropriate, if there might be policy or regulatory implications (clause 5.2); or</w:t>
      </w:r>
    </w:p>
    <w:p w14:paraId="58E5EE57" w14:textId="77777777" w:rsidR="003C356A" w:rsidRPr="00380B40" w:rsidRDefault="003C356A" w:rsidP="003C356A">
      <w:pPr>
        <w:pStyle w:val="enumlev2"/>
        <w:rPr>
          <w:lang w:val="en-GB"/>
        </w:rPr>
      </w:pPr>
      <w:r w:rsidRPr="00380B40">
        <w:rPr>
          <w:lang w:val="en-GB"/>
        </w:rPr>
        <w:t>b)</w:t>
      </w:r>
      <w:r w:rsidRPr="00380B40">
        <w:rPr>
          <w:lang w:val="en-GB"/>
        </w:rPr>
        <w:tab/>
        <w:t xml:space="preserve">approves the draft Recommendation (clause 5.3 or 5.4); or </w:t>
      </w:r>
    </w:p>
    <w:p w14:paraId="07F556C0" w14:textId="77777777" w:rsidR="003C356A" w:rsidRPr="00380B40" w:rsidRDefault="003C356A" w:rsidP="003C356A">
      <w:pPr>
        <w:pStyle w:val="enumlev2"/>
        <w:rPr>
          <w:lang w:val="en-GB"/>
        </w:rPr>
      </w:pPr>
      <w:r w:rsidRPr="00380B40">
        <w:rPr>
          <w:lang w:val="en-GB"/>
        </w:rPr>
        <w:t>c)</w:t>
      </w:r>
      <w:r w:rsidRPr="00380B40">
        <w:rPr>
          <w:lang w:val="en-GB"/>
        </w:rPr>
        <w:tab/>
        <w:t>does not approve the draft Recommendation. If it is concluded that a further attempt at addressing comments received is appropriate, then additional work should be done and the process returns to step 2 (without further CONSENT at a working party or study group meeting) (clause 5.8).</w:t>
      </w:r>
    </w:p>
    <w:p w14:paraId="6A0DC0BD" w14:textId="77777777" w:rsidR="003C356A" w:rsidRPr="00380B40" w:rsidRDefault="003C356A" w:rsidP="003C356A">
      <w:pPr>
        <w:pStyle w:val="enumlev1"/>
        <w:rPr>
          <w:lang w:val="en-GB"/>
        </w:rPr>
      </w:pPr>
      <w:r w:rsidRPr="00380B40">
        <w:rPr>
          <w:lang w:val="en-GB"/>
        </w:rPr>
        <w:t>7)</w:t>
      </w:r>
      <w:r w:rsidRPr="00380B40">
        <w:rPr>
          <w:lang w:val="en-GB"/>
        </w:rPr>
        <w:tab/>
        <w:t>Comment resolution – The study group chairman, with assistance from TSB and experts, via electronic correspondence and rapporteur and working party meetings, where appropriate, addresses the comments and prepares a new edited draft Recommendation text (clause 4.4.2).</w:t>
      </w:r>
    </w:p>
    <w:p w14:paraId="2CA80D52" w14:textId="77777777" w:rsidR="003C356A" w:rsidRPr="00380B40" w:rsidRDefault="003C356A" w:rsidP="003C356A">
      <w:pPr>
        <w:pStyle w:val="enumlev1"/>
        <w:rPr>
          <w:lang w:val="en-GB"/>
        </w:rPr>
      </w:pPr>
      <w:r w:rsidRPr="00380B40">
        <w:rPr>
          <w:lang w:val="en-GB"/>
        </w:rPr>
        <w:t>8)</w:t>
      </w:r>
      <w:r w:rsidRPr="00380B40">
        <w:rPr>
          <w:lang w:val="en-GB"/>
        </w:rPr>
        <w:tab/>
        <w:t>Edited text available – The revised edited text, including summary, is provided to TSB (clause 4.4.2).</w:t>
      </w:r>
    </w:p>
    <w:p w14:paraId="4613C387" w14:textId="77777777" w:rsidR="003C356A" w:rsidRPr="00380B40" w:rsidRDefault="003C356A" w:rsidP="003C356A">
      <w:pPr>
        <w:pStyle w:val="enumlev1"/>
        <w:rPr>
          <w:lang w:val="en-GB"/>
        </w:rPr>
      </w:pPr>
      <w:r w:rsidRPr="00380B40">
        <w:rPr>
          <w:lang w:val="en-GB"/>
        </w:rPr>
        <w:t>9)</w:t>
      </w:r>
      <w:r w:rsidRPr="00380B40">
        <w:rPr>
          <w:lang w:val="en-GB"/>
        </w:rPr>
        <w:tab/>
        <w:t>Next step judgement – The study group chairman, in consultation with TSB, makes the judgement whether:</w:t>
      </w:r>
    </w:p>
    <w:p w14:paraId="7F40E97B" w14:textId="77777777" w:rsidR="003C356A" w:rsidRPr="00380B40" w:rsidRDefault="003C356A" w:rsidP="003C356A">
      <w:pPr>
        <w:pStyle w:val="enumlev2"/>
        <w:rPr>
          <w:lang w:val="en-GB"/>
        </w:rPr>
      </w:pPr>
      <w:r w:rsidRPr="00380B40">
        <w:rPr>
          <w:lang w:val="en-GB"/>
        </w:rPr>
        <w:t>a)</w:t>
      </w:r>
      <w:r w:rsidRPr="00380B40">
        <w:rPr>
          <w:lang w:val="en-GB"/>
        </w:rPr>
        <w:tab/>
        <w:t xml:space="preserve">a planned study group meeting is sufficiently close to consider the draft Recommendation for approval (clause 4.4.3 a); or </w:t>
      </w:r>
    </w:p>
    <w:p w14:paraId="784A12E9" w14:textId="77777777" w:rsidR="003C356A" w:rsidRPr="00380B40" w:rsidRDefault="003C356A" w:rsidP="003C356A">
      <w:pPr>
        <w:pStyle w:val="enumlev2"/>
        <w:rPr>
          <w:lang w:val="en-GB"/>
        </w:rPr>
      </w:pPr>
      <w:r w:rsidRPr="00380B40">
        <w:rPr>
          <w:lang w:val="en-GB"/>
        </w:rPr>
        <w:t>b)</w:t>
      </w:r>
      <w:r w:rsidRPr="00380B40">
        <w:rPr>
          <w:lang w:val="en-GB"/>
        </w:rPr>
        <w:tab/>
        <w:t>to save time and/or because of the nature and maturity of the work, an additional review should be initiated (clause 4.4.3 b).</w:t>
      </w:r>
    </w:p>
    <w:p w14:paraId="4CC45EF8" w14:textId="77777777" w:rsidR="003C356A" w:rsidRPr="00380B40" w:rsidRDefault="003C356A" w:rsidP="003C356A">
      <w:pPr>
        <w:pStyle w:val="enumlev1"/>
        <w:rPr>
          <w:lang w:val="en-GB"/>
        </w:rPr>
      </w:pPr>
      <w:r w:rsidRPr="00380B40">
        <w:rPr>
          <w:lang w:val="en-GB"/>
        </w:rPr>
        <w:t>10)</w:t>
      </w:r>
      <w:r w:rsidRPr="00380B40">
        <w:rPr>
          <w:lang w:val="en-GB"/>
        </w:rPr>
        <w:tab/>
      </w:r>
      <w:r w:rsidRPr="00380B40">
        <w:rPr>
          <w:i/>
          <w:lang w:val="en-GB"/>
        </w:rPr>
        <w:t>Director's additional review announcement and posting</w:t>
      </w:r>
      <w:r w:rsidRPr="00380B40">
        <w:rPr>
          <w:lang w:val="en-GB"/>
        </w:rPr>
        <w:t xml:space="preserve"> – The Director announces the beginning of the additional review to all Member States and Sector Members, with reference to the summary and complete text of the revised draft Recommendation. If the revised draft Recommendation has not already been electronically posted, it is done at this time (clause 4.5).</w:t>
      </w:r>
    </w:p>
    <w:p w14:paraId="247C2058" w14:textId="77777777" w:rsidR="003C356A" w:rsidRPr="00380B40" w:rsidRDefault="003C356A" w:rsidP="003C356A">
      <w:pPr>
        <w:pStyle w:val="enumlev1"/>
        <w:rPr>
          <w:lang w:val="en-GB"/>
        </w:rPr>
      </w:pPr>
      <w:r w:rsidRPr="00380B40">
        <w:rPr>
          <w:lang w:val="en-GB"/>
        </w:rPr>
        <w:t>11)</w:t>
      </w:r>
      <w:r w:rsidRPr="00380B40">
        <w:rPr>
          <w:lang w:val="en-GB"/>
        </w:rPr>
        <w:tab/>
      </w:r>
      <w:r w:rsidRPr="00380B40">
        <w:rPr>
          <w:i/>
          <w:lang w:val="en-GB"/>
        </w:rPr>
        <w:t>Additional review judgement</w:t>
      </w:r>
      <w:r w:rsidRPr="00380B40">
        <w:rPr>
          <w:lang w:val="en-GB"/>
        </w:rPr>
        <w:t xml:space="preserve"> – The study group chairman, in consultation with TSB, makes the judgement whether:</w:t>
      </w:r>
    </w:p>
    <w:p w14:paraId="48F1980D" w14:textId="77777777" w:rsidR="003C356A" w:rsidRPr="00380B40" w:rsidRDefault="003C356A" w:rsidP="003C356A">
      <w:pPr>
        <w:pStyle w:val="enumlev2"/>
        <w:rPr>
          <w:lang w:val="en-GB"/>
        </w:rPr>
      </w:pPr>
      <w:r w:rsidRPr="00380B40">
        <w:rPr>
          <w:lang w:val="en-GB"/>
        </w:rPr>
        <w:t>a)</w:t>
      </w:r>
      <w:r w:rsidRPr="00380B40">
        <w:rPr>
          <w:lang w:val="en-GB"/>
        </w:rPr>
        <w:tab/>
        <w:t>no comments other than those indicating typographical errors have been received. In this case, the Recommendation is considered approved (clause 4.5.1); or</w:t>
      </w:r>
    </w:p>
    <w:p w14:paraId="7762FA85" w14:textId="77777777" w:rsidR="003C356A" w:rsidRPr="00380B40" w:rsidRDefault="003C356A" w:rsidP="003C356A">
      <w:pPr>
        <w:pStyle w:val="enumlev2"/>
        <w:rPr>
          <w:lang w:val="en-GB"/>
        </w:rPr>
      </w:pPr>
      <w:r w:rsidRPr="00380B40">
        <w:rPr>
          <w:lang w:val="en-GB"/>
        </w:rPr>
        <w:t>b)</w:t>
      </w:r>
      <w:r w:rsidRPr="00380B40">
        <w:rPr>
          <w:lang w:val="en-GB"/>
        </w:rPr>
        <w:tab/>
        <w:t>comments other than those indicating typographical errors have been received. In this case, the process proceeds to the study group meeting (clause 4.5.2).</w:t>
      </w:r>
    </w:p>
    <w:p w14:paraId="2B31AB51" w14:textId="77777777" w:rsidR="003C356A" w:rsidRPr="00380B40" w:rsidRDefault="003C356A" w:rsidP="003C356A">
      <w:pPr>
        <w:pStyle w:val="enumlev1"/>
        <w:rPr>
          <w:lang w:val="en-GB"/>
        </w:rPr>
      </w:pPr>
      <w:r w:rsidRPr="00380B40">
        <w:rPr>
          <w:lang w:val="en-GB"/>
        </w:rPr>
        <w:t>12)</w:t>
      </w:r>
      <w:r w:rsidRPr="00380B40">
        <w:rPr>
          <w:lang w:val="en-GB"/>
        </w:rPr>
        <w:tab/>
      </w:r>
      <w:r w:rsidRPr="00380B40">
        <w:rPr>
          <w:i/>
          <w:lang w:val="en-GB"/>
        </w:rPr>
        <w:t>Director's notification</w:t>
      </w:r>
      <w:r w:rsidRPr="00380B40">
        <w:rPr>
          <w:lang w:val="en-GB"/>
        </w:rPr>
        <w:t xml:space="preserve"> – The Director notifies the members that the draft Recommendation has been approved (clause 6.1 or 6.2).</w:t>
      </w:r>
    </w:p>
    <w:p w14:paraId="2B860497" w14:textId="77777777" w:rsidR="00FC5D97" w:rsidRPr="00380B40" w:rsidRDefault="00FC5D97" w:rsidP="003C356A">
      <w:pPr>
        <w:pStyle w:val="enumlev1"/>
        <w:rPr>
          <w:lang w:val="en-GB"/>
        </w:rPr>
      </w:pPr>
    </w:p>
    <w:p w14:paraId="4F6AD73E" w14:textId="77777777" w:rsidR="00FC5D97" w:rsidRPr="00380B40" w:rsidRDefault="00FC5D97" w:rsidP="003C356A">
      <w:pPr>
        <w:pStyle w:val="enumlev1"/>
        <w:rPr>
          <w:lang w:val="en-GB"/>
        </w:rPr>
      </w:pPr>
    </w:p>
    <w:p w14:paraId="50D03CD0" w14:textId="77777777" w:rsidR="00FC5D97" w:rsidRPr="00380B40" w:rsidRDefault="00FC5D97" w:rsidP="003C356A">
      <w:pPr>
        <w:pStyle w:val="enumlev1"/>
        <w:rPr>
          <w:lang w:val="en-GB"/>
        </w:rPr>
      </w:pPr>
    </w:p>
    <w:p w14:paraId="5FB9E8DA" w14:textId="77777777" w:rsidR="00FC5D97" w:rsidRPr="00380B40" w:rsidRDefault="00FC5D97" w:rsidP="003C356A">
      <w:pPr>
        <w:pStyle w:val="enumlev1"/>
        <w:rPr>
          <w:lang w:val="en-GB"/>
        </w:rPr>
      </w:pPr>
    </w:p>
    <w:p w14:paraId="7A26E59C" w14:textId="77777777" w:rsidR="00FC5D97" w:rsidRPr="00380B40" w:rsidRDefault="00FC5D97" w:rsidP="003C356A">
      <w:pPr>
        <w:pStyle w:val="enumlev1"/>
        <w:rPr>
          <w:lang w:val="en-GB"/>
        </w:rPr>
      </w:pPr>
    </w:p>
    <w:p w14:paraId="41437986" w14:textId="77777777" w:rsidR="003C356A" w:rsidRPr="00380B40" w:rsidRDefault="003C356A" w:rsidP="008C3E8D">
      <w:pPr>
        <w:pStyle w:val="enumlev1"/>
        <w:rPr>
          <w:lang w:val="en-GB"/>
        </w:rPr>
        <w:sectPr w:rsidR="003C356A" w:rsidRPr="00380B40" w:rsidSect="00944265">
          <w:headerReference w:type="even" r:id="rId393"/>
          <w:headerReference w:type="default" r:id="rId394"/>
          <w:footerReference w:type="even" r:id="rId395"/>
          <w:footerReference w:type="default" r:id="rId396"/>
          <w:footnotePr>
            <w:numRestart w:val="eachSect"/>
          </w:footnotePr>
          <w:pgSz w:w="11907" w:h="16834" w:code="9"/>
          <w:pgMar w:top="1134" w:right="1134" w:bottom="1134" w:left="1134" w:header="567" w:footer="567" w:gutter="0"/>
          <w:paperSrc w:first="15" w:other="15"/>
          <w:cols w:space="720"/>
          <w:vAlign w:val="both"/>
        </w:sectPr>
      </w:pPr>
    </w:p>
    <w:p w14:paraId="5499DA3A" w14:textId="77777777" w:rsidR="009D2170" w:rsidRPr="00380B40" w:rsidRDefault="003C356A" w:rsidP="009D2170">
      <w:pPr>
        <w:pStyle w:val="AnnexNo"/>
      </w:pPr>
      <w:bookmarkStart w:id="1149" w:name="_Toc99031910"/>
      <w:bookmarkStart w:id="1150" w:name="_Toc111636934"/>
      <w:bookmarkStart w:id="1151" w:name="_Toc99550372"/>
      <w:r w:rsidRPr="00380B40">
        <w:t>Annex A</w:t>
      </w:r>
      <w:bookmarkStart w:id="1152" w:name="_Toc99031911"/>
      <w:bookmarkEnd w:id="1149"/>
      <w:bookmarkEnd w:id="1150"/>
    </w:p>
    <w:p w14:paraId="2D55C707" w14:textId="77777777" w:rsidR="003C356A" w:rsidRPr="00380B40" w:rsidRDefault="003C356A" w:rsidP="009D2170">
      <w:pPr>
        <w:pStyle w:val="Annextitle"/>
      </w:pPr>
      <w:r w:rsidRPr="00380B40">
        <w:t>Table of comments</w:t>
      </w:r>
      <w:bookmarkEnd w:id="1151"/>
      <w:bookmarkEnd w:id="1152"/>
    </w:p>
    <w:p w14:paraId="4EC116DB" w14:textId="77777777" w:rsidR="003C356A" w:rsidRPr="00380B40" w:rsidRDefault="003C356A" w:rsidP="004F4C4C">
      <w:pPr>
        <w:pStyle w:val="Normalcenteraligned"/>
      </w:pPr>
      <w:r w:rsidRPr="00380B40">
        <w:t>(This annex forms an integral part of this Recommendation.)</w:t>
      </w:r>
    </w:p>
    <w:p w14:paraId="6096BC0E" w14:textId="77777777" w:rsidR="003C356A" w:rsidRPr="00380B40" w:rsidRDefault="003C356A" w:rsidP="003C356A">
      <w:pPr>
        <w:rPr>
          <w:lang w:val="en-GB"/>
        </w:rPr>
      </w:pPr>
      <w:r w:rsidRPr="00380B40">
        <w:rPr>
          <w:lang w:val="en-GB"/>
        </w:rPr>
        <w:t>Source of comments:</w:t>
      </w:r>
    </w:p>
    <w:tbl>
      <w:tblPr>
        <w:tblpPr w:leftFromText="180" w:rightFromText="180" w:vertAnchor="text" w:horzAnchor="margin" w:tblpXSpec="center" w:tblpY="289"/>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1145"/>
        <w:gridCol w:w="1415"/>
        <w:gridCol w:w="1608"/>
        <w:gridCol w:w="1664"/>
        <w:gridCol w:w="3219"/>
        <w:gridCol w:w="3388"/>
      </w:tblGrid>
      <w:tr w:rsidR="0021355D" w:rsidRPr="004E0F36" w14:paraId="7BAE1FD9" w14:textId="77777777" w:rsidTr="004E4CA9">
        <w:trPr>
          <w:jc w:val="center"/>
        </w:trPr>
        <w:tc>
          <w:tcPr>
            <w:tcW w:w="6285" w:type="dxa"/>
            <w:gridSpan w:val="4"/>
            <w:shd w:val="clear" w:color="auto" w:fill="auto"/>
            <w:vAlign w:val="center"/>
          </w:tcPr>
          <w:p w14:paraId="11B93F87" w14:textId="77777777" w:rsidR="0021355D" w:rsidRPr="00380B40" w:rsidRDefault="0021355D" w:rsidP="00427615">
            <w:pPr>
              <w:pStyle w:val="Tableheadwhitecentred"/>
            </w:pPr>
          </w:p>
        </w:tc>
        <w:tc>
          <w:tcPr>
            <w:tcW w:w="1664" w:type="dxa"/>
            <w:shd w:val="clear" w:color="auto" w:fill="auto"/>
            <w:vAlign w:val="center"/>
          </w:tcPr>
          <w:p w14:paraId="0AC6DABD" w14:textId="77777777" w:rsidR="0021355D" w:rsidRPr="00380B40" w:rsidRDefault="0021355D" w:rsidP="00427615">
            <w:pPr>
              <w:pStyle w:val="Tableheadwhitecentred"/>
            </w:pPr>
            <w:r w:rsidRPr="00380B40">
              <w:t>Date:</w:t>
            </w:r>
            <w:r w:rsidRPr="00380B40">
              <w:br/>
            </w:r>
          </w:p>
        </w:tc>
        <w:tc>
          <w:tcPr>
            <w:tcW w:w="6607" w:type="dxa"/>
            <w:gridSpan w:val="2"/>
            <w:shd w:val="clear" w:color="auto" w:fill="auto"/>
            <w:vAlign w:val="center"/>
          </w:tcPr>
          <w:p w14:paraId="09C23D16" w14:textId="77777777" w:rsidR="0021355D" w:rsidRPr="00380B40" w:rsidRDefault="0021355D" w:rsidP="00427615">
            <w:pPr>
              <w:pStyle w:val="Tableheadwhitecentred"/>
            </w:pPr>
            <w:r w:rsidRPr="00380B40">
              <w:t>Document: Reference number and title</w:t>
            </w:r>
            <w:r w:rsidRPr="00380B40">
              <w:br/>
            </w:r>
          </w:p>
        </w:tc>
      </w:tr>
      <w:tr w:rsidR="003C356A" w:rsidRPr="00380B40" w14:paraId="49E399C2" w14:textId="77777777" w:rsidTr="00DE1739">
        <w:trPr>
          <w:jc w:val="center"/>
        </w:trPr>
        <w:tc>
          <w:tcPr>
            <w:tcW w:w="2117" w:type="dxa"/>
            <w:shd w:val="clear" w:color="auto" w:fill="auto"/>
            <w:vAlign w:val="center"/>
          </w:tcPr>
          <w:p w14:paraId="6208C423" w14:textId="77777777" w:rsidR="003C356A" w:rsidRPr="00380B40" w:rsidRDefault="003C356A" w:rsidP="00427615">
            <w:pPr>
              <w:pStyle w:val="Tableheadwhitecentred"/>
            </w:pPr>
            <w:r w:rsidRPr="00380B40">
              <w:t>Comment number</w:t>
            </w:r>
            <w:r w:rsidRPr="00380B40">
              <w:br/>
              <w:t>(include reference to source of comment)</w:t>
            </w:r>
          </w:p>
        </w:tc>
        <w:tc>
          <w:tcPr>
            <w:tcW w:w="1145" w:type="dxa"/>
            <w:shd w:val="clear" w:color="auto" w:fill="auto"/>
            <w:vAlign w:val="center"/>
          </w:tcPr>
          <w:p w14:paraId="055959BF" w14:textId="77777777" w:rsidR="003C356A" w:rsidRPr="00380B40" w:rsidRDefault="003C356A" w:rsidP="00427615">
            <w:pPr>
              <w:pStyle w:val="Tableheadwhitecentred"/>
            </w:pPr>
            <w:r w:rsidRPr="00380B40">
              <w:t>Comment made by</w:t>
            </w:r>
          </w:p>
        </w:tc>
        <w:tc>
          <w:tcPr>
            <w:tcW w:w="1415" w:type="dxa"/>
            <w:shd w:val="clear" w:color="auto" w:fill="auto"/>
            <w:vAlign w:val="center"/>
          </w:tcPr>
          <w:p w14:paraId="4FD49E7F" w14:textId="77777777" w:rsidR="003C356A" w:rsidRPr="00380B40" w:rsidRDefault="003C356A" w:rsidP="00427615">
            <w:pPr>
              <w:pStyle w:val="Tableheadwhitecentred"/>
            </w:pPr>
            <w:r w:rsidRPr="00380B40">
              <w:t>Clause/</w:t>
            </w:r>
            <w:r w:rsidRPr="00380B40">
              <w:br/>
              <w:t>Subclause</w:t>
            </w:r>
          </w:p>
        </w:tc>
        <w:tc>
          <w:tcPr>
            <w:tcW w:w="1608" w:type="dxa"/>
            <w:shd w:val="clear" w:color="auto" w:fill="auto"/>
            <w:vAlign w:val="center"/>
          </w:tcPr>
          <w:p w14:paraId="2AD14B20" w14:textId="77777777" w:rsidR="003C356A" w:rsidRPr="00380B40" w:rsidRDefault="003C356A" w:rsidP="00427615">
            <w:pPr>
              <w:pStyle w:val="Tableheadwhitecentred"/>
            </w:pPr>
            <w:r w:rsidRPr="00380B40">
              <w:t>Paragraph/</w:t>
            </w:r>
            <w:r w:rsidRPr="00380B40">
              <w:br/>
              <w:t>Figure/</w:t>
            </w:r>
            <w:r w:rsidRPr="00380B40">
              <w:br/>
              <w:t>Table</w:t>
            </w:r>
          </w:p>
        </w:tc>
        <w:tc>
          <w:tcPr>
            <w:tcW w:w="1664" w:type="dxa"/>
            <w:shd w:val="clear" w:color="auto" w:fill="auto"/>
            <w:vAlign w:val="center"/>
          </w:tcPr>
          <w:p w14:paraId="3A3BCE10" w14:textId="77777777" w:rsidR="003C356A" w:rsidRPr="00380B40" w:rsidRDefault="003C356A" w:rsidP="00427615">
            <w:pPr>
              <w:pStyle w:val="Tableheadwhitecentred"/>
            </w:pPr>
            <w:r w:rsidRPr="00380B40">
              <w:t>Type of comment</w:t>
            </w:r>
          </w:p>
          <w:p w14:paraId="235D0193" w14:textId="77777777" w:rsidR="003C356A" w:rsidRPr="00380B40" w:rsidRDefault="003C356A" w:rsidP="00427615">
            <w:pPr>
              <w:pStyle w:val="Tableheadwhitecentred"/>
            </w:pPr>
            <w:r w:rsidRPr="00380B40">
              <w:t>(Ed = editorial</w:t>
            </w:r>
          </w:p>
          <w:p w14:paraId="42121C00" w14:textId="77777777" w:rsidR="003C356A" w:rsidRPr="00380B40" w:rsidRDefault="003C356A" w:rsidP="00427615">
            <w:pPr>
              <w:pStyle w:val="Tableheadwhitecentred"/>
            </w:pPr>
            <w:r w:rsidRPr="00380B40">
              <w:t>Te = technical</w:t>
            </w:r>
          </w:p>
          <w:p w14:paraId="4BC8FD4C" w14:textId="77777777" w:rsidR="003C356A" w:rsidRPr="00380B40" w:rsidRDefault="003C356A" w:rsidP="00427615">
            <w:pPr>
              <w:pStyle w:val="Tableheadwhitecentred"/>
            </w:pPr>
            <w:r w:rsidRPr="00380B40">
              <w:t>Ge = general)</w:t>
            </w:r>
          </w:p>
        </w:tc>
        <w:tc>
          <w:tcPr>
            <w:tcW w:w="3219" w:type="dxa"/>
            <w:shd w:val="clear" w:color="auto" w:fill="auto"/>
            <w:vAlign w:val="center"/>
          </w:tcPr>
          <w:p w14:paraId="78AA2984" w14:textId="77777777" w:rsidR="003C356A" w:rsidRPr="00380B40" w:rsidRDefault="003C356A" w:rsidP="00427615">
            <w:pPr>
              <w:pStyle w:val="Tableheadwhitecentred"/>
            </w:pPr>
            <w:r w:rsidRPr="00380B40">
              <w:t>Comment</w:t>
            </w:r>
          </w:p>
        </w:tc>
        <w:tc>
          <w:tcPr>
            <w:tcW w:w="3388" w:type="dxa"/>
            <w:shd w:val="clear" w:color="auto" w:fill="auto"/>
            <w:vAlign w:val="center"/>
          </w:tcPr>
          <w:p w14:paraId="3307B626" w14:textId="77777777" w:rsidR="003C356A" w:rsidRPr="00380B40" w:rsidRDefault="003C356A" w:rsidP="00427615">
            <w:pPr>
              <w:pStyle w:val="Tableheadwhitecentred"/>
            </w:pPr>
            <w:r w:rsidRPr="00380B40">
              <w:t>Proposed change</w:t>
            </w:r>
          </w:p>
        </w:tc>
      </w:tr>
      <w:tr w:rsidR="003C356A" w:rsidRPr="00380B40" w14:paraId="4916B042" w14:textId="77777777" w:rsidTr="00DE1739">
        <w:trPr>
          <w:jc w:val="center"/>
        </w:trPr>
        <w:tc>
          <w:tcPr>
            <w:tcW w:w="2117" w:type="dxa"/>
            <w:shd w:val="clear" w:color="auto" w:fill="auto"/>
          </w:tcPr>
          <w:p w14:paraId="3B8E8C08" w14:textId="77777777" w:rsidR="003C356A" w:rsidRPr="00380B40" w:rsidRDefault="003C356A" w:rsidP="00D559E0">
            <w:pPr>
              <w:pStyle w:val="Tabletext"/>
              <w:rPr>
                <w:lang w:val="en-GB"/>
              </w:rPr>
            </w:pPr>
          </w:p>
        </w:tc>
        <w:tc>
          <w:tcPr>
            <w:tcW w:w="1145" w:type="dxa"/>
            <w:shd w:val="clear" w:color="auto" w:fill="auto"/>
          </w:tcPr>
          <w:p w14:paraId="669EDF9A" w14:textId="77777777" w:rsidR="003C356A" w:rsidRPr="00380B40" w:rsidRDefault="003C356A" w:rsidP="00D559E0">
            <w:pPr>
              <w:pStyle w:val="Tabletext"/>
              <w:rPr>
                <w:lang w:val="en-GB"/>
              </w:rPr>
            </w:pPr>
          </w:p>
        </w:tc>
        <w:tc>
          <w:tcPr>
            <w:tcW w:w="1415" w:type="dxa"/>
            <w:shd w:val="clear" w:color="auto" w:fill="auto"/>
          </w:tcPr>
          <w:p w14:paraId="77F508D5" w14:textId="77777777" w:rsidR="003C356A" w:rsidRPr="00380B40" w:rsidRDefault="003C356A" w:rsidP="00D559E0">
            <w:pPr>
              <w:pStyle w:val="Tabletext"/>
              <w:rPr>
                <w:lang w:val="en-GB"/>
              </w:rPr>
            </w:pPr>
          </w:p>
        </w:tc>
        <w:tc>
          <w:tcPr>
            <w:tcW w:w="1608" w:type="dxa"/>
            <w:shd w:val="clear" w:color="auto" w:fill="auto"/>
          </w:tcPr>
          <w:p w14:paraId="0E60D72E" w14:textId="77777777" w:rsidR="003C356A" w:rsidRPr="00380B40" w:rsidRDefault="003C356A" w:rsidP="00D559E0">
            <w:pPr>
              <w:pStyle w:val="Tabletext"/>
              <w:rPr>
                <w:lang w:val="en-GB"/>
              </w:rPr>
            </w:pPr>
          </w:p>
        </w:tc>
        <w:tc>
          <w:tcPr>
            <w:tcW w:w="1664" w:type="dxa"/>
            <w:shd w:val="clear" w:color="auto" w:fill="auto"/>
          </w:tcPr>
          <w:p w14:paraId="342BC6AB" w14:textId="77777777" w:rsidR="003C356A" w:rsidRPr="00380B40" w:rsidRDefault="003C356A" w:rsidP="00D559E0">
            <w:pPr>
              <w:pStyle w:val="Tabletext"/>
              <w:rPr>
                <w:lang w:val="en-GB"/>
              </w:rPr>
            </w:pPr>
          </w:p>
        </w:tc>
        <w:tc>
          <w:tcPr>
            <w:tcW w:w="3219" w:type="dxa"/>
            <w:shd w:val="clear" w:color="auto" w:fill="auto"/>
          </w:tcPr>
          <w:p w14:paraId="0E71687D" w14:textId="77777777" w:rsidR="003C356A" w:rsidRPr="00380B40" w:rsidRDefault="003C356A" w:rsidP="00D559E0">
            <w:pPr>
              <w:pStyle w:val="Tabletext"/>
              <w:rPr>
                <w:lang w:val="en-GB"/>
              </w:rPr>
            </w:pPr>
          </w:p>
        </w:tc>
        <w:tc>
          <w:tcPr>
            <w:tcW w:w="3388" w:type="dxa"/>
            <w:shd w:val="clear" w:color="auto" w:fill="auto"/>
          </w:tcPr>
          <w:p w14:paraId="2FC23923" w14:textId="77777777" w:rsidR="003C356A" w:rsidRPr="00380B40" w:rsidRDefault="003C356A" w:rsidP="00D559E0">
            <w:pPr>
              <w:pStyle w:val="Tabletext"/>
              <w:rPr>
                <w:lang w:val="en-GB"/>
              </w:rPr>
            </w:pPr>
          </w:p>
        </w:tc>
      </w:tr>
      <w:tr w:rsidR="003C356A" w:rsidRPr="00380B40" w14:paraId="15529F86" w14:textId="77777777" w:rsidTr="00DE1739">
        <w:trPr>
          <w:jc w:val="center"/>
        </w:trPr>
        <w:tc>
          <w:tcPr>
            <w:tcW w:w="2117" w:type="dxa"/>
            <w:shd w:val="clear" w:color="auto" w:fill="auto"/>
          </w:tcPr>
          <w:p w14:paraId="0674A4D4" w14:textId="77777777" w:rsidR="003C356A" w:rsidRPr="00380B40" w:rsidRDefault="003C356A" w:rsidP="00D559E0">
            <w:pPr>
              <w:pStyle w:val="Tabletext"/>
              <w:rPr>
                <w:lang w:val="en-GB"/>
              </w:rPr>
            </w:pPr>
          </w:p>
        </w:tc>
        <w:tc>
          <w:tcPr>
            <w:tcW w:w="1145" w:type="dxa"/>
            <w:shd w:val="clear" w:color="auto" w:fill="auto"/>
          </w:tcPr>
          <w:p w14:paraId="43E40C1E" w14:textId="77777777" w:rsidR="003C356A" w:rsidRPr="00380B40" w:rsidRDefault="003C356A" w:rsidP="00D559E0">
            <w:pPr>
              <w:pStyle w:val="Tabletext"/>
              <w:rPr>
                <w:lang w:val="en-GB"/>
              </w:rPr>
            </w:pPr>
          </w:p>
        </w:tc>
        <w:tc>
          <w:tcPr>
            <w:tcW w:w="1415" w:type="dxa"/>
            <w:shd w:val="clear" w:color="auto" w:fill="auto"/>
          </w:tcPr>
          <w:p w14:paraId="1EB1B018" w14:textId="77777777" w:rsidR="003C356A" w:rsidRPr="00380B40" w:rsidRDefault="003C356A" w:rsidP="00D559E0">
            <w:pPr>
              <w:pStyle w:val="Tabletext"/>
              <w:rPr>
                <w:lang w:val="en-GB"/>
              </w:rPr>
            </w:pPr>
          </w:p>
        </w:tc>
        <w:tc>
          <w:tcPr>
            <w:tcW w:w="1608" w:type="dxa"/>
            <w:shd w:val="clear" w:color="auto" w:fill="auto"/>
          </w:tcPr>
          <w:p w14:paraId="21BD505A" w14:textId="77777777" w:rsidR="003C356A" w:rsidRPr="00380B40" w:rsidRDefault="003C356A" w:rsidP="00D559E0">
            <w:pPr>
              <w:pStyle w:val="Tabletext"/>
              <w:rPr>
                <w:lang w:val="en-GB"/>
              </w:rPr>
            </w:pPr>
          </w:p>
        </w:tc>
        <w:tc>
          <w:tcPr>
            <w:tcW w:w="1664" w:type="dxa"/>
            <w:shd w:val="clear" w:color="auto" w:fill="auto"/>
          </w:tcPr>
          <w:p w14:paraId="76C0590B" w14:textId="77777777" w:rsidR="003C356A" w:rsidRPr="00380B40" w:rsidRDefault="003C356A" w:rsidP="00D559E0">
            <w:pPr>
              <w:pStyle w:val="Tabletext"/>
              <w:rPr>
                <w:lang w:val="en-GB"/>
              </w:rPr>
            </w:pPr>
          </w:p>
        </w:tc>
        <w:tc>
          <w:tcPr>
            <w:tcW w:w="3219" w:type="dxa"/>
            <w:shd w:val="clear" w:color="auto" w:fill="auto"/>
          </w:tcPr>
          <w:p w14:paraId="4C24FEB8" w14:textId="77777777" w:rsidR="003C356A" w:rsidRPr="00380B40" w:rsidRDefault="003C356A" w:rsidP="00D559E0">
            <w:pPr>
              <w:pStyle w:val="Tabletext"/>
              <w:rPr>
                <w:lang w:val="en-GB"/>
              </w:rPr>
            </w:pPr>
          </w:p>
        </w:tc>
        <w:tc>
          <w:tcPr>
            <w:tcW w:w="3388" w:type="dxa"/>
            <w:shd w:val="clear" w:color="auto" w:fill="auto"/>
          </w:tcPr>
          <w:p w14:paraId="424CBF45" w14:textId="77777777" w:rsidR="003C356A" w:rsidRPr="00380B40" w:rsidRDefault="003C356A" w:rsidP="00D559E0">
            <w:pPr>
              <w:pStyle w:val="Tabletext"/>
              <w:rPr>
                <w:lang w:val="en-GB"/>
              </w:rPr>
            </w:pPr>
          </w:p>
        </w:tc>
      </w:tr>
      <w:tr w:rsidR="003C356A" w:rsidRPr="00380B40" w14:paraId="35F315E3" w14:textId="77777777" w:rsidTr="00DE1739">
        <w:trPr>
          <w:jc w:val="center"/>
        </w:trPr>
        <w:tc>
          <w:tcPr>
            <w:tcW w:w="2117" w:type="dxa"/>
            <w:shd w:val="clear" w:color="auto" w:fill="auto"/>
          </w:tcPr>
          <w:p w14:paraId="1DBE88E9" w14:textId="77777777" w:rsidR="003C356A" w:rsidRPr="00380B40" w:rsidRDefault="003C356A" w:rsidP="00D559E0">
            <w:pPr>
              <w:pStyle w:val="Tabletext"/>
              <w:rPr>
                <w:lang w:val="en-GB"/>
              </w:rPr>
            </w:pPr>
          </w:p>
        </w:tc>
        <w:tc>
          <w:tcPr>
            <w:tcW w:w="1145" w:type="dxa"/>
            <w:shd w:val="clear" w:color="auto" w:fill="auto"/>
          </w:tcPr>
          <w:p w14:paraId="31971316" w14:textId="77777777" w:rsidR="003C356A" w:rsidRPr="00380B40" w:rsidRDefault="003C356A" w:rsidP="00D559E0">
            <w:pPr>
              <w:pStyle w:val="Tabletext"/>
              <w:rPr>
                <w:lang w:val="en-GB"/>
              </w:rPr>
            </w:pPr>
          </w:p>
        </w:tc>
        <w:tc>
          <w:tcPr>
            <w:tcW w:w="1415" w:type="dxa"/>
            <w:shd w:val="clear" w:color="auto" w:fill="auto"/>
          </w:tcPr>
          <w:p w14:paraId="0BC3EE90" w14:textId="77777777" w:rsidR="003C356A" w:rsidRPr="00380B40" w:rsidRDefault="003C356A" w:rsidP="00D559E0">
            <w:pPr>
              <w:pStyle w:val="Tabletext"/>
              <w:rPr>
                <w:lang w:val="en-GB"/>
              </w:rPr>
            </w:pPr>
          </w:p>
        </w:tc>
        <w:tc>
          <w:tcPr>
            <w:tcW w:w="1608" w:type="dxa"/>
            <w:shd w:val="clear" w:color="auto" w:fill="auto"/>
          </w:tcPr>
          <w:p w14:paraId="76A3CD4C" w14:textId="77777777" w:rsidR="003C356A" w:rsidRPr="00380B40" w:rsidRDefault="003C356A" w:rsidP="00D559E0">
            <w:pPr>
              <w:pStyle w:val="Tabletext"/>
              <w:rPr>
                <w:lang w:val="en-GB"/>
              </w:rPr>
            </w:pPr>
          </w:p>
        </w:tc>
        <w:tc>
          <w:tcPr>
            <w:tcW w:w="1664" w:type="dxa"/>
            <w:shd w:val="clear" w:color="auto" w:fill="auto"/>
          </w:tcPr>
          <w:p w14:paraId="0507C54A" w14:textId="77777777" w:rsidR="003C356A" w:rsidRPr="00380B40" w:rsidRDefault="003C356A" w:rsidP="00D559E0">
            <w:pPr>
              <w:pStyle w:val="Tabletext"/>
              <w:rPr>
                <w:lang w:val="en-GB"/>
              </w:rPr>
            </w:pPr>
          </w:p>
        </w:tc>
        <w:tc>
          <w:tcPr>
            <w:tcW w:w="3219" w:type="dxa"/>
            <w:shd w:val="clear" w:color="auto" w:fill="auto"/>
          </w:tcPr>
          <w:p w14:paraId="162851EC" w14:textId="77777777" w:rsidR="003C356A" w:rsidRPr="00380B40" w:rsidRDefault="003C356A" w:rsidP="00D559E0">
            <w:pPr>
              <w:pStyle w:val="Tabletext"/>
              <w:rPr>
                <w:lang w:val="en-GB"/>
              </w:rPr>
            </w:pPr>
          </w:p>
        </w:tc>
        <w:tc>
          <w:tcPr>
            <w:tcW w:w="3388" w:type="dxa"/>
            <w:shd w:val="clear" w:color="auto" w:fill="auto"/>
          </w:tcPr>
          <w:p w14:paraId="23DB7A64" w14:textId="77777777" w:rsidR="003C356A" w:rsidRPr="00380B40" w:rsidRDefault="003C356A" w:rsidP="00D559E0">
            <w:pPr>
              <w:pStyle w:val="Tabletext"/>
              <w:rPr>
                <w:lang w:val="en-GB"/>
              </w:rPr>
            </w:pPr>
          </w:p>
        </w:tc>
      </w:tr>
      <w:tr w:rsidR="003C356A" w:rsidRPr="00380B40" w14:paraId="794348CB" w14:textId="77777777" w:rsidTr="00DE1739">
        <w:trPr>
          <w:jc w:val="center"/>
        </w:trPr>
        <w:tc>
          <w:tcPr>
            <w:tcW w:w="2117" w:type="dxa"/>
            <w:shd w:val="clear" w:color="auto" w:fill="auto"/>
          </w:tcPr>
          <w:p w14:paraId="499B6AD9" w14:textId="77777777" w:rsidR="003C356A" w:rsidRPr="00380B40" w:rsidRDefault="003C356A" w:rsidP="00D559E0">
            <w:pPr>
              <w:pStyle w:val="Tabletext"/>
              <w:rPr>
                <w:lang w:val="en-GB"/>
              </w:rPr>
            </w:pPr>
          </w:p>
        </w:tc>
        <w:tc>
          <w:tcPr>
            <w:tcW w:w="1145" w:type="dxa"/>
            <w:shd w:val="clear" w:color="auto" w:fill="auto"/>
          </w:tcPr>
          <w:p w14:paraId="6A5EE850" w14:textId="77777777" w:rsidR="003C356A" w:rsidRPr="00380B40" w:rsidRDefault="003C356A" w:rsidP="00D559E0">
            <w:pPr>
              <w:pStyle w:val="Tabletext"/>
              <w:rPr>
                <w:lang w:val="en-GB"/>
              </w:rPr>
            </w:pPr>
          </w:p>
        </w:tc>
        <w:tc>
          <w:tcPr>
            <w:tcW w:w="1415" w:type="dxa"/>
            <w:shd w:val="clear" w:color="auto" w:fill="auto"/>
          </w:tcPr>
          <w:p w14:paraId="56032AF7" w14:textId="77777777" w:rsidR="003C356A" w:rsidRPr="00380B40" w:rsidRDefault="003C356A" w:rsidP="00D559E0">
            <w:pPr>
              <w:pStyle w:val="Tabletext"/>
              <w:rPr>
                <w:lang w:val="en-GB"/>
              </w:rPr>
            </w:pPr>
          </w:p>
        </w:tc>
        <w:tc>
          <w:tcPr>
            <w:tcW w:w="1608" w:type="dxa"/>
            <w:shd w:val="clear" w:color="auto" w:fill="auto"/>
          </w:tcPr>
          <w:p w14:paraId="529420C4" w14:textId="77777777" w:rsidR="003C356A" w:rsidRPr="00380B40" w:rsidRDefault="003C356A" w:rsidP="00D559E0">
            <w:pPr>
              <w:pStyle w:val="Tabletext"/>
              <w:rPr>
                <w:lang w:val="en-GB"/>
              </w:rPr>
            </w:pPr>
          </w:p>
        </w:tc>
        <w:tc>
          <w:tcPr>
            <w:tcW w:w="1664" w:type="dxa"/>
            <w:shd w:val="clear" w:color="auto" w:fill="auto"/>
          </w:tcPr>
          <w:p w14:paraId="17B9F3A5" w14:textId="77777777" w:rsidR="003C356A" w:rsidRPr="00380B40" w:rsidRDefault="003C356A" w:rsidP="00D559E0">
            <w:pPr>
              <w:pStyle w:val="Tabletext"/>
              <w:rPr>
                <w:lang w:val="en-GB"/>
              </w:rPr>
            </w:pPr>
          </w:p>
        </w:tc>
        <w:tc>
          <w:tcPr>
            <w:tcW w:w="3219" w:type="dxa"/>
            <w:shd w:val="clear" w:color="auto" w:fill="auto"/>
          </w:tcPr>
          <w:p w14:paraId="53C4BEC2" w14:textId="77777777" w:rsidR="003C356A" w:rsidRPr="00380B40" w:rsidRDefault="003C356A" w:rsidP="00D559E0">
            <w:pPr>
              <w:pStyle w:val="Tabletext"/>
              <w:rPr>
                <w:lang w:val="en-GB"/>
              </w:rPr>
            </w:pPr>
          </w:p>
        </w:tc>
        <w:tc>
          <w:tcPr>
            <w:tcW w:w="3388" w:type="dxa"/>
            <w:shd w:val="clear" w:color="auto" w:fill="auto"/>
          </w:tcPr>
          <w:p w14:paraId="3DD6ECB2" w14:textId="77777777" w:rsidR="003C356A" w:rsidRPr="00380B40" w:rsidRDefault="003C356A" w:rsidP="00D559E0">
            <w:pPr>
              <w:pStyle w:val="Tabletext"/>
              <w:rPr>
                <w:lang w:val="en-GB"/>
              </w:rPr>
            </w:pPr>
          </w:p>
        </w:tc>
      </w:tr>
      <w:tr w:rsidR="003C356A" w:rsidRPr="00380B40" w14:paraId="23F25708" w14:textId="77777777" w:rsidTr="00DE1739">
        <w:trPr>
          <w:jc w:val="center"/>
        </w:trPr>
        <w:tc>
          <w:tcPr>
            <w:tcW w:w="2117" w:type="dxa"/>
            <w:shd w:val="clear" w:color="auto" w:fill="auto"/>
          </w:tcPr>
          <w:p w14:paraId="254C95AC" w14:textId="77777777" w:rsidR="003C356A" w:rsidRPr="00380B40" w:rsidRDefault="003C356A" w:rsidP="00D559E0">
            <w:pPr>
              <w:pStyle w:val="Tabletext"/>
              <w:rPr>
                <w:lang w:val="en-GB"/>
              </w:rPr>
            </w:pPr>
          </w:p>
        </w:tc>
        <w:tc>
          <w:tcPr>
            <w:tcW w:w="1145" w:type="dxa"/>
            <w:shd w:val="clear" w:color="auto" w:fill="auto"/>
          </w:tcPr>
          <w:p w14:paraId="0616C021" w14:textId="77777777" w:rsidR="003C356A" w:rsidRPr="00380B40" w:rsidRDefault="003C356A" w:rsidP="00D559E0">
            <w:pPr>
              <w:pStyle w:val="Tabletext"/>
              <w:rPr>
                <w:lang w:val="en-GB"/>
              </w:rPr>
            </w:pPr>
          </w:p>
        </w:tc>
        <w:tc>
          <w:tcPr>
            <w:tcW w:w="1415" w:type="dxa"/>
            <w:shd w:val="clear" w:color="auto" w:fill="auto"/>
          </w:tcPr>
          <w:p w14:paraId="31D560E5" w14:textId="77777777" w:rsidR="003C356A" w:rsidRPr="00380B40" w:rsidRDefault="003C356A" w:rsidP="00D559E0">
            <w:pPr>
              <w:pStyle w:val="Tabletext"/>
              <w:rPr>
                <w:lang w:val="en-GB"/>
              </w:rPr>
            </w:pPr>
          </w:p>
        </w:tc>
        <w:tc>
          <w:tcPr>
            <w:tcW w:w="1608" w:type="dxa"/>
            <w:shd w:val="clear" w:color="auto" w:fill="auto"/>
          </w:tcPr>
          <w:p w14:paraId="61F2FFCA" w14:textId="77777777" w:rsidR="003C356A" w:rsidRPr="00380B40" w:rsidRDefault="003C356A" w:rsidP="00D559E0">
            <w:pPr>
              <w:pStyle w:val="Tabletext"/>
              <w:rPr>
                <w:lang w:val="en-GB"/>
              </w:rPr>
            </w:pPr>
          </w:p>
        </w:tc>
        <w:tc>
          <w:tcPr>
            <w:tcW w:w="1664" w:type="dxa"/>
            <w:shd w:val="clear" w:color="auto" w:fill="auto"/>
          </w:tcPr>
          <w:p w14:paraId="424BD6FA" w14:textId="77777777" w:rsidR="003C356A" w:rsidRPr="00380B40" w:rsidRDefault="003C356A" w:rsidP="00D559E0">
            <w:pPr>
              <w:pStyle w:val="Tabletext"/>
              <w:rPr>
                <w:lang w:val="en-GB"/>
              </w:rPr>
            </w:pPr>
          </w:p>
        </w:tc>
        <w:tc>
          <w:tcPr>
            <w:tcW w:w="3219" w:type="dxa"/>
            <w:shd w:val="clear" w:color="auto" w:fill="auto"/>
          </w:tcPr>
          <w:p w14:paraId="7283128E" w14:textId="77777777" w:rsidR="003C356A" w:rsidRPr="00380B40" w:rsidRDefault="003C356A" w:rsidP="00D559E0">
            <w:pPr>
              <w:pStyle w:val="Tabletext"/>
              <w:rPr>
                <w:lang w:val="en-GB"/>
              </w:rPr>
            </w:pPr>
          </w:p>
        </w:tc>
        <w:tc>
          <w:tcPr>
            <w:tcW w:w="3388" w:type="dxa"/>
            <w:shd w:val="clear" w:color="auto" w:fill="auto"/>
          </w:tcPr>
          <w:p w14:paraId="296BB458" w14:textId="77777777" w:rsidR="003C356A" w:rsidRPr="00380B40" w:rsidRDefault="003C356A" w:rsidP="00D559E0">
            <w:pPr>
              <w:pStyle w:val="Tabletext"/>
              <w:rPr>
                <w:lang w:val="en-GB"/>
              </w:rPr>
            </w:pPr>
          </w:p>
        </w:tc>
      </w:tr>
      <w:tr w:rsidR="003C356A" w:rsidRPr="00380B40" w14:paraId="65CE9911" w14:textId="77777777" w:rsidTr="00DE1739">
        <w:trPr>
          <w:jc w:val="center"/>
        </w:trPr>
        <w:tc>
          <w:tcPr>
            <w:tcW w:w="2117" w:type="dxa"/>
            <w:shd w:val="clear" w:color="auto" w:fill="auto"/>
          </w:tcPr>
          <w:p w14:paraId="23019730" w14:textId="77777777" w:rsidR="003C356A" w:rsidRPr="00380B40" w:rsidRDefault="003C356A" w:rsidP="00D559E0">
            <w:pPr>
              <w:pStyle w:val="Tabletext"/>
              <w:rPr>
                <w:lang w:val="en-GB"/>
              </w:rPr>
            </w:pPr>
          </w:p>
        </w:tc>
        <w:tc>
          <w:tcPr>
            <w:tcW w:w="1145" w:type="dxa"/>
            <w:shd w:val="clear" w:color="auto" w:fill="auto"/>
          </w:tcPr>
          <w:p w14:paraId="0F11D8A5" w14:textId="77777777" w:rsidR="003C356A" w:rsidRPr="00380B40" w:rsidRDefault="003C356A" w:rsidP="00D559E0">
            <w:pPr>
              <w:pStyle w:val="Tabletext"/>
              <w:rPr>
                <w:lang w:val="en-GB"/>
              </w:rPr>
            </w:pPr>
          </w:p>
        </w:tc>
        <w:tc>
          <w:tcPr>
            <w:tcW w:w="1415" w:type="dxa"/>
            <w:shd w:val="clear" w:color="auto" w:fill="auto"/>
          </w:tcPr>
          <w:p w14:paraId="3AB0DB01" w14:textId="77777777" w:rsidR="003C356A" w:rsidRPr="00380B40" w:rsidRDefault="003C356A" w:rsidP="00D559E0">
            <w:pPr>
              <w:pStyle w:val="Tabletext"/>
              <w:rPr>
                <w:lang w:val="en-GB"/>
              </w:rPr>
            </w:pPr>
          </w:p>
        </w:tc>
        <w:tc>
          <w:tcPr>
            <w:tcW w:w="1608" w:type="dxa"/>
            <w:shd w:val="clear" w:color="auto" w:fill="auto"/>
          </w:tcPr>
          <w:p w14:paraId="2DCE7D85" w14:textId="77777777" w:rsidR="003C356A" w:rsidRPr="00380B40" w:rsidRDefault="003C356A" w:rsidP="00D559E0">
            <w:pPr>
              <w:pStyle w:val="Tabletext"/>
              <w:rPr>
                <w:lang w:val="en-GB"/>
              </w:rPr>
            </w:pPr>
          </w:p>
        </w:tc>
        <w:tc>
          <w:tcPr>
            <w:tcW w:w="1664" w:type="dxa"/>
            <w:shd w:val="clear" w:color="auto" w:fill="auto"/>
          </w:tcPr>
          <w:p w14:paraId="65B22E15" w14:textId="77777777" w:rsidR="003C356A" w:rsidRPr="00380B40" w:rsidRDefault="003C356A" w:rsidP="00D559E0">
            <w:pPr>
              <w:pStyle w:val="Tabletext"/>
              <w:rPr>
                <w:lang w:val="en-GB"/>
              </w:rPr>
            </w:pPr>
          </w:p>
        </w:tc>
        <w:tc>
          <w:tcPr>
            <w:tcW w:w="3219" w:type="dxa"/>
            <w:shd w:val="clear" w:color="auto" w:fill="auto"/>
          </w:tcPr>
          <w:p w14:paraId="7F9EC280" w14:textId="77777777" w:rsidR="003C356A" w:rsidRPr="00380B40" w:rsidRDefault="003C356A" w:rsidP="00D559E0">
            <w:pPr>
              <w:pStyle w:val="Tabletext"/>
              <w:rPr>
                <w:lang w:val="en-GB"/>
              </w:rPr>
            </w:pPr>
          </w:p>
        </w:tc>
        <w:tc>
          <w:tcPr>
            <w:tcW w:w="3388" w:type="dxa"/>
            <w:shd w:val="clear" w:color="auto" w:fill="auto"/>
          </w:tcPr>
          <w:p w14:paraId="0898B7C4" w14:textId="77777777" w:rsidR="003C356A" w:rsidRPr="00380B40" w:rsidRDefault="003C356A" w:rsidP="00D559E0">
            <w:pPr>
              <w:pStyle w:val="Tabletext"/>
              <w:rPr>
                <w:lang w:val="en-GB"/>
              </w:rPr>
            </w:pPr>
          </w:p>
        </w:tc>
      </w:tr>
      <w:tr w:rsidR="003C356A" w:rsidRPr="00380B40" w14:paraId="07232021" w14:textId="77777777" w:rsidTr="00DE1739">
        <w:trPr>
          <w:jc w:val="center"/>
        </w:trPr>
        <w:tc>
          <w:tcPr>
            <w:tcW w:w="2117" w:type="dxa"/>
            <w:shd w:val="clear" w:color="auto" w:fill="auto"/>
          </w:tcPr>
          <w:p w14:paraId="41D30A3A" w14:textId="77777777" w:rsidR="003C356A" w:rsidRPr="00380B40" w:rsidRDefault="003C356A" w:rsidP="00D559E0">
            <w:pPr>
              <w:pStyle w:val="Tabletext"/>
              <w:rPr>
                <w:lang w:val="en-GB"/>
              </w:rPr>
            </w:pPr>
          </w:p>
        </w:tc>
        <w:tc>
          <w:tcPr>
            <w:tcW w:w="1145" w:type="dxa"/>
            <w:shd w:val="clear" w:color="auto" w:fill="auto"/>
          </w:tcPr>
          <w:p w14:paraId="583C1FDF" w14:textId="77777777" w:rsidR="003C356A" w:rsidRPr="00380B40" w:rsidRDefault="003C356A" w:rsidP="00D559E0">
            <w:pPr>
              <w:pStyle w:val="Tabletext"/>
              <w:rPr>
                <w:lang w:val="en-GB"/>
              </w:rPr>
            </w:pPr>
          </w:p>
        </w:tc>
        <w:tc>
          <w:tcPr>
            <w:tcW w:w="1415" w:type="dxa"/>
            <w:shd w:val="clear" w:color="auto" w:fill="auto"/>
          </w:tcPr>
          <w:p w14:paraId="159F8ED2" w14:textId="77777777" w:rsidR="003C356A" w:rsidRPr="00380B40" w:rsidRDefault="003C356A" w:rsidP="00D559E0">
            <w:pPr>
              <w:pStyle w:val="Tabletext"/>
              <w:rPr>
                <w:lang w:val="en-GB"/>
              </w:rPr>
            </w:pPr>
          </w:p>
        </w:tc>
        <w:tc>
          <w:tcPr>
            <w:tcW w:w="1608" w:type="dxa"/>
            <w:shd w:val="clear" w:color="auto" w:fill="auto"/>
          </w:tcPr>
          <w:p w14:paraId="2536DBD8" w14:textId="77777777" w:rsidR="003C356A" w:rsidRPr="00380B40" w:rsidRDefault="003C356A" w:rsidP="00D559E0">
            <w:pPr>
              <w:pStyle w:val="Tabletext"/>
              <w:rPr>
                <w:lang w:val="en-GB"/>
              </w:rPr>
            </w:pPr>
          </w:p>
        </w:tc>
        <w:tc>
          <w:tcPr>
            <w:tcW w:w="1664" w:type="dxa"/>
            <w:shd w:val="clear" w:color="auto" w:fill="auto"/>
          </w:tcPr>
          <w:p w14:paraId="449CA0DF" w14:textId="77777777" w:rsidR="003C356A" w:rsidRPr="00380B40" w:rsidRDefault="003C356A" w:rsidP="00D559E0">
            <w:pPr>
              <w:pStyle w:val="Tabletext"/>
              <w:rPr>
                <w:lang w:val="en-GB"/>
              </w:rPr>
            </w:pPr>
          </w:p>
        </w:tc>
        <w:tc>
          <w:tcPr>
            <w:tcW w:w="3219" w:type="dxa"/>
            <w:shd w:val="clear" w:color="auto" w:fill="auto"/>
          </w:tcPr>
          <w:p w14:paraId="47D455B7" w14:textId="77777777" w:rsidR="003C356A" w:rsidRPr="00380B40" w:rsidRDefault="003C356A" w:rsidP="00D559E0">
            <w:pPr>
              <w:pStyle w:val="Tabletext"/>
              <w:rPr>
                <w:lang w:val="en-GB"/>
              </w:rPr>
            </w:pPr>
          </w:p>
        </w:tc>
        <w:tc>
          <w:tcPr>
            <w:tcW w:w="3388" w:type="dxa"/>
            <w:shd w:val="clear" w:color="auto" w:fill="auto"/>
          </w:tcPr>
          <w:p w14:paraId="37E92AFE" w14:textId="77777777" w:rsidR="003C356A" w:rsidRPr="00380B40" w:rsidRDefault="003C356A" w:rsidP="00D559E0">
            <w:pPr>
              <w:pStyle w:val="Tabletext"/>
              <w:rPr>
                <w:lang w:val="en-GB"/>
              </w:rPr>
            </w:pPr>
          </w:p>
        </w:tc>
      </w:tr>
    </w:tbl>
    <w:p w14:paraId="69943AE6" w14:textId="77777777" w:rsidR="003C356A" w:rsidRPr="00380B40" w:rsidRDefault="003C356A" w:rsidP="003C356A">
      <w:pPr>
        <w:pStyle w:val="Reasons"/>
      </w:pPr>
    </w:p>
    <w:p w14:paraId="76A46A22" w14:textId="77777777" w:rsidR="003C356A" w:rsidRPr="00380B40" w:rsidRDefault="003C356A" w:rsidP="008C3E8D">
      <w:pPr>
        <w:pStyle w:val="enumlev1"/>
        <w:rPr>
          <w:lang w:val="en-GB"/>
        </w:rPr>
      </w:pPr>
    </w:p>
    <w:p w14:paraId="1C889FBA" w14:textId="77777777" w:rsidR="007E52B2" w:rsidRPr="00380B40" w:rsidRDefault="007E52B2" w:rsidP="008C3E8D">
      <w:pPr>
        <w:pStyle w:val="enumlev1"/>
        <w:rPr>
          <w:lang w:val="en-GB"/>
        </w:rPr>
        <w:sectPr w:rsidR="007E52B2" w:rsidRPr="00380B40" w:rsidSect="003C356A">
          <w:headerReference w:type="default" r:id="rId397"/>
          <w:footerReference w:type="default" r:id="rId398"/>
          <w:footnotePr>
            <w:numRestart w:val="eachSect"/>
          </w:footnotePr>
          <w:pgSz w:w="16834" w:h="11907" w:orient="landscape" w:code="9"/>
          <w:pgMar w:top="1134" w:right="1134" w:bottom="1134" w:left="1134" w:header="567" w:footer="567" w:gutter="0"/>
          <w:paperSrc w:first="261" w:other="261"/>
          <w:cols w:space="720"/>
          <w:vAlign w:val="both"/>
        </w:sectPr>
      </w:pPr>
    </w:p>
    <w:p w14:paraId="40646256" w14:textId="77777777" w:rsidR="007E52B2" w:rsidRPr="00380B40" w:rsidRDefault="007E52B2" w:rsidP="008C3E8D">
      <w:pPr>
        <w:pStyle w:val="RecNo"/>
        <w:rPr>
          <w:lang w:val="en-GB"/>
        </w:rPr>
      </w:pPr>
      <w:bookmarkStart w:id="1153" w:name="_Toc104459827"/>
      <w:bookmarkStart w:id="1154" w:name="_Toc111636935"/>
      <w:bookmarkStart w:id="1155" w:name="_Toc111638536"/>
      <w:r w:rsidRPr="00380B40">
        <w:rPr>
          <w:lang w:val="en-GB"/>
        </w:rPr>
        <w:t xml:space="preserve">Recommendation ITU-T </w:t>
      </w:r>
      <w:r w:rsidRPr="00380B40">
        <w:rPr>
          <w:rStyle w:val="href"/>
          <w:lang w:val="en-GB"/>
        </w:rPr>
        <w:t>A.11</w:t>
      </w:r>
      <w:bookmarkEnd w:id="1153"/>
      <w:bookmarkEnd w:id="1154"/>
      <w:bookmarkEnd w:id="1155"/>
    </w:p>
    <w:p w14:paraId="661D46D2" w14:textId="77777777" w:rsidR="003C356A" w:rsidRPr="00380B40" w:rsidRDefault="003C356A" w:rsidP="003C356A">
      <w:pPr>
        <w:pStyle w:val="Rectitle"/>
        <w:rPr>
          <w:lang w:val="en-GB"/>
        </w:rPr>
      </w:pPr>
      <w:bookmarkStart w:id="1156" w:name="_Toc104459828"/>
      <w:bookmarkStart w:id="1157" w:name="_Toc111638537"/>
      <w:r w:rsidRPr="00380B40">
        <w:rPr>
          <w:lang w:val="en-GB"/>
        </w:rPr>
        <w:t>Publication of ITU</w:t>
      </w:r>
      <w:r w:rsidRPr="00380B40">
        <w:rPr>
          <w:lang w:val="en-GB"/>
        </w:rPr>
        <w:noBreakHyphen/>
        <w:t>T Recommendations and World Telecommunication Standardization Assembly proceedings</w:t>
      </w:r>
      <w:bookmarkEnd w:id="1156"/>
      <w:bookmarkEnd w:id="1157"/>
    </w:p>
    <w:p w14:paraId="0C32CE5E" w14:textId="77777777" w:rsidR="003C356A" w:rsidRPr="00380B40" w:rsidRDefault="003C356A" w:rsidP="00FD3C79">
      <w:pPr>
        <w:pStyle w:val="Recref"/>
        <w:rPr>
          <w:lang w:val="en-GB"/>
        </w:rPr>
      </w:pPr>
      <w:r w:rsidRPr="00380B40">
        <w:rPr>
          <w:lang w:val="en-GB"/>
        </w:rPr>
        <w:t>(2000; 2004; 2008; 2012)</w:t>
      </w:r>
    </w:p>
    <w:p w14:paraId="1423AB17" w14:textId="77777777" w:rsidR="003C356A" w:rsidRPr="00380B40" w:rsidRDefault="003C356A" w:rsidP="003C356A">
      <w:pPr>
        <w:pStyle w:val="Heading1"/>
        <w:rPr>
          <w:lang w:val="en-GB"/>
        </w:rPr>
      </w:pPr>
      <w:bookmarkStart w:id="1158" w:name="_Toc88460643"/>
      <w:bookmarkStart w:id="1159" w:name="_Toc354058291"/>
      <w:bookmarkStart w:id="1160" w:name="_Toc357088863"/>
      <w:bookmarkStart w:id="1161" w:name="_Toc111636936"/>
      <w:r w:rsidRPr="00380B40">
        <w:rPr>
          <w:lang w:val="en-GB"/>
        </w:rPr>
        <w:t>1</w:t>
      </w:r>
      <w:r w:rsidRPr="00380B40">
        <w:rPr>
          <w:lang w:val="en-GB"/>
        </w:rPr>
        <w:tab/>
        <w:t>Introduction</w:t>
      </w:r>
      <w:bookmarkEnd w:id="1158"/>
      <w:bookmarkEnd w:id="1159"/>
      <w:bookmarkEnd w:id="1160"/>
      <w:bookmarkEnd w:id="1161"/>
    </w:p>
    <w:p w14:paraId="37675B03" w14:textId="77777777" w:rsidR="003C356A" w:rsidRPr="00380B40" w:rsidRDefault="003C356A" w:rsidP="003C356A">
      <w:pPr>
        <w:rPr>
          <w:lang w:val="en-GB"/>
        </w:rPr>
      </w:pPr>
      <w:r w:rsidRPr="00380B40">
        <w:rPr>
          <w:lang w:val="en-GB"/>
        </w:rPr>
        <w:t>Under No. 98 of the ITU Convention, the Secretary-General is charged with the task of publishing Recommendations, and Recommendation ITU</w:t>
      </w:r>
      <w:r w:rsidRPr="00380B40">
        <w:rPr>
          <w:lang w:val="en-GB"/>
        </w:rPr>
        <w:noBreakHyphen/>
        <w:t>T A.12 of the ITU Telecommunication Standardization Sector (ITU</w:t>
      </w:r>
      <w:r w:rsidRPr="00380B40">
        <w:rPr>
          <w:lang w:val="en-GB"/>
        </w:rPr>
        <w:noBreakHyphen/>
        <w:t>T) sets out the identification and layout of ITU</w:t>
      </w:r>
      <w:r w:rsidRPr="00380B40">
        <w:rPr>
          <w:lang w:val="en-GB"/>
        </w:rPr>
        <w:noBreakHyphen/>
        <w:t>T Recommendations. In addition to the publication of ITU</w:t>
      </w:r>
      <w:r w:rsidRPr="00380B40">
        <w:rPr>
          <w:lang w:val="en-GB"/>
        </w:rPr>
        <w:noBreakHyphen/>
        <w:t>T Recommendations, the procedures for publishing the proceedings of the World Telecommunication Standardization Assembly (WTSA) are specified below.</w:t>
      </w:r>
    </w:p>
    <w:p w14:paraId="131B4AC6" w14:textId="77777777" w:rsidR="003C356A" w:rsidRPr="00380B40" w:rsidRDefault="003C356A" w:rsidP="003C356A">
      <w:pPr>
        <w:rPr>
          <w:lang w:val="en-GB"/>
        </w:rPr>
      </w:pPr>
      <w:r w:rsidRPr="00380B40">
        <w:rPr>
          <w:lang w:val="en-GB"/>
        </w:rPr>
        <w:t>It should be noted that although the designation "CCITT" has not been applied to new publications for some time, references to CCITT and ITU</w:t>
      </w:r>
      <w:r w:rsidRPr="00380B40">
        <w:rPr>
          <w:lang w:val="en-GB"/>
        </w:rPr>
        <w:noBreakHyphen/>
        <w:t>T Recommendations are contained in numerous legal documents throughout the world.</w:t>
      </w:r>
    </w:p>
    <w:p w14:paraId="191048C0" w14:textId="77777777" w:rsidR="003C356A" w:rsidRPr="00380B40" w:rsidRDefault="003C356A" w:rsidP="003C356A">
      <w:pPr>
        <w:pStyle w:val="Heading1"/>
        <w:rPr>
          <w:lang w:val="en-GB"/>
        </w:rPr>
      </w:pPr>
      <w:bookmarkStart w:id="1162" w:name="_Toc88460644"/>
      <w:bookmarkStart w:id="1163" w:name="_Toc354058292"/>
      <w:bookmarkStart w:id="1164" w:name="_Toc357088864"/>
      <w:bookmarkStart w:id="1165" w:name="_Toc111636937"/>
      <w:r w:rsidRPr="00380B40">
        <w:rPr>
          <w:lang w:val="en-GB"/>
        </w:rPr>
        <w:t>2</w:t>
      </w:r>
      <w:r w:rsidRPr="00380B40">
        <w:rPr>
          <w:lang w:val="en-GB"/>
        </w:rPr>
        <w:tab/>
        <w:t>Publication of Recommendations</w:t>
      </w:r>
      <w:bookmarkEnd w:id="1162"/>
      <w:bookmarkEnd w:id="1163"/>
      <w:bookmarkEnd w:id="1164"/>
      <w:bookmarkEnd w:id="1165"/>
    </w:p>
    <w:p w14:paraId="20C3B7C8" w14:textId="77777777" w:rsidR="003C356A" w:rsidRPr="00380B40" w:rsidRDefault="003C356A" w:rsidP="003C356A">
      <w:pPr>
        <w:rPr>
          <w:lang w:val="en-GB"/>
        </w:rPr>
      </w:pPr>
      <w:r w:rsidRPr="00380B40">
        <w:rPr>
          <w:b/>
          <w:bCs/>
          <w:lang w:val="en-GB"/>
        </w:rPr>
        <w:t>2.1</w:t>
      </w:r>
      <w:r w:rsidRPr="00380B40">
        <w:rPr>
          <w:lang w:val="en-GB"/>
        </w:rPr>
        <w:tab/>
        <w:t>Each new and revised Recommendation should be made available to the public as soon as practicable after it has been approved, and in each language as soon as it is available (see Annex A).</w:t>
      </w:r>
    </w:p>
    <w:p w14:paraId="0F6E38D1" w14:textId="77777777" w:rsidR="003C356A" w:rsidRPr="00380B40" w:rsidRDefault="003C356A" w:rsidP="003C356A">
      <w:pPr>
        <w:rPr>
          <w:lang w:val="en-GB"/>
        </w:rPr>
      </w:pPr>
      <w:r w:rsidRPr="00380B40">
        <w:rPr>
          <w:b/>
          <w:bCs/>
          <w:lang w:val="en-GB"/>
        </w:rPr>
        <w:t>2.2</w:t>
      </w:r>
      <w:r w:rsidRPr="00380B40">
        <w:rPr>
          <w:lang w:val="en-GB"/>
        </w:rPr>
        <w:tab/>
        <w:t>Each new and revised Recommendation should be added to a directly accessible database of ITU</w:t>
      </w:r>
      <w:r w:rsidRPr="00380B40">
        <w:rPr>
          <w:lang w:val="en-GB"/>
        </w:rPr>
        <w:noBreakHyphen/>
        <w:t>T Recommendations.</w:t>
      </w:r>
    </w:p>
    <w:p w14:paraId="12867681" w14:textId="77777777" w:rsidR="003C356A" w:rsidRPr="00380B40" w:rsidRDefault="003C356A" w:rsidP="003C356A">
      <w:pPr>
        <w:rPr>
          <w:lang w:val="en-GB"/>
        </w:rPr>
      </w:pPr>
      <w:r w:rsidRPr="00380B40">
        <w:rPr>
          <w:b/>
          <w:bCs/>
          <w:lang w:val="en-GB"/>
        </w:rPr>
        <w:t>2.3</w:t>
      </w:r>
      <w:r w:rsidRPr="00380B40">
        <w:rPr>
          <w:lang w:val="en-GB"/>
        </w:rPr>
        <w:tab/>
        <w:t>The collection of approved Recommendations should also be published on an appropriate distribution medium.</w:t>
      </w:r>
    </w:p>
    <w:p w14:paraId="4B7CFEC4" w14:textId="77777777" w:rsidR="003C356A" w:rsidRPr="00380B40" w:rsidRDefault="003C356A" w:rsidP="003C356A">
      <w:pPr>
        <w:rPr>
          <w:lang w:val="en-GB"/>
        </w:rPr>
      </w:pPr>
      <w:r w:rsidRPr="00380B40">
        <w:rPr>
          <w:b/>
          <w:bCs/>
          <w:lang w:val="en-GB"/>
        </w:rPr>
        <w:t>2.4</w:t>
      </w:r>
      <w:r w:rsidRPr="00380B40">
        <w:rPr>
          <w:lang w:val="en-GB"/>
        </w:rPr>
        <w:tab/>
        <w:t>Adequate indexing should be provided on all media.</w:t>
      </w:r>
    </w:p>
    <w:p w14:paraId="15467F1F" w14:textId="77777777" w:rsidR="003C356A" w:rsidRPr="00380B40" w:rsidRDefault="003C356A" w:rsidP="003C356A">
      <w:pPr>
        <w:rPr>
          <w:lang w:val="en-GB"/>
        </w:rPr>
      </w:pPr>
      <w:r w:rsidRPr="00380B40">
        <w:rPr>
          <w:b/>
          <w:bCs/>
          <w:lang w:val="en-GB"/>
        </w:rPr>
        <w:t>2.5</w:t>
      </w:r>
      <w:r w:rsidRPr="00380B40">
        <w:rPr>
          <w:lang w:val="en-GB"/>
        </w:rPr>
        <w:tab/>
        <w:t>The current status of each Recommendation in the complete range of Recommendations, including those approved by CCITT prior to 1993, should be accessible online.</w:t>
      </w:r>
    </w:p>
    <w:p w14:paraId="4C877A8A" w14:textId="77777777" w:rsidR="003C356A" w:rsidRPr="00380B40" w:rsidRDefault="003C356A" w:rsidP="003C356A">
      <w:pPr>
        <w:pStyle w:val="Heading1"/>
        <w:rPr>
          <w:lang w:val="en-GB"/>
        </w:rPr>
      </w:pPr>
      <w:bookmarkStart w:id="1166" w:name="_Toc88460645"/>
      <w:bookmarkStart w:id="1167" w:name="_Toc354058293"/>
      <w:bookmarkStart w:id="1168" w:name="_Toc357088865"/>
      <w:bookmarkStart w:id="1169" w:name="_Toc111636938"/>
      <w:r w:rsidRPr="00380B40">
        <w:rPr>
          <w:lang w:val="en-GB"/>
        </w:rPr>
        <w:t>3</w:t>
      </w:r>
      <w:r w:rsidRPr="00380B40">
        <w:rPr>
          <w:lang w:val="en-GB"/>
        </w:rPr>
        <w:tab/>
        <w:t>Publication of WTSA proceedings</w:t>
      </w:r>
      <w:bookmarkEnd w:id="1166"/>
      <w:bookmarkEnd w:id="1167"/>
      <w:bookmarkEnd w:id="1168"/>
      <w:bookmarkEnd w:id="1169"/>
    </w:p>
    <w:p w14:paraId="0474D568" w14:textId="77777777" w:rsidR="003C356A" w:rsidRPr="00380B40" w:rsidRDefault="003C356A" w:rsidP="003C356A">
      <w:pPr>
        <w:keepNext/>
        <w:rPr>
          <w:lang w:val="en-GB"/>
        </w:rPr>
      </w:pPr>
      <w:r w:rsidRPr="00380B40">
        <w:rPr>
          <w:b/>
          <w:bCs/>
          <w:lang w:val="en-GB"/>
        </w:rPr>
        <w:t>3.1</w:t>
      </w:r>
      <w:r w:rsidRPr="00380B40">
        <w:rPr>
          <w:lang w:val="en-GB"/>
        </w:rPr>
        <w:tab/>
        <w:t>To provide a record of the proceedings of each assembly, an ITU</w:t>
      </w:r>
      <w:r w:rsidRPr="00380B40">
        <w:rPr>
          <w:lang w:val="en-GB"/>
        </w:rPr>
        <w:noBreakHyphen/>
        <w:t>T Book should be published with the contents restricted to the following in principle:</w:t>
      </w:r>
    </w:p>
    <w:p w14:paraId="112B9F05" w14:textId="77777777" w:rsidR="003C356A" w:rsidRPr="00380B40" w:rsidRDefault="003C356A" w:rsidP="003C356A">
      <w:pPr>
        <w:pStyle w:val="enumlev1"/>
        <w:rPr>
          <w:lang w:val="en-GB"/>
        </w:rPr>
      </w:pPr>
      <w:r w:rsidRPr="00380B40">
        <w:rPr>
          <w:lang w:val="en-GB"/>
        </w:rPr>
        <w:t>–</w:t>
      </w:r>
      <w:r w:rsidRPr="00380B40">
        <w:rPr>
          <w:lang w:val="en-GB"/>
        </w:rPr>
        <w:tab/>
        <w:t>Resolutions and Opinions adopted by the assembly;</w:t>
      </w:r>
    </w:p>
    <w:p w14:paraId="51804B0C" w14:textId="77777777" w:rsidR="00795C3C" w:rsidRPr="00380B40" w:rsidRDefault="00795C3C" w:rsidP="003C356A">
      <w:pPr>
        <w:pStyle w:val="enumlev1"/>
        <w:rPr>
          <w:lang w:val="en-GB"/>
        </w:rPr>
      </w:pPr>
      <w:r w:rsidRPr="00380B40">
        <w:rPr>
          <w:lang w:val="en-GB"/>
        </w:rPr>
        <w:br w:type="page"/>
      </w:r>
    </w:p>
    <w:p w14:paraId="41CBE918" w14:textId="77777777" w:rsidR="003C356A" w:rsidRPr="00380B40" w:rsidRDefault="003C356A" w:rsidP="003C356A">
      <w:pPr>
        <w:pStyle w:val="enumlev1"/>
        <w:rPr>
          <w:lang w:val="en-GB"/>
        </w:rPr>
      </w:pPr>
      <w:r w:rsidRPr="00380B40">
        <w:rPr>
          <w:lang w:val="en-GB"/>
        </w:rPr>
        <w:t>–</w:t>
      </w:r>
      <w:r w:rsidRPr="00380B40">
        <w:rPr>
          <w:lang w:val="en-GB"/>
        </w:rPr>
        <w:tab/>
        <w:t>Recommendations on the organization of the work of ITU</w:t>
      </w:r>
      <w:r w:rsidRPr="00380B40">
        <w:rPr>
          <w:lang w:val="en-GB"/>
        </w:rPr>
        <w:noBreakHyphen/>
        <w:t>T (A-series);</w:t>
      </w:r>
    </w:p>
    <w:p w14:paraId="46BA2079" w14:textId="77777777" w:rsidR="003C356A" w:rsidRPr="00380B40" w:rsidRDefault="003C356A" w:rsidP="003C356A">
      <w:pPr>
        <w:pStyle w:val="enumlev1"/>
        <w:rPr>
          <w:lang w:val="en-GB"/>
        </w:rPr>
      </w:pPr>
      <w:r w:rsidRPr="00380B40">
        <w:rPr>
          <w:lang w:val="en-GB"/>
        </w:rPr>
        <w:t>–</w:t>
      </w:r>
      <w:r w:rsidRPr="00380B40">
        <w:rPr>
          <w:lang w:val="en-GB"/>
        </w:rPr>
        <w:tab/>
        <w:t>a list of the study groups, the advisory group and any other groups established or maintained by the assembly, with their titles and general areas of work;</w:t>
      </w:r>
    </w:p>
    <w:p w14:paraId="6D7CAB3B" w14:textId="77777777" w:rsidR="003C356A" w:rsidRPr="00380B40" w:rsidRDefault="003C356A" w:rsidP="003C356A">
      <w:pPr>
        <w:pStyle w:val="enumlev1"/>
        <w:rPr>
          <w:lang w:val="en-GB"/>
        </w:rPr>
      </w:pPr>
      <w:r w:rsidRPr="00380B40">
        <w:rPr>
          <w:lang w:val="en-GB"/>
        </w:rPr>
        <w:t>–</w:t>
      </w:r>
      <w:r w:rsidRPr="00380B40">
        <w:rPr>
          <w:lang w:val="en-GB"/>
        </w:rPr>
        <w:tab/>
        <w:t>titles of the Questions (continuing or newly approved for study) and their allocation;</w:t>
      </w:r>
    </w:p>
    <w:p w14:paraId="62C1D823" w14:textId="77777777" w:rsidR="003C356A" w:rsidRPr="00380B40" w:rsidRDefault="003C356A" w:rsidP="003C356A">
      <w:pPr>
        <w:pStyle w:val="enumlev1"/>
        <w:rPr>
          <w:lang w:val="en-GB"/>
        </w:rPr>
      </w:pPr>
      <w:r w:rsidRPr="00380B40">
        <w:rPr>
          <w:lang w:val="en-GB"/>
        </w:rPr>
        <w:t>–</w:t>
      </w:r>
      <w:r w:rsidRPr="00380B40">
        <w:rPr>
          <w:lang w:val="en-GB"/>
        </w:rPr>
        <w:tab/>
        <w:t>reports of the committees of the assembly.</w:t>
      </w:r>
    </w:p>
    <w:p w14:paraId="418DB186" w14:textId="77777777" w:rsidR="003C356A" w:rsidRPr="00380B40" w:rsidRDefault="003C356A" w:rsidP="003C356A">
      <w:pPr>
        <w:pStyle w:val="Note"/>
        <w:rPr>
          <w:lang w:val="en-GB"/>
        </w:rPr>
      </w:pPr>
      <w:r w:rsidRPr="00380B40">
        <w:rPr>
          <w:lang w:val="en-GB"/>
        </w:rPr>
        <w:t>NOTE – The list of participants and list of documents of the assembly may be provided in the book, or pointers may be provided as to where the online list of participants and the online list of documents of the assembly may be found.</w:t>
      </w:r>
    </w:p>
    <w:p w14:paraId="73E0305A" w14:textId="77777777" w:rsidR="003C356A" w:rsidRPr="00380B40" w:rsidRDefault="003C356A" w:rsidP="003C356A">
      <w:pPr>
        <w:rPr>
          <w:lang w:val="en-GB"/>
        </w:rPr>
      </w:pPr>
      <w:r w:rsidRPr="00380B40">
        <w:rPr>
          <w:b/>
          <w:bCs/>
          <w:lang w:val="en-GB"/>
        </w:rPr>
        <w:t>3.2</w:t>
      </w:r>
      <w:r w:rsidRPr="00380B40">
        <w:rPr>
          <w:lang w:val="en-GB"/>
        </w:rPr>
        <w:tab/>
        <w:t>Resolutions and ITU-T A-series Recommendations should also be published individually in electronic form.</w:t>
      </w:r>
    </w:p>
    <w:p w14:paraId="7AABE241" w14:textId="77777777" w:rsidR="003C356A" w:rsidRPr="00380B40" w:rsidRDefault="003C356A" w:rsidP="003C356A">
      <w:pPr>
        <w:rPr>
          <w:lang w:val="en-GB"/>
        </w:rPr>
      </w:pPr>
      <w:r w:rsidRPr="00380B40">
        <w:rPr>
          <w:b/>
          <w:bCs/>
          <w:lang w:val="en-GB"/>
        </w:rPr>
        <w:t>3.3</w:t>
      </w:r>
      <w:r w:rsidRPr="00380B40">
        <w:rPr>
          <w:lang w:val="en-GB"/>
        </w:rPr>
        <w:tab/>
        <w:t>The colour of the cover of the ITU</w:t>
      </w:r>
      <w:r w:rsidRPr="00380B40">
        <w:rPr>
          <w:lang w:val="en-GB"/>
        </w:rPr>
        <w:noBreakHyphen/>
        <w:t>T Book recording the results of WTSA will rotate successively through the colours of previous books in their chronological order, i.e. white, green, orange, yellow, red and blue.</w:t>
      </w:r>
    </w:p>
    <w:p w14:paraId="2F13D7AB" w14:textId="77777777" w:rsidR="003C356A" w:rsidRPr="00380B40" w:rsidRDefault="003C356A" w:rsidP="003C356A">
      <w:pPr>
        <w:pStyle w:val="Heading1"/>
        <w:rPr>
          <w:lang w:val="en-GB"/>
        </w:rPr>
      </w:pPr>
      <w:bookmarkStart w:id="1170" w:name="_Toc88460646"/>
      <w:bookmarkStart w:id="1171" w:name="_Toc354058294"/>
      <w:bookmarkStart w:id="1172" w:name="_Toc357088866"/>
      <w:bookmarkStart w:id="1173" w:name="_Toc111636939"/>
      <w:r w:rsidRPr="00380B40">
        <w:rPr>
          <w:lang w:val="en-GB"/>
        </w:rPr>
        <w:t>4</w:t>
      </w:r>
      <w:r w:rsidRPr="00380B40">
        <w:rPr>
          <w:lang w:val="en-GB"/>
        </w:rPr>
        <w:tab/>
        <w:t>Associated activities</w:t>
      </w:r>
      <w:bookmarkEnd w:id="1170"/>
      <w:bookmarkEnd w:id="1171"/>
      <w:bookmarkEnd w:id="1172"/>
      <w:bookmarkEnd w:id="1173"/>
    </w:p>
    <w:p w14:paraId="27457EEF" w14:textId="77777777" w:rsidR="003C356A" w:rsidRPr="00380B40" w:rsidRDefault="003C356A" w:rsidP="003C356A">
      <w:pPr>
        <w:rPr>
          <w:lang w:val="en-GB"/>
        </w:rPr>
      </w:pPr>
      <w:r w:rsidRPr="00380B40">
        <w:rPr>
          <w:b/>
          <w:bCs/>
          <w:lang w:val="en-GB"/>
        </w:rPr>
        <w:t>4.1</w:t>
      </w:r>
      <w:r w:rsidRPr="00380B40">
        <w:rPr>
          <w:lang w:val="en-GB"/>
        </w:rPr>
        <w:tab/>
        <w:t>The Director of the Telecommunication Standardization Bureau (TSB) should observe the annexed guidelines (see Annex A) when managing the continuing process of publishing Recommendations during the upcoming study period.</w:t>
      </w:r>
    </w:p>
    <w:p w14:paraId="30235910" w14:textId="77777777" w:rsidR="003C356A" w:rsidRPr="00380B40" w:rsidRDefault="003C356A" w:rsidP="003C356A">
      <w:pPr>
        <w:rPr>
          <w:lang w:val="en-GB"/>
        </w:rPr>
      </w:pPr>
      <w:r w:rsidRPr="00380B40">
        <w:rPr>
          <w:b/>
          <w:bCs/>
          <w:lang w:val="en-GB"/>
        </w:rPr>
        <w:t>4.2</w:t>
      </w:r>
      <w:r w:rsidRPr="00380B40">
        <w:rPr>
          <w:lang w:val="en-GB"/>
        </w:rPr>
        <w:tab/>
        <w:t>The Director of TSB should report to the next WTSA and to the intervening meetings of TSAG on any difficulties encountered in the timely publication of texts, with proposals for remedial action.</w:t>
      </w:r>
    </w:p>
    <w:p w14:paraId="571C842B" w14:textId="77777777" w:rsidR="003C356A" w:rsidRPr="00380B40" w:rsidRDefault="003C356A" w:rsidP="003C356A">
      <w:pPr>
        <w:pStyle w:val="Heading1"/>
        <w:rPr>
          <w:lang w:val="en-GB"/>
        </w:rPr>
      </w:pPr>
      <w:bookmarkStart w:id="1174" w:name="_Toc88460647"/>
      <w:bookmarkStart w:id="1175" w:name="_Toc354058295"/>
      <w:bookmarkStart w:id="1176" w:name="_Toc357088867"/>
      <w:bookmarkStart w:id="1177" w:name="_Toc111636940"/>
      <w:r w:rsidRPr="00380B40">
        <w:rPr>
          <w:lang w:val="en-GB"/>
        </w:rPr>
        <w:t>5</w:t>
      </w:r>
      <w:r w:rsidRPr="00380B40">
        <w:rPr>
          <w:lang w:val="en-GB"/>
        </w:rPr>
        <w:tab/>
        <w:t>Relation with the Council</w:t>
      </w:r>
      <w:bookmarkEnd w:id="1174"/>
      <w:bookmarkEnd w:id="1175"/>
      <w:bookmarkEnd w:id="1176"/>
      <w:bookmarkEnd w:id="1177"/>
    </w:p>
    <w:p w14:paraId="7C0738CA" w14:textId="77777777" w:rsidR="003C356A" w:rsidRPr="00380B40" w:rsidRDefault="003C356A" w:rsidP="003C356A">
      <w:pPr>
        <w:rPr>
          <w:lang w:val="en-GB"/>
        </w:rPr>
      </w:pPr>
      <w:r w:rsidRPr="00380B40">
        <w:rPr>
          <w:lang w:val="en-GB"/>
        </w:rPr>
        <w:t>The Director of TSB should invite the Council to consider what adjustments, if any, may be needed to the ITU policy on publication, pricing, etc., in order to facilitate the rapid, wide and effective dissemination of ITU</w:t>
      </w:r>
      <w:r w:rsidRPr="00380B40">
        <w:rPr>
          <w:lang w:val="en-GB"/>
        </w:rPr>
        <w:noBreakHyphen/>
        <w:t>T Recommendations.</w:t>
      </w:r>
    </w:p>
    <w:p w14:paraId="3C1A8F0D" w14:textId="77777777" w:rsidR="009D2170" w:rsidRPr="00380B40" w:rsidRDefault="003C356A" w:rsidP="009D2170">
      <w:pPr>
        <w:pStyle w:val="AnnexNo"/>
      </w:pPr>
      <w:bookmarkStart w:id="1178" w:name="_Toc111636941"/>
      <w:bookmarkStart w:id="1179" w:name="_Toc354058296"/>
      <w:bookmarkStart w:id="1180" w:name="_Toc357088868"/>
      <w:r w:rsidRPr="00380B40">
        <w:t>Annex A</w:t>
      </w:r>
      <w:bookmarkStart w:id="1181" w:name="_Toc517494755"/>
      <w:bookmarkEnd w:id="1178"/>
      <w:bookmarkEnd w:id="1181"/>
    </w:p>
    <w:p w14:paraId="61EEAE54" w14:textId="77777777" w:rsidR="003C356A" w:rsidRPr="00380B40" w:rsidRDefault="003C356A" w:rsidP="009D2170">
      <w:pPr>
        <w:pStyle w:val="Annextitle"/>
      </w:pPr>
      <w:r w:rsidRPr="00380B40">
        <w:t>Guidelines on publication of ITU</w:t>
      </w:r>
      <w:r w:rsidRPr="00380B40">
        <w:noBreakHyphen/>
        <w:t>T Recommendations</w:t>
      </w:r>
      <w:bookmarkEnd w:id="1179"/>
      <w:bookmarkEnd w:id="1180"/>
    </w:p>
    <w:p w14:paraId="1CA2A6BB" w14:textId="77777777" w:rsidR="003C356A" w:rsidRPr="00380B40" w:rsidRDefault="003C356A" w:rsidP="004F4C4C">
      <w:pPr>
        <w:pStyle w:val="Normalcenteraligned"/>
      </w:pPr>
      <w:r w:rsidRPr="00380B40">
        <w:t>(This annex forms an integral part of this Recommendation.)</w:t>
      </w:r>
    </w:p>
    <w:p w14:paraId="26E32216" w14:textId="77777777" w:rsidR="003C356A" w:rsidRPr="00380B40" w:rsidRDefault="003C356A" w:rsidP="003C356A">
      <w:pPr>
        <w:pStyle w:val="Normalaftertitle"/>
        <w:rPr>
          <w:lang w:val="en-GB"/>
        </w:rPr>
      </w:pPr>
      <w:r w:rsidRPr="00380B40">
        <w:rPr>
          <w:b/>
          <w:bCs/>
          <w:lang w:val="en-GB"/>
        </w:rPr>
        <w:t>A.1</w:t>
      </w:r>
      <w:r w:rsidRPr="00380B40">
        <w:rPr>
          <w:lang w:val="en-GB"/>
        </w:rPr>
        <w:tab/>
        <w:t>The following guidelines have been drawn up to assist in the timely publication of the approved ITU</w:t>
      </w:r>
      <w:r w:rsidRPr="00380B40">
        <w:rPr>
          <w:lang w:val="en-GB"/>
        </w:rPr>
        <w:noBreakHyphen/>
        <w:t>T Recommendations. These guidelines should apply to those ITU services involved in the publication and distribution of Recommendations, and (to the extent relevant) to other organizations permitted by ITU to publish and distribute Recommendations under conditions and arrangements established with ITU.</w:t>
      </w:r>
    </w:p>
    <w:p w14:paraId="729F6AC6" w14:textId="77777777" w:rsidR="00795C3C" w:rsidRPr="00380B40" w:rsidRDefault="00795C3C" w:rsidP="003C356A">
      <w:pPr>
        <w:rPr>
          <w:b/>
          <w:bCs/>
          <w:lang w:val="en-GB"/>
        </w:rPr>
      </w:pPr>
      <w:r w:rsidRPr="00380B40">
        <w:rPr>
          <w:b/>
          <w:bCs/>
          <w:lang w:val="en-GB"/>
        </w:rPr>
        <w:br w:type="page"/>
      </w:r>
    </w:p>
    <w:p w14:paraId="68D02464" w14:textId="77777777" w:rsidR="003C356A" w:rsidRPr="00380B40" w:rsidRDefault="003C356A" w:rsidP="003C356A">
      <w:pPr>
        <w:rPr>
          <w:lang w:val="en-GB"/>
        </w:rPr>
      </w:pPr>
      <w:r w:rsidRPr="00380B40">
        <w:rPr>
          <w:b/>
          <w:bCs/>
          <w:lang w:val="en-GB"/>
        </w:rPr>
        <w:t>A.2</w:t>
      </w:r>
      <w:r w:rsidRPr="00380B40">
        <w:rPr>
          <w:lang w:val="en-GB"/>
        </w:rPr>
        <w:tab/>
        <w:t>From the users' viewpoint, the main principles that need to be applied are:</w:t>
      </w:r>
    </w:p>
    <w:p w14:paraId="1410F0EA" w14:textId="77777777" w:rsidR="003C356A" w:rsidRPr="00380B40" w:rsidRDefault="003C356A" w:rsidP="003C356A">
      <w:pPr>
        <w:pStyle w:val="enumlev1"/>
        <w:rPr>
          <w:lang w:val="en-GB"/>
        </w:rPr>
      </w:pPr>
      <w:r w:rsidRPr="00380B40">
        <w:rPr>
          <w:i/>
          <w:iCs/>
          <w:lang w:val="en-GB"/>
        </w:rPr>
        <w:t>a)</w:t>
      </w:r>
      <w:r w:rsidRPr="00380B40">
        <w:rPr>
          <w:lang w:val="en-GB"/>
        </w:rPr>
        <w:tab/>
        <w:t>the maximum feasible use of electronic publishing of Recommendations through direct online access to databases that are updated as soon as possible after approval of the Recommendations and by periodic publication on an appropriate distribution medium;</w:t>
      </w:r>
    </w:p>
    <w:p w14:paraId="68F6F9A7" w14:textId="77777777" w:rsidR="003C356A" w:rsidRPr="00380B40" w:rsidRDefault="003C356A" w:rsidP="003C356A">
      <w:pPr>
        <w:pStyle w:val="enumlev1"/>
        <w:rPr>
          <w:lang w:val="en-GB"/>
        </w:rPr>
      </w:pPr>
      <w:r w:rsidRPr="00380B40">
        <w:rPr>
          <w:i/>
          <w:iCs/>
          <w:lang w:val="en-GB"/>
        </w:rPr>
        <w:t>b)</w:t>
      </w:r>
      <w:r w:rsidRPr="00380B40">
        <w:rPr>
          <w:lang w:val="en-GB"/>
        </w:rPr>
        <w:tab/>
        <w:t>unambiguous labelling of Recommendations to identify successive versions (see Recommendation ITU</w:t>
      </w:r>
      <w:r w:rsidRPr="00380B40">
        <w:rPr>
          <w:lang w:val="en-GB"/>
        </w:rPr>
        <w:noBreakHyphen/>
        <w:t>T A.12);</w:t>
      </w:r>
    </w:p>
    <w:p w14:paraId="65D461CB" w14:textId="77777777" w:rsidR="003C356A" w:rsidRPr="00380B40" w:rsidRDefault="003C356A" w:rsidP="003C356A">
      <w:pPr>
        <w:pStyle w:val="enumlev1"/>
        <w:rPr>
          <w:lang w:val="en-GB"/>
        </w:rPr>
      </w:pPr>
      <w:r w:rsidRPr="00380B40">
        <w:rPr>
          <w:i/>
          <w:iCs/>
          <w:lang w:val="en-GB"/>
        </w:rPr>
        <w:t>c)</w:t>
      </w:r>
      <w:r w:rsidRPr="00380B40">
        <w:rPr>
          <w:lang w:val="en-GB"/>
        </w:rPr>
        <w:tab/>
        <w:t>convenient (e.g. online or on a distribution medium) access to appropriate guidance and definitive information on prices, availability and current status of Recommendations;</w:t>
      </w:r>
    </w:p>
    <w:p w14:paraId="1FB898B1" w14:textId="77777777" w:rsidR="003C356A" w:rsidRPr="00380B40" w:rsidRDefault="003C356A" w:rsidP="003C356A">
      <w:pPr>
        <w:pStyle w:val="enumlev1"/>
        <w:rPr>
          <w:lang w:val="en-GB"/>
        </w:rPr>
      </w:pPr>
      <w:r w:rsidRPr="00380B40">
        <w:rPr>
          <w:i/>
          <w:iCs/>
          <w:lang w:val="en-GB"/>
        </w:rPr>
        <w:t>d)</w:t>
      </w:r>
      <w:r w:rsidRPr="00380B40">
        <w:rPr>
          <w:lang w:val="en-GB"/>
        </w:rPr>
        <w:tab/>
        <w:t>simple-to-use indexes and search facilities to locate specific subjects without necessarily knowing the titles or understanding the general structure and letter series used to designate ITU</w:t>
      </w:r>
      <w:r w:rsidRPr="00380B40">
        <w:rPr>
          <w:lang w:val="en-GB"/>
        </w:rPr>
        <w:noBreakHyphen/>
        <w:t>T Recommendations.</w:t>
      </w:r>
    </w:p>
    <w:p w14:paraId="07C68004" w14:textId="77777777" w:rsidR="003C356A" w:rsidRPr="00380B40" w:rsidRDefault="003C356A" w:rsidP="003C356A">
      <w:pPr>
        <w:rPr>
          <w:lang w:val="en-GB"/>
        </w:rPr>
      </w:pPr>
      <w:r w:rsidRPr="00380B40">
        <w:rPr>
          <w:b/>
          <w:bCs/>
          <w:lang w:val="en-GB"/>
        </w:rPr>
        <w:t>A.3</w:t>
      </w:r>
      <w:r w:rsidRPr="00380B40">
        <w:rPr>
          <w:lang w:val="en-GB"/>
        </w:rPr>
        <w:tab/>
        <w:t>Immediately after the conditions for its approval have been met, a new or revised Recommendation should be made available to the public, in accordance with the conditions established by ITU.</w:t>
      </w:r>
    </w:p>
    <w:p w14:paraId="6529D864" w14:textId="77777777" w:rsidR="003C356A" w:rsidRPr="00380B40" w:rsidRDefault="003C356A" w:rsidP="003C356A">
      <w:pPr>
        <w:rPr>
          <w:lang w:val="en-GB"/>
        </w:rPr>
      </w:pPr>
      <w:r w:rsidRPr="00380B40">
        <w:rPr>
          <w:lang w:val="en-GB"/>
        </w:rPr>
        <w:t>Recommendations should be made available</w:t>
      </w:r>
      <w:r w:rsidR="00FD162E" w:rsidRPr="00380B40">
        <w:rPr>
          <w:rStyle w:val="FootnoteReference"/>
          <w:lang w:val="en-GB"/>
        </w:rPr>
        <w:footnoteReference w:id="71"/>
      </w:r>
      <w:r w:rsidRPr="00380B40">
        <w:rPr>
          <w:lang w:val="en-GB"/>
        </w:rPr>
        <w:t xml:space="preserve"> in appropriate formats, such as:</w:t>
      </w:r>
    </w:p>
    <w:p w14:paraId="115F6459" w14:textId="77777777" w:rsidR="003C356A" w:rsidRPr="00380B40" w:rsidRDefault="003C356A" w:rsidP="003C356A">
      <w:pPr>
        <w:pStyle w:val="enumlev1"/>
        <w:rPr>
          <w:lang w:val="en-GB"/>
        </w:rPr>
      </w:pPr>
      <w:r w:rsidRPr="00380B40">
        <w:rPr>
          <w:lang w:val="en-GB"/>
        </w:rPr>
        <w:t>•</w:t>
      </w:r>
      <w:r w:rsidRPr="00380B40">
        <w:rPr>
          <w:lang w:val="en-GB"/>
        </w:rPr>
        <w:tab/>
        <w:t>online access – as soon as practicable;</w:t>
      </w:r>
    </w:p>
    <w:p w14:paraId="13997304" w14:textId="77777777" w:rsidR="003C356A" w:rsidRPr="00380B40" w:rsidRDefault="003C356A" w:rsidP="003C356A">
      <w:pPr>
        <w:pStyle w:val="enumlev1"/>
        <w:rPr>
          <w:lang w:val="en-GB"/>
        </w:rPr>
      </w:pPr>
      <w:r w:rsidRPr="00380B40">
        <w:rPr>
          <w:lang w:val="en-GB"/>
        </w:rPr>
        <w:t>•</w:t>
      </w:r>
      <w:r w:rsidRPr="00380B40">
        <w:rPr>
          <w:lang w:val="en-GB"/>
        </w:rPr>
        <w:tab/>
        <w:t>DVD – periodically (e.g. quarterly).</w:t>
      </w:r>
    </w:p>
    <w:p w14:paraId="00DE1B47" w14:textId="77777777" w:rsidR="003C356A" w:rsidRPr="00380B40" w:rsidRDefault="003C356A" w:rsidP="003C356A">
      <w:pPr>
        <w:rPr>
          <w:lang w:val="en-GB"/>
        </w:rPr>
      </w:pPr>
      <w:r w:rsidRPr="00380B40">
        <w:rPr>
          <w:lang w:val="en-GB"/>
        </w:rPr>
        <w:t>Minor modifications may be covered by publishing amendments or corrigenda rather than reissuing the complete Recommendation.</w:t>
      </w:r>
    </w:p>
    <w:p w14:paraId="63C91675" w14:textId="77777777" w:rsidR="003C356A" w:rsidRPr="00380B40" w:rsidRDefault="003C356A" w:rsidP="003C356A">
      <w:pPr>
        <w:rPr>
          <w:lang w:val="en-GB"/>
        </w:rPr>
      </w:pPr>
      <w:r w:rsidRPr="00380B40">
        <w:rPr>
          <w:b/>
          <w:bCs/>
          <w:lang w:val="en-GB"/>
        </w:rPr>
        <w:t>A.4</w:t>
      </w:r>
      <w:r w:rsidRPr="00380B40">
        <w:rPr>
          <w:lang w:val="en-GB"/>
        </w:rPr>
        <w:tab/>
        <w:t>The current status of the complete range of Recommendations must be accessible on a database at any time.</w:t>
      </w:r>
    </w:p>
    <w:p w14:paraId="346F7207" w14:textId="77777777" w:rsidR="003C356A" w:rsidRPr="00380B40" w:rsidRDefault="003C356A" w:rsidP="003C356A">
      <w:pPr>
        <w:rPr>
          <w:lang w:val="en-GB"/>
        </w:rPr>
      </w:pPr>
      <w:r w:rsidRPr="00380B40">
        <w:rPr>
          <w:b/>
          <w:bCs/>
          <w:lang w:val="en-GB"/>
        </w:rPr>
        <w:t>A.5</w:t>
      </w:r>
      <w:r w:rsidRPr="00380B40">
        <w:rPr>
          <w:lang w:val="en-GB"/>
        </w:rPr>
        <w:tab/>
        <w:t>Adequate indexing and search facilities should be provided.</w:t>
      </w:r>
    </w:p>
    <w:p w14:paraId="32764E96" w14:textId="77777777" w:rsidR="003C356A" w:rsidRPr="00380B40" w:rsidRDefault="003C356A" w:rsidP="003C356A">
      <w:pPr>
        <w:rPr>
          <w:lang w:val="en-GB"/>
        </w:rPr>
      </w:pPr>
      <w:r w:rsidRPr="00380B40">
        <w:rPr>
          <w:b/>
          <w:bCs/>
          <w:lang w:val="en-GB"/>
        </w:rPr>
        <w:t>A.6</w:t>
      </w:r>
      <w:r w:rsidRPr="00380B40">
        <w:rPr>
          <w:lang w:val="en-GB"/>
        </w:rPr>
        <w:tab/>
        <w:t>For research and reference purposes, ITU should maintain permanently in an archive an official copy of all Recommendations that are or have been valid.</w:t>
      </w:r>
    </w:p>
    <w:p w14:paraId="7FB19460" w14:textId="77777777" w:rsidR="003C356A" w:rsidRPr="00380B40" w:rsidRDefault="003C356A" w:rsidP="003C356A">
      <w:pPr>
        <w:rPr>
          <w:lang w:val="en-GB"/>
        </w:rPr>
      </w:pPr>
      <w:r w:rsidRPr="00380B40">
        <w:rPr>
          <w:b/>
          <w:bCs/>
          <w:lang w:val="en-GB"/>
        </w:rPr>
        <w:t>A.7</w:t>
      </w:r>
      <w:r w:rsidRPr="00380B40">
        <w:rPr>
          <w:lang w:val="en-GB"/>
        </w:rPr>
        <w:tab/>
        <w:t>The generally accessible online database of Recommendations should contain versions of Recommendations currently in force and versions previously in force since the 1988 Blue Book.</w:t>
      </w:r>
    </w:p>
    <w:p w14:paraId="5A961671" w14:textId="77777777" w:rsidR="003C356A" w:rsidRPr="00380B40" w:rsidRDefault="003C356A" w:rsidP="003C356A">
      <w:pPr>
        <w:rPr>
          <w:lang w:val="en-GB"/>
        </w:rPr>
      </w:pPr>
      <w:r w:rsidRPr="00380B40">
        <w:rPr>
          <w:b/>
          <w:bCs/>
          <w:lang w:val="en-GB"/>
        </w:rPr>
        <w:t>A.8</w:t>
      </w:r>
      <w:r w:rsidRPr="00380B40">
        <w:rPr>
          <w:lang w:val="en-GB"/>
        </w:rPr>
        <w:tab/>
        <w:t>ITU copyright should be strictly enforced on all formats of ITU</w:t>
      </w:r>
      <w:r w:rsidRPr="00380B40">
        <w:rPr>
          <w:lang w:val="en-GB"/>
        </w:rPr>
        <w:noBreakHyphen/>
        <w:t>T Recommendations.</w:t>
      </w:r>
    </w:p>
    <w:p w14:paraId="4AE7D8B9" w14:textId="77777777" w:rsidR="007E52B2" w:rsidRPr="00380B40" w:rsidRDefault="007E52B2" w:rsidP="008C3E8D">
      <w:pPr>
        <w:rPr>
          <w:lang w:val="en-GB"/>
        </w:rPr>
      </w:pPr>
    </w:p>
    <w:p w14:paraId="3B720BB9" w14:textId="77777777" w:rsidR="00C420AF" w:rsidRPr="00380B40" w:rsidRDefault="00C420AF" w:rsidP="008C3E8D">
      <w:pPr>
        <w:rPr>
          <w:lang w:val="en-GB"/>
        </w:rPr>
      </w:pPr>
    </w:p>
    <w:p w14:paraId="21387BDF" w14:textId="77777777" w:rsidR="00C420AF" w:rsidRPr="00380B40" w:rsidRDefault="00C420AF" w:rsidP="008C3E8D">
      <w:pPr>
        <w:rPr>
          <w:lang w:val="en-GB"/>
        </w:rPr>
      </w:pPr>
    </w:p>
    <w:p w14:paraId="0EF4CE51" w14:textId="77777777" w:rsidR="00C420AF" w:rsidRPr="00380B40" w:rsidRDefault="00C420AF" w:rsidP="008C3E8D">
      <w:pPr>
        <w:rPr>
          <w:lang w:val="en-GB"/>
        </w:rPr>
      </w:pPr>
    </w:p>
    <w:p w14:paraId="609BA4A8" w14:textId="77777777" w:rsidR="00C420AF" w:rsidRPr="00380B40" w:rsidRDefault="00C420AF" w:rsidP="008C3E8D">
      <w:pPr>
        <w:rPr>
          <w:lang w:val="en-GB"/>
        </w:rPr>
      </w:pPr>
    </w:p>
    <w:p w14:paraId="4E08B9D1" w14:textId="77777777" w:rsidR="003C356A" w:rsidRPr="00380B40" w:rsidRDefault="003C356A" w:rsidP="008C3E8D">
      <w:pPr>
        <w:rPr>
          <w:lang w:val="en-GB"/>
        </w:rPr>
      </w:pPr>
    </w:p>
    <w:p w14:paraId="3FCD5946" w14:textId="77777777" w:rsidR="003C356A" w:rsidRPr="00380B40" w:rsidRDefault="003C356A" w:rsidP="008C3E8D">
      <w:pPr>
        <w:rPr>
          <w:lang w:val="en-GB"/>
        </w:rPr>
      </w:pPr>
    </w:p>
    <w:p w14:paraId="43E69DCF" w14:textId="77777777" w:rsidR="00C32CE0" w:rsidRPr="00380B40" w:rsidRDefault="00C32CE0" w:rsidP="008C3E8D">
      <w:pPr>
        <w:rPr>
          <w:lang w:val="en-GB"/>
        </w:rPr>
        <w:sectPr w:rsidR="00C32CE0" w:rsidRPr="00380B40" w:rsidSect="00C32CE0">
          <w:headerReference w:type="even" r:id="rId399"/>
          <w:headerReference w:type="default" r:id="rId400"/>
          <w:footerReference w:type="even" r:id="rId401"/>
          <w:footerReference w:type="default" r:id="rId402"/>
          <w:footnotePr>
            <w:numRestart w:val="eachSect"/>
          </w:footnotePr>
          <w:pgSz w:w="11907" w:h="16834" w:code="9"/>
          <w:pgMar w:top="1134" w:right="1134" w:bottom="1134" w:left="1134" w:header="567" w:footer="567" w:gutter="0"/>
          <w:paperSrc w:first="15" w:other="15"/>
          <w:cols w:space="720"/>
          <w:vAlign w:val="both"/>
          <w:docGrid w:linePitch="326"/>
        </w:sectPr>
      </w:pPr>
    </w:p>
    <w:p w14:paraId="0140DDB4" w14:textId="77777777" w:rsidR="007E52B2" w:rsidRPr="00380B40" w:rsidRDefault="007E52B2" w:rsidP="008C3E8D">
      <w:pPr>
        <w:pStyle w:val="RecNo"/>
        <w:rPr>
          <w:lang w:val="en-GB"/>
        </w:rPr>
      </w:pPr>
      <w:bookmarkStart w:id="1182" w:name="_Toc104459829"/>
      <w:bookmarkStart w:id="1183" w:name="_Toc111636942"/>
      <w:bookmarkStart w:id="1184" w:name="_Toc111638538"/>
      <w:r w:rsidRPr="00380B40">
        <w:rPr>
          <w:lang w:val="en-GB"/>
        </w:rPr>
        <w:t xml:space="preserve">Recommendation ITU-T </w:t>
      </w:r>
      <w:r w:rsidRPr="00380B40">
        <w:rPr>
          <w:rStyle w:val="href"/>
          <w:lang w:val="en-GB"/>
        </w:rPr>
        <w:t>A.12</w:t>
      </w:r>
      <w:bookmarkEnd w:id="1182"/>
      <w:bookmarkEnd w:id="1183"/>
      <w:bookmarkEnd w:id="1184"/>
    </w:p>
    <w:p w14:paraId="3085EB27" w14:textId="77777777" w:rsidR="003C356A" w:rsidRPr="00380B40" w:rsidRDefault="003C356A" w:rsidP="003C356A">
      <w:pPr>
        <w:pStyle w:val="Rectitle"/>
        <w:rPr>
          <w:lang w:val="en-GB"/>
        </w:rPr>
      </w:pPr>
      <w:bookmarkStart w:id="1185" w:name="_Toc104459830"/>
      <w:bookmarkStart w:id="1186" w:name="_Toc111638539"/>
      <w:r w:rsidRPr="00380B40">
        <w:rPr>
          <w:lang w:val="en-GB"/>
        </w:rPr>
        <w:t>Identification and layout of ITU</w:t>
      </w:r>
      <w:r w:rsidRPr="00380B40">
        <w:rPr>
          <w:lang w:val="en-GB"/>
        </w:rPr>
        <w:noBreakHyphen/>
        <w:t>T Recommendations</w:t>
      </w:r>
      <w:bookmarkEnd w:id="1185"/>
      <w:bookmarkEnd w:id="1186"/>
    </w:p>
    <w:p w14:paraId="1C9B09D1" w14:textId="77777777" w:rsidR="003C356A" w:rsidRPr="00380B40" w:rsidRDefault="003C356A" w:rsidP="003C356A">
      <w:pPr>
        <w:pStyle w:val="Heading1"/>
        <w:rPr>
          <w:lang w:val="en-GB"/>
        </w:rPr>
      </w:pPr>
      <w:bookmarkStart w:id="1187" w:name="_Toc471454626"/>
      <w:bookmarkStart w:id="1188" w:name="_Toc111636943"/>
      <w:r w:rsidRPr="00380B40">
        <w:rPr>
          <w:lang w:val="en-GB"/>
        </w:rPr>
        <w:t>1</w:t>
      </w:r>
      <w:r w:rsidRPr="00380B40">
        <w:rPr>
          <w:lang w:val="en-GB"/>
        </w:rPr>
        <w:tab/>
        <w:t>Scope</w:t>
      </w:r>
      <w:bookmarkEnd w:id="1187"/>
      <w:bookmarkEnd w:id="1188"/>
    </w:p>
    <w:p w14:paraId="02D46352" w14:textId="77777777" w:rsidR="003C356A" w:rsidRPr="00380B40" w:rsidRDefault="003C356A" w:rsidP="003C356A">
      <w:pPr>
        <w:rPr>
          <w:bCs/>
          <w:lang w:val="en-GB"/>
        </w:rPr>
      </w:pPr>
      <w:r w:rsidRPr="00380B40">
        <w:rPr>
          <w:bCs/>
          <w:lang w:val="en-GB"/>
        </w:rPr>
        <w:t>The Telecommunication Standardization Advisory Group (TSAG) periodically reviews the methods of identifying and laying out Recommendations as well as the Author's Guide for drafting ITU</w:t>
      </w:r>
      <w:r w:rsidRPr="00380B40">
        <w:rPr>
          <w:bCs/>
          <w:lang w:val="en-GB"/>
        </w:rPr>
        <w:noBreakHyphen/>
        <w:t>T Recommendations, prepared and updated by the Telecommunication Standardization Bureau (TSB), providing thus detailed guidelines on format and style. This Recommendation provides principles that are applied in identifying and laying out Recommendations.</w:t>
      </w:r>
    </w:p>
    <w:p w14:paraId="28F2E817" w14:textId="77777777" w:rsidR="003C356A" w:rsidRPr="00380B40" w:rsidRDefault="003C356A" w:rsidP="003C356A">
      <w:pPr>
        <w:pStyle w:val="Heading1"/>
        <w:rPr>
          <w:lang w:val="en-GB"/>
        </w:rPr>
      </w:pPr>
      <w:bookmarkStart w:id="1189" w:name="_Toc471454627"/>
      <w:bookmarkStart w:id="1190" w:name="_Toc111636944"/>
      <w:r w:rsidRPr="00380B40">
        <w:rPr>
          <w:lang w:val="en-GB"/>
        </w:rPr>
        <w:t>2</w:t>
      </w:r>
      <w:r w:rsidRPr="00380B40">
        <w:rPr>
          <w:lang w:val="en-GB"/>
        </w:rPr>
        <w:tab/>
        <w:t>Identification and layout of Recommendations</w:t>
      </w:r>
      <w:bookmarkEnd w:id="1189"/>
      <w:bookmarkEnd w:id="1190"/>
    </w:p>
    <w:p w14:paraId="09BE8B65" w14:textId="77777777" w:rsidR="003C356A" w:rsidRPr="00380B40" w:rsidRDefault="003C356A" w:rsidP="003C356A">
      <w:pPr>
        <w:rPr>
          <w:bCs/>
          <w:lang w:val="en-GB"/>
        </w:rPr>
      </w:pPr>
      <w:r w:rsidRPr="00380B40">
        <w:rPr>
          <w:b/>
          <w:lang w:val="en-GB"/>
        </w:rPr>
        <w:t>2.1</w:t>
      </w:r>
      <w:r w:rsidRPr="00380B40">
        <w:rPr>
          <w:bCs/>
          <w:lang w:val="en-GB"/>
        </w:rPr>
        <w:tab/>
        <w:t>All Recommendations of the ITU Telecommunication Standardization Sector (ITU</w:t>
      </w:r>
      <w:r w:rsidRPr="00380B40">
        <w:rPr>
          <w:bCs/>
          <w:lang w:val="en-GB"/>
        </w:rPr>
        <w:noBreakHyphen/>
        <w:t>T) shall be numbered. The number of each Recommendation shall have a letter prefix referring to the series as well as a number identifying the particular subject in that series. The numbering shall be done in a manner that permits clear, unequivocal identification and facilitates electronic storage of information concerning the Recommendation. The Recommendation number shall be associated on the cover with the date of approval in the format YYYY. The month may be added if required for uniqueness.</w:t>
      </w:r>
    </w:p>
    <w:p w14:paraId="6DF66A08" w14:textId="77777777" w:rsidR="003C356A" w:rsidRPr="00380B40" w:rsidRDefault="003C356A" w:rsidP="003C356A">
      <w:pPr>
        <w:rPr>
          <w:bCs/>
          <w:lang w:val="en-GB"/>
        </w:rPr>
      </w:pPr>
      <w:r w:rsidRPr="00380B40">
        <w:rPr>
          <w:b/>
          <w:lang w:val="en-GB"/>
        </w:rPr>
        <w:t>2.2</w:t>
      </w:r>
      <w:r w:rsidRPr="00380B40">
        <w:rPr>
          <w:bCs/>
          <w:lang w:val="en-GB"/>
        </w:rPr>
        <w:tab/>
        <w:t>The scope of the series identified by the letter shall be as follows:</w:t>
      </w:r>
    </w:p>
    <w:p w14:paraId="214EB047" w14:textId="77777777" w:rsidR="003C356A" w:rsidRPr="00380B40" w:rsidRDefault="003C356A" w:rsidP="003C356A">
      <w:pPr>
        <w:pStyle w:val="enumlev2"/>
        <w:rPr>
          <w:bCs/>
          <w:lang w:val="en-GB"/>
        </w:rPr>
      </w:pPr>
      <w:r w:rsidRPr="00380B40">
        <w:rPr>
          <w:bCs/>
          <w:lang w:val="en-GB"/>
        </w:rPr>
        <w:t>A</w:t>
      </w:r>
      <w:r w:rsidRPr="00380B40">
        <w:rPr>
          <w:bCs/>
          <w:lang w:val="en-GB"/>
        </w:rPr>
        <w:tab/>
        <w:t>Organization of the work of ITU</w:t>
      </w:r>
      <w:r w:rsidRPr="00380B40">
        <w:rPr>
          <w:bCs/>
          <w:lang w:val="en-GB"/>
        </w:rPr>
        <w:noBreakHyphen/>
        <w:t>T</w:t>
      </w:r>
    </w:p>
    <w:p w14:paraId="62CD5D4C" w14:textId="77777777" w:rsidR="003C356A" w:rsidRPr="00380B40" w:rsidRDefault="003C356A" w:rsidP="003C356A">
      <w:pPr>
        <w:pStyle w:val="enumlev2"/>
        <w:rPr>
          <w:bCs/>
          <w:lang w:val="en-GB"/>
        </w:rPr>
      </w:pPr>
      <w:r w:rsidRPr="00380B40">
        <w:rPr>
          <w:bCs/>
          <w:lang w:val="en-GB"/>
        </w:rPr>
        <w:t>B</w:t>
      </w:r>
      <w:r w:rsidRPr="00380B40">
        <w:rPr>
          <w:bCs/>
          <w:lang w:val="en-GB"/>
        </w:rPr>
        <w:tab/>
      </w:r>
      <w:r w:rsidRPr="00380B40">
        <w:rPr>
          <w:bCs/>
          <w:i/>
          <w:lang w:val="en-GB"/>
        </w:rPr>
        <w:t>Not allocated</w:t>
      </w:r>
    </w:p>
    <w:p w14:paraId="7B810DB7" w14:textId="77777777" w:rsidR="003C356A" w:rsidRPr="00380B40" w:rsidRDefault="003C356A" w:rsidP="003C356A">
      <w:pPr>
        <w:pStyle w:val="enumlev2"/>
        <w:rPr>
          <w:bCs/>
          <w:lang w:val="en-GB"/>
        </w:rPr>
      </w:pPr>
      <w:r w:rsidRPr="00380B40">
        <w:rPr>
          <w:bCs/>
          <w:lang w:val="en-GB"/>
        </w:rPr>
        <w:t>C</w:t>
      </w:r>
      <w:r w:rsidRPr="00380B40">
        <w:rPr>
          <w:bCs/>
          <w:lang w:val="en-GB"/>
        </w:rPr>
        <w:tab/>
      </w:r>
      <w:r w:rsidRPr="00380B40">
        <w:rPr>
          <w:bCs/>
          <w:i/>
          <w:lang w:val="en-GB"/>
        </w:rPr>
        <w:t>Not allocated</w:t>
      </w:r>
    </w:p>
    <w:p w14:paraId="20F80EE8" w14:textId="77777777" w:rsidR="003C356A" w:rsidRPr="00380B40" w:rsidRDefault="003C356A" w:rsidP="003C356A">
      <w:pPr>
        <w:pStyle w:val="enumlev2"/>
        <w:rPr>
          <w:bCs/>
          <w:lang w:val="en-GB"/>
        </w:rPr>
      </w:pPr>
      <w:r w:rsidRPr="00380B40">
        <w:rPr>
          <w:bCs/>
          <w:lang w:val="en-GB"/>
        </w:rPr>
        <w:t>D</w:t>
      </w:r>
      <w:r w:rsidRPr="00380B40">
        <w:rPr>
          <w:bCs/>
          <w:lang w:val="en-GB"/>
        </w:rPr>
        <w:tab/>
        <w:t>Tariff and accounting principles and international telecommunication/ICT economic and policy issues</w:t>
      </w:r>
    </w:p>
    <w:p w14:paraId="6760A3A2" w14:textId="77777777" w:rsidR="003C356A" w:rsidRPr="00380B40" w:rsidRDefault="003C356A" w:rsidP="003C356A">
      <w:pPr>
        <w:pStyle w:val="enumlev2"/>
        <w:rPr>
          <w:bCs/>
          <w:lang w:val="en-GB"/>
        </w:rPr>
      </w:pPr>
      <w:r w:rsidRPr="00380B40">
        <w:rPr>
          <w:bCs/>
          <w:lang w:val="en-GB"/>
        </w:rPr>
        <w:t>E</w:t>
      </w:r>
      <w:r w:rsidRPr="00380B40">
        <w:rPr>
          <w:bCs/>
          <w:lang w:val="en-GB"/>
        </w:rPr>
        <w:tab/>
        <w:t>Overall network operation, telephone service, service operation and human factors</w:t>
      </w:r>
    </w:p>
    <w:p w14:paraId="01727764" w14:textId="77777777" w:rsidR="003C356A" w:rsidRPr="00380B40" w:rsidRDefault="003C356A" w:rsidP="003C356A">
      <w:pPr>
        <w:pStyle w:val="enumlev2"/>
        <w:rPr>
          <w:bCs/>
          <w:lang w:val="en-GB"/>
        </w:rPr>
      </w:pPr>
      <w:r w:rsidRPr="00380B40">
        <w:rPr>
          <w:bCs/>
          <w:lang w:val="en-GB"/>
        </w:rPr>
        <w:t>F</w:t>
      </w:r>
      <w:r w:rsidRPr="00380B40">
        <w:rPr>
          <w:bCs/>
          <w:lang w:val="en-GB"/>
        </w:rPr>
        <w:tab/>
        <w:t>Non-telephone telecommunication services</w:t>
      </w:r>
    </w:p>
    <w:p w14:paraId="1F5ADC45" w14:textId="77777777" w:rsidR="003C356A" w:rsidRPr="00380B40" w:rsidRDefault="003C356A" w:rsidP="003C356A">
      <w:pPr>
        <w:pStyle w:val="enumlev2"/>
        <w:rPr>
          <w:bCs/>
          <w:lang w:val="en-GB"/>
        </w:rPr>
      </w:pPr>
      <w:r w:rsidRPr="00380B40">
        <w:rPr>
          <w:bCs/>
          <w:lang w:val="en-GB"/>
        </w:rPr>
        <w:t>G</w:t>
      </w:r>
      <w:r w:rsidRPr="00380B40">
        <w:rPr>
          <w:bCs/>
          <w:lang w:val="en-GB"/>
        </w:rPr>
        <w:tab/>
        <w:t>Transmission systems and media, digital systems and networks</w:t>
      </w:r>
    </w:p>
    <w:p w14:paraId="7BC10B98" w14:textId="77777777" w:rsidR="003C356A" w:rsidRPr="00380B40" w:rsidRDefault="003C356A" w:rsidP="003C356A">
      <w:pPr>
        <w:pStyle w:val="enumlev2"/>
        <w:rPr>
          <w:bCs/>
          <w:lang w:val="en-GB"/>
        </w:rPr>
      </w:pPr>
      <w:r w:rsidRPr="00380B40">
        <w:rPr>
          <w:bCs/>
          <w:lang w:val="en-GB"/>
        </w:rPr>
        <w:t>H</w:t>
      </w:r>
      <w:r w:rsidRPr="00380B40">
        <w:rPr>
          <w:bCs/>
          <w:lang w:val="en-GB"/>
        </w:rPr>
        <w:tab/>
        <w:t xml:space="preserve">Audiovisual and multimedia systems </w:t>
      </w:r>
    </w:p>
    <w:p w14:paraId="37E6CB54" w14:textId="77777777" w:rsidR="003C356A" w:rsidRPr="00380B40" w:rsidRDefault="003C356A" w:rsidP="003C356A">
      <w:pPr>
        <w:pStyle w:val="enumlev2"/>
        <w:rPr>
          <w:bCs/>
          <w:lang w:val="en-GB"/>
        </w:rPr>
      </w:pPr>
      <w:r w:rsidRPr="00380B40">
        <w:rPr>
          <w:bCs/>
          <w:lang w:val="en-GB"/>
        </w:rPr>
        <w:t>I</w:t>
      </w:r>
      <w:r w:rsidRPr="00380B40">
        <w:rPr>
          <w:bCs/>
          <w:lang w:val="en-GB"/>
        </w:rPr>
        <w:tab/>
        <w:t>Integrated services digital network</w:t>
      </w:r>
    </w:p>
    <w:p w14:paraId="2C13368D" w14:textId="77777777" w:rsidR="003C356A" w:rsidRPr="00380B40" w:rsidRDefault="003C356A" w:rsidP="003C356A">
      <w:pPr>
        <w:pStyle w:val="enumlev2"/>
        <w:rPr>
          <w:bCs/>
          <w:lang w:val="en-GB"/>
        </w:rPr>
      </w:pPr>
      <w:r w:rsidRPr="00380B40">
        <w:rPr>
          <w:bCs/>
          <w:lang w:val="en-GB"/>
        </w:rPr>
        <w:t>J</w:t>
      </w:r>
      <w:r w:rsidRPr="00380B40">
        <w:rPr>
          <w:bCs/>
          <w:lang w:val="en-GB"/>
        </w:rPr>
        <w:tab/>
        <w:t>Cable networks and transmission of television, sound programme and other multimedia signals</w:t>
      </w:r>
    </w:p>
    <w:p w14:paraId="78207B50" w14:textId="77777777" w:rsidR="003C356A" w:rsidRPr="00380B40" w:rsidRDefault="003C356A" w:rsidP="003C356A">
      <w:pPr>
        <w:pStyle w:val="enumlev2"/>
        <w:rPr>
          <w:bCs/>
          <w:lang w:val="en-GB"/>
        </w:rPr>
      </w:pPr>
      <w:r w:rsidRPr="00380B40">
        <w:rPr>
          <w:bCs/>
          <w:lang w:val="en-GB"/>
        </w:rPr>
        <w:t>K</w:t>
      </w:r>
      <w:r w:rsidRPr="00380B40">
        <w:rPr>
          <w:bCs/>
          <w:lang w:val="en-GB"/>
        </w:rPr>
        <w:tab/>
        <w:t>Protection against interference</w:t>
      </w:r>
    </w:p>
    <w:p w14:paraId="11279FD4" w14:textId="77777777" w:rsidR="003C356A" w:rsidRPr="00380B40" w:rsidRDefault="003C356A" w:rsidP="003C356A">
      <w:pPr>
        <w:pStyle w:val="enumlev2"/>
        <w:rPr>
          <w:bCs/>
          <w:lang w:val="en-GB"/>
        </w:rPr>
      </w:pPr>
      <w:r w:rsidRPr="00380B40">
        <w:rPr>
          <w:bCs/>
          <w:lang w:val="en-GB"/>
        </w:rPr>
        <w:t>L</w:t>
      </w:r>
      <w:r w:rsidRPr="00380B40">
        <w:rPr>
          <w:bCs/>
          <w:lang w:val="en-GB"/>
        </w:rPr>
        <w:tab/>
        <w:t>Environment and ICTs, climate change, e-waste, energy efficiency; construction, installation and protection of cables and other elements of outside plant</w:t>
      </w:r>
    </w:p>
    <w:p w14:paraId="382B53EB" w14:textId="77777777" w:rsidR="001B4241" w:rsidRPr="00380B40" w:rsidRDefault="001B4241" w:rsidP="003C356A">
      <w:pPr>
        <w:pStyle w:val="enumlev2"/>
        <w:rPr>
          <w:bCs/>
          <w:lang w:val="en-GB"/>
        </w:rPr>
      </w:pPr>
      <w:r w:rsidRPr="00380B40">
        <w:rPr>
          <w:bCs/>
          <w:lang w:val="en-GB"/>
        </w:rPr>
        <w:br w:type="page"/>
      </w:r>
    </w:p>
    <w:p w14:paraId="713F3848" w14:textId="77777777" w:rsidR="003C356A" w:rsidRPr="00380B40" w:rsidRDefault="003C356A" w:rsidP="003C356A">
      <w:pPr>
        <w:pStyle w:val="enumlev2"/>
        <w:rPr>
          <w:bCs/>
          <w:lang w:val="en-GB"/>
        </w:rPr>
      </w:pPr>
      <w:r w:rsidRPr="00380B40">
        <w:rPr>
          <w:bCs/>
          <w:lang w:val="en-GB"/>
        </w:rPr>
        <w:t>M</w:t>
      </w:r>
      <w:r w:rsidRPr="00380B40">
        <w:rPr>
          <w:bCs/>
          <w:lang w:val="en-GB"/>
        </w:rPr>
        <w:tab/>
        <w:t>Telecommunication management, including TMN and network maintenance</w:t>
      </w:r>
    </w:p>
    <w:p w14:paraId="215F2129" w14:textId="77777777" w:rsidR="003C356A" w:rsidRPr="00380B40" w:rsidRDefault="003C356A" w:rsidP="003C356A">
      <w:pPr>
        <w:pStyle w:val="enumlev2"/>
        <w:rPr>
          <w:bCs/>
          <w:lang w:val="en-GB"/>
        </w:rPr>
      </w:pPr>
      <w:r w:rsidRPr="00380B40">
        <w:rPr>
          <w:bCs/>
          <w:lang w:val="en-GB"/>
        </w:rPr>
        <w:t>N</w:t>
      </w:r>
      <w:r w:rsidRPr="00380B40">
        <w:rPr>
          <w:bCs/>
          <w:lang w:val="en-GB"/>
        </w:rPr>
        <w:tab/>
        <w:t>Maintenance: international sound</w:t>
      </w:r>
      <w:r w:rsidRPr="00380B40">
        <w:rPr>
          <w:bCs/>
          <w:lang w:val="en-GB"/>
        </w:rPr>
        <w:noBreakHyphen/>
        <w:t>programme and television-transmission circuits</w:t>
      </w:r>
    </w:p>
    <w:p w14:paraId="5987F73D" w14:textId="77777777" w:rsidR="003C356A" w:rsidRPr="00380B40" w:rsidRDefault="003C356A" w:rsidP="003C356A">
      <w:pPr>
        <w:pStyle w:val="enumlev2"/>
        <w:rPr>
          <w:lang w:val="en-GB"/>
        </w:rPr>
      </w:pPr>
      <w:r w:rsidRPr="00380B40">
        <w:rPr>
          <w:bCs/>
          <w:lang w:val="en-GB"/>
        </w:rPr>
        <w:t>O</w:t>
      </w:r>
      <w:r w:rsidRPr="00380B40">
        <w:rPr>
          <w:bCs/>
          <w:lang w:val="en-GB"/>
        </w:rPr>
        <w:tab/>
        <w:t>Specifications of measuring equipment</w:t>
      </w:r>
    </w:p>
    <w:p w14:paraId="5024B4BA" w14:textId="77777777" w:rsidR="003C356A" w:rsidRPr="00380B40" w:rsidRDefault="003C356A" w:rsidP="003C356A">
      <w:pPr>
        <w:pStyle w:val="enumlev2"/>
        <w:rPr>
          <w:bCs/>
          <w:lang w:val="en-GB"/>
        </w:rPr>
      </w:pPr>
      <w:r w:rsidRPr="00380B40">
        <w:rPr>
          <w:lang w:val="en-GB"/>
        </w:rPr>
        <w:t>P</w:t>
      </w:r>
      <w:r w:rsidRPr="00380B40">
        <w:rPr>
          <w:lang w:val="en-GB"/>
        </w:rPr>
        <w:tab/>
        <w:t>Telephone transmission quality, telepho</w:t>
      </w:r>
      <w:r w:rsidRPr="00380B40">
        <w:rPr>
          <w:bCs/>
          <w:lang w:val="en-GB"/>
        </w:rPr>
        <w:t>ne installations, local line networks</w:t>
      </w:r>
    </w:p>
    <w:p w14:paraId="2B362E0C" w14:textId="77777777" w:rsidR="003C356A" w:rsidRPr="00380B40" w:rsidRDefault="003C356A" w:rsidP="003C356A">
      <w:pPr>
        <w:pStyle w:val="enumlev2"/>
        <w:rPr>
          <w:bCs/>
          <w:lang w:val="en-GB"/>
        </w:rPr>
      </w:pPr>
      <w:r w:rsidRPr="00380B40">
        <w:rPr>
          <w:bCs/>
          <w:lang w:val="en-GB"/>
        </w:rPr>
        <w:t>Q</w:t>
      </w:r>
      <w:r w:rsidRPr="00380B40">
        <w:rPr>
          <w:bCs/>
          <w:lang w:val="en-GB"/>
        </w:rPr>
        <w:tab/>
        <w:t>Switching and signalling, and associated measurements and tests</w:t>
      </w:r>
    </w:p>
    <w:p w14:paraId="58913A1B" w14:textId="77777777" w:rsidR="003C356A" w:rsidRPr="00380B40" w:rsidRDefault="003C356A" w:rsidP="003C356A">
      <w:pPr>
        <w:pStyle w:val="enumlev2"/>
        <w:rPr>
          <w:bCs/>
          <w:lang w:val="en-GB"/>
        </w:rPr>
      </w:pPr>
      <w:r w:rsidRPr="00380B40">
        <w:rPr>
          <w:bCs/>
          <w:lang w:val="en-GB"/>
        </w:rPr>
        <w:t>R</w:t>
      </w:r>
      <w:r w:rsidRPr="00380B40">
        <w:rPr>
          <w:bCs/>
          <w:lang w:val="en-GB"/>
        </w:rPr>
        <w:tab/>
        <w:t>Telegraph transmission</w:t>
      </w:r>
    </w:p>
    <w:p w14:paraId="566EFD0B" w14:textId="77777777" w:rsidR="003C356A" w:rsidRPr="00380B40" w:rsidRDefault="003C356A" w:rsidP="003C356A">
      <w:pPr>
        <w:pStyle w:val="enumlev2"/>
        <w:rPr>
          <w:bCs/>
          <w:lang w:val="en-GB"/>
        </w:rPr>
      </w:pPr>
      <w:r w:rsidRPr="00380B40">
        <w:rPr>
          <w:bCs/>
          <w:lang w:val="en-GB"/>
        </w:rPr>
        <w:t>S</w:t>
      </w:r>
      <w:r w:rsidRPr="00380B40">
        <w:rPr>
          <w:bCs/>
          <w:lang w:val="en-GB"/>
        </w:rPr>
        <w:tab/>
        <w:t>Telegraph services terminal equipment</w:t>
      </w:r>
    </w:p>
    <w:p w14:paraId="7AEE63A9" w14:textId="77777777" w:rsidR="003C356A" w:rsidRPr="00380B40" w:rsidRDefault="003C356A" w:rsidP="003C356A">
      <w:pPr>
        <w:pStyle w:val="enumlev2"/>
        <w:rPr>
          <w:bCs/>
          <w:lang w:val="en-GB"/>
        </w:rPr>
      </w:pPr>
      <w:r w:rsidRPr="00380B40">
        <w:rPr>
          <w:bCs/>
          <w:lang w:val="en-GB"/>
        </w:rPr>
        <w:t>T</w:t>
      </w:r>
      <w:r w:rsidRPr="00380B40">
        <w:rPr>
          <w:bCs/>
          <w:lang w:val="en-GB"/>
        </w:rPr>
        <w:tab/>
        <w:t>Terminals for telematic services</w:t>
      </w:r>
    </w:p>
    <w:p w14:paraId="26725457" w14:textId="77777777" w:rsidR="003C356A" w:rsidRPr="00380B40" w:rsidRDefault="003C356A" w:rsidP="003C356A">
      <w:pPr>
        <w:pStyle w:val="enumlev2"/>
        <w:rPr>
          <w:bCs/>
          <w:lang w:val="en-GB"/>
        </w:rPr>
      </w:pPr>
      <w:r w:rsidRPr="00380B40">
        <w:rPr>
          <w:bCs/>
          <w:lang w:val="en-GB"/>
        </w:rPr>
        <w:t>U</w:t>
      </w:r>
      <w:r w:rsidRPr="00380B40">
        <w:rPr>
          <w:bCs/>
          <w:lang w:val="en-GB"/>
        </w:rPr>
        <w:tab/>
        <w:t>Telegraph switching</w:t>
      </w:r>
    </w:p>
    <w:p w14:paraId="0B1A5085" w14:textId="77777777" w:rsidR="003C356A" w:rsidRPr="00380B40" w:rsidRDefault="003C356A" w:rsidP="003C356A">
      <w:pPr>
        <w:pStyle w:val="enumlev2"/>
        <w:rPr>
          <w:bCs/>
          <w:lang w:val="en-GB"/>
        </w:rPr>
      </w:pPr>
      <w:r w:rsidRPr="00380B40">
        <w:rPr>
          <w:bCs/>
          <w:lang w:val="en-GB"/>
        </w:rPr>
        <w:t>V</w:t>
      </w:r>
      <w:r w:rsidRPr="00380B40">
        <w:rPr>
          <w:bCs/>
          <w:lang w:val="en-GB"/>
        </w:rPr>
        <w:tab/>
        <w:t>Data communication over the telephone network</w:t>
      </w:r>
    </w:p>
    <w:p w14:paraId="0B8FB9AA" w14:textId="77777777" w:rsidR="003C356A" w:rsidRPr="00380B40" w:rsidRDefault="003C356A" w:rsidP="003C356A">
      <w:pPr>
        <w:pStyle w:val="enumlev2"/>
        <w:rPr>
          <w:bCs/>
          <w:lang w:val="en-GB"/>
        </w:rPr>
      </w:pPr>
      <w:r w:rsidRPr="00380B40">
        <w:rPr>
          <w:bCs/>
          <w:lang w:val="en-GB"/>
        </w:rPr>
        <w:t>W</w:t>
      </w:r>
      <w:r w:rsidRPr="00380B40">
        <w:rPr>
          <w:bCs/>
          <w:lang w:val="en-GB"/>
        </w:rPr>
        <w:tab/>
      </w:r>
      <w:r w:rsidRPr="00380B40">
        <w:rPr>
          <w:bCs/>
          <w:i/>
          <w:lang w:val="en-GB"/>
        </w:rPr>
        <w:t>Not allocated</w:t>
      </w:r>
    </w:p>
    <w:p w14:paraId="23D25CD7" w14:textId="77777777" w:rsidR="003C356A" w:rsidRPr="00380B40" w:rsidRDefault="003C356A" w:rsidP="003C356A">
      <w:pPr>
        <w:pStyle w:val="enumlev2"/>
        <w:rPr>
          <w:bCs/>
          <w:lang w:val="en-GB"/>
        </w:rPr>
      </w:pPr>
      <w:r w:rsidRPr="00380B40">
        <w:rPr>
          <w:bCs/>
          <w:lang w:val="en-GB"/>
        </w:rPr>
        <w:t>X</w:t>
      </w:r>
      <w:r w:rsidRPr="00380B40">
        <w:rPr>
          <w:bCs/>
          <w:lang w:val="en-GB"/>
        </w:rPr>
        <w:tab/>
        <w:t xml:space="preserve">Data networks, open system communications </w:t>
      </w:r>
      <w:r w:rsidRPr="00380B40">
        <w:rPr>
          <w:bCs/>
          <w:iCs/>
          <w:lang w:val="en-GB"/>
        </w:rPr>
        <w:t>and security</w:t>
      </w:r>
    </w:p>
    <w:p w14:paraId="584072C7" w14:textId="77777777" w:rsidR="003C356A" w:rsidRPr="00380B40" w:rsidRDefault="003C356A" w:rsidP="003C356A">
      <w:pPr>
        <w:pStyle w:val="enumlev2"/>
        <w:rPr>
          <w:bCs/>
          <w:lang w:val="en-GB"/>
        </w:rPr>
      </w:pPr>
      <w:r w:rsidRPr="00380B40">
        <w:rPr>
          <w:bCs/>
          <w:lang w:val="en-GB"/>
        </w:rPr>
        <w:t>Y</w:t>
      </w:r>
      <w:r w:rsidRPr="00380B40">
        <w:rPr>
          <w:bCs/>
          <w:lang w:val="en-GB"/>
        </w:rPr>
        <w:tab/>
        <w:t>Global information infrastructure, Internet protocol aspects, next-generation networks, Internet of Things and smart cities</w:t>
      </w:r>
    </w:p>
    <w:p w14:paraId="3B8031DB" w14:textId="77777777" w:rsidR="003C356A" w:rsidRPr="00380B40" w:rsidRDefault="003C356A" w:rsidP="003C356A">
      <w:pPr>
        <w:pStyle w:val="enumlev2"/>
        <w:rPr>
          <w:bCs/>
          <w:lang w:val="en-GB"/>
        </w:rPr>
      </w:pPr>
      <w:r w:rsidRPr="00380B40">
        <w:rPr>
          <w:bCs/>
          <w:lang w:val="en-GB"/>
        </w:rPr>
        <w:t>Z</w:t>
      </w:r>
      <w:r w:rsidRPr="00380B40">
        <w:rPr>
          <w:bCs/>
          <w:lang w:val="en-GB"/>
        </w:rPr>
        <w:tab/>
        <w:t>Languages and general software aspects for telecommunication systems</w:t>
      </w:r>
    </w:p>
    <w:p w14:paraId="4005782C" w14:textId="77777777" w:rsidR="003C356A" w:rsidRPr="00380B40" w:rsidRDefault="003C356A" w:rsidP="003C356A">
      <w:pPr>
        <w:rPr>
          <w:bCs/>
          <w:lang w:val="en-GB"/>
        </w:rPr>
      </w:pPr>
      <w:r w:rsidRPr="00380B40">
        <w:rPr>
          <w:b/>
          <w:lang w:val="en-GB"/>
        </w:rPr>
        <w:t>2.3</w:t>
      </w:r>
      <w:r w:rsidRPr="00380B40">
        <w:rPr>
          <w:bCs/>
          <w:lang w:val="en-GB"/>
        </w:rPr>
        <w:tab/>
        <w:t>Recommendations in each series shall be classified in sections, according to subject.</w:t>
      </w:r>
    </w:p>
    <w:p w14:paraId="2CE0131E" w14:textId="77777777" w:rsidR="003C356A" w:rsidRPr="00380B40" w:rsidRDefault="003C356A" w:rsidP="003C356A">
      <w:pPr>
        <w:rPr>
          <w:bCs/>
          <w:lang w:val="en-GB"/>
        </w:rPr>
      </w:pPr>
      <w:r w:rsidRPr="00380B40">
        <w:rPr>
          <w:b/>
          <w:lang w:val="en-GB"/>
        </w:rPr>
        <w:t>2.4</w:t>
      </w:r>
      <w:r w:rsidRPr="00380B40">
        <w:rPr>
          <w:bCs/>
          <w:lang w:val="en-GB"/>
        </w:rPr>
        <w:tab/>
        <w:t>The title of each Recommendation should be concise (preferably no more than one line) but unique, meaningful and unambiguous. The details identifying the precise intent and coverage should be contained in the text where possible (e.g., under "Scope" clause).</w:t>
      </w:r>
    </w:p>
    <w:p w14:paraId="2B4A254A" w14:textId="77777777" w:rsidR="003C356A" w:rsidRPr="00380B40" w:rsidRDefault="003C356A" w:rsidP="003C356A">
      <w:pPr>
        <w:rPr>
          <w:bCs/>
          <w:lang w:val="en-GB"/>
        </w:rPr>
      </w:pPr>
      <w:r w:rsidRPr="00380B40">
        <w:rPr>
          <w:b/>
          <w:lang w:val="en-GB"/>
        </w:rPr>
        <w:t>2.5</w:t>
      </w:r>
      <w:r w:rsidRPr="00380B40">
        <w:rPr>
          <w:bCs/>
          <w:lang w:val="en-GB"/>
        </w:rPr>
        <w:tab/>
        <w:t>The date of formal approval of the Recommendation, the study group(s) responsible for its approval and a record of revisions shall be clearly indicated,</w:t>
      </w:r>
      <w:r w:rsidRPr="00380B40">
        <w:rPr>
          <w:rFonts w:cs="timesnewroman"/>
          <w:bCs/>
          <w:lang w:val="en-GB"/>
        </w:rPr>
        <w:t xml:space="preserve"> together with the approval process applied</w:t>
      </w:r>
      <w:r w:rsidRPr="00380B40">
        <w:rPr>
          <w:bCs/>
          <w:lang w:val="en-GB"/>
        </w:rPr>
        <w:t>. In accordance with the ITU Convention, the status of Recommendations approved is the same for both the alternative approval process (AAP) and traditional approval process (TAP) methods of approval.</w:t>
      </w:r>
    </w:p>
    <w:p w14:paraId="568554FC" w14:textId="77777777" w:rsidR="003C356A" w:rsidRPr="00380B40" w:rsidRDefault="003C356A" w:rsidP="003C356A">
      <w:pPr>
        <w:rPr>
          <w:bCs/>
          <w:lang w:val="en-GB"/>
        </w:rPr>
      </w:pPr>
      <w:r w:rsidRPr="00380B40">
        <w:rPr>
          <w:b/>
          <w:lang w:val="en-GB"/>
        </w:rPr>
        <w:t>2.6</w:t>
      </w:r>
      <w:r w:rsidRPr="00380B40">
        <w:rPr>
          <w:bCs/>
          <w:lang w:val="en-GB"/>
        </w:rPr>
        <w:tab/>
        <w:t>The author of a new or revised Recommendation shall provide, in front of the main body of the Recommendation, a summary and a set of keywords as outlined in the "Author's Guide for drafting ITU</w:t>
      </w:r>
      <w:r w:rsidRPr="00380B40">
        <w:rPr>
          <w:bCs/>
          <w:lang w:val="en-GB"/>
        </w:rPr>
        <w:noBreakHyphen/>
        <w:t>T Recommendations". The author may also provide other up-front elements, such as background information, as provided for in the Author's Guide.</w:t>
      </w:r>
    </w:p>
    <w:p w14:paraId="541A1DDD" w14:textId="77777777" w:rsidR="003C356A" w:rsidRPr="00380B40" w:rsidRDefault="003C356A" w:rsidP="003C356A">
      <w:pPr>
        <w:rPr>
          <w:lang w:val="en-GB"/>
        </w:rPr>
      </w:pPr>
      <w:r w:rsidRPr="00380B40">
        <w:rPr>
          <w:b/>
          <w:lang w:val="en-GB"/>
        </w:rPr>
        <w:t>2.7</w:t>
      </w:r>
      <w:r w:rsidRPr="00380B40">
        <w:rPr>
          <w:bCs/>
          <w:lang w:val="en-GB"/>
        </w:rPr>
        <w:tab/>
        <w:t>The "Author's Guide for drafting ITU</w:t>
      </w:r>
      <w:r w:rsidRPr="00380B40">
        <w:rPr>
          <w:bCs/>
          <w:lang w:val="en-GB"/>
        </w:rPr>
        <w:noBreakHyphen/>
        <w:t>T Recommendations" should be applied in drafting new Recommendations and, wherever practicable, in revising existing Recommendations.</w:t>
      </w:r>
    </w:p>
    <w:p w14:paraId="08F88AB8" w14:textId="77777777" w:rsidR="00C32CE0" w:rsidRPr="00380B40" w:rsidRDefault="00C32CE0" w:rsidP="008C3E8D">
      <w:pPr>
        <w:pStyle w:val="Reasons"/>
      </w:pPr>
    </w:p>
    <w:p w14:paraId="41EE69BE" w14:textId="77777777" w:rsidR="007E52B2" w:rsidRPr="00380B40" w:rsidRDefault="007E52B2" w:rsidP="008C3E8D">
      <w:pPr>
        <w:tabs>
          <w:tab w:val="clear" w:pos="794"/>
          <w:tab w:val="clear" w:pos="1191"/>
          <w:tab w:val="clear" w:pos="1588"/>
          <w:tab w:val="clear" w:pos="1985"/>
        </w:tabs>
        <w:overflowPunct/>
        <w:autoSpaceDE/>
        <w:autoSpaceDN/>
        <w:adjustRightInd/>
        <w:spacing w:before="0" w:after="160" w:line="259" w:lineRule="auto"/>
        <w:jc w:val="left"/>
        <w:textAlignment w:val="auto"/>
        <w:rPr>
          <w:lang w:val="en-GB"/>
        </w:rPr>
      </w:pPr>
    </w:p>
    <w:p w14:paraId="725B8100" w14:textId="77777777" w:rsidR="007E52B2" w:rsidRPr="00380B40" w:rsidRDefault="007E52B2" w:rsidP="008C3E8D">
      <w:pPr>
        <w:rPr>
          <w:lang w:val="en-GB"/>
        </w:rPr>
        <w:sectPr w:rsidR="007E52B2" w:rsidRPr="00380B40" w:rsidSect="00944265">
          <w:headerReference w:type="even" r:id="rId403"/>
          <w:headerReference w:type="default" r:id="rId404"/>
          <w:footerReference w:type="even" r:id="rId405"/>
          <w:footerReference w:type="default" r:id="rId406"/>
          <w:pgSz w:w="11907" w:h="16840" w:code="9"/>
          <w:pgMar w:top="1134" w:right="1134" w:bottom="1134" w:left="1134" w:header="567" w:footer="567" w:gutter="0"/>
          <w:paperSrc w:first="15" w:other="15"/>
          <w:cols w:space="720"/>
          <w:vAlign w:val="both"/>
          <w:docGrid w:linePitch="326"/>
        </w:sectPr>
      </w:pPr>
    </w:p>
    <w:p w14:paraId="3B70DB2E" w14:textId="77777777" w:rsidR="007E52B2" w:rsidRPr="00380B40" w:rsidRDefault="007E52B2" w:rsidP="00B72FCD">
      <w:pPr>
        <w:pStyle w:val="RecNo"/>
        <w:rPr>
          <w:lang w:val="fr-CH"/>
        </w:rPr>
      </w:pPr>
      <w:bookmarkStart w:id="1191" w:name="_Toc104459831"/>
      <w:bookmarkStart w:id="1192" w:name="_Toc111636945"/>
      <w:bookmarkStart w:id="1193" w:name="_Toc111638540"/>
      <w:r w:rsidRPr="00380B40">
        <w:rPr>
          <w:lang w:val="fr-CH"/>
        </w:rPr>
        <w:t xml:space="preserve">Recommendation ITU-T </w:t>
      </w:r>
      <w:r w:rsidRPr="00380B40">
        <w:rPr>
          <w:rStyle w:val="href"/>
          <w:lang w:val="fr-CH"/>
        </w:rPr>
        <w:t>A.13</w:t>
      </w:r>
      <w:bookmarkEnd w:id="1191"/>
      <w:bookmarkEnd w:id="1192"/>
      <w:bookmarkEnd w:id="1193"/>
    </w:p>
    <w:p w14:paraId="7395490D" w14:textId="77777777" w:rsidR="003C356A" w:rsidRPr="00380B40" w:rsidRDefault="003C356A" w:rsidP="003C356A">
      <w:pPr>
        <w:pStyle w:val="Rectitle"/>
        <w:rPr>
          <w:lang w:val="fr-CH"/>
        </w:rPr>
      </w:pPr>
      <w:bookmarkStart w:id="1194" w:name="_Toc104459832"/>
      <w:bookmarkStart w:id="1195" w:name="_Toc111638541"/>
      <w:r w:rsidRPr="00380B40">
        <w:rPr>
          <w:lang w:val="fr-CH"/>
        </w:rPr>
        <w:t>Non-normative ITU-T publications, including Supplements to</w:t>
      </w:r>
      <w:r w:rsidRPr="00380B40">
        <w:rPr>
          <w:lang w:val="fr-CH"/>
        </w:rPr>
        <w:br/>
        <w:t>ITU</w:t>
      </w:r>
      <w:r w:rsidRPr="00380B40">
        <w:rPr>
          <w:lang w:val="fr-CH"/>
        </w:rPr>
        <w:noBreakHyphen/>
        <w:t>T Recommendations</w:t>
      </w:r>
      <w:bookmarkEnd w:id="1194"/>
      <w:bookmarkEnd w:id="1195"/>
    </w:p>
    <w:p w14:paraId="412073A8" w14:textId="77777777" w:rsidR="003C356A" w:rsidRPr="00380B40" w:rsidRDefault="003C356A" w:rsidP="003C356A">
      <w:pPr>
        <w:pStyle w:val="Heading1"/>
        <w:rPr>
          <w:lang w:val="en-GB"/>
        </w:rPr>
      </w:pPr>
      <w:bookmarkStart w:id="1196" w:name="_Toc21340280"/>
      <w:bookmarkStart w:id="1197" w:name="_Toc23153444"/>
      <w:bookmarkStart w:id="1198" w:name="_Toc23176206"/>
      <w:bookmarkStart w:id="1199" w:name="_Toc111636946"/>
      <w:bookmarkStart w:id="1200" w:name="_Toc517252790"/>
      <w:bookmarkStart w:id="1201" w:name="_Toc20997668"/>
      <w:bookmarkStart w:id="1202" w:name="_Toc21340220"/>
      <w:bookmarkStart w:id="1203" w:name="_Toc21340281"/>
      <w:r w:rsidRPr="00380B40">
        <w:rPr>
          <w:lang w:val="en-GB"/>
        </w:rPr>
        <w:t>1</w:t>
      </w:r>
      <w:r w:rsidRPr="00380B40">
        <w:rPr>
          <w:lang w:val="en-GB"/>
        </w:rPr>
        <w:tab/>
        <w:t>Introduction</w:t>
      </w:r>
      <w:bookmarkEnd w:id="1196"/>
      <w:bookmarkEnd w:id="1197"/>
      <w:bookmarkEnd w:id="1198"/>
      <w:bookmarkEnd w:id="1199"/>
    </w:p>
    <w:p w14:paraId="1501B84B" w14:textId="77777777" w:rsidR="003C356A" w:rsidRPr="00380B40" w:rsidRDefault="003C356A" w:rsidP="003C356A">
      <w:pPr>
        <w:rPr>
          <w:lang w:val="en-GB"/>
        </w:rPr>
      </w:pPr>
      <w:r w:rsidRPr="00380B40">
        <w:rPr>
          <w:lang w:val="en-GB"/>
        </w:rPr>
        <w:t>In the course of its studies, each study group deals with contributions and reports, which are distributed to those organizations that have registered for participation in the study group's work, and Recommendations resulting from those studies reach a much wider audience. Normally, any information that is considered as merely illustrative or supplementary to a Recommendation should be included as a (non-integral) appendix to that Recommendation, where it is useful to the wider audience. However, there are instances where separate publication of such information is warranted. This information is not part of demonstrating voluntary compliance to any ITU-T Recommendation. Such information can be published in the form of Supplements to the Recommendations or other document types published by ITU-T.</w:t>
      </w:r>
    </w:p>
    <w:p w14:paraId="7E07DAED" w14:textId="77777777" w:rsidR="003C356A" w:rsidRPr="00380B40" w:rsidRDefault="003C356A" w:rsidP="003C356A">
      <w:pPr>
        <w:pStyle w:val="Heading1"/>
        <w:rPr>
          <w:lang w:val="en-GB"/>
        </w:rPr>
      </w:pPr>
      <w:bookmarkStart w:id="1204" w:name="_Toc23153445"/>
      <w:bookmarkStart w:id="1205" w:name="_Toc23176207"/>
      <w:bookmarkStart w:id="1206" w:name="_Toc111636947"/>
      <w:r w:rsidRPr="00380B40">
        <w:rPr>
          <w:lang w:val="en-GB"/>
        </w:rPr>
        <w:t>2</w:t>
      </w:r>
      <w:r w:rsidRPr="00380B40">
        <w:rPr>
          <w:lang w:val="en-GB"/>
        </w:rPr>
        <w:tab/>
      </w:r>
      <w:bookmarkEnd w:id="1200"/>
      <w:r w:rsidRPr="00380B40">
        <w:rPr>
          <w:lang w:val="en-GB"/>
        </w:rPr>
        <w:t>References</w:t>
      </w:r>
      <w:bookmarkEnd w:id="1201"/>
      <w:bookmarkEnd w:id="1202"/>
      <w:bookmarkEnd w:id="1203"/>
      <w:bookmarkEnd w:id="1204"/>
      <w:bookmarkEnd w:id="1205"/>
      <w:bookmarkEnd w:id="1206"/>
    </w:p>
    <w:p w14:paraId="0E66B375" w14:textId="77777777" w:rsidR="003C356A" w:rsidRPr="00380B40" w:rsidRDefault="003C356A" w:rsidP="003C356A">
      <w:pPr>
        <w:rPr>
          <w:lang w:val="en-GB"/>
        </w:rPr>
      </w:pPr>
      <w:r w:rsidRPr="00380B40">
        <w:rPr>
          <w:lang w:val="en-GB"/>
        </w:rPr>
        <w:t>The following ITU-T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 The reference to a document within this Recommendation does not give it, as a stand-alone document, the status of a Recommendation.</w:t>
      </w:r>
    </w:p>
    <w:p w14:paraId="14FF3EA3" w14:textId="77777777" w:rsidR="003C356A" w:rsidRPr="00380B40" w:rsidRDefault="003C356A" w:rsidP="003C356A">
      <w:pPr>
        <w:rPr>
          <w:lang w:val="en-GB"/>
        </w:rPr>
      </w:pPr>
      <w:r w:rsidRPr="00380B40">
        <w:rPr>
          <w:lang w:val="en-GB"/>
        </w:rPr>
        <w:t>None.</w:t>
      </w:r>
    </w:p>
    <w:p w14:paraId="1F12B05C" w14:textId="77777777" w:rsidR="003C356A" w:rsidRPr="00380B40" w:rsidRDefault="003C356A" w:rsidP="003C356A">
      <w:pPr>
        <w:pStyle w:val="Heading1"/>
        <w:rPr>
          <w:lang w:val="en-GB"/>
        </w:rPr>
      </w:pPr>
      <w:bookmarkStart w:id="1207" w:name="_Toc20997669"/>
      <w:bookmarkStart w:id="1208" w:name="_Toc21340221"/>
      <w:bookmarkStart w:id="1209" w:name="_Toc21340282"/>
      <w:bookmarkStart w:id="1210" w:name="_Toc23153446"/>
      <w:bookmarkStart w:id="1211" w:name="_Toc23176208"/>
      <w:bookmarkStart w:id="1212" w:name="_Toc111636948"/>
      <w:r w:rsidRPr="00380B40">
        <w:rPr>
          <w:lang w:val="en-GB"/>
        </w:rPr>
        <w:t>3</w:t>
      </w:r>
      <w:r w:rsidRPr="00380B40">
        <w:rPr>
          <w:lang w:val="en-GB"/>
        </w:rPr>
        <w:tab/>
        <w:t>Definitions</w:t>
      </w:r>
      <w:bookmarkEnd w:id="1207"/>
      <w:bookmarkEnd w:id="1208"/>
      <w:bookmarkEnd w:id="1209"/>
      <w:bookmarkEnd w:id="1210"/>
      <w:bookmarkEnd w:id="1211"/>
      <w:bookmarkEnd w:id="1212"/>
    </w:p>
    <w:p w14:paraId="2B04754B" w14:textId="77777777" w:rsidR="003C356A" w:rsidRPr="00380B40" w:rsidRDefault="003C356A" w:rsidP="003C356A">
      <w:pPr>
        <w:pStyle w:val="Heading3"/>
        <w:rPr>
          <w:lang w:val="en-GB"/>
        </w:rPr>
      </w:pPr>
      <w:bookmarkStart w:id="1213" w:name="_Toc20997670"/>
      <w:bookmarkStart w:id="1214" w:name="_Toc111636949"/>
      <w:r w:rsidRPr="00380B40">
        <w:rPr>
          <w:lang w:val="en-GB"/>
        </w:rPr>
        <w:t>3.1</w:t>
      </w:r>
      <w:r w:rsidRPr="00380B40">
        <w:rPr>
          <w:lang w:val="en-GB"/>
        </w:rPr>
        <w:tab/>
        <w:t>Terms defined elsewhere</w:t>
      </w:r>
      <w:bookmarkEnd w:id="1213"/>
      <w:bookmarkEnd w:id="1214"/>
    </w:p>
    <w:p w14:paraId="651476BD" w14:textId="77777777" w:rsidR="003C356A" w:rsidRPr="00380B40" w:rsidRDefault="003C356A" w:rsidP="003C356A">
      <w:pPr>
        <w:rPr>
          <w:lang w:val="en-GB"/>
        </w:rPr>
      </w:pPr>
      <w:r w:rsidRPr="00380B40">
        <w:rPr>
          <w:lang w:val="en-GB"/>
        </w:rPr>
        <w:t>This Recommendation uses the following terms defined elsewhere:</w:t>
      </w:r>
    </w:p>
    <w:p w14:paraId="5D1C2F36" w14:textId="77777777" w:rsidR="003C356A" w:rsidRPr="00380B40" w:rsidRDefault="003C356A" w:rsidP="003C356A">
      <w:pPr>
        <w:rPr>
          <w:lang w:val="en-GB"/>
        </w:rPr>
      </w:pPr>
      <w:r w:rsidRPr="00380B40">
        <w:rPr>
          <w:b/>
          <w:lang w:val="en-GB"/>
        </w:rPr>
        <w:t>3.1.1</w:t>
      </w:r>
      <w:r w:rsidRPr="00380B40">
        <w:rPr>
          <w:b/>
          <w:lang w:val="en-GB"/>
        </w:rPr>
        <w:tab/>
        <w:t>handbook</w:t>
      </w:r>
      <w:r w:rsidRPr="00380B40">
        <w:rPr>
          <w:bCs/>
          <w:lang w:val="en-GB"/>
        </w:rPr>
        <w:t>:</w:t>
      </w:r>
      <w:r w:rsidRPr="00380B40">
        <w:rPr>
          <w:lang w:val="en-GB"/>
        </w:rPr>
        <w:t xml:space="preserve"> [b-WTSA Res. 1]</w:t>
      </w:r>
      <w:r w:rsidRPr="00380B40">
        <w:rPr>
          <w:bCs/>
          <w:lang w:val="en-GB"/>
        </w:rPr>
        <w:t>:</w:t>
      </w:r>
      <w:r w:rsidRPr="00380B40">
        <w:rPr>
          <w:lang w:val="en-GB"/>
        </w:rPr>
        <w:t xml:space="preserve"> A text which provides a statement of the current knowledge, the present position of studies or good operating or technical practice, in certain aspects of telecommunications, which should be addressed to a telecommunication engineer, system planner or operating official who plans, designs or uses telecommunication services or systems, paying particular attention to the requirements of developing countries.</w:t>
      </w:r>
    </w:p>
    <w:p w14:paraId="1D4C22CE" w14:textId="77777777" w:rsidR="001B4241" w:rsidRPr="00380B40" w:rsidRDefault="001B4241" w:rsidP="003C356A">
      <w:pPr>
        <w:rPr>
          <w:szCs w:val="22"/>
          <w:lang w:val="en-GB"/>
        </w:rPr>
      </w:pPr>
      <w:r w:rsidRPr="00380B40">
        <w:rPr>
          <w:szCs w:val="22"/>
          <w:lang w:val="en-GB"/>
        </w:rPr>
        <w:br w:type="page"/>
      </w:r>
    </w:p>
    <w:p w14:paraId="0CDFF9CD" w14:textId="77777777" w:rsidR="003C356A" w:rsidRPr="00380B40" w:rsidRDefault="003C356A" w:rsidP="003C356A">
      <w:pPr>
        <w:rPr>
          <w:lang w:val="en-GB"/>
        </w:rPr>
      </w:pPr>
      <w:r w:rsidRPr="00380B40">
        <w:rPr>
          <w:szCs w:val="22"/>
          <w:lang w:val="en-GB"/>
        </w:rPr>
        <w:t>NOTE – It should be self-contained, and require no familiarity with other ITU</w:t>
      </w:r>
      <w:r w:rsidRPr="00380B40">
        <w:rPr>
          <w:szCs w:val="22"/>
          <w:lang w:val="en-GB"/>
        </w:rPr>
        <w:noBreakHyphen/>
        <w:t>T texts or procedures.</w:t>
      </w:r>
    </w:p>
    <w:p w14:paraId="077EF376" w14:textId="77777777" w:rsidR="003C356A" w:rsidRPr="00380B40" w:rsidRDefault="003C356A" w:rsidP="003C356A">
      <w:pPr>
        <w:rPr>
          <w:b/>
          <w:lang w:val="en-GB"/>
        </w:rPr>
      </w:pPr>
      <w:r w:rsidRPr="00380B40">
        <w:rPr>
          <w:b/>
          <w:lang w:val="en-GB"/>
        </w:rPr>
        <w:t>3.1.2</w:t>
      </w:r>
      <w:r w:rsidRPr="00380B40">
        <w:rPr>
          <w:b/>
          <w:lang w:val="en-GB"/>
        </w:rPr>
        <w:tab/>
        <w:t>work item</w:t>
      </w:r>
      <w:r w:rsidRPr="00380B40">
        <w:rPr>
          <w:lang w:val="en-GB"/>
        </w:rPr>
        <w:t>: [b-ITU-T A.1]: An</w:t>
      </w:r>
      <w:r w:rsidRPr="00380B40">
        <w:rPr>
          <w:spacing w:val="-8"/>
          <w:lang w:val="en-GB"/>
        </w:rPr>
        <w:t xml:space="preserve"> </w:t>
      </w:r>
      <w:r w:rsidRPr="00380B40">
        <w:rPr>
          <w:spacing w:val="-1"/>
          <w:lang w:val="en-GB"/>
        </w:rPr>
        <w:t>assigned</w:t>
      </w:r>
      <w:r w:rsidRPr="00380B40">
        <w:rPr>
          <w:spacing w:val="-6"/>
          <w:lang w:val="en-GB"/>
        </w:rPr>
        <w:t xml:space="preserve"> </w:t>
      </w:r>
      <w:r w:rsidRPr="00380B40">
        <w:rPr>
          <w:spacing w:val="-1"/>
          <w:lang w:val="en-GB"/>
        </w:rPr>
        <w:t>piece</w:t>
      </w:r>
      <w:r w:rsidRPr="00380B40">
        <w:rPr>
          <w:spacing w:val="-9"/>
          <w:lang w:val="en-GB"/>
        </w:rPr>
        <w:t xml:space="preserve"> </w:t>
      </w:r>
      <w:r w:rsidRPr="00380B40">
        <w:rPr>
          <w:spacing w:val="1"/>
          <w:lang w:val="en-GB"/>
        </w:rPr>
        <w:t>of</w:t>
      </w:r>
      <w:r w:rsidRPr="00380B40">
        <w:rPr>
          <w:spacing w:val="-8"/>
          <w:lang w:val="en-GB"/>
        </w:rPr>
        <w:t xml:space="preserve"> </w:t>
      </w:r>
      <w:r w:rsidRPr="00380B40">
        <w:rPr>
          <w:lang w:val="en-GB"/>
        </w:rPr>
        <w:t>work,</w:t>
      </w:r>
      <w:r w:rsidRPr="00380B40">
        <w:rPr>
          <w:spacing w:val="-8"/>
          <w:lang w:val="en-GB"/>
        </w:rPr>
        <w:t xml:space="preserve"> </w:t>
      </w:r>
      <w:r w:rsidRPr="00380B40">
        <w:rPr>
          <w:spacing w:val="-1"/>
          <w:lang w:val="en-GB"/>
        </w:rPr>
        <w:t>which</w:t>
      </w:r>
      <w:r w:rsidRPr="00380B40">
        <w:rPr>
          <w:spacing w:val="-8"/>
          <w:lang w:val="en-GB"/>
        </w:rPr>
        <w:t xml:space="preserve"> </w:t>
      </w:r>
      <w:r w:rsidRPr="00380B40">
        <w:rPr>
          <w:lang w:val="en-GB"/>
        </w:rPr>
        <w:t>is</w:t>
      </w:r>
      <w:r w:rsidRPr="00380B40">
        <w:rPr>
          <w:spacing w:val="-7"/>
          <w:lang w:val="en-GB"/>
        </w:rPr>
        <w:t xml:space="preserve"> </w:t>
      </w:r>
      <w:r w:rsidRPr="00380B40">
        <w:rPr>
          <w:spacing w:val="-1"/>
          <w:lang w:val="en-GB"/>
        </w:rPr>
        <w:t>identifiable</w:t>
      </w:r>
      <w:r w:rsidRPr="00380B40">
        <w:rPr>
          <w:spacing w:val="-8"/>
          <w:lang w:val="en-GB"/>
        </w:rPr>
        <w:t xml:space="preserve"> </w:t>
      </w:r>
      <w:r w:rsidRPr="00380B40">
        <w:rPr>
          <w:lang w:val="en-GB"/>
        </w:rPr>
        <w:t>with</w:t>
      </w:r>
      <w:r w:rsidRPr="00380B40">
        <w:rPr>
          <w:spacing w:val="-7"/>
          <w:lang w:val="en-GB"/>
        </w:rPr>
        <w:t xml:space="preserve"> </w:t>
      </w:r>
      <w:r w:rsidRPr="00380B40">
        <w:rPr>
          <w:lang w:val="en-GB"/>
        </w:rPr>
        <w:t>a</w:t>
      </w:r>
      <w:r w:rsidRPr="00380B40">
        <w:rPr>
          <w:spacing w:val="-6"/>
          <w:lang w:val="en-GB"/>
        </w:rPr>
        <w:t xml:space="preserve"> </w:t>
      </w:r>
      <w:r w:rsidRPr="00380B40">
        <w:rPr>
          <w:lang w:val="en-GB"/>
        </w:rPr>
        <w:t>Question</w:t>
      </w:r>
      <w:r w:rsidRPr="00380B40">
        <w:rPr>
          <w:spacing w:val="-8"/>
          <w:lang w:val="en-GB"/>
        </w:rPr>
        <w:t xml:space="preserve"> </w:t>
      </w:r>
      <w:r w:rsidRPr="00380B40">
        <w:rPr>
          <w:spacing w:val="-1"/>
          <w:lang w:val="en-GB"/>
        </w:rPr>
        <w:t>and</w:t>
      </w:r>
      <w:r w:rsidRPr="00380B40">
        <w:rPr>
          <w:spacing w:val="-8"/>
          <w:lang w:val="en-GB"/>
        </w:rPr>
        <w:t xml:space="preserve"> </w:t>
      </w:r>
      <w:r w:rsidRPr="00380B40">
        <w:rPr>
          <w:spacing w:val="-1"/>
          <w:lang w:val="en-GB"/>
        </w:rPr>
        <w:t>which</w:t>
      </w:r>
      <w:r w:rsidRPr="00380B40">
        <w:rPr>
          <w:spacing w:val="-6"/>
          <w:lang w:val="en-GB"/>
        </w:rPr>
        <w:t xml:space="preserve"> </w:t>
      </w:r>
      <w:r w:rsidRPr="00380B40">
        <w:rPr>
          <w:spacing w:val="-1"/>
          <w:lang w:val="en-GB"/>
        </w:rPr>
        <w:t>has</w:t>
      </w:r>
      <w:r w:rsidRPr="00380B40">
        <w:rPr>
          <w:spacing w:val="67"/>
          <w:lang w:val="en-GB"/>
        </w:rPr>
        <w:t xml:space="preserve"> </w:t>
      </w:r>
      <w:r w:rsidRPr="00380B40">
        <w:rPr>
          <w:spacing w:val="-1"/>
          <w:lang w:val="en-GB"/>
        </w:rPr>
        <w:t>specific</w:t>
      </w:r>
      <w:r w:rsidRPr="00380B40">
        <w:rPr>
          <w:spacing w:val="56"/>
          <w:lang w:val="en-GB"/>
        </w:rPr>
        <w:t xml:space="preserve"> </w:t>
      </w:r>
      <w:r w:rsidRPr="00380B40">
        <w:rPr>
          <w:spacing w:val="1"/>
          <w:lang w:val="en-GB"/>
        </w:rPr>
        <w:t>or</w:t>
      </w:r>
      <w:r w:rsidRPr="00380B40">
        <w:rPr>
          <w:spacing w:val="59"/>
          <w:lang w:val="en-GB"/>
        </w:rPr>
        <w:t xml:space="preserve"> </w:t>
      </w:r>
      <w:r w:rsidRPr="00380B40">
        <w:rPr>
          <w:spacing w:val="-1"/>
          <w:lang w:val="en-GB"/>
        </w:rPr>
        <w:t>general</w:t>
      </w:r>
      <w:r w:rsidRPr="00380B40">
        <w:rPr>
          <w:spacing w:val="57"/>
          <w:lang w:val="en-GB"/>
        </w:rPr>
        <w:t xml:space="preserve"> </w:t>
      </w:r>
      <w:r w:rsidRPr="00380B40">
        <w:rPr>
          <w:spacing w:val="-1"/>
          <w:lang w:val="en-GB"/>
        </w:rPr>
        <w:t>objectives,</w:t>
      </w:r>
      <w:r w:rsidRPr="00380B40">
        <w:rPr>
          <w:spacing w:val="57"/>
          <w:lang w:val="en-GB"/>
        </w:rPr>
        <w:t xml:space="preserve"> </w:t>
      </w:r>
      <w:r w:rsidRPr="00380B40">
        <w:rPr>
          <w:spacing w:val="-1"/>
          <w:lang w:val="en-GB"/>
        </w:rPr>
        <w:t>which</w:t>
      </w:r>
      <w:r w:rsidRPr="00380B40">
        <w:rPr>
          <w:spacing w:val="59"/>
          <w:lang w:val="en-GB"/>
        </w:rPr>
        <w:t xml:space="preserve"> </w:t>
      </w:r>
      <w:r w:rsidRPr="00380B40">
        <w:rPr>
          <w:lang w:val="en-GB"/>
        </w:rPr>
        <w:t>will</w:t>
      </w:r>
      <w:r w:rsidRPr="00380B40">
        <w:rPr>
          <w:spacing w:val="58"/>
          <w:lang w:val="en-GB"/>
        </w:rPr>
        <w:t xml:space="preserve"> </w:t>
      </w:r>
      <w:r w:rsidRPr="00380B40">
        <w:rPr>
          <w:lang w:val="en-GB"/>
        </w:rPr>
        <w:t>result</w:t>
      </w:r>
      <w:r w:rsidRPr="00380B40">
        <w:rPr>
          <w:spacing w:val="57"/>
          <w:lang w:val="en-GB"/>
        </w:rPr>
        <w:t xml:space="preserve"> </w:t>
      </w:r>
      <w:r w:rsidRPr="00380B40">
        <w:rPr>
          <w:lang w:val="en-GB"/>
        </w:rPr>
        <w:t>in</w:t>
      </w:r>
      <w:r w:rsidRPr="00380B40">
        <w:rPr>
          <w:spacing w:val="57"/>
          <w:lang w:val="en-GB"/>
        </w:rPr>
        <w:t xml:space="preserve"> </w:t>
      </w:r>
      <w:r w:rsidRPr="00380B40">
        <w:rPr>
          <w:lang w:val="en-GB"/>
        </w:rPr>
        <w:t>a</w:t>
      </w:r>
      <w:r w:rsidRPr="00380B40">
        <w:rPr>
          <w:spacing w:val="56"/>
          <w:lang w:val="en-GB"/>
        </w:rPr>
        <w:t xml:space="preserve"> </w:t>
      </w:r>
      <w:r w:rsidRPr="00380B40">
        <w:rPr>
          <w:lang w:val="en-GB"/>
        </w:rPr>
        <w:t>product,</w:t>
      </w:r>
      <w:r w:rsidRPr="00380B40">
        <w:rPr>
          <w:spacing w:val="57"/>
          <w:lang w:val="en-GB"/>
        </w:rPr>
        <w:t xml:space="preserve"> </w:t>
      </w:r>
      <w:r w:rsidRPr="00380B40">
        <w:rPr>
          <w:lang w:val="en-GB"/>
        </w:rPr>
        <w:t>usually</w:t>
      </w:r>
      <w:r w:rsidRPr="00380B40">
        <w:rPr>
          <w:spacing w:val="54"/>
          <w:lang w:val="en-GB"/>
        </w:rPr>
        <w:t xml:space="preserve"> </w:t>
      </w:r>
      <w:r w:rsidRPr="00380B40">
        <w:rPr>
          <w:lang w:val="en-GB"/>
        </w:rPr>
        <w:t>a</w:t>
      </w:r>
      <w:r w:rsidRPr="00380B40">
        <w:rPr>
          <w:spacing w:val="56"/>
          <w:lang w:val="en-GB"/>
        </w:rPr>
        <w:t xml:space="preserve"> </w:t>
      </w:r>
      <w:r w:rsidRPr="00380B40">
        <w:rPr>
          <w:lang w:val="en-GB"/>
        </w:rPr>
        <w:t>Recommendation,</w:t>
      </w:r>
      <w:r w:rsidRPr="00380B40">
        <w:rPr>
          <w:spacing w:val="57"/>
          <w:lang w:val="en-GB"/>
        </w:rPr>
        <w:t xml:space="preserve"> </w:t>
      </w:r>
      <w:r w:rsidRPr="00380B40">
        <w:rPr>
          <w:lang w:val="en-GB"/>
        </w:rPr>
        <w:t>for</w:t>
      </w:r>
      <w:r w:rsidRPr="00380B40">
        <w:rPr>
          <w:spacing w:val="67"/>
          <w:lang w:val="en-GB"/>
        </w:rPr>
        <w:t xml:space="preserve"> </w:t>
      </w:r>
      <w:r w:rsidRPr="00380B40">
        <w:rPr>
          <w:spacing w:val="-1"/>
          <w:lang w:val="en-GB"/>
        </w:rPr>
        <w:t>publication</w:t>
      </w:r>
      <w:r w:rsidRPr="00380B40">
        <w:rPr>
          <w:lang w:val="en-GB"/>
        </w:rPr>
        <w:t xml:space="preserve"> </w:t>
      </w:r>
      <w:r w:rsidRPr="00380B40">
        <w:rPr>
          <w:spacing w:val="1"/>
          <w:lang w:val="en-GB"/>
        </w:rPr>
        <w:t>by</w:t>
      </w:r>
      <w:r w:rsidRPr="00380B40">
        <w:rPr>
          <w:spacing w:val="-3"/>
          <w:lang w:val="en-GB"/>
        </w:rPr>
        <w:t xml:space="preserve"> </w:t>
      </w:r>
      <w:r w:rsidRPr="00380B40">
        <w:rPr>
          <w:spacing w:val="-1"/>
          <w:lang w:val="en-GB"/>
        </w:rPr>
        <w:t>ITU</w:t>
      </w:r>
      <w:r w:rsidRPr="00380B40">
        <w:rPr>
          <w:lang w:val="en-GB"/>
        </w:rPr>
        <w:noBreakHyphen/>
      </w:r>
      <w:r w:rsidRPr="00380B40">
        <w:rPr>
          <w:spacing w:val="-1"/>
          <w:lang w:val="en-GB"/>
        </w:rPr>
        <w:t>T.</w:t>
      </w:r>
    </w:p>
    <w:p w14:paraId="2C4E9C02" w14:textId="77777777" w:rsidR="003C356A" w:rsidRPr="00380B40" w:rsidRDefault="003C356A" w:rsidP="003C356A">
      <w:pPr>
        <w:rPr>
          <w:b/>
          <w:lang w:val="en-GB"/>
        </w:rPr>
      </w:pPr>
      <w:r w:rsidRPr="00380B40">
        <w:rPr>
          <w:b/>
          <w:lang w:val="en-GB"/>
        </w:rPr>
        <w:t>3.1.3</w:t>
      </w:r>
      <w:r w:rsidRPr="00380B40">
        <w:rPr>
          <w:b/>
          <w:lang w:val="en-GB"/>
        </w:rPr>
        <w:tab/>
        <w:t>work programme</w:t>
      </w:r>
      <w:r w:rsidRPr="00380B40">
        <w:rPr>
          <w:lang w:val="en-GB"/>
        </w:rPr>
        <w:t xml:space="preserve">: [b-ITU-T A.1]: A list of </w:t>
      </w:r>
      <w:r w:rsidRPr="00380B40">
        <w:rPr>
          <w:spacing w:val="-1"/>
          <w:lang w:val="en-GB"/>
        </w:rPr>
        <w:t>work</w:t>
      </w:r>
      <w:r w:rsidRPr="00380B40">
        <w:rPr>
          <w:lang w:val="en-GB"/>
        </w:rPr>
        <w:t xml:space="preserve"> </w:t>
      </w:r>
      <w:r w:rsidRPr="00380B40">
        <w:rPr>
          <w:spacing w:val="-1"/>
          <w:lang w:val="en-GB"/>
        </w:rPr>
        <w:t>items</w:t>
      </w:r>
      <w:r w:rsidRPr="00380B40">
        <w:rPr>
          <w:lang w:val="en-GB"/>
        </w:rPr>
        <w:t xml:space="preserve"> </w:t>
      </w:r>
      <w:r w:rsidRPr="00380B40">
        <w:rPr>
          <w:spacing w:val="-1"/>
          <w:lang w:val="en-GB"/>
        </w:rPr>
        <w:t>that</w:t>
      </w:r>
      <w:r w:rsidRPr="00380B40">
        <w:rPr>
          <w:lang w:val="en-GB"/>
        </w:rPr>
        <w:t xml:space="preserve"> </w:t>
      </w:r>
      <w:r w:rsidRPr="00380B40">
        <w:rPr>
          <w:spacing w:val="-1"/>
          <w:lang w:val="en-GB"/>
        </w:rPr>
        <w:t>are</w:t>
      </w:r>
      <w:r w:rsidRPr="00380B40">
        <w:rPr>
          <w:spacing w:val="1"/>
          <w:lang w:val="en-GB"/>
        </w:rPr>
        <w:t xml:space="preserve"> </w:t>
      </w:r>
      <w:r w:rsidRPr="00380B40">
        <w:rPr>
          <w:spacing w:val="-1"/>
          <w:lang w:val="en-GB"/>
        </w:rPr>
        <w:t>owned</w:t>
      </w:r>
      <w:r w:rsidRPr="00380B40">
        <w:rPr>
          <w:lang w:val="en-GB"/>
        </w:rPr>
        <w:t xml:space="preserve"> </w:t>
      </w:r>
      <w:r w:rsidRPr="00380B40">
        <w:rPr>
          <w:spacing w:val="2"/>
          <w:lang w:val="en-GB"/>
        </w:rPr>
        <w:t>by</w:t>
      </w:r>
      <w:r w:rsidRPr="00380B40">
        <w:rPr>
          <w:spacing w:val="-5"/>
          <w:lang w:val="en-GB"/>
        </w:rPr>
        <w:t xml:space="preserve"> </w:t>
      </w:r>
      <w:r w:rsidRPr="00380B40">
        <w:rPr>
          <w:lang w:val="en-GB"/>
        </w:rPr>
        <w:t>a</w:t>
      </w:r>
      <w:r w:rsidRPr="00380B40">
        <w:rPr>
          <w:spacing w:val="-1"/>
          <w:lang w:val="en-GB"/>
        </w:rPr>
        <w:t xml:space="preserve"> </w:t>
      </w:r>
      <w:r w:rsidRPr="00380B40">
        <w:rPr>
          <w:spacing w:val="1"/>
          <w:lang w:val="en-GB"/>
        </w:rPr>
        <w:t>study</w:t>
      </w:r>
      <w:r w:rsidRPr="00380B40">
        <w:rPr>
          <w:spacing w:val="-3"/>
          <w:lang w:val="en-GB"/>
        </w:rPr>
        <w:t xml:space="preserve"> </w:t>
      </w:r>
      <w:r w:rsidRPr="00380B40">
        <w:rPr>
          <w:spacing w:val="-1"/>
          <w:lang w:val="en-GB"/>
        </w:rPr>
        <w:t>group.</w:t>
      </w:r>
    </w:p>
    <w:p w14:paraId="5EC3BDA9" w14:textId="77777777" w:rsidR="003C356A" w:rsidRPr="00380B40" w:rsidRDefault="003C356A" w:rsidP="003C356A">
      <w:pPr>
        <w:pStyle w:val="Heading3"/>
        <w:rPr>
          <w:lang w:val="en-GB"/>
        </w:rPr>
      </w:pPr>
      <w:bookmarkStart w:id="1215" w:name="_Toc20997671"/>
      <w:bookmarkStart w:id="1216" w:name="_Toc111636950"/>
      <w:r w:rsidRPr="00380B40">
        <w:rPr>
          <w:lang w:val="en-GB"/>
        </w:rPr>
        <w:t>3.2</w:t>
      </w:r>
      <w:r w:rsidRPr="00380B40">
        <w:rPr>
          <w:lang w:val="en-GB"/>
        </w:rPr>
        <w:tab/>
        <w:t>Terms defined in this Recommendation</w:t>
      </w:r>
      <w:bookmarkEnd w:id="1215"/>
      <w:bookmarkEnd w:id="1216"/>
    </w:p>
    <w:p w14:paraId="164FDA6F" w14:textId="77777777" w:rsidR="003C356A" w:rsidRPr="00380B40" w:rsidRDefault="003C356A" w:rsidP="003C356A">
      <w:pPr>
        <w:rPr>
          <w:lang w:val="en-GB"/>
        </w:rPr>
      </w:pPr>
      <w:r w:rsidRPr="00380B40">
        <w:rPr>
          <w:lang w:val="en-GB"/>
        </w:rPr>
        <w:t>This Recommendation defines the following terms:</w:t>
      </w:r>
    </w:p>
    <w:p w14:paraId="107B863B" w14:textId="77777777" w:rsidR="003C356A" w:rsidRPr="00380B40" w:rsidRDefault="003C356A" w:rsidP="003C356A">
      <w:pPr>
        <w:rPr>
          <w:lang w:val="en-GB"/>
        </w:rPr>
      </w:pPr>
      <w:r w:rsidRPr="00380B40">
        <w:rPr>
          <w:b/>
          <w:lang w:val="en-GB"/>
        </w:rPr>
        <w:t>3.2.1</w:t>
      </w:r>
      <w:r w:rsidRPr="00380B40">
        <w:rPr>
          <w:b/>
          <w:lang w:val="en-GB"/>
        </w:rPr>
        <w:tab/>
        <w:t>implementer's</w:t>
      </w:r>
      <w:r w:rsidRPr="00380B40">
        <w:rPr>
          <w:b/>
          <w:spacing w:val="22"/>
          <w:lang w:val="en-GB"/>
        </w:rPr>
        <w:t xml:space="preserve"> </w:t>
      </w:r>
      <w:r w:rsidRPr="00380B40">
        <w:rPr>
          <w:b/>
          <w:lang w:val="en-GB"/>
        </w:rPr>
        <w:t>guide</w:t>
      </w:r>
      <w:r w:rsidRPr="00380B40">
        <w:rPr>
          <w:lang w:val="en-GB"/>
        </w:rPr>
        <w:t>:</w:t>
      </w:r>
      <w:r w:rsidRPr="00380B40">
        <w:rPr>
          <w:spacing w:val="21"/>
          <w:lang w:val="en-GB"/>
        </w:rPr>
        <w:t xml:space="preserve"> </w:t>
      </w:r>
      <w:r w:rsidRPr="00380B40">
        <w:rPr>
          <w:lang w:val="en-GB"/>
        </w:rPr>
        <w:t>An informative (non-normative) document which records all identified defects (e.g., typographical errors, editorial errors, ambiguities, omissions or inconsistencies, and technical errors) associated with a Recommendation or a set of Recommendations and their status of correction, from their identification to final resolution.</w:t>
      </w:r>
    </w:p>
    <w:p w14:paraId="6DD937DC" w14:textId="77777777" w:rsidR="003C356A" w:rsidRPr="00380B40" w:rsidRDefault="003C356A" w:rsidP="003C356A">
      <w:pPr>
        <w:pStyle w:val="Note"/>
        <w:rPr>
          <w:lang w:val="en-GB"/>
        </w:rPr>
      </w:pPr>
      <w:r w:rsidRPr="00380B40">
        <w:rPr>
          <w:lang w:val="en-GB"/>
        </w:rPr>
        <w:t>NOTE</w:t>
      </w:r>
      <w:r w:rsidRPr="00380B40">
        <w:rPr>
          <w:spacing w:val="26"/>
          <w:lang w:val="en-GB"/>
        </w:rPr>
        <w:t xml:space="preserve"> </w:t>
      </w:r>
      <w:r w:rsidRPr="00380B40">
        <w:rPr>
          <w:lang w:val="en-GB"/>
        </w:rPr>
        <w:t>–</w:t>
      </w:r>
      <w:r w:rsidRPr="00380B40">
        <w:rPr>
          <w:spacing w:val="24"/>
          <w:lang w:val="en-GB"/>
        </w:rPr>
        <w:t xml:space="preserve"> </w:t>
      </w:r>
      <w:r w:rsidRPr="00380B40">
        <w:rPr>
          <w:lang w:val="en-GB"/>
        </w:rPr>
        <w:t>An</w:t>
      </w:r>
      <w:r w:rsidRPr="00380B40">
        <w:rPr>
          <w:spacing w:val="24"/>
          <w:lang w:val="en-GB"/>
        </w:rPr>
        <w:t xml:space="preserve"> </w:t>
      </w:r>
      <w:r w:rsidRPr="00380B40">
        <w:rPr>
          <w:lang w:val="en-GB"/>
        </w:rPr>
        <w:t>implementer's</w:t>
      </w:r>
      <w:r w:rsidRPr="00380B40">
        <w:rPr>
          <w:spacing w:val="23"/>
          <w:lang w:val="en-GB"/>
        </w:rPr>
        <w:t xml:space="preserve"> </w:t>
      </w:r>
      <w:r w:rsidRPr="00380B40">
        <w:rPr>
          <w:lang w:val="en-GB"/>
        </w:rPr>
        <w:t>guide</w:t>
      </w:r>
      <w:r w:rsidRPr="00380B40">
        <w:rPr>
          <w:spacing w:val="24"/>
          <w:lang w:val="en-GB"/>
        </w:rPr>
        <w:t xml:space="preserve"> </w:t>
      </w:r>
      <w:r w:rsidRPr="00380B40">
        <w:rPr>
          <w:lang w:val="en-GB"/>
        </w:rPr>
        <w:t>is</w:t>
      </w:r>
      <w:r w:rsidRPr="00380B40">
        <w:rPr>
          <w:spacing w:val="24"/>
          <w:lang w:val="en-GB"/>
        </w:rPr>
        <w:t xml:space="preserve"> </w:t>
      </w:r>
      <w:r w:rsidRPr="00380B40">
        <w:rPr>
          <w:lang w:val="en-GB"/>
        </w:rPr>
        <w:t>issued</w:t>
      </w:r>
      <w:r w:rsidRPr="00380B40">
        <w:rPr>
          <w:spacing w:val="26"/>
          <w:lang w:val="en-GB"/>
        </w:rPr>
        <w:t xml:space="preserve"> </w:t>
      </w:r>
      <w:r w:rsidRPr="00380B40">
        <w:rPr>
          <w:lang w:val="en-GB"/>
        </w:rPr>
        <w:t>by</w:t>
      </w:r>
      <w:r w:rsidRPr="00380B40">
        <w:rPr>
          <w:spacing w:val="24"/>
          <w:lang w:val="en-GB"/>
        </w:rPr>
        <w:t xml:space="preserve"> </w:t>
      </w:r>
      <w:r w:rsidRPr="00380B40">
        <w:rPr>
          <w:lang w:val="en-GB"/>
        </w:rPr>
        <w:t>ITU-T</w:t>
      </w:r>
      <w:r w:rsidRPr="00380B40">
        <w:rPr>
          <w:spacing w:val="28"/>
          <w:lang w:val="en-GB"/>
        </w:rPr>
        <w:t xml:space="preserve"> </w:t>
      </w:r>
      <w:r w:rsidRPr="00380B40">
        <w:rPr>
          <w:lang w:val="en-GB"/>
        </w:rPr>
        <w:t>following</w:t>
      </w:r>
      <w:r w:rsidRPr="00380B40">
        <w:rPr>
          <w:spacing w:val="24"/>
          <w:lang w:val="en-GB"/>
        </w:rPr>
        <w:t xml:space="preserve"> </w:t>
      </w:r>
      <w:r w:rsidRPr="00380B40">
        <w:rPr>
          <w:lang w:val="en-GB"/>
        </w:rPr>
        <w:t>agreement</w:t>
      </w:r>
      <w:r w:rsidRPr="00380B40">
        <w:rPr>
          <w:spacing w:val="25"/>
          <w:lang w:val="en-GB"/>
        </w:rPr>
        <w:t xml:space="preserve"> </w:t>
      </w:r>
      <w:r w:rsidRPr="00380B40">
        <w:rPr>
          <w:lang w:val="en-GB"/>
        </w:rPr>
        <w:t>by</w:t>
      </w:r>
      <w:r w:rsidRPr="00380B40">
        <w:rPr>
          <w:spacing w:val="24"/>
          <w:lang w:val="en-GB"/>
        </w:rPr>
        <w:t xml:space="preserve"> </w:t>
      </w:r>
      <w:r w:rsidRPr="00380B40">
        <w:rPr>
          <w:lang w:val="en-GB"/>
        </w:rPr>
        <w:t>a</w:t>
      </w:r>
      <w:r w:rsidRPr="00380B40">
        <w:rPr>
          <w:spacing w:val="24"/>
          <w:lang w:val="en-GB"/>
        </w:rPr>
        <w:t xml:space="preserve"> </w:t>
      </w:r>
      <w:r w:rsidRPr="00380B40">
        <w:rPr>
          <w:lang w:val="en-GB"/>
        </w:rPr>
        <w:t>study</w:t>
      </w:r>
      <w:r w:rsidRPr="00380B40">
        <w:rPr>
          <w:spacing w:val="24"/>
          <w:lang w:val="en-GB"/>
        </w:rPr>
        <w:t xml:space="preserve"> </w:t>
      </w:r>
      <w:r w:rsidRPr="00380B40">
        <w:rPr>
          <w:lang w:val="en-GB"/>
        </w:rPr>
        <w:t>group,</w:t>
      </w:r>
      <w:r w:rsidRPr="00380B40">
        <w:rPr>
          <w:spacing w:val="26"/>
          <w:lang w:val="en-GB"/>
        </w:rPr>
        <w:t xml:space="preserve"> </w:t>
      </w:r>
      <w:r w:rsidRPr="00380B40">
        <w:rPr>
          <w:spacing w:val="-2"/>
          <w:lang w:val="en-GB"/>
        </w:rPr>
        <w:t>or</w:t>
      </w:r>
      <w:r w:rsidRPr="00380B40">
        <w:rPr>
          <w:spacing w:val="24"/>
          <w:lang w:val="en-GB"/>
        </w:rPr>
        <w:t xml:space="preserve"> </w:t>
      </w:r>
      <w:r w:rsidRPr="00380B40">
        <w:rPr>
          <w:lang w:val="en-GB"/>
        </w:rPr>
        <w:t>following</w:t>
      </w:r>
      <w:r w:rsidRPr="00380B40">
        <w:rPr>
          <w:spacing w:val="53"/>
          <w:lang w:val="en-GB"/>
        </w:rPr>
        <w:t xml:space="preserve"> </w:t>
      </w:r>
      <w:r w:rsidRPr="00380B40">
        <w:rPr>
          <w:lang w:val="en-GB"/>
        </w:rPr>
        <w:t>agreement</w:t>
      </w:r>
      <w:r w:rsidRPr="00380B40">
        <w:rPr>
          <w:spacing w:val="-4"/>
          <w:lang w:val="en-GB"/>
        </w:rPr>
        <w:t xml:space="preserve"> </w:t>
      </w:r>
      <w:r w:rsidRPr="00380B40">
        <w:rPr>
          <w:lang w:val="en-GB"/>
        </w:rPr>
        <w:t>by</w:t>
      </w:r>
      <w:r w:rsidRPr="00380B40">
        <w:rPr>
          <w:spacing w:val="-8"/>
          <w:lang w:val="en-GB"/>
        </w:rPr>
        <w:t xml:space="preserve"> </w:t>
      </w:r>
      <w:r w:rsidRPr="00380B40">
        <w:rPr>
          <w:lang w:val="en-GB"/>
        </w:rPr>
        <w:t>a</w:t>
      </w:r>
      <w:r w:rsidRPr="00380B40">
        <w:rPr>
          <w:spacing w:val="-5"/>
          <w:lang w:val="en-GB"/>
        </w:rPr>
        <w:t xml:space="preserve"> </w:t>
      </w:r>
      <w:r w:rsidRPr="00380B40">
        <w:rPr>
          <w:lang w:val="en-GB"/>
        </w:rPr>
        <w:t>working</w:t>
      </w:r>
      <w:r w:rsidRPr="00380B40">
        <w:rPr>
          <w:spacing w:val="-8"/>
          <w:lang w:val="en-GB"/>
        </w:rPr>
        <w:t xml:space="preserve"> </w:t>
      </w:r>
      <w:r w:rsidRPr="00380B40">
        <w:rPr>
          <w:lang w:val="en-GB"/>
        </w:rPr>
        <w:t>party</w:t>
      </w:r>
      <w:r w:rsidRPr="00380B40">
        <w:rPr>
          <w:spacing w:val="-8"/>
          <w:lang w:val="en-GB"/>
        </w:rPr>
        <w:t xml:space="preserve"> </w:t>
      </w:r>
      <w:r w:rsidRPr="00380B40">
        <w:rPr>
          <w:lang w:val="en-GB"/>
        </w:rPr>
        <w:t>with</w:t>
      </w:r>
      <w:r w:rsidRPr="00380B40">
        <w:rPr>
          <w:spacing w:val="-5"/>
          <w:lang w:val="en-GB"/>
        </w:rPr>
        <w:t xml:space="preserve"> </w:t>
      </w:r>
      <w:r w:rsidRPr="00380B40">
        <w:rPr>
          <w:lang w:val="en-GB"/>
        </w:rPr>
        <w:t>the</w:t>
      </w:r>
      <w:r w:rsidRPr="00380B40">
        <w:rPr>
          <w:spacing w:val="-5"/>
          <w:lang w:val="en-GB"/>
        </w:rPr>
        <w:t xml:space="preserve"> </w:t>
      </w:r>
      <w:r w:rsidRPr="00380B40">
        <w:rPr>
          <w:lang w:val="en-GB"/>
        </w:rPr>
        <w:t>concurrence</w:t>
      </w:r>
      <w:r w:rsidRPr="00380B40">
        <w:rPr>
          <w:spacing w:val="-5"/>
          <w:lang w:val="en-GB"/>
        </w:rPr>
        <w:t xml:space="preserve"> </w:t>
      </w:r>
      <w:r w:rsidRPr="00380B40">
        <w:rPr>
          <w:lang w:val="en-GB"/>
        </w:rPr>
        <w:t>of</w:t>
      </w:r>
      <w:r w:rsidRPr="00380B40">
        <w:rPr>
          <w:spacing w:val="-7"/>
          <w:lang w:val="en-GB"/>
        </w:rPr>
        <w:t xml:space="preserve"> </w:t>
      </w:r>
      <w:r w:rsidRPr="00380B40">
        <w:rPr>
          <w:lang w:val="en-GB"/>
        </w:rPr>
        <w:t>the</w:t>
      </w:r>
      <w:r w:rsidRPr="00380B40">
        <w:rPr>
          <w:spacing w:val="-5"/>
          <w:lang w:val="en-GB"/>
        </w:rPr>
        <w:t xml:space="preserve"> </w:t>
      </w:r>
      <w:r w:rsidRPr="00380B40">
        <w:rPr>
          <w:lang w:val="en-GB"/>
        </w:rPr>
        <w:t>study</w:t>
      </w:r>
      <w:r w:rsidRPr="00380B40">
        <w:rPr>
          <w:spacing w:val="-8"/>
          <w:lang w:val="en-GB"/>
        </w:rPr>
        <w:t xml:space="preserve"> </w:t>
      </w:r>
      <w:r w:rsidRPr="00380B40">
        <w:rPr>
          <w:lang w:val="en-GB"/>
        </w:rPr>
        <w:t>group</w:t>
      </w:r>
      <w:r w:rsidRPr="00380B40">
        <w:rPr>
          <w:spacing w:val="-5"/>
          <w:lang w:val="en-GB"/>
        </w:rPr>
        <w:t xml:space="preserve"> </w:t>
      </w:r>
      <w:r w:rsidRPr="00380B40">
        <w:rPr>
          <w:lang w:val="en-GB"/>
        </w:rPr>
        <w:t>chairman.</w:t>
      </w:r>
      <w:r w:rsidRPr="00380B40">
        <w:rPr>
          <w:spacing w:val="-5"/>
          <w:lang w:val="en-GB"/>
        </w:rPr>
        <w:t xml:space="preserve"> </w:t>
      </w:r>
      <w:r w:rsidRPr="00380B40">
        <w:rPr>
          <w:lang w:val="en-GB"/>
        </w:rPr>
        <w:t>Typically,</w:t>
      </w:r>
      <w:r w:rsidRPr="00380B40">
        <w:rPr>
          <w:spacing w:val="-5"/>
          <w:lang w:val="en-GB"/>
        </w:rPr>
        <w:t xml:space="preserve"> </w:t>
      </w:r>
      <w:r w:rsidRPr="00380B40">
        <w:rPr>
          <w:lang w:val="en-GB"/>
        </w:rPr>
        <w:t>defect</w:t>
      </w:r>
      <w:r w:rsidRPr="00380B40">
        <w:rPr>
          <w:spacing w:val="-4"/>
          <w:lang w:val="en-GB"/>
        </w:rPr>
        <w:t xml:space="preserve"> </w:t>
      </w:r>
      <w:r w:rsidRPr="00380B40">
        <w:rPr>
          <w:lang w:val="en-GB"/>
        </w:rPr>
        <w:t>corrections</w:t>
      </w:r>
      <w:r w:rsidRPr="00380B40">
        <w:rPr>
          <w:spacing w:val="63"/>
          <w:lang w:val="en-GB"/>
        </w:rPr>
        <w:t xml:space="preserve"> </w:t>
      </w:r>
      <w:r w:rsidRPr="00380B40">
        <w:rPr>
          <w:lang w:val="en-GB"/>
        </w:rPr>
        <w:t>are</w:t>
      </w:r>
      <w:r w:rsidRPr="00380B40">
        <w:rPr>
          <w:spacing w:val="12"/>
          <w:lang w:val="en-GB"/>
        </w:rPr>
        <w:t xml:space="preserve"> </w:t>
      </w:r>
      <w:r w:rsidRPr="00380B40">
        <w:rPr>
          <w:lang w:val="en-GB"/>
        </w:rPr>
        <w:t>first</w:t>
      </w:r>
      <w:r w:rsidRPr="00380B40">
        <w:rPr>
          <w:spacing w:val="14"/>
          <w:lang w:val="en-GB"/>
        </w:rPr>
        <w:t xml:space="preserve"> </w:t>
      </w:r>
      <w:r w:rsidRPr="00380B40">
        <w:rPr>
          <w:lang w:val="en-GB"/>
        </w:rPr>
        <w:t>collected</w:t>
      </w:r>
      <w:r w:rsidRPr="00380B40">
        <w:rPr>
          <w:spacing w:val="11"/>
          <w:lang w:val="en-GB"/>
        </w:rPr>
        <w:t xml:space="preserve"> </w:t>
      </w:r>
      <w:r w:rsidRPr="00380B40">
        <w:rPr>
          <w:lang w:val="en-GB"/>
        </w:rPr>
        <w:t>in</w:t>
      </w:r>
      <w:r w:rsidRPr="00380B40">
        <w:rPr>
          <w:spacing w:val="11"/>
          <w:lang w:val="en-GB"/>
        </w:rPr>
        <w:t xml:space="preserve"> </w:t>
      </w:r>
      <w:r w:rsidRPr="00380B40">
        <w:rPr>
          <w:lang w:val="en-GB"/>
        </w:rPr>
        <w:t>an</w:t>
      </w:r>
      <w:r w:rsidRPr="00380B40">
        <w:rPr>
          <w:spacing w:val="12"/>
          <w:lang w:val="en-GB"/>
        </w:rPr>
        <w:t xml:space="preserve"> </w:t>
      </w:r>
      <w:r w:rsidRPr="00380B40">
        <w:rPr>
          <w:lang w:val="en-GB"/>
        </w:rPr>
        <w:t>implementer's</w:t>
      </w:r>
      <w:r w:rsidRPr="00380B40">
        <w:rPr>
          <w:spacing w:val="11"/>
          <w:lang w:val="en-GB"/>
        </w:rPr>
        <w:t xml:space="preserve"> </w:t>
      </w:r>
      <w:r w:rsidRPr="00380B40">
        <w:rPr>
          <w:lang w:val="en-GB"/>
        </w:rPr>
        <w:t>guide</w:t>
      </w:r>
      <w:r w:rsidRPr="00380B40">
        <w:rPr>
          <w:spacing w:val="14"/>
          <w:lang w:val="en-GB"/>
        </w:rPr>
        <w:t xml:space="preserve"> </w:t>
      </w:r>
      <w:r w:rsidRPr="00380B40">
        <w:rPr>
          <w:lang w:val="en-GB"/>
        </w:rPr>
        <w:t>and,</w:t>
      </w:r>
      <w:r w:rsidRPr="00380B40">
        <w:rPr>
          <w:spacing w:val="12"/>
          <w:lang w:val="en-GB"/>
        </w:rPr>
        <w:t xml:space="preserve"> </w:t>
      </w:r>
      <w:r w:rsidRPr="00380B40">
        <w:rPr>
          <w:lang w:val="en-GB"/>
        </w:rPr>
        <w:t>at</w:t>
      </w:r>
      <w:r w:rsidRPr="00380B40">
        <w:rPr>
          <w:spacing w:val="12"/>
          <w:lang w:val="en-GB"/>
        </w:rPr>
        <w:t xml:space="preserve"> </w:t>
      </w:r>
      <w:r w:rsidRPr="00380B40">
        <w:rPr>
          <w:lang w:val="en-GB"/>
        </w:rPr>
        <w:t>a</w:t>
      </w:r>
      <w:r w:rsidRPr="00380B40">
        <w:rPr>
          <w:spacing w:val="12"/>
          <w:lang w:val="en-GB"/>
        </w:rPr>
        <w:t xml:space="preserve"> </w:t>
      </w:r>
      <w:r w:rsidRPr="00380B40">
        <w:rPr>
          <w:spacing w:val="-2"/>
          <w:lang w:val="en-GB"/>
        </w:rPr>
        <w:t>time</w:t>
      </w:r>
      <w:r w:rsidRPr="00380B40">
        <w:rPr>
          <w:spacing w:val="14"/>
          <w:lang w:val="en-GB"/>
        </w:rPr>
        <w:t xml:space="preserve"> </w:t>
      </w:r>
      <w:r w:rsidRPr="00380B40">
        <w:rPr>
          <w:lang w:val="en-GB"/>
        </w:rPr>
        <w:t>deemed</w:t>
      </w:r>
      <w:r w:rsidRPr="00380B40">
        <w:rPr>
          <w:spacing w:val="14"/>
          <w:lang w:val="en-GB"/>
        </w:rPr>
        <w:t xml:space="preserve"> </w:t>
      </w:r>
      <w:r w:rsidRPr="00380B40">
        <w:rPr>
          <w:lang w:val="en-GB"/>
        </w:rPr>
        <w:t>appropriate</w:t>
      </w:r>
      <w:r w:rsidRPr="00380B40">
        <w:rPr>
          <w:spacing w:val="9"/>
          <w:lang w:val="en-GB"/>
        </w:rPr>
        <w:t xml:space="preserve"> </w:t>
      </w:r>
      <w:r w:rsidRPr="00380B40">
        <w:rPr>
          <w:lang w:val="en-GB"/>
        </w:rPr>
        <w:t>by</w:t>
      </w:r>
      <w:r w:rsidRPr="00380B40">
        <w:rPr>
          <w:spacing w:val="11"/>
          <w:lang w:val="en-GB"/>
        </w:rPr>
        <w:t xml:space="preserve"> </w:t>
      </w:r>
      <w:r w:rsidRPr="00380B40">
        <w:rPr>
          <w:lang w:val="en-GB"/>
        </w:rPr>
        <w:t>the</w:t>
      </w:r>
      <w:r w:rsidRPr="00380B40">
        <w:rPr>
          <w:spacing w:val="12"/>
          <w:lang w:val="en-GB"/>
        </w:rPr>
        <w:t xml:space="preserve"> </w:t>
      </w:r>
      <w:r w:rsidRPr="00380B40">
        <w:rPr>
          <w:lang w:val="en-GB"/>
        </w:rPr>
        <w:t>study</w:t>
      </w:r>
      <w:r w:rsidRPr="00380B40">
        <w:rPr>
          <w:spacing w:val="11"/>
          <w:lang w:val="en-GB"/>
        </w:rPr>
        <w:t xml:space="preserve"> </w:t>
      </w:r>
      <w:r w:rsidRPr="00380B40">
        <w:rPr>
          <w:lang w:val="en-GB"/>
        </w:rPr>
        <w:t>group,</w:t>
      </w:r>
      <w:r w:rsidRPr="00380B40">
        <w:rPr>
          <w:spacing w:val="14"/>
          <w:lang w:val="en-GB"/>
        </w:rPr>
        <w:t xml:space="preserve"> </w:t>
      </w:r>
      <w:r w:rsidRPr="00380B40">
        <w:rPr>
          <w:lang w:val="en-GB"/>
        </w:rPr>
        <w:t>they</w:t>
      </w:r>
      <w:r w:rsidRPr="00380B40">
        <w:rPr>
          <w:spacing w:val="12"/>
          <w:lang w:val="en-GB"/>
        </w:rPr>
        <w:t xml:space="preserve"> </w:t>
      </w:r>
      <w:r w:rsidRPr="00380B40">
        <w:rPr>
          <w:lang w:val="en-GB"/>
        </w:rPr>
        <w:t>are</w:t>
      </w:r>
      <w:r w:rsidRPr="00380B40">
        <w:rPr>
          <w:spacing w:val="61"/>
          <w:lang w:val="en-GB"/>
        </w:rPr>
        <w:t xml:space="preserve"> </w:t>
      </w:r>
      <w:r w:rsidRPr="00380B40">
        <w:rPr>
          <w:lang w:val="en-GB"/>
        </w:rPr>
        <w:t>used</w:t>
      </w:r>
      <w:r w:rsidRPr="00380B40">
        <w:rPr>
          <w:spacing w:val="-3"/>
          <w:lang w:val="en-GB"/>
        </w:rPr>
        <w:t xml:space="preserve"> </w:t>
      </w:r>
      <w:r w:rsidRPr="00380B40">
        <w:rPr>
          <w:lang w:val="en-GB"/>
        </w:rPr>
        <w:t>to produce a corrigendum</w:t>
      </w:r>
      <w:r w:rsidRPr="00380B40">
        <w:rPr>
          <w:spacing w:val="-4"/>
          <w:lang w:val="en-GB"/>
        </w:rPr>
        <w:t xml:space="preserve"> </w:t>
      </w:r>
      <w:r w:rsidRPr="00380B40">
        <w:rPr>
          <w:lang w:val="en-GB"/>
        </w:rPr>
        <w:t>or are included</w:t>
      </w:r>
      <w:r w:rsidRPr="00380B40">
        <w:rPr>
          <w:spacing w:val="-2"/>
          <w:lang w:val="en-GB"/>
        </w:rPr>
        <w:t xml:space="preserve"> </w:t>
      </w:r>
      <w:r w:rsidRPr="00380B40">
        <w:rPr>
          <w:lang w:val="en-GB"/>
        </w:rPr>
        <w:t>as revisions to</w:t>
      </w:r>
      <w:r w:rsidRPr="00380B40">
        <w:rPr>
          <w:spacing w:val="-3"/>
          <w:lang w:val="en-GB"/>
        </w:rPr>
        <w:t xml:space="preserve"> </w:t>
      </w:r>
      <w:r w:rsidRPr="00380B40">
        <w:rPr>
          <w:lang w:val="en-GB"/>
        </w:rPr>
        <w:t>a Recommendation.</w:t>
      </w:r>
    </w:p>
    <w:p w14:paraId="4140D621" w14:textId="77777777" w:rsidR="003C356A" w:rsidRPr="00380B40" w:rsidRDefault="003C356A" w:rsidP="003C356A">
      <w:pPr>
        <w:rPr>
          <w:lang w:val="en-GB"/>
        </w:rPr>
      </w:pPr>
      <w:r w:rsidRPr="00380B40">
        <w:rPr>
          <w:b/>
          <w:lang w:val="en-GB"/>
        </w:rPr>
        <w:t>3.2.2</w:t>
      </w:r>
      <w:r w:rsidRPr="00380B40">
        <w:rPr>
          <w:b/>
          <w:lang w:val="en-GB"/>
        </w:rPr>
        <w:tab/>
        <w:t>Supplement</w:t>
      </w:r>
      <w:r w:rsidRPr="00380B40">
        <w:rPr>
          <w:lang w:val="en-GB"/>
        </w:rPr>
        <w:t>: An informative (non-normative) document which contains material which is supplementary to and associated with the subject matter of one or more Recommendations but which is not essential to their completeness or understanding and implementation.</w:t>
      </w:r>
    </w:p>
    <w:p w14:paraId="6F637658" w14:textId="77777777" w:rsidR="003C356A" w:rsidRPr="00380B40" w:rsidDel="004724FE" w:rsidRDefault="003C356A" w:rsidP="003C356A">
      <w:pPr>
        <w:rPr>
          <w:lang w:val="en-GB"/>
        </w:rPr>
      </w:pPr>
      <w:r w:rsidRPr="00380B40" w:rsidDel="004724FE">
        <w:rPr>
          <w:b/>
          <w:lang w:val="en-GB"/>
        </w:rPr>
        <w:t>3.</w:t>
      </w:r>
      <w:r w:rsidRPr="00380B40">
        <w:rPr>
          <w:b/>
          <w:lang w:val="en-GB"/>
        </w:rPr>
        <w:t>2</w:t>
      </w:r>
      <w:r w:rsidRPr="00380B40" w:rsidDel="004724FE">
        <w:rPr>
          <w:b/>
          <w:lang w:val="en-GB"/>
        </w:rPr>
        <w:t>.3</w:t>
      </w:r>
      <w:r w:rsidRPr="00380B40" w:rsidDel="004724FE">
        <w:rPr>
          <w:b/>
          <w:lang w:val="en-GB"/>
        </w:rPr>
        <w:tab/>
      </w:r>
      <w:r w:rsidRPr="00380B40">
        <w:rPr>
          <w:b/>
          <w:lang w:val="en-GB"/>
        </w:rPr>
        <w:t>technical paper</w:t>
      </w:r>
      <w:r w:rsidRPr="00380B40">
        <w:rPr>
          <w:lang w:val="en-GB"/>
        </w:rPr>
        <w:t xml:space="preserve"> or</w:t>
      </w:r>
      <w:r w:rsidRPr="00380B40">
        <w:rPr>
          <w:b/>
          <w:lang w:val="en-GB"/>
        </w:rPr>
        <w:t xml:space="preserve"> </w:t>
      </w:r>
      <w:r w:rsidRPr="00380B40" w:rsidDel="004724FE">
        <w:rPr>
          <w:b/>
          <w:lang w:val="en-GB"/>
        </w:rPr>
        <w:t>technical report</w:t>
      </w:r>
      <w:r w:rsidRPr="00380B40" w:rsidDel="004724FE">
        <w:rPr>
          <w:lang w:val="en-GB"/>
        </w:rPr>
        <w:t xml:space="preserve">: An informative (non-normative) publication containing technical information, prepared by a study group on a given subject </w:t>
      </w:r>
      <w:r w:rsidRPr="00380B40">
        <w:rPr>
          <w:lang w:val="en-GB"/>
        </w:rPr>
        <w:t>within its mandate</w:t>
      </w:r>
      <w:r w:rsidRPr="00380B40" w:rsidDel="004724FE">
        <w:rPr>
          <w:lang w:val="en-GB"/>
        </w:rPr>
        <w:t>.</w:t>
      </w:r>
    </w:p>
    <w:p w14:paraId="55BFFD50" w14:textId="77777777" w:rsidR="003C356A" w:rsidRPr="00380B40" w:rsidRDefault="003C356A" w:rsidP="003C356A">
      <w:pPr>
        <w:pStyle w:val="Heading1"/>
        <w:rPr>
          <w:lang w:val="en-GB"/>
        </w:rPr>
      </w:pPr>
      <w:bookmarkStart w:id="1217" w:name="_Toc23176209"/>
      <w:bookmarkStart w:id="1218" w:name="_Toc111636951"/>
      <w:bookmarkStart w:id="1219" w:name="_Toc20997672"/>
      <w:bookmarkStart w:id="1220" w:name="_Toc21340222"/>
      <w:bookmarkStart w:id="1221" w:name="_Toc21340283"/>
      <w:bookmarkStart w:id="1222" w:name="_Toc23153447"/>
      <w:r w:rsidRPr="00380B40">
        <w:rPr>
          <w:lang w:val="en-GB"/>
        </w:rPr>
        <w:t>4</w:t>
      </w:r>
      <w:r w:rsidRPr="00380B40">
        <w:rPr>
          <w:lang w:val="en-GB"/>
        </w:rPr>
        <w:tab/>
        <w:t>Abbreviations and acronyms</w:t>
      </w:r>
      <w:bookmarkEnd w:id="1217"/>
      <w:bookmarkEnd w:id="1218"/>
    </w:p>
    <w:p w14:paraId="4165BCE8" w14:textId="77777777" w:rsidR="003C356A" w:rsidRPr="00380B40" w:rsidRDefault="003C356A" w:rsidP="003C356A">
      <w:pPr>
        <w:rPr>
          <w:lang w:val="en-GB"/>
        </w:rPr>
      </w:pPr>
      <w:r w:rsidRPr="00380B40">
        <w:rPr>
          <w:lang w:val="en-GB"/>
        </w:rPr>
        <w:t>This Recommendation uses the following abbreviations and acronyms: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164B3C" w:rsidRPr="00380B40" w14:paraId="168EEB14" w14:textId="77777777" w:rsidTr="00C91A38">
        <w:tc>
          <w:tcPr>
            <w:tcW w:w="1129" w:type="dxa"/>
          </w:tcPr>
          <w:p w14:paraId="770CD7C3" w14:textId="77777777" w:rsidR="00164B3C" w:rsidRPr="00380B40" w:rsidRDefault="00164B3C" w:rsidP="004E4CA9">
            <w:pPr>
              <w:tabs>
                <w:tab w:val="clear" w:pos="794"/>
                <w:tab w:val="clear" w:pos="1191"/>
                <w:tab w:val="clear" w:pos="1588"/>
                <w:tab w:val="clear" w:pos="1985"/>
              </w:tabs>
              <w:rPr>
                <w:lang w:val="en-GB"/>
              </w:rPr>
            </w:pPr>
            <w:r w:rsidRPr="00380B40">
              <w:rPr>
                <w:lang w:val="en-GB"/>
              </w:rPr>
              <w:t>TSAG</w:t>
            </w:r>
          </w:p>
        </w:tc>
        <w:tc>
          <w:tcPr>
            <w:tcW w:w="8500" w:type="dxa"/>
          </w:tcPr>
          <w:p w14:paraId="42BE389E" w14:textId="77777777" w:rsidR="00164B3C" w:rsidRPr="00380B40" w:rsidRDefault="00164B3C" w:rsidP="004E4CA9">
            <w:pPr>
              <w:tabs>
                <w:tab w:val="clear" w:pos="794"/>
                <w:tab w:val="clear" w:pos="1191"/>
                <w:tab w:val="clear" w:pos="1588"/>
                <w:tab w:val="clear" w:pos="1985"/>
              </w:tabs>
              <w:rPr>
                <w:lang w:val="en-GB"/>
              </w:rPr>
            </w:pPr>
            <w:r w:rsidRPr="00380B40">
              <w:rPr>
                <w:lang w:val="en-GB"/>
              </w:rPr>
              <w:t>Telecommunication Standardization Advisory Group</w:t>
            </w:r>
          </w:p>
        </w:tc>
      </w:tr>
      <w:tr w:rsidR="00164B3C" w:rsidRPr="00380B40" w14:paraId="49BFBFD4" w14:textId="77777777" w:rsidTr="00C91A38">
        <w:tc>
          <w:tcPr>
            <w:tcW w:w="1129" w:type="dxa"/>
          </w:tcPr>
          <w:p w14:paraId="03DD2467" w14:textId="77777777" w:rsidR="00164B3C" w:rsidRPr="00380B40" w:rsidRDefault="00164B3C" w:rsidP="004E4CA9">
            <w:pPr>
              <w:tabs>
                <w:tab w:val="clear" w:pos="794"/>
                <w:tab w:val="clear" w:pos="1191"/>
                <w:tab w:val="clear" w:pos="1588"/>
                <w:tab w:val="clear" w:pos="1985"/>
              </w:tabs>
              <w:rPr>
                <w:lang w:val="en-GB"/>
              </w:rPr>
            </w:pPr>
            <w:r w:rsidRPr="00380B40">
              <w:rPr>
                <w:lang w:val="en-GB"/>
              </w:rPr>
              <w:t>WTSA</w:t>
            </w:r>
          </w:p>
        </w:tc>
        <w:tc>
          <w:tcPr>
            <w:tcW w:w="8500" w:type="dxa"/>
          </w:tcPr>
          <w:p w14:paraId="55CA377E" w14:textId="77777777" w:rsidR="00164B3C" w:rsidRPr="00380B40" w:rsidRDefault="00164B3C" w:rsidP="004E4CA9">
            <w:pPr>
              <w:tabs>
                <w:tab w:val="clear" w:pos="794"/>
                <w:tab w:val="clear" w:pos="1191"/>
                <w:tab w:val="clear" w:pos="1588"/>
                <w:tab w:val="clear" w:pos="1985"/>
              </w:tabs>
              <w:rPr>
                <w:lang w:val="en-GB"/>
              </w:rPr>
            </w:pPr>
            <w:r w:rsidRPr="00380B40">
              <w:rPr>
                <w:lang w:val="en-GB"/>
              </w:rPr>
              <w:t>World Telecommunication Standardization Assembly</w:t>
            </w:r>
          </w:p>
        </w:tc>
      </w:tr>
    </w:tbl>
    <w:p w14:paraId="5C2F06CC" w14:textId="77777777" w:rsidR="003C356A" w:rsidRPr="00380B40" w:rsidRDefault="003C356A" w:rsidP="003C356A">
      <w:pPr>
        <w:pStyle w:val="Heading1"/>
        <w:rPr>
          <w:lang w:val="en-GB"/>
        </w:rPr>
      </w:pPr>
      <w:bookmarkStart w:id="1223" w:name="_Toc23176210"/>
      <w:bookmarkStart w:id="1224" w:name="_Toc111636952"/>
      <w:r w:rsidRPr="00380B40">
        <w:rPr>
          <w:lang w:val="en-GB"/>
        </w:rPr>
        <w:t>5</w:t>
      </w:r>
      <w:r w:rsidRPr="00380B40">
        <w:rPr>
          <w:lang w:val="en-GB"/>
        </w:rPr>
        <w:tab/>
        <w:t>Conventions</w:t>
      </w:r>
      <w:bookmarkEnd w:id="1223"/>
      <w:bookmarkEnd w:id="1224"/>
    </w:p>
    <w:p w14:paraId="1324B7B3" w14:textId="77777777" w:rsidR="003C356A" w:rsidRPr="00380B40" w:rsidRDefault="003C356A" w:rsidP="003C356A">
      <w:pPr>
        <w:rPr>
          <w:b/>
          <w:lang w:val="en-GB"/>
        </w:rPr>
      </w:pPr>
      <w:r w:rsidRPr="00380B40">
        <w:rPr>
          <w:lang w:val="en-GB"/>
        </w:rPr>
        <w:t>None.</w:t>
      </w:r>
    </w:p>
    <w:p w14:paraId="02A7FD9C" w14:textId="77777777" w:rsidR="001B4241" w:rsidRPr="00380B40" w:rsidRDefault="001B4241" w:rsidP="003C356A">
      <w:pPr>
        <w:pStyle w:val="Heading1"/>
        <w:rPr>
          <w:lang w:val="en-GB"/>
        </w:rPr>
      </w:pPr>
      <w:bookmarkStart w:id="1225" w:name="_Toc23176211"/>
      <w:r w:rsidRPr="00380B40">
        <w:rPr>
          <w:lang w:val="en-GB"/>
        </w:rPr>
        <w:br w:type="page"/>
      </w:r>
    </w:p>
    <w:p w14:paraId="01B90A44" w14:textId="77777777" w:rsidR="003C356A" w:rsidRPr="00380B40" w:rsidRDefault="003C356A" w:rsidP="003C356A">
      <w:pPr>
        <w:pStyle w:val="Heading1"/>
        <w:rPr>
          <w:lang w:val="en-GB"/>
        </w:rPr>
      </w:pPr>
      <w:bookmarkStart w:id="1226" w:name="_Toc111636953"/>
      <w:r w:rsidRPr="00380B40">
        <w:rPr>
          <w:lang w:val="en-GB"/>
        </w:rPr>
        <w:t>6</w:t>
      </w:r>
      <w:r w:rsidRPr="00380B40">
        <w:rPr>
          <w:lang w:val="en-GB"/>
        </w:rPr>
        <w:tab/>
        <w:t>Non-normative texts</w:t>
      </w:r>
      <w:bookmarkEnd w:id="1219"/>
      <w:bookmarkEnd w:id="1220"/>
      <w:bookmarkEnd w:id="1221"/>
      <w:bookmarkEnd w:id="1222"/>
      <w:bookmarkEnd w:id="1225"/>
      <w:bookmarkEnd w:id="1226"/>
    </w:p>
    <w:p w14:paraId="32CB75D9" w14:textId="77777777" w:rsidR="003C356A" w:rsidRPr="00380B40" w:rsidRDefault="003C356A" w:rsidP="003C356A">
      <w:pPr>
        <w:rPr>
          <w:lang w:val="en-GB"/>
        </w:rPr>
      </w:pPr>
      <w:r w:rsidRPr="00380B40">
        <w:rPr>
          <w:lang w:val="en-GB"/>
        </w:rPr>
        <w:t>The following general principles shall be applied by study groups for the development, approval and revision of-non-normative ITU-T publications. These include implementer's guides, technical papers, technical reports, handbooks, Supplements to ITU-T Recommendations and appendices to Recommendations agreed separately from the base text of the Recommendation.</w:t>
      </w:r>
    </w:p>
    <w:p w14:paraId="4274D793" w14:textId="77777777" w:rsidR="003C356A" w:rsidRPr="00380B40" w:rsidRDefault="003C356A" w:rsidP="003C356A">
      <w:pPr>
        <w:pStyle w:val="Note"/>
        <w:rPr>
          <w:lang w:val="en-GB"/>
        </w:rPr>
      </w:pPr>
      <w:r w:rsidRPr="00380B40">
        <w:rPr>
          <w:lang w:val="en-GB"/>
        </w:rPr>
        <w:t>NOTE – Text of an appendix approved together with its base Recommendation will follow the approval process (TAP according to section 9 of [b-WTSA Res. 1], or AAP according to [b-ITU-T A.8]) of the base Recommendation.</w:t>
      </w:r>
    </w:p>
    <w:p w14:paraId="177EFB1F" w14:textId="77777777" w:rsidR="003C356A" w:rsidRPr="00380B40" w:rsidRDefault="003C356A" w:rsidP="003C356A">
      <w:pPr>
        <w:rPr>
          <w:lang w:val="en-GB"/>
        </w:rPr>
      </w:pPr>
      <w:r w:rsidRPr="00380B40">
        <w:rPr>
          <w:lang w:val="en-GB"/>
        </w:rPr>
        <w:t>Texts other than Recommendations (often referred to as "non-normative ITU-T publications") are informative or supplementary materials in an area of study relevant to an ITU-T study group.</w:t>
      </w:r>
    </w:p>
    <w:p w14:paraId="7D748A22" w14:textId="77777777" w:rsidR="003C356A" w:rsidRPr="00380B40" w:rsidRDefault="003C356A" w:rsidP="003C356A">
      <w:pPr>
        <w:rPr>
          <w:lang w:val="en-GB"/>
        </w:rPr>
      </w:pPr>
      <w:r w:rsidRPr="00380B40">
        <w:rPr>
          <w:b/>
          <w:bCs/>
          <w:lang w:val="en-GB"/>
        </w:rPr>
        <w:t>6.1</w:t>
      </w:r>
      <w:r w:rsidRPr="00380B40">
        <w:rPr>
          <w:lang w:val="en-GB"/>
        </w:rPr>
        <w:tab/>
        <w:t>Before proposing any new or revised text as a non-normative publication, a study group or TSAG should ensure, in consultation with the Director, that:</w:t>
      </w:r>
    </w:p>
    <w:p w14:paraId="7AE42B31" w14:textId="77777777" w:rsidR="003C356A" w:rsidRPr="00380B40" w:rsidRDefault="003C356A" w:rsidP="003C356A">
      <w:pPr>
        <w:pStyle w:val="enumlev1"/>
        <w:rPr>
          <w:lang w:val="en-GB"/>
        </w:rPr>
      </w:pPr>
      <w:r w:rsidRPr="00380B40">
        <w:rPr>
          <w:lang w:val="en-GB"/>
        </w:rPr>
        <w:t>i)</w:t>
      </w:r>
      <w:r w:rsidRPr="00380B40">
        <w:rPr>
          <w:lang w:val="en-GB"/>
        </w:rPr>
        <w:tab/>
        <w:t>the subject matter is within its mandate;</w:t>
      </w:r>
    </w:p>
    <w:p w14:paraId="1E59E5EC" w14:textId="77777777" w:rsidR="003C356A" w:rsidRPr="00380B40" w:rsidRDefault="003C356A" w:rsidP="003C356A">
      <w:pPr>
        <w:pStyle w:val="enumlev1"/>
        <w:rPr>
          <w:lang w:val="en-GB"/>
        </w:rPr>
      </w:pPr>
      <w:r w:rsidRPr="00380B40">
        <w:rPr>
          <w:lang w:val="en-GB"/>
        </w:rPr>
        <w:t>ii)</w:t>
      </w:r>
      <w:r w:rsidRPr="00380B40">
        <w:rPr>
          <w:lang w:val="en-GB"/>
        </w:rPr>
        <w:tab/>
        <w:t>there is a sufficient need for the information on a long</w:t>
      </w:r>
      <w:r w:rsidRPr="00380B40">
        <w:rPr>
          <w:lang w:val="en-GB"/>
        </w:rPr>
        <w:noBreakHyphen/>
        <w:t>term basis;</w:t>
      </w:r>
    </w:p>
    <w:p w14:paraId="79D65098" w14:textId="77777777" w:rsidR="003C356A" w:rsidRPr="00380B40" w:rsidRDefault="003C356A" w:rsidP="003C356A">
      <w:pPr>
        <w:pStyle w:val="enumlev1"/>
        <w:rPr>
          <w:lang w:val="en-GB"/>
        </w:rPr>
      </w:pPr>
      <w:r w:rsidRPr="00380B40">
        <w:rPr>
          <w:lang w:val="en-GB"/>
        </w:rPr>
        <w:t>iii)</w:t>
      </w:r>
      <w:r w:rsidRPr="00380B40">
        <w:rPr>
          <w:lang w:val="en-GB"/>
        </w:rPr>
        <w:tab/>
        <w:t>the text cannot be reasonably adapted for inclusion in an existing or new Recommendation (e.g., as an appendix);</w:t>
      </w:r>
    </w:p>
    <w:p w14:paraId="2DDECA76" w14:textId="77777777" w:rsidR="003C356A" w:rsidRPr="00380B40" w:rsidRDefault="003C356A" w:rsidP="003C356A">
      <w:pPr>
        <w:pStyle w:val="enumlev1"/>
        <w:rPr>
          <w:lang w:val="en-GB"/>
        </w:rPr>
      </w:pPr>
      <w:r w:rsidRPr="00380B40">
        <w:rPr>
          <w:lang w:val="en-GB"/>
        </w:rPr>
        <w:t>iv)</w:t>
      </w:r>
      <w:r w:rsidRPr="00380B40">
        <w:rPr>
          <w:lang w:val="en-GB"/>
        </w:rPr>
        <w:tab/>
        <w:t>the text contains material which is not essential to the completeness or understanding and implementation of any ITU-T Recommendation;</w:t>
      </w:r>
    </w:p>
    <w:p w14:paraId="5709D26E" w14:textId="77777777" w:rsidR="003C356A" w:rsidRPr="00380B40" w:rsidRDefault="003C356A" w:rsidP="003C356A">
      <w:pPr>
        <w:pStyle w:val="enumlev1"/>
        <w:rPr>
          <w:lang w:val="en-GB"/>
        </w:rPr>
      </w:pPr>
      <w:r w:rsidRPr="00380B40">
        <w:rPr>
          <w:lang w:val="en-GB"/>
        </w:rPr>
        <w:t>v)</w:t>
      </w:r>
      <w:r w:rsidRPr="00380B40">
        <w:rPr>
          <w:lang w:val="en-GB"/>
        </w:rPr>
        <w:tab/>
        <w:t>the text is sufficiently mature and it follows, as far as possible, the format of [b-Author's Guide] but with language adjusted due to the informative rather than normative nature of the publication.</w:t>
      </w:r>
    </w:p>
    <w:p w14:paraId="2EDA9D54" w14:textId="77777777" w:rsidR="003C356A" w:rsidRPr="00380B40" w:rsidRDefault="003C356A" w:rsidP="003C356A">
      <w:pPr>
        <w:rPr>
          <w:lang w:val="en-GB"/>
        </w:rPr>
      </w:pPr>
      <w:r w:rsidRPr="00380B40">
        <w:rPr>
          <w:b/>
          <w:bCs/>
          <w:lang w:val="en-GB"/>
        </w:rPr>
        <w:t>6.2</w:t>
      </w:r>
      <w:r w:rsidRPr="00380B40">
        <w:rPr>
          <w:lang w:val="en-GB"/>
        </w:rPr>
        <w:tab/>
        <w:t>Non-normative documents require agreement by the study group or TSAG (in the case of a document developed by TSAG), but they do not require approval according to [b-WTSA Res. 1] or [b</w:t>
      </w:r>
      <w:r w:rsidRPr="00380B40">
        <w:rPr>
          <w:lang w:val="en-GB"/>
        </w:rPr>
        <w:noBreakHyphen/>
        <w:t>ITU-T A.8] procedures.</w:t>
      </w:r>
    </w:p>
    <w:p w14:paraId="13D2716A" w14:textId="77777777" w:rsidR="003C356A" w:rsidRPr="00380B40" w:rsidRDefault="003C356A" w:rsidP="003C356A">
      <w:pPr>
        <w:rPr>
          <w:lang w:val="en-GB"/>
        </w:rPr>
      </w:pPr>
      <w:r w:rsidRPr="00380B40">
        <w:rPr>
          <w:b/>
          <w:bCs/>
          <w:lang w:val="en-GB"/>
        </w:rPr>
        <w:t>6.3</w:t>
      </w:r>
      <w:r w:rsidRPr="00380B40">
        <w:rPr>
          <w:lang w:val="en-GB"/>
        </w:rPr>
        <w:tab/>
        <w:t>Non-normative publications are only informative and are therefore not considered to be an integral part of any Recommendation(s). The following note shall be added after the foreword of non-normative publications: "NOTE – This is an informative ITU-T publication. Mandatory provisions, such as those found in ITU-T Recommendations, are outside the scope of this publication. This publication should only be referenced bibliographically in ITU-T Recommendations".</w:t>
      </w:r>
    </w:p>
    <w:p w14:paraId="0B55B771" w14:textId="77777777" w:rsidR="003C356A" w:rsidRPr="00380B40" w:rsidRDefault="003C356A" w:rsidP="003C356A">
      <w:pPr>
        <w:rPr>
          <w:lang w:val="en-GB"/>
        </w:rPr>
      </w:pPr>
      <w:r w:rsidRPr="00380B40">
        <w:rPr>
          <w:b/>
          <w:lang w:val="en-GB"/>
        </w:rPr>
        <w:t>6.4</w:t>
      </w:r>
      <w:r w:rsidRPr="00380B40">
        <w:rPr>
          <w:lang w:val="en-GB"/>
        </w:rPr>
        <w:tab/>
        <w:t>Since non-normative publications are informative material, no onus is implied on the issuing study group to update or to reissue them. However, should (bibliographic) reference to a non-normative publication be made in a Recommendation, the study group should review the applicability both of that reference and the non-normative publication at least once every four years, and take any necessary action.</w:t>
      </w:r>
    </w:p>
    <w:p w14:paraId="726B2BE9" w14:textId="77777777" w:rsidR="003C356A" w:rsidRPr="00380B40" w:rsidRDefault="003C356A" w:rsidP="003C356A">
      <w:pPr>
        <w:rPr>
          <w:lang w:val="en-GB"/>
        </w:rPr>
      </w:pPr>
      <w:r w:rsidRPr="00380B40">
        <w:rPr>
          <w:b/>
          <w:lang w:val="en-GB"/>
        </w:rPr>
        <w:t>6.5</w:t>
      </w:r>
      <w:r w:rsidRPr="00380B40">
        <w:rPr>
          <w:lang w:val="en-GB"/>
        </w:rPr>
        <w:tab/>
        <w:t>Non-normative publications (other than Supplements and implementer's guides) are not included in databases along with ITU-T Recommendations but are published on the web site of the concerned Study Group or TSAG.</w:t>
      </w:r>
    </w:p>
    <w:p w14:paraId="14807CE3" w14:textId="77777777" w:rsidR="001B4241" w:rsidRPr="00380B40" w:rsidRDefault="001B4241" w:rsidP="003C356A">
      <w:pPr>
        <w:rPr>
          <w:b/>
          <w:lang w:val="en-GB"/>
        </w:rPr>
      </w:pPr>
      <w:r w:rsidRPr="00380B40">
        <w:rPr>
          <w:b/>
          <w:lang w:val="en-GB"/>
        </w:rPr>
        <w:br w:type="page"/>
      </w:r>
    </w:p>
    <w:p w14:paraId="2043D208" w14:textId="77777777" w:rsidR="003C356A" w:rsidRPr="00380B40" w:rsidRDefault="003C356A" w:rsidP="003C356A">
      <w:pPr>
        <w:rPr>
          <w:lang w:val="en-GB"/>
        </w:rPr>
      </w:pPr>
      <w:r w:rsidRPr="00380B40">
        <w:rPr>
          <w:b/>
          <w:lang w:val="en-GB"/>
        </w:rPr>
        <w:t>6.6</w:t>
      </w:r>
      <w:r w:rsidRPr="00380B40">
        <w:rPr>
          <w:lang w:val="en-GB"/>
        </w:rPr>
        <w:tab/>
        <w:t>Non normative publications may be deleted after consultation with the concerned study group if not reviewed or updated after a period of eight years.</w:t>
      </w:r>
    </w:p>
    <w:p w14:paraId="64DD2DE8" w14:textId="77777777" w:rsidR="003C356A" w:rsidRPr="00380B40" w:rsidRDefault="003C356A" w:rsidP="003C356A">
      <w:pPr>
        <w:rPr>
          <w:lang w:val="en-GB"/>
        </w:rPr>
      </w:pPr>
      <w:r w:rsidRPr="00380B40">
        <w:rPr>
          <w:b/>
          <w:lang w:val="en-GB"/>
        </w:rPr>
        <w:t>6.7</w:t>
      </w:r>
      <w:r w:rsidRPr="00380B40">
        <w:rPr>
          <w:lang w:val="en-GB"/>
        </w:rPr>
        <w:tab/>
        <w:t>Non-normative publications (other than Supplements) are not edited by TSB before publication. They are available for free in electronic format and are not printed in paper format.</w:t>
      </w:r>
    </w:p>
    <w:p w14:paraId="1437158B" w14:textId="77777777" w:rsidR="003C356A" w:rsidRPr="00380B40" w:rsidRDefault="003C356A" w:rsidP="003C356A">
      <w:pPr>
        <w:pStyle w:val="Heading1"/>
        <w:rPr>
          <w:lang w:val="en-GB"/>
        </w:rPr>
      </w:pPr>
      <w:bookmarkStart w:id="1227" w:name="_Toc20997673"/>
      <w:bookmarkStart w:id="1228" w:name="_Toc21340223"/>
      <w:bookmarkStart w:id="1229" w:name="_Toc21340284"/>
      <w:bookmarkStart w:id="1230" w:name="_Toc23153448"/>
      <w:bookmarkStart w:id="1231" w:name="_Toc23176212"/>
      <w:bookmarkStart w:id="1232" w:name="_Toc111636954"/>
      <w:r w:rsidRPr="00380B40">
        <w:rPr>
          <w:lang w:val="en-GB"/>
        </w:rPr>
        <w:t>7</w:t>
      </w:r>
      <w:r w:rsidRPr="00380B40">
        <w:rPr>
          <w:lang w:val="en-GB"/>
        </w:rPr>
        <w:tab/>
        <w:t>Additional considerations specific to Supplements</w:t>
      </w:r>
      <w:bookmarkEnd w:id="1227"/>
      <w:bookmarkEnd w:id="1228"/>
      <w:bookmarkEnd w:id="1229"/>
      <w:bookmarkEnd w:id="1230"/>
      <w:bookmarkEnd w:id="1231"/>
      <w:bookmarkEnd w:id="1232"/>
    </w:p>
    <w:p w14:paraId="20423D6E" w14:textId="77777777" w:rsidR="003C356A" w:rsidRPr="00380B40" w:rsidRDefault="003C356A" w:rsidP="003C356A">
      <w:pPr>
        <w:rPr>
          <w:lang w:val="en-GB"/>
        </w:rPr>
      </w:pPr>
      <w:r w:rsidRPr="00380B40">
        <w:rPr>
          <w:lang w:val="en-GB"/>
        </w:rPr>
        <w:t>In addition to the general principles given in clause 6, which apply to all non-normative publications, the following additional principles shall be applied by study groups for the development, agreement, identification and revision of Supplements:</w:t>
      </w:r>
    </w:p>
    <w:p w14:paraId="283B66D3" w14:textId="77777777" w:rsidR="003C356A" w:rsidRPr="00380B40" w:rsidRDefault="003C356A" w:rsidP="003C356A">
      <w:pPr>
        <w:rPr>
          <w:lang w:val="en-GB"/>
        </w:rPr>
      </w:pPr>
      <w:r w:rsidRPr="00380B40">
        <w:rPr>
          <w:b/>
          <w:lang w:val="en-GB"/>
        </w:rPr>
        <w:t>7.1</w:t>
      </w:r>
      <w:r w:rsidRPr="00380B40">
        <w:rPr>
          <w:lang w:val="en-GB"/>
        </w:rPr>
        <w:tab/>
        <w:t>A working party may agree to a Supplement if the study group that set up the working party has previously identified this Supplement and has authorized the working party to do so at the previous study group meeting provided that such Supplement is not related or linked to any Recommendation having policy or regulatory implications in accordance with Nos. 246D to 246H of the ITU Convention.</w:t>
      </w:r>
    </w:p>
    <w:p w14:paraId="09E47988" w14:textId="77777777" w:rsidR="003C356A" w:rsidRPr="00380B40" w:rsidRDefault="003C356A" w:rsidP="003C356A">
      <w:pPr>
        <w:rPr>
          <w:lang w:val="en-GB"/>
        </w:rPr>
      </w:pPr>
      <w:r w:rsidRPr="00380B40">
        <w:rPr>
          <w:b/>
          <w:bCs/>
          <w:lang w:val="en-GB"/>
        </w:rPr>
        <w:t>7.2</w:t>
      </w:r>
      <w:r w:rsidRPr="00380B40">
        <w:rPr>
          <w:lang w:val="en-GB"/>
        </w:rPr>
        <w:tab/>
        <w:t>Each Supplement should be unambiguously identified by the series letter to which it is associated followed by a sequential number unique within that series. Supplements may apply to a series of Recommendations; they need not be attached to a particular single Recommendation.</w:t>
      </w:r>
    </w:p>
    <w:p w14:paraId="1D1717D2" w14:textId="77777777" w:rsidR="003C356A" w:rsidRPr="00380B40" w:rsidRDefault="003C356A" w:rsidP="003C356A">
      <w:pPr>
        <w:keepNext/>
        <w:rPr>
          <w:lang w:val="en-GB"/>
        </w:rPr>
      </w:pPr>
      <w:r w:rsidRPr="00380B40">
        <w:rPr>
          <w:b/>
          <w:bCs/>
          <w:lang w:val="en-GB"/>
        </w:rPr>
        <w:t>7.3</w:t>
      </w:r>
      <w:r w:rsidRPr="00380B40">
        <w:rPr>
          <w:lang w:val="en-GB"/>
        </w:rPr>
        <w:tab/>
        <w:t>Supplements should be included in databases along with ITU</w:t>
      </w:r>
      <w:r w:rsidRPr="00380B40">
        <w:rPr>
          <w:lang w:val="en-GB"/>
        </w:rPr>
        <w:noBreakHyphen/>
        <w:t>T Recommendations.</w:t>
      </w:r>
    </w:p>
    <w:p w14:paraId="19F99CB9" w14:textId="77777777" w:rsidR="003C356A" w:rsidRPr="00380B40" w:rsidRDefault="003C356A" w:rsidP="003C356A">
      <w:pPr>
        <w:rPr>
          <w:lang w:val="en-GB"/>
        </w:rPr>
      </w:pPr>
      <w:r w:rsidRPr="00380B40">
        <w:rPr>
          <w:b/>
          <w:bCs/>
          <w:lang w:val="en-GB"/>
        </w:rPr>
        <w:t>7.4</w:t>
      </w:r>
      <w:r w:rsidRPr="00380B40">
        <w:rPr>
          <w:lang w:val="en-GB"/>
        </w:rPr>
        <w:tab/>
        <w:t>To the extent practicable, Supplements will be published in a similar fashion to Recommendations, but with a lower priority, and taking into account market needs.</w:t>
      </w:r>
    </w:p>
    <w:p w14:paraId="17FE18FC" w14:textId="77777777" w:rsidR="003C356A" w:rsidRPr="00380B40" w:rsidRDefault="003C356A" w:rsidP="003C356A">
      <w:pPr>
        <w:pStyle w:val="Heading1"/>
        <w:rPr>
          <w:lang w:val="en-GB"/>
        </w:rPr>
      </w:pPr>
      <w:bookmarkStart w:id="1233" w:name="_Toc20997674"/>
      <w:bookmarkStart w:id="1234" w:name="_Toc21340224"/>
      <w:bookmarkStart w:id="1235" w:name="_Toc21340285"/>
      <w:bookmarkStart w:id="1236" w:name="_Toc23153449"/>
      <w:bookmarkStart w:id="1237" w:name="_Toc23176213"/>
      <w:bookmarkStart w:id="1238" w:name="_Toc111636955"/>
      <w:r w:rsidRPr="00380B40">
        <w:rPr>
          <w:lang w:val="en-GB"/>
        </w:rPr>
        <w:t>8</w:t>
      </w:r>
      <w:r w:rsidRPr="00380B40">
        <w:rPr>
          <w:lang w:val="en-GB"/>
        </w:rPr>
        <w:tab/>
        <w:t>Work programme</w:t>
      </w:r>
      <w:bookmarkEnd w:id="1233"/>
      <w:bookmarkEnd w:id="1234"/>
      <w:bookmarkEnd w:id="1235"/>
      <w:bookmarkEnd w:id="1236"/>
      <w:bookmarkEnd w:id="1237"/>
      <w:bookmarkEnd w:id="1238"/>
    </w:p>
    <w:p w14:paraId="0A1142BB" w14:textId="77777777" w:rsidR="003C356A" w:rsidRPr="00380B40" w:rsidRDefault="003C356A" w:rsidP="003C356A">
      <w:pPr>
        <w:rPr>
          <w:lang w:val="en-GB"/>
        </w:rPr>
      </w:pPr>
      <w:r w:rsidRPr="00380B40">
        <w:rPr>
          <w:b/>
          <w:lang w:val="en-GB"/>
        </w:rPr>
        <w:t>8.1</w:t>
      </w:r>
      <w:r w:rsidRPr="00380B40">
        <w:rPr>
          <w:lang w:val="en-GB"/>
        </w:rPr>
        <w:tab/>
        <w:t>The decision to add a new work item for a non-normative ITU-T publication (see clause 6) to the work programme of a study group (or TSAG) should be documented in the report of the meeting using the template in Annex A. Note that this may not be necessary to document the continuation of existing work (e.g., a revision of an existing non-normative document).</w:t>
      </w:r>
    </w:p>
    <w:p w14:paraId="5339C8D7" w14:textId="77777777" w:rsidR="003C356A" w:rsidRPr="00380B40" w:rsidRDefault="003C356A" w:rsidP="003C356A">
      <w:pPr>
        <w:rPr>
          <w:lang w:val="en-GB"/>
        </w:rPr>
      </w:pPr>
      <w:r w:rsidRPr="00380B40">
        <w:rPr>
          <w:b/>
          <w:lang w:val="en-GB"/>
        </w:rPr>
        <w:t>8.2</w:t>
      </w:r>
      <w:r w:rsidRPr="00380B40">
        <w:rPr>
          <w:lang w:val="en-GB"/>
        </w:rPr>
        <w:tab/>
        <w:t>The target date should normally be less than two years after the study group meeting when the new work item is added to the work programme. A work item may be considered for discontinuation from the work programme if it has not given rise to any contribution in the time interval of the previous two study group meetings.</w:t>
      </w:r>
    </w:p>
    <w:p w14:paraId="6ADAAFD4" w14:textId="77777777" w:rsidR="00C420AF" w:rsidRPr="00380B40" w:rsidRDefault="00C420AF" w:rsidP="003C356A">
      <w:pPr>
        <w:rPr>
          <w:lang w:val="en-GB"/>
        </w:rPr>
      </w:pPr>
    </w:p>
    <w:p w14:paraId="62983C0B" w14:textId="77777777" w:rsidR="00C420AF" w:rsidRPr="00380B40" w:rsidRDefault="00C420AF" w:rsidP="003C356A">
      <w:pPr>
        <w:rPr>
          <w:lang w:val="en-GB"/>
        </w:rPr>
      </w:pPr>
    </w:p>
    <w:p w14:paraId="05445EB9" w14:textId="77777777" w:rsidR="00C420AF" w:rsidRPr="00380B40" w:rsidRDefault="00C420AF" w:rsidP="003C356A">
      <w:pPr>
        <w:rPr>
          <w:lang w:val="en-GB"/>
        </w:rPr>
      </w:pPr>
    </w:p>
    <w:p w14:paraId="2AF281D3" w14:textId="77777777" w:rsidR="003C356A" w:rsidRPr="00380B40" w:rsidRDefault="003C356A" w:rsidP="003C356A">
      <w:pPr>
        <w:tabs>
          <w:tab w:val="clear" w:pos="794"/>
          <w:tab w:val="clear" w:pos="1191"/>
          <w:tab w:val="clear" w:pos="1588"/>
          <w:tab w:val="clear" w:pos="1985"/>
        </w:tabs>
        <w:overflowPunct/>
        <w:autoSpaceDE/>
        <w:autoSpaceDN/>
        <w:adjustRightInd/>
        <w:spacing w:before="0"/>
        <w:jc w:val="left"/>
        <w:textAlignment w:val="auto"/>
        <w:rPr>
          <w:lang w:val="en-GB"/>
        </w:rPr>
      </w:pPr>
      <w:bookmarkStart w:id="1239" w:name="_Toc20997675"/>
      <w:r w:rsidRPr="00380B40">
        <w:rPr>
          <w:lang w:val="en-GB"/>
        </w:rPr>
        <w:br w:type="page"/>
      </w:r>
    </w:p>
    <w:p w14:paraId="346B5258" w14:textId="77777777" w:rsidR="009D2170" w:rsidRPr="00380B40" w:rsidRDefault="003C356A" w:rsidP="009D2170">
      <w:pPr>
        <w:pStyle w:val="AnnexNo"/>
      </w:pPr>
      <w:bookmarkStart w:id="1240" w:name="_Toc111636956"/>
      <w:bookmarkStart w:id="1241" w:name="_Toc21340225"/>
      <w:bookmarkStart w:id="1242" w:name="_Toc21340286"/>
      <w:bookmarkStart w:id="1243" w:name="_Toc23153450"/>
      <w:bookmarkStart w:id="1244" w:name="_Toc23176214"/>
      <w:r w:rsidRPr="00380B40">
        <w:t>Annex A</w:t>
      </w:r>
      <w:bookmarkEnd w:id="1240"/>
    </w:p>
    <w:p w14:paraId="1442D9E1" w14:textId="77777777" w:rsidR="003C356A" w:rsidRPr="00380B40" w:rsidRDefault="003C356A" w:rsidP="009D2170">
      <w:pPr>
        <w:pStyle w:val="Annextitle"/>
      </w:pPr>
      <w:r w:rsidRPr="00380B40">
        <w:t>Template to describe a proposed new non-normative document</w:t>
      </w:r>
      <w:r w:rsidRPr="00380B40">
        <w:br/>
        <w:t>in the work programme</w:t>
      </w:r>
      <w:bookmarkEnd w:id="1241"/>
      <w:bookmarkEnd w:id="1242"/>
      <w:bookmarkEnd w:id="1243"/>
      <w:bookmarkEnd w:id="1244"/>
    </w:p>
    <w:p w14:paraId="63AD5365" w14:textId="77777777" w:rsidR="003C356A" w:rsidRPr="00380B40" w:rsidRDefault="003C356A" w:rsidP="004F4C4C">
      <w:pPr>
        <w:pStyle w:val="Normalcenteraligned"/>
        <w:rPr>
          <w:rFonts w:eastAsia="SimSun"/>
          <w:lang w:eastAsia="ja-JP"/>
        </w:rPr>
      </w:pPr>
      <w:r w:rsidRPr="00380B40">
        <w:rPr>
          <w:rFonts w:eastAsia="SimSun"/>
          <w:lang w:eastAsia="ja-JP"/>
        </w:rPr>
        <w:t>(This annex forms an integral part of this Recommendation.)</w:t>
      </w:r>
    </w:p>
    <w:p w14:paraId="0B652E8C" w14:textId="77777777" w:rsidR="003C356A" w:rsidRPr="00380B40" w:rsidRDefault="003C356A" w:rsidP="003C356A">
      <w:pPr>
        <w:tabs>
          <w:tab w:val="clear" w:pos="794"/>
          <w:tab w:val="clear" w:pos="1191"/>
          <w:tab w:val="clear" w:pos="1588"/>
          <w:tab w:val="clear" w:pos="1985"/>
        </w:tabs>
        <w:overflowPunct/>
        <w:autoSpaceDE/>
        <w:autoSpaceDN/>
        <w:adjustRightInd/>
        <w:jc w:val="center"/>
        <w:textAlignment w:val="auto"/>
        <w:rPr>
          <w:rFonts w:eastAsia="SimSun"/>
          <w:szCs w:val="24"/>
          <w:lang w:val="en-GB" w:eastAsia="ja-JP"/>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2"/>
        <w:gridCol w:w="416"/>
        <w:gridCol w:w="466"/>
        <w:gridCol w:w="4618"/>
        <w:gridCol w:w="1213"/>
        <w:gridCol w:w="1744"/>
      </w:tblGrid>
      <w:tr w:rsidR="003C356A" w:rsidRPr="00380B40" w14:paraId="081867CE" w14:textId="77777777" w:rsidTr="00DE1739">
        <w:trPr>
          <w:trHeight w:val="1149"/>
          <w:jc w:val="center"/>
        </w:trPr>
        <w:tc>
          <w:tcPr>
            <w:tcW w:w="1182" w:type="dxa"/>
            <w:shd w:val="clear" w:color="auto" w:fill="auto"/>
            <w:hideMark/>
          </w:tcPr>
          <w:p w14:paraId="43B77711"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b/>
                <w:bCs/>
                <w:sz w:val="20"/>
                <w:szCs w:val="24"/>
                <w:lang w:val="en-GB" w:eastAsia="ja-JP"/>
              </w:rPr>
            </w:pPr>
            <w:r w:rsidRPr="00380B40">
              <w:rPr>
                <w:rFonts w:eastAsia="SimSun"/>
                <w:b/>
                <w:bCs/>
                <w:sz w:val="20"/>
                <w:szCs w:val="24"/>
                <w:lang w:val="en-GB" w:eastAsia="ja-JP"/>
              </w:rPr>
              <w:t>Question:</w:t>
            </w:r>
          </w:p>
        </w:tc>
        <w:tc>
          <w:tcPr>
            <w:tcW w:w="416" w:type="dxa"/>
            <w:shd w:val="clear" w:color="auto" w:fill="auto"/>
          </w:tcPr>
          <w:p w14:paraId="705FA894"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sz w:val="20"/>
                <w:szCs w:val="24"/>
                <w:lang w:val="en-GB" w:eastAsia="ja-JP"/>
              </w:rPr>
            </w:pPr>
          </w:p>
        </w:tc>
        <w:tc>
          <w:tcPr>
            <w:tcW w:w="466" w:type="dxa"/>
            <w:shd w:val="clear" w:color="auto" w:fill="auto"/>
            <w:hideMark/>
          </w:tcPr>
          <w:p w14:paraId="20D33B11"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sz w:val="20"/>
                <w:szCs w:val="24"/>
                <w:lang w:val="en-GB" w:eastAsia="ja-JP"/>
              </w:rPr>
            </w:pPr>
            <w:r w:rsidRPr="00380B40">
              <w:rPr>
                <w:rFonts w:eastAsia="SimSun"/>
                <w:sz w:val="20"/>
                <w:szCs w:val="24"/>
                <w:lang w:val="en-GB" w:eastAsia="ja-JP"/>
              </w:rPr>
              <w:t>/</w:t>
            </w:r>
          </w:p>
        </w:tc>
        <w:tc>
          <w:tcPr>
            <w:tcW w:w="4618" w:type="dxa"/>
            <w:shd w:val="clear" w:color="auto" w:fill="auto"/>
            <w:hideMark/>
          </w:tcPr>
          <w:p w14:paraId="628DB40B"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jc w:val="left"/>
              <w:textAlignment w:val="auto"/>
              <w:rPr>
                <w:rFonts w:eastAsia="SimSun"/>
                <w:b/>
                <w:bCs/>
                <w:sz w:val="20"/>
                <w:szCs w:val="24"/>
                <w:lang w:val="en-GB" w:eastAsia="ja-JP"/>
              </w:rPr>
            </w:pPr>
            <w:r w:rsidRPr="00380B40">
              <w:rPr>
                <w:rFonts w:eastAsia="SimSun"/>
                <w:b/>
                <w:bCs/>
                <w:sz w:val="20"/>
                <w:szCs w:val="24"/>
                <w:lang w:val="en-GB" w:eastAsia="ja-JP"/>
              </w:rPr>
              <w:t>Proposed new ITU-T:</w:t>
            </w:r>
          </w:p>
          <w:p w14:paraId="71410507" w14:textId="77777777" w:rsidR="003C356A" w:rsidRPr="00380B40" w:rsidRDefault="00111630" w:rsidP="00FD162E">
            <w:pPr>
              <w:pStyle w:val="Bulletlist1"/>
              <w:ind w:left="360" w:hanging="360"/>
              <w:rPr>
                <w:rFonts w:eastAsia="SimSun"/>
                <w:lang w:eastAsia="ja-JP"/>
              </w:rPr>
            </w:pPr>
            <w:r w:rsidRPr="00380B40">
              <w:object w:dxaOrig="195" w:dyaOrig="165" w14:anchorId="16597F92">
                <v:shape id="_x0000_i1028" type="#_x0000_t75" style="width:9.65pt;height:7.5pt" o:ole="">
                  <v:imagedata r:id="rId407" o:title=""/>
                </v:shape>
                <o:OLEObject Type="Embed" ProgID="PBrush" ShapeID="_x0000_i1028" DrawAspect="Content" ObjectID="_1724761179" r:id="rId408"/>
              </w:object>
            </w:r>
            <w:r w:rsidR="00FD162E" w:rsidRPr="00380B40">
              <w:rPr>
                <w:rFonts w:eastAsia="SimSun"/>
                <w:lang w:eastAsia="ja-JP"/>
              </w:rPr>
              <w:tab/>
            </w:r>
            <w:r w:rsidR="003C356A" w:rsidRPr="00380B40">
              <w:rPr>
                <w:rFonts w:eastAsia="SimSun"/>
                <w:lang w:eastAsia="ja-JP"/>
              </w:rPr>
              <w:t>Supplement</w:t>
            </w:r>
          </w:p>
          <w:p w14:paraId="666AC11F" w14:textId="77777777" w:rsidR="003C356A" w:rsidRPr="00380B40" w:rsidRDefault="00111630" w:rsidP="00FD162E">
            <w:pPr>
              <w:pStyle w:val="Bulletlist1"/>
              <w:ind w:left="360" w:hanging="360"/>
              <w:rPr>
                <w:rFonts w:eastAsia="SimSun"/>
                <w:lang w:eastAsia="ja-JP"/>
              </w:rPr>
            </w:pPr>
            <w:r w:rsidRPr="00380B40">
              <w:object w:dxaOrig="195" w:dyaOrig="165" w14:anchorId="027FD26B">
                <v:shape id="_x0000_i1029" type="#_x0000_t75" style="width:9.65pt;height:7.5pt" o:ole="">
                  <v:imagedata r:id="rId407" o:title=""/>
                </v:shape>
                <o:OLEObject Type="Embed" ProgID="PBrush" ShapeID="_x0000_i1029" DrawAspect="Content" ObjectID="_1724761180" r:id="rId409"/>
              </w:object>
            </w:r>
            <w:r w:rsidR="00FD162E" w:rsidRPr="00380B40">
              <w:rPr>
                <w:rFonts w:eastAsia="SimSun"/>
                <w:lang w:eastAsia="ja-JP"/>
              </w:rPr>
              <w:tab/>
            </w:r>
            <w:r w:rsidR="003C356A" w:rsidRPr="00380B40">
              <w:rPr>
                <w:rFonts w:eastAsia="SimSun"/>
                <w:lang w:eastAsia="ja-JP"/>
              </w:rPr>
              <w:t>Implementer's guide</w:t>
            </w:r>
          </w:p>
          <w:p w14:paraId="287FAB8A" w14:textId="77777777" w:rsidR="003C356A" w:rsidRPr="00380B40" w:rsidRDefault="00111630" w:rsidP="00FD162E">
            <w:pPr>
              <w:pStyle w:val="Bulletlist1"/>
              <w:ind w:left="360" w:hanging="360"/>
              <w:rPr>
                <w:rFonts w:eastAsia="SimSun"/>
                <w:lang w:eastAsia="ja-JP"/>
              </w:rPr>
            </w:pPr>
            <w:r w:rsidRPr="00380B40">
              <w:object w:dxaOrig="195" w:dyaOrig="165" w14:anchorId="7CB80632">
                <v:shape id="_x0000_i1030" type="#_x0000_t75" style="width:9.65pt;height:7.5pt" o:ole="">
                  <v:imagedata r:id="rId407" o:title=""/>
                </v:shape>
                <o:OLEObject Type="Embed" ProgID="PBrush" ShapeID="_x0000_i1030" DrawAspect="Content" ObjectID="_1724761181" r:id="rId410"/>
              </w:object>
            </w:r>
            <w:r w:rsidR="00FD162E" w:rsidRPr="00380B40">
              <w:rPr>
                <w:rFonts w:eastAsia="SimSun"/>
                <w:lang w:eastAsia="ja-JP"/>
              </w:rPr>
              <w:tab/>
            </w:r>
            <w:r w:rsidR="003C356A" w:rsidRPr="00380B40">
              <w:rPr>
                <w:rFonts w:eastAsia="SimSun"/>
                <w:lang w:eastAsia="ja-JP"/>
              </w:rPr>
              <w:t>Technical paper</w:t>
            </w:r>
          </w:p>
          <w:p w14:paraId="44E4887A" w14:textId="77777777" w:rsidR="003C356A" w:rsidRPr="00380B40" w:rsidRDefault="00111630" w:rsidP="00FD162E">
            <w:pPr>
              <w:pStyle w:val="Bulletlist1"/>
              <w:ind w:left="360" w:hanging="360"/>
              <w:rPr>
                <w:rFonts w:eastAsia="SimSun"/>
                <w:lang w:eastAsia="ja-JP"/>
              </w:rPr>
            </w:pPr>
            <w:r w:rsidRPr="00380B40">
              <w:object w:dxaOrig="195" w:dyaOrig="165" w14:anchorId="3AD29644">
                <v:shape id="_x0000_i1031" type="#_x0000_t75" style="width:9.65pt;height:7.5pt" o:ole="">
                  <v:imagedata r:id="rId407" o:title=""/>
                </v:shape>
                <o:OLEObject Type="Embed" ProgID="PBrush" ShapeID="_x0000_i1031" DrawAspect="Content" ObjectID="_1724761182" r:id="rId411"/>
              </w:object>
            </w:r>
            <w:r w:rsidR="00FD162E" w:rsidRPr="00380B40">
              <w:rPr>
                <w:rFonts w:eastAsia="SimSun"/>
                <w:lang w:eastAsia="ja-JP"/>
              </w:rPr>
              <w:tab/>
            </w:r>
            <w:r w:rsidR="003C356A" w:rsidRPr="00380B40">
              <w:rPr>
                <w:rFonts w:eastAsia="SimSun"/>
                <w:lang w:eastAsia="ja-JP"/>
              </w:rPr>
              <w:t>Technical report</w:t>
            </w:r>
          </w:p>
          <w:p w14:paraId="0E5484C5" w14:textId="77777777" w:rsidR="003C356A" w:rsidRPr="00380B40" w:rsidRDefault="00111630" w:rsidP="00FD162E">
            <w:pPr>
              <w:pStyle w:val="Bulletlist1"/>
              <w:ind w:left="360" w:hanging="360"/>
              <w:rPr>
                <w:rFonts w:eastAsia="SimSun"/>
                <w:lang w:eastAsia="ja-JP"/>
              </w:rPr>
            </w:pPr>
            <w:r w:rsidRPr="00380B40">
              <w:object w:dxaOrig="195" w:dyaOrig="165" w14:anchorId="3BDB810D">
                <v:shape id="_x0000_i1032" type="#_x0000_t75" style="width:9.65pt;height:7.5pt" o:ole="">
                  <v:imagedata r:id="rId407" o:title=""/>
                </v:shape>
                <o:OLEObject Type="Embed" ProgID="PBrush" ShapeID="_x0000_i1032" DrawAspect="Content" ObjectID="_1724761183" r:id="rId412"/>
              </w:object>
            </w:r>
            <w:r w:rsidR="00FD162E" w:rsidRPr="00380B40">
              <w:rPr>
                <w:rFonts w:eastAsia="SimSun"/>
                <w:lang w:eastAsia="ja-JP"/>
              </w:rPr>
              <w:tab/>
            </w:r>
            <w:r w:rsidR="003C356A" w:rsidRPr="00380B40">
              <w:rPr>
                <w:rFonts w:eastAsia="SimSun"/>
                <w:lang w:eastAsia="ja-JP"/>
              </w:rPr>
              <w:t>Handbook</w:t>
            </w:r>
          </w:p>
          <w:p w14:paraId="5B7621E0" w14:textId="77777777" w:rsidR="003C356A" w:rsidRPr="00380B40" w:rsidRDefault="00111630" w:rsidP="00FD162E">
            <w:pPr>
              <w:pStyle w:val="Bulletlist1"/>
              <w:ind w:left="360" w:hanging="360"/>
              <w:rPr>
                <w:rFonts w:eastAsia="SimSun"/>
                <w:lang w:eastAsia="ja-JP"/>
              </w:rPr>
            </w:pPr>
            <w:r w:rsidRPr="00380B40">
              <w:object w:dxaOrig="195" w:dyaOrig="165" w14:anchorId="6EF29B19">
                <v:shape id="_x0000_i1033" type="#_x0000_t75" style="width:9.65pt;height:7.5pt" o:ole="">
                  <v:imagedata r:id="rId407" o:title=""/>
                </v:shape>
                <o:OLEObject Type="Embed" ProgID="PBrush" ShapeID="_x0000_i1033" DrawAspect="Content" ObjectID="_1724761184" r:id="rId413"/>
              </w:object>
            </w:r>
            <w:r w:rsidR="00FD162E" w:rsidRPr="00380B40">
              <w:rPr>
                <w:rFonts w:eastAsia="SimSun"/>
                <w:lang w:eastAsia="ja-JP"/>
              </w:rPr>
              <w:tab/>
            </w:r>
            <w:r w:rsidR="003C356A" w:rsidRPr="00380B40">
              <w:rPr>
                <w:rFonts w:eastAsia="SimSun"/>
                <w:lang w:eastAsia="ja-JP"/>
              </w:rPr>
              <w:t>Other: ___________________________</w:t>
            </w:r>
          </w:p>
        </w:tc>
        <w:tc>
          <w:tcPr>
            <w:tcW w:w="2957" w:type="dxa"/>
            <w:gridSpan w:val="2"/>
            <w:shd w:val="clear" w:color="auto" w:fill="auto"/>
            <w:hideMark/>
          </w:tcPr>
          <w:p w14:paraId="5DFE83F0"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sz w:val="20"/>
                <w:szCs w:val="24"/>
                <w:lang w:val="en-GB" w:eastAsia="ja-JP"/>
              </w:rPr>
            </w:pPr>
            <w:r w:rsidRPr="00380B40">
              <w:rPr>
                <w:rFonts w:eastAsia="SimSun"/>
                <w:sz w:val="20"/>
                <w:szCs w:val="24"/>
                <w:lang w:val="en-GB" w:eastAsia="ja-JP"/>
              </w:rPr>
              <w:t>&lt;Meeting date&gt;</w:t>
            </w:r>
          </w:p>
        </w:tc>
      </w:tr>
      <w:tr w:rsidR="003C356A" w:rsidRPr="00380B40" w14:paraId="17CCCB22" w14:textId="77777777" w:rsidTr="00DE1739">
        <w:trPr>
          <w:trHeight w:val="345"/>
          <w:jc w:val="center"/>
        </w:trPr>
        <w:tc>
          <w:tcPr>
            <w:tcW w:w="1182" w:type="dxa"/>
            <w:shd w:val="clear" w:color="auto" w:fill="auto"/>
            <w:hideMark/>
          </w:tcPr>
          <w:p w14:paraId="2B53069B"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b/>
                <w:bCs/>
                <w:sz w:val="20"/>
                <w:szCs w:val="24"/>
                <w:lang w:val="en-GB" w:eastAsia="ja-JP"/>
              </w:rPr>
            </w:pPr>
            <w:r w:rsidRPr="00380B40">
              <w:rPr>
                <w:rFonts w:eastAsia="SimSun"/>
                <w:b/>
                <w:bCs/>
                <w:sz w:val="20"/>
                <w:szCs w:val="24"/>
                <w:lang w:val="en-GB" w:eastAsia="ja-JP"/>
              </w:rPr>
              <w:t>Reference and title:</w:t>
            </w:r>
          </w:p>
        </w:tc>
        <w:tc>
          <w:tcPr>
            <w:tcW w:w="8457" w:type="dxa"/>
            <w:gridSpan w:val="5"/>
            <w:shd w:val="clear" w:color="auto" w:fill="auto"/>
            <w:hideMark/>
          </w:tcPr>
          <w:p w14:paraId="2B3127B3"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sz w:val="20"/>
                <w:szCs w:val="24"/>
                <w:lang w:val="en-GB" w:eastAsia="ja-JP"/>
              </w:rPr>
            </w:pPr>
            <w:r w:rsidRPr="00380B40">
              <w:rPr>
                <w:rFonts w:eastAsia="SimSun"/>
                <w:sz w:val="20"/>
                <w:szCs w:val="24"/>
                <w:lang w:val="en-GB" w:eastAsia="ja-JP"/>
              </w:rPr>
              <w:t>&lt;X.xxx&gt; "Title"</w:t>
            </w:r>
          </w:p>
        </w:tc>
      </w:tr>
      <w:tr w:rsidR="003C356A" w:rsidRPr="00380B40" w14:paraId="57882740" w14:textId="77777777" w:rsidTr="00DE1739">
        <w:trPr>
          <w:trHeight w:val="413"/>
          <w:jc w:val="center"/>
        </w:trPr>
        <w:tc>
          <w:tcPr>
            <w:tcW w:w="1182" w:type="dxa"/>
            <w:shd w:val="clear" w:color="auto" w:fill="auto"/>
            <w:hideMark/>
          </w:tcPr>
          <w:p w14:paraId="2699874F"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b/>
                <w:bCs/>
                <w:sz w:val="20"/>
                <w:szCs w:val="24"/>
                <w:lang w:val="en-GB" w:eastAsia="ja-JP"/>
              </w:rPr>
            </w:pPr>
            <w:r w:rsidRPr="00380B40">
              <w:rPr>
                <w:rFonts w:eastAsia="SimSun"/>
                <w:b/>
                <w:bCs/>
                <w:sz w:val="20"/>
                <w:szCs w:val="24"/>
                <w:lang w:val="en-GB" w:eastAsia="ja-JP"/>
              </w:rPr>
              <w:t>Base text:</w:t>
            </w:r>
          </w:p>
        </w:tc>
        <w:tc>
          <w:tcPr>
            <w:tcW w:w="5500" w:type="dxa"/>
            <w:gridSpan w:val="3"/>
            <w:shd w:val="clear" w:color="auto" w:fill="auto"/>
            <w:hideMark/>
          </w:tcPr>
          <w:p w14:paraId="6AE89EC3"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sz w:val="20"/>
                <w:szCs w:val="24"/>
                <w:lang w:val="en-GB" w:eastAsia="ja-JP"/>
              </w:rPr>
            </w:pPr>
            <w:r w:rsidRPr="00380B40">
              <w:rPr>
                <w:rFonts w:eastAsia="SimSun"/>
                <w:sz w:val="20"/>
                <w:szCs w:val="24"/>
                <w:lang w:val="en-GB" w:eastAsia="ja-JP"/>
              </w:rPr>
              <w:t>&lt;C nnn&gt; or &lt;TD nnnn&gt;</w:t>
            </w:r>
          </w:p>
        </w:tc>
        <w:tc>
          <w:tcPr>
            <w:tcW w:w="1213" w:type="dxa"/>
            <w:shd w:val="clear" w:color="auto" w:fill="auto"/>
            <w:hideMark/>
          </w:tcPr>
          <w:p w14:paraId="791FA076"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b/>
                <w:bCs/>
                <w:sz w:val="20"/>
                <w:szCs w:val="24"/>
                <w:lang w:val="en-GB" w:eastAsia="ja-JP"/>
              </w:rPr>
            </w:pPr>
            <w:r w:rsidRPr="00380B40">
              <w:rPr>
                <w:rFonts w:eastAsia="SimSun"/>
                <w:b/>
                <w:bCs/>
                <w:sz w:val="20"/>
                <w:szCs w:val="24"/>
                <w:lang w:val="en-GB" w:eastAsia="ja-JP"/>
              </w:rPr>
              <w:t>Target date:</w:t>
            </w:r>
          </w:p>
        </w:tc>
        <w:tc>
          <w:tcPr>
            <w:tcW w:w="1744" w:type="dxa"/>
            <w:shd w:val="clear" w:color="auto" w:fill="auto"/>
            <w:hideMark/>
          </w:tcPr>
          <w:p w14:paraId="4D5BD85C"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sz w:val="20"/>
                <w:szCs w:val="24"/>
                <w:lang w:val="en-GB" w:eastAsia="ja-JP"/>
              </w:rPr>
            </w:pPr>
            <w:r w:rsidRPr="00380B40">
              <w:rPr>
                <w:rFonts w:eastAsia="SimSun"/>
                <w:sz w:val="20"/>
                <w:szCs w:val="24"/>
                <w:lang w:val="en-GB" w:eastAsia="ja-JP"/>
              </w:rPr>
              <w:t>&lt;Month-Year&gt;</w:t>
            </w:r>
          </w:p>
        </w:tc>
      </w:tr>
      <w:tr w:rsidR="003C356A" w:rsidRPr="00380B40" w14:paraId="24D63711" w14:textId="77777777" w:rsidTr="00DE1739">
        <w:trPr>
          <w:trHeight w:val="502"/>
          <w:jc w:val="center"/>
        </w:trPr>
        <w:tc>
          <w:tcPr>
            <w:tcW w:w="1182" w:type="dxa"/>
            <w:shd w:val="clear" w:color="auto" w:fill="auto"/>
            <w:hideMark/>
          </w:tcPr>
          <w:p w14:paraId="1D569652"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b/>
                <w:bCs/>
                <w:sz w:val="20"/>
                <w:szCs w:val="24"/>
                <w:lang w:val="en-GB" w:eastAsia="ja-JP"/>
              </w:rPr>
            </w:pPr>
            <w:r w:rsidRPr="00380B40">
              <w:rPr>
                <w:rFonts w:eastAsia="SimSun"/>
                <w:b/>
                <w:bCs/>
                <w:sz w:val="20"/>
                <w:szCs w:val="24"/>
                <w:lang w:val="en-GB" w:eastAsia="ja-JP"/>
              </w:rPr>
              <w:t>Editor(s):</w:t>
            </w:r>
          </w:p>
        </w:tc>
        <w:tc>
          <w:tcPr>
            <w:tcW w:w="5500" w:type="dxa"/>
            <w:gridSpan w:val="3"/>
            <w:shd w:val="clear" w:color="auto" w:fill="auto"/>
            <w:hideMark/>
          </w:tcPr>
          <w:p w14:paraId="1DD199FD"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sz w:val="20"/>
                <w:szCs w:val="24"/>
                <w:lang w:val="en-GB" w:eastAsia="ja-JP"/>
              </w:rPr>
            </w:pPr>
            <w:r w:rsidRPr="00380B40">
              <w:rPr>
                <w:rFonts w:eastAsia="SimSun"/>
                <w:sz w:val="20"/>
                <w:szCs w:val="24"/>
                <w:lang w:val="en-GB" w:eastAsia="ja-JP"/>
              </w:rPr>
              <w:t>&lt;Name, membership, e-mail address&gt;</w:t>
            </w:r>
          </w:p>
        </w:tc>
        <w:tc>
          <w:tcPr>
            <w:tcW w:w="1213" w:type="dxa"/>
            <w:shd w:val="clear" w:color="auto" w:fill="auto"/>
            <w:hideMark/>
          </w:tcPr>
          <w:p w14:paraId="0D0D3C5B"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b/>
                <w:bCs/>
                <w:sz w:val="20"/>
                <w:szCs w:val="24"/>
                <w:lang w:val="en-GB" w:eastAsia="ja-JP"/>
              </w:rPr>
            </w:pPr>
            <w:r w:rsidRPr="00380B40">
              <w:rPr>
                <w:rFonts w:eastAsia="SimSun"/>
                <w:b/>
                <w:bCs/>
                <w:sz w:val="20"/>
                <w:szCs w:val="24"/>
                <w:lang w:val="en-GB" w:eastAsia="ja-JP"/>
              </w:rPr>
              <w:t>Approval process:</w:t>
            </w:r>
          </w:p>
        </w:tc>
        <w:tc>
          <w:tcPr>
            <w:tcW w:w="1744" w:type="dxa"/>
            <w:shd w:val="clear" w:color="auto" w:fill="auto"/>
            <w:hideMark/>
          </w:tcPr>
          <w:p w14:paraId="4FD12070"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sz w:val="20"/>
                <w:szCs w:val="24"/>
                <w:lang w:val="en-GB" w:eastAsia="ja-JP"/>
              </w:rPr>
            </w:pPr>
            <w:r w:rsidRPr="00380B40">
              <w:rPr>
                <w:rFonts w:eastAsia="SimSun"/>
                <w:sz w:val="20"/>
                <w:szCs w:val="24"/>
                <w:lang w:val="en-GB" w:eastAsia="ja-JP"/>
              </w:rPr>
              <w:t>Agreement</w:t>
            </w:r>
          </w:p>
        </w:tc>
      </w:tr>
      <w:tr w:rsidR="003C356A" w:rsidRPr="004E0F36" w14:paraId="4ED02A99" w14:textId="77777777" w:rsidTr="00DE1739">
        <w:trPr>
          <w:trHeight w:val="788"/>
          <w:jc w:val="center"/>
        </w:trPr>
        <w:tc>
          <w:tcPr>
            <w:tcW w:w="9639" w:type="dxa"/>
            <w:gridSpan w:val="6"/>
            <w:shd w:val="clear" w:color="auto" w:fill="auto"/>
            <w:hideMark/>
          </w:tcPr>
          <w:p w14:paraId="490B3A80"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sz w:val="20"/>
                <w:szCs w:val="24"/>
                <w:lang w:val="en-GB" w:eastAsia="ja-JP"/>
              </w:rPr>
            </w:pPr>
            <w:r w:rsidRPr="00380B40">
              <w:rPr>
                <w:rFonts w:eastAsia="SimSun"/>
                <w:b/>
                <w:bCs/>
                <w:sz w:val="20"/>
                <w:szCs w:val="24"/>
                <w:lang w:val="en-GB" w:eastAsia="ja-JP"/>
              </w:rPr>
              <w:t xml:space="preserve">Purpose and scope </w:t>
            </w:r>
            <w:r w:rsidRPr="00380B40">
              <w:rPr>
                <w:rFonts w:eastAsia="SimSun"/>
                <w:sz w:val="20"/>
                <w:szCs w:val="24"/>
                <w:lang w:val="en-GB" w:eastAsia="ja-JP"/>
              </w:rPr>
              <w:t>(defines what issue this non-normative document will address, thus permitting readers to judge its usefulness for their work; also defines the intent or objective of the non-normative document and the aspects covered, thereby indicating the limits of its applicability):</w:t>
            </w:r>
          </w:p>
        </w:tc>
      </w:tr>
      <w:tr w:rsidR="003C356A" w:rsidRPr="004E0F36" w14:paraId="2E443875" w14:textId="77777777" w:rsidTr="00DE1739">
        <w:trPr>
          <w:trHeight w:val="322"/>
          <w:jc w:val="center"/>
        </w:trPr>
        <w:tc>
          <w:tcPr>
            <w:tcW w:w="9639" w:type="dxa"/>
            <w:gridSpan w:val="6"/>
            <w:shd w:val="clear" w:color="auto" w:fill="auto"/>
          </w:tcPr>
          <w:p w14:paraId="22FF1137"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sz w:val="20"/>
                <w:szCs w:val="24"/>
                <w:lang w:val="en-GB" w:eastAsia="ja-JP"/>
              </w:rPr>
            </w:pPr>
          </w:p>
        </w:tc>
      </w:tr>
      <w:tr w:rsidR="003C356A" w:rsidRPr="004E0F36" w14:paraId="6F895FCB" w14:textId="77777777" w:rsidTr="00DE1739">
        <w:trPr>
          <w:trHeight w:val="310"/>
          <w:jc w:val="center"/>
        </w:trPr>
        <w:tc>
          <w:tcPr>
            <w:tcW w:w="9639" w:type="dxa"/>
            <w:gridSpan w:val="6"/>
            <w:shd w:val="clear" w:color="auto" w:fill="auto"/>
            <w:hideMark/>
          </w:tcPr>
          <w:p w14:paraId="0A36B34E"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sz w:val="20"/>
                <w:szCs w:val="24"/>
                <w:lang w:val="en-GB" w:eastAsia="ja-JP"/>
              </w:rPr>
            </w:pPr>
            <w:r w:rsidRPr="00380B40">
              <w:rPr>
                <w:rFonts w:eastAsia="SimSun"/>
                <w:b/>
                <w:bCs/>
                <w:sz w:val="20"/>
                <w:szCs w:val="24"/>
                <w:lang w:val="en-GB" w:eastAsia="ja-JP"/>
              </w:rPr>
              <w:t>Summary</w:t>
            </w:r>
            <w:r w:rsidRPr="00380B40">
              <w:rPr>
                <w:rFonts w:eastAsia="SimSun"/>
                <w:sz w:val="20"/>
                <w:szCs w:val="24"/>
                <w:lang w:val="en-GB" w:eastAsia="ja-JP"/>
              </w:rPr>
              <w:t xml:space="preserve"> (provides a brief overview of the proposal):</w:t>
            </w:r>
          </w:p>
        </w:tc>
      </w:tr>
      <w:tr w:rsidR="003C356A" w:rsidRPr="004E0F36" w14:paraId="4B562C55" w14:textId="77777777" w:rsidTr="00DE1739">
        <w:trPr>
          <w:trHeight w:val="388"/>
          <w:jc w:val="center"/>
        </w:trPr>
        <w:tc>
          <w:tcPr>
            <w:tcW w:w="9639" w:type="dxa"/>
            <w:gridSpan w:val="6"/>
            <w:shd w:val="clear" w:color="auto" w:fill="auto"/>
          </w:tcPr>
          <w:p w14:paraId="042CF240"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sz w:val="20"/>
                <w:szCs w:val="24"/>
                <w:lang w:val="en-GB" w:eastAsia="ja-JP"/>
              </w:rPr>
            </w:pPr>
          </w:p>
        </w:tc>
      </w:tr>
      <w:tr w:rsidR="003C356A" w:rsidRPr="004E0F36" w14:paraId="5B68F128" w14:textId="77777777" w:rsidTr="00DE1739">
        <w:trPr>
          <w:trHeight w:val="323"/>
          <w:jc w:val="center"/>
        </w:trPr>
        <w:tc>
          <w:tcPr>
            <w:tcW w:w="9639" w:type="dxa"/>
            <w:gridSpan w:val="6"/>
            <w:shd w:val="clear" w:color="auto" w:fill="auto"/>
            <w:hideMark/>
          </w:tcPr>
          <w:p w14:paraId="43EFA3BA"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sz w:val="20"/>
                <w:szCs w:val="24"/>
                <w:lang w:val="en-GB" w:eastAsia="ja-JP"/>
              </w:rPr>
            </w:pPr>
            <w:r w:rsidRPr="00380B40">
              <w:rPr>
                <w:rFonts w:eastAsia="SimSun"/>
                <w:b/>
                <w:bCs/>
                <w:sz w:val="20"/>
                <w:szCs w:val="24"/>
                <w:lang w:val="en-GB" w:eastAsia="ja-JP"/>
              </w:rPr>
              <w:t>Relations to ITU-T Recommendations or other documents</w:t>
            </w:r>
            <w:r w:rsidRPr="00380B40">
              <w:rPr>
                <w:rFonts w:eastAsia="SimSun"/>
                <w:sz w:val="20"/>
                <w:szCs w:val="24"/>
                <w:lang w:val="en-GB" w:eastAsia="ja-JP"/>
              </w:rPr>
              <w:t xml:space="preserve"> (approved or under development):</w:t>
            </w:r>
          </w:p>
        </w:tc>
      </w:tr>
      <w:tr w:rsidR="003C356A" w:rsidRPr="004E0F36" w14:paraId="4ECDF739" w14:textId="77777777" w:rsidTr="00DE1739">
        <w:trPr>
          <w:trHeight w:val="228"/>
          <w:jc w:val="center"/>
        </w:trPr>
        <w:tc>
          <w:tcPr>
            <w:tcW w:w="9639" w:type="dxa"/>
            <w:gridSpan w:val="6"/>
            <w:shd w:val="clear" w:color="auto" w:fill="auto"/>
          </w:tcPr>
          <w:p w14:paraId="63F87C85"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sz w:val="20"/>
                <w:szCs w:val="24"/>
                <w:lang w:val="en-GB" w:eastAsia="ja-JP"/>
              </w:rPr>
            </w:pPr>
          </w:p>
        </w:tc>
      </w:tr>
      <w:tr w:rsidR="003C356A" w:rsidRPr="004E0F36" w14:paraId="55A33D1C" w14:textId="77777777" w:rsidTr="00DE1739">
        <w:trPr>
          <w:trHeight w:val="310"/>
          <w:jc w:val="center"/>
        </w:trPr>
        <w:tc>
          <w:tcPr>
            <w:tcW w:w="9639" w:type="dxa"/>
            <w:gridSpan w:val="6"/>
            <w:shd w:val="clear" w:color="auto" w:fill="auto"/>
            <w:hideMark/>
          </w:tcPr>
          <w:p w14:paraId="4E9217AE"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b/>
                <w:bCs/>
                <w:sz w:val="20"/>
                <w:szCs w:val="24"/>
                <w:lang w:val="en-GB" w:eastAsia="ja-JP"/>
              </w:rPr>
            </w:pPr>
            <w:r w:rsidRPr="00380B40">
              <w:rPr>
                <w:rFonts w:eastAsia="SimSun"/>
                <w:b/>
                <w:bCs/>
                <w:sz w:val="20"/>
                <w:szCs w:val="24"/>
                <w:lang w:val="en-GB" w:eastAsia="ja-JP"/>
              </w:rPr>
              <w:t>Liaisons with other study groups or with other standards bodies:</w:t>
            </w:r>
          </w:p>
        </w:tc>
      </w:tr>
      <w:tr w:rsidR="003C356A" w:rsidRPr="004E0F36" w14:paraId="3DC4540B" w14:textId="77777777" w:rsidTr="00DE1739">
        <w:trPr>
          <w:trHeight w:val="165"/>
          <w:jc w:val="center"/>
        </w:trPr>
        <w:tc>
          <w:tcPr>
            <w:tcW w:w="9639" w:type="dxa"/>
            <w:gridSpan w:val="6"/>
            <w:shd w:val="clear" w:color="auto" w:fill="auto"/>
          </w:tcPr>
          <w:p w14:paraId="726C3F46"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sz w:val="20"/>
                <w:szCs w:val="24"/>
                <w:lang w:val="en-GB" w:eastAsia="ja-JP"/>
              </w:rPr>
            </w:pPr>
          </w:p>
        </w:tc>
      </w:tr>
      <w:tr w:rsidR="003C356A" w:rsidRPr="004E0F36" w14:paraId="3507684F" w14:textId="77777777" w:rsidTr="00DE1739">
        <w:trPr>
          <w:trHeight w:val="323"/>
          <w:jc w:val="center"/>
        </w:trPr>
        <w:tc>
          <w:tcPr>
            <w:tcW w:w="9639" w:type="dxa"/>
            <w:gridSpan w:val="6"/>
            <w:shd w:val="clear" w:color="auto" w:fill="auto"/>
            <w:hideMark/>
          </w:tcPr>
          <w:p w14:paraId="2FD90E54"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b/>
                <w:bCs/>
                <w:sz w:val="20"/>
                <w:szCs w:val="24"/>
                <w:lang w:val="en-GB" w:eastAsia="ja-JP"/>
              </w:rPr>
            </w:pPr>
            <w:r w:rsidRPr="00380B40">
              <w:rPr>
                <w:rFonts w:eastAsia="SimSun"/>
                <w:b/>
                <w:bCs/>
                <w:sz w:val="20"/>
                <w:szCs w:val="24"/>
                <w:lang w:val="en-GB" w:eastAsia="ja-JP"/>
              </w:rPr>
              <w:t>Supporting members that are committing to contributing actively to the work item:</w:t>
            </w:r>
          </w:p>
        </w:tc>
      </w:tr>
      <w:tr w:rsidR="003C356A" w:rsidRPr="004E0F36" w14:paraId="4F875B2B" w14:textId="77777777" w:rsidTr="00DE1739">
        <w:trPr>
          <w:trHeight w:val="435"/>
          <w:jc w:val="center"/>
        </w:trPr>
        <w:tc>
          <w:tcPr>
            <w:tcW w:w="9639" w:type="dxa"/>
            <w:gridSpan w:val="6"/>
            <w:shd w:val="clear" w:color="auto" w:fill="auto"/>
            <w:hideMark/>
          </w:tcPr>
          <w:p w14:paraId="78397696" w14:textId="77777777" w:rsidR="003C356A" w:rsidRPr="00380B40"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eastAsia="SimSun"/>
                <w:sz w:val="20"/>
                <w:szCs w:val="24"/>
                <w:lang w:val="en-GB" w:eastAsia="ja-JP"/>
              </w:rPr>
            </w:pPr>
            <w:r w:rsidRPr="00380B40">
              <w:rPr>
                <w:rFonts w:eastAsia="SimSun"/>
                <w:sz w:val="20"/>
                <w:szCs w:val="24"/>
                <w:lang w:val="en-GB" w:eastAsia="ja-JP"/>
              </w:rPr>
              <w:t>&lt;Member States, Sector Members, Associates, Academia&gt;</w:t>
            </w:r>
          </w:p>
        </w:tc>
      </w:tr>
    </w:tbl>
    <w:p w14:paraId="16C15212" w14:textId="77777777" w:rsidR="003C356A" w:rsidRPr="00380B40" w:rsidRDefault="003C356A" w:rsidP="003C356A">
      <w:pPr>
        <w:rPr>
          <w:lang w:val="en-GB"/>
        </w:rPr>
      </w:pPr>
    </w:p>
    <w:p w14:paraId="11764107" w14:textId="77777777" w:rsidR="00C420AF" w:rsidRPr="00380B40" w:rsidRDefault="00C420AF" w:rsidP="003C356A">
      <w:pPr>
        <w:rPr>
          <w:lang w:val="en-GB"/>
        </w:rPr>
      </w:pPr>
    </w:p>
    <w:p w14:paraId="00A95DC6" w14:textId="77777777" w:rsidR="00C420AF" w:rsidRPr="00380B40" w:rsidRDefault="00C420AF" w:rsidP="003C356A">
      <w:pPr>
        <w:rPr>
          <w:lang w:val="en-GB"/>
        </w:rPr>
      </w:pPr>
    </w:p>
    <w:p w14:paraId="7C7F1931" w14:textId="77777777" w:rsidR="00C420AF" w:rsidRPr="00380B40" w:rsidRDefault="00C420AF" w:rsidP="003C356A">
      <w:pPr>
        <w:rPr>
          <w:lang w:val="en-GB"/>
        </w:rPr>
      </w:pPr>
    </w:p>
    <w:p w14:paraId="32F669B5" w14:textId="77777777" w:rsidR="00C420AF" w:rsidRPr="00380B40" w:rsidRDefault="00C420AF" w:rsidP="003C356A">
      <w:pPr>
        <w:rPr>
          <w:lang w:val="en-GB"/>
        </w:rPr>
      </w:pPr>
    </w:p>
    <w:p w14:paraId="32422257" w14:textId="77777777" w:rsidR="003C356A" w:rsidRPr="00380B40" w:rsidRDefault="003C356A" w:rsidP="003C356A">
      <w:pPr>
        <w:tabs>
          <w:tab w:val="clear" w:pos="794"/>
          <w:tab w:val="clear" w:pos="1191"/>
          <w:tab w:val="clear" w:pos="1588"/>
          <w:tab w:val="clear" w:pos="1985"/>
        </w:tabs>
        <w:overflowPunct/>
        <w:autoSpaceDE/>
        <w:autoSpaceDN/>
        <w:adjustRightInd/>
        <w:spacing w:before="0"/>
        <w:jc w:val="left"/>
        <w:textAlignment w:val="auto"/>
        <w:rPr>
          <w:b/>
          <w:sz w:val="28"/>
          <w:lang w:val="en-GB"/>
        </w:rPr>
      </w:pPr>
      <w:r w:rsidRPr="00380B40">
        <w:rPr>
          <w:lang w:val="en-GB"/>
        </w:rPr>
        <w:br w:type="page"/>
      </w:r>
    </w:p>
    <w:p w14:paraId="2E2C386D" w14:textId="77777777" w:rsidR="003C356A" w:rsidRPr="00380B40" w:rsidRDefault="003C356A" w:rsidP="009D2170">
      <w:pPr>
        <w:pStyle w:val="AppendixNoTitle"/>
      </w:pPr>
      <w:bookmarkStart w:id="1245" w:name="_Toc21340226"/>
      <w:bookmarkStart w:id="1246" w:name="_Toc21340287"/>
      <w:bookmarkStart w:id="1247" w:name="_Toc23153451"/>
      <w:bookmarkStart w:id="1248" w:name="_Toc23176215"/>
      <w:bookmarkStart w:id="1249" w:name="_Toc111636957"/>
      <w:r w:rsidRPr="00380B40">
        <w:t>Bibliography</w:t>
      </w:r>
      <w:bookmarkEnd w:id="1239"/>
      <w:bookmarkEnd w:id="1245"/>
      <w:bookmarkEnd w:id="1246"/>
      <w:bookmarkEnd w:id="1247"/>
      <w:bookmarkEnd w:id="1248"/>
      <w:bookmarkEnd w:id="1249"/>
    </w:p>
    <w:p w14:paraId="717D78BF" w14:textId="77777777" w:rsidR="00C32CE0" w:rsidRPr="00380B40" w:rsidRDefault="00C32CE0" w:rsidP="00C32CE0">
      <w:pPr>
        <w:rPr>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72488D" w:rsidRPr="004E0F36" w14:paraId="7A58B8DC" w14:textId="77777777" w:rsidTr="00C91A38">
        <w:tc>
          <w:tcPr>
            <w:tcW w:w="1000" w:type="pct"/>
          </w:tcPr>
          <w:p w14:paraId="758E3EB4" w14:textId="77777777" w:rsidR="0072488D" w:rsidRPr="00380B40" w:rsidRDefault="0072488D" w:rsidP="0072488D">
            <w:pPr>
              <w:jc w:val="left"/>
              <w:rPr>
                <w:lang w:val="en-GB"/>
              </w:rPr>
            </w:pPr>
            <w:r w:rsidRPr="00380B40">
              <w:rPr>
                <w:lang w:val="en-GB"/>
              </w:rPr>
              <w:t>[b-ITU-T A.1]</w:t>
            </w:r>
          </w:p>
        </w:tc>
        <w:tc>
          <w:tcPr>
            <w:tcW w:w="4000" w:type="pct"/>
          </w:tcPr>
          <w:p w14:paraId="6D088164" w14:textId="77777777" w:rsidR="0072488D" w:rsidRPr="00380B40" w:rsidRDefault="0072488D" w:rsidP="0072488D">
            <w:pPr>
              <w:jc w:val="left"/>
              <w:rPr>
                <w:lang w:val="en-US"/>
              </w:rPr>
            </w:pPr>
            <w:r w:rsidRPr="00380B40">
              <w:rPr>
                <w:rFonts w:eastAsia="Batang"/>
                <w:lang w:val="en-GB"/>
              </w:rPr>
              <w:t>Recommendation</w:t>
            </w:r>
            <w:r w:rsidRPr="00380B40">
              <w:rPr>
                <w:lang w:val="en-GB"/>
              </w:rPr>
              <w:t xml:space="preserve"> ITU-T A.1 (2019), </w:t>
            </w:r>
            <w:r w:rsidRPr="00380B40">
              <w:rPr>
                <w:i/>
                <w:iCs/>
                <w:lang w:val="en-GB"/>
              </w:rPr>
              <w:t>Working methods for study groups of the ITU Telecommunication Standardization Sector</w:t>
            </w:r>
            <w:r w:rsidRPr="00380B40">
              <w:rPr>
                <w:lang w:val="en-GB"/>
              </w:rPr>
              <w:t>.</w:t>
            </w:r>
          </w:p>
        </w:tc>
      </w:tr>
      <w:tr w:rsidR="0072488D" w:rsidRPr="004E0F36" w14:paraId="1F446C9D" w14:textId="77777777" w:rsidTr="00C91A38">
        <w:tc>
          <w:tcPr>
            <w:tcW w:w="1000" w:type="pct"/>
          </w:tcPr>
          <w:p w14:paraId="38B8C08A" w14:textId="77777777" w:rsidR="0072488D" w:rsidRPr="00380B40" w:rsidRDefault="0072488D" w:rsidP="0072488D">
            <w:pPr>
              <w:jc w:val="left"/>
              <w:rPr>
                <w:lang w:val="en-GB"/>
              </w:rPr>
            </w:pPr>
            <w:r w:rsidRPr="00380B40">
              <w:rPr>
                <w:lang w:val="en-GB"/>
              </w:rPr>
              <w:t>[b-ITU-T A.8]</w:t>
            </w:r>
          </w:p>
        </w:tc>
        <w:tc>
          <w:tcPr>
            <w:tcW w:w="4000" w:type="pct"/>
          </w:tcPr>
          <w:p w14:paraId="22BF4846" w14:textId="77777777" w:rsidR="0072488D" w:rsidRPr="00380B40" w:rsidRDefault="0072488D" w:rsidP="0072488D">
            <w:pPr>
              <w:jc w:val="left"/>
              <w:rPr>
                <w:lang w:val="en-US"/>
              </w:rPr>
            </w:pPr>
            <w:r w:rsidRPr="00380B40">
              <w:rPr>
                <w:rFonts w:eastAsia="Batang"/>
                <w:lang w:val="en-GB"/>
              </w:rPr>
              <w:t>Recommendation</w:t>
            </w:r>
            <w:r w:rsidRPr="00380B40">
              <w:rPr>
                <w:lang w:val="en-GB"/>
              </w:rPr>
              <w:t xml:space="preserve"> ITU-T A.8 (2008), </w:t>
            </w:r>
            <w:r w:rsidRPr="00380B40">
              <w:rPr>
                <w:i/>
                <w:lang w:val="en-GB"/>
              </w:rPr>
              <w:t>Alternative approval process for new and revised ITU-T Recommendations</w:t>
            </w:r>
            <w:r w:rsidRPr="00380B40">
              <w:rPr>
                <w:lang w:val="en-GB"/>
              </w:rPr>
              <w:t>.</w:t>
            </w:r>
          </w:p>
        </w:tc>
      </w:tr>
      <w:tr w:rsidR="0072488D" w:rsidRPr="004E0F36" w14:paraId="62969D75" w14:textId="77777777" w:rsidTr="00C91A38">
        <w:tc>
          <w:tcPr>
            <w:tcW w:w="1000" w:type="pct"/>
          </w:tcPr>
          <w:p w14:paraId="1F078BF1" w14:textId="77777777" w:rsidR="0072488D" w:rsidRPr="00380B40" w:rsidRDefault="0072488D" w:rsidP="0072488D">
            <w:pPr>
              <w:jc w:val="left"/>
              <w:rPr>
                <w:lang w:val="en-GB"/>
              </w:rPr>
            </w:pPr>
            <w:r w:rsidRPr="00380B40">
              <w:rPr>
                <w:lang w:val="en-GB"/>
              </w:rPr>
              <w:t>[b-WTSA Res. 1]</w:t>
            </w:r>
          </w:p>
        </w:tc>
        <w:tc>
          <w:tcPr>
            <w:tcW w:w="4000" w:type="pct"/>
          </w:tcPr>
          <w:p w14:paraId="7F906C45" w14:textId="77777777" w:rsidR="0072488D" w:rsidRPr="00380B40" w:rsidRDefault="0072488D" w:rsidP="0072488D">
            <w:pPr>
              <w:jc w:val="left"/>
              <w:rPr>
                <w:lang w:val="en-US"/>
              </w:rPr>
            </w:pPr>
            <w:r w:rsidRPr="00380B40">
              <w:rPr>
                <w:lang w:val="en-GB"/>
              </w:rPr>
              <w:t xml:space="preserve">WTSA Resolution 1 (rev. Hammamet, 2016), </w:t>
            </w:r>
            <w:r w:rsidRPr="00380B40">
              <w:rPr>
                <w:i/>
                <w:lang w:val="en-GB"/>
              </w:rPr>
              <w:t>Rules of procedure of the ITU Telecommunication Standardization Sector</w:t>
            </w:r>
            <w:r w:rsidRPr="00380B40">
              <w:rPr>
                <w:lang w:val="en-GB"/>
              </w:rPr>
              <w:t>.</w:t>
            </w:r>
          </w:p>
        </w:tc>
      </w:tr>
      <w:tr w:rsidR="0072488D" w:rsidRPr="00380B40" w14:paraId="32DC096A" w14:textId="77777777" w:rsidTr="00C91A38">
        <w:tc>
          <w:tcPr>
            <w:tcW w:w="1000" w:type="pct"/>
          </w:tcPr>
          <w:p w14:paraId="47237E3A" w14:textId="77777777" w:rsidR="0072488D" w:rsidRPr="00380B40" w:rsidRDefault="0072488D" w:rsidP="0072488D">
            <w:pPr>
              <w:jc w:val="left"/>
              <w:rPr>
                <w:lang w:val="en-GB"/>
              </w:rPr>
            </w:pPr>
            <w:r w:rsidRPr="00380B40">
              <w:rPr>
                <w:lang w:val="en-GB"/>
              </w:rPr>
              <w:t>[b-Author's guide]</w:t>
            </w:r>
          </w:p>
        </w:tc>
        <w:tc>
          <w:tcPr>
            <w:tcW w:w="4000" w:type="pct"/>
          </w:tcPr>
          <w:p w14:paraId="37AE400D" w14:textId="77777777" w:rsidR="0072488D" w:rsidRPr="00380B40" w:rsidRDefault="0072488D" w:rsidP="0072488D">
            <w:pPr>
              <w:jc w:val="left"/>
              <w:rPr>
                <w:lang w:val="en-GB"/>
              </w:rPr>
            </w:pPr>
            <w:r w:rsidRPr="00380B40">
              <w:rPr>
                <w:lang w:val="en-GB"/>
              </w:rPr>
              <w:t xml:space="preserve">ITU-T editing guidelines (2016) – </w:t>
            </w:r>
            <w:r w:rsidRPr="00380B40">
              <w:rPr>
                <w:i/>
                <w:lang w:val="en-GB"/>
              </w:rPr>
              <w:t>Author's guide for drafting ITU</w:t>
            </w:r>
            <w:r w:rsidRPr="00380B40">
              <w:rPr>
                <w:i/>
                <w:lang w:val="en-GB"/>
              </w:rPr>
              <w:noBreakHyphen/>
              <w:t>T Recommendations</w:t>
            </w:r>
            <w:r w:rsidRPr="00380B40">
              <w:rPr>
                <w:lang w:val="en-GB"/>
              </w:rPr>
              <w:t xml:space="preserve">. </w:t>
            </w:r>
            <w:r w:rsidRPr="00380B40">
              <w:rPr>
                <w:lang w:val="en-GB"/>
              </w:rPr>
              <w:br/>
              <w:t>&lt;</w:t>
            </w:r>
            <w:hyperlink r:id="rId414" w:history="1">
              <w:r w:rsidR="00D55E8F" w:rsidRPr="00380B40">
                <w:rPr>
                  <w:rStyle w:val="Hyperlink"/>
                  <w:lang w:val="en-GB"/>
                </w:rPr>
                <w:t>https://www.itu.int/oth/T0A0F000004</w:t>
              </w:r>
            </w:hyperlink>
            <w:r w:rsidRPr="00380B40">
              <w:rPr>
                <w:lang w:val="en-GB"/>
              </w:rPr>
              <w:t>&gt;</w:t>
            </w:r>
          </w:p>
        </w:tc>
      </w:tr>
    </w:tbl>
    <w:p w14:paraId="3E62076B" w14:textId="77777777" w:rsidR="00C32CE0" w:rsidRPr="00380B40" w:rsidRDefault="00C32CE0" w:rsidP="00C32CE0">
      <w:pPr>
        <w:rPr>
          <w:lang w:val="en-GB"/>
        </w:rPr>
      </w:pPr>
    </w:p>
    <w:p w14:paraId="51C35A87" w14:textId="77777777" w:rsidR="00C32CE0" w:rsidRPr="00380B40" w:rsidRDefault="00C32CE0" w:rsidP="00C32CE0">
      <w:pPr>
        <w:rPr>
          <w:lang w:val="en-GB"/>
        </w:rPr>
      </w:pPr>
    </w:p>
    <w:p w14:paraId="4E74D1E5" w14:textId="77777777" w:rsidR="00C420AF" w:rsidRPr="00380B40" w:rsidRDefault="00C420AF" w:rsidP="00C32CE0">
      <w:pPr>
        <w:rPr>
          <w:lang w:val="en-GB"/>
        </w:rPr>
      </w:pPr>
    </w:p>
    <w:p w14:paraId="72A52AC2" w14:textId="77777777" w:rsidR="00C420AF" w:rsidRPr="00380B40" w:rsidRDefault="00C420AF" w:rsidP="00C32CE0">
      <w:pPr>
        <w:rPr>
          <w:lang w:val="en-GB"/>
        </w:rPr>
      </w:pPr>
    </w:p>
    <w:p w14:paraId="45665C3F" w14:textId="77777777" w:rsidR="00C420AF" w:rsidRPr="00380B40" w:rsidRDefault="00C420AF" w:rsidP="00C32CE0">
      <w:pPr>
        <w:rPr>
          <w:lang w:val="en-GB"/>
        </w:rPr>
      </w:pPr>
    </w:p>
    <w:p w14:paraId="02EDBBD3" w14:textId="77777777" w:rsidR="00C32CE0" w:rsidRPr="00380B40" w:rsidRDefault="00C32CE0" w:rsidP="00C32CE0">
      <w:pPr>
        <w:rPr>
          <w:lang w:val="en-GB"/>
        </w:rPr>
      </w:pPr>
    </w:p>
    <w:p w14:paraId="754B4672" w14:textId="77777777" w:rsidR="00C32CE0" w:rsidRPr="00380B40" w:rsidRDefault="00C32CE0" w:rsidP="00C32CE0">
      <w:pPr>
        <w:rPr>
          <w:lang w:val="en-GB"/>
        </w:rPr>
      </w:pPr>
    </w:p>
    <w:p w14:paraId="63DA777A" w14:textId="77777777" w:rsidR="00C32CE0" w:rsidRPr="00380B40" w:rsidRDefault="00C32CE0" w:rsidP="00C32CE0">
      <w:pPr>
        <w:rPr>
          <w:lang w:val="en-GB"/>
        </w:rPr>
      </w:pPr>
    </w:p>
    <w:p w14:paraId="4F268206" w14:textId="77777777" w:rsidR="00C32CE0" w:rsidRPr="00380B40" w:rsidRDefault="00C32CE0" w:rsidP="00C32CE0">
      <w:pPr>
        <w:rPr>
          <w:lang w:val="en-GB"/>
        </w:rPr>
      </w:pPr>
    </w:p>
    <w:p w14:paraId="1356FFF1" w14:textId="77777777" w:rsidR="00C32CE0" w:rsidRPr="00380B40" w:rsidRDefault="00C32CE0" w:rsidP="00C32CE0">
      <w:pPr>
        <w:rPr>
          <w:lang w:val="en-GB"/>
        </w:rPr>
      </w:pPr>
    </w:p>
    <w:p w14:paraId="0BA57946" w14:textId="77777777" w:rsidR="00C32CE0" w:rsidRPr="00380B40" w:rsidRDefault="00C32CE0" w:rsidP="00C32CE0">
      <w:pPr>
        <w:rPr>
          <w:lang w:val="en-GB"/>
        </w:rPr>
      </w:pPr>
    </w:p>
    <w:p w14:paraId="662A3929" w14:textId="77777777" w:rsidR="00C32CE0" w:rsidRPr="00380B40" w:rsidRDefault="00C32CE0" w:rsidP="00C32CE0">
      <w:pPr>
        <w:rPr>
          <w:lang w:val="en-GB"/>
        </w:rPr>
      </w:pPr>
    </w:p>
    <w:p w14:paraId="7CDFC5B7" w14:textId="77777777" w:rsidR="00C32CE0" w:rsidRPr="00380B40" w:rsidRDefault="00C32CE0" w:rsidP="00C32CE0">
      <w:pPr>
        <w:rPr>
          <w:lang w:val="en-GB"/>
        </w:rPr>
      </w:pPr>
    </w:p>
    <w:p w14:paraId="2FB0E5EF" w14:textId="77777777" w:rsidR="00C32CE0" w:rsidRPr="00380B40" w:rsidRDefault="00C32CE0" w:rsidP="00C32CE0">
      <w:pPr>
        <w:rPr>
          <w:lang w:val="en-GB"/>
        </w:rPr>
      </w:pPr>
    </w:p>
    <w:p w14:paraId="3071BD65" w14:textId="77777777" w:rsidR="00C32CE0" w:rsidRPr="00380B40" w:rsidRDefault="00C32CE0" w:rsidP="00C32CE0">
      <w:pPr>
        <w:rPr>
          <w:lang w:val="en-GB"/>
        </w:rPr>
      </w:pPr>
    </w:p>
    <w:p w14:paraId="167B8EAE" w14:textId="77777777" w:rsidR="00C32CE0" w:rsidRPr="00380B40" w:rsidRDefault="00C32CE0" w:rsidP="00C32CE0">
      <w:pPr>
        <w:rPr>
          <w:lang w:val="en-GB"/>
        </w:rPr>
      </w:pPr>
    </w:p>
    <w:p w14:paraId="1D1D6B86" w14:textId="77777777" w:rsidR="00C32CE0" w:rsidRPr="00380B40" w:rsidRDefault="00C32CE0" w:rsidP="00C32CE0">
      <w:pPr>
        <w:rPr>
          <w:lang w:val="en-GB"/>
        </w:rPr>
      </w:pPr>
    </w:p>
    <w:p w14:paraId="0CB2C402" w14:textId="77777777" w:rsidR="00C32CE0" w:rsidRPr="00380B40" w:rsidRDefault="00C32CE0" w:rsidP="00C32CE0">
      <w:pPr>
        <w:rPr>
          <w:lang w:val="en-GB"/>
        </w:rPr>
      </w:pPr>
    </w:p>
    <w:p w14:paraId="4116296A" w14:textId="77777777" w:rsidR="00C32CE0" w:rsidRPr="00380B40" w:rsidRDefault="00C32CE0" w:rsidP="00C32CE0">
      <w:pPr>
        <w:rPr>
          <w:lang w:val="en-GB"/>
        </w:rPr>
        <w:sectPr w:rsidR="00C32CE0" w:rsidRPr="00380B40" w:rsidSect="00944265">
          <w:headerReference w:type="even" r:id="rId415"/>
          <w:headerReference w:type="default" r:id="rId416"/>
          <w:footerReference w:type="even" r:id="rId417"/>
          <w:footerReference w:type="default" r:id="rId418"/>
          <w:pgSz w:w="11907" w:h="16834" w:code="9"/>
          <w:pgMar w:top="1134" w:right="1134" w:bottom="1134" w:left="1134" w:header="567" w:footer="567" w:gutter="0"/>
          <w:paperSrc w:first="15" w:other="15"/>
          <w:cols w:space="720"/>
          <w:vAlign w:val="both"/>
          <w:docGrid w:linePitch="326"/>
        </w:sectPr>
      </w:pPr>
    </w:p>
    <w:p w14:paraId="0A3F9330" w14:textId="77777777" w:rsidR="007E52B2" w:rsidRPr="00380B40" w:rsidRDefault="007E52B2" w:rsidP="00B72FCD">
      <w:pPr>
        <w:pStyle w:val="RecNo"/>
        <w:rPr>
          <w:lang w:val="en-US"/>
        </w:rPr>
      </w:pPr>
      <w:bookmarkStart w:id="1250" w:name="_Toc381503509"/>
      <w:bookmarkStart w:id="1251" w:name="_Toc381504222"/>
      <w:bookmarkStart w:id="1252" w:name="_Toc383835951"/>
      <w:bookmarkStart w:id="1253" w:name="_Toc383836110"/>
      <w:bookmarkStart w:id="1254" w:name="_Toc384107997"/>
      <w:bookmarkStart w:id="1255" w:name="_Toc104459833"/>
      <w:bookmarkStart w:id="1256" w:name="_Toc111636958"/>
      <w:bookmarkStart w:id="1257" w:name="_Toc111638542"/>
      <w:r w:rsidRPr="00380B40">
        <w:rPr>
          <w:lang w:val="en-US"/>
        </w:rPr>
        <w:t xml:space="preserve">Recommendation </w:t>
      </w:r>
      <w:r w:rsidR="005875A9" w:rsidRPr="00380B40">
        <w:rPr>
          <w:lang w:val="en-US"/>
        </w:rPr>
        <w:t xml:space="preserve">ITU-T </w:t>
      </w:r>
      <w:r w:rsidRPr="00380B40">
        <w:rPr>
          <w:rStyle w:val="href"/>
          <w:lang w:val="en-US"/>
        </w:rPr>
        <w:t>A.23</w:t>
      </w:r>
      <w:bookmarkEnd w:id="1250"/>
      <w:bookmarkEnd w:id="1251"/>
      <w:bookmarkEnd w:id="1252"/>
      <w:bookmarkEnd w:id="1253"/>
      <w:bookmarkEnd w:id="1254"/>
      <w:bookmarkEnd w:id="1255"/>
      <w:bookmarkEnd w:id="1256"/>
      <w:bookmarkEnd w:id="1257"/>
    </w:p>
    <w:p w14:paraId="43FE5D72" w14:textId="77777777" w:rsidR="003C356A" w:rsidRPr="00380B40" w:rsidRDefault="003C356A" w:rsidP="003C356A">
      <w:pPr>
        <w:pStyle w:val="Rectitle"/>
        <w:rPr>
          <w:lang w:val="en-GB"/>
        </w:rPr>
      </w:pPr>
      <w:bookmarkStart w:id="1258" w:name="_Toc104459834"/>
      <w:bookmarkStart w:id="1259" w:name="_Toc111638543"/>
      <w:r w:rsidRPr="00380B40">
        <w:rPr>
          <w:lang w:val="en-GB"/>
        </w:rPr>
        <w:t>Collaboration with the International Organization for Standardization (ISO) and the International Electrotechnical Commission (IEC) on information technology</w:t>
      </w:r>
      <w:bookmarkEnd w:id="1258"/>
      <w:bookmarkEnd w:id="1259"/>
    </w:p>
    <w:p w14:paraId="1053C36C" w14:textId="77777777" w:rsidR="003C356A" w:rsidRPr="00380B40" w:rsidRDefault="003C356A" w:rsidP="00566AA6">
      <w:pPr>
        <w:pStyle w:val="Recref"/>
        <w:rPr>
          <w:lang w:val="en-US"/>
        </w:rPr>
      </w:pPr>
      <w:r w:rsidRPr="00380B40">
        <w:rPr>
          <w:lang w:val="en-US"/>
        </w:rPr>
        <w:t>(Helsinki, 1993 amended at Geneva 1996, Montreal, 2000)</w:t>
      </w:r>
    </w:p>
    <w:p w14:paraId="787CB403" w14:textId="77777777" w:rsidR="003C356A" w:rsidRPr="00380B40" w:rsidRDefault="003C356A" w:rsidP="00DF4D27">
      <w:pPr>
        <w:pStyle w:val="Normalaftertitle0"/>
        <w:rPr>
          <w:b/>
        </w:rPr>
      </w:pPr>
      <w:r w:rsidRPr="00380B40">
        <w:t xml:space="preserve">The WTSA, </w:t>
      </w:r>
    </w:p>
    <w:p w14:paraId="6312D69E" w14:textId="77777777" w:rsidR="003C356A" w:rsidRPr="00380B40" w:rsidRDefault="003C356A" w:rsidP="00566AA6">
      <w:pPr>
        <w:pStyle w:val="Call"/>
        <w:rPr>
          <w:lang w:val="en-US"/>
        </w:rPr>
      </w:pPr>
      <w:r w:rsidRPr="00380B40">
        <w:rPr>
          <w:lang w:val="en-US"/>
        </w:rPr>
        <w:t>considering</w:t>
      </w:r>
    </w:p>
    <w:p w14:paraId="64C04B3B" w14:textId="77777777" w:rsidR="003C356A" w:rsidRPr="00380B40" w:rsidRDefault="003C356A" w:rsidP="003C356A">
      <w:pPr>
        <w:rPr>
          <w:b/>
          <w:lang w:val="en-GB"/>
        </w:rPr>
      </w:pPr>
      <w:r w:rsidRPr="00380B40">
        <w:rPr>
          <w:lang w:val="en-GB"/>
        </w:rPr>
        <w:t>a)</w:t>
      </w:r>
      <w:r w:rsidRPr="00380B40">
        <w:rPr>
          <w:lang w:val="en-GB"/>
        </w:rPr>
        <w:tab/>
        <w:t>the purposes of the International Telecommunication Union set forth in Article 1 of its Constitution (Geneva, 1992) relating to the harmonization of telecommunication facilities;</w:t>
      </w:r>
    </w:p>
    <w:p w14:paraId="4012FC7C" w14:textId="77777777" w:rsidR="003C356A" w:rsidRPr="00380B40" w:rsidRDefault="003C356A" w:rsidP="003C356A">
      <w:pPr>
        <w:rPr>
          <w:b/>
          <w:lang w:val="en-GB"/>
        </w:rPr>
      </w:pPr>
      <w:r w:rsidRPr="00380B40">
        <w:rPr>
          <w:lang w:val="en-GB"/>
        </w:rPr>
        <w:t>b)</w:t>
      </w:r>
      <w:r w:rsidRPr="00380B40">
        <w:rPr>
          <w:b/>
          <w:lang w:val="en-GB"/>
        </w:rPr>
        <w:tab/>
      </w:r>
      <w:r w:rsidRPr="00380B40">
        <w:rPr>
          <w:lang w:val="en-GB"/>
        </w:rPr>
        <w:t>the duties of the Telecommunication Standardization Sector (Chapter III of the Constitution, Geneva, 1992) of the International Telecommunication Union;</w:t>
      </w:r>
    </w:p>
    <w:p w14:paraId="336D0A06" w14:textId="77777777" w:rsidR="003C356A" w:rsidRPr="00380B40" w:rsidRDefault="003C356A" w:rsidP="003C356A">
      <w:pPr>
        <w:rPr>
          <w:lang w:val="en-GB"/>
        </w:rPr>
      </w:pPr>
      <w:r w:rsidRPr="00380B40">
        <w:rPr>
          <w:lang w:val="en-GB"/>
        </w:rPr>
        <w:t>c)</w:t>
      </w:r>
      <w:r w:rsidRPr="00380B40">
        <w:rPr>
          <w:lang w:val="en-GB"/>
        </w:rPr>
        <w:tab/>
        <w:t>Resolution 7 (Geneva, 1996) recognizes common interests with ISO and IEC concerning telecommunication and</w:t>
      </w:r>
      <w:r w:rsidRPr="00380B40">
        <w:rPr>
          <w:b/>
          <w:lang w:val="en-GB"/>
        </w:rPr>
        <w:t xml:space="preserve"> </w:t>
      </w:r>
      <w:r w:rsidRPr="00380B40">
        <w:rPr>
          <w:lang w:val="en-GB"/>
        </w:rPr>
        <w:t>information technologies as well as some other topics and cooperation with them by appropriate means,</w:t>
      </w:r>
    </w:p>
    <w:p w14:paraId="79264E02" w14:textId="77777777" w:rsidR="003C356A" w:rsidRPr="00380B40" w:rsidRDefault="003C356A" w:rsidP="00566AA6">
      <w:pPr>
        <w:pStyle w:val="Call"/>
        <w:rPr>
          <w:b/>
          <w:lang w:val="en-US"/>
        </w:rPr>
      </w:pPr>
      <w:r w:rsidRPr="00380B40">
        <w:rPr>
          <w:lang w:val="en-US"/>
        </w:rPr>
        <w:t xml:space="preserve">decides </w:t>
      </w:r>
    </w:p>
    <w:p w14:paraId="4D8BAE05" w14:textId="77777777" w:rsidR="003C356A" w:rsidRPr="00380B40" w:rsidRDefault="003C356A" w:rsidP="003C356A">
      <w:pPr>
        <w:rPr>
          <w:lang w:val="en-GB"/>
        </w:rPr>
      </w:pPr>
      <w:r w:rsidRPr="00380B40">
        <w:rPr>
          <w:lang w:val="en-GB"/>
        </w:rPr>
        <w:t>1</w:t>
      </w:r>
      <w:r w:rsidRPr="00380B40">
        <w:rPr>
          <w:lang w:val="en-GB"/>
        </w:rPr>
        <w:tab/>
        <w:t>that in accordance with Resolution 7, every effort should be made in establishing respective study programmes to identify overlapping studies with a view to avoiding duplication of work;</w:t>
      </w:r>
    </w:p>
    <w:p w14:paraId="029FC312" w14:textId="77777777" w:rsidR="003C356A" w:rsidRPr="00380B40" w:rsidRDefault="003C356A" w:rsidP="003C356A">
      <w:pPr>
        <w:rPr>
          <w:lang w:val="en-GB"/>
        </w:rPr>
      </w:pPr>
      <w:r w:rsidRPr="00380B40">
        <w:rPr>
          <w:lang w:val="en-GB"/>
        </w:rPr>
        <w:t>2</w:t>
      </w:r>
      <w:r w:rsidRPr="00380B40">
        <w:rPr>
          <w:lang w:val="en-GB"/>
        </w:rPr>
        <w:tab/>
        <w:t>that for those subjects in the fields of information technology including data transmission, multimedia, open system communications and telematic services, etc., where there is a common interest and where it is agreed that coordination is desirable, then text should be drawn up mutually and kept aligned;</w:t>
      </w:r>
    </w:p>
    <w:p w14:paraId="460B476E" w14:textId="77777777" w:rsidR="003C356A" w:rsidRPr="00380B40" w:rsidRDefault="003C356A" w:rsidP="003C356A">
      <w:pPr>
        <w:rPr>
          <w:lang w:val="en-GB"/>
        </w:rPr>
      </w:pPr>
      <w:r w:rsidRPr="00380B40">
        <w:rPr>
          <w:lang w:val="en-GB"/>
        </w:rPr>
        <w:t>3</w:t>
      </w:r>
      <w:r w:rsidRPr="00380B40">
        <w:rPr>
          <w:lang w:val="en-GB"/>
        </w:rPr>
        <w:tab/>
        <w:t>that in carrying on the respective studies, collaborative meetings at appropriate levels should be scheduled, where necessary. In drafting aligned text, it is necessary to take into account the respective timing for approvals and publication, particularly with the ISO/IEC Joint Technical Committee 1 (JTC 1) on Information Technology.</w:t>
      </w:r>
    </w:p>
    <w:p w14:paraId="39C02227" w14:textId="77777777" w:rsidR="007D3773" w:rsidRPr="00380B40" w:rsidRDefault="003C356A" w:rsidP="003C356A">
      <w:pPr>
        <w:rPr>
          <w:lang w:val="en-GB"/>
        </w:rPr>
      </w:pPr>
      <w:r w:rsidRPr="00380B40">
        <w:rPr>
          <w:lang w:val="en-GB"/>
        </w:rPr>
        <w:t>A Guide for ITU-T and ISO/IEC JTC 1 Cooperation is given in Annex A, which contains a set of procedures for cooperation between the two sides. These procedures, which have also been adopted by ISO/IEC JTC 1, should be used, with flexibility, according to need. The "Rules for presentation of ITU-T | ISO/IEC common text"</w:t>
      </w:r>
      <w:r w:rsidR="00FD162E" w:rsidRPr="00380B40">
        <w:rPr>
          <w:rStyle w:val="FootnoteReference"/>
          <w:lang w:val="en-GB"/>
        </w:rPr>
        <w:footnoteReference w:id="72"/>
      </w:r>
      <w:r w:rsidRPr="00380B40">
        <w:rPr>
          <w:position w:val="6"/>
          <w:lang w:val="en-GB"/>
        </w:rPr>
        <w:t xml:space="preserve"> </w:t>
      </w:r>
      <w:r w:rsidRPr="00380B40">
        <w:rPr>
          <w:lang w:val="en-GB"/>
        </w:rPr>
        <w:t>in Annex A should be respected in the drafting of common texts.</w:t>
      </w:r>
    </w:p>
    <w:p w14:paraId="1AEAFED2" w14:textId="77777777" w:rsidR="007D3773" w:rsidRPr="00380B40" w:rsidRDefault="007D3773" w:rsidP="008C3E8D">
      <w:pPr>
        <w:rPr>
          <w:lang w:val="en-GB"/>
        </w:rPr>
      </w:pPr>
    </w:p>
    <w:p w14:paraId="443E9129" w14:textId="77777777" w:rsidR="007D3773" w:rsidRPr="00380B40" w:rsidRDefault="007D3773" w:rsidP="008C3E8D">
      <w:pPr>
        <w:rPr>
          <w:lang w:val="en-GB"/>
        </w:rPr>
      </w:pPr>
    </w:p>
    <w:p w14:paraId="2F53A7B0" w14:textId="77777777" w:rsidR="007D3773" w:rsidRPr="00380B40" w:rsidRDefault="007D3773" w:rsidP="008C3E8D">
      <w:pPr>
        <w:rPr>
          <w:lang w:val="en-GB"/>
        </w:rPr>
      </w:pPr>
    </w:p>
    <w:p w14:paraId="3754E3F4" w14:textId="77777777" w:rsidR="007D3773" w:rsidRPr="00380B40" w:rsidRDefault="007D3773" w:rsidP="008C3E8D">
      <w:pPr>
        <w:rPr>
          <w:lang w:val="en-GB"/>
        </w:rPr>
      </w:pPr>
    </w:p>
    <w:p w14:paraId="4EB9D963" w14:textId="77777777" w:rsidR="00153048" w:rsidRPr="00380B40" w:rsidRDefault="00153048" w:rsidP="008C3E8D">
      <w:pPr>
        <w:rPr>
          <w:lang w:val="en-GB"/>
        </w:rPr>
      </w:pPr>
      <w:r w:rsidRPr="00380B40">
        <w:rPr>
          <w:lang w:val="en-GB"/>
        </w:rPr>
        <w:br w:type="page"/>
      </w:r>
    </w:p>
    <w:p w14:paraId="4AD58B53" w14:textId="77777777" w:rsidR="00523689" w:rsidRPr="00380B40" w:rsidRDefault="00523689" w:rsidP="00FD3C79">
      <w:pPr>
        <w:pStyle w:val="AnnexNoTitle1"/>
      </w:pPr>
      <w:r w:rsidRPr="00380B40">
        <w:t>ANNEX A</w:t>
      </w:r>
      <w:r w:rsidRPr="00380B40">
        <w:br/>
        <w:t>(to Recommendation ITU-T A.23)</w:t>
      </w:r>
    </w:p>
    <w:p w14:paraId="7D4EB941" w14:textId="77777777" w:rsidR="00523689" w:rsidRPr="00380B40" w:rsidRDefault="00523689" w:rsidP="009D2170">
      <w:pPr>
        <w:pStyle w:val="Annextitle"/>
      </w:pPr>
      <w:r w:rsidRPr="00380B40">
        <w:t>Guide for ITU-T and ISO/IEC JTC 1 cooperation</w:t>
      </w:r>
    </w:p>
    <w:p w14:paraId="5025E51A" w14:textId="77777777" w:rsidR="00523689" w:rsidRPr="00380B40" w:rsidRDefault="00523689" w:rsidP="00523689">
      <w:pPr>
        <w:pStyle w:val="Heading1"/>
        <w:rPr>
          <w:sz w:val="20"/>
          <w:lang w:val="en-GB"/>
        </w:rPr>
      </w:pPr>
      <w:bookmarkStart w:id="1260" w:name="_Toc382734813"/>
      <w:bookmarkStart w:id="1261" w:name="_Toc3708693"/>
      <w:bookmarkStart w:id="1262" w:name="_Toc229895842"/>
      <w:bookmarkStart w:id="1263" w:name="_Toc229896144"/>
      <w:bookmarkStart w:id="1264" w:name="_Toc398284221"/>
      <w:bookmarkStart w:id="1265" w:name="_Toc401035440"/>
      <w:bookmarkStart w:id="1266" w:name="_Toc401312694"/>
      <w:bookmarkStart w:id="1267" w:name="_Toc401313050"/>
      <w:bookmarkStart w:id="1268" w:name="_Toc111636959"/>
      <w:r w:rsidRPr="00380B40">
        <w:rPr>
          <w:lang w:val="en-GB"/>
        </w:rPr>
        <w:t>1</w:t>
      </w:r>
      <w:r w:rsidRPr="00380B40">
        <w:rPr>
          <w:lang w:val="en-GB"/>
        </w:rPr>
        <w:tab/>
        <w:t>Introduction</w:t>
      </w:r>
      <w:bookmarkEnd w:id="1260"/>
      <w:bookmarkEnd w:id="1261"/>
      <w:bookmarkEnd w:id="1262"/>
      <w:bookmarkEnd w:id="1263"/>
      <w:bookmarkEnd w:id="1264"/>
      <w:bookmarkEnd w:id="1265"/>
      <w:bookmarkEnd w:id="1266"/>
      <w:bookmarkEnd w:id="1267"/>
      <w:bookmarkEnd w:id="1268"/>
    </w:p>
    <w:p w14:paraId="58D30543" w14:textId="77777777" w:rsidR="00523689" w:rsidRPr="00380B40" w:rsidRDefault="00523689" w:rsidP="00523689">
      <w:pPr>
        <w:pStyle w:val="Heading2"/>
        <w:rPr>
          <w:lang w:val="en-GB"/>
        </w:rPr>
      </w:pPr>
      <w:bookmarkStart w:id="1269" w:name="_Toc382734814"/>
      <w:bookmarkStart w:id="1270" w:name="_Toc3708694"/>
      <w:bookmarkStart w:id="1271" w:name="_Toc229895843"/>
      <w:bookmarkStart w:id="1272" w:name="_Toc229896145"/>
      <w:bookmarkStart w:id="1273" w:name="_Toc398284222"/>
      <w:bookmarkStart w:id="1274" w:name="_Toc401035441"/>
      <w:bookmarkStart w:id="1275" w:name="_Toc401312695"/>
      <w:bookmarkStart w:id="1276" w:name="_Toc401313051"/>
      <w:bookmarkStart w:id="1277" w:name="_Toc111636960"/>
      <w:r w:rsidRPr="00380B40">
        <w:rPr>
          <w:lang w:val="en-GB"/>
        </w:rPr>
        <w:t>1.1</w:t>
      </w:r>
      <w:r w:rsidRPr="00380B40">
        <w:rPr>
          <w:lang w:val="en-GB"/>
        </w:rPr>
        <w:tab/>
        <w:t>Purpose</w:t>
      </w:r>
      <w:bookmarkEnd w:id="1269"/>
      <w:bookmarkEnd w:id="1270"/>
      <w:bookmarkEnd w:id="1271"/>
      <w:bookmarkEnd w:id="1272"/>
      <w:bookmarkEnd w:id="1273"/>
      <w:bookmarkEnd w:id="1274"/>
      <w:bookmarkEnd w:id="1275"/>
      <w:bookmarkEnd w:id="1276"/>
      <w:bookmarkEnd w:id="1277"/>
    </w:p>
    <w:p w14:paraId="327DCDFB" w14:textId="77777777" w:rsidR="00523689" w:rsidRPr="00380B40" w:rsidRDefault="00523689" w:rsidP="00523689">
      <w:pPr>
        <w:rPr>
          <w:lang w:val="en-GB"/>
        </w:rPr>
      </w:pPr>
      <w:r w:rsidRPr="00380B40">
        <w:rPr>
          <w:lang w:val="en-GB"/>
        </w:rPr>
        <w:t xml:space="preserve">This document contains a set of procedures for cooperation between ITU-T and ISO/IEC JTC 1. It is written in an informal style, much like a tutorial, to be a practical, educational and insightful reference for both leaders and participants in cooperative work. </w:t>
      </w:r>
    </w:p>
    <w:p w14:paraId="1F53EC94" w14:textId="77777777" w:rsidR="00523689" w:rsidRPr="00380B40" w:rsidRDefault="00523689" w:rsidP="00523689">
      <w:pPr>
        <w:pStyle w:val="Heading2"/>
        <w:rPr>
          <w:lang w:val="en-GB"/>
        </w:rPr>
      </w:pPr>
      <w:bookmarkStart w:id="1278" w:name="_Toc382734815"/>
      <w:bookmarkStart w:id="1279" w:name="_Toc3708695"/>
      <w:bookmarkStart w:id="1280" w:name="_Toc229895844"/>
      <w:bookmarkStart w:id="1281" w:name="_Toc229896146"/>
      <w:bookmarkStart w:id="1282" w:name="_Toc398284223"/>
      <w:bookmarkStart w:id="1283" w:name="_Toc401035442"/>
      <w:bookmarkStart w:id="1284" w:name="_Toc401312696"/>
      <w:bookmarkStart w:id="1285" w:name="_Toc401313052"/>
      <w:bookmarkStart w:id="1286" w:name="_Toc111636961"/>
      <w:r w:rsidRPr="00380B40">
        <w:rPr>
          <w:lang w:val="en-GB"/>
        </w:rPr>
        <w:t>1.2</w:t>
      </w:r>
      <w:r w:rsidRPr="00380B40">
        <w:rPr>
          <w:lang w:val="en-GB"/>
        </w:rPr>
        <w:tab/>
        <w:t>Background</w:t>
      </w:r>
      <w:bookmarkEnd w:id="1278"/>
      <w:bookmarkEnd w:id="1279"/>
      <w:bookmarkEnd w:id="1280"/>
      <w:bookmarkEnd w:id="1281"/>
      <w:bookmarkEnd w:id="1282"/>
      <w:bookmarkEnd w:id="1283"/>
      <w:bookmarkEnd w:id="1284"/>
      <w:bookmarkEnd w:id="1285"/>
      <w:bookmarkEnd w:id="1286"/>
    </w:p>
    <w:p w14:paraId="71A7ADCC" w14:textId="77777777" w:rsidR="00523689" w:rsidRPr="00380B40" w:rsidRDefault="00523689" w:rsidP="00523689">
      <w:pPr>
        <w:rPr>
          <w:lang w:val="en-GB"/>
        </w:rPr>
      </w:pPr>
      <w:r w:rsidRPr="00380B40">
        <w:rPr>
          <w:lang w:val="en-GB"/>
        </w:rPr>
        <w:t>The ITU-T and ISO and IEC have long established cooperative relationships. For many years, the continued merging of technologies for which these individual organizations have been responsible has resulted in an increasing interdependency of a growing portion of the work programs. This has led, for example, to the creation by ISO and IEC of Joint Technical Committee 1 (JTC 1) on Information Technology. Cooperative arrangements between the ITU-T and ISO/IEC have been growing.</w:t>
      </w:r>
    </w:p>
    <w:p w14:paraId="48C3689D" w14:textId="77777777" w:rsidR="00523689" w:rsidRPr="00380B40" w:rsidRDefault="00523689" w:rsidP="00523689">
      <w:pPr>
        <w:rPr>
          <w:lang w:val="en-GB"/>
        </w:rPr>
      </w:pPr>
      <w:r w:rsidRPr="00380B40">
        <w:rPr>
          <w:lang w:val="en-GB"/>
        </w:rPr>
        <w:t xml:space="preserve">In June 1988, an ad hoc group of CCITT and ISO/IEC JTC 1 leaders met to review the then existing situation of cooperation. Recognizing that these cooperative efforts will continue to grow, the ad hoc group felt it would be beneficial to develop and document a set of procedures which builds upon past successes to facilitate future efforts. As a result, an </w:t>
      </w:r>
      <w:r w:rsidRPr="00380B40">
        <w:rPr>
          <w:i/>
          <w:lang w:val="en-GB"/>
        </w:rPr>
        <w:t xml:space="preserve">Informal Guide on CCITT and ISO/IEC JTC 1 Cooperation </w:t>
      </w:r>
      <w:r w:rsidRPr="00380B40">
        <w:rPr>
          <w:lang w:val="en-GB"/>
        </w:rPr>
        <w:t>was produced.</w:t>
      </w:r>
    </w:p>
    <w:p w14:paraId="0B913278" w14:textId="77777777" w:rsidR="00523689" w:rsidRPr="00380B40" w:rsidRDefault="00523689" w:rsidP="00523689">
      <w:pPr>
        <w:rPr>
          <w:lang w:val="en-GB"/>
        </w:rPr>
      </w:pPr>
      <w:r w:rsidRPr="00380B40">
        <w:rPr>
          <w:lang w:val="en-GB"/>
        </w:rPr>
        <w:t>This Informal Guide recognized that the areas for cooperative work between CCITT and ISO/IEC JTC 1 are a small portion of the total work program of both organizations. Therefore, it was determined that the practical way to achieve successful cooperation is to work within the flexibility existing within the procedures of each organization rather than to define a fundamentally new framework.</w:t>
      </w:r>
    </w:p>
    <w:p w14:paraId="5C49DA7E" w14:textId="77777777" w:rsidR="00523689" w:rsidRPr="00380B40" w:rsidRDefault="00523689" w:rsidP="00523689">
      <w:pPr>
        <w:rPr>
          <w:lang w:val="en-GB"/>
        </w:rPr>
      </w:pPr>
      <w:r w:rsidRPr="00380B40">
        <w:rPr>
          <w:lang w:val="en-GB"/>
        </w:rPr>
        <w:t xml:space="preserve">Since that time considerable experience has been gained in the use of the procedures. Consequently, a second meeting of the ad hoc group was held in September 1991 to review and refine the procedures. A draft revised Guide was produced at that meeting and adopted by both CCITT and JTC 1 for interim use, pending formal approval. </w:t>
      </w:r>
    </w:p>
    <w:p w14:paraId="184FF6C2" w14:textId="77777777" w:rsidR="001B4241" w:rsidRPr="00380B40" w:rsidRDefault="001B4241" w:rsidP="00523689">
      <w:pPr>
        <w:rPr>
          <w:lang w:val="en-GB"/>
        </w:rPr>
      </w:pPr>
      <w:r w:rsidRPr="00380B40">
        <w:rPr>
          <w:lang w:val="en-GB"/>
        </w:rPr>
        <w:br w:type="page"/>
      </w:r>
    </w:p>
    <w:p w14:paraId="4EBA21EE" w14:textId="77777777" w:rsidR="00523689" w:rsidRPr="00380B40" w:rsidRDefault="00523689" w:rsidP="00523689">
      <w:pPr>
        <w:rPr>
          <w:lang w:val="en-GB"/>
        </w:rPr>
      </w:pPr>
      <w:r w:rsidRPr="00380B40">
        <w:rPr>
          <w:lang w:val="en-GB"/>
        </w:rPr>
        <w:t>The draft revised Guide recognized the value of collaboration between the two organizations in building consensus in areas of common interest and in extending this collaboration to the publication of common text Recommendations and International Standards to better serve the needs of industry and users. Considerable attention was given to defining efficient collaborative procedures that make the best use of resources to produce timely results.</w:t>
      </w:r>
    </w:p>
    <w:p w14:paraId="55B47CCE" w14:textId="77777777" w:rsidR="00523689" w:rsidRPr="00380B40" w:rsidRDefault="00523689" w:rsidP="00523689">
      <w:pPr>
        <w:rPr>
          <w:lang w:val="en-GB"/>
        </w:rPr>
      </w:pPr>
      <w:r w:rsidRPr="00380B40">
        <w:rPr>
          <w:lang w:val="en-GB"/>
        </w:rPr>
        <w:t>Further revision was made as a result of the formal review and to reflect updated procedures of both organizations. The Guide was adopted by the WTSC and JTC 1 in March 1993.</w:t>
      </w:r>
    </w:p>
    <w:p w14:paraId="0824C068" w14:textId="77777777" w:rsidR="00523689" w:rsidRPr="00380B40" w:rsidRDefault="00523689" w:rsidP="00523689">
      <w:pPr>
        <w:rPr>
          <w:lang w:val="en-GB"/>
        </w:rPr>
      </w:pPr>
      <w:r w:rsidRPr="00380B40">
        <w:rPr>
          <w:lang w:val="en-GB"/>
        </w:rPr>
        <w:t>By 1996, with the experience of developing more than 150 collaborative Recommendations | International Standards, the Guide was updated to reflect insights gained through this experience and to reflect revisions in the procedures of both organizations. The updated Guide was adopted by the WTSC in October 1996 and JTC 1 in December 1996.</w:t>
      </w:r>
    </w:p>
    <w:p w14:paraId="04F619E5" w14:textId="77777777" w:rsidR="00523689" w:rsidRPr="00380B40" w:rsidRDefault="00523689" w:rsidP="00523689">
      <w:pPr>
        <w:rPr>
          <w:lang w:val="en-GB"/>
        </w:rPr>
      </w:pPr>
      <w:r w:rsidRPr="00380B40">
        <w:rPr>
          <w:lang w:val="en-GB"/>
        </w:rPr>
        <w:t>In 2001, the Guide was again updated to reflect revisions in the procedures of both organizations. The updated Guide was adopted by the ITU-T in November 2001 and JTC 1 in November 2001.</w:t>
      </w:r>
    </w:p>
    <w:p w14:paraId="704C1DEF" w14:textId="77777777" w:rsidR="00523689" w:rsidRPr="00380B40" w:rsidRDefault="00523689" w:rsidP="00523689">
      <w:pPr>
        <w:rPr>
          <w:lang w:val="en-GB"/>
        </w:rPr>
      </w:pPr>
      <w:r w:rsidRPr="00380B40">
        <w:rPr>
          <w:lang w:val="en-GB"/>
        </w:rPr>
        <w:t>In 2010, the Guide was again updated to reflect closer alignment of the JTC 1 procedures to those in common between ISO and IEC, and to reflect revised procedures in the ITU-T. It also takes into account the common patent policy for ITU-T/ITU-R/ISO/IEC adopted in 2006. The updated Guide was adopted by the ITU-T in February 2010 and JTC 1 in June 2010.</w:t>
      </w:r>
    </w:p>
    <w:p w14:paraId="33255F6C" w14:textId="77777777" w:rsidR="00523689" w:rsidRPr="00380B40" w:rsidRDefault="00523689" w:rsidP="00523689">
      <w:pPr>
        <w:rPr>
          <w:lang w:val="en-GB"/>
        </w:rPr>
      </w:pPr>
      <w:r w:rsidRPr="00380B40">
        <w:rPr>
          <w:lang w:val="en-GB"/>
        </w:rPr>
        <w:t xml:space="preserve">In 2013, the Guide was again updated to reflect revisions in the procedures of both organizations. The updated Guide was adopted by the ITU-T in June 2014 and JTC 1 in </w:t>
      </w:r>
      <w:r w:rsidRPr="00380B40">
        <w:rPr>
          <w:szCs w:val="22"/>
          <w:lang w:val="en-GB"/>
        </w:rPr>
        <w:t>September 2014</w:t>
      </w:r>
      <w:r w:rsidRPr="00380B40">
        <w:rPr>
          <w:lang w:val="en-GB"/>
        </w:rPr>
        <w:t>.</w:t>
      </w:r>
    </w:p>
    <w:p w14:paraId="3BCA86FB" w14:textId="77777777" w:rsidR="00523689" w:rsidRPr="00380B40" w:rsidRDefault="00523689" w:rsidP="00523689">
      <w:pPr>
        <w:pStyle w:val="Heading2"/>
        <w:rPr>
          <w:lang w:val="en-GB"/>
        </w:rPr>
      </w:pPr>
      <w:bookmarkStart w:id="1287" w:name="_Toc382734816"/>
      <w:bookmarkStart w:id="1288" w:name="_Toc3708696"/>
      <w:bookmarkStart w:id="1289" w:name="_Toc229895845"/>
      <w:bookmarkStart w:id="1290" w:name="_Toc229896147"/>
      <w:bookmarkStart w:id="1291" w:name="_Toc398284224"/>
      <w:bookmarkStart w:id="1292" w:name="_Toc401035443"/>
      <w:bookmarkStart w:id="1293" w:name="_Toc401312697"/>
      <w:bookmarkStart w:id="1294" w:name="_Toc401313053"/>
      <w:bookmarkStart w:id="1295" w:name="_Toc111636962"/>
      <w:r w:rsidRPr="00380B40">
        <w:rPr>
          <w:lang w:val="en-GB"/>
        </w:rPr>
        <w:t>1.3</w:t>
      </w:r>
      <w:r w:rsidRPr="00380B40">
        <w:rPr>
          <w:lang w:val="en-GB"/>
        </w:rPr>
        <w:tab/>
        <w:t>Organization of the Guide</w:t>
      </w:r>
      <w:bookmarkEnd w:id="1287"/>
      <w:bookmarkEnd w:id="1288"/>
      <w:bookmarkEnd w:id="1289"/>
      <w:bookmarkEnd w:id="1290"/>
      <w:bookmarkEnd w:id="1291"/>
      <w:bookmarkEnd w:id="1292"/>
      <w:bookmarkEnd w:id="1293"/>
      <w:bookmarkEnd w:id="1294"/>
      <w:bookmarkEnd w:id="1295"/>
    </w:p>
    <w:p w14:paraId="63A90F5E" w14:textId="77777777" w:rsidR="00523689" w:rsidRPr="00380B40" w:rsidRDefault="00523689" w:rsidP="00523689">
      <w:pPr>
        <w:rPr>
          <w:lang w:val="en-GB"/>
        </w:rPr>
      </w:pPr>
      <w:r w:rsidRPr="00380B40">
        <w:rPr>
          <w:lang w:val="en-GB"/>
        </w:rPr>
        <w:t>The remainder of clause 1 provides a listing of useful references, definitions and abbreviations pertinent to ITU-T and JTC 1 cooperation. Clauses 2 and 3 provide tutorial information on the structure and procedures of ITU-T and JTC 1.</w:t>
      </w:r>
    </w:p>
    <w:p w14:paraId="67BF6E39" w14:textId="77777777" w:rsidR="00523689" w:rsidRPr="00380B40" w:rsidRDefault="00523689" w:rsidP="00523689">
      <w:pPr>
        <w:rPr>
          <w:lang w:val="en-GB"/>
        </w:rPr>
      </w:pPr>
      <w:r w:rsidRPr="00380B40">
        <w:rPr>
          <w:lang w:val="en-GB"/>
        </w:rPr>
        <w:t>The detailed procedures for ITU-T and JTC 1 cooperation are given in clauses 4 through 10 and Appendix I. They supplement, and sometimes repeat for clarity, the basic procedures of each organization (for example, those given in WTSA Resolution No. 1, in Recommendation ITU-T A.1 and in the ISO/IEC Directives, in the Consolidated JTC 1 Supplement to the ISO/IEC Directives and in JTC 1 Standing Documents) which remain controlling.</w:t>
      </w:r>
    </w:p>
    <w:p w14:paraId="35F4822F" w14:textId="77777777" w:rsidR="00523689" w:rsidRPr="00380B40" w:rsidRDefault="00523689" w:rsidP="0030446A">
      <w:pPr>
        <w:pStyle w:val="Note2"/>
        <w:rPr>
          <w:noProof/>
        </w:rPr>
      </w:pPr>
      <w:r w:rsidRPr="00380B40">
        <w:rPr>
          <w:rFonts w:eastAsia="Batang"/>
          <w:noProof/>
          <w:szCs w:val="24"/>
          <w:lang w:eastAsia="zh-CN"/>
        </w:rPr>
        <w:t xml:space="preserve">NOTE – </w:t>
      </w:r>
      <w:r w:rsidRPr="00380B40">
        <w:rPr>
          <w:noProof/>
        </w:rPr>
        <w:t xml:space="preserve">The template for editors to use in the preparation of common text Recommendations | International Standards is available at </w:t>
      </w:r>
      <w:hyperlink r:id="rId419" w:history="1">
        <w:r w:rsidR="007F7EB9" w:rsidRPr="00380B40">
          <w:rPr>
            <w:rStyle w:val="Hyperlink"/>
            <w:noProof/>
          </w:rPr>
          <w:t>http://itu.int/en/ITU-T/studygroups/Pages/templates.aspx</w:t>
        </w:r>
      </w:hyperlink>
      <w:r w:rsidRPr="00380B40">
        <w:rPr>
          <w:rFonts w:eastAsia="Batang"/>
        </w:rPr>
        <w:t>,</w:t>
      </w:r>
      <w:r w:rsidRPr="00380B40">
        <w:rPr>
          <w:noProof/>
        </w:rPr>
        <w:t xml:space="preserve"> and the presentation rules at </w:t>
      </w:r>
      <w:hyperlink r:id="rId420" w:history="1">
        <w:r w:rsidR="007F7EB9" w:rsidRPr="00380B40">
          <w:rPr>
            <w:rStyle w:val="Hyperlink"/>
            <w:noProof/>
          </w:rPr>
          <w:t>http://itu.int/en/ITU-T/info/Pages/resources.aspx</w:t>
        </w:r>
      </w:hyperlink>
      <w:r w:rsidRPr="00380B40">
        <w:t xml:space="preserve"> and </w:t>
      </w:r>
      <w:hyperlink r:id="rId421" w:history="1">
        <w:r w:rsidR="007F7EB9" w:rsidRPr="00380B40">
          <w:rPr>
            <w:rStyle w:val="Hyperlink"/>
          </w:rPr>
          <w:t>http://iso.org/iso/jtc1_home</w:t>
        </w:r>
      </w:hyperlink>
      <w:r w:rsidRPr="00380B40">
        <w:t xml:space="preserve"> (Resources, JTC1 Standing documents section).</w:t>
      </w:r>
    </w:p>
    <w:p w14:paraId="00331A1F" w14:textId="77777777" w:rsidR="001B4241" w:rsidRPr="00380B40" w:rsidRDefault="001B4241" w:rsidP="001B4241">
      <w:pPr>
        <w:rPr>
          <w:lang w:val="en-GB"/>
        </w:rPr>
      </w:pPr>
      <w:bookmarkStart w:id="1296" w:name="_Toc382734817"/>
      <w:bookmarkStart w:id="1297" w:name="_Toc3708697"/>
      <w:bookmarkStart w:id="1298" w:name="_Toc229895846"/>
      <w:bookmarkStart w:id="1299" w:name="_Toc229896148"/>
      <w:bookmarkStart w:id="1300" w:name="_Toc398284225"/>
      <w:bookmarkStart w:id="1301" w:name="_Toc401035444"/>
      <w:bookmarkStart w:id="1302" w:name="_Toc401312698"/>
      <w:bookmarkStart w:id="1303" w:name="_Toc401313054"/>
      <w:r w:rsidRPr="00380B40">
        <w:rPr>
          <w:lang w:val="en-GB"/>
        </w:rPr>
        <w:br w:type="page"/>
      </w:r>
    </w:p>
    <w:p w14:paraId="437DD0F5" w14:textId="77777777" w:rsidR="00523689" w:rsidRPr="00380B40" w:rsidRDefault="00523689" w:rsidP="00523689">
      <w:pPr>
        <w:pStyle w:val="Heading2"/>
        <w:rPr>
          <w:lang w:val="en-GB"/>
        </w:rPr>
      </w:pPr>
      <w:bookmarkStart w:id="1304" w:name="_Toc111636963"/>
      <w:r w:rsidRPr="00380B40">
        <w:rPr>
          <w:lang w:val="en-GB"/>
        </w:rPr>
        <w:t>1.4</w:t>
      </w:r>
      <w:r w:rsidRPr="00380B40">
        <w:rPr>
          <w:lang w:val="en-GB"/>
        </w:rPr>
        <w:tab/>
        <w:t>References</w:t>
      </w:r>
      <w:bookmarkEnd w:id="1296"/>
      <w:bookmarkEnd w:id="1297"/>
      <w:bookmarkEnd w:id="1298"/>
      <w:bookmarkEnd w:id="1299"/>
      <w:bookmarkEnd w:id="1300"/>
      <w:bookmarkEnd w:id="1301"/>
      <w:bookmarkEnd w:id="1302"/>
      <w:bookmarkEnd w:id="1303"/>
      <w:bookmarkEnd w:id="1304"/>
    </w:p>
    <w:p w14:paraId="4CC61B99" w14:textId="77777777" w:rsidR="00523689" w:rsidRPr="00380B40" w:rsidRDefault="00523689" w:rsidP="00523689">
      <w:pPr>
        <w:pStyle w:val="Heading3"/>
        <w:ind w:left="0" w:firstLine="0"/>
        <w:rPr>
          <w:lang w:val="en-GB"/>
        </w:rPr>
      </w:pPr>
      <w:bookmarkStart w:id="1305" w:name="_Toc3708698"/>
      <w:bookmarkStart w:id="1306" w:name="_Toc229895847"/>
      <w:bookmarkStart w:id="1307" w:name="_Toc229896149"/>
      <w:bookmarkStart w:id="1308" w:name="_Toc111636964"/>
      <w:r w:rsidRPr="00380B40">
        <w:rPr>
          <w:lang w:val="en-GB"/>
        </w:rPr>
        <w:t>1.4.1</w:t>
      </w:r>
      <w:r w:rsidRPr="00380B40">
        <w:rPr>
          <w:lang w:val="en-GB"/>
        </w:rPr>
        <w:tab/>
        <w:t>ITU-T references</w:t>
      </w:r>
      <w:bookmarkEnd w:id="1305"/>
      <w:bookmarkEnd w:id="1306"/>
      <w:bookmarkEnd w:id="1307"/>
      <w:bookmarkEnd w:id="1308"/>
    </w:p>
    <w:p w14:paraId="671DA794" w14:textId="77777777" w:rsidR="00523689" w:rsidRPr="00380B40" w:rsidRDefault="00523689" w:rsidP="00523689">
      <w:pPr>
        <w:pStyle w:val="Heading4"/>
        <w:rPr>
          <w:lang w:val="en-GB"/>
        </w:rPr>
      </w:pPr>
      <w:r w:rsidRPr="00380B40">
        <w:rPr>
          <w:lang w:val="en-GB"/>
        </w:rPr>
        <w:t>1.4.1.1</w:t>
      </w:r>
      <w:r w:rsidRPr="00380B40">
        <w:rPr>
          <w:lang w:val="en-GB"/>
        </w:rPr>
        <w:tab/>
        <w:t>General</w:t>
      </w:r>
    </w:p>
    <w:p w14:paraId="77B2C14A" w14:textId="77777777" w:rsidR="00523689" w:rsidRPr="00380B40" w:rsidRDefault="00523689" w:rsidP="00523689">
      <w:pPr>
        <w:rPr>
          <w:lang w:val="en-GB"/>
        </w:rPr>
      </w:pPr>
      <w:r w:rsidRPr="00380B40">
        <w:rPr>
          <w:lang w:val="en-GB"/>
        </w:rPr>
        <w:t xml:space="preserve">Most information about the ITU and the ITU-T can be found on the ITU website at </w:t>
      </w:r>
      <w:hyperlink r:id="rId422" w:history="1">
        <w:r w:rsidR="00BC053D" w:rsidRPr="00380B40">
          <w:rPr>
            <w:rStyle w:val="Hyperlink"/>
            <w:lang w:val="en-GB"/>
          </w:rPr>
          <w:t>http://itu.int</w:t>
        </w:r>
      </w:hyperlink>
      <w:r w:rsidRPr="00380B40">
        <w:rPr>
          <w:lang w:val="en-GB"/>
        </w:rPr>
        <w:t>.</w:t>
      </w:r>
    </w:p>
    <w:p w14:paraId="1FAE1CA3" w14:textId="77777777" w:rsidR="00523689" w:rsidRPr="00380B40" w:rsidRDefault="00523689" w:rsidP="00523689">
      <w:pPr>
        <w:rPr>
          <w:lang w:val="en-GB"/>
        </w:rPr>
      </w:pPr>
      <w:r w:rsidRPr="00380B40">
        <w:rPr>
          <w:lang w:val="en-GB"/>
        </w:rPr>
        <w:t>The fundamental documents of the ITU are its Constitution and its Convention, which can be found in "Collection of the basic texts of the International Telecommunication Union adopted by the Plenipotentiary Conference, Edition 2007".</w:t>
      </w:r>
    </w:p>
    <w:p w14:paraId="758D4A4A" w14:textId="77777777" w:rsidR="00523689" w:rsidRPr="00380B40" w:rsidRDefault="00523689" w:rsidP="00523689">
      <w:pPr>
        <w:rPr>
          <w:lang w:val="en-GB"/>
        </w:rPr>
      </w:pPr>
      <w:r w:rsidRPr="00380B40">
        <w:rPr>
          <w:lang w:val="en-GB"/>
        </w:rPr>
        <w:t>The ITU-T WTSA Proceedings of the current Study Period contains the Resolutions and A-series Recommendations approved by the last World Telecommunication Standardization Assembly (WTSA), and includes a listing of the Study Groups and a listing of the Questions allocated to each Study Group.</w:t>
      </w:r>
    </w:p>
    <w:p w14:paraId="4867F81C" w14:textId="77777777" w:rsidR="00523689" w:rsidRPr="00380B40" w:rsidRDefault="00523689" w:rsidP="00523689">
      <w:pPr>
        <w:rPr>
          <w:lang w:val="en-GB"/>
        </w:rPr>
      </w:pPr>
      <w:r w:rsidRPr="00380B40">
        <w:rPr>
          <w:lang w:val="en-GB"/>
        </w:rPr>
        <w:t>Contribution No. 1 of each Study Group contains the detailed text for each Question assigned to the Study Group by the WTSA. Changes concerning A-series Recommendations and Questions are published via TSB Circulars and available on the ITU website.</w:t>
      </w:r>
    </w:p>
    <w:p w14:paraId="57A6347E" w14:textId="77777777" w:rsidR="00523689" w:rsidRPr="00380B40" w:rsidRDefault="00523689" w:rsidP="00523689">
      <w:pPr>
        <w:pStyle w:val="Heading4"/>
        <w:rPr>
          <w:lang w:val="en-GB"/>
        </w:rPr>
      </w:pPr>
      <w:r w:rsidRPr="00380B40">
        <w:rPr>
          <w:lang w:val="en-GB"/>
        </w:rPr>
        <w:t>1.4.1.2</w:t>
      </w:r>
      <w:r w:rsidRPr="00380B40">
        <w:rPr>
          <w:lang w:val="en-GB"/>
        </w:rPr>
        <w:tab/>
        <w:t>WTSA Resolutions</w:t>
      </w:r>
    </w:p>
    <w:p w14:paraId="1E38BC50" w14:textId="77777777" w:rsidR="00523689" w:rsidRPr="00380B40" w:rsidRDefault="00523689" w:rsidP="00523689">
      <w:pPr>
        <w:rPr>
          <w:lang w:val="en-GB"/>
        </w:rPr>
      </w:pPr>
      <w:r w:rsidRPr="00380B40">
        <w:rPr>
          <w:lang w:val="en-GB"/>
        </w:rPr>
        <w:t xml:space="preserve">The latest set of WTSA Resolutions is available on the ITU website at </w:t>
      </w:r>
      <w:hyperlink r:id="rId423" w:history="1">
        <w:r w:rsidR="00BC053D" w:rsidRPr="00380B40">
          <w:rPr>
            <w:rStyle w:val="Hyperlink"/>
            <w:lang w:val="en-GB"/>
          </w:rPr>
          <w:t>http://itu.int/publ/T-Res/</w:t>
        </w:r>
      </w:hyperlink>
      <w:r w:rsidRPr="00380B40">
        <w:rPr>
          <w:lang w:val="en-GB"/>
        </w:rPr>
        <w:t>. Five Resolutions of particular relevance to ITU-T and ISO/IEC JTC 1 cooperation are listed below.</w:t>
      </w:r>
    </w:p>
    <w:p w14:paraId="019D0A2E" w14:textId="77777777" w:rsidR="00523689" w:rsidRPr="00380B40" w:rsidRDefault="00523689" w:rsidP="00523689">
      <w:pPr>
        <w:pStyle w:val="enumlev1"/>
        <w:tabs>
          <w:tab w:val="left" w:pos="2835"/>
        </w:tabs>
        <w:rPr>
          <w:lang w:val="en-GB"/>
        </w:rPr>
      </w:pPr>
      <w:r w:rsidRPr="00380B40">
        <w:rPr>
          <w:lang w:val="en-GB"/>
        </w:rPr>
        <w:t>–</w:t>
      </w:r>
      <w:r w:rsidRPr="00380B40">
        <w:rPr>
          <w:lang w:val="en-GB"/>
        </w:rPr>
        <w:tab/>
        <w:t xml:space="preserve">Resolution 1, </w:t>
      </w:r>
      <w:r w:rsidRPr="00380B40">
        <w:rPr>
          <w:i/>
          <w:lang w:val="en-GB"/>
        </w:rPr>
        <w:t>Rules of procedure of the ITU Telecommunication Standardization Sector (ITU</w:t>
      </w:r>
      <w:r w:rsidRPr="00380B40">
        <w:rPr>
          <w:i/>
          <w:lang w:val="en-GB"/>
        </w:rPr>
        <w:noBreakHyphen/>
        <w:t>T)</w:t>
      </w:r>
      <w:r w:rsidRPr="00380B40">
        <w:rPr>
          <w:lang w:val="en-GB"/>
        </w:rPr>
        <w:t>.</w:t>
      </w:r>
    </w:p>
    <w:p w14:paraId="009C3446" w14:textId="77777777" w:rsidR="00523689" w:rsidRPr="00380B40" w:rsidRDefault="00523689" w:rsidP="004C4664">
      <w:pPr>
        <w:pStyle w:val="enumlev1"/>
        <w:tabs>
          <w:tab w:val="left" w:pos="2835"/>
        </w:tabs>
        <w:rPr>
          <w:lang w:val="en-GB"/>
        </w:rPr>
      </w:pPr>
      <w:r w:rsidRPr="00380B40">
        <w:rPr>
          <w:lang w:val="en-GB"/>
        </w:rPr>
        <w:t>–</w:t>
      </w:r>
      <w:r w:rsidRPr="00380B40">
        <w:rPr>
          <w:lang w:val="en-GB"/>
        </w:rPr>
        <w:tab/>
        <w:t xml:space="preserve">Resolution 2, </w:t>
      </w:r>
      <w:r w:rsidRPr="00380B40">
        <w:rPr>
          <w:i/>
          <w:lang w:val="en-GB"/>
        </w:rPr>
        <w:t>ITU-T study group responsibility and mandates</w:t>
      </w:r>
      <w:r w:rsidRPr="00380B40">
        <w:rPr>
          <w:lang w:val="en-GB"/>
        </w:rPr>
        <w:t>.</w:t>
      </w:r>
    </w:p>
    <w:p w14:paraId="038DFF55" w14:textId="77777777" w:rsidR="00523689" w:rsidRPr="00380B40" w:rsidRDefault="00523689" w:rsidP="00523689">
      <w:pPr>
        <w:pStyle w:val="enumlev1"/>
        <w:tabs>
          <w:tab w:val="left" w:pos="2835"/>
        </w:tabs>
        <w:rPr>
          <w:lang w:val="en-GB"/>
        </w:rPr>
      </w:pPr>
      <w:r w:rsidRPr="00380B40">
        <w:rPr>
          <w:lang w:val="en-GB"/>
        </w:rPr>
        <w:t>–</w:t>
      </w:r>
      <w:r w:rsidRPr="00380B40">
        <w:rPr>
          <w:lang w:val="en-GB"/>
        </w:rPr>
        <w:tab/>
        <w:t xml:space="preserve">Resolution 7, </w:t>
      </w:r>
      <w:r w:rsidRPr="00380B40">
        <w:rPr>
          <w:i/>
          <w:lang w:val="en-GB"/>
        </w:rPr>
        <w:t>Collaboration with the International Organization for Standardization (ISO) and the International Electrotechnical Commission (IEC)</w:t>
      </w:r>
      <w:r w:rsidRPr="00380B40">
        <w:rPr>
          <w:lang w:val="en-GB"/>
        </w:rPr>
        <w:t>.</w:t>
      </w:r>
    </w:p>
    <w:p w14:paraId="79890AB2" w14:textId="77777777" w:rsidR="00523689" w:rsidRPr="00380B40" w:rsidRDefault="00523689" w:rsidP="004C4664">
      <w:pPr>
        <w:pStyle w:val="enumlev1"/>
        <w:tabs>
          <w:tab w:val="left" w:pos="2835"/>
        </w:tabs>
        <w:rPr>
          <w:lang w:val="en-GB"/>
        </w:rPr>
      </w:pPr>
      <w:r w:rsidRPr="00380B40">
        <w:rPr>
          <w:lang w:val="en-GB"/>
        </w:rPr>
        <w:t>–</w:t>
      </w:r>
      <w:r w:rsidRPr="00380B40">
        <w:rPr>
          <w:lang w:val="en-GB"/>
        </w:rPr>
        <w:tab/>
      </w:r>
      <w:r w:rsidRPr="00380B40">
        <w:rPr>
          <w:i/>
          <w:lang w:val="en-GB"/>
        </w:rPr>
        <w:t>Resolution</w:t>
      </w:r>
      <w:r w:rsidRPr="00380B40">
        <w:rPr>
          <w:lang w:val="en-GB"/>
        </w:rPr>
        <w:t xml:space="preserve"> 22, </w:t>
      </w:r>
      <w:r w:rsidRPr="00380B40">
        <w:rPr>
          <w:i/>
          <w:lang w:val="en-GB"/>
        </w:rPr>
        <w:t>Authorization for TSAG to act between WTSAs</w:t>
      </w:r>
      <w:r w:rsidRPr="00380B40">
        <w:rPr>
          <w:lang w:val="en-GB"/>
        </w:rPr>
        <w:t>.</w:t>
      </w:r>
    </w:p>
    <w:p w14:paraId="196C43AD" w14:textId="77777777" w:rsidR="00523689" w:rsidRPr="00380B40" w:rsidRDefault="00523689" w:rsidP="004C4664">
      <w:pPr>
        <w:pStyle w:val="enumlev1"/>
        <w:tabs>
          <w:tab w:val="left" w:pos="2835"/>
        </w:tabs>
        <w:rPr>
          <w:lang w:val="en-GB"/>
        </w:rPr>
      </w:pPr>
      <w:r w:rsidRPr="00380B40">
        <w:rPr>
          <w:lang w:val="en-GB"/>
        </w:rPr>
        <w:t>–</w:t>
      </w:r>
      <w:r w:rsidRPr="00380B40">
        <w:rPr>
          <w:lang w:val="en-GB"/>
        </w:rPr>
        <w:tab/>
      </w:r>
      <w:r w:rsidRPr="00380B40">
        <w:rPr>
          <w:i/>
          <w:lang w:val="en-GB"/>
        </w:rPr>
        <w:t>Resolution</w:t>
      </w:r>
      <w:r w:rsidRPr="00380B40">
        <w:rPr>
          <w:lang w:val="en-GB"/>
        </w:rPr>
        <w:t xml:space="preserve"> 67, </w:t>
      </w:r>
      <w:r w:rsidRPr="00380B40">
        <w:rPr>
          <w:i/>
          <w:lang w:val="en-GB"/>
        </w:rPr>
        <w:t>Creation of a Standardization Committee for Vocabulary.</w:t>
      </w:r>
    </w:p>
    <w:p w14:paraId="696D0BB4" w14:textId="77777777" w:rsidR="00523689" w:rsidRPr="00380B40" w:rsidRDefault="00523689" w:rsidP="00523689">
      <w:pPr>
        <w:pStyle w:val="Heading4"/>
        <w:rPr>
          <w:lang w:val="en-GB"/>
        </w:rPr>
      </w:pPr>
      <w:r w:rsidRPr="00380B40">
        <w:rPr>
          <w:lang w:val="en-GB"/>
        </w:rPr>
        <w:t>1.4.1.3</w:t>
      </w:r>
      <w:r w:rsidRPr="00380B40">
        <w:rPr>
          <w:lang w:val="en-GB"/>
        </w:rPr>
        <w:tab/>
        <w:t>A-series Recommendations</w:t>
      </w:r>
    </w:p>
    <w:p w14:paraId="1766D9A6" w14:textId="77777777" w:rsidR="00523689" w:rsidRPr="00380B40" w:rsidRDefault="00523689" w:rsidP="00523689">
      <w:pPr>
        <w:rPr>
          <w:lang w:val="en-GB"/>
        </w:rPr>
      </w:pPr>
      <w:r w:rsidRPr="00380B40">
        <w:rPr>
          <w:lang w:val="en-GB"/>
        </w:rPr>
        <w:t xml:space="preserve">A-series Recommendations are adopted by the WTSA or by the Telecommunication Standardization Advisory Group (TSAG) between WTSAs. The latest set is available on the ITU website at </w:t>
      </w:r>
      <w:hyperlink r:id="rId424" w:history="1">
        <w:r w:rsidR="00BC053D" w:rsidRPr="00380B40">
          <w:rPr>
            <w:rStyle w:val="Hyperlink"/>
            <w:lang w:val="en-GB"/>
          </w:rPr>
          <w:t>http://itu.int/rec/T-REC-A</w:t>
        </w:r>
      </w:hyperlink>
      <w:r w:rsidRPr="00380B40">
        <w:rPr>
          <w:lang w:val="en-GB"/>
        </w:rPr>
        <w:t>. Ten A</w:t>
      </w:r>
      <w:r w:rsidRPr="00380B40">
        <w:rPr>
          <w:lang w:val="en-GB"/>
        </w:rPr>
        <w:noBreakHyphen/>
        <w:t>series Recommendations of particular relevance to ITU-T and ISO/IEC JTC 1 cooperation are listed below.</w:t>
      </w:r>
    </w:p>
    <w:p w14:paraId="5FB8864D" w14:textId="77777777" w:rsidR="00523689" w:rsidRPr="00380B40" w:rsidRDefault="00523689" w:rsidP="004C4664">
      <w:pPr>
        <w:pStyle w:val="enumlev1"/>
        <w:tabs>
          <w:tab w:val="left" w:pos="2835"/>
        </w:tabs>
        <w:rPr>
          <w:lang w:val="en-GB"/>
        </w:rPr>
      </w:pPr>
      <w:r w:rsidRPr="00380B40">
        <w:rPr>
          <w:lang w:val="en-GB"/>
        </w:rPr>
        <w:t>–</w:t>
      </w:r>
      <w:r w:rsidRPr="00380B40">
        <w:rPr>
          <w:lang w:val="en-GB"/>
        </w:rPr>
        <w:tab/>
        <w:t xml:space="preserve">Recommendation ITU-T A.1 (latest version), </w:t>
      </w:r>
      <w:r w:rsidRPr="00380B40">
        <w:rPr>
          <w:i/>
          <w:lang w:val="en-GB"/>
        </w:rPr>
        <w:t>Work methods for study groups of the ITU Telecommunication Standardization Sector</w:t>
      </w:r>
      <w:r w:rsidRPr="00380B40">
        <w:rPr>
          <w:lang w:val="en-GB"/>
        </w:rPr>
        <w:t>.</w:t>
      </w:r>
    </w:p>
    <w:p w14:paraId="45051F60" w14:textId="77777777" w:rsidR="00523689" w:rsidRPr="00380B40" w:rsidRDefault="00523689" w:rsidP="004C4664">
      <w:pPr>
        <w:pStyle w:val="enumlev1"/>
        <w:tabs>
          <w:tab w:val="left" w:pos="2835"/>
        </w:tabs>
        <w:rPr>
          <w:lang w:val="en-GB"/>
        </w:rPr>
      </w:pPr>
      <w:r w:rsidRPr="00380B40">
        <w:rPr>
          <w:lang w:val="en-GB"/>
        </w:rPr>
        <w:t>–</w:t>
      </w:r>
      <w:r w:rsidRPr="00380B40">
        <w:rPr>
          <w:lang w:val="en-GB"/>
        </w:rPr>
        <w:tab/>
        <w:t xml:space="preserve">Recommendation ITU-T A.2 (latest version), </w:t>
      </w:r>
      <w:r w:rsidRPr="00380B40">
        <w:rPr>
          <w:i/>
          <w:lang w:val="en-GB"/>
        </w:rPr>
        <w:t>Presentation of contributions to the ITU Telecommunication Standardization Sector</w:t>
      </w:r>
      <w:r w:rsidRPr="00380B40">
        <w:rPr>
          <w:lang w:val="en-GB"/>
        </w:rPr>
        <w:t>.</w:t>
      </w:r>
    </w:p>
    <w:p w14:paraId="709172D3" w14:textId="77777777" w:rsidR="001B4241" w:rsidRPr="00380B40" w:rsidRDefault="001B4241" w:rsidP="004C4664">
      <w:pPr>
        <w:pStyle w:val="enumlev1"/>
        <w:tabs>
          <w:tab w:val="left" w:pos="2835"/>
        </w:tabs>
        <w:rPr>
          <w:lang w:val="en-GB"/>
        </w:rPr>
      </w:pPr>
      <w:r w:rsidRPr="00380B40">
        <w:rPr>
          <w:lang w:val="en-GB"/>
        </w:rPr>
        <w:br w:type="page"/>
      </w:r>
    </w:p>
    <w:p w14:paraId="16EEF766" w14:textId="77777777" w:rsidR="00523689" w:rsidRPr="00380B40" w:rsidRDefault="004C4664" w:rsidP="004C4664">
      <w:pPr>
        <w:pStyle w:val="enumlev1"/>
        <w:tabs>
          <w:tab w:val="left" w:pos="2835"/>
        </w:tabs>
        <w:rPr>
          <w:lang w:val="en-GB"/>
        </w:rPr>
      </w:pPr>
      <w:r w:rsidRPr="00380B40">
        <w:rPr>
          <w:lang w:val="en-GB"/>
        </w:rPr>
        <w:t>–</w:t>
      </w:r>
      <w:r w:rsidRPr="00380B40">
        <w:rPr>
          <w:lang w:val="en-GB"/>
        </w:rPr>
        <w:tab/>
      </w:r>
      <w:r w:rsidR="00523689" w:rsidRPr="00380B40">
        <w:rPr>
          <w:iCs/>
          <w:lang w:val="en-GB"/>
        </w:rPr>
        <w:t xml:space="preserve">Recommendation </w:t>
      </w:r>
      <w:r w:rsidR="00523689" w:rsidRPr="00380B40">
        <w:rPr>
          <w:lang w:val="en-GB"/>
        </w:rPr>
        <w:t xml:space="preserve">ITU-T A.4 (latest version), </w:t>
      </w:r>
      <w:r w:rsidR="00523689" w:rsidRPr="00380B40">
        <w:rPr>
          <w:i/>
          <w:lang w:val="en-GB"/>
        </w:rPr>
        <w:t>Communication process between the ITU Telecommunication Standardization Sector</w:t>
      </w:r>
      <w:r w:rsidR="00523689" w:rsidRPr="00380B40" w:rsidDel="003751DA">
        <w:rPr>
          <w:i/>
          <w:lang w:val="en-GB"/>
        </w:rPr>
        <w:t xml:space="preserve"> </w:t>
      </w:r>
      <w:r w:rsidR="00523689" w:rsidRPr="00380B40">
        <w:rPr>
          <w:i/>
          <w:lang w:val="en-GB"/>
        </w:rPr>
        <w:t>and forums and consortia</w:t>
      </w:r>
      <w:r w:rsidR="00523689" w:rsidRPr="00380B40">
        <w:rPr>
          <w:lang w:val="en-GB"/>
        </w:rPr>
        <w:t>.</w:t>
      </w:r>
    </w:p>
    <w:p w14:paraId="6895C983" w14:textId="77777777" w:rsidR="00523689" w:rsidRPr="00380B40" w:rsidRDefault="004C4664" w:rsidP="004C4664">
      <w:pPr>
        <w:pStyle w:val="enumlev1"/>
        <w:tabs>
          <w:tab w:val="left" w:pos="2835"/>
        </w:tabs>
        <w:rPr>
          <w:lang w:val="en-GB"/>
        </w:rPr>
      </w:pPr>
      <w:r w:rsidRPr="00380B40">
        <w:rPr>
          <w:lang w:val="en-GB"/>
        </w:rPr>
        <w:t>–</w:t>
      </w:r>
      <w:r w:rsidRPr="00380B40">
        <w:rPr>
          <w:lang w:val="en-GB"/>
        </w:rPr>
        <w:tab/>
      </w:r>
      <w:r w:rsidR="00523689" w:rsidRPr="00380B40">
        <w:rPr>
          <w:lang w:val="en-GB"/>
        </w:rPr>
        <w:t xml:space="preserve">Recommendation ITU-T A.5 (latest version), </w:t>
      </w:r>
      <w:r w:rsidR="00523689" w:rsidRPr="00380B40">
        <w:rPr>
          <w:i/>
          <w:lang w:val="en-GB"/>
        </w:rPr>
        <w:t>Generic procedures for including references to documents of other organizations in ITU-T Recommendations</w:t>
      </w:r>
      <w:r w:rsidR="00523689" w:rsidRPr="00380B40">
        <w:rPr>
          <w:iCs/>
          <w:lang w:val="en-GB"/>
        </w:rPr>
        <w:t>.</w:t>
      </w:r>
    </w:p>
    <w:p w14:paraId="55608F0A" w14:textId="77777777" w:rsidR="00523689" w:rsidRPr="00380B40" w:rsidRDefault="004C4664" w:rsidP="004C4664">
      <w:pPr>
        <w:pStyle w:val="enumlev1"/>
        <w:tabs>
          <w:tab w:val="left" w:pos="2835"/>
        </w:tabs>
        <w:rPr>
          <w:lang w:val="en-GB"/>
        </w:rPr>
      </w:pPr>
      <w:r w:rsidRPr="00380B40">
        <w:rPr>
          <w:lang w:val="en-GB"/>
        </w:rPr>
        <w:t>–</w:t>
      </w:r>
      <w:r w:rsidRPr="00380B40">
        <w:rPr>
          <w:lang w:val="en-GB"/>
        </w:rPr>
        <w:tab/>
      </w:r>
      <w:r w:rsidR="00523689" w:rsidRPr="00380B40">
        <w:rPr>
          <w:lang w:val="en-GB"/>
        </w:rPr>
        <w:t xml:space="preserve">Recommendation ITU-T A.6 (latest version), </w:t>
      </w:r>
      <w:r w:rsidR="00523689" w:rsidRPr="00380B40">
        <w:rPr>
          <w:i/>
          <w:lang w:val="en-GB"/>
        </w:rPr>
        <w:t>Cooperation and exchange of information between the ITU Telecommunication Standardization Sector and national and regional standards development organizations</w:t>
      </w:r>
      <w:r w:rsidR="00523689" w:rsidRPr="00380B40">
        <w:rPr>
          <w:iCs/>
          <w:lang w:val="en-GB"/>
        </w:rPr>
        <w:t>.</w:t>
      </w:r>
    </w:p>
    <w:p w14:paraId="745C5469" w14:textId="77777777" w:rsidR="00523689" w:rsidRPr="00380B40" w:rsidRDefault="004C4664" w:rsidP="004C4664">
      <w:pPr>
        <w:pStyle w:val="enumlev1"/>
        <w:tabs>
          <w:tab w:val="left" w:pos="2835"/>
        </w:tabs>
        <w:rPr>
          <w:lang w:val="en-GB"/>
        </w:rPr>
      </w:pPr>
      <w:r w:rsidRPr="00380B40">
        <w:rPr>
          <w:lang w:val="en-GB"/>
        </w:rPr>
        <w:t>–</w:t>
      </w:r>
      <w:r w:rsidRPr="00380B40">
        <w:rPr>
          <w:lang w:val="en-GB"/>
        </w:rPr>
        <w:tab/>
      </w:r>
      <w:r w:rsidR="00523689" w:rsidRPr="00380B40">
        <w:rPr>
          <w:lang w:val="en-GB"/>
        </w:rPr>
        <w:t xml:space="preserve">Recommendation ITU-T A.8 (latest version), </w:t>
      </w:r>
      <w:r w:rsidR="00523689" w:rsidRPr="00380B40">
        <w:rPr>
          <w:i/>
          <w:lang w:val="en-GB"/>
        </w:rPr>
        <w:t>Alternative approval process for new and revised ITU-T Recommendations</w:t>
      </w:r>
      <w:r w:rsidR="00523689" w:rsidRPr="00380B40">
        <w:rPr>
          <w:iCs/>
          <w:lang w:val="en-GB"/>
        </w:rPr>
        <w:t>.</w:t>
      </w:r>
    </w:p>
    <w:p w14:paraId="151F41EC" w14:textId="77777777" w:rsidR="00523689" w:rsidRPr="00380B40" w:rsidRDefault="004C4664" w:rsidP="004C4664">
      <w:pPr>
        <w:pStyle w:val="enumlev1"/>
        <w:tabs>
          <w:tab w:val="left" w:pos="2835"/>
        </w:tabs>
        <w:rPr>
          <w:lang w:val="en-GB"/>
        </w:rPr>
      </w:pPr>
      <w:r w:rsidRPr="00380B40">
        <w:rPr>
          <w:lang w:val="en-GB"/>
        </w:rPr>
        <w:t>–</w:t>
      </w:r>
      <w:r w:rsidRPr="00380B40">
        <w:rPr>
          <w:lang w:val="en-GB"/>
        </w:rPr>
        <w:tab/>
      </w:r>
      <w:r w:rsidR="00523689" w:rsidRPr="00380B40">
        <w:rPr>
          <w:lang w:val="en-GB"/>
        </w:rPr>
        <w:t xml:space="preserve">Recommendation ITU-T A.11 (latest version), </w:t>
      </w:r>
      <w:r w:rsidR="00523689" w:rsidRPr="00380B40">
        <w:rPr>
          <w:i/>
          <w:lang w:val="en-GB"/>
        </w:rPr>
        <w:t>Publication of ITU-T Recommendations and World Telecommunication Standardization Assembly</w:t>
      </w:r>
      <w:r w:rsidR="00523689" w:rsidRPr="00380B40" w:rsidDel="007C0D9D">
        <w:rPr>
          <w:i/>
          <w:lang w:val="en-GB"/>
        </w:rPr>
        <w:t xml:space="preserve"> </w:t>
      </w:r>
      <w:r w:rsidR="00523689" w:rsidRPr="00380B40">
        <w:rPr>
          <w:i/>
          <w:lang w:val="en-GB"/>
        </w:rPr>
        <w:t>proceedings</w:t>
      </w:r>
      <w:r w:rsidR="00523689" w:rsidRPr="00380B40">
        <w:rPr>
          <w:lang w:val="en-GB"/>
        </w:rPr>
        <w:t>.</w:t>
      </w:r>
    </w:p>
    <w:p w14:paraId="6B30C549" w14:textId="77777777" w:rsidR="00523689" w:rsidRPr="00380B40" w:rsidRDefault="004C4664" w:rsidP="004C4664">
      <w:pPr>
        <w:pStyle w:val="enumlev1"/>
        <w:tabs>
          <w:tab w:val="left" w:pos="2835"/>
        </w:tabs>
        <w:rPr>
          <w:lang w:val="en-GB"/>
        </w:rPr>
      </w:pPr>
      <w:r w:rsidRPr="00380B40">
        <w:rPr>
          <w:lang w:val="en-GB"/>
        </w:rPr>
        <w:t>–</w:t>
      </w:r>
      <w:r w:rsidRPr="00380B40">
        <w:rPr>
          <w:lang w:val="en-GB"/>
        </w:rPr>
        <w:tab/>
      </w:r>
      <w:r w:rsidR="00523689" w:rsidRPr="00380B40">
        <w:rPr>
          <w:lang w:val="en-GB"/>
        </w:rPr>
        <w:t xml:space="preserve">Recommendation ITU-T A.12 (latest version), </w:t>
      </w:r>
      <w:r w:rsidR="00523689" w:rsidRPr="00380B40">
        <w:rPr>
          <w:i/>
          <w:lang w:val="en-GB"/>
        </w:rPr>
        <w:t>Identification and layout of ITU-T Recommendations</w:t>
      </w:r>
      <w:r w:rsidR="00523689" w:rsidRPr="00380B40">
        <w:rPr>
          <w:lang w:val="en-GB"/>
        </w:rPr>
        <w:t>.</w:t>
      </w:r>
    </w:p>
    <w:p w14:paraId="490D7775" w14:textId="77777777" w:rsidR="00523689" w:rsidRPr="00380B40" w:rsidRDefault="004C4664" w:rsidP="004C4664">
      <w:pPr>
        <w:pStyle w:val="enumlev1"/>
        <w:tabs>
          <w:tab w:val="left" w:pos="2835"/>
        </w:tabs>
        <w:rPr>
          <w:lang w:val="en-GB"/>
        </w:rPr>
      </w:pPr>
      <w:r w:rsidRPr="00380B40">
        <w:rPr>
          <w:lang w:val="en-GB"/>
        </w:rPr>
        <w:t>–</w:t>
      </w:r>
      <w:r w:rsidRPr="00380B40">
        <w:rPr>
          <w:lang w:val="en-GB"/>
        </w:rPr>
        <w:tab/>
      </w:r>
      <w:r w:rsidR="00523689" w:rsidRPr="00380B40">
        <w:rPr>
          <w:lang w:val="en-GB"/>
        </w:rPr>
        <w:t xml:space="preserve">Recommendation ITU-T A.13 (latest version), </w:t>
      </w:r>
      <w:r w:rsidR="00523689" w:rsidRPr="00380B40">
        <w:rPr>
          <w:i/>
          <w:lang w:val="en-GB"/>
        </w:rPr>
        <w:t>Supplements to ITU-T Recommendations</w:t>
      </w:r>
      <w:r w:rsidR="00523689" w:rsidRPr="00380B40">
        <w:rPr>
          <w:iCs/>
          <w:lang w:val="en-GB"/>
        </w:rPr>
        <w:t>.</w:t>
      </w:r>
    </w:p>
    <w:p w14:paraId="24AC99C0" w14:textId="77777777" w:rsidR="00523689" w:rsidRPr="00380B40" w:rsidRDefault="00523689" w:rsidP="004C4664">
      <w:pPr>
        <w:pStyle w:val="enumlev1"/>
        <w:tabs>
          <w:tab w:val="left" w:pos="2835"/>
        </w:tabs>
        <w:rPr>
          <w:lang w:val="en-GB"/>
        </w:rPr>
      </w:pPr>
      <w:r w:rsidRPr="00380B40">
        <w:rPr>
          <w:lang w:val="en-GB"/>
        </w:rPr>
        <w:t>–</w:t>
      </w:r>
      <w:r w:rsidRPr="00380B40">
        <w:rPr>
          <w:lang w:val="en-GB"/>
        </w:rPr>
        <w:tab/>
        <w:t xml:space="preserve">Recommendation ITU-T A.23 (latest version), </w:t>
      </w:r>
      <w:r w:rsidRPr="00380B40">
        <w:rPr>
          <w:i/>
          <w:lang w:val="en-GB"/>
        </w:rPr>
        <w:t>Collaboration with the International Organization for Standardization (ISO) and the International Electrotechnical Commission (IEC) on information technology</w:t>
      </w:r>
      <w:r w:rsidRPr="00380B40">
        <w:rPr>
          <w:lang w:val="en-GB"/>
        </w:rPr>
        <w:t>.</w:t>
      </w:r>
    </w:p>
    <w:p w14:paraId="0C9310DA" w14:textId="77777777" w:rsidR="00523689" w:rsidRPr="00380B40" w:rsidRDefault="00523689" w:rsidP="00523689">
      <w:pPr>
        <w:pStyle w:val="Heading3"/>
        <w:rPr>
          <w:lang w:val="en-GB"/>
        </w:rPr>
      </w:pPr>
      <w:bookmarkStart w:id="1309" w:name="_Toc3708699"/>
      <w:bookmarkStart w:id="1310" w:name="_Toc229895848"/>
      <w:bookmarkStart w:id="1311" w:name="_Toc229896150"/>
      <w:bookmarkStart w:id="1312" w:name="_Toc111636965"/>
      <w:r w:rsidRPr="00380B40">
        <w:rPr>
          <w:lang w:val="en-GB"/>
        </w:rPr>
        <w:t>1.4.2</w:t>
      </w:r>
      <w:r w:rsidRPr="00380B40">
        <w:rPr>
          <w:lang w:val="en-GB"/>
        </w:rPr>
        <w:tab/>
        <w:t>ISO/IEC references</w:t>
      </w:r>
      <w:bookmarkEnd w:id="1309"/>
      <w:bookmarkEnd w:id="1310"/>
      <w:bookmarkEnd w:id="1311"/>
      <w:bookmarkEnd w:id="1312"/>
    </w:p>
    <w:p w14:paraId="00FA3438" w14:textId="77777777" w:rsidR="00523689" w:rsidRPr="00380B40" w:rsidRDefault="00523689" w:rsidP="00523689">
      <w:pPr>
        <w:pStyle w:val="Heading4"/>
        <w:rPr>
          <w:lang w:val="en-GB"/>
        </w:rPr>
      </w:pPr>
      <w:r w:rsidRPr="00380B40">
        <w:rPr>
          <w:lang w:val="en-GB"/>
        </w:rPr>
        <w:t>1.4.2.1</w:t>
      </w:r>
      <w:r w:rsidRPr="00380B40">
        <w:rPr>
          <w:lang w:val="en-GB"/>
        </w:rPr>
        <w:tab/>
        <w:t>General</w:t>
      </w:r>
    </w:p>
    <w:p w14:paraId="19B20497" w14:textId="77777777" w:rsidR="00523689" w:rsidRPr="00380B40" w:rsidRDefault="00523689" w:rsidP="00523689">
      <w:pPr>
        <w:rPr>
          <w:lang w:val="en-GB"/>
        </w:rPr>
      </w:pPr>
      <w:r w:rsidRPr="00380B40">
        <w:rPr>
          <w:lang w:val="en-GB"/>
        </w:rPr>
        <w:t xml:space="preserve">Most information about the ISO can be found on its website at </w:t>
      </w:r>
      <w:hyperlink r:id="rId425" w:history="1">
        <w:r w:rsidR="00BC053D" w:rsidRPr="00380B40">
          <w:rPr>
            <w:rStyle w:val="Hyperlink"/>
            <w:lang w:val="en-GB"/>
          </w:rPr>
          <w:t>http://iso.org</w:t>
        </w:r>
      </w:hyperlink>
      <w:r w:rsidRPr="00380B40">
        <w:rPr>
          <w:lang w:val="en-GB"/>
        </w:rPr>
        <w:t xml:space="preserve">. Similarly, most information about the IEC can be found on its website at </w:t>
      </w:r>
      <w:hyperlink r:id="rId426" w:history="1">
        <w:r w:rsidR="00BC053D" w:rsidRPr="00380B40">
          <w:rPr>
            <w:rStyle w:val="Hyperlink"/>
            <w:lang w:val="en-GB"/>
          </w:rPr>
          <w:t>http://iec.ch</w:t>
        </w:r>
      </w:hyperlink>
      <w:r w:rsidRPr="00380B40">
        <w:rPr>
          <w:lang w:val="en-GB"/>
        </w:rPr>
        <w:t>. This information includes:</w:t>
      </w:r>
    </w:p>
    <w:p w14:paraId="5D66C9D4" w14:textId="77777777" w:rsidR="00523689" w:rsidRPr="00380B40" w:rsidRDefault="00523689" w:rsidP="00523689">
      <w:pPr>
        <w:pStyle w:val="enumlev1"/>
        <w:rPr>
          <w:lang w:val="en-GB"/>
        </w:rPr>
      </w:pPr>
      <w:r w:rsidRPr="00380B40">
        <w:rPr>
          <w:lang w:val="en-GB"/>
        </w:rPr>
        <w:t>–</w:t>
      </w:r>
      <w:r w:rsidRPr="00380B40">
        <w:rPr>
          <w:lang w:val="en-GB"/>
        </w:rPr>
        <w:tab/>
        <w:t>Catalogue of IEC Publications [This online publication lists all IEC standards issued as of the first day of the year]</w:t>
      </w:r>
    </w:p>
    <w:p w14:paraId="4B59BF77" w14:textId="77777777" w:rsidR="00523689" w:rsidRPr="00380B40" w:rsidRDefault="00523689" w:rsidP="00523689">
      <w:pPr>
        <w:pStyle w:val="enumlev1"/>
        <w:rPr>
          <w:lang w:val="en-GB"/>
        </w:rPr>
      </w:pPr>
      <w:r w:rsidRPr="00380B40">
        <w:rPr>
          <w:lang w:val="en-GB"/>
        </w:rPr>
        <w:t>–</w:t>
      </w:r>
      <w:r w:rsidRPr="00380B40">
        <w:rPr>
          <w:lang w:val="en-GB"/>
        </w:rPr>
        <w:tab/>
        <w:t>IEC Yearbook [This annual publication lists all the Technical Committees and Subcommittees of IEC and, for each, lists the subjects under consideration and the publications prepared]</w:t>
      </w:r>
    </w:p>
    <w:p w14:paraId="4D131A89" w14:textId="77777777" w:rsidR="00523689" w:rsidRPr="00380B40" w:rsidRDefault="00523689" w:rsidP="00523689">
      <w:pPr>
        <w:pStyle w:val="enumlev1"/>
        <w:rPr>
          <w:lang w:val="en-GB"/>
        </w:rPr>
      </w:pPr>
      <w:r w:rsidRPr="00380B40">
        <w:rPr>
          <w:lang w:val="en-GB"/>
        </w:rPr>
        <w:t>–</w:t>
      </w:r>
      <w:r w:rsidRPr="00380B40">
        <w:rPr>
          <w:lang w:val="en-GB"/>
        </w:rPr>
        <w:tab/>
        <w:t>ISO Catalogue [This online publication lists all published International Standards and Technical Reports of ISO]</w:t>
      </w:r>
    </w:p>
    <w:p w14:paraId="70EDDF98" w14:textId="77777777" w:rsidR="00523689" w:rsidRPr="00380B40" w:rsidRDefault="00523689" w:rsidP="00523689">
      <w:pPr>
        <w:pStyle w:val="enumlev1"/>
        <w:rPr>
          <w:lang w:val="en-GB"/>
        </w:rPr>
      </w:pPr>
      <w:r w:rsidRPr="00380B40">
        <w:rPr>
          <w:lang w:val="en-GB"/>
        </w:rPr>
        <w:t>–</w:t>
      </w:r>
      <w:r w:rsidRPr="00380B40">
        <w:rPr>
          <w:lang w:val="en-GB"/>
        </w:rPr>
        <w:tab/>
        <w:t>ISO Memento [This annual publication lists all the Technical Committees of ISO and gives their scope and committee structure]</w:t>
      </w:r>
    </w:p>
    <w:p w14:paraId="70A7C4A6" w14:textId="77777777" w:rsidR="00523689" w:rsidRPr="00380B40" w:rsidRDefault="00523689" w:rsidP="00523689">
      <w:pPr>
        <w:pStyle w:val="enumlev1"/>
        <w:rPr>
          <w:lang w:val="en-GB"/>
        </w:rPr>
      </w:pPr>
      <w:r w:rsidRPr="00380B40">
        <w:rPr>
          <w:lang w:val="en-GB"/>
        </w:rPr>
        <w:t>–</w:t>
      </w:r>
      <w:r w:rsidRPr="00380B40">
        <w:rPr>
          <w:lang w:val="en-GB"/>
        </w:rPr>
        <w:tab/>
        <w:t>ISO Technical Programme [This semi-annual publication lists the status of all documents that have reached the balloting stage (e.g., CD, DAM, DIS, DTR)]</w:t>
      </w:r>
    </w:p>
    <w:p w14:paraId="6F300D03" w14:textId="77777777" w:rsidR="001B4241" w:rsidRPr="00380B40" w:rsidRDefault="001B4241" w:rsidP="00523689">
      <w:pPr>
        <w:pStyle w:val="enumlev1"/>
        <w:rPr>
          <w:lang w:val="en-GB"/>
        </w:rPr>
      </w:pPr>
      <w:r w:rsidRPr="00380B40">
        <w:rPr>
          <w:lang w:val="en-GB"/>
        </w:rPr>
        <w:br w:type="page"/>
      </w:r>
    </w:p>
    <w:p w14:paraId="21701DE8" w14:textId="77777777" w:rsidR="00523689" w:rsidRPr="00380B40" w:rsidRDefault="00523689" w:rsidP="00523689">
      <w:pPr>
        <w:pStyle w:val="enumlev1"/>
        <w:rPr>
          <w:lang w:val="en-GB"/>
        </w:rPr>
      </w:pPr>
      <w:r w:rsidRPr="00380B40">
        <w:rPr>
          <w:lang w:val="en-GB"/>
        </w:rPr>
        <w:t>–</w:t>
      </w:r>
      <w:r w:rsidRPr="00380B40">
        <w:rPr>
          <w:lang w:val="en-GB"/>
        </w:rPr>
        <w:tab/>
        <w:t>ISO/IEC Directives – Part 1:2013, Procedures for the technical work</w:t>
      </w:r>
    </w:p>
    <w:p w14:paraId="653823D2" w14:textId="77777777" w:rsidR="00523689" w:rsidRPr="00380B40" w:rsidRDefault="00523689" w:rsidP="00523689">
      <w:pPr>
        <w:pStyle w:val="enumlev1"/>
        <w:rPr>
          <w:lang w:val="en-GB"/>
        </w:rPr>
      </w:pPr>
      <w:r w:rsidRPr="00380B40">
        <w:rPr>
          <w:lang w:val="en-GB"/>
        </w:rPr>
        <w:t>–</w:t>
      </w:r>
      <w:r w:rsidRPr="00380B40">
        <w:rPr>
          <w:lang w:val="en-GB"/>
        </w:rPr>
        <w:tab/>
        <w:t>ISO/IEC Directives – Part 2:2011, Rules for the structure and drafting of International Standards</w:t>
      </w:r>
    </w:p>
    <w:p w14:paraId="35C327A0" w14:textId="77777777" w:rsidR="00523689" w:rsidRPr="00380B40" w:rsidRDefault="00523689" w:rsidP="00523689">
      <w:pPr>
        <w:pStyle w:val="enumlev1"/>
        <w:rPr>
          <w:lang w:val="en-GB"/>
        </w:rPr>
      </w:pPr>
      <w:r w:rsidRPr="00380B40">
        <w:rPr>
          <w:lang w:val="en-GB"/>
        </w:rPr>
        <w:t>–</w:t>
      </w:r>
      <w:r w:rsidRPr="00380B40">
        <w:rPr>
          <w:lang w:val="en-GB"/>
        </w:rPr>
        <w:tab/>
        <w:t>ISO/IEC Directives – Consolidated JTC 1 Supplement:2014</w:t>
      </w:r>
    </w:p>
    <w:p w14:paraId="1AD3F407" w14:textId="77777777" w:rsidR="00523689" w:rsidRPr="00380B40" w:rsidRDefault="00523689" w:rsidP="00523689">
      <w:pPr>
        <w:pStyle w:val="enumlev1"/>
        <w:rPr>
          <w:lang w:val="en-GB"/>
        </w:rPr>
      </w:pPr>
      <w:r w:rsidRPr="00380B40">
        <w:rPr>
          <w:lang w:val="en-GB"/>
        </w:rPr>
        <w:t>–</w:t>
      </w:r>
      <w:r w:rsidRPr="00380B40">
        <w:rPr>
          <w:lang w:val="en-GB"/>
        </w:rPr>
        <w:tab/>
        <w:t>JTC 1 Standing Documents 2013</w:t>
      </w:r>
    </w:p>
    <w:p w14:paraId="50456E49" w14:textId="77777777" w:rsidR="00523689" w:rsidRPr="00380B40" w:rsidRDefault="00523689" w:rsidP="00523689">
      <w:pPr>
        <w:pStyle w:val="Heading4"/>
        <w:rPr>
          <w:lang w:val="en-GB"/>
        </w:rPr>
      </w:pPr>
      <w:r w:rsidRPr="00380B40">
        <w:rPr>
          <w:lang w:val="en-GB"/>
        </w:rPr>
        <w:t>1.4.2.2</w:t>
      </w:r>
      <w:r w:rsidRPr="00380B40">
        <w:rPr>
          <w:lang w:val="en-GB"/>
        </w:rPr>
        <w:tab/>
        <w:t>JTC 1</w:t>
      </w:r>
    </w:p>
    <w:p w14:paraId="12A4B3C6" w14:textId="77777777" w:rsidR="00523689" w:rsidRPr="00380B40" w:rsidRDefault="00523689" w:rsidP="00523689">
      <w:pPr>
        <w:rPr>
          <w:lang w:val="en-GB"/>
        </w:rPr>
      </w:pPr>
      <w:r w:rsidRPr="00380B40">
        <w:rPr>
          <w:lang w:val="en-GB"/>
        </w:rPr>
        <w:t xml:space="preserve">Most information about ISO/IEC JTC 1 can be found on its site at </w:t>
      </w:r>
      <w:hyperlink r:id="rId427" w:history="1">
        <w:r w:rsidR="00BC053D" w:rsidRPr="00380B40">
          <w:rPr>
            <w:rStyle w:val="Hyperlink"/>
            <w:lang w:val="en-GB"/>
          </w:rPr>
          <w:t>http://jtc1.org</w:t>
        </w:r>
      </w:hyperlink>
      <w:r w:rsidRPr="00380B40">
        <w:rPr>
          <w:lang w:val="en-GB"/>
        </w:rPr>
        <w:t>. The key document setting forth the specific procedures for JTC 1 is the ISO/IEC Directives – Consolidated JTC 1 Supplement "Procedures Specific to JTC 1".</w:t>
      </w:r>
    </w:p>
    <w:p w14:paraId="539170D2" w14:textId="77777777" w:rsidR="00523689" w:rsidRPr="00380B40" w:rsidRDefault="00523689" w:rsidP="00523689">
      <w:pPr>
        <w:pStyle w:val="Heading4"/>
        <w:ind w:left="1191" w:hanging="1191"/>
        <w:rPr>
          <w:lang w:val="en-GB"/>
        </w:rPr>
      </w:pPr>
      <w:r w:rsidRPr="00380B40">
        <w:rPr>
          <w:lang w:val="en-GB"/>
        </w:rPr>
        <w:t>1.4.2.3</w:t>
      </w:r>
      <w:r w:rsidRPr="00380B40">
        <w:rPr>
          <w:lang w:val="en-GB"/>
        </w:rPr>
        <w:tab/>
        <w:t>Subcommittees of JTC 1</w:t>
      </w:r>
    </w:p>
    <w:p w14:paraId="0DA2037B" w14:textId="77777777" w:rsidR="00523689" w:rsidRPr="00380B40" w:rsidRDefault="00523689" w:rsidP="00523689">
      <w:pPr>
        <w:rPr>
          <w:lang w:val="en-GB"/>
        </w:rPr>
      </w:pPr>
      <w:r w:rsidRPr="00380B40">
        <w:rPr>
          <w:lang w:val="en-GB"/>
        </w:rPr>
        <w:t>Subcommittees of JTC 1 maintain their respective websites, linked from the JTC 1 site. Prior to each JTC 1 plenary, SC Chairmen prepare the Subcommittee Business Plans, including a management summary, a period review and the priorities for the next period.</w:t>
      </w:r>
    </w:p>
    <w:p w14:paraId="1B6C3B56" w14:textId="77777777" w:rsidR="00523689" w:rsidRPr="00380B40" w:rsidRDefault="00523689" w:rsidP="00523689">
      <w:pPr>
        <w:pStyle w:val="Heading2"/>
        <w:rPr>
          <w:lang w:val="en-GB"/>
        </w:rPr>
      </w:pPr>
      <w:bookmarkStart w:id="1313" w:name="_Toc382734818"/>
      <w:bookmarkStart w:id="1314" w:name="_Toc3708700"/>
      <w:bookmarkStart w:id="1315" w:name="_Toc229895849"/>
      <w:bookmarkStart w:id="1316" w:name="_Toc229896151"/>
      <w:bookmarkStart w:id="1317" w:name="_Toc398284226"/>
      <w:bookmarkStart w:id="1318" w:name="_Toc401035445"/>
      <w:bookmarkStart w:id="1319" w:name="_Toc401312699"/>
      <w:bookmarkStart w:id="1320" w:name="_Toc401313055"/>
      <w:bookmarkStart w:id="1321" w:name="_Toc111636966"/>
      <w:r w:rsidRPr="00380B40">
        <w:rPr>
          <w:lang w:val="en-GB"/>
        </w:rPr>
        <w:t>1.5</w:t>
      </w:r>
      <w:r w:rsidRPr="00380B40">
        <w:rPr>
          <w:lang w:val="en-GB"/>
        </w:rPr>
        <w:tab/>
        <w:t>Definitions</w:t>
      </w:r>
      <w:bookmarkEnd w:id="1313"/>
      <w:bookmarkEnd w:id="1314"/>
      <w:bookmarkEnd w:id="1315"/>
      <w:bookmarkEnd w:id="1316"/>
      <w:bookmarkEnd w:id="1317"/>
      <w:bookmarkEnd w:id="1318"/>
      <w:bookmarkEnd w:id="1319"/>
      <w:bookmarkEnd w:id="1320"/>
      <w:bookmarkEnd w:id="1321"/>
    </w:p>
    <w:p w14:paraId="222D07D1" w14:textId="77777777" w:rsidR="00523689" w:rsidRPr="00380B40" w:rsidRDefault="00523689" w:rsidP="00523689">
      <w:pPr>
        <w:pStyle w:val="Heading3"/>
        <w:ind w:left="0" w:firstLine="0"/>
        <w:rPr>
          <w:lang w:val="en-GB"/>
        </w:rPr>
      </w:pPr>
      <w:bookmarkStart w:id="1322" w:name="_Toc3708701"/>
      <w:bookmarkStart w:id="1323" w:name="_Toc229895850"/>
      <w:bookmarkStart w:id="1324" w:name="_Toc229896152"/>
      <w:bookmarkStart w:id="1325" w:name="_Toc111636967"/>
      <w:r w:rsidRPr="00380B40">
        <w:rPr>
          <w:lang w:val="en-GB"/>
        </w:rPr>
        <w:t>1.5.1</w:t>
      </w:r>
      <w:r w:rsidRPr="00380B40">
        <w:rPr>
          <w:lang w:val="en-GB"/>
        </w:rPr>
        <w:tab/>
        <w:t>ITU-T definitions</w:t>
      </w:r>
      <w:bookmarkEnd w:id="1322"/>
      <w:bookmarkEnd w:id="1323"/>
      <w:bookmarkEnd w:id="1324"/>
      <w:bookmarkEnd w:id="1325"/>
    </w:p>
    <w:p w14:paraId="3491B1E5" w14:textId="77777777" w:rsidR="00523689" w:rsidRPr="00380B40" w:rsidRDefault="0026281C" w:rsidP="0026281C">
      <w:pPr>
        <w:tabs>
          <w:tab w:val="clear" w:pos="794"/>
          <w:tab w:val="left" w:pos="795"/>
        </w:tabs>
        <w:spacing w:before="136" w:line="240" w:lineRule="auto"/>
        <w:rPr>
          <w:b/>
          <w:lang w:val="en-GB"/>
        </w:rPr>
      </w:pPr>
      <w:r w:rsidRPr="00380B40">
        <w:rPr>
          <w:b/>
          <w:lang w:val="en-GB"/>
        </w:rPr>
        <w:t>1.5.1.1</w:t>
      </w:r>
      <w:r w:rsidRPr="00380B40">
        <w:rPr>
          <w:b/>
          <w:lang w:val="en-GB"/>
        </w:rPr>
        <w:tab/>
      </w:r>
      <w:r w:rsidR="00523689" w:rsidRPr="00380B40">
        <w:rPr>
          <w:b/>
          <w:lang w:val="en-GB"/>
        </w:rPr>
        <w:t>Additional Review</w:t>
      </w:r>
      <w:r w:rsidR="00523689" w:rsidRPr="00380B40">
        <w:rPr>
          <w:bCs/>
          <w:lang w:val="en-GB"/>
        </w:rPr>
        <w:t>:</w:t>
      </w:r>
      <w:r w:rsidR="00523689" w:rsidRPr="00380B40">
        <w:rPr>
          <w:b/>
          <w:lang w:val="en-GB"/>
        </w:rPr>
        <w:t> </w:t>
      </w:r>
      <w:r w:rsidR="00523689" w:rsidRPr="00380B40">
        <w:rPr>
          <w:lang w:val="en-GB"/>
        </w:rPr>
        <w:t>A 3-week period in the Alternative Approval Process where Member States and Sector Members review the text of a Recommendation put for approval and can submit comments.</w:t>
      </w:r>
    </w:p>
    <w:p w14:paraId="54627748" w14:textId="77777777" w:rsidR="00523689" w:rsidRPr="00380B40" w:rsidRDefault="0026281C" w:rsidP="0026281C">
      <w:pPr>
        <w:tabs>
          <w:tab w:val="clear" w:pos="794"/>
          <w:tab w:val="left" w:pos="795"/>
        </w:tabs>
        <w:spacing w:before="136" w:line="240" w:lineRule="auto"/>
        <w:rPr>
          <w:lang w:val="en-GB"/>
        </w:rPr>
      </w:pPr>
      <w:r w:rsidRPr="00380B40">
        <w:rPr>
          <w:b/>
          <w:lang w:val="en-GB"/>
        </w:rPr>
        <w:t>1.5.1.2</w:t>
      </w:r>
      <w:r w:rsidRPr="00380B40">
        <w:rPr>
          <w:b/>
          <w:lang w:val="en-GB"/>
        </w:rPr>
        <w:tab/>
      </w:r>
      <w:r w:rsidR="00523689" w:rsidRPr="00380B40">
        <w:rPr>
          <w:b/>
          <w:lang w:val="en-GB"/>
        </w:rPr>
        <w:t>Alternative Approval Process (AAP)</w:t>
      </w:r>
      <w:r w:rsidR="00523689" w:rsidRPr="00380B40">
        <w:rPr>
          <w:bCs/>
          <w:lang w:val="en-GB"/>
        </w:rPr>
        <w:t>: </w:t>
      </w:r>
      <w:r w:rsidR="00523689" w:rsidRPr="00380B40">
        <w:rPr>
          <w:lang w:val="en-GB"/>
        </w:rPr>
        <w:t>The procedure for approval of Recommendations that do not have regulatory or policy implications.</w:t>
      </w:r>
    </w:p>
    <w:p w14:paraId="6086DDDF" w14:textId="77777777" w:rsidR="00523689" w:rsidRPr="00380B40" w:rsidRDefault="0026281C" w:rsidP="0026281C">
      <w:pPr>
        <w:tabs>
          <w:tab w:val="clear" w:pos="794"/>
          <w:tab w:val="left" w:pos="795"/>
        </w:tabs>
        <w:spacing w:before="136" w:line="240" w:lineRule="auto"/>
        <w:rPr>
          <w:lang w:val="en-GB"/>
        </w:rPr>
      </w:pPr>
      <w:r w:rsidRPr="00380B40">
        <w:rPr>
          <w:b/>
          <w:lang w:val="en-GB"/>
        </w:rPr>
        <w:t>1.5.1.3</w:t>
      </w:r>
      <w:r w:rsidRPr="00380B40">
        <w:rPr>
          <w:b/>
          <w:lang w:val="en-GB"/>
        </w:rPr>
        <w:tab/>
      </w:r>
      <w:r w:rsidR="00523689" w:rsidRPr="00380B40">
        <w:rPr>
          <w:b/>
          <w:lang w:val="en-GB"/>
        </w:rPr>
        <w:t>Consent</w:t>
      </w:r>
      <w:r w:rsidR="00523689" w:rsidRPr="00380B40">
        <w:rPr>
          <w:bCs/>
          <w:lang w:val="en-GB"/>
        </w:rPr>
        <w:t>:</w:t>
      </w:r>
      <w:r w:rsidR="00523689" w:rsidRPr="00380B40">
        <w:rPr>
          <w:lang w:val="en-GB"/>
        </w:rPr>
        <w:t> A step in the Alternative Approval Process where a Study Group or Working Party agrees that the text of a Recommendation is sufficiently mature.</w:t>
      </w:r>
    </w:p>
    <w:p w14:paraId="30FA9040" w14:textId="77777777" w:rsidR="00523689" w:rsidRPr="00380B40" w:rsidRDefault="0026281C" w:rsidP="0026281C">
      <w:pPr>
        <w:tabs>
          <w:tab w:val="clear" w:pos="794"/>
          <w:tab w:val="left" w:pos="795"/>
        </w:tabs>
        <w:spacing w:before="136" w:line="240" w:lineRule="auto"/>
        <w:rPr>
          <w:lang w:val="en-GB"/>
        </w:rPr>
      </w:pPr>
      <w:r w:rsidRPr="00380B40">
        <w:rPr>
          <w:b/>
          <w:lang w:val="en-GB"/>
        </w:rPr>
        <w:t>1.5.1.4</w:t>
      </w:r>
      <w:r w:rsidRPr="00380B40">
        <w:rPr>
          <w:b/>
          <w:lang w:val="en-GB"/>
        </w:rPr>
        <w:tab/>
      </w:r>
      <w:r w:rsidR="00523689" w:rsidRPr="00380B40">
        <w:rPr>
          <w:b/>
          <w:lang w:val="en-GB"/>
        </w:rPr>
        <w:t>Consultation</w:t>
      </w:r>
      <w:r w:rsidR="00523689" w:rsidRPr="00380B40">
        <w:rPr>
          <w:bCs/>
          <w:lang w:val="en-GB"/>
        </w:rPr>
        <w:t>:</w:t>
      </w:r>
      <w:r w:rsidR="00523689" w:rsidRPr="00380B40">
        <w:rPr>
          <w:lang w:val="en-GB"/>
        </w:rPr>
        <w:t> A step in the Traditional Approval Process where Member States are asked to delegate authority for approval of a Recommendation to the next meeting of the Study Group.</w:t>
      </w:r>
    </w:p>
    <w:p w14:paraId="177CB1BB" w14:textId="77777777" w:rsidR="00523689" w:rsidRPr="00380B40" w:rsidRDefault="0026281C" w:rsidP="0026281C">
      <w:pPr>
        <w:tabs>
          <w:tab w:val="clear" w:pos="794"/>
          <w:tab w:val="left" w:pos="795"/>
        </w:tabs>
        <w:spacing w:before="136" w:line="240" w:lineRule="auto"/>
        <w:rPr>
          <w:lang w:val="en-GB"/>
        </w:rPr>
      </w:pPr>
      <w:r w:rsidRPr="00380B40">
        <w:rPr>
          <w:b/>
          <w:lang w:val="en-GB"/>
        </w:rPr>
        <w:t>1.5.1.5</w:t>
      </w:r>
      <w:r w:rsidRPr="00380B40">
        <w:rPr>
          <w:b/>
          <w:lang w:val="en-GB"/>
        </w:rPr>
        <w:tab/>
      </w:r>
      <w:r w:rsidR="00523689" w:rsidRPr="00380B40">
        <w:rPr>
          <w:b/>
          <w:lang w:val="en-GB"/>
        </w:rPr>
        <w:t>Determination</w:t>
      </w:r>
      <w:r w:rsidR="00523689" w:rsidRPr="00380B40">
        <w:rPr>
          <w:bCs/>
          <w:lang w:val="en-GB"/>
        </w:rPr>
        <w:t>:</w:t>
      </w:r>
      <w:r w:rsidR="00523689" w:rsidRPr="00380B40">
        <w:rPr>
          <w:lang w:val="en-GB"/>
        </w:rPr>
        <w:t> A step in the Traditional Approval Process where a Study Group or Working Party agrees that the text of a Recommendation is sufficiently mature.</w:t>
      </w:r>
    </w:p>
    <w:p w14:paraId="25BB1B8B" w14:textId="77777777" w:rsidR="00523689" w:rsidRPr="00380B40" w:rsidRDefault="0026281C" w:rsidP="0026281C">
      <w:pPr>
        <w:tabs>
          <w:tab w:val="clear" w:pos="794"/>
          <w:tab w:val="left" w:pos="795"/>
        </w:tabs>
        <w:spacing w:before="136" w:line="240" w:lineRule="auto"/>
        <w:rPr>
          <w:b/>
          <w:lang w:val="en-GB"/>
        </w:rPr>
      </w:pPr>
      <w:r w:rsidRPr="00380B40">
        <w:rPr>
          <w:b/>
          <w:lang w:val="en-GB"/>
        </w:rPr>
        <w:t>1.5.1.6</w:t>
      </w:r>
      <w:r w:rsidRPr="00380B40">
        <w:rPr>
          <w:b/>
          <w:lang w:val="en-GB"/>
        </w:rPr>
        <w:tab/>
      </w:r>
      <w:r w:rsidR="00523689" w:rsidRPr="00380B40">
        <w:rPr>
          <w:b/>
          <w:lang w:val="en-GB"/>
        </w:rPr>
        <w:t>Last Call</w:t>
      </w:r>
      <w:r w:rsidR="00523689" w:rsidRPr="00380B40">
        <w:rPr>
          <w:bCs/>
          <w:lang w:val="en-GB"/>
        </w:rPr>
        <w:t>:</w:t>
      </w:r>
      <w:r w:rsidR="00523689" w:rsidRPr="00380B40">
        <w:rPr>
          <w:b/>
          <w:lang w:val="en-GB"/>
        </w:rPr>
        <w:t> </w:t>
      </w:r>
      <w:r w:rsidR="00523689" w:rsidRPr="00380B40">
        <w:rPr>
          <w:lang w:val="en-GB"/>
        </w:rPr>
        <w:t>A 4-week period in the Alternative Approval Process where Member States, Sector Members and Associates review the text of a Recommendation put for approval and can submit comments.</w:t>
      </w:r>
    </w:p>
    <w:p w14:paraId="161C5759" w14:textId="77777777" w:rsidR="00523689" w:rsidRPr="00380B40" w:rsidRDefault="0026281C" w:rsidP="0026281C">
      <w:pPr>
        <w:tabs>
          <w:tab w:val="clear" w:pos="794"/>
          <w:tab w:val="left" w:pos="795"/>
        </w:tabs>
        <w:spacing w:before="136" w:line="240" w:lineRule="auto"/>
        <w:rPr>
          <w:lang w:val="en-GB"/>
        </w:rPr>
      </w:pPr>
      <w:r w:rsidRPr="00380B40">
        <w:rPr>
          <w:b/>
          <w:lang w:val="en-GB"/>
        </w:rPr>
        <w:t>1.5.1.7</w:t>
      </w:r>
      <w:r w:rsidRPr="00380B40">
        <w:rPr>
          <w:b/>
          <w:lang w:val="en-GB"/>
        </w:rPr>
        <w:tab/>
      </w:r>
      <w:r w:rsidR="00523689" w:rsidRPr="00380B40">
        <w:rPr>
          <w:b/>
          <w:lang w:val="en-GB"/>
        </w:rPr>
        <w:t>Question</w:t>
      </w:r>
      <w:r w:rsidR="00523689" w:rsidRPr="00380B40">
        <w:rPr>
          <w:lang w:val="en-GB"/>
        </w:rPr>
        <w:t>: Description of an area of work to be studied, normally leading to the production of one or more new or revised Recommendations.</w:t>
      </w:r>
    </w:p>
    <w:p w14:paraId="584FBF7B" w14:textId="77777777" w:rsidR="00523689" w:rsidRPr="00380B40" w:rsidRDefault="0026281C" w:rsidP="001B4241">
      <w:pPr>
        <w:tabs>
          <w:tab w:val="clear" w:pos="794"/>
          <w:tab w:val="left" w:pos="795"/>
        </w:tabs>
        <w:spacing w:before="136" w:line="240" w:lineRule="auto"/>
        <w:rPr>
          <w:lang w:val="en-GB"/>
        </w:rPr>
      </w:pPr>
      <w:r w:rsidRPr="00380B40">
        <w:rPr>
          <w:b/>
          <w:lang w:val="en-GB"/>
        </w:rPr>
        <w:t>1.5.1.8</w:t>
      </w:r>
      <w:r w:rsidRPr="00380B40">
        <w:rPr>
          <w:b/>
          <w:lang w:val="en-GB"/>
        </w:rPr>
        <w:tab/>
      </w:r>
      <w:r w:rsidR="00523689" w:rsidRPr="00380B40">
        <w:rPr>
          <w:b/>
          <w:lang w:val="en-GB"/>
        </w:rPr>
        <w:t>Traditional Approval Process (TAP)</w:t>
      </w:r>
      <w:r w:rsidR="00523689" w:rsidRPr="00380B40">
        <w:rPr>
          <w:bCs/>
          <w:lang w:val="en-GB"/>
        </w:rPr>
        <w:t>: </w:t>
      </w:r>
      <w:r w:rsidR="00523689" w:rsidRPr="00380B40">
        <w:rPr>
          <w:lang w:val="en-GB"/>
        </w:rPr>
        <w:t>The procedure for approval of Recommendations that may have regulatory or policy implications.</w:t>
      </w:r>
    </w:p>
    <w:p w14:paraId="0671BCD6" w14:textId="77777777" w:rsidR="001B4241" w:rsidRPr="00380B40" w:rsidRDefault="001B4241" w:rsidP="001B4241">
      <w:pPr>
        <w:tabs>
          <w:tab w:val="clear" w:pos="794"/>
          <w:tab w:val="left" w:pos="795"/>
        </w:tabs>
        <w:spacing w:before="136" w:line="240" w:lineRule="auto"/>
        <w:rPr>
          <w:lang w:val="en-GB"/>
        </w:rPr>
      </w:pPr>
      <w:r w:rsidRPr="00380B40">
        <w:rPr>
          <w:lang w:val="en-GB"/>
        </w:rPr>
        <w:br w:type="page"/>
      </w:r>
    </w:p>
    <w:p w14:paraId="5466077A" w14:textId="77777777" w:rsidR="00523689" w:rsidRPr="00380B40" w:rsidRDefault="00523689" w:rsidP="00523689">
      <w:pPr>
        <w:pStyle w:val="Heading3"/>
        <w:ind w:left="0" w:firstLine="0"/>
        <w:rPr>
          <w:b w:val="0"/>
          <w:lang w:val="en-GB"/>
        </w:rPr>
      </w:pPr>
      <w:bookmarkStart w:id="1326" w:name="_Toc3708702"/>
      <w:bookmarkStart w:id="1327" w:name="_Toc229895851"/>
      <w:bookmarkStart w:id="1328" w:name="_Toc229896153"/>
      <w:bookmarkStart w:id="1329" w:name="_Toc111636968"/>
      <w:r w:rsidRPr="00380B40">
        <w:rPr>
          <w:lang w:val="en-GB"/>
        </w:rPr>
        <w:t>1.5.2</w:t>
      </w:r>
      <w:r w:rsidRPr="00380B40">
        <w:rPr>
          <w:lang w:val="en-GB"/>
        </w:rPr>
        <w:tab/>
        <w:t>ISO/IEC JTC 1 definitions</w:t>
      </w:r>
      <w:bookmarkEnd w:id="1326"/>
      <w:bookmarkEnd w:id="1327"/>
      <w:bookmarkEnd w:id="1328"/>
      <w:bookmarkEnd w:id="1329"/>
    </w:p>
    <w:p w14:paraId="6939B3D3" w14:textId="77777777" w:rsidR="00523689" w:rsidRPr="00380B40" w:rsidRDefault="00523689" w:rsidP="00523689">
      <w:pPr>
        <w:rPr>
          <w:lang w:val="en-GB"/>
        </w:rPr>
      </w:pPr>
      <w:r w:rsidRPr="00380B40">
        <w:rPr>
          <w:b/>
          <w:lang w:val="en-GB"/>
        </w:rPr>
        <w:t>1.5.2.1</w:t>
      </w:r>
      <w:r w:rsidRPr="00380B40">
        <w:rPr>
          <w:b/>
          <w:lang w:val="en-GB"/>
        </w:rPr>
        <w:tab/>
        <w:t>Amendment (AMD)</w:t>
      </w:r>
      <w:r w:rsidRPr="00380B40">
        <w:rPr>
          <w:lang w:val="en-GB"/>
        </w:rPr>
        <w:t>: A published amendment to an International Standard.</w:t>
      </w:r>
    </w:p>
    <w:p w14:paraId="65B4A40E" w14:textId="77777777" w:rsidR="00523689" w:rsidRPr="00380B40" w:rsidRDefault="00523689" w:rsidP="00523689">
      <w:pPr>
        <w:rPr>
          <w:lang w:val="en-GB"/>
        </w:rPr>
      </w:pPr>
      <w:r w:rsidRPr="00380B40">
        <w:rPr>
          <w:b/>
          <w:lang w:val="en-GB"/>
        </w:rPr>
        <w:t>1.5.2.2</w:t>
      </w:r>
      <w:r w:rsidRPr="00380B40">
        <w:rPr>
          <w:b/>
          <w:lang w:val="en-GB"/>
        </w:rPr>
        <w:tab/>
        <w:t>Category A Liaison</w:t>
      </w:r>
      <w:r w:rsidRPr="00380B40">
        <w:rPr>
          <w:lang w:val="en-GB"/>
        </w:rPr>
        <w:t>: An external liaison organization which participates actively in a broad spectrum of work in JTC 1 or in a JTC 1/SC.</w:t>
      </w:r>
    </w:p>
    <w:p w14:paraId="5E069755" w14:textId="77777777" w:rsidR="00523689" w:rsidRPr="00380B40" w:rsidRDefault="00523689" w:rsidP="00523689">
      <w:pPr>
        <w:rPr>
          <w:lang w:val="en-GB"/>
        </w:rPr>
      </w:pPr>
      <w:r w:rsidRPr="00380B40">
        <w:rPr>
          <w:b/>
          <w:lang w:val="en-GB"/>
        </w:rPr>
        <w:t>1.5.2.3</w:t>
      </w:r>
      <w:r w:rsidRPr="00380B40">
        <w:rPr>
          <w:b/>
          <w:lang w:val="en-GB"/>
        </w:rPr>
        <w:tab/>
        <w:t>Committee Draft (CD)</w:t>
      </w:r>
      <w:r w:rsidRPr="00380B40">
        <w:rPr>
          <w:lang w:val="en-GB"/>
        </w:rPr>
        <w:t>: Text for a proposed International Standard which has been registered for ballot at the Subcommittee (SC) level – stage 3, committee stage.</w:t>
      </w:r>
    </w:p>
    <w:p w14:paraId="3DE88773" w14:textId="77777777" w:rsidR="00523689" w:rsidRPr="00380B40" w:rsidRDefault="00523689" w:rsidP="00523689">
      <w:pPr>
        <w:rPr>
          <w:lang w:val="en-GB"/>
        </w:rPr>
      </w:pPr>
      <w:r w:rsidRPr="00380B40">
        <w:rPr>
          <w:b/>
          <w:lang w:val="en-GB"/>
        </w:rPr>
        <w:t>1.5.2.4</w:t>
      </w:r>
      <w:r w:rsidRPr="00380B40">
        <w:rPr>
          <w:b/>
          <w:lang w:val="en-GB"/>
        </w:rPr>
        <w:tab/>
        <w:t>Draft Amendment (DAM)</w:t>
      </w:r>
      <w:r w:rsidRPr="00380B40">
        <w:rPr>
          <w:lang w:val="en-GB"/>
        </w:rPr>
        <w:t>: Text for a proposed amendment to an International Standard which is at stage 4, enquiry stage.</w:t>
      </w:r>
    </w:p>
    <w:p w14:paraId="1CA10C03" w14:textId="77777777" w:rsidR="00523689" w:rsidRPr="00380B40" w:rsidRDefault="00523689" w:rsidP="00523689">
      <w:pPr>
        <w:rPr>
          <w:lang w:val="en-GB"/>
        </w:rPr>
      </w:pPr>
      <w:r w:rsidRPr="00380B40">
        <w:rPr>
          <w:b/>
          <w:lang w:val="en-GB"/>
        </w:rPr>
        <w:t>1.5.2.5</w:t>
      </w:r>
      <w:r w:rsidRPr="00380B40">
        <w:rPr>
          <w:b/>
          <w:lang w:val="en-GB"/>
        </w:rPr>
        <w:tab/>
        <w:t>Draft International Standard (DIS)</w:t>
      </w:r>
      <w:r w:rsidRPr="00380B40">
        <w:rPr>
          <w:lang w:val="en-GB"/>
        </w:rPr>
        <w:t>: Text for a proposed Draft International Standard which is at stage 4, enquiry stage.</w:t>
      </w:r>
    </w:p>
    <w:p w14:paraId="6956A2A2" w14:textId="77777777" w:rsidR="00523689" w:rsidRPr="00380B40" w:rsidRDefault="00523689" w:rsidP="00523689">
      <w:pPr>
        <w:rPr>
          <w:lang w:val="en-GB"/>
        </w:rPr>
      </w:pPr>
      <w:r w:rsidRPr="00380B40">
        <w:rPr>
          <w:b/>
          <w:lang w:val="en-GB"/>
        </w:rPr>
        <w:t>1.5.2.6</w:t>
      </w:r>
      <w:r w:rsidRPr="00380B40">
        <w:rPr>
          <w:b/>
          <w:lang w:val="en-GB"/>
        </w:rPr>
        <w:tab/>
        <w:t>Draft Technical Report (DTR)</w:t>
      </w:r>
      <w:r w:rsidRPr="00380B40">
        <w:rPr>
          <w:lang w:val="en-GB"/>
        </w:rPr>
        <w:t>: Text for a proposed Technical Report which has been submitted for balloting by National Bodies of JTC 1.</w:t>
      </w:r>
    </w:p>
    <w:p w14:paraId="3BAA0EFF" w14:textId="77777777" w:rsidR="00523689" w:rsidRPr="00380B40" w:rsidRDefault="00523689" w:rsidP="00523689">
      <w:pPr>
        <w:rPr>
          <w:lang w:val="en-GB"/>
        </w:rPr>
      </w:pPr>
      <w:r w:rsidRPr="00380B40">
        <w:rPr>
          <w:b/>
          <w:lang w:val="en-GB"/>
        </w:rPr>
        <w:t>1.5.2.7</w:t>
      </w:r>
      <w:r w:rsidRPr="00380B40">
        <w:rPr>
          <w:b/>
          <w:lang w:val="en-GB"/>
        </w:rPr>
        <w:tab/>
        <w:t>Final Draft Amendment (FDAM)</w:t>
      </w:r>
      <w:r w:rsidRPr="00380B40">
        <w:rPr>
          <w:lang w:val="en-GB"/>
        </w:rPr>
        <w:t>: Text for a proposed amendment to an International Standard which has been submitted for balloting by ISO and IEC National Bodies – stage 5, approval stage.</w:t>
      </w:r>
    </w:p>
    <w:p w14:paraId="060E26EE" w14:textId="77777777" w:rsidR="00523689" w:rsidRPr="00380B40" w:rsidRDefault="00523689" w:rsidP="00523689">
      <w:pPr>
        <w:rPr>
          <w:lang w:val="en-GB"/>
        </w:rPr>
      </w:pPr>
      <w:r w:rsidRPr="00380B40">
        <w:rPr>
          <w:b/>
          <w:lang w:val="en-GB"/>
        </w:rPr>
        <w:t>1.5.2.8</w:t>
      </w:r>
      <w:r w:rsidRPr="00380B40">
        <w:rPr>
          <w:b/>
          <w:lang w:val="en-GB"/>
        </w:rPr>
        <w:tab/>
        <w:t>Final Draft International Standard (FDIS)</w:t>
      </w:r>
      <w:r w:rsidRPr="00380B40">
        <w:rPr>
          <w:lang w:val="en-GB"/>
        </w:rPr>
        <w:t>: Text for a proposed International Standard which is at stage 5, approval stage.</w:t>
      </w:r>
    </w:p>
    <w:p w14:paraId="67F82737" w14:textId="77777777" w:rsidR="00523689" w:rsidRPr="00380B40" w:rsidRDefault="00523689" w:rsidP="00523689">
      <w:pPr>
        <w:rPr>
          <w:lang w:val="en-GB"/>
        </w:rPr>
      </w:pPr>
      <w:r w:rsidRPr="00380B40">
        <w:rPr>
          <w:b/>
          <w:lang w:val="en-GB"/>
        </w:rPr>
        <w:t>1.5.2.9</w:t>
      </w:r>
      <w:r w:rsidRPr="00380B40">
        <w:rPr>
          <w:b/>
          <w:lang w:val="en-GB"/>
        </w:rPr>
        <w:tab/>
        <w:t>International Standard</w:t>
      </w:r>
      <w:r w:rsidRPr="00380B40">
        <w:rPr>
          <w:lang w:val="en-GB"/>
        </w:rPr>
        <w:t>: A published ISO/IEC standard.</w:t>
      </w:r>
    </w:p>
    <w:p w14:paraId="36055002" w14:textId="77777777" w:rsidR="00523689" w:rsidRPr="00380B40" w:rsidRDefault="00523689" w:rsidP="00523689">
      <w:pPr>
        <w:rPr>
          <w:lang w:val="en-GB"/>
        </w:rPr>
      </w:pPr>
      <w:r w:rsidRPr="00380B40">
        <w:rPr>
          <w:b/>
          <w:lang w:val="en-GB"/>
        </w:rPr>
        <w:t>1.5.2.10</w:t>
      </w:r>
      <w:r w:rsidRPr="00380B40">
        <w:rPr>
          <w:b/>
          <w:lang w:val="en-GB"/>
        </w:rPr>
        <w:tab/>
        <w:t>International Standardized Profile (ISP)</w:t>
      </w:r>
      <w:r w:rsidRPr="00380B40">
        <w:rPr>
          <w:lang w:val="en-GB"/>
        </w:rPr>
        <w:t>: A published ISO/IEC standardized profile.</w:t>
      </w:r>
    </w:p>
    <w:p w14:paraId="04DB2D34" w14:textId="77777777" w:rsidR="00523689" w:rsidRPr="00380B40" w:rsidRDefault="00523689" w:rsidP="00523689">
      <w:pPr>
        <w:rPr>
          <w:lang w:val="en-GB"/>
        </w:rPr>
      </w:pPr>
      <w:r w:rsidRPr="00380B40">
        <w:rPr>
          <w:b/>
          <w:lang w:val="en-GB"/>
        </w:rPr>
        <w:t>1.5.2.11</w:t>
      </w:r>
      <w:r w:rsidRPr="00380B40">
        <w:rPr>
          <w:b/>
          <w:lang w:val="en-GB"/>
        </w:rPr>
        <w:tab/>
        <w:t>Information Technology Task Force (ITTF)</w:t>
      </w:r>
      <w:r w:rsidRPr="00380B40">
        <w:rPr>
          <w:lang w:val="en-GB"/>
        </w:rPr>
        <w:t>: A group of individuals from the staffs of the ISO Central Secretariat and the IEC Central Office that provide joint support for the activities of JTC 1.</w:t>
      </w:r>
    </w:p>
    <w:p w14:paraId="6761DA83" w14:textId="77777777" w:rsidR="00523689" w:rsidRPr="00380B40" w:rsidRDefault="00523689" w:rsidP="00523689">
      <w:pPr>
        <w:rPr>
          <w:lang w:val="en-GB"/>
        </w:rPr>
      </w:pPr>
      <w:r w:rsidRPr="00380B40">
        <w:rPr>
          <w:b/>
          <w:lang w:val="en-GB"/>
        </w:rPr>
        <w:t>1.5.2.12</w:t>
      </w:r>
      <w:r w:rsidRPr="00380B40">
        <w:rPr>
          <w:b/>
          <w:lang w:val="en-GB"/>
        </w:rPr>
        <w:tab/>
        <w:t>New work item Proposal (NP)</w:t>
      </w:r>
      <w:r w:rsidRPr="00380B40">
        <w:rPr>
          <w:lang w:val="en-GB"/>
        </w:rPr>
        <w:t>: Text for a proposed item to be added to the program of work which is at stage 1, proposal stage and has been registered for ballot at the JTC 1 or Subcommittee (SC) level.</w:t>
      </w:r>
    </w:p>
    <w:p w14:paraId="3008BD64" w14:textId="77777777" w:rsidR="00523689" w:rsidRPr="00380B40" w:rsidRDefault="00523689" w:rsidP="00523689">
      <w:pPr>
        <w:rPr>
          <w:lang w:val="en-GB"/>
        </w:rPr>
      </w:pPr>
      <w:r w:rsidRPr="00380B40">
        <w:rPr>
          <w:b/>
          <w:lang w:val="en-GB"/>
        </w:rPr>
        <w:t>1.5.2.13</w:t>
      </w:r>
      <w:r w:rsidRPr="00380B40">
        <w:rPr>
          <w:b/>
          <w:lang w:val="en-GB"/>
        </w:rPr>
        <w:tab/>
        <w:t>Proposed Draft Amendment (PDAM)</w:t>
      </w:r>
      <w:r w:rsidRPr="00380B40">
        <w:rPr>
          <w:lang w:val="en-GB"/>
        </w:rPr>
        <w:t>: Text for a proposed amendment to an International Standard which has been registered for ballot at the Subcommittee (SC) level.</w:t>
      </w:r>
    </w:p>
    <w:p w14:paraId="5A566B16" w14:textId="77777777" w:rsidR="00523689" w:rsidRPr="00380B40" w:rsidRDefault="00523689" w:rsidP="00523689">
      <w:pPr>
        <w:rPr>
          <w:lang w:val="en-GB"/>
        </w:rPr>
      </w:pPr>
      <w:r w:rsidRPr="00380B40">
        <w:rPr>
          <w:b/>
          <w:lang w:val="en-GB"/>
        </w:rPr>
        <w:t>1.5.2.14</w:t>
      </w:r>
      <w:r w:rsidRPr="00380B40">
        <w:rPr>
          <w:b/>
          <w:lang w:val="en-GB"/>
        </w:rPr>
        <w:tab/>
        <w:t>Proposed Draft Technical Report (PDTR)</w:t>
      </w:r>
      <w:r w:rsidRPr="00380B40">
        <w:rPr>
          <w:lang w:val="en-GB"/>
        </w:rPr>
        <w:t>: Text for a proposed Technical Report which has been registered for ballot at the Subcommittee (SC) level – stage 3, committee stage.</w:t>
      </w:r>
    </w:p>
    <w:p w14:paraId="405708F4" w14:textId="77777777" w:rsidR="00523689" w:rsidRPr="00380B40" w:rsidRDefault="00523689" w:rsidP="00523689">
      <w:pPr>
        <w:rPr>
          <w:lang w:val="en-GB"/>
        </w:rPr>
      </w:pPr>
      <w:r w:rsidRPr="00380B40">
        <w:rPr>
          <w:b/>
          <w:lang w:val="en-GB"/>
        </w:rPr>
        <w:t>1.5.2.15</w:t>
      </w:r>
      <w:r w:rsidRPr="00380B40">
        <w:rPr>
          <w:b/>
          <w:lang w:val="en-GB"/>
        </w:rPr>
        <w:tab/>
        <w:t>Technical Report (TR)</w:t>
      </w:r>
      <w:r w:rsidRPr="00380B40">
        <w:rPr>
          <w:lang w:val="en-GB"/>
        </w:rPr>
        <w:t>: A document not suitable for issue as an International Standard but valuable for publication in the interests of standardization.</w:t>
      </w:r>
    </w:p>
    <w:p w14:paraId="65FF49F0" w14:textId="77777777" w:rsidR="00523689" w:rsidRPr="00380B40" w:rsidRDefault="00523689" w:rsidP="00523689">
      <w:pPr>
        <w:rPr>
          <w:lang w:val="en-GB"/>
        </w:rPr>
      </w:pPr>
      <w:r w:rsidRPr="00380B40">
        <w:rPr>
          <w:b/>
          <w:lang w:val="en-GB"/>
        </w:rPr>
        <w:t>1.5.2.16</w:t>
      </w:r>
      <w:r w:rsidRPr="00380B40">
        <w:rPr>
          <w:b/>
          <w:lang w:val="en-GB"/>
        </w:rPr>
        <w:tab/>
        <w:t>Technical Specification (TS)</w:t>
      </w:r>
      <w:r w:rsidRPr="00380B40">
        <w:rPr>
          <w:lang w:val="en-GB"/>
        </w:rPr>
        <w:t>: A document not mature for issue as an International Standard but valuable for publication in the interests of standardization.</w:t>
      </w:r>
    </w:p>
    <w:p w14:paraId="0DC4591A" w14:textId="77777777" w:rsidR="00617655" w:rsidRPr="00380B40" w:rsidRDefault="00617655" w:rsidP="00523689">
      <w:pPr>
        <w:rPr>
          <w:b/>
          <w:lang w:val="en-GB"/>
        </w:rPr>
      </w:pPr>
      <w:r w:rsidRPr="00380B40">
        <w:rPr>
          <w:b/>
          <w:lang w:val="en-GB"/>
        </w:rPr>
        <w:br w:type="page"/>
      </w:r>
    </w:p>
    <w:p w14:paraId="409AF6EA" w14:textId="77777777" w:rsidR="00523689" w:rsidRPr="00380B40" w:rsidRDefault="00523689" w:rsidP="00523689">
      <w:pPr>
        <w:rPr>
          <w:lang w:val="en-GB"/>
        </w:rPr>
      </w:pPr>
      <w:r w:rsidRPr="00380B40">
        <w:rPr>
          <w:b/>
          <w:lang w:val="en-GB"/>
        </w:rPr>
        <w:t>1.5.2.17</w:t>
      </w:r>
      <w:r w:rsidRPr="00380B40">
        <w:rPr>
          <w:b/>
          <w:lang w:val="en-GB"/>
        </w:rPr>
        <w:tab/>
        <w:t>Working Draft (WD)</w:t>
      </w:r>
      <w:r w:rsidRPr="00380B40">
        <w:rPr>
          <w:lang w:val="en-GB"/>
        </w:rPr>
        <w:t>: A document at stage 2, preparatory stage, pertaining to a work item with a view to leading toward a Committee Draft.</w:t>
      </w:r>
    </w:p>
    <w:p w14:paraId="13FF38E4" w14:textId="77777777" w:rsidR="00523689" w:rsidRPr="00380B40" w:rsidRDefault="00523689" w:rsidP="00523689">
      <w:pPr>
        <w:pStyle w:val="Heading3"/>
        <w:ind w:left="0" w:firstLine="0"/>
        <w:rPr>
          <w:lang w:val="en-GB"/>
        </w:rPr>
      </w:pPr>
      <w:bookmarkStart w:id="1330" w:name="_Toc3708703"/>
      <w:bookmarkStart w:id="1331" w:name="_Toc229895852"/>
      <w:bookmarkStart w:id="1332" w:name="_Toc229896154"/>
      <w:bookmarkStart w:id="1333" w:name="_Toc111636969"/>
      <w:r w:rsidRPr="00380B40">
        <w:rPr>
          <w:lang w:val="en-GB"/>
        </w:rPr>
        <w:t>1.5.3</w:t>
      </w:r>
      <w:r w:rsidRPr="00380B40">
        <w:rPr>
          <w:lang w:val="en-GB"/>
        </w:rPr>
        <w:tab/>
        <w:t>ITU-T and JTC 1 cooperation definitions</w:t>
      </w:r>
      <w:bookmarkEnd w:id="1330"/>
      <w:bookmarkEnd w:id="1331"/>
      <w:bookmarkEnd w:id="1332"/>
      <w:bookmarkEnd w:id="1333"/>
    </w:p>
    <w:p w14:paraId="41363A0D" w14:textId="77777777" w:rsidR="00523689" w:rsidRPr="00380B40" w:rsidRDefault="00523689" w:rsidP="00523689">
      <w:pPr>
        <w:rPr>
          <w:lang w:val="en-GB"/>
        </w:rPr>
      </w:pPr>
      <w:r w:rsidRPr="00380B40">
        <w:rPr>
          <w:b/>
          <w:lang w:val="en-GB"/>
        </w:rPr>
        <w:t>1.5.3.1</w:t>
      </w:r>
      <w:r w:rsidRPr="00380B40">
        <w:rPr>
          <w:b/>
          <w:lang w:val="en-GB"/>
        </w:rPr>
        <w:tab/>
        <w:t>Collaborative Interchange</w:t>
      </w:r>
      <w:r w:rsidRPr="00380B40">
        <w:rPr>
          <w:lang w:val="en-GB"/>
        </w:rPr>
        <w:t>: A mode of ITU-T and JTC 1 collaboration aimed at producing one or more common (or twin) text Recommendations | International Standards by means of close liaison and synchronized approval (see clause 7).</w:t>
      </w:r>
    </w:p>
    <w:p w14:paraId="585DD98A" w14:textId="77777777" w:rsidR="00523689" w:rsidRPr="00380B40" w:rsidRDefault="00523689" w:rsidP="00523689">
      <w:pPr>
        <w:rPr>
          <w:lang w:val="en-GB"/>
        </w:rPr>
      </w:pPr>
      <w:r w:rsidRPr="00380B40">
        <w:rPr>
          <w:b/>
          <w:lang w:val="en-GB"/>
        </w:rPr>
        <w:t>1.5.3.2</w:t>
      </w:r>
      <w:r w:rsidRPr="00380B40">
        <w:rPr>
          <w:b/>
          <w:lang w:val="en-GB"/>
        </w:rPr>
        <w:tab/>
        <w:t>Collaborative Team (CT)</w:t>
      </w:r>
      <w:r w:rsidRPr="00380B40">
        <w:rPr>
          <w:lang w:val="en-GB"/>
        </w:rPr>
        <w:t>: (1) A mode of ITU-T and JTC 1 collaboration aimed at producing one or more common (or twin) text Recommendations | International Standards by means of common meetings and synchronized approval (see clause 8); (2) A group composed of individuals from a JTC 1 SC and from an ITU-T SG that collaboratively develops common (or twin) text for one or more Recommendations | International Standards (see clause 8).</w:t>
      </w:r>
    </w:p>
    <w:p w14:paraId="236F74A7" w14:textId="77777777" w:rsidR="00523689" w:rsidRPr="00380B40" w:rsidRDefault="00523689" w:rsidP="00F97E56">
      <w:pPr>
        <w:pStyle w:val="Note2"/>
      </w:pPr>
      <w:r w:rsidRPr="00380B40">
        <w:t>NOTE – In JTC 1, a Collaborative Team is similar to a Working Group to the maximum extent possible.</w:t>
      </w:r>
    </w:p>
    <w:p w14:paraId="05DAE544" w14:textId="77777777" w:rsidR="00523689" w:rsidRPr="00380B40" w:rsidRDefault="00523689" w:rsidP="00523689">
      <w:pPr>
        <w:rPr>
          <w:lang w:val="en-GB"/>
        </w:rPr>
      </w:pPr>
      <w:r w:rsidRPr="00380B40">
        <w:rPr>
          <w:b/>
          <w:lang w:val="en-GB"/>
        </w:rPr>
        <w:t>1.5.3.3</w:t>
      </w:r>
      <w:r w:rsidRPr="00380B40">
        <w:rPr>
          <w:lang w:val="en-GB"/>
        </w:rPr>
        <w:tab/>
      </w:r>
      <w:r w:rsidRPr="00380B40">
        <w:rPr>
          <w:b/>
          <w:lang w:val="en-GB"/>
        </w:rPr>
        <w:t>Identical Recommendations | International Standards (or "common text")</w:t>
      </w:r>
      <w:r w:rsidRPr="00380B40">
        <w:rPr>
          <w:lang w:val="en-GB"/>
        </w:rPr>
        <w:t>: Recommendations and International Standards which were developed jointly by ITU-T and ISO/IEC and have identical text. The expression "Identical Recommendations | International Standards"</w:t>
      </w:r>
      <w:r w:rsidRPr="00380B40">
        <w:rPr>
          <w:b/>
          <w:lang w:val="en-GB"/>
        </w:rPr>
        <w:t xml:space="preserve"> </w:t>
      </w:r>
      <w:r w:rsidRPr="00380B40">
        <w:rPr>
          <w:lang w:val="en-GB"/>
        </w:rPr>
        <w:t>is the title of clause 2.1 in common texts.</w:t>
      </w:r>
    </w:p>
    <w:p w14:paraId="399A16D4" w14:textId="77777777" w:rsidR="00523689" w:rsidRPr="00380B40" w:rsidRDefault="00523689" w:rsidP="00523689">
      <w:pPr>
        <w:rPr>
          <w:lang w:val="en-GB"/>
        </w:rPr>
      </w:pPr>
      <w:r w:rsidRPr="00380B40">
        <w:rPr>
          <w:b/>
          <w:lang w:val="en-GB"/>
        </w:rPr>
        <w:t>1.5.3.4</w:t>
      </w:r>
      <w:r w:rsidRPr="00380B40">
        <w:rPr>
          <w:lang w:val="en-GB"/>
        </w:rPr>
        <w:tab/>
      </w:r>
      <w:r w:rsidRPr="00380B40">
        <w:rPr>
          <w:b/>
          <w:lang w:val="en-GB"/>
        </w:rPr>
        <w:t>Paired Recommendations | International Standards (or "twin text")</w:t>
      </w:r>
      <w:r w:rsidRPr="00380B40">
        <w:rPr>
          <w:lang w:val="en-GB"/>
        </w:rPr>
        <w:t>: Recommendations and International Standards which were developed in close collaboration between ITU-T and ISO/IEC, and whose texts are technically aligned but not identical. The expression "Paired Recommendations | International Standards" is the title of clause 2.2 in common texts.</w:t>
      </w:r>
    </w:p>
    <w:p w14:paraId="676A9489" w14:textId="77777777" w:rsidR="00523689" w:rsidRPr="00380B40" w:rsidRDefault="00523689" w:rsidP="00523689">
      <w:pPr>
        <w:rPr>
          <w:lang w:val="en-GB"/>
        </w:rPr>
      </w:pPr>
      <w:r w:rsidRPr="00380B40">
        <w:rPr>
          <w:b/>
          <w:lang w:val="en-GB"/>
        </w:rPr>
        <w:t>1.5.3.5</w:t>
      </w:r>
      <w:r w:rsidRPr="00380B40">
        <w:rPr>
          <w:b/>
          <w:lang w:val="en-GB"/>
        </w:rPr>
        <w:tab/>
        <w:t>Working Level Group</w:t>
      </w:r>
      <w:r w:rsidRPr="00380B40">
        <w:rPr>
          <w:lang w:val="en-GB"/>
        </w:rPr>
        <w:t>: A generic term to refer to a group of individuals in a JTC 1 SC responsible for progressing work on a specific project or a group of individuals in an ITU-T SG responsible for progressing work on a specific Question (see clause 7).</w:t>
      </w:r>
    </w:p>
    <w:p w14:paraId="7ED13D95" w14:textId="77777777" w:rsidR="00523689" w:rsidRPr="00380B40" w:rsidRDefault="00523689" w:rsidP="00F97E56">
      <w:pPr>
        <w:pStyle w:val="Note2"/>
      </w:pPr>
      <w:bookmarkStart w:id="1334" w:name="_Toc382734819"/>
      <w:bookmarkStart w:id="1335" w:name="_Toc3708704"/>
      <w:bookmarkStart w:id="1336" w:name="_Toc229895853"/>
      <w:bookmarkStart w:id="1337" w:name="_Toc229896155"/>
      <w:r w:rsidRPr="00380B40">
        <w:t>NOTE – In JTC 1, a Working Level Group is similar to a Working Group to the maximum extent possible.</w:t>
      </w:r>
    </w:p>
    <w:p w14:paraId="3C3479F6" w14:textId="77777777" w:rsidR="00523689" w:rsidRPr="00380B40" w:rsidRDefault="00523689" w:rsidP="00523689">
      <w:pPr>
        <w:pStyle w:val="Heading2"/>
        <w:rPr>
          <w:lang w:val="en-GB"/>
        </w:rPr>
      </w:pPr>
      <w:bookmarkStart w:id="1338" w:name="_Toc398284227"/>
      <w:bookmarkStart w:id="1339" w:name="_Toc401035446"/>
      <w:bookmarkStart w:id="1340" w:name="_Toc401312700"/>
      <w:bookmarkStart w:id="1341" w:name="_Toc401313056"/>
      <w:bookmarkStart w:id="1342" w:name="_Toc111636970"/>
      <w:r w:rsidRPr="00380B40">
        <w:rPr>
          <w:lang w:val="en-GB"/>
        </w:rPr>
        <w:t>1.6</w:t>
      </w:r>
      <w:r w:rsidRPr="00380B40">
        <w:rPr>
          <w:lang w:val="en-GB"/>
        </w:rPr>
        <w:tab/>
        <w:t>Abbreviations</w:t>
      </w:r>
      <w:bookmarkEnd w:id="1334"/>
      <w:bookmarkEnd w:id="1335"/>
      <w:bookmarkEnd w:id="1336"/>
      <w:bookmarkEnd w:id="1337"/>
      <w:bookmarkEnd w:id="1338"/>
      <w:bookmarkEnd w:id="1339"/>
      <w:bookmarkEnd w:id="1340"/>
      <w:bookmarkEnd w:id="1341"/>
      <w:bookmarkEnd w:id="1342"/>
    </w:p>
    <w:p w14:paraId="44379D85" w14:textId="77777777" w:rsidR="00523689" w:rsidRPr="00380B40" w:rsidRDefault="00523689" w:rsidP="00523689">
      <w:pPr>
        <w:rPr>
          <w:lang w:val="en-GB"/>
        </w:rPr>
      </w:pPr>
      <w:r w:rsidRPr="00380B40">
        <w:rPr>
          <w:lang w:val="en-GB"/>
        </w:rPr>
        <w:t>For the purposes of this Guide, the following abbreviations apply:</w:t>
      </w:r>
    </w:p>
    <w:p w14:paraId="24A2D847" w14:textId="77777777" w:rsidR="00523689" w:rsidRPr="00380B40" w:rsidRDefault="00523689" w:rsidP="00523689">
      <w:pPr>
        <w:pStyle w:val="Heading3"/>
        <w:ind w:left="0" w:firstLine="0"/>
        <w:rPr>
          <w:lang w:val="en-GB"/>
        </w:rPr>
      </w:pPr>
      <w:bookmarkStart w:id="1343" w:name="_Toc3708705"/>
      <w:bookmarkStart w:id="1344" w:name="_Toc229895854"/>
      <w:bookmarkStart w:id="1345" w:name="_Toc229896156"/>
      <w:bookmarkStart w:id="1346" w:name="_Toc111636971"/>
      <w:r w:rsidRPr="00380B40">
        <w:rPr>
          <w:lang w:val="en-GB"/>
        </w:rPr>
        <w:t>1.6.1</w:t>
      </w:r>
      <w:r w:rsidRPr="00380B40">
        <w:rPr>
          <w:lang w:val="en-GB"/>
        </w:rPr>
        <w:tab/>
        <w:t>ITU-T abbreviations</w:t>
      </w:r>
      <w:bookmarkEnd w:id="1343"/>
      <w:bookmarkEnd w:id="1344"/>
      <w:bookmarkEnd w:id="1345"/>
      <w:bookmarkEnd w:id="134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8369"/>
      </w:tblGrid>
      <w:tr w:rsidR="00251D45" w:rsidRPr="00380B40" w14:paraId="3E0C54A5" w14:textId="77777777" w:rsidTr="0066753F">
        <w:tc>
          <w:tcPr>
            <w:tcW w:w="1269" w:type="dxa"/>
          </w:tcPr>
          <w:p w14:paraId="164FD0EC" w14:textId="77777777" w:rsidR="00251D45" w:rsidRPr="00380B40" w:rsidRDefault="00251D45" w:rsidP="00251D45">
            <w:pPr>
              <w:rPr>
                <w:lang w:val="en-GB"/>
              </w:rPr>
            </w:pPr>
            <w:r w:rsidRPr="00380B40">
              <w:rPr>
                <w:lang w:val="en-GB"/>
              </w:rPr>
              <w:t>AAP</w:t>
            </w:r>
          </w:p>
        </w:tc>
        <w:tc>
          <w:tcPr>
            <w:tcW w:w="8360" w:type="dxa"/>
          </w:tcPr>
          <w:p w14:paraId="0F0E98E5" w14:textId="77777777" w:rsidR="00251D45" w:rsidRPr="00380B40" w:rsidRDefault="00251D45" w:rsidP="00251D45">
            <w:pPr>
              <w:rPr>
                <w:lang w:val="en-GB"/>
              </w:rPr>
            </w:pPr>
            <w:r w:rsidRPr="00380B40">
              <w:rPr>
                <w:lang w:val="en-GB"/>
              </w:rPr>
              <w:t>Alternative Approval Process</w:t>
            </w:r>
          </w:p>
        </w:tc>
      </w:tr>
      <w:tr w:rsidR="00251D45" w:rsidRPr="004E0F36" w14:paraId="402543E7" w14:textId="77777777" w:rsidTr="0066753F">
        <w:tc>
          <w:tcPr>
            <w:tcW w:w="1269" w:type="dxa"/>
          </w:tcPr>
          <w:p w14:paraId="7A181468" w14:textId="77777777" w:rsidR="00251D45" w:rsidRPr="00380B40" w:rsidRDefault="00251D45" w:rsidP="00251D45">
            <w:pPr>
              <w:rPr>
                <w:lang w:val="en-GB"/>
              </w:rPr>
            </w:pPr>
            <w:r w:rsidRPr="00380B40">
              <w:rPr>
                <w:lang w:val="en-GB"/>
              </w:rPr>
              <w:t>CCITT</w:t>
            </w:r>
          </w:p>
        </w:tc>
        <w:tc>
          <w:tcPr>
            <w:tcW w:w="8360" w:type="dxa"/>
          </w:tcPr>
          <w:p w14:paraId="08D3CB27" w14:textId="77777777" w:rsidR="00251D45" w:rsidRPr="00380B40" w:rsidRDefault="00251D45" w:rsidP="00251D45">
            <w:pPr>
              <w:rPr>
                <w:lang w:val="en-GB"/>
              </w:rPr>
            </w:pPr>
            <w:r w:rsidRPr="00380B40">
              <w:rPr>
                <w:lang w:val="en-GB"/>
              </w:rPr>
              <w:t>International Telegraph and Telephone Consultative Committee (replaced by ITU-T in 1993)</w:t>
            </w:r>
          </w:p>
        </w:tc>
      </w:tr>
      <w:tr w:rsidR="00251D45" w:rsidRPr="00380B40" w14:paraId="526366A6" w14:textId="77777777" w:rsidTr="0066753F">
        <w:tc>
          <w:tcPr>
            <w:tcW w:w="1269" w:type="dxa"/>
          </w:tcPr>
          <w:p w14:paraId="70AAB940" w14:textId="77777777" w:rsidR="00251D45" w:rsidRPr="00380B40" w:rsidRDefault="00251D45" w:rsidP="00251D45">
            <w:pPr>
              <w:rPr>
                <w:lang w:val="en-GB"/>
              </w:rPr>
            </w:pPr>
            <w:r w:rsidRPr="00380B40">
              <w:rPr>
                <w:lang w:val="en-GB"/>
              </w:rPr>
              <w:t>ITU</w:t>
            </w:r>
          </w:p>
        </w:tc>
        <w:tc>
          <w:tcPr>
            <w:tcW w:w="8360" w:type="dxa"/>
          </w:tcPr>
          <w:p w14:paraId="6091BF43" w14:textId="77777777" w:rsidR="00251D45" w:rsidRPr="00380B40" w:rsidRDefault="00251D45" w:rsidP="00251D45">
            <w:pPr>
              <w:rPr>
                <w:lang w:val="en-GB"/>
              </w:rPr>
            </w:pPr>
            <w:r w:rsidRPr="00380B40">
              <w:rPr>
                <w:lang w:val="en-GB"/>
              </w:rPr>
              <w:t>International Telecommunication Union</w:t>
            </w:r>
          </w:p>
        </w:tc>
      </w:tr>
      <w:tr w:rsidR="00251D45" w:rsidRPr="00380B40" w14:paraId="3DD724A9" w14:textId="77777777" w:rsidTr="0066753F">
        <w:tc>
          <w:tcPr>
            <w:tcW w:w="1269" w:type="dxa"/>
          </w:tcPr>
          <w:p w14:paraId="4A65CB11" w14:textId="77777777" w:rsidR="00251D45" w:rsidRPr="00380B40" w:rsidRDefault="00251D45" w:rsidP="00251D45">
            <w:pPr>
              <w:rPr>
                <w:lang w:val="en-GB"/>
              </w:rPr>
            </w:pPr>
            <w:r w:rsidRPr="00380B40">
              <w:rPr>
                <w:lang w:val="en-GB"/>
              </w:rPr>
              <w:t>ITU-T</w:t>
            </w:r>
          </w:p>
        </w:tc>
        <w:tc>
          <w:tcPr>
            <w:tcW w:w="8360" w:type="dxa"/>
          </w:tcPr>
          <w:p w14:paraId="3E2C2012" w14:textId="77777777" w:rsidR="00251D45" w:rsidRPr="00380B40" w:rsidRDefault="00251D45" w:rsidP="00251D45">
            <w:pPr>
              <w:rPr>
                <w:lang w:val="en-GB"/>
              </w:rPr>
            </w:pPr>
            <w:r w:rsidRPr="00380B40">
              <w:rPr>
                <w:lang w:val="en-GB"/>
              </w:rPr>
              <w:t>International Telecommunication Union – Telecommunication Standardization Sector</w:t>
            </w:r>
          </w:p>
        </w:tc>
      </w:tr>
      <w:tr w:rsidR="00251D45" w:rsidRPr="00380B40" w14:paraId="724B9C9C" w14:textId="77777777" w:rsidTr="0066753F">
        <w:tc>
          <w:tcPr>
            <w:tcW w:w="1269" w:type="dxa"/>
          </w:tcPr>
          <w:p w14:paraId="01A6443C" w14:textId="77777777" w:rsidR="00251D45" w:rsidRPr="00380B40" w:rsidRDefault="00251D45" w:rsidP="00251D45">
            <w:pPr>
              <w:rPr>
                <w:lang w:val="en-GB"/>
              </w:rPr>
            </w:pPr>
            <w:r w:rsidRPr="00380B40">
              <w:rPr>
                <w:lang w:val="en-GB"/>
              </w:rPr>
              <w:t>SG</w:t>
            </w:r>
          </w:p>
        </w:tc>
        <w:tc>
          <w:tcPr>
            <w:tcW w:w="8360" w:type="dxa"/>
          </w:tcPr>
          <w:p w14:paraId="6294674B" w14:textId="77777777" w:rsidR="00251D45" w:rsidRPr="00380B40" w:rsidRDefault="00251D45" w:rsidP="00251D45">
            <w:pPr>
              <w:rPr>
                <w:lang w:val="en-GB"/>
              </w:rPr>
            </w:pPr>
            <w:r w:rsidRPr="00380B40">
              <w:rPr>
                <w:lang w:val="en-GB"/>
              </w:rPr>
              <w:t>Study Group</w:t>
            </w:r>
          </w:p>
        </w:tc>
      </w:tr>
    </w:tbl>
    <w:p w14:paraId="59C3F558" w14:textId="77777777" w:rsidR="00B348EA" w:rsidRPr="00380B40" w:rsidRDefault="00B348EA" w:rsidP="00B348EA"/>
    <w:p w14:paraId="4DA827BB" w14:textId="77777777" w:rsidR="00617655" w:rsidRPr="00380B40" w:rsidRDefault="00617655" w:rsidP="00B348EA">
      <w:r w:rsidRPr="00380B40">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8369"/>
      </w:tblGrid>
      <w:tr w:rsidR="00251D45" w:rsidRPr="00380B40" w14:paraId="389517E9" w14:textId="77777777" w:rsidTr="0066753F">
        <w:tc>
          <w:tcPr>
            <w:tcW w:w="1269" w:type="dxa"/>
          </w:tcPr>
          <w:p w14:paraId="470906F3" w14:textId="77777777" w:rsidR="00251D45" w:rsidRPr="00380B40" w:rsidRDefault="00251D45" w:rsidP="00AE3066">
            <w:pPr>
              <w:spacing w:before="120"/>
              <w:rPr>
                <w:lang w:val="en-GB"/>
              </w:rPr>
            </w:pPr>
            <w:r w:rsidRPr="00380B40">
              <w:rPr>
                <w:lang w:val="en-GB"/>
              </w:rPr>
              <w:t>TAP</w:t>
            </w:r>
          </w:p>
        </w:tc>
        <w:tc>
          <w:tcPr>
            <w:tcW w:w="8360" w:type="dxa"/>
          </w:tcPr>
          <w:p w14:paraId="405C8633" w14:textId="77777777" w:rsidR="00251D45" w:rsidRPr="00380B40" w:rsidRDefault="00251D45" w:rsidP="00AE3066">
            <w:pPr>
              <w:spacing w:before="120"/>
              <w:rPr>
                <w:lang w:val="en-GB"/>
              </w:rPr>
            </w:pPr>
            <w:r w:rsidRPr="00380B40">
              <w:rPr>
                <w:lang w:val="en-GB"/>
              </w:rPr>
              <w:t>Traditional Approval Process</w:t>
            </w:r>
          </w:p>
        </w:tc>
      </w:tr>
      <w:tr w:rsidR="00251D45" w:rsidRPr="00380B40" w14:paraId="70D90214" w14:textId="77777777" w:rsidTr="0066753F">
        <w:tc>
          <w:tcPr>
            <w:tcW w:w="1269" w:type="dxa"/>
          </w:tcPr>
          <w:p w14:paraId="4AC32720" w14:textId="77777777" w:rsidR="00251D45" w:rsidRPr="00380B40" w:rsidRDefault="00251D45" w:rsidP="00AE3066">
            <w:pPr>
              <w:spacing w:before="120"/>
              <w:rPr>
                <w:lang w:val="en-GB"/>
              </w:rPr>
            </w:pPr>
            <w:r w:rsidRPr="00380B40">
              <w:rPr>
                <w:lang w:val="en-GB"/>
              </w:rPr>
              <w:t>TSAG</w:t>
            </w:r>
          </w:p>
        </w:tc>
        <w:tc>
          <w:tcPr>
            <w:tcW w:w="8360" w:type="dxa"/>
          </w:tcPr>
          <w:p w14:paraId="3BC0DC87" w14:textId="77777777" w:rsidR="00251D45" w:rsidRPr="00380B40" w:rsidRDefault="00251D45" w:rsidP="00AE3066">
            <w:pPr>
              <w:spacing w:before="120"/>
              <w:rPr>
                <w:lang w:val="en-GB"/>
              </w:rPr>
            </w:pPr>
            <w:r w:rsidRPr="00380B40">
              <w:rPr>
                <w:lang w:val="en-GB"/>
              </w:rPr>
              <w:t>Telecommunication Standardization Advisory Group</w:t>
            </w:r>
          </w:p>
        </w:tc>
      </w:tr>
      <w:tr w:rsidR="00251D45" w:rsidRPr="00380B40" w14:paraId="1A2B9301" w14:textId="77777777" w:rsidTr="0066753F">
        <w:tc>
          <w:tcPr>
            <w:tcW w:w="1269" w:type="dxa"/>
          </w:tcPr>
          <w:p w14:paraId="5031ADB4" w14:textId="77777777" w:rsidR="00251D45" w:rsidRPr="00380B40" w:rsidRDefault="00251D45" w:rsidP="00AE3066">
            <w:pPr>
              <w:spacing w:before="120"/>
              <w:rPr>
                <w:lang w:val="en-GB"/>
              </w:rPr>
            </w:pPr>
            <w:r w:rsidRPr="00380B40">
              <w:rPr>
                <w:lang w:val="en-GB"/>
              </w:rPr>
              <w:t>TSB</w:t>
            </w:r>
          </w:p>
        </w:tc>
        <w:tc>
          <w:tcPr>
            <w:tcW w:w="8360" w:type="dxa"/>
          </w:tcPr>
          <w:p w14:paraId="1CE1B6B9" w14:textId="77777777" w:rsidR="00251D45" w:rsidRPr="00380B40" w:rsidRDefault="00251D45" w:rsidP="00AE3066">
            <w:pPr>
              <w:spacing w:before="120"/>
              <w:rPr>
                <w:lang w:val="en-GB"/>
              </w:rPr>
            </w:pPr>
            <w:r w:rsidRPr="00380B40">
              <w:rPr>
                <w:lang w:val="en-GB"/>
              </w:rPr>
              <w:t>Telecommunication Standardization Bureau</w:t>
            </w:r>
          </w:p>
        </w:tc>
      </w:tr>
      <w:tr w:rsidR="00251D45" w:rsidRPr="00380B40" w14:paraId="4DB36F86" w14:textId="77777777" w:rsidTr="0066753F">
        <w:tc>
          <w:tcPr>
            <w:tcW w:w="1269" w:type="dxa"/>
          </w:tcPr>
          <w:p w14:paraId="14B33EE5" w14:textId="77777777" w:rsidR="00251D45" w:rsidRPr="00380B40" w:rsidRDefault="00251D45" w:rsidP="00AE3066">
            <w:pPr>
              <w:spacing w:before="120"/>
              <w:rPr>
                <w:lang w:val="en-GB"/>
              </w:rPr>
            </w:pPr>
            <w:r w:rsidRPr="00380B40">
              <w:rPr>
                <w:lang w:val="en-GB"/>
              </w:rPr>
              <w:t>WP</w:t>
            </w:r>
          </w:p>
        </w:tc>
        <w:tc>
          <w:tcPr>
            <w:tcW w:w="8360" w:type="dxa"/>
          </w:tcPr>
          <w:p w14:paraId="3B808D24" w14:textId="77777777" w:rsidR="00251D45" w:rsidRPr="00380B40" w:rsidRDefault="00251D45" w:rsidP="00AE3066">
            <w:pPr>
              <w:spacing w:before="120"/>
              <w:rPr>
                <w:lang w:val="en-GB"/>
              </w:rPr>
            </w:pPr>
            <w:r w:rsidRPr="00380B40">
              <w:rPr>
                <w:lang w:val="en-GB"/>
              </w:rPr>
              <w:t>Working Party</w:t>
            </w:r>
          </w:p>
        </w:tc>
      </w:tr>
      <w:tr w:rsidR="00251D45" w:rsidRPr="00380B40" w14:paraId="79AC148D" w14:textId="77777777" w:rsidTr="0066753F">
        <w:tc>
          <w:tcPr>
            <w:tcW w:w="1269" w:type="dxa"/>
          </w:tcPr>
          <w:p w14:paraId="77CA5286" w14:textId="77777777" w:rsidR="00251D45" w:rsidRPr="00380B40" w:rsidRDefault="00251D45" w:rsidP="00AE3066">
            <w:pPr>
              <w:spacing w:before="120"/>
              <w:rPr>
                <w:lang w:val="en-GB"/>
              </w:rPr>
            </w:pPr>
            <w:r w:rsidRPr="00380B40">
              <w:rPr>
                <w:lang w:val="en-GB"/>
              </w:rPr>
              <w:t>WTSA</w:t>
            </w:r>
          </w:p>
        </w:tc>
        <w:tc>
          <w:tcPr>
            <w:tcW w:w="8360" w:type="dxa"/>
          </w:tcPr>
          <w:p w14:paraId="27CCDFA2" w14:textId="77777777" w:rsidR="00251D45" w:rsidRPr="00380B40" w:rsidRDefault="00251D45" w:rsidP="00AE3066">
            <w:pPr>
              <w:spacing w:before="120"/>
              <w:rPr>
                <w:lang w:val="en-GB"/>
              </w:rPr>
            </w:pPr>
            <w:r w:rsidRPr="00380B40">
              <w:rPr>
                <w:lang w:val="en-GB"/>
              </w:rPr>
              <w:t>World Telecommunication Standardization Assembly</w:t>
            </w:r>
          </w:p>
        </w:tc>
      </w:tr>
      <w:tr w:rsidR="00251D45" w:rsidRPr="004E0F36" w14:paraId="4F17ED19" w14:textId="77777777" w:rsidTr="0066753F">
        <w:tc>
          <w:tcPr>
            <w:tcW w:w="1269" w:type="dxa"/>
          </w:tcPr>
          <w:p w14:paraId="599D6918" w14:textId="77777777" w:rsidR="00251D45" w:rsidRPr="00380B40" w:rsidRDefault="00251D45" w:rsidP="00AE3066">
            <w:pPr>
              <w:spacing w:before="120"/>
              <w:rPr>
                <w:lang w:val="en-GB"/>
              </w:rPr>
            </w:pPr>
            <w:r w:rsidRPr="00380B40">
              <w:rPr>
                <w:lang w:val="en-GB"/>
              </w:rPr>
              <w:t>WTSC</w:t>
            </w:r>
          </w:p>
        </w:tc>
        <w:tc>
          <w:tcPr>
            <w:tcW w:w="8360" w:type="dxa"/>
          </w:tcPr>
          <w:p w14:paraId="06D5B1F0" w14:textId="77777777" w:rsidR="00251D45" w:rsidRPr="00380B40" w:rsidRDefault="00251D45" w:rsidP="00AE3066">
            <w:pPr>
              <w:spacing w:before="120"/>
              <w:rPr>
                <w:lang w:val="en-GB"/>
              </w:rPr>
            </w:pPr>
            <w:r w:rsidRPr="00380B40">
              <w:rPr>
                <w:lang w:val="en-GB"/>
              </w:rPr>
              <w:t>World Telecommunication Standardization Conference (replaced by WTSA in 2000)</w:t>
            </w:r>
          </w:p>
        </w:tc>
      </w:tr>
    </w:tbl>
    <w:p w14:paraId="63EFB8AA" w14:textId="77777777" w:rsidR="00523689" w:rsidRPr="00380B40" w:rsidRDefault="00523689" w:rsidP="00523689">
      <w:pPr>
        <w:pStyle w:val="Heading3"/>
        <w:ind w:left="0" w:firstLine="0"/>
        <w:rPr>
          <w:lang w:val="en-GB"/>
        </w:rPr>
      </w:pPr>
      <w:bookmarkStart w:id="1347" w:name="_Toc3708706"/>
      <w:bookmarkStart w:id="1348" w:name="_Toc229895855"/>
      <w:bookmarkStart w:id="1349" w:name="_Toc229896157"/>
      <w:bookmarkStart w:id="1350" w:name="_Toc111636972"/>
      <w:r w:rsidRPr="00380B40">
        <w:rPr>
          <w:lang w:val="en-GB"/>
        </w:rPr>
        <w:t>1.6.2</w:t>
      </w:r>
      <w:r w:rsidRPr="00380B40">
        <w:rPr>
          <w:lang w:val="en-GB"/>
        </w:rPr>
        <w:tab/>
        <w:t>ISO/IEC abbreviations</w:t>
      </w:r>
      <w:bookmarkEnd w:id="1347"/>
      <w:bookmarkEnd w:id="1348"/>
      <w:bookmarkEnd w:id="1349"/>
      <w:bookmarkEnd w:id="135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8369"/>
      </w:tblGrid>
      <w:tr w:rsidR="00251D45" w:rsidRPr="00380B40" w14:paraId="6B344788" w14:textId="77777777" w:rsidTr="0066753F">
        <w:tc>
          <w:tcPr>
            <w:tcW w:w="1269" w:type="dxa"/>
          </w:tcPr>
          <w:p w14:paraId="7E8C30C3" w14:textId="77777777" w:rsidR="00251D45" w:rsidRPr="00380B40" w:rsidRDefault="00251D45" w:rsidP="00AE3066">
            <w:pPr>
              <w:spacing w:before="120"/>
              <w:rPr>
                <w:lang w:val="en-GB"/>
              </w:rPr>
            </w:pPr>
            <w:r w:rsidRPr="00380B40">
              <w:rPr>
                <w:lang w:val="en-GB"/>
              </w:rPr>
              <w:t>AMD</w:t>
            </w:r>
          </w:p>
        </w:tc>
        <w:tc>
          <w:tcPr>
            <w:tcW w:w="8360" w:type="dxa"/>
          </w:tcPr>
          <w:p w14:paraId="6337B554" w14:textId="77777777" w:rsidR="00251D45" w:rsidRPr="00380B40" w:rsidRDefault="00251D45" w:rsidP="00AE3066">
            <w:pPr>
              <w:spacing w:before="120"/>
              <w:rPr>
                <w:lang w:val="en-GB"/>
              </w:rPr>
            </w:pPr>
            <w:r w:rsidRPr="00380B40">
              <w:rPr>
                <w:lang w:val="en-GB"/>
              </w:rPr>
              <w:t>Amendment</w:t>
            </w:r>
          </w:p>
        </w:tc>
      </w:tr>
      <w:tr w:rsidR="00251D45" w:rsidRPr="00380B40" w14:paraId="7704C622" w14:textId="77777777" w:rsidTr="0066753F">
        <w:tc>
          <w:tcPr>
            <w:tcW w:w="1269" w:type="dxa"/>
          </w:tcPr>
          <w:p w14:paraId="4FA91B73" w14:textId="77777777" w:rsidR="00251D45" w:rsidRPr="00380B40" w:rsidRDefault="00251D45" w:rsidP="00AE3066">
            <w:pPr>
              <w:spacing w:before="120"/>
              <w:rPr>
                <w:lang w:val="en-GB"/>
              </w:rPr>
            </w:pPr>
            <w:r w:rsidRPr="00380B40">
              <w:rPr>
                <w:lang w:val="en-GB"/>
              </w:rPr>
              <w:t>CD</w:t>
            </w:r>
          </w:p>
        </w:tc>
        <w:tc>
          <w:tcPr>
            <w:tcW w:w="8360" w:type="dxa"/>
          </w:tcPr>
          <w:p w14:paraId="258EEC1C" w14:textId="77777777" w:rsidR="00251D45" w:rsidRPr="00380B40" w:rsidRDefault="00251D45" w:rsidP="00AE3066">
            <w:pPr>
              <w:spacing w:before="120"/>
              <w:rPr>
                <w:lang w:val="en-GB"/>
              </w:rPr>
            </w:pPr>
            <w:r w:rsidRPr="00380B40">
              <w:rPr>
                <w:lang w:val="en-GB"/>
              </w:rPr>
              <w:t>Committee Draft</w:t>
            </w:r>
          </w:p>
        </w:tc>
      </w:tr>
      <w:tr w:rsidR="00251D45" w:rsidRPr="00380B40" w14:paraId="118F8677" w14:textId="77777777" w:rsidTr="0066753F">
        <w:tc>
          <w:tcPr>
            <w:tcW w:w="1269" w:type="dxa"/>
          </w:tcPr>
          <w:p w14:paraId="0D321000" w14:textId="77777777" w:rsidR="00251D45" w:rsidRPr="00380B40" w:rsidRDefault="00251D45" w:rsidP="00AE3066">
            <w:pPr>
              <w:spacing w:before="120"/>
              <w:rPr>
                <w:lang w:val="en-GB"/>
              </w:rPr>
            </w:pPr>
            <w:r w:rsidRPr="00380B40">
              <w:rPr>
                <w:lang w:val="en-GB"/>
              </w:rPr>
              <w:t>COR</w:t>
            </w:r>
          </w:p>
        </w:tc>
        <w:tc>
          <w:tcPr>
            <w:tcW w:w="8360" w:type="dxa"/>
          </w:tcPr>
          <w:p w14:paraId="549C7709" w14:textId="77777777" w:rsidR="00251D45" w:rsidRPr="00380B40" w:rsidRDefault="00251D45" w:rsidP="00AE3066">
            <w:pPr>
              <w:spacing w:before="120"/>
              <w:rPr>
                <w:lang w:val="en-GB"/>
              </w:rPr>
            </w:pPr>
            <w:r w:rsidRPr="00380B40">
              <w:rPr>
                <w:lang w:val="en-GB"/>
              </w:rPr>
              <w:t>Technical Corrigendum</w:t>
            </w:r>
          </w:p>
        </w:tc>
      </w:tr>
      <w:tr w:rsidR="00251D45" w:rsidRPr="00380B40" w14:paraId="7CF6140B" w14:textId="77777777" w:rsidTr="0066753F">
        <w:tc>
          <w:tcPr>
            <w:tcW w:w="1269" w:type="dxa"/>
          </w:tcPr>
          <w:p w14:paraId="4A262FD0" w14:textId="77777777" w:rsidR="00251D45" w:rsidRPr="00380B40" w:rsidRDefault="00251D45" w:rsidP="00AE3066">
            <w:pPr>
              <w:spacing w:before="120"/>
              <w:rPr>
                <w:lang w:val="en-GB"/>
              </w:rPr>
            </w:pPr>
            <w:r w:rsidRPr="00380B40">
              <w:rPr>
                <w:lang w:val="en-GB"/>
              </w:rPr>
              <w:t>DAM</w:t>
            </w:r>
          </w:p>
        </w:tc>
        <w:tc>
          <w:tcPr>
            <w:tcW w:w="8360" w:type="dxa"/>
          </w:tcPr>
          <w:p w14:paraId="36051B53" w14:textId="77777777" w:rsidR="00251D45" w:rsidRPr="00380B40" w:rsidRDefault="00251D45" w:rsidP="00AE3066">
            <w:pPr>
              <w:spacing w:before="120"/>
              <w:rPr>
                <w:lang w:val="en-GB"/>
              </w:rPr>
            </w:pPr>
            <w:r w:rsidRPr="00380B40">
              <w:rPr>
                <w:lang w:val="en-GB"/>
              </w:rPr>
              <w:t>Draft Amendment</w:t>
            </w:r>
          </w:p>
        </w:tc>
      </w:tr>
      <w:tr w:rsidR="00251D45" w:rsidRPr="00380B40" w14:paraId="322F7B2E" w14:textId="77777777" w:rsidTr="0066753F">
        <w:tc>
          <w:tcPr>
            <w:tcW w:w="1269" w:type="dxa"/>
          </w:tcPr>
          <w:p w14:paraId="076BE27C" w14:textId="77777777" w:rsidR="00251D45" w:rsidRPr="00380B40" w:rsidRDefault="00251D45" w:rsidP="00AE3066">
            <w:pPr>
              <w:spacing w:before="120"/>
              <w:rPr>
                <w:lang w:val="en-GB"/>
              </w:rPr>
            </w:pPr>
            <w:r w:rsidRPr="00380B40">
              <w:rPr>
                <w:lang w:val="en-GB"/>
              </w:rPr>
              <w:t>DCOR</w:t>
            </w:r>
          </w:p>
        </w:tc>
        <w:tc>
          <w:tcPr>
            <w:tcW w:w="8360" w:type="dxa"/>
          </w:tcPr>
          <w:p w14:paraId="50DC6585" w14:textId="77777777" w:rsidR="00251D45" w:rsidRPr="00380B40" w:rsidRDefault="00251D45" w:rsidP="00AE3066">
            <w:pPr>
              <w:spacing w:before="120"/>
              <w:rPr>
                <w:lang w:val="en-GB"/>
              </w:rPr>
            </w:pPr>
            <w:r w:rsidRPr="00380B40">
              <w:rPr>
                <w:lang w:val="en-GB"/>
              </w:rPr>
              <w:t>Draft Technical Corrigendum</w:t>
            </w:r>
          </w:p>
        </w:tc>
      </w:tr>
      <w:tr w:rsidR="00251D45" w:rsidRPr="00380B40" w14:paraId="7CC64EDA" w14:textId="77777777" w:rsidTr="0066753F">
        <w:tc>
          <w:tcPr>
            <w:tcW w:w="1269" w:type="dxa"/>
          </w:tcPr>
          <w:p w14:paraId="629561B6" w14:textId="77777777" w:rsidR="00251D45" w:rsidRPr="00380B40" w:rsidRDefault="00251D45" w:rsidP="00AE3066">
            <w:pPr>
              <w:spacing w:before="120"/>
              <w:rPr>
                <w:lang w:val="en-GB"/>
              </w:rPr>
            </w:pPr>
            <w:r w:rsidRPr="00380B40">
              <w:rPr>
                <w:lang w:val="en-GB"/>
              </w:rPr>
              <w:t>DIS</w:t>
            </w:r>
          </w:p>
        </w:tc>
        <w:tc>
          <w:tcPr>
            <w:tcW w:w="8360" w:type="dxa"/>
          </w:tcPr>
          <w:p w14:paraId="17D26055" w14:textId="77777777" w:rsidR="00251D45" w:rsidRPr="00380B40" w:rsidRDefault="00251D45" w:rsidP="00AE3066">
            <w:pPr>
              <w:spacing w:before="120"/>
              <w:rPr>
                <w:lang w:val="en-GB"/>
              </w:rPr>
            </w:pPr>
            <w:r w:rsidRPr="00380B40">
              <w:rPr>
                <w:lang w:val="en-GB"/>
              </w:rPr>
              <w:t>Draft International Standard</w:t>
            </w:r>
          </w:p>
        </w:tc>
      </w:tr>
      <w:tr w:rsidR="00251D45" w:rsidRPr="00380B40" w14:paraId="71E46110" w14:textId="77777777" w:rsidTr="0066753F">
        <w:tc>
          <w:tcPr>
            <w:tcW w:w="1269" w:type="dxa"/>
          </w:tcPr>
          <w:p w14:paraId="5ECC0751" w14:textId="77777777" w:rsidR="00251D45" w:rsidRPr="00380B40" w:rsidRDefault="00251D45" w:rsidP="00AE3066">
            <w:pPr>
              <w:spacing w:before="120"/>
              <w:rPr>
                <w:lang w:val="en-GB"/>
              </w:rPr>
            </w:pPr>
            <w:r w:rsidRPr="00380B40">
              <w:rPr>
                <w:lang w:val="en-GB"/>
              </w:rPr>
              <w:t>DTR</w:t>
            </w:r>
          </w:p>
        </w:tc>
        <w:tc>
          <w:tcPr>
            <w:tcW w:w="8360" w:type="dxa"/>
          </w:tcPr>
          <w:p w14:paraId="54418DA9" w14:textId="77777777" w:rsidR="00251D45" w:rsidRPr="00380B40" w:rsidRDefault="00251D45" w:rsidP="00AE3066">
            <w:pPr>
              <w:spacing w:before="120"/>
              <w:rPr>
                <w:lang w:val="en-GB"/>
              </w:rPr>
            </w:pPr>
            <w:r w:rsidRPr="00380B40">
              <w:rPr>
                <w:lang w:val="en-GB"/>
              </w:rPr>
              <w:t>Draft Technical Report</w:t>
            </w:r>
          </w:p>
        </w:tc>
      </w:tr>
      <w:tr w:rsidR="00251D45" w:rsidRPr="00380B40" w14:paraId="2F675CA7" w14:textId="77777777" w:rsidTr="0066753F">
        <w:tc>
          <w:tcPr>
            <w:tcW w:w="1269" w:type="dxa"/>
          </w:tcPr>
          <w:p w14:paraId="616C8664" w14:textId="77777777" w:rsidR="00251D45" w:rsidRPr="00380B40" w:rsidRDefault="00251D45" w:rsidP="00AE3066">
            <w:pPr>
              <w:spacing w:before="120"/>
              <w:rPr>
                <w:lang w:val="en-GB"/>
              </w:rPr>
            </w:pPr>
            <w:r w:rsidRPr="00380B40">
              <w:rPr>
                <w:lang w:val="en-GB"/>
              </w:rPr>
              <w:t>FDAM</w:t>
            </w:r>
          </w:p>
        </w:tc>
        <w:tc>
          <w:tcPr>
            <w:tcW w:w="8360" w:type="dxa"/>
          </w:tcPr>
          <w:p w14:paraId="1B6C939B" w14:textId="77777777" w:rsidR="00251D45" w:rsidRPr="00380B40" w:rsidRDefault="00251D45" w:rsidP="00AE3066">
            <w:pPr>
              <w:spacing w:before="120"/>
              <w:rPr>
                <w:lang w:val="en-GB"/>
              </w:rPr>
            </w:pPr>
            <w:r w:rsidRPr="00380B40">
              <w:rPr>
                <w:lang w:val="en-GB"/>
              </w:rPr>
              <w:t>Final Draft Amendment</w:t>
            </w:r>
          </w:p>
        </w:tc>
      </w:tr>
      <w:tr w:rsidR="00251D45" w:rsidRPr="00380B40" w14:paraId="2566D0D1" w14:textId="77777777" w:rsidTr="0066753F">
        <w:tc>
          <w:tcPr>
            <w:tcW w:w="1269" w:type="dxa"/>
          </w:tcPr>
          <w:p w14:paraId="2B5A471D" w14:textId="77777777" w:rsidR="00251D45" w:rsidRPr="00380B40" w:rsidRDefault="00251D45" w:rsidP="00AE3066">
            <w:pPr>
              <w:spacing w:before="120"/>
              <w:rPr>
                <w:lang w:val="en-GB"/>
              </w:rPr>
            </w:pPr>
            <w:r w:rsidRPr="00380B40">
              <w:rPr>
                <w:lang w:val="en-GB"/>
              </w:rPr>
              <w:t>FDIS</w:t>
            </w:r>
          </w:p>
        </w:tc>
        <w:tc>
          <w:tcPr>
            <w:tcW w:w="8360" w:type="dxa"/>
          </w:tcPr>
          <w:p w14:paraId="4166F236" w14:textId="77777777" w:rsidR="00251D45" w:rsidRPr="00380B40" w:rsidRDefault="00251D45" w:rsidP="00AE3066">
            <w:pPr>
              <w:spacing w:before="120"/>
              <w:rPr>
                <w:lang w:val="en-GB"/>
              </w:rPr>
            </w:pPr>
            <w:r w:rsidRPr="00380B40">
              <w:rPr>
                <w:lang w:val="en-GB"/>
              </w:rPr>
              <w:t>Final Draft International Standard</w:t>
            </w:r>
          </w:p>
        </w:tc>
      </w:tr>
      <w:tr w:rsidR="00251D45" w:rsidRPr="00380B40" w14:paraId="75BD702A" w14:textId="77777777" w:rsidTr="0066753F">
        <w:tc>
          <w:tcPr>
            <w:tcW w:w="1269" w:type="dxa"/>
          </w:tcPr>
          <w:p w14:paraId="7465BB8A" w14:textId="77777777" w:rsidR="00251D45" w:rsidRPr="00380B40" w:rsidRDefault="00251D45" w:rsidP="00AE3066">
            <w:pPr>
              <w:spacing w:before="120"/>
              <w:rPr>
                <w:lang w:val="en-GB"/>
              </w:rPr>
            </w:pPr>
            <w:r w:rsidRPr="00380B40">
              <w:rPr>
                <w:lang w:val="en-GB"/>
              </w:rPr>
              <w:t>IEC</w:t>
            </w:r>
          </w:p>
        </w:tc>
        <w:tc>
          <w:tcPr>
            <w:tcW w:w="8360" w:type="dxa"/>
          </w:tcPr>
          <w:p w14:paraId="7DD88042" w14:textId="77777777" w:rsidR="00251D45" w:rsidRPr="00380B40" w:rsidRDefault="00251D45" w:rsidP="00AE3066">
            <w:pPr>
              <w:spacing w:before="120"/>
              <w:rPr>
                <w:lang w:val="en-GB"/>
              </w:rPr>
            </w:pPr>
            <w:r w:rsidRPr="00380B40">
              <w:rPr>
                <w:lang w:val="en-GB"/>
              </w:rPr>
              <w:t>International Electrotechnical Commission</w:t>
            </w:r>
          </w:p>
        </w:tc>
      </w:tr>
      <w:tr w:rsidR="00251D45" w:rsidRPr="00380B40" w14:paraId="51098AC7" w14:textId="77777777" w:rsidTr="0066753F">
        <w:tc>
          <w:tcPr>
            <w:tcW w:w="1269" w:type="dxa"/>
          </w:tcPr>
          <w:p w14:paraId="7F84F5C3" w14:textId="77777777" w:rsidR="00251D45" w:rsidRPr="00380B40" w:rsidRDefault="00251D45" w:rsidP="00AE3066">
            <w:pPr>
              <w:spacing w:before="120"/>
              <w:rPr>
                <w:lang w:val="en-GB"/>
              </w:rPr>
            </w:pPr>
            <w:r w:rsidRPr="00380B40">
              <w:rPr>
                <w:lang w:val="en-GB"/>
              </w:rPr>
              <w:t>IS</w:t>
            </w:r>
          </w:p>
        </w:tc>
        <w:tc>
          <w:tcPr>
            <w:tcW w:w="8360" w:type="dxa"/>
          </w:tcPr>
          <w:p w14:paraId="2AD53972" w14:textId="77777777" w:rsidR="00251D45" w:rsidRPr="00380B40" w:rsidRDefault="00251D45" w:rsidP="00AE3066">
            <w:pPr>
              <w:spacing w:before="120"/>
              <w:rPr>
                <w:lang w:val="en-GB"/>
              </w:rPr>
            </w:pPr>
            <w:r w:rsidRPr="00380B40">
              <w:rPr>
                <w:lang w:val="en-GB"/>
              </w:rPr>
              <w:t>International Standard</w:t>
            </w:r>
          </w:p>
        </w:tc>
      </w:tr>
      <w:tr w:rsidR="00251D45" w:rsidRPr="00380B40" w14:paraId="7FE8B400" w14:textId="77777777" w:rsidTr="0066753F">
        <w:tc>
          <w:tcPr>
            <w:tcW w:w="1269" w:type="dxa"/>
          </w:tcPr>
          <w:p w14:paraId="761DCF41" w14:textId="77777777" w:rsidR="00251D45" w:rsidRPr="00380B40" w:rsidRDefault="00251D45" w:rsidP="00AE3066">
            <w:pPr>
              <w:spacing w:before="120"/>
              <w:rPr>
                <w:lang w:val="en-GB"/>
              </w:rPr>
            </w:pPr>
            <w:r w:rsidRPr="00380B40">
              <w:rPr>
                <w:lang w:val="en-GB"/>
              </w:rPr>
              <w:t>ISO</w:t>
            </w:r>
          </w:p>
        </w:tc>
        <w:tc>
          <w:tcPr>
            <w:tcW w:w="8360" w:type="dxa"/>
          </w:tcPr>
          <w:p w14:paraId="70A4DE15" w14:textId="77777777" w:rsidR="00251D45" w:rsidRPr="00380B40" w:rsidRDefault="00251D45" w:rsidP="00AE3066">
            <w:pPr>
              <w:spacing w:before="120"/>
              <w:rPr>
                <w:lang w:val="en-GB"/>
              </w:rPr>
            </w:pPr>
            <w:r w:rsidRPr="00380B40">
              <w:rPr>
                <w:lang w:val="en-GB"/>
              </w:rPr>
              <w:t>International Organization for Standardization</w:t>
            </w:r>
          </w:p>
        </w:tc>
      </w:tr>
      <w:tr w:rsidR="00251D45" w:rsidRPr="00380B40" w14:paraId="0704480C" w14:textId="77777777" w:rsidTr="0066753F">
        <w:tc>
          <w:tcPr>
            <w:tcW w:w="1269" w:type="dxa"/>
          </w:tcPr>
          <w:p w14:paraId="1D4E6541" w14:textId="77777777" w:rsidR="00251D45" w:rsidRPr="00380B40" w:rsidRDefault="00251D45" w:rsidP="00AE3066">
            <w:pPr>
              <w:spacing w:before="120"/>
              <w:rPr>
                <w:lang w:val="en-GB"/>
              </w:rPr>
            </w:pPr>
            <w:r w:rsidRPr="00380B40">
              <w:rPr>
                <w:lang w:val="en-GB"/>
              </w:rPr>
              <w:t>ISP</w:t>
            </w:r>
          </w:p>
        </w:tc>
        <w:tc>
          <w:tcPr>
            <w:tcW w:w="8360" w:type="dxa"/>
          </w:tcPr>
          <w:p w14:paraId="638F2ED3" w14:textId="77777777" w:rsidR="00251D45" w:rsidRPr="00380B40" w:rsidRDefault="00251D45" w:rsidP="00AE3066">
            <w:pPr>
              <w:spacing w:before="120"/>
              <w:rPr>
                <w:lang w:val="en-GB"/>
              </w:rPr>
            </w:pPr>
            <w:r w:rsidRPr="00380B40">
              <w:rPr>
                <w:lang w:val="en-GB"/>
              </w:rPr>
              <w:t>International Standardized Profile</w:t>
            </w:r>
          </w:p>
        </w:tc>
      </w:tr>
      <w:tr w:rsidR="00251D45" w:rsidRPr="00380B40" w14:paraId="5C156934" w14:textId="77777777" w:rsidTr="0066753F">
        <w:tc>
          <w:tcPr>
            <w:tcW w:w="1269" w:type="dxa"/>
          </w:tcPr>
          <w:p w14:paraId="4A4C9D58" w14:textId="77777777" w:rsidR="00251D45" w:rsidRPr="00380B40" w:rsidRDefault="00251D45" w:rsidP="00AE3066">
            <w:pPr>
              <w:spacing w:before="120"/>
              <w:rPr>
                <w:lang w:val="en-GB"/>
              </w:rPr>
            </w:pPr>
            <w:r w:rsidRPr="00380B40">
              <w:rPr>
                <w:lang w:val="en-GB"/>
              </w:rPr>
              <w:t>ITTF</w:t>
            </w:r>
          </w:p>
        </w:tc>
        <w:tc>
          <w:tcPr>
            <w:tcW w:w="8360" w:type="dxa"/>
          </w:tcPr>
          <w:p w14:paraId="783D2084" w14:textId="77777777" w:rsidR="00251D45" w:rsidRPr="00380B40" w:rsidRDefault="00251D45" w:rsidP="00AE3066">
            <w:pPr>
              <w:spacing w:before="120"/>
              <w:rPr>
                <w:lang w:val="en-GB"/>
              </w:rPr>
            </w:pPr>
            <w:r w:rsidRPr="00380B40">
              <w:rPr>
                <w:lang w:val="en-GB"/>
              </w:rPr>
              <w:t>Information Technology Task Force</w:t>
            </w:r>
          </w:p>
        </w:tc>
      </w:tr>
      <w:tr w:rsidR="00251D45" w:rsidRPr="00380B40" w14:paraId="3162511D" w14:textId="77777777" w:rsidTr="0066753F">
        <w:tc>
          <w:tcPr>
            <w:tcW w:w="1269" w:type="dxa"/>
          </w:tcPr>
          <w:p w14:paraId="3C71D678" w14:textId="77777777" w:rsidR="00251D45" w:rsidRPr="00380B40" w:rsidRDefault="00251D45" w:rsidP="00AE3066">
            <w:pPr>
              <w:spacing w:before="120"/>
              <w:rPr>
                <w:lang w:val="en-GB"/>
              </w:rPr>
            </w:pPr>
            <w:r w:rsidRPr="00380B40">
              <w:rPr>
                <w:lang w:val="en-GB"/>
              </w:rPr>
              <w:t>JTC 1</w:t>
            </w:r>
          </w:p>
        </w:tc>
        <w:tc>
          <w:tcPr>
            <w:tcW w:w="8360" w:type="dxa"/>
          </w:tcPr>
          <w:p w14:paraId="763D869E" w14:textId="77777777" w:rsidR="00251D45" w:rsidRPr="00380B40" w:rsidRDefault="00251D45" w:rsidP="00AE3066">
            <w:pPr>
              <w:spacing w:before="120"/>
              <w:rPr>
                <w:lang w:val="en-GB"/>
              </w:rPr>
            </w:pPr>
            <w:r w:rsidRPr="00380B40">
              <w:rPr>
                <w:lang w:val="en-GB"/>
              </w:rPr>
              <w:t>Joint Technical Committee 1</w:t>
            </w:r>
          </w:p>
        </w:tc>
      </w:tr>
      <w:tr w:rsidR="00251D45" w:rsidRPr="00380B40" w14:paraId="7D21E31C" w14:textId="77777777" w:rsidTr="0066753F">
        <w:tc>
          <w:tcPr>
            <w:tcW w:w="1269" w:type="dxa"/>
          </w:tcPr>
          <w:p w14:paraId="23CE86CD" w14:textId="77777777" w:rsidR="00251D45" w:rsidRPr="00380B40" w:rsidRDefault="00251D45" w:rsidP="00AE3066">
            <w:pPr>
              <w:spacing w:before="120"/>
              <w:rPr>
                <w:lang w:val="en-GB"/>
              </w:rPr>
            </w:pPr>
            <w:r w:rsidRPr="00380B40">
              <w:rPr>
                <w:lang w:val="en-GB"/>
              </w:rPr>
              <w:t>NP</w:t>
            </w:r>
          </w:p>
        </w:tc>
        <w:tc>
          <w:tcPr>
            <w:tcW w:w="8360" w:type="dxa"/>
          </w:tcPr>
          <w:p w14:paraId="451621F7" w14:textId="77777777" w:rsidR="00251D45" w:rsidRPr="00380B40" w:rsidRDefault="00251D45" w:rsidP="00AE3066">
            <w:pPr>
              <w:spacing w:before="120"/>
              <w:rPr>
                <w:lang w:val="en-GB"/>
              </w:rPr>
            </w:pPr>
            <w:r w:rsidRPr="00380B40">
              <w:rPr>
                <w:lang w:val="en-GB"/>
              </w:rPr>
              <w:t>New Work Item Proposal</w:t>
            </w:r>
          </w:p>
        </w:tc>
      </w:tr>
      <w:tr w:rsidR="00251D45" w:rsidRPr="00380B40" w14:paraId="30EA4791" w14:textId="77777777" w:rsidTr="0066753F">
        <w:tc>
          <w:tcPr>
            <w:tcW w:w="1269" w:type="dxa"/>
          </w:tcPr>
          <w:p w14:paraId="181295F8" w14:textId="77777777" w:rsidR="00251D45" w:rsidRPr="00380B40" w:rsidRDefault="00251D45" w:rsidP="00AE3066">
            <w:pPr>
              <w:spacing w:before="120"/>
              <w:rPr>
                <w:lang w:val="en-GB"/>
              </w:rPr>
            </w:pPr>
            <w:r w:rsidRPr="00380B40">
              <w:rPr>
                <w:lang w:val="en-GB"/>
              </w:rPr>
              <w:t>PDAM</w:t>
            </w:r>
          </w:p>
        </w:tc>
        <w:tc>
          <w:tcPr>
            <w:tcW w:w="8360" w:type="dxa"/>
          </w:tcPr>
          <w:p w14:paraId="1C101B0B" w14:textId="77777777" w:rsidR="00251D45" w:rsidRPr="00380B40" w:rsidRDefault="00251D45" w:rsidP="00AE3066">
            <w:pPr>
              <w:spacing w:before="120"/>
              <w:rPr>
                <w:lang w:val="en-GB"/>
              </w:rPr>
            </w:pPr>
            <w:r w:rsidRPr="00380B40">
              <w:rPr>
                <w:lang w:val="en-GB"/>
              </w:rPr>
              <w:t>Proposed Draft Amendment</w:t>
            </w:r>
          </w:p>
        </w:tc>
      </w:tr>
      <w:tr w:rsidR="00251D45" w:rsidRPr="00380B40" w14:paraId="1ACF921D" w14:textId="77777777" w:rsidTr="0066753F">
        <w:tc>
          <w:tcPr>
            <w:tcW w:w="1269" w:type="dxa"/>
          </w:tcPr>
          <w:p w14:paraId="26C865F6" w14:textId="77777777" w:rsidR="00251D45" w:rsidRPr="00380B40" w:rsidRDefault="00251D45" w:rsidP="00AE3066">
            <w:pPr>
              <w:spacing w:before="120"/>
              <w:rPr>
                <w:lang w:val="en-GB"/>
              </w:rPr>
            </w:pPr>
            <w:r w:rsidRPr="00380B40">
              <w:rPr>
                <w:lang w:val="en-GB"/>
              </w:rPr>
              <w:t>PDTR</w:t>
            </w:r>
          </w:p>
        </w:tc>
        <w:tc>
          <w:tcPr>
            <w:tcW w:w="8360" w:type="dxa"/>
          </w:tcPr>
          <w:p w14:paraId="70FC5180" w14:textId="77777777" w:rsidR="00251D45" w:rsidRPr="00380B40" w:rsidRDefault="00251D45" w:rsidP="00AE3066">
            <w:pPr>
              <w:spacing w:before="120"/>
              <w:rPr>
                <w:lang w:val="en-GB"/>
              </w:rPr>
            </w:pPr>
            <w:r w:rsidRPr="00380B40">
              <w:rPr>
                <w:lang w:val="en-GB"/>
              </w:rPr>
              <w:t>Proposed Draft Technical Report</w:t>
            </w:r>
          </w:p>
        </w:tc>
      </w:tr>
      <w:tr w:rsidR="00251D45" w:rsidRPr="00380B40" w14:paraId="1B5A360E" w14:textId="77777777" w:rsidTr="0066753F">
        <w:tc>
          <w:tcPr>
            <w:tcW w:w="1269" w:type="dxa"/>
          </w:tcPr>
          <w:p w14:paraId="28252AB1" w14:textId="77777777" w:rsidR="00251D45" w:rsidRPr="00380B40" w:rsidRDefault="00251D45" w:rsidP="00AE3066">
            <w:pPr>
              <w:spacing w:before="120"/>
              <w:rPr>
                <w:lang w:val="en-GB"/>
              </w:rPr>
            </w:pPr>
            <w:r w:rsidRPr="00380B40">
              <w:rPr>
                <w:lang w:val="en-GB"/>
              </w:rPr>
              <w:t>SC</w:t>
            </w:r>
          </w:p>
        </w:tc>
        <w:tc>
          <w:tcPr>
            <w:tcW w:w="8360" w:type="dxa"/>
          </w:tcPr>
          <w:p w14:paraId="34E39F12" w14:textId="77777777" w:rsidR="00251D45" w:rsidRPr="00380B40" w:rsidRDefault="00251D45" w:rsidP="00AE3066">
            <w:pPr>
              <w:spacing w:before="120"/>
              <w:rPr>
                <w:lang w:val="en-GB"/>
              </w:rPr>
            </w:pPr>
            <w:r w:rsidRPr="00380B40">
              <w:rPr>
                <w:lang w:val="en-GB"/>
              </w:rPr>
              <w:t>Subcommittee</w:t>
            </w:r>
          </w:p>
        </w:tc>
      </w:tr>
      <w:tr w:rsidR="00251D45" w:rsidRPr="00380B40" w14:paraId="0B25AC0A" w14:textId="77777777" w:rsidTr="0066753F">
        <w:tc>
          <w:tcPr>
            <w:tcW w:w="1269" w:type="dxa"/>
          </w:tcPr>
          <w:p w14:paraId="6ED8799F" w14:textId="77777777" w:rsidR="00251D45" w:rsidRPr="00380B40" w:rsidRDefault="00251D45" w:rsidP="00AE3066">
            <w:pPr>
              <w:spacing w:before="120"/>
              <w:rPr>
                <w:lang w:val="en-GB"/>
              </w:rPr>
            </w:pPr>
            <w:r w:rsidRPr="00380B40">
              <w:rPr>
                <w:lang w:val="en-GB"/>
              </w:rPr>
              <w:t>SWG</w:t>
            </w:r>
          </w:p>
        </w:tc>
        <w:tc>
          <w:tcPr>
            <w:tcW w:w="8360" w:type="dxa"/>
          </w:tcPr>
          <w:p w14:paraId="01BEADFE" w14:textId="77777777" w:rsidR="00251D45" w:rsidRPr="00380B40" w:rsidRDefault="00251D45" w:rsidP="00AE3066">
            <w:pPr>
              <w:spacing w:before="120"/>
              <w:rPr>
                <w:lang w:val="en-GB"/>
              </w:rPr>
            </w:pPr>
            <w:r w:rsidRPr="00380B40">
              <w:rPr>
                <w:lang w:val="en-GB"/>
              </w:rPr>
              <w:t>Special Working Group</w:t>
            </w:r>
          </w:p>
        </w:tc>
      </w:tr>
      <w:tr w:rsidR="00251D45" w:rsidRPr="00380B40" w14:paraId="46E15100" w14:textId="77777777" w:rsidTr="0066753F">
        <w:tc>
          <w:tcPr>
            <w:tcW w:w="1269" w:type="dxa"/>
          </w:tcPr>
          <w:p w14:paraId="3F45A90B" w14:textId="77777777" w:rsidR="00251D45" w:rsidRPr="00380B40" w:rsidRDefault="00251D45" w:rsidP="00AE3066">
            <w:pPr>
              <w:spacing w:before="120"/>
              <w:rPr>
                <w:lang w:val="en-GB"/>
              </w:rPr>
            </w:pPr>
            <w:r w:rsidRPr="00380B40">
              <w:rPr>
                <w:lang w:val="en-GB"/>
              </w:rPr>
              <w:t>TR</w:t>
            </w:r>
          </w:p>
        </w:tc>
        <w:tc>
          <w:tcPr>
            <w:tcW w:w="8360" w:type="dxa"/>
          </w:tcPr>
          <w:p w14:paraId="6E72D84F" w14:textId="77777777" w:rsidR="00251D45" w:rsidRPr="00380B40" w:rsidRDefault="00251D45" w:rsidP="00AE3066">
            <w:pPr>
              <w:spacing w:before="120"/>
              <w:rPr>
                <w:lang w:val="en-GB"/>
              </w:rPr>
            </w:pPr>
            <w:r w:rsidRPr="00380B40">
              <w:rPr>
                <w:lang w:val="en-GB"/>
              </w:rPr>
              <w:t>Technical Report</w:t>
            </w:r>
          </w:p>
        </w:tc>
      </w:tr>
      <w:tr w:rsidR="00251D45" w:rsidRPr="00380B40" w14:paraId="653C6DAE" w14:textId="77777777" w:rsidTr="0066753F">
        <w:tc>
          <w:tcPr>
            <w:tcW w:w="1269" w:type="dxa"/>
          </w:tcPr>
          <w:p w14:paraId="4CED420B" w14:textId="77777777" w:rsidR="00251D45" w:rsidRPr="00380B40" w:rsidRDefault="00251D45" w:rsidP="00AE3066">
            <w:pPr>
              <w:spacing w:before="120"/>
              <w:rPr>
                <w:lang w:val="en-GB"/>
              </w:rPr>
            </w:pPr>
            <w:r w:rsidRPr="00380B40">
              <w:rPr>
                <w:lang w:val="en-GB"/>
              </w:rPr>
              <w:t>TS</w:t>
            </w:r>
          </w:p>
        </w:tc>
        <w:tc>
          <w:tcPr>
            <w:tcW w:w="8360" w:type="dxa"/>
          </w:tcPr>
          <w:p w14:paraId="450B800E" w14:textId="77777777" w:rsidR="00251D45" w:rsidRPr="00380B40" w:rsidRDefault="00251D45" w:rsidP="00AE3066">
            <w:pPr>
              <w:spacing w:before="120"/>
              <w:rPr>
                <w:lang w:val="en-GB"/>
              </w:rPr>
            </w:pPr>
            <w:r w:rsidRPr="00380B40">
              <w:rPr>
                <w:lang w:val="en-GB"/>
              </w:rPr>
              <w:t>Technical Specification</w:t>
            </w:r>
          </w:p>
        </w:tc>
      </w:tr>
      <w:tr w:rsidR="00251D45" w:rsidRPr="00380B40" w14:paraId="789DB408" w14:textId="77777777" w:rsidTr="0066753F">
        <w:tc>
          <w:tcPr>
            <w:tcW w:w="1269" w:type="dxa"/>
          </w:tcPr>
          <w:p w14:paraId="5A4888D2" w14:textId="77777777" w:rsidR="00251D45" w:rsidRPr="00380B40" w:rsidRDefault="00251D45" w:rsidP="00AE3066">
            <w:pPr>
              <w:spacing w:before="120"/>
              <w:rPr>
                <w:lang w:val="en-GB"/>
              </w:rPr>
            </w:pPr>
            <w:r w:rsidRPr="00380B40">
              <w:rPr>
                <w:lang w:val="en-GB"/>
              </w:rPr>
              <w:t>WD</w:t>
            </w:r>
          </w:p>
        </w:tc>
        <w:tc>
          <w:tcPr>
            <w:tcW w:w="8360" w:type="dxa"/>
          </w:tcPr>
          <w:p w14:paraId="2BB5CD9C" w14:textId="77777777" w:rsidR="00251D45" w:rsidRPr="00380B40" w:rsidRDefault="00251D45" w:rsidP="00AE3066">
            <w:pPr>
              <w:spacing w:before="120"/>
              <w:rPr>
                <w:lang w:val="en-GB"/>
              </w:rPr>
            </w:pPr>
            <w:r w:rsidRPr="00380B40">
              <w:rPr>
                <w:lang w:val="en-GB"/>
              </w:rPr>
              <w:t>Working Draft</w:t>
            </w:r>
          </w:p>
        </w:tc>
      </w:tr>
      <w:tr w:rsidR="00251D45" w:rsidRPr="00380B40" w14:paraId="15922674" w14:textId="77777777" w:rsidTr="0066753F">
        <w:tc>
          <w:tcPr>
            <w:tcW w:w="1269" w:type="dxa"/>
          </w:tcPr>
          <w:p w14:paraId="5510995B" w14:textId="77777777" w:rsidR="00251D45" w:rsidRPr="00380B40" w:rsidRDefault="00251D45" w:rsidP="00AE3066">
            <w:pPr>
              <w:spacing w:before="120"/>
              <w:rPr>
                <w:lang w:val="en-GB"/>
              </w:rPr>
            </w:pPr>
            <w:r w:rsidRPr="00380B40">
              <w:rPr>
                <w:lang w:val="en-GB"/>
              </w:rPr>
              <w:t>WG</w:t>
            </w:r>
          </w:p>
        </w:tc>
        <w:tc>
          <w:tcPr>
            <w:tcW w:w="8360" w:type="dxa"/>
          </w:tcPr>
          <w:p w14:paraId="78D81B09" w14:textId="77777777" w:rsidR="00251D45" w:rsidRPr="00380B40" w:rsidRDefault="00251D45" w:rsidP="00AE3066">
            <w:pPr>
              <w:spacing w:before="120"/>
              <w:rPr>
                <w:lang w:val="en-GB"/>
              </w:rPr>
            </w:pPr>
            <w:r w:rsidRPr="00380B40">
              <w:rPr>
                <w:lang w:val="en-GB"/>
              </w:rPr>
              <w:t>Working Group</w:t>
            </w:r>
          </w:p>
        </w:tc>
      </w:tr>
    </w:tbl>
    <w:p w14:paraId="22D9DF1F" w14:textId="77777777" w:rsidR="00523689" w:rsidRPr="00380B40" w:rsidRDefault="00523689" w:rsidP="00523689">
      <w:pPr>
        <w:pStyle w:val="Heading3"/>
        <w:ind w:left="0" w:firstLine="0"/>
        <w:rPr>
          <w:lang w:val="en-GB"/>
        </w:rPr>
      </w:pPr>
      <w:bookmarkStart w:id="1351" w:name="_Toc3708707"/>
      <w:bookmarkStart w:id="1352" w:name="_Toc229895856"/>
      <w:bookmarkStart w:id="1353" w:name="_Toc229896158"/>
      <w:bookmarkStart w:id="1354" w:name="_Toc111636973"/>
      <w:r w:rsidRPr="00380B40">
        <w:rPr>
          <w:lang w:val="en-GB"/>
        </w:rPr>
        <w:t>1.6.3</w:t>
      </w:r>
      <w:r w:rsidRPr="00380B40">
        <w:rPr>
          <w:lang w:val="en-GB"/>
        </w:rPr>
        <w:tab/>
        <w:t>ITU-T and JTC 1 cooperation abbreviations</w:t>
      </w:r>
      <w:bookmarkEnd w:id="1351"/>
      <w:bookmarkEnd w:id="1352"/>
      <w:bookmarkEnd w:id="1353"/>
      <w:bookmarkEnd w:id="135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4"/>
        <w:gridCol w:w="8355"/>
      </w:tblGrid>
      <w:tr w:rsidR="00251D45" w:rsidRPr="00380B40" w14:paraId="7B995184" w14:textId="77777777" w:rsidTr="0066753F">
        <w:tc>
          <w:tcPr>
            <w:tcW w:w="1283" w:type="dxa"/>
          </w:tcPr>
          <w:p w14:paraId="1B517DD5" w14:textId="77777777" w:rsidR="00251D45" w:rsidRPr="00380B40" w:rsidRDefault="00251D45" w:rsidP="00AE3066">
            <w:pPr>
              <w:spacing w:before="120"/>
              <w:rPr>
                <w:lang w:val="en-GB"/>
              </w:rPr>
            </w:pPr>
            <w:r w:rsidRPr="00380B40">
              <w:rPr>
                <w:lang w:val="en-GB"/>
              </w:rPr>
              <w:t>CT</w:t>
            </w:r>
          </w:p>
        </w:tc>
        <w:tc>
          <w:tcPr>
            <w:tcW w:w="8346" w:type="dxa"/>
          </w:tcPr>
          <w:p w14:paraId="2055187E" w14:textId="77777777" w:rsidR="00251D45" w:rsidRPr="00380B40" w:rsidRDefault="00251D45" w:rsidP="00AE3066">
            <w:pPr>
              <w:spacing w:before="120"/>
              <w:rPr>
                <w:lang w:val="en-GB"/>
              </w:rPr>
            </w:pPr>
            <w:r w:rsidRPr="00380B40">
              <w:rPr>
                <w:lang w:val="en-GB"/>
              </w:rPr>
              <w:t>Collaborative Team</w:t>
            </w:r>
          </w:p>
        </w:tc>
      </w:tr>
    </w:tbl>
    <w:p w14:paraId="7FA807F7" w14:textId="77777777" w:rsidR="00B348EA" w:rsidRPr="00380B40" w:rsidRDefault="00B348EA" w:rsidP="00B348EA">
      <w:pPr>
        <w:rPr>
          <w:lang w:val="en-GB"/>
        </w:rPr>
      </w:pPr>
      <w:bookmarkStart w:id="1355" w:name="_Toc382734820"/>
      <w:bookmarkStart w:id="1356" w:name="_Toc3708708"/>
      <w:bookmarkStart w:id="1357" w:name="_Toc229895857"/>
      <w:bookmarkStart w:id="1358" w:name="_Toc229896159"/>
      <w:bookmarkStart w:id="1359" w:name="_Toc398284228"/>
      <w:bookmarkStart w:id="1360" w:name="_Toc401035447"/>
      <w:bookmarkStart w:id="1361" w:name="_Toc401312701"/>
      <w:bookmarkStart w:id="1362" w:name="_Toc401313057"/>
      <w:r w:rsidRPr="00380B40">
        <w:rPr>
          <w:lang w:val="en-GB"/>
        </w:rPr>
        <w:br w:type="page"/>
      </w:r>
    </w:p>
    <w:p w14:paraId="6C467947" w14:textId="77777777" w:rsidR="00523689" w:rsidRPr="00380B40" w:rsidRDefault="00523689" w:rsidP="00523689">
      <w:pPr>
        <w:pStyle w:val="Heading1"/>
        <w:rPr>
          <w:sz w:val="20"/>
          <w:lang w:val="en-GB"/>
        </w:rPr>
      </w:pPr>
      <w:bookmarkStart w:id="1363" w:name="_Toc111636974"/>
      <w:r w:rsidRPr="00380B40">
        <w:rPr>
          <w:lang w:val="en-GB"/>
        </w:rPr>
        <w:t>2</w:t>
      </w:r>
      <w:r w:rsidRPr="00380B40">
        <w:rPr>
          <w:lang w:val="en-GB"/>
        </w:rPr>
        <w:tab/>
        <w:t>Organizational structures</w:t>
      </w:r>
      <w:bookmarkEnd w:id="1355"/>
      <w:bookmarkEnd w:id="1356"/>
      <w:bookmarkEnd w:id="1357"/>
      <w:bookmarkEnd w:id="1358"/>
      <w:bookmarkEnd w:id="1359"/>
      <w:bookmarkEnd w:id="1360"/>
      <w:bookmarkEnd w:id="1361"/>
      <w:bookmarkEnd w:id="1362"/>
      <w:bookmarkEnd w:id="1363"/>
    </w:p>
    <w:p w14:paraId="66A77E05" w14:textId="77777777" w:rsidR="00B348EA" w:rsidRPr="00380B40" w:rsidRDefault="00523689" w:rsidP="00B348EA">
      <w:pPr>
        <w:rPr>
          <w:lang w:val="en-GB"/>
        </w:rPr>
      </w:pPr>
      <w:r w:rsidRPr="00380B40">
        <w:rPr>
          <w:lang w:val="en-GB"/>
        </w:rPr>
        <w:t>ITU-T and JTC 1 have similar organizational structures for carrying out technical work. The major ITU-T organizational unit is the Study Group (SG) which is comparable to a Subcommittee (SC) within JTC 1. Table 1 lists the ten ITU</w:t>
      </w:r>
      <w:r w:rsidRPr="00380B40">
        <w:rPr>
          <w:lang w:val="en-GB"/>
        </w:rPr>
        <w:noBreakHyphen/>
        <w:t xml:space="preserve">T Study Groups as of September 2013 (an up-to-date list may be found on the ITU website at </w:t>
      </w:r>
      <w:hyperlink r:id="rId428" w:history="1">
        <w:r w:rsidR="00BC053D" w:rsidRPr="00380B40">
          <w:rPr>
            <w:rStyle w:val="Hyperlink"/>
            <w:lang w:val="en-GB"/>
          </w:rPr>
          <w:t>http://itu.int</w:t>
        </w:r>
      </w:hyperlink>
      <w:r w:rsidRPr="00380B40">
        <w:rPr>
          <w:lang w:val="en-GB"/>
        </w:rPr>
        <w:t xml:space="preserve">). Table 2 lists the nineteen Subcommittees of JTC 1 as of September 2013 (an up-to-date list may be found on the JTC 1 website at </w:t>
      </w:r>
      <w:hyperlink r:id="rId429" w:history="1">
        <w:r w:rsidR="00BC053D" w:rsidRPr="00380B40">
          <w:rPr>
            <w:rStyle w:val="Hyperlink"/>
            <w:lang w:val="en-GB"/>
          </w:rPr>
          <w:t>http://jtc1.org</w:t>
        </w:r>
      </w:hyperlink>
      <w:r w:rsidRPr="00380B40">
        <w:rPr>
          <w:lang w:val="en-GB"/>
        </w:rPr>
        <w:t>).</w:t>
      </w:r>
    </w:p>
    <w:p w14:paraId="429A6EF1" w14:textId="77777777" w:rsidR="00523689" w:rsidRPr="00380B40" w:rsidRDefault="00523689" w:rsidP="00566AA6">
      <w:pPr>
        <w:pStyle w:val="TableNoTitle1"/>
      </w:pPr>
      <w:r w:rsidRPr="00380B40">
        <w:t>Table 1 – List of ITU-T Study Groups</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8"/>
        <w:gridCol w:w="8221"/>
      </w:tblGrid>
      <w:tr w:rsidR="00523689" w:rsidRPr="00380B40" w14:paraId="16344340" w14:textId="77777777" w:rsidTr="00DE1739">
        <w:tc>
          <w:tcPr>
            <w:tcW w:w="1418" w:type="dxa"/>
            <w:shd w:val="clear" w:color="auto" w:fill="auto"/>
          </w:tcPr>
          <w:p w14:paraId="399EE752" w14:textId="77777777" w:rsidR="00523689" w:rsidRPr="00380B40" w:rsidRDefault="00523689" w:rsidP="00427615">
            <w:pPr>
              <w:pStyle w:val="Tableheadwhitecentred"/>
            </w:pPr>
            <w:r w:rsidRPr="00380B40">
              <w:t>Designation</w:t>
            </w:r>
          </w:p>
        </w:tc>
        <w:tc>
          <w:tcPr>
            <w:tcW w:w="8221" w:type="dxa"/>
            <w:shd w:val="clear" w:color="auto" w:fill="auto"/>
          </w:tcPr>
          <w:p w14:paraId="201D117A" w14:textId="77777777" w:rsidR="00523689" w:rsidRPr="00380B40" w:rsidRDefault="00523689" w:rsidP="00427615">
            <w:pPr>
              <w:pStyle w:val="Tableheadwhitecentred"/>
            </w:pPr>
            <w:r w:rsidRPr="00380B40">
              <w:t>Title</w:t>
            </w:r>
          </w:p>
        </w:tc>
      </w:tr>
      <w:tr w:rsidR="00523689" w:rsidRPr="004E0F36" w14:paraId="416FFF50" w14:textId="77777777" w:rsidTr="00DE1739">
        <w:tc>
          <w:tcPr>
            <w:tcW w:w="1418" w:type="dxa"/>
            <w:shd w:val="clear" w:color="auto" w:fill="auto"/>
          </w:tcPr>
          <w:p w14:paraId="6E049E20" w14:textId="77777777" w:rsidR="00523689" w:rsidRPr="00380B40" w:rsidRDefault="00523689" w:rsidP="00D559E0">
            <w:pPr>
              <w:pStyle w:val="Tabletext"/>
              <w:keepLines/>
              <w:ind w:left="284"/>
              <w:rPr>
                <w:lang w:val="en-GB"/>
              </w:rPr>
            </w:pPr>
            <w:r w:rsidRPr="00380B40">
              <w:rPr>
                <w:lang w:val="en-GB"/>
              </w:rPr>
              <w:t>SG2</w:t>
            </w:r>
          </w:p>
        </w:tc>
        <w:tc>
          <w:tcPr>
            <w:tcW w:w="8221" w:type="dxa"/>
            <w:shd w:val="clear" w:color="auto" w:fill="auto"/>
          </w:tcPr>
          <w:p w14:paraId="42333473" w14:textId="77777777" w:rsidR="00523689" w:rsidRPr="00380B40" w:rsidRDefault="00523689" w:rsidP="00D559E0">
            <w:pPr>
              <w:pStyle w:val="Tabletext"/>
              <w:rPr>
                <w:lang w:val="en-GB"/>
              </w:rPr>
            </w:pPr>
            <w:r w:rsidRPr="00380B40">
              <w:rPr>
                <w:lang w:val="en-GB"/>
              </w:rPr>
              <w:t>Operational aspects of service provision and telecommunication management</w:t>
            </w:r>
          </w:p>
        </w:tc>
      </w:tr>
      <w:tr w:rsidR="00523689" w:rsidRPr="004E0F36" w14:paraId="38425B19" w14:textId="77777777" w:rsidTr="00DE1739">
        <w:tc>
          <w:tcPr>
            <w:tcW w:w="1418" w:type="dxa"/>
            <w:shd w:val="clear" w:color="auto" w:fill="auto"/>
          </w:tcPr>
          <w:p w14:paraId="00A26A3F" w14:textId="77777777" w:rsidR="00523689" w:rsidRPr="00380B40" w:rsidRDefault="00523689" w:rsidP="00D559E0">
            <w:pPr>
              <w:pStyle w:val="Tabletext"/>
              <w:keepLines/>
              <w:ind w:left="284"/>
              <w:rPr>
                <w:lang w:val="en-GB"/>
              </w:rPr>
            </w:pPr>
            <w:r w:rsidRPr="00380B40">
              <w:rPr>
                <w:lang w:val="en-GB"/>
              </w:rPr>
              <w:t>SG3</w:t>
            </w:r>
          </w:p>
        </w:tc>
        <w:tc>
          <w:tcPr>
            <w:tcW w:w="8221" w:type="dxa"/>
            <w:shd w:val="clear" w:color="auto" w:fill="auto"/>
          </w:tcPr>
          <w:p w14:paraId="71D29F9E" w14:textId="77777777" w:rsidR="00523689" w:rsidRPr="00380B40" w:rsidRDefault="00523689" w:rsidP="00D559E0">
            <w:pPr>
              <w:pStyle w:val="Tabletext"/>
              <w:rPr>
                <w:lang w:val="en-GB"/>
              </w:rPr>
            </w:pPr>
            <w:r w:rsidRPr="00380B40">
              <w:rPr>
                <w:lang w:val="en-GB"/>
              </w:rPr>
              <w:t>Tariff and accounting principles including related telecommunication economic and policy issues</w:t>
            </w:r>
          </w:p>
        </w:tc>
      </w:tr>
      <w:tr w:rsidR="00523689" w:rsidRPr="00380B40" w14:paraId="022D8795" w14:textId="77777777" w:rsidTr="00DE1739">
        <w:tc>
          <w:tcPr>
            <w:tcW w:w="1418" w:type="dxa"/>
            <w:shd w:val="clear" w:color="auto" w:fill="auto"/>
          </w:tcPr>
          <w:p w14:paraId="64ADA645" w14:textId="77777777" w:rsidR="00523689" w:rsidRPr="00380B40" w:rsidRDefault="00523689" w:rsidP="00D559E0">
            <w:pPr>
              <w:pStyle w:val="Tabletext"/>
              <w:keepLines/>
              <w:ind w:left="284"/>
              <w:rPr>
                <w:lang w:val="en-GB"/>
              </w:rPr>
            </w:pPr>
            <w:r w:rsidRPr="00380B40">
              <w:rPr>
                <w:lang w:val="en-GB"/>
              </w:rPr>
              <w:t>SG5</w:t>
            </w:r>
          </w:p>
        </w:tc>
        <w:tc>
          <w:tcPr>
            <w:tcW w:w="8221" w:type="dxa"/>
            <w:shd w:val="clear" w:color="auto" w:fill="auto"/>
          </w:tcPr>
          <w:p w14:paraId="74D09D40" w14:textId="77777777" w:rsidR="00523689" w:rsidRPr="00380B40" w:rsidRDefault="00523689" w:rsidP="00D559E0">
            <w:pPr>
              <w:pStyle w:val="Tabletext"/>
              <w:keepLines/>
              <w:rPr>
                <w:lang w:val="en-GB"/>
              </w:rPr>
            </w:pPr>
            <w:r w:rsidRPr="00380B40">
              <w:rPr>
                <w:lang w:val="en-GB"/>
              </w:rPr>
              <w:t>Environment and climate change</w:t>
            </w:r>
          </w:p>
        </w:tc>
      </w:tr>
      <w:tr w:rsidR="00523689" w:rsidRPr="004E0F36" w14:paraId="5D567B71" w14:textId="77777777" w:rsidTr="00DE1739">
        <w:tc>
          <w:tcPr>
            <w:tcW w:w="1418" w:type="dxa"/>
            <w:shd w:val="clear" w:color="auto" w:fill="auto"/>
          </w:tcPr>
          <w:p w14:paraId="27B6FED3" w14:textId="77777777" w:rsidR="00523689" w:rsidRPr="00380B40" w:rsidRDefault="00523689" w:rsidP="00D559E0">
            <w:pPr>
              <w:pStyle w:val="Tabletext"/>
              <w:keepLines/>
              <w:ind w:left="284"/>
              <w:rPr>
                <w:lang w:val="en-GB"/>
              </w:rPr>
            </w:pPr>
            <w:r w:rsidRPr="00380B40">
              <w:rPr>
                <w:lang w:val="en-GB"/>
              </w:rPr>
              <w:t>SG9</w:t>
            </w:r>
          </w:p>
        </w:tc>
        <w:tc>
          <w:tcPr>
            <w:tcW w:w="8221" w:type="dxa"/>
            <w:shd w:val="clear" w:color="auto" w:fill="auto"/>
          </w:tcPr>
          <w:p w14:paraId="325AB820" w14:textId="77777777" w:rsidR="00523689" w:rsidRPr="00380B40" w:rsidRDefault="00523689" w:rsidP="00D559E0">
            <w:pPr>
              <w:pStyle w:val="Tabletext"/>
              <w:rPr>
                <w:lang w:val="en-GB"/>
              </w:rPr>
            </w:pPr>
            <w:r w:rsidRPr="00380B40">
              <w:rPr>
                <w:lang w:val="en-GB"/>
              </w:rPr>
              <w:t>Television and sound transmission and integrated broadband cable networks</w:t>
            </w:r>
          </w:p>
        </w:tc>
      </w:tr>
      <w:tr w:rsidR="00523689" w:rsidRPr="004E0F36" w14:paraId="5EEB3173" w14:textId="77777777" w:rsidTr="00DE1739">
        <w:tc>
          <w:tcPr>
            <w:tcW w:w="1418" w:type="dxa"/>
            <w:shd w:val="clear" w:color="auto" w:fill="auto"/>
          </w:tcPr>
          <w:p w14:paraId="59CA7365" w14:textId="77777777" w:rsidR="00523689" w:rsidRPr="00380B40" w:rsidRDefault="00523689" w:rsidP="00D559E0">
            <w:pPr>
              <w:pStyle w:val="Tabletext"/>
              <w:keepLines/>
              <w:ind w:left="284"/>
              <w:rPr>
                <w:lang w:val="en-GB"/>
              </w:rPr>
            </w:pPr>
            <w:r w:rsidRPr="00380B40">
              <w:rPr>
                <w:lang w:val="en-GB"/>
              </w:rPr>
              <w:t>SG11</w:t>
            </w:r>
          </w:p>
        </w:tc>
        <w:tc>
          <w:tcPr>
            <w:tcW w:w="8221" w:type="dxa"/>
            <w:shd w:val="clear" w:color="auto" w:fill="auto"/>
          </w:tcPr>
          <w:p w14:paraId="46B9BF42" w14:textId="77777777" w:rsidR="00523689" w:rsidRPr="00380B40" w:rsidRDefault="00523689" w:rsidP="00D559E0">
            <w:pPr>
              <w:pStyle w:val="Tabletext"/>
              <w:rPr>
                <w:lang w:val="en-GB"/>
              </w:rPr>
            </w:pPr>
            <w:r w:rsidRPr="00380B40">
              <w:rPr>
                <w:lang w:val="en-GB"/>
              </w:rPr>
              <w:t>Signalling requirements, protocols and test specifications</w:t>
            </w:r>
          </w:p>
        </w:tc>
      </w:tr>
      <w:tr w:rsidR="00523689" w:rsidRPr="004E0F36" w14:paraId="16D8B4C6" w14:textId="77777777" w:rsidTr="00DE1739">
        <w:tc>
          <w:tcPr>
            <w:tcW w:w="1418" w:type="dxa"/>
            <w:shd w:val="clear" w:color="auto" w:fill="auto"/>
          </w:tcPr>
          <w:p w14:paraId="7FD4E6E2" w14:textId="77777777" w:rsidR="00523689" w:rsidRPr="00380B40" w:rsidRDefault="00523689" w:rsidP="00D559E0">
            <w:pPr>
              <w:pStyle w:val="Tabletext"/>
              <w:keepLines/>
              <w:ind w:left="284"/>
              <w:rPr>
                <w:lang w:val="en-GB"/>
              </w:rPr>
            </w:pPr>
            <w:r w:rsidRPr="00380B40">
              <w:rPr>
                <w:lang w:val="en-GB"/>
              </w:rPr>
              <w:t>SG12</w:t>
            </w:r>
          </w:p>
        </w:tc>
        <w:tc>
          <w:tcPr>
            <w:tcW w:w="8221" w:type="dxa"/>
            <w:shd w:val="clear" w:color="auto" w:fill="auto"/>
          </w:tcPr>
          <w:p w14:paraId="25AA71B3" w14:textId="77777777" w:rsidR="00523689" w:rsidRPr="00380B40" w:rsidRDefault="00523689" w:rsidP="00D559E0">
            <w:pPr>
              <w:pStyle w:val="Tabletext"/>
              <w:keepLines/>
              <w:rPr>
                <w:lang w:val="en-GB"/>
              </w:rPr>
            </w:pPr>
            <w:r w:rsidRPr="00380B40">
              <w:rPr>
                <w:lang w:val="en-GB"/>
              </w:rPr>
              <w:t>Performance, quality of service and quality of experience</w:t>
            </w:r>
          </w:p>
        </w:tc>
      </w:tr>
      <w:tr w:rsidR="00523689" w:rsidRPr="004E0F36" w14:paraId="5352FF26" w14:textId="77777777" w:rsidTr="00DE1739">
        <w:tc>
          <w:tcPr>
            <w:tcW w:w="1418" w:type="dxa"/>
            <w:shd w:val="clear" w:color="auto" w:fill="auto"/>
          </w:tcPr>
          <w:p w14:paraId="129BD41E" w14:textId="77777777" w:rsidR="00523689" w:rsidRPr="00380B40" w:rsidRDefault="00523689" w:rsidP="00D559E0">
            <w:pPr>
              <w:pStyle w:val="Tabletext"/>
              <w:keepLines/>
              <w:ind w:left="284"/>
              <w:rPr>
                <w:lang w:val="en-GB"/>
              </w:rPr>
            </w:pPr>
            <w:r w:rsidRPr="00380B40">
              <w:rPr>
                <w:lang w:val="en-GB"/>
              </w:rPr>
              <w:t>SG13</w:t>
            </w:r>
          </w:p>
        </w:tc>
        <w:tc>
          <w:tcPr>
            <w:tcW w:w="8221" w:type="dxa"/>
            <w:shd w:val="clear" w:color="auto" w:fill="auto"/>
          </w:tcPr>
          <w:p w14:paraId="7F25419C" w14:textId="77777777" w:rsidR="00523689" w:rsidRPr="00380B40" w:rsidRDefault="00523689" w:rsidP="00D559E0">
            <w:pPr>
              <w:pStyle w:val="Tabletext"/>
              <w:rPr>
                <w:lang w:val="en-GB"/>
              </w:rPr>
            </w:pPr>
            <w:r w:rsidRPr="00380B40">
              <w:rPr>
                <w:lang w:val="en-GB"/>
              </w:rPr>
              <w:t>Future networks including cloud computing, mobile and next-generation networks</w:t>
            </w:r>
          </w:p>
        </w:tc>
      </w:tr>
      <w:tr w:rsidR="00523689" w:rsidRPr="004E0F36" w14:paraId="44D4846C" w14:textId="77777777" w:rsidTr="00DE1739">
        <w:tc>
          <w:tcPr>
            <w:tcW w:w="1418" w:type="dxa"/>
            <w:shd w:val="clear" w:color="auto" w:fill="auto"/>
          </w:tcPr>
          <w:p w14:paraId="321329D9" w14:textId="77777777" w:rsidR="00523689" w:rsidRPr="00380B40" w:rsidRDefault="00523689" w:rsidP="00D559E0">
            <w:pPr>
              <w:pStyle w:val="Tabletext"/>
              <w:keepLines/>
              <w:ind w:left="284"/>
              <w:rPr>
                <w:lang w:val="en-GB"/>
              </w:rPr>
            </w:pPr>
            <w:r w:rsidRPr="00380B40">
              <w:rPr>
                <w:lang w:val="en-GB"/>
              </w:rPr>
              <w:t>SG15</w:t>
            </w:r>
          </w:p>
        </w:tc>
        <w:tc>
          <w:tcPr>
            <w:tcW w:w="8221" w:type="dxa"/>
            <w:shd w:val="clear" w:color="auto" w:fill="auto"/>
          </w:tcPr>
          <w:p w14:paraId="243949E4" w14:textId="77777777" w:rsidR="00523689" w:rsidRPr="00380B40" w:rsidRDefault="00523689" w:rsidP="00D559E0">
            <w:pPr>
              <w:pStyle w:val="Tabletext"/>
              <w:rPr>
                <w:lang w:val="en-GB"/>
              </w:rPr>
            </w:pPr>
            <w:r w:rsidRPr="00380B40">
              <w:rPr>
                <w:lang w:val="en-GB"/>
              </w:rPr>
              <w:t>Networks, technologies and infrastructures for transport, access and home</w:t>
            </w:r>
          </w:p>
        </w:tc>
      </w:tr>
      <w:tr w:rsidR="00523689" w:rsidRPr="004E0F36" w14:paraId="4EF495BF" w14:textId="77777777" w:rsidTr="00DE1739">
        <w:tc>
          <w:tcPr>
            <w:tcW w:w="1418" w:type="dxa"/>
            <w:shd w:val="clear" w:color="auto" w:fill="auto"/>
          </w:tcPr>
          <w:p w14:paraId="27E8FFD9" w14:textId="77777777" w:rsidR="00523689" w:rsidRPr="00380B40" w:rsidRDefault="00523689" w:rsidP="00D559E0">
            <w:pPr>
              <w:pStyle w:val="Tabletext"/>
              <w:keepLines/>
              <w:ind w:left="284"/>
              <w:rPr>
                <w:lang w:val="en-GB"/>
              </w:rPr>
            </w:pPr>
            <w:r w:rsidRPr="00380B40">
              <w:rPr>
                <w:lang w:val="en-GB"/>
              </w:rPr>
              <w:t>SG16</w:t>
            </w:r>
          </w:p>
        </w:tc>
        <w:tc>
          <w:tcPr>
            <w:tcW w:w="8221" w:type="dxa"/>
            <w:shd w:val="clear" w:color="auto" w:fill="auto"/>
          </w:tcPr>
          <w:p w14:paraId="30ABEECA" w14:textId="77777777" w:rsidR="00523689" w:rsidRPr="00380B40" w:rsidRDefault="00523689" w:rsidP="00D559E0">
            <w:pPr>
              <w:pStyle w:val="Tabletext"/>
              <w:rPr>
                <w:lang w:val="en-GB"/>
              </w:rPr>
            </w:pPr>
            <w:r w:rsidRPr="00380B40">
              <w:rPr>
                <w:lang w:val="en-GB"/>
              </w:rPr>
              <w:t>Multimedia coding, systems and applications</w:t>
            </w:r>
          </w:p>
        </w:tc>
      </w:tr>
      <w:tr w:rsidR="00523689" w:rsidRPr="00380B40" w14:paraId="3699DF22" w14:textId="77777777" w:rsidTr="00DE1739">
        <w:tc>
          <w:tcPr>
            <w:tcW w:w="1418" w:type="dxa"/>
            <w:shd w:val="clear" w:color="auto" w:fill="auto"/>
          </w:tcPr>
          <w:p w14:paraId="18219C7A" w14:textId="77777777" w:rsidR="00523689" w:rsidRPr="00380B40" w:rsidRDefault="00523689" w:rsidP="00D559E0">
            <w:pPr>
              <w:pStyle w:val="Tabletext"/>
              <w:keepLines/>
              <w:ind w:left="284"/>
              <w:rPr>
                <w:lang w:val="en-GB"/>
              </w:rPr>
            </w:pPr>
            <w:r w:rsidRPr="00380B40">
              <w:rPr>
                <w:lang w:val="en-GB"/>
              </w:rPr>
              <w:t>SG17</w:t>
            </w:r>
          </w:p>
        </w:tc>
        <w:tc>
          <w:tcPr>
            <w:tcW w:w="8221" w:type="dxa"/>
            <w:shd w:val="clear" w:color="auto" w:fill="auto"/>
          </w:tcPr>
          <w:p w14:paraId="5C7CB0DC" w14:textId="77777777" w:rsidR="00523689" w:rsidRPr="00380B40" w:rsidRDefault="00523689" w:rsidP="00D559E0">
            <w:pPr>
              <w:pStyle w:val="Tabletext"/>
              <w:keepLines/>
              <w:rPr>
                <w:lang w:val="en-GB"/>
              </w:rPr>
            </w:pPr>
            <w:r w:rsidRPr="00380B40">
              <w:rPr>
                <w:lang w:val="en-GB"/>
              </w:rPr>
              <w:t>Security</w:t>
            </w:r>
          </w:p>
        </w:tc>
      </w:tr>
      <w:tr w:rsidR="00523689" w:rsidRPr="004E0F36" w14:paraId="6B222BE4" w14:textId="77777777" w:rsidTr="00DE1739">
        <w:tc>
          <w:tcPr>
            <w:tcW w:w="9639" w:type="dxa"/>
            <w:gridSpan w:val="2"/>
            <w:shd w:val="clear" w:color="auto" w:fill="auto"/>
          </w:tcPr>
          <w:p w14:paraId="4811F4D1" w14:textId="77777777" w:rsidR="00523689" w:rsidRPr="00C777D4" w:rsidRDefault="00523689" w:rsidP="00CE44D6">
            <w:pPr>
              <w:pStyle w:val="Tabletext"/>
              <w:keepLines/>
              <w:rPr>
                <w:lang w:val="en-GB"/>
              </w:rPr>
            </w:pPr>
            <w:r w:rsidRPr="00C777D4">
              <w:rPr>
                <w:lang w:val="en-GB"/>
              </w:rPr>
              <w:t>NOTE 1 – A brief description of the general work areas of the Study Groups is contained in WTSA Resolution 2.</w:t>
            </w:r>
          </w:p>
          <w:p w14:paraId="73E9CB1E" w14:textId="77777777" w:rsidR="00523689" w:rsidRPr="00C777D4" w:rsidRDefault="00523689" w:rsidP="00CE44D6">
            <w:pPr>
              <w:pStyle w:val="Tabletext"/>
              <w:keepLines/>
              <w:rPr>
                <w:lang w:val="en-GB"/>
              </w:rPr>
            </w:pPr>
            <w:r w:rsidRPr="00C777D4">
              <w:rPr>
                <w:lang w:val="en-GB"/>
              </w:rPr>
              <w:t xml:space="preserve">NOTE 2 – In </w:t>
            </w:r>
            <w:r w:rsidRPr="00380B40">
              <w:rPr>
                <w:lang w:val="en-GB"/>
              </w:rPr>
              <w:t>addition</w:t>
            </w:r>
            <w:r w:rsidRPr="00C777D4">
              <w:rPr>
                <w:lang w:val="en-GB"/>
              </w:rPr>
              <w:t xml:space="preserve"> to the Study Groups, the Telecommunication Standardization Advisory Group (TSAG) is also part of the ITU</w:t>
            </w:r>
            <w:r w:rsidRPr="00C777D4">
              <w:rPr>
                <w:lang w:val="en-GB"/>
              </w:rPr>
              <w:noBreakHyphen/>
              <w:t>T.</w:t>
            </w:r>
          </w:p>
        </w:tc>
      </w:tr>
    </w:tbl>
    <w:p w14:paraId="18FABC8C" w14:textId="77777777" w:rsidR="00617655" w:rsidRPr="00380B40" w:rsidRDefault="00617655" w:rsidP="00617655">
      <w:pPr>
        <w:rPr>
          <w:lang w:val="en-GB"/>
        </w:rPr>
      </w:pPr>
    </w:p>
    <w:p w14:paraId="661FFDEE" w14:textId="77777777" w:rsidR="00AE44D3" w:rsidRPr="00380B40" w:rsidRDefault="00AE44D3" w:rsidP="00617655">
      <w:pPr>
        <w:rPr>
          <w:lang w:val="en-GB"/>
        </w:rPr>
      </w:pPr>
    </w:p>
    <w:p w14:paraId="745D80B4" w14:textId="77777777" w:rsidR="00AE44D3" w:rsidRPr="00380B40" w:rsidRDefault="00AE44D3" w:rsidP="00617655">
      <w:pPr>
        <w:rPr>
          <w:lang w:val="en-GB"/>
        </w:rPr>
      </w:pPr>
    </w:p>
    <w:p w14:paraId="421F7326" w14:textId="77777777" w:rsidR="00AE44D3" w:rsidRPr="00380B40" w:rsidRDefault="00AE44D3" w:rsidP="00617655">
      <w:pPr>
        <w:rPr>
          <w:lang w:val="en-GB"/>
        </w:rPr>
      </w:pPr>
    </w:p>
    <w:p w14:paraId="4B915916" w14:textId="77777777" w:rsidR="00617655" w:rsidRPr="00380B40" w:rsidRDefault="00617655" w:rsidP="00617655">
      <w:pPr>
        <w:rPr>
          <w:lang w:val="en-GB"/>
        </w:rPr>
      </w:pPr>
    </w:p>
    <w:p w14:paraId="22138A7E" w14:textId="77777777" w:rsidR="00617655" w:rsidRPr="00380B40" w:rsidRDefault="00617655" w:rsidP="00617655">
      <w:pPr>
        <w:rPr>
          <w:lang w:val="en-GB"/>
        </w:rPr>
      </w:pPr>
      <w:r w:rsidRPr="00380B40">
        <w:rPr>
          <w:lang w:val="en-GB"/>
        </w:rPr>
        <w:br w:type="page"/>
      </w:r>
    </w:p>
    <w:p w14:paraId="62B4D405" w14:textId="77777777" w:rsidR="00C96099" w:rsidRPr="00380B40" w:rsidRDefault="00C96099" w:rsidP="00C96099">
      <w:pPr>
        <w:pStyle w:val="TableNoTitle1"/>
      </w:pPr>
      <w:r w:rsidRPr="00380B40">
        <w:t>Table 2 – List of ISO/IEC JTC 1 Subcommittees</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8"/>
        <w:gridCol w:w="8223"/>
      </w:tblGrid>
      <w:tr w:rsidR="00523689" w:rsidRPr="00380B40" w14:paraId="6F171DB6" w14:textId="77777777" w:rsidTr="00C96099">
        <w:trPr>
          <w:tblHeader/>
        </w:trPr>
        <w:tc>
          <w:tcPr>
            <w:tcW w:w="1418" w:type="dxa"/>
            <w:shd w:val="clear" w:color="auto" w:fill="auto"/>
          </w:tcPr>
          <w:p w14:paraId="4E36B243" w14:textId="77777777" w:rsidR="00523689" w:rsidRPr="00380B40" w:rsidRDefault="00523689" w:rsidP="00427615">
            <w:pPr>
              <w:pStyle w:val="Tableheadwhitecentred"/>
            </w:pPr>
            <w:r w:rsidRPr="00380B40">
              <w:t>Designation</w:t>
            </w:r>
          </w:p>
        </w:tc>
        <w:tc>
          <w:tcPr>
            <w:tcW w:w="8223" w:type="dxa"/>
            <w:shd w:val="clear" w:color="auto" w:fill="auto"/>
          </w:tcPr>
          <w:p w14:paraId="23618424" w14:textId="77777777" w:rsidR="00523689" w:rsidRPr="00380B40" w:rsidRDefault="00523689" w:rsidP="00427615">
            <w:pPr>
              <w:pStyle w:val="Tableheadwhitecentred"/>
            </w:pPr>
            <w:r w:rsidRPr="00380B40">
              <w:t>Title</w:t>
            </w:r>
          </w:p>
        </w:tc>
      </w:tr>
      <w:tr w:rsidR="00523689" w:rsidRPr="00380B40" w14:paraId="77C008AD" w14:textId="77777777" w:rsidTr="00C96099">
        <w:trPr>
          <w:tblHeader/>
        </w:trPr>
        <w:tc>
          <w:tcPr>
            <w:tcW w:w="1418" w:type="dxa"/>
            <w:shd w:val="clear" w:color="auto" w:fill="auto"/>
          </w:tcPr>
          <w:p w14:paraId="64DBB7A4" w14:textId="77777777" w:rsidR="00523689" w:rsidRPr="00380B40" w:rsidRDefault="00523689" w:rsidP="00D559E0">
            <w:pPr>
              <w:pStyle w:val="Tabletext"/>
              <w:keepNext/>
              <w:keepLines/>
              <w:ind w:left="284"/>
              <w:rPr>
                <w:lang w:val="en-GB"/>
              </w:rPr>
            </w:pPr>
            <w:r w:rsidRPr="00380B40">
              <w:rPr>
                <w:lang w:val="en-GB"/>
              </w:rPr>
              <w:t>SC 2</w:t>
            </w:r>
          </w:p>
        </w:tc>
        <w:tc>
          <w:tcPr>
            <w:tcW w:w="8223" w:type="dxa"/>
            <w:shd w:val="clear" w:color="auto" w:fill="auto"/>
          </w:tcPr>
          <w:p w14:paraId="5C20F767" w14:textId="77777777" w:rsidR="00523689" w:rsidRPr="00380B40" w:rsidRDefault="00523689" w:rsidP="00D559E0">
            <w:pPr>
              <w:pStyle w:val="Tabletext"/>
              <w:keepNext/>
              <w:keepLines/>
              <w:rPr>
                <w:lang w:val="en-GB"/>
              </w:rPr>
            </w:pPr>
            <w:r w:rsidRPr="00380B40">
              <w:rPr>
                <w:lang w:val="en-GB"/>
              </w:rPr>
              <w:t xml:space="preserve">Coded character sets </w:t>
            </w:r>
          </w:p>
        </w:tc>
      </w:tr>
      <w:tr w:rsidR="00523689" w:rsidRPr="004E0F36" w14:paraId="0D403CBA" w14:textId="77777777" w:rsidTr="00C96099">
        <w:trPr>
          <w:tblHeader/>
        </w:trPr>
        <w:tc>
          <w:tcPr>
            <w:tcW w:w="1418" w:type="dxa"/>
            <w:shd w:val="clear" w:color="auto" w:fill="auto"/>
          </w:tcPr>
          <w:p w14:paraId="1D19C205" w14:textId="77777777" w:rsidR="00523689" w:rsidRPr="00380B40" w:rsidRDefault="00523689" w:rsidP="00D559E0">
            <w:pPr>
              <w:pStyle w:val="Tabletext"/>
              <w:keepNext/>
              <w:keepLines/>
              <w:ind w:left="284"/>
              <w:rPr>
                <w:lang w:val="en-GB"/>
              </w:rPr>
            </w:pPr>
            <w:r w:rsidRPr="00380B40">
              <w:rPr>
                <w:lang w:val="en-GB"/>
              </w:rPr>
              <w:t>SC 6</w:t>
            </w:r>
          </w:p>
        </w:tc>
        <w:tc>
          <w:tcPr>
            <w:tcW w:w="8223" w:type="dxa"/>
            <w:shd w:val="clear" w:color="auto" w:fill="auto"/>
          </w:tcPr>
          <w:p w14:paraId="00350653" w14:textId="77777777" w:rsidR="00523689" w:rsidRPr="00380B40" w:rsidRDefault="00523689" w:rsidP="00D559E0">
            <w:pPr>
              <w:pStyle w:val="Tabletext"/>
              <w:keepNext/>
              <w:keepLines/>
              <w:rPr>
                <w:lang w:val="en-GB"/>
              </w:rPr>
            </w:pPr>
            <w:r w:rsidRPr="00380B40">
              <w:rPr>
                <w:lang w:val="en-GB"/>
              </w:rPr>
              <w:t>Telecommunications and information exchange between systems</w:t>
            </w:r>
          </w:p>
        </w:tc>
      </w:tr>
      <w:tr w:rsidR="00523689" w:rsidRPr="00380B40" w14:paraId="15E3BE7C" w14:textId="77777777" w:rsidTr="00C96099">
        <w:trPr>
          <w:tblHeader/>
        </w:trPr>
        <w:tc>
          <w:tcPr>
            <w:tcW w:w="1418" w:type="dxa"/>
            <w:shd w:val="clear" w:color="auto" w:fill="auto"/>
          </w:tcPr>
          <w:p w14:paraId="7466633E" w14:textId="77777777" w:rsidR="00523689" w:rsidRPr="00380B40" w:rsidRDefault="00523689" w:rsidP="00D559E0">
            <w:pPr>
              <w:pStyle w:val="Tabletext"/>
              <w:keepNext/>
              <w:keepLines/>
              <w:ind w:left="284"/>
              <w:rPr>
                <w:lang w:val="en-GB"/>
              </w:rPr>
            </w:pPr>
            <w:r w:rsidRPr="00380B40">
              <w:rPr>
                <w:lang w:val="en-GB"/>
              </w:rPr>
              <w:t>SC 7</w:t>
            </w:r>
          </w:p>
        </w:tc>
        <w:tc>
          <w:tcPr>
            <w:tcW w:w="8223" w:type="dxa"/>
            <w:shd w:val="clear" w:color="auto" w:fill="auto"/>
          </w:tcPr>
          <w:p w14:paraId="16FA282B" w14:textId="77777777" w:rsidR="00523689" w:rsidRPr="00380B40" w:rsidRDefault="00523689" w:rsidP="00D559E0">
            <w:pPr>
              <w:pStyle w:val="Tabletext"/>
              <w:keepNext/>
              <w:keepLines/>
              <w:rPr>
                <w:lang w:val="en-GB"/>
              </w:rPr>
            </w:pPr>
            <w:r w:rsidRPr="00380B40">
              <w:rPr>
                <w:lang w:val="en-GB"/>
              </w:rPr>
              <w:t>Software and systems engineering</w:t>
            </w:r>
          </w:p>
        </w:tc>
      </w:tr>
      <w:tr w:rsidR="00523689" w:rsidRPr="00380B40" w14:paraId="779ED421" w14:textId="77777777" w:rsidTr="00C96099">
        <w:trPr>
          <w:tblHeader/>
        </w:trPr>
        <w:tc>
          <w:tcPr>
            <w:tcW w:w="1418" w:type="dxa"/>
            <w:shd w:val="clear" w:color="auto" w:fill="auto"/>
          </w:tcPr>
          <w:p w14:paraId="5D0F4BC0" w14:textId="77777777" w:rsidR="00523689" w:rsidRPr="00380B40" w:rsidRDefault="00523689" w:rsidP="00D559E0">
            <w:pPr>
              <w:pStyle w:val="Tabletext"/>
              <w:keepNext/>
              <w:keepLines/>
              <w:ind w:left="284"/>
              <w:rPr>
                <w:lang w:val="en-GB"/>
              </w:rPr>
            </w:pPr>
            <w:r w:rsidRPr="00380B40">
              <w:rPr>
                <w:lang w:val="en-GB"/>
              </w:rPr>
              <w:t>SC 17</w:t>
            </w:r>
          </w:p>
        </w:tc>
        <w:tc>
          <w:tcPr>
            <w:tcW w:w="8223" w:type="dxa"/>
            <w:shd w:val="clear" w:color="auto" w:fill="auto"/>
          </w:tcPr>
          <w:p w14:paraId="2ED9E123" w14:textId="77777777" w:rsidR="00523689" w:rsidRPr="00380B40" w:rsidRDefault="00523689" w:rsidP="00D559E0">
            <w:pPr>
              <w:pStyle w:val="Tabletext"/>
              <w:keepNext/>
              <w:keepLines/>
              <w:rPr>
                <w:lang w:val="en-GB"/>
              </w:rPr>
            </w:pPr>
            <w:r w:rsidRPr="00380B40">
              <w:rPr>
                <w:lang w:val="en-GB"/>
              </w:rPr>
              <w:t>Cards and personal identification</w:t>
            </w:r>
          </w:p>
        </w:tc>
      </w:tr>
      <w:tr w:rsidR="00523689" w:rsidRPr="004E0F36" w14:paraId="30814365" w14:textId="77777777" w:rsidTr="00C96099">
        <w:trPr>
          <w:tblHeader/>
        </w:trPr>
        <w:tc>
          <w:tcPr>
            <w:tcW w:w="1418" w:type="dxa"/>
            <w:shd w:val="clear" w:color="auto" w:fill="auto"/>
          </w:tcPr>
          <w:p w14:paraId="233CDCB8" w14:textId="77777777" w:rsidR="00523689" w:rsidRPr="00380B40" w:rsidRDefault="00523689" w:rsidP="00D559E0">
            <w:pPr>
              <w:pStyle w:val="Tabletext"/>
              <w:keepNext/>
              <w:keepLines/>
              <w:ind w:left="284"/>
              <w:rPr>
                <w:lang w:val="en-GB"/>
              </w:rPr>
            </w:pPr>
            <w:r w:rsidRPr="00380B40">
              <w:rPr>
                <w:lang w:val="en-GB"/>
              </w:rPr>
              <w:t>SC 22</w:t>
            </w:r>
          </w:p>
        </w:tc>
        <w:tc>
          <w:tcPr>
            <w:tcW w:w="8223" w:type="dxa"/>
            <w:shd w:val="clear" w:color="auto" w:fill="auto"/>
          </w:tcPr>
          <w:p w14:paraId="70EC3384" w14:textId="77777777" w:rsidR="00523689" w:rsidRPr="00380B40" w:rsidRDefault="00523689" w:rsidP="00D559E0">
            <w:pPr>
              <w:pStyle w:val="Tabletext"/>
              <w:keepNext/>
              <w:keepLines/>
              <w:rPr>
                <w:lang w:val="en-GB"/>
              </w:rPr>
            </w:pPr>
            <w:r w:rsidRPr="00380B40">
              <w:rPr>
                <w:lang w:val="en-GB"/>
              </w:rPr>
              <w:t>Programming languages, their environments and system software interfaces</w:t>
            </w:r>
          </w:p>
        </w:tc>
      </w:tr>
      <w:tr w:rsidR="00523689" w:rsidRPr="004E0F36" w14:paraId="4342AB54" w14:textId="77777777" w:rsidTr="00C96099">
        <w:trPr>
          <w:tblHeader/>
        </w:trPr>
        <w:tc>
          <w:tcPr>
            <w:tcW w:w="1418" w:type="dxa"/>
            <w:shd w:val="clear" w:color="auto" w:fill="auto"/>
          </w:tcPr>
          <w:p w14:paraId="6A0337A8" w14:textId="77777777" w:rsidR="00523689" w:rsidRPr="00380B40" w:rsidRDefault="00523689" w:rsidP="00D559E0">
            <w:pPr>
              <w:pStyle w:val="Tabletext"/>
              <w:keepNext/>
              <w:keepLines/>
              <w:ind w:left="284"/>
              <w:rPr>
                <w:lang w:val="en-GB"/>
              </w:rPr>
            </w:pPr>
            <w:r w:rsidRPr="00380B40">
              <w:rPr>
                <w:lang w:val="en-GB"/>
              </w:rPr>
              <w:t>SC 23</w:t>
            </w:r>
          </w:p>
        </w:tc>
        <w:tc>
          <w:tcPr>
            <w:tcW w:w="8223" w:type="dxa"/>
            <w:shd w:val="clear" w:color="auto" w:fill="auto"/>
          </w:tcPr>
          <w:p w14:paraId="187B0A31" w14:textId="77777777" w:rsidR="00523689" w:rsidRPr="00380B40" w:rsidRDefault="00523689" w:rsidP="00D559E0">
            <w:pPr>
              <w:pStyle w:val="Tabletext"/>
              <w:keepNext/>
              <w:keepLines/>
              <w:rPr>
                <w:lang w:val="en-GB"/>
              </w:rPr>
            </w:pPr>
            <w:r w:rsidRPr="00380B40">
              <w:rPr>
                <w:lang w:val="en-GB"/>
              </w:rPr>
              <w:t>Digitally recorded media for information interchange and storage</w:t>
            </w:r>
          </w:p>
        </w:tc>
      </w:tr>
      <w:tr w:rsidR="00523689" w:rsidRPr="00380B40" w14:paraId="0D9EF0CB" w14:textId="77777777" w:rsidTr="00C96099">
        <w:trPr>
          <w:tblHeader/>
        </w:trPr>
        <w:tc>
          <w:tcPr>
            <w:tcW w:w="1418" w:type="dxa"/>
            <w:shd w:val="clear" w:color="auto" w:fill="auto"/>
          </w:tcPr>
          <w:p w14:paraId="6FB391D3" w14:textId="77777777" w:rsidR="00523689" w:rsidRPr="00380B40" w:rsidRDefault="00523689" w:rsidP="00D559E0">
            <w:pPr>
              <w:pStyle w:val="Tabletext"/>
              <w:keepNext/>
              <w:keepLines/>
              <w:ind w:left="284"/>
              <w:rPr>
                <w:lang w:val="en-GB"/>
              </w:rPr>
            </w:pPr>
            <w:r w:rsidRPr="00380B40">
              <w:rPr>
                <w:lang w:val="en-GB"/>
              </w:rPr>
              <w:t>SC 24</w:t>
            </w:r>
          </w:p>
        </w:tc>
        <w:tc>
          <w:tcPr>
            <w:tcW w:w="8223" w:type="dxa"/>
            <w:shd w:val="clear" w:color="auto" w:fill="auto"/>
          </w:tcPr>
          <w:p w14:paraId="56EE4376" w14:textId="77777777" w:rsidR="00523689" w:rsidRPr="00380B40" w:rsidRDefault="00523689" w:rsidP="00D559E0">
            <w:pPr>
              <w:pStyle w:val="Tabletext"/>
              <w:keepNext/>
              <w:keepLines/>
              <w:rPr>
                <w:lang w:val="en-GB"/>
              </w:rPr>
            </w:pPr>
            <w:r w:rsidRPr="00380B40">
              <w:rPr>
                <w:lang w:val="en-GB"/>
              </w:rPr>
              <w:t>Computer graphics, image processing and environmental data representation</w:t>
            </w:r>
          </w:p>
        </w:tc>
      </w:tr>
      <w:tr w:rsidR="00523689" w:rsidRPr="004E0F36" w14:paraId="0733705F" w14:textId="77777777" w:rsidTr="00C96099">
        <w:trPr>
          <w:tblHeader/>
        </w:trPr>
        <w:tc>
          <w:tcPr>
            <w:tcW w:w="1418" w:type="dxa"/>
            <w:shd w:val="clear" w:color="auto" w:fill="auto"/>
          </w:tcPr>
          <w:p w14:paraId="258856F1" w14:textId="77777777" w:rsidR="00523689" w:rsidRPr="00380B40" w:rsidRDefault="00523689" w:rsidP="00D559E0">
            <w:pPr>
              <w:pStyle w:val="Tabletext"/>
              <w:keepNext/>
              <w:keepLines/>
              <w:ind w:left="284"/>
              <w:rPr>
                <w:lang w:val="en-GB"/>
              </w:rPr>
            </w:pPr>
            <w:r w:rsidRPr="00380B40">
              <w:rPr>
                <w:lang w:val="en-GB"/>
              </w:rPr>
              <w:t>SC 25</w:t>
            </w:r>
          </w:p>
        </w:tc>
        <w:tc>
          <w:tcPr>
            <w:tcW w:w="8223" w:type="dxa"/>
            <w:shd w:val="clear" w:color="auto" w:fill="auto"/>
          </w:tcPr>
          <w:p w14:paraId="7A7C220E" w14:textId="77777777" w:rsidR="00523689" w:rsidRPr="00380B40" w:rsidRDefault="00523689" w:rsidP="00D559E0">
            <w:pPr>
              <w:pStyle w:val="Tabletext"/>
              <w:keepNext/>
              <w:keepLines/>
              <w:rPr>
                <w:lang w:val="en-GB"/>
              </w:rPr>
            </w:pPr>
            <w:r w:rsidRPr="00380B40">
              <w:rPr>
                <w:lang w:val="en-GB"/>
              </w:rPr>
              <w:t>Interconnection of information technology equipment</w:t>
            </w:r>
          </w:p>
        </w:tc>
      </w:tr>
      <w:tr w:rsidR="00523689" w:rsidRPr="00380B40" w14:paraId="299E1424" w14:textId="77777777" w:rsidTr="00C96099">
        <w:trPr>
          <w:tblHeader/>
        </w:trPr>
        <w:tc>
          <w:tcPr>
            <w:tcW w:w="1418" w:type="dxa"/>
            <w:shd w:val="clear" w:color="auto" w:fill="auto"/>
          </w:tcPr>
          <w:p w14:paraId="5B6A9499" w14:textId="77777777" w:rsidR="00523689" w:rsidRPr="00380B40" w:rsidRDefault="00523689" w:rsidP="00D559E0">
            <w:pPr>
              <w:pStyle w:val="Tabletext"/>
              <w:keepNext/>
              <w:keepLines/>
              <w:ind w:left="284"/>
              <w:rPr>
                <w:lang w:val="en-GB"/>
              </w:rPr>
            </w:pPr>
            <w:r w:rsidRPr="00380B40">
              <w:rPr>
                <w:lang w:val="en-GB"/>
              </w:rPr>
              <w:t>SC 27</w:t>
            </w:r>
          </w:p>
        </w:tc>
        <w:tc>
          <w:tcPr>
            <w:tcW w:w="8223" w:type="dxa"/>
            <w:shd w:val="clear" w:color="auto" w:fill="auto"/>
          </w:tcPr>
          <w:p w14:paraId="22D3923E" w14:textId="77777777" w:rsidR="00523689" w:rsidRPr="00380B40" w:rsidRDefault="00523689" w:rsidP="00D559E0">
            <w:pPr>
              <w:pStyle w:val="Tabletext"/>
              <w:keepNext/>
              <w:keepLines/>
              <w:rPr>
                <w:lang w:val="en-GB"/>
              </w:rPr>
            </w:pPr>
            <w:r w:rsidRPr="00380B40">
              <w:rPr>
                <w:lang w:val="en-GB"/>
              </w:rPr>
              <w:t>IT security techniques</w:t>
            </w:r>
          </w:p>
        </w:tc>
      </w:tr>
      <w:tr w:rsidR="00523689" w:rsidRPr="00380B40" w14:paraId="4ACE2473" w14:textId="77777777" w:rsidTr="00C96099">
        <w:trPr>
          <w:tblHeader/>
        </w:trPr>
        <w:tc>
          <w:tcPr>
            <w:tcW w:w="1418" w:type="dxa"/>
            <w:shd w:val="clear" w:color="auto" w:fill="auto"/>
          </w:tcPr>
          <w:p w14:paraId="307764B9" w14:textId="77777777" w:rsidR="00523689" w:rsidRPr="00380B40" w:rsidRDefault="00523689" w:rsidP="00D559E0">
            <w:pPr>
              <w:pStyle w:val="Tabletext"/>
              <w:keepNext/>
              <w:keepLines/>
              <w:ind w:left="284"/>
              <w:rPr>
                <w:lang w:val="en-GB"/>
              </w:rPr>
            </w:pPr>
            <w:r w:rsidRPr="00380B40">
              <w:rPr>
                <w:lang w:val="en-GB"/>
              </w:rPr>
              <w:t>SC 28</w:t>
            </w:r>
          </w:p>
        </w:tc>
        <w:tc>
          <w:tcPr>
            <w:tcW w:w="8223" w:type="dxa"/>
            <w:shd w:val="clear" w:color="auto" w:fill="auto"/>
          </w:tcPr>
          <w:p w14:paraId="6F5FD729" w14:textId="77777777" w:rsidR="00523689" w:rsidRPr="00380B40" w:rsidRDefault="00523689" w:rsidP="00D559E0">
            <w:pPr>
              <w:pStyle w:val="Tabletext"/>
              <w:keepNext/>
              <w:keepLines/>
              <w:rPr>
                <w:lang w:val="en-GB"/>
              </w:rPr>
            </w:pPr>
            <w:r w:rsidRPr="00380B40">
              <w:rPr>
                <w:lang w:val="en-GB"/>
              </w:rPr>
              <w:t>Office equipment</w:t>
            </w:r>
          </w:p>
        </w:tc>
      </w:tr>
      <w:tr w:rsidR="00523689" w:rsidRPr="004E0F36" w14:paraId="0A703D0D" w14:textId="77777777" w:rsidTr="00C96099">
        <w:trPr>
          <w:tblHeader/>
        </w:trPr>
        <w:tc>
          <w:tcPr>
            <w:tcW w:w="1418" w:type="dxa"/>
            <w:shd w:val="clear" w:color="auto" w:fill="auto"/>
          </w:tcPr>
          <w:p w14:paraId="615920A0" w14:textId="77777777" w:rsidR="00523689" w:rsidRPr="00380B40" w:rsidRDefault="00523689" w:rsidP="00D559E0">
            <w:pPr>
              <w:pStyle w:val="Tabletext"/>
              <w:keepNext/>
              <w:keepLines/>
              <w:ind w:left="284"/>
              <w:rPr>
                <w:lang w:val="en-GB"/>
              </w:rPr>
            </w:pPr>
            <w:r w:rsidRPr="00380B40">
              <w:rPr>
                <w:lang w:val="en-GB"/>
              </w:rPr>
              <w:t>SC 29</w:t>
            </w:r>
          </w:p>
        </w:tc>
        <w:tc>
          <w:tcPr>
            <w:tcW w:w="8223" w:type="dxa"/>
            <w:shd w:val="clear" w:color="auto" w:fill="auto"/>
          </w:tcPr>
          <w:p w14:paraId="33457397" w14:textId="77777777" w:rsidR="00523689" w:rsidRPr="00380B40" w:rsidRDefault="00523689" w:rsidP="00D559E0">
            <w:pPr>
              <w:pStyle w:val="Tabletext"/>
              <w:keepNext/>
              <w:keepLines/>
              <w:rPr>
                <w:lang w:val="en-GB"/>
              </w:rPr>
            </w:pPr>
            <w:r w:rsidRPr="00380B40">
              <w:rPr>
                <w:lang w:val="en-GB"/>
              </w:rPr>
              <w:t>Coding of audio, picture, multimedia and hypermedia information</w:t>
            </w:r>
          </w:p>
        </w:tc>
      </w:tr>
      <w:tr w:rsidR="00523689" w:rsidRPr="00380B40" w14:paraId="6EEC2781" w14:textId="77777777" w:rsidTr="00C96099">
        <w:trPr>
          <w:tblHeader/>
        </w:trPr>
        <w:tc>
          <w:tcPr>
            <w:tcW w:w="1418" w:type="dxa"/>
            <w:shd w:val="clear" w:color="auto" w:fill="auto"/>
          </w:tcPr>
          <w:p w14:paraId="0EE2E35C" w14:textId="77777777" w:rsidR="00523689" w:rsidRPr="00380B40" w:rsidRDefault="00523689" w:rsidP="00D559E0">
            <w:pPr>
              <w:pStyle w:val="Tabletext"/>
              <w:keepNext/>
              <w:keepLines/>
              <w:ind w:left="284"/>
              <w:rPr>
                <w:lang w:val="en-GB"/>
              </w:rPr>
            </w:pPr>
            <w:r w:rsidRPr="00380B40">
              <w:rPr>
                <w:lang w:val="en-GB"/>
              </w:rPr>
              <w:t>SC 31</w:t>
            </w:r>
          </w:p>
        </w:tc>
        <w:tc>
          <w:tcPr>
            <w:tcW w:w="8223" w:type="dxa"/>
            <w:shd w:val="clear" w:color="auto" w:fill="auto"/>
          </w:tcPr>
          <w:p w14:paraId="3138E669" w14:textId="77777777" w:rsidR="00523689" w:rsidRPr="00380B40" w:rsidRDefault="00523689" w:rsidP="00D559E0">
            <w:pPr>
              <w:pStyle w:val="Tabletext"/>
              <w:keepNext/>
              <w:keepLines/>
              <w:rPr>
                <w:lang w:val="en-GB"/>
              </w:rPr>
            </w:pPr>
            <w:r w:rsidRPr="00380B40">
              <w:rPr>
                <w:lang w:val="en-GB"/>
              </w:rPr>
              <w:t>Automatic identification and data capture techniques</w:t>
            </w:r>
          </w:p>
        </w:tc>
      </w:tr>
      <w:tr w:rsidR="00523689" w:rsidRPr="00380B40" w14:paraId="10A06900" w14:textId="77777777" w:rsidTr="00C96099">
        <w:trPr>
          <w:tblHeader/>
        </w:trPr>
        <w:tc>
          <w:tcPr>
            <w:tcW w:w="1418" w:type="dxa"/>
            <w:shd w:val="clear" w:color="auto" w:fill="auto"/>
          </w:tcPr>
          <w:p w14:paraId="74B46623" w14:textId="77777777" w:rsidR="00523689" w:rsidRPr="00380B40" w:rsidRDefault="00523689" w:rsidP="00D559E0">
            <w:pPr>
              <w:pStyle w:val="Tabletext"/>
              <w:keepNext/>
              <w:keepLines/>
              <w:ind w:left="284"/>
              <w:rPr>
                <w:lang w:val="en-GB"/>
              </w:rPr>
            </w:pPr>
            <w:r w:rsidRPr="00380B40">
              <w:rPr>
                <w:lang w:val="en-GB"/>
              </w:rPr>
              <w:t>SC 32</w:t>
            </w:r>
          </w:p>
        </w:tc>
        <w:tc>
          <w:tcPr>
            <w:tcW w:w="8223" w:type="dxa"/>
            <w:shd w:val="clear" w:color="auto" w:fill="auto"/>
          </w:tcPr>
          <w:p w14:paraId="47BF4AAB" w14:textId="77777777" w:rsidR="00523689" w:rsidRPr="00380B40" w:rsidRDefault="00523689" w:rsidP="00D559E0">
            <w:pPr>
              <w:pStyle w:val="Tabletext"/>
              <w:keepNext/>
              <w:keepLines/>
              <w:rPr>
                <w:lang w:val="en-GB"/>
              </w:rPr>
            </w:pPr>
            <w:r w:rsidRPr="00380B40">
              <w:rPr>
                <w:lang w:val="en-GB"/>
              </w:rPr>
              <w:t>Data management and interchange</w:t>
            </w:r>
          </w:p>
        </w:tc>
      </w:tr>
      <w:tr w:rsidR="00523689" w:rsidRPr="00380B40" w14:paraId="02C7BAC4" w14:textId="77777777" w:rsidTr="00C96099">
        <w:trPr>
          <w:tblHeader/>
        </w:trPr>
        <w:tc>
          <w:tcPr>
            <w:tcW w:w="1418" w:type="dxa"/>
            <w:shd w:val="clear" w:color="auto" w:fill="auto"/>
          </w:tcPr>
          <w:p w14:paraId="74E8E789" w14:textId="77777777" w:rsidR="00523689" w:rsidRPr="00380B40" w:rsidRDefault="00523689" w:rsidP="00D559E0">
            <w:pPr>
              <w:pStyle w:val="Tabletext"/>
              <w:keepNext/>
              <w:keepLines/>
              <w:ind w:left="284"/>
              <w:rPr>
                <w:lang w:val="en-GB"/>
              </w:rPr>
            </w:pPr>
            <w:r w:rsidRPr="00380B40">
              <w:rPr>
                <w:lang w:val="en-GB"/>
              </w:rPr>
              <w:t>SC 34</w:t>
            </w:r>
          </w:p>
        </w:tc>
        <w:tc>
          <w:tcPr>
            <w:tcW w:w="8223" w:type="dxa"/>
            <w:shd w:val="clear" w:color="auto" w:fill="auto"/>
          </w:tcPr>
          <w:p w14:paraId="26075800" w14:textId="77777777" w:rsidR="00523689" w:rsidRPr="00380B40" w:rsidRDefault="00523689" w:rsidP="00D559E0">
            <w:pPr>
              <w:pStyle w:val="Tabletext"/>
              <w:keepNext/>
              <w:keepLines/>
              <w:rPr>
                <w:lang w:val="en-GB"/>
              </w:rPr>
            </w:pPr>
            <w:r w:rsidRPr="00380B40">
              <w:rPr>
                <w:lang w:val="en-GB"/>
              </w:rPr>
              <w:t>Document description and processing languages</w:t>
            </w:r>
          </w:p>
        </w:tc>
      </w:tr>
      <w:tr w:rsidR="00523689" w:rsidRPr="00380B40" w14:paraId="1068E55A" w14:textId="77777777" w:rsidTr="00C96099">
        <w:trPr>
          <w:tblHeader/>
        </w:trPr>
        <w:tc>
          <w:tcPr>
            <w:tcW w:w="1418" w:type="dxa"/>
            <w:shd w:val="clear" w:color="auto" w:fill="auto"/>
          </w:tcPr>
          <w:p w14:paraId="43549E9C" w14:textId="77777777" w:rsidR="00523689" w:rsidRPr="00380B40" w:rsidRDefault="00523689" w:rsidP="00D559E0">
            <w:pPr>
              <w:pStyle w:val="Tabletext"/>
              <w:keepNext/>
              <w:keepLines/>
              <w:ind w:left="284"/>
              <w:rPr>
                <w:lang w:val="en-GB"/>
              </w:rPr>
            </w:pPr>
            <w:r w:rsidRPr="00380B40">
              <w:rPr>
                <w:lang w:val="en-GB"/>
              </w:rPr>
              <w:t>SC 35</w:t>
            </w:r>
          </w:p>
        </w:tc>
        <w:tc>
          <w:tcPr>
            <w:tcW w:w="8223" w:type="dxa"/>
            <w:shd w:val="clear" w:color="auto" w:fill="auto"/>
          </w:tcPr>
          <w:p w14:paraId="2055A35D" w14:textId="77777777" w:rsidR="00523689" w:rsidRPr="00380B40" w:rsidRDefault="00523689" w:rsidP="00D559E0">
            <w:pPr>
              <w:pStyle w:val="Tabletext"/>
              <w:keepNext/>
              <w:keepLines/>
              <w:rPr>
                <w:lang w:val="en-GB"/>
              </w:rPr>
            </w:pPr>
            <w:r w:rsidRPr="00380B40">
              <w:rPr>
                <w:lang w:val="en-GB"/>
              </w:rPr>
              <w:t>User interfaces</w:t>
            </w:r>
          </w:p>
        </w:tc>
      </w:tr>
      <w:tr w:rsidR="00523689" w:rsidRPr="004E0F36" w14:paraId="041534EC" w14:textId="77777777" w:rsidTr="00C96099">
        <w:trPr>
          <w:tblHeader/>
        </w:trPr>
        <w:tc>
          <w:tcPr>
            <w:tcW w:w="1418" w:type="dxa"/>
            <w:shd w:val="clear" w:color="auto" w:fill="auto"/>
          </w:tcPr>
          <w:p w14:paraId="23337AE0" w14:textId="77777777" w:rsidR="00523689" w:rsidRPr="00380B40" w:rsidRDefault="00523689" w:rsidP="00D559E0">
            <w:pPr>
              <w:pStyle w:val="Tabletext"/>
              <w:keepLines/>
              <w:ind w:left="284"/>
              <w:rPr>
                <w:lang w:val="en-GB"/>
              </w:rPr>
            </w:pPr>
            <w:r w:rsidRPr="00380B40">
              <w:rPr>
                <w:lang w:val="en-GB"/>
              </w:rPr>
              <w:t>SC 36</w:t>
            </w:r>
          </w:p>
        </w:tc>
        <w:tc>
          <w:tcPr>
            <w:tcW w:w="8223" w:type="dxa"/>
            <w:shd w:val="clear" w:color="auto" w:fill="auto"/>
          </w:tcPr>
          <w:p w14:paraId="08FD9A4D" w14:textId="77777777" w:rsidR="00523689" w:rsidRPr="00380B40" w:rsidRDefault="00523689" w:rsidP="00D559E0">
            <w:pPr>
              <w:pStyle w:val="Tabletext"/>
              <w:rPr>
                <w:lang w:val="en-GB"/>
              </w:rPr>
            </w:pPr>
            <w:r w:rsidRPr="00380B40">
              <w:rPr>
                <w:lang w:val="en-GB"/>
              </w:rPr>
              <w:t>Information technology for learning, education and training</w:t>
            </w:r>
          </w:p>
        </w:tc>
      </w:tr>
      <w:tr w:rsidR="00523689" w:rsidRPr="00380B40" w14:paraId="6834DFA5" w14:textId="77777777" w:rsidTr="00C96099">
        <w:trPr>
          <w:tblHeader/>
        </w:trPr>
        <w:tc>
          <w:tcPr>
            <w:tcW w:w="1418" w:type="dxa"/>
            <w:shd w:val="clear" w:color="auto" w:fill="auto"/>
          </w:tcPr>
          <w:p w14:paraId="3C9BF702" w14:textId="77777777" w:rsidR="00523689" w:rsidRPr="00380B40" w:rsidRDefault="00523689" w:rsidP="00D559E0">
            <w:pPr>
              <w:pStyle w:val="Tabletext"/>
              <w:keepLines/>
              <w:ind w:left="284"/>
              <w:rPr>
                <w:lang w:val="en-GB"/>
              </w:rPr>
            </w:pPr>
            <w:r w:rsidRPr="00380B40">
              <w:rPr>
                <w:lang w:val="en-GB"/>
              </w:rPr>
              <w:t>SC 37</w:t>
            </w:r>
          </w:p>
        </w:tc>
        <w:tc>
          <w:tcPr>
            <w:tcW w:w="8223" w:type="dxa"/>
            <w:shd w:val="clear" w:color="auto" w:fill="auto"/>
          </w:tcPr>
          <w:p w14:paraId="465FE72F" w14:textId="77777777" w:rsidR="00523689" w:rsidRPr="00380B40" w:rsidRDefault="00523689" w:rsidP="00D559E0">
            <w:pPr>
              <w:pStyle w:val="Tabletext"/>
              <w:keepLines/>
              <w:rPr>
                <w:lang w:val="en-GB"/>
              </w:rPr>
            </w:pPr>
            <w:r w:rsidRPr="00380B40">
              <w:rPr>
                <w:lang w:val="en-GB"/>
              </w:rPr>
              <w:t>Biometrics</w:t>
            </w:r>
          </w:p>
        </w:tc>
      </w:tr>
      <w:tr w:rsidR="00523689" w:rsidRPr="004E0F36" w14:paraId="2C1BE5C1" w14:textId="77777777" w:rsidTr="00C96099">
        <w:trPr>
          <w:tblHeader/>
        </w:trPr>
        <w:tc>
          <w:tcPr>
            <w:tcW w:w="1418" w:type="dxa"/>
            <w:shd w:val="clear" w:color="auto" w:fill="auto"/>
          </w:tcPr>
          <w:p w14:paraId="4F74BA85" w14:textId="77777777" w:rsidR="00523689" w:rsidRPr="00380B40" w:rsidRDefault="00523689" w:rsidP="00D559E0">
            <w:pPr>
              <w:pStyle w:val="Tabletext"/>
              <w:keepLines/>
              <w:ind w:left="284"/>
              <w:rPr>
                <w:lang w:val="en-GB"/>
              </w:rPr>
            </w:pPr>
            <w:r w:rsidRPr="00380B40">
              <w:rPr>
                <w:lang w:val="en-GB"/>
              </w:rPr>
              <w:t>SC 38</w:t>
            </w:r>
          </w:p>
        </w:tc>
        <w:tc>
          <w:tcPr>
            <w:tcW w:w="8223" w:type="dxa"/>
            <w:shd w:val="clear" w:color="auto" w:fill="auto"/>
          </w:tcPr>
          <w:p w14:paraId="4C246AA4" w14:textId="77777777" w:rsidR="00523689" w:rsidRPr="00380B40" w:rsidRDefault="00523689" w:rsidP="00D559E0">
            <w:pPr>
              <w:pStyle w:val="Tabletext"/>
              <w:rPr>
                <w:lang w:val="en-GB"/>
              </w:rPr>
            </w:pPr>
            <w:r w:rsidRPr="00380B40">
              <w:rPr>
                <w:lang w:val="en-GB"/>
              </w:rPr>
              <w:t>Distributed application platforms and services (DAPS)</w:t>
            </w:r>
          </w:p>
        </w:tc>
      </w:tr>
      <w:tr w:rsidR="00523689" w:rsidRPr="004E0F36" w14:paraId="35811689" w14:textId="77777777" w:rsidTr="00C96099">
        <w:trPr>
          <w:tblHeader/>
        </w:trPr>
        <w:tc>
          <w:tcPr>
            <w:tcW w:w="1418" w:type="dxa"/>
            <w:shd w:val="clear" w:color="auto" w:fill="auto"/>
          </w:tcPr>
          <w:p w14:paraId="4549DE3A" w14:textId="77777777" w:rsidR="00523689" w:rsidRPr="00380B40" w:rsidRDefault="00523689" w:rsidP="00D559E0">
            <w:pPr>
              <w:pStyle w:val="Tabletext"/>
              <w:ind w:left="284"/>
              <w:rPr>
                <w:lang w:val="en-GB"/>
              </w:rPr>
            </w:pPr>
            <w:r w:rsidRPr="00380B40">
              <w:rPr>
                <w:lang w:val="en-GB"/>
              </w:rPr>
              <w:t>SC 39</w:t>
            </w:r>
          </w:p>
        </w:tc>
        <w:tc>
          <w:tcPr>
            <w:tcW w:w="8223" w:type="dxa"/>
            <w:shd w:val="clear" w:color="auto" w:fill="auto"/>
          </w:tcPr>
          <w:p w14:paraId="3DDF2AFE" w14:textId="77777777" w:rsidR="00523689" w:rsidRPr="00380B40" w:rsidRDefault="00523689" w:rsidP="00D559E0">
            <w:pPr>
              <w:pStyle w:val="Tabletext"/>
              <w:rPr>
                <w:lang w:val="en-GB"/>
              </w:rPr>
            </w:pPr>
            <w:r w:rsidRPr="00380B40">
              <w:rPr>
                <w:lang w:val="en-GB"/>
              </w:rPr>
              <w:t>Sustainability for and by Information Technology</w:t>
            </w:r>
          </w:p>
        </w:tc>
      </w:tr>
      <w:tr w:rsidR="00523689" w:rsidRPr="004E0F36" w14:paraId="3DF1C7F7" w14:textId="77777777" w:rsidTr="00C96099">
        <w:trPr>
          <w:tblHeader/>
        </w:trPr>
        <w:tc>
          <w:tcPr>
            <w:tcW w:w="9641" w:type="dxa"/>
            <w:gridSpan w:val="2"/>
            <w:shd w:val="clear" w:color="auto" w:fill="auto"/>
          </w:tcPr>
          <w:p w14:paraId="344A4B74" w14:textId="77777777" w:rsidR="00523689" w:rsidRPr="00380B40" w:rsidRDefault="00523689" w:rsidP="00CE44D6">
            <w:pPr>
              <w:pStyle w:val="Tabletext"/>
              <w:keepLines/>
              <w:rPr>
                <w:lang w:val="en-GB"/>
              </w:rPr>
            </w:pPr>
            <w:r w:rsidRPr="00380B40">
              <w:rPr>
                <w:lang w:val="en-GB"/>
              </w:rPr>
              <w:t>NOTE</w:t>
            </w:r>
            <w:r w:rsidR="00C96099" w:rsidRPr="00380B40">
              <w:rPr>
                <w:lang w:val="en-GB"/>
              </w:rPr>
              <w:t xml:space="preserve"> </w:t>
            </w:r>
            <w:r w:rsidRPr="00380B40">
              <w:rPr>
                <w:lang w:val="en-GB"/>
              </w:rPr>
              <w:t> – Also directly reporting to JTC 1 are:</w:t>
            </w:r>
          </w:p>
          <w:p w14:paraId="213D7822" w14:textId="77777777" w:rsidR="00523689" w:rsidRPr="00380B40" w:rsidRDefault="00523689" w:rsidP="00CE44D6">
            <w:pPr>
              <w:pStyle w:val="Tabletext"/>
              <w:keepLines/>
              <w:rPr>
                <w:lang w:val="en-GB"/>
              </w:rPr>
            </w:pPr>
            <w:r w:rsidRPr="00380B40">
              <w:rPr>
                <w:lang w:val="en-GB"/>
              </w:rPr>
              <w:tab/>
              <w:t>–</w:t>
            </w:r>
            <w:r w:rsidRPr="00380B40">
              <w:rPr>
                <w:lang w:val="en-GB"/>
              </w:rPr>
              <w:tab/>
              <w:t>Special Working Group on Accessibility;</w:t>
            </w:r>
          </w:p>
          <w:p w14:paraId="4E3685C5" w14:textId="77777777" w:rsidR="00523689" w:rsidRPr="00380B40" w:rsidRDefault="00523689" w:rsidP="00CE44D6">
            <w:pPr>
              <w:pStyle w:val="Tabletext"/>
              <w:keepLines/>
              <w:rPr>
                <w:lang w:val="en-GB"/>
              </w:rPr>
            </w:pPr>
            <w:r w:rsidRPr="00380B40">
              <w:rPr>
                <w:lang w:val="en-GB"/>
              </w:rPr>
              <w:tab/>
              <w:t>–</w:t>
            </w:r>
            <w:r w:rsidRPr="00380B40">
              <w:rPr>
                <w:lang w:val="en-GB"/>
              </w:rPr>
              <w:tab/>
              <w:t>Special Working Group on Directives;</w:t>
            </w:r>
          </w:p>
          <w:p w14:paraId="1CB6B31B" w14:textId="77777777" w:rsidR="00523689" w:rsidRPr="00380B40" w:rsidRDefault="00523689" w:rsidP="00CE44D6">
            <w:pPr>
              <w:pStyle w:val="Tabletext"/>
              <w:keepLines/>
              <w:rPr>
                <w:lang w:val="en-GB"/>
              </w:rPr>
            </w:pPr>
            <w:r w:rsidRPr="00380B40">
              <w:rPr>
                <w:lang w:val="en-GB"/>
              </w:rPr>
              <w:tab/>
              <w:t>–</w:t>
            </w:r>
            <w:r w:rsidRPr="00380B40">
              <w:rPr>
                <w:lang w:val="en-GB"/>
              </w:rPr>
              <w:tab/>
              <w:t>Special Working Group on Planning;</w:t>
            </w:r>
          </w:p>
          <w:p w14:paraId="2801D2CD" w14:textId="77777777" w:rsidR="00523689" w:rsidRPr="00380B40" w:rsidRDefault="00523689" w:rsidP="00CE44D6">
            <w:pPr>
              <w:pStyle w:val="Tabletext"/>
              <w:keepLines/>
              <w:rPr>
                <w:lang w:val="en-GB"/>
              </w:rPr>
            </w:pPr>
            <w:r w:rsidRPr="00380B40">
              <w:rPr>
                <w:lang w:val="en-GB"/>
              </w:rPr>
              <w:tab/>
              <w:t>–</w:t>
            </w:r>
            <w:r w:rsidRPr="00380B40">
              <w:rPr>
                <w:lang w:val="en-GB"/>
              </w:rPr>
              <w:tab/>
              <w:t>Special Working Group on Smart Grid;</w:t>
            </w:r>
          </w:p>
          <w:p w14:paraId="6900BA97" w14:textId="77777777" w:rsidR="00523689" w:rsidRPr="00380B40" w:rsidRDefault="00523689" w:rsidP="00CE44D6">
            <w:pPr>
              <w:pStyle w:val="Tabletext"/>
              <w:keepLines/>
              <w:rPr>
                <w:lang w:val="en-GB"/>
              </w:rPr>
            </w:pPr>
            <w:r w:rsidRPr="00380B40">
              <w:rPr>
                <w:lang w:val="en-GB"/>
              </w:rPr>
              <w:tab/>
              <w:t>–</w:t>
            </w:r>
            <w:r w:rsidRPr="00380B40">
              <w:rPr>
                <w:lang w:val="en-GB"/>
              </w:rPr>
              <w:tab/>
              <w:t>Special Working Group on Internet of Things (IoT);</w:t>
            </w:r>
          </w:p>
          <w:p w14:paraId="5C0334EE" w14:textId="77777777" w:rsidR="00523689" w:rsidRPr="00380B40" w:rsidRDefault="00523689" w:rsidP="00CE44D6">
            <w:pPr>
              <w:pStyle w:val="Tabletext"/>
              <w:keepLines/>
              <w:rPr>
                <w:lang w:val="en-GB"/>
              </w:rPr>
            </w:pPr>
            <w:r w:rsidRPr="00380B40">
              <w:rPr>
                <w:lang w:val="en-GB"/>
              </w:rPr>
              <w:tab/>
              <w:t>–</w:t>
            </w:r>
            <w:r w:rsidRPr="00380B40">
              <w:rPr>
                <w:lang w:val="en-GB"/>
              </w:rPr>
              <w:tab/>
              <w:t>Special Working Group on Management;</w:t>
            </w:r>
          </w:p>
          <w:p w14:paraId="021274E4" w14:textId="77777777" w:rsidR="00523689" w:rsidRPr="00380B40" w:rsidRDefault="00523689" w:rsidP="00CE44D6">
            <w:pPr>
              <w:pStyle w:val="Tabletext"/>
              <w:keepLines/>
              <w:rPr>
                <w:lang w:val="en-GB"/>
              </w:rPr>
            </w:pPr>
            <w:r w:rsidRPr="00380B40">
              <w:rPr>
                <w:lang w:val="en-GB"/>
              </w:rPr>
              <w:tab/>
              <w:t>–</w:t>
            </w:r>
            <w:r w:rsidRPr="00380B40">
              <w:rPr>
                <w:lang w:val="en-GB"/>
              </w:rPr>
              <w:tab/>
              <w:t>WG 7 on Sensor Networks;</w:t>
            </w:r>
          </w:p>
          <w:p w14:paraId="191B0DEC" w14:textId="77777777" w:rsidR="00523689" w:rsidRPr="00380B40" w:rsidRDefault="00523689" w:rsidP="00CE44D6">
            <w:pPr>
              <w:pStyle w:val="Tabletext"/>
              <w:keepLines/>
              <w:rPr>
                <w:lang w:val="en-GB"/>
              </w:rPr>
            </w:pPr>
            <w:r w:rsidRPr="00380B40">
              <w:rPr>
                <w:lang w:val="en-GB"/>
              </w:rPr>
              <w:tab/>
              <w:t>–</w:t>
            </w:r>
            <w:r w:rsidRPr="00380B40">
              <w:rPr>
                <w:lang w:val="en-GB"/>
              </w:rPr>
              <w:tab/>
              <w:t>WG 8 on Governance of IT.</w:t>
            </w:r>
          </w:p>
        </w:tc>
      </w:tr>
    </w:tbl>
    <w:p w14:paraId="7F91262B" w14:textId="77777777" w:rsidR="00523689" w:rsidRPr="00380B40" w:rsidRDefault="00523689" w:rsidP="00523689">
      <w:pPr>
        <w:rPr>
          <w:lang w:val="en-GB"/>
        </w:rPr>
      </w:pPr>
      <w:bookmarkStart w:id="1364" w:name="_Toc382734821"/>
      <w:r w:rsidRPr="00380B40">
        <w:rPr>
          <w:lang w:val="en-GB"/>
        </w:rPr>
        <w:t>At the next lower level, ITU-T Study Groups typically divide their work into a number of Working Parties (WPs), and JTC 1 Subcommittees divide their work into Working Groups (WGs). Both organizations appoint Rapporteurs and Editors to facilitate the carrying out of detailed technical work.</w:t>
      </w:r>
    </w:p>
    <w:p w14:paraId="7E723ED9" w14:textId="77777777" w:rsidR="00523689" w:rsidRPr="00380B40" w:rsidRDefault="00523689" w:rsidP="00523689">
      <w:pPr>
        <w:rPr>
          <w:lang w:val="en-GB"/>
        </w:rPr>
      </w:pPr>
      <w:r w:rsidRPr="00380B40">
        <w:rPr>
          <w:lang w:val="en-GB"/>
        </w:rPr>
        <w:t>Figure 1 illustrates the ITU-T structure as of September 2013 and Figure 2 illustrates the JTC 1 structure as of September 2013.</w:t>
      </w:r>
    </w:p>
    <w:p w14:paraId="7FE1F527" w14:textId="77777777" w:rsidR="00617655" w:rsidRPr="00380B40" w:rsidRDefault="00617655" w:rsidP="00523689">
      <w:pPr>
        <w:rPr>
          <w:lang w:val="en-GB"/>
        </w:rPr>
      </w:pPr>
    </w:p>
    <w:p w14:paraId="1A86CFC8" w14:textId="77777777" w:rsidR="00523689" w:rsidRPr="00380B40" w:rsidRDefault="00523689" w:rsidP="00523689">
      <w:pPr>
        <w:pStyle w:val="Figure"/>
        <w:rPr>
          <w:lang w:val="en-GB"/>
        </w:rPr>
      </w:pPr>
      <w:bookmarkStart w:id="1365" w:name="_Toc3708709"/>
      <w:bookmarkStart w:id="1366" w:name="_Toc229895858"/>
      <w:bookmarkStart w:id="1367" w:name="_Toc229896160"/>
      <w:r w:rsidRPr="00380B40">
        <w:rPr>
          <w:noProof/>
          <w:lang w:val="en-US" w:eastAsia="zh-CN"/>
        </w:rPr>
        <w:drawing>
          <wp:inline distT="0" distB="0" distL="0" distR="0" wp14:anchorId="6C3503F1" wp14:editId="647E5267">
            <wp:extent cx="5860415" cy="3061335"/>
            <wp:effectExtent l="0" t="0" r="6985" b="5715"/>
            <wp:docPr id="10" name="Picture 10" descr="Figure 1 – Organizational structure of IT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 – Organizational structure of ITU-T"/>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5860415" cy="3061335"/>
                    </a:xfrm>
                    <a:prstGeom prst="rect">
                      <a:avLst/>
                    </a:prstGeom>
                    <a:noFill/>
                    <a:ln>
                      <a:noFill/>
                    </a:ln>
                  </pic:spPr>
                </pic:pic>
              </a:graphicData>
            </a:graphic>
          </wp:inline>
        </w:drawing>
      </w:r>
    </w:p>
    <w:p w14:paraId="1DDF4955" w14:textId="77777777" w:rsidR="00523689" w:rsidRPr="00380B40" w:rsidRDefault="00523689" w:rsidP="00FD3C79">
      <w:pPr>
        <w:pStyle w:val="FigureNoTitle1"/>
      </w:pPr>
      <w:r w:rsidRPr="00380B40">
        <w:t>Figure 1 – Organizational structure of ITU-T</w:t>
      </w:r>
    </w:p>
    <w:p w14:paraId="1A0D0265" w14:textId="77777777" w:rsidR="00153048" w:rsidRPr="00380B40" w:rsidRDefault="00153048" w:rsidP="00B42EF2">
      <w:pPr>
        <w:pStyle w:val="Normalaftertitle"/>
        <w:rPr>
          <w:lang w:val="en-GB"/>
        </w:rPr>
      </w:pPr>
    </w:p>
    <w:p w14:paraId="00219F3B" w14:textId="77777777" w:rsidR="00523689" w:rsidRPr="00380B40" w:rsidRDefault="00523689" w:rsidP="00523689">
      <w:pPr>
        <w:pStyle w:val="Figure"/>
        <w:rPr>
          <w:lang w:val="en-GB"/>
        </w:rPr>
      </w:pPr>
      <w:r w:rsidRPr="00380B40">
        <w:rPr>
          <w:noProof/>
          <w:lang w:val="en-US" w:eastAsia="zh-CN"/>
        </w:rPr>
        <w:drawing>
          <wp:inline distT="0" distB="0" distL="0" distR="0" wp14:anchorId="1A8D743A" wp14:editId="62AA1AD2">
            <wp:extent cx="5883910" cy="3061335"/>
            <wp:effectExtent l="0" t="0" r="2540" b="5715"/>
            <wp:docPr id="13" name="Picture 13" descr="Figure 2 – Organizational structure of JT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2 – Organizational structure of JTC 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5883910" cy="3061335"/>
                    </a:xfrm>
                    <a:prstGeom prst="rect">
                      <a:avLst/>
                    </a:prstGeom>
                    <a:noFill/>
                    <a:ln>
                      <a:noFill/>
                    </a:ln>
                  </pic:spPr>
                </pic:pic>
              </a:graphicData>
            </a:graphic>
          </wp:inline>
        </w:drawing>
      </w:r>
      <w:r w:rsidRPr="00380B40">
        <w:rPr>
          <w:lang w:val="en-GB"/>
        </w:rPr>
        <w:t xml:space="preserve"> </w:t>
      </w:r>
    </w:p>
    <w:p w14:paraId="33FCA1A9" w14:textId="77777777" w:rsidR="00523689" w:rsidRPr="00380B40" w:rsidRDefault="00523689" w:rsidP="00FD3C79">
      <w:pPr>
        <w:pStyle w:val="FigureNoTitle1"/>
      </w:pPr>
      <w:r w:rsidRPr="00380B40">
        <w:t>Figure 2 – Organizational structure of JTC 1</w:t>
      </w:r>
    </w:p>
    <w:p w14:paraId="7DD2AB94" w14:textId="77777777" w:rsidR="00617655" w:rsidRPr="00380B40" w:rsidRDefault="00617655" w:rsidP="00617655">
      <w:pPr>
        <w:rPr>
          <w:lang w:val="en-GB"/>
        </w:rPr>
      </w:pPr>
      <w:bookmarkStart w:id="1368" w:name="_Toc398284229"/>
      <w:bookmarkStart w:id="1369" w:name="_Toc401035448"/>
      <w:bookmarkStart w:id="1370" w:name="_Toc401312702"/>
      <w:bookmarkStart w:id="1371" w:name="_Toc401313058"/>
      <w:r w:rsidRPr="00380B40">
        <w:rPr>
          <w:lang w:val="en-GB"/>
        </w:rPr>
        <w:br w:type="page"/>
      </w:r>
    </w:p>
    <w:p w14:paraId="160D4F25" w14:textId="77777777" w:rsidR="00523689" w:rsidRPr="00380B40" w:rsidRDefault="00523689" w:rsidP="00523689">
      <w:pPr>
        <w:pStyle w:val="Heading1"/>
        <w:spacing w:before="480"/>
        <w:rPr>
          <w:sz w:val="20"/>
          <w:lang w:val="en-GB"/>
        </w:rPr>
      </w:pPr>
      <w:bookmarkStart w:id="1372" w:name="_Toc111636975"/>
      <w:r w:rsidRPr="00380B40">
        <w:rPr>
          <w:lang w:val="en-GB"/>
        </w:rPr>
        <w:t>3</w:t>
      </w:r>
      <w:r w:rsidRPr="00380B40">
        <w:rPr>
          <w:lang w:val="en-GB"/>
        </w:rPr>
        <w:tab/>
        <w:t>Organization procedures</w:t>
      </w:r>
      <w:bookmarkEnd w:id="1364"/>
      <w:bookmarkEnd w:id="1365"/>
      <w:bookmarkEnd w:id="1366"/>
      <w:bookmarkEnd w:id="1367"/>
      <w:bookmarkEnd w:id="1368"/>
      <w:bookmarkEnd w:id="1369"/>
      <w:bookmarkEnd w:id="1370"/>
      <w:bookmarkEnd w:id="1371"/>
      <w:bookmarkEnd w:id="1372"/>
    </w:p>
    <w:p w14:paraId="17A1F405" w14:textId="77777777" w:rsidR="00523689" w:rsidRPr="00380B40" w:rsidRDefault="00523689" w:rsidP="00523689">
      <w:pPr>
        <w:rPr>
          <w:lang w:val="en-GB"/>
        </w:rPr>
      </w:pPr>
      <w:r w:rsidRPr="00380B40">
        <w:rPr>
          <w:lang w:val="en-GB"/>
        </w:rPr>
        <w:t>The procedures for ITU-T and ISO/IEC JTC 1 cooperation make use of the regular procedures of each organization with the addition of some special procedures that achieve needed synchronization. Therefore, the following background material on the procedures of the two organizations forms the basis upon which the cooperative procedures are built. Of particular importance are the approval processes used by the ITU</w:t>
      </w:r>
      <w:r w:rsidRPr="00380B40">
        <w:rPr>
          <w:lang w:val="en-GB"/>
        </w:rPr>
        <w:noBreakHyphen/>
        <w:t>T and JTC 1.</w:t>
      </w:r>
    </w:p>
    <w:p w14:paraId="3B1B126C" w14:textId="77777777" w:rsidR="00523689" w:rsidRPr="00380B40" w:rsidRDefault="00523689" w:rsidP="00523689">
      <w:pPr>
        <w:pStyle w:val="Heading2"/>
        <w:rPr>
          <w:lang w:val="en-GB"/>
        </w:rPr>
      </w:pPr>
      <w:bookmarkStart w:id="1373" w:name="_Toc382734822"/>
      <w:bookmarkStart w:id="1374" w:name="_Toc3708710"/>
      <w:bookmarkStart w:id="1375" w:name="_Toc229895859"/>
      <w:bookmarkStart w:id="1376" w:name="_Toc229896161"/>
      <w:bookmarkStart w:id="1377" w:name="_Toc398284230"/>
      <w:bookmarkStart w:id="1378" w:name="_Toc401035449"/>
      <w:bookmarkStart w:id="1379" w:name="_Toc401312703"/>
      <w:bookmarkStart w:id="1380" w:name="_Toc401313059"/>
      <w:bookmarkStart w:id="1381" w:name="_Toc111636976"/>
      <w:r w:rsidRPr="00380B40">
        <w:rPr>
          <w:lang w:val="en-GB"/>
        </w:rPr>
        <w:t>3.1</w:t>
      </w:r>
      <w:r w:rsidRPr="00380B40">
        <w:rPr>
          <w:lang w:val="en-GB"/>
        </w:rPr>
        <w:tab/>
        <w:t>ITU-T procedures</w:t>
      </w:r>
      <w:bookmarkEnd w:id="1373"/>
      <w:bookmarkEnd w:id="1374"/>
      <w:bookmarkEnd w:id="1375"/>
      <w:bookmarkEnd w:id="1376"/>
      <w:bookmarkEnd w:id="1377"/>
      <w:bookmarkEnd w:id="1378"/>
      <w:bookmarkEnd w:id="1379"/>
      <w:bookmarkEnd w:id="1380"/>
      <w:bookmarkEnd w:id="1381"/>
    </w:p>
    <w:p w14:paraId="189E9254" w14:textId="77777777" w:rsidR="00523689" w:rsidRPr="00380B40" w:rsidRDefault="00523689" w:rsidP="00523689">
      <w:pPr>
        <w:rPr>
          <w:lang w:val="en-GB"/>
        </w:rPr>
      </w:pPr>
      <w:r w:rsidRPr="00380B40">
        <w:rPr>
          <w:lang w:val="en-GB"/>
        </w:rPr>
        <w:t>The procedures for the ITU-T are specified in the WTSA Resolutions and in the A-series Recommendations. Highlights of this information are summarized below.</w:t>
      </w:r>
    </w:p>
    <w:p w14:paraId="166052DF" w14:textId="77777777" w:rsidR="00523689" w:rsidRPr="00380B40" w:rsidRDefault="00523689" w:rsidP="00523689">
      <w:pPr>
        <w:rPr>
          <w:lang w:val="en-GB"/>
        </w:rPr>
      </w:pPr>
      <w:r w:rsidRPr="00380B40">
        <w:rPr>
          <w:lang w:val="en-GB"/>
        </w:rPr>
        <w:t>The WTSA meets once every four years. The period between two consecutive Assemblies is called a Study Period (e.g., 2009-2012). Among the principal actions taken by the WTSA are:</w:t>
      </w:r>
    </w:p>
    <w:p w14:paraId="0857EAE4" w14:textId="77777777" w:rsidR="00523689" w:rsidRPr="00380B40" w:rsidRDefault="00523689" w:rsidP="00523689">
      <w:pPr>
        <w:pStyle w:val="enumlev1"/>
        <w:rPr>
          <w:lang w:val="en-GB"/>
        </w:rPr>
      </w:pPr>
      <w:r w:rsidRPr="00380B40">
        <w:rPr>
          <w:lang w:val="en-GB"/>
        </w:rPr>
        <w:t>a)</w:t>
      </w:r>
      <w:r w:rsidRPr="00380B40">
        <w:rPr>
          <w:lang w:val="en-GB"/>
        </w:rPr>
        <w:tab/>
        <w:t>Approval of any Recommendations submitted by the Study Groups;</w:t>
      </w:r>
    </w:p>
    <w:p w14:paraId="2FDAD0F2" w14:textId="77777777" w:rsidR="00523689" w:rsidRPr="00380B40" w:rsidRDefault="00523689" w:rsidP="00523689">
      <w:pPr>
        <w:pStyle w:val="enumlev1"/>
        <w:rPr>
          <w:lang w:val="en-GB"/>
        </w:rPr>
      </w:pPr>
      <w:r w:rsidRPr="00380B40">
        <w:rPr>
          <w:lang w:val="en-GB"/>
        </w:rPr>
        <w:t>b)</w:t>
      </w:r>
      <w:r w:rsidRPr="00380B40">
        <w:rPr>
          <w:lang w:val="en-GB"/>
        </w:rPr>
        <w:tab/>
        <w:t>Organization of the Study Groups for the next Study Period;</w:t>
      </w:r>
    </w:p>
    <w:p w14:paraId="788E9C84" w14:textId="77777777" w:rsidR="00523689" w:rsidRPr="00380B40" w:rsidRDefault="00523689" w:rsidP="00523689">
      <w:pPr>
        <w:pStyle w:val="enumlev1"/>
        <w:rPr>
          <w:lang w:val="en-GB"/>
        </w:rPr>
      </w:pPr>
      <w:r w:rsidRPr="00380B40">
        <w:rPr>
          <w:lang w:val="en-GB"/>
        </w:rPr>
        <w:t>c)</w:t>
      </w:r>
      <w:r w:rsidRPr="00380B40">
        <w:rPr>
          <w:lang w:val="en-GB"/>
        </w:rPr>
        <w:tab/>
        <w:t>Allocation of Questions (work program) to Study Groups;</w:t>
      </w:r>
    </w:p>
    <w:p w14:paraId="12177488" w14:textId="77777777" w:rsidR="00523689" w:rsidRPr="00380B40" w:rsidRDefault="00523689" w:rsidP="00523689">
      <w:pPr>
        <w:pStyle w:val="enumlev1"/>
        <w:rPr>
          <w:lang w:val="en-GB"/>
        </w:rPr>
      </w:pPr>
      <w:r w:rsidRPr="00380B40">
        <w:rPr>
          <w:lang w:val="en-GB"/>
        </w:rPr>
        <w:t>d)</w:t>
      </w:r>
      <w:r w:rsidRPr="00380B40">
        <w:rPr>
          <w:lang w:val="en-GB"/>
        </w:rPr>
        <w:tab/>
        <w:t>Appointment of the chairman and vice-chairmen of each Study Group; and</w:t>
      </w:r>
    </w:p>
    <w:p w14:paraId="28DE538F" w14:textId="77777777" w:rsidR="00523689" w:rsidRPr="00380B40" w:rsidRDefault="00523689" w:rsidP="00523689">
      <w:pPr>
        <w:pStyle w:val="enumlev1"/>
        <w:rPr>
          <w:lang w:val="en-GB"/>
        </w:rPr>
      </w:pPr>
      <w:r w:rsidRPr="00380B40">
        <w:rPr>
          <w:lang w:val="en-GB"/>
        </w:rPr>
        <w:t>e)</w:t>
      </w:r>
      <w:r w:rsidRPr="00380B40">
        <w:rPr>
          <w:lang w:val="en-GB"/>
        </w:rPr>
        <w:tab/>
        <w:t>Revision of the working methods of the ITU-T.</w:t>
      </w:r>
    </w:p>
    <w:p w14:paraId="743859BB" w14:textId="77777777" w:rsidR="00523689" w:rsidRPr="00380B40" w:rsidRDefault="00523689" w:rsidP="00523689">
      <w:pPr>
        <w:rPr>
          <w:lang w:val="en-GB"/>
        </w:rPr>
      </w:pPr>
      <w:r w:rsidRPr="00380B40">
        <w:rPr>
          <w:lang w:val="en-GB"/>
        </w:rPr>
        <w:t>Between Assemblies, TSAG has been delegated authority to make any necessary changes in Study Groups, work programs and work methods.</w:t>
      </w:r>
    </w:p>
    <w:p w14:paraId="30D75165" w14:textId="77777777" w:rsidR="00523689" w:rsidRPr="00380B40" w:rsidRDefault="00523689" w:rsidP="00523689">
      <w:pPr>
        <w:rPr>
          <w:lang w:val="en-GB"/>
        </w:rPr>
      </w:pPr>
      <w:r w:rsidRPr="00380B40">
        <w:rPr>
          <w:lang w:val="en-GB"/>
        </w:rPr>
        <w:t>The Study Groups are responsible for their own internal organization, for example:</w:t>
      </w:r>
    </w:p>
    <w:p w14:paraId="4F5A7046" w14:textId="77777777" w:rsidR="00523689" w:rsidRPr="00380B40" w:rsidRDefault="00523689" w:rsidP="00523689">
      <w:pPr>
        <w:pStyle w:val="enumlev1"/>
        <w:rPr>
          <w:lang w:val="en-GB"/>
        </w:rPr>
      </w:pPr>
      <w:r w:rsidRPr="00380B40">
        <w:rPr>
          <w:lang w:val="en-GB"/>
        </w:rPr>
        <w:t>a)</w:t>
      </w:r>
      <w:r w:rsidRPr="00380B40">
        <w:rPr>
          <w:lang w:val="en-GB"/>
        </w:rPr>
        <w:tab/>
        <w:t>Establishment of Working Parties and the appointment of their chairmen;</w:t>
      </w:r>
    </w:p>
    <w:p w14:paraId="5B920C70" w14:textId="77777777" w:rsidR="00523689" w:rsidRPr="00380B40" w:rsidRDefault="00523689" w:rsidP="00523689">
      <w:pPr>
        <w:pStyle w:val="enumlev1"/>
        <w:rPr>
          <w:lang w:val="en-GB"/>
        </w:rPr>
      </w:pPr>
      <w:r w:rsidRPr="00380B40">
        <w:rPr>
          <w:lang w:val="en-GB"/>
        </w:rPr>
        <w:t>b)</w:t>
      </w:r>
      <w:r w:rsidRPr="00380B40">
        <w:rPr>
          <w:lang w:val="en-GB"/>
        </w:rPr>
        <w:tab/>
        <w:t>Allocation of Questions to each Working Party; and</w:t>
      </w:r>
    </w:p>
    <w:p w14:paraId="0CF40AD1" w14:textId="77777777" w:rsidR="00523689" w:rsidRPr="00380B40" w:rsidRDefault="00523689" w:rsidP="00523689">
      <w:pPr>
        <w:pStyle w:val="enumlev1"/>
        <w:rPr>
          <w:lang w:val="en-GB"/>
        </w:rPr>
      </w:pPr>
      <w:r w:rsidRPr="00380B40">
        <w:rPr>
          <w:lang w:val="en-GB"/>
        </w:rPr>
        <w:t>c)</w:t>
      </w:r>
      <w:r w:rsidRPr="00380B40">
        <w:rPr>
          <w:lang w:val="en-GB"/>
        </w:rPr>
        <w:tab/>
        <w:t>Appointment of Rapporteurs.</w:t>
      </w:r>
    </w:p>
    <w:p w14:paraId="094FBD82" w14:textId="77777777" w:rsidR="00523689" w:rsidRPr="00380B40" w:rsidRDefault="00523689" w:rsidP="00523689">
      <w:pPr>
        <w:rPr>
          <w:lang w:val="en-GB"/>
        </w:rPr>
      </w:pPr>
      <w:r w:rsidRPr="00380B40">
        <w:rPr>
          <w:lang w:val="en-GB"/>
        </w:rPr>
        <w:t>The Working Parties are responsible for the Questions assigned to them. They may appoint Rapporteurs to facilitate carrying out the technical work. When texts are being developed for a Recommendation, it is frequently helpful to appoint an Editor.</w:t>
      </w:r>
    </w:p>
    <w:p w14:paraId="5325E5F0" w14:textId="77777777" w:rsidR="00523689" w:rsidRPr="00380B40" w:rsidRDefault="00523689" w:rsidP="00523689">
      <w:pPr>
        <w:rPr>
          <w:lang w:val="en-GB"/>
        </w:rPr>
      </w:pPr>
      <w:r w:rsidRPr="00380B40">
        <w:rPr>
          <w:lang w:val="en-GB"/>
        </w:rPr>
        <w:t>At the start of a new Study Period, the Questions are the ones allocated to the Study Group by the WTSA. During the Study Period, new proposed Questions can be drafted and approved.</w:t>
      </w:r>
    </w:p>
    <w:p w14:paraId="6FF30D7D" w14:textId="77777777" w:rsidR="00617655" w:rsidRPr="00380B40" w:rsidRDefault="00617655" w:rsidP="00523689">
      <w:pPr>
        <w:rPr>
          <w:lang w:val="en-GB"/>
        </w:rPr>
      </w:pPr>
      <w:r w:rsidRPr="00380B40">
        <w:rPr>
          <w:lang w:val="en-GB"/>
        </w:rPr>
        <w:br w:type="page"/>
      </w:r>
    </w:p>
    <w:p w14:paraId="5A59646D" w14:textId="77777777" w:rsidR="00523689" w:rsidRPr="00380B40" w:rsidRDefault="00523689" w:rsidP="00523689">
      <w:pPr>
        <w:rPr>
          <w:lang w:val="en-GB"/>
        </w:rPr>
      </w:pPr>
      <w:r w:rsidRPr="00380B40">
        <w:rPr>
          <w:lang w:val="en-GB"/>
        </w:rPr>
        <w:t>At the end of the Study Period, each Study Group prepares a set of new or revised Questions for the work they believe should be continued or undertaken during the next four year Study Period. These draft Questions are submitted to the WTSA for approval.</w:t>
      </w:r>
    </w:p>
    <w:p w14:paraId="326E98B8" w14:textId="77777777" w:rsidR="00523689" w:rsidRPr="00380B40" w:rsidRDefault="00523689" w:rsidP="00523689">
      <w:pPr>
        <w:rPr>
          <w:lang w:val="en-GB"/>
        </w:rPr>
      </w:pPr>
      <w:r w:rsidRPr="00380B40">
        <w:rPr>
          <w:lang w:val="en-GB"/>
        </w:rPr>
        <w:t>Procedures are in place that permit important work to continue during the period between the final meeting of a Study Group in one Study Period and the first meeting of the Study Group in the next Study Period.</w:t>
      </w:r>
    </w:p>
    <w:p w14:paraId="57E58CA1" w14:textId="77777777" w:rsidR="00523689" w:rsidRPr="00380B40" w:rsidRDefault="00523689" w:rsidP="00523689">
      <w:pPr>
        <w:pStyle w:val="Heading3"/>
        <w:ind w:left="0" w:firstLine="0"/>
        <w:rPr>
          <w:lang w:val="en-GB"/>
        </w:rPr>
      </w:pPr>
      <w:bookmarkStart w:id="1382" w:name="_Toc3708711"/>
      <w:bookmarkStart w:id="1383" w:name="_Toc229895860"/>
      <w:bookmarkStart w:id="1384" w:name="_Toc229896162"/>
      <w:bookmarkStart w:id="1385" w:name="_Toc111636977"/>
      <w:r w:rsidRPr="00380B40">
        <w:rPr>
          <w:lang w:val="en-GB"/>
        </w:rPr>
        <w:t>3.1.1</w:t>
      </w:r>
      <w:r w:rsidRPr="00380B40">
        <w:rPr>
          <w:lang w:val="en-GB"/>
        </w:rPr>
        <w:tab/>
        <w:t>Traditional Approval Process (TAP)</w:t>
      </w:r>
      <w:bookmarkEnd w:id="1382"/>
      <w:bookmarkEnd w:id="1383"/>
      <w:bookmarkEnd w:id="1384"/>
      <w:bookmarkEnd w:id="1385"/>
    </w:p>
    <w:p w14:paraId="1C50E8C3" w14:textId="77777777" w:rsidR="00523689" w:rsidRPr="00380B40" w:rsidRDefault="00523689" w:rsidP="00523689">
      <w:pPr>
        <w:rPr>
          <w:lang w:val="en-GB"/>
        </w:rPr>
      </w:pPr>
      <w:r w:rsidRPr="00380B40">
        <w:rPr>
          <w:lang w:val="en-GB"/>
        </w:rPr>
        <w:t>The Traditional Approval Process is used for Recommendations that may have regulatory or policy implications. Details of this procedure are contained in WTSA Resolution 1 and summarized in Figure 3a. It is expected that many Recommendations developed in cooperation with JTC 1 will not have regulatory or policy implications, and will therefore not fall under this procedure.</w:t>
      </w:r>
    </w:p>
    <w:p w14:paraId="66FE465F" w14:textId="77777777" w:rsidR="00523689" w:rsidRPr="00380B40" w:rsidRDefault="00523689" w:rsidP="00523689">
      <w:pPr>
        <w:rPr>
          <w:lang w:val="en-GB"/>
        </w:rPr>
      </w:pPr>
      <w:r w:rsidRPr="00380B40">
        <w:rPr>
          <w:lang w:val="en-GB"/>
        </w:rPr>
        <w:t>During the Study Period, work on a draft of a new Recommendation or on a revision of an existing Recommendation may become mature and stable. The Study Group or Working Party may determine that the text is sufficiently mature and that the approval process should be initiated. Any final editing is completed and the Study Group Chairman requests the Director of the TSB to initiate a consultation period, which lasts at least 3 months. The results of the consultation of Member States are conveyed to the next meeting of the Study Group.</w:t>
      </w:r>
    </w:p>
    <w:p w14:paraId="43DE99EE" w14:textId="77777777" w:rsidR="00523689" w:rsidRPr="00380B40" w:rsidRDefault="00523689" w:rsidP="00523689">
      <w:pPr>
        <w:rPr>
          <w:lang w:val="en-GB"/>
        </w:rPr>
      </w:pPr>
      <w:r w:rsidRPr="00380B40">
        <w:rPr>
          <w:lang w:val="en-GB"/>
        </w:rPr>
        <w:t>At the Study Group meeting, all comments are considered and the final text of the Recommendation is produced. At the designated time during the Study Group meeting, the Chairman will seek approval of the Recommendation. The decision at the Study Group meeting must be unopposed. If one Member State says "NO", the approval process is suspended. One or more Member States at the Study Group meeting may request more time to consider their position. If this is the case, these Member States have four weeks from the end of the meeting to make their position known. Texts which are mature at the end of the Study Period may be approved using this procedure or may be sent to the WTSA for approval.</w:t>
      </w:r>
    </w:p>
    <w:p w14:paraId="4DC41D1F" w14:textId="77777777" w:rsidR="00523689" w:rsidRPr="00380B40" w:rsidRDefault="00523689" w:rsidP="00523689">
      <w:pPr>
        <w:rPr>
          <w:lang w:val="en-GB"/>
        </w:rPr>
      </w:pPr>
      <w:r w:rsidRPr="00380B40">
        <w:rPr>
          <w:lang w:val="en-GB"/>
        </w:rPr>
        <w:t>In cases where a delegation does not elect to oppose approval of a text, but would like to register a degree of reservation on one or more aspects, this shall be noted in the report of the meeting. Such reservations shall be mentioned in a concise note appended to the text of the Recommendation.</w:t>
      </w:r>
    </w:p>
    <w:p w14:paraId="779E0A0C" w14:textId="77777777" w:rsidR="00523689" w:rsidRPr="00380B40" w:rsidRDefault="00523689" w:rsidP="00523689">
      <w:pPr>
        <w:pStyle w:val="Heading3"/>
        <w:ind w:left="0" w:firstLine="0"/>
        <w:rPr>
          <w:lang w:val="en-GB"/>
        </w:rPr>
      </w:pPr>
      <w:bookmarkStart w:id="1386" w:name="_Toc229895861"/>
      <w:bookmarkStart w:id="1387" w:name="_Toc229896163"/>
      <w:bookmarkStart w:id="1388" w:name="_Toc111636978"/>
      <w:r w:rsidRPr="00380B40">
        <w:rPr>
          <w:lang w:val="en-GB"/>
        </w:rPr>
        <w:t>3.1.2</w:t>
      </w:r>
      <w:r w:rsidRPr="00380B40">
        <w:rPr>
          <w:lang w:val="en-GB"/>
        </w:rPr>
        <w:tab/>
        <w:t>Alternative Approval Process (AAP)</w:t>
      </w:r>
      <w:bookmarkEnd w:id="1386"/>
      <w:bookmarkEnd w:id="1387"/>
      <w:bookmarkEnd w:id="1388"/>
    </w:p>
    <w:p w14:paraId="04F45BC2" w14:textId="77777777" w:rsidR="00523689" w:rsidRPr="00380B40" w:rsidRDefault="00523689" w:rsidP="00523689">
      <w:pPr>
        <w:rPr>
          <w:lang w:val="en-GB"/>
        </w:rPr>
      </w:pPr>
      <w:r w:rsidRPr="00380B40">
        <w:rPr>
          <w:lang w:val="en-GB"/>
        </w:rPr>
        <w:t>The Alternative Approval Process is used for Recommendations that do not have regulatory or policy implications. Details of this procedure are contained in Recommendation ITU-T A.8 and summarized in Figure 3b. A major characteristic of the AAP is that approval can be obtained without having to wait until the next Study Group meeting. It is expected that essentially all of the Recommendations developed in cooperation with JTC 1 will fall under this procedure.</w:t>
      </w:r>
    </w:p>
    <w:p w14:paraId="2D70DC72" w14:textId="77777777" w:rsidR="00617655" w:rsidRPr="00380B40" w:rsidRDefault="00617655" w:rsidP="00523689">
      <w:pPr>
        <w:rPr>
          <w:lang w:val="en-GB"/>
        </w:rPr>
      </w:pPr>
      <w:r w:rsidRPr="00380B40">
        <w:rPr>
          <w:lang w:val="en-GB"/>
        </w:rPr>
        <w:br w:type="page"/>
      </w:r>
    </w:p>
    <w:p w14:paraId="5DC5D961" w14:textId="77777777" w:rsidR="00523689" w:rsidRPr="00380B40" w:rsidRDefault="00523689" w:rsidP="00523689">
      <w:pPr>
        <w:rPr>
          <w:lang w:val="en-GB"/>
        </w:rPr>
      </w:pPr>
      <w:r w:rsidRPr="00380B40">
        <w:rPr>
          <w:lang w:val="en-GB"/>
        </w:rPr>
        <w:t>During the Study Period, work on a draft of a new Recommendation or on a revision of an existing Recommendation may become mature and stable. The Study Group or Working Party may consent that the text is sufficiently mature and that the approval process should be initiated. Any final editing of the text is completed and the Study Group Chairman requests the Director of the TSB to initiate a four-week Last Call period. Member States, Sector Members and Associates review the text and may submit comments. If there are no comments (other than simple editorial corrections), the Recommendation is approved. If there are comments of substance, they are addressed and depending on time schedules the revised text will be posted for a three-week Additional Review or sent to the next meeting of the Study Group. If the Additional Review is held, the Recommendation is approved if there are no comments (other than simple editorial corrections). Otherwise, the text is sent to the next Study Group meeting. At the Study Group meeting, all comments are considered and the final text of the Recommendation is produced. At the designated time during the Study Group meeting, the Chairman will seek approval of the Recommendation. The decision at the Study Group meeting must not be opposed by more than one Member State present at the meeting. If two or more Member States say "NO", the approval process is suspended. One or more Member States at the Study Group meeting may request more time to consider their position. If this is the case, these Member States have four weeks from the end of the meeting to make their position known. Texts which are mature at the end of the Study Period may be approved using the above procedure or may be sent to the World Telecommunication Standardization Assembly for approval.</w:t>
      </w:r>
    </w:p>
    <w:p w14:paraId="0A314186" w14:textId="77777777" w:rsidR="00523689" w:rsidRPr="00380B40" w:rsidRDefault="00523689" w:rsidP="00523689">
      <w:pPr>
        <w:rPr>
          <w:lang w:val="en-GB"/>
        </w:rPr>
      </w:pPr>
      <w:r w:rsidRPr="00380B40">
        <w:rPr>
          <w:lang w:val="en-GB"/>
        </w:rPr>
        <w:t>In cases where a delegation does not elect to oppose approval of a text, but would like to register a degree of reservation on one or more aspects, this shall be noted in the report of the meeting. Such reservations shall be mentioned in a concise note appended to the text of the Recommendation concerned.</w:t>
      </w:r>
    </w:p>
    <w:p w14:paraId="1EAB58A5" w14:textId="77777777" w:rsidR="00B42EF2" w:rsidRPr="00380B40" w:rsidRDefault="00B42EF2" w:rsidP="00523689">
      <w:pPr>
        <w:rPr>
          <w:lang w:val="en-GB"/>
        </w:rPr>
      </w:pPr>
    </w:p>
    <w:p w14:paraId="2E7476CD" w14:textId="77777777" w:rsidR="00B42EF2" w:rsidRPr="00380B40" w:rsidRDefault="00B42EF2" w:rsidP="00523689">
      <w:pPr>
        <w:rPr>
          <w:lang w:val="en-GB"/>
        </w:rPr>
      </w:pPr>
    </w:p>
    <w:p w14:paraId="44FE6D8A" w14:textId="77777777" w:rsidR="00B42EF2" w:rsidRPr="00380B40" w:rsidRDefault="00B42EF2" w:rsidP="00523689">
      <w:pPr>
        <w:rPr>
          <w:lang w:val="en-GB"/>
        </w:rPr>
      </w:pPr>
    </w:p>
    <w:p w14:paraId="6FBD2384" w14:textId="77777777" w:rsidR="00B42EF2" w:rsidRPr="00380B40" w:rsidRDefault="00B42EF2" w:rsidP="00523689">
      <w:pPr>
        <w:rPr>
          <w:lang w:val="en-GB"/>
        </w:rPr>
      </w:pPr>
    </w:p>
    <w:p w14:paraId="46087DBB" w14:textId="77777777" w:rsidR="00B42EF2" w:rsidRPr="00380B40" w:rsidRDefault="00B42EF2" w:rsidP="00523689">
      <w:pPr>
        <w:rPr>
          <w:lang w:val="en-GB"/>
        </w:rPr>
      </w:pPr>
    </w:p>
    <w:p w14:paraId="4ECC55A9" w14:textId="77777777" w:rsidR="00B42EF2" w:rsidRPr="00380B40" w:rsidRDefault="00B42EF2" w:rsidP="00523689">
      <w:pPr>
        <w:rPr>
          <w:lang w:val="en-GB"/>
        </w:rPr>
      </w:pPr>
    </w:p>
    <w:p w14:paraId="0FFF0F5C" w14:textId="77777777" w:rsidR="00B42EF2" w:rsidRPr="00380B40" w:rsidRDefault="00B42EF2" w:rsidP="00523689">
      <w:pPr>
        <w:rPr>
          <w:lang w:val="en-GB"/>
        </w:rPr>
      </w:pPr>
    </w:p>
    <w:p w14:paraId="46FD0387" w14:textId="77777777" w:rsidR="00B42EF2" w:rsidRPr="00380B40" w:rsidRDefault="00B42EF2" w:rsidP="00523689">
      <w:pPr>
        <w:rPr>
          <w:lang w:val="en-GB"/>
        </w:rPr>
      </w:pPr>
    </w:p>
    <w:p w14:paraId="737D3A57" w14:textId="77777777" w:rsidR="00B42EF2" w:rsidRPr="00380B40" w:rsidRDefault="00B42EF2" w:rsidP="00523689">
      <w:pPr>
        <w:rPr>
          <w:lang w:val="en-GB"/>
        </w:rPr>
      </w:pPr>
    </w:p>
    <w:p w14:paraId="263415D1" w14:textId="77777777" w:rsidR="00153048" w:rsidRPr="00380B40" w:rsidRDefault="00153048" w:rsidP="00523689">
      <w:pPr>
        <w:rPr>
          <w:lang w:val="en-GB"/>
        </w:rPr>
      </w:pPr>
      <w:r w:rsidRPr="00380B40">
        <w:rPr>
          <w:lang w:val="en-GB"/>
        </w:rPr>
        <w:br w:type="page"/>
      </w:r>
    </w:p>
    <w:p w14:paraId="3735B04B" w14:textId="77777777" w:rsidR="00523689" w:rsidRPr="00380B40" w:rsidRDefault="00523689" w:rsidP="00523689">
      <w:pPr>
        <w:pStyle w:val="Figure"/>
        <w:rPr>
          <w:lang w:val="en-GB"/>
        </w:rPr>
      </w:pPr>
      <w:r w:rsidRPr="00380B40">
        <w:rPr>
          <w:noProof/>
          <w:lang w:val="en-US" w:eastAsia="zh-CN"/>
        </w:rPr>
        <w:drawing>
          <wp:inline distT="0" distB="0" distL="0" distR="0" wp14:anchorId="74E2F877" wp14:editId="20FC78BF">
            <wp:extent cx="6096012" cy="3541783"/>
            <wp:effectExtent l="0" t="0" r="0" b="1905"/>
            <wp:docPr id="1997" name="Picture 1997" descr="Figure 3a (Based on Fig. 9.1 of WTSA Res. 1) – ITU-T Traditional Approval Process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 name="Picture 1997" descr="Figure 3a (Based on Fig. 9.1 of WTSA Res. 1) – ITU-T Traditional Approval Process (TAP)"/>
                    <pic:cNvPicPr/>
                  </pic:nvPicPr>
                  <pic:blipFill>
                    <a:blip r:embed="rId432" cstate="print">
                      <a:extLst>
                        <a:ext uri="{28A0092B-C50C-407E-A947-70E740481C1C}">
                          <a14:useLocalDpi xmlns:a14="http://schemas.microsoft.com/office/drawing/2010/main" val="0"/>
                        </a:ext>
                      </a:extLst>
                    </a:blip>
                    <a:stretch>
                      <a:fillRect/>
                    </a:stretch>
                  </pic:blipFill>
                  <pic:spPr>
                    <a:xfrm>
                      <a:off x="0" y="0"/>
                      <a:ext cx="6096012" cy="3541783"/>
                    </a:xfrm>
                    <a:prstGeom prst="rect">
                      <a:avLst/>
                    </a:prstGeom>
                  </pic:spPr>
                </pic:pic>
              </a:graphicData>
            </a:graphic>
          </wp:inline>
        </w:drawing>
      </w:r>
    </w:p>
    <w:p w14:paraId="50F5D850" w14:textId="77777777" w:rsidR="00523689" w:rsidRPr="00380B40" w:rsidRDefault="00523689" w:rsidP="006F1E99">
      <w:pPr>
        <w:pStyle w:val="Sourcetext"/>
      </w:pPr>
      <w:r w:rsidRPr="00380B40">
        <w:t>NOTE 1 – Exceptionally, an additional period of up to four weeks would be added if a delegation requested more time under WTSA</w:t>
      </w:r>
      <w:r w:rsidRPr="00380B40">
        <w:noBreakHyphen/>
        <w:t>12 Resolution 1, clause 9.5.5.</w:t>
      </w:r>
    </w:p>
    <w:p w14:paraId="02784E62" w14:textId="77777777" w:rsidR="00523689" w:rsidRPr="00380B40" w:rsidRDefault="00523689" w:rsidP="006F1E99">
      <w:pPr>
        <w:pStyle w:val="Sourcetext"/>
      </w:pPr>
      <w:r w:rsidRPr="00380B40">
        <w:t xml:space="preserve">NOTE 2 – </w:t>
      </w:r>
      <w:r w:rsidRPr="00380B40">
        <w:rPr>
          <w:i/>
        </w:rPr>
        <w:t xml:space="preserve">SG or WP </w:t>
      </w:r>
      <w:r w:rsidRPr="00380B40">
        <w:rPr>
          <w:i/>
          <w:iCs/>
        </w:rPr>
        <w:t>determination</w:t>
      </w:r>
      <w:r w:rsidRPr="00380B40">
        <w:t>: The study group or working party determines that work on a draft Recommendation is sufficiently mature and requests the SG chairman to make the request to the Director (WTSA</w:t>
      </w:r>
      <w:r w:rsidRPr="00380B40">
        <w:noBreakHyphen/>
        <w:t>12 Resolution 1, clause 9.3.1).</w:t>
      </w:r>
    </w:p>
    <w:p w14:paraId="5C63A67E" w14:textId="77777777" w:rsidR="00523689" w:rsidRPr="00380B40" w:rsidRDefault="00523689" w:rsidP="006F1E99">
      <w:pPr>
        <w:pStyle w:val="Sourcetext"/>
      </w:pPr>
      <w:r w:rsidRPr="00380B40">
        <w:t xml:space="preserve">NOTE 3 – </w:t>
      </w:r>
      <w:r w:rsidRPr="00380B40">
        <w:rPr>
          <w:i/>
          <w:iCs/>
        </w:rPr>
        <w:t>Chairman's request</w:t>
      </w:r>
      <w:r w:rsidRPr="00380B40">
        <w:t>: The SG chairman requests that the Director announce the intention to seek approval (WTSA-12 Resolution 1, clause 9.3.1).</w:t>
      </w:r>
    </w:p>
    <w:p w14:paraId="75F72602" w14:textId="77777777" w:rsidR="00523689" w:rsidRPr="00380B40" w:rsidRDefault="00523689" w:rsidP="006F1E99">
      <w:pPr>
        <w:pStyle w:val="Sourcetext"/>
      </w:pPr>
      <w:r w:rsidRPr="00380B40">
        <w:t xml:space="preserve">NOTE 4 – </w:t>
      </w:r>
      <w:r w:rsidRPr="00380B40">
        <w:rPr>
          <w:i/>
          <w:iCs/>
        </w:rPr>
        <w:t>Edited text available</w:t>
      </w:r>
      <w:r w:rsidRPr="00380B40">
        <w:t>: Text of the draft Recommendation, including the required summary, must be available to TSB in final edited form in at least one official language (WTSA-12 Resolution 1, clause 9.3.3). Any associated electronic material included in the Recommendation must also be made available to TSB at the same time.</w:t>
      </w:r>
    </w:p>
    <w:p w14:paraId="257A23B3" w14:textId="77777777" w:rsidR="00523689" w:rsidRPr="00380B40" w:rsidRDefault="00523689" w:rsidP="006F1E99">
      <w:pPr>
        <w:pStyle w:val="Sourcetext"/>
      </w:pPr>
      <w:r w:rsidRPr="00380B40">
        <w:t xml:space="preserve">NOTE 5 – </w:t>
      </w:r>
      <w:r w:rsidRPr="00380B40">
        <w:rPr>
          <w:i/>
          <w:iCs/>
        </w:rPr>
        <w:t>Director's announcement</w:t>
      </w:r>
      <w:r w:rsidRPr="00380B40">
        <w:t>: The Director announces the intention to seek approval of the draft Recommendation at the next SG meeting. The invitation to the meeting with the announcement of the intention to apply the approval procedure should be sent to all Member States and Sector Members so as to be received at least three months before the meeting (WTSA-12 Resolution 1, clauses 9.3.1 and 9.3.3).</w:t>
      </w:r>
    </w:p>
    <w:p w14:paraId="59B83F00" w14:textId="77777777" w:rsidR="00523689" w:rsidRPr="00380B40" w:rsidRDefault="00523689" w:rsidP="006F1E99">
      <w:pPr>
        <w:pStyle w:val="Sourcetext"/>
      </w:pPr>
      <w:r w:rsidRPr="00380B40">
        <w:t xml:space="preserve">NOTE 6 – </w:t>
      </w:r>
      <w:r w:rsidRPr="00380B40">
        <w:rPr>
          <w:i/>
          <w:iCs/>
        </w:rPr>
        <w:t>Director's request</w:t>
      </w:r>
      <w:r w:rsidRPr="00380B40">
        <w:t>: The Director requests Member States to inform the Director whether they approve or do not approve the proposal (WTSA-12 Resolution 1, clauses 9.4.1 and 9.4.2). This request shall contain the summary and reference to the complete final text.</w:t>
      </w:r>
    </w:p>
    <w:p w14:paraId="0C55CCF4" w14:textId="77777777" w:rsidR="00523689" w:rsidRPr="00380B40" w:rsidRDefault="00523689" w:rsidP="006F1E99">
      <w:pPr>
        <w:pStyle w:val="Sourcetext"/>
      </w:pPr>
      <w:r w:rsidRPr="00380B40">
        <w:t xml:space="preserve">NOTE 7 – </w:t>
      </w:r>
      <w:r w:rsidRPr="00380B40">
        <w:rPr>
          <w:i/>
          <w:iCs/>
        </w:rPr>
        <w:t>Text distributed</w:t>
      </w:r>
      <w:r w:rsidRPr="00380B40">
        <w:t>: Text of the draft Recommendation must have been distributed in the official languages at least one month before the announced meeting (WTSA-12 Resolution 1, clauses 9.3.5).</w:t>
      </w:r>
    </w:p>
    <w:p w14:paraId="52A459F9" w14:textId="77777777" w:rsidR="00523689" w:rsidRPr="00380B40" w:rsidRDefault="00523689" w:rsidP="006F1E99">
      <w:pPr>
        <w:pStyle w:val="Sourcetext"/>
      </w:pPr>
      <w:r w:rsidRPr="00380B40">
        <w:t xml:space="preserve">NOTE 8 – </w:t>
      </w:r>
      <w:r w:rsidRPr="00380B40">
        <w:rPr>
          <w:i/>
          <w:iCs/>
        </w:rPr>
        <w:t>Deadline for Member States' replies</w:t>
      </w:r>
      <w:r w:rsidRPr="00380B40">
        <w:t>: If 70% of replies received during the consultation period indicate approval, the proposal shall be accepted (WTSA-12 Resolution 1, clauses 9.4.1, 9.4.5 and 9.4.7).</w:t>
      </w:r>
    </w:p>
    <w:p w14:paraId="061C7B2E" w14:textId="77777777" w:rsidR="00523689" w:rsidRPr="00380B40" w:rsidRDefault="00523689" w:rsidP="006F1E99">
      <w:pPr>
        <w:pStyle w:val="Sourcetext"/>
      </w:pPr>
      <w:r w:rsidRPr="00380B40">
        <w:t xml:space="preserve">NOTE 9 – </w:t>
      </w:r>
      <w:r w:rsidRPr="00380B40">
        <w:rPr>
          <w:i/>
        </w:rPr>
        <w:t xml:space="preserve">Study </w:t>
      </w:r>
      <w:r w:rsidRPr="00380B40">
        <w:rPr>
          <w:i/>
          <w:iCs/>
        </w:rPr>
        <w:t>group decision</w:t>
      </w:r>
      <w:r w:rsidRPr="00380B40">
        <w:t xml:space="preserve">: </w:t>
      </w:r>
      <w:r w:rsidRPr="00380B40">
        <w:rPr>
          <w:spacing w:val="-4"/>
        </w:rPr>
        <w:t>After debate, the study group reaches unopposed agreement to apply the approval procedure</w:t>
      </w:r>
      <w:r w:rsidRPr="00380B40">
        <w:t xml:space="preserve"> </w:t>
      </w:r>
      <w:r w:rsidRPr="00380B40">
        <w:rPr>
          <w:spacing w:val="-4"/>
        </w:rPr>
        <w:t>(WTSA-12</w:t>
      </w:r>
      <w:r w:rsidRPr="00380B40">
        <w:t xml:space="preserve"> Resolution</w:t>
      </w:r>
      <w:r w:rsidR="004C4664" w:rsidRPr="00380B40">
        <w:t> </w:t>
      </w:r>
      <w:r w:rsidRPr="00380B40">
        <w:t>1, clauses 9.5.3 and 9.5.2). A delegation can register a degree of reservation (WTSA</w:t>
      </w:r>
      <w:r w:rsidRPr="00380B40">
        <w:noBreakHyphen/>
        <w:t>12 Resolution 1, clause 9.5.4), can request more time to consider its position (9.5.5) or can abstain from the decision (WTSA-12 Resolution 1, clause 9.5.6).</w:t>
      </w:r>
    </w:p>
    <w:p w14:paraId="0DAE3F66" w14:textId="77777777" w:rsidR="00523689" w:rsidRPr="00380B40" w:rsidRDefault="00523689" w:rsidP="006F1E99">
      <w:pPr>
        <w:pStyle w:val="Sourcetext"/>
      </w:pPr>
      <w:r w:rsidRPr="00380B40">
        <w:rPr>
          <w:szCs w:val="18"/>
        </w:rPr>
        <w:t xml:space="preserve">NOTE 10 – </w:t>
      </w:r>
      <w:r w:rsidRPr="00380B40">
        <w:rPr>
          <w:i/>
          <w:iCs/>
          <w:szCs w:val="18"/>
        </w:rPr>
        <w:t>Director's notification</w:t>
      </w:r>
      <w:r w:rsidRPr="00380B40">
        <w:rPr>
          <w:szCs w:val="18"/>
        </w:rPr>
        <w:t xml:space="preserve">: </w:t>
      </w:r>
      <w:r w:rsidRPr="00380B40">
        <w:t>The Director notifies whether the draft Recommendation is approved or not</w:t>
      </w:r>
      <w:r w:rsidRPr="00380B40">
        <w:rPr>
          <w:szCs w:val="18"/>
        </w:rPr>
        <w:t xml:space="preserve"> (WTSA-12 Resolution</w:t>
      </w:r>
      <w:r w:rsidR="004C4664" w:rsidRPr="00380B40">
        <w:rPr>
          <w:szCs w:val="18"/>
        </w:rPr>
        <w:t> </w:t>
      </w:r>
      <w:r w:rsidRPr="00380B40">
        <w:rPr>
          <w:szCs w:val="18"/>
        </w:rPr>
        <w:t>1, clause 9.6.1).</w:t>
      </w:r>
    </w:p>
    <w:p w14:paraId="70C2DB8E" w14:textId="77777777" w:rsidR="00523689" w:rsidRPr="00380B40" w:rsidRDefault="00523689" w:rsidP="00FD3C79">
      <w:pPr>
        <w:pStyle w:val="FigureNoTitle1"/>
      </w:pPr>
      <w:r w:rsidRPr="00380B40">
        <w:t>Figure 3a (Based on Fig. 9.1 of WTSA Res. 1) – ITU-T Traditional Approval Process (TAP)</w:t>
      </w:r>
    </w:p>
    <w:p w14:paraId="7E6DDCEE" w14:textId="77777777" w:rsidR="00153048" w:rsidRPr="00380B40" w:rsidRDefault="00153048" w:rsidP="00153048">
      <w:pPr>
        <w:pStyle w:val="Normalaftertitle"/>
        <w:rPr>
          <w:lang w:val="en-GB"/>
        </w:rPr>
      </w:pPr>
      <w:r w:rsidRPr="00380B40">
        <w:rPr>
          <w:lang w:val="en-GB"/>
        </w:rPr>
        <w:br w:type="page"/>
      </w:r>
    </w:p>
    <w:p w14:paraId="57C18A86" w14:textId="77777777" w:rsidR="00523689" w:rsidRPr="00380B40" w:rsidRDefault="00523689" w:rsidP="00523689">
      <w:pPr>
        <w:pStyle w:val="Figure"/>
        <w:rPr>
          <w:lang w:val="en-GB"/>
        </w:rPr>
      </w:pPr>
      <w:r w:rsidRPr="00380B40">
        <w:rPr>
          <w:noProof/>
          <w:lang w:val="en-US" w:eastAsia="zh-CN"/>
        </w:rPr>
        <w:drawing>
          <wp:inline distT="0" distB="0" distL="0" distR="0" wp14:anchorId="6661427C" wp14:editId="68EE645B">
            <wp:extent cx="6120765" cy="2451735"/>
            <wp:effectExtent l="0" t="0" r="0" b="5715"/>
            <wp:docPr id="8" name="Picture 8" descr="Figure 3b (Based on Fig. 1 of ITU-T A.8) – ITU-T Alternative Approval Process (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b (Based on Fig. 1 of ITU-T A.8) – ITU-T Alternative Approval Process (AAP)"/>
                    <pic:cNvPicPr/>
                  </pic:nvPicPr>
                  <pic:blipFill>
                    <a:blip r:embed="rId433" cstate="print">
                      <a:extLst>
                        <a:ext uri="{28A0092B-C50C-407E-A947-70E740481C1C}">
                          <a14:useLocalDpi xmlns:a14="http://schemas.microsoft.com/office/drawing/2010/main" val="0"/>
                        </a:ext>
                      </a:extLst>
                    </a:blip>
                    <a:stretch>
                      <a:fillRect/>
                    </a:stretch>
                  </pic:blipFill>
                  <pic:spPr>
                    <a:xfrm>
                      <a:off x="0" y="0"/>
                      <a:ext cx="6120765" cy="2451735"/>
                    </a:xfrm>
                    <a:prstGeom prst="rect">
                      <a:avLst/>
                    </a:prstGeom>
                  </pic:spPr>
                </pic:pic>
              </a:graphicData>
            </a:graphic>
          </wp:inline>
        </w:drawing>
      </w:r>
    </w:p>
    <w:p w14:paraId="1B5937F0" w14:textId="77777777" w:rsidR="00523689" w:rsidRPr="00380B40" w:rsidRDefault="00523689" w:rsidP="00523689">
      <w:pPr>
        <w:pStyle w:val="Figurelegend"/>
        <w:tabs>
          <w:tab w:val="left" w:pos="426"/>
        </w:tabs>
        <w:ind w:left="450" w:hanging="450"/>
        <w:rPr>
          <w:sz w:val="16"/>
          <w:lang w:val="en-GB"/>
        </w:rPr>
      </w:pPr>
      <w:r w:rsidRPr="00380B40">
        <w:rPr>
          <w:sz w:val="16"/>
          <w:lang w:val="en-GB"/>
        </w:rPr>
        <w:t>1)</w:t>
      </w:r>
      <w:r w:rsidRPr="00380B40">
        <w:rPr>
          <w:sz w:val="16"/>
          <w:szCs w:val="16"/>
          <w:lang w:val="en-GB"/>
        </w:rPr>
        <w:t xml:space="preserve"> </w:t>
      </w:r>
      <w:r w:rsidRPr="00380B40">
        <w:rPr>
          <w:sz w:val="16"/>
          <w:lang w:val="en-GB"/>
        </w:rPr>
        <w:tab/>
      </w:r>
      <w:r w:rsidRPr="00380B40">
        <w:rPr>
          <w:i/>
          <w:sz w:val="16"/>
          <w:lang w:val="en-GB"/>
        </w:rPr>
        <w:t xml:space="preserve">SG or WP </w:t>
      </w:r>
      <w:r w:rsidRPr="00380B40">
        <w:rPr>
          <w:i/>
          <w:iCs/>
          <w:sz w:val="16"/>
          <w:szCs w:val="16"/>
          <w:lang w:val="en-GB"/>
        </w:rPr>
        <w:t>consent</w:t>
      </w:r>
      <w:r w:rsidRPr="00380B40">
        <w:rPr>
          <w:sz w:val="16"/>
          <w:szCs w:val="16"/>
          <w:lang w:val="en-GB"/>
        </w:rPr>
        <w:t xml:space="preserve"> – </w:t>
      </w:r>
      <w:r w:rsidRPr="00380B40">
        <w:rPr>
          <w:sz w:val="16"/>
          <w:lang w:val="en-GB"/>
        </w:rPr>
        <w:t xml:space="preserve">The </w:t>
      </w:r>
      <w:r w:rsidRPr="00380B40">
        <w:rPr>
          <w:sz w:val="16"/>
          <w:szCs w:val="16"/>
          <w:lang w:val="en-GB"/>
        </w:rPr>
        <w:t>study group</w:t>
      </w:r>
      <w:r w:rsidRPr="00380B40">
        <w:rPr>
          <w:sz w:val="16"/>
          <w:lang w:val="en-GB"/>
        </w:rPr>
        <w:t xml:space="preserve"> or </w:t>
      </w:r>
      <w:r w:rsidRPr="00380B40">
        <w:rPr>
          <w:sz w:val="16"/>
          <w:szCs w:val="16"/>
          <w:lang w:val="en-GB"/>
        </w:rPr>
        <w:t>working party</w:t>
      </w:r>
      <w:r w:rsidRPr="00380B40">
        <w:rPr>
          <w:sz w:val="16"/>
          <w:lang w:val="en-GB"/>
        </w:rPr>
        <w:t xml:space="preserve"> concludes that the work on a draft Recommendation is sufficiently mature to begin the alternative approval process</w:t>
      </w:r>
      <w:r w:rsidRPr="00380B40">
        <w:rPr>
          <w:sz w:val="16"/>
          <w:szCs w:val="16"/>
          <w:lang w:val="en-GB"/>
        </w:rPr>
        <w:t xml:space="preserve"> and to initiate the last call (Rec. ITU-T A.8, clause 3.1).</w:t>
      </w:r>
    </w:p>
    <w:p w14:paraId="48C3A5F6" w14:textId="77777777" w:rsidR="00523689" w:rsidRPr="00380B40" w:rsidRDefault="00523689" w:rsidP="00523689">
      <w:pPr>
        <w:pStyle w:val="Figurelegend"/>
        <w:tabs>
          <w:tab w:val="left" w:pos="426"/>
        </w:tabs>
        <w:ind w:left="450" w:hanging="450"/>
        <w:rPr>
          <w:sz w:val="16"/>
          <w:lang w:val="en-GB"/>
        </w:rPr>
      </w:pPr>
      <w:r w:rsidRPr="00380B40">
        <w:rPr>
          <w:sz w:val="16"/>
          <w:lang w:val="en-GB"/>
        </w:rPr>
        <w:t>2)</w:t>
      </w:r>
      <w:r w:rsidRPr="00380B40">
        <w:rPr>
          <w:sz w:val="16"/>
          <w:lang w:val="en-GB"/>
        </w:rPr>
        <w:tab/>
      </w:r>
      <w:r w:rsidRPr="00380B40">
        <w:rPr>
          <w:i/>
          <w:iCs/>
          <w:sz w:val="16"/>
          <w:szCs w:val="16"/>
          <w:lang w:val="en-GB"/>
        </w:rPr>
        <w:t>Edited text available</w:t>
      </w:r>
      <w:r w:rsidRPr="00380B40">
        <w:rPr>
          <w:sz w:val="16"/>
          <w:szCs w:val="16"/>
          <w:lang w:val="en-GB"/>
        </w:rPr>
        <w:t xml:space="preserve"> – The final, edited,</w:t>
      </w:r>
      <w:r w:rsidRPr="00380B40">
        <w:rPr>
          <w:sz w:val="16"/>
          <w:lang w:val="en-GB"/>
        </w:rPr>
        <w:t xml:space="preserve"> draft </w:t>
      </w:r>
      <w:r w:rsidRPr="00380B40">
        <w:rPr>
          <w:sz w:val="16"/>
          <w:szCs w:val="16"/>
          <w:lang w:val="en-GB"/>
        </w:rPr>
        <w:t xml:space="preserve">text, including summary, </w:t>
      </w:r>
      <w:r w:rsidRPr="00380B40">
        <w:rPr>
          <w:sz w:val="16"/>
          <w:lang w:val="en-GB"/>
        </w:rPr>
        <w:t>is provided to TSB</w:t>
      </w:r>
      <w:r w:rsidRPr="00380B40">
        <w:rPr>
          <w:sz w:val="16"/>
          <w:szCs w:val="16"/>
          <w:lang w:val="en-GB"/>
        </w:rPr>
        <w:t>,</w:t>
      </w:r>
      <w:r w:rsidRPr="00380B40">
        <w:rPr>
          <w:sz w:val="16"/>
          <w:lang w:val="en-GB"/>
        </w:rPr>
        <w:t xml:space="preserve"> and the </w:t>
      </w:r>
      <w:r w:rsidRPr="00380B40">
        <w:rPr>
          <w:sz w:val="16"/>
          <w:szCs w:val="16"/>
          <w:lang w:val="en-GB"/>
        </w:rPr>
        <w:t>study group chairman</w:t>
      </w:r>
      <w:r w:rsidRPr="00380B40">
        <w:rPr>
          <w:sz w:val="16"/>
          <w:lang w:val="en-GB"/>
        </w:rPr>
        <w:t xml:space="preserve"> requests the Director to initiate the </w:t>
      </w:r>
      <w:r w:rsidRPr="00380B40">
        <w:rPr>
          <w:sz w:val="16"/>
          <w:szCs w:val="16"/>
          <w:lang w:val="en-GB"/>
        </w:rPr>
        <w:t>last call (Rec. ITU-T A.8, clause 3.2). Any associated electronic material included in the Recommendation must also be made available to TSB at the same time</w:t>
      </w:r>
      <w:r w:rsidRPr="00380B40">
        <w:rPr>
          <w:sz w:val="16"/>
          <w:lang w:val="en-GB"/>
        </w:rPr>
        <w:t>.</w:t>
      </w:r>
    </w:p>
    <w:p w14:paraId="14C2BBEA" w14:textId="77777777" w:rsidR="00523689" w:rsidRPr="00380B40" w:rsidRDefault="00523689" w:rsidP="00523689">
      <w:pPr>
        <w:pStyle w:val="Figurelegend"/>
        <w:tabs>
          <w:tab w:val="left" w:pos="426"/>
        </w:tabs>
        <w:ind w:left="450" w:hanging="450"/>
        <w:rPr>
          <w:sz w:val="16"/>
          <w:lang w:val="en-GB"/>
        </w:rPr>
      </w:pPr>
      <w:r w:rsidRPr="00380B40">
        <w:rPr>
          <w:sz w:val="16"/>
          <w:szCs w:val="16"/>
          <w:lang w:val="en-GB"/>
        </w:rPr>
        <w:t>3)</w:t>
      </w:r>
      <w:r w:rsidRPr="00380B40">
        <w:rPr>
          <w:sz w:val="16"/>
          <w:szCs w:val="16"/>
          <w:lang w:val="en-GB"/>
        </w:rPr>
        <w:tab/>
      </w:r>
      <w:r w:rsidRPr="00380B40">
        <w:rPr>
          <w:i/>
          <w:iCs/>
          <w:sz w:val="16"/>
          <w:szCs w:val="16"/>
          <w:lang w:val="en-GB"/>
        </w:rPr>
        <w:t>Director's last call announcement and posting</w:t>
      </w:r>
      <w:r w:rsidRPr="00380B40">
        <w:rPr>
          <w:sz w:val="16"/>
          <w:szCs w:val="16"/>
          <w:lang w:val="en-GB"/>
        </w:rPr>
        <w:t xml:space="preserve"> – </w:t>
      </w:r>
      <w:r w:rsidRPr="00380B40">
        <w:rPr>
          <w:sz w:val="16"/>
          <w:lang w:val="en-GB"/>
        </w:rPr>
        <w:t xml:space="preserve">The Director announces the beginning of the </w:t>
      </w:r>
      <w:r w:rsidRPr="00380B40">
        <w:rPr>
          <w:sz w:val="16"/>
          <w:szCs w:val="16"/>
          <w:lang w:val="en-GB"/>
        </w:rPr>
        <w:t>last call</w:t>
      </w:r>
      <w:r w:rsidRPr="00380B40">
        <w:rPr>
          <w:sz w:val="16"/>
          <w:lang w:val="en-GB"/>
        </w:rPr>
        <w:t xml:space="preserve"> to all Member States, Sector Members and Associates</w:t>
      </w:r>
      <w:r w:rsidRPr="00380B40">
        <w:rPr>
          <w:sz w:val="16"/>
          <w:szCs w:val="16"/>
          <w:lang w:val="en-GB"/>
        </w:rPr>
        <w:t>,</w:t>
      </w:r>
      <w:r w:rsidRPr="00380B40">
        <w:rPr>
          <w:sz w:val="16"/>
          <w:lang w:val="en-GB"/>
        </w:rPr>
        <w:t xml:space="preserve"> with reference to the </w:t>
      </w:r>
      <w:r w:rsidRPr="00380B40">
        <w:rPr>
          <w:sz w:val="16"/>
          <w:szCs w:val="16"/>
          <w:lang w:val="en-GB"/>
        </w:rPr>
        <w:t>summary and complete text. If the draft Recommendation has not already been electronically posted, it is done at this time (Rec. ITU-T A.8, clause 3.1).</w:t>
      </w:r>
    </w:p>
    <w:p w14:paraId="0DAFC8EB" w14:textId="77777777" w:rsidR="00523689" w:rsidRPr="00380B40" w:rsidRDefault="00523689" w:rsidP="00523689">
      <w:pPr>
        <w:pStyle w:val="Figurelegend"/>
        <w:tabs>
          <w:tab w:val="left" w:pos="426"/>
        </w:tabs>
        <w:rPr>
          <w:sz w:val="16"/>
          <w:lang w:val="en-GB"/>
        </w:rPr>
      </w:pPr>
      <w:r w:rsidRPr="00380B40">
        <w:rPr>
          <w:sz w:val="16"/>
          <w:lang w:val="en-GB"/>
        </w:rPr>
        <w:t>4)</w:t>
      </w:r>
      <w:r w:rsidRPr="00380B40">
        <w:rPr>
          <w:sz w:val="16"/>
          <w:lang w:val="en-GB"/>
        </w:rPr>
        <w:tab/>
      </w:r>
      <w:r w:rsidRPr="00380B40">
        <w:rPr>
          <w:i/>
          <w:iCs/>
          <w:sz w:val="16"/>
          <w:szCs w:val="16"/>
          <w:lang w:val="en-GB"/>
        </w:rPr>
        <w:t>Last call judgment</w:t>
      </w:r>
      <w:r w:rsidRPr="00380B40">
        <w:rPr>
          <w:sz w:val="16"/>
          <w:szCs w:val="16"/>
          <w:lang w:val="en-GB"/>
        </w:rPr>
        <w:t xml:space="preserve"> – </w:t>
      </w:r>
      <w:r w:rsidRPr="00380B40">
        <w:rPr>
          <w:sz w:val="16"/>
          <w:lang w:val="en-GB"/>
        </w:rPr>
        <w:t xml:space="preserve">The </w:t>
      </w:r>
      <w:r w:rsidRPr="00380B40">
        <w:rPr>
          <w:sz w:val="16"/>
          <w:szCs w:val="16"/>
          <w:lang w:val="en-GB"/>
        </w:rPr>
        <w:t>study group chairman</w:t>
      </w:r>
      <w:r w:rsidRPr="00380B40">
        <w:rPr>
          <w:sz w:val="16"/>
          <w:lang w:val="en-GB"/>
        </w:rPr>
        <w:t xml:space="preserve">, in consultation with TSB, makes the </w:t>
      </w:r>
      <w:r w:rsidRPr="00380B40">
        <w:rPr>
          <w:sz w:val="16"/>
          <w:szCs w:val="16"/>
          <w:lang w:val="en-GB"/>
        </w:rPr>
        <w:t>judgment</w:t>
      </w:r>
      <w:r w:rsidRPr="00380B40">
        <w:rPr>
          <w:sz w:val="16"/>
          <w:lang w:val="en-GB"/>
        </w:rPr>
        <w:t xml:space="preserve"> whether:</w:t>
      </w:r>
    </w:p>
    <w:p w14:paraId="2BBB88BC" w14:textId="77777777" w:rsidR="00523689" w:rsidRPr="00380B40" w:rsidRDefault="00523689" w:rsidP="00523689">
      <w:pPr>
        <w:pStyle w:val="Figurelegend"/>
        <w:tabs>
          <w:tab w:val="left" w:pos="426"/>
        </w:tabs>
        <w:ind w:left="720" w:hanging="720"/>
        <w:rPr>
          <w:sz w:val="16"/>
          <w:lang w:val="en-GB"/>
        </w:rPr>
      </w:pPr>
      <w:r w:rsidRPr="00380B40">
        <w:rPr>
          <w:sz w:val="16"/>
          <w:szCs w:val="16"/>
          <w:lang w:val="en-GB"/>
        </w:rPr>
        <w:tab/>
      </w:r>
      <w:r w:rsidRPr="00380B40">
        <w:rPr>
          <w:sz w:val="16"/>
          <w:lang w:val="en-GB"/>
        </w:rPr>
        <w:t>a)</w:t>
      </w:r>
      <w:r w:rsidRPr="00380B40">
        <w:rPr>
          <w:sz w:val="16"/>
          <w:lang w:val="en-GB"/>
        </w:rPr>
        <w:tab/>
        <w:t xml:space="preserve">no comments other than those indicating typographical errors have been received. In this case, the Recommendation is </w:t>
      </w:r>
      <w:r w:rsidRPr="00380B40">
        <w:rPr>
          <w:sz w:val="16"/>
          <w:szCs w:val="16"/>
          <w:lang w:val="en-GB"/>
        </w:rPr>
        <w:t xml:space="preserve">considered as </w:t>
      </w:r>
      <w:r w:rsidRPr="00380B40">
        <w:rPr>
          <w:sz w:val="16"/>
          <w:lang w:val="en-GB"/>
        </w:rPr>
        <w:t>approved</w:t>
      </w:r>
      <w:r w:rsidRPr="00380B40">
        <w:rPr>
          <w:sz w:val="16"/>
          <w:szCs w:val="16"/>
          <w:lang w:val="en-GB"/>
        </w:rPr>
        <w:t xml:space="preserve"> (Rec. ITU-T A.8, clause 4.4.1);</w:t>
      </w:r>
    </w:p>
    <w:p w14:paraId="547951F6" w14:textId="77777777" w:rsidR="00523689" w:rsidRPr="00380B40" w:rsidRDefault="00523689" w:rsidP="00523689">
      <w:pPr>
        <w:pStyle w:val="Figurelegend"/>
        <w:tabs>
          <w:tab w:val="left" w:pos="426"/>
        </w:tabs>
        <w:ind w:left="720" w:hanging="720"/>
        <w:rPr>
          <w:sz w:val="16"/>
          <w:lang w:val="en-GB"/>
        </w:rPr>
      </w:pPr>
      <w:r w:rsidRPr="00380B40">
        <w:rPr>
          <w:sz w:val="16"/>
          <w:szCs w:val="16"/>
          <w:lang w:val="en-GB"/>
        </w:rPr>
        <w:tab/>
      </w:r>
      <w:r w:rsidRPr="00380B40">
        <w:rPr>
          <w:sz w:val="16"/>
          <w:lang w:val="en-GB"/>
        </w:rPr>
        <w:t>b)</w:t>
      </w:r>
      <w:r w:rsidRPr="00380B40">
        <w:rPr>
          <w:sz w:val="16"/>
          <w:lang w:val="en-GB"/>
        </w:rPr>
        <w:tab/>
        <w:t xml:space="preserve">a planned </w:t>
      </w:r>
      <w:r w:rsidRPr="00380B40">
        <w:rPr>
          <w:sz w:val="16"/>
          <w:szCs w:val="16"/>
          <w:lang w:val="en-GB"/>
        </w:rPr>
        <w:t>study group</w:t>
      </w:r>
      <w:r w:rsidRPr="00380B40">
        <w:rPr>
          <w:sz w:val="16"/>
          <w:lang w:val="en-GB"/>
        </w:rPr>
        <w:t xml:space="preserve"> meeting is sufficiently close to consider the comments received</w:t>
      </w:r>
      <w:r w:rsidRPr="00380B40">
        <w:rPr>
          <w:sz w:val="16"/>
          <w:szCs w:val="16"/>
          <w:lang w:val="en-GB"/>
        </w:rPr>
        <w:t xml:space="preserve"> (Rec. ITU-T A.8, clause 4.4.2);</w:t>
      </w:r>
      <w:r w:rsidRPr="00380B40">
        <w:rPr>
          <w:sz w:val="16"/>
          <w:lang w:val="en-GB"/>
        </w:rPr>
        <w:t xml:space="preserve"> or</w:t>
      </w:r>
      <w:r w:rsidRPr="00380B40">
        <w:rPr>
          <w:sz w:val="16"/>
          <w:szCs w:val="16"/>
          <w:lang w:val="en-GB"/>
        </w:rPr>
        <w:t xml:space="preserve"> </w:t>
      </w:r>
    </w:p>
    <w:p w14:paraId="4D4A3703" w14:textId="77777777" w:rsidR="00523689" w:rsidRPr="00380B40" w:rsidRDefault="00523689" w:rsidP="00523689">
      <w:pPr>
        <w:pStyle w:val="Figurelegend"/>
        <w:tabs>
          <w:tab w:val="left" w:pos="426"/>
        </w:tabs>
        <w:ind w:left="720" w:hanging="720"/>
        <w:rPr>
          <w:sz w:val="16"/>
          <w:lang w:val="en-GB"/>
        </w:rPr>
      </w:pPr>
      <w:r w:rsidRPr="00380B40">
        <w:rPr>
          <w:sz w:val="16"/>
          <w:szCs w:val="16"/>
          <w:lang w:val="en-GB"/>
        </w:rPr>
        <w:tab/>
      </w:r>
      <w:r w:rsidRPr="00380B40">
        <w:rPr>
          <w:sz w:val="16"/>
          <w:lang w:val="en-GB"/>
        </w:rPr>
        <w:t>c)</w:t>
      </w:r>
      <w:r w:rsidRPr="00380B40">
        <w:rPr>
          <w:sz w:val="16"/>
          <w:lang w:val="en-GB"/>
        </w:rPr>
        <w:tab/>
        <w:t>to save time and/or because of the nature and maturity of the work, comment resolution should be initiated</w:t>
      </w:r>
      <w:r w:rsidRPr="00380B40">
        <w:rPr>
          <w:sz w:val="16"/>
          <w:szCs w:val="16"/>
          <w:lang w:val="en-GB"/>
        </w:rPr>
        <w:t xml:space="preserve"> leading to the preparation of edited texts (Rec. ITU-T A.8, clause 4.4.2).</w:t>
      </w:r>
    </w:p>
    <w:p w14:paraId="332D5677" w14:textId="77777777" w:rsidR="00523689" w:rsidRPr="00380B40" w:rsidRDefault="00523689" w:rsidP="00523689">
      <w:pPr>
        <w:pStyle w:val="Figurelegend"/>
        <w:tabs>
          <w:tab w:val="left" w:pos="426"/>
        </w:tabs>
        <w:ind w:left="450" w:hanging="450"/>
        <w:rPr>
          <w:sz w:val="16"/>
          <w:szCs w:val="16"/>
          <w:lang w:val="en-GB"/>
        </w:rPr>
      </w:pPr>
      <w:r w:rsidRPr="00380B40">
        <w:rPr>
          <w:sz w:val="16"/>
          <w:lang w:val="en-GB"/>
        </w:rPr>
        <w:t>5)</w:t>
      </w:r>
      <w:r w:rsidRPr="00380B40">
        <w:rPr>
          <w:sz w:val="16"/>
          <w:lang w:val="en-GB"/>
        </w:rPr>
        <w:tab/>
      </w:r>
      <w:r w:rsidRPr="00380B40">
        <w:rPr>
          <w:i/>
          <w:iCs/>
          <w:sz w:val="16"/>
          <w:szCs w:val="16"/>
          <w:lang w:val="en-GB"/>
        </w:rPr>
        <w:t>Director's study group announcement and posting</w:t>
      </w:r>
      <w:r w:rsidRPr="00380B40">
        <w:rPr>
          <w:sz w:val="16"/>
          <w:szCs w:val="16"/>
          <w:lang w:val="en-GB"/>
        </w:rPr>
        <w:t xml:space="preserve"> – The Director announces that the next study group meeting will consider the draft Recommendation for approval and will include reference to either:</w:t>
      </w:r>
    </w:p>
    <w:p w14:paraId="6D5AEE0B" w14:textId="77777777" w:rsidR="00523689" w:rsidRPr="00380B40" w:rsidRDefault="00523689" w:rsidP="00523689">
      <w:pPr>
        <w:pStyle w:val="Figurelegend"/>
        <w:tabs>
          <w:tab w:val="left" w:pos="426"/>
        </w:tabs>
        <w:ind w:left="720" w:hanging="720"/>
        <w:rPr>
          <w:sz w:val="16"/>
          <w:szCs w:val="16"/>
          <w:lang w:val="en-GB"/>
        </w:rPr>
      </w:pPr>
      <w:r w:rsidRPr="00380B40">
        <w:rPr>
          <w:sz w:val="16"/>
          <w:szCs w:val="16"/>
          <w:lang w:val="en-GB"/>
        </w:rPr>
        <w:tab/>
        <w:t>a)</w:t>
      </w:r>
      <w:r w:rsidRPr="00380B40">
        <w:rPr>
          <w:sz w:val="16"/>
          <w:szCs w:val="16"/>
          <w:lang w:val="en-GB"/>
        </w:rPr>
        <w:tab/>
        <w:t>the draft Recommendation (the edited text (LC) version) plus the comments received from the last call (Rec. ITU-T A.8, clause 4.6); or</w:t>
      </w:r>
    </w:p>
    <w:p w14:paraId="546AFB87" w14:textId="77777777" w:rsidR="00523689" w:rsidRPr="00380B40" w:rsidRDefault="00523689" w:rsidP="00523689">
      <w:pPr>
        <w:pStyle w:val="Figurelegend"/>
        <w:tabs>
          <w:tab w:val="left" w:pos="426"/>
        </w:tabs>
        <w:ind w:left="720" w:hanging="720"/>
        <w:rPr>
          <w:sz w:val="16"/>
          <w:szCs w:val="16"/>
          <w:lang w:val="en-GB"/>
        </w:rPr>
      </w:pPr>
      <w:r w:rsidRPr="00380B40">
        <w:rPr>
          <w:sz w:val="16"/>
          <w:szCs w:val="16"/>
          <w:lang w:val="en-GB"/>
        </w:rPr>
        <w:tab/>
        <w:t>b)</w:t>
      </w:r>
      <w:r w:rsidRPr="00380B40">
        <w:rPr>
          <w:sz w:val="16"/>
          <w:szCs w:val="16"/>
          <w:lang w:val="en-GB"/>
        </w:rPr>
        <w:tab/>
        <w:t>if comment resolution has been carried out, the revised draft Recommendation text. If the revised draft Recommendation has not already been electronically posted, it is done at this time (Rec. ITU-T A.8, clause 4.6).</w:t>
      </w:r>
    </w:p>
    <w:p w14:paraId="27405AA9" w14:textId="77777777" w:rsidR="00523689" w:rsidRPr="00380B40" w:rsidRDefault="00523689" w:rsidP="00523689">
      <w:pPr>
        <w:pStyle w:val="Figurelegend"/>
        <w:tabs>
          <w:tab w:val="left" w:pos="426"/>
        </w:tabs>
        <w:rPr>
          <w:sz w:val="16"/>
          <w:szCs w:val="16"/>
          <w:lang w:val="en-GB"/>
        </w:rPr>
      </w:pPr>
      <w:r w:rsidRPr="00380B40">
        <w:rPr>
          <w:sz w:val="16"/>
          <w:szCs w:val="16"/>
          <w:lang w:val="en-GB"/>
        </w:rPr>
        <w:t>6)</w:t>
      </w:r>
      <w:r w:rsidRPr="00380B40">
        <w:rPr>
          <w:sz w:val="16"/>
          <w:szCs w:val="16"/>
          <w:lang w:val="en-GB"/>
        </w:rPr>
        <w:tab/>
      </w:r>
      <w:r w:rsidRPr="00380B40">
        <w:rPr>
          <w:i/>
          <w:sz w:val="16"/>
          <w:lang w:val="en-GB"/>
        </w:rPr>
        <w:t xml:space="preserve">Study </w:t>
      </w:r>
      <w:r w:rsidRPr="00380B40">
        <w:rPr>
          <w:i/>
          <w:iCs/>
          <w:sz w:val="16"/>
          <w:szCs w:val="16"/>
          <w:lang w:val="en-GB"/>
        </w:rPr>
        <w:t>group decision meeting</w:t>
      </w:r>
      <w:r w:rsidRPr="00380B40">
        <w:rPr>
          <w:sz w:val="16"/>
          <w:szCs w:val="16"/>
          <w:lang w:val="en-GB"/>
        </w:rPr>
        <w:t xml:space="preserve"> – The study group meeting reviews and addresses all written comments and either:</w:t>
      </w:r>
    </w:p>
    <w:p w14:paraId="6AE2DF75" w14:textId="77777777" w:rsidR="00523689" w:rsidRPr="00380B40" w:rsidRDefault="00523689" w:rsidP="00CB432A">
      <w:pPr>
        <w:pStyle w:val="Figurelegend"/>
        <w:tabs>
          <w:tab w:val="left" w:pos="426"/>
        </w:tabs>
        <w:ind w:left="720" w:hanging="720"/>
        <w:rPr>
          <w:sz w:val="16"/>
          <w:szCs w:val="16"/>
          <w:lang w:val="en-GB"/>
        </w:rPr>
      </w:pPr>
      <w:r w:rsidRPr="00380B40">
        <w:rPr>
          <w:sz w:val="16"/>
          <w:szCs w:val="16"/>
          <w:lang w:val="en-GB"/>
        </w:rPr>
        <w:tab/>
        <w:t>a)</w:t>
      </w:r>
      <w:r w:rsidRPr="00380B40">
        <w:rPr>
          <w:sz w:val="16"/>
          <w:szCs w:val="16"/>
          <w:lang w:val="en-GB"/>
        </w:rPr>
        <w:tab/>
        <w:t>proceeds under WTSA Resolution 1 or clause 5.8, as appropriate, if there might be policy or regulatory implications (Rec. ITU-T A.8, clause 5.2); or</w:t>
      </w:r>
    </w:p>
    <w:p w14:paraId="1CA37215" w14:textId="77777777" w:rsidR="00523689" w:rsidRPr="00380B40" w:rsidRDefault="00523689" w:rsidP="00523689">
      <w:pPr>
        <w:pStyle w:val="Figurelegend"/>
        <w:tabs>
          <w:tab w:val="left" w:pos="426"/>
        </w:tabs>
        <w:rPr>
          <w:sz w:val="16"/>
          <w:szCs w:val="16"/>
          <w:lang w:val="en-GB"/>
        </w:rPr>
      </w:pPr>
      <w:r w:rsidRPr="00380B40">
        <w:rPr>
          <w:sz w:val="16"/>
          <w:szCs w:val="16"/>
          <w:lang w:val="en-GB"/>
        </w:rPr>
        <w:tab/>
        <w:t>b)</w:t>
      </w:r>
      <w:r w:rsidRPr="00380B40">
        <w:rPr>
          <w:sz w:val="16"/>
          <w:szCs w:val="16"/>
          <w:lang w:val="en-GB"/>
        </w:rPr>
        <w:tab/>
        <w:t xml:space="preserve">approves the draft Recommendation (Rec. ITU-T A.8, clause 5.3 or 5.4); or </w:t>
      </w:r>
    </w:p>
    <w:p w14:paraId="455C5CBB" w14:textId="77777777" w:rsidR="00523689" w:rsidRPr="00380B40" w:rsidRDefault="00523689" w:rsidP="00CB432A">
      <w:pPr>
        <w:pStyle w:val="Figurelegend"/>
        <w:tabs>
          <w:tab w:val="left" w:pos="426"/>
        </w:tabs>
        <w:ind w:left="720" w:hanging="720"/>
        <w:rPr>
          <w:sz w:val="16"/>
          <w:szCs w:val="16"/>
          <w:lang w:val="en-GB"/>
        </w:rPr>
      </w:pPr>
      <w:r w:rsidRPr="00380B40">
        <w:rPr>
          <w:sz w:val="16"/>
          <w:szCs w:val="16"/>
          <w:lang w:val="en-GB"/>
        </w:rPr>
        <w:tab/>
        <w:t>c)</w:t>
      </w:r>
      <w:r w:rsidRPr="00380B40">
        <w:rPr>
          <w:sz w:val="16"/>
          <w:szCs w:val="16"/>
          <w:lang w:val="en-GB"/>
        </w:rPr>
        <w:tab/>
        <w:t>does not approve the draft Recommendation. If it is concluded that a further attempt at addressing comments received is appropriate, then additional work should be done and the process returns to step 2 (without further CONSENT at a working party or study group meeting) (Rec. ITU-T A.8, clause 5.8).</w:t>
      </w:r>
    </w:p>
    <w:p w14:paraId="035E4841" w14:textId="77777777" w:rsidR="00617655" w:rsidRPr="00380B40" w:rsidRDefault="00617655" w:rsidP="00523689">
      <w:pPr>
        <w:pStyle w:val="Figurelegend"/>
        <w:tabs>
          <w:tab w:val="left" w:pos="426"/>
        </w:tabs>
        <w:ind w:left="450" w:hanging="450"/>
        <w:rPr>
          <w:sz w:val="16"/>
          <w:szCs w:val="16"/>
          <w:lang w:val="en-GB"/>
        </w:rPr>
      </w:pPr>
      <w:r w:rsidRPr="00380B40">
        <w:rPr>
          <w:sz w:val="16"/>
          <w:szCs w:val="16"/>
          <w:lang w:val="en-GB"/>
        </w:rPr>
        <w:br w:type="page"/>
      </w:r>
    </w:p>
    <w:p w14:paraId="5306A2AE" w14:textId="77777777" w:rsidR="00523689" w:rsidRPr="00380B40" w:rsidRDefault="00523689" w:rsidP="00523689">
      <w:pPr>
        <w:pStyle w:val="Figurelegend"/>
        <w:tabs>
          <w:tab w:val="left" w:pos="426"/>
        </w:tabs>
        <w:ind w:left="450" w:hanging="450"/>
        <w:rPr>
          <w:sz w:val="16"/>
          <w:lang w:val="en-GB"/>
        </w:rPr>
      </w:pPr>
      <w:r w:rsidRPr="00380B40">
        <w:rPr>
          <w:sz w:val="16"/>
          <w:szCs w:val="16"/>
          <w:lang w:val="en-GB"/>
        </w:rPr>
        <w:t>7)</w:t>
      </w:r>
      <w:r w:rsidRPr="00380B40">
        <w:rPr>
          <w:sz w:val="16"/>
          <w:szCs w:val="16"/>
          <w:lang w:val="en-GB"/>
        </w:rPr>
        <w:tab/>
      </w:r>
      <w:r w:rsidRPr="00380B40">
        <w:rPr>
          <w:i/>
          <w:iCs/>
          <w:sz w:val="16"/>
          <w:szCs w:val="16"/>
          <w:lang w:val="en-GB"/>
        </w:rPr>
        <w:t>Comment resolution</w:t>
      </w:r>
      <w:r w:rsidRPr="00380B40">
        <w:rPr>
          <w:sz w:val="16"/>
          <w:szCs w:val="16"/>
          <w:lang w:val="en-GB"/>
        </w:rPr>
        <w:t xml:space="preserve"> – The study group chairman</w:t>
      </w:r>
      <w:r w:rsidRPr="00380B40">
        <w:rPr>
          <w:sz w:val="16"/>
          <w:lang w:val="en-GB"/>
        </w:rPr>
        <w:t xml:space="preserve">, with assistance from TSB and experts, </w:t>
      </w:r>
      <w:r w:rsidRPr="00380B40">
        <w:rPr>
          <w:sz w:val="16"/>
          <w:szCs w:val="16"/>
          <w:lang w:val="en-GB"/>
        </w:rPr>
        <w:t>via</w:t>
      </w:r>
      <w:r w:rsidRPr="00380B40">
        <w:rPr>
          <w:sz w:val="16"/>
          <w:lang w:val="en-GB"/>
        </w:rPr>
        <w:t xml:space="preserve"> electronic correspondence and </w:t>
      </w:r>
      <w:r w:rsidRPr="00380B40">
        <w:rPr>
          <w:sz w:val="16"/>
          <w:szCs w:val="16"/>
          <w:lang w:val="en-GB"/>
        </w:rPr>
        <w:t>rapporteur</w:t>
      </w:r>
      <w:r w:rsidRPr="00380B40">
        <w:rPr>
          <w:sz w:val="16"/>
          <w:lang w:val="en-GB"/>
        </w:rPr>
        <w:t xml:space="preserve"> and </w:t>
      </w:r>
      <w:r w:rsidRPr="00380B40">
        <w:rPr>
          <w:sz w:val="16"/>
          <w:szCs w:val="16"/>
          <w:lang w:val="en-GB"/>
        </w:rPr>
        <w:t>working party</w:t>
      </w:r>
      <w:r w:rsidRPr="00380B40">
        <w:rPr>
          <w:sz w:val="16"/>
          <w:lang w:val="en-GB"/>
        </w:rPr>
        <w:t xml:space="preserve"> meetings, where appropriate, addresses the comments and prepares a new edited </w:t>
      </w:r>
      <w:r w:rsidRPr="00380B40">
        <w:rPr>
          <w:sz w:val="16"/>
          <w:szCs w:val="16"/>
          <w:lang w:val="en-GB"/>
        </w:rPr>
        <w:t>draft Recommendation text (Rec. ITU-T A.8, clause 4.4.2).</w:t>
      </w:r>
    </w:p>
    <w:p w14:paraId="409BC879" w14:textId="77777777" w:rsidR="00523689" w:rsidRPr="00380B40" w:rsidRDefault="00523689" w:rsidP="00523689">
      <w:pPr>
        <w:pStyle w:val="Figurelegend"/>
        <w:tabs>
          <w:tab w:val="left" w:pos="426"/>
        </w:tabs>
        <w:rPr>
          <w:sz w:val="16"/>
          <w:lang w:val="en-GB"/>
        </w:rPr>
      </w:pPr>
      <w:r w:rsidRPr="00380B40">
        <w:rPr>
          <w:sz w:val="16"/>
          <w:szCs w:val="16"/>
          <w:lang w:val="en-GB"/>
        </w:rPr>
        <w:t>8)</w:t>
      </w:r>
      <w:r w:rsidRPr="00380B40">
        <w:rPr>
          <w:sz w:val="16"/>
          <w:szCs w:val="16"/>
          <w:lang w:val="en-GB"/>
        </w:rPr>
        <w:tab/>
      </w:r>
      <w:r w:rsidRPr="00380B40">
        <w:rPr>
          <w:i/>
          <w:iCs/>
          <w:sz w:val="16"/>
          <w:szCs w:val="16"/>
          <w:lang w:val="en-GB"/>
        </w:rPr>
        <w:t>Edited text available</w:t>
      </w:r>
      <w:r w:rsidRPr="00380B40">
        <w:rPr>
          <w:sz w:val="16"/>
          <w:szCs w:val="16"/>
          <w:lang w:val="en-GB"/>
        </w:rPr>
        <w:t xml:space="preserve"> –</w:t>
      </w:r>
      <w:r w:rsidRPr="00380B40">
        <w:rPr>
          <w:sz w:val="16"/>
          <w:lang w:val="en-GB"/>
        </w:rPr>
        <w:t xml:space="preserve"> The revised </w:t>
      </w:r>
      <w:r w:rsidRPr="00380B40">
        <w:rPr>
          <w:sz w:val="16"/>
          <w:szCs w:val="16"/>
          <w:lang w:val="en-GB"/>
        </w:rPr>
        <w:t xml:space="preserve">edited </w:t>
      </w:r>
      <w:r w:rsidRPr="00380B40">
        <w:rPr>
          <w:sz w:val="16"/>
          <w:lang w:val="en-GB"/>
        </w:rPr>
        <w:t>text</w:t>
      </w:r>
      <w:r w:rsidRPr="00380B40">
        <w:rPr>
          <w:sz w:val="16"/>
          <w:szCs w:val="16"/>
          <w:lang w:val="en-GB"/>
        </w:rPr>
        <w:t>, including summary,</w:t>
      </w:r>
      <w:r w:rsidRPr="00380B40">
        <w:rPr>
          <w:sz w:val="16"/>
          <w:lang w:val="en-GB"/>
        </w:rPr>
        <w:t xml:space="preserve"> is provided to TSB</w:t>
      </w:r>
      <w:r w:rsidRPr="00380B40">
        <w:rPr>
          <w:sz w:val="16"/>
          <w:szCs w:val="16"/>
          <w:lang w:val="en-GB"/>
        </w:rPr>
        <w:t xml:space="preserve"> (Rec. ITU-T A.8, clause 4.4.2).</w:t>
      </w:r>
    </w:p>
    <w:p w14:paraId="3366ACF0" w14:textId="77777777" w:rsidR="00523689" w:rsidRPr="00380B40" w:rsidRDefault="00523689" w:rsidP="00523689">
      <w:pPr>
        <w:pStyle w:val="Figurelegend"/>
        <w:tabs>
          <w:tab w:val="left" w:pos="426"/>
        </w:tabs>
        <w:rPr>
          <w:sz w:val="16"/>
          <w:lang w:val="en-GB"/>
        </w:rPr>
      </w:pPr>
      <w:r w:rsidRPr="00380B40">
        <w:rPr>
          <w:sz w:val="16"/>
          <w:szCs w:val="16"/>
          <w:lang w:val="en-GB"/>
        </w:rPr>
        <w:t>9)</w:t>
      </w:r>
      <w:r w:rsidRPr="00380B40">
        <w:rPr>
          <w:sz w:val="16"/>
          <w:szCs w:val="16"/>
          <w:lang w:val="en-GB"/>
        </w:rPr>
        <w:tab/>
      </w:r>
      <w:r w:rsidRPr="00380B40">
        <w:rPr>
          <w:i/>
          <w:iCs/>
          <w:sz w:val="16"/>
          <w:szCs w:val="16"/>
          <w:lang w:val="en-GB"/>
        </w:rPr>
        <w:t>Next step judgment</w:t>
      </w:r>
      <w:r w:rsidRPr="00380B40">
        <w:rPr>
          <w:sz w:val="16"/>
          <w:szCs w:val="16"/>
          <w:lang w:val="en-GB"/>
        </w:rPr>
        <w:t xml:space="preserve"> – The study group chairman</w:t>
      </w:r>
      <w:r w:rsidRPr="00380B40">
        <w:rPr>
          <w:sz w:val="16"/>
          <w:lang w:val="en-GB"/>
        </w:rPr>
        <w:t xml:space="preserve">, in consultation with TSB, makes the </w:t>
      </w:r>
      <w:r w:rsidRPr="00380B40">
        <w:rPr>
          <w:sz w:val="16"/>
          <w:szCs w:val="16"/>
          <w:lang w:val="en-GB"/>
        </w:rPr>
        <w:t>judgment</w:t>
      </w:r>
      <w:r w:rsidRPr="00380B40">
        <w:rPr>
          <w:sz w:val="16"/>
          <w:lang w:val="en-GB"/>
        </w:rPr>
        <w:t xml:space="preserve"> whether:</w:t>
      </w:r>
    </w:p>
    <w:p w14:paraId="05054B02" w14:textId="77777777" w:rsidR="00523689" w:rsidRPr="00380B40" w:rsidRDefault="00523689" w:rsidP="00523689">
      <w:pPr>
        <w:pStyle w:val="Figurelegend"/>
        <w:tabs>
          <w:tab w:val="left" w:pos="426"/>
        </w:tabs>
        <w:ind w:left="720" w:hanging="720"/>
        <w:rPr>
          <w:sz w:val="16"/>
          <w:lang w:val="en-GB"/>
        </w:rPr>
      </w:pPr>
      <w:r w:rsidRPr="00380B40">
        <w:rPr>
          <w:sz w:val="16"/>
          <w:szCs w:val="16"/>
          <w:lang w:val="en-GB"/>
        </w:rPr>
        <w:tab/>
      </w:r>
      <w:r w:rsidRPr="00380B40">
        <w:rPr>
          <w:sz w:val="16"/>
          <w:lang w:val="en-GB"/>
        </w:rPr>
        <w:t>a)</w:t>
      </w:r>
      <w:r w:rsidRPr="00380B40">
        <w:rPr>
          <w:sz w:val="16"/>
          <w:lang w:val="en-GB"/>
        </w:rPr>
        <w:tab/>
        <w:t xml:space="preserve">a planned </w:t>
      </w:r>
      <w:r w:rsidRPr="00380B40">
        <w:rPr>
          <w:sz w:val="16"/>
          <w:szCs w:val="16"/>
          <w:lang w:val="en-GB"/>
        </w:rPr>
        <w:t>study group</w:t>
      </w:r>
      <w:r w:rsidRPr="00380B40">
        <w:rPr>
          <w:sz w:val="16"/>
          <w:lang w:val="en-GB"/>
        </w:rPr>
        <w:t xml:space="preserve"> meeting is sufficiently close to consider the draft Recommendation for approval</w:t>
      </w:r>
      <w:r w:rsidRPr="00380B40">
        <w:rPr>
          <w:sz w:val="16"/>
          <w:szCs w:val="16"/>
          <w:lang w:val="en-GB"/>
        </w:rPr>
        <w:t xml:space="preserve"> (Rec. ITU-T A.8, clause 4.4.3 a); or </w:t>
      </w:r>
    </w:p>
    <w:p w14:paraId="371B3AB5" w14:textId="77777777" w:rsidR="00523689" w:rsidRPr="00380B40" w:rsidRDefault="00523689" w:rsidP="00523689">
      <w:pPr>
        <w:pStyle w:val="Figurelegend"/>
        <w:tabs>
          <w:tab w:val="left" w:pos="426"/>
        </w:tabs>
        <w:ind w:left="720" w:hanging="720"/>
        <w:rPr>
          <w:sz w:val="16"/>
          <w:lang w:val="en-GB"/>
        </w:rPr>
      </w:pPr>
      <w:r w:rsidRPr="00380B40">
        <w:rPr>
          <w:sz w:val="16"/>
          <w:szCs w:val="16"/>
          <w:lang w:val="en-GB"/>
        </w:rPr>
        <w:tab/>
      </w:r>
      <w:r w:rsidRPr="00380B40">
        <w:rPr>
          <w:sz w:val="16"/>
          <w:lang w:val="en-GB"/>
        </w:rPr>
        <w:t>b)</w:t>
      </w:r>
      <w:r w:rsidRPr="00380B40">
        <w:rPr>
          <w:sz w:val="16"/>
          <w:lang w:val="en-GB"/>
        </w:rPr>
        <w:tab/>
        <w:t>to save time and/or because of the nature and maturity of the work</w:t>
      </w:r>
      <w:r w:rsidRPr="00380B40">
        <w:rPr>
          <w:sz w:val="16"/>
          <w:szCs w:val="16"/>
          <w:lang w:val="en-GB"/>
        </w:rPr>
        <w:t>,</w:t>
      </w:r>
      <w:r w:rsidRPr="00380B40">
        <w:rPr>
          <w:sz w:val="16"/>
          <w:lang w:val="en-GB"/>
        </w:rPr>
        <w:t xml:space="preserve"> an </w:t>
      </w:r>
      <w:r w:rsidRPr="00380B40">
        <w:rPr>
          <w:sz w:val="16"/>
          <w:szCs w:val="16"/>
          <w:lang w:val="en-GB"/>
        </w:rPr>
        <w:t>additional review</w:t>
      </w:r>
      <w:r w:rsidRPr="00380B40">
        <w:rPr>
          <w:sz w:val="16"/>
          <w:lang w:val="en-GB"/>
        </w:rPr>
        <w:t xml:space="preserve"> should be initiated</w:t>
      </w:r>
      <w:r w:rsidRPr="00380B40">
        <w:rPr>
          <w:sz w:val="16"/>
          <w:szCs w:val="16"/>
          <w:lang w:val="en-GB"/>
        </w:rPr>
        <w:t xml:space="preserve"> (Rec. ITU-T A.8, clause 4.4.3 b).</w:t>
      </w:r>
    </w:p>
    <w:p w14:paraId="2AA80753" w14:textId="77777777" w:rsidR="00523689" w:rsidRPr="00380B40" w:rsidRDefault="00523689" w:rsidP="00523689">
      <w:pPr>
        <w:pStyle w:val="Figurelegend"/>
        <w:tabs>
          <w:tab w:val="left" w:pos="426"/>
        </w:tabs>
        <w:ind w:left="450" w:hanging="450"/>
        <w:rPr>
          <w:sz w:val="16"/>
          <w:lang w:val="en-GB"/>
        </w:rPr>
      </w:pPr>
      <w:r w:rsidRPr="00380B40">
        <w:rPr>
          <w:sz w:val="16"/>
          <w:szCs w:val="16"/>
          <w:lang w:val="en-GB"/>
        </w:rPr>
        <w:t>10)</w:t>
      </w:r>
      <w:r w:rsidRPr="00380B40">
        <w:rPr>
          <w:sz w:val="16"/>
          <w:szCs w:val="16"/>
          <w:lang w:val="en-GB"/>
        </w:rPr>
        <w:tab/>
      </w:r>
      <w:r w:rsidRPr="00380B40">
        <w:rPr>
          <w:i/>
          <w:iCs/>
          <w:sz w:val="16"/>
          <w:szCs w:val="16"/>
          <w:lang w:val="en-GB"/>
        </w:rPr>
        <w:t>Director's additional review announcement and posting</w:t>
      </w:r>
      <w:r w:rsidRPr="00380B40">
        <w:rPr>
          <w:sz w:val="16"/>
          <w:szCs w:val="16"/>
          <w:lang w:val="en-GB"/>
        </w:rPr>
        <w:t xml:space="preserve"> –</w:t>
      </w:r>
      <w:r w:rsidRPr="00380B40">
        <w:rPr>
          <w:sz w:val="16"/>
          <w:lang w:val="en-GB"/>
        </w:rPr>
        <w:t xml:space="preserve"> The Director announces the beginning of the </w:t>
      </w:r>
      <w:r w:rsidRPr="00380B40">
        <w:rPr>
          <w:sz w:val="16"/>
          <w:szCs w:val="16"/>
          <w:lang w:val="en-GB"/>
        </w:rPr>
        <w:t>additional review</w:t>
      </w:r>
      <w:r w:rsidRPr="00380B40">
        <w:rPr>
          <w:sz w:val="16"/>
          <w:lang w:val="en-GB"/>
        </w:rPr>
        <w:t xml:space="preserve"> to all Member States and Sector Members</w:t>
      </w:r>
      <w:r w:rsidRPr="00380B40">
        <w:rPr>
          <w:sz w:val="16"/>
          <w:szCs w:val="16"/>
          <w:lang w:val="en-GB"/>
        </w:rPr>
        <w:t>,</w:t>
      </w:r>
      <w:r w:rsidRPr="00380B40">
        <w:rPr>
          <w:sz w:val="16"/>
          <w:lang w:val="en-GB"/>
        </w:rPr>
        <w:t xml:space="preserve"> with reference to the </w:t>
      </w:r>
      <w:r w:rsidRPr="00380B40">
        <w:rPr>
          <w:sz w:val="16"/>
          <w:szCs w:val="16"/>
          <w:lang w:val="en-GB"/>
        </w:rPr>
        <w:t>summary and complete text of the revised draft Recommendation. If the revised draft Recommendation has not already been electronically posted, it is done at this time (Rec. ITU-T A.8, clause 4.5).</w:t>
      </w:r>
    </w:p>
    <w:p w14:paraId="0B2DBF44" w14:textId="77777777" w:rsidR="00523689" w:rsidRPr="00380B40" w:rsidRDefault="00523689" w:rsidP="00523689">
      <w:pPr>
        <w:pStyle w:val="Figurelegend"/>
        <w:tabs>
          <w:tab w:val="left" w:pos="426"/>
        </w:tabs>
        <w:rPr>
          <w:sz w:val="16"/>
          <w:lang w:val="en-GB"/>
        </w:rPr>
      </w:pPr>
      <w:r w:rsidRPr="00380B40">
        <w:rPr>
          <w:sz w:val="16"/>
          <w:szCs w:val="16"/>
          <w:lang w:val="en-GB"/>
        </w:rPr>
        <w:t>11)</w:t>
      </w:r>
      <w:r w:rsidRPr="00380B40">
        <w:rPr>
          <w:sz w:val="16"/>
          <w:szCs w:val="16"/>
          <w:lang w:val="en-GB"/>
        </w:rPr>
        <w:tab/>
      </w:r>
      <w:r w:rsidRPr="00380B40">
        <w:rPr>
          <w:i/>
          <w:iCs/>
          <w:sz w:val="16"/>
          <w:szCs w:val="16"/>
          <w:lang w:val="en-GB"/>
        </w:rPr>
        <w:t>Additional review judgment</w:t>
      </w:r>
      <w:r w:rsidRPr="00380B40">
        <w:rPr>
          <w:sz w:val="16"/>
          <w:szCs w:val="16"/>
          <w:lang w:val="en-GB"/>
        </w:rPr>
        <w:t xml:space="preserve"> – The study group chairman</w:t>
      </w:r>
      <w:r w:rsidRPr="00380B40">
        <w:rPr>
          <w:sz w:val="16"/>
          <w:lang w:val="en-GB"/>
        </w:rPr>
        <w:t xml:space="preserve">, in consultation with TSB, makes the </w:t>
      </w:r>
      <w:r w:rsidRPr="00380B40">
        <w:rPr>
          <w:sz w:val="16"/>
          <w:szCs w:val="16"/>
          <w:lang w:val="en-GB"/>
        </w:rPr>
        <w:t>judgment</w:t>
      </w:r>
      <w:r w:rsidRPr="00380B40">
        <w:rPr>
          <w:sz w:val="16"/>
          <w:lang w:val="en-GB"/>
        </w:rPr>
        <w:t xml:space="preserve"> whether:</w:t>
      </w:r>
    </w:p>
    <w:p w14:paraId="750F4B72" w14:textId="77777777" w:rsidR="00523689" w:rsidRPr="00380B40" w:rsidRDefault="00523689" w:rsidP="00523689">
      <w:pPr>
        <w:pStyle w:val="Figurelegend"/>
        <w:tabs>
          <w:tab w:val="left" w:pos="426"/>
        </w:tabs>
        <w:ind w:left="720" w:hanging="720"/>
        <w:rPr>
          <w:sz w:val="16"/>
          <w:lang w:val="en-GB"/>
        </w:rPr>
      </w:pPr>
      <w:r w:rsidRPr="00380B40">
        <w:rPr>
          <w:sz w:val="16"/>
          <w:szCs w:val="16"/>
          <w:lang w:val="en-GB"/>
        </w:rPr>
        <w:tab/>
      </w:r>
      <w:r w:rsidRPr="00380B40">
        <w:rPr>
          <w:sz w:val="16"/>
          <w:lang w:val="en-GB"/>
        </w:rPr>
        <w:t>a)</w:t>
      </w:r>
      <w:r w:rsidRPr="00380B40">
        <w:rPr>
          <w:sz w:val="16"/>
          <w:lang w:val="en-GB"/>
        </w:rPr>
        <w:tab/>
        <w:t xml:space="preserve">no comments other than those indicating typographical errors have been received. In this case, the Recommendation is </w:t>
      </w:r>
      <w:r w:rsidRPr="00380B40">
        <w:rPr>
          <w:sz w:val="16"/>
          <w:szCs w:val="16"/>
          <w:lang w:val="en-GB"/>
        </w:rPr>
        <w:t xml:space="preserve">considered </w:t>
      </w:r>
      <w:r w:rsidRPr="00380B40">
        <w:rPr>
          <w:sz w:val="16"/>
          <w:lang w:val="en-GB"/>
        </w:rPr>
        <w:t>approved</w:t>
      </w:r>
      <w:r w:rsidRPr="00380B40">
        <w:rPr>
          <w:sz w:val="16"/>
          <w:szCs w:val="16"/>
          <w:lang w:val="en-GB"/>
        </w:rPr>
        <w:t xml:space="preserve"> (Rec. ITU-T A.8, clause 4.5.1);</w:t>
      </w:r>
      <w:r w:rsidRPr="00380B40">
        <w:rPr>
          <w:sz w:val="16"/>
          <w:lang w:val="en-GB"/>
        </w:rPr>
        <w:t xml:space="preserve"> or</w:t>
      </w:r>
    </w:p>
    <w:p w14:paraId="66CE5A02" w14:textId="77777777" w:rsidR="00523689" w:rsidRPr="00380B40" w:rsidRDefault="00523689" w:rsidP="00523689">
      <w:pPr>
        <w:pStyle w:val="Figurelegend"/>
        <w:tabs>
          <w:tab w:val="left" w:pos="426"/>
        </w:tabs>
        <w:ind w:left="720" w:hanging="720"/>
        <w:rPr>
          <w:sz w:val="16"/>
          <w:lang w:val="en-GB"/>
        </w:rPr>
      </w:pPr>
      <w:r w:rsidRPr="00380B40">
        <w:rPr>
          <w:sz w:val="16"/>
          <w:szCs w:val="16"/>
          <w:lang w:val="en-GB"/>
        </w:rPr>
        <w:tab/>
      </w:r>
      <w:r w:rsidRPr="00380B40">
        <w:rPr>
          <w:sz w:val="16"/>
          <w:lang w:val="en-GB"/>
        </w:rPr>
        <w:t>b)</w:t>
      </w:r>
      <w:r w:rsidRPr="00380B40">
        <w:rPr>
          <w:sz w:val="16"/>
          <w:lang w:val="en-GB"/>
        </w:rPr>
        <w:tab/>
        <w:t xml:space="preserve">comments other than those indicating typographical errors have been received. In this case, the process proceeds to the </w:t>
      </w:r>
      <w:r w:rsidRPr="00380B40">
        <w:rPr>
          <w:sz w:val="16"/>
          <w:szCs w:val="16"/>
          <w:lang w:val="en-GB"/>
        </w:rPr>
        <w:t>study group</w:t>
      </w:r>
      <w:r w:rsidRPr="00380B40">
        <w:rPr>
          <w:sz w:val="16"/>
          <w:lang w:val="en-GB"/>
        </w:rPr>
        <w:t xml:space="preserve"> meeting</w:t>
      </w:r>
      <w:r w:rsidRPr="00380B40">
        <w:rPr>
          <w:sz w:val="16"/>
          <w:szCs w:val="16"/>
          <w:lang w:val="en-GB"/>
        </w:rPr>
        <w:t xml:space="preserve"> (Rec. ITU-T A.8, clause 4.5.2).</w:t>
      </w:r>
    </w:p>
    <w:p w14:paraId="155FF9D6" w14:textId="77777777" w:rsidR="00523689" w:rsidRPr="00380B40" w:rsidRDefault="00523689" w:rsidP="00523689">
      <w:pPr>
        <w:pStyle w:val="Figurelegend"/>
        <w:tabs>
          <w:tab w:val="left" w:pos="426"/>
        </w:tabs>
        <w:ind w:left="450" w:hanging="450"/>
        <w:rPr>
          <w:sz w:val="16"/>
          <w:lang w:val="en-GB"/>
        </w:rPr>
      </w:pPr>
      <w:r w:rsidRPr="00380B40">
        <w:rPr>
          <w:sz w:val="16"/>
          <w:szCs w:val="16"/>
          <w:lang w:val="en-GB"/>
        </w:rPr>
        <w:t>12)</w:t>
      </w:r>
      <w:r w:rsidRPr="00380B40">
        <w:rPr>
          <w:sz w:val="16"/>
          <w:szCs w:val="16"/>
          <w:lang w:val="en-GB"/>
        </w:rPr>
        <w:tab/>
      </w:r>
      <w:r w:rsidRPr="00380B40">
        <w:rPr>
          <w:i/>
          <w:iCs/>
          <w:sz w:val="16"/>
          <w:szCs w:val="16"/>
          <w:lang w:val="en-GB"/>
        </w:rPr>
        <w:t>Director's notification</w:t>
      </w:r>
      <w:r w:rsidRPr="00380B40">
        <w:rPr>
          <w:sz w:val="16"/>
          <w:szCs w:val="16"/>
          <w:lang w:val="en-GB"/>
        </w:rPr>
        <w:t xml:space="preserve"> – </w:t>
      </w:r>
      <w:r w:rsidRPr="00380B40">
        <w:rPr>
          <w:sz w:val="16"/>
          <w:lang w:val="en-GB"/>
        </w:rPr>
        <w:t xml:space="preserve">The Director </w:t>
      </w:r>
      <w:r w:rsidRPr="00380B40">
        <w:rPr>
          <w:sz w:val="16"/>
          <w:szCs w:val="16"/>
          <w:lang w:val="en-GB"/>
        </w:rPr>
        <w:t>notifies the members</w:t>
      </w:r>
      <w:r w:rsidRPr="00380B40">
        <w:rPr>
          <w:sz w:val="16"/>
          <w:lang w:val="en-GB"/>
        </w:rPr>
        <w:t xml:space="preserve"> that the draft Recommendation </w:t>
      </w:r>
      <w:r w:rsidRPr="00380B40">
        <w:rPr>
          <w:sz w:val="16"/>
          <w:szCs w:val="16"/>
          <w:lang w:val="en-GB"/>
        </w:rPr>
        <w:t>has been</w:t>
      </w:r>
      <w:r w:rsidRPr="00380B40">
        <w:rPr>
          <w:sz w:val="16"/>
          <w:lang w:val="en-GB"/>
        </w:rPr>
        <w:t xml:space="preserve"> approved</w:t>
      </w:r>
      <w:r w:rsidRPr="00380B40">
        <w:rPr>
          <w:sz w:val="16"/>
          <w:szCs w:val="16"/>
          <w:lang w:val="en-GB"/>
        </w:rPr>
        <w:t xml:space="preserve"> (Rec. ITU-T A.8, clause 6.1 or 6.2).</w:t>
      </w:r>
    </w:p>
    <w:p w14:paraId="1E004AEE" w14:textId="77777777" w:rsidR="00523689" w:rsidRPr="00380B40" w:rsidRDefault="00523689" w:rsidP="00FD3C79">
      <w:pPr>
        <w:pStyle w:val="FigureNoTitle1"/>
      </w:pPr>
      <w:r w:rsidRPr="00380B40">
        <w:t>Figure 3b (Based on Fig. 1 of ITU-T A.8) – ITU-T Alternative Approval Process (AAP)</w:t>
      </w:r>
    </w:p>
    <w:p w14:paraId="0C474B2E" w14:textId="77777777" w:rsidR="00523689" w:rsidRPr="00380B40" w:rsidRDefault="00523689" w:rsidP="00523689">
      <w:pPr>
        <w:pStyle w:val="Heading2"/>
        <w:rPr>
          <w:lang w:val="en-GB"/>
        </w:rPr>
      </w:pPr>
      <w:bookmarkStart w:id="1389" w:name="_Toc382734823"/>
      <w:bookmarkStart w:id="1390" w:name="_Toc3708713"/>
      <w:bookmarkStart w:id="1391" w:name="_Toc229895862"/>
      <w:bookmarkStart w:id="1392" w:name="_Toc229896164"/>
      <w:bookmarkStart w:id="1393" w:name="_Toc398284231"/>
      <w:bookmarkStart w:id="1394" w:name="_Toc401035450"/>
      <w:bookmarkStart w:id="1395" w:name="_Toc401312704"/>
      <w:bookmarkStart w:id="1396" w:name="_Toc401313060"/>
      <w:bookmarkStart w:id="1397" w:name="_Toc111636979"/>
      <w:r w:rsidRPr="00380B40">
        <w:rPr>
          <w:lang w:val="en-GB"/>
        </w:rPr>
        <w:t>3.2</w:t>
      </w:r>
      <w:r w:rsidRPr="00380B40">
        <w:rPr>
          <w:lang w:val="en-GB"/>
        </w:rPr>
        <w:tab/>
        <w:t>JTC 1 procedures</w:t>
      </w:r>
      <w:bookmarkEnd w:id="1389"/>
      <w:bookmarkEnd w:id="1390"/>
      <w:bookmarkEnd w:id="1391"/>
      <w:bookmarkEnd w:id="1392"/>
      <w:bookmarkEnd w:id="1393"/>
      <w:bookmarkEnd w:id="1394"/>
      <w:bookmarkEnd w:id="1395"/>
      <w:bookmarkEnd w:id="1396"/>
      <w:bookmarkEnd w:id="1397"/>
    </w:p>
    <w:p w14:paraId="261BD876" w14:textId="77777777" w:rsidR="00523689" w:rsidRPr="00380B40" w:rsidRDefault="00523689" w:rsidP="00523689">
      <w:pPr>
        <w:rPr>
          <w:lang w:val="en-GB"/>
        </w:rPr>
      </w:pPr>
      <w:r w:rsidRPr="00380B40">
        <w:rPr>
          <w:lang w:val="en-GB"/>
        </w:rPr>
        <w:t>The procedures for the technical work of ISO/IEC JTC 1 are specified in the JTC 1 Supplement to the ISO/IEC Directives. These procedures employ a number of discrete stages, most involving a ballot process of formal voting by National Bodies. The JTC 1 standards development stages 00 through 60 are given in Table 3 for each of the JTC 1 outputs. Highlights are summarized below and the final stages are illustrated in Figure 3c.</w:t>
      </w:r>
    </w:p>
    <w:p w14:paraId="154BFBEA" w14:textId="77777777" w:rsidR="004C79F2" w:rsidRPr="00380B40" w:rsidRDefault="004C79F2" w:rsidP="00523689">
      <w:pPr>
        <w:rPr>
          <w:lang w:val="en-GB"/>
        </w:rPr>
      </w:pPr>
    </w:p>
    <w:p w14:paraId="1F0BF9B4" w14:textId="77777777" w:rsidR="004C79F2" w:rsidRPr="00380B40" w:rsidRDefault="004C79F2" w:rsidP="00523689">
      <w:pPr>
        <w:rPr>
          <w:lang w:val="en-GB"/>
        </w:rPr>
      </w:pPr>
    </w:p>
    <w:p w14:paraId="297742FD" w14:textId="77777777" w:rsidR="004C79F2" w:rsidRPr="00380B40" w:rsidRDefault="004C79F2" w:rsidP="00523689">
      <w:pPr>
        <w:rPr>
          <w:lang w:val="en-GB"/>
        </w:rPr>
      </w:pPr>
    </w:p>
    <w:p w14:paraId="5F519A28" w14:textId="77777777" w:rsidR="004C79F2" w:rsidRPr="00380B40" w:rsidRDefault="004C79F2" w:rsidP="00523689">
      <w:pPr>
        <w:rPr>
          <w:lang w:val="en-GB"/>
        </w:rPr>
      </w:pPr>
    </w:p>
    <w:p w14:paraId="5893DDDA" w14:textId="77777777" w:rsidR="004C79F2" w:rsidRPr="00380B40" w:rsidRDefault="004C79F2" w:rsidP="00523689">
      <w:pPr>
        <w:rPr>
          <w:lang w:val="en-GB"/>
        </w:rPr>
      </w:pPr>
    </w:p>
    <w:p w14:paraId="3BB2CE8F" w14:textId="77777777" w:rsidR="004C79F2" w:rsidRPr="00380B40" w:rsidRDefault="004C79F2" w:rsidP="00523689">
      <w:pPr>
        <w:rPr>
          <w:lang w:val="en-GB"/>
        </w:rPr>
      </w:pPr>
    </w:p>
    <w:p w14:paraId="55AB2009" w14:textId="77777777" w:rsidR="004C79F2" w:rsidRPr="00380B40" w:rsidRDefault="004C79F2" w:rsidP="00523689">
      <w:pPr>
        <w:rPr>
          <w:lang w:val="en-GB"/>
        </w:rPr>
      </w:pPr>
    </w:p>
    <w:p w14:paraId="20F8DC2D" w14:textId="77777777" w:rsidR="004C79F2" w:rsidRPr="00380B40" w:rsidRDefault="004C79F2" w:rsidP="00523689">
      <w:pPr>
        <w:rPr>
          <w:lang w:val="en-GB"/>
        </w:rPr>
      </w:pPr>
    </w:p>
    <w:p w14:paraId="06237B33" w14:textId="77777777" w:rsidR="004C79F2" w:rsidRPr="00380B40" w:rsidRDefault="004C79F2" w:rsidP="00523689">
      <w:pPr>
        <w:rPr>
          <w:lang w:val="en-GB"/>
        </w:rPr>
      </w:pPr>
    </w:p>
    <w:p w14:paraId="1A3A06A2" w14:textId="77777777" w:rsidR="004C79F2" w:rsidRPr="00380B40" w:rsidRDefault="004C79F2" w:rsidP="00523689">
      <w:pPr>
        <w:rPr>
          <w:lang w:val="en-GB"/>
        </w:rPr>
      </w:pPr>
    </w:p>
    <w:p w14:paraId="3F1D23AF" w14:textId="77777777" w:rsidR="004C79F2" w:rsidRPr="00380B40" w:rsidRDefault="004C79F2" w:rsidP="00523689">
      <w:pPr>
        <w:rPr>
          <w:lang w:val="en-GB"/>
        </w:rPr>
      </w:pPr>
    </w:p>
    <w:p w14:paraId="5BEEB834" w14:textId="77777777" w:rsidR="00153048" w:rsidRPr="00380B40" w:rsidRDefault="00153048" w:rsidP="00566AA6">
      <w:pPr>
        <w:pStyle w:val="TableNoTitle1"/>
      </w:pPr>
      <w:r w:rsidRPr="00380B40">
        <w:br w:type="page"/>
      </w:r>
    </w:p>
    <w:p w14:paraId="701D959A" w14:textId="77777777" w:rsidR="00523689" w:rsidRPr="00380B40" w:rsidRDefault="00523689" w:rsidP="00566AA6">
      <w:pPr>
        <w:pStyle w:val="TableNoTitle1"/>
      </w:pPr>
      <w:r w:rsidRPr="00380B40">
        <w:t>Table 3 – JTC 1 Standards Development Stages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1375"/>
        <w:gridCol w:w="1375"/>
        <w:gridCol w:w="1376"/>
        <w:gridCol w:w="1376"/>
        <w:gridCol w:w="1376"/>
        <w:gridCol w:w="1376"/>
      </w:tblGrid>
      <w:tr w:rsidR="00523689" w:rsidRPr="00380B40" w14:paraId="627D6316" w14:textId="77777777" w:rsidTr="00DE1739">
        <w:trPr>
          <w:trHeight w:val="635"/>
          <w:jc w:val="center"/>
        </w:trPr>
        <w:tc>
          <w:tcPr>
            <w:tcW w:w="1375" w:type="dxa"/>
            <w:shd w:val="clear" w:color="auto" w:fill="auto"/>
            <w:vAlign w:val="center"/>
          </w:tcPr>
          <w:p w14:paraId="3A0138AC" w14:textId="77777777" w:rsidR="00523689" w:rsidRPr="00380B40" w:rsidRDefault="00523689" w:rsidP="00427615">
            <w:pPr>
              <w:pStyle w:val="Tableheadwhitecentred"/>
            </w:pPr>
            <w:r w:rsidRPr="00380B40">
              <w:t>Stage</w:t>
            </w:r>
          </w:p>
        </w:tc>
        <w:tc>
          <w:tcPr>
            <w:tcW w:w="1375" w:type="dxa"/>
            <w:shd w:val="clear" w:color="auto" w:fill="auto"/>
            <w:vAlign w:val="center"/>
          </w:tcPr>
          <w:p w14:paraId="5BE7DE8C" w14:textId="77777777" w:rsidR="00523689" w:rsidRPr="00380B40" w:rsidRDefault="00523689" w:rsidP="00427615">
            <w:pPr>
              <w:pStyle w:val="Tableheadwhitecentred"/>
            </w:pPr>
            <w:r w:rsidRPr="00380B40">
              <w:t>Standard</w:t>
            </w:r>
          </w:p>
        </w:tc>
        <w:tc>
          <w:tcPr>
            <w:tcW w:w="1375" w:type="dxa"/>
            <w:shd w:val="clear" w:color="auto" w:fill="auto"/>
            <w:vAlign w:val="center"/>
          </w:tcPr>
          <w:p w14:paraId="6951864F" w14:textId="77777777" w:rsidR="00523689" w:rsidRPr="00380B40" w:rsidRDefault="00523689" w:rsidP="00427615">
            <w:pPr>
              <w:pStyle w:val="Tableheadwhitecentred"/>
            </w:pPr>
            <w:r w:rsidRPr="00380B40">
              <w:t>Amendment</w:t>
            </w:r>
          </w:p>
        </w:tc>
        <w:tc>
          <w:tcPr>
            <w:tcW w:w="1376" w:type="dxa"/>
            <w:shd w:val="clear" w:color="auto" w:fill="auto"/>
            <w:vAlign w:val="center"/>
          </w:tcPr>
          <w:p w14:paraId="779A82A7" w14:textId="77777777" w:rsidR="00523689" w:rsidRPr="00380B40" w:rsidRDefault="00523689" w:rsidP="00427615">
            <w:pPr>
              <w:pStyle w:val="Tableheadwhitecentred"/>
            </w:pPr>
            <w:r w:rsidRPr="00380B40">
              <w:t>Fast Track IS</w:t>
            </w:r>
          </w:p>
        </w:tc>
        <w:tc>
          <w:tcPr>
            <w:tcW w:w="1376" w:type="dxa"/>
            <w:shd w:val="clear" w:color="auto" w:fill="auto"/>
            <w:vAlign w:val="center"/>
          </w:tcPr>
          <w:p w14:paraId="7D932777" w14:textId="77777777" w:rsidR="00523689" w:rsidRPr="00380B40" w:rsidRDefault="00523689" w:rsidP="00427615">
            <w:pPr>
              <w:pStyle w:val="Tableheadwhitecentred"/>
            </w:pPr>
            <w:r w:rsidRPr="00380B40">
              <w:t>Technical</w:t>
            </w:r>
            <w:r w:rsidRPr="00380B40">
              <w:br/>
              <w:t>Report</w:t>
            </w:r>
          </w:p>
        </w:tc>
        <w:tc>
          <w:tcPr>
            <w:tcW w:w="1376" w:type="dxa"/>
            <w:shd w:val="clear" w:color="auto" w:fill="auto"/>
          </w:tcPr>
          <w:p w14:paraId="115E0887" w14:textId="77777777" w:rsidR="00523689" w:rsidRPr="00380B40" w:rsidRDefault="00523689" w:rsidP="00427615">
            <w:pPr>
              <w:pStyle w:val="Tableheadwhitecentred"/>
            </w:pPr>
            <w:r w:rsidRPr="00380B40">
              <w:t>Technical Specification</w:t>
            </w:r>
          </w:p>
        </w:tc>
        <w:tc>
          <w:tcPr>
            <w:tcW w:w="1376" w:type="dxa"/>
            <w:shd w:val="clear" w:color="auto" w:fill="auto"/>
            <w:vAlign w:val="center"/>
          </w:tcPr>
          <w:p w14:paraId="5F79E61A" w14:textId="77777777" w:rsidR="00523689" w:rsidRPr="00380B40" w:rsidRDefault="00523689" w:rsidP="00427615">
            <w:pPr>
              <w:pStyle w:val="Tableheadwhitecentred"/>
            </w:pPr>
            <w:r w:rsidRPr="00380B40">
              <w:t>Technical Corrigendum</w:t>
            </w:r>
          </w:p>
        </w:tc>
      </w:tr>
      <w:tr w:rsidR="00523689" w:rsidRPr="00380B40" w14:paraId="77ECD7A9" w14:textId="77777777" w:rsidTr="00D316C7">
        <w:trPr>
          <w:trHeight w:val="823"/>
          <w:jc w:val="center"/>
        </w:trPr>
        <w:tc>
          <w:tcPr>
            <w:tcW w:w="1375" w:type="dxa"/>
            <w:shd w:val="clear" w:color="auto" w:fill="auto"/>
          </w:tcPr>
          <w:p w14:paraId="7F4F358E" w14:textId="77777777" w:rsidR="00523689" w:rsidRPr="00380B40" w:rsidRDefault="00523689" w:rsidP="00C96099">
            <w:pPr>
              <w:pStyle w:val="Tabletext"/>
              <w:keepLines/>
              <w:rPr>
                <w:sz w:val="20"/>
                <w:lang w:val="en-GB"/>
              </w:rPr>
            </w:pPr>
            <w:r w:rsidRPr="00380B40">
              <w:rPr>
                <w:sz w:val="20"/>
                <w:lang w:val="en-GB"/>
              </w:rPr>
              <w:t>00 (optional)</w:t>
            </w:r>
          </w:p>
          <w:p w14:paraId="1CC67E60" w14:textId="77777777" w:rsidR="00523689" w:rsidRPr="00380B40" w:rsidRDefault="00523689" w:rsidP="00C96099">
            <w:pPr>
              <w:pStyle w:val="Tabletext"/>
              <w:keepLines/>
              <w:spacing w:before="0"/>
              <w:rPr>
                <w:sz w:val="20"/>
                <w:lang w:val="en-GB"/>
              </w:rPr>
            </w:pPr>
            <w:r w:rsidRPr="00380B40">
              <w:rPr>
                <w:sz w:val="20"/>
                <w:lang w:val="en-GB"/>
              </w:rPr>
              <w:t>Preliminary stage</w:t>
            </w:r>
          </w:p>
        </w:tc>
        <w:tc>
          <w:tcPr>
            <w:tcW w:w="1375" w:type="dxa"/>
            <w:shd w:val="clear" w:color="auto" w:fill="auto"/>
          </w:tcPr>
          <w:p w14:paraId="05EAF109" w14:textId="77777777" w:rsidR="00523689" w:rsidRPr="00380B40" w:rsidRDefault="00523689" w:rsidP="00C96099">
            <w:pPr>
              <w:pStyle w:val="Tabletext"/>
              <w:keepLines/>
              <w:rPr>
                <w:sz w:val="20"/>
                <w:lang w:val="en-GB"/>
              </w:rPr>
            </w:pPr>
            <w:r w:rsidRPr="00380B40">
              <w:rPr>
                <w:sz w:val="20"/>
                <w:lang w:val="en-GB"/>
              </w:rPr>
              <w:t>Preparation of NP</w:t>
            </w:r>
          </w:p>
        </w:tc>
        <w:tc>
          <w:tcPr>
            <w:tcW w:w="1375" w:type="dxa"/>
            <w:shd w:val="clear" w:color="auto" w:fill="auto"/>
          </w:tcPr>
          <w:p w14:paraId="212D96AD" w14:textId="77777777" w:rsidR="00523689" w:rsidRPr="00380B40" w:rsidRDefault="00523689" w:rsidP="00C96099">
            <w:pPr>
              <w:pStyle w:val="Tabletext"/>
              <w:keepLines/>
              <w:rPr>
                <w:sz w:val="20"/>
                <w:lang w:val="en-GB"/>
              </w:rPr>
            </w:pPr>
            <w:r w:rsidRPr="00380B40">
              <w:rPr>
                <w:sz w:val="20"/>
                <w:lang w:val="en-GB"/>
              </w:rPr>
              <w:t>Preparation of NP</w:t>
            </w:r>
          </w:p>
        </w:tc>
        <w:tc>
          <w:tcPr>
            <w:tcW w:w="1376" w:type="dxa"/>
            <w:shd w:val="clear" w:color="auto" w:fill="auto"/>
          </w:tcPr>
          <w:p w14:paraId="6CFA2B5C" w14:textId="77777777" w:rsidR="00523689" w:rsidRPr="00380B40" w:rsidRDefault="00523689" w:rsidP="00C96099">
            <w:pPr>
              <w:pStyle w:val="Tabletext"/>
              <w:rPr>
                <w:sz w:val="20"/>
                <w:lang w:val="en-GB"/>
              </w:rPr>
            </w:pPr>
          </w:p>
        </w:tc>
        <w:tc>
          <w:tcPr>
            <w:tcW w:w="1376" w:type="dxa"/>
            <w:shd w:val="clear" w:color="auto" w:fill="auto"/>
          </w:tcPr>
          <w:p w14:paraId="545E5152" w14:textId="77777777" w:rsidR="00523689" w:rsidRPr="00380B40" w:rsidRDefault="00523689" w:rsidP="00C96099">
            <w:pPr>
              <w:pStyle w:val="Tabletext"/>
              <w:keepLines/>
              <w:rPr>
                <w:sz w:val="20"/>
                <w:lang w:val="en-GB"/>
              </w:rPr>
            </w:pPr>
            <w:r w:rsidRPr="00380B40">
              <w:rPr>
                <w:sz w:val="20"/>
                <w:lang w:val="en-GB"/>
              </w:rPr>
              <w:t>Preparation of NP</w:t>
            </w:r>
          </w:p>
        </w:tc>
        <w:tc>
          <w:tcPr>
            <w:tcW w:w="1376" w:type="dxa"/>
            <w:shd w:val="clear" w:color="auto" w:fill="auto"/>
          </w:tcPr>
          <w:p w14:paraId="41629C04" w14:textId="77777777" w:rsidR="00523689" w:rsidRPr="00380B40" w:rsidRDefault="00523689" w:rsidP="00C96099">
            <w:pPr>
              <w:pStyle w:val="Tabletext"/>
              <w:rPr>
                <w:sz w:val="20"/>
                <w:lang w:val="en-GB"/>
              </w:rPr>
            </w:pPr>
          </w:p>
        </w:tc>
        <w:tc>
          <w:tcPr>
            <w:tcW w:w="1376" w:type="dxa"/>
            <w:shd w:val="clear" w:color="auto" w:fill="auto"/>
          </w:tcPr>
          <w:p w14:paraId="7F082E80" w14:textId="77777777" w:rsidR="00523689" w:rsidRPr="00380B40" w:rsidRDefault="00523689" w:rsidP="00C96099">
            <w:pPr>
              <w:pStyle w:val="Tabletext"/>
              <w:rPr>
                <w:sz w:val="20"/>
                <w:lang w:val="en-GB"/>
              </w:rPr>
            </w:pPr>
          </w:p>
        </w:tc>
      </w:tr>
      <w:tr w:rsidR="00523689" w:rsidRPr="00380B40" w14:paraId="57587891" w14:textId="77777777" w:rsidTr="00D316C7">
        <w:trPr>
          <w:trHeight w:val="590"/>
          <w:jc w:val="center"/>
        </w:trPr>
        <w:tc>
          <w:tcPr>
            <w:tcW w:w="1375" w:type="dxa"/>
            <w:shd w:val="clear" w:color="auto" w:fill="auto"/>
          </w:tcPr>
          <w:p w14:paraId="541A75A4" w14:textId="77777777" w:rsidR="00523689" w:rsidRPr="00380B40" w:rsidRDefault="00523689" w:rsidP="00C96099">
            <w:pPr>
              <w:pStyle w:val="Tabletext"/>
              <w:rPr>
                <w:sz w:val="20"/>
                <w:lang w:val="en-GB"/>
              </w:rPr>
            </w:pPr>
            <w:r w:rsidRPr="00380B40">
              <w:rPr>
                <w:sz w:val="20"/>
                <w:lang w:val="en-GB"/>
              </w:rPr>
              <w:t>01</w:t>
            </w:r>
          </w:p>
          <w:p w14:paraId="161FE92D" w14:textId="77777777" w:rsidR="00523689" w:rsidRPr="00380B40" w:rsidRDefault="00523689" w:rsidP="00C96099">
            <w:pPr>
              <w:pStyle w:val="Tabletext"/>
              <w:keepLines/>
              <w:spacing w:before="0"/>
              <w:rPr>
                <w:sz w:val="20"/>
                <w:lang w:val="en-GB"/>
              </w:rPr>
            </w:pPr>
            <w:r w:rsidRPr="00380B40">
              <w:rPr>
                <w:sz w:val="20"/>
                <w:lang w:val="en-GB"/>
              </w:rPr>
              <w:t>Proposal stage</w:t>
            </w:r>
          </w:p>
        </w:tc>
        <w:tc>
          <w:tcPr>
            <w:tcW w:w="1375" w:type="dxa"/>
            <w:shd w:val="clear" w:color="auto" w:fill="auto"/>
          </w:tcPr>
          <w:p w14:paraId="61411998" w14:textId="77777777" w:rsidR="00523689" w:rsidRPr="00380B40" w:rsidRDefault="00523689" w:rsidP="00C96099">
            <w:pPr>
              <w:pStyle w:val="Tabletext"/>
              <w:keepLines/>
              <w:rPr>
                <w:sz w:val="20"/>
                <w:lang w:val="en-GB"/>
              </w:rPr>
            </w:pPr>
            <w:r w:rsidRPr="00380B40">
              <w:rPr>
                <w:sz w:val="20"/>
                <w:lang w:val="en-GB"/>
              </w:rPr>
              <w:t>Acceptance of NP</w:t>
            </w:r>
          </w:p>
        </w:tc>
        <w:tc>
          <w:tcPr>
            <w:tcW w:w="1375" w:type="dxa"/>
            <w:shd w:val="clear" w:color="auto" w:fill="auto"/>
          </w:tcPr>
          <w:p w14:paraId="197FC98B" w14:textId="77777777" w:rsidR="00523689" w:rsidRPr="00380B40" w:rsidRDefault="00523689" w:rsidP="00C96099">
            <w:pPr>
              <w:pStyle w:val="Tabletext"/>
              <w:keepLines/>
              <w:rPr>
                <w:sz w:val="20"/>
                <w:lang w:val="en-GB"/>
              </w:rPr>
            </w:pPr>
            <w:r w:rsidRPr="00380B40">
              <w:rPr>
                <w:sz w:val="20"/>
                <w:lang w:val="en-GB"/>
              </w:rPr>
              <w:t>Acceptance of NP</w:t>
            </w:r>
          </w:p>
        </w:tc>
        <w:tc>
          <w:tcPr>
            <w:tcW w:w="1376" w:type="dxa"/>
            <w:shd w:val="clear" w:color="auto" w:fill="auto"/>
          </w:tcPr>
          <w:p w14:paraId="56638D7F" w14:textId="77777777" w:rsidR="00523689" w:rsidRPr="00380B40" w:rsidRDefault="00523689" w:rsidP="00C96099">
            <w:pPr>
              <w:pStyle w:val="Tabletext"/>
              <w:rPr>
                <w:sz w:val="20"/>
                <w:lang w:val="en-GB"/>
              </w:rPr>
            </w:pPr>
          </w:p>
        </w:tc>
        <w:tc>
          <w:tcPr>
            <w:tcW w:w="1376" w:type="dxa"/>
            <w:shd w:val="clear" w:color="auto" w:fill="auto"/>
          </w:tcPr>
          <w:p w14:paraId="44381D39" w14:textId="77777777" w:rsidR="00523689" w:rsidRPr="00380B40" w:rsidRDefault="00523689" w:rsidP="00C96099">
            <w:pPr>
              <w:pStyle w:val="Tabletext"/>
              <w:keepLines/>
              <w:rPr>
                <w:sz w:val="20"/>
                <w:lang w:val="en-GB"/>
              </w:rPr>
            </w:pPr>
            <w:r w:rsidRPr="00380B40">
              <w:rPr>
                <w:sz w:val="20"/>
                <w:lang w:val="en-GB"/>
              </w:rPr>
              <w:t>Acceptance of NP</w:t>
            </w:r>
          </w:p>
        </w:tc>
        <w:tc>
          <w:tcPr>
            <w:tcW w:w="1376" w:type="dxa"/>
            <w:shd w:val="clear" w:color="auto" w:fill="auto"/>
          </w:tcPr>
          <w:p w14:paraId="37C5F69D" w14:textId="77777777" w:rsidR="00523689" w:rsidRPr="00380B40" w:rsidRDefault="00523689" w:rsidP="00C96099">
            <w:pPr>
              <w:pStyle w:val="Tabletext"/>
              <w:keepLines/>
              <w:rPr>
                <w:sz w:val="20"/>
                <w:lang w:val="en-GB"/>
              </w:rPr>
            </w:pPr>
            <w:r w:rsidRPr="00380B40">
              <w:rPr>
                <w:sz w:val="20"/>
                <w:lang w:val="en-GB"/>
              </w:rPr>
              <w:t>Acceptance of NP</w:t>
            </w:r>
          </w:p>
        </w:tc>
        <w:tc>
          <w:tcPr>
            <w:tcW w:w="1376" w:type="dxa"/>
            <w:shd w:val="clear" w:color="auto" w:fill="auto"/>
          </w:tcPr>
          <w:p w14:paraId="4092B5E2" w14:textId="77777777" w:rsidR="00523689" w:rsidRPr="00380B40" w:rsidRDefault="00523689" w:rsidP="00C96099">
            <w:pPr>
              <w:pStyle w:val="Tabletext"/>
              <w:rPr>
                <w:sz w:val="20"/>
                <w:lang w:val="en-GB"/>
              </w:rPr>
            </w:pPr>
          </w:p>
        </w:tc>
      </w:tr>
      <w:tr w:rsidR="00523689" w:rsidRPr="00380B40" w14:paraId="38F07C20" w14:textId="77777777" w:rsidTr="00D316C7">
        <w:trPr>
          <w:trHeight w:val="790"/>
          <w:jc w:val="center"/>
        </w:trPr>
        <w:tc>
          <w:tcPr>
            <w:tcW w:w="1375" w:type="dxa"/>
            <w:shd w:val="clear" w:color="auto" w:fill="auto"/>
          </w:tcPr>
          <w:p w14:paraId="781627DE" w14:textId="77777777" w:rsidR="00523689" w:rsidRPr="00380B40" w:rsidRDefault="00523689" w:rsidP="00C96099">
            <w:pPr>
              <w:pStyle w:val="Tabletext"/>
              <w:rPr>
                <w:sz w:val="20"/>
                <w:lang w:val="en-GB"/>
              </w:rPr>
            </w:pPr>
            <w:r w:rsidRPr="00380B40">
              <w:rPr>
                <w:sz w:val="20"/>
                <w:lang w:val="en-GB"/>
              </w:rPr>
              <w:t>02</w:t>
            </w:r>
          </w:p>
          <w:p w14:paraId="05045DA6" w14:textId="77777777" w:rsidR="00523689" w:rsidRPr="00380B40" w:rsidRDefault="00523689" w:rsidP="00C96099">
            <w:pPr>
              <w:pStyle w:val="Tabletext"/>
              <w:rPr>
                <w:lang w:val="en-GB"/>
              </w:rPr>
            </w:pPr>
            <w:r w:rsidRPr="00380B40">
              <w:rPr>
                <w:lang w:val="en-GB"/>
              </w:rPr>
              <w:t>Preparatory stage</w:t>
            </w:r>
          </w:p>
        </w:tc>
        <w:tc>
          <w:tcPr>
            <w:tcW w:w="1375" w:type="dxa"/>
            <w:shd w:val="clear" w:color="auto" w:fill="auto"/>
          </w:tcPr>
          <w:p w14:paraId="13894F4C" w14:textId="77777777" w:rsidR="00523689" w:rsidRPr="00380B40" w:rsidRDefault="00523689" w:rsidP="00C96099">
            <w:pPr>
              <w:pStyle w:val="Tabletext"/>
              <w:keepLines/>
              <w:rPr>
                <w:sz w:val="20"/>
                <w:lang w:val="en-GB"/>
              </w:rPr>
            </w:pPr>
            <w:r w:rsidRPr="00380B40">
              <w:rPr>
                <w:sz w:val="20"/>
                <w:lang w:val="en-GB"/>
              </w:rPr>
              <w:t>Preparation of WD</w:t>
            </w:r>
          </w:p>
        </w:tc>
        <w:tc>
          <w:tcPr>
            <w:tcW w:w="1375" w:type="dxa"/>
            <w:shd w:val="clear" w:color="auto" w:fill="auto"/>
          </w:tcPr>
          <w:p w14:paraId="15B3CD9C" w14:textId="77777777" w:rsidR="00523689" w:rsidRPr="00380B40" w:rsidRDefault="00523689" w:rsidP="00C96099">
            <w:pPr>
              <w:pStyle w:val="Tabletext"/>
              <w:keepLines/>
              <w:rPr>
                <w:sz w:val="20"/>
                <w:lang w:val="en-GB"/>
              </w:rPr>
            </w:pPr>
            <w:r w:rsidRPr="00380B40">
              <w:rPr>
                <w:sz w:val="20"/>
                <w:lang w:val="en-GB"/>
              </w:rPr>
              <w:t>Preparation of WD</w:t>
            </w:r>
          </w:p>
        </w:tc>
        <w:tc>
          <w:tcPr>
            <w:tcW w:w="1376" w:type="dxa"/>
            <w:shd w:val="clear" w:color="auto" w:fill="auto"/>
          </w:tcPr>
          <w:p w14:paraId="2DE39996" w14:textId="77777777" w:rsidR="00523689" w:rsidRPr="00380B40" w:rsidRDefault="00523689" w:rsidP="00C96099">
            <w:pPr>
              <w:pStyle w:val="Tabletext"/>
              <w:rPr>
                <w:sz w:val="20"/>
                <w:lang w:val="en-GB"/>
              </w:rPr>
            </w:pPr>
          </w:p>
        </w:tc>
        <w:tc>
          <w:tcPr>
            <w:tcW w:w="1376" w:type="dxa"/>
            <w:shd w:val="clear" w:color="auto" w:fill="auto"/>
          </w:tcPr>
          <w:p w14:paraId="0F87E703" w14:textId="77777777" w:rsidR="00523689" w:rsidRPr="00380B40" w:rsidRDefault="00523689" w:rsidP="00C96099">
            <w:pPr>
              <w:pStyle w:val="Tabletext"/>
              <w:keepLines/>
              <w:rPr>
                <w:sz w:val="20"/>
                <w:lang w:val="en-GB"/>
              </w:rPr>
            </w:pPr>
            <w:r w:rsidRPr="00380B40">
              <w:rPr>
                <w:sz w:val="20"/>
                <w:lang w:val="en-GB"/>
              </w:rPr>
              <w:t>Preparation of WD</w:t>
            </w:r>
          </w:p>
        </w:tc>
        <w:tc>
          <w:tcPr>
            <w:tcW w:w="1376" w:type="dxa"/>
            <w:shd w:val="clear" w:color="auto" w:fill="auto"/>
          </w:tcPr>
          <w:p w14:paraId="6BB6178F" w14:textId="77777777" w:rsidR="00523689" w:rsidRPr="00380B40" w:rsidRDefault="00523689" w:rsidP="00C96099">
            <w:pPr>
              <w:pStyle w:val="Tabletext"/>
              <w:rPr>
                <w:sz w:val="20"/>
                <w:lang w:val="en-GB"/>
              </w:rPr>
            </w:pPr>
            <w:r w:rsidRPr="00380B40">
              <w:rPr>
                <w:sz w:val="20"/>
                <w:lang w:val="en-GB"/>
              </w:rPr>
              <w:t>Preparation of WD</w:t>
            </w:r>
          </w:p>
        </w:tc>
        <w:tc>
          <w:tcPr>
            <w:tcW w:w="1376" w:type="dxa"/>
            <w:shd w:val="clear" w:color="auto" w:fill="auto"/>
          </w:tcPr>
          <w:p w14:paraId="43B2AF00" w14:textId="77777777" w:rsidR="00523689" w:rsidRPr="00380B40" w:rsidRDefault="00523689" w:rsidP="00C96099">
            <w:pPr>
              <w:pStyle w:val="Tabletext"/>
              <w:keepLines/>
              <w:spacing w:before="0"/>
              <w:rPr>
                <w:sz w:val="20"/>
                <w:lang w:val="en-GB"/>
              </w:rPr>
            </w:pPr>
            <w:r w:rsidRPr="00380B40">
              <w:rPr>
                <w:sz w:val="20"/>
                <w:lang w:val="en-GB"/>
              </w:rPr>
              <w:t>Preparation of Defect report</w:t>
            </w:r>
          </w:p>
        </w:tc>
      </w:tr>
      <w:tr w:rsidR="00523689" w:rsidRPr="004E0F36" w14:paraId="77DBD2CB" w14:textId="77777777" w:rsidTr="00D316C7">
        <w:trPr>
          <w:trHeight w:val="1013"/>
          <w:jc w:val="center"/>
        </w:trPr>
        <w:tc>
          <w:tcPr>
            <w:tcW w:w="1375" w:type="dxa"/>
            <w:shd w:val="clear" w:color="auto" w:fill="auto"/>
          </w:tcPr>
          <w:p w14:paraId="7CD6AB64" w14:textId="77777777" w:rsidR="00523689" w:rsidRPr="00380B40" w:rsidRDefault="00523689" w:rsidP="00C96099">
            <w:pPr>
              <w:pStyle w:val="Tabletext"/>
              <w:rPr>
                <w:sz w:val="20"/>
                <w:lang w:val="en-GB"/>
              </w:rPr>
            </w:pPr>
            <w:r w:rsidRPr="00380B40">
              <w:rPr>
                <w:sz w:val="20"/>
                <w:lang w:val="en-GB"/>
              </w:rPr>
              <w:t>03</w:t>
            </w:r>
          </w:p>
          <w:p w14:paraId="527A1E60" w14:textId="77777777" w:rsidR="00523689" w:rsidRPr="00380B40" w:rsidRDefault="00523689" w:rsidP="00C96099">
            <w:pPr>
              <w:pStyle w:val="Tabletext"/>
              <w:keepLines/>
              <w:spacing w:before="0"/>
              <w:rPr>
                <w:sz w:val="20"/>
                <w:lang w:val="en-GB"/>
              </w:rPr>
            </w:pPr>
            <w:r w:rsidRPr="00380B40">
              <w:rPr>
                <w:sz w:val="20"/>
                <w:lang w:val="en-GB"/>
              </w:rPr>
              <w:t>Committee stage</w:t>
            </w:r>
          </w:p>
        </w:tc>
        <w:tc>
          <w:tcPr>
            <w:tcW w:w="1375" w:type="dxa"/>
            <w:shd w:val="clear" w:color="auto" w:fill="auto"/>
          </w:tcPr>
          <w:p w14:paraId="31EC3D3D" w14:textId="77777777" w:rsidR="00523689" w:rsidRPr="00380B40" w:rsidRDefault="00523689" w:rsidP="00C96099">
            <w:pPr>
              <w:pStyle w:val="Tabletext"/>
              <w:keepLines/>
              <w:spacing w:before="0"/>
              <w:rPr>
                <w:sz w:val="20"/>
                <w:lang w:val="en-GB"/>
              </w:rPr>
            </w:pPr>
            <w:r w:rsidRPr="00380B40">
              <w:rPr>
                <w:sz w:val="20"/>
                <w:lang w:val="en-GB"/>
              </w:rPr>
              <w:t>Development and acceptance of CD</w:t>
            </w:r>
          </w:p>
        </w:tc>
        <w:tc>
          <w:tcPr>
            <w:tcW w:w="1375" w:type="dxa"/>
            <w:shd w:val="clear" w:color="auto" w:fill="auto"/>
          </w:tcPr>
          <w:p w14:paraId="4EF62A5F" w14:textId="77777777" w:rsidR="00523689" w:rsidRPr="00380B40" w:rsidRDefault="00523689" w:rsidP="00C96099">
            <w:pPr>
              <w:pStyle w:val="Tabletext"/>
              <w:keepLines/>
              <w:spacing w:before="0"/>
              <w:rPr>
                <w:sz w:val="20"/>
                <w:lang w:val="en-GB"/>
              </w:rPr>
            </w:pPr>
            <w:r w:rsidRPr="00380B40">
              <w:rPr>
                <w:sz w:val="20"/>
                <w:lang w:val="en-GB"/>
              </w:rPr>
              <w:t>Development and acceptance of PDAM</w:t>
            </w:r>
          </w:p>
        </w:tc>
        <w:tc>
          <w:tcPr>
            <w:tcW w:w="1376" w:type="dxa"/>
            <w:shd w:val="clear" w:color="auto" w:fill="auto"/>
          </w:tcPr>
          <w:p w14:paraId="54C456DA" w14:textId="77777777" w:rsidR="00523689" w:rsidRPr="00380B40" w:rsidRDefault="00523689" w:rsidP="00C96099">
            <w:pPr>
              <w:pStyle w:val="Tabletext"/>
              <w:rPr>
                <w:sz w:val="20"/>
                <w:lang w:val="en-GB"/>
              </w:rPr>
            </w:pPr>
          </w:p>
        </w:tc>
        <w:tc>
          <w:tcPr>
            <w:tcW w:w="1376" w:type="dxa"/>
            <w:shd w:val="clear" w:color="auto" w:fill="auto"/>
          </w:tcPr>
          <w:p w14:paraId="0B44C8F5" w14:textId="77777777" w:rsidR="00523689" w:rsidRPr="00380B40" w:rsidRDefault="00523689" w:rsidP="00C96099">
            <w:pPr>
              <w:pStyle w:val="Tabletext"/>
              <w:keepLines/>
              <w:rPr>
                <w:sz w:val="20"/>
                <w:lang w:val="en-GB"/>
              </w:rPr>
            </w:pPr>
            <w:r w:rsidRPr="00380B40">
              <w:rPr>
                <w:sz w:val="20"/>
                <w:lang w:val="en-GB"/>
              </w:rPr>
              <w:t>Development and acceptance of PDTR</w:t>
            </w:r>
          </w:p>
        </w:tc>
        <w:tc>
          <w:tcPr>
            <w:tcW w:w="1376" w:type="dxa"/>
            <w:shd w:val="clear" w:color="auto" w:fill="auto"/>
          </w:tcPr>
          <w:p w14:paraId="68DE17B9" w14:textId="77777777" w:rsidR="00523689" w:rsidRPr="00380B40" w:rsidRDefault="00523689" w:rsidP="00C96099">
            <w:pPr>
              <w:pStyle w:val="Tabletext"/>
              <w:rPr>
                <w:sz w:val="20"/>
                <w:lang w:val="en-GB"/>
              </w:rPr>
            </w:pPr>
            <w:r w:rsidRPr="00380B40">
              <w:rPr>
                <w:sz w:val="20"/>
                <w:lang w:val="en-GB"/>
              </w:rPr>
              <w:t>Development and acceptance of PDTS</w:t>
            </w:r>
          </w:p>
        </w:tc>
        <w:tc>
          <w:tcPr>
            <w:tcW w:w="1376" w:type="dxa"/>
            <w:shd w:val="clear" w:color="auto" w:fill="auto"/>
          </w:tcPr>
          <w:p w14:paraId="2B41014E" w14:textId="77777777" w:rsidR="00523689" w:rsidRPr="00380B40" w:rsidRDefault="00523689" w:rsidP="00C96099">
            <w:pPr>
              <w:pStyle w:val="Tabletext"/>
              <w:keepLines/>
              <w:rPr>
                <w:sz w:val="20"/>
                <w:lang w:val="en-GB"/>
              </w:rPr>
            </w:pPr>
            <w:r w:rsidRPr="00380B40">
              <w:rPr>
                <w:sz w:val="20"/>
                <w:lang w:val="en-GB"/>
              </w:rPr>
              <w:t>Development and acceptance of DCOR</w:t>
            </w:r>
          </w:p>
        </w:tc>
      </w:tr>
      <w:tr w:rsidR="00523689" w:rsidRPr="00380B40" w14:paraId="1DB1964B" w14:textId="77777777" w:rsidTr="00D316C7">
        <w:trPr>
          <w:trHeight w:val="779"/>
          <w:jc w:val="center"/>
        </w:trPr>
        <w:tc>
          <w:tcPr>
            <w:tcW w:w="1375" w:type="dxa"/>
            <w:shd w:val="clear" w:color="auto" w:fill="auto"/>
          </w:tcPr>
          <w:p w14:paraId="47329E32" w14:textId="77777777" w:rsidR="00523689" w:rsidRPr="00380B40" w:rsidRDefault="00523689" w:rsidP="00C96099">
            <w:pPr>
              <w:pStyle w:val="Tabletext"/>
              <w:rPr>
                <w:sz w:val="20"/>
                <w:lang w:val="en-GB"/>
              </w:rPr>
            </w:pPr>
            <w:r w:rsidRPr="00380B40">
              <w:rPr>
                <w:sz w:val="20"/>
                <w:lang w:val="en-GB"/>
              </w:rPr>
              <w:t>04</w:t>
            </w:r>
          </w:p>
          <w:p w14:paraId="7BEBC618" w14:textId="77777777" w:rsidR="00523689" w:rsidRPr="00380B40" w:rsidRDefault="00523689" w:rsidP="00C96099">
            <w:pPr>
              <w:pStyle w:val="Tabletext"/>
              <w:keepLines/>
              <w:spacing w:before="0"/>
              <w:rPr>
                <w:sz w:val="20"/>
                <w:lang w:val="en-GB"/>
              </w:rPr>
            </w:pPr>
            <w:r w:rsidRPr="00380B40">
              <w:rPr>
                <w:sz w:val="20"/>
                <w:lang w:val="en-GB"/>
              </w:rPr>
              <w:t>Enquiry stage</w:t>
            </w:r>
          </w:p>
        </w:tc>
        <w:tc>
          <w:tcPr>
            <w:tcW w:w="1375" w:type="dxa"/>
            <w:shd w:val="clear" w:color="auto" w:fill="auto"/>
          </w:tcPr>
          <w:p w14:paraId="1F1B7012" w14:textId="77777777" w:rsidR="00523689" w:rsidRPr="00380B40" w:rsidRDefault="00523689" w:rsidP="00C96099">
            <w:pPr>
              <w:pStyle w:val="Tabletext"/>
              <w:keepLines/>
              <w:rPr>
                <w:sz w:val="20"/>
                <w:lang w:val="en-GB"/>
              </w:rPr>
            </w:pPr>
            <w:r w:rsidRPr="00380B40">
              <w:rPr>
                <w:sz w:val="20"/>
                <w:lang w:val="en-GB"/>
              </w:rPr>
              <w:t>Development and acceptance of DIS</w:t>
            </w:r>
          </w:p>
        </w:tc>
        <w:tc>
          <w:tcPr>
            <w:tcW w:w="1375" w:type="dxa"/>
            <w:shd w:val="clear" w:color="auto" w:fill="auto"/>
          </w:tcPr>
          <w:p w14:paraId="7AA724FF" w14:textId="77777777" w:rsidR="00523689" w:rsidRPr="00380B40" w:rsidRDefault="00523689" w:rsidP="00C96099">
            <w:pPr>
              <w:pStyle w:val="Tabletext"/>
              <w:keepLines/>
              <w:rPr>
                <w:sz w:val="20"/>
                <w:lang w:val="en-GB"/>
              </w:rPr>
            </w:pPr>
            <w:r w:rsidRPr="00380B40">
              <w:rPr>
                <w:sz w:val="20"/>
                <w:lang w:val="en-GB"/>
              </w:rPr>
              <w:t>Development and acceptance of DAM</w:t>
            </w:r>
          </w:p>
        </w:tc>
        <w:tc>
          <w:tcPr>
            <w:tcW w:w="1376" w:type="dxa"/>
            <w:shd w:val="clear" w:color="auto" w:fill="auto"/>
          </w:tcPr>
          <w:p w14:paraId="79434F42" w14:textId="77777777" w:rsidR="00523689" w:rsidRPr="00380B40" w:rsidRDefault="00523689" w:rsidP="00C96099">
            <w:pPr>
              <w:pStyle w:val="Tabletext"/>
              <w:keepLines/>
              <w:rPr>
                <w:sz w:val="20"/>
                <w:lang w:val="en-GB"/>
              </w:rPr>
            </w:pPr>
            <w:r w:rsidRPr="00380B40">
              <w:rPr>
                <w:sz w:val="20"/>
                <w:lang w:val="en-GB"/>
              </w:rPr>
              <w:t>Development and acceptance of DIS</w:t>
            </w:r>
          </w:p>
        </w:tc>
        <w:tc>
          <w:tcPr>
            <w:tcW w:w="1376" w:type="dxa"/>
            <w:shd w:val="clear" w:color="auto" w:fill="auto"/>
          </w:tcPr>
          <w:p w14:paraId="2644844D" w14:textId="77777777" w:rsidR="00523689" w:rsidRPr="00380B40" w:rsidRDefault="00523689" w:rsidP="00C96099">
            <w:pPr>
              <w:pStyle w:val="Tabletext"/>
              <w:keepLines/>
              <w:rPr>
                <w:sz w:val="20"/>
                <w:lang w:val="en-GB"/>
              </w:rPr>
            </w:pPr>
            <w:r w:rsidRPr="00380B40">
              <w:rPr>
                <w:sz w:val="20"/>
                <w:lang w:val="en-GB"/>
              </w:rPr>
              <w:t>Approval of DTR</w:t>
            </w:r>
          </w:p>
        </w:tc>
        <w:tc>
          <w:tcPr>
            <w:tcW w:w="1376" w:type="dxa"/>
            <w:shd w:val="clear" w:color="auto" w:fill="auto"/>
          </w:tcPr>
          <w:p w14:paraId="2D94320D" w14:textId="77777777" w:rsidR="00523689" w:rsidRPr="00380B40" w:rsidRDefault="00523689" w:rsidP="00C96099">
            <w:pPr>
              <w:pStyle w:val="Tabletext"/>
              <w:keepLines/>
              <w:rPr>
                <w:sz w:val="20"/>
                <w:lang w:val="en-GB"/>
              </w:rPr>
            </w:pPr>
            <w:r w:rsidRPr="00380B40">
              <w:rPr>
                <w:sz w:val="20"/>
                <w:lang w:val="en-GB"/>
              </w:rPr>
              <w:t>Approval of DTS</w:t>
            </w:r>
          </w:p>
        </w:tc>
        <w:tc>
          <w:tcPr>
            <w:tcW w:w="1376" w:type="dxa"/>
            <w:shd w:val="clear" w:color="auto" w:fill="auto"/>
          </w:tcPr>
          <w:p w14:paraId="2950D96B" w14:textId="77777777" w:rsidR="00523689" w:rsidRPr="00380B40" w:rsidRDefault="00523689" w:rsidP="00C96099">
            <w:pPr>
              <w:pStyle w:val="Tabletext"/>
              <w:rPr>
                <w:sz w:val="20"/>
                <w:lang w:val="en-GB"/>
              </w:rPr>
            </w:pPr>
          </w:p>
        </w:tc>
      </w:tr>
      <w:tr w:rsidR="00523689" w:rsidRPr="00380B40" w14:paraId="73FDCAE1" w14:textId="77777777" w:rsidTr="00D316C7">
        <w:trPr>
          <w:trHeight w:val="602"/>
          <w:jc w:val="center"/>
        </w:trPr>
        <w:tc>
          <w:tcPr>
            <w:tcW w:w="1375" w:type="dxa"/>
            <w:shd w:val="clear" w:color="auto" w:fill="auto"/>
          </w:tcPr>
          <w:p w14:paraId="40DF8C78" w14:textId="77777777" w:rsidR="00523689" w:rsidRPr="00380B40" w:rsidRDefault="00523689" w:rsidP="00C96099">
            <w:pPr>
              <w:pStyle w:val="Tabletext"/>
              <w:rPr>
                <w:sz w:val="20"/>
                <w:lang w:val="en-GB"/>
              </w:rPr>
            </w:pPr>
            <w:r w:rsidRPr="00380B40">
              <w:rPr>
                <w:sz w:val="20"/>
                <w:lang w:val="en-GB"/>
              </w:rPr>
              <w:t>05</w:t>
            </w:r>
          </w:p>
          <w:p w14:paraId="5B1CAD89" w14:textId="77777777" w:rsidR="00523689" w:rsidRPr="00380B40" w:rsidRDefault="00523689" w:rsidP="00C96099">
            <w:pPr>
              <w:pStyle w:val="Tabletext"/>
              <w:keepLines/>
              <w:rPr>
                <w:sz w:val="20"/>
                <w:lang w:val="en-GB"/>
              </w:rPr>
            </w:pPr>
            <w:r w:rsidRPr="00380B40">
              <w:rPr>
                <w:sz w:val="20"/>
                <w:lang w:val="en-GB"/>
              </w:rPr>
              <w:t>Approval stage</w:t>
            </w:r>
          </w:p>
        </w:tc>
        <w:tc>
          <w:tcPr>
            <w:tcW w:w="1375" w:type="dxa"/>
            <w:shd w:val="clear" w:color="auto" w:fill="auto"/>
          </w:tcPr>
          <w:p w14:paraId="763A47B8" w14:textId="77777777" w:rsidR="00523689" w:rsidRPr="00380B40" w:rsidRDefault="00523689" w:rsidP="00C96099">
            <w:pPr>
              <w:pStyle w:val="Tabletext"/>
              <w:keepLines/>
              <w:rPr>
                <w:sz w:val="20"/>
                <w:lang w:val="en-GB"/>
              </w:rPr>
            </w:pPr>
            <w:r w:rsidRPr="00380B40">
              <w:rPr>
                <w:sz w:val="20"/>
                <w:lang w:val="en-GB"/>
              </w:rPr>
              <w:t xml:space="preserve">Approval of FDIS </w:t>
            </w:r>
          </w:p>
        </w:tc>
        <w:tc>
          <w:tcPr>
            <w:tcW w:w="1375" w:type="dxa"/>
            <w:shd w:val="clear" w:color="auto" w:fill="auto"/>
          </w:tcPr>
          <w:p w14:paraId="34DE4DB6" w14:textId="77777777" w:rsidR="00523689" w:rsidRPr="00380B40" w:rsidRDefault="00523689" w:rsidP="00C96099">
            <w:pPr>
              <w:pStyle w:val="Tabletext"/>
              <w:keepLines/>
              <w:rPr>
                <w:sz w:val="20"/>
                <w:lang w:val="en-GB"/>
              </w:rPr>
            </w:pPr>
            <w:r w:rsidRPr="00380B40">
              <w:rPr>
                <w:sz w:val="20"/>
                <w:lang w:val="en-GB"/>
              </w:rPr>
              <w:t>Approval of FDAM</w:t>
            </w:r>
          </w:p>
        </w:tc>
        <w:tc>
          <w:tcPr>
            <w:tcW w:w="1376" w:type="dxa"/>
            <w:shd w:val="clear" w:color="auto" w:fill="auto"/>
          </w:tcPr>
          <w:p w14:paraId="4F58204C" w14:textId="77777777" w:rsidR="00523689" w:rsidRPr="00380B40" w:rsidRDefault="00523689" w:rsidP="00C96099">
            <w:pPr>
              <w:pStyle w:val="Tabletext"/>
              <w:keepLines/>
              <w:rPr>
                <w:sz w:val="20"/>
                <w:lang w:val="en-GB"/>
              </w:rPr>
            </w:pPr>
            <w:r w:rsidRPr="00380B40">
              <w:rPr>
                <w:sz w:val="20"/>
                <w:lang w:val="en-GB"/>
              </w:rPr>
              <w:t>Approval of FDIS</w:t>
            </w:r>
          </w:p>
        </w:tc>
        <w:tc>
          <w:tcPr>
            <w:tcW w:w="1376" w:type="dxa"/>
            <w:shd w:val="clear" w:color="auto" w:fill="auto"/>
          </w:tcPr>
          <w:p w14:paraId="02DBF402" w14:textId="77777777" w:rsidR="00523689" w:rsidRPr="00380B40" w:rsidRDefault="00523689" w:rsidP="00C96099">
            <w:pPr>
              <w:pStyle w:val="Tabletext"/>
              <w:rPr>
                <w:sz w:val="20"/>
                <w:lang w:val="en-GB"/>
              </w:rPr>
            </w:pPr>
          </w:p>
        </w:tc>
        <w:tc>
          <w:tcPr>
            <w:tcW w:w="1376" w:type="dxa"/>
            <w:shd w:val="clear" w:color="auto" w:fill="auto"/>
          </w:tcPr>
          <w:p w14:paraId="4B2C8F86" w14:textId="77777777" w:rsidR="00523689" w:rsidRPr="00380B40" w:rsidRDefault="00523689" w:rsidP="00C96099">
            <w:pPr>
              <w:pStyle w:val="Tabletext"/>
              <w:rPr>
                <w:sz w:val="20"/>
                <w:lang w:val="en-GB"/>
              </w:rPr>
            </w:pPr>
          </w:p>
        </w:tc>
        <w:tc>
          <w:tcPr>
            <w:tcW w:w="1376" w:type="dxa"/>
            <w:shd w:val="clear" w:color="auto" w:fill="auto"/>
          </w:tcPr>
          <w:p w14:paraId="078AD443" w14:textId="77777777" w:rsidR="00523689" w:rsidRPr="00380B40" w:rsidRDefault="00523689" w:rsidP="00C96099">
            <w:pPr>
              <w:pStyle w:val="Tabletext"/>
              <w:rPr>
                <w:sz w:val="20"/>
                <w:lang w:val="en-GB"/>
              </w:rPr>
            </w:pPr>
          </w:p>
        </w:tc>
      </w:tr>
      <w:tr w:rsidR="00523689" w:rsidRPr="00380B40" w14:paraId="7A69398A" w14:textId="77777777" w:rsidTr="00D316C7">
        <w:trPr>
          <w:trHeight w:val="823"/>
          <w:jc w:val="center"/>
        </w:trPr>
        <w:tc>
          <w:tcPr>
            <w:tcW w:w="1375" w:type="dxa"/>
            <w:shd w:val="clear" w:color="auto" w:fill="auto"/>
          </w:tcPr>
          <w:p w14:paraId="6A5D10F2" w14:textId="77777777" w:rsidR="00523689" w:rsidRPr="00380B40" w:rsidRDefault="00523689" w:rsidP="00C96099">
            <w:pPr>
              <w:pStyle w:val="Tabletext"/>
              <w:rPr>
                <w:sz w:val="20"/>
                <w:lang w:val="en-GB"/>
              </w:rPr>
            </w:pPr>
            <w:r w:rsidRPr="00380B40">
              <w:rPr>
                <w:sz w:val="20"/>
                <w:lang w:val="en-GB"/>
              </w:rPr>
              <w:t>06</w:t>
            </w:r>
          </w:p>
          <w:p w14:paraId="0F6013D2" w14:textId="77777777" w:rsidR="00523689" w:rsidRPr="00380B40" w:rsidRDefault="00523689" w:rsidP="00C96099">
            <w:pPr>
              <w:pStyle w:val="Tabletext"/>
              <w:keepLines/>
              <w:spacing w:before="0"/>
              <w:rPr>
                <w:sz w:val="20"/>
                <w:lang w:val="en-GB"/>
              </w:rPr>
            </w:pPr>
            <w:r w:rsidRPr="00380B40">
              <w:rPr>
                <w:sz w:val="20"/>
                <w:lang w:val="en-GB"/>
              </w:rPr>
              <w:t>Publication stage</w:t>
            </w:r>
          </w:p>
        </w:tc>
        <w:tc>
          <w:tcPr>
            <w:tcW w:w="1375" w:type="dxa"/>
            <w:shd w:val="clear" w:color="auto" w:fill="auto"/>
          </w:tcPr>
          <w:p w14:paraId="73E51516" w14:textId="77777777" w:rsidR="00523689" w:rsidRPr="00380B40" w:rsidRDefault="00523689" w:rsidP="00C96099">
            <w:pPr>
              <w:pStyle w:val="Tabletext"/>
              <w:keepLines/>
              <w:rPr>
                <w:sz w:val="20"/>
                <w:lang w:val="en-GB"/>
              </w:rPr>
            </w:pPr>
            <w:r w:rsidRPr="00380B40">
              <w:rPr>
                <w:sz w:val="20"/>
                <w:lang w:val="en-GB"/>
              </w:rPr>
              <w:t>Publication of IS</w:t>
            </w:r>
          </w:p>
        </w:tc>
        <w:tc>
          <w:tcPr>
            <w:tcW w:w="1375" w:type="dxa"/>
            <w:shd w:val="clear" w:color="auto" w:fill="auto"/>
          </w:tcPr>
          <w:p w14:paraId="3666D6DE" w14:textId="77777777" w:rsidR="00523689" w:rsidRPr="00380B40" w:rsidRDefault="00523689" w:rsidP="00C96099">
            <w:pPr>
              <w:pStyle w:val="Tabletext"/>
              <w:keepLines/>
              <w:rPr>
                <w:sz w:val="20"/>
                <w:lang w:val="en-GB"/>
              </w:rPr>
            </w:pPr>
            <w:r w:rsidRPr="00380B40">
              <w:rPr>
                <w:sz w:val="20"/>
                <w:lang w:val="en-GB"/>
              </w:rPr>
              <w:t>Publication of Amendment</w:t>
            </w:r>
          </w:p>
        </w:tc>
        <w:tc>
          <w:tcPr>
            <w:tcW w:w="1376" w:type="dxa"/>
            <w:shd w:val="clear" w:color="auto" w:fill="auto"/>
          </w:tcPr>
          <w:p w14:paraId="224DCF74" w14:textId="77777777" w:rsidR="00523689" w:rsidRPr="00380B40" w:rsidRDefault="00523689" w:rsidP="00C96099">
            <w:pPr>
              <w:pStyle w:val="Tabletext"/>
              <w:keepLines/>
              <w:rPr>
                <w:sz w:val="20"/>
                <w:lang w:val="en-GB"/>
              </w:rPr>
            </w:pPr>
            <w:r w:rsidRPr="00380B40">
              <w:rPr>
                <w:sz w:val="20"/>
                <w:lang w:val="en-GB"/>
              </w:rPr>
              <w:t>Publication of IS</w:t>
            </w:r>
          </w:p>
        </w:tc>
        <w:tc>
          <w:tcPr>
            <w:tcW w:w="1376" w:type="dxa"/>
            <w:shd w:val="clear" w:color="auto" w:fill="auto"/>
          </w:tcPr>
          <w:p w14:paraId="1E1C4F96" w14:textId="77777777" w:rsidR="00523689" w:rsidRPr="00380B40" w:rsidRDefault="00523689" w:rsidP="00C96099">
            <w:pPr>
              <w:pStyle w:val="Tabletext"/>
              <w:keepLines/>
              <w:rPr>
                <w:sz w:val="20"/>
                <w:lang w:val="en-GB"/>
              </w:rPr>
            </w:pPr>
            <w:r w:rsidRPr="00380B40">
              <w:rPr>
                <w:sz w:val="20"/>
                <w:lang w:val="en-GB"/>
              </w:rPr>
              <w:t>Publication of Technical Report</w:t>
            </w:r>
          </w:p>
        </w:tc>
        <w:tc>
          <w:tcPr>
            <w:tcW w:w="1376" w:type="dxa"/>
            <w:shd w:val="clear" w:color="auto" w:fill="auto"/>
          </w:tcPr>
          <w:p w14:paraId="3F25FB0B" w14:textId="77777777" w:rsidR="00523689" w:rsidRPr="00380B40" w:rsidRDefault="00523689" w:rsidP="00C96099">
            <w:pPr>
              <w:pStyle w:val="Tabletext"/>
              <w:keepLines/>
              <w:rPr>
                <w:sz w:val="20"/>
                <w:lang w:val="en-GB"/>
              </w:rPr>
            </w:pPr>
            <w:r w:rsidRPr="00380B40">
              <w:rPr>
                <w:sz w:val="20"/>
                <w:lang w:val="en-GB"/>
              </w:rPr>
              <w:t>Publication of Technical Specification</w:t>
            </w:r>
          </w:p>
        </w:tc>
        <w:tc>
          <w:tcPr>
            <w:tcW w:w="1376" w:type="dxa"/>
            <w:shd w:val="clear" w:color="auto" w:fill="auto"/>
          </w:tcPr>
          <w:p w14:paraId="2F1CAEC3" w14:textId="77777777" w:rsidR="00523689" w:rsidRPr="00380B40" w:rsidRDefault="00523689" w:rsidP="00C96099">
            <w:pPr>
              <w:pStyle w:val="Tabletext"/>
              <w:rPr>
                <w:sz w:val="20"/>
                <w:lang w:val="en-GB"/>
              </w:rPr>
            </w:pPr>
            <w:r w:rsidRPr="00380B40">
              <w:rPr>
                <w:sz w:val="20"/>
                <w:lang w:val="en-GB"/>
              </w:rPr>
              <w:t>Publication of Technical Corrigendum</w:t>
            </w:r>
          </w:p>
        </w:tc>
      </w:tr>
    </w:tbl>
    <w:p w14:paraId="31D16702" w14:textId="77777777" w:rsidR="00523689" w:rsidRPr="00380B40" w:rsidRDefault="00523689" w:rsidP="00523689">
      <w:pPr>
        <w:pStyle w:val="Tablefin"/>
      </w:pPr>
    </w:p>
    <w:p w14:paraId="49698594" w14:textId="77777777" w:rsidR="00523689" w:rsidRPr="00380B40" w:rsidRDefault="00523689" w:rsidP="00523689">
      <w:pPr>
        <w:rPr>
          <w:lang w:val="en-GB"/>
        </w:rPr>
      </w:pPr>
      <w:r w:rsidRPr="00380B40">
        <w:rPr>
          <w:lang w:val="en-GB"/>
        </w:rPr>
        <w:t>A proposal for a new work item can be initiated by a JTC 1 National Body, an SC, or a Category A Liaison. A standard format exists for a new work item proposal (NP). An NP is circulated for a three-month letter ballot at the JTC 1 level or, if initiated by a Subcommittee, a letter ballot at the Subcommittee level and a simultaneous comment period at the JTC 1 level. If approved, the NP is added to the JTC 1 program of work and assigned to an SC for development.</w:t>
      </w:r>
    </w:p>
    <w:p w14:paraId="70364E0A" w14:textId="77777777" w:rsidR="00523689" w:rsidRPr="00380B40" w:rsidRDefault="00523689" w:rsidP="00523689">
      <w:pPr>
        <w:rPr>
          <w:lang w:val="en-GB"/>
        </w:rPr>
      </w:pPr>
      <w:r w:rsidRPr="00380B40">
        <w:rPr>
          <w:lang w:val="en-GB"/>
        </w:rPr>
        <w:t>Working Drafts are texts being developed for an International Standard (IS), an amendment to an International Standard, a Technical Specification (TS) or a Technical Report (TR). When the work reaches a state of maturity as determined by the SC</w:t>
      </w:r>
      <w:r w:rsidR="00FD162E" w:rsidRPr="00380B40">
        <w:rPr>
          <w:rStyle w:val="FootnoteReference"/>
          <w:lang w:val="en-GB"/>
        </w:rPr>
        <w:footnoteReference w:id="73"/>
      </w:r>
      <w:r w:rsidRPr="00380B40">
        <w:rPr>
          <w:lang w:val="en-GB"/>
        </w:rPr>
        <w:t>, it is registered as a Committee Draft (CD), a Proposed Draft Amendment (PDAM), a Proposed Draft Technical Report (PDTR) or a Proposed Draft Technical Specification (PDTS). It is circulated for letter ballot at the SC level. The ballot period is normally three months but can be extended up to six months.</w:t>
      </w:r>
    </w:p>
    <w:p w14:paraId="6E5CB636" w14:textId="77777777" w:rsidR="00523689" w:rsidRPr="00380B40" w:rsidRDefault="00523689" w:rsidP="00523689">
      <w:pPr>
        <w:rPr>
          <w:lang w:val="en-GB"/>
        </w:rPr>
      </w:pPr>
      <w:r w:rsidRPr="00380B40">
        <w:rPr>
          <w:lang w:val="en-GB"/>
        </w:rPr>
        <w:t>The results of the ballot, including all comments, are distributed by the SC secretariat in a Summary of Voting document. All comments must be addressed. If the comments are straightforward, they may be addressed by the editor. In more complex situations, an editing meeting is held to resolve the comments. The editor then prepares the text and a Disposition of Comments report and forwards these to the SC secretariat. If the changes are substantive, a second CD, PDAM, or PDTR ballot is required. The same procedure described above is used for the ballot and to handle the ballot results.</w:t>
      </w:r>
    </w:p>
    <w:p w14:paraId="75C73B10" w14:textId="77777777" w:rsidR="00153048" w:rsidRPr="00380B40" w:rsidRDefault="00153048" w:rsidP="00523689">
      <w:pPr>
        <w:rPr>
          <w:lang w:val="en-GB"/>
        </w:rPr>
      </w:pPr>
      <w:r w:rsidRPr="00380B40">
        <w:rPr>
          <w:lang w:val="en-GB"/>
        </w:rPr>
        <w:br w:type="page"/>
      </w:r>
    </w:p>
    <w:p w14:paraId="7731C1FB" w14:textId="77777777" w:rsidR="003E1DE4" w:rsidRPr="00380B40" w:rsidRDefault="003E1DE4" w:rsidP="003E1DE4">
      <w:pPr>
        <w:pStyle w:val="Figure"/>
        <w:rPr>
          <w:lang w:val="en-GB"/>
        </w:rPr>
      </w:pPr>
      <w:r w:rsidRPr="00380B40">
        <w:rPr>
          <w:noProof/>
          <w:lang w:val="en-GB"/>
        </w:rPr>
        <w:drawing>
          <wp:inline distT="0" distB="0" distL="0" distR="0" wp14:anchorId="0E74B919" wp14:editId="7D1A2260">
            <wp:extent cx="4407535" cy="7449820"/>
            <wp:effectExtent l="0" t="0" r="0" b="0"/>
            <wp:docPr id="2" name="Picture 2" descr="Figure 3c – Final stages of the JTC 1 approval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c – Final stages of the JTC 1 approval process"/>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407535" cy="7449820"/>
                    </a:xfrm>
                    <a:prstGeom prst="rect">
                      <a:avLst/>
                    </a:prstGeom>
                    <a:noFill/>
                  </pic:spPr>
                </pic:pic>
              </a:graphicData>
            </a:graphic>
          </wp:inline>
        </w:drawing>
      </w:r>
    </w:p>
    <w:p w14:paraId="4E5A90BB" w14:textId="77777777" w:rsidR="00523689" w:rsidRPr="00380B40" w:rsidRDefault="00523689" w:rsidP="00FD3C79">
      <w:pPr>
        <w:pStyle w:val="FigureNoTitle1"/>
      </w:pPr>
      <w:r w:rsidRPr="00380B40">
        <w:t>Figure 3c – Final stages of the JTC 1 approval process</w:t>
      </w:r>
    </w:p>
    <w:p w14:paraId="036F3AF1" w14:textId="77777777" w:rsidR="004C79F2" w:rsidRPr="00380B40" w:rsidRDefault="004C79F2" w:rsidP="00523689">
      <w:pPr>
        <w:rPr>
          <w:lang w:val="en-GB"/>
        </w:rPr>
      </w:pPr>
    </w:p>
    <w:p w14:paraId="5D34DD55" w14:textId="77777777" w:rsidR="004C79F2" w:rsidRPr="00380B40" w:rsidRDefault="004C79F2" w:rsidP="00523689">
      <w:pPr>
        <w:rPr>
          <w:lang w:val="en-GB"/>
        </w:rPr>
      </w:pPr>
    </w:p>
    <w:p w14:paraId="501BDF0B" w14:textId="77777777" w:rsidR="004C79F2" w:rsidRPr="00380B40" w:rsidRDefault="004C79F2" w:rsidP="00523689">
      <w:pPr>
        <w:rPr>
          <w:lang w:val="en-GB"/>
        </w:rPr>
      </w:pPr>
      <w:r w:rsidRPr="00380B40">
        <w:rPr>
          <w:lang w:val="en-GB"/>
        </w:rPr>
        <w:br w:type="page"/>
      </w:r>
    </w:p>
    <w:p w14:paraId="584888AE" w14:textId="77777777" w:rsidR="00523689" w:rsidRPr="00380B40" w:rsidRDefault="00523689" w:rsidP="00523689">
      <w:pPr>
        <w:rPr>
          <w:lang w:val="en-GB"/>
        </w:rPr>
      </w:pPr>
      <w:r w:rsidRPr="00380B40">
        <w:rPr>
          <w:lang w:val="en-GB"/>
        </w:rPr>
        <w:t xml:space="preserve">When the Subcommittee considers the text to be stable and declares that the next ballot is intended to be the enquiry stage (DIS DAM, DTR or DTS ballot), the text is registered as a Draft International Standard (DIS), Draft Amendment (DAM), Draft Technical Report (DTR) or Draft Technical Specification (DTS). Following a two-month translation period, DISs and DAMs are circulated for a three-month letter ballot by ISO and IEC members. DTRs and DTSs are circulated for a three-month (can be extended to six months) letter ballot at the JTC 1 level. The results of the ballot, including all comments, are communicated to the SC secretariat who decides, together with the SC Chairman and the Editing group to either (if the ballot was successful) register the standard as FDIS (respectively as FDAM) or (if successful and no negative comments were received) proceed directly to publication or (if not approved) that a second DIS or DAM ballot is required. </w:t>
      </w:r>
    </w:p>
    <w:p w14:paraId="71B05353" w14:textId="77777777" w:rsidR="00523689" w:rsidRPr="00380B40" w:rsidRDefault="00523689" w:rsidP="00523689">
      <w:pPr>
        <w:rPr>
          <w:lang w:val="en-GB"/>
        </w:rPr>
      </w:pPr>
      <w:r w:rsidRPr="00380B40">
        <w:rPr>
          <w:lang w:val="en-GB"/>
        </w:rPr>
        <w:t>The same procedure as described above is used to process the ballot comments. When the text has been finalized, the editor sends it, along with the Disposition of Comments report, to the SC secretariat. The SC secretariat sends the text of the FDIS, or second DIS if so decided (or FDAM or second DAM if so decided) to the ITTF. Unless a second DIS (or a second DAM) is required the ITTF circulates the final text for a two-month letter ballot to National Bodies of ISO and IEC members. This is a "Yes/No" ballot. If the ballot is successful, the text will be promptly published (only obvious editorial corrections will be made in the publication). If unsuccessful, the text may be resubmitted as a CD, DIS or FDIS (respectively PDAM, DAM or FDAM), or published as Technical Specification. For Technical Reports or Technical Publications, no additional balloting is required and the SC secretariat sends the text to the ITTF for publication.</w:t>
      </w:r>
    </w:p>
    <w:p w14:paraId="1479885F" w14:textId="77777777" w:rsidR="00523689" w:rsidRPr="00380B40" w:rsidRDefault="00523689" w:rsidP="00523689">
      <w:pPr>
        <w:rPr>
          <w:lang w:val="en-GB"/>
        </w:rPr>
      </w:pPr>
      <w:r w:rsidRPr="00380B40">
        <w:rPr>
          <w:noProof/>
          <w:lang w:val="en-US" w:eastAsia="zh-CN"/>
        </w:rPr>
        <mc:AlternateContent>
          <mc:Choice Requires="wpi">
            <w:drawing>
              <wp:anchor distT="4294967293" distB="4294967293" distL="114297" distR="114297" simplePos="0" relativeHeight="251684864" behindDoc="0" locked="0" layoutInCell="1" allowOverlap="1" wp14:anchorId="6D19D7F0" wp14:editId="137E146A">
                <wp:simplePos x="0" y="0"/>
                <wp:positionH relativeFrom="column">
                  <wp:posOffset>225536759</wp:posOffset>
                </wp:positionH>
                <wp:positionV relativeFrom="paragraph">
                  <wp:posOffset>155407359</wp:posOffset>
                </wp:positionV>
                <wp:extent cx="0" cy="0"/>
                <wp:effectExtent l="0" t="0" r="0" b="0"/>
                <wp:wrapNone/>
                <wp:docPr id="20" name="Ink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5">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B15A5B0" id="Ink 5" o:spid="_x0000_s1026" type="#_x0000_t75" style="position:absolute;margin-left:17758.8pt;margin-top:12236.8pt;width:0;height:0;z-index:25168486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">
                <v:imagedata r:id="rId438" o:title=""/>
                <o:lock v:ext="edit" rotation="t" verticies="t" shapetype="t"/>
              </v:shape>
            </w:pict>
          </mc:Fallback>
        </mc:AlternateContent>
      </w:r>
      <w:r w:rsidRPr="00380B40">
        <w:rPr>
          <w:lang w:val="en-GB"/>
        </w:rPr>
        <w:t>Should the enquiry draft be successful without negative votes, the text may proceed directly to publication.</w:t>
      </w:r>
    </w:p>
    <w:p w14:paraId="157169AC" w14:textId="77777777" w:rsidR="00523689" w:rsidRPr="00380B40" w:rsidRDefault="00523689" w:rsidP="00523689">
      <w:pPr>
        <w:rPr>
          <w:lang w:val="en-GB"/>
        </w:rPr>
      </w:pPr>
      <w:r w:rsidRPr="00380B40">
        <w:rPr>
          <w:lang w:val="en-GB"/>
        </w:rPr>
        <w:t>Defects discovered after publication are handled by a formal defect report process. A special group of nominated experts reviews the material along with any proposed solution. The result of this process is a three month DCOR letter ballot at the SC level. Such defects are normally corrected by the publication of a Technical Corrigendum.</w:t>
      </w:r>
    </w:p>
    <w:p w14:paraId="3AEFB810" w14:textId="77777777" w:rsidR="00523689" w:rsidRPr="00380B40" w:rsidRDefault="00523689" w:rsidP="00523689">
      <w:pPr>
        <w:rPr>
          <w:lang w:val="en-GB"/>
        </w:rPr>
      </w:pPr>
      <w:r w:rsidRPr="00380B40">
        <w:rPr>
          <w:lang w:val="en-GB"/>
        </w:rPr>
        <w:t>All along the way, the WG and SC oversee the process. In many cases authorization to pass to the next step are contained in Resolutions formally approved at SC meetings.</w:t>
      </w:r>
    </w:p>
    <w:p w14:paraId="197509B8" w14:textId="77777777" w:rsidR="00523689" w:rsidRPr="00380B40" w:rsidRDefault="00523689" w:rsidP="00523689">
      <w:pPr>
        <w:pStyle w:val="Heading1"/>
        <w:rPr>
          <w:sz w:val="20"/>
          <w:lang w:val="en-GB"/>
        </w:rPr>
      </w:pPr>
      <w:bookmarkStart w:id="1398" w:name="_Toc382734824"/>
      <w:bookmarkStart w:id="1399" w:name="_Toc3708714"/>
      <w:bookmarkStart w:id="1400" w:name="_Toc229895863"/>
      <w:bookmarkStart w:id="1401" w:name="_Toc229896165"/>
      <w:bookmarkStart w:id="1402" w:name="_Toc398284232"/>
      <w:bookmarkStart w:id="1403" w:name="_Toc401035451"/>
      <w:bookmarkStart w:id="1404" w:name="_Toc401312705"/>
      <w:bookmarkStart w:id="1405" w:name="_Toc401313061"/>
      <w:bookmarkStart w:id="1406" w:name="_Toc111636980"/>
      <w:r w:rsidRPr="00380B40">
        <w:rPr>
          <w:lang w:val="en-GB"/>
        </w:rPr>
        <w:t>4</w:t>
      </w:r>
      <w:r w:rsidRPr="00380B40">
        <w:rPr>
          <w:lang w:val="en-GB"/>
        </w:rPr>
        <w:tab/>
        <w:t>Modes of cooperation</w:t>
      </w:r>
      <w:bookmarkEnd w:id="1398"/>
      <w:bookmarkEnd w:id="1399"/>
      <w:bookmarkEnd w:id="1400"/>
      <w:bookmarkEnd w:id="1401"/>
      <w:bookmarkEnd w:id="1402"/>
      <w:bookmarkEnd w:id="1403"/>
      <w:bookmarkEnd w:id="1404"/>
      <w:bookmarkEnd w:id="1405"/>
      <w:bookmarkEnd w:id="1406"/>
    </w:p>
    <w:p w14:paraId="3A028B65" w14:textId="77777777" w:rsidR="00523689" w:rsidRPr="00380B40" w:rsidRDefault="00523689" w:rsidP="00523689">
      <w:pPr>
        <w:pStyle w:val="Heading2"/>
        <w:rPr>
          <w:lang w:val="en-GB"/>
        </w:rPr>
      </w:pPr>
      <w:bookmarkStart w:id="1407" w:name="_Toc382734825"/>
      <w:bookmarkStart w:id="1408" w:name="_Toc3708715"/>
      <w:bookmarkStart w:id="1409" w:name="_Toc229895864"/>
      <w:bookmarkStart w:id="1410" w:name="_Toc229896166"/>
      <w:bookmarkStart w:id="1411" w:name="_Toc398284233"/>
      <w:bookmarkStart w:id="1412" w:name="_Toc401035452"/>
      <w:bookmarkStart w:id="1413" w:name="_Toc401312706"/>
      <w:bookmarkStart w:id="1414" w:name="_Toc401313062"/>
      <w:bookmarkStart w:id="1415" w:name="_Toc111636981"/>
      <w:r w:rsidRPr="00380B40">
        <w:rPr>
          <w:lang w:val="en-GB"/>
        </w:rPr>
        <w:t>4.1</w:t>
      </w:r>
      <w:r w:rsidRPr="00380B40">
        <w:rPr>
          <w:lang w:val="en-GB"/>
        </w:rPr>
        <w:tab/>
        <w:t>Introduction</w:t>
      </w:r>
      <w:bookmarkEnd w:id="1407"/>
      <w:bookmarkEnd w:id="1408"/>
      <w:bookmarkEnd w:id="1409"/>
      <w:bookmarkEnd w:id="1410"/>
      <w:bookmarkEnd w:id="1411"/>
      <w:bookmarkEnd w:id="1412"/>
      <w:bookmarkEnd w:id="1413"/>
      <w:bookmarkEnd w:id="1414"/>
      <w:bookmarkEnd w:id="1415"/>
    </w:p>
    <w:p w14:paraId="0EAA7A56" w14:textId="77777777" w:rsidR="00523689" w:rsidRPr="00380B40" w:rsidRDefault="00523689" w:rsidP="00523689">
      <w:pPr>
        <w:rPr>
          <w:lang w:val="en-GB"/>
        </w:rPr>
      </w:pPr>
      <w:r w:rsidRPr="00380B40">
        <w:rPr>
          <w:lang w:val="en-GB"/>
        </w:rPr>
        <w:t>Cooperation between the ITU-T and ISO/IEC JTC 1 spans many levels. The most basic, of course, is the recognition of the areas of work of the respective organizations.</w:t>
      </w:r>
    </w:p>
    <w:p w14:paraId="3D23E426" w14:textId="77777777" w:rsidR="00523689" w:rsidRPr="00380B40" w:rsidRDefault="00523689" w:rsidP="00523689">
      <w:pPr>
        <w:rPr>
          <w:lang w:val="en-GB"/>
        </w:rPr>
      </w:pPr>
      <w:r w:rsidRPr="00380B40">
        <w:rPr>
          <w:lang w:val="en-GB"/>
        </w:rPr>
        <w:t>The ITU-T, as one of the three Sectors of the International Telecommunication Union (ITU), has responsibilities for "studying technical, operating and tariff questions and adopting recommendations on them with a view to standardizing telecommunications on a worldwide basis."</w:t>
      </w:r>
      <w:r w:rsidR="00FD162E" w:rsidRPr="00380B40">
        <w:rPr>
          <w:rStyle w:val="FootnoteReference"/>
          <w:lang w:val="en-GB"/>
        </w:rPr>
        <w:footnoteReference w:id="74"/>
      </w:r>
      <w:r w:rsidRPr="00380B40">
        <w:rPr>
          <w:lang w:val="en-GB"/>
        </w:rPr>
        <w:t xml:space="preserve"> JTC 1, as a joint technical committee of ISO and IEC, has a scope of "standardization in the field of information technology."</w:t>
      </w:r>
      <w:r w:rsidR="00FD162E" w:rsidRPr="00380B40">
        <w:rPr>
          <w:rStyle w:val="FootnoteReference"/>
          <w:lang w:val="en-GB"/>
        </w:rPr>
        <w:footnoteReference w:id="75"/>
      </w:r>
    </w:p>
    <w:p w14:paraId="24F45468" w14:textId="77777777" w:rsidR="00617655" w:rsidRPr="00380B40" w:rsidRDefault="00617655" w:rsidP="00523689">
      <w:pPr>
        <w:rPr>
          <w:lang w:val="en-GB"/>
        </w:rPr>
      </w:pPr>
      <w:r w:rsidRPr="00380B40">
        <w:rPr>
          <w:lang w:val="en-GB"/>
        </w:rPr>
        <w:br w:type="page"/>
      </w:r>
    </w:p>
    <w:p w14:paraId="4C56E203" w14:textId="77777777" w:rsidR="00523689" w:rsidRPr="00380B40" w:rsidRDefault="00523689" w:rsidP="00523689">
      <w:pPr>
        <w:rPr>
          <w:lang w:val="en-GB"/>
        </w:rPr>
      </w:pPr>
      <w:r w:rsidRPr="00380B40">
        <w:rPr>
          <w:lang w:val="en-GB"/>
        </w:rPr>
        <w:t>By far, the vast majority of the work program of the ITU-T and the work program of JTC 1 is carried out separately with little, if any, need for cooperation between the organizations.</w:t>
      </w:r>
    </w:p>
    <w:p w14:paraId="3C296AD3" w14:textId="77777777" w:rsidR="00523689" w:rsidRPr="00380B40" w:rsidRDefault="00523689" w:rsidP="00523689">
      <w:pPr>
        <w:rPr>
          <w:lang w:val="en-GB"/>
        </w:rPr>
      </w:pPr>
      <w:r w:rsidRPr="00380B40">
        <w:rPr>
          <w:lang w:val="en-GB"/>
        </w:rPr>
        <w:t>For work programs where cooperation is desirable, appropriate arrangements exist between ISO, IEC and ITU-T to facilitate this cooperation. ISO and IEC each have a membership in the ITU-T as International Organizations. The ITU</w:t>
      </w:r>
      <w:r w:rsidRPr="00380B40">
        <w:rPr>
          <w:lang w:val="en-GB"/>
        </w:rPr>
        <w:noBreakHyphen/>
        <w:t>T participates in the work of JTC 1 as a Category A Liaison organization. Several modes of cooperation have been defined as described below.</w:t>
      </w:r>
    </w:p>
    <w:p w14:paraId="1BF40369" w14:textId="77777777" w:rsidR="00523689" w:rsidRPr="00380B40" w:rsidRDefault="00523689" w:rsidP="00523689">
      <w:pPr>
        <w:pStyle w:val="Heading2"/>
        <w:rPr>
          <w:lang w:val="en-GB"/>
        </w:rPr>
      </w:pPr>
      <w:bookmarkStart w:id="1416" w:name="_Toc382734826"/>
      <w:bookmarkStart w:id="1417" w:name="_Toc3708716"/>
      <w:bookmarkStart w:id="1418" w:name="_Toc229895865"/>
      <w:bookmarkStart w:id="1419" w:name="_Toc229896167"/>
      <w:bookmarkStart w:id="1420" w:name="_Toc398284234"/>
      <w:bookmarkStart w:id="1421" w:name="_Toc401035453"/>
      <w:bookmarkStart w:id="1422" w:name="_Toc401312707"/>
      <w:bookmarkStart w:id="1423" w:name="_Toc401313063"/>
      <w:bookmarkStart w:id="1424" w:name="_Toc111636982"/>
      <w:r w:rsidRPr="00380B40">
        <w:rPr>
          <w:lang w:val="en-GB"/>
        </w:rPr>
        <w:t>4.2</w:t>
      </w:r>
      <w:r w:rsidRPr="00380B40">
        <w:rPr>
          <w:lang w:val="en-GB"/>
        </w:rPr>
        <w:tab/>
        <w:t>Liaison mode</w:t>
      </w:r>
      <w:bookmarkEnd w:id="1416"/>
      <w:bookmarkEnd w:id="1417"/>
      <w:bookmarkEnd w:id="1418"/>
      <w:bookmarkEnd w:id="1419"/>
      <w:bookmarkEnd w:id="1420"/>
      <w:bookmarkEnd w:id="1421"/>
      <w:bookmarkEnd w:id="1422"/>
      <w:bookmarkEnd w:id="1423"/>
      <w:bookmarkEnd w:id="1424"/>
    </w:p>
    <w:p w14:paraId="7B33960D" w14:textId="77777777" w:rsidR="00523689" w:rsidRPr="00380B40" w:rsidRDefault="00523689" w:rsidP="00523689">
      <w:pPr>
        <w:rPr>
          <w:lang w:val="en-GB"/>
        </w:rPr>
      </w:pPr>
      <w:r w:rsidRPr="00380B40">
        <w:rPr>
          <w:lang w:val="en-GB"/>
        </w:rPr>
        <w:t>Where there is interest in both organizations in an area of work but the prime responsibility falls to one of the two organizations, the liaison approach to cooperation is well suited. In this situation, the work is carried out in one organization and the other organization participates, as appropriate, using its liaison status. The result is published by one organization and is referenced, as needed, by the other organization.</w:t>
      </w:r>
    </w:p>
    <w:p w14:paraId="051078CC" w14:textId="77777777" w:rsidR="00523689" w:rsidRPr="00380B40" w:rsidRDefault="00523689" w:rsidP="00523689">
      <w:pPr>
        <w:rPr>
          <w:lang w:val="en-GB"/>
        </w:rPr>
      </w:pPr>
      <w:r w:rsidRPr="00380B40">
        <w:rPr>
          <w:lang w:val="en-GB"/>
        </w:rPr>
        <w:t>In some situations of common interest, it may be appropriate to reach an agreement that would allocate the standardization of a particular area of work to one organization. One example where this has been done successfully is the interface between a data terminal and a modem. The agreement reached is that the ITU-T will standardize the electrical characteristics and functions of the interchange circuits and JTC 1 will standardize the interface connector and pin assignments. The necessary cooperation is achieved through liaison.</w:t>
      </w:r>
    </w:p>
    <w:p w14:paraId="63F6D830" w14:textId="77777777" w:rsidR="00523689" w:rsidRPr="00380B40" w:rsidRDefault="00523689" w:rsidP="00523689">
      <w:pPr>
        <w:rPr>
          <w:lang w:val="en-GB"/>
        </w:rPr>
      </w:pPr>
      <w:r w:rsidRPr="00380B40">
        <w:rPr>
          <w:lang w:val="en-GB"/>
        </w:rPr>
        <w:t>Clause 6 details the liaison procedures.</w:t>
      </w:r>
    </w:p>
    <w:p w14:paraId="0FD09E7B" w14:textId="77777777" w:rsidR="00523689" w:rsidRPr="00380B40" w:rsidRDefault="00523689" w:rsidP="00523689">
      <w:pPr>
        <w:pStyle w:val="Heading2"/>
        <w:rPr>
          <w:lang w:val="en-GB"/>
        </w:rPr>
      </w:pPr>
      <w:bookmarkStart w:id="1425" w:name="_Toc382734827"/>
      <w:bookmarkStart w:id="1426" w:name="_Toc3708717"/>
      <w:bookmarkStart w:id="1427" w:name="_Toc229895866"/>
      <w:bookmarkStart w:id="1428" w:name="_Toc229896168"/>
      <w:bookmarkStart w:id="1429" w:name="_Toc398284235"/>
      <w:bookmarkStart w:id="1430" w:name="_Toc401035454"/>
      <w:bookmarkStart w:id="1431" w:name="_Toc401312708"/>
      <w:bookmarkStart w:id="1432" w:name="_Toc401313064"/>
      <w:bookmarkStart w:id="1433" w:name="_Toc111636983"/>
      <w:r w:rsidRPr="00380B40">
        <w:rPr>
          <w:lang w:val="en-GB"/>
        </w:rPr>
        <w:t>4.3</w:t>
      </w:r>
      <w:r w:rsidRPr="00380B40">
        <w:rPr>
          <w:lang w:val="en-GB"/>
        </w:rPr>
        <w:tab/>
        <w:t>Collaboration mode</w:t>
      </w:r>
      <w:bookmarkEnd w:id="1425"/>
      <w:bookmarkEnd w:id="1426"/>
      <w:bookmarkEnd w:id="1427"/>
      <w:bookmarkEnd w:id="1428"/>
      <w:bookmarkEnd w:id="1429"/>
      <w:bookmarkEnd w:id="1430"/>
      <w:bookmarkEnd w:id="1431"/>
      <w:bookmarkEnd w:id="1432"/>
      <w:bookmarkEnd w:id="1433"/>
    </w:p>
    <w:p w14:paraId="515C7D85" w14:textId="77777777" w:rsidR="00523689" w:rsidRPr="00380B40" w:rsidRDefault="00523689" w:rsidP="00523689">
      <w:pPr>
        <w:rPr>
          <w:lang w:val="en-GB"/>
        </w:rPr>
      </w:pPr>
      <w:r w:rsidRPr="00380B40">
        <w:rPr>
          <w:lang w:val="en-GB"/>
        </w:rPr>
        <w:t>Where, for a given area of work, each organization plans to develop a Recommendation or International Standard, it may be best to mutually build consensus through collaboration. In this situation, meetings are held at the working level to develop common text, which is then approved using the normal approval process of each organization. The result is published as a Recommendation and an International Standard (or as a Supplement and a Technical Report).</w:t>
      </w:r>
    </w:p>
    <w:p w14:paraId="644830EE" w14:textId="77777777" w:rsidR="00523689" w:rsidRPr="00380B40" w:rsidRDefault="00523689" w:rsidP="00523689">
      <w:pPr>
        <w:rPr>
          <w:lang w:val="en-GB"/>
        </w:rPr>
      </w:pPr>
      <w:r w:rsidRPr="00380B40">
        <w:rPr>
          <w:lang w:val="en-GB"/>
        </w:rPr>
        <w:t>Collaboration can be carried out in one of two ways: by means of Collaborative Interchange or by means of a Collaborative Team.</w:t>
      </w:r>
    </w:p>
    <w:p w14:paraId="4089FD97" w14:textId="77777777" w:rsidR="00523689" w:rsidRPr="00380B40" w:rsidRDefault="00523689" w:rsidP="00523689">
      <w:pPr>
        <w:rPr>
          <w:lang w:val="en-GB"/>
        </w:rPr>
      </w:pPr>
      <w:r w:rsidRPr="00380B40">
        <w:rPr>
          <w:lang w:val="en-GB"/>
        </w:rPr>
        <w:t>Collaboration by means of Collaborative Interchange is suited for situations where the work to be carried out is straight-forward and relatively non-controversial, and where there is sufficient common participation in the meetings of the two organizations to make the interchange highly effective. The work on resolving issues and developing common text is continually progressed in the successive meetings of the two groups. Synchronization of the normal approval processes of both the ITU-T and JTC 1 is used leading to publication.</w:t>
      </w:r>
    </w:p>
    <w:p w14:paraId="08D26F9D" w14:textId="77777777" w:rsidR="00523689" w:rsidRPr="00380B40" w:rsidRDefault="00523689" w:rsidP="00523689">
      <w:pPr>
        <w:rPr>
          <w:lang w:val="en-GB"/>
        </w:rPr>
      </w:pPr>
      <w:r w:rsidRPr="00380B40">
        <w:rPr>
          <w:lang w:val="en-GB"/>
        </w:rPr>
        <w:t>Clause 7 details the collaboration procedures when Collaborative Interchange is used.</w:t>
      </w:r>
    </w:p>
    <w:p w14:paraId="0C1080C7" w14:textId="77777777" w:rsidR="00617655" w:rsidRPr="00380B40" w:rsidRDefault="00617655" w:rsidP="00523689">
      <w:pPr>
        <w:rPr>
          <w:lang w:val="en-GB"/>
        </w:rPr>
      </w:pPr>
      <w:r w:rsidRPr="00380B40">
        <w:rPr>
          <w:lang w:val="en-GB"/>
        </w:rPr>
        <w:br w:type="page"/>
      </w:r>
    </w:p>
    <w:p w14:paraId="7029023F" w14:textId="77777777" w:rsidR="00523689" w:rsidRPr="00380B40" w:rsidRDefault="00523689" w:rsidP="00523689">
      <w:pPr>
        <w:rPr>
          <w:lang w:val="en-GB"/>
        </w:rPr>
      </w:pPr>
      <w:r w:rsidRPr="00380B40">
        <w:rPr>
          <w:lang w:val="en-GB"/>
        </w:rPr>
        <w:t>Collaboration by means of a Collaborative Team is well suited for situations where extended dialog is necessary to develop solutions and reach consensus. In this situation, all interested parties participate together in a Collaborative Team to mutually progress the work, resolve issues, and develop common text. Synchronization of the normal approval processes of both the ITU-T and JTC 1 is used leading to publication.</w:t>
      </w:r>
    </w:p>
    <w:p w14:paraId="70480E50" w14:textId="77777777" w:rsidR="00523689" w:rsidRPr="00380B40" w:rsidRDefault="00523689" w:rsidP="00523689">
      <w:pPr>
        <w:rPr>
          <w:lang w:val="en-GB"/>
        </w:rPr>
      </w:pPr>
      <w:r w:rsidRPr="00380B40">
        <w:rPr>
          <w:lang w:val="en-GB"/>
        </w:rPr>
        <w:t>Clause 8 details the collaboration procedures when a Collaborative Team is established.</w:t>
      </w:r>
    </w:p>
    <w:p w14:paraId="175A14C4" w14:textId="77777777" w:rsidR="00523689" w:rsidRPr="00380B40" w:rsidRDefault="00523689" w:rsidP="00523689">
      <w:pPr>
        <w:rPr>
          <w:lang w:val="en-GB"/>
        </w:rPr>
      </w:pPr>
      <w:r w:rsidRPr="00380B40">
        <w:rPr>
          <w:lang w:val="en-GB"/>
        </w:rPr>
        <w:t>When appropriate, the collaboration mode can also be used to produce twin text.</w:t>
      </w:r>
    </w:p>
    <w:p w14:paraId="75DB66DC" w14:textId="77777777" w:rsidR="00523689" w:rsidRPr="00380B40" w:rsidRDefault="00523689" w:rsidP="00523689">
      <w:pPr>
        <w:rPr>
          <w:lang w:val="en-GB"/>
        </w:rPr>
      </w:pPr>
      <w:r w:rsidRPr="00380B40">
        <w:rPr>
          <w:lang w:val="en-GB"/>
        </w:rPr>
        <w:t>Collaboration at the international level will be greatly facilitated by effective coordination between ITU-T and JTC 1 delegates at the national level. The true basis of cooperation is dependent upon open sharing of information and the good will of all parties involved.</w:t>
      </w:r>
    </w:p>
    <w:p w14:paraId="7D0606F2" w14:textId="77777777" w:rsidR="00523689" w:rsidRPr="00380B40" w:rsidRDefault="00523689" w:rsidP="00523689">
      <w:pPr>
        <w:pStyle w:val="Heading2"/>
        <w:rPr>
          <w:lang w:val="en-GB"/>
        </w:rPr>
      </w:pPr>
      <w:bookmarkStart w:id="1434" w:name="_Toc382734828"/>
      <w:bookmarkStart w:id="1435" w:name="_Toc3708718"/>
      <w:bookmarkStart w:id="1436" w:name="_Toc229895867"/>
      <w:bookmarkStart w:id="1437" w:name="_Toc229896169"/>
      <w:bookmarkStart w:id="1438" w:name="_Toc398284236"/>
      <w:bookmarkStart w:id="1439" w:name="_Toc401035455"/>
      <w:bookmarkStart w:id="1440" w:name="_Toc401312709"/>
      <w:bookmarkStart w:id="1441" w:name="_Toc401313065"/>
      <w:bookmarkStart w:id="1442" w:name="_Toc111636984"/>
      <w:r w:rsidRPr="00380B40">
        <w:rPr>
          <w:lang w:val="en-GB"/>
        </w:rPr>
        <w:t>4.4</w:t>
      </w:r>
      <w:r w:rsidRPr="00380B40">
        <w:rPr>
          <w:lang w:val="en-GB"/>
        </w:rPr>
        <w:tab/>
        <w:t>Determining the mode of cooperation</w:t>
      </w:r>
      <w:bookmarkEnd w:id="1434"/>
      <w:bookmarkEnd w:id="1435"/>
      <w:bookmarkEnd w:id="1436"/>
      <w:bookmarkEnd w:id="1437"/>
      <w:bookmarkEnd w:id="1438"/>
      <w:bookmarkEnd w:id="1439"/>
      <w:bookmarkEnd w:id="1440"/>
      <w:bookmarkEnd w:id="1441"/>
      <w:bookmarkEnd w:id="1442"/>
    </w:p>
    <w:p w14:paraId="6B456A06" w14:textId="77777777" w:rsidR="00523689" w:rsidRPr="00380B40" w:rsidRDefault="00523689" w:rsidP="00523689">
      <w:pPr>
        <w:rPr>
          <w:lang w:val="en-GB"/>
        </w:rPr>
      </w:pPr>
      <w:r w:rsidRPr="00380B40">
        <w:rPr>
          <w:lang w:val="en-GB"/>
        </w:rPr>
        <w:t>Figure 4 summarizes for a specific item of work the various relationships that could exist between the ITU-T and JTC 1.</w:t>
      </w:r>
    </w:p>
    <w:p w14:paraId="6101489C" w14:textId="77777777" w:rsidR="00523689" w:rsidRPr="00380B40" w:rsidRDefault="00523689" w:rsidP="00523689">
      <w:pPr>
        <w:rPr>
          <w:lang w:val="en-GB"/>
        </w:rPr>
      </w:pPr>
      <w:r w:rsidRPr="00380B40">
        <w:rPr>
          <w:lang w:val="en-GB"/>
        </w:rPr>
        <w:t>The vast majority of the work programs of the ITU-T and JTC 1 are significantly separate so that they can be successfully carried out with little, if any, intercommunication.</w:t>
      </w:r>
    </w:p>
    <w:p w14:paraId="094B8030" w14:textId="77777777" w:rsidR="00523689" w:rsidRPr="00380B40" w:rsidRDefault="00523689" w:rsidP="00523689">
      <w:pPr>
        <w:rPr>
          <w:lang w:val="en-GB"/>
        </w:rPr>
      </w:pPr>
      <w:r w:rsidRPr="00380B40">
        <w:rPr>
          <w:lang w:val="en-GB"/>
        </w:rPr>
        <w:t>Agreement for cooperation must be mutually recognized to be successful. Therefore, operation in the liaison mode or in one of the two collaboration modes for a given area of work must be an agreed decision of both organizations. This agreement is to be confirmed at the SG/SC level.</w:t>
      </w:r>
    </w:p>
    <w:p w14:paraId="30815A0D" w14:textId="77777777" w:rsidR="00523689" w:rsidRPr="00380B40" w:rsidRDefault="00523689" w:rsidP="00523689">
      <w:pPr>
        <w:rPr>
          <w:lang w:val="en-GB"/>
        </w:rPr>
      </w:pPr>
      <w:r w:rsidRPr="00380B40">
        <w:rPr>
          <w:lang w:val="en-GB"/>
        </w:rPr>
        <w:t>To maximize the effectiveness of resources and minimize duplication of effort, SGs and SCs should identify areas for collaborative work as early as possible in the development process. Normally as part of the development of a new work item proposal in JTC 1 and the development of a new or revised Question in the ITU-T, consideration is given to the need for interactions with other standards groups. If enough information is available at this stage, then, if appropriate, either the liaison mode or one of the collaboration modes can be proposed and agreement of the other organization sought.</w:t>
      </w:r>
    </w:p>
    <w:p w14:paraId="6D68696E" w14:textId="77777777" w:rsidR="00523689" w:rsidRPr="00380B40" w:rsidRDefault="00523689" w:rsidP="00523689">
      <w:pPr>
        <w:rPr>
          <w:lang w:val="en-GB"/>
        </w:rPr>
      </w:pPr>
      <w:r w:rsidRPr="00380B40">
        <w:rPr>
          <w:lang w:val="en-GB"/>
        </w:rPr>
        <w:t>It is possible for the mode of cooperation to change as the work progresses. For example, work could be initiated in one organization and, as a result of liaison, it could become recognized as integrally important to the other organization. At this point, agreement could be reached to advance all future work in a collaborative mode.</w:t>
      </w:r>
    </w:p>
    <w:p w14:paraId="59A19074" w14:textId="77777777" w:rsidR="00523689" w:rsidRPr="00380B40" w:rsidRDefault="00523689" w:rsidP="00523689">
      <w:pPr>
        <w:rPr>
          <w:lang w:val="en-GB"/>
        </w:rPr>
      </w:pPr>
      <w:r w:rsidRPr="00380B40">
        <w:rPr>
          <w:lang w:val="en-GB"/>
        </w:rPr>
        <w:t>To facilitate overall cooperation, each Study Group should maintain a listing that identifies the Questions that are being studied in cooperation with JTC 1 and, for each Question, denotes both the mode of cooperation and the relevant JTC 1 project(s). Similarly, each JTC 1 SC should maintain a listing that identifies the projects that are being studied in cooperation with the ITU-T and, for each project, denotes both the mode of cooperation and the relevant ITU</w:t>
      </w:r>
      <w:r w:rsidRPr="00380B40">
        <w:rPr>
          <w:lang w:val="en-GB"/>
        </w:rPr>
        <w:noBreakHyphen/>
        <w:t>T Question(s).</w:t>
      </w:r>
    </w:p>
    <w:p w14:paraId="262F96C5" w14:textId="77777777" w:rsidR="004C79F2" w:rsidRPr="00380B40" w:rsidRDefault="004C79F2" w:rsidP="00523689">
      <w:pPr>
        <w:rPr>
          <w:lang w:val="en-GB"/>
        </w:rPr>
      </w:pPr>
    </w:p>
    <w:p w14:paraId="0AB7DB3C" w14:textId="77777777" w:rsidR="00617655" w:rsidRPr="00380B40" w:rsidRDefault="00617655" w:rsidP="00523689">
      <w:pPr>
        <w:rPr>
          <w:lang w:val="en-GB"/>
        </w:rPr>
      </w:pPr>
    </w:p>
    <w:p w14:paraId="4A625434" w14:textId="77777777" w:rsidR="00617655" w:rsidRPr="00380B40" w:rsidRDefault="00617655" w:rsidP="00523689">
      <w:pPr>
        <w:rPr>
          <w:lang w:val="en-GB"/>
        </w:rPr>
      </w:pPr>
    </w:p>
    <w:p w14:paraId="39452CB4" w14:textId="77777777" w:rsidR="00617655" w:rsidRPr="00380B40" w:rsidRDefault="00617655" w:rsidP="00523689">
      <w:pPr>
        <w:rPr>
          <w:lang w:val="en-GB"/>
        </w:rPr>
      </w:pPr>
    </w:p>
    <w:p w14:paraId="2DD0B8C1" w14:textId="77777777" w:rsidR="00523689" w:rsidRPr="00380B40" w:rsidRDefault="00523689" w:rsidP="00523689">
      <w:pPr>
        <w:pStyle w:val="Figure"/>
        <w:rPr>
          <w:lang w:val="en-GB"/>
        </w:rPr>
      </w:pPr>
      <w:r w:rsidRPr="00380B40">
        <w:rPr>
          <w:noProof/>
          <w:lang w:val="en-US" w:eastAsia="zh-CN"/>
        </w:rPr>
        <w:drawing>
          <wp:inline distT="0" distB="0" distL="0" distR="0" wp14:anchorId="66E1F4A8" wp14:editId="4D3B388B">
            <wp:extent cx="3418840" cy="2369185"/>
            <wp:effectExtent l="0" t="0" r="0" b="0"/>
            <wp:docPr id="31" name="Picture 31" descr="Figure 4 – Possible working relationships between ITU-T and JT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4 – Possible working relationships between ITU-T and JTC 1"/>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418840" cy="2369185"/>
                    </a:xfrm>
                    <a:prstGeom prst="rect">
                      <a:avLst/>
                    </a:prstGeom>
                    <a:noFill/>
                    <a:ln>
                      <a:noFill/>
                    </a:ln>
                  </pic:spPr>
                </pic:pic>
              </a:graphicData>
            </a:graphic>
          </wp:inline>
        </w:drawing>
      </w:r>
    </w:p>
    <w:p w14:paraId="0146BA01" w14:textId="77777777" w:rsidR="00523689" w:rsidRPr="00380B40" w:rsidRDefault="00523689" w:rsidP="00FD3C79">
      <w:pPr>
        <w:pStyle w:val="FigureNoTitle1"/>
      </w:pPr>
      <w:r w:rsidRPr="00380B40">
        <w:t>Figure 4 – Possible working relationships between ITU-T and JTC 1</w:t>
      </w:r>
    </w:p>
    <w:p w14:paraId="115A62ED" w14:textId="77777777" w:rsidR="00523689" w:rsidRPr="00380B40" w:rsidRDefault="00523689" w:rsidP="00523689">
      <w:pPr>
        <w:pStyle w:val="Heading2"/>
        <w:rPr>
          <w:lang w:val="en-GB"/>
        </w:rPr>
      </w:pPr>
      <w:bookmarkStart w:id="1443" w:name="_Toc382734829"/>
      <w:bookmarkStart w:id="1444" w:name="_Toc3708719"/>
      <w:bookmarkStart w:id="1445" w:name="_Toc229895868"/>
      <w:bookmarkStart w:id="1446" w:name="_Toc229896170"/>
      <w:bookmarkStart w:id="1447" w:name="_Toc398284237"/>
      <w:bookmarkStart w:id="1448" w:name="_Toc401035456"/>
      <w:bookmarkStart w:id="1449" w:name="_Toc401312710"/>
      <w:bookmarkStart w:id="1450" w:name="_Toc401313066"/>
      <w:bookmarkStart w:id="1451" w:name="_Toc111636985"/>
      <w:r w:rsidRPr="00380B40">
        <w:rPr>
          <w:lang w:val="en-GB"/>
        </w:rPr>
        <w:t>4.5</w:t>
      </w:r>
      <w:r w:rsidRPr="00380B40">
        <w:rPr>
          <w:lang w:val="en-GB"/>
        </w:rPr>
        <w:tab/>
        <w:t>Termination of collaboration and/or common text publication</w:t>
      </w:r>
      <w:bookmarkEnd w:id="1443"/>
      <w:bookmarkEnd w:id="1444"/>
      <w:bookmarkEnd w:id="1445"/>
      <w:bookmarkEnd w:id="1446"/>
      <w:bookmarkEnd w:id="1447"/>
      <w:bookmarkEnd w:id="1448"/>
      <w:bookmarkEnd w:id="1449"/>
      <w:bookmarkEnd w:id="1450"/>
      <w:bookmarkEnd w:id="1451"/>
    </w:p>
    <w:p w14:paraId="5391D82B" w14:textId="77777777" w:rsidR="00523689" w:rsidRPr="00380B40" w:rsidRDefault="00523689" w:rsidP="00523689">
      <w:pPr>
        <w:rPr>
          <w:lang w:val="en-GB"/>
        </w:rPr>
      </w:pPr>
      <w:r w:rsidRPr="00380B40">
        <w:rPr>
          <w:lang w:val="en-GB"/>
        </w:rPr>
        <w:t>As stated in 4.4, a collaborative relationship for a given area of work requires the agreement of both the SC and the SG to be initiated. It continues as long as both organizations feel collaboration is beneficial. In the unusual event that either organization feels that collaboration for a given area of work should be terminated, this situation shall be immediately discussed with the other organization. If satisfactory resolution cannot be obtained, then collaboration for the given area of work can be terminated at any time by either the SC or the SG. If termination should occur, both organizations can make use of the prior collaborative work.</w:t>
      </w:r>
    </w:p>
    <w:p w14:paraId="1D1EC633" w14:textId="77777777" w:rsidR="00523689" w:rsidRPr="00380B40" w:rsidRDefault="00523689" w:rsidP="00523689">
      <w:pPr>
        <w:rPr>
          <w:lang w:val="en-GB"/>
        </w:rPr>
      </w:pPr>
      <w:r w:rsidRPr="00380B40">
        <w:rPr>
          <w:lang w:val="en-GB"/>
        </w:rPr>
        <w:t>Similarly, if an unusual circumstance should arise to indicate that publication of a collaborative Recommendation | International Standard in common text format is no longer desirable (e.g., because of substantial differences in content), this situation should be immediately discussed with the other organization. If after the consultation either organization determines that common text publication is not appropriate, then each organization can publish separately using its own publication format.</w:t>
      </w:r>
    </w:p>
    <w:p w14:paraId="40A642C8" w14:textId="77777777" w:rsidR="00523689" w:rsidRPr="00380B40" w:rsidRDefault="00523689" w:rsidP="00523689">
      <w:pPr>
        <w:pStyle w:val="Heading1"/>
        <w:rPr>
          <w:sz w:val="20"/>
          <w:lang w:val="en-GB"/>
        </w:rPr>
      </w:pPr>
      <w:bookmarkStart w:id="1452" w:name="_Toc382734830"/>
      <w:bookmarkStart w:id="1453" w:name="_Toc3708720"/>
      <w:bookmarkStart w:id="1454" w:name="_Toc229895869"/>
      <w:bookmarkStart w:id="1455" w:name="_Toc229896171"/>
      <w:bookmarkStart w:id="1456" w:name="_Toc398284238"/>
      <w:bookmarkStart w:id="1457" w:name="_Toc401035457"/>
      <w:bookmarkStart w:id="1458" w:name="_Toc401312711"/>
      <w:bookmarkStart w:id="1459" w:name="_Toc401313067"/>
      <w:bookmarkStart w:id="1460" w:name="_Toc111636986"/>
      <w:r w:rsidRPr="00380B40">
        <w:rPr>
          <w:lang w:val="en-GB"/>
        </w:rPr>
        <w:t>5</w:t>
      </w:r>
      <w:r w:rsidRPr="00380B40">
        <w:rPr>
          <w:lang w:val="en-GB"/>
        </w:rPr>
        <w:tab/>
        <w:t>Planning and scheduling</w:t>
      </w:r>
      <w:bookmarkEnd w:id="1452"/>
      <w:bookmarkEnd w:id="1453"/>
      <w:bookmarkEnd w:id="1454"/>
      <w:bookmarkEnd w:id="1455"/>
      <w:bookmarkEnd w:id="1456"/>
      <w:bookmarkEnd w:id="1457"/>
      <w:bookmarkEnd w:id="1458"/>
      <w:bookmarkEnd w:id="1459"/>
      <w:bookmarkEnd w:id="1460"/>
    </w:p>
    <w:p w14:paraId="455CCB99" w14:textId="77777777" w:rsidR="00523689" w:rsidRPr="00380B40" w:rsidRDefault="00523689" w:rsidP="00523689">
      <w:pPr>
        <w:rPr>
          <w:lang w:val="en-GB"/>
        </w:rPr>
      </w:pPr>
      <w:r w:rsidRPr="00380B40">
        <w:rPr>
          <w:lang w:val="en-GB"/>
        </w:rPr>
        <w:t>Both the ITU-T and JTC 1 have their own multi-year planning activities. Interactions between these planning activities will facilitate effective ITU-T/JTC 1 cooperation.</w:t>
      </w:r>
    </w:p>
    <w:p w14:paraId="13FB775D" w14:textId="77777777" w:rsidR="00523689" w:rsidRPr="00380B40" w:rsidRDefault="00523689" w:rsidP="00523689">
      <w:pPr>
        <w:pStyle w:val="Heading2"/>
        <w:rPr>
          <w:lang w:val="en-GB"/>
        </w:rPr>
      </w:pPr>
      <w:bookmarkStart w:id="1461" w:name="_Toc382734831"/>
      <w:bookmarkStart w:id="1462" w:name="_Toc3708721"/>
      <w:bookmarkStart w:id="1463" w:name="_Toc229895870"/>
      <w:bookmarkStart w:id="1464" w:name="_Toc229896172"/>
      <w:bookmarkStart w:id="1465" w:name="_Toc398284239"/>
      <w:bookmarkStart w:id="1466" w:name="_Toc401035458"/>
      <w:bookmarkStart w:id="1467" w:name="_Toc401312712"/>
      <w:bookmarkStart w:id="1468" w:name="_Toc401313068"/>
      <w:bookmarkStart w:id="1469" w:name="_Toc111636987"/>
      <w:r w:rsidRPr="00380B40">
        <w:rPr>
          <w:lang w:val="en-GB"/>
        </w:rPr>
        <w:t>5.1</w:t>
      </w:r>
      <w:r w:rsidRPr="00380B40">
        <w:rPr>
          <w:lang w:val="en-GB"/>
        </w:rPr>
        <w:tab/>
        <w:t>Scheduling of SG/WP and SC/WG meetings</w:t>
      </w:r>
      <w:bookmarkEnd w:id="1461"/>
      <w:bookmarkEnd w:id="1462"/>
      <w:bookmarkEnd w:id="1463"/>
      <w:bookmarkEnd w:id="1464"/>
      <w:bookmarkEnd w:id="1465"/>
      <w:bookmarkEnd w:id="1466"/>
      <w:bookmarkEnd w:id="1467"/>
      <w:bookmarkEnd w:id="1468"/>
      <w:bookmarkEnd w:id="1469"/>
    </w:p>
    <w:p w14:paraId="311EE8E7" w14:textId="77777777" w:rsidR="00523689" w:rsidRPr="00380B40" w:rsidRDefault="00523689" w:rsidP="00523689">
      <w:pPr>
        <w:rPr>
          <w:lang w:val="en-GB"/>
        </w:rPr>
      </w:pPr>
      <w:r w:rsidRPr="00380B40">
        <w:rPr>
          <w:lang w:val="en-GB"/>
        </w:rPr>
        <w:t>Schedules for ITU-T Study Group and Working Party meetings are established one to two years ahead and are quite difficult to change. Meetings of JTC 1 Subcommittees and Working Groups are typically scheduled two years in advance and are also quite difficult to change.</w:t>
      </w:r>
    </w:p>
    <w:p w14:paraId="09D9AFA7" w14:textId="77777777" w:rsidR="001179D4" w:rsidRPr="00380B40" w:rsidRDefault="001179D4" w:rsidP="00523689">
      <w:pPr>
        <w:rPr>
          <w:lang w:val="en-GB"/>
        </w:rPr>
      </w:pPr>
    </w:p>
    <w:p w14:paraId="7F3442F3" w14:textId="77777777" w:rsidR="001179D4" w:rsidRPr="00380B40" w:rsidRDefault="001179D4" w:rsidP="00523689">
      <w:pPr>
        <w:rPr>
          <w:lang w:val="en-GB"/>
        </w:rPr>
      </w:pPr>
      <w:r w:rsidRPr="00380B40">
        <w:rPr>
          <w:lang w:val="en-GB"/>
        </w:rPr>
        <w:br w:type="page"/>
      </w:r>
    </w:p>
    <w:p w14:paraId="12F967B4" w14:textId="77777777" w:rsidR="00523689" w:rsidRPr="00380B40" w:rsidRDefault="00523689" w:rsidP="00523689">
      <w:pPr>
        <w:rPr>
          <w:lang w:val="en-GB"/>
        </w:rPr>
      </w:pPr>
      <w:r w:rsidRPr="00380B40">
        <w:rPr>
          <w:lang w:val="en-GB"/>
        </w:rPr>
        <w:t>Where collaborative arrangements have been established, the ITU-T SG secretariats and the JTC 1 SC secretariats are responsible for keeping each other informed of meeting schedules. In particular, the SG and SC secretariats should consult each other before firming up their respective SG/WP and SC/WG meeting dates to avoid conflicts that would adversely affect cooperation.</w:t>
      </w:r>
    </w:p>
    <w:p w14:paraId="050C2EF3" w14:textId="77777777" w:rsidR="00523689" w:rsidRPr="00380B40" w:rsidRDefault="00523689" w:rsidP="00523689">
      <w:pPr>
        <w:pStyle w:val="Heading2"/>
        <w:rPr>
          <w:lang w:val="en-GB"/>
        </w:rPr>
      </w:pPr>
      <w:bookmarkStart w:id="1470" w:name="_Toc382734832"/>
      <w:bookmarkStart w:id="1471" w:name="_Toc3708722"/>
      <w:bookmarkStart w:id="1472" w:name="_Toc229895871"/>
      <w:bookmarkStart w:id="1473" w:name="_Toc229896173"/>
      <w:bookmarkStart w:id="1474" w:name="_Toc398284240"/>
      <w:bookmarkStart w:id="1475" w:name="_Toc401035459"/>
      <w:bookmarkStart w:id="1476" w:name="_Toc401312713"/>
      <w:bookmarkStart w:id="1477" w:name="_Toc401313069"/>
      <w:bookmarkStart w:id="1478" w:name="_Toc111636988"/>
      <w:r w:rsidRPr="00380B40">
        <w:rPr>
          <w:lang w:val="en-GB"/>
        </w:rPr>
        <w:t>5.2</w:t>
      </w:r>
      <w:r w:rsidRPr="00380B40">
        <w:rPr>
          <w:lang w:val="en-GB"/>
        </w:rPr>
        <w:tab/>
        <w:t>Work program coordination</w:t>
      </w:r>
      <w:bookmarkEnd w:id="1470"/>
      <w:bookmarkEnd w:id="1471"/>
      <w:bookmarkEnd w:id="1472"/>
      <w:bookmarkEnd w:id="1473"/>
      <w:bookmarkEnd w:id="1474"/>
      <w:bookmarkEnd w:id="1475"/>
      <w:bookmarkEnd w:id="1476"/>
      <w:bookmarkEnd w:id="1477"/>
      <w:bookmarkEnd w:id="1478"/>
    </w:p>
    <w:p w14:paraId="3F71C97D" w14:textId="77777777" w:rsidR="00523689" w:rsidRPr="00380B40" w:rsidRDefault="00523689" w:rsidP="00523689">
      <w:pPr>
        <w:rPr>
          <w:lang w:val="en-GB"/>
        </w:rPr>
      </w:pPr>
      <w:r w:rsidRPr="00380B40">
        <w:rPr>
          <w:lang w:val="en-GB"/>
        </w:rPr>
        <w:t>The ITU-T and JTC 1 both have requirements for formulating a work plan, including milestones, for each specific area of work. In JTC 1, the key milestones are dates for Working Draft, CD (or PDAM, PDTR or PDTS) ballot, DIS (or DAM, DTR or DTS) ballot, FDIS (or FDAM) ballot, and publication. In the ITU-T, the milestones include dates for SG or WP initiation of the approval process, availability of text for the consultation period (TAP) or Last Call (AAP), and Study Group approval of the Recommendation.</w:t>
      </w:r>
    </w:p>
    <w:p w14:paraId="0B4B9682" w14:textId="77777777" w:rsidR="00523689" w:rsidRPr="00380B40" w:rsidRDefault="00523689" w:rsidP="00523689">
      <w:pPr>
        <w:keepLines/>
        <w:rPr>
          <w:lang w:val="en-GB"/>
        </w:rPr>
      </w:pPr>
      <w:r w:rsidRPr="00380B40">
        <w:rPr>
          <w:lang w:val="en-GB"/>
        </w:rPr>
        <w:t>The efficiency of the collaborative process depends in large measure on the synchronization of the approval processes of both organizations. Early planning and establishment of milestones, taking into account key dates in each organization, is essential to achieving synchronization and avoiding added delay. For example, the dates for the DIS (or DAM, DTR or DTS) and FDIS (or FDAM) ballots need to take into account SC/WG meeting dates (for any necessary enabling Resolutions) and the schedule of the ITU-T SG/WP meeting where determination (TAP) or consent (AAP) is contemplated.</w:t>
      </w:r>
    </w:p>
    <w:p w14:paraId="6DD9A163" w14:textId="77777777" w:rsidR="00523689" w:rsidRPr="00380B40" w:rsidRDefault="00523689" w:rsidP="00523689">
      <w:pPr>
        <w:rPr>
          <w:lang w:val="en-GB"/>
        </w:rPr>
      </w:pPr>
      <w:r w:rsidRPr="00380B40">
        <w:rPr>
          <w:lang w:val="en-GB"/>
        </w:rPr>
        <w:t>Figures 5a and 5b show the final phases of the overall synchronization plan leading to common text publication. In these figures, the stage illustrated as DIS equally applies to DAM, DTR or DTS; similarly, the stage illustrated as FDIS equally applies to FDAM.</w:t>
      </w:r>
    </w:p>
    <w:p w14:paraId="51113A97" w14:textId="77777777" w:rsidR="00523689" w:rsidRPr="00380B40" w:rsidRDefault="00523689" w:rsidP="00523689">
      <w:pPr>
        <w:rPr>
          <w:lang w:val="en-GB"/>
        </w:rPr>
      </w:pPr>
      <w:r w:rsidRPr="00380B40">
        <w:rPr>
          <w:lang w:val="en-GB"/>
        </w:rPr>
        <w:t>The Fast Track process (see clause F.2 of the Consolidated JTC 1 Supplement, complemented by JTC 1 Standing Document 9) may also be used for JTC 1 approval where the fundamental work is done in the ITU</w:t>
      </w:r>
      <w:r w:rsidRPr="00380B40">
        <w:rPr>
          <w:lang w:val="en-GB"/>
        </w:rPr>
        <w:noBreakHyphen/>
        <w:t>T (e.g., subjects for which JTC 1 has assigned maintenance responsibility to the ITU-T). It should however be noted that only full text ITU-T Recommendations and Supplements may be fast-tracked, not Amendments.</w:t>
      </w:r>
    </w:p>
    <w:p w14:paraId="1D0194CA" w14:textId="77777777" w:rsidR="00523689" w:rsidRPr="00380B40" w:rsidRDefault="00523689" w:rsidP="00523689">
      <w:pPr>
        <w:pStyle w:val="Heading2"/>
        <w:rPr>
          <w:lang w:val="en-GB"/>
        </w:rPr>
      </w:pPr>
      <w:bookmarkStart w:id="1479" w:name="_Toc3708723"/>
      <w:bookmarkStart w:id="1480" w:name="_Toc229895872"/>
      <w:bookmarkStart w:id="1481" w:name="_Toc229896174"/>
      <w:bookmarkStart w:id="1482" w:name="_Toc398284241"/>
      <w:bookmarkStart w:id="1483" w:name="_Toc401035460"/>
      <w:bookmarkStart w:id="1484" w:name="_Toc401312714"/>
      <w:bookmarkStart w:id="1485" w:name="_Toc401313070"/>
      <w:bookmarkStart w:id="1486" w:name="_Toc111636989"/>
      <w:r w:rsidRPr="00380B40">
        <w:rPr>
          <w:lang w:val="en-GB"/>
        </w:rPr>
        <w:t>5.3</w:t>
      </w:r>
      <w:r w:rsidRPr="00380B40">
        <w:rPr>
          <w:lang w:val="en-GB"/>
        </w:rPr>
        <w:tab/>
        <w:t>Synchronized maintenance of cooperative work</w:t>
      </w:r>
      <w:bookmarkEnd w:id="1479"/>
      <w:bookmarkEnd w:id="1480"/>
      <w:bookmarkEnd w:id="1481"/>
      <w:bookmarkEnd w:id="1482"/>
      <w:bookmarkEnd w:id="1483"/>
      <w:bookmarkEnd w:id="1484"/>
      <w:bookmarkEnd w:id="1485"/>
      <w:bookmarkEnd w:id="1486"/>
    </w:p>
    <w:p w14:paraId="60B5CC5E" w14:textId="77777777" w:rsidR="00523689" w:rsidRPr="00380B40" w:rsidRDefault="00523689" w:rsidP="00523689">
      <w:pPr>
        <w:rPr>
          <w:lang w:val="en-GB"/>
        </w:rPr>
      </w:pPr>
      <w:r w:rsidRPr="00380B40">
        <w:rPr>
          <w:lang w:val="en-GB"/>
        </w:rPr>
        <w:t>Approved collaborative Recommendations | International Standards need to be reviewed and maintained over time. This will require continuing collaborative effort.With the strong interdependence among the large number of information technology Recommendations and International Standards, it is recommended that maintenance updates be done in the same time-frame. This will significantly help to ensure that the work on information technology evolves as a cohesive whole. The review and any necessary updates should be done every four to five years.</w:t>
      </w:r>
    </w:p>
    <w:p w14:paraId="396E1AD3" w14:textId="77777777" w:rsidR="004C79F2" w:rsidRPr="00380B40" w:rsidRDefault="004C79F2" w:rsidP="00523689">
      <w:pPr>
        <w:rPr>
          <w:lang w:val="en-GB"/>
        </w:rPr>
      </w:pPr>
    </w:p>
    <w:p w14:paraId="5007E0FA" w14:textId="77777777" w:rsidR="004C79F2" w:rsidRPr="00380B40" w:rsidRDefault="004C79F2" w:rsidP="00523689">
      <w:pPr>
        <w:rPr>
          <w:lang w:val="en-GB"/>
        </w:rPr>
      </w:pPr>
    </w:p>
    <w:p w14:paraId="594EA5DE" w14:textId="77777777" w:rsidR="004C79F2" w:rsidRPr="00380B40" w:rsidRDefault="004C79F2" w:rsidP="00523689">
      <w:pPr>
        <w:rPr>
          <w:lang w:val="en-GB"/>
        </w:rPr>
      </w:pPr>
    </w:p>
    <w:p w14:paraId="393E27B1" w14:textId="77777777" w:rsidR="004C79F2" w:rsidRPr="00380B40" w:rsidRDefault="004C79F2" w:rsidP="00523689">
      <w:pPr>
        <w:rPr>
          <w:lang w:val="en-GB"/>
        </w:rPr>
      </w:pPr>
    </w:p>
    <w:p w14:paraId="20857650" w14:textId="77777777" w:rsidR="00153048" w:rsidRPr="00380B40" w:rsidRDefault="00153048" w:rsidP="00523689">
      <w:pPr>
        <w:rPr>
          <w:lang w:val="en-GB"/>
        </w:rPr>
      </w:pPr>
      <w:r w:rsidRPr="00380B40">
        <w:rPr>
          <w:lang w:val="en-GB"/>
        </w:rPr>
        <w:br w:type="page"/>
      </w:r>
    </w:p>
    <w:p w14:paraId="3B1899B4" w14:textId="77777777" w:rsidR="00523689" w:rsidRPr="00380B40" w:rsidRDefault="00523689" w:rsidP="00523689">
      <w:pPr>
        <w:pStyle w:val="Figure"/>
        <w:rPr>
          <w:lang w:val="en-GB"/>
        </w:rPr>
      </w:pPr>
      <w:r w:rsidRPr="00380B40">
        <w:rPr>
          <w:noProof/>
          <w:lang w:val="en-US" w:eastAsia="zh-CN"/>
        </w:rPr>
        <w:drawing>
          <wp:inline distT="0" distB="0" distL="0" distR="0" wp14:anchorId="440700CF" wp14:editId="6DF8D436">
            <wp:extent cx="6053340" cy="8354585"/>
            <wp:effectExtent l="0" t="0" r="5080" b="8890"/>
            <wp:docPr id="1998" name="Picture 1998" descr="Figure 5a – Final stages of collaborative approval process when TAP i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Picture 1998" descr="Figure 5a – Final stages of collaborative approval process when TAP is used"/>
                    <pic:cNvPicPr/>
                  </pic:nvPicPr>
                  <pic:blipFill>
                    <a:blip r:embed="rId440" cstate="print">
                      <a:extLst>
                        <a:ext uri="{28A0092B-C50C-407E-A947-70E740481C1C}">
                          <a14:useLocalDpi xmlns:a14="http://schemas.microsoft.com/office/drawing/2010/main" val="0"/>
                        </a:ext>
                      </a:extLst>
                    </a:blip>
                    <a:stretch>
                      <a:fillRect/>
                    </a:stretch>
                  </pic:blipFill>
                  <pic:spPr>
                    <a:xfrm>
                      <a:off x="0" y="0"/>
                      <a:ext cx="6053340" cy="8354585"/>
                    </a:xfrm>
                    <a:prstGeom prst="rect">
                      <a:avLst/>
                    </a:prstGeom>
                  </pic:spPr>
                </pic:pic>
              </a:graphicData>
            </a:graphic>
          </wp:inline>
        </w:drawing>
      </w:r>
    </w:p>
    <w:p w14:paraId="1749FAF0" w14:textId="77777777" w:rsidR="00523689" w:rsidRPr="00380B40" w:rsidRDefault="00523689" w:rsidP="00FD3C79">
      <w:pPr>
        <w:pStyle w:val="FigureNoTitle1"/>
      </w:pPr>
      <w:r w:rsidRPr="00380B40">
        <w:t>Figure 5a – Final stages of collaborative approval process when TAP is used</w:t>
      </w:r>
    </w:p>
    <w:p w14:paraId="0C2C8283" w14:textId="77777777" w:rsidR="00153048" w:rsidRPr="00380B40" w:rsidRDefault="00153048" w:rsidP="00153048">
      <w:pPr>
        <w:pStyle w:val="Normalaftertitle"/>
        <w:rPr>
          <w:lang w:val="en-GB"/>
        </w:rPr>
      </w:pPr>
      <w:r w:rsidRPr="00380B40">
        <w:rPr>
          <w:lang w:val="en-GB"/>
        </w:rPr>
        <w:br w:type="page"/>
      </w:r>
    </w:p>
    <w:p w14:paraId="22978D58" w14:textId="77777777" w:rsidR="00523689" w:rsidRPr="00380B40" w:rsidRDefault="00523689" w:rsidP="00523689">
      <w:pPr>
        <w:pStyle w:val="Figure"/>
        <w:rPr>
          <w:lang w:val="en-GB"/>
        </w:rPr>
      </w:pPr>
      <w:r w:rsidRPr="00380B40">
        <w:rPr>
          <w:noProof/>
          <w:lang w:val="en-US" w:eastAsia="zh-CN"/>
        </w:rPr>
        <w:drawing>
          <wp:inline distT="0" distB="0" distL="0" distR="0" wp14:anchorId="129728CC" wp14:editId="017C001F">
            <wp:extent cx="6053340" cy="8339345"/>
            <wp:effectExtent l="0" t="0" r="5080" b="5080"/>
            <wp:docPr id="11" name="Picture 11" descr="Figure 5b – Final stages of collaborative approval process when AAP i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5b – Final stages of collaborative approval process when AAP is used"/>
                    <pic:cNvPicPr/>
                  </pic:nvPicPr>
                  <pic:blipFill>
                    <a:blip r:embed="rId441" cstate="print">
                      <a:extLst>
                        <a:ext uri="{28A0092B-C50C-407E-A947-70E740481C1C}">
                          <a14:useLocalDpi xmlns:a14="http://schemas.microsoft.com/office/drawing/2010/main" val="0"/>
                        </a:ext>
                      </a:extLst>
                    </a:blip>
                    <a:stretch>
                      <a:fillRect/>
                    </a:stretch>
                  </pic:blipFill>
                  <pic:spPr>
                    <a:xfrm>
                      <a:off x="0" y="0"/>
                      <a:ext cx="6053340" cy="8339345"/>
                    </a:xfrm>
                    <a:prstGeom prst="rect">
                      <a:avLst/>
                    </a:prstGeom>
                  </pic:spPr>
                </pic:pic>
              </a:graphicData>
            </a:graphic>
          </wp:inline>
        </w:drawing>
      </w:r>
    </w:p>
    <w:p w14:paraId="0DCEEABD" w14:textId="77777777" w:rsidR="00523689" w:rsidRPr="00380B40" w:rsidRDefault="00523689" w:rsidP="00FD3C79">
      <w:pPr>
        <w:pStyle w:val="FigureNoTitle1"/>
      </w:pPr>
      <w:r w:rsidRPr="00380B40">
        <w:t>Figure 5b – Final stages of collaborative approval process when AAP is used</w:t>
      </w:r>
    </w:p>
    <w:p w14:paraId="56101A44" w14:textId="77777777" w:rsidR="00153048" w:rsidRPr="00380B40" w:rsidRDefault="00153048" w:rsidP="00153048">
      <w:pPr>
        <w:pStyle w:val="Normalaftertitle"/>
        <w:rPr>
          <w:lang w:val="en-GB"/>
        </w:rPr>
      </w:pPr>
      <w:r w:rsidRPr="00380B40">
        <w:rPr>
          <w:lang w:val="en-GB"/>
        </w:rPr>
        <w:br w:type="page"/>
      </w:r>
    </w:p>
    <w:p w14:paraId="42CC9917" w14:textId="77777777" w:rsidR="00523689" w:rsidRPr="00380B40" w:rsidRDefault="00523689" w:rsidP="00523689">
      <w:pPr>
        <w:pStyle w:val="Heading1"/>
        <w:rPr>
          <w:lang w:val="en-GB"/>
        </w:rPr>
      </w:pPr>
      <w:bookmarkStart w:id="1487" w:name="_Toc382734834"/>
      <w:bookmarkStart w:id="1488" w:name="_Toc3708724"/>
      <w:bookmarkStart w:id="1489" w:name="_Toc229895873"/>
      <w:bookmarkStart w:id="1490" w:name="_Toc229896175"/>
      <w:bookmarkStart w:id="1491" w:name="_Toc398284242"/>
      <w:bookmarkStart w:id="1492" w:name="_Toc401035461"/>
      <w:bookmarkStart w:id="1493" w:name="_Toc401312715"/>
      <w:bookmarkStart w:id="1494" w:name="_Toc401313071"/>
      <w:bookmarkStart w:id="1495" w:name="_Toc111636990"/>
      <w:r w:rsidRPr="00380B40">
        <w:rPr>
          <w:lang w:val="en-GB"/>
        </w:rPr>
        <w:t>6</w:t>
      </w:r>
      <w:r w:rsidRPr="00380B40">
        <w:rPr>
          <w:lang w:val="en-GB"/>
        </w:rPr>
        <w:tab/>
        <w:t>Liaison procedures</w:t>
      </w:r>
      <w:bookmarkEnd w:id="1487"/>
      <w:bookmarkEnd w:id="1488"/>
      <w:bookmarkEnd w:id="1489"/>
      <w:bookmarkEnd w:id="1490"/>
      <w:bookmarkEnd w:id="1491"/>
      <w:bookmarkEnd w:id="1492"/>
      <w:bookmarkEnd w:id="1493"/>
      <w:bookmarkEnd w:id="1494"/>
      <w:bookmarkEnd w:id="1495"/>
    </w:p>
    <w:p w14:paraId="3E19E0E5" w14:textId="77777777" w:rsidR="00523689" w:rsidRPr="00380B40" w:rsidRDefault="00523689" w:rsidP="00523689">
      <w:pPr>
        <w:pStyle w:val="Heading2"/>
        <w:rPr>
          <w:lang w:val="en-GB"/>
        </w:rPr>
      </w:pPr>
      <w:bookmarkStart w:id="1496" w:name="_Toc382734835"/>
      <w:bookmarkStart w:id="1497" w:name="_Toc3708725"/>
      <w:bookmarkStart w:id="1498" w:name="_Toc229895874"/>
      <w:bookmarkStart w:id="1499" w:name="_Toc229896176"/>
      <w:bookmarkStart w:id="1500" w:name="_Toc398284243"/>
      <w:bookmarkStart w:id="1501" w:name="_Toc401035462"/>
      <w:bookmarkStart w:id="1502" w:name="_Toc401312716"/>
      <w:bookmarkStart w:id="1503" w:name="_Toc401313072"/>
      <w:bookmarkStart w:id="1504" w:name="_Toc111636991"/>
      <w:r w:rsidRPr="00380B40">
        <w:rPr>
          <w:lang w:val="en-GB"/>
        </w:rPr>
        <w:t>6.1</w:t>
      </w:r>
      <w:r w:rsidRPr="00380B40">
        <w:rPr>
          <w:lang w:val="en-GB"/>
        </w:rPr>
        <w:tab/>
        <w:t>General</w:t>
      </w:r>
      <w:bookmarkEnd w:id="1496"/>
      <w:bookmarkEnd w:id="1497"/>
      <w:bookmarkEnd w:id="1498"/>
      <w:bookmarkEnd w:id="1499"/>
      <w:bookmarkEnd w:id="1500"/>
      <w:bookmarkEnd w:id="1501"/>
      <w:bookmarkEnd w:id="1502"/>
      <w:bookmarkEnd w:id="1503"/>
      <w:bookmarkEnd w:id="1504"/>
    </w:p>
    <w:p w14:paraId="01D58D5B" w14:textId="77777777" w:rsidR="00523689" w:rsidRPr="00380B40" w:rsidRDefault="00523689" w:rsidP="00523689">
      <w:pPr>
        <w:rPr>
          <w:lang w:val="en-GB"/>
        </w:rPr>
      </w:pPr>
      <w:r w:rsidRPr="00380B40">
        <w:rPr>
          <w:lang w:val="en-GB"/>
        </w:rPr>
        <w:t>Liaison between organizations is an important means of communication that typically involves one or more of the following:</w:t>
      </w:r>
    </w:p>
    <w:p w14:paraId="789C9F91" w14:textId="77777777" w:rsidR="00523689" w:rsidRPr="00380B40" w:rsidRDefault="00523689" w:rsidP="00523689">
      <w:pPr>
        <w:pStyle w:val="enumlev1"/>
        <w:rPr>
          <w:lang w:val="en-GB"/>
        </w:rPr>
      </w:pPr>
      <w:r w:rsidRPr="00380B40">
        <w:rPr>
          <w:lang w:val="en-GB"/>
        </w:rPr>
        <w:t>a)</w:t>
      </w:r>
      <w:r w:rsidRPr="00380B40">
        <w:rPr>
          <w:lang w:val="en-GB"/>
        </w:rPr>
        <w:tab/>
        <w:t>Interchange of general information of mutual interest;</w:t>
      </w:r>
    </w:p>
    <w:p w14:paraId="2BA270C5" w14:textId="77777777" w:rsidR="00523689" w:rsidRPr="00380B40" w:rsidRDefault="00523689" w:rsidP="00523689">
      <w:pPr>
        <w:pStyle w:val="enumlev1"/>
        <w:rPr>
          <w:lang w:val="en-GB"/>
        </w:rPr>
      </w:pPr>
      <w:r w:rsidRPr="00380B40">
        <w:rPr>
          <w:lang w:val="en-GB"/>
        </w:rPr>
        <w:t>b)</w:t>
      </w:r>
      <w:r w:rsidRPr="00380B40">
        <w:rPr>
          <w:lang w:val="en-GB"/>
        </w:rPr>
        <w:tab/>
        <w:t>Coordination of related work that is partitioned between the two groups; and</w:t>
      </w:r>
    </w:p>
    <w:p w14:paraId="11CD0020" w14:textId="77777777" w:rsidR="00523689" w:rsidRPr="00380B40" w:rsidRDefault="00523689" w:rsidP="00523689">
      <w:pPr>
        <w:pStyle w:val="enumlev1"/>
        <w:rPr>
          <w:lang w:val="en-GB"/>
        </w:rPr>
      </w:pPr>
      <w:r w:rsidRPr="00380B40">
        <w:rPr>
          <w:lang w:val="en-GB"/>
        </w:rPr>
        <w:t>c)</w:t>
      </w:r>
      <w:r w:rsidRPr="00380B40">
        <w:rPr>
          <w:lang w:val="en-GB"/>
        </w:rPr>
        <w:tab/>
        <w:t>Comments on work that is the responsibility of the other group.</w:t>
      </w:r>
    </w:p>
    <w:p w14:paraId="008A74D7" w14:textId="77777777" w:rsidR="00523689" w:rsidRPr="00380B40" w:rsidRDefault="00523689" w:rsidP="00523689">
      <w:pPr>
        <w:pStyle w:val="Heading2"/>
        <w:rPr>
          <w:lang w:val="en-GB"/>
        </w:rPr>
      </w:pPr>
      <w:bookmarkStart w:id="1505" w:name="_Toc382734836"/>
      <w:bookmarkStart w:id="1506" w:name="_Toc3708726"/>
      <w:bookmarkStart w:id="1507" w:name="_Toc229895875"/>
      <w:bookmarkStart w:id="1508" w:name="_Toc229896177"/>
      <w:bookmarkStart w:id="1509" w:name="_Toc398284244"/>
      <w:bookmarkStart w:id="1510" w:name="_Toc401035463"/>
      <w:bookmarkStart w:id="1511" w:name="_Toc401312717"/>
      <w:bookmarkStart w:id="1512" w:name="_Toc401313073"/>
      <w:bookmarkStart w:id="1513" w:name="_Toc111636992"/>
      <w:r w:rsidRPr="00380B40">
        <w:rPr>
          <w:lang w:val="en-GB"/>
        </w:rPr>
        <w:t>6.2</w:t>
      </w:r>
      <w:r w:rsidRPr="00380B40">
        <w:rPr>
          <w:lang w:val="en-GB"/>
        </w:rPr>
        <w:tab/>
        <w:t>Liaison representation</w:t>
      </w:r>
      <w:bookmarkEnd w:id="1505"/>
      <w:bookmarkEnd w:id="1506"/>
      <w:bookmarkEnd w:id="1507"/>
      <w:bookmarkEnd w:id="1508"/>
      <w:bookmarkEnd w:id="1509"/>
      <w:bookmarkEnd w:id="1510"/>
      <w:bookmarkEnd w:id="1511"/>
      <w:bookmarkEnd w:id="1512"/>
      <w:bookmarkEnd w:id="1513"/>
    </w:p>
    <w:p w14:paraId="5AB10BD5" w14:textId="77777777" w:rsidR="00523689" w:rsidRPr="00380B40" w:rsidRDefault="00523689" w:rsidP="00523689">
      <w:pPr>
        <w:rPr>
          <w:lang w:val="en-GB"/>
        </w:rPr>
      </w:pPr>
      <w:r w:rsidRPr="00380B40">
        <w:rPr>
          <w:lang w:val="en-GB"/>
        </w:rPr>
        <w:t>Regardless of the mode of cooperation for a particular subject, all interactions at the Study Group/Subcommittee (SG/SC) level and at the Working Party/Working Group (WP/WG) level are conducted using the liaison procedures. In particular, this applies to participation in each other's meetings and submission of contributions. For example, for an individual to represent JTC 1, an SC or a WG at an ITU-T Study Group or Working Party meeting, a letter from JTC 1, the SC, or the WG secretariat is necessary authorizing such representation. Likewise, for an individual to represent an ITU-T Study Group or Working Party at a JTC 1, SC or WG meeting, a letter from the ITU-T SG secretariat is necessary authorizing such representation.</w:t>
      </w:r>
    </w:p>
    <w:p w14:paraId="551FDF44" w14:textId="77777777" w:rsidR="00523689" w:rsidRPr="00380B40" w:rsidRDefault="00523689" w:rsidP="00523689">
      <w:pPr>
        <w:rPr>
          <w:lang w:val="en-GB"/>
        </w:rPr>
      </w:pPr>
      <w:r w:rsidRPr="00380B40">
        <w:rPr>
          <w:lang w:val="en-GB"/>
        </w:rPr>
        <w:t>Communication between Rapporteur Groups, between Collaborative Teams, and between a Rapporteur Group and a Collaborative Team is also done by liaison. Individuals attending a Rapporteur meeting in the ITU-T as an ISO/IEC liaison delegate and individuals attending a Rapporteur meeting in JTC 1 as an ITU-T liaison delegate should be officially approved by the respective SG/WP or SC/WG and confirmed with a letter of authorization from the secretariat.</w:t>
      </w:r>
    </w:p>
    <w:p w14:paraId="42C526CB" w14:textId="77777777" w:rsidR="00523689" w:rsidRPr="00380B40" w:rsidRDefault="00523689" w:rsidP="00523689">
      <w:pPr>
        <w:rPr>
          <w:lang w:val="en-GB"/>
        </w:rPr>
      </w:pPr>
      <w:r w:rsidRPr="00380B40">
        <w:rPr>
          <w:lang w:val="en-GB"/>
        </w:rPr>
        <w:t>Liaisons are most effective when they are prepared in written form (see 6.3 below) and when a knowledgeable liaison representative attends the meeting to present it and participate in any ensuing dialog. Individuals performing liaison responsibilities should have first-hand knowledge of the work being represented and should be familiar with the procedures of both organizations.</w:t>
      </w:r>
    </w:p>
    <w:p w14:paraId="206E1396" w14:textId="77777777" w:rsidR="00523689" w:rsidRPr="00380B40" w:rsidRDefault="00523689" w:rsidP="00523689">
      <w:pPr>
        <w:rPr>
          <w:lang w:val="en-GB"/>
        </w:rPr>
      </w:pPr>
      <w:r w:rsidRPr="00380B40">
        <w:rPr>
          <w:lang w:val="en-GB"/>
        </w:rPr>
        <w:t>In most cases, liaison between two groups should be both ways. The same or different individuals can be used for the two directions of liaison.</w:t>
      </w:r>
    </w:p>
    <w:p w14:paraId="39F2332A" w14:textId="77777777" w:rsidR="00523689" w:rsidRPr="00380B40" w:rsidRDefault="00523689" w:rsidP="00523689">
      <w:pPr>
        <w:pStyle w:val="Heading2"/>
        <w:rPr>
          <w:lang w:val="en-GB"/>
        </w:rPr>
      </w:pPr>
      <w:bookmarkStart w:id="1514" w:name="_Toc382734837"/>
      <w:bookmarkStart w:id="1515" w:name="_Toc3708727"/>
      <w:bookmarkStart w:id="1516" w:name="_Toc229895876"/>
      <w:bookmarkStart w:id="1517" w:name="_Toc229896178"/>
      <w:bookmarkStart w:id="1518" w:name="_Toc398284245"/>
      <w:bookmarkStart w:id="1519" w:name="_Toc401035464"/>
      <w:bookmarkStart w:id="1520" w:name="_Toc401312718"/>
      <w:bookmarkStart w:id="1521" w:name="_Toc401313074"/>
      <w:bookmarkStart w:id="1522" w:name="_Toc111636993"/>
      <w:r w:rsidRPr="00380B40">
        <w:rPr>
          <w:lang w:val="en-GB"/>
        </w:rPr>
        <w:t>6.3</w:t>
      </w:r>
      <w:r w:rsidRPr="00380B40">
        <w:rPr>
          <w:lang w:val="en-GB"/>
        </w:rPr>
        <w:tab/>
        <w:t>Liaison contributions</w:t>
      </w:r>
      <w:bookmarkEnd w:id="1514"/>
      <w:bookmarkEnd w:id="1515"/>
      <w:bookmarkEnd w:id="1516"/>
      <w:bookmarkEnd w:id="1517"/>
      <w:bookmarkEnd w:id="1518"/>
      <w:bookmarkEnd w:id="1519"/>
      <w:bookmarkEnd w:id="1520"/>
      <w:bookmarkEnd w:id="1521"/>
      <w:bookmarkEnd w:id="1522"/>
    </w:p>
    <w:p w14:paraId="1BA1ABA6" w14:textId="77777777" w:rsidR="00523689" w:rsidRPr="00380B40" w:rsidRDefault="00523689" w:rsidP="00523689">
      <w:pPr>
        <w:rPr>
          <w:lang w:val="en-GB"/>
        </w:rPr>
      </w:pPr>
      <w:r w:rsidRPr="00380B40">
        <w:rPr>
          <w:lang w:val="en-GB"/>
        </w:rPr>
        <w:t>Liaison contributions at the SG/SC level or at the WP/WG level are transmitted by the originating secretariat to the destination secretariat upon appropriate authorization. In exceptional circumstances due to close timing between meetings, liaison contributions may be hand carried by an authorized representative but must be followed by an official transmittal by the originating secretariat.</w:t>
      </w:r>
    </w:p>
    <w:p w14:paraId="2442CD88" w14:textId="77777777" w:rsidR="001179D4" w:rsidRPr="00380B40" w:rsidRDefault="001179D4" w:rsidP="00523689">
      <w:pPr>
        <w:rPr>
          <w:lang w:val="en-GB"/>
        </w:rPr>
      </w:pPr>
      <w:r w:rsidRPr="00380B40">
        <w:rPr>
          <w:lang w:val="en-GB"/>
        </w:rPr>
        <w:br w:type="page"/>
      </w:r>
    </w:p>
    <w:p w14:paraId="31D3A629" w14:textId="77777777" w:rsidR="00523689" w:rsidRPr="00380B40" w:rsidRDefault="00523689" w:rsidP="00523689">
      <w:pPr>
        <w:rPr>
          <w:lang w:val="en-GB"/>
        </w:rPr>
      </w:pPr>
      <w:r w:rsidRPr="00380B40">
        <w:rPr>
          <w:lang w:val="en-GB"/>
        </w:rPr>
        <w:t>Liaison contributions at the Rapporteur level (i.e., those without a higher level of approval) are handled between the respective Rapporteurs. Each Rapporteur is responsible for ensuring appropriate distribution within their community of experts.</w:t>
      </w:r>
    </w:p>
    <w:p w14:paraId="1F9A3EE0" w14:textId="77777777" w:rsidR="00523689" w:rsidRPr="00380B40" w:rsidRDefault="00523689" w:rsidP="00523689">
      <w:pPr>
        <w:rPr>
          <w:lang w:val="en-GB"/>
        </w:rPr>
      </w:pPr>
      <w:r w:rsidRPr="00380B40">
        <w:rPr>
          <w:lang w:val="en-GB"/>
        </w:rPr>
        <w:t>Liaison contributions must list as their source, the highest entity that approved the liaison. For example, if a liaison statement was developed by a Rapporteur group and subsequently approved by a WP and then the SG, the source would be the SG, indicating the highest stage of approval. It would be most helpful if, within the liaison contribution, the particular group that developed the liaison was indicated. The title of the liaison contribution should be descriptive of the subject matter. The liaison contribution should explicitly state its nature; e.g., whether it is for information, for comment, etc.</w:t>
      </w:r>
    </w:p>
    <w:p w14:paraId="7B6AD1E4" w14:textId="77777777" w:rsidR="00523689" w:rsidRPr="00380B40" w:rsidRDefault="00523689" w:rsidP="00523689">
      <w:pPr>
        <w:rPr>
          <w:lang w:val="en-GB"/>
        </w:rPr>
      </w:pPr>
      <w:r w:rsidRPr="00380B40">
        <w:rPr>
          <w:lang w:val="en-GB"/>
        </w:rPr>
        <w:t xml:space="preserve">Liaison contributions to the ITU-T should contain the Question number. Contribution number 1 in each Study Group contains the Questions assigned to the Study Group by the WTSA. Liaison contributions to JTC 1 should contain the project number. </w:t>
      </w:r>
      <w:bookmarkStart w:id="1523" w:name="_Toc319403687"/>
      <w:bookmarkStart w:id="1524" w:name="_Toc382734839"/>
    </w:p>
    <w:p w14:paraId="4C0312B6" w14:textId="77777777" w:rsidR="00523689" w:rsidRPr="00380B40" w:rsidRDefault="00523689" w:rsidP="00523689">
      <w:pPr>
        <w:pStyle w:val="Heading1"/>
        <w:rPr>
          <w:lang w:val="en-GB"/>
        </w:rPr>
      </w:pPr>
      <w:bookmarkStart w:id="1525" w:name="_Toc3708728"/>
      <w:bookmarkStart w:id="1526" w:name="_Toc229895877"/>
      <w:bookmarkStart w:id="1527" w:name="_Toc229896179"/>
      <w:bookmarkStart w:id="1528" w:name="_Toc398284246"/>
      <w:bookmarkStart w:id="1529" w:name="_Toc401035465"/>
      <w:bookmarkStart w:id="1530" w:name="_Toc401312719"/>
      <w:bookmarkStart w:id="1531" w:name="_Toc401313075"/>
      <w:bookmarkStart w:id="1532" w:name="_Toc111636994"/>
      <w:r w:rsidRPr="00380B40">
        <w:rPr>
          <w:lang w:val="en-GB"/>
        </w:rPr>
        <w:t>7</w:t>
      </w:r>
      <w:bookmarkEnd w:id="1523"/>
      <w:r w:rsidRPr="00380B40">
        <w:rPr>
          <w:lang w:val="en-GB"/>
        </w:rPr>
        <w:tab/>
        <w:t>Collaboration using Collaborative Interchange</w:t>
      </w:r>
      <w:bookmarkEnd w:id="1524"/>
      <w:bookmarkEnd w:id="1525"/>
      <w:bookmarkEnd w:id="1526"/>
      <w:bookmarkEnd w:id="1527"/>
      <w:bookmarkEnd w:id="1528"/>
      <w:bookmarkEnd w:id="1529"/>
      <w:bookmarkEnd w:id="1530"/>
      <w:bookmarkEnd w:id="1531"/>
      <w:bookmarkEnd w:id="1532"/>
    </w:p>
    <w:p w14:paraId="2CF1A5C3" w14:textId="77777777" w:rsidR="00523689" w:rsidRPr="00380B40" w:rsidRDefault="00523689" w:rsidP="00523689">
      <w:pPr>
        <w:rPr>
          <w:lang w:val="en-GB"/>
        </w:rPr>
      </w:pPr>
      <w:r w:rsidRPr="00380B40">
        <w:rPr>
          <w:lang w:val="en-GB"/>
        </w:rPr>
        <w:t>The basic concept of collaboration using Collaborative Interchange is to closely couple the development, consensus building, and ballot/comment resolution efforts of the two Working Level Groups in an efficient and effective manner to produce mutually agreed common text for one or more Recommendations | International Standards. Although the remainder of this section focuses on common text, development of twin text is also possible using Collaborative Interchange, in which case the approval processes do not require exact timing synchronization.</w:t>
      </w:r>
    </w:p>
    <w:p w14:paraId="4D70F4EB" w14:textId="77777777" w:rsidR="00523689" w:rsidRPr="00380B40" w:rsidRDefault="00523689" w:rsidP="00523689">
      <w:pPr>
        <w:pStyle w:val="Heading2"/>
        <w:rPr>
          <w:lang w:val="en-GB"/>
        </w:rPr>
      </w:pPr>
      <w:bookmarkStart w:id="1533" w:name="_Toc319403688"/>
      <w:bookmarkStart w:id="1534" w:name="_Toc382734840"/>
      <w:bookmarkStart w:id="1535" w:name="_Toc3708729"/>
      <w:bookmarkStart w:id="1536" w:name="_Toc229895878"/>
      <w:bookmarkStart w:id="1537" w:name="_Toc229896180"/>
      <w:bookmarkStart w:id="1538" w:name="_Toc398284247"/>
      <w:bookmarkStart w:id="1539" w:name="_Toc401035466"/>
      <w:bookmarkStart w:id="1540" w:name="_Toc401312720"/>
      <w:bookmarkStart w:id="1541" w:name="_Toc401313076"/>
      <w:bookmarkStart w:id="1542" w:name="_Toc111636995"/>
      <w:r w:rsidRPr="00380B40">
        <w:rPr>
          <w:lang w:val="en-GB"/>
        </w:rPr>
        <w:t>7.1</w:t>
      </w:r>
      <w:r w:rsidRPr="00380B40">
        <w:rPr>
          <w:lang w:val="en-GB"/>
        </w:rPr>
        <w:tab/>
        <w:t>Collaborative relationship</w:t>
      </w:r>
      <w:bookmarkEnd w:id="1533"/>
      <w:bookmarkEnd w:id="1534"/>
      <w:bookmarkEnd w:id="1535"/>
      <w:bookmarkEnd w:id="1536"/>
      <w:bookmarkEnd w:id="1537"/>
      <w:bookmarkEnd w:id="1538"/>
      <w:bookmarkEnd w:id="1539"/>
      <w:bookmarkEnd w:id="1540"/>
      <w:bookmarkEnd w:id="1541"/>
      <w:bookmarkEnd w:id="1542"/>
    </w:p>
    <w:p w14:paraId="0170B55D" w14:textId="77777777" w:rsidR="00523689" w:rsidRPr="00380B40" w:rsidRDefault="00523689" w:rsidP="00523689">
      <w:pPr>
        <w:rPr>
          <w:lang w:val="en-GB"/>
        </w:rPr>
      </w:pPr>
      <w:r w:rsidRPr="00380B40">
        <w:rPr>
          <w:lang w:val="en-GB"/>
        </w:rPr>
        <w:t>Upon agreement by the JTC 1 Subcommittee and the ITU-T Study Group that a specific area of work is to be developed collaboratively using Collaborative Interchange, a collaborative relationship is established between the respective Working Level Groups of the two organizations.</w:t>
      </w:r>
    </w:p>
    <w:p w14:paraId="5BEA6A07" w14:textId="77777777" w:rsidR="00523689" w:rsidRPr="00380B40" w:rsidRDefault="00523689" w:rsidP="00523689">
      <w:pPr>
        <w:rPr>
          <w:lang w:val="en-GB"/>
        </w:rPr>
      </w:pPr>
      <w:r w:rsidRPr="00380B40">
        <w:rPr>
          <w:lang w:val="en-GB"/>
        </w:rPr>
        <w:t>The mutually agreed terms of reference for each Collaborative Interchange relationship should include:</w:t>
      </w:r>
    </w:p>
    <w:p w14:paraId="4AF2860E" w14:textId="77777777" w:rsidR="00523689" w:rsidRPr="00380B40" w:rsidRDefault="00523689" w:rsidP="00523689">
      <w:pPr>
        <w:pStyle w:val="enumlev1"/>
        <w:rPr>
          <w:lang w:val="en-GB"/>
        </w:rPr>
      </w:pPr>
      <w:r w:rsidRPr="00380B40">
        <w:rPr>
          <w:lang w:val="en-GB"/>
        </w:rPr>
        <w:t>–</w:t>
      </w:r>
      <w:r w:rsidRPr="00380B40">
        <w:rPr>
          <w:lang w:val="en-GB"/>
        </w:rPr>
        <w:tab/>
        <w:t>The scope of the effort as it relates to each organization's program of work (ITU-T Question and JTC 1 project). Where possible, it should include identification of the Recommendation(s) and International Standard(s) that are to be developed collaboratively.</w:t>
      </w:r>
    </w:p>
    <w:p w14:paraId="550DA186" w14:textId="77777777" w:rsidR="00523689" w:rsidRPr="00380B40" w:rsidRDefault="00523689" w:rsidP="00523689">
      <w:pPr>
        <w:pStyle w:val="enumlev1"/>
        <w:rPr>
          <w:lang w:val="en-GB"/>
        </w:rPr>
      </w:pPr>
      <w:r w:rsidRPr="00380B40">
        <w:rPr>
          <w:lang w:val="en-GB"/>
        </w:rPr>
        <w:t>–</w:t>
      </w:r>
      <w:r w:rsidRPr="00380B40">
        <w:rPr>
          <w:lang w:val="en-GB"/>
        </w:rPr>
        <w:tab/>
        <w:t>Any start-up provisions to accommodate work in progress. If the JTC 1 project has been submitted to ITTF for Draft International Standard processing, or if the ITU-T project has been consented for AAP Last Call (or determined for TAP consultation), the window to establish a Collaborative Team is considered as closed.</w:t>
      </w:r>
    </w:p>
    <w:p w14:paraId="06FA74BD" w14:textId="77777777" w:rsidR="001179D4" w:rsidRPr="00380B40" w:rsidRDefault="001179D4" w:rsidP="00523689">
      <w:pPr>
        <w:rPr>
          <w:lang w:val="en-GB"/>
        </w:rPr>
      </w:pPr>
      <w:r w:rsidRPr="00380B40">
        <w:rPr>
          <w:lang w:val="en-GB"/>
        </w:rPr>
        <w:br w:type="page"/>
      </w:r>
    </w:p>
    <w:p w14:paraId="515D2F15" w14:textId="77777777" w:rsidR="00523689" w:rsidRPr="00380B40" w:rsidRDefault="00523689" w:rsidP="00523689">
      <w:pPr>
        <w:rPr>
          <w:lang w:val="en-GB"/>
        </w:rPr>
      </w:pPr>
      <w:r w:rsidRPr="00380B40">
        <w:rPr>
          <w:lang w:val="en-GB"/>
        </w:rPr>
        <w:t>The Working Level Groups of the two organizations function using the procedures of their respective organizations, but with certain additional procedures, as described below, to facilitate closer collaboration in building consensus and synchronization of approvals leading to publication of common text.</w:t>
      </w:r>
    </w:p>
    <w:p w14:paraId="7EE409D9" w14:textId="77777777" w:rsidR="00523689" w:rsidRPr="00380B40" w:rsidRDefault="00523689" w:rsidP="00523689">
      <w:pPr>
        <w:rPr>
          <w:lang w:val="en-GB"/>
        </w:rPr>
      </w:pPr>
      <w:r w:rsidRPr="00380B40">
        <w:rPr>
          <w:lang w:val="en-GB"/>
        </w:rPr>
        <w:t>Figure 6 provides a workflow diagram that identifies the various stages of the collaborative process from concept to final publication. Collaboration should also continue for the ongoing maintenance phase (see 7.11 and 7.12).</w:t>
      </w:r>
    </w:p>
    <w:p w14:paraId="0D5AC624" w14:textId="77777777" w:rsidR="00523689" w:rsidRPr="00380B40" w:rsidRDefault="00523689" w:rsidP="00523689">
      <w:pPr>
        <w:rPr>
          <w:lang w:val="en-GB"/>
        </w:rPr>
      </w:pPr>
      <w:r w:rsidRPr="00380B40">
        <w:rPr>
          <w:lang w:val="en-GB"/>
        </w:rPr>
        <w:t>The terms of reference or mode of collaboration can be changed at any time by mutual agreement of the SG and SC. Procedures for terminating a collaborative relationship are covered in 4.5.</w:t>
      </w:r>
    </w:p>
    <w:p w14:paraId="6E7013BD" w14:textId="77777777" w:rsidR="004C79F2" w:rsidRPr="00380B40" w:rsidRDefault="004C79F2" w:rsidP="00523689">
      <w:pPr>
        <w:rPr>
          <w:lang w:val="en-GB"/>
        </w:rPr>
      </w:pPr>
    </w:p>
    <w:p w14:paraId="5CB2307F" w14:textId="77777777" w:rsidR="00523689" w:rsidRPr="00380B40" w:rsidRDefault="00523689" w:rsidP="00523689">
      <w:pPr>
        <w:pStyle w:val="Figure"/>
        <w:rPr>
          <w:lang w:val="en-GB"/>
        </w:rPr>
      </w:pPr>
      <w:bookmarkStart w:id="1543" w:name="_Toc382734841"/>
      <w:bookmarkStart w:id="1544" w:name="_Toc3708730"/>
      <w:bookmarkStart w:id="1545" w:name="_Toc229895879"/>
      <w:bookmarkStart w:id="1546" w:name="_Toc229896181"/>
      <w:r w:rsidRPr="00380B40">
        <w:rPr>
          <w:noProof/>
          <w:lang w:val="en-US" w:eastAsia="zh-CN"/>
        </w:rPr>
        <w:drawing>
          <wp:inline distT="0" distB="0" distL="0" distR="0" wp14:anchorId="71C548D7" wp14:editId="349C0C0D">
            <wp:extent cx="5937516" cy="3855728"/>
            <wp:effectExtent l="0" t="0" r="6350" b="0"/>
            <wp:docPr id="12" name="Picture 12" descr="Figure 6 – Workflow diagram when Collaborative Interchange i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6 – Workflow diagram when Collaborative Interchange is used"/>
                    <pic:cNvPicPr/>
                  </pic:nvPicPr>
                  <pic:blipFill>
                    <a:blip r:embed="rId442" cstate="print">
                      <a:extLst>
                        <a:ext uri="{28A0092B-C50C-407E-A947-70E740481C1C}">
                          <a14:useLocalDpi xmlns:a14="http://schemas.microsoft.com/office/drawing/2010/main" val="0"/>
                        </a:ext>
                      </a:extLst>
                    </a:blip>
                    <a:stretch>
                      <a:fillRect/>
                    </a:stretch>
                  </pic:blipFill>
                  <pic:spPr>
                    <a:xfrm>
                      <a:off x="0" y="0"/>
                      <a:ext cx="5937516" cy="3855728"/>
                    </a:xfrm>
                    <a:prstGeom prst="rect">
                      <a:avLst/>
                    </a:prstGeom>
                  </pic:spPr>
                </pic:pic>
              </a:graphicData>
            </a:graphic>
          </wp:inline>
        </w:drawing>
      </w:r>
    </w:p>
    <w:p w14:paraId="57032FCD" w14:textId="77777777" w:rsidR="00523689" w:rsidRPr="00380B40" w:rsidRDefault="00523689" w:rsidP="00FD3C79">
      <w:pPr>
        <w:pStyle w:val="FigureNoTitle1"/>
      </w:pPr>
      <w:r w:rsidRPr="00380B40">
        <w:t>Figure 6 – Workflow diagram when Collaborative Interchange is used</w:t>
      </w:r>
    </w:p>
    <w:p w14:paraId="304DAF5A" w14:textId="77777777" w:rsidR="001179D4" w:rsidRPr="00380B40" w:rsidRDefault="001179D4" w:rsidP="001179D4">
      <w:pPr>
        <w:rPr>
          <w:lang w:val="en-GB"/>
        </w:rPr>
      </w:pPr>
    </w:p>
    <w:p w14:paraId="2F4CEE68" w14:textId="77777777" w:rsidR="001179D4" w:rsidRPr="00380B40" w:rsidRDefault="001179D4" w:rsidP="001179D4">
      <w:pPr>
        <w:rPr>
          <w:lang w:val="en-GB"/>
        </w:rPr>
      </w:pPr>
      <w:r w:rsidRPr="00380B40">
        <w:rPr>
          <w:lang w:val="en-GB"/>
        </w:rPr>
        <w:br w:type="page"/>
      </w:r>
    </w:p>
    <w:p w14:paraId="3562D609" w14:textId="77777777" w:rsidR="00523689" w:rsidRPr="00380B40" w:rsidRDefault="00523689" w:rsidP="00523689">
      <w:pPr>
        <w:pStyle w:val="Heading2"/>
        <w:rPr>
          <w:lang w:val="en-GB"/>
        </w:rPr>
      </w:pPr>
      <w:bookmarkStart w:id="1547" w:name="_Toc398284248"/>
      <w:bookmarkStart w:id="1548" w:name="_Toc401035467"/>
      <w:bookmarkStart w:id="1549" w:name="_Toc401312721"/>
      <w:bookmarkStart w:id="1550" w:name="_Toc401313077"/>
      <w:bookmarkStart w:id="1551" w:name="_Toc111636996"/>
      <w:r w:rsidRPr="00380B40">
        <w:rPr>
          <w:lang w:val="en-GB"/>
        </w:rPr>
        <w:t>7.2</w:t>
      </w:r>
      <w:r w:rsidRPr="00380B40">
        <w:rPr>
          <w:lang w:val="en-GB"/>
        </w:rPr>
        <w:tab/>
        <w:t>Participation in working level meetings</w:t>
      </w:r>
      <w:bookmarkEnd w:id="1543"/>
      <w:bookmarkEnd w:id="1544"/>
      <w:bookmarkEnd w:id="1545"/>
      <w:bookmarkEnd w:id="1546"/>
      <w:bookmarkEnd w:id="1547"/>
      <w:bookmarkEnd w:id="1548"/>
      <w:bookmarkEnd w:id="1549"/>
      <w:bookmarkEnd w:id="1550"/>
      <w:bookmarkEnd w:id="1551"/>
    </w:p>
    <w:p w14:paraId="2BB9F156" w14:textId="77777777" w:rsidR="00523689" w:rsidRPr="00380B40" w:rsidRDefault="00523689" w:rsidP="00523689">
      <w:pPr>
        <w:rPr>
          <w:lang w:val="en-GB"/>
        </w:rPr>
      </w:pPr>
      <w:r w:rsidRPr="00380B40">
        <w:rPr>
          <w:lang w:val="en-GB"/>
        </w:rPr>
        <w:t>Collaboration is facilitated if there is some significant degree of common participation by individuals in the working level meetings of both organizations.</w:t>
      </w:r>
    </w:p>
    <w:p w14:paraId="176C3075" w14:textId="77777777" w:rsidR="00523689" w:rsidRPr="00380B40" w:rsidRDefault="00523689" w:rsidP="00523689">
      <w:pPr>
        <w:rPr>
          <w:lang w:val="en-GB"/>
        </w:rPr>
      </w:pPr>
      <w:r w:rsidRPr="00380B40">
        <w:rPr>
          <w:lang w:val="en-GB"/>
        </w:rPr>
        <w:t>Representation of one organization in a working level meeting of the other organization is achieved by means of liaison (see 6.2). Individuals attending meetings in a liaison capacity should be familiar with the procedures of the organization holding the meeting.</w:t>
      </w:r>
    </w:p>
    <w:p w14:paraId="2C8BC588" w14:textId="77777777" w:rsidR="00523689" w:rsidRPr="00380B40" w:rsidRDefault="00523689" w:rsidP="00523689">
      <w:pPr>
        <w:pStyle w:val="Heading2"/>
        <w:rPr>
          <w:lang w:val="en-GB"/>
        </w:rPr>
      </w:pPr>
      <w:bookmarkStart w:id="1552" w:name="_Toc382734842"/>
      <w:bookmarkStart w:id="1553" w:name="_Toc3708731"/>
      <w:bookmarkStart w:id="1554" w:name="_Toc229895880"/>
      <w:bookmarkStart w:id="1555" w:name="_Toc229896182"/>
      <w:bookmarkStart w:id="1556" w:name="_Toc398284249"/>
      <w:bookmarkStart w:id="1557" w:name="_Toc401035468"/>
      <w:bookmarkStart w:id="1558" w:name="_Toc401312722"/>
      <w:bookmarkStart w:id="1559" w:name="_Toc401313078"/>
      <w:bookmarkStart w:id="1560" w:name="_Toc111636997"/>
      <w:r w:rsidRPr="00380B40">
        <w:rPr>
          <w:lang w:val="en-GB"/>
        </w:rPr>
        <w:t>7.3</w:t>
      </w:r>
      <w:r w:rsidRPr="00380B40">
        <w:rPr>
          <w:lang w:val="en-GB"/>
        </w:rPr>
        <w:tab/>
        <w:t>Scheduling</w:t>
      </w:r>
      <w:bookmarkEnd w:id="1552"/>
      <w:bookmarkEnd w:id="1553"/>
      <w:bookmarkEnd w:id="1554"/>
      <w:bookmarkEnd w:id="1555"/>
      <w:bookmarkEnd w:id="1556"/>
      <w:bookmarkEnd w:id="1557"/>
      <w:bookmarkEnd w:id="1558"/>
      <w:bookmarkEnd w:id="1559"/>
      <w:bookmarkEnd w:id="1560"/>
    </w:p>
    <w:p w14:paraId="0925C1C2" w14:textId="77777777" w:rsidR="00523689" w:rsidRPr="00380B40" w:rsidRDefault="00523689" w:rsidP="00523689">
      <w:pPr>
        <w:rPr>
          <w:lang w:val="en-GB"/>
        </w:rPr>
      </w:pPr>
      <w:r w:rsidRPr="00380B40">
        <w:rPr>
          <w:lang w:val="en-GB"/>
        </w:rPr>
        <w:t>As the work matures, it is important that careful consideration be given to the scheduling of ballots to take into account the meeting schedule of the JTC 1 SC and WG (e.g., for any necessary resolution authorizing progression to ballot) and the ITU-T SG (e.g., for determination (TAP) or consent (AAP) step of the approval process) so that the necessary synchronization can take place in a timely manner.</w:t>
      </w:r>
    </w:p>
    <w:p w14:paraId="0886F0AB" w14:textId="77777777" w:rsidR="00523689" w:rsidRPr="00380B40" w:rsidRDefault="00523689" w:rsidP="00523689">
      <w:pPr>
        <w:pStyle w:val="Heading2"/>
        <w:rPr>
          <w:lang w:val="en-GB"/>
        </w:rPr>
      </w:pPr>
      <w:bookmarkStart w:id="1561" w:name="_Toc382734843"/>
      <w:bookmarkStart w:id="1562" w:name="_Toc3708732"/>
      <w:bookmarkStart w:id="1563" w:name="_Toc229895881"/>
      <w:bookmarkStart w:id="1564" w:name="_Toc229896183"/>
      <w:bookmarkStart w:id="1565" w:name="_Toc398284250"/>
      <w:bookmarkStart w:id="1566" w:name="_Toc401035469"/>
      <w:bookmarkStart w:id="1567" w:name="_Toc401312723"/>
      <w:bookmarkStart w:id="1568" w:name="_Toc401313079"/>
      <w:bookmarkStart w:id="1569" w:name="_Toc111636998"/>
      <w:r w:rsidRPr="00380B40">
        <w:rPr>
          <w:lang w:val="en-GB"/>
        </w:rPr>
        <w:t>7.4</w:t>
      </w:r>
      <w:r w:rsidRPr="00380B40">
        <w:rPr>
          <w:lang w:val="en-GB"/>
        </w:rPr>
        <w:tab/>
        <w:t>Contributions</w:t>
      </w:r>
      <w:bookmarkEnd w:id="1561"/>
      <w:bookmarkEnd w:id="1562"/>
      <w:bookmarkEnd w:id="1563"/>
      <w:bookmarkEnd w:id="1564"/>
      <w:bookmarkEnd w:id="1565"/>
      <w:bookmarkEnd w:id="1566"/>
      <w:bookmarkEnd w:id="1567"/>
      <w:bookmarkEnd w:id="1568"/>
      <w:bookmarkEnd w:id="1569"/>
    </w:p>
    <w:p w14:paraId="3BCB84A5" w14:textId="77777777" w:rsidR="00523689" w:rsidRPr="00380B40" w:rsidRDefault="00523689" w:rsidP="00523689">
      <w:pPr>
        <w:rPr>
          <w:lang w:val="en-GB"/>
        </w:rPr>
      </w:pPr>
      <w:r w:rsidRPr="00380B40">
        <w:rPr>
          <w:lang w:val="en-GB"/>
        </w:rPr>
        <w:t>Contributions are handled by each Working Level Group according to the normal procedures of their organization. In addition, it is important that the results of analysis of contributions be passed promptly to the other Working Level Group.</w:t>
      </w:r>
    </w:p>
    <w:p w14:paraId="09AC9472" w14:textId="77777777" w:rsidR="00523689" w:rsidRPr="00380B40" w:rsidRDefault="00523689" w:rsidP="00523689">
      <w:pPr>
        <w:pStyle w:val="Heading2"/>
        <w:rPr>
          <w:lang w:val="en-GB"/>
        </w:rPr>
      </w:pPr>
      <w:bookmarkStart w:id="1570" w:name="_Toc319403692"/>
      <w:bookmarkStart w:id="1571" w:name="_Toc382734844"/>
      <w:bookmarkStart w:id="1572" w:name="_Toc3708733"/>
      <w:bookmarkStart w:id="1573" w:name="_Toc229895882"/>
      <w:bookmarkStart w:id="1574" w:name="_Toc229896184"/>
      <w:bookmarkStart w:id="1575" w:name="_Toc398284251"/>
      <w:bookmarkStart w:id="1576" w:name="_Toc401035470"/>
      <w:bookmarkStart w:id="1577" w:name="_Toc401312724"/>
      <w:bookmarkStart w:id="1578" w:name="_Toc401313080"/>
      <w:bookmarkStart w:id="1579" w:name="_Toc111636999"/>
      <w:r w:rsidRPr="00380B40">
        <w:rPr>
          <w:lang w:val="en-GB"/>
        </w:rPr>
        <w:t>7.5</w:t>
      </w:r>
      <w:r w:rsidRPr="00380B40">
        <w:rPr>
          <w:lang w:val="en-GB"/>
        </w:rPr>
        <w:tab/>
        <w:t>Editor for common text</w:t>
      </w:r>
      <w:bookmarkEnd w:id="1570"/>
      <w:bookmarkEnd w:id="1571"/>
      <w:bookmarkEnd w:id="1572"/>
      <w:bookmarkEnd w:id="1573"/>
      <w:bookmarkEnd w:id="1574"/>
      <w:bookmarkEnd w:id="1575"/>
      <w:bookmarkEnd w:id="1576"/>
      <w:bookmarkEnd w:id="1577"/>
      <w:bookmarkEnd w:id="1578"/>
      <w:bookmarkEnd w:id="1579"/>
    </w:p>
    <w:p w14:paraId="3CC79F79" w14:textId="77777777" w:rsidR="00523689" w:rsidRPr="00380B40" w:rsidRDefault="00523689" w:rsidP="00523689">
      <w:pPr>
        <w:rPr>
          <w:lang w:val="en-GB"/>
        </w:rPr>
      </w:pPr>
      <w:r w:rsidRPr="00380B40">
        <w:rPr>
          <w:lang w:val="en-GB"/>
        </w:rPr>
        <w:t>It is strongly recommended that the two Working Level Groups agree on a single Editor or set of Editors that will maintain the single master collaborative text. The draft text shall be prepared and maintained by the appointed Editor(s) according to the common format criteria agreed by the ISO/IEC and ITU-T secretariats (see the note in clause 1.3). The draft master collaborative text will be updated only when agreement to the specific text has been made by both groups.</w:t>
      </w:r>
    </w:p>
    <w:p w14:paraId="513DB86D" w14:textId="77777777" w:rsidR="00523689" w:rsidRPr="00380B40" w:rsidRDefault="00523689" w:rsidP="00523689">
      <w:pPr>
        <w:rPr>
          <w:lang w:val="en-GB"/>
        </w:rPr>
      </w:pPr>
      <w:r w:rsidRPr="00380B40">
        <w:rPr>
          <w:lang w:val="en-GB"/>
        </w:rPr>
        <w:t>Each iteration of the draft collaborative text shall be dated. Changes from the previous draft should be highlighted by change marks.</w:t>
      </w:r>
    </w:p>
    <w:p w14:paraId="47D914C6" w14:textId="77777777" w:rsidR="00523689" w:rsidRPr="00380B40" w:rsidRDefault="00523689" w:rsidP="00523689">
      <w:pPr>
        <w:rPr>
          <w:lang w:val="en-GB"/>
        </w:rPr>
      </w:pPr>
      <w:r w:rsidRPr="00380B40">
        <w:rPr>
          <w:lang w:val="en-GB"/>
        </w:rPr>
        <w:t>Appointed Editors will be responsible for the text through draft iterations and final submission to the secretariats for publication. The individuals selected for this task should make a commitment to continue the work to completion so that continuity can be maintained throughout the effort.</w:t>
      </w:r>
    </w:p>
    <w:p w14:paraId="6DFECE56" w14:textId="77777777" w:rsidR="00523689" w:rsidRPr="00380B40" w:rsidRDefault="00523689" w:rsidP="00523689">
      <w:pPr>
        <w:pStyle w:val="Heading2"/>
        <w:rPr>
          <w:sz w:val="18"/>
          <w:lang w:val="en-GB"/>
        </w:rPr>
      </w:pPr>
      <w:bookmarkStart w:id="1580" w:name="_Toc319403693"/>
      <w:bookmarkStart w:id="1581" w:name="_Toc382734845"/>
      <w:bookmarkStart w:id="1582" w:name="_Toc3708734"/>
      <w:bookmarkStart w:id="1583" w:name="_Toc229895883"/>
      <w:bookmarkStart w:id="1584" w:name="_Toc229896185"/>
      <w:bookmarkStart w:id="1585" w:name="_Toc398284252"/>
      <w:bookmarkStart w:id="1586" w:name="_Toc401035471"/>
      <w:bookmarkStart w:id="1587" w:name="_Toc401312725"/>
      <w:bookmarkStart w:id="1588" w:name="_Toc401313081"/>
      <w:bookmarkStart w:id="1589" w:name="_Toc111637000"/>
      <w:r w:rsidRPr="00380B40">
        <w:rPr>
          <w:lang w:val="en-GB"/>
        </w:rPr>
        <w:t>7.6</w:t>
      </w:r>
      <w:r w:rsidRPr="00380B40">
        <w:rPr>
          <w:lang w:val="en-GB"/>
        </w:rPr>
        <w:tab/>
        <w:t>Achieving consensus</w:t>
      </w:r>
      <w:bookmarkEnd w:id="1580"/>
      <w:bookmarkEnd w:id="1581"/>
      <w:bookmarkEnd w:id="1582"/>
      <w:bookmarkEnd w:id="1583"/>
      <w:bookmarkEnd w:id="1584"/>
      <w:bookmarkEnd w:id="1585"/>
      <w:bookmarkEnd w:id="1586"/>
      <w:bookmarkEnd w:id="1587"/>
      <w:bookmarkEnd w:id="1588"/>
      <w:bookmarkEnd w:id="1589"/>
    </w:p>
    <w:p w14:paraId="633EB459" w14:textId="77777777" w:rsidR="00523689" w:rsidRPr="00380B40" w:rsidRDefault="00523689" w:rsidP="00523689">
      <w:pPr>
        <w:rPr>
          <w:lang w:val="en-GB"/>
        </w:rPr>
      </w:pPr>
      <w:r w:rsidRPr="00380B40">
        <w:rPr>
          <w:lang w:val="en-GB"/>
        </w:rPr>
        <w:t>Close liaison is maintained during the development of draft documents, editing the draft texts, and resolution of ballots and comments to ensure that the views of all concerned are taken into account in building consensus. A synergy should emerge from the interaction of the two Working Level Groups. The conduct of the meetings should foster this spirit of cooperation.</w:t>
      </w:r>
    </w:p>
    <w:p w14:paraId="7799A4F4" w14:textId="77777777" w:rsidR="001179D4" w:rsidRPr="00380B40" w:rsidRDefault="001179D4" w:rsidP="00523689">
      <w:pPr>
        <w:rPr>
          <w:lang w:val="en-GB"/>
        </w:rPr>
      </w:pPr>
      <w:r w:rsidRPr="00380B40">
        <w:rPr>
          <w:lang w:val="en-GB"/>
        </w:rPr>
        <w:br w:type="page"/>
      </w:r>
    </w:p>
    <w:p w14:paraId="5C5A10B0" w14:textId="77777777" w:rsidR="00523689" w:rsidRPr="00380B40" w:rsidRDefault="00523689" w:rsidP="00523689">
      <w:pPr>
        <w:rPr>
          <w:lang w:val="en-GB"/>
        </w:rPr>
      </w:pPr>
      <w:r w:rsidRPr="00380B40">
        <w:rPr>
          <w:lang w:val="en-GB"/>
        </w:rPr>
        <w:t>Achieving consensus at each step of the process will be facilitated through cooperation of JTC 1 and ITU-T experts at their national level to provide consistent viewpoints.</w:t>
      </w:r>
    </w:p>
    <w:p w14:paraId="063F0715" w14:textId="77777777" w:rsidR="00523689" w:rsidRPr="00380B40" w:rsidRDefault="00523689" w:rsidP="00523689">
      <w:pPr>
        <w:rPr>
          <w:lang w:val="en-GB"/>
        </w:rPr>
      </w:pPr>
      <w:r w:rsidRPr="00380B40">
        <w:rPr>
          <w:lang w:val="en-GB"/>
        </w:rPr>
        <w:t>In general, the intent is that the degree of consensus and the stability of the agreements will increase at each step of the collaborative process.</w:t>
      </w:r>
    </w:p>
    <w:p w14:paraId="3AFF6D9F" w14:textId="77777777" w:rsidR="00523689" w:rsidRPr="00380B40" w:rsidRDefault="00523689" w:rsidP="00523689">
      <w:pPr>
        <w:rPr>
          <w:lang w:val="en-GB"/>
        </w:rPr>
      </w:pPr>
      <w:r w:rsidRPr="00380B40">
        <w:rPr>
          <w:lang w:val="en-GB"/>
        </w:rPr>
        <w:t>In rare cases, it may become apparent during the development of common text that one or more specific technical differences are necessary taking into account the needs of JTC 1 and ITU-T. All proposed differences should be carefully examined to ensure there is a legitimate need. When this is the case, the common text is to include the full technical material needed by each organization with wording that specifically identifies any text that is applicable only to one organization.</w:t>
      </w:r>
    </w:p>
    <w:p w14:paraId="741D410E" w14:textId="77777777" w:rsidR="00523689" w:rsidRPr="00380B40" w:rsidRDefault="00523689" w:rsidP="00523689">
      <w:pPr>
        <w:pStyle w:val="Heading2"/>
        <w:rPr>
          <w:lang w:val="en-GB"/>
        </w:rPr>
      </w:pPr>
      <w:bookmarkStart w:id="1590" w:name="_Toc319403694"/>
      <w:bookmarkStart w:id="1591" w:name="_Toc382734846"/>
      <w:bookmarkStart w:id="1592" w:name="_Toc3708735"/>
      <w:bookmarkStart w:id="1593" w:name="_Toc229895884"/>
      <w:bookmarkStart w:id="1594" w:name="_Toc229896186"/>
      <w:bookmarkStart w:id="1595" w:name="_Toc398284253"/>
      <w:bookmarkStart w:id="1596" w:name="_Toc401035472"/>
      <w:bookmarkStart w:id="1597" w:name="_Toc401312726"/>
      <w:bookmarkStart w:id="1598" w:name="_Toc401313082"/>
      <w:bookmarkStart w:id="1599" w:name="_Toc111637001"/>
      <w:r w:rsidRPr="00380B40">
        <w:rPr>
          <w:lang w:val="en-GB"/>
        </w:rPr>
        <w:t>7.7</w:t>
      </w:r>
      <w:r w:rsidRPr="00380B40">
        <w:rPr>
          <w:lang w:val="en-GB"/>
        </w:rPr>
        <w:tab/>
        <w:t>Progress reporting</w:t>
      </w:r>
      <w:bookmarkEnd w:id="1590"/>
      <w:bookmarkEnd w:id="1591"/>
      <w:bookmarkEnd w:id="1592"/>
      <w:bookmarkEnd w:id="1593"/>
      <w:bookmarkEnd w:id="1594"/>
      <w:bookmarkEnd w:id="1595"/>
      <w:bookmarkEnd w:id="1596"/>
      <w:bookmarkEnd w:id="1597"/>
      <w:bookmarkEnd w:id="1598"/>
      <w:bookmarkEnd w:id="1599"/>
    </w:p>
    <w:p w14:paraId="21559D31" w14:textId="77777777" w:rsidR="00523689" w:rsidRPr="00380B40" w:rsidRDefault="00523689" w:rsidP="00523689">
      <w:pPr>
        <w:rPr>
          <w:lang w:val="en-GB"/>
        </w:rPr>
      </w:pPr>
      <w:r w:rsidRPr="00380B40">
        <w:rPr>
          <w:lang w:val="en-GB"/>
        </w:rPr>
        <w:t>Each Working Level Group is responsible for providing written reports of its meetings to its parent SG/WP or SC/WG following normal procedures. These reports should summarize the results of the meeting including agreements reached, areas identified for further study, the status of collaborative progress, and projected upcoming milestones (see 5.2).</w:t>
      </w:r>
    </w:p>
    <w:p w14:paraId="6C7C11E0" w14:textId="77777777" w:rsidR="00523689" w:rsidRPr="00380B40" w:rsidRDefault="00523689" w:rsidP="00523689">
      <w:pPr>
        <w:rPr>
          <w:lang w:val="en-GB"/>
        </w:rPr>
      </w:pPr>
      <w:r w:rsidRPr="00380B40">
        <w:rPr>
          <w:lang w:val="en-GB"/>
        </w:rPr>
        <w:t>These reports, or appropriate extracts, should be conveyed to the other Working Level Group using the normal liaison procedure. Meeting reports should contain sufficient information to enable the collaborative work to mutually progress in both organizations as effectively as possible.</w:t>
      </w:r>
    </w:p>
    <w:p w14:paraId="6EC6BD9A" w14:textId="77777777" w:rsidR="00523689" w:rsidRPr="00380B40" w:rsidRDefault="00523689" w:rsidP="00523689">
      <w:pPr>
        <w:pStyle w:val="Heading2"/>
        <w:rPr>
          <w:lang w:val="en-GB"/>
        </w:rPr>
      </w:pPr>
      <w:bookmarkStart w:id="1600" w:name="_Toc319403695"/>
      <w:bookmarkStart w:id="1601" w:name="_Toc382734847"/>
      <w:bookmarkStart w:id="1602" w:name="_Toc3708736"/>
      <w:bookmarkStart w:id="1603" w:name="_Toc229895885"/>
      <w:bookmarkStart w:id="1604" w:name="_Toc229896187"/>
      <w:bookmarkStart w:id="1605" w:name="_Toc398284254"/>
      <w:bookmarkStart w:id="1606" w:name="_Toc401035473"/>
      <w:bookmarkStart w:id="1607" w:name="_Toc401312727"/>
      <w:bookmarkStart w:id="1608" w:name="_Toc401313083"/>
      <w:bookmarkStart w:id="1609" w:name="_Toc111637002"/>
      <w:r w:rsidRPr="00380B40">
        <w:rPr>
          <w:lang w:val="en-GB"/>
        </w:rPr>
        <w:t>7.8</w:t>
      </w:r>
      <w:r w:rsidRPr="00380B40">
        <w:rPr>
          <w:lang w:val="en-GB"/>
        </w:rPr>
        <w:tab/>
        <w:t>Liaisons</w:t>
      </w:r>
      <w:bookmarkEnd w:id="1600"/>
      <w:bookmarkEnd w:id="1601"/>
      <w:bookmarkEnd w:id="1602"/>
      <w:bookmarkEnd w:id="1603"/>
      <w:bookmarkEnd w:id="1604"/>
      <w:bookmarkEnd w:id="1605"/>
      <w:bookmarkEnd w:id="1606"/>
      <w:bookmarkEnd w:id="1607"/>
      <w:bookmarkEnd w:id="1608"/>
      <w:bookmarkEnd w:id="1609"/>
    </w:p>
    <w:p w14:paraId="5964A744" w14:textId="77777777" w:rsidR="00523689" w:rsidRPr="00380B40" w:rsidRDefault="00523689" w:rsidP="00523689">
      <w:pPr>
        <w:rPr>
          <w:lang w:val="en-GB"/>
        </w:rPr>
      </w:pPr>
      <w:r w:rsidRPr="00380B40">
        <w:rPr>
          <w:lang w:val="en-GB"/>
        </w:rPr>
        <w:t>It is important to ensure continuing coherence of work in the Information Technology area. Therefore, maintaining established liaisons with other activities and organizations that have been identified to have an appropriate relationship is essential to the success of the work. Meeting reports and drafts should be distributed and comments invited. Liaison organizations are also encouraged to provide contributions to the work. Liaison contributions and comments are considered additional views to facilitate the work and to identify other considerations.</w:t>
      </w:r>
    </w:p>
    <w:p w14:paraId="0571D252" w14:textId="77777777" w:rsidR="00523689" w:rsidRPr="00380B40" w:rsidRDefault="00523689" w:rsidP="00523689">
      <w:pPr>
        <w:rPr>
          <w:lang w:val="en-GB"/>
        </w:rPr>
      </w:pPr>
      <w:r w:rsidRPr="00380B40">
        <w:rPr>
          <w:lang w:val="en-GB"/>
        </w:rPr>
        <w:t>Liaisons are handled in the normal manner by each organization. However, liaisons of common interest should be shared with the other Working Level Group.</w:t>
      </w:r>
    </w:p>
    <w:p w14:paraId="7A9E3581" w14:textId="77777777" w:rsidR="00523689" w:rsidRPr="00380B40" w:rsidRDefault="00523689" w:rsidP="00523689">
      <w:pPr>
        <w:pStyle w:val="Heading2"/>
        <w:rPr>
          <w:lang w:val="en-GB"/>
        </w:rPr>
      </w:pPr>
      <w:bookmarkStart w:id="1610" w:name="_Toc319403696"/>
      <w:bookmarkStart w:id="1611" w:name="_Toc382734848"/>
      <w:bookmarkStart w:id="1612" w:name="_Toc3708737"/>
      <w:bookmarkStart w:id="1613" w:name="_Toc229895886"/>
      <w:bookmarkStart w:id="1614" w:name="_Toc229896188"/>
      <w:bookmarkStart w:id="1615" w:name="_Toc398284255"/>
      <w:bookmarkStart w:id="1616" w:name="_Toc401035474"/>
      <w:bookmarkStart w:id="1617" w:name="_Toc401312728"/>
      <w:bookmarkStart w:id="1618" w:name="_Toc401313084"/>
      <w:bookmarkStart w:id="1619" w:name="_Toc111637003"/>
      <w:r w:rsidRPr="00380B40">
        <w:rPr>
          <w:lang w:val="en-GB"/>
        </w:rPr>
        <w:t>7.9</w:t>
      </w:r>
      <w:r w:rsidRPr="00380B40">
        <w:rPr>
          <w:lang w:val="en-GB"/>
        </w:rPr>
        <w:tab/>
        <w:t>Synchronized approval process</w:t>
      </w:r>
      <w:bookmarkEnd w:id="1610"/>
      <w:bookmarkEnd w:id="1611"/>
      <w:bookmarkEnd w:id="1612"/>
      <w:bookmarkEnd w:id="1613"/>
      <w:bookmarkEnd w:id="1614"/>
      <w:bookmarkEnd w:id="1615"/>
      <w:bookmarkEnd w:id="1616"/>
      <w:bookmarkEnd w:id="1617"/>
      <w:bookmarkEnd w:id="1618"/>
      <w:bookmarkEnd w:id="1619"/>
    </w:p>
    <w:p w14:paraId="22778C07" w14:textId="77777777" w:rsidR="00523689" w:rsidRPr="00380B40" w:rsidRDefault="00523689" w:rsidP="00523689">
      <w:pPr>
        <w:rPr>
          <w:lang w:val="en-GB"/>
        </w:rPr>
      </w:pPr>
      <w:r w:rsidRPr="00380B40">
        <w:rPr>
          <w:lang w:val="en-GB"/>
        </w:rPr>
        <w:t>Each organization retains its individual procedures for approving the result of the collaboration work as International Standards and ITU-T Recommendations. Clause 3 presents the individual organization procedures and policies that are to be followed. The paragraphs below describe how these procedures are synchronized for the different stages of approval.</w:t>
      </w:r>
    </w:p>
    <w:p w14:paraId="5F43AD40" w14:textId="77777777" w:rsidR="001179D4" w:rsidRPr="00380B40" w:rsidRDefault="001179D4" w:rsidP="00523689">
      <w:pPr>
        <w:rPr>
          <w:lang w:val="en-GB"/>
        </w:rPr>
      </w:pPr>
      <w:r w:rsidRPr="00380B40">
        <w:rPr>
          <w:lang w:val="en-GB"/>
        </w:rPr>
        <w:br w:type="page"/>
      </w:r>
    </w:p>
    <w:p w14:paraId="425A5FBE" w14:textId="77777777" w:rsidR="00523689" w:rsidRPr="00380B40" w:rsidRDefault="00523689" w:rsidP="00523689">
      <w:pPr>
        <w:rPr>
          <w:lang w:val="en-GB"/>
        </w:rPr>
      </w:pPr>
      <w:r w:rsidRPr="00380B40">
        <w:rPr>
          <w:lang w:val="en-GB"/>
        </w:rPr>
        <w:t>As outlined in 7.7 above, each Working Level Group keeps its parent informed of the progress of the collaborative work. When the work has progressed to a point where a schedule for synchronized approval can be established with a degree of confidence, it is important for the two Working Level Groups to jointly plan the specific steps, taking into account scheduled dates of the ITU-T SG and JTC 1 SC meetings. Figure 5 shows the necessary alignment that needs to be achieved between the two approval processes.</w:t>
      </w:r>
    </w:p>
    <w:p w14:paraId="2017E0A8" w14:textId="77777777" w:rsidR="00523689" w:rsidRPr="00380B40" w:rsidRDefault="00523689" w:rsidP="00523689">
      <w:pPr>
        <w:rPr>
          <w:lang w:val="en-GB"/>
        </w:rPr>
      </w:pPr>
      <w:r w:rsidRPr="00380B40">
        <w:rPr>
          <w:lang w:val="en-GB"/>
        </w:rPr>
        <w:t>When the two Working Level Groups decide that the draft has reached a point of maturity and that the synchronized approval process should commence, each parent is advised of the decision.</w:t>
      </w:r>
    </w:p>
    <w:p w14:paraId="4F123E55" w14:textId="77777777" w:rsidR="00523689" w:rsidRPr="00380B40" w:rsidRDefault="00523689" w:rsidP="00523689">
      <w:pPr>
        <w:rPr>
          <w:lang w:val="en-GB"/>
        </w:rPr>
      </w:pPr>
      <w:r w:rsidRPr="00380B40">
        <w:rPr>
          <w:lang w:val="en-GB"/>
        </w:rPr>
        <w:t>For the first level of balloting on the JTC 1 side, the SC secretariat registers the Working Draft as a Committee Draft (CD), Proposed Draft Amendment (PDAM), Proposed Draft Technical Report (PDTR) or proposed Draft Technical Specification (PDTS), and distributes it for letter ballot to the National Bodies of the SC. The ballot period is two, three or four months. At the same time, the draft text is distributed to the ITU-T SG members for review and comment. ITU-T member comments should be provided within the same time period.</w:t>
      </w:r>
    </w:p>
    <w:p w14:paraId="09EE30A7" w14:textId="77777777" w:rsidR="00523689" w:rsidRPr="00380B40" w:rsidRDefault="00523689" w:rsidP="00523689">
      <w:pPr>
        <w:rPr>
          <w:lang w:val="en-GB"/>
        </w:rPr>
      </w:pPr>
      <w:r w:rsidRPr="00380B40">
        <w:rPr>
          <w:lang w:val="en-GB"/>
        </w:rPr>
        <w:t>Responses from National Bodies to the CD, PDAM, PDTR or PDTS ballot are collected by the SC secretariat and distributed in a Summary of Voting Report. ITU-T members will comment by means of contributions to the SG. Both sets of responses are to be made available to each of the two Working Level Groups.</w:t>
      </w:r>
    </w:p>
    <w:p w14:paraId="11CD2E1E" w14:textId="77777777" w:rsidR="00523689" w:rsidRPr="00380B40" w:rsidRDefault="00523689" w:rsidP="00523689">
      <w:pPr>
        <w:rPr>
          <w:lang w:val="en-GB"/>
        </w:rPr>
      </w:pPr>
      <w:r w:rsidRPr="00380B40">
        <w:rPr>
          <w:lang w:val="en-GB"/>
        </w:rPr>
        <w:t>The two Working Level Groups should coordinate their efforts in resolving all received comments and drafting the revised text. If the changes are substantive, a second CD, PDAM, PDTR or PDTS ballot and comment period for ITU-T members will be necessary.</w:t>
      </w:r>
    </w:p>
    <w:p w14:paraId="076EF843" w14:textId="77777777" w:rsidR="00523689" w:rsidRPr="00380B40" w:rsidRDefault="00523689" w:rsidP="00523689">
      <w:pPr>
        <w:keepLines/>
        <w:rPr>
          <w:lang w:val="en-GB"/>
        </w:rPr>
      </w:pPr>
      <w:r w:rsidRPr="00380B40">
        <w:rPr>
          <w:lang w:val="en-GB"/>
        </w:rPr>
        <w:t>When the issues have been resolved to the satisfaction of both Working Level Groups, the draft will be elevated to the next level of approval. The document will be registered as a DIS or DAM and circulated for a three-month ballot (following a two-month translation period) by ITTF to the members of ISO and IEC. A DTR or DTS is circulated for a three to six month letter ballot at the JTC 1 level. At the same time the document will be submitted to the SG secretariat. The text will be circulated as an SG document for review and comment. ITU-T member comments should be provided within the same time period so that all responses can be considered together. Also during this time period, the ITTF and the TSB will review the text and submit their comments.</w:t>
      </w:r>
    </w:p>
    <w:p w14:paraId="4736E121" w14:textId="77777777" w:rsidR="00523689" w:rsidRPr="00380B40" w:rsidRDefault="00523689" w:rsidP="00523689">
      <w:pPr>
        <w:rPr>
          <w:lang w:val="en-GB"/>
        </w:rPr>
      </w:pPr>
      <w:r w:rsidRPr="00380B40">
        <w:rPr>
          <w:lang w:val="en-GB"/>
        </w:rPr>
        <w:t>It is at this point where synchronization is critical. The first controlling factor is the date of the ITU-T SG or WP meeting where determination (TAP) or consent (AAP) is to be obtained. At this meeting, the text must be at the DIS, DAM or DTR level in ISO/IEC. The second controlling factor is that the DIS, DAM, DTR or DTS ballot resolution meeting must have produced the final text for ITU-T approval:</w:t>
      </w:r>
    </w:p>
    <w:p w14:paraId="1F679112" w14:textId="77777777" w:rsidR="00523689" w:rsidRPr="00380B40" w:rsidRDefault="00523689" w:rsidP="00523689">
      <w:pPr>
        <w:pStyle w:val="enumlev1"/>
        <w:rPr>
          <w:lang w:val="en-GB"/>
        </w:rPr>
      </w:pPr>
      <w:r w:rsidRPr="00380B40">
        <w:rPr>
          <w:lang w:val="en-GB"/>
        </w:rPr>
        <w:t>a)</w:t>
      </w:r>
      <w:r w:rsidRPr="00380B40">
        <w:rPr>
          <w:lang w:val="en-GB"/>
        </w:rPr>
        <w:tab/>
        <w:t>for TAP, by 4 months before the SG meeting where approval is to be obtained so that the TSB Director can issue a letter announcing the intent to approve the Recommendation at the upcoming SG meeting;</w:t>
      </w:r>
    </w:p>
    <w:p w14:paraId="63353076" w14:textId="77777777" w:rsidR="00523689" w:rsidRPr="00380B40" w:rsidRDefault="00523689" w:rsidP="00523689">
      <w:pPr>
        <w:pStyle w:val="enumlev1"/>
        <w:rPr>
          <w:lang w:val="en-GB"/>
        </w:rPr>
      </w:pPr>
      <w:r w:rsidRPr="00380B40">
        <w:rPr>
          <w:lang w:val="en-GB"/>
        </w:rPr>
        <w:t>b)</w:t>
      </w:r>
      <w:r w:rsidRPr="00380B40">
        <w:rPr>
          <w:lang w:val="en-GB"/>
        </w:rPr>
        <w:tab/>
        <w:t>for AAP, by 2 months after the SG meeting where consent was obtained so that the TSB Director can announce the Last Call for approval of the Recommendation.</w:t>
      </w:r>
    </w:p>
    <w:p w14:paraId="0A90FF4E" w14:textId="77777777" w:rsidR="001179D4" w:rsidRPr="00380B40" w:rsidRDefault="001179D4" w:rsidP="00523689">
      <w:pPr>
        <w:rPr>
          <w:lang w:val="en-GB"/>
        </w:rPr>
      </w:pPr>
      <w:r w:rsidRPr="00380B40">
        <w:rPr>
          <w:lang w:val="en-GB"/>
        </w:rPr>
        <w:br w:type="page"/>
      </w:r>
    </w:p>
    <w:p w14:paraId="779EFE0B" w14:textId="77777777" w:rsidR="00523689" w:rsidRPr="00380B40" w:rsidRDefault="00523689" w:rsidP="00523689">
      <w:pPr>
        <w:rPr>
          <w:lang w:val="en-GB"/>
        </w:rPr>
      </w:pPr>
      <w:r w:rsidRPr="00380B40">
        <w:rPr>
          <w:lang w:val="en-GB"/>
        </w:rPr>
        <w:t>Responses from the DIS, DAM, DTR or DTS ballot are distributed in a Summary of Voting Report by the SC secretariat. ITU-T members will comment by means of contributions to the SG. Both sets of responses are to be made available to each of the two Working Level Groups.</w:t>
      </w:r>
    </w:p>
    <w:p w14:paraId="2984DA5E" w14:textId="77777777" w:rsidR="00523689" w:rsidRPr="00380B40" w:rsidRDefault="00523689" w:rsidP="0030446A">
      <w:pPr>
        <w:pStyle w:val="Note2"/>
      </w:pPr>
      <w:r w:rsidRPr="00380B40">
        <w:rPr>
          <w:smallCaps/>
        </w:rPr>
        <w:t>NOTE </w:t>
      </w:r>
      <w:r w:rsidRPr="00380B40">
        <w:sym w:font="Symbol" w:char="F02D"/>
      </w:r>
      <w:r w:rsidRPr="00380B40">
        <w:t> If an ITU-T Member State indicates a problem which would prevent approval or if a problem is indicated on the JTC 1 side which would delay approval (e.g., an unplanned second DIS ballot), this should be immediately conveyed to all concerned so that appropriate action can be taken and, if necessary, a new synchronized plan established.</w:t>
      </w:r>
    </w:p>
    <w:p w14:paraId="68BA110D" w14:textId="77777777" w:rsidR="00523689" w:rsidRPr="00380B40" w:rsidRDefault="00523689" w:rsidP="00523689">
      <w:pPr>
        <w:rPr>
          <w:lang w:val="en-GB"/>
        </w:rPr>
      </w:pPr>
      <w:r w:rsidRPr="00380B40">
        <w:rPr>
          <w:lang w:val="en-GB"/>
        </w:rPr>
        <w:t>The DIS, DAM, DTR or DTS ballot responses and the comments from ITU-T members will be considered at a ballot resolution meeting. With ITU-T participation, the group reviews and resolves the comments and negative ballots. If revisions are substantive, a second DIS, DAM, DTR or DTS ballot and comment period for ITU</w:t>
      </w:r>
      <w:r w:rsidRPr="00380B40">
        <w:rPr>
          <w:lang w:val="en-GB"/>
        </w:rPr>
        <w:noBreakHyphen/>
        <w:t>T members will be required to affirm that all are in accord with the results.</w:t>
      </w:r>
      <w:r w:rsidR="00FD162E" w:rsidRPr="00380B40">
        <w:rPr>
          <w:rStyle w:val="FootnoteReference"/>
          <w:lang w:val="en-GB"/>
        </w:rPr>
        <w:footnoteReference w:id="76"/>
      </w:r>
      <w:r w:rsidRPr="00380B40">
        <w:rPr>
          <w:lang w:val="en-GB"/>
        </w:rPr>
        <w:t xml:space="preserve"> This ballot and comment period is two to three</w:t>
      </w:r>
      <w:r w:rsidRPr="00380B40" w:rsidDel="00CB0650">
        <w:rPr>
          <w:lang w:val="en-GB"/>
        </w:rPr>
        <w:t xml:space="preserve"> </w:t>
      </w:r>
      <w:r w:rsidRPr="00380B40">
        <w:rPr>
          <w:lang w:val="en-GB"/>
        </w:rPr>
        <w:t>months for DISs and DAMs, and is three months for DTRs and DTSs.</w:t>
      </w:r>
    </w:p>
    <w:p w14:paraId="452D15CF" w14:textId="77777777" w:rsidR="00523689" w:rsidRPr="00380B40" w:rsidRDefault="00523689" w:rsidP="00523689">
      <w:pPr>
        <w:rPr>
          <w:lang w:val="en-GB"/>
        </w:rPr>
      </w:pPr>
      <w:r w:rsidRPr="00380B40">
        <w:rPr>
          <w:lang w:val="en-GB"/>
        </w:rPr>
        <w:t>The DIS, DAM, or DTR ballot resolution meeting is extended to include the ITU-T approval process so that any needed changes/corrections resulting from review of the text can be mutually agreed</w:t>
      </w:r>
      <w:r w:rsidR="00FD162E" w:rsidRPr="00380B40">
        <w:rPr>
          <w:rStyle w:val="FootnoteReference"/>
          <w:lang w:val="en-GB"/>
        </w:rPr>
        <w:footnoteReference w:id="77"/>
      </w:r>
      <w:r w:rsidRPr="00380B40">
        <w:rPr>
          <w:lang w:val="en-GB"/>
        </w:rPr>
        <w:t>. With the text available, the appropriate ITU-T approval process (TAP or AAP) will be conducted. Immediately following ITU-T approval, the editor provides the final text along with the Disposition of Comments document to the SC secretariat. This initiates the two-month ballot of the FDIS or FDAM to National Bodies of ISO and IEC (there is no additional ballot for DTRs or DTSs). The FDIS ballot may be omitted if the DIS ballot was successful without any negative vote. This two-month letter ballot has only one of two possible outcomes: approval or rejection. If approval is not obtained from the ITU-T approval process or in response to the ISO/IEC letter ballot, the next action will be based on consultation between ISO/IEC JTC 1 and ITU-T, taking into account the specifics of the situation.</w:t>
      </w:r>
    </w:p>
    <w:p w14:paraId="6DAA8A3A" w14:textId="77777777" w:rsidR="00523689" w:rsidRPr="00380B40" w:rsidRDefault="00523689" w:rsidP="00523689">
      <w:pPr>
        <w:rPr>
          <w:lang w:val="en-GB"/>
        </w:rPr>
      </w:pPr>
      <w:r w:rsidRPr="00380B40">
        <w:rPr>
          <w:lang w:val="en-GB"/>
        </w:rPr>
        <w:t>While the ISO/IEC letter ballot is being conducted, the ITTF and the TSB will work together to facilitate prompt publication.</w:t>
      </w:r>
    </w:p>
    <w:p w14:paraId="4285BFB7" w14:textId="77777777" w:rsidR="00523689" w:rsidRPr="00380B40" w:rsidRDefault="00523689" w:rsidP="00523689">
      <w:pPr>
        <w:pStyle w:val="Heading2"/>
        <w:rPr>
          <w:lang w:val="en-GB"/>
        </w:rPr>
      </w:pPr>
      <w:bookmarkStart w:id="1620" w:name="_Toc319403697"/>
      <w:bookmarkStart w:id="1621" w:name="_Toc382734849"/>
      <w:bookmarkStart w:id="1622" w:name="_Toc3708738"/>
      <w:bookmarkStart w:id="1623" w:name="_Toc229895887"/>
      <w:bookmarkStart w:id="1624" w:name="_Toc229896189"/>
      <w:bookmarkStart w:id="1625" w:name="_Toc398284256"/>
      <w:bookmarkStart w:id="1626" w:name="_Toc401035475"/>
      <w:bookmarkStart w:id="1627" w:name="_Toc401312729"/>
      <w:bookmarkStart w:id="1628" w:name="_Toc401313085"/>
      <w:bookmarkStart w:id="1629" w:name="_Toc111637004"/>
      <w:r w:rsidRPr="00380B40">
        <w:rPr>
          <w:lang w:val="en-GB"/>
        </w:rPr>
        <w:t>7.10</w:t>
      </w:r>
      <w:r w:rsidRPr="00380B40">
        <w:rPr>
          <w:lang w:val="en-GB"/>
        </w:rPr>
        <w:tab/>
        <w:t>Publicatio</w:t>
      </w:r>
      <w:bookmarkEnd w:id="1620"/>
      <w:r w:rsidRPr="00380B40">
        <w:rPr>
          <w:lang w:val="en-GB"/>
        </w:rPr>
        <w:t>n</w:t>
      </w:r>
      <w:bookmarkEnd w:id="1621"/>
      <w:bookmarkEnd w:id="1622"/>
      <w:bookmarkEnd w:id="1623"/>
      <w:bookmarkEnd w:id="1624"/>
      <w:bookmarkEnd w:id="1625"/>
      <w:bookmarkEnd w:id="1626"/>
      <w:bookmarkEnd w:id="1627"/>
      <w:bookmarkEnd w:id="1628"/>
      <w:bookmarkEnd w:id="1629"/>
    </w:p>
    <w:p w14:paraId="2018B802" w14:textId="77777777" w:rsidR="00523689" w:rsidRPr="00380B40" w:rsidRDefault="00523689" w:rsidP="00523689">
      <w:pPr>
        <w:rPr>
          <w:lang w:val="en-GB"/>
        </w:rPr>
      </w:pPr>
      <w:r w:rsidRPr="00380B40">
        <w:rPr>
          <w:lang w:val="en-GB"/>
        </w:rPr>
        <w:t xml:space="preserve">The collaborative Recommendation | International Standard should be published as soon as practical after an affirmative response to the ISO/IEC FDIS ballot has been achieved. Note that, should the DIS ballot be successful without negative votes, the FDIS ballot may be omitted and the text may proceed as soon as practical to publication. </w:t>
      </w:r>
    </w:p>
    <w:p w14:paraId="6F57E71C" w14:textId="77777777" w:rsidR="00523689" w:rsidRPr="00380B40" w:rsidRDefault="00523689" w:rsidP="00523689">
      <w:pPr>
        <w:rPr>
          <w:lang w:val="en-GB"/>
        </w:rPr>
      </w:pPr>
      <w:r w:rsidRPr="00380B40">
        <w:rPr>
          <w:lang w:val="en-GB"/>
        </w:rPr>
        <w:t>Care should be taken to ensure that there is a single master of the common text for each language that is used for publication.</w:t>
      </w:r>
    </w:p>
    <w:p w14:paraId="1A4A1AD4" w14:textId="77777777" w:rsidR="001179D4" w:rsidRPr="00380B40" w:rsidRDefault="001179D4" w:rsidP="001179D4">
      <w:pPr>
        <w:rPr>
          <w:lang w:val="en-GB"/>
        </w:rPr>
      </w:pPr>
      <w:bookmarkStart w:id="1630" w:name="_Toc319403698"/>
      <w:bookmarkStart w:id="1631" w:name="_Toc382734850"/>
      <w:bookmarkStart w:id="1632" w:name="_Toc3708739"/>
      <w:bookmarkStart w:id="1633" w:name="_Toc229895888"/>
      <w:bookmarkStart w:id="1634" w:name="_Toc229896190"/>
      <w:bookmarkStart w:id="1635" w:name="_Toc398284257"/>
      <w:bookmarkStart w:id="1636" w:name="_Toc401035476"/>
      <w:bookmarkStart w:id="1637" w:name="_Toc401312730"/>
      <w:bookmarkStart w:id="1638" w:name="_Toc401313086"/>
      <w:r w:rsidRPr="00380B40">
        <w:rPr>
          <w:lang w:val="en-GB"/>
        </w:rPr>
        <w:br w:type="page"/>
      </w:r>
    </w:p>
    <w:p w14:paraId="27F40205" w14:textId="77777777" w:rsidR="00523689" w:rsidRPr="00380B40" w:rsidRDefault="00523689" w:rsidP="00523689">
      <w:pPr>
        <w:pStyle w:val="Heading2"/>
        <w:rPr>
          <w:lang w:val="en-GB"/>
        </w:rPr>
      </w:pPr>
      <w:bookmarkStart w:id="1639" w:name="_Toc111637005"/>
      <w:r w:rsidRPr="00380B40">
        <w:rPr>
          <w:lang w:val="en-GB"/>
        </w:rPr>
        <w:t>7.11</w:t>
      </w:r>
      <w:r w:rsidRPr="00380B40">
        <w:rPr>
          <w:lang w:val="en-GB"/>
        </w:rPr>
        <w:tab/>
        <w:t>Defects</w:t>
      </w:r>
      <w:bookmarkEnd w:id="1630"/>
      <w:bookmarkEnd w:id="1631"/>
      <w:bookmarkEnd w:id="1632"/>
      <w:bookmarkEnd w:id="1633"/>
      <w:bookmarkEnd w:id="1634"/>
      <w:bookmarkEnd w:id="1635"/>
      <w:bookmarkEnd w:id="1636"/>
      <w:bookmarkEnd w:id="1637"/>
      <w:bookmarkEnd w:id="1638"/>
      <w:bookmarkEnd w:id="1639"/>
    </w:p>
    <w:p w14:paraId="56FE4CD6" w14:textId="77777777" w:rsidR="00523689" w:rsidRPr="00380B40" w:rsidRDefault="00523689" w:rsidP="00523689">
      <w:pPr>
        <w:rPr>
          <w:lang w:val="en-GB"/>
        </w:rPr>
      </w:pPr>
      <w:r w:rsidRPr="00380B40">
        <w:rPr>
          <w:lang w:val="en-GB"/>
        </w:rPr>
        <w:t>The work is not necessarily completed at the stage of publication. While every effort has been taken to produce a quality document, experience has shown that defects may be found as the document is being applied to implementations. Therefore, there is need for an ongoing responsibility for dealing with Defect Reports.</w:t>
      </w:r>
    </w:p>
    <w:p w14:paraId="74D69178" w14:textId="77777777" w:rsidR="00523689" w:rsidRPr="00380B40" w:rsidRDefault="00523689" w:rsidP="00523689">
      <w:pPr>
        <w:rPr>
          <w:lang w:val="en-GB"/>
        </w:rPr>
      </w:pPr>
      <w:r w:rsidRPr="00380B40">
        <w:rPr>
          <w:lang w:val="en-GB"/>
        </w:rPr>
        <w:t>It is critical that rapid correction of possible errors, omissions, inconsistencies, or ambiguities be performed collaboratively. The procedures for this important effort are outlined below.</w:t>
      </w:r>
    </w:p>
    <w:p w14:paraId="66979FBA" w14:textId="77777777" w:rsidR="00523689" w:rsidRPr="00380B40" w:rsidRDefault="00523689" w:rsidP="00523689">
      <w:pPr>
        <w:pStyle w:val="Heading3"/>
        <w:ind w:left="0" w:firstLine="0"/>
        <w:rPr>
          <w:lang w:val="en-GB"/>
        </w:rPr>
      </w:pPr>
      <w:bookmarkStart w:id="1640" w:name="_Toc3708740"/>
      <w:bookmarkStart w:id="1641" w:name="_Toc229895889"/>
      <w:bookmarkStart w:id="1642" w:name="_Toc229896191"/>
      <w:bookmarkStart w:id="1643" w:name="_Toc111637006"/>
      <w:r w:rsidRPr="00380B40">
        <w:rPr>
          <w:lang w:val="en-GB"/>
        </w:rPr>
        <w:t>7.11.1</w:t>
      </w:r>
      <w:r w:rsidRPr="00380B40">
        <w:rPr>
          <w:lang w:val="en-GB"/>
        </w:rPr>
        <w:tab/>
        <w:t>Defect Review Groups</w:t>
      </w:r>
      <w:bookmarkEnd w:id="1640"/>
      <w:bookmarkEnd w:id="1641"/>
      <w:bookmarkEnd w:id="1642"/>
      <w:bookmarkEnd w:id="1643"/>
    </w:p>
    <w:p w14:paraId="61D79B94" w14:textId="77777777" w:rsidR="00523689" w:rsidRPr="00380B40" w:rsidRDefault="00523689" w:rsidP="00523689">
      <w:pPr>
        <w:rPr>
          <w:lang w:val="en-GB"/>
        </w:rPr>
      </w:pPr>
      <w:r w:rsidRPr="00380B40">
        <w:rPr>
          <w:lang w:val="en-GB"/>
        </w:rPr>
        <w:t>The JTC 1 SC and ITU-T SG should each appoint a Defect Review Group that will mutually collaborate in resolving defects. Each Defect Review Group should have a chairperson and be composed of nominated experts.</w:t>
      </w:r>
    </w:p>
    <w:p w14:paraId="27786405" w14:textId="77777777" w:rsidR="00523689" w:rsidRPr="00380B40" w:rsidRDefault="00523689" w:rsidP="00523689">
      <w:pPr>
        <w:pStyle w:val="Heading3"/>
        <w:ind w:left="0" w:firstLine="0"/>
        <w:rPr>
          <w:lang w:val="en-GB"/>
        </w:rPr>
      </w:pPr>
      <w:bookmarkStart w:id="1644" w:name="_Toc3708741"/>
      <w:bookmarkStart w:id="1645" w:name="_Toc229895890"/>
      <w:bookmarkStart w:id="1646" w:name="_Toc229896192"/>
      <w:bookmarkStart w:id="1647" w:name="_Toc111637007"/>
      <w:r w:rsidRPr="00380B40">
        <w:rPr>
          <w:lang w:val="en-GB"/>
        </w:rPr>
        <w:t>7.11.2</w:t>
      </w:r>
      <w:r w:rsidRPr="00380B40">
        <w:rPr>
          <w:lang w:val="en-GB"/>
        </w:rPr>
        <w:tab/>
        <w:t>Submission of Defect Reports</w:t>
      </w:r>
      <w:bookmarkEnd w:id="1644"/>
      <w:bookmarkEnd w:id="1645"/>
      <w:bookmarkEnd w:id="1646"/>
      <w:bookmarkEnd w:id="1647"/>
    </w:p>
    <w:p w14:paraId="50A1D2D5" w14:textId="77777777" w:rsidR="00523689" w:rsidRPr="00380B40" w:rsidRDefault="00523689" w:rsidP="00523689">
      <w:pPr>
        <w:rPr>
          <w:lang w:val="en-GB"/>
        </w:rPr>
      </w:pPr>
      <w:r w:rsidRPr="00380B40">
        <w:rPr>
          <w:lang w:val="en-GB"/>
        </w:rPr>
        <w:t>Defect Reports may be submitted by ISO/IEC National Bodies, ITU-T members, liaison organizations, the responsible SG or any of its WPs, the responsible SC or any of its WGs, or by a member of either Defect Review Group. Appendix I provides the Defect Report form to be used. It is a modified version of the JTC 1 Defect Report form to encompass both JTC 1 and ITU-T information.</w:t>
      </w:r>
    </w:p>
    <w:p w14:paraId="6B220600" w14:textId="77777777" w:rsidR="00523689" w:rsidRPr="00380B40" w:rsidRDefault="00523689" w:rsidP="00523689">
      <w:pPr>
        <w:rPr>
          <w:lang w:val="en-GB"/>
        </w:rPr>
      </w:pPr>
      <w:r w:rsidRPr="00380B40">
        <w:rPr>
          <w:lang w:val="en-GB"/>
        </w:rPr>
        <w:t>Defect Reports submitted to one organization should be immediately copied to the other organization. The JTC 1 WG secretariat will handle the administrative aspects.</w:t>
      </w:r>
    </w:p>
    <w:p w14:paraId="134D18ED" w14:textId="77777777" w:rsidR="00523689" w:rsidRPr="00380B40" w:rsidRDefault="00523689" w:rsidP="00523689">
      <w:pPr>
        <w:rPr>
          <w:lang w:val="en-GB"/>
        </w:rPr>
      </w:pPr>
      <w:r w:rsidRPr="00380B40">
        <w:rPr>
          <w:lang w:val="en-GB"/>
        </w:rPr>
        <w:t>The Defect Review Groups are responsible for maintaining an up-to-date list of all submitted Defect Reports and the status of each.</w:t>
      </w:r>
    </w:p>
    <w:p w14:paraId="0FC1F75F" w14:textId="77777777" w:rsidR="00523689" w:rsidRPr="00380B40" w:rsidRDefault="00523689" w:rsidP="00523689">
      <w:pPr>
        <w:pStyle w:val="Heading3"/>
        <w:ind w:left="0" w:firstLine="0"/>
        <w:rPr>
          <w:lang w:val="en-GB"/>
        </w:rPr>
      </w:pPr>
      <w:bookmarkStart w:id="1648" w:name="_Toc3708742"/>
      <w:bookmarkStart w:id="1649" w:name="_Toc229895891"/>
      <w:bookmarkStart w:id="1650" w:name="_Toc229896193"/>
      <w:bookmarkStart w:id="1651" w:name="_Toc111637008"/>
      <w:r w:rsidRPr="00380B40">
        <w:rPr>
          <w:lang w:val="en-GB"/>
        </w:rPr>
        <w:t>7.11.3</w:t>
      </w:r>
      <w:r w:rsidRPr="00380B40">
        <w:rPr>
          <w:lang w:val="en-GB"/>
        </w:rPr>
        <w:tab/>
        <w:t>Procedures for resolving defects</w:t>
      </w:r>
      <w:bookmarkEnd w:id="1648"/>
      <w:bookmarkEnd w:id="1649"/>
      <w:bookmarkEnd w:id="1650"/>
      <w:bookmarkEnd w:id="1651"/>
    </w:p>
    <w:p w14:paraId="1F3B9EA0" w14:textId="77777777" w:rsidR="00523689" w:rsidRPr="00380B40" w:rsidRDefault="00523689" w:rsidP="00523689">
      <w:pPr>
        <w:rPr>
          <w:lang w:val="en-GB"/>
        </w:rPr>
      </w:pPr>
      <w:r w:rsidRPr="00380B40">
        <w:rPr>
          <w:lang w:val="en-GB"/>
        </w:rPr>
        <w:t>The JTC 1 procedures for handling Defect Reports (see ISO/IEC Directives for JTC 1) are followed with modifications to encompass collaborative ITU-T and JTC 1 participation in the resolution of the defect.</w:t>
      </w:r>
    </w:p>
    <w:p w14:paraId="4D4132EC" w14:textId="77777777" w:rsidR="00523689" w:rsidRPr="00380B40" w:rsidRDefault="00523689" w:rsidP="00523689">
      <w:pPr>
        <w:rPr>
          <w:lang w:val="en-GB"/>
        </w:rPr>
      </w:pPr>
      <w:r w:rsidRPr="00380B40">
        <w:rPr>
          <w:lang w:val="en-GB"/>
        </w:rPr>
        <w:t xml:space="preserve">When mutual agreement of the two Defect Review Groups has been obtained for a resolution of a defect, the appropriate approval procedures are initiated in the ITU-T and JTC 1. </w:t>
      </w:r>
    </w:p>
    <w:p w14:paraId="594B568F" w14:textId="77777777" w:rsidR="001179D4" w:rsidRPr="00380B40" w:rsidRDefault="00523689" w:rsidP="004B02DF">
      <w:pPr>
        <w:rPr>
          <w:lang w:val="en-GB"/>
        </w:rPr>
      </w:pPr>
      <w:r w:rsidRPr="00380B40">
        <w:rPr>
          <w:lang w:val="en-GB"/>
        </w:rPr>
        <w:t xml:space="preserve">If the resolution of a Defect Report results in a need to correct the text of a collaborative Recommendation | International Standard, then the Editor prepares a draft Technical Corrigendum and sends it to the SC secretariat and the SG secretariat. JTC 1 approval is obtained by means of a three-month SC ballot/JTC 1 comment period. ITU-T approval under TAP is obtained by the SG Chairman submission of the text to the TSB, announcement in the Director's letter followed by a three-month consultation period and approval at a SG meeting. ITU-T approval under AAP is obtained by consent at a SG or WP meeting followed by approval through the Last Call. The approved corrections are published in common text format as a Technical Corrigendum to the Recommendation | International Standard. </w:t>
      </w:r>
    </w:p>
    <w:p w14:paraId="3A448916" w14:textId="77777777" w:rsidR="00153048" w:rsidRPr="00380B40" w:rsidRDefault="00153048" w:rsidP="004B02DF">
      <w:pPr>
        <w:rPr>
          <w:lang w:val="en-GB"/>
        </w:rPr>
      </w:pPr>
      <w:r w:rsidRPr="00380B40">
        <w:rPr>
          <w:lang w:val="en-GB"/>
        </w:rPr>
        <w:br w:type="page"/>
      </w:r>
    </w:p>
    <w:p w14:paraId="724BE25D" w14:textId="77777777" w:rsidR="00523689" w:rsidRPr="00380B40" w:rsidRDefault="00523689" w:rsidP="00523689">
      <w:pPr>
        <w:rPr>
          <w:lang w:val="en-GB"/>
        </w:rPr>
      </w:pPr>
      <w:r w:rsidRPr="00380B40">
        <w:rPr>
          <w:lang w:val="en-GB"/>
        </w:rPr>
        <w:t>Alternatively, if the resolution of the Defect Report involves substantial change, then it is processed as an amendment using the procedures in 7.12.</w:t>
      </w:r>
    </w:p>
    <w:p w14:paraId="6437EDAA" w14:textId="77777777" w:rsidR="00523689" w:rsidRPr="00380B40" w:rsidRDefault="00523689" w:rsidP="00523689">
      <w:pPr>
        <w:rPr>
          <w:lang w:val="en-GB"/>
        </w:rPr>
      </w:pPr>
      <w:r w:rsidRPr="00380B40">
        <w:rPr>
          <w:lang w:val="en-GB"/>
        </w:rPr>
        <w:t>The Editor for the Recommendation | International Standard will maintain an up-to-date copy of the complete integrated text, including all changes approved through the defect process.</w:t>
      </w:r>
      <w:bookmarkStart w:id="1652" w:name="_Toc319403699"/>
      <w:bookmarkStart w:id="1653" w:name="_Toc382734851"/>
    </w:p>
    <w:p w14:paraId="50A5718B" w14:textId="77777777" w:rsidR="00523689" w:rsidRPr="00380B40" w:rsidRDefault="00523689" w:rsidP="00523689">
      <w:pPr>
        <w:pStyle w:val="Heading2"/>
        <w:rPr>
          <w:sz w:val="18"/>
          <w:lang w:val="en-GB"/>
        </w:rPr>
      </w:pPr>
      <w:bookmarkStart w:id="1654" w:name="_Toc3708743"/>
      <w:bookmarkStart w:id="1655" w:name="_Toc229895892"/>
      <w:bookmarkStart w:id="1656" w:name="_Toc229896194"/>
      <w:bookmarkStart w:id="1657" w:name="_Toc398284258"/>
      <w:bookmarkStart w:id="1658" w:name="_Toc401035477"/>
      <w:bookmarkStart w:id="1659" w:name="_Toc401312731"/>
      <w:bookmarkStart w:id="1660" w:name="_Toc401313087"/>
      <w:bookmarkStart w:id="1661" w:name="_Toc111637009"/>
      <w:r w:rsidRPr="00380B40">
        <w:rPr>
          <w:lang w:val="en-GB"/>
        </w:rPr>
        <w:t>7.12</w:t>
      </w:r>
      <w:r w:rsidRPr="00380B40">
        <w:rPr>
          <w:lang w:val="en-GB"/>
        </w:rPr>
        <w:tab/>
        <w:t>Amendments</w:t>
      </w:r>
      <w:bookmarkEnd w:id="1652"/>
      <w:bookmarkEnd w:id="1653"/>
      <w:bookmarkEnd w:id="1654"/>
      <w:bookmarkEnd w:id="1655"/>
      <w:bookmarkEnd w:id="1656"/>
      <w:bookmarkEnd w:id="1657"/>
      <w:bookmarkEnd w:id="1658"/>
      <w:bookmarkEnd w:id="1659"/>
      <w:bookmarkEnd w:id="1660"/>
      <w:bookmarkEnd w:id="1661"/>
    </w:p>
    <w:p w14:paraId="7601B2B7" w14:textId="77777777" w:rsidR="00523689" w:rsidRPr="00380B40" w:rsidRDefault="00523689" w:rsidP="00523689">
      <w:pPr>
        <w:rPr>
          <w:lang w:val="en-GB"/>
        </w:rPr>
      </w:pPr>
      <w:r w:rsidRPr="00380B40">
        <w:rPr>
          <w:lang w:val="en-GB"/>
        </w:rPr>
        <w:t>Further work is often identified as a result of the development process and as a result of changing technology and new operational requirements. Accordingly, there is an important need for amendments that provide expansions, enhancements, and updates to the basic provisions of the published Recommendation | International Standard.</w:t>
      </w:r>
    </w:p>
    <w:p w14:paraId="3A3212CA" w14:textId="77777777" w:rsidR="00523689" w:rsidRPr="00380B40" w:rsidRDefault="00523689" w:rsidP="00523689">
      <w:pPr>
        <w:rPr>
          <w:lang w:val="en-GB"/>
        </w:rPr>
      </w:pPr>
      <w:r w:rsidRPr="00380B40">
        <w:rPr>
          <w:lang w:val="en-GB"/>
        </w:rPr>
        <w:t>The processing of amendments follows the same procedures as the original development beginning with the approval, if necessary, of an NP by JTC 1.</w:t>
      </w:r>
    </w:p>
    <w:p w14:paraId="2E07900C" w14:textId="77777777" w:rsidR="00523689" w:rsidRPr="00380B40" w:rsidRDefault="00523689" w:rsidP="00523689">
      <w:pPr>
        <w:rPr>
          <w:lang w:val="en-GB"/>
        </w:rPr>
      </w:pPr>
      <w:r w:rsidRPr="00380B40">
        <w:rPr>
          <w:lang w:val="en-GB"/>
        </w:rPr>
        <w:t>The Editor for the Recommendation | International Standard will maintain an up-to-date copy of the complete integrated text, including all changes approved through the amendment process.</w:t>
      </w:r>
    </w:p>
    <w:p w14:paraId="732DECD4" w14:textId="77777777" w:rsidR="00523689" w:rsidRPr="00380B40" w:rsidRDefault="00523689" w:rsidP="00523689">
      <w:pPr>
        <w:pStyle w:val="Heading1"/>
        <w:rPr>
          <w:sz w:val="20"/>
          <w:lang w:val="en-GB"/>
        </w:rPr>
      </w:pPr>
      <w:bookmarkStart w:id="1662" w:name="_Toc382734852"/>
      <w:bookmarkStart w:id="1663" w:name="_Toc3708744"/>
      <w:bookmarkStart w:id="1664" w:name="_Toc229895893"/>
      <w:bookmarkStart w:id="1665" w:name="_Toc229896195"/>
      <w:bookmarkStart w:id="1666" w:name="_Toc398284259"/>
      <w:bookmarkStart w:id="1667" w:name="_Toc401035478"/>
      <w:bookmarkStart w:id="1668" w:name="_Toc401312732"/>
      <w:bookmarkStart w:id="1669" w:name="_Toc401313088"/>
      <w:bookmarkStart w:id="1670" w:name="_Toc111637010"/>
      <w:r w:rsidRPr="00380B40">
        <w:rPr>
          <w:lang w:val="en-GB"/>
        </w:rPr>
        <w:t>8</w:t>
      </w:r>
      <w:r w:rsidRPr="00380B40">
        <w:rPr>
          <w:lang w:val="en-GB"/>
        </w:rPr>
        <w:tab/>
        <w:t>Collaboration using a Collaborative Team</w:t>
      </w:r>
      <w:bookmarkEnd w:id="1662"/>
      <w:bookmarkEnd w:id="1663"/>
      <w:bookmarkEnd w:id="1664"/>
      <w:bookmarkEnd w:id="1665"/>
      <w:bookmarkEnd w:id="1666"/>
      <w:bookmarkEnd w:id="1667"/>
      <w:bookmarkEnd w:id="1668"/>
      <w:bookmarkEnd w:id="1669"/>
      <w:bookmarkEnd w:id="1670"/>
    </w:p>
    <w:p w14:paraId="43E3845D" w14:textId="77777777" w:rsidR="00523689" w:rsidRPr="00380B40" w:rsidRDefault="00523689" w:rsidP="00523689">
      <w:pPr>
        <w:rPr>
          <w:lang w:val="en-GB"/>
        </w:rPr>
      </w:pPr>
      <w:r w:rsidRPr="00380B40">
        <w:rPr>
          <w:lang w:val="en-GB"/>
        </w:rPr>
        <w:t>The basic concept of collaboration using a collaborative team is to perform all development, consensus building, and ballot/comment resolution in common meetings to produce mutually agreed common text for one or more Recommendations | International Standards. Although the remainder of this section focuses on common text, development of twin text is also possible using a Collaborative Team.</w:t>
      </w:r>
    </w:p>
    <w:p w14:paraId="0A59CDAA" w14:textId="77777777" w:rsidR="00523689" w:rsidRPr="00380B40" w:rsidRDefault="00523689" w:rsidP="00523689">
      <w:pPr>
        <w:pStyle w:val="Heading2"/>
        <w:rPr>
          <w:lang w:val="en-GB"/>
        </w:rPr>
      </w:pPr>
      <w:bookmarkStart w:id="1671" w:name="_Toc382734853"/>
      <w:bookmarkStart w:id="1672" w:name="_Toc3708745"/>
      <w:bookmarkStart w:id="1673" w:name="_Toc229895894"/>
      <w:bookmarkStart w:id="1674" w:name="_Toc229896196"/>
      <w:bookmarkStart w:id="1675" w:name="_Toc398284260"/>
      <w:bookmarkStart w:id="1676" w:name="_Toc401035479"/>
      <w:bookmarkStart w:id="1677" w:name="_Toc401312733"/>
      <w:bookmarkStart w:id="1678" w:name="_Toc401313089"/>
      <w:bookmarkStart w:id="1679" w:name="_Toc111637011"/>
      <w:r w:rsidRPr="00380B40">
        <w:rPr>
          <w:lang w:val="en-GB"/>
        </w:rPr>
        <w:t>8.1</w:t>
      </w:r>
      <w:r w:rsidRPr="00380B40">
        <w:rPr>
          <w:lang w:val="en-GB"/>
        </w:rPr>
        <w:tab/>
        <w:t>Collaborative Team</w:t>
      </w:r>
      <w:bookmarkEnd w:id="1671"/>
      <w:bookmarkEnd w:id="1672"/>
      <w:bookmarkEnd w:id="1673"/>
      <w:bookmarkEnd w:id="1674"/>
      <w:bookmarkEnd w:id="1675"/>
      <w:bookmarkEnd w:id="1676"/>
      <w:bookmarkEnd w:id="1677"/>
      <w:bookmarkEnd w:id="1678"/>
      <w:bookmarkEnd w:id="1679"/>
    </w:p>
    <w:p w14:paraId="3233991F" w14:textId="77777777" w:rsidR="00523689" w:rsidRPr="00380B40" w:rsidRDefault="00523689" w:rsidP="00523689">
      <w:pPr>
        <w:rPr>
          <w:lang w:val="en-GB"/>
        </w:rPr>
      </w:pPr>
      <w:r w:rsidRPr="00380B40">
        <w:rPr>
          <w:lang w:val="en-GB"/>
        </w:rPr>
        <w:t xml:space="preserve">Upon agreement by the ISO/IEC JTC 1 Subcommittee and the ITU-T Study Group that a specific area of work is to be developed collaboratively in common meetings, a Collaborative Team (CT) is established with participants from both organizations. </w:t>
      </w:r>
    </w:p>
    <w:p w14:paraId="0086141B" w14:textId="77777777" w:rsidR="00523689" w:rsidRPr="00380B40" w:rsidRDefault="00523689" w:rsidP="00523689">
      <w:pPr>
        <w:rPr>
          <w:lang w:val="en-GB"/>
        </w:rPr>
      </w:pPr>
      <w:r w:rsidRPr="00380B40">
        <w:rPr>
          <w:lang w:val="en-GB"/>
        </w:rPr>
        <w:t xml:space="preserve">The mutually agreed terms of reference for each Collaborative Team should include: </w:t>
      </w:r>
    </w:p>
    <w:p w14:paraId="32BDFB1E" w14:textId="77777777" w:rsidR="00523689" w:rsidRPr="00380B40" w:rsidRDefault="00523689" w:rsidP="00523689">
      <w:pPr>
        <w:pStyle w:val="enumlev1"/>
        <w:rPr>
          <w:lang w:val="en-GB"/>
        </w:rPr>
      </w:pPr>
      <w:r w:rsidRPr="00380B40">
        <w:rPr>
          <w:lang w:val="en-GB"/>
        </w:rPr>
        <w:t>–</w:t>
      </w:r>
      <w:r w:rsidRPr="00380B40">
        <w:rPr>
          <w:lang w:val="en-GB"/>
        </w:rPr>
        <w:tab/>
        <w:t>The scope of the effort as it relates to each organization's program of work (ITU-T Question and JTC 1 project). Where possible, it should include identification of Recommendation(s) and International Standard(s) that are to be developed collaboratively.</w:t>
      </w:r>
    </w:p>
    <w:p w14:paraId="3D57874A" w14:textId="77777777" w:rsidR="00523689" w:rsidRPr="00380B40" w:rsidRDefault="00523689" w:rsidP="00523689">
      <w:pPr>
        <w:pStyle w:val="enumlev1"/>
        <w:rPr>
          <w:lang w:val="en-GB"/>
        </w:rPr>
      </w:pPr>
      <w:r w:rsidRPr="00380B40">
        <w:rPr>
          <w:lang w:val="en-GB"/>
        </w:rPr>
        <w:t>–</w:t>
      </w:r>
      <w:r w:rsidRPr="00380B40">
        <w:rPr>
          <w:lang w:val="en-GB"/>
        </w:rPr>
        <w:tab/>
        <w:t>The parent body in each organization to which the CT is to directly report (i.e., SG or WP, and SC or WG).</w:t>
      </w:r>
    </w:p>
    <w:p w14:paraId="61EDFB9C" w14:textId="77777777" w:rsidR="00523689" w:rsidRPr="00380B40" w:rsidRDefault="00523689" w:rsidP="00523689">
      <w:pPr>
        <w:pStyle w:val="enumlev1"/>
        <w:rPr>
          <w:lang w:val="en-GB"/>
        </w:rPr>
      </w:pPr>
      <w:r w:rsidRPr="00380B40">
        <w:rPr>
          <w:lang w:val="en-GB"/>
        </w:rPr>
        <w:t>–</w:t>
      </w:r>
      <w:r w:rsidRPr="00380B40">
        <w:rPr>
          <w:lang w:val="en-GB"/>
        </w:rPr>
        <w:tab/>
        <w:t>Any reporting or tracking provisions beyond those specified in 8.7.</w:t>
      </w:r>
    </w:p>
    <w:p w14:paraId="01DA6A0A" w14:textId="77777777" w:rsidR="001179D4" w:rsidRPr="00380B40" w:rsidRDefault="001179D4" w:rsidP="00523689">
      <w:pPr>
        <w:pStyle w:val="enumlev1"/>
        <w:rPr>
          <w:lang w:val="en-GB"/>
        </w:rPr>
      </w:pPr>
      <w:r w:rsidRPr="00380B40">
        <w:rPr>
          <w:lang w:val="en-GB"/>
        </w:rPr>
        <w:br w:type="page"/>
      </w:r>
    </w:p>
    <w:p w14:paraId="3322B75C" w14:textId="77777777" w:rsidR="00523689" w:rsidRPr="00380B40" w:rsidRDefault="00523689" w:rsidP="00523689">
      <w:pPr>
        <w:pStyle w:val="enumlev1"/>
        <w:rPr>
          <w:lang w:val="en-GB"/>
        </w:rPr>
      </w:pPr>
      <w:r w:rsidRPr="00380B40">
        <w:rPr>
          <w:lang w:val="en-GB"/>
        </w:rPr>
        <w:t>–</w:t>
      </w:r>
      <w:r w:rsidRPr="00380B40">
        <w:rPr>
          <w:lang w:val="en-GB"/>
        </w:rPr>
        <w:tab/>
        <w:t>Any start-up provisions to accommodate work in progress. If the JTC 1 project has been submitted to ITTF for Draft International Standard processing, or if the ITU-T project has been consented for AAP Last Call (or determined for TAP consultation), the window to establish a Collaborative Team is considered as closed.</w:t>
      </w:r>
    </w:p>
    <w:p w14:paraId="55E100F7" w14:textId="77777777" w:rsidR="00523689" w:rsidRPr="00380B40" w:rsidRDefault="00523689" w:rsidP="00523689">
      <w:pPr>
        <w:rPr>
          <w:lang w:val="en-GB"/>
        </w:rPr>
      </w:pPr>
      <w:r w:rsidRPr="00380B40">
        <w:rPr>
          <w:lang w:val="en-GB"/>
        </w:rPr>
        <w:t>The CT uses the procedures detailed below to build consensus and to achieve synchronization of approvals leading to publication of common text.</w:t>
      </w:r>
    </w:p>
    <w:p w14:paraId="33EEEB95" w14:textId="77777777" w:rsidR="00523689" w:rsidRPr="00380B40" w:rsidRDefault="00523689" w:rsidP="00523689">
      <w:pPr>
        <w:rPr>
          <w:lang w:val="en-GB"/>
        </w:rPr>
      </w:pPr>
      <w:r w:rsidRPr="00380B40">
        <w:rPr>
          <w:lang w:val="en-GB"/>
        </w:rPr>
        <w:t>Figure 7 provides a workflow diagram that identifies the various stages of the collaborative process from concept to final publication. Collaboration can also continue for the ongoing maintenance phase (see 8.11 and 8.12).</w:t>
      </w:r>
    </w:p>
    <w:p w14:paraId="6FD08386" w14:textId="77777777" w:rsidR="001179D4" w:rsidRPr="00380B40" w:rsidRDefault="00523689" w:rsidP="00153048">
      <w:pPr>
        <w:rPr>
          <w:lang w:val="en-GB"/>
        </w:rPr>
      </w:pPr>
      <w:r w:rsidRPr="00380B40">
        <w:rPr>
          <w:lang w:val="en-GB"/>
        </w:rPr>
        <w:t>The terms of reference or mode of collaboration can be changed at any time by mutual agreement of the SG and SC. Procedures for terminating a collaborative relationship are covered in 4.5.</w:t>
      </w:r>
    </w:p>
    <w:p w14:paraId="2D52A810" w14:textId="77777777" w:rsidR="00153048" w:rsidRPr="00380B40" w:rsidRDefault="00153048" w:rsidP="00153048">
      <w:pPr>
        <w:rPr>
          <w:lang w:val="en-GB"/>
        </w:rPr>
      </w:pPr>
    </w:p>
    <w:p w14:paraId="5706355E" w14:textId="77777777" w:rsidR="00523689" w:rsidRPr="00380B40" w:rsidRDefault="00523689" w:rsidP="00523689">
      <w:pPr>
        <w:pStyle w:val="Figure"/>
        <w:rPr>
          <w:lang w:val="en-GB"/>
        </w:rPr>
      </w:pPr>
      <w:bookmarkStart w:id="1680" w:name="_Toc319403702"/>
      <w:r w:rsidRPr="00380B40">
        <w:rPr>
          <w:noProof/>
          <w:lang w:val="en-US" w:eastAsia="zh-CN"/>
        </w:rPr>
        <w:drawing>
          <wp:inline distT="0" distB="0" distL="0" distR="0" wp14:anchorId="5FCD0BEF" wp14:editId="538C96FD">
            <wp:extent cx="6004572" cy="3849632"/>
            <wp:effectExtent l="0" t="0" r="0" b="0"/>
            <wp:docPr id="17" name="Picture 17" descr="Figure 7 – Workflow diagram when Collaborative Team i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7 – Workflow diagram when Collaborative Team is used"/>
                    <pic:cNvPicPr/>
                  </pic:nvPicPr>
                  <pic:blipFill>
                    <a:blip r:embed="rId443" cstate="print">
                      <a:extLst>
                        <a:ext uri="{28A0092B-C50C-407E-A947-70E740481C1C}">
                          <a14:useLocalDpi xmlns:a14="http://schemas.microsoft.com/office/drawing/2010/main" val="0"/>
                        </a:ext>
                      </a:extLst>
                    </a:blip>
                    <a:stretch>
                      <a:fillRect/>
                    </a:stretch>
                  </pic:blipFill>
                  <pic:spPr>
                    <a:xfrm>
                      <a:off x="0" y="0"/>
                      <a:ext cx="6004572" cy="3849632"/>
                    </a:xfrm>
                    <a:prstGeom prst="rect">
                      <a:avLst/>
                    </a:prstGeom>
                  </pic:spPr>
                </pic:pic>
              </a:graphicData>
            </a:graphic>
          </wp:inline>
        </w:drawing>
      </w:r>
    </w:p>
    <w:p w14:paraId="6A252CAC" w14:textId="77777777" w:rsidR="00523689" w:rsidRPr="00380B40" w:rsidRDefault="00523689" w:rsidP="00FD3C79">
      <w:pPr>
        <w:pStyle w:val="FigureNoTitle1"/>
      </w:pPr>
      <w:bookmarkStart w:id="1681" w:name="_Toc382734854"/>
      <w:r w:rsidRPr="00380B40">
        <w:t>Figure 7 – Workflow diagram when Collaborative Team is used</w:t>
      </w:r>
    </w:p>
    <w:p w14:paraId="2F2FA863" w14:textId="77777777" w:rsidR="001179D4" w:rsidRPr="00380B40" w:rsidRDefault="001179D4" w:rsidP="001179D4">
      <w:pPr>
        <w:rPr>
          <w:lang w:val="en-GB"/>
        </w:rPr>
      </w:pPr>
    </w:p>
    <w:p w14:paraId="525BB900" w14:textId="77777777" w:rsidR="001179D4" w:rsidRPr="00380B40" w:rsidRDefault="001179D4" w:rsidP="001179D4">
      <w:pPr>
        <w:rPr>
          <w:lang w:val="en-GB"/>
        </w:rPr>
      </w:pPr>
      <w:r w:rsidRPr="00380B40">
        <w:rPr>
          <w:lang w:val="en-GB"/>
        </w:rPr>
        <w:br w:type="page"/>
      </w:r>
    </w:p>
    <w:p w14:paraId="23D52971" w14:textId="77777777" w:rsidR="00523689" w:rsidRPr="00380B40" w:rsidRDefault="00523689" w:rsidP="00523689">
      <w:pPr>
        <w:pStyle w:val="Heading2"/>
        <w:rPr>
          <w:lang w:val="en-GB"/>
        </w:rPr>
      </w:pPr>
      <w:bookmarkStart w:id="1682" w:name="_Toc3708746"/>
      <w:bookmarkStart w:id="1683" w:name="_Toc229895895"/>
      <w:bookmarkStart w:id="1684" w:name="_Toc229896197"/>
      <w:bookmarkStart w:id="1685" w:name="_Toc398284261"/>
      <w:bookmarkStart w:id="1686" w:name="_Toc401035480"/>
      <w:bookmarkStart w:id="1687" w:name="_Toc401312734"/>
      <w:bookmarkStart w:id="1688" w:name="_Toc401313090"/>
      <w:bookmarkStart w:id="1689" w:name="_Toc111637012"/>
      <w:r w:rsidRPr="00380B40">
        <w:rPr>
          <w:lang w:val="en-GB"/>
        </w:rPr>
        <w:t>8.2</w:t>
      </w:r>
      <w:r w:rsidRPr="00380B40">
        <w:rPr>
          <w:lang w:val="en-GB"/>
        </w:rPr>
        <w:tab/>
        <w:t>Convenor(s) and Editor(s)</w:t>
      </w:r>
      <w:bookmarkEnd w:id="1680"/>
      <w:bookmarkEnd w:id="1681"/>
      <w:bookmarkEnd w:id="1682"/>
      <w:bookmarkEnd w:id="1683"/>
      <w:bookmarkEnd w:id="1684"/>
      <w:bookmarkEnd w:id="1685"/>
      <w:bookmarkEnd w:id="1686"/>
      <w:bookmarkEnd w:id="1687"/>
      <w:bookmarkEnd w:id="1688"/>
      <w:bookmarkEnd w:id="1689"/>
    </w:p>
    <w:p w14:paraId="43A391DE" w14:textId="77777777" w:rsidR="00523689" w:rsidRPr="00380B40" w:rsidRDefault="00523689" w:rsidP="00523689">
      <w:pPr>
        <w:rPr>
          <w:lang w:val="en-GB"/>
        </w:rPr>
      </w:pPr>
      <w:r w:rsidRPr="00380B40">
        <w:rPr>
          <w:lang w:val="en-GB"/>
        </w:rPr>
        <w:t>The CT will have either a single Convenor agreed upon by the JTC 1 SC and the ITU-T SG, or co</w:t>
      </w:r>
      <w:r w:rsidRPr="00380B40">
        <w:rPr>
          <w:lang w:val="en-GB"/>
        </w:rPr>
        <w:noBreakHyphen/>
        <w:t>Convenors, one appointed by each organization (JTC 1 SC and ITU-T SG). In the case of co-Convenors, the chairing of meetings can be on a rotational basis or as otherwise agreed by the CT.</w:t>
      </w:r>
    </w:p>
    <w:p w14:paraId="751FC5DD" w14:textId="77777777" w:rsidR="00523689" w:rsidRPr="00380B40" w:rsidRDefault="00523689" w:rsidP="00523689">
      <w:pPr>
        <w:rPr>
          <w:lang w:val="en-GB"/>
        </w:rPr>
      </w:pPr>
      <w:r w:rsidRPr="00380B40">
        <w:rPr>
          <w:lang w:val="en-GB"/>
        </w:rPr>
        <w:t>Administrative support is the responsibility of the CT Convenor(s) and participating members.</w:t>
      </w:r>
    </w:p>
    <w:p w14:paraId="5EF6B5C8" w14:textId="77777777" w:rsidR="00523689" w:rsidRPr="00380B40" w:rsidRDefault="00523689" w:rsidP="00523689">
      <w:pPr>
        <w:rPr>
          <w:lang w:val="en-GB"/>
        </w:rPr>
      </w:pPr>
      <w:r w:rsidRPr="00380B40">
        <w:rPr>
          <w:lang w:val="en-GB"/>
        </w:rPr>
        <w:t>A single Editor or set of Editors shall be appointed to produce and maintain the single master collaborative text during the development and approval process. The draft text shall be prepared and maintained by the appointed Editor(s) according to the common format criteria agreed by the ISO/IEC and ITU-T secretariats (see the note in clause 1.3). Each iteration of the draft collaborative text shall be dated. Changes from the previous draft should be highlighted by change marks.</w:t>
      </w:r>
    </w:p>
    <w:p w14:paraId="39A8954B" w14:textId="77777777" w:rsidR="00523689" w:rsidRPr="00380B40" w:rsidRDefault="00523689" w:rsidP="00523689">
      <w:pPr>
        <w:rPr>
          <w:lang w:val="en-GB"/>
        </w:rPr>
      </w:pPr>
      <w:r w:rsidRPr="00380B40">
        <w:rPr>
          <w:lang w:val="en-GB"/>
        </w:rPr>
        <w:t>Appointed Editors will be responsible for the text through draft iterations and final submission to the secretariats for publication. The individuals selected for this task should make a commitment to continue the work to completion so that continuity can be maintained throughout the effort.</w:t>
      </w:r>
    </w:p>
    <w:p w14:paraId="13743DB5" w14:textId="77777777" w:rsidR="00523689" w:rsidRPr="00380B40" w:rsidRDefault="00523689" w:rsidP="00523689">
      <w:pPr>
        <w:pStyle w:val="Heading2"/>
        <w:rPr>
          <w:lang w:val="en-GB"/>
        </w:rPr>
      </w:pPr>
      <w:bookmarkStart w:id="1690" w:name="_Toc319403703"/>
      <w:bookmarkStart w:id="1691" w:name="_Toc382734855"/>
      <w:bookmarkStart w:id="1692" w:name="_Toc3708747"/>
      <w:bookmarkStart w:id="1693" w:name="_Toc229895896"/>
      <w:bookmarkStart w:id="1694" w:name="_Toc229896198"/>
      <w:bookmarkStart w:id="1695" w:name="_Toc398284262"/>
      <w:bookmarkStart w:id="1696" w:name="_Toc401035481"/>
      <w:bookmarkStart w:id="1697" w:name="_Toc401312735"/>
      <w:bookmarkStart w:id="1698" w:name="_Toc401313091"/>
      <w:bookmarkStart w:id="1699" w:name="_Toc111637013"/>
      <w:r w:rsidRPr="00380B40">
        <w:rPr>
          <w:lang w:val="en-GB"/>
        </w:rPr>
        <w:t>8.3</w:t>
      </w:r>
      <w:r w:rsidRPr="00380B40">
        <w:rPr>
          <w:lang w:val="en-GB"/>
        </w:rPr>
        <w:tab/>
        <w:t>Participants</w:t>
      </w:r>
      <w:bookmarkEnd w:id="1690"/>
      <w:bookmarkEnd w:id="1691"/>
      <w:bookmarkEnd w:id="1692"/>
      <w:bookmarkEnd w:id="1693"/>
      <w:bookmarkEnd w:id="1694"/>
      <w:bookmarkEnd w:id="1695"/>
      <w:bookmarkEnd w:id="1696"/>
      <w:bookmarkEnd w:id="1697"/>
      <w:bookmarkEnd w:id="1698"/>
      <w:bookmarkEnd w:id="1699"/>
    </w:p>
    <w:p w14:paraId="6D700BF6" w14:textId="77777777" w:rsidR="00523689" w:rsidRPr="00380B40" w:rsidRDefault="00523689" w:rsidP="00523689">
      <w:pPr>
        <w:rPr>
          <w:lang w:val="en-GB"/>
        </w:rPr>
      </w:pPr>
      <w:r w:rsidRPr="00380B40">
        <w:rPr>
          <w:lang w:val="en-GB"/>
        </w:rPr>
        <w:t>Eligibility for attendance at a CT meeting is determined by the requirements of the two organizations.</w:t>
      </w:r>
    </w:p>
    <w:p w14:paraId="7E87D9F2" w14:textId="77777777" w:rsidR="00523689" w:rsidRPr="00380B40" w:rsidRDefault="00523689" w:rsidP="00523689">
      <w:pPr>
        <w:pStyle w:val="Heading2"/>
        <w:rPr>
          <w:lang w:val="en-GB"/>
        </w:rPr>
      </w:pPr>
      <w:bookmarkStart w:id="1700" w:name="_Toc382734856"/>
      <w:bookmarkStart w:id="1701" w:name="_Toc3708748"/>
      <w:bookmarkStart w:id="1702" w:name="_Toc229895897"/>
      <w:bookmarkStart w:id="1703" w:name="_Toc229896199"/>
      <w:bookmarkStart w:id="1704" w:name="_Toc398284263"/>
      <w:bookmarkStart w:id="1705" w:name="_Toc401035482"/>
      <w:bookmarkStart w:id="1706" w:name="_Toc401312736"/>
      <w:bookmarkStart w:id="1707" w:name="_Toc401313092"/>
      <w:bookmarkStart w:id="1708" w:name="_Toc111637014"/>
      <w:r w:rsidRPr="00380B40">
        <w:rPr>
          <w:lang w:val="en-GB"/>
        </w:rPr>
        <w:t>8.4</w:t>
      </w:r>
      <w:r w:rsidRPr="00380B40">
        <w:rPr>
          <w:lang w:val="en-GB"/>
        </w:rPr>
        <w:tab/>
        <w:t>Meetings</w:t>
      </w:r>
      <w:bookmarkEnd w:id="1700"/>
      <w:bookmarkEnd w:id="1701"/>
      <w:bookmarkEnd w:id="1702"/>
      <w:bookmarkEnd w:id="1703"/>
      <w:bookmarkEnd w:id="1704"/>
      <w:bookmarkEnd w:id="1705"/>
      <w:bookmarkEnd w:id="1706"/>
      <w:bookmarkEnd w:id="1707"/>
      <w:bookmarkEnd w:id="1708"/>
    </w:p>
    <w:p w14:paraId="3CC1033D" w14:textId="77777777" w:rsidR="00523689" w:rsidRPr="00380B40" w:rsidRDefault="00523689" w:rsidP="00523689">
      <w:pPr>
        <w:rPr>
          <w:lang w:val="en-GB"/>
        </w:rPr>
      </w:pPr>
      <w:r w:rsidRPr="00380B40">
        <w:rPr>
          <w:lang w:val="en-GB"/>
        </w:rPr>
        <w:t>Each CT meeting must be properly scheduled in advance. The CT is responsible for making its own meeting arrangements and schedule, subject to agreement by the SG and SC. Generally, hosts for CT meetings should alternate between JTC 1 and ITU-T organizations, but they may also be cooperatively hosted with appropriate agreement. CT meetings should be scheduled at the same location and time as the respective JTC 1 SC/WG or ITU-T SG/WP meetings although meetings may also be scheduled at other times and locations. The CT is permitted to meet during a CD/PDAM or DIS/DAM ballot/comment period to pursue its work program but the CT shall not discuss during these periods the material under ballot (see 8.9).</w:t>
      </w:r>
    </w:p>
    <w:p w14:paraId="53A60B68" w14:textId="77777777" w:rsidR="00523689" w:rsidRPr="00380B40" w:rsidRDefault="00523689" w:rsidP="00523689">
      <w:pPr>
        <w:rPr>
          <w:lang w:val="en-GB"/>
        </w:rPr>
      </w:pPr>
      <w:r w:rsidRPr="00380B40">
        <w:rPr>
          <w:lang w:val="en-GB"/>
        </w:rPr>
        <w:t>The Convenor(s) of the CT shall maintain a mailing list of all individuals desiring to be informed about meetings of the CT. Meeting notices and agenda shall respect the deadlines of both JTC 1 and ITU-T (e.g., in JTC 1, working group meeting agendas shall be distributed preferably four months but no less than three months before the meeting starting date; in ITU-T, a convening letter for rapporteur meetings is posted, normally at least two months prior to the meeting, on the study group webpage) and shall properly identify the meeting as one of both JTC 1 and ITU</w:t>
      </w:r>
      <w:r w:rsidRPr="00380B40">
        <w:rPr>
          <w:lang w:val="en-GB"/>
        </w:rPr>
        <w:noBreakHyphen/>
        <w:t>T. The meeting notice and agenda must be sent to the JTC 1 SC secretariat (for distribution to National Bodies of the SC) and to the ITU</w:t>
      </w:r>
      <w:r w:rsidRPr="00380B40">
        <w:rPr>
          <w:lang w:val="en-GB"/>
        </w:rPr>
        <w:noBreakHyphen/>
        <w:t>T SG secretariat (for posting). Each agenda must provide a list of documents to be considered, which will include previous meeting reports and input contributions (see 8.5).</w:t>
      </w:r>
    </w:p>
    <w:p w14:paraId="2410833A" w14:textId="77777777" w:rsidR="001179D4" w:rsidRPr="00380B40" w:rsidRDefault="001179D4" w:rsidP="00523689">
      <w:pPr>
        <w:rPr>
          <w:lang w:val="en-GB"/>
        </w:rPr>
      </w:pPr>
      <w:r w:rsidRPr="00380B40">
        <w:rPr>
          <w:lang w:val="en-GB"/>
        </w:rPr>
        <w:br w:type="page"/>
      </w:r>
    </w:p>
    <w:p w14:paraId="288717DF" w14:textId="77777777" w:rsidR="00523689" w:rsidRPr="00380B40" w:rsidRDefault="00523689" w:rsidP="00523689">
      <w:pPr>
        <w:pStyle w:val="Heading2"/>
        <w:rPr>
          <w:lang w:val="en-GB"/>
        </w:rPr>
      </w:pPr>
      <w:bookmarkStart w:id="1709" w:name="_Toc319403705"/>
      <w:bookmarkStart w:id="1710" w:name="_Toc382734857"/>
      <w:bookmarkStart w:id="1711" w:name="_Toc3708749"/>
      <w:bookmarkStart w:id="1712" w:name="_Toc229895898"/>
      <w:bookmarkStart w:id="1713" w:name="_Toc229896200"/>
      <w:bookmarkStart w:id="1714" w:name="_Toc398284264"/>
      <w:bookmarkStart w:id="1715" w:name="_Toc401035483"/>
      <w:bookmarkStart w:id="1716" w:name="_Toc401312737"/>
      <w:bookmarkStart w:id="1717" w:name="_Toc401313093"/>
      <w:bookmarkStart w:id="1718" w:name="_Toc111637015"/>
      <w:r w:rsidRPr="00380B40">
        <w:rPr>
          <w:lang w:val="en-GB"/>
        </w:rPr>
        <w:t>8.5</w:t>
      </w:r>
      <w:r w:rsidRPr="00380B40">
        <w:rPr>
          <w:lang w:val="en-GB"/>
        </w:rPr>
        <w:tab/>
        <w:t>Contributions</w:t>
      </w:r>
      <w:bookmarkEnd w:id="1709"/>
      <w:bookmarkEnd w:id="1710"/>
      <w:bookmarkEnd w:id="1711"/>
      <w:bookmarkEnd w:id="1712"/>
      <w:bookmarkEnd w:id="1713"/>
      <w:bookmarkEnd w:id="1714"/>
      <w:bookmarkEnd w:id="1715"/>
      <w:bookmarkEnd w:id="1716"/>
      <w:bookmarkEnd w:id="1717"/>
      <w:bookmarkEnd w:id="1718"/>
    </w:p>
    <w:p w14:paraId="61AB8AA5" w14:textId="77777777" w:rsidR="00523689" w:rsidRPr="00380B40" w:rsidRDefault="00523689" w:rsidP="00523689">
      <w:pPr>
        <w:rPr>
          <w:lang w:val="en-GB"/>
        </w:rPr>
      </w:pPr>
      <w:r w:rsidRPr="00380B40">
        <w:rPr>
          <w:lang w:val="en-GB"/>
        </w:rPr>
        <w:t>Contributions to the work of the CT provide proposed concepts and text, comments on working drafts, and editorial and technical revisions to the work. Contributions may be provided by JTC 1/SC National Bodies, ITU-T members, recognized liaison organizations, and individual experts who are accredited participants in the CT. Each contribution shall indicate its source and status (e.g., national position, working proposal, comments). Expert papers are to be given consideration as additional views during the development of working drafts, but contributions from JTC 1/SC National Bodies and ITU-T members will take precedence.</w:t>
      </w:r>
    </w:p>
    <w:p w14:paraId="0CF2C478" w14:textId="77777777" w:rsidR="00523689" w:rsidRPr="00380B40" w:rsidRDefault="00523689" w:rsidP="00523689">
      <w:pPr>
        <w:rPr>
          <w:lang w:val="en-GB"/>
        </w:rPr>
      </w:pPr>
      <w:r w:rsidRPr="00380B40">
        <w:rPr>
          <w:lang w:val="en-GB"/>
        </w:rPr>
        <w:t>Documents to be considered at the meeting should be in the hands of the CT Convenor(s), or the SC or WG secretariat at least seven working days in advance. Late contributions will only be considered upon agreement by the meeting participants.</w:t>
      </w:r>
    </w:p>
    <w:p w14:paraId="5867F1FB" w14:textId="77777777" w:rsidR="00523689" w:rsidRPr="00380B40" w:rsidRDefault="00523689" w:rsidP="00523689">
      <w:pPr>
        <w:rPr>
          <w:lang w:val="en-GB"/>
        </w:rPr>
      </w:pPr>
      <w:r w:rsidRPr="00380B40">
        <w:rPr>
          <w:lang w:val="en-GB"/>
        </w:rPr>
        <w:t>All contributions to the CT, regardless of their means of submittal, will be identified and maintained by the CT in a document register. The Convenor(s) of the CT shall maintain a mailing list of the CT participants and ensure timely distribution of contributions and meeting output documents to the experts. Meeting output documents are also sent to the JTC 1 SC or WG secretariat (for distribution to National Bodies of the SC) and to the SG secretariat (for distribution as SG documents). Meeting participants are encouraged to exchange documents directly to facilitate preparation for the meetings.</w:t>
      </w:r>
    </w:p>
    <w:p w14:paraId="26BB017A" w14:textId="77777777" w:rsidR="00523689" w:rsidRPr="00380B40" w:rsidRDefault="00523689" w:rsidP="00523689">
      <w:pPr>
        <w:pStyle w:val="Heading2"/>
        <w:rPr>
          <w:lang w:val="en-GB"/>
        </w:rPr>
      </w:pPr>
      <w:bookmarkStart w:id="1719" w:name="_Toc319403706"/>
      <w:bookmarkStart w:id="1720" w:name="_Toc382734858"/>
      <w:bookmarkStart w:id="1721" w:name="_Toc3708750"/>
      <w:bookmarkStart w:id="1722" w:name="_Toc229895899"/>
      <w:bookmarkStart w:id="1723" w:name="_Toc229896201"/>
      <w:bookmarkStart w:id="1724" w:name="_Toc398284265"/>
      <w:bookmarkStart w:id="1725" w:name="_Toc401035484"/>
      <w:bookmarkStart w:id="1726" w:name="_Toc401312738"/>
      <w:bookmarkStart w:id="1727" w:name="_Toc401313094"/>
      <w:bookmarkStart w:id="1728" w:name="_Toc111637016"/>
      <w:r w:rsidRPr="00380B40">
        <w:rPr>
          <w:lang w:val="en-GB"/>
        </w:rPr>
        <w:t>8.6</w:t>
      </w:r>
      <w:r w:rsidRPr="00380B40">
        <w:rPr>
          <w:lang w:val="en-GB"/>
        </w:rPr>
        <w:tab/>
        <w:t>Achieving consensus</w:t>
      </w:r>
      <w:bookmarkEnd w:id="1719"/>
      <w:bookmarkEnd w:id="1720"/>
      <w:bookmarkEnd w:id="1721"/>
      <w:bookmarkEnd w:id="1722"/>
      <w:bookmarkEnd w:id="1723"/>
      <w:bookmarkEnd w:id="1724"/>
      <w:bookmarkEnd w:id="1725"/>
      <w:bookmarkEnd w:id="1726"/>
      <w:bookmarkEnd w:id="1727"/>
      <w:bookmarkEnd w:id="1728"/>
    </w:p>
    <w:p w14:paraId="6F34703F" w14:textId="77777777" w:rsidR="00523689" w:rsidRPr="00380B40" w:rsidRDefault="00523689" w:rsidP="00523689">
      <w:pPr>
        <w:rPr>
          <w:lang w:val="en-GB"/>
        </w:rPr>
      </w:pPr>
      <w:r w:rsidRPr="00380B40">
        <w:rPr>
          <w:lang w:val="en-GB"/>
        </w:rPr>
        <w:t>The functions of the CT meetings are three-fold: the development of draft texts, editing of draft texts, and resolution of ballots and comments. The CT meetings are only authorized to deal with the specific collaborative project/Question identified in the terms of reference of the CT.</w:t>
      </w:r>
    </w:p>
    <w:p w14:paraId="49C3134D" w14:textId="77777777" w:rsidR="00523689" w:rsidRPr="00380B40" w:rsidRDefault="00523689" w:rsidP="00523689">
      <w:pPr>
        <w:rPr>
          <w:lang w:val="en-GB"/>
        </w:rPr>
      </w:pPr>
      <w:r w:rsidRPr="00380B40">
        <w:rPr>
          <w:lang w:val="en-GB"/>
        </w:rPr>
        <w:t>Achieving consensus at each step of the process will be facilitated through cooperation of JTC 1 and ITU-T experts at their national level to provide consistent viewpoints.</w:t>
      </w:r>
    </w:p>
    <w:p w14:paraId="5BC858E6" w14:textId="77777777" w:rsidR="00523689" w:rsidRPr="00380B40" w:rsidRDefault="00523689" w:rsidP="00523689">
      <w:pPr>
        <w:rPr>
          <w:lang w:val="en-GB"/>
        </w:rPr>
      </w:pPr>
      <w:r w:rsidRPr="00380B40">
        <w:rPr>
          <w:lang w:val="en-GB"/>
        </w:rPr>
        <w:t>In general, the intent is that the degree of consensus and the stability of the agreements will increase at each step of the collaborative process.</w:t>
      </w:r>
    </w:p>
    <w:p w14:paraId="300746EC" w14:textId="77777777" w:rsidR="00523689" w:rsidRPr="00380B40" w:rsidRDefault="00523689" w:rsidP="00523689">
      <w:pPr>
        <w:pStyle w:val="Heading3"/>
        <w:ind w:left="0" w:firstLine="0"/>
        <w:rPr>
          <w:lang w:val="en-GB"/>
        </w:rPr>
      </w:pPr>
      <w:bookmarkStart w:id="1729" w:name="_Toc3708751"/>
      <w:bookmarkStart w:id="1730" w:name="_Toc229895900"/>
      <w:bookmarkStart w:id="1731" w:name="_Toc229896202"/>
      <w:bookmarkStart w:id="1732" w:name="_Toc111637017"/>
      <w:r w:rsidRPr="00380B40">
        <w:rPr>
          <w:lang w:val="en-GB"/>
        </w:rPr>
        <w:t>8.6.1</w:t>
      </w:r>
      <w:r w:rsidRPr="00380B40">
        <w:rPr>
          <w:lang w:val="en-GB"/>
        </w:rPr>
        <w:tab/>
        <w:t>Development of draft text</w:t>
      </w:r>
      <w:bookmarkEnd w:id="1729"/>
      <w:bookmarkEnd w:id="1730"/>
      <w:bookmarkEnd w:id="1731"/>
      <w:bookmarkEnd w:id="1732"/>
    </w:p>
    <w:p w14:paraId="22389DA2" w14:textId="77777777" w:rsidR="00523689" w:rsidRPr="00380B40" w:rsidRDefault="00523689" w:rsidP="00523689">
      <w:pPr>
        <w:rPr>
          <w:lang w:val="en-GB"/>
        </w:rPr>
      </w:pPr>
      <w:r w:rsidRPr="00380B40">
        <w:rPr>
          <w:lang w:val="en-GB"/>
        </w:rPr>
        <w:t>In responding to the requirements of the designated JTC 1 project and ITU-T Question, the development of draft text should be a consensus building process. Typically, there are a diversity of contributions introduced during the development process. These should all be objectively considered in seeking a sound solution. A synergy should emerge from the interaction of the participating experts with their different perspectives. The conduct of meetings should foster this spirit of cooperation.</w:t>
      </w:r>
    </w:p>
    <w:p w14:paraId="710417C8" w14:textId="77777777" w:rsidR="001179D4" w:rsidRPr="00380B40" w:rsidRDefault="001179D4" w:rsidP="00523689">
      <w:pPr>
        <w:rPr>
          <w:lang w:val="en-GB"/>
        </w:rPr>
      </w:pPr>
      <w:r w:rsidRPr="00380B40">
        <w:rPr>
          <w:lang w:val="en-GB"/>
        </w:rPr>
        <w:br w:type="page"/>
      </w:r>
    </w:p>
    <w:p w14:paraId="45113BE2" w14:textId="77777777" w:rsidR="00523689" w:rsidRPr="00380B40" w:rsidRDefault="00523689" w:rsidP="00523689">
      <w:pPr>
        <w:rPr>
          <w:lang w:val="en-GB"/>
        </w:rPr>
      </w:pPr>
      <w:r w:rsidRPr="00380B40">
        <w:rPr>
          <w:lang w:val="en-GB"/>
        </w:rPr>
        <w:t>Balloting, or voting, by the CT during the development of working drafts is considered inappropriate in reaching a consensus and could be counter-productive. The CT consensus should be built through discussion, acceptance, compromise, and, if necessary, informal polling of delegates to sample the state of agreement. It would also be appropriate to record in meeting reports points of consensus as well as any specific reservations that meeting delegates have on particular issues.</w:t>
      </w:r>
    </w:p>
    <w:p w14:paraId="41331A0E" w14:textId="77777777" w:rsidR="00523689" w:rsidRPr="00380B40" w:rsidRDefault="00523689" w:rsidP="00523689">
      <w:pPr>
        <w:rPr>
          <w:lang w:val="en-GB"/>
        </w:rPr>
      </w:pPr>
      <w:r w:rsidRPr="00380B40">
        <w:rPr>
          <w:lang w:val="en-GB"/>
        </w:rPr>
        <w:t>Topics of concern to only the ITU-T or to only JTC 1 may be addressed by sub-group meetings held within the framework of the CT meeting.</w:t>
      </w:r>
    </w:p>
    <w:p w14:paraId="607B5377" w14:textId="77777777" w:rsidR="00523689" w:rsidRPr="00380B40" w:rsidRDefault="00523689" w:rsidP="00523689">
      <w:pPr>
        <w:rPr>
          <w:lang w:val="en-GB"/>
        </w:rPr>
      </w:pPr>
      <w:r w:rsidRPr="00380B40">
        <w:rPr>
          <w:lang w:val="en-GB"/>
        </w:rPr>
        <w:t>In rare cases, it may become apparent during the development of common text that one or more specific technical differences are necessary taking into account the needs of JTC 1 and the ITU-T. All proposed differences should be carefully examined to ensure there is a legitimate need. When this is the case, the common text is to include the full technical material needed by each organization with wording that specifically identifies any text that is applicable only to one organization.</w:t>
      </w:r>
    </w:p>
    <w:p w14:paraId="763DE7E6" w14:textId="77777777" w:rsidR="00523689" w:rsidRPr="00380B40" w:rsidRDefault="00523689" w:rsidP="00523689">
      <w:pPr>
        <w:pStyle w:val="Heading3"/>
        <w:ind w:left="0" w:firstLine="0"/>
        <w:rPr>
          <w:lang w:val="en-GB"/>
        </w:rPr>
      </w:pPr>
      <w:bookmarkStart w:id="1733" w:name="_Toc3708752"/>
      <w:bookmarkStart w:id="1734" w:name="_Toc229895901"/>
      <w:bookmarkStart w:id="1735" w:name="_Toc229896203"/>
      <w:bookmarkStart w:id="1736" w:name="_Toc111637018"/>
      <w:r w:rsidRPr="00380B40">
        <w:rPr>
          <w:lang w:val="en-GB"/>
        </w:rPr>
        <w:t>8.6.2</w:t>
      </w:r>
      <w:r w:rsidRPr="00380B40">
        <w:rPr>
          <w:lang w:val="en-GB"/>
        </w:rPr>
        <w:tab/>
        <w:t>Editing drafts</w:t>
      </w:r>
      <w:bookmarkEnd w:id="1733"/>
      <w:bookmarkEnd w:id="1734"/>
      <w:bookmarkEnd w:id="1735"/>
      <w:bookmarkEnd w:id="1736"/>
    </w:p>
    <w:p w14:paraId="3FF6636F" w14:textId="77777777" w:rsidR="00523689" w:rsidRPr="00380B40" w:rsidRDefault="00523689" w:rsidP="00523689">
      <w:pPr>
        <w:rPr>
          <w:lang w:val="en-GB"/>
        </w:rPr>
      </w:pPr>
      <w:r w:rsidRPr="00380B40">
        <w:rPr>
          <w:lang w:val="en-GB"/>
        </w:rPr>
        <w:t>Meeting time is often consumed with resolution of issues and development of agreements-in-principle, but there is insufficient time to develop complete text. The editing task can often be done more efficiently by an authorized smaller-sized meeting with a well-defined scope of work. The meeting will be chaired by an individual appointed by the CT.</w:t>
      </w:r>
    </w:p>
    <w:p w14:paraId="6A515CFB" w14:textId="77777777" w:rsidR="00523689" w:rsidRPr="00380B40" w:rsidRDefault="00523689" w:rsidP="00523689">
      <w:pPr>
        <w:rPr>
          <w:lang w:val="en-GB"/>
        </w:rPr>
      </w:pPr>
      <w:r w:rsidRPr="00380B40">
        <w:rPr>
          <w:lang w:val="en-GB"/>
        </w:rPr>
        <w:t>The meeting will only be authorized to produce text for specifically identified issues and agreements. Any other technical issues that arise during the meeting must be referred back to the CT for resolution. The draft text that is produced by the meeting must be circulated to CT participants within four weeks of completion of the meeting.</w:t>
      </w:r>
    </w:p>
    <w:p w14:paraId="4E690A36" w14:textId="77777777" w:rsidR="00523689" w:rsidRPr="00380B40" w:rsidRDefault="00523689" w:rsidP="00523689">
      <w:pPr>
        <w:pStyle w:val="Heading3"/>
        <w:ind w:left="0" w:firstLine="0"/>
        <w:rPr>
          <w:lang w:val="en-GB"/>
        </w:rPr>
      </w:pPr>
      <w:bookmarkStart w:id="1737" w:name="_Toc3708753"/>
      <w:bookmarkStart w:id="1738" w:name="_Toc229895902"/>
      <w:bookmarkStart w:id="1739" w:name="_Toc229896204"/>
      <w:bookmarkStart w:id="1740" w:name="_Toc111637019"/>
      <w:r w:rsidRPr="00380B40">
        <w:rPr>
          <w:lang w:val="en-GB"/>
        </w:rPr>
        <w:t>8.6.3</w:t>
      </w:r>
      <w:r w:rsidRPr="00380B40">
        <w:rPr>
          <w:lang w:val="en-GB"/>
        </w:rPr>
        <w:tab/>
        <w:t>Resolution of ballots and comments</w:t>
      </w:r>
      <w:bookmarkEnd w:id="1737"/>
      <w:bookmarkEnd w:id="1738"/>
      <w:bookmarkEnd w:id="1739"/>
      <w:bookmarkEnd w:id="1740"/>
    </w:p>
    <w:p w14:paraId="2EB98B37" w14:textId="77777777" w:rsidR="00523689" w:rsidRPr="00380B40" w:rsidRDefault="00523689" w:rsidP="00523689">
      <w:pPr>
        <w:rPr>
          <w:lang w:val="en-GB"/>
        </w:rPr>
      </w:pPr>
      <w:r w:rsidRPr="00380B40">
        <w:rPr>
          <w:lang w:val="en-GB"/>
        </w:rPr>
        <w:t>The approval processes will be conducted according to the established procedures of each organization with the adaptation and synchronization described in 8.9. A Ballot/Comment Resolution Group should be convened as soon as practical (e.g., within ten weeks) after the close of the ballot/comment period to review and resolve the results. The group should be chaired by the CT Convenor or Editor.</w:t>
      </w:r>
    </w:p>
    <w:p w14:paraId="1F1E8F67" w14:textId="77777777" w:rsidR="00523689" w:rsidRPr="00380B40" w:rsidRDefault="00523689" w:rsidP="00523689">
      <w:pPr>
        <w:rPr>
          <w:lang w:val="en-GB"/>
        </w:rPr>
      </w:pPr>
      <w:r w:rsidRPr="00380B40">
        <w:rPr>
          <w:lang w:val="en-GB"/>
        </w:rPr>
        <w:t>The Ballot/Comment Resolution Group may be the CT. Alternatively, where the CT may be too large for effectiveness, the Ballot/Comment Resolution Group may be composed of the document editor(s), one primary representative for each National Body, and one primary representative for each country participating in the ITU-T SG. Primary representatives from the same country should, whenever possible, coordinate their positions for consistency. Additional representatives from JTC 1 and ITU-T may also be invited to attend as deemed necessary by the CT. Each primary representative should be authorized by its sponsoring organization to approve the handling of its comments by the group.</w:t>
      </w:r>
    </w:p>
    <w:p w14:paraId="727034C3" w14:textId="77777777" w:rsidR="001179D4" w:rsidRPr="00380B40" w:rsidRDefault="001179D4" w:rsidP="00153048">
      <w:pPr>
        <w:rPr>
          <w:lang w:val="en-GB"/>
        </w:rPr>
      </w:pPr>
      <w:r w:rsidRPr="00380B40">
        <w:rPr>
          <w:lang w:val="en-GB"/>
        </w:rPr>
        <w:br w:type="page"/>
      </w:r>
    </w:p>
    <w:p w14:paraId="55A50E94" w14:textId="77777777" w:rsidR="001179D4" w:rsidRPr="00380B40" w:rsidRDefault="00523689" w:rsidP="00153048">
      <w:pPr>
        <w:rPr>
          <w:lang w:val="en-GB"/>
        </w:rPr>
      </w:pPr>
      <w:r w:rsidRPr="00380B40">
        <w:rPr>
          <w:lang w:val="en-GB"/>
        </w:rPr>
        <w:t>The purpose of a ballot/comment resolution meeting is to resolve as many of the negative ballots/comments as possible without invalidating any affirmative ballots/positions. The goal is to achieve agreements resulting in the greatest possible consensus. This can be done provided that all affected representatives are satisfied with the handling of the comments. If the ballot/comment resolution spans multiple meetings, it is important that continuity of representation be maintained through the complete process.</w:t>
      </w:r>
    </w:p>
    <w:p w14:paraId="382D39C7" w14:textId="77777777" w:rsidR="00523689" w:rsidRPr="00380B40" w:rsidRDefault="00523689" w:rsidP="00523689">
      <w:pPr>
        <w:rPr>
          <w:lang w:val="en-GB"/>
        </w:rPr>
      </w:pPr>
      <w:r w:rsidRPr="00380B40">
        <w:rPr>
          <w:lang w:val="en-GB"/>
        </w:rPr>
        <w:t>In the course of its work, the Ballot/Comment Resolution Group may uncover major technical issues. The resolution of such matters is beyond the scope of the group and must be referred back to the CT (or parent bodies) along with appropriate recommendations for resolution.</w:t>
      </w:r>
    </w:p>
    <w:p w14:paraId="3A0E645B" w14:textId="77777777" w:rsidR="00523689" w:rsidRPr="00380B40" w:rsidRDefault="00523689" w:rsidP="00523689">
      <w:pPr>
        <w:pStyle w:val="Heading2"/>
        <w:rPr>
          <w:lang w:val="en-GB"/>
        </w:rPr>
      </w:pPr>
      <w:bookmarkStart w:id="1741" w:name="_Toc319403707"/>
      <w:bookmarkStart w:id="1742" w:name="_Toc382734859"/>
      <w:bookmarkStart w:id="1743" w:name="_Toc3708754"/>
      <w:bookmarkStart w:id="1744" w:name="_Toc229895903"/>
      <w:bookmarkStart w:id="1745" w:name="_Toc229896205"/>
      <w:bookmarkStart w:id="1746" w:name="_Toc398284266"/>
      <w:bookmarkStart w:id="1747" w:name="_Toc401035485"/>
      <w:bookmarkStart w:id="1748" w:name="_Toc401312739"/>
      <w:bookmarkStart w:id="1749" w:name="_Toc401313095"/>
      <w:bookmarkStart w:id="1750" w:name="_Toc111637020"/>
      <w:r w:rsidRPr="00380B40">
        <w:rPr>
          <w:lang w:val="en-GB"/>
        </w:rPr>
        <w:t>8.7</w:t>
      </w:r>
      <w:r w:rsidRPr="00380B40">
        <w:rPr>
          <w:lang w:val="en-GB"/>
        </w:rPr>
        <w:tab/>
        <w:t>Progress reporting</w:t>
      </w:r>
      <w:bookmarkEnd w:id="1741"/>
      <w:bookmarkEnd w:id="1742"/>
      <w:bookmarkEnd w:id="1743"/>
      <w:bookmarkEnd w:id="1744"/>
      <w:bookmarkEnd w:id="1745"/>
      <w:bookmarkEnd w:id="1746"/>
      <w:bookmarkEnd w:id="1747"/>
      <w:bookmarkEnd w:id="1748"/>
      <w:bookmarkEnd w:id="1749"/>
      <w:bookmarkEnd w:id="1750"/>
    </w:p>
    <w:p w14:paraId="552CC176" w14:textId="77777777" w:rsidR="00523689" w:rsidRPr="00380B40" w:rsidRDefault="00523689" w:rsidP="00523689">
      <w:pPr>
        <w:rPr>
          <w:lang w:val="en-GB"/>
        </w:rPr>
      </w:pPr>
      <w:r w:rsidRPr="00380B40">
        <w:rPr>
          <w:lang w:val="en-GB"/>
        </w:rPr>
        <w:t>The CT is responsible for providing written reports of each meeting to the sponsoring JTC 1 SC/WG and ITU</w:t>
      </w:r>
      <w:r w:rsidRPr="00380B40">
        <w:rPr>
          <w:lang w:val="en-GB"/>
        </w:rPr>
        <w:noBreakHyphen/>
        <w:t>T SG/WP. These reports should summarize the results of the meeting including agreements reached, areas identified for further study, the status of collaborative progress, and projected upcoming milestones (see 5.2). Comments and/or instructions may be provided back to the CT from SG/WP and SC/WG meetings.</w:t>
      </w:r>
    </w:p>
    <w:p w14:paraId="3106B3DE" w14:textId="77777777" w:rsidR="00523689" w:rsidRPr="00380B40" w:rsidRDefault="00523689" w:rsidP="00523689">
      <w:pPr>
        <w:pStyle w:val="Heading2"/>
        <w:rPr>
          <w:lang w:val="en-GB"/>
        </w:rPr>
      </w:pPr>
      <w:bookmarkStart w:id="1751" w:name="_Toc319403708"/>
      <w:bookmarkStart w:id="1752" w:name="_Toc382734860"/>
      <w:bookmarkStart w:id="1753" w:name="_Toc3708755"/>
      <w:bookmarkStart w:id="1754" w:name="_Toc229895904"/>
      <w:bookmarkStart w:id="1755" w:name="_Toc229896206"/>
      <w:bookmarkStart w:id="1756" w:name="_Toc398284267"/>
      <w:bookmarkStart w:id="1757" w:name="_Toc401035486"/>
      <w:bookmarkStart w:id="1758" w:name="_Toc401312740"/>
      <w:bookmarkStart w:id="1759" w:name="_Toc401313096"/>
      <w:bookmarkStart w:id="1760" w:name="_Toc111637021"/>
      <w:r w:rsidRPr="00380B40">
        <w:rPr>
          <w:lang w:val="en-GB"/>
        </w:rPr>
        <w:t>8.8</w:t>
      </w:r>
      <w:r w:rsidRPr="00380B40">
        <w:rPr>
          <w:lang w:val="en-GB"/>
        </w:rPr>
        <w:tab/>
        <w:t>Liaisons</w:t>
      </w:r>
      <w:bookmarkEnd w:id="1751"/>
      <w:bookmarkEnd w:id="1752"/>
      <w:bookmarkEnd w:id="1753"/>
      <w:bookmarkEnd w:id="1754"/>
      <w:bookmarkEnd w:id="1755"/>
      <w:bookmarkEnd w:id="1756"/>
      <w:bookmarkEnd w:id="1757"/>
      <w:bookmarkEnd w:id="1758"/>
      <w:bookmarkEnd w:id="1759"/>
      <w:bookmarkEnd w:id="1760"/>
    </w:p>
    <w:p w14:paraId="692F29FB" w14:textId="77777777" w:rsidR="00523689" w:rsidRPr="00380B40" w:rsidRDefault="00523689" w:rsidP="00523689">
      <w:pPr>
        <w:rPr>
          <w:lang w:val="en-GB"/>
        </w:rPr>
      </w:pPr>
      <w:r w:rsidRPr="00380B40">
        <w:rPr>
          <w:lang w:val="en-GB"/>
        </w:rPr>
        <w:t>It is important to ensure continuing coherence of work in the Information Technology area. Therefore, maintaining established liaisons with other activities and organizations that have been identified to have an appropriate relationship is essential to the success of the work. Meeting reports and mature drafts should be distributed and comments invited. Liaison organizations are also encouraged to provide contributions to the work. Liaison contributions and comments are considered additional views to facilitate the work and to identify other considerations.</w:t>
      </w:r>
    </w:p>
    <w:p w14:paraId="516A7652" w14:textId="77777777" w:rsidR="00523689" w:rsidRPr="00380B40" w:rsidRDefault="00523689" w:rsidP="00523689">
      <w:pPr>
        <w:rPr>
          <w:lang w:val="en-GB"/>
        </w:rPr>
      </w:pPr>
      <w:r w:rsidRPr="00380B40">
        <w:rPr>
          <w:lang w:val="en-GB"/>
        </w:rPr>
        <w:t>Liaison documents generated by the CT are conveyed to the SC secretariat and the SG secretariat for appropriate distribution.</w:t>
      </w:r>
    </w:p>
    <w:p w14:paraId="7C4A1674" w14:textId="77777777" w:rsidR="00523689" w:rsidRPr="00380B40" w:rsidRDefault="00523689" w:rsidP="00523689">
      <w:pPr>
        <w:pStyle w:val="Heading2"/>
        <w:rPr>
          <w:lang w:val="en-GB"/>
        </w:rPr>
      </w:pPr>
      <w:bookmarkStart w:id="1761" w:name="_Toc382734861"/>
      <w:bookmarkStart w:id="1762" w:name="_Toc3708756"/>
      <w:bookmarkStart w:id="1763" w:name="_Toc229895905"/>
      <w:bookmarkStart w:id="1764" w:name="_Toc229896207"/>
      <w:bookmarkStart w:id="1765" w:name="_Toc398284268"/>
      <w:bookmarkStart w:id="1766" w:name="_Toc401035487"/>
      <w:bookmarkStart w:id="1767" w:name="_Toc401312741"/>
      <w:bookmarkStart w:id="1768" w:name="_Toc401313097"/>
      <w:bookmarkStart w:id="1769" w:name="_Toc111637022"/>
      <w:r w:rsidRPr="00380B40">
        <w:rPr>
          <w:lang w:val="en-GB"/>
        </w:rPr>
        <w:t>8.9</w:t>
      </w:r>
      <w:r w:rsidRPr="00380B40">
        <w:rPr>
          <w:lang w:val="en-GB"/>
        </w:rPr>
        <w:tab/>
        <w:t>Synchronized approval process</w:t>
      </w:r>
      <w:bookmarkEnd w:id="1761"/>
      <w:bookmarkEnd w:id="1762"/>
      <w:bookmarkEnd w:id="1763"/>
      <w:bookmarkEnd w:id="1764"/>
      <w:bookmarkEnd w:id="1765"/>
      <w:bookmarkEnd w:id="1766"/>
      <w:bookmarkEnd w:id="1767"/>
      <w:bookmarkEnd w:id="1768"/>
      <w:bookmarkEnd w:id="1769"/>
    </w:p>
    <w:p w14:paraId="414C6B35" w14:textId="77777777" w:rsidR="00523689" w:rsidRPr="00380B40" w:rsidRDefault="00523689" w:rsidP="00523689">
      <w:pPr>
        <w:rPr>
          <w:lang w:val="en-GB"/>
        </w:rPr>
      </w:pPr>
      <w:r w:rsidRPr="00380B40">
        <w:rPr>
          <w:lang w:val="en-GB"/>
        </w:rPr>
        <w:t>While the work of the CT accomplishes the joint work for the JTC 1 project and ITU-T Question to produce a single common text for both organizations to publish, each organization retains its individual procedures for approving the results of the collaborative work as International Standards and ITU-T Recommendations. Clause 3 presents the individual organization procedures and policies that are to be followed. The paragraphs below describe how these procedures specifically apply to the CT work and are synchronized for the different stages of approval.</w:t>
      </w:r>
    </w:p>
    <w:p w14:paraId="2BB9AEE4" w14:textId="77777777" w:rsidR="00523689" w:rsidRPr="00380B40" w:rsidRDefault="00523689" w:rsidP="00523689">
      <w:pPr>
        <w:rPr>
          <w:lang w:val="en-GB"/>
        </w:rPr>
      </w:pPr>
      <w:r w:rsidRPr="00380B40">
        <w:rPr>
          <w:lang w:val="en-GB"/>
        </w:rPr>
        <w:t>As outlined in 8.7 above, the CT keeps each organization informed of the progress of its work. When the work has progressed to a point where a schedule for synchronized approval can be established with a degree of confidence, it is important for the CT to plan the specific steps, taking into account scheduled dates of the ITU-T SG and the JTC 1 SC meetings. Figure 5 shows the necessary alignment that needs to be achieved between the two approval processes.</w:t>
      </w:r>
    </w:p>
    <w:p w14:paraId="0D77241E" w14:textId="77777777" w:rsidR="001179D4" w:rsidRPr="00380B40" w:rsidRDefault="001179D4" w:rsidP="00523689">
      <w:pPr>
        <w:rPr>
          <w:lang w:val="en-GB"/>
        </w:rPr>
      </w:pPr>
      <w:r w:rsidRPr="00380B40">
        <w:rPr>
          <w:lang w:val="en-GB"/>
        </w:rPr>
        <w:br w:type="page"/>
      </w:r>
    </w:p>
    <w:p w14:paraId="2EB14AB9" w14:textId="77777777" w:rsidR="00523689" w:rsidRPr="00380B40" w:rsidRDefault="00523689" w:rsidP="00523689">
      <w:pPr>
        <w:rPr>
          <w:lang w:val="en-GB"/>
        </w:rPr>
      </w:pPr>
      <w:r w:rsidRPr="00380B40">
        <w:rPr>
          <w:lang w:val="en-GB"/>
        </w:rPr>
        <w:t>When the CT decides that the draft has reached a point of maturity and that the synchronized approval process should commence, each parent is advised of the decision.</w:t>
      </w:r>
    </w:p>
    <w:p w14:paraId="628C5B0B" w14:textId="77777777" w:rsidR="00523689" w:rsidRPr="00380B40" w:rsidRDefault="00523689" w:rsidP="00523689">
      <w:pPr>
        <w:rPr>
          <w:lang w:val="en-GB"/>
        </w:rPr>
      </w:pPr>
      <w:r w:rsidRPr="00380B40">
        <w:rPr>
          <w:lang w:val="en-GB"/>
        </w:rPr>
        <w:t>For the first level of balloting on the JTC 1 side, the SC secretariat registers the working draft as a Committee Draft (CD), Proposed Draft Amendment (PDAM), Proposed Draft Technical Report (PDTR) or Proposed Draft Technical Specification (PDTS), and distributes it for a letter ballot to the National Bodies of the SC. The ballot period is two, three or four months. At the same time, the working draft is distributed to the ITU-T SG members for review and comment. ITU-T member comments should be provided within the same time period so that all responses can be considered together.</w:t>
      </w:r>
    </w:p>
    <w:p w14:paraId="3D8DABE8" w14:textId="77777777" w:rsidR="00523689" w:rsidRPr="00380B40" w:rsidRDefault="00523689" w:rsidP="00523689">
      <w:pPr>
        <w:rPr>
          <w:lang w:val="en-GB"/>
        </w:rPr>
      </w:pPr>
      <w:r w:rsidRPr="00380B40">
        <w:rPr>
          <w:lang w:val="en-GB"/>
        </w:rPr>
        <w:t>Responses from National Bodies to the CD, PDAM, PDTR or PDTS ballot are collected by the SC secretariat and distributed in a Summary of Voting Report. ITU-T members will comment by means of contributions to the SG. Both sets of responses are given to the CT.</w:t>
      </w:r>
    </w:p>
    <w:p w14:paraId="7F08C73B" w14:textId="77777777" w:rsidR="00523689" w:rsidRPr="00380B40" w:rsidRDefault="00523689" w:rsidP="00523689">
      <w:pPr>
        <w:rPr>
          <w:lang w:val="en-GB"/>
        </w:rPr>
      </w:pPr>
      <w:r w:rsidRPr="00380B40">
        <w:rPr>
          <w:lang w:val="en-GB"/>
        </w:rPr>
        <w:t>The SC ballot responses and the comments from ITU-T members are handled by the Ballot/Comment Resolution Group (see 8.6.3). Every effort should be made to resolve all issues. If the changes are substantive, a second CD, PDAM, PDTR or PDTS ballot and comment period for ITU-T members will be necessary. As with the first ballot/comment, the results will be referred to the Ballot/Comment Resolution Group for action.</w:t>
      </w:r>
    </w:p>
    <w:p w14:paraId="0ED02E7A" w14:textId="77777777" w:rsidR="00523689" w:rsidRPr="00380B40" w:rsidRDefault="00523689" w:rsidP="00523689">
      <w:pPr>
        <w:rPr>
          <w:lang w:val="en-GB"/>
        </w:rPr>
      </w:pPr>
      <w:r w:rsidRPr="00380B40">
        <w:rPr>
          <w:lang w:val="en-GB"/>
        </w:rPr>
        <w:t>When the issues have been satisfactorily resolved, the draft will be elevated to the next level of approval. The document will be registered as a DIS or DAM and circulated for a three-month ballot (following a two-month translation period) by ITTF to the National Bodies of ISO and IEC. A DTR or DTS is circulated for a three to six month letter ballot at the JTC 1 level. At the same time, the document will be submitted to the SG secretariat. The text will be circulated as a SG document for review and comment. ITU-T members should also provide their comments within the same time period so that all responses can be considered together. Also during this time period, the ITTF and the TSB will review the text and submit their comments.</w:t>
      </w:r>
    </w:p>
    <w:p w14:paraId="6393C487" w14:textId="77777777" w:rsidR="00523689" w:rsidRPr="00380B40" w:rsidRDefault="00523689" w:rsidP="00523689">
      <w:pPr>
        <w:rPr>
          <w:lang w:val="en-GB"/>
        </w:rPr>
      </w:pPr>
      <w:r w:rsidRPr="00380B40">
        <w:rPr>
          <w:lang w:val="en-GB"/>
        </w:rPr>
        <w:t xml:space="preserve">It is at this point where synchronization is critical. The first controlling factor is the date of the ITU-T SG or WP meeting where determination (TAP) or consent (AAP) is to be obtained. At this meeting, the text must be at the DIS, DAM, DTR or DTS level in ISO/IEC. The second controlling factor is that the DIS, DAM, DTR or DTS ballot resolution meeting must have produced the final text for ITU-T approval: </w:t>
      </w:r>
    </w:p>
    <w:p w14:paraId="36E75073" w14:textId="77777777" w:rsidR="00523689" w:rsidRPr="00380B40" w:rsidRDefault="00523689" w:rsidP="00523689">
      <w:pPr>
        <w:pStyle w:val="enumlev1"/>
        <w:rPr>
          <w:lang w:val="en-GB"/>
        </w:rPr>
      </w:pPr>
      <w:r w:rsidRPr="00380B40">
        <w:rPr>
          <w:lang w:val="en-GB"/>
        </w:rPr>
        <w:t>a)</w:t>
      </w:r>
      <w:r w:rsidRPr="00380B40">
        <w:rPr>
          <w:lang w:val="en-GB"/>
        </w:rPr>
        <w:tab/>
        <w:t>for TAP, by 4 months before the SG meeting where approval is to be obtained so that the TSB Director can issue a letter announcing the intent to approve the Recommendation at the upcoming SG meeting;</w:t>
      </w:r>
    </w:p>
    <w:p w14:paraId="63062AB6" w14:textId="77777777" w:rsidR="00523689" w:rsidRPr="00380B40" w:rsidRDefault="00523689" w:rsidP="00523689">
      <w:pPr>
        <w:pStyle w:val="enumlev1"/>
        <w:rPr>
          <w:lang w:val="en-GB"/>
        </w:rPr>
      </w:pPr>
      <w:r w:rsidRPr="00380B40">
        <w:rPr>
          <w:lang w:val="en-GB"/>
        </w:rPr>
        <w:t>b)</w:t>
      </w:r>
      <w:r w:rsidRPr="00380B40">
        <w:rPr>
          <w:lang w:val="en-GB"/>
        </w:rPr>
        <w:tab/>
        <w:t>for AAP, by 2 months after the SG meeting where consent was obtained so that the TSB Director can announce the Last Call for approval of the Recommendation.</w:t>
      </w:r>
    </w:p>
    <w:p w14:paraId="7EA16746" w14:textId="77777777" w:rsidR="001179D4" w:rsidRPr="00380B40" w:rsidRDefault="001179D4" w:rsidP="00523689">
      <w:pPr>
        <w:keepNext/>
        <w:rPr>
          <w:lang w:val="en-GB"/>
        </w:rPr>
      </w:pPr>
      <w:r w:rsidRPr="00380B40">
        <w:rPr>
          <w:lang w:val="en-GB"/>
        </w:rPr>
        <w:br w:type="page"/>
      </w:r>
    </w:p>
    <w:p w14:paraId="1103DC7F" w14:textId="77777777" w:rsidR="00523689" w:rsidRPr="00380B40" w:rsidRDefault="00523689" w:rsidP="00523689">
      <w:pPr>
        <w:keepNext/>
        <w:rPr>
          <w:lang w:val="en-GB"/>
        </w:rPr>
      </w:pPr>
      <w:r w:rsidRPr="00380B40">
        <w:rPr>
          <w:lang w:val="en-GB"/>
        </w:rPr>
        <w:t>Responses to the DIS, DAM, DTR or DTS ballot are distributed in a Summary of Voting Report by the SC secretariat. ITU-T members will comment by means of contributions to the SG. Both sets of responses are given to the CT.</w:t>
      </w:r>
    </w:p>
    <w:p w14:paraId="5C2EB58C" w14:textId="77777777" w:rsidR="00523689" w:rsidRPr="00380B40" w:rsidRDefault="00523689" w:rsidP="00D00068">
      <w:pPr>
        <w:pStyle w:val="Note2"/>
      </w:pPr>
      <w:r w:rsidRPr="00380B40">
        <w:rPr>
          <w:smallCaps/>
        </w:rPr>
        <w:t>NOTE </w:t>
      </w:r>
      <w:r w:rsidRPr="00380B40">
        <w:sym w:font="Symbol" w:char="F02D"/>
      </w:r>
      <w:r w:rsidRPr="00380B40">
        <w:t> If an ITU-T Member State indicates a problem which would prevent approval or if a problem is indicated on the JTC 1 side which would delay approval (e.g., an unplanned second DIS ballot), this should be immediately conveyed to all concerned so that appropriate action can be taken and, if necessary, a new synchronized plan established.</w:t>
      </w:r>
    </w:p>
    <w:p w14:paraId="06F7ABA8" w14:textId="77777777" w:rsidR="00523689" w:rsidRPr="00380B40" w:rsidRDefault="00523689" w:rsidP="00523689">
      <w:pPr>
        <w:rPr>
          <w:lang w:val="en-GB"/>
        </w:rPr>
      </w:pPr>
      <w:r w:rsidRPr="00380B40">
        <w:rPr>
          <w:lang w:val="en-GB"/>
        </w:rPr>
        <w:t>The DIS, DAM, DTR or DTS ballot responses and the comments from ITU-T members are handled by the Ballot/Comment Resolution Group. The group reviews and resolves the comments and negative ballots. If revisions are substantive, a second DIS, DAM, DTR or DTS ballot and comment period for ITU-T members will be required to affirm that all are in accord with the results</w:t>
      </w:r>
      <w:r w:rsidR="00FD162E" w:rsidRPr="00380B40">
        <w:rPr>
          <w:rStyle w:val="FootnoteReference"/>
          <w:lang w:val="en-GB"/>
        </w:rPr>
        <w:footnoteReference w:id="78"/>
      </w:r>
      <w:r w:rsidRPr="00380B40">
        <w:rPr>
          <w:vertAlign w:val="superscript"/>
          <w:lang w:val="en-GB"/>
        </w:rPr>
        <w:t>)</w:t>
      </w:r>
      <w:r w:rsidRPr="00380B40">
        <w:rPr>
          <w:lang w:val="en-GB"/>
        </w:rPr>
        <w:t>. This ballot and comment period is two to three</w:t>
      </w:r>
      <w:r w:rsidRPr="00380B40" w:rsidDel="00157089">
        <w:rPr>
          <w:lang w:val="en-GB"/>
        </w:rPr>
        <w:t xml:space="preserve"> </w:t>
      </w:r>
      <w:r w:rsidRPr="00380B40">
        <w:rPr>
          <w:lang w:val="en-GB"/>
        </w:rPr>
        <w:t>months (three months for DTR or DTS).</w:t>
      </w:r>
    </w:p>
    <w:p w14:paraId="6680FFCE" w14:textId="77777777" w:rsidR="00523689" w:rsidRPr="00380B40" w:rsidRDefault="00523689" w:rsidP="00523689">
      <w:pPr>
        <w:rPr>
          <w:lang w:val="en-GB"/>
        </w:rPr>
      </w:pPr>
      <w:r w:rsidRPr="00380B40">
        <w:rPr>
          <w:lang w:val="en-GB"/>
        </w:rPr>
        <w:t>The Ballot/Comment Resolution meeting is extended to include the ITU-T approval process so that any needed changes/corrections resulting from review of the text can be mutually agreed</w:t>
      </w:r>
      <w:r w:rsidR="00FD162E" w:rsidRPr="00380B40">
        <w:rPr>
          <w:rStyle w:val="FootnoteReference"/>
          <w:lang w:val="en-GB"/>
        </w:rPr>
        <w:footnoteReference w:id="79"/>
      </w:r>
      <w:r w:rsidRPr="00380B40">
        <w:rPr>
          <w:vertAlign w:val="superscript"/>
          <w:lang w:val="en-GB"/>
        </w:rPr>
        <w:t>)</w:t>
      </w:r>
      <w:r w:rsidRPr="00380B40">
        <w:rPr>
          <w:lang w:val="en-GB"/>
        </w:rPr>
        <w:t>. With the text available, the appropriate ITU-T approval process (TAP or AAP) will be conducted. Immediately following ITU-T approval, the editor provides the final text along with the Disposition of Comments report to the SC secretariat. This initiates the two-month ballot of the FDIS or DAM to National Bodies of ISO and IEC (there is no additional ballot for DTRs or DTSs). The FDIS ballot may be omitted if the DIS ballot was successful without any negative vote. This two-month ballot has only one of two possible outcomes: approval or rejection. If approval is not obtained from the ITU-T approval process or in response to the ISO/IEC letter ballot, the next action will be based on consultation between ISO/IEC JTC 1 and the ITU-T, taking into account the specifics of the situation.</w:t>
      </w:r>
    </w:p>
    <w:p w14:paraId="7DE26F61" w14:textId="77777777" w:rsidR="00523689" w:rsidRPr="00380B40" w:rsidRDefault="00523689" w:rsidP="00523689">
      <w:pPr>
        <w:rPr>
          <w:lang w:val="en-GB"/>
        </w:rPr>
      </w:pPr>
      <w:r w:rsidRPr="00380B40">
        <w:rPr>
          <w:lang w:val="en-GB"/>
        </w:rPr>
        <w:t xml:space="preserve">While the ISO/IEC letter ballot is being conducted, the ITTF and the TSB will work together to facilitate prompt publication. </w:t>
      </w:r>
    </w:p>
    <w:p w14:paraId="72D7CB81" w14:textId="77777777" w:rsidR="00523689" w:rsidRPr="00380B40" w:rsidRDefault="00523689" w:rsidP="00523689">
      <w:pPr>
        <w:pStyle w:val="Heading2"/>
        <w:rPr>
          <w:lang w:val="en-GB"/>
        </w:rPr>
      </w:pPr>
      <w:bookmarkStart w:id="1770" w:name="_Toc319403709"/>
      <w:bookmarkStart w:id="1771" w:name="_Toc382734862"/>
      <w:bookmarkStart w:id="1772" w:name="_Toc3708757"/>
      <w:bookmarkStart w:id="1773" w:name="_Toc229895906"/>
      <w:bookmarkStart w:id="1774" w:name="_Toc229896208"/>
      <w:bookmarkStart w:id="1775" w:name="_Toc398284269"/>
      <w:bookmarkStart w:id="1776" w:name="_Toc401035488"/>
      <w:bookmarkStart w:id="1777" w:name="_Toc401312742"/>
      <w:bookmarkStart w:id="1778" w:name="_Toc401313098"/>
      <w:bookmarkStart w:id="1779" w:name="_Toc111637023"/>
      <w:r w:rsidRPr="00380B40">
        <w:rPr>
          <w:lang w:val="en-GB"/>
        </w:rPr>
        <w:t>8.10</w:t>
      </w:r>
      <w:r w:rsidRPr="00380B40">
        <w:rPr>
          <w:lang w:val="en-GB"/>
        </w:rPr>
        <w:tab/>
        <w:t>Publication</w:t>
      </w:r>
      <w:bookmarkEnd w:id="1770"/>
      <w:bookmarkEnd w:id="1771"/>
      <w:bookmarkEnd w:id="1772"/>
      <w:bookmarkEnd w:id="1773"/>
      <w:bookmarkEnd w:id="1774"/>
      <w:bookmarkEnd w:id="1775"/>
      <w:bookmarkEnd w:id="1776"/>
      <w:bookmarkEnd w:id="1777"/>
      <w:bookmarkEnd w:id="1778"/>
      <w:bookmarkEnd w:id="1779"/>
    </w:p>
    <w:p w14:paraId="5BA70A06" w14:textId="77777777" w:rsidR="00523689" w:rsidRPr="00380B40" w:rsidRDefault="00523689" w:rsidP="00523689">
      <w:pPr>
        <w:rPr>
          <w:lang w:val="en-GB"/>
        </w:rPr>
      </w:pPr>
      <w:r w:rsidRPr="00380B40">
        <w:rPr>
          <w:lang w:val="en-GB"/>
        </w:rPr>
        <w:t>The collaborative Recommendation | International Standard should be published as soon as practical after an affirmative response to the ISO/IEC FDIS ballot has been achieved. Note that, should the DIS ballot be successful without negative votes, the FDIS ballot may be omitted and the text may proceed as soon as practical to publication</w:t>
      </w:r>
    </w:p>
    <w:p w14:paraId="32387341" w14:textId="77777777" w:rsidR="00523689" w:rsidRPr="00380B40" w:rsidRDefault="00523689" w:rsidP="00523689">
      <w:pPr>
        <w:rPr>
          <w:lang w:val="en-GB"/>
        </w:rPr>
      </w:pPr>
      <w:r w:rsidRPr="00380B40">
        <w:rPr>
          <w:lang w:val="en-GB"/>
        </w:rPr>
        <w:t>Care should be taken to ensure that there is a single master of the common text for each language that is used for publication.</w:t>
      </w:r>
    </w:p>
    <w:p w14:paraId="3AAA4DBE" w14:textId="77777777" w:rsidR="001179D4" w:rsidRPr="00380B40" w:rsidRDefault="001179D4" w:rsidP="00523689">
      <w:pPr>
        <w:rPr>
          <w:lang w:val="en-GB"/>
        </w:rPr>
      </w:pPr>
      <w:r w:rsidRPr="00380B40">
        <w:rPr>
          <w:lang w:val="en-GB"/>
        </w:rPr>
        <w:br w:type="page"/>
      </w:r>
    </w:p>
    <w:p w14:paraId="327556A7" w14:textId="77777777" w:rsidR="00523689" w:rsidRPr="00380B40" w:rsidRDefault="00523689" w:rsidP="00523689">
      <w:pPr>
        <w:pStyle w:val="Heading2"/>
        <w:rPr>
          <w:lang w:val="en-GB"/>
        </w:rPr>
      </w:pPr>
      <w:bookmarkStart w:id="1780" w:name="_Toc319403710"/>
      <w:bookmarkStart w:id="1781" w:name="_Toc382734863"/>
      <w:bookmarkStart w:id="1782" w:name="_Toc3708758"/>
      <w:bookmarkStart w:id="1783" w:name="_Toc229895907"/>
      <w:bookmarkStart w:id="1784" w:name="_Toc229896209"/>
      <w:bookmarkStart w:id="1785" w:name="_Toc398284270"/>
      <w:bookmarkStart w:id="1786" w:name="_Toc401035489"/>
      <w:bookmarkStart w:id="1787" w:name="_Toc401312743"/>
      <w:bookmarkStart w:id="1788" w:name="_Toc401313099"/>
      <w:bookmarkStart w:id="1789" w:name="_Toc111637024"/>
      <w:r w:rsidRPr="00380B40">
        <w:rPr>
          <w:lang w:val="en-GB"/>
        </w:rPr>
        <w:t>8.11</w:t>
      </w:r>
      <w:r w:rsidRPr="00380B40">
        <w:rPr>
          <w:lang w:val="en-GB"/>
        </w:rPr>
        <w:tab/>
        <w:t>Defects</w:t>
      </w:r>
      <w:bookmarkEnd w:id="1780"/>
      <w:bookmarkEnd w:id="1781"/>
      <w:bookmarkEnd w:id="1782"/>
      <w:bookmarkEnd w:id="1783"/>
      <w:bookmarkEnd w:id="1784"/>
      <w:bookmarkEnd w:id="1785"/>
      <w:bookmarkEnd w:id="1786"/>
      <w:bookmarkEnd w:id="1787"/>
      <w:bookmarkEnd w:id="1788"/>
      <w:bookmarkEnd w:id="1789"/>
    </w:p>
    <w:p w14:paraId="5A8A1C55" w14:textId="77777777" w:rsidR="00523689" w:rsidRPr="00380B40" w:rsidRDefault="00523689" w:rsidP="00523689">
      <w:pPr>
        <w:rPr>
          <w:lang w:val="en-GB"/>
        </w:rPr>
      </w:pPr>
      <w:r w:rsidRPr="00380B40">
        <w:rPr>
          <w:lang w:val="en-GB"/>
        </w:rPr>
        <w:t>The work is not necessarily completed at the stage of publication. While every effort has been taken to produce a quality document, experience has shown that defects may be found as the document is being applied to implementations. Therefore, there is a need for an ongoing responsibility for dealing with Defect Reports.</w:t>
      </w:r>
    </w:p>
    <w:p w14:paraId="7F6DD6A5" w14:textId="77777777" w:rsidR="00523689" w:rsidRPr="00380B40" w:rsidRDefault="00523689" w:rsidP="00523689">
      <w:pPr>
        <w:rPr>
          <w:lang w:val="en-GB"/>
        </w:rPr>
      </w:pPr>
      <w:r w:rsidRPr="00380B40">
        <w:rPr>
          <w:lang w:val="en-GB"/>
        </w:rPr>
        <w:t>It is critical that rapid correction of possible errors, omissions, inconsistencies, or ambiguities be performed collaboratively. The procedures for this important effort are outlined below.</w:t>
      </w:r>
    </w:p>
    <w:p w14:paraId="33D07C1E" w14:textId="77777777" w:rsidR="00523689" w:rsidRPr="00380B40" w:rsidRDefault="00523689" w:rsidP="00523689">
      <w:pPr>
        <w:pStyle w:val="Heading3"/>
        <w:ind w:left="0" w:firstLine="0"/>
        <w:rPr>
          <w:lang w:val="en-GB"/>
        </w:rPr>
      </w:pPr>
      <w:bookmarkStart w:id="1790" w:name="_Toc3708759"/>
      <w:bookmarkStart w:id="1791" w:name="_Toc229895908"/>
      <w:bookmarkStart w:id="1792" w:name="_Toc229896210"/>
      <w:bookmarkStart w:id="1793" w:name="_Toc111637025"/>
      <w:r w:rsidRPr="00380B40">
        <w:rPr>
          <w:lang w:val="en-GB"/>
        </w:rPr>
        <w:t>8.11.1</w:t>
      </w:r>
      <w:r w:rsidRPr="00380B40">
        <w:rPr>
          <w:lang w:val="en-GB"/>
        </w:rPr>
        <w:tab/>
        <w:t>Defect Review Group</w:t>
      </w:r>
      <w:bookmarkEnd w:id="1790"/>
      <w:bookmarkEnd w:id="1791"/>
      <w:bookmarkEnd w:id="1792"/>
      <w:bookmarkEnd w:id="1793"/>
    </w:p>
    <w:p w14:paraId="60364E42" w14:textId="77777777" w:rsidR="00523689" w:rsidRPr="00380B40" w:rsidRDefault="00523689" w:rsidP="00523689">
      <w:pPr>
        <w:rPr>
          <w:lang w:val="en-GB"/>
        </w:rPr>
      </w:pPr>
      <w:r w:rsidRPr="00380B40">
        <w:rPr>
          <w:lang w:val="en-GB"/>
        </w:rPr>
        <w:t>The CT may request the JTC 1 SC and the ITU-T SG to establish a collaborative Defect Review Group to be chaired by an appointed Editor. The group should consist of the experts nominated by the JTC 1 SC and the ITU-T SG.</w:t>
      </w:r>
    </w:p>
    <w:p w14:paraId="1E651F22" w14:textId="77777777" w:rsidR="00523689" w:rsidRPr="00380B40" w:rsidRDefault="00523689" w:rsidP="00523689">
      <w:pPr>
        <w:pStyle w:val="Heading3"/>
        <w:ind w:left="0" w:firstLine="0"/>
        <w:rPr>
          <w:lang w:val="en-GB"/>
        </w:rPr>
      </w:pPr>
      <w:bookmarkStart w:id="1794" w:name="_Toc3708760"/>
      <w:bookmarkStart w:id="1795" w:name="_Toc229895909"/>
      <w:bookmarkStart w:id="1796" w:name="_Toc229896211"/>
      <w:bookmarkStart w:id="1797" w:name="_Toc111637026"/>
      <w:r w:rsidRPr="00380B40">
        <w:rPr>
          <w:lang w:val="en-GB"/>
        </w:rPr>
        <w:t>8.11.2</w:t>
      </w:r>
      <w:r w:rsidRPr="00380B40">
        <w:rPr>
          <w:lang w:val="en-GB"/>
        </w:rPr>
        <w:tab/>
        <w:t>Submission of Defect Reports</w:t>
      </w:r>
      <w:bookmarkEnd w:id="1794"/>
      <w:bookmarkEnd w:id="1795"/>
      <w:bookmarkEnd w:id="1796"/>
      <w:bookmarkEnd w:id="1797"/>
    </w:p>
    <w:p w14:paraId="28681712" w14:textId="77777777" w:rsidR="00523689" w:rsidRPr="00380B40" w:rsidRDefault="00523689" w:rsidP="00523689">
      <w:pPr>
        <w:rPr>
          <w:lang w:val="en-GB"/>
        </w:rPr>
      </w:pPr>
      <w:r w:rsidRPr="00380B40">
        <w:rPr>
          <w:lang w:val="en-GB"/>
        </w:rPr>
        <w:t>Defect Reports may be submitted by ISO/IEC National Bodies, ITU-T members, liaison organizations, the responsible SG or any of its WPs, the responsible SC or any of its WGs, or by a member of the Defect Review Group. Appendix I provides the Defect Report form to be used. It is a modified version of the JTC 1 Defect Report form to encompass both JTC 1 and ITU-T information.</w:t>
      </w:r>
    </w:p>
    <w:p w14:paraId="3C49DE76" w14:textId="77777777" w:rsidR="00523689" w:rsidRPr="00380B40" w:rsidRDefault="00523689" w:rsidP="00523689">
      <w:pPr>
        <w:rPr>
          <w:lang w:val="en-GB"/>
        </w:rPr>
      </w:pPr>
      <w:r w:rsidRPr="00380B40">
        <w:rPr>
          <w:lang w:val="en-GB"/>
        </w:rPr>
        <w:t>Defect Reports submitted to one organization should be immediately copied to the other organization. The JTC 1 WG secretariat will handle the administrative aspects.</w:t>
      </w:r>
    </w:p>
    <w:p w14:paraId="78E8354C" w14:textId="77777777" w:rsidR="00523689" w:rsidRPr="00380B40" w:rsidRDefault="00523689" w:rsidP="00523689">
      <w:pPr>
        <w:rPr>
          <w:lang w:val="en-GB"/>
        </w:rPr>
      </w:pPr>
      <w:r w:rsidRPr="00380B40">
        <w:rPr>
          <w:lang w:val="en-GB"/>
        </w:rPr>
        <w:t>The Defect Review Group is responsible for maintaining an up-to-date list of all submitted Defect Reports and the status of each.</w:t>
      </w:r>
    </w:p>
    <w:p w14:paraId="7F519C0B" w14:textId="77777777" w:rsidR="00523689" w:rsidRPr="00380B40" w:rsidRDefault="00523689" w:rsidP="00523689">
      <w:pPr>
        <w:pStyle w:val="Heading3"/>
        <w:ind w:left="0" w:firstLine="0"/>
        <w:rPr>
          <w:lang w:val="en-GB"/>
        </w:rPr>
      </w:pPr>
      <w:bookmarkStart w:id="1798" w:name="_Toc3708761"/>
      <w:bookmarkStart w:id="1799" w:name="_Toc229895910"/>
      <w:bookmarkStart w:id="1800" w:name="_Toc229896212"/>
      <w:bookmarkStart w:id="1801" w:name="_Toc111637027"/>
      <w:r w:rsidRPr="00380B40">
        <w:rPr>
          <w:lang w:val="en-GB"/>
        </w:rPr>
        <w:t>8.11.3</w:t>
      </w:r>
      <w:r w:rsidRPr="00380B40">
        <w:rPr>
          <w:lang w:val="en-GB"/>
        </w:rPr>
        <w:tab/>
        <w:t>Procedures for resolving defects</w:t>
      </w:r>
      <w:bookmarkEnd w:id="1798"/>
      <w:bookmarkEnd w:id="1799"/>
      <w:bookmarkEnd w:id="1800"/>
      <w:bookmarkEnd w:id="1801"/>
    </w:p>
    <w:p w14:paraId="78DC4083" w14:textId="77777777" w:rsidR="00523689" w:rsidRPr="00380B40" w:rsidRDefault="00523689" w:rsidP="00523689">
      <w:pPr>
        <w:rPr>
          <w:lang w:val="en-GB"/>
        </w:rPr>
      </w:pPr>
      <w:r w:rsidRPr="00380B40">
        <w:rPr>
          <w:lang w:val="en-GB"/>
        </w:rPr>
        <w:t>The JTC 1 procedures for handling Defect Reports (see ISO/IEC Directives for JTC 1) are followed with modifications to encompass collaborative ITU-T and JTC 1 participation in the resolution of the defect.</w:t>
      </w:r>
    </w:p>
    <w:p w14:paraId="34A3DECC" w14:textId="77777777" w:rsidR="00523689" w:rsidRPr="00380B40" w:rsidRDefault="00523689" w:rsidP="00523689">
      <w:pPr>
        <w:rPr>
          <w:lang w:val="en-GB"/>
        </w:rPr>
      </w:pPr>
      <w:r w:rsidRPr="00380B40">
        <w:rPr>
          <w:lang w:val="en-GB"/>
        </w:rPr>
        <w:t>When agreement is reached in the Defect Review Group for resolution of a defect, the appropriate approval procedures are initiated in the ITU-T and JTC 1.</w:t>
      </w:r>
    </w:p>
    <w:p w14:paraId="0DA6FFAB" w14:textId="77777777" w:rsidR="00523689" w:rsidRPr="00380B40" w:rsidRDefault="00523689" w:rsidP="00523689">
      <w:pPr>
        <w:rPr>
          <w:lang w:val="en-GB"/>
        </w:rPr>
      </w:pPr>
      <w:r w:rsidRPr="00380B40">
        <w:rPr>
          <w:lang w:val="en-GB"/>
        </w:rPr>
        <w:t>If the resolution of a Defect Report results in a need to correct the text of a collaborative Recommendation | International Standard, then the Editor prepares a draft Technical Corrigendum and sends it to the SC secretariat and the SG secretariat. JTC 1 approval is obtained by means of a three-month SC ballot/JTC 1 comment period. ITU-T approval under TAP is obtained by the SG Chairman submission of the text to the TSB, announcement in a Director's letter followed by a consultation period and approval at a SG meeting. ITU-T approval under AAP is obtained by consent at a SG or WP meeting followed by approval through the Last Call. The approved corrections are published in common text format as a Technical Corrigendum to the Recommendation | International Standard.</w:t>
      </w:r>
    </w:p>
    <w:p w14:paraId="5AAB0881" w14:textId="77777777" w:rsidR="001179D4" w:rsidRPr="00380B40" w:rsidRDefault="001179D4" w:rsidP="00523689">
      <w:pPr>
        <w:rPr>
          <w:lang w:val="en-GB"/>
        </w:rPr>
      </w:pPr>
      <w:r w:rsidRPr="00380B40">
        <w:rPr>
          <w:lang w:val="en-GB"/>
        </w:rPr>
        <w:br w:type="page"/>
      </w:r>
    </w:p>
    <w:p w14:paraId="6E721E58" w14:textId="77777777" w:rsidR="00523689" w:rsidRPr="00380B40" w:rsidRDefault="00523689" w:rsidP="00523689">
      <w:pPr>
        <w:rPr>
          <w:lang w:val="en-GB"/>
        </w:rPr>
      </w:pPr>
      <w:r w:rsidRPr="00380B40">
        <w:rPr>
          <w:lang w:val="en-GB"/>
        </w:rPr>
        <w:t>Alternatively, if the resolution of the Defect Report involves substantial change, then it is processed as an amendment using the procedures in 8.12.</w:t>
      </w:r>
    </w:p>
    <w:p w14:paraId="2B02FBDF" w14:textId="77777777" w:rsidR="00523689" w:rsidRPr="00380B40" w:rsidRDefault="00523689" w:rsidP="00523689">
      <w:pPr>
        <w:rPr>
          <w:lang w:val="en-GB"/>
        </w:rPr>
      </w:pPr>
      <w:r w:rsidRPr="00380B40">
        <w:rPr>
          <w:lang w:val="en-GB"/>
        </w:rPr>
        <w:t>The Editor for the Recommendation | International Standard will maintain an up-to-date copy of the complete integrated text, including all changes approved through the defect process.</w:t>
      </w:r>
    </w:p>
    <w:p w14:paraId="2C85750D" w14:textId="77777777" w:rsidR="00523689" w:rsidRPr="00380B40" w:rsidRDefault="00523689" w:rsidP="00523689">
      <w:pPr>
        <w:pStyle w:val="Heading2"/>
        <w:rPr>
          <w:lang w:val="en-GB"/>
        </w:rPr>
      </w:pPr>
      <w:bookmarkStart w:id="1802" w:name="_Toc319403711"/>
      <w:bookmarkStart w:id="1803" w:name="_Toc382734864"/>
      <w:bookmarkStart w:id="1804" w:name="_Toc3708762"/>
      <w:bookmarkStart w:id="1805" w:name="_Toc229895911"/>
      <w:bookmarkStart w:id="1806" w:name="_Toc229896213"/>
      <w:bookmarkStart w:id="1807" w:name="_Toc398284271"/>
      <w:bookmarkStart w:id="1808" w:name="_Toc401035490"/>
      <w:bookmarkStart w:id="1809" w:name="_Toc401312744"/>
      <w:bookmarkStart w:id="1810" w:name="_Toc401313100"/>
      <w:bookmarkStart w:id="1811" w:name="_Toc111637028"/>
      <w:r w:rsidRPr="00380B40">
        <w:rPr>
          <w:lang w:val="en-GB"/>
        </w:rPr>
        <w:t>8.12</w:t>
      </w:r>
      <w:r w:rsidRPr="00380B40">
        <w:rPr>
          <w:lang w:val="en-GB"/>
        </w:rPr>
        <w:tab/>
        <w:t>Amendments</w:t>
      </w:r>
      <w:bookmarkEnd w:id="1802"/>
      <w:bookmarkEnd w:id="1803"/>
      <w:bookmarkEnd w:id="1804"/>
      <w:bookmarkEnd w:id="1805"/>
      <w:bookmarkEnd w:id="1806"/>
      <w:bookmarkEnd w:id="1807"/>
      <w:bookmarkEnd w:id="1808"/>
      <w:bookmarkEnd w:id="1809"/>
      <w:bookmarkEnd w:id="1810"/>
      <w:bookmarkEnd w:id="1811"/>
    </w:p>
    <w:p w14:paraId="16E841CD" w14:textId="77777777" w:rsidR="00523689" w:rsidRPr="00380B40" w:rsidRDefault="00523689" w:rsidP="00523689">
      <w:pPr>
        <w:rPr>
          <w:lang w:val="en-GB"/>
        </w:rPr>
      </w:pPr>
      <w:r w:rsidRPr="00380B40">
        <w:rPr>
          <w:lang w:val="en-GB"/>
        </w:rPr>
        <w:t>Further work is often identified as a result of the development process and as a result of changing technology and new operational requirements. Accordingly, there is an important need for amendments that provide expansions, enhancements, and updates to the basic provisions of the published Recommendation | International Standard.</w:t>
      </w:r>
    </w:p>
    <w:p w14:paraId="67311349" w14:textId="77777777" w:rsidR="00523689" w:rsidRPr="00380B40" w:rsidRDefault="00523689" w:rsidP="00523689">
      <w:pPr>
        <w:rPr>
          <w:lang w:val="en-GB"/>
        </w:rPr>
      </w:pPr>
      <w:r w:rsidRPr="00380B40">
        <w:rPr>
          <w:lang w:val="en-GB"/>
        </w:rPr>
        <w:t>The processing of amendments follows the same procedures as the original development beginning with the approval, if necessary, of an NP by JTC 1. These may be considered as extensions to the original work by the same CT or may be considered as separate new work that requires the formation of a new CT.</w:t>
      </w:r>
    </w:p>
    <w:p w14:paraId="60BDD21A" w14:textId="77777777" w:rsidR="00523689" w:rsidRPr="00380B40" w:rsidRDefault="00523689" w:rsidP="00523689">
      <w:pPr>
        <w:rPr>
          <w:lang w:val="en-GB"/>
        </w:rPr>
      </w:pPr>
      <w:r w:rsidRPr="00380B40">
        <w:rPr>
          <w:lang w:val="en-GB"/>
        </w:rPr>
        <w:t>The Editor for the Recommendation | International Standard will maintain an up-to-date copy of the complete integrated text, including all changes approved through the amendment process.</w:t>
      </w:r>
    </w:p>
    <w:p w14:paraId="6D320F93" w14:textId="77777777" w:rsidR="00523689" w:rsidRPr="00380B40" w:rsidRDefault="00523689" w:rsidP="00523689">
      <w:pPr>
        <w:pStyle w:val="Heading1"/>
        <w:rPr>
          <w:sz w:val="20"/>
          <w:lang w:val="en-GB"/>
        </w:rPr>
      </w:pPr>
      <w:bookmarkStart w:id="1812" w:name="_Toc319403712"/>
      <w:bookmarkStart w:id="1813" w:name="_Toc382734865"/>
      <w:bookmarkStart w:id="1814" w:name="_Toc3708763"/>
      <w:bookmarkStart w:id="1815" w:name="_Toc229895912"/>
      <w:bookmarkStart w:id="1816" w:name="_Toc229896214"/>
      <w:bookmarkStart w:id="1817" w:name="_Toc398284272"/>
      <w:bookmarkStart w:id="1818" w:name="_Toc401035491"/>
      <w:bookmarkStart w:id="1819" w:name="_Toc401312745"/>
      <w:bookmarkStart w:id="1820" w:name="_Toc401313101"/>
      <w:bookmarkStart w:id="1821" w:name="_Toc111637029"/>
      <w:r w:rsidRPr="00380B40">
        <w:rPr>
          <w:lang w:val="en-GB"/>
        </w:rPr>
        <w:t>9</w:t>
      </w:r>
      <w:bookmarkEnd w:id="1812"/>
      <w:r w:rsidRPr="00380B40">
        <w:rPr>
          <w:lang w:val="en-GB"/>
        </w:rPr>
        <w:tab/>
        <w:t>Recognition of cooperation</w:t>
      </w:r>
      <w:bookmarkEnd w:id="1813"/>
      <w:bookmarkEnd w:id="1814"/>
      <w:bookmarkEnd w:id="1815"/>
      <w:bookmarkEnd w:id="1816"/>
      <w:bookmarkEnd w:id="1817"/>
      <w:bookmarkEnd w:id="1818"/>
      <w:bookmarkEnd w:id="1819"/>
      <w:bookmarkEnd w:id="1820"/>
      <w:bookmarkEnd w:id="1821"/>
    </w:p>
    <w:p w14:paraId="348C7C54" w14:textId="77777777" w:rsidR="00523689" w:rsidRPr="00380B40" w:rsidRDefault="00523689" w:rsidP="00523689">
      <w:pPr>
        <w:rPr>
          <w:lang w:val="en-GB"/>
        </w:rPr>
      </w:pPr>
      <w:r w:rsidRPr="00380B40">
        <w:rPr>
          <w:lang w:val="en-GB"/>
        </w:rPr>
        <w:t>The cooperation between the ITU-T and JTC 1 has resulted in the development of a large and growing set of related Recommendations and International Standards. It is valuable that users perceive these results as a cohesive whole. The common text format (see the note in clause 1.3</w:t>
      </w:r>
      <w:r w:rsidRPr="00380B40">
        <w:rPr>
          <w:rFonts w:eastAsia="Batang"/>
          <w:szCs w:val="24"/>
          <w:lang w:val="en-GB" w:eastAsia="zh-CN"/>
        </w:rPr>
        <w:t>)</w:t>
      </w:r>
      <w:r w:rsidRPr="00380B40">
        <w:rPr>
          <w:lang w:val="en-GB"/>
        </w:rPr>
        <w:t xml:space="preserve"> facilitates this view. Another important area where cohesiveness can be shown is with respect to previously completed collaborative work that resulted in technically aligned text published separately with "house-style" differences. When these so-called "twins" are to be updated and/or republished, it is recommended that they be converted to the common text format.</w:t>
      </w:r>
    </w:p>
    <w:p w14:paraId="0C8A7B29" w14:textId="77777777" w:rsidR="00523689" w:rsidRPr="00380B40" w:rsidRDefault="00523689" w:rsidP="00523689">
      <w:pPr>
        <w:rPr>
          <w:lang w:val="en-GB"/>
        </w:rPr>
      </w:pPr>
      <w:r w:rsidRPr="00380B40">
        <w:rPr>
          <w:lang w:val="en-GB"/>
        </w:rPr>
        <w:t>If, during a transition period, any of these "twin" Recommendations or International Standards will be updated but not in the common text format, attention should be given to the following means to reinforce the cooperation and cohesiveness of the development effort:</w:t>
      </w:r>
    </w:p>
    <w:p w14:paraId="37A382CD" w14:textId="77777777" w:rsidR="00523689" w:rsidRPr="00380B40" w:rsidRDefault="00523689" w:rsidP="00523689">
      <w:pPr>
        <w:pStyle w:val="enumlev1"/>
        <w:rPr>
          <w:lang w:val="en-GB"/>
        </w:rPr>
      </w:pPr>
      <w:r w:rsidRPr="00380B40">
        <w:rPr>
          <w:lang w:val="en-GB"/>
        </w:rPr>
        <w:t>a)</w:t>
      </w:r>
      <w:r w:rsidRPr="00380B40">
        <w:rPr>
          <w:lang w:val="en-GB"/>
        </w:rPr>
        <w:tab/>
        <w:t>Include a footnote from the title of the ITU-T Recommendation that notes the collaborative nature of the work, gives the title of the "twin" ISO/IEC International Standard, and states the degree of technical alignment (for examples, see the ITU-T X.200-series of Recommendations);</w:t>
      </w:r>
    </w:p>
    <w:p w14:paraId="16DDC113" w14:textId="77777777" w:rsidR="00523689" w:rsidRPr="00380B40" w:rsidRDefault="00523689" w:rsidP="00523689">
      <w:pPr>
        <w:pStyle w:val="enumlev1"/>
        <w:rPr>
          <w:lang w:val="en-GB"/>
        </w:rPr>
      </w:pPr>
      <w:r w:rsidRPr="00380B40">
        <w:rPr>
          <w:lang w:val="en-GB"/>
        </w:rPr>
        <w:t>b)</w:t>
      </w:r>
      <w:r w:rsidRPr="00380B40">
        <w:rPr>
          <w:lang w:val="en-GB"/>
        </w:rPr>
        <w:tab/>
        <w:t>Include text in the Foreword of the International Standard that notes the collaborative nature of the work, gives the title of the "twin" ITU-T Recommendation, and states the degree of technical alignment;</w:t>
      </w:r>
    </w:p>
    <w:p w14:paraId="5444BE22" w14:textId="77777777" w:rsidR="00523689" w:rsidRPr="00380B40" w:rsidRDefault="00523689" w:rsidP="00523689">
      <w:pPr>
        <w:pStyle w:val="enumlev1"/>
        <w:rPr>
          <w:lang w:val="en-GB"/>
        </w:rPr>
      </w:pPr>
      <w:r w:rsidRPr="00380B40">
        <w:rPr>
          <w:lang w:val="en-GB"/>
        </w:rPr>
        <w:t>c)</w:t>
      </w:r>
      <w:r w:rsidRPr="00380B40">
        <w:rPr>
          <w:lang w:val="en-GB"/>
        </w:rPr>
        <w:tab/>
        <w:t>If in the Reference section of a Recommendation there is a reference to an ITU-T Recommendation that has a "twin" International Standard, then include in parentheses a reference to the twin (or use the format mentioned as a note in clause 1.3);</w:t>
      </w:r>
    </w:p>
    <w:p w14:paraId="6C3EFC16" w14:textId="77777777" w:rsidR="001179D4" w:rsidRPr="00380B40" w:rsidRDefault="001179D4" w:rsidP="00523689">
      <w:pPr>
        <w:pStyle w:val="enumlev1"/>
        <w:rPr>
          <w:lang w:val="en-GB"/>
        </w:rPr>
      </w:pPr>
      <w:r w:rsidRPr="00380B40">
        <w:rPr>
          <w:lang w:val="en-GB"/>
        </w:rPr>
        <w:br w:type="page"/>
      </w:r>
    </w:p>
    <w:p w14:paraId="4759BABF" w14:textId="77777777" w:rsidR="00523689" w:rsidRPr="00380B40" w:rsidRDefault="00523689" w:rsidP="00523689">
      <w:pPr>
        <w:pStyle w:val="enumlev1"/>
        <w:rPr>
          <w:lang w:val="en-GB"/>
        </w:rPr>
      </w:pPr>
      <w:r w:rsidRPr="00380B40">
        <w:rPr>
          <w:lang w:val="en-GB"/>
        </w:rPr>
        <w:t>d)</w:t>
      </w:r>
      <w:r w:rsidRPr="00380B40">
        <w:rPr>
          <w:lang w:val="en-GB"/>
        </w:rPr>
        <w:tab/>
        <w:t>If in the Normative References clause of an International Standard there is a reference to an International Standard that has a "twin" Recommendation, then include in parentheses a reference to the twin (or use the format mentioned as a note in clause 1.3); and</w:t>
      </w:r>
    </w:p>
    <w:p w14:paraId="585E1ACF" w14:textId="77777777" w:rsidR="00523689" w:rsidRPr="00380B40" w:rsidRDefault="00523689" w:rsidP="00523689">
      <w:pPr>
        <w:pStyle w:val="enumlev1"/>
        <w:rPr>
          <w:lang w:val="en-GB"/>
        </w:rPr>
      </w:pPr>
      <w:r w:rsidRPr="00380B40">
        <w:rPr>
          <w:lang w:val="en-GB"/>
        </w:rPr>
        <w:t>e)</w:t>
      </w:r>
      <w:r w:rsidRPr="00380B40">
        <w:rPr>
          <w:lang w:val="en-GB"/>
        </w:rPr>
        <w:tab/>
        <w:t>If there are technical differences between a Recommendation and an International Standard, then include an Appendix/Annex in both documents that summarizes the differences.</w:t>
      </w:r>
    </w:p>
    <w:p w14:paraId="2D3766D8" w14:textId="77777777" w:rsidR="00523689" w:rsidRPr="00380B40" w:rsidRDefault="00523689" w:rsidP="00523689">
      <w:pPr>
        <w:rPr>
          <w:lang w:val="en-GB"/>
        </w:rPr>
      </w:pPr>
      <w:r w:rsidRPr="00380B40">
        <w:rPr>
          <w:lang w:val="en-GB"/>
        </w:rPr>
        <w:t>A third important area involves the large number of Recommendations and International Standards that exist only in one organization, but make use of and reference Recommendations and International Standards that were developed collaboratively. In this situation, the spirit of cooperation can be communicated by ensuring that references are given to documents of both organizations [see items c) and d) above]. To facilitate this referencing, the TSB and the ITTF will maintain a listing of all collaborative Recommendations and International Standards.</w:t>
      </w:r>
    </w:p>
    <w:p w14:paraId="417138AC" w14:textId="77777777" w:rsidR="00523689" w:rsidRPr="00380B40" w:rsidRDefault="00523689" w:rsidP="00523689">
      <w:pPr>
        <w:pStyle w:val="Heading1"/>
        <w:ind w:left="0" w:firstLine="0"/>
        <w:rPr>
          <w:lang w:val="en-GB"/>
        </w:rPr>
      </w:pPr>
      <w:bookmarkStart w:id="1822" w:name="_Toc3708764"/>
      <w:bookmarkStart w:id="1823" w:name="_Toc229895913"/>
      <w:bookmarkStart w:id="1824" w:name="_Toc229896215"/>
      <w:bookmarkStart w:id="1825" w:name="_Toc398284273"/>
      <w:bookmarkStart w:id="1826" w:name="_Toc401035492"/>
      <w:bookmarkStart w:id="1827" w:name="_Toc401312746"/>
      <w:bookmarkStart w:id="1828" w:name="_Toc401313102"/>
      <w:bookmarkStart w:id="1829" w:name="_Toc111637030"/>
      <w:r w:rsidRPr="00380B40">
        <w:rPr>
          <w:lang w:val="en-GB"/>
        </w:rPr>
        <w:t>10</w:t>
      </w:r>
      <w:r w:rsidRPr="00380B40">
        <w:rPr>
          <w:lang w:val="en-GB"/>
        </w:rPr>
        <w:tab/>
        <w:t>Applying the Common Patent Policy for ITU-T/ITU-R/ISO/IEC</w:t>
      </w:r>
      <w:bookmarkEnd w:id="1822"/>
      <w:bookmarkEnd w:id="1823"/>
      <w:bookmarkEnd w:id="1824"/>
      <w:bookmarkEnd w:id="1825"/>
      <w:bookmarkEnd w:id="1826"/>
      <w:bookmarkEnd w:id="1827"/>
      <w:bookmarkEnd w:id="1828"/>
      <w:bookmarkEnd w:id="1829"/>
    </w:p>
    <w:p w14:paraId="2F97EDE9" w14:textId="77777777" w:rsidR="00523689" w:rsidRPr="00380B40" w:rsidRDefault="00523689" w:rsidP="00523689">
      <w:pPr>
        <w:rPr>
          <w:lang w:val="en-GB"/>
        </w:rPr>
      </w:pPr>
      <w:r w:rsidRPr="00380B40">
        <w:rPr>
          <w:lang w:val="en-GB"/>
        </w:rPr>
        <w:t xml:space="preserve">Information pertaining to the common patent policy for ITU-T/ITU-R/ISO/IEC is available at </w:t>
      </w:r>
      <w:hyperlink r:id="rId444" w:history="1">
        <w:r w:rsidR="007F7EB9" w:rsidRPr="00380B40">
          <w:rPr>
            <w:rStyle w:val="Hyperlink"/>
            <w:lang w:val="en-GB"/>
          </w:rPr>
          <w:t>http://itu.int/en/ITU-T/ipr</w:t>
        </w:r>
      </w:hyperlink>
      <w:r w:rsidRPr="00380B40">
        <w:rPr>
          <w:lang w:val="en-GB"/>
        </w:rPr>
        <w:t xml:space="preserve"> and in the ISO/IEC Directives, Part 1:2013, and Part 2:2011, Annex I (Appendix I).</w:t>
      </w:r>
    </w:p>
    <w:p w14:paraId="728ECBCC" w14:textId="77777777" w:rsidR="00523689" w:rsidRPr="00380B40" w:rsidRDefault="00523689" w:rsidP="00523689">
      <w:pPr>
        <w:rPr>
          <w:lang w:val="en-GB"/>
        </w:rPr>
      </w:pPr>
      <w:r w:rsidRPr="00380B40">
        <w:rPr>
          <w:lang w:val="en-GB"/>
        </w:rPr>
        <w:t xml:space="preserve">For a common text or twin text Recommendation | International Standard, entities are to follow this common patent policy and submit patent statements, as appropriate, to all three organizations. </w:t>
      </w:r>
    </w:p>
    <w:p w14:paraId="6B2D4E3D" w14:textId="77777777" w:rsidR="004C79F2" w:rsidRPr="00380B40" w:rsidRDefault="004C79F2" w:rsidP="00523689">
      <w:pPr>
        <w:rPr>
          <w:lang w:val="en-GB"/>
        </w:rPr>
      </w:pPr>
    </w:p>
    <w:p w14:paraId="441F6130" w14:textId="77777777" w:rsidR="004C79F2" w:rsidRPr="00380B40" w:rsidRDefault="004C79F2" w:rsidP="00523689">
      <w:pPr>
        <w:rPr>
          <w:lang w:val="en-GB"/>
        </w:rPr>
      </w:pPr>
    </w:p>
    <w:p w14:paraId="02E03EFD" w14:textId="77777777" w:rsidR="001179D4" w:rsidRPr="00380B40" w:rsidRDefault="001179D4" w:rsidP="00523689">
      <w:pPr>
        <w:rPr>
          <w:lang w:val="en-GB"/>
        </w:rPr>
      </w:pPr>
    </w:p>
    <w:p w14:paraId="6FDD2D80" w14:textId="77777777" w:rsidR="001179D4" w:rsidRPr="00380B40" w:rsidRDefault="001179D4" w:rsidP="00523689">
      <w:pPr>
        <w:rPr>
          <w:lang w:val="en-GB"/>
        </w:rPr>
      </w:pPr>
    </w:p>
    <w:p w14:paraId="13276D2F" w14:textId="77777777" w:rsidR="001179D4" w:rsidRPr="00380B40" w:rsidRDefault="001179D4" w:rsidP="00523689">
      <w:pPr>
        <w:rPr>
          <w:lang w:val="en-GB"/>
        </w:rPr>
      </w:pPr>
    </w:p>
    <w:p w14:paraId="6A945AD8" w14:textId="77777777" w:rsidR="00A81B03" w:rsidRPr="00380B40" w:rsidRDefault="00A81B03" w:rsidP="00523689">
      <w:pPr>
        <w:rPr>
          <w:lang w:val="en-GB"/>
        </w:rPr>
      </w:pPr>
    </w:p>
    <w:p w14:paraId="586E0834" w14:textId="77777777" w:rsidR="00A81B03" w:rsidRPr="00380B40" w:rsidRDefault="00A81B03" w:rsidP="00523689">
      <w:pPr>
        <w:rPr>
          <w:lang w:val="en-GB"/>
        </w:rPr>
      </w:pPr>
    </w:p>
    <w:p w14:paraId="103D96C6" w14:textId="77777777" w:rsidR="001179D4" w:rsidRPr="00380B40" w:rsidRDefault="001179D4" w:rsidP="00523689">
      <w:pPr>
        <w:rPr>
          <w:lang w:val="en-GB"/>
        </w:rPr>
      </w:pPr>
    </w:p>
    <w:p w14:paraId="25CDE247" w14:textId="77777777" w:rsidR="001179D4" w:rsidRPr="00380B40" w:rsidRDefault="001179D4" w:rsidP="00523689">
      <w:pPr>
        <w:rPr>
          <w:lang w:val="en-GB"/>
        </w:rPr>
      </w:pPr>
    </w:p>
    <w:p w14:paraId="666E880B" w14:textId="77777777" w:rsidR="001179D4" w:rsidRPr="00380B40" w:rsidRDefault="001179D4" w:rsidP="00523689">
      <w:pPr>
        <w:rPr>
          <w:lang w:val="en-GB"/>
        </w:rPr>
      </w:pPr>
    </w:p>
    <w:p w14:paraId="39660E6D" w14:textId="77777777" w:rsidR="001179D4" w:rsidRPr="00380B40" w:rsidRDefault="001179D4" w:rsidP="00523689">
      <w:pPr>
        <w:rPr>
          <w:lang w:val="en-GB"/>
        </w:rPr>
      </w:pPr>
    </w:p>
    <w:p w14:paraId="1B442BD0" w14:textId="77777777" w:rsidR="004C79F2" w:rsidRPr="00380B40" w:rsidRDefault="004C79F2" w:rsidP="00523689">
      <w:pPr>
        <w:rPr>
          <w:lang w:val="en-GB"/>
        </w:rPr>
      </w:pPr>
    </w:p>
    <w:p w14:paraId="21519797" w14:textId="77777777" w:rsidR="004C79F2" w:rsidRPr="00380B40" w:rsidRDefault="004C79F2" w:rsidP="00523689">
      <w:pPr>
        <w:rPr>
          <w:lang w:val="en-GB"/>
        </w:rPr>
      </w:pPr>
    </w:p>
    <w:p w14:paraId="52314B34" w14:textId="77777777" w:rsidR="004C79F2" w:rsidRPr="00380B40" w:rsidRDefault="004C79F2" w:rsidP="00523689">
      <w:pPr>
        <w:rPr>
          <w:lang w:val="en-GB"/>
        </w:rPr>
      </w:pPr>
    </w:p>
    <w:p w14:paraId="481EF171" w14:textId="77777777" w:rsidR="00E1318F" w:rsidRPr="00380B40" w:rsidRDefault="00E1318F" w:rsidP="00523689">
      <w:pPr>
        <w:rPr>
          <w:lang w:val="en-GB"/>
        </w:rPr>
      </w:pPr>
      <w:r w:rsidRPr="00380B40">
        <w:rPr>
          <w:lang w:val="en-GB"/>
        </w:rPr>
        <w:br w:type="page"/>
      </w:r>
    </w:p>
    <w:p w14:paraId="662156F0" w14:textId="77777777" w:rsidR="00B66120" w:rsidRPr="00380B40" w:rsidRDefault="00523689" w:rsidP="00B66120">
      <w:pPr>
        <w:pStyle w:val="AppendixNo"/>
        <w:rPr>
          <w:sz w:val="26"/>
          <w:szCs w:val="26"/>
        </w:rPr>
      </w:pPr>
      <w:bookmarkStart w:id="1830" w:name="_Toc3708765"/>
      <w:bookmarkStart w:id="1831" w:name="_Toc398284274"/>
      <w:bookmarkStart w:id="1832" w:name="_Toc401035493"/>
      <w:bookmarkStart w:id="1833" w:name="_Toc401312747"/>
      <w:bookmarkStart w:id="1834" w:name="_Toc401313103"/>
      <w:r w:rsidRPr="00380B40">
        <w:rPr>
          <w:sz w:val="26"/>
          <w:szCs w:val="26"/>
        </w:rPr>
        <w:t>Appendix I</w:t>
      </w:r>
      <w:r w:rsidRPr="00380B40">
        <w:rPr>
          <w:sz w:val="26"/>
          <w:szCs w:val="26"/>
        </w:rPr>
        <w:br/>
      </w:r>
      <w:r w:rsidRPr="00380B40">
        <w:t>(to Recommendation ITU-T A.23)</w:t>
      </w:r>
    </w:p>
    <w:p w14:paraId="28111BB1" w14:textId="77777777" w:rsidR="00523689" w:rsidRPr="00380B40" w:rsidRDefault="00523689" w:rsidP="00B66120">
      <w:pPr>
        <w:pStyle w:val="Appendixtitle"/>
      </w:pPr>
      <w:r w:rsidRPr="00380B40">
        <w:t>Defect report form</w:t>
      </w:r>
      <w:bookmarkEnd w:id="1830"/>
      <w:bookmarkEnd w:id="1831"/>
      <w:bookmarkEnd w:id="1832"/>
      <w:bookmarkEnd w:id="1833"/>
      <w:bookmarkEnd w:id="18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5166"/>
        <w:gridCol w:w="1637"/>
        <w:gridCol w:w="2826"/>
      </w:tblGrid>
      <w:tr w:rsidR="004C79F2" w:rsidRPr="00380B40" w14:paraId="1FDB91C6" w14:textId="77777777" w:rsidTr="00A7613B">
        <w:trPr>
          <w:trHeight w:hRule="exact" w:val="1418"/>
        </w:trPr>
        <w:tc>
          <w:tcPr>
            <w:tcW w:w="5166" w:type="dxa"/>
            <w:shd w:val="clear" w:color="auto" w:fill="auto"/>
          </w:tcPr>
          <w:p w14:paraId="33601B5C" w14:textId="77777777" w:rsidR="004C79F2" w:rsidRPr="00380B40" w:rsidRDefault="00A7613B" w:rsidP="004C79F2">
            <w:pPr>
              <w:spacing w:before="120" w:line="240" w:lineRule="auto"/>
              <w:rPr>
                <w:sz w:val="24"/>
                <w:lang w:val="en-GB"/>
              </w:rPr>
            </w:pPr>
            <w:r w:rsidRPr="00380B40">
              <w:rPr>
                <w:noProof/>
                <w:sz w:val="24"/>
                <w:lang w:val="en-US" w:eastAsia="zh-CN"/>
              </w:rPr>
              <w:drawing>
                <wp:inline distT="0" distB="0" distL="0" distR="0" wp14:anchorId="0637AD63" wp14:editId="21035DB9">
                  <wp:extent cx="1884045" cy="810895"/>
                  <wp:effectExtent l="0" t="0" r="190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884045" cy="810895"/>
                          </a:xfrm>
                          <a:prstGeom prst="rect">
                            <a:avLst/>
                          </a:prstGeom>
                          <a:noFill/>
                        </pic:spPr>
                      </pic:pic>
                    </a:graphicData>
                  </a:graphic>
                </wp:inline>
              </w:drawing>
            </w:r>
            <w:r w:rsidRPr="00380B40">
              <w:rPr>
                <w:sz w:val="24"/>
                <w:lang w:val="en-GB"/>
              </w:rPr>
              <w:t xml:space="preserve"> </w:t>
            </w:r>
            <w:r w:rsidRPr="00380B40">
              <w:rPr>
                <w:noProof/>
                <w:sz w:val="24"/>
                <w:lang w:val="en-US" w:eastAsia="zh-CN"/>
              </w:rPr>
              <w:drawing>
                <wp:inline distT="0" distB="0" distL="0" distR="0" wp14:anchorId="192F42DF" wp14:editId="4525357C">
                  <wp:extent cx="804545" cy="8045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pic:spPr>
                      </pic:pic>
                    </a:graphicData>
                  </a:graphic>
                </wp:inline>
              </w:drawing>
            </w:r>
          </w:p>
        </w:tc>
        <w:tc>
          <w:tcPr>
            <w:tcW w:w="1637" w:type="dxa"/>
            <w:shd w:val="clear" w:color="auto" w:fill="auto"/>
          </w:tcPr>
          <w:p w14:paraId="09066BE5" w14:textId="77777777" w:rsidR="004C79F2" w:rsidRPr="00380B40" w:rsidRDefault="004C79F2" w:rsidP="004C79F2">
            <w:pPr>
              <w:spacing w:before="120" w:line="240" w:lineRule="auto"/>
              <w:jc w:val="right"/>
              <w:rPr>
                <w:sz w:val="24"/>
                <w:lang w:val="en-GB"/>
              </w:rPr>
            </w:pPr>
          </w:p>
        </w:tc>
        <w:tc>
          <w:tcPr>
            <w:tcW w:w="2826" w:type="dxa"/>
            <w:shd w:val="clear" w:color="auto" w:fill="auto"/>
          </w:tcPr>
          <w:p w14:paraId="5665F101" w14:textId="77777777" w:rsidR="004C79F2" w:rsidRPr="00380B40" w:rsidRDefault="00A7613B" w:rsidP="004C79F2">
            <w:pPr>
              <w:spacing w:before="80" w:line="240" w:lineRule="auto"/>
              <w:rPr>
                <w:sz w:val="20"/>
                <w:u w:val="single"/>
                <w:lang w:val="en-GB"/>
              </w:rPr>
            </w:pPr>
            <w:r w:rsidRPr="00380B40">
              <w:rPr>
                <w:sz w:val="20"/>
                <w:u w:val="single"/>
                <w:lang w:val="en-GB"/>
              </w:rPr>
              <w:t>Defect report</w:t>
            </w:r>
          </w:p>
        </w:tc>
      </w:tr>
    </w:tbl>
    <w:p w14:paraId="45742DAC" w14:textId="77777777" w:rsidR="00523689" w:rsidRPr="00380B40" w:rsidRDefault="00523689" w:rsidP="00523689">
      <w:pPr>
        <w:pStyle w:val="Normalaftertitle"/>
        <w:rPr>
          <w:lang w:val="en-GB"/>
        </w:rPr>
      </w:pPr>
      <w:r w:rsidRPr="00380B40">
        <w:rPr>
          <w:lang w:val="en-GB"/>
        </w:rPr>
        <w:t>The submitter of a defect report shall complete items 2 to 4 and 7 to 10 and, optionally, item 11 and shall send the form to the convener or secretariat of the WG with which the relevant editor's group is associated. The WG convener or secretariat shall complete items 1, 5 and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9"/>
      </w:tblGrid>
      <w:tr w:rsidR="00523689" w:rsidRPr="00380B40" w14:paraId="16D2B9FD" w14:textId="77777777" w:rsidTr="00D316C7">
        <w:trPr>
          <w:trHeight w:val="280"/>
        </w:trPr>
        <w:tc>
          <w:tcPr>
            <w:tcW w:w="9629" w:type="dxa"/>
            <w:shd w:val="clear" w:color="auto" w:fill="auto"/>
          </w:tcPr>
          <w:p w14:paraId="15090A09" w14:textId="77777777" w:rsidR="00523689" w:rsidRPr="00380B40" w:rsidRDefault="0026281C" w:rsidP="005963AD">
            <w:pPr>
              <w:keepLines/>
              <w:spacing w:before="80" w:after="80" w:line="240" w:lineRule="auto"/>
              <w:ind w:left="283" w:hanging="283"/>
              <w:rPr>
                <w:sz w:val="20"/>
                <w:lang w:val="en-GB"/>
              </w:rPr>
            </w:pPr>
            <w:r w:rsidRPr="00380B40">
              <w:rPr>
                <w:b/>
                <w:sz w:val="20"/>
                <w:lang w:val="en-GB"/>
              </w:rPr>
              <w:t>1</w:t>
            </w:r>
            <w:r w:rsidRPr="00380B40">
              <w:rPr>
                <w:b/>
                <w:sz w:val="20"/>
                <w:lang w:val="en-GB"/>
              </w:rPr>
              <w:tab/>
            </w:r>
            <w:r w:rsidR="00523689" w:rsidRPr="00380B40">
              <w:rPr>
                <w:b/>
                <w:sz w:val="20"/>
                <w:lang w:val="en-GB"/>
              </w:rPr>
              <w:t>Defect Report Number</w:t>
            </w:r>
            <w:r w:rsidR="00523689" w:rsidRPr="00380B40">
              <w:rPr>
                <w:sz w:val="20"/>
                <w:lang w:val="en-GB"/>
              </w:rPr>
              <w:t>:</w:t>
            </w:r>
          </w:p>
        </w:tc>
      </w:tr>
      <w:tr w:rsidR="00523689" w:rsidRPr="00380B40" w14:paraId="2FC4E011" w14:textId="77777777" w:rsidTr="00D316C7">
        <w:trPr>
          <w:trHeight w:val="280"/>
        </w:trPr>
        <w:tc>
          <w:tcPr>
            <w:tcW w:w="9629" w:type="dxa"/>
            <w:shd w:val="clear" w:color="auto" w:fill="auto"/>
          </w:tcPr>
          <w:p w14:paraId="2D35D3A9" w14:textId="77777777" w:rsidR="00523689" w:rsidRPr="00380B40" w:rsidRDefault="0026281C" w:rsidP="005963AD">
            <w:pPr>
              <w:keepLines/>
              <w:spacing w:before="80" w:after="80" w:line="240" w:lineRule="auto"/>
              <w:ind w:left="283" w:hanging="283"/>
              <w:rPr>
                <w:sz w:val="20"/>
                <w:lang w:val="en-GB"/>
              </w:rPr>
            </w:pPr>
            <w:r w:rsidRPr="00380B40">
              <w:rPr>
                <w:b/>
                <w:sz w:val="20"/>
                <w:lang w:val="en-GB"/>
              </w:rPr>
              <w:t>2</w:t>
            </w:r>
            <w:r w:rsidRPr="00380B40">
              <w:rPr>
                <w:b/>
                <w:sz w:val="20"/>
                <w:lang w:val="en-GB"/>
              </w:rPr>
              <w:tab/>
            </w:r>
            <w:r w:rsidR="00523689" w:rsidRPr="00380B40">
              <w:rPr>
                <w:b/>
                <w:sz w:val="20"/>
                <w:lang w:val="en-GB"/>
              </w:rPr>
              <w:t>Submitter</w:t>
            </w:r>
            <w:r w:rsidR="00523689" w:rsidRPr="00380B40">
              <w:rPr>
                <w:sz w:val="20"/>
                <w:lang w:val="en-GB"/>
              </w:rPr>
              <w:t>:</w:t>
            </w:r>
          </w:p>
          <w:p w14:paraId="0505CF71" w14:textId="77777777" w:rsidR="00523689" w:rsidRPr="00380B40" w:rsidRDefault="00523689" w:rsidP="00C212AE">
            <w:pPr>
              <w:pStyle w:val="Note"/>
              <w:rPr>
                <w:lang w:val="en-GB"/>
              </w:rPr>
            </w:pPr>
          </w:p>
          <w:p w14:paraId="4AF3DBBF" w14:textId="77777777" w:rsidR="00523689" w:rsidRPr="00380B40" w:rsidRDefault="0026281C" w:rsidP="005963AD">
            <w:pPr>
              <w:spacing w:before="80" w:after="80" w:line="240" w:lineRule="auto"/>
              <w:ind w:left="283" w:hanging="283"/>
              <w:rPr>
                <w:sz w:val="20"/>
                <w:lang w:val="en-GB"/>
              </w:rPr>
            </w:pPr>
            <w:r w:rsidRPr="00380B40">
              <w:rPr>
                <w:b/>
                <w:sz w:val="20"/>
                <w:lang w:val="en-GB"/>
              </w:rPr>
              <w:t>3</w:t>
            </w:r>
            <w:r w:rsidRPr="00380B40">
              <w:rPr>
                <w:b/>
                <w:sz w:val="20"/>
                <w:lang w:val="en-GB"/>
              </w:rPr>
              <w:tab/>
            </w:r>
            <w:r w:rsidR="00523689" w:rsidRPr="00380B40">
              <w:rPr>
                <w:b/>
                <w:sz w:val="20"/>
                <w:lang w:val="en-GB"/>
              </w:rPr>
              <w:t>Addressed to</w:t>
            </w:r>
            <w:r w:rsidR="00523689" w:rsidRPr="00380B40">
              <w:rPr>
                <w:sz w:val="20"/>
                <w:lang w:val="en-GB"/>
              </w:rPr>
              <w:t>:</w:t>
            </w:r>
            <w:r w:rsidR="00523689" w:rsidRPr="00380B40">
              <w:rPr>
                <w:sz w:val="20"/>
                <w:lang w:val="en-GB"/>
              </w:rPr>
              <w:tab/>
              <w:t>JTC 1/SC ____/WG ____</w:t>
            </w:r>
          </w:p>
          <w:p w14:paraId="084202FC" w14:textId="77777777" w:rsidR="00523689" w:rsidRPr="00380B40" w:rsidRDefault="00523689" w:rsidP="005963AD">
            <w:pPr>
              <w:keepLines/>
              <w:numPr>
                <w:ilvl w:val="12"/>
                <w:numId w:val="0"/>
              </w:numPr>
              <w:spacing w:before="80" w:after="80"/>
              <w:ind w:left="283" w:hanging="283"/>
              <w:rPr>
                <w:sz w:val="20"/>
                <w:lang w:val="fr-CH"/>
              </w:rPr>
            </w:pPr>
            <w:r w:rsidRPr="00380B40">
              <w:rPr>
                <w:sz w:val="20"/>
                <w:lang w:val="en-GB"/>
              </w:rPr>
              <w:tab/>
            </w:r>
            <w:r w:rsidRPr="00380B40">
              <w:rPr>
                <w:sz w:val="20"/>
                <w:lang w:val="en-GB"/>
              </w:rPr>
              <w:tab/>
            </w:r>
            <w:r w:rsidRPr="00380B40">
              <w:rPr>
                <w:sz w:val="20"/>
                <w:lang w:val="en-GB"/>
              </w:rPr>
              <w:tab/>
            </w:r>
            <w:r w:rsidRPr="00380B40">
              <w:rPr>
                <w:sz w:val="20"/>
                <w:lang w:val="en-GB"/>
              </w:rPr>
              <w:tab/>
            </w:r>
            <w:r w:rsidRPr="00380B40">
              <w:rPr>
                <w:sz w:val="20"/>
                <w:lang w:val="fr-CH"/>
              </w:rPr>
              <w:t>ITU-T SG____/WP____/Q.____</w:t>
            </w:r>
          </w:p>
          <w:p w14:paraId="677933CB" w14:textId="77777777" w:rsidR="00523689" w:rsidRPr="00380B40" w:rsidRDefault="0026281C" w:rsidP="005963AD">
            <w:pPr>
              <w:keepLines/>
              <w:tabs>
                <w:tab w:val="clear" w:pos="1191"/>
              </w:tabs>
              <w:spacing w:before="80" w:after="80" w:line="240" w:lineRule="auto"/>
              <w:ind w:left="283" w:hanging="283"/>
              <w:rPr>
                <w:sz w:val="20"/>
                <w:lang w:val="fr-CH"/>
              </w:rPr>
            </w:pPr>
            <w:r w:rsidRPr="00380B40">
              <w:rPr>
                <w:b/>
                <w:sz w:val="20"/>
                <w:lang w:val="fr-CH"/>
              </w:rPr>
              <w:t>4</w:t>
            </w:r>
            <w:r w:rsidRPr="00380B40">
              <w:rPr>
                <w:b/>
                <w:sz w:val="20"/>
                <w:lang w:val="fr-CH"/>
              </w:rPr>
              <w:tab/>
            </w:r>
            <w:r w:rsidR="00523689" w:rsidRPr="00380B40">
              <w:rPr>
                <w:b/>
                <w:sz w:val="20"/>
                <w:lang w:val="fr-CH"/>
              </w:rPr>
              <w:t>WG secretariat</w:t>
            </w:r>
            <w:r w:rsidR="00523689" w:rsidRPr="00380B40">
              <w:rPr>
                <w:sz w:val="20"/>
                <w:lang w:val="fr-CH"/>
              </w:rPr>
              <w:t>:</w:t>
            </w:r>
          </w:p>
        </w:tc>
      </w:tr>
      <w:tr w:rsidR="00523689" w:rsidRPr="004E0F36" w14:paraId="05FDDF41" w14:textId="77777777" w:rsidTr="00D316C7">
        <w:trPr>
          <w:trHeight w:val="280"/>
        </w:trPr>
        <w:tc>
          <w:tcPr>
            <w:tcW w:w="9629" w:type="dxa"/>
            <w:shd w:val="clear" w:color="auto" w:fill="auto"/>
          </w:tcPr>
          <w:p w14:paraId="2ED4C68A" w14:textId="77777777" w:rsidR="00523689" w:rsidRPr="00380B40" w:rsidRDefault="0026281C" w:rsidP="005963AD">
            <w:pPr>
              <w:spacing w:before="80" w:after="80" w:line="240" w:lineRule="auto"/>
              <w:ind w:left="283" w:hanging="283"/>
              <w:rPr>
                <w:sz w:val="20"/>
                <w:lang w:val="en-GB"/>
              </w:rPr>
            </w:pPr>
            <w:r w:rsidRPr="00380B40">
              <w:rPr>
                <w:b/>
                <w:sz w:val="20"/>
                <w:lang w:val="en-GB"/>
              </w:rPr>
              <w:t>5</w:t>
            </w:r>
            <w:r w:rsidRPr="00380B40">
              <w:rPr>
                <w:b/>
                <w:sz w:val="20"/>
                <w:lang w:val="en-GB"/>
              </w:rPr>
              <w:tab/>
            </w:r>
            <w:r w:rsidR="00523689" w:rsidRPr="00380B40">
              <w:rPr>
                <w:b/>
                <w:sz w:val="20"/>
                <w:lang w:val="en-GB"/>
              </w:rPr>
              <w:t>Date circulated by WG secretariat</w:t>
            </w:r>
            <w:r w:rsidR="00523689" w:rsidRPr="00380B40">
              <w:rPr>
                <w:sz w:val="20"/>
                <w:lang w:val="en-GB"/>
              </w:rPr>
              <w:t>:</w:t>
            </w:r>
          </w:p>
          <w:p w14:paraId="33D17839" w14:textId="77777777" w:rsidR="00523689" w:rsidRPr="00380B40" w:rsidRDefault="0026281C" w:rsidP="005963AD">
            <w:pPr>
              <w:spacing w:before="80" w:after="80" w:line="240" w:lineRule="auto"/>
              <w:ind w:left="283" w:hanging="283"/>
              <w:rPr>
                <w:sz w:val="20"/>
                <w:lang w:val="en-GB"/>
              </w:rPr>
            </w:pPr>
            <w:r w:rsidRPr="00380B40">
              <w:rPr>
                <w:b/>
                <w:sz w:val="20"/>
                <w:lang w:val="en-GB"/>
              </w:rPr>
              <w:t>6</w:t>
            </w:r>
            <w:r w:rsidRPr="00380B40">
              <w:rPr>
                <w:b/>
                <w:sz w:val="20"/>
                <w:lang w:val="en-GB"/>
              </w:rPr>
              <w:tab/>
            </w:r>
            <w:r w:rsidR="00523689" w:rsidRPr="00380B40">
              <w:rPr>
                <w:b/>
                <w:sz w:val="20"/>
                <w:lang w:val="en-GB"/>
              </w:rPr>
              <w:t>Deadline on response from editor</w:t>
            </w:r>
            <w:r w:rsidR="00523689" w:rsidRPr="00380B40">
              <w:rPr>
                <w:sz w:val="20"/>
                <w:lang w:val="en-GB"/>
              </w:rPr>
              <w:t>:</w:t>
            </w:r>
          </w:p>
        </w:tc>
      </w:tr>
      <w:tr w:rsidR="00523689" w:rsidRPr="004E0F36" w14:paraId="0990D755" w14:textId="77777777" w:rsidTr="00D316C7">
        <w:trPr>
          <w:trHeight w:val="280"/>
        </w:trPr>
        <w:tc>
          <w:tcPr>
            <w:tcW w:w="9629" w:type="dxa"/>
            <w:shd w:val="clear" w:color="auto" w:fill="auto"/>
          </w:tcPr>
          <w:p w14:paraId="776A6B18" w14:textId="77777777" w:rsidR="00523689" w:rsidRPr="00380B40" w:rsidRDefault="0026281C" w:rsidP="005963AD">
            <w:pPr>
              <w:spacing w:before="80" w:after="80" w:line="240" w:lineRule="auto"/>
              <w:ind w:left="284" w:hanging="284"/>
              <w:rPr>
                <w:sz w:val="20"/>
                <w:lang w:val="en-GB"/>
              </w:rPr>
            </w:pPr>
            <w:r w:rsidRPr="00380B40">
              <w:rPr>
                <w:b/>
                <w:sz w:val="20"/>
                <w:lang w:val="en-GB"/>
              </w:rPr>
              <w:t>7</w:t>
            </w:r>
            <w:r w:rsidRPr="00380B40">
              <w:rPr>
                <w:b/>
                <w:sz w:val="20"/>
                <w:lang w:val="en-GB"/>
              </w:rPr>
              <w:tab/>
            </w:r>
            <w:r w:rsidR="00523689" w:rsidRPr="00380B40">
              <w:rPr>
                <w:b/>
                <w:sz w:val="20"/>
                <w:lang w:val="en-GB"/>
              </w:rPr>
              <w:t>Defect Report concerning</w:t>
            </w:r>
            <w:r w:rsidR="00523689" w:rsidRPr="00380B40">
              <w:rPr>
                <w:sz w:val="20"/>
                <w:lang w:val="en-GB"/>
              </w:rPr>
              <w:t xml:space="preserve"> (number and title of ITU-T Recommendation | International Standard):</w:t>
            </w:r>
          </w:p>
          <w:p w14:paraId="489B778C" w14:textId="77777777" w:rsidR="00523689" w:rsidRPr="00380B40" w:rsidRDefault="00523689" w:rsidP="00C212AE">
            <w:pPr>
              <w:pStyle w:val="Note"/>
              <w:rPr>
                <w:lang w:val="en-GB"/>
              </w:rPr>
            </w:pPr>
          </w:p>
          <w:p w14:paraId="0F460B35" w14:textId="77777777" w:rsidR="00523689" w:rsidRPr="00380B40" w:rsidRDefault="0026281C" w:rsidP="005963AD">
            <w:pPr>
              <w:keepLines/>
              <w:spacing w:before="80" w:after="80" w:line="240" w:lineRule="auto"/>
              <w:ind w:left="284" w:hanging="284"/>
              <w:rPr>
                <w:sz w:val="20"/>
                <w:lang w:val="en-GB"/>
              </w:rPr>
            </w:pPr>
            <w:r w:rsidRPr="00380B40">
              <w:rPr>
                <w:b/>
                <w:sz w:val="20"/>
                <w:lang w:val="en-GB"/>
              </w:rPr>
              <w:t>8</w:t>
            </w:r>
            <w:r w:rsidRPr="00380B40">
              <w:rPr>
                <w:b/>
                <w:sz w:val="20"/>
                <w:lang w:val="en-GB"/>
              </w:rPr>
              <w:tab/>
            </w:r>
            <w:r w:rsidR="00523689" w:rsidRPr="00380B40">
              <w:rPr>
                <w:b/>
                <w:sz w:val="20"/>
                <w:lang w:val="en-GB"/>
              </w:rPr>
              <w:t>Qualifier</w:t>
            </w:r>
            <w:r w:rsidR="00523689" w:rsidRPr="00380B40">
              <w:rPr>
                <w:sz w:val="20"/>
                <w:lang w:val="en-GB"/>
              </w:rPr>
              <w:t xml:space="preserve"> (e.g., error, omission, clarification required):</w:t>
            </w:r>
          </w:p>
          <w:p w14:paraId="0D289F76" w14:textId="77777777" w:rsidR="00523689" w:rsidRPr="00380B40" w:rsidRDefault="00523689" w:rsidP="00C212AE">
            <w:pPr>
              <w:pStyle w:val="Note"/>
              <w:rPr>
                <w:lang w:val="en-GB"/>
              </w:rPr>
            </w:pPr>
          </w:p>
          <w:p w14:paraId="6A7A35FA" w14:textId="77777777" w:rsidR="00523689" w:rsidRPr="00380B40" w:rsidRDefault="0026281C" w:rsidP="005963AD">
            <w:pPr>
              <w:tabs>
                <w:tab w:val="clear" w:pos="1191"/>
              </w:tabs>
              <w:spacing w:before="80" w:after="80" w:line="240" w:lineRule="auto"/>
              <w:ind w:left="284" w:hanging="284"/>
              <w:rPr>
                <w:sz w:val="20"/>
                <w:lang w:val="en-GB"/>
              </w:rPr>
            </w:pPr>
            <w:r w:rsidRPr="00380B40">
              <w:rPr>
                <w:b/>
                <w:sz w:val="20"/>
                <w:lang w:val="en-GB"/>
              </w:rPr>
              <w:t>9</w:t>
            </w:r>
            <w:r w:rsidRPr="00380B40">
              <w:rPr>
                <w:b/>
                <w:sz w:val="20"/>
                <w:lang w:val="en-GB"/>
              </w:rPr>
              <w:tab/>
            </w:r>
            <w:r w:rsidR="00523689" w:rsidRPr="00380B40">
              <w:rPr>
                <w:b/>
                <w:sz w:val="20"/>
                <w:lang w:val="en-GB"/>
              </w:rPr>
              <w:t>References in document</w:t>
            </w:r>
            <w:r w:rsidR="00523689" w:rsidRPr="00380B40">
              <w:rPr>
                <w:sz w:val="20"/>
                <w:lang w:val="en-GB"/>
              </w:rPr>
              <w:t xml:space="preserve"> (e.g., page, clause, figure and/or table numbers):</w:t>
            </w:r>
          </w:p>
          <w:p w14:paraId="6D7595EE" w14:textId="77777777" w:rsidR="00523689" w:rsidRPr="00380B40" w:rsidRDefault="00523689" w:rsidP="00C212AE">
            <w:pPr>
              <w:pStyle w:val="Note"/>
              <w:rPr>
                <w:lang w:val="en-GB"/>
              </w:rPr>
            </w:pPr>
          </w:p>
          <w:p w14:paraId="5305AAB2" w14:textId="77777777" w:rsidR="00523689" w:rsidRPr="00380B40" w:rsidRDefault="0026281C" w:rsidP="005963AD">
            <w:pPr>
              <w:spacing w:before="80" w:after="80" w:line="240" w:lineRule="auto"/>
              <w:ind w:left="284" w:hanging="284"/>
              <w:rPr>
                <w:sz w:val="20"/>
                <w:lang w:val="en-GB"/>
              </w:rPr>
            </w:pPr>
            <w:r w:rsidRPr="00380B40">
              <w:rPr>
                <w:b/>
                <w:sz w:val="20"/>
                <w:lang w:val="en-GB"/>
              </w:rPr>
              <w:t>10</w:t>
            </w:r>
            <w:r w:rsidRPr="00380B40">
              <w:rPr>
                <w:b/>
                <w:sz w:val="20"/>
                <w:lang w:val="en-GB"/>
              </w:rPr>
              <w:tab/>
            </w:r>
            <w:r w:rsidR="00523689" w:rsidRPr="00380B40">
              <w:rPr>
                <w:b/>
                <w:sz w:val="20"/>
                <w:lang w:val="en-GB"/>
              </w:rPr>
              <w:t>Nature of defect</w:t>
            </w:r>
            <w:r w:rsidR="00523689" w:rsidRPr="00380B40">
              <w:rPr>
                <w:sz w:val="20"/>
                <w:lang w:val="en-GB"/>
              </w:rPr>
              <w:t xml:space="preserve"> (complete, concise explanation of the perceived problem):</w:t>
            </w:r>
          </w:p>
          <w:p w14:paraId="1B724369" w14:textId="77777777" w:rsidR="00523689" w:rsidRPr="00380B40" w:rsidRDefault="00523689" w:rsidP="00C212AE">
            <w:pPr>
              <w:pStyle w:val="Note"/>
              <w:rPr>
                <w:lang w:val="en-GB"/>
              </w:rPr>
            </w:pPr>
          </w:p>
        </w:tc>
      </w:tr>
      <w:tr w:rsidR="00523689" w:rsidRPr="004E0F36" w14:paraId="29B431ED" w14:textId="77777777" w:rsidTr="00D316C7">
        <w:trPr>
          <w:trHeight w:val="280"/>
        </w:trPr>
        <w:tc>
          <w:tcPr>
            <w:tcW w:w="9629" w:type="dxa"/>
            <w:shd w:val="clear" w:color="auto" w:fill="auto"/>
          </w:tcPr>
          <w:p w14:paraId="14A19699" w14:textId="77777777" w:rsidR="00523689" w:rsidRPr="00380B40" w:rsidRDefault="0026281C" w:rsidP="005963AD">
            <w:pPr>
              <w:spacing w:before="80" w:after="80" w:line="240" w:lineRule="auto"/>
              <w:ind w:left="283" w:hanging="283"/>
              <w:rPr>
                <w:sz w:val="20"/>
                <w:lang w:val="en-GB"/>
              </w:rPr>
            </w:pPr>
            <w:r w:rsidRPr="00380B40">
              <w:rPr>
                <w:b/>
                <w:sz w:val="20"/>
                <w:lang w:val="en-GB"/>
              </w:rPr>
              <w:t>11</w:t>
            </w:r>
            <w:r w:rsidRPr="00380B40">
              <w:rPr>
                <w:b/>
                <w:sz w:val="20"/>
                <w:lang w:val="en-GB"/>
              </w:rPr>
              <w:tab/>
            </w:r>
            <w:r w:rsidR="00523689" w:rsidRPr="00380B40">
              <w:rPr>
                <w:b/>
                <w:sz w:val="20"/>
                <w:lang w:val="en-GB"/>
              </w:rPr>
              <w:t>Solution proposed by the submitter</w:t>
            </w:r>
            <w:r w:rsidR="00523689" w:rsidRPr="00380B40">
              <w:rPr>
                <w:sz w:val="20"/>
                <w:lang w:val="en-GB"/>
              </w:rPr>
              <w:t xml:space="preserve"> (optional):</w:t>
            </w:r>
          </w:p>
          <w:p w14:paraId="161B2056" w14:textId="77777777" w:rsidR="00523689" w:rsidRPr="00380B40" w:rsidRDefault="00523689" w:rsidP="00C212AE">
            <w:pPr>
              <w:pStyle w:val="Note"/>
              <w:rPr>
                <w:lang w:val="en-GB"/>
              </w:rPr>
            </w:pPr>
          </w:p>
        </w:tc>
      </w:tr>
      <w:tr w:rsidR="00523689" w:rsidRPr="00380B40" w14:paraId="58060038" w14:textId="77777777" w:rsidTr="00D316C7">
        <w:trPr>
          <w:trHeight w:val="280"/>
        </w:trPr>
        <w:tc>
          <w:tcPr>
            <w:tcW w:w="9629" w:type="dxa"/>
            <w:shd w:val="clear" w:color="auto" w:fill="auto"/>
          </w:tcPr>
          <w:p w14:paraId="00EC0ACC" w14:textId="77777777" w:rsidR="00523689" w:rsidRPr="00380B40" w:rsidRDefault="0026281C" w:rsidP="005963AD">
            <w:pPr>
              <w:keepLines/>
              <w:spacing w:before="80" w:after="80" w:line="240" w:lineRule="auto"/>
              <w:ind w:left="283" w:hanging="283"/>
              <w:rPr>
                <w:sz w:val="20"/>
                <w:lang w:val="en-GB"/>
              </w:rPr>
            </w:pPr>
            <w:r w:rsidRPr="00380B40">
              <w:rPr>
                <w:b/>
                <w:sz w:val="20"/>
                <w:lang w:val="en-GB"/>
              </w:rPr>
              <w:t>12</w:t>
            </w:r>
            <w:r w:rsidRPr="00380B40">
              <w:rPr>
                <w:b/>
                <w:sz w:val="20"/>
                <w:lang w:val="en-GB"/>
              </w:rPr>
              <w:tab/>
            </w:r>
            <w:r w:rsidR="00523689" w:rsidRPr="00380B40">
              <w:rPr>
                <w:b/>
                <w:sz w:val="20"/>
                <w:lang w:val="en-GB"/>
              </w:rPr>
              <w:t>Editor's response</w:t>
            </w:r>
            <w:r w:rsidR="00523689" w:rsidRPr="00380B40">
              <w:rPr>
                <w:sz w:val="20"/>
                <w:lang w:val="en-GB"/>
              </w:rPr>
              <w:t>:</w:t>
            </w:r>
          </w:p>
          <w:p w14:paraId="7A66E256" w14:textId="77777777" w:rsidR="00523689" w:rsidRPr="00380B40" w:rsidRDefault="00523689" w:rsidP="00C212AE">
            <w:pPr>
              <w:pStyle w:val="Note"/>
              <w:rPr>
                <w:lang w:val="en-GB"/>
              </w:rPr>
            </w:pPr>
          </w:p>
        </w:tc>
      </w:tr>
    </w:tbl>
    <w:p w14:paraId="794336D6" w14:textId="77777777" w:rsidR="00283ED6" w:rsidRPr="00380B40" w:rsidRDefault="00283ED6" w:rsidP="00523689">
      <w:pPr>
        <w:widowControl w:val="0"/>
        <w:tabs>
          <w:tab w:val="clear" w:pos="794"/>
          <w:tab w:val="clear" w:pos="1191"/>
          <w:tab w:val="clear" w:pos="1588"/>
          <w:tab w:val="clear" w:pos="1985"/>
        </w:tabs>
        <w:overflowPunct/>
        <w:autoSpaceDE/>
        <w:autoSpaceDN/>
        <w:adjustRightInd/>
        <w:spacing w:before="0"/>
        <w:jc w:val="left"/>
        <w:textAlignment w:val="auto"/>
        <w:rPr>
          <w:lang w:val="en-GB"/>
        </w:rPr>
      </w:pPr>
      <w:bookmarkStart w:id="1835" w:name="_Toc444683714"/>
      <w:bookmarkStart w:id="1836" w:name="_Toc93584233"/>
    </w:p>
    <w:p w14:paraId="229BAF6C" w14:textId="798EEF8D" w:rsidR="00283ED6" w:rsidRDefault="00283ED6" w:rsidP="00523689">
      <w:pPr>
        <w:widowControl w:val="0"/>
        <w:tabs>
          <w:tab w:val="clear" w:pos="794"/>
          <w:tab w:val="clear" w:pos="1191"/>
          <w:tab w:val="clear" w:pos="1588"/>
          <w:tab w:val="clear" w:pos="1985"/>
        </w:tabs>
        <w:overflowPunct/>
        <w:autoSpaceDE/>
        <w:autoSpaceDN/>
        <w:adjustRightInd/>
        <w:spacing w:before="0"/>
        <w:jc w:val="left"/>
        <w:textAlignment w:val="auto"/>
        <w:rPr>
          <w:lang w:val="en-GB"/>
        </w:rPr>
      </w:pPr>
    </w:p>
    <w:p w14:paraId="7B88F1A6" w14:textId="69C1CEEA" w:rsidR="00AE3066" w:rsidRDefault="00AE3066" w:rsidP="00523689">
      <w:pPr>
        <w:widowControl w:val="0"/>
        <w:tabs>
          <w:tab w:val="clear" w:pos="794"/>
          <w:tab w:val="clear" w:pos="1191"/>
          <w:tab w:val="clear" w:pos="1588"/>
          <w:tab w:val="clear" w:pos="1985"/>
        </w:tabs>
        <w:overflowPunct/>
        <w:autoSpaceDE/>
        <w:autoSpaceDN/>
        <w:adjustRightInd/>
        <w:spacing w:before="0"/>
        <w:jc w:val="left"/>
        <w:textAlignment w:val="auto"/>
        <w:rPr>
          <w:lang w:val="en-GB"/>
        </w:rPr>
      </w:pPr>
    </w:p>
    <w:p w14:paraId="4B2BE749" w14:textId="7F350E2E" w:rsidR="00AE3066" w:rsidRDefault="00AE3066" w:rsidP="00523689">
      <w:pPr>
        <w:widowControl w:val="0"/>
        <w:tabs>
          <w:tab w:val="clear" w:pos="794"/>
          <w:tab w:val="clear" w:pos="1191"/>
          <w:tab w:val="clear" w:pos="1588"/>
          <w:tab w:val="clear" w:pos="1985"/>
        </w:tabs>
        <w:overflowPunct/>
        <w:autoSpaceDE/>
        <w:autoSpaceDN/>
        <w:adjustRightInd/>
        <w:spacing w:before="0"/>
        <w:jc w:val="left"/>
        <w:textAlignment w:val="auto"/>
        <w:rPr>
          <w:lang w:val="en-GB"/>
        </w:rPr>
      </w:pPr>
    </w:p>
    <w:p w14:paraId="316DEE40" w14:textId="373081F5" w:rsidR="00AE3066" w:rsidRDefault="00AE3066" w:rsidP="00523689">
      <w:pPr>
        <w:widowControl w:val="0"/>
        <w:tabs>
          <w:tab w:val="clear" w:pos="794"/>
          <w:tab w:val="clear" w:pos="1191"/>
          <w:tab w:val="clear" w:pos="1588"/>
          <w:tab w:val="clear" w:pos="1985"/>
        </w:tabs>
        <w:overflowPunct/>
        <w:autoSpaceDE/>
        <w:autoSpaceDN/>
        <w:adjustRightInd/>
        <w:spacing w:before="0"/>
        <w:jc w:val="left"/>
        <w:textAlignment w:val="auto"/>
        <w:rPr>
          <w:lang w:val="en-GB"/>
        </w:rPr>
      </w:pPr>
    </w:p>
    <w:p w14:paraId="5AF66F57" w14:textId="77777777" w:rsidR="00AE3066" w:rsidRPr="00380B40" w:rsidRDefault="00AE3066" w:rsidP="00523689">
      <w:pPr>
        <w:widowControl w:val="0"/>
        <w:tabs>
          <w:tab w:val="clear" w:pos="794"/>
          <w:tab w:val="clear" w:pos="1191"/>
          <w:tab w:val="clear" w:pos="1588"/>
          <w:tab w:val="clear" w:pos="1985"/>
        </w:tabs>
        <w:overflowPunct/>
        <w:autoSpaceDE/>
        <w:autoSpaceDN/>
        <w:adjustRightInd/>
        <w:spacing w:before="0"/>
        <w:jc w:val="left"/>
        <w:textAlignment w:val="auto"/>
        <w:rPr>
          <w:lang w:val="en-GB"/>
        </w:rPr>
      </w:pPr>
    </w:p>
    <w:p w14:paraId="49A5897E" w14:textId="77777777" w:rsidR="00523689" w:rsidRPr="00380B40" w:rsidRDefault="00523689" w:rsidP="00523689">
      <w:pPr>
        <w:widowControl w:val="0"/>
        <w:tabs>
          <w:tab w:val="clear" w:pos="794"/>
          <w:tab w:val="clear" w:pos="1191"/>
          <w:tab w:val="clear" w:pos="1588"/>
          <w:tab w:val="clear" w:pos="1985"/>
        </w:tabs>
        <w:overflowPunct/>
        <w:autoSpaceDE/>
        <w:autoSpaceDN/>
        <w:adjustRightInd/>
        <w:spacing w:before="0"/>
        <w:jc w:val="left"/>
        <w:textAlignment w:val="auto"/>
        <w:rPr>
          <w:b/>
          <w:sz w:val="28"/>
          <w:lang w:val="en-GB"/>
        </w:rPr>
      </w:pPr>
      <w:r w:rsidRPr="00380B40">
        <w:rPr>
          <w:lang w:val="en-GB"/>
        </w:rPr>
        <w:br w:type="page"/>
      </w:r>
    </w:p>
    <w:p w14:paraId="6E9876A5" w14:textId="77777777" w:rsidR="00B66120" w:rsidRPr="00380B40" w:rsidRDefault="00523689" w:rsidP="00B66120">
      <w:pPr>
        <w:pStyle w:val="AppendixNo"/>
      </w:pPr>
      <w:r w:rsidRPr="00380B40">
        <w:t>Appendix II</w:t>
      </w:r>
      <w:r w:rsidRPr="00380B40">
        <w:br/>
        <w:t>(to Recommendation ITU-T A.23)</w:t>
      </w:r>
    </w:p>
    <w:bookmarkEnd w:id="1835"/>
    <w:p w14:paraId="6A0C89E8" w14:textId="77777777" w:rsidR="00523689" w:rsidRPr="00380B40" w:rsidRDefault="00523689" w:rsidP="00B66120">
      <w:pPr>
        <w:pStyle w:val="Appendixtitle"/>
      </w:pPr>
      <w:r w:rsidRPr="00380B40">
        <w:t>Best practices</w:t>
      </w:r>
      <w:bookmarkEnd w:id="1836"/>
    </w:p>
    <w:p w14:paraId="7E136DC2" w14:textId="77777777" w:rsidR="00523689" w:rsidRPr="00380B40" w:rsidRDefault="00523689" w:rsidP="004F4C4C">
      <w:pPr>
        <w:pStyle w:val="Normalcenteraligned"/>
      </w:pPr>
      <w:r w:rsidRPr="00380B40">
        <w:t>(This appendix does not form an integral part of this Recommendation.)</w:t>
      </w:r>
    </w:p>
    <w:p w14:paraId="4A669B92" w14:textId="77777777" w:rsidR="00523689" w:rsidRPr="00380B40" w:rsidRDefault="00523689" w:rsidP="00523689">
      <w:pPr>
        <w:pStyle w:val="Normalaftertitle"/>
        <w:rPr>
          <w:lang w:val="en-GB"/>
        </w:rPr>
      </w:pPr>
      <w:r w:rsidRPr="00380B40">
        <w:rPr>
          <w:lang w:val="en-GB"/>
        </w:rPr>
        <w:t>This appendix contains best practices to be used when applying Annex A to the cooperation between ITU-T and ISO/IEC JTC 1.</w:t>
      </w:r>
    </w:p>
    <w:p w14:paraId="5D6AFFB0" w14:textId="77777777" w:rsidR="00523689" w:rsidRPr="00380B40" w:rsidRDefault="00523689" w:rsidP="00523689">
      <w:pPr>
        <w:pStyle w:val="Heading2"/>
        <w:rPr>
          <w:lang w:val="en-GB"/>
        </w:rPr>
      </w:pPr>
      <w:bookmarkStart w:id="1837" w:name="_Toc93584234"/>
      <w:bookmarkStart w:id="1838" w:name="_Toc111637031"/>
      <w:r w:rsidRPr="00380B40">
        <w:rPr>
          <w:lang w:val="en-GB"/>
        </w:rPr>
        <w:t>II.1</w:t>
      </w:r>
      <w:r w:rsidRPr="00380B40">
        <w:rPr>
          <w:lang w:val="en-GB"/>
        </w:rPr>
        <w:tab/>
        <w:t>Choosing meeting dates</w:t>
      </w:r>
      <w:bookmarkEnd w:id="1837"/>
      <w:bookmarkEnd w:id="1838"/>
    </w:p>
    <w:p w14:paraId="6CDFDFFF" w14:textId="77777777" w:rsidR="00523689" w:rsidRPr="00380B40" w:rsidRDefault="00523689" w:rsidP="00523689">
      <w:pPr>
        <w:rPr>
          <w:lang w:val="en-GB"/>
        </w:rPr>
      </w:pPr>
      <w:r w:rsidRPr="00380B40">
        <w:rPr>
          <w:lang w:val="en-GB"/>
        </w:rPr>
        <w:t>When a text is developed jointly (as a common text or as a twin text, using a Collaborative Team or by Collaborative Interchange) between an ITU-T study group and a JTC 1 subcommittee, it is recommended that the dates of the ITU-T study group and JTC 1 subcommittee meetings (in particular plenary meetings, but also interim meetings) be discussed between both parties and agreed in advance as conveniently as possible (see also clauses 5.1, 7.2 and 8.4 of Annex A).</w:t>
      </w:r>
    </w:p>
    <w:p w14:paraId="63A12A67" w14:textId="77777777" w:rsidR="00523689" w:rsidRPr="00380B40" w:rsidRDefault="00523689" w:rsidP="00523689">
      <w:pPr>
        <w:rPr>
          <w:lang w:val="en-GB"/>
        </w:rPr>
      </w:pPr>
      <w:r w:rsidRPr="00380B40">
        <w:rPr>
          <w:lang w:val="en-GB"/>
        </w:rPr>
        <w:t>This is particularly relevant when the draft document is reaching a stable state and is planned for AAP consent or TAP determination in ITU-T, or for DIS ballot in JTC 1.</w:t>
      </w:r>
    </w:p>
    <w:p w14:paraId="38E4997E" w14:textId="77777777" w:rsidR="00523689" w:rsidRPr="00380B40" w:rsidRDefault="00523689" w:rsidP="00523689">
      <w:pPr>
        <w:rPr>
          <w:lang w:val="en-GB"/>
        </w:rPr>
      </w:pPr>
      <w:r w:rsidRPr="00380B40">
        <w:rPr>
          <w:lang w:val="en-GB"/>
        </w:rPr>
        <w:t>It is also useful for meetings of Working Level Groups (see clause 1.5.3.5 of Annex A) to ensure that the other party has sufficient time to submit contributions or comments before the deadline.</w:t>
      </w:r>
    </w:p>
    <w:p w14:paraId="34E15C14" w14:textId="77777777" w:rsidR="00523689" w:rsidRPr="00380B40" w:rsidRDefault="00523689" w:rsidP="00523689">
      <w:pPr>
        <w:pStyle w:val="Heading2"/>
        <w:rPr>
          <w:lang w:val="en-GB"/>
        </w:rPr>
      </w:pPr>
      <w:bookmarkStart w:id="1839" w:name="_Toc93584235"/>
      <w:bookmarkStart w:id="1840" w:name="_Toc111637032"/>
      <w:r w:rsidRPr="00380B40">
        <w:rPr>
          <w:lang w:val="en-GB"/>
        </w:rPr>
        <w:t>II.2</w:t>
      </w:r>
      <w:r w:rsidRPr="00380B40">
        <w:rPr>
          <w:lang w:val="en-GB"/>
        </w:rPr>
        <w:tab/>
        <w:t>Editing a common text</w:t>
      </w:r>
      <w:bookmarkEnd w:id="1839"/>
      <w:bookmarkEnd w:id="1840"/>
    </w:p>
    <w:p w14:paraId="449634EC" w14:textId="77777777" w:rsidR="00523689" w:rsidRPr="00380B40" w:rsidRDefault="00523689" w:rsidP="00523689">
      <w:pPr>
        <w:rPr>
          <w:lang w:val="en-GB"/>
        </w:rPr>
      </w:pPr>
      <w:r w:rsidRPr="00380B40">
        <w:rPr>
          <w:lang w:val="en-GB"/>
        </w:rPr>
        <w:t>When an ITU-T study group and a JTC 1 subcommittee have agreed together to develop a common text, it is best practice that a unique file (master copy) is used to avoid ending up with two diverging versions of the same draft Recommendation | International Standard (see also clauses 7.5 and 8.2 of Annex A).</w:t>
      </w:r>
    </w:p>
    <w:p w14:paraId="51790A6A" w14:textId="77777777" w:rsidR="00523689" w:rsidRPr="00380B40" w:rsidRDefault="00523689" w:rsidP="00523689">
      <w:pPr>
        <w:pStyle w:val="Heading2"/>
        <w:rPr>
          <w:lang w:val="en-GB"/>
        </w:rPr>
      </w:pPr>
      <w:bookmarkStart w:id="1841" w:name="_Toc93584236"/>
      <w:bookmarkStart w:id="1842" w:name="_Toc111637033"/>
      <w:r w:rsidRPr="00380B40">
        <w:rPr>
          <w:lang w:val="en-GB"/>
        </w:rPr>
        <w:t>II.3</w:t>
      </w:r>
      <w:r w:rsidRPr="00380B40">
        <w:rPr>
          <w:lang w:val="en-GB"/>
        </w:rPr>
        <w:tab/>
        <w:t>Resolving issues of coordination</w:t>
      </w:r>
      <w:bookmarkEnd w:id="1841"/>
      <w:bookmarkEnd w:id="1842"/>
    </w:p>
    <w:p w14:paraId="2B9165B1" w14:textId="77777777" w:rsidR="00523689" w:rsidRPr="00380B40" w:rsidRDefault="00523689" w:rsidP="00523689">
      <w:pPr>
        <w:rPr>
          <w:lang w:val="en-GB"/>
        </w:rPr>
      </w:pPr>
      <w:r w:rsidRPr="00380B40">
        <w:rPr>
          <w:lang w:val="en-GB"/>
        </w:rPr>
        <w:t>Should there be any issue of collaboration between an ITU-T study group and a JTC 1 subcommittee for the establishment of a Collaborative Team or a Collaborative Interchange, or during the development of a common or twin text, it is best practice to inform the ITU-T liaison officer to JTC 1 and the JTC 1 liaison officer to ITU-T as soon as possible, so they could play a facilitator role attempting to resolve any issue.</w:t>
      </w:r>
    </w:p>
    <w:p w14:paraId="03F70155" w14:textId="77777777" w:rsidR="00523689" w:rsidRPr="00380B40" w:rsidRDefault="00523689" w:rsidP="00523689">
      <w:pPr>
        <w:pStyle w:val="Heading2"/>
        <w:rPr>
          <w:lang w:val="en-GB"/>
        </w:rPr>
      </w:pPr>
      <w:bookmarkStart w:id="1843" w:name="_Toc444683711"/>
      <w:bookmarkStart w:id="1844" w:name="_Toc93584237"/>
      <w:bookmarkStart w:id="1845" w:name="_Toc111637034"/>
      <w:r w:rsidRPr="00380B40">
        <w:rPr>
          <w:lang w:val="en-GB"/>
        </w:rPr>
        <w:t>II.4</w:t>
      </w:r>
      <w:r w:rsidRPr="00380B40">
        <w:rPr>
          <w:lang w:val="en-GB"/>
        </w:rPr>
        <w:tab/>
      </w:r>
      <w:bookmarkEnd w:id="1843"/>
      <w:r w:rsidRPr="00380B40">
        <w:rPr>
          <w:lang w:val="en-GB"/>
        </w:rPr>
        <w:t>Using handy names</w:t>
      </w:r>
      <w:bookmarkEnd w:id="1844"/>
      <w:bookmarkEnd w:id="1845"/>
    </w:p>
    <w:p w14:paraId="35FADF0A" w14:textId="77777777" w:rsidR="00523689" w:rsidRPr="00380B40" w:rsidRDefault="00523689" w:rsidP="00523689">
      <w:pPr>
        <w:rPr>
          <w:lang w:val="en-GB"/>
        </w:rPr>
      </w:pPr>
      <w:r w:rsidRPr="00380B40">
        <w:rPr>
          <w:lang w:val="en-GB"/>
        </w:rPr>
        <w:t>It is best practice that a handy name or acronym is defined at the beginning of any collaborative project, to be the usual identification of the work and of the corresponding Recommendation and International Standard when referring to them.</w:t>
      </w:r>
    </w:p>
    <w:p w14:paraId="744B4F35" w14:textId="77777777" w:rsidR="004C79F2" w:rsidRPr="00380B40" w:rsidRDefault="004C79F2" w:rsidP="00523689">
      <w:pPr>
        <w:rPr>
          <w:lang w:val="en-GB"/>
        </w:rPr>
      </w:pPr>
      <w:r w:rsidRPr="00380B40">
        <w:rPr>
          <w:lang w:val="en-GB"/>
        </w:rPr>
        <w:br w:type="page"/>
      </w:r>
    </w:p>
    <w:p w14:paraId="082A9686" w14:textId="77777777" w:rsidR="00523689" w:rsidRPr="00380B40" w:rsidRDefault="00523689" w:rsidP="00523689">
      <w:pPr>
        <w:rPr>
          <w:lang w:val="en-GB"/>
        </w:rPr>
      </w:pPr>
      <w:r w:rsidRPr="00380B40">
        <w:rPr>
          <w:lang w:val="en-GB"/>
        </w:rPr>
        <w:t>It is also best practice to include the agreed handy name or acronym in the terms of reference of the Collaborative Team or Collaborative Interchange (see clauses 7.1 or 8.1 of Annex A) leading to either common text or twin text, and in the title of the resulting publication.</w:t>
      </w:r>
    </w:p>
    <w:p w14:paraId="64DD464E" w14:textId="77777777" w:rsidR="00523689" w:rsidRPr="00380B40" w:rsidRDefault="00523689" w:rsidP="00D00068">
      <w:pPr>
        <w:pStyle w:val="Note2"/>
      </w:pPr>
      <w:r w:rsidRPr="00380B40">
        <w:t>NOTE 1 – Examples of handy names are:</w:t>
      </w:r>
    </w:p>
    <w:p w14:paraId="17DEFDF2" w14:textId="77777777" w:rsidR="00523689" w:rsidRPr="00380B40" w:rsidRDefault="00523689" w:rsidP="00D00068">
      <w:pPr>
        <w:pStyle w:val="Note2"/>
      </w:pPr>
      <w:r w:rsidRPr="00380B40">
        <w:t>•</w:t>
      </w:r>
      <w:r w:rsidRPr="00380B40">
        <w:tab/>
        <w:t>HEVC (High efficiency video coding) for Recommendation ITU-T H.265 | ISO/IEC 23008-2.</w:t>
      </w:r>
    </w:p>
    <w:p w14:paraId="60C0FE0F" w14:textId="77777777" w:rsidR="00523689" w:rsidRPr="00380B40" w:rsidRDefault="00523689" w:rsidP="00D00068">
      <w:pPr>
        <w:pStyle w:val="Note2"/>
      </w:pPr>
      <w:r w:rsidRPr="00380B40">
        <w:t>•</w:t>
      </w:r>
      <w:r w:rsidRPr="00380B40">
        <w:tab/>
        <w:t>RMCP (Relayed multicast protocol) for Recommendation ITU-T X.603 | ISO/IEC 16512-1;</w:t>
      </w:r>
    </w:p>
    <w:p w14:paraId="66DF7AC9" w14:textId="77777777" w:rsidR="00523689" w:rsidRPr="00380B40" w:rsidRDefault="00523689" w:rsidP="00D00068">
      <w:pPr>
        <w:pStyle w:val="Note2"/>
      </w:pPr>
      <w:r w:rsidRPr="00380B40">
        <w:t>•</w:t>
      </w:r>
      <w:r w:rsidRPr="00380B40">
        <w:tab/>
        <w:t>VVC (Versatile video coding) for Recommendation ITU-T H.266 | ISO/IEC 23090-3.</w:t>
      </w:r>
    </w:p>
    <w:p w14:paraId="26765C18" w14:textId="77777777" w:rsidR="00523689" w:rsidRPr="00380B40" w:rsidRDefault="00523689" w:rsidP="00D00068">
      <w:pPr>
        <w:pStyle w:val="Note2"/>
      </w:pPr>
      <w:r w:rsidRPr="00380B40">
        <w:t>NOTE 2 – Confusion should be avoided if the suggested handy name is already used by pre-existing implementations of the standard with different functionalities or if there is intellectual property rights associated with its use.</w:t>
      </w:r>
    </w:p>
    <w:p w14:paraId="25B7CDDA" w14:textId="77777777" w:rsidR="00523689" w:rsidRPr="00380B40" w:rsidRDefault="00523689" w:rsidP="00523689">
      <w:pPr>
        <w:pStyle w:val="Heading2"/>
        <w:rPr>
          <w:bCs/>
          <w:lang w:val="en-GB"/>
        </w:rPr>
      </w:pPr>
      <w:bookmarkStart w:id="1846" w:name="_Toc93584238"/>
      <w:bookmarkStart w:id="1847" w:name="_Toc111637035"/>
      <w:r w:rsidRPr="00380B40">
        <w:rPr>
          <w:bCs/>
          <w:lang w:val="en-GB"/>
        </w:rPr>
        <w:t>II.5</w:t>
      </w:r>
      <w:r w:rsidRPr="00380B40">
        <w:rPr>
          <w:bCs/>
          <w:lang w:val="en-GB"/>
        </w:rPr>
        <w:tab/>
        <w:t>Synchronizing the appointment of a registration authority</w:t>
      </w:r>
      <w:bookmarkEnd w:id="1846"/>
      <w:bookmarkEnd w:id="1847"/>
    </w:p>
    <w:p w14:paraId="1760E277" w14:textId="77777777" w:rsidR="00523689" w:rsidRPr="00380B40" w:rsidRDefault="00523689" w:rsidP="00523689">
      <w:pPr>
        <w:rPr>
          <w:lang w:val="en-GB"/>
        </w:rPr>
      </w:pPr>
      <w:r w:rsidRPr="00380B40">
        <w:rPr>
          <w:lang w:val="en-GB"/>
        </w:rPr>
        <w:t>When a joint project includes registration provisions (i.e., the assignment of an unambiguous name to an object in a way which makes the assignment available to interested parties), it is best practice to develop two different common (or twin) texts:</w:t>
      </w:r>
    </w:p>
    <w:p w14:paraId="7ADCA088" w14:textId="77777777" w:rsidR="00523689" w:rsidRPr="00380B40" w:rsidRDefault="00523689" w:rsidP="00523689">
      <w:pPr>
        <w:pStyle w:val="enumlev1"/>
        <w:rPr>
          <w:lang w:val="en-GB"/>
        </w:rPr>
      </w:pPr>
      <w:r w:rsidRPr="00380B40">
        <w:rPr>
          <w:lang w:val="en-GB"/>
        </w:rPr>
        <w:t>•</w:t>
      </w:r>
      <w:r w:rsidRPr="00380B40">
        <w:rPr>
          <w:lang w:val="en-GB"/>
        </w:rPr>
        <w:tab/>
        <w:t>The first text is the technical standard in which the objects to be registered are defined;</w:t>
      </w:r>
    </w:p>
    <w:p w14:paraId="7D076F2C" w14:textId="77777777" w:rsidR="00523689" w:rsidRPr="00380B40" w:rsidRDefault="00523689" w:rsidP="00523689">
      <w:pPr>
        <w:pStyle w:val="enumlev1"/>
        <w:rPr>
          <w:lang w:val="en-GB"/>
        </w:rPr>
      </w:pPr>
      <w:r w:rsidRPr="00380B40">
        <w:rPr>
          <w:lang w:val="en-GB"/>
        </w:rPr>
        <w:t>•</w:t>
      </w:r>
      <w:r w:rsidRPr="00380B40">
        <w:rPr>
          <w:lang w:val="en-GB"/>
        </w:rPr>
        <w:tab/>
        <w:t xml:space="preserve">The second text is the registration procedure standard which defines the procedure according to which the registration authority </w:t>
      </w:r>
      <w:r w:rsidRPr="00380B40">
        <w:rPr>
          <w:lang w:val="en-GB" w:eastAsia="ja-JP"/>
        </w:rPr>
        <w:t xml:space="preserve">(i.e., the entity entitled and trusted to perform the registration service) </w:t>
      </w:r>
      <w:r w:rsidRPr="00380B40">
        <w:rPr>
          <w:lang w:val="en-GB"/>
        </w:rPr>
        <w:t>works, and specifies its duties and obligations. The procedure standard also specifies an appeals procedure and a revocation procedure.</w:t>
      </w:r>
    </w:p>
    <w:p w14:paraId="2140EF3C" w14:textId="77777777" w:rsidR="00523689" w:rsidRPr="00380B40" w:rsidRDefault="00523689" w:rsidP="00D00068">
      <w:pPr>
        <w:pStyle w:val="Note2"/>
      </w:pPr>
      <w:r w:rsidRPr="00380B40">
        <w:t>NOTE 1 – Annex H to [b-ISO/IEC Directives Part 1] provides guidance on how to write the procedure standard in JTC 1.</w:t>
      </w:r>
    </w:p>
    <w:p w14:paraId="53269B33" w14:textId="77777777" w:rsidR="00523689" w:rsidRPr="00380B40" w:rsidRDefault="00523689" w:rsidP="00523689">
      <w:pPr>
        <w:rPr>
          <w:lang w:val="en-GB"/>
        </w:rPr>
      </w:pPr>
      <w:r w:rsidRPr="00380B40">
        <w:rPr>
          <w:lang w:val="en-GB"/>
        </w:rPr>
        <w:t>It is also best practice to follow the following process to ensure that the (same) registration authority is jointly appointed by the ITU-T study group and the JTC 1 sub-committee:</w:t>
      </w:r>
    </w:p>
    <w:p w14:paraId="0B1CDB88" w14:textId="77777777" w:rsidR="00523689" w:rsidRPr="00380B40" w:rsidRDefault="00523689" w:rsidP="00523689">
      <w:pPr>
        <w:pStyle w:val="enumlev1"/>
        <w:rPr>
          <w:lang w:val="en-GB"/>
        </w:rPr>
      </w:pPr>
      <w:r w:rsidRPr="00380B40">
        <w:rPr>
          <w:lang w:val="en-GB"/>
        </w:rPr>
        <w:t>1.</w:t>
      </w:r>
      <w:r w:rsidRPr="00380B40">
        <w:rPr>
          <w:lang w:val="en-GB"/>
        </w:rPr>
        <w:tab/>
        <w:t>The selection process for the registration authority begins with a call for offers made by the ITU-T study group and by the JTC 1 sub-committee. The ITU-T study group and JTC 1 sub-committee ensures that each candidate is an acceptable legal entity according to the rules of each organization.</w:t>
      </w:r>
    </w:p>
    <w:p w14:paraId="6D1EA860" w14:textId="77777777" w:rsidR="00523689" w:rsidRPr="00380B40" w:rsidRDefault="00523689" w:rsidP="00523689">
      <w:pPr>
        <w:pStyle w:val="enumlev1"/>
        <w:rPr>
          <w:lang w:val="en-GB"/>
        </w:rPr>
      </w:pPr>
      <w:r w:rsidRPr="00380B40">
        <w:rPr>
          <w:lang w:val="en-GB"/>
        </w:rPr>
        <w:t>2.</w:t>
      </w:r>
      <w:r w:rsidRPr="00380B40">
        <w:rPr>
          <w:lang w:val="en-GB"/>
        </w:rPr>
        <w:tab/>
        <w:t>Once nominations have been received for the registration authority (and shared with the other organization), they are initially reviewed by the Collaborative Team (if one exists for the joint project), otherwise by the appropriate ITU-T study group or the appropriate JTC 1 sub-committee (whichever meets first), and a report is produced.</w:t>
      </w:r>
    </w:p>
    <w:p w14:paraId="4C2E5F03" w14:textId="77777777" w:rsidR="00523689" w:rsidRPr="00380B40" w:rsidRDefault="00523689" w:rsidP="00523689">
      <w:pPr>
        <w:pStyle w:val="enumlev1"/>
        <w:rPr>
          <w:lang w:val="en-GB"/>
        </w:rPr>
      </w:pPr>
      <w:r w:rsidRPr="00380B40">
        <w:rPr>
          <w:lang w:val="en-GB"/>
        </w:rPr>
        <w:t>3.</w:t>
      </w:r>
      <w:r w:rsidRPr="00380B40">
        <w:rPr>
          <w:lang w:val="en-GB"/>
        </w:rPr>
        <w:tab/>
        <w:t>The report is discussed within the appropriate ITU-T study group or the appropriate JTC 1 sub-committee (whichever meets first) and presented for approval. Then it is sent as a liaison statement to the next plenary session of the other organization for ratification. It is expected that both plenary sessions reach the same conclusion and agree to nominate the same candidate; otherwise, the discrepancy is referred to each organization for further consideration.</w:t>
      </w:r>
    </w:p>
    <w:p w14:paraId="29FFE4E9" w14:textId="77777777" w:rsidR="00832A81" w:rsidRPr="00380B40" w:rsidRDefault="00832A81" w:rsidP="00523689">
      <w:pPr>
        <w:pStyle w:val="enumlev1"/>
        <w:rPr>
          <w:lang w:val="en-GB"/>
        </w:rPr>
      </w:pPr>
      <w:r w:rsidRPr="00380B40">
        <w:rPr>
          <w:lang w:val="en-GB"/>
        </w:rPr>
        <w:br w:type="page"/>
      </w:r>
    </w:p>
    <w:p w14:paraId="58FD8AEC" w14:textId="77777777" w:rsidR="00523689" w:rsidRPr="00380B40" w:rsidRDefault="00523689" w:rsidP="00523689">
      <w:pPr>
        <w:pStyle w:val="enumlev1"/>
        <w:rPr>
          <w:lang w:val="en-GB"/>
        </w:rPr>
      </w:pPr>
      <w:r w:rsidRPr="00380B40">
        <w:rPr>
          <w:lang w:val="en-GB"/>
        </w:rPr>
        <w:t>4.</w:t>
      </w:r>
      <w:r w:rsidRPr="00380B40">
        <w:rPr>
          <w:lang w:val="en-GB"/>
        </w:rPr>
        <w:tab/>
        <w:t>Once all organizations have reached the same conclusion, the final approval and appointment of the registration authority follows the procedures of each organization.</w:t>
      </w:r>
    </w:p>
    <w:p w14:paraId="11C75621" w14:textId="77777777" w:rsidR="00523689" w:rsidRPr="00380B40" w:rsidRDefault="00523689" w:rsidP="00D00068">
      <w:pPr>
        <w:pStyle w:val="Note2"/>
      </w:pPr>
      <w:r w:rsidRPr="00380B40">
        <w:t>NOTE 2 – Any discrepancies raised during the approval processes of the organizations are referred to their Chief Executive Officers (for ISO and IEC) and to the TSB Director (for ITU-T) for resolution.</w:t>
      </w:r>
    </w:p>
    <w:p w14:paraId="273FF406" w14:textId="77777777" w:rsidR="00832A81" w:rsidRPr="00380B40" w:rsidRDefault="00832A81" w:rsidP="00C96099">
      <w:pPr>
        <w:pStyle w:val="Note"/>
        <w:rPr>
          <w:lang w:val="en-GB"/>
        </w:rPr>
      </w:pPr>
    </w:p>
    <w:p w14:paraId="5B816152" w14:textId="77777777" w:rsidR="00832A81" w:rsidRPr="00380B40" w:rsidRDefault="00832A81" w:rsidP="00C96099">
      <w:pPr>
        <w:pStyle w:val="Note"/>
        <w:rPr>
          <w:lang w:val="en-GB"/>
        </w:rPr>
      </w:pPr>
    </w:p>
    <w:p w14:paraId="0D7F6A26" w14:textId="77777777" w:rsidR="00832A81" w:rsidRPr="00380B40" w:rsidRDefault="00832A81" w:rsidP="00C96099">
      <w:pPr>
        <w:pStyle w:val="Note"/>
        <w:rPr>
          <w:lang w:val="en-GB"/>
        </w:rPr>
      </w:pPr>
    </w:p>
    <w:p w14:paraId="6C17E1BC" w14:textId="77777777" w:rsidR="00832A81" w:rsidRPr="00380B40" w:rsidRDefault="00832A81" w:rsidP="00C96099">
      <w:pPr>
        <w:pStyle w:val="Note"/>
        <w:rPr>
          <w:lang w:val="en-GB"/>
        </w:rPr>
      </w:pPr>
    </w:p>
    <w:p w14:paraId="6B3BD065" w14:textId="77777777" w:rsidR="00832A81" w:rsidRPr="00380B40" w:rsidRDefault="00832A81" w:rsidP="00C96099">
      <w:pPr>
        <w:pStyle w:val="Note"/>
        <w:rPr>
          <w:lang w:val="en-GB"/>
        </w:rPr>
      </w:pPr>
    </w:p>
    <w:p w14:paraId="70B6B07E" w14:textId="77777777" w:rsidR="00832A81" w:rsidRPr="00380B40" w:rsidRDefault="00832A81" w:rsidP="00C96099">
      <w:pPr>
        <w:pStyle w:val="Note"/>
        <w:rPr>
          <w:lang w:val="en-GB"/>
        </w:rPr>
      </w:pPr>
    </w:p>
    <w:p w14:paraId="2B9DD114" w14:textId="77777777" w:rsidR="00832A81" w:rsidRPr="00380B40" w:rsidRDefault="00832A81" w:rsidP="00C96099">
      <w:pPr>
        <w:pStyle w:val="Note"/>
        <w:rPr>
          <w:lang w:val="en-GB"/>
        </w:rPr>
      </w:pPr>
    </w:p>
    <w:p w14:paraId="606AB71E" w14:textId="77777777" w:rsidR="00832A81" w:rsidRPr="00380B40" w:rsidRDefault="00832A81" w:rsidP="00C96099">
      <w:pPr>
        <w:pStyle w:val="Note"/>
        <w:rPr>
          <w:lang w:val="en-GB"/>
        </w:rPr>
      </w:pPr>
    </w:p>
    <w:p w14:paraId="78FFE558" w14:textId="77777777" w:rsidR="00832A81" w:rsidRPr="00380B40" w:rsidRDefault="00832A81" w:rsidP="00C96099">
      <w:pPr>
        <w:pStyle w:val="Note"/>
        <w:rPr>
          <w:lang w:val="en-GB"/>
        </w:rPr>
      </w:pPr>
    </w:p>
    <w:p w14:paraId="0C0E4CF2" w14:textId="77777777" w:rsidR="00832A81" w:rsidRPr="00380B40" w:rsidRDefault="00832A81" w:rsidP="00C96099">
      <w:pPr>
        <w:pStyle w:val="Note"/>
        <w:rPr>
          <w:lang w:val="en-GB"/>
        </w:rPr>
      </w:pPr>
    </w:p>
    <w:p w14:paraId="1BAA89A7" w14:textId="77777777" w:rsidR="00832A81" w:rsidRPr="00380B40" w:rsidRDefault="00832A81" w:rsidP="00C96099">
      <w:pPr>
        <w:pStyle w:val="Note"/>
        <w:rPr>
          <w:lang w:val="en-GB"/>
        </w:rPr>
      </w:pPr>
    </w:p>
    <w:p w14:paraId="786F85CF" w14:textId="77777777" w:rsidR="00832A81" w:rsidRPr="00380B40" w:rsidRDefault="00832A81" w:rsidP="00C96099">
      <w:pPr>
        <w:pStyle w:val="Note"/>
        <w:rPr>
          <w:lang w:val="en-GB"/>
        </w:rPr>
      </w:pPr>
    </w:p>
    <w:p w14:paraId="696D549A" w14:textId="77777777" w:rsidR="00832A81" w:rsidRPr="00380B40" w:rsidRDefault="00832A81" w:rsidP="00C96099">
      <w:pPr>
        <w:pStyle w:val="Note"/>
        <w:rPr>
          <w:lang w:val="en-GB"/>
        </w:rPr>
      </w:pPr>
    </w:p>
    <w:p w14:paraId="22538245" w14:textId="77777777" w:rsidR="00832A81" w:rsidRPr="00380B40" w:rsidRDefault="00832A81" w:rsidP="00C96099">
      <w:pPr>
        <w:pStyle w:val="Note"/>
        <w:rPr>
          <w:lang w:val="en-GB"/>
        </w:rPr>
      </w:pPr>
    </w:p>
    <w:p w14:paraId="78B9613D" w14:textId="77777777" w:rsidR="00832A81" w:rsidRPr="00380B40" w:rsidRDefault="00832A81" w:rsidP="00C96099">
      <w:pPr>
        <w:pStyle w:val="Note"/>
        <w:rPr>
          <w:lang w:val="en-GB"/>
        </w:rPr>
      </w:pPr>
    </w:p>
    <w:p w14:paraId="7AD448A2" w14:textId="77777777" w:rsidR="00832A81" w:rsidRPr="00380B40" w:rsidRDefault="00832A81" w:rsidP="00C96099">
      <w:pPr>
        <w:pStyle w:val="Note"/>
        <w:rPr>
          <w:lang w:val="en-GB"/>
        </w:rPr>
      </w:pPr>
    </w:p>
    <w:p w14:paraId="3CF36936" w14:textId="77777777" w:rsidR="00832A81" w:rsidRPr="00380B40" w:rsidRDefault="00832A81" w:rsidP="00C96099">
      <w:pPr>
        <w:pStyle w:val="Note"/>
        <w:rPr>
          <w:lang w:val="en-GB"/>
        </w:rPr>
      </w:pPr>
    </w:p>
    <w:p w14:paraId="611807EB" w14:textId="77777777" w:rsidR="00832A81" w:rsidRPr="00380B40" w:rsidRDefault="00832A81" w:rsidP="00C96099">
      <w:pPr>
        <w:pStyle w:val="Note"/>
        <w:rPr>
          <w:lang w:val="en-GB"/>
        </w:rPr>
      </w:pPr>
    </w:p>
    <w:p w14:paraId="71F4B143" w14:textId="77777777" w:rsidR="00832A81" w:rsidRPr="00380B40" w:rsidRDefault="00832A81" w:rsidP="00C96099">
      <w:pPr>
        <w:pStyle w:val="Note"/>
        <w:rPr>
          <w:lang w:val="en-GB"/>
        </w:rPr>
      </w:pPr>
    </w:p>
    <w:p w14:paraId="534150F3" w14:textId="77777777" w:rsidR="00832A81" w:rsidRPr="00380B40" w:rsidRDefault="00832A81" w:rsidP="00C96099">
      <w:pPr>
        <w:pStyle w:val="Note"/>
        <w:rPr>
          <w:lang w:val="en-GB"/>
        </w:rPr>
      </w:pPr>
    </w:p>
    <w:p w14:paraId="0BCB4CA1" w14:textId="77777777" w:rsidR="00832A81" w:rsidRPr="00380B40" w:rsidRDefault="00832A81" w:rsidP="00C96099">
      <w:pPr>
        <w:pStyle w:val="Note"/>
        <w:rPr>
          <w:lang w:val="en-GB"/>
        </w:rPr>
      </w:pPr>
    </w:p>
    <w:p w14:paraId="11476182" w14:textId="77777777" w:rsidR="00832A81" w:rsidRPr="00380B40" w:rsidRDefault="00832A81" w:rsidP="00C96099">
      <w:pPr>
        <w:pStyle w:val="Note"/>
        <w:rPr>
          <w:lang w:val="en-GB"/>
        </w:rPr>
      </w:pPr>
    </w:p>
    <w:p w14:paraId="7A74615C" w14:textId="77777777" w:rsidR="00832A81" w:rsidRPr="00380B40" w:rsidRDefault="00832A81" w:rsidP="00C96099">
      <w:pPr>
        <w:pStyle w:val="Note"/>
        <w:rPr>
          <w:lang w:val="en-GB"/>
        </w:rPr>
      </w:pPr>
    </w:p>
    <w:p w14:paraId="5DC7FBE8" w14:textId="77777777" w:rsidR="00832A81" w:rsidRPr="00380B40" w:rsidRDefault="00832A81" w:rsidP="00C96099">
      <w:pPr>
        <w:pStyle w:val="Note"/>
        <w:rPr>
          <w:lang w:val="en-GB"/>
        </w:rPr>
      </w:pPr>
    </w:p>
    <w:p w14:paraId="5C17EC4A" w14:textId="77777777" w:rsidR="00832A81" w:rsidRPr="00380B40" w:rsidRDefault="00832A81" w:rsidP="00C96099">
      <w:pPr>
        <w:pStyle w:val="Note"/>
        <w:rPr>
          <w:lang w:val="en-GB"/>
        </w:rPr>
      </w:pPr>
    </w:p>
    <w:p w14:paraId="1CD0BA23" w14:textId="77777777" w:rsidR="00523689" w:rsidRPr="00380B40" w:rsidRDefault="00523689" w:rsidP="00523689">
      <w:pPr>
        <w:tabs>
          <w:tab w:val="clear" w:pos="794"/>
          <w:tab w:val="clear" w:pos="1191"/>
          <w:tab w:val="clear" w:pos="1588"/>
          <w:tab w:val="clear" w:pos="1985"/>
        </w:tabs>
        <w:overflowPunct/>
        <w:autoSpaceDE/>
        <w:autoSpaceDN/>
        <w:adjustRightInd/>
        <w:spacing w:before="0" w:after="160" w:line="259" w:lineRule="auto"/>
        <w:jc w:val="left"/>
        <w:textAlignment w:val="auto"/>
        <w:rPr>
          <w:sz w:val="18"/>
          <w:lang w:val="en-GB"/>
        </w:rPr>
      </w:pPr>
      <w:r w:rsidRPr="00380B40">
        <w:rPr>
          <w:lang w:val="en-GB"/>
        </w:rPr>
        <w:br w:type="page"/>
      </w:r>
    </w:p>
    <w:p w14:paraId="0E818FBC" w14:textId="77777777" w:rsidR="00523689" w:rsidRPr="00380B40" w:rsidRDefault="00523689" w:rsidP="009D2170">
      <w:pPr>
        <w:pStyle w:val="AppendixNoTitle"/>
      </w:pPr>
      <w:bookmarkStart w:id="1848" w:name="_Toc111637036"/>
      <w:r w:rsidRPr="00380B40">
        <w:t>Bibliography</w:t>
      </w:r>
      <w:bookmarkEnd w:id="1848"/>
    </w:p>
    <w:p w14:paraId="1B73C98F" w14:textId="77777777" w:rsidR="00240527" w:rsidRPr="00380B40" w:rsidRDefault="00240527" w:rsidP="00240527">
      <w:pPr>
        <w:rPr>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664"/>
      </w:tblGrid>
      <w:tr w:rsidR="00240527" w:rsidRPr="00380B40" w14:paraId="47A28087" w14:textId="77777777" w:rsidTr="00C91A38">
        <w:tc>
          <w:tcPr>
            <w:tcW w:w="1543" w:type="pct"/>
          </w:tcPr>
          <w:p w14:paraId="44083782" w14:textId="77777777" w:rsidR="00240527" w:rsidRPr="00380B40" w:rsidRDefault="00240527" w:rsidP="004E4CA9">
            <w:pPr>
              <w:jc w:val="left"/>
              <w:rPr>
                <w:lang w:val="fr-CH"/>
              </w:rPr>
            </w:pPr>
            <w:r w:rsidRPr="00380B40">
              <w:rPr>
                <w:lang w:val="fr-CH"/>
              </w:rPr>
              <w:t>[b-ISO/IEC Directives Part 1]</w:t>
            </w:r>
          </w:p>
        </w:tc>
        <w:tc>
          <w:tcPr>
            <w:tcW w:w="3457" w:type="pct"/>
          </w:tcPr>
          <w:p w14:paraId="0A4657C9" w14:textId="77777777" w:rsidR="00240527" w:rsidRPr="00380B40" w:rsidRDefault="00240527" w:rsidP="004E4CA9">
            <w:pPr>
              <w:jc w:val="left"/>
              <w:rPr>
                <w:lang w:val="en-GB"/>
              </w:rPr>
            </w:pPr>
            <w:r w:rsidRPr="00380B40">
              <w:rPr>
                <w:lang w:val="en-GB"/>
              </w:rPr>
              <w:t>ISO/IEC:</w:t>
            </w:r>
            <w:r w:rsidRPr="00380B40">
              <w:rPr>
                <w:rFonts w:eastAsia="Batang"/>
                <w:lang w:val="en-GB"/>
              </w:rPr>
              <w:t>2021</w:t>
            </w:r>
            <w:r w:rsidRPr="00380B40">
              <w:rPr>
                <w:lang w:val="en-GB"/>
              </w:rPr>
              <w:t xml:space="preserve">, </w:t>
            </w:r>
            <w:r w:rsidRPr="00380B40">
              <w:rPr>
                <w:i/>
                <w:iCs/>
                <w:lang w:val="en-GB"/>
              </w:rPr>
              <w:t>Directives, Part 1 Procedures for the technical work – Consolidated ISO Supplement – Procedures specific to ISO</w:t>
            </w:r>
            <w:r w:rsidRPr="00380B40">
              <w:rPr>
                <w:lang w:val="en-GB"/>
              </w:rPr>
              <w:t>.</w:t>
            </w:r>
            <w:r w:rsidRPr="00380B40">
              <w:rPr>
                <w:lang w:val="en-GB"/>
              </w:rPr>
              <w:br/>
            </w:r>
            <w:hyperlink r:id="rId447" w:history="1">
              <w:r w:rsidR="007F7EB9" w:rsidRPr="00380B40">
                <w:rPr>
                  <w:rStyle w:val="Hyperlink"/>
                  <w:rFonts w:ascii="Arial" w:hAnsi="Arial" w:cs="Arial"/>
                  <w:sz w:val="16"/>
                  <w:szCs w:val="16"/>
                  <w:lang w:val="en-GB"/>
                </w:rPr>
                <w:t>https://www.iso.org/directives-and-policies.html</w:t>
              </w:r>
            </w:hyperlink>
          </w:p>
        </w:tc>
      </w:tr>
    </w:tbl>
    <w:p w14:paraId="402991F6" w14:textId="77777777" w:rsidR="004C79F2" w:rsidRPr="00380B40" w:rsidRDefault="004C79F2" w:rsidP="00B33A7A">
      <w:pPr>
        <w:rPr>
          <w:lang w:val="en-GB"/>
        </w:rPr>
      </w:pPr>
    </w:p>
    <w:p w14:paraId="15D158D2" w14:textId="77777777" w:rsidR="004C79F2" w:rsidRPr="00380B40" w:rsidRDefault="004C79F2" w:rsidP="00B33A7A">
      <w:pPr>
        <w:rPr>
          <w:lang w:val="en-GB"/>
        </w:rPr>
      </w:pPr>
    </w:p>
    <w:p w14:paraId="1B492A96" w14:textId="77777777" w:rsidR="004C79F2" w:rsidRPr="00380B40" w:rsidRDefault="004C79F2" w:rsidP="00B33A7A">
      <w:pPr>
        <w:rPr>
          <w:lang w:val="en-GB"/>
        </w:rPr>
      </w:pPr>
    </w:p>
    <w:p w14:paraId="60F37C1B" w14:textId="77777777" w:rsidR="004C79F2" w:rsidRPr="00380B40" w:rsidRDefault="004C79F2" w:rsidP="00B33A7A">
      <w:pPr>
        <w:rPr>
          <w:lang w:val="en-GB"/>
        </w:rPr>
      </w:pPr>
    </w:p>
    <w:p w14:paraId="77ECF9D0" w14:textId="77777777" w:rsidR="00B33A7A" w:rsidRPr="00380B40" w:rsidRDefault="00B33A7A" w:rsidP="00B33A7A">
      <w:pPr>
        <w:rPr>
          <w:lang w:val="en-GB"/>
        </w:rPr>
      </w:pPr>
    </w:p>
    <w:p w14:paraId="593890E1" w14:textId="77777777" w:rsidR="00B33A7A" w:rsidRPr="00380B40" w:rsidRDefault="00B33A7A" w:rsidP="00B33A7A">
      <w:pPr>
        <w:rPr>
          <w:lang w:val="en-GB"/>
        </w:rPr>
      </w:pPr>
    </w:p>
    <w:p w14:paraId="6A1AEC5D" w14:textId="77777777" w:rsidR="00B33A7A" w:rsidRPr="00380B40" w:rsidRDefault="00B33A7A" w:rsidP="00B33A7A">
      <w:pPr>
        <w:rPr>
          <w:lang w:val="en-GB"/>
        </w:rPr>
      </w:pPr>
    </w:p>
    <w:p w14:paraId="25EAA9D1" w14:textId="77777777" w:rsidR="00B33A7A" w:rsidRPr="00380B40" w:rsidRDefault="00B33A7A" w:rsidP="00B33A7A">
      <w:pPr>
        <w:rPr>
          <w:lang w:val="en-GB"/>
        </w:rPr>
      </w:pPr>
    </w:p>
    <w:p w14:paraId="36817E55" w14:textId="77777777" w:rsidR="00B33A7A" w:rsidRPr="00380B40" w:rsidRDefault="00B33A7A" w:rsidP="00B33A7A">
      <w:pPr>
        <w:rPr>
          <w:lang w:val="en-GB"/>
        </w:rPr>
      </w:pPr>
    </w:p>
    <w:p w14:paraId="20D860B1" w14:textId="77777777" w:rsidR="00B33A7A" w:rsidRPr="00380B40" w:rsidRDefault="00B33A7A" w:rsidP="00B33A7A">
      <w:pPr>
        <w:rPr>
          <w:lang w:val="en-GB"/>
        </w:rPr>
      </w:pPr>
    </w:p>
    <w:p w14:paraId="280229AA" w14:textId="77777777" w:rsidR="00B33A7A" w:rsidRPr="00380B40" w:rsidRDefault="00B33A7A" w:rsidP="00B33A7A">
      <w:pPr>
        <w:rPr>
          <w:lang w:val="en-GB"/>
        </w:rPr>
      </w:pPr>
    </w:p>
    <w:p w14:paraId="76051D8B" w14:textId="77777777" w:rsidR="00B33A7A" w:rsidRPr="00380B40" w:rsidRDefault="00B33A7A" w:rsidP="00B33A7A">
      <w:pPr>
        <w:rPr>
          <w:lang w:val="en-GB"/>
        </w:rPr>
      </w:pPr>
    </w:p>
    <w:p w14:paraId="3D4B65F1" w14:textId="77777777" w:rsidR="00B33A7A" w:rsidRPr="00380B40" w:rsidRDefault="00B33A7A" w:rsidP="00B33A7A">
      <w:pPr>
        <w:rPr>
          <w:lang w:val="en-GB"/>
        </w:rPr>
      </w:pPr>
    </w:p>
    <w:p w14:paraId="10929F8D" w14:textId="77777777" w:rsidR="00B33A7A" w:rsidRPr="00380B40" w:rsidRDefault="00B33A7A" w:rsidP="00B33A7A">
      <w:pPr>
        <w:rPr>
          <w:lang w:val="en-GB"/>
        </w:rPr>
      </w:pPr>
    </w:p>
    <w:p w14:paraId="63FFA542" w14:textId="77777777" w:rsidR="00B33A7A" w:rsidRPr="00380B40" w:rsidRDefault="00B33A7A" w:rsidP="00B33A7A">
      <w:pPr>
        <w:rPr>
          <w:lang w:val="en-GB"/>
        </w:rPr>
      </w:pPr>
    </w:p>
    <w:p w14:paraId="6173C84A" w14:textId="77777777" w:rsidR="00B33A7A" w:rsidRPr="00380B40" w:rsidRDefault="00B33A7A" w:rsidP="00B33A7A">
      <w:pPr>
        <w:rPr>
          <w:lang w:val="en-GB"/>
        </w:rPr>
      </w:pPr>
    </w:p>
    <w:p w14:paraId="31D7ADA1" w14:textId="77777777" w:rsidR="00B33A7A" w:rsidRPr="00380B40" w:rsidRDefault="00B33A7A" w:rsidP="00B33A7A">
      <w:pPr>
        <w:rPr>
          <w:lang w:val="en-GB"/>
        </w:rPr>
      </w:pPr>
    </w:p>
    <w:p w14:paraId="3A2CBECC" w14:textId="77777777" w:rsidR="00B33A7A" w:rsidRPr="00380B40" w:rsidRDefault="00B33A7A" w:rsidP="00B33A7A">
      <w:pPr>
        <w:rPr>
          <w:lang w:val="en-GB"/>
        </w:rPr>
      </w:pPr>
    </w:p>
    <w:p w14:paraId="61A0729F" w14:textId="77777777" w:rsidR="00B33A7A" w:rsidRPr="00380B40" w:rsidRDefault="00B33A7A" w:rsidP="00B33A7A">
      <w:pPr>
        <w:rPr>
          <w:lang w:val="en-GB"/>
        </w:rPr>
      </w:pPr>
    </w:p>
    <w:p w14:paraId="635A27C9" w14:textId="77777777" w:rsidR="004C79F2" w:rsidRPr="00380B40" w:rsidRDefault="004C79F2" w:rsidP="00B33A7A">
      <w:pPr>
        <w:rPr>
          <w:lang w:val="en-GB"/>
        </w:rPr>
      </w:pPr>
    </w:p>
    <w:p w14:paraId="14B524B0" w14:textId="77777777" w:rsidR="004C79F2" w:rsidRPr="00380B40" w:rsidRDefault="004C79F2" w:rsidP="00B33A7A">
      <w:pPr>
        <w:rPr>
          <w:lang w:val="en-GB"/>
        </w:rPr>
      </w:pPr>
    </w:p>
    <w:p w14:paraId="044D1F2D" w14:textId="77777777" w:rsidR="004C79F2" w:rsidRPr="00380B40" w:rsidRDefault="004C79F2" w:rsidP="00B33A7A">
      <w:pPr>
        <w:rPr>
          <w:lang w:val="en-GB"/>
        </w:rPr>
      </w:pPr>
    </w:p>
    <w:p w14:paraId="1DB1AD68" w14:textId="77777777" w:rsidR="004C79F2" w:rsidRPr="00380B40" w:rsidRDefault="004C79F2" w:rsidP="00B33A7A">
      <w:pPr>
        <w:rPr>
          <w:lang w:val="en-GB"/>
        </w:rPr>
      </w:pPr>
    </w:p>
    <w:p w14:paraId="44564121" w14:textId="77777777" w:rsidR="004C79F2" w:rsidRPr="00380B40" w:rsidRDefault="004C79F2" w:rsidP="00B33A7A">
      <w:pPr>
        <w:rPr>
          <w:lang w:val="en-GB"/>
        </w:rPr>
      </w:pPr>
    </w:p>
    <w:p w14:paraId="3C0D5A5E" w14:textId="77777777" w:rsidR="007D3773" w:rsidRPr="00380B40" w:rsidRDefault="007D3773" w:rsidP="008C3E8D">
      <w:pPr>
        <w:rPr>
          <w:lang w:val="en-GB"/>
        </w:rPr>
      </w:pPr>
    </w:p>
    <w:p w14:paraId="675097A5" w14:textId="77777777" w:rsidR="007D3773" w:rsidRPr="00380B40" w:rsidRDefault="007D3773" w:rsidP="008C3E8D">
      <w:pPr>
        <w:rPr>
          <w:lang w:val="en-GB"/>
        </w:rPr>
      </w:pPr>
    </w:p>
    <w:p w14:paraId="19D68A6E" w14:textId="77777777" w:rsidR="007E52B2" w:rsidRPr="00380B40" w:rsidRDefault="007E52B2" w:rsidP="008C3E8D">
      <w:pPr>
        <w:rPr>
          <w:lang w:val="en-GB"/>
        </w:rPr>
        <w:sectPr w:rsidR="007E52B2" w:rsidRPr="00380B40" w:rsidSect="00832A81">
          <w:headerReference w:type="even" r:id="rId448"/>
          <w:headerReference w:type="default" r:id="rId449"/>
          <w:footerReference w:type="even" r:id="rId450"/>
          <w:footerReference w:type="default" r:id="rId451"/>
          <w:footnotePr>
            <w:numRestart w:val="eachSect"/>
          </w:footnotePr>
          <w:pgSz w:w="11907" w:h="16834" w:code="9"/>
          <w:pgMar w:top="1134" w:right="1134" w:bottom="1134" w:left="1134" w:header="567" w:footer="567" w:gutter="0"/>
          <w:paperSrc w:first="261" w:other="261"/>
          <w:cols w:space="720"/>
          <w:vAlign w:val="both"/>
          <w:docGrid w:linePitch="326"/>
        </w:sectPr>
      </w:pPr>
    </w:p>
    <w:p w14:paraId="5689709B" w14:textId="77777777" w:rsidR="00AE44D3" w:rsidRPr="00380B40" w:rsidRDefault="00AE44D3" w:rsidP="00AE44D3">
      <w:pPr>
        <w:pStyle w:val="RecNo"/>
        <w:rPr>
          <w:lang w:val="en-GB"/>
        </w:rPr>
      </w:pPr>
      <w:bookmarkStart w:id="1849" w:name="_Toc111637037"/>
      <w:bookmarkStart w:id="1850" w:name="_Toc111638544"/>
      <w:bookmarkStart w:id="1851" w:name="_Toc104459836"/>
      <w:r w:rsidRPr="00380B40">
        <w:rPr>
          <w:rFonts w:eastAsia="Batang"/>
          <w:lang w:val="en-GB"/>
        </w:rPr>
        <w:t>Recommendation</w:t>
      </w:r>
      <w:r w:rsidRPr="00380B40">
        <w:rPr>
          <w:lang w:val="en-GB"/>
        </w:rPr>
        <w:t xml:space="preserve"> </w:t>
      </w:r>
      <w:r w:rsidRPr="00380B40">
        <w:rPr>
          <w:rFonts w:eastAsia="Batang"/>
          <w:lang w:val="en-GB"/>
        </w:rPr>
        <w:t>ITU</w:t>
      </w:r>
      <w:r w:rsidRPr="00380B40">
        <w:rPr>
          <w:rFonts w:eastAsia="Batang"/>
          <w:lang w:val="en-GB"/>
        </w:rPr>
        <w:noBreakHyphen/>
        <w:t xml:space="preserve">T </w:t>
      </w:r>
      <w:r w:rsidRPr="00380B40">
        <w:rPr>
          <w:rStyle w:val="href"/>
          <w:rFonts w:eastAsia="Batang"/>
          <w:lang w:val="en-GB"/>
        </w:rPr>
        <w:t>A.25</w:t>
      </w:r>
      <w:bookmarkEnd w:id="1849"/>
      <w:bookmarkEnd w:id="1850"/>
    </w:p>
    <w:p w14:paraId="71B1D18F" w14:textId="77777777" w:rsidR="00523689" w:rsidRPr="00380B40" w:rsidRDefault="00523689" w:rsidP="00523689">
      <w:pPr>
        <w:pStyle w:val="Rectitle"/>
        <w:rPr>
          <w:lang w:val="en-GB"/>
        </w:rPr>
      </w:pPr>
      <w:bookmarkStart w:id="1852" w:name="_Toc111638545"/>
      <w:r w:rsidRPr="00380B40">
        <w:rPr>
          <w:lang w:val="en-GB"/>
        </w:rPr>
        <w:t>Generic procedures for incorporating text</w:t>
      </w:r>
      <w:r w:rsidRPr="00380B40">
        <w:rPr>
          <w:lang w:val="en-GB"/>
        </w:rPr>
        <w:br/>
        <w:t>between ITU</w:t>
      </w:r>
      <w:r w:rsidRPr="00380B40">
        <w:rPr>
          <w:lang w:val="en-GB"/>
        </w:rPr>
        <w:noBreakHyphen/>
        <w:t>T and other organizations</w:t>
      </w:r>
      <w:bookmarkEnd w:id="1851"/>
      <w:bookmarkEnd w:id="1852"/>
    </w:p>
    <w:p w14:paraId="4DC14054" w14:textId="77777777" w:rsidR="00523689" w:rsidRPr="00380B40" w:rsidRDefault="00523689" w:rsidP="00523689">
      <w:pPr>
        <w:pStyle w:val="Heading1"/>
        <w:rPr>
          <w:lang w:val="en-GB"/>
        </w:rPr>
      </w:pPr>
      <w:bookmarkStart w:id="1853" w:name="_Toc442451655"/>
      <w:bookmarkStart w:id="1854" w:name="_Toc443480278"/>
      <w:bookmarkStart w:id="1855" w:name="_Toc443920869"/>
      <w:bookmarkStart w:id="1856" w:name="_Toc532722289"/>
      <w:bookmarkStart w:id="1857" w:name="_Toc21353416"/>
      <w:bookmarkStart w:id="1858" w:name="_Toc22895146"/>
      <w:bookmarkStart w:id="1859" w:name="_Toc99032388"/>
      <w:bookmarkStart w:id="1860" w:name="_Toc99032651"/>
      <w:bookmarkStart w:id="1861" w:name="_Toc99600386"/>
      <w:bookmarkStart w:id="1862" w:name="_Toc111637038"/>
      <w:r w:rsidRPr="00380B40">
        <w:rPr>
          <w:lang w:val="en-GB"/>
        </w:rPr>
        <w:t>1</w:t>
      </w:r>
      <w:r w:rsidRPr="00380B40">
        <w:rPr>
          <w:lang w:val="en-GB"/>
        </w:rPr>
        <w:tab/>
        <w:t>Scope</w:t>
      </w:r>
      <w:bookmarkEnd w:id="1853"/>
      <w:bookmarkEnd w:id="1854"/>
      <w:bookmarkEnd w:id="1855"/>
      <w:bookmarkEnd w:id="1856"/>
      <w:bookmarkEnd w:id="1857"/>
      <w:bookmarkEnd w:id="1858"/>
      <w:bookmarkEnd w:id="1859"/>
      <w:bookmarkEnd w:id="1860"/>
      <w:bookmarkEnd w:id="1861"/>
      <w:bookmarkEnd w:id="1862"/>
    </w:p>
    <w:p w14:paraId="09CDA738" w14:textId="77777777" w:rsidR="00523689" w:rsidRPr="00380B40" w:rsidRDefault="00523689" w:rsidP="00523689">
      <w:pPr>
        <w:rPr>
          <w:lang w:val="en-GB"/>
        </w:rPr>
      </w:pPr>
      <w:r w:rsidRPr="00C777D4">
        <w:rPr>
          <w:lang w:val="en-GB"/>
        </w:rPr>
        <w:t>This Recommendation provides generic procedures for incorporating (in whole or in part, with or without</w:t>
      </w:r>
      <w:r w:rsidRPr="00380B40">
        <w:rPr>
          <w:lang w:val="en-GB"/>
        </w:rPr>
        <w:t xml:space="preserve"> modification) the documents of other organizations (including consortia, forums, and national and regional standards development organizations) in ITU</w:t>
      </w:r>
      <w:r w:rsidRPr="00380B40">
        <w:rPr>
          <w:lang w:val="en-GB"/>
        </w:rPr>
        <w:noBreakHyphen/>
        <w:t>T Recommendations (or other ITU</w:t>
      </w:r>
      <w:r w:rsidRPr="00380B40">
        <w:rPr>
          <w:lang w:val="en-GB"/>
        </w:rPr>
        <w:noBreakHyphen/>
        <w:t>T documents) and provides guidance for other organizations on how to incorporate ITU</w:t>
      </w:r>
      <w:r w:rsidRPr="00380B40">
        <w:rPr>
          <w:lang w:val="en-GB"/>
        </w:rPr>
        <w:noBreakHyphen/>
        <w:t>T Recommendations (or other ITU</w:t>
      </w:r>
      <w:r w:rsidRPr="00380B40">
        <w:rPr>
          <w:lang w:val="en-GB"/>
        </w:rPr>
        <w:noBreakHyphen/>
        <w:t>T documents), in whole or in part, in their documents. These procedures are applied each time a proposal for incorporation is made.</w:t>
      </w:r>
    </w:p>
    <w:p w14:paraId="3194B482" w14:textId="77777777" w:rsidR="00523689" w:rsidRPr="00380B40" w:rsidRDefault="00523689" w:rsidP="00523689">
      <w:pPr>
        <w:rPr>
          <w:lang w:val="en-GB"/>
        </w:rPr>
      </w:pPr>
      <w:r w:rsidRPr="00380B40">
        <w:rPr>
          <w:lang w:val="en-GB"/>
        </w:rPr>
        <w:t>The case of normatively referencing the documents of other organizations in ITU</w:t>
      </w:r>
      <w:r w:rsidRPr="00380B40">
        <w:rPr>
          <w:lang w:val="en-GB"/>
        </w:rPr>
        <w:noBreakHyphen/>
        <w:t>T Recommendations is addressed in [ITU</w:t>
      </w:r>
      <w:r w:rsidRPr="00380B40">
        <w:rPr>
          <w:lang w:val="en-GB"/>
        </w:rPr>
        <w:noBreakHyphen/>
        <w:t>T A.5].</w:t>
      </w:r>
    </w:p>
    <w:p w14:paraId="30DDBCAA" w14:textId="77777777" w:rsidR="00523689" w:rsidRPr="00380B40" w:rsidRDefault="00523689" w:rsidP="00523689">
      <w:pPr>
        <w:pStyle w:val="Heading1"/>
        <w:rPr>
          <w:lang w:val="en-GB"/>
        </w:rPr>
      </w:pPr>
      <w:bookmarkStart w:id="1863" w:name="_Toc442451656"/>
      <w:bookmarkStart w:id="1864" w:name="_Toc443480279"/>
      <w:bookmarkStart w:id="1865" w:name="_Toc443920870"/>
      <w:bookmarkStart w:id="1866" w:name="_Toc532722290"/>
      <w:bookmarkStart w:id="1867" w:name="_Toc21353417"/>
      <w:bookmarkStart w:id="1868" w:name="_Toc22895147"/>
      <w:bookmarkStart w:id="1869" w:name="_Toc99032389"/>
      <w:bookmarkStart w:id="1870" w:name="_Toc99032652"/>
      <w:bookmarkStart w:id="1871" w:name="_Toc99600387"/>
      <w:bookmarkStart w:id="1872" w:name="_Toc111637039"/>
      <w:r w:rsidRPr="00380B40">
        <w:rPr>
          <w:lang w:val="en-GB"/>
        </w:rPr>
        <w:t>2</w:t>
      </w:r>
      <w:r w:rsidRPr="00380B40">
        <w:rPr>
          <w:lang w:val="en-GB"/>
        </w:rPr>
        <w:tab/>
        <w:t>References</w:t>
      </w:r>
      <w:bookmarkEnd w:id="1863"/>
      <w:bookmarkEnd w:id="1864"/>
      <w:bookmarkEnd w:id="1865"/>
      <w:bookmarkEnd w:id="1866"/>
      <w:bookmarkEnd w:id="1867"/>
      <w:bookmarkEnd w:id="1868"/>
      <w:bookmarkEnd w:id="1869"/>
      <w:bookmarkEnd w:id="1870"/>
      <w:bookmarkEnd w:id="1871"/>
      <w:bookmarkEnd w:id="1872"/>
    </w:p>
    <w:p w14:paraId="459B8CA4" w14:textId="77777777" w:rsidR="00523689" w:rsidRPr="00380B40" w:rsidRDefault="00523689" w:rsidP="00523689">
      <w:pPr>
        <w:rPr>
          <w:lang w:val="en-GB"/>
        </w:rPr>
      </w:pPr>
      <w:r w:rsidRPr="00380B40">
        <w:rPr>
          <w:lang w:val="en-GB"/>
        </w:rPr>
        <w:t>The following ITU-T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 The reference to a document within this Recommendation does not give it, as a stand-alone document, the status of a Recommendation.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7231"/>
      </w:tblGrid>
      <w:tr w:rsidR="00565B70" w:rsidRPr="004E0F36" w14:paraId="3B969E4A" w14:textId="77777777" w:rsidTr="00C91A38">
        <w:tc>
          <w:tcPr>
            <w:tcW w:w="1249" w:type="pct"/>
          </w:tcPr>
          <w:p w14:paraId="7B6F42F8" w14:textId="77777777" w:rsidR="00565B70" w:rsidRPr="00380B40" w:rsidRDefault="00565B70" w:rsidP="004E4CA9">
            <w:pPr>
              <w:jc w:val="left"/>
              <w:rPr>
                <w:lang w:val="en-GB"/>
              </w:rPr>
            </w:pPr>
            <w:r w:rsidRPr="00380B40">
              <w:rPr>
                <w:rFonts w:eastAsia="Batang"/>
                <w:lang w:val="en-GB"/>
              </w:rPr>
              <w:t>[ITU</w:t>
            </w:r>
            <w:r w:rsidRPr="00380B40">
              <w:rPr>
                <w:rFonts w:eastAsia="Batang"/>
                <w:lang w:val="en-GB"/>
              </w:rPr>
              <w:noBreakHyphen/>
              <w:t>T A.5]</w:t>
            </w:r>
          </w:p>
        </w:tc>
        <w:tc>
          <w:tcPr>
            <w:tcW w:w="3751" w:type="pct"/>
          </w:tcPr>
          <w:p w14:paraId="76692AA9" w14:textId="6F352263" w:rsidR="00565B70" w:rsidRPr="00380B40" w:rsidRDefault="00565B70" w:rsidP="004E4CA9">
            <w:pPr>
              <w:jc w:val="left"/>
              <w:rPr>
                <w:lang w:val="en-GB"/>
              </w:rPr>
            </w:pPr>
            <w:r w:rsidRPr="00380B40">
              <w:rPr>
                <w:rFonts w:eastAsia="Batang"/>
                <w:lang w:val="en-GB"/>
              </w:rPr>
              <w:t>Recommendation ITU-T A.1 (20</w:t>
            </w:r>
            <w:r w:rsidR="004E4CA9">
              <w:rPr>
                <w:rFonts w:eastAsia="Batang"/>
                <w:lang w:val="en-GB"/>
              </w:rPr>
              <w:t>22</w:t>
            </w:r>
            <w:r w:rsidRPr="00380B40">
              <w:rPr>
                <w:rFonts w:eastAsia="Batang"/>
                <w:lang w:val="en-GB"/>
              </w:rPr>
              <w:t xml:space="preserve">), </w:t>
            </w:r>
            <w:r w:rsidR="004E4CA9" w:rsidRPr="004E4CA9">
              <w:rPr>
                <w:rFonts w:eastAsia="Batang"/>
                <w:i/>
                <w:iCs/>
                <w:lang w:val="en-GB"/>
              </w:rPr>
              <w:t>Generic procedures for including references to documents of other organizations in ITU-T Recommendations</w:t>
            </w:r>
            <w:r w:rsidRPr="00380B40">
              <w:rPr>
                <w:rFonts w:eastAsia="Batang"/>
                <w:i/>
                <w:iCs/>
                <w:lang w:val="en-GB"/>
              </w:rPr>
              <w:t>.</w:t>
            </w:r>
          </w:p>
        </w:tc>
      </w:tr>
      <w:tr w:rsidR="00565B70" w:rsidRPr="004E0F36" w14:paraId="0AF37101" w14:textId="77777777" w:rsidTr="00C91A38">
        <w:tc>
          <w:tcPr>
            <w:tcW w:w="1249" w:type="pct"/>
          </w:tcPr>
          <w:p w14:paraId="1C435154" w14:textId="77777777" w:rsidR="00565B70" w:rsidRPr="00380B40" w:rsidRDefault="00565B70" w:rsidP="004E4CA9">
            <w:pPr>
              <w:jc w:val="left"/>
              <w:rPr>
                <w:lang w:val="en-GB"/>
              </w:rPr>
            </w:pPr>
            <w:r w:rsidRPr="00380B40">
              <w:rPr>
                <w:rFonts w:eastAsia="Batang"/>
                <w:lang w:val="en-GB"/>
              </w:rPr>
              <w:t>[PP Res. 66]</w:t>
            </w:r>
          </w:p>
        </w:tc>
        <w:tc>
          <w:tcPr>
            <w:tcW w:w="3751" w:type="pct"/>
          </w:tcPr>
          <w:p w14:paraId="5D93D230" w14:textId="77777777" w:rsidR="00565B70" w:rsidRPr="00380B40" w:rsidRDefault="00D34519" w:rsidP="00D34519">
            <w:pPr>
              <w:jc w:val="left"/>
              <w:rPr>
                <w:lang w:val="en-GB"/>
              </w:rPr>
            </w:pPr>
            <w:r w:rsidRPr="00380B40">
              <w:rPr>
                <w:rFonts w:eastAsia="Batang"/>
                <w:lang w:val="en-GB"/>
              </w:rPr>
              <w:t xml:space="preserve">Plenipotentiary Conference Resolution 66 (Rev. Dubai, 2018), </w:t>
            </w:r>
            <w:r w:rsidRPr="00380B40">
              <w:rPr>
                <w:rFonts w:eastAsia="Batang"/>
                <w:i/>
                <w:iCs/>
                <w:lang w:val="en-GB"/>
              </w:rPr>
              <w:t>Documents and publication of the Union</w:t>
            </w:r>
            <w:r w:rsidRPr="00380B40">
              <w:rPr>
                <w:rFonts w:eastAsia="Batang"/>
                <w:lang w:val="en-GB"/>
              </w:rPr>
              <w:t>.</w:t>
            </w:r>
          </w:p>
        </w:tc>
      </w:tr>
    </w:tbl>
    <w:p w14:paraId="3842E69D" w14:textId="77777777" w:rsidR="00523689" w:rsidRPr="00380B40" w:rsidRDefault="00523689" w:rsidP="00523689">
      <w:pPr>
        <w:pStyle w:val="Heading1"/>
        <w:rPr>
          <w:lang w:val="en-GB"/>
        </w:rPr>
      </w:pPr>
      <w:bookmarkStart w:id="1873" w:name="_Toc442451657"/>
      <w:bookmarkStart w:id="1874" w:name="_Toc443480280"/>
      <w:bookmarkStart w:id="1875" w:name="_Toc443920871"/>
      <w:bookmarkStart w:id="1876" w:name="_Toc532722291"/>
      <w:bookmarkStart w:id="1877" w:name="_Toc21353418"/>
      <w:bookmarkStart w:id="1878" w:name="_Toc22895148"/>
      <w:bookmarkStart w:id="1879" w:name="_Toc99032390"/>
      <w:bookmarkStart w:id="1880" w:name="_Toc99032653"/>
      <w:bookmarkStart w:id="1881" w:name="_Toc99600388"/>
      <w:bookmarkStart w:id="1882" w:name="_Toc111637040"/>
      <w:r w:rsidRPr="00380B40">
        <w:rPr>
          <w:lang w:val="en-GB"/>
        </w:rPr>
        <w:t>3</w:t>
      </w:r>
      <w:r w:rsidRPr="00380B40">
        <w:rPr>
          <w:lang w:val="en-GB"/>
        </w:rPr>
        <w:tab/>
        <w:t>Definitions</w:t>
      </w:r>
      <w:bookmarkEnd w:id="1873"/>
      <w:bookmarkEnd w:id="1874"/>
      <w:bookmarkEnd w:id="1875"/>
      <w:bookmarkEnd w:id="1876"/>
      <w:bookmarkEnd w:id="1877"/>
      <w:bookmarkEnd w:id="1878"/>
      <w:bookmarkEnd w:id="1879"/>
      <w:bookmarkEnd w:id="1880"/>
      <w:bookmarkEnd w:id="1881"/>
      <w:bookmarkEnd w:id="1882"/>
    </w:p>
    <w:p w14:paraId="7995F829" w14:textId="77777777" w:rsidR="00523689" w:rsidRPr="00380B40" w:rsidRDefault="00523689" w:rsidP="00523689">
      <w:pPr>
        <w:pStyle w:val="Heading2"/>
        <w:rPr>
          <w:lang w:val="en-GB"/>
        </w:rPr>
      </w:pPr>
      <w:bookmarkStart w:id="1883" w:name="_Toc442451658"/>
      <w:bookmarkStart w:id="1884" w:name="_Toc443480281"/>
      <w:bookmarkStart w:id="1885" w:name="_Toc443920872"/>
      <w:bookmarkStart w:id="1886" w:name="_Toc532722292"/>
      <w:bookmarkStart w:id="1887" w:name="_Toc21353419"/>
      <w:bookmarkStart w:id="1888" w:name="_Toc22895149"/>
      <w:bookmarkStart w:id="1889" w:name="_Toc99032391"/>
      <w:bookmarkStart w:id="1890" w:name="_Toc99032654"/>
      <w:bookmarkStart w:id="1891" w:name="_Toc99600389"/>
      <w:bookmarkStart w:id="1892" w:name="_Toc111637041"/>
      <w:r w:rsidRPr="00380B40">
        <w:rPr>
          <w:lang w:val="en-GB"/>
        </w:rPr>
        <w:t>3.1</w:t>
      </w:r>
      <w:r w:rsidRPr="00380B40">
        <w:rPr>
          <w:lang w:val="en-GB"/>
        </w:rPr>
        <w:tab/>
        <w:t>Terms defined elsewhere</w:t>
      </w:r>
      <w:bookmarkEnd w:id="1883"/>
      <w:bookmarkEnd w:id="1884"/>
      <w:bookmarkEnd w:id="1885"/>
      <w:bookmarkEnd w:id="1886"/>
      <w:bookmarkEnd w:id="1887"/>
      <w:bookmarkEnd w:id="1888"/>
      <w:bookmarkEnd w:id="1889"/>
      <w:bookmarkEnd w:id="1890"/>
      <w:bookmarkEnd w:id="1891"/>
      <w:bookmarkEnd w:id="1892"/>
    </w:p>
    <w:p w14:paraId="095E4904" w14:textId="77777777" w:rsidR="00523689" w:rsidRPr="00380B40" w:rsidRDefault="00523689" w:rsidP="00523689">
      <w:pPr>
        <w:rPr>
          <w:lang w:val="en-GB"/>
        </w:rPr>
      </w:pPr>
      <w:r w:rsidRPr="00380B40">
        <w:rPr>
          <w:lang w:val="en-GB"/>
        </w:rPr>
        <w:t>This Recommendation uses the following terms defined elsewhere:</w:t>
      </w:r>
    </w:p>
    <w:p w14:paraId="0123C558" w14:textId="77777777" w:rsidR="00523689" w:rsidRPr="00380B40" w:rsidRDefault="00523689" w:rsidP="00523689">
      <w:pPr>
        <w:rPr>
          <w:lang w:val="en-GB"/>
        </w:rPr>
      </w:pPr>
      <w:r w:rsidRPr="00380B40">
        <w:rPr>
          <w:b/>
          <w:lang w:val="en-GB"/>
        </w:rPr>
        <w:t>3.1.1</w:t>
      </w:r>
      <w:r w:rsidRPr="00380B40">
        <w:rPr>
          <w:lang w:val="en-GB"/>
        </w:rPr>
        <w:tab/>
      </w:r>
      <w:r w:rsidRPr="00380B40">
        <w:rPr>
          <w:b/>
          <w:lang w:val="en-GB"/>
        </w:rPr>
        <w:t>approved document</w:t>
      </w:r>
      <w:r w:rsidRPr="00380B40">
        <w:rPr>
          <w:lang w:val="en-GB"/>
        </w:rPr>
        <w:t xml:space="preserve"> [ITU</w:t>
      </w:r>
      <w:r w:rsidRPr="00380B40">
        <w:rPr>
          <w:lang w:val="en-GB"/>
        </w:rPr>
        <w:noBreakHyphen/>
        <w:t xml:space="preserve">T A.5]: </w:t>
      </w:r>
      <w:r w:rsidRPr="00380B40">
        <w:rPr>
          <w:rFonts w:asciiTheme="majorBidi" w:hAnsiTheme="majorBidi" w:cstheme="majorBidi"/>
          <w:lang w:val="en-GB"/>
        </w:rPr>
        <w:t>An official output (</w:t>
      </w:r>
      <w:r w:rsidRPr="00380B40">
        <w:rPr>
          <w:lang w:val="en-GB"/>
        </w:rPr>
        <w:t>such as a standard, a specification, an implementation agreement, etc.</w:t>
      </w:r>
      <w:r w:rsidRPr="00380B40">
        <w:rPr>
          <w:rFonts w:asciiTheme="majorBidi" w:hAnsiTheme="majorBidi" w:cstheme="majorBidi"/>
          <w:lang w:val="en-GB"/>
        </w:rPr>
        <w:t>) which has been formally approved by an organization.</w:t>
      </w:r>
    </w:p>
    <w:p w14:paraId="54567EDC" w14:textId="77777777" w:rsidR="00D34519" w:rsidRPr="00380B40" w:rsidRDefault="00D34519" w:rsidP="00523689">
      <w:pPr>
        <w:rPr>
          <w:b/>
          <w:lang w:val="en-GB"/>
        </w:rPr>
      </w:pPr>
      <w:r w:rsidRPr="00380B40">
        <w:rPr>
          <w:b/>
          <w:lang w:val="en-GB"/>
        </w:rPr>
        <w:br w:type="page"/>
      </w:r>
    </w:p>
    <w:p w14:paraId="154D991D" w14:textId="77777777" w:rsidR="00523689" w:rsidRPr="00380B40" w:rsidRDefault="00523689" w:rsidP="00523689">
      <w:pPr>
        <w:rPr>
          <w:b/>
          <w:lang w:val="en-GB"/>
        </w:rPr>
      </w:pPr>
      <w:r w:rsidRPr="00380B40">
        <w:rPr>
          <w:b/>
          <w:lang w:val="en-GB"/>
        </w:rPr>
        <w:t>3.1.2</w:t>
      </w:r>
      <w:r w:rsidRPr="00380B40">
        <w:rPr>
          <w:b/>
          <w:lang w:val="en-GB"/>
        </w:rPr>
        <w:tab/>
        <w:t>non-normative reference</w:t>
      </w:r>
      <w:r w:rsidRPr="00380B40">
        <w:rPr>
          <w:lang w:val="en-GB"/>
        </w:rPr>
        <w:t xml:space="preserve"> [ITU</w:t>
      </w:r>
      <w:r w:rsidRPr="00380B40">
        <w:rPr>
          <w:lang w:val="en-GB"/>
        </w:rPr>
        <w:noBreakHyphen/>
        <w:t>T A.5]: The whole or parts of a document where the referenced document has been used as supplementary information in the preparation of the Recommendation or to assist the understanding or use of the Recommendation, and to which conformance is not necessary.</w:t>
      </w:r>
    </w:p>
    <w:p w14:paraId="5CF7AEA5" w14:textId="77777777" w:rsidR="00523689" w:rsidRPr="00380B40" w:rsidRDefault="00523689" w:rsidP="00523689">
      <w:pPr>
        <w:rPr>
          <w:lang w:val="en-GB"/>
        </w:rPr>
      </w:pPr>
      <w:r w:rsidRPr="00380B40">
        <w:rPr>
          <w:b/>
          <w:lang w:val="en-GB"/>
        </w:rPr>
        <w:t>3.1.3</w:t>
      </w:r>
      <w:r w:rsidRPr="00380B40">
        <w:rPr>
          <w:lang w:val="en-GB"/>
        </w:rPr>
        <w:tab/>
      </w:r>
      <w:r w:rsidRPr="00380B40">
        <w:rPr>
          <w:b/>
          <w:lang w:val="en-GB"/>
        </w:rPr>
        <w:t>normative reference</w:t>
      </w:r>
      <w:r w:rsidRPr="00380B40">
        <w:rPr>
          <w:lang w:val="en-GB"/>
        </w:rPr>
        <w:t xml:space="preserve"> [b-ITU</w:t>
      </w:r>
      <w:r w:rsidRPr="00380B40">
        <w:rPr>
          <w:lang w:val="en-GB"/>
        </w:rPr>
        <w:noBreakHyphen/>
        <w:t>T A.1]: The whole or parts of another document where the referenced document contains provisions which, through reference to it, constitute provisions to the referring document.</w:t>
      </w:r>
    </w:p>
    <w:p w14:paraId="24F3EA3A" w14:textId="77777777" w:rsidR="00523689" w:rsidRPr="00380B40" w:rsidRDefault="00523689" w:rsidP="00523689">
      <w:pPr>
        <w:pStyle w:val="Heading2"/>
        <w:rPr>
          <w:lang w:val="en-GB"/>
        </w:rPr>
      </w:pPr>
      <w:bookmarkStart w:id="1893" w:name="_Toc442451659"/>
      <w:bookmarkStart w:id="1894" w:name="_Toc443480282"/>
      <w:bookmarkStart w:id="1895" w:name="_Toc443920873"/>
      <w:bookmarkStart w:id="1896" w:name="_Toc532722293"/>
      <w:bookmarkStart w:id="1897" w:name="_Toc21353420"/>
      <w:bookmarkStart w:id="1898" w:name="_Toc22895150"/>
      <w:bookmarkStart w:id="1899" w:name="_Toc99032392"/>
      <w:bookmarkStart w:id="1900" w:name="_Toc99032655"/>
      <w:bookmarkStart w:id="1901" w:name="_Toc99600390"/>
      <w:bookmarkStart w:id="1902" w:name="_Toc111637042"/>
      <w:r w:rsidRPr="00380B40">
        <w:rPr>
          <w:lang w:val="en-GB"/>
        </w:rPr>
        <w:t>3.2</w:t>
      </w:r>
      <w:r w:rsidRPr="00380B40">
        <w:rPr>
          <w:lang w:val="en-GB"/>
        </w:rPr>
        <w:tab/>
        <w:t>Terms defined in this Recommendation</w:t>
      </w:r>
      <w:bookmarkEnd w:id="1893"/>
      <w:bookmarkEnd w:id="1894"/>
      <w:bookmarkEnd w:id="1895"/>
      <w:bookmarkEnd w:id="1896"/>
      <w:bookmarkEnd w:id="1897"/>
      <w:bookmarkEnd w:id="1898"/>
      <w:bookmarkEnd w:id="1899"/>
      <w:bookmarkEnd w:id="1900"/>
      <w:bookmarkEnd w:id="1901"/>
      <w:bookmarkEnd w:id="1902"/>
    </w:p>
    <w:p w14:paraId="3C6D7755" w14:textId="77777777" w:rsidR="00523689" w:rsidRPr="00380B40" w:rsidRDefault="00523689" w:rsidP="00523689">
      <w:pPr>
        <w:rPr>
          <w:lang w:val="en-GB"/>
        </w:rPr>
      </w:pPr>
      <w:r w:rsidRPr="00380B40">
        <w:rPr>
          <w:lang w:val="en-GB"/>
        </w:rPr>
        <w:t>This Recommendation defines the following term:</w:t>
      </w:r>
    </w:p>
    <w:p w14:paraId="4E87BD90" w14:textId="77777777" w:rsidR="00523689" w:rsidRPr="00380B40" w:rsidRDefault="00523689" w:rsidP="00523689">
      <w:pPr>
        <w:rPr>
          <w:bCs/>
          <w:lang w:val="en-GB"/>
        </w:rPr>
      </w:pPr>
      <w:r w:rsidRPr="00380B40">
        <w:rPr>
          <w:b/>
          <w:lang w:val="en-GB"/>
        </w:rPr>
        <w:t>3.2.1</w:t>
      </w:r>
      <w:r w:rsidRPr="00380B40">
        <w:rPr>
          <w:b/>
          <w:lang w:val="en-GB"/>
        </w:rPr>
        <w:tab/>
      </w:r>
      <w:r w:rsidRPr="00380B40">
        <w:rPr>
          <w:rFonts w:asciiTheme="majorBidi" w:hAnsiTheme="majorBidi" w:cstheme="majorBidi"/>
          <w:b/>
          <w:bCs/>
          <w:lang w:val="en-GB"/>
        </w:rPr>
        <w:t>draft document</w:t>
      </w:r>
      <w:r w:rsidRPr="00380B40">
        <w:rPr>
          <w:lang w:val="en-GB"/>
        </w:rPr>
        <w:t xml:space="preserve">: </w:t>
      </w:r>
      <w:r w:rsidRPr="00380B40">
        <w:rPr>
          <w:rFonts w:asciiTheme="majorBidi" w:hAnsiTheme="majorBidi" w:cstheme="majorBidi"/>
          <w:lang w:val="en-GB"/>
        </w:rPr>
        <w:t>An output from an organization, which is still in draft form</w:t>
      </w:r>
      <w:r w:rsidRPr="00380B40">
        <w:rPr>
          <w:lang w:val="en-GB"/>
        </w:rPr>
        <w:t>.</w:t>
      </w:r>
    </w:p>
    <w:p w14:paraId="4880144E" w14:textId="77777777" w:rsidR="00523689" w:rsidRPr="00380B40" w:rsidRDefault="00523689" w:rsidP="00523689">
      <w:pPr>
        <w:pStyle w:val="Heading1"/>
        <w:rPr>
          <w:lang w:val="en-GB"/>
        </w:rPr>
      </w:pPr>
      <w:bookmarkStart w:id="1903" w:name="_Toc442451660"/>
      <w:bookmarkStart w:id="1904" w:name="_Toc443480283"/>
      <w:bookmarkStart w:id="1905" w:name="_Toc443920874"/>
      <w:bookmarkStart w:id="1906" w:name="_Toc532722294"/>
      <w:bookmarkStart w:id="1907" w:name="_Toc21353421"/>
      <w:bookmarkStart w:id="1908" w:name="_Toc22895151"/>
      <w:bookmarkStart w:id="1909" w:name="_Toc99032393"/>
      <w:bookmarkStart w:id="1910" w:name="_Toc99032656"/>
      <w:bookmarkStart w:id="1911" w:name="_Toc99600391"/>
      <w:bookmarkStart w:id="1912" w:name="_Toc111637043"/>
      <w:r w:rsidRPr="00380B40">
        <w:rPr>
          <w:lang w:val="en-GB"/>
        </w:rPr>
        <w:t>4</w:t>
      </w:r>
      <w:r w:rsidRPr="00380B40">
        <w:rPr>
          <w:lang w:val="en-GB"/>
        </w:rPr>
        <w:tab/>
        <w:t>Abbreviations and acronyms</w:t>
      </w:r>
      <w:bookmarkEnd w:id="1903"/>
      <w:bookmarkEnd w:id="1904"/>
      <w:bookmarkEnd w:id="1905"/>
      <w:bookmarkEnd w:id="1906"/>
      <w:bookmarkEnd w:id="1907"/>
      <w:bookmarkEnd w:id="1908"/>
      <w:bookmarkEnd w:id="1909"/>
      <w:bookmarkEnd w:id="1910"/>
      <w:bookmarkEnd w:id="1911"/>
      <w:bookmarkEnd w:id="1912"/>
    </w:p>
    <w:p w14:paraId="7497C9C0" w14:textId="77777777" w:rsidR="00523689" w:rsidRPr="00380B40" w:rsidRDefault="00523689" w:rsidP="00523689">
      <w:pPr>
        <w:rPr>
          <w:lang w:val="en-GB"/>
        </w:rPr>
      </w:pPr>
      <w:r w:rsidRPr="00380B40">
        <w:rPr>
          <w:lang w:val="en-GB"/>
        </w:rPr>
        <w:t>This Recommendation uses the following abbreviations and acronyms: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164B3C" w:rsidRPr="00380B40" w14:paraId="7EBACE75" w14:textId="77777777" w:rsidTr="00C91A38">
        <w:tc>
          <w:tcPr>
            <w:tcW w:w="1129" w:type="dxa"/>
          </w:tcPr>
          <w:p w14:paraId="7E23CDA5" w14:textId="77777777" w:rsidR="00164B3C" w:rsidRPr="00380B40" w:rsidRDefault="00164B3C" w:rsidP="004E4CA9">
            <w:pPr>
              <w:tabs>
                <w:tab w:val="clear" w:pos="794"/>
                <w:tab w:val="clear" w:pos="1191"/>
                <w:tab w:val="clear" w:pos="1588"/>
                <w:tab w:val="clear" w:pos="1985"/>
              </w:tabs>
              <w:rPr>
                <w:lang w:val="en-GB"/>
              </w:rPr>
            </w:pPr>
            <w:r w:rsidRPr="00380B40">
              <w:rPr>
                <w:lang w:val="en-GB"/>
              </w:rPr>
              <w:t>TSB</w:t>
            </w:r>
          </w:p>
        </w:tc>
        <w:tc>
          <w:tcPr>
            <w:tcW w:w="8500" w:type="dxa"/>
          </w:tcPr>
          <w:p w14:paraId="3E953FBB" w14:textId="77777777" w:rsidR="00164B3C" w:rsidRPr="00380B40" w:rsidRDefault="00164B3C" w:rsidP="004E4CA9">
            <w:pPr>
              <w:tabs>
                <w:tab w:val="clear" w:pos="794"/>
                <w:tab w:val="clear" w:pos="1191"/>
                <w:tab w:val="clear" w:pos="1588"/>
                <w:tab w:val="clear" w:pos="1985"/>
              </w:tabs>
              <w:rPr>
                <w:lang w:val="en-GB"/>
              </w:rPr>
            </w:pPr>
            <w:r w:rsidRPr="00380B40">
              <w:rPr>
                <w:lang w:val="en-GB"/>
              </w:rPr>
              <w:t>Telecommunication Standardization Bureau</w:t>
            </w:r>
          </w:p>
        </w:tc>
      </w:tr>
    </w:tbl>
    <w:p w14:paraId="5F8F636D" w14:textId="77777777" w:rsidR="00523689" w:rsidRPr="00380B40" w:rsidRDefault="00523689" w:rsidP="00523689">
      <w:pPr>
        <w:pStyle w:val="Heading1"/>
        <w:rPr>
          <w:lang w:val="en-GB"/>
        </w:rPr>
      </w:pPr>
      <w:bookmarkStart w:id="1913" w:name="_Toc442451661"/>
      <w:bookmarkStart w:id="1914" w:name="_Toc443480284"/>
      <w:bookmarkStart w:id="1915" w:name="_Toc443920875"/>
      <w:bookmarkStart w:id="1916" w:name="_Toc532722295"/>
      <w:bookmarkStart w:id="1917" w:name="_Toc21353422"/>
      <w:bookmarkStart w:id="1918" w:name="_Toc22895152"/>
      <w:bookmarkStart w:id="1919" w:name="_Toc99032394"/>
      <w:bookmarkStart w:id="1920" w:name="_Toc99032657"/>
      <w:bookmarkStart w:id="1921" w:name="_Toc99600392"/>
      <w:bookmarkStart w:id="1922" w:name="_Toc111637044"/>
      <w:r w:rsidRPr="00380B40">
        <w:rPr>
          <w:lang w:val="en-GB"/>
        </w:rPr>
        <w:t>5</w:t>
      </w:r>
      <w:r w:rsidRPr="00380B40">
        <w:rPr>
          <w:lang w:val="en-GB"/>
        </w:rPr>
        <w:tab/>
        <w:t>Conventions</w:t>
      </w:r>
      <w:bookmarkEnd w:id="1913"/>
      <w:bookmarkEnd w:id="1914"/>
      <w:bookmarkEnd w:id="1915"/>
      <w:bookmarkEnd w:id="1916"/>
      <w:bookmarkEnd w:id="1917"/>
      <w:bookmarkEnd w:id="1918"/>
      <w:bookmarkEnd w:id="1919"/>
      <w:bookmarkEnd w:id="1920"/>
      <w:bookmarkEnd w:id="1921"/>
      <w:bookmarkEnd w:id="1922"/>
    </w:p>
    <w:p w14:paraId="1AE62F6E" w14:textId="77777777" w:rsidR="00523689" w:rsidRPr="00380B40" w:rsidRDefault="00523689" w:rsidP="00523689">
      <w:pPr>
        <w:rPr>
          <w:lang w:val="en-GB"/>
        </w:rPr>
      </w:pPr>
      <w:r w:rsidRPr="00380B40">
        <w:rPr>
          <w:lang w:val="en-GB"/>
        </w:rPr>
        <w:t>None.</w:t>
      </w:r>
    </w:p>
    <w:p w14:paraId="0BB658D8" w14:textId="77777777" w:rsidR="00523689" w:rsidRPr="00380B40" w:rsidRDefault="00523689" w:rsidP="00523689">
      <w:pPr>
        <w:pStyle w:val="Heading1"/>
        <w:rPr>
          <w:lang w:val="en-GB"/>
        </w:rPr>
      </w:pPr>
      <w:bookmarkStart w:id="1923" w:name="_Toc357068547"/>
      <w:bookmarkStart w:id="1924" w:name="_Toc6805600"/>
      <w:bookmarkStart w:id="1925" w:name="_Toc442451662"/>
      <w:bookmarkStart w:id="1926" w:name="_Toc443480285"/>
      <w:bookmarkStart w:id="1927" w:name="_Toc443920876"/>
      <w:bookmarkStart w:id="1928" w:name="_Toc532722296"/>
      <w:bookmarkStart w:id="1929" w:name="_Toc21353423"/>
      <w:bookmarkStart w:id="1930" w:name="_Toc22895153"/>
      <w:bookmarkStart w:id="1931" w:name="_Toc99032395"/>
      <w:bookmarkStart w:id="1932" w:name="_Toc99032658"/>
      <w:bookmarkStart w:id="1933" w:name="_Toc99600393"/>
      <w:bookmarkStart w:id="1934" w:name="_Toc111637045"/>
      <w:r w:rsidRPr="00380B40">
        <w:rPr>
          <w:lang w:val="en-GB"/>
        </w:rPr>
        <w:t>6</w:t>
      </w:r>
      <w:r w:rsidRPr="00380B40">
        <w:rPr>
          <w:lang w:val="en-GB"/>
        </w:rPr>
        <w:tab/>
        <w:t>Generic procedures for incorporating text of other organizations in ITU</w:t>
      </w:r>
      <w:r w:rsidRPr="00380B40">
        <w:rPr>
          <w:lang w:val="en-GB"/>
        </w:rPr>
        <w:noBreakHyphen/>
        <w:t xml:space="preserve">T </w:t>
      </w:r>
      <w:bookmarkEnd w:id="1923"/>
      <w:bookmarkEnd w:id="1924"/>
      <w:r w:rsidRPr="00380B40">
        <w:rPr>
          <w:lang w:val="en-GB"/>
        </w:rPr>
        <w:t>documents</w:t>
      </w:r>
      <w:bookmarkEnd w:id="1925"/>
      <w:bookmarkEnd w:id="1926"/>
      <w:bookmarkEnd w:id="1927"/>
      <w:bookmarkEnd w:id="1928"/>
      <w:bookmarkEnd w:id="1929"/>
      <w:bookmarkEnd w:id="1930"/>
      <w:bookmarkEnd w:id="1931"/>
      <w:bookmarkEnd w:id="1932"/>
      <w:bookmarkEnd w:id="1933"/>
      <w:bookmarkEnd w:id="1934"/>
    </w:p>
    <w:p w14:paraId="6D7B0DB0" w14:textId="77777777" w:rsidR="00523689" w:rsidRPr="00380B40" w:rsidRDefault="00523689" w:rsidP="00523689">
      <w:pPr>
        <w:rPr>
          <w:lang w:val="en-GB"/>
        </w:rPr>
      </w:pPr>
      <w:r w:rsidRPr="00380B40">
        <w:rPr>
          <w:lang w:val="en-GB"/>
        </w:rPr>
        <w:t>This clause addresses the process of incorporating text (in whole or in part) from another organization into an ITU</w:t>
      </w:r>
      <w:r w:rsidRPr="00380B40">
        <w:rPr>
          <w:lang w:val="en-GB"/>
        </w:rPr>
        <w:noBreakHyphen/>
        <w:t>T document (see the diagram in Appendix I). This process is expected to be rarely used because ITU</w:t>
      </w:r>
      <w:r w:rsidRPr="00380B40">
        <w:rPr>
          <w:lang w:val="en-GB"/>
        </w:rPr>
        <w:noBreakHyphen/>
        <w:t>T study groups are encouraged to rather use the normative reference process explained in [ITU</w:t>
      </w:r>
      <w:r w:rsidRPr="00380B40">
        <w:rPr>
          <w:lang w:val="en-GB"/>
        </w:rPr>
        <w:noBreakHyphen/>
        <w:t>T A.5].</w:t>
      </w:r>
    </w:p>
    <w:p w14:paraId="24C9141F" w14:textId="77777777" w:rsidR="00523689" w:rsidRPr="00380B40" w:rsidRDefault="00523689" w:rsidP="00523689">
      <w:pPr>
        <w:pStyle w:val="Heading2"/>
        <w:rPr>
          <w:lang w:val="en-GB"/>
        </w:rPr>
      </w:pPr>
      <w:bookmarkStart w:id="1935" w:name="_Toc442451663"/>
      <w:bookmarkStart w:id="1936" w:name="_Toc443480286"/>
      <w:bookmarkStart w:id="1937" w:name="_Toc443920877"/>
      <w:bookmarkStart w:id="1938" w:name="_Toc532722297"/>
      <w:bookmarkStart w:id="1939" w:name="_Toc21353424"/>
      <w:bookmarkStart w:id="1940" w:name="_Toc22895154"/>
      <w:bookmarkStart w:id="1941" w:name="_Toc99032396"/>
      <w:bookmarkStart w:id="1942" w:name="_Toc99032659"/>
      <w:bookmarkStart w:id="1943" w:name="_Toc99600394"/>
      <w:bookmarkStart w:id="1944" w:name="_Toc111637046"/>
      <w:r w:rsidRPr="00380B40">
        <w:rPr>
          <w:lang w:val="en-GB"/>
        </w:rPr>
        <w:t>6.1</w:t>
      </w:r>
      <w:r w:rsidRPr="00380B40">
        <w:rPr>
          <w:lang w:val="en-GB"/>
        </w:rPr>
        <w:tab/>
      </w:r>
      <w:bookmarkEnd w:id="1935"/>
      <w:bookmarkEnd w:id="1936"/>
      <w:bookmarkEnd w:id="1937"/>
      <w:r w:rsidRPr="00380B40">
        <w:rPr>
          <w:lang w:val="en-GB"/>
        </w:rPr>
        <w:t>Process for incorporation</w:t>
      </w:r>
      <w:bookmarkEnd w:id="1938"/>
      <w:bookmarkEnd w:id="1939"/>
      <w:bookmarkEnd w:id="1940"/>
      <w:bookmarkEnd w:id="1941"/>
      <w:bookmarkEnd w:id="1942"/>
      <w:bookmarkEnd w:id="1943"/>
      <w:bookmarkEnd w:id="1944"/>
    </w:p>
    <w:p w14:paraId="5115B46A" w14:textId="77777777" w:rsidR="00523689" w:rsidRPr="00380B40" w:rsidRDefault="00523689" w:rsidP="00523689">
      <w:pPr>
        <w:rPr>
          <w:lang w:val="en-GB"/>
        </w:rPr>
      </w:pPr>
      <w:r w:rsidRPr="00380B40">
        <w:rPr>
          <w:b/>
          <w:lang w:val="en-GB"/>
        </w:rPr>
        <w:t>6.1.1</w:t>
      </w:r>
      <w:r w:rsidRPr="00380B40">
        <w:rPr>
          <w:lang w:val="en-GB"/>
        </w:rPr>
        <w:tab/>
        <w:t>An ITU</w:t>
      </w:r>
      <w:r w:rsidRPr="00380B40">
        <w:rPr>
          <w:lang w:val="en-GB"/>
        </w:rPr>
        <w:noBreakHyphen/>
        <w:t>T study group or ITU</w:t>
      </w:r>
      <w:r w:rsidRPr="00380B40">
        <w:rPr>
          <w:lang w:val="en-GB"/>
        </w:rPr>
        <w:noBreakHyphen/>
        <w:t>T members may identify the need to specifically incorporate text (in whole or in part, with or without modification) from a draft or approved document from another organization within a draft ITU</w:t>
      </w:r>
      <w:r w:rsidRPr="00380B40">
        <w:rPr>
          <w:lang w:val="en-GB"/>
        </w:rPr>
        <w:noBreakHyphen/>
        <w:t>T Recommendation (or another draft ITU</w:t>
      </w:r>
      <w:r w:rsidRPr="00380B40">
        <w:rPr>
          <w:lang w:val="en-GB"/>
        </w:rPr>
        <w:noBreakHyphen/>
        <w:t>T document). The need to incorporate text may also be identified by the organization itself. ITU</w:t>
      </w:r>
      <w:r w:rsidRPr="00380B40">
        <w:rPr>
          <w:lang w:val="en-GB"/>
        </w:rPr>
        <w:noBreakHyphen/>
        <w:t>T study groups are strongly encouraged to incorporate approved text rather than draft text from other organizations and, whenever possible, to incorporate text without modification.</w:t>
      </w:r>
    </w:p>
    <w:p w14:paraId="48B72777" w14:textId="77777777" w:rsidR="00832A81" w:rsidRPr="00380B40" w:rsidRDefault="00832A81" w:rsidP="00523689">
      <w:pPr>
        <w:rPr>
          <w:b/>
          <w:lang w:val="en-GB"/>
        </w:rPr>
      </w:pPr>
      <w:r w:rsidRPr="00380B40">
        <w:rPr>
          <w:b/>
          <w:lang w:val="en-GB"/>
        </w:rPr>
        <w:br w:type="page"/>
      </w:r>
    </w:p>
    <w:p w14:paraId="3571DBB8" w14:textId="77777777" w:rsidR="00523689" w:rsidRPr="00380B40" w:rsidRDefault="00523689" w:rsidP="00523689">
      <w:pPr>
        <w:rPr>
          <w:lang w:val="en-GB"/>
        </w:rPr>
      </w:pPr>
      <w:r w:rsidRPr="00380B40">
        <w:rPr>
          <w:b/>
          <w:lang w:val="en-GB"/>
        </w:rPr>
        <w:t>6.1.2</w:t>
      </w:r>
      <w:r w:rsidRPr="00380B40">
        <w:rPr>
          <w:lang w:val="en-GB"/>
        </w:rPr>
        <w:tab/>
        <w:t>Information to explain why incorporation was chosen over a normative reference should be provided in a TD (or a contribution), as outlined in clauses 6.1.2.1 to 6.1.2.10 (see also Appendix II).</w:t>
      </w:r>
    </w:p>
    <w:p w14:paraId="6C06F35D" w14:textId="77777777" w:rsidR="00523689" w:rsidRPr="00380B40" w:rsidRDefault="00523689" w:rsidP="00523689">
      <w:pPr>
        <w:rPr>
          <w:lang w:val="en-GB"/>
        </w:rPr>
      </w:pPr>
      <w:r w:rsidRPr="00380B40">
        <w:rPr>
          <w:b/>
          <w:bCs/>
          <w:lang w:val="en-GB"/>
        </w:rPr>
        <w:t>6.1.2.1</w:t>
      </w:r>
      <w:r w:rsidRPr="00380B40">
        <w:rPr>
          <w:lang w:val="en-GB"/>
        </w:rPr>
        <w:tab/>
        <w:t>Description of the referenced document (incl. full copy): A clear description of the document considered for incorporation (type of document, title, number, version, date, etc.). (See also clause 6.2.2.)</w:t>
      </w:r>
    </w:p>
    <w:p w14:paraId="61B32899" w14:textId="77777777" w:rsidR="00523689" w:rsidRPr="00380B40" w:rsidRDefault="00523689" w:rsidP="00523689">
      <w:pPr>
        <w:rPr>
          <w:lang w:val="en-GB"/>
        </w:rPr>
      </w:pPr>
      <w:r w:rsidRPr="00380B40">
        <w:rPr>
          <w:b/>
          <w:bCs/>
          <w:lang w:val="en-GB"/>
        </w:rPr>
        <w:t>6.1.2.2</w:t>
      </w:r>
      <w:r w:rsidRPr="00380B40">
        <w:rPr>
          <w:lang w:val="en-GB"/>
        </w:rPr>
        <w:tab/>
        <w:t>Status of approval: Incorporating text that has not yet been approved by the organization can lead to confusion; thus, incorporating is usually limited to approved documents. If absolutely necessary, incorporation of text from a draft document can be made where cooperative work requiring cross-incorporation is being approved by ITU</w:t>
      </w:r>
      <w:r w:rsidRPr="00380B40">
        <w:rPr>
          <w:lang w:val="en-GB"/>
        </w:rPr>
        <w:noBreakHyphen/>
        <w:t>T and another organization in approximately the same time-frame.</w:t>
      </w:r>
    </w:p>
    <w:p w14:paraId="3129727D" w14:textId="77777777" w:rsidR="00523689" w:rsidRPr="00380B40" w:rsidRDefault="00523689" w:rsidP="00523689">
      <w:pPr>
        <w:rPr>
          <w:lang w:val="en-GB"/>
        </w:rPr>
      </w:pPr>
      <w:r w:rsidRPr="00380B40">
        <w:rPr>
          <w:b/>
          <w:bCs/>
          <w:lang w:val="en-GB"/>
        </w:rPr>
        <w:t>6.1.2.3</w:t>
      </w:r>
      <w:r w:rsidRPr="00380B40">
        <w:rPr>
          <w:lang w:val="en-GB"/>
        </w:rPr>
        <w:tab/>
        <w:t>Justification for the specific incorporation, including why it is inappropriate to reference the text in the draft ITU</w:t>
      </w:r>
      <w:r w:rsidRPr="00380B40">
        <w:rPr>
          <w:lang w:val="en-GB"/>
        </w:rPr>
        <w:noBreakHyphen/>
        <w:t>T Recommendation (or other draft ITU</w:t>
      </w:r>
      <w:r w:rsidRPr="00380B40">
        <w:rPr>
          <w:lang w:val="en-GB"/>
        </w:rPr>
        <w:noBreakHyphen/>
        <w:t>T document).</w:t>
      </w:r>
    </w:p>
    <w:p w14:paraId="1E19F762" w14:textId="1DFFCAF9" w:rsidR="00523689" w:rsidRPr="00380B40" w:rsidRDefault="00523689" w:rsidP="00523689">
      <w:pPr>
        <w:rPr>
          <w:lang w:val="en-GB"/>
        </w:rPr>
      </w:pPr>
      <w:r w:rsidRPr="00380B40">
        <w:rPr>
          <w:b/>
          <w:bCs/>
          <w:lang w:val="en-GB"/>
        </w:rPr>
        <w:t>6.1.2.4</w:t>
      </w:r>
      <w:r w:rsidRPr="00380B40">
        <w:rPr>
          <w:lang w:val="en-GB"/>
        </w:rPr>
        <w:tab/>
        <w:t>Intellectual property rights</w:t>
      </w:r>
      <w:r w:rsidR="00840F7A">
        <w:rPr>
          <w:rStyle w:val="FootnoteReference"/>
          <w:lang w:val="en-GB"/>
        </w:rPr>
        <w:footnoteReference w:id="80"/>
      </w:r>
      <w:r w:rsidRPr="00380B40">
        <w:rPr>
          <w:lang w:val="en-GB"/>
        </w:rPr>
        <w:t xml:space="preserve"> (patents, copyrights for software or texts, marks) issues, if any, related and specific to the proposed text for incorporation: See clauses 6.2 and 6.3. Relevant documents should be attached. </w:t>
      </w:r>
    </w:p>
    <w:p w14:paraId="65343980" w14:textId="77777777" w:rsidR="00523689" w:rsidRPr="00380B40" w:rsidRDefault="00523689" w:rsidP="00523689">
      <w:pPr>
        <w:rPr>
          <w:lang w:val="en-GB"/>
        </w:rPr>
      </w:pPr>
      <w:r w:rsidRPr="00380B40">
        <w:rPr>
          <w:b/>
          <w:bCs/>
          <w:lang w:val="en-GB"/>
        </w:rPr>
        <w:t>6.1.2.5</w:t>
      </w:r>
      <w:r w:rsidRPr="00380B40">
        <w:rPr>
          <w:lang w:val="en-GB"/>
        </w:rPr>
        <w:tab/>
        <w:t>Other information that might be useful in describing the "quality" of the document (e.g., whether products have been implemented using it, whether conformance requirements are clear, whether the specification is readily and widely available).</w:t>
      </w:r>
    </w:p>
    <w:p w14:paraId="1F8EC79B" w14:textId="77777777" w:rsidR="00523689" w:rsidRPr="00380B40" w:rsidRDefault="00523689" w:rsidP="00523689">
      <w:pPr>
        <w:rPr>
          <w:lang w:val="en-GB"/>
        </w:rPr>
      </w:pPr>
      <w:r w:rsidRPr="00380B40">
        <w:rPr>
          <w:b/>
          <w:bCs/>
          <w:lang w:val="en-GB"/>
        </w:rPr>
        <w:t>6.1.2.6</w:t>
      </w:r>
      <w:r w:rsidRPr="00380B40">
        <w:rPr>
          <w:lang w:val="en-GB"/>
        </w:rPr>
        <w:tab/>
        <w:t>Degree of stability or maturity of the document (e.g., length of time it has existed).</w:t>
      </w:r>
    </w:p>
    <w:p w14:paraId="438C528F" w14:textId="77777777" w:rsidR="00523689" w:rsidRPr="00380B40" w:rsidRDefault="00523689" w:rsidP="00523689">
      <w:pPr>
        <w:rPr>
          <w:lang w:val="en-GB"/>
        </w:rPr>
      </w:pPr>
      <w:r w:rsidRPr="00380B40">
        <w:rPr>
          <w:b/>
          <w:bCs/>
          <w:lang w:val="en-GB"/>
        </w:rPr>
        <w:t>6.1.2.7</w:t>
      </w:r>
      <w:r w:rsidRPr="00380B40">
        <w:rPr>
          <w:lang w:val="en-GB"/>
        </w:rPr>
        <w:tab/>
        <w:t>Relationship with other existing or emerging documents.</w:t>
      </w:r>
    </w:p>
    <w:p w14:paraId="79481C33" w14:textId="77777777" w:rsidR="00523689" w:rsidRPr="00380B40" w:rsidRDefault="00523689" w:rsidP="00523689">
      <w:pPr>
        <w:rPr>
          <w:lang w:val="en-GB"/>
        </w:rPr>
      </w:pPr>
      <w:r w:rsidRPr="00380B40">
        <w:rPr>
          <w:b/>
          <w:bCs/>
          <w:lang w:val="en-GB"/>
        </w:rPr>
        <w:t>6.1.2.8</w:t>
      </w:r>
      <w:r w:rsidRPr="00380B40">
        <w:rPr>
          <w:lang w:val="en-GB"/>
        </w:rPr>
        <w:tab/>
        <w:t>List of normative references within the incorporated document: All normative references within the incorporated document should be listed (see also clause 6.2.2 c).</w:t>
      </w:r>
    </w:p>
    <w:p w14:paraId="5E6ED214" w14:textId="77777777" w:rsidR="00523689" w:rsidRPr="00380B40" w:rsidRDefault="00523689" w:rsidP="00523689">
      <w:pPr>
        <w:rPr>
          <w:lang w:val="en-GB"/>
        </w:rPr>
      </w:pPr>
      <w:r w:rsidRPr="00380B40">
        <w:rPr>
          <w:b/>
          <w:bCs/>
          <w:lang w:val="en-GB"/>
        </w:rPr>
        <w:t>6.1.2.9</w:t>
      </w:r>
      <w:r w:rsidRPr="00380B40">
        <w:rPr>
          <w:b/>
          <w:bCs/>
          <w:lang w:val="en-GB"/>
        </w:rPr>
        <w:tab/>
      </w:r>
      <w:r w:rsidRPr="00380B40">
        <w:rPr>
          <w:lang w:val="en-GB"/>
        </w:rPr>
        <w:t>Qualification of the organization (per Annex B of [ITU</w:t>
      </w:r>
      <w:r w:rsidRPr="00380B40">
        <w:rPr>
          <w:lang w:val="en-GB"/>
        </w:rPr>
        <w:noBreakHyphen/>
        <w:t>T A.5]): This needs to be done only the first time a document from the organization is being considered for incorporation, and only if such qualification information has not been already documented. Qualification of an organization is reviewed on a regular basis (any study group willing to incorporate a document from the organization may perform the review). In particular, if the patent policy of that organization has changed, it is important to check that the new patent policy is consistent with the Common Patent Policy for ITU</w:t>
      </w:r>
      <w:r w:rsidRPr="00380B40">
        <w:rPr>
          <w:lang w:val="en-GB"/>
        </w:rPr>
        <w:noBreakHyphen/>
        <w:t>T/ITU-R/ISO/IEC and the Guidelines for the Implementation of the Common Patent Policy for ITU</w:t>
      </w:r>
      <w:r w:rsidRPr="00380B40">
        <w:rPr>
          <w:lang w:val="en-GB"/>
        </w:rPr>
        <w:noBreakHyphen/>
        <w:t>T/ITU-R/ISO/IEC.</w:t>
      </w:r>
    </w:p>
    <w:p w14:paraId="5C7E255A" w14:textId="77777777" w:rsidR="00523689" w:rsidRPr="00380B40" w:rsidRDefault="00523689" w:rsidP="00523689">
      <w:pPr>
        <w:pStyle w:val="Note"/>
        <w:rPr>
          <w:lang w:val="en-GB"/>
        </w:rPr>
      </w:pPr>
      <w:r w:rsidRPr="00380B40">
        <w:rPr>
          <w:lang w:val="en-GB"/>
        </w:rPr>
        <w:t>NOTE – In case of a partnership project that is not a legal entity, qualification (per Annex B of [ITU</w:t>
      </w:r>
      <w:r w:rsidRPr="00380B40">
        <w:rPr>
          <w:lang w:val="en-GB"/>
        </w:rPr>
        <w:noBreakHyphen/>
        <w:t>T A.5]) is required for each organization in the partnership project.</w:t>
      </w:r>
    </w:p>
    <w:p w14:paraId="6E6BD099" w14:textId="77777777" w:rsidR="00832A81" w:rsidRPr="00380B40" w:rsidRDefault="00832A81" w:rsidP="00523689">
      <w:pPr>
        <w:rPr>
          <w:b/>
          <w:lang w:val="en-GB"/>
        </w:rPr>
      </w:pPr>
      <w:r w:rsidRPr="00380B40">
        <w:rPr>
          <w:b/>
          <w:lang w:val="en-GB"/>
        </w:rPr>
        <w:br w:type="page"/>
      </w:r>
    </w:p>
    <w:p w14:paraId="392E74CB" w14:textId="77777777" w:rsidR="00523689" w:rsidRPr="00380B40" w:rsidRDefault="00523689" w:rsidP="00523689">
      <w:pPr>
        <w:rPr>
          <w:lang w:val="en-GB"/>
        </w:rPr>
      </w:pPr>
      <w:r w:rsidRPr="00380B40">
        <w:rPr>
          <w:b/>
          <w:lang w:val="en-GB"/>
        </w:rPr>
        <w:t>6.1.2.10</w:t>
      </w:r>
      <w:r w:rsidRPr="00380B40">
        <w:rPr>
          <w:b/>
          <w:lang w:val="en-GB"/>
        </w:rPr>
        <w:tab/>
      </w:r>
      <w:r w:rsidRPr="00380B40">
        <w:rPr>
          <w:b/>
          <w:lang w:val="en-GB"/>
        </w:rPr>
        <w:tab/>
      </w:r>
      <w:r w:rsidRPr="00380B40">
        <w:rPr>
          <w:lang w:val="en-GB"/>
        </w:rPr>
        <w:t>Document maintenance process: Approved Recommendations need to be reviewed and maintained over time. This may require collaborative effort with the other organization. Depending on new agreements reached between the ITU</w:t>
      </w:r>
      <w:r w:rsidRPr="00380B40">
        <w:rPr>
          <w:lang w:val="en-GB"/>
        </w:rPr>
        <w:noBreakHyphen/>
        <w:t>T study group and the other organization, new versions of the incorporated text can be produced by the ITU</w:t>
      </w:r>
      <w:r w:rsidRPr="00380B40">
        <w:rPr>
          <w:lang w:val="en-GB"/>
        </w:rPr>
        <w:noBreakHyphen/>
        <w:t>T study group or by the other organization. Therefore, it shall be clarified if maintenance of the text is a shared responsibility between the ITU</w:t>
      </w:r>
      <w:r w:rsidRPr="00380B40">
        <w:rPr>
          <w:lang w:val="en-GB"/>
        </w:rPr>
        <w:noBreakHyphen/>
        <w:t>T study group and the organization (see [b-ITU</w:t>
      </w:r>
      <w:r w:rsidRPr="00380B40">
        <w:rPr>
          <w:lang w:val="en-GB"/>
        </w:rPr>
        <w:noBreakHyphen/>
        <w:t>T A.Sup5], in particular clause 10), or if the organization is responsible of producing new versions of the incorporated text.</w:t>
      </w:r>
    </w:p>
    <w:p w14:paraId="46436949" w14:textId="77777777" w:rsidR="00523689" w:rsidRPr="00380B40" w:rsidRDefault="00523689" w:rsidP="00523689">
      <w:pPr>
        <w:rPr>
          <w:lang w:val="en-GB"/>
        </w:rPr>
      </w:pPr>
      <w:r w:rsidRPr="00380B40">
        <w:rPr>
          <w:b/>
          <w:lang w:val="en-GB"/>
        </w:rPr>
        <w:t>6.1.3</w:t>
      </w:r>
      <w:r w:rsidRPr="00380B40">
        <w:rPr>
          <w:lang w:val="en-GB"/>
        </w:rPr>
        <w:tab/>
        <w:t>As soon as the documents to be incorporated are received (see clause 6.2.2), they are made available, with the agreement of the study group chairman, and subject to the permission arrangements set out in clause</w:t>
      </w:r>
      <w:r w:rsidR="00CB432A" w:rsidRPr="00380B40">
        <w:rPr>
          <w:lang w:val="en-GB"/>
        </w:rPr>
        <w:t> </w:t>
      </w:r>
      <w:r w:rsidRPr="00380B40">
        <w:rPr>
          <w:lang w:val="en-GB"/>
        </w:rPr>
        <w:t>6.2 and to the copyright arrangements set out in clause 6.3, for advance consideration by the relevant group. They are issued, together with information about them (see clause 6.1.2), as a TD at a study group or working party meeting, normally at least one month before the start of the meeting at which the ITU</w:t>
      </w:r>
      <w:r w:rsidRPr="00380B40">
        <w:rPr>
          <w:lang w:val="en-GB"/>
        </w:rPr>
        <w:noBreakHyphen/>
        <w:t>T Recommendation (or other ITU</w:t>
      </w:r>
      <w:r w:rsidRPr="00380B40">
        <w:rPr>
          <w:lang w:val="en-GB"/>
        </w:rPr>
        <w:noBreakHyphen/>
        <w:t>T document) is planned for determination for TAP consultation, or consent for AAP last call (or agreement). When the other organization is responsible of producing new versions of the text (see clause 6.1.2.10), the draft resulting ITU</w:t>
      </w:r>
      <w:r w:rsidRPr="00380B40">
        <w:rPr>
          <w:lang w:val="en-GB"/>
        </w:rPr>
        <w:noBreakHyphen/>
        <w:t>T Recommendation is notified by a circular at least three months before the start of the meeting at which the Recommendation is planned for determination for TAP consultation or consent for AAP last call.</w:t>
      </w:r>
    </w:p>
    <w:p w14:paraId="232AF1AF" w14:textId="77777777" w:rsidR="00523689" w:rsidRPr="00380B40" w:rsidRDefault="00523689" w:rsidP="00523689">
      <w:pPr>
        <w:rPr>
          <w:lang w:val="en-GB"/>
        </w:rPr>
      </w:pPr>
      <w:r w:rsidRPr="00380B40">
        <w:rPr>
          <w:b/>
          <w:lang w:val="en-GB"/>
        </w:rPr>
        <w:t>6.1.4</w:t>
      </w:r>
      <w:r w:rsidRPr="00380B40">
        <w:rPr>
          <w:lang w:val="en-GB"/>
        </w:rPr>
        <w:tab/>
        <w:t>The study group (or working party) evaluates this information (see clause 6.1.2) and decides whether to make the incorporation. The format for documenting the study group or working party decision is given in Appendix II.</w:t>
      </w:r>
    </w:p>
    <w:p w14:paraId="41868A16" w14:textId="77777777" w:rsidR="00523689" w:rsidRPr="00380B40" w:rsidRDefault="00523689" w:rsidP="00523689">
      <w:pPr>
        <w:rPr>
          <w:lang w:val="en-GB"/>
        </w:rPr>
      </w:pPr>
      <w:bookmarkStart w:id="1945" w:name="_Toc442451665"/>
      <w:bookmarkStart w:id="1946" w:name="_Toc443480288"/>
      <w:bookmarkStart w:id="1947" w:name="_Toc443920879"/>
      <w:r w:rsidRPr="00380B40">
        <w:rPr>
          <w:b/>
          <w:lang w:val="en-GB"/>
        </w:rPr>
        <w:t>6.1.5</w:t>
      </w:r>
      <w:r w:rsidRPr="00380B40">
        <w:rPr>
          <w:lang w:val="en-GB"/>
        </w:rPr>
        <w:tab/>
        <w:t>When an ITU</w:t>
      </w:r>
      <w:r w:rsidRPr="00380B40">
        <w:rPr>
          <w:lang w:val="en-GB"/>
        </w:rPr>
        <w:noBreakHyphen/>
        <w:t xml:space="preserve">T study group decides to incorporate text (in whole or in part, with or without modification) from another </w:t>
      </w:r>
      <w:r w:rsidRPr="00380B40">
        <w:rPr>
          <w:iCs/>
          <w:lang w:val="en-GB"/>
        </w:rPr>
        <w:t>organization in its own document</w:t>
      </w:r>
      <w:r w:rsidRPr="00380B40">
        <w:rPr>
          <w:lang w:val="en-GB"/>
        </w:rPr>
        <w:t>, it notifies the organization about the actions taken concerning this text. The use, acceptance or reproduction of such text by the ITU</w:t>
      </w:r>
      <w:r w:rsidRPr="00380B40">
        <w:rPr>
          <w:lang w:val="en-GB"/>
        </w:rPr>
        <w:noBreakHyphen/>
        <w:t>T study group is subject to the permission arrangements set out in clause 6.2 and to the copyright arrangements set out in clause 6.3.</w:t>
      </w:r>
    </w:p>
    <w:p w14:paraId="616C3AB8" w14:textId="77777777" w:rsidR="00523689" w:rsidRPr="00380B40" w:rsidRDefault="00523689" w:rsidP="00523689">
      <w:pPr>
        <w:rPr>
          <w:lang w:val="en-GB"/>
        </w:rPr>
      </w:pPr>
      <w:r w:rsidRPr="00380B40">
        <w:rPr>
          <w:b/>
          <w:lang w:val="en-GB"/>
        </w:rPr>
        <w:t>6.1.6</w:t>
      </w:r>
      <w:r w:rsidRPr="00380B40">
        <w:rPr>
          <w:lang w:val="en-GB"/>
        </w:rPr>
        <w:tab/>
        <w:t>The resulting ITU</w:t>
      </w:r>
      <w:r w:rsidRPr="00380B40">
        <w:rPr>
          <w:lang w:val="en-GB"/>
        </w:rPr>
        <w:noBreakHyphen/>
        <w:t>T Recommendation (or ITU</w:t>
      </w:r>
      <w:r w:rsidRPr="00380B40">
        <w:rPr>
          <w:lang w:val="en-GB"/>
        </w:rPr>
        <w:noBreakHyphen/>
        <w:t>T document) shall identify the incorporated text, and shall provide a bibliographic reference to the document of the organization and to its particular version. In case the text of another organization is incorporated in whole and without modification, the bibliographic reference in the ITU</w:t>
      </w:r>
      <w:r w:rsidRPr="00380B40">
        <w:rPr>
          <w:lang w:val="en-GB"/>
        </w:rPr>
        <w:noBreakHyphen/>
        <w:t>T Recommendation is followed by a note indicating that the referenced text is technically equivalent to the ITU</w:t>
      </w:r>
      <w:r w:rsidRPr="00380B40">
        <w:rPr>
          <w:lang w:val="en-GB"/>
        </w:rPr>
        <w:noBreakHyphen/>
        <w:t>T Recommendation.</w:t>
      </w:r>
    </w:p>
    <w:p w14:paraId="10157EB0" w14:textId="77777777" w:rsidR="00523689" w:rsidRPr="00380B40" w:rsidRDefault="00523689" w:rsidP="00523689">
      <w:pPr>
        <w:rPr>
          <w:lang w:val="en-GB" w:eastAsia="zh-CN"/>
        </w:rPr>
      </w:pPr>
      <w:r w:rsidRPr="00380B40">
        <w:rPr>
          <w:b/>
          <w:lang w:val="en-GB"/>
        </w:rPr>
        <w:t>6.1.7</w:t>
      </w:r>
      <w:r w:rsidRPr="00380B40">
        <w:rPr>
          <w:lang w:val="en-GB"/>
        </w:rPr>
        <w:tab/>
        <w:t>T</w:t>
      </w:r>
      <w:r w:rsidRPr="00380B40">
        <w:rPr>
          <w:lang w:val="en-GB" w:eastAsia="zh-CN"/>
        </w:rPr>
        <w:t>he cover sheet of the resulting ITU</w:t>
      </w:r>
      <w:r w:rsidRPr="00380B40">
        <w:rPr>
          <w:lang w:val="en-GB" w:eastAsia="zh-CN"/>
        </w:rPr>
        <w:noBreakHyphen/>
        <w:t>T Recommendation will draw the attention of implementers to potential notices of intellectual property received by the other organization as they may also apply to the ITU</w:t>
      </w:r>
      <w:r w:rsidRPr="00380B40">
        <w:rPr>
          <w:lang w:val="en-GB" w:eastAsia="zh-CN"/>
        </w:rPr>
        <w:noBreakHyphen/>
        <w:t>T Recommendation.</w:t>
      </w:r>
    </w:p>
    <w:p w14:paraId="23A9D140" w14:textId="77777777" w:rsidR="00832A81" w:rsidRPr="00380B40" w:rsidRDefault="00832A81" w:rsidP="00523689">
      <w:pPr>
        <w:rPr>
          <w:lang w:val="en-GB" w:eastAsia="zh-CN"/>
        </w:rPr>
      </w:pPr>
      <w:r w:rsidRPr="00380B40">
        <w:rPr>
          <w:lang w:val="en-GB" w:eastAsia="zh-CN"/>
        </w:rPr>
        <w:br w:type="page"/>
      </w:r>
    </w:p>
    <w:p w14:paraId="44CD3747" w14:textId="77777777" w:rsidR="00523689" w:rsidRPr="00380B40" w:rsidRDefault="00523689" w:rsidP="00523689">
      <w:pPr>
        <w:pStyle w:val="Heading2"/>
        <w:rPr>
          <w:lang w:val="en-GB"/>
        </w:rPr>
      </w:pPr>
      <w:bookmarkStart w:id="1948" w:name="_Toc532722298"/>
      <w:bookmarkStart w:id="1949" w:name="_Toc21353425"/>
      <w:bookmarkStart w:id="1950" w:name="_Toc22895155"/>
      <w:bookmarkStart w:id="1951" w:name="_Toc99032397"/>
      <w:bookmarkStart w:id="1952" w:name="_Toc99032660"/>
      <w:bookmarkStart w:id="1953" w:name="_Toc99600395"/>
      <w:bookmarkStart w:id="1954" w:name="_Toc111637047"/>
      <w:r w:rsidRPr="00380B40">
        <w:rPr>
          <w:lang w:val="en-GB"/>
        </w:rPr>
        <w:t>6.2</w:t>
      </w:r>
      <w:r w:rsidRPr="00380B40">
        <w:rPr>
          <w:lang w:val="en-GB"/>
        </w:rPr>
        <w:tab/>
        <w:t>Permission arrangements</w:t>
      </w:r>
      <w:bookmarkEnd w:id="1945"/>
      <w:bookmarkEnd w:id="1946"/>
      <w:bookmarkEnd w:id="1947"/>
      <w:bookmarkEnd w:id="1948"/>
      <w:bookmarkEnd w:id="1949"/>
      <w:bookmarkEnd w:id="1950"/>
      <w:bookmarkEnd w:id="1951"/>
      <w:bookmarkEnd w:id="1952"/>
      <w:bookmarkEnd w:id="1953"/>
      <w:bookmarkEnd w:id="1954"/>
    </w:p>
    <w:p w14:paraId="0FCE6D05" w14:textId="77777777" w:rsidR="00523689" w:rsidRPr="00380B40" w:rsidRDefault="00523689" w:rsidP="00523689">
      <w:pPr>
        <w:keepNext/>
        <w:keepLines/>
        <w:rPr>
          <w:lang w:val="en-GB"/>
        </w:rPr>
      </w:pPr>
      <w:r w:rsidRPr="00380B40">
        <w:rPr>
          <w:b/>
          <w:lang w:val="en-GB"/>
        </w:rPr>
        <w:t>6.2.1</w:t>
      </w:r>
      <w:r w:rsidRPr="00380B40">
        <w:rPr>
          <w:lang w:val="en-GB"/>
        </w:rPr>
        <w:tab/>
        <w:t>At the earliest possible moment (see clause 6.1.3), upon the request of the study group or working party, the Telecommunication Standardization Bureau (TSB) will ensure that the organization (or designated contact point for a joint collaboration arrangement – see clause 7.3 of [ITU</w:t>
      </w:r>
      <w:r w:rsidRPr="00380B40">
        <w:rPr>
          <w:lang w:val="en-GB"/>
        </w:rPr>
        <w:noBreakHyphen/>
        <w:t>T A.5]) has provided a written statement in which it agrees to:</w:t>
      </w:r>
    </w:p>
    <w:p w14:paraId="7D392491" w14:textId="77777777" w:rsidR="00523689" w:rsidRPr="00380B40" w:rsidRDefault="00523689" w:rsidP="00523689">
      <w:pPr>
        <w:pStyle w:val="enumlev1"/>
        <w:rPr>
          <w:lang w:val="en-GB"/>
        </w:rPr>
      </w:pPr>
      <w:r w:rsidRPr="00380B40">
        <w:rPr>
          <w:lang w:val="en-GB"/>
        </w:rPr>
        <w:t>–</w:t>
      </w:r>
      <w:r w:rsidRPr="00380B40">
        <w:rPr>
          <w:lang w:val="en-GB"/>
        </w:rPr>
        <w:tab/>
        <w:t>the distribution of the material for discussions within the appropriate groups, and</w:t>
      </w:r>
    </w:p>
    <w:p w14:paraId="143CC105" w14:textId="77777777" w:rsidR="00523689" w:rsidRPr="00380B40" w:rsidRDefault="00523689" w:rsidP="00523689">
      <w:pPr>
        <w:pStyle w:val="enumlev1"/>
        <w:rPr>
          <w:lang w:val="en-GB"/>
        </w:rPr>
      </w:pPr>
      <w:r w:rsidRPr="00380B40">
        <w:rPr>
          <w:lang w:val="en-GB"/>
        </w:rPr>
        <w:t>–</w:t>
      </w:r>
      <w:r w:rsidRPr="00380B40">
        <w:rPr>
          <w:lang w:val="en-GB"/>
        </w:rPr>
        <w:tab/>
        <w:t>its possible use (in whole or in part, with or without modification) in any resulting ITU</w:t>
      </w:r>
      <w:r w:rsidRPr="00380B40">
        <w:rPr>
          <w:lang w:val="en-GB"/>
        </w:rPr>
        <w:noBreakHyphen/>
        <w:t>T Recommendations (or other ITU</w:t>
      </w:r>
      <w:r w:rsidRPr="00380B40">
        <w:rPr>
          <w:lang w:val="en-GB"/>
        </w:rPr>
        <w:noBreakHyphen/>
        <w:t>T documents) that are published (see [PP Res. 66]).</w:t>
      </w:r>
    </w:p>
    <w:p w14:paraId="79C5977B" w14:textId="77777777" w:rsidR="00523689" w:rsidRPr="00380B40" w:rsidRDefault="00523689" w:rsidP="00523689">
      <w:pPr>
        <w:rPr>
          <w:lang w:val="en-GB"/>
        </w:rPr>
      </w:pPr>
      <w:r w:rsidRPr="00380B40">
        <w:rPr>
          <w:b/>
          <w:bCs/>
          <w:lang w:val="en-GB"/>
        </w:rPr>
        <w:t>6.2.2</w:t>
      </w:r>
      <w:r w:rsidRPr="00380B40" w:rsidDel="0057697A">
        <w:rPr>
          <w:lang w:val="en-GB"/>
        </w:rPr>
        <w:tab/>
      </w:r>
      <w:r w:rsidRPr="00380B40">
        <w:rPr>
          <w:lang w:val="en-GB"/>
        </w:rPr>
        <w:t>TSB will also get from the organization a</w:t>
      </w:r>
      <w:r w:rsidRPr="00380B40" w:rsidDel="0057697A">
        <w:rPr>
          <w:lang w:val="en-GB"/>
        </w:rPr>
        <w:t xml:space="preserve"> full copy of the existing document</w:t>
      </w:r>
      <w:r w:rsidRPr="00380B40">
        <w:rPr>
          <w:lang w:val="en-GB"/>
        </w:rPr>
        <w:t xml:space="preserve">, </w:t>
      </w:r>
      <w:r w:rsidRPr="00380B40" w:rsidDel="0057697A">
        <w:rPr>
          <w:lang w:val="en-GB"/>
        </w:rPr>
        <w:t>preferably in electronic format</w:t>
      </w:r>
      <w:r w:rsidRPr="00380B40">
        <w:rPr>
          <w:lang w:val="en-GB"/>
        </w:rPr>
        <w:t xml:space="preserve"> (see clause 6.1.3)</w:t>
      </w:r>
      <w:r w:rsidRPr="00380B40" w:rsidDel="0057697A">
        <w:rPr>
          <w:lang w:val="en-GB"/>
        </w:rPr>
        <w:t xml:space="preserve">. No reformatting is necessary. The objective is to have referenced documents available via the web at no cost, so that the study group (or working party) may proceed with its evaluation. Accordingly, if a document to be incorporated in whole or in part is available in this manner, it is sufficient to provide its exact location on the web. </w:t>
      </w:r>
      <w:r w:rsidRPr="00380B40">
        <w:rPr>
          <w:lang w:val="en-GB"/>
        </w:rPr>
        <w:t>The document should conform to the following criteria:</w:t>
      </w:r>
    </w:p>
    <w:p w14:paraId="2C515281" w14:textId="77777777" w:rsidR="00523689" w:rsidRPr="00380B40" w:rsidRDefault="00523689" w:rsidP="00523689">
      <w:pPr>
        <w:pStyle w:val="enumlev1"/>
        <w:rPr>
          <w:lang w:val="en-GB"/>
        </w:rPr>
      </w:pPr>
      <w:r w:rsidRPr="00380B40">
        <w:rPr>
          <w:lang w:val="en-GB"/>
        </w:rPr>
        <w:t>a)</w:t>
      </w:r>
      <w:r w:rsidRPr="00380B40">
        <w:rPr>
          <w:lang w:val="en-GB"/>
        </w:rPr>
        <w:tab/>
        <w:t>should contain no confidential information;</w:t>
      </w:r>
    </w:p>
    <w:p w14:paraId="46D6EC6A" w14:textId="77777777" w:rsidR="00523689" w:rsidRPr="00380B40" w:rsidRDefault="00523689" w:rsidP="00523689">
      <w:pPr>
        <w:pStyle w:val="enumlev1"/>
        <w:rPr>
          <w:lang w:val="en-GB"/>
        </w:rPr>
      </w:pPr>
      <w:r w:rsidRPr="00380B40">
        <w:rPr>
          <w:lang w:val="en-GB"/>
        </w:rPr>
        <w:t>b)</w:t>
      </w:r>
      <w:r w:rsidRPr="00380B40">
        <w:rPr>
          <w:lang w:val="en-GB"/>
        </w:rPr>
        <w:tab/>
        <w:t>should indicate the source within the organization (e.g., committee, subcommittee, etc.);</w:t>
      </w:r>
    </w:p>
    <w:p w14:paraId="3E387846" w14:textId="77777777" w:rsidR="00523689" w:rsidRPr="00380B40" w:rsidDel="0057697A" w:rsidRDefault="00523689" w:rsidP="00523689">
      <w:pPr>
        <w:pStyle w:val="enumlev1"/>
        <w:rPr>
          <w:lang w:val="en-GB"/>
        </w:rPr>
      </w:pPr>
      <w:r w:rsidRPr="00380B40">
        <w:rPr>
          <w:lang w:val="en-GB"/>
        </w:rPr>
        <w:t>c)</w:t>
      </w:r>
      <w:r w:rsidRPr="00380B40">
        <w:rPr>
          <w:lang w:val="en-GB"/>
        </w:rPr>
        <w:tab/>
        <w:t>should differentiate between normative references and non-normative references.</w:t>
      </w:r>
    </w:p>
    <w:p w14:paraId="176AE023" w14:textId="77777777" w:rsidR="00523689" w:rsidRPr="00380B40" w:rsidRDefault="00523689" w:rsidP="00523689">
      <w:pPr>
        <w:rPr>
          <w:lang w:val="en-GB" w:eastAsia="zh-CN"/>
        </w:rPr>
      </w:pPr>
      <w:r w:rsidRPr="00380B40">
        <w:rPr>
          <w:b/>
          <w:lang w:val="en-GB"/>
        </w:rPr>
        <w:t>6.2.3</w:t>
      </w:r>
      <w:r w:rsidRPr="00380B40">
        <w:rPr>
          <w:lang w:val="en-GB"/>
        </w:rPr>
        <w:tab/>
      </w:r>
      <w:r w:rsidRPr="00380B40">
        <w:rPr>
          <w:lang w:val="en-GB" w:eastAsia="zh-CN"/>
        </w:rPr>
        <w:t>Should the organization decline to provide such statement or fail to do so, the incorporation shall not be made. In this case, the decision to incorporate the reference (according to [ITU</w:t>
      </w:r>
      <w:r w:rsidRPr="00380B40">
        <w:rPr>
          <w:lang w:val="en-GB" w:eastAsia="zh-CN"/>
        </w:rPr>
        <w:noBreakHyphen/>
        <w:t>T A.5]) instead of the text shall be made by consensus.</w:t>
      </w:r>
    </w:p>
    <w:p w14:paraId="7A2555DC" w14:textId="77777777" w:rsidR="00523689" w:rsidRPr="00380B40" w:rsidRDefault="00523689" w:rsidP="00523689">
      <w:pPr>
        <w:pStyle w:val="Heading2"/>
        <w:rPr>
          <w:lang w:val="en-GB"/>
        </w:rPr>
      </w:pPr>
      <w:bookmarkStart w:id="1955" w:name="_Toc442451666"/>
      <w:bookmarkStart w:id="1956" w:name="_Toc443480289"/>
      <w:bookmarkStart w:id="1957" w:name="_Toc443920880"/>
      <w:bookmarkStart w:id="1958" w:name="_Toc532722299"/>
      <w:bookmarkStart w:id="1959" w:name="_Toc21353426"/>
      <w:bookmarkStart w:id="1960" w:name="_Toc22895156"/>
      <w:bookmarkStart w:id="1961" w:name="_Toc99032398"/>
      <w:bookmarkStart w:id="1962" w:name="_Toc99032661"/>
      <w:bookmarkStart w:id="1963" w:name="_Toc99600396"/>
      <w:bookmarkStart w:id="1964" w:name="_Toc111637048"/>
      <w:r w:rsidRPr="00380B40">
        <w:rPr>
          <w:lang w:val="en-GB"/>
        </w:rPr>
        <w:t>6.3</w:t>
      </w:r>
      <w:r w:rsidRPr="00380B40">
        <w:rPr>
          <w:lang w:val="en-GB"/>
        </w:rPr>
        <w:tab/>
        <w:t>Copyright arrangements</w:t>
      </w:r>
      <w:bookmarkEnd w:id="1955"/>
      <w:bookmarkEnd w:id="1956"/>
      <w:bookmarkEnd w:id="1957"/>
      <w:bookmarkEnd w:id="1958"/>
      <w:bookmarkEnd w:id="1959"/>
      <w:bookmarkEnd w:id="1960"/>
      <w:bookmarkEnd w:id="1961"/>
      <w:bookmarkEnd w:id="1962"/>
      <w:bookmarkEnd w:id="1963"/>
      <w:bookmarkEnd w:id="1964"/>
    </w:p>
    <w:p w14:paraId="055BCD24" w14:textId="77777777" w:rsidR="00523689" w:rsidRPr="00380B40" w:rsidRDefault="00523689" w:rsidP="00523689">
      <w:pPr>
        <w:rPr>
          <w:lang w:val="en-GB"/>
        </w:rPr>
      </w:pPr>
      <w:r w:rsidRPr="00380B40">
        <w:rPr>
          <w:lang w:val="en-GB"/>
        </w:rPr>
        <w:t>The subject of modifications to texts and arrangements for royalty-free copyright licences, including the right to sub-license, for texts accepted by ITU</w:t>
      </w:r>
      <w:r w:rsidRPr="00380B40">
        <w:rPr>
          <w:lang w:val="en-GB"/>
        </w:rPr>
        <w:noBreakHyphen/>
        <w:t>T, is a matter to be agreed upon between TSB and the particular organization. However, the originating organization retains the copyright and change control for its texts, unless explicitly relinquished. (See also clauses 6.1.2.10, 6.1.6 and 6.2.1.)</w:t>
      </w:r>
    </w:p>
    <w:p w14:paraId="2DD98711" w14:textId="77777777" w:rsidR="00832A81" w:rsidRPr="00380B40" w:rsidRDefault="00832A81" w:rsidP="00523689">
      <w:pPr>
        <w:rPr>
          <w:lang w:val="en-GB"/>
        </w:rPr>
      </w:pPr>
      <w:r w:rsidRPr="00380B40">
        <w:rPr>
          <w:lang w:val="en-GB"/>
        </w:rPr>
        <w:br w:type="page"/>
      </w:r>
    </w:p>
    <w:p w14:paraId="0D1F585E" w14:textId="77777777" w:rsidR="00523689" w:rsidRPr="00380B40" w:rsidRDefault="00523689" w:rsidP="00523689">
      <w:pPr>
        <w:pStyle w:val="Heading1"/>
        <w:rPr>
          <w:lang w:val="en-GB"/>
        </w:rPr>
      </w:pPr>
      <w:bookmarkStart w:id="1965" w:name="_Toc442451667"/>
      <w:bookmarkStart w:id="1966" w:name="_Toc443480290"/>
      <w:bookmarkStart w:id="1967" w:name="_Toc443920881"/>
      <w:bookmarkStart w:id="1968" w:name="_Toc532722300"/>
      <w:bookmarkStart w:id="1969" w:name="_Toc21353427"/>
      <w:bookmarkStart w:id="1970" w:name="_Toc22895157"/>
      <w:bookmarkStart w:id="1971" w:name="_Toc99032399"/>
      <w:bookmarkStart w:id="1972" w:name="_Toc99032662"/>
      <w:bookmarkStart w:id="1973" w:name="_Toc99600397"/>
      <w:bookmarkStart w:id="1974" w:name="_Toc111637049"/>
      <w:r w:rsidRPr="00380B40">
        <w:rPr>
          <w:lang w:val="en-GB"/>
        </w:rPr>
        <w:t>7</w:t>
      </w:r>
      <w:r w:rsidRPr="00380B40">
        <w:rPr>
          <w:lang w:val="en-GB"/>
        </w:rPr>
        <w:tab/>
        <w:t>Generic procedures for incorporating text of ITU</w:t>
      </w:r>
      <w:r w:rsidRPr="00380B40">
        <w:rPr>
          <w:lang w:val="en-GB"/>
        </w:rPr>
        <w:noBreakHyphen/>
        <w:t>T documents in the documents of other organizations</w:t>
      </w:r>
      <w:bookmarkEnd w:id="1965"/>
      <w:bookmarkEnd w:id="1966"/>
      <w:bookmarkEnd w:id="1967"/>
      <w:bookmarkEnd w:id="1968"/>
      <w:bookmarkEnd w:id="1969"/>
      <w:bookmarkEnd w:id="1970"/>
      <w:bookmarkEnd w:id="1971"/>
      <w:bookmarkEnd w:id="1972"/>
      <w:bookmarkEnd w:id="1973"/>
      <w:bookmarkEnd w:id="1974"/>
    </w:p>
    <w:p w14:paraId="068DC2AD" w14:textId="77777777" w:rsidR="00523689" w:rsidRPr="00380B40" w:rsidRDefault="00523689" w:rsidP="00523689">
      <w:pPr>
        <w:rPr>
          <w:iCs/>
          <w:lang w:val="en-GB"/>
        </w:rPr>
      </w:pPr>
      <w:r w:rsidRPr="00380B40">
        <w:rPr>
          <w:lang w:val="en-GB"/>
        </w:rPr>
        <w:t>Organizations are strongly encouraged to reference approved ITU</w:t>
      </w:r>
      <w:r w:rsidRPr="00380B40">
        <w:rPr>
          <w:lang w:val="en-GB"/>
        </w:rPr>
        <w:noBreakHyphen/>
        <w:t>T documents as appropriate to progress their work. This clause addresses the process of incorporating text (in whole or in part, with or without modification) from an ITU</w:t>
      </w:r>
      <w:r w:rsidRPr="00380B40">
        <w:rPr>
          <w:lang w:val="en-GB"/>
        </w:rPr>
        <w:noBreakHyphen/>
        <w:t>T document in a document of another organization. This process is expected to be rarely used.</w:t>
      </w:r>
    </w:p>
    <w:p w14:paraId="077226FD" w14:textId="77777777" w:rsidR="00523689" w:rsidRPr="00380B40" w:rsidRDefault="00523689" w:rsidP="00523689">
      <w:pPr>
        <w:pStyle w:val="Heading2"/>
        <w:rPr>
          <w:lang w:val="en-GB"/>
        </w:rPr>
      </w:pPr>
      <w:bookmarkStart w:id="1975" w:name="_Toc442451668"/>
      <w:bookmarkStart w:id="1976" w:name="_Toc443480291"/>
      <w:bookmarkStart w:id="1977" w:name="_Toc443920882"/>
      <w:bookmarkStart w:id="1978" w:name="_Toc532722301"/>
      <w:bookmarkStart w:id="1979" w:name="_Toc21353428"/>
      <w:bookmarkStart w:id="1980" w:name="_Toc22895158"/>
      <w:bookmarkStart w:id="1981" w:name="_Toc99032400"/>
      <w:bookmarkStart w:id="1982" w:name="_Toc99032663"/>
      <w:bookmarkStart w:id="1983" w:name="_Toc99600398"/>
      <w:bookmarkStart w:id="1984" w:name="_Toc111637050"/>
      <w:r w:rsidRPr="00380B40">
        <w:rPr>
          <w:lang w:val="en-GB"/>
        </w:rPr>
        <w:t>7.1</w:t>
      </w:r>
      <w:r w:rsidRPr="00380B40">
        <w:rPr>
          <w:lang w:val="en-GB"/>
        </w:rPr>
        <w:tab/>
        <w:t>Documents sent to other organizations</w:t>
      </w:r>
      <w:bookmarkEnd w:id="1975"/>
      <w:bookmarkEnd w:id="1976"/>
      <w:bookmarkEnd w:id="1977"/>
      <w:bookmarkEnd w:id="1978"/>
      <w:bookmarkEnd w:id="1979"/>
      <w:bookmarkEnd w:id="1980"/>
      <w:bookmarkEnd w:id="1981"/>
      <w:bookmarkEnd w:id="1982"/>
      <w:bookmarkEnd w:id="1983"/>
      <w:bookmarkEnd w:id="1984"/>
    </w:p>
    <w:p w14:paraId="414E7DF8" w14:textId="77777777" w:rsidR="00523689" w:rsidRPr="00380B40" w:rsidRDefault="00523689" w:rsidP="00523689">
      <w:pPr>
        <w:rPr>
          <w:lang w:val="en-GB"/>
        </w:rPr>
      </w:pPr>
      <w:r w:rsidRPr="00380B40">
        <w:rPr>
          <w:b/>
          <w:lang w:val="en-GB"/>
        </w:rPr>
        <w:t>7.1.1</w:t>
      </w:r>
      <w:r w:rsidRPr="00380B40">
        <w:rPr>
          <w:lang w:val="en-GB"/>
        </w:rPr>
        <w:tab/>
        <w:t>An organization may incorporate text (in whole or in part, with or without modification) from a draft or approved ITU</w:t>
      </w:r>
      <w:r w:rsidRPr="00380B40">
        <w:rPr>
          <w:lang w:val="en-GB"/>
        </w:rPr>
        <w:noBreakHyphen/>
        <w:t>T Recommendation (</w:t>
      </w:r>
      <w:r w:rsidRPr="00380B40">
        <w:rPr>
          <w:iCs/>
          <w:lang w:val="en-GB"/>
        </w:rPr>
        <w:t>or of other documents produced by ITU</w:t>
      </w:r>
      <w:r w:rsidRPr="00380B40">
        <w:rPr>
          <w:iCs/>
          <w:lang w:val="en-GB"/>
        </w:rPr>
        <w:noBreakHyphen/>
        <w:t>T</w:t>
      </w:r>
      <w:r w:rsidRPr="00380B40">
        <w:rPr>
          <w:lang w:val="en-GB"/>
        </w:rPr>
        <w:t>), as all or part of the text of its draft document. Organizations are strongly encouraged to incorporate approved text rather than draft text from ITU</w:t>
      </w:r>
      <w:r w:rsidRPr="00380B40">
        <w:rPr>
          <w:lang w:val="en-GB"/>
        </w:rPr>
        <w:noBreakHyphen/>
        <w:t>T and, whenever possible, to incorporate text without modification.</w:t>
      </w:r>
    </w:p>
    <w:p w14:paraId="7B436690" w14:textId="77777777" w:rsidR="00523689" w:rsidRPr="00380B40" w:rsidRDefault="00523689" w:rsidP="00523689">
      <w:pPr>
        <w:rPr>
          <w:lang w:val="en-GB"/>
        </w:rPr>
      </w:pPr>
      <w:r w:rsidRPr="00380B40">
        <w:rPr>
          <w:b/>
          <w:lang w:val="en-GB"/>
        </w:rPr>
        <w:t>7.1.2</w:t>
      </w:r>
      <w:r w:rsidRPr="00380B40">
        <w:rPr>
          <w:lang w:val="en-GB"/>
        </w:rPr>
        <w:tab/>
        <w:t>When an organization decides to accept ITU</w:t>
      </w:r>
      <w:r w:rsidRPr="00380B40">
        <w:rPr>
          <w:lang w:val="en-GB"/>
        </w:rPr>
        <w:noBreakHyphen/>
        <w:t>T text, it notifies TSB about the actions taken concerning this text. The use, acceptance or reproduction of such text by the qualified organization is subject to the permission arrangements set out in clause 7.2 and to the copyright arrangements set out in clause 7.3.</w:t>
      </w:r>
    </w:p>
    <w:p w14:paraId="63C2897D" w14:textId="77777777" w:rsidR="00523689" w:rsidRPr="00380B40" w:rsidRDefault="00523689" w:rsidP="00523689">
      <w:pPr>
        <w:pStyle w:val="Heading2"/>
        <w:rPr>
          <w:lang w:val="en-GB"/>
        </w:rPr>
      </w:pPr>
      <w:bookmarkStart w:id="1985" w:name="_Toc442451669"/>
      <w:bookmarkStart w:id="1986" w:name="_Toc443480292"/>
      <w:bookmarkStart w:id="1987" w:name="_Toc443920883"/>
      <w:bookmarkStart w:id="1988" w:name="_Toc532722302"/>
      <w:bookmarkStart w:id="1989" w:name="_Toc21353429"/>
      <w:bookmarkStart w:id="1990" w:name="_Toc22895159"/>
      <w:bookmarkStart w:id="1991" w:name="_Toc99032401"/>
      <w:bookmarkStart w:id="1992" w:name="_Toc99032664"/>
      <w:bookmarkStart w:id="1993" w:name="_Toc99600399"/>
      <w:bookmarkStart w:id="1994" w:name="_Toc111637051"/>
      <w:r w:rsidRPr="00380B40">
        <w:rPr>
          <w:lang w:val="en-GB"/>
        </w:rPr>
        <w:t>7.2</w:t>
      </w:r>
      <w:r w:rsidRPr="00380B40">
        <w:rPr>
          <w:lang w:val="en-GB"/>
        </w:rPr>
        <w:tab/>
        <w:t>Permission arrangements</w:t>
      </w:r>
      <w:bookmarkEnd w:id="1985"/>
      <w:bookmarkEnd w:id="1986"/>
      <w:bookmarkEnd w:id="1987"/>
      <w:bookmarkEnd w:id="1988"/>
      <w:bookmarkEnd w:id="1989"/>
      <w:bookmarkEnd w:id="1990"/>
      <w:bookmarkEnd w:id="1991"/>
      <w:bookmarkEnd w:id="1992"/>
      <w:bookmarkEnd w:id="1993"/>
      <w:bookmarkEnd w:id="1994"/>
    </w:p>
    <w:p w14:paraId="39215EE5" w14:textId="77777777" w:rsidR="00523689" w:rsidRPr="00380B40" w:rsidRDefault="00523689" w:rsidP="00523689">
      <w:pPr>
        <w:rPr>
          <w:lang w:val="en-GB"/>
        </w:rPr>
      </w:pPr>
      <w:r w:rsidRPr="00380B40">
        <w:rPr>
          <w:b/>
          <w:lang w:val="en-GB"/>
        </w:rPr>
        <w:t>7.2.1</w:t>
      </w:r>
      <w:r w:rsidRPr="00380B40">
        <w:rPr>
          <w:lang w:val="en-GB"/>
        </w:rPr>
        <w:tab/>
        <w:t>At the earliest possible moment, the organization will ensure that the TSB has provided a written statement that it agrees to the distribution of the material for discussions within the appropriate groups and possible use (in whole or in part, with or without modification) in any documents of the organization.</w:t>
      </w:r>
    </w:p>
    <w:p w14:paraId="504252E7" w14:textId="77777777" w:rsidR="00523689" w:rsidRPr="00380B40" w:rsidRDefault="00523689" w:rsidP="00523689">
      <w:pPr>
        <w:rPr>
          <w:lang w:val="en-GB" w:eastAsia="zh-CN"/>
        </w:rPr>
      </w:pPr>
      <w:r w:rsidRPr="00380B40">
        <w:rPr>
          <w:b/>
          <w:lang w:val="en-GB"/>
        </w:rPr>
        <w:t>7.2.2</w:t>
      </w:r>
      <w:r w:rsidRPr="00380B40">
        <w:rPr>
          <w:lang w:val="en-GB"/>
        </w:rPr>
        <w:tab/>
      </w:r>
      <w:r w:rsidRPr="00380B40">
        <w:rPr>
          <w:lang w:val="en-GB" w:eastAsia="zh-CN"/>
        </w:rPr>
        <w:t>Should the ITU decline to provide such statement, or fails to do so, the incorporation shall not be made.</w:t>
      </w:r>
    </w:p>
    <w:p w14:paraId="1B734E59" w14:textId="77777777" w:rsidR="00523689" w:rsidRPr="00380B40" w:rsidRDefault="00523689" w:rsidP="00523689">
      <w:pPr>
        <w:pStyle w:val="Heading2"/>
        <w:rPr>
          <w:lang w:val="en-GB"/>
        </w:rPr>
      </w:pPr>
      <w:bookmarkStart w:id="1995" w:name="_Toc442451670"/>
      <w:bookmarkStart w:id="1996" w:name="_Toc443480293"/>
      <w:bookmarkStart w:id="1997" w:name="_Toc443920884"/>
      <w:bookmarkStart w:id="1998" w:name="_Toc532722303"/>
      <w:bookmarkStart w:id="1999" w:name="_Toc21353430"/>
      <w:bookmarkStart w:id="2000" w:name="_Toc22895160"/>
      <w:bookmarkStart w:id="2001" w:name="_Toc99032402"/>
      <w:bookmarkStart w:id="2002" w:name="_Toc99032665"/>
      <w:bookmarkStart w:id="2003" w:name="_Toc99600400"/>
      <w:bookmarkStart w:id="2004" w:name="_Toc111637052"/>
      <w:r w:rsidRPr="00380B40">
        <w:rPr>
          <w:lang w:val="en-GB"/>
        </w:rPr>
        <w:t>7.3</w:t>
      </w:r>
      <w:r w:rsidRPr="00380B40">
        <w:rPr>
          <w:lang w:val="en-GB"/>
        </w:rPr>
        <w:tab/>
        <w:t>Copyright arrangements</w:t>
      </w:r>
      <w:bookmarkEnd w:id="1995"/>
      <w:bookmarkEnd w:id="1996"/>
      <w:bookmarkEnd w:id="1997"/>
      <w:bookmarkEnd w:id="1998"/>
      <w:bookmarkEnd w:id="1999"/>
      <w:bookmarkEnd w:id="2000"/>
      <w:bookmarkEnd w:id="2001"/>
      <w:bookmarkEnd w:id="2002"/>
      <w:bookmarkEnd w:id="2003"/>
      <w:bookmarkEnd w:id="2004"/>
    </w:p>
    <w:p w14:paraId="31916B6C" w14:textId="77777777" w:rsidR="00523689" w:rsidRPr="00380B40" w:rsidRDefault="00523689" w:rsidP="00523689">
      <w:pPr>
        <w:rPr>
          <w:lang w:val="en-GB"/>
        </w:rPr>
      </w:pPr>
      <w:r w:rsidRPr="00380B40">
        <w:rPr>
          <w:lang w:val="en-GB"/>
        </w:rPr>
        <w:t>The subject of modifications to texts and arrangements for royalty-free copyright licences, including the right to sub-license, for texts accepted by qualified organizations and their publishers and others, is a matter to be agreed upon between TSB and the particular organization. However, the ITU retains the copyright and change control for its texts, unless explicitly relinquished.</w:t>
      </w:r>
    </w:p>
    <w:p w14:paraId="32D2E5D4" w14:textId="77777777" w:rsidR="000902DB" w:rsidRPr="00380B40" w:rsidRDefault="000902DB" w:rsidP="00523689">
      <w:pPr>
        <w:rPr>
          <w:lang w:val="en-GB"/>
        </w:rPr>
      </w:pPr>
    </w:p>
    <w:p w14:paraId="5FC7B674" w14:textId="77777777" w:rsidR="000902DB" w:rsidRPr="00380B40" w:rsidRDefault="000902DB" w:rsidP="00523689">
      <w:pPr>
        <w:rPr>
          <w:lang w:val="en-GB"/>
        </w:rPr>
      </w:pPr>
    </w:p>
    <w:p w14:paraId="0BAF6213" w14:textId="77777777" w:rsidR="000902DB" w:rsidRPr="00380B40" w:rsidRDefault="000902DB" w:rsidP="00523689">
      <w:pPr>
        <w:rPr>
          <w:lang w:val="en-GB"/>
        </w:rPr>
      </w:pPr>
    </w:p>
    <w:p w14:paraId="625235E3" w14:textId="77777777" w:rsidR="000902DB" w:rsidRPr="00380B40" w:rsidRDefault="000902DB" w:rsidP="00523689">
      <w:pPr>
        <w:rPr>
          <w:lang w:val="en-GB"/>
        </w:rPr>
      </w:pPr>
    </w:p>
    <w:p w14:paraId="06EA2E25" w14:textId="77777777" w:rsidR="000902DB" w:rsidRPr="00380B40" w:rsidRDefault="000902DB" w:rsidP="00523689">
      <w:pPr>
        <w:rPr>
          <w:i/>
          <w:lang w:val="en-GB"/>
        </w:rPr>
      </w:pPr>
    </w:p>
    <w:p w14:paraId="60F8EB66" w14:textId="77777777" w:rsidR="00523689" w:rsidRPr="00380B40" w:rsidRDefault="00523689" w:rsidP="00523689">
      <w:pPr>
        <w:rPr>
          <w:lang w:val="en-GB"/>
        </w:rPr>
      </w:pPr>
      <w:r w:rsidRPr="00380B40">
        <w:rPr>
          <w:lang w:val="en-GB"/>
        </w:rPr>
        <w:br w:type="page"/>
      </w:r>
    </w:p>
    <w:p w14:paraId="486B9D78" w14:textId="77777777" w:rsidR="00B66120" w:rsidRPr="00380B40" w:rsidRDefault="00523689" w:rsidP="00B66120">
      <w:pPr>
        <w:pStyle w:val="AppendixNo"/>
      </w:pPr>
      <w:bookmarkStart w:id="2005" w:name="_Toc532722305"/>
      <w:bookmarkStart w:id="2006" w:name="_Toc21353431"/>
      <w:bookmarkStart w:id="2007" w:name="_Toc22895161"/>
      <w:bookmarkStart w:id="2008" w:name="_Toc99032666"/>
      <w:bookmarkStart w:id="2009" w:name="_Toc99600401"/>
      <w:bookmarkStart w:id="2010" w:name="_Toc532722304"/>
      <w:bookmarkStart w:id="2011" w:name="_Toc442451671"/>
      <w:bookmarkStart w:id="2012" w:name="_Toc443480294"/>
      <w:bookmarkStart w:id="2013" w:name="_Toc443920885"/>
      <w:r w:rsidRPr="00380B40">
        <w:t xml:space="preserve">Appendix I </w:t>
      </w:r>
      <w:bookmarkStart w:id="2014" w:name="_Toc99032403"/>
    </w:p>
    <w:p w14:paraId="6384D045" w14:textId="77777777" w:rsidR="00523689" w:rsidRPr="00380B40" w:rsidRDefault="00523689" w:rsidP="00B66120">
      <w:pPr>
        <w:pStyle w:val="Appendixtitle"/>
      </w:pPr>
      <w:r w:rsidRPr="00380B40">
        <w:t>Workflow for incorporating text of another organization</w:t>
      </w:r>
      <w:bookmarkEnd w:id="2005"/>
      <w:bookmarkEnd w:id="2006"/>
      <w:bookmarkEnd w:id="2007"/>
      <w:bookmarkEnd w:id="2008"/>
      <w:bookmarkEnd w:id="2009"/>
      <w:bookmarkEnd w:id="2014"/>
    </w:p>
    <w:p w14:paraId="7936D26F" w14:textId="77777777" w:rsidR="00523689" w:rsidRPr="00380B40" w:rsidRDefault="00523689" w:rsidP="004F4C4C">
      <w:pPr>
        <w:pStyle w:val="Normalcenteraligned"/>
      </w:pPr>
      <w:r w:rsidRPr="00380B40">
        <w:t>(This appendix does not form an integral part of this Recommendation.)</w:t>
      </w:r>
    </w:p>
    <w:p w14:paraId="4733F7B1" w14:textId="77777777" w:rsidR="00523689" w:rsidRPr="00380B40" w:rsidRDefault="00523689" w:rsidP="00523689">
      <w:pPr>
        <w:pStyle w:val="Normalaftertitle"/>
        <w:rPr>
          <w:lang w:val="en-GB"/>
        </w:rPr>
      </w:pPr>
      <w:r w:rsidRPr="00380B40">
        <w:rPr>
          <w:lang w:val="en-GB"/>
        </w:rPr>
        <w:t>Figure I.1 describes the workflow for incorporating text of another organization.</w:t>
      </w:r>
    </w:p>
    <w:p w14:paraId="2FB21572" w14:textId="77777777" w:rsidR="00523689" w:rsidRPr="00380B40" w:rsidRDefault="00523689" w:rsidP="00523689">
      <w:pPr>
        <w:pStyle w:val="Figure"/>
        <w:rPr>
          <w:lang w:val="en-GB"/>
        </w:rPr>
      </w:pPr>
      <w:r w:rsidRPr="00380B40">
        <w:rPr>
          <w:noProof/>
          <w:lang w:val="en-US" w:eastAsia="zh-CN"/>
        </w:rPr>
        <w:drawing>
          <wp:inline distT="0" distB="0" distL="0" distR="0" wp14:anchorId="3F81B309" wp14:editId="796932F4">
            <wp:extent cx="5986284" cy="5733300"/>
            <wp:effectExtent l="0" t="0" r="0" b="1270"/>
            <wp:docPr id="403" name="Picture 10" descr="Figure I.1 – Workflow for incorporating text of anoth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10" descr="Figure I.1 – Workflow for incorporating text of another organization"/>
                    <pic:cNvPicPr/>
                  </pic:nvPicPr>
                  <pic:blipFill>
                    <a:blip r:embed="rId452" cstate="print">
                      <a:extLst>
                        <a:ext uri="{28A0092B-C50C-407E-A947-70E740481C1C}">
                          <a14:useLocalDpi xmlns:a14="http://schemas.microsoft.com/office/drawing/2010/main" val="0"/>
                        </a:ext>
                      </a:extLst>
                    </a:blip>
                    <a:stretch>
                      <a:fillRect/>
                    </a:stretch>
                  </pic:blipFill>
                  <pic:spPr>
                    <a:xfrm>
                      <a:off x="0" y="0"/>
                      <a:ext cx="5986284" cy="5733300"/>
                    </a:xfrm>
                    <a:prstGeom prst="rect">
                      <a:avLst/>
                    </a:prstGeom>
                  </pic:spPr>
                </pic:pic>
              </a:graphicData>
            </a:graphic>
          </wp:inline>
        </w:drawing>
      </w:r>
    </w:p>
    <w:p w14:paraId="7DAA0072" w14:textId="77777777" w:rsidR="00523689" w:rsidRPr="00380B40" w:rsidRDefault="00523689" w:rsidP="00FD3C79">
      <w:pPr>
        <w:pStyle w:val="FigureNoTitle1"/>
      </w:pPr>
      <w:r w:rsidRPr="00380B40">
        <w:t>Figure I.1 – Workflow for incorporating text of another organization</w:t>
      </w:r>
    </w:p>
    <w:p w14:paraId="7DE013E4" w14:textId="77777777" w:rsidR="000902DB" w:rsidRPr="00380B40" w:rsidRDefault="000902DB" w:rsidP="00523689">
      <w:pPr>
        <w:rPr>
          <w:lang w:val="en-GB"/>
        </w:rPr>
      </w:pPr>
    </w:p>
    <w:p w14:paraId="1868030C" w14:textId="77777777" w:rsidR="000902DB" w:rsidRPr="00380B40" w:rsidRDefault="000902DB" w:rsidP="00523689">
      <w:pPr>
        <w:rPr>
          <w:lang w:val="en-GB"/>
        </w:rPr>
      </w:pPr>
    </w:p>
    <w:p w14:paraId="6949A884" w14:textId="77777777" w:rsidR="000902DB" w:rsidRPr="00380B40" w:rsidRDefault="000902DB" w:rsidP="00523689">
      <w:pPr>
        <w:rPr>
          <w:lang w:val="en-GB"/>
        </w:rPr>
      </w:pPr>
    </w:p>
    <w:p w14:paraId="49D2C2E5" w14:textId="77777777" w:rsidR="000902DB" w:rsidRPr="00380B40" w:rsidRDefault="000902DB" w:rsidP="00523689">
      <w:pPr>
        <w:rPr>
          <w:lang w:val="en-GB"/>
        </w:rPr>
      </w:pPr>
    </w:p>
    <w:p w14:paraId="358B9718" w14:textId="77777777" w:rsidR="00523689" w:rsidRPr="00380B40" w:rsidRDefault="00523689" w:rsidP="00523689">
      <w:pPr>
        <w:rPr>
          <w:lang w:val="en-GB"/>
        </w:rPr>
      </w:pPr>
      <w:r w:rsidRPr="00380B40">
        <w:rPr>
          <w:lang w:val="en-GB"/>
        </w:rPr>
        <w:br w:type="page"/>
      </w:r>
    </w:p>
    <w:p w14:paraId="47304DA2" w14:textId="77777777" w:rsidR="00B66120" w:rsidRPr="00380B40" w:rsidRDefault="00523689" w:rsidP="00B66120">
      <w:pPr>
        <w:pStyle w:val="AppendixNo"/>
      </w:pPr>
      <w:bookmarkStart w:id="2015" w:name="_Toc21353432"/>
      <w:bookmarkStart w:id="2016" w:name="_Toc22895162"/>
      <w:bookmarkStart w:id="2017" w:name="_Toc99032667"/>
      <w:bookmarkStart w:id="2018" w:name="_Toc99600402"/>
      <w:r w:rsidRPr="00380B40">
        <w:t xml:space="preserve">Appendix II </w:t>
      </w:r>
      <w:bookmarkStart w:id="2019" w:name="_Toc99032404"/>
    </w:p>
    <w:p w14:paraId="231F187E" w14:textId="77777777" w:rsidR="00523689" w:rsidRPr="00380B40" w:rsidRDefault="00523689" w:rsidP="00B66120">
      <w:pPr>
        <w:pStyle w:val="Appendixtitle"/>
      </w:pPr>
      <w:r w:rsidRPr="00380B40">
        <w:t>Format for documenting a study group or working party decision</w:t>
      </w:r>
      <w:bookmarkEnd w:id="2010"/>
      <w:bookmarkEnd w:id="2015"/>
      <w:bookmarkEnd w:id="2016"/>
      <w:bookmarkEnd w:id="2017"/>
      <w:bookmarkEnd w:id="2018"/>
      <w:bookmarkEnd w:id="2019"/>
    </w:p>
    <w:p w14:paraId="7AFB6F0A" w14:textId="77777777" w:rsidR="00523689" w:rsidRPr="00380B40" w:rsidRDefault="00523689" w:rsidP="004F4C4C">
      <w:pPr>
        <w:pStyle w:val="Normalcenteraligned"/>
      </w:pPr>
      <w:r w:rsidRPr="00380B40">
        <w:t>(This appendix does not form an integral part of this Recommendation.)</w:t>
      </w:r>
    </w:p>
    <w:p w14:paraId="1ADFC799" w14:textId="77777777" w:rsidR="00523689" w:rsidRPr="00380B40" w:rsidRDefault="00523689" w:rsidP="00523689">
      <w:pPr>
        <w:pStyle w:val="Heading2"/>
        <w:rPr>
          <w:lang w:val="en-GB"/>
        </w:rPr>
      </w:pPr>
      <w:bookmarkStart w:id="2020" w:name="_Toc21353433"/>
      <w:bookmarkStart w:id="2021" w:name="_Toc22895163"/>
      <w:bookmarkStart w:id="2022" w:name="_Toc99032405"/>
      <w:bookmarkStart w:id="2023" w:name="_Toc99032668"/>
      <w:bookmarkStart w:id="2024" w:name="_Toc99600403"/>
      <w:bookmarkStart w:id="2025" w:name="_Toc111637053"/>
      <w:r w:rsidRPr="00380B40">
        <w:rPr>
          <w:lang w:val="en-GB"/>
        </w:rPr>
        <w:t>II.1</w:t>
      </w:r>
      <w:r w:rsidRPr="00380B40">
        <w:rPr>
          <w:lang w:val="en-GB"/>
        </w:rPr>
        <w:tab/>
        <w:t>Description of the referenced document (incl. full copy)</w:t>
      </w:r>
      <w:bookmarkEnd w:id="2020"/>
      <w:bookmarkEnd w:id="2021"/>
      <w:bookmarkEnd w:id="2022"/>
      <w:bookmarkEnd w:id="2023"/>
      <w:bookmarkEnd w:id="2024"/>
      <w:bookmarkEnd w:id="2025"/>
    </w:p>
    <w:p w14:paraId="15F900E4" w14:textId="77777777" w:rsidR="00523689" w:rsidRPr="00380B40" w:rsidRDefault="006A0076" w:rsidP="00523689">
      <w:pPr>
        <w:rPr>
          <w:i/>
          <w:lang w:val="en-GB"/>
        </w:rPr>
      </w:pPr>
      <w:sdt>
        <w:sdtPr>
          <w:rPr>
            <w:i/>
            <w:lang w:val="en-GB"/>
          </w:rPr>
          <w:alias w:val="description"/>
          <w:tag w:val="description"/>
          <w:id w:val="552124385"/>
          <w:placeholder>
            <w:docPart w:val="A6FC61A1A85F49489FB3E1C78AB98485"/>
          </w:placeholder>
          <w:showingPlcHdr/>
          <w:text w:multiLine="1"/>
        </w:sdtPr>
        <w:sdtEndPr/>
        <w:sdtContent>
          <w:r w:rsidR="00523689" w:rsidRPr="00380B40">
            <w:rPr>
              <w:i/>
              <w:color w:val="808080"/>
              <w:lang w:val="en-GB"/>
            </w:rPr>
            <w:t>[Insert clear description of the document considered for incorporation, e.g., type of document, title, number, version, date, etc.]</w:t>
          </w:r>
        </w:sdtContent>
      </w:sdt>
    </w:p>
    <w:p w14:paraId="0CA3E92C" w14:textId="77777777" w:rsidR="00523689" w:rsidRPr="00380B40" w:rsidRDefault="006A0076" w:rsidP="00523689">
      <w:pPr>
        <w:tabs>
          <w:tab w:val="clear" w:pos="794"/>
          <w:tab w:val="clear" w:pos="1191"/>
          <w:tab w:val="clear" w:pos="1588"/>
          <w:tab w:val="clear" w:pos="1985"/>
        </w:tabs>
        <w:overflowPunct/>
        <w:textAlignment w:val="auto"/>
        <w:rPr>
          <w:rFonts w:eastAsia="Malgun Gothic"/>
          <w:i/>
          <w:color w:val="000000"/>
          <w:szCs w:val="24"/>
          <w:lang w:val="en-GB" w:eastAsia="zh-CN"/>
        </w:rPr>
      </w:pPr>
      <w:sdt>
        <w:sdtPr>
          <w:rPr>
            <w:i/>
            <w:color w:val="808080"/>
            <w:lang w:val="en-GB"/>
          </w:rPr>
          <w:alias w:val="full copy of text"/>
          <w:tag w:val="full copy of text"/>
          <w:id w:val="1419137022"/>
          <w:text w:multiLine="1"/>
        </w:sdtPr>
        <w:sdtEndPr/>
        <w:sdtContent>
          <w:r w:rsidR="00523689" w:rsidRPr="00380B40">
            <w:rPr>
              <w:i/>
              <w:color w:val="808080"/>
              <w:lang w:val="en-GB"/>
            </w:rPr>
            <w:t>[Insert number of the TD containing the document or URL to the document on the website of the other organization]</w:t>
          </w:r>
        </w:sdtContent>
      </w:sdt>
    </w:p>
    <w:p w14:paraId="0734F542" w14:textId="77777777" w:rsidR="00523689" w:rsidRPr="00380B40" w:rsidRDefault="00523689" w:rsidP="00523689">
      <w:pPr>
        <w:pStyle w:val="Note"/>
        <w:rPr>
          <w:b/>
          <w:lang w:val="en-GB"/>
        </w:rPr>
      </w:pPr>
      <w:r w:rsidRPr="00380B40">
        <w:rPr>
          <w:lang w:val="en-GB"/>
        </w:rPr>
        <w:t>NOTE – No reformatting is necessary. The objective is to have referenced documents available via the web at no cost, so that the study group (or working party) may proceed with its evaluation. Accordingly, if a document to be incorporated in whole or in part is available in this manner, it is sufficient to provide its exact location on the web. On the other hand, if the document is not available in this manner, a full copy must be provided (preferably in electronic format).</w:t>
      </w:r>
    </w:p>
    <w:p w14:paraId="15B1A844" w14:textId="77777777" w:rsidR="00523689" w:rsidRPr="00380B40" w:rsidRDefault="00523689" w:rsidP="00523689">
      <w:pPr>
        <w:pStyle w:val="Heading2"/>
        <w:rPr>
          <w:lang w:val="en-GB"/>
        </w:rPr>
      </w:pPr>
      <w:bookmarkStart w:id="2026" w:name="_Toc21353434"/>
      <w:bookmarkStart w:id="2027" w:name="_Toc22895164"/>
      <w:bookmarkStart w:id="2028" w:name="_Toc99032406"/>
      <w:bookmarkStart w:id="2029" w:name="_Toc99032669"/>
      <w:bookmarkStart w:id="2030" w:name="_Toc99600404"/>
      <w:bookmarkStart w:id="2031" w:name="_Toc111637054"/>
      <w:r w:rsidRPr="00380B40">
        <w:rPr>
          <w:lang w:val="en-GB"/>
        </w:rPr>
        <w:t>II.2</w:t>
      </w:r>
      <w:r w:rsidRPr="00380B40">
        <w:rPr>
          <w:lang w:val="en-GB"/>
        </w:rPr>
        <w:tab/>
        <w:t>Status of approval</w:t>
      </w:r>
      <w:bookmarkEnd w:id="2026"/>
      <w:bookmarkEnd w:id="2027"/>
      <w:bookmarkEnd w:id="2028"/>
      <w:bookmarkEnd w:id="2029"/>
      <w:bookmarkEnd w:id="2030"/>
      <w:bookmarkEnd w:id="2031"/>
    </w:p>
    <w:p w14:paraId="5B90F086" w14:textId="77777777" w:rsidR="00523689" w:rsidRPr="00380B40" w:rsidRDefault="00523689" w:rsidP="00523689">
      <w:pPr>
        <w:pStyle w:val="Note"/>
        <w:rPr>
          <w:b/>
          <w:lang w:val="en-GB"/>
        </w:rPr>
      </w:pPr>
      <w:r w:rsidRPr="00380B40">
        <w:rPr>
          <w:lang w:val="en-GB"/>
        </w:rPr>
        <w:t>NOTE – Incorporating text that has not yet been approved by the organization can lead to confusion; thus, incorporating is usually limited to approved documents. If absolutely necessary, incorporation of text from a draft document can be made where cooperative work requiring cross-incorporation is being approved by ITU</w:t>
      </w:r>
      <w:r w:rsidRPr="00380B40">
        <w:rPr>
          <w:lang w:val="en-GB"/>
        </w:rPr>
        <w:noBreakHyphen/>
        <w:t>T and another organization in approximately the same time-frame.</w:t>
      </w:r>
    </w:p>
    <w:p w14:paraId="62682AE1" w14:textId="77777777" w:rsidR="00523689" w:rsidRPr="00380B40" w:rsidRDefault="006A0076" w:rsidP="00523689">
      <w:pPr>
        <w:spacing w:before="60"/>
        <w:rPr>
          <w:b/>
          <w:lang w:val="en-GB"/>
        </w:rPr>
      </w:pPr>
      <w:sdt>
        <w:sdtPr>
          <w:rPr>
            <w:b/>
            <w:lang w:val="en-GB"/>
          </w:rPr>
          <w:alias w:val="status"/>
          <w:tag w:val="status"/>
          <w:id w:val="6021048"/>
          <w:placeholder>
            <w:docPart w:val="4929DC1ECEFA43D9906F5034A53D52B0"/>
          </w:placeholder>
          <w:showingPlcHdr/>
          <w:dropDownList>
            <w:listItem w:displayText="approved" w:value="approved"/>
            <w:listItem w:displayText="draft" w:value="draft"/>
          </w:dropDownList>
        </w:sdtPr>
        <w:sdtEndPr/>
        <w:sdtContent>
          <w:r w:rsidR="00523689" w:rsidRPr="00380B40">
            <w:rPr>
              <w:bCs/>
              <w:i/>
              <w:color w:val="808080"/>
              <w:lang w:val="en-GB"/>
            </w:rPr>
            <w:t>[Choose status of approval from the drop-down list]</w:t>
          </w:r>
        </w:sdtContent>
      </w:sdt>
    </w:p>
    <w:p w14:paraId="5141F0A6" w14:textId="77777777" w:rsidR="00523689" w:rsidRPr="00380B40" w:rsidRDefault="00523689" w:rsidP="00523689">
      <w:pPr>
        <w:pStyle w:val="Heading2"/>
        <w:rPr>
          <w:lang w:val="en-GB"/>
        </w:rPr>
      </w:pPr>
      <w:bookmarkStart w:id="2032" w:name="_Toc21353435"/>
      <w:bookmarkStart w:id="2033" w:name="_Toc22895165"/>
      <w:bookmarkStart w:id="2034" w:name="_Toc99032407"/>
      <w:bookmarkStart w:id="2035" w:name="_Toc99032670"/>
      <w:bookmarkStart w:id="2036" w:name="_Toc99600405"/>
      <w:bookmarkStart w:id="2037" w:name="_Toc111637055"/>
      <w:r w:rsidRPr="00380B40">
        <w:rPr>
          <w:lang w:val="en-GB"/>
        </w:rPr>
        <w:t>II.3</w:t>
      </w:r>
      <w:r w:rsidRPr="00380B40">
        <w:rPr>
          <w:lang w:val="en-GB"/>
        </w:rPr>
        <w:tab/>
        <w:t>Justification for the specific incorporation</w:t>
      </w:r>
      <w:bookmarkEnd w:id="2032"/>
      <w:bookmarkEnd w:id="2033"/>
      <w:bookmarkEnd w:id="2034"/>
      <w:bookmarkEnd w:id="2035"/>
      <w:bookmarkEnd w:id="2036"/>
      <w:bookmarkEnd w:id="2037"/>
    </w:p>
    <w:p w14:paraId="69B9F442" w14:textId="77777777" w:rsidR="00523689" w:rsidRPr="00380B40" w:rsidRDefault="006A0076" w:rsidP="00523689">
      <w:pPr>
        <w:rPr>
          <w:i/>
          <w:lang w:val="en-GB"/>
        </w:rPr>
      </w:pPr>
      <w:sdt>
        <w:sdtPr>
          <w:rPr>
            <w:i/>
            <w:lang w:val="en-GB"/>
          </w:rPr>
          <w:alias w:val="justification"/>
          <w:tag w:val="justification"/>
          <w:id w:val="27841269"/>
          <w:placeholder>
            <w:docPart w:val="F3A1DCE224614F67BCBA7EDC203E1C65"/>
          </w:placeholder>
          <w:showingPlcHdr/>
          <w:text w:multiLine="1"/>
        </w:sdtPr>
        <w:sdtEndPr/>
        <w:sdtContent>
          <w:r w:rsidR="00523689" w:rsidRPr="00380B40">
            <w:rPr>
              <w:i/>
              <w:color w:val="808080"/>
              <w:lang w:val="en-GB"/>
            </w:rPr>
            <w:t>[Insert justification, including why it is inappropriate to reference the text in the draft ITU-T Recommendation or other draft ITU-T document]</w:t>
          </w:r>
        </w:sdtContent>
      </w:sdt>
    </w:p>
    <w:p w14:paraId="1DDC6DA8" w14:textId="77777777" w:rsidR="00523689" w:rsidRPr="00380B40" w:rsidRDefault="00523689" w:rsidP="00523689">
      <w:pPr>
        <w:pStyle w:val="Heading2"/>
        <w:rPr>
          <w:lang w:val="en-GB"/>
        </w:rPr>
      </w:pPr>
      <w:bookmarkStart w:id="2038" w:name="_Toc21353436"/>
      <w:bookmarkStart w:id="2039" w:name="_Toc22895166"/>
      <w:bookmarkStart w:id="2040" w:name="_Toc99032408"/>
      <w:bookmarkStart w:id="2041" w:name="_Toc99032671"/>
      <w:bookmarkStart w:id="2042" w:name="_Toc99600406"/>
      <w:bookmarkStart w:id="2043" w:name="_Toc111637056"/>
      <w:r w:rsidRPr="00380B40">
        <w:rPr>
          <w:lang w:val="en-GB"/>
        </w:rPr>
        <w:t>II.4</w:t>
      </w:r>
      <w:r w:rsidRPr="00380B40">
        <w:rPr>
          <w:lang w:val="en-GB"/>
        </w:rPr>
        <w:tab/>
        <w:t>Intellectual property rights (patents, copyrights for software or text, marks)</w:t>
      </w:r>
      <w:bookmarkEnd w:id="2038"/>
      <w:bookmarkEnd w:id="2039"/>
      <w:r w:rsidRPr="00380B40">
        <w:rPr>
          <w:lang w:val="en-GB"/>
        </w:rPr>
        <w:t xml:space="preserve"> issues, if any, related to the proposed text for incorporation</w:t>
      </w:r>
      <w:bookmarkEnd w:id="2040"/>
      <w:bookmarkEnd w:id="2041"/>
      <w:bookmarkEnd w:id="2042"/>
      <w:bookmarkEnd w:id="2043"/>
    </w:p>
    <w:p w14:paraId="2C678C2A" w14:textId="77777777" w:rsidR="00523689" w:rsidRPr="00380B40" w:rsidRDefault="006A0076" w:rsidP="00523689">
      <w:pPr>
        <w:rPr>
          <w:color w:val="808080"/>
          <w:lang w:val="en-GB"/>
        </w:rPr>
      </w:pPr>
      <w:sdt>
        <w:sdtPr>
          <w:rPr>
            <w:i/>
            <w:color w:val="808080"/>
            <w:lang w:val="en-GB"/>
          </w:rPr>
          <w:alias w:val="current information"/>
          <w:tag w:val="current information"/>
          <w:id w:val="-1267837275"/>
          <w:text w:multiLine="1"/>
        </w:sdtPr>
        <w:sdtEndPr/>
        <w:sdtContent>
          <w:r w:rsidR="00523689" w:rsidRPr="00380B40">
            <w:rPr>
              <w:i/>
              <w:color w:val="808080"/>
              <w:lang w:val="en-GB"/>
            </w:rPr>
            <w:t>[Insert current information, if any, about patents, copyrights for software or text, marks, etc. Relevant documents should be attached.]</w:t>
          </w:r>
        </w:sdtContent>
      </w:sdt>
    </w:p>
    <w:p w14:paraId="1B7901B3" w14:textId="77777777" w:rsidR="00523689" w:rsidRPr="00380B40" w:rsidRDefault="00523689" w:rsidP="00523689">
      <w:pPr>
        <w:pStyle w:val="Heading2"/>
        <w:rPr>
          <w:lang w:val="en-GB"/>
        </w:rPr>
      </w:pPr>
      <w:bookmarkStart w:id="2044" w:name="_Toc21353437"/>
      <w:bookmarkStart w:id="2045" w:name="_Toc22895167"/>
      <w:bookmarkStart w:id="2046" w:name="_Toc99032409"/>
      <w:bookmarkStart w:id="2047" w:name="_Toc99032672"/>
      <w:bookmarkStart w:id="2048" w:name="_Toc99600407"/>
      <w:bookmarkStart w:id="2049" w:name="_Toc111637057"/>
      <w:r w:rsidRPr="00380B40">
        <w:rPr>
          <w:lang w:val="en-GB"/>
        </w:rPr>
        <w:t>II.5</w:t>
      </w:r>
      <w:r w:rsidRPr="00380B40">
        <w:rPr>
          <w:lang w:val="en-GB"/>
        </w:rPr>
        <w:tab/>
        <w:t>Other information</w:t>
      </w:r>
      <w:bookmarkEnd w:id="2044"/>
      <w:bookmarkEnd w:id="2045"/>
      <w:bookmarkEnd w:id="2046"/>
      <w:bookmarkEnd w:id="2047"/>
      <w:bookmarkEnd w:id="2048"/>
      <w:bookmarkEnd w:id="2049"/>
    </w:p>
    <w:p w14:paraId="0C42ECB9" w14:textId="77777777" w:rsidR="00523689" w:rsidRPr="00380B40" w:rsidRDefault="006A0076" w:rsidP="00523689">
      <w:pPr>
        <w:rPr>
          <w:i/>
          <w:lang w:val="en-GB"/>
        </w:rPr>
      </w:pPr>
      <w:sdt>
        <w:sdtPr>
          <w:rPr>
            <w:i/>
            <w:lang w:val="en-GB"/>
          </w:rPr>
          <w:alias w:val="other information"/>
          <w:tag w:val="other information"/>
          <w:id w:val="-1024163305"/>
          <w:placeholder>
            <w:docPart w:val="BE84678935E24700B80BB1F1E216D1F6"/>
          </w:placeholder>
          <w:showingPlcHdr/>
          <w:text w:multiLine="1"/>
        </w:sdtPr>
        <w:sdtEndPr/>
        <w:sdtContent>
          <w:r w:rsidR="00523689" w:rsidRPr="00380B40">
            <w:rPr>
              <w:i/>
              <w:color w:val="808080"/>
              <w:lang w:val="en-GB"/>
            </w:rPr>
            <w:t>[Insert other information that might be useful in describing the "quality" of the document, e.g., whether products have been implemented using it, whether conformance requirements are clear, whether the specification is readily and widely available]</w:t>
          </w:r>
        </w:sdtContent>
      </w:sdt>
    </w:p>
    <w:p w14:paraId="7E802DA0" w14:textId="77777777" w:rsidR="00523689" w:rsidRPr="00380B40" w:rsidRDefault="00523689" w:rsidP="00523689">
      <w:pPr>
        <w:pStyle w:val="Heading2"/>
        <w:rPr>
          <w:lang w:val="en-GB"/>
        </w:rPr>
      </w:pPr>
      <w:bookmarkStart w:id="2050" w:name="_Toc21353438"/>
      <w:bookmarkStart w:id="2051" w:name="_Toc22895168"/>
      <w:bookmarkStart w:id="2052" w:name="_Toc99032410"/>
      <w:bookmarkStart w:id="2053" w:name="_Toc99032673"/>
      <w:bookmarkStart w:id="2054" w:name="_Toc99600408"/>
      <w:bookmarkStart w:id="2055" w:name="_Toc111637058"/>
      <w:r w:rsidRPr="00380B40">
        <w:rPr>
          <w:lang w:val="en-GB"/>
        </w:rPr>
        <w:t>II.6</w:t>
      </w:r>
      <w:r w:rsidRPr="00380B40">
        <w:rPr>
          <w:lang w:val="en-GB"/>
        </w:rPr>
        <w:tab/>
        <w:t>Stability or maturity of the document</w:t>
      </w:r>
      <w:bookmarkEnd w:id="2050"/>
      <w:bookmarkEnd w:id="2051"/>
      <w:bookmarkEnd w:id="2052"/>
      <w:bookmarkEnd w:id="2053"/>
      <w:bookmarkEnd w:id="2054"/>
      <w:bookmarkEnd w:id="2055"/>
    </w:p>
    <w:p w14:paraId="16634AB7" w14:textId="77777777" w:rsidR="00523689" w:rsidRPr="00380B40" w:rsidRDefault="006A0076" w:rsidP="00523689">
      <w:pPr>
        <w:rPr>
          <w:i/>
          <w:lang w:val="en-GB"/>
        </w:rPr>
      </w:pPr>
      <w:sdt>
        <w:sdtPr>
          <w:rPr>
            <w:i/>
            <w:lang w:val="en-GB"/>
          </w:rPr>
          <w:alias w:val="degree"/>
          <w:tag w:val="degree"/>
          <w:id w:val="57522405"/>
          <w:placeholder>
            <w:docPart w:val="FA78D1CED44A4A50BD41787DABE558E2"/>
          </w:placeholder>
          <w:showingPlcHdr/>
          <w:text w:multiLine="1"/>
        </w:sdtPr>
        <w:sdtEndPr/>
        <w:sdtContent>
          <w:r w:rsidR="00523689" w:rsidRPr="00380B40">
            <w:rPr>
              <w:i/>
              <w:color w:val="808080"/>
              <w:lang w:val="en-GB"/>
            </w:rPr>
            <w:t>[Insert degree of stability or maturity, e.g., length of time it has existed]</w:t>
          </w:r>
        </w:sdtContent>
      </w:sdt>
    </w:p>
    <w:p w14:paraId="7A35FE0F" w14:textId="77777777" w:rsidR="000902DB" w:rsidRPr="00380B40" w:rsidRDefault="000902DB" w:rsidP="00523689">
      <w:pPr>
        <w:pStyle w:val="Heading2"/>
        <w:rPr>
          <w:lang w:val="en-GB"/>
        </w:rPr>
      </w:pPr>
      <w:bookmarkStart w:id="2056" w:name="_Toc21353439"/>
      <w:bookmarkStart w:id="2057" w:name="_Toc22895169"/>
      <w:bookmarkStart w:id="2058" w:name="_Toc99032411"/>
      <w:bookmarkStart w:id="2059" w:name="_Toc99032674"/>
      <w:bookmarkStart w:id="2060" w:name="_Toc99600409"/>
      <w:r w:rsidRPr="00380B40">
        <w:rPr>
          <w:lang w:val="en-GB"/>
        </w:rPr>
        <w:br w:type="page"/>
      </w:r>
    </w:p>
    <w:p w14:paraId="04606C68" w14:textId="77777777" w:rsidR="00523689" w:rsidRPr="00380B40" w:rsidRDefault="00523689" w:rsidP="00523689">
      <w:pPr>
        <w:pStyle w:val="Heading2"/>
        <w:rPr>
          <w:lang w:val="en-GB"/>
        </w:rPr>
      </w:pPr>
      <w:bookmarkStart w:id="2061" w:name="_Toc111637059"/>
      <w:r w:rsidRPr="00380B40">
        <w:rPr>
          <w:lang w:val="en-GB"/>
        </w:rPr>
        <w:t>II.7</w:t>
      </w:r>
      <w:r w:rsidRPr="00380B40">
        <w:rPr>
          <w:lang w:val="en-GB"/>
        </w:rPr>
        <w:tab/>
        <w:t>Relationship with other existing or emerging documents</w:t>
      </w:r>
      <w:bookmarkEnd w:id="2056"/>
      <w:bookmarkEnd w:id="2057"/>
      <w:bookmarkEnd w:id="2058"/>
      <w:bookmarkEnd w:id="2059"/>
      <w:bookmarkEnd w:id="2060"/>
      <w:bookmarkEnd w:id="2061"/>
    </w:p>
    <w:p w14:paraId="022B7514" w14:textId="77777777" w:rsidR="00523689" w:rsidRPr="00380B40" w:rsidRDefault="006A0076" w:rsidP="00523689">
      <w:pPr>
        <w:rPr>
          <w:i/>
          <w:lang w:val="en-GB"/>
        </w:rPr>
      </w:pPr>
      <w:sdt>
        <w:sdtPr>
          <w:rPr>
            <w:i/>
            <w:lang w:val="en-GB"/>
          </w:rPr>
          <w:alias w:val="relationship"/>
          <w:tag w:val="relationship"/>
          <w:id w:val="157199460"/>
          <w:placeholder>
            <w:docPart w:val="05DD5F3591F541FB8572BD038F27EA0A"/>
          </w:placeholder>
          <w:showingPlcHdr/>
          <w:text w:multiLine="1"/>
        </w:sdtPr>
        <w:sdtEndPr/>
        <w:sdtContent>
          <w:r w:rsidR="00523689" w:rsidRPr="00380B40">
            <w:rPr>
              <w:i/>
              <w:color w:val="808080"/>
              <w:lang w:val="en-GB"/>
            </w:rPr>
            <w:t>[Insert relationship]</w:t>
          </w:r>
        </w:sdtContent>
      </w:sdt>
    </w:p>
    <w:p w14:paraId="58372295" w14:textId="77777777" w:rsidR="00523689" w:rsidRPr="00380B40" w:rsidRDefault="00523689" w:rsidP="00523689">
      <w:pPr>
        <w:pStyle w:val="Heading2"/>
        <w:rPr>
          <w:lang w:val="en-GB"/>
        </w:rPr>
      </w:pPr>
      <w:bookmarkStart w:id="2062" w:name="_Toc21353440"/>
      <w:bookmarkStart w:id="2063" w:name="_Toc22895170"/>
      <w:bookmarkStart w:id="2064" w:name="_Toc99032412"/>
      <w:bookmarkStart w:id="2065" w:name="_Toc99032675"/>
      <w:bookmarkStart w:id="2066" w:name="_Toc99600410"/>
      <w:bookmarkStart w:id="2067" w:name="_Toc111637060"/>
      <w:r w:rsidRPr="00380B40">
        <w:rPr>
          <w:lang w:val="en-GB"/>
        </w:rPr>
        <w:t>II.8</w:t>
      </w:r>
      <w:r w:rsidRPr="00380B40">
        <w:rPr>
          <w:lang w:val="en-GB"/>
        </w:rPr>
        <w:tab/>
        <w:t>List of normative references within the incorporated document</w:t>
      </w:r>
      <w:bookmarkEnd w:id="2062"/>
      <w:bookmarkEnd w:id="2063"/>
      <w:bookmarkEnd w:id="2064"/>
      <w:bookmarkEnd w:id="2065"/>
      <w:bookmarkEnd w:id="2066"/>
      <w:bookmarkEnd w:id="2067"/>
    </w:p>
    <w:p w14:paraId="56368F50" w14:textId="77777777" w:rsidR="00523689" w:rsidRPr="00380B40" w:rsidRDefault="00523689" w:rsidP="00523689">
      <w:pPr>
        <w:pStyle w:val="Note"/>
        <w:rPr>
          <w:lang w:val="en-GB"/>
        </w:rPr>
      </w:pPr>
      <w:r w:rsidRPr="00380B40">
        <w:rPr>
          <w:lang w:val="en-GB"/>
        </w:rPr>
        <w:t>NOTE – When text from a document is to be incorporated in an ITU</w:t>
      </w:r>
      <w:r w:rsidRPr="00380B40">
        <w:rPr>
          <w:lang w:val="en-GB"/>
        </w:rPr>
        <w:noBreakHyphen/>
        <w:t>T Recommendation, all normative references within the incorporated document should be listed. The document should differentiate between normative references and non-normative references.</w:t>
      </w:r>
    </w:p>
    <w:p w14:paraId="0624D119" w14:textId="77777777" w:rsidR="00523689" w:rsidRPr="00380B40" w:rsidRDefault="006A0076" w:rsidP="00523689">
      <w:pPr>
        <w:tabs>
          <w:tab w:val="clear" w:pos="794"/>
          <w:tab w:val="clear" w:pos="1191"/>
          <w:tab w:val="clear" w:pos="1588"/>
          <w:tab w:val="clear" w:pos="1985"/>
        </w:tabs>
        <w:overflowPunct/>
        <w:textAlignment w:val="auto"/>
        <w:rPr>
          <w:rFonts w:eastAsia="Malgun Gothic"/>
          <w:i/>
          <w:color w:val="000000"/>
          <w:szCs w:val="24"/>
          <w:lang w:val="en-GB" w:eastAsia="zh-CN"/>
        </w:rPr>
      </w:pPr>
      <w:sdt>
        <w:sdtPr>
          <w:rPr>
            <w:i/>
            <w:color w:val="808080"/>
            <w:lang w:val="en-GB"/>
          </w:rPr>
          <w:alias w:val="explicit references"/>
          <w:tag w:val="explicit references"/>
          <w:id w:val="719484097"/>
          <w:text w:multiLine="1"/>
        </w:sdtPr>
        <w:sdtEndPr/>
        <w:sdtContent>
          <w:r w:rsidR="00523689" w:rsidRPr="00380B40">
            <w:rPr>
              <w:i/>
              <w:color w:val="808080"/>
              <w:lang w:val="en-GB"/>
            </w:rPr>
            <w:t>[List all normative references]</w:t>
          </w:r>
        </w:sdtContent>
      </w:sdt>
    </w:p>
    <w:p w14:paraId="4D76682D" w14:textId="77777777" w:rsidR="00523689" w:rsidRPr="00380B40" w:rsidRDefault="00523689" w:rsidP="00523689">
      <w:pPr>
        <w:pStyle w:val="Heading2"/>
        <w:rPr>
          <w:lang w:val="en-GB"/>
        </w:rPr>
      </w:pPr>
      <w:bookmarkStart w:id="2068" w:name="_Toc21353441"/>
      <w:bookmarkStart w:id="2069" w:name="_Toc22895171"/>
      <w:bookmarkStart w:id="2070" w:name="_Toc99032413"/>
      <w:bookmarkStart w:id="2071" w:name="_Toc99032676"/>
      <w:bookmarkStart w:id="2072" w:name="_Toc99600411"/>
      <w:bookmarkStart w:id="2073" w:name="_Toc111637061"/>
      <w:r w:rsidRPr="00380B40">
        <w:rPr>
          <w:lang w:val="en-GB"/>
        </w:rPr>
        <w:t>II.9</w:t>
      </w:r>
      <w:r w:rsidRPr="00380B40">
        <w:rPr>
          <w:lang w:val="en-GB"/>
        </w:rPr>
        <w:tab/>
        <w:t>Qualification of the organization (per Annex B of [ITU</w:t>
      </w:r>
      <w:r w:rsidRPr="00380B40">
        <w:rPr>
          <w:lang w:val="en-GB"/>
        </w:rPr>
        <w:noBreakHyphen/>
        <w:t>T A.5])</w:t>
      </w:r>
      <w:bookmarkEnd w:id="2068"/>
      <w:bookmarkEnd w:id="2069"/>
      <w:bookmarkEnd w:id="2070"/>
      <w:bookmarkEnd w:id="2071"/>
      <w:bookmarkEnd w:id="2072"/>
      <w:bookmarkEnd w:id="2073"/>
    </w:p>
    <w:p w14:paraId="528753BF" w14:textId="77777777" w:rsidR="00523689" w:rsidRPr="00380B40" w:rsidRDefault="00523689" w:rsidP="00523689">
      <w:pPr>
        <w:pStyle w:val="Note"/>
        <w:rPr>
          <w:b/>
          <w:lang w:val="en-GB"/>
        </w:rPr>
      </w:pPr>
      <w:r w:rsidRPr="00380B40">
        <w:rPr>
          <w:lang w:val="en-GB"/>
        </w:rPr>
        <w:t>NOTE – This needs to be done only the first time a document from the organization is being considered for incorporation, and only if such qualification information has not been already documented. Qualification of an organization is reviewed on a regular basis (any study group willing to incorporate a document from the organization may perform the review). In particular, if the patent policy of that organization has changed, it is important to check that the new patent policy is consistent with the Common Patent Policy for ITU</w:t>
      </w:r>
      <w:r w:rsidRPr="00380B40">
        <w:rPr>
          <w:lang w:val="en-GB"/>
        </w:rPr>
        <w:noBreakHyphen/>
        <w:t>T/ITU</w:t>
      </w:r>
      <w:r w:rsidRPr="00380B40">
        <w:rPr>
          <w:lang w:val="en-GB"/>
        </w:rPr>
        <w:noBreakHyphen/>
        <w:t>R/ISO/IEC and the Guidelines for the Implementation of the Common Patent Policy for ITU</w:t>
      </w:r>
      <w:r w:rsidRPr="00380B40">
        <w:rPr>
          <w:lang w:val="en-GB"/>
        </w:rPr>
        <w:noBreakHyphen/>
        <w:t>T/ITU-R/ISO/IEC. In case of a partnership project that is not a legal entity, qualification (per Annex B of [ITU-T A.5]) is required for each organization in the partnership project.</w:t>
      </w:r>
    </w:p>
    <w:p w14:paraId="2CA4B894" w14:textId="77777777" w:rsidR="00523689" w:rsidRPr="00380B40" w:rsidRDefault="006A0076" w:rsidP="00523689">
      <w:pPr>
        <w:tabs>
          <w:tab w:val="clear" w:pos="794"/>
          <w:tab w:val="clear" w:pos="1191"/>
          <w:tab w:val="clear" w:pos="1588"/>
          <w:tab w:val="clear" w:pos="1985"/>
        </w:tabs>
        <w:overflowPunct/>
        <w:textAlignment w:val="auto"/>
        <w:rPr>
          <w:rFonts w:eastAsia="Malgun Gothic"/>
          <w:i/>
          <w:color w:val="000000"/>
          <w:szCs w:val="24"/>
          <w:lang w:val="en-GB" w:eastAsia="zh-CN"/>
        </w:rPr>
      </w:pPr>
      <w:sdt>
        <w:sdtPr>
          <w:rPr>
            <w:i/>
            <w:color w:val="808080"/>
            <w:lang w:val="en-GB"/>
          </w:rPr>
          <w:alias w:val="A.5 Qualification"/>
          <w:tag w:val="A.5 Qualification"/>
          <w:id w:val="-296844873"/>
          <w:text w:multiLine="1"/>
        </w:sdtPr>
        <w:sdtEndPr/>
        <w:sdtContent>
          <w:r w:rsidR="00523689" w:rsidRPr="00380B40">
            <w:rPr>
              <w:i/>
              <w:color w:val="808080"/>
              <w:lang w:val="en-GB"/>
            </w:rPr>
            <w:t>[Insert number of the TD containing the A.5 qualification of the organization if it is not yet qualified</w:t>
          </w:r>
        </w:sdtContent>
      </w:sdt>
      <w:r w:rsidR="00523689" w:rsidRPr="00380B40">
        <w:rPr>
          <w:i/>
          <w:color w:val="808080"/>
          <w:lang w:val="en-GB"/>
        </w:rPr>
        <w:t>]</w:t>
      </w:r>
    </w:p>
    <w:p w14:paraId="4649D8B6" w14:textId="77777777" w:rsidR="00523689" w:rsidRPr="00380B40" w:rsidRDefault="00523689" w:rsidP="00523689">
      <w:pPr>
        <w:pStyle w:val="Heading2"/>
        <w:rPr>
          <w:lang w:val="en-GB"/>
        </w:rPr>
      </w:pPr>
      <w:bookmarkStart w:id="2074" w:name="_Toc21353442"/>
      <w:bookmarkStart w:id="2075" w:name="_Toc22895172"/>
      <w:bookmarkStart w:id="2076" w:name="_Toc99032414"/>
      <w:bookmarkStart w:id="2077" w:name="_Toc99032677"/>
      <w:bookmarkStart w:id="2078" w:name="_Toc99600412"/>
      <w:bookmarkStart w:id="2079" w:name="_Toc111637062"/>
      <w:r w:rsidRPr="00380B40">
        <w:rPr>
          <w:lang w:val="en-GB"/>
        </w:rPr>
        <w:t>II.10</w:t>
      </w:r>
      <w:r w:rsidRPr="00380B40">
        <w:rPr>
          <w:lang w:val="en-GB"/>
        </w:rPr>
        <w:tab/>
        <w:t>Document maintenance process</w:t>
      </w:r>
      <w:bookmarkEnd w:id="2074"/>
      <w:bookmarkEnd w:id="2075"/>
      <w:bookmarkEnd w:id="2076"/>
      <w:bookmarkEnd w:id="2077"/>
      <w:bookmarkEnd w:id="2078"/>
      <w:bookmarkEnd w:id="2079"/>
    </w:p>
    <w:p w14:paraId="1A0B9AE2" w14:textId="77777777" w:rsidR="00523689" w:rsidRPr="00380B40" w:rsidRDefault="00523689" w:rsidP="00523689">
      <w:pPr>
        <w:pStyle w:val="Note"/>
        <w:rPr>
          <w:b/>
          <w:lang w:val="en-GB"/>
        </w:rPr>
      </w:pPr>
      <w:r w:rsidRPr="00380B40">
        <w:rPr>
          <w:lang w:val="en-GB"/>
        </w:rPr>
        <w:t>NOTE – Approved Recommendations need to be reviewed and maintained over time. This may require collaborative effort with the other organization. Depending on new agreements reached, new versions of the incorporated text can be produced by the ITU</w:t>
      </w:r>
      <w:r w:rsidRPr="00380B40">
        <w:rPr>
          <w:lang w:val="en-GB"/>
        </w:rPr>
        <w:noBreakHyphen/>
        <w:t>T study group or by the other organization. Therefore, it shall be clarified if maintenance of the text is a shared responsibility between the ITU</w:t>
      </w:r>
      <w:r w:rsidRPr="00380B40">
        <w:rPr>
          <w:lang w:val="en-GB"/>
        </w:rPr>
        <w:noBreakHyphen/>
        <w:t>T study group and the organization (see [b-ITU</w:t>
      </w:r>
      <w:r w:rsidRPr="00380B40">
        <w:rPr>
          <w:lang w:val="en-GB"/>
        </w:rPr>
        <w:noBreakHyphen/>
        <w:t>T A.Sup5], in particular clause 10), or if the organization is responsible of producing new versions of the incorporated text.</w:t>
      </w:r>
    </w:p>
    <w:sdt>
      <w:sdtPr>
        <w:rPr>
          <w:i/>
          <w:color w:val="808080"/>
          <w:lang w:val="en-GB"/>
        </w:rPr>
        <w:alias w:val="Maintenance process"/>
        <w:tag w:val="Maintenance process"/>
        <w:id w:val="1256171716"/>
      </w:sdtPr>
      <w:sdtEndPr/>
      <w:sdtContent>
        <w:p w14:paraId="4A417EA2" w14:textId="77777777" w:rsidR="00523689" w:rsidRPr="00380B40" w:rsidRDefault="00523689" w:rsidP="00523689">
          <w:pPr>
            <w:tabs>
              <w:tab w:val="clear" w:pos="794"/>
              <w:tab w:val="clear" w:pos="1191"/>
              <w:tab w:val="clear" w:pos="1588"/>
              <w:tab w:val="clear" w:pos="1985"/>
            </w:tabs>
            <w:overflowPunct/>
            <w:textAlignment w:val="auto"/>
            <w:rPr>
              <w:i/>
              <w:color w:val="808080"/>
              <w:lang w:val="en-GB"/>
            </w:rPr>
          </w:pPr>
          <w:r w:rsidRPr="00380B40">
            <w:rPr>
              <w:i/>
              <w:color w:val="808080"/>
              <w:lang w:val="en-GB"/>
            </w:rPr>
            <w:t>[Describe the maintenance process]</w:t>
          </w:r>
        </w:p>
      </w:sdtContent>
    </w:sdt>
    <w:p w14:paraId="4DA3DEF9" w14:textId="77777777" w:rsidR="000902DB" w:rsidRPr="00380B40" w:rsidRDefault="000902DB" w:rsidP="00523689">
      <w:pPr>
        <w:rPr>
          <w:rFonts w:eastAsiaTheme="minorHAnsi"/>
          <w:lang w:val="en-GB" w:eastAsia="ja-JP"/>
        </w:rPr>
      </w:pPr>
      <w:bookmarkStart w:id="2080" w:name="_Toc532722306"/>
      <w:bookmarkStart w:id="2081" w:name="_Toc21353443"/>
      <w:bookmarkStart w:id="2082" w:name="_Toc22895173"/>
    </w:p>
    <w:p w14:paraId="22ADD34C" w14:textId="77777777" w:rsidR="000902DB" w:rsidRPr="00380B40" w:rsidRDefault="000902DB" w:rsidP="00523689">
      <w:pPr>
        <w:rPr>
          <w:rFonts w:eastAsiaTheme="minorHAnsi"/>
          <w:lang w:val="en-GB" w:eastAsia="ja-JP"/>
        </w:rPr>
      </w:pPr>
    </w:p>
    <w:p w14:paraId="018FC01D" w14:textId="77777777" w:rsidR="000902DB" w:rsidRPr="00380B40" w:rsidRDefault="000902DB" w:rsidP="00523689">
      <w:pPr>
        <w:rPr>
          <w:rFonts w:eastAsiaTheme="minorHAnsi"/>
          <w:lang w:val="en-GB" w:eastAsia="ja-JP"/>
        </w:rPr>
      </w:pPr>
    </w:p>
    <w:p w14:paraId="02C9C02D" w14:textId="77777777" w:rsidR="000902DB" w:rsidRPr="00380B40" w:rsidRDefault="000902DB" w:rsidP="00523689">
      <w:pPr>
        <w:rPr>
          <w:rFonts w:eastAsiaTheme="minorHAnsi"/>
          <w:lang w:val="en-GB" w:eastAsia="ja-JP"/>
        </w:rPr>
      </w:pPr>
    </w:p>
    <w:p w14:paraId="10DE3533" w14:textId="77777777" w:rsidR="000902DB" w:rsidRPr="00380B40" w:rsidRDefault="000902DB" w:rsidP="00523689">
      <w:pPr>
        <w:rPr>
          <w:rFonts w:eastAsiaTheme="minorHAnsi"/>
          <w:lang w:val="en-GB" w:eastAsia="ja-JP"/>
        </w:rPr>
      </w:pPr>
    </w:p>
    <w:p w14:paraId="37ABA301" w14:textId="77777777" w:rsidR="000902DB" w:rsidRPr="00380B40" w:rsidRDefault="000902DB" w:rsidP="00523689">
      <w:pPr>
        <w:rPr>
          <w:rFonts w:eastAsiaTheme="minorHAnsi"/>
          <w:lang w:val="en-GB" w:eastAsia="ja-JP"/>
        </w:rPr>
      </w:pPr>
    </w:p>
    <w:p w14:paraId="4E9934C4" w14:textId="77777777" w:rsidR="000902DB" w:rsidRPr="00380B40" w:rsidRDefault="000902DB" w:rsidP="00523689">
      <w:pPr>
        <w:rPr>
          <w:rFonts w:eastAsiaTheme="minorHAnsi"/>
          <w:lang w:val="en-GB" w:eastAsia="ja-JP"/>
        </w:rPr>
      </w:pPr>
    </w:p>
    <w:p w14:paraId="668A2BCD" w14:textId="77777777" w:rsidR="00523689" w:rsidRPr="00380B40" w:rsidRDefault="00523689" w:rsidP="00523689">
      <w:pPr>
        <w:rPr>
          <w:rFonts w:eastAsiaTheme="minorHAnsi"/>
          <w:lang w:val="en-GB" w:eastAsia="ja-JP"/>
        </w:rPr>
      </w:pPr>
      <w:r w:rsidRPr="00380B40">
        <w:rPr>
          <w:rFonts w:eastAsiaTheme="minorHAnsi"/>
          <w:lang w:val="en-GB" w:eastAsia="ja-JP"/>
        </w:rPr>
        <w:br w:type="page"/>
      </w:r>
    </w:p>
    <w:p w14:paraId="5DBF4730" w14:textId="77777777" w:rsidR="00523689" w:rsidRPr="00380B40" w:rsidRDefault="00523689" w:rsidP="00523689">
      <w:pPr>
        <w:pStyle w:val="AppendixNoTitle"/>
        <w:rPr>
          <w:rFonts w:eastAsiaTheme="minorHAnsi"/>
          <w:lang w:val="en-GB" w:eastAsia="ja-JP"/>
        </w:rPr>
      </w:pPr>
      <w:bookmarkStart w:id="2083" w:name="_Toc99032415"/>
      <w:bookmarkStart w:id="2084" w:name="_Toc99032678"/>
      <w:bookmarkStart w:id="2085" w:name="_Toc99600413"/>
      <w:bookmarkStart w:id="2086" w:name="_Toc111637063"/>
      <w:r w:rsidRPr="00380B40">
        <w:rPr>
          <w:rFonts w:eastAsiaTheme="minorHAnsi"/>
          <w:lang w:val="en-GB" w:eastAsia="ja-JP"/>
        </w:rPr>
        <w:t>Bibliography</w:t>
      </w:r>
      <w:bookmarkEnd w:id="2011"/>
      <w:bookmarkEnd w:id="2012"/>
      <w:bookmarkEnd w:id="2013"/>
      <w:bookmarkEnd w:id="2080"/>
      <w:bookmarkEnd w:id="2081"/>
      <w:bookmarkEnd w:id="2082"/>
      <w:bookmarkEnd w:id="2083"/>
      <w:bookmarkEnd w:id="2084"/>
      <w:bookmarkEnd w:id="2085"/>
      <w:bookmarkEnd w:id="2086"/>
    </w:p>
    <w:p w14:paraId="0E1AF5F9" w14:textId="77777777" w:rsidR="00607675" w:rsidRPr="00380B40" w:rsidRDefault="00607675" w:rsidP="00607675">
      <w:pPr>
        <w:rPr>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0"/>
        <w:gridCol w:w="7669"/>
      </w:tblGrid>
      <w:tr w:rsidR="00607675" w:rsidRPr="004E0F36" w14:paraId="77B868C1" w14:textId="77777777" w:rsidTr="00C91A38">
        <w:tc>
          <w:tcPr>
            <w:tcW w:w="1022" w:type="pct"/>
          </w:tcPr>
          <w:p w14:paraId="3B5B1CC3" w14:textId="77777777" w:rsidR="00607675" w:rsidRPr="00380B40" w:rsidRDefault="00607675" w:rsidP="004E4CA9">
            <w:pPr>
              <w:jc w:val="left"/>
              <w:rPr>
                <w:lang w:val="en-GB"/>
              </w:rPr>
            </w:pPr>
            <w:r w:rsidRPr="00380B40">
              <w:rPr>
                <w:rFonts w:eastAsia="Batang"/>
                <w:lang w:val="en-GB"/>
              </w:rPr>
              <w:t>[b-ITU</w:t>
            </w:r>
            <w:r w:rsidRPr="00380B40">
              <w:rPr>
                <w:rFonts w:eastAsia="Batang"/>
                <w:lang w:val="en-GB"/>
              </w:rPr>
              <w:noBreakHyphen/>
              <w:t>T A.1]</w:t>
            </w:r>
          </w:p>
        </w:tc>
        <w:tc>
          <w:tcPr>
            <w:tcW w:w="3978" w:type="pct"/>
          </w:tcPr>
          <w:p w14:paraId="316B2D5F" w14:textId="77777777" w:rsidR="00607675" w:rsidRPr="00380B40" w:rsidRDefault="00607675" w:rsidP="007E40EA">
            <w:pPr>
              <w:rPr>
                <w:lang w:val="en-US"/>
              </w:rPr>
            </w:pPr>
            <w:r w:rsidRPr="00380B40">
              <w:rPr>
                <w:lang w:val="en-US"/>
              </w:rPr>
              <w:t>Recommendation ITU</w:t>
            </w:r>
            <w:r w:rsidRPr="00380B40">
              <w:rPr>
                <w:lang w:val="en-US"/>
              </w:rPr>
              <w:noBreakHyphen/>
              <w:t xml:space="preserve">T A.1 (2019), </w:t>
            </w:r>
            <w:r w:rsidRPr="00380B40">
              <w:rPr>
                <w:i/>
                <w:iCs/>
                <w:lang w:val="en-US"/>
              </w:rPr>
              <w:t>Working methods for study groups of the ITU Telecommunication Standardization Sector</w:t>
            </w:r>
            <w:r w:rsidRPr="00380B40">
              <w:rPr>
                <w:lang w:val="en-US"/>
              </w:rPr>
              <w:t>.</w:t>
            </w:r>
          </w:p>
        </w:tc>
      </w:tr>
      <w:tr w:rsidR="00607675" w:rsidRPr="004E0F36" w14:paraId="20BDE655" w14:textId="77777777" w:rsidTr="00C91A38">
        <w:tc>
          <w:tcPr>
            <w:tcW w:w="1022" w:type="pct"/>
          </w:tcPr>
          <w:p w14:paraId="7897ACBF" w14:textId="77777777" w:rsidR="00607675" w:rsidRPr="00380B40" w:rsidRDefault="00607675" w:rsidP="004E4CA9">
            <w:pPr>
              <w:jc w:val="left"/>
              <w:rPr>
                <w:lang w:val="en-GB"/>
              </w:rPr>
            </w:pPr>
            <w:r w:rsidRPr="00380B40">
              <w:rPr>
                <w:rFonts w:eastAsia="Batang"/>
                <w:lang w:val="en-GB"/>
              </w:rPr>
              <w:t>[b-ITU</w:t>
            </w:r>
            <w:r w:rsidRPr="00380B40">
              <w:rPr>
                <w:rFonts w:eastAsia="Batang"/>
                <w:lang w:val="en-GB"/>
              </w:rPr>
              <w:noBreakHyphen/>
              <w:t>T A.Sup5]</w:t>
            </w:r>
          </w:p>
        </w:tc>
        <w:tc>
          <w:tcPr>
            <w:tcW w:w="3978" w:type="pct"/>
          </w:tcPr>
          <w:p w14:paraId="6DCB064F" w14:textId="77777777" w:rsidR="00607675" w:rsidRPr="00380B40" w:rsidRDefault="00607675" w:rsidP="007E40EA">
            <w:pPr>
              <w:rPr>
                <w:lang w:val="en-US"/>
              </w:rPr>
            </w:pPr>
            <w:r w:rsidRPr="00380B40">
              <w:rPr>
                <w:lang w:val="en-US"/>
              </w:rPr>
              <w:t>ITU</w:t>
            </w:r>
            <w:r w:rsidRPr="00380B40">
              <w:rPr>
                <w:lang w:val="en-US"/>
              </w:rPr>
              <w:noBreakHyphen/>
              <w:t xml:space="preserve">T A-series Recommendations – Supplement 5 (2016), </w:t>
            </w:r>
            <w:r w:rsidRPr="00380B40">
              <w:rPr>
                <w:i/>
                <w:iCs/>
                <w:lang w:val="en-US"/>
              </w:rPr>
              <w:t>Guidelines for collaboration and exchange of information with other organizations</w:t>
            </w:r>
            <w:r w:rsidRPr="00380B40">
              <w:rPr>
                <w:lang w:val="en-US"/>
              </w:rPr>
              <w:t>.</w:t>
            </w:r>
          </w:p>
        </w:tc>
      </w:tr>
    </w:tbl>
    <w:p w14:paraId="303A186E" w14:textId="77777777" w:rsidR="00607675" w:rsidRPr="00380B40" w:rsidRDefault="00607675" w:rsidP="00607675">
      <w:pPr>
        <w:rPr>
          <w:lang w:val="en-GB"/>
        </w:rPr>
      </w:pPr>
    </w:p>
    <w:p w14:paraId="3FC80DBA" w14:textId="77777777" w:rsidR="007D3773" w:rsidRPr="00380B40"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78C36345" w14:textId="77777777" w:rsidR="007D3773" w:rsidRPr="00380B40"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7AC451F0" w14:textId="77777777" w:rsidR="007D3773" w:rsidRPr="00380B40"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58885866" w14:textId="77777777" w:rsidR="007D3773" w:rsidRPr="00380B40"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01B436C5" w14:textId="77777777" w:rsidR="007D3773" w:rsidRPr="00380B40"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79A5E4C0" w14:textId="77777777" w:rsidR="007D3773" w:rsidRPr="00380B40"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6C459B00" w14:textId="12A1C12F"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627CD70D" w14:textId="443526C5" w:rsidR="00AE3066" w:rsidRDefault="00AE3066"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461D2264" w14:textId="70B66CA6" w:rsidR="00AE3066" w:rsidRDefault="00AE3066"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217304AF" w14:textId="6EC994AD" w:rsidR="00AE3066" w:rsidRDefault="00AE3066"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46599B65" w14:textId="0BB48287" w:rsidR="00AE3066" w:rsidRDefault="00AE3066"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27002A18" w14:textId="36B0D629" w:rsidR="00AE3066" w:rsidRDefault="00AE3066"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3914B218" w14:textId="462FC1BF" w:rsidR="00AE3066" w:rsidRDefault="00AE3066"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31289F5E" w14:textId="4ABBCA88" w:rsidR="00AE3066" w:rsidRDefault="00AE3066"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215598FA" w14:textId="77777777" w:rsidR="00AE3066" w:rsidRPr="00380B40" w:rsidRDefault="00AE3066"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45584C81" w14:textId="77777777" w:rsidR="007D3773" w:rsidRPr="00380B40"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677BD44B" w14:textId="77777777" w:rsidR="007D3773" w:rsidRPr="00380B40"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148C1C83" w14:textId="77777777" w:rsidR="007D3773" w:rsidRPr="00380B40"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5E2E8A35" w14:textId="77777777" w:rsidR="007D3773" w:rsidRPr="00380B40"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3A78EB12" w14:textId="77777777" w:rsidR="007D3773" w:rsidRPr="00380B40"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4BDEE6E2" w14:textId="77777777" w:rsidR="007D3773" w:rsidRPr="00380B40"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414C41AB" w14:textId="77777777" w:rsidR="007D3773" w:rsidRPr="00380B40"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25802799" w14:textId="77777777" w:rsidR="007D3773" w:rsidRPr="00380B40"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407BD054" w14:textId="77777777" w:rsidR="007E52B2" w:rsidRPr="00380B40" w:rsidRDefault="007E52B2" w:rsidP="008C3E8D">
      <w:pPr>
        <w:rPr>
          <w:rFonts w:eastAsia="Batang"/>
          <w:lang w:val="en-GB"/>
        </w:rPr>
      </w:pPr>
    </w:p>
    <w:p w14:paraId="68F405BF" w14:textId="77777777" w:rsidR="007E52B2" w:rsidRPr="00380B40" w:rsidRDefault="007E52B2" w:rsidP="008C3E8D">
      <w:pPr>
        <w:rPr>
          <w:rFonts w:eastAsia="Batang"/>
          <w:lang w:val="en-GB"/>
        </w:rPr>
        <w:sectPr w:rsidR="007E52B2" w:rsidRPr="00380B40" w:rsidSect="00944265">
          <w:headerReference w:type="even" r:id="rId453"/>
          <w:headerReference w:type="default" r:id="rId454"/>
          <w:footerReference w:type="even" r:id="rId455"/>
          <w:footerReference w:type="default" r:id="rId456"/>
          <w:footnotePr>
            <w:numRestart w:val="eachSect"/>
          </w:footnotePr>
          <w:pgSz w:w="11907" w:h="16840" w:code="9"/>
          <w:pgMar w:top="1134" w:right="1134" w:bottom="1134" w:left="1134" w:header="567" w:footer="567" w:gutter="0"/>
          <w:paperSrc w:first="15" w:other="15"/>
          <w:cols w:space="720"/>
          <w:vAlign w:val="both"/>
          <w:docGrid w:linePitch="326"/>
        </w:sectPr>
      </w:pPr>
    </w:p>
    <w:p w14:paraId="748D6B6B" w14:textId="77777777" w:rsidR="007E52B2" w:rsidRPr="00380B40" w:rsidRDefault="007E52B2" w:rsidP="008C3E8D">
      <w:pPr>
        <w:pStyle w:val="RecNo"/>
        <w:rPr>
          <w:lang w:val="en-GB"/>
        </w:rPr>
      </w:pPr>
      <w:bookmarkStart w:id="2087" w:name="_Toc104459837"/>
      <w:bookmarkStart w:id="2088" w:name="_Toc111637064"/>
      <w:bookmarkStart w:id="2089" w:name="_Toc111638546"/>
      <w:bookmarkStart w:id="2090" w:name="_Toc206154692"/>
      <w:bookmarkStart w:id="2091" w:name="_Toc206731885"/>
      <w:r w:rsidRPr="00380B40">
        <w:rPr>
          <w:lang w:val="en-GB"/>
        </w:rPr>
        <w:t xml:space="preserve">Recommendation ITU-T </w:t>
      </w:r>
      <w:r w:rsidRPr="00380B40">
        <w:rPr>
          <w:rStyle w:val="href"/>
          <w:lang w:val="en-GB"/>
        </w:rPr>
        <w:t>A.31</w:t>
      </w:r>
      <w:bookmarkEnd w:id="2087"/>
      <w:bookmarkEnd w:id="2088"/>
      <w:bookmarkEnd w:id="2089"/>
    </w:p>
    <w:p w14:paraId="705ECB73" w14:textId="77777777" w:rsidR="00523689" w:rsidRPr="00380B40" w:rsidRDefault="00523689" w:rsidP="00523689">
      <w:pPr>
        <w:pStyle w:val="Rectitle"/>
        <w:rPr>
          <w:lang w:val="en-GB"/>
        </w:rPr>
      </w:pPr>
      <w:bookmarkStart w:id="2092" w:name="_Toc104459838"/>
      <w:bookmarkStart w:id="2093" w:name="_Toc111638547"/>
      <w:bookmarkEnd w:id="2090"/>
      <w:bookmarkEnd w:id="2091"/>
      <w:r w:rsidRPr="00380B40">
        <w:rPr>
          <w:lang w:val="en-GB"/>
        </w:rPr>
        <w:t xml:space="preserve">Guidelines and coordination requirements </w:t>
      </w:r>
      <w:r w:rsidRPr="00380B40">
        <w:rPr>
          <w:lang w:val="en-GB"/>
        </w:rPr>
        <w:br/>
        <w:t>for the organization of ITU-T workshops and seminars</w:t>
      </w:r>
      <w:bookmarkEnd w:id="2092"/>
      <w:bookmarkEnd w:id="2093"/>
    </w:p>
    <w:p w14:paraId="7FAFE40C" w14:textId="77777777" w:rsidR="00523689" w:rsidRPr="00380B40" w:rsidRDefault="00523689" w:rsidP="00523689">
      <w:pPr>
        <w:pStyle w:val="Recref"/>
        <w:rPr>
          <w:lang w:val="en-GB"/>
        </w:rPr>
      </w:pPr>
      <w:r w:rsidRPr="00380B40">
        <w:rPr>
          <w:lang w:val="en-GB"/>
        </w:rPr>
        <w:t>(2008)</w:t>
      </w:r>
    </w:p>
    <w:p w14:paraId="19CCA882" w14:textId="77777777" w:rsidR="00523689" w:rsidRPr="00380B40" w:rsidRDefault="00523689" w:rsidP="00523689">
      <w:pPr>
        <w:pStyle w:val="Heading1"/>
        <w:rPr>
          <w:lang w:val="en-GB"/>
        </w:rPr>
      </w:pPr>
      <w:bookmarkStart w:id="2094" w:name="_Toc216856092"/>
      <w:bookmarkStart w:id="2095" w:name="_Toc111637065"/>
      <w:r w:rsidRPr="00380B40">
        <w:rPr>
          <w:lang w:val="en-GB"/>
        </w:rPr>
        <w:t>1</w:t>
      </w:r>
      <w:r w:rsidRPr="00380B40">
        <w:rPr>
          <w:lang w:val="en-GB"/>
        </w:rPr>
        <w:tab/>
        <w:t>Scope</w:t>
      </w:r>
      <w:bookmarkEnd w:id="2094"/>
      <w:bookmarkEnd w:id="2095"/>
    </w:p>
    <w:p w14:paraId="5B693859" w14:textId="77777777" w:rsidR="00523689" w:rsidRPr="00380B40" w:rsidRDefault="00523689" w:rsidP="00523689">
      <w:pPr>
        <w:rPr>
          <w:lang w:val="en-GB"/>
        </w:rPr>
      </w:pPr>
      <w:r w:rsidRPr="00380B40">
        <w:rPr>
          <w:lang w:val="en-GB"/>
        </w:rPr>
        <w:t>This Recommendation provides guidelines and coordination requirements for the organization of workshops and seminars by ITU-T. These workshops and seminars aim for discussion and dissemination of the development of standards for worldwide implementation in telecommunications carried out by the study groups (SGs) of ITU-T.</w:t>
      </w:r>
    </w:p>
    <w:p w14:paraId="6EA3A637" w14:textId="77777777" w:rsidR="00523689" w:rsidRPr="00380B40" w:rsidRDefault="00523689" w:rsidP="00523689">
      <w:pPr>
        <w:pStyle w:val="Heading1"/>
        <w:rPr>
          <w:lang w:val="en-GB"/>
        </w:rPr>
      </w:pPr>
      <w:bookmarkStart w:id="2096" w:name="_Toc216856093"/>
      <w:bookmarkStart w:id="2097" w:name="_Toc111637066"/>
      <w:r w:rsidRPr="00380B40">
        <w:rPr>
          <w:lang w:val="en-GB"/>
        </w:rPr>
        <w:t>2</w:t>
      </w:r>
      <w:r w:rsidRPr="00380B40">
        <w:rPr>
          <w:lang w:val="en-GB"/>
        </w:rPr>
        <w:tab/>
        <w:t>References</w:t>
      </w:r>
      <w:bookmarkEnd w:id="2096"/>
      <w:bookmarkEnd w:id="2097"/>
    </w:p>
    <w:p w14:paraId="172C7DCD" w14:textId="77777777" w:rsidR="00523689" w:rsidRPr="00380B40" w:rsidRDefault="00523689" w:rsidP="00523689">
      <w:pPr>
        <w:rPr>
          <w:lang w:val="en-GB"/>
        </w:rPr>
      </w:pPr>
      <w:r w:rsidRPr="00380B40">
        <w:rPr>
          <w:lang w:val="en-GB"/>
        </w:rPr>
        <w:t>The following ITU-T Recommendations and other references contain provisions that,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 The reference to a document within this Recommendation does not give it, as a stand-alone document, the status of a Recommendation.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7231"/>
      </w:tblGrid>
      <w:tr w:rsidR="003C55F0" w:rsidRPr="004E0F36" w14:paraId="4B57F37A" w14:textId="77777777" w:rsidTr="00C91A38">
        <w:tc>
          <w:tcPr>
            <w:tcW w:w="1249" w:type="pct"/>
          </w:tcPr>
          <w:p w14:paraId="20E2D1A7" w14:textId="77777777" w:rsidR="003C55F0" w:rsidRPr="00380B40" w:rsidRDefault="003C55F0" w:rsidP="004E4CA9">
            <w:pPr>
              <w:jc w:val="left"/>
              <w:rPr>
                <w:lang w:val="en-GB"/>
              </w:rPr>
            </w:pPr>
            <w:r w:rsidRPr="00380B40">
              <w:rPr>
                <w:lang w:val="en-GB"/>
              </w:rPr>
              <w:t>[ITU-T A.1]</w:t>
            </w:r>
          </w:p>
        </w:tc>
        <w:tc>
          <w:tcPr>
            <w:tcW w:w="3751" w:type="pct"/>
          </w:tcPr>
          <w:p w14:paraId="3891C5A4" w14:textId="77777777" w:rsidR="003C55F0" w:rsidRPr="00380B40" w:rsidRDefault="003C55F0" w:rsidP="003C55F0">
            <w:pPr>
              <w:jc w:val="left"/>
              <w:rPr>
                <w:lang w:val="en-GB"/>
              </w:rPr>
            </w:pPr>
            <w:r w:rsidRPr="00380B40">
              <w:rPr>
                <w:rFonts w:eastAsia="Batang"/>
                <w:lang w:val="en-GB"/>
              </w:rPr>
              <w:t xml:space="preserve">Recommendation ITU-T A.1 (2008), </w:t>
            </w:r>
            <w:r w:rsidRPr="00380B40">
              <w:rPr>
                <w:rFonts w:eastAsia="Batang"/>
                <w:i/>
                <w:iCs/>
                <w:lang w:val="en-GB"/>
              </w:rPr>
              <w:t>Work methods for study groups of the ITU Telecommunication Standardization Sector (ITU-T)</w:t>
            </w:r>
            <w:r w:rsidRPr="00380B40">
              <w:rPr>
                <w:rFonts w:eastAsia="Batang"/>
                <w:lang w:val="en-GB"/>
              </w:rPr>
              <w:t>.</w:t>
            </w:r>
          </w:p>
        </w:tc>
      </w:tr>
    </w:tbl>
    <w:p w14:paraId="0824736E" w14:textId="77777777" w:rsidR="00523689" w:rsidRPr="00380B40" w:rsidRDefault="00523689" w:rsidP="00523689">
      <w:pPr>
        <w:pStyle w:val="Heading1"/>
        <w:rPr>
          <w:lang w:val="en-GB"/>
        </w:rPr>
      </w:pPr>
      <w:bookmarkStart w:id="2098" w:name="_Toc216856094"/>
      <w:bookmarkStart w:id="2099" w:name="_Toc111637067"/>
      <w:r w:rsidRPr="00380B40">
        <w:rPr>
          <w:lang w:val="en-GB"/>
        </w:rPr>
        <w:t>3</w:t>
      </w:r>
      <w:r w:rsidRPr="00380B40">
        <w:rPr>
          <w:lang w:val="en-GB"/>
        </w:rPr>
        <w:tab/>
        <w:t>Definitions</w:t>
      </w:r>
      <w:bookmarkEnd w:id="2098"/>
      <w:bookmarkEnd w:id="2099"/>
    </w:p>
    <w:p w14:paraId="796CE9D8" w14:textId="77777777" w:rsidR="00523689" w:rsidRPr="00380B40" w:rsidRDefault="00523689" w:rsidP="00523689">
      <w:pPr>
        <w:pStyle w:val="Heading2"/>
        <w:rPr>
          <w:lang w:val="en-GB"/>
        </w:rPr>
      </w:pPr>
      <w:bookmarkStart w:id="2100" w:name="_Toc206496704"/>
      <w:bookmarkStart w:id="2101" w:name="_Toc216856095"/>
      <w:bookmarkStart w:id="2102" w:name="_Toc111637068"/>
      <w:r w:rsidRPr="00380B40">
        <w:rPr>
          <w:lang w:val="en-GB"/>
        </w:rPr>
        <w:t>3.1</w:t>
      </w:r>
      <w:r w:rsidRPr="00380B40">
        <w:rPr>
          <w:lang w:val="en-GB"/>
        </w:rPr>
        <w:tab/>
        <w:t>Terms defined elsewhere</w:t>
      </w:r>
      <w:bookmarkEnd w:id="2100"/>
      <w:bookmarkEnd w:id="2101"/>
      <w:bookmarkEnd w:id="2102"/>
    </w:p>
    <w:p w14:paraId="62540E16" w14:textId="77777777" w:rsidR="00523689" w:rsidRPr="00380B40" w:rsidRDefault="00523689" w:rsidP="00523689">
      <w:pPr>
        <w:rPr>
          <w:lang w:val="en-GB"/>
        </w:rPr>
      </w:pPr>
      <w:r w:rsidRPr="00380B40">
        <w:rPr>
          <w:lang w:val="en-GB"/>
        </w:rPr>
        <w:t>None.</w:t>
      </w:r>
    </w:p>
    <w:p w14:paraId="4DAD3D54" w14:textId="77777777" w:rsidR="00523689" w:rsidRPr="00380B40" w:rsidRDefault="00523689" w:rsidP="00523689">
      <w:pPr>
        <w:pStyle w:val="Heading2"/>
        <w:rPr>
          <w:lang w:val="en-GB"/>
        </w:rPr>
      </w:pPr>
      <w:bookmarkStart w:id="2103" w:name="_Toc206496705"/>
      <w:bookmarkStart w:id="2104" w:name="_Toc216856096"/>
      <w:bookmarkStart w:id="2105" w:name="_Toc111637069"/>
      <w:r w:rsidRPr="00380B40">
        <w:rPr>
          <w:lang w:val="en-GB"/>
        </w:rPr>
        <w:t>3.2</w:t>
      </w:r>
      <w:r w:rsidRPr="00380B40">
        <w:rPr>
          <w:lang w:val="en-GB"/>
        </w:rPr>
        <w:tab/>
        <w:t>Terms defined in this Recommendation</w:t>
      </w:r>
      <w:bookmarkEnd w:id="2103"/>
      <w:bookmarkEnd w:id="2104"/>
      <w:bookmarkEnd w:id="2105"/>
    </w:p>
    <w:p w14:paraId="0A16A978" w14:textId="77777777" w:rsidR="00523689" w:rsidRPr="00380B40" w:rsidRDefault="00523689" w:rsidP="00523689">
      <w:pPr>
        <w:rPr>
          <w:lang w:val="en-GB"/>
        </w:rPr>
      </w:pPr>
      <w:r w:rsidRPr="00380B40">
        <w:rPr>
          <w:lang w:val="en-GB"/>
        </w:rPr>
        <w:t>This Recommendation defines the following terms:</w:t>
      </w:r>
    </w:p>
    <w:p w14:paraId="22700DED" w14:textId="77777777" w:rsidR="00523689" w:rsidRPr="00380B40" w:rsidRDefault="00523689" w:rsidP="00523689">
      <w:pPr>
        <w:rPr>
          <w:b/>
          <w:bCs/>
          <w:lang w:val="en-GB"/>
        </w:rPr>
      </w:pPr>
      <w:r w:rsidRPr="00380B40">
        <w:rPr>
          <w:b/>
          <w:lang w:val="en-GB"/>
        </w:rPr>
        <w:t>3.2.1</w:t>
      </w:r>
      <w:r w:rsidRPr="00380B40">
        <w:rPr>
          <w:b/>
          <w:lang w:val="en-GB"/>
        </w:rPr>
        <w:tab/>
        <w:t>seminar</w:t>
      </w:r>
      <w:r w:rsidRPr="00380B40">
        <w:rPr>
          <w:lang w:val="en-GB"/>
        </w:rPr>
        <w:t>: The seminar is a primarily one-way format, focused on the dissemination of information, in what amounts to classroom-style format. Depending on the subject and/or audience, there may be a lesser or greater degree of participant interaction with the experts who are presenting.</w:t>
      </w:r>
    </w:p>
    <w:p w14:paraId="3FD312D1" w14:textId="77777777" w:rsidR="00F64BAE" w:rsidRPr="00380B40" w:rsidRDefault="00F64BAE" w:rsidP="00523689">
      <w:pPr>
        <w:rPr>
          <w:b/>
          <w:bCs/>
          <w:lang w:val="en-GB"/>
        </w:rPr>
      </w:pPr>
      <w:r w:rsidRPr="00380B40">
        <w:rPr>
          <w:b/>
          <w:bCs/>
          <w:lang w:val="en-GB"/>
        </w:rPr>
        <w:br w:type="page"/>
      </w:r>
    </w:p>
    <w:p w14:paraId="1F85ADF9" w14:textId="77777777" w:rsidR="00523689" w:rsidRPr="00380B40" w:rsidRDefault="00523689" w:rsidP="00523689">
      <w:pPr>
        <w:rPr>
          <w:lang w:val="en-GB"/>
        </w:rPr>
      </w:pPr>
      <w:r w:rsidRPr="00380B40">
        <w:rPr>
          <w:b/>
          <w:bCs/>
          <w:lang w:val="en-GB"/>
        </w:rPr>
        <w:t>3.2.2</w:t>
      </w:r>
      <w:r w:rsidRPr="00380B40">
        <w:rPr>
          <w:b/>
          <w:bCs/>
          <w:lang w:val="en-GB"/>
        </w:rPr>
        <w:tab/>
        <w:t>workshop</w:t>
      </w:r>
      <w:r w:rsidRPr="00380B40">
        <w:rPr>
          <w:bCs/>
          <w:lang w:val="en-GB"/>
        </w:rPr>
        <w:t xml:space="preserve">: </w:t>
      </w:r>
      <w:r w:rsidRPr="00380B40">
        <w:rPr>
          <w:lang w:val="en-GB"/>
        </w:rPr>
        <w:t>The workshop environment is fundamentally a meeting of peers, gathered to discuss technical, implementation, industry, or strategic issues. Workshops can span a spectrum of styles, from highly technical events focusing on a single detailed issue, to broader gatherings intended to expose a wide spectrum of input and opinion.</w:t>
      </w:r>
    </w:p>
    <w:p w14:paraId="666FFF53" w14:textId="77777777" w:rsidR="00523689" w:rsidRPr="00380B40" w:rsidRDefault="00523689" w:rsidP="00523689">
      <w:pPr>
        <w:pStyle w:val="Heading1"/>
        <w:rPr>
          <w:lang w:val="en-GB"/>
        </w:rPr>
      </w:pPr>
      <w:bookmarkStart w:id="2106" w:name="_Toc216856097"/>
      <w:bookmarkStart w:id="2107" w:name="_Toc111637070"/>
      <w:r w:rsidRPr="00380B40">
        <w:rPr>
          <w:lang w:val="en-GB"/>
        </w:rPr>
        <w:t>4</w:t>
      </w:r>
      <w:r w:rsidRPr="00380B40">
        <w:rPr>
          <w:lang w:val="en-GB"/>
        </w:rPr>
        <w:tab/>
        <w:t>Abbreviations and acronyms</w:t>
      </w:r>
      <w:bookmarkEnd w:id="2106"/>
      <w:bookmarkEnd w:id="2107"/>
    </w:p>
    <w:p w14:paraId="71A2F322" w14:textId="77777777" w:rsidR="00523689" w:rsidRPr="00380B40" w:rsidRDefault="00523689" w:rsidP="00523689">
      <w:pPr>
        <w:keepNext/>
        <w:keepLines/>
        <w:rPr>
          <w:lang w:val="en-GB"/>
        </w:rPr>
      </w:pPr>
      <w:r w:rsidRPr="00380B40">
        <w:rPr>
          <w:lang w:val="en-GB"/>
        </w:rPr>
        <w:t>This Recommendation uses the following abbreviations and acronyms: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164B3C" w:rsidRPr="00380B40" w14:paraId="234DFD31" w14:textId="77777777" w:rsidTr="00C91A38">
        <w:tc>
          <w:tcPr>
            <w:tcW w:w="1129" w:type="dxa"/>
          </w:tcPr>
          <w:p w14:paraId="13565358" w14:textId="77777777" w:rsidR="00164B3C" w:rsidRPr="00380B40" w:rsidRDefault="00164B3C" w:rsidP="004E4CA9">
            <w:pPr>
              <w:tabs>
                <w:tab w:val="clear" w:pos="794"/>
                <w:tab w:val="clear" w:pos="1191"/>
                <w:tab w:val="clear" w:pos="1588"/>
                <w:tab w:val="clear" w:pos="1985"/>
              </w:tabs>
              <w:rPr>
                <w:lang w:val="en-GB"/>
              </w:rPr>
            </w:pPr>
            <w:r w:rsidRPr="00380B40">
              <w:rPr>
                <w:lang w:val="en-GB"/>
              </w:rPr>
              <w:t>SC</w:t>
            </w:r>
          </w:p>
        </w:tc>
        <w:tc>
          <w:tcPr>
            <w:tcW w:w="8500" w:type="dxa"/>
          </w:tcPr>
          <w:p w14:paraId="71C81156" w14:textId="77777777" w:rsidR="00164B3C" w:rsidRPr="00380B40" w:rsidRDefault="00164B3C" w:rsidP="004E4CA9">
            <w:pPr>
              <w:tabs>
                <w:tab w:val="clear" w:pos="794"/>
                <w:tab w:val="clear" w:pos="1191"/>
                <w:tab w:val="clear" w:pos="1588"/>
                <w:tab w:val="clear" w:pos="1985"/>
              </w:tabs>
              <w:rPr>
                <w:lang w:val="en-GB"/>
              </w:rPr>
            </w:pPr>
            <w:r w:rsidRPr="00380B40">
              <w:rPr>
                <w:lang w:val="en-GB"/>
              </w:rPr>
              <w:t>Steering committee</w:t>
            </w:r>
          </w:p>
        </w:tc>
      </w:tr>
      <w:tr w:rsidR="00164B3C" w:rsidRPr="00380B40" w14:paraId="7672ED7F" w14:textId="77777777" w:rsidTr="00C91A38">
        <w:tc>
          <w:tcPr>
            <w:tcW w:w="1129" w:type="dxa"/>
          </w:tcPr>
          <w:p w14:paraId="01F6F87A" w14:textId="77777777" w:rsidR="00164B3C" w:rsidRPr="00380B40" w:rsidRDefault="00164B3C" w:rsidP="004E4CA9">
            <w:pPr>
              <w:tabs>
                <w:tab w:val="clear" w:pos="794"/>
                <w:tab w:val="clear" w:pos="1191"/>
                <w:tab w:val="clear" w:pos="1588"/>
                <w:tab w:val="clear" w:pos="1985"/>
              </w:tabs>
              <w:rPr>
                <w:lang w:val="en-GB"/>
              </w:rPr>
            </w:pPr>
            <w:r w:rsidRPr="00380B40">
              <w:rPr>
                <w:lang w:val="en-GB"/>
              </w:rPr>
              <w:t>SDO</w:t>
            </w:r>
          </w:p>
        </w:tc>
        <w:tc>
          <w:tcPr>
            <w:tcW w:w="8500" w:type="dxa"/>
          </w:tcPr>
          <w:p w14:paraId="7AA71238" w14:textId="77777777" w:rsidR="00164B3C" w:rsidRPr="00380B40" w:rsidRDefault="00164B3C" w:rsidP="004E4CA9">
            <w:pPr>
              <w:tabs>
                <w:tab w:val="clear" w:pos="794"/>
                <w:tab w:val="clear" w:pos="1191"/>
                <w:tab w:val="clear" w:pos="1588"/>
                <w:tab w:val="clear" w:pos="1985"/>
              </w:tabs>
              <w:rPr>
                <w:lang w:val="en-GB"/>
              </w:rPr>
            </w:pPr>
            <w:r w:rsidRPr="00380B40">
              <w:rPr>
                <w:lang w:val="en-GB"/>
              </w:rPr>
              <w:t>Standards development organization</w:t>
            </w:r>
          </w:p>
        </w:tc>
      </w:tr>
      <w:tr w:rsidR="00164B3C" w:rsidRPr="00380B40" w14:paraId="2E74BDCD" w14:textId="77777777" w:rsidTr="00C91A38">
        <w:tc>
          <w:tcPr>
            <w:tcW w:w="1129" w:type="dxa"/>
          </w:tcPr>
          <w:p w14:paraId="320E1B59" w14:textId="77777777" w:rsidR="00164B3C" w:rsidRPr="00380B40" w:rsidRDefault="00164B3C" w:rsidP="004E4CA9">
            <w:pPr>
              <w:tabs>
                <w:tab w:val="clear" w:pos="794"/>
                <w:tab w:val="clear" w:pos="1191"/>
                <w:tab w:val="clear" w:pos="1588"/>
                <w:tab w:val="clear" w:pos="1985"/>
              </w:tabs>
              <w:rPr>
                <w:lang w:val="en-GB"/>
              </w:rPr>
            </w:pPr>
            <w:r w:rsidRPr="00380B40">
              <w:rPr>
                <w:lang w:val="en-GB"/>
              </w:rPr>
              <w:t>SGs</w:t>
            </w:r>
          </w:p>
        </w:tc>
        <w:tc>
          <w:tcPr>
            <w:tcW w:w="8500" w:type="dxa"/>
          </w:tcPr>
          <w:p w14:paraId="623BE2B2" w14:textId="77777777" w:rsidR="00164B3C" w:rsidRPr="00380B40" w:rsidRDefault="00164B3C" w:rsidP="004E4CA9">
            <w:pPr>
              <w:tabs>
                <w:tab w:val="clear" w:pos="794"/>
                <w:tab w:val="clear" w:pos="1191"/>
                <w:tab w:val="clear" w:pos="1588"/>
                <w:tab w:val="clear" w:pos="1985"/>
              </w:tabs>
              <w:rPr>
                <w:lang w:val="en-GB"/>
              </w:rPr>
            </w:pPr>
            <w:r w:rsidRPr="00380B40">
              <w:rPr>
                <w:lang w:val="en-GB"/>
              </w:rPr>
              <w:t>Study groups</w:t>
            </w:r>
          </w:p>
        </w:tc>
      </w:tr>
    </w:tbl>
    <w:p w14:paraId="4FA233F8" w14:textId="77777777" w:rsidR="00523689" w:rsidRPr="00380B40" w:rsidRDefault="00523689" w:rsidP="00523689">
      <w:pPr>
        <w:pStyle w:val="Heading1"/>
        <w:rPr>
          <w:lang w:val="en-GB"/>
        </w:rPr>
      </w:pPr>
      <w:bookmarkStart w:id="2108" w:name="_Toc216856098"/>
      <w:bookmarkStart w:id="2109" w:name="_Toc111637071"/>
      <w:r w:rsidRPr="00380B40">
        <w:rPr>
          <w:lang w:val="en-GB"/>
        </w:rPr>
        <w:t>5</w:t>
      </w:r>
      <w:r w:rsidRPr="00380B40">
        <w:rPr>
          <w:lang w:val="en-GB"/>
        </w:rPr>
        <w:tab/>
        <w:t>Conventions</w:t>
      </w:r>
      <w:bookmarkEnd w:id="2108"/>
      <w:bookmarkEnd w:id="2109"/>
    </w:p>
    <w:p w14:paraId="1CB08A69" w14:textId="77777777" w:rsidR="00523689" w:rsidRPr="00380B40" w:rsidRDefault="00523689" w:rsidP="00523689">
      <w:pPr>
        <w:rPr>
          <w:iCs/>
          <w:lang w:val="en-GB"/>
        </w:rPr>
      </w:pPr>
      <w:r w:rsidRPr="00380B40">
        <w:rPr>
          <w:lang w:val="en-GB"/>
        </w:rPr>
        <w:t>Terminologies and definitions throughout this Recommendation must be considered in accordance with the ITU-T ''Author's guide for drafting ITU-T Recommendations".</w:t>
      </w:r>
    </w:p>
    <w:p w14:paraId="3BBAA567" w14:textId="77777777" w:rsidR="00523689" w:rsidRPr="00380B40" w:rsidRDefault="00523689" w:rsidP="00523689">
      <w:pPr>
        <w:pStyle w:val="Heading1"/>
        <w:rPr>
          <w:lang w:val="en-GB"/>
        </w:rPr>
      </w:pPr>
      <w:bookmarkStart w:id="2110" w:name="_Toc216856099"/>
      <w:bookmarkStart w:id="2111" w:name="_Toc111637072"/>
      <w:r w:rsidRPr="00380B40">
        <w:rPr>
          <w:lang w:val="en-GB"/>
        </w:rPr>
        <w:t>6</w:t>
      </w:r>
      <w:r w:rsidRPr="00380B40">
        <w:rPr>
          <w:lang w:val="en-GB"/>
        </w:rPr>
        <w:tab/>
        <w:t>Choice of the proper event format</w:t>
      </w:r>
      <w:bookmarkEnd w:id="2110"/>
      <w:bookmarkEnd w:id="2111"/>
    </w:p>
    <w:p w14:paraId="0268304C" w14:textId="77777777" w:rsidR="00523689" w:rsidRPr="00380B40" w:rsidRDefault="00523689" w:rsidP="00523689">
      <w:pPr>
        <w:rPr>
          <w:lang w:val="en-GB"/>
        </w:rPr>
      </w:pPr>
      <w:r w:rsidRPr="00380B40">
        <w:rPr>
          <w:b/>
          <w:bCs/>
          <w:lang w:val="en-GB"/>
        </w:rPr>
        <w:t>6.1</w:t>
      </w:r>
      <w:r w:rsidRPr="00380B40">
        <w:rPr>
          <w:b/>
          <w:bCs/>
          <w:lang w:val="en-GB"/>
        </w:rPr>
        <w:tab/>
      </w:r>
      <w:r w:rsidRPr="00380B40">
        <w:rPr>
          <w:lang w:val="en-GB"/>
        </w:rPr>
        <w:t>The format, scope and goals of each planned event must be determined at the start of the event-planning process, as these choices will determine the addressable target audience, and trigger the workshop or seminar notification and promotion process. The awareness of these nuances among different workshop and seminar events is relevant to appropriate event planning and, therefore, to consistent and successful results.</w:t>
      </w:r>
    </w:p>
    <w:p w14:paraId="721178D9" w14:textId="77777777" w:rsidR="00523689" w:rsidRPr="00380B40" w:rsidRDefault="00523689" w:rsidP="00523689">
      <w:pPr>
        <w:rPr>
          <w:lang w:val="en-GB"/>
        </w:rPr>
      </w:pPr>
      <w:r w:rsidRPr="00380B40">
        <w:rPr>
          <w:b/>
          <w:bCs/>
          <w:lang w:val="en-GB"/>
        </w:rPr>
        <w:t>6.2</w:t>
      </w:r>
      <w:r w:rsidRPr="00380B40">
        <w:rPr>
          <w:b/>
          <w:bCs/>
          <w:lang w:val="en-GB"/>
        </w:rPr>
        <w:tab/>
      </w:r>
      <w:r w:rsidRPr="00380B40">
        <w:rPr>
          <w:lang w:val="en-GB"/>
        </w:rPr>
        <w:t>As a way forward to accomplish organization consistency and reach common understanding on the Sector's needs, and to facilitate cooperation and coordination in the organization of cross-Sector events, the above-mentioned standardized terminology (see clause 3) should be observed in order to cope with different characteristics of events within the Sector.</w:t>
      </w:r>
    </w:p>
    <w:p w14:paraId="2356013E" w14:textId="77777777" w:rsidR="00523689" w:rsidRPr="00380B40" w:rsidRDefault="00523689" w:rsidP="00523689">
      <w:pPr>
        <w:pStyle w:val="Heading1"/>
        <w:rPr>
          <w:lang w:val="en-GB"/>
        </w:rPr>
      </w:pPr>
      <w:bookmarkStart w:id="2112" w:name="_Toc216856100"/>
      <w:bookmarkStart w:id="2113" w:name="_Toc111637073"/>
      <w:r w:rsidRPr="00380B40">
        <w:rPr>
          <w:lang w:val="en-GB"/>
        </w:rPr>
        <w:t>7</w:t>
      </w:r>
      <w:r w:rsidRPr="00380B40">
        <w:rPr>
          <w:lang w:val="en-GB"/>
        </w:rPr>
        <w:tab/>
        <w:t>Event format specifics</w:t>
      </w:r>
      <w:bookmarkEnd w:id="2112"/>
      <w:bookmarkEnd w:id="2113"/>
    </w:p>
    <w:p w14:paraId="357A5B00" w14:textId="77777777" w:rsidR="00523689" w:rsidRPr="00380B40" w:rsidRDefault="00523689" w:rsidP="00523689">
      <w:pPr>
        <w:pStyle w:val="Heading2"/>
        <w:rPr>
          <w:lang w:val="en-GB"/>
        </w:rPr>
      </w:pPr>
      <w:bookmarkStart w:id="2114" w:name="_Toc216856101"/>
      <w:bookmarkStart w:id="2115" w:name="_Toc111637074"/>
      <w:r w:rsidRPr="00380B40">
        <w:rPr>
          <w:lang w:val="en-GB"/>
        </w:rPr>
        <w:t>7.1</w:t>
      </w:r>
      <w:r w:rsidRPr="00380B40">
        <w:rPr>
          <w:lang w:val="en-GB"/>
        </w:rPr>
        <w:tab/>
        <w:t>Seminars</w:t>
      </w:r>
      <w:bookmarkEnd w:id="2114"/>
      <w:bookmarkEnd w:id="2115"/>
    </w:p>
    <w:p w14:paraId="3201E0AC" w14:textId="77777777" w:rsidR="00523689" w:rsidRPr="00380B40" w:rsidRDefault="00523689" w:rsidP="00523689">
      <w:pPr>
        <w:rPr>
          <w:lang w:val="en-GB"/>
        </w:rPr>
      </w:pPr>
      <w:r w:rsidRPr="00380B40">
        <w:rPr>
          <w:lang w:val="en-GB"/>
        </w:rPr>
        <w:t>Seminars are most useful in sharing ITU-T vision and technical knowledge with new participants who have not previously been exposed to the scope, workings, or results of the ITU-T standardization process.</w:t>
      </w:r>
    </w:p>
    <w:p w14:paraId="0D14FFE1" w14:textId="77777777" w:rsidR="00F64BAE" w:rsidRPr="00380B40" w:rsidRDefault="00F64BAE" w:rsidP="00F64BAE">
      <w:pPr>
        <w:rPr>
          <w:lang w:val="en-GB"/>
        </w:rPr>
      </w:pPr>
      <w:bookmarkStart w:id="2116" w:name="_Toc216856102"/>
      <w:r w:rsidRPr="00380B40">
        <w:rPr>
          <w:lang w:val="en-GB"/>
        </w:rPr>
        <w:br w:type="page"/>
      </w:r>
    </w:p>
    <w:p w14:paraId="79A90299" w14:textId="77777777" w:rsidR="00523689" w:rsidRPr="00380B40" w:rsidRDefault="00523689" w:rsidP="00523689">
      <w:pPr>
        <w:pStyle w:val="Heading2"/>
        <w:rPr>
          <w:lang w:val="en-GB"/>
        </w:rPr>
      </w:pPr>
      <w:bookmarkStart w:id="2117" w:name="_Toc111637075"/>
      <w:r w:rsidRPr="00380B40">
        <w:rPr>
          <w:lang w:val="en-GB"/>
        </w:rPr>
        <w:t>7.2</w:t>
      </w:r>
      <w:r w:rsidRPr="00380B40">
        <w:rPr>
          <w:lang w:val="en-GB"/>
        </w:rPr>
        <w:tab/>
        <w:t>Workshops</w:t>
      </w:r>
      <w:bookmarkEnd w:id="2116"/>
      <w:bookmarkEnd w:id="2117"/>
    </w:p>
    <w:p w14:paraId="63D599B2" w14:textId="77777777" w:rsidR="00523689" w:rsidRPr="00380B40" w:rsidRDefault="00523689" w:rsidP="00523689">
      <w:pPr>
        <w:rPr>
          <w:lang w:val="en-GB"/>
        </w:rPr>
      </w:pPr>
      <w:r w:rsidRPr="00380B40">
        <w:rPr>
          <w:lang w:val="en-GB"/>
        </w:rPr>
        <w:t>Workshops are the preferred vehicle for demonstrations, technical issue resolution, and for the creation of specific deliverables (outputs). A workshop should have clear goals and a limited scope, setting and delivering upon well-defined expectations from the participants and workshop leaders.</w:t>
      </w:r>
    </w:p>
    <w:p w14:paraId="14763415" w14:textId="77777777" w:rsidR="00523689" w:rsidRPr="00380B40" w:rsidRDefault="00523689" w:rsidP="00523689">
      <w:pPr>
        <w:pStyle w:val="Heading1"/>
        <w:rPr>
          <w:lang w:val="en-GB"/>
        </w:rPr>
      </w:pPr>
      <w:bookmarkStart w:id="2118" w:name="_Toc216856103"/>
      <w:bookmarkStart w:id="2119" w:name="_Toc111637076"/>
      <w:r w:rsidRPr="00380B40">
        <w:rPr>
          <w:lang w:val="en-GB"/>
        </w:rPr>
        <w:t>8</w:t>
      </w:r>
      <w:r w:rsidRPr="00380B40">
        <w:rPr>
          <w:lang w:val="en-GB"/>
        </w:rPr>
        <w:tab/>
        <w:t>Event coordination</w:t>
      </w:r>
      <w:bookmarkEnd w:id="2118"/>
      <w:bookmarkEnd w:id="2119"/>
    </w:p>
    <w:p w14:paraId="15B8CB1F" w14:textId="364B3AA7" w:rsidR="00523689" w:rsidRPr="00380B40" w:rsidRDefault="00523689" w:rsidP="00523689">
      <w:pPr>
        <w:rPr>
          <w:lang w:val="en-GB"/>
        </w:rPr>
      </w:pPr>
      <w:r w:rsidRPr="00380B40">
        <w:rPr>
          <w:lang w:val="en-GB"/>
        </w:rPr>
        <w:t>Aiming at the improvement of the organization of ITU-T workshops and seminars, and coordination with the other two Sectors and the General Secretariat for the preparation, running and evaluation of workshops and seminars, four types of ITU-T workshops and seminars are defined, according to the distinct levels of coordination and the structures, scopes and goals each type requires.</w:t>
      </w:r>
      <w:r w:rsidR="00840F7A">
        <w:rPr>
          <w:rStyle w:val="FootnoteReference"/>
          <w:lang w:val="en-GB"/>
        </w:rPr>
        <w:footnoteReference w:id="81"/>
      </w:r>
    </w:p>
    <w:p w14:paraId="6D550E4B" w14:textId="77777777" w:rsidR="00523689" w:rsidRPr="00380B40" w:rsidRDefault="00523689" w:rsidP="00523689">
      <w:pPr>
        <w:pStyle w:val="Heading2"/>
        <w:rPr>
          <w:lang w:val="en-GB"/>
        </w:rPr>
      </w:pPr>
      <w:bookmarkStart w:id="2120" w:name="_Toc216856104"/>
      <w:bookmarkStart w:id="2121" w:name="_Toc111637077"/>
      <w:r w:rsidRPr="00380B40">
        <w:rPr>
          <w:lang w:val="en-GB"/>
        </w:rPr>
        <w:t>8.1</w:t>
      </w:r>
      <w:r w:rsidRPr="00380B40">
        <w:rPr>
          <w:lang w:val="en-GB"/>
        </w:rPr>
        <w:tab/>
        <w:t>Study group strategy focused</w:t>
      </w:r>
      <w:bookmarkEnd w:id="2120"/>
      <w:bookmarkEnd w:id="2121"/>
    </w:p>
    <w:p w14:paraId="73124FA0" w14:textId="77777777" w:rsidR="00523689" w:rsidRPr="00380B40" w:rsidRDefault="00523689" w:rsidP="00523689">
      <w:pPr>
        <w:rPr>
          <w:lang w:val="en-GB"/>
        </w:rPr>
      </w:pPr>
      <w:r w:rsidRPr="00380B40">
        <w:rPr>
          <w:b/>
          <w:bCs/>
          <w:lang w:val="en-GB"/>
        </w:rPr>
        <w:t>8.1.1</w:t>
      </w:r>
      <w:r w:rsidRPr="00380B40">
        <w:rPr>
          <w:lang w:val="en-GB"/>
        </w:rPr>
        <w:tab/>
        <w:t>These events are focused on a specific technical topic or standardization area.</w:t>
      </w:r>
    </w:p>
    <w:p w14:paraId="20859B0C" w14:textId="77777777" w:rsidR="00523689" w:rsidRPr="00380B40" w:rsidRDefault="00523689" w:rsidP="00523689">
      <w:pPr>
        <w:rPr>
          <w:lang w:val="en-GB"/>
        </w:rPr>
      </w:pPr>
      <w:r w:rsidRPr="00380B40">
        <w:rPr>
          <w:b/>
          <w:bCs/>
          <w:lang w:val="en-GB"/>
        </w:rPr>
        <w:t>8.1.2</w:t>
      </w:r>
      <w:r w:rsidRPr="00380B40">
        <w:rPr>
          <w:b/>
          <w:bCs/>
          <w:lang w:val="en-GB"/>
        </w:rPr>
        <w:tab/>
      </w:r>
      <w:r w:rsidRPr="00380B40">
        <w:rPr>
          <w:lang w:val="en-GB"/>
        </w:rPr>
        <w:t>The main objective is to review points of current development of technology, application and service.</w:t>
      </w:r>
    </w:p>
    <w:p w14:paraId="4099E0D1" w14:textId="77777777" w:rsidR="00523689" w:rsidRPr="00380B40" w:rsidRDefault="00523689" w:rsidP="00523689">
      <w:pPr>
        <w:rPr>
          <w:lang w:val="en-GB"/>
        </w:rPr>
      </w:pPr>
      <w:r w:rsidRPr="00380B40">
        <w:rPr>
          <w:b/>
          <w:bCs/>
          <w:lang w:val="en-GB"/>
        </w:rPr>
        <w:t>8.1.3</w:t>
      </w:r>
      <w:r w:rsidRPr="00380B40">
        <w:rPr>
          <w:b/>
          <w:bCs/>
          <w:lang w:val="en-GB"/>
        </w:rPr>
        <w:tab/>
      </w:r>
      <w:r w:rsidRPr="00380B40">
        <w:rPr>
          <w:lang w:val="en-GB"/>
        </w:rPr>
        <w:t>In general, they gather information on standardization development in other standardization development organizations (SDOs).</w:t>
      </w:r>
    </w:p>
    <w:p w14:paraId="6A529A60" w14:textId="77777777" w:rsidR="00523689" w:rsidRPr="00380B40" w:rsidRDefault="00523689" w:rsidP="00523689">
      <w:pPr>
        <w:rPr>
          <w:lang w:val="en-GB"/>
        </w:rPr>
      </w:pPr>
      <w:r w:rsidRPr="00380B40">
        <w:rPr>
          <w:b/>
          <w:bCs/>
          <w:lang w:val="en-GB"/>
        </w:rPr>
        <w:t>8.1.4</w:t>
      </w:r>
      <w:r w:rsidRPr="00380B40">
        <w:rPr>
          <w:b/>
          <w:bCs/>
          <w:lang w:val="en-GB"/>
        </w:rPr>
        <w:tab/>
      </w:r>
      <w:r w:rsidRPr="00380B40">
        <w:rPr>
          <w:lang w:val="en-GB"/>
        </w:rPr>
        <w:t>They aim at in-depth discussion on the work programme of the SGs, that is, subsequent standardization projects, improvements in coordination or cooperation methods with other SDOs, etc.</w:t>
      </w:r>
    </w:p>
    <w:p w14:paraId="7DF936A7" w14:textId="77777777" w:rsidR="00523689" w:rsidRPr="00380B40" w:rsidRDefault="00523689" w:rsidP="00523689">
      <w:pPr>
        <w:rPr>
          <w:lang w:val="en-GB"/>
        </w:rPr>
      </w:pPr>
      <w:r w:rsidRPr="00380B40">
        <w:rPr>
          <w:b/>
          <w:bCs/>
          <w:lang w:val="en-GB"/>
        </w:rPr>
        <w:t>8.1.5</w:t>
      </w:r>
      <w:r w:rsidRPr="00380B40">
        <w:rPr>
          <w:b/>
          <w:bCs/>
          <w:lang w:val="en-GB"/>
        </w:rPr>
        <w:tab/>
      </w:r>
      <w:r w:rsidRPr="00380B40">
        <w:rPr>
          <w:lang w:val="en-GB"/>
        </w:rPr>
        <w:t>The proposal for this type of workshop or seminar normally comes from the SG management teams and membership. Speakers are usually proposed and invited by internal experts.</w:t>
      </w:r>
    </w:p>
    <w:p w14:paraId="5CB2A671" w14:textId="77777777" w:rsidR="00523689" w:rsidRPr="00380B40" w:rsidRDefault="00523689" w:rsidP="00523689">
      <w:pPr>
        <w:rPr>
          <w:lang w:val="en-GB"/>
        </w:rPr>
      </w:pPr>
      <w:r w:rsidRPr="00380B40">
        <w:rPr>
          <w:b/>
          <w:bCs/>
          <w:lang w:val="en-GB"/>
        </w:rPr>
        <w:t>8.1.6</w:t>
      </w:r>
      <w:r w:rsidRPr="00380B40">
        <w:rPr>
          <w:b/>
          <w:bCs/>
          <w:lang w:val="en-GB"/>
        </w:rPr>
        <w:tab/>
      </w:r>
      <w:r w:rsidRPr="00380B40">
        <w:rPr>
          <w:lang w:val="en-GB"/>
        </w:rPr>
        <w:t>Such events are in general collocated with SG meetings and the audience comprises mainly SG delegates and non-ITU-T members.</w:t>
      </w:r>
    </w:p>
    <w:p w14:paraId="4CA82DF8" w14:textId="77777777" w:rsidR="00523689" w:rsidRPr="00380B40" w:rsidRDefault="00523689" w:rsidP="00523689">
      <w:pPr>
        <w:rPr>
          <w:lang w:val="en-GB"/>
        </w:rPr>
      </w:pPr>
      <w:r w:rsidRPr="00380B40">
        <w:rPr>
          <w:b/>
          <w:bCs/>
          <w:lang w:val="en-GB"/>
        </w:rPr>
        <w:t>8.1.7</w:t>
      </w:r>
      <w:r w:rsidRPr="00380B40">
        <w:rPr>
          <w:b/>
          <w:bCs/>
          <w:lang w:val="en-GB"/>
        </w:rPr>
        <w:tab/>
      </w:r>
      <w:r w:rsidRPr="00380B40">
        <w:rPr>
          <w:lang w:val="en-GB"/>
        </w:rPr>
        <w:t>Some of these events are co-organized with the Telecommunication Development Bureau (BDT) to reply to WTSA Resolution 44 concerning the requirements to bridge the standardization gap.</w:t>
      </w:r>
    </w:p>
    <w:p w14:paraId="6AF852AA" w14:textId="77777777" w:rsidR="00523689" w:rsidRPr="00380B40" w:rsidRDefault="00523689" w:rsidP="00523689">
      <w:pPr>
        <w:rPr>
          <w:lang w:val="en-GB"/>
        </w:rPr>
      </w:pPr>
      <w:r w:rsidRPr="00380B40">
        <w:rPr>
          <w:b/>
          <w:bCs/>
          <w:lang w:val="en-GB"/>
        </w:rPr>
        <w:t>8.1.8</w:t>
      </w:r>
      <w:r w:rsidRPr="00380B40">
        <w:rPr>
          <w:b/>
          <w:bCs/>
          <w:lang w:val="en-GB"/>
        </w:rPr>
        <w:tab/>
      </w:r>
      <w:r w:rsidRPr="00380B40">
        <w:rPr>
          <w:lang w:val="en-GB"/>
        </w:rPr>
        <w:t>These events have the following advantages:</w:t>
      </w:r>
    </w:p>
    <w:p w14:paraId="53884036" w14:textId="77777777" w:rsidR="00523689" w:rsidRPr="00380B40" w:rsidRDefault="00523689" w:rsidP="00523689">
      <w:pPr>
        <w:pStyle w:val="enumlev1"/>
        <w:rPr>
          <w:lang w:val="en-GB"/>
        </w:rPr>
      </w:pPr>
      <w:r w:rsidRPr="00380B40">
        <w:rPr>
          <w:lang w:val="en-GB"/>
        </w:rPr>
        <w:t>a)</w:t>
      </w:r>
      <w:r w:rsidRPr="00380B40">
        <w:rPr>
          <w:lang w:val="en-GB"/>
        </w:rPr>
        <w:tab/>
        <w:t>they ensure that the workshop or seminar topic is closely relevant to SG work;</w:t>
      </w:r>
    </w:p>
    <w:p w14:paraId="2D144C95" w14:textId="77777777" w:rsidR="00523689" w:rsidRPr="00380B40" w:rsidRDefault="00523689" w:rsidP="00523689">
      <w:pPr>
        <w:pStyle w:val="enumlev1"/>
        <w:rPr>
          <w:lang w:val="en-GB"/>
        </w:rPr>
      </w:pPr>
      <w:r w:rsidRPr="00380B40">
        <w:rPr>
          <w:lang w:val="en-GB"/>
        </w:rPr>
        <w:t>b)</w:t>
      </w:r>
      <w:r w:rsidRPr="00380B40">
        <w:rPr>
          <w:lang w:val="en-GB"/>
        </w:rPr>
        <w:tab/>
        <w:t>they are cost-effective in terms of organization, and avoid extra time/cost to SG delegates;</w:t>
      </w:r>
    </w:p>
    <w:p w14:paraId="7ECAB85B" w14:textId="77777777" w:rsidR="00523689" w:rsidRPr="00380B40" w:rsidRDefault="00523689" w:rsidP="00523689">
      <w:pPr>
        <w:pStyle w:val="enumlev1"/>
        <w:rPr>
          <w:lang w:val="en-GB"/>
        </w:rPr>
      </w:pPr>
      <w:r w:rsidRPr="00380B40">
        <w:rPr>
          <w:lang w:val="en-GB"/>
        </w:rPr>
        <w:t>c)</w:t>
      </w:r>
      <w:r w:rsidRPr="00380B40">
        <w:rPr>
          <w:lang w:val="en-GB"/>
        </w:rPr>
        <w:tab/>
        <w:t>they have a guaranteed quantity and quality of participants; thus, a guaranteed quality of discussion.</w:t>
      </w:r>
    </w:p>
    <w:p w14:paraId="420F7F28" w14:textId="77777777" w:rsidR="00F64BAE" w:rsidRPr="00380B40" w:rsidRDefault="00F64BAE" w:rsidP="00523689">
      <w:pPr>
        <w:pStyle w:val="enumlev1"/>
        <w:rPr>
          <w:lang w:val="en-GB"/>
        </w:rPr>
      </w:pPr>
      <w:r w:rsidRPr="00380B40">
        <w:rPr>
          <w:lang w:val="en-GB"/>
        </w:rPr>
        <w:br w:type="page"/>
      </w:r>
    </w:p>
    <w:p w14:paraId="678E045C" w14:textId="77777777" w:rsidR="00523689" w:rsidRPr="00380B40" w:rsidRDefault="00523689" w:rsidP="00523689">
      <w:pPr>
        <w:pStyle w:val="Heading2"/>
        <w:rPr>
          <w:lang w:val="en-GB"/>
        </w:rPr>
      </w:pPr>
      <w:bookmarkStart w:id="2122" w:name="_Toc216856105"/>
      <w:bookmarkStart w:id="2123" w:name="_Toc111637078"/>
      <w:r w:rsidRPr="00380B40">
        <w:rPr>
          <w:lang w:val="en-GB"/>
        </w:rPr>
        <w:t>8.2</w:t>
      </w:r>
      <w:r w:rsidRPr="00380B40">
        <w:rPr>
          <w:lang w:val="en-GB"/>
        </w:rPr>
        <w:tab/>
        <w:t>Information focused</w:t>
      </w:r>
      <w:bookmarkEnd w:id="2122"/>
      <w:bookmarkEnd w:id="2123"/>
    </w:p>
    <w:p w14:paraId="4E4A2DAA" w14:textId="77777777" w:rsidR="00523689" w:rsidRPr="00380B40" w:rsidRDefault="00523689" w:rsidP="00523689">
      <w:pPr>
        <w:rPr>
          <w:lang w:val="en-GB"/>
        </w:rPr>
      </w:pPr>
      <w:r w:rsidRPr="00380B40">
        <w:rPr>
          <w:b/>
          <w:bCs/>
          <w:lang w:val="en-GB"/>
        </w:rPr>
        <w:t>8.2.1</w:t>
      </w:r>
      <w:r w:rsidRPr="00380B40">
        <w:rPr>
          <w:b/>
          <w:bCs/>
          <w:lang w:val="en-GB"/>
        </w:rPr>
        <w:tab/>
      </w:r>
      <w:r w:rsidRPr="00380B40">
        <w:rPr>
          <w:lang w:val="en-GB"/>
        </w:rPr>
        <w:t>These events are focused on a new technology or emerging study area. By carrying them out, it is possible to review points of current development of technology, applications and services.</w:t>
      </w:r>
    </w:p>
    <w:p w14:paraId="0EC6B059" w14:textId="77777777" w:rsidR="00523689" w:rsidRPr="00380B40" w:rsidRDefault="00523689" w:rsidP="00523689">
      <w:pPr>
        <w:rPr>
          <w:lang w:val="en-GB"/>
        </w:rPr>
      </w:pPr>
      <w:r w:rsidRPr="00380B40">
        <w:rPr>
          <w:b/>
          <w:bCs/>
          <w:lang w:val="en-GB"/>
        </w:rPr>
        <w:t>8.2.2</w:t>
      </w:r>
      <w:r w:rsidRPr="00380B40">
        <w:rPr>
          <w:b/>
          <w:bCs/>
          <w:lang w:val="en-GB"/>
        </w:rPr>
        <w:tab/>
      </w:r>
      <w:r w:rsidRPr="00380B40">
        <w:rPr>
          <w:lang w:val="en-GB"/>
        </w:rPr>
        <w:t>They are good opportunities for briefing SGs with information regarding standardization development in other SDOs.</w:t>
      </w:r>
    </w:p>
    <w:p w14:paraId="7767F4C9" w14:textId="77777777" w:rsidR="00523689" w:rsidRPr="00380B40" w:rsidRDefault="00523689" w:rsidP="00523689">
      <w:pPr>
        <w:rPr>
          <w:lang w:val="en-GB"/>
        </w:rPr>
      </w:pPr>
      <w:r w:rsidRPr="00380B40">
        <w:rPr>
          <w:b/>
          <w:bCs/>
          <w:lang w:val="en-GB"/>
        </w:rPr>
        <w:t>8.2.3</w:t>
      </w:r>
      <w:r w:rsidRPr="00380B40">
        <w:rPr>
          <w:b/>
          <w:bCs/>
          <w:lang w:val="en-GB"/>
        </w:rPr>
        <w:tab/>
      </w:r>
      <w:r w:rsidRPr="00380B40">
        <w:rPr>
          <w:lang w:val="en-GB"/>
        </w:rPr>
        <w:t>The proposal for this type of workshop or seminar normally comes from the SG management teams and membership or from the technology watch function of TSB. Speakers are usually proposed and invited by internal experts.</w:t>
      </w:r>
    </w:p>
    <w:p w14:paraId="6A26B489" w14:textId="77777777" w:rsidR="00523689" w:rsidRPr="00380B40" w:rsidRDefault="00523689" w:rsidP="00523689">
      <w:pPr>
        <w:rPr>
          <w:lang w:val="en-GB"/>
        </w:rPr>
      </w:pPr>
      <w:r w:rsidRPr="00380B40">
        <w:rPr>
          <w:b/>
          <w:bCs/>
          <w:lang w:val="en-GB"/>
        </w:rPr>
        <w:t>8.2.4</w:t>
      </w:r>
      <w:r w:rsidRPr="00380B40">
        <w:rPr>
          <w:b/>
          <w:bCs/>
          <w:lang w:val="en-GB"/>
        </w:rPr>
        <w:tab/>
      </w:r>
      <w:r w:rsidRPr="00380B40">
        <w:rPr>
          <w:lang w:val="en-GB"/>
        </w:rPr>
        <w:t>Such events are in general collocated with SG meetings and the audience comprises mainly SG delegates.</w:t>
      </w:r>
    </w:p>
    <w:p w14:paraId="69E8CCCD" w14:textId="77777777" w:rsidR="00523689" w:rsidRPr="00380B40" w:rsidRDefault="00523689" w:rsidP="00523689">
      <w:pPr>
        <w:rPr>
          <w:lang w:val="en-GB"/>
        </w:rPr>
      </w:pPr>
      <w:r w:rsidRPr="00380B40">
        <w:rPr>
          <w:b/>
          <w:bCs/>
          <w:lang w:val="en-GB"/>
        </w:rPr>
        <w:t>8.2.5</w:t>
      </w:r>
      <w:r w:rsidRPr="00380B40">
        <w:rPr>
          <w:b/>
          <w:bCs/>
          <w:lang w:val="en-GB"/>
        </w:rPr>
        <w:tab/>
      </w:r>
      <w:r w:rsidRPr="00380B40">
        <w:rPr>
          <w:lang w:val="en-GB"/>
        </w:rPr>
        <w:t>These events have the following advantages:</w:t>
      </w:r>
    </w:p>
    <w:p w14:paraId="2305B6EE" w14:textId="77777777" w:rsidR="00523689" w:rsidRPr="00380B40" w:rsidRDefault="00523689" w:rsidP="00523689">
      <w:pPr>
        <w:pStyle w:val="enumlev1"/>
        <w:rPr>
          <w:lang w:val="en-GB"/>
        </w:rPr>
      </w:pPr>
      <w:r w:rsidRPr="00380B40">
        <w:rPr>
          <w:lang w:val="en-GB"/>
        </w:rPr>
        <w:t>a)</w:t>
      </w:r>
      <w:r w:rsidRPr="00380B40">
        <w:rPr>
          <w:lang w:val="en-GB"/>
        </w:rPr>
        <w:tab/>
        <w:t>they ensure that the workshop or seminar topic is closely relevant to SG work;</w:t>
      </w:r>
    </w:p>
    <w:p w14:paraId="2D4795DD" w14:textId="77777777" w:rsidR="00523689" w:rsidRPr="00380B40" w:rsidRDefault="00523689" w:rsidP="00523689">
      <w:pPr>
        <w:pStyle w:val="enumlev1"/>
        <w:rPr>
          <w:lang w:val="en-GB"/>
        </w:rPr>
      </w:pPr>
      <w:r w:rsidRPr="00380B40">
        <w:rPr>
          <w:lang w:val="en-GB"/>
        </w:rPr>
        <w:t>b)</w:t>
      </w:r>
      <w:r w:rsidRPr="00380B40">
        <w:rPr>
          <w:lang w:val="en-GB"/>
        </w:rPr>
        <w:tab/>
        <w:t>they are cost-effective in terms of organization, and avoid extra time/cost to SG delegates;</w:t>
      </w:r>
    </w:p>
    <w:p w14:paraId="2E4D0B1D" w14:textId="77777777" w:rsidR="00523689" w:rsidRPr="00380B40" w:rsidRDefault="00523689" w:rsidP="00523689">
      <w:pPr>
        <w:pStyle w:val="enumlev1"/>
        <w:rPr>
          <w:lang w:val="en-GB"/>
        </w:rPr>
      </w:pPr>
      <w:r w:rsidRPr="00380B40">
        <w:rPr>
          <w:lang w:val="en-GB"/>
        </w:rPr>
        <w:t>c)</w:t>
      </w:r>
      <w:r w:rsidRPr="00380B40">
        <w:rPr>
          <w:lang w:val="en-GB"/>
        </w:rPr>
        <w:tab/>
        <w:t>they have a guaranteed quantity and quality of participants; thus, a guaranteed quality of discussion;</w:t>
      </w:r>
    </w:p>
    <w:p w14:paraId="5CB02A7B" w14:textId="77777777" w:rsidR="00523689" w:rsidRPr="00380B40" w:rsidRDefault="00523689" w:rsidP="00523689">
      <w:pPr>
        <w:pStyle w:val="enumlev1"/>
        <w:rPr>
          <w:lang w:val="en-GB"/>
        </w:rPr>
      </w:pPr>
      <w:r w:rsidRPr="00380B40">
        <w:rPr>
          <w:lang w:val="en-GB"/>
        </w:rPr>
        <w:t>d)</w:t>
      </w:r>
      <w:r w:rsidRPr="00380B40">
        <w:rPr>
          <w:lang w:val="en-GB"/>
        </w:rPr>
        <w:tab/>
        <w:t>they could bring new ideas and work topics to relevant SGs.</w:t>
      </w:r>
    </w:p>
    <w:p w14:paraId="6D5A8D71" w14:textId="77777777" w:rsidR="00523689" w:rsidRPr="00380B40" w:rsidRDefault="00523689" w:rsidP="00523689">
      <w:pPr>
        <w:pStyle w:val="Heading2"/>
        <w:rPr>
          <w:lang w:val="en-GB"/>
        </w:rPr>
      </w:pPr>
      <w:bookmarkStart w:id="2124" w:name="_Toc216856106"/>
      <w:bookmarkStart w:id="2125" w:name="_Toc111637079"/>
      <w:r w:rsidRPr="00380B40">
        <w:rPr>
          <w:lang w:val="en-GB"/>
        </w:rPr>
        <w:t>8.3</w:t>
      </w:r>
      <w:r w:rsidRPr="00380B40">
        <w:rPr>
          <w:lang w:val="en-GB"/>
        </w:rPr>
        <w:tab/>
        <w:t>Tutorial focused</w:t>
      </w:r>
      <w:bookmarkEnd w:id="2124"/>
      <w:bookmarkEnd w:id="2125"/>
    </w:p>
    <w:p w14:paraId="45F1234F" w14:textId="77777777" w:rsidR="00523689" w:rsidRPr="00380B40" w:rsidRDefault="00523689" w:rsidP="00523689">
      <w:pPr>
        <w:rPr>
          <w:lang w:val="en-GB"/>
        </w:rPr>
      </w:pPr>
      <w:r w:rsidRPr="00380B40">
        <w:rPr>
          <w:b/>
          <w:bCs/>
          <w:lang w:val="en-GB"/>
        </w:rPr>
        <w:t>8.3.1</w:t>
      </w:r>
      <w:r w:rsidRPr="00380B40">
        <w:rPr>
          <w:b/>
          <w:bCs/>
          <w:lang w:val="en-GB"/>
        </w:rPr>
        <w:tab/>
      </w:r>
      <w:r w:rsidRPr="00380B40">
        <w:rPr>
          <w:lang w:val="en-GB"/>
        </w:rPr>
        <w:t>These events are focused on ITU-T SG ongoing work or published Recommendations. Topics are selected according to local interest.</w:t>
      </w:r>
    </w:p>
    <w:p w14:paraId="4EE45FE5" w14:textId="77777777" w:rsidR="00523689" w:rsidRPr="00380B40" w:rsidRDefault="00523689" w:rsidP="00523689">
      <w:pPr>
        <w:rPr>
          <w:lang w:val="en-GB"/>
        </w:rPr>
      </w:pPr>
      <w:r w:rsidRPr="00380B40">
        <w:rPr>
          <w:b/>
          <w:bCs/>
          <w:lang w:val="en-GB"/>
        </w:rPr>
        <w:t>8.3.2</w:t>
      </w:r>
      <w:r w:rsidRPr="00380B40">
        <w:rPr>
          <w:b/>
          <w:bCs/>
          <w:lang w:val="en-GB"/>
        </w:rPr>
        <w:tab/>
      </w:r>
      <w:r w:rsidRPr="00380B40">
        <w:rPr>
          <w:lang w:val="en-GB"/>
        </w:rPr>
        <w:t>The main goal is to disseminate ITU-T technical knowledge and to promote the products of the work on standardization.</w:t>
      </w:r>
    </w:p>
    <w:p w14:paraId="2A3FB7FF" w14:textId="77777777" w:rsidR="00523689" w:rsidRPr="00380B40" w:rsidRDefault="00523689" w:rsidP="00523689">
      <w:pPr>
        <w:rPr>
          <w:lang w:val="en-GB"/>
        </w:rPr>
      </w:pPr>
      <w:r w:rsidRPr="00380B40">
        <w:rPr>
          <w:b/>
          <w:bCs/>
          <w:lang w:val="en-GB"/>
        </w:rPr>
        <w:t>8.3.3</w:t>
      </w:r>
      <w:r w:rsidRPr="00380B40">
        <w:rPr>
          <w:b/>
          <w:bCs/>
          <w:lang w:val="en-GB"/>
        </w:rPr>
        <w:tab/>
      </w:r>
      <w:r w:rsidRPr="00380B40">
        <w:rPr>
          <w:lang w:val="en-GB"/>
        </w:rPr>
        <w:t>They are often co-organized with and funded by BDT and targeted at developing countries.</w:t>
      </w:r>
    </w:p>
    <w:p w14:paraId="69828960" w14:textId="77777777" w:rsidR="00523689" w:rsidRPr="00380B40" w:rsidRDefault="00523689" w:rsidP="00523689">
      <w:pPr>
        <w:rPr>
          <w:lang w:val="en-GB"/>
        </w:rPr>
      </w:pPr>
      <w:r w:rsidRPr="00380B40">
        <w:rPr>
          <w:b/>
          <w:bCs/>
          <w:lang w:val="en-GB"/>
        </w:rPr>
        <w:t>8.3.4</w:t>
      </w:r>
      <w:r w:rsidRPr="00380B40">
        <w:rPr>
          <w:b/>
          <w:bCs/>
          <w:lang w:val="en-GB"/>
        </w:rPr>
        <w:tab/>
      </w:r>
      <w:r w:rsidRPr="00380B40">
        <w:rPr>
          <w:lang w:val="en-GB"/>
        </w:rPr>
        <w:t>ITU-T membership or BDT normally initiates this type of event and proposes topics of interest. The Telecommunication Standardization Bureau (TSB) informs and relies on the related SG management team to look for and identify qualified speakers.</w:t>
      </w:r>
    </w:p>
    <w:p w14:paraId="4FDD1C9D" w14:textId="77777777" w:rsidR="00523689" w:rsidRPr="00380B40" w:rsidRDefault="00523689" w:rsidP="00523689">
      <w:pPr>
        <w:pStyle w:val="Heading2"/>
        <w:rPr>
          <w:lang w:val="en-GB"/>
        </w:rPr>
      </w:pPr>
      <w:bookmarkStart w:id="2126" w:name="_Toc216856107"/>
      <w:bookmarkStart w:id="2127" w:name="_Toc111637080"/>
      <w:r w:rsidRPr="00380B40">
        <w:rPr>
          <w:lang w:val="en-GB"/>
        </w:rPr>
        <w:t>8.4</w:t>
      </w:r>
      <w:r w:rsidRPr="00380B40">
        <w:rPr>
          <w:lang w:val="en-GB"/>
        </w:rPr>
        <w:tab/>
        <w:t>Promotion focused</w:t>
      </w:r>
      <w:bookmarkEnd w:id="2126"/>
      <w:bookmarkEnd w:id="2127"/>
    </w:p>
    <w:p w14:paraId="709F8CB9" w14:textId="77777777" w:rsidR="00523689" w:rsidRPr="00380B40" w:rsidRDefault="00523689" w:rsidP="00523689">
      <w:pPr>
        <w:rPr>
          <w:lang w:val="en-GB"/>
        </w:rPr>
      </w:pPr>
      <w:r w:rsidRPr="00380B40">
        <w:rPr>
          <w:b/>
          <w:bCs/>
          <w:lang w:val="en-GB"/>
        </w:rPr>
        <w:t>8.4.1</w:t>
      </w:r>
      <w:r w:rsidRPr="00380B40">
        <w:rPr>
          <w:b/>
          <w:bCs/>
          <w:lang w:val="en-GB"/>
        </w:rPr>
        <w:tab/>
      </w:r>
      <w:r w:rsidRPr="00380B40">
        <w:rPr>
          <w:lang w:val="en-GB"/>
        </w:rPr>
        <w:t>These events are closely linked to promotion activities held outside ITU in order to promote ITU-T work and demonstrate the extent to which ITU contributes in a specific technical area.</w:t>
      </w:r>
    </w:p>
    <w:p w14:paraId="33E67F4E" w14:textId="77777777" w:rsidR="00F64BAE" w:rsidRPr="00380B40" w:rsidRDefault="00F64BAE" w:rsidP="00523689">
      <w:pPr>
        <w:rPr>
          <w:b/>
          <w:bCs/>
          <w:lang w:val="en-GB"/>
        </w:rPr>
      </w:pPr>
      <w:r w:rsidRPr="00380B40">
        <w:rPr>
          <w:b/>
          <w:bCs/>
          <w:lang w:val="en-GB"/>
        </w:rPr>
        <w:br w:type="page"/>
      </w:r>
    </w:p>
    <w:p w14:paraId="2CAEB4F8" w14:textId="77777777" w:rsidR="00523689" w:rsidRPr="00380B40" w:rsidRDefault="00523689" w:rsidP="00523689">
      <w:pPr>
        <w:rPr>
          <w:lang w:val="en-GB"/>
        </w:rPr>
      </w:pPr>
      <w:r w:rsidRPr="00380B40">
        <w:rPr>
          <w:b/>
          <w:bCs/>
          <w:lang w:val="en-GB"/>
        </w:rPr>
        <w:t>8.4.2</w:t>
      </w:r>
      <w:r w:rsidRPr="00380B40">
        <w:rPr>
          <w:b/>
          <w:bCs/>
          <w:lang w:val="en-GB"/>
        </w:rPr>
        <w:tab/>
      </w:r>
      <w:r w:rsidRPr="00380B40">
        <w:rPr>
          <w:lang w:val="en-GB"/>
        </w:rPr>
        <w:t>Though this type of event is mostly suggested by one or more SGs, with specific venue and date, it might not be collocated with the SG meeting but rather associated with a non-ITU industry event related to its study topic.</w:t>
      </w:r>
    </w:p>
    <w:p w14:paraId="45615B92" w14:textId="77777777" w:rsidR="00523689" w:rsidRPr="00380B40" w:rsidRDefault="00523689" w:rsidP="00523689">
      <w:pPr>
        <w:pStyle w:val="Heading1"/>
        <w:rPr>
          <w:lang w:val="en-GB"/>
        </w:rPr>
      </w:pPr>
      <w:bookmarkStart w:id="2128" w:name="_Toc216856108"/>
      <w:bookmarkStart w:id="2129" w:name="_Toc111637081"/>
      <w:r w:rsidRPr="00380B40">
        <w:rPr>
          <w:lang w:val="en-GB"/>
        </w:rPr>
        <w:t>9</w:t>
      </w:r>
      <w:r w:rsidRPr="00380B40">
        <w:rPr>
          <w:lang w:val="en-GB"/>
        </w:rPr>
        <w:tab/>
        <w:t>Event identification</w:t>
      </w:r>
      <w:bookmarkEnd w:id="2128"/>
      <w:bookmarkEnd w:id="2129"/>
    </w:p>
    <w:p w14:paraId="4302C2D6" w14:textId="77777777" w:rsidR="00523689" w:rsidRPr="00380B40" w:rsidRDefault="00523689" w:rsidP="00523689">
      <w:pPr>
        <w:rPr>
          <w:lang w:val="en-GB"/>
        </w:rPr>
      </w:pPr>
      <w:r w:rsidRPr="00380B40">
        <w:rPr>
          <w:lang w:val="en-GB"/>
        </w:rPr>
        <w:t>Once the event format and coordination are properly identified, all related information shall be made available to the Steering Committee (SC), who will be responsible for revising and issuing general advice on the strategic coordination, planning, organization, programme, implementation, drawing and follow-up actions. This SC's task shall be taken according to clause 10 below.</w:t>
      </w:r>
    </w:p>
    <w:p w14:paraId="5BF95A91" w14:textId="77777777" w:rsidR="00523689" w:rsidRPr="00380B40" w:rsidRDefault="00523689" w:rsidP="00523689">
      <w:pPr>
        <w:pStyle w:val="Heading1"/>
        <w:rPr>
          <w:lang w:val="en-GB"/>
        </w:rPr>
      </w:pPr>
      <w:bookmarkStart w:id="2130" w:name="_Toc216856109"/>
      <w:bookmarkStart w:id="2131" w:name="_Toc111637082"/>
      <w:r w:rsidRPr="00380B40">
        <w:rPr>
          <w:lang w:val="en-GB"/>
        </w:rPr>
        <w:t>10</w:t>
      </w:r>
      <w:r w:rsidRPr="00380B40">
        <w:rPr>
          <w:lang w:val="en-GB"/>
        </w:rPr>
        <w:tab/>
        <w:t>Guidelines and coordination requirements for the organization of ITU-T workshops and seminars</w:t>
      </w:r>
      <w:bookmarkEnd w:id="2130"/>
      <w:bookmarkEnd w:id="2131"/>
    </w:p>
    <w:p w14:paraId="081449D1" w14:textId="77777777" w:rsidR="00523689" w:rsidRPr="00380B40" w:rsidRDefault="00523689" w:rsidP="00523689">
      <w:pPr>
        <w:rPr>
          <w:lang w:val="en-GB"/>
        </w:rPr>
      </w:pPr>
      <w:r w:rsidRPr="00380B40">
        <w:rPr>
          <w:lang w:val="en-GB"/>
        </w:rPr>
        <w:t>An appropriate working party within the Telecommunication Standardization Advisory Group (TSAG) shall undertake the responsibility for all activities and tasks regarding the organization of ITU-T workshops and seminars. The following clauses indicate such duties, followed by those within ITU-T to assist TSAG in this undertaking.</w:t>
      </w:r>
    </w:p>
    <w:p w14:paraId="0D6081F0" w14:textId="77777777" w:rsidR="00523689" w:rsidRPr="00380B40" w:rsidRDefault="00523689" w:rsidP="00523689">
      <w:pPr>
        <w:pStyle w:val="Heading2"/>
        <w:rPr>
          <w:lang w:val="en-GB"/>
        </w:rPr>
      </w:pPr>
      <w:bookmarkStart w:id="2132" w:name="_Toc216856110"/>
      <w:bookmarkStart w:id="2133" w:name="_Toc111637083"/>
      <w:r w:rsidRPr="00380B40">
        <w:rPr>
          <w:lang w:val="en-GB"/>
        </w:rPr>
        <w:t>10.1</w:t>
      </w:r>
      <w:r w:rsidRPr="00380B40">
        <w:rPr>
          <w:lang w:val="en-GB"/>
        </w:rPr>
        <w:tab/>
        <w:t>Guidelines, results and exchange of experience</w:t>
      </w:r>
      <w:bookmarkEnd w:id="2132"/>
      <w:bookmarkEnd w:id="2133"/>
    </w:p>
    <w:p w14:paraId="4A6591B4" w14:textId="77777777" w:rsidR="00523689" w:rsidRPr="00380B40" w:rsidRDefault="00523689" w:rsidP="00523689">
      <w:pPr>
        <w:rPr>
          <w:lang w:val="en-GB"/>
        </w:rPr>
      </w:pPr>
      <w:r w:rsidRPr="00380B40">
        <w:rPr>
          <w:b/>
          <w:bCs/>
          <w:lang w:val="en-GB"/>
        </w:rPr>
        <w:t>10.1.1</w:t>
      </w:r>
      <w:r w:rsidRPr="00380B40">
        <w:rPr>
          <w:b/>
          <w:bCs/>
          <w:lang w:val="en-GB"/>
        </w:rPr>
        <w:tab/>
      </w:r>
      <w:r w:rsidRPr="00380B40">
        <w:rPr>
          <w:lang w:val="en-GB"/>
        </w:rPr>
        <w:t>Study and provide conceptual and strategic guidelines for the preparation, running and evaluation of workshops and seminars.</w:t>
      </w:r>
    </w:p>
    <w:p w14:paraId="3593851A" w14:textId="77777777" w:rsidR="00523689" w:rsidRPr="00380B40" w:rsidRDefault="00523689" w:rsidP="00523689">
      <w:pPr>
        <w:rPr>
          <w:lang w:val="en-GB"/>
        </w:rPr>
      </w:pPr>
      <w:r w:rsidRPr="00380B40">
        <w:rPr>
          <w:lang w:val="en-GB"/>
        </w:rPr>
        <w:tab/>
        <w:t>Support: TSB.</w:t>
      </w:r>
    </w:p>
    <w:p w14:paraId="776600B2" w14:textId="77777777" w:rsidR="00523689" w:rsidRPr="00380B40" w:rsidRDefault="00523689" w:rsidP="00523689">
      <w:pPr>
        <w:rPr>
          <w:lang w:val="en-GB"/>
        </w:rPr>
      </w:pPr>
      <w:r w:rsidRPr="00380B40">
        <w:rPr>
          <w:b/>
          <w:bCs/>
          <w:lang w:val="en-GB"/>
        </w:rPr>
        <w:t>10.1.2</w:t>
      </w:r>
      <w:r w:rsidRPr="00380B40">
        <w:rPr>
          <w:b/>
          <w:bCs/>
          <w:lang w:val="en-GB"/>
        </w:rPr>
        <w:tab/>
      </w:r>
      <w:r w:rsidRPr="00380B40">
        <w:rPr>
          <w:lang w:val="en-GB"/>
        </w:rPr>
        <w:t>Review the extent to which it is possible to follow the conceptual and strategic guidelines in the preparation, running and evaluation of each workshop or seminar.</w:t>
      </w:r>
    </w:p>
    <w:p w14:paraId="1F35AD18" w14:textId="77777777" w:rsidR="00523689" w:rsidRPr="00380B40" w:rsidRDefault="00523689" w:rsidP="00523689">
      <w:pPr>
        <w:rPr>
          <w:lang w:val="en-GB"/>
        </w:rPr>
      </w:pPr>
      <w:r w:rsidRPr="00380B40">
        <w:rPr>
          <w:lang w:val="en-GB"/>
        </w:rPr>
        <w:tab/>
        <w:t>Support: TSB.</w:t>
      </w:r>
    </w:p>
    <w:p w14:paraId="693E3214" w14:textId="77777777" w:rsidR="00523689" w:rsidRPr="00380B40" w:rsidRDefault="00523689" w:rsidP="00523689">
      <w:pPr>
        <w:rPr>
          <w:lang w:val="en-GB"/>
        </w:rPr>
      </w:pPr>
      <w:r w:rsidRPr="00380B40">
        <w:rPr>
          <w:b/>
          <w:bCs/>
          <w:lang w:val="en-GB"/>
        </w:rPr>
        <w:t>10.1.3</w:t>
      </w:r>
      <w:r w:rsidRPr="00380B40">
        <w:rPr>
          <w:b/>
          <w:bCs/>
          <w:lang w:val="en-GB"/>
        </w:rPr>
        <w:tab/>
      </w:r>
      <w:r w:rsidRPr="00380B40">
        <w:rPr>
          <w:lang w:val="en-GB"/>
        </w:rPr>
        <w:t xml:space="preserve">Review the reports produced by each workshop or seminar that, </w:t>
      </w:r>
      <w:r w:rsidRPr="00380B40">
        <w:rPr>
          <w:i/>
          <w:lang w:val="en-GB"/>
        </w:rPr>
        <w:t>inter alia</w:t>
      </w:r>
      <w:r w:rsidRPr="00380B40">
        <w:rPr>
          <w:lang w:val="en-GB"/>
        </w:rPr>
        <w:t>, cover lessons learned and recommended follow-up actions. These reports should be produced no later than three months following the events. The reports should highlight the needs of developing countries, if any, and be disseminated as widely as possible.</w:t>
      </w:r>
    </w:p>
    <w:p w14:paraId="12142A98" w14:textId="77777777" w:rsidR="00523689" w:rsidRPr="00380B40" w:rsidRDefault="00523689" w:rsidP="00523689">
      <w:pPr>
        <w:rPr>
          <w:lang w:val="en-GB"/>
        </w:rPr>
      </w:pPr>
      <w:r w:rsidRPr="00380B40">
        <w:rPr>
          <w:lang w:val="en-GB"/>
        </w:rPr>
        <w:tab/>
        <w:t>Support: Study groups and TSB.</w:t>
      </w:r>
    </w:p>
    <w:p w14:paraId="2AB2D054" w14:textId="77777777" w:rsidR="00523689" w:rsidRPr="00380B40" w:rsidRDefault="00523689" w:rsidP="00523689">
      <w:pPr>
        <w:rPr>
          <w:lang w:val="en-GB"/>
        </w:rPr>
      </w:pPr>
      <w:r w:rsidRPr="00380B40">
        <w:rPr>
          <w:b/>
          <w:bCs/>
          <w:lang w:val="en-GB"/>
        </w:rPr>
        <w:t>10.1.4</w:t>
      </w:r>
      <w:r w:rsidRPr="00380B40">
        <w:rPr>
          <w:b/>
          <w:bCs/>
          <w:lang w:val="en-GB"/>
        </w:rPr>
        <w:tab/>
      </w:r>
      <w:r w:rsidRPr="00380B40">
        <w:rPr>
          <w:lang w:val="en-GB"/>
        </w:rPr>
        <w:t>Contribute to the exchange of positive experience in the preparation, running and evaluation of the workshops and seminars.</w:t>
      </w:r>
    </w:p>
    <w:p w14:paraId="28EEE874" w14:textId="77777777" w:rsidR="00523689" w:rsidRPr="00380B40" w:rsidRDefault="00523689" w:rsidP="00523689">
      <w:pPr>
        <w:rPr>
          <w:lang w:val="en-GB"/>
        </w:rPr>
      </w:pPr>
      <w:r w:rsidRPr="00380B40">
        <w:rPr>
          <w:lang w:val="en-GB"/>
        </w:rPr>
        <w:tab/>
        <w:t>Support: Study groups and TSB.</w:t>
      </w:r>
    </w:p>
    <w:p w14:paraId="70587DFC" w14:textId="77777777" w:rsidR="00F64BAE" w:rsidRPr="00380B40" w:rsidRDefault="00F64BAE" w:rsidP="00523689">
      <w:pPr>
        <w:rPr>
          <w:b/>
          <w:bCs/>
          <w:lang w:val="en-GB"/>
        </w:rPr>
      </w:pPr>
      <w:r w:rsidRPr="00380B40">
        <w:rPr>
          <w:b/>
          <w:bCs/>
          <w:lang w:val="en-GB"/>
        </w:rPr>
        <w:br w:type="page"/>
      </w:r>
    </w:p>
    <w:p w14:paraId="0DE61034" w14:textId="77777777" w:rsidR="00523689" w:rsidRPr="00380B40" w:rsidRDefault="00523689" w:rsidP="00523689">
      <w:pPr>
        <w:rPr>
          <w:lang w:val="en-GB"/>
        </w:rPr>
      </w:pPr>
      <w:r w:rsidRPr="00380B40">
        <w:rPr>
          <w:b/>
          <w:bCs/>
          <w:lang w:val="en-GB"/>
        </w:rPr>
        <w:t>10.1.5</w:t>
      </w:r>
      <w:r w:rsidRPr="00380B40">
        <w:rPr>
          <w:b/>
          <w:bCs/>
          <w:lang w:val="en-GB"/>
        </w:rPr>
        <w:tab/>
      </w:r>
      <w:r w:rsidRPr="00380B40">
        <w:rPr>
          <w:lang w:val="en-GB"/>
        </w:rPr>
        <w:t>Encourage and evaluate the evolving implementation of the gender perspective in the programme of ITU-T workshops and seminars.</w:t>
      </w:r>
    </w:p>
    <w:p w14:paraId="4E0864D8" w14:textId="77777777" w:rsidR="00523689" w:rsidRPr="00380B40" w:rsidRDefault="00523689" w:rsidP="00523689">
      <w:pPr>
        <w:rPr>
          <w:lang w:val="en-GB"/>
        </w:rPr>
      </w:pPr>
      <w:r w:rsidRPr="00380B40">
        <w:rPr>
          <w:lang w:val="en-GB"/>
        </w:rPr>
        <w:tab/>
        <w:t>Support: TSB.</w:t>
      </w:r>
    </w:p>
    <w:p w14:paraId="33119706" w14:textId="77777777" w:rsidR="00523689" w:rsidRPr="00380B40" w:rsidRDefault="00523689" w:rsidP="00523689">
      <w:pPr>
        <w:pStyle w:val="Heading2"/>
        <w:rPr>
          <w:lang w:val="en-GB"/>
        </w:rPr>
      </w:pPr>
      <w:bookmarkStart w:id="2134" w:name="_Toc216856111"/>
      <w:bookmarkStart w:id="2135" w:name="_Toc111637084"/>
      <w:r w:rsidRPr="00380B40">
        <w:rPr>
          <w:lang w:val="en-GB"/>
        </w:rPr>
        <w:t>10.2</w:t>
      </w:r>
      <w:r w:rsidRPr="00380B40">
        <w:rPr>
          <w:lang w:val="en-GB"/>
        </w:rPr>
        <w:tab/>
        <w:t>Coordination within ITU-T, and between ITU-T and the other two Sectors and the General Secretariat of ITU</w:t>
      </w:r>
      <w:bookmarkEnd w:id="2134"/>
      <w:bookmarkEnd w:id="2135"/>
    </w:p>
    <w:p w14:paraId="44DB91E1" w14:textId="77777777" w:rsidR="00523689" w:rsidRPr="00380B40" w:rsidRDefault="00523689" w:rsidP="00523689">
      <w:pPr>
        <w:rPr>
          <w:lang w:val="en-GB"/>
        </w:rPr>
      </w:pPr>
      <w:r w:rsidRPr="00380B40">
        <w:rPr>
          <w:b/>
          <w:bCs/>
          <w:lang w:val="en-GB"/>
        </w:rPr>
        <w:t>10.2.1</w:t>
      </w:r>
      <w:r w:rsidRPr="00380B40">
        <w:rPr>
          <w:b/>
          <w:bCs/>
          <w:lang w:val="en-GB"/>
        </w:rPr>
        <w:tab/>
      </w:r>
      <w:r w:rsidRPr="00380B40">
        <w:rPr>
          <w:lang w:val="en-GB"/>
        </w:rPr>
        <w:t>Coordinate and assess the development of the ITU-T programme of workshops and seminars, taking into consideration budgetary implications and the needs of developing countries.</w:t>
      </w:r>
    </w:p>
    <w:p w14:paraId="36783044" w14:textId="77777777" w:rsidR="00523689" w:rsidRPr="00380B40" w:rsidRDefault="00523689" w:rsidP="00523689">
      <w:pPr>
        <w:rPr>
          <w:lang w:val="en-GB"/>
        </w:rPr>
      </w:pPr>
      <w:r w:rsidRPr="00380B40">
        <w:rPr>
          <w:lang w:val="en-GB"/>
        </w:rPr>
        <w:tab/>
        <w:t>Support: TSB, in cooperation with BDT (e.g., ITU regional offices and centres of excellence), as applicable.</w:t>
      </w:r>
    </w:p>
    <w:p w14:paraId="3BE07E24" w14:textId="77777777" w:rsidR="00523689" w:rsidRPr="00380B40" w:rsidRDefault="00523689" w:rsidP="00523689">
      <w:pPr>
        <w:rPr>
          <w:lang w:val="en-GB"/>
        </w:rPr>
      </w:pPr>
      <w:r w:rsidRPr="00380B40">
        <w:rPr>
          <w:b/>
          <w:bCs/>
          <w:lang w:val="en-GB"/>
        </w:rPr>
        <w:t>10.2.2</w:t>
      </w:r>
      <w:r w:rsidRPr="00380B40">
        <w:rPr>
          <w:b/>
          <w:bCs/>
          <w:lang w:val="en-GB"/>
        </w:rPr>
        <w:tab/>
      </w:r>
      <w:r w:rsidRPr="00380B40">
        <w:rPr>
          <w:lang w:val="en-GB"/>
        </w:rPr>
        <w:t>Coordinate and harmonize the programme of ITU-T workshops and seminars, in close cooperation with the other two Sectors and the General Secretariat of ITU.</w:t>
      </w:r>
    </w:p>
    <w:p w14:paraId="2E53F1F6" w14:textId="77777777" w:rsidR="00523689" w:rsidRPr="00380B40" w:rsidRDefault="00523689" w:rsidP="00523689">
      <w:pPr>
        <w:rPr>
          <w:lang w:val="en-GB"/>
        </w:rPr>
      </w:pPr>
      <w:r w:rsidRPr="00380B40">
        <w:rPr>
          <w:lang w:val="en-GB"/>
        </w:rPr>
        <w:tab/>
        <w:t>Support: TSB, in cooperation with BDT, BR and the General Secretariat, as applicable.</w:t>
      </w:r>
    </w:p>
    <w:p w14:paraId="65763DC3" w14:textId="77777777" w:rsidR="00523689" w:rsidRPr="00380B40" w:rsidRDefault="00523689" w:rsidP="00523689">
      <w:pPr>
        <w:rPr>
          <w:lang w:val="en-GB"/>
        </w:rPr>
      </w:pPr>
      <w:r w:rsidRPr="00380B40">
        <w:rPr>
          <w:b/>
          <w:bCs/>
          <w:lang w:val="en-GB"/>
        </w:rPr>
        <w:t>10.2.3</w:t>
      </w:r>
      <w:r w:rsidRPr="00380B40">
        <w:rPr>
          <w:b/>
          <w:bCs/>
          <w:lang w:val="en-GB"/>
        </w:rPr>
        <w:tab/>
      </w:r>
      <w:r w:rsidRPr="00380B40">
        <w:rPr>
          <w:lang w:val="en-GB"/>
        </w:rPr>
        <w:t>Coordinate and harmonize the programme of ITU-T workshops and seminars, in order to optimize the participation of non-ITU-T members involved with technological innovation and technical change (e.g., academia, research organizations, and small and medium enterprises) in as many events as practicable.</w:t>
      </w:r>
    </w:p>
    <w:p w14:paraId="042C420D" w14:textId="77777777" w:rsidR="00523689" w:rsidRPr="00380B40" w:rsidRDefault="00523689" w:rsidP="00523689">
      <w:pPr>
        <w:rPr>
          <w:lang w:val="en-GB"/>
        </w:rPr>
      </w:pPr>
      <w:r w:rsidRPr="00380B40">
        <w:rPr>
          <w:lang w:val="en-GB"/>
        </w:rPr>
        <w:tab/>
        <w:t>Support: TSB.</w:t>
      </w:r>
    </w:p>
    <w:p w14:paraId="30EEA8E4" w14:textId="77777777" w:rsidR="00523689" w:rsidRPr="00380B40" w:rsidRDefault="00523689" w:rsidP="00523689">
      <w:pPr>
        <w:rPr>
          <w:lang w:val="en-GB"/>
        </w:rPr>
      </w:pPr>
      <w:r w:rsidRPr="00380B40">
        <w:rPr>
          <w:b/>
          <w:bCs/>
          <w:lang w:val="en-GB"/>
        </w:rPr>
        <w:t>10.2.4</w:t>
      </w:r>
      <w:r w:rsidRPr="00380B40">
        <w:rPr>
          <w:b/>
          <w:bCs/>
          <w:lang w:val="en-GB"/>
        </w:rPr>
        <w:tab/>
      </w:r>
      <w:r w:rsidRPr="00380B40">
        <w:rPr>
          <w:lang w:val="en-GB"/>
        </w:rPr>
        <w:t>Work in close cooperation with the study groups' management teams and TSB.</w:t>
      </w:r>
    </w:p>
    <w:p w14:paraId="4ED20732" w14:textId="77777777" w:rsidR="00523689" w:rsidRPr="00380B40" w:rsidRDefault="00523689" w:rsidP="00523689">
      <w:pPr>
        <w:rPr>
          <w:lang w:val="en-GB"/>
        </w:rPr>
      </w:pPr>
      <w:r w:rsidRPr="00380B40">
        <w:rPr>
          <w:lang w:val="en-GB"/>
        </w:rPr>
        <w:tab/>
        <w:t>Support: TSB, in cooperation with BDT, as applicable.</w:t>
      </w:r>
    </w:p>
    <w:p w14:paraId="6A6AF73B" w14:textId="77777777" w:rsidR="00523689" w:rsidRPr="00380B40" w:rsidRDefault="00523689" w:rsidP="00523689">
      <w:pPr>
        <w:rPr>
          <w:b/>
          <w:lang w:val="en-GB"/>
        </w:rPr>
      </w:pPr>
      <w:r w:rsidRPr="00380B40">
        <w:rPr>
          <w:b/>
          <w:bCs/>
          <w:lang w:val="en-GB"/>
        </w:rPr>
        <w:t>10.2.5</w:t>
      </w:r>
      <w:r w:rsidRPr="00380B40">
        <w:rPr>
          <w:b/>
          <w:bCs/>
          <w:lang w:val="en-GB"/>
        </w:rPr>
        <w:tab/>
      </w:r>
      <w:r w:rsidRPr="00380B40">
        <w:rPr>
          <w:lang w:val="en-GB"/>
        </w:rPr>
        <w:t>Take into account relevant topics identified by the technology watch function of TSAG, in order to encourage the eventual organization of a workshop or seminar associated with them.</w:t>
      </w:r>
    </w:p>
    <w:p w14:paraId="249B8C1E" w14:textId="77777777" w:rsidR="00523689" w:rsidRPr="00380B40" w:rsidRDefault="00523689" w:rsidP="00523689">
      <w:pPr>
        <w:rPr>
          <w:b/>
          <w:lang w:val="en-GB"/>
        </w:rPr>
      </w:pPr>
      <w:r w:rsidRPr="00380B40">
        <w:rPr>
          <w:lang w:val="en-GB"/>
        </w:rPr>
        <w:tab/>
        <w:t>Support: TSB.</w:t>
      </w:r>
    </w:p>
    <w:p w14:paraId="7E5B3422" w14:textId="77777777" w:rsidR="00523689" w:rsidRPr="00380B40" w:rsidRDefault="00523689" w:rsidP="00523689">
      <w:pPr>
        <w:pStyle w:val="Heading2"/>
        <w:rPr>
          <w:lang w:val="en-GB"/>
        </w:rPr>
      </w:pPr>
      <w:bookmarkStart w:id="2136" w:name="_Toc216856112"/>
      <w:bookmarkStart w:id="2137" w:name="_Toc111637085"/>
      <w:r w:rsidRPr="00380B40">
        <w:rPr>
          <w:lang w:val="en-GB"/>
        </w:rPr>
        <w:t>10.3</w:t>
      </w:r>
      <w:r w:rsidRPr="00380B40">
        <w:rPr>
          <w:lang w:val="en-GB"/>
        </w:rPr>
        <w:tab/>
        <w:t>Coordination between ITU-T and relevant SDOs and regional organizations</w:t>
      </w:r>
      <w:bookmarkEnd w:id="2136"/>
      <w:bookmarkEnd w:id="2137"/>
    </w:p>
    <w:p w14:paraId="0BEC095F" w14:textId="77777777" w:rsidR="00523689" w:rsidRPr="00380B40" w:rsidRDefault="00523689" w:rsidP="00523689">
      <w:pPr>
        <w:rPr>
          <w:lang w:val="en-GB"/>
        </w:rPr>
      </w:pPr>
      <w:r w:rsidRPr="00380B40">
        <w:rPr>
          <w:lang w:val="en-GB"/>
        </w:rPr>
        <w:t>Coordinate and harmonize the programme of ITU-T workshops and seminars, in close cooperation with relevant regional organizations.</w:t>
      </w:r>
    </w:p>
    <w:p w14:paraId="79302F4A" w14:textId="77777777" w:rsidR="00523689" w:rsidRPr="00380B40" w:rsidRDefault="00523689" w:rsidP="00523689">
      <w:pPr>
        <w:rPr>
          <w:lang w:val="en-GB"/>
        </w:rPr>
      </w:pPr>
      <w:r w:rsidRPr="00380B40">
        <w:rPr>
          <w:lang w:val="en-GB"/>
        </w:rPr>
        <w:tab/>
        <w:t>Support: TSB.</w:t>
      </w:r>
    </w:p>
    <w:p w14:paraId="48932969" w14:textId="77777777" w:rsidR="00F64BAE" w:rsidRPr="00380B40" w:rsidRDefault="00F64BAE" w:rsidP="00F64BAE">
      <w:pPr>
        <w:rPr>
          <w:lang w:val="en-GB"/>
        </w:rPr>
      </w:pPr>
      <w:bookmarkStart w:id="2138" w:name="_Toc216856113"/>
      <w:r w:rsidRPr="00380B40">
        <w:rPr>
          <w:lang w:val="en-GB"/>
        </w:rPr>
        <w:br w:type="page"/>
      </w:r>
    </w:p>
    <w:p w14:paraId="50A880FA" w14:textId="77777777" w:rsidR="00523689" w:rsidRPr="00380B40" w:rsidRDefault="00523689" w:rsidP="00523689">
      <w:pPr>
        <w:pStyle w:val="Heading2"/>
        <w:rPr>
          <w:lang w:val="en-GB"/>
        </w:rPr>
      </w:pPr>
      <w:bookmarkStart w:id="2139" w:name="_Toc111637086"/>
      <w:r w:rsidRPr="00380B40">
        <w:rPr>
          <w:lang w:val="en-GB"/>
        </w:rPr>
        <w:t>10.4</w:t>
      </w:r>
      <w:r w:rsidRPr="00380B40">
        <w:rPr>
          <w:lang w:val="en-GB"/>
        </w:rPr>
        <w:tab/>
        <w:t>Administrative nature</w:t>
      </w:r>
      <w:bookmarkEnd w:id="2138"/>
      <w:bookmarkEnd w:id="2139"/>
    </w:p>
    <w:p w14:paraId="6B68DCDF" w14:textId="77777777" w:rsidR="00523689" w:rsidRPr="00380B40" w:rsidRDefault="00523689" w:rsidP="00523689">
      <w:pPr>
        <w:keepNext/>
        <w:keepLines/>
        <w:rPr>
          <w:lang w:val="en-GB"/>
        </w:rPr>
      </w:pPr>
      <w:r w:rsidRPr="00380B40">
        <w:rPr>
          <w:lang w:val="en-GB"/>
        </w:rPr>
        <w:t>Provide a report on the activities addressed in clauses 10.1, 10.2 and 10.3, to each meeting of TSAG for consideration and appropriate action.</w:t>
      </w:r>
    </w:p>
    <w:p w14:paraId="30EE3FFD" w14:textId="77777777" w:rsidR="00523689" w:rsidRPr="00380B40" w:rsidRDefault="00523689" w:rsidP="00523689">
      <w:pPr>
        <w:rPr>
          <w:lang w:val="en-GB"/>
        </w:rPr>
      </w:pPr>
      <w:r w:rsidRPr="00380B40">
        <w:rPr>
          <w:lang w:val="en-GB"/>
        </w:rPr>
        <w:tab/>
        <w:t>Support: TSB.</w:t>
      </w:r>
    </w:p>
    <w:p w14:paraId="3F1992D2" w14:textId="77777777" w:rsidR="00523689" w:rsidRPr="00380B40" w:rsidRDefault="00523689" w:rsidP="00523689">
      <w:pPr>
        <w:pStyle w:val="Heading1"/>
        <w:rPr>
          <w:lang w:val="en-GB"/>
        </w:rPr>
      </w:pPr>
      <w:bookmarkStart w:id="2140" w:name="_Toc216856114"/>
      <w:bookmarkStart w:id="2141" w:name="_Toc111637087"/>
      <w:r w:rsidRPr="00380B40">
        <w:rPr>
          <w:lang w:val="en-GB"/>
        </w:rPr>
        <w:t>11</w:t>
      </w:r>
      <w:r w:rsidRPr="00380B40">
        <w:rPr>
          <w:lang w:val="en-GB"/>
        </w:rPr>
        <w:tab/>
        <w:t>Basic requirements for the evaluation and follow-up actions of workshops and seminars</w:t>
      </w:r>
      <w:bookmarkEnd w:id="2140"/>
      <w:bookmarkEnd w:id="2141"/>
    </w:p>
    <w:p w14:paraId="532247D2" w14:textId="77777777" w:rsidR="00523689" w:rsidRPr="00380B40" w:rsidRDefault="00523689" w:rsidP="00523689">
      <w:pPr>
        <w:rPr>
          <w:lang w:val="en-GB"/>
        </w:rPr>
      </w:pPr>
      <w:r w:rsidRPr="00380B40">
        <w:rPr>
          <w:b/>
          <w:bCs/>
          <w:lang w:val="en-GB"/>
        </w:rPr>
        <w:t>11.1</w:t>
      </w:r>
      <w:r w:rsidRPr="00380B40">
        <w:rPr>
          <w:b/>
          <w:bCs/>
          <w:lang w:val="en-GB"/>
        </w:rPr>
        <w:tab/>
      </w:r>
      <w:r w:rsidRPr="00380B40">
        <w:rPr>
          <w:lang w:val="en-GB"/>
        </w:rPr>
        <w:t xml:space="preserve">Depending consistently upon the use of information technology, ITU-T homepages are identified as a crucial item for improving the organization of workshops and seminars and giving valuable feedback to TSB and TSAG on current status. Therefore, the website is to be maintained by TSB, so that accurate information provided by </w:t>
      </w:r>
      <w:r w:rsidRPr="00380B40">
        <w:rPr>
          <w:bCs/>
          <w:lang w:val="en-GB"/>
        </w:rPr>
        <w:t xml:space="preserve">workshop and </w:t>
      </w:r>
      <w:r w:rsidRPr="00380B40">
        <w:rPr>
          <w:lang w:val="en-GB"/>
        </w:rPr>
        <w:t>seminar organizers and the SC is made public on the Internet to all interested parties.</w:t>
      </w:r>
    </w:p>
    <w:p w14:paraId="652A32B5" w14:textId="77777777" w:rsidR="00523689" w:rsidRPr="00380B40" w:rsidRDefault="00523689" w:rsidP="00523689">
      <w:pPr>
        <w:rPr>
          <w:lang w:val="en-GB"/>
        </w:rPr>
      </w:pPr>
      <w:r w:rsidRPr="00380B40">
        <w:rPr>
          <w:b/>
          <w:bCs/>
          <w:lang w:val="en-GB"/>
        </w:rPr>
        <w:t>11.2</w:t>
      </w:r>
      <w:r w:rsidRPr="00380B40">
        <w:rPr>
          <w:b/>
          <w:bCs/>
          <w:lang w:val="en-GB"/>
        </w:rPr>
        <w:tab/>
      </w:r>
      <w:r w:rsidRPr="00380B40">
        <w:rPr>
          <w:lang w:val="en-GB"/>
        </w:rPr>
        <w:t xml:space="preserve">The website shall provide a range of functionalities, including immediate access to past, current and forthcoming events. Data on events is to be shown in a standardized format and is to include the following basic requirements for the evaluation and follow-up actions of ITU-T workshops and seminars, as exemplified in Table 1: </w:t>
      </w:r>
    </w:p>
    <w:p w14:paraId="1EE8276B" w14:textId="77777777" w:rsidR="00523689" w:rsidRPr="00380B40" w:rsidRDefault="00523689" w:rsidP="00523689">
      <w:pPr>
        <w:pStyle w:val="enumlev1"/>
        <w:rPr>
          <w:lang w:val="en-GB"/>
        </w:rPr>
      </w:pPr>
      <w:r w:rsidRPr="00380B40">
        <w:rPr>
          <w:lang w:val="en-GB"/>
        </w:rPr>
        <w:sym w:font="Symbol" w:char="F02D"/>
      </w:r>
      <w:r w:rsidRPr="00380B40">
        <w:rPr>
          <w:lang w:val="en-GB"/>
        </w:rPr>
        <w:tab/>
        <w:t>Title</w:t>
      </w:r>
    </w:p>
    <w:p w14:paraId="4B3CE94B" w14:textId="77777777" w:rsidR="00523689" w:rsidRPr="00380B40" w:rsidRDefault="00523689" w:rsidP="00523689">
      <w:pPr>
        <w:pStyle w:val="enumlev1"/>
        <w:rPr>
          <w:lang w:val="en-GB"/>
        </w:rPr>
      </w:pPr>
      <w:r w:rsidRPr="00380B40">
        <w:rPr>
          <w:lang w:val="en-GB"/>
        </w:rPr>
        <w:sym w:font="Symbol" w:char="F02D"/>
      </w:r>
      <w:r w:rsidRPr="00380B40">
        <w:rPr>
          <w:lang w:val="en-GB"/>
        </w:rPr>
        <w:tab/>
        <w:t>Place</w:t>
      </w:r>
    </w:p>
    <w:p w14:paraId="7ACECFA3" w14:textId="77777777" w:rsidR="00523689" w:rsidRPr="00380B40" w:rsidRDefault="00523689" w:rsidP="00523689">
      <w:pPr>
        <w:pStyle w:val="enumlev1"/>
        <w:rPr>
          <w:lang w:val="en-GB"/>
        </w:rPr>
      </w:pPr>
      <w:r w:rsidRPr="00380B40">
        <w:rPr>
          <w:lang w:val="en-GB"/>
        </w:rPr>
        <w:sym w:font="Symbol" w:char="F02D"/>
      </w:r>
      <w:r w:rsidRPr="00380B40">
        <w:rPr>
          <w:lang w:val="en-GB"/>
        </w:rPr>
        <w:tab/>
        <w:t>Start date</w:t>
      </w:r>
    </w:p>
    <w:p w14:paraId="6B00A7E8" w14:textId="77777777" w:rsidR="00523689" w:rsidRPr="00380B40" w:rsidRDefault="00523689" w:rsidP="00523689">
      <w:pPr>
        <w:pStyle w:val="enumlev1"/>
        <w:rPr>
          <w:lang w:val="en-GB"/>
        </w:rPr>
      </w:pPr>
      <w:r w:rsidRPr="00380B40">
        <w:rPr>
          <w:lang w:val="en-GB"/>
        </w:rPr>
        <w:sym w:font="Symbol" w:char="F02D"/>
      </w:r>
      <w:r w:rsidRPr="00380B40">
        <w:rPr>
          <w:lang w:val="en-GB"/>
        </w:rPr>
        <w:tab/>
        <w:t>End date</w:t>
      </w:r>
    </w:p>
    <w:p w14:paraId="13366DB0" w14:textId="77777777" w:rsidR="00523689" w:rsidRPr="00380B40" w:rsidRDefault="00523689" w:rsidP="00523689">
      <w:pPr>
        <w:pStyle w:val="enumlev1"/>
        <w:rPr>
          <w:lang w:val="en-GB"/>
        </w:rPr>
      </w:pPr>
      <w:r w:rsidRPr="00380B40">
        <w:rPr>
          <w:lang w:val="en-GB"/>
        </w:rPr>
        <w:sym w:font="Symbol" w:char="F02D"/>
      </w:r>
      <w:r w:rsidRPr="00380B40">
        <w:rPr>
          <w:lang w:val="en-GB"/>
        </w:rPr>
        <w:tab/>
        <w:t>Basic information</w:t>
      </w:r>
    </w:p>
    <w:p w14:paraId="2A1ABCE6" w14:textId="77777777" w:rsidR="00523689" w:rsidRPr="00380B40" w:rsidRDefault="00523689" w:rsidP="00523689">
      <w:pPr>
        <w:pStyle w:val="enumlev2"/>
        <w:rPr>
          <w:lang w:val="en-GB"/>
        </w:rPr>
      </w:pPr>
      <w:r w:rsidRPr="00380B40">
        <w:rPr>
          <w:b/>
          <w:bCs/>
          <w:lang w:val="en-GB"/>
        </w:rPr>
        <w:t>•</w:t>
      </w:r>
      <w:r w:rsidRPr="00380B40">
        <w:rPr>
          <w:b/>
          <w:bCs/>
          <w:lang w:val="en-GB"/>
        </w:rPr>
        <w:tab/>
      </w:r>
      <w:r w:rsidRPr="00380B40">
        <w:rPr>
          <w:lang w:val="en-GB"/>
        </w:rPr>
        <w:t>Contact</w:t>
      </w:r>
    </w:p>
    <w:p w14:paraId="5ECD93BA" w14:textId="77777777" w:rsidR="00523689" w:rsidRPr="00380B40" w:rsidRDefault="00523689" w:rsidP="00523689">
      <w:pPr>
        <w:pStyle w:val="enumlev2"/>
        <w:rPr>
          <w:lang w:val="en-GB"/>
        </w:rPr>
      </w:pPr>
      <w:r w:rsidRPr="00380B40">
        <w:rPr>
          <w:b/>
          <w:bCs/>
          <w:lang w:val="en-GB"/>
        </w:rPr>
        <w:t>•</w:t>
      </w:r>
      <w:r w:rsidRPr="00380B40">
        <w:rPr>
          <w:b/>
          <w:bCs/>
          <w:lang w:val="en-GB"/>
        </w:rPr>
        <w:tab/>
      </w:r>
      <w:r w:rsidRPr="00380B40">
        <w:rPr>
          <w:lang w:val="en-GB"/>
        </w:rPr>
        <w:t>Invitation</w:t>
      </w:r>
    </w:p>
    <w:p w14:paraId="0FA92E0D" w14:textId="77777777" w:rsidR="00523689" w:rsidRPr="00380B40" w:rsidRDefault="00523689" w:rsidP="00523689">
      <w:pPr>
        <w:pStyle w:val="enumlev2"/>
        <w:rPr>
          <w:lang w:val="en-GB"/>
        </w:rPr>
      </w:pPr>
      <w:r w:rsidRPr="00380B40">
        <w:rPr>
          <w:b/>
          <w:bCs/>
          <w:lang w:val="en-GB"/>
        </w:rPr>
        <w:t>•</w:t>
      </w:r>
      <w:r w:rsidRPr="00380B40">
        <w:rPr>
          <w:b/>
          <w:bCs/>
          <w:lang w:val="en-GB"/>
        </w:rPr>
        <w:tab/>
      </w:r>
      <w:r w:rsidRPr="00380B40">
        <w:rPr>
          <w:lang w:val="en-GB"/>
        </w:rPr>
        <w:t>Programme</w:t>
      </w:r>
    </w:p>
    <w:p w14:paraId="68585647" w14:textId="77777777" w:rsidR="00523689" w:rsidRPr="00380B40" w:rsidRDefault="00523689" w:rsidP="00523689">
      <w:pPr>
        <w:pStyle w:val="enumlev2"/>
        <w:rPr>
          <w:lang w:val="en-GB"/>
        </w:rPr>
      </w:pPr>
      <w:r w:rsidRPr="00380B40">
        <w:rPr>
          <w:b/>
          <w:bCs/>
          <w:lang w:val="en-GB"/>
        </w:rPr>
        <w:t>•</w:t>
      </w:r>
      <w:r w:rsidRPr="00380B40">
        <w:rPr>
          <w:lang w:val="en-GB"/>
        </w:rPr>
        <w:tab/>
        <w:t>Steering committee</w:t>
      </w:r>
    </w:p>
    <w:p w14:paraId="1FF2CC6B" w14:textId="77777777" w:rsidR="00523689" w:rsidRPr="00380B40" w:rsidRDefault="00523689" w:rsidP="00523689">
      <w:pPr>
        <w:pStyle w:val="enumlev2"/>
        <w:rPr>
          <w:lang w:val="en-GB"/>
        </w:rPr>
      </w:pPr>
      <w:r w:rsidRPr="00380B40">
        <w:rPr>
          <w:b/>
          <w:bCs/>
          <w:lang w:val="en-GB"/>
        </w:rPr>
        <w:t>•</w:t>
      </w:r>
      <w:r w:rsidRPr="00380B40">
        <w:rPr>
          <w:lang w:val="en-GB"/>
        </w:rPr>
        <w:tab/>
        <w:t>Sponsorship</w:t>
      </w:r>
    </w:p>
    <w:p w14:paraId="4098EA8E" w14:textId="77777777" w:rsidR="00523689" w:rsidRPr="00380B40" w:rsidRDefault="00523689" w:rsidP="00523689">
      <w:pPr>
        <w:pStyle w:val="enumlev2"/>
        <w:rPr>
          <w:lang w:val="en-GB"/>
        </w:rPr>
      </w:pPr>
      <w:r w:rsidRPr="00380B40">
        <w:rPr>
          <w:b/>
          <w:bCs/>
          <w:lang w:val="en-GB"/>
        </w:rPr>
        <w:t>•</w:t>
      </w:r>
      <w:r w:rsidRPr="00380B40">
        <w:rPr>
          <w:lang w:val="en-GB"/>
        </w:rPr>
        <w:tab/>
        <w:t>Introduction</w:t>
      </w:r>
    </w:p>
    <w:p w14:paraId="456B2094" w14:textId="77777777" w:rsidR="00523689" w:rsidRPr="00380B40" w:rsidRDefault="00523689" w:rsidP="00523689">
      <w:pPr>
        <w:pStyle w:val="enumlev2"/>
        <w:rPr>
          <w:lang w:val="en-GB"/>
        </w:rPr>
      </w:pPr>
      <w:r w:rsidRPr="00380B40">
        <w:rPr>
          <w:b/>
          <w:bCs/>
          <w:lang w:val="en-GB"/>
        </w:rPr>
        <w:t>•</w:t>
      </w:r>
      <w:r w:rsidRPr="00380B40">
        <w:rPr>
          <w:lang w:val="en-GB"/>
        </w:rPr>
        <w:tab/>
        <w:t>Objective</w:t>
      </w:r>
    </w:p>
    <w:p w14:paraId="39CDA32F" w14:textId="77777777" w:rsidR="00523689" w:rsidRPr="00380B40" w:rsidRDefault="00523689" w:rsidP="00523689">
      <w:pPr>
        <w:pStyle w:val="enumlev1"/>
        <w:rPr>
          <w:lang w:val="en-GB"/>
        </w:rPr>
      </w:pPr>
      <w:r w:rsidRPr="00380B40">
        <w:rPr>
          <w:lang w:val="en-GB"/>
        </w:rPr>
        <w:sym w:font="Symbol" w:char="F02D"/>
      </w:r>
      <w:r w:rsidRPr="00380B40">
        <w:rPr>
          <w:lang w:val="en-GB"/>
        </w:rPr>
        <w:tab/>
        <w:t>Type</w:t>
      </w:r>
    </w:p>
    <w:p w14:paraId="20FA1E9D" w14:textId="77777777" w:rsidR="00523689" w:rsidRPr="00380B40" w:rsidRDefault="00523689" w:rsidP="00523689">
      <w:pPr>
        <w:pStyle w:val="enumlev2"/>
        <w:rPr>
          <w:lang w:val="en-GB"/>
        </w:rPr>
      </w:pPr>
      <w:r w:rsidRPr="00380B40">
        <w:rPr>
          <w:b/>
          <w:bCs/>
          <w:lang w:val="en-GB"/>
        </w:rPr>
        <w:t>•</w:t>
      </w:r>
      <w:r w:rsidRPr="00380B40">
        <w:rPr>
          <w:lang w:val="en-GB"/>
        </w:rPr>
        <w:tab/>
        <w:t>Event format</w:t>
      </w:r>
    </w:p>
    <w:p w14:paraId="36752D06" w14:textId="77777777" w:rsidR="00523689" w:rsidRPr="00380B40" w:rsidRDefault="00523689" w:rsidP="00523689">
      <w:pPr>
        <w:pStyle w:val="enumlev2"/>
        <w:rPr>
          <w:lang w:val="en-GB"/>
        </w:rPr>
      </w:pPr>
      <w:r w:rsidRPr="00380B40">
        <w:rPr>
          <w:b/>
          <w:bCs/>
          <w:lang w:val="en-GB"/>
        </w:rPr>
        <w:t>•</w:t>
      </w:r>
      <w:r w:rsidRPr="00380B40">
        <w:rPr>
          <w:lang w:val="en-GB"/>
        </w:rPr>
        <w:tab/>
        <w:t>Event coordination</w:t>
      </w:r>
    </w:p>
    <w:p w14:paraId="484D1DAA" w14:textId="77777777" w:rsidR="00523689" w:rsidRPr="00380B40" w:rsidRDefault="00523689" w:rsidP="00523689">
      <w:pPr>
        <w:pStyle w:val="enumlev1"/>
        <w:rPr>
          <w:lang w:val="en-GB"/>
        </w:rPr>
      </w:pPr>
      <w:r w:rsidRPr="00380B40">
        <w:rPr>
          <w:lang w:val="en-GB"/>
        </w:rPr>
        <w:sym w:font="Symbol" w:char="F02D"/>
      </w:r>
      <w:r w:rsidRPr="00380B40">
        <w:rPr>
          <w:lang w:val="en-GB"/>
        </w:rPr>
        <w:tab/>
        <w:t>Content</w:t>
      </w:r>
    </w:p>
    <w:p w14:paraId="5177DE78" w14:textId="77777777" w:rsidR="00523689" w:rsidRPr="00380B40" w:rsidRDefault="00523689" w:rsidP="00523689">
      <w:pPr>
        <w:pStyle w:val="enumlev2"/>
        <w:rPr>
          <w:lang w:val="en-GB"/>
        </w:rPr>
      </w:pPr>
      <w:r w:rsidRPr="00380B40">
        <w:rPr>
          <w:b/>
          <w:bCs/>
          <w:lang w:val="en-GB"/>
        </w:rPr>
        <w:t>•</w:t>
      </w:r>
      <w:r w:rsidRPr="00380B40">
        <w:rPr>
          <w:lang w:val="en-GB"/>
        </w:rPr>
        <w:tab/>
        <w:t>Abstract</w:t>
      </w:r>
    </w:p>
    <w:p w14:paraId="7E9E8804" w14:textId="77777777" w:rsidR="00523689" w:rsidRPr="00380B40" w:rsidRDefault="00523689" w:rsidP="00523689">
      <w:pPr>
        <w:pStyle w:val="enumlev2"/>
        <w:rPr>
          <w:lang w:val="en-GB"/>
        </w:rPr>
      </w:pPr>
      <w:r w:rsidRPr="00380B40">
        <w:rPr>
          <w:b/>
          <w:bCs/>
          <w:lang w:val="en-GB"/>
        </w:rPr>
        <w:t>•</w:t>
      </w:r>
      <w:r w:rsidRPr="00380B40">
        <w:rPr>
          <w:lang w:val="en-GB"/>
        </w:rPr>
        <w:tab/>
        <w:t>Presentations</w:t>
      </w:r>
    </w:p>
    <w:p w14:paraId="22D50D45" w14:textId="77777777" w:rsidR="00523689" w:rsidRPr="00380B40" w:rsidRDefault="00523689" w:rsidP="00523689">
      <w:pPr>
        <w:pStyle w:val="enumlev2"/>
        <w:rPr>
          <w:lang w:val="en-GB"/>
        </w:rPr>
      </w:pPr>
      <w:r w:rsidRPr="00380B40">
        <w:rPr>
          <w:b/>
          <w:bCs/>
          <w:lang w:val="en-GB"/>
        </w:rPr>
        <w:t>•</w:t>
      </w:r>
      <w:r w:rsidRPr="00380B40">
        <w:rPr>
          <w:lang w:val="en-GB"/>
        </w:rPr>
        <w:tab/>
        <w:t>Biography</w:t>
      </w:r>
    </w:p>
    <w:p w14:paraId="626AE7CE" w14:textId="77777777" w:rsidR="00523689" w:rsidRPr="00380B40" w:rsidRDefault="00523689" w:rsidP="00523689">
      <w:pPr>
        <w:pStyle w:val="enumlev1"/>
        <w:rPr>
          <w:lang w:val="en-GB"/>
        </w:rPr>
      </w:pPr>
      <w:r w:rsidRPr="00380B40">
        <w:rPr>
          <w:lang w:val="en-GB"/>
        </w:rPr>
        <w:sym w:font="Symbol" w:char="F02D"/>
      </w:r>
      <w:r w:rsidRPr="00380B40">
        <w:rPr>
          <w:lang w:val="en-GB"/>
        </w:rPr>
        <w:tab/>
        <w:t>Report</w:t>
      </w:r>
    </w:p>
    <w:p w14:paraId="3A4BBE93" w14:textId="77777777" w:rsidR="00523689" w:rsidRPr="00380B40" w:rsidRDefault="00523689" w:rsidP="00523689">
      <w:pPr>
        <w:pStyle w:val="enumlev1"/>
        <w:rPr>
          <w:lang w:val="en-GB"/>
        </w:rPr>
      </w:pPr>
      <w:r w:rsidRPr="00380B40">
        <w:rPr>
          <w:lang w:val="en-GB"/>
        </w:rPr>
        <w:sym w:font="Symbol" w:char="F02D"/>
      </w:r>
      <w:r w:rsidRPr="00380B40">
        <w:rPr>
          <w:lang w:val="en-GB"/>
        </w:rPr>
        <w:tab/>
        <w:t>List of participants</w:t>
      </w:r>
    </w:p>
    <w:p w14:paraId="06DAE718" w14:textId="77777777" w:rsidR="00697453" w:rsidRPr="00380B40" w:rsidRDefault="00697453" w:rsidP="00523689">
      <w:pPr>
        <w:pStyle w:val="enumlev1"/>
        <w:spacing w:before="0"/>
        <w:rPr>
          <w:lang w:val="en-GB"/>
        </w:rPr>
      </w:pPr>
      <w:r w:rsidRPr="00380B40">
        <w:rPr>
          <w:lang w:val="en-GB"/>
        </w:rPr>
        <w:br w:type="page"/>
      </w:r>
    </w:p>
    <w:p w14:paraId="16E04775" w14:textId="77777777" w:rsidR="00523689" w:rsidRPr="00380B40" w:rsidRDefault="00523689" w:rsidP="00566AA6">
      <w:pPr>
        <w:pStyle w:val="TableNoTitle1"/>
      </w:pPr>
      <w:r w:rsidRPr="00380B40">
        <w:rPr>
          <w:bCs/>
        </w:rPr>
        <w:t xml:space="preserve">Table 1 </w:t>
      </w:r>
      <w:r w:rsidRPr="00380B40">
        <w:sym w:font="Symbol" w:char="F02D"/>
      </w:r>
      <w:r w:rsidRPr="00380B40">
        <w:rPr>
          <w:bCs/>
        </w:rPr>
        <w:t xml:space="preserve"> </w:t>
      </w:r>
      <w:r w:rsidRPr="00380B40">
        <w:t xml:space="preserve">Format of information for the evaluation and follow-up actions of </w:t>
      </w:r>
      <w:r w:rsidRPr="00380B40">
        <w:br/>
      </w:r>
      <w:r w:rsidRPr="00380B40">
        <w:rPr>
          <w:bCs/>
        </w:rPr>
        <w:t xml:space="preserve">workshops and </w:t>
      </w:r>
      <w:r w:rsidRPr="00380B40">
        <w:t>seminars</w:t>
      </w:r>
    </w:p>
    <w:p w14:paraId="35220EC6" w14:textId="77777777" w:rsidR="00523689" w:rsidRPr="00380B40" w:rsidRDefault="00523689" w:rsidP="00523689">
      <w:pPr>
        <w:keepNext/>
        <w:keepLines/>
        <w:spacing w:before="0"/>
        <w:rPr>
          <w:lang w:val="en-GB"/>
        </w:rPr>
      </w:pPr>
    </w:p>
    <w:tbl>
      <w:tblPr>
        <w:tblW w:w="9395" w:type="dxa"/>
        <w:tblLayout w:type="fixed"/>
        <w:tblCellMar>
          <w:left w:w="30" w:type="dxa"/>
          <w:right w:w="30" w:type="dxa"/>
        </w:tblCellMar>
        <w:tblLook w:val="0000" w:firstRow="0" w:lastRow="0" w:firstColumn="0" w:lastColumn="0" w:noHBand="0" w:noVBand="0"/>
      </w:tblPr>
      <w:tblGrid>
        <w:gridCol w:w="375"/>
        <w:gridCol w:w="1727"/>
        <w:gridCol w:w="1031"/>
        <w:gridCol w:w="641"/>
        <w:gridCol w:w="650"/>
        <w:gridCol w:w="274"/>
        <w:gridCol w:w="274"/>
        <w:gridCol w:w="274"/>
        <w:gridCol w:w="232"/>
        <w:gridCol w:w="274"/>
        <w:gridCol w:w="274"/>
        <w:gridCol w:w="274"/>
        <w:gridCol w:w="653"/>
        <w:gridCol w:w="274"/>
        <w:gridCol w:w="274"/>
        <w:gridCol w:w="274"/>
        <w:gridCol w:w="704"/>
        <w:gridCol w:w="916"/>
      </w:tblGrid>
      <w:tr w:rsidR="00B62576" w14:paraId="4B7582B4" w14:textId="77777777" w:rsidTr="004E4CA9">
        <w:trPr>
          <w:cantSplit/>
          <w:trHeight w:val="350"/>
        </w:trPr>
        <w:tc>
          <w:tcPr>
            <w:tcW w:w="375" w:type="dxa"/>
            <w:vMerge w:val="restart"/>
            <w:tcBorders>
              <w:top w:val="single" w:sz="6" w:space="0" w:color="auto"/>
              <w:left w:val="single" w:sz="6" w:space="0" w:color="auto"/>
              <w:right w:val="single" w:sz="6" w:space="0" w:color="auto"/>
            </w:tcBorders>
            <w:shd w:val="solid" w:color="C0C0C0" w:fill="auto"/>
            <w:vAlign w:val="center"/>
          </w:tcPr>
          <w:p w14:paraId="20ACED13" w14:textId="77777777" w:rsidR="00B62576" w:rsidRDefault="00B62576" w:rsidP="004E4CA9">
            <w:pPr>
              <w:pStyle w:val="Tablehead"/>
            </w:pPr>
            <w:r w:rsidRPr="00B62576">
              <w:rPr>
                <w:w w:val="72"/>
                <w:fitText w:val="318" w:id="-1467221248"/>
              </w:rPr>
              <w:t>Ite</w:t>
            </w:r>
            <w:r w:rsidRPr="00B62576">
              <w:rPr>
                <w:spacing w:val="1"/>
                <w:w w:val="72"/>
                <w:fitText w:val="318" w:id="-1467221248"/>
              </w:rPr>
              <w:t>m</w:t>
            </w:r>
          </w:p>
        </w:tc>
        <w:tc>
          <w:tcPr>
            <w:tcW w:w="1727" w:type="dxa"/>
            <w:vMerge w:val="restart"/>
            <w:tcBorders>
              <w:top w:val="single" w:sz="6" w:space="0" w:color="auto"/>
              <w:left w:val="single" w:sz="6" w:space="0" w:color="auto"/>
              <w:right w:val="single" w:sz="6" w:space="0" w:color="808080"/>
            </w:tcBorders>
            <w:shd w:val="solid" w:color="C0C0C0" w:fill="auto"/>
            <w:vAlign w:val="center"/>
          </w:tcPr>
          <w:p w14:paraId="250FAA2D" w14:textId="77777777" w:rsidR="00B62576" w:rsidRDefault="00B62576" w:rsidP="004E4CA9">
            <w:pPr>
              <w:pStyle w:val="Tablehead"/>
            </w:pPr>
            <w:r>
              <w:t>Title</w:t>
            </w:r>
          </w:p>
        </w:tc>
        <w:tc>
          <w:tcPr>
            <w:tcW w:w="1031" w:type="dxa"/>
            <w:vMerge w:val="restart"/>
            <w:tcBorders>
              <w:top w:val="single" w:sz="6" w:space="0" w:color="auto"/>
              <w:left w:val="single" w:sz="6" w:space="0" w:color="808080"/>
              <w:right w:val="single" w:sz="6" w:space="0" w:color="808080"/>
            </w:tcBorders>
            <w:shd w:val="solid" w:color="C0C0C0" w:fill="auto"/>
            <w:vAlign w:val="center"/>
          </w:tcPr>
          <w:p w14:paraId="650043A2" w14:textId="77777777" w:rsidR="00B62576" w:rsidRDefault="00B62576" w:rsidP="004E4CA9">
            <w:pPr>
              <w:pStyle w:val="Tablehead"/>
            </w:pPr>
            <w:r>
              <w:t>Place</w:t>
            </w:r>
          </w:p>
        </w:tc>
        <w:tc>
          <w:tcPr>
            <w:tcW w:w="641" w:type="dxa"/>
            <w:vMerge w:val="restart"/>
            <w:tcBorders>
              <w:top w:val="single" w:sz="6" w:space="0" w:color="auto"/>
              <w:left w:val="single" w:sz="6" w:space="0" w:color="808080"/>
              <w:right w:val="single" w:sz="6" w:space="0" w:color="808080"/>
            </w:tcBorders>
            <w:shd w:val="solid" w:color="C0C0C0" w:fill="auto"/>
            <w:vAlign w:val="center"/>
          </w:tcPr>
          <w:p w14:paraId="562F7C09" w14:textId="77777777" w:rsidR="00B62576" w:rsidRDefault="00B62576" w:rsidP="004E4CA9">
            <w:pPr>
              <w:pStyle w:val="Tablehead"/>
            </w:pPr>
            <w:r>
              <w:t>Start date</w:t>
            </w:r>
          </w:p>
        </w:tc>
        <w:tc>
          <w:tcPr>
            <w:tcW w:w="650" w:type="dxa"/>
            <w:vMerge w:val="restart"/>
            <w:tcBorders>
              <w:top w:val="single" w:sz="6" w:space="0" w:color="auto"/>
              <w:left w:val="single" w:sz="6" w:space="0" w:color="808080"/>
              <w:right w:val="single" w:sz="6" w:space="0" w:color="808080"/>
            </w:tcBorders>
            <w:shd w:val="solid" w:color="C0C0C0" w:fill="auto"/>
            <w:vAlign w:val="center"/>
          </w:tcPr>
          <w:p w14:paraId="76B64B78" w14:textId="77777777" w:rsidR="00B62576" w:rsidRDefault="00B62576" w:rsidP="004E4CA9">
            <w:pPr>
              <w:pStyle w:val="Tablehead"/>
            </w:pPr>
            <w:r>
              <w:t>End date</w:t>
            </w:r>
          </w:p>
        </w:tc>
        <w:tc>
          <w:tcPr>
            <w:tcW w:w="1876" w:type="dxa"/>
            <w:gridSpan w:val="7"/>
            <w:tcBorders>
              <w:top w:val="single" w:sz="6" w:space="0" w:color="auto"/>
              <w:left w:val="single" w:sz="6" w:space="0" w:color="808080"/>
              <w:bottom w:val="single" w:sz="6" w:space="0" w:color="808080"/>
              <w:right w:val="single" w:sz="6" w:space="0" w:color="808080"/>
            </w:tcBorders>
            <w:shd w:val="solid" w:color="C0C0C0" w:fill="auto"/>
            <w:vAlign w:val="center"/>
          </w:tcPr>
          <w:p w14:paraId="4A7A3181" w14:textId="77777777" w:rsidR="00B62576" w:rsidRDefault="00B62576" w:rsidP="004E4CA9">
            <w:pPr>
              <w:pStyle w:val="Tablehead"/>
            </w:pPr>
            <w:r>
              <w:t>Basic information</w:t>
            </w:r>
          </w:p>
        </w:tc>
        <w:tc>
          <w:tcPr>
            <w:tcW w:w="653" w:type="dxa"/>
            <w:vMerge w:val="restart"/>
            <w:tcBorders>
              <w:top w:val="single" w:sz="6" w:space="0" w:color="auto"/>
              <w:left w:val="single" w:sz="6" w:space="0" w:color="808080"/>
              <w:right w:val="single" w:sz="6" w:space="0" w:color="808080"/>
            </w:tcBorders>
            <w:shd w:val="solid" w:color="C0C0C0" w:fill="auto"/>
            <w:vAlign w:val="center"/>
          </w:tcPr>
          <w:p w14:paraId="4CCA05E4" w14:textId="77777777" w:rsidR="00B62576" w:rsidRDefault="00B62576" w:rsidP="004E4CA9">
            <w:pPr>
              <w:pStyle w:val="Tablehead"/>
            </w:pPr>
            <w:r>
              <w:t>Type</w:t>
            </w:r>
          </w:p>
        </w:tc>
        <w:tc>
          <w:tcPr>
            <w:tcW w:w="822" w:type="dxa"/>
            <w:gridSpan w:val="3"/>
            <w:tcBorders>
              <w:top w:val="single" w:sz="6" w:space="0" w:color="auto"/>
              <w:left w:val="single" w:sz="6" w:space="0" w:color="808080"/>
              <w:bottom w:val="single" w:sz="6" w:space="0" w:color="808080"/>
              <w:right w:val="single" w:sz="6" w:space="0" w:color="808080"/>
            </w:tcBorders>
            <w:shd w:val="solid" w:color="C0C0C0" w:fill="auto"/>
            <w:vAlign w:val="center"/>
          </w:tcPr>
          <w:p w14:paraId="7D50E879" w14:textId="77777777" w:rsidR="00B62576" w:rsidRDefault="00B62576" w:rsidP="004E4CA9">
            <w:pPr>
              <w:pStyle w:val="Tablehead"/>
            </w:pPr>
            <w:r>
              <w:t>Content</w:t>
            </w:r>
          </w:p>
        </w:tc>
        <w:tc>
          <w:tcPr>
            <w:tcW w:w="704" w:type="dxa"/>
            <w:vMerge w:val="restart"/>
            <w:tcBorders>
              <w:top w:val="single" w:sz="6" w:space="0" w:color="auto"/>
              <w:left w:val="single" w:sz="6" w:space="0" w:color="808080"/>
              <w:right w:val="single" w:sz="6" w:space="0" w:color="808080"/>
            </w:tcBorders>
            <w:shd w:val="solid" w:color="C0C0C0" w:fill="auto"/>
            <w:vAlign w:val="center"/>
          </w:tcPr>
          <w:p w14:paraId="23F35256" w14:textId="77777777" w:rsidR="00B62576" w:rsidRDefault="00B62576" w:rsidP="004E4CA9">
            <w:pPr>
              <w:pStyle w:val="Tablehead"/>
            </w:pPr>
            <w:r>
              <w:t>Report ****</w:t>
            </w:r>
          </w:p>
        </w:tc>
        <w:tc>
          <w:tcPr>
            <w:tcW w:w="916" w:type="dxa"/>
            <w:vMerge w:val="restart"/>
            <w:tcBorders>
              <w:top w:val="single" w:sz="6" w:space="0" w:color="auto"/>
              <w:left w:val="single" w:sz="6" w:space="0" w:color="808080"/>
              <w:right w:val="single" w:sz="6" w:space="0" w:color="auto"/>
            </w:tcBorders>
            <w:shd w:val="solid" w:color="C0C0C0" w:fill="auto"/>
            <w:vAlign w:val="center"/>
          </w:tcPr>
          <w:p w14:paraId="48AA61C4" w14:textId="77777777" w:rsidR="00B62576" w:rsidRDefault="00B62576" w:rsidP="004E4CA9">
            <w:pPr>
              <w:pStyle w:val="Tablehead"/>
              <w:rPr>
                <w:sz w:val="15"/>
              </w:rPr>
            </w:pPr>
            <w:r>
              <w:rPr>
                <w:sz w:val="15"/>
              </w:rPr>
              <w:t>List of participants</w:t>
            </w:r>
          </w:p>
        </w:tc>
      </w:tr>
      <w:tr w:rsidR="00B62576" w14:paraId="1983037C" w14:textId="77777777" w:rsidTr="004E4CA9">
        <w:trPr>
          <w:cantSplit/>
          <w:trHeight w:val="1157"/>
        </w:trPr>
        <w:tc>
          <w:tcPr>
            <w:tcW w:w="375" w:type="dxa"/>
            <w:vMerge/>
            <w:tcBorders>
              <w:left w:val="single" w:sz="6" w:space="0" w:color="auto"/>
              <w:bottom w:val="single" w:sz="6" w:space="0" w:color="auto"/>
              <w:right w:val="single" w:sz="6" w:space="0" w:color="auto"/>
            </w:tcBorders>
            <w:shd w:val="solid" w:color="C0C0C0" w:fill="auto"/>
          </w:tcPr>
          <w:p w14:paraId="76241FCF" w14:textId="77777777" w:rsidR="00B62576" w:rsidRDefault="00B62576" w:rsidP="004E4CA9">
            <w:pPr>
              <w:jc w:val="center"/>
              <w:rPr>
                <w:b/>
                <w:bCs/>
                <w:color w:val="000000"/>
                <w:sz w:val="16"/>
                <w:szCs w:val="16"/>
              </w:rPr>
            </w:pPr>
          </w:p>
        </w:tc>
        <w:tc>
          <w:tcPr>
            <w:tcW w:w="1727" w:type="dxa"/>
            <w:vMerge/>
            <w:tcBorders>
              <w:left w:val="single" w:sz="6" w:space="0" w:color="auto"/>
              <w:bottom w:val="single" w:sz="6" w:space="0" w:color="auto"/>
              <w:right w:val="single" w:sz="6" w:space="0" w:color="808080"/>
            </w:tcBorders>
            <w:shd w:val="solid" w:color="C0C0C0" w:fill="auto"/>
          </w:tcPr>
          <w:p w14:paraId="62E54208" w14:textId="77777777" w:rsidR="00B62576" w:rsidRDefault="00B62576" w:rsidP="004E4CA9">
            <w:pPr>
              <w:jc w:val="center"/>
              <w:rPr>
                <w:b/>
                <w:bCs/>
                <w:color w:val="000000"/>
                <w:sz w:val="16"/>
                <w:szCs w:val="16"/>
              </w:rPr>
            </w:pPr>
          </w:p>
        </w:tc>
        <w:tc>
          <w:tcPr>
            <w:tcW w:w="1031" w:type="dxa"/>
            <w:vMerge/>
            <w:tcBorders>
              <w:left w:val="single" w:sz="6" w:space="0" w:color="808080"/>
              <w:bottom w:val="single" w:sz="6" w:space="0" w:color="auto"/>
              <w:right w:val="single" w:sz="6" w:space="0" w:color="808080"/>
            </w:tcBorders>
            <w:shd w:val="solid" w:color="C0C0C0" w:fill="auto"/>
          </w:tcPr>
          <w:p w14:paraId="1023143C" w14:textId="77777777" w:rsidR="00B62576" w:rsidRDefault="00B62576" w:rsidP="004E4CA9">
            <w:pPr>
              <w:jc w:val="center"/>
              <w:rPr>
                <w:b/>
                <w:bCs/>
                <w:color w:val="000000"/>
                <w:sz w:val="16"/>
                <w:szCs w:val="16"/>
              </w:rPr>
            </w:pPr>
          </w:p>
        </w:tc>
        <w:tc>
          <w:tcPr>
            <w:tcW w:w="641" w:type="dxa"/>
            <w:vMerge/>
            <w:tcBorders>
              <w:left w:val="single" w:sz="6" w:space="0" w:color="808080"/>
              <w:bottom w:val="single" w:sz="6" w:space="0" w:color="auto"/>
              <w:right w:val="single" w:sz="6" w:space="0" w:color="808080"/>
            </w:tcBorders>
            <w:shd w:val="solid" w:color="C0C0C0" w:fill="auto"/>
          </w:tcPr>
          <w:p w14:paraId="2CCC07C8" w14:textId="77777777" w:rsidR="00B62576" w:rsidRDefault="00B62576" w:rsidP="004E4CA9">
            <w:pPr>
              <w:jc w:val="center"/>
              <w:rPr>
                <w:b/>
                <w:bCs/>
                <w:color w:val="000000"/>
                <w:sz w:val="16"/>
                <w:szCs w:val="16"/>
              </w:rPr>
            </w:pPr>
          </w:p>
        </w:tc>
        <w:tc>
          <w:tcPr>
            <w:tcW w:w="650" w:type="dxa"/>
            <w:vMerge/>
            <w:tcBorders>
              <w:left w:val="single" w:sz="6" w:space="0" w:color="808080"/>
              <w:bottom w:val="single" w:sz="6" w:space="0" w:color="auto"/>
              <w:right w:val="single" w:sz="6" w:space="0" w:color="808080"/>
            </w:tcBorders>
            <w:shd w:val="solid" w:color="C0C0C0" w:fill="auto"/>
          </w:tcPr>
          <w:p w14:paraId="2A535029" w14:textId="77777777" w:rsidR="00B62576" w:rsidRDefault="00B62576" w:rsidP="004E4CA9">
            <w:pPr>
              <w:jc w:val="center"/>
              <w:rPr>
                <w:b/>
                <w:bCs/>
                <w:color w:val="000000"/>
                <w:sz w:val="16"/>
                <w:szCs w:val="16"/>
              </w:rPr>
            </w:pP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5936F9D4" w14:textId="77777777" w:rsidR="00B62576" w:rsidRPr="00317585" w:rsidRDefault="00B62576" w:rsidP="004E4CA9">
            <w:pPr>
              <w:pStyle w:val="Tablehead"/>
              <w:spacing w:before="0" w:after="0"/>
            </w:pPr>
            <w:r w:rsidRPr="00317585">
              <w:t>Contact</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2D1B180D" w14:textId="77777777" w:rsidR="00B62576" w:rsidRPr="00317585" w:rsidRDefault="00B62576" w:rsidP="004E4CA9">
            <w:pPr>
              <w:pStyle w:val="Tablehead"/>
              <w:spacing w:before="0" w:after="0"/>
            </w:pPr>
            <w:r w:rsidRPr="00317585">
              <w:t>Invitation*</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037682FE" w14:textId="77777777" w:rsidR="00B62576" w:rsidRPr="00317585" w:rsidRDefault="00B62576" w:rsidP="004E4CA9">
            <w:pPr>
              <w:pStyle w:val="Tablehead"/>
              <w:spacing w:before="0" w:after="0"/>
            </w:pPr>
            <w:r w:rsidRPr="00317585">
              <w:t>Programme</w:t>
            </w:r>
          </w:p>
        </w:tc>
        <w:tc>
          <w:tcPr>
            <w:tcW w:w="232"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748BFCB3" w14:textId="77777777" w:rsidR="00B62576" w:rsidRPr="00317585" w:rsidRDefault="00B62576" w:rsidP="004E4CA9">
            <w:pPr>
              <w:pStyle w:val="Tablehead"/>
              <w:spacing w:before="0" w:after="0"/>
            </w:pPr>
            <w:r w:rsidRPr="00317585">
              <w:t>Steering **</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396A423C" w14:textId="77777777" w:rsidR="00B62576" w:rsidRPr="00317585" w:rsidRDefault="00B62576" w:rsidP="004E4CA9">
            <w:pPr>
              <w:pStyle w:val="Tablehead"/>
              <w:spacing w:before="0" w:after="0"/>
            </w:pPr>
            <w:r w:rsidRPr="00317585">
              <w:t>Sponsorship</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3C7BBE28" w14:textId="77777777" w:rsidR="00B62576" w:rsidRPr="00317585" w:rsidRDefault="00B62576" w:rsidP="004E4CA9">
            <w:pPr>
              <w:pStyle w:val="Tablehead"/>
              <w:spacing w:before="0" w:after="0"/>
            </w:pPr>
            <w:r w:rsidRPr="00317585">
              <w:t>Introduction</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723ACD82" w14:textId="77777777" w:rsidR="00B62576" w:rsidRPr="00317585" w:rsidRDefault="00B62576" w:rsidP="004E4CA9">
            <w:pPr>
              <w:pStyle w:val="Tablehead"/>
              <w:spacing w:before="0" w:after="0"/>
            </w:pPr>
            <w:r w:rsidRPr="00317585">
              <w:t>Objective</w:t>
            </w:r>
          </w:p>
        </w:tc>
        <w:tc>
          <w:tcPr>
            <w:tcW w:w="653" w:type="dxa"/>
            <w:vMerge/>
            <w:tcBorders>
              <w:left w:val="single" w:sz="6" w:space="0" w:color="808080"/>
              <w:bottom w:val="single" w:sz="6" w:space="0" w:color="auto"/>
              <w:right w:val="single" w:sz="6" w:space="0" w:color="808080"/>
            </w:tcBorders>
            <w:shd w:val="solid" w:color="FFFF99" w:fill="auto"/>
            <w:textDirection w:val="btLr"/>
          </w:tcPr>
          <w:p w14:paraId="54EAF148" w14:textId="77777777" w:rsidR="00B62576" w:rsidRDefault="00B62576" w:rsidP="004E4CA9">
            <w:pPr>
              <w:ind w:left="113" w:right="113"/>
              <w:jc w:val="center"/>
              <w:rPr>
                <w:b/>
                <w:bCs/>
                <w:color w:val="000000"/>
                <w:sz w:val="16"/>
                <w:szCs w:val="16"/>
              </w:rPr>
            </w:pP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54373723" w14:textId="77777777" w:rsidR="00B62576" w:rsidRPr="00317585" w:rsidRDefault="00B62576" w:rsidP="004E4CA9">
            <w:pPr>
              <w:pStyle w:val="Tablehead"/>
              <w:spacing w:before="0" w:after="0"/>
            </w:pPr>
            <w:r w:rsidRPr="00317585">
              <w:t>Abstract</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654B2DB4" w14:textId="77777777" w:rsidR="00B62576" w:rsidRPr="00317585" w:rsidRDefault="00B62576" w:rsidP="004E4CA9">
            <w:pPr>
              <w:pStyle w:val="Tablehead"/>
              <w:spacing w:before="0" w:after="0"/>
            </w:pPr>
            <w:r w:rsidRPr="00317585">
              <w:t>Presentations</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10253320" w14:textId="77777777" w:rsidR="00B62576" w:rsidRPr="00317585" w:rsidRDefault="00B62576" w:rsidP="004E4CA9">
            <w:pPr>
              <w:pStyle w:val="Tablehead"/>
              <w:spacing w:before="0" w:after="0"/>
            </w:pPr>
            <w:r w:rsidRPr="00317585">
              <w:t>Biography</w:t>
            </w:r>
          </w:p>
        </w:tc>
        <w:tc>
          <w:tcPr>
            <w:tcW w:w="704" w:type="dxa"/>
            <w:vMerge/>
            <w:tcBorders>
              <w:left w:val="single" w:sz="6" w:space="0" w:color="808080"/>
              <w:bottom w:val="single" w:sz="6" w:space="0" w:color="auto"/>
              <w:right w:val="single" w:sz="6" w:space="0" w:color="808080"/>
            </w:tcBorders>
            <w:shd w:val="solid" w:color="FFFF99" w:fill="auto"/>
          </w:tcPr>
          <w:p w14:paraId="7E271934" w14:textId="77777777" w:rsidR="00B62576" w:rsidRDefault="00B62576" w:rsidP="004E4CA9">
            <w:pPr>
              <w:jc w:val="center"/>
              <w:rPr>
                <w:b/>
                <w:bCs/>
                <w:color w:val="000000"/>
                <w:sz w:val="16"/>
                <w:szCs w:val="16"/>
              </w:rPr>
            </w:pPr>
          </w:p>
        </w:tc>
        <w:tc>
          <w:tcPr>
            <w:tcW w:w="916" w:type="dxa"/>
            <w:vMerge/>
            <w:tcBorders>
              <w:left w:val="single" w:sz="6" w:space="0" w:color="808080"/>
              <w:bottom w:val="single" w:sz="6" w:space="0" w:color="auto"/>
              <w:right w:val="single" w:sz="6" w:space="0" w:color="auto"/>
            </w:tcBorders>
            <w:shd w:val="solid" w:color="C0C0C0" w:fill="auto"/>
          </w:tcPr>
          <w:p w14:paraId="3CFEE424" w14:textId="77777777" w:rsidR="00B62576" w:rsidRDefault="00B62576" w:rsidP="004E4CA9">
            <w:pPr>
              <w:jc w:val="center"/>
              <w:rPr>
                <w:b/>
                <w:bCs/>
                <w:color w:val="000000"/>
                <w:sz w:val="16"/>
                <w:szCs w:val="16"/>
              </w:rPr>
            </w:pPr>
          </w:p>
        </w:tc>
      </w:tr>
      <w:tr w:rsidR="00B62576" w14:paraId="7FD79B6D" w14:textId="77777777" w:rsidTr="004E4CA9">
        <w:trPr>
          <w:trHeight w:val="514"/>
        </w:trPr>
        <w:tc>
          <w:tcPr>
            <w:tcW w:w="375" w:type="dxa"/>
            <w:tcBorders>
              <w:top w:val="single" w:sz="6" w:space="0" w:color="auto"/>
              <w:left w:val="single" w:sz="6" w:space="0" w:color="auto"/>
              <w:bottom w:val="single" w:sz="6" w:space="0" w:color="auto"/>
              <w:right w:val="single" w:sz="6" w:space="0" w:color="auto"/>
            </w:tcBorders>
            <w:vAlign w:val="center"/>
          </w:tcPr>
          <w:p w14:paraId="52296DAF" w14:textId="77777777" w:rsidR="00B62576" w:rsidRDefault="00B62576" w:rsidP="004E4CA9">
            <w:pPr>
              <w:pStyle w:val="Tabletext"/>
              <w:jc w:val="center"/>
            </w:pPr>
            <w:r>
              <w:t>#</w:t>
            </w:r>
          </w:p>
        </w:tc>
        <w:tc>
          <w:tcPr>
            <w:tcW w:w="1727" w:type="dxa"/>
            <w:tcBorders>
              <w:top w:val="single" w:sz="6" w:space="0" w:color="auto"/>
              <w:left w:val="single" w:sz="6" w:space="0" w:color="auto"/>
              <w:bottom w:val="single" w:sz="6" w:space="0" w:color="auto"/>
              <w:right w:val="single" w:sz="6" w:space="0" w:color="auto"/>
            </w:tcBorders>
            <w:vAlign w:val="center"/>
          </w:tcPr>
          <w:p w14:paraId="1A61B0E9" w14:textId="77777777" w:rsidR="00B62576" w:rsidRDefault="00B62576" w:rsidP="004E4CA9">
            <w:pPr>
              <w:pStyle w:val="Tabletext"/>
              <w:jc w:val="center"/>
            </w:pPr>
            <w:r>
              <w:t>&lt;name of event&gt;</w:t>
            </w:r>
          </w:p>
        </w:tc>
        <w:tc>
          <w:tcPr>
            <w:tcW w:w="1031" w:type="dxa"/>
            <w:tcBorders>
              <w:top w:val="single" w:sz="6" w:space="0" w:color="auto"/>
              <w:left w:val="single" w:sz="6" w:space="0" w:color="auto"/>
              <w:bottom w:val="single" w:sz="6" w:space="0" w:color="auto"/>
              <w:right w:val="single" w:sz="6" w:space="0" w:color="auto"/>
            </w:tcBorders>
            <w:vAlign w:val="center"/>
          </w:tcPr>
          <w:p w14:paraId="30CCA86C" w14:textId="77777777" w:rsidR="00B62576" w:rsidRDefault="00B62576" w:rsidP="004E4CA9">
            <w:pPr>
              <w:pStyle w:val="Tabletext"/>
              <w:jc w:val="center"/>
            </w:pPr>
            <w:r>
              <w:t>&lt;city&gt;, &lt;country&gt;</w:t>
            </w:r>
          </w:p>
        </w:tc>
        <w:tc>
          <w:tcPr>
            <w:tcW w:w="641" w:type="dxa"/>
            <w:tcBorders>
              <w:top w:val="single" w:sz="6" w:space="0" w:color="auto"/>
              <w:left w:val="single" w:sz="6" w:space="0" w:color="auto"/>
              <w:bottom w:val="single" w:sz="6" w:space="0" w:color="auto"/>
              <w:right w:val="single" w:sz="6" w:space="0" w:color="auto"/>
            </w:tcBorders>
            <w:vAlign w:val="center"/>
          </w:tcPr>
          <w:p w14:paraId="3665FF8B" w14:textId="77777777" w:rsidR="00B62576" w:rsidRPr="00313CF2" w:rsidRDefault="00B62576" w:rsidP="004E4CA9">
            <w:pPr>
              <w:pStyle w:val="Tabletext"/>
              <w:jc w:val="center"/>
              <w:rPr>
                <w:sz w:val="14"/>
                <w:szCs w:val="14"/>
              </w:rPr>
            </w:pPr>
            <w:r w:rsidRPr="00313CF2">
              <w:rPr>
                <w:sz w:val="14"/>
                <w:szCs w:val="14"/>
              </w:rPr>
              <w:t>dd/mm/yy</w:t>
            </w:r>
          </w:p>
        </w:tc>
        <w:tc>
          <w:tcPr>
            <w:tcW w:w="650" w:type="dxa"/>
            <w:tcBorders>
              <w:top w:val="single" w:sz="6" w:space="0" w:color="auto"/>
              <w:left w:val="single" w:sz="6" w:space="0" w:color="auto"/>
              <w:bottom w:val="single" w:sz="6" w:space="0" w:color="auto"/>
              <w:right w:val="single" w:sz="6" w:space="0" w:color="auto"/>
            </w:tcBorders>
            <w:vAlign w:val="center"/>
          </w:tcPr>
          <w:p w14:paraId="020935D7" w14:textId="77777777" w:rsidR="00B62576" w:rsidRPr="00313CF2" w:rsidRDefault="00B62576" w:rsidP="004E4CA9">
            <w:pPr>
              <w:pStyle w:val="Tabletext"/>
              <w:jc w:val="center"/>
              <w:rPr>
                <w:sz w:val="14"/>
                <w:szCs w:val="14"/>
              </w:rPr>
            </w:pPr>
            <w:r w:rsidRPr="00313CF2">
              <w:rPr>
                <w:sz w:val="14"/>
                <w:szCs w:val="14"/>
              </w:rPr>
              <w:t>dd/mm/yy</w:t>
            </w:r>
          </w:p>
        </w:tc>
        <w:tc>
          <w:tcPr>
            <w:tcW w:w="274" w:type="dxa"/>
            <w:tcBorders>
              <w:top w:val="single" w:sz="6" w:space="0" w:color="auto"/>
              <w:left w:val="single" w:sz="6" w:space="0" w:color="auto"/>
              <w:bottom w:val="single" w:sz="6" w:space="0" w:color="auto"/>
              <w:right w:val="single" w:sz="6" w:space="0" w:color="auto"/>
            </w:tcBorders>
            <w:vAlign w:val="center"/>
          </w:tcPr>
          <w:p w14:paraId="36633161" w14:textId="77777777" w:rsidR="00B62576" w:rsidRDefault="00B62576" w:rsidP="004E4CA9">
            <w:pPr>
              <w:pStyle w:val="Tabletext"/>
              <w:jc w:val="center"/>
              <w:rPr>
                <w:rFonts w:ascii="Symbol" w:hAnsi="Symbol"/>
              </w:rPr>
            </w:pPr>
            <w:r>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14:paraId="166A1987" w14:textId="77777777" w:rsidR="00B62576" w:rsidRDefault="00B62576" w:rsidP="004E4CA9">
            <w:pPr>
              <w:pStyle w:val="Tabletext"/>
              <w:jc w:val="center"/>
              <w:rPr>
                <w:rFonts w:ascii="System" w:hAnsi="System"/>
                <w:i/>
                <w:iCs/>
              </w:rPr>
            </w:pPr>
            <w:r>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14:paraId="7F621EDD" w14:textId="77777777" w:rsidR="00B62576" w:rsidRDefault="00B62576" w:rsidP="004E4CA9">
            <w:pPr>
              <w:pStyle w:val="Tabletext"/>
              <w:jc w:val="center"/>
              <w:rPr>
                <w:rFonts w:ascii="Symbol" w:hAnsi="Symbol"/>
              </w:rPr>
            </w:pPr>
            <w:r>
              <w:rPr>
                <w:rFonts w:ascii="Symbol" w:hAnsi="Symbol" w:cs="Arial"/>
              </w:rPr>
              <w:t></w:t>
            </w:r>
          </w:p>
        </w:tc>
        <w:tc>
          <w:tcPr>
            <w:tcW w:w="232" w:type="dxa"/>
            <w:tcBorders>
              <w:top w:val="single" w:sz="6" w:space="0" w:color="auto"/>
              <w:left w:val="single" w:sz="6" w:space="0" w:color="auto"/>
              <w:bottom w:val="single" w:sz="6" w:space="0" w:color="auto"/>
              <w:right w:val="single" w:sz="6" w:space="0" w:color="auto"/>
            </w:tcBorders>
            <w:vAlign w:val="center"/>
          </w:tcPr>
          <w:p w14:paraId="724707C8" w14:textId="77777777" w:rsidR="00B62576" w:rsidRDefault="00B62576" w:rsidP="004E4CA9">
            <w:pPr>
              <w:pStyle w:val="Tabletext"/>
              <w:jc w:val="center"/>
              <w:rPr>
                <w:rFonts w:ascii="System" w:hAnsi="System"/>
                <w:i/>
                <w:iCs/>
              </w:rPr>
            </w:pPr>
            <w:r>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14:paraId="2A027B78" w14:textId="77777777" w:rsidR="00B62576" w:rsidRDefault="00B62576" w:rsidP="004E4CA9">
            <w:pPr>
              <w:pStyle w:val="Tabletext"/>
              <w:jc w:val="center"/>
              <w:rPr>
                <w:rFonts w:ascii="System" w:hAnsi="System"/>
                <w:i/>
                <w:iCs/>
              </w:rPr>
            </w:pPr>
            <w:r>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14:paraId="3C476F27" w14:textId="77777777" w:rsidR="00B62576" w:rsidRDefault="00B62576" w:rsidP="004E4CA9">
            <w:pPr>
              <w:pStyle w:val="Tabletext"/>
              <w:jc w:val="center"/>
              <w:rPr>
                <w:rFonts w:ascii="Symbol" w:hAnsi="Symbol"/>
              </w:rPr>
            </w:pPr>
            <w:r>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14:paraId="1B800CBA" w14:textId="77777777" w:rsidR="00B62576" w:rsidRDefault="00B62576" w:rsidP="004E4CA9">
            <w:pPr>
              <w:pStyle w:val="Tabletext"/>
              <w:jc w:val="center"/>
              <w:rPr>
                <w:rFonts w:ascii="Symbol" w:hAnsi="Symbol"/>
              </w:rPr>
            </w:pPr>
            <w:r>
              <w:rPr>
                <w:rFonts w:ascii="Symbol" w:hAnsi="Symbol" w:cs="Arial"/>
              </w:rPr>
              <w:t></w:t>
            </w:r>
          </w:p>
        </w:tc>
        <w:tc>
          <w:tcPr>
            <w:tcW w:w="653" w:type="dxa"/>
            <w:tcBorders>
              <w:top w:val="single" w:sz="6" w:space="0" w:color="auto"/>
              <w:left w:val="single" w:sz="6" w:space="0" w:color="auto"/>
              <w:bottom w:val="single" w:sz="6" w:space="0" w:color="auto"/>
              <w:right w:val="single" w:sz="6" w:space="0" w:color="auto"/>
            </w:tcBorders>
            <w:vAlign w:val="center"/>
          </w:tcPr>
          <w:p w14:paraId="1A750215" w14:textId="77777777" w:rsidR="00B62576" w:rsidRDefault="00B62576" w:rsidP="004E4CA9">
            <w:pPr>
              <w:pStyle w:val="Tabletext"/>
              <w:jc w:val="center"/>
            </w:pPr>
            <w:r>
              <w:t>***</w:t>
            </w:r>
          </w:p>
        </w:tc>
        <w:tc>
          <w:tcPr>
            <w:tcW w:w="274" w:type="dxa"/>
            <w:tcBorders>
              <w:top w:val="single" w:sz="6" w:space="0" w:color="auto"/>
              <w:left w:val="single" w:sz="6" w:space="0" w:color="auto"/>
              <w:bottom w:val="single" w:sz="6" w:space="0" w:color="auto"/>
              <w:right w:val="single" w:sz="6" w:space="0" w:color="auto"/>
            </w:tcBorders>
            <w:vAlign w:val="center"/>
          </w:tcPr>
          <w:p w14:paraId="15DD902F" w14:textId="77777777" w:rsidR="00B62576" w:rsidRDefault="00B62576" w:rsidP="004E4CA9">
            <w:pPr>
              <w:pStyle w:val="Tabletext"/>
              <w:jc w:val="center"/>
              <w:rPr>
                <w:rFonts w:ascii="Symbol" w:hAnsi="Symbol"/>
              </w:rPr>
            </w:pPr>
            <w:r>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14:paraId="6FF12986" w14:textId="77777777" w:rsidR="00B62576" w:rsidRDefault="00B62576" w:rsidP="004E4CA9">
            <w:pPr>
              <w:pStyle w:val="Tabletext"/>
              <w:jc w:val="center"/>
              <w:rPr>
                <w:rFonts w:ascii="Symbol" w:hAnsi="Symbol"/>
              </w:rPr>
            </w:pPr>
            <w:r>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14:paraId="11D2DA57" w14:textId="77777777" w:rsidR="00B62576" w:rsidRDefault="00B62576" w:rsidP="004E4CA9">
            <w:pPr>
              <w:pStyle w:val="Tabletext"/>
              <w:jc w:val="center"/>
              <w:rPr>
                <w:rFonts w:ascii="Symbol" w:hAnsi="Symbol"/>
              </w:rPr>
            </w:pPr>
            <w:r>
              <w:rPr>
                <w:rFonts w:ascii="Symbol" w:hAnsi="Symbol" w:cs="Arial"/>
              </w:rPr>
              <w:t></w:t>
            </w:r>
          </w:p>
        </w:tc>
        <w:tc>
          <w:tcPr>
            <w:tcW w:w="704" w:type="dxa"/>
            <w:tcBorders>
              <w:top w:val="single" w:sz="6" w:space="0" w:color="auto"/>
              <w:left w:val="single" w:sz="6" w:space="0" w:color="auto"/>
              <w:bottom w:val="single" w:sz="6" w:space="0" w:color="auto"/>
              <w:right w:val="single" w:sz="6" w:space="0" w:color="auto"/>
            </w:tcBorders>
            <w:vAlign w:val="center"/>
          </w:tcPr>
          <w:p w14:paraId="610EFB5E" w14:textId="77777777" w:rsidR="00B62576" w:rsidRDefault="00B62576" w:rsidP="004E4CA9">
            <w:pPr>
              <w:pStyle w:val="Tabletext"/>
              <w:jc w:val="center"/>
              <w:rPr>
                <w:rFonts w:ascii="Symbol" w:hAnsi="Symbol"/>
              </w:rPr>
            </w:pPr>
            <w:r>
              <w:rPr>
                <w:rFonts w:ascii="Symbol" w:hAnsi="Symbol" w:cs="Arial"/>
              </w:rPr>
              <w:t></w:t>
            </w:r>
          </w:p>
        </w:tc>
        <w:tc>
          <w:tcPr>
            <w:tcW w:w="916" w:type="dxa"/>
            <w:tcBorders>
              <w:top w:val="single" w:sz="6" w:space="0" w:color="auto"/>
              <w:left w:val="single" w:sz="6" w:space="0" w:color="auto"/>
              <w:bottom w:val="single" w:sz="6" w:space="0" w:color="auto"/>
              <w:right w:val="single" w:sz="6" w:space="0" w:color="auto"/>
            </w:tcBorders>
            <w:vAlign w:val="center"/>
          </w:tcPr>
          <w:p w14:paraId="16CE3518" w14:textId="77777777" w:rsidR="00B62576" w:rsidRDefault="00B62576" w:rsidP="004E4CA9">
            <w:pPr>
              <w:pStyle w:val="Tabletext"/>
              <w:jc w:val="center"/>
            </w:pPr>
            <w:r>
              <w:rPr>
                <w:rFonts w:ascii="Symbol" w:hAnsi="Symbol" w:cs="Arial"/>
              </w:rPr>
              <w:t></w:t>
            </w:r>
          </w:p>
        </w:tc>
      </w:tr>
    </w:tbl>
    <w:p w14:paraId="769D8F67" w14:textId="1849E67F" w:rsidR="00A7613B" w:rsidRPr="00380B40" w:rsidRDefault="00A7613B" w:rsidP="00A7613B">
      <w:pPr>
        <w:pStyle w:val="Figure"/>
        <w:rPr>
          <w:lang w:val="en-GB"/>
        </w:rPr>
      </w:pPr>
    </w:p>
    <w:p w14:paraId="512D0BAA" w14:textId="77777777" w:rsidR="00523689" w:rsidRPr="00380B40" w:rsidRDefault="00523689" w:rsidP="001930D2">
      <w:pPr>
        <w:pStyle w:val="Tabletext"/>
        <w:ind w:left="567" w:hanging="567"/>
        <w:rPr>
          <w:lang w:val="en-GB"/>
        </w:rPr>
      </w:pPr>
      <w:r w:rsidRPr="00380B40">
        <w:rPr>
          <w:lang w:val="en-GB"/>
        </w:rPr>
        <w:t xml:space="preserve">* </w:t>
      </w:r>
      <w:r w:rsidRPr="00380B40">
        <w:rPr>
          <w:lang w:val="en-GB"/>
        </w:rPr>
        <w:tab/>
      </w:r>
      <w:r w:rsidRPr="00380B40">
        <w:rPr>
          <w:lang w:val="en-GB"/>
        </w:rPr>
        <w:tab/>
        <w:t xml:space="preserve">The invitation letter contains also information notes so that the wording should be: "Invitation letter and information notes", if not explicitly mentioned in a separated link, "Information notes or practical information". </w:t>
      </w:r>
    </w:p>
    <w:p w14:paraId="48255CDD" w14:textId="77777777" w:rsidR="00523689" w:rsidRPr="00380B40" w:rsidRDefault="00523689" w:rsidP="001930D2">
      <w:pPr>
        <w:pStyle w:val="Tabletext"/>
        <w:ind w:left="567" w:hanging="567"/>
        <w:rPr>
          <w:lang w:val="en-GB"/>
        </w:rPr>
      </w:pPr>
      <w:r w:rsidRPr="00380B40">
        <w:rPr>
          <w:lang w:val="en-GB"/>
        </w:rPr>
        <w:t>**</w:t>
      </w:r>
      <w:r w:rsidRPr="00380B40">
        <w:rPr>
          <w:lang w:val="en-GB"/>
        </w:rPr>
        <w:tab/>
      </w:r>
      <w:r w:rsidRPr="00380B40">
        <w:rPr>
          <w:lang w:val="en-GB"/>
        </w:rPr>
        <w:tab/>
        <w:t>This column indicates if the steering committee information was available on the webpage of the event.</w:t>
      </w:r>
    </w:p>
    <w:p w14:paraId="5C685789" w14:textId="77777777" w:rsidR="00523689" w:rsidRPr="00380B40" w:rsidRDefault="00523689" w:rsidP="001930D2">
      <w:pPr>
        <w:pStyle w:val="Tabletext"/>
        <w:ind w:left="567" w:hanging="567"/>
        <w:rPr>
          <w:lang w:val="en-GB"/>
        </w:rPr>
      </w:pPr>
      <w:r w:rsidRPr="00380B40">
        <w:rPr>
          <w:lang w:val="en-GB"/>
        </w:rPr>
        <w:t>***</w:t>
      </w:r>
      <w:r w:rsidRPr="00380B40">
        <w:rPr>
          <w:lang w:val="en-GB"/>
        </w:rPr>
        <w:tab/>
        <w:t>The indication of the "Type" of event implies that both the "event format" (</w:t>
      </w:r>
      <w:r w:rsidRPr="00380B40">
        <w:rPr>
          <w:szCs w:val="16"/>
          <w:lang w:val="en-GB"/>
        </w:rPr>
        <w:t>workshop or</w:t>
      </w:r>
      <w:r w:rsidRPr="00380B40">
        <w:rPr>
          <w:b/>
          <w:bCs/>
          <w:szCs w:val="16"/>
          <w:lang w:val="en-GB"/>
        </w:rPr>
        <w:t xml:space="preserve"> </w:t>
      </w:r>
      <w:r w:rsidRPr="00380B40">
        <w:rPr>
          <w:lang w:val="en-GB"/>
        </w:rPr>
        <w:t xml:space="preserve">seminar) and the "event coordination" (study group strategy, information, tutorial or promotion focused) shall be clearly identified (refer to clauses 7 and 8). </w:t>
      </w:r>
    </w:p>
    <w:p w14:paraId="29F30706" w14:textId="77777777" w:rsidR="00523689" w:rsidRPr="00380B40" w:rsidRDefault="00523689" w:rsidP="001930D2">
      <w:pPr>
        <w:pStyle w:val="Tabletext"/>
        <w:ind w:left="567" w:hanging="567"/>
        <w:rPr>
          <w:lang w:val="en-GB"/>
        </w:rPr>
      </w:pPr>
      <w:r w:rsidRPr="00380B40">
        <w:rPr>
          <w:lang w:val="en-GB"/>
        </w:rPr>
        <w:t xml:space="preserve">**** </w:t>
      </w:r>
      <w:r w:rsidRPr="00380B40">
        <w:rPr>
          <w:lang w:val="en-GB"/>
        </w:rPr>
        <w:tab/>
        <w:t>Three months is the expected period for the final report submission.</w:t>
      </w:r>
    </w:p>
    <w:p w14:paraId="6B614C5D" w14:textId="77777777" w:rsidR="002C26D3" w:rsidRPr="00380B40" w:rsidRDefault="002C26D3" w:rsidP="008C3E8D">
      <w:pPr>
        <w:rPr>
          <w:lang w:val="en-GB"/>
        </w:rPr>
      </w:pPr>
    </w:p>
    <w:p w14:paraId="0EBB8E2A" w14:textId="77777777" w:rsidR="002C26D3" w:rsidRPr="00380B40" w:rsidRDefault="002C26D3" w:rsidP="008C3E8D">
      <w:pPr>
        <w:rPr>
          <w:lang w:val="en-GB"/>
        </w:rPr>
      </w:pPr>
    </w:p>
    <w:p w14:paraId="4C4996D5" w14:textId="77777777" w:rsidR="007D3773" w:rsidRPr="00380B40" w:rsidRDefault="007D3773" w:rsidP="008C3E8D">
      <w:pPr>
        <w:rPr>
          <w:lang w:val="en-GB"/>
        </w:rPr>
      </w:pPr>
    </w:p>
    <w:p w14:paraId="3E2C3E59" w14:textId="77777777" w:rsidR="007D3773" w:rsidRPr="00380B40" w:rsidRDefault="007D3773" w:rsidP="008C3E8D">
      <w:pPr>
        <w:rPr>
          <w:lang w:val="en-GB"/>
        </w:rPr>
      </w:pPr>
    </w:p>
    <w:p w14:paraId="4260B56C" w14:textId="77777777" w:rsidR="007D3773" w:rsidRPr="00380B40" w:rsidRDefault="007D3773" w:rsidP="008C3E8D">
      <w:pPr>
        <w:rPr>
          <w:lang w:val="en-GB"/>
        </w:rPr>
      </w:pPr>
    </w:p>
    <w:p w14:paraId="131CC8F4" w14:textId="77777777" w:rsidR="007D3773" w:rsidRPr="00380B40" w:rsidRDefault="007D3773" w:rsidP="008C3E8D">
      <w:pPr>
        <w:rPr>
          <w:lang w:val="en-GB"/>
        </w:rPr>
      </w:pPr>
    </w:p>
    <w:p w14:paraId="5255EE83" w14:textId="77777777" w:rsidR="007D3773" w:rsidRPr="00380B40" w:rsidRDefault="007D3773" w:rsidP="008C3E8D">
      <w:pPr>
        <w:rPr>
          <w:lang w:val="en-GB"/>
        </w:rPr>
      </w:pPr>
    </w:p>
    <w:p w14:paraId="45AC086F" w14:textId="77777777" w:rsidR="007D3773" w:rsidRPr="00380B40" w:rsidRDefault="007D3773" w:rsidP="008C3E8D">
      <w:pPr>
        <w:rPr>
          <w:lang w:val="en-GB"/>
        </w:rPr>
      </w:pPr>
    </w:p>
    <w:p w14:paraId="73CC52ED" w14:textId="77777777" w:rsidR="007D3773" w:rsidRPr="00380B40" w:rsidRDefault="007D3773" w:rsidP="008C3E8D">
      <w:pPr>
        <w:rPr>
          <w:lang w:val="en-GB"/>
        </w:rPr>
      </w:pPr>
    </w:p>
    <w:p w14:paraId="00964EAE" w14:textId="77777777" w:rsidR="007D3773" w:rsidRPr="00380B40" w:rsidRDefault="007D3773" w:rsidP="008C3E8D">
      <w:pPr>
        <w:rPr>
          <w:lang w:val="en-GB"/>
        </w:rPr>
      </w:pPr>
    </w:p>
    <w:p w14:paraId="21551100" w14:textId="77777777" w:rsidR="007D3773" w:rsidRPr="00380B40" w:rsidRDefault="007D3773" w:rsidP="008C3E8D">
      <w:pPr>
        <w:rPr>
          <w:lang w:val="en-GB"/>
        </w:rPr>
      </w:pPr>
    </w:p>
    <w:p w14:paraId="5779F1C9" w14:textId="77777777" w:rsidR="007D3773" w:rsidRPr="00380B40" w:rsidRDefault="007D3773" w:rsidP="008C3E8D">
      <w:pPr>
        <w:rPr>
          <w:lang w:val="en-GB"/>
        </w:rPr>
      </w:pPr>
    </w:p>
    <w:p w14:paraId="7C3D879E" w14:textId="77777777" w:rsidR="007D3773" w:rsidRPr="00380B40" w:rsidRDefault="007D3773" w:rsidP="008C3E8D">
      <w:pPr>
        <w:rPr>
          <w:lang w:val="en-GB"/>
        </w:rPr>
      </w:pPr>
    </w:p>
    <w:p w14:paraId="5F88A797" w14:textId="77777777" w:rsidR="007D3773" w:rsidRPr="00380B40" w:rsidRDefault="007D3773" w:rsidP="008C3E8D">
      <w:pPr>
        <w:rPr>
          <w:lang w:val="en-GB"/>
        </w:rPr>
      </w:pPr>
    </w:p>
    <w:p w14:paraId="18923AFA" w14:textId="77777777" w:rsidR="007D3773" w:rsidRPr="00380B40" w:rsidRDefault="007D3773" w:rsidP="008C3E8D">
      <w:pPr>
        <w:rPr>
          <w:lang w:val="en-GB"/>
        </w:rPr>
        <w:sectPr w:rsidR="007D3773" w:rsidRPr="00380B40" w:rsidSect="00F64BAE">
          <w:headerReference w:type="even" r:id="rId457"/>
          <w:headerReference w:type="default" r:id="rId458"/>
          <w:footerReference w:type="even" r:id="rId459"/>
          <w:footerReference w:type="default" r:id="rId460"/>
          <w:footerReference w:type="first" r:id="rId461"/>
          <w:footnotePr>
            <w:numRestart w:val="eachSect"/>
          </w:footnotePr>
          <w:pgSz w:w="11907" w:h="16834" w:code="9"/>
          <w:pgMar w:top="1134" w:right="1134" w:bottom="1134" w:left="1134" w:header="567" w:footer="567" w:gutter="0"/>
          <w:paperSrc w:first="261" w:other="261"/>
          <w:cols w:space="720"/>
          <w:vAlign w:val="both"/>
          <w:docGrid w:linePitch="326"/>
        </w:sectPr>
      </w:pPr>
    </w:p>
    <w:p w14:paraId="3CED4A9C" w14:textId="77777777" w:rsidR="007E52B2" w:rsidRPr="00380B40" w:rsidRDefault="007E52B2" w:rsidP="008C3E8D">
      <w:pPr>
        <w:pStyle w:val="blanc"/>
        <w:rPr>
          <w:lang w:val="en-GB"/>
        </w:rPr>
      </w:pPr>
    </w:p>
    <w:p w14:paraId="76540894" w14:textId="77777777" w:rsidR="007E52B2" w:rsidRPr="00380B40" w:rsidRDefault="007E52B2" w:rsidP="00B72FCD">
      <w:pPr>
        <w:pStyle w:val="RecNo"/>
        <w:rPr>
          <w:lang w:val="en-GB"/>
        </w:rPr>
      </w:pPr>
      <w:bookmarkStart w:id="2142" w:name="_Toc104459839"/>
      <w:bookmarkStart w:id="2143" w:name="_Toc111637088"/>
      <w:bookmarkStart w:id="2144" w:name="_Toc111638548"/>
      <w:r w:rsidRPr="00380B40">
        <w:rPr>
          <w:lang w:val="en-GB"/>
        </w:rPr>
        <w:t xml:space="preserve">Supplement </w:t>
      </w:r>
      <w:r w:rsidRPr="00380B40">
        <w:rPr>
          <w:rStyle w:val="href"/>
          <w:lang w:val="en-GB"/>
        </w:rPr>
        <w:t>2</w:t>
      </w:r>
      <w:r w:rsidRPr="00380B40">
        <w:rPr>
          <w:lang w:val="en-GB"/>
        </w:rPr>
        <w:t xml:space="preserve"> to ITU-T A-series Recommendations</w:t>
      </w:r>
      <w:bookmarkEnd w:id="2142"/>
      <w:bookmarkEnd w:id="2143"/>
      <w:bookmarkEnd w:id="2144"/>
    </w:p>
    <w:p w14:paraId="10DA01AA" w14:textId="77777777" w:rsidR="00523689" w:rsidRPr="00380B40" w:rsidRDefault="00523689" w:rsidP="00D559E0">
      <w:pPr>
        <w:pStyle w:val="Rectitle"/>
        <w:rPr>
          <w:lang w:val="en-GB"/>
        </w:rPr>
      </w:pPr>
      <w:bookmarkStart w:id="2145" w:name="_Toc111638549"/>
      <w:r w:rsidRPr="00380B40">
        <w:rPr>
          <w:lang w:val="en-GB"/>
        </w:rPr>
        <w:t>G</w:t>
      </w:r>
      <w:r w:rsidR="00D559E0" w:rsidRPr="00380B40">
        <w:rPr>
          <w:lang w:val="en-GB"/>
        </w:rPr>
        <w:t>uidelines on interoperability experiments</w:t>
      </w:r>
      <w:bookmarkEnd w:id="2145"/>
    </w:p>
    <w:p w14:paraId="167E9FD1" w14:textId="77777777" w:rsidR="00523689" w:rsidRPr="00380B40" w:rsidRDefault="00523689" w:rsidP="00566AA6">
      <w:pPr>
        <w:pStyle w:val="Recref"/>
        <w:rPr>
          <w:b/>
          <w:lang w:val="en-GB"/>
        </w:rPr>
      </w:pPr>
      <w:r w:rsidRPr="00380B40">
        <w:rPr>
          <w:lang w:val="en-GB"/>
        </w:rPr>
        <w:t>(G</w:t>
      </w:r>
      <w:r w:rsidR="00D559E0" w:rsidRPr="00380B40">
        <w:rPr>
          <w:lang w:val="en-GB"/>
        </w:rPr>
        <w:t>eneva</w:t>
      </w:r>
      <w:r w:rsidRPr="00380B40">
        <w:rPr>
          <w:lang w:val="en-GB"/>
        </w:rPr>
        <w:t>, 2000)</w:t>
      </w:r>
    </w:p>
    <w:p w14:paraId="12C5CC3A" w14:textId="77777777" w:rsidR="00523689" w:rsidRPr="00380B40" w:rsidRDefault="00523689" w:rsidP="00523689">
      <w:pPr>
        <w:rPr>
          <w:b/>
          <w:bCs/>
          <w:lang w:val="en-GB"/>
        </w:rPr>
      </w:pPr>
      <w:bookmarkStart w:id="2146" w:name="_Toc491848650"/>
      <w:r w:rsidRPr="00380B40">
        <w:rPr>
          <w:b/>
          <w:bCs/>
          <w:lang w:val="en-GB"/>
        </w:rPr>
        <w:t>Introduction</w:t>
      </w:r>
    </w:p>
    <w:p w14:paraId="4938827E" w14:textId="77777777" w:rsidR="00523689" w:rsidRPr="00380B40" w:rsidRDefault="00523689" w:rsidP="00523689">
      <w:pPr>
        <w:rPr>
          <w:b/>
          <w:bCs/>
          <w:lang w:val="en-GB"/>
        </w:rPr>
      </w:pPr>
      <w:r w:rsidRPr="00380B40">
        <w:rPr>
          <w:lang w:val="en-GB"/>
        </w:rPr>
        <w:t>These guidelines relate to interoperability experiments to be performed outside of ITU-T. The guidelines have been prepared to encourage such experiments to be performed and to facilitate information exchange between parties participating in such experiments and ITU-T study groups developing relevant Recommendation(s).</w:t>
      </w:r>
    </w:p>
    <w:p w14:paraId="17F3092C" w14:textId="77777777" w:rsidR="00523689" w:rsidRPr="00380B40" w:rsidRDefault="00523689" w:rsidP="00523689">
      <w:pPr>
        <w:pStyle w:val="Heading1"/>
        <w:rPr>
          <w:lang w:val="en-GB"/>
        </w:rPr>
      </w:pPr>
      <w:bookmarkStart w:id="2147" w:name="_Toc111637089"/>
      <w:r w:rsidRPr="00380B40">
        <w:rPr>
          <w:lang w:val="en-GB"/>
        </w:rPr>
        <w:t>1</w:t>
      </w:r>
      <w:r w:rsidRPr="00380B40">
        <w:rPr>
          <w:lang w:val="en-GB"/>
        </w:rPr>
        <w:tab/>
        <w:t>Background</w:t>
      </w:r>
      <w:bookmarkEnd w:id="2146"/>
      <w:bookmarkEnd w:id="2147"/>
    </w:p>
    <w:p w14:paraId="61B397F4" w14:textId="77777777" w:rsidR="00523689" w:rsidRPr="00380B40" w:rsidRDefault="00523689" w:rsidP="00523689">
      <w:pPr>
        <w:rPr>
          <w:lang w:val="en-GB"/>
        </w:rPr>
      </w:pPr>
      <w:r w:rsidRPr="00380B40">
        <w:rPr>
          <w:b/>
          <w:bCs/>
          <w:lang w:val="en-GB"/>
        </w:rPr>
        <w:t>1.1</w:t>
      </w:r>
      <w:r w:rsidRPr="00380B40">
        <w:rPr>
          <w:lang w:val="en-GB"/>
        </w:rPr>
        <w:tab/>
        <w:t>Study Groups of ITU-T have been doing their best to ensure interoperability of products made in accordance with ITU-T Recommendations. There is no better way to assess interoperability than to actually interoperate systems and equipment of various manufacturers. ITU-T has occasionally initiated interoperability experiments for specific projects in the past. Some examples are:</w:t>
      </w:r>
    </w:p>
    <w:p w14:paraId="41D9439B" w14:textId="77777777" w:rsidR="00523689" w:rsidRPr="00380B40" w:rsidRDefault="00523689" w:rsidP="00523689">
      <w:pPr>
        <w:pStyle w:val="enumlev1"/>
        <w:rPr>
          <w:lang w:val="en-GB"/>
        </w:rPr>
      </w:pPr>
      <w:r w:rsidRPr="00380B40">
        <w:rPr>
          <w:lang w:val="en-GB"/>
        </w:rPr>
        <w:t>a)</w:t>
      </w:r>
      <w:r w:rsidRPr="00380B40">
        <w:rPr>
          <w:lang w:val="en-GB"/>
        </w:rPr>
        <w:tab/>
        <w:t>Signalling System No.7 Field Trial in early 1980s (SG 11).</w:t>
      </w:r>
    </w:p>
    <w:p w14:paraId="47037497" w14:textId="77777777" w:rsidR="00523689" w:rsidRPr="00380B40" w:rsidRDefault="00523689" w:rsidP="00523689">
      <w:pPr>
        <w:pStyle w:val="enumlev1"/>
        <w:rPr>
          <w:lang w:val="en-GB"/>
        </w:rPr>
      </w:pPr>
      <w:r w:rsidRPr="00380B40">
        <w:rPr>
          <w:lang w:val="en-GB"/>
        </w:rPr>
        <w:t>b)</w:t>
      </w:r>
      <w:r w:rsidRPr="00380B40">
        <w:rPr>
          <w:lang w:val="en-GB"/>
        </w:rPr>
        <w:tab/>
        <w:t>ISDN Field Trials in various places in late 1980s. (SG 11 and then SG 18).</w:t>
      </w:r>
    </w:p>
    <w:p w14:paraId="6A9C922E" w14:textId="77777777" w:rsidR="00523689" w:rsidRPr="00380B40" w:rsidRDefault="00523689" w:rsidP="00523689">
      <w:pPr>
        <w:pStyle w:val="enumlev1"/>
        <w:rPr>
          <w:lang w:val="en-GB"/>
        </w:rPr>
      </w:pPr>
      <w:r w:rsidRPr="00380B40">
        <w:rPr>
          <w:lang w:val="en-GB"/>
        </w:rPr>
        <w:t>c)</w:t>
      </w:r>
      <w:r w:rsidRPr="00380B40">
        <w:rPr>
          <w:lang w:val="en-GB"/>
        </w:rPr>
        <w:tab/>
        <w:t>Digital Circuit Multiplexing Equipment (DCME) in early 1990s (SG 15).</w:t>
      </w:r>
    </w:p>
    <w:p w14:paraId="13A0D9F0" w14:textId="77777777" w:rsidR="00523689" w:rsidRPr="00380B40" w:rsidRDefault="00523689" w:rsidP="00523689">
      <w:pPr>
        <w:rPr>
          <w:lang w:val="en-GB"/>
        </w:rPr>
      </w:pPr>
      <w:r w:rsidRPr="00380B40">
        <w:rPr>
          <w:b/>
          <w:bCs/>
          <w:lang w:val="en-GB"/>
        </w:rPr>
        <w:t>1.2</w:t>
      </w:r>
      <w:r w:rsidRPr="00380B40">
        <w:rPr>
          <w:lang w:val="en-GB"/>
        </w:rPr>
        <w:tab/>
        <w:t>However, when interoperability experiment/testing has not been performed, users may have suffered from the lack of interoperability between products coming from different manufacturers. Moreover, manufacturers are not always members of ITU-T and develop their products only by reading relevant Recommendations.</w:t>
      </w:r>
    </w:p>
    <w:p w14:paraId="1CD57CE5" w14:textId="77777777" w:rsidR="00523689" w:rsidRPr="00380B40" w:rsidRDefault="00523689" w:rsidP="00523689">
      <w:pPr>
        <w:pStyle w:val="Heading1"/>
        <w:rPr>
          <w:lang w:val="en-GB"/>
        </w:rPr>
      </w:pPr>
      <w:bookmarkStart w:id="2148" w:name="_Toc491848651"/>
      <w:bookmarkStart w:id="2149" w:name="_Toc111637090"/>
      <w:r w:rsidRPr="00380B40">
        <w:rPr>
          <w:lang w:val="en-GB"/>
        </w:rPr>
        <w:t>2</w:t>
      </w:r>
      <w:r w:rsidRPr="00380B40">
        <w:rPr>
          <w:lang w:val="en-GB"/>
        </w:rPr>
        <w:tab/>
        <w:t>Objective</w:t>
      </w:r>
      <w:bookmarkEnd w:id="2148"/>
      <w:bookmarkEnd w:id="2149"/>
    </w:p>
    <w:p w14:paraId="45251337" w14:textId="77777777" w:rsidR="00523689" w:rsidRPr="00380B40" w:rsidRDefault="00523689" w:rsidP="00523689">
      <w:pPr>
        <w:rPr>
          <w:lang w:val="en-GB"/>
        </w:rPr>
      </w:pPr>
      <w:r w:rsidRPr="00380B40">
        <w:rPr>
          <w:lang w:val="en-GB"/>
        </w:rPr>
        <w:t>The objective of these guidelines is to encourage interoperability experiments to be performed outside of ITU-T and to facilitate information exchange between parties participating in such experiments and study groups of ITU-T.</w:t>
      </w:r>
    </w:p>
    <w:p w14:paraId="3A5EFD66" w14:textId="77777777" w:rsidR="00F64BAE" w:rsidRPr="00380B40" w:rsidRDefault="00F64BAE" w:rsidP="00F64BAE">
      <w:pPr>
        <w:rPr>
          <w:lang w:val="en-GB"/>
        </w:rPr>
      </w:pPr>
      <w:bookmarkStart w:id="2150" w:name="_Toc491848652"/>
    </w:p>
    <w:p w14:paraId="692BF26A" w14:textId="77777777" w:rsidR="00F64BAE" w:rsidRPr="00380B40" w:rsidRDefault="00F64BAE" w:rsidP="00F64BAE">
      <w:pPr>
        <w:rPr>
          <w:lang w:val="en-GB"/>
        </w:rPr>
      </w:pPr>
      <w:r w:rsidRPr="00380B40">
        <w:rPr>
          <w:lang w:val="en-GB"/>
        </w:rPr>
        <w:br w:type="page"/>
      </w:r>
    </w:p>
    <w:p w14:paraId="55FFCDD5" w14:textId="77777777" w:rsidR="00523689" w:rsidRPr="00380B40" w:rsidRDefault="00523689" w:rsidP="00523689">
      <w:pPr>
        <w:pStyle w:val="Heading1"/>
        <w:rPr>
          <w:lang w:val="en-GB"/>
        </w:rPr>
      </w:pPr>
      <w:bookmarkStart w:id="2151" w:name="_Toc111637091"/>
      <w:r w:rsidRPr="00380B40">
        <w:rPr>
          <w:lang w:val="en-GB"/>
        </w:rPr>
        <w:t>3</w:t>
      </w:r>
      <w:r w:rsidRPr="00380B40">
        <w:rPr>
          <w:lang w:val="en-GB"/>
        </w:rPr>
        <w:tab/>
        <w:t>Guidelines</w:t>
      </w:r>
      <w:bookmarkEnd w:id="2150"/>
      <w:bookmarkEnd w:id="2151"/>
    </w:p>
    <w:p w14:paraId="518851D9" w14:textId="77777777" w:rsidR="00523689" w:rsidRPr="00380B40" w:rsidRDefault="00523689" w:rsidP="00523689">
      <w:pPr>
        <w:rPr>
          <w:lang w:val="en-GB"/>
        </w:rPr>
      </w:pPr>
      <w:r w:rsidRPr="00380B40">
        <w:rPr>
          <w:b/>
          <w:bCs/>
          <w:lang w:val="en-GB"/>
        </w:rPr>
        <w:t>3.1</w:t>
      </w:r>
      <w:r w:rsidRPr="00380B40">
        <w:rPr>
          <w:lang w:val="en-GB"/>
        </w:rPr>
        <w:tab/>
        <w:t>The interoperability experiments are to be performed outside of ITU-T on a voluntary basis, self-governed, self-supporting and incurring no additional cost to ITU-T. Such interoperability experiments may therefore involve non ITU-T members as well.</w:t>
      </w:r>
    </w:p>
    <w:p w14:paraId="75B8DA21" w14:textId="77777777" w:rsidR="00523689" w:rsidRPr="00380B40" w:rsidRDefault="00523689" w:rsidP="00523689">
      <w:pPr>
        <w:rPr>
          <w:lang w:val="en-GB"/>
        </w:rPr>
      </w:pPr>
      <w:r w:rsidRPr="00380B40">
        <w:rPr>
          <w:b/>
          <w:bCs/>
          <w:lang w:val="en-GB"/>
        </w:rPr>
        <w:t>3.2</w:t>
      </w:r>
      <w:r w:rsidRPr="00380B40">
        <w:rPr>
          <w:lang w:val="en-GB"/>
        </w:rPr>
        <w:tab/>
        <w:t>The self-governance of interoperability experiments to be performed outside of ITU-T means that parties participating in such an experiment should govern themselves by making rules of their own. ITU-T is in no way involved in such a rule making.</w:t>
      </w:r>
    </w:p>
    <w:p w14:paraId="4F951E32" w14:textId="77777777" w:rsidR="00523689" w:rsidRPr="00380B40" w:rsidRDefault="00523689" w:rsidP="00523689">
      <w:pPr>
        <w:rPr>
          <w:lang w:val="en-GB"/>
        </w:rPr>
      </w:pPr>
      <w:r w:rsidRPr="00380B40">
        <w:rPr>
          <w:b/>
          <w:bCs/>
          <w:lang w:val="en-GB"/>
        </w:rPr>
        <w:t>3.3</w:t>
      </w:r>
      <w:r w:rsidRPr="00380B40">
        <w:rPr>
          <w:lang w:val="en-GB"/>
        </w:rPr>
        <w:tab/>
        <w:t>ITU-T would like to ask the kind cooperation of its members participating in such an interoperability experiment to submit contributions to study groups based on the results of the experiment in order to improve the quality of Recommendations, e.g. by proposing text changes to remove ambiguities, etc.</w:t>
      </w:r>
    </w:p>
    <w:p w14:paraId="26B447E5" w14:textId="77777777" w:rsidR="00523689" w:rsidRPr="00380B40" w:rsidRDefault="00523689" w:rsidP="00523689">
      <w:pPr>
        <w:rPr>
          <w:lang w:val="en-GB"/>
        </w:rPr>
      </w:pPr>
      <w:r w:rsidRPr="00380B40">
        <w:rPr>
          <w:b/>
          <w:bCs/>
          <w:lang w:val="en-GB"/>
        </w:rPr>
        <w:t>3.4</w:t>
      </w:r>
      <w:r w:rsidRPr="00380B40">
        <w:rPr>
          <w:lang w:val="en-GB"/>
        </w:rPr>
        <w:tab/>
        <w:t>Furthermore, ITU-T would like to ask the kind cooperation of its members participating in such an experiment to share information on the experiment at study group meetings as much as possible. Examples of information that would be useful to be shared are as follows:</w:t>
      </w:r>
    </w:p>
    <w:p w14:paraId="6D36ECF6" w14:textId="77777777" w:rsidR="00523689" w:rsidRPr="00380B40" w:rsidRDefault="00523689" w:rsidP="00523689">
      <w:pPr>
        <w:pStyle w:val="enumlev1"/>
        <w:rPr>
          <w:lang w:val="en-GB"/>
        </w:rPr>
      </w:pPr>
      <w:r w:rsidRPr="00380B40">
        <w:rPr>
          <w:lang w:val="en-GB"/>
        </w:rPr>
        <w:sym w:font="Symbol" w:char="F02D"/>
      </w:r>
      <w:r w:rsidRPr="00380B40">
        <w:rPr>
          <w:lang w:val="en-GB"/>
        </w:rPr>
        <w:tab/>
        <w:t>how should experiments be performed: experiment items, experiment methods, test equipment, experiment schedules, coordinator, etc;</w:t>
      </w:r>
    </w:p>
    <w:p w14:paraId="6F2D9239" w14:textId="77777777" w:rsidR="00523689" w:rsidRPr="00380B40" w:rsidRDefault="00523689" w:rsidP="00523689">
      <w:pPr>
        <w:pStyle w:val="enumlev1"/>
        <w:rPr>
          <w:lang w:val="en-GB"/>
        </w:rPr>
      </w:pPr>
      <w:r w:rsidRPr="00380B40">
        <w:rPr>
          <w:lang w:val="en-GB"/>
        </w:rPr>
        <w:sym w:font="Symbol" w:char="F02D"/>
      </w:r>
      <w:r w:rsidRPr="00380B40">
        <w:rPr>
          <w:lang w:val="en-GB"/>
        </w:rPr>
        <w:tab/>
        <w:t>where are the experiments going to be conducted;</w:t>
      </w:r>
    </w:p>
    <w:p w14:paraId="424F9476" w14:textId="77777777" w:rsidR="00523689" w:rsidRPr="00380B40" w:rsidRDefault="00523689" w:rsidP="00523689">
      <w:pPr>
        <w:pStyle w:val="enumlev1"/>
        <w:rPr>
          <w:lang w:val="en-GB"/>
        </w:rPr>
      </w:pPr>
      <w:r w:rsidRPr="00380B40">
        <w:rPr>
          <w:lang w:val="en-GB"/>
        </w:rPr>
        <w:sym w:font="Symbol" w:char="F02D"/>
      </w:r>
      <w:r w:rsidRPr="00380B40">
        <w:rPr>
          <w:lang w:val="en-GB"/>
        </w:rPr>
        <w:tab/>
        <w:t>how should experiment results be handled in order to submit contributions to ITU-T to improve the quality of Recommendations;</w:t>
      </w:r>
    </w:p>
    <w:p w14:paraId="01FF412C" w14:textId="77777777" w:rsidR="00523689" w:rsidRPr="00380B40" w:rsidRDefault="00523689" w:rsidP="00523689">
      <w:pPr>
        <w:pStyle w:val="enumlev1"/>
        <w:keepNext/>
        <w:keepLines/>
        <w:rPr>
          <w:lang w:val="en-GB"/>
        </w:rPr>
      </w:pPr>
      <w:r w:rsidRPr="00380B40">
        <w:rPr>
          <w:lang w:val="en-GB"/>
        </w:rPr>
        <w:sym w:font="Symbol" w:char="F02D"/>
      </w:r>
      <w:r w:rsidRPr="00380B40">
        <w:rPr>
          <w:lang w:val="en-GB"/>
        </w:rPr>
        <w:tab/>
        <w:t>identification of other activities in the same area and potential cooperation and work-sharing with them.</w:t>
      </w:r>
    </w:p>
    <w:p w14:paraId="3873E158" w14:textId="77777777" w:rsidR="00933EF1" w:rsidRPr="00380B40" w:rsidRDefault="00933EF1" w:rsidP="008C3E8D">
      <w:pPr>
        <w:rPr>
          <w:lang w:val="en-GB"/>
        </w:rPr>
      </w:pPr>
    </w:p>
    <w:p w14:paraId="5098B4D4" w14:textId="77777777" w:rsidR="001930D2" w:rsidRPr="00380B40" w:rsidRDefault="001930D2" w:rsidP="008C3E8D">
      <w:pPr>
        <w:rPr>
          <w:lang w:val="en-GB"/>
        </w:rPr>
      </w:pPr>
    </w:p>
    <w:p w14:paraId="0D5DFAEA" w14:textId="77777777" w:rsidR="001930D2" w:rsidRPr="00380B40" w:rsidRDefault="001930D2" w:rsidP="008C3E8D">
      <w:pPr>
        <w:rPr>
          <w:lang w:val="en-GB"/>
        </w:rPr>
      </w:pPr>
    </w:p>
    <w:p w14:paraId="696FAAF0" w14:textId="77777777" w:rsidR="001930D2" w:rsidRPr="00380B40" w:rsidRDefault="001930D2" w:rsidP="008C3E8D">
      <w:pPr>
        <w:rPr>
          <w:lang w:val="en-GB"/>
        </w:rPr>
      </w:pPr>
    </w:p>
    <w:p w14:paraId="7BFDA169" w14:textId="77777777" w:rsidR="00933EF1" w:rsidRPr="00380B40" w:rsidRDefault="00933EF1" w:rsidP="008C3E8D">
      <w:pPr>
        <w:rPr>
          <w:lang w:val="en-GB"/>
        </w:rPr>
      </w:pPr>
    </w:p>
    <w:p w14:paraId="4C262C62" w14:textId="77777777" w:rsidR="00933EF1" w:rsidRPr="00380B40" w:rsidRDefault="00933EF1" w:rsidP="008C3E8D">
      <w:pPr>
        <w:rPr>
          <w:lang w:val="en-GB"/>
        </w:rPr>
      </w:pPr>
    </w:p>
    <w:p w14:paraId="6F819386" w14:textId="77777777" w:rsidR="00933EF1" w:rsidRPr="00380B40" w:rsidRDefault="00933EF1" w:rsidP="008C3E8D">
      <w:pPr>
        <w:rPr>
          <w:lang w:val="en-GB"/>
        </w:rPr>
      </w:pPr>
    </w:p>
    <w:p w14:paraId="59057968" w14:textId="77777777" w:rsidR="00933EF1" w:rsidRPr="00380B40" w:rsidRDefault="00933EF1" w:rsidP="008C3E8D">
      <w:pPr>
        <w:rPr>
          <w:lang w:val="en-GB"/>
        </w:rPr>
      </w:pPr>
    </w:p>
    <w:p w14:paraId="420F8331" w14:textId="77777777" w:rsidR="007D3773" w:rsidRPr="00380B40" w:rsidRDefault="007D3773" w:rsidP="008C3E8D">
      <w:pPr>
        <w:rPr>
          <w:lang w:val="en-GB"/>
        </w:rPr>
      </w:pPr>
    </w:p>
    <w:p w14:paraId="6828C4AB" w14:textId="77777777" w:rsidR="007D3773" w:rsidRPr="00380B40" w:rsidRDefault="007D3773" w:rsidP="008C3E8D">
      <w:pPr>
        <w:rPr>
          <w:lang w:val="en-GB"/>
        </w:rPr>
        <w:sectPr w:rsidR="007D3773" w:rsidRPr="00380B40" w:rsidSect="00944265">
          <w:headerReference w:type="even" r:id="rId462"/>
          <w:headerReference w:type="default" r:id="rId463"/>
          <w:footerReference w:type="even" r:id="rId464"/>
          <w:footerReference w:type="default" r:id="rId465"/>
          <w:headerReference w:type="first" r:id="rId466"/>
          <w:footerReference w:type="first" r:id="rId467"/>
          <w:pgSz w:w="11907" w:h="16840" w:code="9"/>
          <w:pgMar w:top="1134" w:right="1134" w:bottom="1134" w:left="1134" w:header="567" w:footer="567" w:gutter="0"/>
          <w:paperSrc w:first="15" w:other="15"/>
          <w:cols w:space="720"/>
          <w:vAlign w:val="both"/>
          <w:docGrid w:linePitch="326"/>
        </w:sectPr>
      </w:pPr>
    </w:p>
    <w:p w14:paraId="7F0DB41A" w14:textId="77777777" w:rsidR="007E52B2" w:rsidRPr="00380B40" w:rsidRDefault="007E52B2" w:rsidP="008C3E8D">
      <w:pPr>
        <w:pStyle w:val="RecNo"/>
        <w:rPr>
          <w:lang w:val="en-GB"/>
        </w:rPr>
      </w:pPr>
      <w:bookmarkStart w:id="2152" w:name="_Toc104459840"/>
      <w:bookmarkStart w:id="2153" w:name="_Toc111637092"/>
      <w:bookmarkStart w:id="2154" w:name="_Toc111638550"/>
      <w:r w:rsidRPr="00380B40">
        <w:rPr>
          <w:lang w:val="en-GB"/>
        </w:rPr>
        <w:t>Supplement </w:t>
      </w:r>
      <w:r w:rsidRPr="00380B40">
        <w:rPr>
          <w:rStyle w:val="href"/>
          <w:lang w:val="en-GB"/>
        </w:rPr>
        <w:t>3</w:t>
      </w:r>
      <w:r w:rsidRPr="00380B40">
        <w:rPr>
          <w:lang w:val="en-GB"/>
        </w:rPr>
        <w:t xml:space="preserve"> to ITU-T A-series Recommendations</w:t>
      </w:r>
      <w:bookmarkEnd w:id="2152"/>
      <w:bookmarkEnd w:id="2153"/>
      <w:bookmarkEnd w:id="2154"/>
    </w:p>
    <w:p w14:paraId="4BC33D6F" w14:textId="77777777" w:rsidR="00523689" w:rsidRPr="00380B40" w:rsidRDefault="00523689" w:rsidP="00523689">
      <w:pPr>
        <w:pStyle w:val="Rectitle"/>
        <w:rPr>
          <w:lang w:val="en-GB"/>
        </w:rPr>
      </w:pPr>
      <w:bookmarkStart w:id="2155" w:name="_Toc104459841"/>
      <w:bookmarkStart w:id="2156" w:name="_Toc111638551"/>
      <w:r w:rsidRPr="00380B40">
        <w:rPr>
          <w:lang w:val="en-GB"/>
        </w:rPr>
        <w:t>IETF and ITU-T collaboration guidelines</w:t>
      </w:r>
      <w:bookmarkEnd w:id="2155"/>
      <w:bookmarkEnd w:id="2156"/>
    </w:p>
    <w:p w14:paraId="1C18AC0F" w14:textId="77777777" w:rsidR="00523689" w:rsidRPr="00380B40" w:rsidRDefault="00523689" w:rsidP="00523689">
      <w:pPr>
        <w:pStyle w:val="Heading1"/>
        <w:rPr>
          <w:lang w:val="en-GB"/>
        </w:rPr>
      </w:pPr>
      <w:bookmarkStart w:id="2157" w:name="_Toc334514859"/>
      <w:bookmarkStart w:id="2158" w:name="_Toc111637093"/>
      <w:r w:rsidRPr="00380B40">
        <w:rPr>
          <w:lang w:val="en-GB"/>
        </w:rPr>
        <w:t>1</w:t>
      </w:r>
      <w:r w:rsidRPr="00380B40">
        <w:rPr>
          <w:lang w:val="en-GB"/>
        </w:rPr>
        <w:tab/>
        <w:t>Introduction and scope</w:t>
      </w:r>
      <w:bookmarkEnd w:id="2157"/>
      <w:bookmarkEnd w:id="2158"/>
    </w:p>
    <w:p w14:paraId="798D8207" w14:textId="77777777" w:rsidR="00523689" w:rsidRPr="00380B40" w:rsidRDefault="00523689" w:rsidP="00523689">
      <w:pPr>
        <w:rPr>
          <w:lang w:val="en-GB"/>
        </w:rPr>
      </w:pPr>
      <w:r w:rsidRPr="00380B40">
        <w:rPr>
          <w:lang w:val="en-GB"/>
        </w:rPr>
        <w:t xml:space="preserve">This document provides non-normative guidance to aid in the understanding of collaboration on standards development between the Telecommunication Standardization Sector of the International Telecommunication Union (ITU-T) and the Internet Engineering Task Force (IETF) of the Internet Society (ISOC). Early identification of topics of mutual interest will allow for constructive efforts between the two organizations based on mutual respect. </w:t>
      </w:r>
    </w:p>
    <w:p w14:paraId="44C24ACB" w14:textId="77777777" w:rsidR="00523689" w:rsidRPr="00380B40" w:rsidRDefault="00523689" w:rsidP="00523689">
      <w:pPr>
        <w:rPr>
          <w:lang w:val="en-GB"/>
        </w:rPr>
      </w:pPr>
      <w:r w:rsidRPr="00380B40">
        <w:rPr>
          <w:lang w:val="en-GB"/>
        </w:rPr>
        <w:t>In the IETF, work is done in working groups (WGs), mostly through open, public mailing lists rather than face-to-face meetings. WGs are organized into areas, each area being managed by two co-area directors. Collectively, the area directors comprise the Internet Engineering Steering Group (IESG).</w:t>
      </w:r>
    </w:p>
    <w:p w14:paraId="6CBC1826" w14:textId="77777777" w:rsidR="00523689" w:rsidRPr="00380B40" w:rsidRDefault="00523689" w:rsidP="00523689">
      <w:pPr>
        <w:rPr>
          <w:lang w:val="en-GB"/>
        </w:rPr>
      </w:pPr>
      <w:r w:rsidRPr="00380B40">
        <w:rPr>
          <w:lang w:val="en-GB"/>
        </w:rPr>
        <w:t>In the ITU-T, work is defined by study Questions which are worked on mostly through meetings led by rapporteurs (these are sometimes called "rapporteur's group" meetings). Questions are generally grouped within working parties (WPs) led by a WP chairman. Working parties report to a parent study group (SG) led by an SG chairman. Work may also be conducted in ITU-T focus groups (see clause 2.7).</w:t>
      </w:r>
    </w:p>
    <w:p w14:paraId="06F751CF" w14:textId="77777777" w:rsidR="00523689" w:rsidRPr="00380B40" w:rsidRDefault="00523689" w:rsidP="00523689">
      <w:pPr>
        <w:rPr>
          <w:lang w:val="en-GB"/>
        </w:rPr>
      </w:pPr>
      <w:r w:rsidRPr="00380B40">
        <w:rPr>
          <w:lang w:val="en-GB"/>
        </w:rPr>
        <w:t>To foster ongoing communication between the ITU-T and IETF, it is important to identify and establish contact points within each organization. Contact points may include:</w:t>
      </w:r>
    </w:p>
    <w:p w14:paraId="590A2A2B" w14:textId="77777777" w:rsidR="00523689" w:rsidRPr="00380B40" w:rsidRDefault="00523689" w:rsidP="00523689">
      <w:pPr>
        <w:pStyle w:val="enumlev1"/>
        <w:rPr>
          <w:lang w:val="en-GB"/>
        </w:rPr>
      </w:pPr>
      <w:r w:rsidRPr="00380B40">
        <w:rPr>
          <w:lang w:val="en-GB"/>
        </w:rPr>
        <w:t>1.</w:t>
      </w:r>
      <w:r w:rsidRPr="00380B40">
        <w:rPr>
          <w:lang w:val="en-GB"/>
        </w:rPr>
        <w:tab/>
      </w:r>
      <w:r w:rsidRPr="00380B40">
        <w:rPr>
          <w:b/>
          <w:bCs/>
          <w:lang w:val="en-GB"/>
        </w:rPr>
        <w:t>ITU-T study group chairman and IETF area director</w:t>
      </w:r>
    </w:p>
    <w:p w14:paraId="7600A7C2" w14:textId="77777777" w:rsidR="00523689" w:rsidRPr="00380B40" w:rsidRDefault="00523689" w:rsidP="00523689">
      <w:pPr>
        <w:pStyle w:val="enumlev1"/>
        <w:rPr>
          <w:lang w:val="en-GB"/>
        </w:rPr>
      </w:pPr>
      <w:r w:rsidRPr="00380B40">
        <w:rPr>
          <w:lang w:val="en-GB"/>
        </w:rPr>
        <w:tab/>
        <w:t>An IETF area director is the individual responsible for overseeing a major focus of activity with a scope similar to that of an ITU-T study group chairman. These positions are both relatively long-term (of several years) and offer the stability of contact points between the two organizations for a given topic.</w:t>
      </w:r>
    </w:p>
    <w:p w14:paraId="1230AC26" w14:textId="77777777" w:rsidR="00523689" w:rsidRPr="00380B40" w:rsidRDefault="00523689" w:rsidP="00523689">
      <w:pPr>
        <w:pStyle w:val="enumlev1"/>
        <w:rPr>
          <w:lang w:val="en-GB"/>
        </w:rPr>
      </w:pPr>
      <w:r w:rsidRPr="00380B40">
        <w:rPr>
          <w:lang w:val="en-GB"/>
        </w:rPr>
        <w:t>2.</w:t>
      </w:r>
      <w:r w:rsidRPr="00380B40">
        <w:rPr>
          <w:lang w:val="en-GB"/>
        </w:rPr>
        <w:tab/>
      </w:r>
      <w:r w:rsidRPr="00380B40">
        <w:rPr>
          <w:b/>
          <w:bCs/>
          <w:lang w:val="en-GB"/>
        </w:rPr>
        <w:t>ITU-T rapporteur and IETF working group chair</w:t>
      </w:r>
    </w:p>
    <w:p w14:paraId="7048EC38" w14:textId="77777777" w:rsidR="00523689" w:rsidRPr="00380B40" w:rsidRDefault="00523689" w:rsidP="00523689">
      <w:pPr>
        <w:pStyle w:val="enumlev1"/>
        <w:rPr>
          <w:lang w:val="en-GB"/>
        </w:rPr>
      </w:pPr>
      <w:r w:rsidRPr="00380B40">
        <w:rPr>
          <w:lang w:val="en-GB"/>
        </w:rPr>
        <w:tab/>
        <w:t>An IETF working group chair is an individual who is assigned to lead the work on a specific task within one particular area with a scope similar to that of an ITU</w:t>
      </w:r>
      <w:r w:rsidRPr="00380B40">
        <w:rPr>
          <w:lang w:val="en-GB"/>
        </w:rPr>
        <w:noBreakHyphen/>
        <w:t>T rapporteur. These positions are working positions (of a year or more) that typically end when the work on a specific topic ends. Collaboration here is very beneficial to ensure the actual work gets done.</w:t>
      </w:r>
    </w:p>
    <w:p w14:paraId="389B05F3" w14:textId="77777777" w:rsidR="00F64BAE" w:rsidRPr="00380B40" w:rsidRDefault="00F64BAE" w:rsidP="00523689">
      <w:pPr>
        <w:pStyle w:val="enumlev1"/>
        <w:rPr>
          <w:lang w:val="en-GB"/>
        </w:rPr>
      </w:pPr>
      <w:r w:rsidRPr="00380B40">
        <w:rPr>
          <w:lang w:val="en-GB"/>
        </w:rPr>
        <w:br w:type="page"/>
      </w:r>
    </w:p>
    <w:p w14:paraId="2E3FFA71" w14:textId="77777777" w:rsidR="00523689" w:rsidRPr="00380B40" w:rsidRDefault="00523689" w:rsidP="00523689">
      <w:pPr>
        <w:pStyle w:val="enumlev1"/>
        <w:rPr>
          <w:lang w:val="en-GB"/>
        </w:rPr>
      </w:pPr>
      <w:r w:rsidRPr="00380B40">
        <w:rPr>
          <w:lang w:val="en-GB"/>
        </w:rPr>
        <w:t>3.</w:t>
      </w:r>
      <w:r w:rsidRPr="00380B40">
        <w:rPr>
          <w:lang w:val="en-GB"/>
        </w:rPr>
        <w:tab/>
      </w:r>
      <w:r w:rsidRPr="00380B40">
        <w:rPr>
          <w:b/>
          <w:bCs/>
          <w:lang w:val="en-GB"/>
        </w:rPr>
        <w:t>Other contact points</w:t>
      </w:r>
    </w:p>
    <w:p w14:paraId="67779F9C" w14:textId="77777777" w:rsidR="00523689" w:rsidRPr="00380B40" w:rsidRDefault="00523689" w:rsidP="00523689">
      <w:pPr>
        <w:pStyle w:val="enumlev1"/>
        <w:rPr>
          <w:lang w:val="en-GB"/>
        </w:rPr>
      </w:pPr>
      <w:r w:rsidRPr="00380B40">
        <w:rPr>
          <w:lang w:val="en-GB"/>
        </w:rPr>
        <w:tab/>
        <w:t>It may be beneficial to establish additional contact points for specific topics of mutual interest. These contact points should be established early in the work effort, and in some cases the contact point identified by each organization may be the same individual. ITU-T has an additional level of management, the working party chairman. From time to time, it may be beneficial for this person to exchange views with IETF working group chairs and area directors.</w:t>
      </w:r>
    </w:p>
    <w:p w14:paraId="7333065A" w14:textId="77777777" w:rsidR="00523689" w:rsidRPr="00380B40" w:rsidRDefault="00523689" w:rsidP="0085423C">
      <w:pPr>
        <w:pStyle w:val="Note"/>
        <w:rPr>
          <w:lang w:val="en-GB"/>
        </w:rPr>
      </w:pPr>
      <w:r w:rsidRPr="00380B40">
        <w:rPr>
          <w:lang w:val="en-GB"/>
        </w:rPr>
        <w:t xml:space="preserve">NOTE </w:t>
      </w:r>
      <w:r w:rsidRPr="00380B40">
        <w:rPr>
          <w:i/>
          <w:iCs/>
          <w:lang w:val="en-GB"/>
        </w:rPr>
        <w:t>–</w:t>
      </w:r>
      <w:r w:rsidRPr="00380B40">
        <w:rPr>
          <w:lang w:val="en-GB"/>
        </w:rPr>
        <w:t xml:space="preserve"> The current list of IETF area directors and working group chairs can be found in the IETF working group charters. The current ITU-T study group chairmen and rapporteurs are listed on the ITU</w:t>
      </w:r>
      <w:r w:rsidRPr="00380B40">
        <w:rPr>
          <w:lang w:val="en-GB"/>
        </w:rPr>
        <w:noBreakHyphen/>
        <w:t>T study group web pages.</w:t>
      </w:r>
    </w:p>
    <w:p w14:paraId="07878D01" w14:textId="77777777" w:rsidR="00523689" w:rsidRPr="00380B40" w:rsidRDefault="00523689" w:rsidP="00523689">
      <w:pPr>
        <w:pStyle w:val="Heading1"/>
        <w:rPr>
          <w:lang w:val="en-GB"/>
        </w:rPr>
      </w:pPr>
      <w:bookmarkStart w:id="2159" w:name="_Toc334514860"/>
      <w:bookmarkStart w:id="2160" w:name="_Toc111637094"/>
      <w:r w:rsidRPr="00380B40">
        <w:rPr>
          <w:lang w:val="en-GB"/>
        </w:rPr>
        <w:t>2</w:t>
      </w:r>
      <w:r w:rsidRPr="00380B40">
        <w:rPr>
          <w:lang w:val="en-GB"/>
        </w:rPr>
        <w:tab/>
        <w:t>Guidance on collaboration</w:t>
      </w:r>
      <w:bookmarkEnd w:id="2159"/>
      <w:bookmarkEnd w:id="2160"/>
    </w:p>
    <w:p w14:paraId="76391ED3" w14:textId="77777777" w:rsidR="00523689" w:rsidRPr="00380B40" w:rsidRDefault="00523689" w:rsidP="00523689">
      <w:pPr>
        <w:keepNext/>
        <w:keepLines/>
        <w:rPr>
          <w:lang w:val="en-GB"/>
        </w:rPr>
      </w:pPr>
      <w:r w:rsidRPr="00380B40">
        <w:rPr>
          <w:lang w:val="en-GB"/>
        </w:rPr>
        <w:t>This clause describes how the existing processes within the IETF and ITU-T may be utilized to enable collaboration between the organizations.</w:t>
      </w:r>
    </w:p>
    <w:p w14:paraId="08607F17" w14:textId="77777777" w:rsidR="00523689" w:rsidRPr="00380B40" w:rsidRDefault="00523689" w:rsidP="00523689">
      <w:pPr>
        <w:pStyle w:val="Heading2"/>
        <w:rPr>
          <w:lang w:val="en-GB"/>
        </w:rPr>
      </w:pPr>
      <w:bookmarkStart w:id="2161" w:name="_Toc334514861"/>
      <w:bookmarkStart w:id="2162" w:name="_Toc111637095"/>
      <w:r w:rsidRPr="00380B40">
        <w:rPr>
          <w:lang w:val="en-GB"/>
        </w:rPr>
        <w:t>2.1</w:t>
      </w:r>
      <w:r w:rsidRPr="00380B40">
        <w:rPr>
          <w:lang w:val="en-GB"/>
        </w:rPr>
        <w:tab/>
        <w:t>How to interact on ITU-T or IETF work items</w:t>
      </w:r>
      <w:bookmarkEnd w:id="2161"/>
      <w:bookmarkEnd w:id="2162"/>
    </w:p>
    <w:p w14:paraId="78F84156" w14:textId="77777777" w:rsidR="00523689" w:rsidRPr="00380B40" w:rsidRDefault="00523689" w:rsidP="00523689">
      <w:pPr>
        <w:rPr>
          <w:lang w:val="en-GB"/>
        </w:rPr>
      </w:pPr>
      <w:r w:rsidRPr="00380B40">
        <w:rPr>
          <w:lang w:val="en-GB"/>
        </w:rPr>
        <w:t>Study groups that have identified work topics that are related to the Internet protocol (IP) should evaluate the relationship with topics defined in the IETF. Current IETF working groups and their charters (IETF definition of the scope of work) are listed in the IETF archives (see clause 2.8.1).</w:t>
      </w:r>
    </w:p>
    <w:p w14:paraId="66EF71FB" w14:textId="77777777" w:rsidR="00523689" w:rsidRPr="00380B40" w:rsidRDefault="00523689" w:rsidP="00523689">
      <w:pPr>
        <w:rPr>
          <w:lang w:val="en-GB"/>
        </w:rPr>
      </w:pPr>
      <w:r w:rsidRPr="00380B40">
        <w:rPr>
          <w:lang w:val="en-GB"/>
        </w:rPr>
        <w:t>A study group may decide that development of a Recommendation on a particular topic may benefit from collaboration with the IETF. The study group should identify this collaboration in its work plan (specifically in that of each Question involved), describing the goal of the collaboration and its expected outcome.</w:t>
      </w:r>
    </w:p>
    <w:p w14:paraId="0AF4A033" w14:textId="77777777" w:rsidR="00523689" w:rsidRPr="00380B40" w:rsidRDefault="00523689" w:rsidP="00523689">
      <w:pPr>
        <w:rPr>
          <w:lang w:val="en-GB"/>
        </w:rPr>
      </w:pPr>
      <w:r w:rsidRPr="00380B40">
        <w:rPr>
          <w:lang w:val="en-GB"/>
        </w:rPr>
        <w:t>An IETF working group should also evaluate and identify areas of relationship with the ITU-T and document the collaboration with the ITU-T study group in its charter.</w:t>
      </w:r>
    </w:p>
    <w:p w14:paraId="65B27B39" w14:textId="77777777" w:rsidR="00523689" w:rsidRPr="00380B40" w:rsidRDefault="00523689" w:rsidP="00523689">
      <w:pPr>
        <w:rPr>
          <w:lang w:val="en-GB"/>
        </w:rPr>
      </w:pPr>
      <w:r w:rsidRPr="00380B40">
        <w:rPr>
          <w:lang w:val="en-GB"/>
        </w:rPr>
        <w:t>The following clauses outline a process that can be used to enable each group to be informed about the other's new work items.</w:t>
      </w:r>
    </w:p>
    <w:p w14:paraId="0B2E2A7A" w14:textId="77777777" w:rsidR="00523689" w:rsidRPr="00380B40" w:rsidRDefault="00523689" w:rsidP="00523689">
      <w:pPr>
        <w:pStyle w:val="Heading3"/>
        <w:rPr>
          <w:lang w:val="en-GB"/>
        </w:rPr>
      </w:pPr>
      <w:bookmarkStart w:id="2163" w:name="_Toc111637096"/>
      <w:r w:rsidRPr="00380B40">
        <w:rPr>
          <w:lang w:val="en-GB"/>
        </w:rPr>
        <w:t>2.1.1</w:t>
      </w:r>
      <w:r w:rsidRPr="00380B40">
        <w:rPr>
          <w:lang w:val="en-GB"/>
        </w:rPr>
        <w:tab/>
        <w:t>How the ITU-T is informed about existing IETF work items</w:t>
      </w:r>
      <w:bookmarkEnd w:id="2163"/>
    </w:p>
    <w:p w14:paraId="05204BF6" w14:textId="77777777" w:rsidR="00523689" w:rsidRPr="00380B40" w:rsidRDefault="00523689" w:rsidP="00523689">
      <w:pPr>
        <w:rPr>
          <w:lang w:val="en-GB"/>
        </w:rPr>
      </w:pPr>
      <w:r w:rsidRPr="00380B40">
        <w:rPr>
          <w:lang w:val="en-GB"/>
        </w:rPr>
        <w:t>The responsibility is on individual study groups to review the current IETF working groups to determine if there are any topics of mutual interest. Working group charters and active Internet-Drafts can be found on the IETF web site (</w:t>
      </w:r>
      <w:hyperlink r:id="rId468" w:history="1">
        <w:r w:rsidR="00D55E8F" w:rsidRPr="00380B40">
          <w:rPr>
            <w:rStyle w:val="Hyperlink"/>
            <w:lang w:val="en-GB"/>
          </w:rPr>
          <w:t>http://datatracker.ietf.org/wg/</w:t>
        </w:r>
      </w:hyperlink>
      <w:r w:rsidRPr="00380B40">
        <w:rPr>
          <w:lang w:val="en-GB"/>
        </w:rPr>
        <w:t>). If a study group identifies a common area of work, the study group leadership should contact both the IETF working group chair and the area director(s) responsible. This may be accompanied by a formal liaison statement (see clause 2.3).</w:t>
      </w:r>
    </w:p>
    <w:p w14:paraId="430ED457" w14:textId="77777777" w:rsidR="00523689" w:rsidRPr="00380B40" w:rsidRDefault="00523689" w:rsidP="00523689">
      <w:pPr>
        <w:pStyle w:val="Heading3"/>
        <w:rPr>
          <w:lang w:val="en-GB"/>
        </w:rPr>
      </w:pPr>
      <w:bookmarkStart w:id="2164" w:name="_Toc111637097"/>
      <w:r w:rsidRPr="00380B40">
        <w:rPr>
          <w:lang w:val="en-GB"/>
        </w:rPr>
        <w:t>2.1.2</w:t>
      </w:r>
      <w:r w:rsidRPr="00380B40">
        <w:rPr>
          <w:lang w:val="en-GB"/>
        </w:rPr>
        <w:tab/>
        <w:t>How the IETF is informed about existing ITU-T work items</w:t>
      </w:r>
      <w:bookmarkEnd w:id="2164"/>
    </w:p>
    <w:p w14:paraId="2AF4DB62" w14:textId="77777777" w:rsidR="00523689" w:rsidRPr="00380B40" w:rsidRDefault="00523689" w:rsidP="00523689">
      <w:pPr>
        <w:rPr>
          <w:lang w:val="en-GB"/>
        </w:rPr>
      </w:pPr>
      <w:r w:rsidRPr="00380B40">
        <w:rPr>
          <w:lang w:val="en-GB"/>
        </w:rPr>
        <w:t>The IETF through its representatives will review the current work of the various study groups from time to time. Each ITU-T study group's web page on the ITU-T web site contains its current list of Questions as well as its current work programme. When an area or working group identifies a common area of work, the matter is referred to appropriate working group chairs and area directors, where they may consider sending a liaison statement to the appropriate study group.</w:t>
      </w:r>
    </w:p>
    <w:p w14:paraId="0E9106E9" w14:textId="77777777" w:rsidR="00D34519" w:rsidRPr="00380B40" w:rsidRDefault="00D34519" w:rsidP="00523689">
      <w:pPr>
        <w:rPr>
          <w:lang w:val="en-GB"/>
        </w:rPr>
      </w:pPr>
      <w:r w:rsidRPr="00380B40">
        <w:rPr>
          <w:lang w:val="en-GB"/>
        </w:rPr>
        <w:br w:type="page"/>
      </w:r>
    </w:p>
    <w:p w14:paraId="6CC2D6FC" w14:textId="77777777" w:rsidR="00523689" w:rsidRPr="00380B40" w:rsidRDefault="00523689" w:rsidP="00523689">
      <w:pPr>
        <w:pStyle w:val="Heading3"/>
        <w:rPr>
          <w:lang w:val="en-GB"/>
        </w:rPr>
      </w:pPr>
      <w:bookmarkStart w:id="2165" w:name="_Toc111637098"/>
      <w:r w:rsidRPr="00380B40">
        <w:rPr>
          <w:lang w:val="en-GB"/>
        </w:rPr>
        <w:t>2.1.3</w:t>
      </w:r>
      <w:r w:rsidRPr="00380B40">
        <w:rPr>
          <w:lang w:val="en-GB"/>
        </w:rPr>
        <w:tab/>
        <w:t>How the ITU-T is informed about proposed new IETF work items</w:t>
      </w:r>
      <w:bookmarkEnd w:id="2165"/>
    </w:p>
    <w:p w14:paraId="09BE602F" w14:textId="77777777" w:rsidR="00523689" w:rsidRPr="00380B40" w:rsidRDefault="00523689" w:rsidP="00523689">
      <w:pPr>
        <w:rPr>
          <w:lang w:val="en-GB"/>
        </w:rPr>
      </w:pPr>
      <w:r w:rsidRPr="00380B40">
        <w:rPr>
          <w:lang w:val="en-GB"/>
        </w:rPr>
        <w:t>The IETF maintains a mailing list for the distribution of proposed new work items among standards development organizations. Many such items can be identified in proposed birds-of-a-feather (BoF) sessions, as well as draft charters for working groups. The IETF forwards all such draft charters for all new and revised working groups and BoF session announcements to the IETF new-work mailing list. An ITU-T mailing list is subscribed to this list. Leadership of study groups may subscribe to this ITU-T mailing list, which is maintained by the Telecommunication Standardization Bureau (TSB). Members of the SG-specific listname may include the SG chairman, SG vice-chairmen, working party chairmen, concerned rapporteurs, other experts designated by the SG and the SG Counsellor. This will enable the SGs to monitor the new work items for possible overlap or interest to their study group. It is expected that this mailing list will see a few messages per month.</w:t>
      </w:r>
    </w:p>
    <w:p w14:paraId="677CAE6F" w14:textId="77777777" w:rsidR="00523689" w:rsidRPr="00380B40" w:rsidRDefault="00523689" w:rsidP="00523689">
      <w:pPr>
        <w:rPr>
          <w:lang w:val="en-GB"/>
        </w:rPr>
      </w:pPr>
      <w:r w:rsidRPr="00380B40">
        <w:rPr>
          <w:lang w:val="en-GB"/>
        </w:rPr>
        <w:t xml:space="preserve">Each SG chairman, or designated representative, may provide comments on these charters by responding to the IESG mailing list at </w:t>
      </w:r>
      <w:hyperlink r:id="rId469" w:history="1">
        <w:r w:rsidRPr="00380B40">
          <w:rPr>
            <w:rStyle w:val="Hyperlink"/>
            <w:lang w:val="en-GB"/>
          </w:rPr>
          <w:t>iesg@ietf.org</w:t>
        </w:r>
      </w:hyperlink>
      <w:r w:rsidRPr="00380B40">
        <w:rPr>
          <w:lang w:val="en-GB"/>
        </w:rPr>
        <w:t xml:space="preserve"> clearly indicating their ITU-T position and the nature of their concern. Plain-text email is preferred on the IESG mailing list.</w:t>
      </w:r>
    </w:p>
    <w:p w14:paraId="353CBD7A" w14:textId="77777777" w:rsidR="00F64BAE" w:rsidRPr="00380B40" w:rsidRDefault="00523689" w:rsidP="00697453">
      <w:pPr>
        <w:rPr>
          <w:lang w:val="en-GB"/>
        </w:rPr>
      </w:pPr>
      <w:r w:rsidRPr="00380B40">
        <w:rPr>
          <w:lang w:val="en-GB"/>
        </w:rPr>
        <w:t>It should be noted that the IETF turnaround time for new working group charters can be as short as two weeks. As a result, the mailing list should be consistently monitored.</w:t>
      </w:r>
    </w:p>
    <w:p w14:paraId="763DD366" w14:textId="77777777" w:rsidR="00523689" w:rsidRPr="00380B40" w:rsidRDefault="00523689" w:rsidP="00523689">
      <w:pPr>
        <w:pStyle w:val="Heading3"/>
        <w:rPr>
          <w:lang w:val="en-GB"/>
        </w:rPr>
      </w:pPr>
      <w:bookmarkStart w:id="2166" w:name="_Toc111637099"/>
      <w:r w:rsidRPr="00380B40">
        <w:rPr>
          <w:lang w:val="en-GB"/>
        </w:rPr>
        <w:t>2.1.4</w:t>
      </w:r>
      <w:r w:rsidRPr="00380B40">
        <w:rPr>
          <w:lang w:val="en-GB"/>
        </w:rPr>
        <w:tab/>
        <w:t>How the IETF is informed about ITU-T work items</w:t>
      </w:r>
      <w:bookmarkEnd w:id="2166"/>
    </w:p>
    <w:p w14:paraId="3CE3E757" w14:textId="77777777" w:rsidR="00523689" w:rsidRPr="00380B40" w:rsidRDefault="00523689" w:rsidP="00523689">
      <w:pPr>
        <w:rPr>
          <w:lang w:val="en-GB"/>
        </w:rPr>
      </w:pPr>
      <w:r w:rsidRPr="00380B40">
        <w:rPr>
          <w:lang w:val="en-GB"/>
        </w:rPr>
        <w:t>The ITU-T accepts new areas of work through the creation or update of Questions and these can be found on the ITU-T study group web pages. In addition, the ITU-T work programme is documented on each ITU-T study group's web page on the ITU-T web site.</w:t>
      </w:r>
    </w:p>
    <w:p w14:paraId="0E2ED50B" w14:textId="77777777" w:rsidR="00523689" w:rsidRPr="00380B40" w:rsidRDefault="00523689" w:rsidP="00523689">
      <w:pPr>
        <w:rPr>
          <w:lang w:val="en-GB"/>
        </w:rPr>
      </w:pPr>
      <w:r w:rsidRPr="00380B40">
        <w:rPr>
          <w:lang w:val="en-GB"/>
        </w:rPr>
        <w:t>Study groups send updates to the IETF new-work mailing list as new Questions are first drafted or created, terms of reference for Questions are first drafted or updated, or otherwise when there is reason to believe that a particular effort might be of interest to the IETF. Area directors or WG chairs should provide comments through liaison statements or direct email to the relevant SG chairman in cases of possible overlap or interest.</w:t>
      </w:r>
    </w:p>
    <w:p w14:paraId="35AFB1B5" w14:textId="77777777" w:rsidR="00523689" w:rsidRPr="00380B40" w:rsidRDefault="00523689" w:rsidP="00523689">
      <w:pPr>
        <w:pStyle w:val="Heading2"/>
        <w:rPr>
          <w:lang w:val="en-GB"/>
        </w:rPr>
      </w:pPr>
      <w:bookmarkStart w:id="2167" w:name="_Toc334514862"/>
      <w:bookmarkStart w:id="2168" w:name="_Toc111637100"/>
      <w:r w:rsidRPr="00380B40">
        <w:rPr>
          <w:lang w:val="en-GB"/>
        </w:rPr>
        <w:t>2.2</w:t>
      </w:r>
      <w:r w:rsidRPr="00380B40">
        <w:rPr>
          <w:lang w:val="en-GB"/>
        </w:rPr>
        <w:tab/>
        <w:t>Representation</w:t>
      </w:r>
      <w:bookmarkEnd w:id="2167"/>
      <w:bookmarkEnd w:id="2168"/>
    </w:p>
    <w:p w14:paraId="304134C3" w14:textId="77777777" w:rsidR="00523689" w:rsidRPr="00380B40" w:rsidRDefault="00523689" w:rsidP="00523689">
      <w:pPr>
        <w:rPr>
          <w:lang w:val="en-GB"/>
        </w:rPr>
      </w:pPr>
      <w:r w:rsidRPr="00380B40">
        <w:rPr>
          <w:lang w:val="en-GB"/>
        </w:rPr>
        <w:t>ISOC, including its standards body IETF, is a Sector Member of the ITU-T. As a result, ISOC delegates are afforded the same rights as other ITU-T Sector Members (see clause 2.2.1). Conversely, ITU-T delegates may participate in the work of the IETF as representatives of the ITU</w:t>
      </w:r>
      <w:r w:rsidRPr="00380B40">
        <w:rPr>
          <w:lang w:val="en-GB"/>
        </w:rPr>
        <w:noBreakHyphen/>
        <w:t>T (see clause 2.2.2). To promote collaboration, it is useful to facilitate communication between the organizations as further described below.</w:t>
      </w:r>
    </w:p>
    <w:p w14:paraId="5091E5AB" w14:textId="77777777" w:rsidR="00F64BAE" w:rsidRPr="00380B40" w:rsidRDefault="00F64BAE" w:rsidP="00523689">
      <w:pPr>
        <w:rPr>
          <w:lang w:val="en-GB"/>
        </w:rPr>
      </w:pPr>
      <w:r w:rsidRPr="00380B40">
        <w:rPr>
          <w:lang w:val="en-GB"/>
        </w:rPr>
        <w:br w:type="page"/>
      </w:r>
    </w:p>
    <w:p w14:paraId="0824C03E" w14:textId="77777777" w:rsidR="00523689" w:rsidRPr="00380B40" w:rsidRDefault="00523689" w:rsidP="00523689">
      <w:pPr>
        <w:pStyle w:val="Heading3"/>
        <w:rPr>
          <w:lang w:val="en-GB"/>
        </w:rPr>
      </w:pPr>
      <w:bookmarkStart w:id="2169" w:name="_Toc111637101"/>
      <w:r w:rsidRPr="00380B40">
        <w:rPr>
          <w:lang w:val="en-GB"/>
        </w:rPr>
        <w:t>2.2.1</w:t>
      </w:r>
      <w:r w:rsidRPr="00380B40">
        <w:rPr>
          <w:lang w:val="en-GB"/>
        </w:rPr>
        <w:tab/>
        <w:t>IETF recognition at ITU-T</w:t>
      </w:r>
      <w:bookmarkEnd w:id="2169"/>
    </w:p>
    <w:p w14:paraId="04EFCC50" w14:textId="77777777" w:rsidR="00523689" w:rsidRPr="00380B40" w:rsidRDefault="00523689" w:rsidP="00523689">
      <w:pPr>
        <w:rPr>
          <w:lang w:val="en-GB"/>
        </w:rPr>
      </w:pPr>
      <w:r w:rsidRPr="00380B40">
        <w:rPr>
          <w:lang w:val="en-GB"/>
        </w:rPr>
        <w:t>Experts and representatives from the IETF that are chosen by IETF leadership normally participate in ITU-T meetings as ISOC delegates. The ISOC focal point will facilitate registration and verification of these people, as appropriate.</w:t>
      </w:r>
    </w:p>
    <w:p w14:paraId="7E7DDEF8" w14:textId="77777777" w:rsidR="00523689" w:rsidRPr="00380B40" w:rsidRDefault="00523689" w:rsidP="00523689">
      <w:pPr>
        <w:pStyle w:val="Heading3"/>
        <w:rPr>
          <w:lang w:val="en-GB"/>
        </w:rPr>
      </w:pPr>
      <w:bookmarkStart w:id="2170" w:name="_Toc111637102"/>
      <w:r w:rsidRPr="00380B40">
        <w:rPr>
          <w:lang w:val="en-GB"/>
        </w:rPr>
        <w:t>2.2.2</w:t>
      </w:r>
      <w:r w:rsidRPr="00380B40">
        <w:rPr>
          <w:lang w:val="en-GB"/>
        </w:rPr>
        <w:tab/>
        <w:t>ITU-T recognition at ISOC/IETF</w:t>
      </w:r>
      <w:bookmarkEnd w:id="2170"/>
    </w:p>
    <w:p w14:paraId="3DDFBBFE" w14:textId="77777777" w:rsidR="00523689" w:rsidRPr="00380B40" w:rsidRDefault="00523689" w:rsidP="00251D45">
      <w:pPr>
        <w:rPr>
          <w:lang w:val="en-GB"/>
        </w:rPr>
      </w:pPr>
      <w:r w:rsidRPr="00380B40">
        <w:rPr>
          <w:lang w:val="en-GB"/>
        </w:rPr>
        <w:t>ITU-T study group chairmen can authorize one or more members to attend an IETF meeting as an official ITU-T delegate speaking authoritatively on behalf of the activities of the study group (or a particular rapporteur group). The study group chairman sends the ITU-T list of delegates by email to the working group chair, with a copy to the area directors, and also to the study group. According to IETF process, opinions expressed by any such delegate are given equal weight with opinions expressed by any other working group participant.</w:t>
      </w:r>
    </w:p>
    <w:p w14:paraId="4B3BC854" w14:textId="77777777" w:rsidR="00523689" w:rsidRPr="00380B40" w:rsidRDefault="00523689" w:rsidP="00523689">
      <w:pPr>
        <w:pStyle w:val="Heading2"/>
        <w:rPr>
          <w:lang w:val="en-GB"/>
        </w:rPr>
      </w:pPr>
      <w:bookmarkStart w:id="2171" w:name="_Toc334514863"/>
      <w:bookmarkStart w:id="2172" w:name="_Toc111637103"/>
      <w:r w:rsidRPr="00380B40">
        <w:rPr>
          <w:lang w:val="en-GB"/>
        </w:rPr>
        <w:t>2.3</w:t>
      </w:r>
      <w:r w:rsidRPr="00380B40">
        <w:rPr>
          <w:lang w:val="en-GB"/>
        </w:rPr>
        <w:tab/>
        <w:t>Communication outside of meetings</w:t>
      </w:r>
      <w:bookmarkEnd w:id="2171"/>
      <w:bookmarkEnd w:id="2172"/>
    </w:p>
    <w:p w14:paraId="4F811C2D" w14:textId="77777777" w:rsidR="00523689" w:rsidRPr="00380B40" w:rsidRDefault="00523689" w:rsidP="00523689">
      <w:pPr>
        <w:rPr>
          <w:lang w:val="en-GB"/>
        </w:rPr>
      </w:pPr>
      <w:r w:rsidRPr="00380B40">
        <w:rPr>
          <w:lang w:val="en-GB"/>
        </w:rPr>
        <w:t xml:space="preserve">Informal communication between contact points and experts of both organizations is encouraged. However, formal communication from an ITU-T study group, working party or rapporteur group to an associated IETF contact point must be explicitly approved and identified as coming from the study group, working party, or rapporteur group, respectively. Formal liaison statements from the ITU-T to the IETF are transmitted according to the procedures described in RFC 4053 [2]. These liaison statements are placed by the IETF onto a liaison statements web page at </w:t>
      </w:r>
      <w:hyperlink r:id="rId470" w:history="1">
        <w:r w:rsidR="00D55E8F" w:rsidRPr="00380B40">
          <w:rPr>
            <w:rStyle w:val="Hyperlink"/>
            <w:lang w:val="en-GB"/>
          </w:rPr>
          <w:t>https://datatracker.ietf.org/liaison/</w:t>
        </w:r>
      </w:hyperlink>
      <w:r w:rsidRPr="00380B40">
        <w:rPr>
          <w:lang w:val="en-GB"/>
        </w:rPr>
        <w:t>. An individual at the IETF is assigned responsibility for dealing with each liaison statement that is received. The name and contact information of the responsible person and any applicable deadline is listed with the links to the liaison statement on this web page.</w:t>
      </w:r>
    </w:p>
    <w:p w14:paraId="2722C623" w14:textId="77777777" w:rsidR="00523689" w:rsidRPr="00380B40" w:rsidRDefault="00523689" w:rsidP="00523689">
      <w:pPr>
        <w:rPr>
          <w:lang w:val="en-GB"/>
        </w:rPr>
      </w:pPr>
      <w:r w:rsidRPr="00380B40">
        <w:rPr>
          <w:lang w:val="en-GB"/>
        </w:rPr>
        <w:t>Formal liaison statements from the Internet Architecture Board (IAB), the IESG, the IETF, an IETF working group or area to the ITU</w:t>
      </w:r>
      <w:r w:rsidRPr="00380B40">
        <w:rPr>
          <w:lang w:val="en-GB"/>
        </w:rPr>
        <w:noBreakHyphen/>
        <w:t>T are generated, approved, and transmitted according to the procedures described in RFC 4053 [2] and Recommendation ITU-T A.1 [15]. Formal communication is intended to allow the sharing of positions between the IETF and the ITU</w:t>
      </w:r>
      <w:r w:rsidRPr="00380B40">
        <w:rPr>
          <w:lang w:val="en-GB"/>
        </w:rPr>
        <w:noBreakHyphen/>
        <w:t>T outside of actual documents (as described in clause 2.5.1). This covers such things as comments on documents and requests for input.</w:t>
      </w:r>
    </w:p>
    <w:p w14:paraId="7C17F3BE" w14:textId="77777777" w:rsidR="00523689" w:rsidRPr="00380B40" w:rsidRDefault="00523689" w:rsidP="00523689">
      <w:pPr>
        <w:pStyle w:val="Heading2"/>
        <w:rPr>
          <w:lang w:val="en-GB"/>
        </w:rPr>
      </w:pPr>
      <w:bookmarkStart w:id="2173" w:name="_Toc334514864"/>
      <w:bookmarkStart w:id="2174" w:name="_Toc111637104"/>
      <w:r w:rsidRPr="00380B40">
        <w:rPr>
          <w:lang w:val="en-GB"/>
        </w:rPr>
        <w:t>2.4</w:t>
      </w:r>
      <w:r w:rsidRPr="00380B40">
        <w:rPr>
          <w:lang w:val="en-GB"/>
        </w:rPr>
        <w:tab/>
        <w:t>Mailing lists</w:t>
      </w:r>
      <w:bookmarkEnd w:id="2173"/>
      <w:bookmarkEnd w:id="2174"/>
    </w:p>
    <w:p w14:paraId="3DEEC7B8" w14:textId="77777777" w:rsidR="00523689" w:rsidRPr="00380B40" w:rsidRDefault="00523689" w:rsidP="00523689">
      <w:pPr>
        <w:keepNext/>
        <w:keepLines/>
        <w:rPr>
          <w:lang w:val="en-GB"/>
        </w:rPr>
      </w:pPr>
      <w:r w:rsidRPr="00380B40">
        <w:rPr>
          <w:lang w:val="en-GB"/>
        </w:rPr>
        <w:t>All IETF working groups and all ITU-T study group Questions have associated mailing lists.</w:t>
      </w:r>
    </w:p>
    <w:p w14:paraId="0C70B5E3" w14:textId="77777777" w:rsidR="00523689" w:rsidRPr="00380B40" w:rsidRDefault="00523689" w:rsidP="00523689">
      <w:pPr>
        <w:keepNext/>
        <w:keepLines/>
        <w:rPr>
          <w:lang w:val="en-GB"/>
        </w:rPr>
      </w:pPr>
      <w:r w:rsidRPr="00380B40">
        <w:rPr>
          <w:lang w:val="en-GB"/>
        </w:rPr>
        <w:t>In the IETF, the mailing list is the primary vehicle for discussion and decision-making. It is recommended that the ITU-T experts interested in particular IETF working group topics subscribe to and participate in these lists. IETF WG mailing lists are open to all subscribers. The IETF working group mailing list subscription and archive information are noted in each working group's charter. In the ITU-T, the TSB has set up formal mailing lists for Questions, working parties, and other topics within study groups (more detail can be found on the ITU-T web site). These mailing lists are typically used for ITU-T correspondence, including technical discussion, meeting logistics, reports, etc.</w:t>
      </w:r>
    </w:p>
    <w:p w14:paraId="5AFE8959" w14:textId="77777777" w:rsidR="00F64BAE" w:rsidRPr="00380B40" w:rsidRDefault="00F64BAE" w:rsidP="00523689">
      <w:pPr>
        <w:pStyle w:val="Note"/>
        <w:rPr>
          <w:lang w:val="en-GB"/>
        </w:rPr>
      </w:pPr>
      <w:r w:rsidRPr="00380B40">
        <w:rPr>
          <w:lang w:val="en-GB"/>
        </w:rPr>
        <w:br w:type="page"/>
      </w:r>
    </w:p>
    <w:p w14:paraId="71E80AE6" w14:textId="77777777" w:rsidR="00523689" w:rsidRPr="00380B40" w:rsidRDefault="00523689" w:rsidP="00523689">
      <w:pPr>
        <w:pStyle w:val="Note"/>
        <w:rPr>
          <w:lang w:val="en-GB"/>
        </w:rPr>
      </w:pPr>
      <w:r w:rsidRPr="00380B40">
        <w:rPr>
          <w:lang w:val="en-GB"/>
        </w:rPr>
        <w:t xml:space="preserve">NOTE </w:t>
      </w:r>
      <w:r w:rsidRPr="00380B40">
        <w:rPr>
          <w:i/>
          <w:iCs/>
          <w:lang w:val="en-GB"/>
        </w:rPr>
        <w:t>–</w:t>
      </w:r>
      <w:r w:rsidRPr="00380B40">
        <w:rPr>
          <w:lang w:val="en-GB"/>
        </w:rPr>
        <w:t xml:space="preserve"> Individual subscribers to this list must be affiliated with an ITU-T member or associate (at this time, there is no blanket inclusion of all IETF participants as members, however, as a member, the ISOC focal point can facilitate access by IETF technical experts, liaison representatives, or liaison managers).</w:t>
      </w:r>
    </w:p>
    <w:p w14:paraId="6DF70526" w14:textId="77777777" w:rsidR="00523689" w:rsidRPr="00380B40" w:rsidRDefault="00523689" w:rsidP="00523689">
      <w:pPr>
        <w:keepNext/>
        <w:keepLines/>
        <w:rPr>
          <w:lang w:val="en-GB"/>
        </w:rPr>
      </w:pPr>
      <w:r w:rsidRPr="00380B40">
        <w:rPr>
          <w:lang w:val="en-GB"/>
        </w:rPr>
        <w:t>IETF participants may subscribe to ITU-T focus group email lists if they are individuals from a country that is a member of ITU-T.</w:t>
      </w:r>
    </w:p>
    <w:p w14:paraId="388D7CB7" w14:textId="77777777" w:rsidR="00523689" w:rsidRPr="00380B40" w:rsidRDefault="00523689" w:rsidP="00523689">
      <w:pPr>
        <w:pStyle w:val="Heading2"/>
        <w:rPr>
          <w:lang w:val="en-GB"/>
        </w:rPr>
      </w:pPr>
      <w:bookmarkStart w:id="2175" w:name="_Toc334514865"/>
      <w:bookmarkStart w:id="2176" w:name="_Toc111637105"/>
      <w:r w:rsidRPr="00380B40">
        <w:rPr>
          <w:lang w:val="en-GB"/>
        </w:rPr>
        <w:t>2.5</w:t>
      </w:r>
      <w:r w:rsidRPr="00380B40">
        <w:rPr>
          <w:lang w:val="en-GB"/>
        </w:rPr>
        <w:tab/>
        <w:t>Document sharing</w:t>
      </w:r>
      <w:bookmarkEnd w:id="2175"/>
      <w:bookmarkEnd w:id="2176"/>
    </w:p>
    <w:p w14:paraId="26F64057" w14:textId="77777777" w:rsidR="00523689" w:rsidRPr="00380B40" w:rsidRDefault="00523689" w:rsidP="00523689">
      <w:pPr>
        <w:rPr>
          <w:lang w:val="en-GB"/>
        </w:rPr>
      </w:pPr>
      <w:r w:rsidRPr="00380B40">
        <w:rPr>
          <w:lang w:val="en-GB"/>
        </w:rPr>
        <w:t>During the course of ITU-T and IETF collaboration, it is important to share working drafts and documents among the technical working groups. Initially proposed concepts and specifications typically can be circulated by email (often just repeating the concept and not including the details of the specification) on both the IETF and ITU-T mailing lists. In addition, working texts (or URLs) of draft Recommendations, Internet-Drafts, or RFCs may also be sent between the organizations as described below.</w:t>
      </w:r>
    </w:p>
    <w:p w14:paraId="500F0480" w14:textId="77777777" w:rsidR="00523689" w:rsidRPr="00380B40" w:rsidRDefault="00523689" w:rsidP="00523689">
      <w:pPr>
        <w:rPr>
          <w:lang w:val="en-GB"/>
        </w:rPr>
      </w:pPr>
      <w:r w:rsidRPr="00380B40">
        <w:rPr>
          <w:lang w:val="en-GB"/>
        </w:rPr>
        <w:t>Internet-Drafts are available on the IETF web site. The ITU-T can make selected ITU-T documents at any stage of development available to the IETF by attaching them to a formal liaison statement. Although a communication can point to a URL where a non-ASCII document (e.g., Word) can be downloaded, attachments in proprietary formats to an IETF mailing list are discouraged. It should also be recognized that the official versions of all IETF documents are in ASCII.</w:t>
      </w:r>
    </w:p>
    <w:p w14:paraId="6B2C737F" w14:textId="77777777" w:rsidR="00523689" w:rsidRPr="00380B40" w:rsidRDefault="00523689" w:rsidP="00523689">
      <w:pPr>
        <w:pStyle w:val="Heading3"/>
        <w:rPr>
          <w:lang w:val="en-GB"/>
        </w:rPr>
      </w:pPr>
      <w:bookmarkStart w:id="2177" w:name="_Toc111637106"/>
      <w:r w:rsidRPr="00380B40">
        <w:rPr>
          <w:lang w:val="en-GB"/>
        </w:rPr>
        <w:t>2.5.1</w:t>
      </w:r>
      <w:r w:rsidRPr="00380B40">
        <w:rPr>
          <w:lang w:val="en-GB"/>
        </w:rPr>
        <w:tab/>
        <w:t>Contributions and liaison statements from the IETF to ITU-T</w:t>
      </w:r>
      <w:bookmarkEnd w:id="2177"/>
    </w:p>
    <w:p w14:paraId="2357B68A" w14:textId="77777777" w:rsidR="00523689" w:rsidRPr="00380B40" w:rsidRDefault="00523689" w:rsidP="00523689">
      <w:pPr>
        <w:rPr>
          <w:lang w:val="en-GB"/>
        </w:rPr>
      </w:pPr>
      <w:r w:rsidRPr="00380B40">
        <w:rPr>
          <w:lang w:val="en-GB"/>
        </w:rPr>
        <w:t>IETF documents (e.g., Internet-Drafts) or URLs of those documents are most commonly transmitted to ITU-T study groups as liaison statements (see RFC 4053 [2]), but exceptionally can be submitted to a study group as a contribution from ISOC in accordance with Recommendation ITU-T A.2 [16]. In order to ensure that the IETF has properly authorized this, the IETF working group must agree that the specific drafts are of mutual interest; that there is a benefit in forwarding them to the ITU-T for review, comment and potential use; and that the document status is accurately represented in the cover letter. Once agreed, the appropriate area directors review the working group request and give approval. The rules of the IETF Trust are followed in these circumstances [3]. The contributions are then forwarded (with the noted approval) to the TSB for circulation as a contribution to the appropriate ITU-T study group. Material submitted to the ITU-T as an ISOC contribution is governed by clause 3.1.5 of Recommendation ITU-T A.1 [15]. Any such contribution will be made only after receiving necessary approval of owners of the work in question. In other circumstances, a liaison statement may be appropriate. See RFC 5378 [3] and Recommendation ITU-T A.1 [15] for more information.</w:t>
      </w:r>
    </w:p>
    <w:p w14:paraId="77029915" w14:textId="77777777" w:rsidR="00523689" w:rsidRPr="00380B40" w:rsidRDefault="00523689" w:rsidP="00523689">
      <w:pPr>
        <w:pStyle w:val="Heading3"/>
        <w:rPr>
          <w:lang w:val="en-GB"/>
        </w:rPr>
      </w:pPr>
      <w:bookmarkStart w:id="2178" w:name="_Toc111637107"/>
      <w:r w:rsidRPr="00380B40">
        <w:rPr>
          <w:lang w:val="en-GB"/>
        </w:rPr>
        <w:t>2.5.2</w:t>
      </w:r>
      <w:r w:rsidRPr="00380B40">
        <w:rPr>
          <w:lang w:val="en-GB"/>
        </w:rPr>
        <w:tab/>
        <w:t>Contributions and liaison statements from the ITU-T to IETF</w:t>
      </w:r>
      <w:bookmarkEnd w:id="2178"/>
    </w:p>
    <w:p w14:paraId="39B7A960" w14:textId="77777777" w:rsidR="00523689" w:rsidRPr="00380B40" w:rsidRDefault="00523689" w:rsidP="00523689">
      <w:pPr>
        <w:rPr>
          <w:lang w:val="en-GB"/>
        </w:rPr>
      </w:pPr>
      <w:r w:rsidRPr="00380B40">
        <w:rPr>
          <w:lang w:val="en-GB"/>
        </w:rPr>
        <w:t>An ITU-T study group or working party may send texts of draft new or revised Recommendations, clearly indicating their status, to the IETF as contributions in the form of liaison statements or Internet-Drafts. Internet-Drafts are IETF temporary documents that expire six months after being published. The study group or working party must decide that there is a benefit in forwarding them to the IETF for review, comment, and potential use. Terms of reference for rapporteur group meetings may authorize rapporteur groups to send working documents, in the form of Internet-Drafts, to the IETF.</w:t>
      </w:r>
    </w:p>
    <w:p w14:paraId="55E98D55" w14:textId="77777777" w:rsidR="00F64BAE" w:rsidRPr="00380B40" w:rsidRDefault="00F64BAE" w:rsidP="00523689">
      <w:pPr>
        <w:rPr>
          <w:lang w:val="en-GB"/>
        </w:rPr>
      </w:pPr>
      <w:r w:rsidRPr="00380B40">
        <w:rPr>
          <w:lang w:val="en-GB"/>
        </w:rPr>
        <w:br w:type="page"/>
      </w:r>
    </w:p>
    <w:p w14:paraId="7BDFDE53" w14:textId="77777777" w:rsidR="00523689" w:rsidRPr="00380B40" w:rsidRDefault="00523689" w:rsidP="00523689">
      <w:pPr>
        <w:rPr>
          <w:lang w:val="en-GB"/>
        </w:rPr>
      </w:pPr>
      <w:r w:rsidRPr="00380B40">
        <w:rPr>
          <w:lang w:val="en-GB"/>
        </w:rPr>
        <w:t xml:space="preserve">If the study group or working party elects to transmit the text as an Internet-Draft, the document editor would be instructed to prepare the contribution in Internet-Draft format (in ASCII and optionally postscript format as per RFC 2223 [8]) and upload it via </w:t>
      </w:r>
      <w:hyperlink r:id="rId471" w:history="1">
        <w:r w:rsidR="00D55E8F" w:rsidRPr="00380B40">
          <w:rPr>
            <w:rStyle w:val="Hyperlink"/>
            <w:lang w:val="en-GB"/>
          </w:rPr>
          <w:t>https://datatracker.ietf.org/idst/upload.cgi</w:t>
        </w:r>
      </w:hyperlink>
      <w:r w:rsidRPr="00380B40">
        <w:rPr>
          <w:lang w:val="en-GB"/>
        </w:rPr>
        <w:t>. Material submitted as an Internet-Draft or intended for inclusion in an Internet-Draft or RFC is governed by the rules set forth in RFCs 5378 [3], 3979 [4], and 4879 [5]. Alternatively, the study group, working party, or rapporteur group could attach the text to a formal liaison statement.</w:t>
      </w:r>
    </w:p>
    <w:p w14:paraId="56611E4C" w14:textId="77777777" w:rsidR="00523689" w:rsidRPr="00380B40" w:rsidRDefault="00523689" w:rsidP="00523689">
      <w:pPr>
        <w:rPr>
          <w:lang w:val="en-GB"/>
        </w:rPr>
      </w:pPr>
      <w:r w:rsidRPr="00380B40">
        <w:rPr>
          <w:lang w:val="en-GB"/>
        </w:rPr>
        <w:t>Both the rapporteur and the document editor should be identified as contacts in the contribution. The document should also clearly indicate the state of development in a particular ITU-T study group.</w:t>
      </w:r>
    </w:p>
    <w:p w14:paraId="66D42518" w14:textId="77777777" w:rsidR="00523689" w:rsidRPr="00380B40" w:rsidRDefault="00523689" w:rsidP="0085423C">
      <w:pPr>
        <w:pStyle w:val="Note"/>
        <w:rPr>
          <w:lang w:val="en-GB"/>
        </w:rPr>
      </w:pPr>
      <w:r w:rsidRPr="00380B40">
        <w:rPr>
          <w:lang w:val="en-GB"/>
        </w:rPr>
        <w:t xml:space="preserve">NOTE </w:t>
      </w:r>
      <w:r w:rsidRPr="00380B40">
        <w:rPr>
          <w:i/>
          <w:iCs/>
          <w:lang w:val="en-GB"/>
        </w:rPr>
        <w:t>–</w:t>
      </w:r>
      <w:r w:rsidRPr="00380B40">
        <w:rPr>
          <w:lang w:val="en-GB"/>
        </w:rPr>
        <w:t xml:space="preserve"> Liaison statements and their attachments sent to the IETF are made publicly available on the IETF web site.</w:t>
      </w:r>
    </w:p>
    <w:p w14:paraId="73A0019A" w14:textId="77777777" w:rsidR="00523689" w:rsidRPr="00380B40" w:rsidRDefault="00523689" w:rsidP="00523689">
      <w:pPr>
        <w:pStyle w:val="Heading3"/>
        <w:rPr>
          <w:lang w:val="en-GB"/>
        </w:rPr>
      </w:pPr>
      <w:bookmarkStart w:id="2179" w:name="_Toc111637108"/>
      <w:r w:rsidRPr="00380B40">
        <w:rPr>
          <w:lang w:val="en-GB"/>
        </w:rPr>
        <w:t>2.5.3</w:t>
      </w:r>
      <w:r w:rsidRPr="00380B40">
        <w:rPr>
          <w:lang w:val="en-GB"/>
        </w:rPr>
        <w:tab/>
        <w:t>ITU-T and IETF</w:t>
      </w:r>
      <w:bookmarkEnd w:id="2179"/>
    </w:p>
    <w:p w14:paraId="5C6A62C3" w14:textId="77777777" w:rsidR="00523689" w:rsidRPr="00380B40" w:rsidRDefault="00523689" w:rsidP="00523689">
      <w:pPr>
        <w:rPr>
          <w:lang w:val="en-GB"/>
        </w:rPr>
      </w:pPr>
      <w:r w:rsidRPr="00380B40">
        <w:rPr>
          <w:lang w:val="en-GB"/>
        </w:rPr>
        <w:t>It is envisaged that the processes of clauses 2.5.1 and 2.5.2 will often be used simultaneously by both an IETF working group and an ITU-T study group to collaborate on a topic of mutual interest.</w:t>
      </w:r>
    </w:p>
    <w:p w14:paraId="785BA961" w14:textId="77777777" w:rsidR="00523689" w:rsidRPr="00380B40" w:rsidRDefault="00523689" w:rsidP="00523689">
      <w:pPr>
        <w:rPr>
          <w:lang w:val="en-GB"/>
        </w:rPr>
      </w:pPr>
      <w:r w:rsidRPr="00380B40">
        <w:rPr>
          <w:lang w:val="en-GB"/>
        </w:rPr>
        <w:t>It is also envisaged that the outcome of the collaboration will be the documentation in full by one body and its referencing by the other (see clause 2.6 for details). That is, common or joint text is discouraged because of the current differences in procedures for document approval and revision. Where complementary work is being undertaken in both organizations that will result in Recommendations or RFCs, due allowance should be given to the differing perspectives, working methods, and procedures of the two organizations. That is, each organization should understand the other organization's procedures and strive to respect them in the collaboration.</w:t>
      </w:r>
    </w:p>
    <w:p w14:paraId="6F7DE692" w14:textId="77777777" w:rsidR="00523689" w:rsidRPr="00380B40" w:rsidRDefault="00523689" w:rsidP="00523689">
      <w:pPr>
        <w:pStyle w:val="Heading2"/>
        <w:rPr>
          <w:lang w:val="en-GB"/>
        </w:rPr>
      </w:pPr>
      <w:bookmarkStart w:id="2180" w:name="_Toc334514866"/>
      <w:bookmarkStart w:id="2181" w:name="_Toc111637109"/>
      <w:r w:rsidRPr="00380B40">
        <w:rPr>
          <w:lang w:val="en-GB"/>
        </w:rPr>
        <w:t>2.6</w:t>
      </w:r>
      <w:r w:rsidRPr="00380B40">
        <w:rPr>
          <w:lang w:val="en-GB"/>
        </w:rPr>
        <w:tab/>
        <w:t>Simple cross referencing</w:t>
      </w:r>
      <w:bookmarkEnd w:id="2180"/>
      <w:bookmarkEnd w:id="2181"/>
    </w:p>
    <w:p w14:paraId="4C036474" w14:textId="77777777" w:rsidR="00523689" w:rsidRPr="00380B40" w:rsidRDefault="00523689" w:rsidP="00523689">
      <w:pPr>
        <w:rPr>
          <w:lang w:val="en-GB"/>
        </w:rPr>
      </w:pPr>
      <w:r w:rsidRPr="00380B40">
        <w:rPr>
          <w:lang w:val="en-GB"/>
        </w:rPr>
        <w:t xml:space="preserve">Recommendation ITU-T A.5 [6] describes the process for including references to documents of other organizations in ITU-T Recommendations. Recommendation ITU-T A.5 also addresses the situation where a study group or working party decides to incorporate the text of another organization into the text of a Recommendation, rather than referencing it. Information specific to referencing IETF RFCs is found at </w:t>
      </w:r>
      <w:hyperlink r:id="rId472" w:history="1">
        <w:r w:rsidR="00D55E8F" w:rsidRPr="00380B40">
          <w:rPr>
            <w:rStyle w:val="Hyperlink"/>
            <w:lang w:val="en-GB"/>
          </w:rPr>
          <w:t>http://itu.int/ITU-T/go/ref-ietf-isoc</w:t>
        </w:r>
      </w:hyperlink>
      <w:r w:rsidRPr="00380B40">
        <w:rPr>
          <w:lang w:val="en-GB"/>
        </w:rPr>
        <w:t>.</w:t>
      </w:r>
    </w:p>
    <w:p w14:paraId="393181E5" w14:textId="77777777" w:rsidR="00523689" w:rsidRPr="00380B40" w:rsidRDefault="00523689" w:rsidP="00523689">
      <w:pPr>
        <w:rPr>
          <w:lang w:val="en-GB"/>
        </w:rPr>
      </w:pPr>
      <w:r w:rsidRPr="00380B40">
        <w:rPr>
          <w:lang w:val="en-GB"/>
        </w:rPr>
        <w:t>Section 6.1.1 of RFC 2026 [7] describes the process for referencing other open standards (like ITU</w:t>
      </w:r>
      <w:r w:rsidRPr="00380B40">
        <w:rPr>
          <w:lang w:val="en-GB"/>
        </w:rPr>
        <w:noBreakHyphen/>
        <w:t>T Recommendations) in IETF RFCs.</w:t>
      </w:r>
    </w:p>
    <w:p w14:paraId="3B50FA2B" w14:textId="77777777" w:rsidR="00523689" w:rsidRPr="00380B40" w:rsidRDefault="00523689" w:rsidP="00523689">
      <w:pPr>
        <w:pStyle w:val="Heading2"/>
        <w:rPr>
          <w:lang w:val="en-GB"/>
        </w:rPr>
      </w:pPr>
      <w:bookmarkStart w:id="2182" w:name="_Toc334514867"/>
      <w:bookmarkStart w:id="2183" w:name="_Toc111637110"/>
      <w:r w:rsidRPr="00380B40">
        <w:rPr>
          <w:lang w:val="en-GB"/>
        </w:rPr>
        <w:t>2.7</w:t>
      </w:r>
      <w:r w:rsidRPr="00380B40">
        <w:rPr>
          <w:lang w:val="en-GB"/>
        </w:rPr>
        <w:tab/>
        <w:t>Preliminary work efforts</w:t>
      </w:r>
      <w:bookmarkEnd w:id="2182"/>
      <w:bookmarkEnd w:id="2183"/>
    </w:p>
    <w:p w14:paraId="2C9A2481" w14:textId="77777777" w:rsidR="00523689" w:rsidRPr="00380B40" w:rsidRDefault="00523689" w:rsidP="00523689">
      <w:pPr>
        <w:rPr>
          <w:lang w:val="en-GB"/>
        </w:rPr>
      </w:pPr>
      <w:r w:rsidRPr="00380B40">
        <w:rPr>
          <w:lang w:val="en-GB"/>
        </w:rPr>
        <w:t>Both ITU-T and IETF provide mechanisms for early discussion of potential new work areas prior to the official start of work in an ITU-T study group or creation of an IETF working group.</w:t>
      </w:r>
    </w:p>
    <w:p w14:paraId="30773D62" w14:textId="77777777" w:rsidR="00F64BAE" w:rsidRPr="00380B40" w:rsidRDefault="00F64BAE" w:rsidP="00523689">
      <w:pPr>
        <w:rPr>
          <w:lang w:val="en-GB"/>
        </w:rPr>
      </w:pPr>
      <w:r w:rsidRPr="00380B40">
        <w:rPr>
          <w:lang w:val="en-GB"/>
        </w:rPr>
        <w:br w:type="page"/>
      </w:r>
    </w:p>
    <w:p w14:paraId="697AAE3E" w14:textId="77777777" w:rsidR="00523689" w:rsidRPr="00380B40" w:rsidRDefault="00523689" w:rsidP="00523689">
      <w:pPr>
        <w:rPr>
          <w:lang w:val="en-GB"/>
        </w:rPr>
      </w:pPr>
      <w:r w:rsidRPr="00380B40">
        <w:rPr>
          <w:lang w:val="en-GB"/>
        </w:rPr>
        <w:t>Objectives, methods, and procedures for the creation and operation of ITU-T focus groups are defined in Recommendation ITU-T A.7 [17]. Focus groups are frequently created in new work areas where there is a need for deliverables to be produced on a specific topic within a short timeframe. IETF participants who are not members or associates of ITU-T may participate fully in the work of ITU-T focus groups if they are from a country that is a member of ITU-T.</w:t>
      </w:r>
    </w:p>
    <w:p w14:paraId="227B71F8" w14:textId="77777777" w:rsidR="00523689" w:rsidRPr="00380B40" w:rsidRDefault="00523689" w:rsidP="00523689">
      <w:pPr>
        <w:rPr>
          <w:lang w:val="en-GB"/>
        </w:rPr>
      </w:pPr>
      <w:r w:rsidRPr="00380B40">
        <w:rPr>
          <w:lang w:val="en-GB"/>
        </w:rPr>
        <w:t>In the IETF, guidance for BoF sessions is provided in RFC 5434 [13]. Efforts that have not yet reached the working group stage may be discussed in BOF sessions. These sessions typically gauge interest in pursuing creation of working groups. In some cases, these discussions continue on mailing lists.</w:t>
      </w:r>
    </w:p>
    <w:p w14:paraId="74CFEAB7" w14:textId="77777777" w:rsidR="00523689" w:rsidRPr="00380B40" w:rsidRDefault="00523689" w:rsidP="00523689">
      <w:pPr>
        <w:pStyle w:val="Heading2"/>
        <w:rPr>
          <w:lang w:val="en-GB"/>
        </w:rPr>
      </w:pPr>
      <w:bookmarkStart w:id="2184" w:name="_Toc334514868"/>
      <w:bookmarkStart w:id="2185" w:name="_Toc111637111"/>
      <w:r w:rsidRPr="00380B40">
        <w:rPr>
          <w:lang w:val="en-GB"/>
        </w:rPr>
        <w:t>2.8</w:t>
      </w:r>
      <w:r w:rsidRPr="00380B40">
        <w:rPr>
          <w:lang w:val="en-GB"/>
        </w:rPr>
        <w:tab/>
        <w:t>Additional items</w:t>
      </w:r>
      <w:bookmarkEnd w:id="2184"/>
      <w:bookmarkEnd w:id="2185"/>
    </w:p>
    <w:p w14:paraId="676C7473" w14:textId="77777777" w:rsidR="00523689" w:rsidRPr="00380B40" w:rsidRDefault="00523689" w:rsidP="00523689">
      <w:pPr>
        <w:pStyle w:val="Heading3"/>
        <w:rPr>
          <w:lang w:val="en-GB"/>
        </w:rPr>
      </w:pPr>
      <w:bookmarkStart w:id="2186" w:name="_Toc111637112"/>
      <w:r w:rsidRPr="00380B40">
        <w:rPr>
          <w:lang w:val="en-GB"/>
        </w:rPr>
        <w:t>2.8.1</w:t>
      </w:r>
      <w:r w:rsidRPr="00380B40">
        <w:rPr>
          <w:lang w:val="en-GB"/>
        </w:rPr>
        <w:tab/>
        <w:t>IETF information that may be useful to ITU-T participants</w:t>
      </w:r>
      <w:bookmarkEnd w:id="2186"/>
    </w:p>
    <w:p w14:paraId="46BC574A" w14:textId="77777777" w:rsidR="00523689" w:rsidRPr="00380B40" w:rsidRDefault="00523689" w:rsidP="00523689">
      <w:pPr>
        <w:rPr>
          <w:lang w:val="en-GB"/>
        </w:rPr>
      </w:pPr>
      <w:r w:rsidRPr="00380B40">
        <w:rPr>
          <w:lang w:val="en-GB"/>
        </w:rPr>
        <w:t>Information on IETF procedures may be found in the documents in the informative references, and URLs below.</w:t>
      </w:r>
    </w:p>
    <w:p w14:paraId="426D80DB" w14:textId="77777777" w:rsidR="00523689" w:rsidRPr="00380B40" w:rsidRDefault="00523689" w:rsidP="00523689">
      <w:pPr>
        <w:pStyle w:val="Note"/>
        <w:rPr>
          <w:lang w:val="en-GB"/>
        </w:rPr>
      </w:pPr>
      <w:r w:rsidRPr="00380B40">
        <w:rPr>
          <w:lang w:val="en-GB"/>
        </w:rPr>
        <w:t xml:space="preserve">NOTE </w:t>
      </w:r>
      <w:r w:rsidRPr="00380B40">
        <w:rPr>
          <w:i/>
          <w:iCs/>
          <w:lang w:val="en-GB"/>
        </w:rPr>
        <w:t>–</w:t>
      </w:r>
      <w:r w:rsidRPr="00380B40">
        <w:rPr>
          <w:lang w:val="en-GB"/>
        </w:rPr>
        <w:t xml:space="preserve"> RFCs do not change after they are published. Rather, they are either obsoleted or updated by other RFCs. Such updates are tracked in the rfc-index.txt file. </w:t>
      </w:r>
    </w:p>
    <w:p w14:paraId="7DF53CA1" w14:textId="77777777" w:rsidR="00523689" w:rsidRPr="00380B40" w:rsidRDefault="00523689" w:rsidP="00523689">
      <w:pPr>
        <w:rPr>
          <w:lang w:val="en-GB"/>
        </w:rPr>
      </w:pPr>
      <w:r w:rsidRPr="00380B40">
        <w:rPr>
          <w:lang w:val="en-GB"/>
        </w:rPr>
        <w:t>Current list and status of all IETF RFCs:</w:t>
      </w:r>
    </w:p>
    <w:p w14:paraId="4423DBFB" w14:textId="77777777" w:rsidR="00523689" w:rsidRPr="00380B40" w:rsidRDefault="00523689" w:rsidP="00523689">
      <w:pPr>
        <w:pStyle w:val="Formal"/>
        <w:rPr>
          <w:rStyle w:val="Hyperlink"/>
          <w:noProof w:val="0"/>
          <w:lang w:val="en-GB"/>
        </w:rPr>
      </w:pPr>
      <w:r w:rsidRPr="00380B40">
        <w:rPr>
          <w:noProof w:val="0"/>
          <w:lang w:val="en-GB"/>
        </w:rPr>
        <w:fldChar w:fldCharType="begin"/>
      </w:r>
      <w:r w:rsidRPr="00380B40">
        <w:rPr>
          <w:noProof w:val="0"/>
          <w:lang w:val="en-GB"/>
        </w:rPr>
        <w:instrText xml:space="preserve"> HYPERLINK "ftp://ftp.ietf.org/rfc/rfc-index.txt" </w:instrText>
      </w:r>
      <w:r w:rsidRPr="00380B40">
        <w:rPr>
          <w:noProof w:val="0"/>
          <w:lang w:val="en-GB"/>
        </w:rPr>
        <w:fldChar w:fldCharType="separate"/>
      </w:r>
      <w:bookmarkStart w:id="2187" w:name="_Hlk107329179"/>
      <w:r w:rsidRPr="00380B40">
        <w:rPr>
          <w:rStyle w:val="Hyperlink"/>
          <w:noProof w:val="0"/>
          <w:lang w:val="en-GB"/>
        </w:rPr>
        <w:t>ftp://ftp.ietf.org/rfc/rfc-index.txt</w:t>
      </w:r>
      <w:bookmarkEnd w:id="2187"/>
    </w:p>
    <w:p w14:paraId="2EBB10D0" w14:textId="77777777" w:rsidR="00523689" w:rsidRPr="00380B40" w:rsidRDefault="00523689" w:rsidP="00523689">
      <w:pPr>
        <w:rPr>
          <w:lang w:val="en-GB"/>
        </w:rPr>
      </w:pPr>
      <w:r w:rsidRPr="00380B40">
        <w:rPr>
          <w:rFonts w:ascii="Courier New" w:hAnsi="Courier New"/>
          <w:sz w:val="20"/>
          <w:lang w:val="en-GB"/>
        </w:rPr>
        <w:fldChar w:fldCharType="end"/>
      </w:r>
      <w:r w:rsidRPr="00380B40">
        <w:rPr>
          <w:lang w:val="en-GB"/>
        </w:rPr>
        <w:t>Current list and description of all IETF Internet-Drafts:</w:t>
      </w:r>
    </w:p>
    <w:bookmarkStart w:id="2188" w:name="_Hlk107329192"/>
    <w:p w14:paraId="5980D33A" w14:textId="77777777" w:rsidR="00523689" w:rsidRPr="00380B40" w:rsidRDefault="000B23D9" w:rsidP="00523689">
      <w:pPr>
        <w:pStyle w:val="Formal"/>
        <w:rPr>
          <w:noProof w:val="0"/>
          <w:lang w:val="en-GB"/>
        </w:rPr>
      </w:pPr>
      <w:r w:rsidRPr="00380B40">
        <w:fldChar w:fldCharType="begin"/>
      </w:r>
      <w:r w:rsidRPr="00380B40">
        <w:instrText xml:space="preserve"> HYPERLINK "ftp://ftp.ietf.org/internet-drafts/1id-abstracts.txt" </w:instrText>
      </w:r>
      <w:r w:rsidRPr="00380B40">
        <w:fldChar w:fldCharType="separate"/>
      </w:r>
      <w:r w:rsidR="00523689" w:rsidRPr="00380B40">
        <w:rPr>
          <w:rStyle w:val="Hyperlink"/>
          <w:noProof w:val="0"/>
          <w:lang w:val="en-GB"/>
        </w:rPr>
        <w:t>ftp://ftp.ietf.org/internet-drafts/1id-abstracts.txt</w:t>
      </w:r>
      <w:r w:rsidRPr="00380B40">
        <w:rPr>
          <w:rStyle w:val="Hyperlink"/>
          <w:noProof w:val="0"/>
          <w:lang w:val="en-GB"/>
        </w:rPr>
        <w:fldChar w:fldCharType="end"/>
      </w:r>
      <w:bookmarkEnd w:id="2188"/>
    </w:p>
    <w:p w14:paraId="3E3445D7" w14:textId="77777777" w:rsidR="00523689" w:rsidRPr="00380B40" w:rsidRDefault="00523689" w:rsidP="00523689">
      <w:pPr>
        <w:rPr>
          <w:lang w:val="en-GB"/>
        </w:rPr>
      </w:pPr>
      <w:r w:rsidRPr="00380B40">
        <w:rPr>
          <w:lang w:val="en-GB"/>
        </w:rPr>
        <w:t>Current list of IETF working groups and their Charters: (includes area directors and chair contacts, mailing list information, etc.)</w:t>
      </w:r>
    </w:p>
    <w:p w14:paraId="766826EA" w14:textId="77777777" w:rsidR="00523689" w:rsidRPr="00380B40" w:rsidRDefault="006A0076" w:rsidP="00523689">
      <w:pPr>
        <w:pStyle w:val="Formal"/>
        <w:rPr>
          <w:noProof w:val="0"/>
          <w:lang w:val="en-GB"/>
        </w:rPr>
      </w:pPr>
      <w:hyperlink r:id="rId473" w:history="1">
        <w:r w:rsidR="007F7EB9" w:rsidRPr="00380B40">
          <w:rPr>
            <w:rStyle w:val="Hyperlink"/>
            <w:noProof w:val="0"/>
            <w:lang w:val="en-GB"/>
          </w:rPr>
          <w:t>http://www.ietf.org/dyn/wg/charter.html</w:t>
        </w:r>
      </w:hyperlink>
    </w:p>
    <w:p w14:paraId="14A9C8BC" w14:textId="77777777" w:rsidR="00523689" w:rsidRPr="00380B40" w:rsidRDefault="00523689" w:rsidP="00523689">
      <w:pPr>
        <w:rPr>
          <w:lang w:val="en-GB"/>
        </w:rPr>
      </w:pPr>
      <w:r w:rsidRPr="00380B40">
        <w:rPr>
          <w:lang w:val="en-GB"/>
        </w:rPr>
        <w:t>Current list of registered BOFs:</w:t>
      </w:r>
    </w:p>
    <w:p w14:paraId="50869329" w14:textId="77777777" w:rsidR="00523689" w:rsidRPr="00380B40" w:rsidRDefault="006A0076" w:rsidP="00523689">
      <w:pPr>
        <w:pStyle w:val="Formal"/>
        <w:rPr>
          <w:noProof w:val="0"/>
          <w:lang w:val="en-GB"/>
        </w:rPr>
      </w:pPr>
      <w:hyperlink r:id="rId474" w:history="1">
        <w:r w:rsidR="007F7EB9" w:rsidRPr="00380B40">
          <w:rPr>
            <w:rStyle w:val="Hyperlink"/>
            <w:noProof w:val="0"/>
            <w:lang w:val="en-GB"/>
          </w:rPr>
          <w:t>http://trac.tools.ietf.org/bof/trac/</w:t>
        </w:r>
      </w:hyperlink>
    </w:p>
    <w:p w14:paraId="55C874F1" w14:textId="77777777" w:rsidR="00523689" w:rsidRPr="00380B40" w:rsidRDefault="00523689" w:rsidP="00523689">
      <w:pPr>
        <w:rPr>
          <w:lang w:val="en-GB"/>
        </w:rPr>
      </w:pPr>
      <w:r w:rsidRPr="00380B40">
        <w:rPr>
          <w:lang w:val="en-GB"/>
        </w:rPr>
        <w:t>RFC Editor pages about publishing RFCs, including available tools and lots of guidance:</w:t>
      </w:r>
    </w:p>
    <w:p w14:paraId="063B34B8" w14:textId="77777777" w:rsidR="00523689" w:rsidRPr="00380B40" w:rsidRDefault="006A0076" w:rsidP="00523689">
      <w:pPr>
        <w:pStyle w:val="Formal"/>
        <w:rPr>
          <w:noProof w:val="0"/>
          <w:lang w:val="en-GB"/>
        </w:rPr>
      </w:pPr>
      <w:hyperlink r:id="rId475" w:history="1">
        <w:r w:rsidR="007F7EB9" w:rsidRPr="00380B40">
          <w:rPr>
            <w:rStyle w:val="Hyperlink"/>
            <w:noProof w:val="0"/>
            <w:lang w:val="en-GB"/>
          </w:rPr>
          <w:t>http://www.rfc-editor.org/pubprocess.html</w:t>
        </w:r>
      </w:hyperlink>
    </w:p>
    <w:p w14:paraId="2862314A" w14:textId="77777777" w:rsidR="00523689" w:rsidRPr="00380B40" w:rsidRDefault="00523689" w:rsidP="00523689">
      <w:pPr>
        <w:rPr>
          <w:lang w:val="en-GB"/>
        </w:rPr>
      </w:pPr>
      <w:r w:rsidRPr="00380B40">
        <w:rPr>
          <w:lang w:val="en-GB"/>
        </w:rPr>
        <w:t>Current list of liaison statements:</w:t>
      </w:r>
    </w:p>
    <w:p w14:paraId="5A09B16F" w14:textId="77777777" w:rsidR="00523689" w:rsidRPr="00380B40" w:rsidRDefault="006A0076" w:rsidP="00523689">
      <w:pPr>
        <w:pStyle w:val="Formal"/>
        <w:rPr>
          <w:noProof w:val="0"/>
          <w:lang w:val="en-GB"/>
        </w:rPr>
      </w:pPr>
      <w:hyperlink r:id="rId476" w:history="1">
        <w:r w:rsidR="007F7EB9" w:rsidRPr="00380B40">
          <w:rPr>
            <w:rStyle w:val="Hyperlink"/>
            <w:noProof w:val="0"/>
            <w:lang w:val="en-GB"/>
          </w:rPr>
          <w:t>https://datatracker.ietf.org/liaison/</w:t>
        </w:r>
      </w:hyperlink>
    </w:p>
    <w:p w14:paraId="40E8C917" w14:textId="77777777" w:rsidR="00523689" w:rsidRPr="00380B40" w:rsidRDefault="00523689" w:rsidP="00523689">
      <w:pPr>
        <w:rPr>
          <w:lang w:val="en-GB"/>
        </w:rPr>
      </w:pPr>
      <w:r w:rsidRPr="00380B40">
        <w:rPr>
          <w:lang w:val="en-GB"/>
        </w:rPr>
        <w:t>IETF Intellectual Property Rights Policy and Notices:</w:t>
      </w:r>
    </w:p>
    <w:p w14:paraId="3D77420F" w14:textId="77777777" w:rsidR="00523689" w:rsidRPr="00380B40" w:rsidRDefault="006A0076" w:rsidP="00523689">
      <w:pPr>
        <w:pStyle w:val="Formal"/>
        <w:rPr>
          <w:noProof w:val="0"/>
          <w:lang w:val="en-GB"/>
        </w:rPr>
      </w:pPr>
      <w:hyperlink r:id="rId477" w:history="1">
        <w:r w:rsidR="007F7EB9" w:rsidRPr="00380B40">
          <w:rPr>
            <w:rStyle w:val="Hyperlink"/>
            <w:noProof w:val="0"/>
            <w:lang w:val="en-GB"/>
          </w:rPr>
          <w:t>http://www.ietf.org/ipr/</w:t>
        </w:r>
      </w:hyperlink>
    </w:p>
    <w:p w14:paraId="232E16F6" w14:textId="77777777" w:rsidR="00523689" w:rsidRPr="00380B40" w:rsidRDefault="00523689" w:rsidP="00523689">
      <w:pPr>
        <w:rPr>
          <w:lang w:val="en-GB"/>
        </w:rPr>
      </w:pPr>
      <w:r w:rsidRPr="00380B40">
        <w:rPr>
          <w:i/>
          <w:iCs/>
          <w:lang w:val="en-GB"/>
        </w:rPr>
        <w:t>The Tao of the IETF –</w:t>
      </w:r>
      <w:r w:rsidRPr="00380B40">
        <w:rPr>
          <w:lang w:val="en-GB"/>
        </w:rPr>
        <w:t xml:space="preserve"> </w:t>
      </w:r>
      <w:r w:rsidRPr="00380B40">
        <w:rPr>
          <w:i/>
          <w:iCs/>
          <w:lang w:val="en-GB"/>
        </w:rPr>
        <w:t>A Novice's Guide to the Internet Engineering Task Force</w:t>
      </w:r>
      <w:r w:rsidRPr="00380B40">
        <w:rPr>
          <w:lang w:val="en-GB"/>
        </w:rPr>
        <w:t>:</w:t>
      </w:r>
    </w:p>
    <w:p w14:paraId="3A33A938" w14:textId="77777777" w:rsidR="00523689" w:rsidRPr="00380B40" w:rsidRDefault="006A0076" w:rsidP="00523689">
      <w:pPr>
        <w:pStyle w:val="Formal"/>
        <w:rPr>
          <w:noProof w:val="0"/>
          <w:lang w:val="en-GB"/>
        </w:rPr>
      </w:pPr>
      <w:hyperlink r:id="rId478" w:history="1">
        <w:r w:rsidR="007F7EB9" w:rsidRPr="00380B40">
          <w:rPr>
            <w:rStyle w:val="Hyperlink"/>
            <w:noProof w:val="0"/>
            <w:lang w:val="en-GB"/>
          </w:rPr>
          <w:t>http://www.ietf.org/tao.html</w:t>
        </w:r>
      </w:hyperlink>
    </w:p>
    <w:p w14:paraId="6AEF989E" w14:textId="77777777" w:rsidR="001930D2" w:rsidRPr="00380B40" w:rsidRDefault="001930D2" w:rsidP="00523689">
      <w:pPr>
        <w:pStyle w:val="Heading3"/>
        <w:rPr>
          <w:lang w:val="en-GB"/>
        </w:rPr>
      </w:pPr>
      <w:r w:rsidRPr="00380B40">
        <w:rPr>
          <w:lang w:val="en-GB"/>
        </w:rPr>
        <w:br w:type="page"/>
      </w:r>
    </w:p>
    <w:p w14:paraId="04BEC5FC" w14:textId="77777777" w:rsidR="00523689" w:rsidRPr="00380B40" w:rsidRDefault="00523689" w:rsidP="00523689">
      <w:pPr>
        <w:pStyle w:val="Heading3"/>
        <w:rPr>
          <w:lang w:val="en-GB"/>
        </w:rPr>
      </w:pPr>
      <w:bookmarkStart w:id="2189" w:name="_Toc111637113"/>
      <w:r w:rsidRPr="00380B40">
        <w:rPr>
          <w:lang w:val="en-GB"/>
        </w:rPr>
        <w:t>2.8.2</w:t>
      </w:r>
      <w:r w:rsidRPr="00380B40">
        <w:rPr>
          <w:lang w:val="en-GB"/>
        </w:rPr>
        <w:tab/>
        <w:t>ITU-T information that may be useful to IETF participants</w:t>
      </w:r>
      <w:bookmarkEnd w:id="2189"/>
    </w:p>
    <w:p w14:paraId="25BE0D45" w14:textId="77777777" w:rsidR="00523689" w:rsidRPr="00380B40" w:rsidRDefault="00523689" w:rsidP="00523689">
      <w:pPr>
        <w:rPr>
          <w:lang w:val="en-GB"/>
        </w:rPr>
      </w:pPr>
      <w:r w:rsidRPr="00380B40">
        <w:rPr>
          <w:lang w:val="en-GB"/>
        </w:rPr>
        <w:t>Information about the ITU-T can be found in the informative references and at the URLs below.</w:t>
      </w:r>
    </w:p>
    <w:p w14:paraId="070FD6CD" w14:textId="77777777" w:rsidR="00523689" w:rsidRPr="00380B40" w:rsidRDefault="00523689" w:rsidP="00523689">
      <w:pPr>
        <w:rPr>
          <w:lang w:val="fr-CH"/>
        </w:rPr>
      </w:pPr>
      <w:r w:rsidRPr="00380B40">
        <w:rPr>
          <w:lang w:val="fr-CH"/>
        </w:rPr>
        <w:t>ITU-T Main page:</w:t>
      </w:r>
    </w:p>
    <w:p w14:paraId="05B03BEF" w14:textId="77777777" w:rsidR="00523689" w:rsidRPr="00380B40" w:rsidRDefault="006A0076" w:rsidP="00523689">
      <w:pPr>
        <w:pStyle w:val="Formal"/>
        <w:rPr>
          <w:noProof w:val="0"/>
          <w:lang w:val="fr-CH"/>
        </w:rPr>
      </w:pPr>
      <w:hyperlink r:id="rId479" w:history="1">
        <w:r w:rsidR="007F7EB9" w:rsidRPr="00380B40">
          <w:rPr>
            <w:rStyle w:val="Hyperlink"/>
            <w:noProof w:val="0"/>
            <w:lang w:val="fr-CH"/>
          </w:rPr>
          <w:t>http://itu.int/ITU-T</w:t>
        </w:r>
      </w:hyperlink>
    </w:p>
    <w:p w14:paraId="54F801E9" w14:textId="77777777" w:rsidR="00523689" w:rsidRPr="00380B40" w:rsidRDefault="00523689" w:rsidP="00523689">
      <w:pPr>
        <w:rPr>
          <w:lang w:val="en-GB"/>
        </w:rPr>
      </w:pPr>
      <w:r w:rsidRPr="00380B40">
        <w:rPr>
          <w:lang w:val="en-GB"/>
        </w:rPr>
        <w:t>List of all ITU-T Recommendations:</w:t>
      </w:r>
    </w:p>
    <w:p w14:paraId="496E296D" w14:textId="77777777" w:rsidR="00523689" w:rsidRPr="00380B40" w:rsidRDefault="006A0076" w:rsidP="00523689">
      <w:pPr>
        <w:pStyle w:val="Formal"/>
        <w:rPr>
          <w:noProof w:val="0"/>
          <w:lang w:val="en-GB"/>
        </w:rPr>
      </w:pPr>
      <w:hyperlink r:id="rId480" w:history="1">
        <w:r w:rsidR="007F7EB9" w:rsidRPr="00380B40">
          <w:rPr>
            <w:rStyle w:val="Hyperlink"/>
            <w:noProof w:val="0"/>
            <w:lang w:val="en-GB"/>
          </w:rPr>
          <w:t>http://itu.int/itu-t/recommendations/</w:t>
        </w:r>
      </w:hyperlink>
    </w:p>
    <w:p w14:paraId="22381603" w14:textId="77777777" w:rsidR="00523689" w:rsidRPr="00380B40" w:rsidRDefault="00523689" w:rsidP="00523689">
      <w:pPr>
        <w:rPr>
          <w:lang w:val="en-GB"/>
        </w:rPr>
      </w:pPr>
      <w:r w:rsidRPr="00380B40">
        <w:rPr>
          <w:lang w:val="en-GB"/>
        </w:rPr>
        <w:t>ITU-T study group main page for Study Group NN (where NN is the 2-digit SG number):</w:t>
      </w:r>
    </w:p>
    <w:p w14:paraId="5CB13BA4" w14:textId="77777777" w:rsidR="00523689" w:rsidRPr="00380B40" w:rsidRDefault="006A0076" w:rsidP="00523689">
      <w:pPr>
        <w:pStyle w:val="Formal"/>
        <w:rPr>
          <w:noProof w:val="0"/>
          <w:lang w:val="en-GB"/>
        </w:rPr>
      </w:pPr>
      <w:hyperlink r:id="rId481" w:history="1">
        <w:r w:rsidR="007F7EB9" w:rsidRPr="00380B40">
          <w:rPr>
            <w:rStyle w:val="Hyperlink"/>
            <w:noProof w:val="0"/>
            <w:lang w:val="en-GB"/>
          </w:rPr>
          <w:t>http://itu.int/ITU-T/studygroups/comNN/</w:t>
        </w:r>
      </w:hyperlink>
    </w:p>
    <w:p w14:paraId="1649F885" w14:textId="77777777" w:rsidR="00523689" w:rsidRPr="00380B40" w:rsidRDefault="00523689" w:rsidP="00523689">
      <w:pPr>
        <w:rPr>
          <w:lang w:val="en-GB"/>
        </w:rPr>
      </w:pPr>
      <w:r w:rsidRPr="00380B40">
        <w:rPr>
          <w:lang w:val="en-GB"/>
        </w:rPr>
        <w:t>Intellectual Property policies, forms and databases:</w:t>
      </w:r>
    </w:p>
    <w:p w14:paraId="2ECFB60C" w14:textId="77777777" w:rsidR="00523689" w:rsidRPr="00380B40" w:rsidRDefault="006A0076" w:rsidP="00523689">
      <w:pPr>
        <w:pStyle w:val="Formal"/>
        <w:rPr>
          <w:noProof w:val="0"/>
          <w:lang w:val="en-GB"/>
        </w:rPr>
      </w:pPr>
      <w:hyperlink r:id="rId482" w:history="1">
        <w:r w:rsidR="007F7EB9" w:rsidRPr="00380B40">
          <w:rPr>
            <w:rStyle w:val="Hyperlink"/>
            <w:noProof w:val="0"/>
            <w:lang w:val="en-GB"/>
          </w:rPr>
          <w:t>http://itu.int/en/ITU-T/ipr/Pages/default.aspx</w:t>
        </w:r>
      </w:hyperlink>
    </w:p>
    <w:p w14:paraId="7187B8E2" w14:textId="77777777" w:rsidR="00523689" w:rsidRPr="00380B40" w:rsidRDefault="00523689" w:rsidP="00523689">
      <w:pPr>
        <w:rPr>
          <w:lang w:val="en-GB"/>
        </w:rPr>
      </w:pPr>
      <w:r w:rsidRPr="00380B40">
        <w:rPr>
          <w:lang w:val="en-GB"/>
        </w:rPr>
        <w:t>Current list of active ITU-T focus Groups</w:t>
      </w:r>
    </w:p>
    <w:p w14:paraId="7ECC9DB9" w14:textId="77777777" w:rsidR="00523689" w:rsidRPr="00380B40" w:rsidRDefault="006A0076" w:rsidP="00523689">
      <w:pPr>
        <w:pStyle w:val="Formal"/>
        <w:rPr>
          <w:noProof w:val="0"/>
          <w:lang w:val="en-GB"/>
        </w:rPr>
      </w:pPr>
      <w:hyperlink r:id="rId483" w:history="1">
        <w:r w:rsidR="007F7EB9" w:rsidRPr="00380B40">
          <w:rPr>
            <w:rStyle w:val="Hyperlink"/>
            <w:noProof w:val="0"/>
            <w:lang w:val="en-GB"/>
          </w:rPr>
          <w:t>http://itu.int/en/ITU-T/focusgroups/Pages/default.aspx</w:t>
        </w:r>
      </w:hyperlink>
    </w:p>
    <w:p w14:paraId="0ACBCA81" w14:textId="77777777" w:rsidR="00523689" w:rsidRPr="00380B40" w:rsidRDefault="00523689" w:rsidP="00523689">
      <w:pPr>
        <w:rPr>
          <w:lang w:val="en-GB"/>
        </w:rPr>
      </w:pPr>
      <w:r w:rsidRPr="00380B40">
        <w:rPr>
          <w:lang w:val="en-GB"/>
        </w:rPr>
        <w:t>ITU-T Procedures including:</w:t>
      </w:r>
    </w:p>
    <w:p w14:paraId="472479ED" w14:textId="77777777" w:rsidR="00523689" w:rsidRPr="00380B40" w:rsidRDefault="00523689" w:rsidP="00523689">
      <w:pPr>
        <w:ind w:left="851" w:hanging="851"/>
        <w:rPr>
          <w:lang w:val="en-GB"/>
        </w:rPr>
      </w:pPr>
      <w:r w:rsidRPr="00380B40">
        <w:rPr>
          <w:lang w:val="en-GB"/>
        </w:rPr>
        <w:t>–</w:t>
      </w:r>
      <w:r w:rsidRPr="00380B40">
        <w:rPr>
          <w:lang w:val="en-GB"/>
        </w:rPr>
        <w:tab/>
      </w:r>
      <w:r w:rsidRPr="00380B40">
        <w:rPr>
          <w:spacing w:val="-4"/>
          <w:lang w:val="en-GB"/>
        </w:rPr>
        <w:t xml:space="preserve">WTSA Resolution 1, </w:t>
      </w:r>
      <w:r w:rsidRPr="00380B40">
        <w:rPr>
          <w:i/>
          <w:iCs/>
          <w:spacing w:val="-4"/>
          <w:lang w:val="en-GB"/>
        </w:rPr>
        <w:t xml:space="preserve">Rules of procedure </w:t>
      </w:r>
      <w:r w:rsidRPr="00380B40">
        <w:rPr>
          <w:rFonts w:asciiTheme="majorBidi" w:hAnsiTheme="majorBidi" w:cstheme="majorBidi"/>
          <w:i/>
          <w:iCs/>
          <w:color w:val="02274B"/>
          <w:spacing w:val="-4"/>
          <w:szCs w:val="24"/>
          <w:lang w:val="en-GB"/>
        </w:rPr>
        <w:t>of the ITU Telecommunication Standardization Sector</w:t>
      </w:r>
      <w:r w:rsidRPr="00380B40">
        <w:rPr>
          <w:rFonts w:ascii="Verdana" w:hAnsi="Verdana"/>
          <w:i/>
          <w:iCs/>
          <w:color w:val="02274B"/>
          <w:spacing w:val="-4"/>
          <w:sz w:val="16"/>
          <w:szCs w:val="16"/>
          <w:lang w:val="en-GB"/>
        </w:rPr>
        <w:t xml:space="preserve"> (</w:t>
      </w:r>
      <w:r w:rsidRPr="00380B40">
        <w:rPr>
          <w:i/>
          <w:iCs/>
          <w:spacing w:val="-4"/>
          <w:lang w:val="en-GB"/>
        </w:rPr>
        <w:t>ITU-T)</w:t>
      </w:r>
    </w:p>
    <w:p w14:paraId="5D664260" w14:textId="77777777" w:rsidR="00523689" w:rsidRPr="00380B40" w:rsidRDefault="00523689" w:rsidP="00523689">
      <w:pPr>
        <w:ind w:left="851" w:hanging="851"/>
        <w:rPr>
          <w:lang w:val="en-GB"/>
        </w:rPr>
      </w:pPr>
      <w:r w:rsidRPr="00380B40">
        <w:rPr>
          <w:lang w:val="en-GB"/>
        </w:rPr>
        <w:t>–</w:t>
      </w:r>
      <w:r w:rsidRPr="00380B40">
        <w:rPr>
          <w:lang w:val="en-GB"/>
        </w:rPr>
        <w:tab/>
        <w:t xml:space="preserve">WTSA Resolution 2, </w:t>
      </w:r>
      <w:r w:rsidRPr="00380B40">
        <w:rPr>
          <w:i/>
          <w:iCs/>
          <w:lang w:val="en-GB"/>
        </w:rPr>
        <w:t>Study Group responsibility and mandates</w:t>
      </w:r>
    </w:p>
    <w:p w14:paraId="370D4F71" w14:textId="77777777" w:rsidR="00523689" w:rsidRPr="00380B40" w:rsidRDefault="006A0076" w:rsidP="00523689">
      <w:pPr>
        <w:pStyle w:val="Formal"/>
        <w:rPr>
          <w:noProof w:val="0"/>
          <w:lang w:val="en-GB"/>
        </w:rPr>
      </w:pPr>
      <w:hyperlink r:id="rId484" w:history="1">
        <w:r w:rsidR="007F7EB9" w:rsidRPr="00380B40">
          <w:rPr>
            <w:rStyle w:val="Hyperlink"/>
            <w:noProof w:val="0"/>
            <w:lang w:val="en-GB"/>
          </w:rPr>
          <w:t>http://itu.int/publ/T-RES/en</w:t>
        </w:r>
      </w:hyperlink>
    </w:p>
    <w:p w14:paraId="14AD717A" w14:textId="77777777" w:rsidR="00523689" w:rsidRPr="00380B40" w:rsidRDefault="00523689" w:rsidP="00523689">
      <w:pPr>
        <w:rPr>
          <w:lang w:val="en-GB"/>
        </w:rPr>
      </w:pPr>
      <w:r w:rsidRPr="00380B40">
        <w:rPr>
          <w:i/>
          <w:iCs/>
          <w:lang w:val="en-GB"/>
        </w:rPr>
        <w:t>Author's Guide for drafting ITU-T Recommendations</w:t>
      </w:r>
      <w:r w:rsidRPr="00380B40">
        <w:rPr>
          <w:lang w:val="en-GB"/>
        </w:rPr>
        <w:t>:</w:t>
      </w:r>
    </w:p>
    <w:p w14:paraId="5CE71D7A" w14:textId="77777777" w:rsidR="00523689" w:rsidRPr="00380B40" w:rsidRDefault="006A0076" w:rsidP="00523689">
      <w:pPr>
        <w:pStyle w:val="Formal"/>
        <w:rPr>
          <w:noProof w:val="0"/>
          <w:lang w:val="en-GB"/>
        </w:rPr>
      </w:pPr>
      <w:hyperlink r:id="rId485" w:history="1">
        <w:r w:rsidR="007F7EB9" w:rsidRPr="00380B40">
          <w:rPr>
            <w:rStyle w:val="Hyperlink"/>
            <w:noProof w:val="0"/>
            <w:lang w:val="en-GB"/>
          </w:rPr>
          <w:t>http://itu.int/ITU-T/go/author-guide</w:t>
        </w:r>
      </w:hyperlink>
    </w:p>
    <w:p w14:paraId="2962A817" w14:textId="77777777" w:rsidR="00523689" w:rsidRPr="004E4CA9" w:rsidRDefault="00523689" w:rsidP="00523689">
      <w:pPr>
        <w:rPr>
          <w:lang w:val="fr-CH"/>
        </w:rPr>
      </w:pPr>
      <w:r w:rsidRPr="004E4CA9">
        <w:rPr>
          <w:lang w:val="fr-CH"/>
        </w:rPr>
        <w:t>Templates for contributions, ITU-T Recommendations, and liaison statements:</w:t>
      </w:r>
    </w:p>
    <w:p w14:paraId="48D73ADE" w14:textId="77777777" w:rsidR="00523689" w:rsidRPr="004E4CA9" w:rsidRDefault="006A0076" w:rsidP="00523689">
      <w:pPr>
        <w:pStyle w:val="Formal"/>
        <w:rPr>
          <w:noProof w:val="0"/>
          <w:lang w:val="fr-CH"/>
        </w:rPr>
      </w:pPr>
      <w:hyperlink r:id="rId486" w:history="1">
        <w:r w:rsidR="007F7EB9" w:rsidRPr="004E4CA9">
          <w:rPr>
            <w:rStyle w:val="Hyperlink"/>
            <w:noProof w:val="0"/>
            <w:lang w:val="fr-CH"/>
          </w:rPr>
          <w:t>http://itu.int/ITU-T/studygroups/templates/index.html</w:t>
        </w:r>
      </w:hyperlink>
    </w:p>
    <w:p w14:paraId="03FA3F8D" w14:textId="77777777" w:rsidR="00523689" w:rsidRPr="00380B40" w:rsidRDefault="00523689" w:rsidP="00523689">
      <w:pPr>
        <w:pStyle w:val="Heading1"/>
        <w:rPr>
          <w:lang w:val="en-GB"/>
        </w:rPr>
      </w:pPr>
      <w:bookmarkStart w:id="2190" w:name="_Toc334514869"/>
      <w:bookmarkStart w:id="2191" w:name="_Toc111637114"/>
      <w:r w:rsidRPr="00380B40">
        <w:rPr>
          <w:lang w:val="en-GB"/>
        </w:rPr>
        <w:t>3</w:t>
      </w:r>
      <w:r w:rsidRPr="00380B40">
        <w:rPr>
          <w:lang w:val="en-GB"/>
        </w:rPr>
        <w:tab/>
        <w:t>References</w:t>
      </w:r>
      <w:bookmarkEnd w:id="2190"/>
      <w:bookmarkEnd w:id="2191"/>
    </w:p>
    <w:p w14:paraId="3264C317" w14:textId="77777777" w:rsidR="00523689" w:rsidRPr="00380B40" w:rsidRDefault="00523689" w:rsidP="00523689">
      <w:pPr>
        <w:pStyle w:val="Heading2"/>
        <w:rPr>
          <w:lang w:val="en-GB"/>
        </w:rPr>
      </w:pPr>
      <w:bookmarkStart w:id="2192" w:name="_Toc334514870"/>
      <w:bookmarkStart w:id="2193" w:name="_Toc111637115"/>
      <w:r w:rsidRPr="00380B40">
        <w:rPr>
          <w:lang w:val="en-GB"/>
        </w:rPr>
        <w:t>3.1</w:t>
      </w:r>
      <w:r w:rsidRPr="00380B40">
        <w:rPr>
          <w:lang w:val="en-GB"/>
        </w:rPr>
        <w:tab/>
        <w:t>Normative references</w:t>
      </w:r>
      <w:bookmarkEnd w:id="2192"/>
      <w:bookmarkEnd w:id="219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792"/>
      </w:tblGrid>
      <w:tr w:rsidR="00251D45" w:rsidRPr="004E0F36" w14:paraId="438148EB" w14:textId="77777777" w:rsidTr="00C91A38">
        <w:tc>
          <w:tcPr>
            <w:tcW w:w="846" w:type="dxa"/>
          </w:tcPr>
          <w:p w14:paraId="5E9D0C0A" w14:textId="77777777" w:rsidR="00251D45" w:rsidRPr="00380B40" w:rsidRDefault="00251D45" w:rsidP="00996F27">
            <w:pPr>
              <w:rPr>
                <w:lang w:val="en-GB"/>
              </w:rPr>
            </w:pPr>
            <w:r w:rsidRPr="00380B40">
              <w:rPr>
                <w:lang w:val="en-GB"/>
              </w:rPr>
              <w:t>[1]</w:t>
            </w:r>
          </w:p>
        </w:tc>
        <w:tc>
          <w:tcPr>
            <w:tcW w:w="8783" w:type="dxa"/>
          </w:tcPr>
          <w:p w14:paraId="49E3CECC" w14:textId="77777777" w:rsidR="00251D45" w:rsidRPr="00380B40" w:rsidRDefault="00251D45" w:rsidP="00996F27">
            <w:pPr>
              <w:rPr>
                <w:lang w:val="en-GB"/>
              </w:rPr>
            </w:pPr>
            <w:r w:rsidRPr="00380B40">
              <w:rPr>
                <w:lang w:val="en-GB"/>
              </w:rPr>
              <w:t>Daigle, L., Ed.,</w:t>
            </w:r>
            <w:r w:rsidRPr="00380B40">
              <w:rPr>
                <w:color w:val="008000"/>
                <w:lang w:val="en-GB"/>
              </w:rPr>
              <w:t xml:space="preserve"> </w:t>
            </w:r>
            <w:r w:rsidRPr="00380B40">
              <w:rPr>
                <w:rStyle w:val="Strong"/>
                <w:lang w:val="en-GB"/>
              </w:rPr>
              <w:t>and Internet Architecture Board,</w:t>
            </w:r>
            <w:r w:rsidRPr="00380B40" w:rsidDel="008574FE">
              <w:rPr>
                <w:lang w:val="en-GB"/>
              </w:rPr>
              <w:t xml:space="preserve"> </w:t>
            </w:r>
            <w:r w:rsidRPr="00380B40">
              <w:rPr>
                <w:i/>
                <w:iCs/>
                <w:lang w:val="en-GB"/>
              </w:rPr>
              <w:t>IAB Processes for Management of IETF Liaison Relationships</w:t>
            </w:r>
            <w:r w:rsidRPr="00380B40">
              <w:rPr>
                <w:lang w:val="en-GB"/>
              </w:rPr>
              <w:t>, BCP 102, RFC 4052, April 2005.</w:t>
            </w:r>
          </w:p>
        </w:tc>
      </w:tr>
      <w:tr w:rsidR="00251D45" w:rsidRPr="004E0F36" w14:paraId="153B8035" w14:textId="77777777" w:rsidTr="00C91A38">
        <w:tc>
          <w:tcPr>
            <w:tcW w:w="846" w:type="dxa"/>
          </w:tcPr>
          <w:p w14:paraId="51D72CEC" w14:textId="77777777" w:rsidR="00251D45" w:rsidRPr="00380B40" w:rsidRDefault="00251D45" w:rsidP="00996F27">
            <w:pPr>
              <w:rPr>
                <w:lang w:val="en-GB"/>
              </w:rPr>
            </w:pPr>
            <w:r w:rsidRPr="00380B40">
              <w:rPr>
                <w:lang w:val="en-GB"/>
              </w:rPr>
              <w:t>[2]</w:t>
            </w:r>
          </w:p>
        </w:tc>
        <w:tc>
          <w:tcPr>
            <w:tcW w:w="8783" w:type="dxa"/>
          </w:tcPr>
          <w:p w14:paraId="46E33380" w14:textId="77777777" w:rsidR="00251D45" w:rsidRPr="00380B40" w:rsidRDefault="00251D45" w:rsidP="00996F27">
            <w:pPr>
              <w:rPr>
                <w:lang w:val="en-GB"/>
              </w:rPr>
            </w:pPr>
            <w:r w:rsidRPr="00380B40">
              <w:rPr>
                <w:lang w:val="en-GB"/>
              </w:rPr>
              <w:t xml:space="preserve">Trowbridge, S., Bradner, S., and F. Baker, </w:t>
            </w:r>
            <w:r w:rsidRPr="00380B40">
              <w:rPr>
                <w:i/>
                <w:iCs/>
                <w:lang w:val="en-GB"/>
              </w:rPr>
              <w:t>Procedures for Handling Liaison Statements to and from the IETF</w:t>
            </w:r>
            <w:r w:rsidRPr="00380B40">
              <w:rPr>
                <w:lang w:val="en-GB"/>
              </w:rPr>
              <w:t>, BCP 103, RFC 4053, April 2005.</w:t>
            </w:r>
          </w:p>
        </w:tc>
      </w:tr>
      <w:tr w:rsidR="00251D45" w:rsidRPr="004E0F36" w14:paraId="66D0B757" w14:textId="77777777" w:rsidTr="00C91A38">
        <w:tc>
          <w:tcPr>
            <w:tcW w:w="846" w:type="dxa"/>
          </w:tcPr>
          <w:p w14:paraId="26B22867" w14:textId="77777777" w:rsidR="00251D45" w:rsidRPr="00380B40" w:rsidRDefault="00251D45" w:rsidP="00996F27">
            <w:pPr>
              <w:rPr>
                <w:lang w:val="en-GB"/>
              </w:rPr>
            </w:pPr>
            <w:r w:rsidRPr="00380B40">
              <w:rPr>
                <w:lang w:val="en-GB"/>
              </w:rPr>
              <w:t>[3]</w:t>
            </w:r>
          </w:p>
        </w:tc>
        <w:tc>
          <w:tcPr>
            <w:tcW w:w="8783" w:type="dxa"/>
          </w:tcPr>
          <w:p w14:paraId="1BC4C545" w14:textId="77777777" w:rsidR="00251D45" w:rsidRPr="00380B40" w:rsidRDefault="00251D45" w:rsidP="00996F27">
            <w:pPr>
              <w:rPr>
                <w:lang w:val="en-GB"/>
              </w:rPr>
            </w:pPr>
            <w:r w:rsidRPr="00380B40">
              <w:rPr>
                <w:lang w:val="en-GB"/>
              </w:rPr>
              <w:t xml:space="preserve">Bradner, S., Ed., and J. Contreras, Ed., </w:t>
            </w:r>
            <w:r w:rsidRPr="00380B40">
              <w:rPr>
                <w:i/>
                <w:iCs/>
                <w:lang w:val="en-GB"/>
              </w:rPr>
              <w:t>Rights Contributors Provide to the IETF Trust</w:t>
            </w:r>
            <w:r w:rsidRPr="00380B40">
              <w:rPr>
                <w:lang w:val="en-GB"/>
              </w:rPr>
              <w:t>, BCP 78, RFC 5378, November, 2008.</w:t>
            </w:r>
          </w:p>
        </w:tc>
      </w:tr>
      <w:tr w:rsidR="00251D45" w:rsidRPr="004E0F36" w14:paraId="50EE188A" w14:textId="77777777" w:rsidTr="00C91A38">
        <w:tc>
          <w:tcPr>
            <w:tcW w:w="846" w:type="dxa"/>
          </w:tcPr>
          <w:p w14:paraId="7016652F" w14:textId="77777777" w:rsidR="00251D45" w:rsidRPr="00380B40" w:rsidRDefault="00251D45" w:rsidP="00996F27">
            <w:pPr>
              <w:rPr>
                <w:lang w:val="en-GB"/>
              </w:rPr>
            </w:pPr>
            <w:r w:rsidRPr="00380B40">
              <w:rPr>
                <w:lang w:val="en-GB"/>
              </w:rPr>
              <w:t>[4]</w:t>
            </w:r>
          </w:p>
        </w:tc>
        <w:tc>
          <w:tcPr>
            <w:tcW w:w="8783" w:type="dxa"/>
          </w:tcPr>
          <w:p w14:paraId="2634C173" w14:textId="77777777" w:rsidR="00251D45" w:rsidRPr="00380B40" w:rsidRDefault="00251D45" w:rsidP="00996F27">
            <w:pPr>
              <w:rPr>
                <w:lang w:val="en-GB"/>
              </w:rPr>
            </w:pPr>
            <w:r w:rsidRPr="00380B40">
              <w:rPr>
                <w:lang w:val="en-GB"/>
              </w:rPr>
              <w:t xml:space="preserve">Bradner, S., Ed., </w:t>
            </w:r>
            <w:r w:rsidRPr="00380B40">
              <w:rPr>
                <w:i/>
                <w:iCs/>
                <w:lang w:val="en-GB"/>
              </w:rPr>
              <w:t>Intellectual Property Rights in IETF Technology</w:t>
            </w:r>
            <w:r w:rsidRPr="00380B40">
              <w:rPr>
                <w:lang w:val="en-GB"/>
              </w:rPr>
              <w:t>, BCP 79, RFC 3979, March 2005.</w:t>
            </w:r>
          </w:p>
        </w:tc>
      </w:tr>
    </w:tbl>
    <w:p w14:paraId="59305613" w14:textId="77777777" w:rsidR="00563E83" w:rsidRPr="00380B40" w:rsidRDefault="00563E83" w:rsidP="00563E83">
      <w:pPr>
        <w:rPr>
          <w:lang w:val="en-GB"/>
        </w:rPr>
      </w:pPr>
    </w:p>
    <w:p w14:paraId="2E62FEFB" w14:textId="77777777" w:rsidR="00F64BAE" w:rsidRPr="00380B40" w:rsidRDefault="00F64BAE" w:rsidP="00563E83">
      <w:pPr>
        <w:rPr>
          <w:lang w:val="en-GB"/>
        </w:rPr>
      </w:pPr>
      <w:r w:rsidRPr="00380B40">
        <w:rPr>
          <w:lang w:val="en-G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789"/>
      </w:tblGrid>
      <w:tr w:rsidR="00996F27" w:rsidRPr="004E0F36" w14:paraId="516DE5D6" w14:textId="77777777" w:rsidTr="00C91A38">
        <w:tc>
          <w:tcPr>
            <w:tcW w:w="849" w:type="dxa"/>
          </w:tcPr>
          <w:p w14:paraId="26DCA220" w14:textId="77777777" w:rsidR="00996F27" w:rsidRPr="00380B40" w:rsidRDefault="00996F27" w:rsidP="009A0106">
            <w:pPr>
              <w:rPr>
                <w:lang w:val="en-GB"/>
              </w:rPr>
            </w:pPr>
            <w:r w:rsidRPr="00380B40">
              <w:rPr>
                <w:lang w:val="en-GB"/>
              </w:rPr>
              <w:t>[5]</w:t>
            </w:r>
          </w:p>
        </w:tc>
        <w:tc>
          <w:tcPr>
            <w:tcW w:w="8780" w:type="dxa"/>
          </w:tcPr>
          <w:p w14:paraId="79446F47" w14:textId="77777777" w:rsidR="00996F27" w:rsidRPr="00380B40" w:rsidRDefault="00996F27" w:rsidP="009A0106">
            <w:pPr>
              <w:rPr>
                <w:lang w:val="en-GB"/>
              </w:rPr>
            </w:pPr>
            <w:r w:rsidRPr="00380B40">
              <w:rPr>
                <w:lang w:val="en-GB"/>
              </w:rPr>
              <w:t xml:space="preserve">Narten, T., </w:t>
            </w:r>
            <w:r w:rsidRPr="00380B40">
              <w:rPr>
                <w:i/>
                <w:iCs/>
                <w:lang w:val="en-GB"/>
              </w:rPr>
              <w:t xml:space="preserve">Clarification of the Third Party Disclosure Procedure in RFC </w:t>
            </w:r>
            <w:r w:rsidRPr="00380B40">
              <w:rPr>
                <w:lang w:val="en-GB"/>
              </w:rPr>
              <w:t>3979, BCP 79, RFC 4879, April 2007.</w:t>
            </w:r>
          </w:p>
        </w:tc>
      </w:tr>
      <w:tr w:rsidR="00996F27" w:rsidRPr="004E0F36" w14:paraId="47C05BEE" w14:textId="77777777" w:rsidTr="00C91A38">
        <w:tc>
          <w:tcPr>
            <w:tcW w:w="849" w:type="dxa"/>
          </w:tcPr>
          <w:p w14:paraId="00172414" w14:textId="77777777" w:rsidR="00996F27" w:rsidRPr="00380B40" w:rsidRDefault="00996F27" w:rsidP="009A0106">
            <w:pPr>
              <w:rPr>
                <w:lang w:val="en-GB"/>
              </w:rPr>
            </w:pPr>
            <w:r w:rsidRPr="00380B40">
              <w:rPr>
                <w:lang w:val="en-GB"/>
              </w:rPr>
              <w:t>[6]</w:t>
            </w:r>
          </w:p>
        </w:tc>
        <w:tc>
          <w:tcPr>
            <w:tcW w:w="8780" w:type="dxa"/>
          </w:tcPr>
          <w:p w14:paraId="12CFC4DF" w14:textId="77777777" w:rsidR="00996F27" w:rsidRPr="00380B40" w:rsidRDefault="00996F27" w:rsidP="009A0106">
            <w:pPr>
              <w:rPr>
                <w:lang w:val="en-GB"/>
              </w:rPr>
            </w:pPr>
            <w:r w:rsidRPr="00380B40">
              <w:rPr>
                <w:lang w:val="en-GB"/>
              </w:rPr>
              <w:t>Recommendation ITU</w:t>
            </w:r>
            <w:r w:rsidRPr="00380B40">
              <w:rPr>
                <w:lang w:val="en-GB"/>
              </w:rPr>
              <w:noBreakHyphen/>
              <w:t xml:space="preserve">T A.5 (2008), </w:t>
            </w:r>
            <w:r w:rsidRPr="00380B40">
              <w:rPr>
                <w:i/>
                <w:iCs/>
                <w:lang w:val="en-GB"/>
              </w:rPr>
              <w:t>Generic procedures for including references to documents of other organizations in ITU-T Recommendations</w:t>
            </w:r>
            <w:r w:rsidRPr="00380B40">
              <w:rPr>
                <w:lang w:val="en-GB"/>
              </w:rPr>
              <w:t>, International Telecommunication Union.</w:t>
            </w:r>
          </w:p>
        </w:tc>
      </w:tr>
    </w:tbl>
    <w:p w14:paraId="39939471" w14:textId="77777777" w:rsidR="00523689" w:rsidRPr="00380B40" w:rsidRDefault="00523689" w:rsidP="00523689">
      <w:pPr>
        <w:pStyle w:val="Heading2"/>
        <w:rPr>
          <w:lang w:val="en-GB"/>
        </w:rPr>
      </w:pPr>
      <w:bookmarkStart w:id="2194" w:name="_Toc334514871"/>
      <w:bookmarkStart w:id="2195" w:name="_Toc111637116"/>
      <w:r w:rsidRPr="00380B40">
        <w:rPr>
          <w:lang w:val="en-GB"/>
        </w:rPr>
        <w:t>3.2</w:t>
      </w:r>
      <w:r w:rsidRPr="00380B40">
        <w:rPr>
          <w:lang w:val="en-GB"/>
        </w:rPr>
        <w:tab/>
        <w:t>Informative references</w:t>
      </w:r>
      <w:bookmarkEnd w:id="2194"/>
      <w:bookmarkEnd w:id="219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
        <w:gridCol w:w="8803"/>
      </w:tblGrid>
      <w:tr w:rsidR="00996F27" w:rsidRPr="004E0F36" w14:paraId="7C5470CC" w14:textId="77777777" w:rsidTr="00C91A38">
        <w:tc>
          <w:tcPr>
            <w:tcW w:w="835" w:type="dxa"/>
          </w:tcPr>
          <w:p w14:paraId="6DB298A7" w14:textId="77777777" w:rsidR="00996F27" w:rsidRPr="00380B40" w:rsidRDefault="00996F27" w:rsidP="009A0106">
            <w:pPr>
              <w:rPr>
                <w:lang w:val="en-GB"/>
              </w:rPr>
            </w:pPr>
            <w:r w:rsidRPr="00380B40">
              <w:rPr>
                <w:lang w:val="en-GB"/>
              </w:rPr>
              <w:t>[7]</w:t>
            </w:r>
          </w:p>
        </w:tc>
        <w:tc>
          <w:tcPr>
            <w:tcW w:w="8794" w:type="dxa"/>
          </w:tcPr>
          <w:p w14:paraId="77972431" w14:textId="77777777" w:rsidR="00996F27" w:rsidRPr="00380B40" w:rsidRDefault="00996F27" w:rsidP="009A0106">
            <w:pPr>
              <w:rPr>
                <w:lang w:val="en-GB"/>
              </w:rPr>
            </w:pPr>
            <w:r w:rsidRPr="00380B40">
              <w:rPr>
                <w:lang w:val="en-GB"/>
              </w:rPr>
              <w:t xml:space="preserve">Bradner, S., </w:t>
            </w:r>
            <w:r w:rsidRPr="00380B40">
              <w:rPr>
                <w:i/>
                <w:iCs/>
                <w:lang w:val="en-GB"/>
              </w:rPr>
              <w:t>The Internet Standards Process – Revision 3</w:t>
            </w:r>
            <w:r w:rsidRPr="00380B40">
              <w:rPr>
                <w:lang w:val="en-GB"/>
              </w:rPr>
              <w:t>, BCP 9, RFC 2026, October 1996.</w:t>
            </w:r>
          </w:p>
        </w:tc>
      </w:tr>
      <w:tr w:rsidR="00996F27" w:rsidRPr="004E0F36" w14:paraId="0A64765D" w14:textId="77777777" w:rsidTr="00C91A38">
        <w:tc>
          <w:tcPr>
            <w:tcW w:w="835" w:type="dxa"/>
          </w:tcPr>
          <w:p w14:paraId="4E782BD5" w14:textId="77777777" w:rsidR="00996F27" w:rsidRPr="00380B40" w:rsidRDefault="00996F27" w:rsidP="009A0106">
            <w:pPr>
              <w:rPr>
                <w:lang w:val="en-GB"/>
              </w:rPr>
            </w:pPr>
            <w:r w:rsidRPr="00380B40">
              <w:rPr>
                <w:lang w:val="en-GB"/>
              </w:rPr>
              <w:t>[8]</w:t>
            </w:r>
          </w:p>
        </w:tc>
        <w:tc>
          <w:tcPr>
            <w:tcW w:w="8794" w:type="dxa"/>
          </w:tcPr>
          <w:p w14:paraId="73366F9B" w14:textId="77777777" w:rsidR="00996F27" w:rsidRPr="00380B40" w:rsidRDefault="00996F27" w:rsidP="009A0106">
            <w:pPr>
              <w:rPr>
                <w:lang w:val="en-GB"/>
              </w:rPr>
            </w:pPr>
            <w:r w:rsidRPr="00380B40">
              <w:rPr>
                <w:lang w:val="en-GB"/>
              </w:rPr>
              <w:t xml:space="preserve">Postel, J. and J. Reynolds, </w:t>
            </w:r>
            <w:r w:rsidRPr="00380B40">
              <w:rPr>
                <w:i/>
                <w:iCs/>
                <w:lang w:val="en-GB"/>
              </w:rPr>
              <w:t>Instructions to RFC Authors</w:t>
            </w:r>
            <w:r w:rsidRPr="00380B40">
              <w:rPr>
                <w:lang w:val="en-GB"/>
              </w:rPr>
              <w:t>, RFC 2223, October 1997.</w:t>
            </w:r>
          </w:p>
        </w:tc>
      </w:tr>
      <w:tr w:rsidR="00996F27" w:rsidRPr="004E0F36" w14:paraId="411B5C49" w14:textId="77777777" w:rsidTr="00C91A38">
        <w:tc>
          <w:tcPr>
            <w:tcW w:w="835" w:type="dxa"/>
          </w:tcPr>
          <w:p w14:paraId="4B1D745F" w14:textId="77777777" w:rsidR="00996F27" w:rsidRPr="00380B40" w:rsidRDefault="00996F27" w:rsidP="009A0106">
            <w:pPr>
              <w:rPr>
                <w:lang w:val="en-GB"/>
              </w:rPr>
            </w:pPr>
            <w:r w:rsidRPr="00380B40">
              <w:rPr>
                <w:lang w:val="en-GB"/>
              </w:rPr>
              <w:t>[9]</w:t>
            </w:r>
          </w:p>
        </w:tc>
        <w:tc>
          <w:tcPr>
            <w:tcW w:w="8794" w:type="dxa"/>
          </w:tcPr>
          <w:p w14:paraId="44064F41" w14:textId="77777777" w:rsidR="00996F27" w:rsidRPr="00380B40" w:rsidRDefault="00996F27" w:rsidP="009A0106">
            <w:pPr>
              <w:rPr>
                <w:lang w:val="en-GB"/>
              </w:rPr>
            </w:pPr>
            <w:r w:rsidRPr="00380B40">
              <w:rPr>
                <w:lang w:val="en-GB"/>
              </w:rPr>
              <w:t xml:space="preserve">Brett, R., Bradner, S., and G. Parsons, </w:t>
            </w:r>
            <w:r w:rsidRPr="00380B40">
              <w:rPr>
                <w:i/>
                <w:iCs/>
                <w:lang w:val="en-GB"/>
              </w:rPr>
              <w:t>Collaboration between ISOC/IETF and ITU-T</w:t>
            </w:r>
            <w:r w:rsidRPr="00380B40">
              <w:rPr>
                <w:lang w:val="en-GB"/>
              </w:rPr>
              <w:t>, RFC 2436, October 1998.</w:t>
            </w:r>
          </w:p>
        </w:tc>
      </w:tr>
      <w:tr w:rsidR="00996F27" w:rsidRPr="004E0F36" w14:paraId="4C6EE020" w14:textId="77777777" w:rsidTr="00C91A38">
        <w:tc>
          <w:tcPr>
            <w:tcW w:w="835" w:type="dxa"/>
          </w:tcPr>
          <w:p w14:paraId="51B03708" w14:textId="77777777" w:rsidR="00996F27" w:rsidRPr="00380B40" w:rsidRDefault="00996F27" w:rsidP="009A0106">
            <w:pPr>
              <w:rPr>
                <w:lang w:val="en-GB"/>
              </w:rPr>
            </w:pPr>
            <w:r w:rsidRPr="00380B40">
              <w:rPr>
                <w:lang w:val="en-GB"/>
              </w:rPr>
              <w:t>[10]</w:t>
            </w:r>
          </w:p>
        </w:tc>
        <w:tc>
          <w:tcPr>
            <w:tcW w:w="8794" w:type="dxa"/>
          </w:tcPr>
          <w:p w14:paraId="703C17ED" w14:textId="77777777" w:rsidR="00996F27" w:rsidRPr="00380B40" w:rsidRDefault="00996F27" w:rsidP="009A0106">
            <w:pPr>
              <w:rPr>
                <w:lang w:val="en-GB"/>
              </w:rPr>
            </w:pPr>
            <w:r w:rsidRPr="00380B40">
              <w:rPr>
                <w:lang w:val="en-GB"/>
              </w:rPr>
              <w:t xml:space="preserve">Fishman, G. and S. Bradner, </w:t>
            </w:r>
            <w:r w:rsidRPr="00380B40">
              <w:rPr>
                <w:i/>
                <w:iCs/>
                <w:lang w:val="en-GB"/>
              </w:rPr>
              <w:t>Internet Engineering Task Force and International Telecommunication Union – Telecommunications Standardization Sector Collaboration Guidelines</w:t>
            </w:r>
            <w:r w:rsidRPr="00380B40">
              <w:rPr>
                <w:lang w:val="en-GB"/>
              </w:rPr>
              <w:t>, RFC 3356, August 2002.</w:t>
            </w:r>
          </w:p>
        </w:tc>
      </w:tr>
      <w:tr w:rsidR="00996F27" w:rsidRPr="004E0F36" w14:paraId="1C17061E" w14:textId="77777777" w:rsidTr="00C91A38">
        <w:tc>
          <w:tcPr>
            <w:tcW w:w="835" w:type="dxa"/>
          </w:tcPr>
          <w:p w14:paraId="5498FD5F" w14:textId="77777777" w:rsidR="00996F27" w:rsidRPr="00380B40" w:rsidRDefault="00996F27" w:rsidP="009A0106">
            <w:pPr>
              <w:rPr>
                <w:lang w:val="en-GB"/>
              </w:rPr>
            </w:pPr>
            <w:r w:rsidRPr="00380B40">
              <w:rPr>
                <w:lang w:val="en-GB"/>
              </w:rPr>
              <w:t>[11]</w:t>
            </w:r>
          </w:p>
        </w:tc>
        <w:tc>
          <w:tcPr>
            <w:tcW w:w="8794" w:type="dxa"/>
          </w:tcPr>
          <w:p w14:paraId="0C3D05DF" w14:textId="77777777" w:rsidR="00996F27" w:rsidRPr="00380B40" w:rsidRDefault="00996F27" w:rsidP="009A0106">
            <w:pPr>
              <w:rPr>
                <w:lang w:val="en-GB"/>
              </w:rPr>
            </w:pPr>
            <w:r w:rsidRPr="00380B40">
              <w:rPr>
                <w:lang w:val="en-GB"/>
              </w:rPr>
              <w:t xml:space="preserve">Hovey, R. and S. Bradner, S., </w:t>
            </w:r>
            <w:r w:rsidRPr="00380B40">
              <w:rPr>
                <w:i/>
                <w:iCs/>
                <w:lang w:val="en-GB"/>
              </w:rPr>
              <w:t>The Organizations Involved in the IETF Standards Process</w:t>
            </w:r>
            <w:r w:rsidRPr="00380B40">
              <w:rPr>
                <w:lang w:val="en-GB"/>
              </w:rPr>
              <w:t>, BCP 11, RFC 2028, October, 1996.</w:t>
            </w:r>
          </w:p>
        </w:tc>
      </w:tr>
      <w:tr w:rsidR="00996F27" w:rsidRPr="004E0F36" w14:paraId="71C72E46" w14:textId="77777777" w:rsidTr="00C91A38">
        <w:tc>
          <w:tcPr>
            <w:tcW w:w="835" w:type="dxa"/>
          </w:tcPr>
          <w:p w14:paraId="3A527907" w14:textId="77777777" w:rsidR="00996F27" w:rsidRPr="00380B40" w:rsidRDefault="00996F27" w:rsidP="009A0106">
            <w:pPr>
              <w:rPr>
                <w:lang w:val="en-GB"/>
              </w:rPr>
            </w:pPr>
            <w:r w:rsidRPr="00380B40">
              <w:rPr>
                <w:lang w:val="en-GB"/>
              </w:rPr>
              <w:t>[12]</w:t>
            </w:r>
          </w:p>
        </w:tc>
        <w:tc>
          <w:tcPr>
            <w:tcW w:w="8794" w:type="dxa"/>
          </w:tcPr>
          <w:p w14:paraId="08F9CA01" w14:textId="77777777" w:rsidR="00996F27" w:rsidRPr="00380B40" w:rsidRDefault="00996F27" w:rsidP="009A0106">
            <w:pPr>
              <w:rPr>
                <w:lang w:val="en-GB"/>
              </w:rPr>
            </w:pPr>
            <w:r w:rsidRPr="00380B40">
              <w:rPr>
                <w:lang w:val="en-GB"/>
              </w:rPr>
              <w:t xml:space="preserve">Bradner, S., </w:t>
            </w:r>
            <w:r w:rsidRPr="00380B40">
              <w:rPr>
                <w:i/>
                <w:iCs/>
                <w:lang w:val="en-GB"/>
              </w:rPr>
              <w:t>IETF Working Group Guidelines and Procedures</w:t>
            </w:r>
            <w:r w:rsidRPr="00380B40">
              <w:rPr>
                <w:lang w:val="en-GB"/>
              </w:rPr>
              <w:t>, BCP 25, RFC 2418, September 1998.</w:t>
            </w:r>
          </w:p>
        </w:tc>
      </w:tr>
      <w:tr w:rsidR="00996F27" w:rsidRPr="004E0F36" w14:paraId="471489F8" w14:textId="77777777" w:rsidTr="00C91A38">
        <w:tc>
          <w:tcPr>
            <w:tcW w:w="835" w:type="dxa"/>
          </w:tcPr>
          <w:p w14:paraId="01473030" w14:textId="77777777" w:rsidR="00996F27" w:rsidRPr="00380B40" w:rsidRDefault="00996F27" w:rsidP="009A0106">
            <w:pPr>
              <w:rPr>
                <w:lang w:val="en-GB"/>
              </w:rPr>
            </w:pPr>
            <w:r w:rsidRPr="00380B40">
              <w:rPr>
                <w:lang w:val="en-GB"/>
              </w:rPr>
              <w:t>[13]</w:t>
            </w:r>
          </w:p>
        </w:tc>
        <w:tc>
          <w:tcPr>
            <w:tcW w:w="8794" w:type="dxa"/>
          </w:tcPr>
          <w:p w14:paraId="2310658D" w14:textId="77777777" w:rsidR="00996F27" w:rsidRPr="00380B40" w:rsidRDefault="00996F27" w:rsidP="009A0106">
            <w:pPr>
              <w:rPr>
                <w:lang w:val="en-GB"/>
              </w:rPr>
            </w:pPr>
            <w:r w:rsidRPr="00380B40">
              <w:rPr>
                <w:lang w:val="en-GB"/>
              </w:rPr>
              <w:t xml:space="preserve">Narten, T., </w:t>
            </w:r>
            <w:r w:rsidRPr="00380B40">
              <w:rPr>
                <w:i/>
                <w:iCs/>
                <w:lang w:val="en-GB"/>
              </w:rPr>
              <w:t>Considerations for Having a Successful Birds-of-a-Feather (BOF) Session</w:t>
            </w:r>
            <w:r w:rsidRPr="00380B40">
              <w:rPr>
                <w:lang w:val="en-GB"/>
              </w:rPr>
              <w:t>, RFC 5434, February 2009.</w:t>
            </w:r>
          </w:p>
        </w:tc>
      </w:tr>
      <w:tr w:rsidR="00996F27" w:rsidRPr="004E0F36" w14:paraId="33C879F5" w14:textId="77777777" w:rsidTr="00C91A38">
        <w:tc>
          <w:tcPr>
            <w:tcW w:w="835" w:type="dxa"/>
          </w:tcPr>
          <w:p w14:paraId="79FDD9D3" w14:textId="77777777" w:rsidR="00996F27" w:rsidRPr="00380B40" w:rsidRDefault="00996F27" w:rsidP="009A0106">
            <w:pPr>
              <w:rPr>
                <w:lang w:val="en-GB"/>
              </w:rPr>
            </w:pPr>
            <w:r w:rsidRPr="00380B40">
              <w:rPr>
                <w:lang w:val="en-GB"/>
              </w:rPr>
              <w:t>[14]</w:t>
            </w:r>
          </w:p>
        </w:tc>
        <w:tc>
          <w:tcPr>
            <w:tcW w:w="8794" w:type="dxa"/>
          </w:tcPr>
          <w:p w14:paraId="1A9A7D60" w14:textId="77777777" w:rsidR="00996F27" w:rsidRPr="00380B40" w:rsidRDefault="00996F27" w:rsidP="009A0106">
            <w:pPr>
              <w:rPr>
                <w:lang w:val="en-GB"/>
              </w:rPr>
            </w:pPr>
            <w:r w:rsidRPr="00380B40">
              <w:rPr>
                <w:lang w:val="en-GB"/>
              </w:rPr>
              <w:t xml:space="preserve">Alvestrand, H., </w:t>
            </w:r>
            <w:r w:rsidRPr="00380B40">
              <w:rPr>
                <w:i/>
                <w:iCs/>
                <w:lang w:val="en-GB"/>
              </w:rPr>
              <w:t>A Mission Statement for the IETF</w:t>
            </w:r>
            <w:r w:rsidRPr="00380B40">
              <w:rPr>
                <w:lang w:val="en-GB"/>
              </w:rPr>
              <w:t xml:space="preserve">, BCP 95, RFC 3935, October 2004. </w:t>
            </w:r>
          </w:p>
        </w:tc>
      </w:tr>
      <w:tr w:rsidR="00996F27" w:rsidRPr="004E0F36" w14:paraId="3E4D79C2" w14:textId="77777777" w:rsidTr="00C91A38">
        <w:tc>
          <w:tcPr>
            <w:tcW w:w="835" w:type="dxa"/>
          </w:tcPr>
          <w:p w14:paraId="2CFB7AAE" w14:textId="77777777" w:rsidR="00996F27" w:rsidRPr="00380B40" w:rsidRDefault="00996F27" w:rsidP="009A0106">
            <w:pPr>
              <w:rPr>
                <w:lang w:val="en-GB"/>
              </w:rPr>
            </w:pPr>
            <w:r w:rsidRPr="00380B40">
              <w:rPr>
                <w:lang w:val="en-GB"/>
              </w:rPr>
              <w:t>[15]</w:t>
            </w:r>
          </w:p>
        </w:tc>
        <w:tc>
          <w:tcPr>
            <w:tcW w:w="8794" w:type="dxa"/>
          </w:tcPr>
          <w:p w14:paraId="469E3469" w14:textId="77777777" w:rsidR="00996F27" w:rsidRPr="00380B40" w:rsidRDefault="00996F27" w:rsidP="009A0106">
            <w:pPr>
              <w:rPr>
                <w:lang w:val="en-GB"/>
              </w:rPr>
            </w:pPr>
            <w:r w:rsidRPr="00380B40">
              <w:rPr>
                <w:lang w:val="en-GB"/>
              </w:rPr>
              <w:t xml:space="preserve">Recommendation ITU-T A.1 (2008), </w:t>
            </w:r>
            <w:r w:rsidRPr="00380B40">
              <w:rPr>
                <w:i/>
                <w:iCs/>
                <w:lang w:val="en-GB"/>
              </w:rPr>
              <w:t>Work methods for study groups of the ITU Telecommunication Standardization Sector (ITU-T)</w:t>
            </w:r>
            <w:r w:rsidRPr="00380B40">
              <w:rPr>
                <w:lang w:val="en-GB"/>
              </w:rPr>
              <w:t>, International Telecommunication Union.</w:t>
            </w:r>
          </w:p>
        </w:tc>
      </w:tr>
      <w:tr w:rsidR="00996F27" w:rsidRPr="00380B40" w14:paraId="65CC8CE9" w14:textId="77777777" w:rsidTr="00C91A38">
        <w:tc>
          <w:tcPr>
            <w:tcW w:w="835" w:type="dxa"/>
          </w:tcPr>
          <w:p w14:paraId="3D44EA9B" w14:textId="77777777" w:rsidR="00996F27" w:rsidRPr="00380B40" w:rsidRDefault="00996F27" w:rsidP="009A0106">
            <w:pPr>
              <w:rPr>
                <w:lang w:val="en-GB"/>
              </w:rPr>
            </w:pPr>
            <w:r w:rsidRPr="00380B40">
              <w:rPr>
                <w:lang w:val="en-GB"/>
              </w:rPr>
              <w:t>[16]</w:t>
            </w:r>
          </w:p>
        </w:tc>
        <w:tc>
          <w:tcPr>
            <w:tcW w:w="8794" w:type="dxa"/>
          </w:tcPr>
          <w:p w14:paraId="17E92210" w14:textId="77777777" w:rsidR="00996F27" w:rsidRPr="00380B40" w:rsidRDefault="00996F27" w:rsidP="009A0106">
            <w:pPr>
              <w:rPr>
                <w:lang w:val="en-GB"/>
              </w:rPr>
            </w:pPr>
            <w:r w:rsidRPr="00380B40">
              <w:rPr>
                <w:lang w:val="en-GB"/>
              </w:rPr>
              <w:t xml:space="preserve">Recommendation ITU-T A.2 (2008), </w:t>
            </w:r>
            <w:r w:rsidRPr="00380B40">
              <w:rPr>
                <w:i/>
                <w:iCs/>
                <w:lang w:val="en-GB"/>
              </w:rPr>
              <w:t>Presentation of contributions to the ITU-T</w:t>
            </w:r>
            <w:r w:rsidRPr="00380B40">
              <w:rPr>
                <w:lang w:val="en-GB"/>
              </w:rPr>
              <w:t>, International Telecommunication Union.</w:t>
            </w:r>
          </w:p>
        </w:tc>
      </w:tr>
      <w:tr w:rsidR="00996F27" w:rsidRPr="004E0F36" w14:paraId="732E7177" w14:textId="77777777" w:rsidTr="00C91A38">
        <w:tc>
          <w:tcPr>
            <w:tcW w:w="835" w:type="dxa"/>
          </w:tcPr>
          <w:p w14:paraId="7346C353" w14:textId="77777777" w:rsidR="00996F27" w:rsidRPr="00380B40" w:rsidRDefault="00996F27" w:rsidP="009A0106">
            <w:pPr>
              <w:rPr>
                <w:lang w:val="en-GB"/>
              </w:rPr>
            </w:pPr>
            <w:r w:rsidRPr="00380B40">
              <w:rPr>
                <w:lang w:val="en-GB"/>
              </w:rPr>
              <w:t>[17]</w:t>
            </w:r>
          </w:p>
        </w:tc>
        <w:tc>
          <w:tcPr>
            <w:tcW w:w="8794" w:type="dxa"/>
          </w:tcPr>
          <w:p w14:paraId="7CC02A94" w14:textId="77777777" w:rsidR="00996F27" w:rsidRPr="00380B40" w:rsidRDefault="00996F27" w:rsidP="009A0106">
            <w:pPr>
              <w:rPr>
                <w:lang w:val="en-GB"/>
              </w:rPr>
            </w:pPr>
            <w:r w:rsidRPr="00380B40">
              <w:rPr>
                <w:lang w:val="en-GB"/>
              </w:rPr>
              <w:t xml:space="preserve">Recommendation ITU-T A.7 (2008), </w:t>
            </w:r>
            <w:r w:rsidRPr="00380B40">
              <w:rPr>
                <w:i/>
                <w:iCs/>
                <w:lang w:val="en-GB"/>
              </w:rPr>
              <w:t>Focus groups: Working methods and procedures</w:t>
            </w:r>
            <w:r w:rsidRPr="00380B40">
              <w:rPr>
                <w:lang w:val="en-GB"/>
              </w:rPr>
              <w:t>, International Telecommunication Union.</w:t>
            </w:r>
          </w:p>
        </w:tc>
      </w:tr>
      <w:tr w:rsidR="00996F27" w:rsidRPr="004E0F36" w14:paraId="7736B942" w14:textId="77777777" w:rsidTr="00C91A38">
        <w:tc>
          <w:tcPr>
            <w:tcW w:w="835" w:type="dxa"/>
          </w:tcPr>
          <w:p w14:paraId="57C3CC41" w14:textId="77777777" w:rsidR="00996F27" w:rsidRPr="00380B40" w:rsidRDefault="00996F27" w:rsidP="009A0106">
            <w:pPr>
              <w:rPr>
                <w:lang w:val="en-GB"/>
              </w:rPr>
            </w:pPr>
            <w:r w:rsidRPr="00380B40">
              <w:rPr>
                <w:lang w:val="en-GB"/>
              </w:rPr>
              <w:t>[18]</w:t>
            </w:r>
          </w:p>
        </w:tc>
        <w:tc>
          <w:tcPr>
            <w:tcW w:w="8794" w:type="dxa"/>
          </w:tcPr>
          <w:p w14:paraId="0D7FB45B" w14:textId="77777777" w:rsidR="00996F27" w:rsidRPr="00380B40" w:rsidRDefault="00996F27" w:rsidP="009A0106">
            <w:pPr>
              <w:rPr>
                <w:lang w:val="en-GB"/>
              </w:rPr>
            </w:pPr>
            <w:r w:rsidRPr="00380B40">
              <w:rPr>
                <w:lang w:val="en-GB"/>
              </w:rPr>
              <w:t xml:space="preserve">Recommendation ITU-T A.8 (2008), </w:t>
            </w:r>
            <w:r w:rsidRPr="00380B40">
              <w:rPr>
                <w:i/>
                <w:iCs/>
                <w:lang w:val="en-GB"/>
              </w:rPr>
              <w:t>Alternative approval process for new and revised ITU-T Recommendations</w:t>
            </w:r>
            <w:r w:rsidRPr="00380B40">
              <w:rPr>
                <w:lang w:val="en-GB"/>
              </w:rPr>
              <w:t>, International Telecommunication Union.</w:t>
            </w:r>
          </w:p>
        </w:tc>
      </w:tr>
    </w:tbl>
    <w:p w14:paraId="096E0DA5" w14:textId="77777777" w:rsidR="007D3773" w:rsidRPr="00380B40" w:rsidRDefault="007D3773" w:rsidP="008C3E8D">
      <w:pPr>
        <w:pStyle w:val="Reftext"/>
        <w:rPr>
          <w:lang w:val="en-GB"/>
        </w:rPr>
      </w:pPr>
    </w:p>
    <w:p w14:paraId="5E0E1F5F" w14:textId="77777777" w:rsidR="001930D2" w:rsidRPr="00380B40" w:rsidRDefault="001930D2" w:rsidP="008C3E8D">
      <w:pPr>
        <w:pStyle w:val="Reftext"/>
        <w:rPr>
          <w:lang w:val="en-GB"/>
        </w:rPr>
      </w:pPr>
    </w:p>
    <w:p w14:paraId="5ED674B3" w14:textId="77777777" w:rsidR="001930D2" w:rsidRPr="00380B40" w:rsidRDefault="001930D2" w:rsidP="008C3E8D">
      <w:pPr>
        <w:pStyle w:val="Reftext"/>
        <w:rPr>
          <w:lang w:val="en-GB"/>
        </w:rPr>
      </w:pPr>
    </w:p>
    <w:p w14:paraId="6447D429" w14:textId="77777777" w:rsidR="001930D2" w:rsidRPr="00380B40" w:rsidRDefault="001930D2" w:rsidP="008C3E8D">
      <w:pPr>
        <w:pStyle w:val="Reftext"/>
        <w:rPr>
          <w:lang w:val="en-GB"/>
        </w:rPr>
      </w:pPr>
    </w:p>
    <w:p w14:paraId="32A320A2" w14:textId="77777777" w:rsidR="007D3773" w:rsidRPr="00380B40" w:rsidRDefault="007D3773" w:rsidP="008C3E8D">
      <w:pPr>
        <w:pStyle w:val="Reftext"/>
        <w:rPr>
          <w:lang w:val="en-GB"/>
        </w:rPr>
      </w:pPr>
    </w:p>
    <w:p w14:paraId="3727A45E" w14:textId="77777777" w:rsidR="007E52B2" w:rsidRPr="00380B40" w:rsidRDefault="007E52B2"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06D988DD" w14:textId="77777777" w:rsidR="007E52B2" w:rsidRPr="00380B40" w:rsidRDefault="007E52B2" w:rsidP="008C3E8D">
      <w:pPr>
        <w:rPr>
          <w:lang w:val="en-GB"/>
        </w:rPr>
        <w:sectPr w:rsidR="007E52B2" w:rsidRPr="00380B40" w:rsidSect="00F64BAE">
          <w:headerReference w:type="even" r:id="rId487"/>
          <w:headerReference w:type="default" r:id="rId488"/>
          <w:footerReference w:type="even" r:id="rId489"/>
          <w:footerReference w:type="default" r:id="rId490"/>
          <w:headerReference w:type="first" r:id="rId491"/>
          <w:pgSz w:w="11907" w:h="16834" w:code="9"/>
          <w:pgMar w:top="1134" w:right="1134" w:bottom="1134" w:left="1134" w:header="567" w:footer="567" w:gutter="0"/>
          <w:paperSrc w:first="261" w:other="261"/>
          <w:cols w:space="720"/>
          <w:vAlign w:val="both"/>
          <w:docGrid w:linePitch="326"/>
        </w:sectPr>
      </w:pPr>
    </w:p>
    <w:p w14:paraId="62642A2D" w14:textId="77777777" w:rsidR="007E52B2" w:rsidRPr="00380B40" w:rsidRDefault="007E52B2" w:rsidP="008C3E8D">
      <w:pPr>
        <w:pStyle w:val="RecNo"/>
        <w:rPr>
          <w:lang w:val="en-GB"/>
        </w:rPr>
      </w:pPr>
      <w:bookmarkStart w:id="2196" w:name="_Toc104459842"/>
      <w:bookmarkStart w:id="2197" w:name="_Toc111637117"/>
      <w:bookmarkStart w:id="2198" w:name="_Toc111638552"/>
      <w:r w:rsidRPr="00380B40">
        <w:rPr>
          <w:lang w:val="en-GB"/>
        </w:rPr>
        <w:t>Supplement </w:t>
      </w:r>
      <w:r w:rsidRPr="00380B40">
        <w:rPr>
          <w:rStyle w:val="href"/>
          <w:lang w:val="en-GB"/>
        </w:rPr>
        <w:t>4</w:t>
      </w:r>
      <w:r w:rsidRPr="00380B40">
        <w:rPr>
          <w:lang w:val="en-GB"/>
        </w:rPr>
        <w:t xml:space="preserve"> to ITU-T A-series Recommendations</w:t>
      </w:r>
      <w:bookmarkEnd w:id="2196"/>
      <w:bookmarkEnd w:id="2197"/>
      <w:bookmarkEnd w:id="2198"/>
    </w:p>
    <w:p w14:paraId="37B2DA6A" w14:textId="77777777" w:rsidR="00523689" w:rsidRPr="00380B40" w:rsidRDefault="00523689" w:rsidP="00523689">
      <w:pPr>
        <w:pStyle w:val="Rectitle"/>
        <w:rPr>
          <w:lang w:val="en-GB"/>
        </w:rPr>
      </w:pPr>
      <w:bookmarkStart w:id="2199" w:name="_Toc104459843"/>
      <w:bookmarkStart w:id="2200" w:name="_Toc111638553"/>
      <w:r w:rsidRPr="00380B40">
        <w:rPr>
          <w:lang w:val="en-GB"/>
        </w:rPr>
        <w:t>Supplement on guidelines for remote participation</w:t>
      </w:r>
      <w:bookmarkEnd w:id="2199"/>
      <w:bookmarkEnd w:id="2200"/>
    </w:p>
    <w:p w14:paraId="6371D4B8" w14:textId="77777777" w:rsidR="00523689" w:rsidRPr="00380B40" w:rsidRDefault="00523689" w:rsidP="00523689">
      <w:pPr>
        <w:pStyle w:val="Heading1"/>
        <w:rPr>
          <w:lang w:val="en-GB"/>
        </w:rPr>
      </w:pPr>
      <w:bookmarkStart w:id="2201" w:name="_Toc426721602"/>
      <w:bookmarkStart w:id="2202" w:name="_Toc427160623"/>
      <w:bookmarkStart w:id="2203" w:name="_Toc111637118"/>
      <w:r w:rsidRPr="00380B40">
        <w:rPr>
          <w:lang w:val="en-GB"/>
        </w:rPr>
        <w:t>1</w:t>
      </w:r>
      <w:r w:rsidRPr="00380B40">
        <w:rPr>
          <w:lang w:val="en-GB"/>
        </w:rPr>
        <w:tab/>
        <w:t>Scope</w:t>
      </w:r>
      <w:bookmarkEnd w:id="2201"/>
      <w:bookmarkEnd w:id="2202"/>
      <w:bookmarkEnd w:id="2203"/>
    </w:p>
    <w:p w14:paraId="20FA8A3C" w14:textId="77777777" w:rsidR="00523689" w:rsidRPr="00380B40" w:rsidRDefault="00523689" w:rsidP="00523689">
      <w:pPr>
        <w:rPr>
          <w:lang w:val="en-GB"/>
        </w:rPr>
      </w:pPr>
      <w:r w:rsidRPr="00380B40">
        <w:rPr>
          <w:lang w:val="en-GB"/>
        </w:rPr>
        <w:t>Well-documented rules and procedures, including the legal aspects, are useful for electronic meetings of ITU-T groups. ITU-T groups include, but are not limited to, TSAG, study groups, working parties, Questions or Rapporteur groups, focus groups, Joint Coordination Activities (JCAs), correspondence groups, ad hoc groups, regional groups and the Review Committee.</w:t>
      </w:r>
    </w:p>
    <w:p w14:paraId="4695EF25" w14:textId="77777777" w:rsidR="00523689" w:rsidRPr="00380B40" w:rsidRDefault="00523689" w:rsidP="00523689">
      <w:pPr>
        <w:rPr>
          <w:szCs w:val="24"/>
          <w:lang w:val="en-GB"/>
        </w:rPr>
      </w:pPr>
      <w:r w:rsidRPr="00380B40">
        <w:rPr>
          <w:szCs w:val="24"/>
          <w:lang w:val="en-GB"/>
        </w:rPr>
        <w:t>Meetings of ITU-T groups may be conducted in the following formats:</w:t>
      </w:r>
    </w:p>
    <w:p w14:paraId="010445FF" w14:textId="77777777" w:rsidR="00523689" w:rsidRPr="00380B40" w:rsidRDefault="00523689" w:rsidP="00523689">
      <w:pPr>
        <w:pStyle w:val="enumlev1"/>
        <w:rPr>
          <w:lang w:val="en-GB"/>
        </w:rPr>
      </w:pPr>
      <w:r w:rsidRPr="00380B40">
        <w:rPr>
          <w:lang w:val="en-GB"/>
        </w:rPr>
        <w:t>•</w:t>
      </w:r>
      <w:r w:rsidRPr="00380B40">
        <w:rPr>
          <w:lang w:val="en-GB"/>
        </w:rPr>
        <w:tab/>
        <w:t>physical meetings (face-to-face);</w:t>
      </w:r>
    </w:p>
    <w:p w14:paraId="1BFDFC2A" w14:textId="77777777" w:rsidR="00523689" w:rsidRPr="00380B40" w:rsidRDefault="00523689" w:rsidP="00523689">
      <w:pPr>
        <w:pStyle w:val="enumlev1"/>
        <w:rPr>
          <w:lang w:val="en-GB"/>
        </w:rPr>
      </w:pPr>
      <w:r w:rsidRPr="00380B40">
        <w:rPr>
          <w:lang w:val="en-GB"/>
        </w:rPr>
        <w:t>•</w:t>
      </w:r>
      <w:r w:rsidRPr="00380B40">
        <w:rPr>
          <w:lang w:val="en-GB"/>
        </w:rPr>
        <w:tab/>
        <w:t>physical meetings with remote observation (i.e., webcast);</w:t>
      </w:r>
    </w:p>
    <w:p w14:paraId="79BF9765" w14:textId="77777777" w:rsidR="00523689" w:rsidRPr="00380B40" w:rsidRDefault="00523689" w:rsidP="00523689">
      <w:pPr>
        <w:pStyle w:val="enumlev1"/>
        <w:rPr>
          <w:lang w:val="en-GB"/>
        </w:rPr>
      </w:pPr>
      <w:r w:rsidRPr="00380B40">
        <w:rPr>
          <w:lang w:val="en-GB"/>
        </w:rPr>
        <w:t>•</w:t>
      </w:r>
      <w:r w:rsidRPr="00380B40">
        <w:rPr>
          <w:lang w:val="en-GB"/>
        </w:rPr>
        <w:tab/>
        <w:t>physical meetings with (active) remote participation;</w:t>
      </w:r>
    </w:p>
    <w:p w14:paraId="461FF59D" w14:textId="77777777" w:rsidR="00523689" w:rsidRPr="00380B40" w:rsidRDefault="00523689" w:rsidP="00523689">
      <w:pPr>
        <w:pStyle w:val="enumlev1"/>
        <w:rPr>
          <w:lang w:val="en-GB"/>
        </w:rPr>
      </w:pPr>
      <w:r w:rsidRPr="00380B40">
        <w:rPr>
          <w:lang w:val="en-GB"/>
        </w:rPr>
        <w:t>•</w:t>
      </w:r>
      <w:r w:rsidRPr="00380B40">
        <w:rPr>
          <w:lang w:val="en-GB"/>
        </w:rPr>
        <w:tab/>
        <w:t>e-meetings, also called virtual meetings.</w:t>
      </w:r>
    </w:p>
    <w:p w14:paraId="531E6A44" w14:textId="77777777" w:rsidR="00523689" w:rsidRPr="00380B40" w:rsidRDefault="00523689" w:rsidP="00523689">
      <w:pPr>
        <w:rPr>
          <w:lang w:val="en-GB"/>
        </w:rPr>
      </w:pPr>
      <w:r w:rsidRPr="00380B40">
        <w:rPr>
          <w:lang w:val="en-GB"/>
        </w:rPr>
        <w:t xml:space="preserve">The same format may not apply to all sessions of a given meeting. This </w:t>
      </w:r>
      <w:r w:rsidRPr="00380B40">
        <w:rPr>
          <w:rFonts w:eastAsia="MS Mincho"/>
          <w:lang w:val="en-GB" w:eastAsia="ja-JP"/>
        </w:rPr>
        <w:t>Supplement</w:t>
      </w:r>
      <w:r w:rsidRPr="00380B40">
        <w:rPr>
          <w:lang w:val="en-GB"/>
        </w:rPr>
        <w:t xml:space="preserve"> provides guidelines for physical meetings with active remote participation and e-meetings. The meeting format (see clause 6.4) to be used for any given meeting or meeting session is beyond the scope of this </w:t>
      </w:r>
      <w:r w:rsidRPr="00380B40">
        <w:rPr>
          <w:rFonts w:eastAsia="MS Mincho"/>
          <w:lang w:val="en-GB" w:eastAsia="ja-JP"/>
        </w:rPr>
        <w:t>Supplement</w:t>
      </w:r>
      <w:r w:rsidRPr="00380B40">
        <w:rPr>
          <w:lang w:val="en-GB"/>
        </w:rPr>
        <w:t>.</w:t>
      </w:r>
    </w:p>
    <w:p w14:paraId="50DF9190" w14:textId="77777777" w:rsidR="00523689" w:rsidRPr="00380B40" w:rsidRDefault="00523689" w:rsidP="00523689">
      <w:pPr>
        <w:pStyle w:val="Heading1"/>
        <w:rPr>
          <w:lang w:val="en-GB"/>
        </w:rPr>
      </w:pPr>
      <w:bookmarkStart w:id="2204" w:name="_Toc426721603"/>
      <w:bookmarkStart w:id="2205" w:name="_Toc427160624"/>
      <w:bookmarkStart w:id="2206" w:name="_Toc111637119"/>
      <w:r w:rsidRPr="00380B40">
        <w:rPr>
          <w:lang w:val="en-GB"/>
        </w:rPr>
        <w:t>2</w:t>
      </w:r>
      <w:r w:rsidRPr="00380B40">
        <w:rPr>
          <w:lang w:val="en-GB"/>
        </w:rPr>
        <w:tab/>
        <w:t>References</w:t>
      </w:r>
      <w:bookmarkEnd w:id="2204"/>
      <w:bookmarkEnd w:id="2205"/>
      <w:bookmarkEnd w:id="220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7231"/>
      </w:tblGrid>
      <w:tr w:rsidR="00F64BAE" w:rsidRPr="004E0F36" w14:paraId="47E18FE6" w14:textId="77777777" w:rsidTr="00C91A38">
        <w:tc>
          <w:tcPr>
            <w:tcW w:w="1249" w:type="pct"/>
          </w:tcPr>
          <w:p w14:paraId="2BE01981" w14:textId="77777777" w:rsidR="00F64BAE" w:rsidRPr="00380B40" w:rsidRDefault="00F64BAE" w:rsidP="004E4CA9">
            <w:pPr>
              <w:jc w:val="left"/>
              <w:rPr>
                <w:lang w:val="en-GB"/>
              </w:rPr>
            </w:pPr>
            <w:r w:rsidRPr="00380B40">
              <w:rPr>
                <w:lang w:val="en-GB"/>
              </w:rPr>
              <w:t>[FSTP-AM]</w:t>
            </w:r>
          </w:p>
        </w:tc>
        <w:tc>
          <w:tcPr>
            <w:tcW w:w="3751" w:type="pct"/>
          </w:tcPr>
          <w:p w14:paraId="4F3F3BAF" w14:textId="77777777" w:rsidR="00F64BAE" w:rsidRPr="00380B40" w:rsidRDefault="00F64BAE" w:rsidP="004E4CA9">
            <w:pPr>
              <w:jc w:val="left"/>
              <w:rPr>
                <w:lang w:val="en-GB"/>
              </w:rPr>
            </w:pPr>
            <w:r w:rsidRPr="00380B40">
              <w:rPr>
                <w:lang w:val="en-GB"/>
              </w:rPr>
              <w:t>Guidelines for accessible meetings, ITU-T Q26/16.</w:t>
            </w:r>
            <w:r w:rsidRPr="00380B40">
              <w:rPr>
                <w:lang w:val="en-GB"/>
              </w:rPr>
              <w:br/>
              <w:t>&lt;</w:t>
            </w:r>
            <w:hyperlink r:id="rId492" w:history="1">
              <w:r w:rsidR="00D55E8F" w:rsidRPr="00380B40">
                <w:rPr>
                  <w:rStyle w:val="Hyperlink"/>
                  <w:lang w:val="en-GB"/>
                </w:rPr>
                <w:t>http://www.itu.int/md/T13-SG16-150209-TD-WP2-0367/en</w:t>
              </w:r>
            </w:hyperlink>
            <w:r w:rsidRPr="00380B40">
              <w:rPr>
                <w:lang w:val="en-GB"/>
              </w:rPr>
              <w:t>&gt;</w:t>
            </w:r>
          </w:p>
        </w:tc>
      </w:tr>
      <w:tr w:rsidR="00F64BAE" w:rsidRPr="004E0F36" w14:paraId="327DFC2B" w14:textId="77777777" w:rsidTr="00C91A38">
        <w:tc>
          <w:tcPr>
            <w:tcW w:w="1249" w:type="pct"/>
          </w:tcPr>
          <w:p w14:paraId="335A56E7" w14:textId="77777777" w:rsidR="00F64BAE" w:rsidRPr="00380B40" w:rsidRDefault="00F64BAE" w:rsidP="004E4CA9">
            <w:pPr>
              <w:jc w:val="left"/>
              <w:rPr>
                <w:lang w:val="en-GB"/>
              </w:rPr>
            </w:pPr>
            <w:r w:rsidRPr="00380B40">
              <w:rPr>
                <w:lang w:val="en-GB"/>
              </w:rPr>
              <w:t>[HSTP.ACC-RemPart]</w:t>
            </w:r>
          </w:p>
        </w:tc>
        <w:tc>
          <w:tcPr>
            <w:tcW w:w="3751" w:type="pct"/>
          </w:tcPr>
          <w:p w14:paraId="2BC4A86C" w14:textId="77777777" w:rsidR="00F64BAE" w:rsidRPr="00380B40" w:rsidRDefault="00F64BAE" w:rsidP="004E4CA9">
            <w:pPr>
              <w:jc w:val="left"/>
              <w:rPr>
                <w:lang w:val="en-GB"/>
              </w:rPr>
            </w:pPr>
            <w:r w:rsidRPr="00380B40">
              <w:rPr>
                <w:szCs w:val="24"/>
                <w:lang w:val="en-GB"/>
              </w:rPr>
              <w:t xml:space="preserve">Guidelines </w:t>
            </w:r>
            <w:r w:rsidRPr="00380B40">
              <w:rPr>
                <w:lang w:val="en-GB"/>
              </w:rPr>
              <w:t>for supporting remote participation in meetings for all, ITU</w:t>
            </w:r>
            <w:r w:rsidRPr="00380B40">
              <w:rPr>
                <w:lang w:val="en-GB"/>
              </w:rPr>
              <w:noBreakHyphen/>
              <w:t>T Q26/16.</w:t>
            </w:r>
            <w:r w:rsidRPr="00380B40">
              <w:rPr>
                <w:lang w:val="en-GB"/>
              </w:rPr>
              <w:br/>
              <w:t>&lt;</w:t>
            </w:r>
            <w:hyperlink r:id="rId493" w:history="1">
              <w:r w:rsidR="00D55E8F" w:rsidRPr="00380B40">
                <w:rPr>
                  <w:rStyle w:val="Hyperlink"/>
                  <w:lang w:val="en-GB"/>
                </w:rPr>
                <w:t>http://www.itu.int/md/T13-SG16-150209-TD-WP2-0365/en</w:t>
              </w:r>
            </w:hyperlink>
            <w:r w:rsidRPr="00380B40">
              <w:rPr>
                <w:lang w:val="en-GB"/>
              </w:rPr>
              <w:t>&gt;</w:t>
            </w:r>
          </w:p>
        </w:tc>
      </w:tr>
      <w:tr w:rsidR="00F64BAE" w:rsidRPr="004E0F36" w14:paraId="2E780067" w14:textId="77777777" w:rsidTr="00C91A38">
        <w:tc>
          <w:tcPr>
            <w:tcW w:w="1249" w:type="pct"/>
          </w:tcPr>
          <w:p w14:paraId="263FDBA8" w14:textId="77777777" w:rsidR="00F64BAE" w:rsidRPr="00380B40" w:rsidRDefault="00F64BAE" w:rsidP="004E4CA9">
            <w:pPr>
              <w:jc w:val="left"/>
              <w:rPr>
                <w:lang w:val="en-GB"/>
              </w:rPr>
            </w:pPr>
            <w:r w:rsidRPr="00380B40">
              <w:rPr>
                <w:lang w:val="en-GB"/>
              </w:rPr>
              <w:t>[PP GR]</w:t>
            </w:r>
          </w:p>
        </w:tc>
        <w:tc>
          <w:tcPr>
            <w:tcW w:w="3751" w:type="pct"/>
          </w:tcPr>
          <w:p w14:paraId="7ADA944B" w14:textId="77777777" w:rsidR="00F64BAE" w:rsidRPr="00380B40" w:rsidRDefault="00F64BAE" w:rsidP="004E4CA9">
            <w:pPr>
              <w:jc w:val="left"/>
              <w:rPr>
                <w:lang w:val="en-GB"/>
              </w:rPr>
            </w:pPr>
            <w:r w:rsidRPr="00380B40">
              <w:rPr>
                <w:lang w:val="en-GB"/>
              </w:rPr>
              <w:t>Plenipotentiary Conference, General Rules of conferences, assemblies and meetings of the Union (Rev. Guadalajara, 2010).</w:t>
            </w:r>
            <w:r w:rsidRPr="00380B40">
              <w:rPr>
                <w:lang w:val="en-GB"/>
              </w:rPr>
              <w:br/>
              <w:t>&lt;</w:t>
            </w:r>
            <w:hyperlink r:id="rId494" w:history="1">
              <w:r w:rsidR="00D55E8F" w:rsidRPr="00380B40">
                <w:rPr>
                  <w:rStyle w:val="Hyperlink"/>
                  <w:lang w:val="en-GB"/>
                </w:rPr>
                <w:t>http://www.itu.int/net/about/basic-texts/rules.aspx</w:t>
              </w:r>
            </w:hyperlink>
            <w:r w:rsidRPr="00380B40">
              <w:rPr>
                <w:lang w:val="en-GB"/>
              </w:rPr>
              <w:t>&gt;</w:t>
            </w:r>
          </w:p>
        </w:tc>
      </w:tr>
      <w:tr w:rsidR="00F64BAE" w:rsidRPr="004E0F36" w14:paraId="558A21E6" w14:textId="77777777" w:rsidTr="00C91A38">
        <w:tc>
          <w:tcPr>
            <w:tcW w:w="1249" w:type="pct"/>
          </w:tcPr>
          <w:p w14:paraId="4CB42C56" w14:textId="77777777" w:rsidR="00F64BAE" w:rsidRPr="00380B40" w:rsidRDefault="00F64BAE" w:rsidP="004E4CA9">
            <w:pPr>
              <w:jc w:val="left"/>
              <w:rPr>
                <w:lang w:val="en-GB"/>
              </w:rPr>
            </w:pPr>
            <w:r w:rsidRPr="00380B40">
              <w:rPr>
                <w:lang w:val="en-GB"/>
              </w:rPr>
              <w:t>[PP Res.167]</w:t>
            </w:r>
          </w:p>
        </w:tc>
        <w:tc>
          <w:tcPr>
            <w:tcW w:w="3751" w:type="pct"/>
          </w:tcPr>
          <w:p w14:paraId="3715AC92" w14:textId="77777777" w:rsidR="00F64BAE" w:rsidRPr="00380B40" w:rsidRDefault="009B463F" w:rsidP="004E4CA9">
            <w:pPr>
              <w:jc w:val="left"/>
              <w:rPr>
                <w:lang w:val="en-GB"/>
              </w:rPr>
            </w:pPr>
            <w:r w:rsidRPr="00380B40">
              <w:rPr>
                <w:lang w:val="en-GB"/>
              </w:rPr>
              <w:t xml:space="preserve">Plenipotentiary Conference, Resolution 167 (Rev. Busan, 2014), </w:t>
            </w:r>
            <w:r w:rsidRPr="00380B40">
              <w:rPr>
                <w:iCs/>
                <w:lang w:val="en-GB"/>
              </w:rPr>
              <w:t>Strengthening and developing ITU capabilities for electronic meetings and means to advance the work of the Union</w:t>
            </w:r>
            <w:r w:rsidRPr="00380B40">
              <w:rPr>
                <w:lang w:val="en-GB"/>
              </w:rPr>
              <w:t>.</w:t>
            </w:r>
            <w:r w:rsidRPr="00380B40">
              <w:rPr>
                <w:lang w:val="en-GB"/>
              </w:rPr>
              <w:br/>
              <w:t>&lt;</w:t>
            </w:r>
            <w:hyperlink r:id="rId495" w:history="1">
              <w:r w:rsidR="00D55E8F" w:rsidRPr="00380B40">
                <w:rPr>
                  <w:rStyle w:val="Hyperlink"/>
                  <w:lang w:val="en-GB"/>
                </w:rPr>
                <w:t>http://www.itu.int/dms_pub/itu-s/opb/conf/S-CONF-ACTF-2014-PDF-E.pdf</w:t>
              </w:r>
            </w:hyperlink>
            <w:r w:rsidRPr="00380B40">
              <w:rPr>
                <w:lang w:val="en-GB"/>
              </w:rPr>
              <w:t>&gt;</w:t>
            </w:r>
          </w:p>
        </w:tc>
      </w:tr>
      <w:tr w:rsidR="00F64BAE" w:rsidRPr="00380B40" w14:paraId="28BB5D39" w14:textId="77777777" w:rsidTr="00C91A38">
        <w:tc>
          <w:tcPr>
            <w:tcW w:w="1249" w:type="pct"/>
          </w:tcPr>
          <w:p w14:paraId="2F434B9F" w14:textId="77777777" w:rsidR="00F64BAE" w:rsidRPr="00380B40" w:rsidRDefault="00F64BAE" w:rsidP="004E4CA9">
            <w:pPr>
              <w:jc w:val="left"/>
              <w:rPr>
                <w:lang w:val="en-GB"/>
              </w:rPr>
            </w:pPr>
            <w:r w:rsidRPr="00380B40">
              <w:rPr>
                <w:lang w:val="en-GB"/>
              </w:rPr>
              <w:t>[WTSA Res.32]</w:t>
            </w:r>
          </w:p>
        </w:tc>
        <w:tc>
          <w:tcPr>
            <w:tcW w:w="3751" w:type="pct"/>
          </w:tcPr>
          <w:p w14:paraId="43B8EF26" w14:textId="77777777" w:rsidR="00F64BAE" w:rsidRPr="00380B40" w:rsidRDefault="009B463F" w:rsidP="004E4CA9">
            <w:pPr>
              <w:jc w:val="left"/>
              <w:rPr>
                <w:lang w:val="en-GB"/>
              </w:rPr>
            </w:pPr>
            <w:r w:rsidRPr="00380B40">
              <w:rPr>
                <w:lang w:val="en-GB"/>
              </w:rPr>
              <w:t>World Telecommunication Standardization Assembly, Resolution 32 (Rev. Dubai, 2012), Strengthening electronic working methods for the work of the ITU Telecommunication Standardization Sector.</w:t>
            </w:r>
            <w:r w:rsidRPr="00380B40">
              <w:rPr>
                <w:lang w:val="en-GB"/>
              </w:rPr>
              <w:br/>
              <w:t>&lt;</w:t>
            </w:r>
            <w:hyperlink r:id="rId496" w:history="1">
              <w:r w:rsidR="00D55E8F" w:rsidRPr="00380B40">
                <w:rPr>
                  <w:rStyle w:val="Hyperlink"/>
                  <w:lang w:val="en-GB"/>
                </w:rPr>
                <w:t>http://www.itu.int/pub/T-RES-T.32-2012</w:t>
              </w:r>
            </w:hyperlink>
            <w:r w:rsidRPr="00380B40">
              <w:rPr>
                <w:lang w:val="en-GB"/>
              </w:rPr>
              <w:t>&gt;</w:t>
            </w:r>
          </w:p>
        </w:tc>
      </w:tr>
    </w:tbl>
    <w:p w14:paraId="36F41412" w14:textId="77777777" w:rsidR="009B463F" w:rsidRPr="00380B40" w:rsidRDefault="009B463F" w:rsidP="009B463F">
      <w:pPr>
        <w:rPr>
          <w:lang w:val="en-GB"/>
        </w:rPr>
      </w:pPr>
    </w:p>
    <w:p w14:paraId="4CB2D180" w14:textId="77777777" w:rsidR="009B463F" w:rsidRPr="00380B40" w:rsidRDefault="009B463F" w:rsidP="009B463F">
      <w:pPr>
        <w:rPr>
          <w:lang w:val="en-GB"/>
        </w:rPr>
      </w:pPr>
      <w:r w:rsidRPr="00380B40">
        <w:rPr>
          <w:lang w:val="en-GB"/>
        </w:rPr>
        <w:br w:type="page"/>
      </w:r>
    </w:p>
    <w:p w14:paraId="031C08F9" w14:textId="77777777" w:rsidR="00523689" w:rsidRPr="00380B40" w:rsidRDefault="00523689" w:rsidP="00523689">
      <w:pPr>
        <w:pStyle w:val="Heading1"/>
        <w:rPr>
          <w:lang w:val="en-GB"/>
        </w:rPr>
      </w:pPr>
      <w:bookmarkStart w:id="2207" w:name="_Toc426721604"/>
      <w:bookmarkStart w:id="2208" w:name="_Toc427160625"/>
      <w:bookmarkStart w:id="2209" w:name="_Toc111637120"/>
      <w:r w:rsidRPr="00380B40">
        <w:rPr>
          <w:lang w:val="en-GB"/>
        </w:rPr>
        <w:t>3</w:t>
      </w:r>
      <w:r w:rsidRPr="00380B40">
        <w:rPr>
          <w:lang w:val="en-GB"/>
        </w:rPr>
        <w:tab/>
        <w:t>Definitions</w:t>
      </w:r>
      <w:bookmarkEnd w:id="2207"/>
      <w:bookmarkEnd w:id="2208"/>
      <w:bookmarkEnd w:id="2209"/>
    </w:p>
    <w:p w14:paraId="6590FA64" w14:textId="77777777" w:rsidR="00523689" w:rsidRPr="00380B40" w:rsidRDefault="00523689" w:rsidP="00523689">
      <w:pPr>
        <w:pStyle w:val="Heading2"/>
        <w:rPr>
          <w:lang w:val="en-GB"/>
        </w:rPr>
      </w:pPr>
      <w:bookmarkStart w:id="2210" w:name="_Toc426721605"/>
      <w:bookmarkStart w:id="2211" w:name="_Toc427160626"/>
      <w:bookmarkStart w:id="2212" w:name="_Toc111637121"/>
      <w:r w:rsidRPr="00380B40">
        <w:rPr>
          <w:lang w:val="en-GB"/>
        </w:rPr>
        <w:t>3.1</w:t>
      </w:r>
      <w:r w:rsidRPr="00380B40">
        <w:rPr>
          <w:lang w:val="en-GB"/>
        </w:rPr>
        <w:tab/>
        <w:t>Terms defined elsewhere</w:t>
      </w:r>
      <w:bookmarkEnd w:id="2210"/>
      <w:bookmarkEnd w:id="2211"/>
      <w:bookmarkEnd w:id="2212"/>
    </w:p>
    <w:p w14:paraId="05E2C88B" w14:textId="77777777" w:rsidR="00523689" w:rsidRPr="00380B40" w:rsidRDefault="00523689" w:rsidP="00523689">
      <w:pPr>
        <w:rPr>
          <w:lang w:val="en-GB"/>
        </w:rPr>
      </w:pPr>
      <w:r w:rsidRPr="00380B40">
        <w:rPr>
          <w:lang w:val="en-GB"/>
        </w:rPr>
        <w:t>None</w:t>
      </w:r>
    </w:p>
    <w:p w14:paraId="68342A6D" w14:textId="77777777" w:rsidR="00523689" w:rsidRPr="00380B40" w:rsidRDefault="00523689" w:rsidP="00523689">
      <w:pPr>
        <w:pStyle w:val="Heading2"/>
        <w:rPr>
          <w:lang w:val="en-GB"/>
        </w:rPr>
      </w:pPr>
      <w:bookmarkStart w:id="2213" w:name="_Toc426721606"/>
      <w:bookmarkStart w:id="2214" w:name="_Toc427160627"/>
      <w:bookmarkStart w:id="2215" w:name="_Toc111637122"/>
      <w:r w:rsidRPr="00380B40">
        <w:rPr>
          <w:lang w:val="en-GB"/>
        </w:rPr>
        <w:t>3.2</w:t>
      </w:r>
      <w:r w:rsidRPr="00380B40">
        <w:rPr>
          <w:lang w:val="en-GB"/>
        </w:rPr>
        <w:tab/>
        <w:t>Terms defined in this Supplement</w:t>
      </w:r>
      <w:bookmarkEnd w:id="2213"/>
      <w:bookmarkEnd w:id="2214"/>
      <w:bookmarkEnd w:id="2215"/>
    </w:p>
    <w:p w14:paraId="344C7EB3" w14:textId="77777777" w:rsidR="00523689" w:rsidRPr="00380B40" w:rsidRDefault="00523689" w:rsidP="00523689">
      <w:pPr>
        <w:rPr>
          <w:lang w:val="en-GB"/>
        </w:rPr>
      </w:pPr>
      <w:r w:rsidRPr="00380B40">
        <w:rPr>
          <w:lang w:val="en-GB"/>
        </w:rPr>
        <w:t>This Supplement defines the following terms:</w:t>
      </w:r>
    </w:p>
    <w:p w14:paraId="75A57077" w14:textId="77777777" w:rsidR="00523689" w:rsidRPr="00380B40" w:rsidRDefault="00523689" w:rsidP="00523689">
      <w:pPr>
        <w:rPr>
          <w:lang w:val="en-GB"/>
        </w:rPr>
      </w:pPr>
      <w:r w:rsidRPr="00380B40">
        <w:rPr>
          <w:b/>
          <w:lang w:val="en-GB"/>
        </w:rPr>
        <w:t>3.2.1</w:t>
      </w:r>
      <w:r w:rsidRPr="00380B40">
        <w:rPr>
          <w:b/>
          <w:lang w:val="en-GB"/>
        </w:rPr>
        <w:tab/>
        <w:t>group</w:t>
      </w:r>
      <w:r w:rsidRPr="00380B40">
        <w:rPr>
          <w:bCs/>
          <w:lang w:val="en-GB"/>
        </w:rPr>
        <w:t>:</w:t>
      </w:r>
      <w:r w:rsidRPr="00380B40">
        <w:rPr>
          <w:lang w:val="en-GB"/>
        </w:rPr>
        <w:t xml:space="preserve"> A study group, TSAG, a working party, a Question, a Rapporteur group, a correspondence group, an ad hoc group, the Review Committee, a JCA, a focus group, a regional group or any other type of group created in ITU-T.</w:t>
      </w:r>
    </w:p>
    <w:p w14:paraId="66D88475" w14:textId="77777777" w:rsidR="00523689" w:rsidRPr="00380B40" w:rsidRDefault="00523689" w:rsidP="00523689">
      <w:pPr>
        <w:pStyle w:val="Note"/>
        <w:rPr>
          <w:lang w:val="en-GB" w:eastAsia="zh-CN"/>
        </w:rPr>
      </w:pPr>
      <w:r w:rsidRPr="00380B40">
        <w:rPr>
          <w:lang w:val="en-GB"/>
        </w:rPr>
        <w:t>NOTE – A workshop or a seminar is not considered a group in the context of this Supplement</w:t>
      </w:r>
      <w:r w:rsidRPr="00380B40">
        <w:rPr>
          <w:lang w:val="en-GB" w:eastAsia="zh-CN"/>
        </w:rPr>
        <w:t>.</w:t>
      </w:r>
    </w:p>
    <w:p w14:paraId="1B5E66D4" w14:textId="77777777" w:rsidR="00523689" w:rsidRPr="00380B40" w:rsidRDefault="00523689" w:rsidP="00523689">
      <w:pPr>
        <w:rPr>
          <w:lang w:val="en-GB"/>
        </w:rPr>
      </w:pPr>
      <w:r w:rsidRPr="00380B40">
        <w:rPr>
          <w:b/>
          <w:lang w:val="en-GB"/>
        </w:rPr>
        <w:t>3.2.2</w:t>
      </w:r>
      <w:r w:rsidRPr="00380B40">
        <w:rPr>
          <w:b/>
          <w:lang w:val="en-GB"/>
        </w:rPr>
        <w:tab/>
        <w:t>remote participation</w:t>
      </w:r>
      <w:r w:rsidRPr="00380B40">
        <w:rPr>
          <w:lang w:val="en-GB"/>
        </w:rPr>
        <w:t>: Participation in a meeting from a separate geographical location, using communication technologies.</w:t>
      </w:r>
    </w:p>
    <w:p w14:paraId="0F9BA331" w14:textId="77777777" w:rsidR="00523689" w:rsidRPr="00380B40" w:rsidRDefault="00523689" w:rsidP="00523689">
      <w:pPr>
        <w:pStyle w:val="Note"/>
        <w:rPr>
          <w:lang w:val="en-GB" w:eastAsia="zh-CN"/>
        </w:rPr>
      </w:pPr>
      <w:r w:rsidRPr="00380B40">
        <w:rPr>
          <w:lang w:val="en-GB"/>
        </w:rPr>
        <w:t>NOTE – Depending on the group meeting, remote participation</w:t>
      </w:r>
      <w:r w:rsidRPr="00380B40">
        <w:rPr>
          <w:lang w:val="en-GB" w:eastAsia="zh-CN"/>
        </w:rPr>
        <w:t xml:space="preserve"> may be active or in an observing capacity (in case of webcast), but only active remote participation is considered in this Supplement.</w:t>
      </w:r>
    </w:p>
    <w:p w14:paraId="60D04FE9" w14:textId="77777777" w:rsidR="00523689" w:rsidRPr="00380B40" w:rsidRDefault="00523689" w:rsidP="00523689">
      <w:pPr>
        <w:keepNext/>
        <w:rPr>
          <w:lang w:val="en-GB"/>
        </w:rPr>
      </w:pPr>
      <w:r w:rsidRPr="00380B40">
        <w:rPr>
          <w:b/>
          <w:lang w:val="en-GB"/>
        </w:rPr>
        <w:t>3.2.3</w:t>
      </w:r>
      <w:r w:rsidRPr="00380B40">
        <w:rPr>
          <w:b/>
          <w:lang w:val="en-GB"/>
        </w:rPr>
        <w:tab/>
        <w:t>remote participation moderator</w:t>
      </w:r>
      <w:r w:rsidRPr="00380B40">
        <w:rPr>
          <w:lang w:val="en-GB"/>
        </w:rPr>
        <w:t>: A person in charge of monitoring the remote participation tool, ensuring that remote participants know what is taking place in the meeting and allowing remote participants chances to contribute (in case of a meeting with active remote participation).</w:t>
      </w:r>
    </w:p>
    <w:p w14:paraId="329697EE" w14:textId="77777777" w:rsidR="00523689" w:rsidRPr="00380B40" w:rsidRDefault="00523689" w:rsidP="00523689">
      <w:pPr>
        <w:pStyle w:val="Note"/>
        <w:rPr>
          <w:szCs w:val="22"/>
          <w:lang w:val="en-GB" w:eastAsia="zh-CN"/>
        </w:rPr>
      </w:pPr>
      <w:r w:rsidRPr="00380B40">
        <w:rPr>
          <w:lang w:val="en-GB"/>
        </w:rPr>
        <w:t>NOTE – A remote participation moderator is not systematically available for each meeting with remote</w:t>
      </w:r>
      <w:r w:rsidRPr="00380B40">
        <w:rPr>
          <w:szCs w:val="22"/>
          <w:lang w:val="en-GB"/>
        </w:rPr>
        <w:t xml:space="preserve"> participation</w:t>
      </w:r>
      <w:r w:rsidRPr="00380B40">
        <w:rPr>
          <w:szCs w:val="22"/>
          <w:lang w:val="en-GB" w:eastAsia="zh-CN"/>
        </w:rPr>
        <w:t>.</w:t>
      </w:r>
    </w:p>
    <w:p w14:paraId="564F49B8" w14:textId="77777777" w:rsidR="00523689" w:rsidRPr="00380B40" w:rsidRDefault="00523689" w:rsidP="00523689">
      <w:pPr>
        <w:pStyle w:val="Heading1"/>
        <w:rPr>
          <w:lang w:val="en-GB"/>
        </w:rPr>
      </w:pPr>
      <w:bookmarkStart w:id="2216" w:name="_Toc426721607"/>
      <w:bookmarkStart w:id="2217" w:name="_Toc427160628"/>
      <w:bookmarkStart w:id="2218" w:name="_Toc111637123"/>
      <w:r w:rsidRPr="00380B40">
        <w:rPr>
          <w:lang w:val="en-GB"/>
        </w:rPr>
        <w:t>4</w:t>
      </w:r>
      <w:r w:rsidRPr="00380B40">
        <w:rPr>
          <w:lang w:val="en-GB"/>
        </w:rPr>
        <w:tab/>
        <w:t>Abbreviations and acronyms</w:t>
      </w:r>
      <w:bookmarkEnd w:id="2216"/>
      <w:bookmarkEnd w:id="2217"/>
      <w:bookmarkEnd w:id="2218"/>
    </w:p>
    <w:p w14:paraId="3ACC03E4" w14:textId="77777777" w:rsidR="00523689" w:rsidRPr="00380B40" w:rsidRDefault="00523689" w:rsidP="00523689">
      <w:pPr>
        <w:rPr>
          <w:lang w:val="en-GB"/>
        </w:rPr>
      </w:pPr>
      <w:r w:rsidRPr="00380B40">
        <w:rPr>
          <w:lang w:val="en-GB"/>
        </w:rPr>
        <w:t>This Supplement uses the following abbreviations and acronyms: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164B3C" w:rsidRPr="00380B40" w14:paraId="59A6CD4A" w14:textId="77777777" w:rsidTr="00C91A38">
        <w:tc>
          <w:tcPr>
            <w:tcW w:w="1129" w:type="dxa"/>
          </w:tcPr>
          <w:p w14:paraId="3FBE18D2" w14:textId="77777777" w:rsidR="00164B3C" w:rsidRPr="00380B40" w:rsidRDefault="00164B3C" w:rsidP="004E4CA9">
            <w:pPr>
              <w:tabs>
                <w:tab w:val="clear" w:pos="794"/>
                <w:tab w:val="clear" w:pos="1191"/>
                <w:tab w:val="clear" w:pos="1588"/>
                <w:tab w:val="clear" w:pos="1985"/>
              </w:tabs>
              <w:rPr>
                <w:lang w:val="en-GB"/>
              </w:rPr>
            </w:pPr>
            <w:r w:rsidRPr="00380B40">
              <w:rPr>
                <w:lang w:val="en-GB"/>
              </w:rPr>
              <w:t>JCA</w:t>
            </w:r>
          </w:p>
        </w:tc>
        <w:tc>
          <w:tcPr>
            <w:tcW w:w="8500" w:type="dxa"/>
          </w:tcPr>
          <w:p w14:paraId="7ACB05B4" w14:textId="77777777" w:rsidR="00164B3C" w:rsidRPr="00380B40" w:rsidRDefault="00164B3C" w:rsidP="004E4CA9">
            <w:pPr>
              <w:tabs>
                <w:tab w:val="clear" w:pos="794"/>
                <w:tab w:val="clear" w:pos="1191"/>
                <w:tab w:val="clear" w:pos="1588"/>
                <w:tab w:val="clear" w:pos="1985"/>
              </w:tabs>
              <w:rPr>
                <w:lang w:val="en-GB"/>
              </w:rPr>
            </w:pPr>
            <w:r w:rsidRPr="00380B40">
              <w:rPr>
                <w:lang w:val="en-GB"/>
              </w:rPr>
              <w:t>Joint Coordination Activity</w:t>
            </w:r>
          </w:p>
        </w:tc>
      </w:tr>
      <w:tr w:rsidR="00164B3C" w:rsidRPr="00380B40" w14:paraId="64FFA1E8" w14:textId="77777777" w:rsidTr="00C91A38">
        <w:tc>
          <w:tcPr>
            <w:tcW w:w="1129" w:type="dxa"/>
          </w:tcPr>
          <w:p w14:paraId="6F1E764F" w14:textId="77777777" w:rsidR="00164B3C" w:rsidRPr="00380B40" w:rsidRDefault="00164B3C" w:rsidP="004E4CA9">
            <w:pPr>
              <w:tabs>
                <w:tab w:val="clear" w:pos="794"/>
                <w:tab w:val="clear" w:pos="1191"/>
                <w:tab w:val="clear" w:pos="1588"/>
                <w:tab w:val="clear" w:pos="1985"/>
              </w:tabs>
              <w:rPr>
                <w:lang w:val="en-GB"/>
              </w:rPr>
            </w:pPr>
            <w:r w:rsidRPr="00380B40">
              <w:rPr>
                <w:lang w:val="en-GB"/>
              </w:rPr>
              <w:t>TIES</w:t>
            </w:r>
          </w:p>
        </w:tc>
        <w:tc>
          <w:tcPr>
            <w:tcW w:w="8500" w:type="dxa"/>
          </w:tcPr>
          <w:p w14:paraId="7EAD9A26" w14:textId="77777777" w:rsidR="00164B3C" w:rsidRPr="00380B40" w:rsidRDefault="00164B3C" w:rsidP="004E4CA9">
            <w:pPr>
              <w:tabs>
                <w:tab w:val="clear" w:pos="794"/>
                <w:tab w:val="clear" w:pos="1191"/>
                <w:tab w:val="clear" w:pos="1588"/>
                <w:tab w:val="clear" w:pos="1985"/>
              </w:tabs>
              <w:rPr>
                <w:lang w:val="en-GB"/>
              </w:rPr>
            </w:pPr>
            <w:r w:rsidRPr="00380B40">
              <w:rPr>
                <w:lang w:val="en-GB"/>
              </w:rPr>
              <w:t>Telecommunication Information Exchange Service</w:t>
            </w:r>
          </w:p>
        </w:tc>
      </w:tr>
      <w:tr w:rsidR="00164B3C" w:rsidRPr="00380B40" w14:paraId="5EE0A3DA" w14:textId="77777777" w:rsidTr="00C91A38">
        <w:tc>
          <w:tcPr>
            <w:tcW w:w="1129" w:type="dxa"/>
          </w:tcPr>
          <w:p w14:paraId="3DF33618" w14:textId="77777777" w:rsidR="00164B3C" w:rsidRPr="00380B40" w:rsidRDefault="00164B3C" w:rsidP="004E4CA9">
            <w:pPr>
              <w:tabs>
                <w:tab w:val="clear" w:pos="794"/>
                <w:tab w:val="clear" w:pos="1191"/>
                <w:tab w:val="clear" w:pos="1588"/>
                <w:tab w:val="clear" w:pos="1985"/>
              </w:tabs>
              <w:rPr>
                <w:lang w:val="en-GB"/>
              </w:rPr>
            </w:pPr>
            <w:r w:rsidRPr="00380B40">
              <w:rPr>
                <w:lang w:val="en-GB"/>
              </w:rPr>
              <w:t>TSAG</w:t>
            </w:r>
          </w:p>
        </w:tc>
        <w:tc>
          <w:tcPr>
            <w:tcW w:w="8500" w:type="dxa"/>
          </w:tcPr>
          <w:p w14:paraId="366F1761" w14:textId="77777777" w:rsidR="00164B3C" w:rsidRPr="00380B40" w:rsidRDefault="00164B3C" w:rsidP="004E4CA9">
            <w:pPr>
              <w:tabs>
                <w:tab w:val="clear" w:pos="794"/>
                <w:tab w:val="clear" w:pos="1191"/>
                <w:tab w:val="clear" w:pos="1588"/>
                <w:tab w:val="clear" w:pos="1985"/>
              </w:tabs>
              <w:rPr>
                <w:lang w:val="en-GB"/>
              </w:rPr>
            </w:pPr>
            <w:r w:rsidRPr="00380B40">
              <w:rPr>
                <w:lang w:val="en-GB"/>
              </w:rPr>
              <w:t>Telecommunication Standardization Advisory Group</w:t>
            </w:r>
          </w:p>
        </w:tc>
      </w:tr>
    </w:tbl>
    <w:p w14:paraId="6AFAC433" w14:textId="77777777" w:rsidR="00523689" w:rsidRPr="00380B40" w:rsidRDefault="00523689" w:rsidP="00523689">
      <w:pPr>
        <w:pStyle w:val="Heading1"/>
        <w:rPr>
          <w:lang w:val="en-GB"/>
        </w:rPr>
      </w:pPr>
      <w:bookmarkStart w:id="2219" w:name="_Toc426721608"/>
      <w:bookmarkStart w:id="2220" w:name="_Toc427160629"/>
      <w:bookmarkStart w:id="2221" w:name="_Toc111637124"/>
      <w:r w:rsidRPr="00380B40">
        <w:rPr>
          <w:lang w:val="en-GB"/>
        </w:rPr>
        <w:t>5</w:t>
      </w:r>
      <w:r w:rsidRPr="00380B40">
        <w:rPr>
          <w:lang w:val="en-GB"/>
        </w:rPr>
        <w:tab/>
        <w:t>Conventions</w:t>
      </w:r>
      <w:bookmarkEnd w:id="2219"/>
      <w:bookmarkEnd w:id="2220"/>
      <w:bookmarkEnd w:id="2221"/>
    </w:p>
    <w:p w14:paraId="3145C8D9" w14:textId="77777777" w:rsidR="00523689" w:rsidRPr="00380B40" w:rsidRDefault="00523689" w:rsidP="00523689">
      <w:pPr>
        <w:rPr>
          <w:lang w:val="en-GB"/>
        </w:rPr>
      </w:pPr>
      <w:r w:rsidRPr="00380B40">
        <w:rPr>
          <w:lang w:val="en-GB"/>
        </w:rPr>
        <w:t>None</w:t>
      </w:r>
    </w:p>
    <w:p w14:paraId="5D36EB19" w14:textId="77777777" w:rsidR="009B463F" w:rsidRPr="00380B40" w:rsidRDefault="009B463F" w:rsidP="009B463F">
      <w:pPr>
        <w:rPr>
          <w:lang w:val="en-GB"/>
        </w:rPr>
      </w:pPr>
      <w:bookmarkStart w:id="2222" w:name="_Toc426721609"/>
      <w:bookmarkStart w:id="2223" w:name="_Toc427160630"/>
      <w:r w:rsidRPr="00380B40">
        <w:rPr>
          <w:lang w:val="en-GB"/>
        </w:rPr>
        <w:br w:type="page"/>
      </w:r>
    </w:p>
    <w:p w14:paraId="1EE5F5C0" w14:textId="77777777" w:rsidR="00523689" w:rsidRPr="00380B40" w:rsidRDefault="00523689" w:rsidP="00523689">
      <w:pPr>
        <w:pStyle w:val="Heading1"/>
        <w:rPr>
          <w:lang w:val="en-GB"/>
        </w:rPr>
      </w:pPr>
      <w:bookmarkStart w:id="2224" w:name="_Toc111637125"/>
      <w:r w:rsidRPr="00380B40">
        <w:rPr>
          <w:lang w:val="en-GB"/>
        </w:rPr>
        <w:t>6</w:t>
      </w:r>
      <w:r w:rsidRPr="00380B40">
        <w:rPr>
          <w:lang w:val="en-GB"/>
        </w:rPr>
        <w:tab/>
        <w:t>Organization of a meeting with remote participation</w:t>
      </w:r>
      <w:bookmarkEnd w:id="2222"/>
      <w:bookmarkEnd w:id="2223"/>
      <w:bookmarkEnd w:id="2224"/>
    </w:p>
    <w:p w14:paraId="77118E27" w14:textId="77777777" w:rsidR="00523689" w:rsidRPr="00380B40" w:rsidRDefault="00523689" w:rsidP="00523689">
      <w:pPr>
        <w:rPr>
          <w:lang w:val="en-GB"/>
        </w:rPr>
      </w:pPr>
      <w:r w:rsidRPr="00380B40">
        <w:rPr>
          <w:lang w:val="en-GB"/>
        </w:rPr>
        <w:t>This clause gives guidelines for the group chairman and secretariat who are organizing a meeting with remote participation.</w:t>
      </w:r>
    </w:p>
    <w:p w14:paraId="77877257" w14:textId="77777777" w:rsidR="00523689" w:rsidRPr="00380B40" w:rsidRDefault="00523689" w:rsidP="00523689">
      <w:pPr>
        <w:rPr>
          <w:lang w:val="en-GB"/>
        </w:rPr>
      </w:pPr>
      <w:r w:rsidRPr="00380B40">
        <w:rPr>
          <w:b/>
          <w:lang w:val="en-GB"/>
        </w:rPr>
        <w:t>6.1</w:t>
      </w:r>
      <w:r w:rsidRPr="00380B40">
        <w:rPr>
          <w:lang w:val="en-GB"/>
        </w:rPr>
        <w:tab/>
        <w:t>When scheduling the time for meetings with remote participation or for e-meetings, consideration should be given to the different time zones of the expected remote participants. Consideration should also be given to, when practical, scheduling relevant agenda items identified by a remote participant to better accommodate the remote participant's time zone.</w:t>
      </w:r>
    </w:p>
    <w:p w14:paraId="223A5D55" w14:textId="77777777" w:rsidR="00523689" w:rsidRPr="00380B40" w:rsidRDefault="00523689" w:rsidP="00523689">
      <w:pPr>
        <w:rPr>
          <w:lang w:val="en-GB"/>
        </w:rPr>
      </w:pPr>
      <w:r w:rsidRPr="00380B40">
        <w:rPr>
          <w:b/>
          <w:lang w:val="en-GB"/>
        </w:rPr>
        <w:t>6.2</w:t>
      </w:r>
      <w:r w:rsidRPr="00380B40">
        <w:rPr>
          <w:lang w:val="en-GB"/>
        </w:rPr>
        <w:tab/>
        <w:t>If remote participation is to be arranged for participation in a group meeting, TSB should be informed at least twelve calendar days before the group meeting, to allow for enough time for logistics arrangements.</w:t>
      </w:r>
    </w:p>
    <w:p w14:paraId="341B44BF" w14:textId="77777777" w:rsidR="00523689" w:rsidRPr="00380B40" w:rsidRDefault="00523689" w:rsidP="00523689">
      <w:pPr>
        <w:rPr>
          <w:lang w:val="en-GB"/>
        </w:rPr>
      </w:pPr>
      <w:r w:rsidRPr="00380B40">
        <w:rPr>
          <w:b/>
          <w:lang w:val="en-GB"/>
        </w:rPr>
        <w:t>6.3</w:t>
      </w:r>
      <w:r w:rsidRPr="00380B40">
        <w:rPr>
          <w:lang w:val="en-GB"/>
        </w:rPr>
        <w:tab/>
        <w:t>If the group chairman is expected to participate remotely,</w:t>
      </w:r>
      <w:r w:rsidRPr="00380B40" w:rsidDel="00A95264">
        <w:rPr>
          <w:lang w:val="en-GB"/>
        </w:rPr>
        <w:t xml:space="preserve"> </w:t>
      </w:r>
      <w:r w:rsidRPr="00380B40">
        <w:rPr>
          <w:lang w:val="en-GB"/>
        </w:rPr>
        <w:t>the group should identify an acting chairman</w:t>
      </w:r>
      <w:r w:rsidRPr="00380B40">
        <w:rPr>
          <w:szCs w:val="24"/>
          <w:lang w:val="en-GB"/>
        </w:rPr>
        <w:t xml:space="preserve"> in case</w:t>
      </w:r>
      <w:r w:rsidRPr="00380B40">
        <w:rPr>
          <w:lang w:val="en-GB"/>
        </w:rPr>
        <w:t xml:space="preserve"> the chairman is unable to connect.</w:t>
      </w:r>
    </w:p>
    <w:p w14:paraId="15291613" w14:textId="77777777" w:rsidR="00523689" w:rsidRPr="00380B40" w:rsidRDefault="00523689" w:rsidP="00523689">
      <w:pPr>
        <w:rPr>
          <w:rFonts w:ascii="Calibri" w:eastAsiaTheme="minorHAnsi" w:hAnsi="Calibri" w:cs="Calibri"/>
          <w:szCs w:val="22"/>
          <w:lang w:val="en-GB"/>
        </w:rPr>
      </w:pPr>
      <w:r w:rsidRPr="00380B40">
        <w:rPr>
          <w:b/>
          <w:lang w:val="en-GB"/>
        </w:rPr>
        <w:t>6.4</w:t>
      </w:r>
      <w:r w:rsidRPr="00380B40">
        <w:rPr>
          <w:lang w:val="en-GB"/>
        </w:rPr>
        <w:tab/>
        <w:t>The meeting agenda indicates the format in which the meeting will be conducted:</w:t>
      </w:r>
    </w:p>
    <w:p w14:paraId="6440A3B4" w14:textId="77777777" w:rsidR="00523689" w:rsidRPr="00380B40" w:rsidRDefault="00523689" w:rsidP="00523689">
      <w:pPr>
        <w:pStyle w:val="enumlev1"/>
        <w:rPr>
          <w:lang w:val="en-GB"/>
        </w:rPr>
      </w:pPr>
      <w:r w:rsidRPr="00380B40">
        <w:rPr>
          <w:lang w:val="en-GB"/>
        </w:rPr>
        <w:t>•</w:t>
      </w:r>
      <w:r w:rsidRPr="00380B40">
        <w:rPr>
          <w:lang w:val="en-GB"/>
        </w:rPr>
        <w:tab/>
        <w:t>physical meetings (face-to-face);</w:t>
      </w:r>
    </w:p>
    <w:p w14:paraId="1ED51133" w14:textId="77777777" w:rsidR="00523689" w:rsidRPr="00380B40" w:rsidRDefault="00523689" w:rsidP="00523689">
      <w:pPr>
        <w:pStyle w:val="enumlev1"/>
        <w:rPr>
          <w:lang w:val="en-GB"/>
        </w:rPr>
      </w:pPr>
      <w:r w:rsidRPr="00380B40">
        <w:rPr>
          <w:lang w:val="en-GB"/>
        </w:rPr>
        <w:t>•</w:t>
      </w:r>
      <w:r w:rsidRPr="00380B40">
        <w:rPr>
          <w:lang w:val="en-GB"/>
        </w:rPr>
        <w:tab/>
        <w:t>physical meetings with remote observation (i.e., webcast);</w:t>
      </w:r>
    </w:p>
    <w:p w14:paraId="6F019F13" w14:textId="77777777" w:rsidR="00523689" w:rsidRPr="00380B40" w:rsidRDefault="00523689" w:rsidP="00523689">
      <w:pPr>
        <w:pStyle w:val="enumlev1"/>
        <w:rPr>
          <w:lang w:val="en-GB"/>
        </w:rPr>
      </w:pPr>
      <w:r w:rsidRPr="00380B40">
        <w:rPr>
          <w:lang w:val="en-GB"/>
        </w:rPr>
        <w:t>•</w:t>
      </w:r>
      <w:r w:rsidRPr="00380B40">
        <w:rPr>
          <w:lang w:val="en-GB"/>
        </w:rPr>
        <w:tab/>
        <w:t>physical meetings with (active) remote participation (see also clause 7.1);</w:t>
      </w:r>
    </w:p>
    <w:p w14:paraId="2C409C08" w14:textId="77777777" w:rsidR="00523689" w:rsidRPr="00380B40" w:rsidRDefault="00523689" w:rsidP="00523689">
      <w:pPr>
        <w:pStyle w:val="enumlev1"/>
        <w:rPr>
          <w:lang w:val="en-GB"/>
        </w:rPr>
      </w:pPr>
      <w:r w:rsidRPr="00380B40">
        <w:rPr>
          <w:lang w:val="en-GB"/>
        </w:rPr>
        <w:t>•</w:t>
      </w:r>
      <w:r w:rsidRPr="00380B40">
        <w:rPr>
          <w:lang w:val="en-GB"/>
        </w:rPr>
        <w:tab/>
        <w:t>e-meetings, also called virtual meetings (see also clause 7.1).</w:t>
      </w:r>
    </w:p>
    <w:p w14:paraId="45AEA9C2" w14:textId="77777777" w:rsidR="00523689" w:rsidRPr="00380B40" w:rsidRDefault="00523689" w:rsidP="00523689">
      <w:pPr>
        <w:pStyle w:val="Note"/>
        <w:rPr>
          <w:lang w:val="en-GB"/>
        </w:rPr>
      </w:pPr>
      <w:r w:rsidRPr="00380B40">
        <w:rPr>
          <w:lang w:val="en-GB"/>
        </w:rPr>
        <w:t>NOTE – The first two formats are not covered by this Supplement. The meeting format could be based on a variety of criteria, including, but not limited to, the nature of the meeting, whether the meeting is held inside or outside Geneva and technical capabilities available for the meeting.</w:t>
      </w:r>
    </w:p>
    <w:p w14:paraId="58B362EC" w14:textId="77777777" w:rsidR="00523689" w:rsidRPr="00380B40" w:rsidRDefault="00523689" w:rsidP="00523689">
      <w:pPr>
        <w:rPr>
          <w:lang w:val="en-GB"/>
        </w:rPr>
      </w:pPr>
      <w:r w:rsidRPr="00380B40">
        <w:rPr>
          <w:b/>
          <w:lang w:val="en-GB"/>
        </w:rPr>
        <w:t>6.5</w:t>
      </w:r>
      <w:r w:rsidRPr="00380B40">
        <w:rPr>
          <w:lang w:val="en-GB"/>
        </w:rPr>
        <w:tab/>
        <w:t>It is recommended that the technologies used for remote participation are those available from the ITU, even for meetings held outside Geneva.</w:t>
      </w:r>
    </w:p>
    <w:p w14:paraId="74E6E3B4" w14:textId="77777777" w:rsidR="00523689" w:rsidRPr="00380B40" w:rsidRDefault="00523689" w:rsidP="00523689">
      <w:pPr>
        <w:rPr>
          <w:lang w:val="en-GB"/>
        </w:rPr>
      </w:pPr>
      <w:r w:rsidRPr="00380B40">
        <w:rPr>
          <w:b/>
          <w:lang w:val="en-GB"/>
        </w:rPr>
        <w:t>6.6</w:t>
      </w:r>
      <w:r w:rsidRPr="00380B40">
        <w:rPr>
          <w:lang w:val="en-GB"/>
        </w:rPr>
        <w:tab/>
        <w:t>For meetings held outside Geneva with (active) remote participation, it is recommended that hosts be supplied with guidelines in order to minimize possible technical issues related to remote participation. These guidelines (e.g., in the form of a checklist) should be accessible for the host well in advance before the event, and should include all the technical and logistics requirements for providing the remote participation facility.</w:t>
      </w:r>
    </w:p>
    <w:p w14:paraId="58BA66C7" w14:textId="77777777" w:rsidR="00523689" w:rsidRPr="00380B40" w:rsidRDefault="00523689" w:rsidP="00523689">
      <w:pPr>
        <w:pStyle w:val="Heading1"/>
        <w:rPr>
          <w:lang w:val="en-GB"/>
        </w:rPr>
      </w:pPr>
      <w:bookmarkStart w:id="2225" w:name="_Toc426721610"/>
      <w:bookmarkStart w:id="2226" w:name="_Toc427160631"/>
      <w:bookmarkStart w:id="2227" w:name="_Toc111637126"/>
      <w:r w:rsidRPr="00380B40">
        <w:rPr>
          <w:lang w:val="en-GB"/>
        </w:rPr>
        <w:t>7</w:t>
      </w:r>
      <w:r w:rsidRPr="00380B40">
        <w:rPr>
          <w:lang w:val="en-GB"/>
        </w:rPr>
        <w:tab/>
        <w:t>Guidelines for the group chairman</w:t>
      </w:r>
      <w:bookmarkEnd w:id="2225"/>
      <w:bookmarkEnd w:id="2226"/>
      <w:bookmarkEnd w:id="2227"/>
    </w:p>
    <w:p w14:paraId="0205B9D6" w14:textId="77777777" w:rsidR="00523689" w:rsidRPr="00380B40" w:rsidRDefault="00523689" w:rsidP="00523689">
      <w:pPr>
        <w:keepNext/>
        <w:rPr>
          <w:lang w:val="en-GB"/>
        </w:rPr>
      </w:pPr>
      <w:r w:rsidRPr="00380B40">
        <w:rPr>
          <w:lang w:val="en-GB"/>
        </w:rPr>
        <w:t>This clause gives guidelines for the group chairman to help chairing a meeting with remote participation.</w:t>
      </w:r>
    </w:p>
    <w:p w14:paraId="30B6FC8B" w14:textId="77777777" w:rsidR="009B463F" w:rsidRPr="00380B40" w:rsidRDefault="009B463F" w:rsidP="00523689">
      <w:pPr>
        <w:rPr>
          <w:b/>
          <w:lang w:val="en-GB"/>
        </w:rPr>
      </w:pPr>
      <w:r w:rsidRPr="00380B40">
        <w:rPr>
          <w:b/>
          <w:lang w:val="en-GB"/>
        </w:rPr>
        <w:br w:type="page"/>
      </w:r>
    </w:p>
    <w:p w14:paraId="77032401" w14:textId="77777777" w:rsidR="00523689" w:rsidRPr="00380B40" w:rsidRDefault="00523689" w:rsidP="00523689">
      <w:pPr>
        <w:rPr>
          <w:lang w:val="en-GB"/>
        </w:rPr>
      </w:pPr>
      <w:r w:rsidRPr="00380B40">
        <w:rPr>
          <w:b/>
          <w:lang w:val="en-GB"/>
        </w:rPr>
        <w:t>7.1</w:t>
      </w:r>
      <w:r w:rsidRPr="00380B40">
        <w:rPr>
          <w:lang w:val="en-GB"/>
        </w:rPr>
        <w:tab/>
        <w:t>Based on the remote participation tool used, the management team of the group decides the operation mode for the meeting. The modes described in clauses 7.1.1 and 7.1.2 are suggested. The decision of the management team is announced at the beginning of the meeting and the meeting is chaired accordingly.</w:t>
      </w:r>
    </w:p>
    <w:p w14:paraId="4E894475" w14:textId="77777777" w:rsidR="00523689" w:rsidRPr="00380B40" w:rsidRDefault="00523689" w:rsidP="00523689">
      <w:pPr>
        <w:rPr>
          <w:rFonts w:asciiTheme="majorBidi" w:hAnsiTheme="majorBidi" w:cstheme="majorBidi"/>
          <w:szCs w:val="24"/>
          <w:lang w:val="en-GB"/>
        </w:rPr>
      </w:pPr>
      <w:r w:rsidRPr="00380B40">
        <w:rPr>
          <w:rFonts w:asciiTheme="majorBidi" w:hAnsiTheme="majorBidi" w:cstheme="majorBidi"/>
          <w:b/>
          <w:szCs w:val="24"/>
          <w:lang w:val="en-GB"/>
        </w:rPr>
        <w:t>7.1.1</w:t>
      </w:r>
      <w:r w:rsidRPr="00380B40">
        <w:rPr>
          <w:rFonts w:asciiTheme="majorBidi" w:hAnsiTheme="majorBidi" w:cstheme="majorBidi"/>
          <w:szCs w:val="24"/>
          <w:lang w:val="en-GB"/>
        </w:rPr>
        <w:tab/>
        <w:t xml:space="preserve">All remote participants are unmuted by default and can intervene at any time. </w:t>
      </w:r>
      <w:r w:rsidRPr="00380B40">
        <w:rPr>
          <w:szCs w:val="24"/>
          <w:lang w:val="en-GB"/>
        </w:rPr>
        <w:t>To prevent interference of background noise, the chair reminds remote participants to mute their microphones until when they wish to contribute (see also clause 7.6).</w:t>
      </w:r>
    </w:p>
    <w:p w14:paraId="03140D5B" w14:textId="77777777" w:rsidR="00523689" w:rsidRPr="00380B40" w:rsidRDefault="00523689" w:rsidP="00523689">
      <w:pPr>
        <w:pStyle w:val="Note"/>
        <w:rPr>
          <w:lang w:val="en-GB"/>
        </w:rPr>
      </w:pPr>
      <w:r w:rsidRPr="00380B40">
        <w:rPr>
          <w:lang w:val="en-GB"/>
        </w:rPr>
        <w:t>NOTE – This may be practical for the meeting of a very small informal group like a correspondence group, but probably not during the meeting of a Question or a Rapporteur group (if at least to avoid echo and other background noise).</w:t>
      </w:r>
    </w:p>
    <w:p w14:paraId="33510F29" w14:textId="77777777" w:rsidR="00523689" w:rsidRPr="00380B40" w:rsidRDefault="00523689" w:rsidP="00523689">
      <w:pPr>
        <w:rPr>
          <w:rFonts w:asciiTheme="majorBidi" w:hAnsiTheme="majorBidi" w:cstheme="majorBidi"/>
          <w:szCs w:val="24"/>
          <w:lang w:val="en-GB"/>
        </w:rPr>
      </w:pPr>
      <w:r w:rsidRPr="00380B40">
        <w:rPr>
          <w:rFonts w:asciiTheme="majorBidi" w:hAnsiTheme="majorBidi" w:cstheme="majorBidi"/>
          <w:b/>
          <w:szCs w:val="24"/>
          <w:lang w:val="en-GB"/>
        </w:rPr>
        <w:t>7.1.2</w:t>
      </w:r>
      <w:r w:rsidRPr="00380B40">
        <w:rPr>
          <w:rFonts w:asciiTheme="majorBidi" w:hAnsiTheme="majorBidi" w:cstheme="majorBidi"/>
          <w:szCs w:val="24"/>
          <w:lang w:val="en-GB"/>
        </w:rPr>
        <w:tab/>
        <w:t>All remote participants are muted by default and will be unmuted by the remote participation moderator on a case-by-case basis, if they so request through the remote participation tool.</w:t>
      </w:r>
    </w:p>
    <w:p w14:paraId="47BF6D17" w14:textId="77777777" w:rsidR="00523689" w:rsidRPr="00380B40" w:rsidRDefault="00523689" w:rsidP="00523689">
      <w:pPr>
        <w:pStyle w:val="Note"/>
        <w:rPr>
          <w:lang w:val="en-GB"/>
        </w:rPr>
      </w:pPr>
      <w:r w:rsidRPr="00380B40">
        <w:rPr>
          <w:lang w:val="en-GB"/>
        </w:rPr>
        <w:t>NOTE – The remote participation moderator would then inform the meeting that a remote participant can intervene and the chairman would include the remote participant in the queue of meeting participants who want to intervene.</w:t>
      </w:r>
    </w:p>
    <w:p w14:paraId="15C8E9FE" w14:textId="77777777" w:rsidR="00523689" w:rsidRPr="00380B40" w:rsidRDefault="00523689" w:rsidP="00523689">
      <w:pPr>
        <w:rPr>
          <w:lang w:val="en-GB"/>
        </w:rPr>
      </w:pPr>
      <w:r w:rsidRPr="00380B40">
        <w:rPr>
          <w:b/>
          <w:lang w:val="en-GB"/>
        </w:rPr>
        <w:t>7.2</w:t>
      </w:r>
      <w:r w:rsidRPr="00380B40">
        <w:rPr>
          <w:lang w:val="en-GB"/>
        </w:rPr>
        <w:tab/>
        <w:t>In the case of physical meetings with remote participation, the group chairman and the remote participation moderator are encouraged to meet in the room ten minutes before the scheduled start of the meeting to check that the system is working and that the group chairman can display and share documents</w:t>
      </w:r>
      <w:r w:rsidRPr="00380B40">
        <w:rPr>
          <w:szCs w:val="24"/>
          <w:lang w:val="en-GB"/>
        </w:rPr>
        <w:t>.</w:t>
      </w:r>
    </w:p>
    <w:p w14:paraId="57C5788F" w14:textId="77777777" w:rsidR="00523689" w:rsidRPr="00380B40" w:rsidRDefault="00523689" w:rsidP="00523689">
      <w:pPr>
        <w:rPr>
          <w:lang w:val="en-GB"/>
        </w:rPr>
      </w:pPr>
      <w:r w:rsidRPr="00380B40">
        <w:rPr>
          <w:b/>
          <w:lang w:val="en-GB"/>
        </w:rPr>
        <w:t>7.3</w:t>
      </w:r>
      <w:r w:rsidRPr="00380B40">
        <w:rPr>
          <w:lang w:val="en-GB"/>
        </w:rPr>
        <w:tab/>
      </w:r>
      <w:r w:rsidRPr="00380B40">
        <w:rPr>
          <w:szCs w:val="24"/>
          <w:lang w:val="en-GB"/>
        </w:rPr>
        <w:t>At the beginning of each meeting with remote participation, the group chairman announces that there is a remote facility and requests that all remote participants introduce themselves by mentioning their name and affiliation.</w:t>
      </w:r>
    </w:p>
    <w:p w14:paraId="4DAEE422" w14:textId="77777777" w:rsidR="00523689" w:rsidRPr="00380B40" w:rsidRDefault="00523689" w:rsidP="00523689">
      <w:pPr>
        <w:pStyle w:val="Note"/>
        <w:rPr>
          <w:lang w:val="en-GB"/>
        </w:rPr>
      </w:pPr>
      <w:r w:rsidRPr="00380B40">
        <w:rPr>
          <w:lang w:val="en-GB"/>
        </w:rPr>
        <w:t>NOTE – Remote participants who join a meeting after the initial introduction of participants are expected to announce their arrival by mentioning their name and affiliation. If the remote participation tool announces participants' arrival with a specific sound, the group chairman asks new participants to introduce themselves.</w:t>
      </w:r>
    </w:p>
    <w:p w14:paraId="4972D28E" w14:textId="77777777" w:rsidR="00523689" w:rsidRPr="00380B40" w:rsidRDefault="00523689" w:rsidP="00523689">
      <w:pPr>
        <w:keepNext/>
        <w:rPr>
          <w:b/>
          <w:lang w:val="en-GB"/>
        </w:rPr>
      </w:pPr>
      <w:r w:rsidRPr="00380B40">
        <w:rPr>
          <w:b/>
          <w:lang w:val="en-GB"/>
        </w:rPr>
        <w:t>7.4</w:t>
      </w:r>
      <w:r w:rsidRPr="00380B40">
        <w:rPr>
          <w:lang w:val="en-GB"/>
        </w:rPr>
        <w:tab/>
        <w:t>The group chairman encourages remote participants to announce their name and affiliation clearly before speaking (see also clause 8.3).</w:t>
      </w:r>
    </w:p>
    <w:p w14:paraId="55046222" w14:textId="77777777" w:rsidR="00523689" w:rsidRPr="00380B40" w:rsidRDefault="00523689" w:rsidP="00523689">
      <w:pPr>
        <w:pStyle w:val="Note"/>
        <w:rPr>
          <w:lang w:val="en-GB"/>
        </w:rPr>
      </w:pPr>
      <w:r w:rsidRPr="00380B40">
        <w:rPr>
          <w:lang w:val="en-GB"/>
        </w:rPr>
        <w:t>NOTE – This is particularly useful in case of a meeting with interpretation or with participants with disabilities or specific needs (see clause 10).</w:t>
      </w:r>
    </w:p>
    <w:p w14:paraId="2435964F" w14:textId="77777777" w:rsidR="00523689" w:rsidRPr="00380B40" w:rsidRDefault="00523689" w:rsidP="00523689">
      <w:pPr>
        <w:rPr>
          <w:lang w:val="en-GB"/>
        </w:rPr>
      </w:pPr>
      <w:r w:rsidRPr="00380B40">
        <w:rPr>
          <w:b/>
          <w:lang w:val="en-GB"/>
        </w:rPr>
        <w:t>7.5</w:t>
      </w:r>
      <w:r w:rsidRPr="00380B40">
        <w:rPr>
          <w:lang w:val="en-GB"/>
        </w:rPr>
        <w:tab/>
        <w:t>The General Rules of conferences, assemblies and meetings of the Union [PP GR] apply to meetings with remote participation, in particular clauses 20.2 (Order of debates), 20.8 (Limitation of speeches) and 20.9 (Closing the list of speeches).</w:t>
      </w:r>
    </w:p>
    <w:p w14:paraId="36D41404" w14:textId="77777777" w:rsidR="00523689" w:rsidRPr="00380B40" w:rsidRDefault="00523689" w:rsidP="00523689">
      <w:pPr>
        <w:rPr>
          <w:lang w:val="en-GB"/>
        </w:rPr>
      </w:pPr>
      <w:r w:rsidRPr="00380B40">
        <w:rPr>
          <w:rFonts w:asciiTheme="majorBidi" w:hAnsiTheme="majorBidi" w:cstheme="majorBidi"/>
          <w:b/>
          <w:szCs w:val="24"/>
          <w:lang w:val="en-GB"/>
        </w:rPr>
        <w:t>7.6</w:t>
      </w:r>
      <w:r w:rsidRPr="00380B40">
        <w:rPr>
          <w:rFonts w:asciiTheme="majorBidi" w:hAnsiTheme="majorBidi" w:cstheme="majorBidi"/>
          <w:szCs w:val="24"/>
          <w:lang w:val="en-GB"/>
        </w:rPr>
        <w:tab/>
      </w:r>
      <w:r w:rsidRPr="00380B40">
        <w:rPr>
          <w:lang w:val="en-GB"/>
        </w:rPr>
        <w:t>Where supported by the remote participation tool, the chairman or the remote participation moderator is permitted to mute remote participants with bad connections or whose connections introduce too much noise, or may ask them to leave the meeting if the situation cannot be remedied.</w:t>
      </w:r>
    </w:p>
    <w:p w14:paraId="0110A397" w14:textId="77777777" w:rsidR="009B463F" w:rsidRPr="00380B40" w:rsidRDefault="009B463F" w:rsidP="009B463F">
      <w:pPr>
        <w:rPr>
          <w:lang w:val="en-GB"/>
        </w:rPr>
      </w:pPr>
      <w:bookmarkStart w:id="2228" w:name="_Toc426721611"/>
      <w:bookmarkStart w:id="2229" w:name="_Toc427160632"/>
      <w:r w:rsidRPr="00380B40">
        <w:rPr>
          <w:lang w:val="en-GB"/>
        </w:rPr>
        <w:br w:type="page"/>
      </w:r>
    </w:p>
    <w:p w14:paraId="76608BED" w14:textId="77777777" w:rsidR="00523689" w:rsidRPr="00380B40" w:rsidRDefault="00523689" w:rsidP="00523689">
      <w:pPr>
        <w:pStyle w:val="Heading1"/>
        <w:rPr>
          <w:lang w:val="en-GB"/>
        </w:rPr>
      </w:pPr>
      <w:bookmarkStart w:id="2230" w:name="_Toc111637127"/>
      <w:r w:rsidRPr="00380B40">
        <w:rPr>
          <w:lang w:val="en-GB"/>
        </w:rPr>
        <w:t>8</w:t>
      </w:r>
      <w:r w:rsidRPr="00380B40">
        <w:rPr>
          <w:lang w:val="en-GB"/>
        </w:rPr>
        <w:tab/>
        <w:t>Technical guidelines for remote participants</w:t>
      </w:r>
      <w:bookmarkEnd w:id="2228"/>
      <w:bookmarkEnd w:id="2229"/>
      <w:bookmarkEnd w:id="2230"/>
    </w:p>
    <w:p w14:paraId="70E50C84" w14:textId="77777777" w:rsidR="00523689" w:rsidRPr="00380B40" w:rsidRDefault="00523689" w:rsidP="00523689">
      <w:pPr>
        <w:keepNext/>
        <w:rPr>
          <w:lang w:val="en-GB"/>
        </w:rPr>
      </w:pPr>
      <w:r w:rsidRPr="00380B40">
        <w:rPr>
          <w:lang w:val="en-GB"/>
        </w:rPr>
        <w:t>This clause gives guidelines for remote participants.</w:t>
      </w:r>
    </w:p>
    <w:p w14:paraId="1E1E0E47" w14:textId="77777777" w:rsidR="00523689" w:rsidRPr="00380B40" w:rsidRDefault="00523689" w:rsidP="00523689">
      <w:pPr>
        <w:keepNext/>
        <w:rPr>
          <w:lang w:val="en-GB"/>
        </w:rPr>
      </w:pPr>
      <w:r w:rsidRPr="00380B40">
        <w:rPr>
          <w:b/>
          <w:lang w:val="en-GB"/>
        </w:rPr>
        <w:t>8.1</w:t>
      </w:r>
      <w:r w:rsidRPr="00380B40">
        <w:rPr>
          <w:b/>
          <w:lang w:val="en-GB"/>
        </w:rPr>
        <w:tab/>
      </w:r>
      <w:r w:rsidRPr="00380B40">
        <w:rPr>
          <w:rFonts w:asciiTheme="majorBidi" w:hAnsiTheme="majorBidi" w:cstheme="majorBidi"/>
          <w:szCs w:val="24"/>
          <w:lang w:val="en-GB"/>
        </w:rPr>
        <w:t xml:space="preserve">Remote participants are encouraged to use the remote facility through a landline (when available), or to use a headset (and not the microphone and speaker of their machine). </w:t>
      </w:r>
      <w:r w:rsidRPr="00380B40">
        <w:rPr>
          <w:szCs w:val="24"/>
          <w:lang w:val="en-GB"/>
        </w:rPr>
        <w:t>Remote participants should make sure that the loudspeaker on their machine is muted when they call from a landline.</w:t>
      </w:r>
    </w:p>
    <w:p w14:paraId="02168A0C" w14:textId="77777777" w:rsidR="00523689" w:rsidRPr="00380B40" w:rsidRDefault="00523689" w:rsidP="00523689">
      <w:pPr>
        <w:rPr>
          <w:rFonts w:ascii="Calibri" w:eastAsiaTheme="minorHAnsi" w:hAnsi="Calibri" w:cs="Calibri"/>
          <w:szCs w:val="22"/>
          <w:lang w:val="en-GB"/>
        </w:rPr>
      </w:pPr>
      <w:r w:rsidRPr="00380B40">
        <w:rPr>
          <w:b/>
          <w:lang w:val="en-GB"/>
        </w:rPr>
        <w:t>8.2</w:t>
      </w:r>
      <w:r w:rsidRPr="00380B40">
        <w:rPr>
          <w:lang w:val="en-GB"/>
        </w:rPr>
        <w:tab/>
        <w:t>It is recommended that remote participants connect at least five minutes before the start of a meeting to avoid disturbance. This will also allow for the group chairman and/or the remote participation moderator to check sound levels.</w:t>
      </w:r>
    </w:p>
    <w:p w14:paraId="35BA9014" w14:textId="77777777" w:rsidR="00523689" w:rsidRPr="00380B40" w:rsidRDefault="00523689" w:rsidP="00523689">
      <w:pPr>
        <w:rPr>
          <w:b/>
          <w:lang w:val="en-GB"/>
        </w:rPr>
      </w:pPr>
      <w:r w:rsidRPr="00380B40">
        <w:rPr>
          <w:b/>
          <w:lang w:val="en-GB"/>
        </w:rPr>
        <w:t>8.3</w:t>
      </w:r>
      <w:r w:rsidRPr="00380B40">
        <w:rPr>
          <w:b/>
          <w:lang w:val="en-GB"/>
        </w:rPr>
        <w:tab/>
      </w:r>
      <w:r w:rsidRPr="00380B40">
        <w:rPr>
          <w:lang w:val="en-GB"/>
        </w:rPr>
        <w:t>Remote participants are encouraged to announce their name and affiliation clearly before making any intervention (see also clause 7.4).</w:t>
      </w:r>
    </w:p>
    <w:p w14:paraId="51361F11" w14:textId="77777777" w:rsidR="00523689" w:rsidRPr="00380B40" w:rsidRDefault="00523689" w:rsidP="00523689">
      <w:pPr>
        <w:rPr>
          <w:lang w:val="en-GB"/>
        </w:rPr>
      </w:pPr>
      <w:r w:rsidRPr="00380B40">
        <w:rPr>
          <w:b/>
          <w:lang w:val="en-GB"/>
        </w:rPr>
        <w:t>8.4</w:t>
      </w:r>
      <w:r w:rsidRPr="00380B40">
        <w:rPr>
          <w:b/>
          <w:lang w:val="en-GB"/>
        </w:rPr>
        <w:tab/>
      </w:r>
      <w:r w:rsidRPr="00380B40">
        <w:rPr>
          <w:lang w:val="en-GB"/>
        </w:rPr>
        <w:t>Remote participants should speak from a quiet place without background noise. They should speak slowly and clearly to allow the other participants to compensate for any audio problem. They are encouraged to end their remarks with the phrase "This concludes my intervention."</w:t>
      </w:r>
    </w:p>
    <w:p w14:paraId="2452AAD1" w14:textId="77777777" w:rsidR="00523689" w:rsidRPr="00380B40" w:rsidRDefault="00523689" w:rsidP="00523689">
      <w:pPr>
        <w:pStyle w:val="Note"/>
        <w:rPr>
          <w:lang w:val="en-GB"/>
        </w:rPr>
      </w:pPr>
      <w:r w:rsidRPr="00380B40">
        <w:rPr>
          <w:lang w:val="en-GB"/>
        </w:rPr>
        <w:t>NOTE – Clauses 8.3 and 8.4 are particularly useful in the case of a meeting with interpretation, or with participants with disabilities or specific needs (see clause 10).</w:t>
      </w:r>
    </w:p>
    <w:p w14:paraId="126FCD06" w14:textId="77777777" w:rsidR="00523689" w:rsidRPr="00380B40" w:rsidRDefault="00523689" w:rsidP="00523689">
      <w:pPr>
        <w:rPr>
          <w:lang w:val="en-GB"/>
        </w:rPr>
      </w:pPr>
      <w:r w:rsidRPr="00380B40">
        <w:rPr>
          <w:b/>
          <w:lang w:val="en-GB"/>
        </w:rPr>
        <w:t>8.5</w:t>
      </w:r>
      <w:r w:rsidRPr="00380B40">
        <w:rPr>
          <w:b/>
          <w:lang w:val="en-GB"/>
        </w:rPr>
        <w:tab/>
      </w:r>
      <w:r w:rsidRPr="00380B40">
        <w:rPr>
          <w:lang w:val="en-GB"/>
        </w:rPr>
        <w:t>If the connection is poor, and if requested by the chairman, remote participants should be prepared to type their question or comment in the chat window of the remote participation tool.</w:t>
      </w:r>
    </w:p>
    <w:p w14:paraId="66192263" w14:textId="77777777" w:rsidR="00523689" w:rsidRPr="00380B40" w:rsidRDefault="00523689" w:rsidP="00523689">
      <w:pPr>
        <w:rPr>
          <w:lang w:val="en-GB"/>
        </w:rPr>
      </w:pPr>
      <w:r w:rsidRPr="00380B40">
        <w:rPr>
          <w:b/>
          <w:lang w:val="en-GB"/>
        </w:rPr>
        <w:t>8.6</w:t>
      </w:r>
      <w:r w:rsidRPr="00380B40">
        <w:rPr>
          <w:lang w:val="en-GB"/>
        </w:rPr>
        <w:tab/>
        <w:t>During a physical meeting with remote participation, remote participants accept that, in case of technical problems (e.g., lost connection), their participation may be interrupted (see also clause 8.8) while the physical meeting will continue, whereas in case of onsite technical issues (e.g., headphone failure), the chairman may decide to suspend the meeting until the problem is solved.</w:t>
      </w:r>
    </w:p>
    <w:p w14:paraId="6D492D8B" w14:textId="77777777" w:rsidR="00523689" w:rsidRPr="00380B40" w:rsidRDefault="00523689" w:rsidP="00523689">
      <w:pPr>
        <w:pStyle w:val="Note"/>
        <w:rPr>
          <w:lang w:val="en-GB" w:eastAsia="zh-CN"/>
        </w:rPr>
      </w:pPr>
      <w:r w:rsidRPr="00380B40">
        <w:rPr>
          <w:lang w:val="en-GB"/>
        </w:rPr>
        <w:t>NOTE – Remote participants recognize that a</w:t>
      </w:r>
      <w:r w:rsidRPr="00380B40">
        <w:rPr>
          <w:lang w:val="en-GB" w:eastAsia="zh-CN"/>
        </w:rPr>
        <w:t>n important part of any meeting are the informal discussions during breaks and lunch where delegates can informally explain, understand, and forge the compromises needed for the consensus processes to work. Remote participants recognize that they will not have this type of interaction with the other participants.</w:t>
      </w:r>
    </w:p>
    <w:p w14:paraId="2B6517D2" w14:textId="77777777" w:rsidR="00523689" w:rsidRPr="00380B40" w:rsidRDefault="00523689" w:rsidP="00523689">
      <w:pPr>
        <w:rPr>
          <w:lang w:val="en-GB"/>
        </w:rPr>
      </w:pPr>
      <w:r w:rsidRPr="00380B40">
        <w:rPr>
          <w:b/>
          <w:lang w:val="en-GB"/>
        </w:rPr>
        <w:t>8.7</w:t>
      </w:r>
      <w:r w:rsidRPr="00380B40">
        <w:rPr>
          <w:lang w:val="en-GB"/>
        </w:rPr>
        <w:tab/>
        <w:t>Remote participants accept that in case of technical problems (e.g., lost connection) during an e-meeting, the chairman will assess whether enough participants are still connected and will decide whether to continue the meeting (see also clause 8.8) or to suspend the meeting until the problem is solved.</w:t>
      </w:r>
    </w:p>
    <w:p w14:paraId="604FA389" w14:textId="77777777" w:rsidR="00523689" w:rsidRPr="00380B40" w:rsidRDefault="00523689" w:rsidP="00523689">
      <w:pPr>
        <w:rPr>
          <w:lang w:val="en-GB"/>
        </w:rPr>
      </w:pPr>
      <w:r w:rsidRPr="00380B40">
        <w:rPr>
          <w:b/>
          <w:lang w:val="en-GB"/>
        </w:rPr>
        <w:t>8.8</w:t>
      </w:r>
      <w:r w:rsidRPr="00380B40">
        <w:rPr>
          <w:lang w:val="en-GB"/>
        </w:rPr>
        <w:tab/>
        <w:t>Remote participants may report problems to the remote participation moderator (when available) who should determine where the cause lies and should either take direct remedial action or offer advice as appropriate. A remote participant who experiences problems in joining the meeting should preferably discuss with the remote participation moderator in a private chat window (or tab) so that the main chat window is reserved for discussions of interest to all participants.</w:t>
      </w:r>
    </w:p>
    <w:p w14:paraId="6A41AD36" w14:textId="77777777" w:rsidR="009B463F" w:rsidRPr="00380B40" w:rsidRDefault="009B463F" w:rsidP="009B463F">
      <w:pPr>
        <w:rPr>
          <w:lang w:val="en-GB"/>
        </w:rPr>
      </w:pPr>
      <w:bookmarkStart w:id="2231" w:name="_Toc426721612"/>
      <w:bookmarkStart w:id="2232" w:name="_Toc427160633"/>
      <w:r w:rsidRPr="00380B40">
        <w:rPr>
          <w:lang w:val="en-GB"/>
        </w:rPr>
        <w:br w:type="page"/>
      </w:r>
    </w:p>
    <w:p w14:paraId="749EE6C7" w14:textId="77777777" w:rsidR="00523689" w:rsidRPr="00380B40" w:rsidRDefault="00523689" w:rsidP="00523689">
      <w:pPr>
        <w:pStyle w:val="Heading1"/>
        <w:rPr>
          <w:lang w:val="en-GB"/>
        </w:rPr>
      </w:pPr>
      <w:bookmarkStart w:id="2233" w:name="_Toc111637128"/>
      <w:r w:rsidRPr="00380B40">
        <w:rPr>
          <w:lang w:val="en-GB"/>
        </w:rPr>
        <w:t>9</w:t>
      </w:r>
      <w:r w:rsidRPr="00380B40">
        <w:rPr>
          <w:lang w:val="en-GB"/>
        </w:rPr>
        <w:tab/>
        <w:t>Technical guidelines for in-person participants</w:t>
      </w:r>
      <w:bookmarkEnd w:id="2231"/>
      <w:bookmarkEnd w:id="2232"/>
      <w:bookmarkEnd w:id="2233"/>
    </w:p>
    <w:p w14:paraId="0F084B4B" w14:textId="77777777" w:rsidR="00523689" w:rsidRPr="00380B40" w:rsidRDefault="00523689" w:rsidP="00523689">
      <w:pPr>
        <w:keepNext/>
        <w:rPr>
          <w:lang w:val="en-GB"/>
        </w:rPr>
      </w:pPr>
      <w:r w:rsidRPr="00380B40">
        <w:rPr>
          <w:lang w:val="en-GB"/>
        </w:rPr>
        <w:t>This clause gives guidelines for participants physically present in a meeting with remote participation.</w:t>
      </w:r>
    </w:p>
    <w:p w14:paraId="4C3D3E68" w14:textId="77777777" w:rsidR="00523689" w:rsidRPr="00380B40" w:rsidRDefault="00523689" w:rsidP="00523689">
      <w:pPr>
        <w:rPr>
          <w:lang w:val="en-GB"/>
        </w:rPr>
      </w:pPr>
      <w:r w:rsidRPr="00380B40">
        <w:rPr>
          <w:b/>
          <w:lang w:val="en-GB"/>
        </w:rPr>
        <w:t>9.1</w:t>
      </w:r>
      <w:r w:rsidRPr="00380B40">
        <w:rPr>
          <w:lang w:val="en-GB"/>
        </w:rPr>
        <w:tab/>
      </w:r>
      <w:r w:rsidRPr="00380B40">
        <w:rPr>
          <w:rFonts w:asciiTheme="majorBidi" w:hAnsiTheme="majorBidi" w:cstheme="majorBidi"/>
          <w:szCs w:val="24"/>
          <w:lang w:val="en-GB"/>
        </w:rPr>
        <w:t>In order to increase voice quality, only one microphone should be on (open) at a given time in the meeting room, and physically present participants shall speak close to (and in front of) the microphone.</w:t>
      </w:r>
    </w:p>
    <w:p w14:paraId="64900487" w14:textId="77777777" w:rsidR="00523689" w:rsidRPr="00380B40" w:rsidRDefault="00523689" w:rsidP="00523689">
      <w:pPr>
        <w:pStyle w:val="Heading1"/>
        <w:rPr>
          <w:lang w:val="en-GB"/>
        </w:rPr>
      </w:pPr>
      <w:bookmarkStart w:id="2234" w:name="_Toc426721613"/>
      <w:bookmarkStart w:id="2235" w:name="_Toc427160634"/>
      <w:bookmarkStart w:id="2236" w:name="_Toc111637129"/>
      <w:r w:rsidRPr="00380B40">
        <w:rPr>
          <w:lang w:val="en-GB"/>
        </w:rPr>
        <w:t>10</w:t>
      </w:r>
      <w:r w:rsidRPr="00380B40">
        <w:rPr>
          <w:lang w:val="en-GB"/>
        </w:rPr>
        <w:tab/>
        <w:t>Guidelines for persons with disabilities or with specific needs</w:t>
      </w:r>
      <w:bookmarkEnd w:id="2234"/>
      <w:bookmarkEnd w:id="2235"/>
      <w:bookmarkEnd w:id="2236"/>
    </w:p>
    <w:p w14:paraId="040AACB4" w14:textId="77777777" w:rsidR="00523689" w:rsidRPr="00380B40" w:rsidRDefault="00523689" w:rsidP="00523689">
      <w:pPr>
        <w:rPr>
          <w:lang w:val="en-GB"/>
        </w:rPr>
      </w:pPr>
      <w:r w:rsidRPr="00380B40">
        <w:rPr>
          <w:lang w:val="en-GB"/>
        </w:rPr>
        <w:t>This clause makes reference to guidelines applying to remote participants with hearing or visual impairments, in particular.</w:t>
      </w:r>
    </w:p>
    <w:p w14:paraId="289019F5" w14:textId="77777777" w:rsidR="00523689" w:rsidRPr="00380B40" w:rsidRDefault="00523689" w:rsidP="00523689">
      <w:pPr>
        <w:rPr>
          <w:lang w:val="en-GB"/>
        </w:rPr>
      </w:pPr>
      <w:r w:rsidRPr="00380B40">
        <w:rPr>
          <w:b/>
          <w:lang w:val="en-GB"/>
        </w:rPr>
        <w:t>10.1</w:t>
      </w:r>
      <w:r w:rsidRPr="00380B40">
        <w:rPr>
          <w:lang w:val="en-GB"/>
        </w:rPr>
        <w:tab/>
        <w:t xml:space="preserve">Guidelines for users with hearing or visual impairments are available from the Joint Coordination Activity on Accessibility and Human Factors (JCA-AHF at </w:t>
      </w:r>
      <w:hyperlink r:id="rId497" w:history="1">
        <w:r w:rsidR="00D55E8F" w:rsidRPr="00380B40">
          <w:rPr>
            <w:rStyle w:val="Hyperlink"/>
            <w:lang w:val="en-GB"/>
          </w:rPr>
          <w:t>http://www.itu.int/en/ITU-T/jca/ahf</w:t>
        </w:r>
      </w:hyperlink>
      <w:r w:rsidRPr="00380B40">
        <w:rPr>
          <w:lang w:val="en-GB"/>
        </w:rPr>
        <w:t>).</w:t>
      </w:r>
    </w:p>
    <w:p w14:paraId="3B40980F" w14:textId="77777777" w:rsidR="00523689" w:rsidRPr="00380B40" w:rsidRDefault="00523689" w:rsidP="00523689">
      <w:pPr>
        <w:rPr>
          <w:lang w:val="en-GB"/>
        </w:rPr>
      </w:pPr>
      <w:r w:rsidRPr="00380B40">
        <w:rPr>
          <w:b/>
          <w:lang w:val="en-GB"/>
        </w:rPr>
        <w:t>10.2</w:t>
      </w:r>
      <w:r w:rsidRPr="00380B40">
        <w:rPr>
          <w:lang w:val="en-GB"/>
        </w:rPr>
        <w:tab/>
      </w:r>
      <w:r w:rsidRPr="00380B40">
        <w:rPr>
          <w:szCs w:val="24"/>
          <w:lang w:val="en-GB"/>
        </w:rPr>
        <w:t>Requirements and good practice</w:t>
      </w:r>
      <w:r w:rsidRPr="00380B40">
        <w:rPr>
          <w:lang w:val="en-GB"/>
        </w:rPr>
        <w:t xml:space="preserve"> for supporting remote participation in meetings for all are contained in [HSTP.ACC-RemPart]. </w:t>
      </w:r>
      <w:r w:rsidRPr="00380B40">
        <w:rPr>
          <w:szCs w:val="24"/>
          <w:lang w:val="en-GB"/>
        </w:rPr>
        <w:t xml:space="preserve">Guidelines for accessible meetings are contained in clause 8.1.3 of </w:t>
      </w:r>
      <w:r w:rsidRPr="00380B40">
        <w:rPr>
          <w:lang w:val="en-GB"/>
        </w:rPr>
        <w:t>[FSTP-AM].</w:t>
      </w:r>
    </w:p>
    <w:p w14:paraId="381638F0" w14:textId="77777777" w:rsidR="00523689" w:rsidRPr="00380B40" w:rsidRDefault="00523689" w:rsidP="00523689">
      <w:pPr>
        <w:rPr>
          <w:lang w:val="en-GB"/>
        </w:rPr>
      </w:pPr>
      <w:r w:rsidRPr="00380B40">
        <w:rPr>
          <w:b/>
          <w:lang w:val="en-GB"/>
        </w:rPr>
        <w:t>10.3</w:t>
      </w:r>
      <w:r w:rsidRPr="00380B40">
        <w:rPr>
          <w:lang w:val="en-GB"/>
        </w:rPr>
        <w:tab/>
        <w:t>Persons with disabilities can mention their specific needs</w:t>
      </w:r>
      <w:r w:rsidRPr="00380B40">
        <w:rPr>
          <w:rFonts w:asciiTheme="majorBidi" w:hAnsiTheme="majorBidi" w:cstheme="majorBidi"/>
          <w:iCs/>
          <w:szCs w:val="24"/>
          <w:lang w:val="en-GB"/>
        </w:rPr>
        <w:t xml:space="preserve"> </w:t>
      </w:r>
      <w:r w:rsidRPr="00380B40">
        <w:rPr>
          <w:lang w:val="en-GB"/>
        </w:rPr>
        <w:t xml:space="preserve">(for example, captioning) on the registration form. Provision of specific facilities is done in accordance with </w:t>
      </w:r>
      <w:r w:rsidRPr="00380B40">
        <w:rPr>
          <w:i/>
          <w:lang w:val="en-GB"/>
        </w:rPr>
        <w:t>resolves</w:t>
      </w:r>
      <w:r w:rsidRPr="00380B40">
        <w:rPr>
          <w:lang w:val="en-GB"/>
        </w:rPr>
        <w:t xml:space="preserve"> 3 of [PP Res.167].</w:t>
      </w:r>
    </w:p>
    <w:p w14:paraId="47931F96" w14:textId="77777777" w:rsidR="006F1E90" w:rsidRPr="00380B40" w:rsidRDefault="006F1E90" w:rsidP="008C3E8D">
      <w:pPr>
        <w:jc w:val="left"/>
        <w:rPr>
          <w:lang w:val="en-GB"/>
        </w:rPr>
      </w:pPr>
    </w:p>
    <w:p w14:paraId="722F9382" w14:textId="77777777" w:rsidR="006F1E90" w:rsidRPr="00380B40" w:rsidRDefault="006F1E90" w:rsidP="008C3E8D">
      <w:pPr>
        <w:jc w:val="left"/>
        <w:rPr>
          <w:lang w:val="en-GB"/>
        </w:rPr>
      </w:pPr>
    </w:p>
    <w:p w14:paraId="263AD026" w14:textId="77777777" w:rsidR="006F1E90" w:rsidRPr="00380B40" w:rsidRDefault="006F1E90" w:rsidP="008C3E8D">
      <w:pPr>
        <w:jc w:val="left"/>
        <w:rPr>
          <w:lang w:val="en-GB"/>
        </w:rPr>
      </w:pPr>
    </w:p>
    <w:p w14:paraId="39500744" w14:textId="77777777" w:rsidR="006F1E90" w:rsidRPr="00380B40" w:rsidRDefault="006F1E90" w:rsidP="008C3E8D">
      <w:pPr>
        <w:jc w:val="left"/>
        <w:rPr>
          <w:lang w:val="en-GB"/>
        </w:rPr>
      </w:pPr>
    </w:p>
    <w:p w14:paraId="4E337DCA" w14:textId="77777777" w:rsidR="006F1E90" w:rsidRPr="00380B40" w:rsidRDefault="006F1E90" w:rsidP="008C3E8D">
      <w:pPr>
        <w:jc w:val="left"/>
        <w:rPr>
          <w:lang w:val="en-GB"/>
        </w:rPr>
      </w:pPr>
    </w:p>
    <w:p w14:paraId="286D902A" w14:textId="77777777" w:rsidR="006F1E90" w:rsidRPr="00380B40" w:rsidRDefault="006F1E90" w:rsidP="008C3E8D">
      <w:pPr>
        <w:jc w:val="left"/>
        <w:rPr>
          <w:lang w:val="en-GB"/>
        </w:rPr>
      </w:pPr>
    </w:p>
    <w:p w14:paraId="0E4076AC" w14:textId="77777777" w:rsidR="006F1E90" w:rsidRPr="00380B40" w:rsidRDefault="006F1E90" w:rsidP="008C3E8D">
      <w:pPr>
        <w:jc w:val="left"/>
        <w:rPr>
          <w:lang w:val="en-GB"/>
        </w:rPr>
      </w:pPr>
    </w:p>
    <w:p w14:paraId="5A156F09" w14:textId="77777777" w:rsidR="006F1E90" w:rsidRPr="00380B40" w:rsidRDefault="006F1E90" w:rsidP="008C3E8D">
      <w:pPr>
        <w:jc w:val="left"/>
        <w:rPr>
          <w:lang w:val="en-GB"/>
        </w:rPr>
      </w:pPr>
    </w:p>
    <w:p w14:paraId="0351A236" w14:textId="77777777" w:rsidR="006F1E90" w:rsidRPr="00380B40" w:rsidRDefault="006F1E90" w:rsidP="008C3E8D">
      <w:pPr>
        <w:jc w:val="left"/>
        <w:rPr>
          <w:lang w:val="en-GB"/>
        </w:rPr>
      </w:pPr>
    </w:p>
    <w:p w14:paraId="6DC8A158" w14:textId="77777777" w:rsidR="006F1E90" w:rsidRPr="00380B40" w:rsidRDefault="006F1E90" w:rsidP="008C3E8D">
      <w:pPr>
        <w:jc w:val="left"/>
        <w:rPr>
          <w:lang w:val="en-GB"/>
        </w:rPr>
      </w:pPr>
    </w:p>
    <w:p w14:paraId="44E2A1DC" w14:textId="77777777" w:rsidR="007E52B2" w:rsidRPr="00380B40" w:rsidRDefault="007E52B2"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45684D43" w14:textId="77777777" w:rsidR="007E52B2" w:rsidRPr="00380B40" w:rsidRDefault="007E52B2"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4D68E319" w14:textId="77777777" w:rsidR="007E52B2" w:rsidRPr="00380B40" w:rsidRDefault="007E52B2" w:rsidP="008C3E8D">
      <w:pPr>
        <w:rPr>
          <w:lang w:val="en-GB"/>
        </w:rPr>
        <w:sectPr w:rsidR="007E52B2" w:rsidRPr="00380B40" w:rsidSect="001E7EDE">
          <w:headerReference w:type="even" r:id="rId498"/>
          <w:headerReference w:type="default" r:id="rId499"/>
          <w:footerReference w:type="even" r:id="rId500"/>
          <w:footerReference w:type="default" r:id="rId501"/>
          <w:pgSz w:w="11907" w:h="16834" w:code="9"/>
          <w:pgMar w:top="1134" w:right="1134" w:bottom="1134" w:left="1134" w:header="567" w:footer="567" w:gutter="0"/>
          <w:paperSrc w:first="15" w:other="15"/>
          <w:cols w:space="720"/>
          <w:vAlign w:val="both"/>
          <w:docGrid w:linePitch="326"/>
        </w:sectPr>
      </w:pPr>
    </w:p>
    <w:p w14:paraId="4BDD152A" w14:textId="77777777" w:rsidR="007E52B2" w:rsidRPr="00380B40" w:rsidRDefault="007E52B2" w:rsidP="008C3E8D">
      <w:pPr>
        <w:pStyle w:val="RecNo"/>
        <w:rPr>
          <w:lang w:val="en-GB"/>
        </w:rPr>
      </w:pPr>
      <w:bookmarkStart w:id="2237" w:name="_Toc104459844"/>
      <w:bookmarkStart w:id="2238" w:name="_Toc111637130"/>
      <w:bookmarkStart w:id="2239" w:name="_Toc111638554"/>
      <w:r w:rsidRPr="00380B40">
        <w:rPr>
          <w:lang w:val="en-GB"/>
        </w:rPr>
        <w:t>Supplement </w:t>
      </w:r>
      <w:r w:rsidRPr="00380B40">
        <w:rPr>
          <w:rStyle w:val="href"/>
          <w:lang w:val="en-GB"/>
        </w:rPr>
        <w:t>5</w:t>
      </w:r>
      <w:r w:rsidRPr="00380B40">
        <w:rPr>
          <w:lang w:val="en-GB"/>
        </w:rPr>
        <w:t xml:space="preserve"> to ITU-T A-series Recommendations</w:t>
      </w:r>
      <w:bookmarkEnd w:id="2237"/>
      <w:bookmarkEnd w:id="2238"/>
      <w:bookmarkEnd w:id="2239"/>
    </w:p>
    <w:p w14:paraId="7B81D95A" w14:textId="77777777" w:rsidR="00523689" w:rsidRPr="00380B40" w:rsidRDefault="00523689" w:rsidP="00523689">
      <w:pPr>
        <w:pStyle w:val="Rectitle"/>
        <w:rPr>
          <w:lang w:val="en-GB"/>
        </w:rPr>
      </w:pPr>
      <w:bookmarkStart w:id="2240" w:name="_Toc104459845"/>
      <w:bookmarkStart w:id="2241" w:name="_Toc111638555"/>
      <w:r w:rsidRPr="00380B40">
        <w:rPr>
          <w:lang w:val="en-GB"/>
        </w:rPr>
        <w:t>Guidelines for collaboration and exchange of information</w:t>
      </w:r>
      <w:r w:rsidRPr="00380B40">
        <w:rPr>
          <w:lang w:val="en-GB"/>
        </w:rPr>
        <w:br/>
        <w:t>with other organizations</w:t>
      </w:r>
      <w:bookmarkEnd w:id="2240"/>
      <w:bookmarkEnd w:id="2241"/>
    </w:p>
    <w:p w14:paraId="3F7C3D84" w14:textId="77777777" w:rsidR="00523689" w:rsidRPr="00380B40" w:rsidRDefault="00523689" w:rsidP="00523689">
      <w:pPr>
        <w:pStyle w:val="Heading1"/>
        <w:rPr>
          <w:lang w:val="en-GB"/>
        </w:rPr>
      </w:pPr>
      <w:bookmarkStart w:id="2242" w:name="_Toc442451732"/>
      <w:bookmarkStart w:id="2243" w:name="_Toc444251619"/>
      <w:bookmarkStart w:id="2244" w:name="_Toc445293507"/>
      <w:bookmarkStart w:id="2245" w:name="_Toc457983127"/>
      <w:bookmarkStart w:id="2246" w:name="_Toc459278585"/>
      <w:bookmarkStart w:id="2247" w:name="_Toc111637131"/>
      <w:r w:rsidRPr="00380B40">
        <w:rPr>
          <w:lang w:val="en-GB"/>
        </w:rPr>
        <w:t>1</w:t>
      </w:r>
      <w:r w:rsidRPr="00380B40">
        <w:rPr>
          <w:lang w:val="en-GB"/>
        </w:rPr>
        <w:tab/>
        <w:t>Scope</w:t>
      </w:r>
      <w:bookmarkEnd w:id="2242"/>
      <w:bookmarkEnd w:id="2243"/>
      <w:bookmarkEnd w:id="2244"/>
      <w:bookmarkEnd w:id="2245"/>
      <w:bookmarkEnd w:id="2246"/>
      <w:bookmarkEnd w:id="2247"/>
    </w:p>
    <w:p w14:paraId="1C50D97B" w14:textId="77777777" w:rsidR="00523689" w:rsidRPr="00380B40" w:rsidRDefault="00523689" w:rsidP="00523689">
      <w:pPr>
        <w:rPr>
          <w:lang w:val="en-GB"/>
        </w:rPr>
      </w:pPr>
      <w:r w:rsidRPr="00380B40">
        <w:rPr>
          <w:lang w:val="en-GB"/>
        </w:rPr>
        <w:t>ITU-T maintains cooperative relationships with many other organizations. The technologies for which these organizations are responsible continue to converge, which has resulted in an increase of interdependency between ITU-T's work programme and the programmes of other organizations. This Supplement describes a process for authoritative document exchange with another organization, which is to be agreed upon with that organization. It also introduces generic procedures for developing an ITU-T document (Recommendation, Supplement, etc.) in collaboration with one (or more) other organization(s). Such generic procedures are to be considered as guidelines for negotiating a process or mode of collaboration with other qualified organization(s).</w:t>
      </w:r>
    </w:p>
    <w:p w14:paraId="64B40611" w14:textId="77777777" w:rsidR="00523689" w:rsidRPr="00380B40" w:rsidRDefault="00523689" w:rsidP="00523689">
      <w:pPr>
        <w:rPr>
          <w:lang w:val="en-GB"/>
        </w:rPr>
      </w:pPr>
      <w:r w:rsidRPr="00380B40">
        <w:rPr>
          <w:lang w:val="en-GB"/>
        </w:rPr>
        <w:t>On a case-by-case basis, ITU-T study groups may use other processes or modes of collaboration to those described in this Supplement. In particular, exchange of information (by way of liaison statements) can occur at any time with another organization without applying the processes described in this Supplement.</w:t>
      </w:r>
    </w:p>
    <w:p w14:paraId="6959B7D4" w14:textId="77777777" w:rsidR="00523689" w:rsidRPr="00380B40" w:rsidRDefault="00523689" w:rsidP="00523689">
      <w:pPr>
        <w:pStyle w:val="Note"/>
        <w:rPr>
          <w:lang w:val="en-GB"/>
        </w:rPr>
      </w:pPr>
      <w:r w:rsidRPr="00380B40">
        <w:rPr>
          <w:lang w:val="en-GB"/>
        </w:rPr>
        <w:t>NOTE 1 – This Supplement does not apply to ITU-T Recommendations developed in collaboration with ISO/IEC JTC 1 because the long-standing procedures of [ITU-T A.23], which have proved very successful, remain unchanged.</w:t>
      </w:r>
    </w:p>
    <w:p w14:paraId="31EE314F" w14:textId="77777777" w:rsidR="00523689" w:rsidRPr="00380B40" w:rsidRDefault="00523689" w:rsidP="00523689">
      <w:pPr>
        <w:pStyle w:val="Note"/>
        <w:rPr>
          <w:lang w:val="en-GB"/>
        </w:rPr>
      </w:pPr>
      <w:r w:rsidRPr="00380B40">
        <w:rPr>
          <w:lang w:val="en-GB"/>
        </w:rPr>
        <w:t>NOTE 2 – Regarding collaboration with the Internet Engineering Task Force (IETF), clause 2.5.3 of [ITU</w:t>
      </w:r>
      <w:r w:rsidRPr="00380B40">
        <w:rPr>
          <w:lang w:val="en-GB"/>
        </w:rPr>
        <w:noBreakHyphen/>
        <w:t>T A.Supp3] states that "common or joint text is discouraged because of the current differences in procedures for document approval and revision."</w:t>
      </w:r>
    </w:p>
    <w:p w14:paraId="19E66FC1" w14:textId="77777777" w:rsidR="00523689" w:rsidRPr="00380B40" w:rsidRDefault="00523689" w:rsidP="00523689">
      <w:pPr>
        <w:rPr>
          <w:lang w:val="en-GB"/>
        </w:rPr>
      </w:pPr>
      <w:r w:rsidRPr="00380B40">
        <w:rPr>
          <w:lang w:val="en-GB"/>
        </w:rPr>
        <w:t>The case of normatively referencing the documents of other organizations in ITU</w:t>
      </w:r>
      <w:r w:rsidRPr="00380B40">
        <w:rPr>
          <w:lang w:val="en-GB"/>
        </w:rPr>
        <w:noBreakHyphen/>
        <w:t>T Recommendations is addressed in [ITU</w:t>
      </w:r>
      <w:r w:rsidRPr="00380B40">
        <w:rPr>
          <w:lang w:val="en-GB"/>
        </w:rPr>
        <w:noBreakHyphen/>
        <w:t>T A.5].</w:t>
      </w:r>
    </w:p>
    <w:p w14:paraId="385A009A" w14:textId="77777777" w:rsidR="00523689" w:rsidRPr="00380B40" w:rsidRDefault="00523689" w:rsidP="00523689">
      <w:pPr>
        <w:rPr>
          <w:lang w:val="en-GB"/>
        </w:rPr>
      </w:pPr>
      <w:r w:rsidRPr="00380B40">
        <w:rPr>
          <w:lang w:val="en-GB"/>
        </w:rPr>
        <w:t>The case of ITU-T incorporating texts (in part or in whole, with or without modifications) from another organization is addressed in [ITU-T A.25].</w:t>
      </w:r>
    </w:p>
    <w:p w14:paraId="6FD5E457" w14:textId="77777777" w:rsidR="00523689" w:rsidRPr="00380B40" w:rsidRDefault="00523689" w:rsidP="00523689">
      <w:pPr>
        <w:pStyle w:val="Heading1"/>
        <w:rPr>
          <w:lang w:val="en-GB"/>
        </w:rPr>
      </w:pPr>
      <w:bookmarkStart w:id="2248" w:name="_Toc442451733"/>
      <w:bookmarkStart w:id="2249" w:name="_Toc444251620"/>
      <w:bookmarkStart w:id="2250" w:name="_Toc445293508"/>
      <w:bookmarkStart w:id="2251" w:name="_Toc457983128"/>
      <w:bookmarkStart w:id="2252" w:name="_Toc459278586"/>
      <w:bookmarkStart w:id="2253" w:name="_Toc111637132"/>
      <w:r w:rsidRPr="00380B40">
        <w:rPr>
          <w:lang w:val="en-GB"/>
        </w:rPr>
        <w:t>2</w:t>
      </w:r>
      <w:r w:rsidRPr="00380B40">
        <w:rPr>
          <w:lang w:val="en-GB"/>
        </w:rPr>
        <w:tab/>
        <w:t>References</w:t>
      </w:r>
      <w:bookmarkEnd w:id="2248"/>
      <w:bookmarkEnd w:id="2249"/>
      <w:bookmarkEnd w:id="2250"/>
      <w:bookmarkEnd w:id="2251"/>
      <w:bookmarkEnd w:id="2252"/>
      <w:bookmarkEnd w:id="225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7657"/>
      </w:tblGrid>
      <w:tr w:rsidR="009B463F" w:rsidRPr="004E0F36" w14:paraId="703B6F0D" w14:textId="77777777" w:rsidTr="00C91A38">
        <w:tc>
          <w:tcPr>
            <w:tcW w:w="1028" w:type="pct"/>
          </w:tcPr>
          <w:p w14:paraId="7BA5D9FC" w14:textId="77777777" w:rsidR="009B463F" w:rsidRPr="00380B40" w:rsidRDefault="009B463F" w:rsidP="004E4CA9">
            <w:pPr>
              <w:jc w:val="left"/>
              <w:rPr>
                <w:lang w:val="en-GB"/>
              </w:rPr>
            </w:pPr>
            <w:r w:rsidRPr="00380B40">
              <w:rPr>
                <w:rFonts w:eastAsia="Batang"/>
                <w:lang w:val="en-GB"/>
              </w:rPr>
              <w:t>[ITU-T A.1]</w:t>
            </w:r>
          </w:p>
        </w:tc>
        <w:tc>
          <w:tcPr>
            <w:tcW w:w="3972" w:type="pct"/>
          </w:tcPr>
          <w:p w14:paraId="24A88678" w14:textId="77777777" w:rsidR="009B463F" w:rsidRPr="00380B40" w:rsidRDefault="009B463F" w:rsidP="004E4CA9">
            <w:pPr>
              <w:jc w:val="left"/>
              <w:rPr>
                <w:lang w:val="en-US"/>
              </w:rPr>
            </w:pPr>
            <w:r w:rsidRPr="00380B40">
              <w:rPr>
                <w:rFonts w:eastAsia="Batang"/>
                <w:lang w:val="en-GB"/>
              </w:rPr>
              <w:t xml:space="preserve">Recommendation ITU-T A.1 (2012), </w:t>
            </w:r>
            <w:r w:rsidRPr="00380B40">
              <w:rPr>
                <w:rFonts w:eastAsia="Batang"/>
                <w:i/>
                <w:lang w:val="en-GB"/>
              </w:rPr>
              <w:t>Working methods for study groups of the ITU Telecommunication Standardization Sector (ITU-T)</w:t>
            </w:r>
            <w:r w:rsidRPr="00380B40">
              <w:rPr>
                <w:rFonts w:eastAsia="Batang"/>
                <w:lang w:val="en-GB"/>
              </w:rPr>
              <w:t>.</w:t>
            </w:r>
          </w:p>
        </w:tc>
      </w:tr>
      <w:tr w:rsidR="009B463F" w:rsidRPr="004E0F36" w14:paraId="0D730D5C" w14:textId="77777777" w:rsidTr="00C91A38">
        <w:tc>
          <w:tcPr>
            <w:tcW w:w="1028" w:type="pct"/>
          </w:tcPr>
          <w:p w14:paraId="33202E2C" w14:textId="77777777" w:rsidR="009B463F" w:rsidRPr="00380B40" w:rsidRDefault="009B463F" w:rsidP="004E4CA9">
            <w:pPr>
              <w:jc w:val="left"/>
              <w:rPr>
                <w:lang w:val="en-GB"/>
              </w:rPr>
            </w:pPr>
            <w:r w:rsidRPr="00380B40">
              <w:rPr>
                <w:rFonts w:eastAsia="Batang"/>
                <w:lang w:val="en-GB"/>
              </w:rPr>
              <w:t>[ITU-T A.5]</w:t>
            </w:r>
          </w:p>
        </w:tc>
        <w:tc>
          <w:tcPr>
            <w:tcW w:w="3972" w:type="pct"/>
          </w:tcPr>
          <w:p w14:paraId="74982FEA" w14:textId="77777777" w:rsidR="009B463F" w:rsidRPr="00380B40" w:rsidRDefault="009B463F" w:rsidP="004E4CA9">
            <w:pPr>
              <w:jc w:val="left"/>
              <w:rPr>
                <w:lang w:val="en-US"/>
              </w:rPr>
            </w:pPr>
            <w:r w:rsidRPr="00380B40">
              <w:rPr>
                <w:rFonts w:eastAsia="Batang"/>
                <w:lang w:val="en-GB"/>
              </w:rPr>
              <w:t xml:space="preserve">Recommendation ITU-T A.5 (2016), </w:t>
            </w:r>
            <w:r w:rsidRPr="00380B40">
              <w:rPr>
                <w:rFonts w:eastAsia="Batang"/>
                <w:i/>
                <w:lang w:val="en-GB"/>
              </w:rPr>
              <w:t>Generic procedures for including references to documents of other organizations in ITU</w:t>
            </w:r>
            <w:r w:rsidRPr="00380B40">
              <w:rPr>
                <w:rFonts w:eastAsia="Batang"/>
                <w:i/>
                <w:lang w:val="en-GB"/>
              </w:rPr>
              <w:noBreakHyphen/>
              <w:t>T Recommendations</w:t>
            </w:r>
            <w:r w:rsidRPr="00380B40">
              <w:rPr>
                <w:rFonts w:eastAsia="Batang"/>
                <w:lang w:val="en-GB"/>
              </w:rPr>
              <w:t>.</w:t>
            </w:r>
          </w:p>
        </w:tc>
      </w:tr>
      <w:tr w:rsidR="009B463F" w:rsidRPr="004E0F36" w14:paraId="5CDA6697" w14:textId="77777777" w:rsidTr="00C91A38">
        <w:tc>
          <w:tcPr>
            <w:tcW w:w="1028" w:type="pct"/>
          </w:tcPr>
          <w:p w14:paraId="11D444E3" w14:textId="77777777" w:rsidR="009B463F" w:rsidRPr="00380B40" w:rsidRDefault="009B463F" w:rsidP="004E4CA9">
            <w:pPr>
              <w:jc w:val="left"/>
              <w:rPr>
                <w:lang w:val="en-GB"/>
              </w:rPr>
            </w:pPr>
            <w:r w:rsidRPr="00380B40">
              <w:rPr>
                <w:rFonts w:eastAsia="Batang"/>
                <w:lang w:val="en-GB"/>
              </w:rPr>
              <w:t>[ITU-T A.7]</w:t>
            </w:r>
          </w:p>
        </w:tc>
        <w:tc>
          <w:tcPr>
            <w:tcW w:w="3972" w:type="pct"/>
          </w:tcPr>
          <w:p w14:paraId="1763705D" w14:textId="77777777" w:rsidR="009B463F" w:rsidRPr="00380B40" w:rsidRDefault="009B463F" w:rsidP="004E4CA9">
            <w:pPr>
              <w:jc w:val="left"/>
              <w:rPr>
                <w:lang w:val="en-US"/>
              </w:rPr>
            </w:pPr>
            <w:r w:rsidRPr="00380B40">
              <w:rPr>
                <w:rFonts w:eastAsia="Batang"/>
                <w:lang w:val="en-GB"/>
              </w:rPr>
              <w:t xml:space="preserve">Recommendation ITU-T A.7 (2012), </w:t>
            </w:r>
            <w:r w:rsidRPr="00380B40">
              <w:rPr>
                <w:i/>
                <w:lang w:val="en-GB"/>
              </w:rPr>
              <w:t>Focus groups: Establishment and working procedures</w:t>
            </w:r>
            <w:r w:rsidRPr="00380B40">
              <w:rPr>
                <w:rFonts w:eastAsia="Batang"/>
                <w:lang w:val="en-GB"/>
              </w:rPr>
              <w:t>.</w:t>
            </w:r>
          </w:p>
        </w:tc>
      </w:tr>
      <w:tr w:rsidR="009B463F" w:rsidRPr="004E0F36" w14:paraId="4E9F0839" w14:textId="77777777" w:rsidTr="00C91A38">
        <w:tc>
          <w:tcPr>
            <w:tcW w:w="1028" w:type="pct"/>
          </w:tcPr>
          <w:p w14:paraId="419EA1A5" w14:textId="77777777" w:rsidR="009B463F" w:rsidRPr="00380B40" w:rsidRDefault="009B463F" w:rsidP="004E4CA9">
            <w:pPr>
              <w:jc w:val="left"/>
              <w:rPr>
                <w:lang w:val="en-GB"/>
              </w:rPr>
            </w:pPr>
            <w:r w:rsidRPr="00380B40">
              <w:rPr>
                <w:rFonts w:eastAsia="Batang"/>
                <w:lang w:val="en-GB"/>
              </w:rPr>
              <w:t>[ITU-T A.8]</w:t>
            </w:r>
          </w:p>
        </w:tc>
        <w:tc>
          <w:tcPr>
            <w:tcW w:w="3972" w:type="pct"/>
          </w:tcPr>
          <w:p w14:paraId="7DAC1B44" w14:textId="77777777" w:rsidR="009B463F" w:rsidRPr="00380B40" w:rsidRDefault="009B463F" w:rsidP="004E4CA9">
            <w:pPr>
              <w:jc w:val="left"/>
              <w:rPr>
                <w:lang w:val="en-US"/>
              </w:rPr>
            </w:pPr>
            <w:r w:rsidRPr="00380B40">
              <w:rPr>
                <w:rFonts w:eastAsia="Batang"/>
                <w:lang w:val="en-GB"/>
              </w:rPr>
              <w:t xml:space="preserve">Recommendation ITU-T A.8 (2008), </w:t>
            </w:r>
            <w:r w:rsidRPr="00380B40">
              <w:rPr>
                <w:rFonts w:eastAsia="Batang"/>
                <w:i/>
                <w:lang w:val="en-GB"/>
              </w:rPr>
              <w:t>Alternative approval process for new and revised ITU-T Recommendations</w:t>
            </w:r>
            <w:r w:rsidRPr="00380B40">
              <w:rPr>
                <w:rFonts w:eastAsia="Batang"/>
                <w:lang w:val="en-GB"/>
              </w:rPr>
              <w:t>.</w:t>
            </w:r>
          </w:p>
        </w:tc>
      </w:tr>
    </w:tbl>
    <w:p w14:paraId="460B4ABF" w14:textId="77777777" w:rsidR="00543776" w:rsidRPr="00380B40" w:rsidRDefault="00543776" w:rsidP="009B463F">
      <w:pPr>
        <w:rPr>
          <w:lang w:val="en-GB"/>
        </w:rPr>
      </w:pPr>
    </w:p>
    <w:p w14:paraId="3A3F6BA3" w14:textId="77777777" w:rsidR="00543776" w:rsidRPr="00380B40" w:rsidRDefault="00543776" w:rsidP="009B463F">
      <w:pPr>
        <w:rPr>
          <w:lang w:val="en-GB"/>
        </w:rPr>
      </w:pPr>
      <w:r w:rsidRPr="00380B40">
        <w:rPr>
          <w:lang w:val="en-G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0"/>
        <w:gridCol w:w="7669"/>
      </w:tblGrid>
      <w:tr w:rsidR="00543776" w:rsidRPr="004E0F36" w14:paraId="33C5F024" w14:textId="77777777" w:rsidTr="00C91A38">
        <w:tc>
          <w:tcPr>
            <w:tcW w:w="1022" w:type="pct"/>
          </w:tcPr>
          <w:p w14:paraId="2E11156C" w14:textId="77777777" w:rsidR="00543776" w:rsidRPr="00380B40" w:rsidRDefault="00543776" w:rsidP="004E4CA9">
            <w:pPr>
              <w:jc w:val="left"/>
              <w:rPr>
                <w:lang w:val="en-GB"/>
              </w:rPr>
            </w:pPr>
            <w:bookmarkStart w:id="2254" w:name="_Toc442451734"/>
            <w:bookmarkStart w:id="2255" w:name="_Toc444251621"/>
            <w:bookmarkStart w:id="2256" w:name="_Toc445293509"/>
            <w:r w:rsidRPr="00380B40">
              <w:rPr>
                <w:rFonts w:eastAsia="Batang"/>
                <w:lang w:val="en-GB"/>
              </w:rPr>
              <w:t>[ITU-T A.23]</w:t>
            </w:r>
          </w:p>
        </w:tc>
        <w:tc>
          <w:tcPr>
            <w:tcW w:w="3978" w:type="pct"/>
          </w:tcPr>
          <w:p w14:paraId="606F9577" w14:textId="77777777" w:rsidR="00543776" w:rsidRPr="00380B40" w:rsidRDefault="00543776" w:rsidP="004E4CA9">
            <w:pPr>
              <w:jc w:val="left"/>
              <w:rPr>
                <w:lang w:val="en-GB"/>
              </w:rPr>
            </w:pPr>
            <w:r w:rsidRPr="00380B40">
              <w:rPr>
                <w:rFonts w:eastAsia="Batang"/>
                <w:lang w:val="en-GB"/>
              </w:rPr>
              <w:t xml:space="preserve">Recommendation ITU-T A.23 (2000), </w:t>
            </w:r>
            <w:r w:rsidRPr="00380B40">
              <w:rPr>
                <w:rFonts w:eastAsia="Batang"/>
                <w:i/>
                <w:lang w:val="en-GB"/>
              </w:rPr>
              <w:t>Collaboration with the International Organization for Standardization (ISO) and the International Electrotechnical Commission (IEC) on information technology</w:t>
            </w:r>
            <w:r w:rsidRPr="00380B40">
              <w:rPr>
                <w:rFonts w:eastAsia="Batang"/>
                <w:lang w:val="en-GB"/>
              </w:rPr>
              <w:t>.</w:t>
            </w:r>
          </w:p>
        </w:tc>
      </w:tr>
      <w:tr w:rsidR="00543776" w:rsidRPr="004E0F36" w14:paraId="3E0472BC" w14:textId="77777777" w:rsidTr="00C91A38">
        <w:tc>
          <w:tcPr>
            <w:tcW w:w="1022" w:type="pct"/>
          </w:tcPr>
          <w:p w14:paraId="4B9A5CDC" w14:textId="77777777" w:rsidR="00543776" w:rsidRPr="00380B40" w:rsidRDefault="00543776" w:rsidP="004E4CA9">
            <w:pPr>
              <w:jc w:val="left"/>
              <w:rPr>
                <w:rFonts w:eastAsia="Batang"/>
                <w:lang w:val="en-GB"/>
              </w:rPr>
            </w:pPr>
            <w:r w:rsidRPr="00380B40">
              <w:rPr>
                <w:rFonts w:eastAsia="Batang"/>
                <w:lang w:val="en-GB"/>
              </w:rPr>
              <w:t>[ITU-T A.25]</w:t>
            </w:r>
          </w:p>
        </w:tc>
        <w:tc>
          <w:tcPr>
            <w:tcW w:w="3978" w:type="pct"/>
          </w:tcPr>
          <w:p w14:paraId="7BE93E35" w14:textId="77777777" w:rsidR="00543776" w:rsidRPr="00380B40" w:rsidRDefault="00543776" w:rsidP="004E4CA9">
            <w:pPr>
              <w:jc w:val="left"/>
              <w:rPr>
                <w:lang w:val="en-GB"/>
              </w:rPr>
            </w:pPr>
            <w:r w:rsidRPr="00380B40">
              <w:rPr>
                <w:rFonts w:eastAsia="Batang"/>
                <w:lang w:val="en-GB"/>
              </w:rPr>
              <w:t xml:space="preserve">Recommendation ITU-T A.25 (2016), </w:t>
            </w:r>
            <w:r w:rsidRPr="00380B40">
              <w:rPr>
                <w:rFonts w:eastAsia="Batang"/>
                <w:i/>
                <w:lang w:val="en-GB"/>
              </w:rPr>
              <w:t>Generic procedures for incorporating texts between ITU-T and other organizations</w:t>
            </w:r>
            <w:r w:rsidRPr="00380B40">
              <w:rPr>
                <w:rFonts w:eastAsia="Batang"/>
                <w:lang w:val="en-GB"/>
              </w:rPr>
              <w:t>.</w:t>
            </w:r>
          </w:p>
        </w:tc>
      </w:tr>
      <w:tr w:rsidR="009B463F" w:rsidRPr="00380B40" w14:paraId="2B3E3C1D" w14:textId="77777777" w:rsidTr="00C91A38">
        <w:tc>
          <w:tcPr>
            <w:tcW w:w="1022" w:type="pct"/>
          </w:tcPr>
          <w:p w14:paraId="4BB27D53" w14:textId="77777777" w:rsidR="009B463F" w:rsidRPr="00380B40" w:rsidRDefault="009B463F" w:rsidP="004E4CA9">
            <w:pPr>
              <w:jc w:val="left"/>
              <w:rPr>
                <w:lang w:val="en-GB"/>
              </w:rPr>
            </w:pPr>
            <w:r w:rsidRPr="00380B40">
              <w:rPr>
                <w:rFonts w:eastAsia="Batang"/>
                <w:lang w:val="en-GB"/>
              </w:rPr>
              <w:t>ITU-T A.Supp3]</w:t>
            </w:r>
          </w:p>
        </w:tc>
        <w:tc>
          <w:tcPr>
            <w:tcW w:w="3978" w:type="pct"/>
          </w:tcPr>
          <w:p w14:paraId="197EA9A1" w14:textId="77777777" w:rsidR="009B463F" w:rsidRPr="00380B40" w:rsidRDefault="009B463F" w:rsidP="004E4CA9">
            <w:pPr>
              <w:jc w:val="left"/>
              <w:rPr>
                <w:lang w:val="en-GB"/>
              </w:rPr>
            </w:pPr>
            <w:r w:rsidRPr="00380B40">
              <w:rPr>
                <w:rFonts w:eastAsia="Batang"/>
                <w:lang w:val="en-GB"/>
              </w:rPr>
              <w:t xml:space="preserve">ITU-T A-series Recommendations – Supplement 3 (2012), </w:t>
            </w:r>
            <w:r w:rsidRPr="00380B40">
              <w:rPr>
                <w:rFonts w:eastAsia="Batang"/>
                <w:i/>
                <w:lang w:val="en-GB"/>
              </w:rPr>
              <w:t>IETF and ITU</w:t>
            </w:r>
            <w:r w:rsidRPr="00380B40">
              <w:rPr>
                <w:rFonts w:eastAsia="Batang"/>
                <w:i/>
                <w:lang w:val="en-GB"/>
              </w:rPr>
              <w:noBreakHyphen/>
              <w:t>T collaboration guidelines</w:t>
            </w:r>
            <w:r w:rsidRPr="00380B40">
              <w:rPr>
                <w:rFonts w:eastAsia="Batang"/>
                <w:lang w:val="en-GB"/>
              </w:rPr>
              <w:t>.</w:t>
            </w:r>
          </w:p>
        </w:tc>
      </w:tr>
      <w:tr w:rsidR="009B463F" w:rsidRPr="004E0F36" w14:paraId="5CFF78F0" w14:textId="77777777" w:rsidTr="00C91A38">
        <w:tc>
          <w:tcPr>
            <w:tcW w:w="1022" w:type="pct"/>
          </w:tcPr>
          <w:p w14:paraId="0D94E7F9" w14:textId="77777777" w:rsidR="009B463F" w:rsidRPr="00380B40" w:rsidRDefault="009B463F" w:rsidP="004E4CA9">
            <w:pPr>
              <w:jc w:val="left"/>
              <w:rPr>
                <w:lang w:val="en-GB"/>
              </w:rPr>
            </w:pPr>
            <w:r w:rsidRPr="00380B40">
              <w:rPr>
                <w:rFonts w:eastAsia="Batang"/>
                <w:lang w:val="en-GB"/>
              </w:rPr>
              <w:t>[Author's Guide]</w:t>
            </w:r>
          </w:p>
        </w:tc>
        <w:tc>
          <w:tcPr>
            <w:tcW w:w="3978" w:type="pct"/>
          </w:tcPr>
          <w:p w14:paraId="24940138" w14:textId="77777777" w:rsidR="009B463F" w:rsidRPr="00380B40" w:rsidRDefault="009B463F" w:rsidP="004E4CA9">
            <w:pPr>
              <w:jc w:val="left"/>
              <w:rPr>
                <w:lang w:val="en-GB"/>
              </w:rPr>
            </w:pPr>
            <w:r w:rsidRPr="00380B40">
              <w:rPr>
                <w:rFonts w:eastAsia="Batang"/>
                <w:i/>
                <w:lang w:val="en-GB"/>
              </w:rPr>
              <w:t>Author's Guide for drafting ITU-T Recommendations</w:t>
            </w:r>
            <w:r w:rsidRPr="00380B40">
              <w:rPr>
                <w:rFonts w:eastAsia="Batang"/>
                <w:lang w:val="en-GB"/>
              </w:rPr>
              <w:t xml:space="preserve"> (2016).</w:t>
            </w:r>
            <w:r w:rsidRPr="00380B40">
              <w:rPr>
                <w:rFonts w:eastAsia="Batang"/>
                <w:lang w:val="en-GB"/>
              </w:rPr>
              <w:br/>
            </w:r>
            <w:r w:rsidRPr="00B62576">
              <w:rPr>
                <w:rFonts w:asciiTheme="minorBidi" w:eastAsia="Batang" w:hAnsiTheme="minorBidi"/>
                <w:sz w:val="18"/>
                <w:szCs w:val="18"/>
                <w:lang w:val="en-GB"/>
              </w:rPr>
              <w:t>&lt;</w:t>
            </w:r>
            <w:hyperlink r:id="rId502" w:history="1">
              <w:r w:rsidR="00D55E8F" w:rsidRPr="00B62576">
                <w:rPr>
                  <w:rStyle w:val="Hyperlink"/>
                  <w:rFonts w:asciiTheme="minorBidi" w:eastAsia="Batang" w:hAnsiTheme="minorBidi"/>
                  <w:sz w:val="18"/>
                  <w:szCs w:val="18"/>
                  <w:lang w:val="en-GB"/>
                </w:rPr>
                <w:t>http://www.itu.int/ITU-T/go/authors-guide/</w:t>
              </w:r>
            </w:hyperlink>
            <w:r w:rsidRPr="00B62576">
              <w:rPr>
                <w:rFonts w:asciiTheme="minorBidi" w:eastAsia="Batang" w:hAnsiTheme="minorBidi"/>
                <w:sz w:val="18"/>
                <w:szCs w:val="18"/>
                <w:lang w:val="en-GB"/>
              </w:rPr>
              <w:t>&gt;</w:t>
            </w:r>
          </w:p>
        </w:tc>
      </w:tr>
      <w:tr w:rsidR="009B463F" w:rsidRPr="004E0F36" w14:paraId="10E9CEDB" w14:textId="77777777" w:rsidTr="00C91A38">
        <w:tc>
          <w:tcPr>
            <w:tcW w:w="1022" w:type="pct"/>
          </w:tcPr>
          <w:p w14:paraId="4FCF86D9" w14:textId="77777777" w:rsidR="009B463F" w:rsidRPr="00380B40" w:rsidRDefault="009B463F" w:rsidP="004E4CA9">
            <w:pPr>
              <w:jc w:val="left"/>
              <w:rPr>
                <w:lang w:val="en-GB"/>
              </w:rPr>
            </w:pPr>
            <w:r w:rsidRPr="00380B40">
              <w:rPr>
                <w:rFonts w:eastAsia="Batang"/>
                <w:lang w:val="en-GB"/>
              </w:rPr>
              <w:t>[Patent policy]</w:t>
            </w:r>
          </w:p>
        </w:tc>
        <w:tc>
          <w:tcPr>
            <w:tcW w:w="3978" w:type="pct"/>
          </w:tcPr>
          <w:p w14:paraId="67750FBE" w14:textId="77777777" w:rsidR="009B463F" w:rsidRPr="00380B40" w:rsidRDefault="009B463F" w:rsidP="004E4CA9">
            <w:pPr>
              <w:jc w:val="left"/>
              <w:rPr>
                <w:lang w:val="en-GB"/>
              </w:rPr>
            </w:pPr>
            <w:r w:rsidRPr="00380B40">
              <w:rPr>
                <w:rFonts w:eastAsia="Batang"/>
                <w:i/>
                <w:lang w:val="en-GB"/>
              </w:rPr>
              <w:t>Common patent policy for ITU-T/ITU-R/ISO/IEC</w:t>
            </w:r>
            <w:r w:rsidRPr="00380B40">
              <w:rPr>
                <w:rFonts w:eastAsia="Batang"/>
                <w:lang w:val="en-GB"/>
              </w:rPr>
              <w:t>.</w:t>
            </w:r>
            <w:r w:rsidRPr="00380B40">
              <w:rPr>
                <w:rFonts w:eastAsia="Batang"/>
                <w:lang w:val="en-GB"/>
              </w:rPr>
              <w:br/>
            </w:r>
            <w:r w:rsidRPr="00B62576">
              <w:rPr>
                <w:rFonts w:asciiTheme="minorBidi" w:eastAsia="Batang" w:hAnsiTheme="minorBidi"/>
                <w:sz w:val="18"/>
                <w:szCs w:val="18"/>
                <w:lang w:val="en-GB"/>
              </w:rPr>
              <w:t>&lt;</w:t>
            </w:r>
            <w:hyperlink r:id="rId503" w:history="1">
              <w:r w:rsidR="00D55E8F" w:rsidRPr="00B62576">
                <w:rPr>
                  <w:rStyle w:val="Hyperlink"/>
                  <w:rFonts w:asciiTheme="minorBidi" w:eastAsia="Batang" w:hAnsiTheme="minorBidi"/>
                  <w:sz w:val="18"/>
                  <w:szCs w:val="18"/>
                  <w:lang w:val="en-GB"/>
                </w:rPr>
                <w:t>http://www.itu.int/en/ITU-T/ipr</w:t>
              </w:r>
            </w:hyperlink>
            <w:r w:rsidRPr="00B62576">
              <w:rPr>
                <w:rFonts w:asciiTheme="minorBidi" w:eastAsia="Batang" w:hAnsiTheme="minorBidi"/>
                <w:sz w:val="18"/>
                <w:szCs w:val="18"/>
                <w:lang w:val="en-GB"/>
              </w:rPr>
              <w:t>&gt;</w:t>
            </w:r>
          </w:p>
        </w:tc>
      </w:tr>
      <w:tr w:rsidR="009B463F" w:rsidRPr="00380B40" w14:paraId="4A3F5953" w14:textId="77777777" w:rsidTr="00C91A38">
        <w:tc>
          <w:tcPr>
            <w:tcW w:w="1022" w:type="pct"/>
          </w:tcPr>
          <w:p w14:paraId="74B1716F" w14:textId="77777777" w:rsidR="009B463F" w:rsidRPr="00380B40" w:rsidRDefault="009B463F" w:rsidP="004E4CA9">
            <w:pPr>
              <w:jc w:val="left"/>
              <w:rPr>
                <w:lang w:val="en-GB"/>
              </w:rPr>
            </w:pPr>
            <w:r w:rsidRPr="00380B40">
              <w:rPr>
                <w:rFonts w:eastAsia="Batang"/>
                <w:lang w:val="en-GB"/>
              </w:rPr>
              <w:t>[WTSA Res. 1]</w:t>
            </w:r>
          </w:p>
        </w:tc>
        <w:tc>
          <w:tcPr>
            <w:tcW w:w="3978" w:type="pct"/>
          </w:tcPr>
          <w:p w14:paraId="5659B346" w14:textId="77777777" w:rsidR="009B463F" w:rsidRPr="00380B40" w:rsidRDefault="009B463F" w:rsidP="004E4CA9">
            <w:pPr>
              <w:jc w:val="left"/>
              <w:rPr>
                <w:lang w:val="en-GB"/>
              </w:rPr>
            </w:pPr>
            <w:r w:rsidRPr="00380B40">
              <w:rPr>
                <w:rFonts w:eastAsia="Batang"/>
                <w:lang w:val="en-GB"/>
              </w:rPr>
              <w:t xml:space="preserve">World Telecommunication Standardization Assembly Resolution 1 (Rev. Dubai, 2012), </w:t>
            </w:r>
            <w:r w:rsidRPr="00380B40">
              <w:rPr>
                <w:rFonts w:eastAsia="Batang"/>
                <w:i/>
                <w:lang w:val="en-GB"/>
              </w:rPr>
              <w:t>Rules of procedure of the ITU Telecommunication Standardization Sector</w:t>
            </w:r>
            <w:r w:rsidRPr="00380B40">
              <w:rPr>
                <w:rFonts w:eastAsia="Batang"/>
                <w:lang w:val="en-GB"/>
              </w:rPr>
              <w:t>.</w:t>
            </w:r>
            <w:r w:rsidRPr="00380B40">
              <w:rPr>
                <w:rFonts w:eastAsia="Batang"/>
                <w:lang w:val="en-GB"/>
              </w:rPr>
              <w:br/>
            </w:r>
            <w:r w:rsidRPr="00380B40">
              <w:rPr>
                <w:rFonts w:asciiTheme="minorBidi" w:eastAsia="Batang" w:hAnsiTheme="minorBidi"/>
                <w:sz w:val="16"/>
                <w:szCs w:val="16"/>
                <w:lang w:val="en-GB"/>
              </w:rPr>
              <w:t>&lt;</w:t>
            </w:r>
            <w:hyperlink r:id="rId504" w:history="1">
              <w:r w:rsidR="00D55E8F" w:rsidRPr="00380B40">
                <w:rPr>
                  <w:rStyle w:val="Hyperlink"/>
                  <w:rFonts w:asciiTheme="minorBidi" w:eastAsia="Batang" w:hAnsiTheme="minorBidi"/>
                  <w:sz w:val="16"/>
                  <w:szCs w:val="16"/>
                  <w:lang w:val="en-GB"/>
                </w:rPr>
                <w:t>http://www.itu.int/pub/T-RES-T.1-2012</w:t>
              </w:r>
            </w:hyperlink>
            <w:r w:rsidRPr="00380B40">
              <w:rPr>
                <w:rFonts w:asciiTheme="minorBidi" w:eastAsia="Batang" w:hAnsiTheme="minorBidi"/>
                <w:sz w:val="16"/>
                <w:szCs w:val="16"/>
                <w:lang w:val="en-GB"/>
              </w:rPr>
              <w:t>&gt;</w:t>
            </w:r>
          </w:p>
        </w:tc>
      </w:tr>
      <w:tr w:rsidR="009B463F" w:rsidRPr="00380B40" w14:paraId="60424DA3" w14:textId="77777777" w:rsidTr="00C91A38">
        <w:tc>
          <w:tcPr>
            <w:tcW w:w="1022" w:type="pct"/>
          </w:tcPr>
          <w:p w14:paraId="7B529745" w14:textId="77777777" w:rsidR="009B463F" w:rsidRPr="00380B40" w:rsidRDefault="009B463F" w:rsidP="004E4CA9">
            <w:pPr>
              <w:jc w:val="left"/>
              <w:rPr>
                <w:lang w:val="en-GB"/>
              </w:rPr>
            </w:pPr>
            <w:r w:rsidRPr="00380B40">
              <w:rPr>
                <w:rFonts w:eastAsia="Batang"/>
                <w:lang w:val="en-GB"/>
              </w:rPr>
              <w:t>[WTSA Res. 18]</w:t>
            </w:r>
          </w:p>
        </w:tc>
        <w:tc>
          <w:tcPr>
            <w:tcW w:w="3978" w:type="pct"/>
          </w:tcPr>
          <w:p w14:paraId="2A823544" w14:textId="77777777" w:rsidR="009B463F" w:rsidRPr="00380B40" w:rsidRDefault="009B463F" w:rsidP="004E4CA9">
            <w:pPr>
              <w:jc w:val="left"/>
              <w:rPr>
                <w:lang w:val="en-GB"/>
              </w:rPr>
            </w:pPr>
            <w:r w:rsidRPr="00380B40">
              <w:rPr>
                <w:rFonts w:eastAsia="Batang"/>
                <w:lang w:val="en-GB"/>
              </w:rPr>
              <w:t xml:space="preserve">World Telecommunication Standardization Assembly Resolution 18 (Rev. Dubai, 2012), </w:t>
            </w:r>
            <w:r w:rsidRPr="00380B40">
              <w:rPr>
                <w:rFonts w:eastAsia="Batang"/>
                <w:i/>
                <w:lang w:val="en-GB"/>
              </w:rPr>
              <w:t>Principles and procedures for the allocation of work to, and coordination between, the ITU Radiocommunication and ITU Telecommunication Standardization Sectors</w:t>
            </w:r>
            <w:r w:rsidRPr="00380B40">
              <w:rPr>
                <w:rFonts w:eastAsia="Batang"/>
                <w:lang w:val="en-GB"/>
              </w:rPr>
              <w:t>.</w:t>
            </w:r>
            <w:r w:rsidRPr="00380B40">
              <w:rPr>
                <w:rFonts w:eastAsia="Batang"/>
                <w:lang w:val="en-GB"/>
              </w:rPr>
              <w:br/>
            </w:r>
            <w:r w:rsidRPr="00B62576">
              <w:rPr>
                <w:rFonts w:asciiTheme="minorBidi" w:eastAsia="Batang" w:hAnsiTheme="minorBidi"/>
                <w:sz w:val="18"/>
                <w:szCs w:val="18"/>
                <w:lang w:val="en-GB"/>
              </w:rPr>
              <w:t>&lt;</w:t>
            </w:r>
            <w:hyperlink r:id="rId505" w:history="1">
              <w:r w:rsidR="00D55E8F" w:rsidRPr="00B62576">
                <w:rPr>
                  <w:rStyle w:val="Hyperlink"/>
                  <w:rFonts w:asciiTheme="minorBidi" w:eastAsia="Batang" w:hAnsiTheme="minorBidi"/>
                  <w:sz w:val="18"/>
                  <w:szCs w:val="18"/>
                  <w:lang w:val="en-GB"/>
                </w:rPr>
                <w:t>http://www.itu.int/pub/T-RES-T.18-2012</w:t>
              </w:r>
            </w:hyperlink>
            <w:r w:rsidRPr="00B62576">
              <w:rPr>
                <w:rFonts w:asciiTheme="minorBidi" w:eastAsia="Batang" w:hAnsiTheme="minorBidi"/>
                <w:sz w:val="18"/>
                <w:szCs w:val="18"/>
                <w:lang w:val="en-GB"/>
              </w:rPr>
              <w:t>&gt;</w:t>
            </w:r>
          </w:p>
        </w:tc>
      </w:tr>
    </w:tbl>
    <w:p w14:paraId="6AA9618B" w14:textId="77777777" w:rsidR="00523689" w:rsidRPr="00380B40" w:rsidRDefault="00523689" w:rsidP="00523689">
      <w:pPr>
        <w:pStyle w:val="Heading1"/>
        <w:rPr>
          <w:lang w:val="en-GB"/>
        </w:rPr>
      </w:pPr>
      <w:bookmarkStart w:id="2257" w:name="_Toc457983129"/>
      <w:bookmarkStart w:id="2258" w:name="_Toc459278587"/>
      <w:bookmarkStart w:id="2259" w:name="_Toc111637133"/>
      <w:r w:rsidRPr="00380B40">
        <w:rPr>
          <w:lang w:val="en-GB"/>
        </w:rPr>
        <w:t>3</w:t>
      </w:r>
      <w:r w:rsidRPr="00380B40">
        <w:rPr>
          <w:lang w:val="en-GB"/>
        </w:rPr>
        <w:tab/>
        <w:t>Definitions</w:t>
      </w:r>
      <w:bookmarkEnd w:id="2254"/>
      <w:bookmarkEnd w:id="2255"/>
      <w:bookmarkEnd w:id="2256"/>
      <w:bookmarkEnd w:id="2257"/>
      <w:bookmarkEnd w:id="2258"/>
      <w:bookmarkEnd w:id="2259"/>
    </w:p>
    <w:p w14:paraId="7F1010F2" w14:textId="77777777" w:rsidR="00523689" w:rsidRPr="00380B40" w:rsidRDefault="00523689" w:rsidP="00523689">
      <w:pPr>
        <w:pStyle w:val="Heading2"/>
        <w:rPr>
          <w:lang w:val="en-GB"/>
        </w:rPr>
      </w:pPr>
      <w:bookmarkStart w:id="2260" w:name="_Toc442451735"/>
      <w:bookmarkStart w:id="2261" w:name="_Toc444251622"/>
      <w:bookmarkStart w:id="2262" w:name="_Toc445293510"/>
      <w:bookmarkStart w:id="2263" w:name="_Toc457983130"/>
      <w:bookmarkStart w:id="2264" w:name="_Toc459278588"/>
      <w:bookmarkStart w:id="2265" w:name="_Toc111637134"/>
      <w:r w:rsidRPr="00380B40">
        <w:rPr>
          <w:lang w:val="en-GB"/>
        </w:rPr>
        <w:t>3.1</w:t>
      </w:r>
      <w:r w:rsidRPr="00380B40">
        <w:rPr>
          <w:lang w:val="en-GB"/>
        </w:rPr>
        <w:tab/>
        <w:t>Terms defined elsewhere</w:t>
      </w:r>
      <w:bookmarkEnd w:id="2260"/>
      <w:bookmarkEnd w:id="2261"/>
      <w:bookmarkEnd w:id="2262"/>
      <w:bookmarkEnd w:id="2263"/>
      <w:bookmarkEnd w:id="2264"/>
      <w:bookmarkEnd w:id="2265"/>
    </w:p>
    <w:p w14:paraId="266712FF" w14:textId="77777777" w:rsidR="00523689" w:rsidRPr="00380B40" w:rsidRDefault="00523689" w:rsidP="00523689">
      <w:pPr>
        <w:rPr>
          <w:lang w:val="en-GB"/>
        </w:rPr>
      </w:pPr>
      <w:r w:rsidRPr="00380B40">
        <w:rPr>
          <w:lang w:val="en-GB"/>
        </w:rPr>
        <w:t>This Supplement uses the following terms defined elsewhere:</w:t>
      </w:r>
    </w:p>
    <w:p w14:paraId="5B507682" w14:textId="77777777" w:rsidR="00523689" w:rsidRPr="00380B40" w:rsidRDefault="00523689" w:rsidP="00523689">
      <w:pPr>
        <w:rPr>
          <w:lang w:val="en-GB"/>
        </w:rPr>
      </w:pPr>
      <w:r w:rsidRPr="00380B40">
        <w:rPr>
          <w:b/>
          <w:bCs/>
          <w:lang w:val="en-GB"/>
        </w:rPr>
        <w:t>3.1.1</w:t>
      </w:r>
      <w:r w:rsidRPr="00380B40">
        <w:rPr>
          <w:b/>
          <w:bCs/>
          <w:lang w:val="en-GB"/>
        </w:rPr>
        <w:tab/>
        <w:t>amendment</w:t>
      </w:r>
      <w:r w:rsidRPr="00380B40">
        <w:rPr>
          <w:bCs/>
          <w:lang w:val="en-GB"/>
        </w:rPr>
        <w:t xml:space="preserve"> [ITU-T A.1]</w:t>
      </w:r>
      <w:r w:rsidRPr="00380B40">
        <w:rPr>
          <w:lang w:val="en-GB"/>
        </w:rPr>
        <w:t xml:space="preserve">: An amendment to a Recommendation contains changes or additions to an already published ITU-T Recommendation. </w:t>
      </w:r>
    </w:p>
    <w:p w14:paraId="38DF4A12" w14:textId="77777777" w:rsidR="00523689" w:rsidRPr="00380B40" w:rsidRDefault="00523689" w:rsidP="00523689">
      <w:pPr>
        <w:pStyle w:val="Note"/>
        <w:rPr>
          <w:lang w:val="en-GB"/>
        </w:rPr>
      </w:pPr>
      <w:r w:rsidRPr="00380B40">
        <w:rPr>
          <w:lang w:val="en-GB"/>
        </w:rPr>
        <w:t>NOTE – An amendment is published by ITU-T as a separate document that contains primarily changes or additions. If it forms an integral part of the Recommendation, approval of an amendment follows the same approval procedures as for Recommendations; otherwise, it is agreed by the study group.</w:t>
      </w:r>
    </w:p>
    <w:p w14:paraId="69295D24" w14:textId="77777777" w:rsidR="00523689" w:rsidRPr="00380B40" w:rsidRDefault="00523689" w:rsidP="00523689">
      <w:pPr>
        <w:rPr>
          <w:lang w:val="en-GB"/>
        </w:rPr>
      </w:pPr>
      <w:r w:rsidRPr="00380B40">
        <w:rPr>
          <w:b/>
          <w:lang w:val="en-GB"/>
        </w:rPr>
        <w:t>3.1.2</w:t>
      </w:r>
      <w:r w:rsidRPr="00380B40">
        <w:rPr>
          <w:b/>
          <w:lang w:val="en-GB"/>
        </w:rPr>
        <w:tab/>
        <w:t>Question</w:t>
      </w:r>
      <w:r w:rsidRPr="00380B40">
        <w:rPr>
          <w:lang w:val="en-GB"/>
        </w:rPr>
        <w:t xml:space="preserve"> [WTSA Res. 1]: Description of an area of work to be studied, normally leading to the production of one or more new or revised Recommendations.</w:t>
      </w:r>
    </w:p>
    <w:p w14:paraId="72E72EA7" w14:textId="77777777" w:rsidR="00543776" w:rsidRPr="00380B40" w:rsidRDefault="00543776" w:rsidP="00523689">
      <w:pPr>
        <w:rPr>
          <w:b/>
          <w:lang w:val="en-GB"/>
        </w:rPr>
      </w:pPr>
      <w:r w:rsidRPr="00380B40">
        <w:rPr>
          <w:b/>
          <w:lang w:val="en-GB"/>
        </w:rPr>
        <w:br w:type="page"/>
      </w:r>
    </w:p>
    <w:p w14:paraId="29F5B12F" w14:textId="77777777" w:rsidR="00523689" w:rsidRPr="00380B40" w:rsidRDefault="00523689" w:rsidP="00523689">
      <w:pPr>
        <w:rPr>
          <w:b/>
          <w:lang w:val="en-GB"/>
        </w:rPr>
      </w:pPr>
      <w:r w:rsidRPr="00380B40">
        <w:rPr>
          <w:b/>
          <w:lang w:val="en-GB"/>
        </w:rPr>
        <w:t>3.1.3</w:t>
      </w:r>
      <w:r w:rsidRPr="00380B40">
        <w:rPr>
          <w:b/>
          <w:lang w:val="en-GB"/>
        </w:rPr>
        <w:tab/>
        <w:t>supplement</w:t>
      </w:r>
      <w:r w:rsidRPr="00380B40">
        <w:rPr>
          <w:lang w:val="en-GB"/>
        </w:rPr>
        <w:t xml:space="preserve"> [ITU-T A.1]: A document which contains material which is supplementary to and associated with the subject matter of one or more Recommendations but which is not essential to their completeness or understanding and implementation.</w:t>
      </w:r>
    </w:p>
    <w:p w14:paraId="519B1CEF" w14:textId="77777777" w:rsidR="00523689" w:rsidRPr="00380B40" w:rsidRDefault="00523689" w:rsidP="00523689">
      <w:pPr>
        <w:pStyle w:val="Note"/>
        <w:rPr>
          <w:lang w:val="en-GB"/>
        </w:rPr>
      </w:pPr>
      <w:r w:rsidRPr="00380B40">
        <w:rPr>
          <w:lang w:val="en-GB"/>
        </w:rPr>
        <w:t>NOTE – Recommendation ITU-T A.13 deals with the subject of supplements to ITU-T Recommendations.</w:t>
      </w:r>
    </w:p>
    <w:p w14:paraId="46B1D3E4" w14:textId="77777777" w:rsidR="00523689" w:rsidRPr="00380B40" w:rsidRDefault="00523689" w:rsidP="00523689">
      <w:pPr>
        <w:pStyle w:val="Heading2"/>
        <w:rPr>
          <w:lang w:val="en-GB"/>
        </w:rPr>
      </w:pPr>
      <w:bookmarkStart w:id="2266" w:name="_Toc442451736"/>
      <w:bookmarkStart w:id="2267" w:name="_Toc444251623"/>
      <w:bookmarkStart w:id="2268" w:name="_Toc445293511"/>
      <w:bookmarkStart w:id="2269" w:name="_Toc457983131"/>
      <w:bookmarkStart w:id="2270" w:name="_Toc459278589"/>
      <w:bookmarkStart w:id="2271" w:name="_Toc111637135"/>
      <w:r w:rsidRPr="00380B40">
        <w:rPr>
          <w:lang w:val="en-GB"/>
        </w:rPr>
        <w:t>3.2</w:t>
      </w:r>
      <w:r w:rsidRPr="00380B40">
        <w:rPr>
          <w:lang w:val="en-GB"/>
        </w:rPr>
        <w:tab/>
        <w:t>Terms defined in this Supplement</w:t>
      </w:r>
      <w:bookmarkEnd w:id="2266"/>
      <w:bookmarkEnd w:id="2267"/>
      <w:bookmarkEnd w:id="2268"/>
      <w:bookmarkEnd w:id="2269"/>
      <w:bookmarkEnd w:id="2270"/>
      <w:bookmarkEnd w:id="2271"/>
    </w:p>
    <w:p w14:paraId="2F1AAE37" w14:textId="77777777" w:rsidR="00523689" w:rsidRPr="00380B40" w:rsidRDefault="00523689" w:rsidP="00523689">
      <w:pPr>
        <w:rPr>
          <w:lang w:val="en-GB"/>
        </w:rPr>
      </w:pPr>
      <w:r w:rsidRPr="00380B40">
        <w:rPr>
          <w:lang w:val="en-GB"/>
        </w:rPr>
        <w:t>This Supplement defines the following terms:</w:t>
      </w:r>
    </w:p>
    <w:p w14:paraId="2D9A4C66" w14:textId="77777777" w:rsidR="00523689" w:rsidRPr="00380B40" w:rsidRDefault="00523689" w:rsidP="00523689">
      <w:pPr>
        <w:rPr>
          <w:lang w:val="en-GB"/>
        </w:rPr>
      </w:pPr>
      <w:r w:rsidRPr="00380B40">
        <w:rPr>
          <w:b/>
          <w:lang w:val="en-GB"/>
        </w:rPr>
        <w:t>3.2.1</w:t>
      </w:r>
      <w:r w:rsidRPr="00380B40">
        <w:rPr>
          <w:b/>
          <w:lang w:val="en-GB"/>
        </w:rPr>
        <w:tab/>
        <w:t>collaborative work</w:t>
      </w:r>
      <w:r w:rsidRPr="00380B40">
        <w:rPr>
          <w:lang w:val="en-GB"/>
        </w:rPr>
        <w:t>: A mode of collaboration between an ITU-T Question and a group in an organization (or groups in multiple organizations) aimed at producing one or more common (or technically-aligned) documents through close liaison, and in the case of common documents, through a synchronized approval (see Appendix II).</w:t>
      </w:r>
    </w:p>
    <w:p w14:paraId="1371A56C" w14:textId="77777777" w:rsidR="00523689" w:rsidRPr="00380B40" w:rsidRDefault="00523689" w:rsidP="00523689">
      <w:pPr>
        <w:rPr>
          <w:lang w:val="en-GB"/>
        </w:rPr>
      </w:pPr>
      <w:r w:rsidRPr="00380B40">
        <w:rPr>
          <w:b/>
          <w:lang w:val="en-GB"/>
        </w:rPr>
        <w:t>3.2.2</w:t>
      </w:r>
      <w:r w:rsidRPr="00380B40">
        <w:rPr>
          <w:lang w:val="en-GB"/>
        </w:rPr>
        <w:tab/>
      </w:r>
      <w:r w:rsidRPr="00380B40">
        <w:rPr>
          <w:b/>
          <w:lang w:val="en-GB"/>
        </w:rPr>
        <w:t>common document</w:t>
      </w:r>
      <w:r w:rsidRPr="00380B40">
        <w:rPr>
          <w:lang w:val="en-GB"/>
        </w:rPr>
        <w:t>: A document which is developed jointly by an ITU-T Question and a group in an organization (or groups in multiple organizations).</w:t>
      </w:r>
    </w:p>
    <w:p w14:paraId="09E3D4D6" w14:textId="77777777" w:rsidR="00523689" w:rsidRPr="00380B40" w:rsidRDefault="00523689" w:rsidP="00523689">
      <w:pPr>
        <w:pStyle w:val="Note"/>
        <w:rPr>
          <w:lang w:val="en-GB"/>
        </w:rPr>
      </w:pPr>
      <w:r w:rsidRPr="00380B40">
        <w:rPr>
          <w:lang w:val="en-GB"/>
        </w:rPr>
        <w:t>NOTE – A unique document is developed jointly by an ITU-T Question and one (or more) organizations but it may be published with different cover pages, headers and footers, based on the publication rules of each organization (see clause</w:t>
      </w:r>
      <w:r w:rsidR="001930D2" w:rsidRPr="00380B40">
        <w:rPr>
          <w:lang w:val="en-GB"/>
        </w:rPr>
        <w:t> </w:t>
      </w:r>
      <w:r w:rsidRPr="00380B40">
        <w:rPr>
          <w:lang w:val="en-GB"/>
        </w:rPr>
        <w:t>9).</w:t>
      </w:r>
    </w:p>
    <w:p w14:paraId="0468DCDA" w14:textId="77777777" w:rsidR="00523689" w:rsidRPr="00380B40" w:rsidRDefault="00523689" w:rsidP="00523689">
      <w:pPr>
        <w:rPr>
          <w:lang w:val="en-GB"/>
        </w:rPr>
      </w:pPr>
      <w:r w:rsidRPr="00380B40">
        <w:rPr>
          <w:b/>
          <w:lang w:val="en-GB"/>
        </w:rPr>
        <w:t>3.2.3</w:t>
      </w:r>
      <w:r w:rsidRPr="00380B40">
        <w:rPr>
          <w:b/>
          <w:lang w:val="en-GB"/>
        </w:rPr>
        <w:tab/>
        <w:t>common team</w:t>
      </w:r>
      <w:r w:rsidRPr="00380B40">
        <w:rPr>
          <w:lang w:val="en-GB"/>
        </w:rPr>
        <w:t>: A working group composed of individuals working on an ITU-T Question and from a group in an organization (or groups in multiple organizations) aimed at producing one or more common (or technically-aligned) documents through common meetings, and in the case of common documents, through a synchronized approval (see Appendix III).</w:t>
      </w:r>
    </w:p>
    <w:p w14:paraId="45ED5922" w14:textId="77777777" w:rsidR="00523689" w:rsidRPr="00380B40" w:rsidRDefault="00523689" w:rsidP="00523689">
      <w:pPr>
        <w:rPr>
          <w:lang w:val="en-GB"/>
        </w:rPr>
      </w:pPr>
      <w:r w:rsidRPr="00380B40">
        <w:rPr>
          <w:b/>
          <w:lang w:val="en-GB"/>
        </w:rPr>
        <w:t>3.2.4</w:t>
      </w:r>
      <w:r w:rsidRPr="00380B40">
        <w:rPr>
          <w:lang w:val="en-GB"/>
        </w:rPr>
        <w:tab/>
      </w:r>
      <w:r w:rsidRPr="00380B40">
        <w:rPr>
          <w:b/>
          <w:lang w:val="en-GB"/>
        </w:rPr>
        <w:t>technically-aligned documents</w:t>
      </w:r>
      <w:r w:rsidRPr="00380B40">
        <w:rPr>
          <w:lang w:val="en-GB"/>
        </w:rPr>
        <w:t>: A pair (or set) of documents which are developed in close collaboration between an ITU</w:t>
      </w:r>
      <w:r w:rsidRPr="00380B40">
        <w:rPr>
          <w:lang w:val="en-GB"/>
        </w:rPr>
        <w:noBreakHyphen/>
        <w:t>T Question and a group in an organization (or groups in multiple organizations), and whose texts are technically aligned (but not identical).</w:t>
      </w:r>
    </w:p>
    <w:p w14:paraId="3D814132" w14:textId="77777777" w:rsidR="00523689" w:rsidRPr="00380B40" w:rsidRDefault="00523689" w:rsidP="00523689">
      <w:pPr>
        <w:pStyle w:val="Note"/>
        <w:rPr>
          <w:lang w:val="en-GB"/>
        </w:rPr>
      </w:pPr>
      <w:r w:rsidRPr="00380B40">
        <w:rPr>
          <w:lang w:val="en-GB"/>
        </w:rPr>
        <w:t>NOTE 1 – Implementation of one technically-aligned document may not hamper interoperability with the implementation of the other technically-aligned document(s).</w:t>
      </w:r>
    </w:p>
    <w:p w14:paraId="22AEFED2" w14:textId="77777777" w:rsidR="00523689" w:rsidRPr="00380B40" w:rsidRDefault="00523689" w:rsidP="00523689">
      <w:pPr>
        <w:pStyle w:val="Note"/>
        <w:rPr>
          <w:lang w:val="en-GB"/>
        </w:rPr>
      </w:pPr>
      <w:r w:rsidRPr="00380B40">
        <w:rPr>
          <w:lang w:val="en-GB"/>
        </w:rPr>
        <w:t xml:space="preserve">NOTE 2 – The document developed by the ITU-T Question follows the ITU-T publication rules (such as </w:t>
      </w:r>
      <w:r w:rsidRPr="00380B40">
        <w:rPr>
          <w:rFonts w:eastAsia="Batang"/>
          <w:lang w:val="en-GB"/>
        </w:rPr>
        <w:t>[Author's Guide]</w:t>
      </w:r>
      <w:r w:rsidRPr="00380B40">
        <w:rPr>
          <w:lang w:val="en-GB"/>
        </w:rPr>
        <w:t>). The other document may follow the publication rules of the (external) organization(s).</w:t>
      </w:r>
    </w:p>
    <w:p w14:paraId="2E728818" w14:textId="77777777" w:rsidR="00523689" w:rsidRPr="00380B40" w:rsidRDefault="00523689" w:rsidP="00523689">
      <w:pPr>
        <w:pStyle w:val="Heading1"/>
        <w:rPr>
          <w:lang w:val="en-GB"/>
        </w:rPr>
      </w:pPr>
      <w:bookmarkStart w:id="2272" w:name="_Toc442451737"/>
      <w:bookmarkStart w:id="2273" w:name="_Toc444251624"/>
      <w:bookmarkStart w:id="2274" w:name="_Toc445293512"/>
      <w:bookmarkStart w:id="2275" w:name="_Toc457983132"/>
      <w:bookmarkStart w:id="2276" w:name="_Toc459278590"/>
      <w:bookmarkStart w:id="2277" w:name="_Toc111637136"/>
      <w:r w:rsidRPr="00380B40">
        <w:rPr>
          <w:lang w:val="en-GB"/>
        </w:rPr>
        <w:t>4</w:t>
      </w:r>
      <w:r w:rsidRPr="00380B40">
        <w:rPr>
          <w:lang w:val="en-GB"/>
        </w:rPr>
        <w:tab/>
        <w:t>Abbreviations and acronyms</w:t>
      </w:r>
      <w:bookmarkEnd w:id="2272"/>
      <w:bookmarkEnd w:id="2273"/>
      <w:bookmarkEnd w:id="2274"/>
      <w:bookmarkEnd w:id="2275"/>
      <w:bookmarkEnd w:id="2276"/>
      <w:bookmarkEnd w:id="2277"/>
    </w:p>
    <w:p w14:paraId="7ADBD755" w14:textId="77777777" w:rsidR="00523689" w:rsidRPr="00380B40" w:rsidRDefault="00523689" w:rsidP="00523689">
      <w:pPr>
        <w:rPr>
          <w:lang w:val="en-GB"/>
        </w:rPr>
      </w:pPr>
      <w:r w:rsidRPr="00380B40">
        <w:rPr>
          <w:lang w:val="en-GB"/>
        </w:rPr>
        <w:t>This Supplement uses the following abbreviations and acronyms: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EF3675" w:rsidRPr="00380B40" w14:paraId="49469F8B" w14:textId="77777777" w:rsidTr="00C91A38">
        <w:tc>
          <w:tcPr>
            <w:tcW w:w="1129" w:type="dxa"/>
          </w:tcPr>
          <w:p w14:paraId="5EE0D72E" w14:textId="77777777" w:rsidR="00EF3675" w:rsidRPr="00380B40" w:rsidRDefault="00EF3675" w:rsidP="004E4CA9">
            <w:pPr>
              <w:tabs>
                <w:tab w:val="clear" w:pos="794"/>
                <w:tab w:val="clear" w:pos="1191"/>
                <w:tab w:val="clear" w:pos="1588"/>
                <w:tab w:val="clear" w:pos="1985"/>
              </w:tabs>
              <w:rPr>
                <w:lang w:val="en-GB"/>
              </w:rPr>
            </w:pPr>
            <w:r w:rsidRPr="00380B40">
              <w:rPr>
                <w:lang w:val="en-GB"/>
              </w:rPr>
              <w:t>AAP</w:t>
            </w:r>
          </w:p>
        </w:tc>
        <w:tc>
          <w:tcPr>
            <w:tcW w:w="8500" w:type="dxa"/>
          </w:tcPr>
          <w:p w14:paraId="72ABF0ED" w14:textId="77777777" w:rsidR="00EF3675" w:rsidRPr="00380B40" w:rsidRDefault="00EF3675" w:rsidP="004E4CA9">
            <w:pPr>
              <w:tabs>
                <w:tab w:val="clear" w:pos="794"/>
                <w:tab w:val="clear" w:pos="1191"/>
                <w:tab w:val="clear" w:pos="1588"/>
                <w:tab w:val="clear" w:pos="1985"/>
              </w:tabs>
              <w:rPr>
                <w:lang w:val="en-GB"/>
              </w:rPr>
            </w:pPr>
            <w:r w:rsidRPr="00380B40">
              <w:rPr>
                <w:lang w:val="en-GB"/>
              </w:rPr>
              <w:t>Alternative Approval Process</w:t>
            </w:r>
          </w:p>
        </w:tc>
      </w:tr>
      <w:tr w:rsidR="00EF3675" w:rsidRPr="00380B40" w14:paraId="03DBF4B9" w14:textId="77777777" w:rsidTr="00C91A38">
        <w:tc>
          <w:tcPr>
            <w:tcW w:w="1129" w:type="dxa"/>
          </w:tcPr>
          <w:p w14:paraId="3563839E" w14:textId="77777777" w:rsidR="00EF3675" w:rsidRPr="00380B40" w:rsidRDefault="00EF3675" w:rsidP="004E4CA9">
            <w:pPr>
              <w:tabs>
                <w:tab w:val="clear" w:pos="794"/>
                <w:tab w:val="clear" w:pos="1191"/>
                <w:tab w:val="clear" w:pos="1588"/>
                <w:tab w:val="clear" w:pos="1985"/>
              </w:tabs>
              <w:rPr>
                <w:lang w:val="en-GB"/>
              </w:rPr>
            </w:pPr>
            <w:r w:rsidRPr="00380B40">
              <w:rPr>
                <w:lang w:val="en-GB"/>
              </w:rPr>
              <w:t>TAP</w:t>
            </w:r>
          </w:p>
        </w:tc>
        <w:tc>
          <w:tcPr>
            <w:tcW w:w="8500" w:type="dxa"/>
          </w:tcPr>
          <w:p w14:paraId="45BD225C" w14:textId="77777777" w:rsidR="00EF3675" w:rsidRPr="00380B40" w:rsidRDefault="00EF3675" w:rsidP="004E4CA9">
            <w:pPr>
              <w:tabs>
                <w:tab w:val="clear" w:pos="794"/>
                <w:tab w:val="clear" w:pos="1191"/>
                <w:tab w:val="clear" w:pos="1588"/>
                <w:tab w:val="clear" w:pos="1985"/>
              </w:tabs>
              <w:rPr>
                <w:lang w:val="en-GB"/>
              </w:rPr>
            </w:pPr>
            <w:r w:rsidRPr="00380B40">
              <w:rPr>
                <w:lang w:val="en-GB"/>
              </w:rPr>
              <w:t>Traditional Approval Process</w:t>
            </w:r>
          </w:p>
        </w:tc>
      </w:tr>
      <w:tr w:rsidR="00EF3675" w:rsidRPr="00380B40" w14:paraId="3192CECB" w14:textId="77777777" w:rsidTr="00C91A38">
        <w:tc>
          <w:tcPr>
            <w:tcW w:w="1129" w:type="dxa"/>
          </w:tcPr>
          <w:p w14:paraId="284813C2" w14:textId="77777777" w:rsidR="00EF3675" w:rsidRPr="00380B40" w:rsidRDefault="00EF3675" w:rsidP="004E4CA9">
            <w:pPr>
              <w:tabs>
                <w:tab w:val="clear" w:pos="794"/>
                <w:tab w:val="clear" w:pos="1191"/>
                <w:tab w:val="clear" w:pos="1588"/>
                <w:tab w:val="clear" w:pos="1985"/>
              </w:tabs>
              <w:rPr>
                <w:lang w:val="en-GB"/>
              </w:rPr>
            </w:pPr>
            <w:r w:rsidRPr="00380B40">
              <w:rPr>
                <w:lang w:val="en-GB"/>
              </w:rPr>
              <w:t>TSB</w:t>
            </w:r>
          </w:p>
        </w:tc>
        <w:tc>
          <w:tcPr>
            <w:tcW w:w="8500" w:type="dxa"/>
          </w:tcPr>
          <w:p w14:paraId="702AB5F1" w14:textId="77777777" w:rsidR="00EF3675" w:rsidRPr="00380B40" w:rsidRDefault="00EF3675" w:rsidP="004E4CA9">
            <w:pPr>
              <w:tabs>
                <w:tab w:val="clear" w:pos="794"/>
                <w:tab w:val="clear" w:pos="1191"/>
                <w:tab w:val="clear" w:pos="1588"/>
                <w:tab w:val="clear" w:pos="1985"/>
              </w:tabs>
              <w:rPr>
                <w:lang w:val="en-GB"/>
              </w:rPr>
            </w:pPr>
            <w:r w:rsidRPr="00380B40">
              <w:rPr>
                <w:lang w:val="en-GB"/>
              </w:rPr>
              <w:t>Telecommunication Standardization Bureau</w:t>
            </w:r>
          </w:p>
        </w:tc>
      </w:tr>
    </w:tbl>
    <w:p w14:paraId="68141F7B" w14:textId="77777777" w:rsidR="00C9394D" w:rsidRPr="00380B40" w:rsidRDefault="00C9394D" w:rsidP="00543776">
      <w:pPr>
        <w:rPr>
          <w:lang w:val="en-GB"/>
        </w:rPr>
      </w:pPr>
      <w:bookmarkStart w:id="2278" w:name="_Toc442451738"/>
      <w:bookmarkStart w:id="2279" w:name="_Toc444251625"/>
      <w:bookmarkStart w:id="2280" w:name="_Toc445293513"/>
      <w:bookmarkStart w:id="2281" w:name="_Toc457983133"/>
      <w:bookmarkStart w:id="2282" w:name="_Toc459278591"/>
    </w:p>
    <w:p w14:paraId="67089470" w14:textId="77777777" w:rsidR="00C9394D" w:rsidRPr="00380B40" w:rsidRDefault="00C9394D" w:rsidP="00543776">
      <w:pPr>
        <w:rPr>
          <w:lang w:val="en-GB"/>
        </w:rPr>
      </w:pPr>
    </w:p>
    <w:p w14:paraId="4F3375F6" w14:textId="77777777" w:rsidR="00C9394D" w:rsidRPr="00380B40" w:rsidRDefault="00C9394D" w:rsidP="00543776">
      <w:pPr>
        <w:rPr>
          <w:lang w:val="en-GB"/>
        </w:rPr>
      </w:pPr>
    </w:p>
    <w:p w14:paraId="04414014" w14:textId="77777777" w:rsidR="00543776" w:rsidRPr="00380B40" w:rsidRDefault="00543776" w:rsidP="00543776">
      <w:pPr>
        <w:rPr>
          <w:lang w:val="en-GB"/>
        </w:rPr>
      </w:pPr>
      <w:r w:rsidRPr="00380B40">
        <w:rPr>
          <w:lang w:val="en-GB"/>
        </w:rPr>
        <w:br w:type="page"/>
      </w:r>
    </w:p>
    <w:p w14:paraId="5643ED58" w14:textId="77777777" w:rsidR="00523689" w:rsidRPr="00380B40" w:rsidRDefault="00523689" w:rsidP="00523689">
      <w:pPr>
        <w:pStyle w:val="Heading1"/>
        <w:rPr>
          <w:lang w:val="en-GB"/>
        </w:rPr>
      </w:pPr>
      <w:bookmarkStart w:id="2283" w:name="_Toc111637137"/>
      <w:r w:rsidRPr="00380B40">
        <w:rPr>
          <w:lang w:val="en-GB"/>
        </w:rPr>
        <w:t>5</w:t>
      </w:r>
      <w:r w:rsidRPr="00380B40">
        <w:rPr>
          <w:lang w:val="en-GB"/>
        </w:rPr>
        <w:tab/>
        <w:t>Conventions</w:t>
      </w:r>
      <w:bookmarkEnd w:id="2278"/>
      <w:bookmarkEnd w:id="2279"/>
      <w:bookmarkEnd w:id="2280"/>
      <w:bookmarkEnd w:id="2281"/>
      <w:bookmarkEnd w:id="2282"/>
      <w:bookmarkEnd w:id="2283"/>
    </w:p>
    <w:p w14:paraId="06F53E03" w14:textId="77777777" w:rsidR="00523689" w:rsidRPr="00380B40" w:rsidRDefault="00523689" w:rsidP="00523689">
      <w:pPr>
        <w:rPr>
          <w:lang w:val="en-GB"/>
        </w:rPr>
      </w:pPr>
      <w:r w:rsidRPr="00380B40">
        <w:rPr>
          <w:lang w:val="en-GB"/>
        </w:rPr>
        <w:t>In expressions such as "each organization", "one organization", "the other organization", the term "organization" (singular) designates an ITU-T study group or an (external) organization. In case of bilateral collaboration, the expression "the organization" always designates the (external) organization with which an ITU</w:t>
      </w:r>
      <w:r w:rsidRPr="00380B40">
        <w:rPr>
          <w:lang w:val="en-GB"/>
        </w:rPr>
        <w:noBreakHyphen/>
        <w:t>T study group has established a mode of collaboration. In case of multilateral collaboration, the expression "the organization" designates the (external) organizations with which one (or more) ITU</w:t>
      </w:r>
      <w:r w:rsidRPr="00380B40">
        <w:rPr>
          <w:lang w:val="en-GB"/>
        </w:rPr>
        <w:noBreakHyphen/>
        <w:t>T study group(s) has established a mode of collaboration.</w:t>
      </w:r>
    </w:p>
    <w:p w14:paraId="0958A1EE" w14:textId="77777777" w:rsidR="00523689" w:rsidRPr="00380B40" w:rsidRDefault="00523689" w:rsidP="00523689">
      <w:pPr>
        <w:rPr>
          <w:lang w:val="en-GB"/>
        </w:rPr>
      </w:pPr>
      <w:r w:rsidRPr="00380B40">
        <w:rPr>
          <w:lang w:val="en-GB"/>
        </w:rPr>
        <w:t>In case of bilateral collaboration, the term "organizations" (plural) designates an ITU-T study group and an (external) organization which have a common interest in an area of work. In case of multilateral collaboration, the term "organizations" designates one (or more) ITU-T study groups and (external) organizations which have a common interest in an area of work.</w:t>
      </w:r>
    </w:p>
    <w:p w14:paraId="2848DAB7" w14:textId="77777777" w:rsidR="00523689" w:rsidRPr="00380B40" w:rsidRDefault="00523689" w:rsidP="00523689">
      <w:pPr>
        <w:rPr>
          <w:lang w:val="en-GB"/>
        </w:rPr>
      </w:pPr>
      <w:r w:rsidRPr="00380B40">
        <w:rPr>
          <w:lang w:val="en-GB"/>
        </w:rPr>
        <w:t>The terms "ballot" and "balloting" are to be understood with respect to the rules and approval process of the organization (ITU-T or the external organization). For ITU-T, this is the last call in the case of the alternative approval process (AAP) and it is the consultation of Member States in the case of the traditional approval process (TAP).</w:t>
      </w:r>
    </w:p>
    <w:p w14:paraId="0DFB5B40" w14:textId="77777777" w:rsidR="00523689" w:rsidRPr="00380B40" w:rsidRDefault="00523689" w:rsidP="00523689">
      <w:pPr>
        <w:pStyle w:val="Heading1"/>
        <w:rPr>
          <w:lang w:val="en-GB"/>
        </w:rPr>
      </w:pPr>
      <w:bookmarkStart w:id="2284" w:name="_Toc442451739"/>
      <w:bookmarkStart w:id="2285" w:name="_Toc444251626"/>
      <w:bookmarkStart w:id="2286" w:name="_Toc445293514"/>
      <w:bookmarkStart w:id="2287" w:name="_Toc457983134"/>
      <w:bookmarkStart w:id="2288" w:name="_Toc459278592"/>
      <w:bookmarkStart w:id="2289" w:name="_Toc111637138"/>
      <w:r w:rsidRPr="00380B40">
        <w:rPr>
          <w:lang w:val="en-GB"/>
        </w:rPr>
        <w:t>6</w:t>
      </w:r>
      <w:r w:rsidRPr="00380B40">
        <w:rPr>
          <w:lang w:val="en-GB"/>
        </w:rPr>
        <w:tab/>
        <w:t>Qualification of an organization</w:t>
      </w:r>
      <w:bookmarkEnd w:id="2284"/>
      <w:bookmarkEnd w:id="2285"/>
      <w:bookmarkEnd w:id="2286"/>
      <w:bookmarkEnd w:id="2287"/>
      <w:bookmarkEnd w:id="2288"/>
      <w:bookmarkEnd w:id="2289"/>
    </w:p>
    <w:p w14:paraId="7EE865A3" w14:textId="77777777" w:rsidR="00523689" w:rsidRPr="00380B40" w:rsidRDefault="00523689" w:rsidP="00523689">
      <w:pPr>
        <w:rPr>
          <w:lang w:val="en-GB"/>
        </w:rPr>
      </w:pPr>
      <w:r w:rsidRPr="00380B40">
        <w:rPr>
          <w:b/>
          <w:bCs/>
          <w:lang w:val="en-GB"/>
        </w:rPr>
        <w:t>6.1</w:t>
      </w:r>
      <w:r w:rsidRPr="00380B40">
        <w:rPr>
          <w:lang w:val="en-GB"/>
        </w:rPr>
        <w:tab/>
        <w:t>It is recommended that the ITU-T study group (or working party) considers the organization according to the criteria set out in clauses 6.1.1 to 6.1.3 (except for ISO and IEC).</w:t>
      </w:r>
    </w:p>
    <w:p w14:paraId="349011AE" w14:textId="77777777" w:rsidR="00523689" w:rsidRPr="00380B40" w:rsidRDefault="00523689" w:rsidP="00523689">
      <w:pPr>
        <w:rPr>
          <w:lang w:val="en-GB"/>
        </w:rPr>
      </w:pPr>
      <w:r w:rsidRPr="00380B40">
        <w:rPr>
          <w:b/>
          <w:bCs/>
          <w:lang w:val="en-GB"/>
        </w:rPr>
        <w:t>6.1.1</w:t>
      </w:r>
      <w:r w:rsidRPr="00380B40">
        <w:rPr>
          <w:lang w:val="en-GB"/>
        </w:rPr>
        <w:tab/>
        <w:t>Qualification of the organization according to the criteria of Annex B to [ITU</w:t>
      </w:r>
      <w:r w:rsidRPr="00380B40">
        <w:rPr>
          <w:lang w:val="en-GB"/>
        </w:rPr>
        <w:noBreakHyphen/>
        <w:t>T A.5] is to be conducted before considering establishing one of the modes of collaboration listed in clause 7.2.</w:t>
      </w:r>
    </w:p>
    <w:p w14:paraId="1603169B" w14:textId="77777777" w:rsidR="00523689" w:rsidRPr="00380B40" w:rsidRDefault="00523689" w:rsidP="00523689">
      <w:pPr>
        <w:pStyle w:val="Note"/>
        <w:rPr>
          <w:szCs w:val="22"/>
          <w:lang w:val="en-GB"/>
        </w:rPr>
      </w:pPr>
      <w:r w:rsidRPr="00380B40">
        <w:rPr>
          <w:szCs w:val="22"/>
          <w:lang w:val="en-GB"/>
        </w:rPr>
        <w:t>NOTE – Organizations which are already qualified according to Recommendations ITU-T A.4, A.5 or A.6 are considered to satisfy clause 6.1.1.</w:t>
      </w:r>
    </w:p>
    <w:p w14:paraId="0F86FC59" w14:textId="77777777" w:rsidR="00523689" w:rsidRPr="00380B40" w:rsidRDefault="00523689" w:rsidP="00523689">
      <w:pPr>
        <w:rPr>
          <w:lang w:val="en-GB"/>
        </w:rPr>
      </w:pPr>
      <w:r w:rsidRPr="00380B40">
        <w:rPr>
          <w:b/>
          <w:bCs/>
          <w:lang w:val="en-GB"/>
        </w:rPr>
        <w:t>6.1.2</w:t>
      </w:r>
      <w:r w:rsidRPr="00380B40">
        <w:rPr>
          <w:lang w:val="en-GB"/>
        </w:rPr>
        <w:tab/>
        <w:t>In addition, the organization is expected to have a process by which its output documents are published and regularly maintained (i.e., reaffirmed, revised, withdrawn, etc.).</w:t>
      </w:r>
    </w:p>
    <w:p w14:paraId="488B931C" w14:textId="77777777" w:rsidR="00523689" w:rsidRPr="00380B40" w:rsidRDefault="00523689" w:rsidP="00523689">
      <w:pPr>
        <w:rPr>
          <w:lang w:val="en-GB"/>
        </w:rPr>
      </w:pPr>
      <w:r w:rsidRPr="00380B40">
        <w:rPr>
          <w:b/>
          <w:bCs/>
          <w:lang w:val="en-GB"/>
        </w:rPr>
        <w:t>6.1.3</w:t>
      </w:r>
      <w:r w:rsidRPr="00380B40">
        <w:rPr>
          <w:lang w:val="en-GB"/>
        </w:rPr>
        <w:tab/>
        <w:t>The organization is also expected to have a document change control process, including a clear, unambiguous document numbering scheme. In particular, a feature to look for is that updated versions of a given document be distinguishable from the earlier versions.</w:t>
      </w:r>
    </w:p>
    <w:p w14:paraId="2D977C87" w14:textId="77777777" w:rsidR="00523689" w:rsidRPr="00380B40" w:rsidRDefault="00523689" w:rsidP="00523689">
      <w:pPr>
        <w:rPr>
          <w:lang w:val="en-GB"/>
        </w:rPr>
      </w:pPr>
      <w:r w:rsidRPr="00380B40">
        <w:rPr>
          <w:b/>
          <w:lang w:val="en-GB"/>
        </w:rPr>
        <w:t>6.2</w:t>
      </w:r>
      <w:r w:rsidRPr="00380B40">
        <w:rPr>
          <w:lang w:val="en-GB"/>
        </w:rPr>
        <w:tab/>
        <w:t>Qualification of the organization according to the criteria of Annex B of [ITU-T A.5] is reviewed on a regular basis by study groups that need to establish a mode of collaboration with that organization. In particular, if the patent policy of that organization has changed, it is important to check that the new patent policy is consistent with the common patent policy for ITU</w:t>
      </w:r>
      <w:r w:rsidRPr="00380B40">
        <w:rPr>
          <w:lang w:val="en-GB"/>
        </w:rPr>
        <w:noBreakHyphen/>
        <w:t>T/ITU</w:t>
      </w:r>
      <w:r w:rsidRPr="00380B40">
        <w:rPr>
          <w:lang w:val="en-GB"/>
        </w:rPr>
        <w:noBreakHyphen/>
        <w:t>R/ISO/IEC and the guidelines for the implementation of the common patent policy for ITU-T/ITU-R/ISO/IEC (see</w:t>
      </w:r>
      <w:r w:rsidRPr="00380B40">
        <w:rPr>
          <w:rFonts w:eastAsia="Batang"/>
          <w:lang w:val="en-GB"/>
        </w:rPr>
        <w:t xml:space="preserve"> clause 11)</w:t>
      </w:r>
      <w:r w:rsidRPr="00380B40">
        <w:rPr>
          <w:lang w:val="en-GB"/>
        </w:rPr>
        <w:t>.</w:t>
      </w:r>
    </w:p>
    <w:p w14:paraId="27911B57" w14:textId="77777777" w:rsidR="00543776" w:rsidRPr="00380B40" w:rsidRDefault="00543776" w:rsidP="00543776">
      <w:pPr>
        <w:rPr>
          <w:lang w:val="en-GB"/>
        </w:rPr>
      </w:pPr>
      <w:bookmarkStart w:id="2290" w:name="_Toc442451740"/>
      <w:bookmarkStart w:id="2291" w:name="_Toc444251627"/>
      <w:bookmarkStart w:id="2292" w:name="_Toc445293515"/>
      <w:bookmarkStart w:id="2293" w:name="_Toc457983135"/>
      <w:bookmarkStart w:id="2294" w:name="_Toc459278593"/>
      <w:r w:rsidRPr="00380B40">
        <w:rPr>
          <w:lang w:val="en-GB"/>
        </w:rPr>
        <w:br w:type="page"/>
      </w:r>
    </w:p>
    <w:p w14:paraId="04D29959" w14:textId="77777777" w:rsidR="00523689" w:rsidRPr="00380B40" w:rsidRDefault="00523689" w:rsidP="00523689">
      <w:pPr>
        <w:pStyle w:val="Heading1"/>
        <w:rPr>
          <w:lang w:val="en-GB"/>
        </w:rPr>
      </w:pPr>
      <w:bookmarkStart w:id="2295" w:name="_Toc111637139"/>
      <w:r w:rsidRPr="00380B40">
        <w:rPr>
          <w:lang w:val="en-GB"/>
        </w:rPr>
        <w:t>7</w:t>
      </w:r>
      <w:r w:rsidRPr="00380B40">
        <w:rPr>
          <w:lang w:val="en-GB"/>
        </w:rPr>
        <w:tab/>
        <w:t>Determining the mode of collaboration</w:t>
      </w:r>
      <w:bookmarkEnd w:id="2290"/>
      <w:bookmarkEnd w:id="2291"/>
      <w:bookmarkEnd w:id="2292"/>
      <w:bookmarkEnd w:id="2293"/>
      <w:bookmarkEnd w:id="2294"/>
      <w:bookmarkEnd w:id="2295"/>
    </w:p>
    <w:p w14:paraId="1E519C6A" w14:textId="77777777" w:rsidR="00523689" w:rsidRPr="00380B40" w:rsidRDefault="00523689" w:rsidP="00563E83">
      <w:pPr>
        <w:rPr>
          <w:lang w:val="en-GB"/>
        </w:rPr>
      </w:pPr>
      <w:r w:rsidRPr="00380B40">
        <w:rPr>
          <w:b/>
          <w:lang w:val="en-GB"/>
        </w:rPr>
        <w:t>7.1</w:t>
      </w:r>
      <w:r w:rsidRPr="00380B40">
        <w:rPr>
          <w:lang w:val="en-GB"/>
        </w:rPr>
        <w:tab/>
      </w:r>
      <w:r w:rsidRPr="00C777D4">
        <w:rPr>
          <w:lang w:val="en-GB"/>
        </w:rPr>
        <w:t>To maximize the effectiveness of resources and to minimize conflict between standards, the ITU</w:t>
      </w:r>
      <w:r w:rsidRPr="00C777D4">
        <w:rPr>
          <w:lang w:val="en-GB"/>
        </w:rPr>
        <w:noBreakHyphen/>
        <w:t>T study group and the relevant group in the organization are encouraged to identify areas for collaborative work as early as possible in the development process. Normally as part of the development of a new Recommendation in ITU-T (see Annex A of [ITU</w:t>
      </w:r>
      <w:r w:rsidRPr="00C777D4">
        <w:rPr>
          <w:lang w:val="en-GB"/>
        </w:rPr>
        <w:noBreakHyphen/>
        <w:t>T A.1]), consideration is given to the need for interactions with other organizations. If enough information is available at this stage, then, if appropriate, one of the following modes of collaboration can be proposed and agreement sought from the other organization (see clause 8).</w:t>
      </w:r>
    </w:p>
    <w:p w14:paraId="3BEA4103" w14:textId="77777777" w:rsidR="00523689" w:rsidRPr="00380B40" w:rsidRDefault="00523689" w:rsidP="00523689">
      <w:pPr>
        <w:pStyle w:val="Figure"/>
        <w:rPr>
          <w:lang w:val="en-GB"/>
        </w:rPr>
      </w:pPr>
      <w:r w:rsidRPr="00380B40">
        <w:rPr>
          <w:lang w:val="en-GB" w:eastAsia="fr-FR"/>
        </w:rPr>
        <w:t xml:space="preserve"> </w:t>
      </w:r>
      <w:r w:rsidRPr="00380B40">
        <w:rPr>
          <w:noProof/>
          <w:lang w:val="en-US" w:eastAsia="zh-CN"/>
        </w:rPr>
        <w:drawing>
          <wp:inline distT="0" distB="0" distL="0" distR="0" wp14:anchorId="733F7163" wp14:editId="2D6D14CD">
            <wp:extent cx="6120765" cy="3782695"/>
            <wp:effectExtent l="0" t="0" r="0" b="8255"/>
            <wp:docPr id="18" name="Picture 18" descr="Figure 1 – Possible modes of collaboration between ITU-T and one or more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 – Possible modes of collaboration between ITU-T and one or more organizations"/>
                    <pic:cNvPicPr/>
                  </pic:nvPicPr>
                  <pic:blipFill>
                    <a:blip r:embed="rId506" cstate="print">
                      <a:extLst>
                        <a:ext uri="{28A0092B-C50C-407E-A947-70E740481C1C}">
                          <a14:useLocalDpi xmlns:a14="http://schemas.microsoft.com/office/drawing/2010/main" val="0"/>
                        </a:ext>
                      </a:extLst>
                    </a:blip>
                    <a:stretch>
                      <a:fillRect/>
                    </a:stretch>
                  </pic:blipFill>
                  <pic:spPr>
                    <a:xfrm>
                      <a:off x="0" y="0"/>
                      <a:ext cx="6120765" cy="3782695"/>
                    </a:xfrm>
                    <a:prstGeom prst="rect">
                      <a:avLst/>
                    </a:prstGeom>
                  </pic:spPr>
                </pic:pic>
              </a:graphicData>
            </a:graphic>
          </wp:inline>
        </w:drawing>
      </w:r>
    </w:p>
    <w:p w14:paraId="60EA0727" w14:textId="77777777" w:rsidR="00523689" w:rsidRPr="00380B40" w:rsidRDefault="00523689" w:rsidP="00FD3C79">
      <w:pPr>
        <w:pStyle w:val="FigureNoTitle1"/>
      </w:pPr>
      <w:r w:rsidRPr="00380B40">
        <w:t xml:space="preserve">Figure 1 – Possible modes of collaboration between ITU-T and </w:t>
      </w:r>
      <w:r w:rsidRPr="00380B40">
        <w:br/>
        <w:t>one or more organizations</w:t>
      </w:r>
    </w:p>
    <w:p w14:paraId="0D2152E4" w14:textId="77777777" w:rsidR="00523689" w:rsidRPr="00C777D4" w:rsidRDefault="00523689" w:rsidP="00B611A9">
      <w:pPr>
        <w:rPr>
          <w:lang w:val="en-GB"/>
        </w:rPr>
      </w:pPr>
      <w:r w:rsidRPr="00C777D4">
        <w:rPr>
          <w:b/>
          <w:lang w:val="en-GB"/>
        </w:rPr>
        <w:t>7.2</w:t>
      </w:r>
      <w:r w:rsidRPr="00C777D4">
        <w:rPr>
          <w:lang w:val="en-GB"/>
        </w:rPr>
        <w:tab/>
        <w:t>Collaboration (as specified in this Supplement) can be carried out in one of three ways: by means of a liaison, by means of collaborative work or by means of a common team. Figure 1 provides some criteria for choosing one mode of collaboration but those criteria are not exhaustive and it is recommended that the study group and the organization carefully evaluate the terms of reference of the collaboration (see clause 8.2).</w:t>
      </w:r>
    </w:p>
    <w:p w14:paraId="5275A1A2" w14:textId="77777777" w:rsidR="00523689" w:rsidRPr="00380B40" w:rsidRDefault="00523689" w:rsidP="00523689">
      <w:pPr>
        <w:pStyle w:val="Note"/>
        <w:rPr>
          <w:lang w:val="en-GB"/>
        </w:rPr>
      </w:pPr>
      <w:r w:rsidRPr="00380B40">
        <w:rPr>
          <w:lang w:val="en-GB"/>
        </w:rPr>
        <w:t>NOTE – These three modes of collaboration can be generalized to a multilateral collaboration as explained in Appendix</w:t>
      </w:r>
      <w:r w:rsidR="001930D2" w:rsidRPr="00380B40">
        <w:rPr>
          <w:lang w:val="en-GB"/>
        </w:rPr>
        <w:t> </w:t>
      </w:r>
      <w:r w:rsidRPr="00380B40">
        <w:rPr>
          <w:lang w:val="en-GB"/>
        </w:rPr>
        <w:t>V.</w:t>
      </w:r>
    </w:p>
    <w:p w14:paraId="05C6B586" w14:textId="77777777" w:rsidR="00543776" w:rsidRPr="00380B40" w:rsidRDefault="00543776" w:rsidP="00523689">
      <w:pPr>
        <w:rPr>
          <w:b/>
          <w:lang w:val="en-GB"/>
        </w:rPr>
      </w:pPr>
      <w:r w:rsidRPr="00380B40">
        <w:rPr>
          <w:b/>
          <w:lang w:val="en-GB"/>
        </w:rPr>
        <w:br w:type="page"/>
      </w:r>
    </w:p>
    <w:p w14:paraId="332E77D9" w14:textId="77777777" w:rsidR="00523689" w:rsidRPr="00380B40" w:rsidRDefault="00523689" w:rsidP="00523689">
      <w:pPr>
        <w:rPr>
          <w:lang w:val="en-GB"/>
        </w:rPr>
      </w:pPr>
      <w:r w:rsidRPr="00380B40">
        <w:rPr>
          <w:b/>
          <w:lang w:val="en-GB"/>
        </w:rPr>
        <w:t>7.3</w:t>
      </w:r>
      <w:r w:rsidRPr="00380B40">
        <w:rPr>
          <w:lang w:val="en-GB"/>
        </w:rPr>
        <w:tab/>
        <w:t>Where an ITU-T study group and an organization have a common interest in an area of work and have agreed that the prime responsibility falls to one of the two organizations, the liaison approach (see Appendix I) is well suited. In this situation, the work is carried out in one organization and the other organization participates, as appropriate, using its liaison status. The result is published by one organization and is referenced, as needed, by the other organization (see [ITU-T A.5]).</w:t>
      </w:r>
    </w:p>
    <w:p w14:paraId="18B89315" w14:textId="77777777" w:rsidR="00523689" w:rsidRPr="00380B40" w:rsidRDefault="00523689" w:rsidP="00523689">
      <w:pPr>
        <w:rPr>
          <w:lang w:val="en-GB"/>
        </w:rPr>
      </w:pPr>
      <w:r w:rsidRPr="00380B40">
        <w:rPr>
          <w:b/>
          <w:lang w:val="en-GB"/>
        </w:rPr>
        <w:t>7.4</w:t>
      </w:r>
      <w:r w:rsidRPr="00380B40">
        <w:rPr>
          <w:lang w:val="en-GB"/>
        </w:rPr>
        <w:tab/>
        <w:t>Collaboration by means of collaborative work is suited for situations where the work to be carried out is straight-forward and relatively non-controversial, and where there is sufficient common participation in the meetings of the two organizations to make the interchange highly effective. The work on resolving issues and developing one or more common documents is continually progressed in the successive meetings of the two groups. The normal approval processes of both ITU-T and the organization are synchronized until the eventual publication of common or technically-aligned texts (see clause 9). Appendix II details generic procedures when collaborative work is performed.</w:t>
      </w:r>
    </w:p>
    <w:p w14:paraId="7BEF3889" w14:textId="77777777" w:rsidR="00523689" w:rsidRPr="00380B40" w:rsidRDefault="00523689" w:rsidP="00523689">
      <w:pPr>
        <w:rPr>
          <w:lang w:val="en-GB"/>
        </w:rPr>
      </w:pPr>
      <w:r w:rsidRPr="00380B40">
        <w:rPr>
          <w:b/>
          <w:lang w:val="en-GB"/>
        </w:rPr>
        <w:t>7.5</w:t>
      </w:r>
      <w:r w:rsidRPr="00380B40">
        <w:rPr>
          <w:lang w:val="en-GB"/>
        </w:rPr>
        <w:tab/>
        <w:t>Collaboration by means of a common team is well suited for situations where extended dialog is necessary to develop solutions and reach consensus. In this situation, all interested parties participate together in a common team to mutually progress the work, resolve issues, and develop one or more common (or technically-aligned) documents. The normal approval processes of both ITU-T and the organization are synchronized until the eventual publication of common or technically-aligned texts (see clause 9). Appendix III details generic procedures when a common team is established.</w:t>
      </w:r>
    </w:p>
    <w:p w14:paraId="2358CA8B" w14:textId="77777777" w:rsidR="00523689" w:rsidRPr="00380B40" w:rsidRDefault="00523689" w:rsidP="00523689">
      <w:pPr>
        <w:rPr>
          <w:lang w:val="en-GB"/>
        </w:rPr>
      </w:pPr>
      <w:r w:rsidRPr="00380B40">
        <w:rPr>
          <w:b/>
          <w:lang w:val="en-GB"/>
        </w:rPr>
        <w:t>7.6</w:t>
      </w:r>
      <w:r w:rsidRPr="00380B40">
        <w:rPr>
          <w:lang w:val="en-GB"/>
        </w:rPr>
        <w:tab/>
        <w:t>It is possible for the mode of collaboration to change as the work progresses. For example, work could be initiated in one organization and, as a result of a liaison statement, it could become recognized as integrally important to the other organization. At this point, agreement could be reached to advance all future work in a mode of collaboration.</w:t>
      </w:r>
    </w:p>
    <w:p w14:paraId="205F0A31" w14:textId="77777777" w:rsidR="00523689" w:rsidRPr="00380B40" w:rsidRDefault="00523689" w:rsidP="00523689">
      <w:pPr>
        <w:pStyle w:val="Heading1"/>
        <w:rPr>
          <w:lang w:val="en-GB"/>
        </w:rPr>
      </w:pPr>
      <w:bookmarkStart w:id="2296" w:name="_Toc442451741"/>
      <w:bookmarkStart w:id="2297" w:name="_Toc444251628"/>
      <w:bookmarkStart w:id="2298" w:name="_Toc445293516"/>
      <w:bookmarkStart w:id="2299" w:name="_Toc457983136"/>
      <w:bookmarkStart w:id="2300" w:name="_Toc459278594"/>
      <w:bookmarkStart w:id="2301" w:name="_Toc111637140"/>
      <w:r w:rsidRPr="00380B40">
        <w:rPr>
          <w:lang w:val="en-GB"/>
        </w:rPr>
        <w:t>8</w:t>
      </w:r>
      <w:r w:rsidRPr="00380B40">
        <w:rPr>
          <w:lang w:val="en-GB"/>
        </w:rPr>
        <w:tab/>
        <w:t>Agreeing the mode of collaboration</w:t>
      </w:r>
      <w:bookmarkEnd w:id="2296"/>
      <w:bookmarkEnd w:id="2297"/>
      <w:bookmarkEnd w:id="2298"/>
      <w:bookmarkEnd w:id="2299"/>
      <w:bookmarkEnd w:id="2300"/>
      <w:bookmarkEnd w:id="2301"/>
    </w:p>
    <w:p w14:paraId="7916CF84" w14:textId="77777777" w:rsidR="00523689" w:rsidRPr="00380B40" w:rsidRDefault="00523689" w:rsidP="00523689">
      <w:pPr>
        <w:rPr>
          <w:lang w:val="en-GB"/>
        </w:rPr>
      </w:pPr>
      <w:r w:rsidRPr="00380B40">
        <w:rPr>
          <w:b/>
          <w:lang w:val="en-GB"/>
        </w:rPr>
        <w:t>8.1</w:t>
      </w:r>
      <w:r w:rsidRPr="00380B40">
        <w:rPr>
          <w:lang w:val="en-GB"/>
        </w:rPr>
        <w:tab/>
        <w:t>Agreement for collaboration needs to be mutually recognized to be successful. Therefore, operation in one of the three modes of collaboration for a given area of work is an agreed decision of both organizations. This agreement (based on the terms of reference presented in clause 8.2) is to be confirmed at the ITU-T study group level and at the appropriate decision-making level of the organization.</w:t>
      </w:r>
    </w:p>
    <w:p w14:paraId="7B23F35C" w14:textId="77777777" w:rsidR="00523689" w:rsidRPr="00380B40" w:rsidRDefault="00523689" w:rsidP="00523689">
      <w:pPr>
        <w:keepNext/>
        <w:rPr>
          <w:lang w:val="en-GB"/>
        </w:rPr>
      </w:pPr>
      <w:r w:rsidRPr="00380B40">
        <w:rPr>
          <w:b/>
          <w:lang w:val="en-GB"/>
        </w:rPr>
        <w:t>8.2</w:t>
      </w:r>
      <w:r w:rsidRPr="00380B40">
        <w:rPr>
          <w:lang w:val="en-GB"/>
        </w:rPr>
        <w:tab/>
        <w:t xml:space="preserve">The mutually agreed terms of reference for a given mode of collaboration may include: </w:t>
      </w:r>
    </w:p>
    <w:p w14:paraId="2D3C0CBB" w14:textId="77777777" w:rsidR="00523689" w:rsidRPr="00380B40" w:rsidRDefault="00523689" w:rsidP="00523689">
      <w:pPr>
        <w:pStyle w:val="enumlev1"/>
        <w:rPr>
          <w:lang w:val="en-GB"/>
        </w:rPr>
      </w:pPr>
      <w:r w:rsidRPr="00380B40">
        <w:rPr>
          <w:lang w:val="en-GB"/>
        </w:rPr>
        <w:t>1)</w:t>
      </w:r>
      <w:r w:rsidRPr="00380B40">
        <w:rPr>
          <w:lang w:val="en-GB"/>
        </w:rPr>
        <w:tab/>
        <w:t>the relevant ITU-T Question and its parent study group;</w:t>
      </w:r>
    </w:p>
    <w:p w14:paraId="73C12298" w14:textId="77777777" w:rsidR="00523689" w:rsidRPr="00380B40" w:rsidRDefault="00523689" w:rsidP="00523689">
      <w:pPr>
        <w:pStyle w:val="enumlev1"/>
        <w:rPr>
          <w:lang w:val="en-GB"/>
        </w:rPr>
      </w:pPr>
      <w:r w:rsidRPr="00380B40">
        <w:rPr>
          <w:lang w:val="en-GB"/>
        </w:rPr>
        <w:t>2)</w:t>
      </w:r>
      <w:r w:rsidRPr="00380B40">
        <w:rPr>
          <w:lang w:val="en-GB"/>
        </w:rPr>
        <w:tab/>
        <w:t>the relevant group in the organization and, if applicable, its parent body;</w:t>
      </w:r>
    </w:p>
    <w:p w14:paraId="5359180E" w14:textId="77777777" w:rsidR="00523689" w:rsidRPr="00380B40" w:rsidRDefault="00523689" w:rsidP="00523689">
      <w:pPr>
        <w:pStyle w:val="enumlev1"/>
        <w:rPr>
          <w:lang w:val="en-GB"/>
        </w:rPr>
      </w:pPr>
      <w:r w:rsidRPr="00380B40">
        <w:rPr>
          <w:lang w:val="en-GB"/>
        </w:rPr>
        <w:t>3)</w:t>
      </w:r>
      <w:r w:rsidRPr="00380B40">
        <w:rPr>
          <w:lang w:val="en-GB"/>
        </w:rPr>
        <w:tab/>
        <w:t>the mode of collaboration (see clause 7);</w:t>
      </w:r>
    </w:p>
    <w:p w14:paraId="1BFCAE39" w14:textId="77777777" w:rsidR="00523689" w:rsidRPr="00380B40" w:rsidRDefault="00523689" w:rsidP="00523689">
      <w:pPr>
        <w:pStyle w:val="enumlev1"/>
        <w:rPr>
          <w:lang w:val="en-GB"/>
        </w:rPr>
      </w:pPr>
      <w:r w:rsidRPr="00380B40">
        <w:rPr>
          <w:lang w:val="en-GB"/>
        </w:rPr>
        <w:t>4)</w:t>
      </w:r>
      <w:r w:rsidRPr="00380B40">
        <w:rPr>
          <w:lang w:val="en-GB"/>
        </w:rPr>
        <w:tab/>
        <w:t>the scope of the effort as it relates to each organization's work programme;</w:t>
      </w:r>
    </w:p>
    <w:p w14:paraId="47B49214" w14:textId="77777777" w:rsidR="00543776" w:rsidRPr="00380B40" w:rsidRDefault="00543776" w:rsidP="00523689">
      <w:pPr>
        <w:pStyle w:val="enumlev1"/>
        <w:rPr>
          <w:lang w:val="en-GB"/>
        </w:rPr>
      </w:pPr>
      <w:r w:rsidRPr="00380B40">
        <w:rPr>
          <w:lang w:val="en-GB"/>
        </w:rPr>
        <w:br w:type="page"/>
      </w:r>
    </w:p>
    <w:p w14:paraId="7554ED24" w14:textId="77777777" w:rsidR="00523689" w:rsidRPr="00380B40" w:rsidRDefault="00523689" w:rsidP="00523689">
      <w:pPr>
        <w:pStyle w:val="enumlev1"/>
        <w:rPr>
          <w:lang w:val="en-GB"/>
        </w:rPr>
      </w:pPr>
      <w:r w:rsidRPr="00380B40">
        <w:rPr>
          <w:lang w:val="en-GB"/>
        </w:rPr>
        <w:t>5)</w:t>
      </w:r>
      <w:r w:rsidRPr="00380B40">
        <w:rPr>
          <w:lang w:val="en-GB"/>
        </w:rPr>
        <w:tab/>
        <w:t>where possible, identification (type, title and reference) of the document(s) that is (are) to be developed collaboratively and their type (technically-aligned documents or common document).</w:t>
      </w:r>
    </w:p>
    <w:p w14:paraId="561A8326" w14:textId="77777777" w:rsidR="00523689" w:rsidRPr="00380B40" w:rsidRDefault="00523689" w:rsidP="00D00068">
      <w:pPr>
        <w:pStyle w:val="Note2"/>
      </w:pPr>
      <w:r w:rsidRPr="00380B40">
        <w:t>NOTE 1 – It is recommended to use the template in [ITU-T A.1], Annex A;</w:t>
      </w:r>
    </w:p>
    <w:p w14:paraId="5226396C" w14:textId="77777777" w:rsidR="00523689" w:rsidRPr="00380B40" w:rsidRDefault="00523689" w:rsidP="00523689">
      <w:pPr>
        <w:pStyle w:val="enumlev1"/>
        <w:rPr>
          <w:lang w:val="en-GB"/>
        </w:rPr>
      </w:pPr>
      <w:r w:rsidRPr="00380B40">
        <w:rPr>
          <w:lang w:val="en-GB"/>
        </w:rPr>
        <w:t>6)</w:t>
      </w:r>
      <w:r w:rsidRPr="00380B40">
        <w:rPr>
          <w:lang w:val="en-GB"/>
        </w:rPr>
        <w:tab/>
        <w:t>detailed explanations on how to synchronize the ITU-T approval process (AAP according to [ITU-T A.8] or TAP according to section 9 of [WTSA Res. 1] or agreement at the study group level) with the approval process in the organization so that comments coming from one organization during the approval process can be taken into account by the other organization (see Appendix IV);</w:t>
      </w:r>
    </w:p>
    <w:p w14:paraId="1F75BE4D" w14:textId="77777777" w:rsidR="00523689" w:rsidRPr="00380B40" w:rsidRDefault="00523689" w:rsidP="00523689">
      <w:pPr>
        <w:pStyle w:val="enumlev1"/>
        <w:rPr>
          <w:lang w:val="en-GB"/>
        </w:rPr>
      </w:pPr>
      <w:r w:rsidRPr="00380B40">
        <w:rPr>
          <w:lang w:val="en-GB"/>
        </w:rPr>
        <w:t>7)</w:t>
      </w:r>
      <w:r w:rsidRPr="00380B40">
        <w:rPr>
          <w:lang w:val="en-GB"/>
        </w:rPr>
        <w:tab/>
        <w:t>any start-up provisions to accommodate work in progress in each organization.</w:t>
      </w:r>
    </w:p>
    <w:p w14:paraId="03125031" w14:textId="77777777" w:rsidR="00523689" w:rsidRPr="00380B40" w:rsidRDefault="00523689" w:rsidP="0030446A">
      <w:pPr>
        <w:pStyle w:val="Note2"/>
      </w:pPr>
      <w:r w:rsidRPr="00380B40">
        <w:t>NOTE 2 – If the draft ITU-T Recommendation has been consented for AAP Last Call (or determined for TAP consultation), the window to establish a collaboration is considered to be closed;</w:t>
      </w:r>
    </w:p>
    <w:p w14:paraId="709B0E76" w14:textId="77777777" w:rsidR="00523689" w:rsidRPr="00380B40" w:rsidRDefault="00523689" w:rsidP="00523689">
      <w:pPr>
        <w:pStyle w:val="enumlev1"/>
        <w:rPr>
          <w:lang w:val="en-GB"/>
        </w:rPr>
      </w:pPr>
      <w:r w:rsidRPr="00380B40">
        <w:rPr>
          <w:lang w:val="en-GB"/>
        </w:rPr>
        <w:t>8)</w:t>
      </w:r>
      <w:r w:rsidRPr="00380B40">
        <w:rPr>
          <w:lang w:val="en-GB"/>
        </w:rPr>
        <w:tab/>
        <w:t>any reporting or tracking provisions beyond those specified in clause II.6 or III.6;</w:t>
      </w:r>
    </w:p>
    <w:p w14:paraId="0786BA96" w14:textId="77777777" w:rsidR="00523689" w:rsidRPr="00380B40" w:rsidRDefault="00523689" w:rsidP="00523689">
      <w:pPr>
        <w:pStyle w:val="enumlev1"/>
        <w:rPr>
          <w:lang w:val="en-GB"/>
        </w:rPr>
      </w:pPr>
      <w:r w:rsidRPr="00380B40">
        <w:rPr>
          <w:lang w:val="en-GB"/>
        </w:rPr>
        <w:t>9)</w:t>
      </w:r>
      <w:r w:rsidRPr="00380B40">
        <w:rPr>
          <w:lang w:val="en-GB"/>
        </w:rPr>
        <w:tab/>
        <w:t>explanations on how the document(s) would be cooperatively maintained by both organizations (see clause 10);</w:t>
      </w:r>
    </w:p>
    <w:p w14:paraId="56B0BE52" w14:textId="77777777" w:rsidR="00523689" w:rsidRPr="00380B40" w:rsidRDefault="00523689" w:rsidP="00523689">
      <w:pPr>
        <w:pStyle w:val="enumlev1"/>
        <w:rPr>
          <w:lang w:val="en-GB"/>
        </w:rPr>
      </w:pPr>
      <w:r w:rsidRPr="00380B40">
        <w:rPr>
          <w:lang w:val="en-GB"/>
        </w:rPr>
        <w:t>10)</w:t>
      </w:r>
      <w:r w:rsidRPr="00380B40">
        <w:rPr>
          <w:lang w:val="en-GB"/>
        </w:rPr>
        <w:tab/>
        <w:t>statement that the organization's patent policy is consistent with the common patent policy for ITU-T/ITU-R/ISO/IEC (see clause 11).</w:t>
      </w:r>
    </w:p>
    <w:p w14:paraId="5582219C" w14:textId="77777777" w:rsidR="00523689" w:rsidRPr="00380B40" w:rsidRDefault="00523689" w:rsidP="00523689">
      <w:pPr>
        <w:rPr>
          <w:lang w:val="en-GB"/>
        </w:rPr>
      </w:pPr>
      <w:r w:rsidRPr="00380B40">
        <w:rPr>
          <w:b/>
          <w:lang w:val="en-GB"/>
        </w:rPr>
        <w:t>8.3</w:t>
      </w:r>
      <w:r w:rsidRPr="00380B40">
        <w:rPr>
          <w:lang w:val="en-GB"/>
        </w:rPr>
        <w:tab/>
        <w:t>A collaborative relationship for a given area of work continues as long as both organizations feel collaboration is beneficial. In the unusual event that either organization feels that collaboration for a given area of work may be terminated, it is recommended to discuss this situation immediately with the other organization. If satisfactory resolution cannot be obtained, then collaboration for the given area of work can be terminated at any time by either the ITU-T study group or the appropriate body in the organization. If termination occurs, both organizations can make use of the prior collaborative work.</w:t>
      </w:r>
    </w:p>
    <w:p w14:paraId="7C5044FF" w14:textId="77777777" w:rsidR="00523689" w:rsidRPr="00380B40" w:rsidRDefault="00523689" w:rsidP="00523689">
      <w:pPr>
        <w:pStyle w:val="Heading1"/>
        <w:rPr>
          <w:lang w:val="en-GB"/>
        </w:rPr>
      </w:pPr>
      <w:bookmarkStart w:id="2302" w:name="_Toc442451742"/>
      <w:bookmarkStart w:id="2303" w:name="_Toc444251629"/>
      <w:bookmarkStart w:id="2304" w:name="_Toc445293517"/>
      <w:bookmarkStart w:id="2305" w:name="_Toc457983137"/>
      <w:bookmarkStart w:id="2306" w:name="_Toc459278595"/>
      <w:bookmarkStart w:id="2307" w:name="_Toc111637141"/>
      <w:r w:rsidRPr="00380B40">
        <w:rPr>
          <w:lang w:val="en-GB"/>
        </w:rPr>
        <w:t>9</w:t>
      </w:r>
      <w:r w:rsidRPr="00380B40">
        <w:rPr>
          <w:lang w:val="en-GB"/>
        </w:rPr>
        <w:tab/>
        <w:t>Publication of documents</w:t>
      </w:r>
      <w:bookmarkEnd w:id="2302"/>
      <w:bookmarkEnd w:id="2303"/>
      <w:bookmarkEnd w:id="2304"/>
      <w:bookmarkEnd w:id="2305"/>
      <w:bookmarkEnd w:id="2306"/>
      <w:bookmarkEnd w:id="2307"/>
    </w:p>
    <w:p w14:paraId="2E73D6FC" w14:textId="77777777" w:rsidR="00523689" w:rsidRPr="00380B40" w:rsidRDefault="00523689" w:rsidP="00523689">
      <w:pPr>
        <w:rPr>
          <w:lang w:val="en-GB"/>
        </w:rPr>
      </w:pPr>
      <w:r w:rsidRPr="00380B40">
        <w:rPr>
          <w:b/>
          <w:lang w:val="en-GB"/>
        </w:rPr>
        <w:t>9.1</w:t>
      </w:r>
      <w:r w:rsidRPr="00380B40">
        <w:rPr>
          <w:lang w:val="en-GB"/>
        </w:rPr>
        <w:tab/>
        <w:t>In the case of a common document, the final editing is done by ITU's Telecommunication Standardization Bureau (TSB) according to [Author's Guide]. TSB then sends the final document as soon as possible to the organization for publication according to its own rules.</w:t>
      </w:r>
    </w:p>
    <w:p w14:paraId="2D0B4E33" w14:textId="77777777" w:rsidR="00523689" w:rsidRPr="00380B40" w:rsidRDefault="00523689" w:rsidP="00523689">
      <w:pPr>
        <w:pStyle w:val="Note"/>
        <w:rPr>
          <w:lang w:val="en-GB"/>
        </w:rPr>
      </w:pPr>
      <w:r w:rsidRPr="00380B40">
        <w:rPr>
          <w:lang w:val="en-GB"/>
        </w:rPr>
        <w:t>NOTE – A unique document is developed jointly by ITU-T and an organization but it may be published with different cover pages, headers and footers, based on the publication rules of each organization. Consequently, cover pages, header and footers do not contain any normative statement.</w:t>
      </w:r>
    </w:p>
    <w:p w14:paraId="25C3CD66" w14:textId="77777777" w:rsidR="00523689" w:rsidRPr="00380B40" w:rsidRDefault="00523689" w:rsidP="00523689">
      <w:pPr>
        <w:rPr>
          <w:lang w:val="en-GB"/>
        </w:rPr>
      </w:pPr>
      <w:r w:rsidRPr="00380B40">
        <w:rPr>
          <w:b/>
          <w:lang w:val="en-GB"/>
        </w:rPr>
        <w:t>9.2</w:t>
      </w:r>
      <w:r w:rsidRPr="00380B40">
        <w:rPr>
          <w:lang w:val="en-GB"/>
        </w:rPr>
        <w:tab/>
        <w:t>In the case of technically-aligned documents, each organization publishes its own document according to its own publication rules. However, it is recommended that the organization waits for TSB to produce the final document for ITU-T in case some editorial changes would also apply to its own document.</w:t>
      </w:r>
    </w:p>
    <w:p w14:paraId="63AB97D9" w14:textId="77777777" w:rsidR="00543776" w:rsidRPr="00380B40" w:rsidRDefault="00543776" w:rsidP="00523689">
      <w:pPr>
        <w:rPr>
          <w:b/>
          <w:lang w:val="en-GB"/>
        </w:rPr>
      </w:pPr>
      <w:r w:rsidRPr="00380B40">
        <w:rPr>
          <w:b/>
          <w:lang w:val="en-GB"/>
        </w:rPr>
        <w:br w:type="page"/>
      </w:r>
    </w:p>
    <w:p w14:paraId="48ED38D9" w14:textId="77777777" w:rsidR="00523689" w:rsidRPr="00380B40" w:rsidRDefault="00523689" w:rsidP="00523689">
      <w:pPr>
        <w:rPr>
          <w:lang w:val="en-GB"/>
        </w:rPr>
      </w:pPr>
      <w:r w:rsidRPr="00380B40">
        <w:rPr>
          <w:b/>
          <w:lang w:val="en-GB"/>
        </w:rPr>
        <w:t>9.3</w:t>
      </w:r>
      <w:r w:rsidRPr="00380B40">
        <w:rPr>
          <w:lang w:val="en-GB"/>
        </w:rPr>
        <w:tab/>
        <w:t>The document is published as a Recommendation in ITU-T and as a standard (or any other type of normative document) in the organization (or as a Supplement or any other type of informative document in ITU-T, and as an informative document in the organization).</w:t>
      </w:r>
    </w:p>
    <w:p w14:paraId="4FAAAE94" w14:textId="77777777" w:rsidR="00523689" w:rsidRPr="00380B40" w:rsidRDefault="00523689" w:rsidP="00523689">
      <w:pPr>
        <w:rPr>
          <w:lang w:val="en-GB"/>
        </w:rPr>
      </w:pPr>
      <w:r w:rsidRPr="00380B40">
        <w:rPr>
          <w:b/>
          <w:lang w:val="en-GB"/>
        </w:rPr>
        <w:t>9.4</w:t>
      </w:r>
      <w:r w:rsidRPr="00380B40">
        <w:rPr>
          <w:lang w:val="en-GB"/>
        </w:rPr>
        <w:tab/>
        <w:t>It is valuable that users perceive the collaboration between ITU-T and the organization. This may be enforced by the following means:</w:t>
      </w:r>
    </w:p>
    <w:p w14:paraId="61F8441F" w14:textId="77777777" w:rsidR="00523689" w:rsidRPr="00380B40" w:rsidRDefault="00523689" w:rsidP="00523689">
      <w:pPr>
        <w:pStyle w:val="enumlev1"/>
        <w:rPr>
          <w:lang w:val="en-GB"/>
        </w:rPr>
      </w:pPr>
      <w:r w:rsidRPr="00380B40">
        <w:rPr>
          <w:lang w:val="en-GB"/>
        </w:rPr>
        <w:t>a)</w:t>
      </w:r>
      <w:r w:rsidRPr="00380B40">
        <w:rPr>
          <w:lang w:val="en-GB"/>
        </w:rPr>
        <w:tab/>
        <w:t>Include a footnote from the title of the ITU-T document that notes the collaborative nature of the work; in the case of technically-aligned document, the footnote gives the title of the document of the organization, and states the degree of technical alignment.</w:t>
      </w:r>
    </w:p>
    <w:p w14:paraId="0C5A49BC" w14:textId="77777777" w:rsidR="00523689" w:rsidRPr="00380B40" w:rsidRDefault="00523689" w:rsidP="00523689">
      <w:pPr>
        <w:pStyle w:val="enumlev1"/>
        <w:rPr>
          <w:lang w:val="en-GB"/>
        </w:rPr>
      </w:pPr>
      <w:r w:rsidRPr="00380B40">
        <w:rPr>
          <w:lang w:val="en-GB"/>
        </w:rPr>
        <w:t>b)</w:t>
      </w:r>
      <w:r w:rsidRPr="00380B40">
        <w:rPr>
          <w:lang w:val="en-GB"/>
        </w:rPr>
        <w:tab/>
        <w:t>Include a footnote from the title of the document of the organization that notes the collaborative nature of the work; in the case of technically-aligned documents, the footnote gives the title of the ITU-T document, and states the degree of technical alignment.</w:t>
      </w:r>
    </w:p>
    <w:p w14:paraId="7ECB570F" w14:textId="77777777" w:rsidR="00523689" w:rsidRPr="00380B40" w:rsidRDefault="00523689" w:rsidP="00523689">
      <w:pPr>
        <w:pStyle w:val="enumlev1"/>
        <w:rPr>
          <w:lang w:val="en-GB"/>
        </w:rPr>
      </w:pPr>
      <w:r w:rsidRPr="00380B40">
        <w:rPr>
          <w:lang w:val="en-GB"/>
        </w:rPr>
        <w:t>c)</w:t>
      </w:r>
      <w:r w:rsidRPr="00380B40">
        <w:rPr>
          <w:lang w:val="en-GB"/>
        </w:rPr>
        <w:tab/>
        <w:t>If an ITU-T document makes a reference to another ITU-T document that is a common document (or has a technically-aligned document in an organization), then include a footnote from the reference as in item a); if there are technical differences between both documents, then include an appendix or annex that summarizes the differences.</w:t>
      </w:r>
    </w:p>
    <w:p w14:paraId="59D7C944" w14:textId="77777777" w:rsidR="00523689" w:rsidRPr="00380B40" w:rsidRDefault="00523689" w:rsidP="00523689">
      <w:pPr>
        <w:pStyle w:val="enumlev1"/>
        <w:rPr>
          <w:lang w:val="en-GB"/>
        </w:rPr>
      </w:pPr>
      <w:r w:rsidRPr="00380B40">
        <w:rPr>
          <w:lang w:val="en-GB"/>
        </w:rPr>
        <w:t>d)</w:t>
      </w:r>
      <w:r w:rsidRPr="00380B40">
        <w:rPr>
          <w:lang w:val="en-GB"/>
        </w:rPr>
        <w:tab/>
        <w:t>If a document from the organization makes a reference to another document that is a common document (or has a technically-aligned document in ITU-T), then include a footnote from the reference as in item b); if there are technical differences between both documents, then include an appendix or annex that summarizes the differences.</w:t>
      </w:r>
    </w:p>
    <w:p w14:paraId="4651286B" w14:textId="77777777" w:rsidR="00523689" w:rsidRPr="00380B40" w:rsidRDefault="00523689" w:rsidP="00523689">
      <w:pPr>
        <w:rPr>
          <w:lang w:val="en-GB"/>
        </w:rPr>
      </w:pPr>
      <w:r w:rsidRPr="00380B40">
        <w:rPr>
          <w:b/>
          <w:lang w:val="en-GB"/>
        </w:rPr>
        <w:t>9.5</w:t>
      </w:r>
      <w:r w:rsidRPr="00380B40">
        <w:rPr>
          <w:lang w:val="en-GB"/>
        </w:rPr>
        <w:tab/>
        <w:t>If any unusual circumstances arise to indicate that publication of a common document is no longer desired (e.g., because of substantial differences in content), this situation is immediately discussed with the other organization. If after the consultation either organization determines that common document publication is not appropriate, then each organization can publish separately using its own publication format.</w:t>
      </w:r>
    </w:p>
    <w:p w14:paraId="32886E3C" w14:textId="77777777" w:rsidR="00523689" w:rsidRPr="00380B40" w:rsidRDefault="00523689" w:rsidP="00523689">
      <w:pPr>
        <w:pStyle w:val="Heading1"/>
        <w:rPr>
          <w:lang w:val="en-GB"/>
        </w:rPr>
      </w:pPr>
      <w:bookmarkStart w:id="2308" w:name="_Toc442451743"/>
      <w:bookmarkStart w:id="2309" w:name="_Toc444251630"/>
      <w:bookmarkStart w:id="2310" w:name="_Toc445293518"/>
      <w:bookmarkStart w:id="2311" w:name="_Toc457983138"/>
      <w:bookmarkStart w:id="2312" w:name="_Toc459278596"/>
      <w:bookmarkStart w:id="2313" w:name="_Toc111637142"/>
      <w:r w:rsidRPr="00380B40">
        <w:rPr>
          <w:lang w:val="en-GB"/>
        </w:rPr>
        <w:t>10</w:t>
      </w:r>
      <w:r w:rsidRPr="00380B40">
        <w:rPr>
          <w:lang w:val="en-GB"/>
        </w:rPr>
        <w:tab/>
        <w:t>Maintenance of documents</w:t>
      </w:r>
      <w:bookmarkEnd w:id="2308"/>
      <w:bookmarkEnd w:id="2309"/>
      <w:bookmarkEnd w:id="2310"/>
      <w:bookmarkEnd w:id="2311"/>
      <w:bookmarkEnd w:id="2312"/>
      <w:bookmarkEnd w:id="2313"/>
    </w:p>
    <w:p w14:paraId="36F9B3B6" w14:textId="77777777" w:rsidR="00523689" w:rsidRPr="00380B40" w:rsidRDefault="00523689" w:rsidP="00523689">
      <w:pPr>
        <w:rPr>
          <w:lang w:val="en-GB"/>
        </w:rPr>
      </w:pPr>
      <w:r w:rsidRPr="00380B40">
        <w:rPr>
          <w:b/>
          <w:lang w:val="en-GB"/>
        </w:rPr>
        <w:t>10.1</w:t>
      </w:r>
      <w:r w:rsidRPr="00380B40">
        <w:rPr>
          <w:lang w:val="en-GB"/>
        </w:rPr>
        <w:tab/>
        <w:t>The work is not necessarily completed at the stage of publication. While every effort has been taken to produce a quality document, experience has shown that defects may be found as the document is being applied to implementations. Therefore, there is need for an ongoing shared responsibility for maintaining the document.</w:t>
      </w:r>
    </w:p>
    <w:p w14:paraId="247024A3" w14:textId="77777777" w:rsidR="00543776" w:rsidRPr="00380B40" w:rsidRDefault="00543776" w:rsidP="00523689">
      <w:pPr>
        <w:rPr>
          <w:b/>
          <w:lang w:val="en-GB"/>
        </w:rPr>
      </w:pPr>
      <w:r w:rsidRPr="00380B40">
        <w:rPr>
          <w:b/>
          <w:lang w:val="en-GB"/>
        </w:rPr>
        <w:br w:type="page"/>
      </w:r>
    </w:p>
    <w:p w14:paraId="7D3A3AAE" w14:textId="77777777" w:rsidR="00523689" w:rsidRPr="00380B40" w:rsidRDefault="00523689" w:rsidP="00523689">
      <w:pPr>
        <w:rPr>
          <w:lang w:val="en-GB"/>
        </w:rPr>
      </w:pPr>
      <w:r w:rsidRPr="00380B40">
        <w:rPr>
          <w:b/>
          <w:lang w:val="en-GB"/>
        </w:rPr>
        <w:t>10.2</w:t>
      </w:r>
      <w:r w:rsidRPr="00380B40">
        <w:rPr>
          <w:lang w:val="en-GB"/>
        </w:rPr>
        <w:tab/>
        <w:t>It is critical that rapid correction of possible errors, omissions, inconsistencies, or ambiguities be performed cooperatively. It is recommended that the procedures for this important effort are outlined in the terms of reference of the chosen mode of collaboration (see clause 8.2).</w:t>
      </w:r>
    </w:p>
    <w:p w14:paraId="3DEA31A1" w14:textId="77777777" w:rsidR="00523689" w:rsidRPr="00380B40" w:rsidRDefault="00523689" w:rsidP="00523689">
      <w:pPr>
        <w:rPr>
          <w:lang w:val="en-GB"/>
        </w:rPr>
      </w:pPr>
      <w:r w:rsidRPr="00380B40">
        <w:rPr>
          <w:b/>
          <w:lang w:val="en-GB"/>
        </w:rPr>
        <w:t>10.3</w:t>
      </w:r>
      <w:r w:rsidRPr="00380B40">
        <w:rPr>
          <w:lang w:val="en-GB"/>
        </w:rPr>
        <w:tab/>
        <w:t>Further work is often identified as a result of the development process and as a result of changing technology and new operational requirements. Accordingly, there is an important need for amendments that provide expansions, enhancements, and updates to the basic provisions of the published common (or technically-aligned) documents.</w:t>
      </w:r>
    </w:p>
    <w:p w14:paraId="5C7EB03F" w14:textId="77777777" w:rsidR="00523689" w:rsidRPr="00380B40" w:rsidRDefault="00523689" w:rsidP="00523689">
      <w:pPr>
        <w:rPr>
          <w:lang w:val="en-GB"/>
        </w:rPr>
      </w:pPr>
      <w:r w:rsidRPr="00380B40">
        <w:rPr>
          <w:b/>
          <w:lang w:val="en-GB"/>
        </w:rPr>
        <w:t>10.4</w:t>
      </w:r>
      <w:r w:rsidRPr="00380B40">
        <w:rPr>
          <w:lang w:val="en-GB"/>
        </w:rPr>
        <w:tab/>
        <w:t>The processing of amendments may follow the same procedures as the original development. These may be considered as extensions to the original work by the same collaborative work or common team, or may be considered as separate new work that requires the formation of a new collaborative work or a common team (see clause 8.2).</w:t>
      </w:r>
    </w:p>
    <w:p w14:paraId="033C5B06" w14:textId="77777777" w:rsidR="00523689" w:rsidRPr="00380B40" w:rsidRDefault="00523689" w:rsidP="00523689">
      <w:pPr>
        <w:pStyle w:val="Heading1"/>
        <w:rPr>
          <w:lang w:val="en-GB"/>
        </w:rPr>
      </w:pPr>
      <w:bookmarkStart w:id="2314" w:name="_Toc442451744"/>
      <w:bookmarkStart w:id="2315" w:name="_Toc444251631"/>
      <w:bookmarkStart w:id="2316" w:name="_Toc445293519"/>
      <w:bookmarkStart w:id="2317" w:name="_Toc457983139"/>
      <w:bookmarkStart w:id="2318" w:name="_Toc459278597"/>
      <w:bookmarkStart w:id="2319" w:name="_Toc111637143"/>
      <w:r w:rsidRPr="00380B40">
        <w:rPr>
          <w:lang w:val="en-GB"/>
        </w:rPr>
        <w:t>11</w:t>
      </w:r>
      <w:r w:rsidRPr="00380B40">
        <w:rPr>
          <w:lang w:val="en-GB"/>
        </w:rPr>
        <w:tab/>
        <w:t>Patent policy and copyright arrangements</w:t>
      </w:r>
      <w:bookmarkEnd w:id="2314"/>
      <w:bookmarkEnd w:id="2315"/>
      <w:bookmarkEnd w:id="2316"/>
      <w:bookmarkEnd w:id="2317"/>
      <w:bookmarkEnd w:id="2318"/>
      <w:bookmarkEnd w:id="2319"/>
    </w:p>
    <w:p w14:paraId="3D7CAB81" w14:textId="77777777" w:rsidR="00523689" w:rsidRPr="00380B40" w:rsidRDefault="00523689" w:rsidP="00523689">
      <w:pPr>
        <w:keepNext/>
        <w:rPr>
          <w:lang w:val="en-GB"/>
        </w:rPr>
      </w:pPr>
      <w:r w:rsidRPr="00380B40">
        <w:rPr>
          <w:b/>
          <w:lang w:val="en-GB"/>
        </w:rPr>
        <w:t>11.1</w:t>
      </w:r>
      <w:r w:rsidRPr="00380B40">
        <w:rPr>
          <w:lang w:val="en-GB"/>
        </w:rPr>
        <w:tab/>
        <w:t>For common (or technically-aligned) documents, organizations are to have a patent policy which is consistent with the common patent policy for ITU-T/ITU-R/ISO/IEC [Patent policy], and submit patent statements, as appropriate, to ITU</w:t>
      </w:r>
      <w:r w:rsidRPr="00380B40">
        <w:rPr>
          <w:lang w:val="en-GB"/>
        </w:rPr>
        <w:noBreakHyphen/>
        <w:t>T and to the organization.</w:t>
      </w:r>
    </w:p>
    <w:p w14:paraId="72CC41CA" w14:textId="77777777" w:rsidR="00523689" w:rsidRPr="00380B40" w:rsidRDefault="00523689" w:rsidP="00523689">
      <w:pPr>
        <w:pStyle w:val="Note"/>
        <w:rPr>
          <w:lang w:val="en-GB"/>
        </w:rPr>
      </w:pPr>
      <w:r w:rsidRPr="00380B40">
        <w:rPr>
          <w:lang w:val="en-GB"/>
        </w:rPr>
        <w:t xml:space="preserve">NOTE – Information pertaining to the common patent policy is available at </w:t>
      </w:r>
      <w:hyperlink r:id="rId507" w:history="1">
        <w:r w:rsidR="00D55E8F" w:rsidRPr="00380B40">
          <w:rPr>
            <w:rStyle w:val="Hyperlink"/>
            <w:lang w:val="en-GB"/>
          </w:rPr>
          <w:t>http://itu.int/en/ITU-T/ipr</w:t>
        </w:r>
      </w:hyperlink>
      <w:r w:rsidRPr="00380B40">
        <w:rPr>
          <w:lang w:val="en-GB"/>
        </w:rPr>
        <w:t>.</w:t>
      </w:r>
    </w:p>
    <w:p w14:paraId="2104CFA1" w14:textId="77777777" w:rsidR="00523689" w:rsidRPr="00380B40" w:rsidRDefault="00523689" w:rsidP="00523689">
      <w:pPr>
        <w:rPr>
          <w:lang w:val="en-GB"/>
        </w:rPr>
      </w:pPr>
      <w:r w:rsidRPr="00380B40">
        <w:rPr>
          <w:b/>
          <w:lang w:val="en-GB"/>
        </w:rPr>
        <w:t>11.2</w:t>
      </w:r>
      <w:r w:rsidRPr="00380B40">
        <w:rPr>
          <w:lang w:val="en-GB"/>
        </w:rPr>
        <w:tab/>
        <w:t>The subject of modifications to texts and arrangements for royalty-free copyright licences, including the right to sub-license, for texts accepted by either ITU</w:t>
      </w:r>
      <w:r w:rsidRPr="00380B40">
        <w:rPr>
          <w:lang w:val="en-GB"/>
        </w:rPr>
        <w:noBreakHyphen/>
        <w:t>T or by the organization and their publishers and others, is a matter to be agreed upon between TSB and the particular organization. However, the originating organization retains the copyright for its texts.</w:t>
      </w:r>
    </w:p>
    <w:p w14:paraId="509E2708" w14:textId="77777777" w:rsidR="00543776" w:rsidRPr="00380B40" w:rsidRDefault="00543776" w:rsidP="00523689">
      <w:pPr>
        <w:rPr>
          <w:lang w:val="en-GB"/>
        </w:rPr>
      </w:pPr>
    </w:p>
    <w:p w14:paraId="5E4C4C0D" w14:textId="77777777" w:rsidR="00543776" w:rsidRPr="00380B40" w:rsidRDefault="00543776" w:rsidP="00523689">
      <w:pPr>
        <w:rPr>
          <w:lang w:val="en-GB"/>
        </w:rPr>
      </w:pPr>
    </w:p>
    <w:p w14:paraId="300E6903" w14:textId="77777777" w:rsidR="00543776" w:rsidRPr="00380B40" w:rsidRDefault="00543776" w:rsidP="00523689">
      <w:pPr>
        <w:rPr>
          <w:lang w:val="en-GB"/>
        </w:rPr>
      </w:pPr>
    </w:p>
    <w:p w14:paraId="33DF6D36" w14:textId="77777777" w:rsidR="00543776" w:rsidRPr="00380B40" w:rsidRDefault="00543776" w:rsidP="00523689">
      <w:pPr>
        <w:rPr>
          <w:lang w:val="en-GB"/>
        </w:rPr>
      </w:pPr>
    </w:p>
    <w:p w14:paraId="1D6D7148" w14:textId="77777777" w:rsidR="00543776" w:rsidRPr="00380B40" w:rsidRDefault="00543776" w:rsidP="00523689">
      <w:pPr>
        <w:rPr>
          <w:b/>
          <w:lang w:val="en-GB"/>
        </w:rPr>
      </w:pPr>
    </w:p>
    <w:p w14:paraId="0A9FA7A2" w14:textId="77777777" w:rsidR="00523689" w:rsidRPr="00380B40" w:rsidRDefault="00523689" w:rsidP="00523689">
      <w:pPr>
        <w:spacing w:before="0"/>
        <w:rPr>
          <w:b/>
          <w:lang w:val="en-GB"/>
        </w:rPr>
      </w:pPr>
      <w:r w:rsidRPr="00380B40">
        <w:rPr>
          <w:lang w:val="en-GB"/>
        </w:rPr>
        <w:br w:type="page"/>
      </w:r>
    </w:p>
    <w:p w14:paraId="29EEA87A" w14:textId="77777777" w:rsidR="00B66120" w:rsidRPr="00380B40" w:rsidRDefault="00523689" w:rsidP="00B66120">
      <w:pPr>
        <w:pStyle w:val="AppendixNo"/>
      </w:pPr>
      <w:bookmarkStart w:id="2320" w:name="_Toc442451745"/>
      <w:bookmarkStart w:id="2321" w:name="_Toc444251632"/>
      <w:bookmarkStart w:id="2322" w:name="_Toc445293520"/>
      <w:bookmarkStart w:id="2323" w:name="_Toc457983140"/>
      <w:bookmarkStart w:id="2324" w:name="_Toc459278598"/>
      <w:r w:rsidRPr="00380B40">
        <w:t>Appendix I</w:t>
      </w:r>
    </w:p>
    <w:p w14:paraId="43C213C2" w14:textId="77777777" w:rsidR="00523689" w:rsidRPr="00380B40" w:rsidRDefault="00523689" w:rsidP="00B66120">
      <w:pPr>
        <w:pStyle w:val="Appendixtitle"/>
      </w:pPr>
      <w:r w:rsidRPr="00380B40">
        <w:t>Guidelines for collaboration using the liaison mode</w:t>
      </w:r>
      <w:bookmarkEnd w:id="2320"/>
      <w:bookmarkEnd w:id="2321"/>
      <w:bookmarkEnd w:id="2322"/>
      <w:bookmarkEnd w:id="2323"/>
      <w:bookmarkEnd w:id="2324"/>
    </w:p>
    <w:p w14:paraId="077CBF3D" w14:textId="77777777" w:rsidR="00523689" w:rsidRPr="00380B40" w:rsidRDefault="00523689" w:rsidP="00523689">
      <w:pPr>
        <w:pStyle w:val="Normalaftertitle"/>
        <w:rPr>
          <w:lang w:val="en-GB"/>
        </w:rPr>
      </w:pPr>
      <w:r w:rsidRPr="00380B40">
        <w:rPr>
          <w:lang w:val="en-GB"/>
        </w:rPr>
        <w:t>The basic concept of collaboration using the liaison mode is to leave to one organization the prime responsibility in an area of a work and to allow the other organization to participate in the work, as appropriate, using its liaison status.</w:t>
      </w:r>
    </w:p>
    <w:p w14:paraId="57C13EC1" w14:textId="77777777" w:rsidR="00523689" w:rsidRPr="00380B40" w:rsidRDefault="00523689" w:rsidP="00523689">
      <w:pPr>
        <w:rPr>
          <w:lang w:val="en-GB"/>
        </w:rPr>
      </w:pPr>
      <w:r w:rsidRPr="00380B40">
        <w:rPr>
          <w:b/>
          <w:lang w:val="en-GB"/>
        </w:rPr>
        <w:t>I.1</w:t>
      </w:r>
      <w:r w:rsidRPr="00380B40">
        <w:rPr>
          <w:lang w:val="en-GB"/>
        </w:rPr>
        <w:tab/>
        <w:t>In some situations of common interest, it may be appropriate to reach an agreement that would allocate the standardization of a particular area of work to one organization. The result is published by one organization and is referenced, as needed, by the other organization (see [ITU</w:t>
      </w:r>
      <w:r w:rsidRPr="00380B40">
        <w:rPr>
          <w:lang w:val="en-GB"/>
        </w:rPr>
        <w:noBreakHyphen/>
        <w:t>T A.5]). If such an agreement cannot be reached, it is recommended that each organization does not produce a document whose implementation hampers interoperability with the implementation of a document of the other organization.</w:t>
      </w:r>
    </w:p>
    <w:p w14:paraId="2B9169C6" w14:textId="77777777" w:rsidR="00523689" w:rsidRPr="00380B40" w:rsidRDefault="00523689" w:rsidP="00523689">
      <w:pPr>
        <w:rPr>
          <w:lang w:val="en-GB"/>
        </w:rPr>
      </w:pPr>
      <w:r w:rsidRPr="00380B40">
        <w:rPr>
          <w:b/>
          <w:lang w:val="en-GB"/>
        </w:rPr>
        <w:t>I.2</w:t>
      </w:r>
      <w:r w:rsidRPr="00380B40">
        <w:rPr>
          <w:lang w:val="en-GB"/>
        </w:rPr>
        <w:tab/>
        <w:t>In some situations, authoritative document exchange between an ITU</w:t>
      </w:r>
      <w:r w:rsidRPr="00380B40">
        <w:rPr>
          <w:lang w:val="en-GB"/>
        </w:rPr>
        <w:noBreakHyphen/>
        <w:t xml:space="preserve">T study group and an </w:t>
      </w:r>
      <w:r w:rsidRPr="00380B40">
        <w:rPr>
          <w:rFonts w:asciiTheme="majorBidi" w:hAnsiTheme="majorBidi" w:cstheme="majorBidi"/>
          <w:lang w:val="en-GB"/>
        </w:rPr>
        <w:t>organization</w:t>
      </w:r>
      <w:r w:rsidRPr="00380B40">
        <w:rPr>
          <w:lang w:val="en-GB"/>
        </w:rPr>
        <w:t xml:space="preserve"> helps to strengthen the information flow between ITU</w:t>
      </w:r>
      <w:r w:rsidRPr="00380B40">
        <w:rPr>
          <w:lang w:val="en-GB"/>
        </w:rPr>
        <w:noBreakHyphen/>
        <w:t xml:space="preserve">T and this organization. Such </w:t>
      </w:r>
      <w:r w:rsidRPr="00380B40">
        <w:rPr>
          <w:rFonts w:asciiTheme="majorBidi" w:hAnsiTheme="majorBidi" w:cstheme="majorBidi"/>
          <w:lang w:val="en-GB"/>
        </w:rPr>
        <w:t>a framework for ongoing communications is particularly needed to provide authoritative information of one organization's dependencies on the other's work.</w:t>
      </w:r>
    </w:p>
    <w:p w14:paraId="0493ADD8" w14:textId="77777777" w:rsidR="00523689" w:rsidRPr="00380B40" w:rsidRDefault="00523689" w:rsidP="00523689">
      <w:pPr>
        <w:rPr>
          <w:lang w:val="en-GB"/>
        </w:rPr>
      </w:pPr>
      <w:r w:rsidRPr="00380B40">
        <w:rPr>
          <w:b/>
          <w:lang w:val="en-GB"/>
        </w:rPr>
        <w:t>I.3</w:t>
      </w:r>
      <w:r w:rsidRPr="00380B40">
        <w:rPr>
          <w:lang w:val="en-GB"/>
        </w:rPr>
        <w:tab/>
        <w:t>All interactions between an ITU-T study group and the relevant group in the organization are conducted using the liaison procedures. In particular, this applies to participation in each other's meetings and to the submission of input documents.</w:t>
      </w:r>
    </w:p>
    <w:p w14:paraId="3080F3F0" w14:textId="77777777" w:rsidR="00523689" w:rsidRPr="00380B40" w:rsidRDefault="00523689" w:rsidP="00523689">
      <w:pPr>
        <w:pStyle w:val="Note"/>
        <w:rPr>
          <w:lang w:val="en-GB"/>
        </w:rPr>
      </w:pPr>
      <w:r w:rsidRPr="00380B40">
        <w:rPr>
          <w:lang w:val="en-GB"/>
        </w:rPr>
        <w:t>NOTE – For example, for an individual to represent the relevant group of the organization in an ITU-T study group meeting, a letter (or liaison statement) from that organization is recommended authorizing such representation. Likewise, for an individual to represent an ITU-T Question in the meeting of an organization, a liaison statement from the ITU-T study group to that organization is recommended authorizing such representation.</w:t>
      </w:r>
    </w:p>
    <w:p w14:paraId="5E1B0811" w14:textId="77777777" w:rsidR="00523689" w:rsidRPr="00380B40" w:rsidRDefault="00523689" w:rsidP="00523689">
      <w:pPr>
        <w:rPr>
          <w:lang w:val="en-GB"/>
        </w:rPr>
      </w:pPr>
      <w:r w:rsidRPr="00380B40">
        <w:rPr>
          <w:b/>
          <w:lang w:val="en-GB"/>
        </w:rPr>
        <w:t>I.4</w:t>
      </w:r>
      <w:r w:rsidRPr="00380B40">
        <w:rPr>
          <w:lang w:val="en-GB"/>
        </w:rPr>
        <w:tab/>
        <w:t>The decision to send a liaison statement is made by the study group. When necessary, between scheduled meetings, the liaison statement may be prepared by an appropriate correspondence process and approved by the study group chairman in consultation with the study group management. The liaison statement is sent by TSB (on behalf of the study group) to the organization.</w:t>
      </w:r>
    </w:p>
    <w:p w14:paraId="4E1151C3" w14:textId="77777777" w:rsidR="00523689" w:rsidRPr="00380B40" w:rsidRDefault="00523689" w:rsidP="00523689">
      <w:pPr>
        <w:rPr>
          <w:lang w:val="en-GB"/>
        </w:rPr>
      </w:pPr>
      <w:r w:rsidRPr="00380B40">
        <w:rPr>
          <w:b/>
          <w:lang w:val="en-GB"/>
        </w:rPr>
        <w:t>I.5</w:t>
      </w:r>
      <w:r w:rsidRPr="00380B40">
        <w:rPr>
          <w:lang w:val="en-GB"/>
        </w:rPr>
        <w:tab/>
        <w:t>Where possible, the exchange of documents is in electronic format. Questions of electronic links to enable document exchange are to be agreed upon by the secretariats of the organization concerned.</w:t>
      </w:r>
    </w:p>
    <w:p w14:paraId="097A7AAA" w14:textId="77777777" w:rsidR="00543776" w:rsidRPr="00380B40" w:rsidRDefault="00543776" w:rsidP="00523689">
      <w:pPr>
        <w:rPr>
          <w:b/>
          <w:lang w:val="en-GB"/>
        </w:rPr>
      </w:pPr>
      <w:r w:rsidRPr="00380B40">
        <w:rPr>
          <w:b/>
          <w:lang w:val="en-GB"/>
        </w:rPr>
        <w:br w:type="page"/>
      </w:r>
    </w:p>
    <w:p w14:paraId="3AC0708C" w14:textId="77777777" w:rsidR="00523689" w:rsidRPr="00380B40" w:rsidRDefault="00523689" w:rsidP="00523689">
      <w:pPr>
        <w:rPr>
          <w:lang w:val="en-GB"/>
        </w:rPr>
      </w:pPr>
      <w:r w:rsidRPr="00380B40">
        <w:rPr>
          <w:b/>
          <w:lang w:val="en-GB"/>
        </w:rPr>
        <w:t>I.6</w:t>
      </w:r>
      <w:r w:rsidRPr="00380B40">
        <w:rPr>
          <w:lang w:val="en-GB"/>
        </w:rPr>
        <w:tab/>
        <w:t>Documents submitted to the ITU</w:t>
      </w:r>
      <w:r w:rsidRPr="00380B40">
        <w:rPr>
          <w:lang w:val="en-GB"/>
        </w:rPr>
        <w:noBreakHyphen/>
        <w:t xml:space="preserve">T study group by the </w:t>
      </w:r>
      <w:r w:rsidRPr="00380B40">
        <w:rPr>
          <w:rFonts w:asciiTheme="majorBidi" w:hAnsiTheme="majorBidi" w:cstheme="majorBidi"/>
          <w:lang w:val="en-GB"/>
        </w:rPr>
        <w:t>organization</w:t>
      </w:r>
      <w:r w:rsidRPr="00380B40">
        <w:rPr>
          <w:lang w:val="en-GB"/>
        </w:rPr>
        <w:t xml:space="preserve"> conform to the following criteria:</w:t>
      </w:r>
    </w:p>
    <w:p w14:paraId="03AA8BD2" w14:textId="77777777" w:rsidR="00523689" w:rsidRPr="00380B40" w:rsidRDefault="00523689" w:rsidP="00523689">
      <w:pPr>
        <w:pStyle w:val="enumlev1"/>
        <w:rPr>
          <w:lang w:val="en-GB"/>
        </w:rPr>
      </w:pPr>
      <w:r w:rsidRPr="00380B40">
        <w:rPr>
          <w:lang w:val="en-GB"/>
        </w:rPr>
        <w:t>a)</w:t>
      </w:r>
      <w:r w:rsidRPr="00380B40">
        <w:rPr>
          <w:lang w:val="en-GB"/>
        </w:rPr>
        <w:tab/>
        <w:t>contain no confidential information (i.e., no distribution restriction);</w:t>
      </w:r>
    </w:p>
    <w:p w14:paraId="40C2AC6A" w14:textId="77777777" w:rsidR="00523689" w:rsidRPr="00380B40" w:rsidRDefault="00523689" w:rsidP="00523689">
      <w:pPr>
        <w:pStyle w:val="enumlev1"/>
        <w:rPr>
          <w:lang w:val="en-GB"/>
        </w:rPr>
      </w:pPr>
      <w:r w:rsidRPr="00380B40">
        <w:rPr>
          <w:lang w:val="en-GB"/>
        </w:rPr>
        <w:t>b)</w:t>
      </w:r>
      <w:r w:rsidRPr="00380B40">
        <w:rPr>
          <w:lang w:val="en-GB"/>
        </w:rPr>
        <w:tab/>
        <w:t>indicate the source within the organization (e.g., committee, subcommittee, etc.);</w:t>
      </w:r>
    </w:p>
    <w:p w14:paraId="075D3009" w14:textId="77777777" w:rsidR="00523689" w:rsidRPr="00380B40" w:rsidRDefault="00523689" w:rsidP="00523689">
      <w:pPr>
        <w:pStyle w:val="enumlev1"/>
        <w:rPr>
          <w:lang w:val="en-GB"/>
        </w:rPr>
      </w:pPr>
      <w:r w:rsidRPr="00380B40">
        <w:rPr>
          <w:lang w:val="en-GB"/>
        </w:rPr>
        <w:t>c)</w:t>
      </w:r>
      <w:r w:rsidRPr="00380B40">
        <w:rPr>
          <w:lang w:val="en-GB"/>
        </w:rPr>
        <w:tab/>
        <w:t>differentiate between normative references and non-normative references.</w:t>
      </w:r>
    </w:p>
    <w:p w14:paraId="1D086E5D" w14:textId="77777777" w:rsidR="00523689" w:rsidRPr="00380B40" w:rsidRDefault="00523689" w:rsidP="00523689">
      <w:pPr>
        <w:rPr>
          <w:lang w:val="en-GB"/>
        </w:rPr>
      </w:pPr>
      <w:r w:rsidRPr="00380B40">
        <w:rPr>
          <w:lang w:val="en-GB"/>
        </w:rPr>
        <w:t xml:space="preserve">These documents are not issued as contributions but as a TD at a study group or working party meeting, or as a document at a rapporteur meeting. As soon as they arrive they are made available, with the agreement of the study group chairman, for advance consideration by the relevant group. Moreover, they are issued with a reference to the originating </w:t>
      </w:r>
      <w:r w:rsidRPr="00380B40">
        <w:rPr>
          <w:rFonts w:asciiTheme="majorBidi" w:hAnsiTheme="majorBidi" w:cstheme="majorBidi"/>
          <w:lang w:val="en-GB"/>
        </w:rPr>
        <w:t>organization</w:t>
      </w:r>
      <w:r w:rsidRPr="00380B40">
        <w:rPr>
          <w:lang w:val="en-GB"/>
        </w:rPr>
        <w:t>.</w:t>
      </w:r>
    </w:p>
    <w:p w14:paraId="677E95E3" w14:textId="77777777" w:rsidR="00543776" w:rsidRPr="00380B40" w:rsidRDefault="00543776" w:rsidP="00523689">
      <w:pPr>
        <w:rPr>
          <w:lang w:val="en-GB"/>
        </w:rPr>
      </w:pPr>
    </w:p>
    <w:p w14:paraId="7E4916D4" w14:textId="77777777" w:rsidR="00543776" w:rsidRPr="00380B40" w:rsidRDefault="00543776" w:rsidP="00523689">
      <w:pPr>
        <w:rPr>
          <w:lang w:val="en-GB"/>
        </w:rPr>
      </w:pPr>
    </w:p>
    <w:p w14:paraId="54FDBC66" w14:textId="77777777" w:rsidR="00543776" w:rsidRPr="00380B40" w:rsidRDefault="00543776" w:rsidP="00523689">
      <w:pPr>
        <w:rPr>
          <w:lang w:val="en-GB"/>
        </w:rPr>
      </w:pPr>
    </w:p>
    <w:p w14:paraId="253178C9" w14:textId="77777777" w:rsidR="00543776" w:rsidRPr="00380B40" w:rsidRDefault="00543776" w:rsidP="00523689">
      <w:pPr>
        <w:rPr>
          <w:lang w:val="en-GB"/>
        </w:rPr>
      </w:pPr>
    </w:p>
    <w:p w14:paraId="75F387CA" w14:textId="77777777" w:rsidR="00543776" w:rsidRPr="00380B40" w:rsidRDefault="00543776" w:rsidP="00523689">
      <w:pPr>
        <w:rPr>
          <w:lang w:val="en-GB"/>
        </w:rPr>
      </w:pPr>
    </w:p>
    <w:p w14:paraId="1AAD493F" w14:textId="77777777" w:rsidR="00543776" w:rsidRPr="00380B40" w:rsidRDefault="00543776" w:rsidP="00523689">
      <w:pPr>
        <w:rPr>
          <w:lang w:val="en-GB"/>
        </w:rPr>
      </w:pPr>
    </w:p>
    <w:p w14:paraId="04DFA8EB" w14:textId="77777777" w:rsidR="00543776" w:rsidRPr="00380B40" w:rsidRDefault="00543776" w:rsidP="00523689">
      <w:pPr>
        <w:rPr>
          <w:lang w:val="en-GB"/>
        </w:rPr>
      </w:pPr>
    </w:p>
    <w:p w14:paraId="135FE73C" w14:textId="77777777" w:rsidR="00543776" w:rsidRPr="00380B40" w:rsidRDefault="00543776" w:rsidP="00523689">
      <w:pPr>
        <w:rPr>
          <w:lang w:val="en-GB"/>
        </w:rPr>
      </w:pPr>
    </w:p>
    <w:p w14:paraId="6136B48C" w14:textId="77777777" w:rsidR="00543776" w:rsidRPr="00380B40" w:rsidRDefault="00543776" w:rsidP="00523689">
      <w:pPr>
        <w:rPr>
          <w:lang w:val="en-GB"/>
        </w:rPr>
      </w:pPr>
    </w:p>
    <w:p w14:paraId="0AB95134" w14:textId="77777777" w:rsidR="00543776" w:rsidRPr="00380B40" w:rsidRDefault="00543776" w:rsidP="00523689">
      <w:pPr>
        <w:rPr>
          <w:lang w:val="en-GB"/>
        </w:rPr>
      </w:pPr>
    </w:p>
    <w:p w14:paraId="026CF26A" w14:textId="77777777" w:rsidR="00543776" w:rsidRPr="00380B40" w:rsidRDefault="00543776" w:rsidP="00523689">
      <w:pPr>
        <w:rPr>
          <w:lang w:val="en-GB"/>
        </w:rPr>
      </w:pPr>
    </w:p>
    <w:p w14:paraId="289C7AAA" w14:textId="77777777" w:rsidR="00543776" w:rsidRPr="00380B40" w:rsidRDefault="00543776" w:rsidP="00523689">
      <w:pPr>
        <w:rPr>
          <w:lang w:val="en-GB"/>
        </w:rPr>
      </w:pPr>
    </w:p>
    <w:p w14:paraId="161AA168" w14:textId="77777777" w:rsidR="00543776" w:rsidRPr="00380B40" w:rsidRDefault="00543776" w:rsidP="00523689">
      <w:pPr>
        <w:rPr>
          <w:lang w:val="en-GB"/>
        </w:rPr>
      </w:pPr>
    </w:p>
    <w:p w14:paraId="16AECE80" w14:textId="77777777" w:rsidR="00543776" w:rsidRPr="00380B40" w:rsidRDefault="00543776" w:rsidP="00523689">
      <w:pPr>
        <w:rPr>
          <w:lang w:val="en-GB"/>
        </w:rPr>
      </w:pPr>
    </w:p>
    <w:p w14:paraId="4B34D56C" w14:textId="77777777" w:rsidR="00543776" w:rsidRPr="00380B40" w:rsidRDefault="00543776" w:rsidP="00523689">
      <w:pPr>
        <w:rPr>
          <w:lang w:val="en-GB"/>
        </w:rPr>
      </w:pPr>
      <w:r w:rsidRPr="00380B40">
        <w:rPr>
          <w:lang w:val="en-GB"/>
        </w:rPr>
        <w:br w:type="page"/>
      </w:r>
    </w:p>
    <w:p w14:paraId="44EC70AB" w14:textId="77777777" w:rsidR="00B66120" w:rsidRPr="00380B40" w:rsidRDefault="00523689" w:rsidP="00B66120">
      <w:pPr>
        <w:pStyle w:val="AppendixNo"/>
      </w:pPr>
      <w:bookmarkStart w:id="2325" w:name="_Toc442451746"/>
      <w:bookmarkStart w:id="2326" w:name="_Toc444251633"/>
      <w:bookmarkStart w:id="2327" w:name="_Toc445293521"/>
      <w:bookmarkStart w:id="2328" w:name="_Toc457983141"/>
      <w:bookmarkStart w:id="2329" w:name="_Toc459278599"/>
      <w:r w:rsidRPr="00380B40">
        <w:t>Appendix II</w:t>
      </w:r>
    </w:p>
    <w:p w14:paraId="3DAB2132" w14:textId="77777777" w:rsidR="00523689" w:rsidRPr="00380B40" w:rsidRDefault="00523689" w:rsidP="00B66120">
      <w:pPr>
        <w:pStyle w:val="Appendixtitle"/>
      </w:pPr>
      <w:r w:rsidRPr="00380B40">
        <w:t>Guidelines for collaboration using collaborative work</w:t>
      </w:r>
      <w:bookmarkEnd w:id="2325"/>
      <w:bookmarkEnd w:id="2326"/>
      <w:bookmarkEnd w:id="2327"/>
      <w:bookmarkEnd w:id="2328"/>
      <w:bookmarkEnd w:id="2329"/>
    </w:p>
    <w:p w14:paraId="6925432B" w14:textId="77777777" w:rsidR="00523689" w:rsidRPr="00380B40" w:rsidRDefault="00523689" w:rsidP="00523689">
      <w:pPr>
        <w:pStyle w:val="Normalaftertitle"/>
        <w:rPr>
          <w:lang w:val="en-GB"/>
        </w:rPr>
      </w:pPr>
      <w:r w:rsidRPr="00380B40">
        <w:rPr>
          <w:lang w:val="en-GB"/>
        </w:rPr>
        <w:t>The basic concept of collaboration using collaborative work is to closely couple the development, consensus building, and ballot/comment resolution efforts of an ITU-T Question and of the relevant group in an organization in an efficient and effective manner to produce mutually agreed common (or technically-aligned) documents.</w:t>
      </w:r>
    </w:p>
    <w:p w14:paraId="558EB7D0" w14:textId="77777777" w:rsidR="00523689" w:rsidRPr="00380B40" w:rsidRDefault="00523689" w:rsidP="00523689">
      <w:pPr>
        <w:pStyle w:val="Heading2"/>
        <w:rPr>
          <w:lang w:val="en-GB"/>
        </w:rPr>
      </w:pPr>
      <w:bookmarkStart w:id="2330" w:name="_Toc442451747"/>
      <w:bookmarkStart w:id="2331" w:name="_Toc444251634"/>
      <w:bookmarkStart w:id="2332" w:name="_Toc445293522"/>
      <w:bookmarkStart w:id="2333" w:name="_Toc457983142"/>
      <w:bookmarkStart w:id="2334" w:name="_Toc459278600"/>
      <w:bookmarkStart w:id="2335" w:name="_Toc111637144"/>
      <w:r w:rsidRPr="00380B40">
        <w:rPr>
          <w:lang w:val="en-GB"/>
        </w:rPr>
        <w:t>II.1</w:t>
      </w:r>
      <w:r w:rsidRPr="00380B40">
        <w:rPr>
          <w:lang w:val="en-GB"/>
        </w:rPr>
        <w:tab/>
        <w:t>Establishing a collaborative work</w:t>
      </w:r>
      <w:bookmarkEnd w:id="2330"/>
      <w:bookmarkEnd w:id="2331"/>
      <w:bookmarkEnd w:id="2332"/>
      <w:bookmarkEnd w:id="2333"/>
      <w:bookmarkEnd w:id="2334"/>
      <w:bookmarkEnd w:id="2335"/>
    </w:p>
    <w:p w14:paraId="5F2E95AE" w14:textId="77777777" w:rsidR="00523689" w:rsidRPr="00380B40" w:rsidRDefault="00523689" w:rsidP="00523689">
      <w:pPr>
        <w:rPr>
          <w:lang w:val="en-GB"/>
        </w:rPr>
      </w:pPr>
      <w:r w:rsidRPr="00380B40">
        <w:rPr>
          <w:b/>
          <w:lang w:val="en-GB"/>
        </w:rPr>
        <w:t>II.1.1</w:t>
      </w:r>
      <w:r w:rsidRPr="00380B40">
        <w:rPr>
          <w:lang w:val="en-GB"/>
        </w:rPr>
        <w:tab/>
        <w:t>Upon agreement by the ITU-T study group and the relevant group in the organization that a specific area of work is to be developed collaboratively, a collaborative work is established between the respective ITU-T Question and group in the organization (see clause 8.2).</w:t>
      </w:r>
    </w:p>
    <w:p w14:paraId="19311C5D" w14:textId="77777777" w:rsidR="00523689" w:rsidRPr="00380B40" w:rsidRDefault="00523689" w:rsidP="00523689">
      <w:pPr>
        <w:rPr>
          <w:lang w:val="en-GB"/>
        </w:rPr>
      </w:pPr>
      <w:r w:rsidRPr="00380B40">
        <w:rPr>
          <w:b/>
          <w:lang w:val="en-GB"/>
        </w:rPr>
        <w:t>II.1.2</w:t>
      </w:r>
      <w:r w:rsidRPr="00380B40">
        <w:rPr>
          <w:lang w:val="en-GB"/>
        </w:rPr>
        <w:tab/>
        <w:t>The ITU-T Question and the relevant group in the organization function using the procedures of their respective organization, but with certain additional procedures, as described below, to facilitate closer collaboration in building consensus and synchronization of approvals leading to the publication of common (or technically-aligned) documents (see Appendix IV).</w:t>
      </w:r>
    </w:p>
    <w:p w14:paraId="0C19E1B2" w14:textId="77777777" w:rsidR="00523689" w:rsidRPr="00380B40" w:rsidRDefault="00523689" w:rsidP="00523689">
      <w:pPr>
        <w:rPr>
          <w:lang w:val="en-GB"/>
        </w:rPr>
      </w:pPr>
      <w:r w:rsidRPr="00380B40">
        <w:rPr>
          <w:b/>
          <w:lang w:val="en-GB"/>
        </w:rPr>
        <w:t>II.1.3</w:t>
      </w:r>
      <w:r w:rsidRPr="00380B40">
        <w:rPr>
          <w:lang w:val="en-GB"/>
        </w:rPr>
        <w:tab/>
        <w:t>During the time of development of a common (or technically-aligned) document, it is important that communication is consistently maintained between organizations by exchanging the different versions of the draft document as it evolves (see also clause II.4).</w:t>
      </w:r>
    </w:p>
    <w:p w14:paraId="57F42F32" w14:textId="77777777" w:rsidR="00523689" w:rsidRPr="00380B40" w:rsidRDefault="00523689" w:rsidP="00523689">
      <w:pPr>
        <w:rPr>
          <w:lang w:val="en-GB"/>
        </w:rPr>
      </w:pPr>
      <w:r w:rsidRPr="00380B40">
        <w:rPr>
          <w:b/>
          <w:lang w:val="en-GB"/>
        </w:rPr>
        <w:t>II.1.4</w:t>
      </w:r>
      <w:r w:rsidRPr="00380B40">
        <w:rPr>
          <w:lang w:val="en-GB"/>
        </w:rPr>
        <w:tab/>
        <w:t>The terms of reference (see clause 8.2), including the mode of collaboration, can be changed at any time by mutual agreement of the ITU-T study group and of the relevant group in the organization. It is recommended that collaboration also continues for the ongoing maintenance phase (see clause 10). Procedures for terminating a collaborative work are covered in clause 8.4.</w:t>
      </w:r>
    </w:p>
    <w:p w14:paraId="4DC38095" w14:textId="77777777" w:rsidR="00523689" w:rsidRPr="00380B40" w:rsidRDefault="00523689" w:rsidP="00523689">
      <w:pPr>
        <w:pStyle w:val="Heading2"/>
        <w:rPr>
          <w:lang w:val="en-GB"/>
        </w:rPr>
      </w:pPr>
      <w:bookmarkStart w:id="2336" w:name="_Toc442451748"/>
      <w:bookmarkStart w:id="2337" w:name="_Toc444251635"/>
      <w:bookmarkStart w:id="2338" w:name="_Toc445293523"/>
      <w:bookmarkStart w:id="2339" w:name="_Toc457983143"/>
      <w:bookmarkStart w:id="2340" w:name="_Toc459278601"/>
      <w:bookmarkStart w:id="2341" w:name="_Toc111637145"/>
      <w:r w:rsidRPr="00380B40">
        <w:rPr>
          <w:lang w:val="en-GB"/>
        </w:rPr>
        <w:t>II.2</w:t>
      </w:r>
      <w:r w:rsidRPr="00380B40">
        <w:rPr>
          <w:lang w:val="en-GB"/>
        </w:rPr>
        <w:tab/>
        <w:t>Participation in meetings of the other organization</w:t>
      </w:r>
      <w:bookmarkEnd w:id="2336"/>
      <w:bookmarkEnd w:id="2337"/>
      <w:bookmarkEnd w:id="2338"/>
      <w:bookmarkEnd w:id="2339"/>
      <w:bookmarkEnd w:id="2340"/>
      <w:bookmarkEnd w:id="2341"/>
    </w:p>
    <w:p w14:paraId="6028B1CA" w14:textId="77777777" w:rsidR="00523689" w:rsidRPr="00380B40" w:rsidRDefault="00523689" w:rsidP="00523689">
      <w:pPr>
        <w:rPr>
          <w:lang w:val="en-GB"/>
        </w:rPr>
      </w:pPr>
      <w:r w:rsidRPr="00380B40">
        <w:rPr>
          <w:b/>
          <w:lang w:val="en-GB"/>
        </w:rPr>
        <w:t>II.2.1</w:t>
      </w:r>
      <w:r w:rsidRPr="00380B40">
        <w:rPr>
          <w:lang w:val="en-GB"/>
        </w:rPr>
        <w:tab/>
        <w:t>The collaborative work is facilitated if there is some significant degree of common participation by individuals in the meetings of both organizations.</w:t>
      </w:r>
    </w:p>
    <w:p w14:paraId="14396E2C" w14:textId="77777777" w:rsidR="00523689" w:rsidRPr="00380B40" w:rsidRDefault="00523689" w:rsidP="00523689">
      <w:pPr>
        <w:rPr>
          <w:lang w:val="en-GB"/>
        </w:rPr>
      </w:pPr>
      <w:r w:rsidRPr="00380B40">
        <w:rPr>
          <w:b/>
          <w:lang w:val="en-GB"/>
        </w:rPr>
        <w:t>II.2.2</w:t>
      </w:r>
      <w:r w:rsidRPr="00380B40">
        <w:rPr>
          <w:lang w:val="en-GB"/>
        </w:rPr>
        <w:tab/>
        <w:t>Representation of one organization in a meeting of the other organization is achieved by means of liaison officers (see clause I.3). It is recommended that individuals attending meetings in a liaison capacity are familiar with the procedures of the organization holding the meeting.</w:t>
      </w:r>
    </w:p>
    <w:p w14:paraId="7A445503" w14:textId="77777777" w:rsidR="00523689" w:rsidRPr="00380B40" w:rsidRDefault="00523689" w:rsidP="00523689">
      <w:pPr>
        <w:pStyle w:val="Note"/>
        <w:rPr>
          <w:lang w:val="en-GB"/>
        </w:rPr>
      </w:pPr>
      <w:r w:rsidRPr="00380B40">
        <w:rPr>
          <w:lang w:val="en-GB"/>
        </w:rPr>
        <w:t>NOTE – The fact that a liaison officer officially represents one organization in a meeting of the other organization does not preclude experts from that organization from participating in the meeting of the other organization as explained in clause II.2.1. In that case, each expert participates according to his/her membership in the relevant organization.</w:t>
      </w:r>
    </w:p>
    <w:p w14:paraId="2A7E5BC9" w14:textId="77777777" w:rsidR="00543776" w:rsidRPr="00380B40" w:rsidRDefault="00543776" w:rsidP="00543776">
      <w:pPr>
        <w:rPr>
          <w:lang w:val="en-GB"/>
        </w:rPr>
      </w:pPr>
      <w:bookmarkStart w:id="2342" w:name="_Toc442451749"/>
      <w:bookmarkStart w:id="2343" w:name="_Toc444251636"/>
      <w:bookmarkStart w:id="2344" w:name="_Toc445293524"/>
      <w:bookmarkStart w:id="2345" w:name="_Toc457983144"/>
      <w:bookmarkStart w:id="2346" w:name="_Toc459278602"/>
      <w:r w:rsidRPr="00380B40">
        <w:rPr>
          <w:lang w:val="en-GB"/>
        </w:rPr>
        <w:br w:type="page"/>
      </w:r>
    </w:p>
    <w:p w14:paraId="4C94060F" w14:textId="77777777" w:rsidR="00523689" w:rsidRPr="00380B40" w:rsidRDefault="00523689" w:rsidP="00523689">
      <w:pPr>
        <w:pStyle w:val="Heading2"/>
        <w:rPr>
          <w:lang w:val="en-GB"/>
        </w:rPr>
      </w:pPr>
      <w:bookmarkStart w:id="2347" w:name="_Toc111637146"/>
      <w:r w:rsidRPr="00380B40">
        <w:rPr>
          <w:lang w:val="en-GB"/>
        </w:rPr>
        <w:t>II.3</w:t>
      </w:r>
      <w:r w:rsidRPr="00380B40">
        <w:rPr>
          <w:lang w:val="en-GB"/>
        </w:rPr>
        <w:tab/>
        <w:t>Contributions</w:t>
      </w:r>
      <w:bookmarkEnd w:id="2342"/>
      <w:bookmarkEnd w:id="2343"/>
      <w:bookmarkEnd w:id="2344"/>
      <w:bookmarkEnd w:id="2345"/>
      <w:bookmarkEnd w:id="2346"/>
      <w:bookmarkEnd w:id="2347"/>
    </w:p>
    <w:p w14:paraId="65B957B2" w14:textId="77777777" w:rsidR="00523689" w:rsidRPr="00380B40" w:rsidRDefault="00523689" w:rsidP="00523689">
      <w:pPr>
        <w:rPr>
          <w:lang w:val="en-GB"/>
        </w:rPr>
      </w:pPr>
      <w:r w:rsidRPr="00380B40">
        <w:rPr>
          <w:lang w:val="en-GB"/>
        </w:rPr>
        <w:t>Contributions are handled by each organization according to its normal procedures (e.g., clause 3 of [ITU</w:t>
      </w:r>
      <w:r w:rsidR="00FA5C02" w:rsidRPr="00380B40">
        <w:rPr>
          <w:lang w:val="en-GB"/>
        </w:rPr>
        <w:noBreakHyphen/>
      </w:r>
      <w:r w:rsidRPr="00380B40">
        <w:rPr>
          <w:lang w:val="en-GB"/>
        </w:rPr>
        <w:t>T</w:t>
      </w:r>
      <w:r w:rsidR="00FA5C02" w:rsidRPr="00380B40">
        <w:rPr>
          <w:lang w:val="en-GB"/>
        </w:rPr>
        <w:t> </w:t>
      </w:r>
      <w:r w:rsidRPr="00380B40">
        <w:rPr>
          <w:lang w:val="en-GB"/>
        </w:rPr>
        <w:t>A.1] for ITU-T). In addition, it is important that the results of analysis of contributions be passed promptly to the other organization.</w:t>
      </w:r>
    </w:p>
    <w:p w14:paraId="1266373C" w14:textId="77777777" w:rsidR="00523689" w:rsidRPr="00380B40" w:rsidRDefault="00523689" w:rsidP="00523689">
      <w:pPr>
        <w:pStyle w:val="Heading2"/>
        <w:rPr>
          <w:lang w:val="en-GB"/>
        </w:rPr>
      </w:pPr>
      <w:bookmarkStart w:id="2348" w:name="_Toc442451750"/>
      <w:bookmarkStart w:id="2349" w:name="_Toc444251637"/>
      <w:bookmarkStart w:id="2350" w:name="_Toc445293525"/>
      <w:bookmarkStart w:id="2351" w:name="_Toc457983145"/>
      <w:bookmarkStart w:id="2352" w:name="_Toc459278603"/>
      <w:bookmarkStart w:id="2353" w:name="_Toc111637147"/>
      <w:r w:rsidRPr="00380B40">
        <w:rPr>
          <w:lang w:val="en-GB"/>
        </w:rPr>
        <w:t>II.4</w:t>
      </w:r>
      <w:r w:rsidRPr="00380B40">
        <w:rPr>
          <w:lang w:val="en-GB"/>
        </w:rPr>
        <w:tab/>
        <w:t>Editors for a common document</w:t>
      </w:r>
      <w:bookmarkEnd w:id="2348"/>
      <w:bookmarkEnd w:id="2349"/>
      <w:bookmarkEnd w:id="2350"/>
      <w:bookmarkEnd w:id="2351"/>
      <w:bookmarkEnd w:id="2352"/>
      <w:bookmarkEnd w:id="2353"/>
    </w:p>
    <w:p w14:paraId="7661BE07" w14:textId="77777777" w:rsidR="00523689" w:rsidRPr="00380B40" w:rsidRDefault="00523689" w:rsidP="00523689">
      <w:pPr>
        <w:pStyle w:val="Note"/>
        <w:rPr>
          <w:lang w:val="en-GB"/>
        </w:rPr>
      </w:pPr>
      <w:r w:rsidRPr="00380B40">
        <w:rPr>
          <w:lang w:val="en-GB"/>
        </w:rPr>
        <w:t>NOTE – In the case of technically-aligned documents, each organization nominates one or more Editor(s) for its own document.</w:t>
      </w:r>
    </w:p>
    <w:p w14:paraId="1EC40C74" w14:textId="77777777" w:rsidR="00523689" w:rsidRPr="00380B40" w:rsidRDefault="00523689" w:rsidP="00523689">
      <w:pPr>
        <w:rPr>
          <w:lang w:val="en-GB"/>
        </w:rPr>
      </w:pPr>
      <w:r w:rsidRPr="00380B40">
        <w:rPr>
          <w:b/>
          <w:lang w:val="en-GB"/>
        </w:rPr>
        <w:t>II.4.1</w:t>
      </w:r>
      <w:r w:rsidRPr="00380B40">
        <w:rPr>
          <w:lang w:val="en-GB"/>
        </w:rPr>
        <w:tab/>
        <w:t xml:space="preserve">It is strongly recommended that the ITU-T Question and the relevant group in the organization agree on a single Editor who will produce and maintain the single master common document, normally in accordance with the </w:t>
      </w:r>
      <w:r w:rsidRPr="00380B40">
        <w:rPr>
          <w:rFonts w:eastAsia="Batang"/>
          <w:lang w:val="en-GB"/>
        </w:rPr>
        <w:t>[Author's Guide]</w:t>
      </w:r>
      <w:r w:rsidRPr="00380B40">
        <w:rPr>
          <w:lang w:val="en-GB"/>
        </w:rPr>
        <w:t>.</w:t>
      </w:r>
    </w:p>
    <w:p w14:paraId="621E85FF" w14:textId="77777777" w:rsidR="00523689" w:rsidRPr="00380B40" w:rsidRDefault="00523689" w:rsidP="00523689">
      <w:pPr>
        <w:rPr>
          <w:lang w:val="en-GB"/>
        </w:rPr>
      </w:pPr>
      <w:r w:rsidRPr="00380B40">
        <w:rPr>
          <w:b/>
          <w:lang w:val="en-GB"/>
        </w:rPr>
        <w:t>II.4.2</w:t>
      </w:r>
      <w:r w:rsidRPr="00380B40">
        <w:rPr>
          <w:lang w:val="en-GB"/>
        </w:rPr>
        <w:tab/>
        <w:t>The draft master common document will be updated only when agreement to the specific text has been made by both organizations. Each iteration of the draft common document is dated. Changes from the previous draft are highlighted by change marks.</w:t>
      </w:r>
    </w:p>
    <w:p w14:paraId="480768E5" w14:textId="77777777" w:rsidR="00523689" w:rsidRPr="00380B40" w:rsidRDefault="00523689" w:rsidP="00523689">
      <w:pPr>
        <w:rPr>
          <w:lang w:val="en-GB"/>
        </w:rPr>
      </w:pPr>
      <w:r w:rsidRPr="00380B40">
        <w:rPr>
          <w:b/>
          <w:lang w:val="en-GB"/>
        </w:rPr>
        <w:t>II.4.3</w:t>
      </w:r>
      <w:r w:rsidRPr="00380B40">
        <w:rPr>
          <w:lang w:val="en-GB"/>
        </w:rPr>
        <w:tab/>
        <w:t>The appointed Editor is responsible for the common document through draft iterations and final submission to the secretariats for publication (see clause 9). The individual selected for this task commits to following the work through to completion so that continuity can be maintained.</w:t>
      </w:r>
    </w:p>
    <w:p w14:paraId="5F4FEA30" w14:textId="77777777" w:rsidR="00523689" w:rsidRPr="00380B40" w:rsidRDefault="00523689" w:rsidP="00523689">
      <w:pPr>
        <w:pStyle w:val="Heading2"/>
        <w:rPr>
          <w:sz w:val="18"/>
          <w:lang w:val="en-GB"/>
        </w:rPr>
      </w:pPr>
      <w:bookmarkStart w:id="2354" w:name="_Toc442451751"/>
      <w:bookmarkStart w:id="2355" w:name="_Toc444251638"/>
      <w:bookmarkStart w:id="2356" w:name="_Toc445293526"/>
      <w:bookmarkStart w:id="2357" w:name="_Toc457983146"/>
      <w:bookmarkStart w:id="2358" w:name="_Toc459278604"/>
      <w:bookmarkStart w:id="2359" w:name="_Toc111637148"/>
      <w:r w:rsidRPr="00380B40">
        <w:rPr>
          <w:lang w:val="en-GB"/>
        </w:rPr>
        <w:t>II.5</w:t>
      </w:r>
      <w:r w:rsidRPr="00380B40">
        <w:rPr>
          <w:lang w:val="en-GB"/>
        </w:rPr>
        <w:tab/>
        <w:t>Achieving consensus</w:t>
      </w:r>
      <w:bookmarkEnd w:id="2354"/>
      <w:bookmarkEnd w:id="2355"/>
      <w:bookmarkEnd w:id="2356"/>
      <w:bookmarkEnd w:id="2357"/>
      <w:bookmarkEnd w:id="2358"/>
      <w:bookmarkEnd w:id="2359"/>
    </w:p>
    <w:p w14:paraId="17D81AD7" w14:textId="77777777" w:rsidR="00523689" w:rsidRPr="00380B40" w:rsidRDefault="00523689" w:rsidP="00523689">
      <w:pPr>
        <w:rPr>
          <w:lang w:val="en-GB"/>
        </w:rPr>
      </w:pPr>
      <w:r w:rsidRPr="00380B40">
        <w:rPr>
          <w:b/>
          <w:lang w:val="en-GB"/>
        </w:rPr>
        <w:t>II.5.1</w:t>
      </w:r>
      <w:r w:rsidRPr="00380B40">
        <w:rPr>
          <w:lang w:val="en-GB"/>
        </w:rPr>
        <w:tab/>
        <w:t>Close liaison is maintained during the development of draft documents, and resolution of ballots and comments to ensure that the views of all concerned are taken into account in building consensus.</w:t>
      </w:r>
      <w:r w:rsidRPr="00380B40" w:rsidDel="00C91427">
        <w:rPr>
          <w:lang w:val="en-GB"/>
        </w:rPr>
        <w:t xml:space="preserve"> </w:t>
      </w:r>
    </w:p>
    <w:p w14:paraId="588A770E" w14:textId="77777777" w:rsidR="00523689" w:rsidRPr="00380B40" w:rsidRDefault="00523689" w:rsidP="00523689">
      <w:pPr>
        <w:rPr>
          <w:lang w:val="en-GB"/>
        </w:rPr>
      </w:pPr>
      <w:r w:rsidRPr="00380B40">
        <w:rPr>
          <w:b/>
          <w:lang w:val="en-GB"/>
        </w:rPr>
        <w:t>II.5.2</w:t>
      </w:r>
      <w:r w:rsidRPr="00380B40">
        <w:rPr>
          <w:lang w:val="en-GB"/>
        </w:rPr>
        <w:tab/>
        <w:t>In general, the intent is that the degree of consensus and the stability of the agreements will increase at each step of the collaborative process.</w:t>
      </w:r>
    </w:p>
    <w:p w14:paraId="530642D4" w14:textId="77777777" w:rsidR="00523689" w:rsidRPr="00380B40" w:rsidRDefault="00523689" w:rsidP="00523689">
      <w:pPr>
        <w:rPr>
          <w:lang w:val="en-GB"/>
        </w:rPr>
      </w:pPr>
      <w:r w:rsidRPr="00380B40">
        <w:rPr>
          <w:b/>
          <w:lang w:val="en-GB"/>
        </w:rPr>
        <w:t>II.5.3</w:t>
      </w:r>
      <w:r w:rsidRPr="00380B40">
        <w:rPr>
          <w:lang w:val="en-GB"/>
        </w:rPr>
        <w:tab/>
        <w:t>In rare cases, it may become apparent during the development of a common document that one or more specific technical differences are necessary in order to take into account the needs of ITU-T and of the organization. All proposed differences are carefully examined to ensure there is a legitimate need for these. In such a case, the common document is to include the full technical material needed by each organization with wording that specifically identifies any text that is applicable only to one organization. If consensus cannot be reached, the collaboration may cease as specified in clause 8.3.</w:t>
      </w:r>
    </w:p>
    <w:p w14:paraId="323EAAB0" w14:textId="77777777" w:rsidR="002D4B22" w:rsidRPr="00380B40" w:rsidRDefault="002D4B22" w:rsidP="00523689">
      <w:pPr>
        <w:rPr>
          <w:lang w:val="en-GB"/>
        </w:rPr>
      </w:pPr>
      <w:r w:rsidRPr="00380B40">
        <w:rPr>
          <w:lang w:val="en-GB"/>
        </w:rPr>
        <w:br w:type="page"/>
      </w:r>
    </w:p>
    <w:p w14:paraId="2926FC74" w14:textId="77777777" w:rsidR="00523689" w:rsidRPr="00380B40" w:rsidRDefault="00523689" w:rsidP="00523689">
      <w:pPr>
        <w:pStyle w:val="Heading2"/>
        <w:rPr>
          <w:lang w:val="en-GB"/>
        </w:rPr>
      </w:pPr>
      <w:bookmarkStart w:id="2360" w:name="_Toc442451752"/>
      <w:bookmarkStart w:id="2361" w:name="_Toc444251639"/>
      <w:bookmarkStart w:id="2362" w:name="_Toc445293527"/>
      <w:bookmarkStart w:id="2363" w:name="_Toc457983147"/>
      <w:bookmarkStart w:id="2364" w:name="_Toc459278605"/>
      <w:bookmarkStart w:id="2365" w:name="_Toc111637149"/>
      <w:r w:rsidRPr="00380B40">
        <w:rPr>
          <w:lang w:val="en-GB"/>
        </w:rPr>
        <w:t>II.6</w:t>
      </w:r>
      <w:r w:rsidRPr="00380B40">
        <w:rPr>
          <w:lang w:val="en-GB"/>
        </w:rPr>
        <w:tab/>
        <w:t>Progress reporting</w:t>
      </w:r>
      <w:bookmarkEnd w:id="2360"/>
      <w:bookmarkEnd w:id="2361"/>
      <w:bookmarkEnd w:id="2362"/>
      <w:bookmarkEnd w:id="2363"/>
      <w:bookmarkEnd w:id="2364"/>
      <w:bookmarkEnd w:id="2365"/>
    </w:p>
    <w:p w14:paraId="57AFB1CD" w14:textId="77777777" w:rsidR="00523689" w:rsidRPr="00380B40" w:rsidRDefault="00523689" w:rsidP="00523689">
      <w:pPr>
        <w:rPr>
          <w:lang w:val="en-GB"/>
        </w:rPr>
      </w:pPr>
      <w:r w:rsidRPr="00380B40">
        <w:rPr>
          <w:b/>
          <w:lang w:val="en-GB"/>
        </w:rPr>
        <w:t>II.6.1</w:t>
      </w:r>
      <w:r w:rsidRPr="00380B40">
        <w:rPr>
          <w:lang w:val="en-GB"/>
        </w:rPr>
        <w:tab/>
        <w:t>The ITU-T Question is responsible for providing written reports of its meetings to its parent study group. Similarly, the group in the organization is responsible for reporting the results of its meetings to its parent group following normal procedures. These reports summarize the results of the meeting including agreements reached, areas identified for further study, the status of collaborative progress, and projected upcoming milestones (see Appendix IV).</w:t>
      </w:r>
    </w:p>
    <w:p w14:paraId="0A44E024" w14:textId="77777777" w:rsidR="00523689" w:rsidRPr="00380B40" w:rsidRDefault="00523689" w:rsidP="00523689">
      <w:pPr>
        <w:rPr>
          <w:lang w:val="en-GB"/>
        </w:rPr>
      </w:pPr>
      <w:r w:rsidRPr="00380B40">
        <w:rPr>
          <w:b/>
          <w:lang w:val="en-GB"/>
        </w:rPr>
        <w:t>II.6.2</w:t>
      </w:r>
      <w:r w:rsidRPr="00380B40">
        <w:rPr>
          <w:lang w:val="en-GB"/>
        </w:rPr>
        <w:tab/>
        <w:t>These reports, or appropriate extracts, are conveyed to the other group using the normal liaison procedure (see Appendix I). Meeting reports contain sufficient information to enable the collaborative work to mutually progress in both organizations as effectively as possible.</w:t>
      </w:r>
    </w:p>
    <w:p w14:paraId="0F577051" w14:textId="77777777" w:rsidR="002D4B22" w:rsidRPr="00380B40" w:rsidRDefault="002D4B22" w:rsidP="00523689">
      <w:pPr>
        <w:rPr>
          <w:lang w:val="en-GB"/>
        </w:rPr>
      </w:pPr>
    </w:p>
    <w:p w14:paraId="287C7F7C" w14:textId="77777777" w:rsidR="002D4B22" w:rsidRPr="00380B40" w:rsidRDefault="002D4B22" w:rsidP="00523689">
      <w:pPr>
        <w:rPr>
          <w:lang w:val="en-GB"/>
        </w:rPr>
      </w:pPr>
    </w:p>
    <w:p w14:paraId="4B338A65" w14:textId="77777777" w:rsidR="002D4B22" w:rsidRPr="00380B40" w:rsidRDefault="002D4B22" w:rsidP="00523689">
      <w:pPr>
        <w:rPr>
          <w:lang w:val="en-GB"/>
        </w:rPr>
      </w:pPr>
    </w:p>
    <w:p w14:paraId="13511013" w14:textId="77777777" w:rsidR="002D4B22" w:rsidRPr="00380B40" w:rsidRDefault="002D4B22" w:rsidP="00523689">
      <w:pPr>
        <w:rPr>
          <w:lang w:val="en-GB"/>
        </w:rPr>
      </w:pPr>
    </w:p>
    <w:p w14:paraId="27E2520A" w14:textId="77777777" w:rsidR="002D4B22" w:rsidRPr="00380B40" w:rsidRDefault="002D4B22" w:rsidP="00523689">
      <w:pPr>
        <w:rPr>
          <w:lang w:val="en-GB"/>
        </w:rPr>
      </w:pPr>
    </w:p>
    <w:p w14:paraId="307218C2" w14:textId="77777777" w:rsidR="002D4B22" w:rsidRPr="00380B40" w:rsidRDefault="002D4B22" w:rsidP="00523689">
      <w:pPr>
        <w:rPr>
          <w:lang w:val="en-GB"/>
        </w:rPr>
      </w:pPr>
    </w:p>
    <w:p w14:paraId="242C9D20" w14:textId="77777777" w:rsidR="002D4B22" w:rsidRPr="00380B40" w:rsidRDefault="002D4B22" w:rsidP="00523689">
      <w:pPr>
        <w:rPr>
          <w:lang w:val="en-GB"/>
        </w:rPr>
      </w:pPr>
    </w:p>
    <w:p w14:paraId="5E949583" w14:textId="77777777" w:rsidR="002D4B22" w:rsidRPr="00380B40" w:rsidRDefault="002D4B22" w:rsidP="00523689">
      <w:pPr>
        <w:rPr>
          <w:lang w:val="en-GB"/>
        </w:rPr>
      </w:pPr>
    </w:p>
    <w:p w14:paraId="0538A7F9" w14:textId="77777777" w:rsidR="002D4B22" w:rsidRPr="00380B40" w:rsidRDefault="002D4B22" w:rsidP="00523689">
      <w:pPr>
        <w:rPr>
          <w:lang w:val="en-GB"/>
        </w:rPr>
      </w:pPr>
    </w:p>
    <w:p w14:paraId="6990A5B7" w14:textId="77777777" w:rsidR="002D4B22" w:rsidRPr="00380B40" w:rsidRDefault="002D4B22" w:rsidP="00523689">
      <w:pPr>
        <w:rPr>
          <w:lang w:val="en-GB"/>
        </w:rPr>
      </w:pPr>
    </w:p>
    <w:p w14:paraId="6D324867" w14:textId="77777777" w:rsidR="002D4B22" w:rsidRPr="00380B40" w:rsidRDefault="002D4B22" w:rsidP="00523689">
      <w:pPr>
        <w:rPr>
          <w:lang w:val="en-GB"/>
        </w:rPr>
      </w:pPr>
    </w:p>
    <w:p w14:paraId="3D1078FA" w14:textId="77777777" w:rsidR="002D4B22" w:rsidRPr="00380B40" w:rsidRDefault="002D4B22" w:rsidP="00523689">
      <w:pPr>
        <w:rPr>
          <w:lang w:val="en-GB"/>
        </w:rPr>
      </w:pPr>
    </w:p>
    <w:p w14:paraId="3BFDD57A" w14:textId="77777777" w:rsidR="002D4B22" w:rsidRPr="00380B40" w:rsidRDefault="002D4B22" w:rsidP="00523689">
      <w:pPr>
        <w:rPr>
          <w:lang w:val="en-GB"/>
        </w:rPr>
      </w:pPr>
    </w:p>
    <w:p w14:paraId="13F38E2D" w14:textId="77777777" w:rsidR="002D4B22" w:rsidRPr="00380B40" w:rsidRDefault="002D4B22" w:rsidP="00523689">
      <w:pPr>
        <w:rPr>
          <w:lang w:val="en-GB"/>
        </w:rPr>
      </w:pPr>
    </w:p>
    <w:p w14:paraId="01A21A8F" w14:textId="77777777" w:rsidR="002D4B22" w:rsidRPr="00380B40" w:rsidRDefault="002D4B22" w:rsidP="00523689">
      <w:pPr>
        <w:rPr>
          <w:lang w:val="en-GB"/>
        </w:rPr>
      </w:pPr>
    </w:p>
    <w:p w14:paraId="42E19AFE" w14:textId="77777777" w:rsidR="002D4B22" w:rsidRPr="00380B40" w:rsidRDefault="002D4B22" w:rsidP="00523689">
      <w:pPr>
        <w:rPr>
          <w:lang w:val="en-GB"/>
        </w:rPr>
      </w:pPr>
    </w:p>
    <w:p w14:paraId="6403E135" w14:textId="77777777" w:rsidR="002D4B22" w:rsidRPr="00380B40" w:rsidRDefault="002D4B22" w:rsidP="00523689">
      <w:pPr>
        <w:rPr>
          <w:lang w:val="en-GB"/>
        </w:rPr>
      </w:pPr>
    </w:p>
    <w:p w14:paraId="03E398E1" w14:textId="77777777" w:rsidR="002D4B22" w:rsidRPr="00380B40" w:rsidRDefault="002D4B22" w:rsidP="00523689">
      <w:pPr>
        <w:rPr>
          <w:lang w:val="en-GB"/>
        </w:rPr>
      </w:pPr>
    </w:p>
    <w:p w14:paraId="4D6CB56C" w14:textId="77777777" w:rsidR="002D4B22" w:rsidRPr="00380B40" w:rsidRDefault="002D4B22" w:rsidP="00523689">
      <w:pPr>
        <w:rPr>
          <w:lang w:val="en-GB"/>
        </w:rPr>
      </w:pPr>
    </w:p>
    <w:p w14:paraId="5E78C739" w14:textId="77777777" w:rsidR="002D4B22" w:rsidRPr="00380B40" w:rsidRDefault="002D4B22" w:rsidP="00523689">
      <w:pPr>
        <w:rPr>
          <w:lang w:val="en-GB"/>
        </w:rPr>
      </w:pPr>
    </w:p>
    <w:p w14:paraId="5A7FD17D" w14:textId="77777777" w:rsidR="002D4B22" w:rsidRPr="00380B40" w:rsidRDefault="002D4B22" w:rsidP="00523689">
      <w:pPr>
        <w:rPr>
          <w:lang w:val="en-GB"/>
        </w:rPr>
      </w:pPr>
      <w:r w:rsidRPr="00380B40">
        <w:rPr>
          <w:lang w:val="en-GB"/>
        </w:rPr>
        <w:br w:type="page"/>
      </w:r>
    </w:p>
    <w:p w14:paraId="749484F2" w14:textId="77777777" w:rsidR="00B66120" w:rsidRPr="00380B40" w:rsidRDefault="00523689" w:rsidP="00B66120">
      <w:pPr>
        <w:pStyle w:val="AppendixNo"/>
      </w:pPr>
      <w:bookmarkStart w:id="2366" w:name="_Toc442451753"/>
      <w:bookmarkStart w:id="2367" w:name="_Toc444251640"/>
      <w:bookmarkStart w:id="2368" w:name="_Toc445293528"/>
      <w:bookmarkStart w:id="2369" w:name="_Toc457983148"/>
      <w:bookmarkStart w:id="2370" w:name="_Toc459278606"/>
      <w:r w:rsidRPr="00380B40">
        <w:t>Appendix III</w:t>
      </w:r>
    </w:p>
    <w:p w14:paraId="00BD1E45" w14:textId="77777777" w:rsidR="00523689" w:rsidRPr="00380B40" w:rsidRDefault="00523689" w:rsidP="00B66120">
      <w:pPr>
        <w:pStyle w:val="Appendixtitle"/>
      </w:pPr>
      <w:r w:rsidRPr="00380B40">
        <w:t>Guidelines for collaboration using a common team</w:t>
      </w:r>
      <w:bookmarkEnd w:id="2366"/>
      <w:bookmarkEnd w:id="2367"/>
      <w:bookmarkEnd w:id="2368"/>
      <w:bookmarkEnd w:id="2369"/>
      <w:bookmarkEnd w:id="2370"/>
    </w:p>
    <w:p w14:paraId="723EF556" w14:textId="77777777" w:rsidR="00523689" w:rsidRPr="00380B40" w:rsidRDefault="00523689" w:rsidP="00523689">
      <w:pPr>
        <w:pStyle w:val="Normalaftertitle"/>
        <w:rPr>
          <w:lang w:val="en-GB"/>
        </w:rPr>
      </w:pPr>
      <w:r w:rsidRPr="00380B40">
        <w:rPr>
          <w:lang w:val="en-GB"/>
        </w:rPr>
        <w:t>The basic concept of collaboration using a common team is to perform all development, consensus building, and ballot/comment resolution efforts in common meetings to produce mutually agreed common (or technically-aligned) documents.</w:t>
      </w:r>
    </w:p>
    <w:p w14:paraId="7456CDE4" w14:textId="77777777" w:rsidR="00523689" w:rsidRPr="00380B40" w:rsidRDefault="00523689" w:rsidP="00523689">
      <w:pPr>
        <w:pStyle w:val="Heading2"/>
        <w:rPr>
          <w:lang w:val="en-GB"/>
        </w:rPr>
      </w:pPr>
      <w:bookmarkStart w:id="2371" w:name="_Toc442451754"/>
      <w:bookmarkStart w:id="2372" w:name="_Toc444251641"/>
      <w:bookmarkStart w:id="2373" w:name="_Toc445293529"/>
      <w:bookmarkStart w:id="2374" w:name="_Toc457983149"/>
      <w:bookmarkStart w:id="2375" w:name="_Toc459278607"/>
      <w:bookmarkStart w:id="2376" w:name="_Toc111637150"/>
      <w:r w:rsidRPr="00380B40">
        <w:rPr>
          <w:lang w:val="en-GB"/>
        </w:rPr>
        <w:t>III.1</w:t>
      </w:r>
      <w:r w:rsidRPr="00380B40">
        <w:rPr>
          <w:lang w:val="en-GB"/>
        </w:rPr>
        <w:tab/>
        <w:t>Establishing a common team</w:t>
      </w:r>
      <w:bookmarkEnd w:id="2371"/>
      <w:bookmarkEnd w:id="2372"/>
      <w:bookmarkEnd w:id="2373"/>
      <w:bookmarkEnd w:id="2374"/>
      <w:bookmarkEnd w:id="2375"/>
      <w:bookmarkEnd w:id="2376"/>
    </w:p>
    <w:p w14:paraId="41258D8D" w14:textId="77777777" w:rsidR="00523689" w:rsidRPr="00380B40" w:rsidRDefault="00523689" w:rsidP="00523689">
      <w:pPr>
        <w:rPr>
          <w:lang w:val="en-GB"/>
        </w:rPr>
      </w:pPr>
      <w:r w:rsidRPr="00380B40">
        <w:rPr>
          <w:b/>
          <w:lang w:val="en-GB"/>
        </w:rPr>
        <w:t>III.1.1</w:t>
      </w:r>
      <w:r w:rsidRPr="00380B40">
        <w:rPr>
          <w:lang w:val="en-GB"/>
        </w:rPr>
        <w:tab/>
        <w:t>Upon agreement by the ITU-T study group and the relevant group in the organization that a specific area of work is to be developed collaboratively in common meetings, a common team is established with participants from both organizations (see clause 8.2).</w:t>
      </w:r>
    </w:p>
    <w:p w14:paraId="58B43F73" w14:textId="77777777" w:rsidR="00523689" w:rsidRPr="00380B40" w:rsidRDefault="00523689" w:rsidP="00523689">
      <w:pPr>
        <w:rPr>
          <w:lang w:val="en-GB"/>
        </w:rPr>
      </w:pPr>
      <w:r w:rsidRPr="00380B40">
        <w:rPr>
          <w:b/>
          <w:lang w:val="en-GB"/>
        </w:rPr>
        <w:t>III.1.2</w:t>
      </w:r>
      <w:r w:rsidRPr="00380B40">
        <w:rPr>
          <w:lang w:val="en-GB"/>
        </w:rPr>
        <w:tab/>
        <w:t>The common team has either a single convenor agreed upon by the ITU-T study group and the relevant group in the organization, or co-convenors, one appointed by each organization. In the case of co-convenors, the chairing of meetings can be on a rotational basis or as otherwise agreed by the common team.</w:t>
      </w:r>
    </w:p>
    <w:p w14:paraId="15F307D4" w14:textId="77777777" w:rsidR="00523689" w:rsidRPr="00380B40" w:rsidRDefault="00523689" w:rsidP="00523689">
      <w:pPr>
        <w:rPr>
          <w:lang w:val="en-GB"/>
        </w:rPr>
      </w:pPr>
      <w:r w:rsidRPr="00380B40">
        <w:rPr>
          <w:b/>
          <w:lang w:val="en-GB"/>
        </w:rPr>
        <w:t>III.1.3</w:t>
      </w:r>
      <w:r w:rsidRPr="00380B40">
        <w:rPr>
          <w:lang w:val="en-GB"/>
        </w:rPr>
        <w:tab/>
        <w:t>Eligibility for attendance at a common team meeting is determined by the requirements of each organization.</w:t>
      </w:r>
    </w:p>
    <w:p w14:paraId="27801CD2" w14:textId="77777777" w:rsidR="00523689" w:rsidRPr="00380B40" w:rsidRDefault="00523689" w:rsidP="00523689">
      <w:pPr>
        <w:rPr>
          <w:lang w:val="en-GB"/>
        </w:rPr>
      </w:pPr>
      <w:r w:rsidRPr="00380B40">
        <w:rPr>
          <w:b/>
          <w:lang w:val="en-GB"/>
        </w:rPr>
        <w:t>III.1.4</w:t>
      </w:r>
      <w:r w:rsidRPr="00380B40">
        <w:rPr>
          <w:lang w:val="en-GB"/>
        </w:rPr>
        <w:tab/>
        <w:t>The common team uses the procedures described below to build consensus and to achieve synchronization of approvals with the aim of leading to publication of common (or technically-aligned) documents (see Appendix IV).</w:t>
      </w:r>
    </w:p>
    <w:p w14:paraId="78DE5EBB" w14:textId="77777777" w:rsidR="00523689" w:rsidRPr="00380B40" w:rsidRDefault="00523689" w:rsidP="00523689">
      <w:pPr>
        <w:rPr>
          <w:lang w:val="en-GB"/>
        </w:rPr>
      </w:pPr>
      <w:r w:rsidRPr="00380B40">
        <w:rPr>
          <w:b/>
          <w:lang w:val="en-GB"/>
        </w:rPr>
        <w:t>III.1.5</w:t>
      </w:r>
      <w:r w:rsidRPr="00380B40">
        <w:rPr>
          <w:lang w:val="en-GB"/>
        </w:rPr>
        <w:tab/>
        <w:t>The terms of reference (see clause 8.2) or mode of collaboration can be changed at any time by mutual agreement of the ITU-T study group and of the relevant group in the organization. It is recommended that collaboration also continues for the ongoing maintenance phase (see clause 10). Procedures for terminating a collaborative work are covered in clause 8.3.</w:t>
      </w:r>
    </w:p>
    <w:p w14:paraId="05E51FDA" w14:textId="77777777" w:rsidR="00523689" w:rsidRPr="00380B40" w:rsidRDefault="00523689" w:rsidP="00523689">
      <w:pPr>
        <w:pStyle w:val="Heading2"/>
        <w:rPr>
          <w:lang w:val="en-GB"/>
        </w:rPr>
      </w:pPr>
      <w:bookmarkStart w:id="2377" w:name="_Toc442451755"/>
      <w:bookmarkStart w:id="2378" w:name="_Toc444251642"/>
      <w:bookmarkStart w:id="2379" w:name="_Toc445293530"/>
      <w:bookmarkStart w:id="2380" w:name="_Toc457983150"/>
      <w:bookmarkStart w:id="2381" w:name="_Toc459278608"/>
      <w:bookmarkStart w:id="2382" w:name="_Toc111637151"/>
      <w:r w:rsidRPr="00380B40">
        <w:rPr>
          <w:lang w:val="en-GB"/>
        </w:rPr>
        <w:t>III.2</w:t>
      </w:r>
      <w:r w:rsidRPr="00380B40">
        <w:rPr>
          <w:lang w:val="en-GB"/>
        </w:rPr>
        <w:tab/>
        <w:t>Meetings</w:t>
      </w:r>
      <w:bookmarkEnd w:id="2377"/>
      <w:bookmarkEnd w:id="2378"/>
      <w:bookmarkEnd w:id="2379"/>
      <w:bookmarkEnd w:id="2380"/>
      <w:bookmarkEnd w:id="2381"/>
      <w:bookmarkEnd w:id="2382"/>
    </w:p>
    <w:p w14:paraId="4203A1AC" w14:textId="77777777" w:rsidR="00523689" w:rsidRPr="00380B40" w:rsidRDefault="00523689" w:rsidP="00523689">
      <w:pPr>
        <w:rPr>
          <w:lang w:val="en-GB"/>
        </w:rPr>
      </w:pPr>
      <w:r w:rsidRPr="00380B40">
        <w:rPr>
          <w:b/>
          <w:lang w:val="en-GB"/>
        </w:rPr>
        <w:t>III.2.1</w:t>
      </w:r>
      <w:r w:rsidRPr="00380B40">
        <w:rPr>
          <w:lang w:val="en-GB"/>
        </w:rPr>
        <w:tab/>
        <w:t>Each common team meeting is properly scheduled in advance. The common team is responsible for making its own meeting arrangements and schedule, subject to agreement by the ITU-T study group and by the organization. In ITU-T, a meeting of the common team is considered as a rapporteur meeting of the relevant Question (see clauses 2.3.3.10 to 2.3.3.15 of [ITU-T A.1]).</w:t>
      </w:r>
    </w:p>
    <w:p w14:paraId="205E1529" w14:textId="77777777" w:rsidR="00523689" w:rsidRPr="00380B40" w:rsidRDefault="00523689" w:rsidP="00523689">
      <w:pPr>
        <w:rPr>
          <w:lang w:val="en-GB"/>
        </w:rPr>
      </w:pPr>
      <w:r w:rsidRPr="00380B40">
        <w:rPr>
          <w:b/>
          <w:lang w:val="en-GB"/>
        </w:rPr>
        <w:t>III.2.2</w:t>
      </w:r>
      <w:r w:rsidRPr="00380B40">
        <w:rPr>
          <w:lang w:val="en-GB"/>
        </w:rPr>
        <w:tab/>
        <w:t>Generally, hosts for common team meetings alternate between ITU-T and the organization, but they may also be cooperatively hosted with appropriate agreement. It is recommended that common team meetings be scheduled at the same location and time as the respective ITU-T study group or relevant group in the organization, although meetings may also be scheduled at other times and locations.</w:t>
      </w:r>
    </w:p>
    <w:p w14:paraId="545E78EB" w14:textId="77777777" w:rsidR="002D4B22" w:rsidRPr="00380B40" w:rsidRDefault="002D4B22" w:rsidP="00523689">
      <w:pPr>
        <w:rPr>
          <w:b/>
          <w:lang w:val="en-GB"/>
        </w:rPr>
      </w:pPr>
      <w:r w:rsidRPr="00380B40">
        <w:rPr>
          <w:b/>
          <w:lang w:val="en-GB"/>
        </w:rPr>
        <w:br w:type="page"/>
      </w:r>
    </w:p>
    <w:p w14:paraId="4751C3F6" w14:textId="77777777" w:rsidR="00523689" w:rsidRPr="00380B40" w:rsidRDefault="00523689" w:rsidP="00523689">
      <w:pPr>
        <w:rPr>
          <w:lang w:val="en-GB"/>
        </w:rPr>
      </w:pPr>
      <w:r w:rsidRPr="00380B40">
        <w:rPr>
          <w:b/>
          <w:lang w:val="en-GB"/>
        </w:rPr>
        <w:t>III.2.3</w:t>
      </w:r>
      <w:r w:rsidRPr="00380B40">
        <w:rPr>
          <w:lang w:val="en-GB"/>
        </w:rPr>
        <w:tab/>
        <w:t>It is recommended that the convenor(s) of the common team maintain a mailing list of all individuals who wish to be informed of the meetings of the common team.</w:t>
      </w:r>
    </w:p>
    <w:p w14:paraId="26D7801F" w14:textId="77777777" w:rsidR="00523689" w:rsidRPr="00380B40" w:rsidRDefault="00523689" w:rsidP="00523689">
      <w:pPr>
        <w:rPr>
          <w:lang w:val="en-GB"/>
        </w:rPr>
      </w:pPr>
      <w:r w:rsidRPr="00380B40">
        <w:rPr>
          <w:b/>
          <w:lang w:val="en-GB"/>
        </w:rPr>
        <w:t>III.2.4</w:t>
      </w:r>
      <w:r w:rsidRPr="00380B40">
        <w:rPr>
          <w:lang w:val="en-GB"/>
        </w:rPr>
        <w:tab/>
        <w:t>Meeting notices and the agenda respect the deadlines of both ITU-T (e.g., a convening letter for rapporteur meetings is posted, normally at least two months prior to the meeting, on the study group webpage) and the organization. It is recommended that the meeting notice identifies the meeting as one of both ITU</w:t>
      </w:r>
      <w:r w:rsidRPr="00380B40">
        <w:rPr>
          <w:lang w:val="en-GB"/>
        </w:rPr>
        <w:noBreakHyphen/>
        <w:t>T and the organization, and that the meeting notice and agenda are sent for posting to the ITU</w:t>
      </w:r>
      <w:r w:rsidRPr="00380B40">
        <w:rPr>
          <w:lang w:val="en-GB"/>
        </w:rPr>
        <w:noBreakHyphen/>
        <w:t>T study group secretariat and to the secretariat of the organization. Each agenda provides a list of documents to be considered, including previous meeting reports and input contributions (see clause III.3).</w:t>
      </w:r>
    </w:p>
    <w:p w14:paraId="345AF13D" w14:textId="77777777" w:rsidR="00523689" w:rsidRPr="00380B40" w:rsidRDefault="00523689" w:rsidP="00523689">
      <w:pPr>
        <w:rPr>
          <w:lang w:val="en-GB"/>
        </w:rPr>
      </w:pPr>
      <w:r w:rsidRPr="00380B40">
        <w:rPr>
          <w:b/>
          <w:lang w:val="en-GB"/>
        </w:rPr>
        <w:t>III.2.5</w:t>
      </w:r>
      <w:r w:rsidRPr="00380B40">
        <w:rPr>
          <w:lang w:val="en-GB"/>
        </w:rPr>
        <w:tab/>
        <w:t>Communication between an ITU-T Question (or rapporteur group) and a common team is also done through liaison statements. It is expected that the relevant group in the organization also communicates with a common team by way of liaison statements.</w:t>
      </w:r>
    </w:p>
    <w:p w14:paraId="1FE5920B" w14:textId="77777777" w:rsidR="00523689" w:rsidRPr="00380B40" w:rsidRDefault="00523689" w:rsidP="00523689">
      <w:pPr>
        <w:pStyle w:val="Heading2"/>
        <w:rPr>
          <w:lang w:val="en-GB"/>
        </w:rPr>
      </w:pPr>
      <w:bookmarkStart w:id="2383" w:name="_Toc442451756"/>
      <w:bookmarkStart w:id="2384" w:name="_Toc444251643"/>
      <w:bookmarkStart w:id="2385" w:name="_Toc445293531"/>
      <w:bookmarkStart w:id="2386" w:name="_Toc457983151"/>
      <w:bookmarkStart w:id="2387" w:name="_Toc459278609"/>
      <w:bookmarkStart w:id="2388" w:name="_Toc111637152"/>
      <w:r w:rsidRPr="00380B40">
        <w:rPr>
          <w:lang w:val="en-GB"/>
        </w:rPr>
        <w:t>III.3</w:t>
      </w:r>
      <w:r w:rsidRPr="00380B40">
        <w:rPr>
          <w:lang w:val="en-GB"/>
        </w:rPr>
        <w:tab/>
        <w:t>Contributions</w:t>
      </w:r>
      <w:bookmarkEnd w:id="2383"/>
      <w:bookmarkEnd w:id="2384"/>
      <w:bookmarkEnd w:id="2385"/>
      <w:bookmarkEnd w:id="2386"/>
      <w:bookmarkEnd w:id="2387"/>
      <w:bookmarkEnd w:id="2388"/>
    </w:p>
    <w:p w14:paraId="45208484" w14:textId="77777777" w:rsidR="00523689" w:rsidRPr="00380B40" w:rsidRDefault="00523689" w:rsidP="00523689">
      <w:pPr>
        <w:rPr>
          <w:lang w:val="en-GB"/>
        </w:rPr>
      </w:pPr>
      <w:r w:rsidRPr="00380B40">
        <w:rPr>
          <w:b/>
          <w:lang w:val="en-GB"/>
        </w:rPr>
        <w:t>III.3.1</w:t>
      </w:r>
      <w:r w:rsidRPr="00380B40">
        <w:rPr>
          <w:lang w:val="en-GB"/>
        </w:rPr>
        <w:tab/>
        <w:t>Contributions to the work of the common team may be provided by ITU-T members or by members of the organization. Each contribution indicates its source.</w:t>
      </w:r>
    </w:p>
    <w:p w14:paraId="0B88919A" w14:textId="77777777" w:rsidR="00523689" w:rsidRPr="00380B40" w:rsidRDefault="00523689" w:rsidP="00523689">
      <w:pPr>
        <w:rPr>
          <w:lang w:val="en-GB"/>
        </w:rPr>
      </w:pPr>
      <w:r w:rsidRPr="00380B40">
        <w:rPr>
          <w:b/>
          <w:lang w:val="en-GB"/>
        </w:rPr>
        <w:t>III.3.2</w:t>
      </w:r>
      <w:r w:rsidRPr="00380B40">
        <w:rPr>
          <w:lang w:val="en-GB"/>
        </w:rPr>
        <w:tab/>
        <w:t>Contributions to be considered at a common team meeting are normally in the hands of the common team convenor(s) at least twelve calendar days in advance. Late contributions will only be considered upon agreement by the meeting participants, in particular to accommodate particular deadlines or meeting dates of the organization.</w:t>
      </w:r>
    </w:p>
    <w:p w14:paraId="114665AA" w14:textId="77777777" w:rsidR="00523689" w:rsidRPr="00380B40" w:rsidRDefault="00523689" w:rsidP="00523689">
      <w:pPr>
        <w:rPr>
          <w:lang w:val="en-GB"/>
        </w:rPr>
      </w:pPr>
      <w:r w:rsidRPr="00380B40">
        <w:rPr>
          <w:b/>
          <w:lang w:val="en-GB"/>
        </w:rPr>
        <w:t>III.3.3</w:t>
      </w:r>
      <w:r w:rsidRPr="00380B40">
        <w:rPr>
          <w:lang w:val="en-GB"/>
        </w:rPr>
        <w:tab/>
        <w:t>All contributions to the common team, regardless of their means of submission, will be identified and maintained by the common team in a document register.</w:t>
      </w:r>
    </w:p>
    <w:p w14:paraId="54B6DE62" w14:textId="77777777" w:rsidR="00523689" w:rsidRPr="00380B40" w:rsidRDefault="00523689" w:rsidP="00523689">
      <w:pPr>
        <w:rPr>
          <w:lang w:val="en-GB"/>
        </w:rPr>
      </w:pPr>
      <w:r w:rsidRPr="00380B40">
        <w:rPr>
          <w:b/>
          <w:lang w:val="en-GB"/>
        </w:rPr>
        <w:t>III.3.4</w:t>
      </w:r>
      <w:r w:rsidRPr="00380B40">
        <w:rPr>
          <w:lang w:val="en-GB"/>
        </w:rPr>
        <w:tab/>
        <w:t>It is recommended that the convenor(s) maintain a mailing list of the common team participants and ensure timely distribution of contributions and meeting output documents to eligible participants.</w:t>
      </w:r>
    </w:p>
    <w:p w14:paraId="067E3537" w14:textId="77777777" w:rsidR="00523689" w:rsidRPr="00380B40" w:rsidRDefault="00523689" w:rsidP="00523689">
      <w:pPr>
        <w:pStyle w:val="Heading2"/>
        <w:rPr>
          <w:lang w:val="en-GB"/>
        </w:rPr>
      </w:pPr>
      <w:bookmarkStart w:id="2389" w:name="_Toc442451757"/>
      <w:bookmarkStart w:id="2390" w:name="_Toc444251644"/>
      <w:bookmarkStart w:id="2391" w:name="_Toc445293532"/>
      <w:bookmarkStart w:id="2392" w:name="_Toc457983152"/>
      <w:bookmarkStart w:id="2393" w:name="_Toc459278610"/>
      <w:bookmarkStart w:id="2394" w:name="_Toc111637153"/>
      <w:r w:rsidRPr="00380B40">
        <w:rPr>
          <w:lang w:val="en-GB"/>
        </w:rPr>
        <w:t>III.4</w:t>
      </w:r>
      <w:r w:rsidRPr="00380B40">
        <w:rPr>
          <w:lang w:val="en-GB"/>
        </w:rPr>
        <w:tab/>
        <w:t>Editor in case of a common document</w:t>
      </w:r>
      <w:bookmarkEnd w:id="2389"/>
      <w:bookmarkEnd w:id="2390"/>
      <w:bookmarkEnd w:id="2391"/>
      <w:bookmarkEnd w:id="2392"/>
      <w:bookmarkEnd w:id="2393"/>
      <w:bookmarkEnd w:id="2394"/>
    </w:p>
    <w:p w14:paraId="32CC29C4" w14:textId="77777777" w:rsidR="00523689" w:rsidRPr="00380B40" w:rsidRDefault="00523689" w:rsidP="00523689">
      <w:pPr>
        <w:pStyle w:val="Note"/>
        <w:rPr>
          <w:lang w:val="en-GB"/>
        </w:rPr>
      </w:pPr>
      <w:r w:rsidRPr="00380B40">
        <w:rPr>
          <w:lang w:val="en-GB"/>
        </w:rPr>
        <w:t>NOTE – In the case of technically-aligned documents, each organization nominates one or more Editor(s) for its own document.</w:t>
      </w:r>
    </w:p>
    <w:p w14:paraId="5D6B132D" w14:textId="77777777" w:rsidR="00523689" w:rsidRPr="00380B40" w:rsidRDefault="00523689" w:rsidP="00523689">
      <w:pPr>
        <w:rPr>
          <w:lang w:val="en-GB"/>
        </w:rPr>
      </w:pPr>
      <w:r w:rsidRPr="00380B40">
        <w:rPr>
          <w:b/>
          <w:lang w:val="en-GB"/>
        </w:rPr>
        <w:t>III.4.1</w:t>
      </w:r>
      <w:r w:rsidRPr="00380B40">
        <w:rPr>
          <w:lang w:val="en-GB"/>
        </w:rPr>
        <w:tab/>
        <w:t xml:space="preserve">It is strongly recommended that the common team appoints a single Editor to produce and maintain the single master common document, normally in accordance with </w:t>
      </w:r>
      <w:r w:rsidRPr="00380B40">
        <w:rPr>
          <w:rFonts w:eastAsia="Batang"/>
          <w:lang w:val="en-GB"/>
        </w:rPr>
        <w:t>[Author's Guide]</w:t>
      </w:r>
      <w:r w:rsidRPr="00380B40">
        <w:rPr>
          <w:lang w:val="en-GB"/>
        </w:rPr>
        <w:t>.</w:t>
      </w:r>
    </w:p>
    <w:p w14:paraId="6FCB906B" w14:textId="77777777" w:rsidR="00523689" w:rsidRPr="00380B40" w:rsidRDefault="00523689" w:rsidP="00523689">
      <w:pPr>
        <w:rPr>
          <w:lang w:val="en-GB"/>
        </w:rPr>
      </w:pPr>
      <w:r w:rsidRPr="00380B40">
        <w:rPr>
          <w:b/>
          <w:lang w:val="en-GB"/>
        </w:rPr>
        <w:t>III.4.2</w:t>
      </w:r>
      <w:r w:rsidRPr="00380B40">
        <w:rPr>
          <w:lang w:val="en-GB"/>
        </w:rPr>
        <w:tab/>
        <w:t>The draft master common document will be updated only when agreement to the specific text has been made by the common team. Each iteration of the draft common document are dated. Changes from the previous draft are highlighted by change marks.</w:t>
      </w:r>
    </w:p>
    <w:p w14:paraId="6F70485D" w14:textId="77777777" w:rsidR="00523689" w:rsidRPr="00380B40" w:rsidRDefault="00523689" w:rsidP="00523689">
      <w:pPr>
        <w:rPr>
          <w:lang w:val="en-GB"/>
        </w:rPr>
      </w:pPr>
      <w:r w:rsidRPr="00380B40">
        <w:rPr>
          <w:b/>
          <w:lang w:val="en-GB"/>
        </w:rPr>
        <w:t>III.4.3</w:t>
      </w:r>
      <w:r w:rsidRPr="00380B40">
        <w:rPr>
          <w:lang w:val="en-GB"/>
        </w:rPr>
        <w:tab/>
        <w:t>The appointed Editor is responsible for the common document through draft iterations and final submission to the secretariats for publication (see clause 9). The individual selected for this task commits to following the work through to completion so that continuity can be maintained throughout the effort.</w:t>
      </w:r>
    </w:p>
    <w:p w14:paraId="4194FC6A" w14:textId="77777777" w:rsidR="002D4B22" w:rsidRPr="00380B40" w:rsidRDefault="002D4B22" w:rsidP="002D4B22">
      <w:pPr>
        <w:rPr>
          <w:lang w:val="en-GB"/>
        </w:rPr>
      </w:pPr>
      <w:bookmarkStart w:id="2395" w:name="_Toc442451758"/>
      <w:bookmarkStart w:id="2396" w:name="_Toc444251645"/>
      <w:bookmarkStart w:id="2397" w:name="_Toc445293533"/>
      <w:bookmarkStart w:id="2398" w:name="_Toc457983153"/>
      <w:bookmarkStart w:id="2399" w:name="_Toc459278611"/>
      <w:r w:rsidRPr="00380B40">
        <w:rPr>
          <w:lang w:val="en-GB"/>
        </w:rPr>
        <w:br w:type="page"/>
      </w:r>
    </w:p>
    <w:p w14:paraId="0BA44641" w14:textId="77777777" w:rsidR="00523689" w:rsidRPr="00380B40" w:rsidRDefault="00523689" w:rsidP="00523689">
      <w:pPr>
        <w:pStyle w:val="Heading2"/>
        <w:rPr>
          <w:sz w:val="18"/>
          <w:lang w:val="en-GB"/>
        </w:rPr>
      </w:pPr>
      <w:bookmarkStart w:id="2400" w:name="_Toc111637154"/>
      <w:r w:rsidRPr="00380B40">
        <w:rPr>
          <w:lang w:val="en-GB"/>
        </w:rPr>
        <w:t>III.5</w:t>
      </w:r>
      <w:r w:rsidRPr="00380B40">
        <w:rPr>
          <w:lang w:val="en-GB"/>
        </w:rPr>
        <w:tab/>
        <w:t>Achieving consensus</w:t>
      </w:r>
      <w:bookmarkEnd w:id="2395"/>
      <w:bookmarkEnd w:id="2396"/>
      <w:bookmarkEnd w:id="2397"/>
      <w:bookmarkEnd w:id="2398"/>
      <w:bookmarkEnd w:id="2399"/>
      <w:bookmarkEnd w:id="2400"/>
    </w:p>
    <w:p w14:paraId="3827D3A0" w14:textId="77777777" w:rsidR="00523689" w:rsidRPr="00380B40" w:rsidRDefault="00523689" w:rsidP="00523689">
      <w:pPr>
        <w:rPr>
          <w:lang w:val="en-GB"/>
        </w:rPr>
      </w:pPr>
      <w:r w:rsidRPr="00380B40">
        <w:rPr>
          <w:b/>
          <w:lang w:val="en-GB"/>
        </w:rPr>
        <w:t>III.5.1</w:t>
      </w:r>
      <w:r w:rsidRPr="00380B40">
        <w:rPr>
          <w:lang w:val="en-GB"/>
        </w:rPr>
        <w:tab/>
        <w:t>The functions of the common team meetings are three-fold: the development and editing of draft documents, and resolution of ballots and comments. The common team meetings are only authorized to deal with the specific collaborative projects identified in the terms of reference (see clause 8.3).</w:t>
      </w:r>
    </w:p>
    <w:p w14:paraId="6AEE7AD0" w14:textId="77777777" w:rsidR="00523689" w:rsidRPr="00380B40" w:rsidRDefault="00523689" w:rsidP="00523689">
      <w:pPr>
        <w:rPr>
          <w:lang w:val="en-GB"/>
        </w:rPr>
      </w:pPr>
      <w:r w:rsidRPr="00380B40">
        <w:rPr>
          <w:b/>
          <w:lang w:val="en-GB"/>
        </w:rPr>
        <w:t>III.5.2</w:t>
      </w:r>
      <w:r w:rsidRPr="00380B40">
        <w:rPr>
          <w:lang w:val="en-GB"/>
        </w:rPr>
        <w:tab/>
        <w:t>In responding to the requirements of the designated collaborative projects, the development of draft documents is a consensus building process.</w:t>
      </w:r>
    </w:p>
    <w:p w14:paraId="59EA67A9" w14:textId="77777777" w:rsidR="00523689" w:rsidRPr="00380B40" w:rsidRDefault="00523689" w:rsidP="00523689">
      <w:pPr>
        <w:rPr>
          <w:lang w:val="en-GB"/>
        </w:rPr>
      </w:pPr>
      <w:r w:rsidRPr="00380B40">
        <w:rPr>
          <w:b/>
          <w:lang w:val="en-GB"/>
        </w:rPr>
        <w:t>III.5.3</w:t>
      </w:r>
      <w:r w:rsidRPr="00380B40">
        <w:rPr>
          <w:lang w:val="en-GB"/>
        </w:rPr>
        <w:tab/>
        <w:t>Balloting, or voting, by the common team during the development of draft documents is considered inappropriate in reaching a consensus and could be counter-productive. The common team consensus is built through discussion, acceptance, compromise, and, if necessary, informal polling of delegates to sample the state of agreement. It would also be appropriate to record in meeting reports points of consensus, as well as any specific reservations that meeting delegates have on particular issues.</w:t>
      </w:r>
    </w:p>
    <w:p w14:paraId="1097A008" w14:textId="77777777" w:rsidR="00523689" w:rsidRPr="00380B40" w:rsidRDefault="00523689" w:rsidP="00523689">
      <w:pPr>
        <w:rPr>
          <w:lang w:val="en-GB"/>
        </w:rPr>
      </w:pPr>
      <w:r w:rsidRPr="00380B40">
        <w:rPr>
          <w:b/>
          <w:lang w:val="en-GB"/>
        </w:rPr>
        <w:t>III.5.4</w:t>
      </w:r>
      <w:r w:rsidRPr="00380B40">
        <w:rPr>
          <w:lang w:val="en-GB"/>
        </w:rPr>
        <w:tab/>
        <w:t>Topics of concern to only the ITU-T or to only the organization may be addressed by sub-group meetings held within the framework of the common team meeting.</w:t>
      </w:r>
    </w:p>
    <w:p w14:paraId="23E2FA05" w14:textId="77777777" w:rsidR="00523689" w:rsidRPr="00380B40" w:rsidRDefault="00523689" w:rsidP="00523689">
      <w:pPr>
        <w:keepNext/>
        <w:keepLines/>
        <w:rPr>
          <w:lang w:val="en-GB"/>
        </w:rPr>
      </w:pPr>
      <w:r w:rsidRPr="00380B40">
        <w:rPr>
          <w:b/>
          <w:lang w:val="en-GB"/>
        </w:rPr>
        <w:t>III.5.5</w:t>
      </w:r>
      <w:r w:rsidRPr="00380B40">
        <w:rPr>
          <w:lang w:val="en-GB"/>
        </w:rPr>
        <w:tab/>
        <w:t>In rare cases, it may become apparent during the development of a common document that one or more specific technical differences are necessary in order to take into account the needs of ITU-T and of the organization. All proposed differences are carefully examined to ensure there is a legitimate need for these. In such a case, the common document is to include the full technical material needed by each organization with wording that specifically identifies any text that is applicable only to one organization.</w:t>
      </w:r>
    </w:p>
    <w:p w14:paraId="559E649C" w14:textId="77777777" w:rsidR="00523689" w:rsidRPr="00380B40" w:rsidRDefault="00523689" w:rsidP="00523689">
      <w:pPr>
        <w:rPr>
          <w:lang w:val="en-GB"/>
        </w:rPr>
      </w:pPr>
      <w:r w:rsidRPr="00380B40">
        <w:rPr>
          <w:b/>
          <w:lang w:val="en-GB"/>
        </w:rPr>
        <w:t>III.5.6</w:t>
      </w:r>
      <w:r w:rsidRPr="00380B40">
        <w:rPr>
          <w:lang w:val="en-GB"/>
        </w:rPr>
        <w:tab/>
        <w:t>The approval processes will be conducted according to the established procedures of each organization with the adaptation and synchronization described in Appendix IV. It is recommended to convene a ballot resolution meeting as soon as practical after the close of a ballot/comment period to review and resolve the results. The group is normally chaired by the common team convenor(s) or the editor of the draft document.</w:t>
      </w:r>
    </w:p>
    <w:p w14:paraId="3886A9DC" w14:textId="77777777" w:rsidR="00523689" w:rsidRPr="00380B40" w:rsidRDefault="00523689" w:rsidP="00523689">
      <w:pPr>
        <w:rPr>
          <w:lang w:val="en-GB"/>
        </w:rPr>
      </w:pPr>
      <w:r w:rsidRPr="00380B40">
        <w:rPr>
          <w:b/>
          <w:lang w:val="en-GB"/>
        </w:rPr>
        <w:t>III.5.7</w:t>
      </w:r>
      <w:r w:rsidRPr="00380B40">
        <w:rPr>
          <w:lang w:val="en-GB"/>
        </w:rPr>
        <w:tab/>
        <w:t>The purpose of a ballot resolution meeting is to resolve as many of the negative comments as possible without invalidating any affirmative positions. The goal is to achieve agreements resulting in the greatest possible consensus. This can be done provided that all affected representatives are satisfied with the handling of the comments.</w:t>
      </w:r>
    </w:p>
    <w:p w14:paraId="212F3A0F" w14:textId="77777777" w:rsidR="00523689" w:rsidRPr="00380B40" w:rsidRDefault="00523689" w:rsidP="00523689">
      <w:pPr>
        <w:pStyle w:val="Heading2"/>
        <w:rPr>
          <w:lang w:val="en-GB"/>
        </w:rPr>
      </w:pPr>
      <w:bookmarkStart w:id="2401" w:name="_Toc442451759"/>
      <w:bookmarkStart w:id="2402" w:name="_Toc444251646"/>
      <w:bookmarkStart w:id="2403" w:name="_Toc445293534"/>
      <w:bookmarkStart w:id="2404" w:name="_Toc457983154"/>
      <w:bookmarkStart w:id="2405" w:name="_Toc459278612"/>
      <w:bookmarkStart w:id="2406" w:name="_Toc111637155"/>
      <w:r w:rsidRPr="00380B40">
        <w:rPr>
          <w:lang w:val="en-GB"/>
        </w:rPr>
        <w:t>III.6</w:t>
      </w:r>
      <w:r w:rsidRPr="00380B40">
        <w:rPr>
          <w:lang w:val="en-GB"/>
        </w:rPr>
        <w:tab/>
        <w:t>Progress reporting</w:t>
      </w:r>
      <w:bookmarkEnd w:id="2401"/>
      <w:bookmarkEnd w:id="2402"/>
      <w:bookmarkEnd w:id="2403"/>
      <w:bookmarkEnd w:id="2404"/>
      <w:bookmarkEnd w:id="2405"/>
      <w:bookmarkEnd w:id="2406"/>
    </w:p>
    <w:p w14:paraId="2BD322D3" w14:textId="77777777" w:rsidR="00523689" w:rsidRPr="00380B40" w:rsidRDefault="00523689" w:rsidP="00523689">
      <w:pPr>
        <w:rPr>
          <w:lang w:val="en-GB"/>
        </w:rPr>
      </w:pPr>
      <w:r w:rsidRPr="00380B40">
        <w:rPr>
          <w:b/>
          <w:lang w:val="en-GB"/>
        </w:rPr>
        <w:t>III.6.1</w:t>
      </w:r>
      <w:r w:rsidRPr="00380B40">
        <w:rPr>
          <w:lang w:val="en-GB"/>
        </w:rPr>
        <w:tab/>
        <w:t>The common team is responsible for providing written reports of each meeting to the ITU</w:t>
      </w:r>
      <w:r w:rsidRPr="00380B40">
        <w:rPr>
          <w:lang w:val="en-GB"/>
        </w:rPr>
        <w:noBreakHyphen/>
        <w:t>T study group and to the relevant group in the organization. These reports summarize the results of the meeting including agreements reached, areas identified for further study, the status of collaborative progress, and projected upcoming milestones (see Appendix IV).</w:t>
      </w:r>
    </w:p>
    <w:p w14:paraId="5DEBB62B" w14:textId="77777777" w:rsidR="00523689" w:rsidRPr="00380B40" w:rsidRDefault="00523689" w:rsidP="00523689">
      <w:pPr>
        <w:rPr>
          <w:lang w:val="en-GB"/>
        </w:rPr>
      </w:pPr>
      <w:r w:rsidRPr="00380B40">
        <w:rPr>
          <w:b/>
          <w:lang w:val="en-GB"/>
        </w:rPr>
        <w:t>III.6.2</w:t>
      </w:r>
      <w:r w:rsidRPr="00380B40">
        <w:rPr>
          <w:lang w:val="en-GB"/>
        </w:rPr>
        <w:tab/>
        <w:t>Comments and/or instructions may be provided back to the common team from the ITU-T study group and from the relevant group in the organization.</w:t>
      </w:r>
    </w:p>
    <w:p w14:paraId="36B86E55" w14:textId="77777777" w:rsidR="00E34F37" w:rsidRPr="00380B40" w:rsidRDefault="00E34F37" w:rsidP="00523689">
      <w:pPr>
        <w:rPr>
          <w:lang w:val="en-GB"/>
        </w:rPr>
      </w:pPr>
    </w:p>
    <w:p w14:paraId="5C6D7D22" w14:textId="77777777" w:rsidR="00E34F37" w:rsidRPr="00380B40" w:rsidRDefault="00E34F37" w:rsidP="00523689">
      <w:pPr>
        <w:rPr>
          <w:lang w:val="en-GB"/>
        </w:rPr>
      </w:pPr>
    </w:p>
    <w:p w14:paraId="6F665B6A" w14:textId="77777777" w:rsidR="00523689" w:rsidRPr="00380B40" w:rsidRDefault="00523689" w:rsidP="00523689">
      <w:pPr>
        <w:spacing w:before="0"/>
        <w:rPr>
          <w:b/>
          <w:lang w:val="en-GB"/>
        </w:rPr>
      </w:pPr>
      <w:r w:rsidRPr="00380B40">
        <w:rPr>
          <w:lang w:val="en-GB"/>
        </w:rPr>
        <w:br w:type="page"/>
      </w:r>
    </w:p>
    <w:p w14:paraId="44CDD816" w14:textId="77777777" w:rsidR="00B66120" w:rsidRPr="00380B40" w:rsidRDefault="00523689" w:rsidP="00B66120">
      <w:pPr>
        <w:pStyle w:val="AppendixNo"/>
      </w:pPr>
      <w:bookmarkStart w:id="2407" w:name="_Toc442451760"/>
      <w:bookmarkStart w:id="2408" w:name="_Toc444251647"/>
      <w:bookmarkStart w:id="2409" w:name="_Toc445293535"/>
      <w:bookmarkStart w:id="2410" w:name="_Toc457983155"/>
      <w:bookmarkStart w:id="2411" w:name="_Toc459278613"/>
      <w:r w:rsidRPr="00380B40">
        <w:t>Appendix IV</w:t>
      </w:r>
    </w:p>
    <w:p w14:paraId="27E79118" w14:textId="77777777" w:rsidR="00523689" w:rsidRPr="00380B40" w:rsidRDefault="00523689" w:rsidP="00B66120">
      <w:pPr>
        <w:pStyle w:val="Appendixtitle"/>
      </w:pPr>
      <w:r w:rsidRPr="00380B40">
        <w:t>Guidelines for synchronization of approval processes</w:t>
      </w:r>
      <w:bookmarkEnd w:id="2407"/>
      <w:bookmarkEnd w:id="2408"/>
      <w:bookmarkEnd w:id="2409"/>
      <w:bookmarkEnd w:id="2410"/>
      <w:bookmarkEnd w:id="2411"/>
    </w:p>
    <w:p w14:paraId="79B61C08" w14:textId="77777777" w:rsidR="00523689" w:rsidRPr="00380B40" w:rsidRDefault="00523689" w:rsidP="00523689">
      <w:pPr>
        <w:pStyle w:val="Normalaftertitle"/>
        <w:rPr>
          <w:lang w:val="en-GB"/>
        </w:rPr>
      </w:pPr>
      <w:r w:rsidRPr="00380B40">
        <w:rPr>
          <w:lang w:val="en-GB"/>
        </w:rPr>
        <w:t>To facilitate closer collaboration in building consensus, this appendix explains how to synchronize approvals between the ITU-T study group and the organization in order to lead to the publication of common (or technically-aligned) documents.</w:t>
      </w:r>
    </w:p>
    <w:p w14:paraId="5A5E68B3" w14:textId="77777777" w:rsidR="00523689" w:rsidRPr="00380B40" w:rsidRDefault="00523689" w:rsidP="00523689">
      <w:pPr>
        <w:rPr>
          <w:lang w:val="en-GB"/>
        </w:rPr>
      </w:pPr>
      <w:r w:rsidRPr="00380B40">
        <w:rPr>
          <w:b/>
          <w:lang w:val="en-GB"/>
        </w:rPr>
        <w:t>IV.1</w:t>
      </w:r>
      <w:r w:rsidRPr="00380B40">
        <w:rPr>
          <w:lang w:val="en-GB"/>
        </w:rPr>
        <w:tab/>
        <w:t>Each organization retains its individual procedures for approving the result of the collaboration work. The following clauses describe how these procedures are synchronized for the different stages of approval.</w:t>
      </w:r>
    </w:p>
    <w:p w14:paraId="72E3765D" w14:textId="77777777" w:rsidR="00523689" w:rsidRPr="00380B40" w:rsidRDefault="00523689" w:rsidP="00523689">
      <w:pPr>
        <w:pStyle w:val="Note"/>
        <w:rPr>
          <w:lang w:val="en-GB"/>
        </w:rPr>
      </w:pPr>
      <w:r w:rsidRPr="00380B40">
        <w:rPr>
          <w:lang w:val="en-GB"/>
        </w:rPr>
        <w:t>NOTE – In the case of the development of technically-aligned documents, the approval processes do not require exact timing synchronization as explained below. In the case of the development of non-normative documents (i.e., Supplements or other types of non-normative documents in ITU-T), the following process needs to be adapted.</w:t>
      </w:r>
    </w:p>
    <w:p w14:paraId="1B40B7BD" w14:textId="77777777" w:rsidR="00523689" w:rsidRPr="00380B40" w:rsidRDefault="00523689" w:rsidP="00523689">
      <w:pPr>
        <w:rPr>
          <w:lang w:val="en-GB"/>
        </w:rPr>
      </w:pPr>
      <w:r w:rsidRPr="00380B40">
        <w:rPr>
          <w:b/>
          <w:lang w:val="en-GB"/>
        </w:rPr>
        <w:t>IV.2</w:t>
      </w:r>
      <w:r w:rsidRPr="00380B40">
        <w:rPr>
          <w:lang w:val="en-GB"/>
        </w:rPr>
        <w:tab/>
        <w:t>As outlined in clause II.6 (in the case of collaborative work), each group keeps its parent body informed of the progress of the collaborative work. As outlined in clause III.6 (in the case of a common team), the common team keeps the ITU-T Question and the relevant group in the organization informed of the progress of the collaborative work. When the work has progressed to a point where a schedule for synchronized approval can be established with a degree of confidence, it is important for the two groups (in the case of collaborative work) or the common team to jointly plan the specific steps, taking into account scheduled dates of meetings of the ITU-T study group and of the relevant group in the organization.</w:t>
      </w:r>
    </w:p>
    <w:p w14:paraId="1CD57B25" w14:textId="77777777" w:rsidR="00523689" w:rsidRPr="00380B40" w:rsidRDefault="00523689" w:rsidP="00523689">
      <w:pPr>
        <w:rPr>
          <w:lang w:val="en-GB"/>
        </w:rPr>
      </w:pPr>
      <w:r w:rsidRPr="00380B40">
        <w:rPr>
          <w:b/>
          <w:lang w:val="en-GB"/>
        </w:rPr>
        <w:t>IV.3</w:t>
      </w:r>
      <w:r w:rsidRPr="00380B40">
        <w:rPr>
          <w:lang w:val="en-GB"/>
        </w:rPr>
        <w:tab/>
        <w:t>When the groups (in case of collaborative work) or the common team decide that the draft has reached a point of maturity and that the synchronized approval process may commence, each organization is advised of the decision.</w:t>
      </w:r>
    </w:p>
    <w:p w14:paraId="44E1F7BC" w14:textId="77777777" w:rsidR="00523689" w:rsidRPr="00380B40" w:rsidRDefault="00523689" w:rsidP="00523689">
      <w:pPr>
        <w:rPr>
          <w:lang w:val="en-GB"/>
        </w:rPr>
      </w:pPr>
      <w:r w:rsidRPr="00380B40">
        <w:rPr>
          <w:b/>
          <w:lang w:val="en-GB"/>
        </w:rPr>
        <w:t>IV.4</w:t>
      </w:r>
      <w:r w:rsidRPr="00380B40">
        <w:rPr>
          <w:lang w:val="en-GB"/>
        </w:rPr>
        <w:tab/>
        <w:t>The following subclauses only apply if the organization has one or more intermediate levels of balloting (before final balloting for approval).</w:t>
      </w:r>
    </w:p>
    <w:p w14:paraId="2BE9B11A" w14:textId="77777777" w:rsidR="00523689" w:rsidRPr="00380B40" w:rsidRDefault="00523689" w:rsidP="00523689">
      <w:pPr>
        <w:rPr>
          <w:lang w:val="en-GB"/>
        </w:rPr>
      </w:pPr>
      <w:r w:rsidRPr="00380B40">
        <w:rPr>
          <w:b/>
          <w:lang w:val="en-GB"/>
        </w:rPr>
        <w:t>IV.4.1</w:t>
      </w:r>
      <w:r w:rsidRPr="00380B40">
        <w:rPr>
          <w:lang w:val="en-GB"/>
        </w:rPr>
        <w:tab/>
        <w:t>The organization distributes the draft document for comment to its members.</w:t>
      </w:r>
    </w:p>
    <w:p w14:paraId="3F3C0910" w14:textId="77777777" w:rsidR="00523689" w:rsidRPr="00380B40" w:rsidRDefault="00523689" w:rsidP="00523689">
      <w:pPr>
        <w:rPr>
          <w:lang w:val="en-GB"/>
        </w:rPr>
      </w:pPr>
      <w:r w:rsidRPr="00380B40">
        <w:rPr>
          <w:b/>
          <w:lang w:val="en-GB"/>
        </w:rPr>
        <w:t>IV.4.2</w:t>
      </w:r>
      <w:r w:rsidRPr="00380B40">
        <w:rPr>
          <w:lang w:val="en-GB"/>
        </w:rPr>
        <w:tab/>
        <w:t>At the same time, the draft document is distributed to the ITU-T study group members for review and comment. ITU-T member comments are provided by means of contributions within the same time period. The organization considers all responses together.</w:t>
      </w:r>
    </w:p>
    <w:p w14:paraId="7D3483C0" w14:textId="77777777" w:rsidR="00523689" w:rsidRPr="00380B40" w:rsidRDefault="00523689" w:rsidP="00523689">
      <w:pPr>
        <w:rPr>
          <w:lang w:val="en-GB"/>
        </w:rPr>
      </w:pPr>
      <w:r w:rsidRPr="00380B40">
        <w:rPr>
          <w:b/>
          <w:lang w:val="en-GB"/>
        </w:rPr>
        <w:t>IV.4.3</w:t>
      </w:r>
      <w:r w:rsidRPr="00380B40">
        <w:rPr>
          <w:lang w:val="en-GB"/>
        </w:rPr>
        <w:tab/>
        <w:t>In the case of collaborative work, both sets of responses are made available to the ITU-T Question as well as to the relevant group in the organization. Both groups coordinate their efforts in resolving all received comments and producing the revised draft document.</w:t>
      </w:r>
    </w:p>
    <w:p w14:paraId="62AF4DE4" w14:textId="77777777" w:rsidR="00523689" w:rsidRPr="00380B40" w:rsidRDefault="00523689" w:rsidP="00523689">
      <w:pPr>
        <w:rPr>
          <w:lang w:val="en-GB"/>
        </w:rPr>
      </w:pPr>
      <w:r w:rsidRPr="00380B40">
        <w:rPr>
          <w:b/>
          <w:lang w:val="en-GB"/>
        </w:rPr>
        <w:t>IV.4.4</w:t>
      </w:r>
      <w:r w:rsidRPr="00380B40">
        <w:rPr>
          <w:lang w:val="en-GB"/>
        </w:rPr>
        <w:tab/>
        <w:t>In the case of a common team, both sets of responses are made available to the common team which resolves all received comments and produces the revised draft document (see clauses III.5.6 and III.5.7).</w:t>
      </w:r>
    </w:p>
    <w:p w14:paraId="7A4C0874" w14:textId="77777777" w:rsidR="002D4B22" w:rsidRPr="00380B40" w:rsidRDefault="002D4B22" w:rsidP="00523689">
      <w:pPr>
        <w:rPr>
          <w:b/>
          <w:lang w:val="en-GB"/>
        </w:rPr>
      </w:pPr>
      <w:r w:rsidRPr="00380B40">
        <w:rPr>
          <w:b/>
          <w:lang w:val="en-GB"/>
        </w:rPr>
        <w:br w:type="page"/>
      </w:r>
    </w:p>
    <w:p w14:paraId="51ED482B" w14:textId="77777777" w:rsidR="00523689" w:rsidRPr="00380B40" w:rsidRDefault="00523689" w:rsidP="00523689">
      <w:pPr>
        <w:rPr>
          <w:lang w:val="en-GB"/>
        </w:rPr>
      </w:pPr>
      <w:r w:rsidRPr="00380B40">
        <w:rPr>
          <w:b/>
          <w:lang w:val="en-GB"/>
        </w:rPr>
        <w:t>IV.4.5</w:t>
      </w:r>
      <w:r w:rsidRPr="00380B40">
        <w:rPr>
          <w:lang w:val="en-GB"/>
        </w:rPr>
        <w:tab/>
        <w:t>If the changes are substantive and if another intermediate level of balloting (before final balloting for approval) is available in the organization, clause IV.4 is recursively applied.</w:t>
      </w:r>
    </w:p>
    <w:p w14:paraId="16F6878B" w14:textId="77777777" w:rsidR="00523689" w:rsidRPr="00380B40" w:rsidRDefault="00523689" w:rsidP="00523689">
      <w:pPr>
        <w:rPr>
          <w:lang w:val="en-GB"/>
        </w:rPr>
      </w:pPr>
      <w:r w:rsidRPr="00380B40">
        <w:rPr>
          <w:b/>
          <w:lang w:val="en-GB"/>
        </w:rPr>
        <w:t>IV.5</w:t>
      </w:r>
      <w:r w:rsidRPr="00380B40">
        <w:rPr>
          <w:lang w:val="en-GB"/>
        </w:rPr>
        <w:tab/>
        <w:t>When all issues have been resolved to the satisfaction of both organizations, the organization conducts the final balloting for approval according to the following subclauses.</w:t>
      </w:r>
    </w:p>
    <w:p w14:paraId="0ABAA4E2" w14:textId="77777777" w:rsidR="00523689" w:rsidRPr="00380B40" w:rsidRDefault="00523689" w:rsidP="00523689">
      <w:pPr>
        <w:pStyle w:val="Note"/>
        <w:rPr>
          <w:lang w:val="en-GB"/>
        </w:rPr>
      </w:pPr>
      <w:r w:rsidRPr="00380B40">
        <w:rPr>
          <w:lang w:val="en-GB"/>
        </w:rPr>
        <w:t>NOTE </w:t>
      </w:r>
      <w:r w:rsidRPr="00380B40">
        <w:rPr>
          <w:lang w:val="en-GB"/>
        </w:rPr>
        <w:sym w:font="Symbol" w:char="F02D"/>
      </w:r>
      <w:r w:rsidRPr="00380B40">
        <w:rPr>
          <w:lang w:val="en-GB"/>
        </w:rPr>
        <w:t> If a problem is indicated on the side of the organization which would delay approval, this is immediately conveyed to the ITU-T study group so that appropriate action can be taken and, if necessary, a new synchronized plan established.</w:t>
      </w:r>
    </w:p>
    <w:p w14:paraId="35542D39" w14:textId="77777777" w:rsidR="00523689" w:rsidRPr="00380B40" w:rsidRDefault="00523689" w:rsidP="00523689">
      <w:pPr>
        <w:rPr>
          <w:lang w:val="en-GB"/>
        </w:rPr>
      </w:pPr>
      <w:r w:rsidRPr="00380B40">
        <w:rPr>
          <w:b/>
          <w:lang w:val="en-GB"/>
        </w:rPr>
        <w:t>IV.5.1</w:t>
      </w:r>
      <w:r w:rsidRPr="00380B40">
        <w:rPr>
          <w:lang w:val="en-GB"/>
        </w:rPr>
        <w:tab/>
        <w:t>At the same time, the draft document is distributed to the ITU-T study group members for review and comment. ITU-T member comments are provided by means of contributions within the same time period. The organization considers all responses together.</w:t>
      </w:r>
    </w:p>
    <w:p w14:paraId="7957A33E" w14:textId="77777777" w:rsidR="00523689" w:rsidRPr="00380B40" w:rsidRDefault="00523689" w:rsidP="00523689">
      <w:pPr>
        <w:rPr>
          <w:lang w:val="en-GB"/>
        </w:rPr>
      </w:pPr>
      <w:r w:rsidRPr="00380B40">
        <w:rPr>
          <w:b/>
          <w:lang w:val="en-GB"/>
        </w:rPr>
        <w:t>IV.5.2</w:t>
      </w:r>
      <w:r w:rsidRPr="00380B40">
        <w:rPr>
          <w:lang w:val="en-GB"/>
        </w:rPr>
        <w:tab/>
        <w:t>Also during this time period, TSB will review the document and submit comments, if any.</w:t>
      </w:r>
    </w:p>
    <w:p w14:paraId="321E82ED" w14:textId="77777777" w:rsidR="00523689" w:rsidRPr="00380B40" w:rsidRDefault="00523689" w:rsidP="00523689">
      <w:pPr>
        <w:rPr>
          <w:lang w:val="en-GB"/>
        </w:rPr>
      </w:pPr>
      <w:r w:rsidRPr="00380B40">
        <w:rPr>
          <w:b/>
          <w:lang w:val="en-GB"/>
        </w:rPr>
        <w:t>IV.5.3</w:t>
      </w:r>
      <w:r w:rsidRPr="00380B40">
        <w:rPr>
          <w:lang w:val="en-GB"/>
        </w:rPr>
        <w:tab/>
        <w:t>In the case of collaborative work, both sets of responses are made available to the ITU-T Question as well as to the relevant group in the organization. Both groups coordinate their efforts in resolving all received comments and producing the revised draft document.</w:t>
      </w:r>
    </w:p>
    <w:p w14:paraId="57918C3F" w14:textId="77777777" w:rsidR="00523689" w:rsidRPr="00380B40" w:rsidRDefault="00523689" w:rsidP="00523689">
      <w:pPr>
        <w:rPr>
          <w:lang w:val="en-GB"/>
        </w:rPr>
      </w:pPr>
      <w:r w:rsidRPr="00380B40">
        <w:rPr>
          <w:b/>
          <w:lang w:val="en-GB"/>
        </w:rPr>
        <w:t>IV.5.4</w:t>
      </w:r>
      <w:r w:rsidRPr="00380B40">
        <w:rPr>
          <w:lang w:val="en-GB"/>
        </w:rPr>
        <w:tab/>
        <w:t>In the case of a common team, both sets of responses are made available to the common team which resolves all received comments and produces the revised draft document (see clauses III.5.6 and III.5.7).</w:t>
      </w:r>
    </w:p>
    <w:p w14:paraId="05BE380A" w14:textId="77777777" w:rsidR="00523689" w:rsidRPr="00380B40" w:rsidRDefault="00523689" w:rsidP="00523689">
      <w:pPr>
        <w:rPr>
          <w:lang w:val="en-GB"/>
        </w:rPr>
      </w:pPr>
      <w:r w:rsidRPr="00380B40">
        <w:rPr>
          <w:b/>
          <w:lang w:val="en-GB"/>
        </w:rPr>
        <w:t>IV.5.5</w:t>
      </w:r>
      <w:r w:rsidRPr="00380B40">
        <w:rPr>
          <w:lang w:val="en-GB"/>
        </w:rPr>
        <w:tab/>
        <w:t>It is at this point where synchronization is critical. The first controlling factor is the date of the ITU-T study group (or working party) meeting where determination (TAP) or consent (AAP) or agreement (non-normative documents) is to be obtained. At this meeting, the balloting has normally concluded in the organization and a revised draft document is published as a TD in time for the ITU-T study group (or working party) meeting. However, the ITU-T study group (or working party) meeting may accept to consent (for AAP) or determine (for TAP) a draft document pending further adjustments based on the result of the balloting in the organization.</w:t>
      </w:r>
    </w:p>
    <w:p w14:paraId="6D78815E" w14:textId="77777777" w:rsidR="00523689" w:rsidRPr="00380B40" w:rsidRDefault="00523689" w:rsidP="00523689">
      <w:pPr>
        <w:pStyle w:val="Note"/>
        <w:rPr>
          <w:lang w:val="en-GB"/>
        </w:rPr>
      </w:pPr>
      <w:r w:rsidRPr="00380B40">
        <w:rPr>
          <w:lang w:val="en-GB"/>
        </w:rPr>
        <w:t>NOTE </w:t>
      </w:r>
      <w:r w:rsidRPr="00380B40">
        <w:rPr>
          <w:lang w:val="en-GB"/>
        </w:rPr>
        <w:sym w:font="Symbol" w:char="F02D"/>
      </w:r>
      <w:r w:rsidRPr="00380B40">
        <w:rPr>
          <w:lang w:val="en-GB"/>
        </w:rPr>
        <w:t> It is understood that the stable draft document would always be available for comments to ITU members for the AAP Last Call or TAP consultation (see clause IV.5.6).</w:t>
      </w:r>
    </w:p>
    <w:p w14:paraId="4307D3A8" w14:textId="77777777" w:rsidR="00523689" w:rsidRPr="00380B40" w:rsidRDefault="00523689" w:rsidP="00523689">
      <w:pPr>
        <w:rPr>
          <w:lang w:val="en-GB"/>
        </w:rPr>
      </w:pPr>
      <w:r w:rsidRPr="00380B40">
        <w:rPr>
          <w:b/>
          <w:lang w:val="en-GB"/>
        </w:rPr>
        <w:t>IV.5.6</w:t>
      </w:r>
      <w:r w:rsidRPr="00380B40">
        <w:rPr>
          <w:lang w:val="en-GB"/>
        </w:rPr>
        <w:tab/>
        <w:t>The second controlling factor is that the balloting has concluded in the organization and a revised draft document is produced for ITU-T approval:</w:t>
      </w:r>
    </w:p>
    <w:p w14:paraId="1E4FAC13" w14:textId="77777777" w:rsidR="00523689" w:rsidRPr="00380B40" w:rsidRDefault="00523689" w:rsidP="00523689">
      <w:pPr>
        <w:pStyle w:val="enumlev1"/>
        <w:rPr>
          <w:lang w:val="en-GB"/>
        </w:rPr>
      </w:pPr>
      <w:r w:rsidRPr="00380B40">
        <w:rPr>
          <w:lang w:val="en-GB"/>
        </w:rPr>
        <w:t>a)</w:t>
      </w:r>
      <w:r w:rsidRPr="00380B40">
        <w:rPr>
          <w:lang w:val="en-GB"/>
        </w:rPr>
        <w:tab/>
        <w:t>for TAP: by 4 months before the ITU-T study group (or working party) meeting where approval is to be obtained so that the Director of TSB can issue a letter announcing the intent to approve the Recommendation at the upcoming study group (or working party) meeting;</w:t>
      </w:r>
    </w:p>
    <w:p w14:paraId="718918C9" w14:textId="77777777" w:rsidR="00523689" w:rsidRPr="00380B40" w:rsidRDefault="00523689" w:rsidP="00523689">
      <w:pPr>
        <w:pStyle w:val="enumlev1"/>
        <w:rPr>
          <w:lang w:val="en-GB"/>
        </w:rPr>
      </w:pPr>
      <w:r w:rsidRPr="00380B40">
        <w:rPr>
          <w:lang w:val="en-GB"/>
        </w:rPr>
        <w:t>b)</w:t>
      </w:r>
      <w:r w:rsidRPr="00380B40">
        <w:rPr>
          <w:lang w:val="en-GB"/>
        </w:rPr>
        <w:tab/>
        <w:t>for AAP: normally by 2 months after the ITU-T study group (or working party) meeting where consent was obtained so that the Director of TSB can announce the Last Call for approval of the Recommendation;</w:t>
      </w:r>
    </w:p>
    <w:p w14:paraId="3388C697" w14:textId="77777777" w:rsidR="00523689" w:rsidRPr="00380B40" w:rsidRDefault="00523689" w:rsidP="00523689">
      <w:pPr>
        <w:pStyle w:val="enumlev1"/>
        <w:rPr>
          <w:lang w:val="en-GB"/>
        </w:rPr>
      </w:pPr>
      <w:r w:rsidRPr="00380B40">
        <w:rPr>
          <w:lang w:val="en-GB"/>
        </w:rPr>
        <w:t>c)</w:t>
      </w:r>
      <w:r w:rsidRPr="00380B40">
        <w:rPr>
          <w:lang w:val="en-GB"/>
        </w:rPr>
        <w:tab/>
        <w:t>for agreement (in case of non-normative documents): at least seven calendar days before the ITU-T study group (or working party) meeting (see clause 3.3.3 of [ITU-T A.1]).</w:t>
      </w:r>
    </w:p>
    <w:p w14:paraId="2137542B" w14:textId="77777777" w:rsidR="002D4B22" w:rsidRPr="00380B40" w:rsidRDefault="002D4B22" w:rsidP="00523689">
      <w:pPr>
        <w:rPr>
          <w:b/>
          <w:lang w:val="en-GB"/>
        </w:rPr>
      </w:pPr>
      <w:r w:rsidRPr="00380B40">
        <w:rPr>
          <w:b/>
          <w:lang w:val="en-GB"/>
        </w:rPr>
        <w:br w:type="page"/>
      </w:r>
    </w:p>
    <w:p w14:paraId="62A4A9C5" w14:textId="77777777" w:rsidR="00523689" w:rsidRPr="00380B40" w:rsidRDefault="00523689" w:rsidP="00523689">
      <w:pPr>
        <w:rPr>
          <w:lang w:val="en-GB"/>
        </w:rPr>
      </w:pPr>
      <w:r w:rsidRPr="00380B40">
        <w:rPr>
          <w:b/>
          <w:lang w:val="en-GB"/>
        </w:rPr>
        <w:t>IV.6</w:t>
      </w:r>
      <w:r w:rsidRPr="00380B40">
        <w:rPr>
          <w:lang w:val="en-GB"/>
        </w:rPr>
        <w:tab/>
        <w:t>If no negative votes and no technical comments are submitted during the AAP Last Call or the TAP consultation, or discussion at the study group (or working party) meeting in case of agreement, and if, in the case of TAP, the following ITU-T study group (or working party) meeting approves the document, the organization is informed and the document is published according to clause 9.</w:t>
      </w:r>
    </w:p>
    <w:p w14:paraId="6211D497" w14:textId="77777777" w:rsidR="00523689" w:rsidRPr="00380B40" w:rsidRDefault="00523689" w:rsidP="00523689">
      <w:pPr>
        <w:rPr>
          <w:lang w:val="en-GB"/>
        </w:rPr>
      </w:pPr>
      <w:r w:rsidRPr="00380B40">
        <w:rPr>
          <w:b/>
          <w:lang w:val="en-GB"/>
        </w:rPr>
        <w:t>IV.7</w:t>
      </w:r>
      <w:r w:rsidRPr="00380B40">
        <w:rPr>
          <w:lang w:val="en-GB"/>
        </w:rPr>
        <w:tab/>
        <w:t>If negative votes and/or technical comments are submitted during the AAP Last Call or the TAP consultation, or if comments are made at the study group (or working party) meeting in the case of agreement, the comments are resolved according to the following subclauses.</w:t>
      </w:r>
    </w:p>
    <w:p w14:paraId="61157F84" w14:textId="77777777" w:rsidR="00523689" w:rsidRPr="00380B40" w:rsidRDefault="00523689" w:rsidP="00280EA6">
      <w:pPr>
        <w:pStyle w:val="Note"/>
        <w:rPr>
          <w:lang w:val="en-GB"/>
        </w:rPr>
      </w:pPr>
      <w:r w:rsidRPr="00380B40">
        <w:rPr>
          <w:lang w:val="en-GB"/>
        </w:rPr>
        <w:t>NOTE </w:t>
      </w:r>
      <w:r w:rsidRPr="00380B40">
        <w:rPr>
          <w:lang w:val="en-GB"/>
        </w:rPr>
        <w:sym w:font="Symbol" w:char="F02D"/>
      </w:r>
      <w:r w:rsidRPr="00380B40">
        <w:rPr>
          <w:lang w:val="en-GB"/>
        </w:rPr>
        <w:t> If an ITU-T Member State indicates a problem which would prevent approval, this is immediately conveyed to the organization so that appropriate action can be taken and, if necessary, a new synchronized plan established.</w:t>
      </w:r>
    </w:p>
    <w:p w14:paraId="10C9E2EB" w14:textId="77777777" w:rsidR="00523689" w:rsidRPr="00380B40" w:rsidRDefault="00523689" w:rsidP="00523689">
      <w:pPr>
        <w:rPr>
          <w:lang w:val="en-GB"/>
        </w:rPr>
      </w:pPr>
      <w:r w:rsidRPr="00380B40">
        <w:rPr>
          <w:b/>
          <w:lang w:val="en-GB"/>
        </w:rPr>
        <w:t>IV.7.1</w:t>
      </w:r>
      <w:r w:rsidRPr="00380B40">
        <w:rPr>
          <w:lang w:val="en-GB"/>
        </w:rPr>
        <w:tab/>
        <w:t>In the case of collaborative work, the ITU-T Question resolves all received comments and produces the revised draft document. Comments and the revised draft document are also made available to the organization.</w:t>
      </w:r>
    </w:p>
    <w:p w14:paraId="2C12FD6E" w14:textId="77777777" w:rsidR="00523689" w:rsidRPr="00380B40" w:rsidRDefault="00523689" w:rsidP="00523689">
      <w:pPr>
        <w:rPr>
          <w:lang w:val="en-GB"/>
        </w:rPr>
      </w:pPr>
      <w:r w:rsidRPr="00380B40">
        <w:rPr>
          <w:b/>
          <w:lang w:val="en-GB"/>
        </w:rPr>
        <w:t>IV.7.2</w:t>
      </w:r>
      <w:r w:rsidRPr="00380B40">
        <w:rPr>
          <w:lang w:val="en-GB"/>
        </w:rPr>
        <w:tab/>
        <w:t>In the case of a common team, the team resolves comments and produces the revised draft document (see clauses III.5.6 and III.5.7).</w:t>
      </w:r>
    </w:p>
    <w:p w14:paraId="6F91374E" w14:textId="77777777" w:rsidR="00523689" w:rsidRPr="00380B40" w:rsidRDefault="00523689" w:rsidP="00523689">
      <w:pPr>
        <w:rPr>
          <w:lang w:val="en-GB"/>
        </w:rPr>
      </w:pPr>
      <w:r w:rsidRPr="00380B40">
        <w:rPr>
          <w:b/>
          <w:lang w:val="en-GB"/>
        </w:rPr>
        <w:t>IV.7.3</w:t>
      </w:r>
      <w:r w:rsidRPr="00380B40">
        <w:rPr>
          <w:lang w:val="en-GB"/>
        </w:rPr>
        <w:tab/>
        <w:t>If the changes are substantive, this is immediately conveyed to the organization to find an appropriate solution:</w:t>
      </w:r>
    </w:p>
    <w:p w14:paraId="31039D14" w14:textId="77777777" w:rsidR="00523689" w:rsidRPr="00380B40" w:rsidRDefault="00523689" w:rsidP="00523689">
      <w:pPr>
        <w:pStyle w:val="enumlev1"/>
        <w:rPr>
          <w:lang w:val="en-GB"/>
        </w:rPr>
      </w:pPr>
      <w:r w:rsidRPr="00380B40">
        <w:rPr>
          <w:lang w:val="en-GB"/>
        </w:rPr>
        <w:t>a)</w:t>
      </w:r>
      <w:r w:rsidRPr="00380B40">
        <w:rPr>
          <w:lang w:val="en-GB"/>
        </w:rPr>
        <w:tab/>
        <w:t>In case of technically-aligned documents, the organization considers whether some or all of the changes can be applied to its own document or if the documents are published separately.</w:t>
      </w:r>
    </w:p>
    <w:p w14:paraId="72ADD7E9" w14:textId="77777777" w:rsidR="00523689" w:rsidRPr="00380B40" w:rsidRDefault="00523689" w:rsidP="00523689">
      <w:pPr>
        <w:pStyle w:val="enumlev1"/>
        <w:rPr>
          <w:lang w:val="en-GB"/>
        </w:rPr>
      </w:pPr>
      <w:r w:rsidRPr="00380B40">
        <w:rPr>
          <w:lang w:val="en-GB"/>
        </w:rPr>
        <w:t>b)</w:t>
      </w:r>
      <w:r w:rsidRPr="00380B40">
        <w:rPr>
          <w:lang w:val="en-GB"/>
        </w:rPr>
        <w:tab/>
        <w:t>In case of a common document, if the organization can conduct another final balloting for approval, clause IV.5 is applied once again (for an additional review in ITU-T in the case of AAP) and the approval in ITU-T is delayed.</w:t>
      </w:r>
    </w:p>
    <w:p w14:paraId="12410912" w14:textId="77777777" w:rsidR="00523689" w:rsidRPr="00380B40" w:rsidRDefault="00523689" w:rsidP="00523689">
      <w:pPr>
        <w:pStyle w:val="enumlev1"/>
        <w:rPr>
          <w:lang w:val="en-GB"/>
        </w:rPr>
      </w:pPr>
      <w:r w:rsidRPr="00380B40">
        <w:rPr>
          <w:lang w:val="en-GB"/>
        </w:rPr>
        <w:t>c)</w:t>
      </w:r>
      <w:r w:rsidRPr="00380B40">
        <w:rPr>
          <w:lang w:val="en-GB"/>
        </w:rPr>
        <w:tab/>
        <w:t>Otherwise, the ITU-T study group and the organization may decide to publish the document as either technically-aligned documents or separately.</w:t>
      </w:r>
    </w:p>
    <w:p w14:paraId="6405C217" w14:textId="77777777" w:rsidR="00E34F37" w:rsidRPr="00380B40" w:rsidRDefault="00E34F37" w:rsidP="00523689">
      <w:pPr>
        <w:pStyle w:val="enumlev1"/>
        <w:rPr>
          <w:lang w:val="en-GB"/>
        </w:rPr>
      </w:pPr>
    </w:p>
    <w:p w14:paraId="4BF3E24B" w14:textId="77777777" w:rsidR="00E34F37" w:rsidRPr="00380B40" w:rsidRDefault="00E34F37" w:rsidP="00523689">
      <w:pPr>
        <w:pStyle w:val="enumlev1"/>
        <w:rPr>
          <w:lang w:val="en-GB"/>
        </w:rPr>
      </w:pPr>
    </w:p>
    <w:p w14:paraId="663D2D56" w14:textId="77777777" w:rsidR="00E34F37" w:rsidRPr="00380B40" w:rsidRDefault="00E34F37" w:rsidP="00523689">
      <w:pPr>
        <w:pStyle w:val="enumlev1"/>
        <w:rPr>
          <w:lang w:val="en-GB"/>
        </w:rPr>
      </w:pPr>
    </w:p>
    <w:p w14:paraId="54013121" w14:textId="77777777" w:rsidR="00E34F37" w:rsidRPr="00380B40" w:rsidRDefault="00E34F37" w:rsidP="00523689">
      <w:pPr>
        <w:pStyle w:val="enumlev1"/>
        <w:rPr>
          <w:lang w:val="en-GB"/>
        </w:rPr>
      </w:pPr>
    </w:p>
    <w:p w14:paraId="4CC6A69D" w14:textId="77777777" w:rsidR="00E34F37" w:rsidRPr="00380B40" w:rsidRDefault="00E34F37" w:rsidP="00523689">
      <w:pPr>
        <w:pStyle w:val="enumlev1"/>
        <w:rPr>
          <w:lang w:val="en-GB"/>
        </w:rPr>
      </w:pPr>
    </w:p>
    <w:p w14:paraId="7BF2B6E3" w14:textId="77777777" w:rsidR="00E34F37" w:rsidRPr="00380B40" w:rsidRDefault="00E34F37" w:rsidP="00523689">
      <w:pPr>
        <w:pStyle w:val="enumlev1"/>
        <w:rPr>
          <w:lang w:val="en-GB"/>
        </w:rPr>
      </w:pPr>
    </w:p>
    <w:p w14:paraId="295F2B36" w14:textId="77777777" w:rsidR="00E34F37" w:rsidRPr="00380B40" w:rsidRDefault="00E34F37" w:rsidP="00523689">
      <w:pPr>
        <w:pStyle w:val="enumlev1"/>
        <w:rPr>
          <w:lang w:val="en-GB"/>
        </w:rPr>
      </w:pPr>
    </w:p>
    <w:p w14:paraId="43097D20" w14:textId="77777777" w:rsidR="00E34F37" w:rsidRPr="00380B40" w:rsidRDefault="00E34F37" w:rsidP="00523689">
      <w:pPr>
        <w:pStyle w:val="enumlev1"/>
        <w:rPr>
          <w:lang w:val="en-GB"/>
        </w:rPr>
      </w:pPr>
    </w:p>
    <w:p w14:paraId="5E120B8A" w14:textId="77777777" w:rsidR="00E34F37" w:rsidRPr="00380B40" w:rsidRDefault="00E34F37" w:rsidP="00523689">
      <w:pPr>
        <w:pStyle w:val="enumlev1"/>
        <w:rPr>
          <w:lang w:val="en-GB"/>
        </w:rPr>
      </w:pPr>
    </w:p>
    <w:p w14:paraId="7551A1F1" w14:textId="77777777" w:rsidR="00523689" w:rsidRPr="00380B40" w:rsidRDefault="00523689" w:rsidP="00523689">
      <w:pPr>
        <w:spacing w:before="0"/>
        <w:rPr>
          <w:b/>
          <w:lang w:val="en-GB"/>
        </w:rPr>
      </w:pPr>
      <w:r w:rsidRPr="00380B40">
        <w:rPr>
          <w:lang w:val="en-GB"/>
        </w:rPr>
        <w:br w:type="page"/>
      </w:r>
    </w:p>
    <w:p w14:paraId="57BEA192" w14:textId="77777777" w:rsidR="00B66120" w:rsidRPr="00380B40" w:rsidRDefault="00523689" w:rsidP="00B66120">
      <w:pPr>
        <w:pStyle w:val="AppendixNo"/>
      </w:pPr>
      <w:bookmarkStart w:id="2412" w:name="_Toc457983156"/>
      <w:bookmarkStart w:id="2413" w:name="_Toc459278614"/>
      <w:r w:rsidRPr="00380B40">
        <w:t>Appendix V</w:t>
      </w:r>
    </w:p>
    <w:p w14:paraId="4749442B" w14:textId="77777777" w:rsidR="00523689" w:rsidRPr="00380B40" w:rsidRDefault="00523689" w:rsidP="00B66120">
      <w:pPr>
        <w:pStyle w:val="Appendixtitle"/>
      </w:pPr>
      <w:r w:rsidRPr="00380B40">
        <w:t>Guidelines for multilateral collaboration</w:t>
      </w:r>
      <w:bookmarkEnd w:id="2412"/>
      <w:bookmarkEnd w:id="2413"/>
    </w:p>
    <w:p w14:paraId="60C8EF33" w14:textId="77777777" w:rsidR="00523689" w:rsidRPr="00380B40" w:rsidRDefault="00523689" w:rsidP="00523689">
      <w:pPr>
        <w:pStyle w:val="Normalaftertitle"/>
        <w:rPr>
          <w:lang w:val="en-GB"/>
        </w:rPr>
      </w:pPr>
      <w:r w:rsidRPr="00380B40">
        <w:rPr>
          <w:lang w:val="en-GB"/>
        </w:rPr>
        <w:t>This appendix explains how the processes described in previous appendices can be generalized to a multilateral collaboration (including the development of multiple documents) between ITU-T and more than one organization in a given area of work, while avoiding the approval of multiple bilateral agreements.</w:t>
      </w:r>
    </w:p>
    <w:p w14:paraId="178D5F9B" w14:textId="77777777" w:rsidR="00523689" w:rsidRPr="00380B40" w:rsidRDefault="00523689" w:rsidP="00523689">
      <w:pPr>
        <w:pStyle w:val="Note"/>
        <w:rPr>
          <w:lang w:val="en-GB"/>
        </w:rPr>
      </w:pPr>
      <w:r w:rsidRPr="00380B40">
        <w:rPr>
          <w:lang w:val="en-GB"/>
        </w:rPr>
        <w:t>NOTE – The rest of this Supplement covers bilateral collaboration as this is the most common case. In case of multilateral collaboration as introduced in this appendix, some parts of the text (e.g., "the other organization", "two", "both") should be understood to apply to multiple organizations according to the conventions given in clause 5.</w:t>
      </w:r>
    </w:p>
    <w:p w14:paraId="25997C40" w14:textId="77777777" w:rsidR="00523689" w:rsidRPr="00380B40" w:rsidRDefault="00523689" w:rsidP="00523689">
      <w:pPr>
        <w:rPr>
          <w:lang w:val="en-GB"/>
        </w:rPr>
      </w:pPr>
      <w:r w:rsidRPr="00380B40">
        <w:rPr>
          <w:b/>
          <w:lang w:val="en-GB"/>
        </w:rPr>
        <w:t>V.1</w:t>
      </w:r>
      <w:r w:rsidRPr="00380B40">
        <w:rPr>
          <w:lang w:val="en-GB"/>
        </w:rPr>
        <w:tab/>
        <w:t>When it is recognized that other organizations are working on the same area as an ITU-T study group and that coordination with them is complicated, the study group may consider establishing a multilateral collaboration to avoid incompatibility between standards and for a more efficient use of resources.</w:t>
      </w:r>
    </w:p>
    <w:p w14:paraId="0C406CE8" w14:textId="77777777" w:rsidR="00523689" w:rsidRPr="00380B40" w:rsidRDefault="00523689" w:rsidP="00523689">
      <w:pPr>
        <w:pStyle w:val="Note"/>
        <w:rPr>
          <w:lang w:val="en-GB"/>
        </w:rPr>
      </w:pPr>
      <w:r w:rsidRPr="00380B40">
        <w:rPr>
          <w:lang w:val="en-GB"/>
        </w:rPr>
        <w:t xml:space="preserve">NOTE 1 </w:t>
      </w:r>
      <w:r w:rsidRPr="00380B40">
        <w:rPr>
          <w:lang w:val="en-GB"/>
        </w:rPr>
        <w:sym w:font="Symbol" w:char="F02D"/>
      </w:r>
      <w:r w:rsidRPr="00380B40">
        <w:rPr>
          <w:lang w:val="en-GB"/>
        </w:rPr>
        <w:t> Before establishing multilateral collaboration as proposed in this appendix, the study group is expected to investigate whether a focus group (see [ITU-T A.7]) is feasible.</w:t>
      </w:r>
    </w:p>
    <w:p w14:paraId="1E9EC8F7" w14:textId="77777777" w:rsidR="00523689" w:rsidRPr="00380B40" w:rsidRDefault="00523689" w:rsidP="00523689">
      <w:pPr>
        <w:pStyle w:val="Note"/>
        <w:rPr>
          <w:szCs w:val="22"/>
          <w:lang w:val="en-GB"/>
        </w:rPr>
      </w:pPr>
      <w:r w:rsidRPr="00380B40">
        <w:rPr>
          <w:szCs w:val="22"/>
          <w:lang w:val="en-GB"/>
        </w:rPr>
        <w:t xml:space="preserve">NOTE 2 </w:t>
      </w:r>
      <w:r w:rsidRPr="00380B40">
        <w:rPr>
          <w:szCs w:val="22"/>
          <w:lang w:val="en-GB"/>
        </w:rPr>
        <w:sym w:font="Symbol" w:char="F02D"/>
      </w:r>
      <w:r w:rsidRPr="00380B40">
        <w:rPr>
          <w:szCs w:val="22"/>
          <w:lang w:val="en-GB"/>
        </w:rPr>
        <w:t xml:space="preserve"> This </w:t>
      </w:r>
      <w:r w:rsidRPr="00380B40">
        <w:rPr>
          <w:lang w:val="en-GB"/>
        </w:rPr>
        <w:t>appendix</w:t>
      </w:r>
      <w:r w:rsidRPr="00380B40">
        <w:rPr>
          <w:szCs w:val="22"/>
          <w:lang w:val="en-GB"/>
        </w:rPr>
        <w:t xml:space="preserve"> does not apply when the multilateral collaboration only involves ITU-T and ITU</w:t>
      </w:r>
      <w:r w:rsidRPr="00380B40">
        <w:rPr>
          <w:szCs w:val="22"/>
          <w:lang w:val="en-GB"/>
        </w:rPr>
        <w:noBreakHyphen/>
        <w:t>R study groups because an intersector coordination group or an intersector rapporteur group can then be established (see Annexes B and C of [WTSA Res. 18]). The Inter-Sector Coordination Team could also consider the matter.</w:t>
      </w:r>
    </w:p>
    <w:p w14:paraId="4C90668C" w14:textId="77777777" w:rsidR="00523689" w:rsidRPr="00380B40" w:rsidRDefault="00523689" w:rsidP="00523689">
      <w:pPr>
        <w:rPr>
          <w:lang w:val="en-GB"/>
        </w:rPr>
      </w:pPr>
      <w:r w:rsidRPr="00380B40">
        <w:rPr>
          <w:b/>
          <w:lang w:val="en-GB"/>
        </w:rPr>
        <w:t>V.2</w:t>
      </w:r>
      <w:r w:rsidRPr="00380B40">
        <w:rPr>
          <w:lang w:val="en-GB"/>
        </w:rPr>
        <w:tab/>
        <w:t>Each of the organizations involved in multilateral collaboration needs to be qualified (see clause 6).</w:t>
      </w:r>
    </w:p>
    <w:p w14:paraId="5ABAF940" w14:textId="77777777" w:rsidR="00523689" w:rsidRPr="00380B40" w:rsidRDefault="00523689" w:rsidP="00523689">
      <w:pPr>
        <w:rPr>
          <w:lang w:val="en-GB"/>
        </w:rPr>
      </w:pPr>
      <w:r w:rsidRPr="00380B40">
        <w:rPr>
          <w:b/>
          <w:lang w:val="en-GB"/>
        </w:rPr>
        <w:t>V.3</w:t>
      </w:r>
      <w:r w:rsidRPr="00380B40">
        <w:rPr>
          <w:lang w:val="en-GB"/>
        </w:rPr>
        <w:tab/>
        <w:t>The terms of reference for the multilateral collaboration are established as explained in clause 8.2. Different instances of the three modes of collaboration (see clause 7) may be described, depending on the subset of organizations involved in the development of particular common (or technically-aligned) documents. The terms of reference are mutually agreed by all organizations involved in the multilateral collaboration.</w:t>
      </w:r>
    </w:p>
    <w:p w14:paraId="51F8F7C5" w14:textId="77777777" w:rsidR="007E52B2" w:rsidRPr="00380B40" w:rsidRDefault="007E52B2" w:rsidP="008C3E8D">
      <w:pPr>
        <w:jc w:val="left"/>
        <w:rPr>
          <w:sz w:val="20"/>
          <w:lang w:val="en-GB"/>
        </w:rPr>
      </w:pPr>
    </w:p>
    <w:p w14:paraId="57463381" w14:textId="77777777" w:rsidR="00ED477C" w:rsidRPr="00380B40" w:rsidRDefault="00ED477C" w:rsidP="008C3E8D">
      <w:pPr>
        <w:jc w:val="left"/>
        <w:rPr>
          <w:sz w:val="20"/>
          <w:lang w:val="en-GB"/>
        </w:rPr>
      </w:pPr>
    </w:p>
    <w:p w14:paraId="3B32CE21" w14:textId="77777777" w:rsidR="00ED477C" w:rsidRPr="00380B40" w:rsidRDefault="00ED477C" w:rsidP="008C3E8D">
      <w:pPr>
        <w:jc w:val="left"/>
        <w:rPr>
          <w:sz w:val="20"/>
          <w:lang w:val="en-GB"/>
        </w:rPr>
      </w:pPr>
    </w:p>
    <w:p w14:paraId="271AA1E7" w14:textId="77777777" w:rsidR="00ED477C" w:rsidRPr="00380B40" w:rsidRDefault="00ED477C" w:rsidP="008C3E8D">
      <w:pPr>
        <w:jc w:val="left"/>
        <w:rPr>
          <w:sz w:val="20"/>
          <w:lang w:val="en-GB"/>
        </w:rPr>
      </w:pPr>
    </w:p>
    <w:p w14:paraId="43C1F38F" w14:textId="77777777" w:rsidR="00ED477C" w:rsidRPr="00380B40" w:rsidRDefault="00ED477C" w:rsidP="008C3E8D">
      <w:pPr>
        <w:jc w:val="left"/>
        <w:rPr>
          <w:sz w:val="20"/>
          <w:lang w:val="en-GB"/>
        </w:rPr>
      </w:pPr>
    </w:p>
    <w:p w14:paraId="02A98A39" w14:textId="77777777" w:rsidR="00ED477C" w:rsidRPr="00380B40" w:rsidRDefault="00ED477C" w:rsidP="008C3E8D">
      <w:pPr>
        <w:jc w:val="left"/>
        <w:rPr>
          <w:sz w:val="20"/>
          <w:lang w:val="en-GB"/>
        </w:rPr>
      </w:pPr>
    </w:p>
    <w:p w14:paraId="3D2854F2" w14:textId="77777777" w:rsidR="00ED477C" w:rsidRPr="00380B40" w:rsidRDefault="00ED477C" w:rsidP="008C3E8D">
      <w:pPr>
        <w:jc w:val="left"/>
        <w:rPr>
          <w:sz w:val="20"/>
          <w:lang w:val="en-GB"/>
        </w:rPr>
      </w:pPr>
    </w:p>
    <w:p w14:paraId="4F4F9026" w14:textId="77777777" w:rsidR="00ED477C" w:rsidRPr="00380B40" w:rsidRDefault="00ED477C" w:rsidP="008C3E8D">
      <w:pPr>
        <w:jc w:val="left"/>
        <w:rPr>
          <w:sz w:val="20"/>
          <w:lang w:val="en-GB"/>
        </w:rPr>
      </w:pPr>
    </w:p>
    <w:p w14:paraId="3A59D02E" w14:textId="77777777" w:rsidR="00ED477C" w:rsidRPr="00380B40" w:rsidRDefault="00ED477C" w:rsidP="008C3E8D">
      <w:pPr>
        <w:jc w:val="left"/>
        <w:rPr>
          <w:sz w:val="20"/>
          <w:lang w:val="en-GB"/>
        </w:rPr>
      </w:pPr>
    </w:p>
    <w:p w14:paraId="22944E67" w14:textId="77777777" w:rsidR="00ED477C" w:rsidRPr="00380B40" w:rsidRDefault="00ED477C" w:rsidP="008C3E8D">
      <w:pPr>
        <w:jc w:val="left"/>
        <w:rPr>
          <w:sz w:val="20"/>
          <w:lang w:val="en-GB"/>
        </w:rPr>
      </w:pPr>
    </w:p>
    <w:p w14:paraId="2E908928" w14:textId="77777777" w:rsidR="00ED477C" w:rsidRPr="00380B40" w:rsidRDefault="00ED477C" w:rsidP="00C53AF4">
      <w:pPr>
        <w:tabs>
          <w:tab w:val="clear" w:pos="794"/>
          <w:tab w:val="clear" w:pos="1191"/>
          <w:tab w:val="clear" w:pos="1588"/>
          <w:tab w:val="clear" w:pos="1985"/>
        </w:tabs>
        <w:overflowPunct/>
        <w:autoSpaceDE/>
        <w:autoSpaceDN/>
        <w:adjustRightInd/>
        <w:spacing w:before="0" w:line="240" w:lineRule="auto"/>
        <w:jc w:val="left"/>
        <w:textAlignment w:val="auto"/>
        <w:rPr>
          <w:lang w:val="en-GB"/>
        </w:rPr>
        <w:sectPr w:rsidR="00ED477C" w:rsidRPr="00380B40" w:rsidSect="00AC355A">
          <w:headerReference w:type="even" r:id="rId508"/>
          <w:headerReference w:type="default" r:id="rId509"/>
          <w:footerReference w:type="even" r:id="rId510"/>
          <w:footerReference w:type="default" r:id="rId511"/>
          <w:pgSz w:w="11907" w:h="16834" w:code="9"/>
          <w:pgMar w:top="1134" w:right="1134" w:bottom="1134" w:left="1134" w:header="567" w:footer="567" w:gutter="0"/>
          <w:paperSrc w:first="15" w:other="15"/>
          <w:cols w:space="720"/>
          <w:vAlign w:val="both"/>
          <w:docGrid w:linePitch="326"/>
        </w:sectPr>
      </w:pPr>
    </w:p>
    <w:p w14:paraId="6A23B099" w14:textId="77777777" w:rsidR="008930E6" w:rsidRDefault="008930E6" w:rsidP="008930E6">
      <w:pPr>
        <w:rPr>
          <w:lang w:val="en-GB"/>
        </w:rPr>
      </w:pPr>
      <w:bookmarkStart w:id="2414" w:name="_Toc104472186"/>
      <w:bookmarkStart w:id="2415" w:name="_Toc104530923"/>
      <w:bookmarkStart w:id="2416" w:name="_Toc111637156"/>
      <w:bookmarkStart w:id="2417" w:name="_Toc111638556"/>
    </w:p>
    <w:p w14:paraId="763ACF78" w14:textId="77777777" w:rsidR="008930E6" w:rsidRDefault="008930E6" w:rsidP="008930E6">
      <w:pPr>
        <w:rPr>
          <w:lang w:val="en-GB"/>
        </w:rPr>
      </w:pPr>
    </w:p>
    <w:p w14:paraId="49363264" w14:textId="77777777" w:rsidR="008930E6" w:rsidRDefault="008930E6" w:rsidP="008930E6">
      <w:pPr>
        <w:rPr>
          <w:lang w:val="en-GB"/>
        </w:rPr>
      </w:pPr>
    </w:p>
    <w:p w14:paraId="3F3813A6" w14:textId="77777777" w:rsidR="008930E6" w:rsidRDefault="008930E6" w:rsidP="008930E6">
      <w:pPr>
        <w:rPr>
          <w:lang w:val="en-GB"/>
        </w:rPr>
      </w:pPr>
    </w:p>
    <w:p w14:paraId="6556A1AB" w14:textId="77777777" w:rsidR="008930E6" w:rsidRDefault="008930E6" w:rsidP="008930E6">
      <w:pPr>
        <w:rPr>
          <w:lang w:val="en-GB"/>
        </w:rPr>
      </w:pPr>
    </w:p>
    <w:p w14:paraId="4784F935" w14:textId="77777777" w:rsidR="008930E6" w:rsidRDefault="008930E6" w:rsidP="008930E6">
      <w:pPr>
        <w:rPr>
          <w:lang w:val="en-GB"/>
        </w:rPr>
      </w:pPr>
    </w:p>
    <w:p w14:paraId="53594929" w14:textId="77777777" w:rsidR="008930E6" w:rsidRDefault="008930E6" w:rsidP="008930E6">
      <w:pPr>
        <w:rPr>
          <w:lang w:val="en-GB"/>
        </w:rPr>
      </w:pPr>
    </w:p>
    <w:p w14:paraId="23587ABF" w14:textId="77777777" w:rsidR="008930E6" w:rsidRDefault="008930E6" w:rsidP="008930E6">
      <w:pPr>
        <w:rPr>
          <w:lang w:val="en-GB"/>
        </w:rPr>
      </w:pPr>
    </w:p>
    <w:p w14:paraId="1469A47E" w14:textId="77777777" w:rsidR="008930E6" w:rsidRDefault="008930E6" w:rsidP="008930E6">
      <w:pPr>
        <w:rPr>
          <w:lang w:val="en-GB"/>
        </w:rPr>
      </w:pPr>
    </w:p>
    <w:p w14:paraId="33D8249B" w14:textId="77777777" w:rsidR="008930E6" w:rsidRDefault="008930E6" w:rsidP="008930E6">
      <w:pPr>
        <w:rPr>
          <w:lang w:val="en-GB"/>
        </w:rPr>
      </w:pPr>
    </w:p>
    <w:p w14:paraId="060115F2" w14:textId="77777777" w:rsidR="008930E6" w:rsidRDefault="008930E6" w:rsidP="008930E6">
      <w:pPr>
        <w:rPr>
          <w:lang w:val="en-GB"/>
        </w:rPr>
      </w:pPr>
    </w:p>
    <w:p w14:paraId="72B38AE6" w14:textId="77777777" w:rsidR="008930E6" w:rsidRPr="008930E6" w:rsidRDefault="008930E6" w:rsidP="008930E6">
      <w:pPr>
        <w:rPr>
          <w:lang w:val="en-GB"/>
        </w:rPr>
      </w:pPr>
    </w:p>
    <w:p w14:paraId="79EA7ECC" w14:textId="77777777" w:rsidR="005C5DB2" w:rsidRPr="00380B40" w:rsidRDefault="005C5DB2" w:rsidP="00E34F37">
      <w:pPr>
        <w:pStyle w:val="ChapNo"/>
        <w:rPr>
          <w:lang w:val="en-GB"/>
        </w:rPr>
      </w:pPr>
      <w:bookmarkStart w:id="2418" w:name="PartIII"/>
      <w:bookmarkEnd w:id="2418"/>
      <w:r w:rsidRPr="00380B40">
        <w:rPr>
          <w:lang w:val="en-GB"/>
        </w:rPr>
        <w:t>PART III</w:t>
      </w:r>
      <w:r w:rsidR="00202A50" w:rsidRPr="00380B40">
        <w:rPr>
          <w:lang w:val="en-GB"/>
        </w:rPr>
        <w:t xml:space="preserve"> </w:t>
      </w:r>
      <w:r w:rsidRPr="00380B40">
        <w:rPr>
          <w:lang w:val="en-GB"/>
        </w:rPr>
        <w:br/>
      </w:r>
      <w:r w:rsidR="005E731C" w:rsidRPr="00380B40">
        <w:rPr>
          <w:lang w:val="en-GB"/>
        </w:rPr>
        <w:br/>
      </w:r>
      <w:r w:rsidRPr="00380B40">
        <w:rPr>
          <w:lang w:val="en-GB"/>
        </w:rPr>
        <w:br/>
      </w:r>
      <w:r w:rsidR="00E34F37" w:rsidRPr="00380B40">
        <w:rPr>
          <w:lang w:val="en-GB"/>
        </w:rPr>
        <w:t>Chairmen and vice</w:t>
      </w:r>
      <w:r w:rsidR="00E34F37" w:rsidRPr="00380B40">
        <w:rPr>
          <w:lang w:val="en-GB"/>
        </w:rPr>
        <w:noBreakHyphen/>
        <w:t>chairmen of TSAG, the ITU telecommunication standardization study groups and the Standardization Committee for Vocabulary appointed by WTSA-20</w:t>
      </w:r>
      <w:bookmarkEnd w:id="2414"/>
      <w:bookmarkEnd w:id="2415"/>
      <w:bookmarkEnd w:id="2416"/>
      <w:bookmarkEnd w:id="2417"/>
    </w:p>
    <w:p w14:paraId="340F4BF3" w14:textId="77777777" w:rsidR="005C5DB2" w:rsidRPr="00380B40" w:rsidRDefault="005C5DB2" w:rsidP="005C5DB2">
      <w:pPr>
        <w:overflowPunct/>
        <w:autoSpaceDE/>
        <w:autoSpaceDN/>
        <w:adjustRightInd/>
        <w:spacing w:before="0" w:after="160" w:line="259" w:lineRule="auto"/>
        <w:jc w:val="center"/>
        <w:textAlignment w:val="auto"/>
        <w:rPr>
          <w:lang w:val="en-GB"/>
        </w:rPr>
      </w:pPr>
    </w:p>
    <w:p w14:paraId="49E17C39" w14:textId="77777777" w:rsidR="005C5DB2" w:rsidRPr="00380B40" w:rsidRDefault="005C5DB2">
      <w:pPr>
        <w:overflowPunct/>
        <w:autoSpaceDE/>
        <w:autoSpaceDN/>
        <w:adjustRightInd/>
        <w:spacing w:before="0" w:after="160" w:line="259" w:lineRule="auto"/>
        <w:textAlignment w:val="auto"/>
        <w:rPr>
          <w:lang w:val="en-GB"/>
        </w:rPr>
        <w:sectPr w:rsidR="005C5DB2" w:rsidRPr="00380B40" w:rsidSect="008930E6">
          <w:headerReference w:type="default" r:id="rId512"/>
          <w:footerReference w:type="even" r:id="rId513"/>
          <w:footerReference w:type="default" r:id="rId514"/>
          <w:type w:val="oddPage"/>
          <w:pgSz w:w="11907" w:h="16834" w:code="9"/>
          <w:pgMar w:top="1134" w:right="1134" w:bottom="1134" w:left="1134" w:header="567" w:footer="567" w:gutter="0"/>
          <w:paperSrc w:first="261" w:other="261"/>
          <w:cols w:space="720"/>
          <w:docGrid w:linePitch="326"/>
        </w:sectPr>
      </w:pPr>
    </w:p>
    <w:p w14:paraId="6A677377" w14:textId="77777777" w:rsidR="0012432B" w:rsidRPr="00380B40" w:rsidRDefault="0012432B" w:rsidP="0012432B">
      <w:pPr>
        <w:pStyle w:val="Headingb1"/>
      </w:pPr>
      <w:r w:rsidRPr="00380B40">
        <w:t>TSAG – Telecommunication Standardization Advisory Group</w:t>
      </w:r>
    </w:p>
    <w:tbl>
      <w:tblPr>
        <w:tblStyle w:val="TableGrid1"/>
        <w:tblW w:w="5000" w:type="pct"/>
        <w:jc w:val="center"/>
        <w:tblLook w:val="04A0" w:firstRow="1" w:lastRow="0" w:firstColumn="1" w:lastColumn="0" w:noHBand="0" w:noVBand="1"/>
      </w:tblPr>
      <w:tblGrid>
        <w:gridCol w:w="1059"/>
        <w:gridCol w:w="1789"/>
        <w:gridCol w:w="2111"/>
        <w:gridCol w:w="2463"/>
        <w:gridCol w:w="2206"/>
      </w:tblGrid>
      <w:tr w:rsidR="0012432B" w:rsidRPr="00380B40" w14:paraId="688227F7" w14:textId="77777777" w:rsidTr="00DF2C1C">
        <w:trPr>
          <w:jc w:val="center"/>
        </w:trPr>
        <w:tc>
          <w:tcPr>
            <w:tcW w:w="1059" w:type="dxa"/>
            <w:tcMar>
              <w:left w:w="57" w:type="dxa"/>
              <w:right w:w="57" w:type="dxa"/>
            </w:tcMar>
            <w:vAlign w:val="center"/>
          </w:tcPr>
          <w:p w14:paraId="1DC5977D" w14:textId="77777777" w:rsidR="0012432B" w:rsidRPr="00380B40" w:rsidRDefault="0012432B" w:rsidP="004E4CA9">
            <w:pPr>
              <w:pStyle w:val="Tableheadwhitecentred"/>
              <w:rPr>
                <w:b w:val="0"/>
              </w:rPr>
            </w:pPr>
            <w:r w:rsidRPr="00380B40">
              <w:t>Group</w:t>
            </w:r>
          </w:p>
        </w:tc>
        <w:tc>
          <w:tcPr>
            <w:tcW w:w="3900" w:type="dxa"/>
            <w:gridSpan w:val="2"/>
            <w:vAlign w:val="center"/>
          </w:tcPr>
          <w:p w14:paraId="40516888" w14:textId="77777777" w:rsidR="0012432B" w:rsidRPr="00380B40" w:rsidRDefault="0012432B" w:rsidP="004E4CA9">
            <w:pPr>
              <w:pStyle w:val="Tableheadwhitecentred"/>
              <w:rPr>
                <w:highlight w:val="green"/>
              </w:rPr>
            </w:pPr>
            <w:r w:rsidRPr="00380B40">
              <w:t>Name</w:t>
            </w:r>
          </w:p>
        </w:tc>
        <w:tc>
          <w:tcPr>
            <w:tcW w:w="2463" w:type="dxa"/>
            <w:vAlign w:val="center"/>
          </w:tcPr>
          <w:p w14:paraId="0E24063F" w14:textId="77777777" w:rsidR="0012432B" w:rsidRPr="00380B40" w:rsidRDefault="0012432B" w:rsidP="004E4CA9">
            <w:pPr>
              <w:pStyle w:val="Tableheadwhitecentred"/>
              <w:rPr>
                <w:highlight w:val="green"/>
              </w:rPr>
            </w:pPr>
            <w:r w:rsidRPr="00380B40">
              <w:t>Country/ Company</w:t>
            </w:r>
          </w:p>
        </w:tc>
        <w:tc>
          <w:tcPr>
            <w:tcW w:w="2206" w:type="dxa"/>
            <w:vAlign w:val="center"/>
          </w:tcPr>
          <w:p w14:paraId="17105463" w14:textId="77777777" w:rsidR="0012432B" w:rsidRPr="00380B40" w:rsidRDefault="0012432B" w:rsidP="004E4CA9">
            <w:pPr>
              <w:pStyle w:val="Tableheadwhite"/>
              <w:rPr>
                <w:highlight w:val="green"/>
              </w:rPr>
            </w:pPr>
          </w:p>
        </w:tc>
      </w:tr>
      <w:tr w:rsidR="0012432B" w:rsidRPr="00380B40" w14:paraId="45DBBEE7" w14:textId="77777777" w:rsidTr="00EC4D73">
        <w:trPr>
          <w:jc w:val="center"/>
        </w:trPr>
        <w:tc>
          <w:tcPr>
            <w:tcW w:w="1059" w:type="dxa"/>
            <w:shd w:val="clear" w:color="auto" w:fill="auto"/>
          </w:tcPr>
          <w:p w14:paraId="64440BF0" w14:textId="77777777" w:rsidR="0012432B" w:rsidRPr="00380B40" w:rsidRDefault="0012432B" w:rsidP="0012432B">
            <w:pPr>
              <w:pStyle w:val="Tabletext0"/>
              <w:jc w:val="left"/>
              <w:rPr>
                <w:b/>
                <w:bCs/>
              </w:rPr>
            </w:pPr>
            <w:r w:rsidRPr="00380B40">
              <w:rPr>
                <w:b/>
                <w:bCs/>
              </w:rPr>
              <w:t>TSAG</w:t>
            </w:r>
          </w:p>
        </w:tc>
        <w:tc>
          <w:tcPr>
            <w:tcW w:w="1789" w:type="dxa"/>
            <w:shd w:val="clear" w:color="auto" w:fill="auto"/>
          </w:tcPr>
          <w:p w14:paraId="218AF4E5" w14:textId="77777777" w:rsidR="0012432B" w:rsidRPr="00380B40" w:rsidRDefault="0012432B" w:rsidP="0012432B">
            <w:pPr>
              <w:pStyle w:val="Tabletext0"/>
              <w:jc w:val="left"/>
              <w:rPr>
                <w:b/>
                <w:bCs/>
              </w:rPr>
            </w:pPr>
            <w:r w:rsidRPr="00380B40">
              <w:rPr>
                <w:b/>
                <w:bCs/>
              </w:rPr>
              <w:t>Mr Abdurahman</w:t>
            </w:r>
          </w:p>
        </w:tc>
        <w:tc>
          <w:tcPr>
            <w:tcW w:w="2111" w:type="dxa"/>
            <w:shd w:val="clear" w:color="auto" w:fill="auto"/>
          </w:tcPr>
          <w:p w14:paraId="6AE1AE96" w14:textId="77777777" w:rsidR="0012432B" w:rsidRPr="00380B40" w:rsidRDefault="0012432B" w:rsidP="0012432B">
            <w:pPr>
              <w:pStyle w:val="Tabletext0"/>
              <w:jc w:val="left"/>
              <w:rPr>
                <w:b/>
                <w:bCs/>
              </w:rPr>
            </w:pPr>
            <w:r w:rsidRPr="00380B40">
              <w:rPr>
                <w:b/>
                <w:bCs/>
              </w:rPr>
              <w:t>AL HASSAN</w:t>
            </w:r>
          </w:p>
        </w:tc>
        <w:tc>
          <w:tcPr>
            <w:tcW w:w="2463" w:type="dxa"/>
            <w:shd w:val="clear" w:color="auto" w:fill="auto"/>
          </w:tcPr>
          <w:p w14:paraId="6EF38F93" w14:textId="77777777" w:rsidR="0012432B" w:rsidRPr="00380B40" w:rsidRDefault="0012432B" w:rsidP="0012432B">
            <w:pPr>
              <w:pStyle w:val="Tabletext0"/>
              <w:jc w:val="left"/>
              <w:rPr>
                <w:b/>
                <w:bCs/>
              </w:rPr>
            </w:pPr>
            <w:r w:rsidRPr="00380B40">
              <w:rPr>
                <w:b/>
                <w:bCs/>
              </w:rPr>
              <w:t>Saudi Arabia</w:t>
            </w:r>
          </w:p>
        </w:tc>
        <w:tc>
          <w:tcPr>
            <w:tcW w:w="2206" w:type="dxa"/>
            <w:shd w:val="clear" w:color="auto" w:fill="auto"/>
          </w:tcPr>
          <w:p w14:paraId="10D7E793" w14:textId="77777777" w:rsidR="0012432B" w:rsidRPr="00380B40" w:rsidRDefault="0012432B" w:rsidP="0012432B">
            <w:pPr>
              <w:pStyle w:val="Tabletext0"/>
              <w:jc w:val="left"/>
              <w:rPr>
                <w:b/>
                <w:bCs/>
              </w:rPr>
            </w:pPr>
            <w:r w:rsidRPr="00380B40">
              <w:rPr>
                <w:b/>
                <w:bCs/>
              </w:rPr>
              <w:t>Chairman</w:t>
            </w:r>
          </w:p>
        </w:tc>
      </w:tr>
      <w:tr w:rsidR="0012432B" w:rsidRPr="00380B40" w14:paraId="0404BED0" w14:textId="77777777" w:rsidTr="00DF2C1C">
        <w:trPr>
          <w:jc w:val="center"/>
        </w:trPr>
        <w:tc>
          <w:tcPr>
            <w:tcW w:w="1059" w:type="dxa"/>
          </w:tcPr>
          <w:p w14:paraId="1A378F38" w14:textId="77777777" w:rsidR="0012432B" w:rsidRPr="00380B40" w:rsidRDefault="0012432B" w:rsidP="0012432B">
            <w:pPr>
              <w:pStyle w:val="Tabletext0"/>
              <w:jc w:val="left"/>
              <w:rPr>
                <w:b/>
                <w:bCs/>
              </w:rPr>
            </w:pPr>
            <w:r w:rsidRPr="00380B40">
              <w:rPr>
                <w:b/>
                <w:bCs/>
              </w:rPr>
              <w:t>TSAG</w:t>
            </w:r>
          </w:p>
        </w:tc>
        <w:tc>
          <w:tcPr>
            <w:tcW w:w="1789" w:type="dxa"/>
          </w:tcPr>
          <w:p w14:paraId="607E0F04" w14:textId="77777777" w:rsidR="0012432B" w:rsidRPr="00380B40" w:rsidRDefault="0012432B" w:rsidP="0012432B">
            <w:pPr>
              <w:pStyle w:val="Tabletext0"/>
            </w:pPr>
            <w:r w:rsidRPr="00380B40">
              <w:t>Ms Miho</w:t>
            </w:r>
          </w:p>
        </w:tc>
        <w:tc>
          <w:tcPr>
            <w:tcW w:w="2111" w:type="dxa"/>
          </w:tcPr>
          <w:p w14:paraId="5F12E4B8" w14:textId="77777777" w:rsidR="0012432B" w:rsidRPr="00380B40" w:rsidRDefault="0012432B" w:rsidP="0012432B">
            <w:pPr>
              <w:pStyle w:val="Tabletext0"/>
            </w:pPr>
            <w:r w:rsidRPr="00380B40">
              <w:t>NAGANUMA</w:t>
            </w:r>
          </w:p>
        </w:tc>
        <w:tc>
          <w:tcPr>
            <w:tcW w:w="2463" w:type="dxa"/>
          </w:tcPr>
          <w:p w14:paraId="72DD3FA2" w14:textId="77777777" w:rsidR="0012432B" w:rsidRPr="00380B40" w:rsidRDefault="0012432B" w:rsidP="0012432B">
            <w:pPr>
              <w:pStyle w:val="Tabletext0"/>
            </w:pPr>
            <w:r w:rsidRPr="00380B40">
              <w:t>NEC Corporation, Japan</w:t>
            </w:r>
          </w:p>
        </w:tc>
        <w:tc>
          <w:tcPr>
            <w:tcW w:w="2206" w:type="dxa"/>
          </w:tcPr>
          <w:p w14:paraId="2CDF0D0F" w14:textId="77777777" w:rsidR="0012432B" w:rsidRPr="00380B40" w:rsidRDefault="0012432B" w:rsidP="0012432B">
            <w:pPr>
              <w:pStyle w:val="Tabletext0"/>
            </w:pPr>
            <w:r w:rsidRPr="00380B40">
              <w:t>Vice-Chairman</w:t>
            </w:r>
          </w:p>
        </w:tc>
      </w:tr>
      <w:tr w:rsidR="0012432B" w:rsidRPr="00380B40" w14:paraId="32868977" w14:textId="77777777" w:rsidTr="00DF2C1C">
        <w:trPr>
          <w:jc w:val="center"/>
        </w:trPr>
        <w:tc>
          <w:tcPr>
            <w:tcW w:w="1059" w:type="dxa"/>
          </w:tcPr>
          <w:p w14:paraId="4518D42E" w14:textId="77777777" w:rsidR="0012432B" w:rsidRPr="00380B40" w:rsidRDefault="0012432B" w:rsidP="0012432B">
            <w:pPr>
              <w:pStyle w:val="Tabletext0"/>
              <w:jc w:val="left"/>
              <w:rPr>
                <w:b/>
                <w:bCs/>
              </w:rPr>
            </w:pPr>
            <w:r w:rsidRPr="00380B40">
              <w:rPr>
                <w:b/>
                <w:bCs/>
              </w:rPr>
              <w:t>TSAG</w:t>
            </w:r>
          </w:p>
        </w:tc>
        <w:tc>
          <w:tcPr>
            <w:tcW w:w="1789" w:type="dxa"/>
          </w:tcPr>
          <w:p w14:paraId="6490BF67" w14:textId="77777777" w:rsidR="0012432B" w:rsidRPr="00380B40" w:rsidRDefault="0012432B" w:rsidP="0012432B">
            <w:pPr>
              <w:pStyle w:val="Tabletext0"/>
            </w:pPr>
            <w:r w:rsidRPr="00380B40">
              <w:t>Ms Fang</w:t>
            </w:r>
          </w:p>
        </w:tc>
        <w:tc>
          <w:tcPr>
            <w:tcW w:w="2111" w:type="dxa"/>
          </w:tcPr>
          <w:p w14:paraId="200BB254" w14:textId="77777777" w:rsidR="0012432B" w:rsidRPr="00380B40" w:rsidRDefault="0012432B" w:rsidP="0012432B">
            <w:pPr>
              <w:pStyle w:val="Tabletext0"/>
            </w:pPr>
            <w:r w:rsidRPr="00380B40">
              <w:t>LI</w:t>
            </w:r>
          </w:p>
        </w:tc>
        <w:tc>
          <w:tcPr>
            <w:tcW w:w="2463" w:type="dxa"/>
          </w:tcPr>
          <w:p w14:paraId="7BC5072B" w14:textId="77777777" w:rsidR="0012432B" w:rsidRPr="00380B40" w:rsidRDefault="0012432B" w:rsidP="0012432B">
            <w:pPr>
              <w:pStyle w:val="Tabletext0"/>
            </w:pPr>
            <w:r w:rsidRPr="00380B40">
              <w:t>China (P.R.)</w:t>
            </w:r>
          </w:p>
        </w:tc>
        <w:tc>
          <w:tcPr>
            <w:tcW w:w="2206" w:type="dxa"/>
          </w:tcPr>
          <w:p w14:paraId="50B107D6" w14:textId="77777777" w:rsidR="0012432B" w:rsidRPr="00380B40" w:rsidRDefault="0012432B" w:rsidP="0012432B">
            <w:pPr>
              <w:pStyle w:val="Tabletext0"/>
            </w:pPr>
            <w:r w:rsidRPr="00380B40">
              <w:t>Vice-Chairman</w:t>
            </w:r>
          </w:p>
        </w:tc>
      </w:tr>
      <w:tr w:rsidR="0012432B" w:rsidRPr="00380B40" w14:paraId="5E7023EC" w14:textId="77777777" w:rsidTr="00DF2C1C">
        <w:trPr>
          <w:jc w:val="center"/>
        </w:trPr>
        <w:tc>
          <w:tcPr>
            <w:tcW w:w="1059" w:type="dxa"/>
          </w:tcPr>
          <w:p w14:paraId="6E546335" w14:textId="77777777" w:rsidR="0012432B" w:rsidRPr="00380B40" w:rsidRDefault="0012432B" w:rsidP="0012432B">
            <w:pPr>
              <w:pStyle w:val="Tabletext0"/>
              <w:jc w:val="left"/>
              <w:rPr>
                <w:b/>
                <w:bCs/>
              </w:rPr>
            </w:pPr>
            <w:r w:rsidRPr="00380B40">
              <w:rPr>
                <w:b/>
                <w:bCs/>
              </w:rPr>
              <w:t>TSAG</w:t>
            </w:r>
          </w:p>
        </w:tc>
        <w:tc>
          <w:tcPr>
            <w:tcW w:w="1789" w:type="dxa"/>
          </w:tcPr>
          <w:p w14:paraId="366EE54F" w14:textId="77777777" w:rsidR="0012432B" w:rsidRPr="00380B40" w:rsidRDefault="0012432B" w:rsidP="0012432B">
            <w:pPr>
              <w:pStyle w:val="Tabletext0"/>
            </w:pPr>
            <w:r w:rsidRPr="00380B40">
              <w:t>Mr Omar</w:t>
            </w:r>
          </w:p>
        </w:tc>
        <w:tc>
          <w:tcPr>
            <w:tcW w:w="2111" w:type="dxa"/>
          </w:tcPr>
          <w:p w14:paraId="575FE7AE" w14:textId="77777777" w:rsidR="0012432B" w:rsidRPr="00380B40" w:rsidRDefault="0012432B" w:rsidP="0012432B">
            <w:pPr>
              <w:pStyle w:val="Tabletext0"/>
            </w:pPr>
            <w:r w:rsidRPr="00380B40">
              <w:t>AL-ODAT</w:t>
            </w:r>
          </w:p>
        </w:tc>
        <w:tc>
          <w:tcPr>
            <w:tcW w:w="2463" w:type="dxa"/>
          </w:tcPr>
          <w:p w14:paraId="1547F234" w14:textId="77777777" w:rsidR="0012432B" w:rsidRPr="00380B40" w:rsidRDefault="0012432B" w:rsidP="0012432B">
            <w:pPr>
              <w:pStyle w:val="Tabletext0"/>
            </w:pPr>
            <w:r w:rsidRPr="00380B40">
              <w:t>Jordan</w:t>
            </w:r>
          </w:p>
        </w:tc>
        <w:tc>
          <w:tcPr>
            <w:tcW w:w="2206" w:type="dxa"/>
          </w:tcPr>
          <w:p w14:paraId="04236F44" w14:textId="77777777" w:rsidR="0012432B" w:rsidRPr="00380B40" w:rsidRDefault="0012432B" w:rsidP="0012432B">
            <w:pPr>
              <w:pStyle w:val="Tabletext0"/>
            </w:pPr>
            <w:r w:rsidRPr="00380B40">
              <w:t>Vice-Chairman</w:t>
            </w:r>
          </w:p>
        </w:tc>
      </w:tr>
      <w:tr w:rsidR="0012432B" w:rsidRPr="00380B40" w14:paraId="54AEE40B" w14:textId="77777777" w:rsidTr="00DF2C1C">
        <w:trPr>
          <w:jc w:val="center"/>
        </w:trPr>
        <w:tc>
          <w:tcPr>
            <w:tcW w:w="1059" w:type="dxa"/>
          </w:tcPr>
          <w:p w14:paraId="0F1EF29F" w14:textId="77777777" w:rsidR="0012432B" w:rsidRPr="00380B40" w:rsidRDefault="0012432B" w:rsidP="0012432B">
            <w:pPr>
              <w:pStyle w:val="Tabletext0"/>
              <w:jc w:val="left"/>
              <w:rPr>
                <w:b/>
                <w:bCs/>
              </w:rPr>
            </w:pPr>
            <w:r w:rsidRPr="00380B40">
              <w:rPr>
                <w:b/>
                <w:bCs/>
              </w:rPr>
              <w:t>TSAG</w:t>
            </w:r>
          </w:p>
        </w:tc>
        <w:tc>
          <w:tcPr>
            <w:tcW w:w="1789" w:type="dxa"/>
          </w:tcPr>
          <w:p w14:paraId="314E8818" w14:textId="77777777" w:rsidR="0012432B" w:rsidRPr="00380B40" w:rsidRDefault="0012432B" w:rsidP="0012432B">
            <w:pPr>
              <w:pStyle w:val="Tabletext0"/>
            </w:pPr>
            <w:r w:rsidRPr="00380B40">
              <w:t>Mr Guy-Michel</w:t>
            </w:r>
          </w:p>
        </w:tc>
        <w:tc>
          <w:tcPr>
            <w:tcW w:w="2111" w:type="dxa"/>
          </w:tcPr>
          <w:p w14:paraId="2CC7BB64" w14:textId="77777777" w:rsidR="0012432B" w:rsidRPr="00380B40" w:rsidRDefault="0012432B" w:rsidP="0012432B">
            <w:pPr>
              <w:pStyle w:val="Tabletext0"/>
            </w:pPr>
            <w:r w:rsidRPr="00380B40">
              <w:t>KOUAKOU</w:t>
            </w:r>
          </w:p>
        </w:tc>
        <w:tc>
          <w:tcPr>
            <w:tcW w:w="2463" w:type="dxa"/>
          </w:tcPr>
          <w:p w14:paraId="056CA76D" w14:textId="77777777" w:rsidR="0012432B" w:rsidRPr="00380B40" w:rsidRDefault="0012432B" w:rsidP="0012432B">
            <w:pPr>
              <w:pStyle w:val="Tabletext0"/>
            </w:pPr>
            <w:r w:rsidRPr="00380B40">
              <w:t>Côte d'Ivoire</w:t>
            </w:r>
          </w:p>
        </w:tc>
        <w:tc>
          <w:tcPr>
            <w:tcW w:w="2206" w:type="dxa"/>
          </w:tcPr>
          <w:p w14:paraId="345FA7A3" w14:textId="77777777" w:rsidR="0012432B" w:rsidRPr="00380B40" w:rsidRDefault="0012432B" w:rsidP="0012432B">
            <w:pPr>
              <w:pStyle w:val="Tabletext0"/>
            </w:pPr>
            <w:r w:rsidRPr="00380B40">
              <w:t>Vice-Chairman</w:t>
            </w:r>
          </w:p>
        </w:tc>
      </w:tr>
      <w:tr w:rsidR="0012432B" w:rsidRPr="00380B40" w14:paraId="16B1AEBB" w14:textId="77777777" w:rsidTr="00DF2C1C">
        <w:trPr>
          <w:jc w:val="center"/>
        </w:trPr>
        <w:tc>
          <w:tcPr>
            <w:tcW w:w="1059" w:type="dxa"/>
          </w:tcPr>
          <w:p w14:paraId="546F4CF1" w14:textId="77777777" w:rsidR="0012432B" w:rsidRPr="00380B40" w:rsidRDefault="0012432B" w:rsidP="0012432B">
            <w:pPr>
              <w:pStyle w:val="Tabletext0"/>
              <w:jc w:val="left"/>
              <w:rPr>
                <w:b/>
                <w:bCs/>
              </w:rPr>
            </w:pPr>
            <w:r w:rsidRPr="00380B40">
              <w:rPr>
                <w:b/>
                <w:bCs/>
              </w:rPr>
              <w:t>TSAG</w:t>
            </w:r>
          </w:p>
        </w:tc>
        <w:tc>
          <w:tcPr>
            <w:tcW w:w="1789" w:type="dxa"/>
          </w:tcPr>
          <w:p w14:paraId="4CE79650" w14:textId="77777777" w:rsidR="0012432B" w:rsidRPr="00380B40" w:rsidRDefault="0012432B" w:rsidP="0012432B">
            <w:pPr>
              <w:pStyle w:val="Tabletext0"/>
            </w:pPr>
            <w:r w:rsidRPr="00380B40">
              <w:t>Mr Isaac</w:t>
            </w:r>
          </w:p>
        </w:tc>
        <w:tc>
          <w:tcPr>
            <w:tcW w:w="2111" w:type="dxa"/>
          </w:tcPr>
          <w:p w14:paraId="6B7E4FF4" w14:textId="77777777" w:rsidR="0012432B" w:rsidRPr="00380B40" w:rsidRDefault="0012432B" w:rsidP="0012432B">
            <w:pPr>
              <w:pStyle w:val="Tabletext0"/>
            </w:pPr>
            <w:r w:rsidRPr="00380B40">
              <w:t>BOATENG</w:t>
            </w:r>
          </w:p>
        </w:tc>
        <w:tc>
          <w:tcPr>
            <w:tcW w:w="2463" w:type="dxa"/>
          </w:tcPr>
          <w:p w14:paraId="67CE3C20" w14:textId="77777777" w:rsidR="0012432B" w:rsidRPr="00380B40" w:rsidRDefault="0012432B" w:rsidP="0012432B">
            <w:pPr>
              <w:pStyle w:val="Tabletext0"/>
            </w:pPr>
            <w:r w:rsidRPr="00380B40">
              <w:t>Ghana</w:t>
            </w:r>
          </w:p>
        </w:tc>
        <w:tc>
          <w:tcPr>
            <w:tcW w:w="2206" w:type="dxa"/>
          </w:tcPr>
          <w:p w14:paraId="6DE57475" w14:textId="77777777" w:rsidR="0012432B" w:rsidRPr="00380B40" w:rsidRDefault="0012432B" w:rsidP="0012432B">
            <w:pPr>
              <w:pStyle w:val="Tabletext0"/>
            </w:pPr>
            <w:r w:rsidRPr="00380B40">
              <w:t>Vice-Chairman</w:t>
            </w:r>
          </w:p>
        </w:tc>
      </w:tr>
      <w:tr w:rsidR="0012432B" w:rsidRPr="00380B40" w14:paraId="4185BFE8" w14:textId="77777777" w:rsidTr="00DF2C1C">
        <w:trPr>
          <w:jc w:val="center"/>
        </w:trPr>
        <w:tc>
          <w:tcPr>
            <w:tcW w:w="1059" w:type="dxa"/>
          </w:tcPr>
          <w:p w14:paraId="39890A16" w14:textId="77777777" w:rsidR="0012432B" w:rsidRPr="00380B40" w:rsidRDefault="0012432B" w:rsidP="0012432B">
            <w:pPr>
              <w:pStyle w:val="Tabletext0"/>
              <w:jc w:val="left"/>
              <w:rPr>
                <w:b/>
                <w:bCs/>
              </w:rPr>
            </w:pPr>
            <w:r w:rsidRPr="00380B40">
              <w:rPr>
                <w:b/>
                <w:bCs/>
              </w:rPr>
              <w:t>TSAG</w:t>
            </w:r>
          </w:p>
        </w:tc>
        <w:tc>
          <w:tcPr>
            <w:tcW w:w="1789" w:type="dxa"/>
          </w:tcPr>
          <w:p w14:paraId="5954B2C6" w14:textId="77777777" w:rsidR="0012432B" w:rsidRPr="00380B40" w:rsidRDefault="0012432B" w:rsidP="0012432B">
            <w:pPr>
              <w:pStyle w:val="Tabletext0"/>
            </w:pPr>
            <w:r w:rsidRPr="00380B40">
              <w:t>Mr Olivier</w:t>
            </w:r>
          </w:p>
        </w:tc>
        <w:tc>
          <w:tcPr>
            <w:tcW w:w="2111" w:type="dxa"/>
          </w:tcPr>
          <w:p w14:paraId="215B4C65" w14:textId="77777777" w:rsidR="0012432B" w:rsidRPr="00380B40" w:rsidRDefault="0012432B" w:rsidP="0012432B">
            <w:pPr>
              <w:pStyle w:val="Tabletext0"/>
            </w:pPr>
            <w:r w:rsidRPr="00380B40">
              <w:t>DUBUISSON</w:t>
            </w:r>
          </w:p>
        </w:tc>
        <w:tc>
          <w:tcPr>
            <w:tcW w:w="2463" w:type="dxa"/>
          </w:tcPr>
          <w:p w14:paraId="468E78D6" w14:textId="77777777" w:rsidR="0012432B" w:rsidRPr="00380B40" w:rsidRDefault="0012432B" w:rsidP="0012432B">
            <w:pPr>
              <w:pStyle w:val="Tabletext0"/>
            </w:pPr>
            <w:r w:rsidRPr="00380B40">
              <w:t>France</w:t>
            </w:r>
          </w:p>
        </w:tc>
        <w:tc>
          <w:tcPr>
            <w:tcW w:w="2206" w:type="dxa"/>
          </w:tcPr>
          <w:p w14:paraId="62BE81C8" w14:textId="77777777" w:rsidR="0012432B" w:rsidRPr="00380B40" w:rsidRDefault="0012432B" w:rsidP="0012432B">
            <w:pPr>
              <w:pStyle w:val="Tabletext0"/>
            </w:pPr>
            <w:r w:rsidRPr="00380B40">
              <w:t>Vice-Chairman</w:t>
            </w:r>
          </w:p>
        </w:tc>
      </w:tr>
      <w:tr w:rsidR="0012432B" w:rsidRPr="00380B40" w14:paraId="5C397D37" w14:textId="77777777" w:rsidTr="00DF2C1C">
        <w:trPr>
          <w:jc w:val="center"/>
        </w:trPr>
        <w:tc>
          <w:tcPr>
            <w:tcW w:w="1059" w:type="dxa"/>
          </w:tcPr>
          <w:p w14:paraId="431FF07D" w14:textId="77777777" w:rsidR="0012432B" w:rsidRPr="00380B40" w:rsidRDefault="0012432B" w:rsidP="0012432B">
            <w:pPr>
              <w:pStyle w:val="Tabletext0"/>
              <w:jc w:val="left"/>
              <w:rPr>
                <w:b/>
                <w:bCs/>
              </w:rPr>
            </w:pPr>
            <w:r w:rsidRPr="00380B40">
              <w:rPr>
                <w:b/>
                <w:bCs/>
              </w:rPr>
              <w:t>TSAG</w:t>
            </w:r>
          </w:p>
        </w:tc>
        <w:tc>
          <w:tcPr>
            <w:tcW w:w="1789" w:type="dxa"/>
          </w:tcPr>
          <w:p w14:paraId="3B59B0A5" w14:textId="77777777" w:rsidR="0012432B" w:rsidRPr="00380B40" w:rsidRDefault="0012432B" w:rsidP="0012432B">
            <w:pPr>
              <w:pStyle w:val="Tabletext0"/>
            </w:pPr>
            <w:r w:rsidRPr="00380B40">
              <w:t>Mr Tobias</w:t>
            </w:r>
          </w:p>
        </w:tc>
        <w:tc>
          <w:tcPr>
            <w:tcW w:w="2111" w:type="dxa"/>
          </w:tcPr>
          <w:p w14:paraId="7ADA7D7C" w14:textId="77777777" w:rsidR="0012432B" w:rsidRPr="00380B40" w:rsidRDefault="0012432B" w:rsidP="0012432B">
            <w:pPr>
              <w:pStyle w:val="Tabletext0"/>
            </w:pPr>
            <w:r w:rsidRPr="00380B40">
              <w:t>KAUFMANN</w:t>
            </w:r>
          </w:p>
        </w:tc>
        <w:tc>
          <w:tcPr>
            <w:tcW w:w="2463" w:type="dxa"/>
          </w:tcPr>
          <w:p w14:paraId="2B0CEC31" w14:textId="77777777" w:rsidR="0012432B" w:rsidRPr="00380B40" w:rsidRDefault="0012432B" w:rsidP="0012432B">
            <w:pPr>
              <w:pStyle w:val="Tabletext0"/>
            </w:pPr>
            <w:r w:rsidRPr="00380B40">
              <w:t>Germany</w:t>
            </w:r>
          </w:p>
        </w:tc>
        <w:tc>
          <w:tcPr>
            <w:tcW w:w="2206" w:type="dxa"/>
          </w:tcPr>
          <w:p w14:paraId="29CDEE3E" w14:textId="77777777" w:rsidR="0012432B" w:rsidRPr="00380B40" w:rsidRDefault="0012432B" w:rsidP="0012432B">
            <w:pPr>
              <w:pStyle w:val="Tabletext0"/>
            </w:pPr>
            <w:r w:rsidRPr="00380B40">
              <w:t>Vice-Chairman</w:t>
            </w:r>
          </w:p>
        </w:tc>
      </w:tr>
      <w:tr w:rsidR="0012432B" w:rsidRPr="00380B40" w14:paraId="42A7AF3E" w14:textId="77777777" w:rsidTr="00DF2C1C">
        <w:trPr>
          <w:jc w:val="center"/>
        </w:trPr>
        <w:tc>
          <w:tcPr>
            <w:tcW w:w="1059" w:type="dxa"/>
          </w:tcPr>
          <w:p w14:paraId="248585C4" w14:textId="77777777" w:rsidR="0012432B" w:rsidRPr="00380B40" w:rsidRDefault="0012432B" w:rsidP="0012432B">
            <w:pPr>
              <w:pStyle w:val="Tabletext0"/>
              <w:jc w:val="left"/>
              <w:rPr>
                <w:b/>
                <w:bCs/>
              </w:rPr>
            </w:pPr>
            <w:r w:rsidRPr="00380B40">
              <w:rPr>
                <w:b/>
                <w:bCs/>
              </w:rPr>
              <w:t>TSAG</w:t>
            </w:r>
          </w:p>
        </w:tc>
        <w:tc>
          <w:tcPr>
            <w:tcW w:w="1789" w:type="dxa"/>
          </w:tcPr>
          <w:p w14:paraId="3169816D" w14:textId="77777777" w:rsidR="0012432B" w:rsidRPr="00380B40" w:rsidRDefault="0012432B" w:rsidP="0012432B">
            <w:pPr>
              <w:pStyle w:val="Tabletext0"/>
            </w:pPr>
            <w:r w:rsidRPr="00380B40">
              <w:t>Ms Gaëlle</w:t>
            </w:r>
          </w:p>
        </w:tc>
        <w:tc>
          <w:tcPr>
            <w:tcW w:w="2111" w:type="dxa"/>
          </w:tcPr>
          <w:p w14:paraId="3797088B" w14:textId="77777777" w:rsidR="0012432B" w:rsidRPr="00380B40" w:rsidRDefault="0012432B" w:rsidP="0012432B">
            <w:pPr>
              <w:pStyle w:val="Tabletext0"/>
            </w:pPr>
            <w:r w:rsidRPr="00380B40">
              <w:t>MARTIN-COCHER</w:t>
            </w:r>
          </w:p>
        </w:tc>
        <w:tc>
          <w:tcPr>
            <w:tcW w:w="2463" w:type="dxa"/>
          </w:tcPr>
          <w:p w14:paraId="382F7D16" w14:textId="77777777" w:rsidR="0012432B" w:rsidRPr="00380B40" w:rsidRDefault="0012432B" w:rsidP="0012432B">
            <w:pPr>
              <w:pStyle w:val="Tabletext0"/>
            </w:pPr>
            <w:r w:rsidRPr="00380B40">
              <w:t>InterDigital Canada Ltée</w:t>
            </w:r>
          </w:p>
        </w:tc>
        <w:tc>
          <w:tcPr>
            <w:tcW w:w="2206" w:type="dxa"/>
          </w:tcPr>
          <w:p w14:paraId="10DE7E80" w14:textId="77777777" w:rsidR="0012432B" w:rsidRPr="00380B40" w:rsidRDefault="0012432B" w:rsidP="0012432B">
            <w:pPr>
              <w:pStyle w:val="Tabletext0"/>
            </w:pPr>
            <w:r w:rsidRPr="00380B40">
              <w:t>Vice-Chairman</w:t>
            </w:r>
          </w:p>
        </w:tc>
      </w:tr>
      <w:tr w:rsidR="0012432B" w:rsidRPr="00380B40" w14:paraId="74B2C888" w14:textId="77777777" w:rsidTr="00DF2C1C">
        <w:trPr>
          <w:jc w:val="center"/>
        </w:trPr>
        <w:tc>
          <w:tcPr>
            <w:tcW w:w="1059" w:type="dxa"/>
          </w:tcPr>
          <w:p w14:paraId="35FAC6F3" w14:textId="77777777" w:rsidR="0012432B" w:rsidRPr="00380B40" w:rsidRDefault="0012432B" w:rsidP="0012432B">
            <w:pPr>
              <w:pStyle w:val="Tabletext0"/>
              <w:jc w:val="left"/>
              <w:rPr>
                <w:b/>
                <w:bCs/>
              </w:rPr>
            </w:pPr>
            <w:r w:rsidRPr="00380B40">
              <w:rPr>
                <w:b/>
                <w:bCs/>
              </w:rPr>
              <w:t>TSAG</w:t>
            </w:r>
          </w:p>
        </w:tc>
        <w:tc>
          <w:tcPr>
            <w:tcW w:w="1789" w:type="dxa"/>
          </w:tcPr>
          <w:p w14:paraId="70AF218E" w14:textId="77777777" w:rsidR="0012432B" w:rsidRPr="00380B40" w:rsidRDefault="0012432B" w:rsidP="0012432B">
            <w:pPr>
              <w:pStyle w:val="Tabletext0"/>
            </w:pPr>
            <w:r w:rsidRPr="00380B40">
              <w:t>Mr Víctor Manuel</w:t>
            </w:r>
          </w:p>
        </w:tc>
        <w:tc>
          <w:tcPr>
            <w:tcW w:w="2111" w:type="dxa"/>
          </w:tcPr>
          <w:p w14:paraId="09A73728" w14:textId="77777777" w:rsidR="0012432B" w:rsidRPr="00380B40" w:rsidRDefault="0012432B" w:rsidP="0012432B">
            <w:pPr>
              <w:pStyle w:val="Tabletext0"/>
            </w:pPr>
            <w:r w:rsidRPr="00380B40">
              <w:t>MARTÍNEZ VANEGAS</w:t>
            </w:r>
          </w:p>
        </w:tc>
        <w:tc>
          <w:tcPr>
            <w:tcW w:w="2463" w:type="dxa"/>
          </w:tcPr>
          <w:p w14:paraId="6EFBA2AA" w14:textId="77777777" w:rsidR="0012432B" w:rsidRPr="00380B40" w:rsidRDefault="0012432B" w:rsidP="0012432B">
            <w:pPr>
              <w:pStyle w:val="Tabletext0"/>
            </w:pPr>
            <w:r w:rsidRPr="00380B40">
              <w:t>Mexico</w:t>
            </w:r>
          </w:p>
        </w:tc>
        <w:tc>
          <w:tcPr>
            <w:tcW w:w="2206" w:type="dxa"/>
          </w:tcPr>
          <w:p w14:paraId="469C493F" w14:textId="77777777" w:rsidR="0012432B" w:rsidRPr="00380B40" w:rsidRDefault="0012432B" w:rsidP="0012432B">
            <w:pPr>
              <w:pStyle w:val="Tabletext0"/>
            </w:pPr>
            <w:r w:rsidRPr="00380B40">
              <w:t>Vice-Chairman</w:t>
            </w:r>
          </w:p>
        </w:tc>
      </w:tr>
      <w:tr w:rsidR="0012432B" w:rsidRPr="00380B40" w14:paraId="632C1CDB" w14:textId="77777777" w:rsidTr="00DF2C1C">
        <w:trPr>
          <w:jc w:val="center"/>
        </w:trPr>
        <w:tc>
          <w:tcPr>
            <w:tcW w:w="1059" w:type="dxa"/>
          </w:tcPr>
          <w:p w14:paraId="09C3F0A9" w14:textId="77777777" w:rsidR="0012432B" w:rsidRPr="00380B40" w:rsidRDefault="0012432B" w:rsidP="0012432B">
            <w:pPr>
              <w:pStyle w:val="Tabletext0"/>
              <w:jc w:val="left"/>
              <w:rPr>
                <w:b/>
                <w:bCs/>
              </w:rPr>
            </w:pPr>
            <w:r w:rsidRPr="00380B40">
              <w:rPr>
                <w:b/>
                <w:bCs/>
              </w:rPr>
              <w:t>TSAG</w:t>
            </w:r>
          </w:p>
        </w:tc>
        <w:tc>
          <w:tcPr>
            <w:tcW w:w="1789" w:type="dxa"/>
          </w:tcPr>
          <w:p w14:paraId="3CF4428F" w14:textId="77777777" w:rsidR="0012432B" w:rsidRPr="00380B40" w:rsidRDefault="0012432B" w:rsidP="0012432B">
            <w:pPr>
              <w:pStyle w:val="Tabletext0"/>
            </w:pPr>
            <w:r w:rsidRPr="00380B40">
              <w:t>Mr Ulugbek</w:t>
            </w:r>
          </w:p>
        </w:tc>
        <w:tc>
          <w:tcPr>
            <w:tcW w:w="2111" w:type="dxa"/>
          </w:tcPr>
          <w:p w14:paraId="01AA4683" w14:textId="77777777" w:rsidR="0012432B" w:rsidRPr="00380B40" w:rsidRDefault="0012432B" w:rsidP="0012432B">
            <w:pPr>
              <w:pStyle w:val="Tabletext0"/>
            </w:pPr>
            <w:r w:rsidRPr="00380B40">
              <w:t>AZIMOV</w:t>
            </w:r>
          </w:p>
        </w:tc>
        <w:tc>
          <w:tcPr>
            <w:tcW w:w="2463" w:type="dxa"/>
          </w:tcPr>
          <w:p w14:paraId="7C5FCBE7" w14:textId="77777777" w:rsidR="0012432B" w:rsidRPr="00380B40" w:rsidRDefault="0012432B" w:rsidP="0012432B">
            <w:pPr>
              <w:pStyle w:val="Tabletext0"/>
            </w:pPr>
            <w:r w:rsidRPr="00380B40">
              <w:t>Republic of Uzbekistan</w:t>
            </w:r>
          </w:p>
        </w:tc>
        <w:tc>
          <w:tcPr>
            <w:tcW w:w="2206" w:type="dxa"/>
          </w:tcPr>
          <w:p w14:paraId="021E6598" w14:textId="77777777" w:rsidR="0012432B" w:rsidRPr="00380B40" w:rsidRDefault="0012432B" w:rsidP="0012432B">
            <w:pPr>
              <w:pStyle w:val="Tabletext0"/>
            </w:pPr>
            <w:r w:rsidRPr="00380B40">
              <w:t>Vice-Chairman</w:t>
            </w:r>
          </w:p>
        </w:tc>
      </w:tr>
    </w:tbl>
    <w:p w14:paraId="2E5BF6F2" w14:textId="77777777" w:rsidR="0012432B" w:rsidRPr="00380B40" w:rsidRDefault="0012432B" w:rsidP="0012432B">
      <w:pPr>
        <w:pStyle w:val="Headingb1"/>
      </w:pPr>
    </w:p>
    <w:p w14:paraId="191D7649" w14:textId="77777777" w:rsidR="0012432B" w:rsidRPr="00380B40" w:rsidRDefault="0012432B" w:rsidP="0012432B">
      <w:pPr>
        <w:pStyle w:val="Headingb1"/>
      </w:pPr>
      <w:r w:rsidRPr="00380B40">
        <w:t>Study Group 2 – Operational aspects of service provision and telecommunication management</w:t>
      </w:r>
    </w:p>
    <w:tbl>
      <w:tblPr>
        <w:tblStyle w:val="TableGrid1"/>
        <w:tblW w:w="5006" w:type="pct"/>
        <w:jc w:val="center"/>
        <w:tblLayout w:type="fixed"/>
        <w:tblLook w:val="04A0" w:firstRow="1" w:lastRow="0" w:firstColumn="1" w:lastColumn="0" w:noHBand="0" w:noVBand="1"/>
      </w:tblPr>
      <w:tblGrid>
        <w:gridCol w:w="1003"/>
        <w:gridCol w:w="1848"/>
        <w:gridCol w:w="2064"/>
        <w:gridCol w:w="2502"/>
        <w:gridCol w:w="2223"/>
      </w:tblGrid>
      <w:tr w:rsidR="0012432B" w:rsidRPr="00380B40" w14:paraId="3D910E75" w14:textId="77777777" w:rsidTr="00D316C7">
        <w:trPr>
          <w:jc w:val="center"/>
        </w:trPr>
        <w:tc>
          <w:tcPr>
            <w:tcW w:w="1003" w:type="dxa"/>
            <w:tcMar>
              <w:left w:w="57" w:type="dxa"/>
              <w:right w:w="57" w:type="dxa"/>
            </w:tcMar>
            <w:vAlign w:val="center"/>
          </w:tcPr>
          <w:p w14:paraId="1A4F963B" w14:textId="77777777" w:rsidR="0012432B" w:rsidRPr="00380B40" w:rsidRDefault="0012432B" w:rsidP="004E4CA9">
            <w:pPr>
              <w:pStyle w:val="Tableheadwhitecentred"/>
            </w:pPr>
            <w:r w:rsidRPr="00380B40">
              <w:br w:type="page"/>
              <w:t>Group</w:t>
            </w:r>
          </w:p>
        </w:tc>
        <w:tc>
          <w:tcPr>
            <w:tcW w:w="3912" w:type="dxa"/>
            <w:gridSpan w:val="2"/>
            <w:vAlign w:val="center"/>
          </w:tcPr>
          <w:p w14:paraId="7A430263" w14:textId="77777777" w:rsidR="0012432B" w:rsidRPr="00380B40" w:rsidRDefault="0012432B" w:rsidP="004E4CA9">
            <w:pPr>
              <w:pStyle w:val="Tableheadwhitecentred"/>
            </w:pPr>
            <w:r w:rsidRPr="00380B40">
              <w:t>Name</w:t>
            </w:r>
          </w:p>
        </w:tc>
        <w:tc>
          <w:tcPr>
            <w:tcW w:w="2502" w:type="dxa"/>
            <w:vAlign w:val="center"/>
          </w:tcPr>
          <w:p w14:paraId="77BF8F91" w14:textId="77777777" w:rsidR="0012432B" w:rsidRPr="00380B40" w:rsidRDefault="0012432B" w:rsidP="004E4CA9">
            <w:pPr>
              <w:pStyle w:val="Tableheadwhitecentred"/>
            </w:pPr>
            <w:r w:rsidRPr="00380B40">
              <w:t>Country/ Company</w:t>
            </w:r>
          </w:p>
        </w:tc>
        <w:tc>
          <w:tcPr>
            <w:tcW w:w="2223" w:type="dxa"/>
            <w:tcMar>
              <w:left w:w="57" w:type="dxa"/>
              <w:right w:w="57" w:type="dxa"/>
            </w:tcMar>
            <w:vAlign w:val="center"/>
          </w:tcPr>
          <w:p w14:paraId="0AF39468" w14:textId="77777777" w:rsidR="0012432B" w:rsidRPr="00380B40" w:rsidRDefault="0012432B" w:rsidP="004E4CA9">
            <w:pPr>
              <w:pStyle w:val="Tableheadwhite"/>
            </w:pPr>
          </w:p>
        </w:tc>
      </w:tr>
      <w:tr w:rsidR="0012432B" w:rsidRPr="00380B40" w14:paraId="1E6E3F70" w14:textId="77777777" w:rsidTr="00EC4D73">
        <w:trPr>
          <w:jc w:val="center"/>
        </w:trPr>
        <w:tc>
          <w:tcPr>
            <w:tcW w:w="1003" w:type="dxa"/>
            <w:shd w:val="clear" w:color="auto" w:fill="auto"/>
          </w:tcPr>
          <w:p w14:paraId="00E46C95" w14:textId="77777777" w:rsidR="0012432B" w:rsidRPr="00380B40" w:rsidRDefault="0012432B" w:rsidP="0012432B">
            <w:pPr>
              <w:pStyle w:val="Tabletext0"/>
              <w:jc w:val="left"/>
              <w:rPr>
                <w:b/>
                <w:bCs/>
              </w:rPr>
            </w:pPr>
            <w:r w:rsidRPr="00380B40">
              <w:rPr>
                <w:b/>
                <w:bCs/>
              </w:rPr>
              <w:t>SG2</w:t>
            </w:r>
          </w:p>
        </w:tc>
        <w:tc>
          <w:tcPr>
            <w:tcW w:w="1848" w:type="dxa"/>
            <w:shd w:val="clear" w:color="auto" w:fill="auto"/>
          </w:tcPr>
          <w:p w14:paraId="56264DF2" w14:textId="77777777" w:rsidR="0012432B" w:rsidRPr="00380B40" w:rsidRDefault="0012432B" w:rsidP="0012432B">
            <w:pPr>
              <w:pStyle w:val="Tabletext0"/>
              <w:jc w:val="left"/>
              <w:rPr>
                <w:b/>
                <w:bCs/>
              </w:rPr>
            </w:pPr>
            <w:r w:rsidRPr="00380B40">
              <w:rPr>
                <w:b/>
                <w:bCs/>
              </w:rPr>
              <w:t>Mr Philip Mark</w:t>
            </w:r>
          </w:p>
        </w:tc>
        <w:tc>
          <w:tcPr>
            <w:tcW w:w="2064" w:type="dxa"/>
            <w:shd w:val="clear" w:color="auto" w:fill="auto"/>
          </w:tcPr>
          <w:p w14:paraId="16891123" w14:textId="77777777" w:rsidR="0012432B" w:rsidRPr="00380B40" w:rsidRDefault="0012432B" w:rsidP="0012432B">
            <w:pPr>
              <w:pStyle w:val="Tabletext0"/>
              <w:jc w:val="left"/>
              <w:rPr>
                <w:b/>
                <w:bCs/>
              </w:rPr>
            </w:pPr>
            <w:r w:rsidRPr="00380B40">
              <w:rPr>
                <w:b/>
                <w:bCs/>
              </w:rPr>
              <w:t>RUSHTON</w:t>
            </w:r>
          </w:p>
        </w:tc>
        <w:tc>
          <w:tcPr>
            <w:tcW w:w="2502" w:type="dxa"/>
            <w:shd w:val="clear" w:color="auto" w:fill="auto"/>
          </w:tcPr>
          <w:p w14:paraId="236330F3" w14:textId="77777777" w:rsidR="0012432B" w:rsidRPr="00380B40" w:rsidRDefault="0012432B" w:rsidP="0012432B">
            <w:pPr>
              <w:pStyle w:val="Tabletext0"/>
              <w:jc w:val="left"/>
              <w:rPr>
                <w:b/>
                <w:bCs/>
              </w:rPr>
            </w:pPr>
            <w:r w:rsidRPr="00380B40">
              <w:rPr>
                <w:b/>
                <w:bCs/>
              </w:rPr>
              <w:t>United Kingdom</w:t>
            </w:r>
          </w:p>
        </w:tc>
        <w:tc>
          <w:tcPr>
            <w:tcW w:w="2223" w:type="dxa"/>
            <w:shd w:val="clear" w:color="auto" w:fill="auto"/>
          </w:tcPr>
          <w:p w14:paraId="2F59ADD3" w14:textId="77777777" w:rsidR="0012432B" w:rsidRPr="00380B40" w:rsidRDefault="0012432B" w:rsidP="0012432B">
            <w:pPr>
              <w:pStyle w:val="Tabletext0"/>
              <w:jc w:val="left"/>
              <w:rPr>
                <w:b/>
                <w:bCs/>
              </w:rPr>
            </w:pPr>
            <w:r w:rsidRPr="00380B40">
              <w:rPr>
                <w:b/>
                <w:bCs/>
              </w:rPr>
              <w:t>Chairman</w:t>
            </w:r>
          </w:p>
        </w:tc>
      </w:tr>
      <w:tr w:rsidR="0012432B" w:rsidRPr="00380B40" w14:paraId="26BC7854" w14:textId="77777777" w:rsidTr="00D316C7">
        <w:trPr>
          <w:jc w:val="center"/>
        </w:trPr>
        <w:tc>
          <w:tcPr>
            <w:tcW w:w="1003" w:type="dxa"/>
            <w:shd w:val="clear" w:color="auto" w:fill="auto"/>
          </w:tcPr>
          <w:p w14:paraId="06845F9E" w14:textId="77777777" w:rsidR="0012432B" w:rsidRPr="00380B40" w:rsidRDefault="0012432B" w:rsidP="0012432B">
            <w:pPr>
              <w:pStyle w:val="Tabletext0"/>
              <w:jc w:val="left"/>
              <w:rPr>
                <w:b/>
                <w:bCs/>
              </w:rPr>
            </w:pPr>
            <w:r w:rsidRPr="00380B40">
              <w:rPr>
                <w:b/>
                <w:bCs/>
              </w:rPr>
              <w:t>SG2</w:t>
            </w:r>
          </w:p>
        </w:tc>
        <w:tc>
          <w:tcPr>
            <w:tcW w:w="1848" w:type="dxa"/>
            <w:shd w:val="clear" w:color="auto" w:fill="auto"/>
          </w:tcPr>
          <w:p w14:paraId="1F54DF28" w14:textId="77777777" w:rsidR="0012432B" w:rsidRPr="00380B40" w:rsidRDefault="0012432B" w:rsidP="0012432B">
            <w:pPr>
              <w:pStyle w:val="Tabletext0"/>
            </w:pPr>
            <w:r w:rsidRPr="00380B40">
              <w:t>Mr Vijay Kumar</w:t>
            </w:r>
          </w:p>
        </w:tc>
        <w:tc>
          <w:tcPr>
            <w:tcW w:w="2064" w:type="dxa"/>
            <w:shd w:val="clear" w:color="auto" w:fill="auto"/>
          </w:tcPr>
          <w:p w14:paraId="1601C232" w14:textId="77777777" w:rsidR="0012432B" w:rsidRPr="00380B40" w:rsidRDefault="0012432B" w:rsidP="0012432B">
            <w:pPr>
              <w:pStyle w:val="Tabletext0"/>
            </w:pPr>
            <w:r w:rsidRPr="00380B40">
              <w:t>ROY</w:t>
            </w:r>
          </w:p>
        </w:tc>
        <w:tc>
          <w:tcPr>
            <w:tcW w:w="2502" w:type="dxa"/>
            <w:shd w:val="clear" w:color="auto" w:fill="auto"/>
          </w:tcPr>
          <w:p w14:paraId="5C83C8A3" w14:textId="77777777" w:rsidR="0012432B" w:rsidRPr="00380B40" w:rsidRDefault="0012432B" w:rsidP="0012432B">
            <w:pPr>
              <w:pStyle w:val="Tabletext0"/>
            </w:pPr>
            <w:r w:rsidRPr="00380B40">
              <w:t>India</w:t>
            </w:r>
          </w:p>
        </w:tc>
        <w:tc>
          <w:tcPr>
            <w:tcW w:w="2223" w:type="dxa"/>
            <w:shd w:val="clear" w:color="auto" w:fill="auto"/>
          </w:tcPr>
          <w:p w14:paraId="46B4F233" w14:textId="77777777" w:rsidR="0012432B" w:rsidRPr="00380B40" w:rsidRDefault="0012432B" w:rsidP="0012432B">
            <w:pPr>
              <w:pStyle w:val="Tabletext0"/>
            </w:pPr>
            <w:r w:rsidRPr="00380B40">
              <w:t>Vice-Chairman</w:t>
            </w:r>
          </w:p>
        </w:tc>
      </w:tr>
      <w:tr w:rsidR="0012432B" w:rsidRPr="00380B40" w14:paraId="121F7A54" w14:textId="77777777" w:rsidTr="00D316C7">
        <w:trPr>
          <w:jc w:val="center"/>
        </w:trPr>
        <w:tc>
          <w:tcPr>
            <w:tcW w:w="1003" w:type="dxa"/>
          </w:tcPr>
          <w:p w14:paraId="2760F447" w14:textId="77777777" w:rsidR="0012432B" w:rsidRPr="00380B40" w:rsidRDefault="0012432B" w:rsidP="0012432B">
            <w:pPr>
              <w:pStyle w:val="Tabletext0"/>
              <w:jc w:val="left"/>
              <w:rPr>
                <w:b/>
                <w:bCs/>
              </w:rPr>
            </w:pPr>
            <w:r w:rsidRPr="00380B40">
              <w:rPr>
                <w:b/>
                <w:bCs/>
              </w:rPr>
              <w:t>SG2</w:t>
            </w:r>
          </w:p>
        </w:tc>
        <w:tc>
          <w:tcPr>
            <w:tcW w:w="1848" w:type="dxa"/>
          </w:tcPr>
          <w:p w14:paraId="4D87FF64" w14:textId="77777777" w:rsidR="0012432B" w:rsidRPr="00380B40" w:rsidRDefault="0012432B" w:rsidP="0012432B">
            <w:pPr>
              <w:pStyle w:val="Tabletext0"/>
            </w:pPr>
            <w:r w:rsidRPr="00380B40">
              <w:t>Ms Yanchuan</w:t>
            </w:r>
          </w:p>
        </w:tc>
        <w:tc>
          <w:tcPr>
            <w:tcW w:w="2064" w:type="dxa"/>
          </w:tcPr>
          <w:p w14:paraId="755D709F" w14:textId="77777777" w:rsidR="0012432B" w:rsidRPr="00380B40" w:rsidRDefault="0012432B" w:rsidP="0012432B">
            <w:pPr>
              <w:pStyle w:val="Tabletext0"/>
            </w:pPr>
            <w:r w:rsidRPr="00380B40">
              <w:t>WANG</w:t>
            </w:r>
          </w:p>
        </w:tc>
        <w:tc>
          <w:tcPr>
            <w:tcW w:w="2502" w:type="dxa"/>
          </w:tcPr>
          <w:p w14:paraId="1CB6870A" w14:textId="77777777" w:rsidR="0012432B" w:rsidRPr="00380B40" w:rsidRDefault="0012432B" w:rsidP="0012432B">
            <w:pPr>
              <w:pStyle w:val="Tabletext0"/>
            </w:pPr>
            <w:r w:rsidRPr="00380B40">
              <w:t>China (P.R.)</w:t>
            </w:r>
          </w:p>
        </w:tc>
        <w:tc>
          <w:tcPr>
            <w:tcW w:w="2223" w:type="dxa"/>
          </w:tcPr>
          <w:p w14:paraId="2167471A" w14:textId="77777777" w:rsidR="0012432B" w:rsidRPr="00380B40" w:rsidRDefault="0012432B" w:rsidP="0012432B">
            <w:pPr>
              <w:pStyle w:val="Tabletext0"/>
            </w:pPr>
            <w:r w:rsidRPr="00380B40">
              <w:t>Vice-Chairman</w:t>
            </w:r>
          </w:p>
        </w:tc>
      </w:tr>
      <w:tr w:rsidR="0012432B" w:rsidRPr="00380B40" w14:paraId="2CF1B838" w14:textId="77777777" w:rsidTr="00D316C7">
        <w:trPr>
          <w:jc w:val="center"/>
        </w:trPr>
        <w:tc>
          <w:tcPr>
            <w:tcW w:w="1003" w:type="dxa"/>
          </w:tcPr>
          <w:p w14:paraId="5CA49FBD" w14:textId="77777777" w:rsidR="0012432B" w:rsidRPr="00380B40" w:rsidRDefault="0012432B" w:rsidP="0012432B">
            <w:pPr>
              <w:pStyle w:val="Tabletext0"/>
              <w:jc w:val="left"/>
              <w:rPr>
                <w:b/>
                <w:bCs/>
              </w:rPr>
            </w:pPr>
            <w:r w:rsidRPr="00380B40">
              <w:rPr>
                <w:b/>
                <w:bCs/>
              </w:rPr>
              <w:t>SG2</w:t>
            </w:r>
          </w:p>
        </w:tc>
        <w:tc>
          <w:tcPr>
            <w:tcW w:w="1848" w:type="dxa"/>
          </w:tcPr>
          <w:p w14:paraId="3290EA7B" w14:textId="77777777" w:rsidR="0012432B" w:rsidRPr="00380B40" w:rsidRDefault="0012432B" w:rsidP="0012432B">
            <w:pPr>
              <w:pStyle w:val="Tabletext0"/>
            </w:pPr>
            <w:r w:rsidRPr="00380B40">
              <w:t>Mr In Seop</w:t>
            </w:r>
          </w:p>
        </w:tc>
        <w:tc>
          <w:tcPr>
            <w:tcW w:w="2064" w:type="dxa"/>
          </w:tcPr>
          <w:p w14:paraId="7C803BD5" w14:textId="77777777" w:rsidR="0012432B" w:rsidRPr="00380B40" w:rsidRDefault="0012432B" w:rsidP="0012432B">
            <w:pPr>
              <w:pStyle w:val="Tabletext0"/>
            </w:pPr>
            <w:r w:rsidRPr="00380B40">
              <w:t>LEE</w:t>
            </w:r>
          </w:p>
        </w:tc>
        <w:tc>
          <w:tcPr>
            <w:tcW w:w="2502" w:type="dxa"/>
          </w:tcPr>
          <w:p w14:paraId="5E8461B3" w14:textId="77777777" w:rsidR="0012432B" w:rsidRPr="00380B40" w:rsidRDefault="0012432B" w:rsidP="0012432B">
            <w:pPr>
              <w:pStyle w:val="Tabletext0"/>
            </w:pPr>
            <w:r w:rsidRPr="00380B40">
              <w:t>Korea (Rep. of)</w:t>
            </w:r>
          </w:p>
        </w:tc>
        <w:tc>
          <w:tcPr>
            <w:tcW w:w="2223" w:type="dxa"/>
          </w:tcPr>
          <w:p w14:paraId="17A4EBAB" w14:textId="77777777" w:rsidR="0012432B" w:rsidRPr="00380B40" w:rsidRDefault="0012432B" w:rsidP="0012432B">
            <w:pPr>
              <w:pStyle w:val="Tabletext0"/>
            </w:pPr>
            <w:r w:rsidRPr="00380B40">
              <w:t>Vice-Chairman</w:t>
            </w:r>
          </w:p>
        </w:tc>
      </w:tr>
      <w:tr w:rsidR="0012432B" w:rsidRPr="00380B40" w14:paraId="351B14D9" w14:textId="77777777" w:rsidTr="00D316C7">
        <w:trPr>
          <w:jc w:val="center"/>
        </w:trPr>
        <w:tc>
          <w:tcPr>
            <w:tcW w:w="1003" w:type="dxa"/>
          </w:tcPr>
          <w:p w14:paraId="5034FF8E" w14:textId="77777777" w:rsidR="0012432B" w:rsidRPr="00380B40" w:rsidRDefault="0012432B" w:rsidP="0012432B">
            <w:pPr>
              <w:pStyle w:val="Tabletext0"/>
              <w:jc w:val="left"/>
              <w:rPr>
                <w:b/>
                <w:bCs/>
              </w:rPr>
            </w:pPr>
            <w:r w:rsidRPr="00380B40">
              <w:rPr>
                <w:b/>
                <w:bCs/>
              </w:rPr>
              <w:t>SG2</w:t>
            </w:r>
          </w:p>
        </w:tc>
        <w:tc>
          <w:tcPr>
            <w:tcW w:w="1848" w:type="dxa"/>
          </w:tcPr>
          <w:p w14:paraId="1C3CC1CE" w14:textId="77777777" w:rsidR="0012432B" w:rsidRPr="00380B40" w:rsidRDefault="0012432B" w:rsidP="0012432B">
            <w:pPr>
              <w:pStyle w:val="Tabletext0"/>
            </w:pPr>
            <w:r w:rsidRPr="00380B40">
              <w:t>Mr Hossam</w:t>
            </w:r>
          </w:p>
        </w:tc>
        <w:tc>
          <w:tcPr>
            <w:tcW w:w="2064" w:type="dxa"/>
          </w:tcPr>
          <w:p w14:paraId="61E3BFCB" w14:textId="77777777" w:rsidR="0012432B" w:rsidRPr="00380B40" w:rsidRDefault="0012432B" w:rsidP="00563E83">
            <w:pPr>
              <w:pStyle w:val="Tabletext0"/>
              <w:jc w:val="left"/>
            </w:pPr>
            <w:r w:rsidRPr="00380B40">
              <w:t>ABD EL MAOULA SAKER</w:t>
            </w:r>
          </w:p>
        </w:tc>
        <w:tc>
          <w:tcPr>
            <w:tcW w:w="2502" w:type="dxa"/>
          </w:tcPr>
          <w:p w14:paraId="7941C548" w14:textId="77777777" w:rsidR="0012432B" w:rsidRPr="00380B40" w:rsidRDefault="0012432B" w:rsidP="0012432B">
            <w:pPr>
              <w:pStyle w:val="Tabletext0"/>
            </w:pPr>
            <w:r w:rsidRPr="00380B40">
              <w:t>Egypt</w:t>
            </w:r>
          </w:p>
        </w:tc>
        <w:tc>
          <w:tcPr>
            <w:tcW w:w="2223" w:type="dxa"/>
          </w:tcPr>
          <w:p w14:paraId="6B3A42A1" w14:textId="77777777" w:rsidR="0012432B" w:rsidRPr="00380B40" w:rsidRDefault="0012432B" w:rsidP="0012432B">
            <w:pPr>
              <w:pStyle w:val="Tabletext0"/>
            </w:pPr>
            <w:r w:rsidRPr="00380B40">
              <w:t>Vice-Chairman</w:t>
            </w:r>
          </w:p>
        </w:tc>
      </w:tr>
      <w:tr w:rsidR="0012432B" w:rsidRPr="00380B40" w14:paraId="13312A64" w14:textId="77777777" w:rsidTr="00D316C7">
        <w:trPr>
          <w:jc w:val="center"/>
        </w:trPr>
        <w:tc>
          <w:tcPr>
            <w:tcW w:w="1003" w:type="dxa"/>
          </w:tcPr>
          <w:p w14:paraId="6AFB9422" w14:textId="77777777" w:rsidR="0012432B" w:rsidRPr="00380B40" w:rsidRDefault="0012432B" w:rsidP="0012432B">
            <w:pPr>
              <w:pStyle w:val="Tabletext0"/>
              <w:jc w:val="left"/>
              <w:rPr>
                <w:b/>
                <w:bCs/>
              </w:rPr>
            </w:pPr>
            <w:r w:rsidRPr="00380B40">
              <w:rPr>
                <w:b/>
                <w:bCs/>
              </w:rPr>
              <w:t>SG2</w:t>
            </w:r>
          </w:p>
        </w:tc>
        <w:tc>
          <w:tcPr>
            <w:tcW w:w="1848" w:type="dxa"/>
          </w:tcPr>
          <w:p w14:paraId="506ECB3F" w14:textId="77777777" w:rsidR="0012432B" w:rsidRPr="00380B40" w:rsidRDefault="0012432B" w:rsidP="0012432B">
            <w:pPr>
              <w:pStyle w:val="Tabletext0"/>
            </w:pPr>
            <w:r w:rsidRPr="00380B40">
              <w:t>Mr Rashid</w:t>
            </w:r>
          </w:p>
        </w:tc>
        <w:tc>
          <w:tcPr>
            <w:tcW w:w="2064" w:type="dxa"/>
          </w:tcPr>
          <w:p w14:paraId="45780322" w14:textId="77777777" w:rsidR="0012432B" w:rsidRPr="00380B40" w:rsidRDefault="0012432B" w:rsidP="0012432B">
            <w:pPr>
              <w:pStyle w:val="Tabletext0"/>
            </w:pPr>
            <w:r w:rsidRPr="00380B40">
              <w:t>AL MAMMARI</w:t>
            </w:r>
          </w:p>
        </w:tc>
        <w:tc>
          <w:tcPr>
            <w:tcW w:w="2502" w:type="dxa"/>
          </w:tcPr>
          <w:p w14:paraId="281D01A0" w14:textId="77777777" w:rsidR="0012432B" w:rsidRPr="00380B40" w:rsidRDefault="0012432B" w:rsidP="0012432B">
            <w:pPr>
              <w:pStyle w:val="Tabletext0"/>
            </w:pPr>
            <w:r w:rsidRPr="00380B40">
              <w:t>United Arab Emirates</w:t>
            </w:r>
          </w:p>
        </w:tc>
        <w:tc>
          <w:tcPr>
            <w:tcW w:w="2223" w:type="dxa"/>
          </w:tcPr>
          <w:p w14:paraId="7BD41B88" w14:textId="77777777" w:rsidR="0012432B" w:rsidRPr="00380B40" w:rsidRDefault="0012432B" w:rsidP="0012432B">
            <w:pPr>
              <w:pStyle w:val="Tabletext0"/>
            </w:pPr>
            <w:r w:rsidRPr="00380B40">
              <w:t>Vice-Chairman</w:t>
            </w:r>
          </w:p>
        </w:tc>
      </w:tr>
      <w:tr w:rsidR="0012432B" w:rsidRPr="00380B40" w14:paraId="2C713ABD" w14:textId="77777777" w:rsidTr="00D316C7">
        <w:trPr>
          <w:jc w:val="center"/>
        </w:trPr>
        <w:tc>
          <w:tcPr>
            <w:tcW w:w="1003" w:type="dxa"/>
          </w:tcPr>
          <w:p w14:paraId="60340D13" w14:textId="77777777" w:rsidR="0012432B" w:rsidRPr="00380B40" w:rsidRDefault="0012432B" w:rsidP="0012432B">
            <w:pPr>
              <w:pStyle w:val="Tabletext0"/>
              <w:jc w:val="left"/>
              <w:rPr>
                <w:b/>
                <w:bCs/>
              </w:rPr>
            </w:pPr>
            <w:r w:rsidRPr="00380B40">
              <w:rPr>
                <w:b/>
                <w:bCs/>
              </w:rPr>
              <w:t>SG2</w:t>
            </w:r>
          </w:p>
        </w:tc>
        <w:tc>
          <w:tcPr>
            <w:tcW w:w="1848" w:type="dxa"/>
          </w:tcPr>
          <w:p w14:paraId="47E68E6F" w14:textId="77777777" w:rsidR="0012432B" w:rsidRPr="00380B40" w:rsidRDefault="0012432B" w:rsidP="0012432B">
            <w:pPr>
              <w:pStyle w:val="Tabletext0"/>
            </w:pPr>
            <w:r w:rsidRPr="00380B40">
              <w:t>Mr Yaw Boamah</w:t>
            </w:r>
          </w:p>
        </w:tc>
        <w:tc>
          <w:tcPr>
            <w:tcW w:w="2064" w:type="dxa"/>
          </w:tcPr>
          <w:p w14:paraId="72F30DD1" w14:textId="77777777" w:rsidR="0012432B" w:rsidRPr="00380B40" w:rsidRDefault="0012432B" w:rsidP="0012432B">
            <w:pPr>
              <w:pStyle w:val="Tabletext0"/>
            </w:pPr>
            <w:r w:rsidRPr="00380B40">
              <w:t>BAAFI</w:t>
            </w:r>
          </w:p>
        </w:tc>
        <w:tc>
          <w:tcPr>
            <w:tcW w:w="2502" w:type="dxa"/>
          </w:tcPr>
          <w:p w14:paraId="7165EE6E" w14:textId="77777777" w:rsidR="0012432B" w:rsidRPr="00380B40" w:rsidRDefault="0012432B" w:rsidP="0012432B">
            <w:pPr>
              <w:pStyle w:val="Tabletext0"/>
            </w:pPr>
            <w:r w:rsidRPr="00380B40">
              <w:t>Ghana</w:t>
            </w:r>
          </w:p>
        </w:tc>
        <w:tc>
          <w:tcPr>
            <w:tcW w:w="2223" w:type="dxa"/>
          </w:tcPr>
          <w:p w14:paraId="6E78D430" w14:textId="77777777" w:rsidR="0012432B" w:rsidRPr="00380B40" w:rsidRDefault="0012432B" w:rsidP="0012432B">
            <w:pPr>
              <w:pStyle w:val="Tabletext0"/>
            </w:pPr>
            <w:r w:rsidRPr="00380B40">
              <w:t>Vice-Chairman</w:t>
            </w:r>
          </w:p>
        </w:tc>
      </w:tr>
      <w:tr w:rsidR="0012432B" w:rsidRPr="00380B40" w14:paraId="0693D2AD" w14:textId="77777777" w:rsidTr="00D316C7">
        <w:trPr>
          <w:jc w:val="center"/>
        </w:trPr>
        <w:tc>
          <w:tcPr>
            <w:tcW w:w="1003" w:type="dxa"/>
          </w:tcPr>
          <w:p w14:paraId="0EE71D89" w14:textId="77777777" w:rsidR="0012432B" w:rsidRPr="00380B40" w:rsidRDefault="0012432B" w:rsidP="0012432B">
            <w:pPr>
              <w:pStyle w:val="Tabletext0"/>
              <w:jc w:val="left"/>
              <w:rPr>
                <w:b/>
                <w:bCs/>
              </w:rPr>
            </w:pPr>
            <w:r w:rsidRPr="00380B40">
              <w:rPr>
                <w:b/>
                <w:bCs/>
              </w:rPr>
              <w:t>SG2</w:t>
            </w:r>
          </w:p>
        </w:tc>
        <w:tc>
          <w:tcPr>
            <w:tcW w:w="1848" w:type="dxa"/>
          </w:tcPr>
          <w:p w14:paraId="5364BF13" w14:textId="77777777" w:rsidR="0012432B" w:rsidRPr="00380B40" w:rsidRDefault="0012432B" w:rsidP="0012432B">
            <w:pPr>
              <w:pStyle w:val="Tabletext0"/>
            </w:pPr>
            <w:r w:rsidRPr="00380B40">
              <w:t>Mr Ramazan</w:t>
            </w:r>
          </w:p>
        </w:tc>
        <w:tc>
          <w:tcPr>
            <w:tcW w:w="2064" w:type="dxa"/>
          </w:tcPr>
          <w:p w14:paraId="5B031F7B" w14:textId="77777777" w:rsidR="0012432B" w:rsidRPr="00380B40" w:rsidRDefault="0012432B" w:rsidP="0012432B">
            <w:pPr>
              <w:pStyle w:val="Tabletext0"/>
            </w:pPr>
            <w:r w:rsidRPr="00380B40">
              <w:t>YILMAZ</w:t>
            </w:r>
          </w:p>
        </w:tc>
        <w:tc>
          <w:tcPr>
            <w:tcW w:w="2502" w:type="dxa"/>
          </w:tcPr>
          <w:p w14:paraId="21DB9AE3" w14:textId="77777777" w:rsidR="0012432B" w:rsidRPr="00380B40" w:rsidRDefault="0012432B" w:rsidP="0012432B">
            <w:pPr>
              <w:pStyle w:val="Tabletext0"/>
            </w:pPr>
            <w:r w:rsidRPr="00380B40">
              <w:t>Turkey</w:t>
            </w:r>
          </w:p>
        </w:tc>
        <w:tc>
          <w:tcPr>
            <w:tcW w:w="2223" w:type="dxa"/>
          </w:tcPr>
          <w:p w14:paraId="00D1AAD8" w14:textId="77777777" w:rsidR="0012432B" w:rsidRPr="00380B40" w:rsidRDefault="0012432B" w:rsidP="0012432B">
            <w:pPr>
              <w:pStyle w:val="Tabletext0"/>
            </w:pPr>
            <w:r w:rsidRPr="00380B40">
              <w:t>Vice-Chairman</w:t>
            </w:r>
          </w:p>
        </w:tc>
      </w:tr>
      <w:tr w:rsidR="0012432B" w:rsidRPr="00380B40" w14:paraId="06DF8700" w14:textId="77777777" w:rsidTr="00D316C7">
        <w:trPr>
          <w:jc w:val="center"/>
        </w:trPr>
        <w:tc>
          <w:tcPr>
            <w:tcW w:w="1003" w:type="dxa"/>
          </w:tcPr>
          <w:p w14:paraId="7005DEC8" w14:textId="77777777" w:rsidR="0012432B" w:rsidRPr="00380B40" w:rsidRDefault="0012432B" w:rsidP="0012432B">
            <w:pPr>
              <w:pStyle w:val="Tabletext0"/>
              <w:jc w:val="left"/>
              <w:rPr>
                <w:b/>
                <w:bCs/>
              </w:rPr>
            </w:pPr>
            <w:r w:rsidRPr="00380B40">
              <w:rPr>
                <w:b/>
                <w:bCs/>
              </w:rPr>
              <w:t>SG2</w:t>
            </w:r>
          </w:p>
        </w:tc>
        <w:tc>
          <w:tcPr>
            <w:tcW w:w="1848" w:type="dxa"/>
          </w:tcPr>
          <w:p w14:paraId="2C40A33D" w14:textId="77777777" w:rsidR="0012432B" w:rsidRPr="00380B40" w:rsidRDefault="0012432B" w:rsidP="0012432B">
            <w:pPr>
              <w:pStyle w:val="Tabletext0"/>
            </w:pPr>
            <w:r w:rsidRPr="00380B40">
              <w:t>Mr Philippe</w:t>
            </w:r>
          </w:p>
        </w:tc>
        <w:tc>
          <w:tcPr>
            <w:tcW w:w="2064" w:type="dxa"/>
          </w:tcPr>
          <w:p w14:paraId="46C32A0F" w14:textId="77777777" w:rsidR="0012432B" w:rsidRPr="00380B40" w:rsidRDefault="0012432B" w:rsidP="0012432B">
            <w:pPr>
              <w:pStyle w:val="Tabletext0"/>
            </w:pPr>
            <w:r w:rsidRPr="00380B40">
              <w:t>FOUQUART</w:t>
            </w:r>
          </w:p>
        </w:tc>
        <w:tc>
          <w:tcPr>
            <w:tcW w:w="2502" w:type="dxa"/>
          </w:tcPr>
          <w:p w14:paraId="4831658E" w14:textId="77777777" w:rsidR="0012432B" w:rsidRPr="00380B40" w:rsidRDefault="0012432B" w:rsidP="0012432B">
            <w:pPr>
              <w:pStyle w:val="Tabletext0"/>
            </w:pPr>
            <w:r w:rsidRPr="00380B40">
              <w:t>France</w:t>
            </w:r>
          </w:p>
        </w:tc>
        <w:tc>
          <w:tcPr>
            <w:tcW w:w="2223" w:type="dxa"/>
          </w:tcPr>
          <w:p w14:paraId="2A11C5D7" w14:textId="77777777" w:rsidR="0012432B" w:rsidRPr="00380B40" w:rsidRDefault="0012432B" w:rsidP="0012432B">
            <w:pPr>
              <w:pStyle w:val="Tabletext0"/>
            </w:pPr>
            <w:r w:rsidRPr="00380B40">
              <w:t>Vice-Chairman</w:t>
            </w:r>
          </w:p>
        </w:tc>
      </w:tr>
      <w:tr w:rsidR="0012432B" w:rsidRPr="00380B40" w14:paraId="24D30229" w14:textId="77777777" w:rsidTr="00D316C7">
        <w:trPr>
          <w:jc w:val="center"/>
        </w:trPr>
        <w:tc>
          <w:tcPr>
            <w:tcW w:w="1003" w:type="dxa"/>
          </w:tcPr>
          <w:p w14:paraId="484ABFD3" w14:textId="77777777" w:rsidR="0012432B" w:rsidRPr="00380B40" w:rsidRDefault="0012432B" w:rsidP="0012432B">
            <w:pPr>
              <w:pStyle w:val="Tabletext0"/>
              <w:jc w:val="left"/>
              <w:rPr>
                <w:b/>
                <w:bCs/>
              </w:rPr>
            </w:pPr>
            <w:r w:rsidRPr="00380B40">
              <w:rPr>
                <w:b/>
                <w:bCs/>
              </w:rPr>
              <w:t>SG2</w:t>
            </w:r>
          </w:p>
        </w:tc>
        <w:tc>
          <w:tcPr>
            <w:tcW w:w="1848" w:type="dxa"/>
          </w:tcPr>
          <w:p w14:paraId="76ADDDA9" w14:textId="77777777" w:rsidR="0012432B" w:rsidRPr="00380B40" w:rsidRDefault="0012432B" w:rsidP="0012432B">
            <w:pPr>
              <w:pStyle w:val="Tabletext0"/>
            </w:pPr>
            <w:r w:rsidRPr="00380B40">
              <w:t>Mr Fernando</w:t>
            </w:r>
          </w:p>
        </w:tc>
        <w:tc>
          <w:tcPr>
            <w:tcW w:w="2064" w:type="dxa"/>
          </w:tcPr>
          <w:p w14:paraId="071D9EB3" w14:textId="77777777" w:rsidR="0012432B" w:rsidRPr="00380B40" w:rsidRDefault="0012432B" w:rsidP="0012432B">
            <w:pPr>
              <w:pStyle w:val="Tabletext0"/>
            </w:pPr>
            <w:r w:rsidRPr="00380B40">
              <w:t>HERNÁNDEZ Sánchez</w:t>
            </w:r>
          </w:p>
        </w:tc>
        <w:tc>
          <w:tcPr>
            <w:tcW w:w="2502" w:type="dxa"/>
          </w:tcPr>
          <w:p w14:paraId="165DE7B6" w14:textId="77777777" w:rsidR="0012432B" w:rsidRPr="00380B40" w:rsidRDefault="0012432B" w:rsidP="0012432B">
            <w:pPr>
              <w:pStyle w:val="Tabletext0"/>
            </w:pPr>
            <w:r w:rsidRPr="00380B40">
              <w:t>Uruguay</w:t>
            </w:r>
          </w:p>
        </w:tc>
        <w:tc>
          <w:tcPr>
            <w:tcW w:w="2223" w:type="dxa"/>
          </w:tcPr>
          <w:p w14:paraId="2B8EEAD0" w14:textId="77777777" w:rsidR="0012432B" w:rsidRPr="00380B40" w:rsidRDefault="0012432B" w:rsidP="0012432B">
            <w:pPr>
              <w:pStyle w:val="Tabletext0"/>
            </w:pPr>
            <w:r w:rsidRPr="00380B40">
              <w:t>Vice-Chairman</w:t>
            </w:r>
          </w:p>
        </w:tc>
      </w:tr>
    </w:tbl>
    <w:p w14:paraId="4E069524" w14:textId="77777777" w:rsidR="0012432B" w:rsidRPr="00380B40" w:rsidRDefault="0012432B" w:rsidP="0012432B">
      <w:pPr>
        <w:rPr>
          <w:b/>
          <w:bCs/>
          <w:lang w:val="en-GB"/>
        </w:rPr>
      </w:pPr>
      <w:r w:rsidRPr="00380B40">
        <w:rPr>
          <w:b/>
          <w:bCs/>
          <w:lang w:val="en-GB"/>
        </w:rPr>
        <w:br w:type="page"/>
      </w:r>
    </w:p>
    <w:p w14:paraId="6D947365" w14:textId="77777777" w:rsidR="0012432B" w:rsidRPr="00380B40" w:rsidRDefault="0012432B" w:rsidP="0012432B">
      <w:pPr>
        <w:pStyle w:val="Headingb1"/>
      </w:pPr>
      <w:r w:rsidRPr="00380B40">
        <w:t>Study Group 3 – Tariff and accounting principles and international telecommunication/ICT economic and policy issues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1985"/>
        <w:gridCol w:w="2827"/>
        <w:gridCol w:w="1844"/>
      </w:tblGrid>
      <w:tr w:rsidR="0012432B" w:rsidRPr="00380B40" w14:paraId="1F9E5389" w14:textId="77777777" w:rsidTr="00DF2C1C">
        <w:trPr>
          <w:jc w:val="center"/>
        </w:trPr>
        <w:tc>
          <w:tcPr>
            <w:tcW w:w="1087" w:type="dxa"/>
            <w:shd w:val="clear" w:color="auto" w:fill="auto"/>
            <w:vAlign w:val="center"/>
          </w:tcPr>
          <w:p w14:paraId="731BEA6A" w14:textId="77777777" w:rsidR="0012432B" w:rsidRPr="00380B40" w:rsidRDefault="0012432B" w:rsidP="004E4CA9">
            <w:pPr>
              <w:pStyle w:val="Tableheadwhitecentred"/>
              <w:rPr>
                <w:b w:val="0"/>
              </w:rPr>
            </w:pPr>
            <w:r w:rsidRPr="00380B40">
              <w:t xml:space="preserve">Group </w:t>
            </w:r>
          </w:p>
        </w:tc>
        <w:tc>
          <w:tcPr>
            <w:tcW w:w="3870" w:type="dxa"/>
            <w:gridSpan w:val="2"/>
            <w:shd w:val="clear" w:color="auto" w:fill="auto"/>
            <w:vAlign w:val="center"/>
          </w:tcPr>
          <w:p w14:paraId="10FCE71C" w14:textId="77777777" w:rsidR="0012432B" w:rsidRPr="00380B40" w:rsidRDefault="0012432B" w:rsidP="004E4CA9">
            <w:pPr>
              <w:pStyle w:val="Tableheadwhitecentred"/>
            </w:pPr>
            <w:r w:rsidRPr="00380B40">
              <w:t xml:space="preserve">Name </w:t>
            </w:r>
          </w:p>
        </w:tc>
        <w:tc>
          <w:tcPr>
            <w:tcW w:w="2827" w:type="dxa"/>
          </w:tcPr>
          <w:p w14:paraId="513AE7BA" w14:textId="77777777" w:rsidR="0012432B" w:rsidRPr="00380B40" w:rsidRDefault="0012432B" w:rsidP="004E4CA9">
            <w:pPr>
              <w:pStyle w:val="Tableheadwhitecentred"/>
            </w:pPr>
            <w:r w:rsidRPr="00380B40">
              <w:t>Country/ Company</w:t>
            </w:r>
          </w:p>
        </w:tc>
        <w:tc>
          <w:tcPr>
            <w:tcW w:w="1844" w:type="dxa"/>
          </w:tcPr>
          <w:p w14:paraId="5BD89A25" w14:textId="77777777" w:rsidR="0012432B" w:rsidRPr="00380B40" w:rsidRDefault="0012432B" w:rsidP="004E4CA9">
            <w:pPr>
              <w:pStyle w:val="Tableheadwhitecentred"/>
            </w:pPr>
          </w:p>
        </w:tc>
      </w:tr>
      <w:tr w:rsidR="0012432B" w:rsidRPr="00380B40" w14:paraId="178E868F" w14:textId="77777777" w:rsidTr="00DF2C1C">
        <w:trPr>
          <w:jc w:val="center"/>
        </w:trPr>
        <w:tc>
          <w:tcPr>
            <w:tcW w:w="1087" w:type="dxa"/>
            <w:shd w:val="clear" w:color="auto" w:fill="auto"/>
          </w:tcPr>
          <w:p w14:paraId="17F77D4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SG3</w:t>
            </w:r>
          </w:p>
        </w:tc>
        <w:tc>
          <w:tcPr>
            <w:tcW w:w="1885" w:type="dxa"/>
            <w:shd w:val="clear" w:color="auto" w:fill="auto"/>
          </w:tcPr>
          <w:p w14:paraId="0C8E8DE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Mr Ahmed</w:t>
            </w:r>
          </w:p>
        </w:tc>
        <w:tc>
          <w:tcPr>
            <w:tcW w:w="1985" w:type="dxa"/>
          </w:tcPr>
          <w:p w14:paraId="53E585D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SAID</w:t>
            </w:r>
          </w:p>
        </w:tc>
        <w:tc>
          <w:tcPr>
            <w:tcW w:w="2827" w:type="dxa"/>
          </w:tcPr>
          <w:p w14:paraId="274D780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Egypt</w:t>
            </w:r>
          </w:p>
        </w:tc>
        <w:tc>
          <w:tcPr>
            <w:tcW w:w="1844" w:type="dxa"/>
          </w:tcPr>
          <w:p w14:paraId="6202915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Chairman</w:t>
            </w:r>
          </w:p>
        </w:tc>
      </w:tr>
      <w:tr w:rsidR="0012432B" w:rsidRPr="00380B40" w14:paraId="3AA2AEFE" w14:textId="77777777" w:rsidTr="00DF2C1C">
        <w:trPr>
          <w:jc w:val="center"/>
        </w:trPr>
        <w:tc>
          <w:tcPr>
            <w:tcW w:w="1087" w:type="dxa"/>
            <w:shd w:val="clear" w:color="auto" w:fill="auto"/>
          </w:tcPr>
          <w:p w14:paraId="51CCC82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SG3</w:t>
            </w:r>
          </w:p>
        </w:tc>
        <w:tc>
          <w:tcPr>
            <w:tcW w:w="1885" w:type="dxa"/>
            <w:shd w:val="clear" w:color="auto" w:fill="auto"/>
          </w:tcPr>
          <w:p w14:paraId="382786D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S.K.</w:t>
            </w:r>
          </w:p>
        </w:tc>
        <w:tc>
          <w:tcPr>
            <w:tcW w:w="1985" w:type="dxa"/>
          </w:tcPr>
          <w:p w14:paraId="5F6BC30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MISHRA</w:t>
            </w:r>
          </w:p>
        </w:tc>
        <w:tc>
          <w:tcPr>
            <w:tcW w:w="2827" w:type="dxa"/>
          </w:tcPr>
          <w:p w14:paraId="44270D1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India</w:t>
            </w:r>
          </w:p>
        </w:tc>
        <w:tc>
          <w:tcPr>
            <w:tcW w:w="1844" w:type="dxa"/>
          </w:tcPr>
          <w:p w14:paraId="292CE6E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0CE5D91D" w14:textId="77777777" w:rsidTr="00DF2C1C">
        <w:trPr>
          <w:jc w:val="center"/>
        </w:trPr>
        <w:tc>
          <w:tcPr>
            <w:tcW w:w="1087" w:type="dxa"/>
            <w:shd w:val="clear" w:color="auto" w:fill="auto"/>
          </w:tcPr>
          <w:p w14:paraId="0E200AE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SG3</w:t>
            </w:r>
          </w:p>
        </w:tc>
        <w:tc>
          <w:tcPr>
            <w:tcW w:w="1885" w:type="dxa"/>
            <w:shd w:val="clear" w:color="auto" w:fill="auto"/>
          </w:tcPr>
          <w:p w14:paraId="7E4F4EC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Hui</w:t>
            </w:r>
          </w:p>
        </w:tc>
        <w:tc>
          <w:tcPr>
            <w:tcW w:w="1985" w:type="dxa"/>
          </w:tcPr>
          <w:p w14:paraId="438F1D9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CHEN</w:t>
            </w:r>
          </w:p>
        </w:tc>
        <w:tc>
          <w:tcPr>
            <w:tcW w:w="2827" w:type="dxa"/>
          </w:tcPr>
          <w:p w14:paraId="646EDAE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iCs/>
                <w:szCs w:val="24"/>
              </w:rPr>
              <w:t>China (P.R.)</w:t>
            </w:r>
          </w:p>
        </w:tc>
        <w:tc>
          <w:tcPr>
            <w:tcW w:w="1844" w:type="dxa"/>
          </w:tcPr>
          <w:p w14:paraId="0BD1DBB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iCs/>
                <w:szCs w:val="24"/>
              </w:rPr>
              <w:t>Vice-Chairman</w:t>
            </w:r>
          </w:p>
        </w:tc>
      </w:tr>
      <w:tr w:rsidR="0012432B" w:rsidRPr="00380B40" w14:paraId="5473F55A" w14:textId="77777777" w:rsidTr="00DF2C1C">
        <w:trPr>
          <w:jc w:val="center"/>
        </w:trPr>
        <w:tc>
          <w:tcPr>
            <w:tcW w:w="1087" w:type="dxa"/>
            <w:shd w:val="clear" w:color="auto" w:fill="auto"/>
          </w:tcPr>
          <w:p w14:paraId="68C6EFC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SG3</w:t>
            </w:r>
          </w:p>
        </w:tc>
        <w:tc>
          <w:tcPr>
            <w:tcW w:w="1885" w:type="dxa"/>
            <w:shd w:val="clear" w:color="auto" w:fill="auto"/>
          </w:tcPr>
          <w:p w14:paraId="32E9484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Ms Eriko</w:t>
            </w:r>
          </w:p>
        </w:tc>
        <w:tc>
          <w:tcPr>
            <w:tcW w:w="1985" w:type="dxa"/>
          </w:tcPr>
          <w:p w14:paraId="3A86EBB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HONDO</w:t>
            </w:r>
          </w:p>
        </w:tc>
        <w:tc>
          <w:tcPr>
            <w:tcW w:w="2827" w:type="dxa"/>
          </w:tcPr>
          <w:p w14:paraId="650CB09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KDDI Corporation, Japan</w:t>
            </w:r>
          </w:p>
        </w:tc>
        <w:tc>
          <w:tcPr>
            <w:tcW w:w="1844" w:type="dxa"/>
          </w:tcPr>
          <w:p w14:paraId="32DFF2D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18BF857E" w14:textId="77777777" w:rsidTr="00DF2C1C">
        <w:trPr>
          <w:jc w:val="center"/>
        </w:trPr>
        <w:tc>
          <w:tcPr>
            <w:tcW w:w="1087" w:type="dxa"/>
            <w:shd w:val="clear" w:color="auto" w:fill="auto"/>
          </w:tcPr>
          <w:p w14:paraId="7F984FF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SG3</w:t>
            </w:r>
          </w:p>
        </w:tc>
        <w:tc>
          <w:tcPr>
            <w:tcW w:w="1885" w:type="dxa"/>
            <w:shd w:val="clear" w:color="auto" w:fill="auto"/>
          </w:tcPr>
          <w:p w14:paraId="1140A18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Omar Ali</w:t>
            </w:r>
          </w:p>
        </w:tc>
        <w:tc>
          <w:tcPr>
            <w:tcW w:w="1985" w:type="dxa"/>
          </w:tcPr>
          <w:p w14:paraId="7780A58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ALNEMER</w:t>
            </w:r>
          </w:p>
        </w:tc>
        <w:tc>
          <w:tcPr>
            <w:tcW w:w="2827" w:type="dxa"/>
          </w:tcPr>
          <w:p w14:paraId="1D5C34A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United Arab Emirates</w:t>
            </w:r>
          </w:p>
        </w:tc>
        <w:tc>
          <w:tcPr>
            <w:tcW w:w="1844" w:type="dxa"/>
          </w:tcPr>
          <w:p w14:paraId="755D562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3E061265" w14:textId="77777777" w:rsidTr="00DF2C1C">
        <w:trPr>
          <w:jc w:val="center"/>
        </w:trPr>
        <w:tc>
          <w:tcPr>
            <w:tcW w:w="1087" w:type="dxa"/>
            <w:shd w:val="clear" w:color="auto" w:fill="auto"/>
          </w:tcPr>
          <w:p w14:paraId="0670EC8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SG3</w:t>
            </w:r>
          </w:p>
        </w:tc>
        <w:tc>
          <w:tcPr>
            <w:tcW w:w="1885" w:type="dxa"/>
            <w:shd w:val="clear" w:color="auto" w:fill="auto"/>
          </w:tcPr>
          <w:p w14:paraId="352F6C0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Zuhair</w:t>
            </w:r>
          </w:p>
        </w:tc>
        <w:tc>
          <w:tcPr>
            <w:tcW w:w="1985" w:type="dxa"/>
          </w:tcPr>
          <w:p w14:paraId="775153F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AL-ZUHAIR</w:t>
            </w:r>
          </w:p>
        </w:tc>
        <w:tc>
          <w:tcPr>
            <w:tcW w:w="2827" w:type="dxa"/>
          </w:tcPr>
          <w:p w14:paraId="060E0BE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iCs/>
                <w:szCs w:val="24"/>
              </w:rPr>
              <w:t>Kuwait</w:t>
            </w:r>
          </w:p>
        </w:tc>
        <w:tc>
          <w:tcPr>
            <w:tcW w:w="1844" w:type="dxa"/>
          </w:tcPr>
          <w:p w14:paraId="63EAB3F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iCs/>
                <w:szCs w:val="24"/>
              </w:rPr>
              <w:t>Vice-Chairman</w:t>
            </w:r>
          </w:p>
        </w:tc>
      </w:tr>
      <w:tr w:rsidR="0012432B" w:rsidRPr="00380B40" w14:paraId="51B28953" w14:textId="77777777" w:rsidTr="00DF2C1C">
        <w:trPr>
          <w:jc w:val="center"/>
        </w:trPr>
        <w:tc>
          <w:tcPr>
            <w:tcW w:w="1087" w:type="dxa"/>
            <w:shd w:val="clear" w:color="auto" w:fill="auto"/>
          </w:tcPr>
          <w:p w14:paraId="09FC917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SG3</w:t>
            </w:r>
          </w:p>
        </w:tc>
        <w:tc>
          <w:tcPr>
            <w:tcW w:w="1885" w:type="dxa"/>
            <w:shd w:val="clear" w:color="auto" w:fill="auto"/>
          </w:tcPr>
          <w:p w14:paraId="39658E3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Ms Karima</w:t>
            </w:r>
          </w:p>
        </w:tc>
        <w:tc>
          <w:tcPr>
            <w:tcW w:w="1985" w:type="dxa"/>
          </w:tcPr>
          <w:p w14:paraId="080CF9B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MAHMOUDI</w:t>
            </w:r>
          </w:p>
        </w:tc>
        <w:tc>
          <w:tcPr>
            <w:tcW w:w="2827" w:type="dxa"/>
          </w:tcPr>
          <w:p w14:paraId="74D3D9D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Tunisia</w:t>
            </w:r>
          </w:p>
        </w:tc>
        <w:tc>
          <w:tcPr>
            <w:tcW w:w="1844" w:type="dxa"/>
          </w:tcPr>
          <w:p w14:paraId="7E59AF9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5AF5C076" w14:textId="77777777" w:rsidTr="00DF2C1C">
        <w:trPr>
          <w:jc w:val="center"/>
        </w:trPr>
        <w:tc>
          <w:tcPr>
            <w:tcW w:w="1087" w:type="dxa"/>
            <w:shd w:val="clear" w:color="auto" w:fill="auto"/>
          </w:tcPr>
          <w:p w14:paraId="494B220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SG3</w:t>
            </w:r>
          </w:p>
        </w:tc>
        <w:tc>
          <w:tcPr>
            <w:tcW w:w="1885" w:type="dxa"/>
            <w:shd w:val="clear" w:color="auto" w:fill="auto"/>
          </w:tcPr>
          <w:p w14:paraId="6265171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Ms Aminata</w:t>
            </w:r>
          </w:p>
        </w:tc>
        <w:tc>
          <w:tcPr>
            <w:tcW w:w="1985" w:type="dxa"/>
          </w:tcPr>
          <w:p w14:paraId="5B33E88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THIAM DRAME</w:t>
            </w:r>
          </w:p>
        </w:tc>
        <w:tc>
          <w:tcPr>
            <w:tcW w:w="2827" w:type="dxa"/>
          </w:tcPr>
          <w:p w14:paraId="716C8A1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Senegal</w:t>
            </w:r>
          </w:p>
        </w:tc>
        <w:tc>
          <w:tcPr>
            <w:tcW w:w="1844" w:type="dxa"/>
          </w:tcPr>
          <w:p w14:paraId="6BF96DC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0073E974" w14:textId="77777777" w:rsidTr="00DF2C1C">
        <w:trPr>
          <w:jc w:val="center"/>
        </w:trPr>
        <w:tc>
          <w:tcPr>
            <w:tcW w:w="1087" w:type="dxa"/>
            <w:shd w:val="clear" w:color="auto" w:fill="auto"/>
          </w:tcPr>
          <w:p w14:paraId="20E5663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SG3</w:t>
            </w:r>
          </w:p>
        </w:tc>
        <w:tc>
          <w:tcPr>
            <w:tcW w:w="1885" w:type="dxa"/>
            <w:shd w:val="clear" w:color="auto" w:fill="auto"/>
          </w:tcPr>
          <w:p w14:paraId="1B8FA67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Frederick</w:t>
            </w:r>
          </w:p>
        </w:tc>
        <w:tc>
          <w:tcPr>
            <w:tcW w:w="1985" w:type="dxa"/>
          </w:tcPr>
          <w:p w14:paraId="70F23CE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ASUMANU</w:t>
            </w:r>
          </w:p>
        </w:tc>
        <w:tc>
          <w:tcPr>
            <w:tcW w:w="2827" w:type="dxa"/>
          </w:tcPr>
          <w:p w14:paraId="18177F0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Ghana</w:t>
            </w:r>
          </w:p>
        </w:tc>
        <w:tc>
          <w:tcPr>
            <w:tcW w:w="1844" w:type="dxa"/>
          </w:tcPr>
          <w:p w14:paraId="5870F50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1B5BB497" w14:textId="77777777" w:rsidTr="00DF2C1C">
        <w:trPr>
          <w:jc w:val="center"/>
        </w:trPr>
        <w:tc>
          <w:tcPr>
            <w:tcW w:w="1087" w:type="dxa"/>
            <w:shd w:val="clear" w:color="auto" w:fill="auto"/>
          </w:tcPr>
          <w:p w14:paraId="79CFC28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SG3</w:t>
            </w:r>
          </w:p>
        </w:tc>
        <w:tc>
          <w:tcPr>
            <w:tcW w:w="1885" w:type="dxa"/>
            <w:shd w:val="clear" w:color="auto" w:fill="auto"/>
          </w:tcPr>
          <w:p w14:paraId="3267C35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Ms Marthe</w:t>
            </w:r>
          </w:p>
        </w:tc>
        <w:tc>
          <w:tcPr>
            <w:tcW w:w="1985" w:type="dxa"/>
          </w:tcPr>
          <w:p w14:paraId="51BE9CE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UWAMARIYA</w:t>
            </w:r>
          </w:p>
        </w:tc>
        <w:tc>
          <w:tcPr>
            <w:tcW w:w="2827" w:type="dxa"/>
          </w:tcPr>
          <w:p w14:paraId="1895324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Rwanda</w:t>
            </w:r>
          </w:p>
        </w:tc>
        <w:tc>
          <w:tcPr>
            <w:tcW w:w="1844" w:type="dxa"/>
          </w:tcPr>
          <w:p w14:paraId="2EB61BF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458992C6" w14:textId="77777777" w:rsidTr="00DF2C1C">
        <w:trPr>
          <w:jc w:val="center"/>
        </w:trPr>
        <w:tc>
          <w:tcPr>
            <w:tcW w:w="1087" w:type="dxa"/>
            <w:shd w:val="clear" w:color="auto" w:fill="auto"/>
          </w:tcPr>
          <w:p w14:paraId="282BC0E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SG3</w:t>
            </w:r>
          </w:p>
        </w:tc>
        <w:tc>
          <w:tcPr>
            <w:tcW w:w="1885" w:type="dxa"/>
            <w:shd w:val="clear" w:color="auto" w:fill="auto"/>
          </w:tcPr>
          <w:p w14:paraId="319317C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Mihail</w:t>
            </w:r>
          </w:p>
        </w:tc>
        <w:tc>
          <w:tcPr>
            <w:tcW w:w="1985" w:type="dxa"/>
          </w:tcPr>
          <w:p w14:paraId="7305302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ION</w:t>
            </w:r>
          </w:p>
        </w:tc>
        <w:tc>
          <w:tcPr>
            <w:tcW w:w="2827" w:type="dxa"/>
          </w:tcPr>
          <w:p w14:paraId="2914F46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Romania</w:t>
            </w:r>
          </w:p>
        </w:tc>
        <w:tc>
          <w:tcPr>
            <w:tcW w:w="1844" w:type="dxa"/>
          </w:tcPr>
          <w:p w14:paraId="23EFE74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4AD986A6" w14:textId="77777777" w:rsidTr="00DF2C1C">
        <w:trPr>
          <w:jc w:val="center"/>
        </w:trPr>
        <w:tc>
          <w:tcPr>
            <w:tcW w:w="1087" w:type="dxa"/>
            <w:shd w:val="clear" w:color="auto" w:fill="auto"/>
          </w:tcPr>
          <w:p w14:paraId="49D07DE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b/>
                <w:bCs/>
              </w:rPr>
            </w:pPr>
            <w:r w:rsidRPr="00380B40">
              <w:rPr>
                <w:b/>
                <w:bCs/>
              </w:rPr>
              <w:t>SG3</w:t>
            </w:r>
          </w:p>
        </w:tc>
        <w:tc>
          <w:tcPr>
            <w:tcW w:w="1885" w:type="dxa"/>
            <w:shd w:val="clear" w:color="auto" w:fill="auto"/>
          </w:tcPr>
          <w:p w14:paraId="5E7C290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color w:val="000000"/>
                <w:szCs w:val="24"/>
              </w:rPr>
            </w:pPr>
            <w:r w:rsidRPr="00380B40">
              <w:rPr>
                <w:color w:val="000000"/>
                <w:szCs w:val="24"/>
              </w:rPr>
              <w:t>Ms Liliana Nora</w:t>
            </w:r>
          </w:p>
        </w:tc>
        <w:tc>
          <w:tcPr>
            <w:tcW w:w="1985" w:type="dxa"/>
          </w:tcPr>
          <w:p w14:paraId="5C3E6D9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color w:val="000000"/>
                <w:szCs w:val="24"/>
              </w:rPr>
            </w:pPr>
            <w:r w:rsidRPr="00380B40">
              <w:rPr>
                <w:color w:val="000000"/>
                <w:szCs w:val="24"/>
              </w:rPr>
              <w:t>BEIN</w:t>
            </w:r>
          </w:p>
        </w:tc>
        <w:tc>
          <w:tcPr>
            <w:tcW w:w="2827" w:type="dxa"/>
          </w:tcPr>
          <w:p w14:paraId="61FE623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rPr>
                <w:szCs w:val="24"/>
              </w:rPr>
              <w:t>Argentina</w:t>
            </w:r>
          </w:p>
        </w:tc>
        <w:tc>
          <w:tcPr>
            <w:tcW w:w="1844" w:type="dxa"/>
          </w:tcPr>
          <w:p w14:paraId="7709B7B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rPr>
                <w:szCs w:val="24"/>
              </w:rPr>
              <w:t>Vice-Chairman</w:t>
            </w:r>
          </w:p>
        </w:tc>
      </w:tr>
      <w:tr w:rsidR="0012432B" w:rsidRPr="00380B40" w14:paraId="29923A35" w14:textId="77777777" w:rsidTr="00DF2C1C">
        <w:trPr>
          <w:jc w:val="center"/>
        </w:trPr>
        <w:tc>
          <w:tcPr>
            <w:tcW w:w="1087" w:type="dxa"/>
            <w:shd w:val="clear" w:color="auto" w:fill="auto"/>
          </w:tcPr>
          <w:p w14:paraId="160F7DB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b/>
                <w:bCs/>
              </w:rPr>
            </w:pPr>
            <w:r w:rsidRPr="00380B40">
              <w:rPr>
                <w:b/>
                <w:bCs/>
              </w:rPr>
              <w:t>SG3</w:t>
            </w:r>
          </w:p>
        </w:tc>
        <w:tc>
          <w:tcPr>
            <w:tcW w:w="1885" w:type="dxa"/>
            <w:shd w:val="clear" w:color="auto" w:fill="auto"/>
          </w:tcPr>
          <w:p w14:paraId="6B56FFD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color w:val="000000"/>
                <w:szCs w:val="24"/>
              </w:rPr>
            </w:pPr>
            <w:r w:rsidRPr="00380B40">
              <w:rPr>
                <w:color w:val="000000"/>
                <w:szCs w:val="24"/>
              </w:rPr>
              <w:t>Ms Ena</w:t>
            </w:r>
          </w:p>
        </w:tc>
        <w:tc>
          <w:tcPr>
            <w:tcW w:w="1985" w:type="dxa"/>
          </w:tcPr>
          <w:p w14:paraId="03A2C37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color w:val="000000"/>
                <w:szCs w:val="24"/>
              </w:rPr>
            </w:pPr>
            <w:r w:rsidRPr="00380B40">
              <w:rPr>
                <w:color w:val="000000"/>
                <w:szCs w:val="24"/>
              </w:rPr>
              <w:t>DEKANIC</w:t>
            </w:r>
          </w:p>
        </w:tc>
        <w:tc>
          <w:tcPr>
            <w:tcW w:w="2827" w:type="dxa"/>
          </w:tcPr>
          <w:p w14:paraId="163066C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rPr>
                <w:szCs w:val="24"/>
              </w:rPr>
              <w:t>United States</w:t>
            </w:r>
          </w:p>
        </w:tc>
        <w:tc>
          <w:tcPr>
            <w:tcW w:w="1844" w:type="dxa"/>
          </w:tcPr>
          <w:p w14:paraId="59E4620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rPr>
                <w:szCs w:val="24"/>
              </w:rPr>
              <w:t>Vice-Chairman</w:t>
            </w:r>
          </w:p>
        </w:tc>
      </w:tr>
    </w:tbl>
    <w:p w14:paraId="69CFC08B" w14:textId="77777777" w:rsidR="0012432B" w:rsidRPr="00380B40" w:rsidRDefault="0012432B" w:rsidP="0012432B">
      <w:pPr>
        <w:pStyle w:val="Headingb1"/>
      </w:pPr>
    </w:p>
    <w:p w14:paraId="621A84A9" w14:textId="77777777" w:rsidR="0012432B" w:rsidRPr="00380B40" w:rsidRDefault="0012432B" w:rsidP="0012432B">
      <w:pPr>
        <w:pStyle w:val="Headingb1"/>
      </w:pPr>
      <w:r w:rsidRPr="00380B40">
        <w:t>Study Group 5 – Environment, climate change and circular economy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1985"/>
        <w:gridCol w:w="2827"/>
        <w:gridCol w:w="1844"/>
      </w:tblGrid>
      <w:tr w:rsidR="0012432B" w:rsidRPr="00380B40" w14:paraId="345924BE" w14:textId="77777777" w:rsidTr="003200C1">
        <w:trPr>
          <w:jc w:val="center"/>
        </w:trPr>
        <w:tc>
          <w:tcPr>
            <w:tcW w:w="1087" w:type="dxa"/>
            <w:shd w:val="clear" w:color="auto" w:fill="auto"/>
            <w:vAlign w:val="center"/>
          </w:tcPr>
          <w:p w14:paraId="2E604460" w14:textId="77777777" w:rsidR="0012432B" w:rsidRPr="00380B40" w:rsidRDefault="0012432B" w:rsidP="004E4CA9">
            <w:pPr>
              <w:pStyle w:val="Tableheadwhitecentred"/>
              <w:rPr>
                <w:b w:val="0"/>
              </w:rPr>
            </w:pPr>
            <w:r w:rsidRPr="00380B40">
              <w:t xml:space="preserve">Group </w:t>
            </w:r>
          </w:p>
        </w:tc>
        <w:tc>
          <w:tcPr>
            <w:tcW w:w="3870" w:type="dxa"/>
            <w:gridSpan w:val="2"/>
            <w:shd w:val="clear" w:color="auto" w:fill="auto"/>
            <w:vAlign w:val="center"/>
          </w:tcPr>
          <w:p w14:paraId="3E2BEFD1" w14:textId="77777777" w:rsidR="0012432B" w:rsidRPr="00380B40" w:rsidRDefault="0012432B" w:rsidP="004E4CA9">
            <w:pPr>
              <w:pStyle w:val="Tableheadwhitecentred"/>
            </w:pPr>
            <w:r w:rsidRPr="00380B40">
              <w:t xml:space="preserve">Name </w:t>
            </w:r>
          </w:p>
        </w:tc>
        <w:tc>
          <w:tcPr>
            <w:tcW w:w="2827" w:type="dxa"/>
          </w:tcPr>
          <w:p w14:paraId="369BEFB5" w14:textId="77777777" w:rsidR="0012432B" w:rsidRPr="00380B40" w:rsidRDefault="0012432B" w:rsidP="004E4CA9">
            <w:pPr>
              <w:pStyle w:val="Tableheadwhitecentred"/>
            </w:pPr>
            <w:r w:rsidRPr="00380B40">
              <w:t>Country/ Company</w:t>
            </w:r>
          </w:p>
        </w:tc>
        <w:tc>
          <w:tcPr>
            <w:tcW w:w="1844" w:type="dxa"/>
          </w:tcPr>
          <w:p w14:paraId="1747B0DF" w14:textId="77777777" w:rsidR="0012432B" w:rsidRPr="00380B40" w:rsidRDefault="0012432B" w:rsidP="004E4CA9">
            <w:pPr>
              <w:pStyle w:val="Tableheadwhitecentred"/>
            </w:pPr>
          </w:p>
        </w:tc>
      </w:tr>
      <w:tr w:rsidR="0012432B" w:rsidRPr="00380B40" w14:paraId="124EF054" w14:textId="77777777" w:rsidTr="003200C1">
        <w:trPr>
          <w:jc w:val="center"/>
        </w:trPr>
        <w:tc>
          <w:tcPr>
            <w:tcW w:w="1087" w:type="dxa"/>
            <w:shd w:val="clear" w:color="auto" w:fill="auto"/>
          </w:tcPr>
          <w:p w14:paraId="5AE35CA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SG5</w:t>
            </w:r>
          </w:p>
        </w:tc>
        <w:tc>
          <w:tcPr>
            <w:tcW w:w="1885" w:type="dxa"/>
            <w:shd w:val="clear" w:color="auto" w:fill="auto"/>
          </w:tcPr>
          <w:p w14:paraId="5F670F8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rPr>
              <w:t>Mr Dominique</w:t>
            </w:r>
          </w:p>
        </w:tc>
        <w:tc>
          <w:tcPr>
            <w:tcW w:w="1985" w:type="dxa"/>
          </w:tcPr>
          <w:p w14:paraId="0FCC384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rPr>
              <w:t>WÜRGES</w:t>
            </w:r>
          </w:p>
        </w:tc>
        <w:tc>
          <w:tcPr>
            <w:tcW w:w="2827" w:type="dxa"/>
          </w:tcPr>
          <w:p w14:paraId="28974A5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rPr>
              <w:t>France</w:t>
            </w:r>
          </w:p>
        </w:tc>
        <w:tc>
          <w:tcPr>
            <w:tcW w:w="1844" w:type="dxa"/>
          </w:tcPr>
          <w:p w14:paraId="4F0BC9F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Chairman</w:t>
            </w:r>
          </w:p>
        </w:tc>
      </w:tr>
      <w:tr w:rsidR="0012432B" w:rsidRPr="00380B40" w14:paraId="78C87F08" w14:textId="77777777" w:rsidTr="003200C1">
        <w:trPr>
          <w:jc w:val="center"/>
        </w:trPr>
        <w:tc>
          <w:tcPr>
            <w:tcW w:w="1087" w:type="dxa"/>
            <w:shd w:val="clear" w:color="auto" w:fill="auto"/>
          </w:tcPr>
          <w:p w14:paraId="79668ED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SG5</w:t>
            </w:r>
          </w:p>
        </w:tc>
        <w:tc>
          <w:tcPr>
            <w:tcW w:w="1885" w:type="dxa"/>
            <w:shd w:val="clear" w:color="auto" w:fill="auto"/>
          </w:tcPr>
          <w:p w14:paraId="6E81F2F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Ms Shuguang</w:t>
            </w:r>
          </w:p>
        </w:tc>
        <w:tc>
          <w:tcPr>
            <w:tcW w:w="1985" w:type="dxa"/>
          </w:tcPr>
          <w:p w14:paraId="0A53D8E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QI</w:t>
            </w:r>
          </w:p>
        </w:tc>
        <w:tc>
          <w:tcPr>
            <w:tcW w:w="2827" w:type="dxa"/>
          </w:tcPr>
          <w:p w14:paraId="4DB5260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China (P.R.)</w:t>
            </w:r>
          </w:p>
        </w:tc>
        <w:tc>
          <w:tcPr>
            <w:tcW w:w="1844" w:type="dxa"/>
          </w:tcPr>
          <w:p w14:paraId="397FD98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364D2310" w14:textId="77777777" w:rsidTr="003200C1">
        <w:trPr>
          <w:jc w:val="center"/>
        </w:trPr>
        <w:tc>
          <w:tcPr>
            <w:tcW w:w="1087" w:type="dxa"/>
            <w:shd w:val="clear" w:color="auto" w:fill="auto"/>
          </w:tcPr>
          <w:p w14:paraId="3EBE4D3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SG5</w:t>
            </w:r>
          </w:p>
        </w:tc>
        <w:tc>
          <w:tcPr>
            <w:tcW w:w="1885" w:type="dxa"/>
            <w:shd w:val="clear" w:color="auto" w:fill="auto"/>
          </w:tcPr>
          <w:p w14:paraId="25A4313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Byung Chan</w:t>
            </w:r>
          </w:p>
        </w:tc>
        <w:tc>
          <w:tcPr>
            <w:tcW w:w="1985" w:type="dxa"/>
          </w:tcPr>
          <w:p w14:paraId="27019BD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KIM</w:t>
            </w:r>
          </w:p>
        </w:tc>
        <w:tc>
          <w:tcPr>
            <w:tcW w:w="2827" w:type="dxa"/>
          </w:tcPr>
          <w:p w14:paraId="03C5820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Korea (Rep. of)</w:t>
            </w:r>
          </w:p>
        </w:tc>
        <w:tc>
          <w:tcPr>
            <w:tcW w:w="1844" w:type="dxa"/>
          </w:tcPr>
          <w:p w14:paraId="4B19C2A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287BEC84" w14:textId="77777777" w:rsidTr="003200C1">
        <w:trPr>
          <w:jc w:val="center"/>
        </w:trPr>
        <w:tc>
          <w:tcPr>
            <w:tcW w:w="1087" w:type="dxa"/>
            <w:shd w:val="clear" w:color="auto" w:fill="auto"/>
          </w:tcPr>
          <w:p w14:paraId="4846DE9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SG5</w:t>
            </w:r>
          </w:p>
        </w:tc>
        <w:tc>
          <w:tcPr>
            <w:tcW w:w="1885" w:type="dxa"/>
            <w:shd w:val="clear" w:color="auto" w:fill="auto"/>
          </w:tcPr>
          <w:p w14:paraId="61D67FD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Kazuhiro</w:t>
            </w:r>
          </w:p>
        </w:tc>
        <w:tc>
          <w:tcPr>
            <w:tcW w:w="1985" w:type="dxa"/>
          </w:tcPr>
          <w:p w14:paraId="7CF3BA1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TAKAYA</w:t>
            </w:r>
          </w:p>
        </w:tc>
        <w:tc>
          <w:tcPr>
            <w:tcW w:w="2827" w:type="dxa"/>
          </w:tcPr>
          <w:p w14:paraId="2D36F3C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NTT Corporation, Japan</w:t>
            </w:r>
          </w:p>
        </w:tc>
        <w:tc>
          <w:tcPr>
            <w:tcW w:w="1844" w:type="dxa"/>
          </w:tcPr>
          <w:p w14:paraId="3032D0A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29FAE492" w14:textId="77777777" w:rsidTr="003200C1">
        <w:trPr>
          <w:jc w:val="center"/>
        </w:trPr>
        <w:tc>
          <w:tcPr>
            <w:tcW w:w="1087" w:type="dxa"/>
            <w:shd w:val="clear" w:color="auto" w:fill="auto"/>
          </w:tcPr>
          <w:p w14:paraId="352D46D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SG5</w:t>
            </w:r>
          </w:p>
        </w:tc>
        <w:tc>
          <w:tcPr>
            <w:tcW w:w="1885" w:type="dxa"/>
            <w:shd w:val="clear" w:color="auto" w:fill="auto"/>
          </w:tcPr>
          <w:p w14:paraId="25046DF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Ms Nevine</w:t>
            </w:r>
          </w:p>
        </w:tc>
        <w:tc>
          <w:tcPr>
            <w:tcW w:w="1985" w:type="dxa"/>
          </w:tcPr>
          <w:p w14:paraId="35FC7DB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TEWFIK</w:t>
            </w:r>
          </w:p>
        </w:tc>
        <w:tc>
          <w:tcPr>
            <w:tcW w:w="2827" w:type="dxa"/>
          </w:tcPr>
          <w:p w14:paraId="326FCA8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Egypt</w:t>
            </w:r>
          </w:p>
        </w:tc>
        <w:tc>
          <w:tcPr>
            <w:tcW w:w="1844" w:type="dxa"/>
          </w:tcPr>
          <w:p w14:paraId="05B91F8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4F710F9B" w14:textId="77777777" w:rsidTr="003200C1">
        <w:trPr>
          <w:jc w:val="center"/>
        </w:trPr>
        <w:tc>
          <w:tcPr>
            <w:tcW w:w="1087" w:type="dxa"/>
            <w:shd w:val="clear" w:color="auto" w:fill="auto"/>
          </w:tcPr>
          <w:p w14:paraId="191F71C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SG5</w:t>
            </w:r>
          </w:p>
        </w:tc>
        <w:tc>
          <w:tcPr>
            <w:tcW w:w="1885" w:type="dxa"/>
            <w:shd w:val="clear" w:color="auto" w:fill="auto"/>
          </w:tcPr>
          <w:p w14:paraId="665DD19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Vincent Urbain</w:t>
            </w:r>
          </w:p>
        </w:tc>
        <w:tc>
          <w:tcPr>
            <w:tcW w:w="1985" w:type="dxa"/>
          </w:tcPr>
          <w:p w14:paraId="383E5AF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NAMRONA</w:t>
            </w:r>
          </w:p>
        </w:tc>
        <w:tc>
          <w:tcPr>
            <w:tcW w:w="2827" w:type="dxa"/>
          </w:tcPr>
          <w:p w14:paraId="4B343F5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Central African Republic</w:t>
            </w:r>
          </w:p>
        </w:tc>
        <w:tc>
          <w:tcPr>
            <w:tcW w:w="1844" w:type="dxa"/>
          </w:tcPr>
          <w:p w14:paraId="2E6E103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3E58DDC5" w14:textId="77777777" w:rsidTr="003200C1">
        <w:trPr>
          <w:jc w:val="center"/>
        </w:trPr>
        <w:tc>
          <w:tcPr>
            <w:tcW w:w="1087" w:type="dxa"/>
            <w:shd w:val="clear" w:color="auto" w:fill="auto"/>
          </w:tcPr>
          <w:p w14:paraId="3F70904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SG5</w:t>
            </w:r>
          </w:p>
        </w:tc>
        <w:tc>
          <w:tcPr>
            <w:tcW w:w="1885" w:type="dxa"/>
            <w:shd w:val="clear" w:color="auto" w:fill="auto"/>
          </w:tcPr>
          <w:p w14:paraId="5C5C3EB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Jean-Manuel</w:t>
            </w:r>
          </w:p>
        </w:tc>
        <w:tc>
          <w:tcPr>
            <w:tcW w:w="1985" w:type="dxa"/>
          </w:tcPr>
          <w:p w14:paraId="59DE2E5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CANET</w:t>
            </w:r>
          </w:p>
        </w:tc>
        <w:tc>
          <w:tcPr>
            <w:tcW w:w="2827" w:type="dxa"/>
          </w:tcPr>
          <w:p w14:paraId="3BA5C81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France</w:t>
            </w:r>
          </w:p>
        </w:tc>
        <w:tc>
          <w:tcPr>
            <w:tcW w:w="1844" w:type="dxa"/>
          </w:tcPr>
          <w:p w14:paraId="61F991B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60F56EB2" w14:textId="77777777" w:rsidTr="003200C1">
        <w:trPr>
          <w:jc w:val="center"/>
        </w:trPr>
        <w:tc>
          <w:tcPr>
            <w:tcW w:w="1087" w:type="dxa"/>
            <w:shd w:val="clear" w:color="auto" w:fill="auto"/>
          </w:tcPr>
          <w:p w14:paraId="7240ADC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SG5</w:t>
            </w:r>
          </w:p>
        </w:tc>
        <w:tc>
          <w:tcPr>
            <w:tcW w:w="1885" w:type="dxa"/>
            <w:shd w:val="clear" w:color="auto" w:fill="auto"/>
          </w:tcPr>
          <w:p w14:paraId="3658662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Beniamino</w:t>
            </w:r>
          </w:p>
        </w:tc>
        <w:tc>
          <w:tcPr>
            <w:tcW w:w="1985" w:type="dxa"/>
          </w:tcPr>
          <w:p w14:paraId="785356C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GORINI</w:t>
            </w:r>
          </w:p>
        </w:tc>
        <w:tc>
          <w:tcPr>
            <w:tcW w:w="2827" w:type="dxa"/>
          </w:tcPr>
          <w:p w14:paraId="303613F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Nokia Corporation Finland</w:t>
            </w:r>
          </w:p>
        </w:tc>
        <w:tc>
          <w:tcPr>
            <w:tcW w:w="1844" w:type="dxa"/>
          </w:tcPr>
          <w:p w14:paraId="25A90A1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49443406" w14:textId="77777777" w:rsidTr="003200C1">
        <w:trPr>
          <w:jc w:val="center"/>
        </w:trPr>
        <w:tc>
          <w:tcPr>
            <w:tcW w:w="1087" w:type="dxa"/>
            <w:shd w:val="clear" w:color="auto" w:fill="auto"/>
          </w:tcPr>
          <w:p w14:paraId="42A4880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SG5</w:t>
            </w:r>
          </w:p>
        </w:tc>
        <w:tc>
          <w:tcPr>
            <w:tcW w:w="1885" w:type="dxa"/>
            <w:shd w:val="clear" w:color="auto" w:fill="auto"/>
          </w:tcPr>
          <w:p w14:paraId="3D03DE9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Pedro</w:t>
            </w:r>
          </w:p>
        </w:tc>
        <w:tc>
          <w:tcPr>
            <w:tcW w:w="1985" w:type="dxa"/>
          </w:tcPr>
          <w:p w14:paraId="58803E5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BRISSON</w:t>
            </w:r>
          </w:p>
        </w:tc>
        <w:tc>
          <w:tcPr>
            <w:tcW w:w="2827" w:type="dxa"/>
          </w:tcPr>
          <w:p w14:paraId="4AE3B15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Argentina</w:t>
            </w:r>
          </w:p>
        </w:tc>
        <w:tc>
          <w:tcPr>
            <w:tcW w:w="1844" w:type="dxa"/>
          </w:tcPr>
          <w:p w14:paraId="1C1769D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63B1BFDA" w14:textId="77777777" w:rsidTr="003200C1">
        <w:trPr>
          <w:jc w:val="center"/>
        </w:trPr>
        <w:tc>
          <w:tcPr>
            <w:tcW w:w="1087" w:type="dxa"/>
            <w:shd w:val="clear" w:color="auto" w:fill="auto"/>
          </w:tcPr>
          <w:p w14:paraId="588C98A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SG5</w:t>
            </w:r>
          </w:p>
        </w:tc>
        <w:tc>
          <w:tcPr>
            <w:tcW w:w="1885" w:type="dxa"/>
            <w:shd w:val="clear" w:color="auto" w:fill="auto"/>
          </w:tcPr>
          <w:p w14:paraId="24C8392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Saidiahrol</w:t>
            </w:r>
          </w:p>
        </w:tc>
        <w:tc>
          <w:tcPr>
            <w:tcW w:w="1985" w:type="dxa"/>
          </w:tcPr>
          <w:p w14:paraId="3045266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SAIDIAKBAROV</w:t>
            </w:r>
          </w:p>
        </w:tc>
        <w:tc>
          <w:tcPr>
            <w:tcW w:w="2827" w:type="dxa"/>
          </w:tcPr>
          <w:p w14:paraId="67DFB8E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Republic of Uzbekistan</w:t>
            </w:r>
          </w:p>
        </w:tc>
        <w:tc>
          <w:tcPr>
            <w:tcW w:w="1844" w:type="dxa"/>
          </w:tcPr>
          <w:p w14:paraId="0CC459B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bl>
    <w:p w14:paraId="351A0542" w14:textId="77777777" w:rsidR="0012432B" w:rsidRPr="00380B40" w:rsidRDefault="0012432B" w:rsidP="0012432B">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sidRPr="00380B40">
        <w:rPr>
          <w:b/>
          <w:bCs/>
          <w:lang w:val="en-GB"/>
        </w:rPr>
        <w:br w:type="page"/>
      </w:r>
    </w:p>
    <w:p w14:paraId="42488081" w14:textId="77777777" w:rsidR="0012432B" w:rsidRPr="00380B40" w:rsidRDefault="0012432B" w:rsidP="0012432B">
      <w:pPr>
        <w:pStyle w:val="Headingb1"/>
      </w:pPr>
      <w:r w:rsidRPr="00380B40">
        <w:t>Study Group 9 – Television and sound transmission and integrated broadband cable networks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1985"/>
        <w:gridCol w:w="2827"/>
        <w:gridCol w:w="1844"/>
      </w:tblGrid>
      <w:tr w:rsidR="0012432B" w:rsidRPr="00380B40" w14:paraId="7EB89124" w14:textId="77777777" w:rsidTr="003200C1">
        <w:trPr>
          <w:jc w:val="center"/>
        </w:trPr>
        <w:tc>
          <w:tcPr>
            <w:tcW w:w="1087" w:type="dxa"/>
            <w:shd w:val="clear" w:color="auto" w:fill="auto"/>
            <w:vAlign w:val="center"/>
          </w:tcPr>
          <w:p w14:paraId="7276B24C" w14:textId="77777777" w:rsidR="0012432B" w:rsidRPr="00380B40" w:rsidRDefault="0012432B" w:rsidP="004E4CA9">
            <w:pPr>
              <w:pStyle w:val="Tableheadwhitecentred"/>
              <w:rPr>
                <w:b w:val="0"/>
              </w:rPr>
            </w:pPr>
            <w:r w:rsidRPr="00380B40">
              <w:t xml:space="preserve">Group </w:t>
            </w:r>
          </w:p>
        </w:tc>
        <w:tc>
          <w:tcPr>
            <w:tcW w:w="3870" w:type="dxa"/>
            <w:gridSpan w:val="2"/>
            <w:shd w:val="clear" w:color="auto" w:fill="auto"/>
            <w:vAlign w:val="center"/>
          </w:tcPr>
          <w:p w14:paraId="4EA2FADB" w14:textId="77777777" w:rsidR="0012432B" w:rsidRPr="00380B40" w:rsidRDefault="0012432B" w:rsidP="004E4CA9">
            <w:pPr>
              <w:pStyle w:val="Tableheadwhitecentred"/>
            </w:pPr>
            <w:r w:rsidRPr="00380B40">
              <w:t xml:space="preserve">Name </w:t>
            </w:r>
          </w:p>
        </w:tc>
        <w:tc>
          <w:tcPr>
            <w:tcW w:w="2827" w:type="dxa"/>
          </w:tcPr>
          <w:p w14:paraId="5D7E771A" w14:textId="77777777" w:rsidR="0012432B" w:rsidRPr="00380B40" w:rsidRDefault="0012432B" w:rsidP="004E4CA9">
            <w:pPr>
              <w:pStyle w:val="Tableheadwhitecentred"/>
            </w:pPr>
            <w:r w:rsidRPr="00380B40">
              <w:t>Country/ Company</w:t>
            </w:r>
          </w:p>
        </w:tc>
        <w:tc>
          <w:tcPr>
            <w:tcW w:w="1844" w:type="dxa"/>
          </w:tcPr>
          <w:p w14:paraId="57AC0E97" w14:textId="77777777" w:rsidR="0012432B" w:rsidRPr="00380B40" w:rsidRDefault="0012432B" w:rsidP="004E4CA9">
            <w:pPr>
              <w:pStyle w:val="Tableheadwhitecentred"/>
            </w:pPr>
          </w:p>
        </w:tc>
      </w:tr>
      <w:tr w:rsidR="0012432B" w:rsidRPr="00380B40" w14:paraId="68604A8E" w14:textId="77777777" w:rsidTr="003200C1">
        <w:trPr>
          <w:jc w:val="center"/>
        </w:trPr>
        <w:tc>
          <w:tcPr>
            <w:tcW w:w="1087" w:type="dxa"/>
            <w:shd w:val="clear" w:color="auto" w:fill="auto"/>
          </w:tcPr>
          <w:p w14:paraId="09A50D9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SG9</w:t>
            </w:r>
          </w:p>
        </w:tc>
        <w:tc>
          <w:tcPr>
            <w:tcW w:w="1885" w:type="dxa"/>
            <w:shd w:val="clear" w:color="auto" w:fill="auto"/>
          </w:tcPr>
          <w:p w14:paraId="1C060DF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Mr Satoshi</w:t>
            </w:r>
          </w:p>
        </w:tc>
        <w:tc>
          <w:tcPr>
            <w:tcW w:w="1985" w:type="dxa"/>
          </w:tcPr>
          <w:p w14:paraId="2F53004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MIYAJI</w:t>
            </w:r>
          </w:p>
        </w:tc>
        <w:tc>
          <w:tcPr>
            <w:tcW w:w="2827" w:type="dxa"/>
          </w:tcPr>
          <w:p w14:paraId="1E3F1A3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KDDI Corporation, Japan</w:t>
            </w:r>
          </w:p>
        </w:tc>
        <w:tc>
          <w:tcPr>
            <w:tcW w:w="1844" w:type="dxa"/>
          </w:tcPr>
          <w:p w14:paraId="75DE333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Chairman</w:t>
            </w:r>
          </w:p>
        </w:tc>
      </w:tr>
      <w:tr w:rsidR="0012432B" w:rsidRPr="00380B40" w14:paraId="277CCFAD" w14:textId="77777777" w:rsidTr="003200C1">
        <w:trPr>
          <w:jc w:val="center"/>
        </w:trPr>
        <w:tc>
          <w:tcPr>
            <w:tcW w:w="1087" w:type="dxa"/>
            <w:shd w:val="clear" w:color="auto" w:fill="auto"/>
          </w:tcPr>
          <w:p w14:paraId="5119079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SG9</w:t>
            </w:r>
          </w:p>
        </w:tc>
        <w:tc>
          <w:tcPr>
            <w:tcW w:w="1885" w:type="dxa"/>
            <w:shd w:val="clear" w:color="auto" w:fill="auto"/>
          </w:tcPr>
          <w:p w14:paraId="4846370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Tae Kyoon</w:t>
            </w:r>
          </w:p>
        </w:tc>
        <w:tc>
          <w:tcPr>
            <w:tcW w:w="1985" w:type="dxa"/>
          </w:tcPr>
          <w:p w14:paraId="48B9E05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KIM</w:t>
            </w:r>
          </w:p>
        </w:tc>
        <w:tc>
          <w:tcPr>
            <w:tcW w:w="2827" w:type="dxa"/>
          </w:tcPr>
          <w:p w14:paraId="1DE0001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Korea (Rep. of)</w:t>
            </w:r>
          </w:p>
        </w:tc>
        <w:tc>
          <w:tcPr>
            <w:tcW w:w="1844" w:type="dxa"/>
          </w:tcPr>
          <w:p w14:paraId="3570125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236462F3" w14:textId="77777777" w:rsidTr="003200C1">
        <w:trPr>
          <w:jc w:val="center"/>
        </w:trPr>
        <w:tc>
          <w:tcPr>
            <w:tcW w:w="1087" w:type="dxa"/>
            <w:shd w:val="clear" w:color="auto" w:fill="auto"/>
          </w:tcPr>
          <w:p w14:paraId="7A37F68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SG9</w:t>
            </w:r>
          </w:p>
        </w:tc>
        <w:tc>
          <w:tcPr>
            <w:tcW w:w="1885" w:type="dxa"/>
            <w:shd w:val="clear" w:color="auto" w:fill="auto"/>
          </w:tcPr>
          <w:p w14:paraId="4FF9EC0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Pradipta</w:t>
            </w:r>
          </w:p>
        </w:tc>
        <w:tc>
          <w:tcPr>
            <w:tcW w:w="1985" w:type="dxa"/>
          </w:tcPr>
          <w:p w14:paraId="41E128A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t>BISWAS</w:t>
            </w:r>
          </w:p>
        </w:tc>
        <w:tc>
          <w:tcPr>
            <w:tcW w:w="2827" w:type="dxa"/>
          </w:tcPr>
          <w:p w14:paraId="75E1738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India</w:t>
            </w:r>
          </w:p>
        </w:tc>
        <w:tc>
          <w:tcPr>
            <w:tcW w:w="1844" w:type="dxa"/>
          </w:tcPr>
          <w:p w14:paraId="6519A1E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4C99E29E" w14:textId="77777777" w:rsidTr="003200C1">
        <w:trPr>
          <w:jc w:val="center"/>
        </w:trPr>
        <w:tc>
          <w:tcPr>
            <w:tcW w:w="1087" w:type="dxa"/>
            <w:shd w:val="clear" w:color="auto" w:fill="auto"/>
          </w:tcPr>
          <w:p w14:paraId="5D34C3D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SG9</w:t>
            </w:r>
          </w:p>
        </w:tc>
        <w:tc>
          <w:tcPr>
            <w:tcW w:w="1885" w:type="dxa"/>
            <w:shd w:val="clear" w:color="auto" w:fill="auto"/>
          </w:tcPr>
          <w:p w14:paraId="4C4903F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Zhifan</w:t>
            </w:r>
          </w:p>
        </w:tc>
        <w:tc>
          <w:tcPr>
            <w:tcW w:w="1985" w:type="dxa"/>
          </w:tcPr>
          <w:p w14:paraId="2829E8C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SHENG</w:t>
            </w:r>
          </w:p>
        </w:tc>
        <w:tc>
          <w:tcPr>
            <w:tcW w:w="2827" w:type="dxa"/>
          </w:tcPr>
          <w:p w14:paraId="6AD50B0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China (P.R.)</w:t>
            </w:r>
          </w:p>
        </w:tc>
        <w:tc>
          <w:tcPr>
            <w:tcW w:w="1844" w:type="dxa"/>
          </w:tcPr>
          <w:p w14:paraId="0A146CA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27CB0954" w14:textId="77777777" w:rsidTr="003200C1">
        <w:trPr>
          <w:jc w:val="center"/>
        </w:trPr>
        <w:tc>
          <w:tcPr>
            <w:tcW w:w="1087" w:type="dxa"/>
            <w:shd w:val="clear" w:color="auto" w:fill="auto"/>
          </w:tcPr>
          <w:p w14:paraId="4697A2F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SG9</w:t>
            </w:r>
          </w:p>
        </w:tc>
        <w:tc>
          <w:tcPr>
            <w:tcW w:w="1885" w:type="dxa"/>
            <w:shd w:val="clear" w:color="auto" w:fill="auto"/>
          </w:tcPr>
          <w:p w14:paraId="42538FD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Blaise</w:t>
            </w:r>
          </w:p>
        </w:tc>
        <w:tc>
          <w:tcPr>
            <w:tcW w:w="1985" w:type="dxa"/>
          </w:tcPr>
          <w:p w14:paraId="1AC2B24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CORSAIRE MAMADOU</w:t>
            </w:r>
          </w:p>
        </w:tc>
        <w:tc>
          <w:tcPr>
            <w:tcW w:w="2827" w:type="dxa"/>
          </w:tcPr>
          <w:p w14:paraId="3A3D3E7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Central African Republic</w:t>
            </w:r>
          </w:p>
        </w:tc>
        <w:tc>
          <w:tcPr>
            <w:tcW w:w="1844" w:type="dxa"/>
          </w:tcPr>
          <w:p w14:paraId="5A91D5F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bl>
    <w:p w14:paraId="33319AC2" w14:textId="77777777" w:rsidR="0012432B" w:rsidRPr="00380B40" w:rsidRDefault="0012432B" w:rsidP="0012432B">
      <w:pPr>
        <w:pStyle w:val="Headingb1"/>
      </w:pPr>
    </w:p>
    <w:p w14:paraId="110AC3A5" w14:textId="77777777" w:rsidR="0012432B" w:rsidRPr="00380B40" w:rsidRDefault="0012432B" w:rsidP="0012432B">
      <w:pPr>
        <w:pStyle w:val="Headingb1"/>
      </w:pPr>
      <w:r w:rsidRPr="00380B40">
        <w:t>Study Group 11 – Signalling requirements, protocols, test specifications and combating counterfeit products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1985"/>
        <w:gridCol w:w="2827"/>
        <w:gridCol w:w="1844"/>
      </w:tblGrid>
      <w:tr w:rsidR="0012432B" w:rsidRPr="00380B40" w14:paraId="1D88374D" w14:textId="77777777" w:rsidTr="003200C1">
        <w:trPr>
          <w:jc w:val="center"/>
        </w:trPr>
        <w:tc>
          <w:tcPr>
            <w:tcW w:w="1087" w:type="dxa"/>
            <w:shd w:val="clear" w:color="auto" w:fill="auto"/>
            <w:vAlign w:val="center"/>
          </w:tcPr>
          <w:p w14:paraId="65004923" w14:textId="77777777" w:rsidR="0012432B" w:rsidRPr="00380B40" w:rsidRDefault="0012432B" w:rsidP="004E4CA9">
            <w:pPr>
              <w:pStyle w:val="Tableheadwhitecentred"/>
              <w:rPr>
                <w:b w:val="0"/>
              </w:rPr>
            </w:pPr>
            <w:r w:rsidRPr="00380B40">
              <w:t xml:space="preserve">Group </w:t>
            </w:r>
          </w:p>
        </w:tc>
        <w:tc>
          <w:tcPr>
            <w:tcW w:w="3870" w:type="dxa"/>
            <w:gridSpan w:val="2"/>
            <w:shd w:val="clear" w:color="auto" w:fill="auto"/>
            <w:vAlign w:val="center"/>
          </w:tcPr>
          <w:p w14:paraId="5702A665" w14:textId="77777777" w:rsidR="0012432B" w:rsidRPr="00380B40" w:rsidRDefault="0012432B" w:rsidP="004E4CA9">
            <w:pPr>
              <w:pStyle w:val="Tableheadwhitecentred"/>
            </w:pPr>
            <w:r w:rsidRPr="00380B40">
              <w:t xml:space="preserve">Name </w:t>
            </w:r>
          </w:p>
        </w:tc>
        <w:tc>
          <w:tcPr>
            <w:tcW w:w="2827" w:type="dxa"/>
          </w:tcPr>
          <w:p w14:paraId="1BB65300" w14:textId="77777777" w:rsidR="0012432B" w:rsidRPr="00380B40" w:rsidRDefault="0012432B" w:rsidP="004E4CA9">
            <w:pPr>
              <w:pStyle w:val="Tableheadwhitecentred"/>
            </w:pPr>
            <w:r w:rsidRPr="00380B40">
              <w:t>Country/ Company</w:t>
            </w:r>
          </w:p>
        </w:tc>
        <w:tc>
          <w:tcPr>
            <w:tcW w:w="1844" w:type="dxa"/>
          </w:tcPr>
          <w:p w14:paraId="3C9AE677" w14:textId="77777777" w:rsidR="0012432B" w:rsidRPr="00380B40" w:rsidRDefault="0012432B" w:rsidP="004E4CA9">
            <w:pPr>
              <w:pStyle w:val="Tableheadwhitecentred"/>
            </w:pPr>
          </w:p>
        </w:tc>
      </w:tr>
      <w:tr w:rsidR="0012432B" w:rsidRPr="00380B40" w14:paraId="4CDBD31C" w14:textId="77777777" w:rsidTr="003200C1">
        <w:trPr>
          <w:jc w:val="center"/>
        </w:trPr>
        <w:tc>
          <w:tcPr>
            <w:tcW w:w="1087" w:type="dxa"/>
            <w:shd w:val="clear" w:color="auto" w:fill="auto"/>
          </w:tcPr>
          <w:p w14:paraId="0DBE572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SG11</w:t>
            </w:r>
          </w:p>
        </w:tc>
        <w:tc>
          <w:tcPr>
            <w:tcW w:w="1885" w:type="dxa"/>
            <w:shd w:val="clear" w:color="auto" w:fill="auto"/>
          </w:tcPr>
          <w:p w14:paraId="5A22F06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color w:val="000000"/>
                <w:szCs w:val="24"/>
              </w:rPr>
              <w:t>Mr Ritu Ranjan</w:t>
            </w:r>
          </w:p>
        </w:tc>
        <w:tc>
          <w:tcPr>
            <w:tcW w:w="1985" w:type="dxa"/>
          </w:tcPr>
          <w:p w14:paraId="096E5D5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color w:val="000000"/>
                <w:szCs w:val="24"/>
              </w:rPr>
              <w:t>MITTAR</w:t>
            </w:r>
          </w:p>
        </w:tc>
        <w:tc>
          <w:tcPr>
            <w:tcW w:w="2827" w:type="dxa"/>
          </w:tcPr>
          <w:p w14:paraId="69FFA0F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India</w:t>
            </w:r>
          </w:p>
        </w:tc>
        <w:tc>
          <w:tcPr>
            <w:tcW w:w="1844" w:type="dxa"/>
          </w:tcPr>
          <w:p w14:paraId="0ECF96E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Chairman</w:t>
            </w:r>
          </w:p>
        </w:tc>
      </w:tr>
      <w:tr w:rsidR="0012432B" w:rsidRPr="00380B40" w14:paraId="0373110E" w14:textId="77777777" w:rsidTr="003200C1">
        <w:trPr>
          <w:jc w:val="center"/>
        </w:trPr>
        <w:tc>
          <w:tcPr>
            <w:tcW w:w="1087" w:type="dxa"/>
            <w:shd w:val="clear" w:color="auto" w:fill="auto"/>
          </w:tcPr>
          <w:p w14:paraId="283EBAC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SG11</w:t>
            </w:r>
          </w:p>
        </w:tc>
        <w:tc>
          <w:tcPr>
            <w:tcW w:w="1885" w:type="dxa"/>
            <w:shd w:val="clear" w:color="auto" w:fill="auto"/>
          </w:tcPr>
          <w:p w14:paraId="09913E5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Namseok</w:t>
            </w:r>
          </w:p>
        </w:tc>
        <w:tc>
          <w:tcPr>
            <w:tcW w:w="1985" w:type="dxa"/>
          </w:tcPr>
          <w:p w14:paraId="241055D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KO</w:t>
            </w:r>
          </w:p>
        </w:tc>
        <w:tc>
          <w:tcPr>
            <w:tcW w:w="2827" w:type="dxa"/>
          </w:tcPr>
          <w:p w14:paraId="21BAA7C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Korea (Rep. of)</w:t>
            </w:r>
          </w:p>
        </w:tc>
        <w:tc>
          <w:tcPr>
            <w:tcW w:w="1844" w:type="dxa"/>
          </w:tcPr>
          <w:p w14:paraId="10C2278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5F032EAB" w14:textId="77777777" w:rsidTr="003200C1">
        <w:trPr>
          <w:jc w:val="center"/>
        </w:trPr>
        <w:tc>
          <w:tcPr>
            <w:tcW w:w="1087" w:type="dxa"/>
            <w:shd w:val="clear" w:color="auto" w:fill="auto"/>
          </w:tcPr>
          <w:p w14:paraId="7062039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SG11</w:t>
            </w:r>
          </w:p>
        </w:tc>
        <w:tc>
          <w:tcPr>
            <w:tcW w:w="1885" w:type="dxa"/>
            <w:shd w:val="clear" w:color="auto" w:fill="auto"/>
          </w:tcPr>
          <w:p w14:paraId="7B3109A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Ms Xiaojie</w:t>
            </w:r>
          </w:p>
        </w:tc>
        <w:tc>
          <w:tcPr>
            <w:tcW w:w="1985" w:type="dxa"/>
          </w:tcPr>
          <w:p w14:paraId="234C3C4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ZHU</w:t>
            </w:r>
          </w:p>
        </w:tc>
        <w:tc>
          <w:tcPr>
            <w:tcW w:w="2827" w:type="dxa"/>
          </w:tcPr>
          <w:p w14:paraId="3EB196A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China (P.R.)</w:t>
            </w:r>
          </w:p>
        </w:tc>
        <w:tc>
          <w:tcPr>
            <w:tcW w:w="1844" w:type="dxa"/>
          </w:tcPr>
          <w:p w14:paraId="3DED989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5A947655" w14:textId="77777777" w:rsidTr="003200C1">
        <w:trPr>
          <w:jc w:val="center"/>
        </w:trPr>
        <w:tc>
          <w:tcPr>
            <w:tcW w:w="1087" w:type="dxa"/>
            <w:shd w:val="clear" w:color="auto" w:fill="auto"/>
          </w:tcPr>
          <w:p w14:paraId="18224C3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SG11</w:t>
            </w:r>
          </w:p>
        </w:tc>
        <w:tc>
          <w:tcPr>
            <w:tcW w:w="1885" w:type="dxa"/>
            <w:shd w:val="clear" w:color="auto" w:fill="auto"/>
          </w:tcPr>
          <w:p w14:paraId="76D2714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Ms Arezu</w:t>
            </w:r>
          </w:p>
        </w:tc>
        <w:tc>
          <w:tcPr>
            <w:tcW w:w="1985" w:type="dxa"/>
          </w:tcPr>
          <w:p w14:paraId="0250C3C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OROJLU</w:t>
            </w:r>
          </w:p>
        </w:tc>
        <w:tc>
          <w:tcPr>
            <w:tcW w:w="2827" w:type="dxa"/>
          </w:tcPr>
          <w:p w14:paraId="6F7477F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Iran (Islamic Republic of)</w:t>
            </w:r>
          </w:p>
        </w:tc>
        <w:tc>
          <w:tcPr>
            <w:tcW w:w="1844" w:type="dxa"/>
          </w:tcPr>
          <w:p w14:paraId="622C5A6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48039FAF" w14:textId="77777777" w:rsidTr="003200C1">
        <w:trPr>
          <w:jc w:val="center"/>
        </w:trPr>
        <w:tc>
          <w:tcPr>
            <w:tcW w:w="1087" w:type="dxa"/>
            <w:shd w:val="clear" w:color="auto" w:fill="auto"/>
          </w:tcPr>
          <w:p w14:paraId="0C8C8A1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SG11</w:t>
            </w:r>
          </w:p>
        </w:tc>
        <w:tc>
          <w:tcPr>
            <w:tcW w:w="1885" w:type="dxa"/>
            <w:shd w:val="clear" w:color="auto" w:fill="auto"/>
          </w:tcPr>
          <w:p w14:paraId="0699C3A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Karim</w:t>
            </w:r>
          </w:p>
        </w:tc>
        <w:tc>
          <w:tcPr>
            <w:tcW w:w="1985" w:type="dxa"/>
          </w:tcPr>
          <w:p w14:paraId="53F3EC2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LOUKIL</w:t>
            </w:r>
          </w:p>
        </w:tc>
        <w:tc>
          <w:tcPr>
            <w:tcW w:w="2827" w:type="dxa"/>
          </w:tcPr>
          <w:p w14:paraId="4FB88CF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Tunisia</w:t>
            </w:r>
          </w:p>
        </w:tc>
        <w:tc>
          <w:tcPr>
            <w:tcW w:w="1844" w:type="dxa"/>
          </w:tcPr>
          <w:p w14:paraId="7605651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1826E446" w14:textId="77777777" w:rsidTr="003200C1">
        <w:trPr>
          <w:jc w:val="center"/>
        </w:trPr>
        <w:tc>
          <w:tcPr>
            <w:tcW w:w="1087" w:type="dxa"/>
            <w:shd w:val="clear" w:color="auto" w:fill="auto"/>
          </w:tcPr>
          <w:p w14:paraId="4E11DA4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SG11</w:t>
            </w:r>
          </w:p>
        </w:tc>
        <w:tc>
          <w:tcPr>
            <w:tcW w:w="1885" w:type="dxa"/>
            <w:shd w:val="clear" w:color="auto" w:fill="auto"/>
          </w:tcPr>
          <w:p w14:paraId="1DF0EB7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Ibrahim</w:t>
            </w:r>
          </w:p>
        </w:tc>
        <w:tc>
          <w:tcPr>
            <w:tcW w:w="1985" w:type="dxa"/>
          </w:tcPr>
          <w:p w14:paraId="3E85AA6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t>ABDALLA</w:t>
            </w:r>
          </w:p>
        </w:tc>
        <w:tc>
          <w:tcPr>
            <w:tcW w:w="2827" w:type="dxa"/>
          </w:tcPr>
          <w:p w14:paraId="28E7863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Sudan</w:t>
            </w:r>
          </w:p>
        </w:tc>
        <w:tc>
          <w:tcPr>
            <w:tcW w:w="1844" w:type="dxa"/>
          </w:tcPr>
          <w:p w14:paraId="5514C06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2C47932C" w14:textId="77777777" w:rsidTr="003200C1">
        <w:trPr>
          <w:jc w:val="center"/>
        </w:trPr>
        <w:tc>
          <w:tcPr>
            <w:tcW w:w="1087" w:type="dxa"/>
            <w:shd w:val="clear" w:color="auto" w:fill="auto"/>
          </w:tcPr>
          <w:p w14:paraId="271020A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SG11</w:t>
            </w:r>
          </w:p>
        </w:tc>
        <w:tc>
          <w:tcPr>
            <w:tcW w:w="1885" w:type="dxa"/>
            <w:shd w:val="clear" w:color="auto" w:fill="auto"/>
          </w:tcPr>
          <w:p w14:paraId="30C09A1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Kofi Ntim</w:t>
            </w:r>
          </w:p>
        </w:tc>
        <w:tc>
          <w:tcPr>
            <w:tcW w:w="1985" w:type="dxa"/>
          </w:tcPr>
          <w:p w14:paraId="67E4BA9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YEBOAH-KORDIEH</w:t>
            </w:r>
          </w:p>
        </w:tc>
        <w:tc>
          <w:tcPr>
            <w:tcW w:w="2827" w:type="dxa"/>
          </w:tcPr>
          <w:p w14:paraId="4CD67F2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Ghana</w:t>
            </w:r>
          </w:p>
        </w:tc>
        <w:tc>
          <w:tcPr>
            <w:tcW w:w="1844" w:type="dxa"/>
          </w:tcPr>
          <w:p w14:paraId="5BD8EEA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66664845" w14:textId="77777777" w:rsidTr="003200C1">
        <w:trPr>
          <w:jc w:val="center"/>
        </w:trPr>
        <w:tc>
          <w:tcPr>
            <w:tcW w:w="1087" w:type="dxa"/>
            <w:shd w:val="clear" w:color="auto" w:fill="auto"/>
          </w:tcPr>
          <w:p w14:paraId="50E5BC0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SG11</w:t>
            </w:r>
          </w:p>
        </w:tc>
        <w:tc>
          <w:tcPr>
            <w:tcW w:w="1885" w:type="dxa"/>
            <w:shd w:val="clear" w:color="auto" w:fill="auto"/>
          </w:tcPr>
          <w:p w14:paraId="186C19F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Uwe</w:t>
            </w:r>
          </w:p>
        </w:tc>
        <w:tc>
          <w:tcPr>
            <w:tcW w:w="1985" w:type="dxa"/>
          </w:tcPr>
          <w:p w14:paraId="062DBB8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BAEDER</w:t>
            </w:r>
          </w:p>
        </w:tc>
        <w:tc>
          <w:tcPr>
            <w:tcW w:w="2827" w:type="dxa"/>
          </w:tcPr>
          <w:p w14:paraId="238001D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lang w:val="de-CH"/>
              </w:rPr>
              <w:t>Rohde &amp; Schwarz GmbH &amp; Co. KG</w:t>
            </w:r>
          </w:p>
        </w:tc>
        <w:tc>
          <w:tcPr>
            <w:tcW w:w="1844" w:type="dxa"/>
          </w:tcPr>
          <w:p w14:paraId="00D42A4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6406B0AC" w14:textId="77777777" w:rsidTr="003200C1">
        <w:trPr>
          <w:jc w:val="center"/>
        </w:trPr>
        <w:tc>
          <w:tcPr>
            <w:tcW w:w="1087" w:type="dxa"/>
            <w:shd w:val="clear" w:color="auto" w:fill="auto"/>
          </w:tcPr>
          <w:p w14:paraId="7CEF698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SG11</w:t>
            </w:r>
          </w:p>
        </w:tc>
        <w:tc>
          <w:tcPr>
            <w:tcW w:w="1885" w:type="dxa"/>
            <w:shd w:val="clear" w:color="auto" w:fill="auto"/>
          </w:tcPr>
          <w:p w14:paraId="07B0BCB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Juan Matías</w:t>
            </w:r>
          </w:p>
        </w:tc>
        <w:tc>
          <w:tcPr>
            <w:tcW w:w="1985" w:type="dxa"/>
          </w:tcPr>
          <w:p w14:paraId="2244430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CATTANEO</w:t>
            </w:r>
          </w:p>
        </w:tc>
        <w:tc>
          <w:tcPr>
            <w:tcW w:w="2827" w:type="dxa"/>
          </w:tcPr>
          <w:p w14:paraId="2FCCEE4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Argentina</w:t>
            </w:r>
          </w:p>
        </w:tc>
        <w:tc>
          <w:tcPr>
            <w:tcW w:w="1844" w:type="dxa"/>
          </w:tcPr>
          <w:p w14:paraId="63DE58E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38D813D1" w14:textId="77777777" w:rsidTr="003200C1">
        <w:trPr>
          <w:jc w:val="center"/>
        </w:trPr>
        <w:tc>
          <w:tcPr>
            <w:tcW w:w="1087" w:type="dxa"/>
            <w:shd w:val="clear" w:color="auto" w:fill="auto"/>
          </w:tcPr>
          <w:p w14:paraId="6FB4AD3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SG11</w:t>
            </w:r>
          </w:p>
        </w:tc>
        <w:tc>
          <w:tcPr>
            <w:tcW w:w="1885" w:type="dxa"/>
            <w:shd w:val="clear" w:color="auto" w:fill="auto"/>
          </w:tcPr>
          <w:p w14:paraId="01671FE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João Alexandre Moncaio</w:t>
            </w:r>
          </w:p>
        </w:tc>
        <w:tc>
          <w:tcPr>
            <w:tcW w:w="1985" w:type="dxa"/>
          </w:tcPr>
          <w:p w14:paraId="6C3FCED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ZANON</w:t>
            </w:r>
          </w:p>
        </w:tc>
        <w:tc>
          <w:tcPr>
            <w:tcW w:w="2827" w:type="dxa"/>
          </w:tcPr>
          <w:p w14:paraId="66EED37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Brazil</w:t>
            </w:r>
          </w:p>
        </w:tc>
        <w:tc>
          <w:tcPr>
            <w:tcW w:w="1844" w:type="dxa"/>
          </w:tcPr>
          <w:p w14:paraId="73344F6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bl>
    <w:p w14:paraId="547CFF48" w14:textId="77777777" w:rsidR="0012432B" w:rsidRPr="00380B40" w:rsidRDefault="0012432B" w:rsidP="0012432B">
      <w:pPr>
        <w:rPr>
          <w:b/>
          <w:bCs/>
          <w:lang w:val="en-GB"/>
        </w:rPr>
      </w:pPr>
      <w:r w:rsidRPr="00380B40">
        <w:rPr>
          <w:b/>
          <w:bCs/>
          <w:lang w:val="en-GB"/>
        </w:rPr>
        <w:br w:type="page"/>
      </w:r>
    </w:p>
    <w:p w14:paraId="5A5A5C80" w14:textId="77777777" w:rsidR="0012432B" w:rsidRPr="00380B40" w:rsidRDefault="0012432B" w:rsidP="0012432B">
      <w:pPr>
        <w:pStyle w:val="Headingb1"/>
      </w:pPr>
      <w:r w:rsidRPr="00380B40">
        <w:t>Study Group 12 – Performance, quality of service and quality of experience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1985"/>
        <w:gridCol w:w="2827"/>
        <w:gridCol w:w="1844"/>
      </w:tblGrid>
      <w:tr w:rsidR="0012432B" w:rsidRPr="00380B40" w14:paraId="7A0A00B0" w14:textId="77777777" w:rsidTr="003200C1">
        <w:trPr>
          <w:jc w:val="center"/>
        </w:trPr>
        <w:tc>
          <w:tcPr>
            <w:tcW w:w="1087" w:type="dxa"/>
            <w:shd w:val="clear" w:color="auto" w:fill="auto"/>
            <w:vAlign w:val="center"/>
          </w:tcPr>
          <w:p w14:paraId="579B7131" w14:textId="77777777" w:rsidR="0012432B" w:rsidRPr="00380B40" w:rsidRDefault="0012432B" w:rsidP="004E4CA9">
            <w:pPr>
              <w:pStyle w:val="Tableheadwhitecentred"/>
              <w:rPr>
                <w:b w:val="0"/>
              </w:rPr>
            </w:pPr>
            <w:r w:rsidRPr="00380B40">
              <w:t xml:space="preserve">Group </w:t>
            </w:r>
          </w:p>
        </w:tc>
        <w:tc>
          <w:tcPr>
            <w:tcW w:w="3870" w:type="dxa"/>
            <w:gridSpan w:val="2"/>
            <w:shd w:val="clear" w:color="auto" w:fill="auto"/>
            <w:vAlign w:val="center"/>
          </w:tcPr>
          <w:p w14:paraId="015244B7" w14:textId="77777777" w:rsidR="0012432B" w:rsidRPr="00380B40" w:rsidRDefault="0012432B" w:rsidP="004E4CA9">
            <w:pPr>
              <w:pStyle w:val="Tableheadwhitecentred"/>
            </w:pPr>
            <w:r w:rsidRPr="00380B40">
              <w:t xml:space="preserve">Name </w:t>
            </w:r>
          </w:p>
        </w:tc>
        <w:tc>
          <w:tcPr>
            <w:tcW w:w="2827" w:type="dxa"/>
          </w:tcPr>
          <w:p w14:paraId="4C22C0C6" w14:textId="77777777" w:rsidR="0012432B" w:rsidRPr="00380B40" w:rsidRDefault="0012432B" w:rsidP="004E4CA9">
            <w:pPr>
              <w:pStyle w:val="Tableheadwhitecentred"/>
            </w:pPr>
            <w:r w:rsidRPr="00380B40">
              <w:t>Country/ Company</w:t>
            </w:r>
          </w:p>
        </w:tc>
        <w:tc>
          <w:tcPr>
            <w:tcW w:w="1844" w:type="dxa"/>
          </w:tcPr>
          <w:p w14:paraId="6C4A50C8" w14:textId="77777777" w:rsidR="0012432B" w:rsidRPr="00380B40" w:rsidRDefault="0012432B" w:rsidP="004E4CA9">
            <w:pPr>
              <w:pStyle w:val="Tableheadwhitecentred"/>
            </w:pPr>
          </w:p>
        </w:tc>
      </w:tr>
      <w:tr w:rsidR="0012432B" w:rsidRPr="00380B40" w14:paraId="5B308247" w14:textId="77777777" w:rsidTr="003200C1">
        <w:trPr>
          <w:jc w:val="center"/>
        </w:trPr>
        <w:tc>
          <w:tcPr>
            <w:tcW w:w="1087" w:type="dxa"/>
            <w:shd w:val="clear" w:color="auto" w:fill="auto"/>
          </w:tcPr>
          <w:p w14:paraId="6CC95FD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SG12</w:t>
            </w:r>
          </w:p>
        </w:tc>
        <w:tc>
          <w:tcPr>
            <w:tcW w:w="1885" w:type="dxa"/>
            <w:shd w:val="clear" w:color="auto" w:fill="auto"/>
          </w:tcPr>
          <w:p w14:paraId="046E975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color w:val="000000"/>
                <w:szCs w:val="24"/>
              </w:rPr>
              <w:t>Ms Tania</w:t>
            </w:r>
          </w:p>
        </w:tc>
        <w:tc>
          <w:tcPr>
            <w:tcW w:w="1985" w:type="dxa"/>
          </w:tcPr>
          <w:p w14:paraId="21B0D58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color w:val="000000"/>
                <w:szCs w:val="24"/>
              </w:rPr>
              <w:t>VILLA TRAPALA</w:t>
            </w:r>
          </w:p>
        </w:tc>
        <w:tc>
          <w:tcPr>
            <w:tcW w:w="2827" w:type="dxa"/>
          </w:tcPr>
          <w:p w14:paraId="17FC454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Mexico</w:t>
            </w:r>
          </w:p>
        </w:tc>
        <w:tc>
          <w:tcPr>
            <w:tcW w:w="1844" w:type="dxa"/>
          </w:tcPr>
          <w:p w14:paraId="43F9A4B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Chairman</w:t>
            </w:r>
          </w:p>
        </w:tc>
      </w:tr>
      <w:tr w:rsidR="0012432B" w:rsidRPr="00380B40" w14:paraId="23F564FD" w14:textId="77777777" w:rsidTr="003200C1">
        <w:trPr>
          <w:jc w:val="center"/>
        </w:trPr>
        <w:tc>
          <w:tcPr>
            <w:tcW w:w="1087" w:type="dxa"/>
            <w:shd w:val="clear" w:color="auto" w:fill="auto"/>
          </w:tcPr>
          <w:p w14:paraId="6F02C56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SG12</w:t>
            </w:r>
          </w:p>
        </w:tc>
        <w:tc>
          <w:tcPr>
            <w:tcW w:w="1885" w:type="dxa"/>
            <w:shd w:val="clear" w:color="auto" w:fill="auto"/>
          </w:tcPr>
          <w:p w14:paraId="585C7BB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Ms Lei</w:t>
            </w:r>
          </w:p>
        </w:tc>
        <w:tc>
          <w:tcPr>
            <w:tcW w:w="1985" w:type="dxa"/>
          </w:tcPr>
          <w:p w14:paraId="6F03711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YANG</w:t>
            </w:r>
          </w:p>
        </w:tc>
        <w:tc>
          <w:tcPr>
            <w:tcW w:w="2827" w:type="dxa"/>
          </w:tcPr>
          <w:p w14:paraId="7216C6D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China (P.R.)</w:t>
            </w:r>
          </w:p>
        </w:tc>
        <w:tc>
          <w:tcPr>
            <w:tcW w:w="1844" w:type="dxa"/>
          </w:tcPr>
          <w:p w14:paraId="6ED607C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2E3CAC00" w14:textId="77777777" w:rsidTr="003200C1">
        <w:trPr>
          <w:jc w:val="center"/>
        </w:trPr>
        <w:tc>
          <w:tcPr>
            <w:tcW w:w="1087" w:type="dxa"/>
            <w:shd w:val="clear" w:color="auto" w:fill="auto"/>
          </w:tcPr>
          <w:p w14:paraId="183015F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SG12</w:t>
            </w:r>
          </w:p>
        </w:tc>
        <w:tc>
          <w:tcPr>
            <w:tcW w:w="1885" w:type="dxa"/>
            <w:shd w:val="clear" w:color="auto" w:fill="auto"/>
          </w:tcPr>
          <w:p w14:paraId="07C6F58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Seong-Ho</w:t>
            </w:r>
          </w:p>
        </w:tc>
        <w:tc>
          <w:tcPr>
            <w:tcW w:w="1985" w:type="dxa"/>
          </w:tcPr>
          <w:p w14:paraId="76C6053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JEONG</w:t>
            </w:r>
          </w:p>
        </w:tc>
        <w:tc>
          <w:tcPr>
            <w:tcW w:w="2827" w:type="dxa"/>
          </w:tcPr>
          <w:p w14:paraId="25C42D7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Korea (Rep. of)</w:t>
            </w:r>
          </w:p>
        </w:tc>
        <w:tc>
          <w:tcPr>
            <w:tcW w:w="1844" w:type="dxa"/>
          </w:tcPr>
          <w:p w14:paraId="7211C19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6E3C684C" w14:textId="77777777" w:rsidTr="003200C1">
        <w:trPr>
          <w:jc w:val="center"/>
        </w:trPr>
        <w:tc>
          <w:tcPr>
            <w:tcW w:w="1087" w:type="dxa"/>
            <w:shd w:val="clear" w:color="auto" w:fill="auto"/>
          </w:tcPr>
          <w:p w14:paraId="689F567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SG12</w:t>
            </w:r>
          </w:p>
        </w:tc>
        <w:tc>
          <w:tcPr>
            <w:tcW w:w="1885" w:type="dxa"/>
            <w:shd w:val="clear" w:color="auto" w:fill="auto"/>
          </w:tcPr>
          <w:p w14:paraId="43C3E9B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Kazuhisa</w:t>
            </w:r>
          </w:p>
        </w:tc>
        <w:tc>
          <w:tcPr>
            <w:tcW w:w="1985" w:type="dxa"/>
          </w:tcPr>
          <w:p w14:paraId="4DEAFCC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YAMAGISHI</w:t>
            </w:r>
          </w:p>
        </w:tc>
        <w:tc>
          <w:tcPr>
            <w:tcW w:w="2827" w:type="dxa"/>
          </w:tcPr>
          <w:p w14:paraId="4AF1626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NTT Corporation, Japan</w:t>
            </w:r>
          </w:p>
        </w:tc>
        <w:tc>
          <w:tcPr>
            <w:tcW w:w="1844" w:type="dxa"/>
          </w:tcPr>
          <w:p w14:paraId="29599F2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438F2255" w14:textId="77777777" w:rsidTr="003200C1">
        <w:trPr>
          <w:jc w:val="center"/>
        </w:trPr>
        <w:tc>
          <w:tcPr>
            <w:tcW w:w="1087" w:type="dxa"/>
            <w:shd w:val="clear" w:color="auto" w:fill="auto"/>
          </w:tcPr>
          <w:p w14:paraId="1E7A1B7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SG12</w:t>
            </w:r>
          </w:p>
        </w:tc>
        <w:tc>
          <w:tcPr>
            <w:tcW w:w="1885" w:type="dxa"/>
            <w:shd w:val="clear" w:color="auto" w:fill="auto"/>
          </w:tcPr>
          <w:p w14:paraId="4D7CF88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Zeid</w:t>
            </w:r>
          </w:p>
        </w:tc>
        <w:tc>
          <w:tcPr>
            <w:tcW w:w="1985" w:type="dxa"/>
          </w:tcPr>
          <w:p w14:paraId="4E5636E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ALKADI</w:t>
            </w:r>
          </w:p>
        </w:tc>
        <w:tc>
          <w:tcPr>
            <w:tcW w:w="2827" w:type="dxa"/>
          </w:tcPr>
          <w:p w14:paraId="5C84B45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Jordan</w:t>
            </w:r>
          </w:p>
        </w:tc>
        <w:tc>
          <w:tcPr>
            <w:tcW w:w="1844" w:type="dxa"/>
          </w:tcPr>
          <w:p w14:paraId="6A07AD4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3ECC3241" w14:textId="77777777" w:rsidTr="003200C1">
        <w:trPr>
          <w:jc w:val="center"/>
        </w:trPr>
        <w:tc>
          <w:tcPr>
            <w:tcW w:w="1087" w:type="dxa"/>
            <w:shd w:val="clear" w:color="auto" w:fill="auto"/>
          </w:tcPr>
          <w:p w14:paraId="6524F0C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SG12</w:t>
            </w:r>
          </w:p>
        </w:tc>
        <w:tc>
          <w:tcPr>
            <w:tcW w:w="1885" w:type="dxa"/>
            <w:shd w:val="clear" w:color="auto" w:fill="auto"/>
          </w:tcPr>
          <w:p w14:paraId="5536746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Ammar</w:t>
            </w:r>
          </w:p>
        </w:tc>
        <w:tc>
          <w:tcPr>
            <w:tcW w:w="1985" w:type="dxa"/>
          </w:tcPr>
          <w:p w14:paraId="251BCF3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t>ABDALLAH</w:t>
            </w:r>
          </w:p>
        </w:tc>
        <w:tc>
          <w:tcPr>
            <w:tcW w:w="2827" w:type="dxa"/>
          </w:tcPr>
          <w:p w14:paraId="36E9FF6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Sudan</w:t>
            </w:r>
          </w:p>
        </w:tc>
        <w:tc>
          <w:tcPr>
            <w:tcW w:w="1844" w:type="dxa"/>
          </w:tcPr>
          <w:p w14:paraId="49F7B44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1971576A" w14:textId="77777777" w:rsidTr="003200C1">
        <w:trPr>
          <w:jc w:val="center"/>
        </w:trPr>
        <w:tc>
          <w:tcPr>
            <w:tcW w:w="1087" w:type="dxa"/>
            <w:shd w:val="clear" w:color="auto" w:fill="auto"/>
          </w:tcPr>
          <w:p w14:paraId="3AB0CA5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SG12</w:t>
            </w:r>
          </w:p>
        </w:tc>
        <w:tc>
          <w:tcPr>
            <w:tcW w:w="1885" w:type="dxa"/>
            <w:shd w:val="clear" w:color="auto" w:fill="auto"/>
          </w:tcPr>
          <w:p w14:paraId="2B50616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Abdulrahman</w:t>
            </w:r>
          </w:p>
        </w:tc>
        <w:tc>
          <w:tcPr>
            <w:tcW w:w="1985" w:type="dxa"/>
          </w:tcPr>
          <w:p w14:paraId="45B64DF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AL-DHBIBAN</w:t>
            </w:r>
          </w:p>
        </w:tc>
        <w:tc>
          <w:tcPr>
            <w:tcW w:w="2827" w:type="dxa"/>
          </w:tcPr>
          <w:p w14:paraId="7DD8EAF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Saudi Arabia</w:t>
            </w:r>
          </w:p>
        </w:tc>
        <w:tc>
          <w:tcPr>
            <w:tcW w:w="1844" w:type="dxa"/>
          </w:tcPr>
          <w:p w14:paraId="05BC075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691B322E" w14:textId="77777777" w:rsidTr="003200C1">
        <w:trPr>
          <w:jc w:val="center"/>
        </w:trPr>
        <w:tc>
          <w:tcPr>
            <w:tcW w:w="1087" w:type="dxa"/>
            <w:shd w:val="clear" w:color="auto" w:fill="auto"/>
          </w:tcPr>
          <w:p w14:paraId="2C333EB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SG12</w:t>
            </w:r>
          </w:p>
        </w:tc>
        <w:tc>
          <w:tcPr>
            <w:tcW w:w="1885" w:type="dxa"/>
            <w:shd w:val="clear" w:color="auto" w:fill="auto"/>
          </w:tcPr>
          <w:p w14:paraId="44F90D8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Collins</w:t>
            </w:r>
          </w:p>
        </w:tc>
        <w:tc>
          <w:tcPr>
            <w:tcW w:w="1985" w:type="dxa"/>
          </w:tcPr>
          <w:p w14:paraId="2189C0B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MBULO</w:t>
            </w:r>
          </w:p>
        </w:tc>
        <w:tc>
          <w:tcPr>
            <w:tcW w:w="2827" w:type="dxa"/>
          </w:tcPr>
          <w:p w14:paraId="3CB365A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Zambia</w:t>
            </w:r>
          </w:p>
        </w:tc>
        <w:tc>
          <w:tcPr>
            <w:tcW w:w="1844" w:type="dxa"/>
          </w:tcPr>
          <w:p w14:paraId="494EA4F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560EBCD5" w14:textId="77777777" w:rsidTr="003200C1">
        <w:trPr>
          <w:jc w:val="center"/>
        </w:trPr>
        <w:tc>
          <w:tcPr>
            <w:tcW w:w="1087" w:type="dxa"/>
            <w:shd w:val="clear" w:color="auto" w:fill="auto"/>
          </w:tcPr>
          <w:p w14:paraId="5360ED1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SG12</w:t>
            </w:r>
          </w:p>
        </w:tc>
        <w:tc>
          <w:tcPr>
            <w:tcW w:w="1885" w:type="dxa"/>
            <w:shd w:val="clear" w:color="auto" w:fill="auto"/>
          </w:tcPr>
          <w:p w14:paraId="4875930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Ms Yvonne</w:t>
            </w:r>
          </w:p>
        </w:tc>
        <w:tc>
          <w:tcPr>
            <w:tcW w:w="1985" w:type="dxa"/>
          </w:tcPr>
          <w:p w14:paraId="619577E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UMUTONI</w:t>
            </w:r>
          </w:p>
        </w:tc>
        <w:tc>
          <w:tcPr>
            <w:tcW w:w="2827" w:type="dxa"/>
          </w:tcPr>
          <w:p w14:paraId="3E260AB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Rwanda</w:t>
            </w:r>
          </w:p>
        </w:tc>
        <w:tc>
          <w:tcPr>
            <w:tcW w:w="1844" w:type="dxa"/>
          </w:tcPr>
          <w:p w14:paraId="5476365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300BB716" w14:textId="77777777" w:rsidTr="003200C1">
        <w:trPr>
          <w:jc w:val="center"/>
        </w:trPr>
        <w:tc>
          <w:tcPr>
            <w:tcW w:w="1087" w:type="dxa"/>
            <w:shd w:val="clear" w:color="auto" w:fill="auto"/>
          </w:tcPr>
          <w:p w14:paraId="0E6F177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SG12</w:t>
            </w:r>
          </w:p>
        </w:tc>
        <w:tc>
          <w:tcPr>
            <w:tcW w:w="1885" w:type="dxa"/>
            <w:shd w:val="clear" w:color="auto" w:fill="auto"/>
          </w:tcPr>
          <w:p w14:paraId="56E2F84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Edoyemi</w:t>
            </w:r>
          </w:p>
        </w:tc>
        <w:tc>
          <w:tcPr>
            <w:tcW w:w="1985" w:type="dxa"/>
          </w:tcPr>
          <w:p w14:paraId="5C5BBEC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OGOH</w:t>
            </w:r>
          </w:p>
        </w:tc>
        <w:tc>
          <w:tcPr>
            <w:tcW w:w="2827" w:type="dxa"/>
          </w:tcPr>
          <w:p w14:paraId="46B2528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Nigeria</w:t>
            </w:r>
          </w:p>
        </w:tc>
        <w:tc>
          <w:tcPr>
            <w:tcW w:w="1844" w:type="dxa"/>
          </w:tcPr>
          <w:p w14:paraId="4214B90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478215C7" w14:textId="77777777" w:rsidTr="003200C1">
        <w:trPr>
          <w:jc w:val="center"/>
        </w:trPr>
        <w:tc>
          <w:tcPr>
            <w:tcW w:w="1087" w:type="dxa"/>
            <w:shd w:val="clear" w:color="auto" w:fill="auto"/>
          </w:tcPr>
          <w:p w14:paraId="4C7B838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SG12</w:t>
            </w:r>
          </w:p>
        </w:tc>
        <w:tc>
          <w:tcPr>
            <w:tcW w:w="1885" w:type="dxa"/>
            <w:shd w:val="clear" w:color="auto" w:fill="auto"/>
          </w:tcPr>
          <w:p w14:paraId="3971EF9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Mehmet</w:t>
            </w:r>
          </w:p>
        </w:tc>
        <w:tc>
          <w:tcPr>
            <w:tcW w:w="1985" w:type="dxa"/>
          </w:tcPr>
          <w:p w14:paraId="630259D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ÖZDEM</w:t>
            </w:r>
          </w:p>
        </w:tc>
        <w:tc>
          <w:tcPr>
            <w:tcW w:w="2827" w:type="dxa"/>
          </w:tcPr>
          <w:p w14:paraId="6C3E487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Turkey</w:t>
            </w:r>
          </w:p>
        </w:tc>
        <w:tc>
          <w:tcPr>
            <w:tcW w:w="1844" w:type="dxa"/>
          </w:tcPr>
          <w:p w14:paraId="2C6F5E5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5BEC9E15" w14:textId="77777777" w:rsidTr="003200C1">
        <w:trPr>
          <w:jc w:val="center"/>
        </w:trPr>
        <w:tc>
          <w:tcPr>
            <w:tcW w:w="1087" w:type="dxa"/>
            <w:shd w:val="clear" w:color="auto" w:fill="auto"/>
          </w:tcPr>
          <w:p w14:paraId="648A50A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b/>
                <w:bCs/>
              </w:rPr>
            </w:pPr>
            <w:r w:rsidRPr="00380B40">
              <w:rPr>
                <w:b/>
                <w:bCs/>
              </w:rPr>
              <w:t>SG12</w:t>
            </w:r>
          </w:p>
        </w:tc>
        <w:tc>
          <w:tcPr>
            <w:tcW w:w="1885" w:type="dxa"/>
            <w:shd w:val="clear" w:color="auto" w:fill="auto"/>
          </w:tcPr>
          <w:p w14:paraId="2944FCF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color w:val="000000"/>
                <w:szCs w:val="24"/>
              </w:rPr>
            </w:pPr>
            <w:r w:rsidRPr="00380B40">
              <w:rPr>
                <w:color w:val="000000"/>
                <w:szCs w:val="24"/>
              </w:rPr>
              <w:t>Mr Sergio Daniel</w:t>
            </w:r>
          </w:p>
        </w:tc>
        <w:tc>
          <w:tcPr>
            <w:tcW w:w="1985" w:type="dxa"/>
          </w:tcPr>
          <w:p w14:paraId="56A8A76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color w:val="000000"/>
                <w:szCs w:val="24"/>
              </w:rPr>
            </w:pPr>
            <w:r w:rsidRPr="00380B40">
              <w:rPr>
                <w:color w:val="000000"/>
                <w:szCs w:val="24"/>
              </w:rPr>
              <w:t>D'UVA</w:t>
            </w:r>
          </w:p>
        </w:tc>
        <w:tc>
          <w:tcPr>
            <w:tcW w:w="2827" w:type="dxa"/>
          </w:tcPr>
          <w:p w14:paraId="1F2C06C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rPr>
                <w:szCs w:val="24"/>
              </w:rPr>
              <w:t>Argentina</w:t>
            </w:r>
          </w:p>
        </w:tc>
        <w:tc>
          <w:tcPr>
            <w:tcW w:w="1844" w:type="dxa"/>
          </w:tcPr>
          <w:p w14:paraId="770D7FC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rPr>
                <w:szCs w:val="24"/>
              </w:rPr>
              <w:t>Vice-Chairman</w:t>
            </w:r>
          </w:p>
        </w:tc>
      </w:tr>
    </w:tbl>
    <w:p w14:paraId="1F7977E7" w14:textId="77777777" w:rsidR="0012432B" w:rsidRPr="00380B40" w:rsidRDefault="0012432B" w:rsidP="0012432B">
      <w:pPr>
        <w:pStyle w:val="Headingb1"/>
      </w:pPr>
    </w:p>
    <w:p w14:paraId="11F99E74" w14:textId="77777777" w:rsidR="0012432B" w:rsidRPr="00380B40" w:rsidRDefault="0012432B" w:rsidP="0012432B">
      <w:pPr>
        <w:pStyle w:val="Headingb1"/>
      </w:pPr>
      <w:r w:rsidRPr="00380B40">
        <w:t>Study Group 13 – Future networks, with focus on IMT-2020, cloud computing and trusted network infrastructures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1985"/>
        <w:gridCol w:w="2827"/>
        <w:gridCol w:w="1844"/>
      </w:tblGrid>
      <w:tr w:rsidR="0012432B" w:rsidRPr="00380B40" w14:paraId="7E6816F5" w14:textId="77777777" w:rsidTr="003200C1">
        <w:trPr>
          <w:jc w:val="center"/>
        </w:trPr>
        <w:tc>
          <w:tcPr>
            <w:tcW w:w="1087" w:type="dxa"/>
            <w:shd w:val="clear" w:color="auto" w:fill="auto"/>
            <w:vAlign w:val="center"/>
          </w:tcPr>
          <w:p w14:paraId="30409132" w14:textId="77777777" w:rsidR="0012432B" w:rsidRPr="00380B40" w:rsidRDefault="0012432B" w:rsidP="004E4CA9">
            <w:pPr>
              <w:pStyle w:val="Tableheadwhitecentred"/>
              <w:rPr>
                <w:b w:val="0"/>
              </w:rPr>
            </w:pPr>
            <w:r w:rsidRPr="00380B40">
              <w:t xml:space="preserve">Group </w:t>
            </w:r>
          </w:p>
        </w:tc>
        <w:tc>
          <w:tcPr>
            <w:tcW w:w="3870" w:type="dxa"/>
            <w:gridSpan w:val="2"/>
            <w:shd w:val="clear" w:color="auto" w:fill="auto"/>
            <w:vAlign w:val="center"/>
          </w:tcPr>
          <w:p w14:paraId="380F08D3" w14:textId="77777777" w:rsidR="0012432B" w:rsidRPr="00380B40" w:rsidRDefault="0012432B" w:rsidP="004E4CA9">
            <w:pPr>
              <w:pStyle w:val="Tableheadwhitecentred"/>
            </w:pPr>
            <w:r w:rsidRPr="00380B40">
              <w:t xml:space="preserve">Name </w:t>
            </w:r>
          </w:p>
        </w:tc>
        <w:tc>
          <w:tcPr>
            <w:tcW w:w="2827" w:type="dxa"/>
          </w:tcPr>
          <w:p w14:paraId="33D26271" w14:textId="77777777" w:rsidR="0012432B" w:rsidRPr="00380B40" w:rsidRDefault="0012432B" w:rsidP="004E4CA9">
            <w:pPr>
              <w:pStyle w:val="Tableheadwhitecentred"/>
            </w:pPr>
            <w:r w:rsidRPr="00380B40">
              <w:t>Country/ Company</w:t>
            </w:r>
          </w:p>
        </w:tc>
        <w:tc>
          <w:tcPr>
            <w:tcW w:w="1844" w:type="dxa"/>
          </w:tcPr>
          <w:p w14:paraId="29175016" w14:textId="77777777" w:rsidR="0012432B" w:rsidRPr="00380B40" w:rsidRDefault="0012432B" w:rsidP="004E4CA9">
            <w:pPr>
              <w:pStyle w:val="Tableheadwhitecentred"/>
            </w:pPr>
          </w:p>
        </w:tc>
      </w:tr>
      <w:tr w:rsidR="0012432B" w:rsidRPr="00380B40" w14:paraId="5E8F1959" w14:textId="77777777" w:rsidTr="003200C1">
        <w:trPr>
          <w:jc w:val="center"/>
        </w:trPr>
        <w:tc>
          <w:tcPr>
            <w:tcW w:w="1087" w:type="dxa"/>
            <w:shd w:val="clear" w:color="auto" w:fill="auto"/>
          </w:tcPr>
          <w:p w14:paraId="7A45B35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SG13</w:t>
            </w:r>
          </w:p>
        </w:tc>
        <w:tc>
          <w:tcPr>
            <w:tcW w:w="1885" w:type="dxa"/>
            <w:shd w:val="clear" w:color="auto" w:fill="auto"/>
          </w:tcPr>
          <w:p w14:paraId="5EFDA74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color w:val="000000"/>
                <w:szCs w:val="24"/>
              </w:rPr>
              <w:t>Mr Kazunori</w:t>
            </w:r>
          </w:p>
        </w:tc>
        <w:tc>
          <w:tcPr>
            <w:tcW w:w="1985" w:type="dxa"/>
          </w:tcPr>
          <w:p w14:paraId="44085D0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color w:val="000000"/>
                <w:szCs w:val="24"/>
              </w:rPr>
              <w:t>TANIKAWA</w:t>
            </w:r>
          </w:p>
        </w:tc>
        <w:tc>
          <w:tcPr>
            <w:tcW w:w="2827" w:type="dxa"/>
          </w:tcPr>
          <w:p w14:paraId="0FE60C3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Japan</w:t>
            </w:r>
          </w:p>
        </w:tc>
        <w:tc>
          <w:tcPr>
            <w:tcW w:w="1844" w:type="dxa"/>
          </w:tcPr>
          <w:p w14:paraId="076F940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Chairman</w:t>
            </w:r>
          </w:p>
        </w:tc>
      </w:tr>
      <w:tr w:rsidR="0012432B" w:rsidRPr="00380B40" w14:paraId="7A26F090" w14:textId="77777777" w:rsidTr="003200C1">
        <w:trPr>
          <w:jc w:val="center"/>
        </w:trPr>
        <w:tc>
          <w:tcPr>
            <w:tcW w:w="1087" w:type="dxa"/>
            <w:shd w:val="clear" w:color="auto" w:fill="auto"/>
          </w:tcPr>
          <w:p w14:paraId="32CC63B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SG13</w:t>
            </w:r>
          </w:p>
        </w:tc>
        <w:tc>
          <w:tcPr>
            <w:tcW w:w="1885" w:type="dxa"/>
            <w:shd w:val="clear" w:color="auto" w:fill="auto"/>
          </w:tcPr>
          <w:p w14:paraId="661B45E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Hyung-Soo</w:t>
            </w:r>
          </w:p>
        </w:tc>
        <w:tc>
          <w:tcPr>
            <w:tcW w:w="1985" w:type="dxa"/>
          </w:tcPr>
          <w:p w14:paraId="3F551BD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KIM</w:t>
            </w:r>
          </w:p>
        </w:tc>
        <w:tc>
          <w:tcPr>
            <w:tcW w:w="2827" w:type="dxa"/>
          </w:tcPr>
          <w:p w14:paraId="3F18C83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Korea (Rep. of)</w:t>
            </w:r>
          </w:p>
        </w:tc>
        <w:tc>
          <w:tcPr>
            <w:tcW w:w="1844" w:type="dxa"/>
          </w:tcPr>
          <w:p w14:paraId="34C4BA2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642BA778" w14:textId="77777777" w:rsidTr="003200C1">
        <w:trPr>
          <w:jc w:val="center"/>
        </w:trPr>
        <w:tc>
          <w:tcPr>
            <w:tcW w:w="1087" w:type="dxa"/>
            <w:shd w:val="clear" w:color="auto" w:fill="auto"/>
          </w:tcPr>
          <w:p w14:paraId="42E7C89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SG13</w:t>
            </w:r>
          </w:p>
        </w:tc>
        <w:tc>
          <w:tcPr>
            <w:tcW w:w="1885" w:type="dxa"/>
            <w:shd w:val="clear" w:color="auto" w:fill="auto"/>
          </w:tcPr>
          <w:p w14:paraId="510606B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Abhay Shanker</w:t>
            </w:r>
          </w:p>
        </w:tc>
        <w:tc>
          <w:tcPr>
            <w:tcW w:w="1985" w:type="dxa"/>
          </w:tcPr>
          <w:p w14:paraId="6F3C827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VERMA</w:t>
            </w:r>
          </w:p>
        </w:tc>
        <w:tc>
          <w:tcPr>
            <w:tcW w:w="2827" w:type="dxa"/>
          </w:tcPr>
          <w:p w14:paraId="7F66870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India</w:t>
            </w:r>
          </w:p>
        </w:tc>
        <w:tc>
          <w:tcPr>
            <w:tcW w:w="1844" w:type="dxa"/>
          </w:tcPr>
          <w:p w14:paraId="1B5698A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257083DA" w14:textId="77777777" w:rsidTr="003200C1">
        <w:trPr>
          <w:jc w:val="center"/>
        </w:trPr>
        <w:tc>
          <w:tcPr>
            <w:tcW w:w="1087" w:type="dxa"/>
            <w:shd w:val="clear" w:color="auto" w:fill="auto"/>
          </w:tcPr>
          <w:p w14:paraId="79C48E2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SG13</w:t>
            </w:r>
          </w:p>
        </w:tc>
        <w:tc>
          <w:tcPr>
            <w:tcW w:w="1885" w:type="dxa"/>
            <w:shd w:val="clear" w:color="auto" w:fill="auto"/>
          </w:tcPr>
          <w:p w14:paraId="048DFC5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Ms Yuan</w:t>
            </w:r>
          </w:p>
        </w:tc>
        <w:tc>
          <w:tcPr>
            <w:tcW w:w="1985" w:type="dxa"/>
          </w:tcPr>
          <w:p w14:paraId="5616091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ZHANG</w:t>
            </w:r>
          </w:p>
        </w:tc>
        <w:tc>
          <w:tcPr>
            <w:tcW w:w="2827" w:type="dxa"/>
          </w:tcPr>
          <w:p w14:paraId="2667AAB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China (P.R.)</w:t>
            </w:r>
          </w:p>
        </w:tc>
        <w:tc>
          <w:tcPr>
            <w:tcW w:w="1844" w:type="dxa"/>
          </w:tcPr>
          <w:p w14:paraId="720E30B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049BE3BF" w14:textId="77777777" w:rsidTr="003200C1">
        <w:trPr>
          <w:jc w:val="center"/>
        </w:trPr>
        <w:tc>
          <w:tcPr>
            <w:tcW w:w="1087" w:type="dxa"/>
            <w:shd w:val="clear" w:color="auto" w:fill="auto"/>
          </w:tcPr>
          <w:p w14:paraId="687EF6D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SG13</w:t>
            </w:r>
          </w:p>
        </w:tc>
        <w:tc>
          <w:tcPr>
            <w:tcW w:w="1885" w:type="dxa"/>
            <w:shd w:val="clear" w:color="auto" w:fill="auto"/>
          </w:tcPr>
          <w:p w14:paraId="69D1971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Ms Rim</w:t>
            </w:r>
          </w:p>
        </w:tc>
        <w:tc>
          <w:tcPr>
            <w:tcW w:w="1985" w:type="dxa"/>
          </w:tcPr>
          <w:p w14:paraId="289E0B2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BELHASSINE-CHERIF</w:t>
            </w:r>
          </w:p>
        </w:tc>
        <w:tc>
          <w:tcPr>
            <w:tcW w:w="2827" w:type="dxa"/>
          </w:tcPr>
          <w:p w14:paraId="521F6B3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Tunisia</w:t>
            </w:r>
          </w:p>
        </w:tc>
        <w:tc>
          <w:tcPr>
            <w:tcW w:w="1844" w:type="dxa"/>
          </w:tcPr>
          <w:p w14:paraId="1A608A0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3E266E5D" w14:textId="77777777" w:rsidTr="003200C1">
        <w:trPr>
          <w:jc w:val="center"/>
        </w:trPr>
        <w:tc>
          <w:tcPr>
            <w:tcW w:w="1087" w:type="dxa"/>
            <w:shd w:val="clear" w:color="auto" w:fill="auto"/>
          </w:tcPr>
          <w:p w14:paraId="6B7CC88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SG13</w:t>
            </w:r>
          </w:p>
        </w:tc>
        <w:tc>
          <w:tcPr>
            <w:tcW w:w="1885" w:type="dxa"/>
            <w:shd w:val="clear" w:color="auto" w:fill="auto"/>
          </w:tcPr>
          <w:p w14:paraId="2D25374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Ms Soum</w:t>
            </w:r>
            <w:r w:rsidR="00B532A2" w:rsidRPr="00380B40">
              <w:rPr>
                <w:szCs w:val="24"/>
              </w:rPr>
              <w:t>a</w:t>
            </w:r>
            <w:r w:rsidRPr="00380B40">
              <w:rPr>
                <w:szCs w:val="24"/>
              </w:rPr>
              <w:t>ya</w:t>
            </w:r>
          </w:p>
        </w:tc>
        <w:tc>
          <w:tcPr>
            <w:tcW w:w="1985" w:type="dxa"/>
          </w:tcPr>
          <w:p w14:paraId="07C6C25D" w14:textId="77777777" w:rsidR="0012432B" w:rsidRPr="00380B40" w:rsidRDefault="00B532A2" w:rsidP="00B532A2">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t>BENBARTAOUI</w:t>
            </w:r>
          </w:p>
        </w:tc>
        <w:tc>
          <w:tcPr>
            <w:tcW w:w="2827" w:type="dxa"/>
          </w:tcPr>
          <w:p w14:paraId="6F1B314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Algeria</w:t>
            </w:r>
          </w:p>
        </w:tc>
        <w:tc>
          <w:tcPr>
            <w:tcW w:w="1844" w:type="dxa"/>
          </w:tcPr>
          <w:p w14:paraId="013DE27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522CD744" w14:textId="77777777" w:rsidTr="003200C1">
        <w:trPr>
          <w:jc w:val="center"/>
        </w:trPr>
        <w:tc>
          <w:tcPr>
            <w:tcW w:w="1087" w:type="dxa"/>
            <w:shd w:val="clear" w:color="auto" w:fill="auto"/>
          </w:tcPr>
          <w:p w14:paraId="6364ABE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SG13</w:t>
            </w:r>
          </w:p>
        </w:tc>
        <w:tc>
          <w:tcPr>
            <w:tcW w:w="1885" w:type="dxa"/>
            <w:shd w:val="clear" w:color="auto" w:fill="auto"/>
          </w:tcPr>
          <w:p w14:paraId="28243C4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Faleh</w:t>
            </w:r>
          </w:p>
        </w:tc>
        <w:tc>
          <w:tcPr>
            <w:tcW w:w="1985" w:type="dxa"/>
          </w:tcPr>
          <w:p w14:paraId="1129247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AL-GHAMDI</w:t>
            </w:r>
          </w:p>
        </w:tc>
        <w:tc>
          <w:tcPr>
            <w:tcW w:w="2827" w:type="dxa"/>
          </w:tcPr>
          <w:p w14:paraId="7268DDA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Saudi Arabia</w:t>
            </w:r>
          </w:p>
        </w:tc>
        <w:tc>
          <w:tcPr>
            <w:tcW w:w="1844" w:type="dxa"/>
          </w:tcPr>
          <w:p w14:paraId="3C0CCD4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09AE0D22" w14:textId="77777777" w:rsidTr="003200C1">
        <w:trPr>
          <w:jc w:val="center"/>
        </w:trPr>
        <w:tc>
          <w:tcPr>
            <w:tcW w:w="1087" w:type="dxa"/>
            <w:shd w:val="clear" w:color="auto" w:fill="auto"/>
          </w:tcPr>
          <w:p w14:paraId="1D4B32C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SG13</w:t>
            </w:r>
          </w:p>
        </w:tc>
        <w:tc>
          <w:tcPr>
            <w:tcW w:w="1885" w:type="dxa"/>
            <w:shd w:val="clear" w:color="auto" w:fill="auto"/>
          </w:tcPr>
          <w:p w14:paraId="68E8E04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Brice</w:t>
            </w:r>
          </w:p>
        </w:tc>
        <w:tc>
          <w:tcPr>
            <w:tcW w:w="1985" w:type="dxa"/>
          </w:tcPr>
          <w:p w14:paraId="48F0DCA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MURARA</w:t>
            </w:r>
          </w:p>
        </w:tc>
        <w:tc>
          <w:tcPr>
            <w:tcW w:w="2827" w:type="dxa"/>
          </w:tcPr>
          <w:p w14:paraId="5B4E033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Rwanda</w:t>
            </w:r>
          </w:p>
        </w:tc>
        <w:tc>
          <w:tcPr>
            <w:tcW w:w="1844" w:type="dxa"/>
          </w:tcPr>
          <w:p w14:paraId="5ADDCA7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51EBAACD" w14:textId="77777777" w:rsidTr="003200C1">
        <w:trPr>
          <w:jc w:val="center"/>
        </w:trPr>
        <w:tc>
          <w:tcPr>
            <w:tcW w:w="1087" w:type="dxa"/>
            <w:shd w:val="clear" w:color="auto" w:fill="auto"/>
          </w:tcPr>
          <w:p w14:paraId="753A7E2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SG13</w:t>
            </w:r>
          </w:p>
        </w:tc>
        <w:tc>
          <w:tcPr>
            <w:tcW w:w="1885" w:type="dxa"/>
            <w:shd w:val="clear" w:color="auto" w:fill="auto"/>
          </w:tcPr>
          <w:p w14:paraId="6006B63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t>Mr Mark</w:t>
            </w:r>
          </w:p>
        </w:tc>
        <w:tc>
          <w:tcPr>
            <w:tcW w:w="1985" w:type="dxa"/>
          </w:tcPr>
          <w:p w14:paraId="7C888B2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McFADDEN</w:t>
            </w:r>
          </w:p>
        </w:tc>
        <w:tc>
          <w:tcPr>
            <w:tcW w:w="2827" w:type="dxa"/>
          </w:tcPr>
          <w:p w14:paraId="1D4E719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United Kingdom</w:t>
            </w:r>
          </w:p>
        </w:tc>
        <w:tc>
          <w:tcPr>
            <w:tcW w:w="1844" w:type="dxa"/>
          </w:tcPr>
          <w:p w14:paraId="656795D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4EBAC93B" w14:textId="77777777" w:rsidTr="003200C1">
        <w:trPr>
          <w:jc w:val="center"/>
        </w:trPr>
        <w:tc>
          <w:tcPr>
            <w:tcW w:w="1087" w:type="dxa"/>
            <w:shd w:val="clear" w:color="auto" w:fill="auto"/>
          </w:tcPr>
          <w:p w14:paraId="59044A9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SG13</w:t>
            </w:r>
          </w:p>
        </w:tc>
        <w:tc>
          <w:tcPr>
            <w:tcW w:w="1885" w:type="dxa"/>
            <w:shd w:val="clear" w:color="auto" w:fill="auto"/>
          </w:tcPr>
          <w:p w14:paraId="14ADA38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Bülent</w:t>
            </w:r>
          </w:p>
        </w:tc>
        <w:tc>
          <w:tcPr>
            <w:tcW w:w="1985" w:type="dxa"/>
          </w:tcPr>
          <w:p w14:paraId="646809E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ARSAL</w:t>
            </w:r>
          </w:p>
        </w:tc>
        <w:tc>
          <w:tcPr>
            <w:tcW w:w="2827" w:type="dxa"/>
          </w:tcPr>
          <w:p w14:paraId="0650A6C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Turkey</w:t>
            </w:r>
          </w:p>
        </w:tc>
        <w:tc>
          <w:tcPr>
            <w:tcW w:w="1844" w:type="dxa"/>
          </w:tcPr>
          <w:p w14:paraId="5F1BF60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47CCC813" w14:textId="77777777" w:rsidTr="003200C1">
        <w:trPr>
          <w:jc w:val="center"/>
        </w:trPr>
        <w:tc>
          <w:tcPr>
            <w:tcW w:w="1087" w:type="dxa"/>
            <w:shd w:val="clear" w:color="auto" w:fill="auto"/>
          </w:tcPr>
          <w:p w14:paraId="6EC6AFF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SG13</w:t>
            </w:r>
          </w:p>
        </w:tc>
        <w:tc>
          <w:tcPr>
            <w:tcW w:w="1885" w:type="dxa"/>
            <w:shd w:val="clear" w:color="auto" w:fill="auto"/>
          </w:tcPr>
          <w:p w14:paraId="5759F7F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Ms Anabel</w:t>
            </w:r>
          </w:p>
        </w:tc>
        <w:tc>
          <w:tcPr>
            <w:tcW w:w="1985" w:type="dxa"/>
          </w:tcPr>
          <w:p w14:paraId="318A992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DEL CARMEN CISNEROS</w:t>
            </w:r>
          </w:p>
        </w:tc>
        <w:tc>
          <w:tcPr>
            <w:tcW w:w="2827" w:type="dxa"/>
          </w:tcPr>
          <w:p w14:paraId="2D22E9A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Argentina</w:t>
            </w:r>
          </w:p>
        </w:tc>
        <w:tc>
          <w:tcPr>
            <w:tcW w:w="1844" w:type="dxa"/>
          </w:tcPr>
          <w:p w14:paraId="2F6B70A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4605E7C5" w14:textId="77777777" w:rsidTr="003200C1">
        <w:trPr>
          <w:jc w:val="center"/>
        </w:trPr>
        <w:tc>
          <w:tcPr>
            <w:tcW w:w="1087" w:type="dxa"/>
            <w:shd w:val="clear" w:color="auto" w:fill="auto"/>
          </w:tcPr>
          <w:p w14:paraId="162456D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b/>
                <w:bCs/>
              </w:rPr>
            </w:pPr>
            <w:r w:rsidRPr="00380B40">
              <w:rPr>
                <w:b/>
                <w:bCs/>
              </w:rPr>
              <w:t>SG13</w:t>
            </w:r>
          </w:p>
        </w:tc>
        <w:tc>
          <w:tcPr>
            <w:tcW w:w="1885" w:type="dxa"/>
            <w:shd w:val="clear" w:color="auto" w:fill="auto"/>
          </w:tcPr>
          <w:p w14:paraId="0B24836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color w:val="000000"/>
                <w:szCs w:val="24"/>
              </w:rPr>
            </w:pPr>
            <w:r w:rsidRPr="00380B40">
              <w:rPr>
                <w:szCs w:val="24"/>
              </w:rPr>
              <w:t>Mr Scott Andrew</w:t>
            </w:r>
          </w:p>
        </w:tc>
        <w:tc>
          <w:tcPr>
            <w:tcW w:w="1985" w:type="dxa"/>
          </w:tcPr>
          <w:p w14:paraId="12D28FB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color w:val="000000"/>
                <w:szCs w:val="24"/>
              </w:rPr>
            </w:pPr>
            <w:r w:rsidRPr="00380B40">
              <w:rPr>
                <w:szCs w:val="24"/>
              </w:rPr>
              <w:t>MANSFIELD</w:t>
            </w:r>
          </w:p>
        </w:tc>
        <w:tc>
          <w:tcPr>
            <w:tcW w:w="2827" w:type="dxa"/>
          </w:tcPr>
          <w:p w14:paraId="32E126C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rPr>
                <w:szCs w:val="24"/>
              </w:rPr>
              <w:t>Ericsson Canada, Canada</w:t>
            </w:r>
          </w:p>
        </w:tc>
        <w:tc>
          <w:tcPr>
            <w:tcW w:w="1844" w:type="dxa"/>
          </w:tcPr>
          <w:p w14:paraId="029916A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rPr>
                <w:szCs w:val="24"/>
              </w:rPr>
              <w:t>Vice-Chairman</w:t>
            </w:r>
          </w:p>
        </w:tc>
      </w:tr>
      <w:tr w:rsidR="0012432B" w:rsidRPr="00380B40" w14:paraId="735BA6B0" w14:textId="77777777" w:rsidTr="003200C1">
        <w:trPr>
          <w:jc w:val="center"/>
        </w:trPr>
        <w:tc>
          <w:tcPr>
            <w:tcW w:w="1087" w:type="dxa"/>
            <w:shd w:val="clear" w:color="auto" w:fill="auto"/>
          </w:tcPr>
          <w:p w14:paraId="6B993CC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b/>
                <w:bCs/>
              </w:rPr>
            </w:pPr>
            <w:r w:rsidRPr="00380B40">
              <w:rPr>
                <w:b/>
                <w:bCs/>
              </w:rPr>
              <w:t>SG13</w:t>
            </w:r>
          </w:p>
        </w:tc>
        <w:tc>
          <w:tcPr>
            <w:tcW w:w="1885" w:type="dxa"/>
            <w:shd w:val="clear" w:color="auto" w:fill="auto"/>
          </w:tcPr>
          <w:p w14:paraId="70BD37F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color w:val="000000"/>
                <w:szCs w:val="24"/>
              </w:rPr>
            </w:pPr>
            <w:r w:rsidRPr="00380B40">
              <w:rPr>
                <w:color w:val="000000"/>
                <w:szCs w:val="24"/>
              </w:rPr>
              <w:t>Mr Mehmet</w:t>
            </w:r>
          </w:p>
        </w:tc>
        <w:tc>
          <w:tcPr>
            <w:tcW w:w="1985" w:type="dxa"/>
          </w:tcPr>
          <w:p w14:paraId="2619F0C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color w:val="000000"/>
                <w:szCs w:val="24"/>
              </w:rPr>
            </w:pPr>
            <w:r w:rsidRPr="00380B40">
              <w:rPr>
                <w:color w:val="000000"/>
                <w:szCs w:val="24"/>
              </w:rPr>
              <w:t>TOY</w:t>
            </w:r>
          </w:p>
        </w:tc>
        <w:tc>
          <w:tcPr>
            <w:tcW w:w="2827" w:type="dxa"/>
          </w:tcPr>
          <w:p w14:paraId="4C37C71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rPr>
                <w:szCs w:val="24"/>
              </w:rPr>
              <w:t>United States</w:t>
            </w:r>
          </w:p>
        </w:tc>
        <w:tc>
          <w:tcPr>
            <w:tcW w:w="1844" w:type="dxa"/>
          </w:tcPr>
          <w:p w14:paraId="12DE407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rPr>
                <w:szCs w:val="24"/>
              </w:rPr>
              <w:t>Vice-Chairman</w:t>
            </w:r>
          </w:p>
        </w:tc>
      </w:tr>
      <w:tr w:rsidR="0012432B" w:rsidRPr="00380B40" w14:paraId="3E18EBCC" w14:textId="77777777" w:rsidTr="003200C1">
        <w:trPr>
          <w:jc w:val="center"/>
        </w:trPr>
        <w:tc>
          <w:tcPr>
            <w:tcW w:w="1087" w:type="dxa"/>
            <w:shd w:val="clear" w:color="auto" w:fill="auto"/>
          </w:tcPr>
          <w:p w14:paraId="1E16942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b/>
                <w:bCs/>
              </w:rPr>
            </w:pPr>
            <w:r w:rsidRPr="00380B40">
              <w:rPr>
                <w:b/>
                <w:bCs/>
              </w:rPr>
              <w:t>SG13</w:t>
            </w:r>
          </w:p>
        </w:tc>
        <w:tc>
          <w:tcPr>
            <w:tcW w:w="1885" w:type="dxa"/>
            <w:shd w:val="clear" w:color="auto" w:fill="auto"/>
          </w:tcPr>
          <w:p w14:paraId="633DF9A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color w:val="000000"/>
                <w:szCs w:val="24"/>
              </w:rPr>
            </w:pPr>
            <w:r w:rsidRPr="00380B40">
              <w:rPr>
                <w:color w:val="000000"/>
                <w:szCs w:val="24"/>
              </w:rPr>
              <w:t>Mr O.N.</w:t>
            </w:r>
          </w:p>
        </w:tc>
        <w:tc>
          <w:tcPr>
            <w:tcW w:w="1985" w:type="dxa"/>
          </w:tcPr>
          <w:p w14:paraId="5B9E531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color w:val="000000"/>
                <w:szCs w:val="24"/>
              </w:rPr>
            </w:pPr>
            <w:r w:rsidRPr="00380B40">
              <w:rPr>
                <w:color w:val="000000"/>
                <w:szCs w:val="24"/>
              </w:rPr>
              <w:t>ASADOV</w:t>
            </w:r>
          </w:p>
        </w:tc>
        <w:tc>
          <w:tcPr>
            <w:tcW w:w="2827" w:type="dxa"/>
          </w:tcPr>
          <w:p w14:paraId="63E60BF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rPr>
                <w:szCs w:val="24"/>
              </w:rPr>
              <w:t>Republic of Uzbekistan</w:t>
            </w:r>
          </w:p>
        </w:tc>
        <w:tc>
          <w:tcPr>
            <w:tcW w:w="1844" w:type="dxa"/>
          </w:tcPr>
          <w:p w14:paraId="0B65090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rPr>
                <w:szCs w:val="24"/>
              </w:rPr>
              <w:t>Vice-Chairman</w:t>
            </w:r>
          </w:p>
        </w:tc>
      </w:tr>
    </w:tbl>
    <w:p w14:paraId="5D1AD42A" w14:textId="77777777" w:rsidR="0012432B" w:rsidRPr="00380B40" w:rsidRDefault="0012432B" w:rsidP="0012432B">
      <w:pPr>
        <w:rPr>
          <w:b/>
          <w:bCs/>
          <w:lang w:val="en-GB"/>
        </w:rPr>
      </w:pPr>
      <w:r w:rsidRPr="00380B40">
        <w:rPr>
          <w:b/>
          <w:bCs/>
          <w:lang w:val="en-GB"/>
        </w:rPr>
        <w:br w:type="page"/>
      </w:r>
    </w:p>
    <w:p w14:paraId="694A2E0A" w14:textId="77777777" w:rsidR="0012432B" w:rsidRPr="00380B40" w:rsidRDefault="0012432B" w:rsidP="0012432B">
      <w:pPr>
        <w:pStyle w:val="Headingb1"/>
      </w:pPr>
      <w:r w:rsidRPr="00380B40">
        <w:t>Study Group 15 – Networks, technologies and infrastructures for transport, access and home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1985"/>
        <w:gridCol w:w="2827"/>
        <w:gridCol w:w="1844"/>
      </w:tblGrid>
      <w:tr w:rsidR="0012432B" w:rsidRPr="00380B40" w14:paraId="3F8D9CF9" w14:textId="77777777" w:rsidTr="003200C1">
        <w:trPr>
          <w:jc w:val="center"/>
        </w:trPr>
        <w:tc>
          <w:tcPr>
            <w:tcW w:w="1087" w:type="dxa"/>
            <w:shd w:val="clear" w:color="auto" w:fill="auto"/>
            <w:vAlign w:val="center"/>
          </w:tcPr>
          <w:p w14:paraId="5DD52D38" w14:textId="77777777" w:rsidR="0012432B" w:rsidRPr="00380B40" w:rsidRDefault="0012432B" w:rsidP="004E4CA9">
            <w:pPr>
              <w:pStyle w:val="Tableheadwhitecentred"/>
              <w:rPr>
                <w:b w:val="0"/>
              </w:rPr>
            </w:pPr>
            <w:r w:rsidRPr="00380B40">
              <w:t xml:space="preserve">Group </w:t>
            </w:r>
          </w:p>
        </w:tc>
        <w:tc>
          <w:tcPr>
            <w:tcW w:w="3870" w:type="dxa"/>
            <w:gridSpan w:val="2"/>
            <w:shd w:val="clear" w:color="auto" w:fill="auto"/>
            <w:vAlign w:val="center"/>
          </w:tcPr>
          <w:p w14:paraId="56349349" w14:textId="77777777" w:rsidR="0012432B" w:rsidRPr="00380B40" w:rsidRDefault="0012432B" w:rsidP="004E4CA9">
            <w:pPr>
              <w:pStyle w:val="Tableheadwhitecentred"/>
            </w:pPr>
            <w:r w:rsidRPr="00380B40">
              <w:t xml:space="preserve">Name </w:t>
            </w:r>
          </w:p>
        </w:tc>
        <w:tc>
          <w:tcPr>
            <w:tcW w:w="2827" w:type="dxa"/>
          </w:tcPr>
          <w:p w14:paraId="3A033E79" w14:textId="77777777" w:rsidR="0012432B" w:rsidRPr="00380B40" w:rsidRDefault="0012432B" w:rsidP="004E4CA9">
            <w:pPr>
              <w:pStyle w:val="Tableheadwhitecentred"/>
            </w:pPr>
            <w:r w:rsidRPr="00380B40">
              <w:t>Country/ Company</w:t>
            </w:r>
          </w:p>
        </w:tc>
        <w:tc>
          <w:tcPr>
            <w:tcW w:w="1844" w:type="dxa"/>
          </w:tcPr>
          <w:p w14:paraId="29807177" w14:textId="77777777" w:rsidR="0012432B" w:rsidRPr="00380B40" w:rsidRDefault="0012432B" w:rsidP="004E4CA9">
            <w:pPr>
              <w:pStyle w:val="Tableheadwhitecentred"/>
            </w:pPr>
          </w:p>
        </w:tc>
      </w:tr>
      <w:tr w:rsidR="0012432B" w:rsidRPr="00380B40" w14:paraId="102F85E8" w14:textId="77777777" w:rsidTr="003200C1">
        <w:trPr>
          <w:jc w:val="center"/>
        </w:trPr>
        <w:tc>
          <w:tcPr>
            <w:tcW w:w="1087" w:type="dxa"/>
            <w:shd w:val="clear" w:color="auto" w:fill="auto"/>
          </w:tcPr>
          <w:p w14:paraId="36CBE5E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SG15</w:t>
            </w:r>
          </w:p>
        </w:tc>
        <w:tc>
          <w:tcPr>
            <w:tcW w:w="1885" w:type="dxa"/>
            <w:shd w:val="clear" w:color="auto" w:fill="auto"/>
          </w:tcPr>
          <w:p w14:paraId="473ED86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color w:val="000000"/>
                <w:szCs w:val="24"/>
              </w:rPr>
              <w:t>Mr Glenn Wilson</w:t>
            </w:r>
          </w:p>
        </w:tc>
        <w:tc>
          <w:tcPr>
            <w:tcW w:w="1985" w:type="dxa"/>
          </w:tcPr>
          <w:p w14:paraId="50FFF3C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color w:val="000000"/>
                <w:szCs w:val="24"/>
              </w:rPr>
              <w:t>PARSONS</w:t>
            </w:r>
          </w:p>
        </w:tc>
        <w:tc>
          <w:tcPr>
            <w:tcW w:w="2827" w:type="dxa"/>
          </w:tcPr>
          <w:p w14:paraId="0638F54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Ericsson Canada</w:t>
            </w:r>
          </w:p>
        </w:tc>
        <w:tc>
          <w:tcPr>
            <w:tcW w:w="1844" w:type="dxa"/>
          </w:tcPr>
          <w:p w14:paraId="5225D37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Chairman</w:t>
            </w:r>
          </w:p>
        </w:tc>
      </w:tr>
      <w:tr w:rsidR="0012432B" w:rsidRPr="00380B40" w14:paraId="0B51C268" w14:textId="77777777" w:rsidTr="003200C1">
        <w:trPr>
          <w:jc w:val="center"/>
        </w:trPr>
        <w:tc>
          <w:tcPr>
            <w:tcW w:w="1087" w:type="dxa"/>
            <w:shd w:val="clear" w:color="auto" w:fill="auto"/>
          </w:tcPr>
          <w:p w14:paraId="0A30D5C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SG15</w:t>
            </w:r>
          </w:p>
        </w:tc>
        <w:tc>
          <w:tcPr>
            <w:tcW w:w="1885" w:type="dxa"/>
            <w:shd w:val="clear" w:color="auto" w:fill="auto"/>
          </w:tcPr>
          <w:p w14:paraId="0E86B5A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Fatai</w:t>
            </w:r>
          </w:p>
        </w:tc>
        <w:tc>
          <w:tcPr>
            <w:tcW w:w="1985" w:type="dxa"/>
          </w:tcPr>
          <w:p w14:paraId="60F3602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ZHANG</w:t>
            </w:r>
          </w:p>
        </w:tc>
        <w:tc>
          <w:tcPr>
            <w:tcW w:w="2827" w:type="dxa"/>
          </w:tcPr>
          <w:p w14:paraId="73BD3AA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China (P.R.)</w:t>
            </w:r>
          </w:p>
        </w:tc>
        <w:tc>
          <w:tcPr>
            <w:tcW w:w="1844" w:type="dxa"/>
          </w:tcPr>
          <w:p w14:paraId="3D80A54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0773A2C1" w14:textId="77777777" w:rsidTr="003200C1">
        <w:trPr>
          <w:jc w:val="center"/>
        </w:trPr>
        <w:tc>
          <w:tcPr>
            <w:tcW w:w="1087" w:type="dxa"/>
            <w:shd w:val="clear" w:color="auto" w:fill="auto"/>
          </w:tcPr>
          <w:p w14:paraId="5A9BBDF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SG15</w:t>
            </w:r>
          </w:p>
        </w:tc>
        <w:tc>
          <w:tcPr>
            <w:tcW w:w="1885" w:type="dxa"/>
            <w:shd w:val="clear" w:color="auto" w:fill="auto"/>
          </w:tcPr>
          <w:p w14:paraId="23D275D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 xml:space="preserve">Mr Sudipta </w:t>
            </w:r>
          </w:p>
        </w:tc>
        <w:tc>
          <w:tcPr>
            <w:tcW w:w="1985" w:type="dxa"/>
          </w:tcPr>
          <w:p w14:paraId="5BFF377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BHAUMIK</w:t>
            </w:r>
          </w:p>
        </w:tc>
        <w:tc>
          <w:tcPr>
            <w:tcW w:w="2827" w:type="dxa"/>
          </w:tcPr>
          <w:p w14:paraId="68FF5D7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India</w:t>
            </w:r>
          </w:p>
        </w:tc>
        <w:tc>
          <w:tcPr>
            <w:tcW w:w="1844" w:type="dxa"/>
          </w:tcPr>
          <w:p w14:paraId="27B28A6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3D04D4A4" w14:textId="77777777" w:rsidTr="003200C1">
        <w:trPr>
          <w:jc w:val="center"/>
        </w:trPr>
        <w:tc>
          <w:tcPr>
            <w:tcW w:w="1087" w:type="dxa"/>
            <w:shd w:val="clear" w:color="auto" w:fill="auto"/>
          </w:tcPr>
          <w:p w14:paraId="7A376EB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SG15</w:t>
            </w:r>
          </w:p>
        </w:tc>
        <w:tc>
          <w:tcPr>
            <w:tcW w:w="1885" w:type="dxa"/>
            <w:shd w:val="clear" w:color="auto" w:fill="auto"/>
          </w:tcPr>
          <w:p w14:paraId="3B9F9A4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Taesik</w:t>
            </w:r>
          </w:p>
        </w:tc>
        <w:tc>
          <w:tcPr>
            <w:tcW w:w="1985" w:type="dxa"/>
          </w:tcPr>
          <w:p w14:paraId="74EE855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CHEUNG</w:t>
            </w:r>
          </w:p>
        </w:tc>
        <w:tc>
          <w:tcPr>
            <w:tcW w:w="2827" w:type="dxa"/>
          </w:tcPr>
          <w:p w14:paraId="7D7F060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Korea (Rep. of)</w:t>
            </w:r>
          </w:p>
        </w:tc>
        <w:tc>
          <w:tcPr>
            <w:tcW w:w="1844" w:type="dxa"/>
          </w:tcPr>
          <w:p w14:paraId="0D16C15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0DA7B902" w14:textId="77777777" w:rsidTr="003200C1">
        <w:trPr>
          <w:jc w:val="center"/>
        </w:trPr>
        <w:tc>
          <w:tcPr>
            <w:tcW w:w="1087" w:type="dxa"/>
            <w:shd w:val="clear" w:color="auto" w:fill="auto"/>
          </w:tcPr>
          <w:p w14:paraId="7D5E78D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SG15</w:t>
            </w:r>
          </w:p>
        </w:tc>
        <w:tc>
          <w:tcPr>
            <w:tcW w:w="1885" w:type="dxa"/>
            <w:shd w:val="clear" w:color="auto" w:fill="auto"/>
          </w:tcPr>
          <w:p w14:paraId="2C4E7AB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Mohamed Amine</w:t>
            </w:r>
          </w:p>
        </w:tc>
        <w:tc>
          <w:tcPr>
            <w:tcW w:w="1985" w:type="dxa"/>
          </w:tcPr>
          <w:p w14:paraId="59C78C2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BENZIANE</w:t>
            </w:r>
          </w:p>
        </w:tc>
        <w:tc>
          <w:tcPr>
            <w:tcW w:w="2827" w:type="dxa"/>
          </w:tcPr>
          <w:p w14:paraId="5757EEA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Algérie Télécom</w:t>
            </w:r>
          </w:p>
        </w:tc>
        <w:tc>
          <w:tcPr>
            <w:tcW w:w="1844" w:type="dxa"/>
          </w:tcPr>
          <w:p w14:paraId="636AA77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33ACE198" w14:textId="77777777" w:rsidTr="003200C1">
        <w:trPr>
          <w:jc w:val="center"/>
        </w:trPr>
        <w:tc>
          <w:tcPr>
            <w:tcW w:w="1087" w:type="dxa"/>
            <w:shd w:val="clear" w:color="auto" w:fill="auto"/>
          </w:tcPr>
          <w:p w14:paraId="7671325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SG15</w:t>
            </w:r>
          </w:p>
        </w:tc>
        <w:tc>
          <w:tcPr>
            <w:tcW w:w="1885" w:type="dxa"/>
            <w:shd w:val="clear" w:color="auto" w:fill="auto"/>
          </w:tcPr>
          <w:p w14:paraId="6FA5A27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Cyrille Vivien</w:t>
            </w:r>
          </w:p>
        </w:tc>
        <w:tc>
          <w:tcPr>
            <w:tcW w:w="1985" w:type="dxa"/>
          </w:tcPr>
          <w:p w14:paraId="4056FED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VEZONGADA</w:t>
            </w:r>
          </w:p>
        </w:tc>
        <w:tc>
          <w:tcPr>
            <w:tcW w:w="2827" w:type="dxa"/>
          </w:tcPr>
          <w:p w14:paraId="647BFDF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Central African Republic</w:t>
            </w:r>
          </w:p>
        </w:tc>
        <w:tc>
          <w:tcPr>
            <w:tcW w:w="1844" w:type="dxa"/>
          </w:tcPr>
          <w:p w14:paraId="03CB920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7718739B" w14:textId="77777777" w:rsidTr="003200C1">
        <w:trPr>
          <w:jc w:val="center"/>
        </w:trPr>
        <w:tc>
          <w:tcPr>
            <w:tcW w:w="1087" w:type="dxa"/>
            <w:shd w:val="clear" w:color="auto" w:fill="auto"/>
          </w:tcPr>
          <w:p w14:paraId="0A5744A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SG15</w:t>
            </w:r>
          </w:p>
        </w:tc>
        <w:tc>
          <w:tcPr>
            <w:tcW w:w="1885" w:type="dxa"/>
            <w:shd w:val="clear" w:color="auto" w:fill="auto"/>
          </w:tcPr>
          <w:p w14:paraId="50F1C2F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Emanuele</w:t>
            </w:r>
          </w:p>
        </w:tc>
        <w:tc>
          <w:tcPr>
            <w:tcW w:w="1985" w:type="dxa"/>
          </w:tcPr>
          <w:p w14:paraId="65D140B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NASTRI</w:t>
            </w:r>
          </w:p>
        </w:tc>
        <w:tc>
          <w:tcPr>
            <w:tcW w:w="2827" w:type="dxa"/>
          </w:tcPr>
          <w:p w14:paraId="27AC952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Italy</w:t>
            </w:r>
          </w:p>
        </w:tc>
        <w:tc>
          <w:tcPr>
            <w:tcW w:w="1844" w:type="dxa"/>
          </w:tcPr>
          <w:p w14:paraId="22E2EFD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5E8D20CD" w14:textId="77777777" w:rsidTr="003200C1">
        <w:trPr>
          <w:jc w:val="center"/>
        </w:trPr>
        <w:tc>
          <w:tcPr>
            <w:tcW w:w="1087" w:type="dxa"/>
            <w:shd w:val="clear" w:color="auto" w:fill="auto"/>
          </w:tcPr>
          <w:p w14:paraId="0017F35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SG15</w:t>
            </w:r>
          </w:p>
        </w:tc>
        <w:tc>
          <w:tcPr>
            <w:tcW w:w="1885" w:type="dxa"/>
            <w:shd w:val="clear" w:color="auto" w:fill="auto"/>
          </w:tcPr>
          <w:p w14:paraId="31DF88D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Thomas</w:t>
            </w:r>
          </w:p>
        </w:tc>
        <w:tc>
          <w:tcPr>
            <w:tcW w:w="1985" w:type="dxa"/>
          </w:tcPr>
          <w:p w14:paraId="6792062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HUBER</w:t>
            </w:r>
          </w:p>
        </w:tc>
        <w:tc>
          <w:tcPr>
            <w:tcW w:w="2827" w:type="dxa"/>
          </w:tcPr>
          <w:p w14:paraId="6802464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iCs/>
                <w:szCs w:val="24"/>
              </w:rPr>
              <w:t>United States</w:t>
            </w:r>
          </w:p>
        </w:tc>
        <w:tc>
          <w:tcPr>
            <w:tcW w:w="1844" w:type="dxa"/>
          </w:tcPr>
          <w:p w14:paraId="3A4E07C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iCs/>
                <w:szCs w:val="24"/>
              </w:rPr>
              <w:t>Vice-Chairman</w:t>
            </w:r>
          </w:p>
        </w:tc>
      </w:tr>
    </w:tbl>
    <w:p w14:paraId="67304B8F" w14:textId="77777777" w:rsidR="0012432B" w:rsidRPr="00380B40" w:rsidRDefault="0012432B" w:rsidP="0012432B">
      <w:pPr>
        <w:pStyle w:val="Headingb1"/>
      </w:pPr>
    </w:p>
    <w:p w14:paraId="42CFAD27" w14:textId="77777777" w:rsidR="0012432B" w:rsidRPr="00380B40" w:rsidRDefault="0012432B" w:rsidP="0012432B">
      <w:pPr>
        <w:pStyle w:val="Headingb1"/>
      </w:pPr>
      <w:r w:rsidRPr="00380B40">
        <w:t>Study Group 16 – Multimedia coding, systems and applications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1985"/>
        <w:gridCol w:w="2827"/>
        <w:gridCol w:w="1844"/>
      </w:tblGrid>
      <w:tr w:rsidR="0012432B" w:rsidRPr="00380B40" w14:paraId="5249E62F" w14:textId="77777777" w:rsidTr="003200C1">
        <w:trPr>
          <w:jc w:val="center"/>
        </w:trPr>
        <w:tc>
          <w:tcPr>
            <w:tcW w:w="1087" w:type="dxa"/>
            <w:shd w:val="clear" w:color="auto" w:fill="auto"/>
            <w:vAlign w:val="center"/>
          </w:tcPr>
          <w:p w14:paraId="343282D7" w14:textId="77777777" w:rsidR="0012432B" w:rsidRPr="00380B40" w:rsidRDefault="0012432B" w:rsidP="004E4CA9">
            <w:pPr>
              <w:pStyle w:val="Tableheadwhitecentred"/>
              <w:rPr>
                <w:b w:val="0"/>
              </w:rPr>
            </w:pPr>
            <w:r w:rsidRPr="00380B40">
              <w:t xml:space="preserve">Group </w:t>
            </w:r>
          </w:p>
        </w:tc>
        <w:tc>
          <w:tcPr>
            <w:tcW w:w="3870" w:type="dxa"/>
            <w:gridSpan w:val="2"/>
            <w:shd w:val="clear" w:color="auto" w:fill="auto"/>
            <w:vAlign w:val="center"/>
          </w:tcPr>
          <w:p w14:paraId="10D24B80" w14:textId="77777777" w:rsidR="0012432B" w:rsidRPr="00380B40" w:rsidRDefault="0012432B" w:rsidP="004E4CA9">
            <w:pPr>
              <w:pStyle w:val="Tableheadwhitecentred"/>
            </w:pPr>
            <w:r w:rsidRPr="00380B40">
              <w:t xml:space="preserve">Name </w:t>
            </w:r>
          </w:p>
        </w:tc>
        <w:tc>
          <w:tcPr>
            <w:tcW w:w="2827" w:type="dxa"/>
          </w:tcPr>
          <w:p w14:paraId="6EA7155C" w14:textId="77777777" w:rsidR="0012432B" w:rsidRPr="00380B40" w:rsidRDefault="0012432B" w:rsidP="004E4CA9">
            <w:pPr>
              <w:pStyle w:val="Tableheadwhitecentred"/>
            </w:pPr>
            <w:r w:rsidRPr="00380B40">
              <w:t>Country/ Company</w:t>
            </w:r>
          </w:p>
        </w:tc>
        <w:tc>
          <w:tcPr>
            <w:tcW w:w="1844" w:type="dxa"/>
          </w:tcPr>
          <w:p w14:paraId="1AEB5C8A" w14:textId="77777777" w:rsidR="0012432B" w:rsidRPr="00380B40" w:rsidRDefault="0012432B" w:rsidP="004E4CA9">
            <w:pPr>
              <w:pStyle w:val="Tableheadwhitecentred"/>
            </w:pPr>
          </w:p>
        </w:tc>
      </w:tr>
      <w:tr w:rsidR="0012432B" w:rsidRPr="00380B40" w14:paraId="04055F59" w14:textId="77777777" w:rsidTr="003200C1">
        <w:trPr>
          <w:jc w:val="center"/>
        </w:trPr>
        <w:tc>
          <w:tcPr>
            <w:tcW w:w="1087" w:type="dxa"/>
            <w:shd w:val="clear" w:color="auto" w:fill="auto"/>
          </w:tcPr>
          <w:p w14:paraId="781080E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SG16</w:t>
            </w:r>
          </w:p>
        </w:tc>
        <w:tc>
          <w:tcPr>
            <w:tcW w:w="1885" w:type="dxa"/>
            <w:shd w:val="clear" w:color="auto" w:fill="auto"/>
          </w:tcPr>
          <w:p w14:paraId="2C2ED47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color w:val="000000"/>
                <w:szCs w:val="24"/>
              </w:rPr>
              <w:t>Mr Zhong (Noah)</w:t>
            </w:r>
          </w:p>
        </w:tc>
        <w:tc>
          <w:tcPr>
            <w:tcW w:w="1985" w:type="dxa"/>
          </w:tcPr>
          <w:p w14:paraId="1B9AE23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color w:val="000000"/>
                <w:szCs w:val="24"/>
              </w:rPr>
              <w:t>LUO</w:t>
            </w:r>
          </w:p>
        </w:tc>
        <w:tc>
          <w:tcPr>
            <w:tcW w:w="2827" w:type="dxa"/>
          </w:tcPr>
          <w:p w14:paraId="1FE5BFF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China (P.R.)</w:t>
            </w:r>
          </w:p>
        </w:tc>
        <w:tc>
          <w:tcPr>
            <w:tcW w:w="1844" w:type="dxa"/>
          </w:tcPr>
          <w:p w14:paraId="4C0201A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Chairman</w:t>
            </w:r>
          </w:p>
        </w:tc>
      </w:tr>
      <w:tr w:rsidR="0012432B" w:rsidRPr="00380B40" w14:paraId="279D1FFA" w14:textId="77777777" w:rsidTr="003200C1">
        <w:trPr>
          <w:jc w:val="center"/>
        </w:trPr>
        <w:tc>
          <w:tcPr>
            <w:tcW w:w="1087" w:type="dxa"/>
            <w:shd w:val="clear" w:color="auto" w:fill="auto"/>
          </w:tcPr>
          <w:p w14:paraId="5D27955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SG16</w:t>
            </w:r>
          </w:p>
        </w:tc>
        <w:tc>
          <w:tcPr>
            <w:tcW w:w="1885" w:type="dxa"/>
            <w:shd w:val="clear" w:color="auto" w:fill="auto"/>
          </w:tcPr>
          <w:p w14:paraId="5299642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Ashok</w:t>
            </w:r>
          </w:p>
        </w:tc>
        <w:tc>
          <w:tcPr>
            <w:tcW w:w="1985" w:type="dxa"/>
          </w:tcPr>
          <w:p w14:paraId="61A315E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KUMAR</w:t>
            </w:r>
          </w:p>
        </w:tc>
        <w:tc>
          <w:tcPr>
            <w:tcW w:w="2827" w:type="dxa"/>
          </w:tcPr>
          <w:p w14:paraId="488D6AC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India</w:t>
            </w:r>
          </w:p>
        </w:tc>
        <w:tc>
          <w:tcPr>
            <w:tcW w:w="1844" w:type="dxa"/>
          </w:tcPr>
          <w:p w14:paraId="744574C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29715070" w14:textId="77777777" w:rsidTr="003200C1">
        <w:trPr>
          <w:jc w:val="center"/>
        </w:trPr>
        <w:tc>
          <w:tcPr>
            <w:tcW w:w="1087" w:type="dxa"/>
            <w:shd w:val="clear" w:color="auto" w:fill="auto"/>
          </w:tcPr>
          <w:p w14:paraId="51E08A1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SG16</w:t>
            </w:r>
          </w:p>
        </w:tc>
        <w:tc>
          <w:tcPr>
            <w:tcW w:w="1885" w:type="dxa"/>
            <w:shd w:val="clear" w:color="auto" w:fill="auto"/>
          </w:tcPr>
          <w:p w14:paraId="2E1D9C9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Hideki</w:t>
            </w:r>
          </w:p>
        </w:tc>
        <w:tc>
          <w:tcPr>
            <w:tcW w:w="1985" w:type="dxa"/>
          </w:tcPr>
          <w:p w14:paraId="410E4F9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YAMAMOTO</w:t>
            </w:r>
          </w:p>
        </w:tc>
        <w:tc>
          <w:tcPr>
            <w:tcW w:w="2827" w:type="dxa"/>
          </w:tcPr>
          <w:p w14:paraId="5D0F0BF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C777D4">
              <w:rPr>
                <w:szCs w:val="24"/>
                <w:lang w:val="en-GB"/>
              </w:rPr>
              <w:t>OKI Electric Industry Co. Ltd, Japan</w:t>
            </w:r>
          </w:p>
        </w:tc>
        <w:tc>
          <w:tcPr>
            <w:tcW w:w="1844" w:type="dxa"/>
          </w:tcPr>
          <w:p w14:paraId="254A2B7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09647D2B" w14:textId="77777777" w:rsidTr="003200C1">
        <w:trPr>
          <w:jc w:val="center"/>
        </w:trPr>
        <w:tc>
          <w:tcPr>
            <w:tcW w:w="1087" w:type="dxa"/>
            <w:shd w:val="clear" w:color="auto" w:fill="auto"/>
          </w:tcPr>
          <w:p w14:paraId="7B27AFF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SG16</w:t>
            </w:r>
          </w:p>
        </w:tc>
        <w:tc>
          <w:tcPr>
            <w:tcW w:w="1885" w:type="dxa"/>
            <w:shd w:val="clear" w:color="auto" w:fill="auto"/>
          </w:tcPr>
          <w:p w14:paraId="3C96FB1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Shin-Gak</w:t>
            </w:r>
          </w:p>
        </w:tc>
        <w:tc>
          <w:tcPr>
            <w:tcW w:w="1985" w:type="dxa"/>
          </w:tcPr>
          <w:p w14:paraId="072C539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KANG</w:t>
            </w:r>
          </w:p>
        </w:tc>
        <w:tc>
          <w:tcPr>
            <w:tcW w:w="2827" w:type="dxa"/>
          </w:tcPr>
          <w:p w14:paraId="4A8F895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Korea (Rep. of)</w:t>
            </w:r>
          </w:p>
        </w:tc>
        <w:tc>
          <w:tcPr>
            <w:tcW w:w="1844" w:type="dxa"/>
          </w:tcPr>
          <w:p w14:paraId="7F94C55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6058897B" w14:textId="77777777" w:rsidTr="003200C1">
        <w:trPr>
          <w:jc w:val="center"/>
        </w:trPr>
        <w:tc>
          <w:tcPr>
            <w:tcW w:w="1087" w:type="dxa"/>
            <w:shd w:val="clear" w:color="auto" w:fill="auto"/>
          </w:tcPr>
          <w:p w14:paraId="6F22A22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SG16</w:t>
            </w:r>
          </w:p>
        </w:tc>
        <w:tc>
          <w:tcPr>
            <w:tcW w:w="1885" w:type="dxa"/>
            <w:shd w:val="clear" w:color="auto" w:fill="auto"/>
          </w:tcPr>
          <w:p w14:paraId="1EB4841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Ms Sarra</w:t>
            </w:r>
          </w:p>
        </w:tc>
        <w:tc>
          <w:tcPr>
            <w:tcW w:w="1985" w:type="dxa"/>
          </w:tcPr>
          <w:p w14:paraId="0E3C6E5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REBHI</w:t>
            </w:r>
          </w:p>
        </w:tc>
        <w:tc>
          <w:tcPr>
            <w:tcW w:w="2827" w:type="dxa"/>
          </w:tcPr>
          <w:p w14:paraId="3F62402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Tunisia</w:t>
            </w:r>
          </w:p>
        </w:tc>
        <w:tc>
          <w:tcPr>
            <w:tcW w:w="1844" w:type="dxa"/>
          </w:tcPr>
          <w:p w14:paraId="3744AAC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3A3161F2" w14:textId="77777777" w:rsidTr="003200C1">
        <w:trPr>
          <w:jc w:val="center"/>
        </w:trPr>
        <w:tc>
          <w:tcPr>
            <w:tcW w:w="1087" w:type="dxa"/>
            <w:shd w:val="clear" w:color="auto" w:fill="auto"/>
          </w:tcPr>
          <w:p w14:paraId="3F9F10D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SG16</w:t>
            </w:r>
          </w:p>
        </w:tc>
        <w:tc>
          <w:tcPr>
            <w:tcW w:w="1885" w:type="dxa"/>
            <w:shd w:val="clear" w:color="auto" w:fill="auto"/>
          </w:tcPr>
          <w:p w14:paraId="545519A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Charles Zoé</w:t>
            </w:r>
          </w:p>
        </w:tc>
        <w:tc>
          <w:tcPr>
            <w:tcW w:w="1985" w:type="dxa"/>
          </w:tcPr>
          <w:p w14:paraId="5FC64C4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BANGA</w:t>
            </w:r>
          </w:p>
        </w:tc>
        <w:tc>
          <w:tcPr>
            <w:tcW w:w="2827" w:type="dxa"/>
          </w:tcPr>
          <w:p w14:paraId="5568F82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Central African Republic</w:t>
            </w:r>
          </w:p>
        </w:tc>
        <w:tc>
          <w:tcPr>
            <w:tcW w:w="1844" w:type="dxa"/>
          </w:tcPr>
          <w:p w14:paraId="3704475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4FE153AD" w14:textId="77777777" w:rsidTr="003200C1">
        <w:trPr>
          <w:jc w:val="center"/>
        </w:trPr>
        <w:tc>
          <w:tcPr>
            <w:tcW w:w="1087" w:type="dxa"/>
            <w:shd w:val="clear" w:color="auto" w:fill="auto"/>
          </w:tcPr>
          <w:p w14:paraId="1387412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SG16</w:t>
            </w:r>
          </w:p>
        </w:tc>
        <w:tc>
          <w:tcPr>
            <w:tcW w:w="1885" w:type="dxa"/>
            <w:shd w:val="clear" w:color="auto" w:fill="auto"/>
          </w:tcPr>
          <w:p w14:paraId="46DA5C0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Per</w:t>
            </w:r>
          </w:p>
        </w:tc>
        <w:tc>
          <w:tcPr>
            <w:tcW w:w="1985" w:type="dxa"/>
          </w:tcPr>
          <w:p w14:paraId="4208D4C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FRÖJDH</w:t>
            </w:r>
          </w:p>
        </w:tc>
        <w:tc>
          <w:tcPr>
            <w:tcW w:w="2827" w:type="dxa"/>
          </w:tcPr>
          <w:p w14:paraId="67D8A40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Sweden</w:t>
            </w:r>
          </w:p>
        </w:tc>
        <w:tc>
          <w:tcPr>
            <w:tcW w:w="1844" w:type="dxa"/>
          </w:tcPr>
          <w:p w14:paraId="7D19551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584D11BD" w14:textId="77777777" w:rsidTr="003200C1">
        <w:trPr>
          <w:jc w:val="center"/>
        </w:trPr>
        <w:tc>
          <w:tcPr>
            <w:tcW w:w="1087" w:type="dxa"/>
            <w:shd w:val="clear" w:color="auto" w:fill="auto"/>
          </w:tcPr>
          <w:p w14:paraId="1254004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SG16</w:t>
            </w:r>
          </w:p>
        </w:tc>
        <w:tc>
          <w:tcPr>
            <w:tcW w:w="1885" w:type="dxa"/>
            <w:shd w:val="clear" w:color="auto" w:fill="auto"/>
          </w:tcPr>
          <w:p w14:paraId="3B9B2A8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Justin</w:t>
            </w:r>
          </w:p>
        </w:tc>
        <w:tc>
          <w:tcPr>
            <w:tcW w:w="1985" w:type="dxa"/>
          </w:tcPr>
          <w:p w14:paraId="4ABBB0F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RIDGE</w:t>
            </w:r>
          </w:p>
        </w:tc>
        <w:tc>
          <w:tcPr>
            <w:tcW w:w="2827" w:type="dxa"/>
          </w:tcPr>
          <w:p w14:paraId="1D80125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United States</w:t>
            </w:r>
          </w:p>
        </w:tc>
        <w:tc>
          <w:tcPr>
            <w:tcW w:w="1844" w:type="dxa"/>
          </w:tcPr>
          <w:p w14:paraId="554BCEE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7E91EBA3" w14:textId="77777777" w:rsidTr="003200C1">
        <w:trPr>
          <w:jc w:val="center"/>
        </w:trPr>
        <w:tc>
          <w:tcPr>
            <w:tcW w:w="1087" w:type="dxa"/>
            <w:shd w:val="clear" w:color="auto" w:fill="auto"/>
          </w:tcPr>
          <w:p w14:paraId="1FAE64B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SG16</w:t>
            </w:r>
          </w:p>
        </w:tc>
        <w:tc>
          <w:tcPr>
            <w:tcW w:w="1885" w:type="dxa"/>
            <w:shd w:val="clear" w:color="auto" w:fill="auto"/>
          </w:tcPr>
          <w:p w14:paraId="005B81C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A.A.</w:t>
            </w:r>
          </w:p>
        </w:tc>
        <w:tc>
          <w:tcPr>
            <w:tcW w:w="1985" w:type="dxa"/>
          </w:tcPr>
          <w:p w14:paraId="518E5DF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SAVURBAEV</w:t>
            </w:r>
          </w:p>
        </w:tc>
        <w:tc>
          <w:tcPr>
            <w:tcW w:w="2827" w:type="dxa"/>
          </w:tcPr>
          <w:p w14:paraId="5DB7F98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Republic of Uzbekistan</w:t>
            </w:r>
          </w:p>
        </w:tc>
        <w:tc>
          <w:tcPr>
            <w:tcW w:w="1844" w:type="dxa"/>
          </w:tcPr>
          <w:p w14:paraId="75EC1FE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bl>
    <w:p w14:paraId="3F09C7EC" w14:textId="77777777" w:rsidR="0012432B" w:rsidRPr="00380B40" w:rsidRDefault="0012432B" w:rsidP="0012432B">
      <w:pPr>
        <w:rPr>
          <w:lang w:val="en-US"/>
        </w:rPr>
      </w:pPr>
    </w:p>
    <w:p w14:paraId="75477E60" w14:textId="77777777" w:rsidR="0012432B" w:rsidRPr="00380B40" w:rsidRDefault="0012432B" w:rsidP="0012432B">
      <w:pPr>
        <w:rPr>
          <w:b/>
          <w:bCs/>
          <w:lang w:val="en-GB"/>
        </w:rPr>
      </w:pPr>
      <w:r w:rsidRPr="00380B40">
        <w:rPr>
          <w:b/>
          <w:bCs/>
          <w:lang w:val="en-GB"/>
        </w:rPr>
        <w:br w:type="page"/>
      </w:r>
    </w:p>
    <w:p w14:paraId="52C81A51" w14:textId="77777777" w:rsidR="0012432B" w:rsidRPr="00380B40" w:rsidRDefault="0012432B" w:rsidP="0012432B">
      <w:pPr>
        <w:pStyle w:val="Headingb1"/>
      </w:pPr>
      <w:r w:rsidRPr="00380B40">
        <w:t>Study Group 17 – Security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1985"/>
        <w:gridCol w:w="2827"/>
        <w:gridCol w:w="1844"/>
      </w:tblGrid>
      <w:tr w:rsidR="0012432B" w:rsidRPr="00380B40" w14:paraId="54FCDEB0" w14:textId="77777777" w:rsidTr="003200C1">
        <w:trPr>
          <w:jc w:val="center"/>
        </w:trPr>
        <w:tc>
          <w:tcPr>
            <w:tcW w:w="1087" w:type="dxa"/>
            <w:shd w:val="clear" w:color="auto" w:fill="auto"/>
            <w:vAlign w:val="center"/>
          </w:tcPr>
          <w:p w14:paraId="61A66F90" w14:textId="77777777" w:rsidR="0012432B" w:rsidRPr="00380B40" w:rsidRDefault="0012432B" w:rsidP="004E4CA9">
            <w:pPr>
              <w:pStyle w:val="Tableheadwhitecentred"/>
              <w:rPr>
                <w:b w:val="0"/>
              </w:rPr>
            </w:pPr>
            <w:r w:rsidRPr="00380B40">
              <w:t xml:space="preserve">Group </w:t>
            </w:r>
          </w:p>
        </w:tc>
        <w:tc>
          <w:tcPr>
            <w:tcW w:w="3870" w:type="dxa"/>
            <w:gridSpan w:val="2"/>
            <w:shd w:val="clear" w:color="auto" w:fill="auto"/>
            <w:vAlign w:val="center"/>
          </w:tcPr>
          <w:p w14:paraId="4912D4DC" w14:textId="77777777" w:rsidR="0012432B" w:rsidRPr="00380B40" w:rsidRDefault="0012432B" w:rsidP="004E4CA9">
            <w:pPr>
              <w:pStyle w:val="Tableheadwhitecentred"/>
            </w:pPr>
            <w:r w:rsidRPr="00380B40">
              <w:t xml:space="preserve">Name </w:t>
            </w:r>
          </w:p>
        </w:tc>
        <w:tc>
          <w:tcPr>
            <w:tcW w:w="2827" w:type="dxa"/>
          </w:tcPr>
          <w:p w14:paraId="727CC4D3" w14:textId="77777777" w:rsidR="0012432B" w:rsidRPr="00380B40" w:rsidRDefault="0012432B" w:rsidP="004E4CA9">
            <w:pPr>
              <w:pStyle w:val="Tableheadwhitecentred"/>
            </w:pPr>
            <w:r w:rsidRPr="00380B40">
              <w:t>Country/ Company</w:t>
            </w:r>
          </w:p>
        </w:tc>
        <w:tc>
          <w:tcPr>
            <w:tcW w:w="1844" w:type="dxa"/>
          </w:tcPr>
          <w:p w14:paraId="3797C8BD" w14:textId="77777777" w:rsidR="0012432B" w:rsidRPr="00380B40" w:rsidRDefault="0012432B" w:rsidP="004E4CA9">
            <w:pPr>
              <w:pStyle w:val="Tableheadwhitecentred"/>
            </w:pPr>
          </w:p>
        </w:tc>
      </w:tr>
      <w:tr w:rsidR="0012432B" w:rsidRPr="00380B40" w14:paraId="2EB4BDA0" w14:textId="77777777" w:rsidTr="003200C1">
        <w:trPr>
          <w:jc w:val="center"/>
        </w:trPr>
        <w:tc>
          <w:tcPr>
            <w:tcW w:w="1087" w:type="dxa"/>
            <w:shd w:val="clear" w:color="auto" w:fill="auto"/>
          </w:tcPr>
          <w:p w14:paraId="03F7F29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SG17</w:t>
            </w:r>
          </w:p>
        </w:tc>
        <w:tc>
          <w:tcPr>
            <w:tcW w:w="1885" w:type="dxa"/>
            <w:shd w:val="clear" w:color="auto" w:fill="auto"/>
          </w:tcPr>
          <w:p w14:paraId="5A22268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color w:val="000000"/>
                <w:szCs w:val="24"/>
              </w:rPr>
              <w:t>Mr Heung Youl</w:t>
            </w:r>
          </w:p>
        </w:tc>
        <w:tc>
          <w:tcPr>
            <w:tcW w:w="1985" w:type="dxa"/>
          </w:tcPr>
          <w:p w14:paraId="6B2BFDA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color w:val="000000"/>
                <w:szCs w:val="24"/>
              </w:rPr>
              <w:t>YOUM</w:t>
            </w:r>
          </w:p>
        </w:tc>
        <w:tc>
          <w:tcPr>
            <w:tcW w:w="2827" w:type="dxa"/>
          </w:tcPr>
          <w:p w14:paraId="11AFB56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Korea (Rep. of)</w:t>
            </w:r>
          </w:p>
        </w:tc>
        <w:tc>
          <w:tcPr>
            <w:tcW w:w="1844" w:type="dxa"/>
          </w:tcPr>
          <w:p w14:paraId="1CCE3AD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Chairman</w:t>
            </w:r>
          </w:p>
        </w:tc>
      </w:tr>
      <w:tr w:rsidR="0012432B" w:rsidRPr="00380B40" w14:paraId="3498A7BF" w14:textId="77777777" w:rsidTr="003200C1">
        <w:trPr>
          <w:jc w:val="center"/>
        </w:trPr>
        <w:tc>
          <w:tcPr>
            <w:tcW w:w="1087" w:type="dxa"/>
            <w:shd w:val="clear" w:color="auto" w:fill="auto"/>
          </w:tcPr>
          <w:p w14:paraId="66DB635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SG17</w:t>
            </w:r>
          </w:p>
        </w:tc>
        <w:tc>
          <w:tcPr>
            <w:tcW w:w="1885" w:type="dxa"/>
            <w:shd w:val="clear" w:color="auto" w:fill="auto"/>
          </w:tcPr>
          <w:p w14:paraId="097ECDA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Pushpendra Kumar</w:t>
            </w:r>
          </w:p>
        </w:tc>
        <w:tc>
          <w:tcPr>
            <w:tcW w:w="1985" w:type="dxa"/>
          </w:tcPr>
          <w:p w14:paraId="60A38F3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SINGH</w:t>
            </w:r>
          </w:p>
        </w:tc>
        <w:tc>
          <w:tcPr>
            <w:tcW w:w="2827" w:type="dxa"/>
          </w:tcPr>
          <w:p w14:paraId="7DB97F1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India</w:t>
            </w:r>
          </w:p>
        </w:tc>
        <w:tc>
          <w:tcPr>
            <w:tcW w:w="1844" w:type="dxa"/>
          </w:tcPr>
          <w:p w14:paraId="504CFD2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287D65B3" w14:textId="77777777" w:rsidTr="003200C1">
        <w:trPr>
          <w:jc w:val="center"/>
        </w:trPr>
        <w:tc>
          <w:tcPr>
            <w:tcW w:w="1087" w:type="dxa"/>
            <w:shd w:val="clear" w:color="auto" w:fill="auto"/>
          </w:tcPr>
          <w:p w14:paraId="5F68176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SG17</w:t>
            </w:r>
          </w:p>
        </w:tc>
        <w:tc>
          <w:tcPr>
            <w:tcW w:w="1885" w:type="dxa"/>
            <w:shd w:val="clear" w:color="auto" w:fill="auto"/>
          </w:tcPr>
          <w:p w14:paraId="37570CD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Yutaka</w:t>
            </w:r>
          </w:p>
        </w:tc>
        <w:tc>
          <w:tcPr>
            <w:tcW w:w="1985" w:type="dxa"/>
          </w:tcPr>
          <w:p w14:paraId="2195151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MIYAKE</w:t>
            </w:r>
          </w:p>
        </w:tc>
        <w:tc>
          <w:tcPr>
            <w:tcW w:w="2827" w:type="dxa"/>
          </w:tcPr>
          <w:p w14:paraId="6F57AE0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pacing w:val="-4"/>
                <w:szCs w:val="24"/>
              </w:rPr>
              <w:t>KDDI Corporation, Japan</w:t>
            </w:r>
          </w:p>
        </w:tc>
        <w:tc>
          <w:tcPr>
            <w:tcW w:w="1844" w:type="dxa"/>
          </w:tcPr>
          <w:p w14:paraId="11BD5BF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4994FCAF" w14:textId="77777777" w:rsidTr="003200C1">
        <w:trPr>
          <w:jc w:val="center"/>
        </w:trPr>
        <w:tc>
          <w:tcPr>
            <w:tcW w:w="1087" w:type="dxa"/>
            <w:shd w:val="clear" w:color="auto" w:fill="auto"/>
          </w:tcPr>
          <w:p w14:paraId="6DB3577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SG17</w:t>
            </w:r>
          </w:p>
        </w:tc>
        <w:tc>
          <w:tcPr>
            <w:tcW w:w="1885" w:type="dxa"/>
            <w:shd w:val="clear" w:color="auto" w:fill="auto"/>
          </w:tcPr>
          <w:p w14:paraId="14308A5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Mr Liang</w:t>
            </w:r>
          </w:p>
        </w:tc>
        <w:tc>
          <w:tcPr>
            <w:tcW w:w="1985" w:type="dxa"/>
          </w:tcPr>
          <w:p w14:paraId="2536FD8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WEI</w:t>
            </w:r>
          </w:p>
        </w:tc>
        <w:tc>
          <w:tcPr>
            <w:tcW w:w="2827" w:type="dxa"/>
          </w:tcPr>
          <w:p w14:paraId="49A9BF9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China (P. R.)</w:t>
            </w:r>
          </w:p>
        </w:tc>
        <w:tc>
          <w:tcPr>
            <w:tcW w:w="1844" w:type="dxa"/>
          </w:tcPr>
          <w:p w14:paraId="10272A7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7B278B04" w14:textId="77777777" w:rsidTr="003200C1">
        <w:trPr>
          <w:jc w:val="center"/>
        </w:trPr>
        <w:tc>
          <w:tcPr>
            <w:tcW w:w="1087" w:type="dxa"/>
            <w:shd w:val="clear" w:color="auto" w:fill="auto"/>
          </w:tcPr>
          <w:p w14:paraId="73AE9D2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SG17</w:t>
            </w:r>
          </w:p>
        </w:tc>
        <w:tc>
          <w:tcPr>
            <w:tcW w:w="1885" w:type="dxa"/>
            <w:shd w:val="clear" w:color="auto" w:fill="auto"/>
          </w:tcPr>
          <w:p w14:paraId="0CD03B1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Abderrazak</w:t>
            </w:r>
          </w:p>
        </w:tc>
        <w:tc>
          <w:tcPr>
            <w:tcW w:w="1985" w:type="dxa"/>
          </w:tcPr>
          <w:p w14:paraId="2B76906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BACHIR BOUIADJRA</w:t>
            </w:r>
          </w:p>
        </w:tc>
        <w:tc>
          <w:tcPr>
            <w:tcW w:w="2827" w:type="dxa"/>
          </w:tcPr>
          <w:p w14:paraId="7E8DC29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Algérie Télécom</w:t>
            </w:r>
          </w:p>
        </w:tc>
        <w:tc>
          <w:tcPr>
            <w:tcW w:w="1844" w:type="dxa"/>
          </w:tcPr>
          <w:p w14:paraId="1F6EDD2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706AB42D" w14:textId="77777777" w:rsidTr="003200C1">
        <w:trPr>
          <w:jc w:val="center"/>
        </w:trPr>
        <w:tc>
          <w:tcPr>
            <w:tcW w:w="1087" w:type="dxa"/>
            <w:shd w:val="clear" w:color="auto" w:fill="auto"/>
          </w:tcPr>
          <w:p w14:paraId="370D14D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SG17</w:t>
            </w:r>
          </w:p>
        </w:tc>
        <w:tc>
          <w:tcPr>
            <w:tcW w:w="1885" w:type="dxa"/>
            <w:shd w:val="clear" w:color="auto" w:fill="auto"/>
          </w:tcPr>
          <w:p w14:paraId="0BE51D4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Ms Laialy A.</w:t>
            </w:r>
          </w:p>
        </w:tc>
        <w:tc>
          <w:tcPr>
            <w:tcW w:w="1985" w:type="dxa"/>
          </w:tcPr>
          <w:p w14:paraId="6FA1D85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ALMANSOURY</w:t>
            </w:r>
          </w:p>
        </w:tc>
        <w:tc>
          <w:tcPr>
            <w:tcW w:w="2827" w:type="dxa"/>
          </w:tcPr>
          <w:p w14:paraId="2EF5FC8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Kuwait</w:t>
            </w:r>
          </w:p>
        </w:tc>
        <w:tc>
          <w:tcPr>
            <w:tcW w:w="1844" w:type="dxa"/>
          </w:tcPr>
          <w:p w14:paraId="2DE6201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0205ECBF" w14:textId="77777777" w:rsidTr="003200C1">
        <w:trPr>
          <w:jc w:val="center"/>
        </w:trPr>
        <w:tc>
          <w:tcPr>
            <w:tcW w:w="1087" w:type="dxa"/>
            <w:shd w:val="clear" w:color="auto" w:fill="auto"/>
          </w:tcPr>
          <w:p w14:paraId="488F12A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SG17</w:t>
            </w:r>
          </w:p>
        </w:tc>
        <w:tc>
          <w:tcPr>
            <w:tcW w:w="1885" w:type="dxa"/>
            <w:shd w:val="clear" w:color="auto" w:fill="auto"/>
          </w:tcPr>
          <w:p w14:paraId="33CBE86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Ms Afnan</w:t>
            </w:r>
          </w:p>
        </w:tc>
        <w:tc>
          <w:tcPr>
            <w:tcW w:w="1985" w:type="dxa"/>
          </w:tcPr>
          <w:p w14:paraId="309EF5A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AL-ROMI</w:t>
            </w:r>
          </w:p>
        </w:tc>
        <w:tc>
          <w:tcPr>
            <w:tcW w:w="2827" w:type="dxa"/>
          </w:tcPr>
          <w:p w14:paraId="5D420F4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Saudi Arabia</w:t>
            </w:r>
          </w:p>
        </w:tc>
        <w:tc>
          <w:tcPr>
            <w:tcW w:w="1844" w:type="dxa"/>
          </w:tcPr>
          <w:p w14:paraId="4A5034C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11D7A8BA" w14:textId="77777777" w:rsidTr="003200C1">
        <w:trPr>
          <w:jc w:val="center"/>
        </w:trPr>
        <w:tc>
          <w:tcPr>
            <w:tcW w:w="1087" w:type="dxa"/>
            <w:shd w:val="clear" w:color="auto" w:fill="auto"/>
          </w:tcPr>
          <w:p w14:paraId="38581A2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SG17</w:t>
            </w:r>
          </w:p>
        </w:tc>
        <w:tc>
          <w:tcPr>
            <w:tcW w:w="1885" w:type="dxa"/>
            <w:shd w:val="clear" w:color="auto" w:fill="auto"/>
          </w:tcPr>
          <w:p w14:paraId="26F1126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Ms Wala</w:t>
            </w:r>
          </w:p>
        </w:tc>
        <w:tc>
          <w:tcPr>
            <w:tcW w:w="1985" w:type="dxa"/>
          </w:tcPr>
          <w:p w14:paraId="095CEDE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TURKI LATROUS</w:t>
            </w:r>
          </w:p>
        </w:tc>
        <w:tc>
          <w:tcPr>
            <w:tcW w:w="2827" w:type="dxa"/>
          </w:tcPr>
          <w:p w14:paraId="4D1EF4D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Tunisia</w:t>
            </w:r>
          </w:p>
        </w:tc>
        <w:tc>
          <w:tcPr>
            <w:tcW w:w="1844" w:type="dxa"/>
          </w:tcPr>
          <w:p w14:paraId="37A3614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57527D26" w14:textId="77777777" w:rsidTr="003200C1">
        <w:trPr>
          <w:jc w:val="center"/>
        </w:trPr>
        <w:tc>
          <w:tcPr>
            <w:tcW w:w="1087" w:type="dxa"/>
            <w:shd w:val="clear" w:color="auto" w:fill="auto"/>
          </w:tcPr>
          <w:p w14:paraId="1970A96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SG17</w:t>
            </w:r>
          </w:p>
        </w:tc>
        <w:tc>
          <w:tcPr>
            <w:tcW w:w="1885" w:type="dxa"/>
            <w:shd w:val="clear" w:color="auto" w:fill="auto"/>
          </w:tcPr>
          <w:p w14:paraId="1220D43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Kwadwo Gyamfi</w:t>
            </w:r>
          </w:p>
        </w:tc>
        <w:tc>
          <w:tcPr>
            <w:tcW w:w="1985" w:type="dxa"/>
          </w:tcPr>
          <w:p w14:paraId="1079904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OSAFO-MAAFO</w:t>
            </w:r>
          </w:p>
        </w:tc>
        <w:tc>
          <w:tcPr>
            <w:tcW w:w="2827" w:type="dxa"/>
          </w:tcPr>
          <w:p w14:paraId="22A1C9C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Ghana</w:t>
            </w:r>
          </w:p>
        </w:tc>
        <w:tc>
          <w:tcPr>
            <w:tcW w:w="1844" w:type="dxa"/>
          </w:tcPr>
          <w:p w14:paraId="33C63E5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295DC70B" w14:textId="77777777" w:rsidTr="003200C1">
        <w:trPr>
          <w:jc w:val="center"/>
        </w:trPr>
        <w:tc>
          <w:tcPr>
            <w:tcW w:w="1087" w:type="dxa"/>
            <w:shd w:val="clear" w:color="auto" w:fill="auto"/>
          </w:tcPr>
          <w:p w14:paraId="12980A1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SG17</w:t>
            </w:r>
          </w:p>
        </w:tc>
        <w:tc>
          <w:tcPr>
            <w:tcW w:w="1885" w:type="dxa"/>
            <w:shd w:val="clear" w:color="auto" w:fill="auto"/>
          </w:tcPr>
          <w:p w14:paraId="6DC74AA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Samir Gaber</w:t>
            </w:r>
          </w:p>
        </w:tc>
        <w:tc>
          <w:tcPr>
            <w:tcW w:w="1985" w:type="dxa"/>
          </w:tcPr>
          <w:p w14:paraId="1186C02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ABDEL-GAWAD</w:t>
            </w:r>
          </w:p>
        </w:tc>
        <w:tc>
          <w:tcPr>
            <w:tcW w:w="2827" w:type="dxa"/>
          </w:tcPr>
          <w:p w14:paraId="798684E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Egypt</w:t>
            </w:r>
          </w:p>
        </w:tc>
        <w:tc>
          <w:tcPr>
            <w:tcW w:w="1844" w:type="dxa"/>
          </w:tcPr>
          <w:p w14:paraId="38A4E7C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1E17DD0C" w14:textId="77777777" w:rsidTr="003200C1">
        <w:trPr>
          <w:jc w:val="center"/>
        </w:trPr>
        <w:tc>
          <w:tcPr>
            <w:tcW w:w="1087" w:type="dxa"/>
            <w:shd w:val="clear" w:color="auto" w:fill="auto"/>
          </w:tcPr>
          <w:p w14:paraId="0DA9B87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SG17</w:t>
            </w:r>
          </w:p>
        </w:tc>
        <w:tc>
          <w:tcPr>
            <w:tcW w:w="1885" w:type="dxa"/>
            <w:shd w:val="clear" w:color="auto" w:fill="auto"/>
          </w:tcPr>
          <w:p w14:paraId="4317051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Ms Lía</w:t>
            </w:r>
          </w:p>
        </w:tc>
        <w:tc>
          <w:tcPr>
            <w:tcW w:w="1985" w:type="dxa"/>
          </w:tcPr>
          <w:p w14:paraId="652B75A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MOLINARI</w:t>
            </w:r>
          </w:p>
        </w:tc>
        <w:tc>
          <w:tcPr>
            <w:tcW w:w="2827" w:type="dxa"/>
          </w:tcPr>
          <w:p w14:paraId="4F4EA01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Argentina</w:t>
            </w:r>
          </w:p>
        </w:tc>
        <w:tc>
          <w:tcPr>
            <w:tcW w:w="1844" w:type="dxa"/>
          </w:tcPr>
          <w:p w14:paraId="1660E40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6325938C" w14:textId="77777777" w:rsidTr="003200C1">
        <w:trPr>
          <w:jc w:val="center"/>
        </w:trPr>
        <w:tc>
          <w:tcPr>
            <w:tcW w:w="1087" w:type="dxa"/>
            <w:shd w:val="clear" w:color="auto" w:fill="auto"/>
          </w:tcPr>
          <w:p w14:paraId="1487D14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b/>
                <w:bCs/>
              </w:rPr>
            </w:pPr>
            <w:r w:rsidRPr="00380B40">
              <w:rPr>
                <w:b/>
                <w:bCs/>
                <w:szCs w:val="24"/>
              </w:rPr>
              <w:t>SG17</w:t>
            </w:r>
          </w:p>
        </w:tc>
        <w:tc>
          <w:tcPr>
            <w:tcW w:w="1885" w:type="dxa"/>
            <w:shd w:val="clear" w:color="auto" w:fill="auto"/>
          </w:tcPr>
          <w:p w14:paraId="39755CC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color w:val="000000"/>
                <w:szCs w:val="24"/>
              </w:rPr>
            </w:pPr>
            <w:r w:rsidRPr="00380B40">
              <w:rPr>
                <w:szCs w:val="24"/>
              </w:rPr>
              <w:t>Mr Greg</w:t>
            </w:r>
          </w:p>
        </w:tc>
        <w:tc>
          <w:tcPr>
            <w:tcW w:w="1985" w:type="dxa"/>
          </w:tcPr>
          <w:p w14:paraId="6675F88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color w:val="000000"/>
                <w:szCs w:val="24"/>
              </w:rPr>
            </w:pPr>
            <w:r w:rsidRPr="00380B40">
              <w:rPr>
                <w:szCs w:val="24"/>
              </w:rPr>
              <w:t>RATTA</w:t>
            </w:r>
          </w:p>
        </w:tc>
        <w:tc>
          <w:tcPr>
            <w:tcW w:w="2827" w:type="dxa"/>
          </w:tcPr>
          <w:p w14:paraId="56CCBEB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rPr>
                <w:szCs w:val="24"/>
              </w:rPr>
              <w:t>United States</w:t>
            </w:r>
          </w:p>
        </w:tc>
        <w:tc>
          <w:tcPr>
            <w:tcW w:w="1844" w:type="dxa"/>
          </w:tcPr>
          <w:p w14:paraId="07BC701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rPr>
                <w:szCs w:val="24"/>
              </w:rPr>
              <w:t>Vice-Chairman</w:t>
            </w:r>
          </w:p>
        </w:tc>
      </w:tr>
      <w:tr w:rsidR="0012432B" w:rsidRPr="00380B40" w14:paraId="750E8121" w14:textId="77777777" w:rsidTr="003200C1">
        <w:trPr>
          <w:jc w:val="center"/>
        </w:trPr>
        <w:tc>
          <w:tcPr>
            <w:tcW w:w="1087" w:type="dxa"/>
            <w:shd w:val="clear" w:color="auto" w:fill="auto"/>
          </w:tcPr>
          <w:p w14:paraId="339A569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b/>
                <w:bCs/>
              </w:rPr>
            </w:pPr>
            <w:r w:rsidRPr="00380B40">
              <w:rPr>
                <w:b/>
                <w:bCs/>
              </w:rPr>
              <w:t>SG17</w:t>
            </w:r>
          </w:p>
        </w:tc>
        <w:tc>
          <w:tcPr>
            <w:tcW w:w="1885" w:type="dxa"/>
            <w:shd w:val="clear" w:color="auto" w:fill="auto"/>
          </w:tcPr>
          <w:p w14:paraId="42F9054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color w:val="000000"/>
                <w:szCs w:val="24"/>
              </w:rPr>
            </w:pPr>
            <w:r w:rsidRPr="00380B40">
              <w:rPr>
                <w:color w:val="000000"/>
                <w:szCs w:val="24"/>
              </w:rPr>
              <w:t>Mr Gökhan</w:t>
            </w:r>
          </w:p>
        </w:tc>
        <w:tc>
          <w:tcPr>
            <w:tcW w:w="1985" w:type="dxa"/>
          </w:tcPr>
          <w:p w14:paraId="664C122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color w:val="000000"/>
                <w:szCs w:val="24"/>
              </w:rPr>
            </w:pPr>
            <w:r w:rsidRPr="00380B40">
              <w:rPr>
                <w:color w:val="000000"/>
                <w:szCs w:val="24"/>
              </w:rPr>
              <w:t>EVREN</w:t>
            </w:r>
          </w:p>
        </w:tc>
        <w:tc>
          <w:tcPr>
            <w:tcW w:w="2827" w:type="dxa"/>
          </w:tcPr>
          <w:p w14:paraId="0F61B6E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rPr>
                <w:szCs w:val="24"/>
              </w:rPr>
              <w:t>Turkey</w:t>
            </w:r>
          </w:p>
        </w:tc>
        <w:tc>
          <w:tcPr>
            <w:tcW w:w="1844" w:type="dxa"/>
          </w:tcPr>
          <w:p w14:paraId="32B2164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rPr>
                <w:szCs w:val="24"/>
              </w:rPr>
              <w:t>Vice-Chairman</w:t>
            </w:r>
          </w:p>
        </w:tc>
      </w:tr>
      <w:tr w:rsidR="0012432B" w:rsidRPr="00380B40" w14:paraId="2F322A0E" w14:textId="77777777" w:rsidTr="003200C1">
        <w:trPr>
          <w:jc w:val="center"/>
        </w:trPr>
        <w:tc>
          <w:tcPr>
            <w:tcW w:w="1087" w:type="dxa"/>
            <w:shd w:val="clear" w:color="auto" w:fill="auto"/>
          </w:tcPr>
          <w:p w14:paraId="487CC42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b/>
                <w:bCs/>
              </w:rPr>
            </w:pPr>
            <w:r w:rsidRPr="00380B40">
              <w:rPr>
                <w:b/>
                <w:bCs/>
              </w:rPr>
              <w:t>SG17</w:t>
            </w:r>
          </w:p>
        </w:tc>
        <w:tc>
          <w:tcPr>
            <w:tcW w:w="1885" w:type="dxa"/>
            <w:shd w:val="clear" w:color="auto" w:fill="auto"/>
          </w:tcPr>
          <w:p w14:paraId="757ECF7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b/>
                <w:bCs/>
                <w:color w:val="000000"/>
                <w:szCs w:val="24"/>
              </w:rPr>
            </w:pPr>
            <w:r w:rsidRPr="00380B40">
              <w:t>Mr Arnaud</w:t>
            </w:r>
          </w:p>
        </w:tc>
        <w:tc>
          <w:tcPr>
            <w:tcW w:w="1985" w:type="dxa"/>
          </w:tcPr>
          <w:p w14:paraId="1CEA996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color w:val="000000"/>
                <w:szCs w:val="24"/>
              </w:rPr>
            </w:pPr>
            <w:r w:rsidRPr="00380B40">
              <w:t>TADDEI</w:t>
            </w:r>
          </w:p>
        </w:tc>
        <w:tc>
          <w:tcPr>
            <w:tcW w:w="2827" w:type="dxa"/>
          </w:tcPr>
          <w:p w14:paraId="6F0C81E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t>United Kingdom</w:t>
            </w:r>
          </w:p>
        </w:tc>
        <w:tc>
          <w:tcPr>
            <w:tcW w:w="1844" w:type="dxa"/>
          </w:tcPr>
          <w:p w14:paraId="4DE0413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t>Vice-Chairman</w:t>
            </w:r>
          </w:p>
        </w:tc>
      </w:tr>
    </w:tbl>
    <w:p w14:paraId="32841D79" w14:textId="77777777" w:rsidR="0012432B" w:rsidRPr="00380B40" w:rsidRDefault="0012432B" w:rsidP="0012432B">
      <w:pPr>
        <w:pStyle w:val="Headingb1"/>
      </w:pPr>
    </w:p>
    <w:p w14:paraId="116B8240" w14:textId="77777777" w:rsidR="0012432B" w:rsidRPr="00380B40" w:rsidRDefault="0012432B" w:rsidP="0012432B">
      <w:pPr>
        <w:pStyle w:val="Headingb1"/>
      </w:pPr>
      <w:r w:rsidRPr="00380B40">
        <w:t>Study Group 20 – Internet of things (IoT) and smart cities and communities (SC&amp;C)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1985"/>
        <w:gridCol w:w="2827"/>
        <w:gridCol w:w="1844"/>
      </w:tblGrid>
      <w:tr w:rsidR="0012432B" w:rsidRPr="00380B40" w14:paraId="647ED30B" w14:textId="77777777" w:rsidTr="003200C1">
        <w:trPr>
          <w:jc w:val="center"/>
        </w:trPr>
        <w:tc>
          <w:tcPr>
            <w:tcW w:w="1087" w:type="dxa"/>
            <w:shd w:val="clear" w:color="auto" w:fill="auto"/>
            <w:vAlign w:val="center"/>
          </w:tcPr>
          <w:p w14:paraId="64709C2D" w14:textId="77777777" w:rsidR="0012432B" w:rsidRPr="00380B40" w:rsidRDefault="0012432B" w:rsidP="004E4CA9">
            <w:pPr>
              <w:pStyle w:val="Tableheadwhitecentred"/>
              <w:rPr>
                <w:b w:val="0"/>
              </w:rPr>
            </w:pPr>
            <w:r w:rsidRPr="00380B40">
              <w:t xml:space="preserve">Group </w:t>
            </w:r>
          </w:p>
        </w:tc>
        <w:tc>
          <w:tcPr>
            <w:tcW w:w="3870" w:type="dxa"/>
            <w:gridSpan w:val="2"/>
            <w:shd w:val="clear" w:color="auto" w:fill="auto"/>
            <w:vAlign w:val="center"/>
          </w:tcPr>
          <w:p w14:paraId="4F245CC3" w14:textId="77777777" w:rsidR="0012432B" w:rsidRPr="00380B40" w:rsidRDefault="0012432B" w:rsidP="004E4CA9">
            <w:pPr>
              <w:pStyle w:val="Tableheadwhitecentred"/>
            </w:pPr>
            <w:r w:rsidRPr="00380B40">
              <w:t xml:space="preserve">Name </w:t>
            </w:r>
          </w:p>
        </w:tc>
        <w:tc>
          <w:tcPr>
            <w:tcW w:w="2827" w:type="dxa"/>
          </w:tcPr>
          <w:p w14:paraId="41078CB1" w14:textId="77777777" w:rsidR="0012432B" w:rsidRPr="00380B40" w:rsidRDefault="0012432B" w:rsidP="004E4CA9">
            <w:pPr>
              <w:pStyle w:val="Tableheadwhitecentred"/>
            </w:pPr>
            <w:r w:rsidRPr="00380B40">
              <w:t>Country/ Company</w:t>
            </w:r>
          </w:p>
        </w:tc>
        <w:tc>
          <w:tcPr>
            <w:tcW w:w="1844" w:type="dxa"/>
          </w:tcPr>
          <w:p w14:paraId="59AD32B3" w14:textId="77777777" w:rsidR="0012432B" w:rsidRPr="00380B40" w:rsidRDefault="0012432B" w:rsidP="004E4CA9">
            <w:pPr>
              <w:pStyle w:val="Tableheadwhitecentred"/>
            </w:pPr>
          </w:p>
        </w:tc>
      </w:tr>
      <w:tr w:rsidR="0012432B" w:rsidRPr="00380B40" w14:paraId="1596BC88" w14:textId="77777777" w:rsidTr="003200C1">
        <w:trPr>
          <w:jc w:val="center"/>
        </w:trPr>
        <w:tc>
          <w:tcPr>
            <w:tcW w:w="1087" w:type="dxa"/>
            <w:shd w:val="clear" w:color="auto" w:fill="auto"/>
          </w:tcPr>
          <w:p w14:paraId="70733AE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SG20</w:t>
            </w:r>
          </w:p>
        </w:tc>
        <w:tc>
          <w:tcPr>
            <w:tcW w:w="1885" w:type="dxa"/>
            <w:shd w:val="clear" w:color="auto" w:fill="auto"/>
          </w:tcPr>
          <w:p w14:paraId="0FA80EC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color w:val="000000"/>
                <w:szCs w:val="24"/>
              </w:rPr>
              <w:t>Mr Hyoung Jun</w:t>
            </w:r>
          </w:p>
        </w:tc>
        <w:tc>
          <w:tcPr>
            <w:tcW w:w="1985" w:type="dxa"/>
          </w:tcPr>
          <w:p w14:paraId="3D4AE3B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color w:val="000000"/>
                <w:szCs w:val="24"/>
              </w:rPr>
              <w:t>KIM</w:t>
            </w:r>
          </w:p>
        </w:tc>
        <w:tc>
          <w:tcPr>
            <w:tcW w:w="2827" w:type="dxa"/>
          </w:tcPr>
          <w:p w14:paraId="7D0FE3D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Korea (Rep. of)</w:t>
            </w:r>
          </w:p>
        </w:tc>
        <w:tc>
          <w:tcPr>
            <w:tcW w:w="1844" w:type="dxa"/>
          </w:tcPr>
          <w:p w14:paraId="65A5681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Chairman</w:t>
            </w:r>
          </w:p>
        </w:tc>
      </w:tr>
      <w:tr w:rsidR="0012432B" w:rsidRPr="00380B40" w14:paraId="59206C6A" w14:textId="77777777" w:rsidTr="003200C1">
        <w:trPr>
          <w:jc w:val="center"/>
        </w:trPr>
        <w:tc>
          <w:tcPr>
            <w:tcW w:w="1087" w:type="dxa"/>
            <w:shd w:val="clear" w:color="auto" w:fill="auto"/>
          </w:tcPr>
          <w:p w14:paraId="52CB6B2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SG20</w:t>
            </w:r>
          </w:p>
        </w:tc>
        <w:tc>
          <w:tcPr>
            <w:tcW w:w="1885" w:type="dxa"/>
            <w:shd w:val="clear" w:color="auto" w:fill="auto"/>
          </w:tcPr>
          <w:p w14:paraId="60DA5E0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Ziqin</w:t>
            </w:r>
          </w:p>
        </w:tc>
        <w:tc>
          <w:tcPr>
            <w:tcW w:w="1985" w:type="dxa"/>
          </w:tcPr>
          <w:p w14:paraId="3457235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SANG</w:t>
            </w:r>
          </w:p>
        </w:tc>
        <w:tc>
          <w:tcPr>
            <w:tcW w:w="2827" w:type="dxa"/>
          </w:tcPr>
          <w:p w14:paraId="0DF39BC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China (P.R.)</w:t>
            </w:r>
          </w:p>
        </w:tc>
        <w:tc>
          <w:tcPr>
            <w:tcW w:w="1844" w:type="dxa"/>
          </w:tcPr>
          <w:p w14:paraId="55AC96C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74B93E7A" w14:textId="77777777" w:rsidTr="003200C1">
        <w:trPr>
          <w:jc w:val="center"/>
        </w:trPr>
        <w:tc>
          <w:tcPr>
            <w:tcW w:w="1087" w:type="dxa"/>
            <w:shd w:val="clear" w:color="auto" w:fill="auto"/>
          </w:tcPr>
          <w:p w14:paraId="4BEBF37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SG20</w:t>
            </w:r>
          </w:p>
        </w:tc>
        <w:tc>
          <w:tcPr>
            <w:tcW w:w="1885" w:type="dxa"/>
            <w:shd w:val="clear" w:color="auto" w:fill="auto"/>
          </w:tcPr>
          <w:p w14:paraId="35E8686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Toru</w:t>
            </w:r>
          </w:p>
        </w:tc>
        <w:tc>
          <w:tcPr>
            <w:tcW w:w="1985" w:type="dxa"/>
          </w:tcPr>
          <w:p w14:paraId="2FFA5CD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YAMADA</w:t>
            </w:r>
          </w:p>
        </w:tc>
        <w:tc>
          <w:tcPr>
            <w:tcW w:w="2827" w:type="dxa"/>
          </w:tcPr>
          <w:p w14:paraId="32C9402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Japan</w:t>
            </w:r>
          </w:p>
        </w:tc>
        <w:tc>
          <w:tcPr>
            <w:tcW w:w="1844" w:type="dxa"/>
          </w:tcPr>
          <w:p w14:paraId="6DAF2F5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033B4138" w14:textId="77777777" w:rsidTr="003200C1">
        <w:trPr>
          <w:jc w:val="center"/>
        </w:trPr>
        <w:tc>
          <w:tcPr>
            <w:tcW w:w="1087" w:type="dxa"/>
            <w:shd w:val="clear" w:color="auto" w:fill="auto"/>
          </w:tcPr>
          <w:p w14:paraId="019ECEF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SG20</w:t>
            </w:r>
          </w:p>
        </w:tc>
        <w:tc>
          <w:tcPr>
            <w:tcW w:w="1885" w:type="dxa"/>
            <w:shd w:val="clear" w:color="auto" w:fill="auto"/>
          </w:tcPr>
          <w:p w14:paraId="4476FBA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Harin S</w:t>
            </w:r>
          </w:p>
        </w:tc>
        <w:tc>
          <w:tcPr>
            <w:tcW w:w="1985" w:type="dxa"/>
          </w:tcPr>
          <w:p w14:paraId="23A0FD4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GREWAL</w:t>
            </w:r>
          </w:p>
        </w:tc>
        <w:tc>
          <w:tcPr>
            <w:tcW w:w="2827" w:type="dxa"/>
          </w:tcPr>
          <w:p w14:paraId="72224AC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Singapore</w:t>
            </w:r>
          </w:p>
        </w:tc>
        <w:tc>
          <w:tcPr>
            <w:tcW w:w="1844" w:type="dxa"/>
          </w:tcPr>
          <w:p w14:paraId="289BFCB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68894519" w14:textId="77777777" w:rsidTr="003200C1">
        <w:trPr>
          <w:jc w:val="center"/>
        </w:trPr>
        <w:tc>
          <w:tcPr>
            <w:tcW w:w="1087" w:type="dxa"/>
            <w:shd w:val="clear" w:color="auto" w:fill="auto"/>
          </w:tcPr>
          <w:p w14:paraId="1341A61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SG20</w:t>
            </w:r>
          </w:p>
        </w:tc>
        <w:tc>
          <w:tcPr>
            <w:tcW w:w="1885" w:type="dxa"/>
            <w:shd w:val="clear" w:color="auto" w:fill="auto"/>
          </w:tcPr>
          <w:p w14:paraId="588C677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Ramy</w:t>
            </w:r>
          </w:p>
        </w:tc>
        <w:tc>
          <w:tcPr>
            <w:tcW w:w="1985" w:type="dxa"/>
          </w:tcPr>
          <w:p w14:paraId="1D692A4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AHMED FATHY</w:t>
            </w:r>
          </w:p>
        </w:tc>
        <w:tc>
          <w:tcPr>
            <w:tcW w:w="2827" w:type="dxa"/>
          </w:tcPr>
          <w:p w14:paraId="6688940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Egypt</w:t>
            </w:r>
          </w:p>
        </w:tc>
        <w:tc>
          <w:tcPr>
            <w:tcW w:w="1844" w:type="dxa"/>
          </w:tcPr>
          <w:p w14:paraId="20A4ACE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03CA6E90" w14:textId="77777777" w:rsidTr="003200C1">
        <w:trPr>
          <w:jc w:val="center"/>
        </w:trPr>
        <w:tc>
          <w:tcPr>
            <w:tcW w:w="1087" w:type="dxa"/>
            <w:shd w:val="clear" w:color="auto" w:fill="auto"/>
          </w:tcPr>
          <w:p w14:paraId="752CB89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SG20</w:t>
            </w:r>
          </w:p>
        </w:tc>
        <w:tc>
          <w:tcPr>
            <w:tcW w:w="1885" w:type="dxa"/>
            <w:shd w:val="clear" w:color="auto" w:fill="auto"/>
          </w:tcPr>
          <w:p w14:paraId="4FB2FB0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Muath</w:t>
            </w:r>
          </w:p>
        </w:tc>
        <w:tc>
          <w:tcPr>
            <w:tcW w:w="1985" w:type="dxa"/>
          </w:tcPr>
          <w:p w14:paraId="205645E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AL-RUMAYH</w:t>
            </w:r>
          </w:p>
        </w:tc>
        <w:tc>
          <w:tcPr>
            <w:tcW w:w="2827" w:type="dxa"/>
          </w:tcPr>
          <w:p w14:paraId="28C414B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Saudi Arabia</w:t>
            </w:r>
          </w:p>
        </w:tc>
        <w:tc>
          <w:tcPr>
            <w:tcW w:w="1844" w:type="dxa"/>
          </w:tcPr>
          <w:p w14:paraId="055AB47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04600199" w14:textId="77777777" w:rsidTr="003200C1">
        <w:trPr>
          <w:jc w:val="center"/>
        </w:trPr>
        <w:tc>
          <w:tcPr>
            <w:tcW w:w="1087" w:type="dxa"/>
            <w:shd w:val="clear" w:color="auto" w:fill="auto"/>
          </w:tcPr>
          <w:p w14:paraId="08002D4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SG20</w:t>
            </w:r>
          </w:p>
        </w:tc>
        <w:tc>
          <w:tcPr>
            <w:tcW w:w="1885" w:type="dxa"/>
            <w:shd w:val="clear" w:color="auto" w:fill="auto"/>
          </w:tcPr>
          <w:p w14:paraId="09D6DC8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Ali</w:t>
            </w:r>
          </w:p>
        </w:tc>
        <w:tc>
          <w:tcPr>
            <w:tcW w:w="1985" w:type="dxa"/>
          </w:tcPr>
          <w:p w14:paraId="12D6328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ABBASSENE</w:t>
            </w:r>
          </w:p>
        </w:tc>
        <w:tc>
          <w:tcPr>
            <w:tcW w:w="2827" w:type="dxa"/>
          </w:tcPr>
          <w:p w14:paraId="3E5D53F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Algeria</w:t>
            </w:r>
          </w:p>
        </w:tc>
        <w:tc>
          <w:tcPr>
            <w:tcW w:w="1844" w:type="dxa"/>
          </w:tcPr>
          <w:p w14:paraId="1D69F16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4C483DBF" w14:textId="77777777" w:rsidTr="003200C1">
        <w:trPr>
          <w:jc w:val="center"/>
        </w:trPr>
        <w:tc>
          <w:tcPr>
            <w:tcW w:w="1087" w:type="dxa"/>
            <w:shd w:val="clear" w:color="auto" w:fill="auto"/>
          </w:tcPr>
          <w:p w14:paraId="722A0EF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SG20</w:t>
            </w:r>
          </w:p>
        </w:tc>
        <w:tc>
          <w:tcPr>
            <w:tcW w:w="1885" w:type="dxa"/>
            <w:shd w:val="clear" w:color="auto" w:fill="auto"/>
          </w:tcPr>
          <w:p w14:paraId="528DF9E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Achime Malick</w:t>
            </w:r>
          </w:p>
        </w:tc>
        <w:tc>
          <w:tcPr>
            <w:tcW w:w="1985" w:type="dxa"/>
          </w:tcPr>
          <w:p w14:paraId="2BB894F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NDIAYE</w:t>
            </w:r>
          </w:p>
        </w:tc>
        <w:tc>
          <w:tcPr>
            <w:tcW w:w="2827" w:type="dxa"/>
          </w:tcPr>
          <w:p w14:paraId="6336B7B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Senegal</w:t>
            </w:r>
          </w:p>
        </w:tc>
        <w:tc>
          <w:tcPr>
            <w:tcW w:w="1844" w:type="dxa"/>
          </w:tcPr>
          <w:p w14:paraId="4532E35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198F0239" w14:textId="77777777" w:rsidTr="003200C1">
        <w:trPr>
          <w:jc w:val="center"/>
        </w:trPr>
        <w:tc>
          <w:tcPr>
            <w:tcW w:w="1087" w:type="dxa"/>
            <w:shd w:val="clear" w:color="auto" w:fill="auto"/>
          </w:tcPr>
          <w:p w14:paraId="0A75AA9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SG20</w:t>
            </w:r>
          </w:p>
        </w:tc>
        <w:tc>
          <w:tcPr>
            <w:tcW w:w="1885" w:type="dxa"/>
            <w:shd w:val="clear" w:color="auto" w:fill="auto"/>
          </w:tcPr>
          <w:p w14:paraId="5F1F4E4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Emmanuel</w:t>
            </w:r>
          </w:p>
        </w:tc>
        <w:tc>
          <w:tcPr>
            <w:tcW w:w="1985" w:type="dxa"/>
          </w:tcPr>
          <w:p w14:paraId="4F0A122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MANASSEH</w:t>
            </w:r>
          </w:p>
        </w:tc>
        <w:tc>
          <w:tcPr>
            <w:tcW w:w="2827" w:type="dxa"/>
          </w:tcPr>
          <w:p w14:paraId="5067CD7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Tanzania</w:t>
            </w:r>
          </w:p>
        </w:tc>
        <w:tc>
          <w:tcPr>
            <w:tcW w:w="1844" w:type="dxa"/>
          </w:tcPr>
          <w:p w14:paraId="39414F6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6CA58744" w14:textId="77777777" w:rsidTr="003200C1">
        <w:trPr>
          <w:jc w:val="center"/>
        </w:trPr>
        <w:tc>
          <w:tcPr>
            <w:tcW w:w="1087" w:type="dxa"/>
            <w:shd w:val="clear" w:color="auto" w:fill="auto"/>
          </w:tcPr>
          <w:p w14:paraId="1E55113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SG20</w:t>
            </w:r>
          </w:p>
        </w:tc>
        <w:tc>
          <w:tcPr>
            <w:tcW w:w="1885" w:type="dxa"/>
            <w:shd w:val="clear" w:color="auto" w:fill="auto"/>
          </w:tcPr>
          <w:p w14:paraId="4082098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Fabio</w:t>
            </w:r>
          </w:p>
        </w:tc>
        <w:tc>
          <w:tcPr>
            <w:tcW w:w="1985" w:type="dxa"/>
          </w:tcPr>
          <w:p w14:paraId="57B5444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BIGI</w:t>
            </w:r>
          </w:p>
        </w:tc>
        <w:tc>
          <w:tcPr>
            <w:tcW w:w="2827" w:type="dxa"/>
          </w:tcPr>
          <w:p w14:paraId="6008703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Italy</w:t>
            </w:r>
          </w:p>
        </w:tc>
        <w:tc>
          <w:tcPr>
            <w:tcW w:w="1844" w:type="dxa"/>
          </w:tcPr>
          <w:p w14:paraId="3EC6D35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5B108E6D" w14:textId="77777777" w:rsidTr="003200C1">
        <w:trPr>
          <w:jc w:val="center"/>
        </w:trPr>
        <w:tc>
          <w:tcPr>
            <w:tcW w:w="1087" w:type="dxa"/>
            <w:shd w:val="clear" w:color="auto" w:fill="auto"/>
          </w:tcPr>
          <w:p w14:paraId="2543286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SG20</w:t>
            </w:r>
          </w:p>
        </w:tc>
        <w:tc>
          <w:tcPr>
            <w:tcW w:w="1885" w:type="dxa"/>
            <w:shd w:val="clear" w:color="auto" w:fill="auto"/>
          </w:tcPr>
          <w:p w14:paraId="1C72A6A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Ms Shane</w:t>
            </w:r>
          </w:p>
        </w:tc>
        <w:tc>
          <w:tcPr>
            <w:tcW w:w="1985" w:type="dxa"/>
          </w:tcPr>
          <w:p w14:paraId="7570325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HE</w:t>
            </w:r>
          </w:p>
        </w:tc>
        <w:tc>
          <w:tcPr>
            <w:tcW w:w="2827" w:type="dxa"/>
          </w:tcPr>
          <w:p w14:paraId="6C479C4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Nokia Corporation Finland</w:t>
            </w:r>
          </w:p>
        </w:tc>
        <w:tc>
          <w:tcPr>
            <w:tcW w:w="1844" w:type="dxa"/>
          </w:tcPr>
          <w:p w14:paraId="1244237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Vice-Chairman</w:t>
            </w:r>
          </w:p>
        </w:tc>
      </w:tr>
      <w:tr w:rsidR="0012432B" w:rsidRPr="00380B40" w14:paraId="3C133768" w14:textId="77777777" w:rsidTr="003200C1">
        <w:trPr>
          <w:jc w:val="center"/>
        </w:trPr>
        <w:tc>
          <w:tcPr>
            <w:tcW w:w="1087" w:type="dxa"/>
            <w:shd w:val="clear" w:color="auto" w:fill="auto"/>
          </w:tcPr>
          <w:p w14:paraId="2534C66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b/>
                <w:bCs/>
              </w:rPr>
            </w:pPr>
            <w:r w:rsidRPr="00380B40">
              <w:rPr>
                <w:b/>
                <w:bCs/>
              </w:rPr>
              <w:t>SG20</w:t>
            </w:r>
          </w:p>
        </w:tc>
        <w:tc>
          <w:tcPr>
            <w:tcW w:w="1885" w:type="dxa"/>
            <w:shd w:val="clear" w:color="auto" w:fill="auto"/>
          </w:tcPr>
          <w:p w14:paraId="74AC89A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color w:val="000000"/>
                <w:szCs w:val="24"/>
              </w:rPr>
            </w:pPr>
            <w:r w:rsidRPr="00380B40">
              <w:rPr>
                <w:color w:val="000000"/>
                <w:szCs w:val="24"/>
              </w:rPr>
              <w:t>Mr Héctor Mario</w:t>
            </w:r>
          </w:p>
        </w:tc>
        <w:tc>
          <w:tcPr>
            <w:tcW w:w="1985" w:type="dxa"/>
          </w:tcPr>
          <w:p w14:paraId="1A2AA26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color w:val="000000"/>
                <w:szCs w:val="24"/>
              </w:rPr>
            </w:pPr>
            <w:r w:rsidRPr="00380B40">
              <w:rPr>
                <w:color w:val="000000"/>
                <w:szCs w:val="24"/>
              </w:rPr>
              <w:t>CARRIL</w:t>
            </w:r>
          </w:p>
        </w:tc>
        <w:tc>
          <w:tcPr>
            <w:tcW w:w="2827" w:type="dxa"/>
          </w:tcPr>
          <w:p w14:paraId="70A4A99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rPr>
                <w:szCs w:val="24"/>
              </w:rPr>
              <w:t>Argentina</w:t>
            </w:r>
          </w:p>
        </w:tc>
        <w:tc>
          <w:tcPr>
            <w:tcW w:w="1844" w:type="dxa"/>
          </w:tcPr>
          <w:p w14:paraId="780A3EA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Cs w:val="24"/>
              </w:rPr>
            </w:pPr>
            <w:r w:rsidRPr="00380B40">
              <w:rPr>
                <w:szCs w:val="24"/>
              </w:rPr>
              <w:t>Vice-Chairman</w:t>
            </w:r>
          </w:p>
        </w:tc>
      </w:tr>
    </w:tbl>
    <w:p w14:paraId="4841726A" w14:textId="77777777" w:rsidR="0012432B" w:rsidRPr="00380B40" w:rsidRDefault="0012432B" w:rsidP="0012432B">
      <w:pPr>
        <w:rPr>
          <w:lang w:val="en-US"/>
        </w:rPr>
      </w:pPr>
    </w:p>
    <w:p w14:paraId="11CF19FD" w14:textId="77777777" w:rsidR="0012432B" w:rsidRPr="00380B40" w:rsidRDefault="0012432B" w:rsidP="0012432B">
      <w:pPr>
        <w:tabs>
          <w:tab w:val="clear" w:pos="794"/>
          <w:tab w:val="clear" w:pos="1191"/>
          <w:tab w:val="clear" w:pos="1588"/>
          <w:tab w:val="clear" w:pos="1985"/>
        </w:tabs>
        <w:overflowPunct/>
        <w:autoSpaceDE/>
        <w:autoSpaceDN/>
        <w:adjustRightInd/>
        <w:spacing w:before="0" w:line="240" w:lineRule="auto"/>
        <w:jc w:val="left"/>
        <w:textAlignment w:val="auto"/>
        <w:rPr>
          <w:lang w:val="en-US"/>
        </w:rPr>
      </w:pPr>
      <w:r w:rsidRPr="00380B40">
        <w:rPr>
          <w:lang w:val="en-US"/>
        </w:rPr>
        <w:br w:type="page"/>
      </w:r>
    </w:p>
    <w:p w14:paraId="5124AB58" w14:textId="77777777" w:rsidR="0012432B" w:rsidRPr="00380B40" w:rsidRDefault="0012432B" w:rsidP="0012432B">
      <w:pPr>
        <w:pStyle w:val="Headingb1"/>
      </w:pPr>
      <w:r w:rsidRPr="00380B40">
        <w:t>Standardization Committee for Vocabulary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1985"/>
        <w:gridCol w:w="2827"/>
        <w:gridCol w:w="1844"/>
      </w:tblGrid>
      <w:tr w:rsidR="0012432B" w:rsidRPr="00380B40" w14:paraId="3C133D74" w14:textId="77777777" w:rsidTr="003200C1">
        <w:trPr>
          <w:jc w:val="center"/>
        </w:trPr>
        <w:tc>
          <w:tcPr>
            <w:tcW w:w="1087" w:type="dxa"/>
            <w:shd w:val="clear" w:color="auto" w:fill="auto"/>
            <w:vAlign w:val="center"/>
          </w:tcPr>
          <w:p w14:paraId="06CE1DCC" w14:textId="77777777" w:rsidR="0012432B" w:rsidRPr="00380B40" w:rsidRDefault="0012432B" w:rsidP="004E4CA9">
            <w:pPr>
              <w:pStyle w:val="Tableheadwhitecentred"/>
              <w:rPr>
                <w:b w:val="0"/>
              </w:rPr>
            </w:pPr>
            <w:r w:rsidRPr="00380B40">
              <w:t xml:space="preserve">Group </w:t>
            </w:r>
          </w:p>
        </w:tc>
        <w:tc>
          <w:tcPr>
            <w:tcW w:w="3870" w:type="dxa"/>
            <w:gridSpan w:val="2"/>
            <w:shd w:val="clear" w:color="auto" w:fill="auto"/>
            <w:vAlign w:val="center"/>
          </w:tcPr>
          <w:p w14:paraId="2C59D1E2" w14:textId="77777777" w:rsidR="0012432B" w:rsidRPr="00380B40" w:rsidRDefault="0012432B" w:rsidP="004E4CA9">
            <w:pPr>
              <w:pStyle w:val="Tableheadwhitecentred"/>
            </w:pPr>
            <w:r w:rsidRPr="00380B40">
              <w:t xml:space="preserve">Name </w:t>
            </w:r>
          </w:p>
        </w:tc>
        <w:tc>
          <w:tcPr>
            <w:tcW w:w="2827" w:type="dxa"/>
          </w:tcPr>
          <w:p w14:paraId="0CD59C7A" w14:textId="77777777" w:rsidR="0012432B" w:rsidRPr="00380B40" w:rsidRDefault="0012432B" w:rsidP="004E4CA9">
            <w:pPr>
              <w:pStyle w:val="Tableheadwhitecentred"/>
            </w:pPr>
            <w:r w:rsidRPr="00380B40">
              <w:t>Country/ Company</w:t>
            </w:r>
          </w:p>
        </w:tc>
        <w:tc>
          <w:tcPr>
            <w:tcW w:w="1844" w:type="dxa"/>
          </w:tcPr>
          <w:p w14:paraId="79E0B1D5" w14:textId="77777777" w:rsidR="0012432B" w:rsidRPr="00380B40" w:rsidRDefault="0012432B" w:rsidP="004E4CA9">
            <w:pPr>
              <w:pStyle w:val="Tableheadwhitecentred"/>
            </w:pPr>
          </w:p>
        </w:tc>
      </w:tr>
      <w:tr w:rsidR="0012432B" w:rsidRPr="00380B40" w14:paraId="095A68EA" w14:textId="77777777" w:rsidTr="003200C1">
        <w:trPr>
          <w:jc w:val="center"/>
        </w:trPr>
        <w:tc>
          <w:tcPr>
            <w:tcW w:w="1087" w:type="dxa"/>
            <w:shd w:val="clear" w:color="auto" w:fill="auto"/>
          </w:tcPr>
          <w:p w14:paraId="4929556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SCV</w:t>
            </w:r>
          </w:p>
        </w:tc>
        <w:tc>
          <w:tcPr>
            <w:tcW w:w="1885" w:type="dxa"/>
            <w:shd w:val="clear" w:color="auto" w:fill="auto"/>
          </w:tcPr>
          <w:p w14:paraId="51BDDDC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color w:val="000000"/>
                <w:szCs w:val="24"/>
              </w:rPr>
              <w:t>Ms Rim</w:t>
            </w:r>
          </w:p>
        </w:tc>
        <w:tc>
          <w:tcPr>
            <w:tcW w:w="1985" w:type="dxa"/>
          </w:tcPr>
          <w:p w14:paraId="7BF11BB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color w:val="000000"/>
                <w:szCs w:val="24"/>
              </w:rPr>
              <w:t>BELHAJ</w:t>
            </w:r>
          </w:p>
        </w:tc>
        <w:tc>
          <w:tcPr>
            <w:tcW w:w="2827" w:type="dxa"/>
          </w:tcPr>
          <w:p w14:paraId="6BC0225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Tunisia</w:t>
            </w:r>
          </w:p>
        </w:tc>
        <w:tc>
          <w:tcPr>
            <w:tcW w:w="1844" w:type="dxa"/>
          </w:tcPr>
          <w:p w14:paraId="44F1BFD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b/>
                <w:bCs/>
                <w:szCs w:val="24"/>
              </w:rPr>
              <w:t xml:space="preserve">Chairman </w:t>
            </w:r>
            <w:r w:rsidRPr="00380B40">
              <w:rPr>
                <w:b/>
                <w:bCs/>
                <w:color w:val="000000"/>
                <w:szCs w:val="24"/>
              </w:rPr>
              <w:t>(French)</w:t>
            </w:r>
          </w:p>
        </w:tc>
      </w:tr>
      <w:tr w:rsidR="0012432B" w:rsidRPr="00380B40" w14:paraId="51865AFE" w14:textId="77777777" w:rsidTr="003200C1">
        <w:trPr>
          <w:jc w:val="center"/>
        </w:trPr>
        <w:tc>
          <w:tcPr>
            <w:tcW w:w="1087" w:type="dxa"/>
            <w:shd w:val="clear" w:color="auto" w:fill="auto"/>
          </w:tcPr>
          <w:p w14:paraId="6C77948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SCV</w:t>
            </w:r>
          </w:p>
        </w:tc>
        <w:tc>
          <w:tcPr>
            <w:tcW w:w="1885" w:type="dxa"/>
            <w:shd w:val="clear" w:color="auto" w:fill="auto"/>
          </w:tcPr>
          <w:p w14:paraId="4288D4E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t>Mr Paul</w:t>
            </w:r>
          </w:p>
        </w:tc>
        <w:tc>
          <w:tcPr>
            <w:tcW w:w="1985" w:type="dxa"/>
          </w:tcPr>
          <w:p w14:paraId="165BA89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t>NAJARIAN</w:t>
            </w:r>
          </w:p>
        </w:tc>
        <w:tc>
          <w:tcPr>
            <w:tcW w:w="2827" w:type="dxa"/>
          </w:tcPr>
          <w:p w14:paraId="55603F9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t>United States</w:t>
            </w:r>
          </w:p>
        </w:tc>
        <w:tc>
          <w:tcPr>
            <w:tcW w:w="1844" w:type="dxa"/>
          </w:tcPr>
          <w:p w14:paraId="6874524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 xml:space="preserve">Vice-Chairman </w:t>
            </w:r>
            <w:r w:rsidRPr="00380B40">
              <w:rPr>
                <w:color w:val="000000"/>
                <w:szCs w:val="24"/>
              </w:rPr>
              <w:t>(English)</w:t>
            </w:r>
          </w:p>
        </w:tc>
      </w:tr>
      <w:tr w:rsidR="0012432B" w:rsidRPr="00380B40" w14:paraId="1E171EB3" w14:textId="77777777" w:rsidTr="003200C1">
        <w:trPr>
          <w:jc w:val="center"/>
        </w:trPr>
        <w:tc>
          <w:tcPr>
            <w:tcW w:w="1087" w:type="dxa"/>
            <w:shd w:val="clear" w:color="auto" w:fill="auto"/>
          </w:tcPr>
          <w:p w14:paraId="2A5DA84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SCV</w:t>
            </w:r>
          </w:p>
        </w:tc>
        <w:tc>
          <w:tcPr>
            <w:tcW w:w="1885" w:type="dxa"/>
            <w:shd w:val="clear" w:color="auto" w:fill="auto"/>
          </w:tcPr>
          <w:p w14:paraId="660C814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Vacant</w:t>
            </w:r>
          </w:p>
        </w:tc>
        <w:tc>
          <w:tcPr>
            <w:tcW w:w="1985" w:type="dxa"/>
          </w:tcPr>
          <w:p w14:paraId="08C78AE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p>
        </w:tc>
        <w:tc>
          <w:tcPr>
            <w:tcW w:w="2827" w:type="dxa"/>
          </w:tcPr>
          <w:p w14:paraId="6A29B10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p>
        </w:tc>
        <w:tc>
          <w:tcPr>
            <w:tcW w:w="1844" w:type="dxa"/>
          </w:tcPr>
          <w:p w14:paraId="5C78B72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Vice-chairman (Arabic)</w:t>
            </w:r>
          </w:p>
        </w:tc>
      </w:tr>
      <w:tr w:rsidR="0012432B" w:rsidRPr="00380B40" w14:paraId="1CCF5059" w14:textId="77777777" w:rsidTr="003200C1">
        <w:trPr>
          <w:jc w:val="center"/>
        </w:trPr>
        <w:tc>
          <w:tcPr>
            <w:tcW w:w="1087" w:type="dxa"/>
            <w:shd w:val="clear" w:color="auto" w:fill="auto"/>
          </w:tcPr>
          <w:p w14:paraId="7801701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SCV</w:t>
            </w:r>
          </w:p>
        </w:tc>
        <w:tc>
          <w:tcPr>
            <w:tcW w:w="1885" w:type="dxa"/>
            <w:shd w:val="clear" w:color="auto" w:fill="auto"/>
          </w:tcPr>
          <w:p w14:paraId="6A365C5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Mr Tong</w:t>
            </w:r>
          </w:p>
        </w:tc>
        <w:tc>
          <w:tcPr>
            <w:tcW w:w="1985" w:type="dxa"/>
          </w:tcPr>
          <w:p w14:paraId="4280D61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WU</w:t>
            </w:r>
          </w:p>
        </w:tc>
        <w:tc>
          <w:tcPr>
            <w:tcW w:w="2827" w:type="dxa"/>
          </w:tcPr>
          <w:p w14:paraId="63A0EB9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China (P.R.)</w:t>
            </w:r>
          </w:p>
        </w:tc>
        <w:tc>
          <w:tcPr>
            <w:tcW w:w="1844" w:type="dxa"/>
          </w:tcPr>
          <w:p w14:paraId="2F7B008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szCs w:val="24"/>
              </w:rPr>
              <w:t xml:space="preserve">Vice-Chairman </w:t>
            </w:r>
            <w:r w:rsidRPr="00380B40">
              <w:rPr>
                <w:color w:val="000000"/>
                <w:szCs w:val="24"/>
              </w:rPr>
              <w:t>(Chinese)</w:t>
            </w:r>
          </w:p>
        </w:tc>
      </w:tr>
      <w:tr w:rsidR="0012432B" w:rsidRPr="00380B40" w14:paraId="64E9DD2C" w14:textId="77777777" w:rsidTr="003200C1">
        <w:trPr>
          <w:jc w:val="center"/>
        </w:trPr>
        <w:tc>
          <w:tcPr>
            <w:tcW w:w="1087" w:type="dxa"/>
            <w:shd w:val="clear" w:color="auto" w:fill="auto"/>
          </w:tcPr>
          <w:p w14:paraId="584A26F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 w:rsidRPr="00380B40">
              <w:rPr>
                <w:b/>
                <w:bCs/>
              </w:rPr>
              <w:t>SCV</w:t>
            </w:r>
          </w:p>
        </w:tc>
        <w:tc>
          <w:tcPr>
            <w:tcW w:w="1885" w:type="dxa"/>
            <w:shd w:val="clear" w:color="auto" w:fill="auto"/>
          </w:tcPr>
          <w:p w14:paraId="2FC6D51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Vacant</w:t>
            </w:r>
          </w:p>
        </w:tc>
        <w:tc>
          <w:tcPr>
            <w:tcW w:w="1985" w:type="dxa"/>
          </w:tcPr>
          <w:p w14:paraId="79EA702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p>
        </w:tc>
        <w:tc>
          <w:tcPr>
            <w:tcW w:w="2827" w:type="dxa"/>
          </w:tcPr>
          <w:p w14:paraId="31DD985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p>
        </w:tc>
        <w:tc>
          <w:tcPr>
            <w:tcW w:w="1844" w:type="dxa"/>
          </w:tcPr>
          <w:p w14:paraId="1D29BAA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color w:val="000000"/>
                <w:szCs w:val="24"/>
              </w:rPr>
              <w:t>Vice-chairman (Spanish)</w:t>
            </w:r>
          </w:p>
        </w:tc>
      </w:tr>
    </w:tbl>
    <w:p w14:paraId="7AD6D8A4" w14:textId="77777777" w:rsidR="0012432B" w:rsidRPr="00380B40" w:rsidRDefault="0012432B" w:rsidP="0012432B">
      <w:pPr>
        <w:rPr>
          <w:lang w:val="en-US"/>
        </w:rPr>
      </w:pPr>
    </w:p>
    <w:p w14:paraId="1F420EDB" w14:textId="77777777" w:rsidR="0012432B" w:rsidRPr="00380B40" w:rsidRDefault="0012432B" w:rsidP="0012432B">
      <w:pPr>
        <w:rPr>
          <w:lang w:val="en-US"/>
        </w:rPr>
        <w:sectPr w:rsidR="0012432B" w:rsidRPr="00380B40" w:rsidSect="00BC06E3">
          <w:headerReference w:type="even" r:id="rId515"/>
          <w:headerReference w:type="default" r:id="rId516"/>
          <w:footerReference w:type="even" r:id="rId517"/>
          <w:footerReference w:type="default" r:id="rId518"/>
          <w:type w:val="oddPage"/>
          <w:pgSz w:w="11906" w:h="16838" w:code="9"/>
          <w:pgMar w:top="1134" w:right="1134" w:bottom="1134" w:left="1134" w:header="567" w:footer="567" w:gutter="0"/>
          <w:cols w:space="708"/>
          <w:docGrid w:linePitch="360"/>
        </w:sectPr>
      </w:pPr>
    </w:p>
    <w:p w14:paraId="79064FB1" w14:textId="77777777" w:rsidR="008930E6" w:rsidRDefault="008930E6" w:rsidP="008930E6">
      <w:pPr>
        <w:rPr>
          <w:lang w:val="en-GB"/>
        </w:rPr>
      </w:pPr>
      <w:bookmarkStart w:id="2419" w:name="_Toc111637157"/>
      <w:bookmarkStart w:id="2420" w:name="_Toc111638557"/>
    </w:p>
    <w:p w14:paraId="022C2161" w14:textId="77777777" w:rsidR="008930E6" w:rsidRDefault="008930E6" w:rsidP="008930E6">
      <w:pPr>
        <w:rPr>
          <w:lang w:val="en-GB"/>
        </w:rPr>
      </w:pPr>
    </w:p>
    <w:p w14:paraId="72094540" w14:textId="77777777" w:rsidR="008930E6" w:rsidRDefault="008930E6" w:rsidP="008930E6">
      <w:pPr>
        <w:rPr>
          <w:lang w:val="en-GB"/>
        </w:rPr>
      </w:pPr>
    </w:p>
    <w:p w14:paraId="68B29F3C" w14:textId="77777777" w:rsidR="008930E6" w:rsidRDefault="008930E6" w:rsidP="008930E6">
      <w:pPr>
        <w:rPr>
          <w:lang w:val="en-GB"/>
        </w:rPr>
      </w:pPr>
    </w:p>
    <w:p w14:paraId="2793C2CD" w14:textId="77777777" w:rsidR="008930E6" w:rsidRDefault="008930E6" w:rsidP="008930E6">
      <w:pPr>
        <w:rPr>
          <w:lang w:val="en-GB"/>
        </w:rPr>
      </w:pPr>
    </w:p>
    <w:p w14:paraId="6AA4EB91" w14:textId="77777777" w:rsidR="008930E6" w:rsidRDefault="008930E6" w:rsidP="008930E6">
      <w:pPr>
        <w:rPr>
          <w:lang w:val="en-GB"/>
        </w:rPr>
      </w:pPr>
    </w:p>
    <w:p w14:paraId="53EE0340" w14:textId="77777777" w:rsidR="008930E6" w:rsidRDefault="008930E6" w:rsidP="008930E6">
      <w:pPr>
        <w:rPr>
          <w:lang w:val="en-GB"/>
        </w:rPr>
      </w:pPr>
    </w:p>
    <w:p w14:paraId="6CFF8577" w14:textId="77777777" w:rsidR="008930E6" w:rsidRDefault="008930E6" w:rsidP="008930E6">
      <w:pPr>
        <w:rPr>
          <w:lang w:val="en-GB"/>
        </w:rPr>
      </w:pPr>
    </w:p>
    <w:p w14:paraId="21B0108E" w14:textId="77777777" w:rsidR="008930E6" w:rsidRDefault="008930E6" w:rsidP="008930E6">
      <w:pPr>
        <w:rPr>
          <w:lang w:val="en-GB"/>
        </w:rPr>
      </w:pPr>
    </w:p>
    <w:p w14:paraId="7A77E7D5" w14:textId="77777777" w:rsidR="008930E6" w:rsidRDefault="008930E6" w:rsidP="008930E6">
      <w:pPr>
        <w:rPr>
          <w:lang w:val="en-GB"/>
        </w:rPr>
      </w:pPr>
    </w:p>
    <w:p w14:paraId="6505C4D2" w14:textId="77777777" w:rsidR="008930E6" w:rsidRDefault="008930E6" w:rsidP="008930E6">
      <w:pPr>
        <w:rPr>
          <w:lang w:val="en-GB"/>
        </w:rPr>
      </w:pPr>
    </w:p>
    <w:p w14:paraId="295CA29A" w14:textId="77777777" w:rsidR="008930E6" w:rsidRPr="008930E6" w:rsidRDefault="008930E6" w:rsidP="008930E6">
      <w:pPr>
        <w:rPr>
          <w:lang w:val="en-GB"/>
        </w:rPr>
      </w:pPr>
    </w:p>
    <w:p w14:paraId="4440A407" w14:textId="2E413A80" w:rsidR="00843E9E" w:rsidRDefault="0012432B" w:rsidP="0012432B">
      <w:pPr>
        <w:pStyle w:val="ChapNo"/>
        <w:rPr>
          <w:bCs/>
          <w:lang w:val="en-US"/>
        </w:rPr>
      </w:pPr>
      <w:bookmarkStart w:id="2421" w:name="PartIV"/>
      <w:bookmarkEnd w:id="2421"/>
      <w:r w:rsidRPr="00380B40">
        <w:rPr>
          <w:lang w:val="en-US"/>
        </w:rPr>
        <w:t xml:space="preserve">PART IV </w:t>
      </w:r>
      <w:r w:rsidRPr="00380B40">
        <w:rPr>
          <w:lang w:val="en-US"/>
        </w:rPr>
        <w:br/>
      </w:r>
      <w:r w:rsidRPr="00380B40">
        <w:rPr>
          <w:lang w:val="en-US"/>
        </w:rPr>
        <w:br/>
      </w:r>
      <w:r w:rsidRPr="00380B40">
        <w:rPr>
          <w:lang w:val="en-US"/>
        </w:rPr>
        <w:br/>
      </w:r>
      <w:r w:rsidRPr="00380B40">
        <w:rPr>
          <w:bCs/>
          <w:lang w:val="en-US"/>
        </w:rPr>
        <w:t>Titles of the Questions approved for study by the Telecommunication Standardization Sector</w:t>
      </w:r>
      <w:bookmarkEnd w:id="2419"/>
      <w:bookmarkEnd w:id="2420"/>
      <w:r w:rsidR="00843E9E">
        <w:rPr>
          <w:bCs/>
          <w:lang w:val="en-US"/>
        </w:rPr>
        <w:br w:type="page"/>
      </w:r>
    </w:p>
    <w:p w14:paraId="176DF960" w14:textId="77777777" w:rsidR="0012432B" w:rsidRPr="00380B40" w:rsidRDefault="0012432B" w:rsidP="0012432B">
      <w:pPr>
        <w:pStyle w:val="ChapNo"/>
        <w:rPr>
          <w:bCs/>
          <w:lang w:val="en-US"/>
        </w:rPr>
      </w:pPr>
    </w:p>
    <w:p w14:paraId="7EE16A6B" w14:textId="77777777" w:rsidR="0012432B" w:rsidRPr="00380B40" w:rsidRDefault="0012432B" w:rsidP="0012432B">
      <w:pPr>
        <w:pStyle w:val="Chaptitle"/>
        <w:rPr>
          <w:lang w:val="en-US"/>
        </w:rPr>
      </w:pPr>
    </w:p>
    <w:p w14:paraId="28BC8ED2" w14:textId="77777777" w:rsidR="0012432B" w:rsidRPr="00380B40" w:rsidRDefault="0012432B" w:rsidP="0012432B">
      <w:pPr>
        <w:pStyle w:val="Normalaftertitle"/>
        <w:rPr>
          <w:lang w:val="en-US"/>
        </w:rPr>
        <w:sectPr w:rsidR="0012432B" w:rsidRPr="00380B40" w:rsidSect="008930E6">
          <w:headerReference w:type="default" r:id="rId519"/>
          <w:footerReference w:type="even" r:id="rId520"/>
          <w:footerReference w:type="default" r:id="rId521"/>
          <w:type w:val="oddPage"/>
          <w:pgSz w:w="11906" w:h="16838" w:code="9"/>
          <w:pgMar w:top="1134" w:right="1134" w:bottom="1134" w:left="1134" w:header="567" w:footer="567" w:gutter="0"/>
          <w:cols w:space="708"/>
          <w:docGrid w:linePitch="360"/>
        </w:sectPr>
      </w:pPr>
    </w:p>
    <w:p w14:paraId="64BFE32E" w14:textId="77777777" w:rsidR="0012432B" w:rsidRPr="00380B40" w:rsidRDefault="0012432B" w:rsidP="0012432B">
      <w:pPr>
        <w:keepNext/>
        <w:keepLines/>
        <w:tabs>
          <w:tab w:val="left" w:pos="567"/>
          <w:tab w:val="left" w:pos="1134"/>
          <w:tab w:val="left" w:pos="1701"/>
          <w:tab w:val="left" w:pos="1871"/>
          <w:tab w:val="left" w:pos="2268"/>
          <w:tab w:val="left" w:pos="2835"/>
          <w:tab w:val="left" w:pos="3402"/>
          <w:tab w:val="left" w:pos="3969"/>
          <w:tab w:val="left" w:pos="4536"/>
          <w:tab w:val="left" w:pos="5103"/>
          <w:tab w:val="left" w:pos="5670"/>
          <w:tab w:val="left" w:pos="6244"/>
        </w:tabs>
        <w:spacing w:before="280" w:after="120"/>
        <w:ind w:left="1134" w:hanging="1134"/>
        <w:outlineLvl w:val="0"/>
        <w:rPr>
          <w:b/>
          <w:sz w:val="28"/>
        </w:rPr>
      </w:pPr>
      <w:bookmarkStart w:id="2422" w:name="_Toc111637158"/>
      <w:r w:rsidRPr="00380B40">
        <w:rPr>
          <w:b/>
          <w:sz w:val="28"/>
        </w:rPr>
        <w:t>1</w:t>
      </w:r>
      <w:r w:rsidRPr="00380B40">
        <w:rPr>
          <w:b/>
          <w:sz w:val="28"/>
        </w:rPr>
        <w:tab/>
        <w:t>Study Group 2</w:t>
      </w:r>
      <w:bookmarkEnd w:id="24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1"/>
        <w:gridCol w:w="8237"/>
      </w:tblGrid>
      <w:tr w:rsidR="0012432B" w:rsidRPr="00380B40" w14:paraId="40CCDEDD" w14:textId="77777777" w:rsidTr="00136CB0">
        <w:trPr>
          <w:jc w:val="center"/>
        </w:trPr>
        <w:tc>
          <w:tcPr>
            <w:tcW w:w="1391" w:type="dxa"/>
            <w:shd w:val="clear" w:color="auto" w:fill="auto"/>
            <w:vAlign w:val="center"/>
          </w:tcPr>
          <w:p w14:paraId="307B5432" w14:textId="77777777" w:rsidR="0012432B" w:rsidRPr="00380B40" w:rsidRDefault="0012432B" w:rsidP="004E4CA9">
            <w:pPr>
              <w:pStyle w:val="Tableheadwhitecentred"/>
              <w:rPr>
                <w:b w:val="0"/>
              </w:rPr>
            </w:pPr>
            <w:r w:rsidRPr="00380B40">
              <w:t>Question number</w:t>
            </w:r>
          </w:p>
        </w:tc>
        <w:tc>
          <w:tcPr>
            <w:tcW w:w="8237" w:type="dxa"/>
            <w:shd w:val="clear" w:color="auto" w:fill="auto"/>
            <w:vAlign w:val="center"/>
          </w:tcPr>
          <w:p w14:paraId="0659DF01" w14:textId="77777777" w:rsidR="0012432B" w:rsidRPr="00380B40" w:rsidRDefault="0012432B" w:rsidP="004E4CA9">
            <w:pPr>
              <w:pStyle w:val="Tableheadwhitecentred"/>
              <w:rPr>
                <w:b w:val="0"/>
              </w:rPr>
            </w:pPr>
            <w:r w:rsidRPr="00380B40">
              <w:t>Question title</w:t>
            </w:r>
          </w:p>
        </w:tc>
      </w:tr>
      <w:tr w:rsidR="0012432B" w:rsidRPr="004E0F36" w14:paraId="18F6F947" w14:textId="77777777" w:rsidTr="00136CB0">
        <w:trPr>
          <w:jc w:val="center"/>
        </w:trPr>
        <w:tc>
          <w:tcPr>
            <w:tcW w:w="1391" w:type="dxa"/>
            <w:shd w:val="clear" w:color="auto" w:fill="auto"/>
            <w:vAlign w:val="center"/>
          </w:tcPr>
          <w:p w14:paraId="0E8E924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A/2</w:t>
            </w:r>
          </w:p>
        </w:tc>
        <w:tc>
          <w:tcPr>
            <w:tcW w:w="8237" w:type="dxa"/>
            <w:shd w:val="clear" w:color="auto" w:fill="auto"/>
            <w:vAlign w:val="center"/>
          </w:tcPr>
          <w:p w14:paraId="0E8ED7B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Application of numbering, naming, addressing and identification plans for fixed and mobile telecommunications services</w:t>
            </w:r>
          </w:p>
        </w:tc>
      </w:tr>
      <w:tr w:rsidR="0012432B" w:rsidRPr="004E0F36" w14:paraId="7E268D69" w14:textId="77777777" w:rsidTr="00136CB0">
        <w:trPr>
          <w:jc w:val="center"/>
        </w:trPr>
        <w:tc>
          <w:tcPr>
            <w:tcW w:w="1391" w:type="dxa"/>
            <w:shd w:val="clear" w:color="auto" w:fill="auto"/>
            <w:vAlign w:val="center"/>
          </w:tcPr>
          <w:p w14:paraId="55C5D23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B/2</w:t>
            </w:r>
          </w:p>
        </w:tc>
        <w:tc>
          <w:tcPr>
            <w:tcW w:w="8237" w:type="dxa"/>
            <w:shd w:val="clear" w:color="auto" w:fill="auto"/>
            <w:vAlign w:val="center"/>
          </w:tcPr>
          <w:p w14:paraId="211D5A8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Routing and interworking plan for current and future networks</w:t>
            </w:r>
          </w:p>
        </w:tc>
      </w:tr>
      <w:tr w:rsidR="0012432B" w:rsidRPr="004E0F36" w14:paraId="3AF4425D" w14:textId="77777777" w:rsidTr="00136CB0">
        <w:trPr>
          <w:jc w:val="center"/>
        </w:trPr>
        <w:tc>
          <w:tcPr>
            <w:tcW w:w="1391" w:type="dxa"/>
            <w:shd w:val="clear" w:color="auto" w:fill="auto"/>
            <w:vAlign w:val="center"/>
          </w:tcPr>
          <w:p w14:paraId="280BE0F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C/2</w:t>
            </w:r>
          </w:p>
        </w:tc>
        <w:tc>
          <w:tcPr>
            <w:tcW w:w="8237" w:type="dxa"/>
            <w:shd w:val="clear" w:color="auto" w:fill="auto"/>
            <w:vAlign w:val="center"/>
          </w:tcPr>
          <w:p w14:paraId="6AC24C4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Service and operational aspects of telecommunications, including service definition</w:t>
            </w:r>
          </w:p>
        </w:tc>
      </w:tr>
      <w:tr w:rsidR="0012432B" w:rsidRPr="004E0F36" w14:paraId="2E133538" w14:textId="77777777" w:rsidTr="00136CB0">
        <w:trPr>
          <w:jc w:val="center"/>
        </w:trPr>
        <w:tc>
          <w:tcPr>
            <w:tcW w:w="1391" w:type="dxa"/>
            <w:shd w:val="clear" w:color="auto" w:fill="auto"/>
            <w:vAlign w:val="center"/>
          </w:tcPr>
          <w:p w14:paraId="47A2C11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D/2</w:t>
            </w:r>
          </w:p>
        </w:tc>
        <w:tc>
          <w:tcPr>
            <w:tcW w:w="8237" w:type="dxa"/>
            <w:shd w:val="clear" w:color="auto" w:fill="auto"/>
            <w:vAlign w:val="center"/>
          </w:tcPr>
          <w:p w14:paraId="49D5E73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Requirements, priorities and planning for telecommunication/ICT management and operation, administration and maintenance (OAM) Recommendations</w:t>
            </w:r>
          </w:p>
        </w:tc>
      </w:tr>
      <w:tr w:rsidR="0012432B" w:rsidRPr="00380B40" w14:paraId="2FDFAD50" w14:textId="77777777" w:rsidTr="00136CB0">
        <w:trPr>
          <w:jc w:val="center"/>
        </w:trPr>
        <w:tc>
          <w:tcPr>
            <w:tcW w:w="1391" w:type="dxa"/>
            <w:shd w:val="clear" w:color="auto" w:fill="auto"/>
            <w:vAlign w:val="center"/>
          </w:tcPr>
          <w:p w14:paraId="31ED66D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E/2</w:t>
            </w:r>
          </w:p>
        </w:tc>
        <w:tc>
          <w:tcPr>
            <w:tcW w:w="8237" w:type="dxa"/>
            <w:shd w:val="clear" w:color="auto" w:fill="auto"/>
            <w:vAlign w:val="center"/>
          </w:tcPr>
          <w:p w14:paraId="7B8EC9C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pPr>
            <w:r w:rsidRPr="00380B40">
              <w:t>Management architecture and security</w:t>
            </w:r>
          </w:p>
        </w:tc>
      </w:tr>
      <w:tr w:rsidR="0012432B" w:rsidRPr="004E0F36" w14:paraId="76C046EC" w14:textId="77777777" w:rsidTr="00136CB0">
        <w:trPr>
          <w:jc w:val="center"/>
        </w:trPr>
        <w:tc>
          <w:tcPr>
            <w:tcW w:w="1391" w:type="dxa"/>
            <w:shd w:val="clear" w:color="auto" w:fill="auto"/>
            <w:vAlign w:val="center"/>
          </w:tcPr>
          <w:p w14:paraId="33089D9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F/2</w:t>
            </w:r>
          </w:p>
        </w:tc>
        <w:tc>
          <w:tcPr>
            <w:tcW w:w="8237" w:type="dxa"/>
            <w:shd w:val="clear" w:color="auto" w:fill="auto"/>
            <w:vAlign w:val="center"/>
          </w:tcPr>
          <w:p w14:paraId="6C93A22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Interface specifications and specification methodology</w:t>
            </w:r>
          </w:p>
        </w:tc>
      </w:tr>
    </w:tbl>
    <w:p w14:paraId="496DB1B6" w14:textId="77777777" w:rsidR="00607108" w:rsidRPr="00C777D4" w:rsidRDefault="00607108" w:rsidP="00607108">
      <w:pPr>
        <w:rPr>
          <w:lang w:val="en-GB"/>
        </w:rPr>
      </w:pPr>
    </w:p>
    <w:p w14:paraId="10477534" w14:textId="77777777" w:rsidR="0012432B" w:rsidRPr="00380B40" w:rsidRDefault="0012432B" w:rsidP="0012432B">
      <w:pPr>
        <w:keepNext/>
        <w:keepLines/>
        <w:tabs>
          <w:tab w:val="left" w:pos="567"/>
          <w:tab w:val="left" w:pos="1134"/>
          <w:tab w:val="left" w:pos="1701"/>
          <w:tab w:val="left" w:pos="1871"/>
          <w:tab w:val="left" w:pos="2268"/>
          <w:tab w:val="left" w:pos="2835"/>
          <w:tab w:val="left" w:pos="3402"/>
          <w:tab w:val="left" w:pos="3969"/>
          <w:tab w:val="left" w:pos="4536"/>
          <w:tab w:val="left" w:pos="5103"/>
          <w:tab w:val="left" w:pos="5670"/>
          <w:tab w:val="left" w:pos="6244"/>
        </w:tabs>
        <w:spacing w:before="280" w:after="120"/>
        <w:ind w:left="1134" w:hanging="1134"/>
        <w:outlineLvl w:val="0"/>
        <w:rPr>
          <w:b/>
          <w:sz w:val="28"/>
        </w:rPr>
      </w:pPr>
      <w:bookmarkStart w:id="2423" w:name="_Toc111637159"/>
      <w:r w:rsidRPr="00380B40">
        <w:rPr>
          <w:b/>
          <w:sz w:val="28"/>
        </w:rPr>
        <w:t>2</w:t>
      </w:r>
      <w:r w:rsidRPr="00380B40">
        <w:rPr>
          <w:b/>
          <w:sz w:val="28"/>
        </w:rPr>
        <w:tab/>
        <w:t>Study Group 3</w:t>
      </w:r>
      <w:bookmarkEnd w:id="2423"/>
    </w:p>
    <w:tbl>
      <w:tblPr>
        <w:tblStyle w:val="TableGrid"/>
        <w:tblW w:w="5000" w:type="pct"/>
        <w:jc w:val="center"/>
        <w:tblLook w:val="04A0" w:firstRow="1" w:lastRow="0" w:firstColumn="1" w:lastColumn="0" w:noHBand="0" w:noVBand="1"/>
      </w:tblPr>
      <w:tblGrid>
        <w:gridCol w:w="1444"/>
        <w:gridCol w:w="8184"/>
      </w:tblGrid>
      <w:tr w:rsidR="0012432B" w:rsidRPr="00380B40" w14:paraId="296B3AB1" w14:textId="77777777" w:rsidTr="00136CB0">
        <w:trPr>
          <w:tblHeader/>
          <w:jc w:val="center"/>
        </w:trPr>
        <w:tc>
          <w:tcPr>
            <w:tcW w:w="750" w:type="pct"/>
            <w:shd w:val="clear" w:color="auto" w:fill="auto"/>
            <w:hideMark/>
          </w:tcPr>
          <w:p w14:paraId="2067F674" w14:textId="77777777" w:rsidR="0012432B" w:rsidRPr="00380B40" w:rsidRDefault="005367D4" w:rsidP="004E4CA9">
            <w:pPr>
              <w:pStyle w:val="Tableheadwhitecentred"/>
            </w:pPr>
            <w:r w:rsidRPr="00380B40">
              <w:t>Question number</w:t>
            </w:r>
          </w:p>
        </w:tc>
        <w:tc>
          <w:tcPr>
            <w:tcW w:w="4250" w:type="pct"/>
            <w:shd w:val="clear" w:color="auto" w:fill="auto"/>
            <w:hideMark/>
          </w:tcPr>
          <w:p w14:paraId="4F667A36" w14:textId="77777777" w:rsidR="0012432B" w:rsidRPr="00380B40" w:rsidRDefault="0012432B" w:rsidP="004E4CA9">
            <w:pPr>
              <w:pStyle w:val="Tableheadwhitecentred"/>
            </w:pPr>
            <w:r w:rsidRPr="00380B40">
              <w:t>Question title</w:t>
            </w:r>
          </w:p>
        </w:tc>
      </w:tr>
      <w:tr w:rsidR="0012432B" w:rsidRPr="004E0F36" w14:paraId="05874D2A" w14:textId="77777777" w:rsidTr="00136CB0">
        <w:trPr>
          <w:jc w:val="center"/>
        </w:trPr>
        <w:tc>
          <w:tcPr>
            <w:tcW w:w="750" w:type="pct"/>
            <w:shd w:val="clear" w:color="auto" w:fill="auto"/>
          </w:tcPr>
          <w:p w14:paraId="11B7604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A/3</w:t>
            </w:r>
          </w:p>
        </w:tc>
        <w:tc>
          <w:tcPr>
            <w:tcW w:w="4250" w:type="pct"/>
            <w:shd w:val="clear" w:color="auto" w:fill="auto"/>
          </w:tcPr>
          <w:p w14:paraId="42F67F8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Development of charging and accounting/settlement mechanisms for current and future international telecommunication/ICT services and networks</w:t>
            </w:r>
          </w:p>
        </w:tc>
      </w:tr>
      <w:tr w:rsidR="0012432B" w:rsidRPr="004E0F36" w14:paraId="6568DC99" w14:textId="77777777" w:rsidTr="00136CB0">
        <w:trPr>
          <w:jc w:val="center"/>
        </w:trPr>
        <w:tc>
          <w:tcPr>
            <w:tcW w:w="750" w:type="pct"/>
            <w:shd w:val="clear" w:color="auto" w:fill="auto"/>
          </w:tcPr>
          <w:p w14:paraId="32A8060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B/3</w:t>
            </w:r>
          </w:p>
        </w:tc>
        <w:tc>
          <w:tcPr>
            <w:tcW w:w="4250" w:type="pct"/>
            <w:shd w:val="clear" w:color="auto" w:fill="auto"/>
          </w:tcPr>
          <w:p w14:paraId="72FCC04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Study of economic and policy factors relevant to the efficient provision of international telecommunication services</w:t>
            </w:r>
          </w:p>
        </w:tc>
      </w:tr>
      <w:tr w:rsidR="0012432B" w:rsidRPr="004E0F36" w14:paraId="3EDE492F" w14:textId="77777777" w:rsidTr="00136CB0">
        <w:trPr>
          <w:jc w:val="center"/>
        </w:trPr>
        <w:tc>
          <w:tcPr>
            <w:tcW w:w="750" w:type="pct"/>
            <w:shd w:val="clear" w:color="auto" w:fill="auto"/>
          </w:tcPr>
          <w:p w14:paraId="02E3C90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C/3</w:t>
            </w:r>
          </w:p>
        </w:tc>
        <w:tc>
          <w:tcPr>
            <w:tcW w:w="4250" w:type="pct"/>
            <w:shd w:val="clear" w:color="auto" w:fill="auto"/>
          </w:tcPr>
          <w:p w14:paraId="77A2E2A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Regional studies for the development of cost models together with related economic and policy issues</w:t>
            </w:r>
          </w:p>
        </w:tc>
      </w:tr>
      <w:tr w:rsidR="0012432B" w:rsidRPr="004E0F36" w14:paraId="52D0A1A0" w14:textId="77777777" w:rsidTr="00136CB0">
        <w:trPr>
          <w:jc w:val="center"/>
        </w:trPr>
        <w:tc>
          <w:tcPr>
            <w:tcW w:w="750" w:type="pct"/>
            <w:shd w:val="clear" w:color="auto" w:fill="auto"/>
          </w:tcPr>
          <w:p w14:paraId="70AA6E1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D/3</w:t>
            </w:r>
          </w:p>
        </w:tc>
        <w:tc>
          <w:tcPr>
            <w:tcW w:w="4250" w:type="pct"/>
            <w:shd w:val="clear" w:color="auto" w:fill="auto"/>
          </w:tcPr>
          <w:p w14:paraId="554F007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International Internet and fibre cables connectivity including relevant aspects of Internet protocol (IP) peering, regional traffic exchange points, fibre cables optimization, cost of provision of services and impact of transition from Internet protocol version 6 (IPv6) deployment</w:t>
            </w:r>
          </w:p>
        </w:tc>
      </w:tr>
      <w:tr w:rsidR="0012432B" w:rsidRPr="004E0F36" w14:paraId="14EB1DCE" w14:textId="77777777" w:rsidTr="00136CB0">
        <w:trPr>
          <w:jc w:val="center"/>
        </w:trPr>
        <w:tc>
          <w:tcPr>
            <w:tcW w:w="750" w:type="pct"/>
            <w:shd w:val="clear" w:color="auto" w:fill="auto"/>
          </w:tcPr>
          <w:p w14:paraId="28D5684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E/3</w:t>
            </w:r>
          </w:p>
        </w:tc>
        <w:tc>
          <w:tcPr>
            <w:tcW w:w="4250" w:type="pct"/>
            <w:shd w:val="clear" w:color="auto" w:fill="auto"/>
          </w:tcPr>
          <w:p w14:paraId="1E0DDD2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International mobile roaming issues (including charging, accounting and settlement mechanisms and roaming at border areas)</w:t>
            </w:r>
          </w:p>
        </w:tc>
      </w:tr>
      <w:tr w:rsidR="0012432B" w:rsidRPr="004E0F36" w14:paraId="056A9594" w14:textId="77777777" w:rsidTr="00136CB0">
        <w:trPr>
          <w:jc w:val="center"/>
        </w:trPr>
        <w:tc>
          <w:tcPr>
            <w:tcW w:w="750" w:type="pct"/>
            <w:shd w:val="clear" w:color="auto" w:fill="auto"/>
          </w:tcPr>
          <w:p w14:paraId="1AE3377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F/3</w:t>
            </w:r>
          </w:p>
        </w:tc>
        <w:tc>
          <w:tcPr>
            <w:tcW w:w="4250" w:type="pct"/>
            <w:shd w:val="clear" w:color="auto" w:fill="auto"/>
          </w:tcPr>
          <w:p w14:paraId="19D46D1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Economic aspects of alternative calling procedures in the context of international telecommunications/ICT services and networks</w:t>
            </w:r>
          </w:p>
        </w:tc>
      </w:tr>
      <w:tr w:rsidR="0012432B" w:rsidRPr="004E0F36" w14:paraId="403D42E4" w14:textId="77777777" w:rsidTr="00136CB0">
        <w:trPr>
          <w:jc w:val="center"/>
        </w:trPr>
        <w:tc>
          <w:tcPr>
            <w:tcW w:w="750" w:type="pct"/>
            <w:shd w:val="clear" w:color="auto" w:fill="auto"/>
          </w:tcPr>
          <w:p w14:paraId="64F9106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G/3</w:t>
            </w:r>
          </w:p>
        </w:tc>
        <w:tc>
          <w:tcPr>
            <w:tcW w:w="4250" w:type="pct"/>
            <w:shd w:val="clear" w:color="auto" w:fill="auto"/>
          </w:tcPr>
          <w:p w14:paraId="41F71DC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Economic and policy aspects of the Internet, convergence (services or infrastructure) and OTTs in the context of international telecommunication/ICT services and networks</w:t>
            </w:r>
          </w:p>
        </w:tc>
      </w:tr>
      <w:tr w:rsidR="0012432B" w:rsidRPr="004E0F36" w14:paraId="6D2BF5B8" w14:textId="77777777" w:rsidTr="00136CB0">
        <w:trPr>
          <w:jc w:val="center"/>
        </w:trPr>
        <w:tc>
          <w:tcPr>
            <w:tcW w:w="750" w:type="pct"/>
            <w:shd w:val="clear" w:color="auto" w:fill="auto"/>
          </w:tcPr>
          <w:p w14:paraId="093BED2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H/3</w:t>
            </w:r>
          </w:p>
        </w:tc>
        <w:tc>
          <w:tcPr>
            <w:tcW w:w="4250" w:type="pct"/>
            <w:shd w:val="clear" w:color="auto" w:fill="auto"/>
          </w:tcPr>
          <w:p w14:paraId="5B05160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Competition policy and relevant market definitions related to the economic aspects of international telecommunication services and networks</w:t>
            </w:r>
          </w:p>
        </w:tc>
      </w:tr>
      <w:tr w:rsidR="0012432B" w:rsidRPr="004E0F36" w14:paraId="4EB2E4F2" w14:textId="77777777" w:rsidTr="00136CB0">
        <w:trPr>
          <w:jc w:val="center"/>
        </w:trPr>
        <w:tc>
          <w:tcPr>
            <w:tcW w:w="750" w:type="pct"/>
            <w:shd w:val="clear" w:color="auto" w:fill="auto"/>
          </w:tcPr>
          <w:p w14:paraId="4A7E7D7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I/3</w:t>
            </w:r>
          </w:p>
        </w:tc>
        <w:tc>
          <w:tcPr>
            <w:tcW w:w="4250" w:type="pct"/>
            <w:shd w:val="clear" w:color="auto" w:fill="auto"/>
          </w:tcPr>
          <w:p w14:paraId="71A1291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Economic and policy aspects of big data and digital identity in international telecommunications services and networks</w:t>
            </w:r>
          </w:p>
        </w:tc>
      </w:tr>
      <w:tr w:rsidR="0012432B" w:rsidRPr="004E0F36" w14:paraId="3EFDABCC" w14:textId="77777777" w:rsidTr="00136CB0">
        <w:trPr>
          <w:jc w:val="center"/>
        </w:trPr>
        <w:tc>
          <w:tcPr>
            <w:tcW w:w="750" w:type="pct"/>
            <w:shd w:val="clear" w:color="auto" w:fill="auto"/>
          </w:tcPr>
          <w:p w14:paraId="400606B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J/3</w:t>
            </w:r>
          </w:p>
        </w:tc>
        <w:tc>
          <w:tcPr>
            <w:tcW w:w="4250" w:type="pct"/>
            <w:shd w:val="clear" w:color="auto" w:fill="auto"/>
          </w:tcPr>
          <w:p w14:paraId="423D269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Economic and policy issues pertaining to international telecommunication/ICT services and networks that enable Mobile Financial Services (MFS)</w:t>
            </w:r>
          </w:p>
        </w:tc>
      </w:tr>
    </w:tbl>
    <w:p w14:paraId="24B47525" w14:textId="77777777" w:rsidR="0012432B" w:rsidRPr="00C777D4" w:rsidRDefault="0012432B" w:rsidP="0012432B">
      <w:pPr>
        <w:keepNext/>
        <w:keepLines/>
        <w:tabs>
          <w:tab w:val="left" w:pos="567"/>
          <w:tab w:val="left" w:pos="1134"/>
          <w:tab w:val="left" w:pos="1701"/>
          <w:tab w:val="left" w:pos="1871"/>
          <w:tab w:val="left" w:pos="2268"/>
          <w:tab w:val="left" w:pos="2835"/>
          <w:tab w:val="left" w:pos="3402"/>
          <w:tab w:val="left" w:pos="3969"/>
          <w:tab w:val="left" w:pos="4536"/>
          <w:tab w:val="left" w:pos="5103"/>
          <w:tab w:val="left" w:pos="5670"/>
          <w:tab w:val="left" w:pos="6244"/>
        </w:tabs>
        <w:spacing w:before="280" w:after="120"/>
        <w:ind w:left="1134" w:hanging="1134"/>
        <w:outlineLvl w:val="0"/>
        <w:rPr>
          <w:b/>
          <w:sz w:val="28"/>
          <w:lang w:val="en-GB"/>
        </w:rPr>
      </w:pPr>
      <w:r w:rsidRPr="00C777D4">
        <w:rPr>
          <w:b/>
          <w:sz w:val="28"/>
          <w:lang w:val="en-GB"/>
        </w:rPr>
        <w:br w:type="page"/>
      </w:r>
    </w:p>
    <w:p w14:paraId="39FEE395" w14:textId="77777777" w:rsidR="0012432B" w:rsidRPr="00380B40" w:rsidRDefault="0012432B" w:rsidP="0012432B">
      <w:pPr>
        <w:keepNext/>
        <w:keepLines/>
        <w:tabs>
          <w:tab w:val="left" w:pos="567"/>
          <w:tab w:val="left" w:pos="1134"/>
          <w:tab w:val="left" w:pos="1701"/>
          <w:tab w:val="left" w:pos="1871"/>
          <w:tab w:val="left" w:pos="2268"/>
          <w:tab w:val="left" w:pos="2835"/>
          <w:tab w:val="left" w:pos="3402"/>
          <w:tab w:val="left" w:pos="3969"/>
          <w:tab w:val="left" w:pos="4536"/>
          <w:tab w:val="left" w:pos="5103"/>
          <w:tab w:val="left" w:pos="5670"/>
          <w:tab w:val="left" w:pos="6244"/>
        </w:tabs>
        <w:spacing w:before="280" w:after="120"/>
        <w:ind w:left="1134" w:hanging="1134"/>
        <w:outlineLvl w:val="0"/>
        <w:rPr>
          <w:b/>
          <w:sz w:val="28"/>
        </w:rPr>
      </w:pPr>
      <w:bookmarkStart w:id="2424" w:name="_Toc111637160"/>
      <w:r w:rsidRPr="00380B40">
        <w:rPr>
          <w:b/>
          <w:sz w:val="28"/>
        </w:rPr>
        <w:t>3</w:t>
      </w:r>
      <w:r w:rsidRPr="00380B40">
        <w:rPr>
          <w:b/>
          <w:sz w:val="28"/>
        </w:rPr>
        <w:tab/>
        <w:t>Study Group 5</w:t>
      </w:r>
      <w:bookmarkEnd w:id="24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2"/>
        <w:gridCol w:w="8236"/>
      </w:tblGrid>
      <w:tr w:rsidR="0012432B" w:rsidRPr="00380B40" w14:paraId="52ACB3B5" w14:textId="77777777" w:rsidTr="00136CB0">
        <w:trPr>
          <w:jc w:val="center"/>
        </w:trPr>
        <w:tc>
          <w:tcPr>
            <w:tcW w:w="723" w:type="pct"/>
            <w:shd w:val="clear" w:color="auto" w:fill="auto"/>
            <w:vAlign w:val="center"/>
          </w:tcPr>
          <w:p w14:paraId="026DAE7D" w14:textId="77777777" w:rsidR="0012432B" w:rsidRPr="00380B40" w:rsidRDefault="0012432B" w:rsidP="004E4CA9">
            <w:pPr>
              <w:pStyle w:val="Tableheadwhitecentred"/>
              <w:rPr>
                <w:b w:val="0"/>
              </w:rPr>
            </w:pPr>
            <w:r w:rsidRPr="00380B40">
              <w:t>Question number</w:t>
            </w:r>
          </w:p>
        </w:tc>
        <w:tc>
          <w:tcPr>
            <w:tcW w:w="4277" w:type="pct"/>
            <w:shd w:val="clear" w:color="auto" w:fill="auto"/>
            <w:vAlign w:val="center"/>
          </w:tcPr>
          <w:p w14:paraId="44CB9F57" w14:textId="77777777" w:rsidR="0012432B" w:rsidRPr="00380B40" w:rsidRDefault="0012432B" w:rsidP="004E4CA9">
            <w:pPr>
              <w:pStyle w:val="Tableheadwhitecentred"/>
              <w:rPr>
                <w:b w:val="0"/>
              </w:rPr>
            </w:pPr>
            <w:r w:rsidRPr="00380B40">
              <w:t>Question title</w:t>
            </w:r>
          </w:p>
        </w:tc>
      </w:tr>
      <w:tr w:rsidR="0012432B" w:rsidRPr="004E0F36" w14:paraId="63BFFC26" w14:textId="77777777" w:rsidTr="00136CB0">
        <w:trPr>
          <w:jc w:val="center"/>
        </w:trPr>
        <w:tc>
          <w:tcPr>
            <w:tcW w:w="723" w:type="pct"/>
            <w:shd w:val="clear" w:color="auto" w:fill="auto"/>
          </w:tcPr>
          <w:p w14:paraId="4677153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A/5</w:t>
            </w:r>
          </w:p>
        </w:tc>
        <w:tc>
          <w:tcPr>
            <w:tcW w:w="4277" w:type="pct"/>
            <w:shd w:val="clear" w:color="auto" w:fill="auto"/>
          </w:tcPr>
          <w:p w14:paraId="6175155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Electrical protection, reliability, safety, and security of ICT systems</w:t>
            </w:r>
          </w:p>
        </w:tc>
      </w:tr>
      <w:tr w:rsidR="0012432B" w:rsidRPr="004E0F36" w14:paraId="432100FF" w14:textId="77777777" w:rsidTr="00136CB0">
        <w:trPr>
          <w:jc w:val="center"/>
        </w:trPr>
        <w:tc>
          <w:tcPr>
            <w:tcW w:w="723" w:type="pct"/>
            <w:shd w:val="clear" w:color="auto" w:fill="auto"/>
          </w:tcPr>
          <w:p w14:paraId="5739265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B/5</w:t>
            </w:r>
          </w:p>
        </w:tc>
        <w:tc>
          <w:tcPr>
            <w:tcW w:w="4277" w:type="pct"/>
            <w:shd w:val="clear" w:color="auto" w:fill="auto"/>
            <w:vAlign w:val="center"/>
          </w:tcPr>
          <w:p w14:paraId="46804D4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Protecting equipment and devices against lightning and other electrical events</w:t>
            </w:r>
          </w:p>
        </w:tc>
      </w:tr>
      <w:tr w:rsidR="0012432B" w:rsidRPr="004E0F36" w14:paraId="70053E6B" w14:textId="77777777" w:rsidTr="00136CB0">
        <w:trPr>
          <w:jc w:val="center"/>
        </w:trPr>
        <w:tc>
          <w:tcPr>
            <w:tcW w:w="723" w:type="pct"/>
            <w:shd w:val="clear" w:color="auto" w:fill="auto"/>
          </w:tcPr>
          <w:p w14:paraId="6430019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C/5</w:t>
            </w:r>
          </w:p>
        </w:tc>
        <w:tc>
          <w:tcPr>
            <w:tcW w:w="4277" w:type="pct"/>
            <w:shd w:val="clear" w:color="auto" w:fill="auto"/>
            <w:vAlign w:val="center"/>
          </w:tcPr>
          <w:p w14:paraId="20B8E3B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Human exposure to electromagnetic fields (EMFs) due to digital technologies</w:t>
            </w:r>
          </w:p>
        </w:tc>
      </w:tr>
      <w:tr w:rsidR="0012432B" w:rsidRPr="004E0F36" w14:paraId="4F65AB70" w14:textId="77777777" w:rsidTr="00136CB0">
        <w:trPr>
          <w:jc w:val="center"/>
        </w:trPr>
        <w:tc>
          <w:tcPr>
            <w:tcW w:w="723" w:type="pct"/>
            <w:shd w:val="clear" w:color="auto" w:fill="auto"/>
          </w:tcPr>
          <w:p w14:paraId="143885A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D/5</w:t>
            </w:r>
          </w:p>
        </w:tc>
        <w:tc>
          <w:tcPr>
            <w:tcW w:w="4277" w:type="pct"/>
            <w:shd w:val="clear" w:color="auto" w:fill="auto"/>
          </w:tcPr>
          <w:p w14:paraId="576B6DF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Electromagnetic compatibility (EMC) aspects in ICT environment</w:t>
            </w:r>
          </w:p>
        </w:tc>
      </w:tr>
      <w:tr w:rsidR="0012432B" w:rsidRPr="00380B40" w14:paraId="150046C1" w14:textId="77777777" w:rsidTr="00136CB0">
        <w:trPr>
          <w:jc w:val="center"/>
        </w:trPr>
        <w:tc>
          <w:tcPr>
            <w:tcW w:w="723" w:type="pct"/>
            <w:shd w:val="clear" w:color="auto" w:fill="auto"/>
          </w:tcPr>
          <w:p w14:paraId="0A6ECF5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E/5</w:t>
            </w:r>
          </w:p>
        </w:tc>
        <w:tc>
          <w:tcPr>
            <w:tcW w:w="4277" w:type="pct"/>
            <w:shd w:val="clear" w:color="auto" w:fill="auto"/>
            <w:vAlign w:val="center"/>
          </w:tcPr>
          <w:p w14:paraId="581411E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pPr>
            <w:r w:rsidRPr="00380B40">
              <w:t>Environmental efficiency of digital technologies</w:t>
            </w:r>
          </w:p>
        </w:tc>
      </w:tr>
      <w:tr w:rsidR="0012432B" w:rsidRPr="004E0F36" w14:paraId="364659C5" w14:textId="77777777" w:rsidTr="00136CB0">
        <w:trPr>
          <w:jc w:val="center"/>
        </w:trPr>
        <w:tc>
          <w:tcPr>
            <w:tcW w:w="723" w:type="pct"/>
            <w:shd w:val="clear" w:color="auto" w:fill="auto"/>
          </w:tcPr>
          <w:p w14:paraId="46A7208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F/5</w:t>
            </w:r>
          </w:p>
        </w:tc>
        <w:tc>
          <w:tcPr>
            <w:tcW w:w="4277" w:type="pct"/>
            <w:shd w:val="clear" w:color="auto" w:fill="auto"/>
          </w:tcPr>
          <w:p w14:paraId="14986AD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E-waste, circular economy, and sustainable supply chain management</w:t>
            </w:r>
          </w:p>
        </w:tc>
      </w:tr>
      <w:tr w:rsidR="0012432B" w:rsidRPr="004E0F36" w14:paraId="14B08D21" w14:textId="77777777" w:rsidTr="00136CB0">
        <w:trPr>
          <w:jc w:val="center"/>
        </w:trPr>
        <w:tc>
          <w:tcPr>
            <w:tcW w:w="723" w:type="pct"/>
            <w:shd w:val="clear" w:color="auto" w:fill="auto"/>
          </w:tcPr>
          <w:p w14:paraId="43EEBAD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G/5</w:t>
            </w:r>
          </w:p>
        </w:tc>
        <w:tc>
          <w:tcPr>
            <w:tcW w:w="4277" w:type="pct"/>
            <w:shd w:val="clear" w:color="auto" w:fill="auto"/>
          </w:tcPr>
          <w:p w14:paraId="3883005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 xml:space="preserve">Guides and terminology on environment </w:t>
            </w:r>
          </w:p>
        </w:tc>
      </w:tr>
      <w:tr w:rsidR="0012432B" w:rsidRPr="004E0F36" w14:paraId="66DFD33D" w14:textId="77777777" w:rsidTr="00136CB0">
        <w:trPr>
          <w:jc w:val="center"/>
        </w:trPr>
        <w:tc>
          <w:tcPr>
            <w:tcW w:w="723" w:type="pct"/>
            <w:shd w:val="clear" w:color="auto" w:fill="auto"/>
          </w:tcPr>
          <w:p w14:paraId="5422F31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H/5</w:t>
            </w:r>
          </w:p>
        </w:tc>
        <w:tc>
          <w:tcPr>
            <w:tcW w:w="4277" w:type="pct"/>
            <w:shd w:val="clear" w:color="auto" w:fill="auto"/>
          </w:tcPr>
          <w:p w14:paraId="5BD3C95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Climate change and assessment of digital technologies in the framework of the Sustainable Development Goals (SDGs) and the Paris Agreement</w:t>
            </w:r>
          </w:p>
        </w:tc>
      </w:tr>
      <w:tr w:rsidR="0012432B" w:rsidRPr="00380B40" w14:paraId="0EBF2C72" w14:textId="77777777" w:rsidTr="00136CB0">
        <w:trPr>
          <w:jc w:val="center"/>
        </w:trPr>
        <w:tc>
          <w:tcPr>
            <w:tcW w:w="723" w:type="pct"/>
            <w:shd w:val="clear" w:color="auto" w:fill="auto"/>
          </w:tcPr>
          <w:p w14:paraId="33B7B3B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I/5</w:t>
            </w:r>
          </w:p>
        </w:tc>
        <w:tc>
          <w:tcPr>
            <w:tcW w:w="4277" w:type="pct"/>
            <w:shd w:val="clear" w:color="auto" w:fill="auto"/>
          </w:tcPr>
          <w:p w14:paraId="2975295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pPr>
            <w:r w:rsidRPr="00380B40">
              <w:t>Climate change mitigation and smart energy solutions</w:t>
            </w:r>
          </w:p>
        </w:tc>
      </w:tr>
      <w:tr w:rsidR="0012432B" w:rsidRPr="004E0F36" w14:paraId="2FD6EFAB" w14:textId="77777777" w:rsidTr="00136CB0">
        <w:trPr>
          <w:jc w:val="center"/>
        </w:trPr>
        <w:tc>
          <w:tcPr>
            <w:tcW w:w="723" w:type="pct"/>
            <w:shd w:val="clear" w:color="auto" w:fill="auto"/>
          </w:tcPr>
          <w:p w14:paraId="5718DC5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J/5</w:t>
            </w:r>
          </w:p>
        </w:tc>
        <w:tc>
          <w:tcPr>
            <w:tcW w:w="4277" w:type="pct"/>
            <w:shd w:val="clear" w:color="auto" w:fill="auto"/>
          </w:tcPr>
          <w:p w14:paraId="6FC9E80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Adaptation to climate change through sustainable and resilient digital technologies</w:t>
            </w:r>
          </w:p>
        </w:tc>
      </w:tr>
      <w:tr w:rsidR="0012432B" w:rsidRPr="004E0F36" w14:paraId="486E4D94" w14:textId="77777777" w:rsidTr="00136CB0">
        <w:trPr>
          <w:jc w:val="center"/>
        </w:trPr>
        <w:tc>
          <w:tcPr>
            <w:tcW w:w="723" w:type="pct"/>
            <w:shd w:val="clear" w:color="auto" w:fill="auto"/>
          </w:tcPr>
          <w:p w14:paraId="63B543A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K/5</w:t>
            </w:r>
          </w:p>
        </w:tc>
        <w:tc>
          <w:tcPr>
            <w:tcW w:w="4277" w:type="pct"/>
            <w:shd w:val="clear" w:color="auto" w:fill="auto"/>
          </w:tcPr>
          <w:p w14:paraId="3BF1DB1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Building circular and sustainable cities and communities</w:t>
            </w:r>
          </w:p>
        </w:tc>
      </w:tr>
    </w:tbl>
    <w:p w14:paraId="4AA31343" w14:textId="77777777" w:rsidR="00607108" w:rsidRPr="00C777D4" w:rsidRDefault="00607108" w:rsidP="00607108">
      <w:pPr>
        <w:rPr>
          <w:lang w:val="en-GB"/>
        </w:rPr>
      </w:pPr>
    </w:p>
    <w:p w14:paraId="6D26CBC7" w14:textId="77777777" w:rsidR="007B7C3F" w:rsidRPr="00C777D4" w:rsidRDefault="007B7C3F" w:rsidP="00607108">
      <w:pPr>
        <w:rPr>
          <w:lang w:val="en-GB"/>
        </w:rPr>
      </w:pPr>
    </w:p>
    <w:p w14:paraId="0464745A" w14:textId="77777777" w:rsidR="007B7C3F" w:rsidRPr="00C777D4" w:rsidRDefault="007B7C3F" w:rsidP="00607108">
      <w:pPr>
        <w:rPr>
          <w:lang w:val="en-GB"/>
        </w:rPr>
      </w:pPr>
    </w:p>
    <w:p w14:paraId="1CD05945" w14:textId="77777777" w:rsidR="007B7C3F" w:rsidRPr="00C777D4" w:rsidRDefault="007B7C3F" w:rsidP="00607108">
      <w:pPr>
        <w:rPr>
          <w:lang w:val="en-GB"/>
        </w:rPr>
      </w:pPr>
    </w:p>
    <w:p w14:paraId="7FFD64DC" w14:textId="77777777" w:rsidR="007B7C3F" w:rsidRPr="00C777D4" w:rsidRDefault="007B7C3F" w:rsidP="00607108">
      <w:pPr>
        <w:rPr>
          <w:lang w:val="en-GB"/>
        </w:rPr>
      </w:pPr>
    </w:p>
    <w:p w14:paraId="37133FFD" w14:textId="77777777" w:rsidR="007B7C3F" w:rsidRPr="00C777D4" w:rsidRDefault="007B7C3F" w:rsidP="00607108">
      <w:pPr>
        <w:rPr>
          <w:lang w:val="en-GB"/>
        </w:rPr>
      </w:pPr>
    </w:p>
    <w:p w14:paraId="788A8E52" w14:textId="77777777" w:rsidR="007B7C3F" w:rsidRPr="00C777D4" w:rsidRDefault="007B7C3F" w:rsidP="00607108">
      <w:pPr>
        <w:rPr>
          <w:lang w:val="en-GB"/>
        </w:rPr>
      </w:pPr>
    </w:p>
    <w:p w14:paraId="7682CF94" w14:textId="77777777" w:rsidR="007B7C3F" w:rsidRPr="00C777D4" w:rsidRDefault="007B7C3F" w:rsidP="00607108">
      <w:pPr>
        <w:rPr>
          <w:lang w:val="en-GB"/>
        </w:rPr>
      </w:pPr>
    </w:p>
    <w:p w14:paraId="13626145" w14:textId="77777777" w:rsidR="007B7C3F" w:rsidRPr="00C777D4" w:rsidRDefault="007B7C3F" w:rsidP="00607108">
      <w:pPr>
        <w:rPr>
          <w:lang w:val="en-GB"/>
        </w:rPr>
      </w:pPr>
      <w:r w:rsidRPr="00C777D4">
        <w:rPr>
          <w:lang w:val="en-GB"/>
        </w:rPr>
        <w:br w:type="page"/>
      </w:r>
    </w:p>
    <w:p w14:paraId="403A5B53" w14:textId="77777777" w:rsidR="0012432B" w:rsidRPr="00380B40" w:rsidRDefault="0012432B" w:rsidP="0012432B">
      <w:pPr>
        <w:keepNext/>
        <w:keepLines/>
        <w:tabs>
          <w:tab w:val="left" w:pos="567"/>
          <w:tab w:val="left" w:pos="1134"/>
          <w:tab w:val="left" w:pos="1701"/>
          <w:tab w:val="left" w:pos="1871"/>
          <w:tab w:val="left" w:pos="2268"/>
          <w:tab w:val="left" w:pos="2835"/>
          <w:tab w:val="left" w:pos="3402"/>
          <w:tab w:val="left" w:pos="3969"/>
          <w:tab w:val="left" w:pos="4536"/>
          <w:tab w:val="left" w:pos="5103"/>
          <w:tab w:val="left" w:pos="5670"/>
          <w:tab w:val="left" w:pos="6244"/>
        </w:tabs>
        <w:spacing w:before="280" w:after="120"/>
        <w:ind w:left="1134" w:hanging="1134"/>
        <w:outlineLvl w:val="0"/>
        <w:rPr>
          <w:b/>
          <w:sz w:val="28"/>
        </w:rPr>
      </w:pPr>
      <w:bookmarkStart w:id="2425" w:name="_Toc111637161"/>
      <w:r w:rsidRPr="00380B40">
        <w:rPr>
          <w:b/>
          <w:sz w:val="28"/>
        </w:rPr>
        <w:t>4</w:t>
      </w:r>
      <w:r w:rsidRPr="00380B40">
        <w:rPr>
          <w:b/>
          <w:sz w:val="28"/>
        </w:rPr>
        <w:tab/>
        <w:t>Study Group 9</w:t>
      </w:r>
      <w:bookmarkEnd w:id="24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1"/>
        <w:gridCol w:w="8237"/>
      </w:tblGrid>
      <w:tr w:rsidR="0012432B" w:rsidRPr="00380B40" w14:paraId="0178EED9" w14:textId="77777777" w:rsidTr="00136CB0">
        <w:trPr>
          <w:jc w:val="center"/>
        </w:trPr>
        <w:tc>
          <w:tcPr>
            <w:tcW w:w="1391" w:type="dxa"/>
            <w:shd w:val="clear" w:color="auto" w:fill="auto"/>
            <w:vAlign w:val="center"/>
          </w:tcPr>
          <w:p w14:paraId="19CE4F07" w14:textId="77777777" w:rsidR="0012432B" w:rsidRPr="00380B40" w:rsidRDefault="0012432B" w:rsidP="004E4CA9">
            <w:pPr>
              <w:pStyle w:val="Tableheadwhitecentred"/>
              <w:rPr>
                <w:b w:val="0"/>
              </w:rPr>
            </w:pPr>
            <w:r w:rsidRPr="00380B40">
              <w:t>Question number</w:t>
            </w:r>
          </w:p>
        </w:tc>
        <w:tc>
          <w:tcPr>
            <w:tcW w:w="8237" w:type="dxa"/>
            <w:shd w:val="clear" w:color="auto" w:fill="auto"/>
            <w:vAlign w:val="center"/>
          </w:tcPr>
          <w:p w14:paraId="1ABA8B26" w14:textId="77777777" w:rsidR="0012432B" w:rsidRPr="00380B40" w:rsidRDefault="0012432B" w:rsidP="004E4CA9">
            <w:pPr>
              <w:pStyle w:val="Tableheadwhitecentred"/>
              <w:rPr>
                <w:b w:val="0"/>
              </w:rPr>
            </w:pPr>
            <w:r w:rsidRPr="00380B40">
              <w:t>Question title</w:t>
            </w:r>
          </w:p>
        </w:tc>
      </w:tr>
      <w:tr w:rsidR="0012432B" w:rsidRPr="004E0F36" w14:paraId="2842291A" w14:textId="77777777" w:rsidTr="00136CB0">
        <w:trPr>
          <w:jc w:val="center"/>
        </w:trPr>
        <w:tc>
          <w:tcPr>
            <w:tcW w:w="1391" w:type="dxa"/>
            <w:shd w:val="clear" w:color="auto" w:fill="auto"/>
          </w:tcPr>
          <w:p w14:paraId="176FBD9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A/9</w:t>
            </w:r>
          </w:p>
        </w:tc>
        <w:tc>
          <w:tcPr>
            <w:tcW w:w="8237" w:type="dxa"/>
            <w:shd w:val="clear" w:color="auto" w:fill="auto"/>
          </w:tcPr>
          <w:p w14:paraId="34C943F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Transmission and delivery control of television and sound programme signal for contribution, primary distribution and secondary distribution</w:t>
            </w:r>
          </w:p>
        </w:tc>
      </w:tr>
      <w:tr w:rsidR="0012432B" w:rsidRPr="004E0F36" w14:paraId="0833C02F" w14:textId="77777777" w:rsidTr="00136CB0">
        <w:trPr>
          <w:jc w:val="center"/>
        </w:trPr>
        <w:tc>
          <w:tcPr>
            <w:tcW w:w="1391" w:type="dxa"/>
            <w:shd w:val="clear" w:color="auto" w:fill="auto"/>
          </w:tcPr>
          <w:p w14:paraId="0D2F80A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B/9</w:t>
            </w:r>
          </w:p>
        </w:tc>
        <w:tc>
          <w:tcPr>
            <w:tcW w:w="8237" w:type="dxa"/>
            <w:shd w:val="clear" w:color="auto" w:fill="auto"/>
          </w:tcPr>
          <w:p w14:paraId="726783A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Methods and practices for conditional access and content protection</w:t>
            </w:r>
          </w:p>
        </w:tc>
      </w:tr>
      <w:tr w:rsidR="0012432B" w:rsidRPr="004E0F36" w14:paraId="7EEC9784" w14:textId="77777777" w:rsidTr="00136CB0">
        <w:trPr>
          <w:jc w:val="center"/>
        </w:trPr>
        <w:tc>
          <w:tcPr>
            <w:tcW w:w="1391" w:type="dxa"/>
            <w:shd w:val="clear" w:color="auto" w:fill="auto"/>
          </w:tcPr>
          <w:p w14:paraId="446080A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C/9</w:t>
            </w:r>
          </w:p>
        </w:tc>
        <w:tc>
          <w:tcPr>
            <w:tcW w:w="8237" w:type="dxa"/>
            <w:shd w:val="clear" w:color="auto" w:fill="auto"/>
          </w:tcPr>
          <w:p w14:paraId="4534354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Guidelines for implementations and deployment of transmission of multichannel digital television signals over optical access networks and Hybrid Fibre-Coaxial (HFC)</w:t>
            </w:r>
          </w:p>
        </w:tc>
      </w:tr>
      <w:tr w:rsidR="0012432B" w:rsidRPr="004E0F36" w14:paraId="43A5FAEC" w14:textId="77777777" w:rsidTr="00136CB0">
        <w:trPr>
          <w:jc w:val="center"/>
        </w:trPr>
        <w:tc>
          <w:tcPr>
            <w:tcW w:w="1391" w:type="dxa"/>
            <w:shd w:val="clear" w:color="auto" w:fill="auto"/>
          </w:tcPr>
          <w:p w14:paraId="557DA20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D/9</w:t>
            </w:r>
          </w:p>
        </w:tc>
        <w:tc>
          <w:tcPr>
            <w:tcW w:w="8237" w:type="dxa"/>
            <w:shd w:val="clear" w:color="auto" w:fill="auto"/>
          </w:tcPr>
          <w:p w14:paraId="4FBDE92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Software components, application programming interfaces (APIs), frameworks and overall software architecture for advanced content distribution services within the scope of Study Group 9</w:t>
            </w:r>
          </w:p>
        </w:tc>
      </w:tr>
      <w:tr w:rsidR="0012432B" w:rsidRPr="004E0F36" w14:paraId="15AF7571" w14:textId="77777777" w:rsidTr="00136CB0">
        <w:trPr>
          <w:jc w:val="center"/>
        </w:trPr>
        <w:tc>
          <w:tcPr>
            <w:tcW w:w="1391" w:type="dxa"/>
            <w:shd w:val="clear" w:color="auto" w:fill="auto"/>
          </w:tcPr>
          <w:p w14:paraId="5197F85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E/9</w:t>
            </w:r>
          </w:p>
        </w:tc>
        <w:tc>
          <w:tcPr>
            <w:tcW w:w="8237" w:type="dxa"/>
            <w:shd w:val="clear" w:color="auto" w:fill="auto"/>
          </w:tcPr>
          <w:p w14:paraId="4E1EFBD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Functional requirements for terminal devices of the integrated broadband cable network</w:t>
            </w:r>
          </w:p>
        </w:tc>
      </w:tr>
      <w:tr w:rsidR="0012432B" w:rsidRPr="004E0F36" w14:paraId="572EA99D" w14:textId="77777777" w:rsidTr="00136CB0">
        <w:trPr>
          <w:jc w:val="center"/>
        </w:trPr>
        <w:tc>
          <w:tcPr>
            <w:tcW w:w="1391" w:type="dxa"/>
            <w:shd w:val="clear" w:color="auto" w:fill="auto"/>
          </w:tcPr>
          <w:p w14:paraId="073934D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F/9</w:t>
            </w:r>
          </w:p>
        </w:tc>
        <w:tc>
          <w:tcPr>
            <w:tcW w:w="8237" w:type="dxa"/>
            <w:shd w:val="clear" w:color="auto" w:fill="auto"/>
          </w:tcPr>
          <w:p w14:paraId="38ACC5D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Transmission control and interfaces (MAC layer) for IP and/or packet-based data over integrated broadband cable networks</w:t>
            </w:r>
          </w:p>
        </w:tc>
      </w:tr>
      <w:tr w:rsidR="0012432B" w:rsidRPr="004E0F36" w14:paraId="44615C5F" w14:textId="77777777" w:rsidTr="00136CB0">
        <w:trPr>
          <w:jc w:val="center"/>
        </w:trPr>
        <w:tc>
          <w:tcPr>
            <w:tcW w:w="1391" w:type="dxa"/>
            <w:shd w:val="clear" w:color="auto" w:fill="auto"/>
          </w:tcPr>
          <w:p w14:paraId="342DC41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G/9</w:t>
            </w:r>
          </w:p>
        </w:tc>
        <w:tc>
          <w:tcPr>
            <w:tcW w:w="8237" w:type="dxa"/>
            <w:shd w:val="clear" w:color="auto" w:fill="auto"/>
          </w:tcPr>
          <w:p w14:paraId="5AC7F72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The Internet protocol (IP) enabled multimedia applications and services for cable television networks enabled by converged platforms</w:t>
            </w:r>
          </w:p>
        </w:tc>
      </w:tr>
      <w:tr w:rsidR="0012432B" w:rsidRPr="004E0F36" w14:paraId="5DB65FA0" w14:textId="77777777" w:rsidTr="00136CB0">
        <w:trPr>
          <w:jc w:val="center"/>
        </w:trPr>
        <w:tc>
          <w:tcPr>
            <w:tcW w:w="1391" w:type="dxa"/>
            <w:shd w:val="clear" w:color="auto" w:fill="auto"/>
          </w:tcPr>
          <w:p w14:paraId="6621941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H/9</w:t>
            </w:r>
          </w:p>
        </w:tc>
        <w:tc>
          <w:tcPr>
            <w:tcW w:w="8237" w:type="dxa"/>
            <w:shd w:val="clear" w:color="auto" w:fill="auto"/>
          </w:tcPr>
          <w:p w14:paraId="313BC9B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Requirements, methods, and interfaces of the advanced service platforms to enhance the delivery of audiovisual content, and other multimedia interactive services over integrated broadband cable networks</w:t>
            </w:r>
          </w:p>
        </w:tc>
      </w:tr>
      <w:tr w:rsidR="0012432B" w:rsidRPr="004E0F36" w14:paraId="7FF3AB26" w14:textId="77777777" w:rsidTr="00136CB0">
        <w:trPr>
          <w:jc w:val="center"/>
        </w:trPr>
        <w:tc>
          <w:tcPr>
            <w:tcW w:w="1391" w:type="dxa"/>
            <w:shd w:val="clear" w:color="auto" w:fill="auto"/>
          </w:tcPr>
          <w:p w14:paraId="387F576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I/9</w:t>
            </w:r>
          </w:p>
        </w:tc>
        <w:tc>
          <w:tcPr>
            <w:tcW w:w="8237" w:type="dxa"/>
            <w:shd w:val="clear" w:color="auto" w:fill="auto"/>
          </w:tcPr>
          <w:p w14:paraId="084952A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Work programme, coordination and planning</w:t>
            </w:r>
          </w:p>
        </w:tc>
      </w:tr>
      <w:tr w:rsidR="0012432B" w:rsidRPr="004E0F36" w14:paraId="346A2CDB" w14:textId="77777777" w:rsidTr="00136CB0">
        <w:trPr>
          <w:jc w:val="center"/>
        </w:trPr>
        <w:tc>
          <w:tcPr>
            <w:tcW w:w="1391" w:type="dxa"/>
            <w:shd w:val="clear" w:color="auto" w:fill="auto"/>
          </w:tcPr>
          <w:p w14:paraId="41F9C7A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J/9</w:t>
            </w:r>
          </w:p>
        </w:tc>
        <w:tc>
          <w:tcPr>
            <w:tcW w:w="8237" w:type="dxa"/>
            <w:shd w:val="clear" w:color="auto" w:fill="auto"/>
          </w:tcPr>
          <w:p w14:paraId="266CBBB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Accessibility to cable systems and services</w:t>
            </w:r>
          </w:p>
        </w:tc>
      </w:tr>
      <w:tr w:rsidR="0012432B" w:rsidRPr="004E0F36" w14:paraId="2BCEEF4A" w14:textId="77777777" w:rsidTr="00136CB0">
        <w:trPr>
          <w:jc w:val="center"/>
        </w:trPr>
        <w:tc>
          <w:tcPr>
            <w:tcW w:w="1391" w:type="dxa"/>
            <w:shd w:val="clear" w:color="auto" w:fill="auto"/>
          </w:tcPr>
          <w:p w14:paraId="68478B1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K/9</w:t>
            </w:r>
          </w:p>
        </w:tc>
        <w:tc>
          <w:tcPr>
            <w:tcW w:w="8237" w:type="dxa"/>
            <w:shd w:val="clear" w:color="auto" w:fill="auto"/>
          </w:tcPr>
          <w:p w14:paraId="1BAF369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AI-enabled enhanced functions over integrated broadband cable network</w:t>
            </w:r>
          </w:p>
        </w:tc>
      </w:tr>
    </w:tbl>
    <w:p w14:paraId="3CBEC3F2" w14:textId="77777777" w:rsidR="00AF6CDF" w:rsidRPr="00C777D4" w:rsidRDefault="00AF6CDF" w:rsidP="00AF6CDF">
      <w:pPr>
        <w:rPr>
          <w:lang w:val="en-GB"/>
        </w:rPr>
      </w:pPr>
    </w:p>
    <w:p w14:paraId="7D70017D" w14:textId="77777777" w:rsidR="00AF6CDF" w:rsidRPr="00C777D4" w:rsidRDefault="00AF6CDF" w:rsidP="00AF6CDF">
      <w:pPr>
        <w:rPr>
          <w:lang w:val="en-GB"/>
        </w:rPr>
      </w:pPr>
    </w:p>
    <w:p w14:paraId="4CF60BCD" w14:textId="77777777" w:rsidR="00AF6CDF" w:rsidRPr="00C777D4" w:rsidRDefault="00AF6CDF" w:rsidP="00AF6CDF">
      <w:pPr>
        <w:rPr>
          <w:lang w:val="en-GB"/>
        </w:rPr>
      </w:pPr>
    </w:p>
    <w:p w14:paraId="162F86D3" w14:textId="77777777" w:rsidR="00AF6CDF" w:rsidRPr="00C777D4" w:rsidRDefault="00AF6CDF" w:rsidP="00AF6CDF">
      <w:pPr>
        <w:rPr>
          <w:lang w:val="en-GB"/>
        </w:rPr>
      </w:pPr>
    </w:p>
    <w:p w14:paraId="38540DD7" w14:textId="77777777" w:rsidR="00AF6CDF" w:rsidRPr="00C777D4" w:rsidRDefault="00AF6CDF" w:rsidP="00AF6CDF">
      <w:pPr>
        <w:rPr>
          <w:lang w:val="en-GB"/>
        </w:rPr>
      </w:pPr>
    </w:p>
    <w:p w14:paraId="0BA3CBFF" w14:textId="77777777" w:rsidR="00AF6CDF" w:rsidRPr="00C777D4" w:rsidRDefault="00AF6CDF" w:rsidP="00AF6CDF">
      <w:pPr>
        <w:rPr>
          <w:lang w:val="en-GB"/>
        </w:rPr>
      </w:pPr>
    </w:p>
    <w:p w14:paraId="25D5B5C7" w14:textId="77777777" w:rsidR="00AF6CDF" w:rsidRPr="00C777D4" w:rsidRDefault="00AF6CDF" w:rsidP="00AF6CDF">
      <w:pPr>
        <w:rPr>
          <w:lang w:val="en-GB"/>
        </w:rPr>
      </w:pPr>
    </w:p>
    <w:p w14:paraId="12AB595B" w14:textId="77777777" w:rsidR="00AF6CDF" w:rsidRPr="00C777D4" w:rsidRDefault="00AF6CDF" w:rsidP="00AF6CDF">
      <w:pPr>
        <w:rPr>
          <w:lang w:val="en-GB"/>
        </w:rPr>
      </w:pPr>
    </w:p>
    <w:p w14:paraId="528FA52A" w14:textId="77777777" w:rsidR="00AF6CDF" w:rsidRPr="00C777D4" w:rsidRDefault="00AF6CDF" w:rsidP="00AF6CDF">
      <w:pPr>
        <w:rPr>
          <w:lang w:val="en-GB"/>
        </w:rPr>
      </w:pPr>
    </w:p>
    <w:p w14:paraId="6BC0236F" w14:textId="77777777" w:rsidR="00AF6CDF" w:rsidRPr="00C777D4" w:rsidRDefault="00AF6CDF" w:rsidP="00AF6CDF">
      <w:pPr>
        <w:rPr>
          <w:lang w:val="en-GB"/>
        </w:rPr>
      </w:pPr>
    </w:p>
    <w:p w14:paraId="451C37BC" w14:textId="77777777" w:rsidR="00AF6CDF" w:rsidRPr="00C777D4" w:rsidRDefault="00AF6CDF" w:rsidP="00AF6CDF">
      <w:pPr>
        <w:rPr>
          <w:lang w:val="en-GB"/>
        </w:rPr>
      </w:pPr>
    </w:p>
    <w:p w14:paraId="6692FC0A" w14:textId="77777777" w:rsidR="0012432B" w:rsidRPr="00C777D4" w:rsidRDefault="0012432B" w:rsidP="00AF6CDF">
      <w:pPr>
        <w:rPr>
          <w:lang w:val="en-GB"/>
        </w:rPr>
      </w:pPr>
      <w:r w:rsidRPr="00C777D4">
        <w:rPr>
          <w:lang w:val="en-GB"/>
        </w:rPr>
        <w:br w:type="page"/>
      </w:r>
    </w:p>
    <w:p w14:paraId="2FDBF62F" w14:textId="77777777" w:rsidR="0012432B" w:rsidRPr="00380B40" w:rsidRDefault="0012432B" w:rsidP="0012432B">
      <w:pPr>
        <w:keepNext/>
        <w:keepLines/>
        <w:tabs>
          <w:tab w:val="left" w:pos="567"/>
          <w:tab w:val="left" w:pos="1134"/>
          <w:tab w:val="left" w:pos="1701"/>
          <w:tab w:val="left" w:pos="1871"/>
          <w:tab w:val="left" w:pos="2268"/>
          <w:tab w:val="left" w:pos="2835"/>
          <w:tab w:val="left" w:pos="3402"/>
          <w:tab w:val="left" w:pos="3969"/>
          <w:tab w:val="left" w:pos="4536"/>
          <w:tab w:val="left" w:pos="5103"/>
          <w:tab w:val="left" w:pos="5670"/>
          <w:tab w:val="left" w:pos="6244"/>
        </w:tabs>
        <w:spacing w:before="280" w:after="120"/>
        <w:ind w:left="1134" w:hanging="1134"/>
        <w:outlineLvl w:val="0"/>
        <w:rPr>
          <w:b/>
          <w:sz w:val="28"/>
        </w:rPr>
      </w:pPr>
      <w:bookmarkStart w:id="2426" w:name="_Toc111637162"/>
      <w:r w:rsidRPr="00380B40">
        <w:rPr>
          <w:b/>
          <w:sz w:val="28"/>
        </w:rPr>
        <w:t>5</w:t>
      </w:r>
      <w:r w:rsidRPr="00380B40">
        <w:rPr>
          <w:b/>
          <w:sz w:val="28"/>
        </w:rPr>
        <w:tab/>
        <w:t>Study Group 11</w:t>
      </w:r>
      <w:bookmarkEnd w:id="24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8215"/>
      </w:tblGrid>
      <w:tr w:rsidR="0012432B" w:rsidRPr="00380B40" w14:paraId="3EF41C2E" w14:textId="77777777" w:rsidTr="00136CB0">
        <w:trPr>
          <w:jc w:val="center"/>
        </w:trPr>
        <w:tc>
          <w:tcPr>
            <w:tcW w:w="1413" w:type="dxa"/>
            <w:shd w:val="clear" w:color="auto" w:fill="auto"/>
            <w:vAlign w:val="center"/>
          </w:tcPr>
          <w:p w14:paraId="248027CB" w14:textId="77777777" w:rsidR="0012432B" w:rsidRPr="00380B40" w:rsidRDefault="0012432B" w:rsidP="004E4CA9">
            <w:pPr>
              <w:pStyle w:val="Tableheadwhitecentred"/>
              <w:rPr>
                <w:b w:val="0"/>
              </w:rPr>
            </w:pPr>
            <w:r w:rsidRPr="00380B40">
              <w:t>Question number</w:t>
            </w:r>
          </w:p>
        </w:tc>
        <w:tc>
          <w:tcPr>
            <w:tcW w:w="8215" w:type="dxa"/>
            <w:shd w:val="clear" w:color="auto" w:fill="auto"/>
            <w:vAlign w:val="center"/>
          </w:tcPr>
          <w:p w14:paraId="63834B7E" w14:textId="77777777" w:rsidR="0012432B" w:rsidRPr="00380B40" w:rsidRDefault="0012432B" w:rsidP="004E4CA9">
            <w:pPr>
              <w:pStyle w:val="Tableheadwhitecentred"/>
              <w:rPr>
                <w:b w:val="0"/>
              </w:rPr>
            </w:pPr>
            <w:r w:rsidRPr="00380B40">
              <w:t>Question title</w:t>
            </w:r>
          </w:p>
        </w:tc>
      </w:tr>
      <w:tr w:rsidR="0012432B" w:rsidRPr="004E0F36" w14:paraId="5DAF2381" w14:textId="77777777" w:rsidTr="00136CB0">
        <w:trPr>
          <w:jc w:val="center"/>
        </w:trPr>
        <w:tc>
          <w:tcPr>
            <w:tcW w:w="1413" w:type="dxa"/>
            <w:shd w:val="clear" w:color="auto" w:fill="auto"/>
          </w:tcPr>
          <w:p w14:paraId="35E9F0C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Cs w:val="24"/>
              </w:rPr>
            </w:pPr>
            <w:r w:rsidRPr="00380B40">
              <w:rPr>
                <w:szCs w:val="24"/>
              </w:rPr>
              <w:t>A/11</w:t>
            </w:r>
          </w:p>
        </w:tc>
        <w:tc>
          <w:tcPr>
            <w:tcW w:w="8215" w:type="dxa"/>
            <w:shd w:val="clear" w:color="auto" w:fill="auto"/>
          </w:tcPr>
          <w:p w14:paraId="6AC68A2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Cs w:val="24"/>
                <w:lang w:val="en-GB"/>
              </w:rPr>
            </w:pPr>
            <w:r w:rsidRPr="00380B40">
              <w:rPr>
                <w:szCs w:val="24"/>
                <w:lang w:val="en-GB"/>
              </w:rPr>
              <w:t>Signalling and protocol architectures for telecommunication networks and guidelines for implementations</w:t>
            </w:r>
          </w:p>
        </w:tc>
      </w:tr>
      <w:tr w:rsidR="0012432B" w:rsidRPr="004E0F36" w14:paraId="412756C6" w14:textId="77777777" w:rsidTr="00136CB0">
        <w:trPr>
          <w:jc w:val="center"/>
        </w:trPr>
        <w:tc>
          <w:tcPr>
            <w:tcW w:w="1413" w:type="dxa"/>
            <w:shd w:val="clear" w:color="auto" w:fill="auto"/>
          </w:tcPr>
          <w:p w14:paraId="22F1F93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Cs w:val="24"/>
              </w:rPr>
            </w:pPr>
            <w:r w:rsidRPr="00380B40">
              <w:rPr>
                <w:szCs w:val="24"/>
              </w:rPr>
              <w:t>B/11</w:t>
            </w:r>
          </w:p>
        </w:tc>
        <w:tc>
          <w:tcPr>
            <w:tcW w:w="8215" w:type="dxa"/>
            <w:shd w:val="clear" w:color="auto" w:fill="auto"/>
          </w:tcPr>
          <w:p w14:paraId="37F15A7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Cs w:val="24"/>
                <w:lang w:val="en-GB"/>
              </w:rPr>
            </w:pPr>
            <w:r w:rsidRPr="00380B40">
              <w:rPr>
                <w:szCs w:val="24"/>
                <w:lang w:val="en-GB"/>
              </w:rPr>
              <w:t>Signalling requirements and protocols for services and applications in telecommunication environments</w:t>
            </w:r>
          </w:p>
        </w:tc>
      </w:tr>
      <w:tr w:rsidR="0012432B" w:rsidRPr="004E0F36" w14:paraId="3831C052" w14:textId="77777777" w:rsidTr="00136CB0">
        <w:trPr>
          <w:jc w:val="center"/>
        </w:trPr>
        <w:tc>
          <w:tcPr>
            <w:tcW w:w="1413" w:type="dxa"/>
            <w:shd w:val="clear" w:color="auto" w:fill="auto"/>
          </w:tcPr>
          <w:p w14:paraId="1D38CCD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Cs w:val="24"/>
              </w:rPr>
            </w:pPr>
            <w:r w:rsidRPr="00380B40">
              <w:rPr>
                <w:szCs w:val="24"/>
              </w:rPr>
              <w:t>C/11</w:t>
            </w:r>
          </w:p>
        </w:tc>
        <w:tc>
          <w:tcPr>
            <w:tcW w:w="8215" w:type="dxa"/>
            <w:shd w:val="clear" w:color="auto" w:fill="auto"/>
          </w:tcPr>
          <w:p w14:paraId="2716FE9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Cs w:val="24"/>
                <w:lang w:val="en-GB"/>
              </w:rPr>
            </w:pPr>
            <w:r w:rsidRPr="00380B40">
              <w:rPr>
                <w:szCs w:val="24"/>
                <w:lang w:val="en-GB"/>
              </w:rPr>
              <w:t>Signalling requirements and protocols for emergency telecommunications</w:t>
            </w:r>
          </w:p>
        </w:tc>
      </w:tr>
      <w:tr w:rsidR="0012432B" w:rsidRPr="004E0F36" w14:paraId="67E97E10" w14:textId="77777777" w:rsidTr="00136CB0">
        <w:trPr>
          <w:jc w:val="center"/>
        </w:trPr>
        <w:tc>
          <w:tcPr>
            <w:tcW w:w="1413" w:type="dxa"/>
            <w:shd w:val="clear" w:color="auto" w:fill="auto"/>
          </w:tcPr>
          <w:p w14:paraId="67ABDEF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Cs w:val="24"/>
              </w:rPr>
            </w:pPr>
            <w:r w:rsidRPr="00380B40">
              <w:rPr>
                <w:szCs w:val="24"/>
              </w:rPr>
              <w:t>D/11</w:t>
            </w:r>
          </w:p>
        </w:tc>
        <w:tc>
          <w:tcPr>
            <w:tcW w:w="8215" w:type="dxa"/>
            <w:shd w:val="clear" w:color="auto" w:fill="auto"/>
          </w:tcPr>
          <w:p w14:paraId="4796312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Cs w:val="24"/>
                <w:lang w:val="en-GB"/>
              </w:rPr>
            </w:pPr>
            <w:r w:rsidRPr="00380B40">
              <w:rPr>
                <w:szCs w:val="24"/>
                <w:lang w:val="en-GB"/>
              </w:rPr>
              <w:t>Protocols for control, management and orchestration of network resources</w:t>
            </w:r>
          </w:p>
        </w:tc>
      </w:tr>
      <w:tr w:rsidR="0012432B" w:rsidRPr="004E0F36" w14:paraId="2251B8DC" w14:textId="77777777" w:rsidTr="00136CB0">
        <w:trPr>
          <w:trHeight w:val="627"/>
          <w:jc w:val="center"/>
        </w:trPr>
        <w:tc>
          <w:tcPr>
            <w:tcW w:w="1413" w:type="dxa"/>
            <w:shd w:val="clear" w:color="auto" w:fill="auto"/>
          </w:tcPr>
          <w:p w14:paraId="0396092D" w14:textId="77777777" w:rsidR="0012432B" w:rsidRPr="00380B40" w:rsidRDefault="0012432B" w:rsidP="004E4CA9">
            <w:pPr>
              <w:tabs>
                <w:tab w:val="left" w:pos="284"/>
                <w:tab w:val="left" w:pos="567"/>
                <w:tab w:val="left" w:pos="851"/>
                <w:tab w:val="left" w:pos="1134"/>
                <w:tab w:val="left" w:pos="1250"/>
                <w:tab w:val="left" w:pos="1418"/>
                <w:tab w:val="left" w:pos="1701"/>
                <w:tab w:val="left" w:pos="1871"/>
                <w:tab w:val="left" w:pos="2268"/>
                <w:tab w:val="left" w:pos="2835"/>
                <w:tab w:val="left" w:pos="3119"/>
                <w:tab w:val="left" w:pos="3402"/>
                <w:tab w:val="left" w:pos="3686"/>
                <w:tab w:val="left" w:pos="3969"/>
              </w:tabs>
              <w:spacing w:before="40" w:after="40"/>
              <w:jc w:val="center"/>
              <w:rPr>
                <w:szCs w:val="24"/>
              </w:rPr>
            </w:pPr>
            <w:r w:rsidRPr="00380B40">
              <w:rPr>
                <w:szCs w:val="24"/>
              </w:rPr>
              <w:t>E/11</w:t>
            </w:r>
          </w:p>
        </w:tc>
        <w:tc>
          <w:tcPr>
            <w:tcW w:w="8215" w:type="dxa"/>
            <w:shd w:val="clear" w:color="auto" w:fill="auto"/>
          </w:tcPr>
          <w:p w14:paraId="2DEAC343" w14:textId="77777777" w:rsidR="0012432B" w:rsidRPr="00380B40" w:rsidRDefault="0012432B" w:rsidP="004E4CA9">
            <w:pPr>
              <w:tabs>
                <w:tab w:val="left" w:pos="1134"/>
                <w:tab w:val="left" w:pos="1871"/>
                <w:tab w:val="left" w:pos="2268"/>
              </w:tabs>
              <w:outlineLvl w:val="0"/>
              <w:rPr>
                <w:szCs w:val="24"/>
                <w:lang w:val="en-GB"/>
              </w:rPr>
            </w:pPr>
            <w:bookmarkStart w:id="2427" w:name="_Toc111637163"/>
            <w:r w:rsidRPr="00380B40">
              <w:rPr>
                <w:szCs w:val="24"/>
                <w:lang w:val="en-GB"/>
              </w:rPr>
              <w:t>Signalling requirements and protocols for border network gateway in the context of network virtualization and intelligentization</w:t>
            </w:r>
            <w:bookmarkEnd w:id="2427"/>
          </w:p>
        </w:tc>
      </w:tr>
      <w:tr w:rsidR="0012432B" w:rsidRPr="004E0F36" w14:paraId="64AE1D36" w14:textId="77777777" w:rsidTr="00136CB0">
        <w:trPr>
          <w:jc w:val="center"/>
        </w:trPr>
        <w:tc>
          <w:tcPr>
            <w:tcW w:w="1413" w:type="dxa"/>
            <w:shd w:val="clear" w:color="auto" w:fill="auto"/>
          </w:tcPr>
          <w:p w14:paraId="342D896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Cs w:val="24"/>
              </w:rPr>
            </w:pPr>
            <w:r w:rsidRPr="00380B40">
              <w:rPr>
                <w:szCs w:val="24"/>
              </w:rPr>
              <w:t>F/11</w:t>
            </w:r>
          </w:p>
        </w:tc>
        <w:tc>
          <w:tcPr>
            <w:tcW w:w="8215" w:type="dxa"/>
            <w:shd w:val="clear" w:color="auto" w:fill="auto"/>
          </w:tcPr>
          <w:p w14:paraId="51FCA76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Cs w:val="24"/>
                <w:lang w:val="en-GB"/>
              </w:rPr>
            </w:pPr>
            <w:r w:rsidRPr="00380B40">
              <w:rPr>
                <w:szCs w:val="24"/>
                <w:lang w:val="en-GB"/>
              </w:rPr>
              <w:t>Protocols supporting control and management technologies for IMT-2020 network and beyond</w:t>
            </w:r>
          </w:p>
        </w:tc>
      </w:tr>
      <w:tr w:rsidR="0012432B" w:rsidRPr="004E0F36" w14:paraId="6D466AF2" w14:textId="77777777" w:rsidTr="00136CB0">
        <w:trPr>
          <w:jc w:val="center"/>
        </w:trPr>
        <w:tc>
          <w:tcPr>
            <w:tcW w:w="1413" w:type="dxa"/>
            <w:shd w:val="clear" w:color="auto" w:fill="auto"/>
          </w:tcPr>
          <w:p w14:paraId="06A38CD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Cs w:val="24"/>
              </w:rPr>
            </w:pPr>
            <w:r w:rsidRPr="00380B40">
              <w:rPr>
                <w:szCs w:val="24"/>
              </w:rPr>
              <w:t>G/11</w:t>
            </w:r>
          </w:p>
        </w:tc>
        <w:tc>
          <w:tcPr>
            <w:tcW w:w="8215" w:type="dxa"/>
            <w:shd w:val="clear" w:color="auto" w:fill="auto"/>
          </w:tcPr>
          <w:p w14:paraId="4B5DEC7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Cs w:val="24"/>
                <w:lang w:val="en-GB"/>
              </w:rPr>
            </w:pPr>
            <w:r w:rsidRPr="00380B40">
              <w:rPr>
                <w:szCs w:val="24"/>
                <w:lang w:val="en-GB"/>
              </w:rPr>
              <w:t>Signalling requirements and protocols for network attachment and edge computing for future networks, IMT-2020 network and beyond</w:t>
            </w:r>
          </w:p>
        </w:tc>
      </w:tr>
      <w:tr w:rsidR="0012432B" w:rsidRPr="004E0F36" w14:paraId="4B092745" w14:textId="77777777" w:rsidTr="00136CB0">
        <w:trPr>
          <w:jc w:val="center"/>
        </w:trPr>
        <w:tc>
          <w:tcPr>
            <w:tcW w:w="1413" w:type="dxa"/>
            <w:shd w:val="clear" w:color="auto" w:fill="auto"/>
          </w:tcPr>
          <w:p w14:paraId="4181C99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Cs w:val="24"/>
              </w:rPr>
            </w:pPr>
            <w:r w:rsidRPr="00380B40">
              <w:rPr>
                <w:szCs w:val="24"/>
              </w:rPr>
              <w:t>H/11</w:t>
            </w:r>
          </w:p>
        </w:tc>
        <w:tc>
          <w:tcPr>
            <w:tcW w:w="8215" w:type="dxa"/>
            <w:shd w:val="clear" w:color="auto" w:fill="auto"/>
          </w:tcPr>
          <w:p w14:paraId="2B1E78B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Gulim"/>
                <w:kern w:val="36"/>
                <w:szCs w:val="24"/>
                <w:lang w:val="en-US" w:eastAsia="ko-KR"/>
              </w:rPr>
            </w:pPr>
            <w:r w:rsidRPr="00380B40">
              <w:rPr>
                <w:szCs w:val="24"/>
                <w:lang w:val="en-GB"/>
              </w:rPr>
              <w:t>Protocols supporting distributed content networking, information centric network (ICN) technologies for future networks, IMT-2020 network and beyond</w:t>
            </w:r>
          </w:p>
        </w:tc>
      </w:tr>
      <w:tr w:rsidR="0012432B" w:rsidRPr="004E0F36" w14:paraId="1F6343D8" w14:textId="77777777" w:rsidTr="00136CB0">
        <w:trPr>
          <w:trHeight w:val="517"/>
          <w:jc w:val="center"/>
        </w:trPr>
        <w:tc>
          <w:tcPr>
            <w:tcW w:w="1413" w:type="dxa"/>
            <w:shd w:val="clear" w:color="auto" w:fill="auto"/>
          </w:tcPr>
          <w:p w14:paraId="39345D6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Cs w:val="24"/>
              </w:rPr>
            </w:pPr>
            <w:r w:rsidRPr="00380B40">
              <w:rPr>
                <w:szCs w:val="24"/>
              </w:rPr>
              <w:t>I/11</w:t>
            </w:r>
          </w:p>
        </w:tc>
        <w:tc>
          <w:tcPr>
            <w:tcW w:w="8215" w:type="dxa"/>
            <w:shd w:val="clear" w:color="auto" w:fill="auto"/>
          </w:tcPr>
          <w:p w14:paraId="28F0225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Gulim"/>
                <w:kern w:val="36"/>
                <w:szCs w:val="24"/>
                <w:lang w:val="en-US" w:eastAsia="ko-KR"/>
              </w:rPr>
            </w:pPr>
            <w:r w:rsidRPr="00380B40">
              <w:rPr>
                <w:szCs w:val="24"/>
                <w:lang w:val="en-GB"/>
              </w:rPr>
              <w:t>Testing of internet of things, its applications and identification systems</w:t>
            </w:r>
          </w:p>
        </w:tc>
      </w:tr>
      <w:tr w:rsidR="0012432B" w:rsidRPr="004E0F36" w14:paraId="4E00A4EA" w14:textId="77777777" w:rsidTr="00136CB0">
        <w:trPr>
          <w:jc w:val="center"/>
        </w:trPr>
        <w:tc>
          <w:tcPr>
            <w:tcW w:w="1413" w:type="dxa"/>
            <w:shd w:val="clear" w:color="auto" w:fill="auto"/>
          </w:tcPr>
          <w:p w14:paraId="3E2E8B3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Cs w:val="24"/>
              </w:rPr>
            </w:pPr>
            <w:r w:rsidRPr="00380B40">
              <w:rPr>
                <w:szCs w:val="24"/>
              </w:rPr>
              <w:t>J/11</w:t>
            </w:r>
          </w:p>
        </w:tc>
        <w:tc>
          <w:tcPr>
            <w:tcW w:w="8215" w:type="dxa"/>
            <w:shd w:val="clear" w:color="auto" w:fill="auto"/>
          </w:tcPr>
          <w:p w14:paraId="1A9E827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Gulim"/>
                <w:kern w:val="36"/>
                <w:szCs w:val="24"/>
                <w:lang w:val="en-US" w:eastAsia="ko-KR"/>
              </w:rPr>
            </w:pPr>
            <w:r w:rsidRPr="00380B40">
              <w:rPr>
                <w:szCs w:val="24"/>
                <w:lang w:val="en-GB"/>
              </w:rPr>
              <w:t>Monitoring parameters for protocols used in emerging networks, including cloud/edge computing and software-defined networking/network function virtualization (SDN/NFV)</w:t>
            </w:r>
          </w:p>
        </w:tc>
      </w:tr>
      <w:tr w:rsidR="0012432B" w:rsidRPr="004E0F36" w14:paraId="086E454A" w14:textId="77777777" w:rsidTr="00136CB0">
        <w:trPr>
          <w:jc w:val="center"/>
        </w:trPr>
        <w:tc>
          <w:tcPr>
            <w:tcW w:w="1413" w:type="dxa"/>
            <w:shd w:val="clear" w:color="auto" w:fill="auto"/>
          </w:tcPr>
          <w:p w14:paraId="09C384F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Cs w:val="24"/>
              </w:rPr>
            </w:pPr>
            <w:r w:rsidRPr="00380B40">
              <w:rPr>
                <w:szCs w:val="24"/>
              </w:rPr>
              <w:t>K/11</w:t>
            </w:r>
          </w:p>
        </w:tc>
        <w:tc>
          <w:tcPr>
            <w:tcW w:w="8215" w:type="dxa"/>
            <w:shd w:val="clear" w:color="auto" w:fill="auto"/>
          </w:tcPr>
          <w:p w14:paraId="2CD1D1E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Gulim"/>
                <w:kern w:val="36"/>
                <w:szCs w:val="24"/>
                <w:lang w:val="en-US" w:eastAsia="ko-KR"/>
              </w:rPr>
            </w:pPr>
            <w:r w:rsidRPr="00380B40">
              <w:rPr>
                <w:szCs w:val="24"/>
                <w:lang w:val="en-GB"/>
              </w:rPr>
              <w:t>Testing of cloud, SDN and NFV</w:t>
            </w:r>
          </w:p>
        </w:tc>
      </w:tr>
      <w:tr w:rsidR="0012432B" w:rsidRPr="004E0F36" w14:paraId="79BF2E39" w14:textId="77777777" w:rsidTr="00136CB0">
        <w:trPr>
          <w:jc w:val="center"/>
        </w:trPr>
        <w:tc>
          <w:tcPr>
            <w:tcW w:w="1413" w:type="dxa"/>
            <w:shd w:val="clear" w:color="auto" w:fill="auto"/>
          </w:tcPr>
          <w:p w14:paraId="0964EE7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Cs w:val="24"/>
              </w:rPr>
            </w:pPr>
            <w:r w:rsidRPr="00380B40">
              <w:rPr>
                <w:szCs w:val="24"/>
              </w:rPr>
              <w:t>L/11</w:t>
            </w:r>
          </w:p>
        </w:tc>
        <w:tc>
          <w:tcPr>
            <w:tcW w:w="8215" w:type="dxa"/>
            <w:shd w:val="clear" w:color="auto" w:fill="auto"/>
          </w:tcPr>
          <w:p w14:paraId="001D291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Gulim"/>
                <w:kern w:val="36"/>
                <w:szCs w:val="24"/>
                <w:lang w:val="en-US" w:eastAsia="ko-KR"/>
              </w:rPr>
            </w:pPr>
            <w:r w:rsidRPr="00380B40">
              <w:rPr>
                <w:szCs w:val="24"/>
                <w:lang w:val="en-GB"/>
              </w:rPr>
              <w:t>Combating counterfeit and stolen telecommunication/ICT devices</w:t>
            </w:r>
          </w:p>
        </w:tc>
      </w:tr>
      <w:tr w:rsidR="0012432B" w:rsidRPr="004E0F36" w14:paraId="3562055C" w14:textId="77777777" w:rsidTr="00136CB0">
        <w:trPr>
          <w:jc w:val="center"/>
        </w:trPr>
        <w:tc>
          <w:tcPr>
            <w:tcW w:w="1413" w:type="dxa"/>
            <w:shd w:val="clear" w:color="auto" w:fill="auto"/>
          </w:tcPr>
          <w:p w14:paraId="365D481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Cs w:val="24"/>
              </w:rPr>
            </w:pPr>
            <w:r w:rsidRPr="00380B40">
              <w:rPr>
                <w:szCs w:val="24"/>
              </w:rPr>
              <w:t>M/11</w:t>
            </w:r>
          </w:p>
        </w:tc>
        <w:tc>
          <w:tcPr>
            <w:tcW w:w="8215" w:type="dxa"/>
            <w:shd w:val="clear" w:color="auto" w:fill="auto"/>
          </w:tcPr>
          <w:p w14:paraId="33A3FE5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Gulim"/>
                <w:kern w:val="36"/>
                <w:szCs w:val="24"/>
                <w:lang w:val="en-US" w:eastAsia="ko-KR"/>
              </w:rPr>
            </w:pPr>
            <w:r w:rsidRPr="00380B40">
              <w:rPr>
                <w:szCs w:val="24"/>
                <w:lang w:val="en-GB"/>
              </w:rPr>
              <w:t>Test specifications for protocols, networks and services for emerging technologies, including benchmark testing</w:t>
            </w:r>
          </w:p>
        </w:tc>
      </w:tr>
      <w:tr w:rsidR="0012432B" w:rsidRPr="004E0F36" w14:paraId="1A559DF3" w14:textId="77777777" w:rsidTr="00136CB0">
        <w:trPr>
          <w:jc w:val="center"/>
        </w:trPr>
        <w:tc>
          <w:tcPr>
            <w:tcW w:w="1413" w:type="dxa"/>
            <w:shd w:val="clear" w:color="auto" w:fill="auto"/>
          </w:tcPr>
          <w:p w14:paraId="0C74708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Cs w:val="24"/>
              </w:rPr>
            </w:pPr>
            <w:r w:rsidRPr="00380B40">
              <w:rPr>
                <w:szCs w:val="24"/>
              </w:rPr>
              <w:t>N/11</w:t>
            </w:r>
          </w:p>
        </w:tc>
        <w:tc>
          <w:tcPr>
            <w:tcW w:w="8215" w:type="dxa"/>
            <w:shd w:val="clear" w:color="auto" w:fill="auto"/>
          </w:tcPr>
          <w:p w14:paraId="6A0D467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Gulim"/>
                <w:kern w:val="36"/>
                <w:szCs w:val="24"/>
                <w:lang w:val="en-US" w:eastAsia="ko-KR"/>
              </w:rPr>
            </w:pPr>
            <w:r w:rsidRPr="00380B40">
              <w:rPr>
                <w:szCs w:val="24"/>
                <w:lang w:val="en-GB"/>
              </w:rPr>
              <w:t>Combating counterfeit or tampered telecommunication/ICT software</w:t>
            </w:r>
          </w:p>
        </w:tc>
      </w:tr>
    </w:tbl>
    <w:p w14:paraId="61992EC5" w14:textId="77777777" w:rsidR="0012432B" w:rsidRPr="00380B40" w:rsidRDefault="0012432B" w:rsidP="00AF6CDF">
      <w:pPr>
        <w:rPr>
          <w:lang w:val="en-GB"/>
        </w:rPr>
      </w:pPr>
    </w:p>
    <w:p w14:paraId="4CA41DF2" w14:textId="77777777" w:rsidR="00AF6CDF" w:rsidRPr="00380B40" w:rsidRDefault="00AF6CDF" w:rsidP="00AF6CDF">
      <w:pPr>
        <w:rPr>
          <w:lang w:val="en-GB"/>
        </w:rPr>
      </w:pPr>
    </w:p>
    <w:p w14:paraId="4F1DB9B6" w14:textId="77777777" w:rsidR="003E72C4" w:rsidRPr="00380B40" w:rsidRDefault="003E72C4" w:rsidP="00AF6CDF">
      <w:pPr>
        <w:rPr>
          <w:lang w:val="en-GB"/>
        </w:rPr>
      </w:pPr>
    </w:p>
    <w:p w14:paraId="426A4B11" w14:textId="77777777" w:rsidR="003E72C4" w:rsidRPr="00380B40" w:rsidRDefault="003E72C4" w:rsidP="00AF6CDF">
      <w:pPr>
        <w:rPr>
          <w:lang w:val="en-GB"/>
        </w:rPr>
      </w:pPr>
    </w:p>
    <w:p w14:paraId="02CE9DC0" w14:textId="77777777" w:rsidR="003E72C4" w:rsidRPr="00380B40" w:rsidRDefault="003E72C4" w:rsidP="00AF6CDF">
      <w:pPr>
        <w:rPr>
          <w:lang w:val="en-GB"/>
        </w:rPr>
      </w:pPr>
    </w:p>
    <w:p w14:paraId="4B8688AB" w14:textId="77777777" w:rsidR="00AF6CDF" w:rsidRPr="00380B40" w:rsidRDefault="00AF6CDF" w:rsidP="00AF6CDF">
      <w:pPr>
        <w:rPr>
          <w:lang w:val="en-GB"/>
        </w:rPr>
      </w:pPr>
    </w:p>
    <w:p w14:paraId="0335F1A0" w14:textId="77777777" w:rsidR="0012432B" w:rsidRPr="00380B40" w:rsidRDefault="0012432B" w:rsidP="00AF6CDF">
      <w:pPr>
        <w:rPr>
          <w:lang w:val="en-GB"/>
        </w:rPr>
      </w:pPr>
      <w:r w:rsidRPr="00380B40">
        <w:rPr>
          <w:lang w:val="en-GB"/>
        </w:rPr>
        <w:br w:type="page"/>
      </w:r>
    </w:p>
    <w:p w14:paraId="47834803" w14:textId="77777777" w:rsidR="0012432B" w:rsidRPr="00380B40" w:rsidRDefault="0012432B" w:rsidP="0012432B">
      <w:pPr>
        <w:keepNext/>
        <w:keepLines/>
        <w:tabs>
          <w:tab w:val="left" w:pos="567"/>
          <w:tab w:val="left" w:pos="1134"/>
          <w:tab w:val="left" w:pos="1701"/>
          <w:tab w:val="left" w:pos="1871"/>
          <w:tab w:val="left" w:pos="2268"/>
          <w:tab w:val="left" w:pos="2835"/>
          <w:tab w:val="left" w:pos="3402"/>
          <w:tab w:val="left" w:pos="3969"/>
          <w:tab w:val="left" w:pos="4536"/>
          <w:tab w:val="left" w:pos="5103"/>
          <w:tab w:val="left" w:pos="5670"/>
          <w:tab w:val="left" w:pos="6244"/>
        </w:tabs>
        <w:spacing w:before="280" w:after="120"/>
        <w:ind w:left="1134" w:hanging="1134"/>
        <w:outlineLvl w:val="0"/>
        <w:rPr>
          <w:b/>
          <w:sz w:val="28"/>
        </w:rPr>
      </w:pPr>
      <w:bookmarkStart w:id="2428" w:name="_Toc111637164"/>
      <w:r w:rsidRPr="00380B40">
        <w:rPr>
          <w:b/>
          <w:sz w:val="28"/>
        </w:rPr>
        <w:t>6</w:t>
      </w:r>
      <w:r w:rsidRPr="00380B40">
        <w:rPr>
          <w:b/>
          <w:sz w:val="28"/>
        </w:rPr>
        <w:tab/>
        <w:t>Study Group 12</w:t>
      </w:r>
      <w:bookmarkEnd w:id="2428"/>
    </w:p>
    <w:tbl>
      <w:tblPr>
        <w:tblStyle w:val="TableGrid"/>
        <w:tblW w:w="5000" w:type="pct"/>
        <w:jc w:val="center"/>
        <w:tblLook w:val="04A0" w:firstRow="1" w:lastRow="0" w:firstColumn="1" w:lastColumn="0" w:noHBand="0" w:noVBand="1"/>
      </w:tblPr>
      <w:tblGrid>
        <w:gridCol w:w="1413"/>
        <w:gridCol w:w="8215"/>
      </w:tblGrid>
      <w:tr w:rsidR="0012432B" w:rsidRPr="00380B40" w14:paraId="18423D34" w14:textId="77777777" w:rsidTr="00136CB0">
        <w:trPr>
          <w:cantSplit/>
          <w:jc w:val="center"/>
        </w:trPr>
        <w:tc>
          <w:tcPr>
            <w:tcW w:w="1413" w:type="dxa"/>
            <w:shd w:val="clear" w:color="auto" w:fill="auto"/>
            <w:vAlign w:val="center"/>
          </w:tcPr>
          <w:p w14:paraId="126E8079" w14:textId="77777777" w:rsidR="0012432B" w:rsidRPr="00380B40" w:rsidRDefault="0012432B" w:rsidP="004E4CA9">
            <w:pPr>
              <w:pStyle w:val="Tableheadwhitecentred"/>
              <w:rPr>
                <w:b w:val="0"/>
              </w:rPr>
            </w:pPr>
            <w:r w:rsidRPr="00380B40">
              <w:t>Question number</w:t>
            </w:r>
          </w:p>
        </w:tc>
        <w:tc>
          <w:tcPr>
            <w:tcW w:w="8215" w:type="dxa"/>
            <w:shd w:val="clear" w:color="auto" w:fill="auto"/>
            <w:vAlign w:val="center"/>
          </w:tcPr>
          <w:p w14:paraId="34436338" w14:textId="77777777" w:rsidR="0012432B" w:rsidRPr="00380B40" w:rsidRDefault="0012432B" w:rsidP="004E4CA9">
            <w:pPr>
              <w:pStyle w:val="Tableheadwhitecentred"/>
              <w:rPr>
                <w:b w:val="0"/>
              </w:rPr>
            </w:pPr>
            <w:r w:rsidRPr="00380B40">
              <w:t>Question title</w:t>
            </w:r>
          </w:p>
        </w:tc>
      </w:tr>
      <w:tr w:rsidR="0012432B" w:rsidRPr="004E0F36" w14:paraId="73A78336" w14:textId="77777777" w:rsidTr="00136CB0">
        <w:trPr>
          <w:cantSplit/>
          <w:jc w:val="center"/>
        </w:trPr>
        <w:tc>
          <w:tcPr>
            <w:tcW w:w="1413" w:type="dxa"/>
            <w:shd w:val="clear" w:color="auto" w:fill="auto"/>
          </w:tcPr>
          <w:p w14:paraId="4032AFE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A/12</w:t>
            </w:r>
          </w:p>
        </w:tc>
        <w:tc>
          <w:tcPr>
            <w:tcW w:w="8215" w:type="dxa"/>
            <w:shd w:val="clear" w:color="auto" w:fill="auto"/>
          </w:tcPr>
          <w:p w14:paraId="7393441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SG12 work programme and quality of service/quality of experience (QoS/QoE) coordination in ITU-T</w:t>
            </w:r>
          </w:p>
        </w:tc>
      </w:tr>
      <w:tr w:rsidR="0012432B" w:rsidRPr="004E0F36" w14:paraId="4AE10433" w14:textId="77777777" w:rsidTr="00136CB0">
        <w:trPr>
          <w:cantSplit/>
          <w:jc w:val="center"/>
        </w:trPr>
        <w:tc>
          <w:tcPr>
            <w:tcW w:w="1413" w:type="dxa"/>
            <w:shd w:val="clear" w:color="auto" w:fill="auto"/>
          </w:tcPr>
          <w:p w14:paraId="7C61A79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B/12</w:t>
            </w:r>
          </w:p>
        </w:tc>
        <w:tc>
          <w:tcPr>
            <w:tcW w:w="8215" w:type="dxa"/>
            <w:shd w:val="clear" w:color="auto" w:fill="auto"/>
          </w:tcPr>
          <w:p w14:paraId="49688C7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Definitions, guides and frameworks related to quality of service/quality of experience (QoS/QoE)</w:t>
            </w:r>
          </w:p>
        </w:tc>
      </w:tr>
      <w:tr w:rsidR="0012432B" w:rsidRPr="004E0F36" w14:paraId="487D15F9" w14:textId="77777777" w:rsidTr="00136CB0">
        <w:trPr>
          <w:cantSplit/>
          <w:jc w:val="center"/>
        </w:trPr>
        <w:tc>
          <w:tcPr>
            <w:tcW w:w="1413" w:type="dxa"/>
            <w:shd w:val="clear" w:color="auto" w:fill="auto"/>
          </w:tcPr>
          <w:p w14:paraId="356AEC0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C/12</w:t>
            </w:r>
          </w:p>
        </w:tc>
        <w:tc>
          <w:tcPr>
            <w:tcW w:w="8215" w:type="dxa"/>
            <w:shd w:val="clear" w:color="auto" w:fill="auto"/>
          </w:tcPr>
          <w:p w14:paraId="61EC7CD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Objective methods for speech and audio evaluation in vehicles</w:t>
            </w:r>
          </w:p>
        </w:tc>
      </w:tr>
      <w:tr w:rsidR="0012432B" w:rsidRPr="004E0F36" w14:paraId="6B4B26FB" w14:textId="77777777" w:rsidTr="00136CB0">
        <w:trPr>
          <w:cantSplit/>
          <w:jc w:val="center"/>
        </w:trPr>
        <w:tc>
          <w:tcPr>
            <w:tcW w:w="1413" w:type="dxa"/>
            <w:shd w:val="clear" w:color="auto" w:fill="auto"/>
          </w:tcPr>
          <w:p w14:paraId="01C0C63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D/12</w:t>
            </w:r>
          </w:p>
        </w:tc>
        <w:tc>
          <w:tcPr>
            <w:tcW w:w="8215" w:type="dxa"/>
            <w:shd w:val="clear" w:color="auto" w:fill="auto"/>
          </w:tcPr>
          <w:p w14:paraId="5B807D1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Telephonometric methodologies for handset and headset terminals</w:t>
            </w:r>
          </w:p>
        </w:tc>
      </w:tr>
      <w:tr w:rsidR="0012432B" w:rsidRPr="004E0F36" w14:paraId="0F161109" w14:textId="77777777" w:rsidTr="00136CB0">
        <w:trPr>
          <w:cantSplit/>
          <w:jc w:val="center"/>
        </w:trPr>
        <w:tc>
          <w:tcPr>
            <w:tcW w:w="1413" w:type="dxa"/>
            <w:shd w:val="clear" w:color="auto" w:fill="auto"/>
          </w:tcPr>
          <w:p w14:paraId="3D235D4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E/12</w:t>
            </w:r>
          </w:p>
        </w:tc>
        <w:tc>
          <w:tcPr>
            <w:tcW w:w="8215" w:type="dxa"/>
            <w:shd w:val="clear" w:color="auto" w:fill="auto"/>
          </w:tcPr>
          <w:p w14:paraId="10BF1F0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Analysis methods for speech and audio using complex measurement signals</w:t>
            </w:r>
          </w:p>
        </w:tc>
      </w:tr>
      <w:tr w:rsidR="0012432B" w:rsidRPr="004E0F36" w14:paraId="75D4C89D" w14:textId="77777777" w:rsidTr="00136CB0">
        <w:trPr>
          <w:cantSplit/>
          <w:jc w:val="center"/>
        </w:trPr>
        <w:tc>
          <w:tcPr>
            <w:tcW w:w="1413" w:type="dxa"/>
            <w:shd w:val="clear" w:color="auto" w:fill="auto"/>
          </w:tcPr>
          <w:p w14:paraId="5C98304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F/12</w:t>
            </w:r>
          </w:p>
        </w:tc>
        <w:tc>
          <w:tcPr>
            <w:tcW w:w="8215" w:type="dxa"/>
            <w:shd w:val="clear" w:color="auto" w:fill="auto"/>
          </w:tcPr>
          <w:p w14:paraId="5581F65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Methodologies, tools and test plans for the subjective assessment of speech, audio and audiovisual quality interactions</w:t>
            </w:r>
          </w:p>
        </w:tc>
      </w:tr>
      <w:tr w:rsidR="0012432B" w:rsidRPr="004E0F36" w14:paraId="7D34806E" w14:textId="77777777" w:rsidTr="00136CB0">
        <w:trPr>
          <w:cantSplit/>
          <w:jc w:val="center"/>
        </w:trPr>
        <w:tc>
          <w:tcPr>
            <w:tcW w:w="1413" w:type="dxa"/>
            <w:shd w:val="clear" w:color="auto" w:fill="auto"/>
          </w:tcPr>
          <w:p w14:paraId="7F211AC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G/12</w:t>
            </w:r>
          </w:p>
        </w:tc>
        <w:tc>
          <w:tcPr>
            <w:tcW w:w="8215" w:type="dxa"/>
            <w:shd w:val="clear" w:color="auto" w:fill="auto"/>
          </w:tcPr>
          <w:p w14:paraId="340D4C4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Perceptual-based objective methods and corresponding evaluation guidelines for voice and audio quality measurements in telecommunication services</w:t>
            </w:r>
          </w:p>
        </w:tc>
      </w:tr>
      <w:tr w:rsidR="0012432B" w:rsidRPr="00380B40" w14:paraId="61C1E1B3" w14:textId="77777777" w:rsidTr="00136CB0">
        <w:trPr>
          <w:cantSplit/>
          <w:jc w:val="center"/>
        </w:trPr>
        <w:tc>
          <w:tcPr>
            <w:tcW w:w="1413" w:type="dxa"/>
            <w:shd w:val="clear" w:color="auto" w:fill="auto"/>
          </w:tcPr>
          <w:p w14:paraId="622FFC1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H/12</w:t>
            </w:r>
          </w:p>
        </w:tc>
        <w:tc>
          <w:tcPr>
            <w:tcW w:w="8215" w:type="dxa"/>
            <w:shd w:val="clear" w:color="auto" w:fill="auto"/>
          </w:tcPr>
          <w:p w14:paraId="65E6C93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pPr>
            <w:r w:rsidRPr="00380B40">
              <w:t>Conferencing and telemeeting assessment</w:t>
            </w:r>
          </w:p>
        </w:tc>
      </w:tr>
      <w:tr w:rsidR="0012432B" w:rsidRPr="004E0F36" w14:paraId="545EABB8" w14:textId="77777777" w:rsidTr="00136CB0">
        <w:trPr>
          <w:cantSplit/>
          <w:jc w:val="center"/>
        </w:trPr>
        <w:tc>
          <w:tcPr>
            <w:tcW w:w="1413" w:type="dxa"/>
            <w:shd w:val="clear" w:color="auto" w:fill="auto"/>
          </w:tcPr>
          <w:p w14:paraId="65FC7BF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I/12</w:t>
            </w:r>
          </w:p>
        </w:tc>
        <w:tc>
          <w:tcPr>
            <w:tcW w:w="8215" w:type="dxa"/>
            <w:shd w:val="clear" w:color="auto" w:fill="auto"/>
          </w:tcPr>
          <w:p w14:paraId="222DDC0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Operational aspects of telecommunication network service quality and end-to-end performance considerations</w:t>
            </w:r>
          </w:p>
        </w:tc>
      </w:tr>
      <w:tr w:rsidR="0012432B" w:rsidRPr="004E0F36" w14:paraId="69583EE2" w14:textId="77777777" w:rsidTr="00136CB0">
        <w:trPr>
          <w:cantSplit/>
          <w:jc w:val="center"/>
        </w:trPr>
        <w:tc>
          <w:tcPr>
            <w:tcW w:w="1413" w:type="dxa"/>
            <w:shd w:val="clear" w:color="auto" w:fill="auto"/>
          </w:tcPr>
          <w:p w14:paraId="4EEE8E0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J/12</w:t>
            </w:r>
          </w:p>
        </w:tc>
        <w:tc>
          <w:tcPr>
            <w:tcW w:w="8215" w:type="dxa"/>
            <w:shd w:val="clear" w:color="auto" w:fill="auto"/>
          </w:tcPr>
          <w:p w14:paraId="30CAA63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Quality of experience (QoE), quality of service (QoS) and performance requirements and assessment methods for multimedia applications</w:t>
            </w:r>
          </w:p>
        </w:tc>
      </w:tr>
      <w:tr w:rsidR="0012432B" w:rsidRPr="004E0F36" w14:paraId="431BE444" w14:textId="77777777" w:rsidTr="00136CB0">
        <w:trPr>
          <w:cantSplit/>
          <w:jc w:val="center"/>
        </w:trPr>
        <w:tc>
          <w:tcPr>
            <w:tcW w:w="1413" w:type="dxa"/>
            <w:shd w:val="clear" w:color="auto" w:fill="auto"/>
          </w:tcPr>
          <w:p w14:paraId="7971644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K/12</w:t>
            </w:r>
          </w:p>
        </w:tc>
        <w:tc>
          <w:tcPr>
            <w:tcW w:w="8215" w:type="dxa"/>
            <w:shd w:val="clear" w:color="auto" w:fill="auto"/>
          </w:tcPr>
          <w:p w14:paraId="0E21D60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Development of models and tools for multimedia quality assessment of packet-based video services</w:t>
            </w:r>
          </w:p>
        </w:tc>
      </w:tr>
      <w:tr w:rsidR="0012432B" w:rsidRPr="004E0F36" w14:paraId="129BB9A0" w14:textId="77777777" w:rsidTr="00136CB0">
        <w:trPr>
          <w:cantSplit/>
          <w:jc w:val="center"/>
        </w:trPr>
        <w:tc>
          <w:tcPr>
            <w:tcW w:w="1413" w:type="dxa"/>
            <w:shd w:val="clear" w:color="auto" w:fill="auto"/>
          </w:tcPr>
          <w:p w14:paraId="2010E0D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L/12</w:t>
            </w:r>
          </w:p>
        </w:tc>
        <w:tc>
          <w:tcPr>
            <w:tcW w:w="8215" w:type="dxa"/>
            <w:shd w:val="clear" w:color="auto" w:fill="auto"/>
          </w:tcPr>
          <w:p w14:paraId="428F682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Parametric and E-model-based planning, prediction and monitoring of conversational speech and audio-visual quality</w:t>
            </w:r>
          </w:p>
        </w:tc>
      </w:tr>
      <w:tr w:rsidR="0012432B" w:rsidRPr="004E0F36" w14:paraId="424429F0" w14:textId="77777777" w:rsidTr="00136CB0">
        <w:trPr>
          <w:cantSplit/>
          <w:jc w:val="center"/>
        </w:trPr>
        <w:tc>
          <w:tcPr>
            <w:tcW w:w="1413" w:type="dxa"/>
            <w:shd w:val="clear" w:color="auto" w:fill="auto"/>
          </w:tcPr>
          <w:p w14:paraId="7B2CE29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M/12</w:t>
            </w:r>
          </w:p>
        </w:tc>
        <w:tc>
          <w:tcPr>
            <w:tcW w:w="8215" w:type="dxa"/>
            <w:shd w:val="clear" w:color="auto" w:fill="auto"/>
          </w:tcPr>
          <w:p w14:paraId="03FDFF9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Performance of packet-based networks and other networking technologies</w:t>
            </w:r>
          </w:p>
        </w:tc>
      </w:tr>
      <w:tr w:rsidR="0012432B" w:rsidRPr="004E0F36" w14:paraId="019775FC" w14:textId="77777777" w:rsidTr="00136CB0">
        <w:trPr>
          <w:cantSplit/>
          <w:jc w:val="center"/>
        </w:trPr>
        <w:tc>
          <w:tcPr>
            <w:tcW w:w="1413" w:type="dxa"/>
            <w:shd w:val="clear" w:color="auto" w:fill="auto"/>
          </w:tcPr>
          <w:p w14:paraId="4C09B85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N/12</w:t>
            </w:r>
          </w:p>
        </w:tc>
        <w:tc>
          <w:tcPr>
            <w:tcW w:w="8215" w:type="dxa"/>
            <w:shd w:val="clear" w:color="auto" w:fill="auto"/>
          </w:tcPr>
          <w:p w14:paraId="2BF2183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Objective and subjective methods for evaluating perceptual audiovisual quality in multimedia and television services</w:t>
            </w:r>
          </w:p>
        </w:tc>
      </w:tr>
      <w:tr w:rsidR="0012432B" w:rsidRPr="004E0F36" w14:paraId="282AC317" w14:textId="77777777" w:rsidTr="00136CB0">
        <w:trPr>
          <w:cantSplit/>
          <w:jc w:val="center"/>
        </w:trPr>
        <w:tc>
          <w:tcPr>
            <w:tcW w:w="1413" w:type="dxa"/>
            <w:shd w:val="clear" w:color="auto" w:fill="auto"/>
          </w:tcPr>
          <w:p w14:paraId="2A95F80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O/12</w:t>
            </w:r>
          </w:p>
        </w:tc>
        <w:tc>
          <w:tcPr>
            <w:tcW w:w="8215" w:type="dxa"/>
            <w:shd w:val="clear" w:color="auto" w:fill="auto"/>
          </w:tcPr>
          <w:p w14:paraId="5658CFD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Perceptual and field assessment principles for quality of service (QoS) and quality of experience (QoE) of digital financial services (DFS)</w:t>
            </w:r>
          </w:p>
        </w:tc>
      </w:tr>
    </w:tbl>
    <w:p w14:paraId="0B8AFFE8" w14:textId="77777777" w:rsidR="0012432B" w:rsidRPr="00380B40" w:rsidRDefault="0012432B" w:rsidP="00AF6CDF">
      <w:pPr>
        <w:rPr>
          <w:lang w:val="en-GB"/>
        </w:rPr>
      </w:pPr>
    </w:p>
    <w:p w14:paraId="6E8823BF" w14:textId="77777777" w:rsidR="00AF6CDF" w:rsidRPr="00380B40" w:rsidRDefault="00AF6CDF" w:rsidP="00AF6CDF">
      <w:pPr>
        <w:rPr>
          <w:lang w:val="en-GB"/>
        </w:rPr>
      </w:pPr>
    </w:p>
    <w:p w14:paraId="77D046A0" w14:textId="77777777" w:rsidR="00AF6CDF" w:rsidRPr="00380B40" w:rsidRDefault="00AF6CDF" w:rsidP="00AF6CDF">
      <w:pPr>
        <w:rPr>
          <w:lang w:val="en-GB"/>
        </w:rPr>
      </w:pPr>
    </w:p>
    <w:p w14:paraId="0C326C3A" w14:textId="77777777" w:rsidR="00AF6CDF" w:rsidRPr="00380B40" w:rsidRDefault="00AF6CDF" w:rsidP="00AF6CDF">
      <w:pPr>
        <w:rPr>
          <w:lang w:val="en-GB"/>
        </w:rPr>
      </w:pPr>
    </w:p>
    <w:p w14:paraId="056EA98B" w14:textId="77777777" w:rsidR="003E72C4" w:rsidRPr="00380B40" w:rsidRDefault="003E72C4" w:rsidP="00AF6CDF">
      <w:pPr>
        <w:rPr>
          <w:lang w:val="en-GB"/>
        </w:rPr>
      </w:pPr>
    </w:p>
    <w:p w14:paraId="016ADD04" w14:textId="77777777" w:rsidR="00AF6CDF" w:rsidRPr="00380B40" w:rsidRDefault="00AF6CDF" w:rsidP="00AF6CDF">
      <w:pPr>
        <w:rPr>
          <w:lang w:val="en-GB"/>
        </w:rPr>
      </w:pPr>
    </w:p>
    <w:p w14:paraId="7BAD99AC" w14:textId="77777777" w:rsidR="0012432B" w:rsidRPr="00380B40" w:rsidRDefault="0012432B" w:rsidP="00AF6CDF">
      <w:pPr>
        <w:rPr>
          <w:lang w:val="en-GB"/>
        </w:rPr>
      </w:pPr>
      <w:r w:rsidRPr="00380B40">
        <w:rPr>
          <w:lang w:val="en-GB"/>
        </w:rPr>
        <w:br w:type="page"/>
      </w:r>
    </w:p>
    <w:p w14:paraId="4DED56AB" w14:textId="77777777" w:rsidR="0012432B" w:rsidRPr="00380B40" w:rsidRDefault="0012432B" w:rsidP="0012432B">
      <w:pPr>
        <w:keepNext/>
        <w:keepLines/>
        <w:tabs>
          <w:tab w:val="left" w:pos="567"/>
          <w:tab w:val="left" w:pos="1134"/>
          <w:tab w:val="left" w:pos="1701"/>
          <w:tab w:val="left" w:pos="1871"/>
          <w:tab w:val="left" w:pos="2268"/>
          <w:tab w:val="left" w:pos="2835"/>
          <w:tab w:val="left" w:pos="3402"/>
          <w:tab w:val="left" w:pos="3969"/>
          <w:tab w:val="left" w:pos="4536"/>
          <w:tab w:val="left" w:pos="5103"/>
          <w:tab w:val="left" w:pos="5670"/>
          <w:tab w:val="left" w:pos="6244"/>
        </w:tabs>
        <w:spacing w:before="280" w:after="120"/>
        <w:ind w:left="1134" w:hanging="1134"/>
        <w:outlineLvl w:val="0"/>
        <w:rPr>
          <w:b/>
          <w:sz w:val="28"/>
        </w:rPr>
      </w:pPr>
      <w:bookmarkStart w:id="2429" w:name="_Toc111637165"/>
      <w:r w:rsidRPr="00380B40">
        <w:rPr>
          <w:b/>
          <w:sz w:val="28"/>
        </w:rPr>
        <w:t>7</w:t>
      </w:r>
      <w:r w:rsidRPr="00380B40">
        <w:rPr>
          <w:b/>
          <w:sz w:val="28"/>
        </w:rPr>
        <w:tab/>
        <w:t>Study Group 13</w:t>
      </w:r>
      <w:bookmarkEnd w:id="24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4"/>
        <w:gridCol w:w="8034"/>
      </w:tblGrid>
      <w:tr w:rsidR="0012432B" w:rsidRPr="00380B40" w14:paraId="16E43B9E" w14:textId="77777777" w:rsidTr="00136CB0">
        <w:trPr>
          <w:jc w:val="center"/>
        </w:trPr>
        <w:tc>
          <w:tcPr>
            <w:tcW w:w="1594" w:type="dxa"/>
            <w:shd w:val="clear" w:color="auto" w:fill="auto"/>
            <w:vAlign w:val="center"/>
          </w:tcPr>
          <w:p w14:paraId="2522B4D1" w14:textId="77777777" w:rsidR="0012432B" w:rsidRPr="00380B40" w:rsidRDefault="0012432B" w:rsidP="004E4CA9">
            <w:pPr>
              <w:pStyle w:val="Tableheadwhitecentred"/>
              <w:rPr>
                <w:b w:val="0"/>
              </w:rPr>
            </w:pPr>
            <w:r w:rsidRPr="00380B40">
              <w:t xml:space="preserve">Question </w:t>
            </w:r>
            <w:r w:rsidRPr="00380B40">
              <w:br/>
              <w:t>number</w:t>
            </w:r>
          </w:p>
        </w:tc>
        <w:tc>
          <w:tcPr>
            <w:tcW w:w="8034" w:type="dxa"/>
            <w:shd w:val="clear" w:color="auto" w:fill="auto"/>
            <w:vAlign w:val="center"/>
          </w:tcPr>
          <w:p w14:paraId="3F7F6F79" w14:textId="77777777" w:rsidR="0012432B" w:rsidRPr="00380B40" w:rsidRDefault="0012432B" w:rsidP="004E4CA9">
            <w:pPr>
              <w:pStyle w:val="Tableheadwhitecentred"/>
              <w:rPr>
                <w:b w:val="0"/>
              </w:rPr>
            </w:pPr>
            <w:r w:rsidRPr="00380B40">
              <w:t>Question title</w:t>
            </w:r>
          </w:p>
        </w:tc>
      </w:tr>
      <w:tr w:rsidR="0012432B" w:rsidRPr="004E0F36" w14:paraId="5C05F1AD" w14:textId="77777777" w:rsidTr="00136CB0">
        <w:trPr>
          <w:jc w:val="center"/>
        </w:trPr>
        <w:tc>
          <w:tcPr>
            <w:tcW w:w="1594" w:type="dxa"/>
            <w:shd w:val="clear" w:color="auto" w:fill="auto"/>
            <w:vAlign w:val="center"/>
          </w:tcPr>
          <w:p w14:paraId="4CCFDAE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A/13</w:t>
            </w:r>
          </w:p>
        </w:tc>
        <w:tc>
          <w:tcPr>
            <w:tcW w:w="8034" w:type="dxa"/>
            <w:shd w:val="clear" w:color="auto" w:fill="auto"/>
            <w:vAlign w:val="center"/>
          </w:tcPr>
          <w:p w14:paraId="5D0D230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Networks beyond IMT2020: Quality of service (QoS) mechanisms</w:t>
            </w:r>
          </w:p>
        </w:tc>
      </w:tr>
      <w:tr w:rsidR="0012432B" w:rsidRPr="004E0F36" w14:paraId="536052C7" w14:textId="77777777" w:rsidTr="00136CB0">
        <w:trPr>
          <w:jc w:val="center"/>
        </w:trPr>
        <w:tc>
          <w:tcPr>
            <w:tcW w:w="1594" w:type="dxa"/>
            <w:shd w:val="clear" w:color="auto" w:fill="auto"/>
            <w:vAlign w:val="center"/>
          </w:tcPr>
          <w:p w14:paraId="6B1558C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B/13</w:t>
            </w:r>
          </w:p>
        </w:tc>
        <w:tc>
          <w:tcPr>
            <w:tcW w:w="8034" w:type="dxa"/>
            <w:shd w:val="clear" w:color="auto" w:fill="auto"/>
            <w:vAlign w:val="center"/>
          </w:tcPr>
          <w:p w14:paraId="2CFBCFD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Networks beyond IMT-2020 and machine learning: Requirements and architecture</w:t>
            </w:r>
          </w:p>
        </w:tc>
      </w:tr>
      <w:tr w:rsidR="0012432B" w:rsidRPr="004E0F36" w14:paraId="7CF214FB" w14:textId="77777777" w:rsidTr="00136CB0">
        <w:trPr>
          <w:jc w:val="center"/>
        </w:trPr>
        <w:tc>
          <w:tcPr>
            <w:tcW w:w="1594" w:type="dxa"/>
            <w:shd w:val="clear" w:color="auto" w:fill="auto"/>
            <w:vAlign w:val="center"/>
          </w:tcPr>
          <w:p w14:paraId="31546B9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C/13</w:t>
            </w:r>
          </w:p>
        </w:tc>
        <w:tc>
          <w:tcPr>
            <w:tcW w:w="8034" w:type="dxa"/>
            <w:shd w:val="clear" w:color="auto" w:fill="auto"/>
            <w:vAlign w:val="center"/>
          </w:tcPr>
          <w:p w14:paraId="0EAF7A4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Networks beyond IMT-2020: Network softwarization</w:t>
            </w:r>
          </w:p>
        </w:tc>
      </w:tr>
      <w:tr w:rsidR="0012432B" w:rsidRPr="004E0F36" w14:paraId="1C1A509F" w14:textId="77777777" w:rsidTr="00136CB0">
        <w:trPr>
          <w:jc w:val="center"/>
        </w:trPr>
        <w:tc>
          <w:tcPr>
            <w:tcW w:w="1594" w:type="dxa"/>
            <w:shd w:val="clear" w:color="auto" w:fill="auto"/>
            <w:vAlign w:val="center"/>
          </w:tcPr>
          <w:p w14:paraId="6E1BEDA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D/13</w:t>
            </w:r>
          </w:p>
        </w:tc>
        <w:tc>
          <w:tcPr>
            <w:tcW w:w="8034" w:type="dxa"/>
            <w:shd w:val="clear" w:color="auto" w:fill="auto"/>
            <w:vAlign w:val="center"/>
          </w:tcPr>
          <w:p w14:paraId="4079CF8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Networks beyond IMT2020: Emerging network technologies</w:t>
            </w:r>
          </w:p>
        </w:tc>
      </w:tr>
      <w:tr w:rsidR="0012432B" w:rsidRPr="004E0F36" w14:paraId="066A55E4" w14:textId="77777777" w:rsidTr="00136CB0">
        <w:trPr>
          <w:jc w:val="center"/>
        </w:trPr>
        <w:tc>
          <w:tcPr>
            <w:tcW w:w="1594" w:type="dxa"/>
            <w:shd w:val="clear" w:color="auto" w:fill="auto"/>
            <w:vAlign w:val="center"/>
          </w:tcPr>
          <w:p w14:paraId="3893A58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E/13</w:t>
            </w:r>
          </w:p>
        </w:tc>
        <w:tc>
          <w:tcPr>
            <w:tcW w:w="8034" w:type="dxa"/>
            <w:shd w:val="clear" w:color="auto" w:fill="auto"/>
            <w:vAlign w:val="center"/>
          </w:tcPr>
          <w:p w14:paraId="1342D82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Networks beyond IMT2020: Fixed, mobile and satellite convergence</w:t>
            </w:r>
          </w:p>
        </w:tc>
      </w:tr>
      <w:tr w:rsidR="0012432B" w:rsidRPr="004E0F36" w14:paraId="6DD1AF9B" w14:textId="77777777" w:rsidTr="00136CB0">
        <w:trPr>
          <w:jc w:val="center"/>
        </w:trPr>
        <w:tc>
          <w:tcPr>
            <w:tcW w:w="1594" w:type="dxa"/>
            <w:shd w:val="clear" w:color="auto" w:fill="auto"/>
            <w:vAlign w:val="center"/>
          </w:tcPr>
          <w:p w14:paraId="386DAE8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H/13</w:t>
            </w:r>
          </w:p>
        </w:tc>
        <w:tc>
          <w:tcPr>
            <w:tcW w:w="8034" w:type="dxa"/>
            <w:shd w:val="clear" w:color="auto" w:fill="auto"/>
            <w:vAlign w:val="center"/>
          </w:tcPr>
          <w:p w14:paraId="62CD01F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Future Networks: Deep packet inspection and network intelligence</w:t>
            </w:r>
          </w:p>
        </w:tc>
      </w:tr>
      <w:tr w:rsidR="0012432B" w:rsidRPr="004E0F36" w14:paraId="2EFCCD2D" w14:textId="77777777" w:rsidTr="00136CB0">
        <w:trPr>
          <w:jc w:val="center"/>
        </w:trPr>
        <w:tc>
          <w:tcPr>
            <w:tcW w:w="1594" w:type="dxa"/>
            <w:shd w:val="clear" w:color="auto" w:fill="auto"/>
            <w:vAlign w:val="center"/>
          </w:tcPr>
          <w:p w14:paraId="204ABAB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I/13</w:t>
            </w:r>
          </w:p>
        </w:tc>
        <w:tc>
          <w:tcPr>
            <w:tcW w:w="8034" w:type="dxa"/>
            <w:shd w:val="clear" w:color="auto" w:fill="auto"/>
            <w:vAlign w:val="center"/>
          </w:tcPr>
          <w:p w14:paraId="6DE96CB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Future Networks: Requirements and capabilities for computing including cloud computing and data handling</w:t>
            </w:r>
          </w:p>
        </w:tc>
      </w:tr>
      <w:tr w:rsidR="0012432B" w:rsidRPr="004E0F36" w14:paraId="03DBA58D" w14:textId="77777777" w:rsidTr="00136CB0">
        <w:trPr>
          <w:jc w:val="center"/>
        </w:trPr>
        <w:tc>
          <w:tcPr>
            <w:tcW w:w="1594" w:type="dxa"/>
            <w:shd w:val="clear" w:color="auto" w:fill="auto"/>
            <w:vAlign w:val="center"/>
          </w:tcPr>
          <w:p w14:paraId="3357F46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J/13</w:t>
            </w:r>
          </w:p>
        </w:tc>
        <w:tc>
          <w:tcPr>
            <w:tcW w:w="8034" w:type="dxa"/>
            <w:shd w:val="clear" w:color="auto" w:fill="auto"/>
            <w:vAlign w:val="center"/>
          </w:tcPr>
          <w:p w14:paraId="504861C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Future Networks: Functional architecture for computing including cloud computing and data handling</w:t>
            </w:r>
          </w:p>
        </w:tc>
      </w:tr>
      <w:tr w:rsidR="0012432B" w:rsidRPr="004E0F36" w14:paraId="57BEC25E" w14:textId="77777777" w:rsidTr="00136CB0">
        <w:trPr>
          <w:jc w:val="center"/>
        </w:trPr>
        <w:tc>
          <w:tcPr>
            <w:tcW w:w="1594" w:type="dxa"/>
            <w:shd w:val="clear" w:color="auto" w:fill="auto"/>
            <w:vAlign w:val="center"/>
          </w:tcPr>
          <w:p w14:paraId="1C6AC3A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K/13</w:t>
            </w:r>
          </w:p>
        </w:tc>
        <w:tc>
          <w:tcPr>
            <w:tcW w:w="8034" w:type="dxa"/>
            <w:shd w:val="clear" w:color="auto" w:fill="auto"/>
            <w:vAlign w:val="center"/>
          </w:tcPr>
          <w:p w14:paraId="46E1993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Future Networks: End-to-end management, governance, and security for computing including cloud computing and data handling</w:t>
            </w:r>
          </w:p>
        </w:tc>
      </w:tr>
      <w:tr w:rsidR="0012432B" w:rsidRPr="004E0F36" w14:paraId="4545613F" w14:textId="77777777" w:rsidTr="00136CB0">
        <w:trPr>
          <w:jc w:val="center"/>
        </w:trPr>
        <w:tc>
          <w:tcPr>
            <w:tcW w:w="1594" w:type="dxa"/>
            <w:shd w:val="clear" w:color="auto" w:fill="auto"/>
            <w:vAlign w:val="center"/>
          </w:tcPr>
          <w:p w14:paraId="4C337A9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L/13</w:t>
            </w:r>
          </w:p>
        </w:tc>
        <w:tc>
          <w:tcPr>
            <w:tcW w:w="8034" w:type="dxa"/>
            <w:shd w:val="clear" w:color="auto" w:fill="auto"/>
            <w:vAlign w:val="center"/>
          </w:tcPr>
          <w:p w14:paraId="6DF403D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Applying Future Networks and innovation in developing countries</w:t>
            </w:r>
          </w:p>
        </w:tc>
      </w:tr>
      <w:tr w:rsidR="0012432B" w:rsidRPr="004E0F36" w14:paraId="28B54F59" w14:textId="77777777" w:rsidTr="00136CB0">
        <w:trPr>
          <w:jc w:val="center"/>
        </w:trPr>
        <w:tc>
          <w:tcPr>
            <w:tcW w:w="1594" w:type="dxa"/>
            <w:shd w:val="clear" w:color="auto" w:fill="auto"/>
            <w:vAlign w:val="center"/>
          </w:tcPr>
          <w:p w14:paraId="11B082A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M/13</w:t>
            </w:r>
          </w:p>
        </w:tc>
        <w:tc>
          <w:tcPr>
            <w:tcW w:w="8034" w:type="dxa"/>
            <w:shd w:val="clear" w:color="auto" w:fill="auto"/>
            <w:vAlign w:val="center"/>
          </w:tcPr>
          <w:p w14:paraId="3B90450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Future Networks: Trustworthy and Quantum Enhanced Networking and Services</w:t>
            </w:r>
          </w:p>
        </w:tc>
      </w:tr>
      <w:tr w:rsidR="0012432B" w:rsidRPr="004E0F36" w14:paraId="20B86E90" w14:textId="77777777" w:rsidTr="00136CB0">
        <w:trPr>
          <w:jc w:val="center"/>
        </w:trPr>
        <w:tc>
          <w:tcPr>
            <w:tcW w:w="1594" w:type="dxa"/>
            <w:shd w:val="clear" w:color="auto" w:fill="auto"/>
            <w:vAlign w:val="center"/>
          </w:tcPr>
          <w:p w14:paraId="4EB1E47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N/13</w:t>
            </w:r>
          </w:p>
        </w:tc>
        <w:tc>
          <w:tcPr>
            <w:tcW w:w="8034" w:type="dxa"/>
            <w:shd w:val="clear" w:color="auto" w:fill="auto"/>
            <w:vAlign w:val="center"/>
          </w:tcPr>
          <w:p w14:paraId="1995BE7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Future Networks: Innovative service scenarios, including environmental and socio economical aspects</w:t>
            </w:r>
          </w:p>
        </w:tc>
      </w:tr>
      <w:tr w:rsidR="0012432B" w:rsidRPr="004E0F36" w14:paraId="3D920626" w14:textId="77777777" w:rsidTr="00136CB0">
        <w:trPr>
          <w:jc w:val="center"/>
        </w:trPr>
        <w:tc>
          <w:tcPr>
            <w:tcW w:w="1594" w:type="dxa"/>
            <w:shd w:val="clear" w:color="auto" w:fill="auto"/>
            <w:vAlign w:val="center"/>
          </w:tcPr>
          <w:p w14:paraId="5E765EE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O/13</w:t>
            </w:r>
          </w:p>
        </w:tc>
        <w:tc>
          <w:tcPr>
            <w:tcW w:w="8034" w:type="dxa"/>
            <w:shd w:val="clear" w:color="auto" w:fill="auto"/>
            <w:vAlign w:val="center"/>
          </w:tcPr>
          <w:p w14:paraId="7E23C6E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Next-generation network (NGN) evolution with innovative technologies including software-defined networking (SDN) and network function virtualization (NFV)</w:t>
            </w:r>
          </w:p>
        </w:tc>
      </w:tr>
    </w:tbl>
    <w:p w14:paraId="2602BA3F" w14:textId="77777777" w:rsidR="0012432B" w:rsidRPr="00380B40" w:rsidRDefault="0012432B" w:rsidP="00AF6CDF">
      <w:pPr>
        <w:rPr>
          <w:lang w:val="en-GB"/>
        </w:rPr>
      </w:pPr>
    </w:p>
    <w:p w14:paraId="51AFBF94" w14:textId="77777777" w:rsidR="00AF6CDF" w:rsidRPr="00380B40" w:rsidRDefault="00AF6CDF" w:rsidP="00AF6CDF">
      <w:pPr>
        <w:rPr>
          <w:lang w:val="en-GB"/>
        </w:rPr>
      </w:pPr>
    </w:p>
    <w:p w14:paraId="5E556F8C" w14:textId="77777777" w:rsidR="00AF6CDF" w:rsidRPr="00380B40" w:rsidRDefault="00AF6CDF" w:rsidP="00AF6CDF">
      <w:pPr>
        <w:rPr>
          <w:lang w:val="en-GB"/>
        </w:rPr>
      </w:pPr>
    </w:p>
    <w:p w14:paraId="0EA54573" w14:textId="77777777" w:rsidR="00AF6CDF" w:rsidRPr="00380B40" w:rsidRDefault="00AF6CDF" w:rsidP="00AF6CDF">
      <w:pPr>
        <w:rPr>
          <w:lang w:val="en-GB"/>
        </w:rPr>
      </w:pPr>
    </w:p>
    <w:p w14:paraId="7565FC5B" w14:textId="77777777" w:rsidR="00AF6CDF" w:rsidRPr="00380B40" w:rsidRDefault="00AF6CDF" w:rsidP="00AF6CDF">
      <w:pPr>
        <w:rPr>
          <w:lang w:val="en-GB"/>
        </w:rPr>
      </w:pPr>
    </w:p>
    <w:p w14:paraId="648F1602" w14:textId="77777777" w:rsidR="00AF6CDF" w:rsidRPr="00380B40" w:rsidRDefault="00AF6CDF" w:rsidP="00AF6CDF">
      <w:pPr>
        <w:rPr>
          <w:lang w:val="en-GB"/>
        </w:rPr>
      </w:pPr>
    </w:p>
    <w:p w14:paraId="604C3ABE" w14:textId="77777777" w:rsidR="00AF6CDF" w:rsidRPr="00380B40" w:rsidRDefault="00AF6CDF" w:rsidP="00AF6CDF">
      <w:pPr>
        <w:rPr>
          <w:lang w:val="en-GB"/>
        </w:rPr>
      </w:pPr>
    </w:p>
    <w:p w14:paraId="67767A11" w14:textId="77777777" w:rsidR="00AF6CDF" w:rsidRPr="00380B40" w:rsidRDefault="00AF6CDF" w:rsidP="00AF6CDF">
      <w:pPr>
        <w:rPr>
          <w:lang w:val="en-GB"/>
        </w:rPr>
      </w:pPr>
    </w:p>
    <w:p w14:paraId="4735BF5C" w14:textId="77777777" w:rsidR="00AF6CDF" w:rsidRPr="00380B40" w:rsidRDefault="00AF6CDF" w:rsidP="00AF6CDF">
      <w:pPr>
        <w:rPr>
          <w:lang w:val="en-GB"/>
        </w:rPr>
      </w:pPr>
    </w:p>
    <w:p w14:paraId="73FAF673" w14:textId="77777777" w:rsidR="0012432B" w:rsidRPr="00380B40" w:rsidRDefault="0012432B" w:rsidP="00AF6CDF">
      <w:pPr>
        <w:rPr>
          <w:lang w:val="en-GB"/>
        </w:rPr>
      </w:pPr>
      <w:r w:rsidRPr="00380B40">
        <w:rPr>
          <w:lang w:val="en-GB"/>
        </w:rPr>
        <w:br w:type="page"/>
      </w:r>
    </w:p>
    <w:p w14:paraId="7DCD854C" w14:textId="77777777" w:rsidR="0012432B" w:rsidRPr="00380B40" w:rsidRDefault="0012432B" w:rsidP="0012432B">
      <w:pPr>
        <w:keepNext/>
        <w:keepLines/>
        <w:tabs>
          <w:tab w:val="left" w:pos="567"/>
          <w:tab w:val="left" w:pos="1134"/>
          <w:tab w:val="left" w:pos="1701"/>
          <w:tab w:val="left" w:pos="1871"/>
          <w:tab w:val="left" w:pos="2268"/>
          <w:tab w:val="left" w:pos="2835"/>
          <w:tab w:val="left" w:pos="3402"/>
          <w:tab w:val="left" w:pos="3969"/>
          <w:tab w:val="left" w:pos="4536"/>
          <w:tab w:val="left" w:pos="5103"/>
          <w:tab w:val="left" w:pos="5670"/>
          <w:tab w:val="left" w:pos="6244"/>
        </w:tabs>
        <w:spacing w:before="280" w:after="120"/>
        <w:ind w:left="1134" w:hanging="1134"/>
        <w:outlineLvl w:val="0"/>
        <w:rPr>
          <w:b/>
          <w:sz w:val="28"/>
        </w:rPr>
      </w:pPr>
      <w:bookmarkStart w:id="2430" w:name="_Toc111637166"/>
      <w:r w:rsidRPr="00380B40">
        <w:rPr>
          <w:b/>
          <w:sz w:val="28"/>
        </w:rPr>
        <w:t>8</w:t>
      </w:r>
      <w:r w:rsidRPr="00380B40">
        <w:rPr>
          <w:b/>
          <w:sz w:val="28"/>
        </w:rPr>
        <w:tab/>
        <w:t>Study Group 15</w:t>
      </w:r>
      <w:bookmarkEnd w:id="24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9"/>
        <w:gridCol w:w="8039"/>
      </w:tblGrid>
      <w:tr w:rsidR="0012432B" w:rsidRPr="00380B40" w14:paraId="7961274C" w14:textId="77777777" w:rsidTr="00136CB0">
        <w:trPr>
          <w:jc w:val="center"/>
        </w:trPr>
        <w:tc>
          <w:tcPr>
            <w:tcW w:w="825" w:type="pct"/>
            <w:shd w:val="clear" w:color="auto" w:fill="auto"/>
            <w:vAlign w:val="center"/>
          </w:tcPr>
          <w:p w14:paraId="507FA7A0" w14:textId="77777777" w:rsidR="0012432B" w:rsidRPr="00380B40" w:rsidRDefault="0012432B" w:rsidP="004E4CA9">
            <w:pPr>
              <w:pStyle w:val="Tableheadwhitecentred"/>
              <w:rPr>
                <w:b w:val="0"/>
              </w:rPr>
            </w:pPr>
            <w:r w:rsidRPr="00380B40">
              <w:t xml:space="preserve">Question </w:t>
            </w:r>
            <w:r w:rsidRPr="00380B40">
              <w:br/>
              <w:t>number</w:t>
            </w:r>
          </w:p>
        </w:tc>
        <w:tc>
          <w:tcPr>
            <w:tcW w:w="4175" w:type="pct"/>
            <w:shd w:val="clear" w:color="auto" w:fill="auto"/>
            <w:vAlign w:val="center"/>
          </w:tcPr>
          <w:p w14:paraId="4C4E7812" w14:textId="77777777" w:rsidR="0012432B" w:rsidRPr="00380B40" w:rsidRDefault="0012432B" w:rsidP="004E4CA9">
            <w:pPr>
              <w:pStyle w:val="Tableheadwhitecentred"/>
              <w:rPr>
                <w:b w:val="0"/>
              </w:rPr>
            </w:pPr>
            <w:r w:rsidRPr="00380B40">
              <w:t>Question title</w:t>
            </w:r>
          </w:p>
        </w:tc>
      </w:tr>
      <w:tr w:rsidR="0012432B" w:rsidRPr="004E0F36" w14:paraId="2214D146" w14:textId="77777777" w:rsidTr="00136CB0">
        <w:trPr>
          <w:jc w:val="center"/>
        </w:trPr>
        <w:tc>
          <w:tcPr>
            <w:tcW w:w="825" w:type="pct"/>
            <w:shd w:val="clear" w:color="auto" w:fill="auto"/>
          </w:tcPr>
          <w:p w14:paraId="1F2D89D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A/15</w:t>
            </w:r>
          </w:p>
        </w:tc>
        <w:tc>
          <w:tcPr>
            <w:tcW w:w="4175" w:type="pct"/>
            <w:shd w:val="clear" w:color="auto" w:fill="auto"/>
          </w:tcPr>
          <w:p w14:paraId="310EDBD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Coordination of access and home network transport standards</w:t>
            </w:r>
          </w:p>
        </w:tc>
      </w:tr>
      <w:tr w:rsidR="0012432B" w:rsidRPr="004E0F36" w14:paraId="6D0D831C" w14:textId="77777777" w:rsidTr="00136CB0">
        <w:trPr>
          <w:jc w:val="center"/>
        </w:trPr>
        <w:tc>
          <w:tcPr>
            <w:tcW w:w="825" w:type="pct"/>
            <w:shd w:val="clear" w:color="auto" w:fill="auto"/>
          </w:tcPr>
          <w:p w14:paraId="13AD422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B/15</w:t>
            </w:r>
          </w:p>
        </w:tc>
        <w:tc>
          <w:tcPr>
            <w:tcW w:w="4175" w:type="pct"/>
            <w:shd w:val="clear" w:color="auto" w:fill="auto"/>
          </w:tcPr>
          <w:p w14:paraId="78D0605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Optical systems for fibre access networks</w:t>
            </w:r>
          </w:p>
        </w:tc>
      </w:tr>
      <w:tr w:rsidR="0012432B" w:rsidRPr="004E0F36" w14:paraId="41E6CD44" w14:textId="77777777" w:rsidTr="00136CB0">
        <w:trPr>
          <w:jc w:val="center"/>
        </w:trPr>
        <w:tc>
          <w:tcPr>
            <w:tcW w:w="825" w:type="pct"/>
            <w:shd w:val="clear" w:color="auto" w:fill="auto"/>
          </w:tcPr>
          <w:p w14:paraId="3A6BB35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C/15</w:t>
            </w:r>
          </w:p>
        </w:tc>
        <w:tc>
          <w:tcPr>
            <w:tcW w:w="4175" w:type="pct"/>
            <w:shd w:val="clear" w:color="auto" w:fill="auto"/>
          </w:tcPr>
          <w:p w14:paraId="50CC1FA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Technologies for in-premises networking and related access applications</w:t>
            </w:r>
          </w:p>
        </w:tc>
      </w:tr>
      <w:tr w:rsidR="0012432B" w:rsidRPr="004E0F36" w14:paraId="3B77E3C1" w14:textId="77777777" w:rsidTr="00136CB0">
        <w:trPr>
          <w:jc w:val="center"/>
        </w:trPr>
        <w:tc>
          <w:tcPr>
            <w:tcW w:w="825" w:type="pct"/>
            <w:shd w:val="clear" w:color="auto" w:fill="auto"/>
          </w:tcPr>
          <w:p w14:paraId="4E5D78C0"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D/15</w:t>
            </w:r>
          </w:p>
        </w:tc>
        <w:tc>
          <w:tcPr>
            <w:tcW w:w="4175" w:type="pct"/>
            <w:shd w:val="clear" w:color="auto" w:fill="auto"/>
          </w:tcPr>
          <w:p w14:paraId="72EE4FC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Broadband access over metallic conductors</w:t>
            </w:r>
          </w:p>
        </w:tc>
      </w:tr>
      <w:tr w:rsidR="0012432B" w:rsidRPr="004E0F36" w14:paraId="7EC3980D" w14:textId="77777777" w:rsidTr="00136CB0">
        <w:trPr>
          <w:trHeight w:val="599"/>
          <w:jc w:val="center"/>
        </w:trPr>
        <w:tc>
          <w:tcPr>
            <w:tcW w:w="825" w:type="pct"/>
            <w:shd w:val="clear" w:color="auto" w:fill="auto"/>
          </w:tcPr>
          <w:p w14:paraId="0169483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E/15</w:t>
            </w:r>
          </w:p>
        </w:tc>
        <w:tc>
          <w:tcPr>
            <w:tcW w:w="4175" w:type="pct"/>
            <w:shd w:val="clear" w:color="auto" w:fill="auto"/>
          </w:tcPr>
          <w:p w14:paraId="3F035AE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Characteristics and test methods of optical fibres and cables, and installation guidance</w:t>
            </w:r>
          </w:p>
        </w:tc>
      </w:tr>
      <w:tr w:rsidR="0012432B" w:rsidRPr="004E0F36" w14:paraId="2A67F001" w14:textId="77777777" w:rsidTr="00136CB0">
        <w:trPr>
          <w:jc w:val="center"/>
        </w:trPr>
        <w:tc>
          <w:tcPr>
            <w:tcW w:w="825" w:type="pct"/>
            <w:shd w:val="clear" w:color="auto" w:fill="auto"/>
          </w:tcPr>
          <w:p w14:paraId="30AD163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F/15</w:t>
            </w:r>
          </w:p>
        </w:tc>
        <w:tc>
          <w:tcPr>
            <w:tcW w:w="4175" w:type="pct"/>
            <w:shd w:val="clear" w:color="auto" w:fill="auto"/>
          </w:tcPr>
          <w:p w14:paraId="7B3B3B8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Characteristics of optical components, subsystems and systems for optical transport networks</w:t>
            </w:r>
          </w:p>
        </w:tc>
      </w:tr>
      <w:tr w:rsidR="0012432B" w:rsidRPr="004E0F36" w14:paraId="4836478A" w14:textId="77777777" w:rsidTr="00136CB0">
        <w:trPr>
          <w:jc w:val="center"/>
        </w:trPr>
        <w:tc>
          <w:tcPr>
            <w:tcW w:w="825" w:type="pct"/>
            <w:shd w:val="clear" w:color="auto" w:fill="auto"/>
          </w:tcPr>
          <w:p w14:paraId="706F2C4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G/15</w:t>
            </w:r>
          </w:p>
        </w:tc>
        <w:tc>
          <w:tcPr>
            <w:tcW w:w="4175" w:type="pct"/>
            <w:shd w:val="clear" w:color="auto" w:fill="auto"/>
          </w:tcPr>
          <w:p w14:paraId="7403934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Connectivity, operation and maintenance of optical physical infrastructures</w:t>
            </w:r>
          </w:p>
        </w:tc>
      </w:tr>
      <w:tr w:rsidR="0012432B" w:rsidRPr="004E0F36" w14:paraId="5323384E" w14:textId="77777777" w:rsidTr="00136CB0">
        <w:trPr>
          <w:jc w:val="center"/>
        </w:trPr>
        <w:tc>
          <w:tcPr>
            <w:tcW w:w="825" w:type="pct"/>
            <w:shd w:val="clear" w:color="auto" w:fill="auto"/>
          </w:tcPr>
          <w:p w14:paraId="656341E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H/15</w:t>
            </w:r>
          </w:p>
        </w:tc>
        <w:tc>
          <w:tcPr>
            <w:tcW w:w="4175" w:type="pct"/>
            <w:shd w:val="clear" w:color="auto" w:fill="auto"/>
          </w:tcPr>
          <w:p w14:paraId="2BE3899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Characteristics of optical fibre submarine cable systems</w:t>
            </w:r>
          </w:p>
        </w:tc>
      </w:tr>
      <w:tr w:rsidR="0012432B" w:rsidRPr="004E0F36" w14:paraId="4E690ADB" w14:textId="77777777" w:rsidTr="00136CB0">
        <w:trPr>
          <w:jc w:val="center"/>
        </w:trPr>
        <w:tc>
          <w:tcPr>
            <w:tcW w:w="825" w:type="pct"/>
            <w:shd w:val="clear" w:color="auto" w:fill="auto"/>
          </w:tcPr>
          <w:p w14:paraId="0933F43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I/15</w:t>
            </w:r>
          </w:p>
        </w:tc>
        <w:tc>
          <w:tcPr>
            <w:tcW w:w="4175" w:type="pct"/>
            <w:shd w:val="clear" w:color="auto" w:fill="auto"/>
          </w:tcPr>
          <w:p w14:paraId="292D6AD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Interfaces, interworking, OAM, protection and equipment specifications for packet-based transport networks</w:t>
            </w:r>
          </w:p>
        </w:tc>
      </w:tr>
      <w:tr w:rsidR="0012432B" w:rsidRPr="004E0F36" w14:paraId="4C58611E" w14:textId="77777777" w:rsidTr="00136CB0">
        <w:trPr>
          <w:jc w:val="center"/>
        </w:trPr>
        <w:tc>
          <w:tcPr>
            <w:tcW w:w="825" w:type="pct"/>
            <w:shd w:val="clear" w:color="auto" w:fill="auto"/>
          </w:tcPr>
          <w:p w14:paraId="2ED24F5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J/15</w:t>
            </w:r>
          </w:p>
        </w:tc>
        <w:tc>
          <w:tcPr>
            <w:tcW w:w="4175" w:type="pct"/>
            <w:shd w:val="clear" w:color="auto" w:fill="auto"/>
          </w:tcPr>
          <w:p w14:paraId="553AD05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Signal structures, interfaces, equipment functions, protection and interworking for optical transport networks</w:t>
            </w:r>
          </w:p>
        </w:tc>
      </w:tr>
      <w:tr w:rsidR="0012432B" w:rsidRPr="00380B40" w14:paraId="029B5015" w14:textId="77777777" w:rsidTr="00136CB0">
        <w:trPr>
          <w:jc w:val="center"/>
        </w:trPr>
        <w:tc>
          <w:tcPr>
            <w:tcW w:w="825" w:type="pct"/>
            <w:shd w:val="clear" w:color="auto" w:fill="auto"/>
          </w:tcPr>
          <w:p w14:paraId="759293D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K/15</w:t>
            </w:r>
          </w:p>
        </w:tc>
        <w:tc>
          <w:tcPr>
            <w:tcW w:w="4175" w:type="pct"/>
            <w:shd w:val="clear" w:color="auto" w:fill="auto"/>
          </w:tcPr>
          <w:p w14:paraId="133F689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pPr>
            <w:r w:rsidRPr="00380B40">
              <w:t>Transport network architectures</w:t>
            </w:r>
          </w:p>
        </w:tc>
      </w:tr>
      <w:tr w:rsidR="0012432B" w:rsidRPr="004E0F36" w14:paraId="10CD3F86" w14:textId="77777777" w:rsidTr="00136CB0">
        <w:trPr>
          <w:jc w:val="center"/>
        </w:trPr>
        <w:tc>
          <w:tcPr>
            <w:tcW w:w="825" w:type="pct"/>
            <w:shd w:val="clear" w:color="auto" w:fill="auto"/>
          </w:tcPr>
          <w:p w14:paraId="1B5BDB18"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L/15</w:t>
            </w:r>
          </w:p>
        </w:tc>
        <w:tc>
          <w:tcPr>
            <w:tcW w:w="4175" w:type="pct"/>
            <w:shd w:val="clear" w:color="auto" w:fill="auto"/>
          </w:tcPr>
          <w:p w14:paraId="2DF0FAA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Network synchronization and time distribution performance</w:t>
            </w:r>
          </w:p>
        </w:tc>
      </w:tr>
      <w:tr w:rsidR="0012432B" w:rsidRPr="004E0F36" w14:paraId="0DCDE5C0" w14:textId="77777777" w:rsidTr="00136CB0">
        <w:trPr>
          <w:jc w:val="center"/>
        </w:trPr>
        <w:tc>
          <w:tcPr>
            <w:tcW w:w="825" w:type="pct"/>
            <w:shd w:val="clear" w:color="auto" w:fill="auto"/>
          </w:tcPr>
          <w:p w14:paraId="2D0AC38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M/15</w:t>
            </w:r>
          </w:p>
        </w:tc>
        <w:tc>
          <w:tcPr>
            <w:tcW w:w="4175" w:type="pct"/>
            <w:shd w:val="clear" w:color="auto" w:fill="auto"/>
          </w:tcPr>
          <w:p w14:paraId="10FB252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Management and control of transport systems and equipment</w:t>
            </w:r>
          </w:p>
        </w:tc>
      </w:tr>
    </w:tbl>
    <w:p w14:paraId="2EF3A548" w14:textId="77777777" w:rsidR="0012432B" w:rsidRPr="00380B40" w:rsidRDefault="0012432B" w:rsidP="00AF6CDF">
      <w:pPr>
        <w:rPr>
          <w:lang w:val="en-GB"/>
        </w:rPr>
      </w:pPr>
    </w:p>
    <w:p w14:paraId="54188D47" w14:textId="77777777" w:rsidR="00AF6CDF" w:rsidRPr="00380B40" w:rsidRDefault="00AF6CDF" w:rsidP="00AF6CDF">
      <w:pPr>
        <w:rPr>
          <w:lang w:val="en-GB"/>
        </w:rPr>
      </w:pPr>
    </w:p>
    <w:p w14:paraId="4CF0B9A1" w14:textId="77777777" w:rsidR="00AF6CDF" w:rsidRPr="00380B40" w:rsidRDefault="00AF6CDF" w:rsidP="00AF6CDF">
      <w:pPr>
        <w:rPr>
          <w:lang w:val="en-GB"/>
        </w:rPr>
      </w:pPr>
    </w:p>
    <w:p w14:paraId="4A0E315A" w14:textId="77777777" w:rsidR="00AF6CDF" w:rsidRPr="00380B40" w:rsidRDefault="00AF6CDF" w:rsidP="00AF6CDF">
      <w:pPr>
        <w:rPr>
          <w:lang w:val="en-GB"/>
        </w:rPr>
      </w:pPr>
    </w:p>
    <w:p w14:paraId="1D8817B3" w14:textId="77777777" w:rsidR="00AF6CDF" w:rsidRPr="00380B40" w:rsidRDefault="00AF6CDF" w:rsidP="00AF6CDF">
      <w:pPr>
        <w:rPr>
          <w:lang w:val="en-GB"/>
        </w:rPr>
      </w:pPr>
    </w:p>
    <w:p w14:paraId="0901E4E1" w14:textId="77777777" w:rsidR="00AF6CDF" w:rsidRPr="00380B40" w:rsidRDefault="00AF6CDF" w:rsidP="00AF6CDF">
      <w:pPr>
        <w:rPr>
          <w:lang w:val="en-GB"/>
        </w:rPr>
      </w:pPr>
    </w:p>
    <w:p w14:paraId="28B63DB8" w14:textId="77777777" w:rsidR="00AF6CDF" w:rsidRPr="00380B40" w:rsidRDefault="00AF6CDF" w:rsidP="00AF6CDF">
      <w:pPr>
        <w:rPr>
          <w:lang w:val="en-GB"/>
        </w:rPr>
      </w:pPr>
    </w:p>
    <w:p w14:paraId="726A753C" w14:textId="77777777" w:rsidR="00AF6CDF" w:rsidRPr="00380B40" w:rsidRDefault="00AF6CDF" w:rsidP="00AF6CDF">
      <w:pPr>
        <w:rPr>
          <w:lang w:val="en-GB"/>
        </w:rPr>
      </w:pPr>
    </w:p>
    <w:p w14:paraId="7920843E" w14:textId="77777777" w:rsidR="00AF6CDF" w:rsidRPr="00380B40" w:rsidRDefault="00AF6CDF" w:rsidP="00AF6CDF">
      <w:pPr>
        <w:rPr>
          <w:lang w:val="en-GB"/>
        </w:rPr>
      </w:pPr>
    </w:p>
    <w:p w14:paraId="6F7E2BB1" w14:textId="77777777" w:rsidR="0012432B" w:rsidRPr="00380B40" w:rsidRDefault="0012432B" w:rsidP="00AF6CDF">
      <w:pPr>
        <w:rPr>
          <w:lang w:val="en-GB"/>
        </w:rPr>
      </w:pPr>
      <w:r w:rsidRPr="00380B40">
        <w:rPr>
          <w:lang w:val="en-GB"/>
        </w:rPr>
        <w:br w:type="page"/>
      </w:r>
    </w:p>
    <w:p w14:paraId="565F182A" w14:textId="77777777" w:rsidR="0012432B" w:rsidRPr="00380B40" w:rsidRDefault="0012432B" w:rsidP="0012432B">
      <w:pPr>
        <w:keepNext/>
        <w:keepLines/>
        <w:tabs>
          <w:tab w:val="left" w:pos="567"/>
          <w:tab w:val="left" w:pos="1134"/>
          <w:tab w:val="left" w:pos="1701"/>
          <w:tab w:val="left" w:pos="1871"/>
          <w:tab w:val="left" w:pos="2268"/>
          <w:tab w:val="left" w:pos="2835"/>
          <w:tab w:val="left" w:pos="3402"/>
          <w:tab w:val="left" w:pos="3969"/>
          <w:tab w:val="left" w:pos="4536"/>
          <w:tab w:val="left" w:pos="5103"/>
          <w:tab w:val="left" w:pos="5670"/>
          <w:tab w:val="left" w:pos="6244"/>
        </w:tabs>
        <w:spacing w:before="280" w:after="120"/>
        <w:ind w:left="1134" w:hanging="1134"/>
        <w:outlineLvl w:val="0"/>
        <w:rPr>
          <w:b/>
          <w:sz w:val="28"/>
        </w:rPr>
      </w:pPr>
      <w:bookmarkStart w:id="2431" w:name="_Toc111637167"/>
      <w:r w:rsidRPr="00380B40">
        <w:rPr>
          <w:b/>
          <w:sz w:val="28"/>
        </w:rPr>
        <w:t>9</w:t>
      </w:r>
      <w:r w:rsidRPr="00380B40">
        <w:rPr>
          <w:b/>
          <w:sz w:val="28"/>
        </w:rPr>
        <w:tab/>
        <w:t>Study Group 16</w:t>
      </w:r>
      <w:bookmarkEnd w:id="24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8215"/>
      </w:tblGrid>
      <w:tr w:rsidR="0012432B" w:rsidRPr="00380B40" w14:paraId="73DF64EA" w14:textId="77777777" w:rsidTr="00136CB0">
        <w:trPr>
          <w:jc w:val="center"/>
        </w:trPr>
        <w:tc>
          <w:tcPr>
            <w:tcW w:w="1413" w:type="dxa"/>
            <w:shd w:val="clear" w:color="auto" w:fill="auto"/>
            <w:vAlign w:val="center"/>
          </w:tcPr>
          <w:p w14:paraId="192EEEA2" w14:textId="77777777" w:rsidR="0012432B" w:rsidRPr="00380B40" w:rsidRDefault="0012432B" w:rsidP="004E4CA9">
            <w:pPr>
              <w:pStyle w:val="Tableheadwhitecentred"/>
              <w:rPr>
                <w:b w:val="0"/>
              </w:rPr>
            </w:pPr>
            <w:r w:rsidRPr="00380B40">
              <w:t>Question number</w:t>
            </w:r>
          </w:p>
        </w:tc>
        <w:tc>
          <w:tcPr>
            <w:tcW w:w="8215" w:type="dxa"/>
            <w:shd w:val="clear" w:color="auto" w:fill="auto"/>
            <w:vAlign w:val="center"/>
          </w:tcPr>
          <w:p w14:paraId="38857B7E" w14:textId="77777777" w:rsidR="0012432B" w:rsidRPr="00380B40" w:rsidRDefault="0012432B" w:rsidP="004E4CA9">
            <w:pPr>
              <w:pStyle w:val="Tableheadwhitecentred"/>
              <w:rPr>
                <w:b w:val="0"/>
              </w:rPr>
            </w:pPr>
            <w:r w:rsidRPr="00380B40">
              <w:t>Question title</w:t>
            </w:r>
          </w:p>
        </w:tc>
      </w:tr>
      <w:tr w:rsidR="0012432B" w:rsidRPr="00EF7FD5" w14:paraId="6599E8FF" w14:textId="77777777" w:rsidTr="00136CB0">
        <w:trPr>
          <w:jc w:val="center"/>
        </w:trPr>
        <w:tc>
          <w:tcPr>
            <w:tcW w:w="1413" w:type="dxa"/>
            <w:shd w:val="clear" w:color="auto" w:fill="auto"/>
          </w:tcPr>
          <w:p w14:paraId="5C2F6489"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A/16</w:t>
            </w:r>
          </w:p>
        </w:tc>
        <w:tc>
          <w:tcPr>
            <w:tcW w:w="8215" w:type="dxa"/>
            <w:shd w:val="clear" w:color="auto" w:fill="auto"/>
          </w:tcPr>
          <w:p w14:paraId="2130BB9B" w14:textId="77777777" w:rsidR="0012432B" w:rsidRPr="00C777D4"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C777D4">
              <w:rPr>
                <w:lang w:val="en-GB"/>
              </w:rPr>
              <w:t>Multimedia and digital services coordination</w:t>
            </w:r>
          </w:p>
        </w:tc>
      </w:tr>
      <w:tr w:rsidR="0012432B" w:rsidRPr="00380B40" w14:paraId="05EDA495" w14:textId="77777777" w:rsidTr="00136CB0">
        <w:trPr>
          <w:jc w:val="center"/>
        </w:trPr>
        <w:tc>
          <w:tcPr>
            <w:tcW w:w="1413" w:type="dxa"/>
            <w:shd w:val="clear" w:color="auto" w:fill="auto"/>
          </w:tcPr>
          <w:p w14:paraId="5C8C679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B/16</w:t>
            </w:r>
          </w:p>
        </w:tc>
        <w:tc>
          <w:tcPr>
            <w:tcW w:w="8215" w:type="dxa"/>
            <w:shd w:val="clear" w:color="auto" w:fill="auto"/>
          </w:tcPr>
          <w:p w14:paraId="116FB7D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pPr>
            <w:r w:rsidRPr="00380B40">
              <w:t>Artificial intelligence-enabled multimedia applications</w:t>
            </w:r>
          </w:p>
        </w:tc>
      </w:tr>
      <w:tr w:rsidR="0012432B" w:rsidRPr="004E0F36" w14:paraId="59E0410D" w14:textId="77777777" w:rsidTr="00136CB0">
        <w:trPr>
          <w:jc w:val="center"/>
        </w:trPr>
        <w:tc>
          <w:tcPr>
            <w:tcW w:w="1413" w:type="dxa"/>
            <w:shd w:val="clear" w:color="auto" w:fill="auto"/>
          </w:tcPr>
          <w:p w14:paraId="08CF8EF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C/16</w:t>
            </w:r>
          </w:p>
        </w:tc>
        <w:tc>
          <w:tcPr>
            <w:tcW w:w="8215" w:type="dxa"/>
            <w:shd w:val="clear" w:color="auto" w:fill="auto"/>
          </w:tcPr>
          <w:p w14:paraId="1DAB90D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Visual, audio and signal coding</w:t>
            </w:r>
          </w:p>
        </w:tc>
      </w:tr>
      <w:tr w:rsidR="0012432B" w:rsidRPr="004E0F36" w14:paraId="4EACAC50" w14:textId="77777777" w:rsidTr="00136CB0">
        <w:trPr>
          <w:jc w:val="center"/>
        </w:trPr>
        <w:tc>
          <w:tcPr>
            <w:tcW w:w="1413" w:type="dxa"/>
            <w:shd w:val="clear" w:color="auto" w:fill="auto"/>
          </w:tcPr>
          <w:p w14:paraId="0B2C6B5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D/16</w:t>
            </w:r>
          </w:p>
        </w:tc>
        <w:tc>
          <w:tcPr>
            <w:tcW w:w="8215" w:type="dxa"/>
            <w:shd w:val="clear" w:color="auto" w:fill="auto"/>
          </w:tcPr>
          <w:p w14:paraId="421F87E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Immersive live experience systems and services</w:t>
            </w:r>
          </w:p>
        </w:tc>
      </w:tr>
      <w:tr w:rsidR="0012432B" w:rsidRPr="004E0F36" w14:paraId="6C75B512" w14:textId="77777777" w:rsidTr="00136CB0">
        <w:trPr>
          <w:jc w:val="center"/>
        </w:trPr>
        <w:tc>
          <w:tcPr>
            <w:tcW w:w="1413" w:type="dxa"/>
            <w:shd w:val="clear" w:color="auto" w:fill="auto"/>
          </w:tcPr>
          <w:p w14:paraId="515B504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E/16</w:t>
            </w:r>
          </w:p>
        </w:tc>
        <w:tc>
          <w:tcPr>
            <w:tcW w:w="8215" w:type="dxa"/>
            <w:shd w:val="clear" w:color="auto" w:fill="auto"/>
          </w:tcPr>
          <w:p w14:paraId="37239E1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Multimedia systems, terminals, gateways and data conferencing</w:t>
            </w:r>
          </w:p>
        </w:tc>
      </w:tr>
      <w:tr w:rsidR="0012432B" w:rsidRPr="004E0F36" w14:paraId="59D31314" w14:textId="77777777" w:rsidTr="00136CB0">
        <w:trPr>
          <w:jc w:val="center"/>
        </w:trPr>
        <w:tc>
          <w:tcPr>
            <w:tcW w:w="1413" w:type="dxa"/>
            <w:shd w:val="clear" w:color="auto" w:fill="auto"/>
          </w:tcPr>
          <w:p w14:paraId="7AB05B0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F/16</w:t>
            </w:r>
          </w:p>
        </w:tc>
        <w:tc>
          <w:tcPr>
            <w:tcW w:w="8215" w:type="dxa"/>
            <w:shd w:val="clear" w:color="auto" w:fill="auto"/>
          </w:tcPr>
          <w:p w14:paraId="5AA07C7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Intelligent visual systems and services</w:t>
            </w:r>
          </w:p>
        </w:tc>
      </w:tr>
      <w:tr w:rsidR="0012432B" w:rsidRPr="004E0F36" w14:paraId="26F58C5A" w14:textId="77777777" w:rsidTr="00136CB0">
        <w:trPr>
          <w:jc w:val="center"/>
        </w:trPr>
        <w:tc>
          <w:tcPr>
            <w:tcW w:w="1413" w:type="dxa"/>
            <w:shd w:val="clear" w:color="auto" w:fill="auto"/>
          </w:tcPr>
          <w:p w14:paraId="118FD52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G/16</w:t>
            </w:r>
          </w:p>
        </w:tc>
        <w:tc>
          <w:tcPr>
            <w:tcW w:w="8215" w:type="dxa"/>
            <w:shd w:val="clear" w:color="auto" w:fill="auto"/>
          </w:tcPr>
          <w:p w14:paraId="55F15924"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lang w:val="en-GB"/>
              </w:rPr>
            </w:pPr>
            <w:r w:rsidRPr="00380B40">
              <w:rPr>
                <w:lang w:val="en-GB"/>
              </w:rPr>
              <w:t>Content delivery, multimedia application platforms and end systems for IP-based television services including digital signage</w:t>
            </w:r>
            <w:r w:rsidRPr="00380B40">
              <w:rPr>
                <w:lang w:val="en-GB"/>
              </w:rPr>
              <w:br/>
              <w:t>Content delivery, multimedia application platforms and end systems for IP-based television services including digital signage</w:t>
            </w:r>
          </w:p>
        </w:tc>
      </w:tr>
      <w:tr w:rsidR="0012432B" w:rsidRPr="004E0F36" w14:paraId="161E12B7" w14:textId="77777777" w:rsidTr="00136CB0">
        <w:trPr>
          <w:jc w:val="center"/>
        </w:trPr>
        <w:tc>
          <w:tcPr>
            <w:tcW w:w="1413" w:type="dxa"/>
            <w:shd w:val="clear" w:color="auto" w:fill="auto"/>
          </w:tcPr>
          <w:p w14:paraId="35161D1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H/16</w:t>
            </w:r>
          </w:p>
        </w:tc>
        <w:tc>
          <w:tcPr>
            <w:tcW w:w="8215" w:type="dxa"/>
            <w:shd w:val="clear" w:color="auto" w:fill="auto"/>
          </w:tcPr>
          <w:p w14:paraId="2C67686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Multimedia framework, applications and services</w:t>
            </w:r>
          </w:p>
        </w:tc>
      </w:tr>
      <w:tr w:rsidR="0012432B" w:rsidRPr="004E0F36" w14:paraId="0FE49A99" w14:textId="77777777" w:rsidTr="00136CB0">
        <w:trPr>
          <w:jc w:val="center"/>
        </w:trPr>
        <w:tc>
          <w:tcPr>
            <w:tcW w:w="1413" w:type="dxa"/>
            <w:shd w:val="clear" w:color="auto" w:fill="auto"/>
          </w:tcPr>
          <w:p w14:paraId="1AC0A64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I/16</w:t>
            </w:r>
          </w:p>
        </w:tc>
        <w:tc>
          <w:tcPr>
            <w:tcW w:w="8215" w:type="dxa"/>
            <w:shd w:val="clear" w:color="auto" w:fill="auto"/>
          </w:tcPr>
          <w:p w14:paraId="6BB8140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Multimedia aspects of distributed ledger technologies and e-services</w:t>
            </w:r>
          </w:p>
        </w:tc>
      </w:tr>
      <w:tr w:rsidR="0012432B" w:rsidRPr="004E0F36" w14:paraId="7C7C6A67" w14:textId="77777777" w:rsidTr="00136CB0">
        <w:trPr>
          <w:jc w:val="center"/>
        </w:trPr>
        <w:tc>
          <w:tcPr>
            <w:tcW w:w="1413" w:type="dxa"/>
            <w:shd w:val="clear" w:color="auto" w:fill="auto"/>
          </w:tcPr>
          <w:p w14:paraId="500B9B7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J/16</w:t>
            </w:r>
          </w:p>
        </w:tc>
        <w:tc>
          <w:tcPr>
            <w:tcW w:w="8215" w:type="dxa"/>
            <w:shd w:val="clear" w:color="auto" w:fill="auto"/>
          </w:tcPr>
          <w:p w14:paraId="685769A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Digital culture-related systems and services</w:t>
            </w:r>
          </w:p>
        </w:tc>
      </w:tr>
      <w:tr w:rsidR="0012432B" w:rsidRPr="004E0F36" w14:paraId="68016369" w14:textId="77777777" w:rsidTr="00136CB0">
        <w:trPr>
          <w:jc w:val="center"/>
        </w:trPr>
        <w:tc>
          <w:tcPr>
            <w:tcW w:w="1413" w:type="dxa"/>
            <w:shd w:val="clear" w:color="auto" w:fill="auto"/>
          </w:tcPr>
          <w:p w14:paraId="4C0AE99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K/16</w:t>
            </w:r>
          </w:p>
        </w:tc>
        <w:tc>
          <w:tcPr>
            <w:tcW w:w="8215" w:type="dxa"/>
            <w:shd w:val="clear" w:color="auto" w:fill="auto"/>
          </w:tcPr>
          <w:p w14:paraId="59B0A04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Human factors for intelligent user interfaces and services</w:t>
            </w:r>
          </w:p>
        </w:tc>
      </w:tr>
      <w:tr w:rsidR="0012432B" w:rsidRPr="004E0F36" w14:paraId="23427237" w14:textId="77777777" w:rsidTr="00136CB0">
        <w:trPr>
          <w:jc w:val="center"/>
        </w:trPr>
        <w:tc>
          <w:tcPr>
            <w:tcW w:w="1413" w:type="dxa"/>
            <w:shd w:val="clear" w:color="auto" w:fill="auto"/>
          </w:tcPr>
          <w:p w14:paraId="184FA60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L/16</w:t>
            </w:r>
          </w:p>
        </w:tc>
        <w:tc>
          <w:tcPr>
            <w:tcW w:w="8215" w:type="dxa"/>
            <w:shd w:val="clear" w:color="auto" w:fill="auto"/>
          </w:tcPr>
          <w:p w14:paraId="42A0860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Accessibility to multimedia systems and services</w:t>
            </w:r>
          </w:p>
        </w:tc>
      </w:tr>
      <w:tr w:rsidR="0012432B" w:rsidRPr="004E0F36" w14:paraId="0F3DD50E" w14:textId="77777777" w:rsidTr="00136CB0">
        <w:trPr>
          <w:jc w:val="center"/>
        </w:trPr>
        <w:tc>
          <w:tcPr>
            <w:tcW w:w="1413" w:type="dxa"/>
            <w:shd w:val="clear" w:color="auto" w:fill="auto"/>
          </w:tcPr>
          <w:p w14:paraId="4724803F"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M/16</w:t>
            </w:r>
          </w:p>
        </w:tc>
        <w:tc>
          <w:tcPr>
            <w:tcW w:w="8215" w:type="dxa"/>
            <w:shd w:val="clear" w:color="auto" w:fill="auto"/>
          </w:tcPr>
          <w:p w14:paraId="5E58C9AD"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Vehicular multimedia communications, systems, networks, and applications</w:t>
            </w:r>
          </w:p>
        </w:tc>
      </w:tr>
      <w:tr w:rsidR="0012432B" w:rsidRPr="004E0F36" w14:paraId="27D6DF63" w14:textId="77777777" w:rsidTr="00136CB0">
        <w:trPr>
          <w:jc w:val="center"/>
        </w:trPr>
        <w:tc>
          <w:tcPr>
            <w:tcW w:w="1413" w:type="dxa"/>
            <w:shd w:val="clear" w:color="auto" w:fill="auto"/>
          </w:tcPr>
          <w:p w14:paraId="5223407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N/16</w:t>
            </w:r>
          </w:p>
        </w:tc>
        <w:tc>
          <w:tcPr>
            <w:tcW w:w="8215" w:type="dxa"/>
            <w:shd w:val="clear" w:color="auto" w:fill="auto"/>
          </w:tcPr>
          <w:p w14:paraId="2D6C1E6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Multimedia framework for digital health applications</w:t>
            </w:r>
          </w:p>
        </w:tc>
      </w:tr>
    </w:tbl>
    <w:p w14:paraId="79449282" w14:textId="77777777" w:rsidR="00607108" w:rsidRPr="00C777D4" w:rsidRDefault="00607108" w:rsidP="00607108">
      <w:pPr>
        <w:rPr>
          <w:lang w:val="en-GB"/>
        </w:rPr>
      </w:pPr>
    </w:p>
    <w:p w14:paraId="56B5723F" w14:textId="77777777" w:rsidR="0012432B" w:rsidRPr="00380B40" w:rsidRDefault="0012432B" w:rsidP="0012432B">
      <w:pPr>
        <w:keepNext/>
        <w:keepLines/>
        <w:tabs>
          <w:tab w:val="left" w:pos="567"/>
          <w:tab w:val="left" w:pos="1134"/>
          <w:tab w:val="left" w:pos="1701"/>
          <w:tab w:val="left" w:pos="1871"/>
          <w:tab w:val="left" w:pos="2268"/>
          <w:tab w:val="left" w:pos="2835"/>
          <w:tab w:val="left" w:pos="3402"/>
          <w:tab w:val="left" w:pos="3969"/>
          <w:tab w:val="left" w:pos="4536"/>
          <w:tab w:val="left" w:pos="5103"/>
          <w:tab w:val="left" w:pos="5670"/>
          <w:tab w:val="left" w:pos="6244"/>
        </w:tabs>
        <w:spacing w:before="280" w:after="120"/>
        <w:ind w:left="1134" w:hanging="1134"/>
        <w:outlineLvl w:val="0"/>
        <w:rPr>
          <w:b/>
          <w:sz w:val="28"/>
        </w:rPr>
      </w:pPr>
      <w:bookmarkStart w:id="2432" w:name="_Toc111637168"/>
      <w:r w:rsidRPr="00380B40">
        <w:rPr>
          <w:b/>
          <w:sz w:val="28"/>
        </w:rPr>
        <w:t>10</w:t>
      </w:r>
      <w:r w:rsidRPr="00380B40">
        <w:rPr>
          <w:b/>
          <w:sz w:val="28"/>
        </w:rPr>
        <w:tab/>
        <w:t>Study Group 17</w:t>
      </w:r>
      <w:bookmarkEnd w:id="2432"/>
    </w:p>
    <w:tbl>
      <w:tblPr>
        <w:tblStyle w:val="TableGrid3"/>
        <w:tblW w:w="5000" w:type="pct"/>
        <w:jc w:val="center"/>
        <w:tblLook w:val="04A0" w:firstRow="1" w:lastRow="0" w:firstColumn="1" w:lastColumn="0" w:noHBand="0" w:noVBand="1"/>
      </w:tblPr>
      <w:tblGrid>
        <w:gridCol w:w="1413"/>
        <w:gridCol w:w="8215"/>
      </w:tblGrid>
      <w:tr w:rsidR="0012432B" w:rsidRPr="00380B40" w14:paraId="1B96FCBC" w14:textId="77777777" w:rsidTr="00136CB0">
        <w:trPr>
          <w:tblHeader/>
          <w:jc w:val="center"/>
        </w:trPr>
        <w:tc>
          <w:tcPr>
            <w:tcW w:w="1413" w:type="dxa"/>
            <w:shd w:val="clear" w:color="auto" w:fill="auto"/>
            <w:hideMark/>
          </w:tcPr>
          <w:p w14:paraId="09ECBFD2" w14:textId="77777777" w:rsidR="0012432B" w:rsidRPr="00380B40" w:rsidRDefault="0012432B" w:rsidP="004E4CA9">
            <w:pPr>
              <w:pStyle w:val="Tableheadwhitecentred"/>
              <w:rPr>
                <w:b w:val="0"/>
              </w:rPr>
            </w:pPr>
            <w:r w:rsidRPr="00380B40">
              <w:t>Question number</w:t>
            </w:r>
          </w:p>
        </w:tc>
        <w:tc>
          <w:tcPr>
            <w:tcW w:w="8215" w:type="dxa"/>
            <w:shd w:val="clear" w:color="auto" w:fill="auto"/>
            <w:hideMark/>
          </w:tcPr>
          <w:p w14:paraId="5A87821A" w14:textId="77777777" w:rsidR="0012432B" w:rsidRPr="00380B40" w:rsidRDefault="0012432B" w:rsidP="004E4CA9">
            <w:pPr>
              <w:pStyle w:val="Tableheadwhitecentred"/>
              <w:rPr>
                <w:b w:val="0"/>
              </w:rPr>
            </w:pPr>
            <w:r w:rsidRPr="00380B40">
              <w:t>Question title</w:t>
            </w:r>
          </w:p>
        </w:tc>
      </w:tr>
      <w:tr w:rsidR="0012432B" w:rsidRPr="004E0F36" w14:paraId="4DC28B5A" w14:textId="77777777" w:rsidTr="00136CB0">
        <w:trPr>
          <w:jc w:val="center"/>
        </w:trPr>
        <w:tc>
          <w:tcPr>
            <w:tcW w:w="1413" w:type="dxa"/>
            <w:shd w:val="clear" w:color="auto" w:fill="auto"/>
            <w:hideMark/>
          </w:tcPr>
          <w:p w14:paraId="0A6A713F"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380B40">
              <w:t>A/17</w:t>
            </w:r>
          </w:p>
        </w:tc>
        <w:tc>
          <w:tcPr>
            <w:tcW w:w="8215" w:type="dxa"/>
            <w:shd w:val="clear" w:color="auto" w:fill="auto"/>
            <w:hideMark/>
          </w:tcPr>
          <w:p w14:paraId="30873329"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n-GB"/>
              </w:rPr>
            </w:pPr>
            <w:r w:rsidRPr="00380B40">
              <w:rPr>
                <w:lang w:val="en-GB"/>
              </w:rPr>
              <w:t>Security standardization strategy and coordination</w:t>
            </w:r>
          </w:p>
        </w:tc>
      </w:tr>
      <w:tr w:rsidR="0012432B" w:rsidRPr="004E0F36" w14:paraId="54C4377B" w14:textId="77777777" w:rsidTr="00136CB0">
        <w:trPr>
          <w:jc w:val="center"/>
        </w:trPr>
        <w:tc>
          <w:tcPr>
            <w:tcW w:w="1413" w:type="dxa"/>
            <w:shd w:val="clear" w:color="auto" w:fill="auto"/>
            <w:hideMark/>
          </w:tcPr>
          <w:p w14:paraId="3B68E545"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380B40">
              <w:t>B/17</w:t>
            </w:r>
          </w:p>
        </w:tc>
        <w:tc>
          <w:tcPr>
            <w:tcW w:w="8215" w:type="dxa"/>
            <w:shd w:val="clear" w:color="auto" w:fill="auto"/>
            <w:hideMark/>
          </w:tcPr>
          <w:p w14:paraId="42305F48"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n-GB"/>
              </w:rPr>
            </w:pPr>
            <w:r w:rsidRPr="00380B40">
              <w:rPr>
                <w:lang w:val="en-GB"/>
              </w:rPr>
              <w:t>Security architecture and network security</w:t>
            </w:r>
          </w:p>
        </w:tc>
      </w:tr>
      <w:tr w:rsidR="0012432B" w:rsidRPr="004E0F36" w14:paraId="2A3B2331" w14:textId="77777777" w:rsidTr="00136CB0">
        <w:trPr>
          <w:jc w:val="center"/>
        </w:trPr>
        <w:tc>
          <w:tcPr>
            <w:tcW w:w="1413" w:type="dxa"/>
            <w:shd w:val="clear" w:color="auto" w:fill="auto"/>
          </w:tcPr>
          <w:p w14:paraId="069139DC"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380B40">
              <w:t>C/17</w:t>
            </w:r>
          </w:p>
        </w:tc>
        <w:tc>
          <w:tcPr>
            <w:tcW w:w="8215" w:type="dxa"/>
            <w:shd w:val="clear" w:color="auto" w:fill="auto"/>
          </w:tcPr>
          <w:p w14:paraId="0C656E0A"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n-GB"/>
              </w:rPr>
            </w:pPr>
            <w:r w:rsidRPr="00380B40">
              <w:rPr>
                <w:lang w:val="en-GB"/>
              </w:rPr>
              <w:t>Telecommunication information security management and security services</w:t>
            </w:r>
          </w:p>
        </w:tc>
      </w:tr>
      <w:tr w:rsidR="0012432B" w:rsidRPr="00380B40" w14:paraId="0EFA2922" w14:textId="77777777" w:rsidTr="00136CB0">
        <w:trPr>
          <w:trHeight w:val="454"/>
          <w:jc w:val="center"/>
        </w:trPr>
        <w:tc>
          <w:tcPr>
            <w:tcW w:w="1413" w:type="dxa"/>
            <w:shd w:val="clear" w:color="auto" w:fill="auto"/>
            <w:hideMark/>
          </w:tcPr>
          <w:p w14:paraId="39C1D310"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380B40">
              <w:t>D/17</w:t>
            </w:r>
          </w:p>
        </w:tc>
        <w:tc>
          <w:tcPr>
            <w:tcW w:w="8215" w:type="dxa"/>
            <w:shd w:val="clear" w:color="auto" w:fill="auto"/>
            <w:hideMark/>
          </w:tcPr>
          <w:p w14:paraId="5BCAD27F"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 w:rsidRPr="00380B40">
              <w:t>Cybersecurity and countering spam</w:t>
            </w:r>
          </w:p>
        </w:tc>
      </w:tr>
      <w:tr w:rsidR="0012432B" w:rsidRPr="004E0F36" w14:paraId="0D257FC8" w14:textId="77777777" w:rsidTr="00136CB0">
        <w:trPr>
          <w:jc w:val="center"/>
        </w:trPr>
        <w:tc>
          <w:tcPr>
            <w:tcW w:w="1413" w:type="dxa"/>
            <w:shd w:val="clear" w:color="auto" w:fill="auto"/>
            <w:hideMark/>
          </w:tcPr>
          <w:p w14:paraId="2E08AC68"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380B40">
              <w:t>E/17</w:t>
            </w:r>
          </w:p>
        </w:tc>
        <w:tc>
          <w:tcPr>
            <w:tcW w:w="8215" w:type="dxa"/>
            <w:shd w:val="clear" w:color="auto" w:fill="auto"/>
            <w:hideMark/>
          </w:tcPr>
          <w:p w14:paraId="1DCAEE52"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n-GB"/>
              </w:rPr>
            </w:pPr>
            <w:r w:rsidRPr="00380B40">
              <w:rPr>
                <w:lang w:val="en-GB"/>
              </w:rPr>
              <w:t>Security for telecommunication services and Internet of Things (IoT)</w:t>
            </w:r>
          </w:p>
        </w:tc>
      </w:tr>
      <w:tr w:rsidR="0012432B" w:rsidRPr="00380B40" w14:paraId="31C9EDCB" w14:textId="77777777" w:rsidTr="00136CB0">
        <w:trPr>
          <w:jc w:val="center"/>
        </w:trPr>
        <w:tc>
          <w:tcPr>
            <w:tcW w:w="1413" w:type="dxa"/>
            <w:shd w:val="clear" w:color="auto" w:fill="auto"/>
            <w:hideMark/>
          </w:tcPr>
          <w:p w14:paraId="72A3D3C6"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380B40">
              <w:t>F/17</w:t>
            </w:r>
          </w:p>
        </w:tc>
        <w:tc>
          <w:tcPr>
            <w:tcW w:w="8215" w:type="dxa"/>
            <w:shd w:val="clear" w:color="auto" w:fill="auto"/>
            <w:hideMark/>
          </w:tcPr>
          <w:p w14:paraId="12005502"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 w:rsidRPr="00380B40">
              <w:t>Secure application services</w:t>
            </w:r>
          </w:p>
        </w:tc>
      </w:tr>
      <w:tr w:rsidR="0012432B" w:rsidRPr="004E0F36" w14:paraId="3EFFE3AE" w14:textId="77777777" w:rsidTr="00136CB0">
        <w:trPr>
          <w:jc w:val="center"/>
        </w:trPr>
        <w:tc>
          <w:tcPr>
            <w:tcW w:w="1413" w:type="dxa"/>
            <w:shd w:val="clear" w:color="auto" w:fill="auto"/>
            <w:hideMark/>
          </w:tcPr>
          <w:p w14:paraId="2AB443D6"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380B40">
              <w:t>G/17</w:t>
            </w:r>
          </w:p>
        </w:tc>
        <w:tc>
          <w:tcPr>
            <w:tcW w:w="8215" w:type="dxa"/>
            <w:shd w:val="clear" w:color="auto" w:fill="auto"/>
            <w:hideMark/>
          </w:tcPr>
          <w:p w14:paraId="609B4055"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n-GB"/>
              </w:rPr>
            </w:pPr>
            <w:r w:rsidRPr="00380B40">
              <w:rPr>
                <w:lang w:val="en-GB"/>
              </w:rPr>
              <w:t>Cloud computing and big data infrastructure security</w:t>
            </w:r>
          </w:p>
        </w:tc>
      </w:tr>
      <w:tr w:rsidR="0012432B" w:rsidRPr="004E0F36" w14:paraId="4526606C" w14:textId="77777777" w:rsidTr="00136CB0">
        <w:trPr>
          <w:trHeight w:val="510"/>
          <w:jc w:val="center"/>
        </w:trPr>
        <w:tc>
          <w:tcPr>
            <w:tcW w:w="1413" w:type="dxa"/>
            <w:shd w:val="clear" w:color="auto" w:fill="auto"/>
          </w:tcPr>
          <w:p w14:paraId="79CE6C24"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380B40">
              <w:t>H/17</w:t>
            </w:r>
          </w:p>
        </w:tc>
        <w:tc>
          <w:tcPr>
            <w:tcW w:w="8215" w:type="dxa"/>
            <w:shd w:val="clear" w:color="auto" w:fill="auto"/>
          </w:tcPr>
          <w:p w14:paraId="7F178A6C"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n-GB"/>
              </w:rPr>
            </w:pPr>
            <w:r w:rsidRPr="00380B40">
              <w:rPr>
                <w:lang w:val="en-GB"/>
              </w:rPr>
              <w:t>Identity management and telebiometrics architecture and mechanisms</w:t>
            </w:r>
          </w:p>
        </w:tc>
      </w:tr>
      <w:tr w:rsidR="0012432B" w:rsidRPr="004E0F36" w14:paraId="00C16563" w14:textId="77777777" w:rsidTr="00136CB0">
        <w:trPr>
          <w:trHeight w:val="680"/>
          <w:jc w:val="center"/>
        </w:trPr>
        <w:tc>
          <w:tcPr>
            <w:tcW w:w="1413" w:type="dxa"/>
            <w:shd w:val="clear" w:color="auto" w:fill="auto"/>
            <w:hideMark/>
          </w:tcPr>
          <w:p w14:paraId="6C4DED91"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380B40">
              <w:t>I/17</w:t>
            </w:r>
          </w:p>
        </w:tc>
        <w:tc>
          <w:tcPr>
            <w:tcW w:w="8215" w:type="dxa"/>
            <w:shd w:val="clear" w:color="auto" w:fill="auto"/>
            <w:hideMark/>
          </w:tcPr>
          <w:p w14:paraId="049FC7D2"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n-GB"/>
              </w:rPr>
            </w:pPr>
            <w:r w:rsidRPr="00380B40">
              <w:rPr>
                <w:lang w:val="en-GB"/>
              </w:rPr>
              <w:t>Generic technologies (such as Directory, PKI, formal languages, object identifiers) to support secure applications</w:t>
            </w:r>
          </w:p>
        </w:tc>
      </w:tr>
      <w:tr w:rsidR="0012432B" w:rsidRPr="004E0F36" w14:paraId="152109E4" w14:textId="77777777" w:rsidTr="00136CB0">
        <w:trPr>
          <w:jc w:val="center"/>
        </w:trPr>
        <w:tc>
          <w:tcPr>
            <w:tcW w:w="1413" w:type="dxa"/>
            <w:shd w:val="clear" w:color="auto" w:fill="auto"/>
            <w:hideMark/>
          </w:tcPr>
          <w:p w14:paraId="165B2CE2"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380B40">
              <w:t>J/17</w:t>
            </w:r>
          </w:p>
        </w:tc>
        <w:tc>
          <w:tcPr>
            <w:tcW w:w="8215" w:type="dxa"/>
            <w:shd w:val="clear" w:color="auto" w:fill="auto"/>
            <w:hideMark/>
          </w:tcPr>
          <w:p w14:paraId="42D58A22"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n-GB"/>
              </w:rPr>
            </w:pPr>
            <w:r w:rsidRPr="00380B40">
              <w:rPr>
                <w:lang w:val="en-GB"/>
              </w:rPr>
              <w:t>Intelligent transport system (ITS) security</w:t>
            </w:r>
          </w:p>
        </w:tc>
      </w:tr>
      <w:tr w:rsidR="0012432B" w:rsidRPr="004E0F36" w14:paraId="4B5B9FBB" w14:textId="77777777" w:rsidTr="00136CB0">
        <w:trPr>
          <w:jc w:val="center"/>
        </w:trPr>
        <w:tc>
          <w:tcPr>
            <w:tcW w:w="1413" w:type="dxa"/>
            <w:shd w:val="clear" w:color="auto" w:fill="auto"/>
            <w:hideMark/>
          </w:tcPr>
          <w:p w14:paraId="2F852F38"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380B40">
              <w:t>K/17</w:t>
            </w:r>
          </w:p>
        </w:tc>
        <w:tc>
          <w:tcPr>
            <w:tcW w:w="8215" w:type="dxa"/>
            <w:shd w:val="clear" w:color="auto" w:fill="auto"/>
            <w:hideMark/>
          </w:tcPr>
          <w:p w14:paraId="23714472"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n-GB"/>
              </w:rPr>
            </w:pPr>
            <w:r w:rsidRPr="00380B40">
              <w:rPr>
                <w:lang w:val="en-GB"/>
              </w:rPr>
              <w:t>Distributed ledger technology (DLT) security</w:t>
            </w:r>
          </w:p>
        </w:tc>
      </w:tr>
      <w:tr w:rsidR="0012432B" w:rsidRPr="004E0F36" w14:paraId="66127A56" w14:textId="77777777" w:rsidTr="00136CB0">
        <w:trPr>
          <w:jc w:val="center"/>
        </w:trPr>
        <w:tc>
          <w:tcPr>
            <w:tcW w:w="1413" w:type="dxa"/>
            <w:shd w:val="clear" w:color="auto" w:fill="auto"/>
            <w:hideMark/>
          </w:tcPr>
          <w:p w14:paraId="150BAC5E"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380B40">
              <w:t>L/17</w:t>
            </w:r>
          </w:p>
        </w:tc>
        <w:tc>
          <w:tcPr>
            <w:tcW w:w="8215" w:type="dxa"/>
            <w:shd w:val="clear" w:color="auto" w:fill="auto"/>
            <w:hideMark/>
          </w:tcPr>
          <w:p w14:paraId="7BE0470B" w14:textId="77777777" w:rsidR="0012432B" w:rsidRPr="00380B40" w:rsidRDefault="0012432B" w:rsidP="004E4CA9">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n-GB"/>
              </w:rPr>
            </w:pPr>
            <w:r w:rsidRPr="00380B40">
              <w:rPr>
                <w:lang w:val="en-GB"/>
              </w:rPr>
              <w:t>Security for/by emerging technologies including quantum-based security</w:t>
            </w:r>
          </w:p>
        </w:tc>
      </w:tr>
    </w:tbl>
    <w:p w14:paraId="19806B73" w14:textId="77777777" w:rsidR="0012432B" w:rsidRPr="00C777D4" w:rsidRDefault="0012432B" w:rsidP="00AF6CDF">
      <w:pPr>
        <w:rPr>
          <w:lang w:val="en-GB"/>
        </w:rPr>
      </w:pPr>
      <w:r w:rsidRPr="00C777D4">
        <w:rPr>
          <w:lang w:val="en-GB"/>
        </w:rPr>
        <w:br w:type="page"/>
      </w:r>
    </w:p>
    <w:p w14:paraId="6EA6EC39" w14:textId="77777777" w:rsidR="0012432B" w:rsidRPr="00380B40" w:rsidRDefault="0012432B" w:rsidP="0012432B">
      <w:pPr>
        <w:keepNext/>
        <w:keepLines/>
        <w:tabs>
          <w:tab w:val="left" w:pos="567"/>
          <w:tab w:val="left" w:pos="1134"/>
          <w:tab w:val="left" w:pos="1701"/>
          <w:tab w:val="left" w:pos="1871"/>
          <w:tab w:val="left" w:pos="2268"/>
          <w:tab w:val="left" w:pos="2835"/>
          <w:tab w:val="left" w:pos="3402"/>
          <w:tab w:val="left" w:pos="3969"/>
          <w:tab w:val="left" w:pos="4536"/>
          <w:tab w:val="left" w:pos="5103"/>
          <w:tab w:val="left" w:pos="5670"/>
          <w:tab w:val="left" w:pos="6244"/>
        </w:tabs>
        <w:spacing w:before="280" w:after="120"/>
        <w:ind w:left="1134" w:hanging="1134"/>
        <w:outlineLvl w:val="0"/>
        <w:rPr>
          <w:b/>
          <w:sz w:val="28"/>
        </w:rPr>
      </w:pPr>
      <w:bookmarkStart w:id="2433" w:name="_Toc111637169"/>
      <w:r w:rsidRPr="00380B40">
        <w:rPr>
          <w:b/>
          <w:sz w:val="28"/>
        </w:rPr>
        <w:t>11</w:t>
      </w:r>
      <w:r w:rsidRPr="00380B40">
        <w:rPr>
          <w:b/>
          <w:sz w:val="28"/>
        </w:rPr>
        <w:tab/>
        <w:t>Study Group 20</w:t>
      </w:r>
      <w:bookmarkEnd w:id="2433"/>
    </w:p>
    <w:tbl>
      <w:tblPr>
        <w:tblStyle w:val="TableGridLight"/>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215"/>
      </w:tblGrid>
      <w:tr w:rsidR="0012432B" w:rsidRPr="00380B40" w14:paraId="03681BB9" w14:textId="77777777" w:rsidTr="00136CB0">
        <w:trPr>
          <w:tblHeader/>
          <w:jc w:val="center"/>
        </w:trPr>
        <w:tc>
          <w:tcPr>
            <w:tcW w:w="1413" w:type="dxa"/>
            <w:shd w:val="clear" w:color="auto" w:fill="auto"/>
          </w:tcPr>
          <w:p w14:paraId="14C1318F" w14:textId="77777777" w:rsidR="0012432B" w:rsidRPr="00380B40" w:rsidRDefault="0012432B" w:rsidP="004E4CA9">
            <w:pPr>
              <w:pStyle w:val="Tableheadwhitecentred"/>
              <w:rPr>
                <w:b w:val="0"/>
              </w:rPr>
            </w:pPr>
            <w:r w:rsidRPr="00380B40">
              <w:t>Question number</w:t>
            </w:r>
          </w:p>
        </w:tc>
        <w:tc>
          <w:tcPr>
            <w:tcW w:w="8215" w:type="dxa"/>
            <w:shd w:val="clear" w:color="auto" w:fill="auto"/>
          </w:tcPr>
          <w:p w14:paraId="5296EF53" w14:textId="77777777" w:rsidR="0012432B" w:rsidRPr="00380B40" w:rsidRDefault="0012432B" w:rsidP="004E4CA9">
            <w:pPr>
              <w:pStyle w:val="Tableheadwhitecentred"/>
              <w:rPr>
                <w:b w:val="0"/>
              </w:rPr>
            </w:pPr>
            <w:r w:rsidRPr="00380B40">
              <w:t>Question title</w:t>
            </w:r>
          </w:p>
        </w:tc>
      </w:tr>
      <w:tr w:rsidR="0012432B" w:rsidRPr="004E0F36" w14:paraId="5324E91D" w14:textId="77777777" w:rsidTr="00136CB0">
        <w:trPr>
          <w:jc w:val="center"/>
        </w:trPr>
        <w:tc>
          <w:tcPr>
            <w:tcW w:w="1413" w:type="dxa"/>
            <w:shd w:val="clear" w:color="auto" w:fill="auto"/>
          </w:tcPr>
          <w:p w14:paraId="4BFC3025"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A/20</w:t>
            </w:r>
          </w:p>
        </w:tc>
        <w:tc>
          <w:tcPr>
            <w:tcW w:w="8215" w:type="dxa"/>
            <w:shd w:val="clear" w:color="auto" w:fill="auto"/>
          </w:tcPr>
          <w:p w14:paraId="24CFCE2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Interoperability and interworking of IoT and SC&amp;C applications and services</w:t>
            </w:r>
          </w:p>
        </w:tc>
      </w:tr>
      <w:tr w:rsidR="0012432B" w:rsidRPr="004E0F36" w14:paraId="64217A6C" w14:textId="77777777" w:rsidTr="00136CB0">
        <w:trPr>
          <w:jc w:val="center"/>
        </w:trPr>
        <w:tc>
          <w:tcPr>
            <w:tcW w:w="1413" w:type="dxa"/>
            <w:shd w:val="clear" w:color="auto" w:fill="auto"/>
          </w:tcPr>
          <w:p w14:paraId="4A0FDEC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B/20</w:t>
            </w:r>
          </w:p>
        </w:tc>
        <w:tc>
          <w:tcPr>
            <w:tcW w:w="8215" w:type="dxa"/>
            <w:shd w:val="clear" w:color="auto" w:fill="auto"/>
          </w:tcPr>
          <w:p w14:paraId="5DE2E2BE"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Requirements, capabilities and architectural frameworks across verticals enhanced by emerging digital technologies</w:t>
            </w:r>
          </w:p>
        </w:tc>
      </w:tr>
      <w:tr w:rsidR="0012432B" w:rsidRPr="004E0F36" w14:paraId="52FCB8C4" w14:textId="77777777" w:rsidTr="00136CB0">
        <w:trPr>
          <w:jc w:val="center"/>
        </w:trPr>
        <w:tc>
          <w:tcPr>
            <w:tcW w:w="1413" w:type="dxa"/>
            <w:shd w:val="clear" w:color="auto" w:fill="auto"/>
          </w:tcPr>
          <w:p w14:paraId="7362748C"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C/20</w:t>
            </w:r>
          </w:p>
        </w:tc>
        <w:tc>
          <w:tcPr>
            <w:tcW w:w="8215" w:type="dxa"/>
            <w:shd w:val="clear" w:color="auto" w:fill="auto"/>
          </w:tcPr>
          <w:p w14:paraId="231E0D9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IoT and SC&amp;C architectures, protocols and QoS/QoE</w:t>
            </w:r>
          </w:p>
        </w:tc>
      </w:tr>
      <w:tr w:rsidR="0012432B" w:rsidRPr="004E0F36" w14:paraId="529FB630" w14:textId="77777777" w:rsidTr="00136CB0">
        <w:trPr>
          <w:jc w:val="center"/>
        </w:trPr>
        <w:tc>
          <w:tcPr>
            <w:tcW w:w="1413" w:type="dxa"/>
            <w:shd w:val="clear" w:color="auto" w:fill="auto"/>
          </w:tcPr>
          <w:p w14:paraId="44491FA7"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D/20</w:t>
            </w:r>
          </w:p>
        </w:tc>
        <w:tc>
          <w:tcPr>
            <w:tcW w:w="8215" w:type="dxa"/>
            <w:shd w:val="clear" w:color="auto" w:fill="auto"/>
          </w:tcPr>
          <w:p w14:paraId="44502B7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Data analytics, sharing, processing and management, including big data aspects, of IoT and SC&amp;C</w:t>
            </w:r>
          </w:p>
        </w:tc>
      </w:tr>
      <w:tr w:rsidR="0012432B" w:rsidRPr="004E0F36" w14:paraId="43E3C6F2" w14:textId="77777777" w:rsidTr="00136CB0">
        <w:trPr>
          <w:jc w:val="center"/>
        </w:trPr>
        <w:tc>
          <w:tcPr>
            <w:tcW w:w="1413" w:type="dxa"/>
            <w:shd w:val="clear" w:color="auto" w:fill="auto"/>
          </w:tcPr>
          <w:p w14:paraId="541D405B"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E/20</w:t>
            </w:r>
          </w:p>
        </w:tc>
        <w:tc>
          <w:tcPr>
            <w:tcW w:w="8215" w:type="dxa"/>
            <w:shd w:val="clear" w:color="auto" w:fill="auto"/>
          </w:tcPr>
          <w:p w14:paraId="013AB2A3"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Study of emerging digital technologies, terminology and definitions</w:t>
            </w:r>
          </w:p>
        </w:tc>
      </w:tr>
      <w:tr w:rsidR="0012432B" w:rsidRPr="004E0F36" w14:paraId="58AD9B21" w14:textId="77777777" w:rsidTr="00136CB0">
        <w:trPr>
          <w:jc w:val="center"/>
        </w:trPr>
        <w:tc>
          <w:tcPr>
            <w:tcW w:w="1413" w:type="dxa"/>
            <w:shd w:val="clear" w:color="auto" w:fill="auto"/>
          </w:tcPr>
          <w:p w14:paraId="14540071"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F/20</w:t>
            </w:r>
          </w:p>
        </w:tc>
        <w:tc>
          <w:tcPr>
            <w:tcW w:w="8215" w:type="dxa"/>
            <w:shd w:val="clear" w:color="auto" w:fill="auto"/>
          </w:tcPr>
          <w:p w14:paraId="75A1BBC6"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Security, privacy, trust and identification for IoT and SC&amp;C</w:t>
            </w:r>
          </w:p>
        </w:tc>
      </w:tr>
      <w:tr w:rsidR="0012432B" w:rsidRPr="004E0F36" w14:paraId="16103D28" w14:textId="77777777" w:rsidTr="00136CB0">
        <w:trPr>
          <w:jc w:val="center"/>
        </w:trPr>
        <w:tc>
          <w:tcPr>
            <w:tcW w:w="1413" w:type="dxa"/>
            <w:shd w:val="clear" w:color="auto" w:fill="auto"/>
          </w:tcPr>
          <w:p w14:paraId="1725391A"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pPr>
            <w:r w:rsidRPr="00380B40">
              <w:t>G/20</w:t>
            </w:r>
          </w:p>
        </w:tc>
        <w:tc>
          <w:tcPr>
            <w:tcW w:w="8215" w:type="dxa"/>
            <w:shd w:val="clear" w:color="auto" w:fill="auto"/>
          </w:tcPr>
          <w:p w14:paraId="0A0C5472" w14:textId="77777777" w:rsidR="0012432B" w:rsidRPr="00380B40" w:rsidRDefault="0012432B" w:rsidP="004E4CA9">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380B40">
              <w:rPr>
                <w:lang w:val="en-GB"/>
              </w:rPr>
              <w:t>Evaluation and assessment of smart sustainable cities and communities</w:t>
            </w:r>
          </w:p>
        </w:tc>
      </w:tr>
    </w:tbl>
    <w:p w14:paraId="0806F3AA" w14:textId="77777777" w:rsidR="0012432B" w:rsidRPr="00380B40" w:rsidRDefault="0012432B" w:rsidP="0012432B">
      <w:pPr>
        <w:pStyle w:val="Reasons"/>
      </w:pPr>
    </w:p>
    <w:p w14:paraId="0DBE62DB" w14:textId="77777777" w:rsidR="003E72C4" w:rsidRPr="00380B40" w:rsidRDefault="003E72C4" w:rsidP="0012432B">
      <w:pPr>
        <w:pStyle w:val="Reasons"/>
      </w:pPr>
    </w:p>
    <w:p w14:paraId="5BE31179" w14:textId="77777777" w:rsidR="003E72C4" w:rsidRPr="00380B40" w:rsidRDefault="003E72C4" w:rsidP="0012432B">
      <w:pPr>
        <w:pStyle w:val="Reasons"/>
      </w:pPr>
    </w:p>
    <w:p w14:paraId="3122255A" w14:textId="77777777" w:rsidR="003E72C4" w:rsidRPr="00380B40" w:rsidRDefault="003E72C4" w:rsidP="0012432B">
      <w:pPr>
        <w:pStyle w:val="Reasons"/>
      </w:pPr>
    </w:p>
    <w:p w14:paraId="05FFB1BC" w14:textId="77777777" w:rsidR="003E72C4" w:rsidRPr="00380B40" w:rsidRDefault="003E72C4" w:rsidP="0012432B">
      <w:pPr>
        <w:pStyle w:val="Reasons"/>
      </w:pPr>
    </w:p>
    <w:p w14:paraId="3D522A13" w14:textId="77777777" w:rsidR="003E72C4" w:rsidRPr="00380B40" w:rsidRDefault="003E72C4" w:rsidP="0012432B">
      <w:pPr>
        <w:pStyle w:val="Reasons"/>
      </w:pPr>
    </w:p>
    <w:p w14:paraId="1424FE43" w14:textId="77777777" w:rsidR="003E72C4" w:rsidRPr="00380B40" w:rsidRDefault="003E72C4" w:rsidP="0012432B">
      <w:pPr>
        <w:pStyle w:val="Reasons"/>
      </w:pPr>
    </w:p>
    <w:p w14:paraId="6A3AFE45" w14:textId="77777777" w:rsidR="003E72C4" w:rsidRPr="00380B40" w:rsidRDefault="003E72C4" w:rsidP="0012432B">
      <w:pPr>
        <w:pStyle w:val="Reasons"/>
      </w:pPr>
    </w:p>
    <w:p w14:paraId="7439842A" w14:textId="77777777" w:rsidR="003E72C4" w:rsidRPr="00380B40" w:rsidRDefault="003E72C4" w:rsidP="0012432B">
      <w:pPr>
        <w:pStyle w:val="Reasons"/>
      </w:pPr>
    </w:p>
    <w:p w14:paraId="5D903D10" w14:textId="77777777" w:rsidR="003E72C4" w:rsidRPr="00380B40" w:rsidRDefault="003E72C4" w:rsidP="0012432B">
      <w:pPr>
        <w:pStyle w:val="Reasons"/>
      </w:pPr>
    </w:p>
    <w:p w14:paraId="018367C2" w14:textId="77777777" w:rsidR="003E72C4" w:rsidRPr="00380B40" w:rsidRDefault="003E72C4" w:rsidP="0012432B">
      <w:pPr>
        <w:pStyle w:val="Reasons"/>
      </w:pPr>
    </w:p>
    <w:p w14:paraId="7E66705F" w14:textId="77777777" w:rsidR="00843E9E" w:rsidRDefault="00843E9E" w:rsidP="0033524E">
      <w:pPr>
        <w:pStyle w:val="ChapNo"/>
        <w:rPr>
          <w:lang w:val="en-GB"/>
        </w:rPr>
        <w:sectPr w:rsidR="00843E9E" w:rsidSect="00843E9E">
          <w:headerReference w:type="default" r:id="rId522"/>
          <w:footerReference w:type="even" r:id="rId523"/>
          <w:footerReference w:type="default" r:id="rId524"/>
          <w:pgSz w:w="11906" w:h="16838" w:code="9"/>
          <w:pgMar w:top="1134" w:right="1134" w:bottom="1134" w:left="1134" w:header="567" w:footer="567" w:gutter="0"/>
          <w:cols w:space="708"/>
          <w:docGrid w:linePitch="360"/>
        </w:sectPr>
      </w:pPr>
      <w:bookmarkStart w:id="2434" w:name="_Toc111637170"/>
      <w:bookmarkStart w:id="2435" w:name="_Toc111638558"/>
    </w:p>
    <w:p w14:paraId="3CAD9B9F" w14:textId="77777777" w:rsidR="008930E6" w:rsidRDefault="008930E6" w:rsidP="008930E6">
      <w:pPr>
        <w:rPr>
          <w:lang w:val="en-GB"/>
        </w:rPr>
      </w:pPr>
    </w:p>
    <w:p w14:paraId="6B3803B7" w14:textId="77777777" w:rsidR="008930E6" w:rsidRDefault="008930E6" w:rsidP="008930E6">
      <w:pPr>
        <w:rPr>
          <w:lang w:val="en-GB"/>
        </w:rPr>
      </w:pPr>
    </w:p>
    <w:p w14:paraId="5EF38554" w14:textId="77777777" w:rsidR="008930E6" w:rsidRDefault="008930E6" w:rsidP="008930E6">
      <w:pPr>
        <w:rPr>
          <w:lang w:val="en-GB"/>
        </w:rPr>
      </w:pPr>
    </w:p>
    <w:p w14:paraId="3F4EDF7A" w14:textId="77777777" w:rsidR="008930E6" w:rsidRDefault="008930E6" w:rsidP="008930E6">
      <w:pPr>
        <w:rPr>
          <w:lang w:val="en-GB"/>
        </w:rPr>
      </w:pPr>
    </w:p>
    <w:p w14:paraId="4FE01DBE" w14:textId="77777777" w:rsidR="008930E6" w:rsidRDefault="008930E6" w:rsidP="008930E6">
      <w:pPr>
        <w:rPr>
          <w:lang w:val="en-GB"/>
        </w:rPr>
      </w:pPr>
    </w:p>
    <w:p w14:paraId="63E1D45E" w14:textId="77777777" w:rsidR="008930E6" w:rsidRDefault="008930E6" w:rsidP="008930E6">
      <w:pPr>
        <w:rPr>
          <w:lang w:val="en-GB"/>
        </w:rPr>
      </w:pPr>
    </w:p>
    <w:p w14:paraId="699D0BE3" w14:textId="77777777" w:rsidR="008930E6" w:rsidRDefault="008930E6" w:rsidP="008930E6">
      <w:pPr>
        <w:rPr>
          <w:lang w:val="en-GB"/>
        </w:rPr>
      </w:pPr>
    </w:p>
    <w:p w14:paraId="48DDF954" w14:textId="77777777" w:rsidR="008930E6" w:rsidRDefault="008930E6" w:rsidP="008930E6">
      <w:pPr>
        <w:rPr>
          <w:lang w:val="en-GB"/>
        </w:rPr>
      </w:pPr>
    </w:p>
    <w:p w14:paraId="06B2DAA5" w14:textId="77777777" w:rsidR="008930E6" w:rsidRDefault="008930E6" w:rsidP="008930E6">
      <w:pPr>
        <w:rPr>
          <w:lang w:val="en-GB"/>
        </w:rPr>
      </w:pPr>
    </w:p>
    <w:p w14:paraId="167A983A" w14:textId="77777777" w:rsidR="008930E6" w:rsidRDefault="008930E6" w:rsidP="008930E6">
      <w:pPr>
        <w:rPr>
          <w:lang w:val="en-GB"/>
        </w:rPr>
      </w:pPr>
    </w:p>
    <w:p w14:paraId="782EA9F5" w14:textId="77777777" w:rsidR="008930E6" w:rsidRDefault="008930E6" w:rsidP="008930E6">
      <w:pPr>
        <w:rPr>
          <w:lang w:val="en-GB"/>
        </w:rPr>
      </w:pPr>
    </w:p>
    <w:p w14:paraId="313B0162" w14:textId="77777777" w:rsidR="008930E6" w:rsidRPr="008930E6" w:rsidRDefault="008930E6" w:rsidP="008930E6">
      <w:pPr>
        <w:rPr>
          <w:lang w:val="en-GB"/>
        </w:rPr>
      </w:pPr>
    </w:p>
    <w:p w14:paraId="759207ED" w14:textId="4409418F" w:rsidR="001016DB" w:rsidRPr="00380B40" w:rsidRDefault="00E716C4" w:rsidP="0033524E">
      <w:pPr>
        <w:pStyle w:val="ChapNo"/>
        <w:rPr>
          <w:lang w:val="en-GB"/>
        </w:rPr>
      </w:pPr>
      <w:r w:rsidRPr="00380B40">
        <w:rPr>
          <w:lang w:val="en-GB"/>
        </w:rPr>
        <w:t xml:space="preserve">PART </w:t>
      </w:r>
      <w:r w:rsidR="009033A7" w:rsidRPr="00380B40">
        <w:rPr>
          <w:lang w:val="en-GB"/>
        </w:rPr>
        <w:t>V</w:t>
      </w:r>
      <w:r w:rsidR="00202A50" w:rsidRPr="00380B40">
        <w:rPr>
          <w:lang w:val="en-GB"/>
        </w:rPr>
        <w:t xml:space="preserve"> </w:t>
      </w:r>
      <w:bookmarkStart w:id="2436" w:name="PartV"/>
      <w:bookmarkEnd w:id="2436"/>
      <w:r w:rsidR="009033A7" w:rsidRPr="00380B40">
        <w:rPr>
          <w:lang w:val="en-GB"/>
        </w:rPr>
        <w:br/>
      </w:r>
      <w:r w:rsidR="005E731C" w:rsidRPr="00380B40">
        <w:rPr>
          <w:lang w:val="en-GB"/>
        </w:rPr>
        <w:br/>
      </w:r>
      <w:r w:rsidR="009033A7" w:rsidRPr="00380B40">
        <w:rPr>
          <w:lang w:val="en-GB"/>
        </w:rPr>
        <w:br/>
        <w:t>Reports and documents of the Assembly</w:t>
      </w:r>
      <w:bookmarkEnd w:id="2434"/>
      <w:bookmarkEnd w:id="2435"/>
    </w:p>
    <w:p w14:paraId="23570314" w14:textId="77777777" w:rsidR="00843E9E" w:rsidRDefault="00843E9E" w:rsidP="005E731C">
      <w:pPr>
        <w:pStyle w:val="Sectiontitlecolor"/>
      </w:pPr>
      <w:bookmarkStart w:id="2437" w:name="_Toc104472189"/>
      <w:bookmarkStart w:id="2438" w:name="_Toc104530926"/>
      <w:bookmarkStart w:id="2439" w:name="_Toc111637171"/>
      <w:bookmarkStart w:id="2440" w:name="_Toc111638559"/>
    </w:p>
    <w:p w14:paraId="615B7D5B" w14:textId="0DE4F350" w:rsidR="00843E9E" w:rsidRPr="00843E9E" w:rsidRDefault="00843E9E" w:rsidP="00843E9E">
      <w:pPr>
        <w:rPr>
          <w:lang w:val="en-GB"/>
        </w:rPr>
        <w:sectPr w:rsidR="00843E9E" w:rsidRPr="00843E9E" w:rsidSect="008930E6">
          <w:footerReference w:type="default" r:id="rId525"/>
          <w:type w:val="oddPage"/>
          <w:pgSz w:w="11906" w:h="16838" w:code="9"/>
          <w:pgMar w:top="1134" w:right="1134" w:bottom="1134" w:left="1134" w:header="567" w:footer="567" w:gutter="0"/>
          <w:cols w:space="708"/>
          <w:docGrid w:linePitch="360"/>
        </w:sectPr>
      </w:pPr>
    </w:p>
    <w:p w14:paraId="479E90B2" w14:textId="77777777" w:rsidR="009C0A13" w:rsidRPr="00380B40" w:rsidRDefault="009C0A13" w:rsidP="005E731C">
      <w:pPr>
        <w:pStyle w:val="Sectiontitlecolor"/>
      </w:pPr>
      <w:r w:rsidRPr="00380B40">
        <w:t>Section V-1 – Plenary reports</w:t>
      </w:r>
      <w:bookmarkEnd w:id="2437"/>
      <w:bookmarkEnd w:id="2438"/>
      <w:bookmarkEnd w:id="2439"/>
      <w:bookmarkEnd w:id="2440"/>
    </w:p>
    <w:p w14:paraId="2921DFB9" w14:textId="77777777" w:rsidR="009033A7" w:rsidRPr="00380B40" w:rsidRDefault="009033A7" w:rsidP="00202A50">
      <w:pPr>
        <w:pStyle w:val="Sectiontitle"/>
      </w:pPr>
      <w:bookmarkStart w:id="2441" w:name="_Hlk104191188"/>
      <w:bookmarkStart w:id="2442" w:name="_Toc104472190"/>
      <w:bookmarkStart w:id="2443" w:name="_Toc111637172"/>
      <w:r w:rsidRPr="00380B40">
        <w:t xml:space="preserve">V-1.1 – </w:t>
      </w:r>
      <w:bookmarkStart w:id="2444" w:name="_Hlk104191217"/>
      <w:bookmarkEnd w:id="2441"/>
      <w:r w:rsidRPr="00380B40">
        <w:t>INAUGURAL CEREMONY and FIRST PLENARY MEETING</w:t>
      </w:r>
      <w:bookmarkEnd w:id="2442"/>
      <w:bookmarkEnd w:id="2443"/>
      <w:bookmarkEnd w:id="2444"/>
    </w:p>
    <w:p w14:paraId="139074A2" w14:textId="77777777" w:rsidR="009033A7" w:rsidRPr="00380B40" w:rsidRDefault="009033A7" w:rsidP="009033A7">
      <w:pPr>
        <w:pStyle w:val="Normalaftertitle"/>
        <w:spacing w:before="0"/>
        <w:jc w:val="center"/>
        <w:rPr>
          <w:sz w:val="24"/>
          <w:szCs w:val="24"/>
          <w:lang w:val="en-GB"/>
        </w:rPr>
      </w:pPr>
      <w:r w:rsidRPr="00380B40">
        <w:rPr>
          <w:sz w:val="24"/>
          <w:szCs w:val="24"/>
          <w:lang w:val="en-GB"/>
        </w:rPr>
        <w:t>(Tuesday, 1 March 2022, 1100-1230 hours, and 1430-1750 hours)</w:t>
      </w:r>
    </w:p>
    <w:p w14:paraId="27D715B6" w14:textId="77777777" w:rsidR="009033A7" w:rsidRPr="00380B40" w:rsidRDefault="009033A7" w:rsidP="009033A7">
      <w:pPr>
        <w:tabs>
          <w:tab w:val="clear" w:pos="794"/>
          <w:tab w:val="clear" w:pos="1191"/>
          <w:tab w:val="clear" w:pos="1588"/>
          <w:tab w:val="clear" w:pos="1985"/>
          <w:tab w:val="left" w:pos="1134"/>
          <w:tab w:val="left" w:pos="1871"/>
          <w:tab w:val="left" w:pos="2268"/>
        </w:tabs>
        <w:spacing w:before="120" w:line="240" w:lineRule="auto"/>
        <w:jc w:val="center"/>
        <w:rPr>
          <w:sz w:val="24"/>
          <w:szCs w:val="24"/>
          <w:lang w:val="en-GB"/>
        </w:rPr>
      </w:pPr>
      <w:r w:rsidRPr="00380B40">
        <w:rPr>
          <w:b/>
          <w:sz w:val="24"/>
          <w:szCs w:val="24"/>
          <w:lang w:val="en-GB"/>
        </w:rPr>
        <w:t>Chairman</w:t>
      </w:r>
      <w:r w:rsidRPr="00380B40">
        <w:rPr>
          <w:sz w:val="24"/>
          <w:szCs w:val="24"/>
          <w:lang w:val="en-GB"/>
        </w:rPr>
        <w:t>: Mr Houlin Zhao; ITU Secretary General</w:t>
      </w:r>
    </w:p>
    <w:p w14:paraId="0168BD10" w14:textId="77777777" w:rsidR="009033A7" w:rsidRPr="00380B40" w:rsidRDefault="009033A7" w:rsidP="00DA147D">
      <w:pPr>
        <w:tabs>
          <w:tab w:val="clear" w:pos="794"/>
          <w:tab w:val="clear" w:pos="1191"/>
          <w:tab w:val="clear" w:pos="1588"/>
          <w:tab w:val="clear" w:pos="1985"/>
          <w:tab w:val="left" w:pos="1134"/>
          <w:tab w:val="left" w:pos="1871"/>
          <w:tab w:val="left" w:pos="2268"/>
        </w:tabs>
        <w:spacing w:before="0" w:line="240" w:lineRule="auto"/>
        <w:jc w:val="center"/>
        <w:rPr>
          <w:sz w:val="24"/>
          <w:szCs w:val="24"/>
          <w:lang w:val="en-GB"/>
        </w:rPr>
      </w:pPr>
      <w:r w:rsidRPr="00380B40">
        <w:rPr>
          <w:sz w:val="24"/>
          <w:szCs w:val="24"/>
          <w:lang w:val="en-GB"/>
        </w:rPr>
        <w:t>Mr Fabio Bigi (Italy), Dean of the Assembly</w:t>
      </w:r>
    </w:p>
    <w:p w14:paraId="2A29CF67" w14:textId="77777777" w:rsidR="009033A7" w:rsidRPr="00380B40" w:rsidRDefault="009033A7" w:rsidP="00DA147D">
      <w:pPr>
        <w:tabs>
          <w:tab w:val="clear" w:pos="794"/>
          <w:tab w:val="clear" w:pos="1191"/>
          <w:tab w:val="clear" w:pos="1588"/>
          <w:tab w:val="clear" w:pos="1985"/>
          <w:tab w:val="left" w:pos="1134"/>
          <w:tab w:val="left" w:pos="1871"/>
          <w:tab w:val="left" w:pos="2268"/>
        </w:tabs>
        <w:spacing w:before="0" w:line="240" w:lineRule="auto"/>
        <w:jc w:val="center"/>
        <w:rPr>
          <w:sz w:val="24"/>
          <w:szCs w:val="24"/>
          <w:lang w:val="en-GB"/>
        </w:rPr>
      </w:pPr>
      <w:r w:rsidRPr="00380B40">
        <w:rPr>
          <w:b/>
          <w:bCs/>
          <w:sz w:val="24"/>
          <w:szCs w:val="24"/>
          <w:lang w:val="en-GB"/>
        </w:rPr>
        <w:t>Later:</w:t>
      </w:r>
      <w:r w:rsidRPr="00380B40">
        <w:rPr>
          <w:sz w:val="24"/>
          <w:szCs w:val="24"/>
          <w:lang w:val="en-GB"/>
        </w:rPr>
        <w:t xml:space="preserve"> Mr Bruce Gracie (Canada)</w:t>
      </w:r>
    </w:p>
    <w:p w14:paraId="21066BED" w14:textId="77777777" w:rsidR="009033A7" w:rsidRPr="00380B40" w:rsidRDefault="009033A7" w:rsidP="002C2FAF">
      <w:pPr>
        <w:pStyle w:val="Heading1"/>
        <w:rPr>
          <w:lang w:val="en-GB"/>
        </w:rPr>
      </w:pPr>
      <w:bookmarkStart w:id="2445" w:name="_Toc111637173"/>
      <w:r w:rsidRPr="00380B40">
        <w:rPr>
          <w:lang w:val="en-GB"/>
        </w:rPr>
        <w:t>1</w:t>
      </w:r>
      <w:r w:rsidRPr="00380B40">
        <w:rPr>
          <w:lang w:val="en-GB"/>
        </w:rPr>
        <w:tab/>
        <w:t>Opening and inaugural ceremony</w:t>
      </w:r>
      <w:bookmarkEnd w:id="2445"/>
    </w:p>
    <w:p w14:paraId="0E672959" w14:textId="77777777" w:rsidR="009033A7" w:rsidRPr="00380B40" w:rsidRDefault="009033A7" w:rsidP="002C2FAF">
      <w:pPr>
        <w:rPr>
          <w:lang w:val="en-GB"/>
        </w:rPr>
      </w:pPr>
      <w:r w:rsidRPr="00380B40">
        <w:rPr>
          <w:lang w:val="en-GB"/>
        </w:rPr>
        <w:t>The Dean of the WTSA-20,</w:t>
      </w:r>
      <w:r w:rsidRPr="00380B40">
        <w:rPr>
          <w:b/>
          <w:bCs/>
          <w:lang w:val="en-GB"/>
        </w:rPr>
        <w:t xml:space="preserve"> Mr Fabio Bigi</w:t>
      </w:r>
      <w:r w:rsidRPr="00380B40">
        <w:rPr>
          <w:lang w:val="en-GB"/>
        </w:rPr>
        <w:t xml:space="preserve">, Italy, as the oldest head of delegation, opened the Assembly in accordance with the General Rules of Conferences, Assemblies and meetings of the Union (GR 52). </w:t>
      </w:r>
    </w:p>
    <w:p w14:paraId="26A9E6AE" w14:textId="77777777" w:rsidR="009033A7" w:rsidRPr="00380B40" w:rsidRDefault="009033A7" w:rsidP="00A17F90">
      <w:pPr>
        <w:rPr>
          <w:lang w:val="en-GB"/>
        </w:rPr>
      </w:pPr>
      <w:r w:rsidRPr="00380B40">
        <w:rPr>
          <w:lang w:val="en-GB"/>
        </w:rPr>
        <w:t xml:space="preserve">Mr Bilel Jamoussi read out the note contained in Document </w:t>
      </w:r>
      <w:hyperlink r:id="rId526" w:history="1">
        <w:r w:rsidRPr="00380B40">
          <w:rPr>
            <w:rStyle w:val="Hyperlink"/>
            <w:szCs w:val="22"/>
            <w:lang w:val="en-GB"/>
          </w:rPr>
          <w:t>INF/1</w:t>
        </w:r>
      </w:hyperlink>
      <w:r w:rsidRPr="00C777D4">
        <w:rPr>
          <w:lang w:val="en-GB"/>
        </w:rPr>
        <w:t>, which gives guidance with respect to remote participation.</w:t>
      </w:r>
    </w:p>
    <w:p w14:paraId="5F036AE7" w14:textId="77777777" w:rsidR="009033A7" w:rsidRPr="00380B40" w:rsidRDefault="009033A7" w:rsidP="002C2FAF">
      <w:pPr>
        <w:pStyle w:val="Heading1"/>
        <w:rPr>
          <w:lang w:val="en-GB"/>
        </w:rPr>
      </w:pPr>
      <w:bookmarkStart w:id="2446" w:name="_Toc111637174"/>
      <w:r w:rsidRPr="00380B40">
        <w:rPr>
          <w:lang w:val="en-GB"/>
        </w:rPr>
        <w:t>2</w:t>
      </w:r>
      <w:r w:rsidRPr="00380B40">
        <w:rPr>
          <w:lang w:val="en-GB"/>
        </w:rPr>
        <w:tab/>
        <w:t>Opening address by ITU Secretary General</w:t>
      </w:r>
      <w:bookmarkEnd w:id="2446"/>
    </w:p>
    <w:p w14:paraId="2128FF44" w14:textId="77777777" w:rsidR="009033A7" w:rsidRPr="00380B40" w:rsidRDefault="009033A7" w:rsidP="002C2FAF">
      <w:pPr>
        <w:rPr>
          <w:lang w:val="en-GB"/>
        </w:rPr>
      </w:pPr>
      <w:r w:rsidRPr="00380B40">
        <w:rPr>
          <w:lang w:val="en-GB"/>
        </w:rPr>
        <w:t xml:space="preserve">The ITU Secretary-General, </w:t>
      </w:r>
      <w:r w:rsidRPr="00380B40">
        <w:rPr>
          <w:b/>
          <w:bCs/>
          <w:lang w:val="en-GB"/>
        </w:rPr>
        <w:t>Mr Houlin Zhao,</w:t>
      </w:r>
      <w:r w:rsidRPr="00380B40">
        <w:rPr>
          <w:lang w:val="en-GB"/>
        </w:rPr>
        <w:t xml:space="preserve"> welcomed the delegates to Geneva in his opening address (Document </w:t>
      </w:r>
      <w:hyperlink r:id="rId527" w:history="1">
        <w:r w:rsidRPr="00380B40">
          <w:rPr>
            <w:rStyle w:val="Hyperlink"/>
            <w:szCs w:val="22"/>
            <w:lang w:val="en-GB"/>
          </w:rPr>
          <w:t>C47</w:t>
        </w:r>
      </w:hyperlink>
      <w:r w:rsidRPr="00380B40">
        <w:rPr>
          <w:lang w:val="en-GB"/>
        </w:rPr>
        <w:t>).</w:t>
      </w:r>
    </w:p>
    <w:p w14:paraId="3CD59FAE" w14:textId="77777777" w:rsidR="009033A7" w:rsidRPr="00380B40" w:rsidRDefault="009033A7" w:rsidP="002C2FAF">
      <w:pPr>
        <w:pStyle w:val="Heading1"/>
        <w:rPr>
          <w:lang w:val="en-GB"/>
        </w:rPr>
      </w:pPr>
      <w:bookmarkStart w:id="2447" w:name="_Toc111637175"/>
      <w:r w:rsidRPr="00380B40">
        <w:rPr>
          <w:lang w:val="en-GB"/>
        </w:rPr>
        <w:t>3</w:t>
      </w:r>
      <w:r w:rsidRPr="00380B40">
        <w:rPr>
          <w:lang w:val="en-GB"/>
        </w:rPr>
        <w:tab/>
        <w:t>Speeches and interventions by Member States</w:t>
      </w:r>
      <w:bookmarkEnd w:id="2447"/>
    </w:p>
    <w:p w14:paraId="6A5BB717" w14:textId="77777777" w:rsidR="009033A7" w:rsidRPr="00380B40" w:rsidRDefault="009033A7" w:rsidP="002C2FAF">
      <w:pPr>
        <w:rPr>
          <w:lang w:val="en-GB"/>
        </w:rPr>
      </w:pPr>
      <w:r w:rsidRPr="00380B40">
        <w:rPr>
          <w:lang w:val="en-GB"/>
        </w:rPr>
        <w:t>Several Member States took the floor and made statements. The Plenary agreed to include all statements in this report. The statements can be found in Annex 1.</w:t>
      </w:r>
    </w:p>
    <w:p w14:paraId="5B8BE83D" w14:textId="77777777" w:rsidR="009033A7" w:rsidRPr="00380B40" w:rsidRDefault="009033A7" w:rsidP="002C2FAF">
      <w:pPr>
        <w:pStyle w:val="Heading1"/>
        <w:rPr>
          <w:lang w:val="en-GB"/>
        </w:rPr>
      </w:pPr>
      <w:bookmarkStart w:id="2448" w:name="_Toc111637176"/>
      <w:r w:rsidRPr="00380B40">
        <w:rPr>
          <w:lang w:val="en-GB"/>
        </w:rPr>
        <w:t>4</w:t>
      </w:r>
      <w:r w:rsidRPr="00380B40">
        <w:rPr>
          <w:lang w:val="en-GB"/>
        </w:rPr>
        <w:tab/>
        <w:t>Approval of agenda</w:t>
      </w:r>
      <w:bookmarkEnd w:id="2448"/>
    </w:p>
    <w:p w14:paraId="215941CE" w14:textId="77777777" w:rsidR="009033A7" w:rsidRPr="00380B40" w:rsidRDefault="009033A7" w:rsidP="009033A7">
      <w:pPr>
        <w:keepNext/>
        <w:keepLines/>
        <w:spacing w:before="120" w:line="240" w:lineRule="auto"/>
        <w:ind w:right="-79"/>
        <w:rPr>
          <w:szCs w:val="22"/>
          <w:lang w:val="en-GB"/>
        </w:rPr>
      </w:pPr>
      <w:r w:rsidRPr="00380B40">
        <w:rPr>
          <w:szCs w:val="22"/>
          <w:lang w:val="en-GB"/>
        </w:rPr>
        <w:t xml:space="preserve">The agenda (Document </w:t>
      </w:r>
      <w:hyperlink r:id="rId528" w:history="1">
        <w:r w:rsidRPr="00380B40">
          <w:rPr>
            <w:rStyle w:val="Hyperlink"/>
            <w:szCs w:val="22"/>
            <w:lang w:val="en-GB"/>
          </w:rPr>
          <w:t>ADM/3</w:t>
        </w:r>
      </w:hyperlink>
      <w:r w:rsidRPr="00380B40">
        <w:rPr>
          <w:rStyle w:val="Hyperlink"/>
          <w:szCs w:val="22"/>
          <w:lang w:val="en-GB"/>
        </w:rPr>
        <w:t>-R1</w:t>
      </w:r>
      <w:r w:rsidRPr="00380B40">
        <w:rPr>
          <w:szCs w:val="22"/>
          <w:lang w:val="en-GB"/>
        </w:rPr>
        <w:t>) was adopted.</w:t>
      </w:r>
    </w:p>
    <w:p w14:paraId="783E46E9" w14:textId="77777777" w:rsidR="009033A7" w:rsidRPr="00380B40" w:rsidRDefault="009033A7" w:rsidP="002C2FAF">
      <w:pPr>
        <w:pStyle w:val="Heading1"/>
        <w:rPr>
          <w:lang w:val="en-GB"/>
        </w:rPr>
      </w:pPr>
      <w:bookmarkStart w:id="2449" w:name="_Toc111637177"/>
      <w:r w:rsidRPr="00380B40">
        <w:rPr>
          <w:lang w:val="en-GB"/>
        </w:rPr>
        <w:t>5</w:t>
      </w:r>
      <w:r w:rsidRPr="00380B40">
        <w:rPr>
          <w:lang w:val="en-GB"/>
        </w:rPr>
        <w:tab/>
        <w:t>Election of Chairman of the Assembly</w:t>
      </w:r>
      <w:bookmarkEnd w:id="2449"/>
    </w:p>
    <w:p w14:paraId="08335900" w14:textId="77777777" w:rsidR="009033A7" w:rsidRPr="00380B40" w:rsidRDefault="009033A7" w:rsidP="002C2FAF">
      <w:pPr>
        <w:rPr>
          <w:lang w:val="en-GB"/>
        </w:rPr>
      </w:pPr>
      <w:r w:rsidRPr="00380B40">
        <w:rPr>
          <w:lang w:val="en-GB"/>
        </w:rPr>
        <w:t xml:space="preserve">Mr Bruce Gracie (Canada) was elected by acclamation as WTSA-20 Chairman of the Assembly, as proposed by the Heads of Delegation meeting (Document </w:t>
      </w:r>
      <w:hyperlink r:id="rId529" w:history="1">
        <w:r w:rsidRPr="00380B40">
          <w:rPr>
            <w:rStyle w:val="Hyperlink"/>
            <w:szCs w:val="22"/>
            <w:lang w:val="en-GB"/>
          </w:rPr>
          <w:t>DT/5-R1</w:t>
        </w:r>
      </w:hyperlink>
      <w:r w:rsidRPr="00380B40">
        <w:rPr>
          <w:lang w:val="en-GB"/>
        </w:rPr>
        <w:t>).</w:t>
      </w:r>
    </w:p>
    <w:p w14:paraId="34EA0E52" w14:textId="77777777" w:rsidR="002C2FAF" w:rsidRPr="00380B40" w:rsidRDefault="002C2FAF" w:rsidP="002C2FAF">
      <w:pPr>
        <w:pStyle w:val="Heading1"/>
        <w:rPr>
          <w:lang w:val="en-GB"/>
        </w:rPr>
      </w:pPr>
      <w:r w:rsidRPr="00380B40">
        <w:rPr>
          <w:lang w:val="en-GB"/>
        </w:rPr>
        <w:br w:type="page"/>
      </w:r>
    </w:p>
    <w:p w14:paraId="123437E8" w14:textId="77777777" w:rsidR="009033A7" w:rsidRPr="00380B40" w:rsidRDefault="009033A7" w:rsidP="00104595">
      <w:pPr>
        <w:pStyle w:val="Heading1"/>
        <w:rPr>
          <w:lang w:val="en-GB"/>
        </w:rPr>
      </w:pPr>
      <w:bookmarkStart w:id="2450" w:name="_Toc111637178"/>
      <w:r w:rsidRPr="00380B40">
        <w:rPr>
          <w:lang w:val="en-GB"/>
        </w:rPr>
        <w:t>6</w:t>
      </w:r>
      <w:r w:rsidRPr="00380B40">
        <w:rPr>
          <w:lang w:val="en-GB"/>
        </w:rPr>
        <w:tab/>
        <w:t>Address by the Chairman of the Assembly</w:t>
      </w:r>
      <w:bookmarkEnd w:id="2450"/>
    </w:p>
    <w:p w14:paraId="78518A22" w14:textId="77777777" w:rsidR="009033A7" w:rsidRPr="00380B40" w:rsidRDefault="009033A7" w:rsidP="002C2FAF">
      <w:pPr>
        <w:rPr>
          <w:lang w:val="en-GB"/>
        </w:rPr>
      </w:pPr>
      <w:r w:rsidRPr="00380B40">
        <w:rPr>
          <w:lang w:val="en-GB"/>
        </w:rPr>
        <w:t>The Chairman, Mr Bruce Gracie, provided his opening address wherein he recognized the novel situation of an Assembly having both physical and remote participation. He added that many proposals had been submitted to this Assembly, which would have two days less than WTSA-16 to complete the work. Because of the constraint of fewer working hours, there would be a need to work diligently and efficiently to achieve consensus. This would entail the need to make compromises for reaching agreements, and to be as flexible as possible in finding solutions. He also added that there could also be instances when it might be necessary to refer some issues for further analysis and development to TSAG, to Council or to the Plenipotentiary Conference.</w:t>
      </w:r>
    </w:p>
    <w:p w14:paraId="6B2D25CC" w14:textId="77777777" w:rsidR="009033A7" w:rsidRPr="00380B40" w:rsidRDefault="009033A7" w:rsidP="00104595">
      <w:pPr>
        <w:pStyle w:val="Heading1"/>
        <w:rPr>
          <w:lang w:val="en-GB"/>
        </w:rPr>
      </w:pPr>
      <w:bookmarkStart w:id="2451" w:name="_Toc111637179"/>
      <w:r w:rsidRPr="00380B40">
        <w:rPr>
          <w:lang w:val="en-GB"/>
        </w:rPr>
        <w:t>7</w:t>
      </w:r>
      <w:r w:rsidRPr="00380B40">
        <w:rPr>
          <w:lang w:val="en-GB"/>
        </w:rPr>
        <w:tab/>
        <w:t>Address by the Director of the Telecommunication Standardization Bureau (TSB)</w:t>
      </w:r>
      <w:bookmarkEnd w:id="2451"/>
    </w:p>
    <w:p w14:paraId="3E0FEF3B" w14:textId="77777777" w:rsidR="009033A7" w:rsidRPr="00380B40" w:rsidRDefault="009033A7" w:rsidP="002C2FAF">
      <w:pPr>
        <w:rPr>
          <w:lang w:val="en-GB"/>
        </w:rPr>
      </w:pPr>
      <w:r w:rsidRPr="00380B40">
        <w:rPr>
          <w:lang w:val="en-GB"/>
        </w:rPr>
        <w:t>The Director of the Telecommunication Standardization Bureau (TSB), Mr Chaesub Lee, provided his opening address, wherein he highlighted the importance of digital transformation to the global future. He promoted the trusted ITU-T standardization platform as being instrumental for building international standards in the ICT domain such as for 5G, Internet of Things and trust in ICTs in areas such as healthcare, financial services, road safety and Smart Sustainable Cities and Communities, where ITU-T Focus Groups innovate on new areas such as Artificial Intelligence for Good and bring-in new industries and private sector bodies.</w:t>
      </w:r>
    </w:p>
    <w:p w14:paraId="04598879" w14:textId="77777777" w:rsidR="009033A7" w:rsidRPr="00380B40" w:rsidRDefault="009033A7" w:rsidP="00104595">
      <w:pPr>
        <w:pStyle w:val="Heading1"/>
        <w:rPr>
          <w:lang w:val="en-GB"/>
        </w:rPr>
      </w:pPr>
      <w:bookmarkStart w:id="2452" w:name="_Toc111637180"/>
      <w:r w:rsidRPr="00380B40">
        <w:rPr>
          <w:lang w:val="en-GB"/>
        </w:rPr>
        <w:t>8</w:t>
      </w:r>
      <w:r w:rsidRPr="00380B40">
        <w:rPr>
          <w:lang w:val="en-GB"/>
        </w:rPr>
        <w:tab/>
        <w:t>Election of the Vice-Chairmen of the Assembly</w:t>
      </w:r>
      <w:bookmarkEnd w:id="2452"/>
    </w:p>
    <w:p w14:paraId="79D53BDB" w14:textId="77777777" w:rsidR="009033A7" w:rsidRPr="00380B40" w:rsidRDefault="009033A7" w:rsidP="002C2FAF">
      <w:pPr>
        <w:rPr>
          <w:lang w:val="en-GB"/>
        </w:rPr>
      </w:pPr>
      <w:r w:rsidRPr="00380B40">
        <w:rPr>
          <w:lang w:val="en-GB"/>
        </w:rPr>
        <w:t xml:space="preserve">The Plenary appointed the following five WTSA-20 Vice-Chairmen by acclamation (Document </w:t>
      </w:r>
      <w:hyperlink r:id="rId530" w:history="1">
        <w:r w:rsidRPr="00380B40">
          <w:rPr>
            <w:rStyle w:val="Hyperlink"/>
            <w:szCs w:val="22"/>
            <w:lang w:val="en-GB"/>
          </w:rPr>
          <w:t>DT/5-R2</w:t>
        </w:r>
      </w:hyperlink>
      <w:r w:rsidRPr="00380B40">
        <w:rPr>
          <w:lang w:val="en-GB"/>
        </w:rPr>
        <w:t>) as proposed by the Head of Delegation meeting.</w:t>
      </w:r>
    </w:p>
    <w:p w14:paraId="04663FB7" w14:textId="77777777" w:rsidR="009033A7" w:rsidRPr="00380B40" w:rsidRDefault="00104595" w:rsidP="002C2FAF">
      <w:pPr>
        <w:pStyle w:val="enumlev1"/>
        <w:rPr>
          <w:lang w:val="en-GB"/>
        </w:rPr>
      </w:pPr>
      <w:r w:rsidRPr="00380B40">
        <w:rPr>
          <w:lang w:val="en-GB"/>
        </w:rPr>
        <w:t>•</w:t>
      </w:r>
      <w:r w:rsidRPr="00380B40">
        <w:rPr>
          <w:lang w:val="en-GB"/>
        </w:rPr>
        <w:tab/>
      </w:r>
      <w:r w:rsidR="009033A7" w:rsidRPr="00380B40">
        <w:rPr>
          <w:lang w:val="en-GB"/>
        </w:rPr>
        <w:t>Mr Yoichi MAEDA (APT, Japan),</w:t>
      </w:r>
    </w:p>
    <w:p w14:paraId="61A70C65" w14:textId="77777777" w:rsidR="009033A7" w:rsidRPr="00380B40" w:rsidRDefault="00104595" w:rsidP="00104595">
      <w:pPr>
        <w:pStyle w:val="enumlev1"/>
        <w:rPr>
          <w:lang w:val="en-GB"/>
        </w:rPr>
      </w:pPr>
      <w:r w:rsidRPr="00380B40">
        <w:rPr>
          <w:lang w:val="en-GB"/>
        </w:rPr>
        <w:t>•</w:t>
      </w:r>
      <w:r w:rsidRPr="00380B40">
        <w:rPr>
          <w:lang w:val="en-GB"/>
        </w:rPr>
        <w:tab/>
      </w:r>
      <w:r w:rsidR="009033A7" w:rsidRPr="00380B40">
        <w:rPr>
          <w:lang w:val="en-GB"/>
        </w:rPr>
        <w:t>Mr Tobias KAUFMANN (CEPT, Germany),</w:t>
      </w:r>
    </w:p>
    <w:p w14:paraId="60937261" w14:textId="77777777" w:rsidR="009033A7" w:rsidRPr="00380B40" w:rsidRDefault="00104595" w:rsidP="00104595">
      <w:pPr>
        <w:pStyle w:val="enumlev1"/>
        <w:rPr>
          <w:lang w:val="en-GB"/>
        </w:rPr>
      </w:pPr>
      <w:r w:rsidRPr="00380B40">
        <w:rPr>
          <w:lang w:val="en-GB"/>
        </w:rPr>
        <w:t>•</w:t>
      </w:r>
      <w:r w:rsidRPr="00380B40">
        <w:rPr>
          <w:lang w:val="en-GB"/>
        </w:rPr>
        <w:tab/>
      </w:r>
      <w:r w:rsidR="009033A7" w:rsidRPr="00380B40">
        <w:rPr>
          <w:lang w:val="en-GB"/>
        </w:rPr>
        <w:t>Mr Mohamed AL RAMSI (LAS, United Arab Emirates),</w:t>
      </w:r>
    </w:p>
    <w:p w14:paraId="1397DE77" w14:textId="77777777" w:rsidR="009033A7" w:rsidRPr="00380B40" w:rsidRDefault="00104595" w:rsidP="00104595">
      <w:pPr>
        <w:pStyle w:val="enumlev1"/>
        <w:rPr>
          <w:lang w:val="en-GB"/>
        </w:rPr>
      </w:pPr>
      <w:r w:rsidRPr="00380B40">
        <w:rPr>
          <w:lang w:val="en-GB"/>
        </w:rPr>
        <w:t>•</w:t>
      </w:r>
      <w:r w:rsidRPr="00380B40">
        <w:rPr>
          <w:lang w:val="en-GB"/>
        </w:rPr>
        <w:tab/>
      </w:r>
      <w:r w:rsidR="009033A7" w:rsidRPr="00380B40">
        <w:rPr>
          <w:lang w:val="en-GB"/>
        </w:rPr>
        <w:t>Mr Kwame BAAH-ACHEAMFUOR (ATU, Ghana),</w:t>
      </w:r>
    </w:p>
    <w:p w14:paraId="443E2BEF" w14:textId="77777777" w:rsidR="009033A7" w:rsidRPr="00380B40" w:rsidRDefault="00104595" w:rsidP="00104595">
      <w:pPr>
        <w:pStyle w:val="enumlev1"/>
        <w:rPr>
          <w:lang w:val="es-ES"/>
        </w:rPr>
      </w:pPr>
      <w:r w:rsidRPr="00380B40">
        <w:rPr>
          <w:lang w:val="es-ES"/>
        </w:rPr>
        <w:t>•</w:t>
      </w:r>
      <w:r w:rsidRPr="00380B40">
        <w:rPr>
          <w:lang w:val="es-ES"/>
        </w:rPr>
        <w:tab/>
      </w:r>
      <w:r w:rsidR="009033A7" w:rsidRPr="00380B40">
        <w:rPr>
          <w:lang w:val="es-ES"/>
        </w:rPr>
        <w:t>and Ms Tania VILLA (CITEL, Mexico).</w:t>
      </w:r>
    </w:p>
    <w:p w14:paraId="20284C37" w14:textId="77777777" w:rsidR="009033A7" w:rsidRPr="00380B40" w:rsidRDefault="009033A7" w:rsidP="009033A7">
      <w:pPr>
        <w:tabs>
          <w:tab w:val="center" w:pos="8222"/>
        </w:tabs>
        <w:jc w:val="left"/>
        <w:rPr>
          <w:szCs w:val="22"/>
          <w:lang w:val="en-GB"/>
        </w:rPr>
      </w:pPr>
      <w:r w:rsidRPr="00380B40">
        <w:rPr>
          <w:szCs w:val="22"/>
          <w:lang w:val="en-GB"/>
        </w:rPr>
        <w:t>The Plenary agreed to place the name of Mr Alexey Borodin in square backets for continuing consultations.</w:t>
      </w:r>
    </w:p>
    <w:p w14:paraId="45008C08" w14:textId="77777777" w:rsidR="009033A7" w:rsidRPr="00380B40" w:rsidRDefault="009033A7" w:rsidP="00104595">
      <w:pPr>
        <w:pStyle w:val="Heading1"/>
        <w:rPr>
          <w:lang w:val="en-GB"/>
        </w:rPr>
      </w:pPr>
      <w:bookmarkStart w:id="2453" w:name="_Toc111637181"/>
      <w:r w:rsidRPr="00380B40">
        <w:rPr>
          <w:lang w:val="en-GB"/>
        </w:rPr>
        <w:t>9</w:t>
      </w:r>
      <w:r w:rsidRPr="00380B40">
        <w:rPr>
          <w:lang w:val="en-GB"/>
        </w:rPr>
        <w:tab/>
        <w:t>Establishment of Committees (Structure of the Assembly)</w:t>
      </w:r>
      <w:bookmarkEnd w:id="2453"/>
    </w:p>
    <w:p w14:paraId="4108F5A2" w14:textId="77777777" w:rsidR="009033A7" w:rsidRPr="00380B40" w:rsidRDefault="009033A7" w:rsidP="009033A7">
      <w:pPr>
        <w:spacing w:before="120" w:line="240" w:lineRule="auto"/>
        <w:ind w:right="-79"/>
        <w:jc w:val="left"/>
        <w:rPr>
          <w:szCs w:val="22"/>
          <w:lang w:val="en-GB"/>
        </w:rPr>
      </w:pPr>
      <w:r w:rsidRPr="00380B40">
        <w:rPr>
          <w:szCs w:val="22"/>
          <w:lang w:val="en-GB"/>
        </w:rPr>
        <w:t xml:space="preserve">The Plenary approved the structure of the Assembly and the mandates of the Committees and the Working Groups of the Committees (Document </w:t>
      </w:r>
      <w:hyperlink r:id="rId531" w:history="1">
        <w:r w:rsidRPr="00380B40">
          <w:rPr>
            <w:rStyle w:val="Hyperlink"/>
            <w:szCs w:val="22"/>
            <w:lang w:val="en-GB"/>
          </w:rPr>
          <w:t>DT/4</w:t>
        </w:r>
      </w:hyperlink>
      <w:r w:rsidRPr="00380B40">
        <w:rPr>
          <w:szCs w:val="22"/>
          <w:lang w:val="en-GB"/>
        </w:rPr>
        <w:t>).</w:t>
      </w:r>
    </w:p>
    <w:p w14:paraId="0FC422D1" w14:textId="77777777" w:rsidR="009033A7" w:rsidRPr="00380B40" w:rsidRDefault="00104595" w:rsidP="00104595">
      <w:pPr>
        <w:pStyle w:val="enumlev1"/>
        <w:rPr>
          <w:lang w:val="en-GB"/>
        </w:rPr>
      </w:pPr>
      <w:r w:rsidRPr="00380B40">
        <w:rPr>
          <w:lang w:val="en-GB"/>
        </w:rPr>
        <w:t>•</w:t>
      </w:r>
      <w:r w:rsidRPr="00380B40">
        <w:rPr>
          <w:lang w:val="en-GB"/>
        </w:rPr>
        <w:tab/>
      </w:r>
      <w:r w:rsidR="009033A7" w:rsidRPr="00380B40">
        <w:rPr>
          <w:lang w:val="en-GB"/>
        </w:rPr>
        <w:t xml:space="preserve">Committee 1 </w:t>
      </w:r>
      <w:r w:rsidR="00C30006" w:rsidRPr="00380B40">
        <w:rPr>
          <w:lang w:val="en-GB"/>
        </w:rPr>
        <w:t>–</w:t>
      </w:r>
      <w:r w:rsidR="009033A7" w:rsidRPr="00380B40">
        <w:rPr>
          <w:lang w:val="en-GB"/>
        </w:rPr>
        <w:t xml:space="preserve"> Steering Committee</w:t>
      </w:r>
    </w:p>
    <w:p w14:paraId="72787308" w14:textId="77777777" w:rsidR="009033A7" w:rsidRPr="00380B40" w:rsidRDefault="00104595" w:rsidP="00104595">
      <w:pPr>
        <w:pStyle w:val="enumlev1"/>
        <w:rPr>
          <w:lang w:val="en-GB"/>
        </w:rPr>
      </w:pPr>
      <w:r w:rsidRPr="00380B40">
        <w:rPr>
          <w:lang w:val="en-GB"/>
        </w:rPr>
        <w:t>•</w:t>
      </w:r>
      <w:r w:rsidRPr="00380B40">
        <w:rPr>
          <w:lang w:val="en-GB"/>
        </w:rPr>
        <w:tab/>
      </w:r>
      <w:r w:rsidR="009033A7" w:rsidRPr="00380B40">
        <w:rPr>
          <w:lang w:val="en-GB"/>
        </w:rPr>
        <w:t xml:space="preserve">Committee 2 </w:t>
      </w:r>
      <w:r w:rsidR="00C30006" w:rsidRPr="00380B40">
        <w:rPr>
          <w:lang w:val="en-GB"/>
        </w:rPr>
        <w:t>–</w:t>
      </w:r>
      <w:r w:rsidR="009033A7" w:rsidRPr="00380B40">
        <w:rPr>
          <w:lang w:val="en-GB"/>
        </w:rPr>
        <w:t xml:space="preserve"> Budget Control</w:t>
      </w:r>
    </w:p>
    <w:p w14:paraId="11E1E236" w14:textId="77777777" w:rsidR="009033A7" w:rsidRPr="00380B40" w:rsidRDefault="00104595" w:rsidP="00104595">
      <w:pPr>
        <w:pStyle w:val="enumlev1"/>
        <w:rPr>
          <w:lang w:val="en-GB"/>
        </w:rPr>
      </w:pPr>
      <w:r w:rsidRPr="00380B40">
        <w:rPr>
          <w:lang w:val="en-GB"/>
        </w:rPr>
        <w:t>•</w:t>
      </w:r>
      <w:r w:rsidRPr="00380B40">
        <w:rPr>
          <w:lang w:val="en-GB"/>
        </w:rPr>
        <w:tab/>
      </w:r>
      <w:r w:rsidR="009033A7" w:rsidRPr="00380B40">
        <w:rPr>
          <w:lang w:val="en-GB"/>
        </w:rPr>
        <w:t xml:space="preserve">Committee 3 </w:t>
      </w:r>
      <w:r w:rsidR="00C30006" w:rsidRPr="00380B40">
        <w:rPr>
          <w:lang w:val="en-GB"/>
        </w:rPr>
        <w:t>–</w:t>
      </w:r>
      <w:r w:rsidR="009033A7" w:rsidRPr="00380B40">
        <w:rPr>
          <w:lang w:val="en-GB"/>
        </w:rPr>
        <w:t xml:space="preserve"> Working methods of ITU-T</w:t>
      </w:r>
    </w:p>
    <w:p w14:paraId="21AFDF1A" w14:textId="77777777" w:rsidR="009033A7" w:rsidRPr="00380B40" w:rsidRDefault="00104595" w:rsidP="00104595">
      <w:pPr>
        <w:pStyle w:val="enumlev1"/>
        <w:rPr>
          <w:lang w:val="en-GB"/>
        </w:rPr>
      </w:pPr>
      <w:r w:rsidRPr="00380B40">
        <w:rPr>
          <w:lang w:val="en-GB"/>
        </w:rPr>
        <w:t>•</w:t>
      </w:r>
      <w:r w:rsidRPr="00380B40">
        <w:rPr>
          <w:lang w:val="en-GB"/>
        </w:rPr>
        <w:tab/>
      </w:r>
      <w:r w:rsidR="009033A7" w:rsidRPr="00380B40">
        <w:rPr>
          <w:lang w:val="en-GB"/>
        </w:rPr>
        <w:t>Working Group A of Committee 3 (WG3A)</w:t>
      </w:r>
    </w:p>
    <w:p w14:paraId="730EA5BC" w14:textId="77777777" w:rsidR="008776A7" w:rsidRPr="00380B40" w:rsidRDefault="008776A7" w:rsidP="00104595">
      <w:pPr>
        <w:pStyle w:val="enumlev1"/>
        <w:rPr>
          <w:lang w:val="en-GB"/>
        </w:rPr>
      </w:pPr>
      <w:r w:rsidRPr="00380B40">
        <w:rPr>
          <w:lang w:val="en-GB"/>
        </w:rPr>
        <w:br w:type="page"/>
      </w:r>
    </w:p>
    <w:p w14:paraId="13F90D78" w14:textId="77777777" w:rsidR="009033A7" w:rsidRPr="00380B40" w:rsidRDefault="00104595" w:rsidP="00104595">
      <w:pPr>
        <w:pStyle w:val="enumlev1"/>
        <w:rPr>
          <w:lang w:val="en-GB"/>
        </w:rPr>
      </w:pPr>
      <w:r w:rsidRPr="00380B40">
        <w:rPr>
          <w:lang w:val="en-GB"/>
        </w:rPr>
        <w:t>•</w:t>
      </w:r>
      <w:r w:rsidRPr="00380B40">
        <w:rPr>
          <w:lang w:val="en-GB"/>
        </w:rPr>
        <w:tab/>
      </w:r>
      <w:r w:rsidR="009033A7" w:rsidRPr="00380B40">
        <w:rPr>
          <w:lang w:val="en-GB"/>
        </w:rPr>
        <w:t>Working Group B of Committee 3 (WG3B)</w:t>
      </w:r>
    </w:p>
    <w:p w14:paraId="548664EC" w14:textId="77777777" w:rsidR="009033A7" w:rsidRPr="00380B40" w:rsidRDefault="00104595" w:rsidP="00104595">
      <w:pPr>
        <w:pStyle w:val="enumlev1"/>
        <w:rPr>
          <w:lang w:val="en-GB"/>
        </w:rPr>
      </w:pPr>
      <w:r w:rsidRPr="00380B40">
        <w:rPr>
          <w:lang w:val="en-GB"/>
        </w:rPr>
        <w:t>•</w:t>
      </w:r>
      <w:r w:rsidRPr="00380B40">
        <w:rPr>
          <w:lang w:val="en-GB"/>
        </w:rPr>
        <w:tab/>
      </w:r>
      <w:r w:rsidR="009033A7" w:rsidRPr="00380B40">
        <w:rPr>
          <w:lang w:val="en-GB"/>
        </w:rPr>
        <w:t>Committee 4 – ITU-T work programme and organization</w:t>
      </w:r>
    </w:p>
    <w:p w14:paraId="42DA91A5" w14:textId="77777777" w:rsidR="009033A7" w:rsidRPr="00380B40" w:rsidRDefault="00104595" w:rsidP="00104595">
      <w:pPr>
        <w:pStyle w:val="enumlev1"/>
        <w:rPr>
          <w:lang w:val="en-GB"/>
        </w:rPr>
      </w:pPr>
      <w:r w:rsidRPr="00380B40">
        <w:rPr>
          <w:lang w:val="en-GB"/>
        </w:rPr>
        <w:t>•</w:t>
      </w:r>
      <w:r w:rsidRPr="00380B40">
        <w:rPr>
          <w:lang w:val="en-GB"/>
        </w:rPr>
        <w:tab/>
      </w:r>
      <w:r w:rsidR="009033A7" w:rsidRPr="00380B40">
        <w:rPr>
          <w:lang w:val="en-GB"/>
        </w:rPr>
        <w:t>Working Group A of Committee 4 (WG4A)</w:t>
      </w:r>
    </w:p>
    <w:p w14:paraId="56122D99" w14:textId="77777777" w:rsidR="009033A7" w:rsidRPr="00380B40" w:rsidRDefault="00104595" w:rsidP="00104595">
      <w:pPr>
        <w:pStyle w:val="enumlev1"/>
        <w:rPr>
          <w:lang w:val="en-GB"/>
        </w:rPr>
      </w:pPr>
      <w:r w:rsidRPr="00380B40">
        <w:rPr>
          <w:lang w:val="en-GB"/>
        </w:rPr>
        <w:t>•</w:t>
      </w:r>
      <w:r w:rsidRPr="00380B40">
        <w:rPr>
          <w:lang w:val="en-GB"/>
        </w:rPr>
        <w:tab/>
      </w:r>
      <w:r w:rsidR="009033A7" w:rsidRPr="00380B40">
        <w:rPr>
          <w:lang w:val="en-GB"/>
        </w:rPr>
        <w:t>Working Group B of Committee 4 (WG4B)</w:t>
      </w:r>
    </w:p>
    <w:p w14:paraId="126C2B70" w14:textId="77777777" w:rsidR="009033A7" w:rsidRPr="00380B40" w:rsidRDefault="00104595" w:rsidP="00104595">
      <w:pPr>
        <w:pStyle w:val="enumlev1"/>
        <w:rPr>
          <w:lang w:val="en-GB"/>
        </w:rPr>
      </w:pPr>
      <w:r w:rsidRPr="00380B40">
        <w:rPr>
          <w:lang w:val="en-GB"/>
        </w:rPr>
        <w:t>•</w:t>
      </w:r>
      <w:r w:rsidRPr="00380B40">
        <w:rPr>
          <w:lang w:val="en-GB"/>
        </w:rPr>
        <w:tab/>
      </w:r>
      <w:r w:rsidR="009033A7" w:rsidRPr="00380B40">
        <w:rPr>
          <w:lang w:val="en-GB"/>
        </w:rPr>
        <w:t xml:space="preserve">Committee 5 </w:t>
      </w:r>
      <w:r w:rsidR="00C30006" w:rsidRPr="00380B40">
        <w:rPr>
          <w:lang w:val="en-GB"/>
        </w:rPr>
        <w:t>–</w:t>
      </w:r>
      <w:r w:rsidR="009033A7" w:rsidRPr="00380B40">
        <w:rPr>
          <w:lang w:val="en-GB"/>
        </w:rPr>
        <w:t xml:space="preserve"> Editorial Committee.</w:t>
      </w:r>
    </w:p>
    <w:p w14:paraId="5ACB2DE5" w14:textId="77777777" w:rsidR="009033A7" w:rsidRPr="00380B40" w:rsidRDefault="009033A7" w:rsidP="00104595">
      <w:pPr>
        <w:pStyle w:val="Heading1"/>
        <w:rPr>
          <w:lang w:val="en-GB"/>
        </w:rPr>
      </w:pPr>
      <w:bookmarkStart w:id="2454" w:name="_Toc111637182"/>
      <w:r w:rsidRPr="00380B40">
        <w:rPr>
          <w:lang w:val="en-GB"/>
        </w:rPr>
        <w:t>10</w:t>
      </w:r>
      <w:r w:rsidRPr="00380B40">
        <w:rPr>
          <w:lang w:val="en-GB"/>
        </w:rPr>
        <w:tab/>
        <w:t>Election of Committee and Working Group Chairmen and Vice-Chairmen</w:t>
      </w:r>
      <w:bookmarkEnd w:id="2454"/>
    </w:p>
    <w:p w14:paraId="3FAC8B99" w14:textId="77777777" w:rsidR="009033A7" w:rsidRPr="00380B40" w:rsidRDefault="009033A7" w:rsidP="00104595">
      <w:pPr>
        <w:rPr>
          <w:lang w:val="en-GB"/>
        </w:rPr>
      </w:pPr>
      <w:r w:rsidRPr="00380B40">
        <w:rPr>
          <w:lang w:val="en-GB"/>
        </w:rPr>
        <w:t xml:space="preserve">The Assembly elected the Chairmen and Vice-Chairmen of the Committees and Working Groups by acclamation (Document </w:t>
      </w:r>
      <w:hyperlink r:id="rId532" w:history="1">
        <w:r w:rsidRPr="00380B40">
          <w:rPr>
            <w:rStyle w:val="Hyperlink"/>
            <w:szCs w:val="22"/>
            <w:lang w:val="en-GB"/>
          </w:rPr>
          <w:t>DT/5-R2</w:t>
        </w:r>
      </w:hyperlink>
      <w:r w:rsidRPr="00380B40">
        <w:rPr>
          <w:lang w:val="en-GB"/>
        </w:rPr>
        <w:t>).</w:t>
      </w:r>
    </w:p>
    <w:p w14:paraId="59744B84" w14:textId="77777777" w:rsidR="009033A7" w:rsidRPr="00380B40" w:rsidRDefault="009033A7" w:rsidP="00104595">
      <w:pPr>
        <w:rPr>
          <w:lang w:val="en-GB"/>
        </w:rPr>
      </w:pPr>
      <w:r w:rsidRPr="00380B40">
        <w:rPr>
          <w:lang w:val="en-GB"/>
        </w:rPr>
        <w:t>The Plenary agreed to place the name of Mr Konstantin Trofimov in square backets for continuing consultations until resolution.</w:t>
      </w:r>
    </w:p>
    <w:p w14:paraId="5D81E61C" w14:textId="77777777" w:rsidR="009033A7" w:rsidRPr="00380B40" w:rsidRDefault="009033A7" w:rsidP="00104595">
      <w:pPr>
        <w:rPr>
          <w:lang w:val="en-GB"/>
        </w:rPr>
      </w:pPr>
      <w:r w:rsidRPr="00380B40">
        <w:rPr>
          <w:lang w:val="en-GB"/>
        </w:rPr>
        <w:t>The Russian Federation invited Ukraine to nominate a candidate for Committee 5.</w:t>
      </w:r>
    </w:p>
    <w:p w14:paraId="5B65B43C" w14:textId="77777777" w:rsidR="009033A7" w:rsidRPr="00380B40" w:rsidRDefault="009033A7" w:rsidP="00104595">
      <w:pPr>
        <w:pStyle w:val="Heading1"/>
        <w:rPr>
          <w:lang w:val="en-GB"/>
        </w:rPr>
      </w:pPr>
      <w:bookmarkStart w:id="2455" w:name="_Toc111637183"/>
      <w:r w:rsidRPr="00380B40">
        <w:rPr>
          <w:lang w:val="en-GB"/>
        </w:rPr>
        <w:t>11</w:t>
      </w:r>
      <w:r w:rsidRPr="00380B40">
        <w:rPr>
          <w:lang w:val="en-GB"/>
        </w:rPr>
        <w:tab/>
        <w:t>Secretariat of WTSA-20</w:t>
      </w:r>
      <w:bookmarkEnd w:id="2455"/>
    </w:p>
    <w:p w14:paraId="67C0497F" w14:textId="77777777" w:rsidR="009033A7" w:rsidRPr="00380B40" w:rsidRDefault="009033A7" w:rsidP="00104595">
      <w:pPr>
        <w:rPr>
          <w:lang w:val="en-GB"/>
        </w:rPr>
      </w:pPr>
      <w:r w:rsidRPr="00380B40">
        <w:rPr>
          <w:lang w:val="en-GB"/>
        </w:rPr>
        <w:t xml:space="preserve">The Chairman informed the meeting of the Secretariat of WTSA-20 (Document </w:t>
      </w:r>
      <w:hyperlink r:id="rId533" w:history="1">
        <w:r w:rsidRPr="00380B40">
          <w:rPr>
            <w:rStyle w:val="Hyperlink"/>
            <w:szCs w:val="22"/>
            <w:lang w:val="en-GB"/>
          </w:rPr>
          <w:t>DT/6</w:t>
        </w:r>
      </w:hyperlink>
      <w:r w:rsidRPr="00380B40">
        <w:rPr>
          <w:lang w:val="en-GB"/>
        </w:rPr>
        <w:t>).</w:t>
      </w:r>
    </w:p>
    <w:p w14:paraId="56D075F6" w14:textId="77777777" w:rsidR="009033A7" w:rsidRPr="00380B40" w:rsidRDefault="009033A7" w:rsidP="00104595">
      <w:pPr>
        <w:rPr>
          <w:lang w:val="en-GB"/>
        </w:rPr>
      </w:pPr>
      <w:r w:rsidRPr="00380B40">
        <w:rPr>
          <w:lang w:val="en-GB"/>
        </w:rPr>
        <w:t>Mr Bilel Jamoussi provided general information on the Secretariat and organization of the Assembly.</w:t>
      </w:r>
    </w:p>
    <w:p w14:paraId="164A3CA1" w14:textId="77777777" w:rsidR="009033A7" w:rsidRPr="00380B40" w:rsidRDefault="009033A7" w:rsidP="00104595">
      <w:pPr>
        <w:pStyle w:val="Heading1"/>
        <w:rPr>
          <w:lang w:val="en-GB"/>
        </w:rPr>
      </w:pPr>
      <w:bookmarkStart w:id="2456" w:name="_Toc111637184"/>
      <w:r w:rsidRPr="00380B40">
        <w:rPr>
          <w:lang w:val="en-GB"/>
        </w:rPr>
        <w:t>12</w:t>
      </w:r>
      <w:r w:rsidRPr="00380B40">
        <w:rPr>
          <w:lang w:val="en-GB"/>
        </w:rPr>
        <w:tab/>
        <w:t>Draft time management plan</w:t>
      </w:r>
      <w:bookmarkEnd w:id="2456"/>
    </w:p>
    <w:p w14:paraId="3904B34C" w14:textId="77777777" w:rsidR="009033A7" w:rsidRPr="00380B40" w:rsidRDefault="009033A7" w:rsidP="00104595">
      <w:pPr>
        <w:rPr>
          <w:lang w:val="en-GB"/>
        </w:rPr>
      </w:pPr>
      <w:r w:rsidRPr="00380B40">
        <w:rPr>
          <w:lang w:val="en-GB"/>
        </w:rPr>
        <w:t xml:space="preserve">The Plenary approved the time management plan in Document </w:t>
      </w:r>
      <w:hyperlink r:id="rId534" w:history="1">
        <w:r w:rsidRPr="00380B40">
          <w:rPr>
            <w:rStyle w:val="Hyperlink"/>
            <w:szCs w:val="22"/>
            <w:lang w:val="en-GB"/>
          </w:rPr>
          <w:t>DT/3</w:t>
        </w:r>
      </w:hyperlink>
      <w:r w:rsidRPr="00380B40">
        <w:rPr>
          <w:lang w:val="en-GB"/>
        </w:rPr>
        <w:t>. The Chairman pointed out that the time management plan would be revised according to the progress of the Assembly.</w:t>
      </w:r>
    </w:p>
    <w:p w14:paraId="045F370A" w14:textId="77777777" w:rsidR="009033A7" w:rsidRPr="00380B40" w:rsidRDefault="009033A7" w:rsidP="00104595">
      <w:pPr>
        <w:pStyle w:val="Heading1"/>
        <w:rPr>
          <w:lang w:val="en-GB"/>
        </w:rPr>
      </w:pPr>
      <w:bookmarkStart w:id="2457" w:name="_Toc111637185"/>
      <w:r w:rsidRPr="00380B40">
        <w:rPr>
          <w:lang w:val="en-GB"/>
        </w:rPr>
        <w:t>13</w:t>
      </w:r>
      <w:r w:rsidRPr="00380B40">
        <w:rPr>
          <w:lang w:val="en-GB"/>
        </w:rPr>
        <w:tab/>
        <w:t>List of contributions/proposals and allocation of documents to Plenary, Committees and Working Groups</w:t>
      </w:r>
      <w:bookmarkEnd w:id="2457"/>
    </w:p>
    <w:p w14:paraId="53CF3899" w14:textId="77777777" w:rsidR="009033A7" w:rsidRPr="00380B40" w:rsidRDefault="009033A7" w:rsidP="00104595">
      <w:pPr>
        <w:rPr>
          <w:b/>
          <w:bCs/>
          <w:szCs w:val="22"/>
          <w:lang w:val="en-GB"/>
        </w:rPr>
      </w:pPr>
      <w:r w:rsidRPr="00380B40">
        <w:rPr>
          <w:szCs w:val="22"/>
          <w:lang w:val="en-GB"/>
        </w:rPr>
        <w:t xml:space="preserve">The Plenary took note of Document </w:t>
      </w:r>
      <w:hyperlink r:id="rId535" w:history="1">
        <w:r w:rsidRPr="00380B40">
          <w:rPr>
            <w:rStyle w:val="Hyperlink"/>
            <w:szCs w:val="22"/>
            <w:lang w:val="en-GB"/>
          </w:rPr>
          <w:t>DT/1</w:t>
        </w:r>
      </w:hyperlink>
      <w:r w:rsidRPr="00380B40">
        <w:rPr>
          <w:szCs w:val="22"/>
          <w:lang w:val="en-GB"/>
        </w:rPr>
        <w:t>.</w:t>
      </w:r>
    </w:p>
    <w:p w14:paraId="4FBB27BD" w14:textId="77777777" w:rsidR="009033A7" w:rsidRPr="00380B40" w:rsidRDefault="009033A7" w:rsidP="00104595">
      <w:pPr>
        <w:pStyle w:val="Heading1"/>
        <w:rPr>
          <w:lang w:val="en-GB"/>
        </w:rPr>
      </w:pPr>
      <w:bookmarkStart w:id="2458" w:name="_Toc111637186"/>
      <w:r w:rsidRPr="00380B40">
        <w:rPr>
          <w:lang w:val="en-GB"/>
        </w:rPr>
        <w:t>14</w:t>
      </w:r>
      <w:r w:rsidRPr="00380B40">
        <w:rPr>
          <w:lang w:val="en-GB"/>
        </w:rPr>
        <w:tab/>
        <w:t>Suppression of Resolution 35</w:t>
      </w:r>
      <w:bookmarkEnd w:id="2458"/>
    </w:p>
    <w:p w14:paraId="59F0558D" w14:textId="77777777" w:rsidR="009033A7" w:rsidRPr="00380B40" w:rsidRDefault="009033A7" w:rsidP="00104595">
      <w:pPr>
        <w:rPr>
          <w:szCs w:val="22"/>
          <w:lang w:val="en-GB"/>
        </w:rPr>
      </w:pPr>
      <w:r w:rsidRPr="00380B40">
        <w:rPr>
          <w:szCs w:val="22"/>
          <w:lang w:val="en-GB"/>
        </w:rPr>
        <w:t xml:space="preserve">The Plenary, with proposals in </w:t>
      </w:r>
      <w:r w:rsidR="003C1D11" w:rsidRPr="00380B40">
        <w:rPr>
          <w:szCs w:val="22"/>
          <w:lang w:val="en-GB"/>
        </w:rPr>
        <w:t xml:space="preserve">documents </w:t>
      </w:r>
      <w:hyperlink r:id="rId536" w:history="1">
        <w:r w:rsidR="003C1D11" w:rsidRPr="00380B40">
          <w:rPr>
            <w:rStyle w:val="Hyperlink"/>
            <w:szCs w:val="22"/>
            <w:lang w:val="en-GB"/>
          </w:rPr>
          <w:t>C36Add5-R1</w:t>
        </w:r>
      </w:hyperlink>
      <w:r w:rsidR="003C1D11" w:rsidRPr="00380B40">
        <w:rPr>
          <w:szCs w:val="22"/>
          <w:lang w:val="en-GB"/>
        </w:rPr>
        <w:t xml:space="preserve">, </w:t>
      </w:r>
      <w:hyperlink r:id="rId537" w:history="1">
        <w:r w:rsidR="003C1D11" w:rsidRPr="00380B40">
          <w:rPr>
            <w:rStyle w:val="Hyperlink"/>
            <w:szCs w:val="22"/>
            <w:lang w:val="en-GB"/>
          </w:rPr>
          <w:t>C37Add6</w:t>
        </w:r>
      </w:hyperlink>
      <w:r w:rsidR="003C1D11" w:rsidRPr="00380B40">
        <w:rPr>
          <w:szCs w:val="22"/>
          <w:lang w:val="en-GB"/>
        </w:rPr>
        <w:t xml:space="preserve">, </w:t>
      </w:r>
      <w:hyperlink r:id="rId538" w:history="1">
        <w:r w:rsidR="003C1D11" w:rsidRPr="00380B40">
          <w:rPr>
            <w:rStyle w:val="Hyperlink"/>
            <w:szCs w:val="22"/>
            <w:lang w:val="en-GB"/>
          </w:rPr>
          <w:t>C38Add3</w:t>
        </w:r>
      </w:hyperlink>
      <w:r w:rsidR="003C1D11" w:rsidRPr="00380B40">
        <w:rPr>
          <w:szCs w:val="22"/>
          <w:lang w:val="en-GB"/>
        </w:rPr>
        <w:t xml:space="preserve">, </w:t>
      </w:r>
      <w:hyperlink r:id="rId539" w:history="1">
        <w:r w:rsidR="003C1D11" w:rsidRPr="00380B40">
          <w:rPr>
            <w:rStyle w:val="Hyperlink"/>
            <w:szCs w:val="22"/>
            <w:lang w:val="en-GB"/>
          </w:rPr>
          <w:t>C39Add1</w:t>
        </w:r>
      </w:hyperlink>
      <w:r w:rsidR="003C1D11" w:rsidRPr="00380B40">
        <w:rPr>
          <w:szCs w:val="22"/>
          <w:lang w:val="en-GB"/>
        </w:rPr>
        <w:t xml:space="preserve">, </w:t>
      </w:r>
      <w:hyperlink r:id="rId540" w:history="1">
        <w:r w:rsidR="003C1D11" w:rsidRPr="00380B40">
          <w:rPr>
            <w:rStyle w:val="Hyperlink"/>
            <w:szCs w:val="22"/>
            <w:lang w:val="en-GB"/>
          </w:rPr>
          <w:t>C40Add1</w:t>
        </w:r>
      </w:hyperlink>
      <w:r w:rsidR="003C1D11" w:rsidRPr="00380B40">
        <w:rPr>
          <w:rStyle w:val="Hyperlink"/>
          <w:szCs w:val="22"/>
          <w:lang w:val="en-GB"/>
        </w:rPr>
        <w:t>,</w:t>
      </w:r>
      <w:r w:rsidR="003C1D11" w:rsidRPr="00380B40">
        <w:rPr>
          <w:szCs w:val="22"/>
          <w:lang w:val="en-GB"/>
        </w:rPr>
        <w:t xml:space="preserve"> to suppress </w:t>
      </w:r>
      <w:r w:rsidRPr="00380B40">
        <w:rPr>
          <w:szCs w:val="22"/>
          <w:lang w:val="en-GB"/>
        </w:rPr>
        <w:t>Resolution 35 "Appointment and maximum term of office for chairmen and vice-chairmen of study groups of the Telecommunication Standardization Sector and of the Telecommunication Standardization Advisory Group", agreed to suppress Resolution 35 in light of the approval of Resolution 208 by the 2018 Plenipotentiary Conference.</w:t>
      </w:r>
    </w:p>
    <w:p w14:paraId="740EDE88" w14:textId="77777777" w:rsidR="008776A7" w:rsidRPr="00380B40" w:rsidRDefault="008776A7" w:rsidP="00104595">
      <w:pPr>
        <w:pStyle w:val="Heading1"/>
        <w:rPr>
          <w:lang w:val="en-GB"/>
        </w:rPr>
      </w:pPr>
      <w:r w:rsidRPr="00380B40">
        <w:rPr>
          <w:lang w:val="en-GB"/>
        </w:rPr>
        <w:br w:type="page"/>
      </w:r>
    </w:p>
    <w:p w14:paraId="797BFF37" w14:textId="77777777" w:rsidR="009033A7" w:rsidRPr="00380B40" w:rsidRDefault="009033A7" w:rsidP="00104595">
      <w:pPr>
        <w:pStyle w:val="Heading1"/>
        <w:rPr>
          <w:lang w:val="en-GB"/>
        </w:rPr>
      </w:pPr>
      <w:bookmarkStart w:id="2459" w:name="_Toc111637187"/>
      <w:r w:rsidRPr="00380B40">
        <w:rPr>
          <w:lang w:val="en-GB"/>
        </w:rPr>
        <w:t>15</w:t>
      </w:r>
      <w:r w:rsidRPr="00380B40">
        <w:rPr>
          <w:lang w:val="en-GB"/>
        </w:rPr>
        <w:tab/>
        <w:t>Contributions addressed to Plenary</w:t>
      </w:r>
      <w:bookmarkEnd w:id="2459"/>
    </w:p>
    <w:p w14:paraId="24FACBE8" w14:textId="77777777" w:rsidR="009033A7" w:rsidRPr="00380B40" w:rsidRDefault="009033A7" w:rsidP="00104595">
      <w:pPr>
        <w:rPr>
          <w:lang w:val="en-GB"/>
        </w:rPr>
      </w:pPr>
      <w:r w:rsidRPr="00380B40">
        <w:rPr>
          <w:lang w:val="en-GB"/>
        </w:rPr>
        <w:t xml:space="preserve">The Plenary discussed Document </w:t>
      </w:r>
      <w:hyperlink r:id="rId541" w:history="1">
        <w:r w:rsidRPr="00380B40">
          <w:rPr>
            <w:rStyle w:val="Hyperlink"/>
            <w:szCs w:val="22"/>
            <w:lang w:val="en-GB"/>
          </w:rPr>
          <w:t>C46-R1</w:t>
        </w:r>
      </w:hyperlink>
      <w:r w:rsidRPr="00380B40">
        <w:rPr>
          <w:lang w:val="en-GB"/>
        </w:rPr>
        <w:t xml:space="preserve"> with proposals for the work of the Assembly by Germany (Federal Republic of), Argentine Republic, Australia, Austria, Bahamas (Commonwealth of the), Bulgaria (Republic of), Canada, Denmark, El Salvador (Republic of), Finland, France, Hungary, Lithuania (Republic of), Mexico, Norway, Netherlands (Kingdom of the), Slovak Republic, Czech Republic, Romania, United Kingdom of Great Britain and Northern Ireland, and Sweden.</w:t>
      </w:r>
    </w:p>
    <w:p w14:paraId="446D3E8D" w14:textId="77777777" w:rsidR="009033A7" w:rsidRPr="00380B40" w:rsidRDefault="009033A7" w:rsidP="00104595">
      <w:pPr>
        <w:rPr>
          <w:lang w:val="en-GB"/>
        </w:rPr>
      </w:pPr>
      <w:r w:rsidRPr="00380B40">
        <w:rPr>
          <w:lang w:val="en-GB"/>
        </w:rPr>
        <w:t>The Plenary concluded:</w:t>
      </w:r>
    </w:p>
    <w:p w14:paraId="2E0574B3" w14:textId="77777777" w:rsidR="009033A7" w:rsidRPr="00380B40" w:rsidRDefault="00104595" w:rsidP="00104595">
      <w:pPr>
        <w:pStyle w:val="enumlev1"/>
        <w:rPr>
          <w:lang w:val="en-GB"/>
        </w:rPr>
      </w:pPr>
      <w:r w:rsidRPr="00380B40">
        <w:rPr>
          <w:lang w:val="en-GB"/>
        </w:rPr>
        <w:t>•</w:t>
      </w:r>
      <w:r w:rsidRPr="00380B40">
        <w:rPr>
          <w:lang w:val="en-GB"/>
        </w:rPr>
        <w:tab/>
      </w:r>
      <w:r w:rsidR="009033A7" w:rsidRPr="00380B40">
        <w:rPr>
          <w:lang w:val="en-GB"/>
        </w:rPr>
        <w:t>The General Rules are the procedures to be followed in the work over the course of this Assembly.</w:t>
      </w:r>
    </w:p>
    <w:p w14:paraId="225AC9D3" w14:textId="77777777" w:rsidR="009033A7" w:rsidRPr="00380B40" w:rsidRDefault="00104595" w:rsidP="00104595">
      <w:pPr>
        <w:pStyle w:val="enumlev1"/>
        <w:rPr>
          <w:lang w:val="en-GB"/>
        </w:rPr>
      </w:pPr>
      <w:r w:rsidRPr="00380B40">
        <w:rPr>
          <w:lang w:val="en-GB"/>
        </w:rPr>
        <w:t>•</w:t>
      </w:r>
      <w:r w:rsidRPr="00380B40">
        <w:rPr>
          <w:lang w:val="en-GB"/>
        </w:rPr>
        <w:tab/>
      </w:r>
      <w:r w:rsidR="009033A7" w:rsidRPr="00380B40">
        <w:rPr>
          <w:lang w:val="en-GB"/>
        </w:rPr>
        <w:t>The objective is to reach consensus by working efficiently and to agree as early and on as many issues as possible.</w:t>
      </w:r>
    </w:p>
    <w:p w14:paraId="0FFD727B" w14:textId="77777777" w:rsidR="009033A7" w:rsidRPr="00380B40" w:rsidRDefault="00104595" w:rsidP="00104595">
      <w:pPr>
        <w:pStyle w:val="enumlev1"/>
        <w:rPr>
          <w:lang w:val="en-GB"/>
        </w:rPr>
      </w:pPr>
      <w:r w:rsidRPr="00380B40">
        <w:rPr>
          <w:lang w:val="en-GB"/>
        </w:rPr>
        <w:t>•</w:t>
      </w:r>
      <w:r w:rsidRPr="00380B40">
        <w:rPr>
          <w:lang w:val="en-GB"/>
        </w:rPr>
        <w:tab/>
      </w:r>
      <w:r w:rsidR="009033A7" w:rsidRPr="00380B40">
        <w:rPr>
          <w:lang w:val="en-GB"/>
        </w:rPr>
        <w:t>To rely on the Steering Committee (COM1) to determine if there is a need for working outside of the normal hours for this Assembly, and to minimize the number of hours that will be needed in order to achieve consensus on any particular issue.</w:t>
      </w:r>
    </w:p>
    <w:p w14:paraId="091D8F76" w14:textId="77777777" w:rsidR="009033A7" w:rsidRPr="00380B40" w:rsidRDefault="009033A7" w:rsidP="00104595">
      <w:pPr>
        <w:pStyle w:val="Heading1"/>
        <w:rPr>
          <w:lang w:val="en-GB"/>
        </w:rPr>
      </w:pPr>
      <w:bookmarkStart w:id="2460" w:name="_Toc111637188"/>
      <w:r w:rsidRPr="00380B40">
        <w:rPr>
          <w:lang w:val="en-GB"/>
        </w:rPr>
        <w:t>16</w:t>
      </w:r>
      <w:r w:rsidRPr="00380B40">
        <w:rPr>
          <w:lang w:val="en-GB"/>
        </w:rPr>
        <w:tab/>
        <w:t>Tribute to deceased delegates</w:t>
      </w:r>
      <w:bookmarkEnd w:id="2460"/>
    </w:p>
    <w:p w14:paraId="4E154CE0" w14:textId="77777777" w:rsidR="009033A7" w:rsidRPr="00380B40" w:rsidRDefault="009033A7" w:rsidP="00104595">
      <w:pPr>
        <w:rPr>
          <w:lang w:val="en-GB"/>
        </w:rPr>
      </w:pPr>
      <w:r w:rsidRPr="00380B40">
        <w:rPr>
          <w:lang w:val="en-GB"/>
        </w:rPr>
        <w:t>The Assembly observed a minute of silence in tribute to the delegates deceased since WTSA-16 (Document</w:t>
      </w:r>
      <w:r w:rsidR="00104595" w:rsidRPr="00380B40">
        <w:rPr>
          <w:lang w:val="en-GB"/>
        </w:rPr>
        <w:t> </w:t>
      </w:r>
      <w:hyperlink r:id="rId542" w:history="1">
        <w:r w:rsidR="003C1D11" w:rsidRPr="00380B40">
          <w:rPr>
            <w:rStyle w:val="Hyperlink"/>
            <w:lang w:val="en-GB"/>
          </w:rPr>
          <w:t>C</w:t>
        </w:r>
        <w:r w:rsidRPr="00380B40">
          <w:rPr>
            <w:rStyle w:val="Hyperlink"/>
            <w:szCs w:val="22"/>
            <w:lang w:val="en-GB"/>
          </w:rPr>
          <w:t>41</w:t>
        </w:r>
      </w:hyperlink>
      <w:r w:rsidRPr="00380B40">
        <w:rPr>
          <w:lang w:val="en-GB"/>
        </w:rPr>
        <w:t>).</w:t>
      </w:r>
    </w:p>
    <w:p w14:paraId="22331142" w14:textId="77777777" w:rsidR="009033A7" w:rsidRPr="00380B40" w:rsidRDefault="009033A7" w:rsidP="00104595">
      <w:pPr>
        <w:pStyle w:val="Heading1"/>
        <w:rPr>
          <w:lang w:val="en-GB"/>
        </w:rPr>
      </w:pPr>
      <w:bookmarkStart w:id="2461" w:name="_Toc111637189"/>
      <w:r w:rsidRPr="00380B40">
        <w:rPr>
          <w:lang w:val="en-GB"/>
        </w:rPr>
        <w:t>17</w:t>
      </w:r>
      <w:r w:rsidRPr="00380B40">
        <w:rPr>
          <w:lang w:val="en-GB"/>
        </w:rPr>
        <w:tab/>
        <w:t>Expression of appreciation to retired delegates</w:t>
      </w:r>
      <w:bookmarkEnd w:id="2461"/>
    </w:p>
    <w:p w14:paraId="1C29C953" w14:textId="77777777" w:rsidR="009033A7" w:rsidRPr="00380B40" w:rsidRDefault="009033A7" w:rsidP="00104595">
      <w:pPr>
        <w:rPr>
          <w:lang w:val="en-GB"/>
        </w:rPr>
      </w:pPr>
      <w:r w:rsidRPr="00380B40">
        <w:rPr>
          <w:lang w:val="en-GB"/>
        </w:rPr>
        <w:t xml:space="preserve">The Chairman thanked the retired delegates for their valuable contributions to the standardization work of ITU (Document </w:t>
      </w:r>
      <w:hyperlink r:id="rId543" w:history="1">
        <w:r w:rsidR="003C1D11" w:rsidRPr="00380B40">
          <w:rPr>
            <w:rStyle w:val="Hyperlink"/>
            <w:lang w:val="en-GB"/>
          </w:rPr>
          <w:t>C</w:t>
        </w:r>
        <w:r w:rsidRPr="00380B40">
          <w:rPr>
            <w:rStyle w:val="Hyperlink"/>
            <w:szCs w:val="22"/>
            <w:lang w:val="en-GB"/>
          </w:rPr>
          <w:t>42</w:t>
        </w:r>
      </w:hyperlink>
      <w:r w:rsidRPr="00380B40">
        <w:rPr>
          <w:lang w:val="en-GB"/>
        </w:rPr>
        <w:t>).</w:t>
      </w:r>
    </w:p>
    <w:p w14:paraId="0A1D3F69" w14:textId="77777777" w:rsidR="009033A7" w:rsidRPr="00380B40" w:rsidRDefault="009033A7" w:rsidP="00104595">
      <w:pPr>
        <w:pStyle w:val="Heading1"/>
        <w:rPr>
          <w:lang w:val="en-GB"/>
        </w:rPr>
      </w:pPr>
      <w:bookmarkStart w:id="2462" w:name="_Toc111637190"/>
      <w:r w:rsidRPr="00380B40">
        <w:rPr>
          <w:lang w:val="en-GB"/>
        </w:rPr>
        <w:t>18</w:t>
      </w:r>
      <w:r w:rsidRPr="00380B40">
        <w:rPr>
          <w:lang w:val="en-GB"/>
        </w:rPr>
        <w:tab/>
        <w:t>Conclusions of the 4th Global Standards Symposium</w:t>
      </w:r>
      <w:bookmarkEnd w:id="2462"/>
    </w:p>
    <w:p w14:paraId="1F1652D9" w14:textId="77777777" w:rsidR="009033A7" w:rsidRPr="00380B40" w:rsidRDefault="009033A7" w:rsidP="00104595">
      <w:pPr>
        <w:rPr>
          <w:lang w:val="en-GB"/>
        </w:rPr>
      </w:pPr>
      <w:r w:rsidRPr="00380B40">
        <w:rPr>
          <w:lang w:val="en-GB"/>
        </w:rPr>
        <w:t>The 4th Global Standards Symposium took place on 28 February 2022 with the theme of international standards to enable digital transformation to achieve the Sustainable Development Goals (SDGs).</w:t>
      </w:r>
    </w:p>
    <w:p w14:paraId="36750F0C" w14:textId="77777777" w:rsidR="009033A7" w:rsidRPr="00380B40" w:rsidRDefault="009033A7" w:rsidP="00104595">
      <w:pPr>
        <w:rPr>
          <w:lang w:val="en-GB"/>
        </w:rPr>
      </w:pPr>
      <w:r w:rsidRPr="00380B40">
        <w:rPr>
          <w:rStyle w:val="Strong"/>
          <w:color w:val="242424"/>
          <w:szCs w:val="22"/>
          <w:lang w:val="en-GB"/>
        </w:rPr>
        <w:t>H.E. Ms Nele Leosk</w:t>
      </w:r>
      <w:r w:rsidRPr="00380B40">
        <w:rPr>
          <w:lang w:val="en-GB"/>
        </w:rPr>
        <w:t xml:space="preserve">, Ambassador-at-Large for Digital Affairs, Ministry of Foreign Affairs, Estonia, presented in Document </w:t>
      </w:r>
      <w:hyperlink r:id="rId544" w:history="1">
        <w:r w:rsidR="003C1D11" w:rsidRPr="00380B40">
          <w:rPr>
            <w:rStyle w:val="Hyperlink"/>
            <w:lang w:val="en-GB"/>
          </w:rPr>
          <w:t>C</w:t>
        </w:r>
        <w:r w:rsidRPr="00380B40">
          <w:rPr>
            <w:rStyle w:val="Hyperlink"/>
            <w:szCs w:val="22"/>
            <w:lang w:val="en-GB"/>
          </w:rPr>
          <w:t>43-R1</w:t>
        </w:r>
      </w:hyperlink>
      <w:r w:rsidRPr="00380B40">
        <w:rPr>
          <w:lang w:val="en-GB"/>
        </w:rPr>
        <w:t xml:space="preserve"> the conclusions of the 4th Global Standards Symposium.</w:t>
      </w:r>
    </w:p>
    <w:p w14:paraId="43CF0C63" w14:textId="77777777" w:rsidR="009033A7" w:rsidRPr="00380B40" w:rsidRDefault="009033A7" w:rsidP="00104595">
      <w:pPr>
        <w:rPr>
          <w:lang w:val="en-GB"/>
        </w:rPr>
      </w:pPr>
      <w:r w:rsidRPr="00380B40">
        <w:rPr>
          <w:lang w:val="en-GB"/>
        </w:rPr>
        <w:t xml:space="preserve">The Chairman, on behalf of the Assembly, thanked </w:t>
      </w:r>
      <w:r w:rsidRPr="00380B40">
        <w:rPr>
          <w:rStyle w:val="Strong"/>
          <w:color w:val="242424"/>
          <w:szCs w:val="22"/>
          <w:lang w:val="en-GB"/>
        </w:rPr>
        <w:t>H.E. Ms Nele Leosk</w:t>
      </w:r>
      <w:r w:rsidRPr="00380B40">
        <w:rPr>
          <w:lang w:val="en-GB"/>
        </w:rPr>
        <w:t xml:space="preserve"> for her chairmanship of GSS-20.</w:t>
      </w:r>
    </w:p>
    <w:p w14:paraId="791B0150" w14:textId="77777777" w:rsidR="009033A7" w:rsidRPr="00380B40" w:rsidRDefault="009033A7" w:rsidP="00104595">
      <w:pPr>
        <w:rPr>
          <w:lang w:val="en-GB"/>
        </w:rPr>
      </w:pPr>
      <w:r w:rsidRPr="00380B40">
        <w:rPr>
          <w:lang w:val="en-GB"/>
        </w:rPr>
        <w:t>The Plenary took note of the GSS-20 conclusions, and expects TSAG, as mandated by Resolution 22, will be considering the results of this Assembly concerning GSS and take follow-up actions, as appropriate.</w:t>
      </w:r>
    </w:p>
    <w:p w14:paraId="1C0E419E" w14:textId="77777777" w:rsidR="008776A7" w:rsidRPr="00380B40" w:rsidRDefault="008776A7" w:rsidP="00104595">
      <w:pPr>
        <w:pStyle w:val="Heading1"/>
        <w:rPr>
          <w:lang w:val="en-GB"/>
        </w:rPr>
      </w:pPr>
      <w:r w:rsidRPr="00380B40">
        <w:rPr>
          <w:lang w:val="en-GB"/>
        </w:rPr>
        <w:br w:type="page"/>
      </w:r>
    </w:p>
    <w:p w14:paraId="69F7FF12" w14:textId="77777777" w:rsidR="009033A7" w:rsidRPr="00380B40" w:rsidRDefault="009033A7" w:rsidP="00104595">
      <w:pPr>
        <w:pStyle w:val="Heading1"/>
        <w:rPr>
          <w:lang w:val="en-GB"/>
        </w:rPr>
      </w:pPr>
      <w:bookmarkStart w:id="2463" w:name="_Toc111637191"/>
      <w:r w:rsidRPr="00380B40">
        <w:rPr>
          <w:lang w:val="en-GB"/>
        </w:rPr>
        <w:t>19</w:t>
      </w:r>
      <w:r w:rsidRPr="00380B40">
        <w:rPr>
          <w:lang w:val="en-GB"/>
        </w:rPr>
        <w:tab/>
        <w:t>Report of the Telecommunication Standardization Advisory Group</w:t>
      </w:r>
      <w:bookmarkEnd w:id="2463"/>
    </w:p>
    <w:p w14:paraId="6A0149FA" w14:textId="77777777" w:rsidR="009033A7" w:rsidRPr="00380B40" w:rsidRDefault="009033A7" w:rsidP="00104595">
      <w:pPr>
        <w:rPr>
          <w:rStyle w:val="Hyperlink"/>
          <w:szCs w:val="22"/>
          <w:lang w:val="en-GB"/>
        </w:rPr>
      </w:pPr>
      <w:r w:rsidRPr="00380B40">
        <w:rPr>
          <w:szCs w:val="22"/>
          <w:lang w:val="en-GB"/>
        </w:rPr>
        <w:t xml:space="preserve">The Chairman of TSAG, Mr Bruce Gracie, presented the reports of TSAG to WTSA-20 (in </w:t>
      </w:r>
      <w:r w:rsidR="003C1D11" w:rsidRPr="00380B40">
        <w:rPr>
          <w:szCs w:val="22"/>
          <w:lang w:val="en-GB"/>
        </w:rPr>
        <w:t xml:space="preserve">Documents </w:t>
      </w:r>
      <w:hyperlink r:id="rId545" w:history="1">
        <w:r w:rsidR="003C1D11" w:rsidRPr="00380B40">
          <w:rPr>
            <w:rStyle w:val="Hyperlink"/>
            <w:szCs w:val="22"/>
            <w:lang w:val="en-GB"/>
          </w:rPr>
          <w:t>C23</w:t>
        </w:r>
      </w:hyperlink>
      <w:r w:rsidR="003C1D11" w:rsidRPr="00380B40">
        <w:rPr>
          <w:szCs w:val="22"/>
          <w:lang w:val="en-GB"/>
        </w:rPr>
        <w:t xml:space="preserve">, </w:t>
      </w:r>
      <w:hyperlink r:id="rId546" w:history="1">
        <w:r w:rsidR="003C1D11" w:rsidRPr="00380B40">
          <w:rPr>
            <w:rStyle w:val="Hyperlink"/>
            <w:szCs w:val="22"/>
            <w:lang w:val="en-GB"/>
          </w:rPr>
          <w:t>C24</w:t>
        </w:r>
      </w:hyperlink>
      <w:r w:rsidR="003C1D11" w:rsidRPr="00380B40">
        <w:rPr>
          <w:szCs w:val="22"/>
          <w:lang w:val="en-GB"/>
        </w:rPr>
        <w:t xml:space="preserve">, </w:t>
      </w:r>
      <w:hyperlink r:id="rId547" w:history="1">
        <w:r w:rsidR="003C1D11" w:rsidRPr="00380B40">
          <w:rPr>
            <w:rStyle w:val="Hyperlink"/>
            <w:szCs w:val="22"/>
            <w:lang w:val="en-GB"/>
          </w:rPr>
          <w:t>C25</w:t>
        </w:r>
      </w:hyperlink>
      <w:r w:rsidR="003C1D11" w:rsidRPr="00380B40">
        <w:rPr>
          <w:szCs w:val="22"/>
          <w:lang w:val="en-GB"/>
        </w:rPr>
        <w:t xml:space="preserve">, </w:t>
      </w:r>
      <w:hyperlink r:id="rId548" w:history="1">
        <w:r w:rsidR="003C1D11" w:rsidRPr="00380B40">
          <w:rPr>
            <w:rStyle w:val="Hyperlink"/>
            <w:szCs w:val="22"/>
            <w:lang w:val="en-GB"/>
          </w:rPr>
          <w:t>C26</w:t>
        </w:r>
      </w:hyperlink>
      <w:r w:rsidRPr="00380B40">
        <w:rPr>
          <w:lang w:val="en-GB"/>
        </w:rPr>
        <w:t>).</w:t>
      </w:r>
    </w:p>
    <w:p w14:paraId="4E7FE000" w14:textId="77777777" w:rsidR="009033A7" w:rsidRPr="00380B40" w:rsidRDefault="009033A7" w:rsidP="00104595">
      <w:pPr>
        <w:rPr>
          <w:lang w:val="en-GB"/>
        </w:rPr>
      </w:pPr>
      <w:r w:rsidRPr="00380B40">
        <w:rPr>
          <w:lang w:val="en-GB"/>
        </w:rPr>
        <w:t xml:space="preserve">Document </w:t>
      </w:r>
      <w:r w:rsidR="003C1D11" w:rsidRPr="00380B40">
        <w:rPr>
          <w:lang w:val="en-GB"/>
        </w:rPr>
        <w:t>C</w:t>
      </w:r>
      <w:r w:rsidRPr="00380B40">
        <w:rPr>
          <w:lang w:val="en-GB"/>
        </w:rPr>
        <w:t xml:space="preserve">23 </w:t>
      </w:r>
      <w:r w:rsidR="00F82355" w:rsidRPr="00380B40">
        <w:rPr>
          <w:lang w:val="en-GB"/>
        </w:rPr>
        <w:t>"</w:t>
      </w:r>
      <w:r w:rsidRPr="00380B40">
        <w:rPr>
          <w:lang w:val="en-GB"/>
        </w:rPr>
        <w:t>REPORT OF THE TELECOMMUNICATION STANDARDIZATION ADVISORY GROUP TO THE WORLD TELECOMMUNICATION STANDARDIZATION ASSEMBLY (WTSA-20), PART I: GENERAL</w:t>
      </w:r>
      <w:r w:rsidR="00F82355" w:rsidRPr="00380B40">
        <w:rPr>
          <w:lang w:val="en-GB"/>
        </w:rPr>
        <w:t>"</w:t>
      </w:r>
      <w:r w:rsidRPr="00380B40">
        <w:rPr>
          <w:lang w:val="en-GB"/>
        </w:rPr>
        <w:t xml:space="preserve"> summarizes the organization and key results of achievements of TSAG and its seven Rapporteur Groups during this study period through its nine TSAG meetings. With respect to matters of regional groups and Resolution 54, Annex 2 highlights the summary of outcomes for TSAG Rapporteur Group on Creation, Participation and Termination of Regional Groups (RG-CPTRG). With respect to the proposals on restructuring, Appendix I provides additional information on the draft action plan for the analysis of ITU-T Study group restructuring.</w:t>
      </w:r>
    </w:p>
    <w:p w14:paraId="1AC13439" w14:textId="77777777" w:rsidR="009033A7" w:rsidRPr="00380B40" w:rsidRDefault="009033A7" w:rsidP="00104595">
      <w:pPr>
        <w:rPr>
          <w:lang w:val="en-GB"/>
        </w:rPr>
      </w:pPr>
      <w:r w:rsidRPr="00380B40">
        <w:rPr>
          <w:lang w:val="en-GB"/>
        </w:rPr>
        <w:t xml:space="preserve">Document </w:t>
      </w:r>
      <w:r w:rsidR="003C1D11" w:rsidRPr="00380B40">
        <w:rPr>
          <w:lang w:val="en-GB"/>
        </w:rPr>
        <w:t>C</w:t>
      </w:r>
      <w:r w:rsidRPr="00380B40">
        <w:rPr>
          <w:lang w:val="en-GB"/>
        </w:rPr>
        <w:t xml:space="preserve">24 </w:t>
      </w:r>
      <w:r w:rsidR="00F82355" w:rsidRPr="00380B40">
        <w:rPr>
          <w:lang w:val="en-GB"/>
        </w:rPr>
        <w:t>"</w:t>
      </w:r>
      <w:r w:rsidRPr="00380B40">
        <w:rPr>
          <w:lang w:val="en-GB"/>
        </w:rPr>
        <w:t>REPORT OF THE TELECOMMUNICATION STANDARDIZATION ADVISORY GROUP TO THE WORLD TELECOMMUNICATION STANDARDIZATION ASSEMBLY (WTSA-20), PART II: DRAFT REVISED RESOLUTIONS</w:t>
      </w:r>
      <w:r w:rsidR="00F82355" w:rsidRPr="00380B40">
        <w:rPr>
          <w:lang w:val="en-GB"/>
        </w:rPr>
        <w:t>"</w:t>
      </w:r>
      <w:r w:rsidRPr="00380B40">
        <w:rPr>
          <w:lang w:val="en-GB"/>
        </w:rPr>
        <w:t xml:space="preserve"> captures the status of discussion of the TSAG meeting 10-17 January 2022 and contains the material that was agreed by TSAG to be sent to WTSA-20: Appendix I contains draft revised Resolution 1, draft revised Resolution 20, draft revised Resolution 29, and draft revised Resolution 67; and Appendix II contains additional information concerning required improvements to Resolution 1 Section</w:t>
      </w:r>
      <w:r w:rsidR="00104595" w:rsidRPr="00380B40">
        <w:rPr>
          <w:lang w:val="en-GB"/>
        </w:rPr>
        <w:t> </w:t>
      </w:r>
      <w:r w:rsidRPr="00380B40">
        <w:rPr>
          <w:lang w:val="en-GB"/>
        </w:rPr>
        <w:t>7.</w:t>
      </w:r>
    </w:p>
    <w:p w14:paraId="00FD287B" w14:textId="77777777" w:rsidR="009033A7" w:rsidRPr="00380B40" w:rsidRDefault="009033A7" w:rsidP="00104595">
      <w:pPr>
        <w:rPr>
          <w:lang w:val="en-GB"/>
        </w:rPr>
      </w:pPr>
      <w:r w:rsidRPr="00380B40">
        <w:rPr>
          <w:lang w:val="en-GB"/>
        </w:rPr>
        <w:t xml:space="preserve">Document </w:t>
      </w:r>
      <w:r w:rsidR="003C1D11" w:rsidRPr="00380B40">
        <w:rPr>
          <w:lang w:val="en-GB"/>
        </w:rPr>
        <w:t>C</w:t>
      </w:r>
      <w:r w:rsidRPr="00380B40">
        <w:rPr>
          <w:lang w:val="en-GB"/>
        </w:rPr>
        <w:t xml:space="preserve">25 </w:t>
      </w:r>
      <w:r w:rsidR="00F82355" w:rsidRPr="00380B40">
        <w:rPr>
          <w:lang w:val="en-GB"/>
        </w:rPr>
        <w:t>"</w:t>
      </w:r>
      <w:r w:rsidRPr="00380B40">
        <w:rPr>
          <w:lang w:val="en-GB"/>
        </w:rPr>
        <w:t>REPORT OF THE TELECOMMUNICATION STANDARDIZATION ADVISORY GROUP TO THE WORLD TELECOMMUNICATION STANDARDIZATION ASSEMBLY (WTSA-20), PART III: DRAFT REVISED RECOMMENDATIONS OF THE ITU-T A-SERIES</w:t>
      </w:r>
      <w:r w:rsidR="00F82355" w:rsidRPr="00380B40">
        <w:rPr>
          <w:lang w:val="en-GB"/>
        </w:rPr>
        <w:t>"</w:t>
      </w:r>
      <w:r w:rsidRPr="00380B40">
        <w:rPr>
          <w:lang w:val="en-GB"/>
        </w:rPr>
        <w:t xml:space="preserve"> captures the status of discussion of the TSAG meeting 10-17 January 2022 and contains the material that was agreed by TSAG to be sent to WTSA-20: Appendix I contains draft revised Recommendation ITU-T A.1, and draft revised Recommendation ITU-T A.5.</w:t>
      </w:r>
    </w:p>
    <w:p w14:paraId="0B06ABE3" w14:textId="77777777" w:rsidR="009033A7" w:rsidRPr="00380B40" w:rsidRDefault="009033A7" w:rsidP="00104595">
      <w:pPr>
        <w:rPr>
          <w:lang w:val="en-GB"/>
        </w:rPr>
      </w:pPr>
      <w:r w:rsidRPr="00380B40">
        <w:rPr>
          <w:lang w:val="en-GB"/>
        </w:rPr>
        <w:t xml:space="preserve">Document </w:t>
      </w:r>
      <w:r w:rsidR="003C1D11" w:rsidRPr="00380B40">
        <w:rPr>
          <w:lang w:val="en-GB"/>
        </w:rPr>
        <w:t>C</w:t>
      </w:r>
      <w:r w:rsidRPr="00380B40">
        <w:rPr>
          <w:lang w:val="en-GB"/>
        </w:rPr>
        <w:t xml:space="preserve">26 </w:t>
      </w:r>
      <w:r w:rsidR="00F82355" w:rsidRPr="00380B40">
        <w:rPr>
          <w:lang w:val="en-GB"/>
        </w:rPr>
        <w:t>"</w:t>
      </w:r>
      <w:r w:rsidRPr="00380B40">
        <w:rPr>
          <w:lang w:val="en-GB"/>
        </w:rPr>
        <w:t>Report of the Telecommunication Standardization Advisory Group to the World Telecommunication Standardization Assembly (WTSA-20), Part IV: TSAG report in respect of Resolution</w:t>
      </w:r>
      <w:r w:rsidR="004831FF" w:rsidRPr="00380B40">
        <w:rPr>
          <w:lang w:val="en-GB"/>
        </w:rPr>
        <w:t> </w:t>
      </w:r>
      <w:r w:rsidRPr="00380B40">
        <w:rPr>
          <w:lang w:val="en-GB"/>
        </w:rPr>
        <w:t>22</w:t>
      </w:r>
      <w:r w:rsidR="00F82355" w:rsidRPr="00380B40">
        <w:rPr>
          <w:lang w:val="en-GB"/>
        </w:rPr>
        <w:t>"</w:t>
      </w:r>
      <w:r w:rsidRPr="00380B40">
        <w:rPr>
          <w:lang w:val="en-GB"/>
        </w:rPr>
        <w:t xml:space="preserve"> contains the report that TSAG is required to submit to WTSA-20 in respect of the actions taken by TSAG in this regard. Each section heading corresponds to respective </w:t>
      </w:r>
      <w:r w:rsidR="00F82355" w:rsidRPr="00380B40">
        <w:rPr>
          <w:lang w:val="en-GB"/>
        </w:rPr>
        <w:t>'</w:t>
      </w:r>
      <w:r w:rsidRPr="00380B40">
        <w:rPr>
          <w:lang w:val="en-GB"/>
        </w:rPr>
        <w:t>resolves</w:t>
      </w:r>
      <w:r w:rsidR="00F82355" w:rsidRPr="00380B40">
        <w:rPr>
          <w:lang w:val="en-GB"/>
        </w:rPr>
        <w:t>'</w:t>
      </w:r>
      <w:r w:rsidRPr="00380B40">
        <w:rPr>
          <w:lang w:val="en-GB"/>
        </w:rPr>
        <w:t xml:space="preserve"> of Resolution 22.</w:t>
      </w:r>
    </w:p>
    <w:p w14:paraId="19FCD598" w14:textId="77777777" w:rsidR="009033A7" w:rsidRPr="00380B40" w:rsidRDefault="009033A7" w:rsidP="00104595">
      <w:pPr>
        <w:rPr>
          <w:lang w:val="en-GB"/>
        </w:rPr>
      </w:pPr>
      <w:r w:rsidRPr="00380B40">
        <w:rPr>
          <w:lang w:val="en-GB"/>
        </w:rPr>
        <w:t>The Plenary thanked the TSAG Chairman and his team for the excellent work accomplished.</w:t>
      </w:r>
    </w:p>
    <w:p w14:paraId="139AFB0E" w14:textId="77777777" w:rsidR="009033A7" w:rsidRPr="00380B40" w:rsidRDefault="009033A7" w:rsidP="00104595">
      <w:pPr>
        <w:rPr>
          <w:lang w:val="en-GB"/>
        </w:rPr>
      </w:pPr>
      <w:r w:rsidRPr="00380B40">
        <w:rPr>
          <w:lang w:val="en-GB"/>
        </w:rPr>
        <w:t>The Plenary took note of the reports and invited COM3 and COM4 to make use of the reports as deemed appropriate.</w:t>
      </w:r>
    </w:p>
    <w:p w14:paraId="3B9E0737" w14:textId="77777777" w:rsidR="009033A7" w:rsidRPr="00380B40" w:rsidRDefault="009033A7" w:rsidP="00104595">
      <w:pPr>
        <w:pStyle w:val="Heading1"/>
        <w:rPr>
          <w:lang w:val="en-GB"/>
        </w:rPr>
      </w:pPr>
      <w:bookmarkStart w:id="2464" w:name="_Toc111637192"/>
      <w:r w:rsidRPr="00380B40">
        <w:rPr>
          <w:lang w:val="en-GB"/>
        </w:rPr>
        <w:t>20</w:t>
      </w:r>
      <w:r w:rsidRPr="00380B40">
        <w:rPr>
          <w:lang w:val="en-GB"/>
        </w:rPr>
        <w:tab/>
        <w:t>Report of the Standardization Committee for Vocabulary</w:t>
      </w:r>
      <w:bookmarkEnd w:id="2464"/>
    </w:p>
    <w:p w14:paraId="388790E0" w14:textId="77777777" w:rsidR="009033A7" w:rsidRPr="00380B40" w:rsidRDefault="009033A7" w:rsidP="00104595">
      <w:pPr>
        <w:rPr>
          <w:lang w:val="en-GB"/>
        </w:rPr>
      </w:pPr>
      <w:r w:rsidRPr="00380B40">
        <w:rPr>
          <w:lang w:val="en-GB"/>
        </w:rPr>
        <w:t xml:space="preserve">The Chairman of the Standardization Committee for Vocabulary (SCV), Ms Rim Belhaj, Tunisia, presented the report of the SCV in Document </w:t>
      </w:r>
      <w:hyperlink r:id="rId549" w:history="1">
        <w:r w:rsidR="003C1D11" w:rsidRPr="00380B40">
          <w:rPr>
            <w:rStyle w:val="Hyperlink"/>
            <w:lang w:val="en-GB"/>
          </w:rPr>
          <w:t>C</w:t>
        </w:r>
        <w:r w:rsidRPr="00380B40">
          <w:rPr>
            <w:rStyle w:val="Hyperlink"/>
            <w:szCs w:val="22"/>
            <w:lang w:val="en-GB"/>
          </w:rPr>
          <w:t>30</w:t>
        </w:r>
      </w:hyperlink>
      <w:r w:rsidRPr="00380B40">
        <w:rPr>
          <w:lang w:val="en-GB"/>
        </w:rPr>
        <w:t>.</w:t>
      </w:r>
    </w:p>
    <w:p w14:paraId="43CDB2E6" w14:textId="77777777" w:rsidR="009033A7" w:rsidRPr="00380B40" w:rsidRDefault="009033A7" w:rsidP="00104595">
      <w:pPr>
        <w:rPr>
          <w:lang w:val="en-GB"/>
        </w:rPr>
      </w:pPr>
      <w:r w:rsidRPr="00380B40">
        <w:rPr>
          <w:lang w:val="en-GB"/>
        </w:rPr>
        <w:t>The Chairman thanked Ms Rim Belhaj for her leadership in the SCV, and the Plenary took note of her report.</w:t>
      </w:r>
    </w:p>
    <w:p w14:paraId="4554ED02" w14:textId="77777777" w:rsidR="008776A7" w:rsidRPr="00380B40" w:rsidRDefault="008776A7" w:rsidP="00104595">
      <w:pPr>
        <w:pStyle w:val="Heading1"/>
        <w:rPr>
          <w:lang w:val="en-GB"/>
        </w:rPr>
      </w:pPr>
      <w:r w:rsidRPr="00380B40">
        <w:rPr>
          <w:lang w:val="en-GB"/>
        </w:rPr>
        <w:br w:type="page"/>
      </w:r>
    </w:p>
    <w:p w14:paraId="66153C31" w14:textId="77777777" w:rsidR="009033A7" w:rsidRPr="00380B40" w:rsidRDefault="009033A7" w:rsidP="00104595">
      <w:pPr>
        <w:pStyle w:val="Heading1"/>
        <w:rPr>
          <w:lang w:val="en-GB"/>
        </w:rPr>
      </w:pPr>
      <w:bookmarkStart w:id="2465" w:name="_Toc111637193"/>
      <w:r w:rsidRPr="00380B40">
        <w:rPr>
          <w:lang w:val="en-GB"/>
        </w:rPr>
        <w:t>21</w:t>
      </w:r>
      <w:r w:rsidRPr="00380B40">
        <w:rPr>
          <w:lang w:val="en-GB"/>
        </w:rPr>
        <w:tab/>
        <w:t>Report of the Director of TSB</w:t>
      </w:r>
      <w:bookmarkEnd w:id="2465"/>
    </w:p>
    <w:p w14:paraId="57B3152B" w14:textId="77777777" w:rsidR="009033A7" w:rsidRPr="00380B40" w:rsidRDefault="009033A7" w:rsidP="00104595">
      <w:pPr>
        <w:rPr>
          <w:lang w:val="en-GB"/>
        </w:rPr>
      </w:pPr>
      <w:r w:rsidRPr="00380B40">
        <w:rPr>
          <w:lang w:val="en-GB"/>
        </w:rPr>
        <w:t>Mr Chaesub Lee,</w:t>
      </w:r>
      <w:r w:rsidRPr="00380B40">
        <w:rPr>
          <w:b/>
          <w:bCs/>
          <w:lang w:val="en-GB"/>
        </w:rPr>
        <w:t xml:space="preserve"> </w:t>
      </w:r>
      <w:r w:rsidRPr="00380B40">
        <w:rPr>
          <w:lang w:val="en-GB"/>
        </w:rPr>
        <w:t xml:space="preserve">Director of the Telecommunication Standardization Bureau, presented his report of activities in ITU-T for the 2017-2021 study period (Documents </w:t>
      </w:r>
      <w:hyperlink r:id="rId550" w:history="1">
        <w:r w:rsidR="003C1D11" w:rsidRPr="00380B40">
          <w:rPr>
            <w:rStyle w:val="Hyperlink"/>
            <w:lang w:val="en-GB"/>
          </w:rPr>
          <w:t>C</w:t>
        </w:r>
        <w:r w:rsidRPr="00380B40">
          <w:rPr>
            <w:rStyle w:val="Hyperlink"/>
            <w:szCs w:val="22"/>
            <w:lang w:val="en-GB"/>
          </w:rPr>
          <w:t>28</w:t>
        </w:r>
      </w:hyperlink>
      <w:r w:rsidRPr="00380B40">
        <w:rPr>
          <w:lang w:val="en-GB"/>
        </w:rPr>
        <w:t xml:space="preserve">, and </w:t>
      </w:r>
      <w:hyperlink r:id="rId551" w:history="1">
        <w:r w:rsidRPr="00380B40">
          <w:rPr>
            <w:rStyle w:val="Hyperlink"/>
            <w:szCs w:val="22"/>
            <w:lang w:val="en-GB"/>
          </w:rPr>
          <w:t>C28 Add.1</w:t>
        </w:r>
      </w:hyperlink>
      <w:r w:rsidRPr="00380B40">
        <w:rPr>
          <w:lang w:val="en-GB"/>
        </w:rPr>
        <w:t>).</w:t>
      </w:r>
    </w:p>
    <w:p w14:paraId="0C3FE5A5" w14:textId="77777777" w:rsidR="009033A7" w:rsidRPr="00380B40" w:rsidRDefault="009033A7" w:rsidP="00104595">
      <w:pPr>
        <w:rPr>
          <w:lang w:val="en-GB"/>
        </w:rPr>
      </w:pPr>
      <w:r w:rsidRPr="00380B40">
        <w:rPr>
          <w:lang w:val="en-GB"/>
        </w:rPr>
        <w:t xml:space="preserve">The Chairman thanked Mr Lee for his great support and the accomplished results for the Telecommunication </w:t>
      </w:r>
      <w:bookmarkStart w:id="2466" w:name="_Hlk96855932"/>
      <w:r w:rsidRPr="00380B40">
        <w:rPr>
          <w:lang w:val="en-GB"/>
        </w:rPr>
        <w:t xml:space="preserve">Standardization </w:t>
      </w:r>
      <w:bookmarkEnd w:id="2466"/>
      <w:r w:rsidRPr="00380B40">
        <w:rPr>
          <w:lang w:val="en-GB"/>
        </w:rPr>
        <w:t>Sector, and the Plenary took note of the report.</w:t>
      </w:r>
    </w:p>
    <w:p w14:paraId="0A59A850" w14:textId="77777777" w:rsidR="009033A7" w:rsidRPr="00380B40" w:rsidRDefault="009033A7" w:rsidP="00104595">
      <w:pPr>
        <w:pStyle w:val="Heading1"/>
        <w:rPr>
          <w:lang w:val="en-GB"/>
        </w:rPr>
      </w:pPr>
      <w:bookmarkStart w:id="2467" w:name="_Toc111637194"/>
      <w:r w:rsidRPr="00380B40">
        <w:rPr>
          <w:lang w:val="en-GB"/>
        </w:rPr>
        <w:t>22</w:t>
      </w:r>
      <w:r w:rsidRPr="00380B40">
        <w:rPr>
          <w:lang w:val="en-GB"/>
        </w:rPr>
        <w:tab/>
        <w:t>Action Plan related to the Resolutions and Opinion of WTSA-16, and TSB Director Reports to WTSA-20 on WTSA Resolutions 40, 44, 55, 64, 65, 68, 69, 72, 73, 89, and PP Resolution 102</w:t>
      </w:r>
      <w:bookmarkEnd w:id="2467"/>
    </w:p>
    <w:p w14:paraId="2C9AAF79" w14:textId="77777777" w:rsidR="009033A7" w:rsidRPr="00380B40" w:rsidRDefault="009033A7" w:rsidP="00104595">
      <w:pPr>
        <w:rPr>
          <w:lang w:val="en-GB"/>
        </w:rPr>
      </w:pPr>
      <w:r w:rsidRPr="00380B40">
        <w:rPr>
          <w:lang w:val="en-GB"/>
        </w:rPr>
        <w:t xml:space="preserve">The Plenary took note of Document </w:t>
      </w:r>
      <w:hyperlink r:id="rId552" w:history="1">
        <w:r w:rsidR="003C1D11" w:rsidRPr="00380B40">
          <w:rPr>
            <w:rStyle w:val="Hyperlink"/>
            <w:lang w:val="en-GB"/>
          </w:rPr>
          <w:t>C</w:t>
        </w:r>
        <w:r w:rsidRPr="00380B40">
          <w:rPr>
            <w:rStyle w:val="Hyperlink"/>
            <w:szCs w:val="22"/>
            <w:lang w:val="en-GB"/>
          </w:rPr>
          <w:t>34</w:t>
        </w:r>
      </w:hyperlink>
      <w:r w:rsidRPr="00380B40">
        <w:rPr>
          <w:lang w:val="en-GB"/>
        </w:rPr>
        <w:t>, which contains the WTSA action plan and its implementation and assessment for the 2017</w:t>
      </w:r>
      <w:r w:rsidRPr="00380B40">
        <w:rPr>
          <w:lang w:val="en-GB"/>
        </w:rPr>
        <w:noBreakHyphen/>
        <w:t>2021 study period. This document also includes the reports of the TSB Director to WTSA-20 on WTSA Resolutions 40, 44, 55, 64, 65, 68, 69, 72, 73 and 89, and PP Resolution 102.</w:t>
      </w:r>
    </w:p>
    <w:p w14:paraId="454A8774" w14:textId="77777777" w:rsidR="009033A7" w:rsidRPr="00380B40" w:rsidRDefault="009033A7" w:rsidP="00104595">
      <w:pPr>
        <w:rPr>
          <w:lang w:val="en-GB"/>
        </w:rPr>
      </w:pPr>
      <w:r w:rsidRPr="00380B40">
        <w:rPr>
          <w:lang w:val="en-GB"/>
        </w:rPr>
        <w:t>The Plenary thanked the TSB Director, all TSB staff and all delegates very much for all the efforts to support the activities during this study period and for having achieved excellent results.</w:t>
      </w:r>
    </w:p>
    <w:p w14:paraId="573B4674" w14:textId="77777777" w:rsidR="009033A7" w:rsidRPr="00380B40" w:rsidRDefault="009033A7" w:rsidP="00104595">
      <w:pPr>
        <w:pStyle w:val="Heading1"/>
        <w:rPr>
          <w:lang w:val="en-GB"/>
        </w:rPr>
      </w:pPr>
      <w:bookmarkStart w:id="2468" w:name="_Toc111637195"/>
      <w:r w:rsidRPr="00380B40">
        <w:rPr>
          <w:lang w:val="en-GB"/>
        </w:rPr>
        <w:t>23</w:t>
      </w:r>
      <w:r w:rsidRPr="00380B40">
        <w:rPr>
          <w:lang w:val="en-GB"/>
        </w:rPr>
        <w:tab/>
        <w:t>Presentations of the ITU-T study group Chairmen</w:t>
      </w:r>
      <w:bookmarkEnd w:id="2468"/>
    </w:p>
    <w:p w14:paraId="180ABDC3" w14:textId="77777777" w:rsidR="009033A7" w:rsidRPr="00380B40" w:rsidRDefault="009033A7" w:rsidP="00104595">
      <w:pPr>
        <w:rPr>
          <w:lang w:val="en-GB"/>
        </w:rPr>
      </w:pPr>
      <w:r w:rsidRPr="00380B40">
        <w:rPr>
          <w:lang w:val="en-GB"/>
        </w:rPr>
        <w:t>The following Chairmen gave summaries of the achievements of their study groups in the 2017</w:t>
      </w:r>
      <w:r w:rsidRPr="00380B40">
        <w:rPr>
          <w:lang w:val="en-GB"/>
        </w:rPr>
        <w:noBreakHyphen/>
        <w:t xml:space="preserve">2021 study period (Documents </w:t>
      </w:r>
      <w:hyperlink r:id="rId553" w:history="1">
        <w:r w:rsidR="003C1D11" w:rsidRPr="00380B40">
          <w:rPr>
            <w:rStyle w:val="Hyperlink"/>
            <w:lang w:val="en-GB"/>
          </w:rPr>
          <w:t>C</w:t>
        </w:r>
        <w:r w:rsidRPr="00380B40">
          <w:rPr>
            <w:rStyle w:val="Hyperlink"/>
            <w:szCs w:val="22"/>
            <w:lang w:val="en-GB"/>
          </w:rPr>
          <w:t>1</w:t>
        </w:r>
      </w:hyperlink>
      <w:r w:rsidRPr="00380B40">
        <w:rPr>
          <w:lang w:val="en-GB"/>
        </w:rPr>
        <w:t xml:space="preserve">, </w:t>
      </w:r>
      <w:hyperlink r:id="rId554" w:history="1">
        <w:r w:rsidR="003C1D11" w:rsidRPr="00380B40">
          <w:rPr>
            <w:rStyle w:val="Hyperlink"/>
            <w:lang w:val="en-GB"/>
          </w:rPr>
          <w:t>C</w:t>
        </w:r>
        <w:r w:rsidRPr="00380B40">
          <w:rPr>
            <w:rStyle w:val="Hyperlink"/>
            <w:szCs w:val="22"/>
            <w:lang w:val="en-GB"/>
          </w:rPr>
          <w:t>3</w:t>
        </w:r>
      </w:hyperlink>
      <w:r w:rsidRPr="00380B40">
        <w:rPr>
          <w:lang w:val="en-GB"/>
        </w:rPr>
        <w:t xml:space="preserve">, </w:t>
      </w:r>
      <w:hyperlink r:id="rId555" w:history="1">
        <w:r w:rsidR="003C1D11" w:rsidRPr="00380B40">
          <w:rPr>
            <w:rStyle w:val="Hyperlink"/>
            <w:lang w:val="en-GB"/>
          </w:rPr>
          <w:t>C</w:t>
        </w:r>
        <w:r w:rsidRPr="00380B40">
          <w:rPr>
            <w:rStyle w:val="Hyperlink"/>
            <w:szCs w:val="22"/>
            <w:lang w:val="en-GB"/>
          </w:rPr>
          <w:t>5</w:t>
        </w:r>
      </w:hyperlink>
      <w:r w:rsidRPr="00380B40">
        <w:rPr>
          <w:lang w:val="en-GB"/>
        </w:rPr>
        <w:t xml:space="preserve">, </w:t>
      </w:r>
      <w:hyperlink r:id="rId556" w:history="1">
        <w:r w:rsidR="003C1D11" w:rsidRPr="00380B40">
          <w:rPr>
            <w:rStyle w:val="Hyperlink"/>
            <w:lang w:val="en-GB"/>
          </w:rPr>
          <w:t>C</w:t>
        </w:r>
        <w:r w:rsidRPr="00380B40">
          <w:rPr>
            <w:rStyle w:val="Hyperlink"/>
            <w:szCs w:val="22"/>
            <w:lang w:val="en-GB"/>
          </w:rPr>
          <w:t>7</w:t>
        </w:r>
      </w:hyperlink>
      <w:r w:rsidRPr="00380B40">
        <w:rPr>
          <w:lang w:val="en-GB"/>
        </w:rPr>
        <w:t xml:space="preserve">, </w:t>
      </w:r>
      <w:hyperlink r:id="rId557" w:history="1">
        <w:r w:rsidR="003C1D11" w:rsidRPr="00380B40">
          <w:rPr>
            <w:rStyle w:val="Hyperlink"/>
            <w:lang w:val="en-GB"/>
          </w:rPr>
          <w:t>C</w:t>
        </w:r>
        <w:r w:rsidRPr="00380B40">
          <w:rPr>
            <w:rStyle w:val="Hyperlink"/>
            <w:szCs w:val="22"/>
            <w:lang w:val="en-GB"/>
          </w:rPr>
          <w:t>9</w:t>
        </w:r>
      </w:hyperlink>
      <w:r w:rsidRPr="00380B40">
        <w:rPr>
          <w:lang w:val="en-GB"/>
        </w:rPr>
        <w:t xml:space="preserve">, </w:t>
      </w:r>
      <w:hyperlink r:id="rId558" w:history="1">
        <w:r w:rsidR="003C1D11" w:rsidRPr="00380B40">
          <w:rPr>
            <w:rStyle w:val="Hyperlink"/>
            <w:lang w:val="en-GB"/>
          </w:rPr>
          <w:t>C</w:t>
        </w:r>
        <w:r w:rsidRPr="00380B40">
          <w:rPr>
            <w:rStyle w:val="Hyperlink"/>
            <w:szCs w:val="22"/>
            <w:lang w:val="en-GB"/>
          </w:rPr>
          <w:t>11</w:t>
        </w:r>
      </w:hyperlink>
      <w:r w:rsidRPr="00380B40">
        <w:rPr>
          <w:lang w:val="en-GB"/>
        </w:rPr>
        <w:t xml:space="preserve">, </w:t>
      </w:r>
      <w:hyperlink r:id="rId559" w:history="1">
        <w:r w:rsidR="003C1D11" w:rsidRPr="00380B40">
          <w:rPr>
            <w:rStyle w:val="Hyperlink"/>
            <w:lang w:val="en-GB"/>
          </w:rPr>
          <w:t>C</w:t>
        </w:r>
        <w:r w:rsidRPr="00380B40">
          <w:rPr>
            <w:rStyle w:val="Hyperlink"/>
            <w:szCs w:val="22"/>
            <w:lang w:val="en-GB"/>
          </w:rPr>
          <w:t>13-R1</w:t>
        </w:r>
      </w:hyperlink>
      <w:r w:rsidRPr="00380B40">
        <w:rPr>
          <w:lang w:val="en-GB"/>
        </w:rPr>
        <w:t xml:space="preserve">, </w:t>
      </w:r>
      <w:hyperlink r:id="rId560" w:history="1">
        <w:r w:rsidR="003C1D11" w:rsidRPr="00380B40">
          <w:rPr>
            <w:rStyle w:val="Hyperlink"/>
            <w:lang w:val="en-GB"/>
          </w:rPr>
          <w:t>C</w:t>
        </w:r>
        <w:r w:rsidRPr="00380B40">
          <w:rPr>
            <w:rStyle w:val="Hyperlink"/>
            <w:szCs w:val="22"/>
            <w:lang w:val="en-GB"/>
          </w:rPr>
          <w:t>15</w:t>
        </w:r>
      </w:hyperlink>
      <w:r w:rsidRPr="00380B40">
        <w:rPr>
          <w:lang w:val="en-GB"/>
        </w:rPr>
        <w:t xml:space="preserve">, and </w:t>
      </w:r>
      <w:hyperlink r:id="rId561" w:history="1">
        <w:r w:rsidR="003C1D11" w:rsidRPr="00380B40">
          <w:rPr>
            <w:rStyle w:val="Hyperlink"/>
            <w:lang w:val="en-GB"/>
          </w:rPr>
          <w:t>C</w:t>
        </w:r>
        <w:r w:rsidRPr="00380B40">
          <w:rPr>
            <w:rStyle w:val="Hyperlink"/>
            <w:szCs w:val="22"/>
            <w:lang w:val="en-GB"/>
          </w:rPr>
          <w:t>17</w:t>
        </w:r>
      </w:hyperlink>
      <w:r w:rsidRPr="00380B40">
        <w:rPr>
          <w:lang w:val="en-GB"/>
        </w:rPr>
        <w:t xml:space="preserve">, supplemented by presentation slides, please see </w:t>
      </w:r>
      <w:hyperlink r:id="rId562" w:history="1">
        <w:r w:rsidR="007F7EB9" w:rsidRPr="00380B40">
          <w:rPr>
            <w:rStyle w:val="Hyperlink"/>
            <w:lang w:val="en-GB"/>
          </w:rPr>
          <w:t>https://www.itu.int/en/ITU-T/wtsa20/presentations</w:t>
        </w:r>
      </w:hyperlink>
      <w:r w:rsidRPr="00380B40">
        <w:rPr>
          <w:lang w:val="en-GB"/>
        </w:rPr>
        <w:t xml:space="preserve">, Document </w:t>
      </w:r>
      <w:hyperlink r:id="rId563" w:history="1">
        <w:r w:rsidRPr="00380B40">
          <w:rPr>
            <w:rStyle w:val="Hyperlink"/>
            <w:szCs w:val="22"/>
            <w:lang w:val="en-GB"/>
          </w:rPr>
          <w:t>DT/7</w:t>
        </w:r>
      </w:hyperlink>
      <w:r w:rsidRPr="00380B40">
        <w:rPr>
          <w:lang w:val="en-GB"/>
        </w:rPr>
        <w:t>).</w:t>
      </w:r>
    </w:p>
    <w:p w14:paraId="6F1EB1B6" w14:textId="77777777" w:rsidR="009033A7" w:rsidRPr="00380B40" w:rsidRDefault="009033A7" w:rsidP="00104595">
      <w:pPr>
        <w:pStyle w:val="enumlev1"/>
        <w:rPr>
          <w:lang w:val="en-GB"/>
        </w:rPr>
      </w:pPr>
      <w:r w:rsidRPr="00380B40">
        <w:rPr>
          <w:lang w:val="en-GB"/>
        </w:rPr>
        <w:t>–</w:t>
      </w:r>
      <w:r w:rsidRPr="00380B40">
        <w:rPr>
          <w:lang w:val="en-GB"/>
        </w:rPr>
        <w:tab/>
        <w:t xml:space="preserve">ITU-T SG2, Operational aspects, Mr Phil Rushton, </w:t>
      </w:r>
      <w:r w:rsidR="00AC3331" w:rsidRPr="00380B40">
        <w:rPr>
          <w:lang w:val="en-GB"/>
        </w:rPr>
        <w:t xml:space="preserve">UK, </w:t>
      </w:r>
      <w:r w:rsidRPr="00380B40">
        <w:rPr>
          <w:lang w:val="en-GB"/>
        </w:rPr>
        <w:t xml:space="preserve">Chairman ITU-T SG2 (Document </w:t>
      </w:r>
      <w:hyperlink r:id="rId564" w:history="1">
        <w:r w:rsidR="00AC3331" w:rsidRPr="00380B40">
          <w:rPr>
            <w:rStyle w:val="Hyperlink"/>
            <w:lang w:val="en-GB"/>
          </w:rPr>
          <w:t>C</w:t>
        </w:r>
        <w:r w:rsidRPr="00380B40">
          <w:rPr>
            <w:rStyle w:val="Hyperlink"/>
            <w:szCs w:val="22"/>
            <w:lang w:val="en-GB"/>
          </w:rPr>
          <w:t>1</w:t>
        </w:r>
      </w:hyperlink>
      <w:r w:rsidRPr="00380B40">
        <w:rPr>
          <w:lang w:val="en-GB"/>
        </w:rPr>
        <w:t>)</w:t>
      </w:r>
    </w:p>
    <w:p w14:paraId="07948516" w14:textId="77777777" w:rsidR="009033A7" w:rsidRPr="00380B40" w:rsidRDefault="009033A7" w:rsidP="00104595">
      <w:pPr>
        <w:pStyle w:val="enumlev1"/>
        <w:rPr>
          <w:lang w:val="en-GB"/>
        </w:rPr>
      </w:pPr>
      <w:r w:rsidRPr="00380B40">
        <w:rPr>
          <w:lang w:val="en-GB"/>
        </w:rPr>
        <w:t>–</w:t>
      </w:r>
      <w:r w:rsidRPr="00380B40">
        <w:rPr>
          <w:lang w:val="en-GB"/>
        </w:rPr>
        <w:tab/>
        <w:t xml:space="preserve">ITU-T SG3, Tariff and accounting principles and international telecommunication/ICT economic and policy issues, Mr Seiichi Tsugawa, </w:t>
      </w:r>
      <w:r w:rsidR="00AC3331" w:rsidRPr="00380B40">
        <w:rPr>
          <w:lang w:val="en-GB"/>
        </w:rPr>
        <w:t xml:space="preserve">Japan, </w:t>
      </w:r>
      <w:r w:rsidRPr="00380B40">
        <w:rPr>
          <w:lang w:val="en-GB"/>
        </w:rPr>
        <w:t xml:space="preserve">Chairman ITU-T SG3 (Document </w:t>
      </w:r>
      <w:hyperlink r:id="rId565" w:history="1">
        <w:r w:rsidR="00AC3331" w:rsidRPr="00380B40">
          <w:rPr>
            <w:rStyle w:val="Hyperlink"/>
            <w:lang w:val="en-GB"/>
          </w:rPr>
          <w:t>C</w:t>
        </w:r>
        <w:r w:rsidRPr="00380B40">
          <w:rPr>
            <w:rStyle w:val="Hyperlink"/>
            <w:szCs w:val="22"/>
            <w:lang w:val="en-GB"/>
          </w:rPr>
          <w:t>3</w:t>
        </w:r>
      </w:hyperlink>
      <w:r w:rsidRPr="00380B40">
        <w:rPr>
          <w:lang w:val="en-GB"/>
        </w:rPr>
        <w:t>)</w:t>
      </w:r>
    </w:p>
    <w:p w14:paraId="67C25B1B" w14:textId="77777777" w:rsidR="009033A7" w:rsidRPr="00380B40" w:rsidRDefault="009033A7" w:rsidP="00104595">
      <w:pPr>
        <w:pStyle w:val="enumlev1"/>
        <w:rPr>
          <w:lang w:val="en-GB"/>
        </w:rPr>
      </w:pPr>
      <w:r w:rsidRPr="00380B40">
        <w:rPr>
          <w:lang w:val="en-GB"/>
        </w:rPr>
        <w:t>–</w:t>
      </w:r>
      <w:r w:rsidRPr="00380B40">
        <w:rPr>
          <w:lang w:val="en-GB"/>
        </w:rPr>
        <w:tab/>
        <w:t xml:space="preserve">ITU-T SG5, Environment, climate change and circular economy, Ms Shuguang Qi, </w:t>
      </w:r>
      <w:r w:rsidR="00AC3331" w:rsidRPr="00380B40">
        <w:rPr>
          <w:lang w:val="en-GB"/>
        </w:rPr>
        <w:t xml:space="preserve">China, </w:t>
      </w:r>
      <w:r w:rsidRPr="00380B40">
        <w:rPr>
          <w:lang w:val="en-GB"/>
        </w:rPr>
        <w:t xml:space="preserve">acting Chairman ITU-T SG5 (Document </w:t>
      </w:r>
      <w:hyperlink r:id="rId566" w:history="1">
        <w:r w:rsidR="00AC3331" w:rsidRPr="00380B40">
          <w:rPr>
            <w:rStyle w:val="Hyperlink"/>
            <w:lang w:val="en-GB"/>
          </w:rPr>
          <w:t>C</w:t>
        </w:r>
        <w:r w:rsidRPr="00380B40">
          <w:rPr>
            <w:rStyle w:val="Hyperlink"/>
            <w:szCs w:val="22"/>
            <w:lang w:val="en-GB"/>
          </w:rPr>
          <w:t>5</w:t>
        </w:r>
      </w:hyperlink>
      <w:r w:rsidRPr="00380B40">
        <w:rPr>
          <w:lang w:val="en-GB"/>
        </w:rPr>
        <w:t>)</w:t>
      </w:r>
    </w:p>
    <w:p w14:paraId="262E0AE7" w14:textId="77777777" w:rsidR="009033A7" w:rsidRPr="00380B40" w:rsidRDefault="009033A7" w:rsidP="00104595">
      <w:pPr>
        <w:pStyle w:val="enumlev1"/>
        <w:rPr>
          <w:lang w:val="en-GB"/>
        </w:rPr>
      </w:pPr>
      <w:r w:rsidRPr="00380B40">
        <w:rPr>
          <w:lang w:val="en-GB"/>
        </w:rPr>
        <w:t>–</w:t>
      </w:r>
      <w:r w:rsidRPr="00380B40">
        <w:rPr>
          <w:lang w:val="en-GB"/>
        </w:rPr>
        <w:tab/>
        <w:t xml:space="preserve">ITU-T SG9, Broadband cable and TV, Mr Satoshi Miyaji, </w:t>
      </w:r>
      <w:r w:rsidR="00AC3331" w:rsidRPr="00380B40">
        <w:rPr>
          <w:lang w:val="en-GB"/>
        </w:rPr>
        <w:t xml:space="preserve">Japan, </w:t>
      </w:r>
      <w:r w:rsidRPr="00380B40">
        <w:rPr>
          <w:lang w:val="en-GB"/>
        </w:rPr>
        <w:t>Chairman ITU-T SG9 (Document</w:t>
      </w:r>
      <w:r w:rsidR="00B051AD" w:rsidRPr="00380B40">
        <w:rPr>
          <w:lang w:val="en-GB"/>
        </w:rPr>
        <w:t> </w:t>
      </w:r>
      <w:hyperlink r:id="rId567" w:history="1">
        <w:r w:rsidR="00AC3331" w:rsidRPr="00380B40">
          <w:rPr>
            <w:rStyle w:val="Hyperlink"/>
            <w:lang w:val="en-GB"/>
          </w:rPr>
          <w:t>C</w:t>
        </w:r>
        <w:r w:rsidRPr="00380B40">
          <w:rPr>
            <w:rStyle w:val="Hyperlink"/>
            <w:szCs w:val="22"/>
            <w:lang w:val="en-GB"/>
          </w:rPr>
          <w:t>7</w:t>
        </w:r>
      </w:hyperlink>
      <w:r w:rsidRPr="00380B40">
        <w:rPr>
          <w:lang w:val="en-GB"/>
        </w:rPr>
        <w:t>)</w:t>
      </w:r>
    </w:p>
    <w:p w14:paraId="4F650F91" w14:textId="77777777" w:rsidR="009033A7" w:rsidRPr="00380B40" w:rsidRDefault="009033A7" w:rsidP="00104595">
      <w:pPr>
        <w:pStyle w:val="enumlev1"/>
        <w:rPr>
          <w:lang w:val="en-GB"/>
        </w:rPr>
      </w:pPr>
      <w:r w:rsidRPr="00380B40">
        <w:rPr>
          <w:lang w:val="en-GB"/>
        </w:rPr>
        <w:t>–</w:t>
      </w:r>
      <w:r w:rsidRPr="00380B40">
        <w:rPr>
          <w:lang w:val="en-GB"/>
        </w:rPr>
        <w:tab/>
        <w:t xml:space="preserve">ITU-T SG11, Signalling requirements, protocols, test specifications and combating counterfeit products, Mr Andrey Kucheryavy, </w:t>
      </w:r>
      <w:r w:rsidR="00AC3331" w:rsidRPr="00380B40">
        <w:rPr>
          <w:lang w:val="en-GB"/>
        </w:rPr>
        <w:t xml:space="preserve">Russia, </w:t>
      </w:r>
      <w:r w:rsidRPr="00380B40">
        <w:rPr>
          <w:lang w:val="en-GB"/>
        </w:rPr>
        <w:t xml:space="preserve">Chairman ITU-T SG11 (Document </w:t>
      </w:r>
      <w:hyperlink r:id="rId568" w:history="1">
        <w:r w:rsidR="00AC3331" w:rsidRPr="00380B40">
          <w:rPr>
            <w:rStyle w:val="Hyperlink"/>
            <w:lang w:val="en-GB"/>
          </w:rPr>
          <w:t>C</w:t>
        </w:r>
        <w:r w:rsidRPr="00380B40">
          <w:rPr>
            <w:rStyle w:val="Hyperlink"/>
            <w:szCs w:val="22"/>
            <w:lang w:val="en-GB"/>
          </w:rPr>
          <w:t>9</w:t>
        </w:r>
      </w:hyperlink>
      <w:r w:rsidRPr="00380B40">
        <w:rPr>
          <w:lang w:val="en-GB"/>
        </w:rPr>
        <w:t>)</w:t>
      </w:r>
    </w:p>
    <w:p w14:paraId="73130ABC" w14:textId="77777777" w:rsidR="009033A7" w:rsidRPr="00380B40" w:rsidRDefault="009033A7" w:rsidP="00104595">
      <w:pPr>
        <w:pStyle w:val="enumlev1"/>
        <w:rPr>
          <w:lang w:val="en-GB"/>
        </w:rPr>
      </w:pPr>
      <w:r w:rsidRPr="00380B40">
        <w:rPr>
          <w:lang w:val="en-GB"/>
        </w:rPr>
        <w:t>–</w:t>
      </w:r>
      <w:r w:rsidRPr="00380B40">
        <w:rPr>
          <w:lang w:val="en-GB"/>
        </w:rPr>
        <w:tab/>
        <w:t xml:space="preserve">ITU-T SG12, Performance, QoS and QoE, Mr Kwame Baah-Acheamfuor, </w:t>
      </w:r>
      <w:r w:rsidR="00AC3331" w:rsidRPr="00380B40">
        <w:rPr>
          <w:lang w:val="en-GB"/>
        </w:rPr>
        <w:t xml:space="preserve">Ghana, </w:t>
      </w:r>
      <w:r w:rsidRPr="00380B40">
        <w:rPr>
          <w:lang w:val="en-GB"/>
        </w:rPr>
        <w:t xml:space="preserve">Chairman ITU-T SG12 (Document </w:t>
      </w:r>
      <w:hyperlink r:id="rId569" w:history="1">
        <w:r w:rsidR="00AC3331" w:rsidRPr="00380B40">
          <w:rPr>
            <w:rStyle w:val="Hyperlink"/>
            <w:lang w:val="en-GB"/>
          </w:rPr>
          <w:t>C</w:t>
        </w:r>
        <w:r w:rsidRPr="00380B40">
          <w:rPr>
            <w:rStyle w:val="Hyperlink"/>
            <w:szCs w:val="22"/>
            <w:lang w:val="en-GB"/>
          </w:rPr>
          <w:t>11</w:t>
        </w:r>
      </w:hyperlink>
      <w:r w:rsidRPr="00380B40">
        <w:rPr>
          <w:lang w:val="en-GB"/>
        </w:rPr>
        <w:t>)</w:t>
      </w:r>
    </w:p>
    <w:p w14:paraId="3C8FBF11" w14:textId="77777777" w:rsidR="009033A7" w:rsidRPr="00380B40" w:rsidRDefault="009033A7" w:rsidP="00104595">
      <w:pPr>
        <w:pStyle w:val="enumlev1"/>
        <w:rPr>
          <w:lang w:val="en-GB"/>
        </w:rPr>
      </w:pPr>
      <w:r w:rsidRPr="00380B40">
        <w:rPr>
          <w:lang w:val="en-GB"/>
        </w:rPr>
        <w:t>–</w:t>
      </w:r>
      <w:r w:rsidRPr="00380B40">
        <w:rPr>
          <w:lang w:val="en-GB"/>
        </w:rPr>
        <w:tab/>
        <w:t xml:space="preserve">ITU-T SG13, Future networks, with focus on IMT-2020, cloud computing and trusted network infrastructures, Ms Rim Belhassine-Cherif, </w:t>
      </w:r>
      <w:r w:rsidR="00AC3331" w:rsidRPr="00380B40">
        <w:rPr>
          <w:lang w:val="en-GB"/>
        </w:rPr>
        <w:t xml:space="preserve">Tunisia, </w:t>
      </w:r>
      <w:r w:rsidRPr="00380B40">
        <w:rPr>
          <w:lang w:val="en-GB"/>
        </w:rPr>
        <w:t>Vice-Chairman of SG13</w:t>
      </w:r>
      <w:r w:rsidR="00AC3331" w:rsidRPr="00380B40">
        <w:rPr>
          <w:lang w:val="en-GB"/>
        </w:rPr>
        <w:t xml:space="preserve">, </w:t>
      </w:r>
      <w:r w:rsidR="00AC3331" w:rsidRPr="00380B40">
        <w:rPr>
          <w:szCs w:val="22"/>
          <w:lang w:val="en-GB"/>
        </w:rPr>
        <w:t>on behalf of Mr Leo Lehmann, Switzerland, Chairman ITU-T SG13</w:t>
      </w:r>
      <w:r w:rsidRPr="00380B40">
        <w:rPr>
          <w:lang w:val="en-GB"/>
        </w:rPr>
        <w:t xml:space="preserve"> (Document </w:t>
      </w:r>
      <w:hyperlink r:id="rId570" w:history="1">
        <w:r w:rsidR="00AC3331" w:rsidRPr="00380B40">
          <w:rPr>
            <w:rStyle w:val="Hyperlink"/>
            <w:lang w:val="en-GB"/>
          </w:rPr>
          <w:t>C</w:t>
        </w:r>
        <w:r w:rsidRPr="00380B40">
          <w:rPr>
            <w:rStyle w:val="Hyperlink"/>
            <w:szCs w:val="22"/>
            <w:lang w:val="en-GB"/>
          </w:rPr>
          <w:t>13-R1</w:t>
        </w:r>
      </w:hyperlink>
      <w:r w:rsidRPr="00380B40">
        <w:rPr>
          <w:lang w:val="en-GB"/>
        </w:rPr>
        <w:t>)</w:t>
      </w:r>
    </w:p>
    <w:p w14:paraId="71A1B0E3" w14:textId="77777777" w:rsidR="008776A7" w:rsidRPr="00380B40" w:rsidRDefault="008776A7" w:rsidP="00104595">
      <w:pPr>
        <w:pStyle w:val="enumlev1"/>
        <w:rPr>
          <w:lang w:val="en-GB"/>
        </w:rPr>
      </w:pPr>
      <w:r w:rsidRPr="00380B40">
        <w:rPr>
          <w:lang w:val="en-GB"/>
        </w:rPr>
        <w:br w:type="page"/>
      </w:r>
    </w:p>
    <w:p w14:paraId="630BD9C4" w14:textId="77777777" w:rsidR="009033A7" w:rsidRPr="00380B40" w:rsidRDefault="009033A7" w:rsidP="00104595">
      <w:pPr>
        <w:pStyle w:val="enumlev1"/>
        <w:rPr>
          <w:lang w:val="en-GB"/>
        </w:rPr>
      </w:pPr>
      <w:r w:rsidRPr="00380B40">
        <w:rPr>
          <w:lang w:val="en-GB"/>
        </w:rPr>
        <w:t>–</w:t>
      </w:r>
      <w:r w:rsidRPr="00380B40">
        <w:rPr>
          <w:lang w:val="en-GB"/>
        </w:rPr>
        <w:tab/>
        <w:t xml:space="preserve">ITU-T SG15, Transport, Access and Home, Mr Stephen Trowbridge, </w:t>
      </w:r>
      <w:r w:rsidR="00AC3331" w:rsidRPr="00380B40">
        <w:rPr>
          <w:lang w:val="en-GB"/>
        </w:rPr>
        <w:t xml:space="preserve">USA, </w:t>
      </w:r>
      <w:r w:rsidRPr="00380B40">
        <w:rPr>
          <w:lang w:val="en-GB"/>
        </w:rPr>
        <w:t xml:space="preserve">Chairman ITU-T SG15 (Document </w:t>
      </w:r>
      <w:hyperlink r:id="rId571" w:history="1">
        <w:r w:rsidR="00AC3331" w:rsidRPr="00380B40">
          <w:rPr>
            <w:rStyle w:val="Hyperlink"/>
            <w:lang w:val="en-GB"/>
          </w:rPr>
          <w:t>C</w:t>
        </w:r>
        <w:r w:rsidRPr="00380B40">
          <w:rPr>
            <w:rStyle w:val="Hyperlink"/>
            <w:szCs w:val="22"/>
            <w:lang w:val="en-GB"/>
          </w:rPr>
          <w:t>15</w:t>
        </w:r>
      </w:hyperlink>
      <w:r w:rsidRPr="00380B40">
        <w:rPr>
          <w:lang w:val="en-GB"/>
        </w:rPr>
        <w:t>), and</w:t>
      </w:r>
    </w:p>
    <w:p w14:paraId="58AE2438" w14:textId="77777777" w:rsidR="009033A7" w:rsidRPr="00380B40" w:rsidRDefault="009033A7" w:rsidP="00104595">
      <w:pPr>
        <w:pStyle w:val="enumlev1"/>
        <w:rPr>
          <w:lang w:val="en-GB"/>
        </w:rPr>
      </w:pPr>
      <w:r w:rsidRPr="00380B40">
        <w:rPr>
          <w:lang w:val="en-GB"/>
        </w:rPr>
        <w:t>–</w:t>
      </w:r>
      <w:r w:rsidRPr="00380B40">
        <w:rPr>
          <w:lang w:val="en-GB"/>
        </w:rPr>
        <w:tab/>
        <w:t xml:space="preserve">ITU-T SG16, Multimedia, Mr Noah Luo, </w:t>
      </w:r>
      <w:r w:rsidR="00AC3331" w:rsidRPr="00380B40">
        <w:rPr>
          <w:lang w:val="en-GB"/>
        </w:rPr>
        <w:t xml:space="preserve">China, </w:t>
      </w:r>
      <w:r w:rsidRPr="00380B40">
        <w:rPr>
          <w:lang w:val="en-GB"/>
        </w:rPr>
        <w:t xml:space="preserve">Chairman ITU-T SG16 (Document </w:t>
      </w:r>
      <w:hyperlink r:id="rId572" w:history="1">
        <w:r w:rsidR="00AC3331" w:rsidRPr="00380B40">
          <w:rPr>
            <w:rStyle w:val="Hyperlink"/>
            <w:lang w:val="en-GB"/>
          </w:rPr>
          <w:t>C</w:t>
        </w:r>
        <w:r w:rsidRPr="00380B40">
          <w:rPr>
            <w:rStyle w:val="Hyperlink"/>
            <w:szCs w:val="22"/>
            <w:lang w:val="en-GB"/>
          </w:rPr>
          <w:t>17</w:t>
        </w:r>
      </w:hyperlink>
      <w:r w:rsidRPr="00380B40">
        <w:rPr>
          <w:lang w:val="en-GB"/>
        </w:rPr>
        <w:t>)</w:t>
      </w:r>
    </w:p>
    <w:p w14:paraId="2BB06764" w14:textId="77777777" w:rsidR="009033A7" w:rsidRPr="00380B40" w:rsidRDefault="009033A7" w:rsidP="00104595">
      <w:pPr>
        <w:rPr>
          <w:lang w:val="en-GB"/>
        </w:rPr>
      </w:pPr>
      <w:r w:rsidRPr="00380B40">
        <w:rPr>
          <w:lang w:val="en-GB"/>
        </w:rPr>
        <w:t>It was agreed, due to lack of time, to defer the consideration of the reports from SGs 17 and 20 until the next Plenary.</w:t>
      </w:r>
    </w:p>
    <w:p w14:paraId="297B2226" w14:textId="77777777" w:rsidR="009033A7" w:rsidRPr="00380B40" w:rsidRDefault="009033A7" w:rsidP="00104595">
      <w:pPr>
        <w:rPr>
          <w:lang w:val="en-GB"/>
        </w:rPr>
      </w:pPr>
      <w:r w:rsidRPr="00380B40">
        <w:rPr>
          <w:lang w:val="en-GB"/>
        </w:rPr>
        <w:t>The TSB Director on behalf of the ITU membership expressed his thanks to the Chairmen of the study groups, TSAG and the SCV for their outstanding work accomplished during the study period and handed out certificates of appreciation as follows:</w:t>
      </w:r>
    </w:p>
    <w:tbl>
      <w:tblPr>
        <w:tblStyle w:val="TableGrid"/>
        <w:tblW w:w="5000" w:type="pct"/>
        <w:tblLook w:val="04A0" w:firstRow="1" w:lastRow="0" w:firstColumn="1" w:lastColumn="0" w:noHBand="0" w:noVBand="1"/>
      </w:tblPr>
      <w:tblGrid>
        <w:gridCol w:w="4531"/>
        <w:gridCol w:w="5097"/>
      </w:tblGrid>
      <w:tr w:rsidR="008776A7" w:rsidRPr="00380B40" w14:paraId="55866592" w14:textId="77777777" w:rsidTr="004E4CA9">
        <w:tc>
          <w:tcPr>
            <w:tcW w:w="4531" w:type="dxa"/>
          </w:tcPr>
          <w:p w14:paraId="73D9D5D5"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w:t>
            </w:r>
            <w:r w:rsidRPr="00380B40">
              <w:rPr>
                <w:lang w:val="en-GB"/>
              </w:rPr>
              <w:tab/>
              <w:t>Mr Phil Rushton</w:t>
            </w:r>
          </w:p>
        </w:tc>
        <w:tc>
          <w:tcPr>
            <w:tcW w:w="5097" w:type="dxa"/>
          </w:tcPr>
          <w:p w14:paraId="06ED37E8"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ITU-T Study Group 2</w:t>
            </w:r>
          </w:p>
        </w:tc>
      </w:tr>
      <w:tr w:rsidR="008776A7" w:rsidRPr="00380B40" w14:paraId="74E3E5B3" w14:textId="77777777" w:rsidTr="004E4CA9">
        <w:tc>
          <w:tcPr>
            <w:tcW w:w="4531" w:type="dxa"/>
          </w:tcPr>
          <w:p w14:paraId="1FF364E9"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w:t>
            </w:r>
            <w:r w:rsidRPr="00380B40">
              <w:rPr>
                <w:lang w:val="en-GB"/>
              </w:rPr>
              <w:tab/>
              <w:t>Mr Seiichi Tsugawa</w:t>
            </w:r>
          </w:p>
        </w:tc>
        <w:tc>
          <w:tcPr>
            <w:tcW w:w="5097" w:type="dxa"/>
          </w:tcPr>
          <w:p w14:paraId="57731470"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ITU-T Study Group 3</w:t>
            </w:r>
          </w:p>
        </w:tc>
      </w:tr>
      <w:tr w:rsidR="008776A7" w:rsidRPr="00380B40" w14:paraId="5BBAA1E0" w14:textId="77777777" w:rsidTr="004E4CA9">
        <w:tc>
          <w:tcPr>
            <w:tcW w:w="4531" w:type="dxa"/>
          </w:tcPr>
          <w:p w14:paraId="65EFFC23"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w:t>
            </w:r>
            <w:r w:rsidRPr="00380B40">
              <w:rPr>
                <w:lang w:val="en-GB"/>
              </w:rPr>
              <w:tab/>
              <w:t>Ms Shuguang Qi</w:t>
            </w:r>
          </w:p>
        </w:tc>
        <w:tc>
          <w:tcPr>
            <w:tcW w:w="5097" w:type="dxa"/>
          </w:tcPr>
          <w:p w14:paraId="42A8AB26"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ITU-T Study Group 5</w:t>
            </w:r>
          </w:p>
        </w:tc>
      </w:tr>
      <w:tr w:rsidR="008776A7" w:rsidRPr="00380B40" w14:paraId="5641D119" w14:textId="77777777" w:rsidTr="004E4CA9">
        <w:tc>
          <w:tcPr>
            <w:tcW w:w="4531" w:type="dxa"/>
          </w:tcPr>
          <w:p w14:paraId="21E0FCBF"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w:t>
            </w:r>
            <w:r w:rsidRPr="00380B40">
              <w:rPr>
                <w:lang w:val="en-GB"/>
              </w:rPr>
              <w:tab/>
              <w:t>Mr Satoshi Miyaji</w:t>
            </w:r>
          </w:p>
        </w:tc>
        <w:tc>
          <w:tcPr>
            <w:tcW w:w="5097" w:type="dxa"/>
          </w:tcPr>
          <w:p w14:paraId="4F4CF437"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ITU-T Study Group 9</w:t>
            </w:r>
          </w:p>
        </w:tc>
      </w:tr>
      <w:tr w:rsidR="008776A7" w:rsidRPr="00380B40" w14:paraId="2EF0F04A" w14:textId="77777777" w:rsidTr="004E4CA9">
        <w:tc>
          <w:tcPr>
            <w:tcW w:w="4531" w:type="dxa"/>
          </w:tcPr>
          <w:p w14:paraId="35FF943C"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w:t>
            </w:r>
            <w:r w:rsidRPr="00380B40">
              <w:rPr>
                <w:lang w:val="en-GB"/>
              </w:rPr>
              <w:tab/>
              <w:t>Mr Andrey Kucheryavy</w:t>
            </w:r>
          </w:p>
        </w:tc>
        <w:tc>
          <w:tcPr>
            <w:tcW w:w="5097" w:type="dxa"/>
          </w:tcPr>
          <w:p w14:paraId="28E687B5"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ITU-T Study Group 11</w:t>
            </w:r>
          </w:p>
        </w:tc>
      </w:tr>
      <w:tr w:rsidR="008776A7" w:rsidRPr="00380B40" w14:paraId="77F82BC4" w14:textId="77777777" w:rsidTr="004E4CA9">
        <w:tc>
          <w:tcPr>
            <w:tcW w:w="4531" w:type="dxa"/>
          </w:tcPr>
          <w:p w14:paraId="6C3F0FEF"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w:t>
            </w:r>
            <w:r w:rsidRPr="00380B40">
              <w:rPr>
                <w:lang w:val="en-GB"/>
              </w:rPr>
              <w:tab/>
              <w:t>Mr Kwame Baah-Acheamfuor</w:t>
            </w:r>
          </w:p>
        </w:tc>
        <w:tc>
          <w:tcPr>
            <w:tcW w:w="5097" w:type="dxa"/>
          </w:tcPr>
          <w:p w14:paraId="4A5347D9"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ITU-T Study Group 12</w:t>
            </w:r>
          </w:p>
        </w:tc>
      </w:tr>
      <w:tr w:rsidR="008776A7" w:rsidRPr="00380B40" w14:paraId="53B6F161" w14:textId="77777777" w:rsidTr="004E4CA9">
        <w:tc>
          <w:tcPr>
            <w:tcW w:w="4531" w:type="dxa"/>
          </w:tcPr>
          <w:p w14:paraId="06B3F98A"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w:t>
            </w:r>
            <w:r w:rsidRPr="00380B40">
              <w:rPr>
                <w:lang w:val="en-GB"/>
              </w:rPr>
              <w:tab/>
              <w:t>Mr Leo Lehmann</w:t>
            </w:r>
          </w:p>
        </w:tc>
        <w:tc>
          <w:tcPr>
            <w:tcW w:w="5097" w:type="dxa"/>
          </w:tcPr>
          <w:p w14:paraId="4178D602"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ITU-T Study Group 13</w:t>
            </w:r>
          </w:p>
        </w:tc>
      </w:tr>
      <w:tr w:rsidR="008776A7" w:rsidRPr="00380B40" w14:paraId="3ECD8D1B" w14:textId="77777777" w:rsidTr="004E4CA9">
        <w:tc>
          <w:tcPr>
            <w:tcW w:w="4531" w:type="dxa"/>
          </w:tcPr>
          <w:p w14:paraId="2C56EA3C"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w:t>
            </w:r>
            <w:r w:rsidRPr="00380B40">
              <w:rPr>
                <w:lang w:val="en-GB"/>
              </w:rPr>
              <w:tab/>
              <w:t>Mr Steve Trowbridge</w:t>
            </w:r>
          </w:p>
        </w:tc>
        <w:tc>
          <w:tcPr>
            <w:tcW w:w="5097" w:type="dxa"/>
          </w:tcPr>
          <w:p w14:paraId="1D64CB07"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ITU-T Study Group 15</w:t>
            </w:r>
          </w:p>
        </w:tc>
      </w:tr>
      <w:tr w:rsidR="008776A7" w:rsidRPr="00380B40" w14:paraId="749684E4" w14:textId="77777777" w:rsidTr="004E4CA9">
        <w:tc>
          <w:tcPr>
            <w:tcW w:w="4531" w:type="dxa"/>
          </w:tcPr>
          <w:p w14:paraId="6EAB1C2C"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w:t>
            </w:r>
            <w:r w:rsidRPr="00380B40">
              <w:rPr>
                <w:lang w:val="en-GB"/>
              </w:rPr>
              <w:tab/>
              <w:t>Mr Noah Luo</w:t>
            </w:r>
          </w:p>
        </w:tc>
        <w:tc>
          <w:tcPr>
            <w:tcW w:w="5097" w:type="dxa"/>
          </w:tcPr>
          <w:p w14:paraId="3564BC3F"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ITU-T Study Group 16</w:t>
            </w:r>
          </w:p>
        </w:tc>
      </w:tr>
      <w:tr w:rsidR="008776A7" w:rsidRPr="00380B40" w14:paraId="253AECFA" w14:textId="77777777" w:rsidTr="004E4CA9">
        <w:tc>
          <w:tcPr>
            <w:tcW w:w="4531" w:type="dxa"/>
          </w:tcPr>
          <w:p w14:paraId="4D750E05"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w:t>
            </w:r>
            <w:r w:rsidRPr="00380B40">
              <w:rPr>
                <w:lang w:val="en-GB"/>
              </w:rPr>
              <w:tab/>
              <w:t>Mr Heung-Youl Youm</w:t>
            </w:r>
          </w:p>
        </w:tc>
        <w:tc>
          <w:tcPr>
            <w:tcW w:w="5097" w:type="dxa"/>
          </w:tcPr>
          <w:p w14:paraId="1EA7C4F0"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ITU-T Study Group 17</w:t>
            </w:r>
          </w:p>
        </w:tc>
      </w:tr>
      <w:tr w:rsidR="008776A7" w:rsidRPr="00380B40" w14:paraId="02563BA7" w14:textId="77777777" w:rsidTr="004E4CA9">
        <w:tc>
          <w:tcPr>
            <w:tcW w:w="4531" w:type="dxa"/>
          </w:tcPr>
          <w:p w14:paraId="60A1F8BA"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w:t>
            </w:r>
            <w:r w:rsidRPr="00380B40">
              <w:rPr>
                <w:lang w:val="en-GB"/>
              </w:rPr>
              <w:tab/>
              <w:t>Mr Nasser Al Marzouqi</w:t>
            </w:r>
          </w:p>
        </w:tc>
        <w:tc>
          <w:tcPr>
            <w:tcW w:w="5097" w:type="dxa"/>
          </w:tcPr>
          <w:p w14:paraId="40CFE378"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ITU-T Study Group 20</w:t>
            </w:r>
          </w:p>
        </w:tc>
      </w:tr>
      <w:tr w:rsidR="008776A7" w:rsidRPr="00380B40" w14:paraId="1E4A5B5B" w14:textId="77777777" w:rsidTr="004E4CA9">
        <w:tc>
          <w:tcPr>
            <w:tcW w:w="4531" w:type="dxa"/>
          </w:tcPr>
          <w:p w14:paraId="413B2CF7"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w:t>
            </w:r>
            <w:r w:rsidRPr="00380B40">
              <w:rPr>
                <w:lang w:val="en-GB"/>
              </w:rPr>
              <w:tab/>
              <w:t>Mr Bruce Gracie</w:t>
            </w:r>
          </w:p>
        </w:tc>
        <w:tc>
          <w:tcPr>
            <w:tcW w:w="5097" w:type="dxa"/>
          </w:tcPr>
          <w:p w14:paraId="1638DB86"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ITU-T TSAG</w:t>
            </w:r>
          </w:p>
        </w:tc>
      </w:tr>
      <w:tr w:rsidR="008776A7" w:rsidRPr="00380B40" w14:paraId="7061BABC" w14:textId="77777777" w:rsidTr="004E4CA9">
        <w:tc>
          <w:tcPr>
            <w:tcW w:w="4531" w:type="dxa"/>
          </w:tcPr>
          <w:p w14:paraId="259F63F6"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w:t>
            </w:r>
            <w:r w:rsidRPr="00380B40">
              <w:rPr>
                <w:lang w:val="en-GB"/>
              </w:rPr>
              <w:tab/>
              <w:t>Ms Rim Belhaj</w:t>
            </w:r>
          </w:p>
        </w:tc>
        <w:tc>
          <w:tcPr>
            <w:tcW w:w="5097" w:type="dxa"/>
          </w:tcPr>
          <w:p w14:paraId="6ECAAD28" w14:textId="77777777" w:rsidR="008776A7" w:rsidRPr="00380B40" w:rsidRDefault="008776A7" w:rsidP="004E4CA9">
            <w:pPr>
              <w:tabs>
                <w:tab w:val="clear" w:pos="794"/>
                <w:tab w:val="clear" w:pos="1191"/>
                <w:tab w:val="clear" w:pos="1588"/>
                <w:tab w:val="clear" w:pos="1985"/>
              </w:tabs>
              <w:spacing w:before="60" w:line="250" w:lineRule="exact"/>
              <w:rPr>
                <w:lang w:val="en-GB"/>
              </w:rPr>
            </w:pPr>
            <w:r w:rsidRPr="00380B40">
              <w:rPr>
                <w:lang w:val="en-GB"/>
              </w:rPr>
              <w:t>ITU-T SCV.</w:t>
            </w:r>
          </w:p>
        </w:tc>
      </w:tr>
    </w:tbl>
    <w:p w14:paraId="7045AB04" w14:textId="77777777" w:rsidR="009033A7" w:rsidRPr="00380B40" w:rsidRDefault="009033A7" w:rsidP="00104595">
      <w:pPr>
        <w:pStyle w:val="Heading1"/>
        <w:rPr>
          <w:lang w:val="en-GB"/>
        </w:rPr>
      </w:pPr>
      <w:bookmarkStart w:id="2469" w:name="_Toc111637196"/>
      <w:r w:rsidRPr="00380B40">
        <w:rPr>
          <w:lang w:val="en-GB"/>
        </w:rPr>
        <w:t>24</w:t>
      </w:r>
      <w:r w:rsidRPr="00380B40">
        <w:rPr>
          <w:lang w:val="en-GB"/>
        </w:rPr>
        <w:tab/>
        <w:t>Any other business</w:t>
      </w:r>
      <w:bookmarkEnd w:id="2469"/>
    </w:p>
    <w:p w14:paraId="3BBEA7DF" w14:textId="77777777" w:rsidR="009033A7" w:rsidRPr="00380B40" w:rsidRDefault="009033A7" w:rsidP="00104595">
      <w:pPr>
        <w:rPr>
          <w:lang w:val="en-GB"/>
        </w:rPr>
      </w:pPr>
      <w:r w:rsidRPr="00380B40">
        <w:rPr>
          <w:lang w:val="en-GB"/>
        </w:rPr>
        <w:t>None.</w:t>
      </w:r>
    </w:p>
    <w:p w14:paraId="1C3AF3C0" w14:textId="77777777" w:rsidR="009033A7" w:rsidRPr="00380B40" w:rsidRDefault="009033A7" w:rsidP="00104595">
      <w:pPr>
        <w:pStyle w:val="Heading1"/>
        <w:rPr>
          <w:lang w:val="en-GB"/>
        </w:rPr>
      </w:pPr>
      <w:bookmarkStart w:id="2470" w:name="_Toc111637197"/>
      <w:r w:rsidRPr="00380B40">
        <w:rPr>
          <w:lang w:val="en-GB"/>
        </w:rPr>
        <w:t>25</w:t>
      </w:r>
      <w:r w:rsidRPr="00380B40">
        <w:rPr>
          <w:lang w:val="en-GB"/>
        </w:rPr>
        <w:tab/>
        <w:t>Closing of the first plenary</w:t>
      </w:r>
      <w:bookmarkEnd w:id="2470"/>
    </w:p>
    <w:p w14:paraId="1CA5C925" w14:textId="77777777" w:rsidR="009033A7" w:rsidRPr="00380B40" w:rsidRDefault="009033A7" w:rsidP="00104595">
      <w:pPr>
        <w:rPr>
          <w:lang w:val="en-GB"/>
        </w:rPr>
      </w:pPr>
      <w:r w:rsidRPr="00380B40">
        <w:rPr>
          <w:lang w:val="en-GB"/>
        </w:rPr>
        <w:t>The Chairman adjourned the meeting at around 1750 hours.</w:t>
      </w:r>
    </w:p>
    <w:p w14:paraId="1F22535B" w14:textId="77777777" w:rsidR="00104595" w:rsidRPr="00380B40" w:rsidRDefault="00104595" w:rsidP="00104595">
      <w:pPr>
        <w:rPr>
          <w:lang w:val="en-GB"/>
        </w:rPr>
      </w:pPr>
    </w:p>
    <w:p w14:paraId="02E48568" w14:textId="77777777" w:rsidR="00104595" w:rsidRPr="00380B40" w:rsidRDefault="00104595" w:rsidP="00104595">
      <w:pPr>
        <w:rPr>
          <w:lang w:val="en-GB"/>
        </w:rPr>
      </w:pPr>
    </w:p>
    <w:p w14:paraId="13DE94DD" w14:textId="77777777" w:rsidR="00181F30" w:rsidRPr="00380B40" w:rsidRDefault="00181F30" w:rsidP="00104595">
      <w:pPr>
        <w:rPr>
          <w:lang w:val="en-GB"/>
        </w:rPr>
      </w:pPr>
      <w:r w:rsidRPr="00380B40">
        <w:rPr>
          <w:lang w:val="en-GB"/>
        </w:rPr>
        <w:br w:type="page"/>
      </w:r>
    </w:p>
    <w:p w14:paraId="5D01B0F6" w14:textId="77777777" w:rsidR="009033A7" w:rsidRPr="00380B40" w:rsidRDefault="009033A7" w:rsidP="00B66120">
      <w:pPr>
        <w:pStyle w:val="AnnexNo"/>
      </w:pPr>
      <w:bookmarkStart w:id="2471" w:name="_Toc111637198"/>
      <w:r w:rsidRPr="00380B40">
        <w:t>Annex 1</w:t>
      </w:r>
      <w:r w:rsidRPr="00380B40">
        <w:br/>
        <w:t xml:space="preserve">(to </w:t>
      </w:r>
      <w:r w:rsidR="00AC3331" w:rsidRPr="00380B40">
        <w:t xml:space="preserve">the </w:t>
      </w:r>
      <w:r w:rsidRPr="00380B40">
        <w:t>inaugural ceremony and first plenary meeting report)</w:t>
      </w:r>
      <w:bookmarkEnd w:id="2471"/>
    </w:p>
    <w:p w14:paraId="24EEB392" w14:textId="77777777" w:rsidR="009033A7" w:rsidRPr="00380B40" w:rsidRDefault="009033A7" w:rsidP="00B66120">
      <w:pPr>
        <w:pStyle w:val="Annextitle"/>
        <w:rPr>
          <w:bCs/>
          <w:szCs w:val="24"/>
        </w:rPr>
      </w:pPr>
      <w:r w:rsidRPr="00380B40">
        <w:t>Statements</w:t>
      </w:r>
    </w:p>
    <w:p w14:paraId="746BB896" w14:textId="77777777" w:rsidR="009033A7" w:rsidRPr="00380B40" w:rsidRDefault="009033A7" w:rsidP="00104595">
      <w:pPr>
        <w:pStyle w:val="Heading1"/>
        <w:rPr>
          <w:lang w:val="en-GB"/>
        </w:rPr>
      </w:pPr>
      <w:bookmarkStart w:id="2472" w:name="_Toc111637199"/>
      <w:r w:rsidRPr="00380B40">
        <w:rPr>
          <w:lang w:val="en-GB"/>
        </w:rPr>
        <w:t>1</w:t>
      </w:r>
      <w:r w:rsidRPr="00380B40">
        <w:rPr>
          <w:lang w:val="en-GB"/>
        </w:rPr>
        <w:tab/>
        <w:t>Statement by Ukraine</w:t>
      </w:r>
      <w:bookmarkEnd w:id="2472"/>
    </w:p>
    <w:p w14:paraId="63953672" w14:textId="77777777" w:rsidR="009033A7" w:rsidRPr="00380B40" w:rsidRDefault="009033A7" w:rsidP="009033A7">
      <w:pPr>
        <w:spacing w:before="120" w:line="240" w:lineRule="auto"/>
        <w:jc w:val="left"/>
        <w:rPr>
          <w:i/>
          <w:iCs/>
          <w:szCs w:val="22"/>
          <w:lang w:val="en-GB"/>
        </w:rPr>
      </w:pPr>
      <w:r w:rsidRPr="00380B40">
        <w:rPr>
          <w:i/>
          <w:iCs/>
          <w:szCs w:val="22"/>
          <w:lang w:val="en-GB"/>
        </w:rPr>
        <w:t>Secretary-General, Distinguished Delegates, Excellencies, ladies and gentlemen, I have the honour to speak on behalf of the delegation of Ukraine. Within the aspects of the national digital transformation agenda, the government of Ukraine and ITU are working effectively on the technological advancement of our country. We stress on the importance of work of the ITU as one of the oldest United Nations specialized agencies for information and communication technologies. Its role was particularly relevant during the period of COVID-19 pandemic.</w:t>
      </w:r>
    </w:p>
    <w:p w14:paraId="6E56993D" w14:textId="77777777" w:rsidR="009033A7" w:rsidRPr="00380B40" w:rsidRDefault="009033A7" w:rsidP="009033A7">
      <w:pPr>
        <w:spacing w:before="120" w:line="240" w:lineRule="auto"/>
        <w:jc w:val="left"/>
        <w:rPr>
          <w:i/>
          <w:iCs/>
          <w:szCs w:val="22"/>
          <w:lang w:val="en-GB"/>
        </w:rPr>
      </w:pPr>
      <w:r w:rsidRPr="00380B40">
        <w:rPr>
          <w:i/>
          <w:iCs/>
          <w:szCs w:val="22"/>
          <w:lang w:val="en-GB"/>
        </w:rPr>
        <w:t>Today, all the efforts of the international community and this organization, among others, to build back and flourish are under blatant and non-provoked attack. On 24th February, the Russian Federation, supported by the Republic of Belarus, launched numerous strikes on peaceful Ukrainian cities. Russian Federation commits an act of aggression and attack on the sovereignty and territorial integrity of Ukraine. A brutal violation of the U.N. charter and basic norms and principles of international law. The attacks by rockets, bombs and artillery are targeting critical telecommunication infrastructure, telecom services are unstable and population experiencing outages of the mobile networks. But most terrifying, are causing human losses.</w:t>
      </w:r>
    </w:p>
    <w:p w14:paraId="0B41B399" w14:textId="77777777" w:rsidR="009033A7" w:rsidRPr="00380B40" w:rsidRDefault="009033A7" w:rsidP="009033A7">
      <w:pPr>
        <w:spacing w:before="120" w:line="240" w:lineRule="auto"/>
        <w:jc w:val="left"/>
        <w:rPr>
          <w:i/>
          <w:iCs/>
          <w:szCs w:val="22"/>
          <w:lang w:val="en-GB"/>
        </w:rPr>
      </w:pPr>
      <w:r w:rsidRPr="00380B40">
        <w:rPr>
          <w:i/>
          <w:iCs/>
          <w:szCs w:val="22"/>
          <w:lang w:val="en-GB"/>
        </w:rPr>
        <w:t>Distinguished Delegates, let us commemorate the victims of the Russian aggression in Ukraine and observe a moment in complete silence.</w:t>
      </w:r>
    </w:p>
    <w:p w14:paraId="7293A090" w14:textId="77777777" w:rsidR="009033A7" w:rsidRPr="00380B40" w:rsidRDefault="009033A7" w:rsidP="009033A7">
      <w:pPr>
        <w:spacing w:before="120" w:line="240" w:lineRule="auto"/>
        <w:jc w:val="left"/>
        <w:rPr>
          <w:szCs w:val="22"/>
          <w:lang w:val="en-GB"/>
        </w:rPr>
      </w:pPr>
      <w:r w:rsidRPr="00380B40">
        <w:rPr>
          <w:szCs w:val="22"/>
          <w:lang w:val="en-GB"/>
        </w:rPr>
        <w:t>(Moment of silence).</w:t>
      </w:r>
    </w:p>
    <w:p w14:paraId="2483A60E" w14:textId="77777777" w:rsidR="009033A7" w:rsidRPr="00380B40" w:rsidRDefault="009033A7" w:rsidP="009033A7">
      <w:pPr>
        <w:spacing w:before="120" w:line="240" w:lineRule="auto"/>
        <w:jc w:val="left"/>
        <w:rPr>
          <w:i/>
          <w:iCs/>
          <w:szCs w:val="22"/>
          <w:lang w:val="en-GB"/>
        </w:rPr>
      </w:pPr>
      <w:r w:rsidRPr="00380B40">
        <w:rPr>
          <w:i/>
          <w:iCs/>
          <w:szCs w:val="22"/>
          <w:lang w:val="en-GB"/>
        </w:rPr>
        <w:t>I thank you.</w:t>
      </w:r>
    </w:p>
    <w:p w14:paraId="698636BC" w14:textId="77777777" w:rsidR="009033A7" w:rsidRPr="00380B40" w:rsidRDefault="009033A7" w:rsidP="009033A7">
      <w:pPr>
        <w:spacing w:before="120" w:line="240" w:lineRule="auto"/>
        <w:jc w:val="left"/>
        <w:rPr>
          <w:i/>
          <w:iCs/>
          <w:szCs w:val="22"/>
          <w:lang w:val="en-GB"/>
        </w:rPr>
      </w:pPr>
      <w:r w:rsidRPr="00380B40">
        <w:rPr>
          <w:i/>
          <w:iCs/>
          <w:szCs w:val="22"/>
          <w:lang w:val="en-GB"/>
        </w:rPr>
        <w:t>Secretary-General, Ukraine calls on the international community and this Assembly to act immediately. Only united and decisive actions can stop Kremlin</w:t>
      </w:r>
      <w:r w:rsidR="00F82355" w:rsidRPr="00380B40">
        <w:rPr>
          <w:i/>
          <w:iCs/>
          <w:szCs w:val="22"/>
          <w:lang w:val="en-GB"/>
        </w:rPr>
        <w:t>'</w:t>
      </w:r>
      <w:r w:rsidRPr="00380B40">
        <w:rPr>
          <w:i/>
          <w:iCs/>
          <w:szCs w:val="22"/>
          <w:lang w:val="en-GB"/>
        </w:rPr>
        <w:t>s aggression against Ukraine. In particular, we're convinced that in this darkest hour the ITU membership will not support the Russian officials, including to the positions of Chairs and Vice-Chairs of the study groups. Lives, security, wellbeing of Ukrainian citizens are at stake. But also, security of citizens of the entire Europe and the future of the world depend on our joint and unified response.</w:t>
      </w:r>
    </w:p>
    <w:p w14:paraId="5CEEA75B" w14:textId="77777777" w:rsidR="008776A7" w:rsidRPr="00380B40" w:rsidRDefault="008776A7" w:rsidP="008776A7">
      <w:pPr>
        <w:rPr>
          <w:lang w:val="en-GB"/>
        </w:rPr>
      </w:pPr>
    </w:p>
    <w:p w14:paraId="4A973ED3" w14:textId="77777777" w:rsidR="008776A7" w:rsidRPr="00380B40" w:rsidRDefault="008776A7" w:rsidP="008776A7">
      <w:pPr>
        <w:rPr>
          <w:lang w:val="en-GB"/>
        </w:rPr>
      </w:pPr>
    </w:p>
    <w:p w14:paraId="27520CA8" w14:textId="77777777" w:rsidR="008776A7" w:rsidRPr="00380B40" w:rsidRDefault="008776A7" w:rsidP="008776A7">
      <w:pPr>
        <w:rPr>
          <w:lang w:val="en-GB"/>
        </w:rPr>
      </w:pPr>
    </w:p>
    <w:p w14:paraId="11BC4101" w14:textId="77777777" w:rsidR="008776A7" w:rsidRPr="00380B40" w:rsidRDefault="008776A7" w:rsidP="008776A7">
      <w:pPr>
        <w:rPr>
          <w:lang w:val="en-GB"/>
        </w:rPr>
      </w:pPr>
      <w:r w:rsidRPr="00380B40">
        <w:rPr>
          <w:lang w:val="en-GB"/>
        </w:rPr>
        <w:br w:type="page"/>
      </w:r>
    </w:p>
    <w:p w14:paraId="7E169123" w14:textId="77777777" w:rsidR="009033A7" w:rsidRPr="00380B40" w:rsidRDefault="009033A7" w:rsidP="00104595">
      <w:pPr>
        <w:pStyle w:val="Heading1"/>
        <w:rPr>
          <w:lang w:val="en-GB"/>
        </w:rPr>
      </w:pPr>
      <w:bookmarkStart w:id="2473" w:name="_Toc111637200"/>
      <w:r w:rsidRPr="00380B40">
        <w:rPr>
          <w:lang w:val="en-GB"/>
        </w:rPr>
        <w:t>2</w:t>
      </w:r>
      <w:r w:rsidRPr="00380B40">
        <w:rPr>
          <w:lang w:val="en-GB"/>
        </w:rPr>
        <w:tab/>
        <w:t>Statement by France on behalf of 27 European countries</w:t>
      </w:r>
      <w:bookmarkEnd w:id="2473"/>
    </w:p>
    <w:p w14:paraId="42CADA62" w14:textId="77777777" w:rsidR="009033A7" w:rsidRPr="00380B40" w:rsidRDefault="009033A7" w:rsidP="009033A7">
      <w:pPr>
        <w:rPr>
          <w:i/>
          <w:iCs/>
          <w:szCs w:val="22"/>
          <w:lang w:val="en-GB"/>
        </w:rPr>
      </w:pPr>
      <w:r w:rsidRPr="00380B40">
        <w:rPr>
          <w:i/>
          <w:iCs/>
          <w:szCs w:val="22"/>
          <w:lang w:val="en-GB"/>
        </w:rPr>
        <w:t>I have the honour to speak on behalf of the European Union and its Member states.</w:t>
      </w:r>
    </w:p>
    <w:p w14:paraId="7B28C660" w14:textId="6C007827" w:rsidR="009033A7" w:rsidRPr="00380B40" w:rsidRDefault="009033A7" w:rsidP="00104595">
      <w:pPr>
        <w:rPr>
          <w:b/>
          <w:bCs/>
          <w:i/>
          <w:iCs/>
          <w:lang w:val="en-GB"/>
        </w:rPr>
      </w:pPr>
      <w:r w:rsidRPr="00380B40">
        <w:rPr>
          <w:b/>
          <w:bCs/>
          <w:i/>
          <w:iCs/>
          <w:lang w:val="en-GB"/>
        </w:rPr>
        <w:t>The Candidate Countries Montenegro</w:t>
      </w:r>
      <w:r w:rsidR="007757C0">
        <w:rPr>
          <w:rStyle w:val="FootnoteReference"/>
          <w:b/>
          <w:bCs/>
          <w:i/>
          <w:iCs/>
          <w:lang w:val="en-GB"/>
        </w:rPr>
        <w:footnoteReference w:id="82"/>
      </w:r>
      <w:r w:rsidRPr="00380B40">
        <w:rPr>
          <w:b/>
          <w:bCs/>
          <w:i/>
          <w:iCs/>
          <w:lang w:val="en-GB"/>
        </w:rPr>
        <w:t xml:space="preserve"> and Albania*, and the EFTA countries Iceland, and Norway, members of the European Economic Area, as well as Ukraine, and Georgia align themselves with this statement.</w:t>
      </w:r>
    </w:p>
    <w:p w14:paraId="664F5CD7" w14:textId="77777777" w:rsidR="009033A7" w:rsidRPr="00380B40" w:rsidRDefault="009033A7" w:rsidP="009033A7">
      <w:pPr>
        <w:rPr>
          <w:i/>
          <w:iCs/>
          <w:color w:val="000000"/>
          <w:szCs w:val="22"/>
          <w:lang w:val="en-GB"/>
        </w:rPr>
      </w:pPr>
      <w:r w:rsidRPr="00380B40">
        <w:rPr>
          <w:i/>
          <w:iCs/>
          <w:color w:val="000000"/>
          <w:szCs w:val="22"/>
          <w:lang w:val="en-GB"/>
        </w:rPr>
        <w:t>In this dark moment for Europe and the international community, the European Union and its Member States condemn in the strongest possible terms the unprecedented military aggression of the Russian Federation against Ukraine. By its unprovoked, unjustified and premeditated military actions, the Russian Federation is grossly violating international law, the core principles on which the international rules-based order is built, and the fundamental principles of the UN Charter that have prevailed since WWII. It is an attack towards what the UN, Geneva as a capital of multilateralism, and ITU as its oldest agency, stand for.</w:t>
      </w:r>
    </w:p>
    <w:p w14:paraId="0DA989A3" w14:textId="77777777" w:rsidR="009033A7" w:rsidRPr="00380B40" w:rsidRDefault="009033A7" w:rsidP="009033A7">
      <w:pPr>
        <w:rPr>
          <w:i/>
          <w:iCs/>
          <w:color w:val="000000"/>
          <w:szCs w:val="22"/>
          <w:lang w:val="en-GB"/>
        </w:rPr>
      </w:pPr>
      <w:r w:rsidRPr="00380B40">
        <w:rPr>
          <w:i/>
          <w:iCs/>
          <w:color w:val="000000"/>
          <w:szCs w:val="22"/>
          <w:lang w:val="en-GB"/>
        </w:rPr>
        <w:t>The EU and its MS also condemn the involvement of Belarus in this aggression against Ukraine.</w:t>
      </w:r>
    </w:p>
    <w:p w14:paraId="3C11EA69" w14:textId="77777777" w:rsidR="009033A7" w:rsidRPr="00380B40" w:rsidRDefault="009033A7" w:rsidP="009033A7">
      <w:pPr>
        <w:rPr>
          <w:i/>
          <w:iCs/>
          <w:color w:val="000000"/>
          <w:szCs w:val="22"/>
          <w:lang w:val="en-GB"/>
        </w:rPr>
      </w:pPr>
      <w:r w:rsidRPr="00380B40">
        <w:rPr>
          <w:i/>
          <w:iCs/>
          <w:color w:val="000000"/>
          <w:szCs w:val="22"/>
          <w:lang w:val="en-GB"/>
        </w:rPr>
        <w:t>We will hold both the Government of the Russian Federation and Belarus accountable for the casualties and destruction.</w:t>
      </w:r>
    </w:p>
    <w:p w14:paraId="165AA0D4" w14:textId="77777777" w:rsidR="009033A7" w:rsidRPr="00380B40" w:rsidRDefault="009033A7" w:rsidP="009033A7">
      <w:pPr>
        <w:rPr>
          <w:i/>
          <w:iCs/>
          <w:color w:val="000000"/>
          <w:szCs w:val="22"/>
          <w:lang w:val="en-GB"/>
        </w:rPr>
      </w:pPr>
      <w:r w:rsidRPr="00380B40">
        <w:rPr>
          <w:i/>
          <w:iCs/>
          <w:color w:val="000000"/>
          <w:szCs w:val="22"/>
          <w:lang w:val="en-GB"/>
        </w:rPr>
        <w:t>This is a war at the heart of Europe, which undermines European and global security and stability, and that cannot be ignored here, in Geneva, today. Such use of force and coercion to change borders has no place in the 21st century.</w:t>
      </w:r>
    </w:p>
    <w:p w14:paraId="2DD8A0F6" w14:textId="77777777" w:rsidR="009033A7" w:rsidRPr="00380B40" w:rsidRDefault="009033A7" w:rsidP="009033A7">
      <w:pPr>
        <w:rPr>
          <w:i/>
          <w:iCs/>
          <w:color w:val="000000"/>
          <w:szCs w:val="22"/>
          <w:lang w:val="en-GB"/>
        </w:rPr>
      </w:pPr>
      <w:r w:rsidRPr="00380B40">
        <w:rPr>
          <w:i/>
          <w:iCs/>
          <w:color w:val="000000"/>
          <w:szCs w:val="22"/>
          <w:lang w:val="en-GB"/>
        </w:rPr>
        <w:t>We call on Russian Federation to immediately cease the hostilities, withdraw its military forces from Ukraine and to fully respect Ukraine's territorial integrity, sovereignty and independence. We stand by the people of Ukraine and its democratically elected institutions and representatives.</w:t>
      </w:r>
    </w:p>
    <w:p w14:paraId="6AA3BCD4" w14:textId="77777777" w:rsidR="009033A7" w:rsidRPr="00380B40" w:rsidRDefault="009033A7" w:rsidP="009033A7">
      <w:pPr>
        <w:rPr>
          <w:i/>
          <w:iCs/>
          <w:color w:val="000000"/>
          <w:szCs w:val="22"/>
          <w:lang w:val="en-GB"/>
        </w:rPr>
      </w:pPr>
      <w:r w:rsidRPr="00380B40">
        <w:rPr>
          <w:i/>
          <w:iCs/>
          <w:color w:val="000000"/>
          <w:szCs w:val="22"/>
          <w:lang w:val="en-GB"/>
        </w:rPr>
        <w:t>The EU and its Member States made clear from the outset and at the highest political level that any further military aggression against Ukraine would have massive consequences and severe costs. Consequently, both sectoral and individual restrictive measures have been adopted by the EU but also by many other countries.</w:t>
      </w:r>
    </w:p>
    <w:p w14:paraId="26900B73" w14:textId="77777777" w:rsidR="009033A7" w:rsidRPr="00380B40" w:rsidRDefault="009033A7" w:rsidP="009033A7">
      <w:pPr>
        <w:rPr>
          <w:i/>
          <w:iCs/>
          <w:color w:val="000000"/>
          <w:szCs w:val="22"/>
          <w:lang w:val="en-GB"/>
        </w:rPr>
      </w:pPr>
      <w:r w:rsidRPr="00380B40">
        <w:rPr>
          <w:i/>
          <w:iCs/>
          <w:color w:val="000000"/>
          <w:szCs w:val="22"/>
          <w:lang w:val="en-GB"/>
        </w:rPr>
        <w:t>Leading up to and during the invasion by the Russia Federation, Ukraine has experienced destruction of critical infrastructure, failure of telecom services and mobile phone outages across the country.</w:t>
      </w:r>
    </w:p>
    <w:p w14:paraId="7F140CF8" w14:textId="77777777" w:rsidR="009033A7" w:rsidRPr="00380B40" w:rsidRDefault="009033A7" w:rsidP="009033A7">
      <w:pPr>
        <w:rPr>
          <w:i/>
          <w:iCs/>
          <w:color w:val="000000"/>
          <w:szCs w:val="22"/>
          <w:lang w:val="en-GB"/>
        </w:rPr>
      </w:pPr>
      <w:r w:rsidRPr="00380B40">
        <w:rPr>
          <w:i/>
          <w:iCs/>
          <w:color w:val="000000"/>
          <w:szCs w:val="22"/>
          <w:lang w:val="en-GB"/>
        </w:rPr>
        <w:t>Without repeating further our clear demands made towards the Russian Federation, the EU and its MS recall here in Geneva, the capital of human rights and humanitarian action, the legal obligation and moral duty of Russian Federation and the armed formations backed by the Russia Federation to guarantee human rights, respect international humanitarian law, and to allow safe and unhindered humanitarian access and assistance to all persons in need.</w:t>
      </w:r>
    </w:p>
    <w:p w14:paraId="3F429043" w14:textId="77777777" w:rsidR="008776A7" w:rsidRPr="00380B40" w:rsidRDefault="008776A7" w:rsidP="009033A7">
      <w:pPr>
        <w:rPr>
          <w:i/>
          <w:iCs/>
          <w:color w:val="000000"/>
          <w:szCs w:val="22"/>
          <w:lang w:val="en-GB"/>
        </w:rPr>
      </w:pPr>
      <w:r w:rsidRPr="00380B40">
        <w:rPr>
          <w:i/>
          <w:iCs/>
          <w:color w:val="000000"/>
          <w:szCs w:val="22"/>
          <w:lang w:val="en-GB"/>
        </w:rPr>
        <w:br w:type="page"/>
      </w:r>
    </w:p>
    <w:p w14:paraId="77A53214" w14:textId="77777777" w:rsidR="009033A7" w:rsidRPr="00380B40" w:rsidRDefault="009033A7" w:rsidP="009033A7">
      <w:pPr>
        <w:rPr>
          <w:i/>
          <w:iCs/>
          <w:color w:val="000000"/>
          <w:szCs w:val="22"/>
          <w:lang w:val="en-GB"/>
        </w:rPr>
      </w:pPr>
      <w:r w:rsidRPr="00380B40">
        <w:rPr>
          <w:i/>
          <w:iCs/>
          <w:color w:val="000000"/>
          <w:szCs w:val="22"/>
          <w:lang w:val="en-GB"/>
        </w:rPr>
        <w:t>Finally, the EU and its MS call on the ITU membership as well as the broader international community to demand the Russian Federation the immediate end of this aggression, which endangers international peace and security at a global scale.</w:t>
      </w:r>
    </w:p>
    <w:p w14:paraId="177F1E02" w14:textId="77777777" w:rsidR="009033A7" w:rsidRPr="00380B40" w:rsidRDefault="009033A7" w:rsidP="009033A7">
      <w:pPr>
        <w:rPr>
          <w:rFonts w:eastAsiaTheme="minorEastAsia"/>
          <w:szCs w:val="22"/>
          <w:lang w:val="en-GB" w:eastAsia="en-GB"/>
        </w:rPr>
      </w:pPr>
      <w:r w:rsidRPr="00380B40">
        <w:rPr>
          <w:i/>
          <w:iCs/>
          <w:color w:val="000000"/>
          <w:szCs w:val="22"/>
          <w:lang w:val="en-GB"/>
        </w:rPr>
        <w:t>We request that this statement be included in the minutes of this meeting</w:t>
      </w:r>
      <w:r w:rsidRPr="00380B40">
        <w:rPr>
          <w:i/>
          <w:iCs/>
          <w:szCs w:val="22"/>
          <w:lang w:val="en-GB"/>
        </w:rPr>
        <w:t>.</w:t>
      </w:r>
    </w:p>
    <w:p w14:paraId="02AEE635" w14:textId="77777777" w:rsidR="009033A7" w:rsidRPr="00380B40" w:rsidRDefault="009033A7" w:rsidP="00104595">
      <w:pPr>
        <w:pStyle w:val="Heading1"/>
        <w:rPr>
          <w:lang w:val="en-GB"/>
        </w:rPr>
      </w:pPr>
      <w:bookmarkStart w:id="2474" w:name="_Toc111637201"/>
      <w:r w:rsidRPr="00380B40">
        <w:rPr>
          <w:lang w:val="en-GB"/>
        </w:rPr>
        <w:t>3</w:t>
      </w:r>
      <w:r w:rsidRPr="00380B40">
        <w:rPr>
          <w:lang w:val="en-GB"/>
        </w:rPr>
        <w:tab/>
        <w:t>Statement by United States on behalf of United States, Australia, Canada, United Kingdom, Japan, Ghana, and Korea (Republic of)</w:t>
      </w:r>
      <w:bookmarkEnd w:id="2474"/>
    </w:p>
    <w:p w14:paraId="0AC22A91" w14:textId="77777777" w:rsidR="009033A7" w:rsidRPr="00380B40" w:rsidRDefault="009033A7" w:rsidP="002F74FB">
      <w:pPr>
        <w:rPr>
          <w:i/>
          <w:iCs/>
          <w:lang w:val="en-GB"/>
        </w:rPr>
      </w:pPr>
      <w:r w:rsidRPr="00380B40">
        <w:rPr>
          <w:i/>
          <w:iCs/>
          <w:lang w:val="en-GB"/>
        </w:rPr>
        <w:t xml:space="preserve">Mr. Chair, Secretary-General Zhao, other elected officials, ITU staff, and all ITU members, </w:t>
      </w:r>
    </w:p>
    <w:p w14:paraId="55E7AFB4" w14:textId="77777777" w:rsidR="009033A7" w:rsidRPr="00380B40" w:rsidRDefault="009033A7" w:rsidP="002F74FB">
      <w:pPr>
        <w:rPr>
          <w:i/>
          <w:iCs/>
          <w:lang w:val="en-GB"/>
        </w:rPr>
      </w:pPr>
      <w:r w:rsidRPr="00380B40">
        <w:rPr>
          <w:i/>
          <w:iCs/>
          <w:lang w:val="en-GB"/>
        </w:rPr>
        <w:t>Good morning. It is great to see so many of you in-person here in Geneva. I often hear that the ITU is like a family, and we take great pride in being part of that family.</w:t>
      </w:r>
    </w:p>
    <w:p w14:paraId="344C719C" w14:textId="77777777" w:rsidR="009033A7" w:rsidRPr="00380B40" w:rsidRDefault="009033A7" w:rsidP="002F74FB">
      <w:pPr>
        <w:rPr>
          <w:i/>
          <w:iCs/>
          <w:lang w:val="en-GB"/>
        </w:rPr>
      </w:pPr>
      <w:r w:rsidRPr="00380B40">
        <w:rPr>
          <w:i/>
          <w:iCs/>
          <w:lang w:val="en-GB"/>
        </w:rPr>
        <w:t>But what should be a joyous occasion – that is, finally convening the World Telecommunication Standardization Assembly after almost a year and a half delay due to the global pandemic and our first in-person ITU meeting since early 2020 – has been marred by the recent actions of the Russian Federation.</w:t>
      </w:r>
    </w:p>
    <w:p w14:paraId="73AF476F" w14:textId="77777777" w:rsidR="009033A7" w:rsidRPr="00380B40" w:rsidRDefault="009033A7" w:rsidP="002F74FB">
      <w:pPr>
        <w:rPr>
          <w:i/>
          <w:iCs/>
          <w:lang w:val="en-GB"/>
        </w:rPr>
      </w:pPr>
      <w:r w:rsidRPr="00380B40">
        <w:rPr>
          <w:i/>
          <w:iCs/>
          <w:lang w:val="en-GB"/>
        </w:rPr>
        <w:t>First, let me say that we stand steadfastly with Ukraine and condemn in the strongest terms Russia</w:t>
      </w:r>
      <w:r w:rsidR="00F82355" w:rsidRPr="00380B40">
        <w:rPr>
          <w:i/>
          <w:iCs/>
          <w:lang w:val="en-GB"/>
        </w:rPr>
        <w:t>'</w:t>
      </w:r>
      <w:r w:rsidRPr="00380B40">
        <w:rPr>
          <w:i/>
          <w:iCs/>
          <w:lang w:val="en-GB"/>
        </w:rPr>
        <w:t>s premeditated, unprovoked, and unjustifiable attack. We call on Russia to cease its aggression against Ukraine and its flagrant violations of international law.</w:t>
      </w:r>
    </w:p>
    <w:p w14:paraId="26545E65" w14:textId="77777777" w:rsidR="009033A7" w:rsidRPr="00380B40" w:rsidRDefault="009033A7" w:rsidP="002F74FB">
      <w:pPr>
        <w:rPr>
          <w:i/>
          <w:iCs/>
          <w:lang w:val="en-GB"/>
        </w:rPr>
      </w:pPr>
      <w:r w:rsidRPr="00380B40">
        <w:rPr>
          <w:i/>
          <w:iCs/>
          <w:lang w:val="en-GB"/>
        </w:rPr>
        <w:t>As much as we share a deep sense of shock, sadness, and anger, we also want to commend the bravery, resilience, and determination that we have seen from the Ukrainian people in the past week in defending their country, homes, rights, and freedoms. This should never have happened, but the response from Ukraine has been truly inspiring.</w:t>
      </w:r>
    </w:p>
    <w:p w14:paraId="0DB5FFEB" w14:textId="77777777" w:rsidR="009033A7" w:rsidRPr="00380B40" w:rsidRDefault="009033A7" w:rsidP="002F74FB">
      <w:pPr>
        <w:rPr>
          <w:lang w:val="en-GB"/>
        </w:rPr>
      </w:pPr>
      <w:r w:rsidRPr="00380B40">
        <w:rPr>
          <w:i/>
          <w:iCs/>
          <w:lang w:val="en-GB"/>
        </w:rPr>
        <w:t>We are gathered here in Geneva at the ITU to continue our shared goal, premised on the UN Charter and the Constitution and Convention of ITU, to develop telecommunication/ICT networks and enable people around the world to communicate, access information, and share ideas. It is hard work, but noble work.</w:t>
      </w:r>
    </w:p>
    <w:p w14:paraId="1A2788D4" w14:textId="77777777" w:rsidR="009033A7" w:rsidRPr="00380B40" w:rsidRDefault="009033A7" w:rsidP="002F74FB">
      <w:pPr>
        <w:rPr>
          <w:i/>
          <w:iCs/>
          <w:lang w:val="en-GB"/>
        </w:rPr>
      </w:pPr>
      <w:r w:rsidRPr="00380B40">
        <w:rPr>
          <w:i/>
          <w:iCs/>
          <w:lang w:val="en-GB"/>
        </w:rPr>
        <w:t>But the events of the past week have made it clear that the Russian Federation does not share our goals. The Russian Federation</w:t>
      </w:r>
      <w:r w:rsidR="00F82355" w:rsidRPr="00380B40">
        <w:rPr>
          <w:i/>
          <w:iCs/>
          <w:lang w:val="en-GB"/>
        </w:rPr>
        <w:t>'</w:t>
      </w:r>
      <w:r w:rsidRPr="00380B40">
        <w:rPr>
          <w:i/>
          <w:iCs/>
          <w:lang w:val="en-GB"/>
        </w:rPr>
        <w:t xml:space="preserve">s invasion of Ukraine is, as U.S. Ambassador Thomas-Greenfield said last week, </w:t>
      </w:r>
      <w:r w:rsidR="00F82355" w:rsidRPr="00380B40">
        <w:rPr>
          <w:i/>
          <w:iCs/>
          <w:lang w:val="en-GB"/>
        </w:rPr>
        <w:t>"</w:t>
      </w:r>
      <w:r w:rsidRPr="00380B40">
        <w:rPr>
          <w:i/>
          <w:iCs/>
          <w:lang w:val="en-GB"/>
        </w:rPr>
        <w:t>tantamount to an attack on the UN.</w:t>
      </w:r>
      <w:r w:rsidR="00F82355" w:rsidRPr="00380B40">
        <w:rPr>
          <w:i/>
          <w:iCs/>
          <w:lang w:val="en-GB"/>
        </w:rPr>
        <w:t>"</w:t>
      </w:r>
    </w:p>
    <w:p w14:paraId="79B8F82A" w14:textId="77777777" w:rsidR="009033A7" w:rsidRPr="00380B40" w:rsidRDefault="009033A7" w:rsidP="002F74FB">
      <w:pPr>
        <w:rPr>
          <w:i/>
          <w:iCs/>
          <w:lang w:val="en-GB"/>
        </w:rPr>
      </w:pPr>
      <w:r w:rsidRPr="00380B40">
        <w:rPr>
          <w:i/>
          <w:iCs/>
          <w:lang w:val="en-GB"/>
        </w:rPr>
        <w:t>How can we trust Russia to abide by anything we agree to in this setting, when it flagrantly disregards international law and many foundational international norms and principles in its attack on Ukraine?</w:t>
      </w:r>
    </w:p>
    <w:p w14:paraId="48156A94" w14:textId="77777777" w:rsidR="009033A7" w:rsidRPr="00380B40" w:rsidRDefault="009033A7" w:rsidP="002F74FB">
      <w:pPr>
        <w:rPr>
          <w:i/>
          <w:iCs/>
          <w:lang w:val="en-GB"/>
        </w:rPr>
      </w:pPr>
      <w:r w:rsidRPr="00380B40">
        <w:rPr>
          <w:i/>
          <w:iCs/>
          <w:lang w:val="en-GB"/>
        </w:rPr>
        <w:t>We can hardly address the Russian proposals for cooperation in this sphere while Russia continues its egregious and illegal efforts in Ukraine. Until the current crisis in Ukraine is resolved peacefully, we will have to treat proposals by the Russian Federation with extreme scepticism.</w:t>
      </w:r>
    </w:p>
    <w:p w14:paraId="78A68B66" w14:textId="77777777" w:rsidR="008776A7" w:rsidRPr="00380B40" w:rsidRDefault="008776A7" w:rsidP="002F74FB">
      <w:pPr>
        <w:rPr>
          <w:i/>
          <w:iCs/>
          <w:lang w:val="en-GB"/>
        </w:rPr>
      </w:pPr>
      <w:r w:rsidRPr="00380B40">
        <w:rPr>
          <w:i/>
          <w:iCs/>
          <w:lang w:val="en-GB"/>
        </w:rPr>
        <w:br w:type="page"/>
      </w:r>
    </w:p>
    <w:p w14:paraId="283ECDE1" w14:textId="77777777" w:rsidR="009033A7" w:rsidRPr="00380B40" w:rsidRDefault="009033A7" w:rsidP="002F74FB">
      <w:pPr>
        <w:rPr>
          <w:i/>
          <w:iCs/>
          <w:lang w:val="en-GB"/>
        </w:rPr>
      </w:pPr>
      <w:r w:rsidRPr="00380B40">
        <w:rPr>
          <w:i/>
          <w:iCs/>
          <w:lang w:val="en-GB"/>
        </w:rPr>
        <w:t>We continue to call on the ITU Secretary-General and the directors of the three bureaus to continue to take all necessary actions to assist Ukraine to ensure the use of its telecommunications resources in accordance with the Constitution and Convention of the ITU and the Administrative Regulations.</w:t>
      </w:r>
    </w:p>
    <w:p w14:paraId="0C6CF41A" w14:textId="77777777" w:rsidR="009033A7" w:rsidRPr="00380B40" w:rsidRDefault="009033A7" w:rsidP="002F74FB">
      <w:pPr>
        <w:rPr>
          <w:lang w:val="en-GB"/>
        </w:rPr>
      </w:pPr>
      <w:r w:rsidRPr="00380B40">
        <w:rPr>
          <w:i/>
          <w:iCs/>
          <w:lang w:val="en-GB"/>
        </w:rPr>
        <w:t>Luckily, this meeting belongs to the whole ITU membership, not just the Russian Federation. We look forward to making progress with other Member States throughout this conference</w:t>
      </w:r>
      <w:r w:rsidR="002F74FB" w:rsidRPr="00380B40">
        <w:rPr>
          <w:i/>
          <w:iCs/>
          <w:lang w:val="en-GB"/>
        </w:rPr>
        <w:t>.</w:t>
      </w:r>
    </w:p>
    <w:p w14:paraId="4ADD483C" w14:textId="77777777" w:rsidR="009033A7" w:rsidRPr="00380B40" w:rsidRDefault="009033A7" w:rsidP="00104595">
      <w:pPr>
        <w:pStyle w:val="Heading1"/>
        <w:rPr>
          <w:lang w:val="en-GB"/>
        </w:rPr>
      </w:pPr>
      <w:bookmarkStart w:id="2475" w:name="_Toc111637202"/>
      <w:r w:rsidRPr="00380B40">
        <w:rPr>
          <w:lang w:val="en-GB"/>
        </w:rPr>
        <w:t>4</w:t>
      </w:r>
      <w:r w:rsidRPr="00380B40">
        <w:rPr>
          <w:lang w:val="en-GB"/>
        </w:rPr>
        <w:tab/>
        <w:t>Statement by the Russian Federation</w:t>
      </w:r>
      <w:bookmarkEnd w:id="2475"/>
    </w:p>
    <w:p w14:paraId="262907E1" w14:textId="77777777" w:rsidR="009033A7" w:rsidRPr="00380B40" w:rsidRDefault="009033A7" w:rsidP="002F74FB">
      <w:pPr>
        <w:rPr>
          <w:i/>
          <w:iCs/>
          <w:lang w:val="en-GB"/>
        </w:rPr>
      </w:pPr>
      <w:r w:rsidRPr="00380B40">
        <w:rPr>
          <w:i/>
          <w:iCs/>
          <w:lang w:val="en-GB"/>
        </w:rPr>
        <w:t>On behalf of the Russian Federation and our delegation I would like to make a number of clarifications. We, just like all members of the ITU, also support the cease of the military conflict. We have not taken the floor to support the previous statements by Ukraine or the E.U., but we also stood up with a minute of silence to honour the memory of all those who have died. The President of the Russian Federation has called for Ukrainian military units to lay down arms. We will prepare the relevant statement and in line with the procedure we'll send it to the ITU Secretariat. I would also like to say that the Russian Federation has repeatedly said concerning the events in Ukraine, reminding that this conflict started not today but eight years ago with the genocide of the Russian population, Russian culture as well as the unwillingness to hear the free will of the Donetsk and Luhansk people's republic, this is not a conflict launched but being ended. I would also like to express support for our colleagues and allies who share our view. I would like to say that ITU is not a platform for political decisions, it is a technical platform that ensures cooperation of all countries with this organization.</w:t>
      </w:r>
    </w:p>
    <w:p w14:paraId="0F2013AA" w14:textId="77777777" w:rsidR="009033A7" w:rsidRPr="00380B40" w:rsidRDefault="009033A7" w:rsidP="00104595">
      <w:pPr>
        <w:pStyle w:val="Heading1"/>
        <w:rPr>
          <w:lang w:val="en-GB"/>
        </w:rPr>
      </w:pPr>
      <w:bookmarkStart w:id="2476" w:name="_Toc111637203"/>
      <w:r w:rsidRPr="00380B40">
        <w:rPr>
          <w:lang w:val="en-GB"/>
        </w:rPr>
        <w:t>5</w:t>
      </w:r>
      <w:r w:rsidRPr="00380B40">
        <w:rPr>
          <w:lang w:val="en-GB"/>
        </w:rPr>
        <w:tab/>
        <w:t xml:space="preserve">Because the term </w:t>
      </w:r>
      <w:r w:rsidR="00F82355" w:rsidRPr="00380B40">
        <w:rPr>
          <w:lang w:val="en-GB"/>
        </w:rPr>
        <w:t>"</w:t>
      </w:r>
      <w:r w:rsidRPr="00380B40">
        <w:rPr>
          <w:lang w:val="en-GB"/>
        </w:rPr>
        <w:t>genocide</w:t>
      </w:r>
      <w:r w:rsidR="00F82355" w:rsidRPr="00380B40">
        <w:rPr>
          <w:lang w:val="en-GB"/>
        </w:rPr>
        <w:t>"</w:t>
      </w:r>
      <w:r w:rsidRPr="00380B40">
        <w:rPr>
          <w:lang w:val="en-GB"/>
        </w:rPr>
        <w:t xml:space="preserve"> was voiced, a number of Member States and their delegations left the room for a brief period.</w:t>
      </w:r>
      <w:bookmarkEnd w:id="2476"/>
    </w:p>
    <w:p w14:paraId="5C9F1AD3" w14:textId="77777777" w:rsidR="009033A7" w:rsidRPr="00380B40" w:rsidRDefault="009033A7" w:rsidP="00104595">
      <w:pPr>
        <w:pStyle w:val="Heading1"/>
        <w:rPr>
          <w:lang w:val="en-GB"/>
        </w:rPr>
      </w:pPr>
      <w:bookmarkStart w:id="2477" w:name="_Toc111637204"/>
      <w:r w:rsidRPr="00380B40">
        <w:rPr>
          <w:lang w:val="en-GB"/>
        </w:rPr>
        <w:t>6</w:t>
      </w:r>
      <w:r w:rsidRPr="00380B40">
        <w:rPr>
          <w:lang w:val="en-GB"/>
        </w:rPr>
        <w:tab/>
        <w:t>Statement by United Kingdom</w:t>
      </w:r>
      <w:bookmarkEnd w:id="2477"/>
    </w:p>
    <w:p w14:paraId="5ED50816" w14:textId="77777777" w:rsidR="009033A7" w:rsidRPr="00380B40" w:rsidRDefault="009033A7" w:rsidP="002F74FB">
      <w:pPr>
        <w:rPr>
          <w:i/>
          <w:iCs/>
          <w:lang w:val="en-GB"/>
        </w:rPr>
      </w:pPr>
      <w:r w:rsidRPr="00380B40">
        <w:rPr>
          <w:i/>
          <w:iCs/>
          <w:lang w:val="en-GB"/>
        </w:rPr>
        <w:t>The United Kingdom of Great Britain and Northern Ireland stand in solidarity with Ukraine and fully aligns with the position set out in the joint statement delivered by the U.S. Ambassador as well as the statement of the European Union and its Member States and associate countries.</w:t>
      </w:r>
    </w:p>
    <w:p w14:paraId="2DA4225D" w14:textId="77777777" w:rsidR="009033A7" w:rsidRPr="00380B40" w:rsidRDefault="009033A7" w:rsidP="002F74FB">
      <w:pPr>
        <w:rPr>
          <w:lang w:val="en-GB"/>
        </w:rPr>
      </w:pPr>
      <w:r w:rsidRPr="00380B40">
        <w:rPr>
          <w:i/>
          <w:iCs/>
          <w:lang w:val="en-GB"/>
        </w:rPr>
        <w:t>We would further like to respond to the statement of the Russian Federation: We, the ITU Member States have all gathered here to discuss the vital technical business of setting standards and norms for the ICT and telecom sector. Yet, we do this against the backdrop of an egregious violation of international law and the U.N. charter by one of the Member States of this organization. The United Kingdom and its partners raise this not to detract from the important work of this conference, but because we must remember one fundamental principle, that the agreements we reach in these organizations, the norms and rules that we agree to only serve their purpose if members honour them. We do not believe the U.N. is an organization can simply ignore the events taking place in Ukraine. As a permanent member of the U.N. Security Council, Russia has a particular responsibility to uphold international peace and security. Instead, it is violating the borders of another country and its actions are causing widespread suffering.</w:t>
      </w:r>
    </w:p>
    <w:p w14:paraId="0CC7129E" w14:textId="77777777" w:rsidR="008776A7" w:rsidRPr="00380B40" w:rsidRDefault="008776A7" w:rsidP="002F74FB">
      <w:pPr>
        <w:rPr>
          <w:i/>
          <w:iCs/>
          <w:lang w:val="en-GB"/>
        </w:rPr>
      </w:pPr>
      <w:r w:rsidRPr="00380B40">
        <w:rPr>
          <w:i/>
          <w:iCs/>
          <w:lang w:val="en-GB"/>
        </w:rPr>
        <w:br w:type="page"/>
      </w:r>
    </w:p>
    <w:p w14:paraId="4C220027" w14:textId="77777777" w:rsidR="009033A7" w:rsidRPr="00380B40" w:rsidRDefault="009033A7" w:rsidP="002F74FB">
      <w:pPr>
        <w:rPr>
          <w:i/>
          <w:iCs/>
          <w:lang w:val="en-GB"/>
        </w:rPr>
      </w:pPr>
      <w:r w:rsidRPr="00380B40">
        <w:rPr>
          <w:i/>
          <w:iCs/>
          <w:lang w:val="en-GB"/>
        </w:rPr>
        <w:t>The U.K. and our international partners stand united in condemning the Russian government's reprehensible actions.</w:t>
      </w:r>
    </w:p>
    <w:p w14:paraId="4F6CC051" w14:textId="77777777" w:rsidR="009033A7" w:rsidRPr="00380B40" w:rsidRDefault="009033A7" w:rsidP="00104595">
      <w:pPr>
        <w:pStyle w:val="Heading1"/>
        <w:rPr>
          <w:lang w:val="en-GB"/>
        </w:rPr>
      </w:pPr>
      <w:bookmarkStart w:id="2478" w:name="_Toc111637205"/>
      <w:r w:rsidRPr="00380B40">
        <w:rPr>
          <w:lang w:val="en-GB"/>
        </w:rPr>
        <w:t>7</w:t>
      </w:r>
      <w:r w:rsidRPr="00380B40">
        <w:rPr>
          <w:lang w:val="en-GB"/>
        </w:rPr>
        <w:tab/>
        <w:t>Statement by Canada</w:t>
      </w:r>
      <w:bookmarkEnd w:id="2478"/>
    </w:p>
    <w:p w14:paraId="1A1ACFB3" w14:textId="77777777" w:rsidR="009033A7" w:rsidRPr="00380B40" w:rsidRDefault="009033A7" w:rsidP="002F74FB">
      <w:pPr>
        <w:rPr>
          <w:i/>
          <w:iCs/>
          <w:lang w:val="en-GB"/>
        </w:rPr>
      </w:pPr>
      <w:r w:rsidRPr="00380B40">
        <w:rPr>
          <w:i/>
          <w:iCs/>
          <w:lang w:val="en-GB"/>
        </w:rPr>
        <w:t>Canada joins Ukraine and other countries to strongly condemn the unjustifiable and unprovoked invasion of Ukraine.</w:t>
      </w:r>
    </w:p>
    <w:p w14:paraId="119ECB90" w14:textId="77777777" w:rsidR="009033A7" w:rsidRPr="00380B40" w:rsidRDefault="009033A7" w:rsidP="002F74FB">
      <w:pPr>
        <w:rPr>
          <w:lang w:val="en-GB"/>
        </w:rPr>
      </w:pPr>
      <w:r w:rsidRPr="00380B40">
        <w:rPr>
          <w:i/>
          <w:iCs/>
          <w:lang w:val="en-GB"/>
        </w:rPr>
        <w:t>This is not just an attack on Ukraine. This is an attack on international law and order on the United Nations as well as democracy, freedom and human rights. Russia's reckless, unjustified actions have serious, and far-reaching consequences within the U.N. and the ITU. Canada stands with the Government of the Ukraine, the E.U. and the signatories of the U.S. statement.</w:t>
      </w:r>
    </w:p>
    <w:p w14:paraId="13F41C5F" w14:textId="77777777" w:rsidR="009033A7" w:rsidRPr="00380B40" w:rsidRDefault="009033A7" w:rsidP="009033A7">
      <w:pPr>
        <w:spacing w:before="120" w:line="240" w:lineRule="auto"/>
        <w:rPr>
          <w:sz w:val="24"/>
          <w:szCs w:val="24"/>
          <w:lang w:val="en-GB"/>
        </w:rPr>
      </w:pPr>
    </w:p>
    <w:p w14:paraId="16F11FD0" w14:textId="77777777" w:rsidR="002F74FB" w:rsidRPr="00380B40" w:rsidRDefault="002F74FB" w:rsidP="009033A7">
      <w:pPr>
        <w:spacing w:before="120" w:line="240" w:lineRule="auto"/>
        <w:rPr>
          <w:sz w:val="24"/>
          <w:szCs w:val="24"/>
          <w:lang w:val="en-GB"/>
        </w:rPr>
      </w:pPr>
    </w:p>
    <w:p w14:paraId="3B5E23FD" w14:textId="77777777" w:rsidR="002F74FB" w:rsidRPr="00380B40" w:rsidRDefault="002F74FB" w:rsidP="009033A7">
      <w:pPr>
        <w:spacing w:before="120" w:line="240" w:lineRule="auto"/>
        <w:rPr>
          <w:sz w:val="24"/>
          <w:szCs w:val="24"/>
          <w:lang w:val="en-GB"/>
        </w:rPr>
      </w:pPr>
    </w:p>
    <w:p w14:paraId="259767F2" w14:textId="77777777" w:rsidR="002F74FB" w:rsidRPr="00380B40" w:rsidRDefault="002F74FB" w:rsidP="009033A7">
      <w:pPr>
        <w:spacing w:before="120" w:line="240" w:lineRule="auto"/>
        <w:rPr>
          <w:sz w:val="24"/>
          <w:szCs w:val="24"/>
          <w:lang w:val="en-GB"/>
        </w:rPr>
      </w:pPr>
    </w:p>
    <w:p w14:paraId="3C7B69E2" w14:textId="77777777" w:rsidR="002F74FB" w:rsidRPr="00380B40" w:rsidRDefault="002F74FB" w:rsidP="009033A7">
      <w:pPr>
        <w:spacing w:before="120" w:line="240" w:lineRule="auto"/>
        <w:rPr>
          <w:sz w:val="24"/>
          <w:szCs w:val="24"/>
          <w:lang w:val="en-GB"/>
        </w:rPr>
      </w:pPr>
    </w:p>
    <w:p w14:paraId="6599DB11" w14:textId="77777777" w:rsidR="002F74FB" w:rsidRPr="00380B40" w:rsidRDefault="002F74FB" w:rsidP="009033A7">
      <w:pPr>
        <w:spacing w:before="120" w:line="240" w:lineRule="auto"/>
        <w:rPr>
          <w:sz w:val="24"/>
          <w:szCs w:val="24"/>
          <w:lang w:val="en-GB"/>
        </w:rPr>
      </w:pPr>
    </w:p>
    <w:p w14:paraId="5A75FE74" w14:textId="77777777" w:rsidR="002F74FB" w:rsidRPr="00380B40" w:rsidRDefault="002F74FB" w:rsidP="009033A7">
      <w:pPr>
        <w:spacing w:before="120" w:line="240" w:lineRule="auto"/>
        <w:rPr>
          <w:sz w:val="24"/>
          <w:szCs w:val="24"/>
          <w:lang w:val="en-GB"/>
        </w:rPr>
      </w:pPr>
    </w:p>
    <w:p w14:paraId="7BAF9BD4" w14:textId="77777777" w:rsidR="008776A7" w:rsidRPr="00380B40" w:rsidRDefault="008776A7" w:rsidP="009033A7">
      <w:pPr>
        <w:spacing w:before="120" w:line="240" w:lineRule="auto"/>
        <w:rPr>
          <w:sz w:val="24"/>
          <w:szCs w:val="24"/>
          <w:lang w:val="en-GB"/>
        </w:rPr>
      </w:pPr>
    </w:p>
    <w:p w14:paraId="1AF9FF3E" w14:textId="77777777" w:rsidR="008776A7" w:rsidRPr="00380B40" w:rsidRDefault="008776A7" w:rsidP="009033A7">
      <w:pPr>
        <w:spacing w:before="120" w:line="240" w:lineRule="auto"/>
        <w:rPr>
          <w:sz w:val="24"/>
          <w:szCs w:val="24"/>
          <w:lang w:val="en-GB"/>
        </w:rPr>
      </w:pPr>
    </w:p>
    <w:p w14:paraId="03C19E4E" w14:textId="77777777" w:rsidR="008776A7" w:rsidRPr="00380B40" w:rsidRDefault="008776A7" w:rsidP="009033A7">
      <w:pPr>
        <w:spacing w:before="120" w:line="240" w:lineRule="auto"/>
        <w:rPr>
          <w:sz w:val="24"/>
          <w:szCs w:val="24"/>
          <w:lang w:val="en-GB"/>
        </w:rPr>
      </w:pPr>
    </w:p>
    <w:p w14:paraId="35E2D354" w14:textId="77777777" w:rsidR="002F74FB" w:rsidRPr="00380B40" w:rsidRDefault="002F74FB" w:rsidP="009033A7">
      <w:pPr>
        <w:spacing w:before="120" w:line="240" w:lineRule="auto"/>
        <w:rPr>
          <w:sz w:val="24"/>
          <w:szCs w:val="24"/>
          <w:lang w:val="en-GB"/>
        </w:rPr>
      </w:pPr>
    </w:p>
    <w:p w14:paraId="59D211CF" w14:textId="77777777" w:rsidR="002F74FB" w:rsidRPr="00380B40" w:rsidRDefault="002F74FB" w:rsidP="009033A7">
      <w:pPr>
        <w:spacing w:before="120" w:line="240" w:lineRule="auto"/>
        <w:rPr>
          <w:sz w:val="24"/>
          <w:szCs w:val="24"/>
          <w:lang w:val="en-GB"/>
        </w:rPr>
      </w:pPr>
    </w:p>
    <w:p w14:paraId="6B02194C" w14:textId="77777777" w:rsidR="002F74FB" w:rsidRPr="00380B40" w:rsidRDefault="002F74FB" w:rsidP="009033A7">
      <w:pPr>
        <w:spacing w:before="120" w:line="240" w:lineRule="auto"/>
        <w:rPr>
          <w:sz w:val="24"/>
          <w:szCs w:val="24"/>
          <w:lang w:val="en-GB"/>
        </w:rPr>
      </w:pPr>
    </w:p>
    <w:p w14:paraId="4A91766A" w14:textId="77777777" w:rsidR="002F74FB" w:rsidRPr="00380B40" w:rsidRDefault="002F74FB" w:rsidP="009033A7">
      <w:pPr>
        <w:spacing w:before="120" w:line="240" w:lineRule="auto"/>
        <w:rPr>
          <w:sz w:val="24"/>
          <w:szCs w:val="24"/>
          <w:lang w:val="en-GB"/>
        </w:rPr>
      </w:pPr>
    </w:p>
    <w:p w14:paraId="49789973" w14:textId="77777777" w:rsidR="002F74FB" w:rsidRPr="00380B40" w:rsidRDefault="002F74FB" w:rsidP="009033A7">
      <w:pPr>
        <w:spacing w:before="120" w:line="240" w:lineRule="auto"/>
        <w:rPr>
          <w:sz w:val="24"/>
          <w:szCs w:val="24"/>
          <w:lang w:val="en-GB"/>
        </w:rPr>
      </w:pPr>
    </w:p>
    <w:p w14:paraId="32A39B8F" w14:textId="77777777" w:rsidR="002F74FB" w:rsidRPr="00380B40" w:rsidRDefault="002F74FB" w:rsidP="009033A7">
      <w:pPr>
        <w:spacing w:before="120" w:line="240" w:lineRule="auto"/>
        <w:rPr>
          <w:sz w:val="24"/>
          <w:szCs w:val="24"/>
          <w:lang w:val="en-GB"/>
        </w:rPr>
      </w:pPr>
    </w:p>
    <w:p w14:paraId="49937B11" w14:textId="77777777" w:rsidR="002F74FB" w:rsidRPr="00380B40" w:rsidRDefault="002F74FB" w:rsidP="009033A7">
      <w:pPr>
        <w:spacing w:before="120" w:line="240" w:lineRule="auto"/>
        <w:rPr>
          <w:sz w:val="24"/>
          <w:szCs w:val="24"/>
          <w:lang w:val="en-GB"/>
        </w:rPr>
      </w:pPr>
    </w:p>
    <w:p w14:paraId="39E504E8" w14:textId="77777777" w:rsidR="002F74FB" w:rsidRPr="00380B40" w:rsidRDefault="002F74FB" w:rsidP="009033A7">
      <w:pPr>
        <w:spacing w:before="120" w:line="240" w:lineRule="auto"/>
        <w:rPr>
          <w:sz w:val="24"/>
          <w:szCs w:val="24"/>
          <w:lang w:val="en-GB"/>
        </w:rPr>
      </w:pPr>
    </w:p>
    <w:p w14:paraId="21FA07EF" w14:textId="77777777" w:rsidR="002F74FB" w:rsidRPr="00380B40" w:rsidRDefault="002F74FB" w:rsidP="009033A7">
      <w:pPr>
        <w:spacing w:before="120" w:line="240" w:lineRule="auto"/>
        <w:rPr>
          <w:sz w:val="24"/>
          <w:szCs w:val="24"/>
          <w:lang w:val="en-GB"/>
        </w:rPr>
      </w:pPr>
    </w:p>
    <w:p w14:paraId="100F1286" w14:textId="77777777" w:rsidR="002F74FB" w:rsidRPr="00380B40" w:rsidRDefault="002F74FB" w:rsidP="009033A7">
      <w:pPr>
        <w:spacing w:before="120" w:line="240" w:lineRule="auto"/>
        <w:rPr>
          <w:sz w:val="24"/>
          <w:szCs w:val="24"/>
          <w:lang w:val="en-GB"/>
        </w:rPr>
      </w:pPr>
      <w:r w:rsidRPr="00380B40">
        <w:rPr>
          <w:sz w:val="24"/>
          <w:szCs w:val="24"/>
          <w:lang w:val="en-GB"/>
        </w:rPr>
        <w:br w:type="page"/>
      </w:r>
    </w:p>
    <w:p w14:paraId="2D466916" w14:textId="77777777" w:rsidR="009033A7" w:rsidRPr="00380B40" w:rsidRDefault="009033A7" w:rsidP="00202A50">
      <w:pPr>
        <w:pStyle w:val="Sectiontitle"/>
      </w:pPr>
      <w:bookmarkStart w:id="2479" w:name="_Toc104472191"/>
      <w:bookmarkStart w:id="2480" w:name="_Toc111637206"/>
      <w:bookmarkStart w:id="2481" w:name="_Hlk104191252"/>
      <w:r w:rsidRPr="00380B40">
        <w:t>V-1.2 – SECOND PLENARY MEETING</w:t>
      </w:r>
      <w:bookmarkEnd w:id="2479"/>
      <w:bookmarkEnd w:id="2480"/>
    </w:p>
    <w:bookmarkEnd w:id="2481"/>
    <w:p w14:paraId="013A32A2" w14:textId="77777777" w:rsidR="009033A7" w:rsidRPr="00380B40" w:rsidRDefault="009033A7" w:rsidP="008776A7">
      <w:pPr>
        <w:pStyle w:val="Normalcenteraligned"/>
      </w:pPr>
      <w:r w:rsidRPr="00380B40">
        <w:t>(Friday, 4 March 2022, 1600-1730 hours)</w:t>
      </w:r>
    </w:p>
    <w:p w14:paraId="30B528D3" w14:textId="77777777" w:rsidR="009033A7" w:rsidRPr="00380B40" w:rsidRDefault="009033A7" w:rsidP="002F74FB">
      <w:pPr>
        <w:pStyle w:val="Heading1"/>
        <w:rPr>
          <w:lang w:val="en-GB"/>
        </w:rPr>
      </w:pPr>
      <w:bookmarkStart w:id="2482" w:name="_Toc111637207"/>
      <w:r w:rsidRPr="00380B40">
        <w:rPr>
          <w:lang w:val="en-GB"/>
        </w:rPr>
        <w:t>1</w:t>
      </w:r>
      <w:r w:rsidRPr="00380B40">
        <w:rPr>
          <w:lang w:val="en-GB"/>
        </w:rPr>
        <w:tab/>
        <w:t>Opening</w:t>
      </w:r>
      <w:bookmarkEnd w:id="2482"/>
    </w:p>
    <w:p w14:paraId="30EBF46E" w14:textId="77777777" w:rsidR="009033A7" w:rsidRPr="00380B40" w:rsidRDefault="009033A7" w:rsidP="002F74FB">
      <w:pPr>
        <w:rPr>
          <w:lang w:val="en-GB"/>
        </w:rPr>
      </w:pPr>
      <w:r w:rsidRPr="00380B40">
        <w:rPr>
          <w:lang w:val="en-GB"/>
        </w:rPr>
        <w:t>The Chairman opened the second plenary meeting. He reminded the Assembly about arrangements and working methods for the remaining three days of the conference, where numerous ad-hoc groups, drafting sessions and informal consultations had been planned for the weekend, and the imperative need to work very hard on the weekend to achieve consensus on as many issues as possible and to try to reach consensus.</w:t>
      </w:r>
    </w:p>
    <w:p w14:paraId="670CF3C4" w14:textId="77777777" w:rsidR="009033A7" w:rsidRPr="00380B40" w:rsidRDefault="009033A7" w:rsidP="002F74FB">
      <w:pPr>
        <w:pStyle w:val="Heading1"/>
        <w:rPr>
          <w:lang w:val="en-GB"/>
        </w:rPr>
      </w:pPr>
      <w:bookmarkStart w:id="2483" w:name="_Toc111637208"/>
      <w:r w:rsidRPr="00380B40">
        <w:rPr>
          <w:lang w:val="en-GB"/>
        </w:rPr>
        <w:t>2</w:t>
      </w:r>
      <w:r w:rsidRPr="00380B40">
        <w:rPr>
          <w:lang w:val="en-GB"/>
        </w:rPr>
        <w:tab/>
        <w:t>Approval of agenda</w:t>
      </w:r>
      <w:bookmarkEnd w:id="2483"/>
    </w:p>
    <w:p w14:paraId="76F0998D" w14:textId="77777777" w:rsidR="009033A7" w:rsidRPr="00380B40" w:rsidRDefault="009033A7" w:rsidP="002F74FB">
      <w:pPr>
        <w:rPr>
          <w:lang w:val="en-GB"/>
        </w:rPr>
      </w:pPr>
      <w:r w:rsidRPr="00380B40">
        <w:rPr>
          <w:lang w:val="en-GB"/>
        </w:rPr>
        <w:t xml:space="preserve">The agenda (in </w:t>
      </w:r>
      <w:r w:rsidRPr="00380B40">
        <w:rPr>
          <w:sz w:val="24"/>
          <w:szCs w:val="24"/>
          <w:lang w:val="en-GB"/>
        </w:rPr>
        <w:t>Document</w:t>
      </w:r>
      <w:r w:rsidRPr="00380B40">
        <w:rPr>
          <w:lang w:val="en-GB"/>
        </w:rPr>
        <w:t xml:space="preserve"> </w:t>
      </w:r>
      <w:hyperlink r:id="rId573" w:history="1">
        <w:r w:rsidRPr="00380B40">
          <w:rPr>
            <w:rStyle w:val="Hyperlink"/>
            <w:szCs w:val="22"/>
            <w:lang w:val="en-GB"/>
          </w:rPr>
          <w:t>ADM/14</w:t>
        </w:r>
      </w:hyperlink>
      <w:r w:rsidRPr="00380B40">
        <w:rPr>
          <w:lang w:val="en-GB"/>
        </w:rPr>
        <w:t>) was adopted with the removal of DT/22, DT/30 in agenda item 7.2.</w:t>
      </w:r>
    </w:p>
    <w:p w14:paraId="073FBB99" w14:textId="77777777" w:rsidR="009033A7" w:rsidRPr="00380B40" w:rsidRDefault="009033A7" w:rsidP="002F74FB">
      <w:pPr>
        <w:pStyle w:val="Heading1"/>
        <w:rPr>
          <w:lang w:val="en-GB"/>
        </w:rPr>
      </w:pPr>
      <w:bookmarkStart w:id="2484" w:name="_Toc111637209"/>
      <w:r w:rsidRPr="00380B40">
        <w:rPr>
          <w:lang w:val="en-GB"/>
        </w:rPr>
        <w:t>3</w:t>
      </w:r>
      <w:r w:rsidRPr="00380B40">
        <w:rPr>
          <w:lang w:val="en-GB"/>
        </w:rPr>
        <w:tab/>
        <w:t>Expression of appreciation to WTPF-21 leaders</w:t>
      </w:r>
      <w:bookmarkEnd w:id="2484"/>
    </w:p>
    <w:p w14:paraId="330C9C59" w14:textId="77777777" w:rsidR="009033A7" w:rsidRPr="00380B40" w:rsidRDefault="009033A7" w:rsidP="002F74FB">
      <w:pPr>
        <w:rPr>
          <w:lang w:val="en-GB"/>
        </w:rPr>
      </w:pPr>
      <w:r w:rsidRPr="00380B40">
        <w:rPr>
          <w:lang w:val="en-GB"/>
        </w:rPr>
        <w:t>The Secretary General expressed his appreciation to the Minister for Communications and Digitalisation of Ghana, Mrs. Ursula Owusu-Ekuful, and to Mr. Fabio Bigi, Italy, and awarded them c</w:t>
      </w:r>
      <w:r w:rsidRPr="00380B40">
        <w:rPr>
          <w:color w:val="000000"/>
          <w:lang w:val="en-GB"/>
        </w:rPr>
        <w:t>ertificates of appreciation</w:t>
      </w:r>
      <w:r w:rsidRPr="00380B40">
        <w:rPr>
          <w:lang w:val="en-GB"/>
        </w:rPr>
        <w:t xml:space="preserve"> for the critical role they played before and during the sixth World Telecommunication/ICT Policy Forum (WTPF-21) organized by ITU as a virtual event in December 2021.</w:t>
      </w:r>
    </w:p>
    <w:p w14:paraId="05D6CBEA" w14:textId="77777777" w:rsidR="009033A7" w:rsidRPr="00380B40" w:rsidRDefault="009033A7" w:rsidP="002F74FB">
      <w:pPr>
        <w:rPr>
          <w:bCs/>
          <w:lang w:val="en-GB"/>
        </w:rPr>
      </w:pPr>
      <w:r w:rsidRPr="00380B40">
        <w:rPr>
          <w:lang w:val="en-GB"/>
        </w:rPr>
        <w:t>The Plenary expressed congratulations also to Mr Roberto Mitsuake Hirayama (Federative Republic of Brazil), to the Secretary General, and to the staff for their support of WTPF-21.</w:t>
      </w:r>
    </w:p>
    <w:p w14:paraId="1C5991B9" w14:textId="77777777" w:rsidR="009033A7" w:rsidRPr="00380B40" w:rsidRDefault="009033A7" w:rsidP="002F74FB">
      <w:pPr>
        <w:pStyle w:val="Heading1"/>
        <w:rPr>
          <w:lang w:val="en-GB"/>
        </w:rPr>
      </w:pPr>
      <w:bookmarkStart w:id="2485" w:name="_Toc111637210"/>
      <w:r w:rsidRPr="00380B40">
        <w:rPr>
          <w:lang w:val="en-GB"/>
        </w:rPr>
        <w:t>4</w:t>
      </w:r>
      <w:r w:rsidRPr="00380B40">
        <w:rPr>
          <w:lang w:val="en-GB"/>
        </w:rPr>
        <w:tab/>
        <w:t>Report of the opening ceremony and first plenary meeting, 1 March 2022</w:t>
      </w:r>
      <w:bookmarkEnd w:id="2485"/>
    </w:p>
    <w:p w14:paraId="33382526" w14:textId="77777777" w:rsidR="009033A7" w:rsidRPr="00380B40" w:rsidRDefault="009033A7" w:rsidP="002F74FB">
      <w:pPr>
        <w:rPr>
          <w:b/>
          <w:bCs/>
          <w:sz w:val="24"/>
          <w:szCs w:val="24"/>
          <w:lang w:val="en-GB"/>
        </w:rPr>
      </w:pPr>
      <w:r w:rsidRPr="00380B40">
        <w:rPr>
          <w:lang w:val="en-GB"/>
        </w:rPr>
        <w:t xml:space="preserve">The Chairman presented the draft report of the opening ceremony and the first plenary meeting, 1 March 2022 (in Document </w:t>
      </w:r>
      <w:hyperlink r:id="rId574">
        <w:r w:rsidRPr="00380B40">
          <w:rPr>
            <w:rStyle w:val="Hyperlink"/>
            <w:szCs w:val="22"/>
            <w:lang w:val="en-GB"/>
          </w:rPr>
          <w:t>C48-R2</w:t>
        </w:r>
      </w:hyperlink>
      <w:r w:rsidRPr="00380B40">
        <w:rPr>
          <w:lang w:val="en-GB"/>
        </w:rPr>
        <w:t xml:space="preserve">). The Plenary approved </w:t>
      </w:r>
      <w:r w:rsidR="0025040B" w:rsidRPr="00380B40">
        <w:rPr>
          <w:lang w:val="en-GB"/>
        </w:rPr>
        <w:t xml:space="preserve">Document </w:t>
      </w:r>
      <w:r w:rsidRPr="00380B40">
        <w:rPr>
          <w:lang w:val="en-GB"/>
        </w:rPr>
        <w:t>C48-R2 with the understanding that further consultations would take place regarding the name of the RCC representatives</w:t>
      </w:r>
      <w:r w:rsidRPr="00380B40">
        <w:rPr>
          <w:szCs w:val="24"/>
          <w:lang w:val="en-GB"/>
        </w:rPr>
        <w:t>.</w:t>
      </w:r>
    </w:p>
    <w:p w14:paraId="0BF5EC76" w14:textId="77777777" w:rsidR="009033A7" w:rsidRPr="00380B40" w:rsidRDefault="009033A7" w:rsidP="002F74FB">
      <w:pPr>
        <w:pStyle w:val="Heading1"/>
        <w:rPr>
          <w:lang w:val="en-GB"/>
        </w:rPr>
      </w:pPr>
      <w:bookmarkStart w:id="2486" w:name="_Toc111637211"/>
      <w:r w:rsidRPr="00380B40">
        <w:rPr>
          <w:lang w:val="en-GB"/>
        </w:rPr>
        <w:t>5</w:t>
      </w:r>
      <w:r w:rsidRPr="00380B40">
        <w:rPr>
          <w:lang w:val="en-GB"/>
        </w:rPr>
        <w:tab/>
        <w:t>Presentations of the ITU-T study group Chairmen (continued)</w:t>
      </w:r>
      <w:bookmarkEnd w:id="2486"/>
    </w:p>
    <w:p w14:paraId="747D338B" w14:textId="77777777" w:rsidR="009033A7" w:rsidRPr="00380B40" w:rsidRDefault="009033A7" w:rsidP="002F74FB">
      <w:pPr>
        <w:rPr>
          <w:lang w:val="en-GB"/>
        </w:rPr>
      </w:pPr>
      <w:r w:rsidRPr="00380B40">
        <w:rPr>
          <w:lang w:val="en-GB"/>
        </w:rPr>
        <w:t>The following Chairmen gave summaries of the achievements of their study groups in the 2017</w:t>
      </w:r>
      <w:r w:rsidRPr="00380B40">
        <w:rPr>
          <w:lang w:val="en-GB"/>
        </w:rPr>
        <w:noBreakHyphen/>
        <w:t xml:space="preserve">2021 study period (Documents </w:t>
      </w:r>
      <w:hyperlink r:id="rId575" w:history="1">
        <w:r w:rsidR="00DC6CED" w:rsidRPr="00380B40">
          <w:rPr>
            <w:rStyle w:val="Hyperlink"/>
            <w:lang w:val="en-GB"/>
          </w:rPr>
          <w:t>C</w:t>
        </w:r>
        <w:r w:rsidRPr="00380B40">
          <w:rPr>
            <w:rStyle w:val="Hyperlink"/>
            <w:szCs w:val="22"/>
            <w:lang w:val="en-GB"/>
          </w:rPr>
          <w:t>19</w:t>
        </w:r>
      </w:hyperlink>
      <w:r w:rsidRPr="00380B40">
        <w:rPr>
          <w:lang w:val="en-GB"/>
        </w:rPr>
        <w:t xml:space="preserve"> and </w:t>
      </w:r>
      <w:hyperlink r:id="rId576" w:history="1">
        <w:r w:rsidR="00DC6CED" w:rsidRPr="00380B40">
          <w:rPr>
            <w:rStyle w:val="Hyperlink"/>
            <w:lang w:val="en-GB"/>
          </w:rPr>
          <w:t>C</w:t>
        </w:r>
        <w:r w:rsidRPr="00380B40">
          <w:rPr>
            <w:rStyle w:val="Hyperlink"/>
            <w:szCs w:val="22"/>
            <w:lang w:val="en-GB"/>
          </w:rPr>
          <w:t>21</w:t>
        </w:r>
      </w:hyperlink>
      <w:r w:rsidRPr="00380B40">
        <w:rPr>
          <w:lang w:val="en-GB"/>
        </w:rPr>
        <w:t xml:space="preserve">, supplemented by presentation slides, please see </w:t>
      </w:r>
      <w:hyperlink r:id="rId577" w:history="1">
        <w:r w:rsidR="007F7EB9" w:rsidRPr="00380B40">
          <w:rPr>
            <w:rStyle w:val="Hyperlink"/>
            <w:lang w:val="en-GB"/>
          </w:rPr>
          <w:t>https://www.itu.int/en/ITU-T/wtsa20/presentations</w:t>
        </w:r>
      </w:hyperlink>
      <w:r w:rsidRPr="00380B40">
        <w:rPr>
          <w:lang w:val="en-GB"/>
        </w:rPr>
        <w:t xml:space="preserve">, Document </w:t>
      </w:r>
      <w:hyperlink r:id="rId578" w:history="1">
        <w:r w:rsidRPr="00380B40">
          <w:rPr>
            <w:rStyle w:val="Hyperlink"/>
            <w:szCs w:val="22"/>
            <w:lang w:val="en-GB"/>
          </w:rPr>
          <w:t>DT/7</w:t>
        </w:r>
      </w:hyperlink>
      <w:r w:rsidRPr="00380B40">
        <w:rPr>
          <w:lang w:val="en-GB"/>
        </w:rPr>
        <w:t>).</w:t>
      </w:r>
    </w:p>
    <w:p w14:paraId="022F630C" w14:textId="77777777" w:rsidR="009033A7" w:rsidRPr="00380B40" w:rsidRDefault="009033A7" w:rsidP="002F74FB">
      <w:pPr>
        <w:pStyle w:val="enumlev1"/>
        <w:rPr>
          <w:lang w:val="en-GB"/>
        </w:rPr>
      </w:pPr>
      <w:r w:rsidRPr="00380B40">
        <w:rPr>
          <w:lang w:val="en-GB"/>
        </w:rPr>
        <w:t>–</w:t>
      </w:r>
      <w:r w:rsidRPr="00380B40">
        <w:rPr>
          <w:lang w:val="en-GB"/>
        </w:rPr>
        <w:tab/>
        <w:t xml:space="preserve">ITU-T SG17, Security, Mr Heung-Youl Youm, Chairman ITU-T SG17 (Document </w:t>
      </w:r>
      <w:hyperlink r:id="rId579" w:history="1">
        <w:r w:rsidR="00DC6CED" w:rsidRPr="00380B40">
          <w:rPr>
            <w:rStyle w:val="Hyperlink"/>
            <w:lang w:val="en-GB"/>
          </w:rPr>
          <w:t>C</w:t>
        </w:r>
        <w:r w:rsidRPr="00380B40">
          <w:rPr>
            <w:rStyle w:val="Hyperlink"/>
            <w:szCs w:val="22"/>
            <w:lang w:val="en-GB"/>
          </w:rPr>
          <w:t>19</w:t>
        </w:r>
      </w:hyperlink>
      <w:r w:rsidRPr="00380B40">
        <w:rPr>
          <w:lang w:val="en-GB"/>
        </w:rPr>
        <w:t>)</w:t>
      </w:r>
    </w:p>
    <w:p w14:paraId="6EF76719" w14:textId="77777777" w:rsidR="009033A7" w:rsidRPr="00380B40" w:rsidRDefault="009033A7" w:rsidP="002F74FB">
      <w:pPr>
        <w:pStyle w:val="enumlev1"/>
        <w:rPr>
          <w:lang w:val="en-GB"/>
        </w:rPr>
      </w:pPr>
      <w:r w:rsidRPr="00380B40">
        <w:rPr>
          <w:lang w:val="en-GB"/>
        </w:rPr>
        <w:t>–</w:t>
      </w:r>
      <w:r w:rsidRPr="00380B40">
        <w:rPr>
          <w:lang w:val="en-GB"/>
        </w:rPr>
        <w:tab/>
        <w:t>ITU-T SG20, Internet of things (IoT) and smart cities and communities (SC&amp;C), Mr Fabio Bigi, Italy, Vice Chairman ITU-T SG20 on behalf of Mr Nasser Al Marzouqi, Chairman ITU-T SG20 (Document</w:t>
      </w:r>
      <w:r w:rsidR="002F74FB" w:rsidRPr="00380B40">
        <w:rPr>
          <w:lang w:val="en-GB"/>
        </w:rPr>
        <w:t> </w:t>
      </w:r>
      <w:hyperlink r:id="rId580" w:history="1">
        <w:r w:rsidRPr="00380B40">
          <w:rPr>
            <w:rStyle w:val="Hyperlink"/>
            <w:szCs w:val="22"/>
            <w:lang w:val="en-GB"/>
          </w:rPr>
          <w:t>21</w:t>
        </w:r>
      </w:hyperlink>
      <w:r w:rsidRPr="00380B40">
        <w:rPr>
          <w:lang w:val="en-GB"/>
        </w:rPr>
        <w:t>).</w:t>
      </w:r>
    </w:p>
    <w:p w14:paraId="243B1C94" w14:textId="77777777" w:rsidR="002F74FB" w:rsidRPr="00380B40" w:rsidRDefault="002F74FB" w:rsidP="002F74FB">
      <w:pPr>
        <w:pStyle w:val="Heading1"/>
        <w:rPr>
          <w:lang w:val="en-GB"/>
        </w:rPr>
      </w:pPr>
      <w:r w:rsidRPr="00380B40">
        <w:rPr>
          <w:lang w:val="en-GB"/>
        </w:rPr>
        <w:br w:type="page"/>
      </w:r>
    </w:p>
    <w:p w14:paraId="0AC412F1" w14:textId="77777777" w:rsidR="009033A7" w:rsidRPr="00380B40" w:rsidRDefault="009033A7" w:rsidP="002F74FB">
      <w:pPr>
        <w:pStyle w:val="Heading1"/>
        <w:rPr>
          <w:lang w:val="en-GB"/>
        </w:rPr>
      </w:pPr>
      <w:bookmarkStart w:id="2487" w:name="_Toc111637212"/>
      <w:r w:rsidRPr="00380B40">
        <w:rPr>
          <w:lang w:val="en-GB"/>
        </w:rPr>
        <w:t>6</w:t>
      </w:r>
      <w:r w:rsidRPr="00380B40">
        <w:rPr>
          <w:lang w:val="en-GB"/>
        </w:rPr>
        <w:tab/>
        <w:t>Draft new Resolution [IAP-3], Use of in-person and virtual options on an equal footing in the activities of the ITU Telecommunication Standardization Sector</w:t>
      </w:r>
      <w:bookmarkEnd w:id="2487"/>
    </w:p>
    <w:p w14:paraId="1F174B5E" w14:textId="77777777" w:rsidR="009033A7" w:rsidRPr="00380B40" w:rsidRDefault="009033A7" w:rsidP="002F74FB">
      <w:pPr>
        <w:rPr>
          <w:szCs w:val="22"/>
          <w:lang w:val="en-GB"/>
        </w:rPr>
      </w:pPr>
      <w:r w:rsidRPr="00380B40">
        <w:rPr>
          <w:szCs w:val="22"/>
          <w:lang w:val="en-GB"/>
        </w:rPr>
        <w:t>A representative from Uruguay, on behalf of CITEL, presented</w:t>
      </w:r>
      <w:r w:rsidR="00DC6CED" w:rsidRPr="00380B40">
        <w:rPr>
          <w:szCs w:val="22"/>
          <w:lang w:val="en-GB"/>
        </w:rPr>
        <w:t xml:space="preserve"> Document</w:t>
      </w:r>
      <w:r w:rsidRPr="00380B40">
        <w:rPr>
          <w:szCs w:val="22"/>
          <w:lang w:val="en-GB"/>
        </w:rPr>
        <w:t xml:space="preserve"> </w:t>
      </w:r>
      <w:hyperlink r:id="rId581" w:history="1">
        <w:r w:rsidRPr="00380B40">
          <w:rPr>
            <w:rStyle w:val="Hyperlink"/>
            <w:szCs w:val="22"/>
            <w:lang w:val="en-GB"/>
          </w:rPr>
          <w:t>C39 Add.23</w:t>
        </w:r>
      </w:hyperlink>
      <w:r w:rsidRPr="00380B40">
        <w:rPr>
          <w:szCs w:val="22"/>
          <w:lang w:val="en-GB"/>
        </w:rPr>
        <w:t xml:space="preserve"> (ref. </w:t>
      </w:r>
      <w:hyperlink r:id="rId582" w:history="1">
        <w:r w:rsidRPr="00380B40">
          <w:rPr>
            <w:color w:val="0000FF"/>
            <w:szCs w:val="22"/>
            <w:u w:val="single"/>
            <w:lang w:val="en-GB"/>
          </w:rPr>
          <w:t>IAP/39A32/1</w:t>
        </w:r>
      </w:hyperlink>
      <w:r w:rsidRPr="00380B40">
        <w:rPr>
          <w:szCs w:val="22"/>
          <w:lang w:val="en-GB"/>
        </w:rPr>
        <w:t>), which proposes a draft new Resolution [IAP-3] on use of in-person and virtual options on an equal footing in the activities of the ITU Telecommunication Standardization Sector.</w:t>
      </w:r>
    </w:p>
    <w:p w14:paraId="5BB3283E" w14:textId="77777777" w:rsidR="009033A7" w:rsidRPr="00380B40" w:rsidRDefault="009033A7" w:rsidP="002F74FB">
      <w:pPr>
        <w:rPr>
          <w:lang w:val="en-GB"/>
        </w:rPr>
      </w:pPr>
      <w:r w:rsidRPr="00380B40">
        <w:rPr>
          <w:lang w:val="en-GB"/>
        </w:rPr>
        <w:t>The Plenary was conscious that the technical aspects concerning (electronic) working methods are addressed in Committee 3 and in Working Group 3A pertaining to WTSA Resolution 32.</w:t>
      </w:r>
    </w:p>
    <w:p w14:paraId="031BBD3A" w14:textId="77777777" w:rsidR="009033A7" w:rsidRPr="00380B40" w:rsidRDefault="009033A7" w:rsidP="002F74FB">
      <w:pPr>
        <w:rPr>
          <w:lang w:val="en-GB"/>
        </w:rPr>
      </w:pPr>
      <w:r w:rsidRPr="00380B40">
        <w:rPr>
          <w:lang w:val="en-GB"/>
        </w:rPr>
        <w:t xml:space="preserve">Furthermore, the Plenary was also conscious of ongoing and related work in the TSAG Ad </w:t>
      </w:r>
      <w:r w:rsidR="00DC6CED" w:rsidRPr="00380B40">
        <w:rPr>
          <w:lang w:val="en-GB"/>
        </w:rPr>
        <w:t>h</w:t>
      </w:r>
      <w:r w:rsidRPr="00380B40">
        <w:rPr>
          <w:lang w:val="en-GB"/>
        </w:rPr>
        <w:t>oc Group on the governance and management of e-meetings (TSAG AHG-GME), and also of possible implications on other matters of financial, operational and legal nature pertaining to the scope of Council and the Plenipotentiary Conference with regard to changes to the General Rules that would potentially be necessary if this particular proposal is to be implemented.</w:t>
      </w:r>
    </w:p>
    <w:p w14:paraId="5A37005B" w14:textId="77777777" w:rsidR="009033A7" w:rsidRPr="00380B40" w:rsidRDefault="009033A7" w:rsidP="002F74FB">
      <w:pPr>
        <w:rPr>
          <w:lang w:val="en-GB"/>
        </w:rPr>
      </w:pPr>
      <w:r w:rsidRPr="00380B40">
        <w:rPr>
          <w:lang w:val="en-GB"/>
        </w:rPr>
        <w:t xml:space="preserve">The Plenary asked the Director of TSB to bring this proposal to the attention of the TSAG Ad </w:t>
      </w:r>
      <w:r w:rsidR="00DC6CED" w:rsidRPr="00380B40">
        <w:rPr>
          <w:lang w:val="en-GB"/>
        </w:rPr>
        <w:t>h</w:t>
      </w:r>
      <w:r w:rsidRPr="00380B40">
        <w:rPr>
          <w:lang w:val="en-GB"/>
        </w:rPr>
        <w:t>oc Group on the governance and management of e-meetings, to the Council, and to the Plenipotentiary Conference.</w:t>
      </w:r>
    </w:p>
    <w:p w14:paraId="0B159C4C" w14:textId="77777777" w:rsidR="009033A7" w:rsidRPr="00380B40" w:rsidRDefault="009033A7" w:rsidP="002F74FB">
      <w:pPr>
        <w:pStyle w:val="Heading1"/>
        <w:rPr>
          <w:b w:val="0"/>
          <w:bCs/>
          <w:szCs w:val="24"/>
          <w:lang w:val="en-GB"/>
        </w:rPr>
      </w:pPr>
      <w:bookmarkStart w:id="2488" w:name="_Toc111637213"/>
      <w:r w:rsidRPr="00380B40">
        <w:rPr>
          <w:bCs/>
          <w:szCs w:val="24"/>
          <w:lang w:val="en-GB"/>
        </w:rPr>
        <w:t>7</w:t>
      </w:r>
      <w:r w:rsidRPr="00380B40">
        <w:rPr>
          <w:bCs/>
          <w:szCs w:val="24"/>
          <w:lang w:val="en-GB"/>
        </w:rPr>
        <w:tab/>
        <w:t>Progress reports by Committee Chairmen</w:t>
      </w:r>
      <w:bookmarkEnd w:id="2488"/>
    </w:p>
    <w:p w14:paraId="5719D60A" w14:textId="77777777" w:rsidR="00073C64" w:rsidRPr="00380B40" w:rsidRDefault="00073C64" w:rsidP="002F74FB">
      <w:pPr>
        <w:rPr>
          <w:lang w:val="en-GB"/>
        </w:rPr>
      </w:pPr>
      <w:r w:rsidRPr="00380B40">
        <w:rPr>
          <w:lang w:val="en-GB"/>
        </w:rPr>
        <w:t>7.1</w:t>
      </w:r>
      <w:r w:rsidRPr="00380B40">
        <w:rPr>
          <w:lang w:val="en-GB"/>
        </w:rPr>
        <w:tab/>
        <w:t>The Chairman provided a status update of the first and second sessions of Committee 1 "Steering Committee". TSB provided additional information concerning the expanded hosting of ad-hoc groups, drafting sessions and informal consultations for the weekend with remote participation support, and other logistical information.</w:t>
      </w:r>
    </w:p>
    <w:p w14:paraId="153533F3" w14:textId="77777777" w:rsidR="00073C64" w:rsidRPr="00380B40" w:rsidRDefault="00073C64" w:rsidP="002F74FB">
      <w:pPr>
        <w:tabs>
          <w:tab w:val="clear" w:pos="794"/>
          <w:tab w:val="clear" w:pos="1191"/>
          <w:tab w:val="clear" w:pos="1588"/>
          <w:tab w:val="clear" w:pos="1985"/>
          <w:tab w:val="left" w:pos="843"/>
        </w:tabs>
        <w:ind w:left="5"/>
        <w:jc w:val="left"/>
        <w:rPr>
          <w:lang w:val="en-GB"/>
        </w:rPr>
      </w:pPr>
      <w:r w:rsidRPr="00380B40">
        <w:rPr>
          <w:lang w:val="en-GB"/>
        </w:rPr>
        <w:t>It was emphasized that it was necessary to work diligently and efficiently to achieve consensus, to make compromises for reaching agreements and to be as flexible as possible in finding solutions.</w:t>
      </w:r>
    </w:p>
    <w:p w14:paraId="35169D7C" w14:textId="77777777" w:rsidR="00073C64" w:rsidRPr="00380B40" w:rsidRDefault="00073C64" w:rsidP="002F74FB">
      <w:pPr>
        <w:rPr>
          <w:bCs/>
          <w:lang w:val="en-GB"/>
        </w:rPr>
      </w:pPr>
      <w:r w:rsidRPr="00380B40">
        <w:rPr>
          <w:bCs/>
          <w:lang w:val="en-GB"/>
        </w:rPr>
        <w:t>7.2</w:t>
      </w:r>
      <w:r w:rsidRPr="00380B40">
        <w:rPr>
          <w:bCs/>
          <w:lang w:val="en-GB"/>
        </w:rPr>
        <w:tab/>
      </w:r>
      <w:r w:rsidRPr="00380B40">
        <w:rPr>
          <w:lang w:val="en-GB"/>
        </w:rPr>
        <w:t xml:space="preserve">The Chairman of Committee 2, "Budget control", </w:t>
      </w:r>
      <w:r w:rsidRPr="00380B40">
        <w:rPr>
          <w:bCs/>
          <w:lang w:val="en-GB"/>
        </w:rPr>
        <w:t>Mr Bahtiyar Mammadov, gave a status report of Committee 2.</w:t>
      </w:r>
    </w:p>
    <w:p w14:paraId="3FA47E54" w14:textId="77777777" w:rsidR="00073C64" w:rsidRPr="00380B40" w:rsidRDefault="00073C64" w:rsidP="002F74FB">
      <w:pPr>
        <w:tabs>
          <w:tab w:val="clear" w:pos="794"/>
          <w:tab w:val="clear" w:pos="1191"/>
          <w:tab w:val="clear" w:pos="1588"/>
          <w:tab w:val="clear" w:pos="1985"/>
          <w:tab w:val="left" w:pos="843"/>
        </w:tabs>
        <w:ind w:left="5"/>
        <w:jc w:val="left"/>
        <w:rPr>
          <w:lang w:val="en-GB"/>
        </w:rPr>
      </w:pPr>
      <w:r w:rsidRPr="00380B40">
        <w:rPr>
          <w:bCs/>
          <w:lang w:val="en-GB"/>
        </w:rPr>
        <w:t xml:space="preserve">The </w:t>
      </w:r>
      <w:r w:rsidRPr="00380B40">
        <w:rPr>
          <w:lang w:val="en-GB"/>
        </w:rPr>
        <w:t>plenary agreed for Committee 2 to take into consideration a document by Council addressing unfunded mandatory activities pertaining to the TSB.</w:t>
      </w:r>
    </w:p>
    <w:p w14:paraId="248F4604" w14:textId="77777777" w:rsidR="00073C64" w:rsidRPr="00380B40" w:rsidRDefault="00073C64" w:rsidP="002F74FB">
      <w:pPr>
        <w:tabs>
          <w:tab w:val="clear" w:pos="794"/>
          <w:tab w:val="clear" w:pos="1191"/>
          <w:tab w:val="clear" w:pos="1588"/>
          <w:tab w:val="clear" w:pos="1985"/>
          <w:tab w:val="left" w:pos="843"/>
        </w:tabs>
        <w:ind w:left="5"/>
        <w:jc w:val="left"/>
        <w:rPr>
          <w:lang w:val="en-GB"/>
        </w:rPr>
      </w:pPr>
      <w:r w:rsidRPr="00380B40">
        <w:rPr>
          <w:lang w:val="en-GB"/>
        </w:rPr>
        <w:t>7.3</w:t>
      </w:r>
      <w:r w:rsidRPr="00380B40">
        <w:rPr>
          <w:lang w:val="en-GB"/>
        </w:rPr>
        <w:tab/>
        <w:t xml:space="preserve">The Chairman of Committee 3, "Working Methods of ITU-T", Mr Steve Trowbridge, </w:t>
      </w:r>
      <w:r w:rsidRPr="00380B40">
        <w:rPr>
          <w:bCs/>
          <w:lang w:val="en-GB"/>
        </w:rPr>
        <w:t>gave a status report of Committee 3.</w:t>
      </w:r>
    </w:p>
    <w:p w14:paraId="277DD7B4" w14:textId="77777777" w:rsidR="00073C64" w:rsidRPr="00380B40" w:rsidRDefault="00073C64" w:rsidP="002F74FB">
      <w:pPr>
        <w:tabs>
          <w:tab w:val="clear" w:pos="794"/>
          <w:tab w:val="clear" w:pos="1191"/>
          <w:tab w:val="clear" w:pos="1588"/>
          <w:tab w:val="clear" w:pos="1985"/>
          <w:tab w:val="left" w:pos="843"/>
        </w:tabs>
        <w:ind w:left="5"/>
        <w:jc w:val="left"/>
        <w:rPr>
          <w:lang w:val="en-GB"/>
        </w:rPr>
      </w:pPr>
      <w:r w:rsidRPr="00380B40">
        <w:rPr>
          <w:lang w:val="en-GB"/>
        </w:rPr>
        <w:t>7.4</w:t>
      </w:r>
      <w:r w:rsidRPr="00380B40">
        <w:rPr>
          <w:lang w:val="en-GB"/>
        </w:rPr>
        <w:tab/>
        <w:t xml:space="preserve">The Chairman of Committee 4, "ITU-T work programme and organization", Mr Philip Rushton, </w:t>
      </w:r>
      <w:r w:rsidRPr="00380B40">
        <w:rPr>
          <w:bCs/>
          <w:lang w:val="en-GB"/>
        </w:rPr>
        <w:t>gave a status report of Committee 4.</w:t>
      </w:r>
    </w:p>
    <w:p w14:paraId="21C8DC79" w14:textId="77777777" w:rsidR="00C85DAE" w:rsidRPr="00380B40" w:rsidRDefault="00C85DAE" w:rsidP="002F74FB">
      <w:pPr>
        <w:tabs>
          <w:tab w:val="clear" w:pos="794"/>
          <w:tab w:val="clear" w:pos="1191"/>
          <w:tab w:val="clear" w:pos="1588"/>
          <w:tab w:val="clear" w:pos="1985"/>
          <w:tab w:val="left" w:pos="843"/>
        </w:tabs>
        <w:ind w:left="5"/>
        <w:jc w:val="left"/>
        <w:rPr>
          <w:lang w:val="en-GB"/>
        </w:rPr>
      </w:pPr>
      <w:r w:rsidRPr="00380B40">
        <w:rPr>
          <w:lang w:val="en-GB"/>
        </w:rPr>
        <w:br w:type="page"/>
      </w:r>
    </w:p>
    <w:p w14:paraId="31BEDDC2" w14:textId="77777777" w:rsidR="00073C64" w:rsidRPr="00380B40" w:rsidRDefault="00073C64" w:rsidP="002F74FB">
      <w:pPr>
        <w:tabs>
          <w:tab w:val="clear" w:pos="794"/>
          <w:tab w:val="clear" w:pos="1191"/>
          <w:tab w:val="clear" w:pos="1588"/>
          <w:tab w:val="clear" w:pos="1985"/>
          <w:tab w:val="left" w:pos="843"/>
        </w:tabs>
        <w:ind w:left="5"/>
        <w:jc w:val="left"/>
        <w:rPr>
          <w:bCs/>
          <w:lang w:val="en-GB"/>
        </w:rPr>
      </w:pPr>
      <w:r w:rsidRPr="00380B40">
        <w:rPr>
          <w:lang w:val="en-GB"/>
        </w:rPr>
        <w:t>7.5</w:t>
      </w:r>
      <w:r w:rsidRPr="00380B40">
        <w:rPr>
          <w:lang w:val="en-GB"/>
        </w:rPr>
        <w:tab/>
        <w:t xml:space="preserve">The Chairman of Committee 5, "Editorial Committee", Ms Rim Belhaj, </w:t>
      </w:r>
      <w:r w:rsidRPr="00380B40">
        <w:rPr>
          <w:bCs/>
          <w:lang w:val="en-GB"/>
        </w:rPr>
        <w:t xml:space="preserve">gave a status report of Committee 5. She stated that WTSA-20 delegates </w:t>
      </w:r>
      <w:r w:rsidRPr="00380B40">
        <w:rPr>
          <w:lang w:val="en-GB"/>
        </w:rPr>
        <w:t>wishing to participate in COM5 meetings could do so upon request.</w:t>
      </w:r>
    </w:p>
    <w:p w14:paraId="024E201D" w14:textId="77777777" w:rsidR="00073C64" w:rsidRPr="00380B40" w:rsidRDefault="00073C64" w:rsidP="002F74FB">
      <w:pPr>
        <w:tabs>
          <w:tab w:val="clear" w:pos="794"/>
          <w:tab w:val="clear" w:pos="1191"/>
          <w:tab w:val="clear" w:pos="1588"/>
          <w:tab w:val="clear" w:pos="1985"/>
          <w:tab w:val="left" w:pos="843"/>
        </w:tabs>
        <w:ind w:left="5"/>
        <w:jc w:val="left"/>
        <w:rPr>
          <w:bCs/>
          <w:lang w:val="en-GB"/>
        </w:rPr>
      </w:pPr>
      <w:r w:rsidRPr="00380B40">
        <w:rPr>
          <w:lang w:val="en-GB"/>
        </w:rPr>
        <w:t>7.6</w:t>
      </w:r>
      <w:r w:rsidRPr="00380B40">
        <w:rPr>
          <w:lang w:val="en-GB"/>
        </w:rPr>
        <w:tab/>
      </w:r>
      <w:r w:rsidRPr="00380B40">
        <w:rPr>
          <w:bCs/>
          <w:lang w:val="en-GB"/>
        </w:rPr>
        <w:t>The Plenary took note of the reports.</w:t>
      </w:r>
    </w:p>
    <w:p w14:paraId="0A32BAB3" w14:textId="77777777" w:rsidR="00073C64" w:rsidRPr="00380B40" w:rsidRDefault="00073C64" w:rsidP="002F74FB">
      <w:pPr>
        <w:tabs>
          <w:tab w:val="clear" w:pos="794"/>
          <w:tab w:val="clear" w:pos="1191"/>
          <w:tab w:val="clear" w:pos="1588"/>
          <w:tab w:val="clear" w:pos="1985"/>
          <w:tab w:val="left" w:pos="843"/>
        </w:tabs>
        <w:ind w:left="5"/>
        <w:jc w:val="left"/>
        <w:rPr>
          <w:bCs/>
          <w:lang w:val="en-GB"/>
        </w:rPr>
      </w:pPr>
      <w:r w:rsidRPr="00380B40">
        <w:rPr>
          <w:lang w:val="en-GB"/>
        </w:rPr>
        <w:t>7.7</w:t>
      </w:r>
      <w:r w:rsidRPr="00380B40">
        <w:rPr>
          <w:lang w:val="en-GB"/>
        </w:rPr>
        <w:tab/>
      </w:r>
      <w:r w:rsidRPr="00380B40">
        <w:rPr>
          <w:bCs/>
          <w:lang w:val="en-GB"/>
        </w:rPr>
        <w:t xml:space="preserve">The Plenary approved the reports of the first meeting </w:t>
      </w:r>
      <w:r w:rsidRPr="00380B40">
        <w:rPr>
          <w:lang w:val="en-GB"/>
        </w:rPr>
        <w:t xml:space="preserve">(Document </w:t>
      </w:r>
      <w:hyperlink r:id="rId583" w:history="1">
        <w:r w:rsidRPr="00380B40">
          <w:rPr>
            <w:rStyle w:val="Hyperlink"/>
            <w:lang w:val="en-GB"/>
          </w:rPr>
          <w:t>C50</w:t>
        </w:r>
      </w:hyperlink>
      <w:r w:rsidRPr="00380B40">
        <w:rPr>
          <w:lang w:val="en-GB"/>
        </w:rPr>
        <w:t>), and of the second</w:t>
      </w:r>
      <w:r w:rsidRPr="00380B40">
        <w:rPr>
          <w:bCs/>
          <w:lang w:val="en-GB"/>
        </w:rPr>
        <w:t xml:space="preserve"> meeting </w:t>
      </w:r>
      <w:r w:rsidRPr="00380B40">
        <w:rPr>
          <w:lang w:val="en-GB"/>
        </w:rPr>
        <w:t xml:space="preserve">(Document </w:t>
      </w:r>
      <w:hyperlink r:id="rId584" w:history="1">
        <w:r w:rsidRPr="00380B40">
          <w:rPr>
            <w:rStyle w:val="Hyperlink"/>
            <w:lang w:val="en-GB"/>
          </w:rPr>
          <w:t>C51</w:t>
        </w:r>
      </w:hyperlink>
      <w:r w:rsidRPr="00380B40">
        <w:rPr>
          <w:lang w:val="en-GB"/>
        </w:rPr>
        <w:t xml:space="preserve">) </w:t>
      </w:r>
      <w:r w:rsidRPr="00380B40">
        <w:rPr>
          <w:bCs/>
          <w:lang w:val="en-GB"/>
        </w:rPr>
        <w:t>of Committee 4.</w:t>
      </w:r>
    </w:p>
    <w:p w14:paraId="5731276A" w14:textId="77777777" w:rsidR="009033A7" w:rsidRPr="00380B40" w:rsidRDefault="009033A7" w:rsidP="002F74FB">
      <w:pPr>
        <w:pStyle w:val="Heading1"/>
        <w:rPr>
          <w:b w:val="0"/>
          <w:bCs/>
          <w:szCs w:val="24"/>
          <w:lang w:val="en-GB"/>
        </w:rPr>
      </w:pPr>
      <w:bookmarkStart w:id="2489" w:name="_Toc111637214"/>
      <w:r w:rsidRPr="00380B40">
        <w:rPr>
          <w:bCs/>
          <w:szCs w:val="24"/>
          <w:lang w:val="en-GB"/>
        </w:rPr>
        <w:t>8</w:t>
      </w:r>
      <w:r w:rsidRPr="00380B40">
        <w:rPr>
          <w:bCs/>
          <w:szCs w:val="24"/>
          <w:lang w:val="en-GB"/>
        </w:rPr>
        <w:tab/>
        <w:t xml:space="preserve">Proposed new </w:t>
      </w:r>
      <w:r w:rsidRPr="00380B40">
        <w:rPr>
          <w:lang w:val="en-GB"/>
        </w:rPr>
        <w:t>Question</w:t>
      </w:r>
      <w:r w:rsidRPr="00380B40">
        <w:rPr>
          <w:bCs/>
          <w:szCs w:val="24"/>
          <w:lang w:val="en-GB"/>
        </w:rPr>
        <w:t xml:space="preserve"> on OTTs</w:t>
      </w:r>
      <w:bookmarkEnd w:id="2489"/>
    </w:p>
    <w:p w14:paraId="13C1FBCC" w14:textId="77777777" w:rsidR="009033A7" w:rsidRPr="00380B40" w:rsidRDefault="009033A7" w:rsidP="002F74FB">
      <w:pPr>
        <w:rPr>
          <w:lang w:val="en-GB"/>
        </w:rPr>
      </w:pPr>
      <w:r w:rsidRPr="00380B40">
        <w:rPr>
          <w:lang w:val="en-GB"/>
        </w:rPr>
        <w:t xml:space="preserve">With reference to the proposal stated in clause 6.2 of Document </w:t>
      </w:r>
      <w:hyperlink r:id="rId585" w:history="1">
        <w:r w:rsidRPr="00380B40">
          <w:rPr>
            <w:rStyle w:val="Hyperlink"/>
            <w:szCs w:val="22"/>
            <w:lang w:val="en-GB"/>
          </w:rPr>
          <w:t>C50</w:t>
        </w:r>
      </w:hyperlink>
      <w:r w:rsidRPr="00380B40">
        <w:rPr>
          <w:lang w:val="en-GB"/>
        </w:rPr>
        <w:t xml:space="preserve">, WTSA-20 agreed to instruct ITU-T Study Group 3 to consider the proposed new Question on OTTs (in </w:t>
      </w:r>
      <w:hyperlink r:id="rId586" w:tgtFrame="_blank" w:history="1">
        <w:r w:rsidRPr="00380B40">
          <w:rPr>
            <w:rStyle w:val="Hyperlink"/>
            <w:szCs w:val="22"/>
            <w:lang w:val="en-GB"/>
          </w:rPr>
          <w:t>AFCP/35A33/1</w:t>
        </w:r>
      </w:hyperlink>
      <w:r w:rsidRPr="00380B40">
        <w:rPr>
          <w:rStyle w:val="Hyperlink"/>
          <w:szCs w:val="22"/>
          <w:lang w:val="en-GB"/>
        </w:rPr>
        <w:t>)</w:t>
      </w:r>
      <w:r w:rsidRPr="00380B40">
        <w:rPr>
          <w:lang w:val="en-GB"/>
        </w:rPr>
        <w:t>.</w:t>
      </w:r>
    </w:p>
    <w:p w14:paraId="13E573B0" w14:textId="77777777" w:rsidR="009033A7" w:rsidRPr="00380B40" w:rsidRDefault="009033A7" w:rsidP="002F74FB">
      <w:pPr>
        <w:pStyle w:val="Heading1"/>
        <w:rPr>
          <w:b w:val="0"/>
          <w:bCs/>
          <w:szCs w:val="24"/>
          <w:lang w:val="en-GB"/>
        </w:rPr>
      </w:pPr>
      <w:bookmarkStart w:id="2490" w:name="_Toc111637215"/>
      <w:r w:rsidRPr="00380B40">
        <w:rPr>
          <w:bCs/>
          <w:szCs w:val="24"/>
          <w:lang w:val="en-GB"/>
        </w:rPr>
        <w:t>9</w:t>
      </w:r>
      <w:r w:rsidRPr="00380B40">
        <w:rPr>
          <w:bCs/>
          <w:szCs w:val="24"/>
          <w:lang w:val="en-GB"/>
        </w:rPr>
        <w:tab/>
      </w:r>
      <w:r w:rsidRPr="00380B40">
        <w:rPr>
          <w:lang w:val="en-GB"/>
        </w:rPr>
        <w:t>WTSA</w:t>
      </w:r>
      <w:r w:rsidRPr="00380B40">
        <w:rPr>
          <w:bCs/>
          <w:szCs w:val="24"/>
          <w:lang w:val="en-GB"/>
        </w:rPr>
        <w:t>-24</w:t>
      </w:r>
      <w:bookmarkEnd w:id="2490"/>
    </w:p>
    <w:p w14:paraId="6493F1B7" w14:textId="77777777" w:rsidR="009033A7" w:rsidRPr="00380B40" w:rsidRDefault="009033A7" w:rsidP="002F74FB">
      <w:pPr>
        <w:rPr>
          <w:lang w:val="en-GB"/>
        </w:rPr>
      </w:pPr>
      <w:r w:rsidRPr="00380B40">
        <w:rPr>
          <w:lang w:val="en-GB"/>
        </w:rPr>
        <w:t xml:space="preserve">India presented in </w:t>
      </w:r>
      <w:r w:rsidRPr="00380B40">
        <w:rPr>
          <w:sz w:val="24"/>
          <w:szCs w:val="24"/>
          <w:lang w:val="en-GB"/>
        </w:rPr>
        <w:t xml:space="preserve">Document </w:t>
      </w:r>
      <w:hyperlink r:id="rId587" w:history="1">
        <w:r w:rsidRPr="00380B40">
          <w:rPr>
            <w:rStyle w:val="Hyperlink"/>
            <w:szCs w:val="22"/>
            <w:lang w:val="en-GB"/>
          </w:rPr>
          <w:t>INF/3</w:t>
        </w:r>
      </w:hyperlink>
      <w:r w:rsidRPr="00380B40">
        <w:rPr>
          <w:lang w:val="en-GB"/>
        </w:rPr>
        <w:t xml:space="preserve"> their letter from the Indian Government with the invitation to host WTSA</w:t>
      </w:r>
      <w:r w:rsidR="00FA5C02" w:rsidRPr="00380B40">
        <w:rPr>
          <w:lang w:val="en-GB"/>
        </w:rPr>
        <w:noBreakHyphen/>
      </w:r>
      <w:r w:rsidRPr="00380B40">
        <w:rPr>
          <w:lang w:val="en-GB"/>
        </w:rPr>
        <w:t>24.</w:t>
      </w:r>
    </w:p>
    <w:p w14:paraId="1AACDDF6" w14:textId="77777777" w:rsidR="009033A7" w:rsidRPr="00380B40" w:rsidRDefault="009033A7" w:rsidP="002F74FB">
      <w:pPr>
        <w:rPr>
          <w:lang w:val="en-GB"/>
        </w:rPr>
      </w:pPr>
      <w:r w:rsidRPr="00380B40">
        <w:rPr>
          <w:lang w:val="en-GB"/>
        </w:rPr>
        <w:t xml:space="preserve">The Plenary thanked India for their kind offer to host the </w:t>
      </w:r>
      <w:r w:rsidRPr="00380B40">
        <w:rPr>
          <w:bCs/>
          <w:lang w:val="en-GB"/>
        </w:rPr>
        <w:t>next Assembly</w:t>
      </w:r>
      <w:r w:rsidRPr="00380B40">
        <w:rPr>
          <w:lang w:val="en-GB"/>
        </w:rPr>
        <w:t xml:space="preserve"> (WTSA-24) in 2024 in India, with the understanding, that the proposal will be further formalized and approved through Council.</w:t>
      </w:r>
    </w:p>
    <w:p w14:paraId="74CBF018" w14:textId="77777777" w:rsidR="009033A7" w:rsidRPr="00380B40" w:rsidRDefault="009033A7" w:rsidP="002F74FB">
      <w:pPr>
        <w:pStyle w:val="Heading1"/>
        <w:rPr>
          <w:b w:val="0"/>
          <w:bCs/>
          <w:szCs w:val="24"/>
          <w:lang w:val="en-GB"/>
        </w:rPr>
      </w:pPr>
      <w:bookmarkStart w:id="2491" w:name="_Toc111637216"/>
      <w:r w:rsidRPr="00380B40">
        <w:rPr>
          <w:bCs/>
          <w:szCs w:val="24"/>
          <w:lang w:val="en-GB"/>
        </w:rPr>
        <w:t>10</w:t>
      </w:r>
      <w:r w:rsidRPr="00380B40">
        <w:rPr>
          <w:bCs/>
          <w:szCs w:val="24"/>
          <w:lang w:val="en-GB"/>
        </w:rPr>
        <w:tab/>
        <w:t xml:space="preserve">Any </w:t>
      </w:r>
      <w:r w:rsidRPr="00380B40">
        <w:rPr>
          <w:lang w:val="en-GB"/>
        </w:rPr>
        <w:t>other</w:t>
      </w:r>
      <w:r w:rsidRPr="00380B40">
        <w:rPr>
          <w:bCs/>
          <w:szCs w:val="24"/>
          <w:lang w:val="en-GB"/>
        </w:rPr>
        <w:t xml:space="preserve"> business</w:t>
      </w:r>
      <w:bookmarkEnd w:id="2491"/>
    </w:p>
    <w:p w14:paraId="4EC6BEBB" w14:textId="77777777" w:rsidR="009033A7" w:rsidRPr="00380B40" w:rsidRDefault="009033A7" w:rsidP="002F74FB">
      <w:pPr>
        <w:rPr>
          <w:lang w:val="en-GB"/>
        </w:rPr>
      </w:pPr>
      <w:r w:rsidRPr="00380B40">
        <w:rPr>
          <w:lang w:val="en-GB"/>
        </w:rPr>
        <w:t>Delegates were appealed to work diligently and efficiently to achieve consensus, to make compromises for reaching agreements, and to be as flexible as possible in finding solutions. Night sessions should be avoided.</w:t>
      </w:r>
    </w:p>
    <w:p w14:paraId="398FE912" w14:textId="77777777" w:rsidR="009033A7" w:rsidRPr="00380B40" w:rsidRDefault="009033A7" w:rsidP="002F74FB">
      <w:pPr>
        <w:pStyle w:val="Heading1"/>
        <w:rPr>
          <w:b w:val="0"/>
          <w:bCs/>
          <w:szCs w:val="24"/>
          <w:lang w:val="en-GB"/>
        </w:rPr>
      </w:pPr>
      <w:bookmarkStart w:id="2492" w:name="_Toc111637217"/>
      <w:r w:rsidRPr="00380B40">
        <w:rPr>
          <w:bCs/>
          <w:szCs w:val="24"/>
          <w:lang w:val="en-GB"/>
        </w:rPr>
        <w:t>11</w:t>
      </w:r>
      <w:r w:rsidRPr="00380B40">
        <w:rPr>
          <w:bCs/>
          <w:szCs w:val="24"/>
          <w:lang w:val="en-GB"/>
        </w:rPr>
        <w:tab/>
      </w:r>
      <w:r w:rsidRPr="00380B40">
        <w:rPr>
          <w:lang w:val="en-GB"/>
        </w:rPr>
        <w:t>Closing</w:t>
      </w:r>
      <w:r w:rsidRPr="00380B40">
        <w:rPr>
          <w:bCs/>
          <w:szCs w:val="24"/>
          <w:lang w:val="en-GB"/>
        </w:rPr>
        <w:t xml:space="preserve"> of the second plenary</w:t>
      </w:r>
      <w:bookmarkEnd w:id="2492"/>
    </w:p>
    <w:p w14:paraId="60ED28E9" w14:textId="77777777" w:rsidR="009033A7" w:rsidRPr="00380B40" w:rsidRDefault="009033A7" w:rsidP="002F74FB">
      <w:pPr>
        <w:rPr>
          <w:lang w:val="en-GB"/>
        </w:rPr>
      </w:pPr>
      <w:r w:rsidRPr="00380B40">
        <w:rPr>
          <w:lang w:val="en-GB"/>
        </w:rPr>
        <w:t>The Chairman adjourned the meeting at around 1730 hours.</w:t>
      </w:r>
    </w:p>
    <w:p w14:paraId="05475687" w14:textId="77777777" w:rsidR="009033A7" w:rsidRPr="00380B40" w:rsidRDefault="009033A7" w:rsidP="009033A7">
      <w:pPr>
        <w:spacing w:before="120" w:line="240" w:lineRule="auto"/>
        <w:rPr>
          <w:sz w:val="24"/>
          <w:szCs w:val="24"/>
          <w:lang w:val="en-GB"/>
        </w:rPr>
      </w:pPr>
    </w:p>
    <w:p w14:paraId="1CCF3164" w14:textId="77777777" w:rsidR="002F74FB" w:rsidRPr="00380B40" w:rsidRDefault="002F74FB" w:rsidP="009033A7">
      <w:pPr>
        <w:spacing w:before="120" w:line="240" w:lineRule="auto"/>
        <w:rPr>
          <w:sz w:val="24"/>
          <w:szCs w:val="24"/>
          <w:lang w:val="en-GB"/>
        </w:rPr>
      </w:pPr>
    </w:p>
    <w:p w14:paraId="53A69395" w14:textId="77777777" w:rsidR="002F74FB" w:rsidRPr="00380B40" w:rsidRDefault="002F74FB" w:rsidP="009033A7">
      <w:pPr>
        <w:spacing w:before="120" w:line="240" w:lineRule="auto"/>
        <w:rPr>
          <w:sz w:val="24"/>
          <w:szCs w:val="24"/>
          <w:lang w:val="en-GB"/>
        </w:rPr>
      </w:pPr>
    </w:p>
    <w:p w14:paraId="38789532" w14:textId="77777777" w:rsidR="002F74FB" w:rsidRPr="00380B40" w:rsidRDefault="002F74FB" w:rsidP="009033A7">
      <w:pPr>
        <w:spacing w:before="120" w:line="240" w:lineRule="auto"/>
        <w:rPr>
          <w:sz w:val="24"/>
          <w:szCs w:val="24"/>
          <w:lang w:val="en-GB"/>
        </w:rPr>
      </w:pPr>
    </w:p>
    <w:p w14:paraId="05005F62" w14:textId="77777777" w:rsidR="002F74FB" w:rsidRPr="00380B40" w:rsidRDefault="002F74FB" w:rsidP="009033A7">
      <w:pPr>
        <w:pStyle w:val="Chaptitle"/>
        <w:rPr>
          <w:szCs w:val="24"/>
          <w:lang w:val="en-GB"/>
        </w:rPr>
      </w:pPr>
      <w:bookmarkStart w:id="2493" w:name="_Hlk104191319"/>
      <w:r w:rsidRPr="00380B40">
        <w:rPr>
          <w:szCs w:val="24"/>
          <w:lang w:val="en-GB"/>
        </w:rPr>
        <w:br w:type="page"/>
      </w:r>
    </w:p>
    <w:p w14:paraId="7A57D943" w14:textId="77777777" w:rsidR="009033A7" w:rsidRPr="00380B40" w:rsidRDefault="009033A7" w:rsidP="00202A50">
      <w:pPr>
        <w:pStyle w:val="Sectiontitle"/>
      </w:pPr>
      <w:bookmarkStart w:id="2494" w:name="_Toc104472192"/>
      <w:bookmarkStart w:id="2495" w:name="_Toc111637218"/>
      <w:r w:rsidRPr="00380B40">
        <w:t>V-1.3 – THIRD PLENARY MEETING</w:t>
      </w:r>
      <w:bookmarkEnd w:id="2493"/>
      <w:bookmarkEnd w:id="2494"/>
      <w:bookmarkEnd w:id="2495"/>
    </w:p>
    <w:p w14:paraId="1736D50E" w14:textId="77777777" w:rsidR="009033A7" w:rsidRPr="00380B40" w:rsidRDefault="009033A7" w:rsidP="00C85DAE">
      <w:pPr>
        <w:pStyle w:val="Normalcenteraligned"/>
      </w:pPr>
      <w:r w:rsidRPr="00380B40">
        <w:t>(Monday, 7 March 2022, 1600-1700 hours)</w:t>
      </w:r>
    </w:p>
    <w:p w14:paraId="2D983B5A" w14:textId="77777777" w:rsidR="009033A7" w:rsidRPr="00380B40" w:rsidRDefault="009033A7" w:rsidP="002F74FB">
      <w:pPr>
        <w:pStyle w:val="Heading1"/>
        <w:rPr>
          <w:b w:val="0"/>
          <w:bCs/>
          <w:szCs w:val="24"/>
          <w:lang w:val="en-GB"/>
        </w:rPr>
      </w:pPr>
      <w:bookmarkStart w:id="2496" w:name="_Toc111637219"/>
      <w:r w:rsidRPr="00380B40">
        <w:rPr>
          <w:bCs/>
          <w:szCs w:val="24"/>
          <w:lang w:val="en-GB"/>
        </w:rPr>
        <w:t>1</w:t>
      </w:r>
      <w:r w:rsidRPr="00380B40">
        <w:rPr>
          <w:bCs/>
          <w:szCs w:val="24"/>
          <w:lang w:val="en-GB"/>
        </w:rPr>
        <w:tab/>
      </w:r>
      <w:r w:rsidRPr="00380B40">
        <w:rPr>
          <w:lang w:val="en-GB"/>
        </w:rPr>
        <w:t>Opening</w:t>
      </w:r>
      <w:bookmarkEnd w:id="2496"/>
    </w:p>
    <w:p w14:paraId="4429A730" w14:textId="77777777" w:rsidR="009033A7" w:rsidRPr="00380B40" w:rsidRDefault="009033A7" w:rsidP="002F74FB">
      <w:pPr>
        <w:rPr>
          <w:lang w:val="en-GB"/>
        </w:rPr>
      </w:pPr>
      <w:r w:rsidRPr="00380B40">
        <w:rPr>
          <w:lang w:val="en-GB"/>
        </w:rPr>
        <w:t>The Chairman opened the third plenary meeting.</w:t>
      </w:r>
    </w:p>
    <w:p w14:paraId="0CFFBED2" w14:textId="77777777" w:rsidR="009033A7" w:rsidRPr="00380B40" w:rsidRDefault="009033A7" w:rsidP="002F74FB">
      <w:pPr>
        <w:pStyle w:val="Heading1"/>
        <w:rPr>
          <w:b w:val="0"/>
          <w:bCs/>
          <w:szCs w:val="24"/>
          <w:lang w:val="en-GB"/>
        </w:rPr>
      </w:pPr>
      <w:bookmarkStart w:id="2497" w:name="_Toc111637220"/>
      <w:r w:rsidRPr="00380B40">
        <w:rPr>
          <w:bCs/>
          <w:szCs w:val="24"/>
          <w:lang w:val="en-GB"/>
        </w:rPr>
        <w:t>2</w:t>
      </w:r>
      <w:r w:rsidRPr="00380B40">
        <w:rPr>
          <w:bCs/>
          <w:szCs w:val="24"/>
          <w:lang w:val="en-GB"/>
        </w:rPr>
        <w:tab/>
      </w:r>
      <w:r w:rsidRPr="00380B40">
        <w:rPr>
          <w:lang w:val="en-GB"/>
        </w:rPr>
        <w:t>Approval</w:t>
      </w:r>
      <w:r w:rsidRPr="00380B40">
        <w:rPr>
          <w:bCs/>
          <w:szCs w:val="24"/>
          <w:lang w:val="en-GB"/>
        </w:rPr>
        <w:t xml:space="preserve"> of agenda</w:t>
      </w:r>
      <w:bookmarkEnd w:id="2497"/>
    </w:p>
    <w:p w14:paraId="4A4844B9" w14:textId="77777777" w:rsidR="009033A7" w:rsidRPr="00380B40" w:rsidRDefault="009033A7" w:rsidP="002F74FB">
      <w:pPr>
        <w:rPr>
          <w:szCs w:val="22"/>
          <w:lang w:val="en-GB"/>
        </w:rPr>
      </w:pPr>
      <w:r w:rsidRPr="00380B40">
        <w:rPr>
          <w:szCs w:val="22"/>
          <w:lang w:val="en-GB"/>
        </w:rPr>
        <w:t>The agenda (</w:t>
      </w:r>
      <w:r w:rsidRPr="00380B40">
        <w:rPr>
          <w:sz w:val="24"/>
          <w:szCs w:val="24"/>
          <w:lang w:val="en-GB"/>
        </w:rPr>
        <w:t xml:space="preserve">Document </w:t>
      </w:r>
      <w:hyperlink r:id="rId588" w:history="1">
        <w:r w:rsidRPr="00380B40">
          <w:rPr>
            <w:rStyle w:val="Hyperlink"/>
            <w:szCs w:val="22"/>
            <w:lang w:val="en-GB"/>
          </w:rPr>
          <w:t>ADM/30</w:t>
        </w:r>
      </w:hyperlink>
      <w:r w:rsidRPr="00380B40">
        <w:rPr>
          <w:szCs w:val="22"/>
          <w:lang w:val="en-GB"/>
        </w:rPr>
        <w:t>) was adopted, with the addition of</w:t>
      </w:r>
      <w:r w:rsidR="00DC6CED" w:rsidRPr="00380B40">
        <w:rPr>
          <w:szCs w:val="22"/>
          <w:lang w:val="en-GB"/>
        </w:rPr>
        <w:t xml:space="preserve"> Documents</w:t>
      </w:r>
      <w:r w:rsidRPr="00380B40">
        <w:rPr>
          <w:szCs w:val="22"/>
          <w:lang w:val="en-GB"/>
        </w:rPr>
        <w:t xml:space="preserve"> </w:t>
      </w:r>
      <w:hyperlink r:id="rId589" w:history="1">
        <w:r w:rsidRPr="00380B40">
          <w:rPr>
            <w:rStyle w:val="Hyperlink"/>
            <w:szCs w:val="22"/>
            <w:lang w:val="en-GB"/>
          </w:rPr>
          <w:t>C61</w:t>
        </w:r>
      </w:hyperlink>
      <w:r w:rsidRPr="00380B40">
        <w:rPr>
          <w:szCs w:val="22"/>
          <w:lang w:val="en-GB"/>
        </w:rPr>
        <w:t xml:space="preserve">, </w:t>
      </w:r>
      <w:hyperlink r:id="rId590" w:history="1">
        <w:r w:rsidRPr="00380B40">
          <w:rPr>
            <w:rStyle w:val="Hyperlink"/>
            <w:szCs w:val="22"/>
            <w:lang w:val="en-GB"/>
          </w:rPr>
          <w:t>C68</w:t>
        </w:r>
      </w:hyperlink>
      <w:r w:rsidRPr="00380B40">
        <w:rPr>
          <w:szCs w:val="22"/>
          <w:lang w:val="en-GB"/>
        </w:rPr>
        <w:t xml:space="preserve"> and </w:t>
      </w:r>
      <w:hyperlink r:id="rId591" w:history="1">
        <w:r w:rsidRPr="00380B40">
          <w:rPr>
            <w:rStyle w:val="Hyperlink"/>
            <w:szCs w:val="22"/>
            <w:lang w:val="en-GB"/>
          </w:rPr>
          <w:t>C69</w:t>
        </w:r>
      </w:hyperlink>
      <w:r w:rsidRPr="00380B40">
        <w:rPr>
          <w:szCs w:val="22"/>
          <w:lang w:val="en-GB"/>
        </w:rPr>
        <w:t xml:space="preserve"> for COM4</w:t>
      </w:r>
      <w:r w:rsidR="00F82355" w:rsidRPr="00380B40">
        <w:rPr>
          <w:szCs w:val="22"/>
          <w:lang w:val="en-GB"/>
        </w:rPr>
        <w:t>'</w:t>
      </w:r>
      <w:r w:rsidRPr="00380B40">
        <w:rPr>
          <w:szCs w:val="22"/>
          <w:lang w:val="en-GB"/>
        </w:rPr>
        <w:t xml:space="preserve">s second, first, and third series of texts to the Editorial Committee, and </w:t>
      </w:r>
      <w:hyperlink r:id="rId592" w:history="1">
        <w:r w:rsidRPr="00380B40">
          <w:rPr>
            <w:rStyle w:val="Hyperlink"/>
            <w:szCs w:val="22"/>
            <w:lang w:val="en-GB"/>
          </w:rPr>
          <w:t>DT/77</w:t>
        </w:r>
      </w:hyperlink>
      <w:r w:rsidRPr="00380B40">
        <w:rPr>
          <w:szCs w:val="22"/>
          <w:lang w:val="en-GB"/>
        </w:rPr>
        <w:t xml:space="preserve"> (available just during the course of the plenary) to agenda item 3.4, and correction of </w:t>
      </w:r>
      <w:hyperlink r:id="rId593" w:history="1">
        <w:r w:rsidRPr="00380B40">
          <w:rPr>
            <w:rStyle w:val="Hyperlink"/>
            <w:szCs w:val="22"/>
            <w:lang w:val="en-GB"/>
          </w:rPr>
          <w:t>C30</w:t>
        </w:r>
      </w:hyperlink>
      <w:r w:rsidRPr="00380B40">
        <w:rPr>
          <w:szCs w:val="22"/>
          <w:lang w:val="en-GB"/>
        </w:rPr>
        <w:t xml:space="preserve"> to read </w:t>
      </w:r>
      <w:hyperlink r:id="rId594" w:history="1">
        <w:r w:rsidRPr="00380B40">
          <w:rPr>
            <w:rStyle w:val="Hyperlink"/>
            <w:szCs w:val="22"/>
            <w:lang w:val="en-GB"/>
          </w:rPr>
          <w:t>C50</w:t>
        </w:r>
      </w:hyperlink>
      <w:r w:rsidRPr="00380B40">
        <w:rPr>
          <w:szCs w:val="22"/>
          <w:lang w:val="en-GB"/>
        </w:rPr>
        <w:t xml:space="preserve"> in agenda item 3.4.</w:t>
      </w:r>
    </w:p>
    <w:p w14:paraId="51813D28" w14:textId="77777777" w:rsidR="009033A7" w:rsidRPr="00380B40" w:rsidRDefault="009033A7" w:rsidP="002F74FB">
      <w:pPr>
        <w:rPr>
          <w:lang w:val="en-GB"/>
        </w:rPr>
      </w:pPr>
      <w:r w:rsidRPr="00380B40">
        <w:rPr>
          <w:lang w:val="en-GB"/>
        </w:rPr>
        <w:t xml:space="preserve">As Documents </w:t>
      </w:r>
      <w:hyperlink r:id="rId595" w:history="1">
        <w:r w:rsidRPr="00380B40">
          <w:rPr>
            <w:rStyle w:val="Hyperlink"/>
            <w:szCs w:val="22"/>
            <w:lang w:val="en-GB"/>
          </w:rPr>
          <w:t>C66</w:t>
        </w:r>
      </w:hyperlink>
      <w:r w:rsidRPr="00380B40">
        <w:rPr>
          <w:lang w:val="en-GB"/>
        </w:rPr>
        <w:t xml:space="preserve"> and </w:t>
      </w:r>
      <w:hyperlink r:id="rId596" w:history="1">
        <w:r w:rsidRPr="00380B40">
          <w:rPr>
            <w:rStyle w:val="Hyperlink"/>
            <w:szCs w:val="22"/>
            <w:lang w:val="en-GB"/>
          </w:rPr>
          <w:t>C70</w:t>
        </w:r>
      </w:hyperlink>
      <w:r w:rsidRPr="00380B40">
        <w:rPr>
          <w:lang w:val="en-GB"/>
        </w:rPr>
        <w:t>, and documents for the agenda items 10, …, 26 were not available during the course of the meeting, they were deferred to the next plenary session.</w:t>
      </w:r>
    </w:p>
    <w:p w14:paraId="6613FA1A" w14:textId="77777777" w:rsidR="009033A7" w:rsidRPr="00380B40" w:rsidRDefault="009033A7" w:rsidP="002F74FB">
      <w:pPr>
        <w:pStyle w:val="Heading1"/>
        <w:rPr>
          <w:b w:val="0"/>
          <w:bCs/>
          <w:szCs w:val="24"/>
          <w:lang w:val="en-GB"/>
        </w:rPr>
      </w:pPr>
      <w:bookmarkStart w:id="2498" w:name="_Toc111637221"/>
      <w:r w:rsidRPr="00380B40">
        <w:rPr>
          <w:bCs/>
          <w:szCs w:val="24"/>
          <w:lang w:val="en-GB"/>
        </w:rPr>
        <w:t>3</w:t>
      </w:r>
      <w:r w:rsidRPr="00380B40">
        <w:rPr>
          <w:bCs/>
          <w:szCs w:val="24"/>
          <w:lang w:val="en-GB"/>
        </w:rPr>
        <w:tab/>
        <w:t xml:space="preserve">Progress </w:t>
      </w:r>
      <w:r w:rsidRPr="00380B40">
        <w:rPr>
          <w:lang w:val="en-GB"/>
        </w:rPr>
        <w:t>reports</w:t>
      </w:r>
      <w:r w:rsidRPr="00380B40">
        <w:rPr>
          <w:bCs/>
          <w:szCs w:val="24"/>
          <w:lang w:val="en-GB"/>
        </w:rPr>
        <w:t xml:space="preserve"> by Committee Chairmen</w:t>
      </w:r>
      <w:bookmarkEnd w:id="2498"/>
    </w:p>
    <w:p w14:paraId="276E97BB" w14:textId="77777777" w:rsidR="009033A7" w:rsidRPr="00380B40" w:rsidRDefault="009033A7" w:rsidP="002F74FB">
      <w:pPr>
        <w:rPr>
          <w:lang w:val="en-GB"/>
        </w:rPr>
      </w:pPr>
      <w:r w:rsidRPr="00380B40">
        <w:rPr>
          <w:lang w:val="en-GB"/>
        </w:rPr>
        <w:t>3.1</w:t>
      </w:r>
      <w:r w:rsidRPr="00380B40">
        <w:rPr>
          <w:lang w:val="en-GB"/>
        </w:rPr>
        <w:tab/>
        <w:t>The Chairman indicated the possibility of an additional COM1 session to be scheduled on Tuesday, if so necessary, and pending outcome of the heads-of-delegation meeting.</w:t>
      </w:r>
    </w:p>
    <w:p w14:paraId="58BFA411" w14:textId="77777777" w:rsidR="009033A7" w:rsidRPr="00380B40" w:rsidRDefault="009033A7" w:rsidP="002F74FB">
      <w:pPr>
        <w:rPr>
          <w:lang w:val="en-GB"/>
        </w:rPr>
      </w:pPr>
      <w:r w:rsidRPr="00380B40">
        <w:rPr>
          <w:lang w:val="en-GB"/>
        </w:rPr>
        <w:t>3.2</w:t>
      </w:r>
      <w:r w:rsidRPr="00380B40">
        <w:rPr>
          <w:lang w:val="en-GB"/>
        </w:rPr>
        <w:tab/>
        <w:t xml:space="preserve">The Vice Chairman of Committee 2, </w:t>
      </w:r>
      <w:r w:rsidR="00F82355" w:rsidRPr="00380B40">
        <w:rPr>
          <w:lang w:val="en-GB"/>
        </w:rPr>
        <w:t>"</w:t>
      </w:r>
      <w:r w:rsidRPr="00380B40">
        <w:rPr>
          <w:lang w:val="en-GB"/>
        </w:rPr>
        <w:t>Budget control</w:t>
      </w:r>
      <w:r w:rsidR="00F82355" w:rsidRPr="00380B40">
        <w:rPr>
          <w:lang w:val="en-GB"/>
        </w:rPr>
        <w:t>"</w:t>
      </w:r>
      <w:r w:rsidRPr="00380B40">
        <w:rPr>
          <w:lang w:val="en-GB"/>
        </w:rPr>
        <w:t>, Mr Santiago Reyes-Borda, gave a status report of Committee 2.</w:t>
      </w:r>
    </w:p>
    <w:p w14:paraId="4B0616C9" w14:textId="77777777" w:rsidR="009033A7" w:rsidRPr="00380B40" w:rsidRDefault="009033A7" w:rsidP="002F74FB">
      <w:pPr>
        <w:rPr>
          <w:bCs/>
          <w:lang w:val="en-GB"/>
        </w:rPr>
      </w:pPr>
      <w:r w:rsidRPr="00380B40">
        <w:rPr>
          <w:bCs/>
          <w:lang w:val="en-GB"/>
        </w:rPr>
        <w:t>3.3</w:t>
      </w:r>
      <w:r w:rsidRPr="00380B40">
        <w:rPr>
          <w:bCs/>
          <w:lang w:val="en-GB"/>
        </w:rPr>
        <w:tab/>
      </w:r>
      <w:r w:rsidRPr="00380B40">
        <w:rPr>
          <w:lang w:val="en-GB"/>
        </w:rPr>
        <w:t xml:space="preserve">The Chairman of Committee 3, </w:t>
      </w:r>
      <w:r w:rsidR="00F82355" w:rsidRPr="00380B40">
        <w:rPr>
          <w:lang w:val="en-GB"/>
        </w:rPr>
        <w:t>"</w:t>
      </w:r>
      <w:r w:rsidRPr="00380B40">
        <w:rPr>
          <w:lang w:val="en-GB"/>
        </w:rPr>
        <w:t>Working Methods of ITU-T</w:t>
      </w:r>
      <w:r w:rsidR="00F82355" w:rsidRPr="00380B40">
        <w:rPr>
          <w:lang w:val="en-GB"/>
        </w:rPr>
        <w:t>"</w:t>
      </w:r>
      <w:r w:rsidRPr="00380B40">
        <w:rPr>
          <w:lang w:val="en-GB"/>
        </w:rPr>
        <w:t xml:space="preserve">, Mr Steve Trowbridge, </w:t>
      </w:r>
      <w:r w:rsidRPr="00380B40">
        <w:rPr>
          <w:bCs/>
          <w:lang w:val="en-GB"/>
        </w:rPr>
        <w:t>gave a status report of Committee 3.</w:t>
      </w:r>
    </w:p>
    <w:p w14:paraId="43A50B77" w14:textId="77777777" w:rsidR="009033A7" w:rsidRPr="00380B40" w:rsidRDefault="009033A7" w:rsidP="002F74FB">
      <w:pPr>
        <w:rPr>
          <w:bCs/>
          <w:lang w:val="en-GB"/>
        </w:rPr>
      </w:pPr>
      <w:r w:rsidRPr="00380B40">
        <w:rPr>
          <w:bCs/>
          <w:lang w:val="en-GB"/>
        </w:rPr>
        <w:t>3.4</w:t>
      </w:r>
      <w:r w:rsidRPr="00380B40">
        <w:rPr>
          <w:bCs/>
          <w:lang w:val="en-GB"/>
        </w:rPr>
        <w:tab/>
      </w:r>
      <w:r w:rsidRPr="00380B40">
        <w:rPr>
          <w:lang w:val="en-GB"/>
        </w:rPr>
        <w:t xml:space="preserve">The Chairman of Committee 4, </w:t>
      </w:r>
      <w:r w:rsidR="00F82355" w:rsidRPr="00380B40">
        <w:rPr>
          <w:lang w:val="en-GB"/>
        </w:rPr>
        <w:t>"</w:t>
      </w:r>
      <w:r w:rsidRPr="00380B40">
        <w:rPr>
          <w:lang w:val="en-GB"/>
        </w:rPr>
        <w:t>ITU-T work programme and organization</w:t>
      </w:r>
      <w:r w:rsidR="00F82355" w:rsidRPr="00380B40">
        <w:rPr>
          <w:lang w:val="en-GB"/>
        </w:rPr>
        <w:t>"</w:t>
      </w:r>
      <w:r w:rsidRPr="00380B40">
        <w:rPr>
          <w:lang w:val="en-GB"/>
        </w:rPr>
        <w:t xml:space="preserve">, Mr Philip Rushton, </w:t>
      </w:r>
      <w:r w:rsidRPr="00380B40">
        <w:rPr>
          <w:bCs/>
          <w:lang w:val="en-GB"/>
        </w:rPr>
        <w:t>gave a status report of Committee 4.</w:t>
      </w:r>
    </w:p>
    <w:p w14:paraId="2DB5A408" w14:textId="77777777" w:rsidR="009033A7" w:rsidRPr="00380B40" w:rsidRDefault="009033A7" w:rsidP="002F74FB">
      <w:pPr>
        <w:rPr>
          <w:lang w:val="en-GB"/>
        </w:rPr>
      </w:pPr>
      <w:r w:rsidRPr="00380B40">
        <w:rPr>
          <w:lang w:val="en-GB"/>
        </w:rPr>
        <w:t xml:space="preserve">Regarding [RCC/40A18/1], </w:t>
      </w:r>
      <w:r w:rsidRPr="00380B40">
        <w:rPr>
          <w:i/>
          <w:iCs/>
          <w:lang w:val="en-GB"/>
        </w:rPr>
        <w:t>New draft Resolution on hexadecimal numbering for MSISDN and IMSI</w:t>
      </w:r>
      <w:r w:rsidRPr="00380B40">
        <w:rPr>
          <w:lang w:val="en-GB"/>
        </w:rPr>
        <w:t xml:space="preserve">, WTSA-20 requested </w:t>
      </w:r>
      <w:r w:rsidR="007D14D7" w:rsidRPr="00380B40">
        <w:rPr>
          <w:lang w:val="en-GB"/>
        </w:rPr>
        <w:t xml:space="preserve">ITU-T </w:t>
      </w:r>
      <w:r w:rsidRPr="00380B40">
        <w:rPr>
          <w:lang w:val="en-GB"/>
        </w:rPr>
        <w:t>SG2 to conduct further research on this topic.</w:t>
      </w:r>
    </w:p>
    <w:p w14:paraId="2C628B8B" w14:textId="77777777" w:rsidR="009033A7" w:rsidRPr="00380B40" w:rsidRDefault="009033A7" w:rsidP="002F74FB">
      <w:pPr>
        <w:rPr>
          <w:lang w:val="en-GB"/>
        </w:rPr>
      </w:pPr>
      <w:r w:rsidRPr="00380B40">
        <w:rPr>
          <w:lang w:val="en-GB"/>
        </w:rPr>
        <w:t>The Chairman provided guidance to the Assembly that due to shortness of available time it is not intended to turn the plenary meeting into a drafting group to deliberate on square brackets or to resolve other contentious issues. Rather, it is preferred for the interested parties to continue trying to reach consensus, including scheduling additional ad-hoc groups, if feasible and if so possible. However, if consensus could not be reached and square brackets remain, then the default approach by the plenary would be to revert to no change.</w:t>
      </w:r>
    </w:p>
    <w:p w14:paraId="5B9015A8" w14:textId="77777777" w:rsidR="00C85DAE" w:rsidRPr="00380B40" w:rsidRDefault="00C85DAE" w:rsidP="002F74FB">
      <w:pPr>
        <w:rPr>
          <w:bCs/>
          <w:lang w:val="en-GB"/>
        </w:rPr>
      </w:pPr>
      <w:r w:rsidRPr="00380B40">
        <w:rPr>
          <w:bCs/>
          <w:lang w:val="en-GB"/>
        </w:rPr>
        <w:br w:type="page"/>
      </w:r>
    </w:p>
    <w:p w14:paraId="419BB6C8" w14:textId="77777777" w:rsidR="009033A7" w:rsidRPr="00380B40" w:rsidRDefault="009033A7" w:rsidP="002F74FB">
      <w:pPr>
        <w:rPr>
          <w:lang w:val="en-GB"/>
        </w:rPr>
      </w:pPr>
      <w:r w:rsidRPr="00380B40">
        <w:rPr>
          <w:bCs/>
          <w:lang w:val="en-GB"/>
        </w:rPr>
        <w:t>3.5</w:t>
      </w:r>
      <w:r w:rsidRPr="00380B40">
        <w:rPr>
          <w:bCs/>
          <w:lang w:val="en-GB"/>
        </w:rPr>
        <w:tab/>
      </w:r>
      <w:r w:rsidRPr="00380B40">
        <w:rPr>
          <w:lang w:val="en-GB"/>
        </w:rPr>
        <w:t xml:space="preserve">The Chairman of Committee 5, </w:t>
      </w:r>
      <w:r w:rsidR="00F82355" w:rsidRPr="00380B40">
        <w:rPr>
          <w:lang w:val="en-GB"/>
        </w:rPr>
        <w:t>"</w:t>
      </w:r>
      <w:r w:rsidRPr="00380B40">
        <w:rPr>
          <w:lang w:val="en-GB"/>
        </w:rPr>
        <w:t>Editorial Committee</w:t>
      </w:r>
      <w:r w:rsidR="00F82355" w:rsidRPr="00380B40">
        <w:rPr>
          <w:lang w:val="en-GB"/>
        </w:rPr>
        <w:t>"</w:t>
      </w:r>
      <w:r w:rsidRPr="00380B40">
        <w:rPr>
          <w:lang w:val="en-GB"/>
        </w:rPr>
        <w:t xml:space="preserve">, Ms Rim Belhaj, </w:t>
      </w:r>
      <w:r w:rsidRPr="00380B40">
        <w:rPr>
          <w:bCs/>
          <w:lang w:val="en-GB"/>
        </w:rPr>
        <w:t>gave a status report of Committee</w:t>
      </w:r>
      <w:r w:rsidR="00F43626" w:rsidRPr="00380B40">
        <w:rPr>
          <w:bCs/>
          <w:lang w:val="en-GB"/>
        </w:rPr>
        <w:t> </w:t>
      </w:r>
      <w:r w:rsidRPr="00380B40">
        <w:rPr>
          <w:bCs/>
          <w:lang w:val="en-GB"/>
        </w:rPr>
        <w:t>5.</w:t>
      </w:r>
    </w:p>
    <w:p w14:paraId="0DBFEDF3" w14:textId="77777777" w:rsidR="009033A7" w:rsidRPr="00380B40" w:rsidRDefault="009033A7" w:rsidP="002F74FB">
      <w:pPr>
        <w:rPr>
          <w:lang w:val="en-GB"/>
        </w:rPr>
      </w:pPr>
      <w:r w:rsidRPr="00380B40">
        <w:rPr>
          <w:lang w:val="en-GB"/>
        </w:rPr>
        <w:t>3.6</w:t>
      </w:r>
      <w:r w:rsidRPr="00380B40">
        <w:rPr>
          <w:lang w:val="en-GB"/>
        </w:rPr>
        <w:tab/>
        <w:t>The Plenary took note of the reports.</w:t>
      </w:r>
    </w:p>
    <w:p w14:paraId="17184E35" w14:textId="77777777" w:rsidR="009033A7" w:rsidRPr="00380B40" w:rsidRDefault="009033A7" w:rsidP="002F74FB">
      <w:pPr>
        <w:rPr>
          <w:bCs/>
          <w:szCs w:val="22"/>
          <w:lang w:val="en-GB"/>
        </w:rPr>
      </w:pPr>
      <w:r w:rsidRPr="00380B40">
        <w:rPr>
          <w:bCs/>
          <w:szCs w:val="22"/>
          <w:lang w:val="en-GB"/>
        </w:rPr>
        <w:t>3.7</w:t>
      </w:r>
      <w:r w:rsidRPr="00380B40">
        <w:rPr>
          <w:bCs/>
          <w:szCs w:val="22"/>
          <w:lang w:val="en-GB"/>
        </w:rPr>
        <w:tab/>
        <w:t xml:space="preserve">The Plenary approved the reports of the first, second and third COM3 meetings (Documents </w:t>
      </w:r>
      <w:hyperlink r:id="rId597" w:history="1">
        <w:r w:rsidRPr="00380B40">
          <w:rPr>
            <w:rStyle w:val="Hyperlink"/>
            <w:szCs w:val="22"/>
            <w:lang w:val="en-GB"/>
          </w:rPr>
          <w:t>C62</w:t>
        </w:r>
      </w:hyperlink>
      <w:r w:rsidRPr="00380B40">
        <w:rPr>
          <w:szCs w:val="22"/>
          <w:lang w:val="en-GB"/>
        </w:rPr>
        <w:t xml:space="preserve">, </w:t>
      </w:r>
      <w:hyperlink r:id="rId598" w:history="1">
        <w:r w:rsidRPr="00380B40">
          <w:rPr>
            <w:rStyle w:val="Hyperlink"/>
            <w:szCs w:val="22"/>
            <w:lang w:val="en-GB"/>
          </w:rPr>
          <w:t>C63</w:t>
        </w:r>
      </w:hyperlink>
      <w:r w:rsidRPr="00380B40">
        <w:rPr>
          <w:szCs w:val="22"/>
          <w:lang w:val="en-GB"/>
        </w:rPr>
        <w:t xml:space="preserve"> and </w:t>
      </w:r>
      <w:hyperlink r:id="rId599" w:history="1">
        <w:r w:rsidRPr="00380B40">
          <w:rPr>
            <w:rStyle w:val="Hyperlink"/>
            <w:szCs w:val="22"/>
            <w:lang w:val="en-GB"/>
          </w:rPr>
          <w:t>C64</w:t>
        </w:r>
      </w:hyperlink>
      <w:r w:rsidRPr="00380B40">
        <w:rPr>
          <w:szCs w:val="22"/>
          <w:lang w:val="en-GB"/>
        </w:rPr>
        <w:t>).</w:t>
      </w:r>
    </w:p>
    <w:p w14:paraId="1A7D134F" w14:textId="77777777" w:rsidR="009033A7" w:rsidRPr="00380B40" w:rsidRDefault="009033A7" w:rsidP="002F74FB">
      <w:pPr>
        <w:pStyle w:val="Heading1"/>
        <w:rPr>
          <w:b w:val="0"/>
          <w:bCs/>
          <w:szCs w:val="24"/>
          <w:lang w:val="en-GB"/>
        </w:rPr>
      </w:pPr>
      <w:bookmarkStart w:id="2499" w:name="_Toc111637222"/>
      <w:r w:rsidRPr="00380B40">
        <w:rPr>
          <w:bCs/>
          <w:szCs w:val="24"/>
          <w:lang w:val="en-GB"/>
        </w:rPr>
        <w:t>4</w:t>
      </w:r>
      <w:r w:rsidRPr="00380B40">
        <w:rPr>
          <w:bCs/>
          <w:szCs w:val="24"/>
          <w:lang w:val="en-GB"/>
        </w:rPr>
        <w:tab/>
        <w:t xml:space="preserve">First </w:t>
      </w:r>
      <w:r w:rsidRPr="00380B40">
        <w:rPr>
          <w:lang w:val="en-GB"/>
        </w:rPr>
        <w:t>series</w:t>
      </w:r>
      <w:r w:rsidRPr="00380B40">
        <w:rPr>
          <w:bCs/>
          <w:szCs w:val="24"/>
          <w:lang w:val="en-GB"/>
        </w:rPr>
        <w:t xml:space="preserve"> of texts submitted by Editorial Committee to the Plenary Meeting (Res.34, Res.98) (Document </w:t>
      </w:r>
      <w:hyperlink r:id="rId600" w:history="1">
        <w:r w:rsidRPr="00380B40">
          <w:rPr>
            <w:bCs/>
            <w:color w:val="3333FF"/>
            <w:u w:val="single"/>
            <w:lang w:val="en-GB"/>
          </w:rPr>
          <w:t>C56</w:t>
        </w:r>
      </w:hyperlink>
      <w:r w:rsidRPr="00380B40">
        <w:rPr>
          <w:bCs/>
          <w:szCs w:val="24"/>
          <w:lang w:val="en-GB"/>
        </w:rPr>
        <w:t>)</w:t>
      </w:r>
      <w:bookmarkEnd w:id="2499"/>
    </w:p>
    <w:p w14:paraId="4B5A7F30" w14:textId="77777777" w:rsidR="009033A7" w:rsidRPr="00380B40" w:rsidRDefault="009033A7" w:rsidP="002F74FB">
      <w:pPr>
        <w:rPr>
          <w:lang w:val="en-GB"/>
        </w:rPr>
      </w:pPr>
      <w:r w:rsidRPr="00380B40">
        <w:rPr>
          <w:lang w:val="en-GB"/>
        </w:rPr>
        <w:t>The Plenary approved:</w:t>
      </w:r>
    </w:p>
    <w:p w14:paraId="69CE24D5" w14:textId="77777777" w:rsidR="009033A7" w:rsidRPr="00380B40" w:rsidRDefault="009033A7" w:rsidP="002F74FB">
      <w:pPr>
        <w:pStyle w:val="enumlev1"/>
        <w:rPr>
          <w:lang w:val="en-GB"/>
        </w:rPr>
      </w:pPr>
      <w:r w:rsidRPr="00380B40">
        <w:rPr>
          <w:lang w:val="en-GB"/>
        </w:rPr>
        <w:t>–</w:t>
      </w:r>
      <w:r w:rsidRPr="00380B40">
        <w:rPr>
          <w:lang w:val="en-GB"/>
        </w:rPr>
        <w:tab/>
        <w:t xml:space="preserve">revised Resolution 34 (Rev. Geneva, 2022), </w:t>
      </w:r>
      <w:r w:rsidRPr="00380B40">
        <w:rPr>
          <w:i/>
          <w:iCs/>
          <w:lang w:val="en-GB"/>
        </w:rPr>
        <w:t>Voluntary contributions</w:t>
      </w:r>
      <w:r w:rsidRPr="00380B40">
        <w:rPr>
          <w:lang w:val="en-GB"/>
        </w:rPr>
        <w:t>;</w:t>
      </w:r>
    </w:p>
    <w:p w14:paraId="2467FBC3" w14:textId="77777777" w:rsidR="009033A7" w:rsidRPr="00380B40" w:rsidRDefault="009033A7" w:rsidP="009033A7">
      <w:pPr>
        <w:pStyle w:val="enumlev1"/>
        <w:rPr>
          <w:szCs w:val="22"/>
          <w:lang w:val="en-GB"/>
        </w:rPr>
      </w:pPr>
      <w:r w:rsidRPr="00380B40">
        <w:rPr>
          <w:szCs w:val="22"/>
          <w:lang w:val="en-GB"/>
        </w:rPr>
        <w:t>–</w:t>
      </w:r>
      <w:r w:rsidRPr="00380B40">
        <w:rPr>
          <w:szCs w:val="22"/>
          <w:lang w:val="en-GB"/>
        </w:rPr>
        <w:tab/>
        <w:t xml:space="preserve">revised Resolution 98 (Rev. Geneva, 2022), </w:t>
      </w:r>
      <w:r w:rsidRPr="00380B40">
        <w:rPr>
          <w:i/>
          <w:iCs/>
          <w:szCs w:val="22"/>
          <w:lang w:val="en-GB"/>
        </w:rPr>
        <w:t>Enhancing the standardization of Internet of things and smart cities and communities for global development</w:t>
      </w:r>
      <w:r w:rsidRPr="00380B40">
        <w:rPr>
          <w:szCs w:val="22"/>
          <w:lang w:val="en-GB"/>
        </w:rPr>
        <w:t>.</w:t>
      </w:r>
    </w:p>
    <w:p w14:paraId="44322F65" w14:textId="77777777" w:rsidR="009033A7" w:rsidRPr="00380B40" w:rsidRDefault="009033A7" w:rsidP="002F74FB">
      <w:pPr>
        <w:rPr>
          <w:lang w:val="en-GB"/>
        </w:rPr>
      </w:pPr>
      <w:r w:rsidRPr="00380B40">
        <w:rPr>
          <w:lang w:val="en-GB"/>
        </w:rPr>
        <w:t>The Plenary further approved</w:t>
      </w:r>
    </w:p>
    <w:p w14:paraId="54512170" w14:textId="77777777" w:rsidR="009033A7" w:rsidRPr="00380B40" w:rsidRDefault="009033A7" w:rsidP="002F74FB">
      <w:pPr>
        <w:pStyle w:val="enumlev1"/>
        <w:rPr>
          <w:szCs w:val="22"/>
          <w:lang w:val="en-GB"/>
        </w:rPr>
      </w:pPr>
      <w:r w:rsidRPr="00380B40">
        <w:rPr>
          <w:szCs w:val="22"/>
          <w:lang w:val="en-GB"/>
        </w:rPr>
        <w:t>–</w:t>
      </w:r>
      <w:r w:rsidRPr="00380B40">
        <w:rPr>
          <w:szCs w:val="22"/>
          <w:lang w:val="en-GB"/>
        </w:rPr>
        <w:tab/>
        <w:t xml:space="preserve">no change to Resolution 11 (Rev. Hammamet, 2016), </w:t>
      </w:r>
      <w:r w:rsidRPr="00380B40">
        <w:rPr>
          <w:i/>
          <w:iCs/>
          <w:szCs w:val="22"/>
          <w:lang w:val="en-GB"/>
        </w:rPr>
        <w:t>Collaboration with the Postal Operations Council of the Universal Postal Union in the study of services concerning both the postal and the telecommunication sectors</w:t>
      </w:r>
    </w:p>
    <w:p w14:paraId="477CA72B" w14:textId="77777777" w:rsidR="009033A7" w:rsidRPr="00380B40" w:rsidRDefault="009033A7" w:rsidP="002F74FB">
      <w:pPr>
        <w:pStyle w:val="enumlev1"/>
        <w:rPr>
          <w:i/>
          <w:iCs/>
          <w:szCs w:val="22"/>
          <w:lang w:val="en-GB"/>
        </w:rPr>
      </w:pPr>
      <w:r w:rsidRPr="00380B40">
        <w:rPr>
          <w:szCs w:val="22"/>
          <w:lang w:val="en-GB"/>
        </w:rPr>
        <w:t>–</w:t>
      </w:r>
      <w:r w:rsidRPr="00380B40">
        <w:rPr>
          <w:szCs w:val="22"/>
          <w:lang w:val="en-GB"/>
        </w:rPr>
        <w:tab/>
        <w:t xml:space="preserve">no change to Resolution 93 (Hammamet, 2016), </w:t>
      </w:r>
      <w:r w:rsidRPr="00380B40">
        <w:rPr>
          <w:i/>
          <w:iCs/>
          <w:szCs w:val="22"/>
          <w:lang w:val="en-GB"/>
        </w:rPr>
        <w:t>Interconnection of 4G, IMT-2020 networks and beyond;</w:t>
      </w:r>
    </w:p>
    <w:p w14:paraId="14260287" w14:textId="77777777" w:rsidR="009033A7" w:rsidRPr="00380B40" w:rsidRDefault="009033A7" w:rsidP="002F74FB">
      <w:pPr>
        <w:pStyle w:val="enumlev1"/>
        <w:rPr>
          <w:i/>
          <w:iCs/>
          <w:szCs w:val="22"/>
          <w:lang w:val="en-GB"/>
        </w:rPr>
      </w:pPr>
      <w:r w:rsidRPr="00380B40">
        <w:rPr>
          <w:szCs w:val="22"/>
          <w:lang w:val="en-GB"/>
        </w:rPr>
        <w:t>–</w:t>
      </w:r>
      <w:r w:rsidRPr="00380B40">
        <w:rPr>
          <w:szCs w:val="22"/>
          <w:lang w:val="en-GB"/>
        </w:rPr>
        <w:tab/>
        <w:t xml:space="preserve">no change to Recommendation ITU-T A.7, </w:t>
      </w:r>
      <w:r w:rsidRPr="00380B40">
        <w:rPr>
          <w:i/>
          <w:iCs/>
          <w:szCs w:val="22"/>
          <w:lang w:val="en-GB"/>
        </w:rPr>
        <w:t>Focus groups: Establishment and working procedures</w:t>
      </w:r>
    </w:p>
    <w:p w14:paraId="113BA9B9" w14:textId="77777777" w:rsidR="009033A7" w:rsidRPr="00380B40" w:rsidRDefault="009033A7" w:rsidP="002F74FB">
      <w:pPr>
        <w:rPr>
          <w:lang w:val="en-GB"/>
        </w:rPr>
      </w:pPr>
      <w:r w:rsidRPr="00380B40">
        <w:rPr>
          <w:lang w:val="en-GB"/>
        </w:rPr>
        <w:t>and WTSA-20 invites TSAG to continue studying ITU-T A.7 related issues;</w:t>
      </w:r>
    </w:p>
    <w:p w14:paraId="38EAC5EB" w14:textId="77777777" w:rsidR="009033A7" w:rsidRPr="00380B40" w:rsidRDefault="009033A7" w:rsidP="002F74FB">
      <w:pPr>
        <w:pStyle w:val="enumlev1"/>
        <w:rPr>
          <w:szCs w:val="22"/>
          <w:lang w:val="en-GB"/>
        </w:rPr>
      </w:pPr>
      <w:r w:rsidRPr="00380B40">
        <w:rPr>
          <w:szCs w:val="22"/>
          <w:lang w:val="en-GB"/>
        </w:rPr>
        <w:t>–</w:t>
      </w:r>
      <w:r w:rsidRPr="00380B40">
        <w:rPr>
          <w:szCs w:val="22"/>
          <w:lang w:val="en-GB"/>
        </w:rPr>
        <w:tab/>
        <w:t xml:space="preserve">suppression of Resolution 66 (Rev. Hammamet, 2016), </w:t>
      </w:r>
      <w:r w:rsidRPr="00380B40">
        <w:rPr>
          <w:i/>
          <w:iCs/>
          <w:szCs w:val="22"/>
          <w:lang w:val="en-GB"/>
        </w:rPr>
        <w:t>Technology Watch in the Telecommunication Standardization Bureau.</w:t>
      </w:r>
    </w:p>
    <w:p w14:paraId="21B7AC8D" w14:textId="77777777" w:rsidR="009033A7" w:rsidRPr="00380B40" w:rsidRDefault="009033A7" w:rsidP="002F74FB">
      <w:pPr>
        <w:pStyle w:val="Heading1"/>
        <w:rPr>
          <w:b w:val="0"/>
          <w:bCs/>
          <w:szCs w:val="24"/>
          <w:lang w:val="en-GB"/>
        </w:rPr>
      </w:pPr>
      <w:bookmarkStart w:id="2500" w:name="_Toc111637223"/>
      <w:r w:rsidRPr="00380B40">
        <w:rPr>
          <w:bCs/>
          <w:szCs w:val="24"/>
          <w:lang w:val="en-GB"/>
        </w:rPr>
        <w:t>5</w:t>
      </w:r>
      <w:r w:rsidRPr="00380B40">
        <w:rPr>
          <w:bCs/>
          <w:szCs w:val="24"/>
          <w:lang w:val="en-GB"/>
        </w:rPr>
        <w:tab/>
        <w:t xml:space="preserve">First series of texts submitted by COM4 to the Plenary meeting (Res.40, Res.48, Res.60 and </w:t>
      </w:r>
      <w:r w:rsidRPr="00380B40">
        <w:rPr>
          <w:lang w:val="en-GB"/>
        </w:rPr>
        <w:t>Res</w:t>
      </w:r>
      <w:r w:rsidRPr="00380B40">
        <w:rPr>
          <w:bCs/>
          <w:szCs w:val="24"/>
          <w:lang w:val="en-GB"/>
        </w:rPr>
        <w:t xml:space="preserve">.64) (Document </w:t>
      </w:r>
      <w:hyperlink r:id="rId601" w:history="1">
        <w:r w:rsidRPr="00380B40">
          <w:rPr>
            <w:bCs/>
            <w:color w:val="3333FF"/>
            <w:szCs w:val="24"/>
            <w:u w:val="single"/>
            <w:lang w:val="en-GB"/>
          </w:rPr>
          <w:t>C68</w:t>
        </w:r>
      </w:hyperlink>
      <w:r w:rsidRPr="00380B40">
        <w:rPr>
          <w:bCs/>
          <w:szCs w:val="24"/>
          <w:lang w:val="en-GB"/>
        </w:rPr>
        <w:t>)</w:t>
      </w:r>
      <w:bookmarkEnd w:id="2500"/>
    </w:p>
    <w:p w14:paraId="1E637172" w14:textId="77777777" w:rsidR="009033A7" w:rsidRPr="00380B40" w:rsidRDefault="009033A7" w:rsidP="002B0D37">
      <w:pPr>
        <w:rPr>
          <w:lang w:val="en-GB"/>
        </w:rPr>
      </w:pPr>
      <w:r w:rsidRPr="00380B40">
        <w:rPr>
          <w:lang w:val="en-GB"/>
        </w:rPr>
        <w:t>The Plenary approved:</w:t>
      </w:r>
    </w:p>
    <w:p w14:paraId="6803DC2F" w14:textId="77777777" w:rsidR="009033A7" w:rsidRPr="00380B40" w:rsidRDefault="009033A7" w:rsidP="00156070">
      <w:pPr>
        <w:pStyle w:val="enumlev1"/>
        <w:rPr>
          <w:szCs w:val="22"/>
          <w:lang w:val="en-GB"/>
        </w:rPr>
      </w:pPr>
      <w:r w:rsidRPr="00380B40">
        <w:rPr>
          <w:szCs w:val="22"/>
          <w:lang w:val="en-GB"/>
        </w:rPr>
        <w:t>–</w:t>
      </w:r>
      <w:r w:rsidRPr="00380B40">
        <w:rPr>
          <w:szCs w:val="22"/>
          <w:lang w:val="en-GB"/>
        </w:rPr>
        <w:tab/>
        <w:t xml:space="preserve">revised Resolution 40 (Rev. Geneva, 2022), </w:t>
      </w:r>
      <w:r w:rsidRPr="00380B40">
        <w:rPr>
          <w:i/>
          <w:iCs/>
          <w:szCs w:val="22"/>
          <w:lang w:val="en-GB"/>
        </w:rPr>
        <w:t>Regulatory and policy aspects of the work of the ITU Telecommunication Standardization Sector</w:t>
      </w:r>
      <w:r w:rsidRPr="00380B40">
        <w:rPr>
          <w:szCs w:val="22"/>
          <w:lang w:val="en-GB"/>
        </w:rPr>
        <w:t>;</w:t>
      </w:r>
    </w:p>
    <w:p w14:paraId="7722D2A2" w14:textId="77777777" w:rsidR="009033A7" w:rsidRPr="00380B40" w:rsidRDefault="009033A7" w:rsidP="00156070">
      <w:pPr>
        <w:pStyle w:val="enumlev1"/>
        <w:rPr>
          <w:i/>
          <w:iCs/>
          <w:szCs w:val="22"/>
          <w:lang w:val="en-GB"/>
        </w:rPr>
      </w:pPr>
      <w:r w:rsidRPr="00380B40">
        <w:rPr>
          <w:szCs w:val="22"/>
          <w:lang w:val="en-GB"/>
        </w:rPr>
        <w:t>–</w:t>
      </w:r>
      <w:r w:rsidRPr="00380B40">
        <w:rPr>
          <w:szCs w:val="22"/>
          <w:lang w:val="en-GB"/>
        </w:rPr>
        <w:tab/>
        <w:t xml:space="preserve">revised Resolution 48 (Rev. Geneva, 2022), </w:t>
      </w:r>
      <w:r w:rsidRPr="00380B40">
        <w:rPr>
          <w:i/>
          <w:iCs/>
          <w:szCs w:val="22"/>
          <w:lang w:val="en-GB"/>
        </w:rPr>
        <w:t>Internationalized (multilingual) domain names;</w:t>
      </w:r>
    </w:p>
    <w:p w14:paraId="0DF78FB5" w14:textId="77777777" w:rsidR="00C85DAE" w:rsidRPr="00380B40" w:rsidRDefault="00C85DAE" w:rsidP="00156070">
      <w:pPr>
        <w:pStyle w:val="enumlev1"/>
        <w:rPr>
          <w:szCs w:val="22"/>
          <w:lang w:val="en-GB"/>
        </w:rPr>
      </w:pPr>
      <w:r w:rsidRPr="00380B40">
        <w:rPr>
          <w:szCs w:val="22"/>
          <w:lang w:val="en-GB"/>
        </w:rPr>
        <w:br w:type="page"/>
      </w:r>
    </w:p>
    <w:p w14:paraId="6D50DA28" w14:textId="77777777" w:rsidR="009033A7" w:rsidRPr="00380B40" w:rsidRDefault="009033A7" w:rsidP="00156070">
      <w:pPr>
        <w:pStyle w:val="enumlev1"/>
        <w:rPr>
          <w:i/>
          <w:iCs/>
          <w:szCs w:val="22"/>
          <w:lang w:val="en-GB"/>
        </w:rPr>
      </w:pPr>
      <w:r w:rsidRPr="00380B40">
        <w:rPr>
          <w:szCs w:val="22"/>
          <w:lang w:val="en-GB"/>
        </w:rPr>
        <w:t>–</w:t>
      </w:r>
      <w:r w:rsidRPr="00380B40">
        <w:rPr>
          <w:szCs w:val="22"/>
          <w:lang w:val="en-GB"/>
        </w:rPr>
        <w:tab/>
        <w:t xml:space="preserve">revised Resolution 60 (Rev. Geneva, 2022), </w:t>
      </w:r>
      <w:r w:rsidRPr="00380B40">
        <w:rPr>
          <w:i/>
          <w:iCs/>
          <w:szCs w:val="22"/>
          <w:lang w:val="en-GB"/>
        </w:rPr>
        <w:t>Responding to the challenges of the evolution of the identification/numbering system and its convergence with IP-based systems/networks;</w:t>
      </w:r>
    </w:p>
    <w:p w14:paraId="51CE34B4" w14:textId="77777777" w:rsidR="009033A7" w:rsidRPr="00380B40" w:rsidRDefault="009033A7" w:rsidP="00156070">
      <w:pPr>
        <w:pStyle w:val="enumlev1"/>
        <w:rPr>
          <w:i/>
          <w:iCs/>
          <w:szCs w:val="22"/>
          <w:lang w:val="en-GB"/>
        </w:rPr>
      </w:pPr>
      <w:r w:rsidRPr="00380B40">
        <w:rPr>
          <w:szCs w:val="22"/>
          <w:lang w:val="en-GB"/>
        </w:rPr>
        <w:t>–</w:t>
      </w:r>
      <w:r w:rsidRPr="00380B40">
        <w:rPr>
          <w:szCs w:val="22"/>
          <w:lang w:val="en-GB"/>
        </w:rPr>
        <w:tab/>
        <w:t xml:space="preserve">revised Resolution 64 (Rev. Geneva, 2022), </w:t>
      </w:r>
      <w:r w:rsidRPr="00380B40">
        <w:rPr>
          <w:i/>
          <w:iCs/>
          <w:szCs w:val="22"/>
          <w:lang w:val="en-GB"/>
        </w:rPr>
        <w:t>Internet protocol address allocation and facilitating the transition to and deployment of IPv6.</w:t>
      </w:r>
    </w:p>
    <w:p w14:paraId="6EC8C71D" w14:textId="77777777" w:rsidR="009033A7" w:rsidRPr="00380B40" w:rsidRDefault="009033A7" w:rsidP="002B0D37">
      <w:pPr>
        <w:rPr>
          <w:lang w:val="en-GB"/>
        </w:rPr>
      </w:pPr>
      <w:r w:rsidRPr="00380B40">
        <w:rPr>
          <w:lang w:val="en-GB"/>
        </w:rPr>
        <w:t>The Plenary further approved</w:t>
      </w:r>
    </w:p>
    <w:p w14:paraId="278B88B1" w14:textId="77777777" w:rsidR="009033A7" w:rsidRPr="00380B40" w:rsidRDefault="009033A7" w:rsidP="009033A7">
      <w:pPr>
        <w:pStyle w:val="enumlev1"/>
        <w:rPr>
          <w:szCs w:val="22"/>
          <w:lang w:val="en-GB"/>
        </w:rPr>
      </w:pPr>
      <w:r w:rsidRPr="00380B40">
        <w:rPr>
          <w:szCs w:val="22"/>
          <w:lang w:val="en-GB"/>
        </w:rPr>
        <w:t>–</w:t>
      </w:r>
      <w:r w:rsidRPr="00380B40">
        <w:rPr>
          <w:szCs w:val="22"/>
          <w:lang w:val="en-GB"/>
        </w:rPr>
        <w:tab/>
        <w:t xml:space="preserve">no change to Resolution 88 (Hammamet, 2016), </w:t>
      </w:r>
      <w:r w:rsidRPr="00380B40">
        <w:rPr>
          <w:i/>
          <w:iCs/>
          <w:szCs w:val="22"/>
          <w:lang w:val="en-GB"/>
        </w:rPr>
        <w:t>International mobile roaming</w:t>
      </w:r>
      <w:r w:rsidRPr="00380B40">
        <w:rPr>
          <w:szCs w:val="22"/>
          <w:lang w:val="en-GB"/>
        </w:rPr>
        <w:t>;</w:t>
      </w:r>
    </w:p>
    <w:p w14:paraId="2F07AA2B" w14:textId="77777777" w:rsidR="009033A7" w:rsidRPr="00380B40" w:rsidRDefault="009033A7" w:rsidP="009033A7">
      <w:pPr>
        <w:pStyle w:val="enumlev1"/>
        <w:rPr>
          <w:szCs w:val="22"/>
          <w:lang w:val="en-GB"/>
        </w:rPr>
      </w:pPr>
      <w:r w:rsidRPr="00380B40">
        <w:rPr>
          <w:szCs w:val="22"/>
          <w:lang w:val="en-GB"/>
        </w:rPr>
        <w:t>–</w:t>
      </w:r>
      <w:r w:rsidRPr="00380B40">
        <w:rPr>
          <w:szCs w:val="22"/>
          <w:lang w:val="en-GB"/>
        </w:rPr>
        <w:tab/>
        <w:t>suppression of Resolution 59 (Rev. Dubai, 2012</w:t>
      </w:r>
      <w:r w:rsidRPr="00380B40">
        <w:rPr>
          <w:i/>
          <w:iCs/>
          <w:szCs w:val="22"/>
          <w:lang w:val="en-GB"/>
        </w:rPr>
        <w:t>), Enhancing participation of telecommunication operators from developing countries</w:t>
      </w:r>
      <w:r w:rsidRPr="00380B40">
        <w:rPr>
          <w:szCs w:val="22"/>
          <w:lang w:val="en-GB"/>
        </w:rPr>
        <w:t>.</w:t>
      </w:r>
    </w:p>
    <w:p w14:paraId="5418127B" w14:textId="77777777" w:rsidR="009033A7" w:rsidRPr="00380B40" w:rsidRDefault="009033A7" w:rsidP="002F74FB">
      <w:pPr>
        <w:pStyle w:val="Heading1"/>
        <w:rPr>
          <w:b w:val="0"/>
          <w:bCs/>
          <w:szCs w:val="24"/>
          <w:lang w:val="en-GB"/>
        </w:rPr>
      </w:pPr>
      <w:bookmarkStart w:id="2501" w:name="_Toc111637224"/>
      <w:r w:rsidRPr="00380B40">
        <w:rPr>
          <w:bCs/>
          <w:szCs w:val="24"/>
          <w:lang w:val="en-GB"/>
        </w:rPr>
        <w:t>6</w:t>
      </w:r>
      <w:r w:rsidRPr="00380B40">
        <w:rPr>
          <w:bCs/>
          <w:szCs w:val="24"/>
          <w:lang w:val="en-GB"/>
        </w:rPr>
        <w:tab/>
        <w:t xml:space="preserve">Any </w:t>
      </w:r>
      <w:r w:rsidRPr="00380B40">
        <w:rPr>
          <w:lang w:val="en-GB"/>
        </w:rPr>
        <w:t>other</w:t>
      </w:r>
      <w:r w:rsidRPr="00380B40">
        <w:rPr>
          <w:bCs/>
          <w:szCs w:val="24"/>
          <w:lang w:val="en-GB"/>
        </w:rPr>
        <w:t xml:space="preserve"> business</w:t>
      </w:r>
      <w:bookmarkEnd w:id="2501"/>
    </w:p>
    <w:p w14:paraId="3A89D0E0" w14:textId="77777777" w:rsidR="009033A7" w:rsidRPr="00380B40" w:rsidRDefault="009033A7" w:rsidP="002B0D37">
      <w:pPr>
        <w:rPr>
          <w:lang w:val="en-GB"/>
        </w:rPr>
      </w:pPr>
      <w:r w:rsidRPr="00380B40">
        <w:rPr>
          <w:lang w:val="en-GB"/>
        </w:rPr>
        <w:t>None.</w:t>
      </w:r>
    </w:p>
    <w:p w14:paraId="541EF332" w14:textId="77777777" w:rsidR="009033A7" w:rsidRPr="00380B40" w:rsidRDefault="009033A7" w:rsidP="002F74FB">
      <w:pPr>
        <w:pStyle w:val="Heading1"/>
        <w:rPr>
          <w:b w:val="0"/>
          <w:bCs/>
          <w:szCs w:val="24"/>
          <w:lang w:val="en-GB"/>
        </w:rPr>
      </w:pPr>
      <w:bookmarkStart w:id="2502" w:name="_Toc111637225"/>
      <w:r w:rsidRPr="00380B40">
        <w:rPr>
          <w:bCs/>
          <w:szCs w:val="24"/>
          <w:lang w:val="en-GB"/>
        </w:rPr>
        <w:t>7</w:t>
      </w:r>
      <w:r w:rsidRPr="00380B40">
        <w:rPr>
          <w:bCs/>
          <w:szCs w:val="24"/>
          <w:lang w:val="en-GB"/>
        </w:rPr>
        <w:tab/>
        <w:t>Closing of the third plenary</w:t>
      </w:r>
      <w:bookmarkEnd w:id="2502"/>
    </w:p>
    <w:p w14:paraId="4264AC7E" w14:textId="77777777" w:rsidR="009033A7" w:rsidRPr="00380B40" w:rsidRDefault="009033A7" w:rsidP="002B0D37">
      <w:pPr>
        <w:rPr>
          <w:lang w:val="en-GB"/>
        </w:rPr>
      </w:pPr>
      <w:r w:rsidRPr="00380B40">
        <w:rPr>
          <w:lang w:val="en-GB"/>
        </w:rPr>
        <w:t>The Chairman adjourned the meeting at around 1700 hours.</w:t>
      </w:r>
    </w:p>
    <w:p w14:paraId="2B3A23C2" w14:textId="77777777" w:rsidR="002B0D37" w:rsidRPr="00380B40" w:rsidRDefault="002B0D37" w:rsidP="002B0D37">
      <w:pPr>
        <w:rPr>
          <w:lang w:val="en-GB"/>
        </w:rPr>
      </w:pPr>
    </w:p>
    <w:p w14:paraId="707A95FA" w14:textId="77777777" w:rsidR="00C85DAE" w:rsidRPr="00380B40" w:rsidRDefault="00C85DAE" w:rsidP="002B0D37">
      <w:pPr>
        <w:rPr>
          <w:lang w:val="en-GB"/>
        </w:rPr>
      </w:pPr>
    </w:p>
    <w:p w14:paraId="29D8831F" w14:textId="77777777" w:rsidR="00C85DAE" w:rsidRPr="00380B40" w:rsidRDefault="00C85DAE" w:rsidP="002B0D37">
      <w:pPr>
        <w:rPr>
          <w:lang w:val="en-GB"/>
        </w:rPr>
      </w:pPr>
    </w:p>
    <w:p w14:paraId="722AF3EE" w14:textId="77777777" w:rsidR="00C85DAE" w:rsidRPr="00380B40" w:rsidRDefault="00C85DAE" w:rsidP="002B0D37">
      <w:pPr>
        <w:rPr>
          <w:lang w:val="en-GB"/>
        </w:rPr>
      </w:pPr>
    </w:p>
    <w:p w14:paraId="74DCF016" w14:textId="77777777" w:rsidR="00C85DAE" w:rsidRPr="00380B40" w:rsidRDefault="00C85DAE" w:rsidP="002B0D37">
      <w:pPr>
        <w:rPr>
          <w:lang w:val="en-GB"/>
        </w:rPr>
      </w:pPr>
    </w:p>
    <w:p w14:paraId="5AF37B4B" w14:textId="77777777" w:rsidR="00C85DAE" w:rsidRPr="00380B40" w:rsidRDefault="00C85DAE" w:rsidP="002B0D37">
      <w:pPr>
        <w:rPr>
          <w:lang w:val="en-GB"/>
        </w:rPr>
      </w:pPr>
    </w:p>
    <w:p w14:paraId="49CDDD76" w14:textId="77777777" w:rsidR="00C85DAE" w:rsidRPr="00380B40" w:rsidRDefault="00C85DAE" w:rsidP="002B0D37">
      <w:pPr>
        <w:rPr>
          <w:lang w:val="en-GB"/>
        </w:rPr>
      </w:pPr>
    </w:p>
    <w:p w14:paraId="79B5E350" w14:textId="77777777" w:rsidR="00C85DAE" w:rsidRPr="00380B40" w:rsidRDefault="00C85DAE" w:rsidP="002B0D37">
      <w:pPr>
        <w:rPr>
          <w:lang w:val="en-GB"/>
        </w:rPr>
      </w:pPr>
    </w:p>
    <w:p w14:paraId="51DE6009" w14:textId="77777777" w:rsidR="00C85DAE" w:rsidRPr="00380B40" w:rsidRDefault="00C85DAE" w:rsidP="002B0D37">
      <w:pPr>
        <w:rPr>
          <w:lang w:val="en-GB"/>
        </w:rPr>
      </w:pPr>
    </w:p>
    <w:p w14:paraId="5B17095E" w14:textId="77777777" w:rsidR="00C85DAE" w:rsidRPr="00380B40" w:rsidRDefault="00C85DAE" w:rsidP="002B0D37">
      <w:pPr>
        <w:rPr>
          <w:lang w:val="en-GB"/>
        </w:rPr>
      </w:pPr>
    </w:p>
    <w:p w14:paraId="1DCF3BA9" w14:textId="77777777" w:rsidR="00C85DAE" w:rsidRPr="00380B40" w:rsidRDefault="00C85DAE" w:rsidP="002B0D37">
      <w:pPr>
        <w:rPr>
          <w:lang w:val="en-GB"/>
        </w:rPr>
      </w:pPr>
    </w:p>
    <w:p w14:paraId="32307413" w14:textId="77777777" w:rsidR="00C85DAE" w:rsidRPr="00380B40" w:rsidRDefault="00C85DAE" w:rsidP="002B0D37">
      <w:pPr>
        <w:rPr>
          <w:lang w:val="en-GB"/>
        </w:rPr>
      </w:pPr>
    </w:p>
    <w:p w14:paraId="07E1C0CB" w14:textId="77777777" w:rsidR="002B0D37" w:rsidRPr="00380B40" w:rsidRDefault="002B0D37" w:rsidP="002B0D37">
      <w:pPr>
        <w:rPr>
          <w:lang w:val="en-GB"/>
        </w:rPr>
      </w:pPr>
      <w:bookmarkStart w:id="2503" w:name="_Hlk104191371"/>
      <w:r w:rsidRPr="00380B40">
        <w:rPr>
          <w:lang w:val="en-GB"/>
        </w:rPr>
        <w:br w:type="page"/>
      </w:r>
    </w:p>
    <w:p w14:paraId="7AADCE96" w14:textId="77777777" w:rsidR="009033A7" w:rsidRPr="00380B40" w:rsidRDefault="009033A7" w:rsidP="00202A50">
      <w:pPr>
        <w:pStyle w:val="Sectiontitle"/>
      </w:pPr>
      <w:bookmarkStart w:id="2504" w:name="_Toc104472193"/>
      <w:bookmarkStart w:id="2505" w:name="_Toc111637226"/>
      <w:r w:rsidRPr="00380B40">
        <w:t>V-1.4 – FOURTH PLENARY MEETING</w:t>
      </w:r>
      <w:bookmarkEnd w:id="2503"/>
      <w:bookmarkEnd w:id="2504"/>
      <w:bookmarkEnd w:id="2505"/>
    </w:p>
    <w:p w14:paraId="78DB3C16" w14:textId="77777777" w:rsidR="009033A7" w:rsidRPr="00380B40" w:rsidRDefault="009033A7" w:rsidP="00C85DAE">
      <w:pPr>
        <w:pStyle w:val="Normalcenteraligned"/>
      </w:pPr>
      <w:r w:rsidRPr="00380B40">
        <w:t>(Tuesday, 8 March 2022, 1430-1515 hours)</w:t>
      </w:r>
    </w:p>
    <w:p w14:paraId="0D9D11E7" w14:textId="77777777" w:rsidR="009033A7" w:rsidRPr="00380B40" w:rsidRDefault="009033A7" w:rsidP="002F74FB">
      <w:pPr>
        <w:pStyle w:val="Heading1"/>
        <w:rPr>
          <w:b w:val="0"/>
          <w:bCs/>
          <w:szCs w:val="24"/>
          <w:lang w:val="en-GB"/>
        </w:rPr>
      </w:pPr>
      <w:bookmarkStart w:id="2506" w:name="_Toc111637227"/>
      <w:r w:rsidRPr="00380B40">
        <w:rPr>
          <w:bCs/>
          <w:szCs w:val="24"/>
          <w:lang w:val="en-GB"/>
        </w:rPr>
        <w:t>1</w:t>
      </w:r>
      <w:r w:rsidRPr="00380B40">
        <w:rPr>
          <w:bCs/>
          <w:szCs w:val="24"/>
          <w:lang w:val="en-GB"/>
        </w:rPr>
        <w:tab/>
      </w:r>
      <w:r w:rsidRPr="00380B40">
        <w:rPr>
          <w:lang w:val="en-GB"/>
        </w:rPr>
        <w:t>Opening</w:t>
      </w:r>
      <w:bookmarkEnd w:id="2506"/>
    </w:p>
    <w:p w14:paraId="5DC492C6" w14:textId="77777777" w:rsidR="009033A7" w:rsidRPr="00380B40" w:rsidRDefault="009033A7" w:rsidP="002B0D37">
      <w:pPr>
        <w:rPr>
          <w:lang w:val="en-GB"/>
        </w:rPr>
      </w:pPr>
      <w:r w:rsidRPr="00380B40">
        <w:rPr>
          <w:lang w:val="en-GB"/>
        </w:rPr>
        <w:t>The Chairman opened the fourth plenary meeting.</w:t>
      </w:r>
    </w:p>
    <w:p w14:paraId="593F972F" w14:textId="77777777" w:rsidR="009033A7" w:rsidRPr="00380B40" w:rsidRDefault="009033A7" w:rsidP="002F74FB">
      <w:pPr>
        <w:pStyle w:val="Heading1"/>
        <w:rPr>
          <w:b w:val="0"/>
          <w:bCs/>
          <w:szCs w:val="24"/>
          <w:lang w:val="en-GB"/>
        </w:rPr>
      </w:pPr>
      <w:bookmarkStart w:id="2507" w:name="_Toc111637228"/>
      <w:r w:rsidRPr="00380B40">
        <w:rPr>
          <w:bCs/>
          <w:szCs w:val="24"/>
          <w:lang w:val="en-GB"/>
        </w:rPr>
        <w:t>2</w:t>
      </w:r>
      <w:r w:rsidRPr="00380B40">
        <w:rPr>
          <w:bCs/>
          <w:szCs w:val="24"/>
          <w:lang w:val="en-GB"/>
        </w:rPr>
        <w:tab/>
      </w:r>
      <w:r w:rsidRPr="00380B40">
        <w:rPr>
          <w:lang w:val="en-GB"/>
        </w:rPr>
        <w:t>Approval</w:t>
      </w:r>
      <w:r w:rsidRPr="00380B40">
        <w:rPr>
          <w:bCs/>
          <w:szCs w:val="24"/>
          <w:lang w:val="en-GB"/>
        </w:rPr>
        <w:t xml:space="preserve"> of agenda</w:t>
      </w:r>
      <w:bookmarkEnd w:id="2507"/>
    </w:p>
    <w:p w14:paraId="7797DD6F" w14:textId="77777777" w:rsidR="009033A7" w:rsidRPr="00380B40" w:rsidRDefault="009033A7" w:rsidP="002B0D37">
      <w:pPr>
        <w:rPr>
          <w:szCs w:val="22"/>
          <w:lang w:val="en-GB"/>
        </w:rPr>
      </w:pPr>
      <w:r w:rsidRPr="00380B40">
        <w:rPr>
          <w:szCs w:val="22"/>
          <w:lang w:val="en-GB"/>
        </w:rPr>
        <w:t>The agenda (</w:t>
      </w:r>
      <w:r w:rsidRPr="00380B40">
        <w:rPr>
          <w:sz w:val="24"/>
          <w:szCs w:val="24"/>
          <w:lang w:val="en-GB"/>
        </w:rPr>
        <w:t xml:space="preserve">Document </w:t>
      </w:r>
      <w:hyperlink r:id="rId602" w:history="1">
        <w:r w:rsidRPr="00380B40">
          <w:rPr>
            <w:rStyle w:val="Hyperlink"/>
            <w:szCs w:val="22"/>
            <w:lang w:val="en-GB"/>
          </w:rPr>
          <w:t>ADM/31</w:t>
        </w:r>
      </w:hyperlink>
      <w:r w:rsidRPr="00380B40">
        <w:rPr>
          <w:rStyle w:val="Hyperlink"/>
          <w:szCs w:val="22"/>
          <w:lang w:val="en-GB"/>
        </w:rPr>
        <w:t xml:space="preserve"> Rev.1</w:t>
      </w:r>
      <w:r w:rsidRPr="00380B40">
        <w:rPr>
          <w:szCs w:val="22"/>
          <w:lang w:val="en-GB"/>
        </w:rPr>
        <w:t xml:space="preserve">) was adopted, with the addition of </w:t>
      </w:r>
      <w:hyperlink r:id="rId603" w:history="1">
        <w:r w:rsidRPr="00380B40">
          <w:rPr>
            <w:rStyle w:val="Hyperlink"/>
            <w:szCs w:val="22"/>
            <w:lang w:val="en-GB"/>
          </w:rPr>
          <w:t>C73</w:t>
        </w:r>
      </w:hyperlink>
      <w:r w:rsidRPr="00380B40">
        <w:rPr>
          <w:szCs w:val="22"/>
          <w:lang w:val="en-GB"/>
        </w:rPr>
        <w:t xml:space="preserve"> with the note from COM4 to COM2.</w:t>
      </w:r>
    </w:p>
    <w:p w14:paraId="1816D2BA" w14:textId="77777777" w:rsidR="009033A7" w:rsidRPr="00380B40" w:rsidRDefault="009033A7" w:rsidP="002B0D37">
      <w:pPr>
        <w:rPr>
          <w:lang w:val="en-GB"/>
        </w:rPr>
      </w:pPr>
      <w:r w:rsidRPr="00380B40">
        <w:rPr>
          <w:lang w:val="en-GB"/>
        </w:rPr>
        <w:t xml:space="preserve">As document </w:t>
      </w:r>
      <w:hyperlink r:id="rId604" w:history="1">
        <w:r w:rsidRPr="00380B40">
          <w:rPr>
            <w:rStyle w:val="Hyperlink"/>
            <w:szCs w:val="24"/>
            <w:lang w:val="en-GB"/>
          </w:rPr>
          <w:t>C78</w:t>
        </w:r>
      </w:hyperlink>
      <w:r w:rsidRPr="00380B40">
        <w:rPr>
          <w:lang w:val="en-GB"/>
        </w:rPr>
        <w:t xml:space="preserve"> and documents for agenda items 13, …, 32 were not available during the course of the meeting, they were deferred to the next plenary session.</w:t>
      </w:r>
    </w:p>
    <w:p w14:paraId="3E9EF686" w14:textId="77777777" w:rsidR="009033A7" w:rsidRPr="00380B40" w:rsidRDefault="009033A7" w:rsidP="002F74FB">
      <w:pPr>
        <w:pStyle w:val="Heading1"/>
        <w:rPr>
          <w:b w:val="0"/>
          <w:bCs/>
          <w:szCs w:val="24"/>
          <w:lang w:val="en-GB"/>
        </w:rPr>
      </w:pPr>
      <w:bookmarkStart w:id="2508" w:name="_Toc111637229"/>
      <w:r w:rsidRPr="00380B40">
        <w:rPr>
          <w:bCs/>
          <w:szCs w:val="24"/>
          <w:lang w:val="en-GB"/>
        </w:rPr>
        <w:t>3</w:t>
      </w:r>
      <w:r w:rsidRPr="00380B40">
        <w:rPr>
          <w:bCs/>
          <w:szCs w:val="24"/>
          <w:lang w:val="en-GB"/>
        </w:rPr>
        <w:tab/>
        <w:t>Proxy vote</w:t>
      </w:r>
      <w:bookmarkEnd w:id="2508"/>
    </w:p>
    <w:p w14:paraId="73643B0F" w14:textId="77777777" w:rsidR="009033A7" w:rsidRPr="00380B40" w:rsidRDefault="009033A7" w:rsidP="002B0D37">
      <w:pPr>
        <w:rPr>
          <w:lang w:val="en-GB"/>
        </w:rPr>
      </w:pPr>
      <w:r w:rsidRPr="00380B40">
        <w:rPr>
          <w:lang w:val="en-GB"/>
        </w:rPr>
        <w:t xml:space="preserve">The meeting took note of </w:t>
      </w:r>
      <w:r w:rsidRPr="00380B40">
        <w:rPr>
          <w:sz w:val="24"/>
          <w:szCs w:val="24"/>
          <w:lang w:val="en-GB"/>
        </w:rPr>
        <w:t xml:space="preserve">Document </w:t>
      </w:r>
      <w:hyperlink r:id="rId605" w:history="1">
        <w:r w:rsidRPr="00380B40">
          <w:rPr>
            <w:rStyle w:val="Hyperlink"/>
            <w:lang w:val="en-GB"/>
          </w:rPr>
          <w:t>C81</w:t>
        </w:r>
      </w:hyperlink>
      <w:r w:rsidRPr="00380B40">
        <w:rPr>
          <w:lang w:val="en-GB"/>
        </w:rPr>
        <w:t xml:space="preserve"> wherein Cyprus gave proxy vote </w:t>
      </w:r>
      <w:r w:rsidR="0084553A" w:rsidRPr="00380B40">
        <w:rPr>
          <w:lang w:val="en-GB"/>
        </w:rPr>
        <w:t xml:space="preserve">rights </w:t>
      </w:r>
      <w:r w:rsidRPr="00380B40">
        <w:rPr>
          <w:lang w:val="en-GB"/>
        </w:rPr>
        <w:t>to Slovenia.</w:t>
      </w:r>
    </w:p>
    <w:p w14:paraId="673A9A1E" w14:textId="77777777" w:rsidR="009033A7" w:rsidRPr="00380B40" w:rsidRDefault="009033A7" w:rsidP="002F74FB">
      <w:pPr>
        <w:pStyle w:val="Heading1"/>
        <w:rPr>
          <w:b w:val="0"/>
          <w:bCs/>
          <w:szCs w:val="24"/>
          <w:lang w:val="en-GB"/>
        </w:rPr>
      </w:pPr>
      <w:bookmarkStart w:id="2509" w:name="_Toc111637230"/>
      <w:r w:rsidRPr="00380B40">
        <w:rPr>
          <w:bCs/>
          <w:szCs w:val="24"/>
          <w:lang w:val="en-GB"/>
        </w:rPr>
        <w:t>4</w:t>
      </w:r>
      <w:r w:rsidRPr="00380B40">
        <w:rPr>
          <w:bCs/>
          <w:szCs w:val="24"/>
          <w:lang w:val="en-GB"/>
        </w:rPr>
        <w:tab/>
      </w:r>
      <w:r w:rsidRPr="00380B40">
        <w:rPr>
          <w:lang w:val="en-GB"/>
        </w:rPr>
        <w:t>Progress</w:t>
      </w:r>
      <w:r w:rsidRPr="00380B40">
        <w:rPr>
          <w:bCs/>
          <w:szCs w:val="24"/>
          <w:lang w:val="en-GB"/>
        </w:rPr>
        <w:t xml:space="preserve"> reports by Committee Chairmen</w:t>
      </w:r>
      <w:bookmarkEnd w:id="2509"/>
    </w:p>
    <w:p w14:paraId="4E3771D9" w14:textId="77777777" w:rsidR="009033A7" w:rsidRPr="00380B40" w:rsidRDefault="009033A7" w:rsidP="002B0D37">
      <w:pPr>
        <w:rPr>
          <w:lang w:val="en-GB"/>
        </w:rPr>
      </w:pPr>
      <w:r w:rsidRPr="00380B40">
        <w:rPr>
          <w:lang w:val="en-GB"/>
        </w:rPr>
        <w:t>4.1</w:t>
      </w:r>
      <w:r w:rsidRPr="00380B40">
        <w:rPr>
          <w:lang w:val="en-GB"/>
        </w:rPr>
        <w:tab/>
        <w:t>The Chairman informed the meeting about the arrangements made that Committees 3 and 4 could continue after an early adjourn of the plenary.</w:t>
      </w:r>
    </w:p>
    <w:p w14:paraId="401782D3" w14:textId="77777777" w:rsidR="009033A7" w:rsidRPr="00380B40" w:rsidRDefault="009033A7" w:rsidP="002B0D37">
      <w:pPr>
        <w:rPr>
          <w:lang w:val="en-GB"/>
        </w:rPr>
      </w:pPr>
      <w:r w:rsidRPr="00380B40">
        <w:rPr>
          <w:lang w:val="en-GB"/>
        </w:rPr>
        <w:t>4.2</w:t>
      </w:r>
      <w:r w:rsidRPr="00380B40">
        <w:rPr>
          <w:lang w:val="en-GB"/>
        </w:rPr>
        <w:tab/>
        <w:t xml:space="preserve">The Vice Chairman of Committee 2, </w:t>
      </w:r>
      <w:r w:rsidR="00F82355" w:rsidRPr="00380B40">
        <w:rPr>
          <w:lang w:val="en-GB"/>
        </w:rPr>
        <w:t>"</w:t>
      </w:r>
      <w:r w:rsidRPr="00380B40">
        <w:rPr>
          <w:lang w:val="en-GB"/>
        </w:rPr>
        <w:t>Budget control</w:t>
      </w:r>
      <w:r w:rsidR="00F82355" w:rsidRPr="00380B40">
        <w:rPr>
          <w:lang w:val="en-GB"/>
        </w:rPr>
        <w:t>"</w:t>
      </w:r>
      <w:r w:rsidRPr="00380B40">
        <w:rPr>
          <w:lang w:val="en-GB"/>
        </w:rPr>
        <w:t>, Mr Santiago Reyes-Borda, gave a status report of Committee 2.</w:t>
      </w:r>
    </w:p>
    <w:p w14:paraId="6102AF31" w14:textId="77777777" w:rsidR="009033A7" w:rsidRPr="00380B40" w:rsidRDefault="009033A7" w:rsidP="002B0D37">
      <w:pPr>
        <w:rPr>
          <w:lang w:val="en-GB"/>
        </w:rPr>
      </w:pPr>
      <w:r w:rsidRPr="00380B40">
        <w:rPr>
          <w:lang w:val="en-GB"/>
        </w:rPr>
        <w:t>4.3</w:t>
      </w:r>
      <w:r w:rsidRPr="00380B40">
        <w:rPr>
          <w:lang w:val="en-GB"/>
        </w:rPr>
        <w:tab/>
        <w:t xml:space="preserve">The Chairman of Committee 3, </w:t>
      </w:r>
      <w:r w:rsidR="00F82355" w:rsidRPr="00380B40">
        <w:rPr>
          <w:lang w:val="en-GB"/>
        </w:rPr>
        <w:t>"</w:t>
      </w:r>
      <w:r w:rsidRPr="00380B40">
        <w:rPr>
          <w:lang w:val="en-GB"/>
        </w:rPr>
        <w:t>Working Methods of ITU-T</w:t>
      </w:r>
      <w:r w:rsidR="00F82355" w:rsidRPr="00380B40">
        <w:rPr>
          <w:lang w:val="en-GB"/>
        </w:rPr>
        <w:t>"</w:t>
      </w:r>
      <w:r w:rsidRPr="00380B40">
        <w:rPr>
          <w:lang w:val="en-GB"/>
        </w:rPr>
        <w:t>, Mr Steve Trowbridge, gave a status report of Committee 3. The plenary advised COM3 to consider softening the language in the operational elements of the draft new Resolution on industry engagement, so as to be able to reach consensus.</w:t>
      </w:r>
    </w:p>
    <w:p w14:paraId="3F07E323" w14:textId="77777777" w:rsidR="009033A7" w:rsidRPr="00380B40" w:rsidRDefault="009033A7" w:rsidP="002B0D37">
      <w:pPr>
        <w:rPr>
          <w:bCs/>
          <w:lang w:val="en-GB"/>
        </w:rPr>
      </w:pPr>
      <w:r w:rsidRPr="00380B40">
        <w:rPr>
          <w:bCs/>
          <w:lang w:val="en-GB"/>
        </w:rPr>
        <w:t>4.4</w:t>
      </w:r>
      <w:r w:rsidRPr="00380B40">
        <w:rPr>
          <w:bCs/>
          <w:lang w:val="en-GB"/>
        </w:rPr>
        <w:tab/>
      </w:r>
      <w:r w:rsidRPr="00380B40">
        <w:rPr>
          <w:lang w:val="en-GB"/>
        </w:rPr>
        <w:t xml:space="preserve">The Chairman of Committee 4, </w:t>
      </w:r>
      <w:r w:rsidR="00F82355" w:rsidRPr="00380B40">
        <w:rPr>
          <w:lang w:val="en-GB"/>
        </w:rPr>
        <w:t>"</w:t>
      </w:r>
      <w:r w:rsidRPr="00380B40">
        <w:rPr>
          <w:lang w:val="en-GB"/>
        </w:rPr>
        <w:t>ITU-T work programme and organization</w:t>
      </w:r>
      <w:r w:rsidR="00F82355" w:rsidRPr="00380B40">
        <w:rPr>
          <w:lang w:val="en-GB"/>
        </w:rPr>
        <w:t>"</w:t>
      </w:r>
      <w:r w:rsidRPr="00380B40">
        <w:rPr>
          <w:lang w:val="en-GB"/>
        </w:rPr>
        <w:t xml:space="preserve">, Mr Philip Rushton, </w:t>
      </w:r>
      <w:r w:rsidRPr="00380B40">
        <w:rPr>
          <w:bCs/>
          <w:lang w:val="en-GB"/>
        </w:rPr>
        <w:t>gave a status report of Committee 4.</w:t>
      </w:r>
    </w:p>
    <w:p w14:paraId="2CA1849E" w14:textId="77777777" w:rsidR="009033A7" w:rsidRPr="00380B40" w:rsidRDefault="009033A7" w:rsidP="002B0D37">
      <w:pPr>
        <w:rPr>
          <w:lang w:val="en-GB"/>
        </w:rPr>
      </w:pPr>
      <w:r w:rsidRPr="00380B40">
        <w:rPr>
          <w:bCs/>
          <w:lang w:val="en-GB"/>
        </w:rPr>
        <w:t>4.5</w:t>
      </w:r>
      <w:r w:rsidRPr="00380B40">
        <w:rPr>
          <w:bCs/>
          <w:lang w:val="en-GB"/>
        </w:rPr>
        <w:tab/>
      </w:r>
      <w:r w:rsidRPr="00380B40">
        <w:rPr>
          <w:lang w:val="en-GB"/>
        </w:rPr>
        <w:t xml:space="preserve">The Chairman of Committee 5, </w:t>
      </w:r>
      <w:r w:rsidR="00F82355" w:rsidRPr="00380B40">
        <w:rPr>
          <w:lang w:val="en-GB"/>
        </w:rPr>
        <w:t>"</w:t>
      </w:r>
      <w:r w:rsidRPr="00380B40">
        <w:rPr>
          <w:lang w:val="en-GB"/>
        </w:rPr>
        <w:t>Editorial Committee</w:t>
      </w:r>
      <w:r w:rsidR="00F82355" w:rsidRPr="00380B40">
        <w:rPr>
          <w:lang w:val="en-GB"/>
        </w:rPr>
        <w:t>"</w:t>
      </w:r>
      <w:r w:rsidRPr="00380B40">
        <w:rPr>
          <w:lang w:val="en-GB"/>
        </w:rPr>
        <w:t xml:space="preserve">, Ms Rim Belhaj, </w:t>
      </w:r>
      <w:r w:rsidRPr="00380B40">
        <w:rPr>
          <w:bCs/>
          <w:lang w:val="en-GB"/>
        </w:rPr>
        <w:t>gave a status report of Committee 5.</w:t>
      </w:r>
    </w:p>
    <w:p w14:paraId="4B695F24" w14:textId="77777777" w:rsidR="009033A7" w:rsidRPr="00380B40" w:rsidRDefault="009033A7" w:rsidP="002B0D37">
      <w:pPr>
        <w:rPr>
          <w:lang w:val="en-GB"/>
        </w:rPr>
      </w:pPr>
      <w:r w:rsidRPr="00380B40">
        <w:rPr>
          <w:lang w:val="en-GB"/>
        </w:rPr>
        <w:t>4.6</w:t>
      </w:r>
      <w:r w:rsidRPr="00380B40">
        <w:rPr>
          <w:lang w:val="en-GB"/>
        </w:rPr>
        <w:tab/>
        <w:t>The Plenary took note of the reports.</w:t>
      </w:r>
    </w:p>
    <w:p w14:paraId="2473B555" w14:textId="77777777" w:rsidR="00C85DAE" w:rsidRPr="00380B40" w:rsidRDefault="00C85DAE" w:rsidP="002B0D37">
      <w:pPr>
        <w:rPr>
          <w:bCs/>
          <w:szCs w:val="22"/>
          <w:lang w:val="en-GB"/>
        </w:rPr>
      </w:pPr>
      <w:r w:rsidRPr="00380B40">
        <w:rPr>
          <w:bCs/>
          <w:szCs w:val="22"/>
          <w:lang w:val="en-GB"/>
        </w:rPr>
        <w:br w:type="page"/>
      </w:r>
    </w:p>
    <w:p w14:paraId="06003BC6" w14:textId="77777777" w:rsidR="009033A7" w:rsidRPr="00380B40" w:rsidRDefault="009033A7" w:rsidP="002B0D37">
      <w:pPr>
        <w:rPr>
          <w:bCs/>
          <w:szCs w:val="22"/>
          <w:lang w:val="en-GB"/>
        </w:rPr>
      </w:pPr>
      <w:r w:rsidRPr="00380B40">
        <w:rPr>
          <w:bCs/>
          <w:szCs w:val="22"/>
          <w:lang w:val="en-GB"/>
        </w:rPr>
        <w:t>4.7</w:t>
      </w:r>
      <w:r w:rsidRPr="00380B40">
        <w:rPr>
          <w:bCs/>
          <w:szCs w:val="22"/>
          <w:lang w:val="en-GB"/>
        </w:rPr>
        <w:tab/>
        <w:t xml:space="preserve">The Plenary approved the reports of the fourth COM3 meeting in Document </w:t>
      </w:r>
      <w:hyperlink r:id="rId606" w:history="1">
        <w:r w:rsidRPr="00380B40">
          <w:rPr>
            <w:rStyle w:val="Hyperlink"/>
            <w:szCs w:val="24"/>
            <w:lang w:val="en-GB"/>
          </w:rPr>
          <w:t>C66</w:t>
        </w:r>
      </w:hyperlink>
      <w:r w:rsidRPr="00380B40">
        <w:rPr>
          <w:bCs/>
          <w:szCs w:val="22"/>
          <w:lang w:val="en-GB"/>
        </w:rPr>
        <w:t>, the third COM4 meeting in Document</w:t>
      </w:r>
      <w:r w:rsidRPr="00380B40">
        <w:rPr>
          <w:szCs w:val="24"/>
          <w:lang w:val="en-GB"/>
        </w:rPr>
        <w:t xml:space="preserve"> </w:t>
      </w:r>
      <w:hyperlink r:id="rId607" w:history="1">
        <w:r w:rsidRPr="00380B40">
          <w:rPr>
            <w:rStyle w:val="Hyperlink"/>
            <w:szCs w:val="24"/>
            <w:lang w:val="en-GB"/>
          </w:rPr>
          <w:t>C70</w:t>
        </w:r>
      </w:hyperlink>
      <w:r w:rsidRPr="00380B40">
        <w:rPr>
          <w:lang w:val="en-GB"/>
        </w:rPr>
        <w:t xml:space="preserve"> and the forth COM4 meeting in Document </w:t>
      </w:r>
      <w:hyperlink r:id="rId608" w:history="1">
        <w:r w:rsidRPr="00380B40">
          <w:rPr>
            <w:rStyle w:val="Hyperlink"/>
            <w:szCs w:val="24"/>
            <w:lang w:val="en-GB"/>
          </w:rPr>
          <w:t>C82</w:t>
        </w:r>
      </w:hyperlink>
      <w:r w:rsidRPr="00380B40">
        <w:rPr>
          <w:szCs w:val="22"/>
          <w:lang w:val="en-GB"/>
        </w:rPr>
        <w:t>.</w:t>
      </w:r>
    </w:p>
    <w:p w14:paraId="5201CFC1" w14:textId="77777777" w:rsidR="009033A7" w:rsidRPr="00380B40" w:rsidRDefault="009033A7" w:rsidP="002F74FB">
      <w:pPr>
        <w:pStyle w:val="Heading1"/>
        <w:rPr>
          <w:b w:val="0"/>
          <w:bCs/>
          <w:szCs w:val="24"/>
          <w:lang w:val="en-GB"/>
        </w:rPr>
      </w:pPr>
      <w:bookmarkStart w:id="2510" w:name="_Toc111637231"/>
      <w:r w:rsidRPr="00380B40">
        <w:rPr>
          <w:bCs/>
          <w:szCs w:val="24"/>
          <w:lang w:val="en-GB"/>
        </w:rPr>
        <w:t>5</w:t>
      </w:r>
      <w:r w:rsidRPr="00380B40">
        <w:rPr>
          <w:bCs/>
          <w:szCs w:val="24"/>
          <w:lang w:val="en-GB"/>
        </w:rPr>
        <w:tab/>
        <w:t xml:space="preserve">Second series of texts submitted by Editorial Committee to the Plenary Meeting (Res. 2) (Document </w:t>
      </w:r>
      <w:hyperlink r:id="rId609" w:history="1">
        <w:r w:rsidRPr="00380B40">
          <w:rPr>
            <w:rStyle w:val="Hyperlink"/>
            <w:b w:val="0"/>
            <w:bCs/>
            <w:szCs w:val="24"/>
            <w:lang w:val="en-GB"/>
          </w:rPr>
          <w:t>C72</w:t>
        </w:r>
      </w:hyperlink>
      <w:r w:rsidRPr="00380B40">
        <w:rPr>
          <w:bCs/>
          <w:szCs w:val="24"/>
          <w:lang w:val="en-GB"/>
        </w:rPr>
        <w:t>)</w:t>
      </w:r>
      <w:bookmarkEnd w:id="2510"/>
    </w:p>
    <w:p w14:paraId="2A8BFB20" w14:textId="77777777" w:rsidR="009033A7" w:rsidRPr="00380B40" w:rsidRDefault="009033A7" w:rsidP="002B0D37">
      <w:pPr>
        <w:rPr>
          <w:lang w:val="en-GB"/>
        </w:rPr>
      </w:pPr>
      <w:r w:rsidRPr="00380B40">
        <w:rPr>
          <w:lang w:val="en-GB"/>
        </w:rPr>
        <w:t>The Plenary approved:</w:t>
      </w:r>
    </w:p>
    <w:p w14:paraId="572DD690" w14:textId="77777777" w:rsidR="009033A7" w:rsidRPr="00380B40" w:rsidRDefault="009033A7" w:rsidP="009033A7">
      <w:pPr>
        <w:pStyle w:val="enumlev1"/>
        <w:rPr>
          <w:szCs w:val="22"/>
          <w:lang w:val="en-GB"/>
        </w:rPr>
      </w:pPr>
      <w:r w:rsidRPr="00380B40">
        <w:rPr>
          <w:szCs w:val="22"/>
          <w:lang w:val="en-GB"/>
        </w:rPr>
        <w:t>–</w:t>
      </w:r>
      <w:r w:rsidRPr="00380B40">
        <w:rPr>
          <w:szCs w:val="22"/>
          <w:lang w:val="en-GB"/>
        </w:rPr>
        <w:tab/>
        <w:t xml:space="preserve">revised Resolution 2 </w:t>
      </w:r>
      <w:r w:rsidRPr="00380B40">
        <w:rPr>
          <w:szCs w:val="24"/>
          <w:lang w:val="en-GB"/>
        </w:rPr>
        <w:t>(Rev. Geneva, 2022)</w:t>
      </w:r>
      <w:r w:rsidRPr="00380B40">
        <w:rPr>
          <w:szCs w:val="22"/>
          <w:lang w:val="en-GB"/>
        </w:rPr>
        <w:t xml:space="preserve">, </w:t>
      </w:r>
      <w:r w:rsidRPr="00380B40">
        <w:rPr>
          <w:i/>
          <w:iCs/>
          <w:szCs w:val="22"/>
          <w:lang w:val="en-GB"/>
        </w:rPr>
        <w:t>ITU Telecommunication Standardization Sector study group responsibility and mandates</w:t>
      </w:r>
      <w:r w:rsidRPr="00380B40">
        <w:rPr>
          <w:szCs w:val="22"/>
          <w:lang w:val="en-GB"/>
        </w:rPr>
        <w:t>;</w:t>
      </w:r>
    </w:p>
    <w:p w14:paraId="148D2749" w14:textId="77777777" w:rsidR="009033A7" w:rsidRPr="00380B40" w:rsidRDefault="009033A7" w:rsidP="002B0D37">
      <w:pPr>
        <w:rPr>
          <w:lang w:val="en-GB"/>
        </w:rPr>
      </w:pPr>
      <w:r w:rsidRPr="00380B40">
        <w:rPr>
          <w:lang w:val="en-GB"/>
        </w:rPr>
        <w:t>with the modification of the first bullet in the mandate of SG9 to read (see</w:t>
      </w:r>
      <w:r w:rsidR="0025040B" w:rsidRPr="00380B40">
        <w:rPr>
          <w:lang w:val="en-GB"/>
        </w:rPr>
        <w:t xml:space="preserve"> Document</w:t>
      </w:r>
      <w:r w:rsidRPr="00380B40">
        <w:rPr>
          <w:lang w:val="en-GB"/>
        </w:rPr>
        <w:t xml:space="preserve"> C72 Rev.1):</w:t>
      </w:r>
    </w:p>
    <w:p w14:paraId="0628CE40" w14:textId="77777777" w:rsidR="009033A7" w:rsidRPr="00380B40" w:rsidRDefault="009033A7" w:rsidP="009033A7">
      <w:pPr>
        <w:tabs>
          <w:tab w:val="clear" w:pos="794"/>
          <w:tab w:val="clear" w:pos="1191"/>
          <w:tab w:val="clear" w:pos="1588"/>
          <w:tab w:val="clear" w:pos="1985"/>
          <w:tab w:val="left" w:pos="2608"/>
          <w:tab w:val="left" w:pos="3345"/>
        </w:tabs>
        <w:overflowPunct/>
        <w:autoSpaceDE/>
        <w:autoSpaceDN/>
        <w:adjustRightInd/>
        <w:spacing w:before="80"/>
        <w:ind w:left="794" w:hanging="794"/>
        <w:textAlignment w:val="auto"/>
        <w:rPr>
          <w:rFonts w:eastAsia="DengXian"/>
          <w:szCs w:val="24"/>
          <w:lang w:val="en-GB" w:eastAsia="ja-JP"/>
        </w:rPr>
      </w:pPr>
      <w:r w:rsidRPr="00380B40">
        <w:rPr>
          <w:rFonts w:eastAsia="DengXian"/>
          <w:szCs w:val="24"/>
          <w:lang w:val="en-GB" w:eastAsia="ja-JP"/>
        </w:rPr>
        <w:t>•</w:t>
      </w:r>
      <w:r w:rsidRPr="00380B40">
        <w:rPr>
          <w:rFonts w:eastAsia="DengXian"/>
          <w:szCs w:val="24"/>
          <w:lang w:val="en-GB" w:eastAsia="ja-JP"/>
        </w:rPr>
        <w:tab/>
        <w:t>use of telecommunication systems for contribution, primary distribution and secondary distribution of audio-visual content, e.g. television programmes and related data services, including interactive services and applications, providing advanced capabilities, e.g. ultra-high definition</w:t>
      </w:r>
      <w:r w:rsidRPr="00C777D4">
        <w:rPr>
          <w:rStyle w:val="Green"/>
          <w:rFonts w:eastAsia="DengXian"/>
          <w:strike/>
          <w:lang w:val="en-GB"/>
        </w:rPr>
        <w:t>, multiview</w:t>
      </w:r>
      <w:r w:rsidRPr="00380B40">
        <w:rPr>
          <w:rFonts w:eastAsia="DengXian"/>
          <w:strike/>
          <w:szCs w:val="24"/>
          <w:lang w:val="en-GB" w:eastAsia="ja-JP"/>
        </w:rPr>
        <w:t>,</w:t>
      </w:r>
      <w:r w:rsidRPr="00380B40">
        <w:rPr>
          <w:rFonts w:eastAsia="DengXian"/>
          <w:szCs w:val="24"/>
          <w:lang w:val="en-GB" w:eastAsia="ja-JP"/>
        </w:rPr>
        <w:t xml:space="preserve"> </w:t>
      </w:r>
      <w:r w:rsidRPr="00C777D4">
        <w:rPr>
          <w:rStyle w:val="Red"/>
          <w:rFonts w:eastAsia="DengXian"/>
          <w:u w:val="single"/>
          <w:lang w:val="en-GB"/>
        </w:rPr>
        <w:t xml:space="preserve">and </w:t>
      </w:r>
      <w:r w:rsidRPr="00380B40">
        <w:rPr>
          <w:rFonts w:eastAsia="DengXian"/>
          <w:szCs w:val="24"/>
          <w:lang w:val="en-GB" w:eastAsia="ja-JP"/>
        </w:rPr>
        <w:t>high-dynamic range, 3D, virtual reality, augmented reality</w:t>
      </w:r>
      <w:r w:rsidRPr="00C777D4">
        <w:rPr>
          <w:rStyle w:val="Green"/>
          <w:rFonts w:eastAsia="DengXian"/>
          <w:strike/>
          <w:lang w:val="en-GB"/>
        </w:rPr>
        <w:t>,</w:t>
      </w:r>
      <w:r w:rsidRPr="00380B40">
        <w:rPr>
          <w:rFonts w:eastAsia="DengXian"/>
          <w:szCs w:val="24"/>
          <w:lang w:val="en-GB" w:eastAsia="ja-JP"/>
        </w:rPr>
        <w:t xml:space="preserve"> </w:t>
      </w:r>
      <w:r w:rsidRPr="00C777D4">
        <w:rPr>
          <w:rStyle w:val="Red"/>
          <w:rFonts w:eastAsia="DengXian"/>
          <w:u w:val="single"/>
          <w:lang w:val="en-GB"/>
        </w:rPr>
        <w:t>and multiview</w:t>
      </w:r>
      <w:r w:rsidRPr="00C777D4">
        <w:rPr>
          <w:rStyle w:val="Green"/>
          <w:rFonts w:eastAsia="DengXian"/>
          <w:strike/>
          <w:lang w:val="en-GB"/>
        </w:rPr>
        <w:t>etc.</w:t>
      </w:r>
      <w:r w:rsidRPr="00380B40">
        <w:rPr>
          <w:rFonts w:eastAsia="DengXian"/>
          <w:szCs w:val="24"/>
          <w:lang w:val="en-GB" w:eastAsia="ja-JP"/>
        </w:rPr>
        <w:t>;</w:t>
      </w:r>
    </w:p>
    <w:p w14:paraId="667D1F9A" w14:textId="77777777" w:rsidR="009033A7" w:rsidRPr="00380B40" w:rsidRDefault="009033A7" w:rsidP="002F74FB">
      <w:pPr>
        <w:pStyle w:val="Heading1"/>
        <w:rPr>
          <w:b w:val="0"/>
          <w:bCs/>
          <w:szCs w:val="24"/>
          <w:lang w:val="en-GB"/>
        </w:rPr>
      </w:pPr>
      <w:bookmarkStart w:id="2511" w:name="_Toc111637232"/>
      <w:r w:rsidRPr="00380B40">
        <w:rPr>
          <w:bCs/>
          <w:szCs w:val="24"/>
          <w:lang w:val="en-GB"/>
        </w:rPr>
        <w:t>6</w:t>
      </w:r>
      <w:r w:rsidRPr="00380B40">
        <w:rPr>
          <w:bCs/>
          <w:szCs w:val="24"/>
          <w:lang w:val="en-GB"/>
        </w:rPr>
        <w:tab/>
      </w:r>
      <w:r w:rsidRPr="00380B40">
        <w:rPr>
          <w:lang w:val="en-GB"/>
        </w:rPr>
        <w:t>Third</w:t>
      </w:r>
      <w:r w:rsidRPr="00380B40">
        <w:rPr>
          <w:bCs/>
          <w:szCs w:val="24"/>
          <w:lang w:val="en-GB"/>
        </w:rPr>
        <w:t xml:space="preserve"> series of texts submitted by Editorial Committee to the Plenary Meeting (Res 20, 29, 43, 58, 61) (Document </w:t>
      </w:r>
      <w:hyperlink r:id="rId610" w:history="1">
        <w:r w:rsidRPr="00380B40">
          <w:rPr>
            <w:rStyle w:val="Hyperlink"/>
            <w:b w:val="0"/>
            <w:bCs/>
            <w:szCs w:val="24"/>
            <w:lang w:val="en-GB"/>
          </w:rPr>
          <w:t>C75</w:t>
        </w:r>
      </w:hyperlink>
      <w:r w:rsidRPr="00380B40">
        <w:rPr>
          <w:bCs/>
          <w:szCs w:val="24"/>
          <w:lang w:val="en-GB"/>
        </w:rPr>
        <w:t>)</w:t>
      </w:r>
      <w:bookmarkEnd w:id="2511"/>
    </w:p>
    <w:p w14:paraId="6932332E" w14:textId="77777777" w:rsidR="009033A7" w:rsidRPr="00380B40" w:rsidRDefault="009033A7" w:rsidP="002B0D37">
      <w:pPr>
        <w:rPr>
          <w:lang w:val="en-GB"/>
        </w:rPr>
      </w:pPr>
      <w:r w:rsidRPr="00380B40">
        <w:rPr>
          <w:lang w:val="en-GB"/>
        </w:rPr>
        <w:t>The Plenary approved:</w:t>
      </w:r>
    </w:p>
    <w:p w14:paraId="45E25C8E" w14:textId="77777777" w:rsidR="009033A7" w:rsidRPr="00380B40" w:rsidRDefault="009033A7" w:rsidP="002B0D37">
      <w:pPr>
        <w:pStyle w:val="enumlev1"/>
        <w:rPr>
          <w:szCs w:val="22"/>
          <w:lang w:val="en-GB"/>
        </w:rPr>
      </w:pPr>
      <w:r w:rsidRPr="00380B40">
        <w:rPr>
          <w:szCs w:val="22"/>
          <w:lang w:val="en-GB"/>
        </w:rPr>
        <w:t>–</w:t>
      </w:r>
      <w:r w:rsidRPr="00380B40">
        <w:rPr>
          <w:szCs w:val="22"/>
          <w:lang w:val="en-GB"/>
        </w:rPr>
        <w:tab/>
        <w:t xml:space="preserve">revised Resolution </w:t>
      </w:r>
      <w:r w:rsidRPr="00380B40">
        <w:rPr>
          <w:szCs w:val="24"/>
          <w:lang w:val="en-GB"/>
        </w:rPr>
        <w:t xml:space="preserve">20 (Rev. Geneva, 2022), </w:t>
      </w:r>
      <w:r w:rsidRPr="00380B40">
        <w:rPr>
          <w:i/>
          <w:iCs/>
          <w:szCs w:val="24"/>
          <w:lang w:val="en-GB"/>
        </w:rPr>
        <w:t>Procedures for allocation and management of international telecommunication numbering, naming, addressing and identification resources</w:t>
      </w:r>
      <w:r w:rsidRPr="00380B40">
        <w:rPr>
          <w:szCs w:val="22"/>
          <w:lang w:val="en-GB"/>
        </w:rPr>
        <w:t>;</w:t>
      </w:r>
    </w:p>
    <w:p w14:paraId="18057C32" w14:textId="77777777" w:rsidR="009033A7" w:rsidRPr="00380B40" w:rsidRDefault="009033A7" w:rsidP="002B0D37">
      <w:pPr>
        <w:pStyle w:val="enumlev1"/>
        <w:rPr>
          <w:i/>
          <w:iCs/>
          <w:szCs w:val="22"/>
          <w:lang w:val="en-GB"/>
        </w:rPr>
      </w:pPr>
      <w:r w:rsidRPr="00380B40">
        <w:rPr>
          <w:szCs w:val="22"/>
          <w:lang w:val="en-GB"/>
        </w:rPr>
        <w:t>–</w:t>
      </w:r>
      <w:r w:rsidRPr="00380B40">
        <w:rPr>
          <w:szCs w:val="22"/>
          <w:lang w:val="en-GB"/>
        </w:rPr>
        <w:tab/>
        <w:t xml:space="preserve">revised </w:t>
      </w:r>
      <w:r w:rsidRPr="00380B40">
        <w:rPr>
          <w:szCs w:val="24"/>
          <w:lang w:val="en-GB"/>
        </w:rPr>
        <w:t xml:space="preserve">Resolution 29 (Rev. Geneva, 2022), </w:t>
      </w:r>
      <w:r w:rsidRPr="00380B40">
        <w:rPr>
          <w:i/>
          <w:iCs/>
          <w:szCs w:val="24"/>
          <w:lang w:val="en-GB"/>
        </w:rPr>
        <w:t>Alternative calling procedures on international telecommunication networks</w:t>
      </w:r>
      <w:r w:rsidRPr="00380B40">
        <w:rPr>
          <w:i/>
          <w:iCs/>
          <w:szCs w:val="22"/>
          <w:lang w:val="en-GB"/>
        </w:rPr>
        <w:t>;</w:t>
      </w:r>
    </w:p>
    <w:p w14:paraId="257A3E04" w14:textId="77777777" w:rsidR="009033A7" w:rsidRPr="00380B40" w:rsidRDefault="009033A7" w:rsidP="002B0D37">
      <w:pPr>
        <w:pStyle w:val="enumlev1"/>
        <w:rPr>
          <w:i/>
          <w:iCs/>
          <w:szCs w:val="22"/>
          <w:lang w:val="en-GB"/>
        </w:rPr>
      </w:pPr>
      <w:r w:rsidRPr="00380B40">
        <w:rPr>
          <w:szCs w:val="22"/>
          <w:lang w:val="en-GB"/>
        </w:rPr>
        <w:t>–</w:t>
      </w:r>
      <w:r w:rsidRPr="00380B40">
        <w:rPr>
          <w:szCs w:val="22"/>
          <w:lang w:val="en-GB"/>
        </w:rPr>
        <w:tab/>
        <w:t xml:space="preserve">revised </w:t>
      </w:r>
      <w:r w:rsidRPr="00380B40">
        <w:rPr>
          <w:szCs w:val="24"/>
          <w:lang w:val="en-GB"/>
        </w:rPr>
        <w:t xml:space="preserve">Resolution 43 (Rev. Geneva, 2022), </w:t>
      </w:r>
      <w:r w:rsidRPr="00380B40">
        <w:rPr>
          <w:i/>
          <w:iCs/>
          <w:szCs w:val="24"/>
          <w:lang w:val="en-GB"/>
        </w:rPr>
        <w:t>Regional preparations for world telecommunication standardization assemblies</w:t>
      </w:r>
      <w:r w:rsidRPr="00380B40">
        <w:rPr>
          <w:i/>
          <w:iCs/>
          <w:szCs w:val="22"/>
          <w:lang w:val="en-GB"/>
        </w:rPr>
        <w:t>;</w:t>
      </w:r>
    </w:p>
    <w:p w14:paraId="5DA9ED9A" w14:textId="77777777" w:rsidR="009033A7" w:rsidRPr="00380B40" w:rsidRDefault="009033A7" w:rsidP="002B0D37">
      <w:pPr>
        <w:pStyle w:val="enumlev1"/>
        <w:rPr>
          <w:i/>
          <w:iCs/>
          <w:szCs w:val="24"/>
          <w:lang w:val="en-GB"/>
        </w:rPr>
      </w:pPr>
      <w:r w:rsidRPr="00380B40">
        <w:rPr>
          <w:szCs w:val="22"/>
          <w:lang w:val="en-GB"/>
        </w:rPr>
        <w:t>–</w:t>
      </w:r>
      <w:r w:rsidRPr="00380B40">
        <w:rPr>
          <w:szCs w:val="22"/>
          <w:lang w:val="en-GB"/>
        </w:rPr>
        <w:tab/>
        <w:t xml:space="preserve">revised </w:t>
      </w:r>
      <w:r w:rsidRPr="00380B40">
        <w:rPr>
          <w:szCs w:val="24"/>
          <w:lang w:val="en-GB"/>
        </w:rPr>
        <w:t xml:space="preserve">Resolution 58 (Rev. Geneva, 2022), </w:t>
      </w:r>
      <w:r w:rsidRPr="00380B40">
        <w:rPr>
          <w:i/>
          <w:iCs/>
          <w:szCs w:val="24"/>
          <w:lang w:val="en-GB"/>
        </w:rPr>
        <w:t>Encouraging the creation of national computer incident response teams, particularly for developing countries;</w:t>
      </w:r>
    </w:p>
    <w:p w14:paraId="5B0D1817" w14:textId="77777777" w:rsidR="009033A7" w:rsidRPr="00380B40" w:rsidRDefault="009033A7" w:rsidP="002B0D37">
      <w:pPr>
        <w:pStyle w:val="enumlev1"/>
        <w:rPr>
          <w:i/>
          <w:iCs/>
          <w:szCs w:val="22"/>
          <w:lang w:val="en-GB"/>
        </w:rPr>
      </w:pPr>
      <w:r w:rsidRPr="00380B40">
        <w:rPr>
          <w:szCs w:val="22"/>
          <w:lang w:val="en-GB"/>
        </w:rPr>
        <w:t>–</w:t>
      </w:r>
      <w:r w:rsidRPr="00380B40">
        <w:rPr>
          <w:szCs w:val="22"/>
          <w:lang w:val="en-GB"/>
        </w:rPr>
        <w:tab/>
        <w:t xml:space="preserve">revised </w:t>
      </w:r>
      <w:r w:rsidRPr="00380B40">
        <w:rPr>
          <w:szCs w:val="24"/>
          <w:lang w:val="en-GB"/>
        </w:rPr>
        <w:t xml:space="preserve">Resolution 61 (Rev. Geneva, 2022), </w:t>
      </w:r>
      <w:r w:rsidRPr="00380B40">
        <w:rPr>
          <w:i/>
          <w:iCs/>
          <w:szCs w:val="24"/>
          <w:lang w:val="en-GB"/>
        </w:rPr>
        <w:t>Countering and combating misappropriation and misuse of international telecommunication numbering.</w:t>
      </w:r>
    </w:p>
    <w:p w14:paraId="206220D2" w14:textId="77777777" w:rsidR="009033A7" w:rsidRPr="00380B40" w:rsidRDefault="009033A7" w:rsidP="002F74FB">
      <w:pPr>
        <w:pStyle w:val="Heading1"/>
        <w:rPr>
          <w:b w:val="0"/>
          <w:bCs/>
          <w:szCs w:val="24"/>
          <w:lang w:val="en-GB"/>
        </w:rPr>
      </w:pPr>
      <w:bookmarkStart w:id="2512" w:name="_Toc111637233"/>
      <w:r w:rsidRPr="00380B40">
        <w:rPr>
          <w:bCs/>
          <w:szCs w:val="24"/>
          <w:lang w:val="en-GB"/>
        </w:rPr>
        <w:t>7</w:t>
      </w:r>
      <w:r w:rsidRPr="00380B40">
        <w:rPr>
          <w:bCs/>
          <w:szCs w:val="24"/>
          <w:lang w:val="en-GB"/>
        </w:rPr>
        <w:tab/>
        <w:t xml:space="preserve">Fourth series of texts submitted by Editorial Committee to the Plenary Meeting (Res.65, Res.72, Res.73, 74, 76, 84, 95) (Document </w:t>
      </w:r>
      <w:hyperlink r:id="rId611" w:history="1">
        <w:r w:rsidRPr="00380B40">
          <w:rPr>
            <w:rStyle w:val="Hyperlink"/>
            <w:b w:val="0"/>
            <w:bCs/>
            <w:lang w:val="en-GB"/>
          </w:rPr>
          <w:t>C79</w:t>
        </w:r>
      </w:hyperlink>
      <w:r w:rsidRPr="00380B40">
        <w:rPr>
          <w:bCs/>
          <w:szCs w:val="24"/>
          <w:lang w:val="en-GB"/>
        </w:rPr>
        <w:t>)</w:t>
      </w:r>
      <w:bookmarkEnd w:id="2512"/>
    </w:p>
    <w:p w14:paraId="6F91D26E" w14:textId="77777777" w:rsidR="009033A7" w:rsidRPr="00380B40" w:rsidRDefault="009033A7" w:rsidP="002B0D37">
      <w:pPr>
        <w:rPr>
          <w:lang w:val="en-GB"/>
        </w:rPr>
      </w:pPr>
      <w:r w:rsidRPr="00380B40">
        <w:rPr>
          <w:lang w:val="en-GB"/>
        </w:rPr>
        <w:t>The Plenary approved:</w:t>
      </w:r>
    </w:p>
    <w:p w14:paraId="4842C45D" w14:textId="77777777" w:rsidR="009033A7" w:rsidRPr="00380B40" w:rsidRDefault="009033A7" w:rsidP="002B0D37">
      <w:pPr>
        <w:pStyle w:val="enumlev1"/>
        <w:rPr>
          <w:szCs w:val="22"/>
          <w:lang w:val="en-GB"/>
        </w:rPr>
      </w:pPr>
      <w:r w:rsidRPr="00380B40">
        <w:rPr>
          <w:szCs w:val="22"/>
          <w:lang w:val="en-GB"/>
        </w:rPr>
        <w:t>–</w:t>
      </w:r>
      <w:r w:rsidRPr="00380B40">
        <w:rPr>
          <w:szCs w:val="22"/>
          <w:lang w:val="en-GB"/>
        </w:rPr>
        <w:tab/>
        <w:t xml:space="preserve">revised </w:t>
      </w:r>
      <w:r w:rsidRPr="00380B40">
        <w:rPr>
          <w:szCs w:val="24"/>
          <w:lang w:val="en-GB"/>
        </w:rPr>
        <w:t xml:space="preserve">Resolution 65 (Rev. Geneva, 2022), </w:t>
      </w:r>
      <w:r w:rsidRPr="00380B40">
        <w:rPr>
          <w:i/>
          <w:iCs/>
          <w:szCs w:val="24"/>
          <w:lang w:val="en-GB"/>
        </w:rPr>
        <w:t>Calling party number delivery, calling line identification and origin identification information</w:t>
      </w:r>
      <w:r w:rsidRPr="00380B40">
        <w:rPr>
          <w:szCs w:val="22"/>
          <w:lang w:val="en-GB"/>
        </w:rPr>
        <w:t>;</w:t>
      </w:r>
    </w:p>
    <w:p w14:paraId="44740E1C" w14:textId="77777777" w:rsidR="00C85DAE" w:rsidRPr="00380B40" w:rsidRDefault="00C85DAE" w:rsidP="002B0D37">
      <w:pPr>
        <w:pStyle w:val="enumlev1"/>
        <w:rPr>
          <w:szCs w:val="22"/>
          <w:lang w:val="en-GB"/>
        </w:rPr>
      </w:pPr>
      <w:r w:rsidRPr="00380B40">
        <w:rPr>
          <w:szCs w:val="22"/>
          <w:lang w:val="en-GB"/>
        </w:rPr>
        <w:br w:type="page"/>
      </w:r>
    </w:p>
    <w:p w14:paraId="334E1859" w14:textId="77777777" w:rsidR="009033A7" w:rsidRPr="00380B40" w:rsidRDefault="009033A7" w:rsidP="002B0D37">
      <w:pPr>
        <w:pStyle w:val="enumlev1"/>
        <w:rPr>
          <w:i/>
          <w:iCs/>
          <w:szCs w:val="24"/>
          <w:lang w:val="en-GB"/>
        </w:rPr>
      </w:pPr>
      <w:r w:rsidRPr="00380B40">
        <w:rPr>
          <w:szCs w:val="22"/>
          <w:lang w:val="en-GB"/>
        </w:rPr>
        <w:t>–</w:t>
      </w:r>
      <w:r w:rsidRPr="00380B40">
        <w:rPr>
          <w:szCs w:val="22"/>
          <w:lang w:val="en-GB"/>
        </w:rPr>
        <w:tab/>
        <w:t xml:space="preserve">revised </w:t>
      </w:r>
      <w:r w:rsidRPr="00380B40">
        <w:rPr>
          <w:szCs w:val="24"/>
          <w:lang w:val="en-GB"/>
        </w:rPr>
        <w:t xml:space="preserve">Resolution 72 (Rev. Geneva, 2022), </w:t>
      </w:r>
      <w:r w:rsidRPr="00380B40">
        <w:rPr>
          <w:i/>
          <w:iCs/>
          <w:szCs w:val="24"/>
          <w:lang w:val="en-GB"/>
        </w:rPr>
        <w:t>Measurement and assessment concerns related to human exposure to electromagnetic fields;</w:t>
      </w:r>
    </w:p>
    <w:p w14:paraId="5608CF72" w14:textId="77777777" w:rsidR="009033A7" w:rsidRPr="00380B40" w:rsidRDefault="009033A7" w:rsidP="002B0D37">
      <w:pPr>
        <w:pStyle w:val="enumlev1"/>
        <w:rPr>
          <w:i/>
          <w:iCs/>
          <w:szCs w:val="24"/>
          <w:lang w:val="en-GB"/>
        </w:rPr>
      </w:pPr>
      <w:r w:rsidRPr="00380B40">
        <w:rPr>
          <w:szCs w:val="22"/>
          <w:lang w:val="en-GB"/>
        </w:rPr>
        <w:t>–</w:t>
      </w:r>
      <w:r w:rsidRPr="00380B40">
        <w:rPr>
          <w:szCs w:val="22"/>
          <w:lang w:val="en-GB"/>
        </w:rPr>
        <w:tab/>
        <w:t xml:space="preserve">revised </w:t>
      </w:r>
      <w:r w:rsidRPr="00380B40">
        <w:rPr>
          <w:szCs w:val="24"/>
          <w:lang w:val="en-GB"/>
        </w:rPr>
        <w:t xml:space="preserve">Resolution 73 (Rev. Geneva, 2022), </w:t>
      </w:r>
      <w:r w:rsidRPr="00380B40">
        <w:rPr>
          <w:i/>
          <w:iCs/>
          <w:szCs w:val="24"/>
          <w:lang w:val="en-GB"/>
        </w:rPr>
        <w:t>Information and communication technologies, environment and climate change;</w:t>
      </w:r>
    </w:p>
    <w:p w14:paraId="2B0B1C56" w14:textId="77777777" w:rsidR="009033A7" w:rsidRPr="00380B40" w:rsidRDefault="009033A7" w:rsidP="002B0D37">
      <w:pPr>
        <w:pStyle w:val="enumlev1"/>
        <w:rPr>
          <w:i/>
          <w:iCs/>
          <w:szCs w:val="24"/>
          <w:lang w:val="en-GB"/>
        </w:rPr>
      </w:pPr>
      <w:r w:rsidRPr="00380B40">
        <w:rPr>
          <w:szCs w:val="22"/>
          <w:lang w:val="en-GB"/>
        </w:rPr>
        <w:t>–</w:t>
      </w:r>
      <w:r w:rsidRPr="00380B40">
        <w:rPr>
          <w:szCs w:val="22"/>
          <w:lang w:val="en-GB"/>
        </w:rPr>
        <w:tab/>
        <w:t xml:space="preserve">revised </w:t>
      </w:r>
      <w:r w:rsidRPr="00380B40">
        <w:rPr>
          <w:szCs w:val="24"/>
          <w:lang w:val="en-GB"/>
        </w:rPr>
        <w:t xml:space="preserve">Resolution 74 (Rev. Geneva, 2022), </w:t>
      </w:r>
      <w:r w:rsidRPr="00380B40">
        <w:rPr>
          <w:i/>
          <w:iCs/>
          <w:szCs w:val="24"/>
          <w:lang w:val="en-GB"/>
        </w:rPr>
        <w:t>Admission of Sector Members from developing countries in the work of the ITU Telecommunication Standardization Sector;</w:t>
      </w:r>
    </w:p>
    <w:p w14:paraId="644AD380" w14:textId="77777777" w:rsidR="009033A7" w:rsidRPr="00380B40" w:rsidRDefault="009033A7" w:rsidP="002B0D37">
      <w:pPr>
        <w:pStyle w:val="enumlev1"/>
        <w:rPr>
          <w:i/>
          <w:iCs/>
          <w:szCs w:val="24"/>
          <w:lang w:val="en-GB"/>
        </w:rPr>
      </w:pPr>
      <w:r w:rsidRPr="00380B40">
        <w:rPr>
          <w:szCs w:val="22"/>
          <w:lang w:val="en-GB"/>
        </w:rPr>
        <w:t>–</w:t>
      </w:r>
      <w:r w:rsidRPr="00380B40">
        <w:rPr>
          <w:szCs w:val="22"/>
          <w:lang w:val="en-GB"/>
        </w:rPr>
        <w:tab/>
        <w:t>revised Resolution</w:t>
      </w:r>
      <w:r w:rsidRPr="00380B40">
        <w:rPr>
          <w:szCs w:val="24"/>
          <w:lang w:val="en-GB"/>
        </w:rPr>
        <w:t xml:space="preserve"> 76 (Rev. Geneva, 2022), </w:t>
      </w:r>
      <w:r w:rsidRPr="00380B40">
        <w:rPr>
          <w:i/>
          <w:iCs/>
          <w:szCs w:val="24"/>
          <w:lang w:val="en-GB"/>
        </w:rPr>
        <w:t>Studies related to conformance and interoperability testing, assistance to developing countries, and a possible future ITU Mark programme;</w:t>
      </w:r>
    </w:p>
    <w:p w14:paraId="25A0C18C" w14:textId="77777777" w:rsidR="009033A7" w:rsidRPr="00380B40" w:rsidRDefault="009033A7" w:rsidP="002B0D37">
      <w:pPr>
        <w:pStyle w:val="enumlev1"/>
        <w:rPr>
          <w:i/>
          <w:iCs/>
          <w:szCs w:val="24"/>
          <w:lang w:val="en-GB"/>
        </w:rPr>
      </w:pPr>
      <w:r w:rsidRPr="00380B40">
        <w:rPr>
          <w:szCs w:val="22"/>
          <w:lang w:val="en-GB"/>
        </w:rPr>
        <w:t>–</w:t>
      </w:r>
      <w:r w:rsidRPr="00380B40">
        <w:rPr>
          <w:szCs w:val="22"/>
          <w:lang w:val="en-GB"/>
        </w:rPr>
        <w:tab/>
        <w:t xml:space="preserve">revised </w:t>
      </w:r>
      <w:r w:rsidRPr="00380B40">
        <w:rPr>
          <w:szCs w:val="24"/>
          <w:lang w:val="en-GB"/>
        </w:rPr>
        <w:t xml:space="preserve">Resolution 84 (Rev. Geneva, 2022), </w:t>
      </w:r>
      <w:r w:rsidRPr="00380B40">
        <w:rPr>
          <w:i/>
          <w:iCs/>
          <w:szCs w:val="24"/>
          <w:lang w:val="en-GB"/>
        </w:rPr>
        <w:t>Studies concerning the protection of users of telecommunication/information and communication technology services;</w:t>
      </w:r>
    </w:p>
    <w:p w14:paraId="232DEEDA" w14:textId="77777777" w:rsidR="009033A7" w:rsidRPr="00380B40" w:rsidRDefault="009033A7" w:rsidP="002B0D37">
      <w:pPr>
        <w:pStyle w:val="enumlev1"/>
        <w:rPr>
          <w:szCs w:val="22"/>
          <w:lang w:val="en-GB"/>
        </w:rPr>
      </w:pPr>
      <w:r w:rsidRPr="00380B40">
        <w:rPr>
          <w:szCs w:val="22"/>
          <w:lang w:val="en-GB"/>
        </w:rPr>
        <w:t>–</w:t>
      </w:r>
      <w:r w:rsidRPr="00380B40">
        <w:rPr>
          <w:szCs w:val="22"/>
          <w:lang w:val="en-GB"/>
        </w:rPr>
        <w:tab/>
        <w:t xml:space="preserve">revised </w:t>
      </w:r>
      <w:r w:rsidRPr="00380B40">
        <w:rPr>
          <w:szCs w:val="24"/>
          <w:lang w:val="en-GB"/>
        </w:rPr>
        <w:t xml:space="preserve">Resolution 95 (Rev. Geneva, 2022), </w:t>
      </w:r>
      <w:r w:rsidRPr="00380B40">
        <w:rPr>
          <w:i/>
          <w:iCs/>
          <w:szCs w:val="24"/>
          <w:lang w:val="en-GB"/>
        </w:rPr>
        <w:t>ITU Telecommunication Standardization Sector initiatives to raise awareness on best practices and policies related to service quality</w:t>
      </w:r>
      <w:r w:rsidRPr="00380B40">
        <w:rPr>
          <w:szCs w:val="22"/>
          <w:lang w:val="en-GB"/>
        </w:rPr>
        <w:t>.</w:t>
      </w:r>
    </w:p>
    <w:p w14:paraId="3430F69D" w14:textId="77777777" w:rsidR="009033A7" w:rsidRPr="00380B40" w:rsidRDefault="009033A7" w:rsidP="002B0D37">
      <w:pPr>
        <w:rPr>
          <w:lang w:val="en-GB"/>
        </w:rPr>
      </w:pPr>
      <w:r w:rsidRPr="00380B40">
        <w:rPr>
          <w:lang w:val="en-GB"/>
        </w:rPr>
        <w:t>The Plenary further approved:</w:t>
      </w:r>
    </w:p>
    <w:p w14:paraId="5571C192" w14:textId="77777777" w:rsidR="009033A7" w:rsidRPr="00380B40" w:rsidRDefault="009033A7" w:rsidP="002B0D37">
      <w:pPr>
        <w:pStyle w:val="enumlev1"/>
        <w:rPr>
          <w:szCs w:val="22"/>
          <w:lang w:val="en-GB"/>
        </w:rPr>
      </w:pPr>
      <w:r w:rsidRPr="00380B40">
        <w:rPr>
          <w:szCs w:val="22"/>
          <w:lang w:val="en-GB"/>
        </w:rPr>
        <w:t>–</w:t>
      </w:r>
      <w:r w:rsidRPr="00380B40">
        <w:rPr>
          <w:szCs w:val="22"/>
          <w:lang w:val="en-GB"/>
        </w:rPr>
        <w:tab/>
        <w:t xml:space="preserve">no change to </w:t>
      </w:r>
      <w:r w:rsidRPr="00380B40">
        <w:rPr>
          <w:szCs w:val="24"/>
          <w:lang w:val="en-GB"/>
        </w:rPr>
        <w:t xml:space="preserve">Recommendation ITU-T A.1 (2019/09), </w:t>
      </w:r>
      <w:r w:rsidRPr="00380B40">
        <w:rPr>
          <w:i/>
          <w:iCs/>
          <w:szCs w:val="24"/>
          <w:lang w:val="en-GB"/>
        </w:rPr>
        <w:t>Working methods for study groups of the ITU Telecommunication Standardization Sector</w:t>
      </w:r>
      <w:r w:rsidRPr="00380B40">
        <w:rPr>
          <w:szCs w:val="22"/>
          <w:lang w:val="en-GB"/>
        </w:rPr>
        <w:t>;</w:t>
      </w:r>
    </w:p>
    <w:p w14:paraId="081BE465" w14:textId="77777777" w:rsidR="009033A7" w:rsidRPr="00380B40" w:rsidRDefault="009033A7" w:rsidP="002B0D37">
      <w:pPr>
        <w:pStyle w:val="enumlev1"/>
        <w:rPr>
          <w:i/>
          <w:iCs/>
          <w:szCs w:val="24"/>
          <w:lang w:val="en-GB"/>
        </w:rPr>
      </w:pPr>
      <w:r w:rsidRPr="00380B40">
        <w:rPr>
          <w:szCs w:val="22"/>
          <w:lang w:val="en-GB"/>
        </w:rPr>
        <w:t>–</w:t>
      </w:r>
      <w:r w:rsidRPr="00380B40">
        <w:rPr>
          <w:szCs w:val="22"/>
          <w:lang w:val="en-GB"/>
        </w:rPr>
        <w:tab/>
        <w:t xml:space="preserve">no change to </w:t>
      </w:r>
      <w:r w:rsidRPr="00380B40">
        <w:rPr>
          <w:szCs w:val="24"/>
          <w:lang w:val="en-GB"/>
        </w:rPr>
        <w:t xml:space="preserve">Recommendation ITU-T A.2 (2012/11), </w:t>
      </w:r>
      <w:r w:rsidRPr="00380B40">
        <w:rPr>
          <w:i/>
          <w:iCs/>
          <w:szCs w:val="24"/>
          <w:lang w:val="en-GB"/>
        </w:rPr>
        <w:t>Presentation of contributions to the ITU Telecommunication Standardization Sector;</w:t>
      </w:r>
    </w:p>
    <w:p w14:paraId="3115AED0" w14:textId="77777777" w:rsidR="009033A7" w:rsidRPr="00380B40" w:rsidRDefault="009033A7" w:rsidP="002B0D37">
      <w:pPr>
        <w:pStyle w:val="enumlev1"/>
        <w:rPr>
          <w:szCs w:val="22"/>
          <w:lang w:val="en-GB"/>
        </w:rPr>
      </w:pPr>
      <w:r w:rsidRPr="00380B40">
        <w:rPr>
          <w:szCs w:val="22"/>
          <w:lang w:val="en-GB"/>
        </w:rPr>
        <w:t>–</w:t>
      </w:r>
      <w:r w:rsidRPr="00380B40">
        <w:rPr>
          <w:szCs w:val="22"/>
          <w:lang w:val="en-GB"/>
        </w:rPr>
        <w:tab/>
        <w:t xml:space="preserve">no change to </w:t>
      </w:r>
      <w:r w:rsidRPr="00380B40">
        <w:rPr>
          <w:szCs w:val="24"/>
          <w:lang w:val="en-GB"/>
        </w:rPr>
        <w:t xml:space="preserve">Resolution 32 (Rev. Hammamet, 2016), </w:t>
      </w:r>
      <w:r w:rsidRPr="00380B40">
        <w:rPr>
          <w:i/>
          <w:iCs/>
          <w:szCs w:val="24"/>
          <w:lang w:val="en-GB"/>
        </w:rPr>
        <w:t>Strengthening electronic working methods for the work of the ITU Telecommunication Standardization Sector.</w:t>
      </w:r>
    </w:p>
    <w:p w14:paraId="27E03D47" w14:textId="77777777" w:rsidR="009033A7" w:rsidRPr="00380B40" w:rsidRDefault="009033A7" w:rsidP="009033A7">
      <w:pPr>
        <w:keepNext/>
        <w:keepLines/>
        <w:spacing w:before="240" w:line="240" w:lineRule="auto"/>
        <w:jc w:val="left"/>
        <w:rPr>
          <w:b/>
          <w:bCs/>
          <w:sz w:val="24"/>
          <w:szCs w:val="24"/>
          <w:lang w:val="en-GB"/>
        </w:rPr>
      </w:pPr>
      <w:r w:rsidRPr="00380B40">
        <w:rPr>
          <w:b/>
          <w:bCs/>
          <w:sz w:val="24"/>
          <w:szCs w:val="24"/>
          <w:lang w:val="en-GB"/>
        </w:rPr>
        <w:t>8</w:t>
      </w:r>
      <w:r w:rsidRPr="00380B40">
        <w:rPr>
          <w:b/>
          <w:bCs/>
          <w:sz w:val="24"/>
          <w:szCs w:val="24"/>
          <w:lang w:val="en-GB"/>
        </w:rPr>
        <w:tab/>
        <w:t>Approval of the ITU-T study group Questions</w:t>
      </w:r>
    </w:p>
    <w:p w14:paraId="609B8CDB" w14:textId="77777777" w:rsidR="009033A7" w:rsidRPr="00380B40" w:rsidRDefault="009033A7" w:rsidP="002B0D37">
      <w:pPr>
        <w:rPr>
          <w:szCs w:val="24"/>
          <w:lang w:val="en-GB"/>
        </w:rPr>
      </w:pPr>
      <w:r w:rsidRPr="00380B40">
        <w:rPr>
          <w:bCs/>
          <w:szCs w:val="22"/>
          <w:lang w:val="en-GB"/>
        </w:rPr>
        <w:t xml:space="preserve">The Plenary approved </w:t>
      </w:r>
      <w:r w:rsidRPr="00380B40">
        <w:rPr>
          <w:lang w:val="en-GB"/>
        </w:rPr>
        <w:t>the text of Questions and the allocation of Questions as agreed by COM4</w:t>
      </w:r>
      <w:r w:rsidRPr="00380B40">
        <w:rPr>
          <w:bCs/>
          <w:szCs w:val="22"/>
          <w:lang w:val="en-GB"/>
        </w:rPr>
        <w:t xml:space="preserve">, for SG2 (Document </w:t>
      </w:r>
      <w:hyperlink r:id="rId612" w:history="1">
        <w:r w:rsidRPr="00380B40">
          <w:rPr>
            <w:rStyle w:val="Hyperlink"/>
            <w:bCs/>
            <w:szCs w:val="22"/>
            <w:lang w:val="en-GB"/>
          </w:rPr>
          <w:t>C</w:t>
        </w:r>
        <w:r w:rsidRPr="00380B40">
          <w:rPr>
            <w:rStyle w:val="Hyperlink"/>
            <w:lang w:val="en-GB"/>
          </w:rPr>
          <w:t>2</w:t>
        </w:r>
      </w:hyperlink>
      <w:r w:rsidRPr="00380B40">
        <w:rPr>
          <w:bCs/>
          <w:szCs w:val="22"/>
          <w:lang w:val="en-GB"/>
        </w:rPr>
        <w:t>)</w:t>
      </w:r>
      <w:r w:rsidRPr="00380B40">
        <w:rPr>
          <w:lang w:val="en-GB"/>
        </w:rPr>
        <w:t xml:space="preserve">, SG3 (Document </w:t>
      </w:r>
      <w:hyperlink r:id="rId613" w:history="1">
        <w:r w:rsidRPr="00380B40">
          <w:rPr>
            <w:rStyle w:val="Hyperlink"/>
            <w:lang w:val="en-GB"/>
          </w:rPr>
          <w:t>C4-R1</w:t>
        </w:r>
      </w:hyperlink>
      <w:r w:rsidRPr="00380B40">
        <w:rPr>
          <w:lang w:val="en-GB"/>
        </w:rPr>
        <w:t xml:space="preserve">), SG5 (Document </w:t>
      </w:r>
      <w:hyperlink r:id="rId614" w:history="1">
        <w:r w:rsidRPr="00380B40">
          <w:rPr>
            <w:rStyle w:val="Hyperlink"/>
            <w:lang w:val="en-GB"/>
          </w:rPr>
          <w:t>C6</w:t>
        </w:r>
      </w:hyperlink>
      <w:r w:rsidRPr="00380B40">
        <w:rPr>
          <w:lang w:val="en-GB"/>
        </w:rPr>
        <w:t xml:space="preserve">), SG9 (Document </w:t>
      </w:r>
      <w:hyperlink r:id="rId615" w:history="1">
        <w:r w:rsidRPr="00380B40">
          <w:rPr>
            <w:rStyle w:val="Hyperlink"/>
            <w:lang w:val="en-GB"/>
          </w:rPr>
          <w:t>C8</w:t>
        </w:r>
      </w:hyperlink>
      <w:r w:rsidRPr="00380B40">
        <w:rPr>
          <w:lang w:val="en-GB"/>
        </w:rPr>
        <w:t xml:space="preserve">), SG11 (Document </w:t>
      </w:r>
      <w:hyperlink r:id="rId616" w:history="1">
        <w:r w:rsidRPr="00380B40">
          <w:rPr>
            <w:rStyle w:val="Hyperlink"/>
            <w:lang w:val="en-GB"/>
          </w:rPr>
          <w:t>C10</w:t>
        </w:r>
      </w:hyperlink>
      <w:r w:rsidRPr="00380B40">
        <w:rPr>
          <w:lang w:val="en-GB"/>
        </w:rPr>
        <w:t xml:space="preserve">), SG12 (Document </w:t>
      </w:r>
      <w:hyperlink r:id="rId617" w:history="1">
        <w:r w:rsidRPr="00380B40">
          <w:rPr>
            <w:rStyle w:val="Hyperlink"/>
            <w:lang w:val="en-GB"/>
          </w:rPr>
          <w:t>C12</w:t>
        </w:r>
      </w:hyperlink>
      <w:r w:rsidRPr="00380B40">
        <w:rPr>
          <w:lang w:val="en-GB"/>
        </w:rPr>
        <w:t xml:space="preserve">), SG13 (Document </w:t>
      </w:r>
      <w:hyperlink r:id="rId618" w:history="1">
        <w:r w:rsidRPr="00380B40">
          <w:rPr>
            <w:rStyle w:val="Hyperlink"/>
            <w:lang w:val="en-GB"/>
          </w:rPr>
          <w:t>C14-R1</w:t>
        </w:r>
      </w:hyperlink>
      <w:r w:rsidRPr="00380B40">
        <w:rPr>
          <w:lang w:val="en-GB"/>
        </w:rPr>
        <w:t xml:space="preserve">), SG15 (Document </w:t>
      </w:r>
      <w:hyperlink r:id="rId619" w:history="1">
        <w:r w:rsidRPr="00380B40">
          <w:rPr>
            <w:rStyle w:val="Hyperlink"/>
            <w:lang w:val="en-GB"/>
          </w:rPr>
          <w:t>C16-R1</w:t>
        </w:r>
      </w:hyperlink>
      <w:r w:rsidRPr="00380B40">
        <w:rPr>
          <w:lang w:val="en-GB"/>
        </w:rPr>
        <w:t xml:space="preserve">), SG16 (Document </w:t>
      </w:r>
      <w:hyperlink r:id="rId620" w:history="1">
        <w:r w:rsidRPr="00380B40">
          <w:rPr>
            <w:rStyle w:val="Hyperlink"/>
            <w:lang w:val="en-GB"/>
          </w:rPr>
          <w:t>C18</w:t>
        </w:r>
      </w:hyperlink>
      <w:r w:rsidRPr="00380B40">
        <w:rPr>
          <w:lang w:val="en-GB"/>
        </w:rPr>
        <w:t xml:space="preserve">), SG17 (Document </w:t>
      </w:r>
      <w:hyperlink r:id="rId621" w:history="1">
        <w:r w:rsidRPr="00380B40">
          <w:rPr>
            <w:rStyle w:val="Hyperlink"/>
            <w:lang w:val="en-GB"/>
          </w:rPr>
          <w:t>C20-R1</w:t>
        </w:r>
      </w:hyperlink>
      <w:r w:rsidRPr="00380B40">
        <w:rPr>
          <w:lang w:val="en-GB"/>
        </w:rPr>
        <w:t xml:space="preserve">) and SG20 (Document </w:t>
      </w:r>
      <w:hyperlink r:id="rId622" w:history="1">
        <w:r w:rsidRPr="00380B40">
          <w:rPr>
            <w:rStyle w:val="Hyperlink"/>
            <w:lang w:val="en-GB"/>
          </w:rPr>
          <w:t>C22-R1</w:t>
        </w:r>
      </w:hyperlink>
      <w:r w:rsidRPr="00380B40">
        <w:rPr>
          <w:lang w:val="en-GB"/>
        </w:rPr>
        <w:t>).</w:t>
      </w:r>
    </w:p>
    <w:p w14:paraId="4A779303" w14:textId="77777777" w:rsidR="009033A7" w:rsidRPr="00380B40" w:rsidRDefault="009033A7" w:rsidP="002F74FB">
      <w:pPr>
        <w:pStyle w:val="Heading1"/>
        <w:rPr>
          <w:b w:val="0"/>
          <w:bCs/>
          <w:szCs w:val="24"/>
          <w:lang w:val="en-GB"/>
        </w:rPr>
      </w:pPr>
      <w:bookmarkStart w:id="2513" w:name="_Toc111637234"/>
      <w:r w:rsidRPr="00380B40">
        <w:rPr>
          <w:bCs/>
          <w:szCs w:val="24"/>
          <w:lang w:val="en-GB"/>
        </w:rPr>
        <w:t>9</w:t>
      </w:r>
      <w:r w:rsidRPr="00380B40">
        <w:rPr>
          <w:bCs/>
          <w:szCs w:val="24"/>
          <w:lang w:val="en-GB"/>
        </w:rPr>
        <w:tab/>
        <w:t>Any other business</w:t>
      </w:r>
      <w:bookmarkEnd w:id="2513"/>
    </w:p>
    <w:p w14:paraId="684FB1AE" w14:textId="77777777" w:rsidR="009033A7" w:rsidRPr="00380B40" w:rsidRDefault="009033A7" w:rsidP="002B0D37">
      <w:pPr>
        <w:rPr>
          <w:lang w:val="en-GB"/>
        </w:rPr>
      </w:pPr>
      <w:r w:rsidRPr="00380B40">
        <w:rPr>
          <w:lang w:val="en-GB"/>
        </w:rPr>
        <w:t>None.</w:t>
      </w:r>
    </w:p>
    <w:p w14:paraId="54604703" w14:textId="77777777" w:rsidR="009033A7" w:rsidRPr="00380B40" w:rsidRDefault="009033A7" w:rsidP="002F74FB">
      <w:pPr>
        <w:pStyle w:val="Heading1"/>
        <w:rPr>
          <w:b w:val="0"/>
          <w:bCs/>
          <w:szCs w:val="24"/>
          <w:lang w:val="en-GB"/>
        </w:rPr>
      </w:pPr>
      <w:bookmarkStart w:id="2514" w:name="_Toc111637235"/>
      <w:r w:rsidRPr="00380B40">
        <w:rPr>
          <w:bCs/>
          <w:szCs w:val="24"/>
          <w:lang w:val="en-GB"/>
        </w:rPr>
        <w:t>10</w:t>
      </w:r>
      <w:r w:rsidRPr="00380B40">
        <w:rPr>
          <w:bCs/>
          <w:szCs w:val="24"/>
          <w:lang w:val="en-GB"/>
        </w:rPr>
        <w:tab/>
        <w:t xml:space="preserve">Closing </w:t>
      </w:r>
      <w:r w:rsidRPr="00380B40">
        <w:rPr>
          <w:lang w:val="en-GB"/>
        </w:rPr>
        <w:t>of</w:t>
      </w:r>
      <w:r w:rsidRPr="00380B40">
        <w:rPr>
          <w:bCs/>
          <w:szCs w:val="24"/>
          <w:lang w:val="en-GB"/>
        </w:rPr>
        <w:t xml:space="preserve"> the fourth plenary</w:t>
      </w:r>
      <w:bookmarkEnd w:id="2514"/>
    </w:p>
    <w:p w14:paraId="0C912006" w14:textId="77777777" w:rsidR="009033A7" w:rsidRPr="00380B40" w:rsidRDefault="009033A7" w:rsidP="002B0D37">
      <w:pPr>
        <w:rPr>
          <w:lang w:val="en-GB"/>
        </w:rPr>
      </w:pPr>
      <w:r w:rsidRPr="00380B40">
        <w:rPr>
          <w:lang w:val="en-GB"/>
        </w:rPr>
        <w:t>The Chairman adjourned the meeting at around 1517 hours.</w:t>
      </w:r>
    </w:p>
    <w:p w14:paraId="3686492B" w14:textId="77777777" w:rsidR="002B0D37" w:rsidRPr="00380B40" w:rsidRDefault="002B0D37" w:rsidP="002B0D37">
      <w:pPr>
        <w:rPr>
          <w:lang w:val="en-GB"/>
        </w:rPr>
      </w:pPr>
    </w:p>
    <w:p w14:paraId="58B1B8EE" w14:textId="77777777" w:rsidR="002B0D37" w:rsidRPr="00380B40" w:rsidRDefault="002B0D37" w:rsidP="002B0D37">
      <w:pPr>
        <w:rPr>
          <w:lang w:val="en-GB"/>
        </w:rPr>
      </w:pPr>
      <w:bookmarkStart w:id="2515" w:name="_Hlk104191409"/>
      <w:r w:rsidRPr="00380B40">
        <w:rPr>
          <w:lang w:val="en-GB"/>
        </w:rPr>
        <w:br w:type="page"/>
      </w:r>
    </w:p>
    <w:p w14:paraId="35107926" w14:textId="77777777" w:rsidR="009033A7" w:rsidRPr="00380B40" w:rsidRDefault="009033A7" w:rsidP="00202A50">
      <w:pPr>
        <w:pStyle w:val="Sectiontitle"/>
      </w:pPr>
      <w:bookmarkStart w:id="2516" w:name="_Toc104472194"/>
      <w:bookmarkStart w:id="2517" w:name="_Toc111637236"/>
      <w:r w:rsidRPr="00380B40">
        <w:t>V-1.5 – FIFTH PLENARY MEETING</w:t>
      </w:r>
      <w:bookmarkEnd w:id="2516"/>
      <w:bookmarkEnd w:id="2517"/>
    </w:p>
    <w:bookmarkEnd w:id="2515"/>
    <w:p w14:paraId="540475DA" w14:textId="77777777" w:rsidR="009033A7" w:rsidRPr="00380B40" w:rsidRDefault="009033A7" w:rsidP="00C85DAE">
      <w:pPr>
        <w:pStyle w:val="Normalcenteraligned"/>
      </w:pPr>
      <w:r w:rsidRPr="00380B40">
        <w:t>(Wednesday, 9 March 2022, 0930-1300 hours)</w:t>
      </w:r>
    </w:p>
    <w:p w14:paraId="4A2A1E3C" w14:textId="77777777" w:rsidR="009033A7" w:rsidRPr="00380B40" w:rsidRDefault="009033A7" w:rsidP="002F74FB">
      <w:pPr>
        <w:pStyle w:val="Heading1"/>
        <w:rPr>
          <w:b w:val="0"/>
          <w:bCs/>
          <w:szCs w:val="24"/>
          <w:lang w:val="en-GB"/>
        </w:rPr>
      </w:pPr>
      <w:bookmarkStart w:id="2518" w:name="_Toc111637237"/>
      <w:r w:rsidRPr="00380B40">
        <w:rPr>
          <w:bCs/>
          <w:szCs w:val="24"/>
          <w:lang w:val="en-GB"/>
        </w:rPr>
        <w:t>1</w:t>
      </w:r>
      <w:r w:rsidRPr="00380B40">
        <w:rPr>
          <w:bCs/>
          <w:szCs w:val="24"/>
          <w:lang w:val="en-GB"/>
        </w:rPr>
        <w:tab/>
        <w:t>Opening</w:t>
      </w:r>
      <w:bookmarkEnd w:id="2518"/>
    </w:p>
    <w:p w14:paraId="4CD6CF2B" w14:textId="77777777" w:rsidR="009033A7" w:rsidRPr="00380B40" w:rsidRDefault="009033A7" w:rsidP="002B0D37">
      <w:pPr>
        <w:rPr>
          <w:lang w:val="en-GB"/>
        </w:rPr>
      </w:pPr>
      <w:r w:rsidRPr="00380B40">
        <w:rPr>
          <w:lang w:val="en-GB"/>
        </w:rPr>
        <w:t>The Chairman opened the fifth plenary meeting.</w:t>
      </w:r>
    </w:p>
    <w:p w14:paraId="67D6899F" w14:textId="77777777" w:rsidR="009033A7" w:rsidRPr="00380B40" w:rsidRDefault="009033A7" w:rsidP="002F74FB">
      <w:pPr>
        <w:pStyle w:val="Heading1"/>
        <w:rPr>
          <w:b w:val="0"/>
          <w:bCs/>
          <w:szCs w:val="24"/>
          <w:lang w:val="en-GB"/>
        </w:rPr>
      </w:pPr>
      <w:bookmarkStart w:id="2519" w:name="_Toc111637238"/>
      <w:r w:rsidRPr="00380B40">
        <w:rPr>
          <w:bCs/>
          <w:szCs w:val="24"/>
          <w:lang w:val="en-GB"/>
        </w:rPr>
        <w:t>2</w:t>
      </w:r>
      <w:r w:rsidRPr="00380B40">
        <w:rPr>
          <w:bCs/>
          <w:szCs w:val="24"/>
          <w:lang w:val="en-GB"/>
        </w:rPr>
        <w:tab/>
        <w:t>Approval of agenda</w:t>
      </w:r>
      <w:bookmarkEnd w:id="2519"/>
    </w:p>
    <w:p w14:paraId="2C6A9345" w14:textId="77777777" w:rsidR="009033A7" w:rsidRPr="00380B40" w:rsidRDefault="009033A7" w:rsidP="002B0D37">
      <w:pPr>
        <w:rPr>
          <w:lang w:val="en-GB"/>
        </w:rPr>
      </w:pPr>
      <w:r w:rsidRPr="00380B40">
        <w:rPr>
          <w:lang w:val="en-GB"/>
        </w:rPr>
        <w:t>The agenda (</w:t>
      </w:r>
      <w:r w:rsidRPr="00380B40">
        <w:rPr>
          <w:sz w:val="24"/>
          <w:szCs w:val="24"/>
          <w:lang w:val="en-GB"/>
        </w:rPr>
        <w:t xml:space="preserve">Document </w:t>
      </w:r>
      <w:hyperlink r:id="rId623" w:history="1">
        <w:r w:rsidRPr="00380B40">
          <w:rPr>
            <w:rStyle w:val="Hyperlink"/>
            <w:szCs w:val="22"/>
            <w:lang w:val="en-GB"/>
          </w:rPr>
          <w:t>ADM/32</w:t>
        </w:r>
      </w:hyperlink>
      <w:r w:rsidRPr="00380B40">
        <w:rPr>
          <w:rStyle w:val="Hyperlink"/>
          <w:szCs w:val="22"/>
          <w:lang w:val="en-GB"/>
        </w:rPr>
        <w:t xml:space="preserve"> Rev.1</w:t>
      </w:r>
      <w:r w:rsidRPr="00380B40">
        <w:rPr>
          <w:lang w:val="en-GB"/>
        </w:rPr>
        <w:t xml:space="preserve">) was adopted. </w:t>
      </w:r>
      <w:r w:rsidR="0025040B" w:rsidRPr="00380B40">
        <w:rPr>
          <w:lang w:val="en-GB"/>
        </w:rPr>
        <w:t xml:space="preserve">Document </w:t>
      </w:r>
      <w:r w:rsidRPr="00380B40">
        <w:rPr>
          <w:lang w:val="en-GB"/>
        </w:rPr>
        <w:t>C44 was agreed to be moved to the second part of the session.</w:t>
      </w:r>
    </w:p>
    <w:p w14:paraId="0FA0973C" w14:textId="77777777" w:rsidR="009033A7" w:rsidRPr="00380B40" w:rsidRDefault="009033A7" w:rsidP="002B0D37">
      <w:pPr>
        <w:rPr>
          <w:szCs w:val="22"/>
          <w:lang w:val="en-GB"/>
        </w:rPr>
      </w:pPr>
      <w:r w:rsidRPr="00380B40">
        <w:rPr>
          <w:lang w:val="en-GB"/>
        </w:rPr>
        <w:t xml:space="preserve">As Documents </w:t>
      </w:r>
      <w:hyperlink r:id="rId624" w:history="1">
        <w:r w:rsidRPr="00380B40">
          <w:rPr>
            <w:rStyle w:val="Hyperlink"/>
            <w:szCs w:val="24"/>
            <w:lang w:val="en-GB"/>
          </w:rPr>
          <w:t>C78</w:t>
        </w:r>
      </w:hyperlink>
      <w:r w:rsidRPr="00380B40">
        <w:rPr>
          <w:szCs w:val="22"/>
          <w:lang w:val="en-GB"/>
        </w:rPr>
        <w:t xml:space="preserve"> and </w:t>
      </w:r>
      <w:hyperlink r:id="rId625" w:history="1">
        <w:r w:rsidRPr="00380B40">
          <w:rPr>
            <w:rStyle w:val="Hyperlink"/>
            <w:szCs w:val="24"/>
            <w:lang w:val="en-GB"/>
          </w:rPr>
          <w:t>C98</w:t>
        </w:r>
      </w:hyperlink>
      <w:r w:rsidRPr="00380B40">
        <w:rPr>
          <w:szCs w:val="22"/>
          <w:lang w:val="en-GB"/>
        </w:rPr>
        <w:t xml:space="preserve"> and documents of agenda items 10, …, 10.8 and 17 were not available during the course of the meeting, they were deferred to the next plenary session.</w:t>
      </w:r>
    </w:p>
    <w:p w14:paraId="1ED6921F" w14:textId="77777777" w:rsidR="009033A7" w:rsidRPr="00380B40" w:rsidRDefault="009033A7" w:rsidP="002F74FB">
      <w:pPr>
        <w:pStyle w:val="Heading1"/>
        <w:rPr>
          <w:b w:val="0"/>
          <w:bCs/>
          <w:szCs w:val="24"/>
          <w:lang w:val="en-GB"/>
        </w:rPr>
      </w:pPr>
      <w:bookmarkStart w:id="2520" w:name="_Toc111637239"/>
      <w:r w:rsidRPr="00380B40">
        <w:rPr>
          <w:bCs/>
          <w:szCs w:val="24"/>
          <w:lang w:val="en-GB"/>
        </w:rPr>
        <w:t>3</w:t>
      </w:r>
      <w:r w:rsidRPr="00380B40">
        <w:rPr>
          <w:bCs/>
          <w:szCs w:val="24"/>
          <w:lang w:val="en-GB"/>
        </w:rPr>
        <w:tab/>
      </w:r>
      <w:r w:rsidRPr="00380B40">
        <w:rPr>
          <w:lang w:val="en-GB"/>
        </w:rPr>
        <w:t>Proxy</w:t>
      </w:r>
      <w:r w:rsidRPr="00380B40">
        <w:rPr>
          <w:bCs/>
          <w:szCs w:val="24"/>
          <w:lang w:val="en-GB"/>
        </w:rPr>
        <w:t xml:space="preserve"> vote</w:t>
      </w:r>
      <w:bookmarkEnd w:id="2520"/>
    </w:p>
    <w:p w14:paraId="28B06104" w14:textId="77777777" w:rsidR="009033A7" w:rsidRPr="00380B40" w:rsidRDefault="009033A7" w:rsidP="002B0D37">
      <w:pPr>
        <w:rPr>
          <w:highlight w:val="yellow"/>
          <w:lang w:val="en-GB"/>
        </w:rPr>
      </w:pPr>
      <w:r w:rsidRPr="00380B40">
        <w:rPr>
          <w:lang w:val="en-GB"/>
        </w:rPr>
        <w:t xml:space="preserve">The meeting took note of </w:t>
      </w:r>
      <w:r w:rsidRPr="00380B40">
        <w:rPr>
          <w:sz w:val="24"/>
          <w:szCs w:val="24"/>
          <w:lang w:val="en-GB"/>
        </w:rPr>
        <w:t xml:space="preserve">Document </w:t>
      </w:r>
      <w:hyperlink r:id="rId626" w:history="1">
        <w:r w:rsidRPr="00380B40">
          <w:rPr>
            <w:rStyle w:val="Hyperlink"/>
            <w:lang w:val="en-GB"/>
          </w:rPr>
          <w:t>C83</w:t>
        </w:r>
      </w:hyperlink>
      <w:r w:rsidRPr="00380B40">
        <w:rPr>
          <w:lang w:val="en-GB"/>
        </w:rPr>
        <w:t xml:space="preserve"> for the proxy vote wherein </w:t>
      </w:r>
      <w:r w:rsidRPr="00380B40">
        <w:rPr>
          <w:szCs w:val="24"/>
          <w:lang w:val="en-GB"/>
        </w:rPr>
        <w:t xml:space="preserve">Ireland </w:t>
      </w:r>
      <w:r w:rsidRPr="00380B40">
        <w:rPr>
          <w:lang w:val="en-GB"/>
        </w:rPr>
        <w:t xml:space="preserve">gave proxy vote to </w:t>
      </w:r>
      <w:r w:rsidRPr="00380B40">
        <w:rPr>
          <w:szCs w:val="24"/>
          <w:lang w:val="en-GB"/>
        </w:rPr>
        <w:t>Sweden</w:t>
      </w:r>
      <w:r w:rsidRPr="00380B40">
        <w:rPr>
          <w:lang w:val="en-GB"/>
        </w:rPr>
        <w:t>.</w:t>
      </w:r>
    </w:p>
    <w:p w14:paraId="1186A14F" w14:textId="77777777" w:rsidR="009033A7" w:rsidRPr="00380B40" w:rsidRDefault="009033A7" w:rsidP="002F74FB">
      <w:pPr>
        <w:pStyle w:val="Heading1"/>
        <w:rPr>
          <w:b w:val="0"/>
          <w:bCs/>
          <w:szCs w:val="24"/>
          <w:lang w:val="en-GB"/>
        </w:rPr>
      </w:pPr>
      <w:bookmarkStart w:id="2521" w:name="_Toc111637240"/>
      <w:r w:rsidRPr="00380B40">
        <w:rPr>
          <w:bCs/>
          <w:szCs w:val="24"/>
          <w:lang w:val="en-GB"/>
        </w:rPr>
        <w:t>4</w:t>
      </w:r>
      <w:r w:rsidRPr="00380B40">
        <w:rPr>
          <w:bCs/>
          <w:szCs w:val="24"/>
          <w:lang w:val="en-GB"/>
        </w:rPr>
        <w:tab/>
      </w:r>
      <w:r w:rsidRPr="00380B40">
        <w:rPr>
          <w:lang w:val="en-GB"/>
        </w:rPr>
        <w:t>Progress</w:t>
      </w:r>
      <w:r w:rsidRPr="00380B40">
        <w:rPr>
          <w:bCs/>
          <w:szCs w:val="24"/>
          <w:lang w:val="en-GB"/>
        </w:rPr>
        <w:t xml:space="preserve"> reports by Committee Chairmen</w:t>
      </w:r>
      <w:bookmarkEnd w:id="2521"/>
    </w:p>
    <w:p w14:paraId="74E718C8" w14:textId="77777777" w:rsidR="00073C64" w:rsidRPr="00380B40" w:rsidRDefault="00073C64" w:rsidP="002B0D37">
      <w:pPr>
        <w:tabs>
          <w:tab w:val="clear" w:pos="794"/>
          <w:tab w:val="clear" w:pos="1191"/>
          <w:tab w:val="clear" w:pos="1588"/>
          <w:tab w:val="clear" w:pos="1985"/>
          <w:tab w:val="left" w:pos="843"/>
        </w:tabs>
        <w:ind w:left="5"/>
        <w:jc w:val="left"/>
        <w:rPr>
          <w:lang w:val="en-GB"/>
        </w:rPr>
      </w:pPr>
      <w:r w:rsidRPr="00380B40">
        <w:rPr>
          <w:lang w:val="en-GB"/>
        </w:rPr>
        <w:t>4.1</w:t>
      </w:r>
      <w:r w:rsidRPr="00380B40">
        <w:rPr>
          <w:lang w:val="en-GB"/>
        </w:rPr>
        <w:tab/>
        <w:t xml:space="preserve">The Vice Chairman of Committee 2, "Budget control", </w:t>
      </w:r>
      <w:r w:rsidRPr="00380B40">
        <w:rPr>
          <w:bCs/>
          <w:lang w:val="en-GB"/>
        </w:rPr>
        <w:t xml:space="preserve">Mr Santiago Reyes-Borda, presented the report of the budget control Committee (Committee 2) (Document </w:t>
      </w:r>
      <w:hyperlink r:id="rId627" w:history="1">
        <w:r w:rsidRPr="00380B40">
          <w:rPr>
            <w:rStyle w:val="Hyperlink"/>
            <w:lang w:val="en-GB"/>
          </w:rPr>
          <w:t>C55</w:t>
        </w:r>
      </w:hyperlink>
      <w:r w:rsidRPr="00380B40">
        <w:rPr>
          <w:bCs/>
          <w:lang w:val="en-GB"/>
        </w:rPr>
        <w:t>).</w:t>
      </w:r>
    </w:p>
    <w:p w14:paraId="60AE9CA0" w14:textId="77777777" w:rsidR="00073C64" w:rsidRPr="00380B40" w:rsidRDefault="00073C64" w:rsidP="002B0D37">
      <w:pPr>
        <w:tabs>
          <w:tab w:val="clear" w:pos="794"/>
          <w:tab w:val="clear" w:pos="1191"/>
          <w:tab w:val="clear" w:pos="1588"/>
          <w:tab w:val="clear" w:pos="1985"/>
          <w:tab w:val="left" w:pos="843"/>
        </w:tabs>
        <w:ind w:left="5"/>
        <w:jc w:val="left"/>
        <w:rPr>
          <w:lang w:val="en-GB"/>
        </w:rPr>
      </w:pPr>
      <w:r w:rsidRPr="00380B40">
        <w:rPr>
          <w:bCs/>
          <w:lang w:val="en-GB"/>
        </w:rPr>
        <w:t>4.2</w:t>
      </w:r>
      <w:r w:rsidRPr="00380B40">
        <w:rPr>
          <w:lang w:val="en-GB"/>
        </w:rPr>
        <w:tab/>
        <w:t xml:space="preserve">The Chairman of Committee 3, "Working Methods of ITU-T", Mr Steve Trowbridge, </w:t>
      </w:r>
      <w:r w:rsidRPr="00380B40">
        <w:rPr>
          <w:bCs/>
          <w:lang w:val="en-GB"/>
        </w:rPr>
        <w:t>gave a status report of Committee 3.</w:t>
      </w:r>
    </w:p>
    <w:p w14:paraId="25BB9C97" w14:textId="77777777" w:rsidR="00073C64" w:rsidRPr="00380B40" w:rsidRDefault="00073C64" w:rsidP="002B0D37">
      <w:pPr>
        <w:tabs>
          <w:tab w:val="clear" w:pos="794"/>
          <w:tab w:val="clear" w:pos="1191"/>
          <w:tab w:val="clear" w:pos="1588"/>
          <w:tab w:val="clear" w:pos="1985"/>
          <w:tab w:val="left" w:pos="843"/>
        </w:tabs>
        <w:ind w:left="5"/>
        <w:jc w:val="left"/>
        <w:rPr>
          <w:lang w:val="en-GB"/>
        </w:rPr>
      </w:pPr>
      <w:r w:rsidRPr="00380B40">
        <w:rPr>
          <w:bCs/>
          <w:lang w:val="en-GB"/>
        </w:rPr>
        <w:t>4.3</w:t>
      </w:r>
      <w:r w:rsidRPr="00380B40">
        <w:rPr>
          <w:lang w:val="en-GB"/>
        </w:rPr>
        <w:tab/>
        <w:t xml:space="preserve">The Chairman of Committee 4, "ITU-T work programme and organization", Mr Philip Rushton, presented in Document </w:t>
      </w:r>
      <w:hyperlink r:id="rId628" w:history="1">
        <w:r w:rsidRPr="00380B40">
          <w:rPr>
            <w:rStyle w:val="Hyperlink"/>
            <w:lang w:val="en-GB"/>
          </w:rPr>
          <w:t>C88</w:t>
        </w:r>
      </w:hyperlink>
      <w:r w:rsidRPr="00380B40">
        <w:rPr>
          <w:bCs/>
          <w:lang w:val="en-GB"/>
        </w:rPr>
        <w:t xml:space="preserve"> </w:t>
      </w:r>
      <w:r w:rsidRPr="00380B40">
        <w:rPr>
          <w:lang w:val="en-GB"/>
        </w:rPr>
        <w:t>the final report of Committee 4.</w:t>
      </w:r>
    </w:p>
    <w:p w14:paraId="29730700" w14:textId="77777777" w:rsidR="00073C64" w:rsidRPr="00380B40" w:rsidRDefault="00073C64" w:rsidP="002B0D37">
      <w:pPr>
        <w:tabs>
          <w:tab w:val="clear" w:pos="794"/>
          <w:tab w:val="clear" w:pos="1191"/>
          <w:tab w:val="clear" w:pos="1588"/>
          <w:tab w:val="clear" w:pos="1985"/>
          <w:tab w:val="left" w:pos="843"/>
        </w:tabs>
        <w:ind w:left="5"/>
        <w:jc w:val="left"/>
        <w:rPr>
          <w:lang w:val="en-GB"/>
        </w:rPr>
      </w:pPr>
      <w:r w:rsidRPr="00380B40">
        <w:rPr>
          <w:bCs/>
          <w:lang w:val="en-GB"/>
        </w:rPr>
        <w:t>4.4</w:t>
      </w:r>
      <w:r w:rsidRPr="00380B40">
        <w:rPr>
          <w:lang w:val="en-GB"/>
        </w:rPr>
        <w:tab/>
      </w:r>
      <w:r w:rsidRPr="00380B40">
        <w:rPr>
          <w:bCs/>
          <w:lang w:val="en-GB"/>
        </w:rPr>
        <w:t>The plenary agreed the following actions:</w:t>
      </w:r>
    </w:p>
    <w:p w14:paraId="3CE0630B" w14:textId="77777777" w:rsidR="00073C64" w:rsidRPr="00380B40" w:rsidRDefault="00073C64" w:rsidP="002B0D37">
      <w:pPr>
        <w:tabs>
          <w:tab w:val="clear" w:pos="794"/>
          <w:tab w:val="clear" w:pos="1191"/>
          <w:tab w:val="clear" w:pos="1588"/>
          <w:tab w:val="clear" w:pos="1985"/>
          <w:tab w:val="left" w:pos="843"/>
        </w:tabs>
        <w:ind w:left="5"/>
        <w:jc w:val="left"/>
        <w:rPr>
          <w:lang w:val="en-GB"/>
        </w:rPr>
      </w:pPr>
      <w:r w:rsidRPr="00380B40">
        <w:rPr>
          <w:bCs/>
          <w:lang w:val="en-GB"/>
        </w:rPr>
        <w:t>4.4.1</w:t>
      </w:r>
      <w:r w:rsidRPr="00380B40">
        <w:rPr>
          <w:lang w:val="en-GB"/>
        </w:rPr>
        <w:tab/>
      </w:r>
      <w:r w:rsidRPr="00380B40">
        <w:rPr>
          <w:b/>
          <w:lang w:val="en-GB"/>
        </w:rPr>
        <w:t>WTSA-20 Action 1</w:t>
      </w:r>
      <w:r w:rsidRPr="00380B40">
        <w:rPr>
          <w:bCs/>
          <w:lang w:val="en-GB"/>
        </w:rPr>
        <w:t xml:space="preserve">: The Plenary agreed </w:t>
      </w:r>
      <w:r w:rsidRPr="00380B40">
        <w:rPr>
          <w:lang w:val="en-GB"/>
        </w:rPr>
        <w:t>to include the text of the draft new Resolution on pandemic (see Annex 1) into the final WTSA report, and invited the Plenipotentiary Conference to consider the text in Annex 1 and take any necessary actions on this matter, as appropriate.</w:t>
      </w:r>
    </w:p>
    <w:p w14:paraId="074460E3" w14:textId="77777777" w:rsidR="00073C64" w:rsidRPr="00380B40" w:rsidRDefault="00073C64" w:rsidP="002B0D37">
      <w:pPr>
        <w:tabs>
          <w:tab w:val="clear" w:pos="794"/>
          <w:tab w:val="clear" w:pos="1191"/>
          <w:tab w:val="clear" w:pos="1588"/>
          <w:tab w:val="clear" w:pos="1985"/>
          <w:tab w:val="left" w:pos="843"/>
        </w:tabs>
        <w:ind w:left="5"/>
        <w:jc w:val="left"/>
        <w:rPr>
          <w:lang w:val="en-GB"/>
        </w:rPr>
      </w:pPr>
      <w:r w:rsidRPr="00380B40">
        <w:rPr>
          <w:bCs/>
          <w:lang w:val="en-GB"/>
        </w:rPr>
        <w:t>4.4.2</w:t>
      </w:r>
      <w:r w:rsidRPr="00380B40">
        <w:rPr>
          <w:lang w:val="en-GB"/>
        </w:rPr>
        <w:tab/>
      </w:r>
      <w:r w:rsidRPr="00380B40">
        <w:rPr>
          <w:b/>
          <w:lang w:val="en-GB"/>
        </w:rPr>
        <w:t>WTSA-20 Action 2</w:t>
      </w:r>
      <w:r w:rsidRPr="00380B40">
        <w:rPr>
          <w:bCs/>
          <w:lang w:val="en-GB"/>
        </w:rPr>
        <w:t>: The Plenary</w:t>
      </w:r>
      <w:r w:rsidRPr="00380B40">
        <w:rPr>
          <w:lang w:val="en-GB"/>
        </w:rPr>
        <w:t xml:space="preserve"> instructs the TSB Director to inform the Directors of the other two Bureaux on the above request to the Plenipotentiary Conference for necessary coordination.</w:t>
      </w:r>
    </w:p>
    <w:p w14:paraId="6545874E" w14:textId="77777777" w:rsidR="00C85DAE" w:rsidRPr="00380B40" w:rsidRDefault="00C85DAE" w:rsidP="002B0D37">
      <w:pPr>
        <w:rPr>
          <w:lang w:val="en-GB"/>
        </w:rPr>
      </w:pPr>
      <w:r w:rsidRPr="00380B40">
        <w:rPr>
          <w:lang w:val="en-GB"/>
        </w:rPr>
        <w:br w:type="page"/>
      </w:r>
    </w:p>
    <w:p w14:paraId="3764A6EF" w14:textId="77777777" w:rsidR="00073C64" w:rsidRPr="00380B40" w:rsidRDefault="00073C64" w:rsidP="002B0D37">
      <w:pPr>
        <w:rPr>
          <w:lang w:val="en-GB"/>
        </w:rPr>
      </w:pPr>
      <w:r w:rsidRPr="00380B40">
        <w:rPr>
          <w:lang w:val="en-GB"/>
        </w:rPr>
        <w:t>4.4.3</w:t>
      </w:r>
      <w:r w:rsidRPr="00380B40">
        <w:rPr>
          <w:lang w:val="en-GB"/>
        </w:rPr>
        <w:tab/>
        <w:t>The Plenary agreed to include the text on "SMART Submarine Cable Systems", found below, in the meeting report of WTSA-20:</w:t>
      </w:r>
    </w:p>
    <w:p w14:paraId="2B64F25F" w14:textId="77777777" w:rsidR="00073C64" w:rsidRPr="00380B40" w:rsidRDefault="00073C64" w:rsidP="002B0D37">
      <w:pPr>
        <w:rPr>
          <w:i/>
          <w:iCs/>
          <w:lang w:val="en-GB"/>
        </w:rPr>
      </w:pPr>
      <w:r w:rsidRPr="00380B40">
        <w:rPr>
          <w:lang w:val="en-GB"/>
        </w:rPr>
        <w:t>T</w:t>
      </w:r>
      <w:r w:rsidRPr="00380B40">
        <w:rPr>
          <w:i/>
          <w:iCs/>
          <w:lang w:val="en-GB"/>
        </w:rPr>
        <w:t>aking into consideration that the Assembly acknowledged the importance of SMART (Science Monitoring and Reliable Telecommunications) Cables for climate change and seismic monitoring, and the wide support of the Assembly for the roll-out of activities around this concept within ITU-T Sector;</w:t>
      </w:r>
    </w:p>
    <w:p w14:paraId="5AB2EE4B" w14:textId="77777777" w:rsidR="00073C64" w:rsidRPr="00380B40" w:rsidRDefault="00073C64" w:rsidP="002B0D37">
      <w:pPr>
        <w:tabs>
          <w:tab w:val="clear" w:pos="794"/>
          <w:tab w:val="clear" w:pos="1191"/>
          <w:tab w:val="clear" w:pos="1588"/>
          <w:tab w:val="clear" w:pos="1985"/>
          <w:tab w:val="left" w:pos="843"/>
        </w:tabs>
        <w:ind w:left="5"/>
        <w:jc w:val="left"/>
        <w:rPr>
          <w:lang w:val="en-GB"/>
        </w:rPr>
      </w:pPr>
      <w:r w:rsidRPr="00380B40">
        <w:rPr>
          <w:i/>
          <w:iCs/>
          <w:lang w:val="en-GB"/>
        </w:rPr>
        <w:t>Considering that standardization of the submarine SMART cables is needed in order to ensure harmonized development, implementation and operation of these systems globally, making it possible to use submarine SMART cables for climate and ocean observation, sea level monitoring, observations of Earth structure, and tsunami and earthquake early warning and disaster risk reduction.</w:t>
      </w:r>
    </w:p>
    <w:p w14:paraId="1D6C8D8A" w14:textId="77777777" w:rsidR="00073C64" w:rsidRPr="00380B40" w:rsidRDefault="00073C64" w:rsidP="002B0D37">
      <w:pPr>
        <w:tabs>
          <w:tab w:val="clear" w:pos="794"/>
          <w:tab w:val="clear" w:pos="1191"/>
          <w:tab w:val="clear" w:pos="1588"/>
          <w:tab w:val="clear" w:pos="1985"/>
          <w:tab w:val="left" w:pos="843"/>
        </w:tabs>
        <w:ind w:left="5"/>
        <w:jc w:val="left"/>
        <w:rPr>
          <w:lang w:val="en-GB"/>
        </w:rPr>
      </w:pPr>
      <w:r w:rsidRPr="00380B40">
        <w:rPr>
          <w:lang w:val="en-GB"/>
        </w:rPr>
        <w:t>4.4.4</w:t>
      </w:r>
      <w:r w:rsidRPr="00380B40">
        <w:rPr>
          <w:lang w:val="en-GB"/>
        </w:rPr>
        <w:tab/>
      </w:r>
      <w:r w:rsidRPr="00380B40">
        <w:rPr>
          <w:b/>
          <w:lang w:val="en-GB"/>
        </w:rPr>
        <w:t xml:space="preserve">WTSA-20 Action 3: </w:t>
      </w:r>
      <w:r w:rsidRPr="00380B40">
        <w:rPr>
          <w:lang w:val="en-GB"/>
        </w:rPr>
        <w:t>To forward the text above to TSAG for coordination and to the relevant study groups for action, as appropriate.</w:t>
      </w:r>
    </w:p>
    <w:p w14:paraId="687E95E3" w14:textId="77777777" w:rsidR="00073C64" w:rsidRPr="00380B40" w:rsidRDefault="00073C64" w:rsidP="002B0D37">
      <w:pPr>
        <w:tabs>
          <w:tab w:val="clear" w:pos="794"/>
          <w:tab w:val="clear" w:pos="1191"/>
          <w:tab w:val="clear" w:pos="1588"/>
          <w:tab w:val="clear" w:pos="1985"/>
          <w:tab w:val="left" w:pos="843"/>
        </w:tabs>
        <w:ind w:left="5"/>
        <w:jc w:val="left"/>
        <w:rPr>
          <w:lang w:val="en-GB"/>
        </w:rPr>
      </w:pPr>
      <w:r w:rsidRPr="00380B40">
        <w:rPr>
          <w:lang w:val="en-GB"/>
        </w:rPr>
        <w:t>4.4.5</w:t>
      </w:r>
      <w:r w:rsidRPr="00380B40">
        <w:rPr>
          <w:lang w:val="en-GB"/>
        </w:rPr>
        <w:tab/>
      </w:r>
      <w:r w:rsidRPr="00380B40">
        <w:rPr>
          <w:b/>
          <w:lang w:val="en-GB"/>
        </w:rPr>
        <w:t>WTSA-20 Action 4</w:t>
      </w:r>
      <w:r w:rsidRPr="00380B40">
        <w:rPr>
          <w:lang w:val="en-GB"/>
        </w:rPr>
        <w:t xml:space="preserve"> instructs ITU-T study groups to study the concept of SMART cables and encourage further consideration of related issues that impact the feasibility of related projects and the deployment of SMART cables, invites the study groups to report on their activities to TSAG as part of their regular reporting.</w:t>
      </w:r>
    </w:p>
    <w:p w14:paraId="5B490C7D" w14:textId="77777777" w:rsidR="00073C64" w:rsidRPr="00380B40" w:rsidRDefault="00073C64" w:rsidP="002B0D37">
      <w:pPr>
        <w:tabs>
          <w:tab w:val="clear" w:pos="794"/>
          <w:tab w:val="clear" w:pos="1191"/>
          <w:tab w:val="clear" w:pos="1588"/>
          <w:tab w:val="clear" w:pos="1985"/>
          <w:tab w:val="left" w:pos="843"/>
        </w:tabs>
        <w:ind w:left="5"/>
        <w:jc w:val="left"/>
        <w:rPr>
          <w:lang w:val="en-GB"/>
        </w:rPr>
      </w:pPr>
      <w:r w:rsidRPr="00380B40">
        <w:rPr>
          <w:lang w:val="en-GB"/>
        </w:rPr>
        <w:t>4.4.6</w:t>
      </w:r>
      <w:r w:rsidRPr="00380B40">
        <w:rPr>
          <w:lang w:val="en-GB"/>
        </w:rPr>
        <w:tab/>
      </w:r>
      <w:r w:rsidRPr="00380B40">
        <w:rPr>
          <w:b/>
          <w:lang w:val="en-GB"/>
        </w:rPr>
        <w:t>WTSA-20 Action 5</w:t>
      </w:r>
      <w:r w:rsidRPr="00380B40">
        <w:rPr>
          <w:lang w:val="en-GB"/>
        </w:rPr>
        <w:t xml:space="preserve"> instructs the Director of the Telecommunication Standardization Bureau to liaise with the Joint Task Force (JTF) SMART Cables, other standards-development organizations (SDOs), research institutes and other organizations and stakeholders to exploit synergies and avoid duplication of efforts among such organizations.</w:t>
      </w:r>
    </w:p>
    <w:p w14:paraId="1C710E40" w14:textId="77777777" w:rsidR="00073C64" w:rsidRPr="00380B40" w:rsidRDefault="00073C64" w:rsidP="002B0D37">
      <w:pPr>
        <w:tabs>
          <w:tab w:val="clear" w:pos="794"/>
          <w:tab w:val="clear" w:pos="1191"/>
          <w:tab w:val="clear" w:pos="1588"/>
          <w:tab w:val="clear" w:pos="1985"/>
          <w:tab w:val="left" w:pos="843"/>
        </w:tabs>
        <w:ind w:left="5"/>
        <w:jc w:val="left"/>
        <w:rPr>
          <w:lang w:val="en-GB"/>
        </w:rPr>
      </w:pPr>
      <w:r w:rsidRPr="00380B40">
        <w:rPr>
          <w:lang w:val="en-GB"/>
        </w:rPr>
        <w:t>4.4.7</w:t>
      </w:r>
      <w:r w:rsidRPr="00380B40">
        <w:rPr>
          <w:lang w:val="en-GB"/>
        </w:rPr>
        <w:tab/>
      </w:r>
      <w:r w:rsidRPr="00380B40">
        <w:rPr>
          <w:b/>
          <w:lang w:val="en-GB"/>
        </w:rPr>
        <w:t>WTSA-20 Action 6</w:t>
      </w:r>
      <w:r w:rsidRPr="00380B40">
        <w:rPr>
          <w:lang w:val="en-GB"/>
        </w:rPr>
        <w:t xml:space="preserve"> invites the Secretary-General to continue to cooperate and collaborate with other entities within the United Nations in formulating future international efforts related to SMART cables as they contribute to the achievement of the goals of the 2030 Agenda for Sustainable Development.</w:t>
      </w:r>
    </w:p>
    <w:p w14:paraId="383C63E0" w14:textId="77777777" w:rsidR="00073C64" w:rsidRPr="00380B40" w:rsidRDefault="00073C64" w:rsidP="002B0D37">
      <w:pPr>
        <w:tabs>
          <w:tab w:val="clear" w:pos="794"/>
          <w:tab w:val="clear" w:pos="1191"/>
          <w:tab w:val="clear" w:pos="1588"/>
          <w:tab w:val="clear" w:pos="1985"/>
          <w:tab w:val="left" w:pos="843"/>
        </w:tabs>
        <w:ind w:left="5"/>
        <w:jc w:val="left"/>
        <w:rPr>
          <w:lang w:val="en-GB"/>
        </w:rPr>
      </w:pPr>
      <w:r w:rsidRPr="00380B40">
        <w:rPr>
          <w:lang w:val="en-GB"/>
        </w:rPr>
        <w:t>4.4.8</w:t>
      </w:r>
      <w:r w:rsidRPr="00380B40">
        <w:rPr>
          <w:lang w:val="en-GB"/>
        </w:rPr>
        <w:tab/>
      </w:r>
      <w:r w:rsidRPr="00380B40">
        <w:rPr>
          <w:b/>
          <w:lang w:val="en-GB"/>
        </w:rPr>
        <w:t>WTSA-20 Action 7</w:t>
      </w:r>
      <w:r w:rsidRPr="00380B40">
        <w:rPr>
          <w:lang w:val="en-GB"/>
        </w:rPr>
        <w:t xml:space="preserve"> invites </w:t>
      </w:r>
      <w:r w:rsidRPr="00380B40">
        <w:rPr>
          <w:i/>
          <w:iCs/>
          <w:lang w:val="en-GB"/>
        </w:rPr>
        <w:t>Member States, Sector Members and Associates to contribute actively to the work of the JTF SMART Cables;</w:t>
      </w:r>
    </w:p>
    <w:p w14:paraId="7FD04BCF" w14:textId="77777777" w:rsidR="00073C64" w:rsidRPr="00380B40" w:rsidRDefault="00073C64" w:rsidP="002B0D37">
      <w:pPr>
        <w:rPr>
          <w:lang w:val="en-GB"/>
        </w:rPr>
      </w:pPr>
      <w:r w:rsidRPr="00380B40">
        <w:rPr>
          <w:lang w:val="en-GB"/>
        </w:rPr>
        <w:t>4.4.9</w:t>
      </w:r>
      <w:r w:rsidRPr="00380B40">
        <w:rPr>
          <w:lang w:val="en-GB"/>
        </w:rPr>
        <w:tab/>
      </w:r>
      <w:r w:rsidRPr="00380B40">
        <w:rPr>
          <w:b/>
          <w:bCs/>
          <w:lang w:val="en-GB"/>
        </w:rPr>
        <w:t xml:space="preserve">WTSA-20 Action 8: </w:t>
      </w:r>
      <w:r w:rsidRPr="00380B40">
        <w:rPr>
          <w:lang w:val="en-GB"/>
        </w:rPr>
        <w:t>To include the considerations on "non radio aspects of Open Networks including standardization of Open Access Networks", found below, in the meeting report of WTSA-20.</w:t>
      </w:r>
    </w:p>
    <w:p w14:paraId="74F93051" w14:textId="77777777" w:rsidR="00073C64" w:rsidRPr="00380B40" w:rsidRDefault="00073C64" w:rsidP="002B0D37">
      <w:pPr>
        <w:tabs>
          <w:tab w:val="clear" w:pos="794"/>
          <w:tab w:val="clear" w:pos="1191"/>
          <w:tab w:val="clear" w:pos="1588"/>
          <w:tab w:val="clear" w:pos="1985"/>
          <w:tab w:val="left" w:pos="843"/>
        </w:tabs>
        <w:ind w:left="5"/>
        <w:jc w:val="left"/>
        <w:rPr>
          <w:i/>
          <w:iCs/>
          <w:lang w:val="en-GB"/>
        </w:rPr>
      </w:pPr>
      <w:r w:rsidRPr="00380B40">
        <w:rPr>
          <w:i/>
          <w:iCs/>
          <w:lang w:val="en-GB"/>
        </w:rPr>
        <w:t>A new resolution proposal was submitted to WTSA-20 on the development and adoption of open networks including open access networks for IMT systems (e.g. open radio access network) and key aspects of this topic were considered in the context of revisions to WTSA Resolution 92. The proposal emphasized the importance of this topic and the growing interests in promoting such innovative interoperable system components and network elements. In response to ITU resolutions on bridging the digital divide in broadband connectivity, particularly in developing countries, further collaboration is needed to make these technologies readily available in a cost-effective manner. WTSA-20 invites members to make proposals on this important topic to WTDC with the objective of promoting the wide adoption of these new technologies and solutions globally.</w:t>
      </w:r>
    </w:p>
    <w:p w14:paraId="16BF97D4" w14:textId="77777777" w:rsidR="00C85DAE" w:rsidRPr="00380B40" w:rsidRDefault="00C85DAE" w:rsidP="002B0D37">
      <w:pPr>
        <w:rPr>
          <w:lang w:val="en-GB"/>
        </w:rPr>
      </w:pPr>
      <w:r w:rsidRPr="00380B40">
        <w:rPr>
          <w:lang w:val="en-GB"/>
        </w:rPr>
        <w:br w:type="page"/>
      </w:r>
    </w:p>
    <w:p w14:paraId="4F3051FE" w14:textId="77777777" w:rsidR="00073C64" w:rsidRPr="00380B40" w:rsidRDefault="00073C64" w:rsidP="002B0D37">
      <w:pPr>
        <w:rPr>
          <w:bCs/>
          <w:lang w:val="en-GB"/>
        </w:rPr>
      </w:pPr>
      <w:r w:rsidRPr="00380B40">
        <w:rPr>
          <w:lang w:val="en-GB"/>
        </w:rPr>
        <w:t>4.5</w:t>
      </w:r>
      <w:r w:rsidRPr="00380B40">
        <w:rPr>
          <w:lang w:val="en-GB"/>
        </w:rPr>
        <w:tab/>
        <w:t xml:space="preserve">The Chairman of Committee 5, "Editorial Committee", Ms Rim Belhaj, </w:t>
      </w:r>
      <w:r w:rsidRPr="00380B40">
        <w:rPr>
          <w:bCs/>
          <w:lang w:val="en-GB"/>
        </w:rPr>
        <w:t>gave a status report of Committee</w:t>
      </w:r>
      <w:r w:rsidR="00894B49" w:rsidRPr="00380B40">
        <w:rPr>
          <w:bCs/>
          <w:lang w:val="en-GB"/>
        </w:rPr>
        <w:t> </w:t>
      </w:r>
      <w:r w:rsidRPr="00380B40">
        <w:rPr>
          <w:bCs/>
          <w:lang w:val="en-GB"/>
        </w:rPr>
        <w:t>5.</w:t>
      </w:r>
    </w:p>
    <w:p w14:paraId="0BC65D09" w14:textId="77777777" w:rsidR="00073C64" w:rsidRPr="00380B40" w:rsidRDefault="00073C64" w:rsidP="002B0D37">
      <w:pPr>
        <w:tabs>
          <w:tab w:val="clear" w:pos="794"/>
          <w:tab w:val="clear" w:pos="1191"/>
          <w:tab w:val="clear" w:pos="1588"/>
          <w:tab w:val="clear" w:pos="1985"/>
          <w:tab w:val="left" w:pos="843"/>
        </w:tabs>
        <w:ind w:left="5"/>
        <w:jc w:val="left"/>
        <w:rPr>
          <w:lang w:val="en-GB"/>
        </w:rPr>
      </w:pPr>
      <w:r w:rsidRPr="00380B40">
        <w:rPr>
          <w:bCs/>
          <w:lang w:val="en-GB"/>
        </w:rPr>
        <w:t>The Plenary, in accordance with WTSA Resolution 1 section 1.8, authorized the Editorial Committee to hold meetings after the closing of the assembly to complete its tasks as assigned by the assembly.</w:t>
      </w:r>
    </w:p>
    <w:p w14:paraId="53EBDAFD" w14:textId="77777777" w:rsidR="00073C64" w:rsidRPr="00380B40" w:rsidRDefault="00073C64" w:rsidP="002B0D37">
      <w:pPr>
        <w:tabs>
          <w:tab w:val="clear" w:pos="794"/>
          <w:tab w:val="clear" w:pos="1191"/>
          <w:tab w:val="clear" w:pos="1588"/>
          <w:tab w:val="clear" w:pos="1985"/>
          <w:tab w:val="left" w:pos="843"/>
        </w:tabs>
        <w:ind w:left="5"/>
        <w:jc w:val="left"/>
        <w:rPr>
          <w:lang w:val="en-GB"/>
        </w:rPr>
      </w:pPr>
      <w:r w:rsidRPr="00380B40">
        <w:rPr>
          <w:lang w:val="en-GB"/>
        </w:rPr>
        <w:t>4.6</w:t>
      </w:r>
      <w:r w:rsidRPr="00380B40">
        <w:rPr>
          <w:lang w:val="en-GB"/>
        </w:rPr>
        <w:tab/>
      </w:r>
      <w:r w:rsidRPr="00380B40">
        <w:rPr>
          <w:bCs/>
          <w:lang w:val="en-GB"/>
        </w:rPr>
        <w:t>The Plenary took note of the reports.</w:t>
      </w:r>
    </w:p>
    <w:p w14:paraId="1A3D0902" w14:textId="77777777" w:rsidR="00073C64" w:rsidRPr="00380B40" w:rsidRDefault="00073C64" w:rsidP="002B0D37">
      <w:pPr>
        <w:tabs>
          <w:tab w:val="clear" w:pos="794"/>
          <w:tab w:val="clear" w:pos="1191"/>
          <w:tab w:val="clear" w:pos="1588"/>
          <w:tab w:val="clear" w:pos="1985"/>
          <w:tab w:val="left" w:pos="843"/>
        </w:tabs>
        <w:ind w:left="5"/>
        <w:jc w:val="left"/>
        <w:rPr>
          <w:lang w:val="en-GB"/>
        </w:rPr>
      </w:pPr>
      <w:r w:rsidRPr="00380B40">
        <w:rPr>
          <w:lang w:val="en-GB"/>
        </w:rPr>
        <w:t>4.7</w:t>
      </w:r>
      <w:r w:rsidRPr="00380B40">
        <w:rPr>
          <w:lang w:val="en-GB"/>
        </w:rPr>
        <w:tab/>
      </w:r>
      <w:r w:rsidRPr="00380B40">
        <w:rPr>
          <w:bCs/>
          <w:lang w:val="en-GB"/>
        </w:rPr>
        <w:t xml:space="preserve">The Plenary approved the reports in Documents </w:t>
      </w:r>
      <w:hyperlink r:id="rId629" w:history="1">
        <w:r w:rsidRPr="00380B40">
          <w:rPr>
            <w:rStyle w:val="Hyperlink"/>
            <w:lang w:val="en-GB"/>
          </w:rPr>
          <w:t>C55</w:t>
        </w:r>
      </w:hyperlink>
      <w:r w:rsidRPr="00380B40">
        <w:rPr>
          <w:bCs/>
          <w:lang w:val="en-GB"/>
        </w:rPr>
        <w:t xml:space="preserve">, and </w:t>
      </w:r>
      <w:hyperlink r:id="rId630" w:history="1">
        <w:r w:rsidRPr="00380B40">
          <w:rPr>
            <w:rStyle w:val="Hyperlink"/>
            <w:lang w:val="en-GB"/>
          </w:rPr>
          <w:t>C88</w:t>
        </w:r>
      </w:hyperlink>
      <w:r w:rsidRPr="00380B40">
        <w:rPr>
          <w:bCs/>
          <w:lang w:val="en-GB"/>
        </w:rPr>
        <w:t>.</w:t>
      </w:r>
    </w:p>
    <w:p w14:paraId="328F5730" w14:textId="77777777" w:rsidR="009033A7" w:rsidRPr="00380B40" w:rsidRDefault="009033A7" w:rsidP="002F74FB">
      <w:pPr>
        <w:pStyle w:val="Heading1"/>
        <w:rPr>
          <w:b w:val="0"/>
          <w:bCs/>
          <w:szCs w:val="24"/>
          <w:lang w:val="en-GB"/>
        </w:rPr>
      </w:pPr>
      <w:bookmarkStart w:id="2522" w:name="_Toc111637241"/>
      <w:r w:rsidRPr="00380B40">
        <w:rPr>
          <w:bCs/>
          <w:szCs w:val="24"/>
          <w:lang w:val="en-GB"/>
        </w:rPr>
        <w:t>5</w:t>
      </w:r>
      <w:r w:rsidRPr="00380B40">
        <w:rPr>
          <w:bCs/>
          <w:szCs w:val="24"/>
          <w:lang w:val="en-GB"/>
        </w:rPr>
        <w:tab/>
        <w:t xml:space="preserve">Fifth series of texts submitted by Editorial Committee to the Plenary Meeting (Res.11, Res.18, </w:t>
      </w:r>
      <w:r w:rsidRPr="00380B40">
        <w:rPr>
          <w:lang w:val="en-GB"/>
        </w:rPr>
        <w:t>Res</w:t>
      </w:r>
      <w:r w:rsidRPr="00380B40">
        <w:rPr>
          <w:bCs/>
          <w:szCs w:val="24"/>
          <w:lang w:val="en-GB"/>
        </w:rPr>
        <w:t xml:space="preserve">.55, Res.67) (Document </w:t>
      </w:r>
      <w:hyperlink r:id="rId631" w:history="1">
        <w:r w:rsidRPr="00380B40">
          <w:rPr>
            <w:rStyle w:val="Hyperlink"/>
            <w:b w:val="0"/>
            <w:bCs/>
            <w:lang w:val="en-GB"/>
          </w:rPr>
          <w:t>C85</w:t>
        </w:r>
      </w:hyperlink>
      <w:r w:rsidRPr="00380B40">
        <w:rPr>
          <w:szCs w:val="24"/>
          <w:lang w:val="en-GB"/>
        </w:rPr>
        <w:t>)</w:t>
      </w:r>
      <w:bookmarkEnd w:id="2522"/>
    </w:p>
    <w:p w14:paraId="40108E86" w14:textId="77777777" w:rsidR="009033A7" w:rsidRPr="00380B40" w:rsidRDefault="009033A7" w:rsidP="002B0D37">
      <w:pPr>
        <w:rPr>
          <w:lang w:val="en-GB"/>
        </w:rPr>
      </w:pPr>
      <w:r w:rsidRPr="00380B40">
        <w:rPr>
          <w:lang w:val="en-GB"/>
        </w:rPr>
        <w:t>The Plenary approved:</w:t>
      </w:r>
    </w:p>
    <w:p w14:paraId="56388C76" w14:textId="77777777" w:rsidR="009033A7" w:rsidRPr="00380B40" w:rsidRDefault="009033A7" w:rsidP="009033A7">
      <w:pPr>
        <w:pStyle w:val="enumlev1"/>
        <w:rPr>
          <w:szCs w:val="22"/>
          <w:lang w:val="en-GB"/>
        </w:rPr>
      </w:pPr>
      <w:r w:rsidRPr="00380B40">
        <w:rPr>
          <w:szCs w:val="22"/>
          <w:lang w:val="en-GB"/>
        </w:rPr>
        <w:t>–</w:t>
      </w:r>
      <w:r w:rsidRPr="00380B40">
        <w:rPr>
          <w:szCs w:val="22"/>
          <w:lang w:val="en-GB"/>
        </w:rPr>
        <w:tab/>
        <w:t xml:space="preserve">no change to Resolution 11 (Rev. Hammamet, 2016), </w:t>
      </w:r>
      <w:r w:rsidRPr="00380B40">
        <w:rPr>
          <w:i/>
          <w:iCs/>
          <w:szCs w:val="22"/>
          <w:lang w:val="en-GB"/>
        </w:rPr>
        <w:t>Collaboration with the Postal Operations Council of the Universal Postal Union in the study of services concerning both the postal and the telecommunication sectors</w:t>
      </w:r>
      <w:r w:rsidRPr="00380B40">
        <w:rPr>
          <w:szCs w:val="22"/>
          <w:lang w:val="en-GB"/>
        </w:rPr>
        <w:t>;</w:t>
      </w:r>
    </w:p>
    <w:p w14:paraId="52716647" w14:textId="77777777" w:rsidR="009033A7" w:rsidRPr="00380B40" w:rsidRDefault="009033A7" w:rsidP="009033A7">
      <w:pPr>
        <w:pStyle w:val="enumlev1"/>
        <w:rPr>
          <w:szCs w:val="22"/>
          <w:lang w:val="en-GB"/>
        </w:rPr>
      </w:pPr>
      <w:r w:rsidRPr="00380B40">
        <w:rPr>
          <w:szCs w:val="22"/>
          <w:lang w:val="en-GB"/>
        </w:rPr>
        <w:t>–</w:t>
      </w:r>
      <w:r w:rsidRPr="00380B40">
        <w:rPr>
          <w:szCs w:val="22"/>
          <w:lang w:val="en-GB"/>
        </w:rPr>
        <w:tab/>
        <w:t xml:space="preserve">revised Resolution 18 (Rev. Geneva, 2022), </w:t>
      </w:r>
      <w:r w:rsidRPr="00380B40">
        <w:rPr>
          <w:i/>
          <w:iCs/>
          <w:szCs w:val="22"/>
          <w:lang w:val="en-GB"/>
        </w:rPr>
        <w:t>Principles and procedures for the allocation of work to, and strengthening coordination and cooperation among, the ITU Radiocommunication, ITU Telecommunication Standardization and ITU Telecommunication Development Sectors</w:t>
      </w:r>
      <w:r w:rsidRPr="00380B40">
        <w:rPr>
          <w:szCs w:val="22"/>
          <w:lang w:val="en-GB"/>
        </w:rPr>
        <w:t>;</w:t>
      </w:r>
    </w:p>
    <w:p w14:paraId="636DA2B5" w14:textId="77777777" w:rsidR="009033A7" w:rsidRPr="00380B40" w:rsidRDefault="009033A7" w:rsidP="009033A7">
      <w:pPr>
        <w:pStyle w:val="enumlev1"/>
        <w:rPr>
          <w:i/>
          <w:iCs/>
          <w:szCs w:val="22"/>
          <w:lang w:val="en-GB"/>
        </w:rPr>
      </w:pPr>
      <w:r w:rsidRPr="00380B40">
        <w:rPr>
          <w:szCs w:val="22"/>
          <w:lang w:val="en-GB"/>
        </w:rPr>
        <w:t>–</w:t>
      </w:r>
      <w:r w:rsidRPr="00380B40">
        <w:rPr>
          <w:szCs w:val="22"/>
          <w:lang w:val="en-GB"/>
        </w:rPr>
        <w:tab/>
        <w:t xml:space="preserve">revised Resolution 55 (Rev. Geneva, 2022), </w:t>
      </w:r>
      <w:r w:rsidRPr="00380B40">
        <w:rPr>
          <w:i/>
          <w:iCs/>
          <w:szCs w:val="22"/>
          <w:lang w:val="en-GB"/>
        </w:rPr>
        <w:t>Promoting gender equality in ITU Telecommunication Standardization Sector activities;</w:t>
      </w:r>
    </w:p>
    <w:p w14:paraId="0007EFB2" w14:textId="77777777" w:rsidR="009033A7" w:rsidRPr="00380B40" w:rsidRDefault="009033A7" w:rsidP="009033A7">
      <w:pPr>
        <w:pStyle w:val="enumlev1"/>
        <w:rPr>
          <w:i/>
          <w:iCs/>
          <w:szCs w:val="22"/>
          <w:lang w:val="en-GB"/>
        </w:rPr>
      </w:pPr>
      <w:r w:rsidRPr="00380B40">
        <w:rPr>
          <w:szCs w:val="22"/>
          <w:lang w:val="en-GB"/>
        </w:rPr>
        <w:t>–</w:t>
      </w:r>
      <w:r w:rsidRPr="00380B40">
        <w:rPr>
          <w:szCs w:val="22"/>
          <w:lang w:val="en-GB"/>
        </w:rPr>
        <w:tab/>
        <w:t xml:space="preserve">revised Resolution 67 (Rev. Geneva, 2022), </w:t>
      </w:r>
      <w:r w:rsidRPr="00380B40">
        <w:rPr>
          <w:i/>
          <w:iCs/>
          <w:szCs w:val="22"/>
          <w:lang w:val="en-GB"/>
        </w:rPr>
        <w:t>Use in the ITU Telecommunication Standardization Sector of the languages of the Union on an equal footing and the Standardization Committee for Vocabulary;</w:t>
      </w:r>
    </w:p>
    <w:p w14:paraId="4B832F65" w14:textId="77777777" w:rsidR="009033A7" w:rsidRPr="00380B40" w:rsidRDefault="00894B49" w:rsidP="00894B49">
      <w:pPr>
        <w:pStyle w:val="enumlev1"/>
        <w:rPr>
          <w:i/>
          <w:iCs/>
          <w:lang w:val="en-GB"/>
        </w:rPr>
      </w:pPr>
      <w:r w:rsidRPr="00380B40">
        <w:rPr>
          <w:lang w:val="en-GB"/>
        </w:rPr>
        <w:tab/>
      </w:r>
      <w:r w:rsidR="009033A7" w:rsidRPr="00380B40">
        <w:rPr>
          <w:lang w:val="en-GB"/>
        </w:rPr>
        <w:t xml:space="preserve">The Plenary took into account the financial implications as reported by Committee 2 in </w:t>
      </w:r>
      <w:r w:rsidR="00467578" w:rsidRPr="00380B40">
        <w:rPr>
          <w:lang w:val="en-GB"/>
        </w:rPr>
        <w:t>Document</w:t>
      </w:r>
      <w:r w:rsidRPr="00380B40">
        <w:rPr>
          <w:lang w:val="en-GB"/>
        </w:rPr>
        <w:t> </w:t>
      </w:r>
      <w:hyperlink r:id="rId632" w:history="1">
        <w:r w:rsidRPr="00380B40">
          <w:rPr>
            <w:rStyle w:val="Hyperlink"/>
            <w:lang w:val="en-GB"/>
          </w:rPr>
          <w:t>C55</w:t>
        </w:r>
      </w:hyperlink>
      <w:r w:rsidR="009033A7" w:rsidRPr="00380B40">
        <w:rPr>
          <w:lang w:val="en-GB"/>
        </w:rPr>
        <w:t>.</w:t>
      </w:r>
    </w:p>
    <w:p w14:paraId="02BE0439" w14:textId="77777777" w:rsidR="009033A7" w:rsidRPr="00380B40" w:rsidRDefault="009033A7" w:rsidP="002F74FB">
      <w:pPr>
        <w:pStyle w:val="Heading1"/>
        <w:rPr>
          <w:b w:val="0"/>
          <w:bCs/>
          <w:szCs w:val="24"/>
          <w:lang w:val="en-GB"/>
        </w:rPr>
      </w:pPr>
      <w:bookmarkStart w:id="2523" w:name="_Toc111637242"/>
      <w:r w:rsidRPr="00380B40">
        <w:rPr>
          <w:bCs/>
          <w:szCs w:val="24"/>
          <w:lang w:val="en-GB"/>
        </w:rPr>
        <w:t>6</w:t>
      </w:r>
      <w:r w:rsidRPr="00380B40">
        <w:rPr>
          <w:bCs/>
          <w:szCs w:val="24"/>
          <w:lang w:val="en-GB"/>
        </w:rPr>
        <w:tab/>
      </w:r>
      <w:r w:rsidRPr="00380B40">
        <w:rPr>
          <w:lang w:val="en-GB"/>
        </w:rPr>
        <w:t>Sixth</w:t>
      </w:r>
      <w:r w:rsidRPr="00380B40">
        <w:rPr>
          <w:bCs/>
          <w:szCs w:val="24"/>
          <w:lang w:val="en-GB"/>
        </w:rPr>
        <w:t xml:space="preserve"> series of texts submitted by Editorial Committee to the Plenary Meeting (Document </w:t>
      </w:r>
      <w:hyperlink r:id="rId633" w:history="1">
        <w:r w:rsidRPr="00380B40">
          <w:rPr>
            <w:rStyle w:val="Hyperlink"/>
            <w:b w:val="0"/>
            <w:bCs/>
            <w:lang w:val="en-GB"/>
          </w:rPr>
          <w:t>C86</w:t>
        </w:r>
      </w:hyperlink>
      <w:r w:rsidRPr="00380B40">
        <w:rPr>
          <w:bCs/>
          <w:szCs w:val="24"/>
          <w:lang w:val="en-GB"/>
        </w:rPr>
        <w:t>)</w:t>
      </w:r>
      <w:bookmarkEnd w:id="2523"/>
    </w:p>
    <w:p w14:paraId="4EB4A73E" w14:textId="77777777" w:rsidR="009033A7" w:rsidRPr="00380B40" w:rsidRDefault="009033A7" w:rsidP="002B0D37">
      <w:pPr>
        <w:rPr>
          <w:lang w:val="en-GB"/>
        </w:rPr>
      </w:pPr>
      <w:r w:rsidRPr="00380B40">
        <w:rPr>
          <w:lang w:val="en-GB"/>
        </w:rPr>
        <w:t>The Plenary approved:</w:t>
      </w:r>
    </w:p>
    <w:p w14:paraId="0380D9A2" w14:textId="77777777" w:rsidR="009033A7" w:rsidRPr="00380B40" w:rsidRDefault="009033A7" w:rsidP="009033A7">
      <w:pPr>
        <w:pStyle w:val="enumlev1"/>
        <w:rPr>
          <w:szCs w:val="22"/>
          <w:lang w:val="en-GB"/>
        </w:rPr>
      </w:pPr>
      <w:r w:rsidRPr="00380B40">
        <w:rPr>
          <w:szCs w:val="22"/>
          <w:lang w:val="en-GB"/>
        </w:rPr>
        <w:t>–</w:t>
      </w:r>
      <w:r w:rsidRPr="00380B40">
        <w:rPr>
          <w:szCs w:val="22"/>
          <w:lang w:val="en-GB"/>
        </w:rPr>
        <w:tab/>
        <w:t xml:space="preserve">new Resolution [COM4/1] (Geneva, 2022), </w:t>
      </w:r>
      <w:r w:rsidRPr="00380B40">
        <w:rPr>
          <w:i/>
          <w:iCs/>
          <w:szCs w:val="22"/>
          <w:lang w:val="en-GB"/>
        </w:rPr>
        <w:t>Consideration of organizational reform of the ITU Telecommunication Standardization Sector study groups</w:t>
      </w:r>
      <w:r w:rsidRPr="00380B40">
        <w:rPr>
          <w:szCs w:val="22"/>
          <w:lang w:val="en-GB"/>
        </w:rPr>
        <w:t>.</w:t>
      </w:r>
    </w:p>
    <w:p w14:paraId="0129D9BF" w14:textId="77777777" w:rsidR="00832D78" w:rsidRPr="00380B40" w:rsidRDefault="00832D78" w:rsidP="00832D78">
      <w:pPr>
        <w:rPr>
          <w:lang w:val="en-GB"/>
        </w:rPr>
      </w:pPr>
      <w:r w:rsidRPr="00380B40">
        <w:rPr>
          <w:lang w:val="en-GB"/>
        </w:rPr>
        <w:br w:type="page"/>
      </w:r>
    </w:p>
    <w:p w14:paraId="3D932936" w14:textId="77777777" w:rsidR="009033A7" w:rsidRPr="00380B40" w:rsidRDefault="009033A7" w:rsidP="002F74FB">
      <w:pPr>
        <w:pStyle w:val="Heading1"/>
        <w:rPr>
          <w:b w:val="0"/>
          <w:bCs/>
          <w:szCs w:val="24"/>
          <w:lang w:val="en-GB"/>
        </w:rPr>
      </w:pPr>
      <w:bookmarkStart w:id="2524" w:name="_Toc111637243"/>
      <w:r w:rsidRPr="00380B40">
        <w:rPr>
          <w:bCs/>
          <w:szCs w:val="24"/>
          <w:lang w:val="en-GB"/>
        </w:rPr>
        <w:t>7</w:t>
      </w:r>
      <w:r w:rsidRPr="00380B40">
        <w:rPr>
          <w:bCs/>
          <w:szCs w:val="24"/>
          <w:lang w:val="en-GB"/>
        </w:rPr>
        <w:tab/>
        <w:t>Ninth series of texts submitted by Editorial Committee to the Plenary Meeting (Res.1) (</w:t>
      </w:r>
      <w:r w:rsidRPr="00380B40">
        <w:rPr>
          <w:lang w:val="en-GB"/>
        </w:rPr>
        <w:t>Document</w:t>
      </w:r>
      <w:r w:rsidRPr="00380B40">
        <w:rPr>
          <w:bCs/>
          <w:szCs w:val="24"/>
          <w:lang w:val="en-GB"/>
        </w:rPr>
        <w:t xml:space="preserve"> </w:t>
      </w:r>
      <w:hyperlink r:id="rId634" w:history="1">
        <w:r w:rsidRPr="00380B40">
          <w:rPr>
            <w:rStyle w:val="Hyperlink"/>
            <w:b w:val="0"/>
            <w:bCs/>
            <w:szCs w:val="24"/>
            <w:lang w:val="en-GB"/>
          </w:rPr>
          <w:t>C94</w:t>
        </w:r>
      </w:hyperlink>
      <w:r w:rsidRPr="00380B40">
        <w:rPr>
          <w:bCs/>
          <w:szCs w:val="24"/>
          <w:lang w:val="en-GB"/>
        </w:rPr>
        <w:t xml:space="preserve">) and Thirteenth series of texts submitted by Editorial Committee to the Plenary Meeting (Res.54) (Document </w:t>
      </w:r>
      <w:hyperlink r:id="rId635" w:history="1">
        <w:r w:rsidRPr="00380B40">
          <w:rPr>
            <w:rStyle w:val="Hyperlink"/>
            <w:b w:val="0"/>
            <w:bCs/>
            <w:szCs w:val="24"/>
            <w:lang w:val="en-GB"/>
          </w:rPr>
          <w:t>C100</w:t>
        </w:r>
      </w:hyperlink>
      <w:r w:rsidRPr="00380B40">
        <w:rPr>
          <w:bCs/>
          <w:szCs w:val="24"/>
          <w:lang w:val="en-GB"/>
        </w:rPr>
        <w:t>)</w:t>
      </w:r>
      <w:bookmarkEnd w:id="2524"/>
    </w:p>
    <w:p w14:paraId="51A0D8A1" w14:textId="77777777" w:rsidR="0033524E" w:rsidRPr="00380B40" w:rsidRDefault="0033524E" w:rsidP="002B0D37">
      <w:pPr>
        <w:rPr>
          <w:lang w:val="en-GB"/>
        </w:rPr>
      </w:pPr>
      <w:r w:rsidRPr="00380B40">
        <w:rPr>
          <w:lang w:val="en-GB"/>
        </w:rPr>
        <w:t>7.1</w:t>
      </w:r>
      <w:r w:rsidRPr="00380B40">
        <w:rPr>
          <w:lang w:val="en-GB"/>
        </w:rPr>
        <w:tab/>
        <w:t>The Plenary approved:</w:t>
      </w:r>
    </w:p>
    <w:p w14:paraId="22A37FE4" w14:textId="77777777" w:rsidR="00C85DAE" w:rsidRPr="00380B40" w:rsidRDefault="00C85DAE" w:rsidP="00C85DAE">
      <w:pPr>
        <w:pStyle w:val="enumlev1"/>
        <w:rPr>
          <w:lang w:val="en-GB"/>
        </w:rPr>
      </w:pPr>
      <w:r w:rsidRPr="00380B40">
        <w:rPr>
          <w:lang w:val="en-GB"/>
        </w:rPr>
        <w:t>–</w:t>
      </w:r>
      <w:r w:rsidRPr="00380B40">
        <w:rPr>
          <w:lang w:val="en-GB"/>
        </w:rPr>
        <w:tab/>
        <w:t xml:space="preserve">revised Resolution 54 (Rev. Geneva, 2022), </w:t>
      </w:r>
      <w:r w:rsidRPr="00380B40">
        <w:rPr>
          <w:i/>
          <w:iCs/>
          <w:lang w:val="en-GB"/>
        </w:rPr>
        <w:t>Regional groups of study groups of the ITU Telecommunication Standardization Sector.</w:t>
      </w:r>
    </w:p>
    <w:p w14:paraId="756E1AC7" w14:textId="77777777" w:rsidR="0033524E" w:rsidRPr="00380B40" w:rsidRDefault="0033524E" w:rsidP="002B0D37">
      <w:pPr>
        <w:tabs>
          <w:tab w:val="clear" w:pos="794"/>
          <w:tab w:val="clear" w:pos="1191"/>
          <w:tab w:val="clear" w:pos="1588"/>
          <w:tab w:val="clear" w:pos="1985"/>
          <w:tab w:val="left" w:pos="843"/>
        </w:tabs>
        <w:ind w:left="5"/>
        <w:jc w:val="left"/>
        <w:rPr>
          <w:lang w:val="en-GB"/>
        </w:rPr>
      </w:pPr>
      <w:r w:rsidRPr="00380B40">
        <w:rPr>
          <w:lang w:val="en-GB"/>
        </w:rPr>
        <w:t>7.2</w:t>
      </w:r>
      <w:r w:rsidRPr="00380B40">
        <w:rPr>
          <w:lang w:val="en-GB"/>
        </w:rPr>
        <w:tab/>
        <w:t>Annex 2.1 holds the statement by United States on behalf of Australia, Austria, the Bahamas, Bulgaria, Canada, the Czech Republic, the Dominican Republic, France, Germany, Japan, Latvia, Liechtenstein, Lithuania, Mexico, the Netherlands, Portugal, Romania, Spain, Switzerland, Sweden, Ukraine, the United Kingdom and the United States.</w:t>
      </w:r>
    </w:p>
    <w:p w14:paraId="1C06330A" w14:textId="77777777" w:rsidR="0033524E" w:rsidRPr="00380B40" w:rsidRDefault="0033524E" w:rsidP="002B0D37">
      <w:pPr>
        <w:rPr>
          <w:lang w:val="en-GB"/>
        </w:rPr>
      </w:pPr>
      <w:r w:rsidRPr="00380B40">
        <w:rPr>
          <w:lang w:val="en-GB"/>
        </w:rPr>
        <w:t>7.3</w:t>
      </w:r>
      <w:r w:rsidRPr="00380B40">
        <w:rPr>
          <w:lang w:val="en-GB"/>
        </w:rPr>
        <w:tab/>
        <w:t>The Plenary approved:</w:t>
      </w:r>
    </w:p>
    <w:p w14:paraId="34E0CC18" w14:textId="77777777" w:rsidR="0033524E" w:rsidRPr="00380B40" w:rsidRDefault="0033524E" w:rsidP="00D559E0">
      <w:pPr>
        <w:pStyle w:val="enumlev1"/>
        <w:tabs>
          <w:tab w:val="clear" w:pos="794"/>
          <w:tab w:val="clear" w:pos="1191"/>
          <w:tab w:val="clear" w:pos="1588"/>
          <w:tab w:val="clear" w:pos="1985"/>
          <w:tab w:val="left" w:pos="843"/>
        </w:tabs>
        <w:ind w:left="5"/>
        <w:jc w:val="left"/>
        <w:rPr>
          <w:i/>
          <w:iCs/>
          <w:lang w:val="en-GB"/>
        </w:rPr>
      </w:pPr>
      <w:r w:rsidRPr="00380B40">
        <w:rPr>
          <w:lang w:val="en-GB"/>
        </w:rPr>
        <w:t>–</w:t>
      </w:r>
      <w:r w:rsidRPr="00380B40">
        <w:rPr>
          <w:lang w:val="en-GB"/>
        </w:rPr>
        <w:tab/>
        <w:t xml:space="preserve">revised Resolution 1 (Rev. Geneva, 2022), </w:t>
      </w:r>
      <w:r w:rsidRPr="00380B40">
        <w:rPr>
          <w:i/>
          <w:iCs/>
          <w:lang w:val="en-GB"/>
        </w:rPr>
        <w:t>Rules of procedure of the ITU Telecommunication Standardization Sector.</w:t>
      </w:r>
    </w:p>
    <w:p w14:paraId="2F0276CF" w14:textId="77777777" w:rsidR="0033524E" w:rsidRPr="00380B40" w:rsidRDefault="0033524E" w:rsidP="002B0D37">
      <w:pPr>
        <w:rPr>
          <w:lang w:val="en-GB"/>
        </w:rPr>
      </w:pPr>
      <w:r w:rsidRPr="00380B40">
        <w:rPr>
          <w:lang w:val="en-GB"/>
        </w:rPr>
        <w:t>7.3.1</w:t>
      </w:r>
      <w:r w:rsidRPr="00380B40">
        <w:rPr>
          <w:lang w:val="en-GB"/>
        </w:rPr>
        <w:tab/>
        <w:t>The Plenary asked the Editorial Committee to consider the following two editorials</w:t>
      </w:r>
    </w:p>
    <w:p w14:paraId="0C949E9F" w14:textId="77777777" w:rsidR="0033524E" w:rsidRPr="00380B40" w:rsidRDefault="0033524E" w:rsidP="002B0D37">
      <w:pPr>
        <w:pStyle w:val="enumlev1"/>
        <w:rPr>
          <w:lang w:val="en-GB"/>
        </w:rPr>
      </w:pPr>
      <w:r w:rsidRPr="00380B40">
        <w:rPr>
          <w:lang w:val="en-GB"/>
        </w:rPr>
        <w:t>1)</w:t>
      </w:r>
      <w:r w:rsidRPr="00380B40">
        <w:rPr>
          <w:lang w:val="en-GB"/>
        </w:rPr>
        <w:tab/>
        <w:t>following guidance by Recommendation ITU-T A.13, the need to add the references for the missing dates and venues for former adoption in Resolution 1; and</w:t>
      </w:r>
    </w:p>
    <w:p w14:paraId="3C95EED0" w14:textId="77777777" w:rsidR="0033524E" w:rsidRPr="00380B40" w:rsidRDefault="0033524E" w:rsidP="000F6F1A">
      <w:pPr>
        <w:pStyle w:val="enumlev1"/>
        <w:rPr>
          <w:lang w:val="en-GB"/>
        </w:rPr>
      </w:pPr>
      <w:r w:rsidRPr="00380B40">
        <w:rPr>
          <w:lang w:val="en-GB"/>
        </w:rPr>
        <w:t>2)</w:t>
      </w:r>
      <w:r w:rsidRPr="00380B40">
        <w:rPr>
          <w:lang w:val="en-GB"/>
        </w:rPr>
        <w:tab/>
        <w:t>to replace in clause 4.3</w:t>
      </w:r>
      <w:r w:rsidRPr="00380B40">
        <w:rPr>
          <w:rStyle w:val="Italic0"/>
          <w:lang w:val="en-GB"/>
        </w:rPr>
        <w:t>bis</w:t>
      </w:r>
      <w:r w:rsidRPr="00380B40">
        <w:rPr>
          <w:lang w:val="en-GB"/>
        </w:rPr>
        <w:t xml:space="preserve"> the reference to suppressed Resolution 35 (Rev. Hammamet, 2016) by a reference to Resolution 208 (2018, Dubai).</w:t>
      </w:r>
    </w:p>
    <w:p w14:paraId="5EF76C1D" w14:textId="77777777" w:rsidR="009033A7" w:rsidRPr="00380B40" w:rsidRDefault="009033A7" w:rsidP="002F74FB">
      <w:pPr>
        <w:pStyle w:val="Heading1"/>
        <w:rPr>
          <w:b w:val="0"/>
          <w:bCs/>
          <w:szCs w:val="24"/>
          <w:lang w:val="en-GB"/>
        </w:rPr>
      </w:pPr>
      <w:bookmarkStart w:id="2525" w:name="_Toc111637244"/>
      <w:r w:rsidRPr="00380B40">
        <w:rPr>
          <w:bCs/>
          <w:szCs w:val="24"/>
          <w:lang w:val="en-GB"/>
        </w:rPr>
        <w:t>8</w:t>
      </w:r>
      <w:r w:rsidRPr="00380B40">
        <w:rPr>
          <w:bCs/>
          <w:szCs w:val="24"/>
          <w:lang w:val="en-GB"/>
        </w:rPr>
        <w:tab/>
        <w:t xml:space="preserve">Appointment of Chairmen and Vice-Chairmen in the Telecommunication </w:t>
      </w:r>
      <w:r w:rsidRPr="00380B40">
        <w:rPr>
          <w:lang w:val="en-GB"/>
        </w:rPr>
        <w:t>Standardization</w:t>
      </w:r>
      <w:r w:rsidRPr="00380B40">
        <w:rPr>
          <w:bCs/>
          <w:szCs w:val="24"/>
          <w:lang w:val="en-GB"/>
        </w:rPr>
        <w:t xml:space="preserve"> Sector (2022-2024)</w:t>
      </w:r>
      <w:bookmarkEnd w:id="2525"/>
    </w:p>
    <w:p w14:paraId="54FB8A79" w14:textId="77777777" w:rsidR="0033524E" w:rsidRPr="00380B40" w:rsidRDefault="0033524E" w:rsidP="002B0D37">
      <w:pPr>
        <w:tabs>
          <w:tab w:val="clear" w:pos="794"/>
          <w:tab w:val="clear" w:pos="1191"/>
          <w:tab w:val="clear" w:pos="1588"/>
          <w:tab w:val="clear" w:pos="1985"/>
          <w:tab w:val="left" w:pos="843"/>
        </w:tabs>
        <w:ind w:left="5"/>
        <w:jc w:val="left"/>
        <w:rPr>
          <w:i/>
          <w:iCs/>
          <w:lang w:val="en-GB"/>
        </w:rPr>
      </w:pPr>
      <w:r w:rsidRPr="00380B40">
        <w:rPr>
          <w:lang w:val="en-GB"/>
        </w:rPr>
        <w:t>8.1</w:t>
      </w:r>
      <w:r w:rsidRPr="00380B40">
        <w:rPr>
          <w:lang w:val="en-GB"/>
        </w:rPr>
        <w:tab/>
        <w:t xml:space="preserve">TSB presented Document </w:t>
      </w:r>
      <w:hyperlink r:id="rId636" w:history="1">
        <w:r w:rsidRPr="00380B40">
          <w:rPr>
            <w:rStyle w:val="Hyperlink"/>
            <w:lang w:val="en-GB"/>
          </w:rPr>
          <w:t>C44</w:t>
        </w:r>
      </w:hyperlink>
      <w:r w:rsidRPr="00380B40">
        <w:rPr>
          <w:lang w:val="en-GB"/>
        </w:rPr>
        <w:t>, which contains the results of the extensive consultations that the TSB Director has had with the various regions and Member States concerning the appointment of Chairmen and Vice-Chairmen in the Telecommunication Standardization Sector (2022-2024), as was agreed by the heads-of-delegation meeting to be submitted to the Plenary.</w:t>
      </w:r>
    </w:p>
    <w:p w14:paraId="50FC1A0D" w14:textId="77777777" w:rsidR="0033524E" w:rsidRPr="00380B40" w:rsidRDefault="0033524E" w:rsidP="002B0D37">
      <w:pPr>
        <w:tabs>
          <w:tab w:val="clear" w:pos="794"/>
          <w:tab w:val="clear" w:pos="1191"/>
          <w:tab w:val="clear" w:pos="1588"/>
          <w:tab w:val="clear" w:pos="1985"/>
          <w:tab w:val="left" w:pos="843"/>
        </w:tabs>
        <w:ind w:left="5"/>
        <w:jc w:val="left"/>
        <w:rPr>
          <w:lang w:val="en-GB"/>
        </w:rPr>
      </w:pPr>
      <w:r w:rsidRPr="00380B40">
        <w:rPr>
          <w:lang w:val="en-GB"/>
        </w:rPr>
        <w:t>8.2</w:t>
      </w:r>
      <w:r w:rsidRPr="00380B40">
        <w:rPr>
          <w:lang w:val="en-GB"/>
        </w:rPr>
        <w:tab/>
        <w:t>The Chair explained that certain names appearing in C44 were placed in square brackets due to objections from several Member States during the consultations.</w:t>
      </w:r>
    </w:p>
    <w:p w14:paraId="7280333F" w14:textId="77777777" w:rsidR="0033524E" w:rsidRPr="00380B40" w:rsidRDefault="0033524E" w:rsidP="002B0D37">
      <w:pPr>
        <w:tabs>
          <w:tab w:val="clear" w:pos="794"/>
          <w:tab w:val="clear" w:pos="1191"/>
          <w:tab w:val="clear" w:pos="1588"/>
          <w:tab w:val="clear" w:pos="1985"/>
          <w:tab w:val="left" w:pos="843"/>
        </w:tabs>
        <w:ind w:left="5"/>
        <w:jc w:val="left"/>
        <w:rPr>
          <w:lang w:val="en-GB"/>
        </w:rPr>
      </w:pPr>
      <w:r w:rsidRPr="00380B40">
        <w:rPr>
          <w:lang w:val="en-GB"/>
        </w:rPr>
        <w:t>8.3</w:t>
      </w:r>
      <w:r w:rsidRPr="00380B40">
        <w:rPr>
          <w:lang w:val="en-GB"/>
        </w:rPr>
        <w:tab/>
        <w:t>The Chairman noted a number of comments by Member States in the course of discussions related to this agenda item. A number of Member States requested that their statements be included in the report. These statements are reflected in Annex 2.</w:t>
      </w:r>
    </w:p>
    <w:p w14:paraId="3B3ADF83" w14:textId="77777777" w:rsidR="0033524E" w:rsidRPr="00380B40" w:rsidRDefault="0033524E" w:rsidP="002B0D37">
      <w:pPr>
        <w:tabs>
          <w:tab w:val="clear" w:pos="794"/>
          <w:tab w:val="clear" w:pos="1191"/>
          <w:tab w:val="clear" w:pos="1588"/>
          <w:tab w:val="clear" w:pos="1985"/>
          <w:tab w:val="left" w:pos="843"/>
        </w:tabs>
        <w:ind w:left="5"/>
        <w:jc w:val="left"/>
        <w:rPr>
          <w:lang w:val="en-GB"/>
        </w:rPr>
      </w:pPr>
      <w:r w:rsidRPr="00380B40">
        <w:rPr>
          <w:lang w:val="en-GB"/>
        </w:rPr>
        <w:t>8.4</w:t>
      </w:r>
      <w:r w:rsidRPr="00380B40">
        <w:rPr>
          <w:lang w:val="en-GB"/>
        </w:rPr>
        <w:tab/>
        <w:t>After discussion, the Chairman observed that there is overwhelming support by the Assembly to remove the names in square brackets, and consequently, he ruled that C44 is adopted without these names.</w:t>
      </w:r>
    </w:p>
    <w:p w14:paraId="5C9D8685" w14:textId="77777777" w:rsidR="00832D78" w:rsidRPr="00380B40" w:rsidRDefault="00832D78" w:rsidP="002B0D37">
      <w:pPr>
        <w:tabs>
          <w:tab w:val="clear" w:pos="794"/>
          <w:tab w:val="clear" w:pos="1191"/>
          <w:tab w:val="clear" w:pos="1588"/>
          <w:tab w:val="clear" w:pos="1985"/>
          <w:tab w:val="left" w:pos="843"/>
        </w:tabs>
        <w:ind w:left="5"/>
        <w:jc w:val="left"/>
        <w:rPr>
          <w:lang w:val="en-GB"/>
        </w:rPr>
      </w:pPr>
      <w:r w:rsidRPr="00380B40">
        <w:rPr>
          <w:lang w:val="en-GB"/>
        </w:rPr>
        <w:br w:type="page"/>
      </w:r>
    </w:p>
    <w:p w14:paraId="223E85AB" w14:textId="77777777" w:rsidR="0033524E" w:rsidRPr="00380B40" w:rsidRDefault="0033524E" w:rsidP="002B0D37">
      <w:pPr>
        <w:tabs>
          <w:tab w:val="clear" w:pos="794"/>
          <w:tab w:val="clear" w:pos="1191"/>
          <w:tab w:val="clear" w:pos="1588"/>
          <w:tab w:val="clear" w:pos="1985"/>
          <w:tab w:val="left" w:pos="843"/>
        </w:tabs>
        <w:ind w:left="5"/>
        <w:jc w:val="left"/>
        <w:rPr>
          <w:lang w:val="en-GB"/>
        </w:rPr>
      </w:pPr>
      <w:r w:rsidRPr="00380B40">
        <w:rPr>
          <w:lang w:val="en-GB"/>
        </w:rPr>
        <w:t>8.5</w:t>
      </w:r>
      <w:r w:rsidRPr="00380B40">
        <w:rPr>
          <w:lang w:val="en-GB"/>
        </w:rPr>
        <w:tab/>
        <w:t>The Russian Federation appealed against this ruling of the Chairman and requested a vote by secret ballot.</w:t>
      </w:r>
    </w:p>
    <w:p w14:paraId="539AB36F" w14:textId="77777777" w:rsidR="0033524E" w:rsidRPr="00380B40" w:rsidRDefault="0033524E" w:rsidP="002B0D37">
      <w:pPr>
        <w:tabs>
          <w:tab w:val="clear" w:pos="794"/>
          <w:tab w:val="clear" w:pos="1191"/>
          <w:tab w:val="clear" w:pos="1588"/>
          <w:tab w:val="clear" w:pos="1985"/>
          <w:tab w:val="left" w:pos="843"/>
        </w:tabs>
        <w:ind w:left="5"/>
        <w:jc w:val="left"/>
        <w:rPr>
          <w:lang w:val="en-GB"/>
        </w:rPr>
      </w:pPr>
      <w:r w:rsidRPr="00380B40">
        <w:rPr>
          <w:lang w:val="en-GB"/>
        </w:rPr>
        <w:t>8.6</w:t>
      </w:r>
      <w:r w:rsidRPr="00380B40">
        <w:rPr>
          <w:lang w:val="en-GB"/>
        </w:rPr>
        <w:tab/>
        <w:t>Five delegations present and entitled to vote supported a secret ballot; the meeting proceeded accordingly.</w:t>
      </w:r>
    </w:p>
    <w:p w14:paraId="70E279A5" w14:textId="77777777" w:rsidR="0033524E" w:rsidRPr="00380B40" w:rsidRDefault="0033524E" w:rsidP="002B0D37">
      <w:pPr>
        <w:rPr>
          <w:lang w:val="en-GB"/>
        </w:rPr>
      </w:pPr>
      <w:r w:rsidRPr="00380B40">
        <w:rPr>
          <w:lang w:val="en-GB"/>
        </w:rPr>
        <w:t>8.7</w:t>
      </w:r>
      <w:r w:rsidRPr="00380B40">
        <w:rPr>
          <w:lang w:val="en-GB"/>
        </w:rPr>
        <w:tab/>
        <w:t>The results of the vote were as follows:</w:t>
      </w:r>
    </w:p>
    <w:p w14:paraId="3B61A45B" w14:textId="77777777" w:rsidR="0033524E" w:rsidRPr="00380B40" w:rsidRDefault="0033524E" w:rsidP="0033524E">
      <w:pPr>
        <w:pStyle w:val="Bulletlist1"/>
      </w:pPr>
      <w:r w:rsidRPr="00380B40">
        <w:tab/>
        <w:t>53 votes in favour of the Chairman's ruling;</w:t>
      </w:r>
    </w:p>
    <w:p w14:paraId="2BEB02D0" w14:textId="77777777" w:rsidR="0033524E" w:rsidRPr="00380B40" w:rsidRDefault="0033524E" w:rsidP="0033524E">
      <w:pPr>
        <w:pStyle w:val="Bulletlist1"/>
      </w:pPr>
      <w:r w:rsidRPr="00380B40">
        <w:tab/>
        <w:t>19 votes against the Chairman's ruling;</w:t>
      </w:r>
    </w:p>
    <w:p w14:paraId="71D7B189" w14:textId="77777777" w:rsidR="0033524E" w:rsidRPr="00380B40" w:rsidRDefault="0033524E" w:rsidP="0033524E">
      <w:pPr>
        <w:pStyle w:val="Bulletlist1"/>
      </w:pPr>
      <w:r w:rsidRPr="00380B40">
        <w:tab/>
        <w:t>28 abstentions.</w:t>
      </w:r>
    </w:p>
    <w:p w14:paraId="7AC2DC03" w14:textId="77777777" w:rsidR="0033524E" w:rsidRPr="00380B40" w:rsidRDefault="0033524E" w:rsidP="002B0D37">
      <w:pPr>
        <w:tabs>
          <w:tab w:val="clear" w:pos="794"/>
          <w:tab w:val="clear" w:pos="1191"/>
          <w:tab w:val="clear" w:pos="1588"/>
          <w:tab w:val="clear" w:pos="1985"/>
          <w:tab w:val="left" w:pos="843"/>
        </w:tabs>
        <w:ind w:left="5"/>
        <w:jc w:val="left"/>
        <w:rPr>
          <w:lang w:val="en-GB"/>
        </w:rPr>
      </w:pPr>
      <w:r w:rsidRPr="00380B40">
        <w:rPr>
          <w:lang w:val="en-GB"/>
        </w:rPr>
        <w:t xml:space="preserve">Therefore, the Secretariat announced that the Chairman's ruling was sustained, and that </w:t>
      </w:r>
      <w:r w:rsidR="0025040B" w:rsidRPr="00380B40">
        <w:rPr>
          <w:lang w:val="en-GB"/>
        </w:rPr>
        <w:t xml:space="preserve">Document </w:t>
      </w:r>
      <w:r w:rsidRPr="00380B40">
        <w:rPr>
          <w:lang w:val="en-GB"/>
        </w:rPr>
        <w:t xml:space="preserve">C44 was adopted without the names in square brackets, as published in </w:t>
      </w:r>
      <w:r w:rsidR="0025040B" w:rsidRPr="00380B40">
        <w:rPr>
          <w:lang w:val="en-GB"/>
        </w:rPr>
        <w:t xml:space="preserve">Document </w:t>
      </w:r>
      <w:r w:rsidRPr="00380B40">
        <w:rPr>
          <w:lang w:val="en-GB"/>
        </w:rPr>
        <w:t>C44 Rev.1.</w:t>
      </w:r>
    </w:p>
    <w:p w14:paraId="207F5A0D" w14:textId="77777777" w:rsidR="009033A7" w:rsidRPr="00380B40" w:rsidRDefault="009033A7" w:rsidP="002F74FB">
      <w:pPr>
        <w:pStyle w:val="Heading1"/>
        <w:rPr>
          <w:b w:val="0"/>
          <w:bCs/>
          <w:szCs w:val="24"/>
          <w:lang w:val="en-GB"/>
        </w:rPr>
      </w:pPr>
      <w:bookmarkStart w:id="2526" w:name="_Toc111637245"/>
      <w:r w:rsidRPr="00380B40">
        <w:rPr>
          <w:bCs/>
          <w:szCs w:val="24"/>
          <w:lang w:val="en-GB"/>
        </w:rPr>
        <w:t>9</w:t>
      </w:r>
      <w:r w:rsidRPr="00380B40">
        <w:rPr>
          <w:bCs/>
          <w:szCs w:val="24"/>
          <w:lang w:val="en-GB"/>
        </w:rPr>
        <w:tab/>
        <w:t xml:space="preserve">Seventh </w:t>
      </w:r>
      <w:r w:rsidRPr="00380B40">
        <w:rPr>
          <w:lang w:val="en-GB"/>
        </w:rPr>
        <w:t>series</w:t>
      </w:r>
      <w:r w:rsidRPr="00380B40">
        <w:rPr>
          <w:bCs/>
          <w:szCs w:val="24"/>
          <w:lang w:val="en-GB"/>
        </w:rPr>
        <w:t xml:space="preserve"> of texts submitted by Editorial Committee to the Plenary Meeting (Document </w:t>
      </w:r>
      <w:hyperlink r:id="rId637" w:history="1">
        <w:r w:rsidRPr="00380B40">
          <w:rPr>
            <w:bCs/>
            <w:color w:val="3333FF"/>
            <w:szCs w:val="24"/>
            <w:u w:val="single"/>
            <w:lang w:val="en-GB"/>
          </w:rPr>
          <w:t>C87</w:t>
        </w:r>
      </w:hyperlink>
      <w:r w:rsidRPr="00380B40">
        <w:rPr>
          <w:bCs/>
          <w:szCs w:val="24"/>
          <w:lang w:val="en-GB"/>
        </w:rPr>
        <w:t>)</w:t>
      </w:r>
      <w:bookmarkEnd w:id="2526"/>
    </w:p>
    <w:p w14:paraId="50AE5B0C" w14:textId="77777777" w:rsidR="009033A7" w:rsidRPr="00380B40" w:rsidRDefault="009033A7" w:rsidP="002B0D37">
      <w:pPr>
        <w:rPr>
          <w:lang w:val="en-GB"/>
        </w:rPr>
      </w:pPr>
      <w:r w:rsidRPr="00380B40">
        <w:rPr>
          <w:lang w:val="en-GB"/>
        </w:rPr>
        <w:t>The Plenary approved:</w:t>
      </w:r>
    </w:p>
    <w:p w14:paraId="4BE7A949" w14:textId="77777777" w:rsidR="009033A7" w:rsidRPr="00380B40" w:rsidRDefault="009033A7" w:rsidP="009033A7">
      <w:pPr>
        <w:pStyle w:val="enumlev1"/>
        <w:rPr>
          <w:szCs w:val="22"/>
          <w:lang w:val="en-GB"/>
        </w:rPr>
      </w:pPr>
      <w:r w:rsidRPr="00380B40">
        <w:rPr>
          <w:szCs w:val="22"/>
          <w:lang w:val="en-GB"/>
        </w:rPr>
        <w:t>–</w:t>
      </w:r>
      <w:r w:rsidRPr="00380B40">
        <w:rPr>
          <w:szCs w:val="22"/>
          <w:lang w:val="en-GB"/>
        </w:rPr>
        <w:tab/>
        <w:t xml:space="preserve">revised Recommendation ITU T A.8, </w:t>
      </w:r>
      <w:r w:rsidRPr="00380B40">
        <w:rPr>
          <w:i/>
          <w:iCs/>
          <w:szCs w:val="22"/>
          <w:lang w:val="en-GB"/>
        </w:rPr>
        <w:t>Alternative approval process for new and revised ITU-T Recommendations</w:t>
      </w:r>
      <w:r w:rsidRPr="00380B40">
        <w:rPr>
          <w:szCs w:val="22"/>
          <w:lang w:val="en-GB"/>
        </w:rPr>
        <w:t>.</w:t>
      </w:r>
    </w:p>
    <w:p w14:paraId="11562BC4" w14:textId="77777777" w:rsidR="009033A7" w:rsidRPr="00380B40" w:rsidRDefault="009033A7" w:rsidP="002F74FB">
      <w:pPr>
        <w:pStyle w:val="Heading1"/>
        <w:rPr>
          <w:b w:val="0"/>
          <w:bCs/>
          <w:szCs w:val="24"/>
          <w:lang w:val="en-GB"/>
        </w:rPr>
      </w:pPr>
      <w:bookmarkStart w:id="2527" w:name="_Toc111637246"/>
      <w:r w:rsidRPr="00380B40">
        <w:rPr>
          <w:bCs/>
          <w:szCs w:val="24"/>
          <w:lang w:val="en-GB"/>
        </w:rPr>
        <w:t>10</w:t>
      </w:r>
      <w:r w:rsidRPr="00380B40">
        <w:rPr>
          <w:bCs/>
          <w:szCs w:val="24"/>
          <w:lang w:val="en-GB"/>
        </w:rPr>
        <w:tab/>
        <w:t xml:space="preserve">Eighth series of texts submitted by Editorial Committee to the Plenary Meeting (Res. 22, Res. 32, Res. 45, Rec. A.1, Rec. A.2, Rec. A.5, Rec. A.25) (Document </w:t>
      </w:r>
      <w:hyperlink r:id="rId638" w:history="1">
        <w:r w:rsidRPr="00380B40">
          <w:rPr>
            <w:bCs/>
            <w:color w:val="3333FF"/>
            <w:szCs w:val="24"/>
            <w:u w:val="single"/>
            <w:lang w:val="en-GB"/>
          </w:rPr>
          <w:t>C92</w:t>
        </w:r>
      </w:hyperlink>
      <w:r w:rsidRPr="00380B40">
        <w:rPr>
          <w:bCs/>
          <w:szCs w:val="24"/>
          <w:lang w:val="en-GB"/>
        </w:rPr>
        <w:t>)</w:t>
      </w:r>
      <w:bookmarkEnd w:id="2527"/>
    </w:p>
    <w:p w14:paraId="31D9B44D" w14:textId="77777777" w:rsidR="009033A7" w:rsidRPr="00380B40" w:rsidRDefault="009033A7" w:rsidP="007E7CC8">
      <w:pPr>
        <w:rPr>
          <w:lang w:val="en-GB"/>
        </w:rPr>
      </w:pPr>
      <w:r w:rsidRPr="00380B40">
        <w:rPr>
          <w:lang w:val="en-GB"/>
        </w:rPr>
        <w:t>The Plenary approved:</w:t>
      </w:r>
    </w:p>
    <w:p w14:paraId="07E6CD5C" w14:textId="77777777" w:rsidR="009033A7" w:rsidRPr="00380B40" w:rsidRDefault="009033A7" w:rsidP="002B0D37">
      <w:pPr>
        <w:pStyle w:val="enumlev1"/>
        <w:rPr>
          <w:szCs w:val="22"/>
          <w:lang w:val="en-GB"/>
        </w:rPr>
      </w:pPr>
      <w:r w:rsidRPr="00380B40">
        <w:rPr>
          <w:szCs w:val="22"/>
          <w:lang w:val="en-GB"/>
        </w:rPr>
        <w:t>–</w:t>
      </w:r>
      <w:r w:rsidRPr="00380B40">
        <w:rPr>
          <w:szCs w:val="22"/>
          <w:lang w:val="en-GB"/>
        </w:rPr>
        <w:tab/>
        <w:t xml:space="preserve">revised Resolution 22 (Rev. Geneva, 2022), </w:t>
      </w:r>
      <w:r w:rsidRPr="00380B40">
        <w:rPr>
          <w:i/>
          <w:iCs/>
          <w:szCs w:val="22"/>
          <w:lang w:val="en-GB"/>
        </w:rPr>
        <w:t>Authorization for the Telecommunication</w:t>
      </w:r>
      <w:r w:rsidRPr="00380B40">
        <w:rPr>
          <w:szCs w:val="22"/>
          <w:lang w:val="en-GB"/>
        </w:rPr>
        <w:t xml:space="preserve"> Standardization Advisory Group to act between world telecommunication standardization assemblies;</w:t>
      </w:r>
    </w:p>
    <w:p w14:paraId="3C60FEAA" w14:textId="77777777" w:rsidR="009033A7" w:rsidRPr="00380B40" w:rsidRDefault="009033A7" w:rsidP="002B0D37">
      <w:pPr>
        <w:pStyle w:val="enumlev1"/>
        <w:rPr>
          <w:i/>
          <w:iCs/>
          <w:szCs w:val="22"/>
          <w:lang w:val="en-GB"/>
        </w:rPr>
      </w:pPr>
      <w:r w:rsidRPr="00380B40">
        <w:rPr>
          <w:szCs w:val="22"/>
          <w:lang w:val="en-GB"/>
        </w:rPr>
        <w:t>–</w:t>
      </w:r>
      <w:r w:rsidRPr="00380B40">
        <w:rPr>
          <w:szCs w:val="22"/>
          <w:lang w:val="en-GB"/>
        </w:rPr>
        <w:tab/>
        <w:t xml:space="preserve">suppression of Resolution 45 (Rev. Hammamet, 2016), </w:t>
      </w:r>
      <w:r w:rsidRPr="00380B40">
        <w:rPr>
          <w:i/>
          <w:iCs/>
          <w:szCs w:val="22"/>
          <w:lang w:val="en-GB"/>
        </w:rPr>
        <w:t>Effective coordination of standardization work across study groups in the ITU Telecommunication Standardization Sector and the role of the ITU Telecommunication Standardization Advisory Group;</w:t>
      </w:r>
    </w:p>
    <w:p w14:paraId="70169B18" w14:textId="77777777" w:rsidR="009033A7" w:rsidRPr="00380B40" w:rsidRDefault="009033A7" w:rsidP="002B0D37">
      <w:pPr>
        <w:pStyle w:val="enumlev1"/>
        <w:rPr>
          <w:i/>
          <w:iCs/>
          <w:szCs w:val="22"/>
          <w:lang w:val="en-GB"/>
        </w:rPr>
      </w:pPr>
      <w:r w:rsidRPr="00380B40">
        <w:rPr>
          <w:szCs w:val="22"/>
          <w:lang w:val="en-GB"/>
        </w:rPr>
        <w:t>–</w:t>
      </w:r>
      <w:r w:rsidRPr="00380B40">
        <w:rPr>
          <w:szCs w:val="22"/>
          <w:lang w:val="en-GB"/>
        </w:rPr>
        <w:tab/>
        <w:t>revised Resolution</w:t>
      </w:r>
      <w:r w:rsidRPr="00380B40">
        <w:rPr>
          <w:szCs w:val="24"/>
          <w:lang w:val="en-GB"/>
        </w:rPr>
        <w:t xml:space="preserve"> 70 (Rev. Geneva, 2022), </w:t>
      </w:r>
      <w:r w:rsidRPr="00380B40">
        <w:rPr>
          <w:i/>
          <w:iCs/>
          <w:szCs w:val="24"/>
          <w:lang w:val="en-GB"/>
        </w:rPr>
        <w:t>Telecommunication/information and communication technology accessibility for persons with disabilities and persons with specific needs</w:t>
      </w:r>
      <w:r w:rsidRPr="00380B40">
        <w:rPr>
          <w:i/>
          <w:iCs/>
          <w:szCs w:val="22"/>
          <w:lang w:val="en-GB"/>
        </w:rPr>
        <w:t>;</w:t>
      </w:r>
    </w:p>
    <w:p w14:paraId="2E48D1AB" w14:textId="77777777" w:rsidR="009033A7" w:rsidRPr="00380B40" w:rsidRDefault="009033A7" w:rsidP="002B0D37">
      <w:pPr>
        <w:pStyle w:val="enumlev1"/>
        <w:rPr>
          <w:szCs w:val="24"/>
          <w:lang w:val="en-GB"/>
        </w:rPr>
      </w:pPr>
      <w:r w:rsidRPr="00380B40">
        <w:rPr>
          <w:szCs w:val="22"/>
          <w:lang w:val="en-GB"/>
        </w:rPr>
        <w:t>–</w:t>
      </w:r>
      <w:r w:rsidRPr="00380B40">
        <w:rPr>
          <w:szCs w:val="22"/>
          <w:lang w:val="en-GB"/>
        </w:rPr>
        <w:tab/>
        <w:t>revised Recommendation</w:t>
      </w:r>
      <w:r w:rsidRPr="00380B40">
        <w:rPr>
          <w:szCs w:val="24"/>
          <w:lang w:val="en-GB"/>
        </w:rPr>
        <w:t xml:space="preserve"> ITU-T A.5, </w:t>
      </w:r>
      <w:r w:rsidRPr="00380B40">
        <w:rPr>
          <w:i/>
          <w:iCs/>
          <w:szCs w:val="24"/>
          <w:lang w:val="en-GB"/>
        </w:rPr>
        <w:t>Generic procedures for including references to documents of other organizations in ITU-T Recommendations</w:t>
      </w:r>
      <w:r w:rsidRPr="00380B40">
        <w:rPr>
          <w:szCs w:val="24"/>
          <w:lang w:val="en-GB"/>
        </w:rPr>
        <w:t>;</w:t>
      </w:r>
    </w:p>
    <w:p w14:paraId="3AA060F7" w14:textId="77777777" w:rsidR="00832D78" w:rsidRPr="00380B40" w:rsidRDefault="00832D78" w:rsidP="007E7CC8">
      <w:pPr>
        <w:rPr>
          <w:lang w:val="en-GB"/>
        </w:rPr>
      </w:pPr>
      <w:r w:rsidRPr="00380B40">
        <w:rPr>
          <w:lang w:val="en-GB"/>
        </w:rPr>
        <w:br w:type="page"/>
      </w:r>
    </w:p>
    <w:p w14:paraId="35B4C763" w14:textId="77777777" w:rsidR="009033A7" w:rsidRPr="00380B40" w:rsidRDefault="009033A7" w:rsidP="007E7CC8">
      <w:pPr>
        <w:rPr>
          <w:lang w:val="en-GB"/>
        </w:rPr>
      </w:pPr>
      <w:r w:rsidRPr="00380B40">
        <w:rPr>
          <w:lang w:val="en-GB"/>
        </w:rPr>
        <w:t xml:space="preserve">The Plenary asked the Editorial Committee to add the missing sentence </w:t>
      </w:r>
      <w:r w:rsidR="00F82355" w:rsidRPr="00380B40">
        <w:rPr>
          <w:lang w:val="en-GB"/>
        </w:rPr>
        <w:t>"</w:t>
      </w:r>
      <w:r w:rsidRPr="00380B40">
        <w:rPr>
          <w:lang w:val="en-GB"/>
        </w:rPr>
        <w:t>Relevant documents should be attached.</w:t>
      </w:r>
      <w:r w:rsidR="00F82355" w:rsidRPr="00380B40">
        <w:rPr>
          <w:lang w:val="en-GB"/>
        </w:rPr>
        <w:t>"</w:t>
      </w:r>
      <w:r w:rsidRPr="00380B40">
        <w:rPr>
          <w:lang w:val="en-GB"/>
        </w:rPr>
        <w:t xml:space="preserve"> to Annex A item 4).</w:t>
      </w:r>
    </w:p>
    <w:p w14:paraId="7351EAC4" w14:textId="77777777" w:rsidR="009033A7" w:rsidRPr="00380B40" w:rsidRDefault="009033A7" w:rsidP="002B0D37">
      <w:pPr>
        <w:pStyle w:val="enumlev1"/>
        <w:rPr>
          <w:i/>
          <w:iCs/>
          <w:szCs w:val="24"/>
          <w:lang w:val="en-GB"/>
        </w:rPr>
      </w:pPr>
      <w:r w:rsidRPr="00380B40">
        <w:rPr>
          <w:szCs w:val="22"/>
          <w:lang w:val="en-GB"/>
        </w:rPr>
        <w:t>–</w:t>
      </w:r>
      <w:r w:rsidRPr="00380B40">
        <w:rPr>
          <w:szCs w:val="22"/>
          <w:lang w:val="en-GB"/>
        </w:rPr>
        <w:tab/>
        <w:t>revised Recommendation</w:t>
      </w:r>
      <w:r w:rsidRPr="00380B40">
        <w:rPr>
          <w:szCs w:val="24"/>
          <w:lang w:val="en-GB"/>
        </w:rPr>
        <w:t xml:space="preserve"> ITU-T A.25, </w:t>
      </w:r>
      <w:r w:rsidRPr="00380B40">
        <w:rPr>
          <w:i/>
          <w:iCs/>
          <w:szCs w:val="24"/>
          <w:lang w:val="en-GB"/>
        </w:rPr>
        <w:t>Generic procedures for incorporating text between ITU-T and other organizations.</w:t>
      </w:r>
    </w:p>
    <w:p w14:paraId="28A85E2F" w14:textId="77777777" w:rsidR="009033A7" w:rsidRPr="00380B40" w:rsidRDefault="009033A7" w:rsidP="002F74FB">
      <w:pPr>
        <w:pStyle w:val="Heading1"/>
        <w:rPr>
          <w:b w:val="0"/>
          <w:bCs/>
          <w:szCs w:val="24"/>
          <w:lang w:val="en-GB"/>
        </w:rPr>
      </w:pPr>
      <w:bookmarkStart w:id="2528" w:name="_Toc111637247"/>
      <w:r w:rsidRPr="00380B40">
        <w:rPr>
          <w:bCs/>
          <w:szCs w:val="24"/>
          <w:lang w:val="en-GB"/>
        </w:rPr>
        <w:t>11</w:t>
      </w:r>
      <w:r w:rsidRPr="00380B40">
        <w:rPr>
          <w:bCs/>
          <w:szCs w:val="24"/>
          <w:lang w:val="en-GB"/>
        </w:rPr>
        <w:tab/>
        <w:t xml:space="preserve">Tenth series of </w:t>
      </w:r>
      <w:r w:rsidRPr="00380B40">
        <w:rPr>
          <w:lang w:val="en-GB"/>
        </w:rPr>
        <w:t>texts</w:t>
      </w:r>
      <w:r w:rsidRPr="00380B40">
        <w:rPr>
          <w:bCs/>
          <w:szCs w:val="24"/>
          <w:lang w:val="en-GB"/>
        </w:rPr>
        <w:t xml:space="preserve"> submitted by Editorial Committee to the Plenary Meeting (Res. 7) (Document </w:t>
      </w:r>
      <w:hyperlink r:id="rId639" w:history="1">
        <w:r w:rsidRPr="00380B40">
          <w:rPr>
            <w:bCs/>
            <w:color w:val="3333FF"/>
            <w:szCs w:val="24"/>
            <w:u w:val="single"/>
            <w:lang w:val="en-GB"/>
          </w:rPr>
          <w:t>C95</w:t>
        </w:r>
      </w:hyperlink>
      <w:r w:rsidRPr="00380B40">
        <w:rPr>
          <w:bCs/>
          <w:szCs w:val="24"/>
          <w:lang w:val="en-GB"/>
        </w:rPr>
        <w:t>)</w:t>
      </w:r>
      <w:bookmarkEnd w:id="2528"/>
    </w:p>
    <w:p w14:paraId="5E320A03" w14:textId="77777777" w:rsidR="009033A7" w:rsidRPr="00380B40" w:rsidRDefault="009033A7" w:rsidP="007E7CC8">
      <w:pPr>
        <w:rPr>
          <w:lang w:val="en-GB"/>
        </w:rPr>
      </w:pPr>
      <w:r w:rsidRPr="00380B40">
        <w:rPr>
          <w:lang w:val="en-GB"/>
        </w:rPr>
        <w:t>The Plenary approved:</w:t>
      </w:r>
    </w:p>
    <w:p w14:paraId="40B7063B" w14:textId="77777777" w:rsidR="009033A7" w:rsidRPr="00380B40" w:rsidRDefault="009033A7" w:rsidP="002B0D37">
      <w:pPr>
        <w:pStyle w:val="enumlev1"/>
        <w:rPr>
          <w:szCs w:val="22"/>
          <w:lang w:val="en-GB"/>
        </w:rPr>
      </w:pPr>
      <w:r w:rsidRPr="00380B40">
        <w:rPr>
          <w:szCs w:val="22"/>
          <w:lang w:val="en-GB"/>
        </w:rPr>
        <w:t>–</w:t>
      </w:r>
      <w:r w:rsidRPr="00380B40">
        <w:rPr>
          <w:szCs w:val="22"/>
          <w:lang w:val="en-GB"/>
        </w:rPr>
        <w:tab/>
        <w:t xml:space="preserve">revised </w:t>
      </w:r>
      <w:r w:rsidRPr="00380B40">
        <w:rPr>
          <w:szCs w:val="24"/>
          <w:lang w:val="en-GB"/>
        </w:rPr>
        <w:t xml:space="preserve">Resolution 7, (Rev. Geneva, 2022), </w:t>
      </w:r>
      <w:r w:rsidRPr="00380B40">
        <w:rPr>
          <w:i/>
          <w:iCs/>
          <w:szCs w:val="24"/>
          <w:lang w:val="en-GB"/>
        </w:rPr>
        <w:t>Collaboration with the International Organization for Standardization and the International Electrotechnical Commission</w:t>
      </w:r>
      <w:r w:rsidRPr="00380B40">
        <w:rPr>
          <w:szCs w:val="22"/>
          <w:lang w:val="en-GB"/>
        </w:rPr>
        <w:t>;</w:t>
      </w:r>
    </w:p>
    <w:p w14:paraId="4876E9EA" w14:textId="77777777" w:rsidR="009033A7" w:rsidRPr="00380B40" w:rsidRDefault="009033A7" w:rsidP="002F74FB">
      <w:pPr>
        <w:pStyle w:val="Heading1"/>
        <w:rPr>
          <w:b w:val="0"/>
          <w:bCs/>
          <w:szCs w:val="24"/>
          <w:lang w:val="en-GB"/>
        </w:rPr>
      </w:pPr>
      <w:bookmarkStart w:id="2529" w:name="_Toc111637248"/>
      <w:r w:rsidRPr="00380B40">
        <w:rPr>
          <w:bCs/>
          <w:szCs w:val="24"/>
          <w:lang w:val="en-GB"/>
        </w:rPr>
        <w:t>12</w:t>
      </w:r>
      <w:r w:rsidRPr="00380B40">
        <w:rPr>
          <w:bCs/>
          <w:szCs w:val="24"/>
          <w:lang w:val="en-GB"/>
        </w:rPr>
        <w:tab/>
        <w:t xml:space="preserve">Twelfth series of texts submitted by Editorial Committee to the Plenary Meeting (Res.52, Res.54, Res.77, Res.87, Res.90) (Document </w:t>
      </w:r>
      <w:hyperlink r:id="rId640" w:history="1">
        <w:r w:rsidRPr="00380B40">
          <w:rPr>
            <w:bCs/>
            <w:color w:val="3333FF"/>
            <w:szCs w:val="24"/>
            <w:u w:val="single"/>
            <w:lang w:val="en-GB"/>
          </w:rPr>
          <w:t>C97</w:t>
        </w:r>
      </w:hyperlink>
      <w:r w:rsidRPr="00380B40">
        <w:rPr>
          <w:bCs/>
          <w:szCs w:val="24"/>
          <w:lang w:val="en-GB"/>
        </w:rPr>
        <w:t>)</w:t>
      </w:r>
      <w:bookmarkEnd w:id="2529"/>
    </w:p>
    <w:p w14:paraId="14F87FBD" w14:textId="77777777" w:rsidR="009033A7" w:rsidRPr="00380B40" w:rsidRDefault="009033A7" w:rsidP="007E7CC8">
      <w:pPr>
        <w:rPr>
          <w:lang w:val="en-GB"/>
        </w:rPr>
      </w:pPr>
      <w:r w:rsidRPr="00380B40">
        <w:rPr>
          <w:lang w:val="en-GB"/>
        </w:rPr>
        <w:t>The Plenary approved:</w:t>
      </w:r>
    </w:p>
    <w:p w14:paraId="1C494550" w14:textId="77777777" w:rsidR="009033A7" w:rsidRPr="00380B40" w:rsidRDefault="009033A7" w:rsidP="002B0D37">
      <w:pPr>
        <w:pStyle w:val="enumlev1"/>
        <w:rPr>
          <w:i/>
          <w:iCs/>
          <w:szCs w:val="24"/>
          <w:lang w:val="en-GB"/>
        </w:rPr>
      </w:pPr>
      <w:r w:rsidRPr="00380B40">
        <w:rPr>
          <w:szCs w:val="22"/>
          <w:lang w:val="en-GB"/>
        </w:rPr>
        <w:t>–</w:t>
      </w:r>
      <w:r w:rsidRPr="00380B40">
        <w:rPr>
          <w:szCs w:val="22"/>
          <w:lang w:val="en-GB"/>
        </w:rPr>
        <w:tab/>
        <w:t>no changes to Resolution</w:t>
      </w:r>
      <w:r w:rsidRPr="00380B40">
        <w:rPr>
          <w:szCs w:val="24"/>
          <w:lang w:val="en-GB"/>
        </w:rPr>
        <w:t xml:space="preserve"> 52 (Rev. Hammamet, 2016), </w:t>
      </w:r>
      <w:r w:rsidRPr="00380B40">
        <w:rPr>
          <w:i/>
          <w:iCs/>
          <w:szCs w:val="24"/>
          <w:lang w:val="en-GB"/>
        </w:rPr>
        <w:t>Countering and combating spam;</w:t>
      </w:r>
    </w:p>
    <w:p w14:paraId="41F4C4C3" w14:textId="77777777" w:rsidR="009033A7" w:rsidRPr="00380B40" w:rsidRDefault="009033A7" w:rsidP="002B0D37">
      <w:pPr>
        <w:pStyle w:val="enumlev1"/>
        <w:rPr>
          <w:i/>
          <w:iCs/>
          <w:szCs w:val="24"/>
          <w:lang w:val="en-GB"/>
        </w:rPr>
      </w:pPr>
      <w:r w:rsidRPr="00380B40">
        <w:rPr>
          <w:szCs w:val="22"/>
          <w:lang w:val="en-GB"/>
        </w:rPr>
        <w:t>–</w:t>
      </w:r>
      <w:r w:rsidRPr="00380B40">
        <w:rPr>
          <w:szCs w:val="22"/>
          <w:lang w:val="en-GB"/>
        </w:rPr>
        <w:tab/>
        <w:t>no changes to Resolution</w:t>
      </w:r>
      <w:r w:rsidRPr="00380B40">
        <w:rPr>
          <w:szCs w:val="24"/>
          <w:lang w:val="en-GB"/>
        </w:rPr>
        <w:t xml:space="preserve"> 77 (Rev. Hammamet, 2016), </w:t>
      </w:r>
      <w:r w:rsidRPr="00380B40">
        <w:rPr>
          <w:i/>
          <w:iCs/>
          <w:szCs w:val="24"/>
          <w:lang w:val="en-GB"/>
        </w:rPr>
        <w:t>Enhancing the standardization work in the ITU Telecommunication Standardization Sector for software-defined networking;</w:t>
      </w:r>
    </w:p>
    <w:p w14:paraId="662D373E" w14:textId="77777777" w:rsidR="009033A7" w:rsidRPr="00380B40" w:rsidRDefault="009033A7" w:rsidP="002B0D37">
      <w:pPr>
        <w:pStyle w:val="enumlev1"/>
        <w:rPr>
          <w:i/>
          <w:iCs/>
          <w:szCs w:val="24"/>
          <w:lang w:val="en-GB"/>
        </w:rPr>
      </w:pPr>
      <w:r w:rsidRPr="00380B40">
        <w:rPr>
          <w:szCs w:val="22"/>
          <w:lang w:val="en-GB"/>
        </w:rPr>
        <w:t>–</w:t>
      </w:r>
      <w:r w:rsidRPr="00380B40">
        <w:rPr>
          <w:szCs w:val="22"/>
          <w:lang w:val="en-GB"/>
        </w:rPr>
        <w:tab/>
        <w:t xml:space="preserve">no changes to </w:t>
      </w:r>
      <w:r w:rsidRPr="00380B40">
        <w:rPr>
          <w:szCs w:val="24"/>
          <w:lang w:val="en-GB"/>
        </w:rPr>
        <w:t xml:space="preserve">Resolution 87 (Hammamet, 2016), </w:t>
      </w:r>
      <w:r w:rsidRPr="00380B40">
        <w:rPr>
          <w:i/>
          <w:iCs/>
          <w:szCs w:val="24"/>
          <w:lang w:val="en-GB"/>
        </w:rPr>
        <w:t>Participation of the ITU Telecommunication Standardization Sector in the periodic review and revision of the International Telecommunication Regulations;</w:t>
      </w:r>
    </w:p>
    <w:p w14:paraId="6FAD2D85" w14:textId="77777777" w:rsidR="009033A7" w:rsidRPr="00380B40" w:rsidRDefault="009033A7" w:rsidP="002B0D37">
      <w:pPr>
        <w:pStyle w:val="enumlev1"/>
        <w:rPr>
          <w:szCs w:val="24"/>
          <w:highlight w:val="yellow"/>
          <w:lang w:val="en-GB"/>
        </w:rPr>
      </w:pPr>
      <w:r w:rsidRPr="00380B40">
        <w:rPr>
          <w:szCs w:val="22"/>
          <w:lang w:val="en-GB"/>
        </w:rPr>
        <w:t>–</w:t>
      </w:r>
      <w:r w:rsidRPr="00380B40">
        <w:rPr>
          <w:szCs w:val="22"/>
          <w:lang w:val="en-GB"/>
        </w:rPr>
        <w:tab/>
        <w:t xml:space="preserve">no changes to </w:t>
      </w:r>
      <w:r w:rsidRPr="00380B40">
        <w:rPr>
          <w:szCs w:val="24"/>
          <w:lang w:val="en-GB"/>
        </w:rPr>
        <w:t xml:space="preserve">Resolution 90, (Hammamet, 2016), </w:t>
      </w:r>
      <w:r w:rsidRPr="00380B40">
        <w:rPr>
          <w:i/>
          <w:iCs/>
          <w:szCs w:val="24"/>
          <w:lang w:val="en-GB"/>
        </w:rPr>
        <w:t>Open source in the ITU Telecommunication Standardization Sector.</w:t>
      </w:r>
    </w:p>
    <w:p w14:paraId="61B84C03" w14:textId="77777777" w:rsidR="009033A7" w:rsidRPr="00380B40" w:rsidRDefault="00AA3B42" w:rsidP="002F74FB">
      <w:pPr>
        <w:pStyle w:val="Heading1"/>
        <w:rPr>
          <w:b w:val="0"/>
          <w:bCs/>
          <w:szCs w:val="24"/>
          <w:lang w:val="en-GB"/>
        </w:rPr>
      </w:pPr>
      <w:bookmarkStart w:id="2530" w:name="_Toc111637249"/>
      <w:r w:rsidRPr="00380B40">
        <w:rPr>
          <w:bCs/>
          <w:szCs w:val="24"/>
          <w:lang w:val="en-GB"/>
        </w:rPr>
        <w:t>13</w:t>
      </w:r>
      <w:r w:rsidR="009033A7" w:rsidRPr="00380B40">
        <w:rPr>
          <w:bCs/>
          <w:szCs w:val="24"/>
          <w:lang w:val="en-GB"/>
        </w:rPr>
        <w:tab/>
        <w:t xml:space="preserve">Any </w:t>
      </w:r>
      <w:r w:rsidR="009033A7" w:rsidRPr="00380B40">
        <w:rPr>
          <w:lang w:val="en-GB"/>
        </w:rPr>
        <w:t>other</w:t>
      </w:r>
      <w:r w:rsidR="009033A7" w:rsidRPr="00380B40">
        <w:rPr>
          <w:bCs/>
          <w:szCs w:val="24"/>
          <w:lang w:val="en-GB"/>
        </w:rPr>
        <w:t xml:space="preserve"> business</w:t>
      </w:r>
      <w:bookmarkEnd w:id="2530"/>
    </w:p>
    <w:p w14:paraId="7649034D" w14:textId="77777777" w:rsidR="009033A7" w:rsidRPr="00380B40" w:rsidRDefault="009033A7" w:rsidP="009033A7">
      <w:pPr>
        <w:spacing w:before="120" w:line="240" w:lineRule="auto"/>
        <w:ind w:right="11"/>
        <w:jc w:val="left"/>
        <w:rPr>
          <w:szCs w:val="22"/>
          <w:lang w:val="en-GB"/>
        </w:rPr>
      </w:pPr>
      <w:r w:rsidRPr="00380B40">
        <w:rPr>
          <w:szCs w:val="22"/>
          <w:lang w:val="en-GB"/>
        </w:rPr>
        <w:t>None.</w:t>
      </w:r>
    </w:p>
    <w:p w14:paraId="6A10969C" w14:textId="77777777" w:rsidR="009033A7" w:rsidRPr="00380B40" w:rsidRDefault="00AA3B42" w:rsidP="002F74FB">
      <w:pPr>
        <w:pStyle w:val="Heading1"/>
        <w:rPr>
          <w:b w:val="0"/>
          <w:bCs/>
          <w:szCs w:val="24"/>
          <w:lang w:val="en-GB"/>
        </w:rPr>
      </w:pPr>
      <w:bookmarkStart w:id="2531" w:name="_Toc111637250"/>
      <w:r w:rsidRPr="00380B40">
        <w:rPr>
          <w:bCs/>
          <w:szCs w:val="24"/>
          <w:lang w:val="en-GB"/>
        </w:rPr>
        <w:t>14</w:t>
      </w:r>
      <w:r w:rsidR="009033A7" w:rsidRPr="00380B40">
        <w:rPr>
          <w:bCs/>
          <w:szCs w:val="24"/>
          <w:lang w:val="en-GB"/>
        </w:rPr>
        <w:tab/>
        <w:t>Closing of the fifth plenary</w:t>
      </w:r>
      <w:bookmarkEnd w:id="2531"/>
    </w:p>
    <w:p w14:paraId="196EBF68" w14:textId="77777777" w:rsidR="009033A7" w:rsidRPr="00380B40" w:rsidRDefault="009033A7" w:rsidP="009033A7">
      <w:pPr>
        <w:spacing w:before="120" w:line="240" w:lineRule="auto"/>
        <w:rPr>
          <w:szCs w:val="22"/>
          <w:lang w:val="en-GB"/>
        </w:rPr>
      </w:pPr>
      <w:r w:rsidRPr="00380B40">
        <w:rPr>
          <w:szCs w:val="22"/>
          <w:lang w:val="en-GB"/>
        </w:rPr>
        <w:t>The Chairman adjourned the meeting at around 1300 hours.</w:t>
      </w:r>
    </w:p>
    <w:p w14:paraId="48B1BF5D" w14:textId="77777777" w:rsidR="007E7CC8" w:rsidRPr="00380B40" w:rsidRDefault="007E7CC8" w:rsidP="009033A7">
      <w:pPr>
        <w:spacing w:before="120" w:line="240" w:lineRule="auto"/>
        <w:rPr>
          <w:szCs w:val="22"/>
          <w:lang w:val="en-GB"/>
        </w:rPr>
      </w:pPr>
    </w:p>
    <w:p w14:paraId="660730AB" w14:textId="77777777" w:rsidR="007E7CC8" w:rsidRPr="00380B40" w:rsidRDefault="007E7CC8" w:rsidP="009033A7">
      <w:pPr>
        <w:spacing w:before="120" w:line="240" w:lineRule="auto"/>
        <w:rPr>
          <w:szCs w:val="22"/>
          <w:lang w:val="en-GB"/>
        </w:rPr>
      </w:pPr>
    </w:p>
    <w:p w14:paraId="3CE300D0" w14:textId="77777777" w:rsidR="007E7CC8" w:rsidRPr="00380B40" w:rsidRDefault="007E7CC8" w:rsidP="009033A7">
      <w:pPr>
        <w:spacing w:before="120" w:line="240" w:lineRule="auto"/>
        <w:rPr>
          <w:szCs w:val="22"/>
          <w:lang w:val="en-GB"/>
        </w:rPr>
      </w:pPr>
    </w:p>
    <w:p w14:paraId="6BA30C98" w14:textId="77777777" w:rsidR="007E7CC8" w:rsidRPr="00380B40" w:rsidRDefault="007E7CC8" w:rsidP="009033A7">
      <w:pPr>
        <w:spacing w:before="120" w:line="240" w:lineRule="auto"/>
        <w:rPr>
          <w:szCs w:val="22"/>
          <w:lang w:val="en-GB"/>
        </w:rPr>
      </w:pPr>
    </w:p>
    <w:p w14:paraId="692705AC" w14:textId="77777777" w:rsidR="007E7CC8" w:rsidRPr="00380B40" w:rsidRDefault="007E7CC8" w:rsidP="009033A7">
      <w:pPr>
        <w:spacing w:before="120" w:line="240" w:lineRule="auto"/>
        <w:rPr>
          <w:szCs w:val="22"/>
          <w:lang w:val="en-GB"/>
        </w:rPr>
      </w:pPr>
    </w:p>
    <w:p w14:paraId="19118B67" w14:textId="77777777" w:rsidR="0012784B" w:rsidRPr="00380B40" w:rsidRDefault="0012784B" w:rsidP="00FD3C79">
      <w:pPr>
        <w:pStyle w:val="AnnexNoTitle1"/>
      </w:pPr>
      <w:r w:rsidRPr="00380B40">
        <w:br w:type="page"/>
      </w:r>
    </w:p>
    <w:p w14:paraId="511DA1D1" w14:textId="77777777" w:rsidR="009033A7" w:rsidRPr="00380B40" w:rsidRDefault="009033A7" w:rsidP="00FD3C79">
      <w:pPr>
        <w:pStyle w:val="AnnexNoTitle1"/>
      </w:pPr>
      <w:r w:rsidRPr="00380B40">
        <w:t>Annex 1</w:t>
      </w:r>
    </w:p>
    <w:p w14:paraId="78D5BFFD" w14:textId="77777777" w:rsidR="009033A7" w:rsidRPr="00380B40" w:rsidRDefault="009033A7" w:rsidP="00B66120">
      <w:pPr>
        <w:pStyle w:val="Normalcenteraligned"/>
      </w:pPr>
      <w:r w:rsidRPr="00380B40">
        <w:t xml:space="preserve">(to </w:t>
      </w:r>
      <w:r w:rsidR="004F6B7B" w:rsidRPr="00380B40">
        <w:t xml:space="preserve">the </w:t>
      </w:r>
      <w:r w:rsidRPr="00380B40">
        <w:t>fifth plenary meeting report)</w:t>
      </w:r>
      <w:bookmarkStart w:id="2532" w:name="_Toc104459811"/>
      <w:bookmarkStart w:id="2533" w:name="_Toc104476627"/>
      <w:r w:rsidR="00B66120" w:rsidRPr="00380B40">
        <w:br/>
      </w:r>
      <w:r w:rsidRPr="00380B40">
        <w:t>DRAFT NEW RESOLUTION</w:t>
      </w:r>
      <w:bookmarkEnd w:id="2532"/>
      <w:bookmarkEnd w:id="2533"/>
      <w:r w:rsidRPr="00380B40">
        <w:t xml:space="preserve"> </w:t>
      </w:r>
    </w:p>
    <w:p w14:paraId="3B3350C9" w14:textId="77777777" w:rsidR="009033A7" w:rsidRPr="00380B40" w:rsidRDefault="009033A7" w:rsidP="00F55448">
      <w:pPr>
        <w:pStyle w:val="Normalcenteraligned"/>
        <w:rPr>
          <w:b/>
          <w:bCs/>
          <w:szCs w:val="22"/>
        </w:rPr>
      </w:pPr>
      <w:bookmarkStart w:id="2534" w:name="_Hlk97473055"/>
      <w:bookmarkStart w:id="2535" w:name="_Toc104459812"/>
      <w:bookmarkStart w:id="2536" w:name="_Toc104476628"/>
      <w:r w:rsidRPr="00380B40">
        <w:rPr>
          <w:b/>
          <w:bCs/>
        </w:rPr>
        <w:t>The role of telecommunication/information and communication technologies in</w:t>
      </w:r>
      <w:r w:rsidRPr="00380B40">
        <w:rPr>
          <w:b/>
          <w:bCs/>
          <w:szCs w:val="22"/>
        </w:rPr>
        <w:t xml:space="preserve"> mitigating global pandemics</w:t>
      </w:r>
      <w:bookmarkEnd w:id="2534"/>
      <w:bookmarkEnd w:id="2535"/>
      <w:bookmarkEnd w:id="2536"/>
    </w:p>
    <w:p w14:paraId="3AAEFCDF" w14:textId="77777777" w:rsidR="009033A7" w:rsidRPr="00380B40" w:rsidRDefault="009033A7" w:rsidP="009033A7">
      <w:pPr>
        <w:pStyle w:val="Resref"/>
        <w:rPr>
          <w:lang w:val="en-GB"/>
        </w:rPr>
      </w:pPr>
      <w:r w:rsidRPr="00380B40">
        <w:rPr>
          <w:lang w:val="en-GB"/>
        </w:rPr>
        <w:t>(Geneva, 2022)</w:t>
      </w:r>
    </w:p>
    <w:p w14:paraId="6627C649" w14:textId="77777777" w:rsidR="009033A7" w:rsidRPr="00380B40" w:rsidRDefault="009033A7" w:rsidP="00566AA6">
      <w:pPr>
        <w:pStyle w:val="Normalaftertitle0"/>
      </w:pPr>
      <w:r w:rsidRPr="00380B40">
        <w:t>The World Telecommunication Standardization Assembly (Geneva, 2022),</w:t>
      </w:r>
    </w:p>
    <w:p w14:paraId="1EEEBF1B" w14:textId="77777777" w:rsidR="009033A7" w:rsidRPr="00380B40" w:rsidRDefault="009033A7" w:rsidP="009033A7">
      <w:pPr>
        <w:pStyle w:val="Call"/>
        <w:rPr>
          <w:lang w:val="en-GB" w:bidi="ar-EG"/>
        </w:rPr>
      </w:pPr>
      <w:r w:rsidRPr="00380B40">
        <w:rPr>
          <w:lang w:val="en-GB" w:bidi="ar-EG"/>
        </w:rPr>
        <w:t>recalling</w:t>
      </w:r>
    </w:p>
    <w:p w14:paraId="48262774" w14:textId="77777777" w:rsidR="009033A7" w:rsidRPr="00380B40" w:rsidRDefault="009033A7" w:rsidP="0012784B">
      <w:pPr>
        <w:rPr>
          <w:lang w:val="en-GB"/>
        </w:rPr>
      </w:pPr>
      <w:r w:rsidRPr="00380B40">
        <w:rPr>
          <w:i/>
          <w:iCs/>
          <w:lang w:val="en-GB"/>
        </w:rPr>
        <w:t>a)</w:t>
      </w:r>
      <w:r w:rsidRPr="00380B40">
        <w:rPr>
          <w:lang w:val="en-GB"/>
        </w:rPr>
        <w:tab/>
        <w:t xml:space="preserve">Resolution 74/270 of the United Nations General Assembly (UNGA), on global solidarity to fight the coronavirus disease 2019 (COVID-19), which calls on the United Nations system </w:t>
      </w:r>
      <w:r w:rsidR="00F82355" w:rsidRPr="00380B40">
        <w:rPr>
          <w:lang w:val="en-GB"/>
        </w:rPr>
        <w:t>"</w:t>
      </w:r>
      <w:r w:rsidRPr="00380B40">
        <w:rPr>
          <w:lang w:val="en-GB"/>
        </w:rPr>
        <w:t>to work with all relevant actors to mobilize a coordinated global response to the pandemic and its adverse social, economic and financial impact on all societies</w:t>
      </w:r>
      <w:r w:rsidR="00F82355" w:rsidRPr="00380B40">
        <w:rPr>
          <w:lang w:val="en-GB"/>
        </w:rPr>
        <w:t>"</w:t>
      </w:r>
      <w:r w:rsidRPr="00380B40">
        <w:rPr>
          <w:lang w:val="en-GB"/>
        </w:rPr>
        <w:t>;</w:t>
      </w:r>
    </w:p>
    <w:p w14:paraId="7AC47344" w14:textId="77777777" w:rsidR="009033A7" w:rsidRPr="00380B40" w:rsidRDefault="009033A7" w:rsidP="0012784B">
      <w:pPr>
        <w:rPr>
          <w:lang w:val="en-GB"/>
        </w:rPr>
      </w:pPr>
      <w:r w:rsidRPr="00380B40">
        <w:rPr>
          <w:i/>
          <w:iCs/>
          <w:lang w:val="en-GB"/>
        </w:rPr>
        <w:t>b)</w:t>
      </w:r>
      <w:r w:rsidRPr="00380B40">
        <w:rPr>
          <w:lang w:val="en-GB"/>
        </w:rPr>
        <w:tab/>
        <w:t>UNGA Resolution 74/306, on comprehensive and coordinated response to the coronavirus disease (COVID-19) pandemic;</w:t>
      </w:r>
    </w:p>
    <w:p w14:paraId="5D86E7A5" w14:textId="77777777" w:rsidR="009033A7" w:rsidRPr="00380B40" w:rsidRDefault="009033A7" w:rsidP="0012784B">
      <w:pPr>
        <w:rPr>
          <w:lang w:val="en-GB"/>
        </w:rPr>
      </w:pPr>
      <w:r w:rsidRPr="00380B40">
        <w:rPr>
          <w:i/>
          <w:iCs/>
          <w:lang w:val="en-GB"/>
        </w:rPr>
        <w:t>c)</w:t>
      </w:r>
      <w:r w:rsidRPr="00380B40">
        <w:rPr>
          <w:lang w:val="en-GB"/>
        </w:rPr>
        <w:tab/>
        <w:t>United Nations Sustainable Development Goal (SDG) 3 (Ensure healthy lives and promote well-being for all at all ages), as well as SDG 9 (Build resilient infrastructure, promote sustainable industrialization and foster innovation) and SDG 11 (Make cities and human settlements inclusive, safe, resilient and sustainable) of the 2030 Agenda for Sustainable Development;</w:t>
      </w:r>
    </w:p>
    <w:p w14:paraId="1B718D2B" w14:textId="77777777" w:rsidR="009033A7" w:rsidRPr="00380B40" w:rsidRDefault="009033A7" w:rsidP="0012784B">
      <w:pPr>
        <w:rPr>
          <w:lang w:val="en-GB"/>
        </w:rPr>
      </w:pPr>
      <w:r w:rsidRPr="00380B40">
        <w:rPr>
          <w:i/>
          <w:iCs/>
          <w:lang w:val="en-GB"/>
        </w:rPr>
        <w:t>d)</w:t>
      </w:r>
      <w:r w:rsidRPr="00380B40">
        <w:rPr>
          <w:rtl/>
          <w:lang w:val="en-GB"/>
        </w:rPr>
        <w:tab/>
      </w:r>
      <w:r w:rsidRPr="00380B40">
        <w:rPr>
          <w:lang w:val="en-GB"/>
        </w:rPr>
        <w:t>Article 40 of the ITU Constitution, on the priority of telecommunications concerning safety of life;</w:t>
      </w:r>
    </w:p>
    <w:p w14:paraId="6E41777F" w14:textId="77777777" w:rsidR="009033A7" w:rsidRPr="00380B40" w:rsidRDefault="009033A7" w:rsidP="0012784B">
      <w:pPr>
        <w:rPr>
          <w:lang w:val="en-GB"/>
        </w:rPr>
      </w:pPr>
      <w:r w:rsidRPr="00380B40">
        <w:rPr>
          <w:i/>
          <w:iCs/>
          <w:lang w:val="en-GB"/>
        </w:rPr>
        <w:t>e)</w:t>
      </w:r>
      <w:r w:rsidRPr="00380B40">
        <w:rPr>
          <w:lang w:val="en-GB"/>
        </w:rPr>
        <w:tab/>
        <w:t>Article 46 of the Constitution, on distress calls and messages;</w:t>
      </w:r>
    </w:p>
    <w:p w14:paraId="60922AE9" w14:textId="77777777" w:rsidR="009033A7" w:rsidRPr="00380B40" w:rsidRDefault="009033A7" w:rsidP="0012784B">
      <w:pPr>
        <w:rPr>
          <w:lang w:val="en-GB"/>
        </w:rPr>
      </w:pPr>
      <w:r w:rsidRPr="00380B40">
        <w:rPr>
          <w:i/>
          <w:iCs/>
          <w:lang w:val="en-GB"/>
        </w:rPr>
        <w:t>f)</w:t>
      </w:r>
      <w:r w:rsidRPr="00380B40">
        <w:rPr>
          <w:lang w:val="en-GB"/>
        </w:rPr>
        <w:tab/>
        <w:t>Article 5 of the International Telecommunication Regulations, on safety of life and priority of telecommunications;</w:t>
      </w:r>
    </w:p>
    <w:p w14:paraId="62851C83" w14:textId="77777777" w:rsidR="009033A7" w:rsidRPr="00380B40" w:rsidRDefault="009033A7" w:rsidP="0012784B">
      <w:pPr>
        <w:rPr>
          <w:lang w:val="en-GB"/>
        </w:rPr>
      </w:pPr>
      <w:r w:rsidRPr="00380B40">
        <w:rPr>
          <w:i/>
          <w:iCs/>
          <w:lang w:val="en-GB"/>
        </w:rPr>
        <w:t>g)</w:t>
      </w:r>
      <w:r w:rsidRPr="00380B40">
        <w:rPr>
          <w:lang w:val="en-GB"/>
        </w:rPr>
        <w:tab/>
        <w:t>Resolution 136 (Rev. Dubai, 2018) of the Plenipotentiary Conference, on the use of telecommunications/information and communication technologies for humanitarian assistance and for monitoring and management in emergency and disaster situations, including health-related emergencies, for early warning, prevention, mitigation and relief;</w:t>
      </w:r>
    </w:p>
    <w:p w14:paraId="27A3AEB3" w14:textId="77777777" w:rsidR="009033A7" w:rsidRPr="00380B40" w:rsidRDefault="009033A7" w:rsidP="0012784B">
      <w:pPr>
        <w:rPr>
          <w:lang w:val="en-GB"/>
        </w:rPr>
      </w:pPr>
      <w:r w:rsidRPr="00380B40">
        <w:rPr>
          <w:i/>
          <w:iCs/>
          <w:lang w:val="en-GB"/>
        </w:rPr>
        <w:t>h)</w:t>
      </w:r>
      <w:r w:rsidRPr="00380B40">
        <w:rPr>
          <w:lang w:val="en-GB"/>
        </w:rPr>
        <w:tab/>
        <w:t>Resolution 175 (Rev. Dubai, 2018) of the Plenipotentiary Conference, on the use of telecommunication/information and communication technology accessibility for persons with disabilities and persons with specific needs;</w:t>
      </w:r>
    </w:p>
    <w:p w14:paraId="4D71CC16" w14:textId="77777777" w:rsidR="009033A7" w:rsidRPr="00380B40" w:rsidRDefault="009033A7" w:rsidP="0012784B">
      <w:pPr>
        <w:rPr>
          <w:lang w:val="en-GB"/>
        </w:rPr>
      </w:pPr>
      <w:r w:rsidRPr="00380B40">
        <w:rPr>
          <w:i/>
          <w:iCs/>
          <w:lang w:val="en-GB"/>
        </w:rPr>
        <w:t>i)</w:t>
      </w:r>
      <w:r w:rsidRPr="00380B40">
        <w:rPr>
          <w:lang w:val="en-GB"/>
        </w:rPr>
        <w:tab/>
        <w:t>Resolution 66 (Rev. Buenos Aires, 2017) of the World Telecommunication Development Conference (WTDC) on information and communication technology and climate change;</w:t>
      </w:r>
    </w:p>
    <w:p w14:paraId="21AF57A3" w14:textId="77777777" w:rsidR="00832D78" w:rsidRPr="00380B40" w:rsidRDefault="00832D78" w:rsidP="0012784B">
      <w:pPr>
        <w:rPr>
          <w:i/>
          <w:iCs/>
          <w:lang w:val="en-GB"/>
        </w:rPr>
      </w:pPr>
      <w:r w:rsidRPr="00380B40">
        <w:rPr>
          <w:i/>
          <w:iCs/>
          <w:lang w:val="en-GB"/>
        </w:rPr>
        <w:br w:type="page"/>
      </w:r>
    </w:p>
    <w:p w14:paraId="5EC1D46A" w14:textId="77777777" w:rsidR="009033A7" w:rsidRPr="00380B40" w:rsidRDefault="009033A7" w:rsidP="0012784B">
      <w:pPr>
        <w:rPr>
          <w:lang w:val="en-GB"/>
        </w:rPr>
      </w:pPr>
      <w:r w:rsidRPr="00380B40">
        <w:rPr>
          <w:i/>
          <w:iCs/>
          <w:lang w:val="en-GB"/>
        </w:rPr>
        <w:t>j)</w:t>
      </w:r>
      <w:r w:rsidRPr="00380B40">
        <w:rPr>
          <w:lang w:val="en-GB"/>
        </w:rPr>
        <w:tab/>
        <w:t>Resolution 646 (Rev. WRC-19) of the World Radiocommunication Conference (WRC), on public protection and disaster relief;</w:t>
      </w:r>
    </w:p>
    <w:p w14:paraId="4CFEDC4B" w14:textId="77777777" w:rsidR="009033A7" w:rsidRPr="00380B40" w:rsidRDefault="009033A7" w:rsidP="0012784B">
      <w:pPr>
        <w:rPr>
          <w:lang w:val="en-GB"/>
        </w:rPr>
      </w:pPr>
      <w:r w:rsidRPr="00380B40">
        <w:rPr>
          <w:i/>
          <w:iCs/>
          <w:lang w:val="en-GB"/>
        </w:rPr>
        <w:t>k)</w:t>
      </w:r>
      <w:r w:rsidRPr="00380B40">
        <w:rPr>
          <w:lang w:val="en-GB"/>
        </w:rPr>
        <w:tab/>
        <w:t>WRC Resolution 647 (Rev. WRC-19), on radiocommunication aspects, including spectrum-management guidelines, for early warning, disaster prediction, detection, mitigation and relief operations relating to emergencies and disasters;</w:t>
      </w:r>
    </w:p>
    <w:p w14:paraId="685617C3" w14:textId="77777777" w:rsidR="009033A7" w:rsidRPr="00380B40" w:rsidRDefault="009033A7" w:rsidP="0012784B">
      <w:pPr>
        <w:rPr>
          <w:lang w:val="en-GB"/>
        </w:rPr>
      </w:pPr>
      <w:r w:rsidRPr="00380B40">
        <w:rPr>
          <w:i/>
          <w:iCs/>
          <w:lang w:val="en-GB"/>
        </w:rPr>
        <w:t>l)</w:t>
      </w:r>
      <w:r w:rsidRPr="00380B40">
        <w:rPr>
          <w:lang w:val="en-GB"/>
        </w:rPr>
        <w:tab/>
        <w:t>Resolution 202 (Busan, 2014) of the Plenipotentiary Conference, on using information and communication technologies to break the chain of health-related emergencies such as Ebola virus transmission;</w:t>
      </w:r>
    </w:p>
    <w:p w14:paraId="49DA90F8" w14:textId="77777777" w:rsidR="009033A7" w:rsidRPr="00380B40" w:rsidRDefault="009033A7" w:rsidP="0012784B">
      <w:pPr>
        <w:rPr>
          <w:lang w:val="en-GB"/>
        </w:rPr>
      </w:pPr>
      <w:r w:rsidRPr="00380B40">
        <w:rPr>
          <w:i/>
          <w:iCs/>
          <w:lang w:val="en-GB"/>
        </w:rPr>
        <w:t>m)</w:t>
      </w:r>
      <w:r w:rsidRPr="00380B40">
        <w:rPr>
          <w:lang w:val="en-GB"/>
        </w:rPr>
        <w:tab/>
        <w:t>Resolution 73 (Rev. Geneva, 2022) of this assembly, on Information and communication technologies, environment, climate change and circular economy;</w:t>
      </w:r>
    </w:p>
    <w:p w14:paraId="60F860F8" w14:textId="77777777" w:rsidR="009033A7" w:rsidRPr="00380B40" w:rsidRDefault="009033A7" w:rsidP="0012784B">
      <w:pPr>
        <w:rPr>
          <w:lang w:val="en-GB"/>
        </w:rPr>
      </w:pPr>
      <w:r w:rsidRPr="00380B40">
        <w:rPr>
          <w:i/>
          <w:iCs/>
          <w:lang w:val="en-GB"/>
        </w:rPr>
        <w:t>n)</w:t>
      </w:r>
      <w:r w:rsidRPr="00380B40">
        <w:rPr>
          <w:lang w:val="en-GB"/>
        </w:rPr>
        <w:tab/>
        <w:t>Resolution 78 (Rev. Geneva, 2022) of this assembly, on information and communication technology applications and standards for improved access to e-health services;</w:t>
      </w:r>
    </w:p>
    <w:p w14:paraId="33ACF2FF" w14:textId="77777777" w:rsidR="009033A7" w:rsidRPr="00380B40" w:rsidRDefault="009033A7" w:rsidP="0012784B">
      <w:pPr>
        <w:rPr>
          <w:lang w:val="en-GB"/>
        </w:rPr>
      </w:pPr>
      <w:r w:rsidRPr="00380B40">
        <w:rPr>
          <w:i/>
          <w:iCs/>
          <w:lang w:val="en-GB"/>
        </w:rPr>
        <w:t>o)</w:t>
      </w:r>
      <w:r w:rsidRPr="00380B40">
        <w:rPr>
          <w:lang w:val="en-GB"/>
        </w:rPr>
        <w:tab/>
        <w:t>Resolution 98 (Rev. Geneva, 2022) of this assembly, on enhancing the standardization of Internet of things and smart cities and communities for global development;</w:t>
      </w:r>
    </w:p>
    <w:p w14:paraId="0CF2DF81" w14:textId="77777777" w:rsidR="009033A7" w:rsidRPr="00380B40" w:rsidRDefault="009033A7" w:rsidP="0012784B">
      <w:pPr>
        <w:rPr>
          <w:lang w:val="en-GB"/>
        </w:rPr>
      </w:pPr>
      <w:r w:rsidRPr="00380B40">
        <w:rPr>
          <w:i/>
          <w:iCs/>
          <w:lang w:val="en-GB"/>
        </w:rPr>
        <w:t>p)</w:t>
      </w:r>
      <w:r w:rsidRPr="00380B40">
        <w:rPr>
          <w:lang w:val="en-GB"/>
        </w:rPr>
        <w:tab/>
        <w:t>WTDC Resolution 34 (Rev. Buenos Aires, 2017), on the role of telecommunications/information and communication technologies (ICTs) in disaster preparedness, early warning, rescue, mitigation, relief and response;</w:t>
      </w:r>
    </w:p>
    <w:p w14:paraId="5C751A8C" w14:textId="77777777" w:rsidR="009033A7" w:rsidRPr="00380B40" w:rsidRDefault="009033A7" w:rsidP="0012784B">
      <w:pPr>
        <w:rPr>
          <w:lang w:val="en-GB"/>
        </w:rPr>
      </w:pPr>
      <w:r w:rsidRPr="00380B40">
        <w:rPr>
          <w:i/>
          <w:iCs/>
          <w:lang w:val="en-GB"/>
        </w:rPr>
        <w:t>q)</w:t>
      </w:r>
      <w:r w:rsidRPr="00380B40">
        <w:rPr>
          <w:lang w:val="en-GB"/>
        </w:rPr>
        <w:tab/>
        <w:t>Resolution 45 (Rev. Hammamet, 2016) of the World Telecommunication Standardization Assembly (WTSA), on effective coordination of standardization work across study groups in the ITU Telecommunication Standardization Sector and the role of the ITU Telecommunication Standardization Advisory Group;</w:t>
      </w:r>
    </w:p>
    <w:p w14:paraId="13886007" w14:textId="77777777" w:rsidR="009033A7" w:rsidRPr="00380B40" w:rsidRDefault="009033A7" w:rsidP="0012784B">
      <w:pPr>
        <w:rPr>
          <w:highlight w:val="yellow"/>
          <w:lang w:val="en-GB"/>
        </w:rPr>
      </w:pPr>
      <w:r w:rsidRPr="00380B40">
        <w:rPr>
          <w:i/>
          <w:iCs/>
          <w:lang w:val="en-GB"/>
        </w:rPr>
        <w:t>r)</w:t>
      </w:r>
      <w:r w:rsidRPr="00380B40">
        <w:rPr>
          <w:lang w:val="en-GB"/>
        </w:rPr>
        <w:tab/>
        <w:t>Resolution 140 (Rev. Dubai, 2018) of the Plenipotentiary Conference, on ITU's role in implementing the outcomes of the World Summit on the Information Society and the 2030 Agenda for Sustainable Development, as well as in their follow-up and review processes;</w:t>
      </w:r>
    </w:p>
    <w:p w14:paraId="71D8A6FC" w14:textId="77777777" w:rsidR="009033A7" w:rsidRPr="00380B40" w:rsidRDefault="009033A7" w:rsidP="0012784B">
      <w:pPr>
        <w:rPr>
          <w:lang w:val="en-GB"/>
        </w:rPr>
      </w:pPr>
      <w:r w:rsidRPr="00380B40">
        <w:rPr>
          <w:lang w:val="en-GB"/>
        </w:rPr>
        <w:t>s</w:t>
      </w:r>
      <w:r w:rsidRPr="00380B40">
        <w:rPr>
          <w:i/>
          <w:iCs/>
          <w:lang w:val="en-GB"/>
        </w:rPr>
        <w:t>)</w:t>
      </w:r>
      <w:r w:rsidRPr="00380B40">
        <w:rPr>
          <w:lang w:val="en-GB"/>
        </w:rPr>
        <w:tab/>
        <w:t>Opinion 5 of the World Telecommunication Policy Forum (WTPF-21), on use of telecommunications/ICTs in COVID-19 and future pandemic and epidemic preparedness and response,</w:t>
      </w:r>
    </w:p>
    <w:p w14:paraId="1F8B0577" w14:textId="77777777" w:rsidR="009033A7" w:rsidRPr="00380B40" w:rsidRDefault="009033A7" w:rsidP="009033A7">
      <w:pPr>
        <w:pStyle w:val="Call"/>
        <w:rPr>
          <w:lang w:val="en-GB"/>
        </w:rPr>
      </w:pPr>
      <w:r w:rsidRPr="00380B40">
        <w:rPr>
          <w:lang w:val="en-GB"/>
        </w:rPr>
        <w:t>recalling further</w:t>
      </w:r>
    </w:p>
    <w:p w14:paraId="335D59B5" w14:textId="77777777" w:rsidR="009033A7" w:rsidRPr="00380B40" w:rsidRDefault="009033A7" w:rsidP="0012784B">
      <w:pPr>
        <w:rPr>
          <w:lang w:val="en-GB"/>
        </w:rPr>
      </w:pPr>
      <w:r w:rsidRPr="00380B40">
        <w:rPr>
          <w:i/>
          <w:iCs/>
          <w:lang w:val="en-GB"/>
        </w:rPr>
        <w:t>a)</w:t>
      </w:r>
      <w:r w:rsidRPr="00380B40">
        <w:rPr>
          <w:lang w:val="en-GB"/>
        </w:rPr>
        <w:tab/>
        <w:t>§ 91 of the Tunis Agenda for the Information Society adopted by the second phase of WSIS;</w:t>
      </w:r>
    </w:p>
    <w:p w14:paraId="1F47466E" w14:textId="77777777" w:rsidR="009033A7" w:rsidRPr="00380B40" w:rsidRDefault="009033A7" w:rsidP="0012784B">
      <w:pPr>
        <w:rPr>
          <w:lang w:val="en-GB"/>
        </w:rPr>
      </w:pPr>
      <w:r w:rsidRPr="00380B40">
        <w:rPr>
          <w:i/>
          <w:iCs/>
          <w:lang w:val="en-GB"/>
        </w:rPr>
        <w:t>b)</w:t>
      </w:r>
      <w:r w:rsidRPr="00380B40">
        <w:rPr>
          <w:lang w:val="en-GB"/>
        </w:rPr>
        <w:tab/>
        <w:t>item c) of § 20 of Action Line C7 (E-environment) of the Geneva Plan of Action adopted by the first phase of WSIS, on establishing monitoring systems, using ICTs, to forecast and monitor the impact of natural and man-made disasters, particularly in developing countries</w:t>
      </w:r>
      <w:r w:rsidR="00FD162E" w:rsidRPr="00380B40">
        <w:rPr>
          <w:rStyle w:val="FootnoteReference"/>
          <w:lang w:val="en-GB"/>
        </w:rPr>
        <w:footnoteReference w:id="83"/>
      </w:r>
      <w:r w:rsidRPr="00380B40">
        <w:rPr>
          <w:lang w:val="en-GB"/>
        </w:rPr>
        <w:t>, least developed countries and small economies,</w:t>
      </w:r>
    </w:p>
    <w:p w14:paraId="0C659CFE" w14:textId="77777777" w:rsidR="00832D78" w:rsidRPr="00380B40" w:rsidRDefault="00832D78" w:rsidP="009033A7">
      <w:pPr>
        <w:pStyle w:val="Call"/>
        <w:rPr>
          <w:lang w:val="en-GB"/>
        </w:rPr>
      </w:pPr>
      <w:r w:rsidRPr="00380B40">
        <w:rPr>
          <w:lang w:val="en-GB"/>
        </w:rPr>
        <w:br w:type="page"/>
      </w:r>
    </w:p>
    <w:p w14:paraId="31446423" w14:textId="77777777" w:rsidR="009033A7" w:rsidRPr="00380B40" w:rsidRDefault="009033A7" w:rsidP="009033A7">
      <w:pPr>
        <w:pStyle w:val="Call"/>
        <w:rPr>
          <w:lang w:val="en-GB"/>
        </w:rPr>
      </w:pPr>
      <w:r w:rsidRPr="00380B40">
        <w:rPr>
          <w:lang w:val="en-GB"/>
        </w:rPr>
        <w:t>recognizing</w:t>
      </w:r>
    </w:p>
    <w:p w14:paraId="27C25E78" w14:textId="77777777" w:rsidR="009033A7" w:rsidRPr="00380B40" w:rsidRDefault="009033A7" w:rsidP="0012784B">
      <w:pPr>
        <w:rPr>
          <w:lang w:val="en-GB"/>
        </w:rPr>
      </w:pPr>
      <w:r w:rsidRPr="00380B40">
        <w:rPr>
          <w:i/>
          <w:iCs/>
          <w:lang w:val="en-GB"/>
        </w:rPr>
        <w:t>a)</w:t>
      </w:r>
      <w:r w:rsidRPr="00380B40">
        <w:rPr>
          <w:lang w:val="en-GB"/>
        </w:rPr>
        <w:tab/>
        <w:t>that the new COVID-19, pneumonia of unknown cause first reported to the World Health Organization (WHO) in late 2019, is a major public health crisis that has disrupted public life and dramatically changed the global society, including quarantine, strict social distancing, imposing a blockade, declaring a state of emergency, and even harsher measures to mitigate the spread of the disease;</w:t>
      </w:r>
    </w:p>
    <w:p w14:paraId="66AEED92" w14:textId="77777777" w:rsidR="009033A7" w:rsidRPr="00380B40" w:rsidRDefault="009033A7" w:rsidP="0012784B">
      <w:pPr>
        <w:rPr>
          <w:lang w:val="en-GB"/>
        </w:rPr>
      </w:pPr>
      <w:r w:rsidRPr="00380B40">
        <w:rPr>
          <w:i/>
          <w:iCs/>
          <w:lang w:val="en-GB"/>
        </w:rPr>
        <w:t>b)</w:t>
      </w:r>
      <w:r w:rsidRPr="00380B40">
        <w:rPr>
          <w:lang w:val="en-GB"/>
        </w:rPr>
        <w:tab/>
        <w:t>that since such pandemics can cause numerous confirmed cases and deaths and could eventually lead to global economic crisis and depression, telecommunications/ICTs, and in particular new and emerging technologies, play a more prominent role in connecting remote populations allowing them to pursue their regular lives while preventing direct contact from each other and can help predict and monitor global pandemics;</w:t>
      </w:r>
    </w:p>
    <w:p w14:paraId="5FDCDAEB" w14:textId="77777777" w:rsidR="009033A7" w:rsidRPr="00380B40" w:rsidRDefault="009033A7" w:rsidP="0012784B">
      <w:pPr>
        <w:rPr>
          <w:i/>
          <w:iCs/>
          <w:lang w:val="en-GB"/>
        </w:rPr>
      </w:pPr>
      <w:r w:rsidRPr="00380B40">
        <w:rPr>
          <w:i/>
          <w:iCs/>
          <w:lang w:val="en-GB"/>
        </w:rPr>
        <w:t>c)</w:t>
      </w:r>
      <w:r w:rsidRPr="00380B40">
        <w:rPr>
          <w:lang w:val="en-GB"/>
        </w:rPr>
        <w:tab/>
        <w:t>the ongoing studies being carried out by relevant ITU-T study groups in using telecommunications/ICTs to facilitate the use of new and emerging technologies in mitigating global pandemics;</w:t>
      </w:r>
    </w:p>
    <w:p w14:paraId="36C76441" w14:textId="77777777" w:rsidR="009033A7" w:rsidRPr="00380B40" w:rsidRDefault="009033A7" w:rsidP="0012784B">
      <w:pPr>
        <w:rPr>
          <w:lang w:val="en-GB"/>
        </w:rPr>
      </w:pPr>
      <w:r w:rsidRPr="00380B40">
        <w:rPr>
          <w:i/>
          <w:iCs/>
          <w:lang w:val="en-GB"/>
        </w:rPr>
        <w:t>d)</w:t>
      </w:r>
      <w:r w:rsidRPr="00380B40">
        <w:rPr>
          <w:lang w:val="en-GB"/>
        </w:rPr>
        <w:tab/>
        <w:t>the REG4COVID platform created by the Telecommunication Development Bureau (BDT) as a way to collect information and case studies on responses to COVID-19 pandemic,</w:t>
      </w:r>
    </w:p>
    <w:p w14:paraId="1A5DE742" w14:textId="77777777" w:rsidR="009033A7" w:rsidRPr="00380B40" w:rsidRDefault="009033A7" w:rsidP="009033A7">
      <w:pPr>
        <w:pStyle w:val="Call"/>
        <w:rPr>
          <w:lang w:val="en-GB"/>
        </w:rPr>
      </w:pPr>
      <w:r w:rsidRPr="00380B40">
        <w:rPr>
          <w:lang w:val="en-GB"/>
        </w:rPr>
        <w:t>recognizing further</w:t>
      </w:r>
    </w:p>
    <w:p w14:paraId="1F7D9A0F" w14:textId="77777777" w:rsidR="009033A7" w:rsidRPr="00380B40" w:rsidRDefault="009033A7" w:rsidP="0012784B">
      <w:pPr>
        <w:rPr>
          <w:lang w:val="en-GB"/>
        </w:rPr>
      </w:pPr>
      <w:r w:rsidRPr="00380B40">
        <w:rPr>
          <w:i/>
          <w:iCs/>
          <w:lang w:val="en-GB"/>
        </w:rPr>
        <w:t>a)</w:t>
      </w:r>
      <w:r w:rsidRPr="00380B40">
        <w:rPr>
          <w:lang w:val="en-GB"/>
        </w:rPr>
        <w:tab/>
        <w:t>ITU</w:t>
      </w:r>
      <w:r w:rsidR="00F82355" w:rsidRPr="00380B40">
        <w:rPr>
          <w:lang w:val="en-GB"/>
        </w:rPr>
        <w:t>'</w:t>
      </w:r>
      <w:r w:rsidRPr="00380B40">
        <w:rPr>
          <w:lang w:val="en-GB"/>
        </w:rPr>
        <w:t>s support for business resilience and the promotion of participation of micro, small and medium-sized enterprises;</w:t>
      </w:r>
    </w:p>
    <w:p w14:paraId="308BE513" w14:textId="77777777" w:rsidR="009033A7" w:rsidRPr="00380B40" w:rsidRDefault="009033A7" w:rsidP="0012784B">
      <w:pPr>
        <w:rPr>
          <w:lang w:val="en-GB"/>
        </w:rPr>
      </w:pPr>
      <w:r w:rsidRPr="00380B40">
        <w:rPr>
          <w:i/>
          <w:iCs/>
          <w:lang w:val="en-GB"/>
        </w:rPr>
        <w:t>b)</w:t>
      </w:r>
      <w:r w:rsidRPr="00380B40">
        <w:rPr>
          <w:lang w:val="en-GB"/>
        </w:rPr>
        <w:tab/>
        <w:t>ITU/WHO/United Nations Children</w:t>
      </w:r>
      <w:r w:rsidR="00F82355" w:rsidRPr="00380B40">
        <w:rPr>
          <w:lang w:val="en-GB"/>
        </w:rPr>
        <w:t>'</w:t>
      </w:r>
      <w:r w:rsidRPr="00380B40">
        <w:rPr>
          <w:lang w:val="en-GB"/>
        </w:rPr>
        <w:t>s Fund (UNICEF) initiatives in providing up-to-date information on COVID-19;</w:t>
      </w:r>
    </w:p>
    <w:p w14:paraId="01DFE984" w14:textId="77777777" w:rsidR="009033A7" w:rsidRPr="00380B40" w:rsidRDefault="009033A7" w:rsidP="0012784B">
      <w:pPr>
        <w:rPr>
          <w:lang w:val="en-GB"/>
        </w:rPr>
      </w:pPr>
      <w:r w:rsidRPr="00380B40">
        <w:rPr>
          <w:i/>
          <w:iCs/>
          <w:lang w:val="en-GB"/>
        </w:rPr>
        <w:t>c)</w:t>
      </w:r>
      <w:r w:rsidRPr="00380B40">
        <w:rPr>
          <w:lang w:val="en-GB"/>
        </w:rPr>
        <w:tab/>
        <w:t>that ICTs are an important and integral component of multi-hazard early warning systems and common alerting protocol, that manage and deliver alerting messages to those in affected areas and wider at national or international level, thereby allowing them to take action to mitigate the impacts of the hazard;</w:t>
      </w:r>
    </w:p>
    <w:p w14:paraId="060E17BE" w14:textId="77777777" w:rsidR="009033A7" w:rsidRPr="00380B40" w:rsidRDefault="009033A7" w:rsidP="0012784B">
      <w:pPr>
        <w:rPr>
          <w:lang w:val="en-GB"/>
        </w:rPr>
      </w:pPr>
      <w:r w:rsidRPr="00380B40">
        <w:rPr>
          <w:i/>
          <w:iCs/>
          <w:lang w:val="en-GB"/>
        </w:rPr>
        <w:t>d)</w:t>
      </w:r>
      <w:r w:rsidRPr="00380B40">
        <w:rPr>
          <w:rtl/>
          <w:lang w:val="en-GB"/>
        </w:rPr>
        <w:tab/>
      </w:r>
      <w:r w:rsidRPr="00380B40">
        <w:rPr>
          <w:lang w:val="en-GB"/>
        </w:rPr>
        <w:t>Recommendation ITU-T X.1303, on the common alerting protocol (CAP), which is a simple but general format for exchanging all-hazard emergency alerts and public warnings over all kinds of ICT networks, allowing a consistent warning message to be disseminated simultaneously over many different warning systems, thus increasing warning effectiveness while simplifying the warning task,</w:t>
      </w:r>
    </w:p>
    <w:p w14:paraId="65B17CA3" w14:textId="77777777" w:rsidR="009033A7" w:rsidRPr="00380B40" w:rsidRDefault="009033A7" w:rsidP="009033A7">
      <w:pPr>
        <w:pStyle w:val="Call"/>
        <w:rPr>
          <w:lang w:val="en-GB"/>
        </w:rPr>
      </w:pPr>
      <w:r w:rsidRPr="00380B40">
        <w:rPr>
          <w:lang w:val="en-GB"/>
        </w:rPr>
        <w:t>taking into account</w:t>
      </w:r>
    </w:p>
    <w:p w14:paraId="650754EA" w14:textId="77777777" w:rsidR="009033A7" w:rsidRPr="00380B40" w:rsidRDefault="009033A7" w:rsidP="0012784B">
      <w:pPr>
        <w:rPr>
          <w:lang w:val="en-GB"/>
        </w:rPr>
      </w:pPr>
      <w:r w:rsidRPr="00380B40">
        <w:rPr>
          <w:i/>
          <w:iCs/>
          <w:lang w:val="en-GB"/>
        </w:rPr>
        <w:t>a)</w:t>
      </w:r>
      <w:r w:rsidRPr="00380B40">
        <w:rPr>
          <w:lang w:val="en-GB"/>
        </w:rPr>
        <w:tab/>
        <w:t>some Member States have been transparent, open and adaptive in the process of robust testing, vigorous tracing and quick treatment of the patients to minimize the human suffering and to contain socio-economic consequences;</w:t>
      </w:r>
    </w:p>
    <w:p w14:paraId="65519283" w14:textId="77777777" w:rsidR="009033A7" w:rsidRPr="00380B40" w:rsidRDefault="009033A7" w:rsidP="0012784B">
      <w:pPr>
        <w:rPr>
          <w:lang w:val="en-GB"/>
        </w:rPr>
      </w:pPr>
      <w:r w:rsidRPr="00380B40">
        <w:rPr>
          <w:i/>
          <w:iCs/>
          <w:lang w:val="en-GB"/>
        </w:rPr>
        <w:t>b)</w:t>
      </w:r>
      <w:r w:rsidRPr="00380B40">
        <w:rPr>
          <w:lang w:val="en-GB"/>
        </w:rPr>
        <w:tab/>
        <w:t>that such actions were enhanced by the use of telecommunications/ICTs in addition to finding cures and vaccines;</w:t>
      </w:r>
    </w:p>
    <w:p w14:paraId="056E8EF3" w14:textId="77777777" w:rsidR="00832D78" w:rsidRPr="00380B40" w:rsidRDefault="00832D78" w:rsidP="0012784B">
      <w:pPr>
        <w:rPr>
          <w:i/>
          <w:iCs/>
          <w:lang w:val="en-GB"/>
        </w:rPr>
      </w:pPr>
      <w:r w:rsidRPr="00380B40">
        <w:rPr>
          <w:i/>
          <w:iCs/>
          <w:lang w:val="en-GB"/>
        </w:rPr>
        <w:br w:type="page"/>
      </w:r>
    </w:p>
    <w:p w14:paraId="7D6EAE34" w14:textId="77777777" w:rsidR="009033A7" w:rsidRPr="00380B40" w:rsidRDefault="009033A7" w:rsidP="0012784B">
      <w:pPr>
        <w:rPr>
          <w:lang w:val="en-GB"/>
        </w:rPr>
      </w:pPr>
      <w:r w:rsidRPr="00380B40">
        <w:rPr>
          <w:i/>
          <w:iCs/>
          <w:lang w:val="en-GB"/>
        </w:rPr>
        <w:t>c)</w:t>
      </w:r>
      <w:r w:rsidRPr="00380B40">
        <w:rPr>
          <w:lang w:val="en-GB"/>
        </w:rPr>
        <w:tab/>
        <w:t>that these Member States are being asked to share their best practices on how they responded to COVID-19 using telecommunication/ICTs and how telecommunications/ICTs help social distancing, rapid testing and quick tracing to flatten the curve in the global pandemic;</w:t>
      </w:r>
    </w:p>
    <w:p w14:paraId="1A1E0E5C" w14:textId="77777777" w:rsidR="009033A7" w:rsidRPr="00380B40" w:rsidRDefault="009033A7" w:rsidP="0012784B">
      <w:pPr>
        <w:rPr>
          <w:lang w:val="en-GB"/>
        </w:rPr>
      </w:pPr>
      <w:r w:rsidRPr="00380B40">
        <w:rPr>
          <w:i/>
          <w:iCs/>
          <w:lang w:val="en-GB"/>
        </w:rPr>
        <w:t>d)</w:t>
      </w:r>
      <w:r w:rsidRPr="00380B40">
        <w:rPr>
          <w:lang w:val="en-GB"/>
        </w:rPr>
        <w:tab/>
        <w:t>that it is of further importance to take necessary measures pre-emptively before unexpected pandemics occur and travel around the world to prevent unnecessary deaths;</w:t>
      </w:r>
    </w:p>
    <w:p w14:paraId="0E199081" w14:textId="77777777" w:rsidR="009033A7" w:rsidRPr="00380B40" w:rsidRDefault="009033A7" w:rsidP="0012784B">
      <w:pPr>
        <w:rPr>
          <w:lang w:val="en-GB"/>
        </w:rPr>
      </w:pPr>
      <w:r w:rsidRPr="00380B40">
        <w:rPr>
          <w:lang w:val="en-GB"/>
        </w:rPr>
        <w:t>e)</w:t>
      </w:r>
      <w:r w:rsidRPr="00380B40">
        <w:rPr>
          <w:lang w:val="en-GB"/>
        </w:rPr>
        <w:tab/>
        <w:t>that ITU plays a role in the telecommunications/ICTs which are used for forecasting, monitoring and mitigating the impact of natural and man-made disasters, particularly in developing countries,</w:t>
      </w:r>
    </w:p>
    <w:p w14:paraId="05C9575E" w14:textId="77777777" w:rsidR="009033A7" w:rsidRPr="00380B40" w:rsidRDefault="009033A7" w:rsidP="009033A7">
      <w:pPr>
        <w:pStyle w:val="Call"/>
        <w:widowControl w:val="0"/>
        <w:rPr>
          <w:lang w:val="en-GB"/>
        </w:rPr>
      </w:pPr>
      <w:r w:rsidRPr="00380B40">
        <w:rPr>
          <w:lang w:val="en-GB"/>
        </w:rPr>
        <w:t>considering</w:t>
      </w:r>
    </w:p>
    <w:p w14:paraId="182974F6" w14:textId="77777777" w:rsidR="009033A7" w:rsidRPr="00380B40" w:rsidRDefault="009033A7" w:rsidP="0012784B">
      <w:pPr>
        <w:rPr>
          <w:lang w:val="en-GB"/>
        </w:rPr>
      </w:pPr>
      <w:r w:rsidRPr="00380B40">
        <w:rPr>
          <w:i/>
          <w:iCs/>
          <w:lang w:val="en-GB"/>
        </w:rPr>
        <w:t>a)</w:t>
      </w:r>
      <w:r w:rsidRPr="00380B40">
        <w:rPr>
          <w:lang w:val="en-GB"/>
        </w:rPr>
        <w:tab/>
        <w:t>that such necessary measures include ITU-T</w:t>
      </w:r>
      <w:r w:rsidR="00F82355" w:rsidRPr="00380B40">
        <w:rPr>
          <w:lang w:val="en-GB"/>
        </w:rPr>
        <w:t>'</w:t>
      </w:r>
      <w:r w:rsidRPr="00380B40">
        <w:rPr>
          <w:lang w:val="en-GB"/>
        </w:rPr>
        <w:t>s crucial role in providing its deliverables such as Recommendations, technical reports and white papers to facilitate the use of telecommunications/ICTs at a suitable time and place for the right purpose of preventing the spread of global pandemics;</w:t>
      </w:r>
    </w:p>
    <w:p w14:paraId="0978C39C" w14:textId="77777777" w:rsidR="009033A7" w:rsidRPr="00380B40" w:rsidRDefault="009033A7" w:rsidP="0012784B">
      <w:pPr>
        <w:rPr>
          <w:lang w:val="en-GB"/>
        </w:rPr>
      </w:pPr>
      <w:r w:rsidRPr="00380B40">
        <w:rPr>
          <w:i/>
          <w:iCs/>
          <w:lang w:val="en-GB"/>
        </w:rPr>
        <w:t>b)</w:t>
      </w:r>
      <w:r w:rsidRPr="00380B40">
        <w:rPr>
          <w:lang w:val="en-GB"/>
        </w:rPr>
        <w:tab/>
        <w:t>that ITU-T has already developed a number of Recommendations on telecommunications/ICTs, understanding the rising importance of telecommunications/ICTs that will impact a wide range of industries in the future;</w:t>
      </w:r>
    </w:p>
    <w:p w14:paraId="78F4DAA9" w14:textId="77777777" w:rsidR="009033A7" w:rsidRPr="00380B40" w:rsidRDefault="009033A7" w:rsidP="0012784B">
      <w:pPr>
        <w:rPr>
          <w:lang w:val="en-GB"/>
        </w:rPr>
      </w:pPr>
      <w:r w:rsidRPr="00380B40">
        <w:rPr>
          <w:i/>
          <w:iCs/>
          <w:lang w:val="en-GB"/>
        </w:rPr>
        <w:t>c)</w:t>
      </w:r>
      <w:r w:rsidRPr="00380B40">
        <w:rPr>
          <w:lang w:val="en-GB"/>
        </w:rPr>
        <w:tab/>
        <w:t>that since a single ITU-T Recommendation cannot cover entirely developing ICT solutions to overcome global pandemics, it is crucial for ITU-T to harmonize these different Recommendations from a holistic point of view,</w:t>
      </w:r>
    </w:p>
    <w:p w14:paraId="64757EED" w14:textId="77777777" w:rsidR="009033A7" w:rsidRPr="00380B40" w:rsidRDefault="009033A7" w:rsidP="009033A7">
      <w:pPr>
        <w:pStyle w:val="Call"/>
        <w:keepNext w:val="0"/>
        <w:keepLines w:val="0"/>
        <w:widowControl w:val="0"/>
        <w:rPr>
          <w:lang w:val="en-GB"/>
        </w:rPr>
      </w:pPr>
      <w:r w:rsidRPr="00380B40">
        <w:rPr>
          <w:lang w:val="en-GB"/>
        </w:rPr>
        <w:t>bearing in mind</w:t>
      </w:r>
    </w:p>
    <w:p w14:paraId="0A933BEB" w14:textId="77777777" w:rsidR="009033A7" w:rsidRPr="00380B40" w:rsidRDefault="009033A7" w:rsidP="0012784B">
      <w:pPr>
        <w:rPr>
          <w:lang w:val="en-GB"/>
        </w:rPr>
      </w:pPr>
      <w:r w:rsidRPr="00380B40">
        <w:rPr>
          <w:i/>
          <w:iCs/>
          <w:lang w:val="en-GB"/>
        </w:rPr>
        <w:t>a)</w:t>
      </w:r>
      <w:r w:rsidRPr="00380B40">
        <w:rPr>
          <w:lang w:val="en-GB"/>
        </w:rPr>
        <w:tab/>
        <w:t>that ITU-T</w:t>
      </w:r>
      <w:r w:rsidR="00F82355" w:rsidRPr="00380B40">
        <w:rPr>
          <w:lang w:val="en-GB"/>
        </w:rPr>
        <w:t>'</w:t>
      </w:r>
      <w:r w:rsidRPr="00380B40">
        <w:rPr>
          <w:lang w:val="en-GB"/>
        </w:rPr>
        <w:t>s deliverables can act as useful references when deploying ICT solutions, which help people by keeping them alerted by predicting and detecting their surrounding environment;</w:t>
      </w:r>
    </w:p>
    <w:p w14:paraId="4D6E5679" w14:textId="77777777" w:rsidR="009033A7" w:rsidRPr="00380B40" w:rsidRDefault="009033A7" w:rsidP="0012784B">
      <w:pPr>
        <w:rPr>
          <w:lang w:val="en-GB"/>
        </w:rPr>
      </w:pPr>
      <w:r w:rsidRPr="00380B40">
        <w:rPr>
          <w:i/>
          <w:iCs/>
          <w:lang w:val="en-GB"/>
        </w:rPr>
        <w:t>b)</w:t>
      </w:r>
      <w:r w:rsidRPr="00380B40">
        <w:rPr>
          <w:lang w:val="en-GB"/>
        </w:rPr>
        <w:tab/>
        <w:t>that a culture of avoiding direct contact may carry on even after the pandemic ceases and such culture may dramatically shift the paradigm of the majority of industries including not only health care but also education, transportation and distribution;</w:t>
      </w:r>
    </w:p>
    <w:p w14:paraId="1CF85153" w14:textId="77777777" w:rsidR="009033A7" w:rsidRPr="00380B40" w:rsidRDefault="009033A7" w:rsidP="0012784B">
      <w:pPr>
        <w:rPr>
          <w:lang w:val="en-GB"/>
        </w:rPr>
      </w:pPr>
      <w:r w:rsidRPr="00380B40">
        <w:rPr>
          <w:lang w:val="en-GB"/>
        </w:rPr>
        <w:t>c)</w:t>
      </w:r>
      <w:r w:rsidRPr="00380B40">
        <w:rPr>
          <w:lang w:val="en-GB"/>
        </w:rPr>
        <w:tab/>
        <w:t>that the change of culture requires leveraging and facilitating the use of telecommunications/ICTs, which is especially important to assist Member States to ensure timely access to information and infrastructure,</w:t>
      </w:r>
    </w:p>
    <w:p w14:paraId="7D54B02B" w14:textId="77777777" w:rsidR="009033A7" w:rsidRPr="00380B40" w:rsidRDefault="009033A7" w:rsidP="009033A7">
      <w:pPr>
        <w:pStyle w:val="Call"/>
        <w:rPr>
          <w:lang w:val="en-GB"/>
        </w:rPr>
      </w:pPr>
      <w:r w:rsidRPr="00380B40">
        <w:rPr>
          <w:lang w:val="en-GB"/>
        </w:rPr>
        <w:t>noting</w:t>
      </w:r>
    </w:p>
    <w:p w14:paraId="34F76BB7" w14:textId="77777777" w:rsidR="009033A7" w:rsidRPr="00380B40" w:rsidRDefault="009033A7" w:rsidP="0012784B">
      <w:pPr>
        <w:rPr>
          <w:lang w:val="en-GB"/>
        </w:rPr>
      </w:pPr>
      <w:r w:rsidRPr="00380B40">
        <w:rPr>
          <w:i/>
          <w:iCs/>
          <w:lang w:val="en-GB"/>
        </w:rPr>
        <w:t>a)</w:t>
      </w:r>
      <w:r w:rsidRPr="00380B40">
        <w:rPr>
          <w:lang w:val="en-GB"/>
        </w:rPr>
        <w:tab/>
        <w:t>the critical role played by telecommunications/ICTs to facilitate the use of new and emerging technologies in the fight against COVID-19;</w:t>
      </w:r>
    </w:p>
    <w:p w14:paraId="12EC1C55" w14:textId="77777777" w:rsidR="009033A7" w:rsidRPr="00380B40" w:rsidRDefault="009033A7" w:rsidP="0012784B">
      <w:pPr>
        <w:rPr>
          <w:lang w:val="en-GB"/>
        </w:rPr>
      </w:pPr>
      <w:r w:rsidRPr="00380B40">
        <w:rPr>
          <w:i/>
          <w:iCs/>
          <w:lang w:val="en-GB"/>
        </w:rPr>
        <w:t>b)</w:t>
      </w:r>
      <w:r w:rsidRPr="00380B40">
        <w:rPr>
          <w:lang w:val="en-GB"/>
        </w:rPr>
        <w:tab/>
        <w:t>that virtual meetings of study groups have been conducted by ITU-T;</w:t>
      </w:r>
    </w:p>
    <w:p w14:paraId="07079BFC" w14:textId="77777777" w:rsidR="009033A7" w:rsidRPr="00380B40" w:rsidRDefault="009033A7" w:rsidP="0012784B">
      <w:pPr>
        <w:rPr>
          <w:lang w:val="en-GB"/>
        </w:rPr>
      </w:pPr>
      <w:r w:rsidRPr="00380B40">
        <w:rPr>
          <w:i/>
          <w:iCs/>
          <w:lang w:val="en-GB"/>
        </w:rPr>
        <w:t>c)</w:t>
      </w:r>
      <w:r w:rsidRPr="00380B40">
        <w:rPr>
          <w:lang w:val="en-GB"/>
        </w:rPr>
        <w:tab/>
        <w:t>the initiation of the AI for Good webinar series to encourage distanced participants who cannot travel due to the global pandemic;</w:t>
      </w:r>
    </w:p>
    <w:p w14:paraId="49F7C160" w14:textId="77777777" w:rsidR="00832D78" w:rsidRPr="00380B40" w:rsidRDefault="00832D78" w:rsidP="0012784B">
      <w:pPr>
        <w:rPr>
          <w:i/>
          <w:iCs/>
          <w:lang w:val="en-GB"/>
        </w:rPr>
      </w:pPr>
      <w:r w:rsidRPr="00380B40">
        <w:rPr>
          <w:i/>
          <w:iCs/>
          <w:lang w:val="en-GB"/>
        </w:rPr>
        <w:br w:type="page"/>
      </w:r>
    </w:p>
    <w:p w14:paraId="40C26DDF" w14:textId="77777777" w:rsidR="009033A7" w:rsidRPr="00380B40" w:rsidRDefault="009033A7" w:rsidP="0012784B">
      <w:pPr>
        <w:rPr>
          <w:lang w:val="en-GB"/>
        </w:rPr>
      </w:pPr>
      <w:r w:rsidRPr="00380B40">
        <w:rPr>
          <w:i/>
          <w:iCs/>
          <w:lang w:val="en-GB"/>
        </w:rPr>
        <w:t>d)</w:t>
      </w:r>
      <w:r w:rsidRPr="00380B40">
        <w:rPr>
          <w:lang w:val="en-GB"/>
        </w:rPr>
        <w:tab/>
        <w:t>that timely provision of ITU-T deliverables to develop ICT solutions to prevent the spread of global pandemics will make ITU-T deliverables more prominent and pervasive in the future society;</w:t>
      </w:r>
    </w:p>
    <w:p w14:paraId="7DFDD05C" w14:textId="77777777" w:rsidR="009033A7" w:rsidRPr="00380B40" w:rsidRDefault="009033A7" w:rsidP="0012784B">
      <w:pPr>
        <w:rPr>
          <w:lang w:val="en-GB"/>
        </w:rPr>
      </w:pPr>
      <w:r w:rsidRPr="00380B40">
        <w:rPr>
          <w:i/>
          <w:iCs/>
          <w:lang w:val="en-GB"/>
        </w:rPr>
        <w:t>e)</w:t>
      </w:r>
      <w:r w:rsidRPr="00380B40">
        <w:rPr>
          <w:lang w:val="en-GB"/>
        </w:rPr>
        <w:tab/>
        <w:t>that ease of access to and better understanding of ITU-T deliverables will even help bridge the standardization gap,</w:t>
      </w:r>
    </w:p>
    <w:p w14:paraId="0D2F5D26" w14:textId="77777777" w:rsidR="009033A7" w:rsidRPr="00380B40" w:rsidRDefault="009033A7" w:rsidP="009033A7">
      <w:pPr>
        <w:pStyle w:val="Call"/>
        <w:keepNext w:val="0"/>
        <w:keepLines w:val="0"/>
        <w:widowControl w:val="0"/>
        <w:rPr>
          <w:lang w:val="en-GB"/>
        </w:rPr>
      </w:pPr>
      <w:r w:rsidRPr="00380B40">
        <w:rPr>
          <w:lang w:val="en-GB"/>
        </w:rPr>
        <w:t>resolves</w:t>
      </w:r>
    </w:p>
    <w:p w14:paraId="6D153ADE" w14:textId="77777777" w:rsidR="009033A7" w:rsidRPr="00380B40" w:rsidRDefault="009033A7" w:rsidP="0012784B">
      <w:pPr>
        <w:rPr>
          <w:lang w:val="en-GB"/>
        </w:rPr>
      </w:pPr>
      <w:r w:rsidRPr="00380B40">
        <w:rPr>
          <w:lang w:val="en-GB"/>
        </w:rPr>
        <w:t>1</w:t>
      </w:r>
      <w:r w:rsidRPr="00380B40">
        <w:rPr>
          <w:lang w:val="en-GB"/>
        </w:rPr>
        <w:tab/>
        <w:t>to acknowledge that the role of telecommunications/ICTs will become more prominent in tackling global pandemics;</w:t>
      </w:r>
    </w:p>
    <w:p w14:paraId="62803C19" w14:textId="77777777" w:rsidR="009033A7" w:rsidRPr="00380B40" w:rsidRDefault="009033A7" w:rsidP="0012784B">
      <w:pPr>
        <w:rPr>
          <w:lang w:val="en-GB"/>
        </w:rPr>
      </w:pPr>
      <w:r w:rsidRPr="00380B40">
        <w:rPr>
          <w:lang w:val="en-GB"/>
        </w:rPr>
        <w:t>2</w:t>
      </w:r>
      <w:r w:rsidRPr="00380B40">
        <w:rPr>
          <w:lang w:val="en-GB"/>
        </w:rPr>
        <w:tab/>
        <w:t>to collect and analyse the best practices of Member States in facilitating the use of telecommunications/ICTs to prevent the spread of global pandemics and lessons learned from their experience in containing the global crisis;</w:t>
      </w:r>
    </w:p>
    <w:p w14:paraId="6C8E892F" w14:textId="77777777" w:rsidR="009033A7" w:rsidRPr="00380B40" w:rsidRDefault="009033A7" w:rsidP="0012784B">
      <w:pPr>
        <w:rPr>
          <w:lang w:val="en-GB"/>
        </w:rPr>
      </w:pPr>
      <w:r w:rsidRPr="00380B40">
        <w:rPr>
          <w:lang w:val="en-GB"/>
        </w:rPr>
        <w:t>3</w:t>
      </w:r>
      <w:r w:rsidRPr="00380B40">
        <w:rPr>
          <w:lang w:val="en-GB"/>
        </w:rPr>
        <w:tab/>
        <w:t xml:space="preserve">to identify existing deliverables and potential Recommendations of ITU-T based on the analysis of </w:t>
      </w:r>
      <w:r w:rsidRPr="00380B40">
        <w:rPr>
          <w:i/>
          <w:iCs/>
          <w:lang w:val="en-GB"/>
        </w:rPr>
        <w:t>resolves</w:t>
      </w:r>
      <w:r w:rsidRPr="00380B40">
        <w:rPr>
          <w:lang w:val="en-GB"/>
        </w:rPr>
        <w:t xml:space="preserve"> 2 above;</w:t>
      </w:r>
    </w:p>
    <w:p w14:paraId="3331C4D0" w14:textId="77777777" w:rsidR="009033A7" w:rsidRPr="00380B40" w:rsidRDefault="009033A7" w:rsidP="0012784B">
      <w:pPr>
        <w:rPr>
          <w:lang w:val="en-GB"/>
        </w:rPr>
      </w:pPr>
      <w:r w:rsidRPr="00380B40">
        <w:rPr>
          <w:lang w:val="en-GB"/>
        </w:rPr>
        <w:t>4</w:t>
      </w:r>
      <w:r w:rsidRPr="00380B40">
        <w:rPr>
          <w:lang w:val="en-GB"/>
        </w:rPr>
        <w:tab/>
        <w:t>to categorize the existing ITU-T deliverables for experts to easily and quickly search and adopt appropriate deliverables while developing ICT solutions in case of sudden occurrence of pandemics;</w:t>
      </w:r>
    </w:p>
    <w:p w14:paraId="17583968" w14:textId="77777777" w:rsidR="009033A7" w:rsidRPr="00380B40" w:rsidRDefault="009033A7" w:rsidP="0012784B">
      <w:pPr>
        <w:rPr>
          <w:lang w:val="en-GB"/>
        </w:rPr>
      </w:pPr>
      <w:r w:rsidRPr="00380B40">
        <w:rPr>
          <w:lang w:val="en-GB"/>
        </w:rPr>
        <w:t>5</w:t>
      </w:r>
      <w:r w:rsidRPr="00380B40">
        <w:rPr>
          <w:lang w:val="en-GB"/>
        </w:rPr>
        <w:tab/>
        <w:t xml:space="preserve">to publish the result of </w:t>
      </w:r>
      <w:r w:rsidRPr="00380B40">
        <w:rPr>
          <w:i/>
          <w:iCs/>
          <w:lang w:val="en-GB"/>
        </w:rPr>
        <w:t>resolves</w:t>
      </w:r>
      <w:r w:rsidRPr="00380B40">
        <w:rPr>
          <w:lang w:val="en-GB"/>
        </w:rPr>
        <w:t xml:space="preserve"> 4 above online through various easily accessible appropriate multilingual publications;</w:t>
      </w:r>
    </w:p>
    <w:p w14:paraId="2E9EF617" w14:textId="77777777" w:rsidR="009033A7" w:rsidRPr="00380B40" w:rsidRDefault="009033A7" w:rsidP="0012784B">
      <w:pPr>
        <w:rPr>
          <w:lang w:val="en-GB" w:bidi="ar-EG"/>
        </w:rPr>
      </w:pPr>
      <w:r w:rsidRPr="00380B40">
        <w:rPr>
          <w:lang w:val="en-GB"/>
        </w:rPr>
        <w:t>6</w:t>
      </w:r>
      <w:r w:rsidRPr="00380B40">
        <w:rPr>
          <w:lang w:val="en-GB"/>
        </w:rPr>
        <w:tab/>
        <w:t>to develop a standardization roadmap in order to facilitate better deployment of future ITU</w:t>
      </w:r>
      <w:r w:rsidRPr="00380B40">
        <w:rPr>
          <w:lang w:val="en-GB"/>
        </w:rPr>
        <w:noBreakHyphen/>
        <w:t>T deliverables and systematically organize and initiate work on potential Recommendations on relevant telecommunications/ICTs,</w:t>
      </w:r>
    </w:p>
    <w:p w14:paraId="2353A9BF" w14:textId="77777777" w:rsidR="009033A7" w:rsidRPr="00380B40" w:rsidRDefault="009033A7" w:rsidP="009033A7">
      <w:pPr>
        <w:pStyle w:val="Call"/>
        <w:rPr>
          <w:lang w:val="en-GB"/>
        </w:rPr>
      </w:pPr>
      <w:r w:rsidRPr="00380B40">
        <w:rPr>
          <w:lang w:val="en-GB"/>
        </w:rPr>
        <w:t>instructs the Director of the Telecommunication Standardization Bureau</w:t>
      </w:r>
    </w:p>
    <w:p w14:paraId="5BA3D29C" w14:textId="77777777" w:rsidR="009033A7" w:rsidRPr="00380B40" w:rsidRDefault="009033A7" w:rsidP="0012784B">
      <w:pPr>
        <w:rPr>
          <w:lang w:val="en-GB"/>
        </w:rPr>
      </w:pPr>
      <w:r w:rsidRPr="00380B40">
        <w:rPr>
          <w:lang w:val="en-GB"/>
        </w:rPr>
        <w:t>1</w:t>
      </w:r>
      <w:r w:rsidRPr="00380B40">
        <w:rPr>
          <w:lang w:val="en-GB"/>
        </w:rPr>
        <w:tab/>
        <w:t xml:space="preserve">to support the activities of the ITU-T members to fulfil the </w:t>
      </w:r>
      <w:r w:rsidRPr="00380B40">
        <w:rPr>
          <w:i/>
          <w:iCs/>
          <w:lang w:val="en-GB"/>
        </w:rPr>
        <w:t>resolves</w:t>
      </w:r>
      <w:r w:rsidRPr="00380B40">
        <w:rPr>
          <w:lang w:val="en-GB"/>
        </w:rPr>
        <w:t xml:space="preserve"> above by establishing appropriate working groups;</w:t>
      </w:r>
    </w:p>
    <w:p w14:paraId="36D39CCA" w14:textId="77777777" w:rsidR="009033A7" w:rsidRPr="00380B40" w:rsidRDefault="009033A7" w:rsidP="0012784B">
      <w:pPr>
        <w:rPr>
          <w:lang w:val="en-GB"/>
        </w:rPr>
      </w:pPr>
      <w:r w:rsidRPr="00380B40">
        <w:rPr>
          <w:lang w:val="en-GB"/>
        </w:rPr>
        <w:t>2</w:t>
      </w:r>
      <w:r w:rsidRPr="00380B40">
        <w:rPr>
          <w:lang w:val="en-GB"/>
        </w:rPr>
        <w:tab/>
        <w:t>to facilitate the exchange of best practices to mitigate the pandemic with all relevant standards-development organizations (SDOs) and entities to create opportunities for cooperative efforts to support the active deployment and use of telecommunication/ICTs;</w:t>
      </w:r>
    </w:p>
    <w:p w14:paraId="6F32BD5C" w14:textId="77777777" w:rsidR="009033A7" w:rsidRPr="00380B40" w:rsidRDefault="009033A7" w:rsidP="0012784B">
      <w:pPr>
        <w:rPr>
          <w:lang w:val="en-GB"/>
        </w:rPr>
      </w:pPr>
      <w:r w:rsidRPr="00380B40">
        <w:rPr>
          <w:lang w:val="en-GB"/>
        </w:rPr>
        <w:t>3</w:t>
      </w:r>
      <w:r w:rsidRPr="00380B40">
        <w:rPr>
          <w:lang w:val="en-GB"/>
        </w:rPr>
        <w:tab/>
        <w:t>to continue to update Member States on how ITU-T assists in tackling future and emerging global pandemics using ICTs;</w:t>
      </w:r>
    </w:p>
    <w:p w14:paraId="0897534F" w14:textId="77777777" w:rsidR="009033A7" w:rsidRPr="00380B40" w:rsidRDefault="009033A7" w:rsidP="0012784B">
      <w:pPr>
        <w:rPr>
          <w:lang w:val="en-GB"/>
        </w:rPr>
      </w:pPr>
      <w:r w:rsidRPr="00380B40">
        <w:rPr>
          <w:lang w:val="en-GB"/>
        </w:rPr>
        <w:t>4</w:t>
      </w:r>
      <w:r w:rsidRPr="00380B40">
        <w:rPr>
          <w:lang w:val="en-GB"/>
        </w:rPr>
        <w:tab/>
        <w:t xml:space="preserve">to review and facilitate consultations to the future actions of ITU-T study groups in response to the </w:t>
      </w:r>
      <w:r w:rsidRPr="00380B40">
        <w:rPr>
          <w:i/>
          <w:iCs/>
          <w:lang w:val="en-GB"/>
        </w:rPr>
        <w:t>resolves</w:t>
      </w:r>
      <w:r w:rsidRPr="00380B40">
        <w:rPr>
          <w:lang w:val="en-GB"/>
        </w:rPr>
        <w:t xml:space="preserve"> above and institute a framework to ensure appropriate implementation of this resolution;</w:t>
      </w:r>
    </w:p>
    <w:p w14:paraId="3063ABEE" w14:textId="77777777" w:rsidR="00832D78" w:rsidRPr="00380B40" w:rsidRDefault="00832D78" w:rsidP="0012784B">
      <w:pPr>
        <w:rPr>
          <w:lang w:val="en-GB"/>
        </w:rPr>
      </w:pPr>
      <w:r w:rsidRPr="00380B40">
        <w:rPr>
          <w:lang w:val="en-GB"/>
        </w:rPr>
        <w:br w:type="page"/>
      </w:r>
    </w:p>
    <w:p w14:paraId="7AC7A612" w14:textId="77777777" w:rsidR="009033A7" w:rsidRPr="00380B40" w:rsidRDefault="009033A7" w:rsidP="0012784B">
      <w:pPr>
        <w:rPr>
          <w:lang w:val="en-GB"/>
        </w:rPr>
      </w:pPr>
      <w:r w:rsidRPr="00380B40">
        <w:rPr>
          <w:lang w:val="en-GB"/>
        </w:rPr>
        <w:t>5</w:t>
      </w:r>
      <w:r w:rsidRPr="00380B40">
        <w:rPr>
          <w:lang w:val="en-GB"/>
        </w:rPr>
        <w:tab/>
        <w:t>to submit a report on the progress in the implementation of this resolution to the next WTSA in 2024;</w:t>
      </w:r>
    </w:p>
    <w:p w14:paraId="583AEDDC" w14:textId="77777777" w:rsidR="009033A7" w:rsidRPr="00380B40" w:rsidRDefault="009033A7" w:rsidP="0012784B">
      <w:pPr>
        <w:rPr>
          <w:lang w:val="en-GB"/>
        </w:rPr>
      </w:pPr>
      <w:r w:rsidRPr="00380B40">
        <w:rPr>
          <w:lang w:val="en-GB"/>
        </w:rPr>
        <w:t>6</w:t>
      </w:r>
      <w:r w:rsidRPr="00380B40">
        <w:rPr>
          <w:lang w:val="en-GB"/>
        </w:rPr>
        <w:tab/>
        <w:t>to cooperate closely with the Director of BDT;</w:t>
      </w:r>
    </w:p>
    <w:p w14:paraId="67C3EB5C" w14:textId="77777777" w:rsidR="009033A7" w:rsidRPr="00380B40" w:rsidRDefault="009033A7" w:rsidP="0012784B">
      <w:pPr>
        <w:pStyle w:val="enumlev1"/>
        <w:rPr>
          <w:lang w:val="en-GB" w:bidi="ar-EG"/>
        </w:rPr>
      </w:pPr>
      <w:r w:rsidRPr="00380B40">
        <w:rPr>
          <w:lang w:val="en-GB"/>
        </w:rPr>
        <w:t>i)</w:t>
      </w:r>
      <w:r w:rsidRPr="00380B40">
        <w:rPr>
          <w:lang w:val="en-GB"/>
        </w:rPr>
        <w:tab/>
        <w:t xml:space="preserve">in continuing the spread of </w:t>
      </w:r>
      <w:r w:rsidRPr="00380B40">
        <w:rPr>
          <w:lang w:val="en-GB" w:bidi="ar-EG"/>
        </w:rPr>
        <w:t>awareness and knowledge to developing countries on the use of ICTs in emergencies and health care through the implementation and promotion of international standards;</w:t>
      </w:r>
    </w:p>
    <w:p w14:paraId="62290B7A" w14:textId="77777777" w:rsidR="009033A7" w:rsidRPr="00380B40" w:rsidRDefault="009033A7" w:rsidP="0012784B">
      <w:pPr>
        <w:pStyle w:val="enumlev1"/>
        <w:rPr>
          <w:lang w:val="en-GB" w:bidi="ar-EG"/>
        </w:rPr>
      </w:pPr>
      <w:r w:rsidRPr="00380B40">
        <w:rPr>
          <w:lang w:val="en-GB" w:bidi="ar-EG"/>
        </w:rPr>
        <w:t>ii)</w:t>
      </w:r>
      <w:r w:rsidRPr="00380B40">
        <w:rPr>
          <w:lang w:val="en-GB" w:bidi="ar-EG"/>
        </w:rPr>
        <w:tab/>
        <w:t>in providing all means and support in increasing global connectivity and the digitalization of daily life,</w:t>
      </w:r>
    </w:p>
    <w:p w14:paraId="5BAA261A" w14:textId="77777777" w:rsidR="009033A7" w:rsidRPr="00380B40" w:rsidRDefault="009033A7" w:rsidP="009033A7">
      <w:pPr>
        <w:pStyle w:val="Call"/>
        <w:rPr>
          <w:lang w:val="en-GB"/>
        </w:rPr>
      </w:pPr>
      <w:r w:rsidRPr="00380B40">
        <w:rPr>
          <w:lang w:val="en-GB"/>
        </w:rPr>
        <w:t>instructs the Director of the Telecommunication Standardization Bureau in collaboration with the Director of the Radiocommunication Bureau and Director of the Telecommunication Development Bureau</w:t>
      </w:r>
    </w:p>
    <w:p w14:paraId="2984AB08" w14:textId="77777777" w:rsidR="009033A7" w:rsidRPr="00380B40" w:rsidRDefault="009033A7" w:rsidP="0012784B">
      <w:pPr>
        <w:rPr>
          <w:lang w:val="en-GB"/>
        </w:rPr>
      </w:pPr>
      <w:r w:rsidRPr="00380B40">
        <w:rPr>
          <w:lang w:val="en-GB"/>
        </w:rPr>
        <w:t>1</w:t>
      </w:r>
      <w:r w:rsidRPr="00380B40">
        <w:rPr>
          <w:lang w:val="en-GB"/>
        </w:rPr>
        <w:tab/>
        <w:t>to continue facilitating, through the development and implementation of international standards, emerging telecommunications/ICTs that are used to forecast, monitor and mitigate epidemics before they transform into global pandemics;</w:t>
      </w:r>
    </w:p>
    <w:p w14:paraId="61A227D9" w14:textId="77777777" w:rsidR="009033A7" w:rsidRPr="00380B40" w:rsidRDefault="009033A7" w:rsidP="0012784B">
      <w:pPr>
        <w:rPr>
          <w:i/>
          <w:lang w:val="en-GB"/>
        </w:rPr>
      </w:pPr>
      <w:r w:rsidRPr="00380B40">
        <w:rPr>
          <w:lang w:val="en-GB"/>
        </w:rPr>
        <w:t>2</w:t>
      </w:r>
      <w:r w:rsidRPr="00380B40">
        <w:rPr>
          <w:lang w:val="en-GB"/>
        </w:rPr>
        <w:tab/>
        <w:t>to provide assistance, if requested, to Member States on updating their national telecommunication emergency plans (NTEP) taking into account the COVID-19 pandemic as well as future pandemics,</w:t>
      </w:r>
    </w:p>
    <w:p w14:paraId="24DF96C9" w14:textId="77777777" w:rsidR="009033A7" w:rsidRPr="00380B40" w:rsidRDefault="009033A7" w:rsidP="009033A7">
      <w:pPr>
        <w:pStyle w:val="Call"/>
        <w:keepNext w:val="0"/>
        <w:keepLines w:val="0"/>
        <w:widowControl w:val="0"/>
        <w:rPr>
          <w:lang w:val="en-GB"/>
        </w:rPr>
      </w:pPr>
      <w:r w:rsidRPr="00380B40">
        <w:rPr>
          <w:lang w:val="en-GB"/>
        </w:rPr>
        <w:t>instructs study groups of the ITU Telecommunication Standardization Sector, according to their mandate</w:t>
      </w:r>
    </w:p>
    <w:p w14:paraId="30A86687" w14:textId="77777777" w:rsidR="009033A7" w:rsidRPr="00380B40" w:rsidRDefault="009033A7" w:rsidP="0012784B">
      <w:pPr>
        <w:rPr>
          <w:lang w:val="en-GB"/>
        </w:rPr>
      </w:pPr>
      <w:r w:rsidRPr="00380B40">
        <w:rPr>
          <w:lang w:val="en-GB"/>
        </w:rPr>
        <w:t>1</w:t>
      </w:r>
      <w:r w:rsidRPr="00380B40">
        <w:rPr>
          <w:lang w:val="en-GB"/>
        </w:rPr>
        <w:tab/>
        <w:t xml:space="preserve">to cooperate with other study groups of the Union to fulfil the </w:t>
      </w:r>
      <w:r w:rsidRPr="00380B40">
        <w:rPr>
          <w:i/>
          <w:iCs/>
          <w:lang w:val="en-GB"/>
        </w:rPr>
        <w:t>resolves</w:t>
      </w:r>
      <w:r w:rsidRPr="00380B40">
        <w:rPr>
          <w:lang w:val="en-GB"/>
        </w:rPr>
        <w:t xml:space="preserve"> above by providing inputs to the working groups established under </w:t>
      </w:r>
      <w:r w:rsidRPr="00380B40">
        <w:rPr>
          <w:i/>
          <w:iCs/>
          <w:lang w:val="en-GB"/>
        </w:rPr>
        <w:t>instructs the Director of the Telecommunication Standardization Bureau</w:t>
      </w:r>
      <w:r w:rsidRPr="00380B40">
        <w:rPr>
          <w:lang w:val="en-GB"/>
        </w:rPr>
        <w:t xml:space="preserve"> 1 above;</w:t>
      </w:r>
    </w:p>
    <w:p w14:paraId="477203C9" w14:textId="77777777" w:rsidR="009033A7" w:rsidRPr="00380B40" w:rsidRDefault="009033A7" w:rsidP="0012784B">
      <w:pPr>
        <w:rPr>
          <w:lang w:val="en-GB"/>
        </w:rPr>
      </w:pPr>
      <w:r w:rsidRPr="00380B40">
        <w:rPr>
          <w:lang w:val="en-GB"/>
        </w:rPr>
        <w:t>2</w:t>
      </w:r>
      <w:r w:rsidRPr="00380B40">
        <w:rPr>
          <w:lang w:val="en-GB"/>
        </w:rPr>
        <w:tab/>
        <w:t>to consider new work items on telecommunications/ICTs to support applications and services that help to prevent the spread of global pandemics;</w:t>
      </w:r>
    </w:p>
    <w:p w14:paraId="7C081F71" w14:textId="77777777" w:rsidR="009033A7" w:rsidRPr="00380B40" w:rsidRDefault="009033A7" w:rsidP="0012784B">
      <w:pPr>
        <w:rPr>
          <w:i/>
          <w:lang w:val="en-GB"/>
        </w:rPr>
      </w:pPr>
      <w:r w:rsidRPr="00380B40">
        <w:rPr>
          <w:lang w:val="en-GB"/>
        </w:rPr>
        <w:t>3</w:t>
      </w:r>
      <w:r w:rsidRPr="00380B40">
        <w:rPr>
          <w:lang w:val="en-GB"/>
        </w:rPr>
        <w:tab/>
        <w:t>to liaise with other SDOs, as appropriate, to foster studies carried out by relevant ITU-T study groups and focus groups, sharing ongoing work to avoid duplication of work,</w:t>
      </w:r>
    </w:p>
    <w:p w14:paraId="5EAB21B1" w14:textId="77777777" w:rsidR="009033A7" w:rsidRPr="00380B40" w:rsidRDefault="009033A7" w:rsidP="009033A7">
      <w:pPr>
        <w:pStyle w:val="Call"/>
        <w:rPr>
          <w:szCs w:val="22"/>
          <w:lang w:val="en-GB"/>
        </w:rPr>
      </w:pPr>
      <w:r w:rsidRPr="00380B40">
        <w:rPr>
          <w:szCs w:val="22"/>
          <w:lang w:val="en-GB"/>
        </w:rPr>
        <w:t>invites the Secretary-General</w:t>
      </w:r>
    </w:p>
    <w:p w14:paraId="66387604" w14:textId="77777777" w:rsidR="009033A7" w:rsidRPr="00380B40" w:rsidRDefault="009033A7" w:rsidP="0012784B">
      <w:pPr>
        <w:rPr>
          <w:lang w:val="en-GB"/>
        </w:rPr>
      </w:pPr>
      <w:r w:rsidRPr="00380B40">
        <w:rPr>
          <w:lang w:val="en-GB"/>
        </w:rPr>
        <w:t xml:space="preserve">to continue cooperating with relevant organizations such as WHO, UNICEF, the World Meteorological Organization (WMO), the Food and Agriculture Organization of the United Nations (FAO) and the World Food Programme (WFP) in providing up-to-date information and studying </w:t>
      </w:r>
      <w:r w:rsidRPr="00380B40">
        <w:rPr>
          <w:lang w:val="en-GB" w:bidi="ar-EG"/>
        </w:rPr>
        <w:t>means to mitigate the effects of global pandemics and promote recovery</w:t>
      </w:r>
      <w:r w:rsidRPr="00380B40">
        <w:rPr>
          <w:lang w:val="en-GB"/>
        </w:rPr>
        <w:t>,</w:t>
      </w:r>
    </w:p>
    <w:p w14:paraId="1F1454D1" w14:textId="77777777" w:rsidR="009033A7" w:rsidRPr="00380B40" w:rsidRDefault="009033A7" w:rsidP="009033A7">
      <w:pPr>
        <w:pStyle w:val="Call"/>
        <w:rPr>
          <w:lang w:val="en-GB"/>
        </w:rPr>
      </w:pPr>
      <w:r w:rsidRPr="00380B40">
        <w:rPr>
          <w:lang w:val="en-GB"/>
        </w:rPr>
        <w:t>invites Member States, Sector Members, Associates and Academia</w:t>
      </w:r>
    </w:p>
    <w:p w14:paraId="6A0695D6" w14:textId="77777777" w:rsidR="009033A7" w:rsidRPr="00380B40" w:rsidRDefault="009033A7" w:rsidP="0012784B">
      <w:pPr>
        <w:rPr>
          <w:lang w:val="en-GB"/>
        </w:rPr>
      </w:pPr>
      <w:bookmarkStart w:id="2537" w:name="_Hlk96331987"/>
      <w:r w:rsidRPr="00380B40">
        <w:rPr>
          <w:lang w:val="en-GB"/>
        </w:rPr>
        <w:t>1</w:t>
      </w:r>
      <w:r w:rsidRPr="00380B40">
        <w:rPr>
          <w:lang w:val="en-GB"/>
        </w:rPr>
        <w:tab/>
        <w:t xml:space="preserve">to cooperate to raise awareness, build capacity and share best practices and lessons in using telecommunications/ICTs to act quickly and pre-emptively throughout the global </w:t>
      </w:r>
      <w:r w:rsidRPr="00380B40">
        <w:rPr>
          <w:iCs/>
          <w:lang w:val="en-GB"/>
        </w:rPr>
        <w:t xml:space="preserve">COVID-19 </w:t>
      </w:r>
      <w:r w:rsidRPr="00380B40">
        <w:rPr>
          <w:lang w:val="en-GB"/>
        </w:rPr>
        <w:t>challenge</w:t>
      </w:r>
      <w:r w:rsidRPr="00380B40">
        <w:rPr>
          <w:iCs/>
          <w:lang w:val="en-GB"/>
        </w:rPr>
        <w:t xml:space="preserve"> as well as future pandemics</w:t>
      </w:r>
      <w:r w:rsidRPr="00380B40">
        <w:rPr>
          <w:lang w:val="en-GB"/>
        </w:rPr>
        <w:t>;</w:t>
      </w:r>
    </w:p>
    <w:bookmarkEnd w:id="2537"/>
    <w:p w14:paraId="19AF30A0" w14:textId="77777777" w:rsidR="009033A7" w:rsidRPr="00380B40" w:rsidRDefault="009033A7" w:rsidP="0012784B">
      <w:pPr>
        <w:rPr>
          <w:lang w:val="en-GB"/>
        </w:rPr>
      </w:pPr>
      <w:r w:rsidRPr="00380B40">
        <w:rPr>
          <w:lang w:val="en-GB"/>
        </w:rPr>
        <w:t>2</w:t>
      </w:r>
      <w:r w:rsidRPr="00380B40">
        <w:rPr>
          <w:lang w:val="en-GB"/>
        </w:rPr>
        <w:tab/>
        <w:t>to participate actively in the implementation of this resolution.</w:t>
      </w:r>
    </w:p>
    <w:p w14:paraId="70E92398" w14:textId="77777777" w:rsidR="0012784B" w:rsidRPr="00380B40" w:rsidRDefault="0012784B" w:rsidP="009033A7">
      <w:pPr>
        <w:spacing w:after="240"/>
        <w:jc w:val="left"/>
        <w:rPr>
          <w:lang w:val="en-GB"/>
        </w:rPr>
      </w:pPr>
    </w:p>
    <w:p w14:paraId="3B076446" w14:textId="77777777" w:rsidR="0012784B" w:rsidRPr="00380B40" w:rsidRDefault="0012784B" w:rsidP="009033A7">
      <w:pPr>
        <w:spacing w:after="240"/>
        <w:jc w:val="left"/>
        <w:rPr>
          <w:lang w:val="en-GB"/>
        </w:rPr>
      </w:pPr>
    </w:p>
    <w:p w14:paraId="259E9431" w14:textId="77777777" w:rsidR="0012784B" w:rsidRPr="00380B40" w:rsidRDefault="0012784B" w:rsidP="009033A7">
      <w:pPr>
        <w:spacing w:after="240"/>
        <w:jc w:val="left"/>
        <w:rPr>
          <w:lang w:val="en-GB"/>
        </w:rPr>
      </w:pPr>
      <w:r w:rsidRPr="00380B40">
        <w:rPr>
          <w:lang w:val="en-GB"/>
        </w:rPr>
        <w:br w:type="page"/>
      </w:r>
    </w:p>
    <w:p w14:paraId="4FA7EF92" w14:textId="77777777" w:rsidR="009033A7" w:rsidRPr="00380B40" w:rsidRDefault="009033A7" w:rsidP="00FD3C79">
      <w:pPr>
        <w:pStyle w:val="AnnexNoTitle1"/>
      </w:pPr>
      <w:r w:rsidRPr="00380B40">
        <w:t>Annex 2</w:t>
      </w:r>
    </w:p>
    <w:p w14:paraId="789E90B9" w14:textId="77777777" w:rsidR="009033A7" w:rsidRPr="00380B40" w:rsidRDefault="009033A7" w:rsidP="0021355D">
      <w:pPr>
        <w:pStyle w:val="Normalcenteraligned"/>
      </w:pPr>
      <w:r w:rsidRPr="00380B40">
        <w:t xml:space="preserve">(to </w:t>
      </w:r>
      <w:r w:rsidR="004F6B7B" w:rsidRPr="00380B40">
        <w:t xml:space="preserve">the </w:t>
      </w:r>
      <w:r w:rsidRPr="00380B40">
        <w:t>fifth plenary meeting report)</w:t>
      </w:r>
    </w:p>
    <w:p w14:paraId="7622FD7E" w14:textId="77777777" w:rsidR="009033A7" w:rsidRPr="00380B40" w:rsidRDefault="009033A7" w:rsidP="00832D78">
      <w:pPr>
        <w:pStyle w:val="Normalcenteraligned"/>
        <w:rPr>
          <w:rStyle w:val="Bold"/>
          <w:b/>
          <w:bCs/>
          <w:lang w:val="en-GB"/>
        </w:rPr>
      </w:pPr>
      <w:r w:rsidRPr="00380B40">
        <w:rPr>
          <w:rStyle w:val="Bold"/>
          <w:b/>
          <w:bCs/>
          <w:lang w:val="en-GB"/>
        </w:rPr>
        <w:t>Statements</w:t>
      </w:r>
    </w:p>
    <w:p w14:paraId="3763C761" w14:textId="77777777" w:rsidR="009033A7" w:rsidRPr="00380B40" w:rsidRDefault="009033A7" w:rsidP="0012784B">
      <w:pPr>
        <w:rPr>
          <w:b/>
          <w:bCs/>
          <w:lang w:val="en-GB"/>
        </w:rPr>
      </w:pPr>
      <w:r w:rsidRPr="00380B40">
        <w:rPr>
          <w:b/>
          <w:bCs/>
          <w:lang w:val="en-GB"/>
        </w:rPr>
        <w:t>2.1</w:t>
      </w:r>
      <w:r w:rsidRPr="00380B40">
        <w:rPr>
          <w:b/>
          <w:bCs/>
          <w:lang w:val="en-GB"/>
        </w:rPr>
        <w:tab/>
        <w:t>Statement by United States on behalf of Australia, Austria, the Bahamas, Bulgaria, Canada, the Czech Republic, the Dominican Republic, France, Germany, Japan, Latvia, Liechtenstein, Lithuania, Mexico, the Netherlands, Portugal, Romania, Spain, Switzerland, Sweden, Ukraine, the United Kingdom, and the United States</w:t>
      </w:r>
    </w:p>
    <w:p w14:paraId="09E4B0C7" w14:textId="77777777" w:rsidR="009033A7" w:rsidRPr="00380B40" w:rsidRDefault="009033A7" w:rsidP="0012784B">
      <w:pPr>
        <w:ind w:left="851"/>
        <w:rPr>
          <w:i/>
          <w:iCs/>
          <w:lang w:val="en-GB"/>
        </w:rPr>
      </w:pPr>
      <w:r w:rsidRPr="00380B40">
        <w:rPr>
          <w:i/>
          <w:iCs/>
          <w:lang w:val="en-GB"/>
        </w:rPr>
        <w:t xml:space="preserve">object to resolves 6 in Resolution 54, </w:t>
      </w:r>
      <w:r w:rsidR="00F82355" w:rsidRPr="00380B40">
        <w:rPr>
          <w:i/>
          <w:iCs/>
          <w:lang w:val="en-GB"/>
        </w:rPr>
        <w:t>"</w:t>
      </w:r>
      <w:r w:rsidRPr="00380B40">
        <w:rPr>
          <w:i/>
          <w:iCs/>
          <w:lang w:val="en-GB"/>
        </w:rPr>
        <w:t>Regional groups of ITU-T Study Groups,</w:t>
      </w:r>
      <w:r w:rsidR="00F82355" w:rsidRPr="00380B40">
        <w:rPr>
          <w:i/>
          <w:iCs/>
          <w:lang w:val="en-GB"/>
        </w:rPr>
        <w:t>"</w:t>
      </w:r>
      <w:r w:rsidRPr="00380B40">
        <w:rPr>
          <w:i/>
          <w:iCs/>
          <w:lang w:val="en-GB"/>
        </w:rPr>
        <w:t xml:space="preserve"> to the extent it is interpreted as placing any restriction on the participation of Member States and Sector Members in regional meetings outside their respective regions. Any such restriction would be plainly inconsistent with relevant provisions of the Constitution and Convention, which provide no basis to restrict the participation of Member States and Sector Members in regional meetings outside their respective regions, as affirmed by the ITU Legal Affairs Unit (</w:t>
      </w:r>
      <w:hyperlink r:id="rId641" w:history="1">
        <w:r w:rsidRPr="00380B40">
          <w:rPr>
            <w:rStyle w:val="Hyperlink"/>
            <w:i/>
            <w:iCs/>
            <w:lang w:val="en-GB"/>
          </w:rPr>
          <w:t>TSAG-TD577</w:t>
        </w:r>
      </w:hyperlink>
      <w:r w:rsidRPr="00380B40">
        <w:rPr>
          <w:i/>
          <w:iCs/>
          <w:lang w:val="en-GB"/>
        </w:rPr>
        <w:t xml:space="preserve">, </w:t>
      </w:r>
      <w:r w:rsidR="00F82355" w:rsidRPr="00380B40">
        <w:rPr>
          <w:i/>
          <w:iCs/>
          <w:lang w:val="en-GB"/>
        </w:rPr>
        <w:t>"</w:t>
      </w:r>
      <w:r w:rsidRPr="00380B40">
        <w:rPr>
          <w:i/>
          <w:iCs/>
          <w:lang w:val="en-GB"/>
        </w:rPr>
        <w:t>Legal opinion on participation rights in regional groups</w:t>
      </w:r>
      <w:r w:rsidR="00F82355" w:rsidRPr="00380B40">
        <w:rPr>
          <w:i/>
          <w:iCs/>
          <w:lang w:val="en-GB"/>
        </w:rPr>
        <w:t>"</w:t>
      </w:r>
      <w:r w:rsidRPr="00380B40">
        <w:rPr>
          <w:i/>
          <w:iCs/>
          <w:lang w:val="en-GB"/>
        </w:rPr>
        <w:t xml:space="preserve">). Rather, as the ITU Legal Affairs Unit concluded, Member States and Sector Members have a right under the ITU Constitution </w:t>
      </w:r>
      <w:r w:rsidR="00F82355" w:rsidRPr="00380B40">
        <w:rPr>
          <w:i/>
          <w:iCs/>
          <w:lang w:val="en-GB"/>
        </w:rPr>
        <w:t>"</w:t>
      </w:r>
      <w:r w:rsidRPr="00380B40">
        <w:rPr>
          <w:i/>
          <w:iCs/>
          <w:lang w:val="en-GB"/>
        </w:rPr>
        <w:t>to attend the relevant [ITU-T Study Group] regional meetings in an observer capacity.</w:t>
      </w:r>
      <w:r w:rsidR="00F82355" w:rsidRPr="00380B40">
        <w:rPr>
          <w:i/>
          <w:iCs/>
          <w:lang w:val="en-GB"/>
        </w:rPr>
        <w:t>"</w:t>
      </w:r>
      <w:r w:rsidRPr="00380B40">
        <w:rPr>
          <w:i/>
          <w:iCs/>
          <w:lang w:val="en-GB"/>
        </w:rPr>
        <w:t xml:space="preserve"> The aforementioned Member States disassociate themselves with this provision to the extent it would purport to restrict the participation of Member States and Sector Members in regional meetings outside their respective regions in conflict with relevant provisions of the ITU Constitution and Convention.</w:t>
      </w:r>
    </w:p>
    <w:p w14:paraId="255E8249" w14:textId="77777777" w:rsidR="00832D78" w:rsidRPr="00380B40" w:rsidRDefault="00832D78" w:rsidP="0012784B">
      <w:pPr>
        <w:ind w:left="851"/>
        <w:rPr>
          <w:i/>
          <w:iCs/>
          <w:lang w:val="en-GB"/>
        </w:rPr>
      </w:pPr>
    </w:p>
    <w:p w14:paraId="35B8E2A4" w14:textId="77777777" w:rsidR="00832D78" w:rsidRPr="00380B40" w:rsidRDefault="00832D78" w:rsidP="0012784B">
      <w:pPr>
        <w:ind w:left="851"/>
        <w:rPr>
          <w:i/>
          <w:iCs/>
          <w:lang w:val="en-GB"/>
        </w:rPr>
      </w:pPr>
    </w:p>
    <w:p w14:paraId="10DB894B" w14:textId="77777777" w:rsidR="00832D78" w:rsidRPr="00380B40" w:rsidRDefault="00832D78" w:rsidP="0012784B">
      <w:pPr>
        <w:ind w:left="851"/>
        <w:rPr>
          <w:i/>
          <w:iCs/>
          <w:lang w:val="en-GB"/>
        </w:rPr>
      </w:pPr>
    </w:p>
    <w:p w14:paraId="512EC24F" w14:textId="77777777" w:rsidR="00832D78" w:rsidRPr="00380B40" w:rsidRDefault="00832D78" w:rsidP="0012784B">
      <w:pPr>
        <w:ind w:left="851"/>
        <w:rPr>
          <w:i/>
          <w:iCs/>
          <w:lang w:val="en-GB"/>
        </w:rPr>
      </w:pPr>
    </w:p>
    <w:p w14:paraId="09E13628" w14:textId="77777777" w:rsidR="00832D78" w:rsidRPr="00380B40" w:rsidRDefault="00832D78" w:rsidP="0012784B">
      <w:pPr>
        <w:ind w:left="851"/>
        <w:rPr>
          <w:i/>
          <w:iCs/>
          <w:lang w:val="en-GB"/>
        </w:rPr>
      </w:pPr>
    </w:p>
    <w:p w14:paraId="1FE74DC3" w14:textId="77777777" w:rsidR="00832D78" w:rsidRPr="00380B40" w:rsidRDefault="00832D78" w:rsidP="0012784B">
      <w:pPr>
        <w:ind w:left="851"/>
        <w:rPr>
          <w:i/>
          <w:iCs/>
          <w:lang w:val="en-GB"/>
        </w:rPr>
      </w:pPr>
    </w:p>
    <w:p w14:paraId="079EF248" w14:textId="77777777" w:rsidR="00832D78" w:rsidRPr="00380B40" w:rsidRDefault="00832D78" w:rsidP="0012784B">
      <w:pPr>
        <w:ind w:left="851"/>
        <w:rPr>
          <w:i/>
          <w:iCs/>
          <w:lang w:val="en-GB"/>
        </w:rPr>
      </w:pPr>
    </w:p>
    <w:p w14:paraId="77C16FB9" w14:textId="77777777" w:rsidR="00832D78" w:rsidRPr="00380B40" w:rsidRDefault="00832D78" w:rsidP="0012784B">
      <w:pPr>
        <w:ind w:left="851"/>
        <w:rPr>
          <w:i/>
          <w:iCs/>
          <w:lang w:val="en-GB"/>
        </w:rPr>
      </w:pPr>
    </w:p>
    <w:p w14:paraId="52E7F58E" w14:textId="77777777" w:rsidR="00832D78" w:rsidRPr="00380B40" w:rsidRDefault="00832D78" w:rsidP="0012784B">
      <w:pPr>
        <w:ind w:left="851"/>
        <w:rPr>
          <w:i/>
          <w:iCs/>
          <w:lang w:val="en-GB"/>
        </w:rPr>
      </w:pPr>
    </w:p>
    <w:p w14:paraId="27C4316A" w14:textId="77777777" w:rsidR="00832D78" w:rsidRPr="00380B40" w:rsidRDefault="00832D78" w:rsidP="0012784B">
      <w:pPr>
        <w:ind w:left="851"/>
        <w:rPr>
          <w:i/>
          <w:iCs/>
          <w:lang w:val="en-GB"/>
        </w:rPr>
      </w:pPr>
    </w:p>
    <w:p w14:paraId="2CA86768" w14:textId="77777777" w:rsidR="00832D78" w:rsidRPr="00380B40" w:rsidRDefault="00832D78" w:rsidP="0012784B">
      <w:pPr>
        <w:ind w:left="851"/>
        <w:rPr>
          <w:i/>
          <w:iCs/>
          <w:lang w:val="en-GB"/>
        </w:rPr>
      </w:pPr>
    </w:p>
    <w:p w14:paraId="5393C796" w14:textId="77777777" w:rsidR="00832D78" w:rsidRPr="00380B40" w:rsidRDefault="00832D78" w:rsidP="0012784B">
      <w:pPr>
        <w:ind w:left="851"/>
        <w:rPr>
          <w:i/>
          <w:iCs/>
          <w:lang w:val="en-GB"/>
        </w:rPr>
      </w:pPr>
    </w:p>
    <w:p w14:paraId="675CB848" w14:textId="77777777" w:rsidR="00832D78" w:rsidRPr="00380B40" w:rsidRDefault="00832D78" w:rsidP="0012784B">
      <w:pPr>
        <w:ind w:left="851"/>
        <w:rPr>
          <w:i/>
          <w:iCs/>
          <w:lang w:val="en-GB"/>
        </w:rPr>
      </w:pPr>
    </w:p>
    <w:p w14:paraId="6B16867C" w14:textId="77777777" w:rsidR="00832D78" w:rsidRPr="00380B40" w:rsidRDefault="00832D78" w:rsidP="0012784B">
      <w:pPr>
        <w:ind w:left="851"/>
        <w:rPr>
          <w:i/>
          <w:iCs/>
          <w:lang w:val="en-GB"/>
        </w:rPr>
      </w:pPr>
      <w:r w:rsidRPr="00380B40">
        <w:rPr>
          <w:i/>
          <w:iCs/>
          <w:lang w:val="en-GB"/>
        </w:rPr>
        <w:br w:type="page"/>
      </w:r>
    </w:p>
    <w:p w14:paraId="5A322534" w14:textId="77777777" w:rsidR="009033A7" w:rsidRPr="00380B40" w:rsidRDefault="009033A7" w:rsidP="00202A50">
      <w:pPr>
        <w:pStyle w:val="Sectiontitle"/>
      </w:pPr>
      <w:bookmarkStart w:id="2538" w:name="_Toc104472195"/>
      <w:bookmarkStart w:id="2539" w:name="_Toc111637251"/>
      <w:bookmarkStart w:id="2540" w:name="_Hlk104191452"/>
      <w:r w:rsidRPr="00380B40">
        <w:t>V-1.6 – SIXTH PLENARY MEETING AND CLOSING CEREMONY</w:t>
      </w:r>
      <w:bookmarkEnd w:id="2538"/>
      <w:bookmarkEnd w:id="2539"/>
    </w:p>
    <w:bookmarkEnd w:id="2540"/>
    <w:p w14:paraId="50CA13EE" w14:textId="77777777" w:rsidR="009033A7" w:rsidRPr="00380B40" w:rsidRDefault="009033A7" w:rsidP="00832D78">
      <w:pPr>
        <w:pStyle w:val="Normalcenteraligned"/>
      </w:pPr>
      <w:r w:rsidRPr="00380B40">
        <w:t>(Wednesday, 9 March 2022, 1430-1755 hours)</w:t>
      </w:r>
    </w:p>
    <w:p w14:paraId="736B7BB5" w14:textId="77777777" w:rsidR="009033A7" w:rsidRPr="00380B40" w:rsidRDefault="009033A7" w:rsidP="0012784B">
      <w:pPr>
        <w:pStyle w:val="Heading1"/>
        <w:rPr>
          <w:lang w:val="en-GB"/>
        </w:rPr>
      </w:pPr>
      <w:bookmarkStart w:id="2541" w:name="_Toc111637252"/>
      <w:r w:rsidRPr="00380B40">
        <w:rPr>
          <w:lang w:val="en-GB"/>
        </w:rPr>
        <w:t>1</w:t>
      </w:r>
      <w:r w:rsidRPr="00380B40">
        <w:rPr>
          <w:lang w:val="en-GB"/>
        </w:rPr>
        <w:tab/>
        <w:t>Opening</w:t>
      </w:r>
      <w:bookmarkEnd w:id="2541"/>
    </w:p>
    <w:p w14:paraId="7D75BE52" w14:textId="77777777" w:rsidR="009033A7" w:rsidRPr="00380B40" w:rsidRDefault="009033A7" w:rsidP="0012784B">
      <w:pPr>
        <w:rPr>
          <w:lang w:val="en-GB"/>
        </w:rPr>
      </w:pPr>
      <w:r w:rsidRPr="00380B40">
        <w:rPr>
          <w:lang w:val="en-GB"/>
        </w:rPr>
        <w:t>The Chairman opened the sixth plenary meeting.</w:t>
      </w:r>
    </w:p>
    <w:p w14:paraId="29133B76" w14:textId="77777777" w:rsidR="009033A7" w:rsidRPr="00380B40" w:rsidRDefault="009033A7" w:rsidP="0012784B">
      <w:pPr>
        <w:pStyle w:val="Heading1"/>
        <w:rPr>
          <w:lang w:val="en-GB"/>
        </w:rPr>
      </w:pPr>
      <w:bookmarkStart w:id="2542" w:name="_Toc111637253"/>
      <w:r w:rsidRPr="00380B40">
        <w:rPr>
          <w:lang w:val="en-GB"/>
        </w:rPr>
        <w:t>2</w:t>
      </w:r>
      <w:r w:rsidRPr="00380B40">
        <w:rPr>
          <w:lang w:val="en-GB"/>
        </w:rPr>
        <w:tab/>
        <w:t>Approval of agenda</w:t>
      </w:r>
      <w:bookmarkEnd w:id="2542"/>
    </w:p>
    <w:p w14:paraId="61DCF874" w14:textId="77777777" w:rsidR="009033A7" w:rsidRPr="00380B40" w:rsidRDefault="009033A7" w:rsidP="0012784B">
      <w:pPr>
        <w:rPr>
          <w:szCs w:val="22"/>
          <w:lang w:val="en-GB"/>
        </w:rPr>
      </w:pPr>
      <w:r w:rsidRPr="00380B40">
        <w:rPr>
          <w:szCs w:val="22"/>
          <w:lang w:val="en-GB"/>
        </w:rPr>
        <w:t xml:space="preserve">The agenda (in </w:t>
      </w:r>
      <w:r w:rsidRPr="00380B40">
        <w:rPr>
          <w:sz w:val="24"/>
          <w:szCs w:val="24"/>
          <w:lang w:val="en-GB"/>
        </w:rPr>
        <w:t xml:space="preserve">Document </w:t>
      </w:r>
      <w:hyperlink r:id="rId642" w:history="1">
        <w:r w:rsidRPr="00380B40">
          <w:rPr>
            <w:rStyle w:val="Hyperlink"/>
            <w:szCs w:val="24"/>
            <w:lang w:val="en-GB"/>
          </w:rPr>
          <w:t>ADM/33</w:t>
        </w:r>
      </w:hyperlink>
      <w:r w:rsidRPr="00380B40">
        <w:rPr>
          <w:szCs w:val="22"/>
          <w:lang w:val="en-GB"/>
        </w:rPr>
        <w:t>) was adopted.</w:t>
      </w:r>
    </w:p>
    <w:p w14:paraId="75346B21" w14:textId="77777777" w:rsidR="009033A7" w:rsidRPr="00380B40" w:rsidRDefault="009033A7" w:rsidP="0012784B">
      <w:pPr>
        <w:pStyle w:val="Heading1"/>
        <w:rPr>
          <w:lang w:val="en-GB"/>
        </w:rPr>
      </w:pPr>
      <w:bookmarkStart w:id="2543" w:name="_Toc111637254"/>
      <w:r w:rsidRPr="00380B40">
        <w:rPr>
          <w:lang w:val="en-GB"/>
        </w:rPr>
        <w:t>3</w:t>
      </w:r>
      <w:r w:rsidRPr="00380B40">
        <w:rPr>
          <w:lang w:val="en-GB"/>
        </w:rPr>
        <w:tab/>
        <w:t>Progress reports by Committee Chairmen</w:t>
      </w:r>
      <w:bookmarkEnd w:id="2543"/>
    </w:p>
    <w:p w14:paraId="76FECDE4" w14:textId="77777777" w:rsidR="00073C64" w:rsidRPr="00380B40" w:rsidRDefault="00073C64" w:rsidP="0012784B">
      <w:pPr>
        <w:tabs>
          <w:tab w:val="clear" w:pos="794"/>
          <w:tab w:val="clear" w:pos="1191"/>
          <w:tab w:val="clear" w:pos="1588"/>
          <w:tab w:val="clear" w:pos="1985"/>
          <w:tab w:val="left" w:pos="843"/>
        </w:tabs>
        <w:ind w:left="5"/>
        <w:jc w:val="left"/>
        <w:rPr>
          <w:lang w:val="en-GB"/>
        </w:rPr>
      </w:pPr>
      <w:r w:rsidRPr="00380B40">
        <w:rPr>
          <w:lang w:val="en-GB"/>
        </w:rPr>
        <w:t>3.1</w:t>
      </w:r>
      <w:r w:rsidRPr="00380B40">
        <w:rPr>
          <w:lang w:val="en-GB"/>
        </w:rPr>
        <w:tab/>
        <w:t xml:space="preserve">The Chairman of Committee 3, "Working Methods of ITU-T", Mr Steve Trowbridge, presented the final report of Committee 3 (Document </w:t>
      </w:r>
      <w:hyperlink r:id="rId643" w:history="1">
        <w:r w:rsidRPr="00380B40">
          <w:rPr>
            <w:rStyle w:val="Hyperlink"/>
            <w:lang w:val="en-GB"/>
          </w:rPr>
          <w:t>C78</w:t>
        </w:r>
      </w:hyperlink>
      <w:r w:rsidRPr="00380B40">
        <w:rPr>
          <w:lang w:val="en-GB"/>
        </w:rPr>
        <w:t>).</w:t>
      </w:r>
    </w:p>
    <w:p w14:paraId="282D9C3D" w14:textId="77777777" w:rsidR="00073C64" w:rsidRPr="00380B40" w:rsidRDefault="00073C64" w:rsidP="0012784B">
      <w:pPr>
        <w:tabs>
          <w:tab w:val="clear" w:pos="794"/>
          <w:tab w:val="clear" w:pos="1191"/>
          <w:tab w:val="clear" w:pos="1588"/>
          <w:tab w:val="clear" w:pos="1985"/>
          <w:tab w:val="left" w:pos="843"/>
        </w:tabs>
        <w:ind w:left="5"/>
        <w:jc w:val="left"/>
        <w:rPr>
          <w:lang w:val="en-GB"/>
        </w:rPr>
      </w:pPr>
      <w:r w:rsidRPr="00380B40">
        <w:rPr>
          <w:lang w:val="en-GB"/>
        </w:rPr>
        <w:t>3.1.1</w:t>
      </w:r>
      <w:r w:rsidRPr="00380B40">
        <w:rPr>
          <w:lang w:val="en-GB"/>
        </w:rPr>
        <w:tab/>
      </w:r>
      <w:r w:rsidRPr="00380B40">
        <w:rPr>
          <w:b/>
          <w:lang w:val="en-GB"/>
        </w:rPr>
        <w:t xml:space="preserve">WTSA-20 Action 9: </w:t>
      </w:r>
      <w:r w:rsidRPr="00380B40">
        <w:rPr>
          <w:lang w:val="en-GB"/>
        </w:rPr>
        <w:t>The Plenary invited TSAG to conduct, with the support and contributions from its members, to take necessary measures to review Resolution 11 (Rev. Hammamet, 2016) and its implementation and to provide a proposal for the way forward for its modification and/or any other suggestion.</w:t>
      </w:r>
    </w:p>
    <w:p w14:paraId="78CFA61A" w14:textId="77777777" w:rsidR="00073C64" w:rsidRPr="00380B40" w:rsidRDefault="00073C64" w:rsidP="0012784B">
      <w:pPr>
        <w:tabs>
          <w:tab w:val="clear" w:pos="794"/>
          <w:tab w:val="clear" w:pos="1191"/>
          <w:tab w:val="clear" w:pos="1588"/>
          <w:tab w:val="clear" w:pos="1985"/>
          <w:tab w:val="left" w:pos="843"/>
        </w:tabs>
        <w:ind w:left="5"/>
        <w:jc w:val="left"/>
        <w:rPr>
          <w:lang w:val="en-GB"/>
        </w:rPr>
      </w:pPr>
      <w:r w:rsidRPr="00380B40">
        <w:rPr>
          <w:lang w:val="en-GB"/>
        </w:rPr>
        <w:t>3.1.2</w:t>
      </w:r>
      <w:r w:rsidRPr="00380B40">
        <w:rPr>
          <w:lang w:val="en-GB"/>
        </w:rPr>
        <w:tab/>
      </w:r>
      <w:r w:rsidRPr="00380B40">
        <w:rPr>
          <w:b/>
          <w:lang w:val="en-GB"/>
        </w:rPr>
        <w:t xml:space="preserve">WTSA-20 Action 10: </w:t>
      </w:r>
      <w:r w:rsidRPr="00380B40">
        <w:rPr>
          <w:lang w:val="en-GB"/>
        </w:rPr>
        <w:t>The Plenary invited TSAG to consider the issue of industry engagement discussed at WTSA, including Resolution 68 (Rev. Hammamet, 2016) or draft revised Resolution 68 (see clause 5 below).</w:t>
      </w:r>
    </w:p>
    <w:p w14:paraId="51241A65" w14:textId="77777777" w:rsidR="00073C64" w:rsidRPr="00380B40" w:rsidRDefault="00073C64" w:rsidP="0012784B">
      <w:pPr>
        <w:tabs>
          <w:tab w:val="clear" w:pos="794"/>
          <w:tab w:val="clear" w:pos="1191"/>
          <w:tab w:val="clear" w:pos="1588"/>
          <w:tab w:val="clear" w:pos="1985"/>
          <w:tab w:val="left" w:pos="843"/>
        </w:tabs>
        <w:ind w:left="5"/>
        <w:jc w:val="left"/>
        <w:rPr>
          <w:lang w:val="en-GB"/>
        </w:rPr>
      </w:pPr>
      <w:r w:rsidRPr="00380B40">
        <w:rPr>
          <w:lang w:val="en-GB"/>
        </w:rPr>
        <w:t>3.2</w:t>
      </w:r>
      <w:r w:rsidRPr="00380B40">
        <w:rPr>
          <w:lang w:val="en-GB"/>
        </w:rPr>
        <w:tab/>
        <w:t xml:space="preserve">The Plenary approved with acclamation the report in Document </w:t>
      </w:r>
      <w:hyperlink r:id="rId644" w:history="1">
        <w:r w:rsidRPr="00380B40">
          <w:rPr>
            <w:rStyle w:val="Hyperlink"/>
            <w:lang w:val="en-GB"/>
          </w:rPr>
          <w:t>C78</w:t>
        </w:r>
      </w:hyperlink>
      <w:r w:rsidRPr="00380B40">
        <w:rPr>
          <w:lang w:val="en-GB"/>
        </w:rPr>
        <w:t>, expressing special thanks to Mr Steven Trowbridge for his excellent and outstanding services, leadership, and expertise and wisdom in ITU-T for many years, and for his report and chairing of Committee 3.</w:t>
      </w:r>
    </w:p>
    <w:p w14:paraId="711584B5" w14:textId="77777777" w:rsidR="00073C64" w:rsidRPr="00380B40" w:rsidRDefault="00073C64" w:rsidP="0012784B">
      <w:pPr>
        <w:tabs>
          <w:tab w:val="clear" w:pos="794"/>
          <w:tab w:val="clear" w:pos="1191"/>
          <w:tab w:val="clear" w:pos="1588"/>
          <w:tab w:val="clear" w:pos="1985"/>
          <w:tab w:val="left" w:pos="843"/>
        </w:tabs>
        <w:ind w:left="5"/>
        <w:jc w:val="left"/>
        <w:rPr>
          <w:lang w:val="en-GB"/>
        </w:rPr>
      </w:pPr>
      <w:r w:rsidRPr="00380B40">
        <w:rPr>
          <w:lang w:val="en-GB"/>
        </w:rPr>
        <w:t>3.3</w:t>
      </w:r>
      <w:r w:rsidRPr="00380B40">
        <w:rPr>
          <w:lang w:val="en-GB"/>
        </w:rPr>
        <w:tab/>
        <w:t xml:space="preserve">The Chairman of Committee 5, "Editorial Committee", Ms Rim Belhaj, presented the final report of Committee in Document </w:t>
      </w:r>
      <w:hyperlink r:id="rId645" w:history="1">
        <w:r w:rsidRPr="00380B40">
          <w:rPr>
            <w:rStyle w:val="Hyperlink"/>
            <w:lang w:val="en-GB"/>
          </w:rPr>
          <w:t>C98</w:t>
        </w:r>
      </w:hyperlink>
      <w:r w:rsidRPr="00380B40">
        <w:rPr>
          <w:lang w:val="en-GB"/>
        </w:rPr>
        <w:t>.</w:t>
      </w:r>
    </w:p>
    <w:p w14:paraId="619102CC" w14:textId="77777777" w:rsidR="00073C64" w:rsidRPr="00380B40" w:rsidRDefault="00073C64" w:rsidP="0012784B">
      <w:pPr>
        <w:tabs>
          <w:tab w:val="clear" w:pos="794"/>
          <w:tab w:val="clear" w:pos="1191"/>
          <w:tab w:val="clear" w:pos="1588"/>
          <w:tab w:val="clear" w:pos="1985"/>
          <w:tab w:val="left" w:pos="843"/>
        </w:tabs>
        <w:ind w:left="5"/>
        <w:jc w:val="left"/>
        <w:rPr>
          <w:lang w:val="en-GB"/>
        </w:rPr>
      </w:pPr>
      <w:r w:rsidRPr="00380B40">
        <w:rPr>
          <w:lang w:val="en-GB"/>
        </w:rPr>
        <w:t>3.4</w:t>
      </w:r>
      <w:r w:rsidRPr="00380B40">
        <w:rPr>
          <w:lang w:val="en-GB"/>
        </w:rPr>
        <w:tab/>
        <w:t xml:space="preserve">The Plenary approved </w:t>
      </w:r>
      <w:r w:rsidR="0025040B" w:rsidRPr="00380B40">
        <w:rPr>
          <w:lang w:val="en-GB"/>
        </w:rPr>
        <w:t xml:space="preserve">Document </w:t>
      </w:r>
      <w:r w:rsidRPr="00380B40">
        <w:rPr>
          <w:lang w:val="en-GB"/>
        </w:rPr>
        <w:t>C98, and in accordance with WTSA Resolution 1 section 1.8, the Plenary authorized the Editorial Committee to hold meetings after the closing of the assembly to complete its tasks as assigned by the assembly. The Plenary expressed its appreciation to the works of Committee 5.</w:t>
      </w:r>
    </w:p>
    <w:p w14:paraId="13252D72" w14:textId="77777777" w:rsidR="009033A7" w:rsidRPr="00380B40" w:rsidRDefault="009033A7" w:rsidP="0012784B">
      <w:pPr>
        <w:pStyle w:val="Heading1"/>
        <w:rPr>
          <w:bCs/>
          <w:szCs w:val="24"/>
          <w:lang w:val="en-GB"/>
        </w:rPr>
      </w:pPr>
      <w:bookmarkStart w:id="2544" w:name="_Toc111637255"/>
      <w:r w:rsidRPr="00380B40">
        <w:rPr>
          <w:bCs/>
          <w:szCs w:val="24"/>
          <w:lang w:val="en-GB"/>
        </w:rPr>
        <w:t>4</w:t>
      </w:r>
      <w:r w:rsidRPr="00380B40">
        <w:rPr>
          <w:bCs/>
          <w:szCs w:val="24"/>
          <w:lang w:val="en-GB"/>
        </w:rPr>
        <w:tab/>
        <w:t xml:space="preserve">Resolution 50, Cybersecurity (Document </w:t>
      </w:r>
      <w:hyperlink r:id="rId646" w:history="1">
        <w:r w:rsidRPr="00380B40">
          <w:rPr>
            <w:bCs/>
            <w:color w:val="3333FF"/>
            <w:u w:val="single"/>
            <w:lang w:val="en-GB"/>
          </w:rPr>
          <w:t>C101</w:t>
        </w:r>
      </w:hyperlink>
      <w:r w:rsidRPr="00380B40">
        <w:rPr>
          <w:bCs/>
          <w:szCs w:val="24"/>
          <w:lang w:val="en-GB"/>
        </w:rPr>
        <w:t>)</w:t>
      </w:r>
      <w:bookmarkEnd w:id="2544"/>
    </w:p>
    <w:p w14:paraId="144D2005" w14:textId="77777777" w:rsidR="009033A7" w:rsidRPr="00380B40" w:rsidRDefault="009033A7" w:rsidP="0012784B">
      <w:pPr>
        <w:rPr>
          <w:lang w:val="en-GB"/>
        </w:rPr>
      </w:pPr>
      <w:r w:rsidRPr="00380B40">
        <w:rPr>
          <w:lang w:val="en-GB"/>
        </w:rPr>
        <w:t>The Plenary approved:</w:t>
      </w:r>
    </w:p>
    <w:p w14:paraId="6DD21CBB" w14:textId="77777777" w:rsidR="009033A7" w:rsidRPr="00380B40" w:rsidRDefault="009033A7" w:rsidP="009270A4">
      <w:pPr>
        <w:pStyle w:val="enumlev1"/>
        <w:rPr>
          <w:i/>
          <w:iCs/>
          <w:lang w:val="en-GB"/>
        </w:rPr>
      </w:pPr>
      <w:r w:rsidRPr="00380B40">
        <w:rPr>
          <w:szCs w:val="22"/>
          <w:lang w:val="en-GB"/>
        </w:rPr>
        <w:t>–</w:t>
      </w:r>
      <w:r w:rsidRPr="00380B40">
        <w:rPr>
          <w:szCs w:val="22"/>
          <w:lang w:val="en-GB"/>
        </w:rPr>
        <w:tab/>
        <w:t xml:space="preserve">revised </w:t>
      </w:r>
      <w:r w:rsidRPr="00380B40">
        <w:rPr>
          <w:lang w:val="en-GB"/>
        </w:rPr>
        <w:t xml:space="preserve">Resolution 50, (Rev. Geneva, 2022), </w:t>
      </w:r>
      <w:r w:rsidRPr="00380B40">
        <w:rPr>
          <w:i/>
          <w:iCs/>
          <w:lang w:val="en-GB"/>
        </w:rPr>
        <w:t>Cybersecurity</w:t>
      </w:r>
    </w:p>
    <w:p w14:paraId="30A525A0" w14:textId="77777777" w:rsidR="009033A7" w:rsidRPr="00380B40" w:rsidRDefault="009033A7" w:rsidP="009270A4">
      <w:pPr>
        <w:rPr>
          <w:lang w:val="en-GB"/>
        </w:rPr>
      </w:pPr>
      <w:r w:rsidRPr="00380B40">
        <w:rPr>
          <w:lang w:val="en-GB"/>
        </w:rPr>
        <w:t>where the text in both square brackets was removed.</w:t>
      </w:r>
    </w:p>
    <w:p w14:paraId="4AA12FFC" w14:textId="77777777" w:rsidR="00C736C4" w:rsidRPr="00380B40" w:rsidRDefault="00C736C4" w:rsidP="0012784B">
      <w:pPr>
        <w:pStyle w:val="Heading1"/>
        <w:rPr>
          <w:lang w:val="en-GB"/>
        </w:rPr>
      </w:pPr>
      <w:r w:rsidRPr="00380B40">
        <w:rPr>
          <w:lang w:val="en-GB"/>
        </w:rPr>
        <w:br w:type="page"/>
      </w:r>
    </w:p>
    <w:p w14:paraId="24BAAD9E" w14:textId="77777777" w:rsidR="009033A7" w:rsidRPr="00380B40" w:rsidRDefault="009033A7" w:rsidP="0012784B">
      <w:pPr>
        <w:pStyle w:val="Heading1"/>
        <w:rPr>
          <w:lang w:val="en-GB"/>
        </w:rPr>
      </w:pPr>
      <w:bookmarkStart w:id="2545" w:name="_Toc111637256"/>
      <w:r w:rsidRPr="00380B40">
        <w:rPr>
          <w:lang w:val="en-GB"/>
        </w:rPr>
        <w:t>5</w:t>
      </w:r>
      <w:r w:rsidRPr="00380B40">
        <w:rPr>
          <w:lang w:val="en-GB"/>
        </w:rPr>
        <w:tab/>
        <w:t xml:space="preserve">Fourteenth series of texts submitted by Editorial Committee to the Plenary Meeting (Res.68) (Document </w:t>
      </w:r>
      <w:hyperlink r:id="rId647" w:history="1">
        <w:r w:rsidRPr="00380B40">
          <w:rPr>
            <w:color w:val="3333FF"/>
            <w:u w:val="single"/>
            <w:lang w:val="en-GB"/>
          </w:rPr>
          <w:t>C99-R1</w:t>
        </w:r>
      </w:hyperlink>
      <w:r w:rsidRPr="00380B40">
        <w:rPr>
          <w:lang w:val="en-GB"/>
        </w:rPr>
        <w:t>)</w:t>
      </w:r>
      <w:bookmarkEnd w:id="2545"/>
    </w:p>
    <w:p w14:paraId="28A33C6C" w14:textId="77777777" w:rsidR="0033524E" w:rsidRPr="00380B40" w:rsidRDefault="0033524E" w:rsidP="009270A4">
      <w:pPr>
        <w:tabs>
          <w:tab w:val="clear" w:pos="794"/>
          <w:tab w:val="clear" w:pos="1191"/>
          <w:tab w:val="clear" w:pos="1588"/>
          <w:tab w:val="clear" w:pos="1985"/>
          <w:tab w:val="left" w:pos="843"/>
        </w:tabs>
        <w:ind w:left="5"/>
        <w:jc w:val="left"/>
        <w:rPr>
          <w:lang w:val="en-GB"/>
        </w:rPr>
      </w:pPr>
      <w:r w:rsidRPr="00380B40">
        <w:rPr>
          <w:lang w:val="en-GB"/>
        </w:rPr>
        <w:t>5.1</w:t>
      </w:r>
      <w:r w:rsidRPr="00380B40">
        <w:rPr>
          <w:lang w:val="en-GB"/>
        </w:rPr>
        <w:tab/>
        <w:t xml:space="preserve">The Plenary considered a proposal in Document </w:t>
      </w:r>
      <w:r w:rsidR="004F6B7B" w:rsidRPr="00380B40">
        <w:rPr>
          <w:lang w:val="en-GB"/>
        </w:rPr>
        <w:t>C</w:t>
      </w:r>
      <w:r w:rsidRPr="00380B40">
        <w:rPr>
          <w:lang w:val="en-GB"/>
        </w:rPr>
        <w:t xml:space="preserve">103 for a revised Resolution 68, </w:t>
      </w:r>
      <w:r w:rsidRPr="00380B40">
        <w:rPr>
          <w:i/>
          <w:iCs/>
          <w:lang w:val="en-GB"/>
        </w:rPr>
        <w:t>The importance of industry engagement in the work of the ITU Telecommunication Standardization Sector</w:t>
      </w:r>
      <w:r w:rsidRPr="00380B40">
        <w:rPr>
          <w:lang w:val="en-GB"/>
        </w:rPr>
        <w:t>.</w:t>
      </w:r>
    </w:p>
    <w:p w14:paraId="1951D3A7" w14:textId="77777777" w:rsidR="0033524E" w:rsidRPr="00380B40" w:rsidRDefault="0033524E" w:rsidP="00D559E0">
      <w:pPr>
        <w:pStyle w:val="enumlev1"/>
        <w:tabs>
          <w:tab w:val="clear" w:pos="794"/>
          <w:tab w:val="clear" w:pos="1191"/>
          <w:tab w:val="clear" w:pos="1588"/>
          <w:tab w:val="clear" w:pos="1985"/>
          <w:tab w:val="left" w:pos="843"/>
        </w:tabs>
        <w:ind w:left="5" w:firstLine="0"/>
        <w:jc w:val="left"/>
        <w:rPr>
          <w:lang w:val="en-GB"/>
        </w:rPr>
      </w:pPr>
      <w:r w:rsidRPr="00380B40">
        <w:rPr>
          <w:lang w:val="en-GB"/>
        </w:rPr>
        <w:t>5.2</w:t>
      </w:r>
      <w:r w:rsidRPr="00380B40">
        <w:rPr>
          <w:lang w:val="en-GB"/>
        </w:rPr>
        <w:tab/>
        <w:t>The statement of Canada, United States, Mexico, and Germany is contained in Annex 1 section 1.1.</w:t>
      </w:r>
    </w:p>
    <w:p w14:paraId="73316E07" w14:textId="77777777" w:rsidR="0033524E" w:rsidRPr="00380B40" w:rsidRDefault="0033524E" w:rsidP="00D559E0">
      <w:pPr>
        <w:pStyle w:val="enumlev1"/>
        <w:ind w:left="0" w:firstLine="0"/>
        <w:rPr>
          <w:lang w:val="en-GB"/>
        </w:rPr>
      </w:pPr>
      <w:r w:rsidRPr="00380B40">
        <w:rPr>
          <w:lang w:val="en-GB"/>
        </w:rPr>
        <w:t>5.3</w:t>
      </w:r>
      <w:r w:rsidRPr="00380B40">
        <w:rPr>
          <w:lang w:val="en-GB"/>
        </w:rPr>
        <w:tab/>
        <w:t xml:space="preserve">The Plenary approved </w:t>
      </w:r>
    </w:p>
    <w:p w14:paraId="4A5703DE" w14:textId="77777777" w:rsidR="0033524E" w:rsidRPr="00380B40" w:rsidRDefault="0033524E" w:rsidP="009270A4">
      <w:pPr>
        <w:pStyle w:val="enumlev1"/>
        <w:tabs>
          <w:tab w:val="clear" w:pos="794"/>
          <w:tab w:val="clear" w:pos="1191"/>
          <w:tab w:val="clear" w:pos="1588"/>
          <w:tab w:val="clear" w:pos="1985"/>
          <w:tab w:val="left" w:pos="843"/>
        </w:tabs>
        <w:ind w:left="5"/>
        <w:jc w:val="left"/>
        <w:rPr>
          <w:lang w:val="en-GB"/>
        </w:rPr>
      </w:pPr>
      <w:r w:rsidRPr="00380B40">
        <w:rPr>
          <w:lang w:val="en-GB"/>
        </w:rPr>
        <w:t>–</w:t>
      </w:r>
      <w:r w:rsidRPr="00380B40">
        <w:rPr>
          <w:lang w:val="en-GB"/>
        </w:rPr>
        <w:tab/>
        <w:t xml:space="preserve">no changes to Resolution 68 (Rev. Hammamet, 2016), </w:t>
      </w:r>
      <w:r w:rsidRPr="00380B40">
        <w:rPr>
          <w:i/>
          <w:iCs/>
          <w:lang w:val="en-GB"/>
        </w:rPr>
        <w:t>Evolving role of industry in the ITU Telecommunication Standardization Sector</w:t>
      </w:r>
      <w:r w:rsidRPr="00380B40">
        <w:rPr>
          <w:lang w:val="en-GB"/>
        </w:rPr>
        <w:t>.</w:t>
      </w:r>
    </w:p>
    <w:p w14:paraId="073C4946" w14:textId="77777777" w:rsidR="0033524E" w:rsidRPr="00380B40" w:rsidRDefault="0033524E" w:rsidP="009270A4">
      <w:pPr>
        <w:tabs>
          <w:tab w:val="clear" w:pos="794"/>
          <w:tab w:val="clear" w:pos="1191"/>
          <w:tab w:val="clear" w:pos="1588"/>
          <w:tab w:val="clear" w:pos="1985"/>
          <w:tab w:val="left" w:pos="843"/>
        </w:tabs>
        <w:ind w:left="5"/>
        <w:jc w:val="left"/>
        <w:rPr>
          <w:lang w:val="en-GB"/>
        </w:rPr>
      </w:pPr>
      <w:r w:rsidRPr="00380B40">
        <w:rPr>
          <w:lang w:val="en-GB"/>
        </w:rPr>
        <w:t>5.4</w:t>
      </w:r>
      <w:r w:rsidRPr="00380B40">
        <w:rPr>
          <w:lang w:val="en-GB"/>
        </w:rPr>
        <w:tab/>
        <w:t>The Plenary highlighted the importance of the private sector as well as industry in ITU activities. It was recognized and acknowledged that ITU, in particular ITU-T, fully relies on the activities, contributions and engagement of industry; this certainly includes the possibility of members and Sector Members from industry to lead activities and groups, so as to address the market needs in a timely manner and to enable the ITU-T standardization Sector for tackling new and emerging technologies relevant to telecommunications. Industry is invited to engage within ITU-T and to turn ITU-T into a vibrant standardization organization coping with the changes occurring in the industry, and to welcome proposals and contributions towards opening-up new innovative work items that will support all of our work.</w:t>
      </w:r>
    </w:p>
    <w:p w14:paraId="2ED3ABF1" w14:textId="77777777" w:rsidR="0033524E" w:rsidRPr="00380B40" w:rsidRDefault="0033524E" w:rsidP="009270A4">
      <w:pPr>
        <w:tabs>
          <w:tab w:val="clear" w:pos="794"/>
          <w:tab w:val="clear" w:pos="1191"/>
          <w:tab w:val="clear" w:pos="1588"/>
          <w:tab w:val="clear" w:pos="1985"/>
          <w:tab w:val="left" w:pos="843"/>
        </w:tabs>
        <w:ind w:left="5"/>
        <w:jc w:val="left"/>
        <w:rPr>
          <w:lang w:val="en-GB"/>
        </w:rPr>
      </w:pPr>
      <w:r w:rsidRPr="00380B40">
        <w:rPr>
          <w:lang w:val="en-GB"/>
        </w:rPr>
        <w:t>5.5</w:t>
      </w:r>
      <w:r w:rsidRPr="00380B40">
        <w:rPr>
          <w:lang w:val="en-GB"/>
        </w:rPr>
        <w:tab/>
        <w:t xml:space="preserve">The Plenary recognized that more work is necessary to further develop and finalize a revision of Resolution 68, and the Plenary confirmed </w:t>
      </w:r>
      <w:r w:rsidRPr="00380B40">
        <w:rPr>
          <w:b/>
          <w:lang w:val="en-GB"/>
        </w:rPr>
        <w:t>WTSA-20 Action 10</w:t>
      </w:r>
      <w:r w:rsidRPr="00380B40">
        <w:rPr>
          <w:lang w:val="en-GB"/>
        </w:rPr>
        <w:t xml:space="preserve"> wherein TSAG is invited to consider the issue of industry engagement discussed at WTSA, including draft revised Resolution 68.</w:t>
      </w:r>
    </w:p>
    <w:p w14:paraId="09780828" w14:textId="77777777" w:rsidR="009033A7" w:rsidRPr="00380B40" w:rsidRDefault="009033A7" w:rsidP="0012784B">
      <w:pPr>
        <w:pStyle w:val="Heading1"/>
        <w:rPr>
          <w:lang w:val="en-GB"/>
        </w:rPr>
      </w:pPr>
      <w:bookmarkStart w:id="2546" w:name="_Toc111637257"/>
      <w:r w:rsidRPr="00380B40">
        <w:rPr>
          <w:lang w:val="en-GB"/>
        </w:rPr>
        <w:t>6</w:t>
      </w:r>
      <w:r w:rsidRPr="00380B40">
        <w:rPr>
          <w:lang w:val="en-GB"/>
        </w:rPr>
        <w:tab/>
        <w:t xml:space="preserve">Eleventh series of texts submitted by Editorial Committee to the Plenary Meeting (New Res [AFCP-1], Res.44, Res.75, Res.78, Res.89, Res. 91, Res.92, Res. 97) (Document </w:t>
      </w:r>
      <w:hyperlink r:id="rId648" w:history="1">
        <w:r w:rsidRPr="00380B40">
          <w:rPr>
            <w:color w:val="3333FF"/>
            <w:u w:val="single"/>
            <w:lang w:val="en-GB"/>
          </w:rPr>
          <w:t>C96</w:t>
        </w:r>
      </w:hyperlink>
      <w:r w:rsidRPr="00380B40">
        <w:rPr>
          <w:lang w:val="en-GB"/>
        </w:rPr>
        <w:t>)</w:t>
      </w:r>
      <w:bookmarkEnd w:id="2546"/>
    </w:p>
    <w:p w14:paraId="5CDDA492" w14:textId="77777777" w:rsidR="009033A7" w:rsidRPr="00380B40" w:rsidRDefault="009033A7" w:rsidP="009270A4">
      <w:pPr>
        <w:rPr>
          <w:lang w:val="en-GB"/>
        </w:rPr>
      </w:pPr>
      <w:r w:rsidRPr="00380B40">
        <w:rPr>
          <w:lang w:val="en-GB"/>
        </w:rPr>
        <w:t>The Plenary approved:</w:t>
      </w:r>
    </w:p>
    <w:p w14:paraId="3DFF5E2A" w14:textId="77777777" w:rsidR="009033A7" w:rsidRPr="00380B40" w:rsidRDefault="009033A7" w:rsidP="009033A7">
      <w:pPr>
        <w:pStyle w:val="enumlev1"/>
        <w:spacing w:before="120"/>
        <w:rPr>
          <w:szCs w:val="22"/>
          <w:lang w:val="en-GB"/>
        </w:rPr>
      </w:pPr>
      <w:r w:rsidRPr="00380B40">
        <w:rPr>
          <w:szCs w:val="22"/>
          <w:lang w:val="en-GB"/>
        </w:rPr>
        <w:t>–</w:t>
      </w:r>
      <w:r w:rsidRPr="00380B40">
        <w:rPr>
          <w:szCs w:val="22"/>
          <w:lang w:val="en-GB"/>
        </w:rPr>
        <w:tab/>
        <w:t xml:space="preserve">revised Resolution 44 (Rev. Geneva, 2022), </w:t>
      </w:r>
      <w:r w:rsidRPr="00380B40">
        <w:rPr>
          <w:i/>
          <w:iCs/>
          <w:szCs w:val="22"/>
          <w:lang w:val="en-GB"/>
        </w:rPr>
        <w:t>Bridging the standardization gap between developing and developed countries</w:t>
      </w:r>
      <w:r w:rsidRPr="00380B40">
        <w:rPr>
          <w:szCs w:val="22"/>
          <w:lang w:val="en-GB"/>
        </w:rPr>
        <w:t>;</w:t>
      </w:r>
    </w:p>
    <w:p w14:paraId="08CC4508" w14:textId="77777777" w:rsidR="009033A7" w:rsidRPr="00380B40" w:rsidRDefault="009033A7" w:rsidP="009033A7">
      <w:pPr>
        <w:pStyle w:val="enumlev1"/>
        <w:spacing w:before="120"/>
        <w:rPr>
          <w:i/>
          <w:iCs/>
          <w:szCs w:val="22"/>
          <w:lang w:val="en-GB"/>
        </w:rPr>
      </w:pPr>
      <w:r w:rsidRPr="00380B40">
        <w:rPr>
          <w:szCs w:val="22"/>
          <w:lang w:val="en-GB"/>
        </w:rPr>
        <w:t>–</w:t>
      </w:r>
      <w:r w:rsidRPr="00380B40">
        <w:rPr>
          <w:szCs w:val="22"/>
          <w:lang w:val="en-GB"/>
        </w:rPr>
        <w:tab/>
        <w:t xml:space="preserve">revised Resolution 75 (Rev. Geneva, 2022), </w:t>
      </w:r>
      <w:r w:rsidRPr="00380B40">
        <w:rPr>
          <w:i/>
          <w:iCs/>
          <w:szCs w:val="22"/>
          <w:lang w:val="en-GB"/>
        </w:rPr>
        <w:t>The ITU Telecommunication Standardization Sector's contribution in implementing the outcomes of the World Summit on the Information Society, taking into account the 2030 Agenda for Sustainable Development;</w:t>
      </w:r>
    </w:p>
    <w:p w14:paraId="1F80FA3B" w14:textId="77777777" w:rsidR="009033A7" w:rsidRPr="00380B40" w:rsidRDefault="009033A7" w:rsidP="009033A7">
      <w:pPr>
        <w:pStyle w:val="enumlev1"/>
        <w:spacing w:before="120"/>
        <w:rPr>
          <w:i/>
          <w:iCs/>
          <w:szCs w:val="22"/>
          <w:lang w:val="en-GB"/>
        </w:rPr>
      </w:pPr>
      <w:r w:rsidRPr="00380B40">
        <w:rPr>
          <w:szCs w:val="22"/>
          <w:lang w:val="en-GB"/>
        </w:rPr>
        <w:t>–</w:t>
      </w:r>
      <w:r w:rsidRPr="00380B40">
        <w:rPr>
          <w:szCs w:val="22"/>
          <w:lang w:val="en-GB"/>
        </w:rPr>
        <w:tab/>
        <w:t xml:space="preserve">revised Resolution 78 (Rev. Geneva, 2022), </w:t>
      </w:r>
      <w:r w:rsidRPr="00380B40">
        <w:rPr>
          <w:i/>
          <w:iCs/>
          <w:szCs w:val="22"/>
          <w:lang w:val="en-GB"/>
        </w:rPr>
        <w:t>Information and communication technology applications and standards for improved access to e-health services;</w:t>
      </w:r>
    </w:p>
    <w:p w14:paraId="320C775C" w14:textId="77777777" w:rsidR="009033A7" w:rsidRPr="00380B40" w:rsidRDefault="009033A7" w:rsidP="009033A7">
      <w:pPr>
        <w:pStyle w:val="enumlev1"/>
        <w:spacing w:before="120"/>
        <w:rPr>
          <w:i/>
          <w:iCs/>
          <w:szCs w:val="22"/>
          <w:lang w:val="en-GB"/>
        </w:rPr>
      </w:pPr>
      <w:r w:rsidRPr="00380B40">
        <w:rPr>
          <w:szCs w:val="22"/>
          <w:lang w:val="en-GB"/>
        </w:rPr>
        <w:t>–</w:t>
      </w:r>
      <w:r w:rsidRPr="00380B40">
        <w:rPr>
          <w:szCs w:val="22"/>
          <w:lang w:val="en-GB"/>
        </w:rPr>
        <w:tab/>
        <w:t xml:space="preserve">revised Resolution 89 (Rev. Geneva, 2022), </w:t>
      </w:r>
      <w:r w:rsidRPr="00380B40">
        <w:rPr>
          <w:i/>
          <w:iCs/>
          <w:szCs w:val="22"/>
          <w:lang w:val="en-GB"/>
        </w:rPr>
        <w:t>Promoting the use of information and communication technologies to bridge the financial inclusion gap;</w:t>
      </w:r>
    </w:p>
    <w:p w14:paraId="234BDAAB" w14:textId="77777777" w:rsidR="00C736C4" w:rsidRPr="00380B40" w:rsidRDefault="00C736C4" w:rsidP="009033A7">
      <w:pPr>
        <w:pStyle w:val="enumlev1"/>
        <w:spacing w:before="120"/>
        <w:rPr>
          <w:szCs w:val="22"/>
          <w:lang w:val="en-GB"/>
        </w:rPr>
      </w:pPr>
      <w:r w:rsidRPr="00380B40">
        <w:rPr>
          <w:szCs w:val="22"/>
          <w:lang w:val="en-GB"/>
        </w:rPr>
        <w:br w:type="page"/>
      </w:r>
    </w:p>
    <w:p w14:paraId="30108838" w14:textId="77777777" w:rsidR="009033A7" w:rsidRPr="00380B40" w:rsidRDefault="009033A7" w:rsidP="009033A7">
      <w:pPr>
        <w:pStyle w:val="enumlev1"/>
        <w:spacing w:before="120"/>
        <w:rPr>
          <w:szCs w:val="22"/>
          <w:lang w:val="en-GB"/>
        </w:rPr>
      </w:pPr>
      <w:r w:rsidRPr="00380B40">
        <w:rPr>
          <w:szCs w:val="22"/>
          <w:lang w:val="en-GB"/>
        </w:rPr>
        <w:t>–</w:t>
      </w:r>
      <w:r w:rsidRPr="00380B40">
        <w:rPr>
          <w:szCs w:val="22"/>
          <w:lang w:val="en-GB"/>
        </w:rPr>
        <w:tab/>
        <w:t xml:space="preserve">revised Resolution 91 (Rev. Geneva, 2022), </w:t>
      </w:r>
      <w:r w:rsidRPr="00380B40">
        <w:rPr>
          <w:i/>
          <w:iCs/>
          <w:szCs w:val="22"/>
          <w:lang w:val="en-GB"/>
        </w:rPr>
        <w:t>Enhancing access to an electronic repository of information on numbering plans published by the ITU Telecommunication Standardization Sector</w:t>
      </w:r>
      <w:r w:rsidRPr="00380B40">
        <w:rPr>
          <w:szCs w:val="22"/>
          <w:lang w:val="en-GB"/>
        </w:rPr>
        <w:t>;</w:t>
      </w:r>
    </w:p>
    <w:p w14:paraId="0546ABBB" w14:textId="77777777" w:rsidR="009033A7" w:rsidRPr="00380B40" w:rsidRDefault="009033A7" w:rsidP="009033A7">
      <w:pPr>
        <w:pStyle w:val="enumlev1"/>
        <w:spacing w:before="120"/>
        <w:rPr>
          <w:i/>
          <w:iCs/>
          <w:szCs w:val="22"/>
          <w:lang w:val="en-GB"/>
        </w:rPr>
      </w:pPr>
      <w:r w:rsidRPr="00380B40">
        <w:rPr>
          <w:szCs w:val="22"/>
          <w:lang w:val="en-GB"/>
        </w:rPr>
        <w:t>–</w:t>
      </w:r>
      <w:r w:rsidRPr="00380B40">
        <w:rPr>
          <w:szCs w:val="22"/>
          <w:lang w:val="en-GB"/>
        </w:rPr>
        <w:tab/>
        <w:t xml:space="preserve">revised Resolution 92 (Rev. Geneva, 2022), </w:t>
      </w:r>
      <w:r w:rsidRPr="00380B40">
        <w:rPr>
          <w:i/>
          <w:iCs/>
          <w:szCs w:val="22"/>
          <w:lang w:val="en-GB"/>
        </w:rPr>
        <w:t>Enhancing the standardization activities in the ITU Telecommunication Standardization Sector related to non-radio aspects of international mobile telecommunications;</w:t>
      </w:r>
    </w:p>
    <w:p w14:paraId="0336E12E" w14:textId="77777777" w:rsidR="009033A7" w:rsidRPr="00380B40" w:rsidRDefault="009033A7" w:rsidP="009033A7">
      <w:pPr>
        <w:pStyle w:val="enumlev1"/>
        <w:spacing w:before="120"/>
        <w:rPr>
          <w:i/>
          <w:iCs/>
          <w:szCs w:val="22"/>
          <w:lang w:val="en-GB"/>
        </w:rPr>
      </w:pPr>
      <w:r w:rsidRPr="00380B40">
        <w:rPr>
          <w:szCs w:val="22"/>
          <w:lang w:val="en-GB"/>
        </w:rPr>
        <w:t>–</w:t>
      </w:r>
      <w:r w:rsidRPr="00380B40">
        <w:rPr>
          <w:szCs w:val="22"/>
          <w:lang w:val="en-GB"/>
        </w:rPr>
        <w:tab/>
        <w:t xml:space="preserve">revised Resolution 97 (Rev. Geneva, 2022), </w:t>
      </w:r>
      <w:r w:rsidRPr="00380B40">
        <w:rPr>
          <w:i/>
          <w:iCs/>
          <w:szCs w:val="22"/>
          <w:lang w:val="en-GB"/>
        </w:rPr>
        <w:t>Combating mobile telecommunication device theft;</w:t>
      </w:r>
    </w:p>
    <w:p w14:paraId="6B6956AF" w14:textId="77777777" w:rsidR="009033A7" w:rsidRPr="00380B40" w:rsidRDefault="009033A7" w:rsidP="009033A7">
      <w:pPr>
        <w:pStyle w:val="enumlev1"/>
        <w:spacing w:before="120"/>
        <w:rPr>
          <w:szCs w:val="22"/>
          <w:lang w:val="en-GB"/>
        </w:rPr>
      </w:pPr>
      <w:r w:rsidRPr="00380B40">
        <w:rPr>
          <w:szCs w:val="22"/>
          <w:lang w:val="en-GB"/>
        </w:rPr>
        <w:t>–</w:t>
      </w:r>
      <w:r w:rsidRPr="00380B40">
        <w:rPr>
          <w:szCs w:val="22"/>
          <w:lang w:val="en-GB"/>
        </w:rPr>
        <w:tab/>
        <w:t xml:space="preserve">new Resolution [AFCP-1] (Geneva, 2022), </w:t>
      </w:r>
      <w:r w:rsidRPr="00380B40">
        <w:rPr>
          <w:i/>
          <w:iCs/>
          <w:szCs w:val="22"/>
          <w:lang w:val="en-GB"/>
        </w:rPr>
        <w:t>A common emergency number for Africa.</w:t>
      </w:r>
    </w:p>
    <w:p w14:paraId="432F6186" w14:textId="77777777" w:rsidR="009033A7" w:rsidRPr="00380B40" w:rsidRDefault="009033A7" w:rsidP="0012784B">
      <w:pPr>
        <w:pStyle w:val="Heading1"/>
        <w:rPr>
          <w:bCs/>
          <w:szCs w:val="24"/>
          <w:lang w:val="en-GB"/>
        </w:rPr>
      </w:pPr>
      <w:bookmarkStart w:id="2547" w:name="_Toc111637258"/>
      <w:r w:rsidRPr="00380B40">
        <w:rPr>
          <w:bCs/>
          <w:szCs w:val="24"/>
          <w:lang w:val="en-GB"/>
        </w:rPr>
        <w:t>7</w:t>
      </w:r>
      <w:r w:rsidRPr="00380B40">
        <w:rPr>
          <w:bCs/>
          <w:szCs w:val="24"/>
          <w:lang w:val="en-GB"/>
        </w:rPr>
        <w:tab/>
        <w:t xml:space="preserve">WTSA Resolution 79 (Document </w:t>
      </w:r>
      <w:hyperlink r:id="rId649" w:history="1">
        <w:r w:rsidRPr="00380B40">
          <w:rPr>
            <w:bCs/>
            <w:color w:val="3333FF"/>
            <w:szCs w:val="24"/>
            <w:u w:val="single"/>
            <w:lang w:val="en-GB"/>
          </w:rPr>
          <w:t>C93</w:t>
        </w:r>
      </w:hyperlink>
      <w:r w:rsidRPr="00380B40">
        <w:rPr>
          <w:bCs/>
          <w:szCs w:val="24"/>
          <w:lang w:val="en-GB"/>
        </w:rPr>
        <w:t>)</w:t>
      </w:r>
      <w:bookmarkEnd w:id="2547"/>
    </w:p>
    <w:p w14:paraId="0BBD3C75" w14:textId="77777777" w:rsidR="0033524E" w:rsidRPr="00380B40" w:rsidRDefault="0033524E" w:rsidP="009270A4">
      <w:pPr>
        <w:tabs>
          <w:tab w:val="clear" w:pos="794"/>
          <w:tab w:val="clear" w:pos="1191"/>
          <w:tab w:val="clear" w:pos="1588"/>
          <w:tab w:val="clear" w:pos="1985"/>
          <w:tab w:val="left" w:pos="830"/>
        </w:tabs>
        <w:ind w:left="5"/>
        <w:jc w:val="left"/>
        <w:rPr>
          <w:bCs/>
          <w:lang w:val="en-GB"/>
        </w:rPr>
      </w:pPr>
      <w:r w:rsidRPr="00380B40">
        <w:rPr>
          <w:lang w:val="en-GB"/>
        </w:rPr>
        <w:t>7.1</w:t>
      </w:r>
      <w:r w:rsidRPr="00380B40">
        <w:rPr>
          <w:lang w:val="en-GB"/>
        </w:rPr>
        <w:tab/>
      </w:r>
      <w:r w:rsidRPr="00380B40">
        <w:rPr>
          <w:bCs/>
          <w:lang w:val="en-GB"/>
        </w:rPr>
        <w:t xml:space="preserve">The Plenary considered </w:t>
      </w:r>
      <w:r w:rsidRPr="00380B40">
        <w:rPr>
          <w:b/>
          <w:bCs/>
          <w:lang w:val="en-GB"/>
        </w:rPr>
        <w:t>COM4 Action for Plenary 14</w:t>
      </w:r>
      <w:r w:rsidRPr="00380B40">
        <w:rPr>
          <w:lang w:val="en-GB"/>
        </w:rPr>
        <w:t xml:space="preserve"> with the results of the informal consultation on Resolution 79, and </w:t>
      </w:r>
      <w:r w:rsidRPr="00380B40">
        <w:rPr>
          <w:bCs/>
          <w:lang w:val="en-GB"/>
        </w:rPr>
        <w:t>approved:</w:t>
      </w:r>
    </w:p>
    <w:p w14:paraId="75C501C2" w14:textId="77777777" w:rsidR="009033A7" w:rsidRPr="00380B40" w:rsidRDefault="009033A7" w:rsidP="009033A7">
      <w:pPr>
        <w:pStyle w:val="enumlev1"/>
        <w:spacing w:before="120"/>
        <w:rPr>
          <w:szCs w:val="22"/>
          <w:lang w:val="en-GB"/>
        </w:rPr>
      </w:pPr>
      <w:r w:rsidRPr="00380B40">
        <w:rPr>
          <w:szCs w:val="22"/>
          <w:lang w:val="en-GB"/>
        </w:rPr>
        <w:t>–</w:t>
      </w:r>
      <w:r w:rsidRPr="00380B40">
        <w:rPr>
          <w:szCs w:val="22"/>
          <w:lang w:val="en-GB"/>
        </w:rPr>
        <w:tab/>
        <w:t xml:space="preserve">revised Resolution 79 (Rev. Geneva, 2022), </w:t>
      </w:r>
      <w:r w:rsidRPr="00380B40">
        <w:rPr>
          <w:i/>
          <w:iCs/>
          <w:szCs w:val="22"/>
          <w:lang w:val="en-GB"/>
        </w:rPr>
        <w:t>The role of telecommunications/information and communication technologies in handling and controlling e-waste from telecommunication and information technology equipment and methods of treating it</w:t>
      </w:r>
      <w:r w:rsidRPr="00380B40">
        <w:rPr>
          <w:szCs w:val="22"/>
          <w:lang w:val="en-GB"/>
        </w:rPr>
        <w:t>.</w:t>
      </w:r>
    </w:p>
    <w:p w14:paraId="21E16497" w14:textId="77777777" w:rsidR="009033A7" w:rsidRPr="00380B40" w:rsidRDefault="009033A7" w:rsidP="0012784B">
      <w:pPr>
        <w:pStyle w:val="Heading1"/>
        <w:rPr>
          <w:bCs/>
          <w:szCs w:val="24"/>
          <w:lang w:val="en-GB"/>
        </w:rPr>
      </w:pPr>
      <w:bookmarkStart w:id="2548" w:name="_Toc111637259"/>
      <w:r w:rsidRPr="00380B40">
        <w:rPr>
          <w:bCs/>
          <w:szCs w:val="24"/>
          <w:lang w:val="en-GB"/>
        </w:rPr>
        <w:t>8</w:t>
      </w:r>
      <w:r w:rsidRPr="00380B40">
        <w:rPr>
          <w:bCs/>
          <w:szCs w:val="24"/>
          <w:lang w:val="en-GB"/>
        </w:rPr>
        <w:tab/>
        <w:t xml:space="preserve">WTSA Resolution 96 (Document </w:t>
      </w:r>
      <w:hyperlink r:id="rId650" w:history="1">
        <w:r w:rsidRPr="00380B40">
          <w:rPr>
            <w:bCs/>
            <w:color w:val="3333FF"/>
            <w:u w:val="single"/>
            <w:lang w:val="en-GB"/>
          </w:rPr>
          <w:t>C90</w:t>
        </w:r>
      </w:hyperlink>
      <w:r w:rsidRPr="00380B40">
        <w:rPr>
          <w:bCs/>
          <w:szCs w:val="24"/>
          <w:lang w:val="en-GB"/>
        </w:rPr>
        <w:t>)</w:t>
      </w:r>
      <w:bookmarkEnd w:id="2548"/>
    </w:p>
    <w:p w14:paraId="5EDCCB19" w14:textId="77777777" w:rsidR="0033524E" w:rsidRPr="00380B40" w:rsidRDefault="0033524E" w:rsidP="009270A4">
      <w:pPr>
        <w:tabs>
          <w:tab w:val="clear" w:pos="794"/>
          <w:tab w:val="clear" w:pos="1191"/>
          <w:tab w:val="clear" w:pos="1588"/>
          <w:tab w:val="clear" w:pos="1985"/>
          <w:tab w:val="left" w:pos="830"/>
        </w:tabs>
        <w:ind w:left="5"/>
        <w:jc w:val="left"/>
        <w:rPr>
          <w:i/>
          <w:iCs/>
          <w:lang w:val="en-GB"/>
        </w:rPr>
      </w:pPr>
      <w:r w:rsidRPr="00380B40">
        <w:rPr>
          <w:lang w:val="en-GB"/>
        </w:rPr>
        <w:t>8.1</w:t>
      </w:r>
      <w:r w:rsidRPr="00380B40">
        <w:rPr>
          <w:lang w:val="en-GB"/>
        </w:rPr>
        <w:tab/>
        <w:t>The plenary considered</w:t>
      </w:r>
      <w:r w:rsidRPr="00380B40">
        <w:rPr>
          <w:b/>
          <w:bCs/>
          <w:lang w:val="en-GB"/>
        </w:rPr>
        <w:t xml:space="preserve"> COM4 Action for Plenary 15 </w:t>
      </w:r>
      <w:r w:rsidRPr="00380B40">
        <w:rPr>
          <w:lang w:val="en-GB"/>
        </w:rPr>
        <w:t xml:space="preserve">for resolving the clause </w:t>
      </w:r>
      <w:r w:rsidRPr="00380B40">
        <w:rPr>
          <w:i/>
          <w:iCs/>
          <w:lang w:val="en-GB"/>
        </w:rPr>
        <w:t>recognizing further b)</w:t>
      </w:r>
      <w:r w:rsidRPr="00380B40">
        <w:rPr>
          <w:lang w:val="en-GB"/>
        </w:rPr>
        <w:t>, which contains square brackets of revised Resolution 96, and approved:</w:t>
      </w:r>
    </w:p>
    <w:p w14:paraId="57685A8B" w14:textId="77777777" w:rsidR="009033A7" w:rsidRPr="00380B40" w:rsidRDefault="009033A7" w:rsidP="009033A7">
      <w:pPr>
        <w:pStyle w:val="enumlev1"/>
        <w:spacing w:before="120"/>
        <w:rPr>
          <w:szCs w:val="22"/>
          <w:lang w:val="en-GB"/>
        </w:rPr>
      </w:pPr>
      <w:r w:rsidRPr="00380B40">
        <w:rPr>
          <w:szCs w:val="22"/>
          <w:lang w:val="en-GB"/>
        </w:rPr>
        <w:t>–</w:t>
      </w:r>
      <w:r w:rsidRPr="00380B40">
        <w:rPr>
          <w:szCs w:val="22"/>
          <w:lang w:val="en-GB"/>
        </w:rPr>
        <w:tab/>
        <w:t xml:space="preserve">no changes to Resolution 96 (Rev. Geneva, 2022), </w:t>
      </w:r>
      <w:r w:rsidRPr="00380B40">
        <w:rPr>
          <w:i/>
          <w:iCs/>
          <w:szCs w:val="22"/>
          <w:lang w:val="en-GB"/>
        </w:rPr>
        <w:t>ITU Telecommunication Standardization Sector studies for combating counterfeit telecommunication/information and communication technology devices</w:t>
      </w:r>
      <w:r w:rsidRPr="00380B40">
        <w:rPr>
          <w:szCs w:val="22"/>
          <w:lang w:val="en-GB"/>
        </w:rPr>
        <w:t>.</w:t>
      </w:r>
    </w:p>
    <w:p w14:paraId="596665E1" w14:textId="77777777" w:rsidR="0033524E" w:rsidRPr="00380B40" w:rsidRDefault="0033524E" w:rsidP="009270A4">
      <w:pPr>
        <w:tabs>
          <w:tab w:val="clear" w:pos="794"/>
          <w:tab w:val="clear" w:pos="1191"/>
          <w:tab w:val="clear" w:pos="1588"/>
          <w:tab w:val="clear" w:pos="1985"/>
          <w:tab w:val="left" w:pos="830"/>
        </w:tabs>
        <w:ind w:left="5"/>
        <w:jc w:val="left"/>
        <w:rPr>
          <w:lang w:val="en-GB"/>
        </w:rPr>
      </w:pPr>
      <w:r w:rsidRPr="00380B40">
        <w:rPr>
          <w:lang w:val="en-GB"/>
        </w:rPr>
        <w:t>8.2</w:t>
      </w:r>
      <w:r w:rsidRPr="00380B40">
        <w:rPr>
          <w:lang w:val="en-GB"/>
        </w:rPr>
        <w:tab/>
        <w:t>The statement of Statement by the United Kingdom on behalf of Australia, Austria, Belgium, Bulgaria, Canada, the Czech Republic, Denmark, Finland, France, Germany, Japan, Latvia, Lithuania, the Netherlands, Norway, Poland, Portugal, Romania, Spain, Sweden, the United Kingdom and the United States is contained in Annex 1 section 1.2.</w:t>
      </w:r>
    </w:p>
    <w:p w14:paraId="485F4B58" w14:textId="77777777" w:rsidR="009033A7" w:rsidRPr="00380B40" w:rsidRDefault="009033A7" w:rsidP="0012784B">
      <w:pPr>
        <w:pStyle w:val="Heading1"/>
        <w:rPr>
          <w:lang w:val="en-GB"/>
        </w:rPr>
      </w:pPr>
      <w:bookmarkStart w:id="2549" w:name="_Toc111637260"/>
      <w:r w:rsidRPr="00380B40">
        <w:rPr>
          <w:lang w:val="en-GB"/>
        </w:rPr>
        <w:t>9</w:t>
      </w:r>
      <w:r w:rsidRPr="00380B40">
        <w:rPr>
          <w:lang w:val="en-GB"/>
        </w:rPr>
        <w:tab/>
        <w:t xml:space="preserve">Draft new Resolution [ARB-1] (Geneva, 2022), Artificial Intelligence (Document </w:t>
      </w:r>
      <w:hyperlink r:id="rId651" w:history="1">
        <w:r w:rsidRPr="00380B40">
          <w:rPr>
            <w:color w:val="3333FF"/>
            <w:u w:val="single"/>
            <w:lang w:val="en-GB"/>
          </w:rPr>
          <w:t>C91</w:t>
        </w:r>
      </w:hyperlink>
      <w:r w:rsidRPr="00380B40">
        <w:rPr>
          <w:lang w:val="en-GB"/>
        </w:rPr>
        <w:t>)</w:t>
      </w:r>
      <w:bookmarkEnd w:id="2549"/>
    </w:p>
    <w:p w14:paraId="0ADA4A4F" w14:textId="77777777" w:rsidR="0033524E" w:rsidRPr="00380B40" w:rsidRDefault="0033524E" w:rsidP="009270A4">
      <w:pPr>
        <w:tabs>
          <w:tab w:val="clear" w:pos="794"/>
          <w:tab w:val="clear" w:pos="1191"/>
          <w:tab w:val="clear" w:pos="1588"/>
          <w:tab w:val="clear" w:pos="1985"/>
          <w:tab w:val="left" w:pos="843"/>
        </w:tabs>
        <w:ind w:left="5"/>
        <w:jc w:val="left"/>
        <w:rPr>
          <w:lang w:val="en-GB"/>
        </w:rPr>
      </w:pPr>
      <w:r w:rsidRPr="00380B40">
        <w:rPr>
          <w:lang w:val="en-GB"/>
        </w:rPr>
        <w:t>9.1</w:t>
      </w:r>
      <w:r w:rsidRPr="00380B40">
        <w:rPr>
          <w:lang w:val="en-GB"/>
        </w:rPr>
        <w:tab/>
        <w:t xml:space="preserve">As per </w:t>
      </w:r>
      <w:r w:rsidRPr="00380B40">
        <w:rPr>
          <w:b/>
          <w:bCs/>
          <w:lang w:val="en-GB"/>
        </w:rPr>
        <w:t>COM4 Action for Plenary 12</w:t>
      </w:r>
      <w:r w:rsidRPr="00380B40">
        <w:rPr>
          <w:lang w:val="en-GB"/>
        </w:rPr>
        <w:t xml:space="preserve">, the Plenary considered the draft new Resolution on AI in Document </w:t>
      </w:r>
      <w:hyperlink r:id="rId652" w:history="1">
        <w:r w:rsidRPr="00380B40">
          <w:rPr>
            <w:rStyle w:val="Hyperlink"/>
            <w:lang w:val="en-GB"/>
          </w:rPr>
          <w:t>C91</w:t>
        </w:r>
      </w:hyperlink>
      <w:r w:rsidRPr="00380B40">
        <w:rPr>
          <w:lang w:val="en-GB"/>
        </w:rPr>
        <w:t>, recognizing that the entire text was within square brackets.</w:t>
      </w:r>
    </w:p>
    <w:p w14:paraId="73617C48" w14:textId="77777777" w:rsidR="00C736C4" w:rsidRPr="00380B40" w:rsidRDefault="00C736C4" w:rsidP="009270A4">
      <w:pPr>
        <w:rPr>
          <w:lang w:val="en-GB"/>
        </w:rPr>
      </w:pPr>
      <w:r w:rsidRPr="00380B40">
        <w:rPr>
          <w:lang w:val="en-GB"/>
        </w:rPr>
        <w:br w:type="page"/>
      </w:r>
    </w:p>
    <w:p w14:paraId="7DE9D036" w14:textId="77777777" w:rsidR="0033524E" w:rsidRPr="00380B40" w:rsidRDefault="0033524E" w:rsidP="009270A4">
      <w:pPr>
        <w:rPr>
          <w:lang w:val="en-GB"/>
        </w:rPr>
      </w:pPr>
      <w:r w:rsidRPr="00380B40">
        <w:rPr>
          <w:lang w:val="en-GB"/>
        </w:rPr>
        <w:t>9.2</w:t>
      </w:r>
      <w:r w:rsidRPr="00380B40">
        <w:rPr>
          <w:lang w:val="en-GB"/>
        </w:rPr>
        <w:tab/>
        <w:t>United Arab Emirates, supported by Saudi Arabia, Algeria, Egypt, Kuwait, the Russian Federation, Tunisia, and South Africa, preferred to see the operational provisions in the proposed draft Resolution on Artificial Intelligence reflected in the Chairman's report with the instruction for TSAG to consider and to take necessary action as appropriate.</w:t>
      </w:r>
    </w:p>
    <w:p w14:paraId="0DE5A3C7" w14:textId="77777777" w:rsidR="0033524E" w:rsidRPr="00380B40" w:rsidRDefault="0033524E" w:rsidP="00D559E0">
      <w:pPr>
        <w:pStyle w:val="Call"/>
        <w:rPr>
          <w:i w:val="0"/>
          <w:lang w:val="en-GB" w:bidi="ar-EG"/>
        </w:rPr>
      </w:pPr>
      <w:r w:rsidRPr="00380B40">
        <w:rPr>
          <w:lang w:val="en-GB" w:bidi="ar-EG"/>
        </w:rPr>
        <w:t>resolves</w:t>
      </w:r>
    </w:p>
    <w:p w14:paraId="3DC8BC05" w14:textId="77777777" w:rsidR="0033524E" w:rsidRPr="00380B40" w:rsidRDefault="0033524E" w:rsidP="009270A4">
      <w:pPr>
        <w:rPr>
          <w:lang w:val="en-GB" w:bidi="ar-EG"/>
        </w:rPr>
      </w:pPr>
      <w:r w:rsidRPr="00380B40">
        <w:rPr>
          <w:lang w:val="en-GB" w:bidi="ar-EG"/>
        </w:rPr>
        <w:t>1</w:t>
      </w:r>
      <w:r w:rsidRPr="00380B40">
        <w:rPr>
          <w:lang w:val="en-GB" w:bidi="ar-EG"/>
        </w:rPr>
        <w:tab/>
        <w:t>to continue studies and further develop ITU-T deliverables including relevant Recommendations on [AI related to telecommunication/ICTs] [AI enabled Telecommunication/ICTs];</w:t>
      </w:r>
    </w:p>
    <w:p w14:paraId="58E1E488" w14:textId="77777777" w:rsidR="0033524E" w:rsidRPr="00380B40" w:rsidRDefault="0033524E" w:rsidP="009270A4">
      <w:pPr>
        <w:rPr>
          <w:lang w:val="en-GB" w:bidi="ar-EG"/>
        </w:rPr>
      </w:pPr>
      <w:r w:rsidRPr="00380B40">
        <w:rPr>
          <w:lang w:val="en-GB" w:bidi="ar-EG"/>
        </w:rPr>
        <w:t>2</w:t>
      </w:r>
      <w:r w:rsidRPr="00380B40">
        <w:rPr>
          <w:lang w:val="en-GB" w:bidi="ar-EG"/>
        </w:rPr>
        <w:tab/>
        <w:t>[to promote contributions, through the relevant ITU-T Study Groups, in the global efforts on AI by collaboration, as appropriate, including sharing of information and best practices, with other UN agencies and other SDOs, forums, and consortia in achieving the 2030 Agenda for Sustainable Development. ]</w:t>
      </w:r>
    </w:p>
    <w:p w14:paraId="6D0911A4" w14:textId="77777777" w:rsidR="0033524E" w:rsidRPr="00380B40" w:rsidRDefault="0033524E" w:rsidP="009270A4">
      <w:pPr>
        <w:rPr>
          <w:lang w:val="en-GB" w:bidi="ar-EG"/>
        </w:rPr>
      </w:pPr>
      <w:r w:rsidRPr="00380B40">
        <w:rPr>
          <w:lang w:val="en-GB" w:bidi="ar-EG"/>
        </w:rPr>
        <w:t>[To contribute to other global efforts on AI applications, by collaborating, as appropriate, including sharing of information and best practices, on [AI related to telecommunication/ICTs] [AI enabled Telecommunication/ICTs], with other UN agencies and other SDOs, forums, and consortia in achieving the 2030 Agenda for Sustainable Development.]</w:t>
      </w:r>
    </w:p>
    <w:p w14:paraId="0FF6B16C" w14:textId="77777777" w:rsidR="0033524E" w:rsidRPr="00380B40" w:rsidRDefault="0033524E" w:rsidP="009270A4">
      <w:pPr>
        <w:rPr>
          <w:lang w:val="en-GB" w:bidi="ar-EG"/>
        </w:rPr>
      </w:pPr>
      <w:r w:rsidRPr="00380B40">
        <w:rPr>
          <w:lang w:val="en-GB" w:bidi="ar-EG"/>
        </w:rPr>
        <w:t>international organizations, relevant stakeholders, and other private sector, civil society, academia, SMEs, and technical organizations;</w:t>
      </w:r>
    </w:p>
    <w:p w14:paraId="060144FE" w14:textId="77777777" w:rsidR="0033524E" w:rsidRPr="00380B40" w:rsidRDefault="0033524E" w:rsidP="00D559E0">
      <w:pPr>
        <w:pStyle w:val="Call"/>
        <w:rPr>
          <w:i w:val="0"/>
          <w:lang w:val="en-GB" w:bidi="ar-EG"/>
        </w:rPr>
      </w:pPr>
      <w:r w:rsidRPr="00380B40">
        <w:rPr>
          <w:lang w:val="en-GB" w:bidi="ar-EG"/>
        </w:rPr>
        <w:t>instructs the Director of the Telecommunication Standardization Bureau</w:t>
      </w:r>
    </w:p>
    <w:p w14:paraId="79C0860F" w14:textId="77777777" w:rsidR="0033524E" w:rsidRPr="00380B40" w:rsidRDefault="0033524E" w:rsidP="009270A4">
      <w:pPr>
        <w:rPr>
          <w:lang w:val="en-GB" w:bidi="ar-EG"/>
        </w:rPr>
      </w:pPr>
      <w:r w:rsidRPr="00380B40">
        <w:rPr>
          <w:lang w:val="en-GB" w:bidi="ar-EG"/>
        </w:rPr>
        <w:t>1</w:t>
      </w:r>
      <w:r w:rsidRPr="00380B40">
        <w:rPr>
          <w:lang w:val="en-GB" w:bidi="ar-EG"/>
        </w:rPr>
        <w:tab/>
        <w:t>to organize, in collaboration with BDT and BR, forums, workshops and seminars related to [AI related to telecommunication/ICTs] [AI enabled Telecommunication/ICTs], in particular for developing countries, in order to promote the development of AI and to bridging the standardization gap by capacity building;</w:t>
      </w:r>
    </w:p>
    <w:p w14:paraId="69E3D9B8" w14:textId="77777777" w:rsidR="0033524E" w:rsidRPr="00380B40" w:rsidRDefault="0033524E" w:rsidP="009270A4">
      <w:pPr>
        <w:rPr>
          <w:lang w:val="en-GB" w:bidi="ar-EG"/>
        </w:rPr>
      </w:pPr>
      <w:r w:rsidRPr="00380B40">
        <w:rPr>
          <w:lang w:val="en-GB" w:bidi="ar-EG"/>
        </w:rPr>
        <w:t>2</w:t>
      </w:r>
      <w:r w:rsidRPr="00380B40">
        <w:rPr>
          <w:lang w:val="en-GB" w:bidi="ar-EG"/>
        </w:rPr>
        <w:tab/>
        <w:t>to report on progress on the implementation of this resolution annually to TSAG, and to the next World Telecommunication Standardization Assembly;</w:t>
      </w:r>
    </w:p>
    <w:p w14:paraId="652453D0" w14:textId="77777777" w:rsidR="0033524E" w:rsidRPr="00380B40" w:rsidRDefault="0033524E" w:rsidP="00D559E0">
      <w:pPr>
        <w:pStyle w:val="Call"/>
        <w:rPr>
          <w:lang w:val="en-GB" w:bidi="ar-EG"/>
        </w:rPr>
      </w:pPr>
      <w:r w:rsidRPr="00380B40">
        <w:rPr>
          <w:iCs/>
          <w:lang w:val="en-GB"/>
        </w:rPr>
        <w:t>instructs</w:t>
      </w:r>
      <w:r w:rsidRPr="00380B40">
        <w:rPr>
          <w:lang w:val="en-GB" w:bidi="ar-EG"/>
        </w:rPr>
        <w:t xml:space="preserve"> the relevant ITU-T study groups</w:t>
      </w:r>
    </w:p>
    <w:p w14:paraId="3DB048F3" w14:textId="77777777" w:rsidR="0033524E" w:rsidRPr="00380B40" w:rsidRDefault="0033524E" w:rsidP="009270A4">
      <w:pPr>
        <w:rPr>
          <w:lang w:val="en-GB" w:bidi="ar-EG"/>
        </w:rPr>
      </w:pPr>
      <w:r w:rsidRPr="00380B40">
        <w:rPr>
          <w:lang w:val="en-GB" w:bidi="ar-EG"/>
        </w:rPr>
        <w:t>to coordinate activities and studies relating to application of [AI related to telecommunication/ICTs] [AI enabled Telecommunication/ICTs] among the relevant study groups, focus groups and other relevant groups in ITU;</w:t>
      </w:r>
    </w:p>
    <w:p w14:paraId="2EEB6BD1" w14:textId="77777777" w:rsidR="0033524E" w:rsidRPr="00380B40" w:rsidRDefault="0033524E" w:rsidP="00D559E0">
      <w:pPr>
        <w:pStyle w:val="Call"/>
        <w:rPr>
          <w:i w:val="0"/>
          <w:iCs/>
          <w:lang w:val="en-GB" w:bidi="ar-EG"/>
        </w:rPr>
      </w:pPr>
      <w:r w:rsidRPr="00380B40">
        <w:rPr>
          <w:iCs/>
          <w:lang w:val="en-GB"/>
        </w:rPr>
        <w:t>invites</w:t>
      </w:r>
      <w:r w:rsidRPr="00380B40">
        <w:rPr>
          <w:iCs/>
          <w:lang w:val="en-GB" w:bidi="ar-EG"/>
        </w:rPr>
        <w:t xml:space="preserve"> Member States, Sector Members, Associates and academia</w:t>
      </w:r>
    </w:p>
    <w:p w14:paraId="18940D17" w14:textId="77777777" w:rsidR="0033524E" w:rsidRPr="00380B40" w:rsidRDefault="0033524E" w:rsidP="009270A4">
      <w:pPr>
        <w:rPr>
          <w:lang w:val="en-GB" w:bidi="ar-EG"/>
        </w:rPr>
      </w:pPr>
      <w:r w:rsidRPr="00380B40">
        <w:rPr>
          <w:lang w:val="en-GB" w:bidi="ar-EG"/>
        </w:rPr>
        <w:t>1</w:t>
      </w:r>
      <w:r w:rsidRPr="00380B40">
        <w:rPr>
          <w:i/>
          <w:iCs/>
          <w:lang w:val="en-GB" w:bidi="ar-EG"/>
        </w:rPr>
        <w:tab/>
      </w:r>
      <w:r w:rsidRPr="00380B40">
        <w:rPr>
          <w:lang w:val="en-GB" w:bidi="ar-EG"/>
        </w:rPr>
        <w:t>to encourage investment in the development of application of [AI related to telecommunication/ICTs] [AI enabled Telecommunication/ICTs], in order to support the achievement of the relevant SDGs, as appropriate;</w:t>
      </w:r>
    </w:p>
    <w:p w14:paraId="02C6EEDF" w14:textId="77777777" w:rsidR="00C736C4" w:rsidRPr="00380B40" w:rsidRDefault="00C736C4" w:rsidP="009270A4">
      <w:pPr>
        <w:rPr>
          <w:lang w:val="en-GB"/>
        </w:rPr>
      </w:pPr>
      <w:r w:rsidRPr="00380B40">
        <w:rPr>
          <w:lang w:val="en-GB"/>
        </w:rPr>
        <w:br w:type="page"/>
      </w:r>
    </w:p>
    <w:p w14:paraId="24C68761" w14:textId="77777777" w:rsidR="0033524E" w:rsidRPr="00380B40" w:rsidRDefault="0033524E" w:rsidP="009270A4">
      <w:pPr>
        <w:rPr>
          <w:lang w:val="en-GB" w:bidi="ar-EG"/>
        </w:rPr>
      </w:pPr>
      <w:r w:rsidRPr="00380B40">
        <w:rPr>
          <w:lang w:val="en-GB"/>
        </w:rPr>
        <w:t>2</w:t>
      </w:r>
      <w:r w:rsidRPr="00380B40">
        <w:rPr>
          <w:lang w:val="en-GB"/>
        </w:rPr>
        <w:tab/>
        <w:t xml:space="preserve">to continue participating actively in the work of relevant Study Groups and Focus Groups, and in the studies on the </w:t>
      </w:r>
      <w:r w:rsidRPr="00380B40">
        <w:rPr>
          <w:lang w:val="en-GB" w:bidi="ar-EG"/>
        </w:rPr>
        <w:t>application of [AI related to telecommunication/ICTs] [AI enabled Telecommunication/ICTs]</w:t>
      </w:r>
      <w:r w:rsidRPr="00380B40">
        <w:rPr>
          <w:lang w:val="en-GB"/>
        </w:rPr>
        <w:t xml:space="preserve"> being conducted by ITU</w:t>
      </w:r>
      <w:r w:rsidRPr="00380B40">
        <w:rPr>
          <w:lang w:val="en-GB"/>
        </w:rPr>
        <w:noBreakHyphen/>
        <w:t>T;</w:t>
      </w:r>
    </w:p>
    <w:p w14:paraId="6F4447B7" w14:textId="77777777" w:rsidR="0033524E" w:rsidRPr="00380B40" w:rsidRDefault="0033524E" w:rsidP="009270A4">
      <w:pPr>
        <w:tabs>
          <w:tab w:val="clear" w:pos="794"/>
          <w:tab w:val="clear" w:pos="1191"/>
          <w:tab w:val="clear" w:pos="1588"/>
          <w:tab w:val="clear" w:pos="1985"/>
          <w:tab w:val="left" w:pos="843"/>
        </w:tabs>
        <w:ind w:left="5"/>
        <w:jc w:val="left"/>
        <w:rPr>
          <w:lang w:val="en-GB" w:bidi="ar-EG"/>
        </w:rPr>
      </w:pPr>
      <w:r w:rsidRPr="00380B40">
        <w:rPr>
          <w:lang w:val="en-GB" w:bidi="ar-EG"/>
        </w:rPr>
        <w:t>3</w:t>
      </w:r>
      <w:r w:rsidRPr="00380B40">
        <w:rPr>
          <w:i/>
          <w:iCs/>
          <w:lang w:val="en-GB" w:bidi="ar-EG"/>
        </w:rPr>
        <w:tab/>
      </w:r>
      <w:r w:rsidRPr="00380B40">
        <w:rPr>
          <w:lang w:val="en-GB" w:bidi="ar-EG"/>
        </w:rPr>
        <w:t>to cooperate and exchange experiences and knowledge related to this topic;</w:t>
      </w:r>
    </w:p>
    <w:p w14:paraId="29802028" w14:textId="77777777" w:rsidR="0033524E" w:rsidRPr="00380B40" w:rsidRDefault="0033524E" w:rsidP="009270A4">
      <w:pPr>
        <w:tabs>
          <w:tab w:val="clear" w:pos="794"/>
          <w:tab w:val="clear" w:pos="1191"/>
          <w:tab w:val="clear" w:pos="1588"/>
          <w:tab w:val="clear" w:pos="1985"/>
          <w:tab w:val="left" w:pos="843"/>
        </w:tabs>
        <w:ind w:left="5"/>
        <w:jc w:val="left"/>
        <w:rPr>
          <w:lang w:val="en-GB"/>
        </w:rPr>
      </w:pPr>
      <w:r w:rsidRPr="00380B40">
        <w:rPr>
          <w:lang w:val="en-GB"/>
        </w:rPr>
        <w:t>9.3</w:t>
      </w:r>
      <w:r w:rsidRPr="00380B40">
        <w:rPr>
          <w:lang w:val="en-GB"/>
        </w:rPr>
        <w:tab/>
        <w:t>Canada, supported by France, the United Kingdom, and Romania, expressed concerns for such inclusion of the material in the Chairman's report, and did not see consensus on the draft text of the Resolution.</w:t>
      </w:r>
    </w:p>
    <w:p w14:paraId="335E6EEE" w14:textId="77777777" w:rsidR="0033524E" w:rsidRPr="00380B40" w:rsidRDefault="0033524E" w:rsidP="009270A4">
      <w:pPr>
        <w:tabs>
          <w:tab w:val="clear" w:pos="794"/>
          <w:tab w:val="clear" w:pos="1191"/>
          <w:tab w:val="clear" w:pos="1588"/>
          <w:tab w:val="clear" w:pos="1985"/>
          <w:tab w:val="left" w:pos="843"/>
        </w:tabs>
        <w:ind w:left="5"/>
        <w:jc w:val="left"/>
        <w:rPr>
          <w:lang w:val="en-GB"/>
        </w:rPr>
      </w:pPr>
      <w:r w:rsidRPr="00380B40">
        <w:rPr>
          <w:lang w:val="en-GB"/>
        </w:rPr>
        <w:t>9.4</w:t>
      </w:r>
      <w:r w:rsidRPr="00380B40">
        <w:rPr>
          <w:lang w:val="en-GB"/>
        </w:rPr>
        <w:tab/>
        <w:t xml:space="preserve">The Plenary did not find consensus to approve new Resolution [ARB-1], </w:t>
      </w:r>
      <w:r w:rsidRPr="00380B40">
        <w:rPr>
          <w:i/>
          <w:iCs/>
          <w:lang w:val="en-GB"/>
        </w:rPr>
        <w:t>Artificial Intelligence.</w:t>
      </w:r>
    </w:p>
    <w:p w14:paraId="48D2767A" w14:textId="77777777" w:rsidR="009033A7" w:rsidRPr="00380B40" w:rsidRDefault="009033A7" w:rsidP="00B80940">
      <w:pPr>
        <w:pStyle w:val="Heading1"/>
        <w:rPr>
          <w:lang w:val="en-GB"/>
        </w:rPr>
      </w:pPr>
      <w:bookmarkStart w:id="2550" w:name="_Toc111637261"/>
      <w:r w:rsidRPr="00380B40">
        <w:rPr>
          <w:lang w:val="en-GB"/>
        </w:rPr>
        <w:t>10</w:t>
      </w:r>
      <w:r w:rsidRPr="00380B40">
        <w:rPr>
          <w:lang w:val="en-GB"/>
        </w:rPr>
        <w:tab/>
        <w:t>Closing ceremony</w:t>
      </w:r>
      <w:bookmarkEnd w:id="2550"/>
    </w:p>
    <w:p w14:paraId="4D18143D" w14:textId="77777777" w:rsidR="009033A7" w:rsidRPr="00380B40" w:rsidRDefault="009033A7" w:rsidP="009270A4">
      <w:pPr>
        <w:pStyle w:val="enumlev1"/>
        <w:rPr>
          <w:lang w:val="en-GB"/>
        </w:rPr>
      </w:pPr>
      <w:r w:rsidRPr="00380B40">
        <w:rPr>
          <w:lang w:val="en-GB"/>
        </w:rPr>
        <w:t>10.1</w:t>
      </w:r>
      <w:r w:rsidRPr="00380B40">
        <w:rPr>
          <w:lang w:val="en-GB"/>
        </w:rPr>
        <w:tab/>
        <w:t>Address by the Director of the Telecommunication Standardization Bureau</w:t>
      </w:r>
    </w:p>
    <w:p w14:paraId="2FCD53E9" w14:textId="77777777" w:rsidR="009033A7" w:rsidRPr="00380B40" w:rsidRDefault="009270A4" w:rsidP="009270A4">
      <w:pPr>
        <w:pStyle w:val="enumlev1"/>
        <w:rPr>
          <w:lang w:val="en-GB"/>
        </w:rPr>
      </w:pPr>
      <w:r w:rsidRPr="00380B40">
        <w:rPr>
          <w:lang w:val="en-GB"/>
        </w:rPr>
        <w:tab/>
      </w:r>
      <w:r w:rsidR="009033A7" w:rsidRPr="00380B40">
        <w:rPr>
          <w:lang w:val="en-GB"/>
        </w:rPr>
        <w:t>The TSB Director, Mr Chaesub Lee, expressed his thanks to all who contributed and participated on site and remotely in WTSA-20 for the achievements and the significant number of successful agreements. He thanked the Ambassador and permanent representative of India H.E. Mr. Indra Mani Pandey for chairing the Heads-of-Delegation meetings, the Swiss Authorities, Mr Bruce Gracie for his beneficial leadership in chairing this Assembly, all leaders of the Committees and Working Groups, Ad-hoc groups, drafting groups, outgoing as well as new Chairmen and Vice Chairmen of the study groups for the past and new study period, and the CICG for their hospitality.</w:t>
      </w:r>
    </w:p>
    <w:p w14:paraId="7318CCC3" w14:textId="77777777" w:rsidR="009033A7" w:rsidRPr="00380B40" w:rsidRDefault="009033A7" w:rsidP="009270A4">
      <w:pPr>
        <w:pStyle w:val="enumlev1"/>
        <w:rPr>
          <w:lang w:val="en-GB"/>
        </w:rPr>
      </w:pPr>
      <w:r w:rsidRPr="00380B40">
        <w:rPr>
          <w:lang w:val="en-GB"/>
        </w:rPr>
        <w:t>10.2</w:t>
      </w:r>
      <w:r w:rsidRPr="00380B40">
        <w:rPr>
          <w:lang w:val="en-GB"/>
        </w:rPr>
        <w:tab/>
        <w:t>Address by the Secretary-General of ITU</w:t>
      </w:r>
    </w:p>
    <w:p w14:paraId="19743ABF" w14:textId="77777777" w:rsidR="009033A7" w:rsidRPr="00380B40" w:rsidRDefault="009270A4" w:rsidP="009270A4">
      <w:pPr>
        <w:pStyle w:val="enumlev1"/>
        <w:rPr>
          <w:lang w:val="en-GB"/>
        </w:rPr>
      </w:pPr>
      <w:r w:rsidRPr="00380B40">
        <w:rPr>
          <w:lang w:val="en-GB"/>
        </w:rPr>
        <w:tab/>
      </w:r>
      <w:r w:rsidR="009033A7" w:rsidRPr="00380B40">
        <w:rPr>
          <w:lang w:val="en-GB"/>
        </w:rPr>
        <w:t xml:space="preserve">The remarks by the ITU Secretary-General Mr. Houlin Zhao in closing of the World Telecommunication Standardization Assembly are contained in Document </w:t>
      </w:r>
      <w:hyperlink r:id="rId653" w:history="1">
        <w:r w:rsidR="009033A7" w:rsidRPr="00380B40">
          <w:rPr>
            <w:rStyle w:val="Hyperlink"/>
            <w:lang w:val="en-GB"/>
          </w:rPr>
          <w:t>C104</w:t>
        </w:r>
      </w:hyperlink>
      <w:r w:rsidR="009033A7" w:rsidRPr="00380B40">
        <w:rPr>
          <w:lang w:val="en-GB"/>
        </w:rPr>
        <w:t>.</w:t>
      </w:r>
    </w:p>
    <w:p w14:paraId="1AFE6610" w14:textId="77777777" w:rsidR="009033A7" w:rsidRPr="00380B40" w:rsidRDefault="009033A7" w:rsidP="009270A4">
      <w:pPr>
        <w:pStyle w:val="enumlev1"/>
        <w:rPr>
          <w:lang w:val="en-GB"/>
        </w:rPr>
      </w:pPr>
      <w:r w:rsidRPr="00380B40">
        <w:rPr>
          <w:lang w:val="en-GB"/>
        </w:rPr>
        <w:t>10.3</w:t>
      </w:r>
      <w:r w:rsidRPr="00380B40">
        <w:rPr>
          <w:lang w:val="en-GB"/>
        </w:rPr>
        <w:tab/>
        <w:t>Expression of appreciation to HoD meetings Chairman</w:t>
      </w:r>
    </w:p>
    <w:p w14:paraId="2C9E41E4" w14:textId="77777777" w:rsidR="009033A7" w:rsidRPr="00380B40" w:rsidRDefault="009270A4" w:rsidP="009270A4">
      <w:pPr>
        <w:pStyle w:val="enumlev1"/>
        <w:rPr>
          <w:lang w:val="en-GB"/>
        </w:rPr>
      </w:pPr>
      <w:r w:rsidRPr="00380B40">
        <w:rPr>
          <w:lang w:val="en-GB"/>
        </w:rPr>
        <w:tab/>
      </w:r>
      <w:r w:rsidR="009033A7" w:rsidRPr="00380B40">
        <w:rPr>
          <w:lang w:val="en-GB"/>
        </w:rPr>
        <w:t>The Secretary General expressed his thanks with a certificate of appreciation to the Ambassador H.E. Mr. Indra Mani Pandey, Ambassador and permanent representative of India, for his extraordinary contribution as Chairman of several Heads-of-Delegation meetings of WTSA-20.</w:t>
      </w:r>
    </w:p>
    <w:p w14:paraId="4E5285A5" w14:textId="77777777" w:rsidR="009033A7" w:rsidRPr="00380B40" w:rsidRDefault="009033A7" w:rsidP="009270A4">
      <w:pPr>
        <w:pStyle w:val="enumlev1"/>
        <w:rPr>
          <w:lang w:val="en-GB"/>
        </w:rPr>
      </w:pPr>
      <w:r w:rsidRPr="00380B40">
        <w:rPr>
          <w:lang w:val="en-GB"/>
        </w:rPr>
        <w:t>10.4</w:t>
      </w:r>
      <w:r w:rsidRPr="00380B40">
        <w:rPr>
          <w:lang w:val="en-GB"/>
        </w:rPr>
        <w:tab/>
        <w:t>Expression of appreciation to WTSA-20 Chairman</w:t>
      </w:r>
    </w:p>
    <w:p w14:paraId="4EDDDF29" w14:textId="77777777" w:rsidR="009033A7" w:rsidRPr="00380B40" w:rsidRDefault="009270A4" w:rsidP="009270A4">
      <w:pPr>
        <w:pStyle w:val="enumlev1"/>
        <w:rPr>
          <w:lang w:val="en-GB"/>
        </w:rPr>
      </w:pPr>
      <w:r w:rsidRPr="00380B40">
        <w:rPr>
          <w:lang w:val="en-GB"/>
        </w:rPr>
        <w:tab/>
      </w:r>
      <w:r w:rsidR="009033A7" w:rsidRPr="00380B40">
        <w:rPr>
          <w:lang w:val="en-GB"/>
        </w:rPr>
        <w:t>ITU Secretary-General, Mr. Houlin Zhao, expressed his highest appreciation to the WTSA-20 Chairman, Mr Bruce Gracie, for his outstanding contribution, service and leadership to the work of the World Telecommunication Standardization Assembly, and awarded him the ITU gold medal and a certificate of appreciation.</w:t>
      </w:r>
    </w:p>
    <w:p w14:paraId="30C70807" w14:textId="77777777" w:rsidR="00C736C4" w:rsidRPr="00380B40" w:rsidRDefault="00C736C4" w:rsidP="009270A4">
      <w:pPr>
        <w:pStyle w:val="enumlev1"/>
        <w:rPr>
          <w:lang w:val="en-GB"/>
        </w:rPr>
      </w:pPr>
      <w:r w:rsidRPr="00380B40">
        <w:rPr>
          <w:lang w:val="en-GB"/>
        </w:rPr>
        <w:br w:type="page"/>
      </w:r>
    </w:p>
    <w:p w14:paraId="5E8BD01B" w14:textId="77777777" w:rsidR="009033A7" w:rsidRPr="00380B40" w:rsidRDefault="009033A7" w:rsidP="009270A4">
      <w:pPr>
        <w:pStyle w:val="enumlev1"/>
        <w:rPr>
          <w:lang w:val="en-GB"/>
        </w:rPr>
      </w:pPr>
      <w:r w:rsidRPr="00380B40">
        <w:rPr>
          <w:lang w:val="en-GB"/>
        </w:rPr>
        <w:t>10.5</w:t>
      </w:r>
      <w:r w:rsidRPr="00380B40">
        <w:rPr>
          <w:lang w:val="en-GB"/>
        </w:rPr>
        <w:tab/>
        <w:t>Closing remarks by the Chairman of WTSA-20.</w:t>
      </w:r>
    </w:p>
    <w:p w14:paraId="34BB744D" w14:textId="77777777" w:rsidR="009033A7" w:rsidRPr="00380B40" w:rsidRDefault="009270A4" w:rsidP="009270A4">
      <w:pPr>
        <w:pStyle w:val="enumlev1"/>
        <w:rPr>
          <w:lang w:val="en-GB"/>
        </w:rPr>
      </w:pPr>
      <w:r w:rsidRPr="00380B40">
        <w:rPr>
          <w:lang w:val="en-GB"/>
        </w:rPr>
        <w:tab/>
      </w:r>
      <w:r w:rsidR="009033A7" w:rsidRPr="00380B40">
        <w:rPr>
          <w:lang w:val="en-GB"/>
        </w:rPr>
        <w:t>The Chairman, Mr Bruce Gracie, expressed his appreciation to all who supported him and contributed to this Assembly; to the Elected Officials Mr Houlin Zhao, Ms Doreen Bogdan-Martin and Mr Mario Maniewicz for their presence during the Plenary sessions, Mr Bigi as Dean of this Assembly, to the former BR Director Mr Valery Timofeev, to the entire WTSA-20 leadership team, the Committee and respective Working Group Chairmen, the TSB, the TSB Director, the WTSA Secretariat and Committee Secretariats, the staff from the General Secretariat, Chairmen of ad-hoc groups, of drafting groups, and of discussion groups. He congratulated and wished the best to the newly appointed leadership teams, and expressed his great appreciation to the interpreters, captioners, and the ITU technical staff. He requested Council to not shorten the duration of future Assemblies, but to return to nine working days.</w:t>
      </w:r>
    </w:p>
    <w:p w14:paraId="1669754F" w14:textId="77777777" w:rsidR="009033A7" w:rsidRPr="00380B40" w:rsidRDefault="009033A7" w:rsidP="0012784B">
      <w:pPr>
        <w:pStyle w:val="Heading1"/>
        <w:rPr>
          <w:lang w:val="en-GB"/>
        </w:rPr>
      </w:pPr>
      <w:bookmarkStart w:id="2551" w:name="_Toc111637262"/>
      <w:r w:rsidRPr="00380B40">
        <w:rPr>
          <w:lang w:val="en-GB"/>
        </w:rPr>
        <w:t>11</w:t>
      </w:r>
      <w:r w:rsidRPr="00380B40">
        <w:rPr>
          <w:lang w:val="en-GB"/>
        </w:rPr>
        <w:tab/>
        <w:t>Any other business</w:t>
      </w:r>
      <w:bookmarkEnd w:id="2551"/>
    </w:p>
    <w:p w14:paraId="66C6082D" w14:textId="77777777" w:rsidR="009033A7" w:rsidRPr="00380B40" w:rsidRDefault="009033A7" w:rsidP="009270A4">
      <w:pPr>
        <w:rPr>
          <w:lang w:val="en-GB"/>
        </w:rPr>
      </w:pPr>
      <w:r w:rsidRPr="00380B40">
        <w:rPr>
          <w:lang w:val="en-GB"/>
        </w:rPr>
        <w:t>Members recommended to consider that the Assembly in 2024 have a duration of nine working days as initially planned for WTSA-20 in Hyderabad.</w:t>
      </w:r>
    </w:p>
    <w:p w14:paraId="56349431" w14:textId="77777777" w:rsidR="009033A7" w:rsidRPr="00380B40" w:rsidRDefault="009033A7" w:rsidP="0012784B">
      <w:pPr>
        <w:pStyle w:val="Heading1"/>
        <w:rPr>
          <w:lang w:val="en-GB"/>
        </w:rPr>
      </w:pPr>
      <w:bookmarkStart w:id="2552" w:name="_Toc111637263"/>
      <w:r w:rsidRPr="00380B40">
        <w:rPr>
          <w:lang w:val="en-GB"/>
        </w:rPr>
        <w:t>12</w:t>
      </w:r>
      <w:r w:rsidRPr="00380B40">
        <w:rPr>
          <w:lang w:val="en-GB"/>
        </w:rPr>
        <w:tab/>
        <w:t>Closing</w:t>
      </w:r>
      <w:bookmarkEnd w:id="2552"/>
    </w:p>
    <w:p w14:paraId="3A260094" w14:textId="77777777" w:rsidR="00C736C4" w:rsidRPr="00380B40" w:rsidRDefault="009033A7" w:rsidP="00697453">
      <w:pPr>
        <w:rPr>
          <w:lang w:val="en-GB"/>
        </w:rPr>
      </w:pPr>
      <w:r w:rsidRPr="00380B40">
        <w:rPr>
          <w:lang w:val="en-GB"/>
        </w:rPr>
        <w:t>The Chairman declared the WTSA-20 closed at around 1755 hours.</w:t>
      </w:r>
    </w:p>
    <w:p w14:paraId="5EF1135E" w14:textId="77777777" w:rsidR="00C736C4" w:rsidRPr="00380B40" w:rsidRDefault="00C736C4" w:rsidP="00697453">
      <w:pPr>
        <w:rPr>
          <w:lang w:val="en-GB"/>
        </w:rPr>
      </w:pPr>
    </w:p>
    <w:p w14:paraId="6180E2AD" w14:textId="77777777" w:rsidR="00C736C4" w:rsidRPr="00380B40" w:rsidRDefault="00C736C4" w:rsidP="00697453">
      <w:pPr>
        <w:rPr>
          <w:lang w:val="en-GB"/>
        </w:rPr>
      </w:pPr>
    </w:p>
    <w:p w14:paraId="2884E569" w14:textId="77777777" w:rsidR="00C736C4" w:rsidRPr="00380B40" w:rsidRDefault="00C736C4" w:rsidP="00697453">
      <w:pPr>
        <w:rPr>
          <w:lang w:val="en-GB"/>
        </w:rPr>
      </w:pPr>
    </w:p>
    <w:p w14:paraId="0D61A977" w14:textId="77777777" w:rsidR="00C736C4" w:rsidRPr="00380B40" w:rsidRDefault="00C736C4" w:rsidP="00697453">
      <w:pPr>
        <w:rPr>
          <w:lang w:val="en-GB"/>
        </w:rPr>
      </w:pPr>
    </w:p>
    <w:p w14:paraId="76AEF62C" w14:textId="77777777" w:rsidR="00C736C4" w:rsidRPr="00380B40" w:rsidRDefault="00C736C4" w:rsidP="00697453">
      <w:pPr>
        <w:rPr>
          <w:lang w:val="en-GB"/>
        </w:rPr>
      </w:pPr>
    </w:p>
    <w:p w14:paraId="3126DBD0" w14:textId="77777777" w:rsidR="00C736C4" w:rsidRPr="00380B40" w:rsidRDefault="00C736C4" w:rsidP="00697453">
      <w:pPr>
        <w:rPr>
          <w:lang w:val="en-GB"/>
        </w:rPr>
      </w:pPr>
    </w:p>
    <w:p w14:paraId="3ACB8EB5" w14:textId="77777777" w:rsidR="00C736C4" w:rsidRPr="00380B40" w:rsidRDefault="00C736C4" w:rsidP="00697453">
      <w:pPr>
        <w:rPr>
          <w:lang w:val="en-GB"/>
        </w:rPr>
      </w:pPr>
    </w:p>
    <w:p w14:paraId="2E2E8EEC" w14:textId="77777777" w:rsidR="00C736C4" w:rsidRPr="00380B40" w:rsidRDefault="00C736C4" w:rsidP="00697453">
      <w:pPr>
        <w:rPr>
          <w:lang w:val="en-GB"/>
        </w:rPr>
      </w:pPr>
    </w:p>
    <w:p w14:paraId="4B2DAD0E" w14:textId="77777777" w:rsidR="00C736C4" w:rsidRPr="00380B40" w:rsidRDefault="00C736C4" w:rsidP="00697453">
      <w:pPr>
        <w:rPr>
          <w:lang w:val="en-GB"/>
        </w:rPr>
      </w:pPr>
    </w:p>
    <w:p w14:paraId="3254CA34" w14:textId="77777777" w:rsidR="00C736C4" w:rsidRPr="00380B40" w:rsidRDefault="00C736C4" w:rsidP="00697453">
      <w:pPr>
        <w:rPr>
          <w:lang w:val="en-GB"/>
        </w:rPr>
      </w:pPr>
    </w:p>
    <w:p w14:paraId="79DDF7BE" w14:textId="77777777" w:rsidR="00C736C4" w:rsidRPr="00380B40" w:rsidRDefault="00C736C4" w:rsidP="00697453">
      <w:pPr>
        <w:rPr>
          <w:lang w:val="en-GB"/>
        </w:rPr>
      </w:pPr>
    </w:p>
    <w:p w14:paraId="53761F78" w14:textId="77777777" w:rsidR="00C736C4" w:rsidRPr="00380B40" w:rsidRDefault="00C736C4" w:rsidP="00697453">
      <w:pPr>
        <w:rPr>
          <w:lang w:val="en-GB"/>
        </w:rPr>
      </w:pPr>
    </w:p>
    <w:p w14:paraId="75A22AB6" w14:textId="77777777" w:rsidR="00C736C4" w:rsidRPr="00380B40" w:rsidRDefault="00C736C4" w:rsidP="00697453">
      <w:pPr>
        <w:rPr>
          <w:lang w:val="en-GB"/>
        </w:rPr>
      </w:pPr>
    </w:p>
    <w:p w14:paraId="694D8C70" w14:textId="77777777" w:rsidR="00C736C4" w:rsidRPr="00380B40" w:rsidRDefault="00C736C4" w:rsidP="00697453">
      <w:pPr>
        <w:rPr>
          <w:lang w:val="en-GB"/>
        </w:rPr>
      </w:pPr>
    </w:p>
    <w:p w14:paraId="5F119C7F" w14:textId="77777777" w:rsidR="00C736C4" w:rsidRPr="00380B40" w:rsidRDefault="00C736C4" w:rsidP="00697453">
      <w:pPr>
        <w:rPr>
          <w:lang w:val="en-GB"/>
        </w:rPr>
      </w:pPr>
    </w:p>
    <w:p w14:paraId="41AD9EFC" w14:textId="77777777" w:rsidR="00C736C4" w:rsidRPr="00380B40" w:rsidRDefault="00C736C4" w:rsidP="00697453">
      <w:pPr>
        <w:rPr>
          <w:lang w:val="en-GB"/>
        </w:rPr>
      </w:pPr>
    </w:p>
    <w:p w14:paraId="3CB90423" w14:textId="77777777" w:rsidR="00C736C4" w:rsidRPr="00380B40" w:rsidRDefault="00C736C4" w:rsidP="00697453">
      <w:pPr>
        <w:rPr>
          <w:lang w:val="en-GB"/>
        </w:rPr>
      </w:pPr>
    </w:p>
    <w:p w14:paraId="20E07D58" w14:textId="77777777" w:rsidR="00697453" w:rsidRPr="00380B40" w:rsidRDefault="00697453" w:rsidP="00697453">
      <w:pPr>
        <w:rPr>
          <w:lang w:val="en-GB"/>
        </w:rPr>
      </w:pPr>
      <w:r w:rsidRPr="00380B40">
        <w:rPr>
          <w:lang w:val="en-GB"/>
        </w:rPr>
        <w:br w:type="page"/>
      </w:r>
    </w:p>
    <w:p w14:paraId="5F356F82" w14:textId="77777777" w:rsidR="009033A7" w:rsidRPr="00380B40" w:rsidRDefault="009033A7" w:rsidP="00FD3C79">
      <w:pPr>
        <w:pStyle w:val="AnnexNoTitle1"/>
      </w:pPr>
      <w:r w:rsidRPr="00380B40">
        <w:t>Annex 1</w:t>
      </w:r>
    </w:p>
    <w:p w14:paraId="2003C690" w14:textId="77777777" w:rsidR="009033A7" w:rsidRPr="00380B40" w:rsidRDefault="009033A7" w:rsidP="00C736C4">
      <w:pPr>
        <w:pStyle w:val="Normalcenteraligned"/>
      </w:pPr>
      <w:r w:rsidRPr="00380B40">
        <w:t xml:space="preserve">(to </w:t>
      </w:r>
      <w:r w:rsidR="004F6B7B" w:rsidRPr="00380B40">
        <w:t xml:space="preserve">the </w:t>
      </w:r>
      <w:r w:rsidRPr="00380B40">
        <w:t>sixth plenary meeting and closing ceremony report)</w:t>
      </w:r>
    </w:p>
    <w:p w14:paraId="4BE55136" w14:textId="77777777" w:rsidR="009033A7" w:rsidRPr="00380B40" w:rsidRDefault="009033A7" w:rsidP="00C736C4">
      <w:pPr>
        <w:pStyle w:val="Normalcenteraligned"/>
      </w:pPr>
      <w:r w:rsidRPr="00380B40">
        <w:rPr>
          <w:rStyle w:val="Bold"/>
          <w:b/>
          <w:bCs/>
          <w:lang w:val="en-GB"/>
        </w:rPr>
        <w:t>Statements</w:t>
      </w:r>
    </w:p>
    <w:p w14:paraId="376968B9" w14:textId="77777777" w:rsidR="009033A7" w:rsidRPr="00380B40" w:rsidRDefault="009033A7" w:rsidP="009270A4">
      <w:pPr>
        <w:pStyle w:val="enumlev1"/>
        <w:rPr>
          <w:b/>
          <w:bCs/>
          <w:lang w:val="en-GB"/>
        </w:rPr>
      </w:pPr>
      <w:r w:rsidRPr="00380B40">
        <w:rPr>
          <w:b/>
          <w:bCs/>
          <w:lang w:val="en-GB"/>
        </w:rPr>
        <w:t>1.1</w:t>
      </w:r>
      <w:r w:rsidRPr="00380B40">
        <w:rPr>
          <w:b/>
          <w:bCs/>
          <w:lang w:val="en-GB"/>
        </w:rPr>
        <w:tab/>
        <w:t>Statement by Canada, United States, Mexico, and Germany</w:t>
      </w:r>
    </w:p>
    <w:p w14:paraId="61E34E75" w14:textId="77777777" w:rsidR="009033A7" w:rsidRPr="00380B40" w:rsidRDefault="009270A4" w:rsidP="009270A4">
      <w:pPr>
        <w:pStyle w:val="enumlev1"/>
        <w:rPr>
          <w:i/>
          <w:iCs/>
          <w:lang w:val="en-GB"/>
        </w:rPr>
      </w:pPr>
      <w:r w:rsidRPr="00380B40">
        <w:rPr>
          <w:i/>
          <w:iCs/>
          <w:lang w:val="en-GB"/>
        </w:rPr>
        <w:tab/>
      </w:r>
      <w:r w:rsidR="009033A7" w:rsidRPr="00380B40">
        <w:rPr>
          <w:i/>
          <w:iCs/>
          <w:lang w:val="en-GB"/>
        </w:rPr>
        <w:t>Canada, United States, Mexico, and Germany would like to request the WTSA Plenary to inform PP-22, as part of his report, the importance of an appropriate industry engagement within the ITU-T. While no consensus was achieved, some Member States made clear their views that a strategic dialogue on this issue is needed at the Plenipotentiary level to ensure collaboration and implementation across the Union.</w:t>
      </w:r>
    </w:p>
    <w:p w14:paraId="6845C2C1" w14:textId="77777777" w:rsidR="009033A7" w:rsidRPr="00380B40" w:rsidRDefault="009270A4" w:rsidP="009270A4">
      <w:pPr>
        <w:pStyle w:val="enumlev1"/>
        <w:rPr>
          <w:i/>
          <w:iCs/>
          <w:lang w:val="en-GB"/>
        </w:rPr>
      </w:pPr>
      <w:r w:rsidRPr="00380B40">
        <w:rPr>
          <w:i/>
          <w:iCs/>
          <w:lang w:val="en-GB"/>
        </w:rPr>
        <w:tab/>
      </w:r>
      <w:r w:rsidR="009033A7" w:rsidRPr="00380B40">
        <w:rPr>
          <w:i/>
          <w:iCs/>
          <w:lang w:val="en-GB"/>
        </w:rPr>
        <w:t xml:space="preserve">Industry (network operators, manufacturers, service providers, research institutes, among others) needs a standards development body that can produce high quality standards through an efficient and effective process that addresses market needs in a timely manner. We are of the view that a key component for the sustainability of ITU-T in a highly competitive and diverse standardization ecosystem is the robust support for industry Sector Members to exercise their rights to participate fully in the activities of the ITU-T, which we have to make again </w:t>
      </w:r>
      <w:r w:rsidR="00F82355" w:rsidRPr="00380B40">
        <w:rPr>
          <w:i/>
          <w:iCs/>
          <w:lang w:val="en-GB"/>
        </w:rPr>
        <w:t>"</w:t>
      </w:r>
      <w:r w:rsidR="009033A7" w:rsidRPr="00380B40">
        <w:rPr>
          <w:i/>
          <w:iCs/>
          <w:lang w:val="en-GB"/>
        </w:rPr>
        <w:t>a place to be</w:t>
      </w:r>
      <w:r w:rsidR="00F82355" w:rsidRPr="00380B40">
        <w:rPr>
          <w:i/>
          <w:iCs/>
          <w:lang w:val="en-GB"/>
        </w:rPr>
        <w:t>"</w:t>
      </w:r>
      <w:r w:rsidR="009033A7" w:rsidRPr="00380B40">
        <w:rPr>
          <w:i/>
          <w:iCs/>
          <w:lang w:val="en-GB"/>
        </w:rPr>
        <w:t xml:space="preserve"> for the industry.</w:t>
      </w:r>
    </w:p>
    <w:p w14:paraId="574D67AA" w14:textId="77777777" w:rsidR="009033A7" w:rsidRPr="00380B40" w:rsidRDefault="009270A4" w:rsidP="009270A4">
      <w:pPr>
        <w:pStyle w:val="enumlev1"/>
        <w:rPr>
          <w:lang w:val="en-GB"/>
        </w:rPr>
      </w:pPr>
      <w:r w:rsidRPr="00380B40">
        <w:rPr>
          <w:i/>
          <w:iCs/>
          <w:lang w:val="en-GB"/>
        </w:rPr>
        <w:tab/>
      </w:r>
      <w:r w:rsidR="009033A7" w:rsidRPr="00380B40">
        <w:rPr>
          <w:i/>
          <w:iCs/>
          <w:lang w:val="en-GB"/>
        </w:rPr>
        <w:t>While we find it incomprehensible that Member States would reject a proposal that attempts to bolster industry participation in the standards development process, we will take this opportunity to invite member states to consider developing proposals to the Plenipotentiary Conference regarding the adoption of a new Resolution for industry to exercise their rights to participate fully in the activities of the ITU-T as according to Article 3, No. 28A of the Constitution.</w:t>
      </w:r>
    </w:p>
    <w:p w14:paraId="4F8EC0C5" w14:textId="77777777" w:rsidR="009033A7" w:rsidRPr="00380B40" w:rsidRDefault="009033A7" w:rsidP="009270A4">
      <w:pPr>
        <w:pStyle w:val="enumlev1"/>
        <w:rPr>
          <w:b/>
          <w:bCs/>
          <w:lang w:val="en-GB"/>
        </w:rPr>
      </w:pPr>
      <w:r w:rsidRPr="00380B40">
        <w:rPr>
          <w:b/>
          <w:bCs/>
          <w:lang w:val="en-GB"/>
        </w:rPr>
        <w:t>1.2</w:t>
      </w:r>
      <w:r w:rsidRPr="00380B40">
        <w:rPr>
          <w:b/>
          <w:bCs/>
          <w:lang w:val="en-GB"/>
        </w:rPr>
        <w:tab/>
        <w:t>Statement by the United Kingdom on behalf of Australia, Austria, Belgium, Bulgaria, Canada, the Czech Republic, Denmark, Finland, France, Germany, Japan, Latvia, Lithuania, the Netherlands, Norway, Poland, Portugal, Romania, Spain, Sweden, the United Kingdom, and the United States</w:t>
      </w:r>
    </w:p>
    <w:p w14:paraId="32862181" w14:textId="77777777" w:rsidR="009033A7" w:rsidRPr="00380B40" w:rsidRDefault="009270A4" w:rsidP="009270A4">
      <w:pPr>
        <w:pStyle w:val="enumlev1"/>
        <w:rPr>
          <w:i/>
          <w:iCs/>
          <w:lang w:val="en-GB"/>
        </w:rPr>
      </w:pPr>
      <w:r w:rsidRPr="00380B40">
        <w:rPr>
          <w:i/>
          <w:iCs/>
          <w:lang w:val="en-GB"/>
        </w:rPr>
        <w:tab/>
      </w:r>
      <w:r w:rsidR="009033A7" w:rsidRPr="00380B40">
        <w:rPr>
          <w:i/>
          <w:iCs/>
          <w:lang w:val="en-GB"/>
        </w:rPr>
        <w:t xml:space="preserve">Australia, Austria, Belgium, Bulgaria, Canada, the Czech Republic, Denmark, Finland, France, </w:t>
      </w:r>
      <w:r w:rsidR="009033A7" w:rsidRPr="00380B40">
        <w:rPr>
          <w:lang w:val="en-GB"/>
        </w:rPr>
        <w:t>Germany</w:t>
      </w:r>
      <w:r w:rsidR="009033A7" w:rsidRPr="00380B40">
        <w:rPr>
          <w:i/>
          <w:iCs/>
          <w:lang w:val="en-GB"/>
        </w:rPr>
        <w:t>, Japan, Latvia, Lithuania, the Netherlands, Norway, Poland, Portugal, Romania, Spain, Sweden, the United Kingdom, and the United States wish to record our objection to recognizing further b) of WTSA Resolution 96. Recommendation ITU-T X.1255 is not based on the Digital Object Architecture, and we do not support these references. We ask that this objection is recorded in the report of this meeting.</w:t>
      </w:r>
    </w:p>
    <w:p w14:paraId="5EC026D5" w14:textId="77777777" w:rsidR="009033A7" w:rsidRPr="00380B40" w:rsidRDefault="009033A7" w:rsidP="009033A7">
      <w:pPr>
        <w:spacing w:before="120" w:line="240" w:lineRule="auto"/>
        <w:rPr>
          <w:sz w:val="24"/>
          <w:szCs w:val="24"/>
          <w:lang w:val="en-GB"/>
        </w:rPr>
      </w:pPr>
    </w:p>
    <w:p w14:paraId="0C9E9279" w14:textId="77777777" w:rsidR="009033A7" w:rsidRPr="00380B40" w:rsidRDefault="009033A7" w:rsidP="009033A7">
      <w:pPr>
        <w:tabs>
          <w:tab w:val="left" w:pos="567"/>
          <w:tab w:val="left" w:pos="7148"/>
        </w:tabs>
        <w:spacing w:before="60"/>
        <w:jc w:val="center"/>
        <w:rPr>
          <w:sz w:val="24"/>
          <w:szCs w:val="24"/>
          <w:lang w:val="en-GB"/>
        </w:rPr>
      </w:pPr>
    </w:p>
    <w:p w14:paraId="3A65DE4F" w14:textId="77777777" w:rsidR="009270A4" w:rsidRPr="00380B40" w:rsidRDefault="009270A4" w:rsidP="009033A7">
      <w:pPr>
        <w:tabs>
          <w:tab w:val="left" w:pos="567"/>
          <w:tab w:val="left" w:pos="7148"/>
        </w:tabs>
        <w:spacing w:before="60"/>
        <w:jc w:val="center"/>
        <w:rPr>
          <w:sz w:val="24"/>
          <w:szCs w:val="24"/>
          <w:lang w:val="en-GB"/>
        </w:rPr>
      </w:pPr>
    </w:p>
    <w:p w14:paraId="710E58EF" w14:textId="77777777" w:rsidR="009270A4" w:rsidRPr="00380B40" w:rsidRDefault="009270A4" w:rsidP="009033A7">
      <w:pPr>
        <w:tabs>
          <w:tab w:val="left" w:pos="567"/>
          <w:tab w:val="left" w:pos="7148"/>
        </w:tabs>
        <w:spacing w:before="60"/>
        <w:jc w:val="center"/>
        <w:rPr>
          <w:sz w:val="24"/>
          <w:szCs w:val="24"/>
          <w:lang w:val="en-GB"/>
        </w:rPr>
      </w:pPr>
    </w:p>
    <w:p w14:paraId="4E76B9AA" w14:textId="77777777" w:rsidR="009270A4" w:rsidRPr="00380B40" w:rsidRDefault="009270A4" w:rsidP="009033A7">
      <w:pPr>
        <w:tabs>
          <w:tab w:val="left" w:pos="567"/>
          <w:tab w:val="left" w:pos="7148"/>
        </w:tabs>
        <w:spacing w:before="60"/>
        <w:jc w:val="center"/>
        <w:rPr>
          <w:sz w:val="24"/>
          <w:szCs w:val="24"/>
          <w:lang w:val="en-GB"/>
        </w:rPr>
      </w:pPr>
    </w:p>
    <w:p w14:paraId="3BBD9DE1" w14:textId="77777777" w:rsidR="009270A4" w:rsidRPr="00380B40" w:rsidRDefault="009270A4" w:rsidP="009033A7">
      <w:pPr>
        <w:tabs>
          <w:tab w:val="left" w:pos="567"/>
          <w:tab w:val="left" w:pos="7148"/>
        </w:tabs>
        <w:spacing w:before="60"/>
        <w:jc w:val="center"/>
        <w:rPr>
          <w:sz w:val="24"/>
          <w:szCs w:val="24"/>
          <w:lang w:val="en-GB"/>
        </w:rPr>
      </w:pPr>
    </w:p>
    <w:p w14:paraId="745E8286" w14:textId="77777777" w:rsidR="009270A4" w:rsidRPr="00380B40" w:rsidRDefault="009270A4" w:rsidP="009033A7">
      <w:pPr>
        <w:tabs>
          <w:tab w:val="left" w:pos="567"/>
          <w:tab w:val="left" w:pos="7148"/>
        </w:tabs>
        <w:spacing w:before="60"/>
        <w:jc w:val="center"/>
        <w:rPr>
          <w:sz w:val="24"/>
          <w:szCs w:val="24"/>
          <w:lang w:val="en-GB"/>
        </w:rPr>
      </w:pPr>
    </w:p>
    <w:p w14:paraId="68C23AF3" w14:textId="77777777" w:rsidR="009033A7" w:rsidRPr="00380B40" w:rsidRDefault="009033A7">
      <w:pPr>
        <w:rPr>
          <w:lang w:val="en-GB"/>
        </w:rPr>
      </w:pPr>
      <w:r w:rsidRPr="00380B40">
        <w:rPr>
          <w:lang w:val="en-GB"/>
        </w:rPr>
        <w:br w:type="page"/>
      </w:r>
    </w:p>
    <w:p w14:paraId="7E5C683F" w14:textId="77777777" w:rsidR="009270A4" w:rsidRPr="00380B40" w:rsidRDefault="009270A4" w:rsidP="00202A50">
      <w:pPr>
        <w:pStyle w:val="Sectiontitlecolor"/>
      </w:pPr>
      <w:bookmarkStart w:id="2553" w:name="_Toc104472196"/>
      <w:bookmarkStart w:id="2554" w:name="_Toc104530927"/>
      <w:bookmarkStart w:id="2555" w:name="_Toc111637264"/>
      <w:bookmarkStart w:id="2556" w:name="_Toc111638560"/>
      <w:r w:rsidRPr="00380B40">
        <w:t>Section V-2 – Committee reports to the Plenary</w:t>
      </w:r>
      <w:bookmarkEnd w:id="2553"/>
      <w:bookmarkEnd w:id="2554"/>
      <w:bookmarkEnd w:id="2555"/>
      <w:bookmarkEnd w:id="2556"/>
    </w:p>
    <w:p w14:paraId="3A182F46" w14:textId="77777777" w:rsidR="009033A7" w:rsidRPr="00380B40" w:rsidRDefault="009033A7" w:rsidP="00202A50">
      <w:pPr>
        <w:pStyle w:val="Sectiontitle"/>
      </w:pPr>
      <w:bookmarkStart w:id="2557" w:name="_Toc104472197"/>
      <w:bookmarkStart w:id="2558" w:name="_Toc111637265"/>
      <w:r w:rsidRPr="00380B40">
        <w:t>V-2.1 – Committee 2: Budget control</w:t>
      </w:r>
      <w:bookmarkEnd w:id="2557"/>
      <w:bookmarkEnd w:id="2558"/>
    </w:p>
    <w:p w14:paraId="4CDA69F8" w14:textId="77777777" w:rsidR="009033A7" w:rsidRPr="00380B40" w:rsidRDefault="009033A7" w:rsidP="00C736C4">
      <w:pPr>
        <w:pStyle w:val="Normalcenteraligned"/>
      </w:pPr>
      <w:r w:rsidRPr="00380B40">
        <w:rPr>
          <w:b/>
          <w:bCs/>
        </w:rPr>
        <w:t>Chairman</w:t>
      </w:r>
      <w:r w:rsidRPr="00380B40">
        <w:t>: Mr Bakhtiyar MAMMADOV (RCC, Republic of Azerbaijan)</w:t>
      </w:r>
    </w:p>
    <w:p w14:paraId="72202B41" w14:textId="77777777" w:rsidR="009033A7" w:rsidRPr="00380B40" w:rsidRDefault="009033A7" w:rsidP="009033A7">
      <w:pPr>
        <w:pStyle w:val="Heading1"/>
        <w:rPr>
          <w:rFonts w:asciiTheme="majorBidi" w:hAnsiTheme="majorBidi" w:cstheme="majorBidi"/>
          <w:szCs w:val="28"/>
          <w:lang w:val="en-GB"/>
        </w:rPr>
      </w:pPr>
      <w:bookmarkStart w:id="2559" w:name="_Toc111637266"/>
      <w:r w:rsidRPr="00380B40">
        <w:rPr>
          <w:rFonts w:asciiTheme="majorBidi" w:hAnsiTheme="majorBidi" w:cstheme="majorBidi"/>
          <w:szCs w:val="28"/>
          <w:lang w:val="en-GB"/>
        </w:rPr>
        <w:t>1</w:t>
      </w:r>
      <w:r w:rsidRPr="00380B40">
        <w:rPr>
          <w:rFonts w:asciiTheme="majorBidi" w:hAnsiTheme="majorBidi" w:cstheme="majorBidi"/>
          <w:szCs w:val="28"/>
          <w:lang w:val="en-GB"/>
        </w:rPr>
        <w:tab/>
        <w:t>Budget Control Committee</w:t>
      </w:r>
      <w:bookmarkEnd w:id="2559"/>
    </w:p>
    <w:p w14:paraId="5728467C"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lang w:val="en-GB"/>
        </w:rPr>
        <w:t>The Budget Control Committee held two meetings during the World Telecommunication Standardization Assembly (WTSA</w:t>
      </w:r>
      <w:r w:rsidRPr="00380B40">
        <w:rPr>
          <w:rFonts w:asciiTheme="majorBidi" w:hAnsiTheme="majorBidi" w:cstheme="majorBidi"/>
          <w:szCs w:val="24"/>
          <w:lang w:val="en-GB"/>
        </w:rPr>
        <w:noBreakHyphen/>
        <w:t>20) under the Chairmanship of Mr Bakhtiyar MAMMADOV (RCC, Republic of Azerbaijan), assisted by Vice-Chairmen Ms Seynabou SECK (ATU, Senegal), Mr Fayçal BAYOULI (LAS, Tunisia), Mr Yoshiaki NAGAYA (APT, Japan) and Mr Santiago REYES-BORDA (CITEL, Canada), and considered the issues arising from its terms of reference.</w:t>
      </w:r>
      <w:r w:rsidR="00732DB3" w:rsidRPr="00380B40">
        <w:rPr>
          <w:rFonts w:asciiTheme="majorBidi" w:hAnsiTheme="majorBidi" w:cstheme="majorBidi"/>
          <w:szCs w:val="24"/>
          <w:lang w:val="en-GB"/>
        </w:rPr>
        <w:t xml:space="preserve"> </w:t>
      </w:r>
      <w:r w:rsidRPr="00380B40">
        <w:rPr>
          <w:rFonts w:asciiTheme="majorBidi" w:hAnsiTheme="majorBidi" w:cstheme="majorBidi"/>
          <w:szCs w:val="24"/>
          <w:lang w:val="en-GB"/>
        </w:rPr>
        <w:t>Mr Bakhtiyar MAMMADOV chaired the first meeting on 2 March 2022, and Mr Santiago REYES-BORDA chaired the second meeting on 8 March 2022.</w:t>
      </w:r>
    </w:p>
    <w:p w14:paraId="3F24F636" w14:textId="77777777" w:rsidR="009033A7" w:rsidRPr="00380B40" w:rsidRDefault="009033A7" w:rsidP="009033A7">
      <w:pPr>
        <w:pStyle w:val="Heading1"/>
        <w:rPr>
          <w:rFonts w:asciiTheme="majorBidi" w:hAnsiTheme="majorBidi" w:cstheme="majorBidi"/>
          <w:szCs w:val="28"/>
          <w:lang w:val="en-GB"/>
        </w:rPr>
      </w:pPr>
      <w:bookmarkStart w:id="2560" w:name="_Toc111637267"/>
      <w:r w:rsidRPr="00380B40">
        <w:rPr>
          <w:rFonts w:asciiTheme="majorBidi" w:hAnsiTheme="majorBidi" w:cstheme="majorBidi"/>
          <w:szCs w:val="28"/>
          <w:lang w:val="en-GB"/>
        </w:rPr>
        <w:t>2</w:t>
      </w:r>
      <w:r w:rsidRPr="00380B40">
        <w:rPr>
          <w:rFonts w:asciiTheme="majorBidi" w:hAnsiTheme="majorBidi" w:cstheme="majorBidi"/>
          <w:szCs w:val="28"/>
          <w:lang w:val="en-GB"/>
        </w:rPr>
        <w:tab/>
        <w:t>Draft time management plan/list of proposals to be examined by WTSA/terms of reference</w:t>
      </w:r>
      <w:bookmarkEnd w:id="2560"/>
    </w:p>
    <w:p w14:paraId="0806566E"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lang w:val="en-GB"/>
        </w:rPr>
        <w:t xml:space="preserve">The draft time management plan, the list of proposals to be examined by the WTSA-20 and the terms of reference relative to Committee 2 were noted (Documents </w:t>
      </w:r>
      <w:hyperlink r:id="rId654" w:history="1">
        <w:r w:rsidRPr="00380B40">
          <w:rPr>
            <w:rStyle w:val="Hyperlink"/>
            <w:rFonts w:asciiTheme="majorBidi" w:hAnsiTheme="majorBidi" w:cstheme="majorBidi"/>
            <w:szCs w:val="24"/>
            <w:lang w:val="en-GB"/>
          </w:rPr>
          <w:t>DT/3</w:t>
        </w:r>
      </w:hyperlink>
      <w:r w:rsidRPr="00380B40">
        <w:rPr>
          <w:rFonts w:asciiTheme="majorBidi" w:hAnsiTheme="majorBidi" w:cstheme="majorBidi"/>
          <w:szCs w:val="24"/>
          <w:lang w:val="en-GB"/>
        </w:rPr>
        <w:t xml:space="preserve">, </w:t>
      </w:r>
      <w:hyperlink r:id="rId655" w:history="1">
        <w:r w:rsidRPr="00380B40">
          <w:rPr>
            <w:rStyle w:val="Hyperlink"/>
            <w:rFonts w:asciiTheme="majorBidi" w:hAnsiTheme="majorBidi" w:cstheme="majorBidi"/>
            <w:szCs w:val="24"/>
            <w:lang w:val="en-GB"/>
          </w:rPr>
          <w:t>DT/1</w:t>
        </w:r>
      </w:hyperlink>
      <w:r w:rsidRPr="00380B40">
        <w:rPr>
          <w:rFonts w:asciiTheme="majorBidi" w:hAnsiTheme="majorBidi" w:cstheme="majorBidi"/>
          <w:szCs w:val="24"/>
          <w:lang w:val="en-GB"/>
        </w:rPr>
        <w:t xml:space="preserve"> and </w:t>
      </w:r>
      <w:hyperlink r:id="rId656" w:history="1">
        <w:r w:rsidRPr="00380B40">
          <w:rPr>
            <w:rStyle w:val="Hyperlink"/>
            <w:rFonts w:asciiTheme="majorBidi" w:hAnsiTheme="majorBidi" w:cstheme="majorBidi"/>
            <w:szCs w:val="24"/>
            <w:lang w:val="en-GB"/>
          </w:rPr>
          <w:t>DT/4</w:t>
        </w:r>
      </w:hyperlink>
      <w:r w:rsidRPr="00380B40">
        <w:rPr>
          <w:rFonts w:asciiTheme="majorBidi" w:hAnsiTheme="majorBidi" w:cstheme="majorBidi"/>
          <w:szCs w:val="24"/>
          <w:lang w:val="en-GB"/>
        </w:rPr>
        <w:t xml:space="preserve">). The agendas of the meetings of Committee 2 are in Documents </w:t>
      </w:r>
      <w:hyperlink r:id="rId657" w:history="1">
        <w:r w:rsidRPr="00380B40">
          <w:rPr>
            <w:rStyle w:val="Hyperlink"/>
            <w:rFonts w:asciiTheme="majorBidi" w:hAnsiTheme="majorBidi" w:cstheme="majorBidi"/>
            <w:szCs w:val="24"/>
            <w:lang w:val="en-GB"/>
          </w:rPr>
          <w:t>ADM/4</w:t>
        </w:r>
      </w:hyperlink>
      <w:r w:rsidRPr="00380B40">
        <w:rPr>
          <w:rFonts w:asciiTheme="majorBidi" w:hAnsiTheme="majorBidi" w:cstheme="majorBidi"/>
          <w:szCs w:val="24"/>
          <w:lang w:val="en-GB"/>
        </w:rPr>
        <w:t xml:space="preserve"> and </w:t>
      </w:r>
      <w:hyperlink r:id="rId658" w:history="1">
        <w:r w:rsidRPr="00380B40">
          <w:rPr>
            <w:rStyle w:val="Hyperlink"/>
            <w:rFonts w:asciiTheme="majorBidi" w:hAnsiTheme="majorBidi" w:cstheme="majorBidi"/>
            <w:szCs w:val="24"/>
            <w:lang w:val="en-GB"/>
          </w:rPr>
          <w:t>ADM/21</w:t>
        </w:r>
      </w:hyperlink>
      <w:r w:rsidRPr="00380B40">
        <w:rPr>
          <w:rFonts w:asciiTheme="majorBidi" w:hAnsiTheme="majorBidi" w:cstheme="majorBidi"/>
          <w:szCs w:val="24"/>
          <w:lang w:val="en-GB"/>
        </w:rPr>
        <w:t>.</w:t>
      </w:r>
    </w:p>
    <w:p w14:paraId="762E6125" w14:textId="77777777" w:rsidR="009033A7" w:rsidRPr="00380B40" w:rsidRDefault="009033A7" w:rsidP="009033A7">
      <w:pPr>
        <w:pStyle w:val="Heading1"/>
        <w:rPr>
          <w:rFonts w:asciiTheme="majorBidi" w:hAnsiTheme="majorBidi" w:cstheme="majorBidi"/>
          <w:szCs w:val="28"/>
          <w:lang w:val="en-GB"/>
        </w:rPr>
      </w:pPr>
      <w:bookmarkStart w:id="2561" w:name="_Toc111637268"/>
      <w:r w:rsidRPr="00380B40">
        <w:rPr>
          <w:rFonts w:asciiTheme="majorBidi" w:hAnsiTheme="majorBidi" w:cstheme="majorBidi"/>
          <w:szCs w:val="28"/>
          <w:lang w:val="en-GB"/>
        </w:rPr>
        <w:t>3</w:t>
      </w:r>
      <w:r w:rsidRPr="00380B40">
        <w:rPr>
          <w:rFonts w:asciiTheme="majorBidi" w:hAnsiTheme="majorBidi" w:cstheme="majorBidi"/>
          <w:szCs w:val="28"/>
          <w:lang w:val="en-GB"/>
        </w:rPr>
        <w:tab/>
        <w:t>Financial responsibilities of conferences</w:t>
      </w:r>
      <w:bookmarkEnd w:id="2561"/>
    </w:p>
    <w:p w14:paraId="6C51C891"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lang w:val="en-GB"/>
        </w:rPr>
        <w:t xml:space="preserve">The attention of Committee 2 was drawn to No. 115 of Article 18 of the Constitution of the International Telecommunication Union and to Nos 488 and 489 of Article 34 of the Convention of the International Telecommunication Union, concerning the financial responsibilities of conferences (Document </w:t>
      </w:r>
      <w:hyperlink r:id="rId659" w:history="1">
        <w:r w:rsidRPr="00380B40">
          <w:rPr>
            <w:rStyle w:val="Hyperlink"/>
            <w:rFonts w:asciiTheme="majorBidi" w:hAnsiTheme="majorBidi" w:cstheme="majorBidi"/>
            <w:szCs w:val="24"/>
            <w:lang w:val="en-GB"/>
          </w:rPr>
          <w:t>33</w:t>
        </w:r>
      </w:hyperlink>
      <w:r w:rsidRPr="00380B40">
        <w:rPr>
          <w:rFonts w:asciiTheme="majorBidi" w:hAnsiTheme="majorBidi" w:cstheme="majorBidi"/>
          <w:szCs w:val="24"/>
          <w:lang w:val="en-GB"/>
        </w:rPr>
        <w:t xml:space="preserve">). </w:t>
      </w:r>
    </w:p>
    <w:p w14:paraId="188853E5"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lang w:val="en-GB"/>
        </w:rPr>
        <w:t>The Chairman of Committee 2 prepared a note (</w:t>
      </w:r>
      <w:hyperlink r:id="rId660" w:history="1">
        <w:r w:rsidRPr="00380B40">
          <w:rPr>
            <w:rStyle w:val="Hyperlink"/>
            <w:rFonts w:asciiTheme="majorBidi" w:hAnsiTheme="majorBidi" w:cstheme="majorBidi"/>
            <w:szCs w:val="24"/>
            <w:lang w:val="en-GB"/>
          </w:rPr>
          <w:t>DT/8</w:t>
        </w:r>
      </w:hyperlink>
      <w:r w:rsidRPr="00380B40">
        <w:rPr>
          <w:rFonts w:asciiTheme="majorBidi" w:hAnsiTheme="majorBidi" w:cstheme="majorBidi"/>
          <w:szCs w:val="24"/>
          <w:lang w:val="en-GB"/>
        </w:rPr>
        <w:t>) for the Chairmen of Committee 3, Committee 4 and Working Groups asking them to provide all indications and information concerning decisions and resolutions that the Assembly would take and which may have financial implications. After the first meeting, Document </w:t>
      </w:r>
      <w:hyperlink r:id="rId661" w:history="1">
        <w:r w:rsidRPr="00380B40">
          <w:rPr>
            <w:rStyle w:val="Hyperlink"/>
            <w:rFonts w:asciiTheme="majorBidi" w:hAnsiTheme="majorBidi" w:cstheme="majorBidi"/>
            <w:szCs w:val="24"/>
            <w:lang w:val="en-GB"/>
          </w:rPr>
          <w:t>DT/8</w:t>
        </w:r>
      </w:hyperlink>
      <w:r w:rsidRPr="00380B40">
        <w:rPr>
          <w:rFonts w:asciiTheme="majorBidi" w:hAnsiTheme="majorBidi" w:cstheme="majorBidi"/>
          <w:szCs w:val="24"/>
          <w:lang w:val="en-GB"/>
        </w:rPr>
        <w:t xml:space="preserve"> was converted into Document </w:t>
      </w:r>
      <w:hyperlink r:id="rId662" w:history="1">
        <w:r w:rsidRPr="00380B40">
          <w:rPr>
            <w:rStyle w:val="Hyperlink"/>
            <w:rFonts w:asciiTheme="majorBidi" w:hAnsiTheme="majorBidi" w:cstheme="majorBidi"/>
            <w:szCs w:val="24"/>
            <w:lang w:val="en-GB"/>
          </w:rPr>
          <w:t>49</w:t>
        </w:r>
      </w:hyperlink>
      <w:r w:rsidRPr="00380B40">
        <w:rPr>
          <w:rFonts w:asciiTheme="majorBidi" w:hAnsiTheme="majorBidi" w:cstheme="majorBidi"/>
          <w:szCs w:val="24"/>
          <w:lang w:val="en-GB"/>
        </w:rPr>
        <w:t>.</w:t>
      </w:r>
    </w:p>
    <w:p w14:paraId="41073D5A"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lang w:val="en-GB"/>
        </w:rPr>
        <w:t xml:space="preserve">During both meetings of Committee 2, delegates stressed the importance of these guidelines. The Assembly has to be very cautious when adopting decisions and resolutions that could have a financial impact as it will be extremely difficult to secure their funding. </w:t>
      </w:r>
    </w:p>
    <w:p w14:paraId="4DC97246" w14:textId="77777777" w:rsidR="00C736C4" w:rsidRPr="00380B40" w:rsidRDefault="00C736C4" w:rsidP="009033A7">
      <w:pPr>
        <w:rPr>
          <w:rFonts w:asciiTheme="majorBidi" w:hAnsiTheme="majorBidi" w:cstheme="majorBidi"/>
          <w:szCs w:val="24"/>
          <w:lang w:val="en-GB"/>
        </w:rPr>
      </w:pPr>
      <w:r w:rsidRPr="00380B40">
        <w:rPr>
          <w:rFonts w:asciiTheme="majorBidi" w:hAnsiTheme="majorBidi" w:cstheme="majorBidi"/>
          <w:szCs w:val="24"/>
          <w:lang w:val="en-GB"/>
        </w:rPr>
        <w:br w:type="page"/>
      </w:r>
    </w:p>
    <w:p w14:paraId="4431B355" w14:textId="77777777" w:rsidR="009033A7" w:rsidRPr="00380B40" w:rsidRDefault="009033A7" w:rsidP="009033A7">
      <w:pPr>
        <w:pStyle w:val="Heading1"/>
        <w:rPr>
          <w:rFonts w:asciiTheme="majorBidi" w:hAnsiTheme="majorBidi" w:cstheme="majorBidi"/>
          <w:szCs w:val="24"/>
          <w:lang w:val="en-GB"/>
        </w:rPr>
      </w:pPr>
      <w:bookmarkStart w:id="2562" w:name="_Toc111637269"/>
      <w:r w:rsidRPr="00380B40">
        <w:rPr>
          <w:rFonts w:asciiTheme="majorBidi" w:hAnsiTheme="majorBidi" w:cstheme="majorBidi"/>
          <w:szCs w:val="28"/>
          <w:lang w:val="en-GB"/>
        </w:rPr>
        <w:t>4</w:t>
      </w:r>
      <w:r w:rsidRPr="00380B40">
        <w:rPr>
          <w:rFonts w:asciiTheme="majorBidi" w:hAnsiTheme="majorBidi" w:cstheme="majorBidi"/>
          <w:szCs w:val="28"/>
          <w:lang w:val="en-GB"/>
        </w:rPr>
        <w:tab/>
        <w:t>Budget of the World Telecommunication Standardization Assembly (WTSA</w:t>
      </w:r>
      <w:r w:rsidRPr="00380B40">
        <w:rPr>
          <w:rFonts w:asciiTheme="majorBidi" w:hAnsiTheme="majorBidi" w:cstheme="majorBidi"/>
          <w:szCs w:val="28"/>
          <w:lang w:val="en-GB"/>
        </w:rPr>
        <w:noBreakHyphen/>
        <w:t>20)</w:t>
      </w:r>
      <w:bookmarkEnd w:id="2562"/>
    </w:p>
    <w:p w14:paraId="41B99DCB"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lang w:val="en-GB"/>
        </w:rPr>
        <w:t>The budget of the World Telecommunication Standardization Assembly (WTSA-20) was initially approved by Council at its 2019 session through Resolution 1396. As the WTSA-20 was postponed to 2022, the allocated budget was carried forward to 2022 and was approved by the Council at its 2021 session by its Resolution</w:t>
      </w:r>
      <w:r w:rsidR="004831FF" w:rsidRPr="00380B40">
        <w:rPr>
          <w:rFonts w:asciiTheme="majorBidi" w:hAnsiTheme="majorBidi" w:cstheme="majorBidi"/>
          <w:szCs w:val="24"/>
          <w:lang w:val="en-GB"/>
        </w:rPr>
        <w:t> </w:t>
      </w:r>
      <w:r w:rsidRPr="00380B40">
        <w:rPr>
          <w:rFonts w:asciiTheme="majorBidi" w:hAnsiTheme="majorBidi" w:cstheme="majorBidi"/>
          <w:szCs w:val="24"/>
          <w:lang w:val="en-GB"/>
        </w:rPr>
        <w:t>1405. The budget of the World Telecommunication Standardization Assembly (WTSA-20) amounts to CHF 2'225'000, of which CHF 699'000 are foreseen for the direct expenses and CHF 1'526'000 are foreseen for documentation.</w:t>
      </w:r>
    </w:p>
    <w:p w14:paraId="08E74D64"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lang w:val="en-GB"/>
        </w:rPr>
        <w:t>The budget of WTSA-20 was approved based on the assumption that the event would be hosted outside Geneva. Some expenses usually covered by the Host Country, are now to be covered by the budget of the Assembly, explaining the overspending of CHF 85k in the direct expenses category.</w:t>
      </w:r>
    </w:p>
    <w:p w14:paraId="2C90A43C"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lang w:val="en-GB"/>
        </w:rPr>
        <w:t xml:space="preserve">The cost of documentation is foreseen to be CHF 230k below the planned costs. </w:t>
      </w:r>
    </w:p>
    <w:p w14:paraId="43F96066"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lang w:val="en-GB"/>
        </w:rPr>
        <w:t>As at 7 march 2022, the total of both expenses and documentation is expected to be CHF 145k below the budget (Document </w:t>
      </w:r>
      <w:hyperlink r:id="rId663" w:history="1">
        <w:r w:rsidRPr="00380B40">
          <w:rPr>
            <w:rStyle w:val="Hyperlink"/>
            <w:rFonts w:asciiTheme="majorBidi" w:hAnsiTheme="majorBidi" w:cstheme="majorBidi"/>
            <w:szCs w:val="24"/>
            <w:lang w:val="en-GB"/>
          </w:rPr>
          <w:t>DT/16</w:t>
        </w:r>
      </w:hyperlink>
      <w:r w:rsidRPr="00380B40">
        <w:rPr>
          <w:rFonts w:asciiTheme="majorBidi" w:hAnsiTheme="majorBidi" w:cstheme="majorBidi"/>
          <w:szCs w:val="24"/>
          <w:lang w:val="en-GB"/>
        </w:rPr>
        <w:t xml:space="preserve"> and Annex A to this report).</w:t>
      </w:r>
    </w:p>
    <w:p w14:paraId="50F3F149" w14:textId="77777777" w:rsidR="009033A7" w:rsidRPr="00380B40" w:rsidRDefault="009033A7" w:rsidP="009033A7">
      <w:pPr>
        <w:pStyle w:val="Heading1"/>
        <w:rPr>
          <w:rFonts w:asciiTheme="majorBidi" w:hAnsiTheme="majorBidi" w:cstheme="majorBidi"/>
          <w:szCs w:val="28"/>
          <w:lang w:val="en-GB"/>
        </w:rPr>
      </w:pPr>
      <w:bookmarkStart w:id="2563" w:name="_Toc111637270"/>
      <w:r w:rsidRPr="00380B40">
        <w:rPr>
          <w:rFonts w:asciiTheme="majorBidi" w:hAnsiTheme="majorBidi" w:cstheme="majorBidi"/>
          <w:szCs w:val="28"/>
          <w:lang w:val="en-GB"/>
        </w:rPr>
        <w:t>5</w:t>
      </w:r>
      <w:r w:rsidRPr="00380B40">
        <w:rPr>
          <w:rFonts w:asciiTheme="majorBidi" w:hAnsiTheme="majorBidi" w:cstheme="majorBidi"/>
          <w:szCs w:val="28"/>
          <w:lang w:val="en-GB"/>
        </w:rPr>
        <w:tab/>
        <w:t>Contributions to the expenses of the World Telecommunication Standardization Assembly (WTSA</w:t>
      </w:r>
      <w:r w:rsidRPr="00380B40">
        <w:rPr>
          <w:rFonts w:asciiTheme="majorBidi" w:hAnsiTheme="majorBidi" w:cstheme="majorBidi"/>
          <w:szCs w:val="28"/>
          <w:lang w:val="en-GB"/>
        </w:rPr>
        <w:noBreakHyphen/>
        <w:t>20)</w:t>
      </w:r>
      <w:bookmarkEnd w:id="2563"/>
    </w:p>
    <w:p w14:paraId="397C5B41"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lang w:val="en-GB"/>
        </w:rPr>
        <w:t xml:space="preserve">The Committee took note that the non-exempted international organizations and Sector Members (other than ITU-T Members) would have to pay CHF 6,473,90 to defray the expenses of the Assembly (Document </w:t>
      </w:r>
      <w:hyperlink r:id="rId664" w:history="1">
        <w:r w:rsidRPr="00380B40">
          <w:rPr>
            <w:rStyle w:val="Hyperlink"/>
            <w:rFonts w:asciiTheme="majorBidi" w:hAnsiTheme="majorBidi" w:cstheme="majorBidi"/>
            <w:szCs w:val="24"/>
            <w:lang w:val="en-GB"/>
          </w:rPr>
          <w:t>32</w:t>
        </w:r>
      </w:hyperlink>
      <w:r w:rsidRPr="00380B40">
        <w:rPr>
          <w:rFonts w:asciiTheme="majorBidi" w:hAnsiTheme="majorBidi" w:cstheme="majorBidi"/>
          <w:szCs w:val="24"/>
          <w:lang w:val="en-GB"/>
        </w:rPr>
        <w:t>).</w:t>
      </w:r>
    </w:p>
    <w:p w14:paraId="72C5AF5E"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lang w:val="en-GB"/>
        </w:rPr>
        <w:t>As at 8 March 2022, three entities will contribute to the expenses of the Assembly (Annex B to this report).</w:t>
      </w:r>
    </w:p>
    <w:p w14:paraId="24E5926D" w14:textId="77777777" w:rsidR="009033A7" w:rsidRPr="00380B40" w:rsidRDefault="009033A7" w:rsidP="009033A7">
      <w:pPr>
        <w:pStyle w:val="Heading1"/>
        <w:rPr>
          <w:rFonts w:asciiTheme="majorBidi" w:hAnsiTheme="majorBidi" w:cstheme="majorBidi"/>
          <w:szCs w:val="28"/>
          <w:lang w:val="en-GB"/>
        </w:rPr>
      </w:pPr>
      <w:bookmarkStart w:id="2564" w:name="_Toc111637271"/>
      <w:r w:rsidRPr="00380B40">
        <w:rPr>
          <w:rFonts w:asciiTheme="majorBidi" w:hAnsiTheme="majorBidi" w:cstheme="majorBidi"/>
          <w:szCs w:val="28"/>
          <w:lang w:val="en-GB"/>
        </w:rPr>
        <w:t>6</w:t>
      </w:r>
      <w:r w:rsidRPr="00380B40">
        <w:rPr>
          <w:rFonts w:asciiTheme="majorBidi" w:hAnsiTheme="majorBidi" w:cstheme="majorBidi"/>
          <w:szCs w:val="28"/>
          <w:lang w:val="en-GB"/>
        </w:rPr>
        <w:tab/>
        <w:t>Report on estimated financial needs up to WTSA-24 and ITU-T expenditure for the years 2016 to 2021</w:t>
      </w:r>
      <w:bookmarkEnd w:id="2564"/>
      <w:r w:rsidRPr="00380B40">
        <w:rPr>
          <w:rFonts w:asciiTheme="majorBidi" w:hAnsiTheme="majorBidi" w:cstheme="majorBidi"/>
          <w:szCs w:val="28"/>
          <w:lang w:val="en-GB"/>
        </w:rPr>
        <w:t xml:space="preserve"> </w:t>
      </w:r>
    </w:p>
    <w:p w14:paraId="162F1B05"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lang w:val="en-GB"/>
        </w:rPr>
        <w:t xml:space="preserve">The report on estimated financial needs up to WTSA-24 and ITU-T expenses for the years 2016 to 2021 (Document </w:t>
      </w:r>
      <w:hyperlink r:id="rId665" w:history="1">
        <w:r w:rsidRPr="00380B40">
          <w:rPr>
            <w:rStyle w:val="Hyperlink"/>
            <w:rFonts w:asciiTheme="majorBidi" w:hAnsiTheme="majorBidi" w:cstheme="majorBidi"/>
            <w:szCs w:val="24"/>
            <w:lang w:val="en-GB"/>
          </w:rPr>
          <w:t>29</w:t>
        </w:r>
      </w:hyperlink>
      <w:r w:rsidRPr="00380B40">
        <w:rPr>
          <w:rFonts w:asciiTheme="majorBidi" w:hAnsiTheme="majorBidi" w:cstheme="majorBidi"/>
          <w:szCs w:val="24"/>
          <w:lang w:val="en-GB"/>
        </w:rPr>
        <w:t xml:space="preserve">) was presented. </w:t>
      </w:r>
    </w:p>
    <w:p w14:paraId="282C43DE"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lang w:val="en-GB"/>
        </w:rPr>
        <w:t>The Secretariat provided additional information regarding e-fellowships, revenue generated by ITU-T (INRs and ITU-T Publications) and Results-Based Management. The detail of the interventions is contained in the draft report of the first meeting of the Budget Control Committee (</w:t>
      </w:r>
      <w:hyperlink r:id="rId666" w:history="1">
        <w:r w:rsidRPr="00380B40">
          <w:rPr>
            <w:rStyle w:val="Hyperlink"/>
            <w:rFonts w:asciiTheme="majorBidi" w:hAnsiTheme="majorBidi" w:cstheme="majorBidi"/>
            <w:szCs w:val="24"/>
            <w:lang w:val="en-GB"/>
          </w:rPr>
          <w:t>DT/15</w:t>
        </w:r>
      </w:hyperlink>
      <w:r w:rsidRPr="00380B40">
        <w:rPr>
          <w:rFonts w:asciiTheme="majorBidi" w:hAnsiTheme="majorBidi" w:cstheme="majorBidi"/>
          <w:szCs w:val="24"/>
          <w:lang w:val="en-GB"/>
        </w:rPr>
        <w:t>).</w:t>
      </w:r>
    </w:p>
    <w:p w14:paraId="45346634" w14:textId="77777777" w:rsidR="009033A7" w:rsidRPr="00380B40" w:rsidRDefault="009033A7" w:rsidP="009033A7">
      <w:pPr>
        <w:pStyle w:val="Heading1"/>
        <w:rPr>
          <w:rFonts w:asciiTheme="majorBidi" w:hAnsiTheme="majorBidi" w:cstheme="majorBidi"/>
          <w:szCs w:val="28"/>
          <w:lang w:val="en-GB"/>
        </w:rPr>
      </w:pPr>
      <w:bookmarkStart w:id="2565" w:name="_Toc111637272"/>
      <w:r w:rsidRPr="00380B40">
        <w:rPr>
          <w:rFonts w:asciiTheme="majorBidi" w:hAnsiTheme="majorBidi" w:cstheme="majorBidi"/>
          <w:szCs w:val="28"/>
          <w:lang w:val="en-GB"/>
        </w:rPr>
        <w:t>7</w:t>
      </w:r>
      <w:r w:rsidRPr="00380B40">
        <w:rPr>
          <w:rFonts w:asciiTheme="majorBidi" w:hAnsiTheme="majorBidi" w:cstheme="majorBidi"/>
          <w:szCs w:val="28"/>
          <w:lang w:val="en-GB"/>
        </w:rPr>
        <w:tab/>
        <w:t>Preliminary draft financial impact of the Decisions and Resolutions of WTSA-20</w:t>
      </w:r>
      <w:bookmarkEnd w:id="2565"/>
    </w:p>
    <w:p w14:paraId="0641A878" w14:textId="77777777" w:rsidR="009033A7" w:rsidRPr="00380B40" w:rsidRDefault="009033A7" w:rsidP="009033A7">
      <w:pPr>
        <w:rPr>
          <w:lang w:val="en-GB"/>
        </w:rPr>
      </w:pPr>
      <w:r w:rsidRPr="00380B40">
        <w:rPr>
          <w:lang w:val="en-GB"/>
        </w:rPr>
        <w:t xml:space="preserve">With reference to Documents </w:t>
      </w:r>
      <w:hyperlink r:id="rId667" w:history="1">
        <w:r w:rsidRPr="00380B40">
          <w:rPr>
            <w:rStyle w:val="Hyperlink"/>
            <w:lang w:val="en-GB"/>
          </w:rPr>
          <w:t>33</w:t>
        </w:r>
      </w:hyperlink>
      <w:r w:rsidRPr="00380B40">
        <w:rPr>
          <w:lang w:val="en-GB"/>
        </w:rPr>
        <w:t xml:space="preserve"> and </w:t>
      </w:r>
      <w:hyperlink r:id="rId668" w:history="1">
        <w:r w:rsidRPr="00380B40">
          <w:rPr>
            <w:rStyle w:val="Hyperlink"/>
            <w:lang w:val="en-GB"/>
          </w:rPr>
          <w:t>49</w:t>
        </w:r>
      </w:hyperlink>
      <w:r w:rsidRPr="00380B40">
        <w:rPr>
          <w:lang w:val="en-GB"/>
        </w:rPr>
        <w:t xml:space="preserve"> on </w:t>
      </w:r>
      <w:r w:rsidR="00F82355" w:rsidRPr="00380B40">
        <w:rPr>
          <w:lang w:val="en-GB"/>
        </w:rPr>
        <w:t>"</w:t>
      </w:r>
      <w:r w:rsidRPr="00380B40">
        <w:rPr>
          <w:lang w:val="en-GB"/>
        </w:rPr>
        <w:t>Financial responsibilities of Conferences</w:t>
      </w:r>
      <w:r w:rsidR="00F82355" w:rsidRPr="00380B40">
        <w:rPr>
          <w:lang w:val="en-GB"/>
        </w:rPr>
        <w:t>"</w:t>
      </w:r>
      <w:r w:rsidRPr="00380B40">
        <w:rPr>
          <w:lang w:val="en-GB"/>
        </w:rPr>
        <w:t xml:space="preserve">, Committee 2 received two notes from Committee 3 (Document </w:t>
      </w:r>
      <w:hyperlink r:id="rId669" w:history="1">
        <w:r w:rsidRPr="00380B40">
          <w:rPr>
            <w:rStyle w:val="Hyperlink"/>
            <w:lang w:val="en-GB"/>
          </w:rPr>
          <w:t>65</w:t>
        </w:r>
      </w:hyperlink>
      <w:r w:rsidRPr="00380B40">
        <w:rPr>
          <w:lang w:val="en-GB"/>
        </w:rPr>
        <w:t xml:space="preserve">) and Committee 4 (Document </w:t>
      </w:r>
      <w:hyperlink r:id="rId670" w:history="1">
        <w:r w:rsidRPr="00380B40">
          <w:rPr>
            <w:rStyle w:val="Hyperlink"/>
            <w:lang w:val="en-GB"/>
          </w:rPr>
          <w:t>73</w:t>
        </w:r>
      </w:hyperlink>
      <w:r w:rsidRPr="00380B40">
        <w:rPr>
          <w:lang w:val="en-GB"/>
        </w:rPr>
        <w:t>) regarding a number of new or revised resolutions that may have a financial impact.</w:t>
      </w:r>
    </w:p>
    <w:p w14:paraId="1FE8B353" w14:textId="77777777" w:rsidR="00C736C4" w:rsidRPr="00380B40" w:rsidRDefault="00C736C4" w:rsidP="009033A7">
      <w:pPr>
        <w:rPr>
          <w:lang w:val="en-GB"/>
        </w:rPr>
      </w:pPr>
      <w:r w:rsidRPr="00380B40">
        <w:rPr>
          <w:lang w:val="en-GB"/>
        </w:rPr>
        <w:br w:type="page"/>
      </w:r>
    </w:p>
    <w:p w14:paraId="3D3445AD" w14:textId="77777777" w:rsidR="009033A7" w:rsidRPr="00380B40" w:rsidRDefault="009033A7" w:rsidP="009033A7">
      <w:pPr>
        <w:rPr>
          <w:lang w:val="en-GB"/>
        </w:rPr>
      </w:pPr>
      <w:r w:rsidRPr="00380B40">
        <w:rPr>
          <w:lang w:val="en-GB"/>
        </w:rPr>
        <w:t xml:space="preserve">From Committee 3 (Document </w:t>
      </w:r>
      <w:hyperlink r:id="rId671" w:history="1">
        <w:r w:rsidRPr="00380B40">
          <w:rPr>
            <w:rStyle w:val="Hyperlink"/>
            <w:lang w:val="en-GB"/>
          </w:rPr>
          <w:t>65</w:t>
        </w:r>
      </w:hyperlink>
      <w:r w:rsidRPr="00380B40">
        <w:rPr>
          <w:lang w:val="en-GB"/>
        </w:rPr>
        <w:t>): modidications made to Resolution 67</w:t>
      </w:r>
    </w:p>
    <w:p w14:paraId="1961E57A" w14:textId="77777777" w:rsidR="009033A7" w:rsidRPr="00380B40" w:rsidRDefault="009033A7" w:rsidP="009033A7">
      <w:pPr>
        <w:rPr>
          <w:rFonts w:asciiTheme="majorBidi" w:hAnsiTheme="majorBidi" w:cstheme="majorBidi"/>
          <w:szCs w:val="24"/>
          <w:lang w:val="en-GB"/>
        </w:rPr>
      </w:pPr>
      <w:r w:rsidRPr="00380B40">
        <w:rPr>
          <w:lang w:val="en-GB"/>
        </w:rPr>
        <w:t xml:space="preserve">From Committee 4 (Document </w:t>
      </w:r>
      <w:hyperlink r:id="rId672" w:history="1">
        <w:r w:rsidRPr="00380B40">
          <w:rPr>
            <w:rStyle w:val="Hyperlink"/>
            <w:lang w:val="en-GB"/>
          </w:rPr>
          <w:t>73</w:t>
        </w:r>
      </w:hyperlink>
      <w:r w:rsidRPr="00380B40">
        <w:rPr>
          <w:lang w:val="en-GB"/>
        </w:rPr>
        <w:t>) modifications made to Resolutions 20, 29, 44, 50, 58, 61, 64, 65, 72, 73, 76, 84, 92, 96, 98 and draft new Resolution [AFCP-1]</w:t>
      </w:r>
    </w:p>
    <w:p w14:paraId="5BAD34D0"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lang w:val="en-GB"/>
        </w:rPr>
        <w:t>After evaluation of the modifications, the Committee 2 concluded that:</w:t>
      </w:r>
    </w:p>
    <w:p w14:paraId="1ECFF1F2" w14:textId="77777777" w:rsidR="009033A7" w:rsidRPr="00380B40" w:rsidRDefault="00732DB3" w:rsidP="00732DB3">
      <w:pPr>
        <w:pStyle w:val="enumlev1"/>
        <w:rPr>
          <w:szCs w:val="24"/>
          <w:lang w:val="en-GB"/>
        </w:rPr>
      </w:pPr>
      <w:r w:rsidRPr="00380B40">
        <w:rPr>
          <w:lang w:val="en-GB"/>
        </w:rPr>
        <w:t>–</w:t>
      </w:r>
      <w:r w:rsidRPr="00380B40">
        <w:rPr>
          <w:lang w:val="en-GB"/>
        </w:rPr>
        <w:tab/>
      </w:r>
      <w:r w:rsidR="009033A7" w:rsidRPr="00380B40">
        <w:rPr>
          <w:lang w:val="en-GB"/>
        </w:rPr>
        <w:t>The modifications made to Resolutions 20 (</w:t>
      </w:r>
      <w:hyperlink r:id="rId673" w:history="1">
        <w:r w:rsidR="009033A7" w:rsidRPr="00380B40">
          <w:rPr>
            <w:rStyle w:val="Hyperlink"/>
            <w:lang w:val="en-GB"/>
          </w:rPr>
          <w:t>Doc 69</w:t>
        </w:r>
      </w:hyperlink>
      <w:r w:rsidR="009033A7" w:rsidRPr="00380B40">
        <w:rPr>
          <w:lang w:val="en-GB"/>
        </w:rPr>
        <w:t>), 29 (</w:t>
      </w:r>
      <w:hyperlink r:id="rId674" w:history="1">
        <w:r w:rsidR="009033A7" w:rsidRPr="00380B40">
          <w:rPr>
            <w:rStyle w:val="Hyperlink"/>
            <w:lang w:val="en-GB"/>
          </w:rPr>
          <w:t>Doc 69</w:t>
        </w:r>
      </w:hyperlink>
      <w:r w:rsidR="009033A7" w:rsidRPr="00380B40">
        <w:rPr>
          <w:lang w:val="en-GB"/>
        </w:rPr>
        <w:t>), 58 (</w:t>
      </w:r>
      <w:hyperlink r:id="rId675" w:history="1">
        <w:r w:rsidR="009033A7" w:rsidRPr="00380B40">
          <w:rPr>
            <w:rStyle w:val="Hyperlink"/>
            <w:lang w:val="en-GB"/>
          </w:rPr>
          <w:t>Doc 69</w:t>
        </w:r>
      </w:hyperlink>
      <w:r w:rsidR="009033A7" w:rsidRPr="00380B40">
        <w:rPr>
          <w:lang w:val="en-GB"/>
        </w:rPr>
        <w:t>), 61 (</w:t>
      </w:r>
      <w:hyperlink r:id="rId676" w:history="1">
        <w:r w:rsidR="009033A7" w:rsidRPr="00380B40">
          <w:rPr>
            <w:rStyle w:val="Hyperlink"/>
            <w:lang w:val="en-GB"/>
          </w:rPr>
          <w:t>Doc 69</w:t>
        </w:r>
      </w:hyperlink>
      <w:r w:rsidR="009033A7" w:rsidRPr="00380B40">
        <w:rPr>
          <w:lang w:val="en-GB"/>
        </w:rPr>
        <w:t>), 64 (</w:t>
      </w:r>
      <w:hyperlink r:id="rId677" w:history="1">
        <w:r w:rsidR="009033A7" w:rsidRPr="00380B40">
          <w:rPr>
            <w:rStyle w:val="Hyperlink"/>
            <w:lang w:val="en-GB"/>
          </w:rPr>
          <w:t>Doc 68</w:t>
        </w:r>
      </w:hyperlink>
      <w:r w:rsidR="009033A7" w:rsidRPr="00380B40">
        <w:rPr>
          <w:lang w:val="en-GB"/>
        </w:rPr>
        <w:t>), 65 (</w:t>
      </w:r>
      <w:hyperlink r:id="rId678" w:history="1">
        <w:r w:rsidR="009033A7" w:rsidRPr="00380B40">
          <w:rPr>
            <w:rStyle w:val="Hyperlink"/>
            <w:lang w:val="en-GB"/>
          </w:rPr>
          <w:t>Doc 69</w:t>
        </w:r>
      </w:hyperlink>
      <w:r w:rsidR="009033A7" w:rsidRPr="00380B40">
        <w:rPr>
          <w:lang w:val="en-GB"/>
        </w:rPr>
        <w:t>), 73 (</w:t>
      </w:r>
      <w:hyperlink r:id="rId679" w:history="1">
        <w:r w:rsidR="009033A7" w:rsidRPr="00380B40">
          <w:rPr>
            <w:rStyle w:val="Hyperlink"/>
            <w:lang w:val="en-GB"/>
          </w:rPr>
          <w:t>Doc 69</w:t>
        </w:r>
      </w:hyperlink>
      <w:r w:rsidR="009033A7" w:rsidRPr="00380B40">
        <w:rPr>
          <w:lang w:val="en-GB"/>
        </w:rPr>
        <w:t>), 76 (</w:t>
      </w:r>
      <w:hyperlink r:id="rId680" w:history="1">
        <w:r w:rsidR="009033A7" w:rsidRPr="00380B40">
          <w:rPr>
            <w:rStyle w:val="Hyperlink"/>
            <w:lang w:val="en-GB"/>
          </w:rPr>
          <w:t>Doc 69</w:t>
        </w:r>
      </w:hyperlink>
      <w:r w:rsidR="009033A7" w:rsidRPr="00380B40">
        <w:rPr>
          <w:lang w:val="en-GB"/>
        </w:rPr>
        <w:t>), 84 (</w:t>
      </w:r>
      <w:hyperlink r:id="rId681" w:history="1">
        <w:r w:rsidR="009033A7" w:rsidRPr="00380B40">
          <w:rPr>
            <w:rStyle w:val="Hyperlink"/>
            <w:lang w:val="en-GB"/>
          </w:rPr>
          <w:t>Doc 69</w:t>
        </w:r>
      </w:hyperlink>
      <w:r w:rsidR="009033A7" w:rsidRPr="00380B40">
        <w:rPr>
          <w:lang w:val="en-GB"/>
        </w:rPr>
        <w:t>), 96 (</w:t>
      </w:r>
      <w:hyperlink r:id="rId682" w:history="1">
        <w:r w:rsidR="009033A7" w:rsidRPr="00380B40">
          <w:rPr>
            <w:rStyle w:val="Hyperlink"/>
            <w:lang w:val="en-GB"/>
          </w:rPr>
          <w:t>DT82</w:t>
        </w:r>
      </w:hyperlink>
      <w:r w:rsidR="009033A7" w:rsidRPr="00380B40">
        <w:rPr>
          <w:lang w:val="en-GB"/>
        </w:rPr>
        <w:t>) and the draft new Resolution</w:t>
      </w:r>
      <w:r w:rsidR="004831FF" w:rsidRPr="00380B40">
        <w:rPr>
          <w:lang w:val="en-GB"/>
        </w:rPr>
        <w:t> </w:t>
      </w:r>
      <w:r w:rsidR="009033A7" w:rsidRPr="00380B40">
        <w:rPr>
          <w:lang w:val="en-GB"/>
        </w:rPr>
        <w:t>[AFCP-1] (</w:t>
      </w:r>
      <w:hyperlink r:id="rId683" w:history="1">
        <w:r w:rsidR="009033A7" w:rsidRPr="00380B40">
          <w:rPr>
            <w:rStyle w:val="Hyperlink"/>
            <w:lang w:val="en-GB"/>
          </w:rPr>
          <w:t>DT39</w:t>
        </w:r>
      </w:hyperlink>
      <w:r w:rsidR="009033A7" w:rsidRPr="00380B40">
        <w:rPr>
          <w:lang w:val="en-GB"/>
        </w:rPr>
        <w:t>) will have no financial impact.</w:t>
      </w:r>
    </w:p>
    <w:p w14:paraId="2A819759" w14:textId="77777777" w:rsidR="009033A7" w:rsidRPr="00380B40" w:rsidRDefault="00732DB3" w:rsidP="00732DB3">
      <w:pPr>
        <w:pStyle w:val="enumlev1"/>
        <w:rPr>
          <w:lang w:val="en-GB"/>
        </w:rPr>
      </w:pPr>
      <w:r w:rsidRPr="00380B40">
        <w:rPr>
          <w:lang w:val="en-GB"/>
        </w:rPr>
        <w:t>–</w:t>
      </w:r>
      <w:r w:rsidRPr="00380B40">
        <w:rPr>
          <w:lang w:val="en-GB"/>
        </w:rPr>
        <w:tab/>
      </w:r>
      <w:r w:rsidR="009033A7" w:rsidRPr="00380B40">
        <w:rPr>
          <w:lang w:val="en-GB"/>
        </w:rPr>
        <w:t xml:space="preserve">The modifications made to Resolutions 44 </w:t>
      </w:r>
      <w:bookmarkStart w:id="2566" w:name="_Hlk97576140"/>
      <w:r w:rsidR="009033A7" w:rsidRPr="00380B40">
        <w:rPr>
          <w:lang w:val="en-GB"/>
        </w:rPr>
        <w:t>(</w:t>
      </w:r>
      <w:hyperlink r:id="rId684" w:history="1">
        <w:r w:rsidR="009033A7" w:rsidRPr="00380B40">
          <w:rPr>
            <w:rStyle w:val="Hyperlink"/>
            <w:lang w:val="en-GB"/>
          </w:rPr>
          <w:t>DT66</w:t>
        </w:r>
      </w:hyperlink>
      <w:r w:rsidR="009033A7" w:rsidRPr="00380B40">
        <w:rPr>
          <w:lang w:val="en-GB"/>
        </w:rPr>
        <w:t xml:space="preserve">), </w:t>
      </w:r>
      <w:bookmarkEnd w:id="2566"/>
      <w:r w:rsidR="009033A7" w:rsidRPr="00380B40">
        <w:rPr>
          <w:lang w:val="en-GB"/>
        </w:rPr>
        <w:t>72 (</w:t>
      </w:r>
      <w:hyperlink r:id="rId685" w:history="1">
        <w:r w:rsidR="009033A7" w:rsidRPr="00380B40">
          <w:rPr>
            <w:rStyle w:val="Hyperlink"/>
            <w:lang w:val="en-GB"/>
          </w:rPr>
          <w:t>Doc 69</w:t>
        </w:r>
      </w:hyperlink>
      <w:r w:rsidR="009033A7" w:rsidRPr="00380B40">
        <w:rPr>
          <w:lang w:val="en-GB"/>
        </w:rPr>
        <w:t>) and 92 (</w:t>
      </w:r>
      <w:hyperlink r:id="rId686" w:history="1">
        <w:r w:rsidR="009033A7" w:rsidRPr="00380B40">
          <w:rPr>
            <w:rStyle w:val="Hyperlink"/>
            <w:lang w:val="en-GB"/>
          </w:rPr>
          <w:t>DT85</w:t>
        </w:r>
      </w:hyperlink>
      <w:r w:rsidR="009033A7" w:rsidRPr="00380B40">
        <w:rPr>
          <w:lang w:val="en-GB"/>
        </w:rPr>
        <w:t>) will have no overall financial impact as they are to be implemented within the existing resources.</w:t>
      </w:r>
    </w:p>
    <w:p w14:paraId="48980148" w14:textId="77777777" w:rsidR="009033A7" w:rsidRPr="00380B40" w:rsidRDefault="00732DB3" w:rsidP="00732DB3">
      <w:pPr>
        <w:pStyle w:val="enumlev1"/>
        <w:rPr>
          <w:rFonts w:asciiTheme="majorBidi" w:hAnsiTheme="majorBidi" w:cstheme="majorBidi"/>
          <w:szCs w:val="24"/>
          <w:lang w:val="en-GB"/>
        </w:rPr>
      </w:pPr>
      <w:r w:rsidRPr="00380B40">
        <w:rPr>
          <w:rFonts w:asciiTheme="majorBidi" w:hAnsiTheme="majorBidi" w:cstheme="majorBidi"/>
          <w:szCs w:val="24"/>
          <w:lang w:val="en-GB"/>
        </w:rPr>
        <w:t>–</w:t>
      </w:r>
      <w:r w:rsidRPr="00380B40">
        <w:rPr>
          <w:rFonts w:asciiTheme="majorBidi" w:hAnsiTheme="majorBidi" w:cstheme="majorBidi"/>
          <w:szCs w:val="24"/>
          <w:lang w:val="en-GB"/>
        </w:rPr>
        <w:tab/>
      </w:r>
      <w:r w:rsidR="009033A7" w:rsidRPr="00380B40">
        <w:rPr>
          <w:rFonts w:asciiTheme="majorBidi" w:hAnsiTheme="majorBidi" w:cstheme="majorBidi"/>
          <w:szCs w:val="24"/>
          <w:lang w:val="en-GB"/>
        </w:rPr>
        <w:t xml:space="preserve">The </w:t>
      </w:r>
      <w:r w:rsidR="009033A7" w:rsidRPr="00380B40">
        <w:rPr>
          <w:lang w:val="en-GB"/>
        </w:rPr>
        <w:t>modifications</w:t>
      </w:r>
      <w:r w:rsidR="009033A7" w:rsidRPr="00380B40">
        <w:rPr>
          <w:rFonts w:asciiTheme="majorBidi" w:hAnsiTheme="majorBidi" w:cstheme="majorBidi"/>
          <w:szCs w:val="24"/>
          <w:lang w:val="en-GB"/>
        </w:rPr>
        <w:t xml:space="preserve"> to Resolutions 44, 50, 67 and 98 will have, to varying extents, financial impacts.</w:t>
      </w:r>
    </w:p>
    <w:p w14:paraId="0A75F9BB"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u w:val="single"/>
          <w:lang w:val="en-GB"/>
        </w:rPr>
        <w:t>Resolution 44</w:t>
      </w:r>
      <w:r w:rsidRPr="00380B40">
        <w:rPr>
          <w:rFonts w:asciiTheme="majorBidi" w:hAnsiTheme="majorBidi" w:cstheme="majorBidi"/>
          <w:szCs w:val="24"/>
          <w:lang w:val="en-GB"/>
        </w:rPr>
        <w:t>: the implementation of an exemption from payment of the membership fees for a limited time up to one full study period for new Academia members from developing countries, would have a very limited impact on the revenue side of the Union.</w:t>
      </w:r>
    </w:p>
    <w:p w14:paraId="6AFA34DA"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u w:val="single"/>
          <w:lang w:val="en-GB"/>
        </w:rPr>
        <w:t>Resolution 50</w:t>
      </w:r>
      <w:r w:rsidRPr="00380B40">
        <w:rPr>
          <w:rFonts w:asciiTheme="majorBidi" w:hAnsiTheme="majorBidi" w:cstheme="majorBidi"/>
          <w:szCs w:val="24"/>
          <w:lang w:val="en-GB"/>
        </w:rPr>
        <w:t xml:space="preserve">: the new </w:t>
      </w:r>
      <w:r w:rsidRPr="00380B40">
        <w:rPr>
          <w:rFonts w:asciiTheme="majorBidi" w:hAnsiTheme="majorBidi" w:cstheme="majorBidi"/>
          <w:i/>
          <w:iCs/>
          <w:szCs w:val="24"/>
          <w:lang w:val="en-GB"/>
        </w:rPr>
        <w:t>instructs the Director of the TSB</w:t>
      </w:r>
      <w:r w:rsidRPr="00380B40">
        <w:rPr>
          <w:rFonts w:asciiTheme="majorBidi" w:hAnsiTheme="majorBidi" w:cstheme="majorBidi"/>
          <w:szCs w:val="24"/>
          <w:lang w:val="en-GB"/>
        </w:rPr>
        <w:t xml:space="preserve"> to dessiminate information to all stakeholders related to Cybersecurity through the organization of training programmes, forums, workshops, seminars, etc. will have a financial impact. The cost could vary significantly depending of many factors (number of events per year, places of the events, etc.). The cost for organizing one physical event can be estimated between CHF 20k to CHF</w:t>
      </w:r>
      <w:r w:rsidR="00B55470" w:rsidRPr="00380B40">
        <w:rPr>
          <w:rFonts w:asciiTheme="majorBidi" w:hAnsiTheme="majorBidi" w:cstheme="majorBidi"/>
          <w:szCs w:val="24"/>
          <w:lang w:val="en-GB"/>
        </w:rPr>
        <w:t> </w:t>
      </w:r>
      <w:r w:rsidRPr="00380B40">
        <w:rPr>
          <w:rFonts w:asciiTheme="majorBidi" w:hAnsiTheme="majorBidi" w:cstheme="majorBidi"/>
          <w:szCs w:val="24"/>
          <w:lang w:val="en-GB"/>
        </w:rPr>
        <w:t>50k.</w:t>
      </w:r>
    </w:p>
    <w:p w14:paraId="1BCA78B2"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u w:val="single"/>
          <w:lang w:val="en-GB"/>
        </w:rPr>
        <w:t>Resolution 98</w:t>
      </w:r>
      <w:r w:rsidRPr="00380B40">
        <w:rPr>
          <w:rFonts w:asciiTheme="majorBidi" w:hAnsiTheme="majorBidi" w:cstheme="majorBidi"/>
          <w:szCs w:val="24"/>
          <w:lang w:val="en-GB"/>
        </w:rPr>
        <w:t xml:space="preserve">: the new </w:t>
      </w:r>
      <w:r w:rsidRPr="00380B40">
        <w:rPr>
          <w:rFonts w:asciiTheme="majorBidi" w:hAnsiTheme="majorBidi" w:cstheme="majorBidi"/>
          <w:i/>
          <w:iCs/>
          <w:szCs w:val="24"/>
          <w:lang w:val="en-GB"/>
        </w:rPr>
        <w:t>instructs the Director of the TSB in collaboration with the Directors of BDT and BR</w:t>
      </w:r>
      <w:r w:rsidRPr="00380B40">
        <w:rPr>
          <w:rFonts w:asciiTheme="majorBidi" w:hAnsiTheme="majorBidi" w:cstheme="majorBidi"/>
          <w:szCs w:val="24"/>
          <w:lang w:val="en-GB"/>
        </w:rPr>
        <w:t xml:space="preserve"> to support Member States especially those of developing countries in the organization of forums, seminars and workshops on IoT and SC&amp;C will have a financial impact. The cost could vary significantly depending of many factors (number of events per year, places of the events, etc.). The cost for organizing one physical event on IoT and SC&amp;C can be estimated between CHF 20k to CHF 50k.</w:t>
      </w:r>
    </w:p>
    <w:p w14:paraId="418514EA"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u w:val="single"/>
          <w:lang w:val="en-GB"/>
        </w:rPr>
        <w:t>Resolution 67</w:t>
      </w:r>
      <w:r w:rsidRPr="00380B40">
        <w:rPr>
          <w:rFonts w:asciiTheme="majorBidi" w:hAnsiTheme="majorBidi" w:cstheme="majorBidi"/>
          <w:szCs w:val="24"/>
          <w:lang w:val="en-GB"/>
        </w:rPr>
        <w:t xml:space="preserve">: as per the modifications introduced under </w:t>
      </w:r>
      <w:r w:rsidRPr="00380B40">
        <w:rPr>
          <w:rFonts w:asciiTheme="majorBidi" w:hAnsiTheme="majorBidi" w:cstheme="majorBidi"/>
          <w:i/>
          <w:iCs/>
          <w:szCs w:val="24"/>
          <w:lang w:val="en-GB"/>
        </w:rPr>
        <w:t xml:space="preserve">instructs the Director of the TSB </w:t>
      </w:r>
      <w:r w:rsidRPr="00380B40">
        <w:rPr>
          <w:rFonts w:asciiTheme="majorBidi" w:hAnsiTheme="majorBidi" w:cstheme="majorBidi"/>
          <w:szCs w:val="24"/>
          <w:lang w:val="en-GB"/>
        </w:rPr>
        <w:t>more documents would be translated in all the official languages of the Union. This additional workload on translation/typing is estimated to be 1'348 pages per year, corresponding to CHF 1,404 million.</w:t>
      </w:r>
    </w:p>
    <w:p w14:paraId="29801D17"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lang w:val="en-GB"/>
        </w:rPr>
        <w:t xml:space="preserve">Responding to the question of one delegate, the Secretariat confirmed that the additional financial needs identified above are not included in the current budget 2022-2023, nor in the draft Financial Plan 2024-2027. This report of Committee 2 will be presented to the Council at its 2022 session. Depending of its outcomes, the additional financial needs may be added to the list of Unfunded Mandatory Activities (UMACs – Table 3 of Council document </w:t>
      </w:r>
      <w:hyperlink r:id="rId687" w:history="1">
        <w:r w:rsidRPr="00380B40">
          <w:rPr>
            <w:rStyle w:val="Hyperlink"/>
            <w:rFonts w:asciiTheme="majorBidi" w:hAnsiTheme="majorBidi" w:cstheme="majorBidi"/>
            <w:szCs w:val="24"/>
            <w:lang w:val="en-GB"/>
          </w:rPr>
          <w:t>C22/63</w:t>
        </w:r>
      </w:hyperlink>
      <w:r w:rsidRPr="00380B40">
        <w:rPr>
          <w:rFonts w:asciiTheme="majorBidi" w:hAnsiTheme="majorBidi" w:cstheme="majorBidi"/>
          <w:szCs w:val="24"/>
          <w:lang w:val="en-GB"/>
        </w:rPr>
        <w:t>) which already amounts to CHF 31,68 million (CHF 4'067 million for ITU-T only).</w:t>
      </w:r>
    </w:p>
    <w:p w14:paraId="32E8CB28" w14:textId="77777777" w:rsidR="00C736C4" w:rsidRPr="00380B40" w:rsidRDefault="00C736C4" w:rsidP="009033A7">
      <w:pPr>
        <w:rPr>
          <w:rFonts w:asciiTheme="majorBidi" w:hAnsiTheme="majorBidi" w:cstheme="majorBidi"/>
          <w:szCs w:val="24"/>
          <w:lang w:val="en-GB"/>
        </w:rPr>
      </w:pPr>
      <w:r w:rsidRPr="00380B40">
        <w:rPr>
          <w:rFonts w:asciiTheme="majorBidi" w:hAnsiTheme="majorBidi" w:cstheme="majorBidi"/>
          <w:szCs w:val="24"/>
          <w:lang w:val="en-GB"/>
        </w:rPr>
        <w:br w:type="page"/>
      </w:r>
    </w:p>
    <w:p w14:paraId="27C6822B"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lang w:val="en-GB"/>
        </w:rPr>
        <w:t>Noting the financial impact of the modifications that WTSA-20 may approve, another delegate noted that these new requests were regrettable considering the current difficulty to balance the Financial Plan. He stressed the importance of coordination among Sectors to avoid duplication in the organization of events and suggested to use machine translation services to save costs.</w:t>
      </w:r>
    </w:p>
    <w:p w14:paraId="057C6DC9" w14:textId="77777777" w:rsidR="009033A7" w:rsidRPr="00380B40" w:rsidRDefault="009033A7" w:rsidP="009033A7">
      <w:pPr>
        <w:rPr>
          <w:rFonts w:asciiTheme="majorBidi" w:hAnsiTheme="majorBidi" w:cstheme="majorBidi"/>
          <w:szCs w:val="24"/>
          <w:lang w:val="en-GB"/>
        </w:rPr>
      </w:pPr>
      <w:r w:rsidRPr="00380B40">
        <w:rPr>
          <w:rFonts w:asciiTheme="majorBidi" w:hAnsiTheme="majorBidi" w:cstheme="majorBidi"/>
          <w:szCs w:val="24"/>
          <w:lang w:val="en-GB"/>
        </w:rPr>
        <w:t>The cost assessment of these financial impacts is presented in Annex C to this report.</w:t>
      </w:r>
    </w:p>
    <w:p w14:paraId="118C7A69" w14:textId="77777777" w:rsidR="009033A7" w:rsidRPr="00380B40" w:rsidRDefault="009033A7" w:rsidP="009033A7">
      <w:pPr>
        <w:keepNext/>
        <w:keepLines/>
        <w:rPr>
          <w:rFonts w:asciiTheme="majorBidi" w:hAnsiTheme="majorBidi" w:cstheme="majorBidi"/>
          <w:szCs w:val="24"/>
          <w:lang w:val="en-GB"/>
        </w:rPr>
      </w:pPr>
      <w:r w:rsidRPr="00380B40">
        <w:rPr>
          <w:rFonts w:asciiTheme="majorBidi" w:hAnsiTheme="majorBidi" w:cstheme="majorBidi"/>
          <w:szCs w:val="24"/>
          <w:lang w:val="en-GB"/>
        </w:rPr>
        <w:t>The Plenary meeting is requested to consider and approve this Report, which will then be forwarded by the Secretary-General, together with the Comments of the Plenary meeting, for submission to the 2022 session of Council.</w:t>
      </w:r>
    </w:p>
    <w:p w14:paraId="5540BF12" w14:textId="77777777" w:rsidR="009033A7" w:rsidRPr="00380B40" w:rsidRDefault="009033A7" w:rsidP="009033A7">
      <w:pPr>
        <w:keepNext/>
        <w:keepLines/>
        <w:tabs>
          <w:tab w:val="center" w:pos="7088"/>
        </w:tabs>
        <w:rPr>
          <w:rFonts w:asciiTheme="majorBidi" w:hAnsiTheme="majorBidi" w:cstheme="majorBidi"/>
          <w:szCs w:val="24"/>
          <w:lang w:val="en-GB"/>
        </w:rPr>
      </w:pPr>
    </w:p>
    <w:p w14:paraId="2FEF06D5" w14:textId="77777777" w:rsidR="009033A7" w:rsidRPr="00380B40" w:rsidRDefault="009033A7" w:rsidP="009033A7">
      <w:pPr>
        <w:tabs>
          <w:tab w:val="center" w:pos="7088"/>
        </w:tabs>
        <w:rPr>
          <w:rFonts w:asciiTheme="majorBidi" w:hAnsiTheme="majorBidi" w:cstheme="majorBidi"/>
          <w:szCs w:val="24"/>
          <w:lang w:val="en-GB"/>
        </w:rPr>
      </w:pPr>
      <w:r w:rsidRPr="00380B40">
        <w:rPr>
          <w:rFonts w:asciiTheme="majorBidi" w:hAnsiTheme="majorBidi" w:cstheme="majorBidi"/>
          <w:szCs w:val="24"/>
          <w:lang w:val="en-GB"/>
        </w:rPr>
        <w:t>Annexes: 3</w:t>
      </w:r>
    </w:p>
    <w:p w14:paraId="7FE5E56D" w14:textId="77777777" w:rsidR="00732DB3" w:rsidRPr="00380B40" w:rsidRDefault="00732DB3" w:rsidP="00C736C4">
      <w:pPr>
        <w:rPr>
          <w:lang w:val="en-GB"/>
        </w:rPr>
      </w:pPr>
    </w:p>
    <w:p w14:paraId="319F94D0" w14:textId="77777777" w:rsidR="00C736C4" w:rsidRPr="00380B40" w:rsidRDefault="00C736C4" w:rsidP="00C736C4">
      <w:pPr>
        <w:rPr>
          <w:lang w:val="en-GB"/>
        </w:rPr>
      </w:pPr>
    </w:p>
    <w:p w14:paraId="521CC01C" w14:textId="77777777" w:rsidR="00C736C4" w:rsidRPr="00380B40" w:rsidRDefault="00C736C4" w:rsidP="00C736C4">
      <w:pPr>
        <w:rPr>
          <w:lang w:val="en-GB"/>
        </w:rPr>
      </w:pPr>
    </w:p>
    <w:p w14:paraId="3402D621" w14:textId="77777777" w:rsidR="00C736C4" w:rsidRPr="00380B40" w:rsidRDefault="00C736C4" w:rsidP="00C736C4">
      <w:pPr>
        <w:rPr>
          <w:lang w:val="en-GB"/>
        </w:rPr>
      </w:pPr>
    </w:p>
    <w:p w14:paraId="6BDD6F4D" w14:textId="77777777" w:rsidR="00C736C4" w:rsidRPr="00380B40" w:rsidRDefault="00C736C4" w:rsidP="00C736C4">
      <w:pPr>
        <w:rPr>
          <w:lang w:val="en-GB"/>
        </w:rPr>
      </w:pPr>
    </w:p>
    <w:p w14:paraId="2903C978" w14:textId="77777777" w:rsidR="00C736C4" w:rsidRPr="00380B40" w:rsidRDefault="00C736C4" w:rsidP="00C736C4">
      <w:pPr>
        <w:rPr>
          <w:lang w:val="en-GB"/>
        </w:rPr>
      </w:pPr>
    </w:p>
    <w:p w14:paraId="1154DB09" w14:textId="77777777" w:rsidR="00C736C4" w:rsidRPr="00380B40" w:rsidRDefault="00C736C4" w:rsidP="00C736C4">
      <w:pPr>
        <w:rPr>
          <w:lang w:val="en-GB"/>
        </w:rPr>
      </w:pPr>
    </w:p>
    <w:p w14:paraId="7F63A4F5" w14:textId="77777777" w:rsidR="00C736C4" w:rsidRPr="00380B40" w:rsidRDefault="00C736C4" w:rsidP="00C736C4">
      <w:pPr>
        <w:rPr>
          <w:lang w:val="en-GB"/>
        </w:rPr>
      </w:pPr>
    </w:p>
    <w:p w14:paraId="2CBC5027" w14:textId="77777777" w:rsidR="00C736C4" w:rsidRPr="00380B40" w:rsidRDefault="00C736C4" w:rsidP="00C736C4">
      <w:pPr>
        <w:rPr>
          <w:lang w:val="en-GB"/>
        </w:rPr>
      </w:pPr>
    </w:p>
    <w:p w14:paraId="4F5BB977" w14:textId="77777777" w:rsidR="00C736C4" w:rsidRPr="00380B40" w:rsidRDefault="00C736C4" w:rsidP="00C736C4">
      <w:pPr>
        <w:rPr>
          <w:lang w:val="en-GB"/>
        </w:rPr>
      </w:pPr>
    </w:p>
    <w:p w14:paraId="0CE6E725" w14:textId="77777777" w:rsidR="00C736C4" w:rsidRPr="00380B40" w:rsidRDefault="00C736C4" w:rsidP="00C736C4">
      <w:pPr>
        <w:rPr>
          <w:lang w:val="en-GB"/>
        </w:rPr>
      </w:pPr>
    </w:p>
    <w:p w14:paraId="113E32E9" w14:textId="77777777" w:rsidR="00732DB3" w:rsidRPr="00380B40" w:rsidRDefault="00732DB3" w:rsidP="00C736C4">
      <w:pPr>
        <w:rPr>
          <w:lang w:val="en-GB"/>
        </w:rPr>
      </w:pPr>
    </w:p>
    <w:p w14:paraId="1A33DE87" w14:textId="77777777" w:rsidR="00732DB3" w:rsidRPr="00380B40" w:rsidRDefault="00732DB3" w:rsidP="00C736C4">
      <w:pPr>
        <w:rPr>
          <w:lang w:val="en-GB"/>
        </w:rPr>
      </w:pPr>
    </w:p>
    <w:p w14:paraId="52EC9844" w14:textId="77777777" w:rsidR="00732DB3" w:rsidRPr="00380B40" w:rsidRDefault="00732DB3" w:rsidP="00C736C4">
      <w:pPr>
        <w:rPr>
          <w:lang w:val="en-GB"/>
        </w:rPr>
      </w:pPr>
    </w:p>
    <w:p w14:paraId="599A3D85" w14:textId="77777777" w:rsidR="009033A7" w:rsidRPr="00380B40" w:rsidRDefault="009033A7" w:rsidP="00C736C4">
      <w:pPr>
        <w:rPr>
          <w:rStyle w:val="Strong"/>
          <w:rFonts w:ascii="Times New Roman Bold" w:hAnsi="Times New Roman Bold"/>
          <w:sz w:val="28"/>
          <w:szCs w:val="28"/>
          <w:lang w:val="en-GB"/>
        </w:rPr>
      </w:pPr>
      <w:r w:rsidRPr="00380B40">
        <w:rPr>
          <w:lang w:val="en-GB"/>
        </w:rPr>
        <w:br w:type="page"/>
      </w:r>
    </w:p>
    <w:p w14:paraId="0D3708D6" w14:textId="77777777" w:rsidR="00B66120" w:rsidRPr="00380B40" w:rsidRDefault="009033A7" w:rsidP="00B66120">
      <w:pPr>
        <w:pStyle w:val="AnnexNo"/>
      </w:pPr>
      <w:bookmarkStart w:id="2567" w:name="_Toc111637273"/>
      <w:r w:rsidRPr="00380B40">
        <w:t>Annex A</w:t>
      </w:r>
      <w:r w:rsidRPr="00380B40">
        <w:br/>
        <w:t>(to COM2 report)</w:t>
      </w:r>
      <w:bookmarkEnd w:id="2567"/>
    </w:p>
    <w:p w14:paraId="135AB457" w14:textId="77777777" w:rsidR="009033A7" w:rsidRPr="00380B40" w:rsidRDefault="009033A7" w:rsidP="00B66120">
      <w:pPr>
        <w:pStyle w:val="Annextitle"/>
      </w:pPr>
      <w:r w:rsidRPr="00380B40">
        <w:t>BUDGET OF THE WORLD TELECOMMUNICATION</w:t>
      </w:r>
      <w:r w:rsidRPr="00380B40">
        <w:br/>
        <w:t>STANDARDIZATION ASSEMBLY (WTSA-20)</w:t>
      </w:r>
    </w:p>
    <w:p w14:paraId="19C522BB" w14:textId="77777777" w:rsidR="009033A7" w:rsidRPr="00380B40" w:rsidRDefault="009033A7" w:rsidP="009033A7">
      <w:pPr>
        <w:rPr>
          <w:lang w:val="en-GB"/>
        </w:rPr>
      </w:pPr>
    </w:p>
    <w:p w14:paraId="3AD23175" w14:textId="77777777" w:rsidR="009033A7" w:rsidRPr="00380B40" w:rsidRDefault="009033A7" w:rsidP="00C736C4">
      <w:pPr>
        <w:pStyle w:val="Normalrightaligned"/>
        <w:rPr>
          <w:rStyle w:val="Italic0"/>
          <w:lang w:val="en-GB"/>
        </w:rPr>
      </w:pPr>
      <w:r w:rsidRPr="00380B40">
        <w:rPr>
          <w:rStyle w:val="Italic0"/>
          <w:lang w:val="en-GB"/>
        </w:rPr>
        <w:t>Amounts in thousands of Swiss francs</w:t>
      </w:r>
    </w:p>
    <w:tbl>
      <w:tblPr>
        <w:tblStyle w:val="TableGrid"/>
        <w:tblW w:w="5000" w:type="pct"/>
        <w:tblLook w:val="04A0" w:firstRow="1" w:lastRow="0" w:firstColumn="1" w:lastColumn="0" w:noHBand="0" w:noVBand="1"/>
      </w:tblPr>
      <w:tblGrid>
        <w:gridCol w:w="3538"/>
        <w:gridCol w:w="1418"/>
        <w:gridCol w:w="1701"/>
        <w:gridCol w:w="1701"/>
        <w:gridCol w:w="1270"/>
      </w:tblGrid>
      <w:tr w:rsidR="009033A7" w:rsidRPr="00380B40" w14:paraId="272A3B70" w14:textId="77777777" w:rsidTr="0033524E">
        <w:tc>
          <w:tcPr>
            <w:tcW w:w="3538" w:type="dxa"/>
            <w:shd w:val="clear" w:color="auto" w:fill="auto"/>
            <w:vAlign w:val="center"/>
          </w:tcPr>
          <w:p w14:paraId="2CC020F5" w14:textId="77777777" w:rsidR="009033A7" w:rsidRPr="00380B40" w:rsidRDefault="009033A7" w:rsidP="0033524E">
            <w:pPr>
              <w:pStyle w:val="Tableheadwhitecentred"/>
            </w:pPr>
            <w:r w:rsidRPr="00380B40">
              <w:t>Category of expenses</w:t>
            </w:r>
          </w:p>
        </w:tc>
        <w:tc>
          <w:tcPr>
            <w:tcW w:w="1418" w:type="dxa"/>
            <w:shd w:val="clear" w:color="auto" w:fill="auto"/>
            <w:vAlign w:val="center"/>
          </w:tcPr>
          <w:p w14:paraId="61BD2D78" w14:textId="77777777" w:rsidR="009033A7" w:rsidRPr="00380B40" w:rsidRDefault="009033A7" w:rsidP="0033524E">
            <w:pPr>
              <w:pStyle w:val="Tableheadwhitecentred"/>
            </w:pPr>
            <w:r w:rsidRPr="00380B40">
              <w:t>Budget</w:t>
            </w:r>
          </w:p>
        </w:tc>
        <w:tc>
          <w:tcPr>
            <w:tcW w:w="1701" w:type="dxa"/>
            <w:shd w:val="clear" w:color="auto" w:fill="auto"/>
            <w:vAlign w:val="center"/>
          </w:tcPr>
          <w:p w14:paraId="318645F6" w14:textId="77777777" w:rsidR="009033A7" w:rsidRPr="00380B40" w:rsidRDefault="009033A7" w:rsidP="0033524E">
            <w:pPr>
              <w:pStyle w:val="Tableheadwhitecentred"/>
            </w:pPr>
            <w:r w:rsidRPr="00380B40">
              <w:t>Actual expenses and commitments as at 7 March 2020</w:t>
            </w:r>
          </w:p>
        </w:tc>
        <w:tc>
          <w:tcPr>
            <w:tcW w:w="1701" w:type="dxa"/>
            <w:shd w:val="clear" w:color="auto" w:fill="auto"/>
            <w:vAlign w:val="center"/>
          </w:tcPr>
          <w:p w14:paraId="0736C164" w14:textId="77777777" w:rsidR="009033A7" w:rsidRPr="00380B40" w:rsidRDefault="009033A7" w:rsidP="0033524E">
            <w:pPr>
              <w:pStyle w:val="Tableheadwhitecentred"/>
            </w:pPr>
            <w:r w:rsidRPr="00380B40">
              <w:t>Projected additional expenses until the end of the Assembly</w:t>
            </w:r>
          </w:p>
        </w:tc>
        <w:tc>
          <w:tcPr>
            <w:tcW w:w="1270" w:type="dxa"/>
            <w:shd w:val="clear" w:color="auto" w:fill="auto"/>
            <w:vAlign w:val="center"/>
          </w:tcPr>
          <w:p w14:paraId="5AA5D6B1" w14:textId="77777777" w:rsidR="009033A7" w:rsidRPr="00380B40" w:rsidRDefault="009033A7" w:rsidP="0033524E">
            <w:pPr>
              <w:pStyle w:val="Tableheadwhitecentred"/>
            </w:pPr>
            <w:r w:rsidRPr="00380B40">
              <w:t>Projected balance</w:t>
            </w:r>
          </w:p>
        </w:tc>
      </w:tr>
      <w:tr w:rsidR="009033A7" w:rsidRPr="00380B40" w14:paraId="0CD2B628" w14:textId="77777777" w:rsidTr="00DE1739">
        <w:tc>
          <w:tcPr>
            <w:tcW w:w="3538" w:type="dxa"/>
            <w:shd w:val="clear" w:color="auto" w:fill="auto"/>
          </w:tcPr>
          <w:p w14:paraId="1A370A30" w14:textId="77777777" w:rsidR="009033A7" w:rsidRPr="00380B40" w:rsidRDefault="009033A7" w:rsidP="0079078D">
            <w:pPr>
              <w:pStyle w:val="Tabletex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Staff costs</w:t>
            </w:r>
          </w:p>
        </w:tc>
        <w:tc>
          <w:tcPr>
            <w:tcW w:w="1418" w:type="dxa"/>
            <w:shd w:val="clear" w:color="auto" w:fill="auto"/>
          </w:tcPr>
          <w:p w14:paraId="4C8E8663"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472</w:t>
            </w:r>
          </w:p>
        </w:tc>
        <w:tc>
          <w:tcPr>
            <w:tcW w:w="1701" w:type="dxa"/>
            <w:shd w:val="clear" w:color="auto" w:fill="auto"/>
          </w:tcPr>
          <w:p w14:paraId="12C67197"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271</w:t>
            </w:r>
          </w:p>
        </w:tc>
        <w:tc>
          <w:tcPr>
            <w:tcW w:w="1701" w:type="dxa"/>
            <w:shd w:val="clear" w:color="auto" w:fill="auto"/>
          </w:tcPr>
          <w:p w14:paraId="6200575D"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385</w:t>
            </w:r>
          </w:p>
        </w:tc>
        <w:tc>
          <w:tcPr>
            <w:tcW w:w="1270" w:type="dxa"/>
            <w:shd w:val="clear" w:color="auto" w:fill="auto"/>
          </w:tcPr>
          <w:p w14:paraId="42247CC0"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87</w:t>
            </w:r>
          </w:p>
        </w:tc>
      </w:tr>
      <w:tr w:rsidR="009033A7" w:rsidRPr="00380B40" w14:paraId="5BB14FC5" w14:textId="77777777" w:rsidTr="00DE1739">
        <w:tc>
          <w:tcPr>
            <w:tcW w:w="3538" w:type="dxa"/>
            <w:shd w:val="clear" w:color="auto" w:fill="auto"/>
          </w:tcPr>
          <w:p w14:paraId="0AA2DF4C" w14:textId="77777777" w:rsidR="009033A7" w:rsidRPr="00380B40" w:rsidRDefault="009033A7" w:rsidP="0079078D">
            <w:pPr>
              <w:pStyle w:val="Tabletex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Other staff costs</w:t>
            </w:r>
          </w:p>
        </w:tc>
        <w:tc>
          <w:tcPr>
            <w:tcW w:w="1418" w:type="dxa"/>
            <w:shd w:val="clear" w:color="auto" w:fill="auto"/>
          </w:tcPr>
          <w:p w14:paraId="255D1405"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8</w:t>
            </w:r>
          </w:p>
        </w:tc>
        <w:tc>
          <w:tcPr>
            <w:tcW w:w="1701" w:type="dxa"/>
            <w:shd w:val="clear" w:color="auto" w:fill="auto"/>
          </w:tcPr>
          <w:p w14:paraId="7ED5BA23"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13</w:t>
            </w:r>
          </w:p>
        </w:tc>
        <w:tc>
          <w:tcPr>
            <w:tcW w:w="1701" w:type="dxa"/>
            <w:shd w:val="clear" w:color="auto" w:fill="auto"/>
          </w:tcPr>
          <w:p w14:paraId="6852C500"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13</w:t>
            </w:r>
          </w:p>
        </w:tc>
        <w:tc>
          <w:tcPr>
            <w:tcW w:w="1270" w:type="dxa"/>
            <w:shd w:val="clear" w:color="auto" w:fill="auto"/>
          </w:tcPr>
          <w:p w14:paraId="4A5C8D9B"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-5</w:t>
            </w:r>
          </w:p>
        </w:tc>
      </w:tr>
      <w:tr w:rsidR="009033A7" w:rsidRPr="00380B40" w14:paraId="5F6C761B" w14:textId="77777777" w:rsidTr="00DE1739">
        <w:tc>
          <w:tcPr>
            <w:tcW w:w="3538" w:type="dxa"/>
            <w:shd w:val="clear" w:color="auto" w:fill="auto"/>
          </w:tcPr>
          <w:p w14:paraId="3C4E17F3" w14:textId="77777777" w:rsidR="009033A7" w:rsidRPr="00380B40" w:rsidRDefault="009033A7" w:rsidP="0079078D">
            <w:pPr>
              <w:pStyle w:val="Tabletex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Travel on duty</w:t>
            </w:r>
          </w:p>
        </w:tc>
        <w:tc>
          <w:tcPr>
            <w:tcW w:w="1418" w:type="dxa"/>
            <w:shd w:val="clear" w:color="auto" w:fill="auto"/>
          </w:tcPr>
          <w:p w14:paraId="1AF9A7E3"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120</w:t>
            </w:r>
          </w:p>
        </w:tc>
        <w:tc>
          <w:tcPr>
            <w:tcW w:w="1701" w:type="dxa"/>
            <w:shd w:val="clear" w:color="auto" w:fill="auto"/>
          </w:tcPr>
          <w:p w14:paraId="76AA6470"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53</w:t>
            </w:r>
          </w:p>
        </w:tc>
        <w:tc>
          <w:tcPr>
            <w:tcW w:w="1701" w:type="dxa"/>
            <w:shd w:val="clear" w:color="auto" w:fill="auto"/>
          </w:tcPr>
          <w:p w14:paraId="01DC06A4"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95</w:t>
            </w:r>
          </w:p>
        </w:tc>
        <w:tc>
          <w:tcPr>
            <w:tcW w:w="1270" w:type="dxa"/>
            <w:shd w:val="clear" w:color="auto" w:fill="auto"/>
          </w:tcPr>
          <w:p w14:paraId="70F76F0F"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25</w:t>
            </w:r>
          </w:p>
        </w:tc>
      </w:tr>
      <w:tr w:rsidR="009033A7" w:rsidRPr="00380B40" w14:paraId="54C7D8A6" w14:textId="77777777" w:rsidTr="00DE1739">
        <w:tc>
          <w:tcPr>
            <w:tcW w:w="3538" w:type="dxa"/>
            <w:shd w:val="clear" w:color="auto" w:fill="auto"/>
          </w:tcPr>
          <w:p w14:paraId="5EFBCAB0" w14:textId="77777777" w:rsidR="009033A7" w:rsidRPr="00380B40" w:rsidRDefault="009033A7" w:rsidP="0079078D">
            <w:pPr>
              <w:pStyle w:val="Tabletex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Contractual services</w:t>
            </w:r>
          </w:p>
        </w:tc>
        <w:tc>
          <w:tcPr>
            <w:tcW w:w="1418" w:type="dxa"/>
            <w:shd w:val="clear" w:color="auto" w:fill="auto"/>
          </w:tcPr>
          <w:p w14:paraId="7C9BBCD1"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50</w:t>
            </w:r>
          </w:p>
        </w:tc>
        <w:tc>
          <w:tcPr>
            <w:tcW w:w="1701" w:type="dxa"/>
            <w:shd w:val="clear" w:color="auto" w:fill="auto"/>
          </w:tcPr>
          <w:p w14:paraId="7DA799EE"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129</w:t>
            </w:r>
          </w:p>
        </w:tc>
        <w:tc>
          <w:tcPr>
            <w:tcW w:w="1701" w:type="dxa"/>
            <w:shd w:val="clear" w:color="auto" w:fill="auto"/>
          </w:tcPr>
          <w:p w14:paraId="21C930FB"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130</w:t>
            </w:r>
          </w:p>
        </w:tc>
        <w:tc>
          <w:tcPr>
            <w:tcW w:w="1270" w:type="dxa"/>
            <w:shd w:val="clear" w:color="auto" w:fill="auto"/>
          </w:tcPr>
          <w:p w14:paraId="3E68C7DA"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-80</w:t>
            </w:r>
          </w:p>
        </w:tc>
      </w:tr>
      <w:tr w:rsidR="009033A7" w:rsidRPr="00380B40" w14:paraId="5762BAA1" w14:textId="77777777" w:rsidTr="00DE1739">
        <w:tc>
          <w:tcPr>
            <w:tcW w:w="3538" w:type="dxa"/>
            <w:shd w:val="clear" w:color="auto" w:fill="auto"/>
          </w:tcPr>
          <w:p w14:paraId="11CF4C12" w14:textId="77777777" w:rsidR="009033A7" w:rsidRPr="00380B40" w:rsidRDefault="009033A7" w:rsidP="0079078D">
            <w:pPr>
              <w:pStyle w:val="Tabletex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Rental and maintenance</w:t>
            </w:r>
          </w:p>
        </w:tc>
        <w:tc>
          <w:tcPr>
            <w:tcW w:w="1418" w:type="dxa"/>
            <w:shd w:val="clear" w:color="auto" w:fill="auto"/>
          </w:tcPr>
          <w:p w14:paraId="58A61A5E"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30</w:t>
            </w:r>
          </w:p>
        </w:tc>
        <w:tc>
          <w:tcPr>
            <w:tcW w:w="1701" w:type="dxa"/>
            <w:shd w:val="clear" w:color="auto" w:fill="auto"/>
          </w:tcPr>
          <w:p w14:paraId="774E5B17"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146</w:t>
            </w:r>
          </w:p>
        </w:tc>
        <w:tc>
          <w:tcPr>
            <w:tcW w:w="1701" w:type="dxa"/>
            <w:shd w:val="clear" w:color="auto" w:fill="auto"/>
          </w:tcPr>
          <w:p w14:paraId="1409847C"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146</w:t>
            </w:r>
          </w:p>
        </w:tc>
        <w:tc>
          <w:tcPr>
            <w:tcW w:w="1270" w:type="dxa"/>
            <w:shd w:val="clear" w:color="auto" w:fill="auto"/>
          </w:tcPr>
          <w:p w14:paraId="4C2C37BA"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-116</w:t>
            </w:r>
          </w:p>
        </w:tc>
      </w:tr>
      <w:tr w:rsidR="009033A7" w:rsidRPr="00380B40" w14:paraId="1D688CBE" w14:textId="77777777" w:rsidTr="00DE1739">
        <w:tc>
          <w:tcPr>
            <w:tcW w:w="3538" w:type="dxa"/>
            <w:shd w:val="clear" w:color="auto" w:fill="auto"/>
          </w:tcPr>
          <w:p w14:paraId="019E8716" w14:textId="77777777" w:rsidR="009033A7" w:rsidRPr="00380B40" w:rsidRDefault="009033A7" w:rsidP="0079078D">
            <w:pPr>
              <w:pStyle w:val="Tabletex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Material and supplies</w:t>
            </w:r>
          </w:p>
        </w:tc>
        <w:tc>
          <w:tcPr>
            <w:tcW w:w="1418" w:type="dxa"/>
            <w:shd w:val="clear" w:color="auto" w:fill="auto"/>
          </w:tcPr>
          <w:p w14:paraId="39B10D3E"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10</w:t>
            </w:r>
          </w:p>
        </w:tc>
        <w:tc>
          <w:tcPr>
            <w:tcW w:w="1701" w:type="dxa"/>
            <w:shd w:val="clear" w:color="auto" w:fill="auto"/>
          </w:tcPr>
          <w:p w14:paraId="5855CA7B"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7</w:t>
            </w:r>
          </w:p>
        </w:tc>
        <w:tc>
          <w:tcPr>
            <w:tcW w:w="1701" w:type="dxa"/>
            <w:shd w:val="clear" w:color="auto" w:fill="auto"/>
          </w:tcPr>
          <w:p w14:paraId="6E45B682"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10</w:t>
            </w:r>
          </w:p>
        </w:tc>
        <w:tc>
          <w:tcPr>
            <w:tcW w:w="1270" w:type="dxa"/>
            <w:shd w:val="clear" w:color="auto" w:fill="auto"/>
          </w:tcPr>
          <w:p w14:paraId="037793AA"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0</w:t>
            </w:r>
          </w:p>
        </w:tc>
      </w:tr>
      <w:tr w:rsidR="009033A7" w:rsidRPr="00380B40" w14:paraId="428B32A9" w14:textId="77777777" w:rsidTr="00DE1739">
        <w:tc>
          <w:tcPr>
            <w:tcW w:w="3538" w:type="dxa"/>
            <w:shd w:val="clear" w:color="auto" w:fill="auto"/>
          </w:tcPr>
          <w:p w14:paraId="4EEC2067" w14:textId="77777777" w:rsidR="009033A7" w:rsidRPr="00380B40" w:rsidRDefault="009033A7" w:rsidP="0079078D">
            <w:pPr>
              <w:pStyle w:val="Tabletex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Misc. expenses</w:t>
            </w:r>
          </w:p>
        </w:tc>
        <w:tc>
          <w:tcPr>
            <w:tcW w:w="1418" w:type="dxa"/>
            <w:shd w:val="clear" w:color="auto" w:fill="auto"/>
          </w:tcPr>
          <w:p w14:paraId="53A3DEEA"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9</w:t>
            </w:r>
          </w:p>
        </w:tc>
        <w:tc>
          <w:tcPr>
            <w:tcW w:w="1701" w:type="dxa"/>
            <w:shd w:val="clear" w:color="auto" w:fill="auto"/>
          </w:tcPr>
          <w:p w14:paraId="50ABAC7F"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0</w:t>
            </w:r>
          </w:p>
        </w:tc>
        <w:tc>
          <w:tcPr>
            <w:tcW w:w="1701" w:type="dxa"/>
            <w:shd w:val="clear" w:color="auto" w:fill="auto"/>
          </w:tcPr>
          <w:p w14:paraId="650556C8"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5</w:t>
            </w:r>
          </w:p>
        </w:tc>
        <w:tc>
          <w:tcPr>
            <w:tcW w:w="1270" w:type="dxa"/>
            <w:shd w:val="clear" w:color="auto" w:fill="auto"/>
          </w:tcPr>
          <w:p w14:paraId="18DF1DE9"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4</w:t>
            </w:r>
          </w:p>
        </w:tc>
      </w:tr>
      <w:tr w:rsidR="009033A7" w:rsidRPr="00380B40" w14:paraId="3E5C5C27" w14:textId="77777777" w:rsidTr="00DE1739">
        <w:tc>
          <w:tcPr>
            <w:tcW w:w="3538" w:type="dxa"/>
            <w:shd w:val="clear" w:color="auto" w:fill="auto"/>
          </w:tcPr>
          <w:p w14:paraId="71234E04" w14:textId="77777777" w:rsidR="009033A7" w:rsidRPr="00380B40" w:rsidRDefault="009033A7" w:rsidP="0079078D">
            <w:pPr>
              <w:pStyle w:val="Tabletext"/>
              <w:jc w:val="right"/>
              <w:rPr>
                <w:rFonts w:asciiTheme="majorBidi" w:eastAsia="Times New Roman" w:hAnsiTheme="majorBidi" w:cstheme="majorBidi"/>
                <w:b/>
                <w:bCs/>
                <w:szCs w:val="20"/>
                <w:lang w:val="en-GB"/>
              </w:rPr>
            </w:pPr>
            <w:r w:rsidRPr="00380B40">
              <w:rPr>
                <w:rFonts w:asciiTheme="majorBidi" w:eastAsia="Times New Roman" w:hAnsiTheme="majorBidi" w:cstheme="majorBidi"/>
                <w:b/>
                <w:bCs/>
                <w:szCs w:val="20"/>
                <w:lang w:val="en-GB"/>
              </w:rPr>
              <w:t>Sub-total Expenses</w:t>
            </w:r>
          </w:p>
        </w:tc>
        <w:tc>
          <w:tcPr>
            <w:tcW w:w="1418" w:type="dxa"/>
            <w:shd w:val="clear" w:color="auto" w:fill="auto"/>
          </w:tcPr>
          <w:p w14:paraId="7274DA60" w14:textId="77777777" w:rsidR="009033A7" w:rsidRPr="00380B40" w:rsidRDefault="009033A7" w:rsidP="0079078D">
            <w:pPr>
              <w:pStyle w:val="Tabletext"/>
              <w:jc w:val="right"/>
              <w:rPr>
                <w:rFonts w:asciiTheme="majorBidi" w:eastAsia="Times New Roman" w:hAnsiTheme="majorBidi" w:cstheme="majorBidi"/>
                <w:b/>
                <w:bCs/>
                <w:szCs w:val="20"/>
                <w:lang w:val="en-GB"/>
              </w:rPr>
            </w:pPr>
            <w:r w:rsidRPr="00380B40">
              <w:rPr>
                <w:rFonts w:asciiTheme="majorBidi" w:eastAsia="Times New Roman" w:hAnsiTheme="majorBidi" w:cstheme="majorBidi"/>
                <w:b/>
                <w:bCs/>
                <w:szCs w:val="20"/>
                <w:lang w:val="en-GB"/>
              </w:rPr>
              <w:t>699</w:t>
            </w:r>
          </w:p>
        </w:tc>
        <w:tc>
          <w:tcPr>
            <w:tcW w:w="1701" w:type="dxa"/>
            <w:shd w:val="clear" w:color="auto" w:fill="auto"/>
          </w:tcPr>
          <w:p w14:paraId="07EA7683" w14:textId="77777777" w:rsidR="009033A7" w:rsidRPr="00380B40" w:rsidRDefault="009033A7" w:rsidP="0079078D">
            <w:pPr>
              <w:pStyle w:val="Tabletext"/>
              <w:jc w:val="right"/>
              <w:rPr>
                <w:rFonts w:asciiTheme="majorBidi" w:eastAsia="Times New Roman" w:hAnsiTheme="majorBidi" w:cstheme="majorBidi"/>
                <w:b/>
                <w:bCs/>
                <w:szCs w:val="20"/>
                <w:lang w:val="en-GB"/>
              </w:rPr>
            </w:pPr>
            <w:r w:rsidRPr="00380B40">
              <w:rPr>
                <w:rFonts w:asciiTheme="majorBidi" w:eastAsia="Times New Roman" w:hAnsiTheme="majorBidi" w:cstheme="majorBidi"/>
                <w:b/>
                <w:bCs/>
                <w:szCs w:val="20"/>
                <w:lang w:val="en-GB"/>
              </w:rPr>
              <w:t>619</w:t>
            </w:r>
          </w:p>
        </w:tc>
        <w:tc>
          <w:tcPr>
            <w:tcW w:w="1701" w:type="dxa"/>
            <w:shd w:val="clear" w:color="auto" w:fill="auto"/>
          </w:tcPr>
          <w:p w14:paraId="48D126C7" w14:textId="77777777" w:rsidR="009033A7" w:rsidRPr="00380B40" w:rsidRDefault="009033A7" w:rsidP="0079078D">
            <w:pPr>
              <w:pStyle w:val="Tabletext"/>
              <w:jc w:val="right"/>
              <w:rPr>
                <w:rFonts w:asciiTheme="majorBidi" w:eastAsia="Times New Roman" w:hAnsiTheme="majorBidi" w:cstheme="majorBidi"/>
                <w:b/>
                <w:bCs/>
                <w:szCs w:val="20"/>
                <w:lang w:val="en-GB"/>
              </w:rPr>
            </w:pPr>
            <w:r w:rsidRPr="00380B40">
              <w:rPr>
                <w:rFonts w:asciiTheme="majorBidi" w:eastAsia="Times New Roman" w:hAnsiTheme="majorBidi" w:cstheme="majorBidi"/>
                <w:b/>
                <w:bCs/>
                <w:szCs w:val="20"/>
                <w:lang w:val="en-GB"/>
              </w:rPr>
              <w:t>784</w:t>
            </w:r>
          </w:p>
        </w:tc>
        <w:tc>
          <w:tcPr>
            <w:tcW w:w="1270" w:type="dxa"/>
            <w:shd w:val="clear" w:color="auto" w:fill="auto"/>
          </w:tcPr>
          <w:p w14:paraId="1AC97A0F" w14:textId="77777777" w:rsidR="009033A7" w:rsidRPr="00380B40" w:rsidRDefault="009033A7" w:rsidP="0079078D">
            <w:pPr>
              <w:pStyle w:val="Tabletext"/>
              <w:jc w:val="right"/>
              <w:rPr>
                <w:rFonts w:asciiTheme="majorBidi" w:eastAsia="Times New Roman" w:hAnsiTheme="majorBidi" w:cstheme="majorBidi"/>
                <w:b/>
                <w:bCs/>
                <w:szCs w:val="20"/>
                <w:lang w:val="en-GB"/>
              </w:rPr>
            </w:pPr>
            <w:r w:rsidRPr="00380B40">
              <w:rPr>
                <w:rFonts w:asciiTheme="majorBidi" w:eastAsia="Times New Roman" w:hAnsiTheme="majorBidi" w:cstheme="majorBidi"/>
                <w:b/>
                <w:bCs/>
                <w:szCs w:val="20"/>
                <w:lang w:val="en-GB"/>
              </w:rPr>
              <w:t>-85</w:t>
            </w:r>
          </w:p>
        </w:tc>
      </w:tr>
      <w:tr w:rsidR="009033A7" w:rsidRPr="00380B40" w14:paraId="77D6CBC5" w14:textId="77777777" w:rsidTr="00DE1739">
        <w:tc>
          <w:tcPr>
            <w:tcW w:w="3538" w:type="dxa"/>
            <w:shd w:val="clear" w:color="auto" w:fill="auto"/>
          </w:tcPr>
          <w:p w14:paraId="784821AD" w14:textId="77777777" w:rsidR="009033A7" w:rsidRPr="00380B40" w:rsidRDefault="009033A7" w:rsidP="0079078D">
            <w:pPr>
              <w:pStyle w:val="Tabletex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Translation</w:t>
            </w:r>
          </w:p>
        </w:tc>
        <w:tc>
          <w:tcPr>
            <w:tcW w:w="1418" w:type="dxa"/>
            <w:shd w:val="clear" w:color="auto" w:fill="auto"/>
          </w:tcPr>
          <w:p w14:paraId="0240DE11"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970</w:t>
            </w:r>
          </w:p>
        </w:tc>
        <w:tc>
          <w:tcPr>
            <w:tcW w:w="1701" w:type="dxa"/>
            <w:shd w:val="clear" w:color="auto" w:fill="auto"/>
          </w:tcPr>
          <w:p w14:paraId="0D93DB2A"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622</w:t>
            </w:r>
          </w:p>
        </w:tc>
        <w:tc>
          <w:tcPr>
            <w:tcW w:w="1701" w:type="dxa"/>
            <w:shd w:val="clear" w:color="auto" w:fill="auto"/>
          </w:tcPr>
          <w:p w14:paraId="7C4B9B72"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827</w:t>
            </w:r>
          </w:p>
        </w:tc>
        <w:tc>
          <w:tcPr>
            <w:tcW w:w="1270" w:type="dxa"/>
            <w:shd w:val="clear" w:color="auto" w:fill="auto"/>
          </w:tcPr>
          <w:p w14:paraId="7B97564D"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143</w:t>
            </w:r>
          </w:p>
        </w:tc>
      </w:tr>
      <w:tr w:rsidR="009033A7" w:rsidRPr="00380B40" w14:paraId="20BD4655" w14:textId="77777777" w:rsidTr="00DE1739">
        <w:tc>
          <w:tcPr>
            <w:tcW w:w="3538" w:type="dxa"/>
            <w:shd w:val="clear" w:color="auto" w:fill="auto"/>
          </w:tcPr>
          <w:p w14:paraId="065431E4" w14:textId="77777777" w:rsidR="009033A7" w:rsidRPr="00380B40" w:rsidRDefault="009033A7" w:rsidP="0079078D">
            <w:pPr>
              <w:pStyle w:val="Tabletex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Typing</w:t>
            </w:r>
          </w:p>
        </w:tc>
        <w:tc>
          <w:tcPr>
            <w:tcW w:w="1418" w:type="dxa"/>
            <w:shd w:val="clear" w:color="auto" w:fill="auto"/>
          </w:tcPr>
          <w:p w14:paraId="670AABE7"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556</w:t>
            </w:r>
          </w:p>
        </w:tc>
        <w:tc>
          <w:tcPr>
            <w:tcW w:w="1701" w:type="dxa"/>
            <w:shd w:val="clear" w:color="auto" w:fill="auto"/>
          </w:tcPr>
          <w:p w14:paraId="1F719FFA"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362</w:t>
            </w:r>
          </w:p>
        </w:tc>
        <w:tc>
          <w:tcPr>
            <w:tcW w:w="1701" w:type="dxa"/>
            <w:shd w:val="clear" w:color="auto" w:fill="auto"/>
          </w:tcPr>
          <w:p w14:paraId="6512F23D"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469</w:t>
            </w:r>
          </w:p>
        </w:tc>
        <w:tc>
          <w:tcPr>
            <w:tcW w:w="1270" w:type="dxa"/>
            <w:shd w:val="clear" w:color="auto" w:fill="auto"/>
          </w:tcPr>
          <w:p w14:paraId="22E405BF" w14:textId="77777777" w:rsidR="009033A7" w:rsidRPr="00380B40" w:rsidRDefault="009033A7" w:rsidP="0079078D">
            <w:pPr>
              <w:pStyle w:val="Tabletext"/>
              <w:jc w:val="right"/>
              <w:rPr>
                <w:rFonts w:asciiTheme="majorBidi" w:eastAsia="Times New Roman" w:hAnsiTheme="majorBidi" w:cstheme="majorBidi"/>
                <w:szCs w:val="20"/>
                <w:lang w:val="en-GB"/>
              </w:rPr>
            </w:pPr>
            <w:r w:rsidRPr="00380B40">
              <w:rPr>
                <w:rFonts w:asciiTheme="majorBidi" w:eastAsia="Times New Roman" w:hAnsiTheme="majorBidi" w:cstheme="majorBidi"/>
                <w:szCs w:val="20"/>
                <w:lang w:val="en-GB"/>
              </w:rPr>
              <w:t>87</w:t>
            </w:r>
          </w:p>
        </w:tc>
      </w:tr>
      <w:tr w:rsidR="009033A7" w:rsidRPr="00380B40" w14:paraId="72896006" w14:textId="77777777" w:rsidTr="00DE1739">
        <w:tc>
          <w:tcPr>
            <w:tcW w:w="3538" w:type="dxa"/>
            <w:shd w:val="clear" w:color="auto" w:fill="auto"/>
          </w:tcPr>
          <w:p w14:paraId="183FEB78" w14:textId="77777777" w:rsidR="009033A7" w:rsidRPr="00380B40" w:rsidRDefault="009033A7" w:rsidP="0079078D">
            <w:pPr>
              <w:pStyle w:val="Tabletext"/>
              <w:jc w:val="right"/>
              <w:rPr>
                <w:rFonts w:asciiTheme="majorBidi" w:eastAsia="Times New Roman" w:hAnsiTheme="majorBidi" w:cstheme="majorBidi"/>
                <w:b/>
                <w:bCs/>
                <w:szCs w:val="20"/>
                <w:lang w:val="en-GB"/>
              </w:rPr>
            </w:pPr>
            <w:r w:rsidRPr="00380B40">
              <w:rPr>
                <w:rFonts w:asciiTheme="majorBidi" w:eastAsia="Times New Roman" w:hAnsiTheme="majorBidi" w:cstheme="majorBidi"/>
                <w:b/>
                <w:bCs/>
                <w:szCs w:val="20"/>
                <w:lang w:val="en-GB"/>
              </w:rPr>
              <w:t>Sub-total Documentation</w:t>
            </w:r>
          </w:p>
        </w:tc>
        <w:tc>
          <w:tcPr>
            <w:tcW w:w="1418" w:type="dxa"/>
            <w:shd w:val="clear" w:color="auto" w:fill="auto"/>
          </w:tcPr>
          <w:p w14:paraId="67392419" w14:textId="77777777" w:rsidR="009033A7" w:rsidRPr="00380B40" w:rsidRDefault="009033A7" w:rsidP="0079078D">
            <w:pPr>
              <w:pStyle w:val="Tabletext"/>
              <w:jc w:val="right"/>
              <w:rPr>
                <w:rFonts w:asciiTheme="majorBidi" w:eastAsia="Times New Roman" w:hAnsiTheme="majorBidi" w:cstheme="majorBidi"/>
                <w:b/>
                <w:bCs/>
                <w:szCs w:val="20"/>
                <w:lang w:val="en-GB"/>
              </w:rPr>
            </w:pPr>
            <w:r w:rsidRPr="00380B40">
              <w:rPr>
                <w:rFonts w:asciiTheme="majorBidi" w:eastAsia="Times New Roman" w:hAnsiTheme="majorBidi" w:cstheme="majorBidi"/>
                <w:b/>
                <w:bCs/>
                <w:szCs w:val="20"/>
                <w:lang w:val="en-GB"/>
              </w:rPr>
              <w:t>1'526</w:t>
            </w:r>
          </w:p>
        </w:tc>
        <w:tc>
          <w:tcPr>
            <w:tcW w:w="1701" w:type="dxa"/>
            <w:shd w:val="clear" w:color="auto" w:fill="auto"/>
          </w:tcPr>
          <w:p w14:paraId="162AB431" w14:textId="77777777" w:rsidR="009033A7" w:rsidRPr="00380B40" w:rsidRDefault="009033A7" w:rsidP="0079078D">
            <w:pPr>
              <w:pStyle w:val="Tabletext"/>
              <w:jc w:val="right"/>
              <w:rPr>
                <w:rFonts w:asciiTheme="majorBidi" w:eastAsia="Times New Roman" w:hAnsiTheme="majorBidi" w:cstheme="majorBidi"/>
                <w:b/>
                <w:bCs/>
                <w:szCs w:val="20"/>
                <w:lang w:val="en-GB"/>
              </w:rPr>
            </w:pPr>
            <w:r w:rsidRPr="00380B40">
              <w:rPr>
                <w:rFonts w:asciiTheme="majorBidi" w:eastAsia="Times New Roman" w:hAnsiTheme="majorBidi" w:cstheme="majorBidi"/>
                <w:b/>
                <w:bCs/>
                <w:szCs w:val="20"/>
                <w:lang w:val="en-GB"/>
              </w:rPr>
              <w:t>984</w:t>
            </w:r>
          </w:p>
        </w:tc>
        <w:tc>
          <w:tcPr>
            <w:tcW w:w="1701" w:type="dxa"/>
            <w:shd w:val="clear" w:color="auto" w:fill="auto"/>
          </w:tcPr>
          <w:p w14:paraId="7F4F7EDC" w14:textId="77777777" w:rsidR="009033A7" w:rsidRPr="00380B40" w:rsidRDefault="009033A7" w:rsidP="0079078D">
            <w:pPr>
              <w:pStyle w:val="Tabletext"/>
              <w:jc w:val="right"/>
              <w:rPr>
                <w:rFonts w:asciiTheme="majorBidi" w:eastAsia="Times New Roman" w:hAnsiTheme="majorBidi" w:cstheme="majorBidi"/>
                <w:b/>
                <w:bCs/>
                <w:szCs w:val="20"/>
                <w:lang w:val="en-GB"/>
              </w:rPr>
            </w:pPr>
            <w:r w:rsidRPr="00380B40">
              <w:rPr>
                <w:rFonts w:asciiTheme="majorBidi" w:eastAsia="Times New Roman" w:hAnsiTheme="majorBidi" w:cstheme="majorBidi"/>
                <w:b/>
                <w:bCs/>
                <w:szCs w:val="20"/>
                <w:lang w:val="en-GB"/>
              </w:rPr>
              <w:t>1'296</w:t>
            </w:r>
          </w:p>
        </w:tc>
        <w:tc>
          <w:tcPr>
            <w:tcW w:w="1270" w:type="dxa"/>
            <w:shd w:val="clear" w:color="auto" w:fill="auto"/>
          </w:tcPr>
          <w:p w14:paraId="27C2AD91" w14:textId="77777777" w:rsidR="009033A7" w:rsidRPr="00380B40" w:rsidRDefault="009033A7" w:rsidP="0079078D">
            <w:pPr>
              <w:pStyle w:val="Tabletext"/>
              <w:jc w:val="right"/>
              <w:rPr>
                <w:rFonts w:asciiTheme="majorBidi" w:eastAsia="Times New Roman" w:hAnsiTheme="majorBidi" w:cstheme="majorBidi"/>
                <w:b/>
                <w:bCs/>
                <w:szCs w:val="20"/>
                <w:lang w:val="en-GB"/>
              </w:rPr>
            </w:pPr>
            <w:r w:rsidRPr="00380B40">
              <w:rPr>
                <w:rFonts w:asciiTheme="majorBidi" w:eastAsia="Times New Roman" w:hAnsiTheme="majorBidi" w:cstheme="majorBidi"/>
                <w:b/>
                <w:bCs/>
                <w:szCs w:val="20"/>
                <w:lang w:val="en-GB"/>
              </w:rPr>
              <w:t>230</w:t>
            </w:r>
          </w:p>
        </w:tc>
      </w:tr>
      <w:tr w:rsidR="009033A7" w:rsidRPr="00380B40" w14:paraId="79056100" w14:textId="77777777" w:rsidTr="00DE1739">
        <w:tc>
          <w:tcPr>
            <w:tcW w:w="3538" w:type="dxa"/>
            <w:shd w:val="clear" w:color="auto" w:fill="auto"/>
          </w:tcPr>
          <w:p w14:paraId="1B35C9E8" w14:textId="77777777" w:rsidR="009033A7" w:rsidRPr="00380B40" w:rsidRDefault="009033A7" w:rsidP="0079078D">
            <w:pPr>
              <w:pStyle w:val="Tabletext"/>
              <w:jc w:val="right"/>
              <w:rPr>
                <w:rFonts w:asciiTheme="majorBidi" w:eastAsia="Times New Roman" w:hAnsiTheme="majorBidi" w:cstheme="majorBidi"/>
                <w:b/>
                <w:bCs/>
                <w:szCs w:val="20"/>
                <w:lang w:val="en-GB"/>
              </w:rPr>
            </w:pPr>
            <w:r w:rsidRPr="00380B40">
              <w:rPr>
                <w:rFonts w:asciiTheme="majorBidi" w:eastAsia="Times New Roman" w:hAnsiTheme="majorBidi" w:cstheme="majorBidi"/>
                <w:b/>
                <w:bCs/>
                <w:szCs w:val="20"/>
                <w:lang w:val="en-GB"/>
              </w:rPr>
              <w:t>Total</w:t>
            </w:r>
          </w:p>
        </w:tc>
        <w:tc>
          <w:tcPr>
            <w:tcW w:w="1418" w:type="dxa"/>
            <w:shd w:val="clear" w:color="auto" w:fill="auto"/>
          </w:tcPr>
          <w:p w14:paraId="798F8957" w14:textId="77777777" w:rsidR="009033A7" w:rsidRPr="00380B40" w:rsidRDefault="009033A7" w:rsidP="0079078D">
            <w:pPr>
              <w:pStyle w:val="Tabletext"/>
              <w:jc w:val="right"/>
              <w:rPr>
                <w:rFonts w:asciiTheme="majorBidi" w:eastAsia="Times New Roman" w:hAnsiTheme="majorBidi" w:cstheme="majorBidi"/>
                <w:b/>
                <w:bCs/>
                <w:szCs w:val="20"/>
                <w:lang w:val="en-GB"/>
              </w:rPr>
            </w:pPr>
            <w:r w:rsidRPr="00380B40">
              <w:rPr>
                <w:rFonts w:asciiTheme="majorBidi" w:eastAsia="Times New Roman" w:hAnsiTheme="majorBidi" w:cstheme="majorBidi"/>
                <w:b/>
                <w:bCs/>
                <w:szCs w:val="20"/>
                <w:lang w:val="en-GB"/>
              </w:rPr>
              <w:t>2'225</w:t>
            </w:r>
          </w:p>
        </w:tc>
        <w:tc>
          <w:tcPr>
            <w:tcW w:w="1701" w:type="dxa"/>
            <w:shd w:val="clear" w:color="auto" w:fill="auto"/>
          </w:tcPr>
          <w:p w14:paraId="1294DA6D" w14:textId="77777777" w:rsidR="009033A7" w:rsidRPr="00380B40" w:rsidRDefault="009033A7" w:rsidP="0079078D">
            <w:pPr>
              <w:pStyle w:val="Tabletext"/>
              <w:jc w:val="right"/>
              <w:rPr>
                <w:rFonts w:asciiTheme="majorBidi" w:eastAsia="Times New Roman" w:hAnsiTheme="majorBidi" w:cstheme="majorBidi"/>
                <w:b/>
                <w:bCs/>
                <w:szCs w:val="20"/>
                <w:lang w:val="en-GB"/>
              </w:rPr>
            </w:pPr>
            <w:r w:rsidRPr="00380B40">
              <w:rPr>
                <w:rFonts w:asciiTheme="majorBidi" w:eastAsia="Times New Roman" w:hAnsiTheme="majorBidi" w:cstheme="majorBidi"/>
                <w:b/>
                <w:bCs/>
                <w:szCs w:val="20"/>
                <w:lang w:val="en-GB"/>
              </w:rPr>
              <w:t>1'603</w:t>
            </w:r>
          </w:p>
        </w:tc>
        <w:tc>
          <w:tcPr>
            <w:tcW w:w="1701" w:type="dxa"/>
            <w:shd w:val="clear" w:color="auto" w:fill="auto"/>
          </w:tcPr>
          <w:p w14:paraId="738C38F9" w14:textId="77777777" w:rsidR="009033A7" w:rsidRPr="00380B40" w:rsidRDefault="009033A7" w:rsidP="0079078D">
            <w:pPr>
              <w:pStyle w:val="Tabletext"/>
              <w:jc w:val="right"/>
              <w:rPr>
                <w:rFonts w:asciiTheme="majorBidi" w:eastAsia="Times New Roman" w:hAnsiTheme="majorBidi" w:cstheme="majorBidi"/>
                <w:b/>
                <w:bCs/>
                <w:szCs w:val="20"/>
                <w:lang w:val="en-GB"/>
              </w:rPr>
            </w:pPr>
            <w:r w:rsidRPr="00380B40">
              <w:rPr>
                <w:rFonts w:asciiTheme="majorBidi" w:eastAsia="Times New Roman" w:hAnsiTheme="majorBidi" w:cstheme="majorBidi"/>
                <w:b/>
                <w:bCs/>
                <w:szCs w:val="20"/>
                <w:lang w:val="en-GB"/>
              </w:rPr>
              <w:t>2'080</w:t>
            </w:r>
          </w:p>
        </w:tc>
        <w:tc>
          <w:tcPr>
            <w:tcW w:w="1270" w:type="dxa"/>
            <w:shd w:val="clear" w:color="auto" w:fill="auto"/>
          </w:tcPr>
          <w:p w14:paraId="65729D32" w14:textId="77777777" w:rsidR="009033A7" w:rsidRPr="00380B40" w:rsidRDefault="009033A7" w:rsidP="0079078D">
            <w:pPr>
              <w:pStyle w:val="Tabletext"/>
              <w:jc w:val="right"/>
              <w:rPr>
                <w:rFonts w:asciiTheme="majorBidi" w:eastAsia="Times New Roman" w:hAnsiTheme="majorBidi" w:cstheme="majorBidi"/>
                <w:b/>
                <w:bCs/>
                <w:szCs w:val="20"/>
                <w:lang w:val="en-GB"/>
              </w:rPr>
            </w:pPr>
            <w:r w:rsidRPr="00380B40">
              <w:rPr>
                <w:rFonts w:asciiTheme="majorBidi" w:eastAsia="Times New Roman" w:hAnsiTheme="majorBidi" w:cstheme="majorBidi"/>
                <w:b/>
                <w:bCs/>
                <w:szCs w:val="20"/>
                <w:lang w:val="en-GB"/>
              </w:rPr>
              <w:t>145</w:t>
            </w:r>
          </w:p>
        </w:tc>
      </w:tr>
    </w:tbl>
    <w:p w14:paraId="5E673509" w14:textId="77777777" w:rsidR="009033A7" w:rsidRPr="00380B40" w:rsidRDefault="009033A7" w:rsidP="009033A7">
      <w:pPr>
        <w:tabs>
          <w:tab w:val="center" w:pos="7088"/>
        </w:tabs>
        <w:rPr>
          <w:rFonts w:ascii="Verdana" w:hAnsi="Verdana" w:cstheme="majorBidi"/>
          <w:sz w:val="20"/>
          <w:lang w:val="en-GB"/>
        </w:rPr>
      </w:pPr>
    </w:p>
    <w:p w14:paraId="386A73CF" w14:textId="77777777" w:rsidR="00732DB3" w:rsidRPr="00380B40" w:rsidRDefault="00732DB3" w:rsidP="009033A7">
      <w:pPr>
        <w:tabs>
          <w:tab w:val="center" w:pos="7088"/>
        </w:tabs>
        <w:rPr>
          <w:rFonts w:ascii="Verdana" w:hAnsi="Verdana" w:cstheme="majorBidi"/>
          <w:sz w:val="20"/>
          <w:lang w:val="en-GB"/>
        </w:rPr>
      </w:pPr>
    </w:p>
    <w:p w14:paraId="66E9A85C" w14:textId="77777777" w:rsidR="003E72C4" w:rsidRPr="00380B40" w:rsidRDefault="003E72C4" w:rsidP="009033A7">
      <w:pPr>
        <w:tabs>
          <w:tab w:val="center" w:pos="7088"/>
        </w:tabs>
        <w:rPr>
          <w:rFonts w:ascii="Verdana" w:hAnsi="Verdana" w:cstheme="majorBidi"/>
          <w:sz w:val="20"/>
          <w:lang w:val="en-GB"/>
        </w:rPr>
      </w:pPr>
    </w:p>
    <w:p w14:paraId="2CECBB4C" w14:textId="77777777" w:rsidR="003E72C4" w:rsidRPr="00380B40" w:rsidRDefault="003E72C4" w:rsidP="009033A7">
      <w:pPr>
        <w:tabs>
          <w:tab w:val="center" w:pos="7088"/>
        </w:tabs>
        <w:rPr>
          <w:rFonts w:ascii="Verdana" w:hAnsi="Verdana" w:cstheme="majorBidi"/>
          <w:sz w:val="20"/>
          <w:lang w:val="en-GB"/>
        </w:rPr>
      </w:pPr>
    </w:p>
    <w:p w14:paraId="10DA1F57" w14:textId="77777777" w:rsidR="003E72C4" w:rsidRPr="00380B40" w:rsidRDefault="003E72C4" w:rsidP="009033A7">
      <w:pPr>
        <w:tabs>
          <w:tab w:val="center" w:pos="7088"/>
        </w:tabs>
        <w:rPr>
          <w:rFonts w:ascii="Verdana" w:hAnsi="Verdana" w:cstheme="majorBidi"/>
          <w:sz w:val="20"/>
          <w:lang w:val="en-GB"/>
        </w:rPr>
      </w:pPr>
    </w:p>
    <w:p w14:paraId="1AF10015" w14:textId="77777777" w:rsidR="00732DB3" w:rsidRPr="00380B40" w:rsidRDefault="00732DB3" w:rsidP="009033A7">
      <w:pPr>
        <w:tabs>
          <w:tab w:val="center" w:pos="7088"/>
        </w:tabs>
        <w:rPr>
          <w:rFonts w:ascii="Verdana" w:hAnsi="Verdana" w:cstheme="majorBidi"/>
          <w:sz w:val="20"/>
          <w:lang w:val="en-GB"/>
        </w:rPr>
      </w:pPr>
    </w:p>
    <w:p w14:paraId="2A9CF74D" w14:textId="77777777" w:rsidR="00732DB3" w:rsidRPr="00380B40" w:rsidRDefault="00732DB3" w:rsidP="009033A7">
      <w:pPr>
        <w:tabs>
          <w:tab w:val="center" w:pos="7088"/>
        </w:tabs>
        <w:rPr>
          <w:rFonts w:ascii="Verdana" w:hAnsi="Verdana" w:cstheme="majorBidi"/>
          <w:sz w:val="20"/>
          <w:lang w:val="en-GB"/>
        </w:rPr>
      </w:pPr>
    </w:p>
    <w:p w14:paraId="62C81E5C" w14:textId="77777777" w:rsidR="00732DB3" w:rsidRPr="00380B40" w:rsidRDefault="00732DB3" w:rsidP="009033A7">
      <w:pPr>
        <w:tabs>
          <w:tab w:val="center" w:pos="7088"/>
        </w:tabs>
        <w:rPr>
          <w:rFonts w:ascii="Verdana" w:hAnsi="Verdana" w:cstheme="majorBidi"/>
          <w:sz w:val="20"/>
          <w:lang w:val="en-GB"/>
        </w:rPr>
      </w:pPr>
    </w:p>
    <w:p w14:paraId="3241A403" w14:textId="77777777" w:rsidR="00732DB3" w:rsidRPr="00380B40" w:rsidRDefault="00732DB3" w:rsidP="009033A7">
      <w:pPr>
        <w:tabs>
          <w:tab w:val="center" w:pos="7088"/>
        </w:tabs>
        <w:rPr>
          <w:rFonts w:ascii="Verdana" w:hAnsi="Verdana" w:cstheme="majorBidi"/>
          <w:sz w:val="20"/>
          <w:lang w:val="en-GB"/>
        </w:rPr>
      </w:pPr>
    </w:p>
    <w:p w14:paraId="1B3DD2D8" w14:textId="77777777" w:rsidR="00732DB3" w:rsidRPr="00380B40" w:rsidRDefault="00732DB3" w:rsidP="009033A7">
      <w:pPr>
        <w:tabs>
          <w:tab w:val="center" w:pos="7088"/>
        </w:tabs>
        <w:rPr>
          <w:rFonts w:ascii="Verdana" w:hAnsi="Verdana" w:cstheme="majorBidi"/>
          <w:sz w:val="20"/>
          <w:lang w:val="en-GB"/>
        </w:rPr>
      </w:pPr>
    </w:p>
    <w:p w14:paraId="2DCE7473" w14:textId="77777777" w:rsidR="00732DB3" w:rsidRPr="00380B40" w:rsidRDefault="00732DB3" w:rsidP="009033A7">
      <w:pPr>
        <w:tabs>
          <w:tab w:val="center" w:pos="7088"/>
        </w:tabs>
        <w:rPr>
          <w:rFonts w:ascii="Verdana" w:hAnsi="Verdana" w:cstheme="majorBidi"/>
          <w:sz w:val="20"/>
          <w:lang w:val="en-GB"/>
        </w:rPr>
      </w:pPr>
    </w:p>
    <w:p w14:paraId="64561A4B" w14:textId="77777777" w:rsidR="009033A7" w:rsidRPr="00380B40" w:rsidRDefault="009033A7" w:rsidP="009033A7">
      <w:pPr>
        <w:overflowPunct/>
        <w:autoSpaceDE/>
        <w:autoSpaceDN/>
        <w:adjustRightInd/>
        <w:spacing w:before="0"/>
        <w:textAlignment w:val="auto"/>
        <w:rPr>
          <w:rStyle w:val="Strong"/>
          <w:sz w:val="28"/>
          <w:szCs w:val="28"/>
          <w:lang w:val="en-GB"/>
        </w:rPr>
      </w:pPr>
      <w:r w:rsidRPr="00380B40">
        <w:rPr>
          <w:rStyle w:val="Strong"/>
          <w:sz w:val="28"/>
          <w:szCs w:val="28"/>
          <w:lang w:val="en-GB"/>
        </w:rPr>
        <w:br w:type="page"/>
      </w:r>
    </w:p>
    <w:p w14:paraId="563BAA21" w14:textId="77777777" w:rsidR="00B66120" w:rsidRPr="00380B40" w:rsidRDefault="009033A7" w:rsidP="00B66120">
      <w:pPr>
        <w:pStyle w:val="AnnexNo"/>
      </w:pPr>
      <w:bookmarkStart w:id="2568" w:name="_Toc111637274"/>
      <w:r w:rsidRPr="00380B40">
        <w:t>Annex B</w:t>
      </w:r>
      <w:r w:rsidRPr="00380B40">
        <w:br/>
        <w:t>(to COM2 report)</w:t>
      </w:r>
      <w:bookmarkEnd w:id="2568"/>
    </w:p>
    <w:p w14:paraId="49FA89A2" w14:textId="77777777" w:rsidR="009033A7" w:rsidRPr="00380B40" w:rsidRDefault="009033A7" w:rsidP="00B66120">
      <w:pPr>
        <w:pStyle w:val="Annextitle"/>
      </w:pPr>
      <w:r w:rsidRPr="00380B40">
        <w:t>LIST OF PAYING ENTITIES AND ORGANIZATIONS PARTICIPATING INTO THE WORK OF THE WORLD TELECOMMUNICATION STANDARDIZATION ASSEMBLY (WTSA-20)</w:t>
      </w:r>
    </w:p>
    <w:p w14:paraId="2B7ED6EE" w14:textId="77777777" w:rsidR="009033A7" w:rsidRPr="00380B40" w:rsidRDefault="009033A7" w:rsidP="009033A7">
      <w:pPr>
        <w:rPr>
          <w:lang w:val="en-GB"/>
        </w:rPr>
      </w:pPr>
    </w:p>
    <w:p w14:paraId="3C084273" w14:textId="77777777" w:rsidR="009033A7" w:rsidRPr="00380B40" w:rsidRDefault="009033A7" w:rsidP="009033A7">
      <w:pPr>
        <w:snapToGrid w:val="0"/>
        <w:spacing w:before="0"/>
        <w:rPr>
          <w:u w:val="single"/>
          <w:lang w:val="en-GB"/>
        </w:rPr>
      </w:pPr>
      <w:r w:rsidRPr="00380B40">
        <w:rPr>
          <w:u w:val="single"/>
          <w:lang w:val="en-GB"/>
        </w:rPr>
        <w:t>Regional and other International Organizations (CV231)</w:t>
      </w:r>
    </w:p>
    <w:p w14:paraId="23EA1563" w14:textId="77777777" w:rsidR="009033A7" w:rsidRPr="00380B40" w:rsidRDefault="0079078D" w:rsidP="0079078D">
      <w:pPr>
        <w:pStyle w:val="enumlev1"/>
        <w:rPr>
          <w:lang w:val="fr-CH"/>
        </w:rPr>
      </w:pPr>
      <w:r w:rsidRPr="00380B40">
        <w:rPr>
          <w:lang w:val="fr-CH"/>
        </w:rPr>
        <w:t>•</w:t>
      </w:r>
      <w:r w:rsidRPr="00380B40">
        <w:rPr>
          <w:lang w:val="fr-CH"/>
        </w:rPr>
        <w:tab/>
      </w:r>
      <w:r w:rsidR="009033A7" w:rsidRPr="00380B40">
        <w:rPr>
          <w:lang w:val="fr-CH"/>
        </w:rPr>
        <w:t>European Union</w:t>
      </w:r>
    </w:p>
    <w:p w14:paraId="6643481C" w14:textId="77777777" w:rsidR="009033A7" w:rsidRPr="00380B40" w:rsidRDefault="0079078D" w:rsidP="0079078D">
      <w:pPr>
        <w:pStyle w:val="enumlev1"/>
        <w:rPr>
          <w:lang w:val="fr-CH"/>
        </w:rPr>
      </w:pPr>
      <w:r w:rsidRPr="00380B40">
        <w:rPr>
          <w:lang w:val="fr-CH"/>
        </w:rPr>
        <w:t>•</w:t>
      </w:r>
      <w:r w:rsidRPr="00380B40">
        <w:rPr>
          <w:lang w:val="fr-CH"/>
        </w:rPr>
        <w:tab/>
      </w:r>
      <w:r w:rsidR="009033A7" w:rsidRPr="00380B40">
        <w:rPr>
          <w:lang w:val="fr-CH"/>
        </w:rPr>
        <w:t>GSMA</w:t>
      </w:r>
    </w:p>
    <w:p w14:paraId="3E324F83" w14:textId="77777777" w:rsidR="009033A7" w:rsidRPr="00380B40" w:rsidRDefault="0079078D" w:rsidP="0079078D">
      <w:pPr>
        <w:pStyle w:val="enumlev1"/>
        <w:rPr>
          <w:lang w:val="fr-CH"/>
        </w:rPr>
      </w:pPr>
      <w:r w:rsidRPr="00380B40">
        <w:rPr>
          <w:lang w:val="fr-CH"/>
        </w:rPr>
        <w:t>•</w:t>
      </w:r>
      <w:r w:rsidRPr="00380B40">
        <w:rPr>
          <w:lang w:val="fr-CH"/>
        </w:rPr>
        <w:tab/>
      </w:r>
      <w:r w:rsidR="009033A7" w:rsidRPr="00380B40">
        <w:rPr>
          <w:lang w:val="fr-CH"/>
        </w:rPr>
        <w:t>Réseaux IP Européens Network Coordination Centre (RIPE NCC)</w:t>
      </w:r>
    </w:p>
    <w:p w14:paraId="2B21194D" w14:textId="77777777" w:rsidR="009033A7" w:rsidRPr="00380B40" w:rsidRDefault="009033A7" w:rsidP="009033A7">
      <w:pPr>
        <w:rPr>
          <w:lang w:val="fr-CH"/>
        </w:rPr>
      </w:pPr>
    </w:p>
    <w:p w14:paraId="2FD4681B" w14:textId="77777777" w:rsidR="0079078D" w:rsidRPr="00380B40" w:rsidRDefault="0079078D" w:rsidP="009033A7">
      <w:pPr>
        <w:rPr>
          <w:lang w:val="fr-CH"/>
        </w:rPr>
      </w:pPr>
    </w:p>
    <w:p w14:paraId="02AA9214" w14:textId="77777777" w:rsidR="0079078D" w:rsidRPr="00380B40" w:rsidRDefault="0079078D" w:rsidP="009033A7">
      <w:pPr>
        <w:rPr>
          <w:lang w:val="fr-CH"/>
        </w:rPr>
      </w:pPr>
    </w:p>
    <w:p w14:paraId="64B2BA91" w14:textId="77777777" w:rsidR="0079078D" w:rsidRPr="00380B40" w:rsidRDefault="0079078D" w:rsidP="009033A7">
      <w:pPr>
        <w:rPr>
          <w:lang w:val="fr-CH"/>
        </w:rPr>
      </w:pPr>
    </w:p>
    <w:p w14:paraId="37AC3A73" w14:textId="77777777" w:rsidR="0079078D" w:rsidRPr="00380B40" w:rsidRDefault="0079078D" w:rsidP="009033A7">
      <w:pPr>
        <w:rPr>
          <w:lang w:val="fr-CH"/>
        </w:rPr>
      </w:pPr>
    </w:p>
    <w:p w14:paraId="654B1C3A" w14:textId="77777777" w:rsidR="0079078D" w:rsidRPr="00380B40" w:rsidRDefault="0079078D" w:rsidP="009033A7">
      <w:pPr>
        <w:rPr>
          <w:lang w:val="fr-CH"/>
        </w:rPr>
      </w:pPr>
    </w:p>
    <w:p w14:paraId="0D86BDBB" w14:textId="77777777" w:rsidR="0079078D" w:rsidRPr="00380B40" w:rsidRDefault="0079078D" w:rsidP="009033A7">
      <w:pPr>
        <w:rPr>
          <w:lang w:val="fr-CH"/>
        </w:rPr>
      </w:pPr>
    </w:p>
    <w:p w14:paraId="05296E8D" w14:textId="77777777" w:rsidR="0079078D" w:rsidRPr="00380B40" w:rsidRDefault="0079078D" w:rsidP="009033A7">
      <w:pPr>
        <w:rPr>
          <w:lang w:val="fr-CH"/>
        </w:rPr>
      </w:pPr>
    </w:p>
    <w:p w14:paraId="2182D2DE" w14:textId="77777777" w:rsidR="0079078D" w:rsidRPr="00380B40" w:rsidRDefault="0079078D" w:rsidP="009033A7">
      <w:pPr>
        <w:rPr>
          <w:lang w:val="fr-CH"/>
        </w:rPr>
      </w:pPr>
    </w:p>
    <w:p w14:paraId="32E0589B" w14:textId="77777777" w:rsidR="003E72C4" w:rsidRPr="00380B40" w:rsidRDefault="003E72C4" w:rsidP="009033A7">
      <w:pPr>
        <w:rPr>
          <w:lang w:val="fr-CH"/>
        </w:rPr>
      </w:pPr>
    </w:p>
    <w:p w14:paraId="63B3F07F" w14:textId="77777777" w:rsidR="003E72C4" w:rsidRPr="00380B40" w:rsidRDefault="003E72C4" w:rsidP="009033A7">
      <w:pPr>
        <w:rPr>
          <w:lang w:val="fr-CH"/>
        </w:rPr>
      </w:pPr>
    </w:p>
    <w:p w14:paraId="091E2F34" w14:textId="77777777" w:rsidR="003E72C4" w:rsidRPr="00380B40" w:rsidRDefault="003E72C4" w:rsidP="009033A7">
      <w:pPr>
        <w:rPr>
          <w:lang w:val="fr-CH"/>
        </w:rPr>
      </w:pPr>
    </w:p>
    <w:p w14:paraId="6605830E" w14:textId="77777777" w:rsidR="003E72C4" w:rsidRPr="00380B40" w:rsidRDefault="003E72C4" w:rsidP="009033A7">
      <w:pPr>
        <w:rPr>
          <w:lang w:val="fr-CH"/>
        </w:rPr>
      </w:pPr>
    </w:p>
    <w:p w14:paraId="7C818D85" w14:textId="77777777" w:rsidR="0079078D" w:rsidRPr="00380B40" w:rsidRDefault="0079078D" w:rsidP="009033A7">
      <w:pPr>
        <w:rPr>
          <w:lang w:val="fr-CH"/>
        </w:rPr>
      </w:pPr>
    </w:p>
    <w:p w14:paraId="111F1491" w14:textId="77777777" w:rsidR="0079078D" w:rsidRPr="00380B40" w:rsidRDefault="0079078D" w:rsidP="009033A7">
      <w:pPr>
        <w:rPr>
          <w:lang w:val="fr-CH"/>
        </w:rPr>
      </w:pPr>
    </w:p>
    <w:p w14:paraId="7064ABDB" w14:textId="77777777" w:rsidR="0079078D" w:rsidRPr="00380B40" w:rsidRDefault="0079078D" w:rsidP="009033A7">
      <w:pPr>
        <w:rPr>
          <w:lang w:val="fr-CH"/>
        </w:rPr>
      </w:pPr>
    </w:p>
    <w:p w14:paraId="6121DEB4" w14:textId="77777777" w:rsidR="0079078D" w:rsidRPr="00380B40" w:rsidRDefault="0079078D" w:rsidP="009033A7">
      <w:pPr>
        <w:rPr>
          <w:lang w:val="fr-CH"/>
        </w:rPr>
      </w:pPr>
    </w:p>
    <w:p w14:paraId="6B6979D4" w14:textId="77777777" w:rsidR="0079078D" w:rsidRPr="00380B40" w:rsidRDefault="0079078D" w:rsidP="009033A7">
      <w:pPr>
        <w:rPr>
          <w:lang w:val="fr-CH"/>
        </w:rPr>
      </w:pPr>
    </w:p>
    <w:p w14:paraId="48739D12" w14:textId="77777777" w:rsidR="0079078D" w:rsidRPr="00380B40" w:rsidRDefault="0079078D" w:rsidP="009033A7">
      <w:pPr>
        <w:rPr>
          <w:lang w:val="fr-CH"/>
        </w:rPr>
      </w:pPr>
    </w:p>
    <w:p w14:paraId="165D9A7A" w14:textId="77777777" w:rsidR="0079078D" w:rsidRPr="00380B40" w:rsidRDefault="0079078D" w:rsidP="009033A7">
      <w:pPr>
        <w:rPr>
          <w:lang w:val="fr-CH"/>
        </w:rPr>
      </w:pPr>
    </w:p>
    <w:p w14:paraId="1FFBF31E" w14:textId="77777777" w:rsidR="0079078D" w:rsidRPr="00380B40" w:rsidRDefault="0079078D" w:rsidP="009033A7">
      <w:pPr>
        <w:rPr>
          <w:lang w:val="fr-CH"/>
        </w:rPr>
      </w:pPr>
    </w:p>
    <w:p w14:paraId="1FAA939A" w14:textId="77777777" w:rsidR="0079078D" w:rsidRPr="00380B40" w:rsidRDefault="0079078D" w:rsidP="009033A7">
      <w:pPr>
        <w:rPr>
          <w:lang w:val="fr-CH"/>
        </w:rPr>
      </w:pPr>
    </w:p>
    <w:p w14:paraId="6DED3C48" w14:textId="77777777" w:rsidR="009033A7" w:rsidRPr="00380B40" w:rsidRDefault="009033A7" w:rsidP="009033A7">
      <w:pPr>
        <w:overflowPunct/>
        <w:autoSpaceDE/>
        <w:autoSpaceDN/>
        <w:adjustRightInd/>
        <w:spacing w:before="0"/>
        <w:textAlignment w:val="auto"/>
        <w:rPr>
          <w:lang w:val="fr-CH"/>
        </w:rPr>
      </w:pPr>
      <w:r w:rsidRPr="00380B40">
        <w:rPr>
          <w:lang w:val="fr-CH"/>
        </w:rPr>
        <w:br w:type="page"/>
      </w:r>
    </w:p>
    <w:p w14:paraId="412E7EFB" w14:textId="77777777" w:rsidR="00B66120" w:rsidRPr="00380B40" w:rsidRDefault="009033A7" w:rsidP="00B66120">
      <w:pPr>
        <w:pStyle w:val="AnnexNo"/>
        <w:rPr>
          <w:b/>
        </w:rPr>
      </w:pPr>
      <w:bookmarkStart w:id="2569" w:name="_Toc111637275"/>
      <w:r w:rsidRPr="00380B40">
        <w:rPr>
          <w:b/>
        </w:rPr>
        <w:t>Annex C</w:t>
      </w:r>
      <w:r w:rsidRPr="00380B40">
        <w:rPr>
          <w:b/>
        </w:rPr>
        <w:br/>
      </w:r>
      <w:r w:rsidRPr="00380B40">
        <w:t>(to COM2 report)</w:t>
      </w:r>
      <w:bookmarkEnd w:id="2569"/>
    </w:p>
    <w:p w14:paraId="2FCA4185" w14:textId="77777777" w:rsidR="009033A7" w:rsidRPr="00380B40" w:rsidRDefault="009033A7" w:rsidP="00B66120">
      <w:pPr>
        <w:pStyle w:val="Annextitle"/>
        <w:rPr>
          <w:caps/>
        </w:rPr>
      </w:pPr>
      <w:r w:rsidRPr="00380B40">
        <w:t xml:space="preserve">Potential Financial implications of Decisions and Resolutions </w:t>
      </w:r>
      <w:r w:rsidRPr="00380B40">
        <w:br/>
        <w:t>of the Assembly (WTSA-20)</w:t>
      </w:r>
    </w:p>
    <w:p w14:paraId="7D405917" w14:textId="77777777" w:rsidR="009033A7" w:rsidRPr="00380B40" w:rsidRDefault="009033A7" w:rsidP="009033A7">
      <w:pPr>
        <w:jc w:val="center"/>
        <w:rPr>
          <w:lang w:val="en-GB"/>
        </w:rPr>
      </w:pPr>
    </w:p>
    <w:p w14:paraId="28A6B607" w14:textId="77777777" w:rsidR="009033A7" w:rsidRPr="00380B40" w:rsidRDefault="009033A7" w:rsidP="00AD0C2E">
      <w:pPr>
        <w:pStyle w:val="Normalcenteraligned"/>
      </w:pPr>
      <w:r w:rsidRPr="00380B40">
        <w:t>COST ASSESSMENT</w:t>
      </w:r>
    </w:p>
    <w:p w14:paraId="1EA1E8F6" w14:textId="77777777" w:rsidR="009033A7" w:rsidRPr="00380B40" w:rsidRDefault="009033A7" w:rsidP="009033A7">
      <w:pPr>
        <w:rPr>
          <w:lang w:val="en-GB"/>
        </w:rPr>
      </w:pPr>
    </w:p>
    <w:p w14:paraId="4472E49B" w14:textId="77777777" w:rsidR="009033A7" w:rsidRPr="00380B40" w:rsidRDefault="008C64D3" w:rsidP="008C64D3">
      <w:pPr>
        <w:pStyle w:val="Heading1"/>
        <w:rPr>
          <w:bCs/>
          <w:lang w:val="en-GB"/>
        </w:rPr>
      </w:pPr>
      <w:bookmarkStart w:id="2570" w:name="_Toc111637276"/>
      <w:r w:rsidRPr="00380B40">
        <w:rPr>
          <w:bCs/>
          <w:lang w:val="en-GB"/>
        </w:rPr>
        <w:t>1.</w:t>
      </w:r>
      <w:r w:rsidRPr="00380B40">
        <w:rPr>
          <w:bCs/>
          <w:lang w:val="en-GB"/>
        </w:rPr>
        <w:tab/>
      </w:r>
      <w:r w:rsidR="009033A7" w:rsidRPr="00380B40">
        <w:rPr>
          <w:bCs/>
          <w:lang w:val="en-GB"/>
        </w:rPr>
        <w:t xml:space="preserve">Reply to the note from Committee 3 (Document </w:t>
      </w:r>
      <w:hyperlink r:id="rId688" w:history="1">
        <w:r w:rsidR="009033A7" w:rsidRPr="00380B40">
          <w:rPr>
            <w:rStyle w:val="Hyperlink"/>
            <w:bCs/>
            <w:lang w:val="en-GB"/>
          </w:rPr>
          <w:t>65</w:t>
        </w:r>
      </w:hyperlink>
      <w:r w:rsidR="009033A7" w:rsidRPr="00380B40">
        <w:rPr>
          <w:bCs/>
          <w:lang w:val="en-GB"/>
        </w:rPr>
        <w:t>)</w:t>
      </w:r>
      <w:bookmarkEnd w:id="2570"/>
    </w:p>
    <w:p w14:paraId="06B8F3D7" w14:textId="77777777" w:rsidR="009033A7" w:rsidRPr="00380B40" w:rsidRDefault="009033A7" w:rsidP="008C64D3">
      <w:pPr>
        <w:rPr>
          <w:lang w:val="en-GB"/>
        </w:rPr>
      </w:pPr>
      <w:r w:rsidRPr="00380B40">
        <w:rPr>
          <w:lang w:val="en-GB"/>
        </w:rPr>
        <w:t xml:space="preserve">Ref. Document </w:t>
      </w:r>
      <w:hyperlink r:id="rId689" w:history="1">
        <w:r w:rsidRPr="00380B40">
          <w:rPr>
            <w:rStyle w:val="Hyperlink"/>
            <w:lang w:val="en-GB"/>
          </w:rPr>
          <w:t>DT/26</w:t>
        </w:r>
      </w:hyperlink>
      <w:r w:rsidRPr="00380B40">
        <w:rPr>
          <w:lang w:val="en-GB"/>
        </w:rPr>
        <w:t xml:space="preserve"> - Draft revised Resolution 67 </w:t>
      </w:r>
      <w:r w:rsidR="004831FF" w:rsidRPr="00380B40">
        <w:rPr>
          <w:lang w:val="en-GB"/>
        </w:rPr>
        <w:t>–</w:t>
      </w:r>
      <w:r w:rsidRPr="00380B40">
        <w:rPr>
          <w:lang w:val="en-GB"/>
        </w:rPr>
        <w:t xml:space="preserve"> Use in the ITU Telecommunication Standardization Sector of the languages of the Union on an equal footing).</w:t>
      </w:r>
    </w:p>
    <w:p w14:paraId="006F374E" w14:textId="77777777" w:rsidR="009033A7" w:rsidRPr="00380B40" w:rsidRDefault="009033A7" w:rsidP="008C64D3">
      <w:pPr>
        <w:rPr>
          <w:lang w:val="en-GB"/>
        </w:rPr>
      </w:pPr>
      <w:r w:rsidRPr="00380B40">
        <w:rPr>
          <w:lang w:val="en-GB"/>
        </w:rPr>
        <w:t>The potential financial impact would be on Translation/Typing expenses.</w:t>
      </w:r>
    </w:p>
    <w:p w14:paraId="45A967A7" w14:textId="77777777" w:rsidR="009033A7" w:rsidRPr="00380B40" w:rsidRDefault="009033A7" w:rsidP="008C64D3">
      <w:pPr>
        <w:rPr>
          <w:lang w:val="en-GB"/>
        </w:rPr>
      </w:pPr>
      <w:r w:rsidRPr="00380B40">
        <w:rPr>
          <w:lang w:val="en-GB"/>
        </w:rPr>
        <w:t xml:space="preserve">Under </w:t>
      </w:r>
      <w:r w:rsidRPr="00380B40">
        <w:rPr>
          <w:i/>
          <w:lang w:val="en-GB"/>
        </w:rPr>
        <w:t>instructs the Director of the Telecommunication Standardization Bureau</w:t>
      </w:r>
      <w:r w:rsidRPr="00380B40">
        <w:rPr>
          <w:lang w:val="en-GB"/>
        </w:rPr>
        <w:t>, the following proposed revisions will have financial implications:</w:t>
      </w:r>
    </w:p>
    <w:p w14:paraId="0EFA53FA" w14:textId="77777777" w:rsidR="009033A7" w:rsidRPr="00380B40" w:rsidRDefault="009033A7" w:rsidP="008C64D3">
      <w:pPr>
        <w:rPr>
          <w:lang w:val="en-GB"/>
        </w:rPr>
      </w:pPr>
      <w:r w:rsidRPr="00380B40">
        <w:rPr>
          <w:lang w:val="en-GB"/>
        </w:rPr>
        <w:t>2</w:t>
      </w:r>
      <w:r w:rsidRPr="00380B40">
        <w:rPr>
          <w:lang w:val="en-GB"/>
        </w:rPr>
        <w:tab/>
        <w:t>to translate all TSAG reports</w:t>
      </w:r>
      <w:r w:rsidRPr="00C777D4">
        <w:rPr>
          <w:rStyle w:val="Red"/>
          <w:u w:val="single"/>
          <w:lang w:val="en-GB"/>
        </w:rPr>
        <w:t>, and the reports of study group plenary meetings</w:t>
      </w:r>
      <w:r w:rsidRPr="00380B40">
        <w:rPr>
          <w:lang w:val="en-GB"/>
        </w:rPr>
        <w:t xml:space="preserve"> in all the </w:t>
      </w:r>
      <w:r w:rsidRPr="00C777D4">
        <w:rPr>
          <w:rStyle w:val="Red"/>
          <w:u w:val="single"/>
          <w:lang w:val="en-GB"/>
        </w:rPr>
        <w:t>official</w:t>
      </w:r>
      <w:r w:rsidRPr="00380B40">
        <w:rPr>
          <w:lang w:val="en-GB"/>
        </w:rPr>
        <w:t xml:space="preserve"> languages of the Union;</w:t>
      </w:r>
    </w:p>
    <w:p w14:paraId="347468C0" w14:textId="77777777" w:rsidR="009033A7" w:rsidRPr="00C777D4" w:rsidRDefault="009033A7" w:rsidP="008C64D3">
      <w:pPr>
        <w:rPr>
          <w:rStyle w:val="Red"/>
          <w:u w:val="single"/>
          <w:lang w:val="en-GB"/>
        </w:rPr>
      </w:pPr>
      <w:r w:rsidRPr="00C777D4">
        <w:rPr>
          <w:rStyle w:val="Red"/>
          <w:u w:val="single"/>
          <w:lang w:val="en-GB"/>
        </w:rPr>
        <w:t>3</w:t>
      </w:r>
      <w:r w:rsidRPr="00C777D4">
        <w:rPr>
          <w:rStyle w:val="Red"/>
          <w:u w:val="single"/>
          <w:lang w:val="en-GB"/>
        </w:rPr>
        <w:tab/>
        <w:t>to translate all A-series ITU-T Recommendations (ITU-T working methods) in all the official languages of the Union;</w:t>
      </w:r>
    </w:p>
    <w:p w14:paraId="70E359CD" w14:textId="77777777" w:rsidR="009033A7" w:rsidRPr="00C777D4" w:rsidRDefault="009033A7" w:rsidP="00E856C8">
      <w:pPr>
        <w:rPr>
          <w:u w:val="single"/>
          <w:lang w:val="en-GB"/>
        </w:rPr>
      </w:pPr>
      <w:r w:rsidRPr="00C777D4">
        <w:rPr>
          <w:rStyle w:val="Red"/>
          <w:u w:val="single"/>
          <w:lang w:val="en-GB"/>
        </w:rPr>
        <w:t>3</w:t>
      </w:r>
      <w:r w:rsidRPr="00C5126D">
        <w:rPr>
          <w:rStyle w:val="Reditalic"/>
          <w:i/>
          <w:iCs/>
          <w:u w:val="single"/>
          <w:lang w:val="en-GB"/>
        </w:rPr>
        <w:t>bis</w:t>
      </w:r>
      <w:r w:rsidRPr="00C777D4">
        <w:rPr>
          <w:u w:val="single"/>
          <w:lang w:val="en-GB"/>
        </w:rPr>
        <w:t xml:space="preserve"> </w:t>
      </w:r>
      <w:r w:rsidR="008C64D3" w:rsidRPr="00C777D4">
        <w:rPr>
          <w:u w:val="single"/>
          <w:lang w:val="en-GB"/>
        </w:rPr>
        <w:tab/>
      </w:r>
      <w:r w:rsidRPr="00C777D4">
        <w:rPr>
          <w:rStyle w:val="Red"/>
          <w:u w:val="single"/>
          <w:lang w:val="en-GB"/>
        </w:rPr>
        <w:t>to translate all guidelines on intellectual property rights in ITU-T;</w:t>
      </w:r>
    </w:p>
    <w:p w14:paraId="5CF8F552" w14:textId="77777777" w:rsidR="009033A7" w:rsidRPr="00C777D4" w:rsidRDefault="009033A7" w:rsidP="008C64D3">
      <w:pPr>
        <w:rPr>
          <w:rStyle w:val="Red"/>
          <w:u w:val="single"/>
          <w:lang w:val="en-GB"/>
        </w:rPr>
      </w:pPr>
      <w:r w:rsidRPr="00C777D4">
        <w:rPr>
          <w:rStyle w:val="Red"/>
          <w:u w:val="single"/>
          <w:lang w:val="en-GB"/>
        </w:rPr>
        <w:t>4</w:t>
      </w:r>
      <w:r w:rsidRPr="00C777D4">
        <w:rPr>
          <w:rStyle w:val="Red"/>
          <w:u w:val="single"/>
          <w:lang w:val="en-GB"/>
        </w:rPr>
        <w:tab/>
        <w:t>to translate documents relating to the mandates and working methods of the TSB Director's Ad-Hoc groups;</w:t>
      </w:r>
    </w:p>
    <w:p w14:paraId="55E841B3" w14:textId="77777777" w:rsidR="009033A7" w:rsidRPr="00380B40" w:rsidRDefault="009033A7" w:rsidP="009033A7">
      <w:pPr>
        <w:rPr>
          <w:lang w:val="en-GB"/>
        </w:rPr>
      </w:pPr>
    </w:p>
    <w:p w14:paraId="4A2D53FB" w14:textId="77777777" w:rsidR="009033A7" w:rsidRPr="00380B40" w:rsidRDefault="009033A7" w:rsidP="009033A7">
      <w:pPr>
        <w:rPr>
          <w:lang w:val="en-GB"/>
        </w:rPr>
      </w:pPr>
      <w:r w:rsidRPr="00380B40">
        <w:rPr>
          <w:lang w:val="en-GB"/>
        </w:rPr>
        <w:t>Summary of the potential financial impact of the revised Resolution 67</w:t>
      </w:r>
    </w:p>
    <w:tbl>
      <w:tblPr>
        <w:tblStyle w:val="TableGrid"/>
        <w:tblW w:w="5000" w:type="pct"/>
        <w:tblLook w:val="04A0" w:firstRow="1" w:lastRow="0" w:firstColumn="1" w:lastColumn="0" w:noHBand="0" w:noVBand="1"/>
      </w:tblPr>
      <w:tblGrid>
        <w:gridCol w:w="5425"/>
        <w:gridCol w:w="1968"/>
        <w:gridCol w:w="2235"/>
      </w:tblGrid>
      <w:tr w:rsidR="009033A7" w:rsidRPr="004E0F36" w14:paraId="619781C1" w14:textId="77777777" w:rsidTr="00DE1739">
        <w:tc>
          <w:tcPr>
            <w:tcW w:w="5425" w:type="dxa"/>
            <w:shd w:val="clear" w:color="auto" w:fill="auto"/>
          </w:tcPr>
          <w:p w14:paraId="47FBA9DC" w14:textId="77777777" w:rsidR="009033A7" w:rsidRPr="00380B40" w:rsidRDefault="009033A7" w:rsidP="00427615">
            <w:pPr>
              <w:pStyle w:val="Tableheadwhitecentred"/>
            </w:pPr>
            <w:r w:rsidRPr="00380B40">
              <w:t>Documents</w:t>
            </w:r>
          </w:p>
        </w:tc>
        <w:tc>
          <w:tcPr>
            <w:tcW w:w="1968" w:type="dxa"/>
            <w:shd w:val="clear" w:color="auto" w:fill="auto"/>
          </w:tcPr>
          <w:p w14:paraId="1CB0496C" w14:textId="77777777" w:rsidR="009033A7" w:rsidRPr="00380B40" w:rsidRDefault="009033A7" w:rsidP="00427615">
            <w:pPr>
              <w:pStyle w:val="Tableheadwhitecentred"/>
            </w:pPr>
            <w:r w:rsidRPr="00380B40">
              <w:t>Annual additional number of pages to be translated</w:t>
            </w:r>
          </w:p>
        </w:tc>
        <w:tc>
          <w:tcPr>
            <w:tcW w:w="2235" w:type="dxa"/>
            <w:shd w:val="clear" w:color="auto" w:fill="auto"/>
          </w:tcPr>
          <w:p w14:paraId="31FD6850" w14:textId="77777777" w:rsidR="009033A7" w:rsidRPr="00380B40" w:rsidRDefault="009033A7" w:rsidP="00427615">
            <w:pPr>
              <w:pStyle w:val="Tableheadwhitecentred"/>
            </w:pPr>
            <w:r w:rsidRPr="00380B40">
              <w:t>Annual financial implication (in kCHF)</w:t>
            </w:r>
          </w:p>
        </w:tc>
      </w:tr>
      <w:tr w:rsidR="009033A7" w:rsidRPr="00380B40" w14:paraId="3404B7C0" w14:textId="77777777" w:rsidTr="00DE1739">
        <w:tc>
          <w:tcPr>
            <w:tcW w:w="5425" w:type="dxa"/>
            <w:shd w:val="clear" w:color="auto" w:fill="auto"/>
          </w:tcPr>
          <w:p w14:paraId="0C59A7E7" w14:textId="77777777" w:rsidR="009033A7" w:rsidRPr="00380B40" w:rsidRDefault="009033A7" w:rsidP="008C64D3">
            <w:pPr>
              <w:pStyle w:val="Tabletext"/>
              <w:rPr>
                <w:lang w:val="en-GB"/>
              </w:rPr>
            </w:pPr>
            <w:r w:rsidRPr="00380B40">
              <w:rPr>
                <w:lang w:val="en-GB"/>
              </w:rPr>
              <w:t>Reports of study group plenary meetings</w:t>
            </w:r>
          </w:p>
        </w:tc>
        <w:tc>
          <w:tcPr>
            <w:tcW w:w="1968" w:type="dxa"/>
            <w:shd w:val="clear" w:color="auto" w:fill="auto"/>
          </w:tcPr>
          <w:p w14:paraId="668AF3C6" w14:textId="77777777" w:rsidR="009033A7" w:rsidRPr="00380B40" w:rsidRDefault="009033A7" w:rsidP="008C64D3">
            <w:pPr>
              <w:pStyle w:val="Tabletext"/>
              <w:jc w:val="center"/>
              <w:rPr>
                <w:lang w:val="en-GB"/>
              </w:rPr>
            </w:pPr>
            <w:r w:rsidRPr="00380B40">
              <w:rPr>
                <w:lang w:val="en-GB"/>
              </w:rPr>
              <w:t>1'313</w:t>
            </w:r>
          </w:p>
        </w:tc>
        <w:tc>
          <w:tcPr>
            <w:tcW w:w="2235" w:type="dxa"/>
            <w:shd w:val="clear" w:color="auto" w:fill="auto"/>
          </w:tcPr>
          <w:p w14:paraId="7BB6EF3B" w14:textId="77777777" w:rsidR="009033A7" w:rsidRPr="00380B40" w:rsidRDefault="009033A7" w:rsidP="008C64D3">
            <w:pPr>
              <w:pStyle w:val="Tabletext"/>
              <w:jc w:val="center"/>
              <w:rPr>
                <w:lang w:val="en-GB"/>
              </w:rPr>
            </w:pPr>
            <w:r w:rsidRPr="00380B40">
              <w:rPr>
                <w:lang w:val="en-GB"/>
              </w:rPr>
              <w:t>1'368</w:t>
            </w:r>
          </w:p>
        </w:tc>
      </w:tr>
      <w:tr w:rsidR="009033A7" w:rsidRPr="00380B40" w14:paraId="75370CC0" w14:textId="77777777" w:rsidTr="00DE1739">
        <w:tc>
          <w:tcPr>
            <w:tcW w:w="5425" w:type="dxa"/>
            <w:shd w:val="clear" w:color="auto" w:fill="auto"/>
          </w:tcPr>
          <w:p w14:paraId="340A0A68" w14:textId="77777777" w:rsidR="009033A7" w:rsidRPr="00380B40" w:rsidRDefault="009033A7" w:rsidP="008C64D3">
            <w:pPr>
              <w:pStyle w:val="Tabletext"/>
              <w:rPr>
                <w:lang w:val="en-GB"/>
              </w:rPr>
            </w:pPr>
            <w:r w:rsidRPr="00380B40">
              <w:rPr>
                <w:lang w:val="en-GB"/>
              </w:rPr>
              <w:t>All guidelines on intellectual property rights in ITU-T</w:t>
            </w:r>
          </w:p>
        </w:tc>
        <w:tc>
          <w:tcPr>
            <w:tcW w:w="1968" w:type="dxa"/>
            <w:shd w:val="clear" w:color="auto" w:fill="auto"/>
          </w:tcPr>
          <w:p w14:paraId="003E0077" w14:textId="77777777" w:rsidR="009033A7" w:rsidRPr="00380B40" w:rsidRDefault="009033A7" w:rsidP="008C64D3">
            <w:pPr>
              <w:pStyle w:val="Tabletext"/>
              <w:jc w:val="center"/>
              <w:rPr>
                <w:lang w:val="en-GB"/>
              </w:rPr>
            </w:pPr>
            <w:r w:rsidRPr="00380B40">
              <w:rPr>
                <w:lang w:val="en-GB"/>
              </w:rPr>
              <w:t>30</w:t>
            </w:r>
          </w:p>
        </w:tc>
        <w:tc>
          <w:tcPr>
            <w:tcW w:w="2235" w:type="dxa"/>
            <w:shd w:val="clear" w:color="auto" w:fill="auto"/>
          </w:tcPr>
          <w:p w14:paraId="65A4900C" w14:textId="77777777" w:rsidR="009033A7" w:rsidRPr="00380B40" w:rsidRDefault="009033A7" w:rsidP="008C64D3">
            <w:pPr>
              <w:pStyle w:val="Tabletext"/>
              <w:jc w:val="center"/>
              <w:rPr>
                <w:lang w:val="en-GB"/>
              </w:rPr>
            </w:pPr>
            <w:r w:rsidRPr="00380B40">
              <w:rPr>
                <w:lang w:val="en-GB"/>
              </w:rPr>
              <w:t>31</w:t>
            </w:r>
          </w:p>
        </w:tc>
      </w:tr>
      <w:tr w:rsidR="009033A7" w:rsidRPr="00380B40" w14:paraId="49C19E39" w14:textId="77777777" w:rsidTr="00DE1739">
        <w:tc>
          <w:tcPr>
            <w:tcW w:w="5425" w:type="dxa"/>
            <w:shd w:val="clear" w:color="auto" w:fill="auto"/>
          </w:tcPr>
          <w:p w14:paraId="5BF11BA8" w14:textId="77777777" w:rsidR="009033A7" w:rsidRPr="00380B40" w:rsidRDefault="009033A7" w:rsidP="008C64D3">
            <w:pPr>
              <w:pStyle w:val="Tabletext"/>
              <w:rPr>
                <w:lang w:val="en-GB"/>
              </w:rPr>
            </w:pPr>
            <w:r w:rsidRPr="00380B40">
              <w:rPr>
                <w:lang w:val="en-GB"/>
              </w:rPr>
              <w:t>Documents relating to the mandates and working methods of the TSB Director's Ad-Hoc groups</w:t>
            </w:r>
          </w:p>
        </w:tc>
        <w:tc>
          <w:tcPr>
            <w:tcW w:w="1968" w:type="dxa"/>
            <w:shd w:val="clear" w:color="auto" w:fill="auto"/>
          </w:tcPr>
          <w:p w14:paraId="4BBEEA40" w14:textId="77777777" w:rsidR="009033A7" w:rsidRPr="00380B40" w:rsidRDefault="009033A7" w:rsidP="008C64D3">
            <w:pPr>
              <w:pStyle w:val="Tabletext"/>
              <w:jc w:val="center"/>
              <w:rPr>
                <w:lang w:val="en-GB"/>
              </w:rPr>
            </w:pPr>
            <w:r w:rsidRPr="00380B40">
              <w:rPr>
                <w:lang w:val="en-GB"/>
              </w:rPr>
              <w:t>5</w:t>
            </w:r>
          </w:p>
        </w:tc>
        <w:tc>
          <w:tcPr>
            <w:tcW w:w="2235" w:type="dxa"/>
            <w:shd w:val="clear" w:color="auto" w:fill="auto"/>
          </w:tcPr>
          <w:p w14:paraId="762D7A81" w14:textId="77777777" w:rsidR="009033A7" w:rsidRPr="00380B40" w:rsidRDefault="009033A7" w:rsidP="008C64D3">
            <w:pPr>
              <w:pStyle w:val="Tabletext"/>
              <w:jc w:val="center"/>
              <w:rPr>
                <w:lang w:val="en-GB"/>
              </w:rPr>
            </w:pPr>
            <w:r w:rsidRPr="00380B40">
              <w:rPr>
                <w:lang w:val="en-GB"/>
              </w:rPr>
              <w:t>5</w:t>
            </w:r>
          </w:p>
        </w:tc>
      </w:tr>
      <w:tr w:rsidR="009033A7" w:rsidRPr="00380B40" w14:paraId="396E953D" w14:textId="77777777" w:rsidTr="00DE1739">
        <w:tc>
          <w:tcPr>
            <w:tcW w:w="5425" w:type="dxa"/>
            <w:shd w:val="clear" w:color="auto" w:fill="auto"/>
          </w:tcPr>
          <w:p w14:paraId="23DFD82F" w14:textId="77777777" w:rsidR="009033A7" w:rsidRPr="00380B40" w:rsidRDefault="009033A7" w:rsidP="008C64D3">
            <w:pPr>
              <w:pStyle w:val="Tabletext"/>
              <w:jc w:val="center"/>
              <w:rPr>
                <w:b/>
                <w:bCs/>
                <w:lang w:val="en-GB"/>
              </w:rPr>
            </w:pPr>
            <w:r w:rsidRPr="00380B40">
              <w:rPr>
                <w:b/>
                <w:bCs/>
                <w:lang w:val="en-GB"/>
              </w:rPr>
              <w:t>Total</w:t>
            </w:r>
          </w:p>
        </w:tc>
        <w:tc>
          <w:tcPr>
            <w:tcW w:w="1968" w:type="dxa"/>
            <w:shd w:val="clear" w:color="auto" w:fill="auto"/>
          </w:tcPr>
          <w:p w14:paraId="5D7556FE" w14:textId="77777777" w:rsidR="009033A7" w:rsidRPr="00380B40" w:rsidRDefault="009033A7" w:rsidP="008C64D3">
            <w:pPr>
              <w:pStyle w:val="Tabletext"/>
              <w:jc w:val="center"/>
              <w:rPr>
                <w:b/>
                <w:bCs/>
                <w:lang w:val="en-GB"/>
              </w:rPr>
            </w:pPr>
            <w:r w:rsidRPr="00380B40">
              <w:rPr>
                <w:b/>
                <w:bCs/>
                <w:lang w:val="en-GB"/>
              </w:rPr>
              <w:t>1'348</w:t>
            </w:r>
          </w:p>
        </w:tc>
        <w:tc>
          <w:tcPr>
            <w:tcW w:w="2235" w:type="dxa"/>
            <w:shd w:val="clear" w:color="auto" w:fill="auto"/>
          </w:tcPr>
          <w:p w14:paraId="799738E5" w14:textId="77777777" w:rsidR="009033A7" w:rsidRPr="00380B40" w:rsidRDefault="009033A7" w:rsidP="008C64D3">
            <w:pPr>
              <w:pStyle w:val="Tabletext"/>
              <w:jc w:val="center"/>
              <w:rPr>
                <w:b/>
                <w:bCs/>
                <w:lang w:val="en-GB"/>
              </w:rPr>
            </w:pPr>
            <w:r w:rsidRPr="00380B40">
              <w:rPr>
                <w:b/>
                <w:bCs/>
                <w:lang w:val="en-GB"/>
              </w:rPr>
              <w:t>1'404</w:t>
            </w:r>
          </w:p>
        </w:tc>
      </w:tr>
    </w:tbl>
    <w:p w14:paraId="62601C4D" w14:textId="77777777" w:rsidR="00AD0C2E" w:rsidRPr="00380B40" w:rsidRDefault="00AD0C2E" w:rsidP="009033A7">
      <w:pPr>
        <w:rPr>
          <w:lang w:val="en-GB"/>
        </w:rPr>
      </w:pPr>
    </w:p>
    <w:p w14:paraId="1C2A9955" w14:textId="77777777" w:rsidR="00AD0C2E" w:rsidRPr="00380B40" w:rsidRDefault="00AD0C2E" w:rsidP="009033A7">
      <w:pPr>
        <w:rPr>
          <w:lang w:val="en-GB"/>
        </w:rPr>
      </w:pPr>
    </w:p>
    <w:p w14:paraId="2948FFD0" w14:textId="77777777" w:rsidR="00AD0C2E" w:rsidRPr="00380B40" w:rsidRDefault="00AD0C2E" w:rsidP="009033A7">
      <w:pPr>
        <w:rPr>
          <w:lang w:val="en-GB"/>
        </w:rPr>
      </w:pPr>
    </w:p>
    <w:p w14:paraId="708A8F4C" w14:textId="77777777" w:rsidR="00AD0C2E" w:rsidRPr="00380B40" w:rsidRDefault="00AD0C2E" w:rsidP="009033A7">
      <w:pPr>
        <w:rPr>
          <w:lang w:val="en-GB"/>
        </w:rPr>
      </w:pPr>
      <w:r w:rsidRPr="00380B40">
        <w:rPr>
          <w:lang w:val="en-GB"/>
        </w:rPr>
        <w:br w:type="page"/>
      </w:r>
    </w:p>
    <w:p w14:paraId="0EA8546B" w14:textId="77777777" w:rsidR="009033A7" w:rsidRPr="00380B40" w:rsidRDefault="009033A7" w:rsidP="009033A7">
      <w:pPr>
        <w:rPr>
          <w:lang w:val="en-GB"/>
        </w:rPr>
      </w:pPr>
      <w:r w:rsidRPr="00380B40">
        <w:rPr>
          <w:lang w:val="en-GB"/>
        </w:rPr>
        <w:t>The cost to translate one page from English to the other five official languages of the Union is CHF 1'041,71 (724,82 CHF for the Translation + 316,89 CHF for the Typing).</w:t>
      </w:r>
    </w:p>
    <w:p w14:paraId="6ABB3F72" w14:textId="77777777" w:rsidR="009033A7" w:rsidRPr="00380B40" w:rsidRDefault="009033A7" w:rsidP="009033A7">
      <w:pPr>
        <w:rPr>
          <w:lang w:val="en-GB"/>
        </w:rPr>
      </w:pPr>
      <w:r w:rsidRPr="00380B40">
        <w:rPr>
          <w:lang w:val="en-GB"/>
        </w:rPr>
        <w:t>The table below provides the cost of Translation and Typing activities, as per Resolution 1405, Budget 2022-2023 of the Union approved by the Virtual Consultation of Councillors in June 2021.</w:t>
      </w:r>
    </w:p>
    <w:p w14:paraId="2C7DE98F" w14:textId="77777777" w:rsidR="008C64D3" w:rsidRPr="00380B40" w:rsidRDefault="00DD35EA" w:rsidP="00DD35EA">
      <w:pPr>
        <w:pStyle w:val="Figure"/>
        <w:rPr>
          <w:lang w:val="en-GB"/>
        </w:rPr>
      </w:pPr>
      <w:r w:rsidRPr="00380B40">
        <w:rPr>
          <w:noProof/>
          <w:lang w:val="en-US" w:eastAsia="zh-CN"/>
        </w:rPr>
        <w:drawing>
          <wp:inline distT="0" distB="0" distL="0" distR="0" wp14:anchorId="38087C2E" wp14:editId="3890BE0A">
            <wp:extent cx="3078480" cy="2974975"/>
            <wp:effectExtent l="0" t="0" r="762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3078480" cy="2974975"/>
                    </a:xfrm>
                    <a:prstGeom prst="rect">
                      <a:avLst/>
                    </a:prstGeom>
                    <a:noFill/>
                  </pic:spPr>
                </pic:pic>
              </a:graphicData>
            </a:graphic>
          </wp:inline>
        </w:drawing>
      </w:r>
    </w:p>
    <w:p w14:paraId="7575D110" w14:textId="77777777" w:rsidR="009033A7" w:rsidRPr="00380B40" w:rsidRDefault="00C15D5E" w:rsidP="00C15D5E">
      <w:pPr>
        <w:pStyle w:val="Heading1"/>
        <w:rPr>
          <w:bCs/>
          <w:lang w:val="en-GB"/>
        </w:rPr>
      </w:pPr>
      <w:bookmarkStart w:id="2571" w:name="_Toc111637277"/>
      <w:r w:rsidRPr="00380B40">
        <w:rPr>
          <w:bCs/>
          <w:lang w:val="en-GB"/>
        </w:rPr>
        <w:t>2.</w:t>
      </w:r>
      <w:r w:rsidRPr="00380B40">
        <w:rPr>
          <w:bCs/>
          <w:lang w:val="en-GB"/>
        </w:rPr>
        <w:tab/>
      </w:r>
      <w:r w:rsidR="009033A7" w:rsidRPr="00380B40">
        <w:rPr>
          <w:bCs/>
          <w:lang w:val="en-GB"/>
        </w:rPr>
        <w:t xml:space="preserve">Reply to the note from Committee 4 (Document </w:t>
      </w:r>
      <w:hyperlink r:id="rId691" w:history="1">
        <w:r w:rsidR="009033A7" w:rsidRPr="00380B40">
          <w:rPr>
            <w:rStyle w:val="Hyperlink"/>
            <w:bCs/>
            <w:lang w:val="en-GB"/>
          </w:rPr>
          <w:t>73</w:t>
        </w:r>
      </w:hyperlink>
      <w:r w:rsidR="009033A7" w:rsidRPr="00380B40">
        <w:rPr>
          <w:bCs/>
          <w:lang w:val="en-GB"/>
        </w:rPr>
        <w:t>)</w:t>
      </w:r>
      <w:bookmarkEnd w:id="2571"/>
    </w:p>
    <w:p w14:paraId="43E242E8" w14:textId="77777777" w:rsidR="009033A7" w:rsidRPr="00380B40" w:rsidRDefault="009033A7" w:rsidP="00C15D5E">
      <w:pPr>
        <w:rPr>
          <w:lang w:val="en-GB"/>
        </w:rPr>
      </w:pPr>
      <w:r w:rsidRPr="00380B40">
        <w:rPr>
          <w:lang w:val="en-GB"/>
        </w:rPr>
        <w:t xml:space="preserve">2.1 </w:t>
      </w:r>
      <w:r w:rsidRPr="00380B40">
        <w:rPr>
          <w:lang w:val="en-GB"/>
        </w:rPr>
        <w:tab/>
        <w:t>The modifications made to Resolutions 20 (</w:t>
      </w:r>
      <w:hyperlink r:id="rId692" w:history="1">
        <w:r w:rsidRPr="00380B40">
          <w:rPr>
            <w:rStyle w:val="Hyperlink"/>
            <w:lang w:val="en-GB"/>
          </w:rPr>
          <w:t>Doc 69</w:t>
        </w:r>
      </w:hyperlink>
      <w:r w:rsidRPr="00380B40">
        <w:rPr>
          <w:lang w:val="en-GB"/>
        </w:rPr>
        <w:t>), 29 (</w:t>
      </w:r>
      <w:hyperlink r:id="rId693" w:history="1">
        <w:r w:rsidRPr="00380B40">
          <w:rPr>
            <w:rStyle w:val="Hyperlink"/>
            <w:lang w:val="en-GB"/>
          </w:rPr>
          <w:t>Doc 69</w:t>
        </w:r>
      </w:hyperlink>
      <w:r w:rsidRPr="00380B40">
        <w:rPr>
          <w:lang w:val="en-GB"/>
        </w:rPr>
        <w:t>), 58 (</w:t>
      </w:r>
      <w:hyperlink r:id="rId694" w:history="1">
        <w:r w:rsidRPr="00380B40">
          <w:rPr>
            <w:rStyle w:val="Hyperlink"/>
            <w:lang w:val="en-GB"/>
          </w:rPr>
          <w:t>Doc 69</w:t>
        </w:r>
      </w:hyperlink>
      <w:r w:rsidRPr="00380B40">
        <w:rPr>
          <w:lang w:val="en-GB"/>
        </w:rPr>
        <w:t>), 61 (</w:t>
      </w:r>
      <w:hyperlink r:id="rId695" w:history="1">
        <w:r w:rsidRPr="00380B40">
          <w:rPr>
            <w:rStyle w:val="Hyperlink"/>
            <w:lang w:val="en-GB"/>
          </w:rPr>
          <w:t>Doc 69</w:t>
        </w:r>
      </w:hyperlink>
      <w:r w:rsidRPr="00380B40">
        <w:rPr>
          <w:lang w:val="en-GB"/>
        </w:rPr>
        <w:t>), 64 (</w:t>
      </w:r>
      <w:hyperlink r:id="rId696" w:history="1">
        <w:r w:rsidRPr="00380B40">
          <w:rPr>
            <w:rStyle w:val="Hyperlink"/>
            <w:lang w:val="en-GB"/>
          </w:rPr>
          <w:t>Doc 68</w:t>
        </w:r>
      </w:hyperlink>
      <w:r w:rsidRPr="00380B40">
        <w:rPr>
          <w:lang w:val="en-GB"/>
        </w:rPr>
        <w:t>), 65 (</w:t>
      </w:r>
      <w:hyperlink r:id="rId697" w:history="1">
        <w:r w:rsidRPr="00380B40">
          <w:rPr>
            <w:rStyle w:val="Hyperlink"/>
            <w:lang w:val="en-GB"/>
          </w:rPr>
          <w:t>Doc 69</w:t>
        </w:r>
      </w:hyperlink>
      <w:r w:rsidRPr="00380B40">
        <w:rPr>
          <w:lang w:val="en-GB"/>
        </w:rPr>
        <w:t>), 73 (</w:t>
      </w:r>
      <w:hyperlink r:id="rId698" w:history="1">
        <w:r w:rsidRPr="00380B40">
          <w:rPr>
            <w:rStyle w:val="Hyperlink"/>
            <w:lang w:val="en-GB"/>
          </w:rPr>
          <w:t>Doc 69</w:t>
        </w:r>
      </w:hyperlink>
      <w:r w:rsidRPr="00380B40">
        <w:rPr>
          <w:lang w:val="en-GB"/>
        </w:rPr>
        <w:t>), 76 (</w:t>
      </w:r>
      <w:hyperlink r:id="rId699" w:history="1">
        <w:r w:rsidRPr="00380B40">
          <w:rPr>
            <w:rStyle w:val="Hyperlink"/>
            <w:lang w:val="en-GB"/>
          </w:rPr>
          <w:t>Doc 69</w:t>
        </w:r>
      </w:hyperlink>
      <w:r w:rsidRPr="00380B40">
        <w:rPr>
          <w:lang w:val="en-GB"/>
        </w:rPr>
        <w:t>), 84 (</w:t>
      </w:r>
      <w:hyperlink r:id="rId700" w:history="1">
        <w:r w:rsidRPr="00380B40">
          <w:rPr>
            <w:rStyle w:val="Hyperlink"/>
            <w:lang w:val="en-GB"/>
          </w:rPr>
          <w:t>Doc 69</w:t>
        </w:r>
      </w:hyperlink>
      <w:r w:rsidRPr="00380B40">
        <w:rPr>
          <w:lang w:val="en-GB"/>
        </w:rPr>
        <w:t>), 96 (</w:t>
      </w:r>
      <w:hyperlink r:id="rId701" w:history="1">
        <w:r w:rsidRPr="00380B40">
          <w:rPr>
            <w:rStyle w:val="Hyperlink"/>
            <w:lang w:val="en-GB"/>
          </w:rPr>
          <w:t>DT82</w:t>
        </w:r>
      </w:hyperlink>
      <w:r w:rsidRPr="00380B40">
        <w:rPr>
          <w:lang w:val="en-GB"/>
        </w:rPr>
        <w:t>) and the draft new Resolution [AFCP-1] (</w:t>
      </w:r>
      <w:hyperlink r:id="rId702" w:history="1">
        <w:r w:rsidRPr="00380B40">
          <w:rPr>
            <w:rStyle w:val="Hyperlink"/>
            <w:lang w:val="en-GB"/>
          </w:rPr>
          <w:t>DT39</w:t>
        </w:r>
      </w:hyperlink>
      <w:r w:rsidRPr="00380B40">
        <w:rPr>
          <w:lang w:val="en-GB"/>
        </w:rPr>
        <w:t>) will have no financial impact.</w:t>
      </w:r>
    </w:p>
    <w:p w14:paraId="5A2D8DEE" w14:textId="77777777" w:rsidR="009033A7" w:rsidRPr="00380B40" w:rsidRDefault="009033A7" w:rsidP="00C15D5E">
      <w:pPr>
        <w:rPr>
          <w:lang w:val="en-GB"/>
        </w:rPr>
      </w:pPr>
      <w:r w:rsidRPr="00380B40">
        <w:rPr>
          <w:lang w:val="en-GB"/>
        </w:rPr>
        <w:t>2.2</w:t>
      </w:r>
      <w:r w:rsidRPr="00380B40">
        <w:rPr>
          <w:lang w:val="en-GB"/>
        </w:rPr>
        <w:tab/>
        <w:t>The modifications made to Resolutions 44 (</w:t>
      </w:r>
      <w:hyperlink r:id="rId703" w:history="1">
        <w:r w:rsidRPr="00380B40">
          <w:rPr>
            <w:rStyle w:val="Hyperlink"/>
            <w:lang w:val="en-GB"/>
          </w:rPr>
          <w:t>DT66</w:t>
        </w:r>
      </w:hyperlink>
      <w:r w:rsidRPr="00380B40">
        <w:rPr>
          <w:lang w:val="en-GB"/>
        </w:rPr>
        <w:t>), 72 (</w:t>
      </w:r>
      <w:hyperlink r:id="rId704" w:history="1">
        <w:r w:rsidRPr="00380B40">
          <w:rPr>
            <w:rStyle w:val="Hyperlink"/>
            <w:lang w:val="en-GB"/>
          </w:rPr>
          <w:t>Doc 69</w:t>
        </w:r>
      </w:hyperlink>
      <w:r w:rsidRPr="00380B40">
        <w:rPr>
          <w:lang w:val="en-GB"/>
        </w:rPr>
        <w:t>) and 92 (</w:t>
      </w:r>
      <w:hyperlink r:id="rId705" w:history="1">
        <w:r w:rsidRPr="00380B40">
          <w:rPr>
            <w:rStyle w:val="Hyperlink"/>
            <w:lang w:val="en-GB"/>
          </w:rPr>
          <w:t>DT85</w:t>
        </w:r>
      </w:hyperlink>
      <w:r w:rsidRPr="00380B40">
        <w:rPr>
          <w:lang w:val="en-GB"/>
        </w:rPr>
        <w:t>) will have no overall financial impact as they are to be implemented within the existing resources.</w:t>
      </w:r>
    </w:p>
    <w:p w14:paraId="20AAC086" w14:textId="77777777" w:rsidR="009033A7" w:rsidRPr="00380B40" w:rsidRDefault="009033A7" w:rsidP="009033A7">
      <w:pPr>
        <w:rPr>
          <w:lang w:val="en-GB"/>
        </w:rPr>
      </w:pPr>
      <w:r w:rsidRPr="00380B40">
        <w:rPr>
          <w:lang w:val="en-GB"/>
        </w:rPr>
        <w:t xml:space="preserve">2.3 </w:t>
      </w:r>
      <w:r w:rsidRPr="00380B40">
        <w:rPr>
          <w:lang w:val="en-GB"/>
        </w:rPr>
        <w:tab/>
        <w:t>The modificati</w:t>
      </w:r>
      <w:r w:rsidR="005357E6" w:rsidRPr="00380B40">
        <w:rPr>
          <w:lang w:val="en-GB"/>
        </w:rPr>
        <w:t>o</w:t>
      </w:r>
      <w:r w:rsidRPr="00380B40">
        <w:rPr>
          <w:lang w:val="en-GB"/>
        </w:rPr>
        <w:t>ns to the following resolutions will have a financial impact:</w:t>
      </w:r>
    </w:p>
    <w:p w14:paraId="51A89F15" w14:textId="77777777" w:rsidR="009033A7" w:rsidRPr="00380B40" w:rsidRDefault="009033A7" w:rsidP="009033A7">
      <w:pPr>
        <w:rPr>
          <w:lang w:val="en-GB"/>
        </w:rPr>
      </w:pPr>
      <w:r w:rsidRPr="00380B40">
        <w:rPr>
          <w:b/>
          <w:bCs/>
          <w:lang w:val="en-GB"/>
        </w:rPr>
        <w:t>Resolution 50</w:t>
      </w:r>
      <w:r w:rsidRPr="00380B40">
        <w:rPr>
          <w:lang w:val="en-GB"/>
        </w:rPr>
        <w:t xml:space="preserve"> (</w:t>
      </w:r>
      <w:hyperlink r:id="rId706" w:history="1">
        <w:r w:rsidRPr="00380B40">
          <w:rPr>
            <w:rStyle w:val="Hyperlink"/>
            <w:lang w:val="en-GB"/>
          </w:rPr>
          <w:t>DT68</w:t>
        </w:r>
      </w:hyperlink>
      <w:r w:rsidRPr="00380B40">
        <w:rPr>
          <w:lang w:val="en-GB"/>
        </w:rPr>
        <w:t>)</w:t>
      </w:r>
    </w:p>
    <w:p w14:paraId="4CEBD0A1" w14:textId="77777777" w:rsidR="009033A7" w:rsidRPr="00380B40" w:rsidRDefault="009033A7" w:rsidP="00C15D5E">
      <w:pPr>
        <w:rPr>
          <w:lang w:val="en-GB"/>
        </w:rPr>
      </w:pPr>
      <w:r w:rsidRPr="00380B40">
        <w:rPr>
          <w:iCs/>
          <w:lang w:val="en-GB"/>
        </w:rPr>
        <w:t>Paragraph 10 of</w:t>
      </w:r>
      <w:r w:rsidRPr="00380B40">
        <w:rPr>
          <w:lang w:val="en-GB"/>
        </w:rPr>
        <w:t xml:space="preserve"> </w:t>
      </w:r>
      <w:r w:rsidRPr="00380B40">
        <w:rPr>
          <w:i/>
          <w:iCs/>
          <w:lang w:val="en-GB"/>
        </w:rPr>
        <w:t>instructs the Director of the Telecommunication Standardization Bureau</w:t>
      </w:r>
    </w:p>
    <w:p w14:paraId="0DAF8ED4" w14:textId="77777777" w:rsidR="00610BAF" w:rsidRPr="00C777D4" w:rsidRDefault="00610BAF" w:rsidP="00610BAF">
      <w:pPr>
        <w:rPr>
          <w:rStyle w:val="Red"/>
          <w:u w:val="single"/>
          <w:lang w:val="en-GB"/>
        </w:rPr>
      </w:pPr>
      <w:r w:rsidRPr="00C777D4">
        <w:rPr>
          <w:rStyle w:val="Red"/>
          <w:u w:val="single"/>
          <w:lang w:val="en-GB"/>
        </w:rPr>
        <w:t>10</w:t>
      </w:r>
      <w:r w:rsidRPr="00C777D4">
        <w:rPr>
          <w:rStyle w:val="Red"/>
          <w:u w:val="single"/>
          <w:lang w:val="en-GB"/>
        </w:rPr>
        <w:tab/>
        <w:t>to disseminate information to all stakeholders related to cybersecurity through the organization of training programmes, forums, workshops, seminars, etc., for policy makers, regulators, operators and other stakeholders, especially from developing countries to raise awareness and identify needs in collaboration with the Director of BDT,</w:t>
      </w:r>
    </w:p>
    <w:p w14:paraId="2307026E" w14:textId="77777777" w:rsidR="00AD0C2E" w:rsidRPr="00380B40" w:rsidRDefault="00AD0C2E" w:rsidP="00C15D5E">
      <w:pPr>
        <w:rPr>
          <w:lang w:val="en-GB"/>
        </w:rPr>
      </w:pPr>
      <w:r w:rsidRPr="00380B40">
        <w:rPr>
          <w:lang w:val="en-GB"/>
        </w:rPr>
        <w:br w:type="page"/>
      </w:r>
    </w:p>
    <w:p w14:paraId="5EF4FE44" w14:textId="77777777" w:rsidR="009033A7" w:rsidRPr="00380B40" w:rsidRDefault="009033A7" w:rsidP="00C15D5E">
      <w:pPr>
        <w:rPr>
          <w:lang w:val="en-GB"/>
        </w:rPr>
      </w:pPr>
      <w:r w:rsidRPr="00380B40">
        <w:rPr>
          <w:lang w:val="en-GB"/>
        </w:rPr>
        <w:t>The cost to organize physical training programmes, forums, workshops and seminars can vary significantly. It will depend on many factors (number of events per year, event places, number of fellowships, number of ITU Staff traveling, hiring of experts, etc.).</w:t>
      </w:r>
    </w:p>
    <w:p w14:paraId="77CB5B67" w14:textId="77777777" w:rsidR="009033A7" w:rsidRPr="00380B40" w:rsidRDefault="009033A7" w:rsidP="009033A7">
      <w:pPr>
        <w:rPr>
          <w:lang w:val="en-GB"/>
        </w:rPr>
      </w:pPr>
      <w:r w:rsidRPr="00380B40">
        <w:rPr>
          <w:lang w:val="en-GB"/>
        </w:rPr>
        <w:t>The cost to organize one physical training programme or forum or workshops or seminar can be estimated between CHF 20k to CHF 50k.</w:t>
      </w:r>
    </w:p>
    <w:p w14:paraId="4F7E836A" w14:textId="77777777" w:rsidR="009033A7" w:rsidRPr="00380B40" w:rsidRDefault="009033A7" w:rsidP="009033A7">
      <w:pPr>
        <w:rPr>
          <w:lang w:val="en-GB"/>
        </w:rPr>
      </w:pPr>
      <w:r w:rsidRPr="00380B40">
        <w:rPr>
          <w:b/>
          <w:bCs/>
          <w:lang w:val="en-GB"/>
        </w:rPr>
        <w:t>Resolution 98</w:t>
      </w:r>
      <w:r w:rsidRPr="00380B40">
        <w:rPr>
          <w:lang w:val="en-GB"/>
        </w:rPr>
        <w:t xml:space="preserve"> (Document </w:t>
      </w:r>
      <w:hyperlink r:id="rId707" w:history="1">
        <w:r w:rsidRPr="00380B40">
          <w:rPr>
            <w:rStyle w:val="Hyperlink"/>
            <w:lang w:val="en-GB"/>
          </w:rPr>
          <w:t>52</w:t>
        </w:r>
      </w:hyperlink>
      <w:r w:rsidRPr="00380B40">
        <w:rPr>
          <w:lang w:val="en-GB"/>
        </w:rPr>
        <w:t>)</w:t>
      </w:r>
    </w:p>
    <w:p w14:paraId="4384633B" w14:textId="77777777" w:rsidR="009033A7" w:rsidRPr="00380B40" w:rsidRDefault="009033A7" w:rsidP="009033A7">
      <w:pPr>
        <w:rPr>
          <w:i/>
          <w:iCs/>
          <w:lang w:val="en-GB"/>
        </w:rPr>
      </w:pPr>
      <w:r w:rsidRPr="00380B40">
        <w:rPr>
          <w:lang w:val="en-GB"/>
        </w:rPr>
        <w:t xml:space="preserve">Paragraph 5 of </w:t>
      </w:r>
      <w:r w:rsidRPr="00380B40">
        <w:rPr>
          <w:i/>
          <w:iCs/>
          <w:lang w:val="en-GB"/>
        </w:rPr>
        <w:t>instructs the Director of the Telecommunication Standardization Bureau, in collaboration with the Directors of the Telecommunication Development Bureau and the Radiocommunication Bureau</w:t>
      </w:r>
    </w:p>
    <w:p w14:paraId="48DFB396" w14:textId="77777777" w:rsidR="00610BAF" w:rsidRPr="00C777D4" w:rsidRDefault="00610BAF" w:rsidP="003370B7">
      <w:pPr>
        <w:rPr>
          <w:rStyle w:val="Red"/>
          <w:u w:val="single"/>
          <w:lang w:val="en-GB"/>
        </w:rPr>
      </w:pPr>
      <w:r w:rsidRPr="00C777D4">
        <w:rPr>
          <w:rStyle w:val="Red"/>
          <w:u w:val="single"/>
          <w:lang w:val="en-GB"/>
        </w:rPr>
        <w:t>5</w:t>
      </w:r>
      <w:r w:rsidRPr="00C777D4">
        <w:rPr>
          <w:rStyle w:val="Red"/>
          <w:u w:val="single"/>
          <w:lang w:val="en-GB"/>
        </w:rPr>
        <w:tab/>
        <w:t>to support Member States especially those of developing countries in the organisation of forums, seminars and workshops on IoT and SC&amp;C to promote innovations, development and growth in IoT technologies and solutions;</w:t>
      </w:r>
    </w:p>
    <w:p w14:paraId="48F96393" w14:textId="77777777" w:rsidR="009033A7" w:rsidRPr="00380B40" w:rsidRDefault="009033A7" w:rsidP="009033A7">
      <w:pPr>
        <w:rPr>
          <w:lang w:val="en-GB"/>
        </w:rPr>
      </w:pPr>
      <w:r w:rsidRPr="00380B40">
        <w:rPr>
          <w:lang w:val="en-GB"/>
        </w:rPr>
        <w:t>The cost to organize physical forums, seminars and workshops on IoT and SC&amp;C can vary significantly. It will depend on many factors (number of events per year, event places, number of fellowships, number of ITU Staff traveling, hiring of experts, etc.).</w:t>
      </w:r>
    </w:p>
    <w:p w14:paraId="226DCF54" w14:textId="77777777" w:rsidR="009033A7" w:rsidRPr="00380B40" w:rsidRDefault="009033A7" w:rsidP="009033A7">
      <w:pPr>
        <w:rPr>
          <w:lang w:val="en-GB"/>
        </w:rPr>
      </w:pPr>
      <w:r w:rsidRPr="00380B40">
        <w:rPr>
          <w:lang w:val="en-GB"/>
        </w:rPr>
        <w:t>The cost to organize one physical event on IoT and SC&amp;C can be estimated between CHF 20k to CHF 50k.</w:t>
      </w:r>
    </w:p>
    <w:p w14:paraId="69B78395" w14:textId="77777777" w:rsidR="009033A7" w:rsidRPr="00380B40" w:rsidRDefault="009033A7" w:rsidP="009033A7">
      <w:pPr>
        <w:rPr>
          <w:b/>
          <w:bCs/>
          <w:lang w:val="en-GB"/>
        </w:rPr>
      </w:pPr>
    </w:p>
    <w:p w14:paraId="403FE291" w14:textId="77777777" w:rsidR="009033A7" w:rsidRPr="00380B40" w:rsidRDefault="009033A7" w:rsidP="009033A7">
      <w:pPr>
        <w:rPr>
          <w:lang w:val="en-GB"/>
        </w:rPr>
      </w:pPr>
      <w:r w:rsidRPr="00380B40">
        <w:rPr>
          <w:b/>
          <w:bCs/>
          <w:lang w:val="en-GB"/>
        </w:rPr>
        <w:t>Resolution 44</w:t>
      </w:r>
      <w:r w:rsidRPr="00380B40">
        <w:rPr>
          <w:lang w:val="en-GB"/>
        </w:rPr>
        <w:t xml:space="preserve"> (</w:t>
      </w:r>
      <w:hyperlink r:id="rId708" w:history="1">
        <w:r w:rsidRPr="00380B40">
          <w:rPr>
            <w:rStyle w:val="Hyperlink"/>
            <w:lang w:val="en-GB"/>
          </w:rPr>
          <w:t>DT66</w:t>
        </w:r>
      </w:hyperlink>
      <w:r w:rsidRPr="00380B40">
        <w:rPr>
          <w:lang w:val="en-GB"/>
        </w:rPr>
        <w:t>)</w:t>
      </w:r>
    </w:p>
    <w:p w14:paraId="6DE39CAE" w14:textId="77777777" w:rsidR="00610BAF" w:rsidRPr="00380B40" w:rsidRDefault="009033A7" w:rsidP="00610BAF">
      <w:pPr>
        <w:rPr>
          <w:i/>
          <w:iCs/>
          <w:lang w:val="en-GB"/>
        </w:rPr>
      </w:pPr>
      <w:r w:rsidRPr="00380B40">
        <w:rPr>
          <w:lang w:val="en-GB"/>
        </w:rPr>
        <w:t xml:space="preserve">Paragraph 5 of </w:t>
      </w:r>
      <w:r w:rsidRPr="00380B40">
        <w:rPr>
          <w:i/>
          <w:iCs/>
          <w:lang w:val="en-GB"/>
        </w:rPr>
        <w:t>invites the Council</w:t>
      </w:r>
    </w:p>
    <w:p w14:paraId="4FFEAE67" w14:textId="77777777" w:rsidR="00610BAF" w:rsidRPr="00C777D4" w:rsidRDefault="00610BAF" w:rsidP="0097725E">
      <w:pPr>
        <w:rPr>
          <w:rStyle w:val="Red"/>
          <w:u w:val="single"/>
          <w:lang w:val="en-GB"/>
        </w:rPr>
      </w:pPr>
      <w:r w:rsidRPr="00C777D4">
        <w:rPr>
          <w:rStyle w:val="Red"/>
          <w:u w:val="single"/>
          <w:lang w:val="en-GB"/>
        </w:rPr>
        <w:t>2</w:t>
      </w:r>
      <w:r w:rsidRPr="00C777D4">
        <w:rPr>
          <w:rStyle w:val="Red"/>
          <w:u w:val="single"/>
          <w:lang w:val="en-GB"/>
        </w:rPr>
        <w:tab/>
        <w:t>to consider the exemption from payment of the membership fees for a limited time of up to one full study period for new Academia members from developing countries in order to encourage them to get involved in the ITU-T activities and the standardization process,</w:t>
      </w:r>
    </w:p>
    <w:p w14:paraId="78759489" w14:textId="77777777" w:rsidR="009033A7" w:rsidRPr="00380B40" w:rsidRDefault="009033A7" w:rsidP="00C15D5E">
      <w:pPr>
        <w:rPr>
          <w:lang w:val="en-GB"/>
        </w:rPr>
      </w:pPr>
      <w:r w:rsidRPr="00380B40">
        <w:rPr>
          <w:lang w:val="en-GB"/>
        </w:rPr>
        <w:t>The implementation of such exemption would have a very limited impact on the revenue side of the Union.</w:t>
      </w:r>
    </w:p>
    <w:p w14:paraId="51D033EB" w14:textId="77777777" w:rsidR="00C15D5E" w:rsidRPr="00380B40" w:rsidRDefault="00C15D5E" w:rsidP="009033A7">
      <w:pPr>
        <w:rPr>
          <w:lang w:val="en-GB"/>
        </w:rPr>
      </w:pPr>
    </w:p>
    <w:p w14:paraId="3B64AACB" w14:textId="77777777" w:rsidR="00C15D5E" w:rsidRPr="00380B40" w:rsidRDefault="00C15D5E" w:rsidP="009033A7">
      <w:pPr>
        <w:rPr>
          <w:lang w:val="en-GB"/>
        </w:rPr>
      </w:pPr>
    </w:p>
    <w:p w14:paraId="1FF90138" w14:textId="77777777" w:rsidR="00C15D5E" w:rsidRPr="00380B40" w:rsidRDefault="00C15D5E" w:rsidP="009033A7">
      <w:pPr>
        <w:rPr>
          <w:lang w:val="en-GB"/>
        </w:rPr>
      </w:pPr>
    </w:p>
    <w:p w14:paraId="2EB08228" w14:textId="77777777" w:rsidR="00C15D5E" w:rsidRPr="00380B40" w:rsidRDefault="00C15D5E" w:rsidP="009033A7">
      <w:pPr>
        <w:rPr>
          <w:lang w:val="en-GB"/>
        </w:rPr>
      </w:pPr>
    </w:p>
    <w:p w14:paraId="447E16F1" w14:textId="77777777" w:rsidR="00C15D5E" w:rsidRPr="00380B40" w:rsidRDefault="00C15D5E" w:rsidP="009033A7">
      <w:pPr>
        <w:rPr>
          <w:lang w:val="en-GB"/>
        </w:rPr>
      </w:pPr>
    </w:p>
    <w:p w14:paraId="3442F04C" w14:textId="77777777" w:rsidR="00C15D5E" w:rsidRPr="00380B40" w:rsidRDefault="00C15D5E" w:rsidP="009033A7">
      <w:pPr>
        <w:rPr>
          <w:lang w:val="en-GB"/>
        </w:rPr>
      </w:pPr>
    </w:p>
    <w:p w14:paraId="070957CC" w14:textId="77777777" w:rsidR="00C15D5E" w:rsidRPr="00380B40" w:rsidRDefault="00C15D5E" w:rsidP="009033A7">
      <w:pPr>
        <w:rPr>
          <w:lang w:val="en-GB"/>
        </w:rPr>
      </w:pPr>
    </w:p>
    <w:p w14:paraId="0C79EBD4" w14:textId="77777777" w:rsidR="00C15D5E" w:rsidRPr="00380B40" w:rsidRDefault="00C15D5E" w:rsidP="009033A7">
      <w:pPr>
        <w:rPr>
          <w:lang w:val="en-GB"/>
        </w:rPr>
      </w:pPr>
    </w:p>
    <w:p w14:paraId="3C58D8C4" w14:textId="77777777" w:rsidR="00C15D5E" w:rsidRPr="00380B40" w:rsidRDefault="00C15D5E" w:rsidP="009033A7">
      <w:pPr>
        <w:rPr>
          <w:lang w:val="en-GB"/>
        </w:rPr>
      </w:pPr>
    </w:p>
    <w:p w14:paraId="3780AC3F" w14:textId="77777777" w:rsidR="009033A7" w:rsidRPr="00380B40" w:rsidRDefault="009033A7">
      <w:pPr>
        <w:rPr>
          <w:lang w:val="en-GB"/>
        </w:rPr>
      </w:pPr>
      <w:r w:rsidRPr="00380B40">
        <w:rPr>
          <w:lang w:val="en-GB"/>
        </w:rPr>
        <w:br w:type="page"/>
      </w:r>
    </w:p>
    <w:p w14:paraId="5E5CCCF1" w14:textId="77777777" w:rsidR="009033A7" w:rsidRPr="00380B40" w:rsidRDefault="009033A7" w:rsidP="00202A50">
      <w:pPr>
        <w:pStyle w:val="Sectiontitle"/>
      </w:pPr>
      <w:bookmarkStart w:id="2572" w:name="_Toc104472198"/>
      <w:bookmarkStart w:id="2573" w:name="_Toc111637278"/>
      <w:r w:rsidRPr="00380B40">
        <w:t>V-2.2 – Committee 3: Working methods of ITU-T</w:t>
      </w:r>
      <w:bookmarkEnd w:id="2572"/>
      <w:bookmarkEnd w:id="2573"/>
    </w:p>
    <w:p w14:paraId="292F3483" w14:textId="77777777" w:rsidR="009033A7" w:rsidRPr="00380B40" w:rsidRDefault="009033A7" w:rsidP="00AD0C2E">
      <w:pPr>
        <w:pStyle w:val="Normalcenteraligned"/>
      </w:pPr>
      <w:r w:rsidRPr="00380B40">
        <w:rPr>
          <w:b/>
          <w:bCs/>
        </w:rPr>
        <w:t>Chairman:</w:t>
      </w:r>
      <w:r w:rsidRPr="00380B40">
        <w:t xml:space="preserve"> Steve Trowbridge (US)</w:t>
      </w:r>
    </w:p>
    <w:p w14:paraId="12FE3BD7" w14:textId="77777777" w:rsidR="009033A7" w:rsidRPr="00380B40" w:rsidRDefault="003C1BBF" w:rsidP="003C1BBF">
      <w:pPr>
        <w:pStyle w:val="Heading1"/>
        <w:rPr>
          <w:b w:val="0"/>
          <w:lang w:val="en-GB"/>
        </w:rPr>
      </w:pPr>
      <w:bookmarkStart w:id="2574" w:name="_Toc111637279"/>
      <w:r w:rsidRPr="00380B40">
        <w:rPr>
          <w:lang w:val="en-GB"/>
        </w:rPr>
        <w:t>1</w:t>
      </w:r>
      <w:r w:rsidRPr="00380B40">
        <w:rPr>
          <w:lang w:val="en-GB"/>
        </w:rPr>
        <w:tab/>
      </w:r>
      <w:r w:rsidR="009033A7" w:rsidRPr="00380B40">
        <w:rPr>
          <w:lang w:val="en-GB"/>
        </w:rPr>
        <w:t>Introduction</w:t>
      </w:r>
      <w:bookmarkEnd w:id="2574"/>
    </w:p>
    <w:p w14:paraId="3E4A6E10" w14:textId="77777777" w:rsidR="009033A7" w:rsidRPr="00380B40" w:rsidRDefault="009033A7" w:rsidP="009033A7">
      <w:pPr>
        <w:tabs>
          <w:tab w:val="clear" w:pos="794"/>
          <w:tab w:val="clear" w:pos="1191"/>
          <w:tab w:val="clear" w:pos="1588"/>
          <w:tab w:val="clear" w:pos="1985"/>
          <w:tab w:val="left" w:pos="1134"/>
          <w:tab w:val="left" w:pos="1871"/>
          <w:tab w:val="left" w:pos="2268"/>
        </w:tabs>
        <w:ind w:left="1191" w:hanging="1191"/>
        <w:rPr>
          <w:bCs/>
          <w:lang w:val="en-GB"/>
        </w:rPr>
      </w:pPr>
      <w:r w:rsidRPr="00380B40">
        <w:rPr>
          <w:b/>
          <w:lang w:val="en-GB"/>
        </w:rPr>
        <w:t>1.1</w:t>
      </w:r>
      <w:r w:rsidRPr="00380B40">
        <w:rPr>
          <w:bCs/>
          <w:lang w:val="en-GB"/>
        </w:rPr>
        <w:tab/>
        <w:t xml:space="preserve">The terms of reference for Committee 3 are contained in document </w:t>
      </w:r>
      <w:hyperlink r:id="rId709" w:history="1">
        <w:r w:rsidRPr="00380B40">
          <w:rPr>
            <w:color w:val="0000FF" w:themeColor="hyperlink"/>
            <w:szCs w:val="24"/>
            <w:u w:val="single"/>
            <w:lang w:val="en-GB"/>
          </w:rPr>
          <w:t>DT4</w:t>
        </w:r>
      </w:hyperlink>
      <w:r w:rsidRPr="00380B40">
        <w:rPr>
          <w:bCs/>
          <w:lang w:val="en-GB"/>
        </w:rPr>
        <w:t>.</w:t>
      </w:r>
    </w:p>
    <w:p w14:paraId="486D362D"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b/>
          <w:lang w:val="en-GB"/>
        </w:rPr>
        <w:t>1.2</w:t>
      </w:r>
      <w:r w:rsidRPr="00380B40">
        <w:rPr>
          <w:bCs/>
          <w:lang w:val="en-GB"/>
        </w:rPr>
        <w:tab/>
        <w:t>Committee 3 (Working methods of ITU-T) was chaired by</w:t>
      </w:r>
      <w:r w:rsidRPr="00380B40">
        <w:rPr>
          <w:lang w:val="en-GB"/>
        </w:rPr>
        <w:t xml:space="preserve"> Mr Steve Trowbridge (CITEL, USA) with the support of the vice-chairmen of the Committee, Ms Umida R. MUSAEVA (RCC, Republic of Uzbekistan), Ms Rebecca MUKITE (ATU, Uganda), Mr Zhaoji LIN (APT, People</w:t>
      </w:r>
      <w:r w:rsidR="00F82355" w:rsidRPr="00380B40">
        <w:rPr>
          <w:lang w:val="en-GB"/>
        </w:rPr>
        <w:t>'</w:t>
      </w:r>
      <w:r w:rsidRPr="00380B40">
        <w:rPr>
          <w:lang w:val="en-GB"/>
        </w:rPr>
        <w:t>s Republic of China).</w:t>
      </w:r>
    </w:p>
    <w:p w14:paraId="20C43870"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WTSA established two Working Groups under Committee 3 as follows:</w:t>
      </w:r>
    </w:p>
    <w:p w14:paraId="22B5DD3B"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Working Group 3A of Committee 3 with Ms Basma Tawfik (Egypt) as a Chairman.</w:t>
      </w:r>
    </w:p>
    <w:p w14:paraId="35F4F148"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Working Group 3B of Committee 3 with Mr Arnaud Taddei (UK) as a Chairman.</w:t>
      </w:r>
    </w:p>
    <w:p w14:paraId="10D930A0"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 xml:space="preserve">Terms of reference of the Working Groups are given in </w:t>
      </w:r>
      <w:hyperlink r:id="rId710" w:history="1">
        <w:r w:rsidRPr="00380B40">
          <w:rPr>
            <w:rStyle w:val="Hyperlink"/>
            <w:lang w:val="en-GB"/>
          </w:rPr>
          <w:t>DT4</w:t>
        </w:r>
      </w:hyperlink>
      <w:r w:rsidRPr="00380B40">
        <w:rPr>
          <w:bCs/>
          <w:lang w:val="en-GB"/>
        </w:rPr>
        <w:t>.</w:t>
      </w:r>
    </w:p>
    <w:p w14:paraId="772B18F4"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b/>
          <w:lang w:val="en-GB"/>
        </w:rPr>
        <w:t>1.3</w:t>
      </w:r>
      <w:r w:rsidRPr="00380B40">
        <w:rPr>
          <w:bCs/>
          <w:lang w:val="en-GB"/>
        </w:rPr>
        <w:tab/>
        <w:t xml:space="preserve">The meetings took into account the documents allocation to Committee 3 given in Revision 1 to </w:t>
      </w:r>
      <w:hyperlink r:id="rId711" w:history="1">
        <w:r w:rsidRPr="00380B40">
          <w:rPr>
            <w:rStyle w:val="Hyperlink"/>
            <w:lang w:val="en-GB"/>
          </w:rPr>
          <w:t>DT1</w:t>
        </w:r>
      </w:hyperlink>
      <w:r w:rsidRPr="00380B40">
        <w:rPr>
          <w:bCs/>
          <w:lang w:val="en-GB"/>
        </w:rPr>
        <w:t xml:space="preserve"> and</w:t>
      </w:r>
      <w:r w:rsidRPr="00380B40">
        <w:rPr>
          <w:lang w:val="en-GB"/>
        </w:rPr>
        <w:t xml:space="preserve"> worked out its general agenda as appears in </w:t>
      </w:r>
      <w:r w:rsidRPr="00380B40">
        <w:rPr>
          <w:bCs/>
          <w:lang w:val="en-GB"/>
        </w:rPr>
        <w:t>Revision 1 to</w:t>
      </w:r>
      <w:r w:rsidRPr="00380B40">
        <w:rPr>
          <w:lang w:val="en-GB"/>
        </w:rPr>
        <w:t xml:space="preserve"> </w:t>
      </w:r>
      <w:hyperlink r:id="rId712" w:history="1">
        <w:r w:rsidRPr="00380B40">
          <w:rPr>
            <w:rStyle w:val="Hyperlink"/>
            <w:lang w:val="en-GB"/>
          </w:rPr>
          <w:t>DT12</w:t>
        </w:r>
      </w:hyperlink>
      <w:r w:rsidRPr="00380B40">
        <w:rPr>
          <w:lang w:val="en-GB"/>
        </w:rPr>
        <w:t>.</w:t>
      </w:r>
    </w:p>
    <w:p w14:paraId="4B6936A3" w14:textId="77777777" w:rsidR="009033A7" w:rsidRPr="00380B40" w:rsidRDefault="009033A7" w:rsidP="009033A7">
      <w:pPr>
        <w:tabs>
          <w:tab w:val="clear" w:pos="794"/>
          <w:tab w:val="clear" w:pos="1191"/>
          <w:tab w:val="clear" w:pos="1588"/>
          <w:tab w:val="clear" w:pos="1985"/>
          <w:tab w:val="left" w:pos="1134"/>
          <w:tab w:val="left" w:pos="1871"/>
          <w:tab w:val="left" w:pos="2268"/>
        </w:tabs>
        <w:rPr>
          <w:color w:val="0000FF" w:themeColor="hyperlink"/>
          <w:szCs w:val="24"/>
          <w:u w:val="single"/>
          <w:lang w:val="en-GB"/>
        </w:rPr>
      </w:pPr>
      <w:r w:rsidRPr="00380B40">
        <w:rPr>
          <w:b/>
          <w:lang w:val="en-GB"/>
        </w:rPr>
        <w:t>1.4</w:t>
      </w:r>
      <w:r w:rsidRPr="00380B40">
        <w:rPr>
          <w:bCs/>
          <w:lang w:val="en-GB"/>
        </w:rPr>
        <w:tab/>
        <w:t xml:space="preserve">Committee 3 examined 62 proposals for 13 existing Resolutions, three new Resolutions, updates to six A-series Recommendations. Committee 3 held 5 meetings in 6 sessions, the respective reports can be found in Revisions 1-3 to </w:t>
      </w:r>
      <w:hyperlink r:id="rId713" w:history="1">
        <w:r w:rsidRPr="00380B40">
          <w:rPr>
            <w:rStyle w:val="Hyperlink"/>
            <w:lang w:val="en-GB"/>
          </w:rPr>
          <w:t>DT29</w:t>
        </w:r>
      </w:hyperlink>
      <w:r w:rsidRPr="00380B40">
        <w:rPr>
          <w:bCs/>
          <w:color w:val="0000FF" w:themeColor="hyperlink"/>
          <w:u w:val="single"/>
          <w:lang w:val="en-GB"/>
        </w:rPr>
        <w:t>.</w:t>
      </w:r>
    </w:p>
    <w:p w14:paraId="1E61D792"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b/>
          <w:lang w:val="en-GB"/>
        </w:rPr>
        <w:t>1.5</w:t>
      </w:r>
      <w:r w:rsidRPr="00380B40">
        <w:rPr>
          <w:lang w:val="en-GB"/>
        </w:rPr>
        <w:tab/>
        <w:t>Resolutions and A-series Recommendations under the responsibility of Committee 3 are found in the Annex along with the final document/actions taken on them.</w:t>
      </w:r>
    </w:p>
    <w:p w14:paraId="2A97B30A" w14:textId="77777777" w:rsidR="009033A7" w:rsidRPr="00380B40" w:rsidRDefault="003C1BBF" w:rsidP="003C1BBF">
      <w:pPr>
        <w:pStyle w:val="Heading1"/>
        <w:rPr>
          <w:lang w:val="en-GB"/>
        </w:rPr>
      </w:pPr>
      <w:bookmarkStart w:id="2575" w:name="_Toc111637280"/>
      <w:r w:rsidRPr="00380B40">
        <w:rPr>
          <w:lang w:val="en-GB"/>
        </w:rPr>
        <w:t>2</w:t>
      </w:r>
      <w:r w:rsidRPr="00380B40">
        <w:rPr>
          <w:lang w:val="en-GB"/>
        </w:rPr>
        <w:tab/>
      </w:r>
      <w:r w:rsidR="009033A7" w:rsidRPr="00380B40">
        <w:rPr>
          <w:lang w:val="en-GB"/>
        </w:rPr>
        <w:t>Results of the Work of Committee 3</w:t>
      </w:r>
      <w:bookmarkEnd w:id="2575"/>
    </w:p>
    <w:p w14:paraId="18BC468D" w14:textId="77777777" w:rsidR="009033A7" w:rsidRPr="00380B40" w:rsidRDefault="003C1BBF" w:rsidP="003C1BBF">
      <w:pPr>
        <w:pStyle w:val="Heading2"/>
        <w:rPr>
          <w:sz w:val="28"/>
          <w:lang w:val="en-GB"/>
        </w:rPr>
      </w:pPr>
      <w:bookmarkStart w:id="2576" w:name="_Toc111637281"/>
      <w:r w:rsidRPr="00380B40">
        <w:rPr>
          <w:lang w:val="en-GB"/>
        </w:rPr>
        <w:t>2.1</w:t>
      </w:r>
      <w:r w:rsidRPr="00380B40">
        <w:rPr>
          <w:lang w:val="en-GB"/>
        </w:rPr>
        <w:tab/>
      </w:r>
      <w:r w:rsidR="009033A7" w:rsidRPr="00380B40">
        <w:rPr>
          <w:lang w:val="en-GB"/>
        </w:rPr>
        <w:t>WTSA-16 Resolutions</w:t>
      </w:r>
      <w:bookmarkEnd w:id="2576"/>
    </w:p>
    <w:p w14:paraId="09EB4061" w14:textId="77777777" w:rsidR="009033A7" w:rsidRPr="00380B40" w:rsidRDefault="003C1BBF" w:rsidP="003C1BBF">
      <w:pPr>
        <w:pStyle w:val="Heading3"/>
        <w:rPr>
          <w:lang w:val="en-GB"/>
        </w:rPr>
      </w:pPr>
      <w:bookmarkStart w:id="2577" w:name="_Toc111637282"/>
      <w:r w:rsidRPr="00380B40">
        <w:rPr>
          <w:lang w:val="en-GB"/>
        </w:rPr>
        <w:t>2.1.1</w:t>
      </w:r>
      <w:r w:rsidRPr="00380B40">
        <w:rPr>
          <w:lang w:val="en-GB"/>
        </w:rPr>
        <w:tab/>
      </w:r>
      <w:r w:rsidR="009033A7" w:rsidRPr="00380B40">
        <w:rPr>
          <w:lang w:val="en-GB"/>
        </w:rPr>
        <w:t xml:space="preserve">Resolution 1 </w:t>
      </w:r>
      <w:r w:rsidR="00892720" w:rsidRPr="00380B40">
        <w:rPr>
          <w:lang w:val="en-GB"/>
        </w:rPr>
        <w:t>–</w:t>
      </w:r>
      <w:r w:rsidR="009033A7" w:rsidRPr="00380B40">
        <w:rPr>
          <w:lang w:val="en-GB"/>
        </w:rPr>
        <w:t xml:space="preserve"> Rules of procedure of the ITU Telecommunication Standardization Sector (ITU-T)</w:t>
      </w:r>
      <w:bookmarkEnd w:id="2577"/>
    </w:p>
    <w:p w14:paraId="211182B6" w14:textId="77777777" w:rsidR="009033A7" w:rsidRPr="00380B40" w:rsidRDefault="009033A7" w:rsidP="009033A7">
      <w:pPr>
        <w:tabs>
          <w:tab w:val="clear" w:pos="794"/>
          <w:tab w:val="clear" w:pos="1191"/>
          <w:tab w:val="clear" w:pos="1588"/>
          <w:tab w:val="clear" w:pos="1985"/>
          <w:tab w:val="left" w:pos="426"/>
          <w:tab w:val="left" w:pos="1134"/>
          <w:tab w:val="left" w:pos="1871"/>
          <w:tab w:val="left" w:pos="2268"/>
        </w:tabs>
        <w:rPr>
          <w:lang w:val="en-GB"/>
        </w:rPr>
      </w:pPr>
      <w:r w:rsidRPr="00380B40">
        <w:rPr>
          <w:lang w:val="en-GB"/>
        </w:rPr>
        <w:t xml:space="preserve">Per document DT1 Resolution 1 falls in the mandate of Working Group 3A in general, except Clauses related to regional group, namely Clauses </w:t>
      </w:r>
      <w:r w:rsidRPr="00380B40">
        <w:rPr>
          <w:i/>
          <w:iCs/>
          <w:lang w:val="en-GB"/>
        </w:rPr>
        <w:t xml:space="preserve">2.1.4, 2.3.2, 2.3.3, 5.2bis, 5.4bis, </w:t>
      </w:r>
      <w:r w:rsidRPr="00380B40">
        <w:rPr>
          <w:lang w:val="en-GB"/>
        </w:rPr>
        <w:t>and</w:t>
      </w:r>
      <w:r w:rsidRPr="00380B40">
        <w:rPr>
          <w:i/>
          <w:iCs/>
          <w:lang w:val="en-GB"/>
        </w:rPr>
        <w:t xml:space="preserve"> 9.2.1 Note</w:t>
      </w:r>
      <w:r w:rsidRPr="00380B40">
        <w:rPr>
          <w:lang w:val="en-GB"/>
        </w:rPr>
        <w:t xml:space="preserve"> were assigned to WG4B for discussion together with Resolution 54 on regional group. </w:t>
      </w:r>
    </w:p>
    <w:p w14:paraId="37D03FCF" w14:textId="77777777" w:rsidR="009033A7" w:rsidRPr="00380B40" w:rsidRDefault="009033A7" w:rsidP="009033A7">
      <w:pPr>
        <w:tabs>
          <w:tab w:val="clear" w:pos="794"/>
          <w:tab w:val="clear" w:pos="1191"/>
          <w:tab w:val="clear" w:pos="1588"/>
          <w:tab w:val="clear" w:pos="1985"/>
          <w:tab w:val="left" w:pos="426"/>
          <w:tab w:val="left" w:pos="1134"/>
          <w:tab w:val="left" w:pos="1871"/>
          <w:tab w:val="left" w:pos="2268"/>
        </w:tabs>
        <w:rPr>
          <w:szCs w:val="24"/>
          <w:lang w:val="en-GB"/>
        </w:rPr>
      </w:pPr>
      <w:r w:rsidRPr="00380B40">
        <w:rPr>
          <w:lang w:val="en-GB"/>
        </w:rPr>
        <w:t>Resolution 1 in WG3G was examined and revised based on 6 proposals received (</w:t>
      </w:r>
      <w:hyperlink r:id="rId714" w:tgtFrame="_blank" w:history="1">
        <w:r w:rsidRPr="00380B40">
          <w:rPr>
            <w:rStyle w:val="Hyperlink"/>
            <w:lang w:val="en-GB"/>
          </w:rPr>
          <w:t>ARB/36A1/1</w:t>
        </w:r>
      </w:hyperlink>
      <w:r w:rsidRPr="00380B40">
        <w:rPr>
          <w:lang w:val="en-GB"/>
        </w:rPr>
        <w:t xml:space="preserve">, </w:t>
      </w:r>
      <w:hyperlink r:id="rId715" w:tgtFrame="_blank" w:history="1">
        <w:r w:rsidRPr="00380B40">
          <w:rPr>
            <w:rStyle w:val="Hyperlink"/>
            <w:lang w:val="en-GB"/>
          </w:rPr>
          <w:t>APT/37A1/1</w:t>
        </w:r>
      </w:hyperlink>
      <w:r w:rsidRPr="00380B40">
        <w:rPr>
          <w:lang w:val="en-GB"/>
        </w:rPr>
        <w:t xml:space="preserve">, </w:t>
      </w:r>
      <w:hyperlink r:id="rId716" w:tgtFrame="_blank" w:history="1">
        <w:r w:rsidRPr="00380B40">
          <w:rPr>
            <w:rStyle w:val="Hyperlink"/>
            <w:lang w:val="en-GB"/>
          </w:rPr>
          <w:t>EUR/38A20-R1/1</w:t>
        </w:r>
      </w:hyperlink>
      <w:r w:rsidRPr="00380B40">
        <w:rPr>
          <w:lang w:val="en-GB"/>
        </w:rPr>
        <w:t xml:space="preserve">, </w:t>
      </w:r>
      <w:hyperlink r:id="rId717" w:tgtFrame="_blank" w:history="1">
        <w:r w:rsidRPr="00380B40">
          <w:rPr>
            <w:rStyle w:val="Hyperlink"/>
            <w:lang w:val="en-GB"/>
          </w:rPr>
          <w:t>EUR/38A3/1</w:t>
        </w:r>
      </w:hyperlink>
      <w:r w:rsidRPr="00380B40">
        <w:rPr>
          <w:lang w:val="en-GB"/>
        </w:rPr>
        <w:t xml:space="preserve">, </w:t>
      </w:r>
      <w:hyperlink r:id="rId718" w:history="1">
        <w:r w:rsidRPr="00380B40">
          <w:rPr>
            <w:rStyle w:val="Hyperlink"/>
            <w:lang w:val="en-GB"/>
          </w:rPr>
          <w:t>RCC/40A5/1</w:t>
        </w:r>
      </w:hyperlink>
      <w:r w:rsidRPr="00380B40">
        <w:rPr>
          <w:lang w:val="en-GB"/>
        </w:rPr>
        <w:t xml:space="preserve">, </w:t>
      </w:r>
      <w:hyperlink r:id="rId719" w:history="1">
        <w:r w:rsidRPr="00380B40">
          <w:rPr>
            <w:rStyle w:val="Hyperlink"/>
            <w:lang w:val="en-GB"/>
          </w:rPr>
          <w:t>CAN/USA/45/1</w:t>
        </w:r>
      </w:hyperlink>
      <w:r w:rsidRPr="00380B40">
        <w:rPr>
          <w:lang w:val="en-GB"/>
        </w:rPr>
        <w:t xml:space="preserve">) as well as TSAG agreed draft revision of Resolution 1 in Doc </w:t>
      </w:r>
      <w:hyperlink r:id="rId720" w:history="1">
        <w:r w:rsidRPr="00380B40">
          <w:rPr>
            <w:rStyle w:val="Hyperlink"/>
            <w:lang w:val="en-GB"/>
          </w:rPr>
          <w:t>24</w:t>
        </w:r>
      </w:hyperlink>
      <w:r w:rsidRPr="00380B40">
        <w:rPr>
          <w:u w:val="single"/>
          <w:lang w:val="en-GB"/>
        </w:rPr>
        <w:t xml:space="preserve"> Appendix I and II</w:t>
      </w:r>
      <w:r w:rsidRPr="00380B40">
        <w:rPr>
          <w:lang w:val="en-GB"/>
        </w:rPr>
        <w:t xml:space="preserve"> for modification of Resolution 1. </w:t>
      </w:r>
    </w:p>
    <w:p w14:paraId="4B2CAACF" w14:textId="77777777" w:rsidR="00AD0C2E" w:rsidRPr="00380B40" w:rsidRDefault="00AD0C2E" w:rsidP="009033A7">
      <w:pPr>
        <w:tabs>
          <w:tab w:val="clear" w:pos="794"/>
          <w:tab w:val="clear" w:pos="1191"/>
          <w:tab w:val="clear" w:pos="1588"/>
          <w:tab w:val="clear" w:pos="1985"/>
          <w:tab w:val="left" w:pos="426"/>
          <w:tab w:val="left" w:pos="1134"/>
          <w:tab w:val="left" w:pos="1871"/>
          <w:tab w:val="left" w:pos="2268"/>
        </w:tabs>
        <w:rPr>
          <w:lang w:val="en-GB"/>
        </w:rPr>
      </w:pPr>
      <w:r w:rsidRPr="00380B40">
        <w:rPr>
          <w:lang w:val="en-GB"/>
        </w:rPr>
        <w:br w:type="page"/>
      </w:r>
    </w:p>
    <w:p w14:paraId="0BA1B366" w14:textId="77777777" w:rsidR="009033A7" w:rsidRPr="00380B40" w:rsidRDefault="009033A7" w:rsidP="009033A7">
      <w:pPr>
        <w:tabs>
          <w:tab w:val="clear" w:pos="794"/>
          <w:tab w:val="clear" w:pos="1191"/>
          <w:tab w:val="clear" w:pos="1588"/>
          <w:tab w:val="clear" w:pos="1985"/>
          <w:tab w:val="left" w:pos="426"/>
          <w:tab w:val="left" w:pos="1134"/>
          <w:tab w:val="left" w:pos="1871"/>
          <w:tab w:val="left" w:pos="2268"/>
        </w:tabs>
        <w:rPr>
          <w:lang w:val="en-GB"/>
        </w:rPr>
      </w:pPr>
      <w:r w:rsidRPr="00380B40">
        <w:rPr>
          <w:lang w:val="en-GB"/>
        </w:rPr>
        <w:t>Working Group 3A held multiple ad hoc groups to discuss these proposals on different sections of Resolution</w:t>
      </w:r>
      <w:r w:rsidR="004831FF" w:rsidRPr="00380B40">
        <w:rPr>
          <w:lang w:val="en-GB"/>
        </w:rPr>
        <w:t> </w:t>
      </w:r>
      <w:r w:rsidRPr="00380B40">
        <w:rPr>
          <w:lang w:val="en-GB"/>
        </w:rPr>
        <w:t>1 and Committee 3 agreed on the revision to Resolution 1 text in the mandate of Working Group 3A.</w:t>
      </w:r>
    </w:p>
    <w:p w14:paraId="556C0E9E" w14:textId="77777777" w:rsidR="00697453" w:rsidRPr="00380B40" w:rsidRDefault="009033A7" w:rsidP="0033524E">
      <w:pPr>
        <w:tabs>
          <w:tab w:val="clear" w:pos="794"/>
          <w:tab w:val="clear" w:pos="1191"/>
          <w:tab w:val="clear" w:pos="1588"/>
          <w:tab w:val="clear" w:pos="1985"/>
          <w:tab w:val="left" w:pos="1134"/>
          <w:tab w:val="left" w:pos="1871"/>
          <w:tab w:val="left" w:pos="2268"/>
        </w:tabs>
        <w:rPr>
          <w:b/>
          <w:bCs/>
          <w:i/>
          <w:iCs/>
          <w:lang w:val="en-GB"/>
        </w:rPr>
      </w:pPr>
      <w:r w:rsidRPr="00380B40">
        <w:rPr>
          <w:lang w:val="en-GB"/>
        </w:rPr>
        <w:t>Note:</w:t>
      </w:r>
      <w:r w:rsidRPr="00380B40">
        <w:rPr>
          <w:b/>
          <w:bCs/>
          <w:lang w:val="en-GB"/>
        </w:rPr>
        <w:t xml:space="preserve"> </w:t>
      </w:r>
      <w:r w:rsidRPr="00380B40">
        <w:rPr>
          <w:lang w:val="en-GB"/>
        </w:rPr>
        <w:t xml:space="preserve">Proposals relevant to Clauses </w:t>
      </w:r>
      <w:r w:rsidRPr="00380B40">
        <w:rPr>
          <w:i/>
          <w:iCs/>
          <w:lang w:val="en-GB"/>
        </w:rPr>
        <w:t xml:space="preserve">2.1.4, 2.3.2, 2.3.3, 5.2bis, 5.4bis, </w:t>
      </w:r>
      <w:r w:rsidRPr="00380B40">
        <w:rPr>
          <w:lang w:val="en-GB"/>
        </w:rPr>
        <w:t>and</w:t>
      </w:r>
      <w:r w:rsidRPr="00380B40">
        <w:rPr>
          <w:i/>
          <w:iCs/>
          <w:lang w:val="en-GB"/>
        </w:rPr>
        <w:t xml:space="preserve"> 9.2.1 Note</w:t>
      </w:r>
      <w:r w:rsidRPr="00380B40">
        <w:rPr>
          <w:lang w:val="en-GB"/>
        </w:rPr>
        <w:t xml:space="preserve"> were discussed in WG4B and Committee 4 agreed changes were included. Also, TSB is instructed to develop Figures 7.1a and 7.1b after.</w:t>
      </w:r>
    </w:p>
    <w:p w14:paraId="2D79B6F0" w14:textId="77777777" w:rsidR="009033A7" w:rsidRPr="00380B40" w:rsidRDefault="009033A7" w:rsidP="009033A7">
      <w:pPr>
        <w:tabs>
          <w:tab w:val="clear" w:pos="794"/>
          <w:tab w:val="clear" w:pos="1191"/>
          <w:tab w:val="clear" w:pos="1588"/>
          <w:tab w:val="clear" w:pos="1985"/>
          <w:tab w:val="left" w:pos="1134"/>
          <w:tab w:val="left" w:pos="1871"/>
          <w:tab w:val="left" w:pos="2268"/>
        </w:tabs>
        <w:rPr>
          <w:b/>
          <w:bCs/>
          <w:i/>
          <w:iCs/>
          <w:lang w:val="en-GB"/>
        </w:rPr>
      </w:pPr>
      <w:r w:rsidRPr="00380B40">
        <w:rPr>
          <w:b/>
          <w:bCs/>
          <w:i/>
          <w:iCs/>
          <w:lang w:val="en-GB"/>
        </w:rPr>
        <w:t xml:space="preserve">Plenary is requested to approve draft revised Resolution 1 as forwarded via the editorial committee to Plenary in Document </w:t>
      </w:r>
      <w:hyperlink r:id="rId721" w:history="1">
        <w:r w:rsidRPr="00C777D4">
          <w:rPr>
            <w:rStyle w:val="Hyperlinkbolditalic"/>
            <w:lang w:val="en-GB"/>
          </w:rPr>
          <w:t>94</w:t>
        </w:r>
      </w:hyperlink>
      <w:r w:rsidRPr="00380B40">
        <w:rPr>
          <w:b/>
          <w:bCs/>
          <w:i/>
          <w:iCs/>
          <w:lang w:val="en-GB"/>
        </w:rPr>
        <w:t>, after approval of draft revised Resolution 54 (COM4 work).</w:t>
      </w:r>
    </w:p>
    <w:p w14:paraId="316BF279" w14:textId="77777777" w:rsidR="009033A7" w:rsidRPr="00380B40" w:rsidRDefault="003C1BBF" w:rsidP="003C1BBF">
      <w:pPr>
        <w:pStyle w:val="Heading3"/>
        <w:rPr>
          <w:lang w:val="en-GB"/>
        </w:rPr>
      </w:pPr>
      <w:bookmarkStart w:id="2578" w:name="_Toc111637283"/>
      <w:r w:rsidRPr="00380B40">
        <w:rPr>
          <w:lang w:val="en-GB"/>
        </w:rPr>
        <w:t>2.1.2</w:t>
      </w:r>
      <w:r w:rsidRPr="00380B40">
        <w:rPr>
          <w:lang w:val="en-GB"/>
        </w:rPr>
        <w:tab/>
      </w:r>
      <w:r w:rsidR="009033A7" w:rsidRPr="00380B40">
        <w:rPr>
          <w:lang w:val="en-GB"/>
        </w:rPr>
        <w:t xml:space="preserve">Resolution 7 </w:t>
      </w:r>
      <w:r w:rsidR="00892720" w:rsidRPr="00380B40">
        <w:rPr>
          <w:lang w:val="en-GB"/>
        </w:rPr>
        <w:t>–</w:t>
      </w:r>
      <w:r w:rsidR="009033A7" w:rsidRPr="00380B40">
        <w:rPr>
          <w:lang w:val="en-GB"/>
        </w:rPr>
        <w:t xml:space="preserve"> Collaboration with the International Organization for Standardization</w:t>
      </w:r>
      <w:r w:rsidR="009033A7" w:rsidRPr="00380B40">
        <w:rPr>
          <w:lang w:val="en-GB"/>
        </w:rPr>
        <w:br/>
        <w:t>and the International Electrotechnical Commission</w:t>
      </w:r>
      <w:bookmarkEnd w:id="2578"/>
    </w:p>
    <w:p w14:paraId="1541EB45"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Per document DT1 Resolution 7 falls in the mandate of Working Group 3B where it was examined and revised. Resolution 7 received two proposals (</w:t>
      </w:r>
      <w:hyperlink r:id="rId722" w:tgtFrame="_blank" w:history="1">
        <w:r w:rsidRPr="00380B40">
          <w:rPr>
            <w:rStyle w:val="Hyperlink"/>
            <w:lang w:val="en-GB"/>
          </w:rPr>
          <w:t>ARB/36A2/1</w:t>
        </w:r>
      </w:hyperlink>
      <w:r w:rsidRPr="00380B40">
        <w:rPr>
          <w:lang w:val="en-GB"/>
        </w:rPr>
        <w:t xml:space="preserve">, </w:t>
      </w:r>
      <w:hyperlink r:id="rId723" w:history="1">
        <w:r w:rsidRPr="00380B40">
          <w:rPr>
            <w:rStyle w:val="Hyperlink"/>
            <w:lang w:val="en-GB"/>
          </w:rPr>
          <w:t>RCC/40A24/1</w:t>
        </w:r>
      </w:hyperlink>
      <w:r w:rsidRPr="00380B40">
        <w:rPr>
          <w:lang w:val="en-GB"/>
        </w:rPr>
        <w:t>) to modify Resolution 7.</w:t>
      </w:r>
    </w:p>
    <w:p w14:paraId="1CEB6B58" w14:textId="77777777" w:rsidR="009033A7" w:rsidRPr="00380B40" w:rsidRDefault="009033A7" w:rsidP="009033A7">
      <w:pPr>
        <w:tabs>
          <w:tab w:val="clear" w:pos="794"/>
          <w:tab w:val="clear" w:pos="1191"/>
          <w:tab w:val="clear" w:pos="1588"/>
          <w:tab w:val="clear" w:pos="1985"/>
          <w:tab w:val="left" w:pos="1134"/>
          <w:tab w:val="left" w:pos="1871"/>
          <w:tab w:val="left" w:pos="2268"/>
        </w:tabs>
        <w:rPr>
          <w:b/>
          <w:bCs/>
          <w:i/>
          <w:iCs/>
          <w:lang w:val="en-GB"/>
        </w:rPr>
      </w:pPr>
      <w:r w:rsidRPr="00380B40">
        <w:rPr>
          <w:szCs w:val="24"/>
          <w:lang w:val="en-GB"/>
        </w:rPr>
        <w:t xml:space="preserve">Working Group 3B discussed via an ad hoc group on Resolution 7, chaired by </w:t>
      </w:r>
      <w:r w:rsidRPr="00380B40">
        <w:rPr>
          <w:lang w:val="en-GB"/>
        </w:rPr>
        <w:t>Glenn Parsons</w:t>
      </w:r>
      <w:r w:rsidRPr="00380B40">
        <w:rPr>
          <w:szCs w:val="24"/>
          <w:lang w:val="en-GB"/>
        </w:rPr>
        <w:t xml:space="preserve"> (Canada) and had to forward a revised text of Resolution 7 with some items left in square brackets to Committee 3 from last Working Group 3B meeting. Committee 3 continued with more ad hoc discussions led by Arnaud Taddei (UK) and reach agreement on a revised Resolution 7 without any pending issues. </w:t>
      </w:r>
    </w:p>
    <w:p w14:paraId="0E81C811" w14:textId="77777777" w:rsidR="009033A7" w:rsidRPr="00380B40" w:rsidRDefault="009033A7" w:rsidP="009033A7">
      <w:pPr>
        <w:tabs>
          <w:tab w:val="clear" w:pos="794"/>
          <w:tab w:val="clear" w:pos="1191"/>
          <w:tab w:val="clear" w:pos="1588"/>
          <w:tab w:val="clear" w:pos="1985"/>
          <w:tab w:val="left" w:pos="1134"/>
          <w:tab w:val="left" w:pos="1871"/>
          <w:tab w:val="left" w:pos="2268"/>
        </w:tabs>
        <w:rPr>
          <w:b/>
          <w:bCs/>
          <w:i/>
          <w:iCs/>
          <w:lang w:val="en-GB"/>
        </w:rPr>
      </w:pPr>
      <w:r w:rsidRPr="00380B40">
        <w:rPr>
          <w:b/>
          <w:bCs/>
          <w:i/>
          <w:iCs/>
          <w:lang w:val="en-GB"/>
        </w:rPr>
        <w:t xml:space="preserve">Plenary is requested to approve draft revised Resolution 7 as forwarded via the editorial committee to Plenary in Document </w:t>
      </w:r>
      <w:hyperlink r:id="rId724" w:history="1">
        <w:r w:rsidRPr="00C777D4">
          <w:rPr>
            <w:rStyle w:val="Hyperlinkbolditalic"/>
            <w:lang w:val="en-GB"/>
          </w:rPr>
          <w:t>95</w:t>
        </w:r>
      </w:hyperlink>
      <w:r w:rsidRPr="00380B40">
        <w:rPr>
          <w:b/>
          <w:bCs/>
          <w:i/>
          <w:iCs/>
          <w:lang w:val="en-GB"/>
        </w:rPr>
        <w:t>.</w:t>
      </w:r>
    </w:p>
    <w:p w14:paraId="23E4F763" w14:textId="77777777" w:rsidR="009033A7" w:rsidRPr="00380B40" w:rsidRDefault="003C1BBF" w:rsidP="003C1BBF">
      <w:pPr>
        <w:pStyle w:val="Heading3"/>
        <w:rPr>
          <w:lang w:val="en-GB"/>
        </w:rPr>
      </w:pPr>
      <w:bookmarkStart w:id="2579" w:name="_Toc111637284"/>
      <w:r w:rsidRPr="00380B40">
        <w:rPr>
          <w:lang w:val="en-GB"/>
        </w:rPr>
        <w:t>2.1.3</w:t>
      </w:r>
      <w:r w:rsidRPr="00380B40">
        <w:rPr>
          <w:lang w:val="en-GB"/>
        </w:rPr>
        <w:tab/>
      </w:r>
      <w:r w:rsidR="009033A7" w:rsidRPr="00380B40">
        <w:rPr>
          <w:lang w:val="en-GB"/>
        </w:rPr>
        <w:t xml:space="preserve">Resolution 11 </w:t>
      </w:r>
      <w:r w:rsidR="00892720" w:rsidRPr="00380B40">
        <w:rPr>
          <w:lang w:val="en-GB"/>
        </w:rPr>
        <w:t>–</w:t>
      </w:r>
      <w:r w:rsidR="009033A7" w:rsidRPr="00380B40">
        <w:rPr>
          <w:lang w:val="en-GB"/>
        </w:rPr>
        <w:t xml:space="preserve"> Collaboration with the Postal Operations Council (POC) of the Universal Postal Union (UPU) in the study of services concerning both the postal and the telecommunication sectors</w:t>
      </w:r>
      <w:bookmarkEnd w:id="2579"/>
      <w:r w:rsidR="009033A7" w:rsidRPr="00380B40">
        <w:rPr>
          <w:lang w:val="en-GB"/>
        </w:rPr>
        <w:t xml:space="preserve"> </w:t>
      </w:r>
    </w:p>
    <w:p w14:paraId="21F3682F" w14:textId="77777777" w:rsidR="009033A7" w:rsidRPr="00380B40" w:rsidRDefault="009033A7" w:rsidP="009033A7">
      <w:pPr>
        <w:tabs>
          <w:tab w:val="clear" w:pos="794"/>
          <w:tab w:val="clear" w:pos="1191"/>
          <w:tab w:val="clear" w:pos="1588"/>
          <w:tab w:val="clear" w:pos="1985"/>
          <w:tab w:val="left" w:pos="426"/>
          <w:tab w:val="left" w:pos="1134"/>
          <w:tab w:val="left" w:pos="1871"/>
          <w:tab w:val="left" w:pos="2268"/>
        </w:tabs>
        <w:rPr>
          <w:lang w:val="en-GB"/>
        </w:rPr>
      </w:pPr>
      <w:r w:rsidRPr="00380B40">
        <w:rPr>
          <w:lang w:val="en-GB"/>
        </w:rPr>
        <w:t>Per document DT1 Resolution 11 falls in the mandate of Working Group 3B where it was examined based on the one proposal (</w:t>
      </w:r>
      <w:hyperlink r:id="rId725" w:tgtFrame="_blank" w:history="1">
        <w:r w:rsidRPr="00380B40">
          <w:rPr>
            <w:rStyle w:val="Hyperlink"/>
            <w:lang w:val="en-GB"/>
          </w:rPr>
          <w:t>IAP/39A28/1</w:t>
        </w:r>
      </w:hyperlink>
      <w:r w:rsidRPr="00380B40">
        <w:rPr>
          <w:lang w:val="en-GB"/>
        </w:rPr>
        <w:t>) to suppress Resolution 11.</w:t>
      </w:r>
    </w:p>
    <w:p w14:paraId="11F0970A" w14:textId="77777777" w:rsidR="009033A7" w:rsidRPr="00380B40" w:rsidRDefault="009033A7" w:rsidP="009033A7">
      <w:pPr>
        <w:tabs>
          <w:tab w:val="clear" w:pos="794"/>
          <w:tab w:val="clear" w:pos="1191"/>
          <w:tab w:val="clear" w:pos="1588"/>
          <w:tab w:val="clear" w:pos="1985"/>
          <w:tab w:val="left" w:pos="426"/>
          <w:tab w:val="left" w:pos="1134"/>
          <w:tab w:val="left" w:pos="1871"/>
          <w:tab w:val="left" w:pos="2268"/>
        </w:tabs>
        <w:rPr>
          <w:szCs w:val="24"/>
          <w:lang w:val="en-GB"/>
        </w:rPr>
      </w:pPr>
      <w:r w:rsidRPr="00380B40">
        <w:rPr>
          <w:szCs w:val="24"/>
          <w:lang w:val="en-GB"/>
        </w:rPr>
        <w:t>Working Group 3B noted that on one hand, along with cost considerations, no real engagement was had in the recent past since X.400 work was delivered. On the other hand, the relationship of both ITU-T and UPU comes back long in history and cascades in documents, digital transformation brings new challenges to be explored such as big data, IoT, cybersecurity, etc. and UPU quoting ITU in its conferences for collaboration, the meeting agreed to no change to Resolution 11.</w:t>
      </w:r>
    </w:p>
    <w:p w14:paraId="55DF0471" w14:textId="77777777" w:rsidR="009033A7" w:rsidRPr="00380B40" w:rsidRDefault="009033A7" w:rsidP="009033A7">
      <w:pPr>
        <w:tabs>
          <w:tab w:val="clear" w:pos="794"/>
          <w:tab w:val="clear" w:pos="1191"/>
          <w:tab w:val="clear" w:pos="1588"/>
          <w:tab w:val="clear" w:pos="1985"/>
          <w:tab w:val="left" w:pos="1134"/>
          <w:tab w:val="left" w:pos="1871"/>
          <w:tab w:val="left" w:pos="2268"/>
        </w:tabs>
        <w:rPr>
          <w:b/>
          <w:bCs/>
          <w:i/>
          <w:iCs/>
          <w:lang w:val="en-GB"/>
        </w:rPr>
      </w:pPr>
      <w:r w:rsidRPr="00380B40">
        <w:rPr>
          <w:b/>
          <w:bCs/>
          <w:i/>
          <w:iCs/>
          <w:lang w:val="en-GB"/>
        </w:rPr>
        <w:t xml:space="preserve">Plenary is requested to approve NOC to Resolution 11 as forwarded via the editorial committee to Plenary in Document </w:t>
      </w:r>
      <w:hyperlink r:id="rId726" w:history="1">
        <w:r w:rsidRPr="00C777D4">
          <w:rPr>
            <w:rStyle w:val="Hyperlinkbolditalic"/>
            <w:lang w:val="en-GB"/>
          </w:rPr>
          <w:t>85</w:t>
        </w:r>
      </w:hyperlink>
      <w:r w:rsidRPr="00380B40">
        <w:rPr>
          <w:b/>
          <w:bCs/>
          <w:i/>
          <w:iCs/>
          <w:lang w:val="en-GB"/>
        </w:rPr>
        <w:t>.</w:t>
      </w:r>
    </w:p>
    <w:p w14:paraId="67BA4A86" w14:textId="77777777" w:rsidR="009033A7" w:rsidRPr="00380B40" w:rsidRDefault="009033A7" w:rsidP="009033A7">
      <w:pPr>
        <w:tabs>
          <w:tab w:val="clear" w:pos="794"/>
          <w:tab w:val="clear" w:pos="1191"/>
          <w:tab w:val="clear" w:pos="1588"/>
          <w:tab w:val="clear" w:pos="1985"/>
          <w:tab w:val="left" w:pos="1134"/>
          <w:tab w:val="left" w:pos="1871"/>
          <w:tab w:val="left" w:pos="2268"/>
        </w:tabs>
        <w:rPr>
          <w:b/>
          <w:bCs/>
          <w:i/>
          <w:iCs/>
          <w:lang w:val="en-GB"/>
        </w:rPr>
      </w:pPr>
      <w:r w:rsidRPr="00380B40">
        <w:rPr>
          <w:b/>
          <w:bCs/>
          <w:i/>
          <w:iCs/>
          <w:lang w:val="en-GB"/>
        </w:rPr>
        <w:t>Plenary is requested to invite TSAG to conduct, with the support and contributions from its members, to take necessary measures to review Resolution 11 and its implementation and to provide a proposal for the way forward for its modification and/or any other suggestion.</w:t>
      </w:r>
    </w:p>
    <w:p w14:paraId="70C9F0F6" w14:textId="77777777" w:rsidR="00AD0C2E" w:rsidRPr="00380B40" w:rsidRDefault="00AD0C2E" w:rsidP="009033A7">
      <w:pPr>
        <w:tabs>
          <w:tab w:val="clear" w:pos="794"/>
          <w:tab w:val="clear" w:pos="1191"/>
          <w:tab w:val="clear" w:pos="1588"/>
          <w:tab w:val="clear" w:pos="1985"/>
          <w:tab w:val="left" w:pos="1134"/>
          <w:tab w:val="left" w:pos="1871"/>
          <w:tab w:val="left" w:pos="2268"/>
        </w:tabs>
        <w:rPr>
          <w:b/>
          <w:bCs/>
          <w:i/>
          <w:iCs/>
          <w:lang w:val="en-GB"/>
        </w:rPr>
      </w:pPr>
      <w:r w:rsidRPr="00380B40">
        <w:rPr>
          <w:b/>
          <w:bCs/>
          <w:i/>
          <w:iCs/>
          <w:lang w:val="en-GB"/>
        </w:rPr>
        <w:br w:type="page"/>
      </w:r>
    </w:p>
    <w:p w14:paraId="0E2DF7FE" w14:textId="77777777" w:rsidR="009033A7" w:rsidRPr="00380B40" w:rsidRDefault="003C1BBF" w:rsidP="003C1BBF">
      <w:pPr>
        <w:pStyle w:val="Heading3"/>
        <w:rPr>
          <w:lang w:val="en-GB"/>
        </w:rPr>
      </w:pPr>
      <w:bookmarkStart w:id="2580" w:name="_Toc111637285"/>
      <w:r w:rsidRPr="00380B40">
        <w:rPr>
          <w:lang w:val="en-GB"/>
        </w:rPr>
        <w:t>2.1.4</w:t>
      </w:r>
      <w:r w:rsidRPr="00380B40">
        <w:rPr>
          <w:lang w:val="en-GB"/>
        </w:rPr>
        <w:tab/>
      </w:r>
      <w:r w:rsidR="009033A7" w:rsidRPr="00380B40">
        <w:rPr>
          <w:lang w:val="en-GB"/>
        </w:rPr>
        <w:t xml:space="preserve">Resolution 18 </w:t>
      </w:r>
      <w:r w:rsidR="00892720" w:rsidRPr="00380B40">
        <w:rPr>
          <w:lang w:val="en-GB"/>
        </w:rPr>
        <w:t>–</w:t>
      </w:r>
      <w:r w:rsidR="009033A7" w:rsidRPr="00380B40">
        <w:rPr>
          <w:lang w:val="en-GB"/>
        </w:rPr>
        <w:t xml:space="preserve"> Principles and procedures for the allocation of work to, and </w:t>
      </w:r>
      <w:r w:rsidR="009033A7" w:rsidRPr="00380B40">
        <w:rPr>
          <w:lang w:val="en-GB"/>
        </w:rPr>
        <w:br/>
        <w:t>strengthening coordination and cooperation among, the ITU Radiocommunication, ITU Telecommunication Standardization and ITU Telecommunication Development Sectors</w:t>
      </w:r>
      <w:bookmarkEnd w:id="2580"/>
    </w:p>
    <w:p w14:paraId="148F9109" w14:textId="77777777" w:rsidR="009033A7" w:rsidRPr="00380B40" w:rsidRDefault="009033A7" w:rsidP="009033A7">
      <w:pPr>
        <w:tabs>
          <w:tab w:val="clear" w:pos="794"/>
          <w:tab w:val="clear" w:pos="1191"/>
          <w:tab w:val="clear" w:pos="1588"/>
          <w:tab w:val="clear" w:pos="1985"/>
          <w:tab w:val="left" w:pos="426"/>
          <w:tab w:val="left" w:pos="1134"/>
          <w:tab w:val="left" w:pos="1871"/>
          <w:tab w:val="left" w:pos="2268"/>
        </w:tabs>
        <w:rPr>
          <w:szCs w:val="24"/>
          <w:lang w:val="en-GB"/>
        </w:rPr>
      </w:pPr>
      <w:r w:rsidRPr="00380B40">
        <w:rPr>
          <w:lang w:val="en-GB"/>
        </w:rPr>
        <w:t>Per document DT1 Resolution 18 falls in the mandate of Working Group 3B where it was examined and revised. Resolution 18 received four proposals (</w:t>
      </w:r>
      <w:hyperlink r:id="rId727" w:tgtFrame="_blank" w:history="1">
        <w:r w:rsidRPr="00380B40">
          <w:rPr>
            <w:rStyle w:val="Hyperlink"/>
            <w:lang w:val="en-GB"/>
          </w:rPr>
          <w:t>AFCP/35A1/1</w:t>
        </w:r>
      </w:hyperlink>
      <w:r w:rsidRPr="00380B40">
        <w:rPr>
          <w:lang w:val="en-GB"/>
        </w:rPr>
        <w:t xml:space="preserve">, </w:t>
      </w:r>
      <w:hyperlink r:id="rId728" w:tgtFrame="_blank" w:history="1">
        <w:r w:rsidRPr="00380B40">
          <w:rPr>
            <w:rStyle w:val="Hyperlink"/>
            <w:lang w:val="en-GB"/>
          </w:rPr>
          <w:t>APT/37A3/1</w:t>
        </w:r>
      </w:hyperlink>
      <w:r w:rsidRPr="00380B40">
        <w:rPr>
          <w:lang w:val="en-GB"/>
        </w:rPr>
        <w:t xml:space="preserve">, </w:t>
      </w:r>
      <w:hyperlink r:id="rId729" w:tgtFrame="_blank" w:history="1">
        <w:r w:rsidRPr="00380B40">
          <w:rPr>
            <w:rStyle w:val="Hyperlink"/>
            <w:lang w:val="en-GB"/>
          </w:rPr>
          <w:t>IAP/39A24/1</w:t>
        </w:r>
      </w:hyperlink>
      <w:r w:rsidRPr="00380B40">
        <w:rPr>
          <w:lang w:val="en-GB"/>
        </w:rPr>
        <w:t xml:space="preserve">, </w:t>
      </w:r>
      <w:hyperlink r:id="rId730" w:tgtFrame="_blank" w:history="1">
        <w:r w:rsidRPr="00380B40">
          <w:rPr>
            <w:rStyle w:val="Hyperlink"/>
            <w:lang w:val="en-GB"/>
          </w:rPr>
          <w:t>RCC/40A6/1</w:t>
        </w:r>
      </w:hyperlink>
      <w:r w:rsidRPr="00380B40">
        <w:rPr>
          <w:lang w:val="en-GB"/>
        </w:rPr>
        <w:t>) to modify Resolution 18.</w:t>
      </w:r>
    </w:p>
    <w:p w14:paraId="62BBBDDD" w14:textId="77777777" w:rsidR="009033A7" w:rsidRPr="00380B40" w:rsidRDefault="009033A7" w:rsidP="009033A7">
      <w:pPr>
        <w:tabs>
          <w:tab w:val="clear" w:pos="794"/>
          <w:tab w:val="clear" w:pos="1191"/>
          <w:tab w:val="clear" w:pos="1588"/>
          <w:tab w:val="clear" w:pos="1985"/>
          <w:tab w:val="left" w:pos="1134"/>
          <w:tab w:val="left" w:pos="1871"/>
          <w:tab w:val="left" w:pos="2268"/>
        </w:tabs>
        <w:rPr>
          <w:b/>
          <w:bCs/>
          <w:i/>
          <w:iCs/>
          <w:lang w:val="en-GB"/>
        </w:rPr>
      </w:pPr>
      <w:r w:rsidRPr="00380B40">
        <w:rPr>
          <w:szCs w:val="24"/>
          <w:lang w:val="en-GB"/>
        </w:rPr>
        <w:t xml:space="preserve">Working Group 3B discussed via an ad hoc group on Resolution 18, chaired by </w:t>
      </w:r>
      <w:r w:rsidRPr="00380B40">
        <w:rPr>
          <w:lang w:val="en-GB"/>
        </w:rPr>
        <w:t xml:space="preserve">Gaëlle Martin-Cocher (Canada) </w:t>
      </w:r>
      <w:r w:rsidRPr="00380B40">
        <w:rPr>
          <w:szCs w:val="24"/>
          <w:lang w:val="en-GB"/>
        </w:rPr>
        <w:t xml:space="preserve">and agreed on a revised text of Resolution 18. </w:t>
      </w:r>
    </w:p>
    <w:p w14:paraId="576FBEF2" w14:textId="77777777" w:rsidR="009033A7" w:rsidRPr="00380B40" w:rsidRDefault="009033A7" w:rsidP="009033A7">
      <w:pPr>
        <w:tabs>
          <w:tab w:val="clear" w:pos="794"/>
          <w:tab w:val="clear" w:pos="1191"/>
          <w:tab w:val="clear" w:pos="1588"/>
          <w:tab w:val="clear" w:pos="1985"/>
          <w:tab w:val="left" w:pos="1134"/>
          <w:tab w:val="left" w:pos="1871"/>
          <w:tab w:val="left" w:pos="2268"/>
        </w:tabs>
        <w:rPr>
          <w:b/>
          <w:bCs/>
          <w:i/>
          <w:iCs/>
          <w:lang w:val="en-GB"/>
        </w:rPr>
      </w:pPr>
      <w:r w:rsidRPr="00380B40">
        <w:rPr>
          <w:b/>
          <w:bCs/>
          <w:i/>
          <w:iCs/>
          <w:lang w:val="en-GB"/>
        </w:rPr>
        <w:t xml:space="preserve">Plenary is requested to approve draft revised Resolution 18 as forwarded via the editorial committee to Plenary in Document </w:t>
      </w:r>
      <w:hyperlink r:id="rId731" w:history="1">
        <w:r w:rsidRPr="00C777D4">
          <w:rPr>
            <w:rStyle w:val="Hyperlinkbolditalic"/>
            <w:lang w:val="en-GB"/>
          </w:rPr>
          <w:t>85</w:t>
        </w:r>
      </w:hyperlink>
      <w:r w:rsidRPr="00380B40">
        <w:rPr>
          <w:b/>
          <w:bCs/>
          <w:i/>
          <w:iCs/>
          <w:lang w:val="en-GB"/>
        </w:rPr>
        <w:t>.</w:t>
      </w:r>
    </w:p>
    <w:p w14:paraId="74FD26D2" w14:textId="77777777" w:rsidR="009033A7" w:rsidRPr="00380B40" w:rsidRDefault="003C1BBF" w:rsidP="003C1BBF">
      <w:pPr>
        <w:pStyle w:val="Heading3"/>
        <w:rPr>
          <w:lang w:val="en-GB"/>
        </w:rPr>
      </w:pPr>
      <w:bookmarkStart w:id="2581" w:name="_Toc111637286"/>
      <w:r w:rsidRPr="00380B40">
        <w:rPr>
          <w:lang w:val="en-GB"/>
        </w:rPr>
        <w:t>2.1.5</w:t>
      </w:r>
      <w:r w:rsidRPr="00380B40">
        <w:rPr>
          <w:lang w:val="en-GB"/>
        </w:rPr>
        <w:tab/>
      </w:r>
      <w:r w:rsidR="009033A7" w:rsidRPr="00380B40">
        <w:rPr>
          <w:lang w:val="en-GB"/>
        </w:rPr>
        <w:t xml:space="preserve">Resolution 22 </w:t>
      </w:r>
      <w:r w:rsidR="00892720" w:rsidRPr="00380B40">
        <w:rPr>
          <w:lang w:val="en-GB"/>
        </w:rPr>
        <w:t>–</w:t>
      </w:r>
      <w:r w:rsidR="009033A7" w:rsidRPr="00380B40">
        <w:rPr>
          <w:lang w:val="en-GB"/>
        </w:rPr>
        <w:t xml:space="preserve"> Authorization for TSAG to act between WTSAs, and</w:t>
      </w:r>
      <w:bookmarkEnd w:id="2581"/>
    </w:p>
    <w:p w14:paraId="2EC74F7C" w14:textId="77777777" w:rsidR="009033A7" w:rsidRPr="00380B40" w:rsidRDefault="003C1BBF" w:rsidP="003C1BBF">
      <w:pPr>
        <w:pStyle w:val="Heading3"/>
        <w:rPr>
          <w:lang w:val="en-GB"/>
        </w:rPr>
      </w:pPr>
      <w:bookmarkStart w:id="2582" w:name="_Toc111637287"/>
      <w:r w:rsidRPr="00380B40">
        <w:rPr>
          <w:lang w:val="en-GB"/>
        </w:rPr>
        <w:t>2.1.6</w:t>
      </w:r>
      <w:r w:rsidRPr="00380B40">
        <w:rPr>
          <w:lang w:val="en-GB"/>
        </w:rPr>
        <w:tab/>
      </w:r>
      <w:r w:rsidR="009033A7" w:rsidRPr="00380B40">
        <w:rPr>
          <w:lang w:val="en-GB"/>
        </w:rPr>
        <w:t xml:space="preserve">Resolution 45 </w:t>
      </w:r>
      <w:r w:rsidR="00892720" w:rsidRPr="00380B40">
        <w:rPr>
          <w:lang w:val="en-GB"/>
        </w:rPr>
        <w:t>–</w:t>
      </w:r>
      <w:r w:rsidR="009033A7" w:rsidRPr="00380B40">
        <w:rPr>
          <w:lang w:val="en-GB"/>
        </w:rPr>
        <w:t xml:space="preserve"> Effective coordination of standardization work across study groups in the ITU Telecommunication Standardization Sector and the role of the ITU Telecommunication Standardization Advisory Group</w:t>
      </w:r>
      <w:bookmarkEnd w:id="2582"/>
    </w:p>
    <w:p w14:paraId="2F411201" w14:textId="77777777" w:rsidR="009033A7" w:rsidRPr="00380B40" w:rsidRDefault="009033A7" w:rsidP="009033A7">
      <w:pPr>
        <w:tabs>
          <w:tab w:val="clear" w:pos="794"/>
          <w:tab w:val="clear" w:pos="1191"/>
          <w:tab w:val="clear" w:pos="1588"/>
          <w:tab w:val="clear" w:pos="1985"/>
          <w:tab w:val="left" w:pos="426"/>
          <w:tab w:val="left" w:pos="1134"/>
          <w:tab w:val="left" w:pos="1871"/>
          <w:tab w:val="left" w:pos="2268"/>
        </w:tabs>
        <w:rPr>
          <w:lang w:val="en-GB"/>
        </w:rPr>
      </w:pPr>
      <w:r w:rsidRPr="00380B40">
        <w:rPr>
          <w:lang w:val="en-GB"/>
        </w:rPr>
        <w:t xml:space="preserve">Per document DT1 Resolutions 22 and 45 falls in the mandate of Working Group 3B where proposals of them were examined together as closely related to each other. </w:t>
      </w:r>
    </w:p>
    <w:p w14:paraId="6E5C6E8D" w14:textId="77777777" w:rsidR="009033A7" w:rsidRPr="00380B40" w:rsidRDefault="009033A7" w:rsidP="009033A7">
      <w:pPr>
        <w:tabs>
          <w:tab w:val="clear" w:pos="794"/>
          <w:tab w:val="clear" w:pos="1191"/>
          <w:tab w:val="clear" w:pos="1588"/>
          <w:tab w:val="clear" w:pos="1985"/>
          <w:tab w:val="left" w:pos="426"/>
          <w:tab w:val="left" w:pos="1134"/>
          <w:tab w:val="left" w:pos="1871"/>
          <w:tab w:val="left" w:pos="2268"/>
        </w:tabs>
        <w:rPr>
          <w:lang w:val="en-GB"/>
        </w:rPr>
      </w:pPr>
      <w:r w:rsidRPr="00380B40">
        <w:rPr>
          <w:lang w:val="en-GB"/>
        </w:rPr>
        <w:t>Resolution 22 received four proposals (</w:t>
      </w:r>
      <w:hyperlink r:id="rId732" w:tgtFrame="_blank" w:history="1">
        <w:r w:rsidRPr="00380B40">
          <w:rPr>
            <w:rStyle w:val="Hyperlink"/>
            <w:lang w:val="en-GB"/>
          </w:rPr>
          <w:t>ARB/36A3/1</w:t>
        </w:r>
      </w:hyperlink>
      <w:r w:rsidRPr="00380B40">
        <w:rPr>
          <w:lang w:val="en-GB"/>
        </w:rPr>
        <w:t xml:space="preserve">, </w:t>
      </w:r>
      <w:hyperlink r:id="rId733" w:tgtFrame="_blank" w:history="1">
        <w:r w:rsidRPr="00380B40">
          <w:rPr>
            <w:rStyle w:val="Hyperlink"/>
            <w:lang w:val="en-GB"/>
          </w:rPr>
          <w:t>APT/37A4/1</w:t>
        </w:r>
      </w:hyperlink>
      <w:r w:rsidRPr="00380B40">
        <w:rPr>
          <w:lang w:val="en-GB"/>
        </w:rPr>
        <w:t xml:space="preserve">, </w:t>
      </w:r>
      <w:hyperlink r:id="rId734" w:tgtFrame="_blank" w:history="1">
        <w:r w:rsidRPr="00380B40">
          <w:rPr>
            <w:rStyle w:val="Hyperlink"/>
            <w:lang w:val="en-GB"/>
          </w:rPr>
          <w:t>EUR/38A2/1</w:t>
        </w:r>
      </w:hyperlink>
      <w:r w:rsidRPr="00380B40">
        <w:rPr>
          <w:lang w:val="en-GB"/>
        </w:rPr>
        <w:t xml:space="preserve">, </w:t>
      </w:r>
      <w:hyperlink r:id="rId735" w:tgtFrame="_blank" w:history="1">
        <w:r w:rsidRPr="00380B40">
          <w:rPr>
            <w:rStyle w:val="Hyperlink"/>
            <w:lang w:val="en-GB"/>
          </w:rPr>
          <w:t>IAP/39A25/1</w:t>
        </w:r>
      </w:hyperlink>
      <w:r w:rsidRPr="00380B40">
        <w:rPr>
          <w:lang w:val="en-GB"/>
        </w:rPr>
        <w:t>) for modification to Resolution 22. Resolution 45 received four proposals (</w:t>
      </w:r>
      <w:hyperlink r:id="rId736" w:tgtFrame="_blank" w:history="1">
        <w:r w:rsidRPr="00380B40">
          <w:rPr>
            <w:color w:val="0000FF"/>
            <w:szCs w:val="24"/>
            <w:u w:val="single"/>
            <w:lang w:val="en-GB"/>
          </w:rPr>
          <w:t>IAP/46A27/1</w:t>
        </w:r>
      </w:hyperlink>
      <w:r w:rsidRPr="00380B40">
        <w:rPr>
          <w:color w:val="0000FF"/>
          <w:szCs w:val="24"/>
          <w:u w:val="single"/>
          <w:lang w:val="en-GB"/>
        </w:rPr>
        <w:t>, ARB/36A6-R1/1, APT/37A7/1, IAP/39A21/1, EUR/38A2/2)</w:t>
      </w:r>
      <w:r w:rsidRPr="00380B40">
        <w:rPr>
          <w:lang w:val="en-GB"/>
        </w:rPr>
        <w:t xml:space="preserve"> for suppression in view of merge of its content into Resolution 22.</w:t>
      </w:r>
    </w:p>
    <w:p w14:paraId="6B0A0E48" w14:textId="77777777" w:rsidR="009033A7" w:rsidRPr="00380B40" w:rsidRDefault="009033A7" w:rsidP="009033A7">
      <w:pPr>
        <w:tabs>
          <w:tab w:val="clear" w:pos="794"/>
          <w:tab w:val="clear" w:pos="1191"/>
          <w:tab w:val="clear" w:pos="1588"/>
          <w:tab w:val="clear" w:pos="1985"/>
          <w:tab w:val="left" w:pos="426"/>
          <w:tab w:val="left" w:pos="1134"/>
          <w:tab w:val="left" w:pos="1871"/>
          <w:tab w:val="left" w:pos="2268"/>
        </w:tabs>
        <w:rPr>
          <w:lang w:val="en-GB"/>
        </w:rPr>
      </w:pPr>
      <w:r w:rsidRPr="00380B40">
        <w:rPr>
          <w:lang w:val="en-GB"/>
        </w:rPr>
        <w:t>Working Group 3B established an ad hoc group on Resolutions 22 and 45, chaired by Gaëlle Martin-Cocher (Canada) and had to forward a revised text of Resolution 22 with some items left in square brackets. to Committee 3 from last Working Group 3B meeting. In addition, Working Group 3B agreed to request Committee 3 to review the proposed suppression of Resolution 45 after the conclusion of the discussion on the modification of Resolution 22.</w:t>
      </w:r>
    </w:p>
    <w:p w14:paraId="7BD2D21E" w14:textId="77777777" w:rsidR="009033A7" w:rsidRPr="00380B40" w:rsidRDefault="009033A7" w:rsidP="009033A7">
      <w:pPr>
        <w:tabs>
          <w:tab w:val="clear" w:pos="794"/>
          <w:tab w:val="clear" w:pos="1191"/>
          <w:tab w:val="clear" w:pos="1588"/>
          <w:tab w:val="clear" w:pos="1985"/>
          <w:tab w:val="left" w:pos="426"/>
          <w:tab w:val="left" w:pos="1134"/>
          <w:tab w:val="left" w:pos="1871"/>
          <w:tab w:val="left" w:pos="2268"/>
        </w:tabs>
        <w:rPr>
          <w:lang w:val="en-GB"/>
        </w:rPr>
      </w:pPr>
      <w:r w:rsidRPr="00380B40">
        <w:rPr>
          <w:lang w:val="en-GB"/>
        </w:rPr>
        <w:t xml:space="preserve">Committee 3 continued with another ad hoc discussion on Resolution 22 led by Gaëlle Martin-Cocher (Canada) and reach agreement on a revised Resolution 22 and suppression of Resolution 45. </w:t>
      </w:r>
    </w:p>
    <w:p w14:paraId="61D3D3BD"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b/>
          <w:bCs/>
          <w:i/>
          <w:iCs/>
          <w:lang w:val="en-GB"/>
        </w:rPr>
        <w:t>Plenary is requested to approve draft revised Resolution 22 before to approve the suppression of Resolution</w:t>
      </w:r>
      <w:r w:rsidR="004831FF" w:rsidRPr="00380B40">
        <w:rPr>
          <w:b/>
          <w:bCs/>
          <w:i/>
          <w:iCs/>
          <w:lang w:val="en-GB"/>
        </w:rPr>
        <w:t> </w:t>
      </w:r>
      <w:r w:rsidRPr="00380B40">
        <w:rPr>
          <w:b/>
          <w:bCs/>
          <w:i/>
          <w:iCs/>
          <w:lang w:val="en-GB"/>
        </w:rPr>
        <w:t xml:space="preserve">45 as forwarded via the editorial committee to Plenary in Document </w:t>
      </w:r>
      <w:hyperlink r:id="rId737" w:history="1">
        <w:r w:rsidRPr="00C777D4">
          <w:rPr>
            <w:rStyle w:val="Hyperlinkbolditalic"/>
            <w:lang w:val="en-GB"/>
          </w:rPr>
          <w:t>92</w:t>
        </w:r>
      </w:hyperlink>
      <w:r w:rsidRPr="00380B40">
        <w:rPr>
          <w:lang w:val="en-GB"/>
        </w:rPr>
        <w:t>.</w:t>
      </w:r>
    </w:p>
    <w:p w14:paraId="166EE9D5" w14:textId="77777777" w:rsidR="00AD0C2E" w:rsidRPr="00380B40" w:rsidRDefault="00AD0C2E" w:rsidP="009033A7">
      <w:pPr>
        <w:tabs>
          <w:tab w:val="clear" w:pos="794"/>
          <w:tab w:val="clear" w:pos="1191"/>
          <w:tab w:val="clear" w:pos="1588"/>
          <w:tab w:val="clear" w:pos="1985"/>
          <w:tab w:val="left" w:pos="1134"/>
          <w:tab w:val="left" w:pos="1871"/>
          <w:tab w:val="left" w:pos="2268"/>
        </w:tabs>
        <w:rPr>
          <w:lang w:val="en-GB"/>
        </w:rPr>
      </w:pPr>
      <w:r w:rsidRPr="00380B40">
        <w:rPr>
          <w:lang w:val="en-GB"/>
        </w:rPr>
        <w:br w:type="page"/>
      </w:r>
    </w:p>
    <w:p w14:paraId="380D40A2" w14:textId="77777777" w:rsidR="009033A7" w:rsidRPr="00380B40" w:rsidRDefault="003C1BBF" w:rsidP="003C1BBF">
      <w:pPr>
        <w:pStyle w:val="Heading3"/>
        <w:rPr>
          <w:lang w:val="en-GB"/>
        </w:rPr>
      </w:pPr>
      <w:bookmarkStart w:id="2583" w:name="_Toc111637288"/>
      <w:r w:rsidRPr="00380B40">
        <w:rPr>
          <w:lang w:val="en-GB"/>
        </w:rPr>
        <w:t>2.1.7</w:t>
      </w:r>
      <w:r w:rsidRPr="00380B40">
        <w:rPr>
          <w:lang w:val="en-GB"/>
        </w:rPr>
        <w:tab/>
      </w:r>
      <w:r w:rsidR="009033A7" w:rsidRPr="00380B40">
        <w:rPr>
          <w:lang w:val="en-GB"/>
        </w:rPr>
        <w:t xml:space="preserve">Resolution 32 </w:t>
      </w:r>
      <w:r w:rsidR="00892720" w:rsidRPr="00380B40">
        <w:rPr>
          <w:lang w:val="en-GB"/>
        </w:rPr>
        <w:t>–</w:t>
      </w:r>
      <w:r w:rsidR="009033A7" w:rsidRPr="00380B40">
        <w:rPr>
          <w:lang w:val="en-GB"/>
        </w:rPr>
        <w:t xml:space="preserve"> Strengthening electronic working methods for the work of the ITU Telecommunication Standardization Sector</w:t>
      </w:r>
      <w:bookmarkEnd w:id="2583"/>
    </w:p>
    <w:p w14:paraId="6F755FCA"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Per document DT1 Resolution 32 falls in the mandate of Working Group 3A where it was examined. It received four proposals to revise Resolution 32 (</w:t>
      </w:r>
      <w:hyperlink r:id="rId738" w:tgtFrame="_blank" w:history="1">
        <w:r w:rsidRPr="00380B40">
          <w:rPr>
            <w:rStyle w:val="Hyperlink"/>
            <w:lang w:val="en-GB"/>
          </w:rPr>
          <w:t>AFCP/35A4/1</w:t>
        </w:r>
      </w:hyperlink>
      <w:r w:rsidRPr="00380B40">
        <w:rPr>
          <w:lang w:val="en-GB"/>
        </w:rPr>
        <w:t xml:space="preserve">, </w:t>
      </w:r>
      <w:hyperlink r:id="rId739" w:tgtFrame="_blank" w:history="1">
        <w:r w:rsidRPr="00380B40">
          <w:rPr>
            <w:rStyle w:val="Hyperlink"/>
            <w:lang w:val="en-GB"/>
          </w:rPr>
          <w:t>ARB/36A4/1</w:t>
        </w:r>
      </w:hyperlink>
      <w:r w:rsidRPr="00380B40">
        <w:rPr>
          <w:lang w:val="en-GB"/>
        </w:rPr>
        <w:t xml:space="preserve">, </w:t>
      </w:r>
      <w:hyperlink r:id="rId740" w:tgtFrame="_blank" w:history="1">
        <w:r w:rsidRPr="00380B40">
          <w:rPr>
            <w:rStyle w:val="Hyperlink"/>
            <w:lang w:val="en-GB"/>
          </w:rPr>
          <w:t>APT/37A5/1</w:t>
        </w:r>
      </w:hyperlink>
      <w:r w:rsidRPr="00380B40">
        <w:rPr>
          <w:lang w:val="en-GB"/>
        </w:rPr>
        <w:t xml:space="preserve">, </w:t>
      </w:r>
      <w:hyperlink r:id="rId741" w:history="1">
        <w:r w:rsidRPr="00380B40">
          <w:rPr>
            <w:rStyle w:val="Hyperlink"/>
            <w:lang w:val="en-GB"/>
          </w:rPr>
          <w:t>RCC/40A23/1</w:t>
        </w:r>
      </w:hyperlink>
      <w:r w:rsidRPr="00380B40">
        <w:rPr>
          <w:lang w:val="en-GB"/>
        </w:rPr>
        <w:t>) and one proposal (</w:t>
      </w:r>
      <w:hyperlink r:id="rId742" w:tgtFrame="_blank" w:history="1">
        <w:r w:rsidRPr="00380B40">
          <w:rPr>
            <w:rStyle w:val="Hyperlink"/>
            <w:lang w:val="en-GB"/>
          </w:rPr>
          <w:t>IAP/39A14/1</w:t>
        </w:r>
      </w:hyperlink>
      <w:r w:rsidRPr="00380B40">
        <w:rPr>
          <w:lang w:val="en-GB"/>
        </w:rPr>
        <w:t xml:space="preserve">) to suppress it. </w:t>
      </w:r>
    </w:p>
    <w:p w14:paraId="04E8B987" w14:textId="77777777" w:rsidR="009033A7" w:rsidRPr="00380B40" w:rsidRDefault="009033A7" w:rsidP="009033A7">
      <w:pPr>
        <w:ind w:right="11"/>
        <w:rPr>
          <w:szCs w:val="24"/>
          <w:lang w:val="en-GB"/>
        </w:rPr>
      </w:pPr>
      <w:r w:rsidRPr="00380B40">
        <w:rPr>
          <w:szCs w:val="24"/>
          <w:lang w:val="en-GB"/>
        </w:rPr>
        <w:t>Working Group 3A established an ad-hoc discussion on Resolution 32. Working Group 3A suggested the next Plenipotentiary Conference to consider in the context of its Resolution 167 the evolving needs of the membership across all ITU sectors for improving electronic working methods, and decided NOC for Resolution 32.</w:t>
      </w:r>
    </w:p>
    <w:p w14:paraId="6F222E4E" w14:textId="77777777" w:rsidR="009033A7" w:rsidRPr="00380B40" w:rsidRDefault="009033A7" w:rsidP="009033A7">
      <w:pPr>
        <w:tabs>
          <w:tab w:val="clear" w:pos="794"/>
          <w:tab w:val="clear" w:pos="1191"/>
          <w:tab w:val="clear" w:pos="1588"/>
          <w:tab w:val="clear" w:pos="1985"/>
          <w:tab w:val="left" w:pos="1134"/>
          <w:tab w:val="left" w:pos="1871"/>
          <w:tab w:val="left" w:pos="2268"/>
        </w:tabs>
        <w:rPr>
          <w:b/>
          <w:bCs/>
          <w:i/>
          <w:iCs/>
          <w:lang w:val="en-GB"/>
        </w:rPr>
      </w:pPr>
      <w:r w:rsidRPr="00380B40">
        <w:rPr>
          <w:b/>
          <w:bCs/>
          <w:i/>
          <w:iCs/>
          <w:lang w:val="en-GB"/>
        </w:rPr>
        <w:t xml:space="preserve">The NOC to Resolution 32 was forwarded via the editorial committee to Plenary in Document </w:t>
      </w:r>
      <w:hyperlink r:id="rId743" w:history="1">
        <w:r w:rsidRPr="00C777D4">
          <w:rPr>
            <w:rStyle w:val="Hyperlinkbolditalic"/>
            <w:lang w:val="en-GB"/>
          </w:rPr>
          <w:t>92</w:t>
        </w:r>
      </w:hyperlink>
      <w:r w:rsidRPr="00380B40">
        <w:rPr>
          <w:b/>
          <w:bCs/>
          <w:i/>
          <w:iCs/>
          <w:lang w:val="en-GB"/>
        </w:rPr>
        <w:t xml:space="preserve"> and was approved during the Plenary session held on Tuesday, 8 March 2022 from 1430-1730 hours.</w:t>
      </w:r>
    </w:p>
    <w:p w14:paraId="0D57645E" w14:textId="77777777" w:rsidR="009033A7" w:rsidRPr="00380B40" w:rsidRDefault="003C1BBF" w:rsidP="003C1BBF">
      <w:pPr>
        <w:pStyle w:val="Heading3"/>
        <w:rPr>
          <w:lang w:val="en-GB"/>
        </w:rPr>
      </w:pPr>
      <w:bookmarkStart w:id="2584" w:name="_Toc111637289"/>
      <w:r w:rsidRPr="00380B40">
        <w:rPr>
          <w:lang w:val="en-GB"/>
        </w:rPr>
        <w:t>2.1.8</w:t>
      </w:r>
      <w:r w:rsidRPr="00380B40">
        <w:rPr>
          <w:lang w:val="en-GB"/>
        </w:rPr>
        <w:tab/>
      </w:r>
      <w:r w:rsidR="009033A7" w:rsidRPr="00380B40">
        <w:rPr>
          <w:lang w:val="en-GB"/>
        </w:rPr>
        <w:t xml:space="preserve">Resolution 34 </w:t>
      </w:r>
      <w:r w:rsidR="00892720" w:rsidRPr="00380B40">
        <w:rPr>
          <w:lang w:val="en-GB"/>
        </w:rPr>
        <w:t>–</w:t>
      </w:r>
      <w:r w:rsidR="009033A7" w:rsidRPr="00380B40">
        <w:rPr>
          <w:lang w:val="en-GB"/>
        </w:rPr>
        <w:t xml:space="preserve"> Voluntary contributions</w:t>
      </w:r>
      <w:bookmarkEnd w:id="2584"/>
    </w:p>
    <w:p w14:paraId="6CB231B4"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Per document DT1 Resolution 34 falls in the mandate of Working Group 3B where it was examined. It received one proposal (</w:t>
      </w:r>
      <w:hyperlink r:id="rId744" w:history="1">
        <w:r w:rsidRPr="00380B40">
          <w:rPr>
            <w:rStyle w:val="Hyperlink"/>
            <w:lang w:val="en-GB"/>
          </w:rPr>
          <w:t>RCC/40/A22/1</w:t>
        </w:r>
      </w:hyperlink>
      <w:r w:rsidRPr="00380B40">
        <w:rPr>
          <w:lang w:val="en-GB"/>
        </w:rPr>
        <w:t xml:space="preserve">) to modify Resolution 34. </w:t>
      </w:r>
    </w:p>
    <w:p w14:paraId="0B29B224"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WG3G examined the proposal and agreed with modification to a revised Resolution 34.</w:t>
      </w:r>
    </w:p>
    <w:p w14:paraId="59A3CA58" w14:textId="77777777" w:rsidR="009033A7" w:rsidRPr="00380B40" w:rsidRDefault="009033A7" w:rsidP="009033A7">
      <w:pPr>
        <w:tabs>
          <w:tab w:val="clear" w:pos="794"/>
          <w:tab w:val="clear" w:pos="1191"/>
          <w:tab w:val="clear" w:pos="1588"/>
          <w:tab w:val="clear" w:pos="1985"/>
          <w:tab w:val="left" w:pos="1134"/>
          <w:tab w:val="left" w:pos="1871"/>
          <w:tab w:val="left" w:pos="2268"/>
        </w:tabs>
        <w:rPr>
          <w:b/>
          <w:bCs/>
          <w:i/>
          <w:iCs/>
          <w:lang w:val="en-GB"/>
        </w:rPr>
      </w:pPr>
      <w:r w:rsidRPr="00380B40">
        <w:rPr>
          <w:b/>
          <w:bCs/>
          <w:i/>
          <w:iCs/>
          <w:lang w:val="en-GB"/>
        </w:rPr>
        <w:t xml:space="preserve">The draft revised Resolution 34 was forwarded via the editorial committee to Plenary in Document </w:t>
      </w:r>
      <w:hyperlink r:id="rId745" w:history="1">
        <w:hyperlink r:id="rId746" w:history="1">
          <w:r w:rsidRPr="00C777D4">
            <w:rPr>
              <w:rStyle w:val="Hyperlinkbolditalic"/>
              <w:lang w:val="en-GB"/>
            </w:rPr>
            <w:t>56</w:t>
          </w:r>
        </w:hyperlink>
      </w:hyperlink>
      <w:r w:rsidRPr="00380B40">
        <w:rPr>
          <w:b/>
          <w:bCs/>
          <w:i/>
          <w:iCs/>
          <w:lang w:val="en-GB"/>
        </w:rPr>
        <w:t xml:space="preserve"> and was approved during the Plenary session held on Monday, 7 March 2022 from 1600-1730 hours.</w:t>
      </w:r>
    </w:p>
    <w:p w14:paraId="7B9685CE" w14:textId="77777777" w:rsidR="009033A7" w:rsidRPr="00380B40" w:rsidRDefault="003C1BBF" w:rsidP="003C1BBF">
      <w:pPr>
        <w:pStyle w:val="Heading3"/>
        <w:rPr>
          <w:lang w:val="en-GB"/>
        </w:rPr>
      </w:pPr>
      <w:bookmarkStart w:id="2585" w:name="_Toc111637290"/>
      <w:r w:rsidRPr="00380B40">
        <w:rPr>
          <w:lang w:val="en-GB"/>
        </w:rPr>
        <w:t>2.1.9</w:t>
      </w:r>
      <w:r w:rsidRPr="00380B40">
        <w:rPr>
          <w:lang w:val="en-GB"/>
        </w:rPr>
        <w:tab/>
      </w:r>
      <w:r w:rsidR="009033A7" w:rsidRPr="00380B40">
        <w:rPr>
          <w:lang w:val="en-GB"/>
        </w:rPr>
        <w:t xml:space="preserve">Resolution 55 </w:t>
      </w:r>
      <w:r w:rsidR="00892720" w:rsidRPr="00380B40">
        <w:rPr>
          <w:lang w:val="en-GB"/>
        </w:rPr>
        <w:t>–</w:t>
      </w:r>
      <w:r w:rsidR="009033A7" w:rsidRPr="00380B40">
        <w:rPr>
          <w:lang w:val="en-GB"/>
        </w:rPr>
        <w:t xml:space="preserve"> Promoting gender equality in ITU Telecommunication Standardization Sector activities</w:t>
      </w:r>
      <w:bookmarkEnd w:id="2585"/>
    </w:p>
    <w:p w14:paraId="589828FE"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Per document DT1 Resolution 55 falls in the mandate of Committee 3 where it was examined and revised. Resolution 55 received three proposals (</w:t>
      </w:r>
      <w:hyperlink r:id="rId747" w:tgtFrame="_blank" w:history="1">
        <w:r w:rsidRPr="00380B40">
          <w:rPr>
            <w:rStyle w:val="Hyperlink"/>
            <w:lang w:val="en-GB"/>
          </w:rPr>
          <w:t>AFCP/35A12/1</w:t>
        </w:r>
      </w:hyperlink>
      <w:r w:rsidRPr="00380B40">
        <w:rPr>
          <w:lang w:val="en-GB"/>
        </w:rPr>
        <w:t xml:space="preserve">, </w:t>
      </w:r>
      <w:hyperlink r:id="rId748" w:tgtFrame="_blank" w:history="1">
        <w:r w:rsidRPr="00380B40">
          <w:rPr>
            <w:rStyle w:val="Hyperlink"/>
            <w:lang w:val="en-GB"/>
          </w:rPr>
          <w:t>ARB/36A8/1</w:t>
        </w:r>
      </w:hyperlink>
      <w:r w:rsidRPr="00380B40">
        <w:rPr>
          <w:lang w:val="en-GB"/>
        </w:rPr>
        <w:t xml:space="preserve">, </w:t>
      </w:r>
      <w:hyperlink r:id="rId749" w:tgtFrame="_blank" w:history="1">
        <w:r w:rsidRPr="00380B40">
          <w:rPr>
            <w:rStyle w:val="Hyperlink"/>
            <w:lang w:val="en-GB"/>
          </w:rPr>
          <w:t>APT/37A10/1</w:t>
        </w:r>
      </w:hyperlink>
      <w:r w:rsidRPr="00380B40">
        <w:rPr>
          <w:lang w:val="en-GB"/>
        </w:rPr>
        <w:t>) for modification and one proposal (</w:t>
      </w:r>
      <w:hyperlink r:id="rId750" w:history="1">
        <w:r w:rsidRPr="00380B40">
          <w:rPr>
            <w:rStyle w:val="Hyperlink"/>
            <w:lang w:val="en-GB"/>
          </w:rPr>
          <w:t>RCC/40A29/1</w:t>
        </w:r>
      </w:hyperlink>
      <w:r w:rsidRPr="00380B40">
        <w:rPr>
          <w:lang w:val="en-GB"/>
        </w:rPr>
        <w:t xml:space="preserve">) for suppression of it. </w:t>
      </w:r>
    </w:p>
    <w:p w14:paraId="60698D89"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Committee 3 examined these proposals and agreed a revised text of Resolution 55 developed by informal consultation with regional focal points on Resolution 55 led by Ms Hend Ben Hadji (Tunisia).</w:t>
      </w:r>
    </w:p>
    <w:p w14:paraId="4C67A4E0" w14:textId="77777777" w:rsidR="009033A7" w:rsidRPr="00380B40" w:rsidRDefault="009033A7" w:rsidP="009033A7">
      <w:pPr>
        <w:tabs>
          <w:tab w:val="clear" w:pos="794"/>
          <w:tab w:val="clear" w:pos="1191"/>
          <w:tab w:val="clear" w:pos="1588"/>
          <w:tab w:val="clear" w:pos="1985"/>
          <w:tab w:val="left" w:pos="1134"/>
          <w:tab w:val="left" w:pos="1871"/>
          <w:tab w:val="left" w:pos="2268"/>
        </w:tabs>
        <w:rPr>
          <w:b/>
          <w:bCs/>
          <w:i/>
          <w:iCs/>
          <w:lang w:val="en-GB"/>
        </w:rPr>
      </w:pPr>
      <w:r w:rsidRPr="00380B40">
        <w:rPr>
          <w:b/>
          <w:bCs/>
          <w:i/>
          <w:iCs/>
          <w:lang w:val="en-GB"/>
        </w:rPr>
        <w:t xml:space="preserve">Plenary is requested to approve draft revised Resolution 55 as forwarded via the editorial committee to Plenary in Document </w:t>
      </w:r>
      <w:hyperlink r:id="rId751" w:history="1">
        <w:r w:rsidRPr="00C777D4">
          <w:rPr>
            <w:rStyle w:val="Hyperlinkbolditalic"/>
            <w:lang w:val="en-GB"/>
          </w:rPr>
          <w:t>85</w:t>
        </w:r>
      </w:hyperlink>
      <w:r w:rsidRPr="00380B40">
        <w:rPr>
          <w:b/>
          <w:bCs/>
          <w:i/>
          <w:iCs/>
          <w:lang w:val="en-GB"/>
        </w:rPr>
        <w:t>.</w:t>
      </w:r>
    </w:p>
    <w:p w14:paraId="3F2CF2A0" w14:textId="77777777" w:rsidR="009033A7" w:rsidRPr="00380B40" w:rsidRDefault="003C1BBF" w:rsidP="003C1BBF">
      <w:pPr>
        <w:pStyle w:val="Heading3"/>
        <w:rPr>
          <w:lang w:val="en-GB"/>
        </w:rPr>
      </w:pPr>
      <w:bookmarkStart w:id="2586" w:name="_Toc111637291"/>
      <w:r w:rsidRPr="00380B40">
        <w:rPr>
          <w:lang w:val="en-GB"/>
        </w:rPr>
        <w:t>2.1.10</w:t>
      </w:r>
      <w:r w:rsidRPr="00380B40">
        <w:rPr>
          <w:lang w:val="en-GB"/>
        </w:rPr>
        <w:tab/>
      </w:r>
      <w:r w:rsidR="009033A7" w:rsidRPr="00380B40">
        <w:rPr>
          <w:lang w:val="en-GB"/>
        </w:rPr>
        <w:t xml:space="preserve">Resolution 66 </w:t>
      </w:r>
      <w:r w:rsidR="00892720" w:rsidRPr="00380B40">
        <w:rPr>
          <w:lang w:val="en-GB"/>
        </w:rPr>
        <w:t>–</w:t>
      </w:r>
      <w:r w:rsidR="009033A7" w:rsidRPr="00380B40">
        <w:rPr>
          <w:lang w:val="en-GB"/>
        </w:rPr>
        <w:t xml:space="preserve"> Technology Watch in the Telecommunication Standardization Bureau</w:t>
      </w:r>
      <w:bookmarkEnd w:id="2586"/>
    </w:p>
    <w:p w14:paraId="3A64C861"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Per document DT1 Resolution 66 falls in the mandate of Working Group 3B where it was examined. Resolution 66 received one proposal from CITEL (</w:t>
      </w:r>
      <w:hyperlink r:id="rId752" w:tgtFrame="_blank" w:history="1">
        <w:r w:rsidRPr="00380B40">
          <w:rPr>
            <w:rStyle w:val="Hyperlink"/>
            <w:lang w:val="en-GB"/>
          </w:rPr>
          <w:t>IAP/39A2/1</w:t>
        </w:r>
      </w:hyperlink>
      <w:r w:rsidRPr="00380B40">
        <w:rPr>
          <w:lang w:val="en-GB"/>
        </w:rPr>
        <w:t>) to suppress Resolution 66 and it was agreed in Working Group 3B.</w:t>
      </w:r>
    </w:p>
    <w:p w14:paraId="47680C6D" w14:textId="77777777" w:rsidR="00AD0C2E" w:rsidRPr="00380B40" w:rsidRDefault="00AD0C2E" w:rsidP="009033A7">
      <w:pPr>
        <w:keepNext/>
        <w:tabs>
          <w:tab w:val="clear" w:pos="794"/>
          <w:tab w:val="clear" w:pos="1191"/>
          <w:tab w:val="clear" w:pos="1588"/>
          <w:tab w:val="clear" w:pos="1985"/>
          <w:tab w:val="left" w:pos="1134"/>
          <w:tab w:val="left" w:pos="1871"/>
          <w:tab w:val="left" w:pos="2268"/>
        </w:tabs>
        <w:rPr>
          <w:b/>
          <w:bCs/>
          <w:i/>
          <w:iCs/>
          <w:lang w:val="en-GB"/>
        </w:rPr>
      </w:pPr>
      <w:r w:rsidRPr="00380B40">
        <w:rPr>
          <w:b/>
          <w:bCs/>
          <w:i/>
          <w:iCs/>
          <w:lang w:val="en-GB"/>
        </w:rPr>
        <w:br w:type="page"/>
      </w:r>
    </w:p>
    <w:p w14:paraId="7DB18D9B" w14:textId="77777777" w:rsidR="009033A7" w:rsidRPr="00380B40" w:rsidRDefault="009033A7" w:rsidP="009033A7">
      <w:pPr>
        <w:keepNext/>
        <w:tabs>
          <w:tab w:val="clear" w:pos="794"/>
          <w:tab w:val="clear" w:pos="1191"/>
          <w:tab w:val="clear" w:pos="1588"/>
          <w:tab w:val="clear" w:pos="1985"/>
          <w:tab w:val="left" w:pos="1134"/>
          <w:tab w:val="left" w:pos="1871"/>
          <w:tab w:val="left" w:pos="2268"/>
        </w:tabs>
        <w:rPr>
          <w:b/>
          <w:bCs/>
          <w:i/>
          <w:iCs/>
          <w:lang w:val="en-GB"/>
        </w:rPr>
      </w:pPr>
      <w:r w:rsidRPr="00380B40">
        <w:rPr>
          <w:b/>
          <w:bCs/>
          <w:i/>
          <w:iCs/>
          <w:lang w:val="en-GB"/>
        </w:rPr>
        <w:t xml:space="preserve">The suppression was forwarded via the editorial committee to Plenary in Document </w:t>
      </w:r>
      <w:hyperlink r:id="rId753" w:history="1">
        <w:r w:rsidRPr="00380B40">
          <w:rPr>
            <w:rStyle w:val="Hyperlink"/>
            <w:b/>
            <w:bCs/>
            <w:i/>
            <w:iCs/>
            <w:lang w:val="en-GB"/>
          </w:rPr>
          <w:t>67</w:t>
        </w:r>
      </w:hyperlink>
      <w:r w:rsidRPr="00380B40">
        <w:rPr>
          <w:b/>
          <w:bCs/>
          <w:i/>
          <w:iCs/>
          <w:lang w:val="en-GB"/>
        </w:rPr>
        <w:t xml:space="preserve"> and was approved during the Plenary session held on Monday, 7 March 2022 from 1600-1730 hours.</w:t>
      </w:r>
    </w:p>
    <w:p w14:paraId="1F92759C" w14:textId="77777777" w:rsidR="009033A7" w:rsidRPr="00380B40" w:rsidRDefault="00892720" w:rsidP="00892720">
      <w:pPr>
        <w:pStyle w:val="Heading3"/>
        <w:rPr>
          <w:lang w:val="en-GB"/>
        </w:rPr>
      </w:pPr>
      <w:bookmarkStart w:id="2587" w:name="_Toc111637292"/>
      <w:r w:rsidRPr="00380B40">
        <w:rPr>
          <w:lang w:val="en-GB"/>
        </w:rPr>
        <w:t>2.1.11</w:t>
      </w:r>
      <w:r w:rsidRPr="00380B40">
        <w:rPr>
          <w:lang w:val="en-GB"/>
        </w:rPr>
        <w:tab/>
      </w:r>
      <w:r w:rsidR="009033A7" w:rsidRPr="00380B40">
        <w:rPr>
          <w:lang w:val="en-GB"/>
        </w:rPr>
        <w:t xml:space="preserve">Resolution 67 </w:t>
      </w:r>
      <w:r w:rsidRPr="00380B40">
        <w:rPr>
          <w:lang w:val="en-GB"/>
        </w:rPr>
        <w:t>–</w:t>
      </w:r>
      <w:r w:rsidR="009033A7" w:rsidRPr="00380B40">
        <w:rPr>
          <w:lang w:val="en-GB"/>
        </w:rPr>
        <w:t xml:space="preserve"> Use in the ITU Telecommunication Standardization Sector of the languages of the Union on an equal footing</w:t>
      </w:r>
      <w:bookmarkEnd w:id="2587"/>
    </w:p>
    <w:p w14:paraId="50B6B6B7"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Per document DT1 Resolution 67 falls in the mandate of Committee 3 where it was examined and revised. Resolution 67 received five proposals (</w:t>
      </w:r>
      <w:hyperlink r:id="rId754" w:tgtFrame="_blank" w:history="1">
        <w:r w:rsidRPr="00380B40">
          <w:rPr>
            <w:rStyle w:val="Hyperlink"/>
            <w:lang w:val="en-GB"/>
          </w:rPr>
          <w:t>AFCP/35A7/1</w:t>
        </w:r>
      </w:hyperlink>
      <w:r w:rsidRPr="00380B40">
        <w:rPr>
          <w:lang w:val="en-GB"/>
        </w:rPr>
        <w:t xml:space="preserve">, </w:t>
      </w:r>
      <w:hyperlink r:id="rId755" w:tgtFrame="_blank" w:history="1">
        <w:r w:rsidRPr="00380B40">
          <w:rPr>
            <w:rStyle w:val="Hyperlink"/>
            <w:lang w:val="en-GB"/>
          </w:rPr>
          <w:t>APT/37A14/1</w:t>
        </w:r>
      </w:hyperlink>
      <w:r w:rsidRPr="00380B40">
        <w:rPr>
          <w:lang w:val="en-GB"/>
        </w:rPr>
        <w:t xml:space="preserve">, </w:t>
      </w:r>
      <w:hyperlink r:id="rId756" w:tgtFrame="_blank" w:history="1">
        <w:r w:rsidRPr="00380B40">
          <w:rPr>
            <w:rStyle w:val="Hyperlink"/>
            <w:lang w:val="en-GB"/>
          </w:rPr>
          <w:t>EUR/38A9/1</w:t>
        </w:r>
      </w:hyperlink>
      <w:r w:rsidRPr="00380B40">
        <w:rPr>
          <w:lang w:val="en-GB"/>
        </w:rPr>
        <w:t xml:space="preserve">, </w:t>
      </w:r>
      <w:hyperlink r:id="rId757" w:tgtFrame="_blank" w:history="1">
        <w:r w:rsidRPr="00380B40">
          <w:rPr>
            <w:rStyle w:val="Hyperlink"/>
            <w:lang w:val="en-GB"/>
          </w:rPr>
          <w:t>IAP/39A29/1</w:t>
        </w:r>
      </w:hyperlink>
      <w:r w:rsidRPr="00380B40">
        <w:rPr>
          <w:lang w:val="en-GB"/>
        </w:rPr>
        <w:t xml:space="preserve">, </w:t>
      </w:r>
      <w:hyperlink r:id="rId758" w:tgtFrame="_blank" w:history="1">
        <w:r w:rsidRPr="00380B40">
          <w:rPr>
            <w:rStyle w:val="Hyperlink"/>
            <w:lang w:val="en-GB"/>
          </w:rPr>
          <w:t>RCC/40A3/1</w:t>
        </w:r>
      </w:hyperlink>
      <w:r w:rsidRPr="00380B40">
        <w:rPr>
          <w:lang w:val="en-GB"/>
        </w:rPr>
        <w:t xml:space="preserve">) as well as TSAG agreed draft revision of Resolution 67 in Doc </w:t>
      </w:r>
      <w:hyperlink r:id="rId759" w:history="1">
        <w:r w:rsidRPr="00380B40">
          <w:rPr>
            <w:rStyle w:val="Hyperlink"/>
            <w:lang w:val="en-GB"/>
          </w:rPr>
          <w:t>24</w:t>
        </w:r>
      </w:hyperlink>
      <w:r w:rsidRPr="00380B40">
        <w:rPr>
          <w:u w:val="single"/>
          <w:lang w:val="en-GB"/>
        </w:rPr>
        <w:t xml:space="preserve"> Appendix I </w:t>
      </w:r>
      <w:r w:rsidRPr="00380B40">
        <w:rPr>
          <w:lang w:val="en-GB"/>
        </w:rPr>
        <w:t xml:space="preserve">to modify Resolution 67. </w:t>
      </w:r>
    </w:p>
    <w:p w14:paraId="0C8C6A8B" w14:textId="77777777" w:rsidR="009033A7" w:rsidRPr="00380B40" w:rsidRDefault="009033A7" w:rsidP="009033A7">
      <w:pPr>
        <w:tabs>
          <w:tab w:val="clear" w:pos="794"/>
          <w:tab w:val="clear" w:pos="1191"/>
          <w:tab w:val="clear" w:pos="1588"/>
          <w:tab w:val="clear" w:pos="1985"/>
          <w:tab w:val="left" w:pos="1134"/>
          <w:tab w:val="left" w:pos="1871"/>
          <w:tab w:val="left" w:pos="2268"/>
        </w:tabs>
        <w:rPr>
          <w:rFonts w:asciiTheme="majorBidi" w:hAnsiTheme="majorBidi" w:cstheme="majorBidi"/>
          <w:szCs w:val="24"/>
          <w:lang w:val="en-GB"/>
        </w:rPr>
      </w:pPr>
      <w:r w:rsidRPr="00380B40">
        <w:rPr>
          <w:rFonts w:asciiTheme="majorBidi" w:hAnsiTheme="majorBidi" w:cstheme="majorBidi"/>
          <w:szCs w:val="24"/>
          <w:lang w:val="en-GB"/>
        </w:rPr>
        <w:t>After an ad hoc group discussion led by Ms Ben the revised text of Resolution 67 was proposed and adopted at Committee 3.</w:t>
      </w:r>
      <w:r w:rsidRPr="00380B40">
        <w:rPr>
          <w:lang w:val="en-GB"/>
        </w:rPr>
        <w:t xml:space="preserve"> </w:t>
      </w:r>
      <w:r w:rsidRPr="00380B40">
        <w:rPr>
          <w:rFonts w:asciiTheme="majorBidi" w:hAnsiTheme="majorBidi" w:cstheme="majorBidi"/>
          <w:szCs w:val="24"/>
          <w:lang w:val="en-GB"/>
        </w:rPr>
        <w:t>Since this Resolution may have budget implications, it was forwarded to Committee 2 for evaluation.</w:t>
      </w:r>
    </w:p>
    <w:p w14:paraId="01E004BB" w14:textId="77777777" w:rsidR="009033A7" w:rsidRPr="00380B40" w:rsidRDefault="00B57351" w:rsidP="00B57351">
      <w:pPr>
        <w:tabs>
          <w:tab w:val="clear" w:pos="794"/>
          <w:tab w:val="clear" w:pos="1191"/>
          <w:tab w:val="clear" w:pos="1588"/>
          <w:tab w:val="clear" w:pos="1985"/>
          <w:tab w:val="left" w:pos="1134"/>
          <w:tab w:val="left" w:pos="1871"/>
          <w:tab w:val="left" w:pos="2268"/>
        </w:tabs>
        <w:rPr>
          <w:b/>
          <w:bCs/>
          <w:i/>
          <w:iCs/>
          <w:lang w:val="en-GB"/>
        </w:rPr>
      </w:pPr>
      <w:r w:rsidRPr="00380B40">
        <w:rPr>
          <w:b/>
          <w:bCs/>
          <w:i/>
          <w:iCs/>
          <w:lang w:val="en-GB"/>
        </w:rPr>
        <w:t>Plenary is requested to approve</w:t>
      </w:r>
      <w:r w:rsidRPr="00380B40">
        <w:rPr>
          <w:lang w:val="en-GB"/>
        </w:rPr>
        <w:t xml:space="preserve"> </w:t>
      </w:r>
      <w:r w:rsidRPr="00380B40">
        <w:rPr>
          <w:rStyle w:val="Greenbolditalic"/>
          <w:strike/>
          <w:lang w:val="en-GB"/>
        </w:rPr>
        <w:t>suppression to</w:t>
      </w:r>
      <w:r w:rsidRPr="00380B40">
        <w:rPr>
          <w:rStyle w:val="Redbolditalic"/>
          <w:u w:val="single"/>
          <w:lang w:val="en-GB"/>
        </w:rPr>
        <w:t xml:space="preserve">draft revised </w:t>
      </w:r>
      <w:r w:rsidRPr="00380B40">
        <w:rPr>
          <w:b/>
          <w:bCs/>
          <w:i/>
          <w:iCs/>
          <w:lang w:val="en-GB"/>
        </w:rPr>
        <w:t xml:space="preserve">Resolution </w:t>
      </w:r>
      <w:r w:rsidR="009033A7" w:rsidRPr="00380B40">
        <w:rPr>
          <w:b/>
          <w:bCs/>
          <w:i/>
          <w:iCs/>
          <w:lang w:val="en-GB"/>
        </w:rPr>
        <w:t xml:space="preserve">67 as forwarded via the editorial committee to Plenary in Document </w:t>
      </w:r>
      <w:hyperlink r:id="rId760" w:history="1">
        <w:r w:rsidR="009033A7" w:rsidRPr="00C777D4">
          <w:rPr>
            <w:rStyle w:val="Hyperlinkbolditalic"/>
            <w:lang w:val="en-GB"/>
          </w:rPr>
          <w:t>85</w:t>
        </w:r>
      </w:hyperlink>
      <w:r w:rsidR="009033A7" w:rsidRPr="00380B40">
        <w:rPr>
          <w:b/>
          <w:bCs/>
          <w:i/>
          <w:iCs/>
          <w:lang w:val="en-GB"/>
        </w:rPr>
        <w:t xml:space="preserve">. taking into account the financial implications identified by Committee 2 in document </w:t>
      </w:r>
      <w:hyperlink r:id="rId761" w:history="1">
        <w:r w:rsidR="009033A7" w:rsidRPr="00C777D4">
          <w:rPr>
            <w:rStyle w:val="Hyperlinkbolditalic"/>
            <w:lang w:val="en-GB"/>
          </w:rPr>
          <w:t>55</w:t>
        </w:r>
      </w:hyperlink>
      <w:r w:rsidR="009033A7" w:rsidRPr="00380B40">
        <w:rPr>
          <w:b/>
          <w:bCs/>
          <w:i/>
          <w:iCs/>
          <w:lang w:val="en-GB"/>
        </w:rPr>
        <w:t>.</w:t>
      </w:r>
    </w:p>
    <w:p w14:paraId="0A22302F" w14:textId="77777777" w:rsidR="009033A7" w:rsidRPr="00380B40" w:rsidRDefault="00892720" w:rsidP="00892720">
      <w:pPr>
        <w:pStyle w:val="Heading3"/>
        <w:rPr>
          <w:lang w:val="en-GB"/>
        </w:rPr>
      </w:pPr>
      <w:bookmarkStart w:id="2588" w:name="_Toc111637293"/>
      <w:r w:rsidRPr="00380B40">
        <w:rPr>
          <w:lang w:val="en-GB"/>
        </w:rPr>
        <w:t>2.1.12</w:t>
      </w:r>
      <w:r w:rsidRPr="00380B40">
        <w:rPr>
          <w:lang w:val="en-GB"/>
        </w:rPr>
        <w:tab/>
      </w:r>
      <w:r w:rsidR="009033A7" w:rsidRPr="00380B40">
        <w:rPr>
          <w:lang w:val="en-GB"/>
        </w:rPr>
        <w:t xml:space="preserve">Resolution 68 </w:t>
      </w:r>
      <w:r w:rsidRPr="00380B40">
        <w:rPr>
          <w:lang w:val="en-GB"/>
        </w:rPr>
        <w:t>–</w:t>
      </w:r>
      <w:r w:rsidR="009033A7" w:rsidRPr="00380B40">
        <w:rPr>
          <w:lang w:val="en-GB"/>
        </w:rPr>
        <w:t xml:space="preserve"> Evolving role of industry in ITU-T</w:t>
      </w:r>
      <w:bookmarkEnd w:id="2588"/>
    </w:p>
    <w:p w14:paraId="5C9F4208"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 xml:space="preserve">Per document DT1 Resolution 68 falls in the mandate of Committee 3. </w:t>
      </w:r>
    </w:p>
    <w:p w14:paraId="64B51E43"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Resolution 68 received one proposal (</w:t>
      </w:r>
      <w:hyperlink r:id="rId762" w:tgtFrame="_blank" w:history="1">
        <w:r w:rsidRPr="00380B40">
          <w:rPr>
            <w:rStyle w:val="Hyperlink"/>
            <w:lang w:val="en-GB"/>
          </w:rPr>
          <w:t>AFCP/35A16/1</w:t>
        </w:r>
      </w:hyperlink>
      <w:r w:rsidRPr="00380B40">
        <w:rPr>
          <w:lang w:val="en-GB"/>
        </w:rPr>
        <w:t>) to modify, one proposal (</w:t>
      </w:r>
      <w:hyperlink r:id="rId763" w:tgtFrame="_blank" w:history="1">
        <w:r w:rsidRPr="00380B40">
          <w:rPr>
            <w:rStyle w:val="Hyperlink"/>
            <w:lang w:val="en-GB"/>
          </w:rPr>
          <w:t>IAP/39A22/1</w:t>
        </w:r>
      </w:hyperlink>
      <w:r w:rsidRPr="00380B40">
        <w:rPr>
          <w:lang w:val="en-GB"/>
        </w:rPr>
        <w:t>) to suppress Resolution 68 and one proposal (</w:t>
      </w:r>
      <w:hyperlink r:id="rId764" w:history="1">
        <w:r w:rsidRPr="00380B40">
          <w:rPr>
            <w:rStyle w:val="Hyperlink"/>
            <w:lang w:val="en-GB"/>
          </w:rPr>
          <w:t>RCC/40A27/3</w:t>
        </w:r>
      </w:hyperlink>
      <w:r w:rsidRPr="00380B40">
        <w:rPr>
          <w:lang w:val="en-GB"/>
        </w:rPr>
        <w:t>) to no change.</w:t>
      </w:r>
    </w:p>
    <w:p w14:paraId="1356DA71"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 xml:space="preserve">In addition, two relevant proposals </w:t>
      </w:r>
      <w:r w:rsidRPr="00380B40">
        <w:rPr>
          <w:bCs/>
          <w:lang w:val="en-GB"/>
        </w:rPr>
        <w:t>[ECP-1]</w:t>
      </w:r>
      <w:r w:rsidRPr="00380B40">
        <w:rPr>
          <w:b/>
          <w:lang w:val="en-GB"/>
        </w:rPr>
        <w:t xml:space="preserve"> </w:t>
      </w:r>
      <w:r w:rsidRPr="00380B40">
        <w:rPr>
          <w:lang w:val="en-GB"/>
        </w:rPr>
        <w:t>from CEPT (</w:t>
      </w:r>
      <w:hyperlink r:id="rId765" w:history="1">
        <w:r w:rsidRPr="00380B40">
          <w:rPr>
            <w:rStyle w:val="Hyperlink"/>
            <w:lang w:val="en-GB"/>
          </w:rPr>
          <w:t>EUR/38A25/1</w:t>
        </w:r>
      </w:hyperlink>
      <w:r w:rsidRPr="00380B40">
        <w:rPr>
          <w:u w:val="single"/>
          <w:lang w:val="en-GB"/>
        </w:rPr>
        <w:t>)</w:t>
      </w:r>
      <w:r w:rsidRPr="00380B40">
        <w:rPr>
          <w:lang w:val="en-GB"/>
        </w:rPr>
        <w:t xml:space="preserve"> and [IAP-2] from CITEL (</w:t>
      </w:r>
      <w:hyperlink r:id="rId766" w:tgtFrame="_blank" w:history="1">
        <w:r w:rsidRPr="00380B40">
          <w:rPr>
            <w:rStyle w:val="Hyperlink"/>
            <w:lang w:val="en-GB"/>
          </w:rPr>
          <w:t>IAP/39A17/1</w:t>
        </w:r>
      </w:hyperlink>
      <w:r w:rsidRPr="00380B40">
        <w:rPr>
          <w:u w:val="single"/>
          <w:lang w:val="en-GB"/>
        </w:rPr>
        <w:t>)</w:t>
      </w:r>
      <w:r w:rsidRPr="00380B40">
        <w:rPr>
          <w:lang w:val="en-GB"/>
        </w:rPr>
        <w:t xml:space="preserve"> both propose draft new Resolutions of same subject </w:t>
      </w:r>
      <w:r w:rsidR="00F82355" w:rsidRPr="00380B40">
        <w:rPr>
          <w:lang w:val="en-GB"/>
        </w:rPr>
        <w:t>'</w:t>
      </w:r>
      <w:r w:rsidRPr="00380B40">
        <w:rPr>
          <w:lang w:val="en-GB"/>
        </w:rPr>
        <w:t>Importance of industry engagement in the work of ITU-T</w:t>
      </w:r>
      <w:r w:rsidR="00F82355" w:rsidRPr="00380B40">
        <w:rPr>
          <w:lang w:val="en-GB"/>
        </w:rPr>
        <w:t>'</w:t>
      </w:r>
      <w:r w:rsidRPr="00380B40">
        <w:rPr>
          <w:lang w:val="en-GB"/>
        </w:rPr>
        <w:t>.</w:t>
      </w:r>
    </w:p>
    <w:p w14:paraId="0606DC53"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The meeting discussed these proposals together. An ad hoc group discussion led by Mr Oscar Avellaneda (Canada) produced a merged proposal of a draft new Resolution and possible options of integration with Resolution 68.</w:t>
      </w:r>
    </w:p>
    <w:p w14:paraId="503F0344" w14:textId="77777777" w:rsidR="00697453" w:rsidRPr="00380B40" w:rsidRDefault="009033A7" w:rsidP="00697453">
      <w:pPr>
        <w:tabs>
          <w:tab w:val="clear" w:pos="794"/>
          <w:tab w:val="clear" w:pos="1191"/>
          <w:tab w:val="clear" w:pos="1588"/>
          <w:tab w:val="clear" w:pos="1985"/>
          <w:tab w:val="left" w:pos="1134"/>
          <w:tab w:val="left" w:pos="1871"/>
          <w:tab w:val="left" w:pos="2268"/>
        </w:tabs>
        <w:rPr>
          <w:lang w:val="en-GB"/>
        </w:rPr>
      </w:pPr>
      <w:r w:rsidRPr="00380B40">
        <w:rPr>
          <w:lang w:val="en-GB"/>
        </w:rPr>
        <w:t xml:space="preserve">Committee 3 continued discussion and held more ad hoc sessions. The meeting decided to send the whole text in Revision 2 to </w:t>
      </w:r>
      <w:hyperlink r:id="rId767" w:history="1">
        <w:r w:rsidRPr="00380B40">
          <w:rPr>
            <w:rStyle w:val="Hyperlink"/>
            <w:bCs/>
            <w:lang w:val="en-GB"/>
          </w:rPr>
          <w:t>DT84</w:t>
        </w:r>
      </w:hyperlink>
      <w:r w:rsidRPr="00380B40">
        <w:rPr>
          <w:lang w:val="en-GB"/>
        </w:rPr>
        <w:t xml:space="preserve"> in square brackets to COM5 for Plenary decision. Delegates were invited to continue consultation toward a further agreed text when this issue will be discussed in Plenary on Wednesday 9 March</w:t>
      </w:r>
      <w:r w:rsidR="00697453" w:rsidRPr="00380B40">
        <w:rPr>
          <w:lang w:val="en-GB"/>
        </w:rPr>
        <w:t> </w:t>
      </w:r>
      <w:r w:rsidRPr="00380B40">
        <w:rPr>
          <w:lang w:val="en-GB"/>
        </w:rPr>
        <w:t>2022.</w:t>
      </w:r>
    </w:p>
    <w:p w14:paraId="1C6D1A80"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 xml:space="preserve">TSAG should consider the issue of industry engagement discussed at WTSA, for example in Revision 2 to DT84. </w:t>
      </w:r>
    </w:p>
    <w:p w14:paraId="209E6F54" w14:textId="77777777" w:rsidR="00AD0C2E" w:rsidRPr="00380B40" w:rsidRDefault="00AD0C2E" w:rsidP="009033A7">
      <w:pPr>
        <w:tabs>
          <w:tab w:val="clear" w:pos="794"/>
          <w:tab w:val="clear" w:pos="1191"/>
          <w:tab w:val="clear" w:pos="1588"/>
          <w:tab w:val="clear" w:pos="1985"/>
          <w:tab w:val="left" w:pos="1134"/>
          <w:tab w:val="left" w:pos="1871"/>
          <w:tab w:val="left" w:pos="2268"/>
        </w:tabs>
        <w:rPr>
          <w:b/>
          <w:bCs/>
          <w:i/>
          <w:iCs/>
          <w:lang w:val="en-GB"/>
        </w:rPr>
      </w:pPr>
      <w:r w:rsidRPr="00380B40">
        <w:rPr>
          <w:b/>
          <w:bCs/>
          <w:i/>
          <w:iCs/>
          <w:lang w:val="en-GB"/>
        </w:rPr>
        <w:br w:type="page"/>
      </w:r>
    </w:p>
    <w:p w14:paraId="7921A049" w14:textId="77777777" w:rsidR="009033A7" w:rsidRPr="00380B40" w:rsidRDefault="009033A7" w:rsidP="00B80940">
      <w:pPr>
        <w:tabs>
          <w:tab w:val="clear" w:pos="794"/>
          <w:tab w:val="clear" w:pos="1191"/>
          <w:tab w:val="clear" w:pos="1588"/>
          <w:tab w:val="clear" w:pos="1985"/>
          <w:tab w:val="left" w:pos="1134"/>
          <w:tab w:val="left" w:pos="1871"/>
          <w:tab w:val="left" w:pos="2268"/>
        </w:tabs>
        <w:rPr>
          <w:b/>
          <w:bCs/>
          <w:i/>
          <w:iCs/>
          <w:lang w:val="en-GB"/>
        </w:rPr>
      </w:pPr>
      <w:r w:rsidRPr="00380B40">
        <w:rPr>
          <w:b/>
          <w:bCs/>
          <w:i/>
          <w:iCs/>
          <w:lang w:val="en-GB"/>
        </w:rPr>
        <w:t xml:space="preserve">Plenary is requested to consider draft revised Resolution 68 as found in </w:t>
      </w:r>
      <w:r w:rsidRPr="00214EF4">
        <w:rPr>
          <w:b/>
          <w:bCs/>
          <w:i/>
          <w:iCs/>
          <w:lang w:val="en-GB"/>
        </w:rPr>
        <w:t xml:space="preserve">Document </w:t>
      </w:r>
      <w:hyperlink r:id="rId768" w:history="1">
        <w:r w:rsidR="00B80940" w:rsidRPr="00214EF4">
          <w:rPr>
            <w:rStyle w:val="Hyperlinkbolditalic"/>
            <w:lang w:val="en-GB"/>
          </w:rPr>
          <w:t>99R1</w:t>
        </w:r>
      </w:hyperlink>
      <w:r w:rsidRPr="00380B40">
        <w:rPr>
          <w:b/>
          <w:bCs/>
          <w:i/>
          <w:iCs/>
          <w:lang w:val="en-GB"/>
        </w:rPr>
        <w:t>.</w:t>
      </w:r>
    </w:p>
    <w:p w14:paraId="1A0F0842" w14:textId="77777777" w:rsidR="009033A7" w:rsidRPr="00380B40" w:rsidRDefault="009033A7" w:rsidP="009033A7">
      <w:pPr>
        <w:tabs>
          <w:tab w:val="clear" w:pos="794"/>
          <w:tab w:val="clear" w:pos="1191"/>
          <w:tab w:val="clear" w:pos="1588"/>
          <w:tab w:val="clear" w:pos="1985"/>
          <w:tab w:val="left" w:pos="1134"/>
          <w:tab w:val="left" w:pos="1871"/>
          <w:tab w:val="left" w:pos="2268"/>
        </w:tabs>
        <w:rPr>
          <w:b/>
          <w:bCs/>
          <w:i/>
          <w:iCs/>
          <w:lang w:val="en-GB"/>
        </w:rPr>
      </w:pPr>
      <w:r w:rsidRPr="00380B40">
        <w:rPr>
          <w:b/>
          <w:bCs/>
          <w:i/>
          <w:iCs/>
          <w:lang w:val="en-GB"/>
        </w:rPr>
        <w:t>Plenary is requested to invite TSAG to consider the issue of industry engagement discussed at WTSA, including this draft revised Resolution.</w:t>
      </w:r>
    </w:p>
    <w:p w14:paraId="4DBC89A4" w14:textId="77777777" w:rsidR="009033A7" w:rsidRPr="00380B40" w:rsidRDefault="00892720" w:rsidP="00892720">
      <w:pPr>
        <w:pStyle w:val="Heading3"/>
        <w:rPr>
          <w:lang w:val="en-GB"/>
        </w:rPr>
      </w:pPr>
      <w:bookmarkStart w:id="2589" w:name="_Toc111637294"/>
      <w:r w:rsidRPr="00380B40">
        <w:rPr>
          <w:lang w:val="en-GB"/>
        </w:rPr>
        <w:t>2.1.13</w:t>
      </w:r>
      <w:r w:rsidRPr="00380B40">
        <w:rPr>
          <w:lang w:val="en-GB"/>
        </w:rPr>
        <w:tab/>
      </w:r>
      <w:r w:rsidR="009033A7" w:rsidRPr="00380B40">
        <w:rPr>
          <w:lang w:val="en-GB"/>
        </w:rPr>
        <w:t xml:space="preserve">Resolution 70 </w:t>
      </w:r>
      <w:r w:rsidRPr="00380B40">
        <w:rPr>
          <w:lang w:val="en-GB"/>
        </w:rPr>
        <w:t>–</w:t>
      </w:r>
      <w:r w:rsidR="009033A7" w:rsidRPr="00380B40">
        <w:rPr>
          <w:lang w:val="en-GB"/>
        </w:rPr>
        <w:t xml:space="preserve"> Telecommunication/information and communication technology </w:t>
      </w:r>
      <w:r w:rsidR="009033A7" w:rsidRPr="00380B40">
        <w:rPr>
          <w:lang w:val="en-GB"/>
        </w:rPr>
        <w:br/>
        <w:t>accessibility for persons with disabilities and persons with specific needs</w:t>
      </w:r>
      <w:bookmarkEnd w:id="2589"/>
    </w:p>
    <w:p w14:paraId="54F94539"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Per document DT1 Resolution 70 falls in the mandate of Committee 3. Resolution 70 received one proposal (</w:t>
      </w:r>
      <w:hyperlink r:id="rId769" w:history="1">
        <w:r w:rsidRPr="00380B40">
          <w:rPr>
            <w:rStyle w:val="Hyperlink"/>
            <w:lang w:val="en-GB"/>
          </w:rPr>
          <w:t>RCC/40A11/1</w:t>
        </w:r>
      </w:hyperlink>
      <w:r w:rsidRPr="00380B40">
        <w:rPr>
          <w:lang w:val="en-GB"/>
        </w:rPr>
        <w:t>) for modification to Resolution 70.</w:t>
      </w:r>
    </w:p>
    <w:p w14:paraId="79E18414"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 xml:space="preserve">The meeting considered and agreed revised Resolution 70 with additional input from Ms Andrea Saks (JCA-AHF convener) on to RCC proposal. </w:t>
      </w:r>
    </w:p>
    <w:p w14:paraId="5B94F471" w14:textId="77777777" w:rsidR="009033A7" w:rsidRPr="00380B40" w:rsidRDefault="009033A7" w:rsidP="009033A7">
      <w:pPr>
        <w:tabs>
          <w:tab w:val="clear" w:pos="794"/>
          <w:tab w:val="clear" w:pos="1191"/>
          <w:tab w:val="clear" w:pos="1588"/>
          <w:tab w:val="clear" w:pos="1985"/>
          <w:tab w:val="left" w:pos="1134"/>
          <w:tab w:val="left" w:pos="1871"/>
          <w:tab w:val="left" w:pos="2268"/>
        </w:tabs>
        <w:rPr>
          <w:b/>
          <w:bCs/>
          <w:i/>
          <w:iCs/>
          <w:lang w:val="en-GB"/>
        </w:rPr>
      </w:pPr>
      <w:r w:rsidRPr="00380B40">
        <w:rPr>
          <w:b/>
          <w:bCs/>
          <w:i/>
          <w:iCs/>
          <w:lang w:val="en-GB"/>
        </w:rPr>
        <w:t xml:space="preserve">Plenary is requested to approve draft revised Resolution 70 as forwarded via the editorial committee to Plenary in Document </w:t>
      </w:r>
      <w:hyperlink r:id="rId770" w:history="1">
        <w:r w:rsidRPr="00C777D4">
          <w:rPr>
            <w:rStyle w:val="Hyperlinkbolditalic"/>
            <w:lang w:val="en-GB"/>
          </w:rPr>
          <w:t>92</w:t>
        </w:r>
      </w:hyperlink>
      <w:r w:rsidRPr="00380B40">
        <w:rPr>
          <w:b/>
          <w:bCs/>
          <w:i/>
          <w:iCs/>
          <w:lang w:val="en-GB"/>
        </w:rPr>
        <w:t>.</w:t>
      </w:r>
    </w:p>
    <w:p w14:paraId="7C727295" w14:textId="77777777" w:rsidR="009033A7" w:rsidRPr="00380B40" w:rsidRDefault="00892720" w:rsidP="00892720">
      <w:pPr>
        <w:pStyle w:val="Heading2"/>
        <w:rPr>
          <w:lang w:val="en-GB"/>
        </w:rPr>
      </w:pPr>
      <w:bookmarkStart w:id="2590" w:name="_Toc111637295"/>
      <w:r w:rsidRPr="00380B40">
        <w:rPr>
          <w:lang w:val="en-GB"/>
        </w:rPr>
        <w:t>2.2</w:t>
      </w:r>
      <w:r w:rsidRPr="00380B40">
        <w:rPr>
          <w:lang w:val="en-GB"/>
        </w:rPr>
        <w:tab/>
      </w:r>
      <w:r w:rsidR="009033A7" w:rsidRPr="00380B40">
        <w:rPr>
          <w:lang w:val="en-GB"/>
        </w:rPr>
        <w:t>Draft new Resolutions</w:t>
      </w:r>
      <w:bookmarkEnd w:id="2590"/>
    </w:p>
    <w:p w14:paraId="4DA2AEAC" w14:textId="77777777" w:rsidR="009033A7" w:rsidRPr="00380B40" w:rsidRDefault="00892720" w:rsidP="00892720">
      <w:pPr>
        <w:pStyle w:val="Heading3"/>
        <w:rPr>
          <w:lang w:val="en-GB"/>
        </w:rPr>
      </w:pPr>
      <w:bookmarkStart w:id="2591" w:name="_Toc111637296"/>
      <w:r w:rsidRPr="00380B40">
        <w:rPr>
          <w:lang w:val="en-GB"/>
        </w:rPr>
        <w:t>2.2.1</w:t>
      </w:r>
      <w:r w:rsidRPr="00380B40">
        <w:rPr>
          <w:lang w:val="en-GB"/>
        </w:rPr>
        <w:tab/>
      </w:r>
      <w:r w:rsidR="009033A7" w:rsidRPr="00380B40">
        <w:rPr>
          <w:lang w:val="en-GB"/>
        </w:rPr>
        <w:t xml:space="preserve">Draft New Resolutions [ECP-1] [IAP-2] </w:t>
      </w:r>
      <w:r w:rsidRPr="00380B40">
        <w:rPr>
          <w:lang w:val="en-GB"/>
        </w:rPr>
        <w:t>–</w:t>
      </w:r>
      <w:r w:rsidR="009033A7" w:rsidRPr="00380B40">
        <w:rPr>
          <w:lang w:val="en-GB"/>
        </w:rPr>
        <w:t xml:space="preserve"> The importance of industry engagement in the work of ITU-T</w:t>
      </w:r>
      <w:bookmarkEnd w:id="2591"/>
    </w:p>
    <w:p w14:paraId="7513CFBA"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bCs/>
          <w:lang w:val="en-GB"/>
        </w:rPr>
        <w:t>Committee 3 received two proposals: [ECP-1]</w:t>
      </w:r>
      <w:r w:rsidRPr="00380B40">
        <w:rPr>
          <w:b/>
          <w:lang w:val="en-GB"/>
        </w:rPr>
        <w:t xml:space="preserve"> </w:t>
      </w:r>
      <w:r w:rsidRPr="00380B40">
        <w:rPr>
          <w:lang w:val="en-GB"/>
        </w:rPr>
        <w:t>from CEPT (</w:t>
      </w:r>
      <w:hyperlink r:id="rId771" w:history="1">
        <w:r w:rsidRPr="00380B40">
          <w:rPr>
            <w:rStyle w:val="Hyperlink"/>
            <w:lang w:val="en-GB"/>
          </w:rPr>
          <w:t>EUR/38A25/1</w:t>
        </w:r>
      </w:hyperlink>
      <w:r w:rsidRPr="00380B40">
        <w:rPr>
          <w:u w:val="single"/>
          <w:lang w:val="en-GB"/>
        </w:rPr>
        <w:t>)</w:t>
      </w:r>
      <w:r w:rsidRPr="00380B40">
        <w:rPr>
          <w:lang w:val="en-GB"/>
        </w:rPr>
        <w:t xml:space="preserve"> and [IAP-2] from CITEL (</w:t>
      </w:r>
      <w:hyperlink r:id="rId772" w:tgtFrame="_blank" w:history="1">
        <w:r w:rsidRPr="00380B40">
          <w:rPr>
            <w:rStyle w:val="Hyperlink"/>
            <w:lang w:val="en-GB"/>
          </w:rPr>
          <w:t>IAP/39A17/1</w:t>
        </w:r>
      </w:hyperlink>
      <w:r w:rsidRPr="00380B40">
        <w:rPr>
          <w:u w:val="single"/>
          <w:lang w:val="en-GB"/>
        </w:rPr>
        <w:t>)</w:t>
      </w:r>
      <w:r w:rsidRPr="00380B40">
        <w:rPr>
          <w:lang w:val="en-GB"/>
        </w:rPr>
        <w:t xml:space="preserve"> both propose draft new Resolutions of same subject </w:t>
      </w:r>
      <w:r w:rsidR="00F82355" w:rsidRPr="00380B40">
        <w:rPr>
          <w:lang w:val="en-GB"/>
        </w:rPr>
        <w:t>'</w:t>
      </w:r>
      <w:r w:rsidRPr="00380B40">
        <w:rPr>
          <w:lang w:val="en-GB"/>
        </w:rPr>
        <w:t>Importance of industry engagement in the work of ITU-T</w:t>
      </w:r>
      <w:r w:rsidR="00F82355" w:rsidRPr="00380B40">
        <w:rPr>
          <w:lang w:val="en-GB"/>
        </w:rPr>
        <w:t>'</w:t>
      </w:r>
      <w:r w:rsidRPr="00380B40">
        <w:rPr>
          <w:lang w:val="en-GB"/>
        </w:rPr>
        <w:t>.</w:t>
      </w:r>
    </w:p>
    <w:p w14:paraId="14150B35" w14:textId="77777777" w:rsidR="009033A7" w:rsidRPr="00380B40" w:rsidRDefault="009033A7" w:rsidP="009033A7">
      <w:pPr>
        <w:rPr>
          <w:lang w:val="en-GB"/>
        </w:rPr>
      </w:pPr>
      <w:r w:rsidRPr="00380B40">
        <w:rPr>
          <w:lang w:val="en-GB"/>
        </w:rPr>
        <w:t xml:space="preserve">The meeting considered this subject as relevant to Resolution 68 </w:t>
      </w:r>
      <w:r w:rsidR="00F82355" w:rsidRPr="00380B40">
        <w:rPr>
          <w:lang w:val="en-GB"/>
        </w:rPr>
        <w:t>'</w:t>
      </w:r>
      <w:r w:rsidRPr="00380B40">
        <w:rPr>
          <w:lang w:val="en-GB"/>
        </w:rPr>
        <w:t>Evolving role of industry in ITU-T</w:t>
      </w:r>
      <w:r w:rsidR="00F82355" w:rsidRPr="00380B40">
        <w:rPr>
          <w:lang w:val="en-GB"/>
        </w:rPr>
        <w:t>'</w:t>
      </w:r>
      <w:r w:rsidRPr="00380B40">
        <w:rPr>
          <w:lang w:val="en-GB"/>
        </w:rPr>
        <w:t xml:space="preserve"> therefore discussed these two proposals with Resolution 68 together. Result see section 2.1.10 above.</w:t>
      </w:r>
    </w:p>
    <w:p w14:paraId="065BB4D1" w14:textId="77777777" w:rsidR="009033A7" w:rsidRPr="00380B40" w:rsidRDefault="00892720" w:rsidP="00892720">
      <w:pPr>
        <w:pStyle w:val="Heading3"/>
        <w:rPr>
          <w:lang w:val="en-GB"/>
        </w:rPr>
      </w:pPr>
      <w:bookmarkStart w:id="2592" w:name="_Toc111637297"/>
      <w:r w:rsidRPr="00380B40">
        <w:rPr>
          <w:lang w:val="en-GB"/>
        </w:rPr>
        <w:t>2.2.2</w:t>
      </w:r>
      <w:r w:rsidRPr="00380B40">
        <w:rPr>
          <w:lang w:val="en-GB"/>
        </w:rPr>
        <w:tab/>
      </w:r>
      <w:r w:rsidR="009033A7" w:rsidRPr="00380B40">
        <w:rPr>
          <w:lang w:val="en-GB"/>
        </w:rPr>
        <w:t xml:space="preserve">Draft new Resolution [ECP-3] </w:t>
      </w:r>
      <w:r w:rsidRPr="00380B40">
        <w:rPr>
          <w:lang w:val="en-GB"/>
        </w:rPr>
        <w:t>–</w:t>
      </w:r>
      <w:r w:rsidR="009033A7" w:rsidRPr="00380B40">
        <w:rPr>
          <w:lang w:val="en-GB"/>
        </w:rPr>
        <w:t xml:space="preserve"> Development of standards that are machine applicable, readable and transferable (SMART) in ITU-T</w:t>
      </w:r>
      <w:bookmarkEnd w:id="2592"/>
    </w:p>
    <w:p w14:paraId="0734711F"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 xml:space="preserve">CEPT proposal in </w:t>
      </w:r>
      <w:hyperlink r:id="rId773" w:history="1">
        <w:r w:rsidRPr="00380B40">
          <w:rPr>
            <w:rStyle w:val="Hyperlink"/>
            <w:lang w:val="en-GB"/>
          </w:rPr>
          <w:t>EUR/38A35/1</w:t>
        </w:r>
      </w:hyperlink>
      <w:r w:rsidRPr="00380B40">
        <w:rPr>
          <w:lang w:val="en-GB"/>
        </w:rPr>
        <w:t xml:space="preserve"> proposed a new Resolution on </w:t>
      </w:r>
      <w:r w:rsidR="00F82355" w:rsidRPr="00380B40">
        <w:rPr>
          <w:lang w:val="en-GB"/>
        </w:rPr>
        <w:t>'</w:t>
      </w:r>
      <w:r w:rsidRPr="00380B40">
        <w:rPr>
          <w:bCs/>
          <w:lang w:val="en-GB"/>
        </w:rPr>
        <w:t>Development of standards that are machine applicable, readable and transferable (SMART) in ITU-T</w:t>
      </w:r>
      <w:r w:rsidR="00F82355" w:rsidRPr="00380B40">
        <w:rPr>
          <w:bCs/>
          <w:lang w:val="en-GB"/>
        </w:rPr>
        <w:t>'</w:t>
      </w:r>
      <w:r w:rsidRPr="00380B40">
        <w:rPr>
          <w:bCs/>
          <w:lang w:val="en-GB"/>
        </w:rPr>
        <w:t xml:space="preserve"> to </w:t>
      </w:r>
      <w:r w:rsidRPr="00380B40">
        <w:rPr>
          <w:lang w:val="en-GB"/>
        </w:rPr>
        <w:t>ask ITU-T to support the development of technical standards that are machine applicable, readable and transferable (SMART) including working with other international SDOs to develop common architectures and protocols for SMART standards.</w:t>
      </w:r>
    </w:p>
    <w:p w14:paraId="01E478C6"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 xml:space="preserve">Participants raised interests and questions on this new subject of machine applicable, readable and transferable (SMART) standards and this proposal for clarification, and it was felt such innovative work should be trial out by Study Group first before WTSA to take any resolution. The meeting noted that lack of WTSA Resolution does not mean lack of permission for ITU-T to consider defining new methodologies or developing machine readable standards and concluded that no need to adopt this proposed new Resolution. </w:t>
      </w:r>
    </w:p>
    <w:p w14:paraId="34F9F47C" w14:textId="77777777" w:rsidR="00892720" w:rsidRPr="00380B40" w:rsidRDefault="00892720" w:rsidP="00892720">
      <w:pPr>
        <w:pStyle w:val="Heading3"/>
        <w:rPr>
          <w:lang w:val="en-GB"/>
        </w:rPr>
      </w:pPr>
      <w:r w:rsidRPr="00380B40">
        <w:rPr>
          <w:lang w:val="en-GB"/>
        </w:rPr>
        <w:br w:type="page"/>
      </w:r>
    </w:p>
    <w:p w14:paraId="7425077F" w14:textId="77777777" w:rsidR="009033A7" w:rsidRPr="00380B40" w:rsidRDefault="00892720" w:rsidP="00892720">
      <w:pPr>
        <w:pStyle w:val="Heading3"/>
        <w:rPr>
          <w:lang w:val="en-GB"/>
        </w:rPr>
      </w:pPr>
      <w:bookmarkStart w:id="2593" w:name="_Toc111637298"/>
      <w:r w:rsidRPr="00380B40">
        <w:rPr>
          <w:lang w:val="en-GB"/>
        </w:rPr>
        <w:t>2.2.3</w:t>
      </w:r>
      <w:r w:rsidRPr="00380B40">
        <w:rPr>
          <w:lang w:val="en-GB"/>
        </w:rPr>
        <w:tab/>
      </w:r>
      <w:r w:rsidR="009033A7" w:rsidRPr="00380B40">
        <w:rPr>
          <w:lang w:val="en-GB"/>
        </w:rPr>
        <w:t xml:space="preserve">Draft new Resolution [IAP-3] </w:t>
      </w:r>
      <w:r w:rsidRPr="00380B40">
        <w:rPr>
          <w:lang w:val="en-GB"/>
        </w:rPr>
        <w:t>–</w:t>
      </w:r>
      <w:r w:rsidR="009033A7" w:rsidRPr="00380B40">
        <w:rPr>
          <w:lang w:val="en-GB"/>
        </w:rPr>
        <w:t xml:space="preserve"> </w:t>
      </w:r>
      <w:r w:rsidR="009033A7" w:rsidRPr="00380B40">
        <w:rPr>
          <w:rFonts w:eastAsia="SimSun"/>
          <w:lang w:val="en-GB"/>
        </w:rPr>
        <w:t>Use of in-person and virtual options on an equal footing in the activities of the ITU Telecommunication Standardization Sector</w:t>
      </w:r>
      <w:bookmarkEnd w:id="2593"/>
    </w:p>
    <w:p w14:paraId="4B9D8ACC" w14:textId="77777777" w:rsidR="009033A7" w:rsidRPr="00380B40" w:rsidRDefault="006A0076" w:rsidP="009033A7">
      <w:pPr>
        <w:spacing w:after="120"/>
        <w:rPr>
          <w:szCs w:val="24"/>
          <w:lang w:val="en-GB"/>
        </w:rPr>
      </w:pPr>
      <w:hyperlink r:id="rId774" w:history="1">
        <w:r w:rsidR="009033A7" w:rsidRPr="00380B40">
          <w:rPr>
            <w:rStyle w:val="Hyperlink"/>
            <w:szCs w:val="24"/>
            <w:lang w:val="en-GB"/>
          </w:rPr>
          <w:t>IAP/39A32/1</w:t>
        </w:r>
      </w:hyperlink>
      <w:r w:rsidR="009033A7" w:rsidRPr="00380B40">
        <w:rPr>
          <w:szCs w:val="24"/>
          <w:lang w:val="en-GB"/>
        </w:rPr>
        <w:t xml:space="preserve"> proposed a new Resolution on </w:t>
      </w:r>
      <w:r w:rsidR="00F82355" w:rsidRPr="00380B40">
        <w:rPr>
          <w:szCs w:val="24"/>
          <w:lang w:val="en-GB"/>
        </w:rPr>
        <w:t>"</w:t>
      </w:r>
      <w:r w:rsidR="009033A7" w:rsidRPr="00380B40">
        <w:rPr>
          <w:lang w:val="en-GB"/>
        </w:rPr>
        <w:t>Use of in-person and virtual options on an equal footing in the activities of the ITU Telecommunication Standardization Sector</w:t>
      </w:r>
      <w:r w:rsidR="00F82355" w:rsidRPr="00380B40">
        <w:rPr>
          <w:szCs w:val="24"/>
          <w:lang w:val="en-GB"/>
        </w:rPr>
        <w:t>"</w:t>
      </w:r>
      <w:r w:rsidR="009033A7" w:rsidRPr="00380B40">
        <w:rPr>
          <w:szCs w:val="24"/>
          <w:lang w:val="en-GB"/>
        </w:rPr>
        <w:t>. Per document DT1 this proposal was assigned to both the WTSA plenary and Working Group 3A.</w:t>
      </w:r>
    </w:p>
    <w:p w14:paraId="75E29118" w14:textId="77777777" w:rsidR="009033A7" w:rsidRPr="00380B40" w:rsidRDefault="009033A7" w:rsidP="009033A7">
      <w:pPr>
        <w:spacing w:after="120"/>
        <w:rPr>
          <w:szCs w:val="24"/>
          <w:lang w:val="en-GB"/>
        </w:rPr>
      </w:pPr>
      <w:r w:rsidRPr="00380B40">
        <w:rPr>
          <w:szCs w:val="24"/>
          <w:lang w:val="en-GB"/>
        </w:rPr>
        <w:t>It was noted this resolution seeks to provide full equal footing between physical and remote participants, which might not be in line with the ITU Convention and Constitution. Such kind of questions require additional study and should be more appropriate for ITU Plenipotential Conference.</w:t>
      </w:r>
    </w:p>
    <w:p w14:paraId="0FE52F85" w14:textId="77777777" w:rsidR="009033A7" w:rsidRPr="00380B40" w:rsidRDefault="00892720" w:rsidP="00892720">
      <w:pPr>
        <w:pStyle w:val="Heading2"/>
        <w:rPr>
          <w:lang w:val="en-GB"/>
        </w:rPr>
      </w:pPr>
      <w:bookmarkStart w:id="2594" w:name="_Toc111637299"/>
      <w:r w:rsidRPr="00380B40">
        <w:rPr>
          <w:lang w:val="en-GB"/>
        </w:rPr>
        <w:t>2.3</w:t>
      </w:r>
      <w:r w:rsidRPr="00380B40">
        <w:rPr>
          <w:lang w:val="en-GB"/>
        </w:rPr>
        <w:tab/>
      </w:r>
      <w:r w:rsidR="009033A7" w:rsidRPr="00380B40">
        <w:rPr>
          <w:lang w:val="en-GB"/>
        </w:rPr>
        <w:t>Revised Recommendations</w:t>
      </w:r>
      <w:bookmarkEnd w:id="2594"/>
    </w:p>
    <w:p w14:paraId="665CC713" w14:textId="77777777" w:rsidR="009033A7" w:rsidRPr="00380B40" w:rsidRDefault="00892720" w:rsidP="00892720">
      <w:pPr>
        <w:pStyle w:val="Heading3"/>
        <w:rPr>
          <w:lang w:val="en-GB"/>
        </w:rPr>
      </w:pPr>
      <w:bookmarkStart w:id="2595" w:name="_Toc111637300"/>
      <w:r w:rsidRPr="00380B40">
        <w:rPr>
          <w:lang w:val="en-GB"/>
        </w:rPr>
        <w:t>2.3.1</w:t>
      </w:r>
      <w:r w:rsidRPr="00380B40">
        <w:rPr>
          <w:lang w:val="en-GB"/>
        </w:rPr>
        <w:tab/>
      </w:r>
      <w:r w:rsidR="009033A7" w:rsidRPr="00380B40">
        <w:rPr>
          <w:lang w:val="en-GB"/>
        </w:rPr>
        <w:t xml:space="preserve">Recommendation ITU-T A.1 </w:t>
      </w:r>
      <w:r w:rsidRPr="00380B40">
        <w:rPr>
          <w:lang w:val="en-GB"/>
        </w:rPr>
        <w:t>–</w:t>
      </w:r>
      <w:r w:rsidR="009033A7" w:rsidRPr="00380B40">
        <w:rPr>
          <w:lang w:val="en-GB"/>
        </w:rPr>
        <w:t xml:space="preserve"> Working methods for study groups of the ITU Telecommunication Standardization Sector</w:t>
      </w:r>
      <w:bookmarkEnd w:id="2595"/>
      <w:r w:rsidR="009033A7" w:rsidRPr="00380B40">
        <w:rPr>
          <w:lang w:val="en-GB"/>
        </w:rPr>
        <w:t xml:space="preserve"> </w:t>
      </w:r>
    </w:p>
    <w:p w14:paraId="104E01DE" w14:textId="77777777" w:rsidR="009033A7" w:rsidRPr="00380B40" w:rsidRDefault="00892720" w:rsidP="00892720">
      <w:pPr>
        <w:pStyle w:val="Heading3"/>
        <w:rPr>
          <w:lang w:val="en-GB"/>
        </w:rPr>
      </w:pPr>
      <w:bookmarkStart w:id="2596" w:name="_Toc111637301"/>
      <w:r w:rsidRPr="00380B40">
        <w:rPr>
          <w:lang w:val="en-GB"/>
        </w:rPr>
        <w:t>2.3.2</w:t>
      </w:r>
      <w:r w:rsidRPr="00380B40">
        <w:rPr>
          <w:lang w:val="en-GB"/>
        </w:rPr>
        <w:tab/>
      </w:r>
      <w:r w:rsidR="009033A7" w:rsidRPr="00380B40">
        <w:rPr>
          <w:lang w:val="en-GB"/>
        </w:rPr>
        <w:t xml:space="preserve">Recommendation ITU-T A.2 </w:t>
      </w:r>
      <w:r w:rsidRPr="00380B40">
        <w:rPr>
          <w:lang w:val="en-GB"/>
        </w:rPr>
        <w:t>–</w:t>
      </w:r>
      <w:r w:rsidR="009033A7" w:rsidRPr="00380B40">
        <w:rPr>
          <w:lang w:val="en-GB"/>
        </w:rPr>
        <w:t xml:space="preserve"> Presentation of contributions to the ITU Telecommunication Standardization Sector</w:t>
      </w:r>
      <w:bookmarkEnd w:id="2596"/>
    </w:p>
    <w:p w14:paraId="1BAA4C96"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 xml:space="preserve">Per document DT1 Recommendations ITU-T A.1 and A.2 falls in the mandate of Working Group 3A where they were considered. </w:t>
      </w:r>
    </w:p>
    <w:p w14:paraId="6F48CD0A"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Recommendation ITU-T A.1 received three proposals (</w:t>
      </w:r>
      <w:hyperlink r:id="rId775" w:tgtFrame="_blank" w:history="1">
        <w:r w:rsidRPr="00380B40">
          <w:rPr>
            <w:rStyle w:val="Hyperlink"/>
            <w:lang w:val="en-GB"/>
          </w:rPr>
          <w:t>AFCP/35A30/1</w:t>
        </w:r>
      </w:hyperlink>
      <w:r w:rsidRPr="00380B40">
        <w:rPr>
          <w:lang w:val="en-GB"/>
        </w:rPr>
        <w:t xml:space="preserve">, </w:t>
      </w:r>
      <w:hyperlink r:id="rId776" w:tgtFrame="_blank" w:history="1">
        <w:r w:rsidRPr="00380B40">
          <w:rPr>
            <w:rStyle w:val="Hyperlink"/>
            <w:lang w:val="en-GB"/>
          </w:rPr>
          <w:t>EUR/38A17/1</w:t>
        </w:r>
      </w:hyperlink>
      <w:r w:rsidRPr="00380B40">
        <w:rPr>
          <w:lang w:val="en-GB"/>
        </w:rPr>
        <w:t xml:space="preserve">, </w:t>
      </w:r>
      <w:hyperlink r:id="rId777" w:history="1">
        <w:r w:rsidRPr="00380B40">
          <w:rPr>
            <w:rStyle w:val="Hyperlink"/>
            <w:lang w:val="en-GB"/>
          </w:rPr>
          <w:t>RCC/40A19/1</w:t>
        </w:r>
      </w:hyperlink>
      <w:r w:rsidRPr="00380B40">
        <w:rPr>
          <w:lang w:val="en-GB"/>
        </w:rPr>
        <w:t>) to modify and another proposal (</w:t>
      </w:r>
      <w:hyperlink r:id="rId778" w:tgtFrame="_blank" w:history="1">
        <w:r w:rsidRPr="00380B40">
          <w:rPr>
            <w:rStyle w:val="Hyperlink"/>
            <w:lang w:val="en-GB"/>
          </w:rPr>
          <w:t>ARB/36A10/1</w:t>
        </w:r>
      </w:hyperlink>
      <w:r w:rsidRPr="00380B40">
        <w:rPr>
          <w:lang w:val="en-GB"/>
        </w:rPr>
        <w:t xml:space="preserve">) not to change this Recommendation, as well as TSAG agreed draft revision of ITU-T A.1 in Doc </w:t>
      </w:r>
      <w:hyperlink r:id="rId779" w:history="1">
        <w:r w:rsidRPr="00380B40">
          <w:rPr>
            <w:rStyle w:val="Hyperlink"/>
            <w:lang w:val="en-GB"/>
          </w:rPr>
          <w:t>25</w:t>
        </w:r>
      </w:hyperlink>
      <w:r w:rsidRPr="00380B40">
        <w:rPr>
          <w:u w:val="single"/>
          <w:lang w:val="en-GB"/>
        </w:rPr>
        <w:t xml:space="preserve"> Appendix I</w:t>
      </w:r>
      <w:r w:rsidRPr="00380B40">
        <w:rPr>
          <w:lang w:val="en-GB"/>
        </w:rPr>
        <w:t xml:space="preserve">. </w:t>
      </w:r>
    </w:p>
    <w:p w14:paraId="56EEDB76"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Recommendation ITU-T A.2 received one proposal (</w:t>
      </w:r>
      <w:hyperlink r:id="rId780" w:tgtFrame="_blank" w:history="1">
        <w:r w:rsidRPr="00380B40">
          <w:rPr>
            <w:rStyle w:val="Hyperlink"/>
            <w:lang w:val="en-GB"/>
          </w:rPr>
          <w:t>EUR/38A15/1</w:t>
        </w:r>
      </w:hyperlink>
      <w:r w:rsidRPr="00380B40">
        <w:rPr>
          <w:lang w:val="en-GB"/>
        </w:rPr>
        <w:t>) to modify and another proposal (</w:t>
      </w:r>
      <w:hyperlink r:id="rId781" w:history="1">
        <w:r w:rsidRPr="00380B40">
          <w:rPr>
            <w:rStyle w:val="Hyperlink"/>
            <w:lang w:val="en-GB"/>
          </w:rPr>
          <w:t>ARB/36A11-R1/1</w:t>
        </w:r>
      </w:hyperlink>
      <w:r w:rsidRPr="00380B40">
        <w:rPr>
          <w:lang w:val="en-GB"/>
        </w:rPr>
        <w:t xml:space="preserve">) not to change this Recommendation. </w:t>
      </w:r>
    </w:p>
    <w:p w14:paraId="24662E30"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 xml:space="preserve">Working Group 3A noted proposals received contain many changes and some of them had been already discussed over past TSAG meetings with no consensus. Due to time constraints and no consensus could be reached during the discussion in this Assembly, bearing in mind that TSAG has a mandate to update A-series ITU-T Recommendations, the meeting agreed to no change the Recommendation ITU-T A.1 and to request TSAG to continue reviewing these Recommendations accordingly. </w:t>
      </w:r>
    </w:p>
    <w:p w14:paraId="7F06A5A0" w14:textId="77777777" w:rsidR="009033A7" w:rsidRPr="00380B40" w:rsidRDefault="009033A7" w:rsidP="009033A7">
      <w:pPr>
        <w:tabs>
          <w:tab w:val="clear" w:pos="794"/>
          <w:tab w:val="clear" w:pos="1191"/>
          <w:tab w:val="clear" w:pos="1588"/>
          <w:tab w:val="clear" w:pos="1985"/>
          <w:tab w:val="left" w:pos="1134"/>
          <w:tab w:val="left" w:pos="1871"/>
          <w:tab w:val="left" w:pos="2268"/>
        </w:tabs>
        <w:rPr>
          <w:b/>
          <w:bCs/>
          <w:i/>
          <w:iCs/>
          <w:lang w:val="en-GB"/>
        </w:rPr>
      </w:pPr>
      <w:r w:rsidRPr="00380B40">
        <w:rPr>
          <w:b/>
          <w:bCs/>
          <w:i/>
          <w:iCs/>
          <w:lang w:val="en-GB"/>
        </w:rPr>
        <w:t xml:space="preserve">The NOC to ITU-T A.1 and NOC to ITU-T A.2 were forwarded via the editorial committee to Plenary in Document </w:t>
      </w:r>
      <w:hyperlink r:id="rId782" w:history="1">
        <w:r w:rsidRPr="00C777D4">
          <w:rPr>
            <w:rStyle w:val="Hyperlinkbolditalic"/>
            <w:lang w:val="en-GB"/>
          </w:rPr>
          <w:t>92</w:t>
        </w:r>
      </w:hyperlink>
      <w:r w:rsidRPr="00380B40">
        <w:rPr>
          <w:b/>
          <w:bCs/>
          <w:i/>
          <w:iCs/>
          <w:lang w:val="en-GB"/>
        </w:rPr>
        <w:t xml:space="preserve"> and were approved during the Plenary session held on Tuesday, 8 March 2022 from 1430-1730 hours.</w:t>
      </w:r>
    </w:p>
    <w:p w14:paraId="3D0CE230" w14:textId="77777777" w:rsidR="00AD0C2E" w:rsidRPr="00380B40" w:rsidRDefault="00AD0C2E" w:rsidP="00AD0C2E">
      <w:pPr>
        <w:rPr>
          <w:lang w:val="en-GB"/>
        </w:rPr>
      </w:pPr>
      <w:r w:rsidRPr="00380B40">
        <w:rPr>
          <w:lang w:val="en-GB"/>
        </w:rPr>
        <w:br w:type="page"/>
      </w:r>
    </w:p>
    <w:p w14:paraId="324E170B" w14:textId="77777777" w:rsidR="009033A7" w:rsidRPr="00380B40" w:rsidRDefault="00892720" w:rsidP="00892720">
      <w:pPr>
        <w:pStyle w:val="Heading3"/>
        <w:rPr>
          <w:lang w:val="en-GB"/>
        </w:rPr>
      </w:pPr>
      <w:bookmarkStart w:id="2597" w:name="_Toc111637302"/>
      <w:r w:rsidRPr="00380B40">
        <w:rPr>
          <w:lang w:val="en-GB"/>
        </w:rPr>
        <w:t>2.3.3</w:t>
      </w:r>
      <w:r w:rsidRPr="00380B40">
        <w:rPr>
          <w:lang w:val="en-GB"/>
        </w:rPr>
        <w:tab/>
      </w:r>
      <w:r w:rsidR="009033A7" w:rsidRPr="00380B40">
        <w:rPr>
          <w:lang w:val="en-GB"/>
        </w:rPr>
        <w:t xml:space="preserve">Recommendation ITU-T A.5 </w:t>
      </w:r>
      <w:r w:rsidRPr="00380B40">
        <w:rPr>
          <w:lang w:val="en-GB"/>
        </w:rPr>
        <w:t>–</w:t>
      </w:r>
      <w:r w:rsidR="009033A7" w:rsidRPr="00380B40">
        <w:rPr>
          <w:lang w:val="en-GB"/>
        </w:rPr>
        <w:t xml:space="preserve"> Generic procedures for including references to documents of other organizations in ITU-T Recommendations, and</w:t>
      </w:r>
      <w:bookmarkEnd w:id="2597"/>
      <w:r w:rsidR="009033A7" w:rsidRPr="00380B40">
        <w:rPr>
          <w:lang w:val="en-GB"/>
        </w:rPr>
        <w:t xml:space="preserve"> </w:t>
      </w:r>
    </w:p>
    <w:p w14:paraId="78D6BF09" w14:textId="77777777" w:rsidR="009033A7" w:rsidRPr="00380B40" w:rsidRDefault="00892720" w:rsidP="00892720">
      <w:pPr>
        <w:pStyle w:val="Heading3"/>
        <w:rPr>
          <w:lang w:val="en-GB"/>
        </w:rPr>
      </w:pPr>
      <w:bookmarkStart w:id="2598" w:name="_Toc111637303"/>
      <w:r w:rsidRPr="00380B40">
        <w:rPr>
          <w:lang w:val="en-GB"/>
        </w:rPr>
        <w:t>2.3.4</w:t>
      </w:r>
      <w:r w:rsidRPr="00380B40">
        <w:rPr>
          <w:lang w:val="en-GB"/>
        </w:rPr>
        <w:tab/>
      </w:r>
      <w:r w:rsidR="009033A7" w:rsidRPr="00380B40">
        <w:rPr>
          <w:lang w:val="en-GB"/>
        </w:rPr>
        <w:t xml:space="preserve">Recommendation ITU-T A.25 </w:t>
      </w:r>
      <w:r w:rsidRPr="00380B40">
        <w:rPr>
          <w:lang w:val="en-GB"/>
        </w:rPr>
        <w:t>–</w:t>
      </w:r>
      <w:r w:rsidR="009033A7" w:rsidRPr="00380B40">
        <w:rPr>
          <w:lang w:val="en-GB"/>
        </w:rPr>
        <w:t xml:space="preserve"> Generic procedures for incorporating text between ITU-T and other organizations</w:t>
      </w:r>
      <w:bookmarkEnd w:id="2598"/>
    </w:p>
    <w:p w14:paraId="616BA564"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Recommendation ITU-T A.5 received two proposals (</w:t>
      </w:r>
      <w:hyperlink r:id="rId783" w:tgtFrame="_blank" w:history="1">
        <w:r w:rsidRPr="00380B40">
          <w:rPr>
            <w:rStyle w:val="Hyperlink"/>
            <w:lang w:val="en-GB"/>
          </w:rPr>
          <w:t>EUR/38A18/1</w:t>
        </w:r>
      </w:hyperlink>
      <w:r w:rsidRPr="00380B40">
        <w:rPr>
          <w:lang w:val="en-GB"/>
        </w:rPr>
        <w:t xml:space="preserve">, </w:t>
      </w:r>
      <w:hyperlink r:id="rId784" w:history="1">
        <w:r w:rsidRPr="00380B40">
          <w:rPr>
            <w:rStyle w:val="Hyperlink"/>
            <w:lang w:val="en-GB"/>
          </w:rPr>
          <w:t>RCC/40A25/1</w:t>
        </w:r>
      </w:hyperlink>
      <w:r w:rsidRPr="00380B40">
        <w:rPr>
          <w:lang w:val="en-GB"/>
        </w:rPr>
        <w:t xml:space="preserve">) to modify this Recommendation, as well as TSAG agreed draft revision of ITU-T A.5 in Doc </w:t>
      </w:r>
      <w:hyperlink r:id="rId785" w:history="1">
        <w:r w:rsidRPr="00380B40">
          <w:rPr>
            <w:rStyle w:val="Hyperlink"/>
            <w:lang w:val="en-GB"/>
          </w:rPr>
          <w:t>25</w:t>
        </w:r>
      </w:hyperlink>
      <w:r w:rsidRPr="00380B40">
        <w:rPr>
          <w:u w:val="single"/>
          <w:lang w:val="en-GB"/>
        </w:rPr>
        <w:t xml:space="preserve"> Appendix I</w:t>
      </w:r>
      <w:r w:rsidRPr="00380B40">
        <w:rPr>
          <w:lang w:val="en-GB"/>
        </w:rPr>
        <w:t xml:space="preserve">. </w:t>
      </w:r>
    </w:p>
    <w:p w14:paraId="79B4E788"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Recommendation ITU-T A.25 received one proposal (</w:t>
      </w:r>
      <w:hyperlink r:id="rId786" w:history="1">
        <w:r w:rsidRPr="00380B40">
          <w:rPr>
            <w:rStyle w:val="Hyperlink"/>
            <w:lang w:val="en-GB"/>
          </w:rPr>
          <w:t>RCC/40A26/1</w:t>
        </w:r>
      </w:hyperlink>
      <w:r w:rsidRPr="00380B40">
        <w:rPr>
          <w:lang w:val="en-GB"/>
        </w:rPr>
        <w:t>) to modify it.</w:t>
      </w:r>
    </w:p>
    <w:p w14:paraId="2C23566D"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 xml:space="preserve">The meeting agreed to accept </w:t>
      </w:r>
      <w:hyperlink r:id="rId787" w:history="1">
        <w:r w:rsidRPr="00380B40">
          <w:rPr>
            <w:rStyle w:val="Hyperlink"/>
            <w:lang w:val="en-GB"/>
          </w:rPr>
          <w:t>TSAG/25</w:t>
        </w:r>
      </w:hyperlink>
      <w:r w:rsidRPr="00380B40">
        <w:rPr>
          <w:lang w:val="en-GB"/>
        </w:rPr>
        <w:t xml:space="preserve"> as the base text of draft revised Recommendation ITU-T A.5 and held an ad hoc session to finalize discussions on the modification of Recommendation ITU-T A.25 in conjunction with A.5 as they are related. Agreement was reached on revised texts of A.5 and A.25.</w:t>
      </w:r>
    </w:p>
    <w:p w14:paraId="62B75D8D"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b/>
          <w:bCs/>
          <w:i/>
          <w:iCs/>
          <w:lang w:val="en-GB"/>
        </w:rPr>
        <w:t xml:space="preserve">Plenary is requested to approve draft revised ITU-T A.5 and A.25 respectively as forwarded via the editorial committee to Plenary in Document </w:t>
      </w:r>
      <w:hyperlink r:id="rId788" w:history="1">
        <w:r w:rsidRPr="00C777D4">
          <w:rPr>
            <w:rStyle w:val="Hyperlinkbolditalic"/>
            <w:lang w:val="en-GB"/>
          </w:rPr>
          <w:t>92</w:t>
        </w:r>
      </w:hyperlink>
      <w:r w:rsidRPr="00380B40">
        <w:rPr>
          <w:b/>
          <w:bCs/>
          <w:i/>
          <w:iCs/>
          <w:lang w:val="en-GB"/>
        </w:rPr>
        <w:t>.</w:t>
      </w:r>
    </w:p>
    <w:p w14:paraId="2F8CCEC7" w14:textId="77777777" w:rsidR="009033A7" w:rsidRPr="00380B40" w:rsidRDefault="00892720" w:rsidP="00892720">
      <w:pPr>
        <w:pStyle w:val="Heading3"/>
        <w:rPr>
          <w:lang w:val="en-GB"/>
        </w:rPr>
      </w:pPr>
      <w:bookmarkStart w:id="2599" w:name="_Toc111637304"/>
      <w:r w:rsidRPr="00380B40">
        <w:rPr>
          <w:lang w:val="en-GB"/>
        </w:rPr>
        <w:t>2.3.5</w:t>
      </w:r>
      <w:r w:rsidRPr="00380B40">
        <w:rPr>
          <w:lang w:val="en-GB"/>
        </w:rPr>
        <w:tab/>
      </w:r>
      <w:r w:rsidR="009033A7" w:rsidRPr="00380B40">
        <w:rPr>
          <w:lang w:val="en-GB"/>
        </w:rPr>
        <w:t xml:space="preserve">Recommendation ITU-T A.7 </w:t>
      </w:r>
      <w:r w:rsidRPr="00380B40">
        <w:rPr>
          <w:lang w:val="en-GB"/>
        </w:rPr>
        <w:t>–</w:t>
      </w:r>
      <w:r w:rsidR="009033A7" w:rsidRPr="00380B40">
        <w:rPr>
          <w:lang w:val="en-GB"/>
        </w:rPr>
        <w:t xml:space="preserve"> Focus groups: Establishment and working procedures</w:t>
      </w:r>
      <w:bookmarkEnd w:id="2599"/>
    </w:p>
    <w:p w14:paraId="47E578FE"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Recommendation ITU-T A.7 received two proposal (</w:t>
      </w:r>
      <w:hyperlink r:id="rId789" w:tgtFrame="_blank" w:history="1">
        <w:r w:rsidRPr="00380B40">
          <w:rPr>
            <w:rStyle w:val="Hyperlink"/>
            <w:lang w:val="en-GB"/>
          </w:rPr>
          <w:t>EUR/38A19/1</w:t>
        </w:r>
      </w:hyperlink>
      <w:r w:rsidRPr="00380B40">
        <w:rPr>
          <w:lang w:val="en-GB"/>
        </w:rPr>
        <w:t xml:space="preserve">, </w:t>
      </w:r>
      <w:hyperlink r:id="rId790" w:tgtFrame="_blank" w:history="1">
        <w:r w:rsidRPr="00380B40">
          <w:rPr>
            <w:rStyle w:val="Hyperlink"/>
            <w:lang w:val="en-GB"/>
          </w:rPr>
          <w:t>IAP/39A20/1</w:t>
        </w:r>
      </w:hyperlink>
      <w:r w:rsidRPr="00380B40">
        <w:rPr>
          <w:lang w:val="en-GB"/>
        </w:rPr>
        <w:t>) to modify and another two proposal (</w:t>
      </w:r>
      <w:hyperlink r:id="rId791" w:history="1">
        <w:r w:rsidRPr="00380B40">
          <w:rPr>
            <w:rStyle w:val="Hyperlink"/>
            <w:lang w:val="en-GB"/>
          </w:rPr>
          <w:t>ARB/36A12-1/1</w:t>
        </w:r>
      </w:hyperlink>
      <w:r w:rsidRPr="00380B40">
        <w:rPr>
          <w:lang w:val="en-GB"/>
        </w:rPr>
        <w:t xml:space="preserve">, </w:t>
      </w:r>
      <w:hyperlink r:id="rId792" w:history="1">
        <w:r w:rsidRPr="00380B40">
          <w:rPr>
            <w:rStyle w:val="Hyperlink"/>
            <w:lang w:val="en-GB"/>
          </w:rPr>
          <w:t>RCC/40A27/7</w:t>
        </w:r>
      </w:hyperlink>
      <w:r w:rsidRPr="00380B40">
        <w:rPr>
          <w:lang w:val="en-GB"/>
        </w:rPr>
        <w:t xml:space="preserve">) not to change this Recommendation. </w:t>
      </w:r>
    </w:p>
    <w:p w14:paraId="495F73CD"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The same document contained the request to TSB to make the Recommendation ITU-T A.7 (2012) and its Appendix I (2015) available as a single publication.</w:t>
      </w:r>
    </w:p>
    <w:p w14:paraId="6DEA5CE8"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After heard concerns raised and diverged opinions expressed, noting that TSAG has the authority to review A-series Recommendations in between WTSAs, the meeting agreed to NOC to A.7 at this WTSA, but invite TSAG to continue study A.7 related issues.</w:t>
      </w:r>
    </w:p>
    <w:p w14:paraId="52FB1D87" w14:textId="77777777" w:rsidR="009033A7" w:rsidRPr="00380B40" w:rsidRDefault="009033A7" w:rsidP="009033A7">
      <w:pPr>
        <w:tabs>
          <w:tab w:val="clear" w:pos="794"/>
          <w:tab w:val="clear" w:pos="1191"/>
          <w:tab w:val="clear" w:pos="1588"/>
          <w:tab w:val="clear" w:pos="1985"/>
          <w:tab w:val="left" w:pos="1134"/>
          <w:tab w:val="left" w:pos="1871"/>
          <w:tab w:val="left" w:pos="2268"/>
        </w:tabs>
        <w:rPr>
          <w:b/>
          <w:bCs/>
          <w:i/>
          <w:iCs/>
          <w:lang w:val="en-GB"/>
        </w:rPr>
      </w:pPr>
      <w:r w:rsidRPr="00380B40">
        <w:rPr>
          <w:b/>
          <w:bCs/>
          <w:i/>
          <w:iCs/>
          <w:lang w:val="en-GB"/>
        </w:rPr>
        <w:t>The NOC to Recommendation ITU-T A.7 was forwarded via the editorial committee to Plenary in Document</w:t>
      </w:r>
      <w:r w:rsidR="00892720" w:rsidRPr="00380B40">
        <w:rPr>
          <w:b/>
          <w:bCs/>
          <w:i/>
          <w:iCs/>
          <w:lang w:val="en-GB"/>
        </w:rPr>
        <w:t> </w:t>
      </w:r>
      <w:hyperlink r:id="rId793" w:history="1">
        <w:r w:rsidRPr="00C777D4">
          <w:rPr>
            <w:rStyle w:val="Hyperlinkbolditalic"/>
            <w:lang w:val="en-GB"/>
          </w:rPr>
          <w:t>67</w:t>
        </w:r>
      </w:hyperlink>
      <w:r w:rsidRPr="00380B40">
        <w:rPr>
          <w:b/>
          <w:bCs/>
          <w:i/>
          <w:iCs/>
          <w:lang w:val="en-GB"/>
        </w:rPr>
        <w:t xml:space="preserve"> and was approved during the Plenary session held on Monday, 7 March 2022 from 1600-1730 hours.</w:t>
      </w:r>
    </w:p>
    <w:p w14:paraId="06A89798" w14:textId="77777777" w:rsidR="009033A7" w:rsidRPr="00380B40" w:rsidRDefault="00892720" w:rsidP="00892720">
      <w:pPr>
        <w:pStyle w:val="Heading3"/>
        <w:rPr>
          <w:lang w:val="en-GB"/>
        </w:rPr>
      </w:pPr>
      <w:bookmarkStart w:id="2600" w:name="_Toc111637305"/>
      <w:r w:rsidRPr="00380B40">
        <w:rPr>
          <w:lang w:val="en-GB"/>
        </w:rPr>
        <w:t>2.3.6</w:t>
      </w:r>
      <w:r w:rsidRPr="00380B40">
        <w:rPr>
          <w:lang w:val="en-GB"/>
        </w:rPr>
        <w:tab/>
      </w:r>
      <w:r w:rsidR="009033A7" w:rsidRPr="00380B40">
        <w:rPr>
          <w:lang w:val="en-GB"/>
        </w:rPr>
        <w:t>Recommendation ITU-T A.8 - Alternative approval process for new and revised ITU-T Recommendations</w:t>
      </w:r>
      <w:bookmarkEnd w:id="2600"/>
    </w:p>
    <w:p w14:paraId="0CCC43A4"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Recommendation ITU-T A.8 received one proposal (</w:t>
      </w:r>
      <w:hyperlink r:id="rId794" w:tgtFrame="_blank" w:history="1">
        <w:r w:rsidRPr="00380B40">
          <w:rPr>
            <w:rStyle w:val="Hyperlink"/>
            <w:lang w:val="en-GB"/>
          </w:rPr>
          <w:t>EUR/38A16/1</w:t>
        </w:r>
      </w:hyperlink>
      <w:r w:rsidRPr="00380B40">
        <w:rPr>
          <w:lang w:val="en-GB"/>
        </w:rPr>
        <w:t xml:space="preserve">) to modify this Recommendation. </w:t>
      </w:r>
    </w:p>
    <w:p w14:paraId="134B9E82" w14:textId="77777777" w:rsidR="00AD0C2E" w:rsidRPr="00380B40" w:rsidRDefault="00AD0C2E" w:rsidP="009033A7">
      <w:pPr>
        <w:tabs>
          <w:tab w:val="clear" w:pos="794"/>
          <w:tab w:val="clear" w:pos="1191"/>
          <w:tab w:val="clear" w:pos="1588"/>
          <w:tab w:val="clear" w:pos="1985"/>
          <w:tab w:val="left" w:pos="1134"/>
          <w:tab w:val="left" w:pos="1871"/>
          <w:tab w:val="left" w:pos="2268"/>
        </w:tabs>
        <w:rPr>
          <w:lang w:val="en-GB"/>
        </w:rPr>
      </w:pPr>
      <w:r w:rsidRPr="00380B40">
        <w:rPr>
          <w:lang w:val="en-GB"/>
        </w:rPr>
        <w:br w:type="page"/>
      </w:r>
    </w:p>
    <w:p w14:paraId="570C8FFB"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The meeting discussed, suggested improvement to EUR/38A16/1 and reached agreement.</w:t>
      </w:r>
    </w:p>
    <w:p w14:paraId="17FC7736" w14:textId="77777777" w:rsidR="009033A7" w:rsidRPr="00380B40" w:rsidRDefault="009033A7" w:rsidP="009033A7">
      <w:pPr>
        <w:tabs>
          <w:tab w:val="clear" w:pos="794"/>
          <w:tab w:val="clear" w:pos="1191"/>
          <w:tab w:val="clear" w:pos="1588"/>
          <w:tab w:val="clear" w:pos="1985"/>
          <w:tab w:val="left" w:pos="1134"/>
          <w:tab w:val="left" w:pos="1871"/>
          <w:tab w:val="left" w:pos="2268"/>
        </w:tabs>
        <w:rPr>
          <w:b/>
          <w:bCs/>
          <w:i/>
          <w:iCs/>
          <w:lang w:val="en-GB"/>
        </w:rPr>
      </w:pPr>
      <w:r w:rsidRPr="00380B40">
        <w:rPr>
          <w:b/>
          <w:bCs/>
          <w:i/>
          <w:iCs/>
          <w:lang w:val="en-GB"/>
        </w:rPr>
        <w:t xml:space="preserve">Plenary is requested to approve draft revised ITU-T A.8 as forwarded via the editorial committee to Plenary in Document </w:t>
      </w:r>
      <w:hyperlink r:id="rId795" w:history="1">
        <w:r w:rsidRPr="00C777D4">
          <w:rPr>
            <w:rStyle w:val="Hyperlinkbolditalic"/>
            <w:lang w:val="en-GB"/>
          </w:rPr>
          <w:t>87</w:t>
        </w:r>
      </w:hyperlink>
      <w:r w:rsidRPr="00380B40">
        <w:rPr>
          <w:b/>
          <w:bCs/>
          <w:i/>
          <w:iCs/>
          <w:lang w:val="en-GB"/>
        </w:rPr>
        <w:t>.</w:t>
      </w:r>
    </w:p>
    <w:p w14:paraId="4B762317" w14:textId="77777777" w:rsidR="009033A7" w:rsidRPr="00380B40" w:rsidRDefault="00892720" w:rsidP="00892720">
      <w:pPr>
        <w:pStyle w:val="Heading1"/>
        <w:rPr>
          <w:lang w:val="en-GB"/>
        </w:rPr>
      </w:pPr>
      <w:bookmarkStart w:id="2601" w:name="_Toc111637306"/>
      <w:r w:rsidRPr="00380B40">
        <w:rPr>
          <w:lang w:val="en-GB"/>
        </w:rPr>
        <w:t>3</w:t>
      </w:r>
      <w:r w:rsidRPr="00380B40">
        <w:rPr>
          <w:lang w:val="en-GB"/>
        </w:rPr>
        <w:tab/>
      </w:r>
      <w:r w:rsidR="009033A7" w:rsidRPr="00380B40">
        <w:rPr>
          <w:lang w:val="en-GB"/>
        </w:rPr>
        <w:t>Acknowledgments</w:t>
      </w:r>
      <w:bookmarkEnd w:id="2601"/>
    </w:p>
    <w:p w14:paraId="0E2D0658" w14:textId="77777777" w:rsidR="00892720"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t>Committee 3 Chairman expressed his sincere thanks to all the participants, Vice-Chairmen of Committee 3, all of whom enthusiastically took additional tasks to lead the Ad-hoc and Drafting Groups Mr Oscar Avellaneda, Ms Rim Belhaj, Ms Hend Ben Hadji, Ms Gaëlle Martin-Cocher, Mr Glenn Parsons, Mr Greg Ratta, Ms Andrea Saks, Mr Arnaud Taddei, Ms Basma Tawfik, Mr Heung Youl Youm, and Mr Zhaoji Lin. He also thanked the TSB staff, Ms Xiaoya. Yang, Mr Denis Andreev, Mr Martin Adolph, Mr Martin Euchner, Ms Gillian Makamara, Ms Emma Norton, Ms Carolina Lima, interpreters and captioners for their support.</w:t>
      </w:r>
    </w:p>
    <w:p w14:paraId="70592167" w14:textId="77777777" w:rsidR="00892720" w:rsidRPr="00380B40" w:rsidRDefault="00892720" w:rsidP="009033A7">
      <w:pPr>
        <w:tabs>
          <w:tab w:val="clear" w:pos="794"/>
          <w:tab w:val="clear" w:pos="1191"/>
          <w:tab w:val="clear" w:pos="1588"/>
          <w:tab w:val="clear" w:pos="1985"/>
          <w:tab w:val="left" w:pos="1134"/>
          <w:tab w:val="left" w:pos="1871"/>
          <w:tab w:val="left" w:pos="2268"/>
        </w:tabs>
        <w:rPr>
          <w:lang w:val="en-GB"/>
        </w:rPr>
      </w:pPr>
    </w:p>
    <w:p w14:paraId="2663588B" w14:textId="77777777" w:rsidR="00892720" w:rsidRPr="00380B40" w:rsidRDefault="00892720" w:rsidP="009033A7">
      <w:pPr>
        <w:tabs>
          <w:tab w:val="clear" w:pos="794"/>
          <w:tab w:val="clear" w:pos="1191"/>
          <w:tab w:val="clear" w:pos="1588"/>
          <w:tab w:val="clear" w:pos="1985"/>
          <w:tab w:val="left" w:pos="1134"/>
          <w:tab w:val="left" w:pos="1871"/>
          <w:tab w:val="left" w:pos="2268"/>
        </w:tabs>
        <w:rPr>
          <w:lang w:val="en-GB"/>
        </w:rPr>
      </w:pPr>
    </w:p>
    <w:p w14:paraId="4C48842B" w14:textId="77777777" w:rsidR="00AD0C2E" w:rsidRPr="00380B40" w:rsidRDefault="00AD0C2E" w:rsidP="009033A7">
      <w:pPr>
        <w:tabs>
          <w:tab w:val="clear" w:pos="794"/>
          <w:tab w:val="clear" w:pos="1191"/>
          <w:tab w:val="clear" w:pos="1588"/>
          <w:tab w:val="clear" w:pos="1985"/>
          <w:tab w:val="left" w:pos="1134"/>
          <w:tab w:val="left" w:pos="1871"/>
          <w:tab w:val="left" w:pos="2268"/>
        </w:tabs>
        <w:rPr>
          <w:lang w:val="en-GB"/>
        </w:rPr>
      </w:pPr>
    </w:p>
    <w:p w14:paraId="15033DE4" w14:textId="77777777" w:rsidR="00AD0C2E" w:rsidRPr="00380B40" w:rsidRDefault="00AD0C2E" w:rsidP="009033A7">
      <w:pPr>
        <w:tabs>
          <w:tab w:val="clear" w:pos="794"/>
          <w:tab w:val="clear" w:pos="1191"/>
          <w:tab w:val="clear" w:pos="1588"/>
          <w:tab w:val="clear" w:pos="1985"/>
          <w:tab w:val="left" w:pos="1134"/>
          <w:tab w:val="left" w:pos="1871"/>
          <w:tab w:val="left" w:pos="2268"/>
        </w:tabs>
        <w:rPr>
          <w:lang w:val="en-GB"/>
        </w:rPr>
      </w:pPr>
    </w:p>
    <w:p w14:paraId="386A0641" w14:textId="77777777" w:rsidR="00AD0C2E" w:rsidRPr="00380B40" w:rsidRDefault="00AD0C2E" w:rsidP="009033A7">
      <w:pPr>
        <w:tabs>
          <w:tab w:val="clear" w:pos="794"/>
          <w:tab w:val="clear" w:pos="1191"/>
          <w:tab w:val="clear" w:pos="1588"/>
          <w:tab w:val="clear" w:pos="1985"/>
          <w:tab w:val="left" w:pos="1134"/>
          <w:tab w:val="left" w:pos="1871"/>
          <w:tab w:val="left" w:pos="2268"/>
        </w:tabs>
        <w:rPr>
          <w:lang w:val="en-GB"/>
        </w:rPr>
      </w:pPr>
    </w:p>
    <w:p w14:paraId="567ECED1" w14:textId="77777777" w:rsidR="00AD0C2E" w:rsidRPr="00380B40" w:rsidRDefault="00AD0C2E" w:rsidP="009033A7">
      <w:pPr>
        <w:tabs>
          <w:tab w:val="clear" w:pos="794"/>
          <w:tab w:val="clear" w:pos="1191"/>
          <w:tab w:val="clear" w:pos="1588"/>
          <w:tab w:val="clear" w:pos="1985"/>
          <w:tab w:val="left" w:pos="1134"/>
          <w:tab w:val="left" w:pos="1871"/>
          <w:tab w:val="left" w:pos="2268"/>
        </w:tabs>
        <w:rPr>
          <w:lang w:val="en-GB"/>
        </w:rPr>
      </w:pPr>
    </w:p>
    <w:p w14:paraId="59D114A5" w14:textId="77777777" w:rsidR="00AD0C2E" w:rsidRPr="00380B40" w:rsidRDefault="00AD0C2E" w:rsidP="009033A7">
      <w:pPr>
        <w:tabs>
          <w:tab w:val="clear" w:pos="794"/>
          <w:tab w:val="clear" w:pos="1191"/>
          <w:tab w:val="clear" w:pos="1588"/>
          <w:tab w:val="clear" w:pos="1985"/>
          <w:tab w:val="left" w:pos="1134"/>
          <w:tab w:val="left" w:pos="1871"/>
          <w:tab w:val="left" w:pos="2268"/>
        </w:tabs>
        <w:rPr>
          <w:lang w:val="en-GB"/>
        </w:rPr>
      </w:pPr>
    </w:p>
    <w:p w14:paraId="4511ED49" w14:textId="77777777" w:rsidR="00AD0C2E" w:rsidRPr="00380B40" w:rsidRDefault="00AD0C2E" w:rsidP="009033A7">
      <w:pPr>
        <w:tabs>
          <w:tab w:val="clear" w:pos="794"/>
          <w:tab w:val="clear" w:pos="1191"/>
          <w:tab w:val="clear" w:pos="1588"/>
          <w:tab w:val="clear" w:pos="1985"/>
          <w:tab w:val="left" w:pos="1134"/>
          <w:tab w:val="left" w:pos="1871"/>
          <w:tab w:val="left" w:pos="2268"/>
        </w:tabs>
        <w:rPr>
          <w:lang w:val="en-GB"/>
        </w:rPr>
      </w:pPr>
    </w:p>
    <w:p w14:paraId="5BC8E036" w14:textId="77777777" w:rsidR="00AD0C2E" w:rsidRPr="00380B40" w:rsidRDefault="00AD0C2E" w:rsidP="009033A7">
      <w:pPr>
        <w:tabs>
          <w:tab w:val="clear" w:pos="794"/>
          <w:tab w:val="clear" w:pos="1191"/>
          <w:tab w:val="clear" w:pos="1588"/>
          <w:tab w:val="clear" w:pos="1985"/>
          <w:tab w:val="left" w:pos="1134"/>
          <w:tab w:val="left" w:pos="1871"/>
          <w:tab w:val="left" w:pos="2268"/>
        </w:tabs>
        <w:rPr>
          <w:lang w:val="en-GB"/>
        </w:rPr>
      </w:pPr>
    </w:p>
    <w:p w14:paraId="444E5787" w14:textId="77777777" w:rsidR="00AD0C2E" w:rsidRPr="00380B40" w:rsidRDefault="00AD0C2E" w:rsidP="009033A7">
      <w:pPr>
        <w:tabs>
          <w:tab w:val="clear" w:pos="794"/>
          <w:tab w:val="clear" w:pos="1191"/>
          <w:tab w:val="clear" w:pos="1588"/>
          <w:tab w:val="clear" w:pos="1985"/>
          <w:tab w:val="left" w:pos="1134"/>
          <w:tab w:val="left" w:pos="1871"/>
          <w:tab w:val="left" w:pos="2268"/>
        </w:tabs>
        <w:rPr>
          <w:lang w:val="en-GB"/>
        </w:rPr>
      </w:pPr>
    </w:p>
    <w:p w14:paraId="0C809CB4" w14:textId="77777777" w:rsidR="00AD0C2E" w:rsidRPr="00380B40" w:rsidRDefault="00AD0C2E" w:rsidP="009033A7">
      <w:pPr>
        <w:tabs>
          <w:tab w:val="clear" w:pos="794"/>
          <w:tab w:val="clear" w:pos="1191"/>
          <w:tab w:val="clear" w:pos="1588"/>
          <w:tab w:val="clear" w:pos="1985"/>
          <w:tab w:val="left" w:pos="1134"/>
          <w:tab w:val="left" w:pos="1871"/>
          <w:tab w:val="left" w:pos="2268"/>
        </w:tabs>
        <w:rPr>
          <w:lang w:val="en-GB"/>
        </w:rPr>
      </w:pPr>
    </w:p>
    <w:p w14:paraId="3D0863E2" w14:textId="77777777" w:rsidR="00892720" w:rsidRPr="00380B40" w:rsidRDefault="00892720" w:rsidP="009033A7">
      <w:pPr>
        <w:tabs>
          <w:tab w:val="clear" w:pos="794"/>
          <w:tab w:val="clear" w:pos="1191"/>
          <w:tab w:val="clear" w:pos="1588"/>
          <w:tab w:val="clear" w:pos="1985"/>
          <w:tab w:val="left" w:pos="1134"/>
          <w:tab w:val="left" w:pos="1871"/>
          <w:tab w:val="left" w:pos="2268"/>
        </w:tabs>
        <w:rPr>
          <w:lang w:val="en-GB"/>
        </w:rPr>
      </w:pPr>
    </w:p>
    <w:p w14:paraId="05EC9B50" w14:textId="77777777" w:rsidR="00892720" w:rsidRPr="00380B40" w:rsidRDefault="00892720" w:rsidP="009033A7">
      <w:pPr>
        <w:tabs>
          <w:tab w:val="clear" w:pos="794"/>
          <w:tab w:val="clear" w:pos="1191"/>
          <w:tab w:val="clear" w:pos="1588"/>
          <w:tab w:val="clear" w:pos="1985"/>
          <w:tab w:val="left" w:pos="1134"/>
          <w:tab w:val="left" w:pos="1871"/>
          <w:tab w:val="left" w:pos="2268"/>
        </w:tabs>
        <w:rPr>
          <w:lang w:val="en-GB"/>
        </w:rPr>
      </w:pPr>
    </w:p>
    <w:p w14:paraId="610F071B" w14:textId="77777777" w:rsidR="00892720" w:rsidRPr="00380B40" w:rsidRDefault="00892720" w:rsidP="009033A7">
      <w:pPr>
        <w:tabs>
          <w:tab w:val="clear" w:pos="794"/>
          <w:tab w:val="clear" w:pos="1191"/>
          <w:tab w:val="clear" w:pos="1588"/>
          <w:tab w:val="clear" w:pos="1985"/>
          <w:tab w:val="left" w:pos="1134"/>
          <w:tab w:val="left" w:pos="1871"/>
          <w:tab w:val="left" w:pos="2268"/>
        </w:tabs>
        <w:rPr>
          <w:lang w:val="en-GB"/>
        </w:rPr>
      </w:pPr>
    </w:p>
    <w:p w14:paraId="189075BF" w14:textId="77777777" w:rsidR="00892720" w:rsidRPr="00380B40" w:rsidRDefault="00892720" w:rsidP="00FD3C79">
      <w:pPr>
        <w:pStyle w:val="AnnexNoTitle1"/>
      </w:pPr>
    </w:p>
    <w:p w14:paraId="7901D92E" w14:textId="77777777" w:rsidR="009033A7" w:rsidRPr="00380B40" w:rsidRDefault="009033A7" w:rsidP="009033A7">
      <w:pPr>
        <w:tabs>
          <w:tab w:val="clear" w:pos="794"/>
          <w:tab w:val="clear" w:pos="1191"/>
          <w:tab w:val="clear" w:pos="1588"/>
          <w:tab w:val="clear" w:pos="1985"/>
          <w:tab w:val="left" w:pos="1134"/>
          <w:tab w:val="left" w:pos="1871"/>
          <w:tab w:val="left" w:pos="2268"/>
        </w:tabs>
        <w:rPr>
          <w:lang w:val="en-GB"/>
        </w:rPr>
      </w:pPr>
      <w:r w:rsidRPr="00380B40">
        <w:rPr>
          <w:lang w:val="en-GB"/>
        </w:rPr>
        <w:br w:type="page"/>
      </w:r>
    </w:p>
    <w:p w14:paraId="56F5ADC6" w14:textId="77777777" w:rsidR="00B66120" w:rsidRPr="00380B40" w:rsidRDefault="009033A7" w:rsidP="00B66120">
      <w:pPr>
        <w:pStyle w:val="AnnexNo"/>
      </w:pPr>
      <w:bookmarkStart w:id="2602" w:name="_Toc111637307"/>
      <w:r w:rsidRPr="00380B40">
        <w:t>Annex</w:t>
      </w:r>
      <w:r w:rsidRPr="00380B40">
        <w:br/>
        <w:t>(to COM 3 report)</w:t>
      </w:r>
      <w:bookmarkEnd w:id="2602"/>
    </w:p>
    <w:p w14:paraId="2A186CB5" w14:textId="77777777" w:rsidR="009033A7" w:rsidRPr="00380B40" w:rsidRDefault="009033A7" w:rsidP="00B66120">
      <w:pPr>
        <w:pStyle w:val="Annextitle"/>
      </w:pPr>
      <w:r w:rsidRPr="00380B40">
        <w:t>Resolutions and A-series Recommendations under the responsibility of Committee 3</w:t>
      </w:r>
    </w:p>
    <w:tbl>
      <w:tblPr>
        <w:tblStyle w:val="TableGrid"/>
        <w:tblW w:w="5298" w:type="pct"/>
        <w:tblLayout w:type="fixed"/>
        <w:tblLook w:val="04A0" w:firstRow="1" w:lastRow="0" w:firstColumn="1" w:lastColumn="0" w:noHBand="0" w:noVBand="1"/>
      </w:tblPr>
      <w:tblGrid>
        <w:gridCol w:w="7651"/>
        <w:gridCol w:w="2551"/>
      </w:tblGrid>
      <w:tr w:rsidR="009033A7" w:rsidRPr="00380B40" w14:paraId="70824329" w14:textId="77777777" w:rsidTr="00D316C7">
        <w:trPr>
          <w:cantSplit/>
          <w:tblHeader/>
        </w:trPr>
        <w:tc>
          <w:tcPr>
            <w:tcW w:w="7651" w:type="dxa"/>
            <w:shd w:val="clear" w:color="auto" w:fill="auto"/>
            <w:hideMark/>
          </w:tcPr>
          <w:p w14:paraId="060F2530" w14:textId="77777777" w:rsidR="009033A7" w:rsidRPr="00380B40" w:rsidRDefault="009033A7" w:rsidP="00427615">
            <w:pPr>
              <w:pStyle w:val="Tableheadwhitecentred"/>
            </w:pPr>
            <w:r w:rsidRPr="00380B40">
              <w:t>Resolutions</w:t>
            </w:r>
          </w:p>
        </w:tc>
        <w:tc>
          <w:tcPr>
            <w:tcW w:w="2551" w:type="dxa"/>
            <w:shd w:val="clear" w:color="auto" w:fill="auto"/>
          </w:tcPr>
          <w:p w14:paraId="0E125637" w14:textId="77777777" w:rsidR="009033A7" w:rsidRPr="00380B40" w:rsidRDefault="009033A7" w:rsidP="00427615">
            <w:pPr>
              <w:pStyle w:val="Tableheadwhitecentred"/>
            </w:pPr>
            <w:r w:rsidRPr="00380B40">
              <w:t>Document/Disposition</w:t>
            </w:r>
          </w:p>
        </w:tc>
      </w:tr>
      <w:tr w:rsidR="009033A7" w:rsidRPr="00380B40" w14:paraId="3AA3D616" w14:textId="77777777" w:rsidTr="00D316C7">
        <w:trPr>
          <w:cantSplit/>
        </w:trPr>
        <w:tc>
          <w:tcPr>
            <w:tcW w:w="7651" w:type="dxa"/>
            <w:shd w:val="clear" w:color="auto" w:fill="auto"/>
            <w:hideMark/>
          </w:tcPr>
          <w:p w14:paraId="50576B2A" w14:textId="77777777" w:rsidR="009033A7" w:rsidRPr="00380B40" w:rsidRDefault="009033A7" w:rsidP="00892720">
            <w:pPr>
              <w:pStyle w:val="Tabletext"/>
              <w:rPr>
                <w:lang w:val="en-GB"/>
              </w:rPr>
            </w:pPr>
            <w:r w:rsidRPr="00380B40">
              <w:rPr>
                <w:lang w:val="en-GB"/>
              </w:rPr>
              <w:t xml:space="preserve">Resolution 1 </w:t>
            </w:r>
            <w:r w:rsidR="00EE0741" w:rsidRPr="00380B40">
              <w:rPr>
                <w:lang w:val="en-GB"/>
              </w:rPr>
              <w:t>–</w:t>
            </w:r>
            <w:r w:rsidRPr="00380B40">
              <w:rPr>
                <w:lang w:val="en-GB"/>
              </w:rPr>
              <w:t xml:space="preserve"> </w:t>
            </w:r>
            <w:r w:rsidRPr="00380B40">
              <w:rPr>
                <w:szCs w:val="24"/>
                <w:lang w:val="en-GB"/>
              </w:rPr>
              <w:t>Rules of procedure of the ITU Telecommunication Standardization Sector (ITU-T</w:t>
            </w:r>
            <w:r w:rsidRPr="00380B40">
              <w:rPr>
                <w:lang w:val="en-GB"/>
              </w:rPr>
              <w:t>)</w:t>
            </w:r>
          </w:p>
        </w:tc>
        <w:tc>
          <w:tcPr>
            <w:tcW w:w="2551" w:type="dxa"/>
            <w:shd w:val="clear" w:color="auto" w:fill="auto"/>
          </w:tcPr>
          <w:p w14:paraId="44B6FA0E" w14:textId="77777777" w:rsidR="009033A7" w:rsidRPr="00380B40" w:rsidRDefault="006A0076" w:rsidP="00EE0741">
            <w:pPr>
              <w:pStyle w:val="Tabletext"/>
              <w:jc w:val="center"/>
              <w:rPr>
                <w:rStyle w:val="Hyperlinkbolditalic"/>
              </w:rPr>
            </w:pPr>
            <w:hyperlink r:id="rId796" w:history="1">
              <w:r w:rsidR="009033A7" w:rsidRPr="00380B40">
                <w:rPr>
                  <w:rStyle w:val="Hyperlinkbolditalic"/>
                </w:rPr>
                <w:t>94</w:t>
              </w:r>
            </w:hyperlink>
          </w:p>
        </w:tc>
      </w:tr>
      <w:tr w:rsidR="009033A7" w:rsidRPr="00380B40" w14:paraId="4BD3FAAA" w14:textId="77777777" w:rsidTr="00D316C7">
        <w:tc>
          <w:tcPr>
            <w:tcW w:w="7651" w:type="dxa"/>
            <w:shd w:val="clear" w:color="auto" w:fill="auto"/>
          </w:tcPr>
          <w:p w14:paraId="3A58CC28" w14:textId="77777777" w:rsidR="009033A7" w:rsidRPr="00380B40" w:rsidRDefault="009033A7" w:rsidP="00892720">
            <w:pPr>
              <w:pStyle w:val="Tabletext"/>
              <w:rPr>
                <w:lang w:val="en-GB"/>
              </w:rPr>
            </w:pPr>
            <w:r w:rsidRPr="00380B40">
              <w:rPr>
                <w:lang w:val="en-GB"/>
              </w:rPr>
              <w:t xml:space="preserve">Resolution 7 </w:t>
            </w:r>
            <w:r w:rsidR="00EE0741" w:rsidRPr="00380B40">
              <w:rPr>
                <w:lang w:val="en-GB"/>
              </w:rPr>
              <w:t>–</w:t>
            </w:r>
            <w:r w:rsidRPr="00380B40">
              <w:rPr>
                <w:lang w:val="en-GB"/>
              </w:rPr>
              <w:t xml:space="preserve"> Collaboration with the International Organization for Standardization and the International Electrotechnical Commission</w:t>
            </w:r>
          </w:p>
        </w:tc>
        <w:tc>
          <w:tcPr>
            <w:tcW w:w="2551" w:type="dxa"/>
            <w:shd w:val="clear" w:color="auto" w:fill="auto"/>
          </w:tcPr>
          <w:p w14:paraId="7B9CDCEA" w14:textId="77777777" w:rsidR="009033A7" w:rsidRPr="00380B40" w:rsidRDefault="006A0076" w:rsidP="00EE0741">
            <w:pPr>
              <w:pStyle w:val="Tabletext"/>
              <w:jc w:val="center"/>
              <w:rPr>
                <w:rStyle w:val="Hyperlinkbolditalic"/>
              </w:rPr>
            </w:pPr>
            <w:hyperlink r:id="rId797" w:history="1">
              <w:r w:rsidR="009033A7" w:rsidRPr="00380B40">
                <w:rPr>
                  <w:rStyle w:val="Hyperlinkbolditalic"/>
                </w:rPr>
                <w:t>95</w:t>
              </w:r>
            </w:hyperlink>
          </w:p>
        </w:tc>
      </w:tr>
      <w:tr w:rsidR="009033A7" w:rsidRPr="00380B40" w14:paraId="28C920A7" w14:textId="77777777" w:rsidTr="00D316C7">
        <w:trPr>
          <w:cantSplit/>
        </w:trPr>
        <w:tc>
          <w:tcPr>
            <w:tcW w:w="7651" w:type="dxa"/>
            <w:shd w:val="clear" w:color="auto" w:fill="auto"/>
          </w:tcPr>
          <w:p w14:paraId="1E4416C3" w14:textId="77777777" w:rsidR="009033A7" w:rsidRPr="00380B40" w:rsidRDefault="009033A7" w:rsidP="00892720">
            <w:pPr>
              <w:pStyle w:val="Tabletext"/>
              <w:rPr>
                <w:lang w:val="en-GB"/>
              </w:rPr>
            </w:pPr>
            <w:r w:rsidRPr="00380B40">
              <w:rPr>
                <w:lang w:val="en-GB"/>
              </w:rPr>
              <w:t xml:space="preserve">Resolution 11 </w:t>
            </w:r>
            <w:r w:rsidR="00EE0741" w:rsidRPr="00380B40">
              <w:rPr>
                <w:lang w:val="en-GB"/>
              </w:rPr>
              <w:t>–</w:t>
            </w:r>
            <w:r w:rsidRPr="00380B40">
              <w:rPr>
                <w:lang w:val="en-GB"/>
              </w:rPr>
              <w:t xml:space="preserve"> Collaboration with the Postal Operations Council (POC) of the Universal Postal Union (UPU) in the study of services concerning both the postal and the telecommunication sectors</w:t>
            </w:r>
          </w:p>
        </w:tc>
        <w:tc>
          <w:tcPr>
            <w:tcW w:w="2551" w:type="dxa"/>
            <w:shd w:val="clear" w:color="auto" w:fill="auto"/>
          </w:tcPr>
          <w:p w14:paraId="352A09DD" w14:textId="77777777" w:rsidR="009033A7" w:rsidRPr="00380B40" w:rsidRDefault="009033A7" w:rsidP="00EE0741">
            <w:pPr>
              <w:pStyle w:val="Tabletext"/>
              <w:jc w:val="center"/>
              <w:rPr>
                <w:lang w:val="en-GB"/>
              </w:rPr>
            </w:pPr>
            <w:r w:rsidRPr="00380B40">
              <w:rPr>
                <w:lang w:val="en-GB"/>
              </w:rPr>
              <w:t>Remains unchanged</w:t>
            </w:r>
          </w:p>
        </w:tc>
      </w:tr>
      <w:tr w:rsidR="009033A7" w:rsidRPr="00380B40" w14:paraId="55F5602C" w14:textId="77777777" w:rsidTr="00D316C7">
        <w:trPr>
          <w:cantSplit/>
        </w:trPr>
        <w:tc>
          <w:tcPr>
            <w:tcW w:w="7651" w:type="dxa"/>
            <w:shd w:val="clear" w:color="auto" w:fill="auto"/>
          </w:tcPr>
          <w:p w14:paraId="46F67771" w14:textId="77777777" w:rsidR="009033A7" w:rsidRPr="00380B40" w:rsidRDefault="009033A7" w:rsidP="00892720">
            <w:pPr>
              <w:pStyle w:val="Tabletext"/>
              <w:rPr>
                <w:lang w:val="en-GB"/>
              </w:rPr>
            </w:pPr>
            <w:r w:rsidRPr="00380B40">
              <w:rPr>
                <w:lang w:val="en-GB"/>
              </w:rPr>
              <w:t xml:space="preserve">Resolution 18 </w:t>
            </w:r>
            <w:r w:rsidR="00EE0741" w:rsidRPr="00380B40">
              <w:rPr>
                <w:lang w:val="en-GB"/>
              </w:rPr>
              <w:t>–</w:t>
            </w:r>
            <w:r w:rsidRPr="00380B40">
              <w:rPr>
                <w:lang w:val="en-GB"/>
              </w:rPr>
              <w:t xml:space="preserve"> Principles and procedures for the allocation of work to, and strengthening coordination and cooperation among, the ITU Radiocommunication, ITU Telecommunication Standardization and ITU Telecommunication Development Sectors</w:t>
            </w:r>
          </w:p>
        </w:tc>
        <w:tc>
          <w:tcPr>
            <w:tcW w:w="2551" w:type="dxa"/>
            <w:shd w:val="clear" w:color="auto" w:fill="auto"/>
          </w:tcPr>
          <w:p w14:paraId="7850FC8B" w14:textId="77777777" w:rsidR="009033A7" w:rsidRPr="00380B40" w:rsidRDefault="006A0076" w:rsidP="00EE0741">
            <w:pPr>
              <w:pStyle w:val="Tabletext"/>
              <w:jc w:val="center"/>
              <w:rPr>
                <w:rStyle w:val="Hyperlinkbolditalic"/>
              </w:rPr>
            </w:pPr>
            <w:hyperlink r:id="rId798" w:history="1">
              <w:r w:rsidR="009033A7" w:rsidRPr="00380B40">
                <w:rPr>
                  <w:rStyle w:val="Hyperlinkbolditalic"/>
                </w:rPr>
                <w:t>85</w:t>
              </w:r>
            </w:hyperlink>
          </w:p>
        </w:tc>
      </w:tr>
      <w:tr w:rsidR="009033A7" w:rsidRPr="00380B40" w14:paraId="37F6C5AD" w14:textId="77777777" w:rsidTr="00D316C7">
        <w:trPr>
          <w:cantSplit/>
        </w:trPr>
        <w:tc>
          <w:tcPr>
            <w:tcW w:w="7651" w:type="dxa"/>
            <w:shd w:val="clear" w:color="auto" w:fill="auto"/>
          </w:tcPr>
          <w:p w14:paraId="4177659B" w14:textId="77777777" w:rsidR="009033A7" w:rsidRPr="00380B40" w:rsidRDefault="009033A7" w:rsidP="00892720">
            <w:pPr>
              <w:pStyle w:val="Tabletext"/>
              <w:rPr>
                <w:szCs w:val="24"/>
                <w:lang w:val="en-GB"/>
              </w:rPr>
            </w:pPr>
            <w:r w:rsidRPr="00380B40">
              <w:rPr>
                <w:szCs w:val="24"/>
                <w:lang w:val="en-GB"/>
              </w:rPr>
              <w:t xml:space="preserve">Resolution 22 </w:t>
            </w:r>
            <w:r w:rsidR="00EE0741" w:rsidRPr="00380B40">
              <w:rPr>
                <w:lang w:val="en-GB"/>
              </w:rPr>
              <w:t>–</w:t>
            </w:r>
            <w:r w:rsidRPr="00380B40">
              <w:rPr>
                <w:szCs w:val="24"/>
                <w:lang w:val="en-GB"/>
              </w:rPr>
              <w:t xml:space="preserve"> Authorization for TSAG to act between WTSAs</w:t>
            </w:r>
          </w:p>
        </w:tc>
        <w:tc>
          <w:tcPr>
            <w:tcW w:w="2551" w:type="dxa"/>
            <w:shd w:val="clear" w:color="auto" w:fill="auto"/>
          </w:tcPr>
          <w:p w14:paraId="1C81BB2F" w14:textId="77777777" w:rsidR="009033A7" w:rsidRPr="00380B40" w:rsidRDefault="006A0076" w:rsidP="00EE0741">
            <w:pPr>
              <w:pStyle w:val="Tabletext"/>
              <w:jc w:val="center"/>
              <w:rPr>
                <w:rStyle w:val="Hyperlinkbolditalic"/>
              </w:rPr>
            </w:pPr>
            <w:hyperlink r:id="rId799" w:history="1">
              <w:r w:rsidR="009033A7" w:rsidRPr="00380B40">
                <w:rPr>
                  <w:rStyle w:val="Hyperlinkbolditalic"/>
                </w:rPr>
                <w:t>92</w:t>
              </w:r>
            </w:hyperlink>
          </w:p>
        </w:tc>
      </w:tr>
      <w:tr w:rsidR="009033A7" w:rsidRPr="00380B40" w14:paraId="72C8A8A4" w14:textId="77777777" w:rsidTr="00D316C7">
        <w:trPr>
          <w:cantSplit/>
        </w:trPr>
        <w:tc>
          <w:tcPr>
            <w:tcW w:w="7651" w:type="dxa"/>
            <w:shd w:val="clear" w:color="auto" w:fill="auto"/>
          </w:tcPr>
          <w:p w14:paraId="110A6241" w14:textId="77777777" w:rsidR="009033A7" w:rsidRPr="00380B40" w:rsidRDefault="009033A7" w:rsidP="00892720">
            <w:pPr>
              <w:pStyle w:val="Tabletext"/>
              <w:rPr>
                <w:lang w:val="en-GB"/>
              </w:rPr>
            </w:pPr>
            <w:r w:rsidRPr="00380B40">
              <w:rPr>
                <w:lang w:val="en-GB"/>
              </w:rPr>
              <w:t xml:space="preserve">Resolution 32 </w:t>
            </w:r>
            <w:r w:rsidR="00EE0741" w:rsidRPr="00380B40">
              <w:rPr>
                <w:lang w:val="en-GB"/>
              </w:rPr>
              <w:t>–</w:t>
            </w:r>
            <w:r w:rsidRPr="00380B40">
              <w:rPr>
                <w:lang w:val="en-GB"/>
              </w:rPr>
              <w:t xml:space="preserve"> Strengthening electronic working methods for the work of ITU-T</w:t>
            </w:r>
          </w:p>
        </w:tc>
        <w:tc>
          <w:tcPr>
            <w:tcW w:w="2551" w:type="dxa"/>
            <w:shd w:val="clear" w:color="auto" w:fill="auto"/>
          </w:tcPr>
          <w:p w14:paraId="56681A60" w14:textId="77777777" w:rsidR="009033A7" w:rsidRPr="00380B40" w:rsidRDefault="009033A7" w:rsidP="00EE0741">
            <w:pPr>
              <w:pStyle w:val="Tabletext"/>
              <w:jc w:val="center"/>
              <w:rPr>
                <w:lang w:val="en-GB"/>
              </w:rPr>
            </w:pPr>
            <w:r w:rsidRPr="00380B40">
              <w:rPr>
                <w:lang w:val="en-GB"/>
              </w:rPr>
              <w:t>Remains unchanged</w:t>
            </w:r>
          </w:p>
        </w:tc>
      </w:tr>
      <w:tr w:rsidR="009033A7" w:rsidRPr="00380B40" w14:paraId="664A1C9E" w14:textId="77777777" w:rsidTr="00D316C7">
        <w:trPr>
          <w:cantSplit/>
        </w:trPr>
        <w:tc>
          <w:tcPr>
            <w:tcW w:w="7651" w:type="dxa"/>
            <w:shd w:val="clear" w:color="auto" w:fill="auto"/>
          </w:tcPr>
          <w:p w14:paraId="16FA9EA1" w14:textId="77777777" w:rsidR="009033A7" w:rsidRPr="00380B40" w:rsidRDefault="009033A7" w:rsidP="00892720">
            <w:pPr>
              <w:pStyle w:val="Tabletext"/>
              <w:rPr>
                <w:bCs/>
                <w:lang w:val="en-GB"/>
              </w:rPr>
            </w:pPr>
            <w:r w:rsidRPr="00380B40">
              <w:rPr>
                <w:bCs/>
                <w:lang w:val="en-GB"/>
              </w:rPr>
              <w:t xml:space="preserve">Resolution 34 </w:t>
            </w:r>
            <w:r w:rsidR="00EE0741" w:rsidRPr="00380B40">
              <w:rPr>
                <w:lang w:val="en-GB"/>
              </w:rPr>
              <w:t>–</w:t>
            </w:r>
            <w:r w:rsidRPr="00380B40">
              <w:rPr>
                <w:bCs/>
                <w:lang w:val="en-GB"/>
              </w:rPr>
              <w:t xml:space="preserve"> Voluntary contributions</w:t>
            </w:r>
          </w:p>
        </w:tc>
        <w:tc>
          <w:tcPr>
            <w:tcW w:w="2551" w:type="dxa"/>
            <w:shd w:val="clear" w:color="auto" w:fill="auto"/>
          </w:tcPr>
          <w:p w14:paraId="27A4547E" w14:textId="77777777" w:rsidR="009033A7" w:rsidRPr="00380B40" w:rsidRDefault="006A0076" w:rsidP="00EE0741">
            <w:pPr>
              <w:pStyle w:val="Tabletext"/>
              <w:jc w:val="center"/>
              <w:rPr>
                <w:rStyle w:val="Hyperlinkbolditalic"/>
              </w:rPr>
            </w:pPr>
            <w:hyperlink r:id="rId800" w:history="1">
              <w:hyperlink r:id="rId801" w:history="1">
                <w:r w:rsidR="009033A7" w:rsidRPr="00380B40">
                  <w:rPr>
                    <w:rStyle w:val="Hyperlinkbolditalic"/>
                  </w:rPr>
                  <w:t>56</w:t>
                </w:r>
              </w:hyperlink>
            </w:hyperlink>
          </w:p>
        </w:tc>
      </w:tr>
      <w:tr w:rsidR="009033A7" w:rsidRPr="00380B40" w14:paraId="1D83D2FA" w14:textId="77777777" w:rsidTr="00D316C7">
        <w:trPr>
          <w:cantSplit/>
        </w:trPr>
        <w:tc>
          <w:tcPr>
            <w:tcW w:w="7651" w:type="dxa"/>
            <w:shd w:val="clear" w:color="auto" w:fill="auto"/>
          </w:tcPr>
          <w:p w14:paraId="4438D81A" w14:textId="77777777" w:rsidR="009033A7" w:rsidRPr="00380B40" w:rsidRDefault="009033A7" w:rsidP="00892720">
            <w:pPr>
              <w:pStyle w:val="Tabletext"/>
              <w:rPr>
                <w:bCs/>
                <w:lang w:val="en-GB"/>
              </w:rPr>
            </w:pPr>
            <w:r w:rsidRPr="00380B40">
              <w:rPr>
                <w:bCs/>
                <w:lang w:val="en-GB"/>
              </w:rPr>
              <w:t xml:space="preserve">Resolution 45 </w:t>
            </w:r>
            <w:r w:rsidR="00EE0741" w:rsidRPr="00380B40">
              <w:rPr>
                <w:lang w:val="en-GB"/>
              </w:rPr>
              <w:t>–</w:t>
            </w:r>
            <w:r w:rsidRPr="00380B40">
              <w:rPr>
                <w:bCs/>
                <w:lang w:val="en-GB"/>
              </w:rPr>
              <w:t xml:space="preserve"> Effective coordination of standardization work across study groups in ITU-T and the role of TSAG</w:t>
            </w:r>
          </w:p>
        </w:tc>
        <w:tc>
          <w:tcPr>
            <w:tcW w:w="2551" w:type="dxa"/>
            <w:shd w:val="clear" w:color="auto" w:fill="auto"/>
          </w:tcPr>
          <w:p w14:paraId="53C73D34" w14:textId="77777777" w:rsidR="009033A7" w:rsidRPr="00380B40" w:rsidRDefault="009033A7" w:rsidP="00EE0741">
            <w:pPr>
              <w:pStyle w:val="Tabletext"/>
              <w:jc w:val="center"/>
              <w:rPr>
                <w:bCs/>
                <w:lang w:val="en-GB"/>
              </w:rPr>
            </w:pPr>
            <w:r w:rsidRPr="00380B40">
              <w:rPr>
                <w:lang w:val="en-GB"/>
              </w:rPr>
              <w:t>Suppressed</w:t>
            </w:r>
          </w:p>
        </w:tc>
      </w:tr>
      <w:tr w:rsidR="009033A7" w:rsidRPr="00380B40" w14:paraId="1E794673" w14:textId="77777777" w:rsidTr="00D316C7">
        <w:trPr>
          <w:cantSplit/>
        </w:trPr>
        <w:tc>
          <w:tcPr>
            <w:tcW w:w="7651" w:type="dxa"/>
            <w:shd w:val="clear" w:color="auto" w:fill="auto"/>
          </w:tcPr>
          <w:p w14:paraId="6541878D" w14:textId="77777777" w:rsidR="009033A7" w:rsidRPr="00380B40" w:rsidRDefault="009033A7" w:rsidP="00892720">
            <w:pPr>
              <w:pStyle w:val="Tabletext"/>
              <w:rPr>
                <w:lang w:val="en-GB"/>
              </w:rPr>
            </w:pPr>
            <w:r w:rsidRPr="00380B40">
              <w:rPr>
                <w:lang w:val="en-GB"/>
              </w:rPr>
              <w:t xml:space="preserve">Resolution 55 </w:t>
            </w:r>
            <w:r w:rsidR="00EE0741" w:rsidRPr="00380B40">
              <w:rPr>
                <w:lang w:val="en-GB"/>
              </w:rPr>
              <w:t>–</w:t>
            </w:r>
            <w:r w:rsidRPr="00380B40">
              <w:rPr>
                <w:lang w:val="en-GB"/>
              </w:rPr>
              <w:t xml:space="preserve"> Promoting gender equality in ITU Telecommunication Standardization Sector activities</w:t>
            </w:r>
          </w:p>
        </w:tc>
        <w:tc>
          <w:tcPr>
            <w:tcW w:w="2551" w:type="dxa"/>
            <w:shd w:val="clear" w:color="auto" w:fill="auto"/>
          </w:tcPr>
          <w:p w14:paraId="1DFA180C" w14:textId="77777777" w:rsidR="009033A7" w:rsidRPr="00380B40" w:rsidRDefault="006A0076" w:rsidP="00EE0741">
            <w:pPr>
              <w:pStyle w:val="Tabletext"/>
              <w:jc w:val="center"/>
              <w:rPr>
                <w:rStyle w:val="Hyperlinkbolditalic"/>
              </w:rPr>
            </w:pPr>
            <w:hyperlink r:id="rId802" w:history="1">
              <w:r w:rsidR="009033A7" w:rsidRPr="00380B40">
                <w:rPr>
                  <w:rStyle w:val="Hyperlinkbolditalic"/>
                </w:rPr>
                <w:t>85</w:t>
              </w:r>
            </w:hyperlink>
          </w:p>
        </w:tc>
      </w:tr>
      <w:tr w:rsidR="009033A7" w:rsidRPr="00380B40" w14:paraId="32AD9A52" w14:textId="77777777" w:rsidTr="00D316C7">
        <w:trPr>
          <w:cantSplit/>
        </w:trPr>
        <w:tc>
          <w:tcPr>
            <w:tcW w:w="7651" w:type="dxa"/>
            <w:shd w:val="clear" w:color="auto" w:fill="auto"/>
          </w:tcPr>
          <w:p w14:paraId="2D906532" w14:textId="77777777" w:rsidR="009033A7" w:rsidRPr="00380B40" w:rsidRDefault="009033A7" w:rsidP="00892720">
            <w:pPr>
              <w:pStyle w:val="Tabletext"/>
              <w:rPr>
                <w:lang w:val="en-GB"/>
              </w:rPr>
            </w:pPr>
            <w:r w:rsidRPr="00380B40">
              <w:rPr>
                <w:lang w:val="en-GB"/>
              </w:rPr>
              <w:t xml:space="preserve">Resolution 66 </w:t>
            </w:r>
            <w:r w:rsidR="00EE0741" w:rsidRPr="00380B40">
              <w:rPr>
                <w:lang w:val="en-GB"/>
              </w:rPr>
              <w:t>–</w:t>
            </w:r>
            <w:r w:rsidRPr="00380B40">
              <w:rPr>
                <w:lang w:val="en-GB"/>
              </w:rPr>
              <w:t xml:space="preserve"> Technology Watch in the Telecommunication Standardization Bureau</w:t>
            </w:r>
          </w:p>
        </w:tc>
        <w:tc>
          <w:tcPr>
            <w:tcW w:w="2551" w:type="dxa"/>
            <w:shd w:val="clear" w:color="auto" w:fill="auto"/>
          </w:tcPr>
          <w:p w14:paraId="17870A94" w14:textId="77777777" w:rsidR="009033A7" w:rsidRPr="00380B40" w:rsidRDefault="009033A7" w:rsidP="00EE0741">
            <w:pPr>
              <w:pStyle w:val="Tabletext"/>
              <w:jc w:val="center"/>
              <w:rPr>
                <w:lang w:val="en-GB"/>
              </w:rPr>
            </w:pPr>
            <w:r w:rsidRPr="00380B40">
              <w:rPr>
                <w:lang w:val="en-GB"/>
              </w:rPr>
              <w:t>Suppressed</w:t>
            </w:r>
          </w:p>
        </w:tc>
      </w:tr>
      <w:tr w:rsidR="009033A7" w:rsidRPr="00380B40" w14:paraId="6E03BA43" w14:textId="77777777" w:rsidTr="00D316C7">
        <w:trPr>
          <w:cantSplit/>
        </w:trPr>
        <w:tc>
          <w:tcPr>
            <w:tcW w:w="7651" w:type="dxa"/>
            <w:shd w:val="clear" w:color="auto" w:fill="auto"/>
          </w:tcPr>
          <w:p w14:paraId="49060B5D" w14:textId="77777777" w:rsidR="009033A7" w:rsidRPr="00380B40" w:rsidRDefault="009033A7" w:rsidP="00892720">
            <w:pPr>
              <w:pStyle w:val="Tabletext"/>
              <w:rPr>
                <w:bCs/>
                <w:lang w:val="en-GB"/>
              </w:rPr>
            </w:pPr>
            <w:r w:rsidRPr="00380B40">
              <w:rPr>
                <w:bCs/>
                <w:lang w:val="en-GB"/>
              </w:rPr>
              <w:t xml:space="preserve">Resolution 67 </w:t>
            </w:r>
            <w:r w:rsidR="00EE0741" w:rsidRPr="00380B40">
              <w:rPr>
                <w:lang w:val="en-GB"/>
              </w:rPr>
              <w:t>–</w:t>
            </w:r>
            <w:r w:rsidRPr="00380B40">
              <w:rPr>
                <w:bCs/>
                <w:lang w:val="en-GB"/>
              </w:rPr>
              <w:t xml:space="preserve"> Use in the ITU Telecommunication Standardization Sector of the languages of the Union on an equal footing</w:t>
            </w:r>
          </w:p>
        </w:tc>
        <w:tc>
          <w:tcPr>
            <w:tcW w:w="2551" w:type="dxa"/>
            <w:shd w:val="clear" w:color="auto" w:fill="auto"/>
          </w:tcPr>
          <w:p w14:paraId="07EEC4E2" w14:textId="77777777" w:rsidR="009033A7" w:rsidRPr="00380B40" w:rsidRDefault="006A0076" w:rsidP="00EE0741">
            <w:pPr>
              <w:pStyle w:val="Tabletext"/>
              <w:jc w:val="center"/>
              <w:rPr>
                <w:rStyle w:val="Hyperlinkbolditalic"/>
              </w:rPr>
            </w:pPr>
            <w:hyperlink r:id="rId803" w:history="1">
              <w:r w:rsidR="009033A7" w:rsidRPr="00380B40">
                <w:rPr>
                  <w:rStyle w:val="Hyperlinkbolditalic"/>
                </w:rPr>
                <w:t>85</w:t>
              </w:r>
            </w:hyperlink>
          </w:p>
        </w:tc>
      </w:tr>
      <w:tr w:rsidR="009033A7" w:rsidRPr="00380B40" w14:paraId="459748BE" w14:textId="77777777" w:rsidTr="00D316C7">
        <w:trPr>
          <w:cantSplit/>
        </w:trPr>
        <w:tc>
          <w:tcPr>
            <w:tcW w:w="7651" w:type="dxa"/>
            <w:shd w:val="clear" w:color="auto" w:fill="auto"/>
          </w:tcPr>
          <w:p w14:paraId="200D83F8" w14:textId="77777777" w:rsidR="009033A7" w:rsidRPr="00380B40" w:rsidRDefault="009033A7" w:rsidP="00892720">
            <w:pPr>
              <w:pStyle w:val="Tabletext"/>
              <w:rPr>
                <w:bCs/>
                <w:lang w:val="en-GB"/>
              </w:rPr>
            </w:pPr>
            <w:r w:rsidRPr="00380B40">
              <w:rPr>
                <w:bCs/>
                <w:lang w:val="en-GB"/>
              </w:rPr>
              <w:t xml:space="preserve">Resolution 70 </w:t>
            </w:r>
            <w:r w:rsidR="00EE0741" w:rsidRPr="00380B40">
              <w:rPr>
                <w:lang w:val="en-GB"/>
              </w:rPr>
              <w:t>–</w:t>
            </w:r>
            <w:r w:rsidRPr="00380B40">
              <w:rPr>
                <w:bCs/>
                <w:lang w:val="en-GB"/>
              </w:rPr>
              <w:t xml:space="preserve"> Telecommunication/information and communication technology accessibility for persons with disabilities and persons with specific needs</w:t>
            </w:r>
          </w:p>
        </w:tc>
        <w:tc>
          <w:tcPr>
            <w:tcW w:w="2551" w:type="dxa"/>
            <w:shd w:val="clear" w:color="auto" w:fill="auto"/>
          </w:tcPr>
          <w:p w14:paraId="418C7CA9" w14:textId="77777777" w:rsidR="009033A7" w:rsidRPr="00380B40" w:rsidRDefault="006A0076" w:rsidP="00EE0741">
            <w:pPr>
              <w:pStyle w:val="Tabletext"/>
              <w:jc w:val="center"/>
              <w:rPr>
                <w:rStyle w:val="Hyperlinkbolditalic"/>
              </w:rPr>
            </w:pPr>
            <w:hyperlink r:id="rId804" w:history="1">
              <w:r w:rsidR="009033A7" w:rsidRPr="00380B40">
                <w:rPr>
                  <w:rStyle w:val="Hyperlinkbolditalic"/>
                </w:rPr>
                <w:t>92</w:t>
              </w:r>
            </w:hyperlink>
          </w:p>
        </w:tc>
      </w:tr>
      <w:tr w:rsidR="009033A7" w:rsidRPr="00380B40" w14:paraId="7E0113BE" w14:textId="77777777" w:rsidTr="00D316C7">
        <w:trPr>
          <w:cantSplit/>
        </w:trPr>
        <w:tc>
          <w:tcPr>
            <w:tcW w:w="7651" w:type="dxa"/>
            <w:shd w:val="clear" w:color="auto" w:fill="auto"/>
          </w:tcPr>
          <w:p w14:paraId="57CE89B2" w14:textId="77777777" w:rsidR="009033A7" w:rsidRPr="00380B40" w:rsidRDefault="009033A7" w:rsidP="00892720">
            <w:pPr>
              <w:pStyle w:val="Tabletext"/>
              <w:rPr>
                <w:bCs/>
                <w:lang w:val="en-GB"/>
              </w:rPr>
            </w:pPr>
            <w:r w:rsidRPr="00380B40">
              <w:rPr>
                <w:bCs/>
                <w:lang w:val="en-GB"/>
              </w:rPr>
              <w:t>New Resolution [ECP-3]</w:t>
            </w:r>
            <w:r w:rsidR="00EE0741" w:rsidRPr="00380B40">
              <w:rPr>
                <w:bCs/>
                <w:lang w:val="en-GB"/>
              </w:rPr>
              <w:t xml:space="preserve"> </w:t>
            </w:r>
            <w:r w:rsidR="00EE0741" w:rsidRPr="00380B40">
              <w:rPr>
                <w:lang w:val="en-GB"/>
              </w:rPr>
              <w:t xml:space="preserve">– </w:t>
            </w:r>
            <w:r w:rsidRPr="00380B40">
              <w:rPr>
                <w:bCs/>
                <w:lang w:val="en-GB"/>
              </w:rPr>
              <w:t>Development of standards that are machine applicable, readable and transferable (SMART) in the ITU Telecommunication Standardization Sector</w:t>
            </w:r>
          </w:p>
        </w:tc>
        <w:tc>
          <w:tcPr>
            <w:tcW w:w="2551" w:type="dxa"/>
            <w:shd w:val="clear" w:color="auto" w:fill="auto"/>
          </w:tcPr>
          <w:p w14:paraId="2985685A" w14:textId="77777777" w:rsidR="009033A7" w:rsidRPr="00380B40" w:rsidRDefault="009033A7" w:rsidP="00EE0741">
            <w:pPr>
              <w:pStyle w:val="Tabletext"/>
              <w:jc w:val="center"/>
              <w:rPr>
                <w:lang w:val="en-GB"/>
              </w:rPr>
            </w:pPr>
            <w:r w:rsidRPr="00380B40">
              <w:rPr>
                <w:lang w:val="en-GB"/>
              </w:rPr>
              <w:t>no need</w:t>
            </w:r>
          </w:p>
        </w:tc>
      </w:tr>
      <w:tr w:rsidR="009033A7" w:rsidRPr="00380B40" w14:paraId="68117ED1" w14:textId="77777777" w:rsidTr="00D316C7">
        <w:trPr>
          <w:cantSplit/>
        </w:trPr>
        <w:tc>
          <w:tcPr>
            <w:tcW w:w="7651" w:type="dxa"/>
            <w:shd w:val="clear" w:color="auto" w:fill="auto"/>
          </w:tcPr>
          <w:p w14:paraId="0A5F5211" w14:textId="77777777" w:rsidR="009033A7" w:rsidRPr="00380B40" w:rsidRDefault="009033A7" w:rsidP="00892720">
            <w:pPr>
              <w:pStyle w:val="Tabletext"/>
              <w:rPr>
                <w:bCs/>
                <w:lang w:val="en-GB"/>
              </w:rPr>
            </w:pPr>
            <w:r w:rsidRPr="00380B40">
              <w:rPr>
                <w:bCs/>
                <w:lang w:val="en-GB"/>
              </w:rPr>
              <w:t xml:space="preserve">New Resolutions [ECP-1] [IAP-2] </w:t>
            </w:r>
            <w:r w:rsidR="00EE0741" w:rsidRPr="00380B40">
              <w:rPr>
                <w:lang w:val="en-GB"/>
              </w:rPr>
              <w:t xml:space="preserve">– </w:t>
            </w:r>
            <w:r w:rsidRPr="00380B40">
              <w:rPr>
                <w:bCs/>
                <w:lang w:val="en-GB"/>
              </w:rPr>
              <w:t>Proposed new WTSA Resolution on the importance of industry engagement in the work of ITU-T</w:t>
            </w:r>
          </w:p>
        </w:tc>
        <w:tc>
          <w:tcPr>
            <w:tcW w:w="2551" w:type="dxa"/>
            <w:shd w:val="clear" w:color="auto" w:fill="auto"/>
          </w:tcPr>
          <w:p w14:paraId="05DC1B57" w14:textId="77777777" w:rsidR="009033A7" w:rsidRPr="00380B40" w:rsidRDefault="009033A7" w:rsidP="00EE0741">
            <w:pPr>
              <w:pStyle w:val="Tabletext"/>
              <w:jc w:val="center"/>
              <w:rPr>
                <w:lang w:val="en-GB"/>
              </w:rPr>
            </w:pPr>
            <w:r w:rsidRPr="00380B40">
              <w:rPr>
                <w:lang w:val="en-GB"/>
              </w:rPr>
              <w:t>Integrated in revised</w:t>
            </w:r>
            <w:r w:rsidRPr="00380B40">
              <w:rPr>
                <w:lang w:val="en-GB"/>
              </w:rPr>
              <w:br/>
              <w:t>Resolution 68</w:t>
            </w:r>
          </w:p>
        </w:tc>
      </w:tr>
      <w:tr w:rsidR="009033A7" w:rsidRPr="00380B40" w14:paraId="3D80EC20" w14:textId="77777777" w:rsidTr="00D316C7">
        <w:tc>
          <w:tcPr>
            <w:tcW w:w="7651" w:type="dxa"/>
            <w:shd w:val="clear" w:color="auto" w:fill="auto"/>
          </w:tcPr>
          <w:p w14:paraId="023B0A32" w14:textId="77777777" w:rsidR="009033A7" w:rsidRPr="00380B40" w:rsidRDefault="009033A7" w:rsidP="00892720">
            <w:pPr>
              <w:pStyle w:val="Tabletext"/>
              <w:rPr>
                <w:bCs/>
                <w:lang w:val="en-GB"/>
              </w:rPr>
            </w:pPr>
            <w:r w:rsidRPr="00380B40">
              <w:rPr>
                <w:bCs/>
                <w:lang w:val="en-GB"/>
              </w:rPr>
              <w:t>New Resolution [IAP-3]</w:t>
            </w:r>
            <w:r w:rsidR="00EE0741" w:rsidRPr="00380B40">
              <w:rPr>
                <w:bCs/>
                <w:lang w:val="en-GB"/>
              </w:rPr>
              <w:t xml:space="preserve"> </w:t>
            </w:r>
            <w:r w:rsidR="00EE0741" w:rsidRPr="00380B40">
              <w:rPr>
                <w:lang w:val="en-GB"/>
              </w:rPr>
              <w:t xml:space="preserve">– </w:t>
            </w:r>
            <w:r w:rsidRPr="00380B40">
              <w:rPr>
                <w:bCs/>
                <w:lang w:val="en-GB"/>
              </w:rPr>
              <w:t>Use of in-person and virtual options on an equal footing in the activities of the ITU Telecommunication Standardization Sector</w:t>
            </w:r>
          </w:p>
        </w:tc>
        <w:tc>
          <w:tcPr>
            <w:tcW w:w="2551" w:type="dxa"/>
            <w:shd w:val="clear" w:color="auto" w:fill="auto"/>
          </w:tcPr>
          <w:p w14:paraId="2E02D3B7" w14:textId="77777777" w:rsidR="009033A7" w:rsidRPr="00380B40" w:rsidRDefault="009033A7" w:rsidP="00EE0741">
            <w:pPr>
              <w:pStyle w:val="Tabletext"/>
              <w:jc w:val="center"/>
              <w:rPr>
                <w:lang w:val="en-GB"/>
              </w:rPr>
            </w:pPr>
            <w:r w:rsidRPr="00380B40">
              <w:rPr>
                <w:lang w:val="en-GB"/>
              </w:rPr>
              <w:t>See report of plenary</w:t>
            </w:r>
          </w:p>
        </w:tc>
      </w:tr>
    </w:tbl>
    <w:p w14:paraId="15EF4D89" w14:textId="77777777" w:rsidR="009033A7" w:rsidRPr="00380B40" w:rsidRDefault="009033A7" w:rsidP="009033A7">
      <w:pPr>
        <w:tabs>
          <w:tab w:val="clear" w:pos="794"/>
          <w:tab w:val="clear" w:pos="1191"/>
          <w:tab w:val="clear" w:pos="1588"/>
          <w:tab w:val="clear" w:pos="1985"/>
          <w:tab w:val="left" w:pos="1134"/>
          <w:tab w:val="left" w:pos="1871"/>
          <w:tab w:val="left" w:pos="2608"/>
          <w:tab w:val="left" w:pos="3345"/>
        </w:tabs>
        <w:spacing w:before="80"/>
        <w:jc w:val="center"/>
        <w:rPr>
          <w:lang w:val="en-GB"/>
        </w:rPr>
      </w:pPr>
    </w:p>
    <w:p w14:paraId="187E464E" w14:textId="77777777" w:rsidR="00EE0741" w:rsidRPr="00380B40" w:rsidRDefault="00EE0741" w:rsidP="009033A7">
      <w:pPr>
        <w:tabs>
          <w:tab w:val="clear" w:pos="794"/>
          <w:tab w:val="clear" w:pos="1191"/>
          <w:tab w:val="clear" w:pos="1588"/>
          <w:tab w:val="clear" w:pos="1985"/>
          <w:tab w:val="left" w:pos="1134"/>
          <w:tab w:val="left" w:pos="1871"/>
          <w:tab w:val="left" w:pos="2608"/>
          <w:tab w:val="left" w:pos="3345"/>
        </w:tabs>
        <w:spacing w:before="80"/>
        <w:jc w:val="center"/>
        <w:rPr>
          <w:lang w:val="en-GB"/>
        </w:rPr>
      </w:pPr>
    </w:p>
    <w:p w14:paraId="3F5BE764" w14:textId="77777777" w:rsidR="003E72C4" w:rsidRPr="00380B40" w:rsidRDefault="003E72C4" w:rsidP="009033A7">
      <w:pPr>
        <w:tabs>
          <w:tab w:val="clear" w:pos="794"/>
          <w:tab w:val="clear" w:pos="1191"/>
          <w:tab w:val="clear" w:pos="1588"/>
          <w:tab w:val="clear" w:pos="1985"/>
          <w:tab w:val="left" w:pos="1134"/>
          <w:tab w:val="left" w:pos="1871"/>
          <w:tab w:val="left" w:pos="2608"/>
          <w:tab w:val="left" w:pos="3345"/>
        </w:tabs>
        <w:spacing w:before="80"/>
        <w:jc w:val="center"/>
        <w:rPr>
          <w:lang w:val="en-GB"/>
        </w:rPr>
      </w:pPr>
    </w:p>
    <w:p w14:paraId="43C8C4FD" w14:textId="77777777" w:rsidR="003E72C4" w:rsidRPr="00380B40" w:rsidRDefault="003E72C4" w:rsidP="009033A7">
      <w:pPr>
        <w:tabs>
          <w:tab w:val="clear" w:pos="794"/>
          <w:tab w:val="clear" w:pos="1191"/>
          <w:tab w:val="clear" w:pos="1588"/>
          <w:tab w:val="clear" w:pos="1985"/>
          <w:tab w:val="left" w:pos="1134"/>
          <w:tab w:val="left" w:pos="1871"/>
          <w:tab w:val="left" w:pos="2608"/>
          <w:tab w:val="left" w:pos="3345"/>
        </w:tabs>
        <w:spacing w:before="80"/>
        <w:jc w:val="center"/>
        <w:rPr>
          <w:lang w:val="en-GB"/>
        </w:rPr>
      </w:pPr>
    </w:p>
    <w:p w14:paraId="0839F9B3" w14:textId="77777777" w:rsidR="00EE0741" w:rsidRPr="00380B40" w:rsidRDefault="00EE0741" w:rsidP="009033A7">
      <w:pPr>
        <w:tabs>
          <w:tab w:val="clear" w:pos="794"/>
          <w:tab w:val="clear" w:pos="1191"/>
          <w:tab w:val="clear" w:pos="1588"/>
          <w:tab w:val="clear" w:pos="1985"/>
          <w:tab w:val="left" w:pos="1134"/>
          <w:tab w:val="left" w:pos="1871"/>
          <w:tab w:val="left" w:pos="2608"/>
          <w:tab w:val="left" w:pos="3345"/>
        </w:tabs>
        <w:spacing w:before="80"/>
        <w:jc w:val="center"/>
        <w:rPr>
          <w:lang w:val="en-GB"/>
        </w:rPr>
      </w:pPr>
    </w:p>
    <w:p w14:paraId="332D0F0F" w14:textId="77777777" w:rsidR="00EE0741" w:rsidRPr="00380B40" w:rsidRDefault="00EE0741" w:rsidP="009033A7">
      <w:pPr>
        <w:tabs>
          <w:tab w:val="clear" w:pos="794"/>
          <w:tab w:val="clear" w:pos="1191"/>
          <w:tab w:val="clear" w:pos="1588"/>
          <w:tab w:val="clear" w:pos="1985"/>
          <w:tab w:val="left" w:pos="1134"/>
          <w:tab w:val="left" w:pos="1871"/>
          <w:tab w:val="left" w:pos="2608"/>
          <w:tab w:val="left" w:pos="3345"/>
        </w:tabs>
        <w:spacing w:before="80"/>
        <w:jc w:val="center"/>
        <w:rPr>
          <w:lang w:val="en-GB"/>
        </w:rPr>
      </w:pPr>
      <w:r w:rsidRPr="00380B40">
        <w:rPr>
          <w:lang w:val="en-GB"/>
        </w:rPr>
        <w:br w:type="page"/>
      </w:r>
    </w:p>
    <w:tbl>
      <w:tblPr>
        <w:tblStyle w:val="TableGrid"/>
        <w:tblW w:w="5000" w:type="pct"/>
        <w:tblLook w:val="04A0" w:firstRow="1" w:lastRow="0" w:firstColumn="1" w:lastColumn="0" w:noHBand="0" w:noVBand="1"/>
      </w:tblPr>
      <w:tblGrid>
        <w:gridCol w:w="7230"/>
        <w:gridCol w:w="2398"/>
      </w:tblGrid>
      <w:tr w:rsidR="009033A7" w:rsidRPr="00380B40" w14:paraId="2EABB20B" w14:textId="77777777" w:rsidTr="00DE1739">
        <w:trPr>
          <w:cantSplit/>
          <w:tblHeader/>
        </w:trPr>
        <w:tc>
          <w:tcPr>
            <w:tcW w:w="7230" w:type="dxa"/>
            <w:shd w:val="clear" w:color="auto" w:fill="auto"/>
          </w:tcPr>
          <w:p w14:paraId="62A793C7" w14:textId="77777777" w:rsidR="009033A7" w:rsidRPr="00380B40" w:rsidRDefault="009033A7" w:rsidP="00427615">
            <w:pPr>
              <w:pStyle w:val="Tableheadwhitecentred"/>
            </w:pPr>
            <w:r w:rsidRPr="00380B40">
              <w:t>Resolutions with square brackets</w:t>
            </w:r>
          </w:p>
        </w:tc>
        <w:tc>
          <w:tcPr>
            <w:tcW w:w="2398" w:type="dxa"/>
            <w:shd w:val="clear" w:color="auto" w:fill="auto"/>
          </w:tcPr>
          <w:p w14:paraId="51DD379F" w14:textId="77777777" w:rsidR="009033A7" w:rsidRPr="00380B40" w:rsidRDefault="009033A7" w:rsidP="00427615">
            <w:pPr>
              <w:pStyle w:val="Tableheadwhitecentred"/>
            </w:pPr>
            <w:r w:rsidRPr="00380B40">
              <w:t>Document</w:t>
            </w:r>
          </w:p>
        </w:tc>
      </w:tr>
      <w:tr w:rsidR="009033A7" w:rsidRPr="00380B40" w14:paraId="29BD5029" w14:textId="77777777" w:rsidTr="00DE1739">
        <w:tc>
          <w:tcPr>
            <w:tcW w:w="7230" w:type="dxa"/>
            <w:shd w:val="clear" w:color="auto" w:fill="auto"/>
          </w:tcPr>
          <w:p w14:paraId="0BDA1D53" w14:textId="77777777" w:rsidR="009033A7" w:rsidRPr="00380B40" w:rsidRDefault="009033A7" w:rsidP="00EE0741">
            <w:pPr>
              <w:pStyle w:val="Tabletext"/>
              <w:rPr>
                <w:bCs/>
                <w:lang w:val="en-GB"/>
              </w:rPr>
            </w:pPr>
            <w:r w:rsidRPr="00380B40">
              <w:rPr>
                <w:bCs/>
                <w:lang w:val="en-GB"/>
              </w:rPr>
              <w:t>Resolution 68 - Evolving role of industry in ITU-T</w:t>
            </w:r>
          </w:p>
        </w:tc>
        <w:tc>
          <w:tcPr>
            <w:tcW w:w="2398" w:type="dxa"/>
            <w:shd w:val="clear" w:color="auto" w:fill="auto"/>
          </w:tcPr>
          <w:p w14:paraId="49A3BE03" w14:textId="77777777" w:rsidR="009033A7" w:rsidRPr="00380B40" w:rsidRDefault="006A0076" w:rsidP="00EE0741">
            <w:pPr>
              <w:pStyle w:val="Tabletext"/>
              <w:jc w:val="center"/>
              <w:rPr>
                <w:rStyle w:val="Hyperlinkbolditalic"/>
              </w:rPr>
            </w:pPr>
            <w:hyperlink r:id="rId805" w:history="1">
              <w:r w:rsidR="009033A7" w:rsidRPr="00380B40">
                <w:rPr>
                  <w:rStyle w:val="Hyperlinkbolditalic"/>
                </w:rPr>
                <w:t>99</w:t>
              </w:r>
            </w:hyperlink>
          </w:p>
        </w:tc>
      </w:tr>
    </w:tbl>
    <w:p w14:paraId="5EB8EAEB" w14:textId="77777777" w:rsidR="009033A7" w:rsidRPr="00380B40" w:rsidRDefault="009033A7" w:rsidP="009033A7">
      <w:pPr>
        <w:tabs>
          <w:tab w:val="clear" w:pos="794"/>
          <w:tab w:val="clear" w:pos="1191"/>
          <w:tab w:val="clear" w:pos="1588"/>
          <w:tab w:val="clear" w:pos="1985"/>
          <w:tab w:val="left" w:pos="1134"/>
          <w:tab w:val="left" w:pos="1871"/>
          <w:tab w:val="left" w:pos="2608"/>
          <w:tab w:val="left" w:pos="3345"/>
        </w:tabs>
        <w:spacing w:before="80"/>
        <w:jc w:val="center"/>
        <w:rPr>
          <w:lang w:val="en-GB"/>
        </w:rPr>
      </w:pPr>
    </w:p>
    <w:p w14:paraId="771911C9" w14:textId="77777777" w:rsidR="009033A7" w:rsidRPr="00380B40" w:rsidRDefault="009033A7" w:rsidP="009033A7">
      <w:pPr>
        <w:tabs>
          <w:tab w:val="clear" w:pos="794"/>
          <w:tab w:val="clear" w:pos="1191"/>
          <w:tab w:val="clear" w:pos="1588"/>
          <w:tab w:val="clear" w:pos="1985"/>
          <w:tab w:val="left" w:pos="1134"/>
          <w:tab w:val="left" w:pos="1871"/>
          <w:tab w:val="left" w:pos="2608"/>
          <w:tab w:val="left" w:pos="3345"/>
        </w:tabs>
        <w:spacing w:before="80"/>
        <w:jc w:val="center"/>
        <w:rPr>
          <w:lang w:val="en-GB"/>
        </w:rPr>
      </w:pPr>
    </w:p>
    <w:tbl>
      <w:tblPr>
        <w:tblStyle w:val="TableGrid"/>
        <w:tblW w:w="5000" w:type="pct"/>
        <w:tblLayout w:type="fixed"/>
        <w:tblLook w:val="04A0" w:firstRow="1" w:lastRow="0" w:firstColumn="1" w:lastColumn="0" w:noHBand="0" w:noVBand="1"/>
      </w:tblPr>
      <w:tblGrid>
        <w:gridCol w:w="7213"/>
        <w:gridCol w:w="2415"/>
      </w:tblGrid>
      <w:tr w:rsidR="009033A7" w:rsidRPr="00380B40" w14:paraId="5F87B7AC" w14:textId="77777777" w:rsidTr="00D316C7">
        <w:trPr>
          <w:tblHeader/>
        </w:trPr>
        <w:tc>
          <w:tcPr>
            <w:tcW w:w="7213" w:type="dxa"/>
            <w:shd w:val="clear" w:color="auto" w:fill="auto"/>
            <w:hideMark/>
          </w:tcPr>
          <w:p w14:paraId="17CC32C0" w14:textId="77777777" w:rsidR="009033A7" w:rsidRPr="00380B40" w:rsidRDefault="009033A7" w:rsidP="00427615">
            <w:pPr>
              <w:pStyle w:val="Tableheadwhitecentred"/>
            </w:pPr>
            <w:r w:rsidRPr="00380B40">
              <w:t>A-series Recommendations</w:t>
            </w:r>
          </w:p>
        </w:tc>
        <w:tc>
          <w:tcPr>
            <w:tcW w:w="2415" w:type="dxa"/>
            <w:shd w:val="clear" w:color="auto" w:fill="auto"/>
          </w:tcPr>
          <w:p w14:paraId="0FC3A46E" w14:textId="77777777" w:rsidR="009033A7" w:rsidRPr="00380B40" w:rsidRDefault="009033A7" w:rsidP="00427615">
            <w:pPr>
              <w:pStyle w:val="Tableheadwhitecentred"/>
            </w:pPr>
            <w:r w:rsidRPr="00380B40">
              <w:t>Document/Disposition</w:t>
            </w:r>
          </w:p>
        </w:tc>
      </w:tr>
      <w:tr w:rsidR="009033A7" w:rsidRPr="00380B40" w14:paraId="14065CF5" w14:textId="77777777" w:rsidTr="00D316C7">
        <w:tc>
          <w:tcPr>
            <w:tcW w:w="7213" w:type="dxa"/>
            <w:shd w:val="clear" w:color="auto" w:fill="auto"/>
          </w:tcPr>
          <w:p w14:paraId="749E25A9" w14:textId="77777777" w:rsidR="009033A7" w:rsidRPr="00380B40" w:rsidRDefault="009033A7" w:rsidP="00EE0741">
            <w:pPr>
              <w:pStyle w:val="Tabletext"/>
              <w:rPr>
                <w:lang w:val="en-GB"/>
              </w:rPr>
            </w:pPr>
            <w:r w:rsidRPr="00380B40">
              <w:rPr>
                <w:lang w:val="en-GB"/>
              </w:rPr>
              <w:t xml:space="preserve">Recommendation ITU-T A.1 </w:t>
            </w:r>
            <w:r w:rsidR="00EE0741" w:rsidRPr="00380B40">
              <w:rPr>
                <w:lang w:val="en-GB"/>
              </w:rPr>
              <w:t>–</w:t>
            </w:r>
            <w:r w:rsidRPr="00380B40">
              <w:rPr>
                <w:lang w:val="en-GB"/>
              </w:rPr>
              <w:t xml:space="preserve"> Working methods for study groups of the ITU Telecommunication Standardization Sector</w:t>
            </w:r>
          </w:p>
        </w:tc>
        <w:tc>
          <w:tcPr>
            <w:tcW w:w="2415" w:type="dxa"/>
            <w:shd w:val="clear" w:color="auto" w:fill="auto"/>
          </w:tcPr>
          <w:p w14:paraId="7217BEF9" w14:textId="77777777" w:rsidR="009033A7" w:rsidRPr="00380B40" w:rsidRDefault="009033A7" w:rsidP="00EE0741">
            <w:pPr>
              <w:pStyle w:val="Tabletext"/>
              <w:jc w:val="center"/>
              <w:rPr>
                <w:lang w:val="en-GB"/>
              </w:rPr>
            </w:pPr>
            <w:r w:rsidRPr="00380B40">
              <w:rPr>
                <w:lang w:val="en-GB"/>
              </w:rPr>
              <w:t>Remains unchanged</w:t>
            </w:r>
          </w:p>
        </w:tc>
      </w:tr>
      <w:tr w:rsidR="009033A7" w:rsidRPr="00380B40" w14:paraId="0A9CAFD4" w14:textId="77777777" w:rsidTr="00D316C7">
        <w:tc>
          <w:tcPr>
            <w:tcW w:w="7213" w:type="dxa"/>
            <w:shd w:val="clear" w:color="auto" w:fill="auto"/>
          </w:tcPr>
          <w:p w14:paraId="5328D847" w14:textId="77777777" w:rsidR="009033A7" w:rsidRPr="00380B40" w:rsidRDefault="009033A7" w:rsidP="00EE0741">
            <w:pPr>
              <w:pStyle w:val="Tabletext"/>
              <w:rPr>
                <w:lang w:val="en-GB"/>
              </w:rPr>
            </w:pPr>
            <w:r w:rsidRPr="00380B40">
              <w:rPr>
                <w:lang w:val="en-GB"/>
              </w:rPr>
              <w:t xml:space="preserve">Recommendation ITU-T A.2 </w:t>
            </w:r>
            <w:r w:rsidR="00EE0741" w:rsidRPr="00380B40">
              <w:rPr>
                <w:lang w:val="en-GB"/>
              </w:rPr>
              <w:t>–</w:t>
            </w:r>
            <w:r w:rsidRPr="00380B40">
              <w:rPr>
                <w:lang w:val="en-GB"/>
              </w:rPr>
              <w:t xml:space="preserve"> Presentation of contributions to the ITU Telecommunication Standardization Sector</w:t>
            </w:r>
          </w:p>
        </w:tc>
        <w:tc>
          <w:tcPr>
            <w:tcW w:w="2415" w:type="dxa"/>
            <w:shd w:val="clear" w:color="auto" w:fill="auto"/>
          </w:tcPr>
          <w:p w14:paraId="60FDFB40" w14:textId="77777777" w:rsidR="009033A7" w:rsidRPr="00380B40" w:rsidRDefault="009033A7" w:rsidP="00EE0741">
            <w:pPr>
              <w:pStyle w:val="Tabletext"/>
              <w:jc w:val="center"/>
              <w:rPr>
                <w:lang w:val="en-GB"/>
              </w:rPr>
            </w:pPr>
            <w:r w:rsidRPr="00380B40">
              <w:rPr>
                <w:lang w:val="en-GB"/>
              </w:rPr>
              <w:t>Remains unchanged</w:t>
            </w:r>
          </w:p>
        </w:tc>
      </w:tr>
      <w:tr w:rsidR="009033A7" w:rsidRPr="00380B40" w14:paraId="23DD1EA2" w14:textId="77777777" w:rsidTr="00D316C7">
        <w:tc>
          <w:tcPr>
            <w:tcW w:w="7213" w:type="dxa"/>
            <w:shd w:val="clear" w:color="auto" w:fill="auto"/>
          </w:tcPr>
          <w:p w14:paraId="381208DF" w14:textId="77777777" w:rsidR="009033A7" w:rsidRPr="00380B40" w:rsidRDefault="009033A7" w:rsidP="00EE0741">
            <w:pPr>
              <w:pStyle w:val="Tabletext"/>
              <w:rPr>
                <w:lang w:val="en-GB"/>
              </w:rPr>
            </w:pPr>
            <w:r w:rsidRPr="00380B40">
              <w:rPr>
                <w:lang w:val="en-GB"/>
              </w:rPr>
              <w:t xml:space="preserve">Recommendation ITU-T A.5 </w:t>
            </w:r>
            <w:r w:rsidR="00EE0741" w:rsidRPr="00380B40">
              <w:rPr>
                <w:lang w:val="en-GB"/>
              </w:rPr>
              <w:t>–</w:t>
            </w:r>
            <w:r w:rsidRPr="00380B40">
              <w:rPr>
                <w:lang w:val="en-GB"/>
              </w:rPr>
              <w:t xml:space="preserve"> Generic procedures for including references to documents of other organizations in ITU-T Recommendations</w:t>
            </w:r>
          </w:p>
        </w:tc>
        <w:tc>
          <w:tcPr>
            <w:tcW w:w="2415" w:type="dxa"/>
            <w:shd w:val="clear" w:color="auto" w:fill="auto"/>
          </w:tcPr>
          <w:p w14:paraId="26EB16F9" w14:textId="77777777" w:rsidR="009033A7" w:rsidRPr="00380B40" w:rsidRDefault="006A0076" w:rsidP="00EE0741">
            <w:pPr>
              <w:pStyle w:val="Tabletext"/>
              <w:jc w:val="center"/>
              <w:rPr>
                <w:rStyle w:val="Hyperlinkbolditalic"/>
                <w:highlight w:val="yellow"/>
              </w:rPr>
            </w:pPr>
            <w:hyperlink r:id="rId806" w:history="1">
              <w:r w:rsidR="009033A7" w:rsidRPr="00380B40">
                <w:rPr>
                  <w:rStyle w:val="Hyperlinkbolditalic"/>
                </w:rPr>
                <w:t>92</w:t>
              </w:r>
            </w:hyperlink>
          </w:p>
        </w:tc>
      </w:tr>
      <w:tr w:rsidR="009033A7" w:rsidRPr="00380B40" w14:paraId="6E29FAED" w14:textId="77777777" w:rsidTr="00D316C7">
        <w:tc>
          <w:tcPr>
            <w:tcW w:w="7213" w:type="dxa"/>
            <w:shd w:val="clear" w:color="auto" w:fill="auto"/>
          </w:tcPr>
          <w:p w14:paraId="74ECEDF6" w14:textId="77777777" w:rsidR="009033A7" w:rsidRPr="00380B40" w:rsidRDefault="009033A7" w:rsidP="00EE0741">
            <w:pPr>
              <w:pStyle w:val="Tabletext"/>
              <w:rPr>
                <w:bCs/>
                <w:lang w:val="en-GB"/>
              </w:rPr>
            </w:pPr>
            <w:r w:rsidRPr="00380B40">
              <w:rPr>
                <w:bCs/>
                <w:lang w:val="en-GB"/>
              </w:rPr>
              <w:t xml:space="preserve">Recommendation </w:t>
            </w:r>
            <w:r w:rsidRPr="00380B40">
              <w:rPr>
                <w:lang w:val="en-GB"/>
              </w:rPr>
              <w:t xml:space="preserve">ITU-T </w:t>
            </w:r>
            <w:r w:rsidRPr="00380B40">
              <w:rPr>
                <w:bCs/>
                <w:lang w:val="en-GB"/>
              </w:rPr>
              <w:t xml:space="preserve">A.7 </w:t>
            </w:r>
            <w:r w:rsidR="00EE0741" w:rsidRPr="00380B40">
              <w:rPr>
                <w:lang w:val="en-GB"/>
              </w:rPr>
              <w:t>–</w:t>
            </w:r>
            <w:r w:rsidRPr="00380B40">
              <w:rPr>
                <w:bCs/>
                <w:lang w:val="en-GB"/>
              </w:rPr>
              <w:t xml:space="preserve"> Focus groups: Establishment and Working procedures</w:t>
            </w:r>
          </w:p>
        </w:tc>
        <w:tc>
          <w:tcPr>
            <w:tcW w:w="2415" w:type="dxa"/>
            <w:shd w:val="clear" w:color="auto" w:fill="auto"/>
          </w:tcPr>
          <w:p w14:paraId="4071F0A7" w14:textId="77777777" w:rsidR="009033A7" w:rsidRPr="00380B40" w:rsidRDefault="009033A7" w:rsidP="00EE0741">
            <w:pPr>
              <w:pStyle w:val="Tabletext"/>
              <w:jc w:val="center"/>
              <w:rPr>
                <w:lang w:val="en-GB"/>
              </w:rPr>
            </w:pPr>
            <w:r w:rsidRPr="00380B40">
              <w:rPr>
                <w:lang w:val="en-GB"/>
              </w:rPr>
              <w:t>Remains unchanged</w:t>
            </w:r>
          </w:p>
        </w:tc>
      </w:tr>
      <w:tr w:rsidR="009033A7" w:rsidRPr="00380B40" w14:paraId="5736A37C" w14:textId="77777777" w:rsidTr="00D316C7">
        <w:tc>
          <w:tcPr>
            <w:tcW w:w="7213" w:type="dxa"/>
            <w:shd w:val="clear" w:color="auto" w:fill="auto"/>
          </w:tcPr>
          <w:p w14:paraId="5B8C4225" w14:textId="77777777" w:rsidR="009033A7" w:rsidRPr="00380B40" w:rsidRDefault="009033A7" w:rsidP="00EE0741">
            <w:pPr>
              <w:pStyle w:val="Tabletext"/>
              <w:rPr>
                <w:lang w:val="en-GB"/>
              </w:rPr>
            </w:pPr>
            <w:r w:rsidRPr="00380B40">
              <w:rPr>
                <w:lang w:val="en-GB"/>
              </w:rPr>
              <w:t xml:space="preserve">Recommendation ITU-T A.8 </w:t>
            </w:r>
            <w:r w:rsidR="00EE0741" w:rsidRPr="00380B40">
              <w:rPr>
                <w:lang w:val="en-GB"/>
              </w:rPr>
              <w:t>–</w:t>
            </w:r>
            <w:r w:rsidRPr="00380B40">
              <w:rPr>
                <w:lang w:val="en-GB"/>
              </w:rPr>
              <w:t xml:space="preserve"> Alternative approval process for new and revised ITU-T Recommendations</w:t>
            </w:r>
          </w:p>
        </w:tc>
        <w:tc>
          <w:tcPr>
            <w:tcW w:w="2415" w:type="dxa"/>
            <w:shd w:val="clear" w:color="auto" w:fill="auto"/>
          </w:tcPr>
          <w:p w14:paraId="2ED25C96" w14:textId="77777777" w:rsidR="009033A7" w:rsidRPr="00380B40" w:rsidRDefault="006A0076" w:rsidP="00EE0741">
            <w:pPr>
              <w:pStyle w:val="Tabletext"/>
              <w:jc w:val="center"/>
              <w:rPr>
                <w:rStyle w:val="Hyperlinkbolditalic"/>
              </w:rPr>
            </w:pPr>
            <w:hyperlink r:id="rId807" w:history="1">
              <w:r w:rsidR="009033A7" w:rsidRPr="00380B40">
                <w:rPr>
                  <w:rStyle w:val="Hyperlinkbolditalic"/>
                </w:rPr>
                <w:t>87</w:t>
              </w:r>
            </w:hyperlink>
          </w:p>
        </w:tc>
      </w:tr>
      <w:tr w:rsidR="009033A7" w:rsidRPr="00380B40" w14:paraId="5CCBC732" w14:textId="77777777" w:rsidTr="00D316C7">
        <w:tc>
          <w:tcPr>
            <w:tcW w:w="7213" w:type="dxa"/>
            <w:shd w:val="clear" w:color="auto" w:fill="auto"/>
          </w:tcPr>
          <w:p w14:paraId="662AA057" w14:textId="77777777" w:rsidR="009033A7" w:rsidRPr="00380B40" w:rsidRDefault="009033A7" w:rsidP="00EE0741">
            <w:pPr>
              <w:pStyle w:val="Tabletext"/>
              <w:rPr>
                <w:bCs/>
                <w:lang w:val="en-GB"/>
              </w:rPr>
            </w:pPr>
            <w:r w:rsidRPr="00380B40">
              <w:rPr>
                <w:bCs/>
                <w:lang w:val="en-GB"/>
              </w:rPr>
              <w:t xml:space="preserve">Recommendation </w:t>
            </w:r>
            <w:r w:rsidRPr="00380B40">
              <w:rPr>
                <w:lang w:val="en-GB"/>
              </w:rPr>
              <w:t xml:space="preserve">ITU-T </w:t>
            </w:r>
            <w:r w:rsidRPr="00380B40">
              <w:rPr>
                <w:bCs/>
                <w:lang w:val="en-GB"/>
              </w:rPr>
              <w:t xml:space="preserve">A.25 </w:t>
            </w:r>
            <w:r w:rsidR="00EE0741" w:rsidRPr="00380B40">
              <w:rPr>
                <w:lang w:val="en-GB"/>
              </w:rPr>
              <w:t>–</w:t>
            </w:r>
            <w:r w:rsidRPr="00380B40">
              <w:rPr>
                <w:bCs/>
                <w:lang w:val="en-GB"/>
              </w:rPr>
              <w:t xml:space="preserve"> Generic procedures for incorporating text between ITU-T and other organizations</w:t>
            </w:r>
          </w:p>
        </w:tc>
        <w:tc>
          <w:tcPr>
            <w:tcW w:w="2415" w:type="dxa"/>
            <w:shd w:val="clear" w:color="auto" w:fill="auto"/>
          </w:tcPr>
          <w:p w14:paraId="0C5610B6" w14:textId="77777777" w:rsidR="009033A7" w:rsidRPr="00380B40" w:rsidRDefault="006A0076" w:rsidP="00EE0741">
            <w:pPr>
              <w:pStyle w:val="Tabletext"/>
              <w:jc w:val="center"/>
              <w:rPr>
                <w:rStyle w:val="Hyperlinkbolditalic"/>
              </w:rPr>
            </w:pPr>
            <w:hyperlink r:id="rId808" w:history="1">
              <w:r w:rsidR="009033A7" w:rsidRPr="00380B40">
                <w:rPr>
                  <w:rStyle w:val="Hyperlinkbolditalic"/>
                </w:rPr>
                <w:t>92</w:t>
              </w:r>
            </w:hyperlink>
          </w:p>
        </w:tc>
      </w:tr>
    </w:tbl>
    <w:p w14:paraId="10A5A208" w14:textId="77777777" w:rsidR="009033A7" w:rsidRPr="00380B40" w:rsidRDefault="009033A7" w:rsidP="009033A7">
      <w:pPr>
        <w:tabs>
          <w:tab w:val="clear" w:pos="794"/>
          <w:tab w:val="clear" w:pos="1191"/>
          <w:tab w:val="clear" w:pos="1588"/>
          <w:tab w:val="clear" w:pos="1985"/>
          <w:tab w:val="left" w:pos="1134"/>
          <w:tab w:val="left" w:pos="1871"/>
          <w:tab w:val="left" w:pos="2608"/>
          <w:tab w:val="left" w:pos="3345"/>
        </w:tabs>
        <w:spacing w:before="80"/>
        <w:rPr>
          <w:lang w:val="en-GB"/>
        </w:rPr>
      </w:pPr>
    </w:p>
    <w:p w14:paraId="3D45D0B8" w14:textId="77777777" w:rsidR="006135F2" w:rsidRPr="00380B40" w:rsidRDefault="006135F2">
      <w:pPr>
        <w:rPr>
          <w:lang w:val="en-GB"/>
        </w:rPr>
      </w:pPr>
    </w:p>
    <w:p w14:paraId="3A64E515" w14:textId="77777777" w:rsidR="00EE0741" w:rsidRPr="00380B40" w:rsidRDefault="00EE0741">
      <w:pPr>
        <w:rPr>
          <w:lang w:val="en-GB"/>
        </w:rPr>
      </w:pPr>
    </w:p>
    <w:p w14:paraId="4BB51FFC" w14:textId="77777777" w:rsidR="00EE0741" w:rsidRPr="00380B40" w:rsidRDefault="00EE0741">
      <w:pPr>
        <w:rPr>
          <w:lang w:val="en-GB"/>
        </w:rPr>
      </w:pPr>
    </w:p>
    <w:p w14:paraId="7E98D9B7" w14:textId="77777777" w:rsidR="003E72C4" w:rsidRPr="00380B40" w:rsidRDefault="003E72C4">
      <w:pPr>
        <w:rPr>
          <w:lang w:val="en-GB"/>
        </w:rPr>
      </w:pPr>
    </w:p>
    <w:p w14:paraId="48E53325" w14:textId="77777777" w:rsidR="003E72C4" w:rsidRPr="00380B40" w:rsidRDefault="003E72C4">
      <w:pPr>
        <w:rPr>
          <w:lang w:val="en-GB"/>
        </w:rPr>
      </w:pPr>
    </w:p>
    <w:p w14:paraId="1BE8016A" w14:textId="77777777" w:rsidR="003E72C4" w:rsidRPr="00380B40" w:rsidRDefault="003E72C4">
      <w:pPr>
        <w:rPr>
          <w:lang w:val="en-GB"/>
        </w:rPr>
      </w:pPr>
    </w:p>
    <w:p w14:paraId="2E8AF35C" w14:textId="77777777" w:rsidR="00EE0741" w:rsidRPr="00380B40" w:rsidRDefault="00EE0741">
      <w:pPr>
        <w:rPr>
          <w:lang w:val="en-GB"/>
        </w:rPr>
      </w:pPr>
    </w:p>
    <w:p w14:paraId="23A6DE93" w14:textId="77777777" w:rsidR="00EE0741" w:rsidRPr="00380B40" w:rsidRDefault="00EE0741">
      <w:pPr>
        <w:rPr>
          <w:lang w:val="en-GB"/>
        </w:rPr>
      </w:pPr>
    </w:p>
    <w:p w14:paraId="53B57230" w14:textId="77777777" w:rsidR="00AD0C2E" w:rsidRPr="00380B40" w:rsidRDefault="00AD0C2E">
      <w:pPr>
        <w:rPr>
          <w:lang w:val="en-GB"/>
        </w:rPr>
      </w:pPr>
    </w:p>
    <w:p w14:paraId="72EA6B88" w14:textId="77777777" w:rsidR="00AD0C2E" w:rsidRPr="00380B40" w:rsidRDefault="00AD0C2E">
      <w:pPr>
        <w:rPr>
          <w:lang w:val="en-GB"/>
        </w:rPr>
      </w:pPr>
    </w:p>
    <w:p w14:paraId="262C4747" w14:textId="77777777" w:rsidR="00EE0741" w:rsidRPr="00380B40" w:rsidRDefault="00EE0741">
      <w:pPr>
        <w:rPr>
          <w:lang w:val="en-GB"/>
        </w:rPr>
      </w:pPr>
    </w:p>
    <w:p w14:paraId="0BB746D6" w14:textId="77777777" w:rsidR="00EE0741" w:rsidRPr="00380B40" w:rsidRDefault="00EE0741">
      <w:pPr>
        <w:rPr>
          <w:lang w:val="en-GB"/>
        </w:rPr>
      </w:pPr>
    </w:p>
    <w:p w14:paraId="112543A1" w14:textId="77777777" w:rsidR="00EE0741" w:rsidRPr="00380B40" w:rsidRDefault="00EE0741">
      <w:pPr>
        <w:rPr>
          <w:lang w:val="en-GB"/>
        </w:rPr>
      </w:pPr>
    </w:p>
    <w:p w14:paraId="5DA040B1" w14:textId="77777777" w:rsidR="00EE0741" w:rsidRPr="00380B40" w:rsidRDefault="00EE0741">
      <w:pPr>
        <w:rPr>
          <w:lang w:val="en-GB"/>
        </w:rPr>
      </w:pPr>
    </w:p>
    <w:p w14:paraId="67DEB1E5" w14:textId="77777777" w:rsidR="00EE0741" w:rsidRPr="00380B40" w:rsidRDefault="00EE0741">
      <w:pPr>
        <w:rPr>
          <w:lang w:val="en-GB"/>
        </w:rPr>
      </w:pPr>
    </w:p>
    <w:p w14:paraId="655B9819" w14:textId="77777777" w:rsidR="009033A7" w:rsidRPr="00380B40" w:rsidRDefault="009033A7">
      <w:pPr>
        <w:rPr>
          <w:lang w:val="en-GB"/>
        </w:rPr>
      </w:pPr>
      <w:r w:rsidRPr="00380B40">
        <w:rPr>
          <w:lang w:val="en-GB"/>
        </w:rPr>
        <w:br w:type="page"/>
      </w:r>
    </w:p>
    <w:p w14:paraId="05E6E53B" w14:textId="77777777" w:rsidR="009033A7" w:rsidRPr="00380B40" w:rsidRDefault="009033A7" w:rsidP="00202A50">
      <w:pPr>
        <w:pStyle w:val="Sectiontitle"/>
      </w:pPr>
      <w:bookmarkStart w:id="2603" w:name="_Toc104472199"/>
      <w:bookmarkStart w:id="2604" w:name="_Toc111637308"/>
      <w:r w:rsidRPr="00380B40">
        <w:t>V-2.</w:t>
      </w:r>
      <w:r w:rsidR="007D2FB0" w:rsidRPr="00380B40">
        <w:t>3</w:t>
      </w:r>
      <w:r w:rsidRPr="00380B40">
        <w:t xml:space="preserve"> – Committee </w:t>
      </w:r>
      <w:r w:rsidR="00902779" w:rsidRPr="00380B40">
        <w:t>4</w:t>
      </w:r>
      <w:r w:rsidRPr="00380B40">
        <w:t>: ITU-T work programme and organization</w:t>
      </w:r>
      <w:bookmarkEnd w:id="2603"/>
      <w:bookmarkEnd w:id="2604"/>
    </w:p>
    <w:p w14:paraId="05F4BC5D" w14:textId="77777777" w:rsidR="009033A7" w:rsidRPr="00380B40" w:rsidRDefault="009033A7" w:rsidP="0033524E">
      <w:pPr>
        <w:pStyle w:val="Normalcenteraligned"/>
      </w:pPr>
      <w:r w:rsidRPr="00380B40">
        <w:rPr>
          <w:b/>
          <w:bCs/>
        </w:rPr>
        <w:t xml:space="preserve">Chairman: </w:t>
      </w:r>
      <w:r w:rsidRPr="00380B40">
        <w:t>Philip Rushton (United Kingdom)</w:t>
      </w:r>
    </w:p>
    <w:p w14:paraId="18EAEA8B" w14:textId="77777777" w:rsidR="009033A7" w:rsidRPr="00380B40" w:rsidRDefault="009033A7" w:rsidP="009033A7">
      <w:pPr>
        <w:pStyle w:val="Heading1"/>
        <w:rPr>
          <w:szCs w:val="22"/>
          <w:lang w:val="en-GB"/>
        </w:rPr>
      </w:pPr>
      <w:bookmarkStart w:id="2605" w:name="_Toc111637309"/>
      <w:r w:rsidRPr="00380B40">
        <w:rPr>
          <w:szCs w:val="22"/>
          <w:lang w:val="en-GB"/>
        </w:rPr>
        <w:t>1</w:t>
      </w:r>
      <w:r w:rsidRPr="00380B40">
        <w:rPr>
          <w:szCs w:val="22"/>
          <w:lang w:val="en-GB"/>
        </w:rPr>
        <w:tab/>
        <w:t>Introduction</w:t>
      </w:r>
      <w:bookmarkEnd w:id="2605"/>
    </w:p>
    <w:p w14:paraId="0734972A" w14:textId="77777777" w:rsidR="009033A7" w:rsidRPr="00380B40" w:rsidRDefault="009033A7" w:rsidP="009033A7">
      <w:pPr>
        <w:ind w:left="1191" w:hanging="1191"/>
        <w:rPr>
          <w:bCs/>
          <w:lang w:val="en-GB"/>
        </w:rPr>
      </w:pPr>
      <w:r w:rsidRPr="00380B40">
        <w:rPr>
          <w:b/>
          <w:lang w:val="en-GB"/>
        </w:rPr>
        <w:t>1.1</w:t>
      </w:r>
      <w:r w:rsidRPr="00380B40">
        <w:rPr>
          <w:bCs/>
          <w:lang w:val="en-GB"/>
        </w:rPr>
        <w:tab/>
        <w:t xml:space="preserve">The terms of reference for Committee 4 are contained in document </w:t>
      </w:r>
      <w:hyperlink r:id="rId809" w:history="1">
        <w:r w:rsidRPr="00380B40">
          <w:rPr>
            <w:rStyle w:val="Hyperlink"/>
            <w:lang w:val="en-GB"/>
          </w:rPr>
          <w:t>DT/4</w:t>
        </w:r>
      </w:hyperlink>
      <w:r w:rsidRPr="00380B40">
        <w:rPr>
          <w:bCs/>
          <w:lang w:val="en-GB"/>
        </w:rPr>
        <w:t>.</w:t>
      </w:r>
    </w:p>
    <w:p w14:paraId="0797D05F" w14:textId="77777777" w:rsidR="009033A7" w:rsidRPr="00380B40" w:rsidRDefault="009033A7" w:rsidP="009033A7">
      <w:pPr>
        <w:rPr>
          <w:lang w:val="en-GB"/>
        </w:rPr>
      </w:pPr>
      <w:r w:rsidRPr="00380B40">
        <w:rPr>
          <w:b/>
          <w:lang w:val="en-GB"/>
        </w:rPr>
        <w:t>1.2</w:t>
      </w:r>
      <w:r w:rsidRPr="00380B40">
        <w:rPr>
          <w:bCs/>
          <w:lang w:val="en-GB"/>
        </w:rPr>
        <w:tab/>
        <w:t>Committee 4 (ITU-T work programme and organization) was chaired by</w:t>
      </w:r>
      <w:r w:rsidRPr="00380B40">
        <w:rPr>
          <w:lang w:val="en-GB"/>
        </w:rPr>
        <w:t xml:space="preserve"> Mr Philip Rushton (CEPT, United Kingdom) with the support of the vice-chairmen of the Committee: </w:t>
      </w:r>
      <w:r w:rsidRPr="00380B40">
        <w:rPr>
          <w:rFonts w:eastAsiaTheme="majorEastAsia"/>
          <w:szCs w:val="24"/>
          <w:lang w:val="en-GB"/>
        </w:rPr>
        <w:t>Mr Masud Azimov (RCC, Republic of Uzbekistan), Mr Mohamed Elhaj (ATU, Sudan), Mr Abraão Balbino E Silva (CITEL, Brazil), Mr Jasim Al Ali (LAS, United Arab Emirates)</w:t>
      </w:r>
      <w:r w:rsidRPr="00380B40">
        <w:rPr>
          <w:lang w:val="en-GB"/>
        </w:rPr>
        <w:t>.</w:t>
      </w:r>
    </w:p>
    <w:p w14:paraId="66218322" w14:textId="77777777" w:rsidR="009033A7" w:rsidRPr="00380B40" w:rsidRDefault="009033A7" w:rsidP="009033A7">
      <w:pPr>
        <w:rPr>
          <w:lang w:val="en-GB"/>
        </w:rPr>
      </w:pPr>
      <w:r w:rsidRPr="00380B40">
        <w:rPr>
          <w:lang w:val="en-GB"/>
        </w:rPr>
        <w:t>WTSA established two Working Groups under Committee 4 as follows:</w:t>
      </w:r>
    </w:p>
    <w:p w14:paraId="2EB09927" w14:textId="77777777" w:rsidR="009033A7" w:rsidRPr="00380B40" w:rsidRDefault="009033A7" w:rsidP="009033A7">
      <w:pPr>
        <w:rPr>
          <w:lang w:val="en-GB"/>
        </w:rPr>
      </w:pPr>
      <w:r w:rsidRPr="00380B40">
        <w:rPr>
          <w:lang w:val="en-GB"/>
        </w:rPr>
        <w:t>Working Group 4A of Committee 4 with Mr Hyoung Jun Kim (APT, Republic of Korea) as a Chairman.</w:t>
      </w:r>
    </w:p>
    <w:p w14:paraId="47F032ED" w14:textId="77777777" w:rsidR="009033A7" w:rsidRPr="00380B40" w:rsidRDefault="009033A7" w:rsidP="009033A7">
      <w:pPr>
        <w:rPr>
          <w:lang w:val="en-GB"/>
        </w:rPr>
      </w:pPr>
      <w:r w:rsidRPr="00380B40">
        <w:rPr>
          <w:lang w:val="en-GB"/>
        </w:rPr>
        <w:t xml:space="preserve">Working Group 4B of Committee 4 with Mr João Alexandre Moncaio Zanon </w:t>
      </w:r>
      <w:r w:rsidRPr="00380B40">
        <w:rPr>
          <w:rFonts w:eastAsiaTheme="majorEastAsia"/>
          <w:lang w:val="en-GB"/>
        </w:rPr>
        <w:t>(CITEL, Brazil)</w:t>
      </w:r>
      <w:r w:rsidRPr="00380B40">
        <w:rPr>
          <w:lang w:val="en-GB"/>
        </w:rPr>
        <w:t xml:space="preserve"> as a Chairman.</w:t>
      </w:r>
    </w:p>
    <w:p w14:paraId="64DE8C0E" w14:textId="77777777" w:rsidR="009033A7" w:rsidRPr="00380B40" w:rsidRDefault="009033A7" w:rsidP="009033A7">
      <w:pPr>
        <w:rPr>
          <w:lang w:val="en-GB"/>
        </w:rPr>
      </w:pPr>
      <w:r w:rsidRPr="00380B40">
        <w:rPr>
          <w:lang w:val="en-GB"/>
        </w:rPr>
        <w:t xml:space="preserve">Terms of reference of the Working Groups are given in </w:t>
      </w:r>
      <w:hyperlink r:id="rId810" w:history="1">
        <w:r w:rsidRPr="00380B40">
          <w:rPr>
            <w:rStyle w:val="Hyperlink"/>
            <w:lang w:val="en-GB"/>
          </w:rPr>
          <w:t>DT/4</w:t>
        </w:r>
      </w:hyperlink>
      <w:r w:rsidRPr="00380B40">
        <w:rPr>
          <w:bCs/>
          <w:lang w:val="en-GB"/>
        </w:rPr>
        <w:t>.</w:t>
      </w:r>
    </w:p>
    <w:p w14:paraId="48AFECBF" w14:textId="77777777" w:rsidR="009033A7" w:rsidRPr="00380B40" w:rsidRDefault="009033A7" w:rsidP="009033A7">
      <w:pPr>
        <w:rPr>
          <w:lang w:val="en-GB"/>
        </w:rPr>
      </w:pPr>
      <w:r w:rsidRPr="00380B40">
        <w:rPr>
          <w:b/>
          <w:lang w:val="en-GB"/>
        </w:rPr>
        <w:t>1.3</w:t>
      </w:r>
      <w:r w:rsidRPr="00380B40">
        <w:rPr>
          <w:bCs/>
          <w:lang w:val="en-GB"/>
        </w:rPr>
        <w:tab/>
        <w:t xml:space="preserve">The meetings took into account the documents allocation to Committee 4 given in </w:t>
      </w:r>
      <w:hyperlink r:id="rId811" w:history="1">
        <w:r w:rsidRPr="00380B40">
          <w:rPr>
            <w:rStyle w:val="Hyperlink"/>
            <w:lang w:val="en-GB"/>
          </w:rPr>
          <w:t>DT/1</w:t>
        </w:r>
      </w:hyperlink>
      <w:r w:rsidRPr="00380B40">
        <w:rPr>
          <w:bCs/>
          <w:lang w:val="en-GB"/>
        </w:rPr>
        <w:t xml:space="preserve"> and</w:t>
      </w:r>
      <w:r w:rsidRPr="00380B40">
        <w:rPr>
          <w:lang w:val="en-GB"/>
        </w:rPr>
        <w:t xml:space="preserve"> worked out its general agenda as appears in </w:t>
      </w:r>
      <w:hyperlink r:id="rId812" w:history="1">
        <w:r w:rsidRPr="00380B40">
          <w:rPr>
            <w:rStyle w:val="Hyperlink"/>
            <w:lang w:val="en-GB"/>
          </w:rPr>
          <w:t>DT/9</w:t>
        </w:r>
      </w:hyperlink>
      <w:r w:rsidRPr="00380B40">
        <w:rPr>
          <w:lang w:val="en-GB"/>
        </w:rPr>
        <w:t>.</w:t>
      </w:r>
    </w:p>
    <w:p w14:paraId="201A384D" w14:textId="77777777" w:rsidR="00305384" w:rsidRPr="00C777D4" w:rsidRDefault="00305384" w:rsidP="006B53A7">
      <w:pPr>
        <w:rPr>
          <w:lang w:val="en-GB"/>
        </w:rPr>
      </w:pPr>
      <w:r w:rsidRPr="00C777D4">
        <w:rPr>
          <w:b/>
          <w:bCs/>
          <w:lang w:val="en-GB"/>
        </w:rPr>
        <w:t>1.4</w:t>
      </w:r>
      <w:r w:rsidRPr="00C777D4">
        <w:rPr>
          <w:lang w:val="en-GB"/>
        </w:rPr>
        <w:tab/>
        <w:t xml:space="preserve">Committee 4 examined </w:t>
      </w:r>
      <w:r w:rsidRPr="00C777D4">
        <w:rPr>
          <w:b/>
          <w:bCs/>
          <w:lang w:val="en-GB"/>
        </w:rPr>
        <w:t>142</w:t>
      </w:r>
      <w:r w:rsidRPr="00C777D4">
        <w:rPr>
          <w:lang w:val="en-GB"/>
        </w:rPr>
        <w:t xml:space="preserve"> proposals for </w:t>
      </w:r>
      <w:r w:rsidRPr="00C777D4">
        <w:rPr>
          <w:b/>
          <w:bCs/>
          <w:lang w:val="en-GB"/>
        </w:rPr>
        <w:t>36</w:t>
      </w:r>
      <w:r w:rsidRPr="00C777D4">
        <w:rPr>
          <w:lang w:val="en-GB"/>
        </w:rPr>
        <w:t xml:space="preserve"> existing Resolutions, </w:t>
      </w:r>
      <w:r w:rsidRPr="00C777D4">
        <w:rPr>
          <w:b/>
          <w:bCs/>
          <w:lang w:val="en-GB"/>
        </w:rPr>
        <w:t>10</w:t>
      </w:r>
      <w:r w:rsidRPr="00C777D4">
        <w:rPr>
          <w:lang w:val="en-GB"/>
        </w:rPr>
        <w:t xml:space="preserve"> new Resolutions and </w:t>
      </w:r>
      <w:r w:rsidRPr="00C777D4">
        <w:rPr>
          <w:b/>
          <w:bCs/>
          <w:lang w:val="en-GB"/>
        </w:rPr>
        <w:t>1</w:t>
      </w:r>
      <w:r w:rsidRPr="00C777D4">
        <w:rPr>
          <w:lang w:val="en-GB"/>
        </w:rPr>
        <w:t xml:space="preserve"> new Question. </w:t>
      </w:r>
      <w:r w:rsidRPr="00C777D4">
        <w:rPr>
          <w:b/>
          <w:bCs/>
          <w:lang w:val="en-GB"/>
        </w:rPr>
        <w:t>Committee 4</w:t>
      </w:r>
      <w:r w:rsidRPr="00C777D4">
        <w:rPr>
          <w:lang w:val="en-GB"/>
        </w:rPr>
        <w:t xml:space="preserve"> held </w:t>
      </w:r>
      <w:r w:rsidRPr="00C777D4">
        <w:rPr>
          <w:b/>
          <w:bCs/>
          <w:lang w:val="en-GB"/>
        </w:rPr>
        <w:t>5</w:t>
      </w:r>
      <w:r w:rsidRPr="00C777D4">
        <w:rPr>
          <w:lang w:val="en-GB"/>
        </w:rPr>
        <w:t xml:space="preserve"> meetings in </w:t>
      </w:r>
      <w:r w:rsidRPr="00C777D4">
        <w:rPr>
          <w:b/>
          <w:bCs/>
          <w:lang w:val="en-GB"/>
        </w:rPr>
        <w:t>7</w:t>
      </w:r>
      <w:r w:rsidRPr="00C777D4">
        <w:rPr>
          <w:lang w:val="en-GB"/>
        </w:rPr>
        <w:t xml:space="preserve"> sessions, the respective reports can be found in documents </w:t>
      </w:r>
      <w:hyperlink r:id="rId813" w:history="1">
        <w:r w:rsidRPr="00C777D4">
          <w:rPr>
            <w:rStyle w:val="Coloredbold"/>
            <w:u w:val="single"/>
            <w:lang w:val="en-GB"/>
          </w:rPr>
          <w:t>50</w:t>
        </w:r>
      </w:hyperlink>
      <w:r w:rsidRPr="00C777D4">
        <w:rPr>
          <w:lang w:val="en-GB"/>
        </w:rPr>
        <w:t xml:space="preserve">, </w:t>
      </w:r>
      <w:hyperlink r:id="rId814" w:history="1">
        <w:r w:rsidRPr="00C777D4">
          <w:rPr>
            <w:rStyle w:val="Coloredbold"/>
            <w:u w:val="single"/>
            <w:lang w:val="en-GB"/>
          </w:rPr>
          <w:t>51</w:t>
        </w:r>
      </w:hyperlink>
      <w:r w:rsidRPr="00C777D4">
        <w:rPr>
          <w:lang w:val="en-GB"/>
        </w:rPr>
        <w:t xml:space="preserve">, </w:t>
      </w:r>
      <w:hyperlink r:id="rId815" w:history="1">
        <w:r w:rsidRPr="00C777D4">
          <w:rPr>
            <w:rStyle w:val="Coloredbold"/>
            <w:u w:val="single"/>
            <w:lang w:val="en-GB"/>
          </w:rPr>
          <w:t>70</w:t>
        </w:r>
      </w:hyperlink>
      <w:r w:rsidRPr="00C777D4">
        <w:rPr>
          <w:lang w:val="en-GB"/>
        </w:rPr>
        <w:t xml:space="preserve"> and </w:t>
      </w:r>
      <w:hyperlink r:id="rId816" w:history="1">
        <w:r w:rsidRPr="00C777D4">
          <w:rPr>
            <w:rStyle w:val="Coloredbold"/>
            <w:u w:val="single"/>
            <w:lang w:val="en-GB"/>
          </w:rPr>
          <w:t>82</w:t>
        </w:r>
      </w:hyperlink>
      <w:r w:rsidRPr="00C777D4">
        <w:rPr>
          <w:lang w:val="en-GB"/>
        </w:rPr>
        <w:t>.</w:t>
      </w:r>
    </w:p>
    <w:p w14:paraId="28EE9E71" w14:textId="77777777" w:rsidR="009033A7" w:rsidRPr="00380B40" w:rsidRDefault="009033A7" w:rsidP="009033A7">
      <w:pPr>
        <w:pStyle w:val="Heading1"/>
        <w:tabs>
          <w:tab w:val="left" w:pos="6270"/>
        </w:tabs>
        <w:rPr>
          <w:lang w:val="en-GB"/>
        </w:rPr>
      </w:pPr>
      <w:bookmarkStart w:id="2606" w:name="_Toc111637310"/>
      <w:r w:rsidRPr="00380B40">
        <w:rPr>
          <w:lang w:val="en-GB"/>
        </w:rPr>
        <w:t>2</w:t>
      </w:r>
      <w:r w:rsidRPr="00380B40">
        <w:rPr>
          <w:lang w:val="en-GB"/>
        </w:rPr>
        <w:tab/>
        <w:t>Results of the Work of Committee 4</w:t>
      </w:r>
      <w:bookmarkEnd w:id="2606"/>
    </w:p>
    <w:p w14:paraId="65411EEE" w14:textId="77777777" w:rsidR="009033A7" w:rsidRPr="00380B40" w:rsidRDefault="009033A7" w:rsidP="009033A7">
      <w:pPr>
        <w:pStyle w:val="Heading2"/>
        <w:rPr>
          <w:szCs w:val="24"/>
          <w:lang w:val="en-GB"/>
        </w:rPr>
      </w:pPr>
      <w:bookmarkStart w:id="2607" w:name="_Toc111637311"/>
      <w:r w:rsidRPr="00380B40">
        <w:rPr>
          <w:szCs w:val="24"/>
          <w:lang w:val="en-GB"/>
        </w:rPr>
        <w:t>2.1</w:t>
      </w:r>
      <w:r w:rsidRPr="00380B40">
        <w:rPr>
          <w:szCs w:val="24"/>
          <w:lang w:val="en-GB"/>
        </w:rPr>
        <w:tab/>
        <w:t>Study Group structure</w:t>
      </w:r>
      <w:bookmarkEnd w:id="2607"/>
    </w:p>
    <w:p w14:paraId="0E4C6E0D" w14:textId="77777777" w:rsidR="009033A7" w:rsidRPr="00380B40" w:rsidRDefault="009033A7" w:rsidP="009033A7">
      <w:pPr>
        <w:pStyle w:val="Heading3"/>
        <w:rPr>
          <w:lang w:val="en-GB"/>
        </w:rPr>
      </w:pPr>
      <w:bookmarkStart w:id="2608" w:name="_Toc111637312"/>
      <w:r w:rsidRPr="00380B40">
        <w:rPr>
          <w:lang w:val="en-GB"/>
        </w:rPr>
        <w:t>2.1.1</w:t>
      </w:r>
      <w:r w:rsidRPr="00380B40">
        <w:rPr>
          <w:lang w:val="en-GB"/>
        </w:rPr>
        <w:tab/>
        <w:t>Restructuring principle</w:t>
      </w:r>
      <w:bookmarkEnd w:id="2608"/>
    </w:p>
    <w:p w14:paraId="2526972E" w14:textId="77777777" w:rsidR="009033A7" w:rsidRPr="00380B40" w:rsidRDefault="009033A7" w:rsidP="009033A7">
      <w:pPr>
        <w:rPr>
          <w:lang w:val="en-GB"/>
        </w:rPr>
      </w:pPr>
      <w:r w:rsidRPr="00380B40">
        <w:rPr>
          <w:lang w:val="en-GB"/>
        </w:rPr>
        <w:t>The meeting decided to work based on the assumption that the current structure, which includes 11 Study Groups, will be maintained.</w:t>
      </w:r>
    </w:p>
    <w:p w14:paraId="54828ADD" w14:textId="77777777" w:rsidR="009033A7" w:rsidRPr="00380B40" w:rsidRDefault="009033A7" w:rsidP="009033A7">
      <w:pPr>
        <w:pStyle w:val="Heading3"/>
        <w:rPr>
          <w:b w:val="0"/>
          <w:bCs/>
          <w:szCs w:val="24"/>
          <w:lang w:val="en-GB"/>
        </w:rPr>
      </w:pPr>
      <w:bookmarkStart w:id="2609" w:name="_Toc111637313"/>
      <w:r w:rsidRPr="00380B40">
        <w:rPr>
          <w:lang w:val="en-GB"/>
        </w:rPr>
        <w:t>2.1.2</w:t>
      </w:r>
      <w:r w:rsidRPr="00380B40">
        <w:rPr>
          <w:lang w:val="en-GB"/>
        </w:rPr>
        <w:tab/>
      </w:r>
      <w:r w:rsidRPr="00380B40">
        <w:rPr>
          <w:bCs/>
          <w:szCs w:val="24"/>
          <w:lang w:val="en-GB"/>
        </w:rPr>
        <w:t>Resolution 2 (Rev. Hammamet, 2016) - ITU Telecommunication Standardization Sector study group responsibility and mandates</w:t>
      </w:r>
      <w:bookmarkEnd w:id="2609"/>
    </w:p>
    <w:p w14:paraId="2F16213E" w14:textId="77777777" w:rsidR="009033A7" w:rsidRPr="00380B40" w:rsidRDefault="009033A7" w:rsidP="009033A7">
      <w:pPr>
        <w:rPr>
          <w:szCs w:val="24"/>
          <w:lang w:val="en-GB"/>
        </w:rPr>
      </w:pPr>
      <w:r w:rsidRPr="00380B40">
        <w:rPr>
          <w:szCs w:val="24"/>
          <w:lang w:val="en-GB"/>
        </w:rPr>
        <w:t xml:space="preserve">The meeting used the following documents as the starting point for discussion of updating Resolution 2: Document </w:t>
      </w:r>
      <w:hyperlink r:id="rId817" w:history="1">
        <w:r w:rsidRPr="00380B40">
          <w:rPr>
            <w:rStyle w:val="Hyperlink"/>
            <w:rFonts w:eastAsia="SimSun"/>
            <w:szCs w:val="24"/>
            <w:lang w:val="en-GB"/>
          </w:rPr>
          <w:t>27</w:t>
        </w:r>
      </w:hyperlink>
      <w:r w:rsidRPr="00380B40">
        <w:rPr>
          <w:szCs w:val="24"/>
          <w:lang w:val="en-GB"/>
        </w:rPr>
        <w:t xml:space="preserve"> (Compilation of changes) and Documents </w:t>
      </w:r>
      <w:hyperlink r:id="rId818" w:history="1">
        <w:r w:rsidRPr="00380B40">
          <w:rPr>
            <w:rStyle w:val="Hyperlink"/>
            <w:szCs w:val="24"/>
            <w:lang w:val="en-GB"/>
          </w:rPr>
          <w:t>1</w:t>
        </w:r>
      </w:hyperlink>
      <w:r w:rsidRPr="00380B40">
        <w:rPr>
          <w:szCs w:val="24"/>
          <w:lang w:val="en-GB"/>
        </w:rPr>
        <w:t xml:space="preserve">, </w:t>
      </w:r>
      <w:hyperlink r:id="rId819" w:history="1">
        <w:r w:rsidRPr="00380B40">
          <w:rPr>
            <w:rStyle w:val="Hyperlink"/>
            <w:szCs w:val="24"/>
            <w:lang w:val="en-GB"/>
          </w:rPr>
          <w:t>3</w:t>
        </w:r>
      </w:hyperlink>
      <w:r w:rsidRPr="00380B40">
        <w:rPr>
          <w:szCs w:val="24"/>
          <w:lang w:val="en-GB"/>
        </w:rPr>
        <w:t xml:space="preserve">, </w:t>
      </w:r>
      <w:hyperlink r:id="rId820" w:history="1">
        <w:r w:rsidRPr="00380B40">
          <w:rPr>
            <w:rStyle w:val="Hyperlink"/>
            <w:szCs w:val="24"/>
            <w:lang w:val="en-GB"/>
          </w:rPr>
          <w:t>5</w:t>
        </w:r>
      </w:hyperlink>
      <w:r w:rsidRPr="00380B40">
        <w:rPr>
          <w:szCs w:val="24"/>
          <w:lang w:val="en-GB"/>
        </w:rPr>
        <w:t xml:space="preserve">, </w:t>
      </w:r>
      <w:hyperlink r:id="rId821" w:history="1">
        <w:r w:rsidRPr="00380B40">
          <w:rPr>
            <w:rStyle w:val="Hyperlink"/>
            <w:szCs w:val="24"/>
            <w:lang w:val="en-GB"/>
          </w:rPr>
          <w:t>7</w:t>
        </w:r>
      </w:hyperlink>
      <w:r w:rsidRPr="00380B40">
        <w:rPr>
          <w:szCs w:val="24"/>
          <w:lang w:val="en-GB"/>
        </w:rPr>
        <w:t xml:space="preserve">, </w:t>
      </w:r>
      <w:hyperlink r:id="rId822" w:history="1">
        <w:r w:rsidRPr="00380B40">
          <w:rPr>
            <w:rStyle w:val="Hyperlink"/>
            <w:szCs w:val="24"/>
            <w:lang w:val="en-GB"/>
          </w:rPr>
          <w:t>9</w:t>
        </w:r>
      </w:hyperlink>
      <w:r w:rsidRPr="00380B40">
        <w:rPr>
          <w:szCs w:val="24"/>
          <w:lang w:val="en-GB"/>
        </w:rPr>
        <w:t xml:space="preserve">, </w:t>
      </w:r>
      <w:hyperlink r:id="rId823" w:history="1">
        <w:r w:rsidRPr="00380B40">
          <w:rPr>
            <w:rStyle w:val="Hyperlink"/>
            <w:szCs w:val="24"/>
            <w:lang w:val="en-GB"/>
          </w:rPr>
          <w:t>11</w:t>
        </w:r>
      </w:hyperlink>
      <w:r w:rsidRPr="00380B40">
        <w:rPr>
          <w:szCs w:val="24"/>
          <w:lang w:val="en-GB"/>
        </w:rPr>
        <w:t xml:space="preserve">, </w:t>
      </w:r>
      <w:hyperlink r:id="rId824" w:history="1">
        <w:r w:rsidRPr="00380B40">
          <w:rPr>
            <w:rStyle w:val="Hyperlink"/>
            <w:szCs w:val="24"/>
            <w:lang w:val="en-GB"/>
          </w:rPr>
          <w:t>13-R1</w:t>
        </w:r>
      </w:hyperlink>
      <w:r w:rsidRPr="00380B40">
        <w:rPr>
          <w:szCs w:val="24"/>
          <w:lang w:val="en-GB"/>
        </w:rPr>
        <w:t xml:space="preserve">, </w:t>
      </w:r>
      <w:hyperlink r:id="rId825" w:history="1">
        <w:r w:rsidRPr="00380B40">
          <w:rPr>
            <w:rStyle w:val="Hyperlink"/>
            <w:szCs w:val="24"/>
            <w:lang w:val="en-GB"/>
          </w:rPr>
          <w:t>15</w:t>
        </w:r>
      </w:hyperlink>
      <w:r w:rsidRPr="00380B40">
        <w:rPr>
          <w:szCs w:val="24"/>
          <w:lang w:val="en-GB"/>
        </w:rPr>
        <w:t xml:space="preserve">, </w:t>
      </w:r>
      <w:hyperlink r:id="rId826" w:history="1">
        <w:r w:rsidRPr="00380B40">
          <w:rPr>
            <w:rStyle w:val="Hyperlink"/>
            <w:szCs w:val="24"/>
            <w:lang w:val="en-GB"/>
          </w:rPr>
          <w:t>17</w:t>
        </w:r>
      </w:hyperlink>
      <w:r w:rsidRPr="00380B40">
        <w:rPr>
          <w:szCs w:val="24"/>
          <w:lang w:val="en-GB"/>
        </w:rPr>
        <w:t xml:space="preserve">, </w:t>
      </w:r>
      <w:hyperlink r:id="rId827" w:history="1">
        <w:r w:rsidRPr="00380B40">
          <w:rPr>
            <w:rStyle w:val="Hyperlink"/>
            <w:szCs w:val="24"/>
            <w:lang w:val="en-GB"/>
          </w:rPr>
          <w:t>19</w:t>
        </w:r>
      </w:hyperlink>
      <w:r w:rsidRPr="00380B40">
        <w:rPr>
          <w:szCs w:val="24"/>
          <w:lang w:val="en-GB"/>
        </w:rPr>
        <w:t xml:space="preserve">, </w:t>
      </w:r>
      <w:hyperlink r:id="rId828" w:history="1">
        <w:r w:rsidRPr="00380B40">
          <w:rPr>
            <w:rStyle w:val="Hyperlink"/>
            <w:szCs w:val="24"/>
            <w:lang w:val="en-GB"/>
          </w:rPr>
          <w:t>21</w:t>
        </w:r>
      </w:hyperlink>
      <w:r w:rsidRPr="00380B40">
        <w:rPr>
          <w:szCs w:val="24"/>
          <w:lang w:val="en-GB"/>
        </w:rPr>
        <w:t xml:space="preserve"> (reports from SGs). These documents include proposals from SGs and TSAG on Resolution 2 Annex A Part 1 (General areas of study), Annex A Part 2 (Lead SG), Annex B (Points of guidance) and Annex C (List of Recommendations).</w:t>
      </w:r>
    </w:p>
    <w:p w14:paraId="7F062302" w14:textId="77777777" w:rsidR="007D2FB0" w:rsidRPr="00380B40" w:rsidRDefault="007D2FB0" w:rsidP="009033A7">
      <w:pPr>
        <w:rPr>
          <w:szCs w:val="24"/>
          <w:lang w:val="en-GB"/>
        </w:rPr>
      </w:pPr>
      <w:r w:rsidRPr="00380B40">
        <w:rPr>
          <w:szCs w:val="24"/>
          <w:lang w:val="en-GB"/>
        </w:rPr>
        <w:br w:type="page"/>
      </w:r>
    </w:p>
    <w:p w14:paraId="2979FB9D" w14:textId="77777777" w:rsidR="009033A7" w:rsidRPr="00380B40" w:rsidRDefault="009033A7" w:rsidP="009033A7">
      <w:pPr>
        <w:rPr>
          <w:szCs w:val="24"/>
          <w:lang w:val="en-GB"/>
        </w:rPr>
      </w:pPr>
      <w:r w:rsidRPr="00380B40">
        <w:rPr>
          <w:szCs w:val="24"/>
          <w:lang w:val="en-GB"/>
        </w:rPr>
        <w:t xml:space="preserve">The Chairman asked if we can accept the proposals from SGs as detailed in Document </w:t>
      </w:r>
      <w:hyperlink r:id="rId829" w:history="1">
        <w:r w:rsidRPr="00380B40">
          <w:rPr>
            <w:rStyle w:val="Hyperlink"/>
            <w:rFonts w:eastAsia="SimSun"/>
            <w:szCs w:val="24"/>
            <w:lang w:val="en-GB"/>
          </w:rPr>
          <w:t>27</w:t>
        </w:r>
      </w:hyperlink>
      <w:r w:rsidRPr="00380B40">
        <w:rPr>
          <w:szCs w:val="24"/>
          <w:lang w:val="en-GB"/>
        </w:rPr>
        <w:t xml:space="preserve"> and use it as the starting point of the discussion. It was agreed by the meeting.</w:t>
      </w:r>
    </w:p>
    <w:p w14:paraId="47B6817D" w14:textId="77777777" w:rsidR="009033A7" w:rsidRPr="00380B40" w:rsidRDefault="009033A7" w:rsidP="009033A7">
      <w:pPr>
        <w:tabs>
          <w:tab w:val="left" w:pos="426"/>
        </w:tabs>
        <w:spacing w:before="60" w:after="60"/>
        <w:rPr>
          <w:lang w:val="en-GB"/>
        </w:rPr>
      </w:pPr>
      <w:r w:rsidRPr="00380B40">
        <w:rPr>
          <w:lang w:val="en-GB"/>
        </w:rPr>
        <w:t xml:space="preserve">Resolution 2 received the following proposals from Members: </w:t>
      </w:r>
      <w:hyperlink r:id="rId830" w:tgtFrame="_blank" w:history="1">
        <w:r w:rsidRPr="00380B40">
          <w:rPr>
            <w:color w:val="0000FF"/>
            <w:szCs w:val="24"/>
            <w:u w:val="single"/>
            <w:lang w:val="en-GB"/>
          </w:rPr>
          <w:t>EUR/38A30/1</w:t>
        </w:r>
      </w:hyperlink>
      <w:r w:rsidRPr="00380B40">
        <w:rPr>
          <w:lang w:val="en-GB"/>
        </w:rPr>
        <w:t xml:space="preserve">, </w:t>
      </w:r>
      <w:hyperlink r:id="rId831" w:history="1">
        <w:r w:rsidRPr="00380B40">
          <w:rPr>
            <w:color w:val="0000FF"/>
            <w:szCs w:val="24"/>
            <w:u w:val="single"/>
            <w:lang w:val="en-GB"/>
          </w:rPr>
          <w:t>RCC/40/A28/1</w:t>
        </w:r>
      </w:hyperlink>
      <w:r w:rsidRPr="00380B40">
        <w:rPr>
          <w:lang w:val="en-GB"/>
        </w:rPr>
        <w:t xml:space="preserve">, </w:t>
      </w:r>
      <w:hyperlink r:id="rId832" w:tgtFrame="_blank" w:history="1">
        <w:r w:rsidRPr="00380B40">
          <w:rPr>
            <w:color w:val="0000FF"/>
            <w:szCs w:val="24"/>
            <w:u w:val="single"/>
            <w:lang w:val="en-GB"/>
          </w:rPr>
          <w:t>APT/37A2/1</w:t>
        </w:r>
      </w:hyperlink>
      <w:r w:rsidRPr="00380B40">
        <w:rPr>
          <w:lang w:val="en-GB"/>
        </w:rPr>
        <w:t xml:space="preserve"> and </w:t>
      </w:r>
      <w:hyperlink r:id="rId833" w:tgtFrame="_blank" w:history="1">
        <w:r w:rsidRPr="00380B40">
          <w:rPr>
            <w:color w:val="0000FF"/>
            <w:szCs w:val="24"/>
            <w:u w:val="single"/>
            <w:lang w:val="en-GB"/>
          </w:rPr>
          <w:t>ARB/36A13/1</w:t>
        </w:r>
      </w:hyperlink>
      <w:r w:rsidRPr="00380B40">
        <w:rPr>
          <w:lang w:val="en-GB"/>
        </w:rPr>
        <w:t xml:space="preserve">. Each was briefly presented by representatives from CEPT, RCC, APT and AST. </w:t>
      </w:r>
    </w:p>
    <w:p w14:paraId="3F926EE1" w14:textId="77777777" w:rsidR="009033A7" w:rsidRPr="00380B40" w:rsidRDefault="009033A7" w:rsidP="009033A7">
      <w:pPr>
        <w:tabs>
          <w:tab w:val="left" w:pos="426"/>
        </w:tabs>
        <w:spacing w:before="60" w:after="60"/>
        <w:rPr>
          <w:lang w:val="en-GB"/>
        </w:rPr>
      </w:pPr>
      <w:r w:rsidRPr="00380B40">
        <w:rPr>
          <w:lang w:val="en-GB"/>
        </w:rPr>
        <w:t>A discussion occurred that identified issues for clarifications. Some of those were clarified while some others were proposed to be discussed during the established ad hoc.</w:t>
      </w:r>
    </w:p>
    <w:p w14:paraId="6FB478BD" w14:textId="77777777" w:rsidR="009033A7" w:rsidRPr="00380B40" w:rsidRDefault="009033A7" w:rsidP="009033A7">
      <w:pPr>
        <w:tabs>
          <w:tab w:val="left" w:pos="426"/>
        </w:tabs>
        <w:spacing w:before="60" w:after="60"/>
        <w:rPr>
          <w:lang w:val="en-GB"/>
        </w:rPr>
      </w:pPr>
      <w:r w:rsidRPr="00380B40">
        <w:rPr>
          <w:lang w:val="en-GB"/>
        </w:rPr>
        <w:t xml:space="preserve">APT proposed to transfer the Lead SG role of SG20 on </w:t>
      </w:r>
      <w:r w:rsidR="00F82355" w:rsidRPr="00380B40">
        <w:rPr>
          <w:lang w:val="en-GB"/>
        </w:rPr>
        <w:t>"</w:t>
      </w:r>
      <w:r w:rsidRPr="00380B40">
        <w:rPr>
          <w:lang w:val="en-GB"/>
        </w:rPr>
        <w:t>Lead study group for Internet of things identification</w:t>
      </w:r>
      <w:r w:rsidR="00F82355" w:rsidRPr="00380B40">
        <w:rPr>
          <w:lang w:val="en-GB"/>
        </w:rPr>
        <w:t>"</w:t>
      </w:r>
      <w:r w:rsidRPr="00380B40">
        <w:rPr>
          <w:lang w:val="en-GB"/>
        </w:rPr>
        <w:t xml:space="preserve"> to SG2. The meeting felt that if restructuring was to be discussed it would need to be discussed holistically. The decision was to postpone restructuring to WTSA-24. Discussions related to restructuring will be undertaken at the next WTSA. With such understanding, APT agreed to take out its contribution from discussion. </w:t>
      </w:r>
    </w:p>
    <w:p w14:paraId="7988E40A" w14:textId="77777777" w:rsidR="009033A7" w:rsidRPr="00380B40" w:rsidRDefault="009033A7" w:rsidP="009033A7">
      <w:pPr>
        <w:tabs>
          <w:tab w:val="left" w:pos="426"/>
        </w:tabs>
        <w:spacing w:before="60" w:after="60"/>
        <w:rPr>
          <w:lang w:val="en-GB"/>
        </w:rPr>
      </w:pPr>
      <w:r w:rsidRPr="00380B40">
        <w:rPr>
          <w:lang w:val="en-GB"/>
        </w:rPr>
        <w:t>The proposal of NOC from CEPT was to be taken into account by the ad hoc during the discussions as an alternative view.</w:t>
      </w:r>
    </w:p>
    <w:p w14:paraId="13A15DBB" w14:textId="77777777" w:rsidR="009033A7" w:rsidRPr="00380B40" w:rsidRDefault="009033A7" w:rsidP="009033A7">
      <w:pPr>
        <w:tabs>
          <w:tab w:val="left" w:pos="426"/>
        </w:tabs>
        <w:spacing w:before="60" w:after="60"/>
        <w:rPr>
          <w:lang w:val="en-GB"/>
        </w:rPr>
      </w:pPr>
      <w:r w:rsidRPr="00380B40">
        <w:rPr>
          <w:lang w:val="en-GB"/>
        </w:rPr>
        <w:t>The Chairman proposed and the meeting agreed to establish an ad hoc group to meet during lunch time on 2 March to clarify the various issues raised and work on the mandates of the SGs 2, 3 and 11. Mr Ahmed Atyya, Sudan, agreed to act as Convener of the ad hoc.</w:t>
      </w:r>
    </w:p>
    <w:p w14:paraId="3095796B" w14:textId="77777777" w:rsidR="009033A7" w:rsidRPr="00380B40" w:rsidRDefault="009033A7" w:rsidP="009033A7">
      <w:pPr>
        <w:tabs>
          <w:tab w:val="left" w:pos="426"/>
        </w:tabs>
        <w:spacing w:before="60" w:after="60"/>
        <w:rPr>
          <w:lang w:val="en-GB"/>
        </w:rPr>
      </w:pPr>
      <w:r w:rsidRPr="00380B40">
        <w:rPr>
          <w:lang w:val="en-GB"/>
        </w:rPr>
        <w:t xml:space="preserve">Ad hoc was mandated with three proposals </w:t>
      </w:r>
      <w:hyperlink r:id="rId834" w:tgtFrame="_blank" w:history="1">
        <w:r w:rsidRPr="00380B40">
          <w:rPr>
            <w:color w:val="0000FF"/>
            <w:szCs w:val="24"/>
            <w:u w:val="single"/>
            <w:lang w:val="en-GB"/>
          </w:rPr>
          <w:t>EUR/38A30/1</w:t>
        </w:r>
      </w:hyperlink>
      <w:r w:rsidRPr="00380B40">
        <w:rPr>
          <w:lang w:val="en-GB"/>
        </w:rPr>
        <w:t xml:space="preserve">, </w:t>
      </w:r>
      <w:hyperlink r:id="rId835" w:history="1">
        <w:r w:rsidRPr="00380B40">
          <w:rPr>
            <w:color w:val="0000FF"/>
            <w:szCs w:val="24"/>
            <w:u w:val="single"/>
            <w:lang w:val="en-GB"/>
          </w:rPr>
          <w:t>RCC/40/A28/1</w:t>
        </w:r>
      </w:hyperlink>
      <w:r w:rsidRPr="00380B40">
        <w:rPr>
          <w:lang w:val="en-GB"/>
        </w:rPr>
        <w:t xml:space="preserve"> and </w:t>
      </w:r>
      <w:hyperlink r:id="rId836" w:tgtFrame="_blank" w:history="1">
        <w:r w:rsidRPr="00380B40">
          <w:rPr>
            <w:color w:val="0000FF"/>
            <w:szCs w:val="24"/>
            <w:u w:val="single"/>
            <w:lang w:val="en-GB"/>
          </w:rPr>
          <w:t>ARB/36A13/1</w:t>
        </w:r>
      </w:hyperlink>
      <w:r w:rsidRPr="00380B40">
        <w:rPr>
          <w:color w:val="0000FF"/>
          <w:szCs w:val="24"/>
          <w:u w:val="single"/>
          <w:lang w:val="en-GB"/>
        </w:rPr>
        <w:t xml:space="preserve"> </w:t>
      </w:r>
      <w:r w:rsidRPr="00380B40">
        <w:rPr>
          <w:lang w:val="en-GB"/>
        </w:rPr>
        <w:t>which were referred to the ad hoc group and report to COM4 with a document that highlights the consensus achieved on the three proposals and a new revised text of Resolution 2.</w:t>
      </w:r>
    </w:p>
    <w:p w14:paraId="715FD755" w14:textId="77777777" w:rsidR="009033A7" w:rsidRPr="00380B40" w:rsidRDefault="009033A7" w:rsidP="009033A7">
      <w:pPr>
        <w:rPr>
          <w:i/>
          <w:iCs/>
          <w:lang w:val="en-GB"/>
        </w:rPr>
      </w:pPr>
      <w:r w:rsidRPr="00380B40">
        <w:rPr>
          <w:lang w:val="en-GB"/>
        </w:rPr>
        <w:t xml:space="preserve">The chairman of the ad-hoc group on SGs 2, 3 and 11 mandates reported that the ad-hoc group reached an agreement except one sentence in the second bullet of SG2 mandate which is still in square bracket. The updated Resolution 2 is given in </w:t>
      </w:r>
      <w:hyperlink r:id="rId837" w:history="1">
        <w:r w:rsidRPr="00380B40">
          <w:rPr>
            <w:rStyle w:val="Hyperlink"/>
            <w:lang w:val="en-GB"/>
          </w:rPr>
          <w:t>DT/46</w:t>
        </w:r>
      </w:hyperlink>
      <w:r w:rsidRPr="00380B40">
        <w:rPr>
          <w:lang w:val="en-GB"/>
        </w:rPr>
        <w:t xml:space="preserve">. The issue was resolved by removing the bullet which was in square bracket. With that amendment the </w:t>
      </w:r>
      <w:hyperlink r:id="rId838" w:history="1">
        <w:r w:rsidRPr="00380B40">
          <w:rPr>
            <w:rStyle w:val="Hyperlink"/>
            <w:lang w:val="en-GB"/>
          </w:rPr>
          <w:t>DT/46</w:t>
        </w:r>
      </w:hyperlink>
      <w:r w:rsidRPr="00380B40">
        <w:rPr>
          <w:lang w:val="en-GB"/>
        </w:rPr>
        <w:t xml:space="preserve"> was approved by COM4. Updated Resolution can be found in </w:t>
      </w:r>
      <w:hyperlink r:id="rId839" w:history="1">
        <w:r w:rsidRPr="00380B40">
          <w:rPr>
            <w:rStyle w:val="Hyperlink"/>
            <w:lang w:val="en-GB"/>
          </w:rPr>
          <w:t>DT/46R1</w:t>
        </w:r>
      </w:hyperlink>
      <w:r w:rsidRPr="00380B40">
        <w:rPr>
          <w:lang w:val="en-GB"/>
        </w:rPr>
        <w:t>.</w:t>
      </w:r>
    </w:p>
    <w:p w14:paraId="04D4D371" w14:textId="77777777" w:rsidR="009033A7" w:rsidRPr="00380B40" w:rsidRDefault="009033A7" w:rsidP="009033A7">
      <w:pPr>
        <w:rPr>
          <w:lang w:val="en-GB"/>
        </w:rPr>
      </w:pPr>
      <w:r w:rsidRPr="00380B40">
        <w:rPr>
          <w:lang w:val="en-GB"/>
        </w:rPr>
        <w:t xml:space="preserve">Plenary is requested to approve draft revised Resolution 2 as found in Document </w:t>
      </w:r>
      <w:hyperlink r:id="rId840" w:history="1">
        <w:r w:rsidRPr="00380B40">
          <w:rPr>
            <w:rStyle w:val="Hyperlink"/>
            <w:lang w:val="en-GB"/>
          </w:rPr>
          <w:t>72</w:t>
        </w:r>
      </w:hyperlink>
      <w:r w:rsidRPr="00380B40">
        <w:rPr>
          <w:lang w:val="en-GB"/>
        </w:rPr>
        <w:t>. Action already taken by the Plenary.</w:t>
      </w:r>
    </w:p>
    <w:p w14:paraId="73C03764" w14:textId="77777777" w:rsidR="009033A7" w:rsidRPr="00380B40" w:rsidRDefault="009033A7" w:rsidP="009033A7">
      <w:pPr>
        <w:pStyle w:val="Heading3"/>
        <w:rPr>
          <w:lang w:val="en-GB"/>
        </w:rPr>
      </w:pPr>
      <w:bookmarkStart w:id="2610" w:name="_Toc111637314"/>
      <w:r w:rsidRPr="00380B40">
        <w:rPr>
          <w:lang w:val="en-GB"/>
        </w:rPr>
        <w:t>2.1.3</w:t>
      </w:r>
      <w:r w:rsidRPr="00380B40">
        <w:rPr>
          <w:lang w:val="en-GB"/>
        </w:rPr>
        <w:tab/>
        <w:t>Questions</w:t>
      </w:r>
      <w:bookmarkEnd w:id="2610"/>
    </w:p>
    <w:p w14:paraId="3019F103" w14:textId="77777777" w:rsidR="009033A7" w:rsidRPr="00380B40" w:rsidRDefault="009033A7" w:rsidP="009033A7">
      <w:pPr>
        <w:pStyle w:val="Heading4"/>
        <w:rPr>
          <w:lang w:val="en-GB"/>
        </w:rPr>
      </w:pPr>
      <w:r w:rsidRPr="00380B40">
        <w:rPr>
          <w:lang w:val="en-GB"/>
        </w:rPr>
        <w:t>2.1.3.1</w:t>
      </w:r>
      <w:r w:rsidRPr="00380B40">
        <w:rPr>
          <w:lang w:val="en-GB"/>
        </w:rPr>
        <w:tab/>
        <w:t>Questions proposed by Study Groups</w:t>
      </w:r>
    </w:p>
    <w:p w14:paraId="6E3FD954" w14:textId="77777777" w:rsidR="009033A7" w:rsidRPr="00380B40" w:rsidRDefault="009033A7" w:rsidP="009033A7">
      <w:pPr>
        <w:rPr>
          <w:lang w:val="en-GB"/>
        </w:rPr>
      </w:pPr>
      <w:r w:rsidRPr="00380B40">
        <w:rPr>
          <w:lang w:val="en-GB"/>
        </w:rPr>
        <w:t xml:space="preserve">Proposed New Questions from SGs are contained in Documents </w:t>
      </w:r>
      <w:hyperlink r:id="rId841" w:history="1">
        <w:r w:rsidRPr="00380B40">
          <w:rPr>
            <w:rStyle w:val="Hyperlink"/>
            <w:szCs w:val="24"/>
            <w:lang w:val="en-GB"/>
          </w:rPr>
          <w:t>2</w:t>
        </w:r>
      </w:hyperlink>
      <w:r w:rsidRPr="00380B40">
        <w:rPr>
          <w:szCs w:val="24"/>
          <w:lang w:val="en-GB"/>
        </w:rPr>
        <w:t xml:space="preserve">, </w:t>
      </w:r>
      <w:hyperlink r:id="rId842" w:history="1">
        <w:r w:rsidRPr="00380B40">
          <w:rPr>
            <w:rStyle w:val="Hyperlink"/>
            <w:szCs w:val="24"/>
            <w:lang w:val="en-GB"/>
          </w:rPr>
          <w:t>4</w:t>
        </w:r>
      </w:hyperlink>
      <w:r w:rsidRPr="00380B40">
        <w:rPr>
          <w:rStyle w:val="Hyperlink"/>
          <w:szCs w:val="24"/>
          <w:lang w:val="en-GB"/>
        </w:rPr>
        <w:t>-R1</w:t>
      </w:r>
      <w:r w:rsidRPr="00380B40">
        <w:rPr>
          <w:szCs w:val="24"/>
          <w:lang w:val="en-GB"/>
        </w:rPr>
        <w:t xml:space="preserve">, </w:t>
      </w:r>
      <w:hyperlink r:id="rId843" w:history="1">
        <w:r w:rsidRPr="00380B40">
          <w:rPr>
            <w:rStyle w:val="Hyperlink"/>
            <w:szCs w:val="24"/>
            <w:lang w:val="en-GB"/>
          </w:rPr>
          <w:t>6</w:t>
        </w:r>
      </w:hyperlink>
      <w:r w:rsidRPr="00380B40">
        <w:rPr>
          <w:szCs w:val="24"/>
          <w:lang w:val="en-GB"/>
        </w:rPr>
        <w:t xml:space="preserve">, </w:t>
      </w:r>
      <w:hyperlink r:id="rId844" w:history="1">
        <w:r w:rsidRPr="00380B40">
          <w:rPr>
            <w:rStyle w:val="Hyperlink"/>
            <w:szCs w:val="24"/>
            <w:lang w:val="en-GB"/>
          </w:rPr>
          <w:t>8</w:t>
        </w:r>
      </w:hyperlink>
      <w:r w:rsidRPr="00380B40">
        <w:rPr>
          <w:szCs w:val="24"/>
          <w:lang w:val="en-GB"/>
        </w:rPr>
        <w:t xml:space="preserve">, </w:t>
      </w:r>
      <w:hyperlink r:id="rId845" w:history="1">
        <w:r w:rsidRPr="00380B40">
          <w:rPr>
            <w:rStyle w:val="Hyperlink"/>
            <w:szCs w:val="24"/>
            <w:lang w:val="en-GB"/>
          </w:rPr>
          <w:t>10</w:t>
        </w:r>
      </w:hyperlink>
      <w:r w:rsidRPr="00380B40">
        <w:rPr>
          <w:szCs w:val="24"/>
          <w:lang w:val="en-GB"/>
        </w:rPr>
        <w:t xml:space="preserve">, </w:t>
      </w:r>
      <w:hyperlink r:id="rId846" w:history="1">
        <w:r w:rsidRPr="00380B40">
          <w:rPr>
            <w:rStyle w:val="Hyperlink"/>
            <w:szCs w:val="24"/>
            <w:lang w:val="en-GB"/>
          </w:rPr>
          <w:t>12</w:t>
        </w:r>
      </w:hyperlink>
      <w:r w:rsidRPr="00380B40">
        <w:rPr>
          <w:szCs w:val="24"/>
          <w:lang w:val="en-GB"/>
        </w:rPr>
        <w:t xml:space="preserve">, </w:t>
      </w:r>
      <w:hyperlink r:id="rId847" w:history="1">
        <w:r w:rsidRPr="00380B40">
          <w:rPr>
            <w:rStyle w:val="Hyperlink"/>
            <w:szCs w:val="24"/>
            <w:lang w:val="en-GB"/>
          </w:rPr>
          <w:t>14-R1</w:t>
        </w:r>
      </w:hyperlink>
      <w:r w:rsidRPr="00380B40">
        <w:rPr>
          <w:szCs w:val="24"/>
          <w:lang w:val="en-GB"/>
        </w:rPr>
        <w:t xml:space="preserve">, </w:t>
      </w:r>
      <w:hyperlink r:id="rId848" w:history="1">
        <w:r w:rsidRPr="00380B40">
          <w:rPr>
            <w:rStyle w:val="Hyperlink"/>
            <w:szCs w:val="24"/>
            <w:lang w:val="en-GB"/>
          </w:rPr>
          <w:t>16-R1</w:t>
        </w:r>
      </w:hyperlink>
      <w:r w:rsidRPr="00380B40">
        <w:rPr>
          <w:szCs w:val="24"/>
          <w:lang w:val="en-GB"/>
        </w:rPr>
        <w:t xml:space="preserve">, </w:t>
      </w:r>
      <w:hyperlink r:id="rId849" w:history="1">
        <w:r w:rsidRPr="00380B40">
          <w:rPr>
            <w:rStyle w:val="Hyperlink"/>
            <w:szCs w:val="24"/>
            <w:lang w:val="en-GB"/>
          </w:rPr>
          <w:t>18</w:t>
        </w:r>
      </w:hyperlink>
      <w:r w:rsidRPr="00380B40">
        <w:rPr>
          <w:szCs w:val="24"/>
          <w:lang w:val="en-GB"/>
        </w:rPr>
        <w:t xml:space="preserve">, </w:t>
      </w:r>
      <w:hyperlink r:id="rId850" w:history="1">
        <w:r w:rsidRPr="00380B40">
          <w:rPr>
            <w:rStyle w:val="Hyperlink"/>
            <w:szCs w:val="24"/>
            <w:lang w:val="en-GB"/>
          </w:rPr>
          <w:t>20-R1</w:t>
        </w:r>
      </w:hyperlink>
      <w:r w:rsidRPr="00380B40">
        <w:rPr>
          <w:szCs w:val="24"/>
          <w:lang w:val="en-GB"/>
        </w:rPr>
        <w:t xml:space="preserve">, </w:t>
      </w:r>
      <w:hyperlink r:id="rId851" w:history="1">
        <w:r w:rsidRPr="00380B40">
          <w:rPr>
            <w:rStyle w:val="Hyperlink"/>
            <w:szCs w:val="24"/>
            <w:lang w:val="en-GB"/>
          </w:rPr>
          <w:t>22-R1</w:t>
        </w:r>
      </w:hyperlink>
      <w:r w:rsidRPr="00380B40">
        <w:rPr>
          <w:lang w:val="en-GB"/>
        </w:rPr>
        <w:t xml:space="preserve">. They are being proposed for approval as they were received from Study Groups. This was accepted with the assumption to assess the potential impact of the Resolution 2 text as it comes from the Adhoc on SGs 2, 3 and 11 on these Questions. After reviewing the draft revised Resolution 2, the meeting considered that the changes to Resolution 2 do not affect the Questions proposed by Study Groups 2, 3 and 11. The meeting decided to adopt Questions from Study Groups 2, 3 and 11 as contained in Documents </w:t>
      </w:r>
      <w:hyperlink r:id="rId852" w:history="1">
        <w:r w:rsidRPr="00380B40">
          <w:rPr>
            <w:rStyle w:val="Hyperlink"/>
            <w:szCs w:val="24"/>
            <w:lang w:val="en-GB"/>
          </w:rPr>
          <w:t>2</w:t>
        </w:r>
      </w:hyperlink>
      <w:r w:rsidRPr="00380B40">
        <w:rPr>
          <w:szCs w:val="24"/>
          <w:lang w:val="en-GB"/>
        </w:rPr>
        <w:t xml:space="preserve">, </w:t>
      </w:r>
      <w:hyperlink r:id="rId853" w:history="1">
        <w:r w:rsidRPr="00380B40">
          <w:rPr>
            <w:rStyle w:val="Hyperlink"/>
            <w:szCs w:val="24"/>
            <w:lang w:val="en-GB"/>
          </w:rPr>
          <w:t>4</w:t>
        </w:r>
      </w:hyperlink>
      <w:r w:rsidRPr="00380B40">
        <w:rPr>
          <w:rStyle w:val="Hyperlink"/>
          <w:szCs w:val="24"/>
          <w:lang w:val="en-GB"/>
        </w:rPr>
        <w:t>-R1</w:t>
      </w:r>
      <w:r w:rsidRPr="00380B40">
        <w:rPr>
          <w:szCs w:val="24"/>
          <w:lang w:val="en-GB"/>
        </w:rPr>
        <w:t xml:space="preserve">, and </w:t>
      </w:r>
      <w:hyperlink r:id="rId854" w:history="1">
        <w:r w:rsidRPr="00380B40">
          <w:rPr>
            <w:rStyle w:val="Hyperlink"/>
            <w:szCs w:val="24"/>
            <w:lang w:val="en-GB"/>
          </w:rPr>
          <w:t>10</w:t>
        </w:r>
      </w:hyperlink>
      <w:r w:rsidRPr="00380B40">
        <w:rPr>
          <w:szCs w:val="24"/>
          <w:lang w:val="en-GB"/>
        </w:rPr>
        <w:t xml:space="preserve"> </w:t>
      </w:r>
      <w:r w:rsidRPr="00380B40">
        <w:rPr>
          <w:lang w:val="en-GB"/>
        </w:rPr>
        <w:t xml:space="preserve">in addition to the ones already adopted in the first COM4 meeting contained in Documents </w:t>
      </w:r>
      <w:hyperlink r:id="rId855" w:history="1">
        <w:r w:rsidRPr="00380B40">
          <w:rPr>
            <w:rStyle w:val="Hyperlink"/>
            <w:szCs w:val="24"/>
            <w:lang w:val="en-GB"/>
          </w:rPr>
          <w:t>12</w:t>
        </w:r>
      </w:hyperlink>
      <w:r w:rsidRPr="00380B40">
        <w:rPr>
          <w:szCs w:val="24"/>
          <w:lang w:val="en-GB"/>
        </w:rPr>
        <w:t xml:space="preserve">, </w:t>
      </w:r>
      <w:hyperlink r:id="rId856" w:history="1">
        <w:r w:rsidRPr="00380B40">
          <w:rPr>
            <w:rStyle w:val="Hyperlink"/>
            <w:szCs w:val="24"/>
            <w:lang w:val="en-GB"/>
          </w:rPr>
          <w:t>14-R1</w:t>
        </w:r>
      </w:hyperlink>
      <w:r w:rsidRPr="00380B40">
        <w:rPr>
          <w:szCs w:val="24"/>
          <w:lang w:val="en-GB"/>
        </w:rPr>
        <w:t xml:space="preserve">, </w:t>
      </w:r>
      <w:hyperlink r:id="rId857" w:history="1">
        <w:r w:rsidRPr="00380B40">
          <w:rPr>
            <w:rStyle w:val="Hyperlink"/>
            <w:szCs w:val="24"/>
            <w:lang w:val="en-GB"/>
          </w:rPr>
          <w:t>16-R1</w:t>
        </w:r>
      </w:hyperlink>
      <w:r w:rsidRPr="00380B40">
        <w:rPr>
          <w:szCs w:val="24"/>
          <w:lang w:val="en-GB"/>
        </w:rPr>
        <w:t xml:space="preserve">, </w:t>
      </w:r>
      <w:hyperlink r:id="rId858" w:history="1">
        <w:r w:rsidRPr="00380B40">
          <w:rPr>
            <w:rStyle w:val="Hyperlink"/>
            <w:szCs w:val="24"/>
            <w:lang w:val="en-GB"/>
          </w:rPr>
          <w:t>18</w:t>
        </w:r>
      </w:hyperlink>
      <w:r w:rsidRPr="00380B40">
        <w:rPr>
          <w:szCs w:val="24"/>
          <w:lang w:val="en-GB"/>
        </w:rPr>
        <w:t xml:space="preserve">, </w:t>
      </w:r>
      <w:hyperlink r:id="rId859" w:history="1">
        <w:r w:rsidRPr="00380B40">
          <w:rPr>
            <w:rStyle w:val="Hyperlink"/>
            <w:szCs w:val="24"/>
            <w:lang w:val="en-GB"/>
          </w:rPr>
          <w:t>20-R1</w:t>
        </w:r>
      </w:hyperlink>
      <w:r w:rsidRPr="00380B40">
        <w:rPr>
          <w:szCs w:val="24"/>
          <w:lang w:val="en-GB"/>
        </w:rPr>
        <w:t xml:space="preserve">, </w:t>
      </w:r>
      <w:hyperlink r:id="rId860" w:history="1">
        <w:r w:rsidRPr="00380B40">
          <w:rPr>
            <w:rStyle w:val="Hyperlink"/>
            <w:szCs w:val="24"/>
            <w:lang w:val="en-GB"/>
          </w:rPr>
          <w:t>22-R1</w:t>
        </w:r>
      </w:hyperlink>
      <w:r w:rsidRPr="00380B40">
        <w:rPr>
          <w:lang w:val="en-GB"/>
        </w:rPr>
        <w:t>.</w:t>
      </w:r>
    </w:p>
    <w:p w14:paraId="2281522B" w14:textId="77777777" w:rsidR="00AD0C2E" w:rsidRPr="00380B40" w:rsidRDefault="00AD0C2E" w:rsidP="009033A7">
      <w:pPr>
        <w:rPr>
          <w:lang w:val="en-GB"/>
        </w:rPr>
      </w:pPr>
      <w:r w:rsidRPr="00380B40">
        <w:rPr>
          <w:lang w:val="en-GB"/>
        </w:rPr>
        <w:br w:type="page"/>
      </w:r>
    </w:p>
    <w:p w14:paraId="563A0FC4" w14:textId="77777777" w:rsidR="009033A7" w:rsidRPr="00380B40" w:rsidRDefault="009033A7" w:rsidP="009033A7">
      <w:pPr>
        <w:rPr>
          <w:lang w:val="en-GB"/>
        </w:rPr>
      </w:pPr>
      <w:r w:rsidRPr="00380B40">
        <w:rPr>
          <w:lang w:val="en-GB"/>
        </w:rPr>
        <w:t xml:space="preserve">Plenary is requested to approve draft revised Questions proposed by Study Groups as found in Documents </w:t>
      </w:r>
      <w:hyperlink r:id="rId861" w:history="1">
        <w:r w:rsidRPr="00380B40">
          <w:rPr>
            <w:rStyle w:val="Hyperlink"/>
            <w:szCs w:val="24"/>
            <w:lang w:val="en-GB"/>
          </w:rPr>
          <w:t>2</w:t>
        </w:r>
      </w:hyperlink>
      <w:r w:rsidRPr="00380B40">
        <w:rPr>
          <w:szCs w:val="24"/>
          <w:lang w:val="en-GB"/>
        </w:rPr>
        <w:t xml:space="preserve">, </w:t>
      </w:r>
      <w:hyperlink r:id="rId862" w:history="1">
        <w:r w:rsidRPr="00380B40">
          <w:rPr>
            <w:rStyle w:val="Hyperlink"/>
            <w:szCs w:val="24"/>
            <w:lang w:val="en-GB"/>
          </w:rPr>
          <w:t>4</w:t>
        </w:r>
      </w:hyperlink>
      <w:r w:rsidRPr="00380B40">
        <w:rPr>
          <w:rStyle w:val="Hyperlink"/>
          <w:szCs w:val="24"/>
          <w:lang w:val="en-GB"/>
        </w:rPr>
        <w:t>-R1</w:t>
      </w:r>
      <w:r w:rsidRPr="00380B40">
        <w:rPr>
          <w:szCs w:val="24"/>
          <w:lang w:val="en-GB"/>
        </w:rPr>
        <w:t xml:space="preserve">, </w:t>
      </w:r>
      <w:hyperlink r:id="rId863" w:history="1">
        <w:r w:rsidRPr="00380B40">
          <w:rPr>
            <w:rStyle w:val="Hyperlink"/>
            <w:szCs w:val="24"/>
            <w:lang w:val="en-GB"/>
          </w:rPr>
          <w:t>6</w:t>
        </w:r>
      </w:hyperlink>
      <w:r w:rsidRPr="00380B40">
        <w:rPr>
          <w:szCs w:val="24"/>
          <w:lang w:val="en-GB"/>
        </w:rPr>
        <w:t xml:space="preserve">, </w:t>
      </w:r>
      <w:hyperlink r:id="rId864" w:history="1">
        <w:r w:rsidRPr="00380B40">
          <w:rPr>
            <w:rStyle w:val="Hyperlink"/>
            <w:szCs w:val="24"/>
            <w:lang w:val="en-GB"/>
          </w:rPr>
          <w:t>8</w:t>
        </w:r>
      </w:hyperlink>
      <w:r w:rsidRPr="00380B40">
        <w:rPr>
          <w:szCs w:val="24"/>
          <w:lang w:val="en-GB"/>
        </w:rPr>
        <w:t xml:space="preserve">, </w:t>
      </w:r>
      <w:hyperlink r:id="rId865" w:history="1">
        <w:r w:rsidRPr="00380B40">
          <w:rPr>
            <w:rStyle w:val="Hyperlink"/>
            <w:szCs w:val="24"/>
            <w:lang w:val="en-GB"/>
          </w:rPr>
          <w:t>10</w:t>
        </w:r>
      </w:hyperlink>
      <w:r w:rsidRPr="00380B40">
        <w:rPr>
          <w:szCs w:val="24"/>
          <w:lang w:val="en-GB"/>
        </w:rPr>
        <w:t xml:space="preserve">, </w:t>
      </w:r>
      <w:hyperlink r:id="rId866" w:history="1">
        <w:r w:rsidRPr="00380B40">
          <w:rPr>
            <w:rStyle w:val="Hyperlink"/>
            <w:szCs w:val="24"/>
            <w:lang w:val="en-GB"/>
          </w:rPr>
          <w:t>12</w:t>
        </w:r>
      </w:hyperlink>
      <w:r w:rsidRPr="00380B40">
        <w:rPr>
          <w:szCs w:val="24"/>
          <w:lang w:val="en-GB"/>
        </w:rPr>
        <w:t xml:space="preserve">, </w:t>
      </w:r>
      <w:hyperlink r:id="rId867" w:history="1">
        <w:r w:rsidRPr="00380B40">
          <w:rPr>
            <w:rStyle w:val="Hyperlink"/>
            <w:szCs w:val="24"/>
            <w:lang w:val="en-GB"/>
          </w:rPr>
          <w:t>14-R1</w:t>
        </w:r>
      </w:hyperlink>
      <w:r w:rsidRPr="00380B40">
        <w:rPr>
          <w:szCs w:val="24"/>
          <w:lang w:val="en-GB"/>
        </w:rPr>
        <w:t xml:space="preserve">, </w:t>
      </w:r>
      <w:hyperlink r:id="rId868" w:history="1">
        <w:r w:rsidRPr="00380B40">
          <w:rPr>
            <w:rStyle w:val="Hyperlink"/>
            <w:szCs w:val="24"/>
            <w:lang w:val="en-GB"/>
          </w:rPr>
          <w:t>16-R1</w:t>
        </w:r>
      </w:hyperlink>
      <w:r w:rsidRPr="00380B40">
        <w:rPr>
          <w:szCs w:val="24"/>
          <w:lang w:val="en-GB"/>
        </w:rPr>
        <w:t xml:space="preserve">, </w:t>
      </w:r>
      <w:hyperlink r:id="rId869" w:history="1">
        <w:r w:rsidRPr="00380B40">
          <w:rPr>
            <w:rStyle w:val="Hyperlink"/>
            <w:szCs w:val="24"/>
            <w:lang w:val="en-GB"/>
          </w:rPr>
          <w:t>18</w:t>
        </w:r>
      </w:hyperlink>
      <w:r w:rsidRPr="00380B40">
        <w:rPr>
          <w:szCs w:val="24"/>
          <w:lang w:val="en-GB"/>
        </w:rPr>
        <w:t xml:space="preserve">, </w:t>
      </w:r>
      <w:hyperlink r:id="rId870" w:history="1">
        <w:r w:rsidRPr="00380B40">
          <w:rPr>
            <w:rStyle w:val="Hyperlink"/>
            <w:szCs w:val="24"/>
            <w:lang w:val="en-GB"/>
          </w:rPr>
          <w:t>20-R1</w:t>
        </w:r>
      </w:hyperlink>
      <w:r w:rsidRPr="00380B40">
        <w:rPr>
          <w:szCs w:val="24"/>
          <w:lang w:val="en-GB"/>
        </w:rPr>
        <w:t xml:space="preserve">, </w:t>
      </w:r>
      <w:hyperlink r:id="rId871" w:history="1">
        <w:r w:rsidRPr="00380B40">
          <w:rPr>
            <w:rStyle w:val="Hyperlink"/>
            <w:szCs w:val="24"/>
            <w:lang w:val="en-GB"/>
          </w:rPr>
          <w:t>22-R1</w:t>
        </w:r>
      </w:hyperlink>
      <w:r w:rsidRPr="00380B40">
        <w:rPr>
          <w:lang w:val="en-GB"/>
        </w:rPr>
        <w:t>. Action already taken by the Plenary.</w:t>
      </w:r>
    </w:p>
    <w:p w14:paraId="0C7BAB5F" w14:textId="77777777" w:rsidR="009033A7" w:rsidRPr="00380B40" w:rsidRDefault="009033A7" w:rsidP="009033A7">
      <w:pPr>
        <w:pStyle w:val="Heading4"/>
        <w:rPr>
          <w:lang w:val="en-GB"/>
        </w:rPr>
      </w:pPr>
      <w:r w:rsidRPr="00380B40">
        <w:rPr>
          <w:lang w:val="en-GB"/>
        </w:rPr>
        <w:t>2.1.3.2</w:t>
      </w:r>
      <w:r w:rsidRPr="00380B40">
        <w:rPr>
          <w:lang w:val="en-GB"/>
        </w:rPr>
        <w:tab/>
        <w:t>Proposed New Question for SG3 on OTTs</w:t>
      </w:r>
    </w:p>
    <w:p w14:paraId="7F6A14D4" w14:textId="77777777" w:rsidR="009033A7" w:rsidRPr="00380B40" w:rsidRDefault="009033A7" w:rsidP="009033A7">
      <w:pPr>
        <w:rPr>
          <w:iCs/>
          <w:lang w:val="en-GB"/>
        </w:rPr>
      </w:pPr>
      <w:r w:rsidRPr="00380B40">
        <w:rPr>
          <w:iCs/>
          <w:lang w:val="en-GB"/>
        </w:rPr>
        <w:t xml:space="preserve">A New Question for SG3 on OTTs was proposed by ATU </w:t>
      </w:r>
      <w:hyperlink r:id="rId872" w:tgtFrame="_blank" w:history="1">
        <w:r w:rsidRPr="00380B40">
          <w:rPr>
            <w:rStyle w:val="Hyperlink"/>
            <w:bCs/>
            <w:iCs/>
            <w:szCs w:val="24"/>
            <w:lang w:val="en-GB"/>
          </w:rPr>
          <w:t>AFCP/35A33/1</w:t>
        </w:r>
      </w:hyperlink>
      <w:r w:rsidRPr="00380B40">
        <w:rPr>
          <w:iCs/>
          <w:lang w:val="en-GB"/>
        </w:rPr>
        <w:t>.</w:t>
      </w:r>
    </w:p>
    <w:p w14:paraId="23AE077F" w14:textId="77777777" w:rsidR="009033A7" w:rsidRPr="00380B40" w:rsidRDefault="009033A7" w:rsidP="009033A7">
      <w:pPr>
        <w:rPr>
          <w:iCs/>
          <w:lang w:val="en-GB"/>
        </w:rPr>
      </w:pPr>
      <w:r w:rsidRPr="00380B40">
        <w:rPr>
          <w:iCs/>
          <w:lang w:val="en-GB"/>
        </w:rPr>
        <w:t>It was widely agreed that OTT is a very important topic that has impact in developed and developing countries. Various views were expressed on the need of a new Question in SG3 on this topic as it seemed that the current SG3 structure (e.g. the continuation of Question 9/3) allows already for work on the topic of the Question proposed. There is in fact ongoing work in SG3 on the topic as well as some achieved results including Recommendations approved on the topic and agreement to organize a workshop on digital taxation.</w:t>
      </w:r>
    </w:p>
    <w:p w14:paraId="66625DFD" w14:textId="77777777" w:rsidR="009033A7" w:rsidRPr="00380B40" w:rsidRDefault="009033A7" w:rsidP="009033A7">
      <w:pPr>
        <w:rPr>
          <w:iCs/>
          <w:lang w:val="en-GB"/>
        </w:rPr>
      </w:pPr>
      <w:r w:rsidRPr="00380B40">
        <w:rPr>
          <w:iCs/>
          <w:lang w:val="en-GB"/>
        </w:rPr>
        <w:t xml:space="preserve">After discussion it was agreed </w:t>
      </w:r>
      <w:r w:rsidRPr="00380B40">
        <w:rPr>
          <w:b/>
          <w:bCs/>
          <w:iCs/>
          <w:lang w:val="en-GB"/>
        </w:rPr>
        <w:t>to request the WTSA plenary to instruct the SG3 to consider the proposal from the ATU</w:t>
      </w:r>
      <w:r w:rsidRPr="00380B40">
        <w:rPr>
          <w:iCs/>
          <w:lang w:val="en-GB"/>
        </w:rPr>
        <w:t xml:space="preserve"> </w:t>
      </w:r>
      <w:hyperlink r:id="rId873" w:tgtFrame="_blank" w:history="1">
        <w:r w:rsidRPr="00380B40">
          <w:rPr>
            <w:rStyle w:val="Hyperlink"/>
            <w:bCs/>
            <w:iCs/>
            <w:szCs w:val="24"/>
            <w:lang w:val="en-GB"/>
          </w:rPr>
          <w:t>AFCP/35A33/1</w:t>
        </w:r>
      </w:hyperlink>
      <w:r w:rsidRPr="00380B40">
        <w:rPr>
          <w:iCs/>
          <w:lang w:val="en-GB"/>
        </w:rPr>
        <w:t>. It was also agreed to give an opportunity to the SG3 Regional Group for Africa to review the proposal in case it needs updates before it is considered holistically by SG3.</w:t>
      </w:r>
    </w:p>
    <w:p w14:paraId="66BC9E5B" w14:textId="77777777" w:rsidR="009033A7" w:rsidRPr="00380B40" w:rsidRDefault="009033A7" w:rsidP="009033A7">
      <w:pPr>
        <w:rPr>
          <w:iCs/>
          <w:lang w:val="en-GB"/>
        </w:rPr>
      </w:pPr>
      <w:r w:rsidRPr="00380B40">
        <w:rPr>
          <w:lang w:val="en-GB"/>
        </w:rPr>
        <w:t xml:space="preserve">The Plenary is requested to instruct ITU-T SG3 to consider the proposal from the ATU </w:t>
      </w:r>
      <w:hyperlink r:id="rId874" w:tgtFrame="_blank" w:history="1">
        <w:r w:rsidRPr="00380B40">
          <w:rPr>
            <w:rStyle w:val="Hyperlink"/>
            <w:bCs/>
            <w:iCs/>
            <w:szCs w:val="24"/>
            <w:lang w:val="en-GB"/>
          </w:rPr>
          <w:t>AFCP/35A33/1</w:t>
        </w:r>
      </w:hyperlink>
      <w:r w:rsidRPr="00380B40">
        <w:rPr>
          <w:iCs/>
          <w:lang w:val="en-GB"/>
        </w:rPr>
        <w:t xml:space="preserve">. </w:t>
      </w:r>
      <w:r w:rsidRPr="00380B40">
        <w:rPr>
          <w:lang w:val="en-GB"/>
        </w:rPr>
        <w:t>The action was already taken by the Plenary.</w:t>
      </w:r>
    </w:p>
    <w:p w14:paraId="6D13F507" w14:textId="77777777" w:rsidR="009033A7" w:rsidRPr="00380B40" w:rsidRDefault="009033A7" w:rsidP="009033A7">
      <w:pPr>
        <w:pStyle w:val="Heading2"/>
        <w:rPr>
          <w:szCs w:val="24"/>
          <w:lang w:val="en-GB"/>
        </w:rPr>
      </w:pPr>
      <w:bookmarkStart w:id="2611" w:name="_Toc111637315"/>
      <w:r w:rsidRPr="00380B40">
        <w:rPr>
          <w:szCs w:val="24"/>
          <w:lang w:val="en-GB"/>
        </w:rPr>
        <w:t>2.2</w:t>
      </w:r>
      <w:r w:rsidRPr="00380B40">
        <w:rPr>
          <w:sz w:val="28"/>
          <w:lang w:val="en-GB"/>
        </w:rPr>
        <w:tab/>
        <w:t xml:space="preserve">WTSA </w:t>
      </w:r>
      <w:r w:rsidRPr="00380B40">
        <w:rPr>
          <w:szCs w:val="24"/>
          <w:lang w:val="en-GB"/>
        </w:rPr>
        <w:t>Resolutions</w:t>
      </w:r>
      <w:bookmarkEnd w:id="2611"/>
    </w:p>
    <w:p w14:paraId="31AC03EE" w14:textId="77777777" w:rsidR="009033A7" w:rsidRPr="00380B40" w:rsidRDefault="009033A7" w:rsidP="009033A7">
      <w:pPr>
        <w:pStyle w:val="Heading2"/>
        <w:rPr>
          <w:lang w:val="en-GB"/>
        </w:rPr>
      </w:pPr>
      <w:bookmarkStart w:id="2612" w:name="_Toc111637316"/>
      <w:r w:rsidRPr="00380B40">
        <w:rPr>
          <w:lang w:val="en-GB"/>
        </w:rPr>
        <w:t>2.2.1</w:t>
      </w:r>
      <w:r w:rsidRPr="00380B40">
        <w:rPr>
          <w:lang w:val="en-GB"/>
        </w:rPr>
        <w:tab/>
        <w:t>Financial impact</w:t>
      </w:r>
      <w:bookmarkEnd w:id="2612"/>
    </w:p>
    <w:p w14:paraId="2F1F9B00" w14:textId="77777777" w:rsidR="009033A7" w:rsidRPr="00380B40" w:rsidRDefault="009033A7" w:rsidP="009033A7">
      <w:pPr>
        <w:rPr>
          <w:lang w:val="en-GB"/>
        </w:rPr>
      </w:pPr>
      <w:r w:rsidRPr="00380B40">
        <w:rPr>
          <w:lang w:val="en-GB"/>
        </w:rPr>
        <w:t xml:space="preserve">Committee 4 sent a note to committee 2 on potential financial impacts of the modifications made to Resolutions 20, 29, 44, 50, 58, 61, 64, 65, 72, 73, 76, 84, 92, 96, 98 and draft new Resolution [AFCP-1] as found in Document </w:t>
      </w:r>
      <w:hyperlink r:id="rId875" w:history="1">
        <w:r w:rsidRPr="00380B40">
          <w:rPr>
            <w:rStyle w:val="Hyperlink"/>
            <w:lang w:val="en-GB"/>
          </w:rPr>
          <w:t>73</w:t>
        </w:r>
      </w:hyperlink>
      <w:r w:rsidRPr="00380B40">
        <w:rPr>
          <w:lang w:val="en-GB"/>
        </w:rPr>
        <w:t>.</w:t>
      </w:r>
    </w:p>
    <w:p w14:paraId="6A8A2B29" w14:textId="77777777" w:rsidR="009033A7" w:rsidRPr="00380B40" w:rsidRDefault="009033A7" w:rsidP="009033A7">
      <w:pPr>
        <w:pStyle w:val="Heading3"/>
        <w:rPr>
          <w:szCs w:val="24"/>
          <w:lang w:val="en-GB"/>
        </w:rPr>
      </w:pPr>
      <w:bookmarkStart w:id="2613" w:name="_Toc111637317"/>
      <w:r w:rsidRPr="00380B40">
        <w:rPr>
          <w:szCs w:val="24"/>
          <w:lang w:val="en-GB"/>
        </w:rPr>
        <w:t>2.2.2</w:t>
      </w:r>
      <w:r w:rsidRPr="00380B40">
        <w:rPr>
          <w:szCs w:val="24"/>
          <w:lang w:val="en-GB"/>
        </w:rPr>
        <w:tab/>
        <w:t>Revised Resolutions</w:t>
      </w:r>
      <w:bookmarkEnd w:id="2613"/>
    </w:p>
    <w:p w14:paraId="51A6ADC4" w14:textId="77777777" w:rsidR="009033A7" w:rsidRPr="00380B40" w:rsidRDefault="009033A7" w:rsidP="009033A7">
      <w:pPr>
        <w:rPr>
          <w:lang w:val="en-GB"/>
        </w:rPr>
      </w:pPr>
      <w:r w:rsidRPr="00380B40">
        <w:rPr>
          <w:lang w:val="en-GB"/>
        </w:rPr>
        <w:t>Plenary is requested to approve the revised Resolution as found in the following Documents. The relevant revised Resolutions were submitted to COM5 for action.</w:t>
      </w:r>
    </w:p>
    <w:p w14:paraId="02652B4C" w14:textId="77777777" w:rsidR="009033A7" w:rsidRPr="00380B40" w:rsidRDefault="006A0076" w:rsidP="009033A7">
      <w:pPr>
        <w:rPr>
          <w:lang w:val="fr-CH"/>
        </w:rPr>
      </w:pPr>
      <w:hyperlink r:id="rId876" w:history="1">
        <w:r w:rsidR="009033A7" w:rsidRPr="00380B40">
          <w:rPr>
            <w:rStyle w:val="Hyperlink"/>
            <w:lang w:val="fr-CH"/>
          </w:rPr>
          <w:t>56</w:t>
        </w:r>
      </w:hyperlink>
      <w:r w:rsidR="009033A7" w:rsidRPr="00380B40">
        <w:rPr>
          <w:lang w:val="fr-CH"/>
        </w:rPr>
        <w:t xml:space="preserve"> (Res.98); </w:t>
      </w:r>
    </w:p>
    <w:p w14:paraId="7E3AB615" w14:textId="77777777" w:rsidR="009033A7" w:rsidRPr="00380B40" w:rsidRDefault="006A0076" w:rsidP="009033A7">
      <w:pPr>
        <w:rPr>
          <w:lang w:val="fr-CH"/>
        </w:rPr>
      </w:pPr>
      <w:hyperlink r:id="rId877" w:history="1">
        <w:r w:rsidR="009033A7" w:rsidRPr="00380B40">
          <w:rPr>
            <w:rStyle w:val="Hyperlink"/>
            <w:lang w:val="fr-CH"/>
          </w:rPr>
          <w:t>75</w:t>
        </w:r>
      </w:hyperlink>
      <w:r w:rsidR="009033A7" w:rsidRPr="00380B40">
        <w:rPr>
          <w:lang w:val="fr-CH"/>
        </w:rPr>
        <w:t xml:space="preserve"> (Res.20, Res.29, Res.43, Res.58, Res. 61);</w:t>
      </w:r>
    </w:p>
    <w:p w14:paraId="2D683BAB" w14:textId="77777777" w:rsidR="009033A7" w:rsidRPr="00380B40" w:rsidRDefault="006A0076" w:rsidP="009033A7">
      <w:pPr>
        <w:rPr>
          <w:lang w:val="fr-CH"/>
        </w:rPr>
      </w:pPr>
      <w:hyperlink r:id="rId878" w:history="1">
        <w:r w:rsidR="009033A7" w:rsidRPr="00380B40">
          <w:rPr>
            <w:rStyle w:val="Hyperlink"/>
            <w:lang w:val="fr-CH"/>
          </w:rPr>
          <w:t>79</w:t>
        </w:r>
      </w:hyperlink>
      <w:r w:rsidR="009033A7" w:rsidRPr="00380B40">
        <w:rPr>
          <w:lang w:val="fr-CH"/>
        </w:rPr>
        <w:t xml:space="preserve"> (Res.65, Res.72, Res.73, Res.74, Res,76, Res.84, Res95);</w:t>
      </w:r>
    </w:p>
    <w:p w14:paraId="12C5D93A" w14:textId="77777777" w:rsidR="009033A7" w:rsidRPr="00380B40" w:rsidRDefault="009033A7" w:rsidP="009033A7">
      <w:pPr>
        <w:rPr>
          <w:lang w:val="en-GB"/>
        </w:rPr>
      </w:pPr>
      <w:r w:rsidRPr="00380B40">
        <w:rPr>
          <w:lang w:val="en-GB"/>
        </w:rPr>
        <w:t>Plenary is requested to approve the revised Resolutions found in the following Documents. Plenary has already taken action on them.</w:t>
      </w:r>
    </w:p>
    <w:p w14:paraId="4B2B5232" w14:textId="77777777" w:rsidR="009033A7" w:rsidRPr="00380B40" w:rsidRDefault="006A0076" w:rsidP="009033A7">
      <w:pPr>
        <w:rPr>
          <w:lang w:val="en-GB"/>
        </w:rPr>
      </w:pPr>
      <w:hyperlink r:id="rId879" w:history="1">
        <w:r w:rsidR="009033A7" w:rsidRPr="00380B40">
          <w:rPr>
            <w:rStyle w:val="Hyperlink"/>
            <w:lang w:val="en-GB"/>
          </w:rPr>
          <w:t>68</w:t>
        </w:r>
      </w:hyperlink>
      <w:r w:rsidR="009033A7" w:rsidRPr="00380B40">
        <w:rPr>
          <w:lang w:val="en-GB"/>
        </w:rPr>
        <w:t xml:space="preserve"> (Res.40, Res.48, Res.60, Res.64);</w:t>
      </w:r>
    </w:p>
    <w:p w14:paraId="57FD36FB" w14:textId="77777777" w:rsidR="009033A7" w:rsidRPr="00380B40" w:rsidRDefault="009033A7" w:rsidP="009033A7">
      <w:pPr>
        <w:rPr>
          <w:lang w:val="en-GB"/>
        </w:rPr>
      </w:pPr>
      <w:r w:rsidRPr="00380B40">
        <w:rPr>
          <w:lang w:val="en-GB"/>
        </w:rPr>
        <w:t>Plenary is requested to approve the revised Resolutions listed in table 1. The relevant revised Resolutions were submitted to COM5 for action.</w:t>
      </w:r>
    </w:p>
    <w:p w14:paraId="28332DD3" w14:textId="77777777" w:rsidR="00AD0C2E" w:rsidRPr="00380B40" w:rsidRDefault="00AD0C2E" w:rsidP="00AD0C2E">
      <w:pPr>
        <w:rPr>
          <w:lang w:val="en-GB"/>
        </w:rPr>
      </w:pPr>
    </w:p>
    <w:p w14:paraId="4E71CE0B" w14:textId="77777777" w:rsidR="007D2FB0" w:rsidRPr="00380B40" w:rsidRDefault="007D2FB0" w:rsidP="00AD0C2E">
      <w:pPr>
        <w:rPr>
          <w:lang w:val="en-GB"/>
        </w:rPr>
      </w:pPr>
      <w:r w:rsidRPr="00380B40">
        <w:rPr>
          <w:lang w:val="en-GB"/>
        </w:rPr>
        <w:br w:type="page"/>
      </w:r>
    </w:p>
    <w:p w14:paraId="7EFA6664" w14:textId="77777777" w:rsidR="009033A7" w:rsidRPr="00380B40" w:rsidRDefault="009033A7" w:rsidP="00566AA6">
      <w:pPr>
        <w:pStyle w:val="TableNoTitle1"/>
      </w:pPr>
      <w:r w:rsidRPr="00380B40">
        <w:t>Table 1 - Revised Resolutions</w:t>
      </w:r>
    </w:p>
    <w:tbl>
      <w:tblPr>
        <w:tblStyle w:val="TableGrid"/>
        <w:tblW w:w="5000" w:type="pct"/>
        <w:tblLook w:val="04A0" w:firstRow="1" w:lastRow="0" w:firstColumn="1" w:lastColumn="0" w:noHBand="0" w:noVBand="1"/>
      </w:tblPr>
      <w:tblGrid>
        <w:gridCol w:w="7082"/>
        <w:gridCol w:w="1277"/>
        <w:gridCol w:w="1269"/>
      </w:tblGrid>
      <w:tr w:rsidR="009033A7" w:rsidRPr="00380B40" w14:paraId="601DD2D9" w14:textId="77777777" w:rsidTr="00DE1739">
        <w:trPr>
          <w:cantSplit/>
          <w:tblHeader/>
        </w:trPr>
        <w:tc>
          <w:tcPr>
            <w:tcW w:w="3678" w:type="pct"/>
            <w:shd w:val="clear" w:color="auto" w:fill="auto"/>
            <w:vAlign w:val="center"/>
            <w:hideMark/>
          </w:tcPr>
          <w:p w14:paraId="673707D5" w14:textId="77777777" w:rsidR="009033A7" w:rsidRPr="00380B40" w:rsidRDefault="009033A7" w:rsidP="00427615">
            <w:pPr>
              <w:pStyle w:val="Tableheadwhitecentred"/>
            </w:pPr>
            <w:r w:rsidRPr="00380B40">
              <w:t>Resolutions</w:t>
            </w:r>
          </w:p>
        </w:tc>
        <w:tc>
          <w:tcPr>
            <w:tcW w:w="663" w:type="pct"/>
            <w:shd w:val="clear" w:color="auto" w:fill="auto"/>
            <w:vAlign w:val="center"/>
          </w:tcPr>
          <w:p w14:paraId="453459CF" w14:textId="77777777" w:rsidR="009033A7" w:rsidRPr="00380B40" w:rsidRDefault="009033A7" w:rsidP="00427615">
            <w:pPr>
              <w:pStyle w:val="Tableheadwhitecentred"/>
            </w:pPr>
            <w:r w:rsidRPr="00380B40">
              <w:t>Action</w:t>
            </w:r>
          </w:p>
        </w:tc>
        <w:tc>
          <w:tcPr>
            <w:tcW w:w="659" w:type="pct"/>
            <w:shd w:val="clear" w:color="auto" w:fill="auto"/>
            <w:vAlign w:val="center"/>
          </w:tcPr>
          <w:p w14:paraId="04663577" w14:textId="77777777" w:rsidR="009033A7" w:rsidRPr="00380B40" w:rsidRDefault="009033A7" w:rsidP="00427615">
            <w:pPr>
              <w:pStyle w:val="Tableheadwhitecentred"/>
            </w:pPr>
            <w:r w:rsidRPr="00380B40">
              <w:t>Document</w:t>
            </w:r>
          </w:p>
        </w:tc>
      </w:tr>
      <w:tr w:rsidR="009033A7" w:rsidRPr="00380B40" w14:paraId="4697515B" w14:textId="77777777" w:rsidTr="00DE1739">
        <w:trPr>
          <w:cantSplit/>
        </w:trPr>
        <w:tc>
          <w:tcPr>
            <w:tcW w:w="3678" w:type="pct"/>
            <w:shd w:val="clear" w:color="auto" w:fill="auto"/>
            <w:vAlign w:val="center"/>
          </w:tcPr>
          <w:p w14:paraId="732EA6A5" w14:textId="77777777" w:rsidR="009033A7" w:rsidRPr="00380B40" w:rsidRDefault="009033A7" w:rsidP="007D2FB0">
            <w:pPr>
              <w:pStyle w:val="Tabletext"/>
              <w:rPr>
                <w:lang w:val="en-GB"/>
              </w:rPr>
            </w:pPr>
            <w:r w:rsidRPr="00380B40">
              <w:rPr>
                <w:rFonts w:eastAsia="SimSun"/>
                <w:lang w:val="en-GB"/>
              </w:rPr>
              <w:t>Resolution 1 (Rev. Hammamet, 2016)</w:t>
            </w:r>
            <w:r w:rsidR="004C57AB" w:rsidRPr="00380B40">
              <w:rPr>
                <w:rFonts w:eastAsia="SimSun"/>
                <w:lang w:val="en-GB"/>
              </w:rPr>
              <w:t xml:space="preserve"> </w:t>
            </w:r>
            <w:r w:rsidR="004C57AB" w:rsidRPr="00380B40">
              <w:rPr>
                <w:lang w:val="en-GB"/>
              </w:rPr>
              <w:t xml:space="preserve">– </w:t>
            </w:r>
            <w:r w:rsidRPr="00380B40">
              <w:rPr>
                <w:rFonts w:eastAsia="SimSun"/>
                <w:lang w:val="en-GB"/>
              </w:rPr>
              <w:t>Rules of procedure of the ITU Telecommunication Standardization Sector</w:t>
            </w:r>
          </w:p>
        </w:tc>
        <w:tc>
          <w:tcPr>
            <w:tcW w:w="663" w:type="pct"/>
            <w:shd w:val="clear" w:color="auto" w:fill="auto"/>
            <w:vAlign w:val="center"/>
          </w:tcPr>
          <w:p w14:paraId="5FBC03A5" w14:textId="77777777" w:rsidR="009033A7" w:rsidRPr="00380B40" w:rsidRDefault="009033A7" w:rsidP="003E72C4">
            <w:pPr>
              <w:pStyle w:val="Tabletext"/>
              <w:jc w:val="center"/>
              <w:rPr>
                <w:lang w:val="en-GB"/>
              </w:rPr>
            </w:pPr>
            <w:r w:rsidRPr="00380B40">
              <w:rPr>
                <w:lang w:val="en-GB"/>
              </w:rPr>
              <w:t>MOD</w:t>
            </w:r>
            <w:r w:rsidR="00FD162E" w:rsidRPr="00380B40">
              <w:rPr>
                <w:rStyle w:val="FootnoteReference"/>
                <w:lang w:val="en-GB"/>
              </w:rPr>
              <w:footnoteReference w:id="84"/>
            </w:r>
          </w:p>
        </w:tc>
        <w:tc>
          <w:tcPr>
            <w:tcW w:w="659" w:type="pct"/>
            <w:shd w:val="clear" w:color="auto" w:fill="auto"/>
            <w:vAlign w:val="center"/>
          </w:tcPr>
          <w:p w14:paraId="4AE4CCF3" w14:textId="77777777" w:rsidR="009033A7" w:rsidRPr="00380B40" w:rsidRDefault="006A0076" w:rsidP="007D2FB0">
            <w:pPr>
              <w:pStyle w:val="Tabletext"/>
              <w:jc w:val="center"/>
              <w:rPr>
                <w:lang w:val="en-GB"/>
              </w:rPr>
            </w:pPr>
            <w:hyperlink r:id="rId880" w:history="1">
              <w:r w:rsidR="009033A7" w:rsidRPr="00380B40">
                <w:rPr>
                  <w:rStyle w:val="Hyperlink"/>
                  <w:szCs w:val="24"/>
                  <w:lang w:val="en-GB"/>
                </w:rPr>
                <w:t>77</w:t>
              </w:r>
            </w:hyperlink>
          </w:p>
        </w:tc>
      </w:tr>
      <w:tr w:rsidR="009033A7" w:rsidRPr="00380B40" w14:paraId="72901D92" w14:textId="77777777" w:rsidTr="00DE1739">
        <w:trPr>
          <w:cantSplit/>
        </w:trPr>
        <w:tc>
          <w:tcPr>
            <w:tcW w:w="3678" w:type="pct"/>
            <w:shd w:val="clear" w:color="auto" w:fill="auto"/>
            <w:vAlign w:val="center"/>
          </w:tcPr>
          <w:p w14:paraId="3618EA0C" w14:textId="77777777" w:rsidR="009033A7" w:rsidRPr="00380B40" w:rsidRDefault="009033A7" w:rsidP="007D2FB0">
            <w:pPr>
              <w:pStyle w:val="Tabletext"/>
              <w:rPr>
                <w:lang w:val="en-GB"/>
              </w:rPr>
            </w:pPr>
            <w:r w:rsidRPr="00380B40">
              <w:rPr>
                <w:lang w:val="en-GB"/>
              </w:rPr>
              <w:t>Resolution 2 (Rev. Hammamet, 2016)</w:t>
            </w:r>
            <w:r w:rsidR="004C57AB" w:rsidRPr="00380B40">
              <w:rPr>
                <w:lang w:val="en-GB"/>
              </w:rPr>
              <w:t xml:space="preserve"> –</w:t>
            </w:r>
            <w:r w:rsidRPr="00380B40">
              <w:rPr>
                <w:lang w:val="en-GB"/>
              </w:rPr>
              <w:t>ITU Telecommunication Standardization Sector study group responsibility and mandates</w:t>
            </w:r>
          </w:p>
        </w:tc>
        <w:tc>
          <w:tcPr>
            <w:tcW w:w="663" w:type="pct"/>
            <w:shd w:val="clear" w:color="auto" w:fill="auto"/>
            <w:vAlign w:val="center"/>
          </w:tcPr>
          <w:p w14:paraId="74D7ADF7" w14:textId="77777777" w:rsidR="009033A7" w:rsidRPr="00380B40" w:rsidRDefault="009033A7" w:rsidP="003E72C4">
            <w:pPr>
              <w:pStyle w:val="Tabletext"/>
              <w:jc w:val="center"/>
              <w:rPr>
                <w:lang w:val="en-GB"/>
              </w:rPr>
            </w:pPr>
            <w:r w:rsidRPr="00380B40">
              <w:rPr>
                <w:lang w:val="en-GB"/>
              </w:rPr>
              <w:t>MOD</w:t>
            </w:r>
          </w:p>
        </w:tc>
        <w:tc>
          <w:tcPr>
            <w:tcW w:w="659" w:type="pct"/>
            <w:shd w:val="clear" w:color="auto" w:fill="auto"/>
            <w:vAlign w:val="center"/>
          </w:tcPr>
          <w:p w14:paraId="1139D43F" w14:textId="77777777" w:rsidR="009033A7" w:rsidRPr="00380B40" w:rsidRDefault="006A0076" w:rsidP="007D2FB0">
            <w:pPr>
              <w:pStyle w:val="Tabletext"/>
              <w:jc w:val="center"/>
              <w:rPr>
                <w:lang w:val="en-GB"/>
              </w:rPr>
            </w:pPr>
            <w:hyperlink r:id="rId881" w:history="1">
              <w:r w:rsidR="009033A7" w:rsidRPr="00380B40">
                <w:rPr>
                  <w:rStyle w:val="Hyperlink"/>
                  <w:lang w:val="en-GB"/>
                </w:rPr>
                <w:t>72</w:t>
              </w:r>
            </w:hyperlink>
          </w:p>
        </w:tc>
      </w:tr>
      <w:tr w:rsidR="009033A7" w:rsidRPr="00380B40" w14:paraId="3C765C45" w14:textId="77777777" w:rsidTr="00DE1739">
        <w:trPr>
          <w:cantSplit/>
        </w:trPr>
        <w:tc>
          <w:tcPr>
            <w:tcW w:w="3678" w:type="pct"/>
            <w:shd w:val="clear" w:color="auto" w:fill="auto"/>
            <w:vAlign w:val="center"/>
          </w:tcPr>
          <w:p w14:paraId="1DCB5C15" w14:textId="77777777" w:rsidR="009033A7" w:rsidRPr="00380B40" w:rsidRDefault="009033A7" w:rsidP="007D2FB0">
            <w:pPr>
              <w:pStyle w:val="Tabletext"/>
              <w:rPr>
                <w:lang w:val="en-GB"/>
              </w:rPr>
            </w:pPr>
            <w:r w:rsidRPr="00380B40">
              <w:rPr>
                <w:rFonts w:eastAsia="SimSun"/>
                <w:lang w:val="en-GB"/>
              </w:rPr>
              <w:t>Resolution 20 (Rev. Hammamet, 2016)</w:t>
            </w:r>
            <w:r w:rsidR="004C57AB" w:rsidRPr="00380B40">
              <w:rPr>
                <w:lang w:val="en-GB"/>
              </w:rPr>
              <w:t xml:space="preserve"> – </w:t>
            </w:r>
            <w:r w:rsidRPr="00380B40">
              <w:rPr>
                <w:rFonts w:eastAsia="SimSun"/>
                <w:lang w:val="en-GB"/>
              </w:rPr>
              <w:t>Procedures for allocation and management of international telecommunication numbering, naming, addressing and identification resources</w:t>
            </w:r>
          </w:p>
        </w:tc>
        <w:tc>
          <w:tcPr>
            <w:tcW w:w="663" w:type="pct"/>
            <w:shd w:val="clear" w:color="auto" w:fill="auto"/>
            <w:vAlign w:val="center"/>
          </w:tcPr>
          <w:p w14:paraId="1D9856CA" w14:textId="77777777" w:rsidR="009033A7" w:rsidRPr="00380B40" w:rsidRDefault="009033A7" w:rsidP="003E72C4">
            <w:pPr>
              <w:pStyle w:val="Tabletext"/>
              <w:jc w:val="center"/>
              <w:rPr>
                <w:lang w:val="en-GB"/>
              </w:rPr>
            </w:pPr>
            <w:r w:rsidRPr="00380B40">
              <w:rPr>
                <w:lang w:val="en-GB"/>
              </w:rPr>
              <w:t>MOD</w:t>
            </w:r>
          </w:p>
        </w:tc>
        <w:tc>
          <w:tcPr>
            <w:tcW w:w="659" w:type="pct"/>
            <w:shd w:val="clear" w:color="auto" w:fill="auto"/>
            <w:vAlign w:val="center"/>
          </w:tcPr>
          <w:p w14:paraId="78464FF5" w14:textId="77777777" w:rsidR="009033A7" w:rsidRPr="00380B40" w:rsidRDefault="006A0076" w:rsidP="007D2FB0">
            <w:pPr>
              <w:pStyle w:val="Tabletext"/>
              <w:jc w:val="center"/>
              <w:rPr>
                <w:lang w:val="en-GB"/>
              </w:rPr>
            </w:pPr>
            <w:hyperlink r:id="rId882" w:history="1">
              <w:r w:rsidR="009033A7" w:rsidRPr="00380B40">
                <w:rPr>
                  <w:rStyle w:val="Hyperlink"/>
                  <w:lang w:val="en-GB"/>
                </w:rPr>
                <w:t>75</w:t>
              </w:r>
            </w:hyperlink>
          </w:p>
        </w:tc>
      </w:tr>
      <w:tr w:rsidR="009033A7" w:rsidRPr="00380B40" w14:paraId="2D4C2C8A" w14:textId="77777777" w:rsidTr="00DE1739">
        <w:trPr>
          <w:cantSplit/>
        </w:trPr>
        <w:tc>
          <w:tcPr>
            <w:tcW w:w="3678" w:type="pct"/>
            <w:shd w:val="clear" w:color="auto" w:fill="auto"/>
            <w:vAlign w:val="center"/>
          </w:tcPr>
          <w:p w14:paraId="23BE9D0F" w14:textId="77777777" w:rsidR="009033A7" w:rsidRPr="00380B40" w:rsidRDefault="009033A7" w:rsidP="007D2FB0">
            <w:pPr>
              <w:pStyle w:val="Tabletext"/>
              <w:rPr>
                <w:lang w:val="en-GB"/>
              </w:rPr>
            </w:pPr>
            <w:r w:rsidRPr="00380B40">
              <w:rPr>
                <w:rFonts w:eastAsia="SimSun"/>
                <w:lang w:val="en-GB"/>
              </w:rPr>
              <w:t>Resolution 29 (Rev. Hammamet, 2016)</w:t>
            </w:r>
            <w:r w:rsidR="004C57AB" w:rsidRPr="00380B40">
              <w:rPr>
                <w:lang w:val="en-GB"/>
              </w:rPr>
              <w:t xml:space="preserve"> – </w:t>
            </w:r>
            <w:r w:rsidRPr="00380B40">
              <w:rPr>
                <w:rFonts w:eastAsia="SimSun"/>
                <w:lang w:val="en-GB"/>
              </w:rPr>
              <w:t>Alternative calling procedures on international telecommunication networks</w:t>
            </w:r>
          </w:p>
        </w:tc>
        <w:tc>
          <w:tcPr>
            <w:tcW w:w="663" w:type="pct"/>
            <w:shd w:val="clear" w:color="auto" w:fill="auto"/>
            <w:vAlign w:val="center"/>
          </w:tcPr>
          <w:p w14:paraId="629C01B1" w14:textId="77777777" w:rsidR="009033A7" w:rsidRPr="00380B40" w:rsidRDefault="009033A7" w:rsidP="003E72C4">
            <w:pPr>
              <w:pStyle w:val="Tabletext"/>
              <w:jc w:val="center"/>
              <w:rPr>
                <w:lang w:val="en-GB"/>
              </w:rPr>
            </w:pPr>
            <w:r w:rsidRPr="00380B40">
              <w:rPr>
                <w:lang w:val="en-GB"/>
              </w:rPr>
              <w:t>MOD</w:t>
            </w:r>
          </w:p>
        </w:tc>
        <w:tc>
          <w:tcPr>
            <w:tcW w:w="659" w:type="pct"/>
            <w:shd w:val="clear" w:color="auto" w:fill="auto"/>
            <w:vAlign w:val="center"/>
          </w:tcPr>
          <w:p w14:paraId="15F9DAD0" w14:textId="77777777" w:rsidR="009033A7" w:rsidRPr="00380B40" w:rsidRDefault="006A0076" w:rsidP="007D2FB0">
            <w:pPr>
              <w:pStyle w:val="Tabletext"/>
              <w:jc w:val="center"/>
              <w:rPr>
                <w:lang w:val="en-GB"/>
              </w:rPr>
            </w:pPr>
            <w:hyperlink r:id="rId883" w:history="1">
              <w:r w:rsidR="009033A7" w:rsidRPr="00380B40">
                <w:rPr>
                  <w:rStyle w:val="Hyperlink"/>
                  <w:lang w:val="en-GB"/>
                </w:rPr>
                <w:t>75</w:t>
              </w:r>
            </w:hyperlink>
          </w:p>
        </w:tc>
      </w:tr>
      <w:tr w:rsidR="009033A7" w:rsidRPr="00380B40" w14:paraId="4D1DFE48" w14:textId="77777777" w:rsidTr="00DE1739">
        <w:trPr>
          <w:cantSplit/>
        </w:trPr>
        <w:tc>
          <w:tcPr>
            <w:tcW w:w="3678" w:type="pct"/>
            <w:shd w:val="clear" w:color="auto" w:fill="auto"/>
            <w:vAlign w:val="center"/>
          </w:tcPr>
          <w:p w14:paraId="5E556ED7" w14:textId="77777777" w:rsidR="009033A7" w:rsidRPr="00380B40" w:rsidRDefault="009033A7" w:rsidP="007D2FB0">
            <w:pPr>
              <w:pStyle w:val="Tabletext"/>
              <w:rPr>
                <w:lang w:val="en-GB"/>
              </w:rPr>
            </w:pPr>
            <w:r w:rsidRPr="00380B40">
              <w:rPr>
                <w:rFonts w:eastAsia="SimSun"/>
                <w:lang w:val="en-GB"/>
              </w:rPr>
              <w:t>Resolution 40 (Rev. Hammamet, 2016)</w:t>
            </w:r>
            <w:r w:rsidR="004C57AB" w:rsidRPr="00380B40">
              <w:rPr>
                <w:rFonts w:eastAsia="SimSun"/>
                <w:lang w:val="en-GB"/>
              </w:rPr>
              <w:t xml:space="preserve"> </w:t>
            </w:r>
            <w:r w:rsidR="004C57AB" w:rsidRPr="00380B40">
              <w:rPr>
                <w:lang w:val="en-GB"/>
              </w:rPr>
              <w:t xml:space="preserve">– </w:t>
            </w:r>
            <w:r w:rsidRPr="00380B40">
              <w:rPr>
                <w:rFonts w:eastAsia="SimSun"/>
                <w:lang w:val="en-GB"/>
              </w:rPr>
              <w:t>Regulatory aspects of the work of the ITU Telecommunication Standardization Sector</w:t>
            </w:r>
          </w:p>
        </w:tc>
        <w:tc>
          <w:tcPr>
            <w:tcW w:w="663" w:type="pct"/>
            <w:shd w:val="clear" w:color="auto" w:fill="auto"/>
            <w:vAlign w:val="center"/>
          </w:tcPr>
          <w:p w14:paraId="0E8A1D9A" w14:textId="77777777" w:rsidR="009033A7" w:rsidRPr="00380B40" w:rsidRDefault="009033A7" w:rsidP="003E72C4">
            <w:pPr>
              <w:pStyle w:val="Tabletext"/>
              <w:jc w:val="center"/>
              <w:rPr>
                <w:lang w:val="en-GB"/>
              </w:rPr>
            </w:pPr>
            <w:r w:rsidRPr="00380B40">
              <w:rPr>
                <w:lang w:val="en-GB"/>
              </w:rPr>
              <w:t>MOD</w:t>
            </w:r>
          </w:p>
        </w:tc>
        <w:tc>
          <w:tcPr>
            <w:tcW w:w="659" w:type="pct"/>
            <w:shd w:val="clear" w:color="auto" w:fill="auto"/>
            <w:vAlign w:val="center"/>
          </w:tcPr>
          <w:p w14:paraId="639E5B35" w14:textId="77777777" w:rsidR="009033A7" w:rsidRPr="00380B40" w:rsidRDefault="006A0076" w:rsidP="007D2FB0">
            <w:pPr>
              <w:pStyle w:val="Tabletext"/>
              <w:jc w:val="center"/>
              <w:rPr>
                <w:lang w:val="en-GB"/>
              </w:rPr>
            </w:pPr>
            <w:hyperlink r:id="rId884" w:history="1">
              <w:r w:rsidR="009033A7" w:rsidRPr="00380B40">
                <w:rPr>
                  <w:rStyle w:val="Hyperlink"/>
                  <w:szCs w:val="24"/>
                  <w:lang w:val="en-GB"/>
                </w:rPr>
                <w:t>68</w:t>
              </w:r>
            </w:hyperlink>
          </w:p>
        </w:tc>
      </w:tr>
      <w:tr w:rsidR="009033A7" w:rsidRPr="00380B40" w14:paraId="28E95B85" w14:textId="77777777" w:rsidTr="00DE1739">
        <w:trPr>
          <w:cantSplit/>
        </w:trPr>
        <w:tc>
          <w:tcPr>
            <w:tcW w:w="3678" w:type="pct"/>
            <w:shd w:val="clear" w:color="auto" w:fill="auto"/>
            <w:vAlign w:val="center"/>
          </w:tcPr>
          <w:p w14:paraId="12B0FDEE" w14:textId="77777777" w:rsidR="009033A7" w:rsidRPr="00380B40" w:rsidRDefault="009033A7" w:rsidP="007D2FB0">
            <w:pPr>
              <w:pStyle w:val="Tabletext"/>
              <w:rPr>
                <w:lang w:val="en-GB"/>
              </w:rPr>
            </w:pPr>
            <w:r w:rsidRPr="00380B40">
              <w:rPr>
                <w:rFonts w:eastAsia="SimSun"/>
                <w:lang w:val="en-GB"/>
              </w:rPr>
              <w:t>Resolution 43 (Rev. Dubai, 2012)</w:t>
            </w:r>
            <w:r w:rsidR="004C57AB" w:rsidRPr="00380B40">
              <w:rPr>
                <w:rFonts w:eastAsia="SimSun"/>
                <w:lang w:val="en-GB"/>
              </w:rPr>
              <w:t xml:space="preserve"> </w:t>
            </w:r>
            <w:r w:rsidR="004C57AB" w:rsidRPr="00380B40">
              <w:rPr>
                <w:lang w:val="en-GB"/>
              </w:rPr>
              <w:t xml:space="preserve">– </w:t>
            </w:r>
            <w:r w:rsidRPr="00380B40">
              <w:rPr>
                <w:rFonts w:eastAsia="SimSun"/>
                <w:lang w:val="en-GB"/>
              </w:rPr>
              <w:t>Regional preparations for world telecommunication standardization assemblies</w:t>
            </w:r>
          </w:p>
        </w:tc>
        <w:tc>
          <w:tcPr>
            <w:tcW w:w="663" w:type="pct"/>
            <w:shd w:val="clear" w:color="auto" w:fill="auto"/>
            <w:vAlign w:val="center"/>
          </w:tcPr>
          <w:p w14:paraId="2B0A4AE9" w14:textId="77777777" w:rsidR="009033A7" w:rsidRPr="00380B40" w:rsidRDefault="009033A7" w:rsidP="003E72C4">
            <w:pPr>
              <w:pStyle w:val="Tabletext"/>
              <w:jc w:val="center"/>
              <w:rPr>
                <w:lang w:val="en-GB"/>
              </w:rPr>
            </w:pPr>
            <w:r w:rsidRPr="00380B40">
              <w:rPr>
                <w:lang w:val="en-GB"/>
              </w:rPr>
              <w:t>MOD</w:t>
            </w:r>
          </w:p>
        </w:tc>
        <w:tc>
          <w:tcPr>
            <w:tcW w:w="659" w:type="pct"/>
            <w:shd w:val="clear" w:color="auto" w:fill="auto"/>
            <w:vAlign w:val="center"/>
          </w:tcPr>
          <w:p w14:paraId="44E89001" w14:textId="77777777" w:rsidR="009033A7" w:rsidRPr="00380B40" w:rsidRDefault="006A0076" w:rsidP="007D2FB0">
            <w:pPr>
              <w:pStyle w:val="Tabletext"/>
              <w:jc w:val="center"/>
              <w:rPr>
                <w:lang w:val="en-GB"/>
              </w:rPr>
            </w:pPr>
            <w:hyperlink r:id="rId885" w:history="1">
              <w:r w:rsidR="009033A7" w:rsidRPr="00380B40">
                <w:rPr>
                  <w:rStyle w:val="Hyperlink"/>
                  <w:lang w:val="en-GB"/>
                </w:rPr>
                <w:t>75</w:t>
              </w:r>
            </w:hyperlink>
          </w:p>
        </w:tc>
      </w:tr>
      <w:tr w:rsidR="009033A7" w:rsidRPr="00380B40" w14:paraId="4F72BDDE" w14:textId="77777777" w:rsidTr="00DE1739">
        <w:trPr>
          <w:cantSplit/>
        </w:trPr>
        <w:tc>
          <w:tcPr>
            <w:tcW w:w="3678" w:type="pct"/>
            <w:shd w:val="clear" w:color="auto" w:fill="auto"/>
            <w:vAlign w:val="center"/>
          </w:tcPr>
          <w:p w14:paraId="1B68B909" w14:textId="77777777" w:rsidR="009033A7" w:rsidRPr="00380B40" w:rsidRDefault="009033A7" w:rsidP="007D2FB0">
            <w:pPr>
              <w:pStyle w:val="Tabletext"/>
              <w:rPr>
                <w:lang w:val="en-GB"/>
              </w:rPr>
            </w:pPr>
            <w:r w:rsidRPr="00380B40">
              <w:rPr>
                <w:rFonts w:eastAsia="SimSun"/>
                <w:lang w:val="en-GB"/>
              </w:rPr>
              <w:t>Resolution 44 (Rev. Hammamet, 2016)</w:t>
            </w:r>
            <w:r w:rsidR="004C57AB" w:rsidRPr="00380B40">
              <w:rPr>
                <w:rFonts w:eastAsia="SimSun"/>
                <w:lang w:val="en-GB"/>
              </w:rPr>
              <w:t xml:space="preserve"> </w:t>
            </w:r>
            <w:r w:rsidR="004C57AB" w:rsidRPr="00380B40">
              <w:rPr>
                <w:lang w:val="en-GB"/>
              </w:rPr>
              <w:t>–</w:t>
            </w:r>
            <w:r w:rsidRPr="00380B40">
              <w:rPr>
                <w:rFonts w:eastAsia="SimSun"/>
                <w:lang w:val="en-GB"/>
              </w:rPr>
              <w:t>Bridging the standardization gap between developing and developed countries</w:t>
            </w:r>
          </w:p>
        </w:tc>
        <w:tc>
          <w:tcPr>
            <w:tcW w:w="663" w:type="pct"/>
            <w:shd w:val="clear" w:color="auto" w:fill="auto"/>
            <w:vAlign w:val="center"/>
          </w:tcPr>
          <w:p w14:paraId="1B8F5F32" w14:textId="77777777" w:rsidR="009033A7" w:rsidRPr="00380B40" w:rsidRDefault="009033A7" w:rsidP="003E72C4">
            <w:pPr>
              <w:pStyle w:val="Tabletext"/>
              <w:jc w:val="center"/>
              <w:rPr>
                <w:lang w:val="en-GB"/>
              </w:rPr>
            </w:pPr>
            <w:r w:rsidRPr="00380B40">
              <w:rPr>
                <w:lang w:val="en-GB"/>
              </w:rPr>
              <w:t>MOD</w:t>
            </w:r>
          </w:p>
        </w:tc>
        <w:tc>
          <w:tcPr>
            <w:tcW w:w="659" w:type="pct"/>
            <w:shd w:val="clear" w:color="auto" w:fill="auto"/>
            <w:vAlign w:val="center"/>
          </w:tcPr>
          <w:p w14:paraId="6643BB3B" w14:textId="77777777" w:rsidR="009033A7" w:rsidRPr="00380B40" w:rsidRDefault="009033A7" w:rsidP="007D2FB0">
            <w:pPr>
              <w:pStyle w:val="Tabletext"/>
              <w:jc w:val="center"/>
              <w:rPr>
                <w:lang w:val="en-GB"/>
              </w:rPr>
            </w:pPr>
            <w:r w:rsidRPr="00380B40">
              <w:rPr>
                <w:lang w:val="en-GB"/>
              </w:rPr>
              <w:t>DT/</w:t>
            </w:r>
            <w:hyperlink r:id="rId886" w:history="1">
              <w:r w:rsidRPr="00380B40">
                <w:rPr>
                  <w:rStyle w:val="Hyperlink"/>
                  <w:szCs w:val="24"/>
                  <w:lang w:val="en-GB"/>
                </w:rPr>
                <w:t>66</w:t>
              </w:r>
            </w:hyperlink>
          </w:p>
        </w:tc>
      </w:tr>
      <w:tr w:rsidR="009033A7" w:rsidRPr="00380B40" w14:paraId="1151A0AD" w14:textId="77777777" w:rsidTr="00DE1739">
        <w:trPr>
          <w:cantSplit/>
        </w:trPr>
        <w:tc>
          <w:tcPr>
            <w:tcW w:w="3678" w:type="pct"/>
            <w:shd w:val="clear" w:color="auto" w:fill="auto"/>
            <w:vAlign w:val="center"/>
          </w:tcPr>
          <w:p w14:paraId="7FEADC04" w14:textId="77777777" w:rsidR="009033A7" w:rsidRPr="00380B40" w:rsidRDefault="009033A7" w:rsidP="007D2FB0">
            <w:pPr>
              <w:pStyle w:val="Tabletext"/>
              <w:rPr>
                <w:lang w:val="en-GB"/>
              </w:rPr>
            </w:pPr>
            <w:r w:rsidRPr="00380B40">
              <w:rPr>
                <w:rFonts w:eastAsia="SimSun"/>
                <w:lang w:val="en-GB"/>
              </w:rPr>
              <w:t>Resolution 48 (Rev. Dubai, 2012)</w:t>
            </w:r>
            <w:r w:rsidR="004C57AB" w:rsidRPr="00380B40">
              <w:rPr>
                <w:lang w:val="en-GB"/>
              </w:rPr>
              <w:t xml:space="preserve"> – </w:t>
            </w:r>
            <w:r w:rsidRPr="00380B40">
              <w:rPr>
                <w:rFonts w:eastAsia="SimSun"/>
                <w:lang w:val="en-GB"/>
              </w:rPr>
              <w:t>Internationalized (multilingual) domain names</w:t>
            </w:r>
          </w:p>
        </w:tc>
        <w:tc>
          <w:tcPr>
            <w:tcW w:w="663" w:type="pct"/>
            <w:shd w:val="clear" w:color="auto" w:fill="auto"/>
            <w:vAlign w:val="center"/>
          </w:tcPr>
          <w:p w14:paraId="700774A5" w14:textId="77777777" w:rsidR="009033A7" w:rsidRPr="00380B40" w:rsidRDefault="009033A7" w:rsidP="003E72C4">
            <w:pPr>
              <w:pStyle w:val="Tabletext"/>
              <w:jc w:val="center"/>
              <w:rPr>
                <w:lang w:val="en-GB"/>
              </w:rPr>
            </w:pPr>
            <w:r w:rsidRPr="00380B40">
              <w:rPr>
                <w:lang w:val="en-GB"/>
              </w:rPr>
              <w:t>MOD</w:t>
            </w:r>
          </w:p>
        </w:tc>
        <w:tc>
          <w:tcPr>
            <w:tcW w:w="659" w:type="pct"/>
            <w:shd w:val="clear" w:color="auto" w:fill="auto"/>
            <w:vAlign w:val="center"/>
          </w:tcPr>
          <w:p w14:paraId="6912CD0F" w14:textId="77777777" w:rsidR="009033A7" w:rsidRPr="00380B40" w:rsidRDefault="006A0076" w:rsidP="007D2FB0">
            <w:pPr>
              <w:pStyle w:val="Tabletext"/>
              <w:jc w:val="center"/>
              <w:rPr>
                <w:lang w:val="en-GB"/>
              </w:rPr>
            </w:pPr>
            <w:hyperlink r:id="rId887" w:history="1">
              <w:r w:rsidR="009033A7" w:rsidRPr="00380B40">
                <w:rPr>
                  <w:rStyle w:val="Hyperlink"/>
                  <w:szCs w:val="24"/>
                  <w:lang w:val="en-GB"/>
                </w:rPr>
                <w:t>68</w:t>
              </w:r>
            </w:hyperlink>
          </w:p>
        </w:tc>
      </w:tr>
      <w:tr w:rsidR="009033A7" w:rsidRPr="00380B40" w14:paraId="6CAA09F5" w14:textId="77777777" w:rsidTr="00DE1739">
        <w:trPr>
          <w:cantSplit/>
        </w:trPr>
        <w:tc>
          <w:tcPr>
            <w:tcW w:w="3678" w:type="pct"/>
            <w:shd w:val="clear" w:color="auto" w:fill="auto"/>
            <w:vAlign w:val="center"/>
          </w:tcPr>
          <w:p w14:paraId="038DD9BA" w14:textId="77777777" w:rsidR="009033A7" w:rsidRPr="00380B40" w:rsidRDefault="009033A7" w:rsidP="007D2FB0">
            <w:pPr>
              <w:pStyle w:val="Tabletext"/>
              <w:rPr>
                <w:lang w:val="en-GB"/>
              </w:rPr>
            </w:pPr>
            <w:r w:rsidRPr="00380B40">
              <w:rPr>
                <w:rFonts w:eastAsia="SimSun"/>
                <w:lang w:val="en-GB"/>
              </w:rPr>
              <w:t>Resolution 54 (Rev. Hammamet, 2016)</w:t>
            </w:r>
            <w:r w:rsidR="004C57AB" w:rsidRPr="00380B40">
              <w:rPr>
                <w:lang w:val="en-GB"/>
              </w:rPr>
              <w:t xml:space="preserve"> – </w:t>
            </w:r>
            <w:r w:rsidRPr="00380B40">
              <w:rPr>
                <w:rFonts w:eastAsia="SimSun"/>
                <w:lang w:val="en-GB"/>
              </w:rPr>
              <w:t>Creation of, and assistance to, regional groups</w:t>
            </w:r>
          </w:p>
        </w:tc>
        <w:tc>
          <w:tcPr>
            <w:tcW w:w="663" w:type="pct"/>
            <w:shd w:val="clear" w:color="auto" w:fill="auto"/>
            <w:vAlign w:val="center"/>
          </w:tcPr>
          <w:p w14:paraId="73E675FB" w14:textId="77777777" w:rsidR="009033A7" w:rsidRPr="00380B40" w:rsidRDefault="009033A7" w:rsidP="003E72C4">
            <w:pPr>
              <w:pStyle w:val="Tabletext"/>
              <w:jc w:val="center"/>
              <w:rPr>
                <w:lang w:val="en-GB"/>
              </w:rPr>
            </w:pPr>
            <w:r w:rsidRPr="00380B40">
              <w:rPr>
                <w:lang w:val="en-GB"/>
              </w:rPr>
              <w:t>MOD</w:t>
            </w:r>
          </w:p>
        </w:tc>
        <w:tc>
          <w:tcPr>
            <w:tcW w:w="659" w:type="pct"/>
            <w:shd w:val="clear" w:color="auto" w:fill="auto"/>
            <w:vAlign w:val="center"/>
          </w:tcPr>
          <w:p w14:paraId="6B490DF9" w14:textId="77777777" w:rsidR="009033A7" w:rsidRPr="00380B40" w:rsidRDefault="009033A7" w:rsidP="007D2FB0">
            <w:pPr>
              <w:pStyle w:val="Tabletext"/>
              <w:jc w:val="center"/>
              <w:rPr>
                <w:lang w:val="en-GB"/>
              </w:rPr>
            </w:pPr>
            <w:r w:rsidRPr="00380B40">
              <w:rPr>
                <w:lang w:val="en-GB"/>
              </w:rPr>
              <w:t>DT/</w:t>
            </w:r>
            <w:hyperlink r:id="rId888" w:history="1">
              <w:r w:rsidRPr="00380B40">
                <w:rPr>
                  <w:rStyle w:val="Hyperlink"/>
                  <w:szCs w:val="24"/>
                  <w:lang w:val="en-GB"/>
                </w:rPr>
                <w:t>8</w:t>
              </w:r>
              <w:r w:rsidRPr="00380B40">
                <w:rPr>
                  <w:rStyle w:val="Hyperlink"/>
                  <w:lang w:val="en-GB"/>
                </w:rPr>
                <w:t>1R1</w:t>
              </w:r>
            </w:hyperlink>
          </w:p>
        </w:tc>
      </w:tr>
      <w:tr w:rsidR="009033A7" w:rsidRPr="00380B40" w14:paraId="2EBF4864" w14:textId="77777777" w:rsidTr="00DE1739">
        <w:trPr>
          <w:cantSplit/>
        </w:trPr>
        <w:tc>
          <w:tcPr>
            <w:tcW w:w="3678" w:type="pct"/>
            <w:shd w:val="clear" w:color="auto" w:fill="auto"/>
            <w:vAlign w:val="center"/>
          </w:tcPr>
          <w:p w14:paraId="524CE9A0" w14:textId="77777777" w:rsidR="009033A7" w:rsidRPr="00380B40" w:rsidRDefault="009033A7" w:rsidP="007D2FB0">
            <w:pPr>
              <w:pStyle w:val="Tabletext"/>
              <w:rPr>
                <w:lang w:val="en-GB"/>
              </w:rPr>
            </w:pPr>
            <w:r w:rsidRPr="00380B40">
              <w:rPr>
                <w:rFonts w:eastAsia="SimSun"/>
                <w:lang w:val="en-GB"/>
              </w:rPr>
              <w:t>Resolution 58 (Rev. Dubai, 2012)</w:t>
            </w:r>
            <w:r w:rsidR="004C57AB" w:rsidRPr="00380B40">
              <w:rPr>
                <w:lang w:val="en-GB"/>
              </w:rPr>
              <w:t xml:space="preserve"> – </w:t>
            </w:r>
            <w:r w:rsidRPr="00380B40">
              <w:rPr>
                <w:rFonts w:eastAsia="SimSun"/>
                <w:lang w:val="en-GB"/>
              </w:rPr>
              <w:t>Encouraging the creation of national computer incident response teams, particularly for developing countries</w:t>
            </w:r>
          </w:p>
        </w:tc>
        <w:tc>
          <w:tcPr>
            <w:tcW w:w="663" w:type="pct"/>
            <w:shd w:val="clear" w:color="auto" w:fill="auto"/>
            <w:vAlign w:val="center"/>
          </w:tcPr>
          <w:p w14:paraId="6BAB6F12" w14:textId="77777777" w:rsidR="009033A7" w:rsidRPr="00380B40" w:rsidRDefault="009033A7" w:rsidP="003E72C4">
            <w:pPr>
              <w:pStyle w:val="Tabletext"/>
              <w:jc w:val="center"/>
              <w:rPr>
                <w:lang w:val="en-GB"/>
              </w:rPr>
            </w:pPr>
            <w:r w:rsidRPr="00380B40">
              <w:rPr>
                <w:lang w:val="en-GB"/>
              </w:rPr>
              <w:t>MOD</w:t>
            </w:r>
          </w:p>
        </w:tc>
        <w:tc>
          <w:tcPr>
            <w:tcW w:w="659" w:type="pct"/>
            <w:shd w:val="clear" w:color="auto" w:fill="auto"/>
            <w:vAlign w:val="center"/>
          </w:tcPr>
          <w:p w14:paraId="2AD0FE7A" w14:textId="77777777" w:rsidR="009033A7" w:rsidRPr="00380B40" w:rsidRDefault="006A0076" w:rsidP="007D2FB0">
            <w:pPr>
              <w:pStyle w:val="Tabletext"/>
              <w:jc w:val="center"/>
              <w:rPr>
                <w:lang w:val="en-GB"/>
              </w:rPr>
            </w:pPr>
            <w:hyperlink r:id="rId889" w:history="1">
              <w:r w:rsidR="009033A7" w:rsidRPr="00380B40">
                <w:rPr>
                  <w:rStyle w:val="Hyperlink"/>
                  <w:lang w:val="en-GB"/>
                </w:rPr>
                <w:t>75</w:t>
              </w:r>
            </w:hyperlink>
          </w:p>
        </w:tc>
      </w:tr>
      <w:tr w:rsidR="009033A7" w:rsidRPr="00380B40" w14:paraId="44BF0296" w14:textId="77777777" w:rsidTr="00DE1739">
        <w:trPr>
          <w:cantSplit/>
        </w:trPr>
        <w:tc>
          <w:tcPr>
            <w:tcW w:w="3678" w:type="pct"/>
            <w:shd w:val="clear" w:color="auto" w:fill="auto"/>
            <w:vAlign w:val="center"/>
          </w:tcPr>
          <w:p w14:paraId="7B48F566" w14:textId="77777777" w:rsidR="009033A7" w:rsidRPr="00380B40" w:rsidRDefault="009033A7" w:rsidP="007D2FB0">
            <w:pPr>
              <w:pStyle w:val="Tabletext"/>
              <w:rPr>
                <w:lang w:val="en-GB"/>
              </w:rPr>
            </w:pPr>
            <w:r w:rsidRPr="00380B40">
              <w:rPr>
                <w:rFonts w:eastAsia="SimSun"/>
                <w:lang w:val="en-GB"/>
              </w:rPr>
              <w:t>Resolution 60 (Rev. Dubai, 2012)</w:t>
            </w:r>
            <w:r w:rsidR="004C57AB" w:rsidRPr="00380B40">
              <w:rPr>
                <w:rFonts w:eastAsia="SimSun"/>
                <w:lang w:val="en-GB"/>
              </w:rPr>
              <w:t xml:space="preserve"> </w:t>
            </w:r>
            <w:r w:rsidR="004C57AB" w:rsidRPr="00380B40">
              <w:rPr>
                <w:lang w:val="en-GB"/>
              </w:rPr>
              <w:t xml:space="preserve">– </w:t>
            </w:r>
            <w:r w:rsidRPr="00380B40">
              <w:rPr>
                <w:rFonts w:eastAsia="SimSun"/>
                <w:lang w:val="en-GB"/>
              </w:rPr>
              <w:t>Responding to the challenges of the evolution of the identification/numbering system and its convergence with IP-based systems/networks</w:t>
            </w:r>
          </w:p>
        </w:tc>
        <w:tc>
          <w:tcPr>
            <w:tcW w:w="663" w:type="pct"/>
            <w:shd w:val="clear" w:color="auto" w:fill="auto"/>
            <w:vAlign w:val="center"/>
          </w:tcPr>
          <w:p w14:paraId="38FB386D" w14:textId="77777777" w:rsidR="009033A7" w:rsidRPr="00380B40" w:rsidRDefault="009033A7" w:rsidP="003E72C4">
            <w:pPr>
              <w:pStyle w:val="Tabletext"/>
              <w:jc w:val="center"/>
              <w:rPr>
                <w:lang w:val="en-GB"/>
              </w:rPr>
            </w:pPr>
            <w:r w:rsidRPr="00380B40">
              <w:rPr>
                <w:lang w:val="en-GB"/>
              </w:rPr>
              <w:t>MOD</w:t>
            </w:r>
          </w:p>
        </w:tc>
        <w:tc>
          <w:tcPr>
            <w:tcW w:w="659" w:type="pct"/>
            <w:shd w:val="clear" w:color="auto" w:fill="auto"/>
            <w:vAlign w:val="center"/>
          </w:tcPr>
          <w:p w14:paraId="18B07681" w14:textId="77777777" w:rsidR="009033A7" w:rsidRPr="00380B40" w:rsidRDefault="006A0076" w:rsidP="007D2FB0">
            <w:pPr>
              <w:pStyle w:val="Tabletext"/>
              <w:jc w:val="center"/>
              <w:rPr>
                <w:lang w:val="en-GB"/>
              </w:rPr>
            </w:pPr>
            <w:hyperlink r:id="rId890" w:history="1">
              <w:r w:rsidR="009033A7" w:rsidRPr="00380B40">
                <w:rPr>
                  <w:rStyle w:val="Hyperlink"/>
                  <w:szCs w:val="24"/>
                  <w:lang w:val="en-GB"/>
                </w:rPr>
                <w:t>68</w:t>
              </w:r>
            </w:hyperlink>
          </w:p>
        </w:tc>
      </w:tr>
      <w:tr w:rsidR="009033A7" w:rsidRPr="00380B40" w14:paraId="701E4693" w14:textId="77777777" w:rsidTr="00DE1739">
        <w:trPr>
          <w:cantSplit/>
        </w:trPr>
        <w:tc>
          <w:tcPr>
            <w:tcW w:w="3678" w:type="pct"/>
            <w:shd w:val="clear" w:color="auto" w:fill="auto"/>
            <w:vAlign w:val="center"/>
          </w:tcPr>
          <w:p w14:paraId="6ED31885" w14:textId="77777777" w:rsidR="009033A7" w:rsidRPr="00380B40" w:rsidRDefault="009033A7" w:rsidP="007D2FB0">
            <w:pPr>
              <w:pStyle w:val="Tabletext"/>
              <w:rPr>
                <w:lang w:val="en-GB"/>
              </w:rPr>
            </w:pPr>
            <w:r w:rsidRPr="00380B40">
              <w:rPr>
                <w:rFonts w:eastAsia="SimSun"/>
                <w:lang w:val="en-GB"/>
              </w:rPr>
              <w:t>Resolution 61 (Rev. Dubai, 2012)</w:t>
            </w:r>
            <w:r w:rsidR="004C57AB" w:rsidRPr="00380B40">
              <w:rPr>
                <w:lang w:val="en-GB"/>
              </w:rPr>
              <w:t xml:space="preserve"> – </w:t>
            </w:r>
            <w:r w:rsidRPr="00380B40">
              <w:rPr>
                <w:rFonts w:eastAsia="SimSun"/>
                <w:lang w:val="en-GB"/>
              </w:rPr>
              <w:t>Countering and combating misappropriation and misuse of international telecommunication numbering resources</w:t>
            </w:r>
          </w:p>
        </w:tc>
        <w:tc>
          <w:tcPr>
            <w:tcW w:w="663" w:type="pct"/>
            <w:shd w:val="clear" w:color="auto" w:fill="auto"/>
            <w:vAlign w:val="center"/>
          </w:tcPr>
          <w:p w14:paraId="336092F7" w14:textId="77777777" w:rsidR="009033A7" w:rsidRPr="00380B40" w:rsidRDefault="009033A7" w:rsidP="003E72C4">
            <w:pPr>
              <w:pStyle w:val="Tabletext"/>
              <w:jc w:val="center"/>
              <w:rPr>
                <w:lang w:val="en-GB"/>
              </w:rPr>
            </w:pPr>
            <w:r w:rsidRPr="00380B40">
              <w:rPr>
                <w:lang w:val="en-GB"/>
              </w:rPr>
              <w:t>MOD</w:t>
            </w:r>
          </w:p>
        </w:tc>
        <w:tc>
          <w:tcPr>
            <w:tcW w:w="659" w:type="pct"/>
            <w:shd w:val="clear" w:color="auto" w:fill="auto"/>
            <w:vAlign w:val="center"/>
          </w:tcPr>
          <w:p w14:paraId="1AF2CFE5" w14:textId="77777777" w:rsidR="009033A7" w:rsidRPr="00380B40" w:rsidRDefault="006A0076" w:rsidP="007D2FB0">
            <w:pPr>
              <w:pStyle w:val="Tabletext"/>
              <w:jc w:val="center"/>
              <w:rPr>
                <w:lang w:val="en-GB"/>
              </w:rPr>
            </w:pPr>
            <w:hyperlink r:id="rId891" w:history="1">
              <w:r w:rsidR="009033A7" w:rsidRPr="00380B40">
                <w:rPr>
                  <w:rStyle w:val="Hyperlink"/>
                  <w:lang w:val="en-GB"/>
                </w:rPr>
                <w:t>75</w:t>
              </w:r>
            </w:hyperlink>
          </w:p>
        </w:tc>
      </w:tr>
      <w:tr w:rsidR="009033A7" w:rsidRPr="00380B40" w14:paraId="399362A0" w14:textId="77777777" w:rsidTr="00DE1739">
        <w:trPr>
          <w:cantSplit/>
        </w:trPr>
        <w:tc>
          <w:tcPr>
            <w:tcW w:w="3678" w:type="pct"/>
            <w:shd w:val="clear" w:color="auto" w:fill="auto"/>
            <w:vAlign w:val="center"/>
          </w:tcPr>
          <w:p w14:paraId="5486730E" w14:textId="77777777" w:rsidR="009033A7" w:rsidRPr="00380B40" w:rsidRDefault="009033A7" w:rsidP="007D2FB0">
            <w:pPr>
              <w:pStyle w:val="Tabletext"/>
              <w:rPr>
                <w:lang w:val="en-GB"/>
              </w:rPr>
            </w:pPr>
            <w:r w:rsidRPr="00380B40">
              <w:rPr>
                <w:rFonts w:eastAsia="SimSun"/>
                <w:lang w:val="en-GB"/>
              </w:rPr>
              <w:t>Resolution 64 (Rev. Hammamet, 2016)</w:t>
            </w:r>
            <w:r w:rsidR="004C57AB" w:rsidRPr="00380B40">
              <w:rPr>
                <w:lang w:val="en-GB"/>
              </w:rPr>
              <w:t xml:space="preserve"> – </w:t>
            </w:r>
            <w:r w:rsidRPr="00380B40">
              <w:rPr>
                <w:rFonts w:eastAsia="SimSun"/>
                <w:lang w:val="en-GB"/>
              </w:rPr>
              <w:t>Internet protocol address allocation and facilitating the transition to and deployment of IPv6</w:t>
            </w:r>
          </w:p>
        </w:tc>
        <w:tc>
          <w:tcPr>
            <w:tcW w:w="663" w:type="pct"/>
            <w:shd w:val="clear" w:color="auto" w:fill="auto"/>
            <w:vAlign w:val="center"/>
          </w:tcPr>
          <w:p w14:paraId="44F8D174" w14:textId="77777777" w:rsidR="009033A7" w:rsidRPr="00380B40" w:rsidRDefault="009033A7" w:rsidP="003E72C4">
            <w:pPr>
              <w:pStyle w:val="Tabletext"/>
              <w:jc w:val="center"/>
              <w:rPr>
                <w:lang w:val="en-GB"/>
              </w:rPr>
            </w:pPr>
            <w:r w:rsidRPr="00380B40">
              <w:rPr>
                <w:lang w:val="en-GB"/>
              </w:rPr>
              <w:t>MOD</w:t>
            </w:r>
          </w:p>
        </w:tc>
        <w:tc>
          <w:tcPr>
            <w:tcW w:w="659" w:type="pct"/>
            <w:shd w:val="clear" w:color="auto" w:fill="auto"/>
            <w:vAlign w:val="center"/>
          </w:tcPr>
          <w:p w14:paraId="1888222A" w14:textId="77777777" w:rsidR="009033A7" w:rsidRPr="00380B40" w:rsidRDefault="006A0076" w:rsidP="007D2FB0">
            <w:pPr>
              <w:pStyle w:val="Tabletext"/>
              <w:jc w:val="center"/>
              <w:rPr>
                <w:lang w:val="en-GB"/>
              </w:rPr>
            </w:pPr>
            <w:hyperlink r:id="rId892" w:history="1">
              <w:r w:rsidR="009033A7" w:rsidRPr="00380B40">
                <w:rPr>
                  <w:rStyle w:val="Hyperlink"/>
                  <w:szCs w:val="24"/>
                  <w:lang w:val="en-GB"/>
                </w:rPr>
                <w:t>68</w:t>
              </w:r>
            </w:hyperlink>
          </w:p>
        </w:tc>
      </w:tr>
      <w:tr w:rsidR="009033A7" w:rsidRPr="00380B40" w14:paraId="6AC270E3" w14:textId="77777777" w:rsidTr="00DE1739">
        <w:trPr>
          <w:cantSplit/>
        </w:trPr>
        <w:tc>
          <w:tcPr>
            <w:tcW w:w="3678" w:type="pct"/>
            <w:shd w:val="clear" w:color="auto" w:fill="auto"/>
            <w:vAlign w:val="center"/>
          </w:tcPr>
          <w:p w14:paraId="663B64E5" w14:textId="77777777" w:rsidR="009033A7" w:rsidRPr="00380B40" w:rsidRDefault="009033A7" w:rsidP="007D2FB0">
            <w:pPr>
              <w:pStyle w:val="Tabletext"/>
              <w:rPr>
                <w:lang w:val="en-GB"/>
              </w:rPr>
            </w:pPr>
            <w:r w:rsidRPr="00380B40">
              <w:rPr>
                <w:rFonts w:eastAsia="SimSun"/>
                <w:lang w:val="en-GB"/>
              </w:rPr>
              <w:t>Resolution 65 (Rev. Hammamet, 2016)</w:t>
            </w:r>
            <w:r w:rsidR="004C57AB" w:rsidRPr="00380B40">
              <w:rPr>
                <w:lang w:val="en-GB"/>
              </w:rPr>
              <w:t xml:space="preserve"> – </w:t>
            </w:r>
            <w:r w:rsidRPr="00380B40">
              <w:rPr>
                <w:rFonts w:eastAsia="SimSun"/>
                <w:lang w:val="en-GB"/>
              </w:rPr>
              <w:t>Calling party number delivery, calling line identification and origin identification information</w:t>
            </w:r>
          </w:p>
        </w:tc>
        <w:tc>
          <w:tcPr>
            <w:tcW w:w="663" w:type="pct"/>
            <w:shd w:val="clear" w:color="auto" w:fill="auto"/>
            <w:vAlign w:val="center"/>
          </w:tcPr>
          <w:p w14:paraId="0F9A9E0E" w14:textId="77777777" w:rsidR="009033A7" w:rsidRPr="00380B40" w:rsidRDefault="009033A7" w:rsidP="003E72C4">
            <w:pPr>
              <w:pStyle w:val="Tabletext"/>
              <w:jc w:val="center"/>
              <w:rPr>
                <w:lang w:val="en-GB"/>
              </w:rPr>
            </w:pPr>
            <w:r w:rsidRPr="00380B40">
              <w:rPr>
                <w:lang w:val="en-GB"/>
              </w:rPr>
              <w:t>MOD</w:t>
            </w:r>
          </w:p>
        </w:tc>
        <w:tc>
          <w:tcPr>
            <w:tcW w:w="659" w:type="pct"/>
            <w:shd w:val="clear" w:color="auto" w:fill="auto"/>
            <w:vAlign w:val="center"/>
          </w:tcPr>
          <w:p w14:paraId="39AE320A" w14:textId="77777777" w:rsidR="009033A7" w:rsidRPr="00380B40" w:rsidRDefault="006A0076" w:rsidP="007D2FB0">
            <w:pPr>
              <w:pStyle w:val="Tabletext"/>
              <w:jc w:val="center"/>
              <w:rPr>
                <w:lang w:val="en-GB"/>
              </w:rPr>
            </w:pPr>
            <w:hyperlink r:id="rId893" w:history="1">
              <w:r w:rsidR="009033A7" w:rsidRPr="00380B40">
                <w:rPr>
                  <w:rStyle w:val="Hyperlink"/>
                  <w:lang w:val="en-GB"/>
                </w:rPr>
                <w:t>79</w:t>
              </w:r>
            </w:hyperlink>
          </w:p>
        </w:tc>
      </w:tr>
      <w:tr w:rsidR="009033A7" w:rsidRPr="00380B40" w14:paraId="23D6AFF9" w14:textId="77777777" w:rsidTr="00DE1739">
        <w:trPr>
          <w:cantSplit/>
        </w:trPr>
        <w:tc>
          <w:tcPr>
            <w:tcW w:w="3678" w:type="pct"/>
            <w:shd w:val="clear" w:color="auto" w:fill="auto"/>
            <w:vAlign w:val="center"/>
          </w:tcPr>
          <w:p w14:paraId="4071AAB4" w14:textId="77777777" w:rsidR="009033A7" w:rsidRPr="00380B40" w:rsidRDefault="009033A7" w:rsidP="007D2FB0">
            <w:pPr>
              <w:pStyle w:val="Tabletext"/>
              <w:rPr>
                <w:lang w:val="en-GB"/>
              </w:rPr>
            </w:pPr>
            <w:r w:rsidRPr="00380B40">
              <w:rPr>
                <w:rFonts w:eastAsia="SimSun"/>
                <w:lang w:val="en-GB"/>
              </w:rPr>
              <w:t>Resolution 72 (Rev. Hammamet, 2016)</w:t>
            </w:r>
            <w:r w:rsidR="004C57AB" w:rsidRPr="00380B40">
              <w:rPr>
                <w:lang w:val="en-GB"/>
              </w:rPr>
              <w:t xml:space="preserve"> – </w:t>
            </w:r>
            <w:r w:rsidRPr="00380B40">
              <w:rPr>
                <w:rFonts w:eastAsia="SimSun"/>
                <w:lang w:val="en-GB"/>
              </w:rPr>
              <w:t>Measurement and assessment concerns related to human exposure to electromagnetic fields</w:t>
            </w:r>
          </w:p>
        </w:tc>
        <w:tc>
          <w:tcPr>
            <w:tcW w:w="663" w:type="pct"/>
            <w:shd w:val="clear" w:color="auto" w:fill="auto"/>
            <w:vAlign w:val="center"/>
          </w:tcPr>
          <w:p w14:paraId="63AE86FE" w14:textId="77777777" w:rsidR="009033A7" w:rsidRPr="00380B40" w:rsidRDefault="009033A7" w:rsidP="003E72C4">
            <w:pPr>
              <w:pStyle w:val="Tabletext"/>
              <w:jc w:val="center"/>
              <w:rPr>
                <w:lang w:val="en-GB"/>
              </w:rPr>
            </w:pPr>
            <w:r w:rsidRPr="00380B40">
              <w:rPr>
                <w:lang w:val="en-GB"/>
              </w:rPr>
              <w:t>MOD</w:t>
            </w:r>
          </w:p>
        </w:tc>
        <w:tc>
          <w:tcPr>
            <w:tcW w:w="659" w:type="pct"/>
            <w:shd w:val="clear" w:color="auto" w:fill="auto"/>
            <w:vAlign w:val="center"/>
          </w:tcPr>
          <w:p w14:paraId="397DA2AE" w14:textId="77777777" w:rsidR="009033A7" w:rsidRPr="00380B40" w:rsidRDefault="006A0076" w:rsidP="007D2FB0">
            <w:pPr>
              <w:pStyle w:val="Tabletext"/>
              <w:jc w:val="center"/>
              <w:rPr>
                <w:lang w:val="en-GB"/>
              </w:rPr>
            </w:pPr>
            <w:hyperlink r:id="rId894" w:history="1">
              <w:r w:rsidR="009033A7" w:rsidRPr="00380B40">
                <w:rPr>
                  <w:rStyle w:val="Hyperlink"/>
                  <w:lang w:val="en-GB"/>
                </w:rPr>
                <w:t>79</w:t>
              </w:r>
            </w:hyperlink>
          </w:p>
        </w:tc>
      </w:tr>
      <w:tr w:rsidR="009033A7" w:rsidRPr="00380B40" w14:paraId="7362CD87" w14:textId="77777777" w:rsidTr="00DE1739">
        <w:trPr>
          <w:cantSplit/>
        </w:trPr>
        <w:tc>
          <w:tcPr>
            <w:tcW w:w="3678" w:type="pct"/>
            <w:shd w:val="clear" w:color="auto" w:fill="auto"/>
            <w:vAlign w:val="center"/>
          </w:tcPr>
          <w:p w14:paraId="7E29B739" w14:textId="77777777" w:rsidR="009033A7" w:rsidRPr="00380B40" w:rsidRDefault="009033A7" w:rsidP="007D2FB0">
            <w:pPr>
              <w:pStyle w:val="Tabletext"/>
              <w:rPr>
                <w:lang w:val="en-GB"/>
              </w:rPr>
            </w:pPr>
            <w:r w:rsidRPr="00380B40">
              <w:rPr>
                <w:rFonts w:eastAsia="SimSun"/>
                <w:lang w:val="en-GB"/>
              </w:rPr>
              <w:t>Resolution 73 (Rev. Hammamet, 2016)</w:t>
            </w:r>
            <w:r w:rsidR="004C57AB" w:rsidRPr="00380B40">
              <w:rPr>
                <w:rFonts w:eastAsia="SimSun"/>
                <w:lang w:val="en-GB"/>
              </w:rPr>
              <w:t xml:space="preserve"> </w:t>
            </w:r>
            <w:r w:rsidR="004C57AB" w:rsidRPr="00380B40">
              <w:rPr>
                <w:lang w:val="en-GB"/>
              </w:rPr>
              <w:t xml:space="preserve">– </w:t>
            </w:r>
            <w:r w:rsidRPr="00380B40">
              <w:rPr>
                <w:rFonts w:eastAsia="SimSun"/>
                <w:lang w:val="en-GB"/>
              </w:rPr>
              <w:t>Information and communication technologies, environment and climate change</w:t>
            </w:r>
          </w:p>
        </w:tc>
        <w:tc>
          <w:tcPr>
            <w:tcW w:w="663" w:type="pct"/>
            <w:shd w:val="clear" w:color="auto" w:fill="auto"/>
            <w:vAlign w:val="center"/>
          </w:tcPr>
          <w:p w14:paraId="216708C2" w14:textId="77777777" w:rsidR="009033A7" w:rsidRPr="00380B40" w:rsidRDefault="009033A7" w:rsidP="003E72C4">
            <w:pPr>
              <w:pStyle w:val="Tabletext"/>
              <w:jc w:val="center"/>
              <w:rPr>
                <w:lang w:val="en-GB"/>
              </w:rPr>
            </w:pPr>
            <w:r w:rsidRPr="00380B40">
              <w:rPr>
                <w:lang w:val="en-GB"/>
              </w:rPr>
              <w:t>MOD</w:t>
            </w:r>
          </w:p>
        </w:tc>
        <w:tc>
          <w:tcPr>
            <w:tcW w:w="659" w:type="pct"/>
            <w:shd w:val="clear" w:color="auto" w:fill="auto"/>
            <w:vAlign w:val="center"/>
          </w:tcPr>
          <w:p w14:paraId="08C7C87B" w14:textId="77777777" w:rsidR="009033A7" w:rsidRPr="00380B40" w:rsidRDefault="006A0076" w:rsidP="007D2FB0">
            <w:pPr>
              <w:pStyle w:val="Tabletext"/>
              <w:jc w:val="center"/>
              <w:rPr>
                <w:lang w:val="en-GB"/>
              </w:rPr>
            </w:pPr>
            <w:hyperlink r:id="rId895" w:history="1">
              <w:r w:rsidR="009033A7" w:rsidRPr="00380B40">
                <w:rPr>
                  <w:rStyle w:val="Hyperlink"/>
                  <w:lang w:val="en-GB"/>
                </w:rPr>
                <w:t>79</w:t>
              </w:r>
            </w:hyperlink>
          </w:p>
        </w:tc>
      </w:tr>
    </w:tbl>
    <w:p w14:paraId="3073B2BF" w14:textId="77777777" w:rsidR="00A6176D" w:rsidRPr="00380B40" w:rsidRDefault="00A6176D" w:rsidP="009033A7">
      <w:pPr>
        <w:spacing w:before="0" w:after="160" w:line="259" w:lineRule="auto"/>
        <w:rPr>
          <w:rFonts w:asciiTheme="minorHAnsi" w:eastAsiaTheme="minorEastAsia" w:hAnsiTheme="minorHAnsi" w:cstheme="minorBidi"/>
          <w:b/>
          <w:bCs/>
          <w:szCs w:val="24"/>
          <w:lang w:val="en-GB" w:eastAsia="ja-JP"/>
        </w:rPr>
      </w:pPr>
    </w:p>
    <w:p w14:paraId="619D2938" w14:textId="77777777" w:rsidR="00A6176D" w:rsidRPr="00380B40" w:rsidRDefault="00A6176D" w:rsidP="009033A7">
      <w:pPr>
        <w:spacing w:before="0" w:after="160" w:line="259" w:lineRule="auto"/>
        <w:rPr>
          <w:rFonts w:asciiTheme="minorHAnsi" w:eastAsiaTheme="minorEastAsia" w:hAnsiTheme="minorHAnsi" w:cstheme="minorBidi"/>
          <w:b/>
          <w:bCs/>
          <w:szCs w:val="24"/>
          <w:lang w:val="en-GB" w:eastAsia="ja-JP"/>
        </w:rPr>
      </w:pPr>
    </w:p>
    <w:p w14:paraId="65432F65" w14:textId="77777777" w:rsidR="00A6176D" w:rsidRPr="00380B40" w:rsidRDefault="00A6176D" w:rsidP="009033A7">
      <w:pPr>
        <w:spacing w:before="0" w:after="160" w:line="259" w:lineRule="auto"/>
        <w:rPr>
          <w:rFonts w:asciiTheme="minorHAnsi" w:eastAsiaTheme="minorEastAsia" w:hAnsiTheme="minorHAnsi" w:cstheme="minorBidi"/>
          <w:b/>
          <w:bCs/>
          <w:szCs w:val="24"/>
          <w:lang w:val="en-GB" w:eastAsia="ja-JP"/>
        </w:rPr>
      </w:pPr>
    </w:p>
    <w:p w14:paraId="5D7E1EAA" w14:textId="77777777" w:rsidR="00A6176D" w:rsidRPr="00380B40" w:rsidRDefault="00A6176D" w:rsidP="009033A7">
      <w:pPr>
        <w:spacing w:before="0" w:after="160" w:line="259" w:lineRule="auto"/>
        <w:rPr>
          <w:rFonts w:asciiTheme="minorHAnsi" w:eastAsiaTheme="minorEastAsia" w:hAnsiTheme="minorHAnsi" w:cstheme="minorBidi"/>
          <w:b/>
          <w:bCs/>
          <w:szCs w:val="24"/>
          <w:lang w:val="en-GB" w:eastAsia="ja-JP"/>
        </w:rPr>
      </w:pPr>
    </w:p>
    <w:p w14:paraId="4A6B4BF4" w14:textId="77777777" w:rsidR="00AD0C2E" w:rsidRPr="00380B40" w:rsidRDefault="00AD0C2E" w:rsidP="009033A7">
      <w:pPr>
        <w:spacing w:before="0" w:after="160" w:line="259" w:lineRule="auto"/>
        <w:rPr>
          <w:rFonts w:asciiTheme="minorHAnsi" w:eastAsiaTheme="minorEastAsia" w:hAnsiTheme="minorHAnsi" w:cstheme="minorBidi"/>
          <w:b/>
          <w:bCs/>
          <w:szCs w:val="24"/>
          <w:lang w:val="en-GB" w:eastAsia="ja-JP"/>
        </w:rPr>
      </w:pPr>
      <w:r w:rsidRPr="00380B40">
        <w:rPr>
          <w:rFonts w:asciiTheme="minorHAnsi" w:eastAsiaTheme="minorEastAsia" w:hAnsiTheme="minorHAnsi" w:cstheme="minorBidi"/>
          <w:b/>
          <w:bCs/>
          <w:szCs w:val="24"/>
          <w:lang w:val="en-GB" w:eastAsia="ja-JP"/>
        </w:rPr>
        <w:br w:type="page"/>
      </w:r>
    </w:p>
    <w:tbl>
      <w:tblPr>
        <w:tblStyle w:val="TableGrid"/>
        <w:tblW w:w="5000" w:type="pct"/>
        <w:tblLook w:val="04A0" w:firstRow="1" w:lastRow="0" w:firstColumn="1" w:lastColumn="0" w:noHBand="0" w:noVBand="1"/>
      </w:tblPr>
      <w:tblGrid>
        <w:gridCol w:w="7082"/>
        <w:gridCol w:w="1277"/>
        <w:gridCol w:w="1269"/>
      </w:tblGrid>
      <w:tr w:rsidR="00AD0C2E" w:rsidRPr="00380B40" w14:paraId="35990116" w14:textId="77777777" w:rsidTr="004E4CA9">
        <w:trPr>
          <w:cantSplit/>
          <w:tblHeader/>
        </w:trPr>
        <w:tc>
          <w:tcPr>
            <w:tcW w:w="3678" w:type="pct"/>
            <w:shd w:val="clear" w:color="auto" w:fill="auto"/>
            <w:vAlign w:val="center"/>
            <w:hideMark/>
          </w:tcPr>
          <w:p w14:paraId="114DB492" w14:textId="77777777" w:rsidR="00AD0C2E" w:rsidRPr="00380B40" w:rsidRDefault="00AD0C2E" w:rsidP="004E4CA9">
            <w:pPr>
              <w:pStyle w:val="Tableheadwhitecentred"/>
            </w:pPr>
            <w:r w:rsidRPr="00380B40">
              <w:t>Resolutions</w:t>
            </w:r>
          </w:p>
        </w:tc>
        <w:tc>
          <w:tcPr>
            <w:tcW w:w="663" w:type="pct"/>
            <w:shd w:val="clear" w:color="auto" w:fill="auto"/>
            <w:vAlign w:val="center"/>
          </w:tcPr>
          <w:p w14:paraId="6D151236" w14:textId="77777777" w:rsidR="00AD0C2E" w:rsidRPr="00380B40" w:rsidRDefault="00AD0C2E" w:rsidP="004E4CA9">
            <w:pPr>
              <w:pStyle w:val="Tableheadwhitecentred"/>
            </w:pPr>
            <w:r w:rsidRPr="00380B40">
              <w:t>Action</w:t>
            </w:r>
          </w:p>
        </w:tc>
        <w:tc>
          <w:tcPr>
            <w:tcW w:w="659" w:type="pct"/>
            <w:shd w:val="clear" w:color="auto" w:fill="auto"/>
            <w:vAlign w:val="center"/>
          </w:tcPr>
          <w:p w14:paraId="5C68A544" w14:textId="77777777" w:rsidR="00AD0C2E" w:rsidRPr="00380B40" w:rsidRDefault="00AD0C2E" w:rsidP="004E4CA9">
            <w:pPr>
              <w:pStyle w:val="Tableheadwhitecentred"/>
            </w:pPr>
            <w:r w:rsidRPr="00380B40">
              <w:t>Document</w:t>
            </w:r>
          </w:p>
        </w:tc>
      </w:tr>
      <w:tr w:rsidR="00AD0C2E" w:rsidRPr="00380B40" w14:paraId="18CCD97D" w14:textId="77777777" w:rsidTr="004E4CA9">
        <w:trPr>
          <w:cantSplit/>
        </w:trPr>
        <w:tc>
          <w:tcPr>
            <w:tcW w:w="3678" w:type="pct"/>
            <w:shd w:val="clear" w:color="auto" w:fill="auto"/>
            <w:vAlign w:val="center"/>
          </w:tcPr>
          <w:p w14:paraId="49CB8B99" w14:textId="77777777" w:rsidR="00AD0C2E" w:rsidRPr="00380B40" w:rsidRDefault="00AD0C2E" w:rsidP="00987626">
            <w:pPr>
              <w:pStyle w:val="Tabletext"/>
              <w:rPr>
                <w:lang w:val="en-GB"/>
              </w:rPr>
            </w:pPr>
            <w:r w:rsidRPr="00380B40">
              <w:rPr>
                <w:rFonts w:eastAsia="SimSun"/>
                <w:lang w:val="en-GB"/>
              </w:rPr>
              <w:t xml:space="preserve">Resolution 74 (Rev. Dubai, 2012) </w:t>
            </w:r>
            <w:r w:rsidRPr="00380B40">
              <w:rPr>
                <w:lang w:val="en-GB"/>
              </w:rPr>
              <w:t xml:space="preserve">– </w:t>
            </w:r>
            <w:r w:rsidRPr="00380B40">
              <w:rPr>
                <w:rFonts w:eastAsia="SimSun"/>
                <w:lang w:val="en-GB"/>
              </w:rPr>
              <w:t>Admission of Sector Members1 from developing countries in the work of the ITU Telecommunication Standardization Sector</w:t>
            </w:r>
          </w:p>
        </w:tc>
        <w:tc>
          <w:tcPr>
            <w:tcW w:w="663" w:type="pct"/>
            <w:shd w:val="clear" w:color="auto" w:fill="auto"/>
            <w:vAlign w:val="center"/>
          </w:tcPr>
          <w:p w14:paraId="20B747EC" w14:textId="77777777" w:rsidR="00AD0C2E" w:rsidRPr="00380B40" w:rsidRDefault="00AD0C2E" w:rsidP="003E72C4">
            <w:pPr>
              <w:pStyle w:val="Tabletext"/>
              <w:jc w:val="center"/>
              <w:rPr>
                <w:lang w:val="en-GB"/>
              </w:rPr>
            </w:pPr>
            <w:r w:rsidRPr="00380B40">
              <w:rPr>
                <w:lang w:val="en-GB"/>
              </w:rPr>
              <w:t>MOD</w:t>
            </w:r>
          </w:p>
        </w:tc>
        <w:tc>
          <w:tcPr>
            <w:tcW w:w="659" w:type="pct"/>
            <w:shd w:val="clear" w:color="auto" w:fill="auto"/>
            <w:vAlign w:val="center"/>
          </w:tcPr>
          <w:p w14:paraId="324EEC52" w14:textId="77777777" w:rsidR="00AD0C2E" w:rsidRPr="00380B40" w:rsidRDefault="006A0076" w:rsidP="004E4CA9">
            <w:pPr>
              <w:pStyle w:val="Tabletext"/>
              <w:jc w:val="center"/>
              <w:rPr>
                <w:lang w:val="en-GB"/>
              </w:rPr>
            </w:pPr>
            <w:hyperlink r:id="rId896" w:history="1">
              <w:r w:rsidR="00AD0C2E" w:rsidRPr="00380B40">
                <w:rPr>
                  <w:rStyle w:val="Hyperlink"/>
                  <w:lang w:val="en-GB"/>
                </w:rPr>
                <w:t>79</w:t>
              </w:r>
            </w:hyperlink>
          </w:p>
        </w:tc>
      </w:tr>
      <w:tr w:rsidR="00AD0C2E" w:rsidRPr="00380B40" w14:paraId="0AABABE3" w14:textId="77777777" w:rsidTr="004E4CA9">
        <w:trPr>
          <w:cantSplit/>
        </w:trPr>
        <w:tc>
          <w:tcPr>
            <w:tcW w:w="3678" w:type="pct"/>
            <w:shd w:val="clear" w:color="auto" w:fill="auto"/>
            <w:vAlign w:val="center"/>
          </w:tcPr>
          <w:p w14:paraId="05C03FC5" w14:textId="77777777" w:rsidR="00AD0C2E" w:rsidRPr="00380B40" w:rsidRDefault="00AD0C2E" w:rsidP="004E4CA9">
            <w:pPr>
              <w:pStyle w:val="Tabletext"/>
              <w:rPr>
                <w:lang w:val="en-GB"/>
              </w:rPr>
            </w:pPr>
            <w:r w:rsidRPr="00380B40">
              <w:rPr>
                <w:rFonts w:eastAsia="SimSun"/>
                <w:lang w:val="en-GB"/>
              </w:rPr>
              <w:t xml:space="preserve">Resolution 75 (Rev. Hammamet, 2016) </w:t>
            </w:r>
            <w:r w:rsidRPr="00380B40">
              <w:rPr>
                <w:lang w:val="en-GB"/>
              </w:rPr>
              <w:t xml:space="preserve">– </w:t>
            </w:r>
            <w:r w:rsidRPr="00380B40">
              <w:rPr>
                <w:rFonts w:eastAsia="SimSun"/>
                <w:lang w:val="en-GB"/>
              </w:rPr>
              <w:t>The ITU Telecommunication Standardization Sector's contribution in implementing the outcomes of the World Summit on the Information Society, taking into account the 2030 Agenda for Sustainable Development</w:t>
            </w:r>
          </w:p>
        </w:tc>
        <w:tc>
          <w:tcPr>
            <w:tcW w:w="663" w:type="pct"/>
            <w:shd w:val="clear" w:color="auto" w:fill="auto"/>
            <w:vAlign w:val="center"/>
          </w:tcPr>
          <w:p w14:paraId="3B5B1440" w14:textId="77777777" w:rsidR="00AD0C2E" w:rsidRPr="00380B40" w:rsidRDefault="00AD0C2E" w:rsidP="003E72C4">
            <w:pPr>
              <w:pStyle w:val="Tabletext"/>
              <w:jc w:val="center"/>
              <w:rPr>
                <w:lang w:val="en-GB"/>
              </w:rPr>
            </w:pPr>
            <w:r w:rsidRPr="00380B40">
              <w:rPr>
                <w:lang w:val="en-GB"/>
              </w:rPr>
              <w:t>MOD</w:t>
            </w:r>
          </w:p>
        </w:tc>
        <w:tc>
          <w:tcPr>
            <w:tcW w:w="659" w:type="pct"/>
            <w:shd w:val="clear" w:color="auto" w:fill="auto"/>
            <w:vAlign w:val="center"/>
          </w:tcPr>
          <w:p w14:paraId="3024B11E" w14:textId="77777777" w:rsidR="00AD0C2E" w:rsidRPr="00380B40" w:rsidRDefault="00AD0C2E" w:rsidP="004E4CA9">
            <w:pPr>
              <w:pStyle w:val="Tabletext"/>
              <w:jc w:val="center"/>
              <w:rPr>
                <w:lang w:val="en-GB"/>
              </w:rPr>
            </w:pPr>
            <w:r w:rsidRPr="00380B40">
              <w:rPr>
                <w:lang w:val="en-GB"/>
              </w:rPr>
              <w:t>DT/</w:t>
            </w:r>
            <w:hyperlink r:id="rId897" w:history="1">
              <w:r w:rsidRPr="00380B40">
                <w:rPr>
                  <w:rStyle w:val="Hyperlink"/>
                  <w:szCs w:val="24"/>
                  <w:lang w:val="en-GB"/>
                </w:rPr>
                <w:t>65</w:t>
              </w:r>
            </w:hyperlink>
          </w:p>
        </w:tc>
      </w:tr>
      <w:tr w:rsidR="00AD0C2E" w:rsidRPr="00380B40" w14:paraId="53CD8520" w14:textId="77777777" w:rsidTr="004E4CA9">
        <w:trPr>
          <w:cantSplit/>
        </w:trPr>
        <w:tc>
          <w:tcPr>
            <w:tcW w:w="3678" w:type="pct"/>
            <w:shd w:val="clear" w:color="auto" w:fill="auto"/>
            <w:vAlign w:val="center"/>
          </w:tcPr>
          <w:p w14:paraId="76EDCAB9" w14:textId="77777777" w:rsidR="00AD0C2E" w:rsidRPr="00380B40" w:rsidRDefault="00AD0C2E" w:rsidP="004E4CA9">
            <w:pPr>
              <w:pStyle w:val="Tabletext"/>
              <w:rPr>
                <w:lang w:val="en-GB"/>
              </w:rPr>
            </w:pPr>
            <w:r w:rsidRPr="00380B40">
              <w:rPr>
                <w:rFonts w:eastAsia="SimSun"/>
                <w:lang w:val="en-GB"/>
              </w:rPr>
              <w:t>Resolution 76 (Rev. Hammamet, 2016)</w:t>
            </w:r>
            <w:r w:rsidRPr="00380B40">
              <w:rPr>
                <w:lang w:val="en-GB"/>
              </w:rPr>
              <w:t xml:space="preserve"> – </w:t>
            </w:r>
            <w:r w:rsidRPr="00380B40">
              <w:rPr>
                <w:rFonts w:eastAsia="SimSun"/>
                <w:lang w:val="en-GB"/>
              </w:rPr>
              <w:t>Studies related to conformance and interoperability testing, assistance to developing countries, and a possible future ITU Mark programme</w:t>
            </w:r>
          </w:p>
        </w:tc>
        <w:tc>
          <w:tcPr>
            <w:tcW w:w="663" w:type="pct"/>
            <w:shd w:val="clear" w:color="auto" w:fill="auto"/>
            <w:vAlign w:val="center"/>
          </w:tcPr>
          <w:p w14:paraId="1B87224E" w14:textId="77777777" w:rsidR="00AD0C2E" w:rsidRPr="00380B40" w:rsidRDefault="00AD0C2E" w:rsidP="003E72C4">
            <w:pPr>
              <w:pStyle w:val="Tabletext"/>
              <w:jc w:val="center"/>
              <w:rPr>
                <w:lang w:val="en-GB"/>
              </w:rPr>
            </w:pPr>
            <w:r w:rsidRPr="00380B40">
              <w:rPr>
                <w:lang w:val="en-GB"/>
              </w:rPr>
              <w:t>MOD</w:t>
            </w:r>
          </w:p>
        </w:tc>
        <w:tc>
          <w:tcPr>
            <w:tcW w:w="659" w:type="pct"/>
            <w:shd w:val="clear" w:color="auto" w:fill="auto"/>
            <w:vAlign w:val="center"/>
          </w:tcPr>
          <w:p w14:paraId="2A3BD0FF" w14:textId="77777777" w:rsidR="00AD0C2E" w:rsidRPr="00380B40" w:rsidRDefault="006A0076" w:rsidP="004E4CA9">
            <w:pPr>
              <w:pStyle w:val="Tabletext"/>
              <w:jc w:val="center"/>
              <w:rPr>
                <w:lang w:val="en-GB"/>
              </w:rPr>
            </w:pPr>
            <w:hyperlink r:id="rId898" w:history="1">
              <w:r w:rsidR="00AD0C2E" w:rsidRPr="00380B40">
                <w:rPr>
                  <w:rStyle w:val="Hyperlink"/>
                  <w:lang w:val="en-GB"/>
                </w:rPr>
                <w:t>79</w:t>
              </w:r>
            </w:hyperlink>
          </w:p>
        </w:tc>
      </w:tr>
      <w:tr w:rsidR="00AD0C2E" w:rsidRPr="00380B40" w14:paraId="0FB2569F" w14:textId="77777777" w:rsidTr="004E4CA9">
        <w:trPr>
          <w:cantSplit/>
        </w:trPr>
        <w:tc>
          <w:tcPr>
            <w:tcW w:w="3678" w:type="pct"/>
            <w:shd w:val="clear" w:color="auto" w:fill="auto"/>
            <w:vAlign w:val="center"/>
          </w:tcPr>
          <w:p w14:paraId="0E790933" w14:textId="77777777" w:rsidR="00AD0C2E" w:rsidRPr="00380B40" w:rsidRDefault="00AD0C2E" w:rsidP="004E4CA9">
            <w:pPr>
              <w:pStyle w:val="Tabletext"/>
              <w:rPr>
                <w:lang w:val="en-GB"/>
              </w:rPr>
            </w:pPr>
            <w:r w:rsidRPr="00380B40">
              <w:rPr>
                <w:rFonts w:eastAsia="SimSun"/>
                <w:lang w:val="en-GB"/>
              </w:rPr>
              <w:t xml:space="preserve">Resolution 78 (Rev. Hammamet, 2016) </w:t>
            </w:r>
            <w:r w:rsidRPr="00380B40">
              <w:rPr>
                <w:lang w:val="en-GB"/>
              </w:rPr>
              <w:t>–</w:t>
            </w:r>
            <w:r w:rsidRPr="00380B40">
              <w:rPr>
                <w:rFonts w:eastAsia="SimSun"/>
                <w:lang w:val="en-GB"/>
              </w:rPr>
              <w:t xml:space="preserve"> Information and communication technology applications and standards for improved access to e-health services</w:t>
            </w:r>
          </w:p>
        </w:tc>
        <w:tc>
          <w:tcPr>
            <w:tcW w:w="663" w:type="pct"/>
            <w:shd w:val="clear" w:color="auto" w:fill="auto"/>
            <w:vAlign w:val="center"/>
          </w:tcPr>
          <w:p w14:paraId="5462A492" w14:textId="77777777" w:rsidR="00AD0C2E" w:rsidRPr="00380B40" w:rsidRDefault="00AD0C2E" w:rsidP="003E72C4">
            <w:pPr>
              <w:pStyle w:val="Tabletext"/>
              <w:jc w:val="center"/>
              <w:rPr>
                <w:lang w:val="en-GB"/>
              </w:rPr>
            </w:pPr>
            <w:r w:rsidRPr="00380B40">
              <w:rPr>
                <w:lang w:val="en-GB"/>
              </w:rPr>
              <w:t>MOD</w:t>
            </w:r>
          </w:p>
        </w:tc>
        <w:tc>
          <w:tcPr>
            <w:tcW w:w="659" w:type="pct"/>
            <w:shd w:val="clear" w:color="auto" w:fill="auto"/>
            <w:vAlign w:val="center"/>
          </w:tcPr>
          <w:p w14:paraId="675053F9" w14:textId="77777777" w:rsidR="00AD0C2E" w:rsidRPr="00380B40" w:rsidRDefault="00AD0C2E" w:rsidP="004E4CA9">
            <w:pPr>
              <w:pStyle w:val="Tabletext"/>
              <w:jc w:val="center"/>
              <w:rPr>
                <w:lang w:val="en-GB"/>
              </w:rPr>
            </w:pPr>
            <w:r w:rsidRPr="00380B40">
              <w:rPr>
                <w:lang w:val="en-GB"/>
              </w:rPr>
              <w:t>DT/</w:t>
            </w:r>
            <w:hyperlink r:id="rId899" w:history="1">
              <w:r w:rsidRPr="00380B40">
                <w:rPr>
                  <w:rStyle w:val="Hyperlink"/>
                  <w:szCs w:val="24"/>
                  <w:lang w:val="en-GB"/>
                </w:rPr>
                <w:t>74</w:t>
              </w:r>
            </w:hyperlink>
          </w:p>
        </w:tc>
      </w:tr>
      <w:tr w:rsidR="00AD0C2E" w:rsidRPr="00380B40" w14:paraId="75B9FCF1" w14:textId="77777777" w:rsidTr="004E4CA9">
        <w:trPr>
          <w:cantSplit/>
        </w:trPr>
        <w:tc>
          <w:tcPr>
            <w:tcW w:w="3678" w:type="pct"/>
            <w:shd w:val="clear" w:color="auto" w:fill="auto"/>
            <w:vAlign w:val="center"/>
          </w:tcPr>
          <w:p w14:paraId="47B1B919" w14:textId="77777777" w:rsidR="00AD0C2E" w:rsidRPr="00380B40" w:rsidRDefault="00AD0C2E" w:rsidP="004E4CA9">
            <w:pPr>
              <w:pStyle w:val="Tabletext"/>
              <w:rPr>
                <w:lang w:val="en-GB"/>
              </w:rPr>
            </w:pPr>
            <w:r w:rsidRPr="00380B40">
              <w:rPr>
                <w:rFonts w:eastAsia="SimSun"/>
                <w:lang w:val="en-GB"/>
              </w:rPr>
              <w:t>Resolution 84 (Hammamet, 2016)</w:t>
            </w:r>
            <w:r w:rsidRPr="00380B40">
              <w:rPr>
                <w:lang w:val="en-GB"/>
              </w:rPr>
              <w:t xml:space="preserve"> – </w:t>
            </w:r>
            <w:r w:rsidRPr="00380B40">
              <w:rPr>
                <w:rFonts w:eastAsia="SimSun"/>
                <w:lang w:val="en-GB"/>
              </w:rPr>
              <w:t>Studies concerning the protection of users of telecommunication/information and communication technology services</w:t>
            </w:r>
          </w:p>
        </w:tc>
        <w:tc>
          <w:tcPr>
            <w:tcW w:w="663" w:type="pct"/>
            <w:shd w:val="clear" w:color="auto" w:fill="auto"/>
            <w:vAlign w:val="center"/>
          </w:tcPr>
          <w:p w14:paraId="0816DBC9" w14:textId="77777777" w:rsidR="00AD0C2E" w:rsidRPr="00380B40" w:rsidRDefault="00AD0C2E" w:rsidP="003E72C4">
            <w:pPr>
              <w:pStyle w:val="Tabletext"/>
              <w:jc w:val="center"/>
              <w:rPr>
                <w:lang w:val="en-GB"/>
              </w:rPr>
            </w:pPr>
            <w:r w:rsidRPr="00380B40">
              <w:rPr>
                <w:lang w:val="en-GB"/>
              </w:rPr>
              <w:t>MOD</w:t>
            </w:r>
          </w:p>
        </w:tc>
        <w:tc>
          <w:tcPr>
            <w:tcW w:w="659" w:type="pct"/>
            <w:shd w:val="clear" w:color="auto" w:fill="auto"/>
            <w:vAlign w:val="center"/>
          </w:tcPr>
          <w:p w14:paraId="6FFA707A" w14:textId="77777777" w:rsidR="00AD0C2E" w:rsidRPr="00380B40" w:rsidRDefault="006A0076" w:rsidP="004E4CA9">
            <w:pPr>
              <w:pStyle w:val="Tabletext"/>
              <w:jc w:val="center"/>
              <w:rPr>
                <w:lang w:val="en-GB"/>
              </w:rPr>
            </w:pPr>
            <w:hyperlink r:id="rId900" w:history="1">
              <w:r w:rsidR="00AD0C2E" w:rsidRPr="00380B40">
                <w:rPr>
                  <w:rStyle w:val="Hyperlink"/>
                  <w:lang w:val="en-GB"/>
                </w:rPr>
                <w:t>79</w:t>
              </w:r>
            </w:hyperlink>
          </w:p>
        </w:tc>
      </w:tr>
      <w:tr w:rsidR="00AD0C2E" w:rsidRPr="00380B40" w14:paraId="6FD9AB08" w14:textId="77777777" w:rsidTr="004E4CA9">
        <w:trPr>
          <w:cantSplit/>
        </w:trPr>
        <w:tc>
          <w:tcPr>
            <w:tcW w:w="3678" w:type="pct"/>
            <w:shd w:val="clear" w:color="auto" w:fill="auto"/>
            <w:vAlign w:val="center"/>
          </w:tcPr>
          <w:p w14:paraId="7B2996DE" w14:textId="77777777" w:rsidR="00AD0C2E" w:rsidRPr="00380B40" w:rsidRDefault="00AD0C2E" w:rsidP="004E4CA9">
            <w:pPr>
              <w:pStyle w:val="Tabletext"/>
              <w:rPr>
                <w:lang w:val="en-GB"/>
              </w:rPr>
            </w:pPr>
            <w:r w:rsidRPr="00380B40">
              <w:rPr>
                <w:rFonts w:eastAsia="SimSun"/>
                <w:lang w:val="en-GB"/>
              </w:rPr>
              <w:t xml:space="preserve">Resolution 89 (Hammamet, 2016) </w:t>
            </w:r>
            <w:r w:rsidRPr="00380B40">
              <w:rPr>
                <w:lang w:val="en-GB"/>
              </w:rPr>
              <w:t xml:space="preserve">– </w:t>
            </w:r>
            <w:r w:rsidRPr="00380B40">
              <w:rPr>
                <w:rFonts w:eastAsia="SimSun"/>
                <w:lang w:val="en-GB"/>
              </w:rPr>
              <w:t>Promoting the use of information and communication technologies to bridge the financial inclusion gap</w:t>
            </w:r>
          </w:p>
        </w:tc>
        <w:tc>
          <w:tcPr>
            <w:tcW w:w="663" w:type="pct"/>
            <w:shd w:val="clear" w:color="auto" w:fill="auto"/>
            <w:vAlign w:val="center"/>
          </w:tcPr>
          <w:p w14:paraId="058DC374" w14:textId="77777777" w:rsidR="00AD0C2E" w:rsidRPr="00380B40" w:rsidRDefault="00AD0C2E" w:rsidP="003E72C4">
            <w:pPr>
              <w:pStyle w:val="Tabletext"/>
              <w:jc w:val="center"/>
              <w:rPr>
                <w:lang w:val="en-GB"/>
              </w:rPr>
            </w:pPr>
            <w:r w:rsidRPr="00380B40">
              <w:rPr>
                <w:lang w:val="en-GB"/>
              </w:rPr>
              <w:t>MOD</w:t>
            </w:r>
          </w:p>
        </w:tc>
        <w:tc>
          <w:tcPr>
            <w:tcW w:w="659" w:type="pct"/>
            <w:shd w:val="clear" w:color="auto" w:fill="auto"/>
            <w:vAlign w:val="center"/>
          </w:tcPr>
          <w:p w14:paraId="2A8FF5E9" w14:textId="77777777" w:rsidR="00AD0C2E" w:rsidRPr="00380B40" w:rsidRDefault="00AD0C2E" w:rsidP="004E4CA9">
            <w:pPr>
              <w:pStyle w:val="Tabletext"/>
              <w:jc w:val="center"/>
              <w:rPr>
                <w:lang w:val="en-GB"/>
              </w:rPr>
            </w:pPr>
            <w:r w:rsidRPr="00380B40">
              <w:rPr>
                <w:lang w:val="en-GB"/>
              </w:rPr>
              <w:t>DT/</w:t>
            </w:r>
            <w:hyperlink r:id="rId901" w:history="1">
              <w:r w:rsidRPr="00380B40">
                <w:rPr>
                  <w:rStyle w:val="Hyperlink"/>
                  <w:szCs w:val="24"/>
                  <w:lang w:val="en-GB"/>
                </w:rPr>
                <w:t>64</w:t>
              </w:r>
            </w:hyperlink>
          </w:p>
        </w:tc>
      </w:tr>
      <w:tr w:rsidR="00AD0C2E" w:rsidRPr="00380B40" w14:paraId="6790DD91" w14:textId="77777777" w:rsidTr="004E4CA9">
        <w:trPr>
          <w:cantSplit/>
        </w:trPr>
        <w:tc>
          <w:tcPr>
            <w:tcW w:w="3678" w:type="pct"/>
            <w:shd w:val="clear" w:color="auto" w:fill="auto"/>
            <w:vAlign w:val="center"/>
          </w:tcPr>
          <w:p w14:paraId="0C834560" w14:textId="77777777" w:rsidR="00AD0C2E" w:rsidRPr="00380B40" w:rsidRDefault="00AD0C2E" w:rsidP="004E4CA9">
            <w:pPr>
              <w:pStyle w:val="Tabletext"/>
              <w:rPr>
                <w:lang w:val="en-GB"/>
              </w:rPr>
            </w:pPr>
            <w:r w:rsidRPr="00380B40">
              <w:rPr>
                <w:rFonts w:eastAsia="SimSun"/>
                <w:lang w:val="en-GB"/>
              </w:rPr>
              <w:t xml:space="preserve">Resolution 91 (Hammamet, 2016) </w:t>
            </w:r>
            <w:r w:rsidRPr="00380B40">
              <w:rPr>
                <w:lang w:val="en-GB"/>
              </w:rPr>
              <w:t xml:space="preserve">– </w:t>
            </w:r>
            <w:r w:rsidRPr="00380B40">
              <w:rPr>
                <w:rFonts w:eastAsia="SimSun"/>
                <w:lang w:val="en-GB"/>
              </w:rPr>
              <w:t>Enhancing access to an electronic repository of information on numbering plans published by the ITU Telecommunication Standardization Sector</w:t>
            </w:r>
          </w:p>
        </w:tc>
        <w:tc>
          <w:tcPr>
            <w:tcW w:w="663" w:type="pct"/>
            <w:shd w:val="clear" w:color="auto" w:fill="auto"/>
            <w:vAlign w:val="center"/>
          </w:tcPr>
          <w:p w14:paraId="230923E8" w14:textId="77777777" w:rsidR="00AD0C2E" w:rsidRPr="00380B40" w:rsidRDefault="00AD0C2E" w:rsidP="003E72C4">
            <w:pPr>
              <w:pStyle w:val="Tabletext"/>
              <w:jc w:val="center"/>
              <w:rPr>
                <w:lang w:val="en-GB"/>
              </w:rPr>
            </w:pPr>
            <w:r w:rsidRPr="00380B40">
              <w:rPr>
                <w:lang w:val="en-GB"/>
              </w:rPr>
              <w:t>MOD</w:t>
            </w:r>
          </w:p>
        </w:tc>
        <w:tc>
          <w:tcPr>
            <w:tcW w:w="659" w:type="pct"/>
            <w:shd w:val="clear" w:color="auto" w:fill="auto"/>
            <w:vAlign w:val="center"/>
          </w:tcPr>
          <w:p w14:paraId="30B33F51" w14:textId="77777777" w:rsidR="00AD0C2E" w:rsidRPr="00380B40" w:rsidRDefault="00AD0C2E" w:rsidP="004E4CA9">
            <w:pPr>
              <w:pStyle w:val="Tabletext"/>
              <w:jc w:val="center"/>
              <w:rPr>
                <w:lang w:val="en-GB"/>
              </w:rPr>
            </w:pPr>
            <w:r w:rsidRPr="00380B40">
              <w:rPr>
                <w:lang w:val="en-GB"/>
              </w:rPr>
              <w:t>DT/</w:t>
            </w:r>
            <w:hyperlink r:id="rId902" w:history="1">
              <w:r w:rsidRPr="00380B40">
                <w:rPr>
                  <w:rStyle w:val="Hyperlink"/>
                  <w:szCs w:val="24"/>
                  <w:lang w:val="en-GB"/>
                </w:rPr>
                <w:t>72</w:t>
              </w:r>
            </w:hyperlink>
          </w:p>
        </w:tc>
      </w:tr>
      <w:tr w:rsidR="00AD0C2E" w:rsidRPr="00380B40" w14:paraId="13B878EF" w14:textId="77777777" w:rsidTr="004E4CA9">
        <w:trPr>
          <w:cantSplit/>
        </w:trPr>
        <w:tc>
          <w:tcPr>
            <w:tcW w:w="3678" w:type="pct"/>
            <w:shd w:val="clear" w:color="auto" w:fill="auto"/>
            <w:vAlign w:val="center"/>
          </w:tcPr>
          <w:p w14:paraId="3B90E708" w14:textId="77777777" w:rsidR="00AD0C2E" w:rsidRPr="00380B40" w:rsidRDefault="00AD0C2E" w:rsidP="004E4CA9">
            <w:pPr>
              <w:pStyle w:val="Tabletext"/>
              <w:rPr>
                <w:lang w:val="en-GB"/>
              </w:rPr>
            </w:pPr>
            <w:r w:rsidRPr="00380B40">
              <w:rPr>
                <w:rFonts w:eastAsia="SimSun"/>
                <w:lang w:val="en-GB"/>
              </w:rPr>
              <w:t>Resolution 92 (Hammamet, 2016)</w:t>
            </w:r>
            <w:r w:rsidRPr="00380B40">
              <w:rPr>
                <w:lang w:val="en-GB"/>
              </w:rPr>
              <w:t xml:space="preserve"> – </w:t>
            </w:r>
            <w:r w:rsidRPr="00380B40">
              <w:rPr>
                <w:rFonts w:eastAsia="SimSun"/>
                <w:lang w:val="en-GB"/>
              </w:rPr>
              <w:t>Enhancing the standardization activities in the ITU Telecommunication Standardization Sector related to non-radio aspects of international mobile telecommunications</w:t>
            </w:r>
          </w:p>
        </w:tc>
        <w:tc>
          <w:tcPr>
            <w:tcW w:w="663" w:type="pct"/>
            <w:shd w:val="clear" w:color="auto" w:fill="auto"/>
            <w:vAlign w:val="center"/>
          </w:tcPr>
          <w:p w14:paraId="40FBF233" w14:textId="77777777" w:rsidR="00AD0C2E" w:rsidRPr="00380B40" w:rsidRDefault="00AD0C2E" w:rsidP="003E72C4">
            <w:pPr>
              <w:pStyle w:val="Tabletext"/>
              <w:jc w:val="center"/>
              <w:rPr>
                <w:lang w:val="en-GB"/>
              </w:rPr>
            </w:pPr>
            <w:r w:rsidRPr="00380B40">
              <w:rPr>
                <w:lang w:val="en-GB"/>
              </w:rPr>
              <w:t>MOD</w:t>
            </w:r>
          </w:p>
        </w:tc>
        <w:tc>
          <w:tcPr>
            <w:tcW w:w="659" w:type="pct"/>
            <w:shd w:val="clear" w:color="auto" w:fill="auto"/>
            <w:vAlign w:val="center"/>
          </w:tcPr>
          <w:p w14:paraId="1C8775A2" w14:textId="77777777" w:rsidR="00AD0C2E" w:rsidRPr="00380B40" w:rsidRDefault="00AD0C2E" w:rsidP="004E4CA9">
            <w:pPr>
              <w:pStyle w:val="Tabletext"/>
              <w:jc w:val="center"/>
              <w:rPr>
                <w:lang w:val="en-GB"/>
              </w:rPr>
            </w:pPr>
            <w:r w:rsidRPr="00380B40">
              <w:rPr>
                <w:lang w:val="en-GB"/>
              </w:rPr>
              <w:t>DT/</w:t>
            </w:r>
            <w:hyperlink r:id="rId903" w:history="1">
              <w:r w:rsidRPr="00380B40">
                <w:rPr>
                  <w:rStyle w:val="Hyperlink"/>
                  <w:szCs w:val="24"/>
                  <w:lang w:val="en-GB"/>
                </w:rPr>
                <w:t>85R1</w:t>
              </w:r>
            </w:hyperlink>
          </w:p>
        </w:tc>
      </w:tr>
      <w:tr w:rsidR="00AD0C2E" w:rsidRPr="00380B40" w14:paraId="13F4DE79" w14:textId="77777777" w:rsidTr="004E4CA9">
        <w:trPr>
          <w:cantSplit/>
        </w:trPr>
        <w:tc>
          <w:tcPr>
            <w:tcW w:w="3678" w:type="pct"/>
            <w:shd w:val="clear" w:color="auto" w:fill="auto"/>
            <w:vAlign w:val="center"/>
          </w:tcPr>
          <w:p w14:paraId="27041B54" w14:textId="77777777" w:rsidR="00AD0C2E" w:rsidRPr="00380B40" w:rsidRDefault="00AD0C2E" w:rsidP="004E4CA9">
            <w:pPr>
              <w:pStyle w:val="Tabletext"/>
              <w:rPr>
                <w:lang w:val="en-GB"/>
              </w:rPr>
            </w:pPr>
            <w:r w:rsidRPr="00380B40">
              <w:rPr>
                <w:rFonts w:eastAsia="SimSun"/>
                <w:lang w:val="en-GB"/>
              </w:rPr>
              <w:t>Resolution 95 (Hammamet, 2016)</w:t>
            </w:r>
            <w:r w:rsidRPr="00380B40">
              <w:rPr>
                <w:lang w:val="en-GB"/>
              </w:rPr>
              <w:t xml:space="preserve"> – </w:t>
            </w:r>
            <w:r w:rsidRPr="00380B40">
              <w:rPr>
                <w:rFonts w:eastAsia="SimSun"/>
                <w:lang w:val="en-GB"/>
              </w:rPr>
              <w:t xml:space="preserve">ITU Telecommunication Standardization Sector initiatives to raise awareness on best practices and policies related to service quality </w:t>
            </w:r>
          </w:p>
        </w:tc>
        <w:tc>
          <w:tcPr>
            <w:tcW w:w="663" w:type="pct"/>
            <w:shd w:val="clear" w:color="auto" w:fill="auto"/>
            <w:vAlign w:val="center"/>
          </w:tcPr>
          <w:p w14:paraId="63992953" w14:textId="77777777" w:rsidR="00AD0C2E" w:rsidRPr="00380B40" w:rsidRDefault="00AD0C2E" w:rsidP="003E72C4">
            <w:pPr>
              <w:pStyle w:val="Tabletext"/>
              <w:jc w:val="center"/>
              <w:rPr>
                <w:lang w:val="en-GB"/>
              </w:rPr>
            </w:pPr>
            <w:r w:rsidRPr="00380B40">
              <w:rPr>
                <w:lang w:val="en-GB"/>
              </w:rPr>
              <w:t>MOD</w:t>
            </w:r>
          </w:p>
        </w:tc>
        <w:tc>
          <w:tcPr>
            <w:tcW w:w="659" w:type="pct"/>
            <w:shd w:val="clear" w:color="auto" w:fill="auto"/>
            <w:vAlign w:val="center"/>
          </w:tcPr>
          <w:p w14:paraId="05D33DC2" w14:textId="77777777" w:rsidR="00AD0C2E" w:rsidRPr="00380B40" w:rsidRDefault="006A0076" w:rsidP="004E4CA9">
            <w:pPr>
              <w:pStyle w:val="Tabletext"/>
              <w:jc w:val="center"/>
              <w:rPr>
                <w:lang w:val="en-GB"/>
              </w:rPr>
            </w:pPr>
            <w:hyperlink r:id="rId904" w:history="1">
              <w:r w:rsidR="00AD0C2E" w:rsidRPr="00380B40">
                <w:rPr>
                  <w:rStyle w:val="Hyperlink"/>
                  <w:lang w:val="en-GB"/>
                </w:rPr>
                <w:t>79</w:t>
              </w:r>
            </w:hyperlink>
          </w:p>
        </w:tc>
      </w:tr>
      <w:tr w:rsidR="00AD0C2E" w:rsidRPr="00380B40" w14:paraId="7DB67AB8" w14:textId="77777777" w:rsidTr="004E4CA9">
        <w:trPr>
          <w:cantSplit/>
        </w:trPr>
        <w:tc>
          <w:tcPr>
            <w:tcW w:w="3678" w:type="pct"/>
            <w:shd w:val="clear" w:color="auto" w:fill="auto"/>
            <w:vAlign w:val="center"/>
          </w:tcPr>
          <w:p w14:paraId="340774C4" w14:textId="77777777" w:rsidR="00AD0C2E" w:rsidRPr="00380B40" w:rsidRDefault="00AD0C2E" w:rsidP="004E4CA9">
            <w:pPr>
              <w:pStyle w:val="Tabletext"/>
              <w:rPr>
                <w:lang w:val="en-GB"/>
              </w:rPr>
            </w:pPr>
            <w:r w:rsidRPr="00380B40">
              <w:rPr>
                <w:rFonts w:eastAsia="SimSun"/>
                <w:lang w:val="en-GB"/>
              </w:rPr>
              <w:t>Resolution 97 (Hammamet, 2016)</w:t>
            </w:r>
            <w:r w:rsidRPr="00380B40">
              <w:rPr>
                <w:lang w:val="en-GB"/>
              </w:rPr>
              <w:t xml:space="preserve"> – </w:t>
            </w:r>
            <w:r w:rsidRPr="00380B40">
              <w:rPr>
                <w:rFonts w:eastAsia="SimSun"/>
                <w:lang w:val="en-GB"/>
              </w:rPr>
              <w:t>Combating mobile telecommunication device theft</w:t>
            </w:r>
          </w:p>
        </w:tc>
        <w:tc>
          <w:tcPr>
            <w:tcW w:w="663" w:type="pct"/>
            <w:shd w:val="clear" w:color="auto" w:fill="auto"/>
            <w:vAlign w:val="center"/>
          </w:tcPr>
          <w:p w14:paraId="1D174E82" w14:textId="77777777" w:rsidR="00AD0C2E" w:rsidRPr="00380B40" w:rsidRDefault="00AD0C2E" w:rsidP="003E72C4">
            <w:pPr>
              <w:pStyle w:val="Tabletext"/>
              <w:jc w:val="center"/>
              <w:rPr>
                <w:lang w:val="en-GB"/>
              </w:rPr>
            </w:pPr>
            <w:r w:rsidRPr="00380B40">
              <w:rPr>
                <w:lang w:val="en-GB"/>
              </w:rPr>
              <w:t>MOD</w:t>
            </w:r>
          </w:p>
        </w:tc>
        <w:tc>
          <w:tcPr>
            <w:tcW w:w="659" w:type="pct"/>
            <w:shd w:val="clear" w:color="auto" w:fill="auto"/>
            <w:vAlign w:val="center"/>
          </w:tcPr>
          <w:p w14:paraId="222B99C2" w14:textId="77777777" w:rsidR="00AD0C2E" w:rsidRPr="00380B40" w:rsidRDefault="00AD0C2E" w:rsidP="004E4CA9">
            <w:pPr>
              <w:pStyle w:val="Tabletext"/>
              <w:jc w:val="center"/>
              <w:rPr>
                <w:lang w:val="en-GB"/>
              </w:rPr>
            </w:pPr>
            <w:r w:rsidRPr="00380B40">
              <w:rPr>
                <w:lang w:val="en-GB"/>
              </w:rPr>
              <w:t>DT/</w:t>
            </w:r>
            <w:hyperlink r:id="rId905" w:history="1">
              <w:r w:rsidRPr="00380B40">
                <w:rPr>
                  <w:rStyle w:val="Hyperlink"/>
                  <w:szCs w:val="24"/>
                  <w:lang w:val="en-GB"/>
                </w:rPr>
                <w:t>83R1</w:t>
              </w:r>
            </w:hyperlink>
          </w:p>
        </w:tc>
      </w:tr>
      <w:tr w:rsidR="00AD0C2E" w:rsidRPr="00380B40" w14:paraId="303E444A" w14:textId="77777777" w:rsidTr="004E4CA9">
        <w:trPr>
          <w:cantSplit/>
        </w:trPr>
        <w:tc>
          <w:tcPr>
            <w:tcW w:w="3678" w:type="pct"/>
            <w:shd w:val="clear" w:color="auto" w:fill="auto"/>
            <w:vAlign w:val="center"/>
          </w:tcPr>
          <w:p w14:paraId="5C8EDD7A" w14:textId="77777777" w:rsidR="00AD0C2E" w:rsidRPr="00380B40" w:rsidRDefault="00AD0C2E" w:rsidP="004E4CA9">
            <w:pPr>
              <w:pStyle w:val="Tabletext"/>
              <w:rPr>
                <w:lang w:val="en-GB"/>
              </w:rPr>
            </w:pPr>
            <w:r w:rsidRPr="00380B40">
              <w:rPr>
                <w:rFonts w:eastAsia="SimSun"/>
                <w:lang w:val="en-GB"/>
              </w:rPr>
              <w:t>Resolution 98 (Hammamet, 2016)</w:t>
            </w:r>
            <w:r w:rsidRPr="00380B40">
              <w:rPr>
                <w:lang w:val="en-GB"/>
              </w:rPr>
              <w:t xml:space="preserve"> – </w:t>
            </w:r>
            <w:r w:rsidRPr="00380B40">
              <w:rPr>
                <w:rFonts w:eastAsia="SimSun"/>
                <w:lang w:val="en-GB"/>
              </w:rPr>
              <w:t>Enhancing the standardization of Internet of things and smart cities and communities for global development</w:t>
            </w:r>
          </w:p>
        </w:tc>
        <w:tc>
          <w:tcPr>
            <w:tcW w:w="663" w:type="pct"/>
            <w:shd w:val="clear" w:color="auto" w:fill="auto"/>
            <w:vAlign w:val="center"/>
          </w:tcPr>
          <w:p w14:paraId="6FD37C3E" w14:textId="77777777" w:rsidR="00AD0C2E" w:rsidRPr="00380B40" w:rsidRDefault="00AD0C2E" w:rsidP="003E72C4">
            <w:pPr>
              <w:pStyle w:val="Tabletext"/>
              <w:jc w:val="center"/>
              <w:rPr>
                <w:lang w:val="en-GB"/>
              </w:rPr>
            </w:pPr>
            <w:r w:rsidRPr="00380B40">
              <w:rPr>
                <w:lang w:val="en-GB"/>
              </w:rPr>
              <w:t>MOD</w:t>
            </w:r>
          </w:p>
        </w:tc>
        <w:tc>
          <w:tcPr>
            <w:tcW w:w="659" w:type="pct"/>
            <w:shd w:val="clear" w:color="auto" w:fill="auto"/>
            <w:vAlign w:val="center"/>
          </w:tcPr>
          <w:p w14:paraId="1F523815" w14:textId="77777777" w:rsidR="00AD0C2E" w:rsidRPr="00380B40" w:rsidRDefault="006A0076" w:rsidP="004E4CA9">
            <w:pPr>
              <w:pStyle w:val="Tabletext"/>
              <w:jc w:val="center"/>
              <w:rPr>
                <w:lang w:val="en-GB"/>
              </w:rPr>
            </w:pPr>
            <w:hyperlink r:id="rId906" w:history="1">
              <w:r w:rsidR="00AD0C2E" w:rsidRPr="00380B40">
                <w:rPr>
                  <w:rStyle w:val="Hyperlink"/>
                  <w:szCs w:val="24"/>
                  <w:lang w:val="en-GB"/>
                </w:rPr>
                <w:t>56</w:t>
              </w:r>
            </w:hyperlink>
          </w:p>
        </w:tc>
      </w:tr>
    </w:tbl>
    <w:p w14:paraId="5FCE895F" w14:textId="77777777" w:rsidR="00AD0C2E" w:rsidRPr="00380B40" w:rsidRDefault="00AD0C2E" w:rsidP="009033A7">
      <w:pPr>
        <w:spacing w:before="0" w:after="160" w:line="259" w:lineRule="auto"/>
        <w:rPr>
          <w:rFonts w:asciiTheme="minorHAnsi" w:eastAsiaTheme="minorEastAsia" w:hAnsiTheme="minorHAnsi" w:cstheme="minorBidi"/>
          <w:b/>
          <w:bCs/>
          <w:szCs w:val="24"/>
          <w:lang w:val="en-GB" w:eastAsia="ja-JP"/>
        </w:rPr>
      </w:pPr>
    </w:p>
    <w:p w14:paraId="1178EE16" w14:textId="77777777" w:rsidR="00987626" w:rsidRPr="00380B40" w:rsidRDefault="00987626" w:rsidP="009033A7">
      <w:pPr>
        <w:spacing w:before="0" w:after="160" w:line="259" w:lineRule="auto"/>
        <w:rPr>
          <w:rFonts w:asciiTheme="minorHAnsi" w:eastAsiaTheme="minorEastAsia" w:hAnsiTheme="minorHAnsi" w:cstheme="minorBidi"/>
          <w:b/>
          <w:bCs/>
          <w:szCs w:val="24"/>
          <w:lang w:val="en-GB" w:eastAsia="ja-JP"/>
        </w:rPr>
      </w:pPr>
    </w:p>
    <w:p w14:paraId="67527D09" w14:textId="77777777" w:rsidR="00987626" w:rsidRPr="00380B40" w:rsidRDefault="00987626" w:rsidP="009033A7">
      <w:pPr>
        <w:spacing w:before="0" w:after="160" w:line="259" w:lineRule="auto"/>
        <w:rPr>
          <w:rFonts w:asciiTheme="minorHAnsi" w:eastAsiaTheme="minorEastAsia" w:hAnsiTheme="minorHAnsi" w:cstheme="minorBidi"/>
          <w:b/>
          <w:bCs/>
          <w:szCs w:val="24"/>
          <w:lang w:val="en-GB" w:eastAsia="ja-JP"/>
        </w:rPr>
      </w:pPr>
      <w:r w:rsidRPr="00380B40">
        <w:rPr>
          <w:rFonts w:asciiTheme="minorHAnsi" w:eastAsiaTheme="minorEastAsia" w:hAnsiTheme="minorHAnsi" w:cstheme="minorBidi"/>
          <w:b/>
          <w:bCs/>
          <w:szCs w:val="24"/>
          <w:lang w:val="en-GB" w:eastAsia="ja-JP"/>
        </w:rPr>
        <w:br w:type="page"/>
      </w:r>
    </w:p>
    <w:p w14:paraId="6293A134" w14:textId="77777777" w:rsidR="009033A7" w:rsidRPr="00380B40" w:rsidRDefault="009033A7" w:rsidP="009033A7">
      <w:pPr>
        <w:pStyle w:val="Heading3"/>
        <w:rPr>
          <w:lang w:val="en-GB"/>
        </w:rPr>
      </w:pPr>
      <w:bookmarkStart w:id="2614" w:name="_Toc111637318"/>
      <w:r w:rsidRPr="00380B40">
        <w:rPr>
          <w:szCs w:val="24"/>
          <w:lang w:val="en-GB"/>
        </w:rPr>
        <w:t>2.2.3</w:t>
      </w:r>
      <w:r w:rsidRPr="00380B40">
        <w:rPr>
          <w:szCs w:val="24"/>
          <w:lang w:val="en-GB"/>
        </w:rPr>
        <w:tab/>
        <w:t>New Resolutions</w:t>
      </w:r>
      <w:bookmarkEnd w:id="2614"/>
    </w:p>
    <w:p w14:paraId="549C270C" w14:textId="77777777" w:rsidR="009033A7" w:rsidRPr="00380B40" w:rsidRDefault="009033A7" w:rsidP="009033A7">
      <w:pPr>
        <w:rPr>
          <w:lang w:val="en-GB"/>
        </w:rPr>
      </w:pPr>
      <w:r w:rsidRPr="00380B40">
        <w:rPr>
          <w:lang w:val="en-GB"/>
        </w:rPr>
        <w:t>Plenary is requested to approve the new Resolutions listed in table 2. The relevant new Resolutions were submitted to COM5 for action.</w:t>
      </w:r>
    </w:p>
    <w:p w14:paraId="0592EB6D" w14:textId="77777777" w:rsidR="009033A7" w:rsidRPr="00380B40" w:rsidRDefault="009033A7" w:rsidP="00566AA6">
      <w:pPr>
        <w:pStyle w:val="TableNoTitle1"/>
      </w:pPr>
      <w:r w:rsidRPr="00380B40">
        <w:t>Table 2 - New Resolutions</w:t>
      </w:r>
    </w:p>
    <w:tbl>
      <w:tblPr>
        <w:tblStyle w:val="TableGrid"/>
        <w:tblW w:w="5000" w:type="pct"/>
        <w:tblLook w:val="04A0" w:firstRow="1" w:lastRow="0" w:firstColumn="1" w:lastColumn="0" w:noHBand="0" w:noVBand="1"/>
      </w:tblPr>
      <w:tblGrid>
        <w:gridCol w:w="6996"/>
        <w:gridCol w:w="1363"/>
        <w:gridCol w:w="1269"/>
      </w:tblGrid>
      <w:tr w:rsidR="009033A7" w:rsidRPr="00380B40" w14:paraId="5725F16D" w14:textId="77777777" w:rsidTr="00DE1739">
        <w:trPr>
          <w:cantSplit/>
          <w:tblHeader/>
        </w:trPr>
        <w:tc>
          <w:tcPr>
            <w:tcW w:w="3633" w:type="pct"/>
            <w:shd w:val="clear" w:color="auto" w:fill="auto"/>
            <w:vAlign w:val="center"/>
            <w:hideMark/>
          </w:tcPr>
          <w:p w14:paraId="705E75EF" w14:textId="77777777" w:rsidR="009033A7" w:rsidRPr="00380B40" w:rsidRDefault="009033A7" w:rsidP="00427615">
            <w:pPr>
              <w:pStyle w:val="Tableheadwhitecentred"/>
            </w:pPr>
            <w:r w:rsidRPr="00380B40">
              <w:t>Resolutions</w:t>
            </w:r>
          </w:p>
        </w:tc>
        <w:tc>
          <w:tcPr>
            <w:tcW w:w="708" w:type="pct"/>
            <w:shd w:val="clear" w:color="auto" w:fill="auto"/>
            <w:vAlign w:val="center"/>
          </w:tcPr>
          <w:p w14:paraId="72DF3AA5" w14:textId="77777777" w:rsidR="009033A7" w:rsidRPr="00380B40" w:rsidRDefault="009033A7" w:rsidP="00427615">
            <w:pPr>
              <w:pStyle w:val="Tableheadwhitecentred"/>
            </w:pPr>
            <w:r w:rsidRPr="00380B40">
              <w:t>Action</w:t>
            </w:r>
          </w:p>
        </w:tc>
        <w:tc>
          <w:tcPr>
            <w:tcW w:w="659" w:type="pct"/>
            <w:shd w:val="clear" w:color="auto" w:fill="auto"/>
            <w:vAlign w:val="center"/>
          </w:tcPr>
          <w:p w14:paraId="78D9D0A3" w14:textId="77777777" w:rsidR="009033A7" w:rsidRPr="00380B40" w:rsidRDefault="009033A7" w:rsidP="00427615">
            <w:pPr>
              <w:pStyle w:val="Tableheadwhitecentred"/>
            </w:pPr>
            <w:r w:rsidRPr="00380B40">
              <w:t>Document</w:t>
            </w:r>
          </w:p>
        </w:tc>
      </w:tr>
      <w:tr w:rsidR="009033A7" w:rsidRPr="00380B40" w14:paraId="58F3F537" w14:textId="77777777" w:rsidTr="00DE1739">
        <w:trPr>
          <w:cantSplit/>
        </w:trPr>
        <w:tc>
          <w:tcPr>
            <w:tcW w:w="3633" w:type="pct"/>
            <w:shd w:val="clear" w:color="auto" w:fill="auto"/>
            <w:vAlign w:val="center"/>
          </w:tcPr>
          <w:p w14:paraId="65ABD84F" w14:textId="77777777" w:rsidR="009033A7" w:rsidRPr="00380B40" w:rsidRDefault="009033A7" w:rsidP="007D2FB0">
            <w:pPr>
              <w:pStyle w:val="Tabletext"/>
              <w:rPr>
                <w:rFonts w:eastAsia="SimSun"/>
                <w:highlight w:val="yellow"/>
                <w:lang w:val="en-GB"/>
              </w:rPr>
            </w:pPr>
            <w:r w:rsidRPr="00380B40">
              <w:rPr>
                <w:rFonts w:eastAsia="SimSun" w:cs="Traditional Arabic"/>
                <w:lang w:val="en-GB"/>
              </w:rPr>
              <w:t>New Resolution [AFCP-1]</w:t>
            </w:r>
            <w:r w:rsidR="00363973" w:rsidRPr="00380B40">
              <w:rPr>
                <w:rFonts w:eastAsia="SimSun" w:cs="Traditional Arabic"/>
                <w:lang w:val="en-GB"/>
              </w:rPr>
              <w:t xml:space="preserve"> </w:t>
            </w:r>
            <w:r w:rsidR="00363973" w:rsidRPr="00380B40">
              <w:rPr>
                <w:lang w:val="en-GB"/>
              </w:rPr>
              <w:t xml:space="preserve">– </w:t>
            </w:r>
            <w:r w:rsidRPr="00380B40">
              <w:rPr>
                <w:rFonts w:eastAsia="SimSun" w:cs="Traditional Arabic"/>
                <w:lang w:val="en-GB"/>
              </w:rPr>
              <w:t>A Common Emergency Number for Africa</w:t>
            </w:r>
          </w:p>
        </w:tc>
        <w:tc>
          <w:tcPr>
            <w:tcW w:w="708" w:type="pct"/>
            <w:shd w:val="clear" w:color="auto" w:fill="auto"/>
            <w:vAlign w:val="center"/>
          </w:tcPr>
          <w:p w14:paraId="0C963641" w14:textId="77777777" w:rsidR="009033A7" w:rsidRPr="00380B40" w:rsidRDefault="009033A7" w:rsidP="003E72C4">
            <w:pPr>
              <w:pStyle w:val="Tabletext"/>
              <w:jc w:val="center"/>
              <w:rPr>
                <w:lang w:val="en-GB"/>
              </w:rPr>
            </w:pPr>
            <w:r w:rsidRPr="00380B40">
              <w:rPr>
                <w:rFonts w:eastAsia="SimSun" w:cs="Traditional Arabic"/>
                <w:lang w:val="en-GB"/>
              </w:rPr>
              <w:t>ADD</w:t>
            </w:r>
          </w:p>
        </w:tc>
        <w:tc>
          <w:tcPr>
            <w:tcW w:w="659" w:type="pct"/>
            <w:shd w:val="clear" w:color="auto" w:fill="auto"/>
            <w:vAlign w:val="center"/>
          </w:tcPr>
          <w:p w14:paraId="79AC1023" w14:textId="77777777" w:rsidR="009033A7" w:rsidRPr="00380B40" w:rsidRDefault="009033A7" w:rsidP="00363973">
            <w:pPr>
              <w:pStyle w:val="Tabletext"/>
              <w:jc w:val="center"/>
              <w:rPr>
                <w:lang w:val="en-GB"/>
              </w:rPr>
            </w:pPr>
            <w:r w:rsidRPr="00380B40">
              <w:rPr>
                <w:lang w:val="en-GB"/>
              </w:rPr>
              <w:t>DT/</w:t>
            </w:r>
            <w:hyperlink r:id="rId907" w:history="1">
              <w:r w:rsidRPr="00380B40">
                <w:rPr>
                  <w:rStyle w:val="Hyperlink"/>
                  <w:szCs w:val="24"/>
                  <w:lang w:val="en-GB"/>
                </w:rPr>
                <w:t>39</w:t>
              </w:r>
            </w:hyperlink>
          </w:p>
        </w:tc>
      </w:tr>
      <w:tr w:rsidR="009033A7" w:rsidRPr="00380B40" w14:paraId="3FF8B3A8" w14:textId="77777777" w:rsidTr="00DE1739">
        <w:trPr>
          <w:cantSplit/>
        </w:trPr>
        <w:tc>
          <w:tcPr>
            <w:tcW w:w="3633" w:type="pct"/>
            <w:shd w:val="clear" w:color="auto" w:fill="auto"/>
            <w:vAlign w:val="center"/>
          </w:tcPr>
          <w:p w14:paraId="22132B67" w14:textId="77777777" w:rsidR="009033A7" w:rsidRPr="00380B40" w:rsidRDefault="009033A7" w:rsidP="007D2FB0">
            <w:pPr>
              <w:pStyle w:val="Tabletext"/>
              <w:rPr>
                <w:iCs/>
                <w:lang w:val="en-GB" w:eastAsia="ja-JP"/>
              </w:rPr>
            </w:pPr>
            <w:r w:rsidRPr="00380B40">
              <w:rPr>
                <w:rFonts w:eastAsia="SimSun"/>
                <w:lang w:val="en-GB"/>
              </w:rPr>
              <w:t>New Resolution [ARB-3]</w:t>
            </w:r>
            <w:r w:rsidR="00363973" w:rsidRPr="00380B40">
              <w:rPr>
                <w:rFonts w:eastAsia="SimSun"/>
                <w:lang w:val="en-GB"/>
              </w:rPr>
              <w:t xml:space="preserve"> </w:t>
            </w:r>
            <w:r w:rsidR="00363973" w:rsidRPr="00380B40">
              <w:rPr>
                <w:lang w:val="en-GB"/>
              </w:rPr>
              <w:t xml:space="preserve">– </w:t>
            </w:r>
            <w:r w:rsidRPr="00380B40">
              <w:rPr>
                <w:iCs/>
                <w:lang w:val="en-GB" w:eastAsia="ja-JP"/>
              </w:rPr>
              <w:t>An analysis of Organizational Reform of ITU Standardization Sector study groups</w:t>
            </w:r>
          </w:p>
          <w:p w14:paraId="5474E1E3" w14:textId="77777777" w:rsidR="009033A7" w:rsidRPr="00380B40" w:rsidRDefault="009033A7" w:rsidP="007D2FB0">
            <w:pPr>
              <w:pStyle w:val="Tabletext"/>
              <w:rPr>
                <w:rFonts w:eastAsia="SimSun"/>
                <w:lang w:val="en-GB"/>
              </w:rPr>
            </w:pPr>
            <w:r w:rsidRPr="00380B40">
              <w:rPr>
                <w:rFonts w:eastAsia="SimSun"/>
                <w:lang w:val="en-GB"/>
              </w:rPr>
              <w:t>New Resolution [</w:t>
            </w:r>
            <w:r w:rsidRPr="00380B40">
              <w:rPr>
                <w:iCs/>
                <w:lang w:val="en-GB" w:eastAsia="ja-JP"/>
              </w:rPr>
              <w:t>IAP-1</w:t>
            </w:r>
            <w:r w:rsidRPr="00380B40">
              <w:rPr>
                <w:rFonts w:eastAsia="SimSun"/>
                <w:lang w:val="en-GB"/>
              </w:rPr>
              <w:t>]</w:t>
            </w:r>
            <w:r w:rsidR="00363973" w:rsidRPr="00380B40">
              <w:rPr>
                <w:rFonts w:eastAsia="SimSun"/>
                <w:lang w:val="en-GB"/>
              </w:rPr>
              <w:t xml:space="preserve"> </w:t>
            </w:r>
            <w:r w:rsidR="00363973" w:rsidRPr="00380B40">
              <w:rPr>
                <w:lang w:val="en-GB"/>
              </w:rPr>
              <w:t xml:space="preserve">– </w:t>
            </w:r>
            <w:r w:rsidRPr="00380B40">
              <w:rPr>
                <w:iCs/>
                <w:lang w:val="en-GB" w:eastAsia="ja-JP"/>
              </w:rPr>
              <w:t>Towards a more effective, efficient, fit for purpose, and inclusive ITU Standardization Sector</w:t>
            </w:r>
          </w:p>
        </w:tc>
        <w:tc>
          <w:tcPr>
            <w:tcW w:w="708" w:type="pct"/>
            <w:shd w:val="clear" w:color="auto" w:fill="auto"/>
            <w:vAlign w:val="center"/>
          </w:tcPr>
          <w:p w14:paraId="230AA8A5" w14:textId="77777777" w:rsidR="009033A7" w:rsidRPr="00380B40" w:rsidRDefault="009033A7" w:rsidP="003E72C4">
            <w:pPr>
              <w:pStyle w:val="Tabletext"/>
              <w:jc w:val="center"/>
              <w:rPr>
                <w:lang w:val="en-GB"/>
              </w:rPr>
            </w:pPr>
            <w:r w:rsidRPr="00380B40">
              <w:rPr>
                <w:lang w:val="en-GB"/>
              </w:rPr>
              <w:t>ADD</w:t>
            </w:r>
          </w:p>
        </w:tc>
        <w:tc>
          <w:tcPr>
            <w:tcW w:w="659" w:type="pct"/>
            <w:shd w:val="clear" w:color="auto" w:fill="auto"/>
            <w:vAlign w:val="center"/>
          </w:tcPr>
          <w:p w14:paraId="6AF479FC" w14:textId="77777777" w:rsidR="009033A7" w:rsidRPr="00380B40" w:rsidRDefault="006A0076" w:rsidP="00363973">
            <w:pPr>
              <w:pStyle w:val="Tabletext"/>
              <w:jc w:val="center"/>
              <w:rPr>
                <w:lang w:val="en-GB"/>
              </w:rPr>
            </w:pPr>
            <w:hyperlink r:id="rId908" w:history="1">
              <w:r w:rsidR="009033A7" w:rsidRPr="00380B40">
                <w:rPr>
                  <w:rStyle w:val="Hyperlink"/>
                  <w:szCs w:val="24"/>
                  <w:lang w:val="en-GB"/>
                </w:rPr>
                <w:t>86</w:t>
              </w:r>
            </w:hyperlink>
          </w:p>
        </w:tc>
      </w:tr>
    </w:tbl>
    <w:p w14:paraId="4310F84B" w14:textId="77777777" w:rsidR="009033A7" w:rsidRPr="00380B40" w:rsidRDefault="009033A7" w:rsidP="009033A7">
      <w:pPr>
        <w:rPr>
          <w:lang w:val="en-GB"/>
        </w:rPr>
      </w:pPr>
    </w:p>
    <w:p w14:paraId="7D121AED" w14:textId="77777777" w:rsidR="009033A7" w:rsidRPr="00380B40" w:rsidRDefault="009033A7" w:rsidP="009033A7">
      <w:pPr>
        <w:pStyle w:val="Heading3"/>
        <w:rPr>
          <w:lang w:val="en-GB"/>
        </w:rPr>
      </w:pPr>
      <w:bookmarkStart w:id="2615" w:name="_Toc111637319"/>
      <w:r w:rsidRPr="00380B40">
        <w:rPr>
          <w:szCs w:val="24"/>
          <w:lang w:val="en-GB"/>
        </w:rPr>
        <w:t>2.2.4</w:t>
      </w:r>
      <w:r w:rsidRPr="00380B40">
        <w:rPr>
          <w:szCs w:val="24"/>
          <w:lang w:val="en-GB"/>
        </w:rPr>
        <w:tab/>
        <w:t>Resolutions with no changes</w:t>
      </w:r>
      <w:bookmarkEnd w:id="2615"/>
    </w:p>
    <w:p w14:paraId="3A9FF374" w14:textId="77777777" w:rsidR="009033A7" w:rsidRPr="00380B40" w:rsidRDefault="009033A7" w:rsidP="009033A7">
      <w:pPr>
        <w:rPr>
          <w:lang w:val="en-GB"/>
        </w:rPr>
      </w:pPr>
      <w:r w:rsidRPr="00380B40">
        <w:rPr>
          <w:lang w:val="en-GB"/>
        </w:rPr>
        <w:t xml:space="preserve">Plenary is requested to note that COM4 proposes to maintain Resolutions listed in the table 3 with no changes. Action already taken by Plenary for </w:t>
      </w:r>
      <w:r w:rsidRPr="00380B40">
        <w:rPr>
          <w:rFonts w:eastAsia="SimSun"/>
          <w:szCs w:val="24"/>
          <w:lang w:val="en-GB"/>
        </w:rPr>
        <w:t>Resolution 88</w:t>
      </w:r>
      <w:r w:rsidRPr="00380B40">
        <w:rPr>
          <w:lang w:val="en-GB"/>
        </w:rPr>
        <w:t>.</w:t>
      </w:r>
    </w:p>
    <w:p w14:paraId="254B7EA3" w14:textId="77777777" w:rsidR="009033A7" w:rsidRPr="00380B40" w:rsidRDefault="00363973" w:rsidP="00363973">
      <w:pPr>
        <w:pStyle w:val="enumlev1"/>
        <w:rPr>
          <w:lang w:val="en-GB"/>
        </w:rPr>
      </w:pPr>
      <w:r w:rsidRPr="00380B40">
        <w:rPr>
          <w:lang w:val="en-GB"/>
        </w:rPr>
        <w:t>–</w:t>
      </w:r>
      <w:r w:rsidRPr="00380B40">
        <w:rPr>
          <w:lang w:val="en-GB"/>
        </w:rPr>
        <w:tab/>
      </w:r>
      <w:r w:rsidR="009033A7" w:rsidRPr="00380B40">
        <w:rPr>
          <w:b/>
          <w:bCs/>
          <w:lang w:val="en-GB"/>
        </w:rPr>
        <w:t>Action for Plenary 1</w:t>
      </w:r>
      <w:r w:rsidR="009033A7" w:rsidRPr="00380B40">
        <w:rPr>
          <w:lang w:val="en-GB"/>
        </w:rPr>
        <w:t>: to consider approval of no change for Resolutions, 52, 77, 87, 90 and 93.</w:t>
      </w:r>
    </w:p>
    <w:p w14:paraId="5C45F05B" w14:textId="77777777" w:rsidR="009033A7" w:rsidRPr="00380B40" w:rsidRDefault="009033A7" w:rsidP="00566AA6">
      <w:pPr>
        <w:pStyle w:val="TableNoTitle1"/>
      </w:pPr>
      <w:r w:rsidRPr="00380B40">
        <w:t>Table 3 - Resolutions with no changes</w:t>
      </w:r>
    </w:p>
    <w:tbl>
      <w:tblPr>
        <w:tblStyle w:val="TableGrid"/>
        <w:tblW w:w="5000" w:type="pct"/>
        <w:tblLook w:val="04A0" w:firstRow="1" w:lastRow="0" w:firstColumn="1" w:lastColumn="0" w:noHBand="0" w:noVBand="1"/>
      </w:tblPr>
      <w:tblGrid>
        <w:gridCol w:w="6942"/>
        <w:gridCol w:w="1417"/>
        <w:gridCol w:w="1269"/>
      </w:tblGrid>
      <w:tr w:rsidR="009033A7" w:rsidRPr="00380B40" w14:paraId="32E379CC" w14:textId="77777777" w:rsidTr="00DE1739">
        <w:trPr>
          <w:cantSplit/>
          <w:tblHeader/>
        </w:trPr>
        <w:tc>
          <w:tcPr>
            <w:tcW w:w="3605" w:type="pct"/>
            <w:shd w:val="clear" w:color="auto" w:fill="auto"/>
            <w:vAlign w:val="center"/>
            <w:hideMark/>
          </w:tcPr>
          <w:p w14:paraId="0222B54B" w14:textId="77777777" w:rsidR="009033A7" w:rsidRPr="00380B40" w:rsidRDefault="009033A7" w:rsidP="00427615">
            <w:pPr>
              <w:pStyle w:val="Tableheadwhitecentred"/>
            </w:pPr>
            <w:r w:rsidRPr="00380B40">
              <w:t>Resolutions</w:t>
            </w:r>
          </w:p>
        </w:tc>
        <w:tc>
          <w:tcPr>
            <w:tcW w:w="736" w:type="pct"/>
            <w:shd w:val="clear" w:color="auto" w:fill="auto"/>
            <w:vAlign w:val="center"/>
          </w:tcPr>
          <w:p w14:paraId="0891B6BF" w14:textId="77777777" w:rsidR="009033A7" w:rsidRPr="00380B40" w:rsidRDefault="009033A7" w:rsidP="00427615">
            <w:pPr>
              <w:pStyle w:val="Tableheadwhitecentred"/>
            </w:pPr>
            <w:r w:rsidRPr="00380B40">
              <w:t>Action</w:t>
            </w:r>
          </w:p>
        </w:tc>
        <w:tc>
          <w:tcPr>
            <w:tcW w:w="659" w:type="pct"/>
            <w:shd w:val="clear" w:color="auto" w:fill="auto"/>
            <w:vAlign w:val="center"/>
          </w:tcPr>
          <w:p w14:paraId="591C6F37" w14:textId="77777777" w:rsidR="009033A7" w:rsidRPr="00380B40" w:rsidRDefault="009033A7" w:rsidP="00427615">
            <w:pPr>
              <w:pStyle w:val="Tableheadwhitecentred"/>
            </w:pPr>
            <w:r w:rsidRPr="00380B40">
              <w:t>Document</w:t>
            </w:r>
          </w:p>
        </w:tc>
      </w:tr>
      <w:tr w:rsidR="009033A7" w:rsidRPr="00380B40" w14:paraId="7AD08AF1" w14:textId="77777777" w:rsidTr="00DE1739">
        <w:trPr>
          <w:cantSplit/>
        </w:trPr>
        <w:tc>
          <w:tcPr>
            <w:tcW w:w="3605" w:type="pct"/>
            <w:shd w:val="clear" w:color="auto" w:fill="auto"/>
            <w:vAlign w:val="center"/>
          </w:tcPr>
          <w:p w14:paraId="5BC45615" w14:textId="77777777" w:rsidR="009033A7" w:rsidRPr="00380B40" w:rsidRDefault="009033A7" w:rsidP="007D2FB0">
            <w:pPr>
              <w:pStyle w:val="Tabletext"/>
              <w:rPr>
                <w:rFonts w:eastAsia="SimSun"/>
                <w:lang w:val="en-GB"/>
              </w:rPr>
            </w:pPr>
            <w:r w:rsidRPr="00380B40">
              <w:rPr>
                <w:lang w:val="en-GB"/>
              </w:rPr>
              <w:t xml:space="preserve">Resolution 52 </w:t>
            </w:r>
            <w:r w:rsidRPr="00380B40">
              <w:rPr>
                <w:rFonts w:eastAsia="SimSun" w:cs="Traditional Arabic"/>
                <w:lang w:val="en-GB"/>
              </w:rPr>
              <w:t>(Rev. Hammamet, 2016)</w:t>
            </w:r>
            <w:r w:rsidR="00363973" w:rsidRPr="00380B40">
              <w:rPr>
                <w:rFonts w:eastAsia="SimSun" w:cs="Traditional Arabic"/>
                <w:lang w:val="en-GB"/>
              </w:rPr>
              <w:t xml:space="preserve"> </w:t>
            </w:r>
            <w:r w:rsidR="00363973" w:rsidRPr="00380B40">
              <w:rPr>
                <w:lang w:val="en-GB"/>
              </w:rPr>
              <w:t xml:space="preserve">– </w:t>
            </w:r>
            <w:r w:rsidRPr="00380B40">
              <w:rPr>
                <w:rFonts w:eastAsia="SimSun" w:cs="Traditional Arabic"/>
                <w:lang w:val="en-GB"/>
              </w:rPr>
              <w:t>Countering and combating spam</w:t>
            </w:r>
          </w:p>
        </w:tc>
        <w:tc>
          <w:tcPr>
            <w:tcW w:w="736" w:type="pct"/>
            <w:shd w:val="clear" w:color="auto" w:fill="auto"/>
            <w:vAlign w:val="center"/>
          </w:tcPr>
          <w:p w14:paraId="16274EB4" w14:textId="77777777" w:rsidR="009033A7" w:rsidRPr="00380B40" w:rsidRDefault="009033A7" w:rsidP="00363973">
            <w:pPr>
              <w:pStyle w:val="Tabletext"/>
              <w:jc w:val="center"/>
              <w:rPr>
                <w:lang w:val="en-GB"/>
              </w:rPr>
            </w:pPr>
            <w:r w:rsidRPr="00380B40">
              <w:rPr>
                <w:lang w:val="en-GB"/>
              </w:rPr>
              <w:t>NOC</w:t>
            </w:r>
          </w:p>
        </w:tc>
        <w:tc>
          <w:tcPr>
            <w:tcW w:w="659" w:type="pct"/>
            <w:shd w:val="clear" w:color="auto" w:fill="auto"/>
            <w:vAlign w:val="center"/>
          </w:tcPr>
          <w:p w14:paraId="7D031884" w14:textId="77777777" w:rsidR="009033A7" w:rsidRPr="00380B40" w:rsidRDefault="009033A7" w:rsidP="00363973">
            <w:pPr>
              <w:pStyle w:val="Tabletext"/>
              <w:jc w:val="center"/>
              <w:rPr>
                <w:lang w:val="en-GB"/>
              </w:rPr>
            </w:pPr>
            <w:r w:rsidRPr="00380B40">
              <w:rPr>
                <w:lang w:val="en-GB"/>
              </w:rPr>
              <w:t>N/A</w:t>
            </w:r>
          </w:p>
        </w:tc>
      </w:tr>
      <w:tr w:rsidR="009033A7" w:rsidRPr="00380B40" w14:paraId="4D28E695" w14:textId="77777777" w:rsidTr="00DE1739">
        <w:trPr>
          <w:cantSplit/>
        </w:trPr>
        <w:tc>
          <w:tcPr>
            <w:tcW w:w="3605" w:type="pct"/>
            <w:shd w:val="clear" w:color="auto" w:fill="auto"/>
            <w:vAlign w:val="center"/>
          </w:tcPr>
          <w:p w14:paraId="2D6F3DA8" w14:textId="77777777" w:rsidR="009033A7" w:rsidRPr="00380B40" w:rsidRDefault="009033A7" w:rsidP="007D2FB0">
            <w:pPr>
              <w:pStyle w:val="Tabletext"/>
              <w:rPr>
                <w:lang w:val="en-GB"/>
              </w:rPr>
            </w:pPr>
            <w:r w:rsidRPr="00380B40">
              <w:rPr>
                <w:rFonts w:eastAsia="SimSun"/>
                <w:lang w:val="en-GB"/>
              </w:rPr>
              <w:t>Resolution 77 (Rev. Hammamet, 2016)</w:t>
            </w:r>
            <w:r w:rsidR="00363973" w:rsidRPr="00380B40">
              <w:rPr>
                <w:rFonts w:eastAsia="SimSun"/>
                <w:lang w:val="en-GB"/>
              </w:rPr>
              <w:t xml:space="preserve"> </w:t>
            </w:r>
            <w:r w:rsidR="00363973" w:rsidRPr="00380B40">
              <w:rPr>
                <w:lang w:val="en-GB"/>
              </w:rPr>
              <w:t xml:space="preserve">– </w:t>
            </w:r>
            <w:r w:rsidRPr="00380B40">
              <w:rPr>
                <w:rFonts w:eastAsia="SimSun"/>
                <w:lang w:val="en-GB"/>
              </w:rPr>
              <w:t>Enhancing the standardization work in the ITU Telecommunication Standardization Sector for software-defined networking</w:t>
            </w:r>
          </w:p>
        </w:tc>
        <w:tc>
          <w:tcPr>
            <w:tcW w:w="736" w:type="pct"/>
            <w:shd w:val="clear" w:color="auto" w:fill="auto"/>
            <w:vAlign w:val="center"/>
          </w:tcPr>
          <w:p w14:paraId="1F9D247C" w14:textId="77777777" w:rsidR="009033A7" w:rsidRPr="00380B40" w:rsidRDefault="009033A7" w:rsidP="00363973">
            <w:pPr>
              <w:pStyle w:val="Tabletext"/>
              <w:jc w:val="center"/>
              <w:rPr>
                <w:lang w:val="en-GB"/>
              </w:rPr>
            </w:pPr>
            <w:r w:rsidRPr="00380B40">
              <w:rPr>
                <w:lang w:val="en-GB"/>
              </w:rPr>
              <w:t>NOC</w:t>
            </w:r>
          </w:p>
        </w:tc>
        <w:tc>
          <w:tcPr>
            <w:tcW w:w="659" w:type="pct"/>
            <w:shd w:val="clear" w:color="auto" w:fill="auto"/>
            <w:vAlign w:val="center"/>
          </w:tcPr>
          <w:p w14:paraId="6A8D6357" w14:textId="77777777" w:rsidR="009033A7" w:rsidRPr="00380B40" w:rsidRDefault="009033A7" w:rsidP="00363973">
            <w:pPr>
              <w:pStyle w:val="Tabletext"/>
              <w:jc w:val="center"/>
              <w:rPr>
                <w:lang w:val="en-GB"/>
              </w:rPr>
            </w:pPr>
            <w:r w:rsidRPr="00380B40">
              <w:rPr>
                <w:lang w:val="en-GB"/>
              </w:rPr>
              <w:t>N/A-</w:t>
            </w:r>
          </w:p>
        </w:tc>
      </w:tr>
      <w:tr w:rsidR="009033A7" w:rsidRPr="00380B40" w14:paraId="779ACD8B" w14:textId="77777777" w:rsidTr="00DE1739">
        <w:trPr>
          <w:cantSplit/>
        </w:trPr>
        <w:tc>
          <w:tcPr>
            <w:tcW w:w="3605" w:type="pct"/>
            <w:shd w:val="clear" w:color="auto" w:fill="auto"/>
            <w:vAlign w:val="center"/>
          </w:tcPr>
          <w:p w14:paraId="3522C423" w14:textId="77777777" w:rsidR="009033A7" w:rsidRPr="00380B40" w:rsidRDefault="009033A7" w:rsidP="007D2FB0">
            <w:pPr>
              <w:pStyle w:val="Tabletext"/>
              <w:rPr>
                <w:lang w:val="en-GB"/>
              </w:rPr>
            </w:pPr>
            <w:r w:rsidRPr="00380B40">
              <w:rPr>
                <w:rFonts w:eastAsia="SimSun"/>
                <w:lang w:val="en-GB"/>
              </w:rPr>
              <w:t>Resolution 87 (Hammamet, 2016)</w:t>
            </w:r>
            <w:r w:rsidR="00363973" w:rsidRPr="00380B40">
              <w:rPr>
                <w:rFonts w:eastAsia="SimSun"/>
                <w:lang w:val="en-GB"/>
              </w:rPr>
              <w:t xml:space="preserve"> </w:t>
            </w:r>
            <w:r w:rsidR="00363973" w:rsidRPr="00380B40">
              <w:rPr>
                <w:lang w:val="en-GB"/>
              </w:rPr>
              <w:t xml:space="preserve">– </w:t>
            </w:r>
            <w:r w:rsidRPr="00380B40">
              <w:rPr>
                <w:rFonts w:eastAsia="SimSun"/>
                <w:lang w:val="en-GB"/>
              </w:rPr>
              <w:t>Participation of the ITU Telecommunication Standardization Sector in the periodic review and revision of the International Telecommunication Regulations</w:t>
            </w:r>
          </w:p>
        </w:tc>
        <w:tc>
          <w:tcPr>
            <w:tcW w:w="736" w:type="pct"/>
            <w:shd w:val="clear" w:color="auto" w:fill="auto"/>
            <w:vAlign w:val="center"/>
          </w:tcPr>
          <w:p w14:paraId="11CB3CAC" w14:textId="77777777" w:rsidR="009033A7" w:rsidRPr="00380B40" w:rsidRDefault="009033A7" w:rsidP="00363973">
            <w:pPr>
              <w:pStyle w:val="Tabletext"/>
              <w:jc w:val="center"/>
              <w:rPr>
                <w:lang w:val="en-GB"/>
              </w:rPr>
            </w:pPr>
            <w:r w:rsidRPr="00380B40">
              <w:rPr>
                <w:lang w:val="en-GB"/>
              </w:rPr>
              <w:t>NOC</w:t>
            </w:r>
          </w:p>
        </w:tc>
        <w:tc>
          <w:tcPr>
            <w:tcW w:w="659" w:type="pct"/>
            <w:shd w:val="clear" w:color="auto" w:fill="auto"/>
            <w:vAlign w:val="center"/>
          </w:tcPr>
          <w:p w14:paraId="3CE350AD" w14:textId="77777777" w:rsidR="009033A7" w:rsidRPr="00380B40" w:rsidRDefault="009033A7" w:rsidP="00363973">
            <w:pPr>
              <w:pStyle w:val="Tabletext"/>
              <w:jc w:val="center"/>
              <w:rPr>
                <w:lang w:val="en-GB"/>
              </w:rPr>
            </w:pPr>
            <w:r w:rsidRPr="00380B40">
              <w:rPr>
                <w:lang w:val="en-GB"/>
              </w:rPr>
              <w:t>N/A</w:t>
            </w:r>
          </w:p>
        </w:tc>
      </w:tr>
      <w:tr w:rsidR="009033A7" w:rsidRPr="00380B40" w14:paraId="1777C15F" w14:textId="77777777" w:rsidTr="00DE1739">
        <w:trPr>
          <w:cantSplit/>
        </w:trPr>
        <w:tc>
          <w:tcPr>
            <w:tcW w:w="3605" w:type="pct"/>
            <w:shd w:val="clear" w:color="auto" w:fill="auto"/>
            <w:vAlign w:val="center"/>
          </w:tcPr>
          <w:p w14:paraId="08CC3F64" w14:textId="77777777" w:rsidR="009033A7" w:rsidRPr="00380B40" w:rsidRDefault="009033A7" w:rsidP="007D2FB0">
            <w:pPr>
              <w:pStyle w:val="Tabletext"/>
              <w:rPr>
                <w:lang w:val="en-GB"/>
              </w:rPr>
            </w:pPr>
            <w:r w:rsidRPr="00380B40">
              <w:rPr>
                <w:rFonts w:eastAsia="SimSun"/>
                <w:lang w:val="en-GB"/>
              </w:rPr>
              <w:t>Resolution 88 (Hammamet, 2016)</w:t>
            </w:r>
            <w:r w:rsidR="00363973" w:rsidRPr="00380B40">
              <w:rPr>
                <w:rFonts w:eastAsia="SimSun"/>
                <w:lang w:val="en-GB"/>
              </w:rPr>
              <w:t xml:space="preserve"> </w:t>
            </w:r>
            <w:r w:rsidR="00363973" w:rsidRPr="00380B40">
              <w:rPr>
                <w:lang w:val="en-GB"/>
              </w:rPr>
              <w:t xml:space="preserve">– </w:t>
            </w:r>
            <w:r w:rsidRPr="00380B40">
              <w:rPr>
                <w:rFonts w:eastAsia="SimSun"/>
                <w:lang w:val="en-GB"/>
              </w:rPr>
              <w:t>International mobile roaming</w:t>
            </w:r>
          </w:p>
        </w:tc>
        <w:tc>
          <w:tcPr>
            <w:tcW w:w="736" w:type="pct"/>
            <w:shd w:val="clear" w:color="auto" w:fill="auto"/>
            <w:vAlign w:val="center"/>
          </w:tcPr>
          <w:p w14:paraId="1EA89667" w14:textId="77777777" w:rsidR="009033A7" w:rsidRPr="00380B40" w:rsidRDefault="009033A7" w:rsidP="00363973">
            <w:pPr>
              <w:pStyle w:val="Tabletext"/>
              <w:jc w:val="center"/>
              <w:rPr>
                <w:lang w:val="en-GB"/>
              </w:rPr>
            </w:pPr>
            <w:r w:rsidRPr="00380B40">
              <w:rPr>
                <w:lang w:val="en-GB"/>
              </w:rPr>
              <w:t>NOC</w:t>
            </w:r>
          </w:p>
        </w:tc>
        <w:tc>
          <w:tcPr>
            <w:tcW w:w="659" w:type="pct"/>
            <w:shd w:val="clear" w:color="auto" w:fill="auto"/>
            <w:vAlign w:val="center"/>
          </w:tcPr>
          <w:p w14:paraId="449EB44D" w14:textId="77777777" w:rsidR="009033A7" w:rsidRPr="00380B40" w:rsidRDefault="009033A7" w:rsidP="00363973">
            <w:pPr>
              <w:pStyle w:val="Tabletext"/>
              <w:jc w:val="center"/>
              <w:rPr>
                <w:lang w:val="en-GB"/>
              </w:rPr>
            </w:pPr>
            <w:r w:rsidRPr="00380B40">
              <w:rPr>
                <w:lang w:val="en-GB"/>
              </w:rPr>
              <w:t>N/A</w:t>
            </w:r>
          </w:p>
        </w:tc>
      </w:tr>
      <w:tr w:rsidR="009033A7" w:rsidRPr="00380B40" w14:paraId="227AC5C7" w14:textId="77777777" w:rsidTr="00DE1739">
        <w:trPr>
          <w:cantSplit/>
        </w:trPr>
        <w:tc>
          <w:tcPr>
            <w:tcW w:w="3605" w:type="pct"/>
            <w:shd w:val="clear" w:color="auto" w:fill="auto"/>
            <w:vAlign w:val="center"/>
          </w:tcPr>
          <w:p w14:paraId="6842135B" w14:textId="77777777" w:rsidR="009033A7" w:rsidRPr="00380B40" w:rsidRDefault="009033A7" w:rsidP="007D2FB0">
            <w:pPr>
              <w:pStyle w:val="Tabletext"/>
              <w:rPr>
                <w:lang w:val="en-GB"/>
              </w:rPr>
            </w:pPr>
            <w:r w:rsidRPr="00380B40">
              <w:rPr>
                <w:rFonts w:eastAsia="SimSun"/>
                <w:lang w:val="en-GB"/>
              </w:rPr>
              <w:t>Resolution 90 (Hammamet, 2016)</w:t>
            </w:r>
            <w:r w:rsidR="00363973" w:rsidRPr="00380B40">
              <w:rPr>
                <w:rFonts w:eastAsia="SimSun"/>
                <w:lang w:val="en-GB"/>
              </w:rPr>
              <w:t xml:space="preserve"> </w:t>
            </w:r>
            <w:r w:rsidR="00363973" w:rsidRPr="00380B40">
              <w:rPr>
                <w:lang w:val="en-GB"/>
              </w:rPr>
              <w:t xml:space="preserve">– </w:t>
            </w:r>
            <w:r w:rsidRPr="00380B40">
              <w:rPr>
                <w:rFonts w:eastAsia="SimSun"/>
                <w:lang w:val="en-GB"/>
              </w:rPr>
              <w:t>Open source in the ITU Telecommunication Standardization Sector</w:t>
            </w:r>
          </w:p>
        </w:tc>
        <w:tc>
          <w:tcPr>
            <w:tcW w:w="736" w:type="pct"/>
            <w:shd w:val="clear" w:color="auto" w:fill="auto"/>
            <w:vAlign w:val="center"/>
          </w:tcPr>
          <w:p w14:paraId="49ED6C97" w14:textId="77777777" w:rsidR="009033A7" w:rsidRPr="00380B40" w:rsidRDefault="009033A7" w:rsidP="00363973">
            <w:pPr>
              <w:pStyle w:val="Tabletext"/>
              <w:jc w:val="center"/>
              <w:rPr>
                <w:lang w:val="en-GB"/>
              </w:rPr>
            </w:pPr>
            <w:r w:rsidRPr="00380B40">
              <w:rPr>
                <w:lang w:val="en-GB"/>
              </w:rPr>
              <w:t>NOC</w:t>
            </w:r>
          </w:p>
        </w:tc>
        <w:tc>
          <w:tcPr>
            <w:tcW w:w="659" w:type="pct"/>
            <w:shd w:val="clear" w:color="auto" w:fill="auto"/>
            <w:vAlign w:val="center"/>
          </w:tcPr>
          <w:p w14:paraId="346BB13A" w14:textId="77777777" w:rsidR="009033A7" w:rsidRPr="00380B40" w:rsidRDefault="009033A7" w:rsidP="00363973">
            <w:pPr>
              <w:pStyle w:val="Tabletext"/>
              <w:jc w:val="center"/>
              <w:rPr>
                <w:lang w:val="en-GB"/>
              </w:rPr>
            </w:pPr>
            <w:r w:rsidRPr="00380B40">
              <w:rPr>
                <w:lang w:val="en-GB"/>
              </w:rPr>
              <w:t>N/A</w:t>
            </w:r>
          </w:p>
        </w:tc>
      </w:tr>
      <w:tr w:rsidR="009033A7" w:rsidRPr="00380B40" w14:paraId="3911BBC6" w14:textId="77777777" w:rsidTr="00DE1739">
        <w:trPr>
          <w:cantSplit/>
        </w:trPr>
        <w:tc>
          <w:tcPr>
            <w:tcW w:w="3605" w:type="pct"/>
            <w:shd w:val="clear" w:color="auto" w:fill="auto"/>
            <w:vAlign w:val="center"/>
          </w:tcPr>
          <w:p w14:paraId="5B02369D" w14:textId="77777777" w:rsidR="009033A7" w:rsidRPr="00380B40" w:rsidRDefault="009033A7" w:rsidP="007D2FB0">
            <w:pPr>
              <w:pStyle w:val="Tabletext"/>
              <w:rPr>
                <w:lang w:val="en-GB"/>
              </w:rPr>
            </w:pPr>
            <w:r w:rsidRPr="00380B40">
              <w:rPr>
                <w:rFonts w:eastAsia="SimSun"/>
                <w:lang w:val="en-GB"/>
              </w:rPr>
              <w:t>Resolution 93 (Hammamet, 2016)</w:t>
            </w:r>
            <w:r w:rsidR="00363973" w:rsidRPr="00380B40">
              <w:rPr>
                <w:rFonts w:eastAsia="SimSun"/>
                <w:lang w:val="en-GB"/>
              </w:rPr>
              <w:t xml:space="preserve"> </w:t>
            </w:r>
            <w:r w:rsidR="00363973" w:rsidRPr="00380B40">
              <w:rPr>
                <w:lang w:val="en-GB"/>
              </w:rPr>
              <w:t xml:space="preserve">– </w:t>
            </w:r>
            <w:r w:rsidRPr="00380B40">
              <w:rPr>
                <w:lang w:val="en-GB"/>
              </w:rPr>
              <w:t>Interconnection of 4G, IMT-2020 networks and beyond</w:t>
            </w:r>
          </w:p>
        </w:tc>
        <w:tc>
          <w:tcPr>
            <w:tcW w:w="736" w:type="pct"/>
            <w:shd w:val="clear" w:color="auto" w:fill="auto"/>
            <w:vAlign w:val="center"/>
          </w:tcPr>
          <w:p w14:paraId="7EF5FE45" w14:textId="77777777" w:rsidR="009033A7" w:rsidRPr="00380B40" w:rsidRDefault="009033A7" w:rsidP="00363973">
            <w:pPr>
              <w:pStyle w:val="Tabletext"/>
              <w:jc w:val="center"/>
              <w:rPr>
                <w:lang w:val="en-GB"/>
              </w:rPr>
            </w:pPr>
            <w:r w:rsidRPr="00380B40">
              <w:rPr>
                <w:lang w:val="en-GB"/>
              </w:rPr>
              <w:t>NOC</w:t>
            </w:r>
          </w:p>
        </w:tc>
        <w:tc>
          <w:tcPr>
            <w:tcW w:w="659" w:type="pct"/>
            <w:shd w:val="clear" w:color="auto" w:fill="auto"/>
            <w:vAlign w:val="center"/>
          </w:tcPr>
          <w:p w14:paraId="3E28AA15" w14:textId="77777777" w:rsidR="009033A7" w:rsidRPr="00380B40" w:rsidRDefault="009033A7" w:rsidP="00363973">
            <w:pPr>
              <w:pStyle w:val="Tabletext"/>
              <w:jc w:val="center"/>
              <w:rPr>
                <w:lang w:val="en-GB"/>
              </w:rPr>
            </w:pPr>
            <w:r w:rsidRPr="00380B40">
              <w:rPr>
                <w:lang w:val="en-GB"/>
              </w:rPr>
              <w:t>N/A</w:t>
            </w:r>
          </w:p>
        </w:tc>
      </w:tr>
    </w:tbl>
    <w:p w14:paraId="785D7417" w14:textId="77777777" w:rsidR="009033A7" w:rsidRPr="00380B40" w:rsidRDefault="009033A7" w:rsidP="009033A7">
      <w:pPr>
        <w:rPr>
          <w:lang w:val="en-GB"/>
        </w:rPr>
      </w:pPr>
    </w:p>
    <w:p w14:paraId="343B9C67" w14:textId="77777777" w:rsidR="00363973" w:rsidRPr="00380B40" w:rsidRDefault="00363973" w:rsidP="009033A7">
      <w:pPr>
        <w:rPr>
          <w:lang w:val="en-GB"/>
        </w:rPr>
      </w:pPr>
    </w:p>
    <w:p w14:paraId="6DEBF39B" w14:textId="77777777" w:rsidR="00363973" w:rsidRPr="00380B40" w:rsidRDefault="00363973" w:rsidP="009033A7">
      <w:pPr>
        <w:rPr>
          <w:lang w:val="en-GB"/>
        </w:rPr>
      </w:pPr>
    </w:p>
    <w:p w14:paraId="0FED797F" w14:textId="77777777" w:rsidR="00363973" w:rsidRPr="00380B40" w:rsidRDefault="00363973" w:rsidP="009033A7">
      <w:pPr>
        <w:rPr>
          <w:lang w:val="en-GB"/>
        </w:rPr>
      </w:pPr>
    </w:p>
    <w:p w14:paraId="245ABE1A" w14:textId="77777777" w:rsidR="00363973" w:rsidRPr="00380B40" w:rsidRDefault="00363973" w:rsidP="009033A7">
      <w:pPr>
        <w:rPr>
          <w:lang w:val="en-GB"/>
        </w:rPr>
      </w:pPr>
    </w:p>
    <w:p w14:paraId="483BB16E" w14:textId="77777777" w:rsidR="00363973" w:rsidRPr="00380B40" w:rsidRDefault="00363973" w:rsidP="009033A7">
      <w:pPr>
        <w:rPr>
          <w:lang w:val="en-GB"/>
        </w:rPr>
      </w:pPr>
      <w:r w:rsidRPr="00380B40">
        <w:rPr>
          <w:lang w:val="en-GB"/>
        </w:rPr>
        <w:br w:type="page"/>
      </w:r>
    </w:p>
    <w:p w14:paraId="35129577" w14:textId="77777777" w:rsidR="009033A7" w:rsidRPr="00380B40" w:rsidRDefault="009033A7" w:rsidP="009033A7">
      <w:pPr>
        <w:pStyle w:val="Heading3"/>
        <w:rPr>
          <w:szCs w:val="24"/>
          <w:lang w:val="en-GB"/>
        </w:rPr>
      </w:pPr>
      <w:bookmarkStart w:id="2616" w:name="_Toc111637320"/>
      <w:r w:rsidRPr="00380B40">
        <w:rPr>
          <w:szCs w:val="24"/>
          <w:lang w:val="en-GB"/>
        </w:rPr>
        <w:t>2.2.5</w:t>
      </w:r>
      <w:r w:rsidRPr="00380B40">
        <w:rPr>
          <w:szCs w:val="24"/>
          <w:lang w:val="en-GB"/>
        </w:rPr>
        <w:tab/>
      </w:r>
      <w:r w:rsidRPr="00380B40">
        <w:rPr>
          <w:lang w:val="en-GB"/>
        </w:rPr>
        <w:t>Suppression of Resolutions</w:t>
      </w:r>
      <w:bookmarkEnd w:id="2616"/>
    </w:p>
    <w:p w14:paraId="24FCBB2B" w14:textId="77777777" w:rsidR="009033A7" w:rsidRPr="00380B40" w:rsidRDefault="009033A7" w:rsidP="009033A7">
      <w:pPr>
        <w:rPr>
          <w:lang w:val="en-GB"/>
        </w:rPr>
      </w:pPr>
      <w:r w:rsidRPr="00380B40">
        <w:rPr>
          <w:lang w:val="en-GB"/>
        </w:rPr>
        <w:t>Plenary is requested to approve the suppression of the Resolutions listed in table 4. Action already taken by Plenary.</w:t>
      </w:r>
    </w:p>
    <w:p w14:paraId="0EA5184C" w14:textId="77777777" w:rsidR="009033A7" w:rsidRPr="00380B40" w:rsidRDefault="009033A7" w:rsidP="00566AA6">
      <w:pPr>
        <w:pStyle w:val="TableNoTitle1"/>
      </w:pPr>
      <w:r w:rsidRPr="00380B40">
        <w:t>Table 4 - Suppressed Resolutions</w:t>
      </w:r>
    </w:p>
    <w:tbl>
      <w:tblPr>
        <w:tblStyle w:val="TableGrid"/>
        <w:tblW w:w="5000" w:type="pct"/>
        <w:tblLook w:val="04A0" w:firstRow="1" w:lastRow="0" w:firstColumn="1" w:lastColumn="0" w:noHBand="0" w:noVBand="1"/>
      </w:tblPr>
      <w:tblGrid>
        <w:gridCol w:w="6942"/>
        <w:gridCol w:w="1417"/>
        <w:gridCol w:w="1269"/>
      </w:tblGrid>
      <w:tr w:rsidR="009033A7" w:rsidRPr="00380B40" w14:paraId="5B01C2A4" w14:textId="77777777" w:rsidTr="00DE1739">
        <w:trPr>
          <w:cantSplit/>
          <w:tblHeader/>
        </w:trPr>
        <w:tc>
          <w:tcPr>
            <w:tcW w:w="3605" w:type="pct"/>
            <w:shd w:val="clear" w:color="auto" w:fill="auto"/>
            <w:vAlign w:val="center"/>
            <w:hideMark/>
          </w:tcPr>
          <w:p w14:paraId="6EA1CD82" w14:textId="77777777" w:rsidR="009033A7" w:rsidRPr="00380B40" w:rsidRDefault="009033A7" w:rsidP="00427615">
            <w:pPr>
              <w:pStyle w:val="Tableheadwhitecentred"/>
            </w:pPr>
            <w:r w:rsidRPr="00380B40">
              <w:t>Resolutions</w:t>
            </w:r>
          </w:p>
        </w:tc>
        <w:tc>
          <w:tcPr>
            <w:tcW w:w="736" w:type="pct"/>
            <w:shd w:val="clear" w:color="auto" w:fill="auto"/>
            <w:vAlign w:val="center"/>
          </w:tcPr>
          <w:p w14:paraId="5055F361" w14:textId="77777777" w:rsidR="009033A7" w:rsidRPr="00380B40" w:rsidRDefault="009033A7" w:rsidP="00427615">
            <w:pPr>
              <w:pStyle w:val="Tableheadwhitecentred"/>
            </w:pPr>
            <w:r w:rsidRPr="00380B40">
              <w:t>Action</w:t>
            </w:r>
          </w:p>
        </w:tc>
        <w:tc>
          <w:tcPr>
            <w:tcW w:w="659" w:type="pct"/>
            <w:shd w:val="clear" w:color="auto" w:fill="auto"/>
            <w:vAlign w:val="center"/>
          </w:tcPr>
          <w:p w14:paraId="0C66B386" w14:textId="77777777" w:rsidR="009033A7" w:rsidRPr="00380B40" w:rsidRDefault="009033A7" w:rsidP="00427615">
            <w:pPr>
              <w:pStyle w:val="Tableheadwhitecentred"/>
            </w:pPr>
            <w:r w:rsidRPr="00380B40">
              <w:t>Document</w:t>
            </w:r>
          </w:p>
        </w:tc>
      </w:tr>
      <w:tr w:rsidR="009033A7" w:rsidRPr="00380B40" w14:paraId="0D40C77A" w14:textId="77777777" w:rsidTr="00DE1739">
        <w:trPr>
          <w:cantSplit/>
        </w:trPr>
        <w:tc>
          <w:tcPr>
            <w:tcW w:w="3605" w:type="pct"/>
            <w:shd w:val="clear" w:color="auto" w:fill="auto"/>
            <w:vAlign w:val="center"/>
          </w:tcPr>
          <w:p w14:paraId="6D94F8CC" w14:textId="77777777" w:rsidR="009033A7" w:rsidRPr="00380B40" w:rsidRDefault="009033A7" w:rsidP="00363973">
            <w:pPr>
              <w:pStyle w:val="Tabletext"/>
              <w:rPr>
                <w:rFonts w:eastAsia="SimSun"/>
                <w:lang w:val="en-GB"/>
              </w:rPr>
            </w:pPr>
            <w:r w:rsidRPr="00380B40">
              <w:rPr>
                <w:rFonts w:eastAsia="SimSun"/>
                <w:lang w:val="en-GB"/>
              </w:rPr>
              <w:t>Resolution 59 (Rev. Dubai, 2012)</w:t>
            </w:r>
            <w:r w:rsidR="00363973" w:rsidRPr="00380B40">
              <w:rPr>
                <w:rFonts w:eastAsia="SimSun"/>
                <w:lang w:val="en-GB"/>
              </w:rPr>
              <w:t xml:space="preserve"> </w:t>
            </w:r>
            <w:r w:rsidR="00363973" w:rsidRPr="00380B40">
              <w:rPr>
                <w:lang w:val="en-GB"/>
              </w:rPr>
              <w:t xml:space="preserve">– </w:t>
            </w:r>
            <w:r w:rsidRPr="00380B40">
              <w:rPr>
                <w:rFonts w:eastAsia="SimSun"/>
                <w:lang w:val="en-GB"/>
              </w:rPr>
              <w:t>Enhancing participation of telecommunication operators from developing countries</w:t>
            </w:r>
          </w:p>
        </w:tc>
        <w:tc>
          <w:tcPr>
            <w:tcW w:w="736" w:type="pct"/>
            <w:shd w:val="clear" w:color="auto" w:fill="auto"/>
            <w:vAlign w:val="center"/>
          </w:tcPr>
          <w:p w14:paraId="0719A78B" w14:textId="77777777" w:rsidR="009033A7" w:rsidRPr="00380B40" w:rsidRDefault="009033A7" w:rsidP="00363973">
            <w:pPr>
              <w:pStyle w:val="Tabletext"/>
              <w:jc w:val="center"/>
              <w:rPr>
                <w:rFonts w:eastAsia="SimSun"/>
                <w:lang w:val="en-GB"/>
              </w:rPr>
            </w:pPr>
            <w:r w:rsidRPr="00380B40">
              <w:rPr>
                <w:rFonts w:eastAsia="SimSun"/>
                <w:lang w:val="en-GB"/>
              </w:rPr>
              <w:t>SUP</w:t>
            </w:r>
          </w:p>
        </w:tc>
        <w:tc>
          <w:tcPr>
            <w:tcW w:w="659" w:type="pct"/>
            <w:shd w:val="clear" w:color="auto" w:fill="auto"/>
            <w:vAlign w:val="center"/>
          </w:tcPr>
          <w:p w14:paraId="7E3D35AA" w14:textId="77777777" w:rsidR="009033A7" w:rsidRPr="00380B40" w:rsidRDefault="009033A7" w:rsidP="00363973">
            <w:pPr>
              <w:pStyle w:val="Tabletext"/>
              <w:jc w:val="center"/>
              <w:rPr>
                <w:rFonts w:eastAsia="SimSun"/>
                <w:lang w:val="en-GB"/>
              </w:rPr>
            </w:pPr>
            <w:r w:rsidRPr="00380B40">
              <w:rPr>
                <w:rFonts w:eastAsia="SimSun"/>
                <w:lang w:val="en-GB"/>
              </w:rPr>
              <w:t>N/A</w:t>
            </w:r>
          </w:p>
        </w:tc>
      </w:tr>
    </w:tbl>
    <w:p w14:paraId="09314B98" w14:textId="77777777" w:rsidR="009033A7" w:rsidRPr="00380B40" w:rsidRDefault="009033A7" w:rsidP="009033A7">
      <w:pPr>
        <w:pStyle w:val="Heading2"/>
        <w:rPr>
          <w:lang w:val="en-GB"/>
        </w:rPr>
      </w:pPr>
      <w:bookmarkStart w:id="2617" w:name="_Toc111637321"/>
      <w:r w:rsidRPr="00380B40">
        <w:rPr>
          <w:lang w:val="en-GB"/>
        </w:rPr>
        <w:t>2.2.6</w:t>
      </w:r>
      <w:r w:rsidRPr="00380B40">
        <w:rPr>
          <w:lang w:val="en-GB"/>
        </w:rPr>
        <w:tab/>
        <w:t>Resolutions for which consensus has not yet been achieved at COM4</w:t>
      </w:r>
      <w:bookmarkEnd w:id="2617"/>
    </w:p>
    <w:p w14:paraId="432DC981" w14:textId="77777777" w:rsidR="009033A7" w:rsidRPr="00380B40" w:rsidRDefault="009033A7" w:rsidP="009033A7">
      <w:pPr>
        <w:pStyle w:val="Heading4"/>
        <w:rPr>
          <w:lang w:val="en-GB"/>
        </w:rPr>
      </w:pPr>
      <w:r w:rsidRPr="00380B40">
        <w:rPr>
          <w:lang w:val="en-GB"/>
        </w:rPr>
        <w:t>2.2.6.1</w:t>
      </w:r>
      <w:r w:rsidRPr="00380B40">
        <w:rPr>
          <w:lang w:val="en-GB"/>
        </w:rPr>
        <w:tab/>
        <w:t xml:space="preserve">Resolution 50 (Rev. Hammamet, 2016) </w:t>
      </w:r>
      <w:r w:rsidR="00363973" w:rsidRPr="00380B40">
        <w:rPr>
          <w:lang w:val="en-GB"/>
        </w:rPr>
        <w:t>–</w:t>
      </w:r>
      <w:r w:rsidRPr="00380B40">
        <w:rPr>
          <w:lang w:val="en-GB"/>
        </w:rPr>
        <w:t xml:space="preserve"> Cybersecurity</w:t>
      </w:r>
    </w:p>
    <w:p w14:paraId="4E98380C" w14:textId="77777777" w:rsidR="009033A7" w:rsidRPr="00380B40" w:rsidRDefault="009033A7" w:rsidP="009033A7">
      <w:pPr>
        <w:rPr>
          <w:lang w:val="en-GB"/>
        </w:rPr>
      </w:pPr>
      <w:r w:rsidRPr="00380B40">
        <w:rPr>
          <w:lang w:val="en-GB"/>
        </w:rPr>
        <w:t>The meeting agreed to continue informal consultation with the objective to achieve consensus and resolve the texts in square brackets, aiming to present the final text at the plenary for decision.</w:t>
      </w:r>
    </w:p>
    <w:p w14:paraId="40AB0A90" w14:textId="77777777" w:rsidR="009033A7" w:rsidRPr="00380B40" w:rsidRDefault="00363973" w:rsidP="00363973">
      <w:pPr>
        <w:pStyle w:val="enumlev1"/>
        <w:rPr>
          <w:lang w:val="en-GB"/>
        </w:rPr>
      </w:pPr>
      <w:r w:rsidRPr="00380B40">
        <w:rPr>
          <w:lang w:val="en-GB"/>
        </w:rPr>
        <w:t>–</w:t>
      </w:r>
      <w:r w:rsidRPr="00380B40">
        <w:rPr>
          <w:lang w:val="en-GB"/>
        </w:rPr>
        <w:tab/>
      </w:r>
      <w:r w:rsidR="009033A7" w:rsidRPr="00380B40">
        <w:rPr>
          <w:b/>
          <w:bCs/>
          <w:lang w:val="en-GB"/>
        </w:rPr>
        <w:t>Action for Plenary 2</w:t>
      </w:r>
      <w:r w:rsidR="009033A7" w:rsidRPr="00380B40">
        <w:rPr>
          <w:lang w:val="en-GB"/>
        </w:rPr>
        <w:t>: to consider the result of the informal consultation on Resolution 50 for decision on this matter.</w:t>
      </w:r>
    </w:p>
    <w:p w14:paraId="7CC106DB" w14:textId="77777777" w:rsidR="009033A7" w:rsidRPr="00380B40" w:rsidRDefault="009033A7" w:rsidP="009033A7">
      <w:pPr>
        <w:pStyle w:val="Heading4"/>
        <w:rPr>
          <w:lang w:val="en-GB"/>
        </w:rPr>
      </w:pPr>
      <w:r w:rsidRPr="00380B40">
        <w:rPr>
          <w:lang w:val="en-GB"/>
        </w:rPr>
        <w:t>2.2.6.2</w:t>
      </w:r>
      <w:r w:rsidRPr="00380B40">
        <w:rPr>
          <w:lang w:val="en-GB"/>
        </w:rPr>
        <w:tab/>
        <w:t xml:space="preserve">Draft New Resolution </w:t>
      </w:r>
      <w:r w:rsidR="00363973" w:rsidRPr="00380B40">
        <w:rPr>
          <w:lang w:val="en-GB"/>
        </w:rPr>
        <w:t>–</w:t>
      </w:r>
      <w:r w:rsidRPr="00380B40">
        <w:rPr>
          <w:lang w:val="en-GB"/>
        </w:rPr>
        <w:t xml:space="preserve"> The role of telecommunication/information and communication technologies in mitigating global pandemics</w:t>
      </w:r>
    </w:p>
    <w:p w14:paraId="143109E1" w14:textId="77777777" w:rsidR="009033A7" w:rsidRPr="00380B40" w:rsidRDefault="009033A7" w:rsidP="009033A7">
      <w:pPr>
        <w:rPr>
          <w:lang w:val="en-GB"/>
        </w:rPr>
      </w:pPr>
      <w:r w:rsidRPr="00380B40">
        <w:rPr>
          <w:lang w:val="en-GB"/>
        </w:rPr>
        <w:t xml:space="preserve">There was a general support on the text of the proposed draft new Resolution given in </w:t>
      </w:r>
      <w:hyperlink r:id="rId909" w:history="1">
        <w:r w:rsidRPr="00380B40">
          <w:rPr>
            <w:rStyle w:val="Hyperlink"/>
            <w:lang w:val="en-GB"/>
          </w:rPr>
          <w:t>DT/62</w:t>
        </w:r>
      </w:hyperlink>
      <w:r w:rsidRPr="00380B40">
        <w:rPr>
          <w:lang w:val="en-GB"/>
        </w:rPr>
        <w:t>, however, the meeting felt that the appropriate venue for a draft new Resolution on this topic is the Plenipotentiary Conference.</w:t>
      </w:r>
    </w:p>
    <w:p w14:paraId="3854BC34" w14:textId="77777777" w:rsidR="009033A7" w:rsidRPr="00380B40" w:rsidRDefault="009033A7" w:rsidP="009033A7">
      <w:pPr>
        <w:rPr>
          <w:lang w:val="en-GB"/>
        </w:rPr>
      </w:pPr>
      <w:r w:rsidRPr="00380B40">
        <w:rPr>
          <w:lang w:val="en-GB"/>
        </w:rPr>
        <w:t>Therefore, it was decided to:</w:t>
      </w:r>
    </w:p>
    <w:p w14:paraId="25C4EAF6" w14:textId="77777777" w:rsidR="009033A7" w:rsidRPr="00380B40" w:rsidRDefault="00363973" w:rsidP="00363973">
      <w:pPr>
        <w:pStyle w:val="enumlev1"/>
        <w:rPr>
          <w:lang w:val="en-GB"/>
        </w:rPr>
      </w:pPr>
      <w:r w:rsidRPr="00380B40">
        <w:rPr>
          <w:lang w:val="en-GB"/>
        </w:rPr>
        <w:t>–</w:t>
      </w:r>
      <w:r w:rsidRPr="00380B40">
        <w:rPr>
          <w:lang w:val="en-GB"/>
        </w:rPr>
        <w:tab/>
      </w:r>
      <w:r w:rsidR="009033A7" w:rsidRPr="00380B40">
        <w:rPr>
          <w:b/>
          <w:bCs/>
          <w:lang w:val="en-GB"/>
        </w:rPr>
        <w:t>Action for Plenary 3</w:t>
      </w:r>
      <w:r w:rsidR="009033A7" w:rsidRPr="00380B40">
        <w:rPr>
          <w:lang w:val="en-GB"/>
        </w:rPr>
        <w:t>: to include the text of the draft new Resolution on pandemic (</w:t>
      </w:r>
      <w:hyperlink r:id="rId910" w:history="1">
        <w:r w:rsidR="009033A7" w:rsidRPr="00380B40">
          <w:rPr>
            <w:rStyle w:val="Hyperlink"/>
            <w:lang w:val="en-GB"/>
          </w:rPr>
          <w:t>DT/62</w:t>
        </w:r>
      </w:hyperlink>
      <w:r w:rsidR="009033A7" w:rsidRPr="00380B40">
        <w:rPr>
          <w:lang w:val="en-GB"/>
        </w:rPr>
        <w:t>) into the final WTSA report.</w:t>
      </w:r>
    </w:p>
    <w:p w14:paraId="0E76B191" w14:textId="77777777" w:rsidR="009033A7" w:rsidRPr="00380B40" w:rsidRDefault="00363973" w:rsidP="00363973">
      <w:pPr>
        <w:pStyle w:val="enumlev1"/>
        <w:rPr>
          <w:lang w:val="en-GB"/>
        </w:rPr>
      </w:pPr>
      <w:r w:rsidRPr="00380B40">
        <w:rPr>
          <w:lang w:val="en-GB"/>
        </w:rPr>
        <w:t>–</w:t>
      </w:r>
      <w:r w:rsidRPr="00380B40">
        <w:rPr>
          <w:lang w:val="en-GB"/>
        </w:rPr>
        <w:tab/>
      </w:r>
      <w:r w:rsidR="009033A7" w:rsidRPr="00380B40">
        <w:rPr>
          <w:b/>
          <w:bCs/>
          <w:lang w:val="en-GB"/>
        </w:rPr>
        <w:t>Action for Plenary 4</w:t>
      </w:r>
      <w:r w:rsidR="009033A7" w:rsidRPr="00380B40">
        <w:rPr>
          <w:lang w:val="en-GB"/>
        </w:rPr>
        <w:t>: to invite the Plenipotentiary Conference to consider this text and take any necessary actions on this matter, as appropriate.</w:t>
      </w:r>
    </w:p>
    <w:p w14:paraId="7A86C51D" w14:textId="77777777" w:rsidR="009033A7" w:rsidRPr="00380B40" w:rsidRDefault="00363973" w:rsidP="00363973">
      <w:pPr>
        <w:pStyle w:val="enumlev1"/>
        <w:rPr>
          <w:lang w:val="en-GB"/>
        </w:rPr>
      </w:pPr>
      <w:r w:rsidRPr="00380B40">
        <w:rPr>
          <w:lang w:val="en-GB"/>
        </w:rPr>
        <w:t>–</w:t>
      </w:r>
      <w:r w:rsidRPr="00380B40">
        <w:rPr>
          <w:lang w:val="en-GB"/>
        </w:rPr>
        <w:tab/>
      </w:r>
      <w:r w:rsidR="009033A7" w:rsidRPr="00380B40">
        <w:rPr>
          <w:b/>
          <w:bCs/>
          <w:lang w:val="en-GB"/>
        </w:rPr>
        <w:t>Action for Plenary 5</w:t>
      </w:r>
      <w:r w:rsidR="009033A7" w:rsidRPr="00380B40">
        <w:rPr>
          <w:lang w:val="en-GB"/>
        </w:rPr>
        <w:t>: to instruct the TSB Director to inform the Directors of the other bureau on the above request to the Plenipotentiary Conference for necessary coordination.</w:t>
      </w:r>
    </w:p>
    <w:p w14:paraId="1F44E7A4" w14:textId="77777777" w:rsidR="009033A7" w:rsidRPr="00380B40" w:rsidRDefault="009033A7" w:rsidP="009033A7">
      <w:pPr>
        <w:pStyle w:val="Heading4"/>
        <w:rPr>
          <w:lang w:val="en-GB"/>
        </w:rPr>
      </w:pPr>
      <w:r w:rsidRPr="00380B40">
        <w:rPr>
          <w:lang w:val="en-GB"/>
        </w:rPr>
        <w:t>2.2.6.3</w:t>
      </w:r>
      <w:r w:rsidRPr="00380B40">
        <w:rPr>
          <w:lang w:val="en-GB"/>
        </w:rPr>
        <w:tab/>
        <w:t>Resolution 54 – Regional Groups of ITU-T Study Groups</w:t>
      </w:r>
    </w:p>
    <w:p w14:paraId="31774D07" w14:textId="77777777" w:rsidR="009033A7" w:rsidRPr="00380B40" w:rsidRDefault="009033A7" w:rsidP="009033A7">
      <w:pPr>
        <w:rPr>
          <w:lang w:val="en-GB"/>
        </w:rPr>
      </w:pPr>
      <w:r w:rsidRPr="00380B40">
        <w:rPr>
          <w:lang w:val="en-GB"/>
        </w:rPr>
        <w:t>The meeting achieved consensus on a revised text for Resolution 54. Furthermore, it was agreed:</w:t>
      </w:r>
    </w:p>
    <w:p w14:paraId="48D2E633" w14:textId="77777777" w:rsidR="009033A7" w:rsidRPr="00380B40" w:rsidRDefault="00363973" w:rsidP="00363973">
      <w:pPr>
        <w:pStyle w:val="enumlev1"/>
        <w:rPr>
          <w:lang w:val="en-GB"/>
        </w:rPr>
      </w:pPr>
      <w:r w:rsidRPr="00380B40">
        <w:rPr>
          <w:lang w:val="en-GB"/>
        </w:rPr>
        <w:t>–</w:t>
      </w:r>
      <w:r w:rsidRPr="00380B40">
        <w:rPr>
          <w:lang w:val="en-GB"/>
        </w:rPr>
        <w:tab/>
      </w:r>
      <w:r w:rsidR="009033A7" w:rsidRPr="00380B40">
        <w:rPr>
          <w:b/>
          <w:bCs/>
          <w:lang w:val="en-GB"/>
        </w:rPr>
        <w:t>Action for Plenary 6</w:t>
      </w:r>
      <w:r w:rsidR="009033A7" w:rsidRPr="00380B40">
        <w:rPr>
          <w:lang w:val="en-GB"/>
        </w:rPr>
        <w:t>: to instruct TSAG to reinstate the TSAG Rapporteur Group on Creation, Participation and Termination of Regional Groups (RG-CPTRG).</w:t>
      </w:r>
    </w:p>
    <w:p w14:paraId="5DD61881" w14:textId="77777777" w:rsidR="00363973" w:rsidRPr="00380B40" w:rsidRDefault="00363973" w:rsidP="009033A7">
      <w:pPr>
        <w:pStyle w:val="Heading4"/>
        <w:rPr>
          <w:lang w:val="en-GB"/>
        </w:rPr>
      </w:pPr>
      <w:r w:rsidRPr="00380B40">
        <w:rPr>
          <w:lang w:val="en-GB"/>
        </w:rPr>
        <w:br w:type="page"/>
      </w:r>
    </w:p>
    <w:p w14:paraId="7976EEDE" w14:textId="77777777" w:rsidR="009033A7" w:rsidRPr="00380B40" w:rsidRDefault="009033A7" w:rsidP="009033A7">
      <w:pPr>
        <w:pStyle w:val="Heading4"/>
        <w:rPr>
          <w:lang w:val="en-GB"/>
        </w:rPr>
      </w:pPr>
      <w:r w:rsidRPr="00380B40">
        <w:rPr>
          <w:lang w:val="en-GB"/>
        </w:rPr>
        <w:t>2.2.6.4</w:t>
      </w:r>
      <w:r w:rsidRPr="00380B40">
        <w:rPr>
          <w:lang w:val="en-GB"/>
        </w:rPr>
        <w:tab/>
        <w:t xml:space="preserve">Draft new Resolution </w:t>
      </w:r>
      <w:r w:rsidR="00363973" w:rsidRPr="00380B40">
        <w:rPr>
          <w:lang w:val="en-GB"/>
        </w:rPr>
        <w:t>–</w:t>
      </w:r>
      <w:r w:rsidRPr="00380B40">
        <w:rPr>
          <w:lang w:val="en-GB"/>
        </w:rPr>
        <w:t xml:space="preserve"> Smart Submarine Cable Systems</w:t>
      </w:r>
    </w:p>
    <w:p w14:paraId="62B6AAF7" w14:textId="77777777" w:rsidR="009033A7" w:rsidRPr="00380B40" w:rsidRDefault="009033A7" w:rsidP="009033A7">
      <w:pPr>
        <w:rPr>
          <w:lang w:val="en-GB"/>
        </w:rPr>
      </w:pPr>
      <w:r w:rsidRPr="00380B40">
        <w:rPr>
          <w:lang w:val="en-GB"/>
        </w:rPr>
        <w:t>There was a general agreement on the importance of the topic, but there was no consensus that this requires a new Resolution. The meeting agreed to consider the operational instructions as quoted below, found in the draft new Resolution (</w:t>
      </w:r>
      <w:hyperlink r:id="rId911" w:history="1">
        <w:r w:rsidRPr="00380B40">
          <w:rPr>
            <w:rStyle w:val="Hyperlink"/>
            <w:lang w:val="en-GB"/>
          </w:rPr>
          <w:t>DT/76</w:t>
        </w:r>
      </w:hyperlink>
      <w:r w:rsidRPr="00380B40">
        <w:rPr>
          <w:lang w:val="en-GB"/>
        </w:rPr>
        <w:t xml:space="preserve">). </w:t>
      </w:r>
    </w:p>
    <w:p w14:paraId="14C9AA5D" w14:textId="77777777" w:rsidR="009033A7" w:rsidRPr="00380B40" w:rsidRDefault="00363973" w:rsidP="00363973">
      <w:pPr>
        <w:pStyle w:val="enumlev1"/>
        <w:rPr>
          <w:lang w:val="en-GB"/>
        </w:rPr>
      </w:pPr>
      <w:r w:rsidRPr="00380B40">
        <w:rPr>
          <w:lang w:val="en-GB"/>
        </w:rPr>
        <w:t>–</w:t>
      </w:r>
      <w:r w:rsidRPr="00380B40">
        <w:rPr>
          <w:lang w:val="en-GB"/>
        </w:rPr>
        <w:tab/>
      </w:r>
      <w:r w:rsidR="009033A7" w:rsidRPr="00380B40">
        <w:rPr>
          <w:b/>
          <w:bCs/>
          <w:lang w:val="en-GB"/>
        </w:rPr>
        <w:t>Action for Plenary 7</w:t>
      </w:r>
      <w:r w:rsidR="009033A7" w:rsidRPr="00380B40">
        <w:rPr>
          <w:lang w:val="en-GB"/>
        </w:rPr>
        <w:t xml:space="preserve">: to include the text on </w:t>
      </w:r>
      <w:r w:rsidR="00F82355" w:rsidRPr="00380B40">
        <w:rPr>
          <w:lang w:val="en-GB"/>
        </w:rPr>
        <w:t>"</w:t>
      </w:r>
      <w:r w:rsidR="009033A7" w:rsidRPr="00380B40">
        <w:rPr>
          <w:lang w:val="en-GB"/>
        </w:rPr>
        <w:t>SMART Submarine Cable Systems</w:t>
      </w:r>
      <w:r w:rsidR="00F82355" w:rsidRPr="00380B40">
        <w:rPr>
          <w:lang w:val="en-GB"/>
        </w:rPr>
        <w:t>"</w:t>
      </w:r>
      <w:r w:rsidR="009033A7" w:rsidRPr="00380B40">
        <w:rPr>
          <w:lang w:val="en-GB"/>
        </w:rPr>
        <w:t>, found below, in the meeting report of WTSA-20 and to forward it to TSAG for coordination and to the relevant Study Groups for action, as appropriate.</w:t>
      </w:r>
    </w:p>
    <w:p w14:paraId="17996317" w14:textId="77777777" w:rsidR="009033A7" w:rsidRPr="00380B40" w:rsidRDefault="009033A7" w:rsidP="009033A7">
      <w:pPr>
        <w:rPr>
          <w:b/>
          <w:bCs/>
          <w:i/>
          <w:iCs/>
          <w:lang w:val="en-GB"/>
        </w:rPr>
      </w:pPr>
      <w:r w:rsidRPr="00380B40">
        <w:rPr>
          <w:b/>
          <w:bCs/>
          <w:i/>
          <w:iCs/>
          <w:lang w:val="en-GB"/>
        </w:rPr>
        <w:t xml:space="preserve">SMART Submarine Cable Systems </w:t>
      </w:r>
      <w:r w:rsidR="00363973" w:rsidRPr="00380B40">
        <w:rPr>
          <w:lang w:val="en-GB"/>
        </w:rPr>
        <w:t>–</w:t>
      </w:r>
      <w:r w:rsidRPr="00380B40">
        <w:rPr>
          <w:b/>
          <w:bCs/>
          <w:i/>
          <w:iCs/>
          <w:lang w:val="en-GB"/>
        </w:rPr>
        <w:t xml:space="preserve"> Statement to be included in WTSA-20 final report</w:t>
      </w:r>
    </w:p>
    <w:p w14:paraId="727B30C2" w14:textId="77777777" w:rsidR="009033A7" w:rsidRPr="00380B40" w:rsidRDefault="009033A7" w:rsidP="009033A7">
      <w:pPr>
        <w:rPr>
          <w:i/>
          <w:iCs/>
          <w:lang w:val="en-GB"/>
        </w:rPr>
      </w:pPr>
      <w:r w:rsidRPr="00380B40">
        <w:rPr>
          <w:i/>
          <w:iCs/>
          <w:lang w:val="en-GB"/>
        </w:rPr>
        <w:t>Taking into consideration that the Assembly acknowledged the importance of SMART (Science Monitoring And Reliable Telecommunications) Cables for, inter alia, climate change and seismic monitoring, and the wide support of the Assembly for the roll-out of activities around this concept within ITU-T sector;</w:t>
      </w:r>
    </w:p>
    <w:p w14:paraId="7B0A86A6" w14:textId="77777777" w:rsidR="009033A7" w:rsidRPr="00380B40" w:rsidRDefault="009033A7" w:rsidP="009033A7">
      <w:pPr>
        <w:rPr>
          <w:i/>
          <w:iCs/>
          <w:lang w:val="en-GB"/>
        </w:rPr>
      </w:pPr>
      <w:r w:rsidRPr="00380B40">
        <w:rPr>
          <w:i/>
          <w:iCs/>
          <w:lang w:val="en-GB"/>
        </w:rPr>
        <w:t>Considering that standardisation of the submarine SMART cables is needed in order to ensure harmonized development, implementation and operation of these systems globally, making it possible to use submarine SMART cables for, inter alia, climate and ocean observation, sea level monitoring, observations of Earth structure, and tsunami and earthquake early warning and disaster risk reduction;</w:t>
      </w:r>
    </w:p>
    <w:p w14:paraId="5DDC7807" w14:textId="77777777" w:rsidR="009033A7" w:rsidRPr="00380B40" w:rsidRDefault="00363973" w:rsidP="00363973">
      <w:pPr>
        <w:pStyle w:val="enumlev1"/>
        <w:rPr>
          <w:i/>
          <w:iCs/>
          <w:lang w:val="en-GB"/>
        </w:rPr>
      </w:pPr>
      <w:r w:rsidRPr="00380B40">
        <w:rPr>
          <w:lang w:val="en-GB"/>
        </w:rPr>
        <w:t>–</w:t>
      </w:r>
      <w:r w:rsidRPr="00380B40">
        <w:rPr>
          <w:lang w:val="en-GB"/>
        </w:rPr>
        <w:tab/>
      </w:r>
      <w:r w:rsidR="009033A7" w:rsidRPr="00380B40">
        <w:rPr>
          <w:b/>
          <w:bCs/>
          <w:lang w:val="en-GB"/>
        </w:rPr>
        <w:t>Action for Plenary 8</w:t>
      </w:r>
      <w:r w:rsidR="009033A7" w:rsidRPr="00380B40">
        <w:rPr>
          <w:lang w:val="en-GB"/>
        </w:rPr>
        <w:t>: The Plenary is invited to consider the following:</w:t>
      </w:r>
    </w:p>
    <w:p w14:paraId="6DF589C5" w14:textId="77777777" w:rsidR="009033A7" w:rsidRPr="00380B40" w:rsidRDefault="009033A7" w:rsidP="009033A7">
      <w:pPr>
        <w:rPr>
          <w:i/>
          <w:iCs/>
          <w:lang w:val="en-GB"/>
        </w:rPr>
      </w:pPr>
      <w:r w:rsidRPr="00380B40">
        <w:rPr>
          <w:i/>
          <w:iCs/>
          <w:lang w:val="en-GB"/>
        </w:rPr>
        <w:t xml:space="preserve">WTSA instructs ITU-T Study Groups to study the concept of SMART cables and encourage further consideration of related issues that impact the feasibility of related projects and the deployment of SMART cables, invites the Study Groups to report on their activities to TSAG as part of their regular reporting; </w:t>
      </w:r>
    </w:p>
    <w:p w14:paraId="7FB3339D" w14:textId="77777777" w:rsidR="009033A7" w:rsidRPr="00380B40" w:rsidRDefault="00363973" w:rsidP="00363973">
      <w:pPr>
        <w:pStyle w:val="enumlev1"/>
        <w:rPr>
          <w:i/>
          <w:iCs/>
          <w:lang w:val="en-GB"/>
        </w:rPr>
      </w:pPr>
      <w:r w:rsidRPr="00380B40">
        <w:rPr>
          <w:lang w:val="en-GB"/>
        </w:rPr>
        <w:t>–</w:t>
      </w:r>
      <w:r w:rsidRPr="00380B40">
        <w:rPr>
          <w:lang w:val="en-GB"/>
        </w:rPr>
        <w:tab/>
      </w:r>
      <w:r w:rsidR="009033A7" w:rsidRPr="00380B40">
        <w:rPr>
          <w:b/>
          <w:bCs/>
          <w:lang w:val="en-GB"/>
        </w:rPr>
        <w:t>Action for Plenary 9</w:t>
      </w:r>
      <w:r w:rsidR="009033A7" w:rsidRPr="00380B40">
        <w:rPr>
          <w:lang w:val="en-GB"/>
        </w:rPr>
        <w:t>: The Plenary is invited to consider the following:</w:t>
      </w:r>
    </w:p>
    <w:p w14:paraId="18D0015A" w14:textId="77777777" w:rsidR="009033A7" w:rsidRPr="00380B40" w:rsidRDefault="009033A7" w:rsidP="009033A7">
      <w:pPr>
        <w:rPr>
          <w:i/>
          <w:iCs/>
          <w:lang w:val="en-GB"/>
        </w:rPr>
      </w:pPr>
      <w:r w:rsidRPr="00380B40">
        <w:rPr>
          <w:i/>
          <w:iCs/>
          <w:lang w:val="en-GB"/>
        </w:rPr>
        <w:t>WTSA instructs the Director of the Telecommunication Standardization Bureau to liase with JTF SMART Cables, other standards development organizations (SDOs), research institutes and other organizations and stakeholders to exploit synergies and avoid duplication of efforts among such organizations;</w:t>
      </w:r>
    </w:p>
    <w:p w14:paraId="7ED0A226" w14:textId="77777777" w:rsidR="009033A7" w:rsidRPr="00380B40" w:rsidRDefault="00363973" w:rsidP="00363973">
      <w:pPr>
        <w:pStyle w:val="enumlev1"/>
        <w:rPr>
          <w:i/>
          <w:iCs/>
          <w:lang w:val="en-GB"/>
        </w:rPr>
      </w:pPr>
      <w:r w:rsidRPr="00380B40">
        <w:rPr>
          <w:lang w:val="en-GB"/>
        </w:rPr>
        <w:t>–</w:t>
      </w:r>
      <w:r w:rsidRPr="00380B40">
        <w:rPr>
          <w:lang w:val="en-GB"/>
        </w:rPr>
        <w:tab/>
      </w:r>
      <w:r w:rsidR="009033A7" w:rsidRPr="00380B40">
        <w:rPr>
          <w:b/>
          <w:bCs/>
          <w:lang w:val="en-GB"/>
        </w:rPr>
        <w:t>Action for Plenary 10</w:t>
      </w:r>
      <w:r w:rsidR="009033A7" w:rsidRPr="00380B40">
        <w:rPr>
          <w:lang w:val="en-GB"/>
        </w:rPr>
        <w:t>: The Plenary is invited to consider the following:</w:t>
      </w:r>
    </w:p>
    <w:p w14:paraId="24E97E72" w14:textId="77777777" w:rsidR="009033A7" w:rsidRPr="00380B40" w:rsidRDefault="009033A7" w:rsidP="009033A7">
      <w:pPr>
        <w:rPr>
          <w:i/>
          <w:iCs/>
          <w:lang w:val="en-GB"/>
        </w:rPr>
      </w:pPr>
      <w:r w:rsidRPr="00380B40">
        <w:rPr>
          <w:i/>
          <w:iCs/>
          <w:lang w:val="en-GB"/>
        </w:rPr>
        <w:t>WTSA invites the Secretary-General to continue to cooperate and collaborate with other entities within the United Nations in formulating future international efforts related to SMART cables as they contribute to the achievement of the goals of the 2030 Agenda for Sustainable Development; and</w:t>
      </w:r>
    </w:p>
    <w:p w14:paraId="2CA4B1F5" w14:textId="77777777" w:rsidR="009033A7" w:rsidRPr="00380B40" w:rsidRDefault="00363973" w:rsidP="00363973">
      <w:pPr>
        <w:pStyle w:val="enumlev1"/>
        <w:rPr>
          <w:i/>
          <w:iCs/>
          <w:lang w:val="en-GB"/>
        </w:rPr>
      </w:pPr>
      <w:r w:rsidRPr="00380B40">
        <w:rPr>
          <w:lang w:val="en-GB"/>
        </w:rPr>
        <w:t>–</w:t>
      </w:r>
      <w:r w:rsidRPr="00380B40">
        <w:rPr>
          <w:lang w:val="en-GB"/>
        </w:rPr>
        <w:tab/>
      </w:r>
      <w:r w:rsidR="009033A7" w:rsidRPr="00380B40">
        <w:rPr>
          <w:b/>
          <w:bCs/>
          <w:lang w:val="en-GB"/>
        </w:rPr>
        <w:t>Action for Plenary 11</w:t>
      </w:r>
      <w:r w:rsidR="009033A7" w:rsidRPr="00380B40">
        <w:rPr>
          <w:lang w:val="en-GB"/>
        </w:rPr>
        <w:t>: The Plenary is invited to consider the following:</w:t>
      </w:r>
    </w:p>
    <w:p w14:paraId="454BD5FA" w14:textId="77777777" w:rsidR="009033A7" w:rsidRPr="00380B40" w:rsidRDefault="009033A7" w:rsidP="009033A7">
      <w:pPr>
        <w:rPr>
          <w:i/>
          <w:iCs/>
          <w:lang w:val="en-GB"/>
        </w:rPr>
      </w:pPr>
      <w:r w:rsidRPr="00380B40">
        <w:rPr>
          <w:i/>
          <w:iCs/>
          <w:lang w:val="en-GB"/>
        </w:rPr>
        <w:t>Finally, Member States, Sector Members and Associates are invited to contribute actively to the work of the JTF SMART Cables.</w:t>
      </w:r>
    </w:p>
    <w:p w14:paraId="095CA6B9" w14:textId="77777777" w:rsidR="00987626" w:rsidRPr="00380B40" w:rsidRDefault="00987626" w:rsidP="009033A7">
      <w:pPr>
        <w:rPr>
          <w:i/>
          <w:iCs/>
          <w:lang w:val="en-GB"/>
        </w:rPr>
      </w:pPr>
      <w:r w:rsidRPr="00380B40">
        <w:rPr>
          <w:i/>
          <w:iCs/>
          <w:lang w:val="en-GB"/>
        </w:rPr>
        <w:br w:type="page"/>
      </w:r>
    </w:p>
    <w:p w14:paraId="4274C4F3" w14:textId="77777777" w:rsidR="009033A7" w:rsidRPr="00380B40" w:rsidRDefault="009033A7" w:rsidP="009033A7">
      <w:pPr>
        <w:pStyle w:val="Heading4"/>
        <w:rPr>
          <w:lang w:val="en-GB"/>
        </w:rPr>
      </w:pPr>
      <w:r w:rsidRPr="00380B40">
        <w:rPr>
          <w:lang w:val="en-GB"/>
        </w:rPr>
        <w:t>2.2.6.5</w:t>
      </w:r>
      <w:r w:rsidRPr="00380B40">
        <w:rPr>
          <w:lang w:val="en-GB"/>
        </w:rPr>
        <w:tab/>
        <w:t>Draft new Resolution on AI</w:t>
      </w:r>
    </w:p>
    <w:p w14:paraId="14B46B88" w14:textId="77777777" w:rsidR="009033A7" w:rsidRPr="00380B40" w:rsidRDefault="009033A7" w:rsidP="009033A7">
      <w:pPr>
        <w:rPr>
          <w:lang w:val="en-GB"/>
        </w:rPr>
      </w:pPr>
      <w:r w:rsidRPr="00380B40">
        <w:rPr>
          <w:lang w:val="en-GB"/>
        </w:rPr>
        <w:t>The ad-hoc group on this issue could not reach a consensus on the text of the draft new Resolution on AI (DT/52).</w:t>
      </w:r>
    </w:p>
    <w:p w14:paraId="688DFE4B" w14:textId="77777777" w:rsidR="009033A7" w:rsidRPr="00380B40" w:rsidRDefault="00363973" w:rsidP="00363973">
      <w:pPr>
        <w:pStyle w:val="enumlev1"/>
        <w:rPr>
          <w:lang w:val="en-GB"/>
        </w:rPr>
      </w:pPr>
      <w:r w:rsidRPr="00380B40">
        <w:rPr>
          <w:lang w:val="en-GB"/>
        </w:rPr>
        <w:t>–</w:t>
      </w:r>
      <w:r w:rsidRPr="00380B40">
        <w:rPr>
          <w:lang w:val="en-GB"/>
        </w:rPr>
        <w:tab/>
      </w:r>
      <w:r w:rsidR="009033A7" w:rsidRPr="00380B40">
        <w:rPr>
          <w:b/>
          <w:bCs/>
          <w:lang w:val="en-GB"/>
        </w:rPr>
        <w:t>Action for Plenary 12</w:t>
      </w:r>
      <w:r w:rsidR="009033A7" w:rsidRPr="00380B40">
        <w:rPr>
          <w:lang w:val="en-GB"/>
        </w:rPr>
        <w:t>: to consider the draft new Resolution on AI (DT/</w:t>
      </w:r>
      <w:hyperlink r:id="rId912" w:history="1">
        <w:r w:rsidR="009033A7" w:rsidRPr="00380B40">
          <w:rPr>
            <w:rStyle w:val="Hyperlink"/>
            <w:lang w:val="en-GB"/>
          </w:rPr>
          <w:t>52</w:t>
        </w:r>
      </w:hyperlink>
      <w:r w:rsidR="009033A7" w:rsidRPr="00380B40">
        <w:rPr>
          <w:lang w:val="en-GB"/>
        </w:rPr>
        <w:t>) which is sent to the WTSA Plenary for decision.</w:t>
      </w:r>
    </w:p>
    <w:p w14:paraId="2A6184CC" w14:textId="77777777" w:rsidR="009033A7" w:rsidRPr="00380B40" w:rsidRDefault="009033A7" w:rsidP="009033A7">
      <w:pPr>
        <w:rPr>
          <w:lang w:val="en-GB"/>
        </w:rPr>
      </w:pPr>
      <w:r w:rsidRPr="00380B40">
        <w:rPr>
          <w:lang w:val="en-GB"/>
        </w:rPr>
        <w:t>It was also mentioned that the consensus on this topic, at COM4 level, is as follows:</w:t>
      </w:r>
    </w:p>
    <w:p w14:paraId="7A30621E" w14:textId="77777777" w:rsidR="009033A7" w:rsidRPr="00380B40" w:rsidRDefault="00363973" w:rsidP="00363973">
      <w:pPr>
        <w:rPr>
          <w:i/>
          <w:iCs/>
          <w:lang w:val="en-GB" w:bidi="ar-EG"/>
        </w:rPr>
      </w:pPr>
      <w:r w:rsidRPr="00380B40">
        <w:rPr>
          <w:i/>
          <w:iCs/>
          <w:lang w:val="en-GB" w:bidi="ar-EG"/>
        </w:rPr>
        <w:t>1)</w:t>
      </w:r>
      <w:r w:rsidRPr="00380B40">
        <w:rPr>
          <w:i/>
          <w:iCs/>
          <w:lang w:val="en-GB" w:bidi="ar-EG"/>
        </w:rPr>
        <w:tab/>
      </w:r>
      <w:r w:rsidR="009033A7" w:rsidRPr="00380B40">
        <w:rPr>
          <w:i/>
          <w:iCs/>
          <w:lang w:val="en-GB" w:bidi="ar-EG"/>
        </w:rPr>
        <w:t xml:space="preserve">The Ad hoc Group discussed in detail contribution </w:t>
      </w:r>
      <w:hyperlink r:id="rId913" w:history="1">
        <w:r w:rsidR="009033A7" w:rsidRPr="00380B40">
          <w:rPr>
            <w:rStyle w:val="Hyperlink"/>
            <w:i/>
            <w:iCs/>
            <w:lang w:val="en-GB" w:bidi="ar-EG"/>
          </w:rPr>
          <w:t>ARB/36A30/1</w:t>
        </w:r>
      </w:hyperlink>
      <w:r w:rsidR="009033A7" w:rsidRPr="00380B40">
        <w:rPr>
          <w:i/>
          <w:iCs/>
          <w:lang w:val="en-GB" w:bidi="ar-EG"/>
        </w:rPr>
        <w:t xml:space="preserve"> which proposes a new draft Resolution on AI (See below which contains a revised version of the draft resolution that was a result of the discussions). The draft resolution contains several unresolved matters indicated in [], including the entire draft resolution being in []. There was no consensus on a Draft AI resolution in the Ad hoc Group and the matter was referred back to COM 4.</w:t>
      </w:r>
    </w:p>
    <w:p w14:paraId="2D311B33" w14:textId="77777777" w:rsidR="009033A7" w:rsidRPr="00380B40" w:rsidRDefault="00363973" w:rsidP="00363973">
      <w:pPr>
        <w:rPr>
          <w:i/>
          <w:iCs/>
          <w:lang w:val="en-GB" w:bidi="ar-EG"/>
        </w:rPr>
      </w:pPr>
      <w:r w:rsidRPr="00380B40">
        <w:rPr>
          <w:i/>
          <w:iCs/>
          <w:lang w:val="en-GB" w:bidi="ar-EG"/>
        </w:rPr>
        <w:t>2)</w:t>
      </w:r>
      <w:r w:rsidRPr="00380B40">
        <w:rPr>
          <w:i/>
          <w:iCs/>
          <w:lang w:val="en-GB" w:bidi="ar-EG"/>
        </w:rPr>
        <w:tab/>
      </w:r>
      <w:r w:rsidR="009033A7" w:rsidRPr="00380B40">
        <w:rPr>
          <w:i/>
          <w:iCs/>
          <w:lang w:val="en-GB" w:bidi="ar-EG"/>
        </w:rPr>
        <w:t>They also recognize that a broad discussion that encompasses the work of all three sectors will allow for a more comprehensive approach to the topic, so they could undertake a discussion on this topic at the upcoming PP-2022, based on any eventual contributions.</w:t>
      </w:r>
    </w:p>
    <w:p w14:paraId="4FED4892" w14:textId="77777777" w:rsidR="009033A7" w:rsidRPr="00380B40" w:rsidRDefault="00363973" w:rsidP="00363973">
      <w:pPr>
        <w:rPr>
          <w:i/>
          <w:iCs/>
          <w:lang w:val="en-GB" w:bidi="ar-EG"/>
        </w:rPr>
      </w:pPr>
      <w:r w:rsidRPr="00380B40">
        <w:rPr>
          <w:i/>
          <w:iCs/>
          <w:lang w:val="en-GB" w:bidi="ar-EG"/>
        </w:rPr>
        <w:t>3)</w:t>
      </w:r>
      <w:r w:rsidRPr="00380B40">
        <w:rPr>
          <w:i/>
          <w:iCs/>
          <w:lang w:val="en-GB" w:bidi="ar-EG"/>
        </w:rPr>
        <w:tab/>
      </w:r>
      <w:r w:rsidR="009033A7" w:rsidRPr="00380B40">
        <w:rPr>
          <w:i/>
          <w:iCs/>
          <w:lang w:val="en-GB" w:bidi="ar-EG"/>
        </w:rPr>
        <w:t>They recognize that several ITU-T Study Groups already have existing work on technical matters in the Standardization Sector and therefore a reflection of AI under the mandates of various Study groups as listed in Resolution 2 (ITU Telecommunication Standardization Sector study group responsibility and mandates) is a recognition of the role that AI-enabled services play in relation to Telecommunications/ICTs.</w:t>
      </w:r>
    </w:p>
    <w:p w14:paraId="5D05E918" w14:textId="77777777" w:rsidR="009033A7" w:rsidRPr="00380B40" w:rsidRDefault="00363973" w:rsidP="00363973">
      <w:pPr>
        <w:rPr>
          <w:i/>
          <w:iCs/>
          <w:lang w:val="en-GB" w:bidi="ar-EG"/>
        </w:rPr>
      </w:pPr>
      <w:r w:rsidRPr="00380B40">
        <w:rPr>
          <w:i/>
          <w:iCs/>
          <w:lang w:val="en-GB" w:bidi="ar-EG"/>
        </w:rPr>
        <w:t>4)</w:t>
      </w:r>
      <w:r w:rsidRPr="00380B40">
        <w:rPr>
          <w:i/>
          <w:iCs/>
          <w:lang w:val="en-GB" w:bidi="ar-EG"/>
        </w:rPr>
        <w:tab/>
      </w:r>
      <w:r w:rsidR="009033A7" w:rsidRPr="00380B40">
        <w:rPr>
          <w:i/>
          <w:iCs/>
          <w:lang w:val="en-GB" w:bidi="ar-EG"/>
        </w:rPr>
        <w:t>It is recognized that ITU-T is already undertaking studies related to AI, including, but not limited to, the studies at ITU-T Study Group 2, ITU-T Study Group 5, ITU-T Study Group 13, ITU-T Study Group 16, and ITU-T Study Group 20; as well as ITU-T Focus Group on "Artificial Intelligence (AI) and Internet of Things (IoT) for Digital Agriculture" (FG-AI4A), ITU-T Focus Group on "Environmental Efficiency for Artificial Intelligence and other Emerging Technologies" (FG-AI4EE, ITU-T Focus Group on "Artificial Intelligence for Health" (FG-AI4H), ITU-T Focus Group on AI for Natural Disaster Management (FG-AI4NDM), ITU-T Focus Group on AI for autonomous and assisted driving (FG-AI4AD);</w:t>
      </w:r>
    </w:p>
    <w:p w14:paraId="46CC38AD" w14:textId="77777777" w:rsidR="009033A7" w:rsidRPr="00380B40" w:rsidRDefault="00363973" w:rsidP="00363973">
      <w:pPr>
        <w:rPr>
          <w:lang w:val="en-GB" w:bidi="ar-EG"/>
        </w:rPr>
      </w:pPr>
      <w:r w:rsidRPr="00380B40">
        <w:rPr>
          <w:i/>
          <w:iCs/>
          <w:lang w:val="en-GB" w:bidi="ar-EG"/>
        </w:rPr>
        <w:t>5)</w:t>
      </w:r>
      <w:r w:rsidRPr="00380B40">
        <w:rPr>
          <w:i/>
          <w:iCs/>
          <w:lang w:val="en-GB" w:bidi="ar-EG"/>
        </w:rPr>
        <w:tab/>
      </w:r>
      <w:r w:rsidR="009033A7" w:rsidRPr="00380B40">
        <w:rPr>
          <w:i/>
          <w:iCs/>
          <w:lang w:val="en-GB" w:bidi="ar-EG"/>
        </w:rPr>
        <w:t>In order to give further predictability and support to the relevant study groups, COM 4 is invited to consider inclusion of relevant aspects related to artificial intelligence and machine learning in the draft Resolution 2 and other relevant resolutions.</w:t>
      </w:r>
    </w:p>
    <w:p w14:paraId="23A72176" w14:textId="77777777" w:rsidR="009033A7" w:rsidRPr="00380B40" w:rsidRDefault="009033A7" w:rsidP="009033A7">
      <w:pPr>
        <w:pStyle w:val="Heading4"/>
        <w:rPr>
          <w:lang w:val="en-GB"/>
        </w:rPr>
      </w:pPr>
      <w:r w:rsidRPr="00380B40">
        <w:rPr>
          <w:lang w:val="en-GB"/>
        </w:rPr>
        <w:t>2.2.6.6</w:t>
      </w:r>
      <w:r w:rsidRPr="00380B40">
        <w:rPr>
          <w:lang w:val="en-GB"/>
        </w:rPr>
        <w:tab/>
        <w:t xml:space="preserve">Draft NEW Resolution [ARB-4] </w:t>
      </w:r>
      <w:r w:rsidR="00363973" w:rsidRPr="00380B40">
        <w:rPr>
          <w:lang w:val="en-GB"/>
        </w:rPr>
        <w:t>–</w:t>
      </w:r>
      <w:r w:rsidRPr="00380B40">
        <w:rPr>
          <w:lang w:val="en-GB"/>
        </w:rPr>
        <w:t xml:space="preserve"> Development of non radio aspects of Open Networks including Standardization of Open Access Networks</w:t>
      </w:r>
    </w:p>
    <w:p w14:paraId="5DBB72D3" w14:textId="77777777" w:rsidR="009033A7" w:rsidRPr="00380B40" w:rsidRDefault="009033A7" w:rsidP="009033A7">
      <w:pPr>
        <w:rPr>
          <w:lang w:val="en-GB"/>
        </w:rPr>
      </w:pPr>
      <w:r w:rsidRPr="00380B40">
        <w:rPr>
          <w:lang w:val="en-GB"/>
        </w:rPr>
        <w:t>There was a general agreement on the importance of the topic, but there was no consensus that this requires a new Resolution. The meeting agreed to include the following consideration on this topic in the meeting report of WTSA-20. This is reflected in the amendments of Resolution 92.</w:t>
      </w:r>
    </w:p>
    <w:p w14:paraId="7B30E303" w14:textId="77777777" w:rsidR="00987626" w:rsidRPr="00380B40" w:rsidRDefault="00987626" w:rsidP="00363973">
      <w:pPr>
        <w:pStyle w:val="enumlev1"/>
        <w:rPr>
          <w:lang w:val="en-GB"/>
        </w:rPr>
      </w:pPr>
      <w:r w:rsidRPr="00380B40">
        <w:rPr>
          <w:lang w:val="en-GB"/>
        </w:rPr>
        <w:br w:type="page"/>
      </w:r>
    </w:p>
    <w:p w14:paraId="1D81EC8B" w14:textId="77777777" w:rsidR="009033A7" w:rsidRPr="00380B40" w:rsidRDefault="00363973" w:rsidP="00363973">
      <w:pPr>
        <w:pStyle w:val="enumlev1"/>
        <w:rPr>
          <w:lang w:val="en-GB"/>
        </w:rPr>
      </w:pPr>
      <w:r w:rsidRPr="00380B40">
        <w:rPr>
          <w:lang w:val="en-GB"/>
        </w:rPr>
        <w:t>–</w:t>
      </w:r>
      <w:r w:rsidRPr="00380B40">
        <w:rPr>
          <w:lang w:val="en-GB"/>
        </w:rPr>
        <w:tab/>
      </w:r>
      <w:r w:rsidR="009033A7" w:rsidRPr="00380B40">
        <w:rPr>
          <w:b/>
          <w:bCs/>
          <w:lang w:val="en-GB"/>
        </w:rPr>
        <w:t>Action for Plenary 13</w:t>
      </w:r>
      <w:r w:rsidR="009033A7" w:rsidRPr="00380B40">
        <w:rPr>
          <w:lang w:val="en-GB"/>
        </w:rPr>
        <w:t xml:space="preserve">: to include the considerations on </w:t>
      </w:r>
      <w:r w:rsidR="00F82355" w:rsidRPr="00380B40">
        <w:rPr>
          <w:lang w:val="en-GB"/>
        </w:rPr>
        <w:t>"</w:t>
      </w:r>
      <w:r w:rsidR="009033A7" w:rsidRPr="00380B40">
        <w:rPr>
          <w:lang w:val="en-GB"/>
        </w:rPr>
        <w:t>non radio aspects of Open Networks including Standardization of Open Access Networks</w:t>
      </w:r>
      <w:r w:rsidR="00F82355" w:rsidRPr="00380B40">
        <w:rPr>
          <w:lang w:val="en-GB"/>
        </w:rPr>
        <w:t>"</w:t>
      </w:r>
      <w:r w:rsidR="009033A7" w:rsidRPr="00380B40">
        <w:rPr>
          <w:lang w:val="en-GB"/>
        </w:rPr>
        <w:t>, found below, in the meeting report of WTSA-20.</w:t>
      </w:r>
    </w:p>
    <w:p w14:paraId="1C5C4D1E" w14:textId="77777777" w:rsidR="009033A7" w:rsidRPr="00380B40" w:rsidRDefault="009033A7" w:rsidP="009033A7">
      <w:pPr>
        <w:rPr>
          <w:b/>
          <w:bCs/>
          <w:i/>
          <w:iCs/>
          <w:lang w:val="en-GB"/>
        </w:rPr>
      </w:pPr>
      <w:r w:rsidRPr="00380B40">
        <w:rPr>
          <w:b/>
          <w:bCs/>
          <w:lang w:val="en-GB"/>
        </w:rPr>
        <w:t xml:space="preserve">Considerations on </w:t>
      </w:r>
      <w:r w:rsidR="00F82355" w:rsidRPr="00380B40">
        <w:rPr>
          <w:b/>
          <w:bCs/>
          <w:lang w:val="en-GB"/>
        </w:rPr>
        <w:t>"</w:t>
      </w:r>
      <w:r w:rsidRPr="00380B40">
        <w:rPr>
          <w:b/>
          <w:bCs/>
          <w:lang w:val="en-GB"/>
        </w:rPr>
        <w:t>non radio aspects of Open Networks including Standardization of Open Access Networks</w:t>
      </w:r>
      <w:r w:rsidR="00F82355" w:rsidRPr="00380B40">
        <w:rPr>
          <w:b/>
          <w:bCs/>
          <w:lang w:val="en-GB"/>
        </w:rPr>
        <w:t>"</w:t>
      </w:r>
      <w:r w:rsidRPr="00380B40">
        <w:rPr>
          <w:b/>
          <w:bCs/>
          <w:lang w:val="en-GB"/>
        </w:rPr>
        <w:t xml:space="preserve"> </w:t>
      </w:r>
      <w:r w:rsidRPr="00380B40">
        <w:rPr>
          <w:b/>
          <w:bCs/>
          <w:i/>
          <w:iCs/>
          <w:lang w:val="en-GB"/>
        </w:rPr>
        <w:t>- Statement to be included in WTSA-20 final report</w:t>
      </w:r>
    </w:p>
    <w:p w14:paraId="1C07295B" w14:textId="77777777" w:rsidR="009033A7" w:rsidRPr="00380B40" w:rsidRDefault="009033A7" w:rsidP="009033A7">
      <w:pPr>
        <w:rPr>
          <w:i/>
          <w:iCs/>
          <w:lang w:val="en-GB"/>
        </w:rPr>
      </w:pPr>
      <w:r w:rsidRPr="00380B40">
        <w:rPr>
          <w:i/>
          <w:iCs/>
          <w:lang w:val="en-GB"/>
        </w:rPr>
        <w:t>A new resolution proposal was submitted to WTSA 2020 on the development and adoption of open networks including open access networks for IMT systems (e.g. open radio access network) and key aspects of this topic were considered in the context of revisions to WTSA Resolution 92. The proposal emphasized the importance of this topic and the growing interests in promoting such innovative interoperable system components and network elements. In response to ITU resolutions on bridging the digital divide in broadband connectivity, particularly in developing countries, further collaboration is needed to make these technologies readily available in a cost effective manner. WTSA 20 invites members to make proposals on this important topic to WTDC with the objective of promoting the wide adoption of these new technologies and solutions globally.</w:t>
      </w:r>
    </w:p>
    <w:p w14:paraId="59CA370A" w14:textId="77777777" w:rsidR="009033A7" w:rsidRPr="00380B40" w:rsidRDefault="009033A7" w:rsidP="009033A7">
      <w:pPr>
        <w:pStyle w:val="Heading4"/>
        <w:rPr>
          <w:lang w:val="en-GB"/>
        </w:rPr>
      </w:pPr>
      <w:r w:rsidRPr="00380B40">
        <w:rPr>
          <w:lang w:val="en-GB"/>
        </w:rPr>
        <w:t>2.2.6.7</w:t>
      </w:r>
      <w:r w:rsidRPr="00380B40">
        <w:rPr>
          <w:lang w:val="en-GB"/>
        </w:rPr>
        <w:tab/>
        <w:t xml:space="preserve">Resolution 79 (Dubai, 2012) </w:t>
      </w:r>
      <w:r w:rsidR="00363973" w:rsidRPr="00380B40">
        <w:rPr>
          <w:lang w:val="en-GB"/>
        </w:rPr>
        <w:t>–</w:t>
      </w:r>
      <w:r w:rsidRPr="00380B40">
        <w:rPr>
          <w:lang w:val="en-GB"/>
        </w:rPr>
        <w:t xml:space="preserve"> The role of telecommunications/information and communication technologies in handling and controlling e-waste from telecommunication and information technology equipment and methods of treating</w:t>
      </w:r>
      <w:r w:rsidR="00363973" w:rsidRPr="00380B40">
        <w:rPr>
          <w:lang w:val="en-GB"/>
        </w:rPr>
        <w:t> </w:t>
      </w:r>
      <w:r w:rsidRPr="00380B40">
        <w:rPr>
          <w:lang w:val="en-GB"/>
        </w:rPr>
        <w:t>it.</w:t>
      </w:r>
    </w:p>
    <w:p w14:paraId="3DAE5034" w14:textId="77777777" w:rsidR="009033A7" w:rsidRPr="00380B40" w:rsidRDefault="009033A7" w:rsidP="009033A7">
      <w:pPr>
        <w:rPr>
          <w:lang w:val="en-GB"/>
        </w:rPr>
      </w:pPr>
      <w:r w:rsidRPr="00380B40">
        <w:rPr>
          <w:lang w:val="en-GB"/>
        </w:rPr>
        <w:t>The meeting agreed that the consensus on this topic was not yet achieved. It was decided to entertain additional informal consultation to resolve the pending issues and to report to the Plenary for the final decision.</w:t>
      </w:r>
    </w:p>
    <w:p w14:paraId="63479F00" w14:textId="77777777" w:rsidR="009033A7" w:rsidRPr="00380B40" w:rsidRDefault="00363973" w:rsidP="00363973">
      <w:pPr>
        <w:pStyle w:val="enumlev1"/>
        <w:rPr>
          <w:lang w:val="en-GB"/>
        </w:rPr>
      </w:pPr>
      <w:r w:rsidRPr="00380B40">
        <w:rPr>
          <w:lang w:val="en-GB"/>
        </w:rPr>
        <w:t>–</w:t>
      </w:r>
      <w:r w:rsidRPr="00380B40">
        <w:rPr>
          <w:lang w:val="en-GB"/>
        </w:rPr>
        <w:tab/>
      </w:r>
      <w:r w:rsidR="009033A7" w:rsidRPr="00380B40">
        <w:rPr>
          <w:b/>
          <w:bCs/>
          <w:lang w:val="en-GB"/>
        </w:rPr>
        <w:t>Action for Plenary 14</w:t>
      </w:r>
      <w:r w:rsidR="009033A7" w:rsidRPr="00380B40">
        <w:rPr>
          <w:lang w:val="en-GB"/>
        </w:rPr>
        <w:t>: to consider the result of the informal consultation on Resolution 79 for decision on this matter.</w:t>
      </w:r>
    </w:p>
    <w:p w14:paraId="4DABA11C" w14:textId="77777777" w:rsidR="009033A7" w:rsidRPr="00380B40" w:rsidRDefault="009033A7" w:rsidP="009033A7">
      <w:pPr>
        <w:pStyle w:val="Heading4"/>
        <w:rPr>
          <w:lang w:val="en-GB"/>
        </w:rPr>
      </w:pPr>
      <w:r w:rsidRPr="00380B40">
        <w:rPr>
          <w:lang w:val="en-GB"/>
        </w:rPr>
        <w:t>2.2.6.8</w:t>
      </w:r>
      <w:r w:rsidRPr="00380B40">
        <w:rPr>
          <w:lang w:val="en-GB"/>
        </w:rPr>
        <w:tab/>
        <w:t xml:space="preserve">Resolution 96 - (Hammamet, 2016) </w:t>
      </w:r>
      <w:r w:rsidR="00363973" w:rsidRPr="00380B40">
        <w:rPr>
          <w:lang w:val="en-GB"/>
        </w:rPr>
        <w:t>–</w:t>
      </w:r>
      <w:r w:rsidRPr="00380B40">
        <w:rPr>
          <w:lang w:val="en-GB"/>
        </w:rPr>
        <w:t xml:space="preserve"> ITU Telecommunication Standardization Sector studies for combating counterfeit telecommunication/information and communication technology devices</w:t>
      </w:r>
    </w:p>
    <w:p w14:paraId="4C508E68" w14:textId="77777777" w:rsidR="009033A7" w:rsidRPr="00380B40" w:rsidRDefault="009033A7" w:rsidP="00566AA6">
      <w:pPr>
        <w:rPr>
          <w:lang w:val="en-GB"/>
        </w:rPr>
      </w:pPr>
      <w:bookmarkStart w:id="2618" w:name="_Hlk97586830"/>
      <w:r w:rsidRPr="00380B40">
        <w:rPr>
          <w:lang w:val="en-GB"/>
        </w:rPr>
        <w:t xml:space="preserve">The text of Resolution 96 has a clause for which consensus could not be achieved. This is an existing text that was proposed for deletion by two regions (IAP and CEPT). However, the other three regions (ARB, ATU and RCC) strongly object to delete this text, even in part. The clause concerned is: item </w:t>
      </w:r>
      <w:r w:rsidRPr="00380B40">
        <w:rPr>
          <w:i/>
          <w:iCs/>
          <w:lang w:val="en-GB"/>
        </w:rPr>
        <w:t>b)</w:t>
      </w:r>
      <w:r w:rsidRPr="00380B40">
        <w:rPr>
          <w:lang w:val="en-GB"/>
        </w:rPr>
        <w:t xml:space="preserve"> under </w:t>
      </w:r>
      <w:r w:rsidRPr="00380B40">
        <w:rPr>
          <w:i/>
          <w:iCs/>
          <w:lang w:val="en-GB"/>
        </w:rPr>
        <w:t>recognizing further</w:t>
      </w:r>
      <w:r w:rsidRPr="00380B40">
        <w:rPr>
          <w:lang w:val="en-GB"/>
        </w:rPr>
        <w:t>, which is currently in square brackets and is reported to the Plenary for further deliberation. The latest version of Res. 96 is found in DT/</w:t>
      </w:r>
      <w:hyperlink r:id="rId914" w:history="1">
        <w:r w:rsidRPr="00380B40">
          <w:rPr>
            <w:rStyle w:val="Hyperlink"/>
            <w:lang w:val="en-GB"/>
          </w:rPr>
          <w:t>82</w:t>
        </w:r>
      </w:hyperlink>
      <w:r w:rsidRPr="00380B40">
        <w:rPr>
          <w:lang w:val="en-GB"/>
        </w:rPr>
        <w:t>.</w:t>
      </w:r>
    </w:p>
    <w:bookmarkEnd w:id="2618"/>
    <w:p w14:paraId="49740073" w14:textId="77777777" w:rsidR="009033A7" w:rsidRPr="00380B40" w:rsidRDefault="00363973" w:rsidP="00363973">
      <w:pPr>
        <w:pStyle w:val="enumlev1"/>
        <w:rPr>
          <w:lang w:val="en-GB"/>
        </w:rPr>
      </w:pPr>
      <w:r w:rsidRPr="00380B40">
        <w:rPr>
          <w:lang w:val="en-GB"/>
        </w:rPr>
        <w:t>–</w:t>
      </w:r>
      <w:r w:rsidRPr="00380B40">
        <w:rPr>
          <w:lang w:val="en-GB"/>
        </w:rPr>
        <w:tab/>
      </w:r>
      <w:r w:rsidR="009033A7" w:rsidRPr="00380B40">
        <w:rPr>
          <w:b/>
          <w:bCs/>
          <w:lang w:val="en-GB"/>
        </w:rPr>
        <w:t>Action for Plenary 15</w:t>
      </w:r>
      <w:r w:rsidR="009033A7" w:rsidRPr="00380B40">
        <w:rPr>
          <w:lang w:val="en-GB"/>
        </w:rPr>
        <w:t xml:space="preserve">: to consider resolving the clause </w:t>
      </w:r>
      <w:r w:rsidR="009033A7" w:rsidRPr="00380B40">
        <w:rPr>
          <w:i/>
          <w:iCs/>
          <w:lang w:val="en-GB"/>
        </w:rPr>
        <w:t>recognizing further b)</w:t>
      </w:r>
      <w:r w:rsidR="009033A7" w:rsidRPr="00380B40">
        <w:rPr>
          <w:lang w:val="en-GB"/>
        </w:rPr>
        <w:t>, which has square brackets, of revised Resolution 96, which is sent to the Plenary for decision.</w:t>
      </w:r>
    </w:p>
    <w:p w14:paraId="02421F5C" w14:textId="77777777" w:rsidR="00987626" w:rsidRPr="00380B40" w:rsidRDefault="00987626" w:rsidP="00987626">
      <w:pPr>
        <w:rPr>
          <w:lang w:val="en-GB"/>
        </w:rPr>
      </w:pPr>
      <w:r w:rsidRPr="00380B40">
        <w:rPr>
          <w:lang w:val="en-GB"/>
        </w:rPr>
        <w:br w:type="page"/>
      </w:r>
    </w:p>
    <w:p w14:paraId="3DB9CF42" w14:textId="77777777" w:rsidR="009033A7" w:rsidRPr="00380B40" w:rsidRDefault="009033A7" w:rsidP="009033A7">
      <w:pPr>
        <w:pStyle w:val="Heading4"/>
        <w:rPr>
          <w:lang w:val="en-GB"/>
        </w:rPr>
      </w:pPr>
      <w:r w:rsidRPr="00380B40">
        <w:rPr>
          <w:lang w:val="en-GB"/>
        </w:rPr>
        <w:t>2.2.6.9</w:t>
      </w:r>
      <w:r w:rsidRPr="00380B40">
        <w:rPr>
          <w:lang w:val="en-GB"/>
        </w:rPr>
        <w:tab/>
        <w:t xml:space="preserve">Draft new Resolution [RCC-1] </w:t>
      </w:r>
      <w:r w:rsidR="00363973" w:rsidRPr="00380B40">
        <w:rPr>
          <w:lang w:val="en-GB"/>
        </w:rPr>
        <w:t>–</w:t>
      </w:r>
      <w:r w:rsidRPr="00380B40">
        <w:rPr>
          <w:lang w:val="en-GB"/>
        </w:rPr>
        <w:t xml:space="preserve"> Use of hexadecimal numbering for definition of MSISDN and IMSI</w:t>
      </w:r>
    </w:p>
    <w:p w14:paraId="1C50F1B8" w14:textId="77777777" w:rsidR="009033A7" w:rsidRPr="00380B40" w:rsidRDefault="009033A7" w:rsidP="009033A7">
      <w:pPr>
        <w:spacing w:before="240"/>
        <w:rPr>
          <w:szCs w:val="24"/>
          <w:lang w:val="en-GB"/>
        </w:rPr>
      </w:pPr>
      <w:r w:rsidRPr="00380B40">
        <w:rPr>
          <w:szCs w:val="24"/>
          <w:lang w:val="en-GB"/>
        </w:rPr>
        <w:t xml:space="preserve">Regarding </w:t>
      </w:r>
      <w:r w:rsidRPr="00380B40">
        <w:rPr>
          <w:lang w:val="en-GB"/>
        </w:rPr>
        <w:t>Draft new Resolution [RCC-1],</w:t>
      </w:r>
      <w:r w:rsidRPr="00380B40">
        <w:rPr>
          <w:szCs w:val="24"/>
          <w:lang w:val="en-GB"/>
        </w:rPr>
        <w:t xml:space="preserve"> the proposed way forward is to note the contribution (</w:t>
      </w:r>
      <w:hyperlink r:id="rId915" w:history="1">
        <w:r w:rsidRPr="00380B40">
          <w:rPr>
            <w:rStyle w:val="Hyperlink"/>
            <w:szCs w:val="24"/>
            <w:lang w:val="en-GB"/>
          </w:rPr>
          <w:t>RCC/40A18/1</w:t>
        </w:r>
      </w:hyperlink>
      <w:r w:rsidRPr="00380B40">
        <w:rPr>
          <w:szCs w:val="24"/>
          <w:lang w:val="en-GB"/>
        </w:rPr>
        <w:t>) in the WTSA Plenary Report and to request SG2 to conduct research on this topic.</w:t>
      </w:r>
    </w:p>
    <w:p w14:paraId="6855E90C" w14:textId="77777777" w:rsidR="009033A7" w:rsidRPr="00380B40" w:rsidRDefault="00363973" w:rsidP="00363973">
      <w:pPr>
        <w:pStyle w:val="enumlev1"/>
        <w:rPr>
          <w:lang w:val="en-GB"/>
        </w:rPr>
      </w:pPr>
      <w:r w:rsidRPr="00380B40">
        <w:rPr>
          <w:lang w:val="en-GB"/>
        </w:rPr>
        <w:t>–</w:t>
      </w:r>
      <w:r w:rsidRPr="00380B40">
        <w:rPr>
          <w:lang w:val="en-GB"/>
        </w:rPr>
        <w:tab/>
      </w:r>
      <w:r w:rsidR="009033A7" w:rsidRPr="00380B40">
        <w:rPr>
          <w:b/>
          <w:bCs/>
          <w:lang w:val="en-GB"/>
        </w:rPr>
        <w:t>Action for Plenary 16</w:t>
      </w:r>
      <w:r w:rsidR="009033A7" w:rsidRPr="00380B40">
        <w:rPr>
          <w:lang w:val="en-GB"/>
        </w:rPr>
        <w:t>: to note the contribution (</w:t>
      </w:r>
      <w:hyperlink r:id="rId916" w:history="1">
        <w:r w:rsidR="009033A7" w:rsidRPr="00380B40">
          <w:rPr>
            <w:rStyle w:val="Hyperlink"/>
            <w:lang w:val="en-GB"/>
          </w:rPr>
          <w:t>RCC/40A18/1</w:t>
        </w:r>
      </w:hyperlink>
      <w:r w:rsidR="009033A7" w:rsidRPr="00380B40">
        <w:rPr>
          <w:lang w:val="en-GB"/>
        </w:rPr>
        <w:t>) in the WTSA Plenary Report and to instruct ITU-T SG2 to conduct research on this topic.</w:t>
      </w:r>
    </w:p>
    <w:p w14:paraId="42DA5CF5" w14:textId="77777777" w:rsidR="009033A7" w:rsidRPr="00380B40" w:rsidRDefault="009033A7" w:rsidP="009033A7">
      <w:pPr>
        <w:pStyle w:val="Heading1"/>
        <w:rPr>
          <w:szCs w:val="28"/>
          <w:lang w:val="en-GB"/>
        </w:rPr>
      </w:pPr>
      <w:bookmarkStart w:id="2619" w:name="_Toc111637322"/>
      <w:r w:rsidRPr="00380B40">
        <w:rPr>
          <w:szCs w:val="28"/>
          <w:lang w:val="en-GB"/>
        </w:rPr>
        <w:t>3</w:t>
      </w:r>
      <w:r w:rsidRPr="00380B40">
        <w:rPr>
          <w:szCs w:val="28"/>
          <w:lang w:val="en-GB"/>
        </w:rPr>
        <w:tab/>
        <w:t>Any other business</w:t>
      </w:r>
      <w:bookmarkEnd w:id="2619"/>
    </w:p>
    <w:p w14:paraId="4E2CF68C" w14:textId="77777777" w:rsidR="009033A7" w:rsidRPr="00380B40" w:rsidRDefault="009033A7" w:rsidP="009033A7">
      <w:pPr>
        <w:rPr>
          <w:szCs w:val="24"/>
          <w:lang w:val="en-GB"/>
        </w:rPr>
      </w:pPr>
      <w:r w:rsidRPr="00380B40">
        <w:rPr>
          <w:szCs w:val="24"/>
          <w:lang w:val="en-GB"/>
        </w:rPr>
        <w:t xml:space="preserve">A Contribution on </w:t>
      </w:r>
      <w:r w:rsidRPr="00380B40">
        <w:rPr>
          <w:rFonts w:eastAsiaTheme="minorEastAsia" w:cs="Arial"/>
          <w:iCs/>
          <w:szCs w:val="24"/>
          <w:lang w:val="en-GB" w:eastAsia="ja-JP"/>
        </w:rPr>
        <w:t>ITU's role and our vision for ITU-T was received from CEPT (</w:t>
      </w:r>
      <w:hyperlink r:id="rId917" w:history="1">
        <w:r w:rsidRPr="00380B40">
          <w:rPr>
            <w:rStyle w:val="Hyperlink"/>
            <w:szCs w:val="24"/>
            <w:lang w:val="en-GB"/>
          </w:rPr>
          <w:t>EUR/38A1/1</w:t>
        </w:r>
      </w:hyperlink>
      <w:r w:rsidRPr="00380B40">
        <w:rPr>
          <w:rFonts w:eastAsiaTheme="minorEastAsia" w:cs="Arial"/>
          <w:iCs/>
          <w:szCs w:val="24"/>
          <w:lang w:val="en-GB" w:eastAsia="ja-JP"/>
        </w:rPr>
        <w:t>). The meeting noted the Contribution.</w:t>
      </w:r>
    </w:p>
    <w:p w14:paraId="2DFB4701" w14:textId="77777777" w:rsidR="009033A7" w:rsidRPr="00380B40" w:rsidRDefault="009033A7" w:rsidP="009033A7">
      <w:pPr>
        <w:pStyle w:val="Heading1"/>
        <w:rPr>
          <w:szCs w:val="28"/>
          <w:lang w:val="en-GB"/>
        </w:rPr>
      </w:pPr>
      <w:bookmarkStart w:id="2620" w:name="_Toc111637323"/>
      <w:r w:rsidRPr="00380B40">
        <w:rPr>
          <w:szCs w:val="28"/>
          <w:lang w:val="en-GB"/>
        </w:rPr>
        <w:t>4</w:t>
      </w:r>
      <w:r w:rsidRPr="00380B40">
        <w:rPr>
          <w:szCs w:val="28"/>
          <w:lang w:val="en-GB"/>
        </w:rPr>
        <w:tab/>
        <w:t>Acknowledgments</w:t>
      </w:r>
      <w:bookmarkEnd w:id="2620"/>
    </w:p>
    <w:p w14:paraId="1BDFCBA8" w14:textId="77777777" w:rsidR="009033A7" w:rsidRPr="00380B40" w:rsidRDefault="009033A7" w:rsidP="009033A7">
      <w:pPr>
        <w:rPr>
          <w:szCs w:val="24"/>
          <w:lang w:val="en-GB"/>
        </w:rPr>
      </w:pPr>
      <w:r w:rsidRPr="00380B40">
        <w:rPr>
          <w:szCs w:val="24"/>
          <w:lang w:val="en-GB"/>
        </w:rPr>
        <w:t>Committee 4 Chairman expressed his sincere thanks to all the participants and Vice-Chairmen of Committee 4. He also thanked the TSB staff, Ms T. Kurakova, Mr S. Polidori, Mr H. Ota and all other TSB staff involved with the Assembly, including the interpreters and the captioners for their support.</w:t>
      </w:r>
    </w:p>
    <w:p w14:paraId="73949AC9" w14:textId="77777777" w:rsidR="009033A7" w:rsidRPr="00380B40" w:rsidRDefault="009033A7" w:rsidP="009033A7">
      <w:pPr>
        <w:rPr>
          <w:szCs w:val="24"/>
          <w:lang w:val="en-GB"/>
        </w:rPr>
      </w:pPr>
      <w:r w:rsidRPr="00380B40">
        <w:rPr>
          <w:szCs w:val="24"/>
          <w:lang w:val="en-GB"/>
        </w:rPr>
        <w:t>Delegates from Iran, Czech Republic, Ghana, Romania and Canada on behalf of all participants thanked Committee 4 Chairman, Mr Philip Rushton, for his patience, guidance, impartiality and experience, which was commended upon as an example of how meetings in the ITU should be conducted.</w:t>
      </w:r>
    </w:p>
    <w:p w14:paraId="2702F80C" w14:textId="77777777" w:rsidR="00363973" w:rsidRPr="00380B40" w:rsidRDefault="00363973" w:rsidP="009033A7">
      <w:pPr>
        <w:rPr>
          <w:szCs w:val="24"/>
          <w:lang w:val="en-GB"/>
        </w:rPr>
      </w:pPr>
    </w:p>
    <w:p w14:paraId="37F2B4E8" w14:textId="77777777" w:rsidR="00987626" w:rsidRPr="00380B40" w:rsidRDefault="00987626" w:rsidP="009033A7">
      <w:pPr>
        <w:rPr>
          <w:szCs w:val="24"/>
          <w:lang w:val="en-GB"/>
        </w:rPr>
      </w:pPr>
    </w:p>
    <w:p w14:paraId="75130C3C" w14:textId="77777777" w:rsidR="00987626" w:rsidRPr="00380B40" w:rsidRDefault="00987626" w:rsidP="009033A7">
      <w:pPr>
        <w:rPr>
          <w:szCs w:val="24"/>
          <w:lang w:val="en-GB"/>
        </w:rPr>
      </w:pPr>
    </w:p>
    <w:p w14:paraId="76C93F79" w14:textId="77777777" w:rsidR="00987626" w:rsidRPr="00380B40" w:rsidRDefault="00987626" w:rsidP="009033A7">
      <w:pPr>
        <w:rPr>
          <w:szCs w:val="24"/>
          <w:lang w:val="en-GB"/>
        </w:rPr>
      </w:pPr>
    </w:p>
    <w:p w14:paraId="2194F188" w14:textId="77777777" w:rsidR="00987626" w:rsidRPr="00380B40" w:rsidRDefault="00987626" w:rsidP="009033A7">
      <w:pPr>
        <w:rPr>
          <w:szCs w:val="24"/>
          <w:lang w:val="en-GB"/>
        </w:rPr>
      </w:pPr>
    </w:p>
    <w:p w14:paraId="6A02A986" w14:textId="77777777" w:rsidR="00987626" w:rsidRPr="00380B40" w:rsidRDefault="00987626" w:rsidP="009033A7">
      <w:pPr>
        <w:rPr>
          <w:szCs w:val="24"/>
          <w:lang w:val="en-GB"/>
        </w:rPr>
      </w:pPr>
    </w:p>
    <w:p w14:paraId="032E5F96" w14:textId="77777777" w:rsidR="00987626" w:rsidRPr="00380B40" w:rsidRDefault="00987626" w:rsidP="009033A7">
      <w:pPr>
        <w:rPr>
          <w:szCs w:val="24"/>
          <w:lang w:val="en-GB"/>
        </w:rPr>
      </w:pPr>
    </w:p>
    <w:p w14:paraId="2515B22B" w14:textId="77777777" w:rsidR="00987626" w:rsidRPr="00380B40" w:rsidRDefault="00987626" w:rsidP="009033A7">
      <w:pPr>
        <w:rPr>
          <w:szCs w:val="24"/>
          <w:lang w:val="en-GB"/>
        </w:rPr>
      </w:pPr>
    </w:p>
    <w:p w14:paraId="4C60E9B3" w14:textId="77777777" w:rsidR="00363973" w:rsidRPr="00380B40" w:rsidRDefault="00363973" w:rsidP="009033A7">
      <w:pPr>
        <w:rPr>
          <w:szCs w:val="24"/>
          <w:lang w:val="en-GB"/>
        </w:rPr>
      </w:pPr>
    </w:p>
    <w:p w14:paraId="3CF24CD9" w14:textId="77777777" w:rsidR="009033A7" w:rsidRPr="00380B40" w:rsidRDefault="009033A7" w:rsidP="009033A7">
      <w:pPr>
        <w:rPr>
          <w:lang w:val="en-GB"/>
        </w:rPr>
      </w:pPr>
      <w:r w:rsidRPr="00380B40">
        <w:rPr>
          <w:lang w:val="en-GB"/>
        </w:rPr>
        <w:br w:type="page"/>
      </w:r>
    </w:p>
    <w:p w14:paraId="367AEBFC" w14:textId="77777777" w:rsidR="009033A7" w:rsidRPr="00380B40" w:rsidRDefault="00E26914" w:rsidP="00202A50">
      <w:pPr>
        <w:pStyle w:val="Sectiontitlecolor"/>
      </w:pPr>
      <w:bookmarkStart w:id="2621" w:name="_Toc104472200"/>
      <w:bookmarkStart w:id="2622" w:name="_Toc104530928"/>
      <w:bookmarkStart w:id="2623" w:name="_Toc111637324"/>
      <w:bookmarkStart w:id="2624" w:name="_Toc111638561"/>
      <w:r w:rsidRPr="00380B40">
        <w:t xml:space="preserve">Section V-3 </w:t>
      </w:r>
      <w:r w:rsidR="009033A7" w:rsidRPr="00380B40">
        <w:t>– Other reports and documents</w:t>
      </w:r>
      <w:bookmarkEnd w:id="2621"/>
      <w:bookmarkEnd w:id="2622"/>
      <w:bookmarkEnd w:id="2623"/>
      <w:bookmarkEnd w:id="2624"/>
      <w:r w:rsidR="009033A7" w:rsidRPr="00380B40">
        <w:t xml:space="preserve"> </w:t>
      </w:r>
    </w:p>
    <w:p w14:paraId="24BC0382" w14:textId="77777777" w:rsidR="009033A7" w:rsidRPr="00380B40" w:rsidRDefault="009033A7" w:rsidP="009033A7">
      <w:pPr>
        <w:rPr>
          <w:lang w:val="en-GB"/>
        </w:rPr>
      </w:pPr>
    </w:p>
    <w:tbl>
      <w:tblPr>
        <w:tblW w:w="5000" w:type="pct"/>
        <w:jc w:val="center"/>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4080"/>
        <w:tblLayout w:type="fixed"/>
        <w:tblCellMar>
          <w:top w:w="24" w:type="dxa"/>
          <w:left w:w="24" w:type="dxa"/>
          <w:bottom w:w="24" w:type="dxa"/>
          <w:right w:w="24" w:type="dxa"/>
        </w:tblCellMar>
        <w:tblLook w:val="04A0" w:firstRow="1" w:lastRow="0" w:firstColumn="1" w:lastColumn="0" w:noHBand="0" w:noVBand="1"/>
      </w:tblPr>
      <w:tblGrid>
        <w:gridCol w:w="8074"/>
        <w:gridCol w:w="1554"/>
      </w:tblGrid>
      <w:tr w:rsidR="009033A7" w:rsidRPr="00380B40" w14:paraId="4DF144CC" w14:textId="77777777" w:rsidTr="00DE1739">
        <w:trPr>
          <w:tblCellSpacing w:w="6" w:type="dxa"/>
          <w:jc w:val="center"/>
        </w:trPr>
        <w:tc>
          <w:tcPr>
            <w:tcW w:w="8056" w:type="dxa"/>
            <w:shd w:val="clear" w:color="auto" w:fill="FFFFFF"/>
          </w:tcPr>
          <w:p w14:paraId="5BDF4759" w14:textId="77777777" w:rsidR="009033A7" w:rsidRPr="00380B40" w:rsidRDefault="009033A7" w:rsidP="00427615">
            <w:pPr>
              <w:pStyle w:val="Tableheadwhitecentred"/>
              <w:rPr>
                <w:lang w:eastAsia="en-GB"/>
              </w:rPr>
            </w:pPr>
            <w:r w:rsidRPr="00380B40">
              <w:rPr>
                <w:lang w:eastAsia="en-GB"/>
              </w:rPr>
              <w:t>Title of the document</w:t>
            </w:r>
          </w:p>
        </w:tc>
        <w:tc>
          <w:tcPr>
            <w:tcW w:w="1536" w:type="dxa"/>
            <w:shd w:val="clear" w:color="auto" w:fill="FFFFFF"/>
          </w:tcPr>
          <w:p w14:paraId="1FC11938" w14:textId="77777777" w:rsidR="009033A7" w:rsidRPr="00380B40" w:rsidRDefault="009033A7" w:rsidP="00427615">
            <w:pPr>
              <w:pStyle w:val="Tableheadwhitecentred"/>
              <w:rPr>
                <w:lang w:eastAsia="en-GB"/>
              </w:rPr>
            </w:pPr>
            <w:r w:rsidRPr="00380B40">
              <w:rPr>
                <w:lang w:eastAsia="en-GB"/>
              </w:rPr>
              <w:t>Document number</w:t>
            </w:r>
          </w:p>
        </w:tc>
      </w:tr>
      <w:tr w:rsidR="009033A7" w:rsidRPr="00380B40" w14:paraId="78FA24C4" w14:textId="77777777" w:rsidTr="00DE1739">
        <w:trPr>
          <w:tblCellSpacing w:w="6" w:type="dxa"/>
          <w:jc w:val="center"/>
        </w:trPr>
        <w:tc>
          <w:tcPr>
            <w:tcW w:w="9604" w:type="dxa"/>
            <w:gridSpan w:val="2"/>
            <w:shd w:val="pct15" w:color="auto" w:fill="auto"/>
          </w:tcPr>
          <w:p w14:paraId="3BE91C94" w14:textId="77777777" w:rsidR="009033A7" w:rsidRPr="00380B40" w:rsidRDefault="009033A7" w:rsidP="00363973">
            <w:pPr>
              <w:pStyle w:val="Tabletext"/>
              <w:rPr>
                <w:lang w:val="en-GB" w:eastAsia="en-GB"/>
              </w:rPr>
            </w:pPr>
            <w:r w:rsidRPr="00380B40">
              <w:rPr>
                <w:lang w:val="en-GB" w:eastAsia="en-GB"/>
              </w:rPr>
              <w:t>Committee meeting reports</w:t>
            </w:r>
          </w:p>
        </w:tc>
      </w:tr>
      <w:tr w:rsidR="009033A7" w:rsidRPr="00380B40" w14:paraId="6B1C4D7A" w14:textId="77777777" w:rsidTr="00DE1739">
        <w:trPr>
          <w:tblCellSpacing w:w="6" w:type="dxa"/>
          <w:jc w:val="center"/>
        </w:trPr>
        <w:tc>
          <w:tcPr>
            <w:tcW w:w="8056" w:type="dxa"/>
            <w:shd w:val="clear" w:color="auto" w:fill="FFFFFF"/>
            <w:hideMark/>
          </w:tcPr>
          <w:p w14:paraId="2F616C97" w14:textId="77777777" w:rsidR="009033A7" w:rsidRPr="00380B40" w:rsidRDefault="009033A7" w:rsidP="00363973">
            <w:pPr>
              <w:pStyle w:val="Tabletext"/>
              <w:rPr>
                <w:lang w:val="en-GB" w:eastAsia="en-GB"/>
              </w:rPr>
            </w:pPr>
            <w:r w:rsidRPr="00380B40">
              <w:rPr>
                <w:lang w:val="en-GB" w:eastAsia="en-GB"/>
              </w:rPr>
              <w:tab/>
              <w:t>Report of the first meeting of Committee 3 to the Plenary</w:t>
            </w:r>
          </w:p>
        </w:tc>
        <w:tc>
          <w:tcPr>
            <w:tcW w:w="1536" w:type="dxa"/>
            <w:shd w:val="clear" w:color="auto" w:fill="FFFFFF"/>
          </w:tcPr>
          <w:p w14:paraId="478F9A39" w14:textId="77777777" w:rsidR="009033A7" w:rsidRPr="00380B40" w:rsidRDefault="006A0076" w:rsidP="00F41EB2">
            <w:pPr>
              <w:pStyle w:val="Tabletext"/>
              <w:jc w:val="center"/>
              <w:rPr>
                <w:rStyle w:val="Hyperlink"/>
              </w:rPr>
            </w:pPr>
            <w:hyperlink r:id="rId918" w:history="1">
              <w:r w:rsidR="009033A7" w:rsidRPr="00380B40">
                <w:rPr>
                  <w:rStyle w:val="Hyperlink"/>
                </w:rPr>
                <w:t>62</w:t>
              </w:r>
            </w:hyperlink>
          </w:p>
        </w:tc>
      </w:tr>
      <w:tr w:rsidR="009033A7" w:rsidRPr="00380B40" w14:paraId="67AD43AB" w14:textId="77777777" w:rsidTr="00DE1739">
        <w:trPr>
          <w:tblCellSpacing w:w="6" w:type="dxa"/>
          <w:jc w:val="center"/>
        </w:trPr>
        <w:tc>
          <w:tcPr>
            <w:tcW w:w="8056" w:type="dxa"/>
            <w:shd w:val="clear" w:color="auto" w:fill="auto"/>
            <w:hideMark/>
          </w:tcPr>
          <w:p w14:paraId="37D53A2E" w14:textId="77777777" w:rsidR="009033A7" w:rsidRPr="00380B40" w:rsidRDefault="009033A7" w:rsidP="00363973">
            <w:pPr>
              <w:pStyle w:val="Tabletext"/>
              <w:rPr>
                <w:lang w:val="en-GB" w:eastAsia="en-GB"/>
              </w:rPr>
            </w:pPr>
            <w:r w:rsidRPr="00380B40">
              <w:rPr>
                <w:lang w:val="en-GB" w:eastAsia="en-GB"/>
              </w:rPr>
              <w:tab/>
              <w:t>Report of the second meeting of Committee 3 to the Plenary</w:t>
            </w:r>
          </w:p>
        </w:tc>
        <w:tc>
          <w:tcPr>
            <w:tcW w:w="1536" w:type="dxa"/>
            <w:shd w:val="clear" w:color="auto" w:fill="auto"/>
          </w:tcPr>
          <w:p w14:paraId="0A25D01B" w14:textId="77777777" w:rsidR="009033A7" w:rsidRPr="00380B40" w:rsidRDefault="006A0076" w:rsidP="00F41EB2">
            <w:pPr>
              <w:pStyle w:val="Tabletext"/>
              <w:jc w:val="center"/>
              <w:rPr>
                <w:rStyle w:val="Hyperlink"/>
              </w:rPr>
            </w:pPr>
            <w:hyperlink r:id="rId919" w:history="1">
              <w:r w:rsidR="009033A7" w:rsidRPr="00380B40">
                <w:rPr>
                  <w:rStyle w:val="Hyperlink"/>
                </w:rPr>
                <w:t>63</w:t>
              </w:r>
            </w:hyperlink>
          </w:p>
        </w:tc>
      </w:tr>
      <w:tr w:rsidR="009033A7" w:rsidRPr="00380B40" w14:paraId="087740C0" w14:textId="77777777" w:rsidTr="00DE1739">
        <w:trPr>
          <w:tblCellSpacing w:w="6" w:type="dxa"/>
          <w:jc w:val="center"/>
        </w:trPr>
        <w:tc>
          <w:tcPr>
            <w:tcW w:w="8056" w:type="dxa"/>
            <w:shd w:val="clear" w:color="auto" w:fill="auto"/>
            <w:hideMark/>
          </w:tcPr>
          <w:p w14:paraId="7D09E93C" w14:textId="77777777" w:rsidR="009033A7" w:rsidRPr="00380B40" w:rsidRDefault="009033A7" w:rsidP="00363973">
            <w:pPr>
              <w:pStyle w:val="Tabletext"/>
              <w:rPr>
                <w:lang w:val="en-GB" w:eastAsia="en-GB"/>
              </w:rPr>
            </w:pPr>
            <w:r w:rsidRPr="00380B40">
              <w:rPr>
                <w:lang w:val="en-GB" w:eastAsia="en-GB"/>
              </w:rPr>
              <w:tab/>
              <w:t>Report of the third meeting of Committee 3 to the Plenary</w:t>
            </w:r>
          </w:p>
        </w:tc>
        <w:tc>
          <w:tcPr>
            <w:tcW w:w="1536" w:type="dxa"/>
            <w:shd w:val="clear" w:color="auto" w:fill="auto"/>
          </w:tcPr>
          <w:p w14:paraId="00459524" w14:textId="77777777" w:rsidR="009033A7" w:rsidRPr="00380B40" w:rsidRDefault="006A0076" w:rsidP="00F41EB2">
            <w:pPr>
              <w:pStyle w:val="Tabletext"/>
              <w:jc w:val="center"/>
              <w:rPr>
                <w:rStyle w:val="Hyperlink"/>
              </w:rPr>
            </w:pPr>
            <w:hyperlink r:id="rId920" w:history="1">
              <w:r w:rsidR="009033A7" w:rsidRPr="00380B40">
                <w:rPr>
                  <w:rStyle w:val="Hyperlink"/>
                </w:rPr>
                <w:t>64</w:t>
              </w:r>
            </w:hyperlink>
          </w:p>
        </w:tc>
      </w:tr>
      <w:tr w:rsidR="009033A7" w:rsidRPr="00380B40" w14:paraId="7C47E9FE" w14:textId="77777777" w:rsidTr="00DE1739">
        <w:trPr>
          <w:tblCellSpacing w:w="6" w:type="dxa"/>
          <w:jc w:val="center"/>
        </w:trPr>
        <w:tc>
          <w:tcPr>
            <w:tcW w:w="8056" w:type="dxa"/>
            <w:shd w:val="clear" w:color="auto" w:fill="auto"/>
            <w:hideMark/>
          </w:tcPr>
          <w:p w14:paraId="61FBC1D8" w14:textId="77777777" w:rsidR="009033A7" w:rsidRPr="00380B40" w:rsidRDefault="009033A7" w:rsidP="00363973">
            <w:pPr>
              <w:pStyle w:val="Tabletext"/>
              <w:rPr>
                <w:lang w:val="en-GB" w:eastAsia="en-GB"/>
              </w:rPr>
            </w:pPr>
            <w:r w:rsidRPr="00380B40">
              <w:rPr>
                <w:lang w:val="en-GB" w:eastAsia="en-GB"/>
              </w:rPr>
              <w:tab/>
              <w:t>Report of the fourth meeting of Committee 3 to the Plenary</w:t>
            </w:r>
          </w:p>
        </w:tc>
        <w:tc>
          <w:tcPr>
            <w:tcW w:w="1536" w:type="dxa"/>
            <w:shd w:val="clear" w:color="auto" w:fill="auto"/>
          </w:tcPr>
          <w:p w14:paraId="12485740" w14:textId="77777777" w:rsidR="009033A7" w:rsidRPr="00380B40" w:rsidRDefault="006A0076" w:rsidP="00F41EB2">
            <w:pPr>
              <w:pStyle w:val="Tabletext"/>
              <w:jc w:val="center"/>
              <w:rPr>
                <w:rStyle w:val="Hyperlink"/>
              </w:rPr>
            </w:pPr>
            <w:hyperlink r:id="rId921" w:history="1">
              <w:r w:rsidR="009033A7" w:rsidRPr="00380B40">
                <w:rPr>
                  <w:rStyle w:val="Hyperlink"/>
                </w:rPr>
                <w:t>66</w:t>
              </w:r>
            </w:hyperlink>
          </w:p>
        </w:tc>
      </w:tr>
      <w:tr w:rsidR="009033A7" w:rsidRPr="00380B40" w14:paraId="3B5CC3BD" w14:textId="77777777" w:rsidTr="00DE1739">
        <w:trPr>
          <w:tblCellSpacing w:w="6" w:type="dxa"/>
          <w:jc w:val="center"/>
        </w:trPr>
        <w:tc>
          <w:tcPr>
            <w:tcW w:w="8056" w:type="dxa"/>
            <w:shd w:val="clear" w:color="auto" w:fill="auto"/>
            <w:hideMark/>
          </w:tcPr>
          <w:p w14:paraId="6DE8BADE" w14:textId="77777777" w:rsidR="009033A7" w:rsidRPr="00380B40" w:rsidRDefault="009033A7" w:rsidP="00363973">
            <w:pPr>
              <w:pStyle w:val="Tabletext"/>
              <w:rPr>
                <w:lang w:val="en-GB" w:eastAsia="en-GB"/>
              </w:rPr>
            </w:pPr>
            <w:r w:rsidRPr="00380B40">
              <w:rPr>
                <w:lang w:val="en-GB" w:eastAsia="en-GB"/>
              </w:rPr>
              <w:tab/>
              <w:t xml:space="preserve">Report of the first meeting of Committee 4 to the Plenary </w:t>
            </w:r>
          </w:p>
        </w:tc>
        <w:tc>
          <w:tcPr>
            <w:tcW w:w="1536" w:type="dxa"/>
            <w:shd w:val="clear" w:color="auto" w:fill="auto"/>
          </w:tcPr>
          <w:p w14:paraId="1455D1C2" w14:textId="77777777" w:rsidR="009033A7" w:rsidRPr="00380B40" w:rsidRDefault="006A0076" w:rsidP="00F41EB2">
            <w:pPr>
              <w:pStyle w:val="Tabletext"/>
              <w:jc w:val="center"/>
              <w:rPr>
                <w:rStyle w:val="Hyperlink"/>
              </w:rPr>
            </w:pPr>
            <w:hyperlink r:id="rId922" w:history="1">
              <w:r w:rsidR="009033A7" w:rsidRPr="00380B40">
                <w:rPr>
                  <w:rStyle w:val="Hyperlink"/>
                </w:rPr>
                <w:t>50</w:t>
              </w:r>
            </w:hyperlink>
          </w:p>
        </w:tc>
      </w:tr>
      <w:tr w:rsidR="009033A7" w:rsidRPr="00380B40" w14:paraId="3CAD87DC" w14:textId="77777777" w:rsidTr="00DE1739">
        <w:trPr>
          <w:tblCellSpacing w:w="6" w:type="dxa"/>
          <w:jc w:val="center"/>
        </w:trPr>
        <w:tc>
          <w:tcPr>
            <w:tcW w:w="8056" w:type="dxa"/>
            <w:shd w:val="clear" w:color="auto" w:fill="auto"/>
            <w:hideMark/>
          </w:tcPr>
          <w:p w14:paraId="70CDEF57" w14:textId="77777777" w:rsidR="009033A7" w:rsidRPr="00380B40" w:rsidRDefault="009033A7" w:rsidP="00363973">
            <w:pPr>
              <w:pStyle w:val="Tabletext"/>
              <w:rPr>
                <w:lang w:val="en-GB" w:eastAsia="en-GB"/>
              </w:rPr>
            </w:pPr>
            <w:r w:rsidRPr="00380B40">
              <w:rPr>
                <w:lang w:val="en-GB" w:eastAsia="en-GB"/>
              </w:rPr>
              <w:tab/>
              <w:t xml:space="preserve">Report of the second meeting of Committee 4 to the Plenary </w:t>
            </w:r>
          </w:p>
        </w:tc>
        <w:tc>
          <w:tcPr>
            <w:tcW w:w="1536" w:type="dxa"/>
            <w:shd w:val="clear" w:color="auto" w:fill="auto"/>
          </w:tcPr>
          <w:p w14:paraId="2763D9F6" w14:textId="77777777" w:rsidR="009033A7" w:rsidRPr="00380B40" w:rsidRDefault="006A0076" w:rsidP="00F41EB2">
            <w:pPr>
              <w:pStyle w:val="Tabletext"/>
              <w:jc w:val="center"/>
              <w:rPr>
                <w:rStyle w:val="Hyperlink"/>
              </w:rPr>
            </w:pPr>
            <w:hyperlink r:id="rId923" w:history="1">
              <w:r w:rsidR="009033A7" w:rsidRPr="00380B40">
                <w:rPr>
                  <w:rStyle w:val="Hyperlink"/>
                </w:rPr>
                <w:t>51</w:t>
              </w:r>
            </w:hyperlink>
          </w:p>
        </w:tc>
      </w:tr>
      <w:tr w:rsidR="009033A7" w:rsidRPr="00380B40" w14:paraId="677F34DF" w14:textId="77777777" w:rsidTr="00DE1739">
        <w:trPr>
          <w:tblCellSpacing w:w="6" w:type="dxa"/>
          <w:jc w:val="center"/>
        </w:trPr>
        <w:tc>
          <w:tcPr>
            <w:tcW w:w="8056" w:type="dxa"/>
            <w:shd w:val="clear" w:color="auto" w:fill="FFFFFF"/>
            <w:hideMark/>
          </w:tcPr>
          <w:p w14:paraId="6841E66D" w14:textId="77777777" w:rsidR="009033A7" w:rsidRPr="00380B40" w:rsidRDefault="009033A7" w:rsidP="00363973">
            <w:pPr>
              <w:pStyle w:val="Tabletext"/>
              <w:rPr>
                <w:lang w:val="en-GB" w:eastAsia="en-GB"/>
              </w:rPr>
            </w:pPr>
            <w:r w:rsidRPr="00380B40">
              <w:rPr>
                <w:lang w:val="en-GB" w:eastAsia="en-GB"/>
              </w:rPr>
              <w:tab/>
              <w:t>Report of the third meeting of Committee 4 to the Plenary</w:t>
            </w:r>
          </w:p>
        </w:tc>
        <w:tc>
          <w:tcPr>
            <w:tcW w:w="1536" w:type="dxa"/>
            <w:shd w:val="clear" w:color="auto" w:fill="FFFFFF"/>
          </w:tcPr>
          <w:p w14:paraId="4331C5D4" w14:textId="77777777" w:rsidR="009033A7" w:rsidRPr="00380B40" w:rsidRDefault="006A0076" w:rsidP="00F41EB2">
            <w:pPr>
              <w:pStyle w:val="Tabletext"/>
              <w:jc w:val="center"/>
              <w:rPr>
                <w:rStyle w:val="Hyperlink"/>
              </w:rPr>
            </w:pPr>
            <w:hyperlink r:id="rId924" w:history="1">
              <w:r w:rsidR="009033A7" w:rsidRPr="00380B40">
                <w:rPr>
                  <w:rStyle w:val="Hyperlink"/>
                </w:rPr>
                <w:t>70</w:t>
              </w:r>
            </w:hyperlink>
          </w:p>
        </w:tc>
      </w:tr>
      <w:tr w:rsidR="009033A7" w:rsidRPr="00380B40" w14:paraId="4B864076" w14:textId="77777777" w:rsidTr="00DE1739">
        <w:trPr>
          <w:tblCellSpacing w:w="6" w:type="dxa"/>
          <w:jc w:val="center"/>
        </w:trPr>
        <w:tc>
          <w:tcPr>
            <w:tcW w:w="8056" w:type="dxa"/>
            <w:shd w:val="clear" w:color="auto" w:fill="FFFFFF"/>
            <w:hideMark/>
          </w:tcPr>
          <w:p w14:paraId="161C4D92" w14:textId="77777777" w:rsidR="009033A7" w:rsidRPr="00380B40" w:rsidRDefault="009033A7" w:rsidP="00363973">
            <w:pPr>
              <w:pStyle w:val="Tabletext"/>
              <w:rPr>
                <w:lang w:val="en-GB" w:eastAsia="en-GB"/>
              </w:rPr>
            </w:pPr>
            <w:r w:rsidRPr="00380B40">
              <w:rPr>
                <w:lang w:val="en-GB" w:eastAsia="en-GB"/>
              </w:rPr>
              <w:tab/>
              <w:t>Report of the fourth meeting of Committee 4 to the Plenary</w:t>
            </w:r>
          </w:p>
        </w:tc>
        <w:tc>
          <w:tcPr>
            <w:tcW w:w="1536" w:type="dxa"/>
            <w:shd w:val="clear" w:color="auto" w:fill="FFFFFF"/>
          </w:tcPr>
          <w:p w14:paraId="56D8857F" w14:textId="77777777" w:rsidR="009033A7" w:rsidRPr="00380B40" w:rsidRDefault="006A0076" w:rsidP="00F41EB2">
            <w:pPr>
              <w:pStyle w:val="Tabletext"/>
              <w:jc w:val="center"/>
              <w:rPr>
                <w:rStyle w:val="Hyperlink"/>
              </w:rPr>
            </w:pPr>
            <w:hyperlink r:id="rId925" w:history="1">
              <w:r w:rsidR="009033A7" w:rsidRPr="00380B40">
                <w:rPr>
                  <w:rStyle w:val="Hyperlink"/>
                </w:rPr>
                <w:t>82</w:t>
              </w:r>
            </w:hyperlink>
          </w:p>
        </w:tc>
      </w:tr>
      <w:tr w:rsidR="009033A7" w:rsidRPr="0004766B" w14:paraId="29DD997C" w14:textId="77777777" w:rsidTr="00DE1739">
        <w:trPr>
          <w:tblCellSpacing w:w="6" w:type="dxa"/>
          <w:jc w:val="center"/>
        </w:trPr>
        <w:tc>
          <w:tcPr>
            <w:tcW w:w="9604" w:type="dxa"/>
            <w:gridSpan w:val="2"/>
            <w:shd w:val="pct15" w:color="auto" w:fill="auto"/>
          </w:tcPr>
          <w:p w14:paraId="7863DB36" w14:textId="77777777" w:rsidR="009033A7" w:rsidRPr="00380B40" w:rsidRDefault="009033A7" w:rsidP="00363973">
            <w:pPr>
              <w:pStyle w:val="Tabletext"/>
              <w:rPr>
                <w:lang w:val="en-GB"/>
              </w:rPr>
            </w:pPr>
            <w:r w:rsidRPr="00380B40">
              <w:rPr>
                <w:lang w:val="en-GB" w:eastAsia="en-GB"/>
              </w:rPr>
              <w:t>Reports of the Telecommunication Standardization Advisory Group to WTSA-20</w:t>
            </w:r>
          </w:p>
        </w:tc>
      </w:tr>
      <w:tr w:rsidR="009033A7" w:rsidRPr="00380B40" w14:paraId="4C223380" w14:textId="77777777" w:rsidTr="00DE1739">
        <w:trPr>
          <w:tblCellSpacing w:w="6" w:type="dxa"/>
          <w:jc w:val="center"/>
        </w:trPr>
        <w:tc>
          <w:tcPr>
            <w:tcW w:w="8056" w:type="dxa"/>
            <w:shd w:val="clear" w:color="auto" w:fill="FFFFFF"/>
          </w:tcPr>
          <w:p w14:paraId="3555EF0F" w14:textId="77777777" w:rsidR="009033A7" w:rsidRPr="00380B40" w:rsidRDefault="009033A7" w:rsidP="00363973">
            <w:pPr>
              <w:pStyle w:val="Tabletext"/>
              <w:rPr>
                <w:lang w:val="en-GB" w:eastAsia="en-GB"/>
              </w:rPr>
            </w:pPr>
            <w:r w:rsidRPr="00380B40">
              <w:rPr>
                <w:lang w:val="en-GB" w:eastAsia="en-GB"/>
              </w:rPr>
              <w:tab/>
              <w:t>Part I: General</w:t>
            </w:r>
          </w:p>
        </w:tc>
        <w:tc>
          <w:tcPr>
            <w:tcW w:w="1536" w:type="dxa"/>
            <w:shd w:val="clear" w:color="auto" w:fill="FFFFFF"/>
          </w:tcPr>
          <w:p w14:paraId="3CC0D117" w14:textId="77777777" w:rsidR="009033A7" w:rsidRPr="00380B40" w:rsidRDefault="006A0076" w:rsidP="00F41EB2">
            <w:pPr>
              <w:pStyle w:val="Tabletext"/>
              <w:jc w:val="center"/>
              <w:rPr>
                <w:rStyle w:val="Hyperlink"/>
              </w:rPr>
            </w:pPr>
            <w:hyperlink r:id="rId926" w:history="1">
              <w:r w:rsidR="009033A7" w:rsidRPr="00380B40">
                <w:rPr>
                  <w:rStyle w:val="Hyperlink"/>
                </w:rPr>
                <w:t>23</w:t>
              </w:r>
            </w:hyperlink>
          </w:p>
        </w:tc>
      </w:tr>
      <w:tr w:rsidR="009033A7" w:rsidRPr="00380B40" w14:paraId="11159A2B" w14:textId="77777777" w:rsidTr="00DE1739">
        <w:trPr>
          <w:tblCellSpacing w:w="6" w:type="dxa"/>
          <w:jc w:val="center"/>
        </w:trPr>
        <w:tc>
          <w:tcPr>
            <w:tcW w:w="8056" w:type="dxa"/>
            <w:shd w:val="clear" w:color="auto" w:fill="FFFFFF"/>
          </w:tcPr>
          <w:p w14:paraId="571E8EAA" w14:textId="77777777" w:rsidR="009033A7" w:rsidRPr="00380B40" w:rsidRDefault="009033A7" w:rsidP="00363973">
            <w:pPr>
              <w:pStyle w:val="Tabletext"/>
              <w:rPr>
                <w:lang w:val="en-GB" w:eastAsia="en-GB"/>
              </w:rPr>
            </w:pPr>
            <w:r w:rsidRPr="00380B40">
              <w:rPr>
                <w:lang w:val="en-GB" w:eastAsia="en-GB"/>
              </w:rPr>
              <w:tab/>
              <w:t>Part II: Draft revised Resolutions</w:t>
            </w:r>
          </w:p>
        </w:tc>
        <w:tc>
          <w:tcPr>
            <w:tcW w:w="1536" w:type="dxa"/>
            <w:shd w:val="clear" w:color="auto" w:fill="FFFFFF"/>
          </w:tcPr>
          <w:p w14:paraId="4A53EF71" w14:textId="77777777" w:rsidR="009033A7" w:rsidRPr="00380B40" w:rsidRDefault="006A0076" w:rsidP="00F41EB2">
            <w:pPr>
              <w:pStyle w:val="Tabletext"/>
              <w:jc w:val="center"/>
              <w:rPr>
                <w:rStyle w:val="Hyperlink"/>
              </w:rPr>
            </w:pPr>
            <w:hyperlink r:id="rId927" w:history="1">
              <w:r w:rsidR="009033A7" w:rsidRPr="00380B40">
                <w:rPr>
                  <w:rStyle w:val="Hyperlink"/>
                </w:rPr>
                <w:t>24</w:t>
              </w:r>
            </w:hyperlink>
          </w:p>
        </w:tc>
      </w:tr>
      <w:tr w:rsidR="009033A7" w:rsidRPr="00380B40" w14:paraId="6E743263" w14:textId="77777777" w:rsidTr="00DE1739">
        <w:trPr>
          <w:tblCellSpacing w:w="6" w:type="dxa"/>
          <w:jc w:val="center"/>
        </w:trPr>
        <w:tc>
          <w:tcPr>
            <w:tcW w:w="8056" w:type="dxa"/>
            <w:shd w:val="clear" w:color="auto" w:fill="FFFFFF"/>
          </w:tcPr>
          <w:p w14:paraId="04C82E7A" w14:textId="77777777" w:rsidR="009033A7" w:rsidRPr="00380B40" w:rsidRDefault="009033A7" w:rsidP="00363973">
            <w:pPr>
              <w:pStyle w:val="Tabletext"/>
              <w:rPr>
                <w:lang w:val="en-GB" w:eastAsia="en-GB"/>
              </w:rPr>
            </w:pPr>
            <w:r w:rsidRPr="00380B40">
              <w:rPr>
                <w:lang w:val="en-GB" w:eastAsia="en-GB"/>
              </w:rPr>
              <w:tab/>
              <w:t xml:space="preserve">Part III: Draft revised </w:t>
            </w:r>
            <w:r w:rsidR="004C57AB" w:rsidRPr="00380B40">
              <w:rPr>
                <w:lang w:val="en-GB" w:eastAsia="en-GB"/>
              </w:rPr>
              <w:t>Resolution</w:t>
            </w:r>
            <w:r w:rsidRPr="00380B40">
              <w:rPr>
                <w:lang w:val="en-GB" w:eastAsia="en-GB"/>
              </w:rPr>
              <w:t>s of the ITU-T A-series</w:t>
            </w:r>
          </w:p>
        </w:tc>
        <w:tc>
          <w:tcPr>
            <w:tcW w:w="1536" w:type="dxa"/>
            <w:shd w:val="clear" w:color="auto" w:fill="FFFFFF"/>
          </w:tcPr>
          <w:p w14:paraId="0EABC368" w14:textId="77777777" w:rsidR="009033A7" w:rsidRPr="00380B40" w:rsidRDefault="006A0076" w:rsidP="00F41EB2">
            <w:pPr>
              <w:pStyle w:val="Tabletext"/>
              <w:jc w:val="center"/>
              <w:rPr>
                <w:rStyle w:val="Hyperlink"/>
              </w:rPr>
            </w:pPr>
            <w:hyperlink r:id="rId928" w:history="1">
              <w:r w:rsidR="009033A7" w:rsidRPr="00380B40">
                <w:rPr>
                  <w:rStyle w:val="Hyperlink"/>
                </w:rPr>
                <w:t>25</w:t>
              </w:r>
            </w:hyperlink>
          </w:p>
        </w:tc>
      </w:tr>
      <w:tr w:rsidR="009033A7" w:rsidRPr="00380B40" w14:paraId="042F3E0A" w14:textId="77777777" w:rsidTr="00DE1739">
        <w:trPr>
          <w:tblCellSpacing w:w="6" w:type="dxa"/>
          <w:jc w:val="center"/>
        </w:trPr>
        <w:tc>
          <w:tcPr>
            <w:tcW w:w="8056" w:type="dxa"/>
            <w:shd w:val="clear" w:color="auto" w:fill="FFFFFF"/>
          </w:tcPr>
          <w:p w14:paraId="7ABDF659" w14:textId="77777777" w:rsidR="009033A7" w:rsidRPr="00380B40" w:rsidRDefault="009033A7" w:rsidP="00363973">
            <w:pPr>
              <w:pStyle w:val="Tabletext"/>
              <w:rPr>
                <w:lang w:val="en-GB" w:eastAsia="en-GB"/>
              </w:rPr>
            </w:pPr>
            <w:r w:rsidRPr="00380B40">
              <w:rPr>
                <w:lang w:val="en-GB" w:eastAsia="en-GB"/>
              </w:rPr>
              <w:tab/>
              <w:t xml:space="preserve">Part IV: </w:t>
            </w:r>
            <w:r w:rsidR="005B4DCF" w:rsidRPr="00380B40">
              <w:rPr>
                <w:lang w:val="en-GB" w:eastAsia="en-GB"/>
              </w:rPr>
              <w:t>TSAG report in respect of Resolution 22</w:t>
            </w:r>
          </w:p>
        </w:tc>
        <w:tc>
          <w:tcPr>
            <w:tcW w:w="1536" w:type="dxa"/>
            <w:shd w:val="clear" w:color="auto" w:fill="FFFFFF"/>
          </w:tcPr>
          <w:p w14:paraId="64A0B43C" w14:textId="77777777" w:rsidR="009033A7" w:rsidRPr="00380B40" w:rsidRDefault="006A0076" w:rsidP="00F41EB2">
            <w:pPr>
              <w:pStyle w:val="Tabletext"/>
              <w:jc w:val="center"/>
              <w:rPr>
                <w:rStyle w:val="Hyperlink"/>
              </w:rPr>
            </w:pPr>
            <w:hyperlink r:id="rId929" w:history="1">
              <w:r w:rsidR="009033A7" w:rsidRPr="00380B40">
                <w:rPr>
                  <w:rStyle w:val="Hyperlink"/>
                </w:rPr>
                <w:t>26</w:t>
              </w:r>
            </w:hyperlink>
          </w:p>
        </w:tc>
      </w:tr>
      <w:tr w:rsidR="009033A7" w:rsidRPr="0004766B" w14:paraId="745BF35A" w14:textId="77777777" w:rsidTr="00DE1739">
        <w:trPr>
          <w:tblCellSpacing w:w="6" w:type="dxa"/>
          <w:jc w:val="center"/>
        </w:trPr>
        <w:tc>
          <w:tcPr>
            <w:tcW w:w="9604" w:type="dxa"/>
            <w:gridSpan w:val="2"/>
            <w:shd w:val="pct15" w:color="auto" w:fill="auto"/>
          </w:tcPr>
          <w:p w14:paraId="236BA9C0" w14:textId="77777777" w:rsidR="009033A7" w:rsidRPr="00380B40" w:rsidRDefault="009033A7" w:rsidP="00363973">
            <w:pPr>
              <w:pStyle w:val="Tabletext"/>
              <w:rPr>
                <w:lang w:val="en-GB"/>
              </w:rPr>
            </w:pPr>
            <w:r w:rsidRPr="00380B40">
              <w:rPr>
                <w:lang w:val="en-GB" w:eastAsia="en-GB"/>
              </w:rPr>
              <w:t>Reports by the Director of the Telecommunication Standardization Bureau</w:t>
            </w:r>
          </w:p>
        </w:tc>
      </w:tr>
      <w:tr w:rsidR="009033A7" w:rsidRPr="00380B40" w14:paraId="65743BE9" w14:textId="77777777" w:rsidTr="00DE1739">
        <w:trPr>
          <w:tblCellSpacing w:w="6" w:type="dxa"/>
          <w:jc w:val="center"/>
        </w:trPr>
        <w:tc>
          <w:tcPr>
            <w:tcW w:w="8056" w:type="dxa"/>
            <w:shd w:val="clear" w:color="auto" w:fill="FFFFFF"/>
          </w:tcPr>
          <w:p w14:paraId="0693C447" w14:textId="77777777" w:rsidR="009033A7" w:rsidRPr="00380B40" w:rsidRDefault="009033A7" w:rsidP="00363973">
            <w:pPr>
              <w:pStyle w:val="Tabletext"/>
              <w:rPr>
                <w:lang w:val="en-GB" w:eastAsia="en-GB"/>
              </w:rPr>
            </w:pPr>
            <w:r w:rsidRPr="00380B40">
              <w:rPr>
                <w:lang w:val="en-GB" w:eastAsia="en-GB"/>
              </w:rPr>
              <w:t>Report of activities in ITU-T over the 2017-2021 Study period</w:t>
            </w:r>
          </w:p>
        </w:tc>
        <w:tc>
          <w:tcPr>
            <w:tcW w:w="1536" w:type="dxa"/>
            <w:shd w:val="clear" w:color="auto" w:fill="FFFFFF"/>
          </w:tcPr>
          <w:p w14:paraId="6DDD7F94" w14:textId="77777777" w:rsidR="009033A7" w:rsidRPr="00380B40" w:rsidRDefault="006A0076" w:rsidP="00F41EB2">
            <w:pPr>
              <w:pStyle w:val="Tabletext"/>
              <w:jc w:val="center"/>
              <w:rPr>
                <w:rStyle w:val="Hyperlink"/>
              </w:rPr>
            </w:pPr>
            <w:hyperlink r:id="rId930" w:history="1">
              <w:r w:rsidR="009033A7" w:rsidRPr="00380B40">
                <w:rPr>
                  <w:rStyle w:val="Hyperlink"/>
                </w:rPr>
                <w:t>28</w:t>
              </w:r>
            </w:hyperlink>
          </w:p>
        </w:tc>
      </w:tr>
      <w:tr w:rsidR="009033A7" w:rsidRPr="00380B40" w14:paraId="4AE55B3F" w14:textId="77777777" w:rsidTr="00DE1739">
        <w:trPr>
          <w:tblCellSpacing w:w="6" w:type="dxa"/>
          <w:jc w:val="center"/>
        </w:trPr>
        <w:tc>
          <w:tcPr>
            <w:tcW w:w="8056" w:type="dxa"/>
            <w:shd w:val="clear" w:color="auto" w:fill="FFFFFF"/>
          </w:tcPr>
          <w:p w14:paraId="372B5042" w14:textId="77777777" w:rsidR="009033A7" w:rsidRPr="00380B40" w:rsidRDefault="009033A7" w:rsidP="00363973">
            <w:pPr>
              <w:pStyle w:val="Tabletext"/>
              <w:rPr>
                <w:lang w:val="en-GB" w:eastAsia="en-GB"/>
              </w:rPr>
            </w:pPr>
            <w:r w:rsidRPr="00380B40">
              <w:rPr>
                <w:lang w:val="en-GB" w:eastAsia="en-GB"/>
              </w:rPr>
              <w:t>Report on estimated financial needs up to WTSA-24 and ITU-T expenses for the years 2016 to 2021</w:t>
            </w:r>
          </w:p>
        </w:tc>
        <w:tc>
          <w:tcPr>
            <w:tcW w:w="1536" w:type="dxa"/>
            <w:shd w:val="clear" w:color="auto" w:fill="FFFFFF"/>
          </w:tcPr>
          <w:p w14:paraId="13B2BC10" w14:textId="77777777" w:rsidR="009033A7" w:rsidRPr="00380B40" w:rsidRDefault="006A0076" w:rsidP="00F41EB2">
            <w:pPr>
              <w:pStyle w:val="Tabletext"/>
              <w:jc w:val="center"/>
              <w:rPr>
                <w:rStyle w:val="Hyperlink"/>
              </w:rPr>
            </w:pPr>
            <w:hyperlink r:id="rId931" w:history="1">
              <w:r w:rsidR="009033A7" w:rsidRPr="00380B40">
                <w:rPr>
                  <w:rStyle w:val="Hyperlink"/>
                </w:rPr>
                <w:t>29</w:t>
              </w:r>
            </w:hyperlink>
          </w:p>
        </w:tc>
      </w:tr>
      <w:tr w:rsidR="009033A7" w:rsidRPr="00380B40" w14:paraId="3DD60AE0" w14:textId="77777777" w:rsidTr="00DE1739">
        <w:trPr>
          <w:tblCellSpacing w:w="6" w:type="dxa"/>
          <w:jc w:val="center"/>
        </w:trPr>
        <w:tc>
          <w:tcPr>
            <w:tcW w:w="8056" w:type="dxa"/>
            <w:shd w:val="pct12" w:color="auto" w:fill="FFFFFF"/>
          </w:tcPr>
          <w:p w14:paraId="5BEA6AE2" w14:textId="77777777" w:rsidR="009033A7" w:rsidRPr="00380B40" w:rsidRDefault="009033A7" w:rsidP="00363973">
            <w:pPr>
              <w:pStyle w:val="Tabletext"/>
              <w:rPr>
                <w:lang w:val="en-GB" w:eastAsia="en-GB"/>
              </w:rPr>
            </w:pPr>
            <w:r w:rsidRPr="00380B40">
              <w:rPr>
                <w:lang w:val="en-GB" w:eastAsia="en-GB"/>
              </w:rPr>
              <w:t>Final list of WTSA-20 documents</w:t>
            </w:r>
          </w:p>
        </w:tc>
        <w:tc>
          <w:tcPr>
            <w:tcW w:w="1536" w:type="dxa"/>
            <w:shd w:val="pct12" w:color="auto" w:fill="FFFFFF"/>
          </w:tcPr>
          <w:p w14:paraId="4B1348A0" w14:textId="77777777" w:rsidR="009033A7" w:rsidRPr="00380B40" w:rsidRDefault="006A0076" w:rsidP="00F41EB2">
            <w:pPr>
              <w:pStyle w:val="Tabletext"/>
              <w:jc w:val="center"/>
              <w:rPr>
                <w:rStyle w:val="Hyperlink"/>
              </w:rPr>
            </w:pPr>
            <w:hyperlink r:id="rId932" w:history="1">
              <w:r w:rsidR="009033A7" w:rsidRPr="00380B40">
                <w:rPr>
                  <w:rStyle w:val="Hyperlink"/>
                </w:rPr>
                <w:t>105</w:t>
              </w:r>
            </w:hyperlink>
          </w:p>
        </w:tc>
      </w:tr>
      <w:tr w:rsidR="009033A7" w:rsidRPr="00380B40" w14:paraId="091B77C7" w14:textId="77777777" w:rsidTr="00DE1739">
        <w:trPr>
          <w:tblCellSpacing w:w="6" w:type="dxa"/>
          <w:jc w:val="center"/>
        </w:trPr>
        <w:tc>
          <w:tcPr>
            <w:tcW w:w="8056" w:type="dxa"/>
            <w:shd w:val="pct12" w:color="auto" w:fill="FFFFFF"/>
          </w:tcPr>
          <w:p w14:paraId="576C0AAA" w14:textId="77777777" w:rsidR="009033A7" w:rsidRPr="00380B40" w:rsidRDefault="009033A7" w:rsidP="00363973">
            <w:pPr>
              <w:pStyle w:val="Tabletext"/>
              <w:rPr>
                <w:lang w:val="en-GB" w:eastAsia="en-GB"/>
              </w:rPr>
            </w:pPr>
            <w:r w:rsidRPr="00380B40">
              <w:rPr>
                <w:lang w:val="en-GB" w:eastAsia="en-GB"/>
              </w:rPr>
              <w:t>List of participants</w:t>
            </w:r>
          </w:p>
        </w:tc>
        <w:tc>
          <w:tcPr>
            <w:tcW w:w="1536" w:type="dxa"/>
            <w:shd w:val="pct12" w:color="auto" w:fill="FFFFFF"/>
          </w:tcPr>
          <w:p w14:paraId="66E20D0C" w14:textId="77777777" w:rsidR="009033A7" w:rsidRPr="00380B40" w:rsidRDefault="006A0076" w:rsidP="00F41EB2">
            <w:pPr>
              <w:pStyle w:val="Tabletext"/>
              <w:jc w:val="center"/>
              <w:rPr>
                <w:rStyle w:val="Hyperlink"/>
              </w:rPr>
            </w:pPr>
            <w:hyperlink r:id="rId933" w:history="1">
              <w:r w:rsidR="009033A7" w:rsidRPr="00380B40">
                <w:rPr>
                  <w:rStyle w:val="Hyperlink"/>
                </w:rPr>
                <w:t>TD-GEN-02</w:t>
              </w:r>
            </w:hyperlink>
          </w:p>
        </w:tc>
      </w:tr>
    </w:tbl>
    <w:p w14:paraId="7DCECEC7" w14:textId="77777777" w:rsidR="009033A7" w:rsidRPr="00380B40" w:rsidRDefault="009033A7" w:rsidP="009033A7">
      <w:pPr>
        <w:rPr>
          <w:lang w:val="en-GB"/>
        </w:rPr>
      </w:pPr>
    </w:p>
    <w:p w14:paraId="01DF9F0F" w14:textId="77777777" w:rsidR="00987626" w:rsidRPr="00380B40" w:rsidRDefault="00987626" w:rsidP="009033A7">
      <w:pPr>
        <w:rPr>
          <w:lang w:val="en-GB"/>
        </w:rPr>
      </w:pPr>
    </w:p>
    <w:p w14:paraId="7AE5B22D" w14:textId="77777777" w:rsidR="00987626" w:rsidRPr="00380B40" w:rsidRDefault="00987626" w:rsidP="009033A7">
      <w:pPr>
        <w:rPr>
          <w:lang w:val="en-GB"/>
        </w:rPr>
      </w:pPr>
    </w:p>
    <w:p w14:paraId="58F15D3D" w14:textId="77777777" w:rsidR="00987626" w:rsidRPr="00380B40" w:rsidRDefault="00987626" w:rsidP="009033A7">
      <w:pPr>
        <w:rPr>
          <w:lang w:val="en-GB"/>
        </w:rPr>
      </w:pPr>
    </w:p>
    <w:p w14:paraId="3E92C580" w14:textId="77777777" w:rsidR="00987626" w:rsidRPr="00380B40" w:rsidRDefault="00987626" w:rsidP="009033A7">
      <w:pPr>
        <w:rPr>
          <w:lang w:val="en-GB"/>
        </w:rPr>
      </w:pPr>
    </w:p>
    <w:p w14:paraId="47FB44A5" w14:textId="77777777" w:rsidR="00B92E1B" w:rsidRDefault="00B92E1B">
      <w:pPr>
        <w:tabs>
          <w:tab w:val="clear" w:pos="794"/>
          <w:tab w:val="clear" w:pos="1191"/>
          <w:tab w:val="clear" w:pos="1588"/>
          <w:tab w:val="clear" w:pos="1985"/>
        </w:tabs>
        <w:overflowPunct/>
        <w:autoSpaceDE/>
        <w:autoSpaceDN/>
        <w:adjustRightInd/>
        <w:spacing w:before="0" w:line="240" w:lineRule="auto"/>
        <w:jc w:val="left"/>
        <w:textAlignment w:val="auto"/>
        <w:rPr>
          <w:lang w:val="en-GB"/>
        </w:rPr>
        <w:sectPr w:rsidR="00B92E1B" w:rsidSect="00843E9E">
          <w:footerReference w:type="even" r:id="rId934"/>
          <w:footerReference w:type="default" r:id="rId935"/>
          <w:footnotePr>
            <w:numRestart w:val="eachSect"/>
          </w:footnotePr>
          <w:type w:val="oddPage"/>
          <w:pgSz w:w="11906" w:h="16838" w:code="9"/>
          <w:pgMar w:top="1134" w:right="1134" w:bottom="1134" w:left="1134" w:header="567" w:footer="567" w:gutter="0"/>
          <w:cols w:space="708"/>
          <w:vAlign w:val="both"/>
          <w:docGrid w:linePitch="360"/>
        </w:sectPr>
      </w:pPr>
    </w:p>
    <w:p w14:paraId="1FAF9F43" w14:textId="34AE5346" w:rsidR="00B92E1B" w:rsidRDefault="00B92E1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noProof/>
        </w:rPr>
        <w:drawing>
          <wp:inline distT="0" distB="0" distL="0" distR="0" wp14:anchorId="1EBD7FEB" wp14:editId="19260BF2">
            <wp:extent cx="6595240" cy="9346019"/>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6"/>
                    <a:stretch>
                      <a:fillRect/>
                    </a:stretch>
                  </pic:blipFill>
                  <pic:spPr>
                    <a:xfrm>
                      <a:off x="0" y="0"/>
                      <a:ext cx="6614361" cy="9373116"/>
                    </a:xfrm>
                    <a:prstGeom prst="rect">
                      <a:avLst/>
                    </a:prstGeom>
                  </pic:spPr>
                </pic:pic>
              </a:graphicData>
            </a:graphic>
          </wp:inline>
        </w:drawing>
      </w:r>
    </w:p>
    <w:sectPr w:rsidR="00B92E1B" w:rsidSect="00B92E1B">
      <w:footerReference w:type="even" r:id="rId937"/>
      <w:pgSz w:w="11906" w:h="16838" w:code="9"/>
      <w:pgMar w:top="720" w:right="720" w:bottom="720" w:left="720" w:header="567" w:footer="567" w:gutter="0"/>
      <w:cols w:space="708"/>
      <w:vAlign w:val="both"/>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4CC8F" w14:textId="77777777" w:rsidR="004E4CA9" w:rsidRDefault="004E4CA9">
      <w:r>
        <w:separator/>
      </w:r>
    </w:p>
  </w:endnote>
  <w:endnote w:type="continuationSeparator" w:id="0">
    <w:p w14:paraId="0A265E06" w14:textId="77777777" w:rsidR="004E4CA9" w:rsidRDefault="004E4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39T36Lfz">
    <w:altName w:val="Symbol"/>
    <w:charset w:val="02"/>
    <w:family w:val="auto"/>
    <w:pitch w:val="variable"/>
    <w:sig w:usb0="00000000" w:usb1="10000000" w:usb2="00000000" w:usb3="00000000" w:csb0="80000000" w:csb1="00000000"/>
  </w:font>
  <w:font w:name="????">
    <w:altName w:val="MS Gothic"/>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0"/>
    <w:family w:val="swiss"/>
    <w:pitch w:val="variable"/>
    <w:sig w:usb0="F7FFAFFF" w:usb1="E9DFFFFF" w:usb2="0000003F" w:usb3="00000000" w:csb0="003F01FF" w:csb1="00000000"/>
  </w:font>
  <w:font w:name="Avenir Next LT Pro">
    <w:charset w:val="00"/>
    <w:family w:val="swiss"/>
    <w:pitch w:val="variable"/>
    <w:sig w:usb0="800000EF" w:usb1="5000204A"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charset w:val="00"/>
    <w:family w:val="auto"/>
    <w:pitch w:val="default"/>
    <w:sig w:usb0="00000003" w:usb1="00000000" w:usb2="00000000" w:usb3="00000000" w:csb0="00000001" w:csb1="00000000"/>
  </w:font>
  <w:font w:name="System">
    <w:altName w:val="Calibri"/>
    <w:panose1 w:val="00000000000000000000"/>
    <w:charset w:val="00"/>
    <w:family w:val="swiss"/>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raditional Arabic">
    <w:altName w:val="Times New Roman"/>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3E1F7" w14:textId="50775F48" w:rsidR="004E4CA9" w:rsidRDefault="004E4CA9">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ii</w:t>
    </w:r>
    <w:r>
      <w:rPr>
        <w:b w:val="0"/>
      </w:rPr>
      <w:fldChar w:fldCharType="end"/>
    </w:r>
    <w:r>
      <w:rPr>
        <w:lang w:val="en-US"/>
      </w:rPr>
      <w:tab/>
      <w:t xml:space="preserve">WTSA-04 – Yellow Book 1 – </w:t>
    </w:r>
    <w:r>
      <w:fldChar w:fldCharType="begin"/>
    </w:r>
    <w:r w:rsidRPr="005F31BC">
      <w:rPr>
        <w:lang w:val="en-US"/>
      </w:rPr>
      <w:instrText xml:space="preserve"> DOCPROPERTY "Footer 1" \* MERGEFORMAT </w:instrText>
    </w:r>
    <w:r>
      <w:fldChar w:fldCharType="separate"/>
    </w:r>
    <w:r w:rsidR="006A0076">
      <w:rPr>
        <w:lang w:val="en-US"/>
      </w:rPr>
      <w:t>Part I – Resolution</w:t>
    </w:r>
    <w:r>
      <w:rPr>
        <w:lang w:val="en-US"/>
      </w:rPr>
      <w:fldChar w:fldCharType="end"/>
    </w:r>
    <w:r>
      <w:rPr>
        <w:lang w:val="en-US"/>
      </w:rPr>
      <w:t xml:space="preserve"> </w:t>
    </w:r>
    <w:r>
      <w:fldChar w:fldCharType="begin"/>
    </w:r>
    <w:r>
      <w:rPr>
        <w:lang w:val="en-US"/>
      </w:rPr>
      <w:instrText>styleref href</w:instrText>
    </w:r>
    <w:r>
      <w:fldChar w:fldCharType="separate"/>
    </w:r>
    <w:r w:rsidR="006A0076">
      <w:rPr>
        <w:noProof/>
        <w:lang w:val="en-US"/>
      </w:rPr>
      <w:t>1</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A7848" w14:textId="1AEFF926" w:rsidR="004E4CA9" w:rsidRPr="00255E73" w:rsidRDefault="004E4CA9" w:rsidP="00255E73">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305B6" w14:textId="518978A4"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68</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6C662" w14:textId="07CE15D2" w:rsidR="004E4CA9" w:rsidRPr="007E52B2" w:rsidRDefault="004E4CA9" w:rsidP="006629A2">
    <w:pPr>
      <w:pStyle w:val="FooterQP"/>
      <w:rPr>
        <w:lang w:val="en-GB"/>
      </w:rPr>
    </w:pPr>
    <w:r w:rsidRPr="007D080E">
      <w:rPr>
        <w:b w:val="0"/>
        <w:bCs/>
      </w:rPr>
      <w:fldChar w:fldCharType="begin"/>
    </w:r>
    <w:r w:rsidRPr="007D080E">
      <w:rPr>
        <w:b w:val="0"/>
        <w:bCs/>
        <w:lang w:val="en-GB"/>
      </w:rPr>
      <w:instrText xml:space="preserve"> PAGE  \* MERGEFORMAT </w:instrText>
    </w:r>
    <w:r w:rsidRPr="007D080E">
      <w:rPr>
        <w:b w:val="0"/>
        <w:bCs/>
      </w:rPr>
      <w:fldChar w:fldCharType="separate"/>
    </w:r>
    <w:r>
      <w:rPr>
        <w:b w:val="0"/>
        <w:bCs/>
        <w:noProof/>
        <w:lang w:val="en-GB"/>
      </w:rPr>
      <w:t>170</w:t>
    </w:r>
    <w:r w:rsidRPr="007D080E">
      <w:rPr>
        <w:b w:val="0"/>
        <w:bCs/>
      </w:rPr>
      <w:fldChar w:fldCharType="end"/>
    </w:r>
    <w:r w:rsidRPr="007E52B2">
      <w:rPr>
        <w:lang w:val="en-GB"/>
      </w:rPr>
      <w:tab/>
    </w:r>
    <w:r w:rsidRPr="002D6EB1">
      <w:rPr>
        <w:lang w:val="en-US"/>
      </w:rPr>
      <w:t>WTSA-</w:t>
    </w:r>
    <w:r>
      <w:rPr>
        <w:lang w:val="en-US"/>
      </w:rPr>
      <w:t>20</w:t>
    </w:r>
    <w:r w:rsidRPr="002D6EB1">
      <w:rPr>
        <w:lang w:val="en-US"/>
      </w:rPr>
      <w:t xml:space="preserve"> 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70</w:t>
    </w:r>
    <w:r w:rsidRPr="002D6EB1">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69962" w14:textId="327EF918" w:rsidR="004E4CA9" w:rsidRPr="007D080E" w:rsidRDefault="004E4CA9" w:rsidP="007D080E">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70</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171</w:t>
    </w:r>
    <w:r>
      <w:rPr>
        <w:b w:val="0"/>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8E7D3" w14:textId="4DC68B61"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69</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969EA" w14:textId="2D27AE49" w:rsidR="004E4CA9" w:rsidRPr="007E52B2" w:rsidRDefault="004E4CA9" w:rsidP="006629A2">
    <w:pPr>
      <w:pStyle w:val="FooterQP"/>
      <w:rPr>
        <w:lang w:val="en-GB"/>
      </w:rPr>
    </w:pPr>
    <w:r w:rsidRPr="006629A2">
      <w:rPr>
        <w:b w:val="0"/>
        <w:bCs/>
      </w:rPr>
      <w:fldChar w:fldCharType="begin"/>
    </w:r>
    <w:r w:rsidRPr="006629A2">
      <w:rPr>
        <w:b w:val="0"/>
        <w:bCs/>
        <w:lang w:val="en-GB"/>
      </w:rPr>
      <w:instrText xml:space="preserve"> PAGE  \* MERGEFORMAT </w:instrText>
    </w:r>
    <w:r w:rsidRPr="006629A2">
      <w:rPr>
        <w:b w:val="0"/>
        <w:bCs/>
      </w:rPr>
      <w:fldChar w:fldCharType="separate"/>
    </w:r>
    <w:r>
      <w:rPr>
        <w:b w:val="0"/>
        <w:bCs/>
        <w:noProof/>
        <w:lang w:val="en-GB"/>
      </w:rPr>
      <w:t>176</w:t>
    </w:r>
    <w:r w:rsidRPr="006629A2">
      <w:rPr>
        <w:b w:val="0"/>
        <w:bCs/>
      </w:rPr>
      <w:fldChar w:fldCharType="end"/>
    </w:r>
    <w:r w:rsidRPr="007E52B2">
      <w:rPr>
        <w:lang w:val="en-GB"/>
      </w:rPr>
      <w:tab/>
    </w:r>
    <w:r w:rsidRPr="002D6EB1">
      <w:rPr>
        <w:lang w:val="en-US"/>
      </w:rPr>
      <w:t>WTSA-</w:t>
    </w:r>
    <w:r>
      <w:rPr>
        <w:lang w:val="en-US"/>
      </w:rPr>
      <w:t>20</w:t>
    </w:r>
    <w:r w:rsidRPr="002D6EB1">
      <w:rPr>
        <w:lang w:val="en-US"/>
      </w:rPr>
      <w:t xml:space="preserve"> 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72</w:t>
    </w:r>
    <w:r w:rsidRPr="002D6EB1">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EDB49" w14:textId="0BA6631E" w:rsidR="004E4CA9" w:rsidRPr="00B47F75" w:rsidRDefault="004E4CA9" w:rsidP="00B47F75">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72</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175</w:t>
    </w:r>
    <w:r>
      <w:rPr>
        <w:b w:val="0"/>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B64C6" w14:textId="189F3FB8" w:rsidR="004E4CA9" w:rsidRPr="00896F54" w:rsidRDefault="004E4CA9"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778A5" w14:textId="3638C2FA" w:rsidR="004E4CA9" w:rsidRPr="007E52B2" w:rsidRDefault="004E4CA9" w:rsidP="006629A2">
    <w:pPr>
      <w:pStyle w:val="FooterQP"/>
      <w:rPr>
        <w:lang w:val="en-GB"/>
      </w:rPr>
    </w:pPr>
    <w:r w:rsidRPr="006629A2">
      <w:rPr>
        <w:b w:val="0"/>
        <w:bCs/>
      </w:rPr>
      <w:fldChar w:fldCharType="begin"/>
    </w:r>
    <w:r w:rsidRPr="006629A2">
      <w:rPr>
        <w:b w:val="0"/>
        <w:bCs/>
        <w:lang w:val="en-GB"/>
      </w:rPr>
      <w:instrText xml:space="preserve"> PAGE  \* MERGEFORMAT </w:instrText>
    </w:r>
    <w:r w:rsidRPr="006629A2">
      <w:rPr>
        <w:b w:val="0"/>
        <w:bCs/>
      </w:rPr>
      <w:fldChar w:fldCharType="separate"/>
    </w:r>
    <w:r>
      <w:rPr>
        <w:b w:val="0"/>
        <w:bCs/>
        <w:noProof/>
        <w:lang w:val="en-GB"/>
      </w:rPr>
      <w:t>180</w:t>
    </w:r>
    <w:r w:rsidRPr="006629A2">
      <w:rPr>
        <w:b w:val="0"/>
        <w:bCs/>
      </w:rPr>
      <w:fldChar w:fldCharType="end"/>
    </w:r>
    <w:r w:rsidRPr="007E52B2">
      <w:rPr>
        <w:lang w:val="en-GB"/>
      </w:rPr>
      <w:tab/>
    </w:r>
    <w:r w:rsidRPr="002D6EB1">
      <w:rPr>
        <w:lang w:val="en-US"/>
      </w:rPr>
      <w:t>WTSA-</w:t>
    </w:r>
    <w:r>
      <w:rPr>
        <w:lang w:val="en-US"/>
      </w:rPr>
      <w:t>20</w:t>
    </w:r>
    <w:r w:rsidRPr="002D6EB1">
      <w:rPr>
        <w:lang w:val="en-US"/>
      </w:rPr>
      <w:t xml:space="preserve"> 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73</w:t>
    </w:r>
    <w:r w:rsidRPr="002D6EB1">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BB0C6" w14:textId="4C0B9C1F" w:rsidR="004E4CA9" w:rsidRPr="00BF70DE" w:rsidRDefault="004E4CA9" w:rsidP="00BF70DE">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73</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181</w:t>
    </w:r>
    <w:r>
      <w:rPr>
        <w:b w:val="0"/>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DF6E6" w14:textId="300D2F4E"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3667E" w14:textId="1E186A34"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16</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1</w:t>
    </w:r>
    <w:r w:rsidRPr="002D6EB1">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BBA2B" w14:textId="0D2B42A3" w:rsidR="004E4CA9" w:rsidRPr="007E52B2" w:rsidRDefault="004E4CA9" w:rsidP="00514D9A">
    <w:pPr>
      <w:pStyle w:val="FooterQP"/>
      <w:rPr>
        <w:lang w:val="en-GB"/>
      </w:rPr>
    </w:pPr>
    <w:r w:rsidRPr="00514D9A">
      <w:rPr>
        <w:b w:val="0"/>
        <w:bCs/>
      </w:rPr>
      <w:fldChar w:fldCharType="begin"/>
    </w:r>
    <w:r w:rsidRPr="00514D9A">
      <w:rPr>
        <w:b w:val="0"/>
        <w:bCs/>
        <w:lang w:val="en-GB"/>
      </w:rPr>
      <w:instrText xml:space="preserve"> PAGE  \* MERGEFORMAT </w:instrText>
    </w:r>
    <w:r w:rsidRPr="00514D9A">
      <w:rPr>
        <w:b w:val="0"/>
        <w:bCs/>
      </w:rPr>
      <w:fldChar w:fldCharType="separate"/>
    </w:r>
    <w:r>
      <w:rPr>
        <w:b w:val="0"/>
        <w:bCs/>
        <w:noProof/>
        <w:lang w:val="en-GB"/>
      </w:rPr>
      <w:t>182</w:t>
    </w:r>
    <w:r w:rsidRPr="00514D9A">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74</w:t>
    </w:r>
    <w:r w:rsidRPr="002D6EB1">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78542" w14:textId="2CA180DC" w:rsidR="004E4CA9" w:rsidRPr="00896F54" w:rsidRDefault="004E4CA9" w:rsidP="00896F54">
    <w:pPr>
      <w:pStyle w:val="FooterQP"/>
      <w:rPr>
        <w:b w:val="0"/>
        <w:lang w:val="en-US"/>
      </w:rPr>
    </w:pPr>
    <w:r>
      <w:tab/>
    </w:r>
    <w:r>
      <w:tab/>
    </w:r>
    <w:r>
      <w:rPr>
        <w:lang w:val="en-US"/>
      </w:rPr>
      <w:t xml:space="preserve">WTSA-20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74</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183</w:t>
    </w:r>
    <w:r>
      <w:rPr>
        <w:b w:val="0"/>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F4241" w14:textId="36F7366C"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73</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787E0" w14:textId="6883DD6F" w:rsidR="004E4CA9" w:rsidRPr="007E52B2" w:rsidRDefault="004E4CA9" w:rsidP="00896F54">
    <w:pPr>
      <w:ind w:right="360"/>
      <w:rPr>
        <w:b/>
        <w:bCs/>
        <w:lang w:val="en-GB"/>
      </w:rPr>
    </w:pPr>
    <w:r w:rsidRPr="002D6EB1">
      <w:rPr>
        <w:bCs/>
      </w:rPr>
      <w:fldChar w:fldCharType="begin"/>
    </w:r>
    <w:r w:rsidRPr="007E52B2">
      <w:rPr>
        <w:bCs/>
        <w:lang w:val="en-GB"/>
      </w:rPr>
      <w:instrText xml:space="preserve"> PAGE  \* MERGEFORMAT </w:instrText>
    </w:r>
    <w:r w:rsidRPr="002D6EB1">
      <w:rPr>
        <w:bCs/>
      </w:rPr>
      <w:fldChar w:fldCharType="separate"/>
    </w:r>
    <w:r>
      <w:rPr>
        <w:bCs/>
        <w:noProof/>
        <w:lang w:val="en-GB"/>
      </w:rPr>
      <w:t>188</w:t>
    </w:r>
    <w:r w:rsidRPr="002D6EB1">
      <w:rPr>
        <w:bCs/>
      </w:rPr>
      <w:fldChar w:fldCharType="end"/>
    </w:r>
    <w:r w:rsidRPr="007E52B2">
      <w:rPr>
        <w:b/>
        <w:lang w:val="en-GB"/>
      </w:rPr>
      <w:tab/>
    </w:r>
    <w:r w:rsidRPr="002D6EB1">
      <w:rPr>
        <w:b/>
        <w:bCs/>
        <w:lang w:val="en-US"/>
      </w:rPr>
      <w:t>WTSA-</w:t>
    </w:r>
    <w:r>
      <w:rPr>
        <w:b/>
        <w:bCs/>
        <w:lang w:val="en-US"/>
      </w:rPr>
      <w:t xml:space="preserve">20 </w:t>
    </w:r>
    <w:r w:rsidRPr="002D6EB1">
      <w:rPr>
        <w:b/>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
        <w:bCs/>
        <w:lang w:val="en-US"/>
      </w:rPr>
      <w:t>Part I – Resolution</w:t>
    </w:r>
    <w:r>
      <w:rPr>
        <w:b/>
        <w:bCs/>
        <w:lang w:val="en-US"/>
      </w:rPr>
      <w:fldChar w:fldCharType="end"/>
    </w:r>
    <w:r w:rsidRPr="002D6EB1">
      <w:rPr>
        <w:b/>
        <w:bCs/>
        <w:lang w:val="en-US"/>
      </w:rPr>
      <w:t xml:space="preserve"> </w:t>
    </w:r>
    <w:r w:rsidRPr="002D6EB1">
      <w:rPr>
        <w:b/>
        <w:bCs/>
      </w:rPr>
      <w:fldChar w:fldCharType="begin"/>
    </w:r>
    <w:r w:rsidRPr="002D6EB1">
      <w:rPr>
        <w:b/>
        <w:bCs/>
        <w:lang w:val="en-US"/>
      </w:rPr>
      <w:instrText>styleref href</w:instrText>
    </w:r>
    <w:r w:rsidRPr="002D6EB1">
      <w:rPr>
        <w:b/>
        <w:bCs/>
      </w:rPr>
      <w:fldChar w:fldCharType="separate"/>
    </w:r>
    <w:r w:rsidR="006A0076">
      <w:rPr>
        <w:b/>
        <w:bCs/>
        <w:noProof/>
        <w:lang w:val="en-US"/>
      </w:rPr>
      <w:t>75</w:t>
    </w:r>
    <w:r w:rsidRPr="002D6EB1">
      <w:rPr>
        <w:b/>
        <w:bCs/>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4408A" w14:textId="70FB941F" w:rsidR="004E4CA9" w:rsidRPr="00514D9A" w:rsidRDefault="004E4CA9" w:rsidP="00514D9A">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75</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189</w:t>
    </w:r>
    <w:r>
      <w:rPr>
        <w:b w:val="0"/>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588C1" w14:textId="12F198F2"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55F37" w14:textId="6D4F69FE" w:rsidR="004E4CA9" w:rsidRPr="007E52B2" w:rsidRDefault="004E4CA9" w:rsidP="00514D9A">
    <w:pPr>
      <w:pStyle w:val="FooterQP"/>
      <w:rPr>
        <w:lang w:val="en-GB"/>
      </w:rPr>
    </w:pPr>
    <w:r w:rsidRPr="00514D9A">
      <w:rPr>
        <w:b w:val="0"/>
        <w:bCs/>
      </w:rPr>
      <w:fldChar w:fldCharType="begin"/>
    </w:r>
    <w:r w:rsidRPr="00514D9A">
      <w:rPr>
        <w:b w:val="0"/>
        <w:bCs/>
        <w:lang w:val="en-GB"/>
      </w:rPr>
      <w:instrText xml:space="preserve"> PAGE  \* MERGEFORMAT </w:instrText>
    </w:r>
    <w:r w:rsidRPr="00514D9A">
      <w:rPr>
        <w:b w:val="0"/>
        <w:bCs/>
      </w:rPr>
      <w:fldChar w:fldCharType="separate"/>
    </w:r>
    <w:r>
      <w:rPr>
        <w:b w:val="0"/>
        <w:bCs/>
        <w:noProof/>
        <w:lang w:val="en-GB"/>
      </w:rPr>
      <w:t>194</w:t>
    </w:r>
    <w:r w:rsidRPr="00514D9A">
      <w:rPr>
        <w:b w:val="0"/>
        <w:bCs/>
      </w:rPr>
      <w:fldChar w:fldCharType="end"/>
    </w:r>
    <w:r w:rsidRPr="007E52B2">
      <w:rPr>
        <w:lang w:val="en-GB"/>
      </w:rPr>
      <w:tab/>
    </w:r>
    <w:r w:rsidRPr="002D6EB1">
      <w:rPr>
        <w:bCs/>
        <w:lang w:val="en-US"/>
      </w:rPr>
      <w:t>WTSA</w:t>
    </w:r>
    <w:r w:rsidRPr="002C3215">
      <w:rPr>
        <w:bCs/>
        <w:lang w:val="en-US"/>
      </w:rPr>
      <w:t>-20</w:t>
    </w:r>
    <w:r w:rsidRPr="002D6EB1">
      <w:rPr>
        <w:lang w:val="en-US"/>
      </w:rPr>
      <w:t xml:space="preserve"> 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76</w:t>
    </w:r>
    <w:r w:rsidRPr="002D6EB1">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D00E0" w14:textId="03C9DA84" w:rsidR="004E4CA9" w:rsidRPr="00514D9A" w:rsidRDefault="004E4CA9" w:rsidP="00514D9A">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76</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195</w:t>
    </w:r>
    <w:r>
      <w:rPr>
        <w:b w:val="0"/>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B52CA" w14:textId="4EA3D911"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75</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031A6" w14:textId="5D90EA2A" w:rsidR="004E4CA9" w:rsidRPr="007E52B2" w:rsidRDefault="004E4CA9" w:rsidP="00514D9A">
    <w:pPr>
      <w:pStyle w:val="FooterQP"/>
      <w:rPr>
        <w:lang w:val="en-GB"/>
      </w:rPr>
    </w:pPr>
    <w:r w:rsidRPr="00514D9A">
      <w:rPr>
        <w:b w:val="0"/>
        <w:bCs/>
      </w:rPr>
      <w:fldChar w:fldCharType="begin"/>
    </w:r>
    <w:r w:rsidRPr="00514D9A">
      <w:rPr>
        <w:b w:val="0"/>
        <w:bCs/>
        <w:lang w:val="en-GB"/>
      </w:rPr>
      <w:instrText xml:space="preserve"> PAGE  \* MERGEFORMAT </w:instrText>
    </w:r>
    <w:r w:rsidRPr="00514D9A">
      <w:rPr>
        <w:b w:val="0"/>
        <w:bCs/>
      </w:rPr>
      <w:fldChar w:fldCharType="separate"/>
    </w:r>
    <w:r>
      <w:rPr>
        <w:b w:val="0"/>
        <w:bCs/>
        <w:noProof/>
        <w:lang w:val="en-GB"/>
      </w:rPr>
      <w:t>198</w:t>
    </w:r>
    <w:r w:rsidRPr="00514D9A">
      <w:rPr>
        <w:b w:val="0"/>
        <w:bCs/>
      </w:rPr>
      <w:fldChar w:fldCharType="end"/>
    </w:r>
    <w:r w:rsidRPr="007E52B2">
      <w:rPr>
        <w:lang w:val="en-GB"/>
      </w:rPr>
      <w:tab/>
    </w:r>
    <w:r w:rsidRPr="002D6EB1">
      <w:rPr>
        <w:bCs/>
        <w:lang w:val="en-US"/>
      </w:rPr>
      <w:t>WTSA</w:t>
    </w:r>
    <w:r w:rsidRPr="002C3215">
      <w:rPr>
        <w:bCs/>
        <w:lang w:val="en-US"/>
      </w:rPr>
      <w:t>-20</w:t>
    </w:r>
    <w:r>
      <w:rPr>
        <w:lang w:val="en-US"/>
      </w:rPr>
      <w:t xml:space="preserve">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77</w:t>
    </w:r>
    <w:r w:rsidRPr="002D6EB1">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C2CE4" w14:textId="7BA24B8F" w:rsidR="004E4CA9" w:rsidRPr="00896F54" w:rsidRDefault="004E4CA9" w:rsidP="00896F54">
    <w:pPr>
      <w:pStyle w:val="FooterQP"/>
      <w:rPr>
        <w:b w:val="0"/>
        <w:lang w:val="en-US"/>
      </w:rPr>
    </w:pPr>
    <w:r>
      <w:tab/>
    </w:r>
    <w:r>
      <w:tab/>
    </w:r>
    <w:r>
      <w:rPr>
        <w:lang w:val="en-US"/>
      </w:rPr>
      <w:t xml:space="preserve">WTSA-20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1</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17</w:t>
    </w:r>
    <w:r>
      <w:rPr>
        <w:b w:val="0"/>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9E578" w14:textId="519CA0CC" w:rsidR="004E4CA9" w:rsidRPr="00896F54" w:rsidRDefault="004E4CA9" w:rsidP="00896F54">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77</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197</w:t>
    </w:r>
    <w:r>
      <w:rPr>
        <w:b w:val="0"/>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6BE48" w14:textId="04E33A93"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76</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2CB37" w14:textId="2C6B2380" w:rsidR="004E4CA9" w:rsidRPr="007E52B2" w:rsidRDefault="004E4CA9" w:rsidP="00514D9A">
    <w:pPr>
      <w:pStyle w:val="FooterQP"/>
      <w:rPr>
        <w:lang w:val="en-GB"/>
      </w:rPr>
    </w:pPr>
    <w:r w:rsidRPr="00514D9A">
      <w:rPr>
        <w:b w:val="0"/>
        <w:bCs/>
      </w:rPr>
      <w:fldChar w:fldCharType="begin"/>
    </w:r>
    <w:r w:rsidRPr="00514D9A">
      <w:rPr>
        <w:b w:val="0"/>
        <w:bCs/>
        <w:lang w:val="en-GB"/>
      </w:rPr>
      <w:instrText xml:space="preserve"> PAGE  \* MERGEFORMAT </w:instrText>
    </w:r>
    <w:r w:rsidRPr="00514D9A">
      <w:rPr>
        <w:b w:val="0"/>
        <w:bCs/>
      </w:rPr>
      <w:fldChar w:fldCharType="separate"/>
    </w:r>
    <w:r>
      <w:rPr>
        <w:b w:val="0"/>
        <w:bCs/>
        <w:noProof/>
        <w:lang w:val="en-GB"/>
      </w:rPr>
      <w:t>202</w:t>
    </w:r>
    <w:r w:rsidRPr="00514D9A">
      <w:rPr>
        <w:b w:val="0"/>
        <w:bCs/>
      </w:rPr>
      <w:fldChar w:fldCharType="end"/>
    </w:r>
    <w:r w:rsidRPr="007E52B2">
      <w:rPr>
        <w:lang w:val="en-GB"/>
      </w:rPr>
      <w:tab/>
    </w:r>
    <w:r w:rsidRPr="002D6EB1">
      <w:rPr>
        <w:bCs/>
        <w:lang w:val="en-US"/>
      </w:rPr>
      <w:t>WTSA</w:t>
    </w:r>
    <w:r w:rsidRPr="002C3215">
      <w:rPr>
        <w:bCs/>
        <w:lang w:val="en-US"/>
      </w:rPr>
      <w:t>-20</w:t>
    </w:r>
    <w:r>
      <w:rPr>
        <w:lang w:val="en-US"/>
      </w:rPr>
      <w:t xml:space="preserve">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78</w:t>
    </w:r>
    <w:r w:rsidRPr="002D6EB1">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B0F64" w14:textId="4C7DA2CE" w:rsidR="004E4CA9" w:rsidRPr="00514D9A" w:rsidRDefault="004E4CA9" w:rsidP="00514D9A">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78</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201</w:t>
    </w:r>
    <w:r>
      <w:rPr>
        <w:b w:val="0"/>
      </w:rP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D3DAD" w14:textId="0935D41B"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77</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4667D" w14:textId="4D681462" w:rsidR="004E4CA9" w:rsidRPr="007E52B2" w:rsidRDefault="004E4CA9" w:rsidP="004B363C">
    <w:pPr>
      <w:pStyle w:val="FooterQP"/>
      <w:rPr>
        <w:lang w:val="en-GB"/>
      </w:rPr>
    </w:pPr>
    <w:r w:rsidRPr="004B363C">
      <w:rPr>
        <w:b w:val="0"/>
        <w:bCs/>
      </w:rPr>
      <w:fldChar w:fldCharType="begin"/>
    </w:r>
    <w:r w:rsidRPr="004B363C">
      <w:rPr>
        <w:b w:val="0"/>
        <w:bCs/>
        <w:lang w:val="en-GB"/>
      </w:rPr>
      <w:instrText xml:space="preserve"> PAGE  \* MERGEFORMAT </w:instrText>
    </w:r>
    <w:r w:rsidRPr="004B363C">
      <w:rPr>
        <w:b w:val="0"/>
        <w:bCs/>
      </w:rPr>
      <w:fldChar w:fldCharType="separate"/>
    </w:r>
    <w:r>
      <w:rPr>
        <w:b w:val="0"/>
        <w:bCs/>
        <w:noProof/>
        <w:lang w:val="en-GB"/>
      </w:rPr>
      <w:t>206</w:t>
    </w:r>
    <w:r w:rsidRPr="004B363C">
      <w:rPr>
        <w:b w:val="0"/>
        <w:bCs/>
      </w:rPr>
      <w:fldChar w:fldCharType="end"/>
    </w:r>
    <w:r w:rsidRPr="007E52B2">
      <w:rPr>
        <w:lang w:val="en-GB"/>
      </w:rPr>
      <w:tab/>
    </w:r>
    <w:r w:rsidRPr="002D6EB1">
      <w:rPr>
        <w:bCs/>
        <w:lang w:val="en-US"/>
      </w:rPr>
      <w:t>WTSA</w:t>
    </w:r>
    <w:r w:rsidRPr="002C3215">
      <w:rPr>
        <w:bCs/>
        <w:lang w:val="en-US"/>
      </w:rPr>
      <w:t>-20</w:t>
    </w:r>
    <w:r>
      <w:rPr>
        <w:lang w:val="en-US"/>
      </w:rPr>
      <w:t xml:space="preserve">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79</w:t>
    </w:r>
    <w:r w:rsidRPr="002D6EB1">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12BC4" w14:textId="155D494D" w:rsidR="004E4CA9" w:rsidRPr="00514D9A" w:rsidRDefault="004E4CA9" w:rsidP="00514D9A">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79</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205</w:t>
    </w:r>
    <w:r>
      <w:rPr>
        <w:b w:val="0"/>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7896F" w14:textId="49B386C5"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78</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8FD38" w14:textId="2A1A508F" w:rsidR="004E4CA9" w:rsidRPr="007E52B2" w:rsidRDefault="004E4CA9" w:rsidP="004B363C">
    <w:pPr>
      <w:pStyle w:val="FooterQP"/>
      <w:rPr>
        <w:lang w:val="en-GB"/>
      </w:rPr>
    </w:pPr>
    <w:r w:rsidRPr="004B363C">
      <w:rPr>
        <w:b w:val="0"/>
        <w:bCs/>
      </w:rPr>
      <w:fldChar w:fldCharType="begin"/>
    </w:r>
    <w:r w:rsidRPr="004B363C">
      <w:rPr>
        <w:b w:val="0"/>
        <w:bCs/>
        <w:lang w:val="en-GB"/>
      </w:rPr>
      <w:instrText xml:space="preserve"> PAGE  \* MERGEFORMAT </w:instrText>
    </w:r>
    <w:r w:rsidRPr="004B363C">
      <w:rPr>
        <w:b w:val="0"/>
        <w:bCs/>
      </w:rPr>
      <w:fldChar w:fldCharType="separate"/>
    </w:r>
    <w:r>
      <w:rPr>
        <w:b w:val="0"/>
        <w:bCs/>
        <w:noProof/>
        <w:lang w:val="en-GB"/>
      </w:rPr>
      <w:t>208</w:t>
    </w:r>
    <w:r w:rsidRPr="004B363C">
      <w:rPr>
        <w:b w:val="0"/>
        <w:bCs/>
      </w:rPr>
      <w:fldChar w:fldCharType="end"/>
    </w:r>
    <w:r w:rsidRPr="007E52B2">
      <w:rPr>
        <w:lang w:val="en-GB"/>
      </w:rPr>
      <w:tab/>
    </w:r>
    <w:r w:rsidRPr="002D6EB1">
      <w:rPr>
        <w:bCs/>
        <w:lang w:val="en-US"/>
      </w:rPr>
      <w:t>WTSA</w:t>
    </w:r>
    <w:r w:rsidRPr="002C3215">
      <w:rPr>
        <w:bCs/>
        <w:lang w:val="en-US"/>
      </w:rPr>
      <w:t>-20</w:t>
    </w:r>
    <w:r>
      <w:rPr>
        <w:lang w:val="en-US"/>
      </w:rPr>
      <w:t xml:space="preserve">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80</w:t>
    </w:r>
    <w:r w:rsidRPr="002D6EB1">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794AD" w14:textId="38BC53BD" w:rsidR="004E4CA9" w:rsidRPr="00514D9A" w:rsidRDefault="004E4CA9" w:rsidP="00514D9A">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80</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207</w:t>
    </w:r>
    <w:r>
      <w:rPr>
        <w:b w:val="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7AE0E" w14:textId="495BE199" w:rsidR="004E4CA9" w:rsidRPr="00896F54" w:rsidRDefault="004E4CA9" w:rsidP="00896F54">
    <w:pPr>
      <w:pStyle w:val="FooterQP"/>
      <w:rPr>
        <w:b w:val="0"/>
        <w:lang w:val="en-US"/>
      </w:rPr>
    </w:pPr>
    <w:r>
      <w:tab/>
    </w:r>
    <w:r>
      <w:tab/>
    </w:r>
    <w:r>
      <w:rPr>
        <w:lang w:val="en-US"/>
      </w:rPr>
      <w:t xml:space="preserve">WTSA-20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1</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3</w:t>
    </w:r>
    <w:r>
      <w:rPr>
        <w:b w:val="0"/>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9CDF" w14:textId="4880056F"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79</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E58F4" w14:textId="1437AFEA" w:rsidR="004E4CA9" w:rsidRPr="007E52B2" w:rsidRDefault="004E4CA9" w:rsidP="004B363C">
    <w:pPr>
      <w:pStyle w:val="FooterQP"/>
      <w:rPr>
        <w:lang w:val="en-GB"/>
      </w:rPr>
    </w:pPr>
    <w:r w:rsidRPr="004B363C">
      <w:rPr>
        <w:b w:val="0"/>
        <w:bCs/>
      </w:rPr>
      <w:fldChar w:fldCharType="begin"/>
    </w:r>
    <w:r w:rsidRPr="004B363C">
      <w:rPr>
        <w:b w:val="0"/>
        <w:bCs/>
        <w:lang w:val="en-GB"/>
      </w:rPr>
      <w:instrText xml:space="preserve"> PAGE  \* MERGEFORMAT </w:instrText>
    </w:r>
    <w:r w:rsidRPr="004B363C">
      <w:rPr>
        <w:b w:val="0"/>
        <w:bCs/>
      </w:rPr>
      <w:fldChar w:fldCharType="separate"/>
    </w:r>
    <w:r>
      <w:rPr>
        <w:b w:val="0"/>
        <w:bCs/>
        <w:noProof/>
        <w:lang w:val="en-GB"/>
      </w:rPr>
      <w:t>190</w:t>
    </w:r>
    <w:r w:rsidRPr="004B363C">
      <w:rPr>
        <w:b w:val="0"/>
        <w:bCs/>
      </w:rPr>
      <w:fldChar w:fldCharType="end"/>
    </w:r>
    <w:r w:rsidRPr="007E52B2">
      <w:rPr>
        <w:lang w:val="en-GB"/>
      </w:rPr>
      <w:tab/>
    </w:r>
    <w:r w:rsidRPr="002D6EB1">
      <w:rPr>
        <w:lang w:val="en-US"/>
      </w:rPr>
      <w:t>WTSA-</w:t>
    </w:r>
    <w:r>
      <w:rPr>
        <w:lang w:val="en-US"/>
      </w:rPr>
      <w:t>20</w:t>
    </w:r>
    <w:r w:rsidRPr="002D6EB1">
      <w:rPr>
        <w:lang w:val="en-US"/>
      </w:rPr>
      <w:t xml:space="preserve"> 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83</w:t>
    </w:r>
    <w:r w:rsidRPr="002D6EB1">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97F15" w14:textId="6EDD43F9" w:rsidR="004E4CA9" w:rsidRPr="0080691A" w:rsidRDefault="004E4CA9" w:rsidP="0080691A">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80</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6A0076">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Pr>
        <w:b w:val="0"/>
        <w:noProof/>
        <w:lang w:val="en-US"/>
      </w:rPr>
      <w:t>209</w:t>
    </w:r>
    <w:r>
      <w:rPr>
        <w:b w:val="0"/>
      </w:rP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C3B73" w14:textId="7839CEEA"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80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2B3E9" w14:textId="1527EEFB" w:rsidR="004E4CA9" w:rsidRPr="007E52B2" w:rsidRDefault="004E4CA9" w:rsidP="004B363C">
    <w:pPr>
      <w:pStyle w:val="FooterQP"/>
      <w:rPr>
        <w:lang w:val="en-GB"/>
      </w:rPr>
    </w:pPr>
    <w:r w:rsidRPr="004B363C">
      <w:rPr>
        <w:b w:val="0"/>
        <w:bCs/>
      </w:rPr>
      <w:fldChar w:fldCharType="begin"/>
    </w:r>
    <w:r w:rsidRPr="004B363C">
      <w:rPr>
        <w:b w:val="0"/>
        <w:bCs/>
        <w:lang w:val="en-GB"/>
      </w:rPr>
      <w:instrText xml:space="preserve"> PAGE  \* MERGEFORMAT </w:instrText>
    </w:r>
    <w:r w:rsidRPr="004B363C">
      <w:rPr>
        <w:b w:val="0"/>
        <w:bCs/>
      </w:rPr>
      <w:fldChar w:fldCharType="separate"/>
    </w:r>
    <w:r>
      <w:rPr>
        <w:b w:val="0"/>
        <w:bCs/>
        <w:noProof/>
        <w:lang w:val="en-GB"/>
      </w:rPr>
      <w:t>212</w:t>
    </w:r>
    <w:r w:rsidRPr="004B363C">
      <w:rPr>
        <w:b w:val="0"/>
        <w:bCs/>
      </w:rPr>
      <w:fldChar w:fldCharType="end"/>
    </w:r>
    <w:r w:rsidRPr="007E52B2">
      <w:rPr>
        <w:lang w:val="en-GB"/>
      </w:rPr>
      <w:tab/>
    </w:r>
    <w:r w:rsidRPr="002D6EB1">
      <w:rPr>
        <w:bCs/>
        <w:lang w:val="en-US"/>
      </w:rPr>
      <w:t>WTSA</w:t>
    </w:r>
    <w:r w:rsidRPr="002C3215">
      <w:rPr>
        <w:bCs/>
        <w:lang w:val="en-US"/>
      </w:rPr>
      <w:t>-20</w:t>
    </w:r>
    <w:r w:rsidRPr="002D6EB1">
      <w:rPr>
        <w:lang w:val="en-US"/>
      </w:rPr>
      <w:t xml:space="preserve"> 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84</w:t>
    </w:r>
    <w:r w:rsidRPr="002D6EB1">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F3CA6" w14:textId="1C3AC021" w:rsidR="004E4CA9" w:rsidRPr="0080691A" w:rsidRDefault="004E4CA9" w:rsidP="0080691A">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84</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211</w:t>
    </w:r>
    <w:r>
      <w:rPr>
        <w:b w:val="0"/>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D10F2" w14:textId="7487E6A9"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83</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0C821" w14:textId="5DB7806C" w:rsidR="004E4CA9" w:rsidRPr="007E52B2" w:rsidRDefault="004E4CA9" w:rsidP="004B363C">
    <w:pPr>
      <w:pStyle w:val="FooterQP"/>
      <w:rPr>
        <w:lang w:val="en-GB"/>
      </w:rPr>
    </w:pPr>
    <w:r w:rsidRPr="004B363C">
      <w:rPr>
        <w:b w:val="0"/>
        <w:bCs/>
      </w:rPr>
      <w:fldChar w:fldCharType="begin"/>
    </w:r>
    <w:r w:rsidRPr="004B363C">
      <w:rPr>
        <w:b w:val="0"/>
        <w:bCs/>
        <w:lang w:val="en-GB"/>
      </w:rPr>
      <w:instrText xml:space="preserve"> PAGE  \* MERGEFORMAT </w:instrText>
    </w:r>
    <w:r w:rsidRPr="004B363C">
      <w:rPr>
        <w:b w:val="0"/>
        <w:bCs/>
      </w:rPr>
      <w:fldChar w:fldCharType="separate"/>
    </w:r>
    <w:r>
      <w:rPr>
        <w:b w:val="0"/>
        <w:bCs/>
        <w:noProof/>
        <w:lang w:val="en-GB"/>
      </w:rPr>
      <w:t>192</w:t>
    </w:r>
    <w:r w:rsidRPr="004B363C">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85</w:t>
    </w:r>
    <w:r w:rsidRPr="002D6EB1">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D98D5" w14:textId="1E27AE37" w:rsidR="004E4CA9" w:rsidRPr="0080691A" w:rsidRDefault="004E4CA9" w:rsidP="0080691A">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84</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6A0076">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Pr>
        <w:b w:val="0"/>
        <w:noProof/>
        <w:lang w:val="en-US"/>
      </w:rPr>
      <w:t>213</w:t>
    </w:r>
    <w:r>
      <w:rPr>
        <w:b w:val="0"/>
      </w:rP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C3C79" w14:textId="25FC68DC"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84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AAD54" w14:textId="774407A2"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62</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2</w:t>
    </w:r>
    <w:r w:rsidRPr="002D6EB1">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A137B" w14:textId="2132670A" w:rsidR="004E4CA9" w:rsidRPr="007E52B2" w:rsidRDefault="004E4CA9" w:rsidP="00896F54">
    <w:pPr>
      <w:ind w:right="360"/>
      <w:rPr>
        <w:b/>
        <w:bCs/>
        <w:lang w:val="en-GB"/>
      </w:rPr>
    </w:pPr>
    <w:r w:rsidRPr="002D6EB1">
      <w:rPr>
        <w:bCs/>
      </w:rPr>
      <w:fldChar w:fldCharType="begin"/>
    </w:r>
    <w:r w:rsidRPr="007E52B2">
      <w:rPr>
        <w:bCs/>
        <w:lang w:val="en-GB"/>
      </w:rPr>
      <w:instrText xml:space="preserve"> PAGE  \* MERGEFORMAT </w:instrText>
    </w:r>
    <w:r w:rsidRPr="002D6EB1">
      <w:rPr>
        <w:bCs/>
      </w:rPr>
      <w:fldChar w:fldCharType="separate"/>
    </w:r>
    <w:r>
      <w:rPr>
        <w:bCs/>
        <w:noProof/>
        <w:lang w:val="en-GB"/>
      </w:rPr>
      <w:t>214</w:t>
    </w:r>
    <w:r w:rsidRPr="002D6EB1">
      <w:rPr>
        <w:bCs/>
      </w:rPr>
      <w:fldChar w:fldCharType="end"/>
    </w:r>
    <w:r w:rsidRPr="007E52B2">
      <w:rPr>
        <w:b/>
        <w:lang w:val="en-GB"/>
      </w:rPr>
      <w:tab/>
    </w:r>
    <w:r w:rsidRPr="002D6EB1">
      <w:rPr>
        <w:b/>
        <w:bCs/>
        <w:lang w:val="en-US"/>
      </w:rPr>
      <w:t>WTSA</w:t>
    </w:r>
    <w:r w:rsidRPr="002C3215">
      <w:rPr>
        <w:bCs/>
        <w:lang w:val="en-US"/>
      </w:rPr>
      <w:t>-</w:t>
    </w:r>
    <w:r w:rsidRPr="002C3215">
      <w:rPr>
        <w:b/>
        <w:lang w:val="en-US"/>
      </w:rPr>
      <w:t>20</w:t>
    </w:r>
    <w:r w:rsidRPr="002D6EB1">
      <w:rPr>
        <w:b/>
        <w:bCs/>
        <w:lang w:val="en-US"/>
      </w:rPr>
      <w:t xml:space="preserve"> – Proceedings – </w:t>
    </w:r>
    <w:r>
      <w:fldChar w:fldCharType="begin"/>
    </w:r>
    <w:r w:rsidRPr="007E52B2">
      <w:rPr>
        <w:lang w:val="en-GB"/>
      </w:rPr>
      <w:instrText xml:space="preserve"> DOCPROPERTY "Footer 1" \* MERGEFORMAT </w:instrText>
    </w:r>
    <w:r>
      <w:fldChar w:fldCharType="separate"/>
    </w:r>
    <w:r w:rsidR="006A0076" w:rsidRPr="006A0076">
      <w:rPr>
        <w:b/>
        <w:bCs/>
        <w:lang w:val="en-US"/>
      </w:rPr>
      <w:t>Part I – Resolution</w:t>
    </w:r>
    <w:r>
      <w:rPr>
        <w:b/>
        <w:bCs/>
        <w:lang w:val="en-US"/>
      </w:rPr>
      <w:fldChar w:fldCharType="end"/>
    </w:r>
    <w:r w:rsidRPr="002D6EB1">
      <w:rPr>
        <w:b/>
        <w:bCs/>
        <w:lang w:val="en-US"/>
      </w:rPr>
      <w:t xml:space="preserve"> </w:t>
    </w:r>
    <w:r w:rsidRPr="002D6EB1">
      <w:rPr>
        <w:b/>
        <w:bCs/>
      </w:rPr>
      <w:fldChar w:fldCharType="begin"/>
    </w:r>
    <w:r w:rsidRPr="002D6EB1">
      <w:rPr>
        <w:b/>
        <w:bCs/>
        <w:lang w:val="en-US"/>
      </w:rPr>
      <w:instrText>styleref href</w:instrText>
    </w:r>
    <w:r w:rsidRPr="002D6EB1">
      <w:rPr>
        <w:b/>
        <w:bCs/>
      </w:rPr>
      <w:fldChar w:fldCharType="separate"/>
    </w:r>
    <w:r w:rsidR="006A0076">
      <w:rPr>
        <w:b/>
        <w:bCs/>
        <w:noProof/>
        <w:lang w:val="en-US"/>
      </w:rPr>
      <w:t>86</w:t>
    </w:r>
    <w:r w:rsidRPr="002D6EB1">
      <w:rPr>
        <w:b/>
        <w:bCs/>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C58B4" w14:textId="51F895E9" w:rsidR="004E4CA9" w:rsidRPr="0080691A" w:rsidRDefault="004E4CA9" w:rsidP="0080691A">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86</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215</w:t>
    </w:r>
    <w:r>
      <w:rPr>
        <w:b w:val="0"/>
      </w:rP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68A77" w14:textId="350BC23F"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85</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25A63" w14:textId="04062FBD" w:rsidR="004E4CA9" w:rsidRPr="007E52B2" w:rsidRDefault="004E4CA9" w:rsidP="00896F54">
    <w:pPr>
      <w:ind w:right="360"/>
      <w:rPr>
        <w:b/>
        <w:bCs/>
        <w:lang w:val="en-GB"/>
      </w:rPr>
    </w:pPr>
    <w:r w:rsidRPr="002D6EB1">
      <w:rPr>
        <w:bCs/>
      </w:rPr>
      <w:fldChar w:fldCharType="begin"/>
    </w:r>
    <w:r w:rsidRPr="007E52B2">
      <w:rPr>
        <w:bCs/>
        <w:lang w:val="en-GB"/>
      </w:rPr>
      <w:instrText xml:space="preserve"> PAGE  \* MERGEFORMAT </w:instrText>
    </w:r>
    <w:r w:rsidRPr="002D6EB1">
      <w:rPr>
        <w:bCs/>
      </w:rPr>
      <w:fldChar w:fldCharType="separate"/>
    </w:r>
    <w:r>
      <w:rPr>
        <w:bCs/>
        <w:noProof/>
        <w:lang w:val="en-GB"/>
      </w:rPr>
      <w:t>216</w:t>
    </w:r>
    <w:r w:rsidRPr="002D6EB1">
      <w:rPr>
        <w:bCs/>
      </w:rPr>
      <w:fldChar w:fldCharType="end"/>
    </w:r>
    <w:r w:rsidRPr="007E52B2">
      <w:rPr>
        <w:b/>
        <w:lang w:val="en-GB"/>
      </w:rPr>
      <w:tab/>
    </w:r>
    <w:r w:rsidRPr="002D6EB1">
      <w:rPr>
        <w:b/>
        <w:bCs/>
        <w:lang w:val="en-US"/>
      </w:rPr>
      <w:t>WTSA</w:t>
    </w:r>
    <w:r w:rsidRPr="002C3215">
      <w:rPr>
        <w:bCs/>
        <w:lang w:val="en-US"/>
      </w:rPr>
      <w:t>-</w:t>
    </w:r>
    <w:r w:rsidRPr="002C3215">
      <w:rPr>
        <w:b/>
        <w:lang w:val="en-US"/>
      </w:rPr>
      <w:t>20</w:t>
    </w:r>
    <w:r w:rsidRPr="002D6EB1">
      <w:rPr>
        <w:b/>
        <w:bCs/>
        <w:lang w:val="en-US"/>
      </w:rPr>
      <w:t xml:space="preserve"> – Proceedings – </w:t>
    </w:r>
    <w:r>
      <w:fldChar w:fldCharType="begin"/>
    </w:r>
    <w:r w:rsidRPr="007E52B2">
      <w:rPr>
        <w:lang w:val="en-GB"/>
      </w:rPr>
      <w:instrText xml:space="preserve"> DOCPROPERTY "Footer 1" \* MERGEFORMAT </w:instrText>
    </w:r>
    <w:r>
      <w:fldChar w:fldCharType="separate"/>
    </w:r>
    <w:r w:rsidR="006A0076" w:rsidRPr="006A0076">
      <w:rPr>
        <w:b/>
        <w:bCs/>
        <w:lang w:val="en-US"/>
      </w:rPr>
      <w:t>Part I – Resolution</w:t>
    </w:r>
    <w:r>
      <w:rPr>
        <w:b/>
        <w:bCs/>
        <w:lang w:val="en-US"/>
      </w:rPr>
      <w:fldChar w:fldCharType="end"/>
    </w:r>
    <w:r w:rsidRPr="002D6EB1">
      <w:rPr>
        <w:b/>
        <w:bCs/>
        <w:lang w:val="en-US"/>
      </w:rPr>
      <w:t xml:space="preserve"> </w:t>
    </w:r>
    <w:r w:rsidRPr="002D6EB1">
      <w:rPr>
        <w:b/>
        <w:bCs/>
      </w:rPr>
      <w:fldChar w:fldCharType="begin"/>
    </w:r>
    <w:r w:rsidRPr="002D6EB1">
      <w:rPr>
        <w:b/>
        <w:bCs/>
        <w:lang w:val="en-US"/>
      </w:rPr>
      <w:instrText>styleref href</w:instrText>
    </w:r>
    <w:r w:rsidRPr="002D6EB1">
      <w:rPr>
        <w:b/>
        <w:bCs/>
      </w:rPr>
      <w:fldChar w:fldCharType="separate"/>
    </w:r>
    <w:r w:rsidR="006A0076">
      <w:rPr>
        <w:b/>
        <w:bCs/>
        <w:noProof/>
        <w:lang w:val="en-US"/>
      </w:rPr>
      <w:t>87</w:t>
    </w:r>
    <w:r w:rsidRPr="002D6EB1">
      <w:rPr>
        <w:b/>
        <w:bCs/>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1C74D" w14:textId="2B2A012E" w:rsidR="004E4CA9" w:rsidRPr="0080691A" w:rsidRDefault="004E4CA9" w:rsidP="0080691A">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87</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217</w:t>
    </w:r>
    <w:r>
      <w:rPr>
        <w:b w:val="0"/>
      </w:rP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24C97" w14:textId="725B94E5"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86</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EAF77" w14:textId="5997EB6C" w:rsidR="004E4CA9" w:rsidRPr="007E52B2" w:rsidRDefault="004E4CA9" w:rsidP="00BB4E9D">
    <w:pPr>
      <w:pStyle w:val="FooterQP"/>
      <w:rPr>
        <w:lang w:val="en-GB"/>
      </w:rPr>
    </w:pPr>
    <w:r w:rsidRPr="00BB4E9D">
      <w:rPr>
        <w:b w:val="0"/>
        <w:bCs/>
      </w:rPr>
      <w:fldChar w:fldCharType="begin"/>
    </w:r>
    <w:r w:rsidRPr="00BB4E9D">
      <w:rPr>
        <w:b w:val="0"/>
        <w:bCs/>
        <w:lang w:val="en-GB"/>
      </w:rPr>
      <w:instrText xml:space="preserve"> PAGE  \* MERGEFORMAT </w:instrText>
    </w:r>
    <w:r w:rsidRPr="00BB4E9D">
      <w:rPr>
        <w:b w:val="0"/>
        <w:bCs/>
      </w:rPr>
      <w:fldChar w:fldCharType="separate"/>
    </w:r>
    <w:r>
      <w:rPr>
        <w:b w:val="0"/>
        <w:bCs/>
        <w:noProof/>
        <w:lang w:val="en-GB"/>
      </w:rPr>
      <w:t>218</w:t>
    </w:r>
    <w:r w:rsidRPr="00BB4E9D">
      <w:rPr>
        <w:b w:val="0"/>
        <w:bCs/>
      </w:rPr>
      <w:fldChar w:fldCharType="end"/>
    </w:r>
    <w:r w:rsidRPr="007E52B2">
      <w:rPr>
        <w:lang w:val="en-GB"/>
      </w:rPr>
      <w:tab/>
    </w:r>
    <w:r w:rsidRPr="002D6EB1">
      <w:rPr>
        <w:bCs/>
        <w:lang w:val="en-US"/>
      </w:rPr>
      <w:t>WTSA</w:t>
    </w:r>
    <w:r w:rsidRPr="002C3215">
      <w:rPr>
        <w:bCs/>
        <w:lang w:val="en-US"/>
      </w:rPr>
      <w:t>-20</w:t>
    </w:r>
    <w:r>
      <w:rPr>
        <w:lang w:val="en-US"/>
      </w:rPr>
      <w:t xml:space="preserve">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88</w:t>
    </w:r>
    <w:r w:rsidRPr="002D6EB1">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0B318" w14:textId="577167A8" w:rsidR="004E4CA9" w:rsidRPr="00BB4E9D" w:rsidRDefault="004E4CA9" w:rsidP="00BB4E9D">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88</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219</w:t>
    </w:r>
    <w:r>
      <w:rPr>
        <w:b w:val="0"/>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D19F" w14:textId="0905EA44"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87</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3673D" w14:textId="0ECA3DD0" w:rsidR="004E4CA9" w:rsidRPr="007E52B2" w:rsidRDefault="004E4CA9" w:rsidP="00BB4E9D">
    <w:pPr>
      <w:pStyle w:val="FooterQP"/>
      <w:rPr>
        <w:lang w:val="en-GB"/>
      </w:rPr>
    </w:pPr>
    <w:r w:rsidRPr="00BB4E9D">
      <w:rPr>
        <w:b w:val="0"/>
        <w:bCs/>
      </w:rPr>
      <w:fldChar w:fldCharType="begin"/>
    </w:r>
    <w:r w:rsidRPr="00BB4E9D">
      <w:rPr>
        <w:b w:val="0"/>
        <w:bCs/>
        <w:lang w:val="en-GB"/>
      </w:rPr>
      <w:instrText xml:space="preserve"> PAGE  \* MERGEFORMAT </w:instrText>
    </w:r>
    <w:r w:rsidRPr="00BB4E9D">
      <w:rPr>
        <w:b w:val="0"/>
        <w:bCs/>
      </w:rPr>
      <w:fldChar w:fldCharType="separate"/>
    </w:r>
    <w:r>
      <w:rPr>
        <w:b w:val="0"/>
        <w:bCs/>
        <w:noProof/>
        <w:lang w:val="en-GB"/>
      </w:rPr>
      <w:t>224</w:t>
    </w:r>
    <w:r w:rsidRPr="00BB4E9D">
      <w:rPr>
        <w:b w:val="0"/>
        <w:bCs/>
      </w:rPr>
      <w:fldChar w:fldCharType="end"/>
    </w:r>
    <w:r w:rsidRPr="007E52B2">
      <w:rPr>
        <w:lang w:val="en-GB"/>
      </w:rPr>
      <w:tab/>
    </w:r>
    <w:r w:rsidRPr="002D6EB1">
      <w:rPr>
        <w:bCs/>
        <w:lang w:val="en-US"/>
      </w:rPr>
      <w:t>WTSA</w:t>
    </w:r>
    <w:r w:rsidRPr="002C3215">
      <w:rPr>
        <w:bCs/>
        <w:lang w:val="en-US"/>
      </w:rPr>
      <w:t>-20</w:t>
    </w:r>
    <w:r>
      <w:rPr>
        <w:lang w:val="en-US"/>
      </w:rPr>
      <w:t xml:space="preserve">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89</w:t>
    </w:r>
    <w:r w:rsidRPr="002D6EB1">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F9314" w14:textId="2AF23E0E" w:rsidR="004E4CA9" w:rsidRPr="00BD4379" w:rsidRDefault="004E4CA9" w:rsidP="00BD4379">
    <w:pPr>
      <w:pStyle w:val="FooterQP"/>
      <w:rPr>
        <w:b w:val="0"/>
        <w:lang w:val="en-US"/>
      </w:rPr>
    </w:pPr>
    <w:r>
      <w:tab/>
    </w:r>
    <w:r>
      <w:tab/>
    </w:r>
    <w:r>
      <w:rPr>
        <w:lang w:val="en-US"/>
      </w:rPr>
      <w:t xml:space="preserve">WTSA-20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2</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63</w:t>
    </w:r>
    <w:r>
      <w:rPr>
        <w:b w:val="0"/>
      </w:rP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086B5" w14:textId="6BDFB9D2" w:rsidR="004E4CA9" w:rsidRPr="00557FF7" w:rsidRDefault="004E4CA9" w:rsidP="00557FF7">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89</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223</w:t>
    </w:r>
    <w:r>
      <w:rPr>
        <w:b w:val="0"/>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CC1AE" w14:textId="2C24B228"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88</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35D2B" w14:textId="7601B2CC" w:rsidR="004E4CA9" w:rsidRPr="007E52B2" w:rsidRDefault="004E4CA9" w:rsidP="00557FF7">
    <w:pPr>
      <w:pStyle w:val="FooterQP"/>
      <w:rPr>
        <w:lang w:val="en-GB"/>
      </w:rPr>
    </w:pPr>
    <w:r w:rsidRPr="00557FF7">
      <w:rPr>
        <w:b w:val="0"/>
        <w:bCs/>
      </w:rPr>
      <w:fldChar w:fldCharType="begin"/>
    </w:r>
    <w:r w:rsidRPr="00557FF7">
      <w:rPr>
        <w:b w:val="0"/>
        <w:bCs/>
        <w:lang w:val="en-GB"/>
      </w:rPr>
      <w:instrText xml:space="preserve"> PAGE  \* MERGEFORMAT </w:instrText>
    </w:r>
    <w:r w:rsidRPr="00557FF7">
      <w:rPr>
        <w:b w:val="0"/>
        <w:bCs/>
      </w:rPr>
      <w:fldChar w:fldCharType="separate"/>
    </w:r>
    <w:r>
      <w:rPr>
        <w:b w:val="0"/>
        <w:bCs/>
        <w:noProof/>
        <w:lang w:val="en-GB"/>
      </w:rPr>
      <w:t>226</w:t>
    </w:r>
    <w:r w:rsidRPr="00557FF7">
      <w:rPr>
        <w:b w:val="0"/>
        <w:bCs/>
      </w:rPr>
      <w:fldChar w:fldCharType="end"/>
    </w:r>
    <w:r w:rsidRPr="007E52B2">
      <w:rPr>
        <w:lang w:val="en-GB"/>
      </w:rPr>
      <w:tab/>
    </w:r>
    <w:r w:rsidRPr="002D6EB1">
      <w:rPr>
        <w:bCs/>
        <w:lang w:val="en-US"/>
      </w:rPr>
      <w:t>WTSA</w:t>
    </w:r>
    <w:r w:rsidRPr="002C3215">
      <w:rPr>
        <w:bCs/>
        <w:lang w:val="en-US"/>
      </w:rPr>
      <w:t>-20</w:t>
    </w:r>
    <w:r w:rsidRPr="002D6EB1">
      <w:rPr>
        <w:lang w:val="en-US"/>
      </w:rPr>
      <w:t xml:space="preserve"> 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90</w:t>
    </w:r>
    <w:r w:rsidRPr="002D6EB1">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4E28B" w14:textId="2726C879" w:rsidR="004E4CA9" w:rsidRPr="00557FF7" w:rsidRDefault="004E4CA9" w:rsidP="00557FF7">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90</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225</w:t>
    </w:r>
    <w:r>
      <w:rPr>
        <w:b w:val="0"/>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EEBF4" w14:textId="7ADA2554"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89</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11400" w14:textId="249048E1" w:rsidR="004E4CA9" w:rsidRPr="007E52B2" w:rsidRDefault="004E4CA9" w:rsidP="00CC5E14">
    <w:pPr>
      <w:pStyle w:val="FooterQP"/>
      <w:rPr>
        <w:lang w:val="en-GB"/>
      </w:rPr>
    </w:pPr>
    <w:r w:rsidRPr="00CC5E14">
      <w:rPr>
        <w:b w:val="0"/>
        <w:bCs/>
      </w:rPr>
      <w:fldChar w:fldCharType="begin"/>
    </w:r>
    <w:r w:rsidRPr="00CC5E14">
      <w:rPr>
        <w:b w:val="0"/>
        <w:bCs/>
        <w:lang w:val="en-GB"/>
      </w:rPr>
      <w:instrText xml:space="preserve"> PAGE  \* MERGEFORMAT </w:instrText>
    </w:r>
    <w:r w:rsidRPr="00CC5E14">
      <w:rPr>
        <w:b w:val="0"/>
        <w:bCs/>
      </w:rPr>
      <w:fldChar w:fldCharType="separate"/>
    </w:r>
    <w:r>
      <w:rPr>
        <w:b w:val="0"/>
        <w:bCs/>
        <w:noProof/>
        <w:lang w:val="en-GB"/>
      </w:rPr>
      <w:t>228</w:t>
    </w:r>
    <w:r w:rsidRPr="00CC5E14">
      <w:rPr>
        <w:b w:val="0"/>
        <w:bCs/>
      </w:rPr>
      <w:fldChar w:fldCharType="end"/>
    </w:r>
    <w:r w:rsidRPr="007E52B2">
      <w:rPr>
        <w:lang w:val="en-GB"/>
      </w:rPr>
      <w:tab/>
    </w:r>
    <w:r w:rsidRPr="002D6EB1">
      <w:rPr>
        <w:bCs/>
        <w:lang w:val="en-US"/>
      </w:rPr>
      <w:t>WTSA</w:t>
    </w:r>
    <w:r w:rsidRPr="002C3215">
      <w:rPr>
        <w:bCs/>
        <w:lang w:val="en-US"/>
      </w:rPr>
      <w:t>-20</w:t>
    </w:r>
    <w:r>
      <w:rPr>
        <w:lang w:val="en-US"/>
      </w:rPr>
      <w:t xml:space="preserve">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91</w:t>
    </w:r>
    <w:r w:rsidRPr="002D6EB1">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D78CC" w14:textId="5546A87B" w:rsidR="004E4CA9" w:rsidRPr="00CC5E14" w:rsidRDefault="004E4CA9" w:rsidP="00CC5E14">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91</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227</w:t>
    </w:r>
    <w:r>
      <w:rPr>
        <w:b w:val="0"/>
      </w:rP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624B" w14:textId="250F494D"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90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E35FF" w14:textId="70EB65B6" w:rsidR="004E4CA9" w:rsidRPr="007E52B2" w:rsidRDefault="004E4CA9" w:rsidP="00896F54">
    <w:pPr>
      <w:ind w:right="360"/>
      <w:rPr>
        <w:b/>
        <w:bCs/>
        <w:lang w:val="en-GB"/>
      </w:rPr>
    </w:pPr>
    <w:r w:rsidRPr="002D6EB1">
      <w:rPr>
        <w:bCs/>
      </w:rPr>
      <w:fldChar w:fldCharType="begin"/>
    </w:r>
    <w:r w:rsidRPr="007E52B2">
      <w:rPr>
        <w:bCs/>
        <w:lang w:val="en-GB"/>
      </w:rPr>
      <w:instrText xml:space="preserve"> PAGE  \* MERGEFORMAT </w:instrText>
    </w:r>
    <w:r w:rsidRPr="002D6EB1">
      <w:rPr>
        <w:bCs/>
      </w:rPr>
      <w:fldChar w:fldCharType="separate"/>
    </w:r>
    <w:r>
      <w:rPr>
        <w:bCs/>
        <w:noProof/>
        <w:lang w:val="en-GB"/>
      </w:rPr>
      <w:t>232</w:t>
    </w:r>
    <w:r w:rsidRPr="002D6EB1">
      <w:rPr>
        <w:bCs/>
      </w:rPr>
      <w:fldChar w:fldCharType="end"/>
    </w:r>
    <w:r w:rsidRPr="007E52B2">
      <w:rPr>
        <w:b/>
        <w:lang w:val="en-GB"/>
      </w:rPr>
      <w:tab/>
    </w:r>
    <w:r w:rsidRPr="002D6EB1">
      <w:rPr>
        <w:b/>
        <w:bCs/>
        <w:lang w:val="en-US"/>
      </w:rPr>
      <w:t>WTSA</w:t>
    </w:r>
    <w:r w:rsidRPr="002C3215">
      <w:rPr>
        <w:bCs/>
        <w:lang w:val="en-US"/>
      </w:rPr>
      <w:t>-</w:t>
    </w:r>
    <w:r w:rsidRPr="003370B7">
      <w:rPr>
        <w:b/>
        <w:lang w:val="en-US"/>
      </w:rPr>
      <w:t>20</w:t>
    </w:r>
    <w:r>
      <w:rPr>
        <w:b/>
        <w:bCs/>
        <w:lang w:val="en-US"/>
      </w:rPr>
      <w:t xml:space="preserve"> </w:t>
    </w:r>
    <w:r w:rsidRPr="002D6EB1">
      <w:rPr>
        <w:b/>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
        <w:bCs/>
        <w:lang w:val="en-US"/>
      </w:rPr>
      <w:t>Part I – Resolution</w:t>
    </w:r>
    <w:r>
      <w:rPr>
        <w:b/>
        <w:bCs/>
        <w:lang w:val="en-US"/>
      </w:rPr>
      <w:fldChar w:fldCharType="end"/>
    </w:r>
    <w:r w:rsidRPr="002D6EB1">
      <w:rPr>
        <w:b/>
        <w:bCs/>
        <w:lang w:val="en-US"/>
      </w:rPr>
      <w:t xml:space="preserve"> </w:t>
    </w:r>
    <w:r w:rsidRPr="002D6EB1">
      <w:rPr>
        <w:b/>
        <w:bCs/>
      </w:rPr>
      <w:fldChar w:fldCharType="begin"/>
    </w:r>
    <w:r w:rsidRPr="002D6EB1">
      <w:rPr>
        <w:b/>
        <w:bCs/>
        <w:lang w:val="en-US"/>
      </w:rPr>
      <w:instrText>styleref href</w:instrText>
    </w:r>
    <w:r w:rsidRPr="002D6EB1">
      <w:rPr>
        <w:b/>
        <w:bCs/>
      </w:rPr>
      <w:fldChar w:fldCharType="separate"/>
    </w:r>
    <w:r w:rsidR="006A0076">
      <w:rPr>
        <w:b/>
        <w:bCs/>
        <w:noProof/>
        <w:lang w:val="en-US"/>
      </w:rPr>
      <w:t>92</w:t>
    </w:r>
    <w:r w:rsidRPr="002D6EB1">
      <w:rPr>
        <w:b/>
        <w:bCs/>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F947F" w14:textId="7C180440" w:rsidR="004E4CA9" w:rsidRPr="00CC5E14" w:rsidRDefault="004E4CA9" w:rsidP="00CC5E14">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92</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233</w:t>
    </w:r>
    <w:r>
      <w:rPr>
        <w:b w:val="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E18FE" w14:textId="73BA53C8" w:rsidR="004E4CA9" w:rsidRPr="00896F54" w:rsidRDefault="004E4CA9"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1</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50</w:t>
    </w:r>
    <w:r>
      <w:rPr>
        <w:b w:val="0"/>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A5A92" w14:textId="4B6D14AA"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91</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5345A" w14:textId="0AD25C7C" w:rsidR="004E4CA9" w:rsidRPr="007E52B2" w:rsidRDefault="004E4CA9" w:rsidP="00CC5E14">
    <w:pPr>
      <w:pStyle w:val="FooterQP"/>
      <w:rPr>
        <w:lang w:val="en-GB"/>
      </w:rPr>
    </w:pPr>
    <w:r w:rsidRPr="00CC5E14">
      <w:rPr>
        <w:b w:val="0"/>
        <w:bCs/>
      </w:rPr>
      <w:fldChar w:fldCharType="begin"/>
    </w:r>
    <w:r w:rsidRPr="00CC5E14">
      <w:rPr>
        <w:b w:val="0"/>
        <w:bCs/>
        <w:lang w:val="en-GB"/>
      </w:rPr>
      <w:instrText xml:space="preserve"> PAGE  \* MERGEFORMAT </w:instrText>
    </w:r>
    <w:r w:rsidRPr="00CC5E14">
      <w:rPr>
        <w:b w:val="0"/>
        <w:bCs/>
      </w:rPr>
      <w:fldChar w:fldCharType="separate"/>
    </w:r>
    <w:r>
      <w:rPr>
        <w:b w:val="0"/>
        <w:bCs/>
        <w:noProof/>
        <w:lang w:val="en-GB"/>
      </w:rPr>
      <w:t>236</w:t>
    </w:r>
    <w:r w:rsidRPr="00CC5E14">
      <w:rPr>
        <w:b w:val="0"/>
        <w:bCs/>
      </w:rPr>
      <w:fldChar w:fldCharType="end"/>
    </w:r>
    <w:r w:rsidRPr="007E52B2">
      <w:rPr>
        <w:lang w:val="en-GB"/>
      </w:rPr>
      <w:tab/>
    </w:r>
    <w:r w:rsidRPr="002D6EB1">
      <w:rPr>
        <w:lang w:val="en-US"/>
      </w:rPr>
      <w:t>WTSA-</w:t>
    </w:r>
    <w:r w:rsidR="003370B7">
      <w:rPr>
        <w:lang w:val="en-US"/>
      </w:rPr>
      <w:t>20</w:t>
    </w:r>
    <w:r>
      <w:rPr>
        <w:lang w:val="en-US"/>
      </w:rPr>
      <w:t xml:space="preserve">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93</w:t>
    </w:r>
    <w:r w:rsidRPr="002D6EB1">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BF553" w14:textId="0B8C271F" w:rsidR="004E4CA9" w:rsidRPr="00CC5E14" w:rsidRDefault="004E4CA9" w:rsidP="00CC5E14">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93</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235</w:t>
    </w:r>
    <w:r>
      <w:rPr>
        <w:b w:val="0"/>
      </w:rP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972FD" w14:textId="4E62DB41"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92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C75B7" w14:textId="2819474A" w:rsidR="004E4CA9" w:rsidRPr="007E52B2" w:rsidRDefault="004E4CA9" w:rsidP="00896F54">
    <w:pPr>
      <w:ind w:right="360"/>
      <w:rPr>
        <w:b/>
        <w:bCs/>
        <w:lang w:val="en-GB"/>
      </w:rPr>
    </w:pPr>
    <w:r w:rsidRPr="002D6EB1">
      <w:rPr>
        <w:bCs/>
      </w:rPr>
      <w:fldChar w:fldCharType="begin"/>
    </w:r>
    <w:r w:rsidRPr="007E52B2">
      <w:rPr>
        <w:bCs/>
        <w:lang w:val="en-GB"/>
      </w:rPr>
      <w:instrText xml:space="preserve"> PAGE  \* MERGEFORMAT </w:instrText>
    </w:r>
    <w:r w:rsidRPr="002D6EB1">
      <w:rPr>
        <w:bCs/>
      </w:rPr>
      <w:fldChar w:fldCharType="separate"/>
    </w:r>
    <w:r>
      <w:rPr>
        <w:bCs/>
        <w:noProof/>
        <w:lang w:val="en-GB"/>
      </w:rPr>
      <w:t>238</w:t>
    </w:r>
    <w:r w:rsidRPr="002D6EB1">
      <w:rPr>
        <w:bCs/>
      </w:rPr>
      <w:fldChar w:fldCharType="end"/>
    </w:r>
    <w:r w:rsidRPr="007E52B2">
      <w:rPr>
        <w:b/>
        <w:lang w:val="en-GB"/>
      </w:rPr>
      <w:tab/>
    </w:r>
    <w:r w:rsidRPr="002D6EB1">
      <w:rPr>
        <w:b/>
        <w:bCs/>
        <w:lang w:val="en-US"/>
      </w:rPr>
      <w:t>WTSA</w:t>
    </w:r>
    <w:r w:rsidRPr="002C3215">
      <w:rPr>
        <w:bCs/>
        <w:lang w:val="en-US"/>
      </w:rPr>
      <w:t>-</w:t>
    </w:r>
    <w:r w:rsidRPr="003370B7">
      <w:rPr>
        <w:b/>
        <w:lang w:val="en-US"/>
      </w:rPr>
      <w:t>20</w:t>
    </w:r>
    <w:r>
      <w:rPr>
        <w:b/>
        <w:bCs/>
        <w:lang w:val="en-US"/>
      </w:rPr>
      <w:t xml:space="preserve"> </w:t>
    </w:r>
    <w:r w:rsidRPr="002D6EB1">
      <w:rPr>
        <w:b/>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
        <w:bCs/>
        <w:lang w:val="en-US"/>
      </w:rPr>
      <w:t>Part I – Resolution</w:t>
    </w:r>
    <w:r>
      <w:rPr>
        <w:b/>
        <w:bCs/>
        <w:lang w:val="en-US"/>
      </w:rPr>
      <w:fldChar w:fldCharType="end"/>
    </w:r>
    <w:r w:rsidRPr="002D6EB1">
      <w:rPr>
        <w:b/>
        <w:bCs/>
        <w:lang w:val="en-US"/>
      </w:rPr>
      <w:t xml:space="preserve"> </w:t>
    </w:r>
    <w:r w:rsidRPr="002D6EB1">
      <w:rPr>
        <w:b/>
        <w:bCs/>
      </w:rPr>
      <w:fldChar w:fldCharType="begin"/>
    </w:r>
    <w:r w:rsidRPr="002D6EB1">
      <w:rPr>
        <w:b/>
        <w:bCs/>
        <w:lang w:val="en-US"/>
      </w:rPr>
      <w:instrText>styleref href</w:instrText>
    </w:r>
    <w:r w:rsidRPr="002D6EB1">
      <w:rPr>
        <w:b/>
        <w:bCs/>
      </w:rPr>
      <w:fldChar w:fldCharType="separate"/>
    </w:r>
    <w:r w:rsidR="006A0076">
      <w:rPr>
        <w:b/>
        <w:bCs/>
        <w:noProof/>
        <w:lang w:val="en-US"/>
      </w:rPr>
      <w:t>94</w:t>
    </w:r>
    <w:r w:rsidRPr="002D6EB1">
      <w:rPr>
        <w:b/>
        <w:bCs/>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4613C" w14:textId="1AF005B9" w:rsidR="004E4CA9" w:rsidRPr="00896F54" w:rsidRDefault="004E4CA9" w:rsidP="00896F54">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94</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237</w:t>
    </w:r>
    <w:r>
      <w:rPr>
        <w:b w:val="0"/>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C9A4A" w14:textId="51A35FA1"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93</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1C453" w14:textId="1121F08F" w:rsidR="004E4CA9" w:rsidRPr="007E52B2" w:rsidRDefault="004E4CA9" w:rsidP="00BE6C60">
    <w:pPr>
      <w:pStyle w:val="FooterQP"/>
      <w:rPr>
        <w:lang w:val="en-GB"/>
      </w:rPr>
    </w:pPr>
    <w:r w:rsidRPr="00BE6C60">
      <w:rPr>
        <w:b w:val="0"/>
        <w:bCs/>
      </w:rPr>
      <w:fldChar w:fldCharType="begin"/>
    </w:r>
    <w:r w:rsidRPr="00BE6C60">
      <w:rPr>
        <w:b w:val="0"/>
        <w:bCs/>
        <w:lang w:val="en-GB"/>
      </w:rPr>
      <w:instrText xml:space="preserve"> PAGE  \* MERGEFORMAT </w:instrText>
    </w:r>
    <w:r w:rsidRPr="00BE6C60">
      <w:rPr>
        <w:b w:val="0"/>
        <w:bCs/>
      </w:rPr>
      <w:fldChar w:fldCharType="separate"/>
    </w:r>
    <w:r>
      <w:rPr>
        <w:b w:val="0"/>
        <w:bCs/>
        <w:noProof/>
        <w:lang w:val="en-GB"/>
      </w:rPr>
      <w:t>242</w:t>
    </w:r>
    <w:r w:rsidRPr="00BE6C60">
      <w:rPr>
        <w:b w:val="0"/>
        <w:bCs/>
      </w:rPr>
      <w:fldChar w:fldCharType="end"/>
    </w:r>
    <w:r w:rsidRPr="007E52B2">
      <w:rPr>
        <w:lang w:val="en-GB"/>
      </w:rPr>
      <w:tab/>
    </w:r>
    <w:r w:rsidRPr="002D6EB1">
      <w:rPr>
        <w:bCs/>
        <w:lang w:val="en-US"/>
      </w:rPr>
      <w:t>WTSA</w:t>
    </w:r>
    <w:r w:rsidRPr="002C3215">
      <w:rPr>
        <w:bCs/>
        <w:lang w:val="en-US"/>
      </w:rPr>
      <w:t>-20</w:t>
    </w:r>
    <w:r>
      <w:rPr>
        <w:lang w:val="en-US"/>
      </w:rPr>
      <w:t xml:space="preserve">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95</w:t>
    </w:r>
    <w:r w:rsidRPr="002D6EB1">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6E13E" w14:textId="1B32BDC5" w:rsidR="004E4CA9" w:rsidRPr="00BE6C60" w:rsidRDefault="004E4CA9" w:rsidP="00BE6C60">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95</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241</w:t>
    </w:r>
    <w:r>
      <w:rPr>
        <w:b w:val="0"/>
      </w:rPr>
      <w:fldChar w:fldCharType="end"/>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AAACC" w14:textId="6BAA683C"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94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3D544" w14:textId="47191904"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66</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7</w:t>
    </w:r>
    <w:r w:rsidRPr="002D6EB1">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0DC75" w14:textId="060BA450" w:rsidR="004E4CA9" w:rsidRPr="007E52B2" w:rsidRDefault="004E4CA9" w:rsidP="00B34FD1">
    <w:pPr>
      <w:pStyle w:val="FooterQP"/>
      <w:rPr>
        <w:lang w:val="en-GB"/>
      </w:rPr>
    </w:pPr>
    <w:r w:rsidRPr="00B34FD1">
      <w:rPr>
        <w:b w:val="0"/>
        <w:bCs/>
      </w:rPr>
      <w:fldChar w:fldCharType="begin"/>
    </w:r>
    <w:r w:rsidRPr="00B34FD1">
      <w:rPr>
        <w:b w:val="0"/>
        <w:bCs/>
        <w:lang w:val="en-GB"/>
      </w:rPr>
      <w:instrText xml:space="preserve"> PAGE  \* MERGEFORMAT </w:instrText>
    </w:r>
    <w:r w:rsidRPr="00B34FD1">
      <w:rPr>
        <w:b w:val="0"/>
        <w:bCs/>
      </w:rPr>
      <w:fldChar w:fldCharType="separate"/>
    </w:r>
    <w:r>
      <w:rPr>
        <w:b w:val="0"/>
        <w:bCs/>
        <w:noProof/>
        <w:lang w:val="en-GB"/>
      </w:rPr>
      <w:t>248</w:t>
    </w:r>
    <w:r w:rsidRPr="00B34FD1">
      <w:rPr>
        <w:b w:val="0"/>
        <w:bCs/>
      </w:rPr>
      <w:fldChar w:fldCharType="end"/>
    </w:r>
    <w:r w:rsidRPr="007E52B2">
      <w:rPr>
        <w:lang w:val="en-GB"/>
      </w:rPr>
      <w:tab/>
    </w:r>
    <w:r w:rsidRPr="002D6EB1">
      <w:rPr>
        <w:bCs/>
        <w:lang w:val="en-US"/>
      </w:rPr>
      <w:t>WTSA</w:t>
    </w:r>
    <w:r w:rsidRPr="002C3215">
      <w:rPr>
        <w:bCs/>
        <w:lang w:val="en-US"/>
      </w:rPr>
      <w:t>-20</w:t>
    </w:r>
    <w:r>
      <w:rPr>
        <w:lang w:val="en-US"/>
      </w:rPr>
      <w:t xml:space="preserve">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96</w:t>
    </w:r>
    <w:r w:rsidRPr="002D6EB1">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D2F2D" w14:textId="5173E82A" w:rsidR="004E4CA9" w:rsidRPr="00B34FD1" w:rsidRDefault="004E4CA9" w:rsidP="00B34FD1">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96</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247</w:t>
    </w:r>
    <w:r>
      <w:rPr>
        <w:b w:val="0"/>
      </w:rP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DF565" w14:textId="3D4E84F6"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95</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90067" w14:textId="17A62DCF" w:rsidR="004E4CA9" w:rsidRPr="007E52B2" w:rsidRDefault="004E4CA9" w:rsidP="00B34FD1">
    <w:pPr>
      <w:pStyle w:val="FooterQP"/>
      <w:rPr>
        <w:lang w:val="en-GB"/>
      </w:rPr>
    </w:pPr>
    <w:r w:rsidRPr="00B34FD1">
      <w:rPr>
        <w:b w:val="0"/>
        <w:bCs/>
      </w:rPr>
      <w:fldChar w:fldCharType="begin"/>
    </w:r>
    <w:r w:rsidRPr="00B34FD1">
      <w:rPr>
        <w:b w:val="0"/>
        <w:bCs/>
        <w:lang w:val="en-GB"/>
      </w:rPr>
      <w:instrText xml:space="preserve"> PAGE  \* MERGEFORMAT </w:instrText>
    </w:r>
    <w:r w:rsidRPr="00B34FD1">
      <w:rPr>
        <w:b w:val="0"/>
        <w:bCs/>
      </w:rPr>
      <w:fldChar w:fldCharType="separate"/>
    </w:r>
    <w:r>
      <w:rPr>
        <w:b w:val="0"/>
        <w:bCs/>
        <w:noProof/>
        <w:lang w:val="en-GB"/>
      </w:rPr>
      <w:t>250</w:t>
    </w:r>
    <w:r w:rsidRPr="00B34FD1">
      <w:rPr>
        <w:b w:val="0"/>
        <w:bCs/>
      </w:rPr>
      <w:fldChar w:fldCharType="end"/>
    </w:r>
    <w:r w:rsidRPr="007E52B2">
      <w:rPr>
        <w:lang w:val="en-GB"/>
      </w:rPr>
      <w:tab/>
    </w:r>
    <w:r w:rsidRPr="002D6EB1">
      <w:rPr>
        <w:bCs/>
        <w:lang w:val="en-US"/>
      </w:rPr>
      <w:t>WTSA</w:t>
    </w:r>
    <w:r w:rsidRPr="002C3215">
      <w:rPr>
        <w:bCs/>
        <w:lang w:val="en-US"/>
      </w:rPr>
      <w:t>-20</w:t>
    </w:r>
    <w:r>
      <w:rPr>
        <w:lang w:val="en-US"/>
      </w:rPr>
      <w:t xml:space="preserve">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97</w:t>
    </w:r>
    <w:r w:rsidRPr="002D6EB1">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89C41" w14:textId="50FF4657" w:rsidR="004E4CA9" w:rsidRPr="00896F54" w:rsidRDefault="004E4CA9" w:rsidP="00896F54">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97</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251</w:t>
    </w:r>
    <w:r>
      <w:rPr>
        <w:b w:val="0"/>
      </w:rPr>
      <w:fldChar w:fldCharType="end"/>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61710" w14:textId="7EBF490B"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96</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223</w:t>
    </w:r>
    <w:r>
      <w:rPr>
        <w:b w:val="0"/>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560C3" w14:textId="4E22893C" w:rsidR="004E4CA9" w:rsidRPr="007E52B2" w:rsidRDefault="004E4CA9" w:rsidP="00B34FD1">
    <w:pPr>
      <w:pStyle w:val="FooterQP"/>
      <w:rPr>
        <w:lang w:val="en-GB"/>
      </w:rPr>
    </w:pPr>
    <w:r w:rsidRPr="00B34FD1">
      <w:rPr>
        <w:b w:val="0"/>
        <w:bCs/>
      </w:rPr>
      <w:fldChar w:fldCharType="begin"/>
    </w:r>
    <w:r w:rsidRPr="00B34FD1">
      <w:rPr>
        <w:b w:val="0"/>
        <w:bCs/>
        <w:lang w:val="en-GB"/>
      </w:rPr>
      <w:instrText xml:space="preserve"> PAGE  \* MERGEFORMAT </w:instrText>
    </w:r>
    <w:r w:rsidRPr="00B34FD1">
      <w:rPr>
        <w:b w:val="0"/>
        <w:bCs/>
      </w:rPr>
      <w:fldChar w:fldCharType="separate"/>
    </w:r>
    <w:r>
      <w:rPr>
        <w:b w:val="0"/>
        <w:bCs/>
        <w:noProof/>
        <w:lang w:val="en-GB"/>
      </w:rPr>
      <w:t>260</w:t>
    </w:r>
    <w:r w:rsidRPr="00B34FD1">
      <w:rPr>
        <w:b w:val="0"/>
        <w:bCs/>
      </w:rPr>
      <w:fldChar w:fldCharType="end"/>
    </w:r>
    <w:r w:rsidRPr="007E52B2">
      <w:rPr>
        <w:lang w:val="en-GB"/>
      </w:rPr>
      <w:tab/>
    </w:r>
    <w:r w:rsidRPr="002D6EB1">
      <w:rPr>
        <w:lang w:val="en-US"/>
      </w:rPr>
      <w:t>WTSA-</w:t>
    </w:r>
    <w:r w:rsidR="003370B7">
      <w:rPr>
        <w:lang w:val="en-US"/>
      </w:rPr>
      <w:t>20</w:t>
    </w:r>
    <w:r>
      <w:rPr>
        <w:lang w:val="en-US"/>
      </w:rPr>
      <w:t xml:space="preserve">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100</w:t>
    </w:r>
    <w:r w:rsidRPr="002D6EB1">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AB90A" w14:textId="43ADE63C" w:rsidR="004E4CA9" w:rsidRPr="00896F54" w:rsidRDefault="004E4CA9" w:rsidP="00896F54">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100</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263</w:t>
    </w:r>
    <w:r>
      <w:rPr>
        <w:b w:val="0"/>
      </w:rP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E9E7B" w14:textId="7781C081" w:rsidR="004E4CA9" w:rsidRPr="00DA0E6E" w:rsidRDefault="004E4CA9" w:rsidP="00495C1E">
    <w:pPr>
      <w:pStyle w:val="FooterQP"/>
      <w:rPr>
        <w:b w:val="0"/>
        <w:lang w:val="en-US"/>
      </w:rPr>
    </w:pPr>
    <w:r>
      <w:tab/>
    </w:r>
    <w:r>
      <w:tab/>
    </w:r>
    <w:r>
      <w:rPr>
        <w:lang w:val="en-US"/>
      </w:rPr>
      <w:t>WTSA-16 Proceedings – Part I – Opinion 1</w:t>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6A0076">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Pr>
        <w:b w:val="0"/>
        <w:noProof/>
        <w:lang w:val="en-US"/>
      </w:rPr>
      <w:t>9</w:t>
    </w:r>
    <w:r>
      <w:rPr>
        <w:b w:val="0"/>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36A1E" w14:textId="2134688D" w:rsidR="004E4CA9" w:rsidRPr="0041348E" w:rsidRDefault="004E4CA9" w:rsidP="00781741">
    <w:pPr>
      <w:pStyle w:val="FooterQP"/>
      <w:rPr>
        <w:lang w:val="en-US"/>
      </w:rPr>
    </w:pP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6A0076">
      <w:rPr>
        <w:b w:val="0"/>
        <w:lang w:val="en-GB"/>
      </w:rPr>
      <w:t>I</w:t>
    </w:r>
    <w:r w:rsidRPr="007E52B2">
      <w:rPr>
        <w:b w:val="0"/>
      </w:rPr>
      <w:fldChar w:fldCharType="end"/>
    </w:r>
    <w:r w:rsidRPr="00495C1E">
      <w:rPr>
        <w:bCs/>
        <w:lang w:val="en-GB"/>
      </w:rPr>
      <w:t>-</w:t>
    </w:r>
    <w:r>
      <w:rPr>
        <w:b w:val="0"/>
      </w:rPr>
      <w:fldChar w:fldCharType="begin"/>
    </w:r>
    <w:r>
      <w:rPr>
        <w:b w:val="0"/>
        <w:lang w:val="en-US"/>
      </w:rPr>
      <w:instrText xml:space="preserve"> PAGE  \* MERGEFORMAT </w:instrText>
    </w:r>
    <w:r>
      <w:rPr>
        <w:b w:val="0"/>
      </w:rPr>
      <w:fldChar w:fldCharType="separate"/>
    </w:r>
    <w:r>
      <w:rPr>
        <w:b w:val="0"/>
        <w:noProof/>
        <w:lang w:val="en-US"/>
      </w:rPr>
      <w:t>262</w:t>
    </w:r>
    <w:r>
      <w:rPr>
        <w:b w:val="0"/>
      </w:rPr>
      <w:fldChar w:fldCharType="end"/>
    </w:r>
    <w:r w:rsidRPr="00C721BE">
      <w:rPr>
        <w:b w:val="0"/>
        <w:lang w:val="en-GB"/>
      </w:rPr>
      <w:tab/>
    </w:r>
    <w:r w:rsidRPr="002D6EB1">
      <w:rPr>
        <w:bCs/>
        <w:lang w:val="en-US"/>
      </w:rPr>
      <w:t>WTSA</w:t>
    </w:r>
    <w:r w:rsidRPr="002C3215">
      <w:rPr>
        <w:bCs/>
        <w:lang w:val="en-US"/>
      </w:rPr>
      <w:t>-20</w:t>
    </w:r>
    <w:r>
      <w:rPr>
        <w:lang w:val="en-US"/>
      </w:rPr>
      <w:t xml:space="preserve"> Proceedings – Part I – Opinion 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7C7AF" w14:textId="71ABFA98" w:rsidR="004E4CA9" w:rsidRPr="00BD4379" w:rsidRDefault="004E4CA9" w:rsidP="00BD4379">
    <w:pPr>
      <w:pStyle w:val="FooterQP"/>
      <w:rPr>
        <w:b w:val="0"/>
        <w:lang w:val="en-US"/>
      </w:rPr>
    </w:pPr>
    <w:r>
      <w:tab/>
    </w:r>
    <w:r>
      <w:tab/>
    </w:r>
    <w:r>
      <w:rPr>
        <w:lang w:val="en-US"/>
      </w:rPr>
      <w:t xml:space="preserve">WTSA-20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65</w:t>
    </w:r>
    <w:r>
      <w:rPr>
        <w:b w:val="0"/>
      </w:rP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5D672" w14:textId="6D9C5399" w:rsidR="004E4CA9" w:rsidRPr="00896F54" w:rsidRDefault="004E4CA9" w:rsidP="00896F54">
    <w:pPr>
      <w:pStyle w:val="FooterQP"/>
      <w:rPr>
        <w:b w:val="0"/>
        <w:lang w:val="en-US"/>
      </w:rPr>
    </w:pPr>
    <w:r>
      <w:tab/>
    </w:r>
    <w:r>
      <w:tab/>
    </w:r>
    <w:r w:rsidRPr="002D6EB1">
      <w:rPr>
        <w:bCs/>
        <w:lang w:val="en-US"/>
      </w:rPr>
      <w:t>WTSA</w:t>
    </w:r>
    <w:r w:rsidRPr="002C3215">
      <w:rPr>
        <w:bCs/>
        <w:lang w:val="en-US"/>
      </w:rPr>
      <w:t>-20</w:t>
    </w:r>
    <w:r>
      <w:rPr>
        <w:lang w:val="en-US"/>
      </w:rPr>
      <w:t xml:space="preserve"> Proceedings – Part I – Opinion 1</w:t>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263</w:t>
    </w:r>
    <w:r>
      <w:rPr>
        <w:b w:val="0"/>
      </w:rPr>
      <w:fldChar w:fldCharType="end"/>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8C8DE" w14:textId="57196DB9" w:rsidR="004E4CA9" w:rsidRPr="00495C1E" w:rsidRDefault="004E4CA9" w:rsidP="00495C1E">
    <w:pPr>
      <w:pStyle w:val="FooterQP"/>
      <w:rPr>
        <w:b w:val="0"/>
        <w:lang w:val="en-US"/>
      </w:rPr>
    </w:pPr>
    <w:r>
      <w:tab/>
    </w:r>
    <w:r>
      <w:tab/>
    </w:r>
    <w:r>
      <w:rPr>
        <w:lang w:val="en-US"/>
      </w:rPr>
      <w:t>WTSA-16 Proceedings – Part II – Contents</w:t>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6A0076">
      <w:rPr>
        <w:b w:val="0"/>
        <w:bCs/>
        <w:lang w:val="en-US"/>
      </w:rPr>
      <w:t>II</w:t>
    </w:r>
    <w:r w:rsidRPr="00495C1E">
      <w:rPr>
        <w:b w:val="0"/>
        <w:bCs/>
        <w:lang w:val="en-US"/>
      </w:rPr>
      <w:fldChar w:fldCharType="end"/>
    </w:r>
    <w:r w:rsidRPr="00495C1E">
      <w:rPr>
        <w:bCs/>
        <w:lang w:val="en-GB"/>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459DB" w14:textId="1EE9BA4E" w:rsidR="004E4CA9" w:rsidRPr="0041348E" w:rsidRDefault="004E4CA9" w:rsidP="00781741">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262</w:t>
    </w:r>
    <w:r>
      <w:rPr>
        <w:b w:val="0"/>
      </w:rPr>
      <w:fldChar w:fldCharType="end"/>
    </w:r>
    <w:r w:rsidRPr="00C721BE">
      <w:rPr>
        <w:b w:val="0"/>
        <w:lang w:val="en-GB"/>
      </w:rPr>
      <w:tab/>
    </w:r>
    <w:r w:rsidRPr="002D6EB1">
      <w:rPr>
        <w:bCs/>
        <w:lang w:val="en-US"/>
      </w:rPr>
      <w:t>WTSA</w:t>
    </w:r>
    <w:r w:rsidRPr="002C3215">
      <w:rPr>
        <w:bCs/>
        <w:lang w:val="en-US"/>
      </w:rPr>
      <w:t>-20</w:t>
    </w:r>
    <w:r>
      <w:rPr>
        <w:lang w:val="en-US"/>
      </w:rPr>
      <w:t xml:space="preserve"> Proceedings – Part I – Resolutions suppressed by WTSA-20</w: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8BDF6" w14:textId="3FA47B1E" w:rsidR="004E4CA9" w:rsidRPr="00207FEE" w:rsidRDefault="004E4CA9" w:rsidP="00207FEE">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6A0076">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24</w:t>
    </w:r>
    <w:r>
      <w:rPr>
        <w:b w:val="0"/>
      </w:rPr>
      <w:fldChar w:fldCharType="end"/>
    </w:r>
    <w:r>
      <w:rPr>
        <w:lang w:val="en-US"/>
      </w:rPr>
      <w:tab/>
      <w:t xml:space="preserve">WTSA-16 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66</w:t>
    </w:r>
    <w: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3208B" w14:textId="7CCD37DE" w:rsidR="004E4CA9" w:rsidRPr="001E337A" w:rsidRDefault="004E4CA9" w:rsidP="001E337A">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7FE8E" w14:textId="4E987C2F" w:rsidR="004E4CA9" w:rsidRPr="00495C1E" w:rsidRDefault="004E4CA9" w:rsidP="00495C1E">
    <w:pPr>
      <w:pStyle w:val="FooterQP"/>
      <w:rPr>
        <w:b w:val="0"/>
        <w:lang w:val="en-US"/>
      </w:rPr>
    </w:pPr>
    <w:r>
      <w:tab/>
    </w:r>
    <w:r>
      <w:tab/>
    </w:r>
    <w:r>
      <w:rPr>
        <w:lang w:val="en-US"/>
      </w:rPr>
      <w:t xml:space="preserve">WTSA-16 – 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66</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6A0076">
      <w:rPr>
        <w:b w:val="0"/>
        <w:bCs/>
        <w:lang w:val="en-US"/>
      </w:rPr>
      <w:t>II</w:t>
    </w:r>
    <w:r w:rsidRPr="00495C1E">
      <w:rPr>
        <w:b w:val="0"/>
        <w:bCs/>
        <w:lang w:val="en-US"/>
      </w:rPr>
      <w:fldChar w:fldCharType="end"/>
    </w:r>
    <w:r w:rsidRPr="00495C1E">
      <w:rPr>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3</w:t>
    </w:r>
    <w:r>
      <w:rPr>
        <w:b w:val="0"/>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422B8" w14:textId="725E1BA8" w:rsidR="004E4CA9" w:rsidRPr="00AD2483" w:rsidRDefault="004E4CA9" w:rsidP="001E337A">
    <w:pPr>
      <w:pStyle w:val="FooterQP"/>
      <w:rPr>
        <w:b w:val="0"/>
        <w:lang w:val="en-US"/>
      </w:rPr>
    </w:pPr>
    <w:r>
      <w:rPr>
        <w:b w:val="0"/>
      </w:rPr>
      <w:fldChar w:fldCharType="begin"/>
    </w:r>
    <w:r>
      <w:rPr>
        <w:b w:val="0"/>
        <w:lang w:val="en-US"/>
      </w:rPr>
      <w:instrText xml:space="preserve"> PAGE  \* MERGEFORMAT </w:instrText>
    </w:r>
    <w:r>
      <w:rPr>
        <w:b w:val="0"/>
      </w:rPr>
      <w:fldChar w:fldCharType="separate"/>
    </w:r>
    <w:r>
      <w:rPr>
        <w:b w:val="0"/>
        <w:noProof/>
        <w:lang w:val="en-US"/>
      </w:rPr>
      <w:t>24</w:t>
    </w:r>
    <w:r>
      <w:rPr>
        <w:b w:val="0"/>
      </w:rPr>
      <w:fldChar w:fldCharType="end"/>
    </w:r>
    <w:r>
      <w:rPr>
        <w:lang w:val="en-US"/>
      </w:rPr>
      <w:tab/>
      <w:t>WTSA-</w:t>
    </w:r>
    <w:r w:rsidR="003370B7">
      <w:rPr>
        <w:lang w:val="en-US"/>
      </w:rPr>
      <w:t>20</w:t>
    </w:r>
    <w:r>
      <w:rPr>
        <w:lang w:val="en-US"/>
      </w:rPr>
      <w:t xml:space="preserve"> 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A.1</w:t>
    </w:r>
    <w: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7729A" w14:textId="0E5A5133" w:rsidR="004E4CA9" w:rsidRPr="00AD2483" w:rsidRDefault="004E4CA9" w:rsidP="008E1AC8">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A.1</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25</w:t>
    </w:r>
    <w:r>
      <w:rPr>
        <w:b w:val="0"/>
      </w:rPr>
      <w:fldChar w:fldCharType="end"/>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7D516" w14:textId="4DB60151" w:rsidR="004E4CA9" w:rsidRPr="00804FBA" w:rsidRDefault="004E4CA9" w:rsidP="00804FBA">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30</w:t>
    </w:r>
    <w:r>
      <w:rPr>
        <w:b w:val="0"/>
      </w:rPr>
      <w:fldChar w:fldCharType="end"/>
    </w:r>
    <w:r>
      <w:rPr>
        <w:lang w:val="en-US"/>
      </w:rPr>
      <w:tab/>
    </w:r>
    <w:r w:rsidRPr="002D6EB1">
      <w:rPr>
        <w:bCs/>
        <w:lang w:val="en-US"/>
      </w:rPr>
      <w:t>WTSA</w:t>
    </w:r>
    <w:r w:rsidRPr="002C3215">
      <w:rPr>
        <w:bCs/>
        <w:lang w:val="en-US"/>
      </w:rPr>
      <w:t>-20</w:t>
    </w:r>
    <w:r>
      <w:rPr>
        <w:lang w:val="en-US"/>
      </w:rPr>
      <w:t xml:space="preserve"> 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A.2</w:t>
    </w:r>
    <w: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C9BBC" w14:textId="69C53A01" w:rsidR="004E4CA9" w:rsidRPr="0057705A" w:rsidRDefault="004E4CA9" w:rsidP="0057705A">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A.2</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29</w:t>
    </w:r>
    <w:r>
      <w:rPr>
        <w:b w:val="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DD785" w14:textId="085A5A5A" w:rsidR="004E4CA9" w:rsidRPr="00896F54" w:rsidRDefault="004E4CA9"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ED4CC" w14:textId="26546ABF" w:rsidR="004E4CA9" w:rsidRPr="00804FBA" w:rsidRDefault="004E4CA9" w:rsidP="00804FBA">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34</w:t>
    </w:r>
    <w:r>
      <w:rPr>
        <w:b w:val="0"/>
      </w:rPr>
      <w:fldChar w:fldCharType="end"/>
    </w:r>
    <w:r>
      <w:rPr>
        <w:lang w:val="en-US"/>
      </w:rPr>
      <w:tab/>
    </w:r>
    <w:r w:rsidRPr="002D6EB1">
      <w:rPr>
        <w:bCs/>
        <w:lang w:val="en-US"/>
      </w:rPr>
      <w:t>WTSA</w:t>
    </w:r>
    <w:r w:rsidRPr="002C3215">
      <w:rPr>
        <w:bCs/>
        <w:lang w:val="en-US"/>
      </w:rPr>
      <w:t>-20</w:t>
    </w:r>
    <w:r>
      <w:rPr>
        <w:lang w:val="en-US"/>
      </w:rPr>
      <w:t xml:space="preserve"> 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A.4</w:t>
    </w:r>
    <w: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47939" w14:textId="2177B3D0" w:rsidR="004E4CA9" w:rsidRPr="0057705A" w:rsidRDefault="004E4CA9" w:rsidP="0057705A">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A.4</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33</w:t>
    </w:r>
    <w:r>
      <w:rPr>
        <w:b w:val="0"/>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33E50" w14:textId="6108C50E" w:rsidR="004E4CA9" w:rsidRPr="00310DD3" w:rsidRDefault="004E4CA9" w:rsidP="00310DD3">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44</w:t>
    </w:r>
    <w:r>
      <w:rPr>
        <w:b w:val="0"/>
      </w:rPr>
      <w:fldChar w:fldCharType="end"/>
    </w:r>
    <w:r>
      <w:rPr>
        <w:lang w:val="en-US"/>
      </w:rPr>
      <w:tab/>
    </w:r>
    <w:r w:rsidRPr="002D6EB1">
      <w:rPr>
        <w:bCs/>
        <w:lang w:val="en-US"/>
      </w:rPr>
      <w:t>WTSA</w:t>
    </w:r>
    <w:r w:rsidRPr="002C3215">
      <w:rPr>
        <w:bCs/>
        <w:lang w:val="en-US"/>
      </w:rPr>
      <w:t>-20</w:t>
    </w:r>
    <w:r>
      <w:rPr>
        <w:lang w:val="en-US"/>
      </w:rPr>
      <w:t xml:space="preserve"> 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A.5</w:t>
    </w:r>
    <w:r>
      <w:fldChar w:fldCharType="end"/>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B4D90" w14:textId="772DF332" w:rsidR="004E4CA9" w:rsidRPr="007821EC" w:rsidRDefault="004E4CA9" w:rsidP="00B25E47">
    <w:pPr>
      <w:pStyle w:val="FooterQP"/>
      <w:tabs>
        <w:tab w:val="clear" w:pos="8789"/>
        <w:tab w:val="clear" w:pos="9639"/>
        <w:tab w:val="right" w:pos="13608"/>
        <w:tab w:val="right" w:pos="14530"/>
      </w:tabs>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A.4</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45</w:t>
    </w:r>
    <w:r>
      <w:rPr>
        <w:b w:val="0"/>
      </w:rPr>
      <w:fldChar w:fldCharType="end"/>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83AE8" w14:textId="13B219DD" w:rsidR="004E4CA9" w:rsidRPr="007821EC" w:rsidRDefault="004E4CA9" w:rsidP="004D45BD">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A.5</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45</w:t>
    </w:r>
    <w:r>
      <w:rPr>
        <w:b w:val="0"/>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61AA6" w14:textId="77777777" w:rsidR="004E4CA9" w:rsidRPr="000D3B09" w:rsidRDefault="004E4CA9" w:rsidP="000D3B09">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E0056" w14:textId="4E36B1BD" w:rsidR="004E4CA9" w:rsidRPr="007821EC" w:rsidRDefault="004E4CA9" w:rsidP="004D45BD">
    <w:pPr>
      <w:pStyle w:val="FooterQP"/>
      <w:tabs>
        <w:tab w:val="clear" w:pos="8789"/>
        <w:tab w:val="clear" w:pos="9639"/>
        <w:tab w:val="right" w:pos="13608"/>
        <w:tab w:val="right" w:pos="14530"/>
      </w:tabs>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A.5</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45</w:t>
    </w:r>
    <w:r>
      <w:rPr>
        <w:b w:val="0"/>
      </w:rPr>
      <w:fldChar w:fldCharType="end"/>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72A84" w14:textId="21020D80" w:rsidR="004E4CA9" w:rsidRPr="00AD2483" w:rsidRDefault="004E4CA9" w:rsidP="00AD2483">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48</w:t>
    </w:r>
    <w:r>
      <w:rPr>
        <w:b w:val="0"/>
      </w:rPr>
      <w:fldChar w:fldCharType="end"/>
    </w:r>
    <w:r>
      <w:rPr>
        <w:lang w:val="en-US"/>
      </w:rPr>
      <w:tab/>
    </w:r>
    <w:r w:rsidRPr="002D6EB1">
      <w:rPr>
        <w:bCs/>
        <w:lang w:val="en-US"/>
      </w:rPr>
      <w:t>WTSA</w:t>
    </w:r>
    <w:r w:rsidRPr="002C3215">
      <w:rPr>
        <w:bCs/>
        <w:lang w:val="en-US"/>
      </w:rPr>
      <w:t>-20</w:t>
    </w:r>
    <w:r>
      <w:rPr>
        <w:lang w:val="en-US"/>
      </w:rPr>
      <w:t xml:space="preserve"> 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A.6</w:t>
    </w:r>
    <w: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DEC3B" w14:textId="3F1CFD1A" w:rsidR="004E4CA9" w:rsidRPr="00AD2483" w:rsidRDefault="004E4CA9" w:rsidP="008E1AC8">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A.6</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47</w:t>
    </w:r>
    <w:r>
      <w:rPr>
        <w:b w:val="0"/>
      </w:rP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8DB44" w14:textId="46A22059" w:rsidR="004E4CA9" w:rsidRPr="00AD2483" w:rsidRDefault="004E4CA9" w:rsidP="00AD2483">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6A0076">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54</w:t>
    </w:r>
    <w:r>
      <w:rPr>
        <w:b w:val="0"/>
      </w:rPr>
      <w:fldChar w:fldCharType="end"/>
    </w:r>
    <w:r>
      <w:rPr>
        <w:lang w:val="en-US"/>
      </w:rPr>
      <w:tab/>
      <w:t xml:space="preserve">WTSA-16 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82627" w14:textId="77777777" w:rsidR="004E4CA9" w:rsidRDefault="004E4CA9" w:rsidP="004E3740">
    <w:pPr>
      <w:pStyle w:val="FooterQP"/>
      <w:rPr>
        <w:b w:val="0"/>
        <w:lang w:val="en-US"/>
      </w:rPr>
    </w:pPr>
    <w:r>
      <w:tab/>
    </w:r>
    <w:r>
      <w:tab/>
    </w:r>
    <w:r>
      <w:rPr>
        <w:lang w:val="en-US"/>
      </w:rPr>
      <w:t>WTSA-16 – Proceedings – Contents</w:t>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iii</w:t>
    </w:r>
    <w:r>
      <w:rPr>
        <w:b w:val="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21A27" w14:textId="0129197A"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68</w:t>
    </w:r>
    <w:r w:rsidRPr="00851F87">
      <w:rPr>
        <w:b w:val="0"/>
        <w:bCs/>
      </w:rPr>
      <w:fldChar w:fldCharType="end"/>
    </w:r>
    <w:r w:rsidRPr="007E52B2">
      <w:rPr>
        <w:lang w:val="en-GB"/>
      </w:rPr>
      <w:tab/>
    </w:r>
    <w:r>
      <w:rPr>
        <w:lang w:val="en-US"/>
      </w:rPr>
      <w:t xml:space="preserve">WTSA-20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11</w:t>
    </w:r>
    <w:r w:rsidRPr="002D6EB1">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9DF12" w14:textId="543105AB" w:rsidR="004E4CA9" w:rsidRPr="007821EC" w:rsidRDefault="004E4CA9" w:rsidP="00B25E47">
    <w:pPr>
      <w:pStyle w:val="FooterQP"/>
      <w:tabs>
        <w:tab w:val="clear" w:pos="8789"/>
        <w:tab w:val="clear" w:pos="9639"/>
        <w:tab w:val="right" w:pos="13608"/>
        <w:tab w:val="right" w:pos="14530"/>
      </w:tabs>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A.6</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rPr>
      <w:t>307</w:t>
    </w:r>
    <w:r>
      <w:rPr>
        <w:b w:val="0"/>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E7035" w14:textId="70132FF1" w:rsidR="004E4CA9" w:rsidRPr="00AD2483" w:rsidRDefault="004E4CA9" w:rsidP="00AD2483">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56</w:t>
    </w:r>
    <w:r>
      <w:rPr>
        <w:b w:val="0"/>
      </w:rPr>
      <w:fldChar w:fldCharType="end"/>
    </w:r>
    <w:r>
      <w:rPr>
        <w:lang w:val="en-US"/>
      </w:rPr>
      <w:tab/>
    </w:r>
    <w:r w:rsidRPr="002D6EB1">
      <w:rPr>
        <w:bCs/>
        <w:lang w:val="en-US"/>
      </w:rPr>
      <w:t>WTSA</w:t>
    </w:r>
    <w:r w:rsidRPr="002C3215">
      <w:rPr>
        <w:bCs/>
        <w:lang w:val="en-US"/>
      </w:rPr>
      <w:t>-20</w:t>
    </w:r>
    <w:r>
      <w:rPr>
        <w:lang w:val="en-US"/>
      </w:rPr>
      <w:t xml:space="preserve"> 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A.7</w:t>
    </w:r>
    <w:r>
      <w:fldChar w:fldCharType="end"/>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0C139" w14:textId="7C550463" w:rsidR="004E4CA9" w:rsidRPr="00AD2483" w:rsidRDefault="004E4CA9" w:rsidP="008E1AC8">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A.7</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55</w:t>
    </w:r>
    <w:r>
      <w:rPr>
        <w:b w:val="0"/>
      </w:rP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F61E0" w14:textId="336B12A1" w:rsidR="004E4CA9" w:rsidRPr="00AD2483" w:rsidRDefault="004E4CA9" w:rsidP="00AD2483">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72</w:t>
    </w:r>
    <w:r>
      <w:rPr>
        <w:b w:val="0"/>
      </w:rPr>
      <w:fldChar w:fldCharType="end"/>
    </w:r>
    <w:r>
      <w:rPr>
        <w:lang w:val="en-US"/>
      </w:rPr>
      <w:tab/>
    </w:r>
    <w:r w:rsidRPr="002D6EB1">
      <w:rPr>
        <w:bCs/>
        <w:lang w:val="en-US"/>
      </w:rPr>
      <w:t>WTSA</w:t>
    </w:r>
    <w:r w:rsidRPr="002C3215">
      <w:rPr>
        <w:bCs/>
        <w:lang w:val="en-US"/>
      </w:rPr>
      <w:t>-20</w:t>
    </w:r>
    <w:r>
      <w:rPr>
        <w:lang w:val="en-US"/>
      </w:rPr>
      <w:t xml:space="preserve"> 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A.8</w:t>
    </w:r>
    <w: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F9722" w14:textId="7FB4DCAE" w:rsidR="004E4CA9" w:rsidRPr="00AD2483" w:rsidRDefault="004E4CA9" w:rsidP="008E1AC8">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A.8</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71</w:t>
    </w:r>
    <w:r>
      <w:rPr>
        <w:b w:val="0"/>
      </w:rPr>
      <w:fldChar w:fldCharType="end"/>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38971" w14:textId="77777777" w:rsidR="004E4CA9" w:rsidRPr="000D3B09" w:rsidRDefault="004E4CA9" w:rsidP="000D3B09">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EF35E" w14:textId="6E89636E" w:rsidR="004E4CA9" w:rsidRPr="00C32CE0" w:rsidRDefault="004E4CA9" w:rsidP="00C32CE0">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76</w:t>
    </w:r>
    <w:r>
      <w:rPr>
        <w:b w:val="0"/>
      </w:rPr>
      <w:fldChar w:fldCharType="end"/>
    </w:r>
    <w:r>
      <w:rPr>
        <w:lang w:val="en-US"/>
      </w:rPr>
      <w:tab/>
    </w:r>
    <w:r w:rsidRPr="002D6EB1">
      <w:rPr>
        <w:bCs/>
        <w:lang w:val="en-US"/>
      </w:rPr>
      <w:t>WTSA</w:t>
    </w:r>
    <w:r w:rsidRPr="002C3215">
      <w:rPr>
        <w:bCs/>
        <w:lang w:val="en-US"/>
      </w:rPr>
      <w:t>-20</w:t>
    </w:r>
    <w:r>
      <w:rPr>
        <w:lang w:val="en-US"/>
      </w:rPr>
      <w:t xml:space="preserve"> 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A.11</w:t>
    </w:r>
    <w: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6C02F" w14:textId="6AE1BB85" w:rsidR="004E4CA9" w:rsidRPr="00C32CE0" w:rsidRDefault="004E4CA9" w:rsidP="008E1AC8">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A.11</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75</w:t>
    </w:r>
    <w:r>
      <w:rPr>
        <w:b w:val="0"/>
      </w:rPr>
      <w:fldChar w:fldCharType="end"/>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87E56" w14:textId="70BEA8BF" w:rsidR="004E4CA9" w:rsidRPr="000C616A" w:rsidRDefault="004E4CA9" w:rsidP="000C616A">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78</w:t>
    </w:r>
    <w:r>
      <w:rPr>
        <w:b w:val="0"/>
      </w:rPr>
      <w:fldChar w:fldCharType="end"/>
    </w:r>
    <w:r>
      <w:rPr>
        <w:lang w:val="en-US"/>
      </w:rPr>
      <w:tab/>
    </w:r>
    <w:r w:rsidRPr="002D6EB1">
      <w:rPr>
        <w:bCs/>
        <w:lang w:val="en-US"/>
      </w:rPr>
      <w:t>WTSA</w:t>
    </w:r>
    <w:r w:rsidRPr="002C3215">
      <w:rPr>
        <w:bCs/>
        <w:lang w:val="en-US"/>
      </w:rPr>
      <w:t>-20</w:t>
    </w:r>
    <w:r>
      <w:rPr>
        <w:lang w:val="en-US"/>
      </w:rPr>
      <w:t xml:space="preserve"> 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A.12</w:t>
    </w:r>
    <w: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5E63F" w14:textId="46C41B88" w:rsidR="004E4CA9" w:rsidRPr="00AD2483" w:rsidRDefault="004E4CA9" w:rsidP="008E1AC8">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A.12</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77</w:t>
    </w:r>
    <w:r>
      <w:rPr>
        <w:b w:val="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C99F9" w14:textId="73B652D1" w:rsidR="004E4CA9" w:rsidRPr="00896F54" w:rsidRDefault="004E4CA9" w:rsidP="00896F54">
    <w:pPr>
      <w:pStyle w:val="FooterQP"/>
      <w:rPr>
        <w:b w:val="0"/>
        <w:lang w:val="en-US"/>
      </w:rPr>
    </w:pPr>
    <w:r>
      <w:tab/>
    </w:r>
    <w:r>
      <w:tab/>
    </w:r>
    <w:r>
      <w:rPr>
        <w:lang w:val="en-US"/>
      </w:rPr>
      <w:t xml:space="preserve">WTSA-20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11</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67</w:t>
    </w:r>
    <w:r>
      <w:rPr>
        <w:b w:val="0"/>
      </w:rP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A156C" w14:textId="04EFEC2F" w:rsidR="004E4CA9" w:rsidRPr="007D3773" w:rsidRDefault="004E4CA9" w:rsidP="007D3773">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84</w:t>
    </w:r>
    <w:r>
      <w:rPr>
        <w:b w:val="0"/>
      </w:rPr>
      <w:fldChar w:fldCharType="end"/>
    </w:r>
    <w:r>
      <w:rPr>
        <w:lang w:val="en-US"/>
      </w:rPr>
      <w:tab/>
    </w:r>
    <w:r w:rsidRPr="002D6EB1">
      <w:rPr>
        <w:bCs/>
        <w:lang w:val="en-US"/>
      </w:rPr>
      <w:t>WTSA</w:t>
    </w:r>
    <w:r w:rsidRPr="002C3215">
      <w:rPr>
        <w:bCs/>
        <w:lang w:val="en-US"/>
      </w:rPr>
      <w:t>-20</w:t>
    </w:r>
    <w:r>
      <w:rPr>
        <w:lang w:val="en-US"/>
      </w:rPr>
      <w:t xml:space="preserve"> 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A.13</w:t>
    </w:r>
    <w:r>
      <w:fldChar w:fldCharType="end"/>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9AAA6" w14:textId="7637F838" w:rsidR="004E4CA9" w:rsidRPr="00AD2483" w:rsidRDefault="004E4CA9" w:rsidP="008E1AC8">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A.13</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83</w:t>
    </w:r>
    <w:r>
      <w:rPr>
        <w:b w:val="0"/>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A9A3E" w14:textId="20E27D80" w:rsidR="004E4CA9" w:rsidRPr="007D3773" w:rsidRDefault="004E4CA9" w:rsidP="007D3773">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134</w:t>
    </w:r>
    <w:r>
      <w:rPr>
        <w:b w:val="0"/>
      </w:rPr>
      <w:fldChar w:fldCharType="end"/>
    </w:r>
    <w:r>
      <w:rPr>
        <w:lang w:val="en-US"/>
      </w:rPr>
      <w:tab/>
    </w:r>
    <w:r w:rsidRPr="002D6EB1">
      <w:rPr>
        <w:bCs/>
        <w:lang w:val="en-US"/>
      </w:rPr>
      <w:t>WTSA</w:t>
    </w:r>
    <w:r w:rsidRPr="002C3215">
      <w:rPr>
        <w:bCs/>
        <w:lang w:val="en-US"/>
      </w:rPr>
      <w:t>-20</w:t>
    </w:r>
    <w:r>
      <w:rPr>
        <w:lang w:val="en-US"/>
      </w:rPr>
      <w:t xml:space="preserve"> 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A.23</w:t>
    </w:r>
    <w: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703E9" w14:textId="4B399E93" w:rsidR="004E4CA9" w:rsidRPr="00944265" w:rsidRDefault="004E4CA9" w:rsidP="00944265">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A.23</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135</w:t>
    </w:r>
    <w:r>
      <w:rPr>
        <w:b w:val="0"/>
      </w:rP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BE6DC" w14:textId="49F7A789" w:rsidR="004E4CA9" w:rsidRPr="007D3773" w:rsidRDefault="004E4CA9" w:rsidP="007D3773">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144</w:t>
    </w:r>
    <w:r>
      <w:rPr>
        <w:b w:val="0"/>
      </w:rPr>
      <w:fldChar w:fldCharType="end"/>
    </w:r>
    <w:r>
      <w:rPr>
        <w:lang w:val="en-US"/>
      </w:rPr>
      <w:tab/>
    </w:r>
    <w:r w:rsidRPr="002D6EB1">
      <w:rPr>
        <w:bCs/>
        <w:lang w:val="en-US"/>
      </w:rPr>
      <w:t>WTSA</w:t>
    </w:r>
    <w:r w:rsidRPr="002C3215">
      <w:rPr>
        <w:bCs/>
        <w:lang w:val="en-US"/>
      </w:rPr>
      <w:t>-20</w:t>
    </w:r>
    <w:r>
      <w:rPr>
        <w:lang w:val="en-US"/>
      </w:rPr>
      <w:t xml:space="preserve"> 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A.25</w:t>
    </w:r>
    <w:r>
      <w:fldChar w:fldCharType="end"/>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2DC42" w14:textId="14B80AAC" w:rsidR="004E4CA9" w:rsidRPr="007D3773" w:rsidRDefault="004E4CA9" w:rsidP="008E1AC8">
    <w:pPr>
      <w:pStyle w:val="FooterQP"/>
      <w:rPr>
        <w:b w:val="0"/>
        <w:lang w:val="en-US"/>
      </w:rPr>
    </w:pPr>
    <w:r>
      <w:tab/>
    </w:r>
    <w:r>
      <w:tab/>
    </w:r>
    <w:r w:rsidRPr="002D6EB1">
      <w:rPr>
        <w:bCs/>
        <w:lang w:val="en-US"/>
      </w:rPr>
      <w:t>WTSA</w:t>
    </w:r>
    <w:r w:rsidRPr="002C3215">
      <w:rPr>
        <w:bCs/>
        <w:lang w:val="en-US"/>
      </w:rPr>
      <w:t>-20</w:t>
    </w:r>
    <w:r>
      <w:rPr>
        <w:lang w:val="en-US"/>
      </w:rPr>
      <w:t xml:space="preserve"> Proceedings – </w:t>
    </w:r>
    <w:r>
      <w:fldChar w:fldCharType="begin"/>
    </w:r>
    <w:r w:rsidRPr="00B051AD">
      <w:rPr>
        <w:lang w:val="en-GB"/>
      </w:rPr>
      <w:instrText xml:space="preserve"> DOCPROPERTY "Footer 2" \* MERGEFORMAT </w:instrText>
    </w:r>
    <w:r>
      <w:fldChar w:fldCharType="separate"/>
    </w:r>
    <w:r w:rsidR="006A0076" w:rsidRPr="006A0076">
      <w:rPr>
        <w:lang w:val="en-US"/>
      </w:rPr>
      <w:t>Part II – Recommendation</w:t>
    </w:r>
    <w:r>
      <w:rPr>
        <w:lang w:val="en-US"/>
      </w:rPr>
      <w:fldChar w:fldCharType="end"/>
    </w:r>
    <w:r w:rsidRPr="00B051AD">
      <w:rPr>
        <w:lang w:val="en-GB"/>
      </w:rPr>
      <w:t xml:space="preserve"> ITU-T</w:t>
    </w:r>
    <w:r>
      <w:rPr>
        <w:lang w:val="en-US"/>
      </w:rPr>
      <w:t xml:space="preserve"> </w:t>
    </w:r>
    <w:r>
      <w:fldChar w:fldCharType="begin"/>
    </w:r>
    <w:r>
      <w:rPr>
        <w:lang w:val="en-US"/>
      </w:rPr>
      <w:instrText>styleref href</w:instrText>
    </w:r>
    <w:r>
      <w:fldChar w:fldCharType="separate"/>
    </w:r>
    <w:r w:rsidR="006A0076">
      <w:rPr>
        <w:noProof/>
        <w:lang w:val="en-US"/>
      </w:rPr>
      <w:t>A.25</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145</w:t>
    </w:r>
    <w:r>
      <w:rPr>
        <w:b w:val="0"/>
      </w:rP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E343F" w14:textId="29520A76" w:rsidR="004E4CA9" w:rsidRPr="009016C7" w:rsidRDefault="004E4CA9" w:rsidP="009016C7">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152</w:t>
    </w:r>
    <w:r>
      <w:rPr>
        <w:b w:val="0"/>
      </w:rPr>
      <w:fldChar w:fldCharType="end"/>
    </w:r>
    <w:r>
      <w:rPr>
        <w:lang w:val="en-US"/>
      </w:rPr>
      <w:tab/>
    </w:r>
    <w:r w:rsidRPr="002D6EB1">
      <w:rPr>
        <w:bCs/>
        <w:lang w:val="en-US"/>
      </w:rPr>
      <w:t>WTSA</w:t>
    </w:r>
    <w:r w:rsidRPr="002C3215">
      <w:rPr>
        <w:bCs/>
        <w:lang w:val="en-US"/>
      </w:rPr>
      <w:t>-20</w:t>
    </w:r>
    <w:r>
      <w:rPr>
        <w:lang w:val="en-US"/>
      </w:rPr>
      <w:t xml:space="preserve"> 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A.31</w:t>
    </w:r>
    <w:r>
      <w:fldChar w:fldCharType="end"/>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33A95" w14:textId="2594CFC9" w:rsidR="004E4CA9" w:rsidRPr="009016C7" w:rsidRDefault="004E4CA9" w:rsidP="009016C7">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rPr>
        <w:lang w:val="en-US"/>
      </w:rPr>
      <w:fldChar w:fldCharType="begin"/>
    </w:r>
    <w:r>
      <w:rPr>
        <w:lang w:val="en-US"/>
      </w:rPr>
      <w:instrText xml:space="preserve"> DOCPROPERTY "Footer 2" \* MERGEFORMAT </w:instrText>
    </w:r>
    <w:r>
      <w:rPr>
        <w:lang w:val="en-US"/>
      </w:rPr>
      <w:fldChar w:fldCharType="separate"/>
    </w:r>
    <w:r w:rsidR="006A007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6A0076">
      <w:rPr>
        <w:noProof/>
        <w:lang w:val="en-US"/>
      </w:rPr>
      <w:t>A.31</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153</w:t>
    </w:r>
    <w:r>
      <w:rPr>
        <w:b w:val="0"/>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814BD" w14:textId="3F1E6DE9" w:rsidR="004E4CA9" w:rsidRPr="00E03E02" w:rsidRDefault="004E4CA9" w:rsidP="008E1AC8">
    <w:pPr>
      <w:pStyle w:val="FooterQP"/>
      <w:rPr>
        <w:b w:val="0"/>
        <w:lang w:val="en-US"/>
      </w:rPr>
    </w:pPr>
    <w:r>
      <w:tab/>
    </w:r>
    <w:r>
      <w:tab/>
    </w:r>
    <w:r>
      <w:rPr>
        <w:lang w:val="en-US"/>
      </w:rPr>
      <w:t xml:space="preserve">WTSA-16 – </w:t>
    </w:r>
    <w:r w:rsidRPr="002D6EB1">
      <w:rPr>
        <w:bCs/>
        <w:lang w:val="en-US"/>
      </w:rPr>
      <w:t>Proceedings –</w:t>
    </w:r>
    <w:r>
      <w:rPr>
        <w:bCs/>
        <w:lang w:val="en-US"/>
      </w:rPr>
      <w:t xml:space="preserve"> Part II – A series – Supplement </w:t>
    </w:r>
    <w:r>
      <w:fldChar w:fldCharType="begin"/>
    </w:r>
    <w:r>
      <w:rPr>
        <w:lang w:val="en-US"/>
      </w:rPr>
      <w:instrText>styleref href</w:instrText>
    </w:r>
    <w:r>
      <w:fldChar w:fldCharType="separate"/>
    </w:r>
    <w:r w:rsidR="006A0076">
      <w:rPr>
        <w:noProof/>
        <w:lang w:val="en-US"/>
      </w:rPr>
      <w:t>A.25</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6A0076">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07CC3" w14:textId="647A71F7" w:rsidR="004E4CA9" w:rsidRPr="00F770D7" w:rsidRDefault="004E4CA9" w:rsidP="005C5DB2">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154</w:t>
    </w:r>
    <w:r>
      <w:rPr>
        <w:b w:val="0"/>
      </w:rPr>
      <w:fldChar w:fldCharType="end"/>
    </w:r>
    <w:r>
      <w:rPr>
        <w:lang w:val="en-US"/>
      </w:rPr>
      <w:tab/>
      <w:t>WTSA-</w:t>
    </w:r>
    <w:r w:rsidR="003370B7">
      <w:rPr>
        <w:lang w:val="en-US"/>
      </w:rPr>
      <w:t>20</w:t>
    </w:r>
    <w:r>
      <w:rPr>
        <w:lang w:val="en-US"/>
      </w:rPr>
      <w:t xml:space="preserve"> Proceedings –</w:t>
    </w:r>
    <w:r w:rsidRPr="00F770D7">
      <w:rPr>
        <w:bCs/>
        <w:lang w:val="en-US"/>
      </w:rPr>
      <w:t xml:space="preserve"> </w:t>
    </w:r>
    <w:r>
      <w:rPr>
        <w:bCs/>
        <w:lang w:val="en-US"/>
      </w:rPr>
      <w:t xml:space="preserve">Part II – A series – Supplement </w:t>
    </w:r>
    <w:r>
      <w:fldChar w:fldCharType="begin"/>
    </w:r>
    <w:r>
      <w:rPr>
        <w:lang w:val="en-US"/>
      </w:rPr>
      <w:instrText>styleref href</w:instrText>
    </w:r>
    <w:r>
      <w:fldChar w:fldCharType="separate"/>
    </w:r>
    <w:r w:rsidR="006A0076">
      <w:rPr>
        <w:noProof/>
        <w:lang w:val="en-US"/>
      </w:rPr>
      <w:t>2</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8C97B" w14:textId="47705894" w:rsidR="004E4CA9" w:rsidRPr="00896F54" w:rsidRDefault="004E4CA9"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7</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D4726" w14:textId="74F0A24C" w:rsidR="004E4CA9" w:rsidRPr="001E7EDE" w:rsidRDefault="004E4CA9" w:rsidP="001E7EDE">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rPr>
        <w:bCs/>
        <w:lang w:val="en-US"/>
      </w:rPr>
      <w:t>Part II – A series – Supplement</w:t>
    </w:r>
    <w:r>
      <w:rPr>
        <w:lang w:val="en-US"/>
      </w:rPr>
      <w:t xml:space="preserve"> </w:t>
    </w:r>
    <w:r>
      <w:fldChar w:fldCharType="begin"/>
    </w:r>
    <w:r>
      <w:rPr>
        <w:lang w:val="en-US"/>
      </w:rPr>
      <w:instrText>styleref href</w:instrText>
    </w:r>
    <w:r>
      <w:fldChar w:fldCharType="separate"/>
    </w:r>
    <w:r w:rsidR="006A0076">
      <w:rPr>
        <w:noProof/>
        <w:lang w:val="en-US"/>
      </w:rPr>
      <w:t>2</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155</w:t>
    </w:r>
    <w:r>
      <w:rPr>
        <w:b w:val="0"/>
      </w:rPr>
      <w:fldChar w:fldCharType="end"/>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159B1" w14:textId="6BEFDDCB" w:rsidR="004E4CA9" w:rsidRPr="00E03E02" w:rsidRDefault="004E4CA9" w:rsidP="008E1AC8">
    <w:pPr>
      <w:pStyle w:val="FooterQP"/>
      <w:rPr>
        <w:b w:val="0"/>
        <w:lang w:val="en-US"/>
      </w:rPr>
    </w:pPr>
    <w:r>
      <w:tab/>
    </w:r>
    <w:r>
      <w:tab/>
    </w:r>
    <w:r>
      <w:rPr>
        <w:lang w:val="en-US"/>
      </w:rPr>
      <w:t xml:space="preserve">WTSA-16 – </w:t>
    </w:r>
    <w:r w:rsidRPr="002D6EB1">
      <w:rPr>
        <w:bCs/>
        <w:lang w:val="en-US"/>
      </w:rPr>
      <w:t>Proceedings –</w:t>
    </w:r>
    <w:r>
      <w:rPr>
        <w:bCs/>
        <w:lang w:val="en-US"/>
      </w:rPr>
      <w:t xml:space="preserve"> Part II – A series – Supplement </w:t>
    </w:r>
    <w:r>
      <w:fldChar w:fldCharType="begin"/>
    </w:r>
    <w:r>
      <w:rPr>
        <w:lang w:val="en-US"/>
      </w:rPr>
      <w:instrText>styleref href</w:instrText>
    </w:r>
    <w:r>
      <w:fldChar w:fldCharType="separate"/>
    </w:r>
    <w:r w:rsidR="006A0076">
      <w:rPr>
        <w:noProof/>
        <w:lang w:val="en-US"/>
      </w:rPr>
      <w:t>A.31</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6A0076">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FC6A6" w14:textId="08729EBC" w:rsidR="004E4CA9" w:rsidRPr="00F770D7" w:rsidRDefault="004E4CA9" w:rsidP="001E7EDE">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164</w:t>
    </w:r>
    <w:r>
      <w:rPr>
        <w:b w:val="0"/>
      </w:rPr>
      <w:fldChar w:fldCharType="end"/>
    </w:r>
    <w:r>
      <w:rPr>
        <w:lang w:val="en-US"/>
      </w:rPr>
      <w:tab/>
    </w:r>
    <w:r w:rsidRPr="002D6EB1">
      <w:rPr>
        <w:bCs/>
        <w:lang w:val="en-US"/>
      </w:rPr>
      <w:t>WTSA</w:t>
    </w:r>
    <w:r w:rsidRPr="002C3215">
      <w:rPr>
        <w:bCs/>
        <w:lang w:val="en-US"/>
      </w:rPr>
      <w:t>-20</w:t>
    </w:r>
    <w:r>
      <w:rPr>
        <w:lang w:val="en-US"/>
      </w:rPr>
      <w:t xml:space="preserve"> Proceedings –</w:t>
    </w:r>
    <w:r w:rsidRPr="00F770D7">
      <w:rPr>
        <w:bCs/>
        <w:lang w:val="en-US"/>
      </w:rPr>
      <w:t xml:space="preserve"> </w:t>
    </w:r>
    <w:r>
      <w:rPr>
        <w:bCs/>
        <w:lang w:val="en-US"/>
      </w:rPr>
      <w:t xml:space="preserve">Part II – A series – Supplement </w:t>
    </w:r>
    <w:r>
      <w:fldChar w:fldCharType="begin"/>
    </w:r>
    <w:r>
      <w:rPr>
        <w:lang w:val="en-US"/>
      </w:rPr>
      <w:instrText>styleref href</w:instrText>
    </w:r>
    <w:r>
      <w:fldChar w:fldCharType="separate"/>
    </w:r>
    <w:r w:rsidR="006A0076">
      <w:rPr>
        <w:noProof/>
        <w:lang w:val="en-US"/>
      </w:rPr>
      <w:t>3</w:t>
    </w:r>
    <w:r>
      <w:fldChar w:fldCharType="end"/>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5E7E4" w14:textId="2B1541DF" w:rsidR="004E4CA9" w:rsidRPr="001E7EDE" w:rsidRDefault="004E4CA9" w:rsidP="001E7EDE">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rPr>
        <w:bCs/>
        <w:lang w:val="en-US"/>
      </w:rPr>
      <w:t>Part II – A series – Supplement</w:t>
    </w:r>
    <w:r>
      <w:rPr>
        <w:lang w:val="en-US"/>
      </w:rPr>
      <w:t xml:space="preserve"> </w:t>
    </w:r>
    <w:r>
      <w:fldChar w:fldCharType="begin"/>
    </w:r>
    <w:r>
      <w:rPr>
        <w:lang w:val="en-US"/>
      </w:rPr>
      <w:instrText>styleref href</w:instrText>
    </w:r>
    <w:r>
      <w:fldChar w:fldCharType="separate"/>
    </w:r>
    <w:r w:rsidR="006A0076">
      <w:rPr>
        <w:noProof/>
        <w:lang w:val="en-US"/>
      </w:rPr>
      <w:t>3</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163</w:t>
    </w:r>
    <w:r>
      <w:rPr>
        <w:b w:val="0"/>
      </w:rPr>
      <w:fldChar w:fldCharType="end"/>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5C932" w14:textId="1798F6FA" w:rsidR="004E4CA9" w:rsidRPr="009E0CF9" w:rsidRDefault="004E4CA9" w:rsidP="005C5DB2">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170</w:t>
    </w:r>
    <w:r>
      <w:rPr>
        <w:b w:val="0"/>
      </w:rPr>
      <w:fldChar w:fldCharType="end"/>
    </w:r>
    <w:r>
      <w:rPr>
        <w:lang w:val="en-US"/>
      </w:rPr>
      <w:tab/>
    </w:r>
    <w:r w:rsidRPr="002D6EB1">
      <w:rPr>
        <w:bCs/>
        <w:lang w:val="en-US"/>
      </w:rPr>
      <w:t>WTSA</w:t>
    </w:r>
    <w:r w:rsidRPr="002C3215">
      <w:rPr>
        <w:bCs/>
        <w:lang w:val="en-US"/>
      </w:rPr>
      <w:t>-20</w:t>
    </w:r>
    <w:r>
      <w:rPr>
        <w:lang w:val="en-US"/>
      </w:rPr>
      <w:t xml:space="preserve"> Proceedings –</w:t>
    </w:r>
    <w:r w:rsidRPr="00F770D7">
      <w:rPr>
        <w:bCs/>
        <w:lang w:val="en-US"/>
      </w:rPr>
      <w:t xml:space="preserve"> </w:t>
    </w:r>
    <w:r>
      <w:rPr>
        <w:bCs/>
        <w:lang w:val="en-US"/>
      </w:rPr>
      <w:t xml:space="preserve">Part II – A series – Supplement </w:t>
    </w:r>
    <w:r>
      <w:fldChar w:fldCharType="begin"/>
    </w:r>
    <w:r>
      <w:rPr>
        <w:lang w:val="en-US"/>
      </w:rPr>
      <w:instrText>styleref href</w:instrText>
    </w:r>
    <w:r>
      <w:fldChar w:fldCharType="separate"/>
    </w:r>
    <w:r w:rsidR="006A0076">
      <w:rPr>
        <w:noProof/>
        <w:lang w:val="en-US"/>
      </w:rPr>
      <w:t>4</w:t>
    </w:r>
    <w: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82BD3" w14:textId="6D24FEB4" w:rsidR="004E4CA9" w:rsidRPr="009E0CF9" w:rsidRDefault="004E4CA9" w:rsidP="008E1AC8">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Proceedings –</w:t>
    </w:r>
    <w:r>
      <w:rPr>
        <w:bCs/>
        <w:lang w:val="en-US"/>
      </w:rPr>
      <w:t xml:space="preserve"> Part II – A series – Supplement </w:t>
    </w:r>
    <w:r>
      <w:fldChar w:fldCharType="begin"/>
    </w:r>
    <w:r>
      <w:rPr>
        <w:lang w:val="en-US"/>
      </w:rPr>
      <w:instrText>styleref href</w:instrText>
    </w:r>
    <w:r>
      <w:fldChar w:fldCharType="separate"/>
    </w:r>
    <w:r w:rsidR="006A0076">
      <w:rPr>
        <w:noProof/>
        <w:lang w:val="en-US"/>
      </w:rPr>
      <w:t>4</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169</w:t>
    </w:r>
    <w:r>
      <w:rPr>
        <w:b w:val="0"/>
      </w:rPr>
      <w:fldChar w:fldCharType="end"/>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ABC3F" w14:textId="70F19B4E" w:rsidR="004E4CA9" w:rsidRPr="009E0CF9" w:rsidRDefault="004E4CA9" w:rsidP="005C5DB2">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190</w:t>
    </w:r>
    <w:r>
      <w:rPr>
        <w:b w:val="0"/>
      </w:rPr>
      <w:fldChar w:fldCharType="end"/>
    </w:r>
    <w:r>
      <w:rPr>
        <w:lang w:val="en-US"/>
      </w:rPr>
      <w:tab/>
    </w:r>
    <w:r w:rsidRPr="002D6EB1">
      <w:rPr>
        <w:bCs/>
        <w:lang w:val="en-US"/>
      </w:rPr>
      <w:t>WTSA</w:t>
    </w:r>
    <w:r w:rsidRPr="002C3215">
      <w:rPr>
        <w:bCs/>
        <w:lang w:val="en-US"/>
      </w:rPr>
      <w:t>-20</w:t>
    </w:r>
    <w:r>
      <w:rPr>
        <w:lang w:val="en-US"/>
      </w:rPr>
      <w:t xml:space="preserve"> Proceedings –</w:t>
    </w:r>
    <w:r w:rsidRPr="00F770D7">
      <w:rPr>
        <w:bCs/>
        <w:lang w:val="en-US"/>
      </w:rPr>
      <w:t xml:space="preserve"> </w:t>
    </w:r>
    <w:r>
      <w:rPr>
        <w:bCs/>
        <w:lang w:val="en-US"/>
      </w:rPr>
      <w:t xml:space="preserve">Part II – A series – Supplement </w:t>
    </w:r>
    <w:r>
      <w:fldChar w:fldCharType="begin"/>
    </w:r>
    <w:r>
      <w:rPr>
        <w:lang w:val="en-US"/>
      </w:rPr>
      <w:instrText>styleref href</w:instrText>
    </w:r>
    <w:r>
      <w:fldChar w:fldCharType="separate"/>
    </w:r>
    <w:r w:rsidR="006A0076">
      <w:rPr>
        <w:noProof/>
        <w:lang w:val="en-US"/>
      </w:rPr>
      <w:t>5</w:t>
    </w:r>
    <w:r>
      <w:fldChar w:fldCharType="end"/>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71449" w14:textId="0F7B7317" w:rsidR="004E4CA9" w:rsidRPr="009E0CF9" w:rsidRDefault="004E4CA9" w:rsidP="008E1AC8">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Proceedings –</w:t>
    </w:r>
    <w:r>
      <w:rPr>
        <w:bCs/>
        <w:lang w:val="en-US"/>
      </w:rPr>
      <w:t xml:space="preserve"> Part II – A series – Supplement </w:t>
    </w:r>
    <w:r>
      <w:fldChar w:fldCharType="begin"/>
    </w:r>
    <w:r>
      <w:rPr>
        <w:lang w:val="en-US"/>
      </w:rPr>
      <w:instrText>styleref href</w:instrText>
    </w:r>
    <w:r>
      <w:fldChar w:fldCharType="separate"/>
    </w:r>
    <w:r w:rsidR="006A0076">
      <w:rPr>
        <w:noProof/>
        <w:lang w:val="en-US"/>
      </w:rPr>
      <w:t>5</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191</w:t>
    </w:r>
    <w:r>
      <w:rPr>
        <w:b w:val="0"/>
      </w:rP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69FF1" w14:textId="0B660421" w:rsidR="004E4CA9" w:rsidRPr="009567E8" w:rsidRDefault="004E4CA9" w:rsidP="009567E8">
    <w:pPr>
      <w:pStyle w:val="FooterQP"/>
      <w:rPr>
        <w:lang w:val="en-US"/>
      </w:rPr>
    </w:pPr>
    <w:r w:rsidRPr="009567E8">
      <w:rPr>
        <w:b w:val="0"/>
        <w:bCs/>
        <w:lang w:val="en-US"/>
      </w:rPr>
      <w:fldChar w:fldCharType="begin"/>
    </w:r>
    <w:r w:rsidRPr="009567E8">
      <w:rPr>
        <w:b w:val="0"/>
        <w:bCs/>
        <w:lang w:val="en-US"/>
      </w:rPr>
      <w:instrText xml:space="preserve"> DOCPROPERTY  "Part III"  \* MERGEFORMAT </w:instrText>
    </w:r>
    <w:r w:rsidRPr="009567E8">
      <w:rPr>
        <w:b w:val="0"/>
        <w:bCs/>
        <w:lang w:val="en-US"/>
      </w:rPr>
      <w:fldChar w:fldCharType="separate"/>
    </w:r>
    <w:r w:rsidR="006A0076">
      <w:rPr>
        <w:b w:val="0"/>
        <w:bCs/>
        <w:lang w:val="en-US"/>
      </w:rPr>
      <w:t>III</w:t>
    </w:r>
    <w:r w:rsidRPr="009567E8">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192</w:t>
    </w:r>
    <w:r>
      <w:rPr>
        <w:b w:val="0"/>
      </w:rPr>
      <w:fldChar w:fldCharType="end"/>
    </w:r>
    <w:r>
      <w:rPr>
        <w:lang w:val="en-US"/>
      </w:rPr>
      <w:tab/>
      <w:t>WTSA-16 Proceedings –</w:t>
    </w:r>
    <w:r w:rsidRPr="00F770D7">
      <w:rPr>
        <w:bCs/>
        <w:lang w:val="en-US"/>
      </w:rPr>
      <w:t xml:space="preserve"> </w:t>
    </w:r>
    <w:r>
      <w:fldChar w:fldCharType="begin"/>
    </w:r>
    <w:r w:rsidRPr="009567E8">
      <w:rPr>
        <w:lang w:val="en-GB"/>
      </w:rPr>
      <w:instrText xml:space="preserve"> DOCPROPERTY "Footer 3" \* MERGEFORMAT </w:instrText>
    </w:r>
    <w:r>
      <w:fldChar w:fldCharType="separate"/>
    </w:r>
    <w:r w:rsidR="006A0076" w:rsidRPr="006A0076">
      <w:rPr>
        <w:lang w:val="en-US"/>
      </w:rPr>
      <w:t>Part III – Chairmen and</w:t>
    </w:r>
    <w:r w:rsidR="006A0076">
      <w:rPr>
        <w:lang w:val="en-GB"/>
      </w:rPr>
      <w:t xml:space="preserve"> vice-chairmen</w:t>
    </w:r>
    <w:r>
      <w:rPr>
        <w:lang w:val="en-US"/>
      </w:rPr>
      <w:fldChar w:fldCharType="end"/>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7B2EF" w14:textId="77777777" w:rsidR="004E4CA9" w:rsidRPr="004D492D" w:rsidRDefault="004E4CA9" w:rsidP="004D492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331ED" w14:textId="37EA25A3"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72</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18</w:t>
    </w:r>
    <w:r w:rsidRPr="002D6EB1">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C0F5D" w14:textId="51F85A89" w:rsidR="004E4CA9" w:rsidRPr="00700325" w:rsidRDefault="004E4CA9" w:rsidP="004D492D">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4</w:t>
    </w:r>
    <w:r>
      <w:rPr>
        <w:b w:val="0"/>
      </w:rPr>
      <w:fldChar w:fldCharType="end"/>
    </w:r>
    <w:r>
      <w:rPr>
        <w:lang w:val="en-US"/>
      </w:rPr>
      <w:tab/>
    </w:r>
    <w:r w:rsidRPr="002D6EB1">
      <w:rPr>
        <w:bCs/>
        <w:lang w:val="en-US"/>
      </w:rPr>
      <w:t>WTSA</w:t>
    </w:r>
    <w:r w:rsidRPr="002C3215">
      <w:rPr>
        <w:bCs/>
        <w:lang w:val="en-US"/>
      </w:rPr>
      <w:t>-20</w:t>
    </w:r>
    <w:r>
      <w:rPr>
        <w:lang w:val="en-US"/>
      </w:rPr>
      <w:t xml:space="preserve"> Proceedings – </w:t>
    </w:r>
    <w:r>
      <w:fldChar w:fldCharType="begin"/>
    </w:r>
    <w:r w:rsidRPr="004D492D">
      <w:rPr>
        <w:lang w:val="en-GB"/>
      </w:rPr>
      <w:instrText xml:space="preserve"> DOCPROPERTY  "Footer 3"  \* MERGEFORMAT </w:instrText>
    </w:r>
    <w:r>
      <w:fldChar w:fldCharType="separate"/>
    </w:r>
    <w:r w:rsidR="006A0076">
      <w:rPr>
        <w:lang w:val="en-GB"/>
      </w:rPr>
      <w:t>Part III – Chairmen and vice-chairmen</w:t>
    </w:r>
    <w: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0726F" w14:textId="48AD873D" w:rsidR="004E4CA9" w:rsidRPr="00700325" w:rsidRDefault="004E4CA9" w:rsidP="004D492D">
    <w:pPr>
      <w:pStyle w:val="FooterQP"/>
      <w:rPr>
        <w:b w:val="0"/>
        <w:lang w:val="en-US"/>
      </w:rPr>
    </w:pPr>
    <w:r>
      <w:tab/>
    </w:r>
    <w:r>
      <w:tab/>
    </w:r>
    <w:r w:rsidRPr="002D6EB1">
      <w:rPr>
        <w:bCs/>
        <w:lang w:val="en-US"/>
      </w:rPr>
      <w:t>WTSA</w:t>
    </w:r>
    <w:r w:rsidRPr="002C3215">
      <w:rPr>
        <w:bCs/>
        <w:lang w:val="en-US"/>
      </w:rPr>
      <w:t>-20</w:t>
    </w:r>
    <w:r>
      <w:rPr>
        <w:lang w:val="en-US"/>
      </w:rPr>
      <w:t xml:space="preserve"> Proceedings – </w:t>
    </w:r>
    <w:r>
      <w:fldChar w:fldCharType="begin"/>
    </w:r>
    <w:r w:rsidRPr="004D492D">
      <w:rPr>
        <w:lang w:val="en-GB"/>
      </w:rPr>
      <w:instrText xml:space="preserve"> DOCPROPERTY  "Footer 3"  \* MERGEFORMAT </w:instrText>
    </w:r>
    <w:r>
      <w:fldChar w:fldCharType="separate"/>
    </w:r>
    <w:r w:rsidR="006A0076">
      <w:rPr>
        <w:lang w:val="en-GB"/>
      </w:rPr>
      <w:t>Part III – Chairmen and vice-chairmen</w:t>
    </w:r>
    <w: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5</w:t>
    </w:r>
    <w:r>
      <w:rPr>
        <w:b w:val="0"/>
      </w:rPr>
      <w:fldChar w:fldCharType="end"/>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F2822" w14:textId="183DC8DD" w:rsidR="004E4CA9" w:rsidRPr="00843E9E" w:rsidRDefault="004E4CA9" w:rsidP="00843E9E">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4284A" w14:textId="77777777" w:rsidR="004E4CA9" w:rsidRPr="00700325" w:rsidRDefault="004E4CA9" w:rsidP="00700325">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26D59" w14:textId="1B5D5A09" w:rsidR="004E4CA9" w:rsidRPr="00347C85" w:rsidRDefault="004E4CA9" w:rsidP="00843E9E">
    <w:pPr>
      <w:pStyle w:val="FooterQP"/>
      <w:rPr>
        <w:b w:val="0"/>
        <w:lang w:val="en-US"/>
      </w:rPr>
    </w:pPr>
    <w:r>
      <w:rPr>
        <w:b w:val="0"/>
      </w:rPr>
      <w:fldChar w:fldCharType="begin"/>
    </w:r>
    <w:r>
      <w:rPr>
        <w:b w:val="0"/>
        <w:lang w:val="en-US"/>
      </w:rPr>
      <w:instrText xml:space="preserve"> PAGE  \* MERGEFORMAT </w:instrText>
    </w:r>
    <w:r>
      <w:rPr>
        <w:b w:val="0"/>
      </w:rPr>
      <w:fldChar w:fldCharType="separate"/>
    </w:r>
    <w:r w:rsidRPr="00843E9E">
      <w:rPr>
        <w:b w:val="0"/>
        <w:lang w:val="en-GB"/>
      </w:rPr>
      <w:t>466</w:t>
    </w:r>
    <w:r>
      <w:rPr>
        <w:b w:val="0"/>
      </w:rPr>
      <w:fldChar w:fldCharType="end"/>
    </w:r>
    <w:r w:rsidRPr="00843E9E">
      <w:rPr>
        <w:lang w:val="en-GB"/>
      </w:rPr>
      <w:tab/>
    </w:r>
    <w:r w:rsidRPr="002D6EB1">
      <w:rPr>
        <w:bCs/>
        <w:lang w:val="en-US"/>
      </w:rPr>
      <w:t>WTSA</w:t>
    </w:r>
    <w:r w:rsidRPr="002C3215">
      <w:rPr>
        <w:bCs/>
        <w:lang w:val="en-US"/>
      </w:rPr>
      <w:t>-20</w:t>
    </w:r>
    <w:r>
      <w:rPr>
        <w:lang w:val="en-US"/>
      </w:rPr>
      <w:t xml:space="preserve"> Proceedings – </w:t>
    </w:r>
    <w:r>
      <w:fldChar w:fldCharType="begin"/>
    </w:r>
    <w:r w:rsidRPr="00D559E0">
      <w:rPr>
        <w:lang w:val="en-GB"/>
      </w:rPr>
      <w:instrText xml:space="preserve"> DOCPROPERTY "Footer 4" \* MERGEFORMAT </w:instrText>
    </w:r>
    <w:r>
      <w:fldChar w:fldCharType="separate"/>
    </w:r>
    <w:r w:rsidR="006A0076" w:rsidRPr="006A0076">
      <w:rPr>
        <w:lang w:val="en-US"/>
      </w:rPr>
      <w:t>Part IV – Titles</w:t>
    </w:r>
    <w:r w:rsidR="006A0076">
      <w:rPr>
        <w:lang w:val="en-GB"/>
      </w:rPr>
      <w:t xml:space="preserve"> of Questions approved</w:t>
    </w:r>
    <w:r>
      <w:fldChar w:fldCharType="end"/>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D733C" w14:textId="17474355" w:rsidR="004E4CA9" w:rsidRPr="00347C85" w:rsidRDefault="004E4CA9" w:rsidP="00843E9E">
    <w:pPr>
      <w:pStyle w:val="FooterQP"/>
      <w:rPr>
        <w:b w:val="0"/>
        <w:lang w:val="en-US"/>
      </w:rPr>
    </w:pPr>
    <w:r>
      <w:tab/>
    </w:r>
    <w:r>
      <w:tab/>
    </w:r>
    <w:r w:rsidRPr="002D6EB1">
      <w:rPr>
        <w:bCs/>
        <w:lang w:val="en-US"/>
      </w:rPr>
      <w:t>WTSA</w:t>
    </w:r>
    <w:r w:rsidRPr="002C3215">
      <w:rPr>
        <w:bCs/>
        <w:lang w:val="en-US"/>
      </w:rPr>
      <w:t>-20</w:t>
    </w:r>
    <w:r>
      <w:rPr>
        <w:lang w:val="en-US"/>
      </w:rPr>
      <w:t xml:space="preserve"> Proceedings – </w:t>
    </w:r>
    <w:r>
      <w:fldChar w:fldCharType="begin"/>
    </w:r>
    <w:r w:rsidRPr="00D559E0">
      <w:rPr>
        <w:lang w:val="en-GB"/>
      </w:rPr>
      <w:instrText xml:space="preserve"> DOCPROPERTY "Footer 4" \* MERGEFORMAT </w:instrText>
    </w:r>
    <w:r>
      <w:fldChar w:fldCharType="separate"/>
    </w:r>
    <w:r w:rsidR="006A0076" w:rsidRPr="006A0076">
      <w:rPr>
        <w:lang w:val="en-US"/>
      </w:rPr>
      <w:t>Part IV – Titles</w:t>
    </w:r>
    <w:r w:rsidR="006A0076">
      <w:rPr>
        <w:lang w:val="en-GB"/>
      </w:rPr>
      <w:t xml:space="preserve"> of Questions approved</w:t>
    </w:r>
    <w:r>
      <w:fldChar w:fldCharType="end"/>
    </w:r>
    <w:r w:rsidRPr="009C0A13">
      <w:rPr>
        <w:b w:val="0"/>
        <w:bCs/>
        <w:lang w:val="en-GB"/>
      </w:rPr>
      <w:tab/>
    </w:r>
    <w:r>
      <w:rPr>
        <w:b w:val="0"/>
      </w:rPr>
      <w:fldChar w:fldCharType="begin"/>
    </w:r>
    <w:r>
      <w:rPr>
        <w:b w:val="0"/>
        <w:lang w:val="en-US"/>
      </w:rPr>
      <w:instrText xml:space="preserve"> PAGE  \* MERGEFORMAT </w:instrText>
    </w:r>
    <w:r>
      <w:rPr>
        <w:b w:val="0"/>
      </w:rPr>
      <w:fldChar w:fldCharType="separate"/>
    </w:r>
    <w:r w:rsidRPr="00843E9E">
      <w:rPr>
        <w:b w:val="0"/>
        <w:lang w:val="en-GB"/>
      </w:rPr>
      <w:t>473</w:t>
    </w:r>
    <w:r>
      <w:rPr>
        <w:b w:val="0"/>
      </w:rPr>
      <w:fldChar w:fldCharType="end"/>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8C251" w14:textId="09C5ABF8" w:rsidR="004E4CA9" w:rsidRPr="00843E9E" w:rsidRDefault="004E4CA9" w:rsidP="00843E9E">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164CE" w14:textId="1A7F7E71" w:rsidR="004E4CA9" w:rsidRPr="00170D20" w:rsidRDefault="004E4CA9" w:rsidP="00170D20">
    <w:pPr>
      <w:pStyle w:val="FooterQP"/>
      <w:rPr>
        <w:lang w:val="en-GB"/>
      </w:rPr>
    </w:pPr>
    <w:r w:rsidRPr="00170D20">
      <w:rPr>
        <w:b w:val="0"/>
        <w:bCs/>
      </w:rPr>
      <w:fldChar w:fldCharType="begin"/>
    </w:r>
    <w:r w:rsidRPr="00170D20">
      <w:rPr>
        <w:b w:val="0"/>
        <w:bCs/>
        <w:lang w:val="en-US"/>
      </w:rPr>
      <w:instrText xml:space="preserve"> PAGE  \* MERGEFORMAT </w:instrText>
    </w:r>
    <w:r w:rsidRPr="00170D20">
      <w:rPr>
        <w:b w:val="0"/>
        <w:bCs/>
      </w:rPr>
      <w:fldChar w:fldCharType="separate"/>
    </w:r>
    <w:r>
      <w:rPr>
        <w:b w:val="0"/>
        <w:bCs/>
        <w:noProof/>
        <w:lang w:val="en-US"/>
      </w:rPr>
      <w:t>74</w:t>
    </w:r>
    <w:r w:rsidRPr="00170D20">
      <w:rPr>
        <w:b w:val="0"/>
        <w:bCs/>
      </w:rPr>
      <w:fldChar w:fldCharType="end"/>
    </w:r>
    <w:r w:rsidRPr="00170D20">
      <w:rPr>
        <w:b w:val="0"/>
        <w:lang w:val="en-GB"/>
      </w:rPr>
      <w:tab/>
    </w:r>
    <w:r>
      <w:rPr>
        <w:lang w:val="en-US"/>
      </w:rPr>
      <w:t xml:space="preserve">WTSA-20 Proceedings – </w:t>
    </w:r>
    <w:r>
      <w:rPr>
        <w:lang w:val="en-US"/>
      </w:rPr>
      <w:fldChar w:fldCharType="begin"/>
    </w:r>
    <w:r>
      <w:rPr>
        <w:lang w:val="en-US"/>
      </w:rPr>
      <w:instrText xml:space="preserve"> DOCPROPERTY  "Footer 5"  \* MERGEFORMAT </w:instrText>
    </w:r>
    <w:r>
      <w:rPr>
        <w:lang w:val="en-US"/>
      </w:rPr>
      <w:fldChar w:fldCharType="separate"/>
    </w:r>
    <w:r w:rsidR="006A0076">
      <w:rPr>
        <w:lang w:val="en-US"/>
      </w:rPr>
      <w:t>Part V – Reports and documents</w:t>
    </w:r>
    <w:r>
      <w:rPr>
        <w:lang w:val="en-US"/>
      </w:rPr>
      <w:fldChar w:fldCharType="end"/>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A2085" w14:textId="4A925A68" w:rsidR="004E4CA9" w:rsidRPr="00170D20" w:rsidRDefault="004E4CA9" w:rsidP="00170D20">
    <w:pPr>
      <w:pStyle w:val="FooterQP"/>
      <w:rPr>
        <w:b w:val="0"/>
        <w:lang w:val="en-US"/>
      </w:rPr>
    </w:pPr>
    <w:r>
      <w:tab/>
    </w:r>
    <w:r>
      <w:tab/>
    </w:r>
    <w:r>
      <w:rPr>
        <w:lang w:val="en-US"/>
      </w:rPr>
      <w:t xml:space="preserve">WTSA-20 Proceedings – </w:t>
    </w:r>
    <w:r>
      <w:rPr>
        <w:lang w:val="en-US"/>
      </w:rPr>
      <w:fldChar w:fldCharType="begin"/>
    </w:r>
    <w:r>
      <w:rPr>
        <w:lang w:val="en-US"/>
      </w:rPr>
      <w:instrText xml:space="preserve"> DOCPROPERTY  "Footer 5"  \* MERGEFORMAT </w:instrText>
    </w:r>
    <w:r>
      <w:rPr>
        <w:lang w:val="en-US"/>
      </w:rPr>
      <w:fldChar w:fldCharType="separate"/>
    </w:r>
    <w:r w:rsidR="006A0076">
      <w:rPr>
        <w:lang w:val="en-US"/>
      </w:rPr>
      <w:t>Part V – Reports and documents</w:t>
    </w:r>
    <w:r>
      <w:rPr>
        <w:lang w:val="en-US"/>
      </w:rPr>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73</w:t>
    </w:r>
    <w:r>
      <w:rPr>
        <w:b w:val="0"/>
      </w:rPr>
      <w:fldChar w:fldCharType="end"/>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F4501" w14:textId="4386ED03" w:rsidR="004E4CA9" w:rsidRPr="002C53F2" w:rsidRDefault="004E4CA9" w:rsidP="002C53F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73EA6" w14:textId="19905195" w:rsidR="004E4CA9" w:rsidRPr="00896F54" w:rsidRDefault="004E4CA9" w:rsidP="00896F54">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18</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73</w:t>
    </w:r>
    <w:r>
      <w:rPr>
        <w:b w:val="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0F881" w14:textId="60292EA1" w:rsidR="004E4CA9" w:rsidRPr="00896F54" w:rsidRDefault="004E4CA9"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11</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4168" w14:textId="3296A504"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76</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20</w:t>
    </w:r>
    <w:r w:rsidRPr="002D6EB1">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2C006" w14:textId="79AF5CB5" w:rsidR="004E4CA9" w:rsidRPr="00896F54" w:rsidRDefault="004E4CA9" w:rsidP="00896F54">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20</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75</w:t>
    </w:r>
    <w:r>
      <w:rPr>
        <w:b w:val="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23340" w14:textId="7F08D529" w:rsidR="004E4CA9" w:rsidRPr="00896F54" w:rsidRDefault="004E4CA9"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18</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F587F" w14:textId="31BD5838"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80</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22</w:t>
    </w:r>
    <w:r w:rsidRPr="002D6EB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A70FB" w14:textId="77777777" w:rsidR="004E4CA9" w:rsidRPr="005322F0" w:rsidRDefault="004E4CA9" w:rsidP="004E374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83D90" w14:textId="6A50EC45" w:rsidR="004E4CA9" w:rsidRPr="00896F54" w:rsidRDefault="004E4CA9" w:rsidP="00896F54">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22</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81</w:t>
    </w:r>
    <w:r>
      <w:rPr>
        <w:b w:val="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E88A7" w14:textId="14310367" w:rsidR="004E4CA9" w:rsidRPr="00896F54" w:rsidRDefault="004E4CA9"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20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E019D" w14:textId="0883B491"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84</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29</w:t>
    </w:r>
    <w:r w:rsidRPr="002D6EB1">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A42FE" w14:textId="6022A022" w:rsidR="004E4CA9" w:rsidRPr="00896F54" w:rsidRDefault="004E4CA9" w:rsidP="00896F54">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29</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85</w:t>
    </w:r>
    <w:r>
      <w:rPr>
        <w:b w:val="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288D4" w14:textId="0D2A3A9B" w:rsidR="004E4CA9" w:rsidRPr="00896F54" w:rsidRDefault="004E4CA9"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22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85E60" w14:textId="65FD3F01"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86</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31</w:t>
    </w:r>
    <w:r w:rsidRPr="002D6EB1">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34C15" w14:textId="4C03BF05" w:rsidR="004E4CA9" w:rsidRPr="00896F54" w:rsidRDefault="004E4CA9" w:rsidP="00896F54">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31</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87</w:t>
    </w:r>
    <w:r>
      <w:rPr>
        <w:b w:val="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D1E25" w14:textId="302C1162" w:rsidR="004E4CA9" w:rsidRPr="00896F54" w:rsidRDefault="004E4CA9"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29</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6E15B" w14:textId="6A849AAD"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90</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32</w:t>
    </w:r>
    <w:r w:rsidRPr="002D6EB1">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CE881" w14:textId="32EB860B" w:rsidR="004E4CA9" w:rsidRPr="00896F54" w:rsidRDefault="004E4CA9" w:rsidP="00896F54">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32</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91</w:t>
    </w:r>
    <w:r>
      <w:rPr>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2080F" w14:textId="77777777" w:rsidR="004E4CA9" w:rsidRDefault="004E4CA9" w:rsidP="004E3740">
    <w:pPr>
      <w:pStyle w:val="FooterQP"/>
      <w:rPr>
        <w:b w:val="0"/>
        <w:lang w:val="en-US"/>
      </w:rPr>
    </w:pPr>
    <w:r>
      <w:tab/>
    </w:r>
    <w:r>
      <w:tab/>
    </w:r>
    <w:r>
      <w:rPr>
        <w:lang w:val="en-US"/>
      </w:rPr>
      <w:t>WTSA-20 Proceedings – Contents</w:t>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iii</w:t>
    </w:r>
    <w:r>
      <w:rPr>
        <w:b w:val="0"/>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EFF9F" w14:textId="68831BB2" w:rsidR="004E4CA9" w:rsidRPr="00896F54" w:rsidRDefault="004E4CA9"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31</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AB3B2" w14:textId="0F8A23C2"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92</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34</w:t>
    </w:r>
    <w:r w:rsidRPr="002D6EB1">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BD9D8" w14:textId="28280156" w:rsidR="004E4CA9" w:rsidRPr="006B23B8" w:rsidRDefault="004E4CA9" w:rsidP="006B23B8">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34</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93</w:t>
    </w:r>
    <w:r>
      <w:rPr>
        <w:b w:val="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73152" w14:textId="15781D9D" w:rsidR="004E4CA9" w:rsidRPr="00896F54" w:rsidRDefault="004E4CA9"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32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D37B4" w14:textId="645C3847"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94</w:t>
    </w:r>
    <w:r w:rsidRPr="00851F87">
      <w:rPr>
        <w:b w:val="0"/>
        <w:bCs/>
      </w:rPr>
      <w:fldChar w:fldCharType="end"/>
    </w:r>
    <w:r w:rsidRPr="00851F87">
      <w:rPr>
        <w:b w:val="0"/>
        <w:bCs/>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40</w:t>
    </w:r>
    <w:r w:rsidRPr="002D6EB1">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95ED2" w14:textId="73A6F577" w:rsidR="004E4CA9" w:rsidRPr="006B23B8" w:rsidRDefault="004E4CA9" w:rsidP="006B23B8">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40</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95</w:t>
    </w:r>
    <w:r>
      <w:rPr>
        <w:b w:val="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8B704" w14:textId="605560D6" w:rsidR="004E4CA9" w:rsidRPr="00896F54" w:rsidRDefault="004E4CA9"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34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460F7" w14:textId="0CE949A1"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98</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43</w:t>
    </w:r>
    <w:r w:rsidRPr="002D6EB1">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8038B" w14:textId="45B4393A" w:rsidR="004E4CA9" w:rsidRPr="00896F54" w:rsidRDefault="004E4CA9" w:rsidP="00896F54">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43</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97</w:t>
    </w:r>
    <w:r>
      <w:rPr>
        <w:b w:val="0"/>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E2E0F" w14:textId="5A2D8664" w:rsidR="004E4CA9" w:rsidRPr="00896F54" w:rsidRDefault="004E4CA9"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40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46701" w14:textId="1008A941" w:rsidR="004E4CA9" w:rsidRPr="00D50046" w:rsidRDefault="004E4CA9" w:rsidP="009F1917">
    <w:pPr>
      <w:pStyle w:val="FooterQP"/>
      <w:rPr>
        <w:lang w:val="en-US"/>
      </w:rPr>
    </w:pPr>
    <w:r>
      <w:rPr>
        <w:b w:val="0"/>
      </w:rPr>
      <w:fldChar w:fldCharType="begin"/>
    </w:r>
    <w:r>
      <w:rPr>
        <w:b w:val="0"/>
        <w:lang w:val="en-US"/>
      </w:rPr>
      <w:instrText xml:space="preserve"> PAGE  \* MERGEFORMAT </w:instrText>
    </w:r>
    <w:r>
      <w:rPr>
        <w:b w:val="0"/>
      </w:rPr>
      <w:fldChar w:fldCharType="separate"/>
    </w:r>
    <w:r w:rsidRPr="00C75AF1">
      <w:rPr>
        <w:b w:val="0"/>
        <w:lang w:val="en-GB"/>
      </w:rPr>
      <w:t>v</w:t>
    </w:r>
    <w:r>
      <w:rPr>
        <w:b w:val="0"/>
      </w:rPr>
      <w:fldChar w:fldCharType="end"/>
    </w:r>
    <w:r>
      <w:rPr>
        <w:lang w:val="en-US"/>
      </w:rPr>
      <w:tab/>
      <w:t>WTSA-20 Proceedings – Contents</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CD9E4" w14:textId="02367FE0"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110</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44</w:t>
    </w:r>
    <w:r w:rsidRPr="002D6EB1">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FD2A3" w14:textId="10D7DC6F" w:rsidR="004E4CA9" w:rsidRPr="00896F54" w:rsidRDefault="004E4CA9" w:rsidP="00896F54">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44</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109</w:t>
    </w:r>
    <w:r>
      <w:rPr>
        <w:b w:val="0"/>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452FA" w14:textId="2DA40847" w:rsidR="004E4CA9" w:rsidRPr="00896F54" w:rsidRDefault="004E4CA9"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43</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99</w:t>
    </w:r>
    <w:r>
      <w:rPr>
        <w:b w:val="0"/>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97A49" w14:textId="0E303AEB"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112</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47</w:t>
    </w:r>
    <w:r w:rsidRPr="002D6EB1">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54897" w14:textId="1E70D1F4" w:rsidR="004E4CA9" w:rsidRPr="006B23B8" w:rsidRDefault="004E4CA9" w:rsidP="00B2654E">
    <w:pPr>
      <w:pStyle w:val="FooterQP"/>
      <w:rPr>
        <w:b w:val="0"/>
        <w:bCs/>
        <w:lang w:val="en-GB"/>
      </w:rPr>
    </w:pPr>
    <w:r>
      <w:rPr>
        <w:b w:val="0"/>
        <w:lang w:val="en-GB"/>
      </w:rPr>
      <w:tab/>
    </w:r>
    <w:r w:rsidRPr="007E52B2">
      <w:rPr>
        <w:lang w:val="en-GB"/>
      </w:rPr>
      <w:tab/>
    </w:r>
    <w:r w:rsidRPr="002D6EB1">
      <w:rPr>
        <w:lang w:val="en-US"/>
      </w:rPr>
      <w:t>WTSA-</w:t>
    </w:r>
    <w:r>
      <w:rPr>
        <w:lang w:val="en-US"/>
      </w:rPr>
      <w:t>20</w:t>
    </w:r>
    <w:r w:rsidRPr="002D6EB1">
      <w:rPr>
        <w:bCs/>
        <w:lang w:val="en-US"/>
      </w:rPr>
      <w:t xml:space="preserve"> – Proceedings – </w:t>
    </w:r>
    <w:r>
      <w:rPr>
        <w:b w:val="0"/>
      </w:rPr>
      <w:fldChar w:fldCharType="begin"/>
    </w:r>
    <w:r w:rsidRPr="007E52B2">
      <w:rPr>
        <w:lang w:val="en-GB"/>
      </w:rPr>
      <w:instrText xml:space="preserve"> DOCPROPERTY "Footer 1" \* MERGEFORMAT </w:instrText>
    </w:r>
    <w:r>
      <w:rPr>
        <w:b w:val="0"/>
      </w:rPr>
      <w:fldChar w:fldCharType="separate"/>
    </w:r>
    <w:r w:rsidR="006A0076" w:rsidRPr="006A0076">
      <w:rPr>
        <w:bCs/>
        <w:lang w:val="en-US"/>
      </w:rPr>
      <w:t>Part I – Resolution</w:t>
    </w:r>
    <w:r>
      <w:rPr>
        <w:b w:val="0"/>
        <w:bCs/>
        <w:lang w:val="en-US"/>
      </w:rPr>
      <w:fldChar w:fldCharType="end"/>
    </w:r>
    <w:r w:rsidRPr="002D6EB1">
      <w:rPr>
        <w:bCs/>
        <w:lang w:val="en-US"/>
      </w:rPr>
      <w:t xml:space="preserve"> </w:t>
    </w:r>
    <w:r w:rsidRPr="00D945EB">
      <w:fldChar w:fldCharType="begin"/>
    </w:r>
    <w:r w:rsidRPr="00D945EB">
      <w:rPr>
        <w:lang w:val="en-US"/>
      </w:rPr>
      <w:instrText>styleref href</w:instrText>
    </w:r>
    <w:r w:rsidRPr="00D945EB">
      <w:fldChar w:fldCharType="separate"/>
    </w:r>
    <w:r w:rsidR="006A0076">
      <w:rPr>
        <w:noProof/>
        <w:lang w:val="en-US"/>
      </w:rPr>
      <w:t>47</w:t>
    </w:r>
    <w:r w:rsidRPr="00D945EB">
      <w:fldChar w:fldCharType="end"/>
    </w:r>
    <w:r w:rsidRPr="0091274E">
      <w:rPr>
        <w:b w:val="0"/>
        <w:bCs/>
        <w:lang w:val="en-GB"/>
      </w:rPr>
      <w:tab/>
    </w:r>
    <w:r w:rsidRPr="00D945EB">
      <w:rPr>
        <w:b w:val="0"/>
      </w:rPr>
      <w:fldChar w:fldCharType="begin"/>
    </w:r>
    <w:r w:rsidRPr="00D945EB">
      <w:rPr>
        <w:b w:val="0"/>
        <w:lang w:val="en-GB"/>
      </w:rPr>
      <w:instrText xml:space="preserve"> PAGE  \* MERGEFORMAT </w:instrText>
    </w:r>
    <w:r w:rsidRPr="00D945EB">
      <w:rPr>
        <w:b w:val="0"/>
      </w:rPr>
      <w:fldChar w:fldCharType="separate"/>
    </w:r>
    <w:r>
      <w:rPr>
        <w:b w:val="0"/>
        <w:noProof/>
        <w:lang w:val="en-GB"/>
      </w:rPr>
      <w:t>111</w:t>
    </w:r>
    <w:r w:rsidRPr="00D945EB">
      <w:rPr>
        <w:b w:val="0"/>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9659D" w14:textId="0327283D"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44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634C6" w14:textId="6D548D88"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114</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48</w:t>
    </w:r>
    <w:r w:rsidRPr="002D6EB1">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79B64" w14:textId="5F3D7A67" w:rsidR="004E4CA9" w:rsidRPr="006B23B8" w:rsidRDefault="004E4CA9" w:rsidP="006B23B8">
    <w:pPr>
      <w:pStyle w:val="FooterQP"/>
      <w:rPr>
        <w:b w:val="0"/>
        <w:lang w:val="en-US"/>
      </w:rPr>
    </w:pPr>
    <w:r>
      <w:tab/>
    </w:r>
    <w:r>
      <w:tab/>
    </w:r>
    <w:r w:rsidRPr="002D6EB1">
      <w:rPr>
        <w:lang w:val="en-US"/>
      </w:rPr>
      <w:t>WTSA-</w:t>
    </w:r>
    <w:r>
      <w:rPr>
        <w:lang w:val="en-US"/>
      </w:rPr>
      <w:t xml:space="preserve">20 </w:t>
    </w:r>
    <w:r w:rsidRPr="002D6EB1">
      <w:rPr>
        <w:lang w:val="en-US"/>
      </w:rPr>
      <w:t>Proceedings</w:t>
    </w:r>
    <w:r w:rsidRPr="002D6EB1">
      <w:rPr>
        <w:bCs/>
        <w:lang w:val="en-US"/>
      </w:rPr>
      <w:t xml:space="preserve">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48</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113</w:t>
    </w:r>
    <w:r>
      <w:rPr>
        <w:b w:val="0"/>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DEE9F" w14:textId="0A1BBE5D"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47</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7925C" w14:textId="5A054811"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116</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49</w:t>
    </w:r>
    <w:r w:rsidRPr="002D6EB1">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B83EC" w14:textId="77777777" w:rsidR="004E4CA9" w:rsidRDefault="004E4CA9" w:rsidP="004E3740">
    <w:pPr>
      <w:pStyle w:val="FooterQP"/>
      <w:rPr>
        <w:b w:val="0"/>
        <w:lang w:val="en-US"/>
      </w:rPr>
    </w:pPr>
    <w:r>
      <w:tab/>
    </w:r>
    <w:r>
      <w:tab/>
    </w:r>
    <w:r>
      <w:rPr>
        <w:lang w:val="en-US"/>
      </w:rPr>
      <w:t>WTSA-20 Proceedings – Contents</w:t>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iii</w:t>
    </w:r>
    <w:r>
      <w:rPr>
        <w:b w:val="0"/>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F3AE5" w14:textId="068410B4" w:rsidR="004E4CA9" w:rsidRPr="00896F54" w:rsidRDefault="004E4CA9" w:rsidP="00896F54">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49</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115</w:t>
    </w:r>
    <w:r>
      <w:rPr>
        <w:b w:val="0"/>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4034C" w14:textId="143BE260" w:rsidR="004E4CA9" w:rsidRPr="00896F54" w:rsidRDefault="004E4CA9"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48</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107</w:t>
    </w:r>
    <w:r>
      <w:rPr>
        <w:b w:val="0"/>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8C103" w14:textId="6F9C5F23"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122</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50</w:t>
    </w:r>
    <w:r w:rsidRPr="002D6EB1">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FB5F" w14:textId="48142B44" w:rsidR="004E4CA9" w:rsidRPr="00896F54" w:rsidRDefault="004E4CA9" w:rsidP="00896F54">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50</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123</w:t>
    </w:r>
    <w:r>
      <w:rPr>
        <w:b w:val="0"/>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E1F06" w14:textId="0FB58F10" w:rsidR="004E4CA9" w:rsidRPr="00896F54" w:rsidRDefault="004E4CA9"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49</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109</w:t>
    </w:r>
    <w:r>
      <w:rPr>
        <w:b w:val="0"/>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F3334" w14:textId="408420C5"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126</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52</w:t>
    </w:r>
    <w:r w:rsidRPr="002D6EB1">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821A9" w14:textId="557F7B65" w:rsidR="004E4CA9" w:rsidRPr="00896F54" w:rsidRDefault="004E4CA9" w:rsidP="00896F54">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52</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125</w:t>
    </w:r>
    <w:r>
      <w:rPr>
        <w:b w:val="0"/>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E1BF9" w14:textId="27D34189"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50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2B5AA" w14:textId="033998F9"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132</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54</w:t>
    </w:r>
    <w:r w:rsidRPr="002D6EB1">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C5F90" w14:textId="5F88A2A0" w:rsidR="004E4CA9" w:rsidRPr="00896F54" w:rsidRDefault="004E4CA9" w:rsidP="00896F54">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54</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131</w:t>
    </w:r>
    <w:r>
      <w:rPr>
        <w:b w:val="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CC944" w14:textId="02492FBE" w:rsidR="004E4CA9" w:rsidRPr="00EE2AB7" w:rsidRDefault="004E4CA9" w:rsidP="00AA1E9F">
    <w:pPr>
      <w:pStyle w:val="FooterQP"/>
      <w:rPr>
        <w:b w:val="0"/>
        <w:lang w:val="en-US"/>
      </w:rPr>
    </w:pPr>
    <w:r>
      <w:rPr>
        <w:b w:val="0"/>
      </w:rPr>
      <w:fldChar w:fldCharType="begin"/>
    </w:r>
    <w:r>
      <w:rPr>
        <w:b w:val="0"/>
        <w:lang w:val="en-US"/>
      </w:rPr>
      <w:instrText xml:space="preserve"> PAGE  \* MERGEFORMAT </w:instrText>
    </w:r>
    <w:r>
      <w:rPr>
        <w:b w:val="0"/>
      </w:rPr>
      <w:fldChar w:fldCharType="separate"/>
    </w:r>
    <w:r>
      <w:rPr>
        <w:b w:val="0"/>
      </w:rPr>
      <w:t>vi</w:t>
    </w:r>
    <w:r>
      <w:rPr>
        <w:b w:val="0"/>
      </w:rPr>
      <w:fldChar w:fldCharType="end"/>
    </w:r>
    <w:r>
      <w:tab/>
    </w:r>
    <w:r>
      <w:rPr>
        <w:lang w:val="en-US"/>
      </w:rPr>
      <w:t>WTSA-20 Proceedings – Contents</w:t>
    </w:r>
    <w:r>
      <w:rPr>
        <w:lang w:val="en-US"/>
      </w:rPr>
      <w:tab/>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5510B" w14:textId="5319806A"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52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C9D6A" w14:textId="40A9C755"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136</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55</w:t>
    </w:r>
    <w:r w:rsidRPr="002D6EB1">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14E46" w14:textId="5AD5BA70" w:rsidR="004E4CA9" w:rsidRPr="00896F54" w:rsidRDefault="004E4CA9" w:rsidP="00896F54">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55</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137</w:t>
    </w:r>
    <w:r>
      <w:rPr>
        <w:b w:val="0"/>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8B5A2" w14:textId="311ACC3C"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54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7557A" w14:textId="21BB5C0C"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138</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58</w:t>
    </w:r>
    <w:r w:rsidRPr="002D6EB1">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B8E4B" w14:textId="53B6FB1F" w:rsidR="004E4CA9" w:rsidRPr="00896F54" w:rsidRDefault="004E4CA9" w:rsidP="00896F54">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58</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139</w:t>
    </w:r>
    <w:r>
      <w:rPr>
        <w:b w:val="0"/>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00ED5" w14:textId="46F41D58"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55</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11261" w14:textId="581ABAB9"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140</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60</w:t>
    </w:r>
    <w:r w:rsidRPr="002D6EB1">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7DBD4" w14:textId="0DF84CE0" w:rsidR="004E4CA9" w:rsidRPr="001D48FF" w:rsidRDefault="004E4CA9" w:rsidP="001D48FF">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60</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141</w:t>
    </w:r>
    <w:r>
      <w:rPr>
        <w:b w:val="0"/>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16165" w14:textId="025D4AF8"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58</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D9265" w14:textId="4ED904B2"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6A0076">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16</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1</w:t>
    </w:r>
    <w:r w:rsidRPr="002D6EB1">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0A681" w14:textId="151B6CA2"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146</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61</w:t>
    </w:r>
    <w:r w:rsidRPr="002D6EB1">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561E0" w14:textId="5ABCBC9E" w:rsidR="004E4CA9" w:rsidRPr="007928CF" w:rsidRDefault="004E4CA9" w:rsidP="007928CF">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61</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145</w:t>
    </w:r>
    <w:r>
      <w:rPr>
        <w:b w:val="0"/>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743DC" w14:textId="5AA95522" w:rsidR="004E4CA9" w:rsidRPr="00896F54" w:rsidRDefault="004E4CA9" w:rsidP="00896F54">
    <w:pPr>
      <w:pStyle w:val="FooterQP"/>
      <w:rPr>
        <w:b w:val="0"/>
        <w:lang w:val="en-US"/>
      </w:rPr>
    </w:pPr>
    <w:r>
      <w:tab/>
    </w:r>
    <w:r>
      <w:tab/>
    </w:r>
    <w:r w:rsidRPr="002D6EB1">
      <w:rPr>
        <w:lang w:val="en-US"/>
      </w:rPr>
      <w:t>WTSA-</w:t>
    </w:r>
    <w:r>
      <w:rPr>
        <w:lang w:val="en-US"/>
      </w:rPr>
      <w:t xml:space="preserve">20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60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8AD7E" w14:textId="3C9A1A3F"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148</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62</w:t>
    </w:r>
    <w:r w:rsidRPr="002D6EB1">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B7F6D" w14:textId="008247DA" w:rsidR="004E4CA9" w:rsidRPr="00896F54" w:rsidRDefault="004E4CA9" w:rsidP="00896F54">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62</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147</w:t>
    </w:r>
    <w:r>
      <w:rPr>
        <w:b w:val="0"/>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2A9A6" w14:textId="736DFE63"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61</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BC908" w14:textId="2E0DF70A"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152</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64</w:t>
    </w:r>
    <w:r w:rsidRPr="002D6EB1">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88679" w14:textId="51F9F656" w:rsidR="004E4CA9" w:rsidRPr="00896F54" w:rsidRDefault="004E4CA9" w:rsidP="00896F54">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64</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151</w:t>
    </w:r>
    <w:r>
      <w:rPr>
        <w:b w:val="0"/>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EFA3F" w14:textId="0243C691"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62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DDAA7" w14:textId="309F940B"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154</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65</w:t>
    </w:r>
    <w:r w:rsidRPr="002D6EB1">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DE5BC" w14:textId="1656D706" w:rsidR="004E4CA9" w:rsidRPr="00896F54" w:rsidRDefault="004E4CA9" w:rsidP="00896F54">
    <w:pPr>
      <w:pStyle w:val="FooterQP"/>
      <w:rPr>
        <w:b w:val="0"/>
        <w:lang w:val="en-US"/>
      </w:rPr>
    </w:pPr>
    <w:r>
      <w:tab/>
    </w:r>
    <w:r>
      <w:tab/>
    </w:r>
    <w:r>
      <w:rPr>
        <w:lang w:val="en-US"/>
      </w:rPr>
      <w:t xml:space="preserve">WTSA-20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1</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6A0076">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Pr>
        <w:b w:val="0"/>
        <w:noProof/>
        <w:lang w:val="en-US"/>
      </w:rPr>
      <w:t>17</w:t>
    </w:r>
    <w:r>
      <w:rPr>
        <w:b w:val="0"/>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E2D35" w14:textId="7BA921D4" w:rsidR="004E4CA9" w:rsidRPr="00BF70DE" w:rsidRDefault="004E4CA9" w:rsidP="00BF70DE">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65</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155</w:t>
    </w:r>
    <w:r>
      <w:rPr>
        <w:b w:val="0"/>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D899F" w14:textId="688C3C45"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64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DFB52" w14:textId="06818B78" w:rsidR="004E4CA9" w:rsidRPr="007E52B2" w:rsidRDefault="004E4CA9" w:rsidP="00851F87">
    <w:pPr>
      <w:pStyle w:val="FooterQP"/>
      <w:rPr>
        <w:lang w:val="en-GB"/>
      </w:rPr>
    </w:pPr>
    <w:r w:rsidRPr="00851F87">
      <w:rPr>
        <w:b w:val="0"/>
        <w:bCs/>
      </w:rPr>
      <w:fldChar w:fldCharType="begin"/>
    </w:r>
    <w:r w:rsidRPr="00851F87">
      <w:rPr>
        <w:b w:val="0"/>
        <w:bCs/>
        <w:lang w:val="en-GB"/>
      </w:rPr>
      <w:instrText xml:space="preserve"> PAGE  \* MERGEFORMAT </w:instrText>
    </w:r>
    <w:r w:rsidRPr="00851F87">
      <w:rPr>
        <w:b w:val="0"/>
        <w:bCs/>
      </w:rPr>
      <w:fldChar w:fldCharType="separate"/>
    </w:r>
    <w:r>
      <w:rPr>
        <w:b w:val="0"/>
        <w:bCs/>
        <w:noProof/>
        <w:lang w:val="en-GB"/>
      </w:rPr>
      <w:t>158</w:t>
    </w:r>
    <w:r w:rsidRPr="00851F87">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67</w:t>
    </w:r>
    <w:r w:rsidRPr="002D6EB1">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92D1A" w14:textId="6914D432" w:rsidR="004E4CA9" w:rsidRPr="007928CF" w:rsidRDefault="004E4CA9" w:rsidP="007928CF">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67</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159</w:t>
    </w:r>
    <w:r>
      <w:rPr>
        <w:b w:val="0"/>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37350" w14:textId="0113D966"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65</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69B42" w14:textId="00AE863C" w:rsidR="004E4CA9" w:rsidRPr="007E52B2" w:rsidRDefault="004E4CA9" w:rsidP="00B47F75">
    <w:pPr>
      <w:pStyle w:val="FooterQP"/>
      <w:rPr>
        <w:lang w:val="en-GB"/>
      </w:rPr>
    </w:pPr>
    <w:r w:rsidRPr="00B47F75">
      <w:rPr>
        <w:b w:val="0"/>
        <w:bCs/>
      </w:rPr>
      <w:fldChar w:fldCharType="begin"/>
    </w:r>
    <w:r w:rsidRPr="00B47F75">
      <w:rPr>
        <w:b w:val="0"/>
        <w:bCs/>
        <w:lang w:val="en-GB"/>
      </w:rPr>
      <w:instrText xml:space="preserve"> PAGE  \* MERGEFORMAT </w:instrText>
    </w:r>
    <w:r w:rsidRPr="00B47F75">
      <w:rPr>
        <w:b w:val="0"/>
        <w:bCs/>
      </w:rPr>
      <w:fldChar w:fldCharType="separate"/>
    </w:r>
    <w:r>
      <w:rPr>
        <w:b w:val="0"/>
        <w:bCs/>
        <w:noProof/>
        <w:lang w:val="en-GB"/>
      </w:rPr>
      <w:t>162</w:t>
    </w:r>
    <w:r w:rsidRPr="00B47F75">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68</w:t>
    </w:r>
    <w:r w:rsidRPr="002D6EB1">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80CB9" w14:textId="0425C9C6" w:rsidR="004E4CA9" w:rsidRPr="007D080E" w:rsidRDefault="004E4CA9" w:rsidP="007D080E">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68</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161</w:t>
    </w:r>
    <w:r>
      <w:rPr>
        <w:b w:val="0"/>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1F00" w14:textId="41FD0DE8" w:rsidR="004E4CA9" w:rsidRPr="00896F54" w:rsidRDefault="004E4CA9"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67</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6A0076">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52092" w14:textId="7F27F7E7" w:rsidR="004E4CA9" w:rsidRPr="007E52B2" w:rsidRDefault="004E4CA9" w:rsidP="00B47F75">
    <w:pPr>
      <w:pStyle w:val="FooterQP"/>
      <w:rPr>
        <w:lang w:val="en-GB"/>
      </w:rPr>
    </w:pPr>
    <w:r w:rsidRPr="00B47F75">
      <w:rPr>
        <w:b w:val="0"/>
        <w:bCs/>
      </w:rPr>
      <w:fldChar w:fldCharType="begin"/>
    </w:r>
    <w:r w:rsidRPr="00B47F75">
      <w:rPr>
        <w:b w:val="0"/>
        <w:bCs/>
        <w:lang w:val="en-GB"/>
      </w:rPr>
      <w:instrText xml:space="preserve"> PAGE  \* MERGEFORMAT </w:instrText>
    </w:r>
    <w:r w:rsidRPr="00B47F75">
      <w:rPr>
        <w:b w:val="0"/>
        <w:bCs/>
      </w:rPr>
      <w:fldChar w:fldCharType="separate"/>
    </w:r>
    <w:r>
      <w:rPr>
        <w:b w:val="0"/>
        <w:bCs/>
        <w:noProof/>
        <w:lang w:val="en-GB"/>
      </w:rPr>
      <w:t>164</w:t>
    </w:r>
    <w:r w:rsidRPr="00B47F75">
      <w:rPr>
        <w:b w:val="0"/>
        <w:bCs/>
      </w:rPr>
      <w:fldChar w:fldCharType="end"/>
    </w:r>
    <w:r w:rsidRPr="007E52B2">
      <w:rPr>
        <w:lang w:val="en-GB"/>
      </w:rPr>
      <w:tab/>
    </w:r>
    <w:r w:rsidRPr="002D6EB1">
      <w:rPr>
        <w:lang w:val="en-US"/>
      </w:rPr>
      <w:t>WTSA-</w:t>
    </w:r>
    <w:r>
      <w:rPr>
        <w:lang w:val="en-US"/>
      </w:rPr>
      <w:t xml:space="preserve">20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6A0076">
      <w:rPr>
        <w:noProof/>
        <w:lang w:val="en-US"/>
      </w:rPr>
      <w:t>69</w:t>
    </w:r>
    <w:r w:rsidRPr="002D6EB1">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C0994" w14:textId="55A1ABF4" w:rsidR="004E4CA9" w:rsidRPr="00896F54" w:rsidRDefault="004E4CA9" w:rsidP="00896F54">
    <w:pPr>
      <w:pStyle w:val="FooterQP"/>
      <w:rPr>
        <w:b w:val="0"/>
        <w:lang w:val="en-US"/>
      </w:rPr>
    </w:pPr>
    <w:r>
      <w:tab/>
    </w:r>
    <w:r>
      <w:tab/>
    </w:r>
    <w:r w:rsidRPr="002D6EB1">
      <w:rPr>
        <w:lang w:val="en-US"/>
      </w:rPr>
      <w:t>WTSA-</w:t>
    </w:r>
    <w:r>
      <w:rPr>
        <w:lang w:val="en-US"/>
      </w:rPr>
      <w:t xml:space="preserve">20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6A0076" w:rsidRPr="006A0076">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6A0076">
      <w:rPr>
        <w:noProof/>
        <w:lang w:val="en-US"/>
      </w:rPr>
      <w:t>69</w:t>
    </w:r>
    <w:r w:rsidRPr="000E65F8">
      <w:fldChar w:fldCharType="end"/>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165</w:t>
    </w:r>
    <w:r>
      <w:rPr>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E5C57" w14:textId="77777777" w:rsidR="004E4CA9" w:rsidRDefault="004E4CA9">
      <w:r>
        <w:t>____________________</w:t>
      </w:r>
    </w:p>
  </w:footnote>
  <w:footnote w:type="continuationSeparator" w:id="0">
    <w:p w14:paraId="644616A7" w14:textId="77777777" w:rsidR="004E4CA9" w:rsidRDefault="004E4CA9">
      <w:r>
        <w:continuationSeparator/>
      </w:r>
    </w:p>
  </w:footnote>
  <w:footnote w:id="1">
    <w:p w14:paraId="4D8DE5B9" w14:textId="4E9F6C86"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This publication includes all WTSA Resolutions that were in-force at the end of WTSA-20.</w:t>
      </w:r>
    </w:p>
  </w:footnote>
  <w:footnote w:id="2">
    <w:p w14:paraId="57B2D02F" w14:textId="32C22114"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Previously published (Geneva, 1956 and 1958; New Delhi, 1960; Geneva, 1964; Mar del Plata, 1968; Geneva, 1972, 1976 and 1980, Malaga-Torremolinos, 1984; Melbourne, 1988; Helsinki, 1993; Geneva, 1996; Montreal, 2000; Florianópolis, 2004; Johannesburg, 2008; Dubai, 2012; Hammamet, 2016).</w:t>
      </w:r>
    </w:p>
  </w:footnote>
  <w:footnote w:id="3">
    <w:p w14:paraId="01E97D16" w14:textId="7200B8CE"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4">
    <w:p w14:paraId="75705895" w14:textId="562E1139"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5">
    <w:p w14:paraId="720330AF" w14:textId="05BE0CE5"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 Director and the study group chairmen may use the opportunity of these meetings to consider any appropriate measure related to activities described in 4.4 and 5.5.</w:t>
      </w:r>
    </w:p>
  </w:footnote>
  <w:footnote w:id="6">
    <w:p w14:paraId="7F6F9159" w14:textId="50C05071"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7">
    <w:p w14:paraId="7627F332" w14:textId="2A5CB67A"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8">
    <w:p w14:paraId="75A9CCB5" w14:textId="3777734E"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Background Question, task</w:t>
      </w:r>
      <w:r>
        <w:rPr>
          <w:lang w:val="en-US"/>
        </w:rPr>
        <w:noBreakHyphen/>
        <w:t>oriented Question designed to lead to a Recommendation, proposal for a new manual, revised manual, etc.</w:t>
      </w:r>
    </w:p>
  </w:footnote>
  <w:footnote w:id="9">
    <w:p w14:paraId="0E1F2C3A" w14:textId="02A1037C"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Changes to the ITU</w:t>
      </w:r>
      <w:r>
        <w:rPr>
          <w:lang w:val="en-US"/>
        </w:rPr>
        <w:noBreakHyphen/>
        <w:t>T Study Group 5 mandate agreed by TSAG on 30 April 2009.</w:t>
      </w:r>
    </w:p>
  </w:footnote>
  <w:footnote w:id="10">
    <w:p w14:paraId="5CF052E8" w14:textId="3B033AE0"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Creation of ITU</w:t>
      </w:r>
      <w:r>
        <w:rPr>
          <w:lang w:val="en-US"/>
        </w:rPr>
        <w:noBreakHyphen/>
        <w:t>T Study Group 20 by TSAG on 5 June 2015.</w:t>
      </w:r>
    </w:p>
  </w:footnote>
  <w:footnote w:id="11">
    <w:p w14:paraId="0AA98412" w14:textId="1177F23C"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Changes to the ITU</w:t>
      </w:r>
      <w:r>
        <w:rPr>
          <w:lang w:val="en-US"/>
        </w:rPr>
        <w:noBreakHyphen/>
        <w:t>T Study Group 20 lead study group role agreed by TSAG on 5 February 2016.</w:t>
      </w:r>
    </w:p>
  </w:footnote>
  <w:footnote w:id="12">
    <w:p w14:paraId="243C6EB2" w14:textId="5EDF6AA5" w:rsidR="004E4CA9" w:rsidRPr="00FD162E" w:rsidRDefault="004E4CA9" w:rsidP="00843D88">
      <w:pPr>
        <w:pStyle w:val="FootnoteText"/>
        <w:rPr>
          <w:lang w:val="en-US"/>
        </w:rPr>
      </w:pPr>
      <w:r>
        <w:rPr>
          <w:rStyle w:val="FootnoteReference"/>
        </w:rPr>
        <w:footnoteRef/>
      </w:r>
      <w:r w:rsidRPr="003C1D11">
        <w:rPr>
          <w:lang w:val="en-GB"/>
        </w:rPr>
        <w:t xml:space="preserve"> </w:t>
      </w:r>
      <w:r>
        <w:rPr>
          <w:lang w:val="en-GB"/>
        </w:rPr>
        <w:tab/>
      </w:r>
      <w:r>
        <w:rPr>
          <w:lang w:val="en-US"/>
        </w:rPr>
        <w:t>Some relevant aspects of this term may be considered differently from one Member State to another. The use of this term is framed in terms of international telecommunication standardization.</w:t>
      </w:r>
    </w:p>
  </w:footnote>
  <w:footnote w:id="13">
    <w:p w14:paraId="3D6F796E" w14:textId="1BCEC0D5"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This resolution should also be brought to the attention of the ITU Radiocommunication and Telecommunication Development Sectors.</w:t>
      </w:r>
    </w:p>
  </w:footnote>
  <w:footnote w:id="14">
    <w:p w14:paraId="789257D6" w14:textId="3481B250"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15">
    <w:p w14:paraId="214095A5" w14:textId="6C1F56C2"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16">
    <w:p w14:paraId="45B999CE" w14:textId="4E6AACB6"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17">
    <w:p w14:paraId="7C4E5CE2" w14:textId="578AABA7"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18">
    <w:p w14:paraId="654E3D44" w14:textId="44236B01"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19">
    <w:p w14:paraId="05913A97" w14:textId="70D6EE66"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20">
    <w:p w14:paraId="2F816103" w14:textId="0E8DB108"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21">
    <w:p w14:paraId="117385BC" w14:textId="1B73824B"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 xml:space="preserve">These include the least developed countries, small island developing states, landlocked developing countries and countries with economies in transition. </w:t>
      </w:r>
    </w:p>
  </w:footnote>
  <w:footnote w:id="22">
    <w:p w14:paraId="17DE4861" w14:textId="26D4E16F"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23">
    <w:p w14:paraId="458B64DD" w14:textId="25D2C94A"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24">
    <w:p w14:paraId="0FA951E6" w14:textId="3263AD43"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25">
    <w:p w14:paraId="6DB78F56" w14:textId="020990A7"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26">
    <w:p w14:paraId="3602CB95" w14:textId="1D496628"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27">
    <w:p w14:paraId="2448D7FD" w14:textId="08AF59D2"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28">
    <w:p w14:paraId="1992DBFB" w14:textId="629CBC83"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29">
    <w:p w14:paraId="320DE235" w14:textId="00A7EBF5"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30">
    <w:p w14:paraId="59ABE3AB" w14:textId="248BCE64"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31">
    <w:p w14:paraId="3249FDD9" w14:textId="402395A0"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32">
    <w:p w14:paraId="5B9C48CB" w14:textId="2C6704C4"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Geneva Declaration of Principles §§ 13 and 30; Geneva Plan of Action §§ 9 (e) and (f), 12 and 23; Tunis Commitment §§ 18 and 20; Tunis Agenda for the Information Society §§ 90 (c) and (e).</w:t>
      </w:r>
    </w:p>
  </w:footnote>
  <w:footnote w:id="33">
    <w:p w14:paraId="15A18138" w14:textId="78E18738"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34">
    <w:p w14:paraId="6FE70347" w14:textId="626FA529"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Telecommunication relay services enable users of different modes of communication (e.g. text, sign, speech) to interact by providing convergence between the modes of communication, usually through human operators called communication assistants.</w:t>
      </w:r>
    </w:p>
  </w:footnote>
  <w:footnote w:id="35">
    <w:p w14:paraId="0C75B501" w14:textId="77FE741B"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36">
    <w:p w14:paraId="1AADA4BB" w14:textId="19316BD3"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ICNIRP Guidelines for limiting exposure to EMF (100 kHz to 300 GHz), 2020.</w:t>
      </w:r>
    </w:p>
  </w:footnote>
  <w:footnote w:id="37">
    <w:p w14:paraId="12956AB6" w14:textId="33C6A326"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IEEE Std C95.1™-2019, IEEE Standard for safety levels with respect to human exposure to electric, magnetic and electromagnetic Fields, 0 Hz to 300 GHz.</w:t>
      </w:r>
    </w:p>
  </w:footnote>
  <w:footnote w:id="38">
    <w:p w14:paraId="092B7441" w14:textId="6A050C2D"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39">
    <w:p w14:paraId="63179490" w14:textId="103CDF45"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Kyoto, Japan, 15-16 April 2008; London, United Kingdom, 17-18 June 2008; Quito, Ecuador, 8</w:t>
      </w:r>
      <w:r>
        <w:rPr>
          <w:lang w:val="en-US"/>
        </w:rPr>
        <w:noBreakHyphen/>
        <w:t>10 July 2009; Seoul Virtual Symposium, 23 September 2009; Cairo, Egypt, 2-3 November 2010; Accra, Ghana, 7-8 July 2011; Seoul, Republic of Korea, 19 September 2011; Montreal, Canada, 29-31 May 2012, Turin, Italy, 6-7 May 2013; Kochi, India, 15 December 2014; Nassau, Bahamas, 14 December 2015; and Kuala Lumpur, Malaysia, 21 April 2016.</w:t>
      </w:r>
    </w:p>
  </w:footnote>
  <w:footnote w:id="40">
    <w:p w14:paraId="1AAB45EF" w14:textId="2D157C7E"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With respect to efficiency, promotion of efficient use of materials used in ICT devices and network elements should also be a consideration.</w:t>
      </w:r>
    </w:p>
  </w:footnote>
  <w:footnote w:id="41">
    <w:p w14:paraId="37A6B1B3" w14:textId="032B8D52"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Such Sector Members from developing countries shall not be affiliated in any way to any Sector Member of a developed country, and shall be limited to those Sector Members of developing countries (including the least developed countries, small island developing states, landlocked developing countries and countries with economies in transition) having an income per capita according to the United Nations Development Programme not exceeding a threshold to be determined.</w:t>
      </w:r>
    </w:p>
  </w:footnote>
  <w:footnote w:id="42">
    <w:p w14:paraId="10FBEBA2" w14:textId="3788B20F"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43">
    <w:p w14:paraId="2B8B63E5" w14:textId="7DFA7C5A"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44">
    <w:p w14:paraId="1D840AF4" w14:textId="6DCDD351"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45">
    <w:p w14:paraId="6DA50668" w14:textId="11856921"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46">
    <w:p w14:paraId="6EF3C6D4" w14:textId="1EC4A51F"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47">
    <w:p w14:paraId="191FA762" w14:textId="606C0360"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48">
    <w:p w14:paraId="6E651186" w14:textId="27702F51"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economic in transition.</w:t>
      </w:r>
    </w:p>
  </w:footnote>
  <w:footnote w:id="49">
    <w:p w14:paraId="365E20FD" w14:textId="33D5D8F5"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50">
    <w:p w14:paraId="5424658C" w14:textId="1390B61B"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51">
    <w:p w14:paraId="13588B52" w14:textId="7DE7807C"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52">
    <w:p w14:paraId="46E58C00" w14:textId="5F95D06C"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53">
    <w:p w14:paraId="6F38B337" w14:textId="3F1484F3"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54">
    <w:p w14:paraId="6D402F4D" w14:textId="40D56B2A"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55">
    <w:p w14:paraId="52639395" w14:textId="78A6681D"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56">
    <w:p w14:paraId="5121A9A6" w14:textId="303FEE59"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57">
    <w:p w14:paraId="13761C13" w14:textId="1C3518C2"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58">
    <w:p w14:paraId="351FC56B" w14:textId="21EA2F06"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 xml:space="preserve">This publication includes all A-series Recommendations and Supplements that were in force at the end of WTSA-20. It is noted that TSAG may modify, delete or approve A-series Recommendations, and that the latest in-force versions may be found at </w:t>
      </w:r>
      <w:hyperlink r:id="rId1" w:history="1">
        <w:r>
          <w:rPr>
            <w:rStyle w:val="Hyperlink"/>
            <w:lang w:val="en-US"/>
          </w:rPr>
          <w:t>http://www.itu.int/rec/T-REC-A</w:t>
        </w:r>
      </w:hyperlink>
      <w:r>
        <w:rPr>
          <w:lang w:val="en-US"/>
        </w:rPr>
        <w:t>.</w:t>
      </w:r>
    </w:p>
  </w:footnote>
  <w:footnote w:id="59">
    <w:p w14:paraId="2EF0977B" w14:textId="301AAC35" w:rsidR="004E4CA9" w:rsidRPr="00840F7A" w:rsidRDefault="004E4CA9" w:rsidP="00840F7A">
      <w:pPr>
        <w:pStyle w:val="FootnoteText"/>
        <w:rPr>
          <w:lang w:val="en-GB"/>
        </w:rPr>
      </w:pPr>
      <w:r>
        <w:rPr>
          <w:rStyle w:val="FootnoteReference"/>
        </w:rPr>
        <w:footnoteRef/>
      </w:r>
      <w:r w:rsidRPr="00840F7A">
        <w:rPr>
          <w:lang w:val="en-GB"/>
        </w:rPr>
        <w:t xml:space="preserve"> </w:t>
      </w:r>
      <w:r>
        <w:rPr>
          <w:lang w:val="en-GB"/>
        </w:rPr>
        <w:tab/>
      </w:r>
      <w:r>
        <w:rPr>
          <w:lang w:val="en-US"/>
        </w:rPr>
        <w:t xml:space="preserve">See </w:t>
      </w:r>
      <w:hyperlink r:id="rId2" w:history="1">
        <w:r>
          <w:rPr>
            <w:rStyle w:val="Hyperlink"/>
            <w:lang w:val="en-US"/>
          </w:rPr>
          <w:t>https://www.itu.int/ipr</w:t>
        </w:r>
      </w:hyperlink>
      <w:r w:rsidRPr="00C777D4">
        <w:rPr>
          <w:lang w:val="en-GB"/>
        </w:rPr>
        <w:t>.</w:t>
      </w:r>
    </w:p>
  </w:footnote>
  <w:footnote w:id="60">
    <w:p w14:paraId="6016E702" w14:textId="3843F9AA"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Restrictions include, but are not limited to, copyright ownership by other entities.</w:t>
      </w:r>
    </w:p>
  </w:footnote>
  <w:footnote w:id="61">
    <w:p w14:paraId="69A920C6" w14:textId="3B81E3BA"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 xml:space="preserve">See </w:t>
      </w:r>
      <w:hyperlink r:id="rId3" w:history="1">
        <w:r>
          <w:rPr>
            <w:rStyle w:val="Hyperlink"/>
            <w:lang w:val="en-US"/>
          </w:rPr>
          <w:t>https://www.itu.int/ipr</w:t>
        </w:r>
      </w:hyperlink>
      <w:r>
        <w:rPr>
          <w:lang w:val="en-US"/>
        </w:rPr>
        <w:t xml:space="preserve">. </w:t>
      </w:r>
    </w:p>
  </w:footnote>
  <w:footnote w:id="62">
    <w:p w14:paraId="185B3F19" w14:textId="7BB997DA"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This electronic notification should be sent to the general e</w:t>
      </w:r>
      <w:r>
        <w:rPr>
          <w:lang w:val="en-US"/>
        </w:rPr>
        <w:noBreakHyphen/>
        <w:t>mail reflector for the proposing study group and should also be a TD to the next meeting of the study group.</w:t>
      </w:r>
    </w:p>
  </w:footnote>
  <w:footnote w:id="63">
    <w:p w14:paraId="7F905C86" w14:textId="7F62F8AC"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This electronic notification should be sent to the general e</w:t>
      </w:r>
      <w:r>
        <w:rPr>
          <w:lang w:val="en-US"/>
        </w:rPr>
        <w:noBreakHyphen/>
        <w:t>mail reflector for the potentially involved study groups and TSAG, and should also be a TD to the next meeting of TSAG.</w:t>
      </w:r>
    </w:p>
  </w:footnote>
  <w:footnote w:id="64">
    <w:p w14:paraId="47D3A386" w14:textId="0E77EF1F" w:rsidR="004E4CA9" w:rsidRPr="00840F7A" w:rsidRDefault="004E4CA9" w:rsidP="00840F7A">
      <w:pPr>
        <w:pStyle w:val="FootnoteText"/>
        <w:rPr>
          <w:lang w:val="en-GB"/>
        </w:rPr>
      </w:pPr>
      <w:r>
        <w:rPr>
          <w:rStyle w:val="FootnoteReference"/>
        </w:rPr>
        <w:footnoteRef/>
      </w:r>
      <w:r w:rsidRPr="00840F7A">
        <w:rPr>
          <w:lang w:val="en-GB"/>
        </w:rPr>
        <w:t xml:space="preserve"> </w:t>
      </w:r>
      <w:r>
        <w:rPr>
          <w:lang w:val="en-GB"/>
        </w:rPr>
        <w:tab/>
      </w:r>
      <w:r>
        <w:rPr>
          <w:lang w:val="en-US"/>
        </w:rPr>
        <w:t xml:space="preserve">The current website is: </w:t>
      </w:r>
      <w:hyperlink r:id="rId4" w:history="1">
        <w:r>
          <w:rPr>
            <w:rStyle w:val="Hyperlink"/>
            <w:lang w:val="en-US"/>
          </w:rPr>
          <w:t>https://www.itu.int/en/ITU-T/extcoop/Pages/sdo.aspx</w:t>
        </w:r>
      </w:hyperlink>
      <w:r w:rsidRPr="00C777D4">
        <w:rPr>
          <w:lang w:val="en-GB"/>
        </w:rPr>
        <w:t>.</w:t>
      </w:r>
    </w:p>
  </w:footnote>
  <w:footnote w:id="65">
    <w:p w14:paraId="3D97C50F" w14:textId="4698FB2F"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 xml:space="preserve">See: </w:t>
      </w:r>
      <w:hyperlink r:id="rId5" w:history="1">
        <w:r>
          <w:rPr>
            <w:rStyle w:val="Hyperlink"/>
            <w:lang w:val="en-US"/>
          </w:rPr>
          <w:t>https://www.itu.int/ipr</w:t>
        </w:r>
      </w:hyperlink>
      <w:r w:rsidRPr="00C777D4">
        <w:rPr>
          <w:lang w:val="en-GB"/>
        </w:rPr>
        <w:t>.</w:t>
      </w:r>
    </w:p>
  </w:footnote>
  <w:footnote w:id="66">
    <w:p w14:paraId="026FA220" w14:textId="1EA30A28"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 xml:space="preserve">The Author's guide can be downloaded from: </w:t>
      </w:r>
      <w:hyperlink r:id="rId6" w:history="1">
        <w:r>
          <w:rPr>
            <w:rStyle w:val="Hyperlink"/>
            <w:lang w:val="en-US"/>
          </w:rPr>
          <w:t>http://handle.itu.int/11.1002/plink/8306947125</w:t>
        </w:r>
      </w:hyperlink>
      <w:r w:rsidRPr="00C777D4">
        <w:rPr>
          <w:lang w:val="en-GB"/>
        </w:rPr>
        <w:t>.</w:t>
      </w:r>
    </w:p>
  </w:footnote>
  <w:footnote w:id="67">
    <w:p w14:paraId="0FAB58A8" w14:textId="5B9961BA"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 xml:space="preserve">The document can be found at: </w:t>
      </w:r>
      <w:hyperlink r:id="rId7" w:history="1">
        <w:r>
          <w:rPr>
            <w:rStyle w:val="Hyperlink"/>
            <w:lang w:val="en-US"/>
          </w:rPr>
          <w:t>https://www.itu.int/en/ITU-T/about/groups/Documents/Rules-for-presentation-ITU-T-ISO-IEC.pdf</w:t>
        </w:r>
      </w:hyperlink>
      <w:r w:rsidRPr="00C777D4">
        <w:rPr>
          <w:lang w:val="en-GB"/>
        </w:rPr>
        <w:t>.</w:t>
      </w:r>
    </w:p>
  </w:footnote>
  <w:footnote w:id="68">
    <w:p w14:paraId="3B74CCE5" w14:textId="69D5171C"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 xml:space="preserve">See </w:t>
      </w:r>
      <w:hyperlink r:id="rId8" w:history="1">
        <w:r>
          <w:rPr>
            <w:rStyle w:val="Hyperlink"/>
            <w:lang w:val="en-US"/>
          </w:rPr>
          <w:t>https://www.itu.int/ipr</w:t>
        </w:r>
      </w:hyperlink>
      <w:r w:rsidRPr="00C777D4">
        <w:rPr>
          <w:lang w:val="en-GB"/>
        </w:rPr>
        <w:t>.</w:t>
      </w:r>
    </w:p>
  </w:footnote>
  <w:footnote w:id="69">
    <w:p w14:paraId="0AE54FF3" w14:textId="2AC6102F"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70">
    <w:p w14:paraId="1A38E031" w14:textId="4E13343C"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 xml:space="preserve">The Author's guide can be downloaded from: </w:t>
      </w:r>
      <w:hyperlink r:id="rId9" w:history="1">
        <w:r>
          <w:rPr>
            <w:rStyle w:val="Hyperlink"/>
            <w:lang w:val="en-US"/>
          </w:rPr>
          <w:t>http://handle.itu.int/11.1002/plink/8306947125</w:t>
        </w:r>
      </w:hyperlink>
      <w:r w:rsidRPr="00C777D4">
        <w:rPr>
          <w:lang w:val="en-GB"/>
        </w:rPr>
        <w:t>.</w:t>
      </w:r>
    </w:p>
  </w:footnote>
  <w:footnote w:id="71">
    <w:p w14:paraId="12FD7326" w14:textId="0526EA05"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Paper copies should be made available as quickly as possible at the request of a Member State, Sector Member or Associate not possessing electronic facilities, by which they can access publications of the Union</w:t>
      </w:r>
    </w:p>
  </w:footnote>
  <w:footnote w:id="72">
    <w:p w14:paraId="203726E3" w14:textId="28A50864"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 Guide is published as a separate booklet and is available from TSB.</w:t>
      </w:r>
    </w:p>
  </w:footnote>
  <w:footnote w:id="73">
    <w:p w14:paraId="7EDBA123" w14:textId="4BECCDB5"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This determination is done either by adoption of a Resolution at an SC meeting or by a three-month registration ballot at the SC level.</w:t>
      </w:r>
    </w:p>
  </w:footnote>
  <w:footnote w:id="74">
    <w:p w14:paraId="4AC1B147" w14:textId="07882B92"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Constitution of the International Telecommunication Union, 2006.</w:t>
      </w:r>
    </w:p>
  </w:footnote>
  <w:footnote w:id="75">
    <w:p w14:paraId="03BACA7C" w14:textId="5130B130"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JTC 1 Business Plan.</w:t>
      </w:r>
    </w:p>
  </w:footnote>
  <w:footnote w:id="76">
    <w:p w14:paraId="2FF6BAC9" w14:textId="66975EED"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A restart of the ITU-T approval process will normally be necessary if the SG meeting where approval is planned to take place (TAP) or Last Call announcement deadline date (AAP) occurs before the second ballot process will have been successfully completed.</w:t>
      </w:r>
    </w:p>
  </w:footnote>
  <w:footnote w:id="77">
    <w:p w14:paraId="27686C4A" w14:textId="33193BD6"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In the unlikely event that substantive changes are deemed necessary at this late stage, another JTC 1 ballot (and comment period for ITU-T members) will be required to affirm that all are in accord with the results. This ballot (and comment) period is five months (three months for DTRs). Approval on the ITU-T side would normally be delayed until after completion of the JTC 1 ballot.</w:t>
      </w:r>
    </w:p>
  </w:footnote>
  <w:footnote w:id="78">
    <w:p w14:paraId="6C0F205B" w14:textId="79E98561"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A restart of the ITU-T approval process will normally be necessary if the SG meeting where approval is planned to take place (TAP) or Last Call announcement deadline date (AAP) occurs before the second ballot process will have been successfully completed.</w:t>
      </w:r>
    </w:p>
  </w:footnote>
  <w:footnote w:id="79">
    <w:p w14:paraId="1B593C38" w14:textId="263AB1F0"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In the unlikely event that substantive changes are deemed necessary at this late stage, another JTC 1 ballot (and comment period for ITU-T members) will be required to affirm that all are in accord with the results. Approval on the ITU-T side would normally be delayed until completion of the JTC 1 ballot.</w:t>
      </w:r>
    </w:p>
  </w:footnote>
  <w:footnote w:id="80">
    <w:p w14:paraId="791A71C5" w14:textId="59455265" w:rsidR="004E4CA9" w:rsidRPr="00840F7A" w:rsidRDefault="004E4CA9" w:rsidP="00840F7A">
      <w:pPr>
        <w:pStyle w:val="FootnoteText"/>
        <w:rPr>
          <w:lang w:val="en-GB"/>
        </w:rPr>
      </w:pPr>
      <w:r>
        <w:rPr>
          <w:rStyle w:val="FootnoteReference"/>
        </w:rPr>
        <w:footnoteRef/>
      </w:r>
      <w:r w:rsidRPr="00840F7A">
        <w:rPr>
          <w:lang w:val="en-GB"/>
        </w:rPr>
        <w:t xml:space="preserve"> </w:t>
      </w:r>
      <w:r>
        <w:rPr>
          <w:lang w:val="en-GB"/>
        </w:rPr>
        <w:tab/>
      </w:r>
      <w:r>
        <w:rPr>
          <w:lang w:val="en-US"/>
        </w:rPr>
        <w:t xml:space="preserve">See: </w:t>
      </w:r>
      <w:hyperlink r:id="rId10" w:history="1">
        <w:r>
          <w:rPr>
            <w:rStyle w:val="Hyperlink"/>
            <w:lang w:val="en-US"/>
          </w:rPr>
          <w:t>https://www.itu.int/ipr</w:t>
        </w:r>
      </w:hyperlink>
      <w:r w:rsidRPr="00C777D4">
        <w:rPr>
          <w:lang w:val="en-GB"/>
        </w:rPr>
        <w:t>.</w:t>
      </w:r>
    </w:p>
  </w:footnote>
  <w:footnote w:id="81">
    <w:p w14:paraId="4F3EC84F" w14:textId="67DA6BC3" w:rsidR="004E4CA9" w:rsidRPr="00840F7A" w:rsidRDefault="004E4CA9" w:rsidP="00840F7A">
      <w:pPr>
        <w:pStyle w:val="FootnoteText"/>
        <w:rPr>
          <w:lang w:val="en-GB"/>
        </w:rPr>
      </w:pPr>
      <w:r>
        <w:rPr>
          <w:rStyle w:val="FootnoteReference"/>
        </w:rPr>
        <w:footnoteRef/>
      </w:r>
      <w:r w:rsidRPr="00840F7A">
        <w:rPr>
          <w:lang w:val="en-GB"/>
        </w:rPr>
        <w:t xml:space="preserve"> </w:t>
      </w:r>
      <w:r>
        <w:rPr>
          <w:lang w:val="en-GB"/>
        </w:rPr>
        <w:tab/>
      </w:r>
      <w:r>
        <w:rPr>
          <w:lang w:val="en-US"/>
        </w:rPr>
        <w:t>Some of the events defined in this Recommendation may have a mixed nature, such as dissemination of information and promotion.</w:t>
      </w:r>
    </w:p>
  </w:footnote>
  <w:footnote w:id="82">
    <w:p w14:paraId="690E5372" w14:textId="0C275E02" w:rsidR="004E4CA9" w:rsidRPr="00840F7A" w:rsidRDefault="004E4CA9" w:rsidP="007757C0">
      <w:pPr>
        <w:pStyle w:val="FootnoteText"/>
        <w:rPr>
          <w:lang w:val="en-GB"/>
        </w:rPr>
      </w:pPr>
      <w:r>
        <w:rPr>
          <w:rStyle w:val="FootnoteReference"/>
        </w:rPr>
        <w:footnoteRef/>
      </w:r>
      <w:r w:rsidRPr="00840F7A">
        <w:rPr>
          <w:lang w:val="en-GB"/>
        </w:rPr>
        <w:t xml:space="preserve"> </w:t>
      </w:r>
      <w:r>
        <w:rPr>
          <w:lang w:val="en-GB"/>
        </w:rPr>
        <w:tab/>
      </w:r>
      <w:r>
        <w:rPr>
          <w:lang w:val="en-US"/>
        </w:rPr>
        <w:t>Montenegro and Albania continue to be part of the Stabilization and Association Process.</w:t>
      </w:r>
    </w:p>
  </w:footnote>
  <w:footnote w:id="83">
    <w:p w14:paraId="446168EA" w14:textId="5D4E2B5F"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These include the least developed countries, small island developing states, landlocked developing countries and countries with economies in transition.</w:t>
      </w:r>
    </w:p>
  </w:footnote>
  <w:footnote w:id="84">
    <w:p w14:paraId="6802B432" w14:textId="1AE2C1A4" w:rsidR="004E4CA9" w:rsidRPr="00FD162E" w:rsidRDefault="004E4CA9">
      <w:pPr>
        <w:pStyle w:val="FootnoteText"/>
        <w:rPr>
          <w:lang w:val="en-US"/>
        </w:rPr>
      </w:pPr>
      <w:r>
        <w:rPr>
          <w:rStyle w:val="FootnoteReference"/>
        </w:rPr>
        <w:footnoteRef/>
      </w:r>
      <w:r w:rsidRPr="003C1D11">
        <w:rPr>
          <w:lang w:val="en-GB"/>
        </w:rPr>
        <w:t xml:space="preserve"> </w:t>
      </w:r>
      <w:r>
        <w:rPr>
          <w:lang w:val="en-GB"/>
        </w:rPr>
        <w:tab/>
      </w:r>
      <w:r>
        <w:rPr>
          <w:lang w:val="en-US"/>
        </w:rPr>
        <w:t>COM4 output was integrated by COM3 and sent to COM5 in Doc.77.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1C9D9" w14:textId="77777777" w:rsidR="004E4CA9" w:rsidRPr="00E5153F" w:rsidRDefault="004E4CA9" w:rsidP="00835853">
    <w:pPr>
      <w:spacing w:before="360"/>
      <w:jc w:val="center"/>
      <w:rPr>
        <w:rFonts w:ascii="Arial" w:hAnsi="Arial" w:cs="Arial"/>
        <w:color w:val="999999"/>
        <w:spacing w:val="100"/>
        <w:sz w:val="32"/>
        <w:szCs w:val="3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7FAC7" w14:textId="77777777" w:rsidR="004E4CA9" w:rsidRPr="00896F54" w:rsidRDefault="004E4CA9" w:rsidP="00896F54">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069FE" w14:textId="77777777" w:rsidR="004E4CA9" w:rsidRDefault="004E4CA9">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90DDA" w14:textId="77777777" w:rsidR="004E4CA9" w:rsidRDefault="004E4CA9"/>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3A055" w14:textId="77777777" w:rsidR="004E4CA9" w:rsidRPr="00896F54" w:rsidRDefault="004E4CA9" w:rsidP="00896F54">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9A972" w14:textId="77777777" w:rsidR="004E4CA9" w:rsidRDefault="004E4CA9">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C07A3" w14:textId="77777777" w:rsidR="004E4CA9" w:rsidRDefault="004E4CA9"/>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45A01" w14:textId="77777777" w:rsidR="004E4CA9" w:rsidRPr="00896F54" w:rsidRDefault="004E4CA9" w:rsidP="00896F54">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52068" w14:textId="77777777" w:rsidR="004E4CA9" w:rsidRDefault="004E4CA9">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1874E" w14:textId="77777777" w:rsidR="004E4CA9" w:rsidRDefault="004E4CA9"/>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EEA3A" w14:textId="77777777" w:rsidR="004E4CA9" w:rsidRPr="00896F54" w:rsidRDefault="004E4CA9" w:rsidP="00896F54">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8371D" w14:textId="77777777" w:rsidR="004E4CA9" w:rsidRDefault="004E4CA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D77B9" w14:textId="77777777" w:rsidR="004E4CA9" w:rsidRDefault="004E4CA9">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D9E00" w14:textId="77777777" w:rsidR="004E4CA9" w:rsidRDefault="004E4CA9"/>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B633E" w14:textId="77777777" w:rsidR="004E4CA9" w:rsidRDefault="004E4CA9">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A466A" w14:textId="77777777" w:rsidR="004E4CA9" w:rsidRDefault="004E4CA9">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B6055" w14:textId="77777777" w:rsidR="004E4CA9" w:rsidRDefault="004E4CA9"/>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49BCA" w14:textId="77777777" w:rsidR="004E4CA9" w:rsidRPr="00896F54" w:rsidRDefault="004E4CA9" w:rsidP="00896F54">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71796" w14:textId="77777777" w:rsidR="004E4CA9" w:rsidRDefault="004E4CA9">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06888" w14:textId="77777777" w:rsidR="004E4CA9" w:rsidRDefault="004E4CA9">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9ED29" w14:textId="77777777" w:rsidR="004E4CA9" w:rsidRDefault="004E4CA9"/>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06A3B" w14:textId="77777777" w:rsidR="004E4CA9" w:rsidRDefault="004E4CA9">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B1E37" w14:textId="77777777" w:rsidR="004E4CA9" w:rsidRDefault="004E4CA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02C83" w14:textId="77777777" w:rsidR="004E4CA9" w:rsidRDefault="004E4CA9"/>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21A68" w14:textId="77777777" w:rsidR="004E4CA9" w:rsidRDefault="004E4CA9">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BB9AE" w14:textId="77777777" w:rsidR="004E4CA9" w:rsidRDefault="004E4CA9"/>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B8765" w14:textId="77777777" w:rsidR="004E4CA9" w:rsidRDefault="004E4CA9">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33E45" w14:textId="77777777" w:rsidR="004E4CA9" w:rsidRDefault="004E4CA9"/>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BF85A" w14:textId="77777777" w:rsidR="004E4CA9" w:rsidRPr="00896F54" w:rsidRDefault="004E4CA9" w:rsidP="00896F54">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C6F74" w14:textId="77777777" w:rsidR="004E4CA9" w:rsidRDefault="004E4CA9">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A71D5" w14:textId="77777777" w:rsidR="004E4CA9" w:rsidRDefault="004E4CA9"/>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F6619" w14:textId="77777777" w:rsidR="004E4CA9" w:rsidRPr="00896F54" w:rsidRDefault="004E4CA9" w:rsidP="00896F54">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522DD" w14:textId="77777777" w:rsidR="004E4CA9" w:rsidRDefault="004E4CA9">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F8EEE" w14:textId="77777777" w:rsidR="004E4CA9" w:rsidRDefault="004E4CA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54B6B" w14:textId="77777777" w:rsidR="004E4CA9" w:rsidRPr="00896F54" w:rsidRDefault="004E4CA9" w:rsidP="00896F54">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BAD2F" w14:textId="77777777" w:rsidR="004E4CA9" w:rsidRDefault="004E4CA9">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D020E" w14:textId="77777777" w:rsidR="004E4CA9" w:rsidRDefault="004E4CA9"/>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640B2" w14:textId="77777777" w:rsidR="004E4CA9" w:rsidRPr="00896F54" w:rsidRDefault="004E4CA9" w:rsidP="00896F54">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6EFFA" w14:textId="77777777" w:rsidR="004E4CA9" w:rsidRDefault="004E4CA9">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F1A6B" w14:textId="77777777" w:rsidR="004E4CA9" w:rsidRDefault="004E4CA9"/>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DC53B" w14:textId="77777777" w:rsidR="004E4CA9" w:rsidRPr="00896F54" w:rsidRDefault="004E4CA9" w:rsidP="00896F54">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BFAF2" w14:textId="77777777" w:rsidR="004E4CA9" w:rsidRDefault="004E4CA9">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89747" w14:textId="77777777" w:rsidR="004E4CA9" w:rsidRDefault="004E4CA9"/>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0859B" w14:textId="77777777" w:rsidR="004E4CA9" w:rsidRPr="00896F54" w:rsidRDefault="004E4CA9" w:rsidP="00896F54">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6563A" w14:textId="77777777" w:rsidR="004E4CA9" w:rsidRDefault="004E4CA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7A197" w14:textId="77777777" w:rsidR="004E4CA9" w:rsidRDefault="004E4CA9">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4E1EB" w14:textId="77777777" w:rsidR="004E4CA9" w:rsidRDefault="004E4CA9"/>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C5195" w14:textId="77777777" w:rsidR="004E4CA9" w:rsidRPr="00896F54" w:rsidRDefault="004E4CA9" w:rsidP="00896F54">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CAEB4" w14:textId="77777777" w:rsidR="004E4CA9" w:rsidRDefault="004E4CA9">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9091D" w14:textId="77777777" w:rsidR="004E4CA9" w:rsidRDefault="004E4CA9"/>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10DF4" w14:textId="77777777" w:rsidR="004E4CA9" w:rsidRPr="00896F54" w:rsidRDefault="004E4CA9" w:rsidP="00896F54">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87E7F" w14:textId="77777777" w:rsidR="004E4CA9" w:rsidRDefault="004E4CA9">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02249" w14:textId="77777777" w:rsidR="004E4CA9" w:rsidRDefault="004E4CA9"/>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6586" w14:textId="77777777" w:rsidR="004E4CA9" w:rsidRPr="00896F54" w:rsidRDefault="004E4CA9" w:rsidP="00896F54">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485B1" w14:textId="77777777" w:rsidR="004E4CA9" w:rsidRDefault="004E4CA9">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3998B" w14:textId="77777777" w:rsidR="004E4CA9" w:rsidRDefault="004E4CA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D0D2D" w14:textId="77777777" w:rsidR="004E4CA9" w:rsidRDefault="004E4CA9"/>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45EDA" w14:textId="77777777" w:rsidR="004E4CA9" w:rsidRPr="00896F54" w:rsidRDefault="004E4CA9" w:rsidP="00896F54">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6C6F9" w14:textId="77777777" w:rsidR="004E4CA9" w:rsidRDefault="004E4CA9">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D80CE" w14:textId="77777777" w:rsidR="004E4CA9" w:rsidRDefault="004E4CA9">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B6C81" w14:textId="77777777" w:rsidR="004E4CA9" w:rsidRDefault="004E4CA9"/>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2AC4D" w14:textId="77777777" w:rsidR="004E4CA9" w:rsidRPr="00896F54" w:rsidRDefault="004E4CA9" w:rsidP="00896F54">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768D5" w14:textId="77777777" w:rsidR="004E4CA9" w:rsidRPr="00835B0E" w:rsidRDefault="004E4CA9" w:rsidP="008C3E8D">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74788" w14:textId="77777777" w:rsidR="004E4CA9" w:rsidRPr="00835B0E" w:rsidRDefault="004E4CA9" w:rsidP="008C3E8D">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EDB9B" w14:textId="77777777" w:rsidR="004E4CA9" w:rsidRDefault="004E4CA9">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97D44" w14:textId="77777777" w:rsidR="004E4CA9" w:rsidRPr="00835B0E" w:rsidRDefault="004E4CA9" w:rsidP="008C3E8D">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0E568" w14:textId="77777777" w:rsidR="004E4CA9" w:rsidRPr="00DC12CB" w:rsidRDefault="004E4CA9" w:rsidP="008C3E8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D1A11" w14:textId="77777777" w:rsidR="004E4CA9" w:rsidRPr="00896F54" w:rsidRDefault="004E4CA9" w:rsidP="00896F54">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DF554" w14:textId="77777777" w:rsidR="004E4CA9" w:rsidRPr="00DC12CB" w:rsidRDefault="004E4CA9" w:rsidP="008C3E8D">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AF813" w14:textId="77777777" w:rsidR="004E4CA9" w:rsidRPr="00DC12CB" w:rsidRDefault="004E4CA9" w:rsidP="008C3E8D">
    <w:pPr>
      <w:pStyle w:val="Header"/>
    </w:pPr>
    <w:r>
      <w:rPr>
        <w:noProof/>
        <w:lang w:val="en-US" w:eastAsia="zh-CN"/>
      </w:rPr>
      <mc:AlternateContent>
        <mc:Choice Requires="wps">
          <w:drawing>
            <wp:anchor distT="0" distB="0" distL="114300" distR="114300" simplePos="0" relativeHeight="251673600" behindDoc="0" locked="0" layoutInCell="1" allowOverlap="1" wp14:anchorId="163DBC96" wp14:editId="5978710D">
              <wp:simplePos x="0" y="0"/>
              <wp:positionH relativeFrom="column">
                <wp:posOffset>-669290</wp:posOffset>
              </wp:positionH>
              <wp:positionV relativeFrom="paragraph">
                <wp:posOffset>359079</wp:posOffset>
              </wp:positionV>
              <wp:extent cx="563982" cy="6086247"/>
              <wp:effectExtent l="0" t="0" r="0" b="0"/>
              <wp:wrapNone/>
              <wp:docPr id="20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2" cy="60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7BE2D" w14:textId="3ED2B0DD" w:rsidR="004E4CA9" w:rsidRPr="0057705A" w:rsidRDefault="004E4CA9" w:rsidP="004F0795">
                          <w:pPr>
                            <w:spacing w:before="0"/>
                            <w:jc w:val="left"/>
                            <w:rPr>
                              <w:lang w:val="en-GB"/>
                            </w:rPr>
                          </w:pPr>
                          <w:r w:rsidRPr="0057705A">
                            <w:rPr>
                              <w:lang w:val="en-US"/>
                            </w:rPr>
                            <w:fldChar w:fldCharType="begin"/>
                          </w:r>
                          <w:r w:rsidRPr="0057705A">
                            <w:rPr>
                              <w:lang w:val="en-US"/>
                            </w:rPr>
                            <w:instrText xml:space="preserve"> DOCPROPERTY  "Part II"  \* MERGEFORMAT </w:instrText>
                          </w:r>
                          <w:r w:rsidRPr="0057705A">
                            <w:rPr>
                              <w:lang w:val="en-US"/>
                            </w:rPr>
                            <w:fldChar w:fldCharType="separate"/>
                          </w:r>
                          <w:r w:rsidR="006A0076">
                            <w:rPr>
                              <w:lang w:val="en-US"/>
                            </w:rPr>
                            <w:t>II</w:t>
                          </w:r>
                          <w:r w:rsidRPr="0057705A">
                            <w:rPr>
                              <w:lang w:val="en-US"/>
                            </w:rPr>
                            <w:fldChar w:fldCharType="end"/>
                          </w:r>
                          <w:r w:rsidRPr="0057705A">
                            <w:rPr>
                              <w:lang w:val="en-US"/>
                            </w:rPr>
                            <w:t>-</w:t>
                          </w:r>
                          <w:r w:rsidRPr="0057705A">
                            <w:fldChar w:fldCharType="begin"/>
                          </w:r>
                          <w:r w:rsidRPr="0057705A">
                            <w:rPr>
                              <w:lang w:val="en-US"/>
                            </w:rPr>
                            <w:instrText xml:space="preserve"> PAGE  \* MERGEFORMAT </w:instrText>
                          </w:r>
                          <w:r w:rsidRPr="0057705A">
                            <w:fldChar w:fldCharType="separate"/>
                          </w:r>
                          <w:r>
                            <w:rPr>
                              <w:noProof/>
                              <w:lang w:val="en-US"/>
                            </w:rPr>
                            <w:t>46</w:t>
                          </w:r>
                          <w:r w:rsidRPr="0057705A">
                            <w:fldChar w:fldCharType="end"/>
                          </w:r>
                          <w:r>
                            <w:tab/>
                          </w:r>
                          <w:r w:rsidRPr="006035C5">
                            <w:rPr>
                              <w:b/>
                              <w:bCs/>
                              <w:lang w:val="en-US"/>
                            </w:rPr>
                            <w:t>WTSA-20</w:t>
                          </w:r>
                          <w:r w:rsidRPr="00CE7F47">
                            <w:rPr>
                              <w:b/>
                              <w:bCs/>
                              <w:lang w:val="en-US"/>
                            </w:rPr>
                            <w:t xml:space="preserve"> Proceedings – </w:t>
                          </w:r>
                          <w:r w:rsidRPr="00CE7F47">
                            <w:rPr>
                              <w:b/>
                              <w:bCs/>
                            </w:rPr>
                            <w:fldChar w:fldCharType="begin"/>
                          </w:r>
                          <w:r w:rsidRPr="00CE7F47">
                            <w:rPr>
                              <w:b/>
                              <w:bCs/>
                            </w:rPr>
                            <w:instrText xml:space="preserve"> DOCPROPERTY "Footer 2" \* MERGEFORMAT </w:instrText>
                          </w:r>
                          <w:r w:rsidRPr="00CE7F47">
                            <w:rPr>
                              <w:b/>
                              <w:bCs/>
                            </w:rPr>
                            <w:fldChar w:fldCharType="separate"/>
                          </w:r>
                          <w:r w:rsidR="006A0076" w:rsidRPr="006A0076">
                            <w:rPr>
                              <w:b/>
                              <w:bCs/>
                              <w:lang w:val="en-US"/>
                            </w:rPr>
                            <w:t>Part II – Recommendation</w:t>
                          </w:r>
                          <w:r w:rsidRPr="00CE7F47">
                            <w:rPr>
                              <w:b/>
                              <w:bCs/>
                              <w:lang w:val="en-US"/>
                            </w:rPr>
                            <w:fldChar w:fldCharType="end"/>
                          </w:r>
                          <w:r w:rsidRPr="00CE7F47">
                            <w:rPr>
                              <w:b/>
                              <w:bCs/>
                            </w:rPr>
                            <w:t xml:space="preserve"> ITU-T</w:t>
                          </w:r>
                          <w:r w:rsidRPr="00CE7F47">
                            <w:rPr>
                              <w:b/>
                              <w:bCs/>
                              <w:lang w:val="en-US"/>
                            </w:rPr>
                            <w:t xml:space="preserve"> </w:t>
                          </w:r>
                          <w:r w:rsidRPr="00CE7F47">
                            <w:rPr>
                              <w:b/>
                              <w:bCs/>
                            </w:rPr>
                            <w:fldChar w:fldCharType="begin"/>
                          </w:r>
                          <w:r w:rsidRPr="00CE7F47">
                            <w:rPr>
                              <w:b/>
                              <w:bCs/>
                              <w:lang w:val="en-US"/>
                            </w:rPr>
                            <w:instrText>styleref href</w:instrText>
                          </w:r>
                          <w:r w:rsidRPr="00CE7F47">
                            <w:rPr>
                              <w:b/>
                              <w:bCs/>
                            </w:rPr>
                            <w:fldChar w:fldCharType="separate"/>
                          </w:r>
                          <w:r w:rsidR="006A0076">
                            <w:rPr>
                              <w:b/>
                              <w:bCs/>
                              <w:noProof/>
                              <w:lang w:val="en-US"/>
                            </w:rPr>
                            <w:t>A.5</w:t>
                          </w:r>
                          <w:r w:rsidRPr="00CE7F47">
                            <w:rPr>
                              <w:b/>
                              <w:bCs/>
                            </w:rPr>
                            <w:fldChar w:fldCharType="end"/>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DBC96" id="_x0000_t202" coordsize="21600,21600" o:spt="202" path="m,l,21600r21600,l21600,xe">
              <v:stroke joinstyle="miter"/>
              <v:path gradientshapeok="t" o:connecttype="rect"/>
            </v:shapetype>
            <v:shape id="Text Box 3" o:spid="_x0000_s1026" type="#_x0000_t202" style="position:absolute;left:0;text-align:left;margin-left:-52.7pt;margin-top:28.25pt;width:44.4pt;height:47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" filled="f" stroked="f">
              <v:textbox style="layout-flow:vertical-ideographic">
                <w:txbxContent>
                  <w:p w14:paraId="4AC7BE2D" w14:textId="3ED2B0DD" w:rsidR="004E4CA9" w:rsidRPr="0057705A" w:rsidRDefault="004E4CA9" w:rsidP="004F0795">
                    <w:pPr>
                      <w:spacing w:before="0"/>
                      <w:jc w:val="left"/>
                      <w:rPr>
                        <w:lang w:val="en-GB"/>
                      </w:rPr>
                    </w:pPr>
                    <w:r w:rsidRPr="0057705A">
                      <w:rPr>
                        <w:lang w:val="en-US"/>
                      </w:rPr>
                      <w:fldChar w:fldCharType="begin"/>
                    </w:r>
                    <w:r w:rsidRPr="0057705A">
                      <w:rPr>
                        <w:lang w:val="en-US"/>
                      </w:rPr>
                      <w:instrText xml:space="preserve"> DOCPROPERTY  "Part II"  \* MERGEFORMAT </w:instrText>
                    </w:r>
                    <w:r w:rsidRPr="0057705A">
                      <w:rPr>
                        <w:lang w:val="en-US"/>
                      </w:rPr>
                      <w:fldChar w:fldCharType="separate"/>
                    </w:r>
                    <w:r w:rsidR="006A0076">
                      <w:rPr>
                        <w:lang w:val="en-US"/>
                      </w:rPr>
                      <w:t>II</w:t>
                    </w:r>
                    <w:r w:rsidRPr="0057705A">
                      <w:rPr>
                        <w:lang w:val="en-US"/>
                      </w:rPr>
                      <w:fldChar w:fldCharType="end"/>
                    </w:r>
                    <w:r w:rsidRPr="0057705A">
                      <w:rPr>
                        <w:lang w:val="en-US"/>
                      </w:rPr>
                      <w:t>-</w:t>
                    </w:r>
                    <w:r w:rsidRPr="0057705A">
                      <w:fldChar w:fldCharType="begin"/>
                    </w:r>
                    <w:r w:rsidRPr="0057705A">
                      <w:rPr>
                        <w:lang w:val="en-US"/>
                      </w:rPr>
                      <w:instrText xml:space="preserve"> PAGE  \* MERGEFORMAT </w:instrText>
                    </w:r>
                    <w:r w:rsidRPr="0057705A">
                      <w:fldChar w:fldCharType="separate"/>
                    </w:r>
                    <w:r>
                      <w:rPr>
                        <w:noProof/>
                        <w:lang w:val="en-US"/>
                      </w:rPr>
                      <w:t>46</w:t>
                    </w:r>
                    <w:r w:rsidRPr="0057705A">
                      <w:fldChar w:fldCharType="end"/>
                    </w:r>
                    <w:r>
                      <w:tab/>
                    </w:r>
                    <w:r w:rsidRPr="006035C5">
                      <w:rPr>
                        <w:b/>
                        <w:bCs/>
                        <w:lang w:val="en-US"/>
                      </w:rPr>
                      <w:t>WTSA-20</w:t>
                    </w:r>
                    <w:r w:rsidRPr="00CE7F47">
                      <w:rPr>
                        <w:b/>
                        <w:bCs/>
                        <w:lang w:val="en-US"/>
                      </w:rPr>
                      <w:t xml:space="preserve"> Proceedings – </w:t>
                    </w:r>
                    <w:r w:rsidRPr="00CE7F47">
                      <w:rPr>
                        <w:b/>
                        <w:bCs/>
                      </w:rPr>
                      <w:fldChar w:fldCharType="begin"/>
                    </w:r>
                    <w:r w:rsidRPr="00CE7F47">
                      <w:rPr>
                        <w:b/>
                        <w:bCs/>
                      </w:rPr>
                      <w:instrText xml:space="preserve"> DOCPROPERTY "Footer 2" \* MERGEFORMAT </w:instrText>
                    </w:r>
                    <w:r w:rsidRPr="00CE7F47">
                      <w:rPr>
                        <w:b/>
                        <w:bCs/>
                      </w:rPr>
                      <w:fldChar w:fldCharType="separate"/>
                    </w:r>
                    <w:r w:rsidR="006A0076" w:rsidRPr="006A0076">
                      <w:rPr>
                        <w:b/>
                        <w:bCs/>
                        <w:lang w:val="en-US"/>
                      </w:rPr>
                      <w:t>Part II – Recommendation</w:t>
                    </w:r>
                    <w:r w:rsidRPr="00CE7F47">
                      <w:rPr>
                        <w:b/>
                        <w:bCs/>
                        <w:lang w:val="en-US"/>
                      </w:rPr>
                      <w:fldChar w:fldCharType="end"/>
                    </w:r>
                    <w:r w:rsidRPr="00CE7F47">
                      <w:rPr>
                        <w:b/>
                        <w:bCs/>
                      </w:rPr>
                      <w:t xml:space="preserve"> ITU-T</w:t>
                    </w:r>
                    <w:r w:rsidRPr="00CE7F47">
                      <w:rPr>
                        <w:b/>
                        <w:bCs/>
                        <w:lang w:val="en-US"/>
                      </w:rPr>
                      <w:t xml:space="preserve"> </w:t>
                    </w:r>
                    <w:r w:rsidRPr="00CE7F47">
                      <w:rPr>
                        <w:b/>
                        <w:bCs/>
                      </w:rPr>
                      <w:fldChar w:fldCharType="begin"/>
                    </w:r>
                    <w:r w:rsidRPr="00CE7F47">
                      <w:rPr>
                        <w:b/>
                        <w:bCs/>
                        <w:lang w:val="en-US"/>
                      </w:rPr>
                      <w:instrText>styleref href</w:instrText>
                    </w:r>
                    <w:r w:rsidRPr="00CE7F47">
                      <w:rPr>
                        <w:b/>
                        <w:bCs/>
                      </w:rPr>
                      <w:fldChar w:fldCharType="separate"/>
                    </w:r>
                    <w:r w:rsidR="006A0076">
                      <w:rPr>
                        <w:b/>
                        <w:bCs/>
                        <w:noProof/>
                        <w:lang w:val="en-US"/>
                      </w:rPr>
                      <w:t>A.5</w:t>
                    </w:r>
                    <w:r w:rsidRPr="00CE7F47">
                      <w:rPr>
                        <w:b/>
                        <w:bCs/>
                      </w:rPr>
                      <w:fldChar w:fldCharType="end"/>
                    </w:r>
                  </w:p>
                </w:txbxContent>
              </v:textbox>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3DFC8" w14:textId="77777777" w:rsidR="004E4CA9" w:rsidRPr="00DC12CB" w:rsidRDefault="004E4CA9" w:rsidP="008C3E8D">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83390" w14:textId="77777777" w:rsidR="004E4CA9" w:rsidRPr="00DC12CB" w:rsidRDefault="004E4CA9" w:rsidP="008C3E8D">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E8CE3" w14:textId="77777777" w:rsidR="004E4CA9" w:rsidRPr="00C72A8E" w:rsidRDefault="004E4CA9" w:rsidP="008C3E8D">
    <w:r>
      <w:rPr>
        <w:noProof/>
        <w:lang w:val="en-US" w:eastAsia="zh-CN"/>
      </w:rPr>
      <mc:AlternateContent>
        <mc:Choice Requires="wps">
          <w:drawing>
            <wp:anchor distT="0" distB="0" distL="114300" distR="114300" simplePos="0" relativeHeight="251671552" behindDoc="0" locked="0" layoutInCell="1" allowOverlap="1" wp14:anchorId="7C95E027" wp14:editId="1CC52F9B">
              <wp:simplePos x="0" y="0"/>
              <wp:positionH relativeFrom="column">
                <wp:posOffset>-646099</wp:posOffset>
              </wp:positionH>
              <wp:positionV relativeFrom="paragraph">
                <wp:posOffset>337185</wp:posOffset>
              </wp:positionV>
              <wp:extent cx="563982" cy="6086247"/>
              <wp:effectExtent l="0" t="0" r="0" b="0"/>
              <wp:wrapNone/>
              <wp:docPr id="20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2" cy="60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CE57D" w14:textId="29EB15E7" w:rsidR="004E4CA9" w:rsidRPr="0057705A" w:rsidRDefault="004E4CA9" w:rsidP="004F0795">
                          <w:pPr>
                            <w:spacing w:before="0"/>
                            <w:jc w:val="left"/>
                            <w:rPr>
                              <w:lang w:val="en-GB"/>
                            </w:rPr>
                          </w:pPr>
                          <w:r w:rsidRPr="0057705A">
                            <w:rPr>
                              <w:lang w:val="en-US"/>
                            </w:rPr>
                            <w:fldChar w:fldCharType="begin"/>
                          </w:r>
                          <w:r w:rsidRPr="0057705A">
                            <w:rPr>
                              <w:lang w:val="en-US"/>
                            </w:rPr>
                            <w:instrText xml:space="preserve"> DOCPROPERTY  "Part II"  \* MERGEFORMAT </w:instrText>
                          </w:r>
                          <w:r w:rsidRPr="0057705A">
                            <w:rPr>
                              <w:lang w:val="en-US"/>
                            </w:rPr>
                            <w:fldChar w:fldCharType="separate"/>
                          </w:r>
                          <w:r w:rsidR="006A0076">
                            <w:rPr>
                              <w:lang w:val="en-US"/>
                            </w:rPr>
                            <w:t>II</w:t>
                          </w:r>
                          <w:r w:rsidRPr="0057705A">
                            <w:rPr>
                              <w:lang w:val="en-US"/>
                            </w:rPr>
                            <w:fldChar w:fldCharType="end"/>
                          </w:r>
                          <w:r w:rsidRPr="0057705A">
                            <w:rPr>
                              <w:lang w:val="en-US"/>
                            </w:rPr>
                            <w:t>-</w:t>
                          </w:r>
                          <w:r w:rsidRPr="0057705A">
                            <w:fldChar w:fldCharType="begin"/>
                          </w:r>
                          <w:r w:rsidRPr="0057705A">
                            <w:rPr>
                              <w:lang w:val="en-US"/>
                            </w:rPr>
                            <w:instrText xml:space="preserve"> PAGE  \* MERGEFORMAT </w:instrText>
                          </w:r>
                          <w:r w:rsidRPr="0057705A">
                            <w:fldChar w:fldCharType="separate"/>
                          </w:r>
                          <w:r>
                            <w:rPr>
                              <w:noProof/>
                              <w:lang w:val="en-US"/>
                            </w:rPr>
                            <w:t>54</w:t>
                          </w:r>
                          <w:r w:rsidRPr="0057705A">
                            <w:fldChar w:fldCharType="end"/>
                          </w:r>
                          <w:r>
                            <w:tab/>
                          </w:r>
                          <w:r w:rsidRPr="006035C5">
                            <w:rPr>
                              <w:b/>
                              <w:bCs/>
                              <w:lang w:val="en-US"/>
                            </w:rPr>
                            <w:t>WTSA-20</w:t>
                          </w:r>
                          <w:r w:rsidRPr="00CE7F47">
                            <w:rPr>
                              <w:b/>
                              <w:bCs/>
                              <w:lang w:val="en-US"/>
                            </w:rPr>
                            <w:t xml:space="preserve"> Proceedings – </w:t>
                          </w:r>
                          <w:r w:rsidRPr="00CE7F47">
                            <w:rPr>
                              <w:b/>
                              <w:bCs/>
                            </w:rPr>
                            <w:fldChar w:fldCharType="begin"/>
                          </w:r>
                          <w:r w:rsidRPr="00CE7F47">
                            <w:rPr>
                              <w:b/>
                              <w:bCs/>
                            </w:rPr>
                            <w:instrText xml:space="preserve"> DOCPROPERTY "Footer 2" \* MERGEFORMAT </w:instrText>
                          </w:r>
                          <w:r w:rsidRPr="00CE7F47">
                            <w:rPr>
                              <w:b/>
                              <w:bCs/>
                            </w:rPr>
                            <w:fldChar w:fldCharType="separate"/>
                          </w:r>
                          <w:r w:rsidR="006A0076" w:rsidRPr="006A0076">
                            <w:rPr>
                              <w:b/>
                              <w:bCs/>
                              <w:lang w:val="en-US"/>
                            </w:rPr>
                            <w:t>Part II – Recommendation</w:t>
                          </w:r>
                          <w:r w:rsidRPr="00CE7F47">
                            <w:rPr>
                              <w:b/>
                              <w:bCs/>
                              <w:lang w:val="en-US"/>
                            </w:rPr>
                            <w:fldChar w:fldCharType="end"/>
                          </w:r>
                          <w:r w:rsidRPr="00CE7F47">
                            <w:rPr>
                              <w:b/>
                              <w:bCs/>
                            </w:rPr>
                            <w:t xml:space="preserve"> ITU-T</w:t>
                          </w:r>
                          <w:r w:rsidRPr="00CE7F47">
                            <w:rPr>
                              <w:b/>
                              <w:bCs/>
                              <w:lang w:val="en-US"/>
                            </w:rPr>
                            <w:t xml:space="preserve"> </w:t>
                          </w:r>
                          <w:r w:rsidRPr="00CE7F47">
                            <w:rPr>
                              <w:b/>
                              <w:bCs/>
                            </w:rPr>
                            <w:fldChar w:fldCharType="begin"/>
                          </w:r>
                          <w:r w:rsidRPr="00CE7F47">
                            <w:rPr>
                              <w:b/>
                              <w:bCs/>
                              <w:lang w:val="en-US"/>
                            </w:rPr>
                            <w:instrText>styleref href</w:instrText>
                          </w:r>
                          <w:r w:rsidRPr="00CE7F47">
                            <w:rPr>
                              <w:b/>
                              <w:bCs/>
                            </w:rPr>
                            <w:fldChar w:fldCharType="separate"/>
                          </w:r>
                          <w:r w:rsidR="006A0076">
                            <w:rPr>
                              <w:b/>
                              <w:bCs/>
                              <w:noProof/>
                              <w:lang w:val="en-US"/>
                            </w:rPr>
                            <w:t>A.6</w:t>
                          </w:r>
                          <w:r w:rsidRPr="00CE7F47">
                            <w:rPr>
                              <w:b/>
                              <w:bCs/>
                            </w:rPr>
                            <w:fldChar w:fldCharType="end"/>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E027" id="_x0000_t202" coordsize="21600,21600" o:spt="202" path="m,l,21600r21600,l21600,xe">
              <v:stroke joinstyle="miter"/>
              <v:path gradientshapeok="t" o:connecttype="rect"/>
            </v:shapetype>
            <v:shape id="_x0000_s1027" type="#_x0000_t202" style="position:absolute;left:0;text-align:left;margin-left:-50.85pt;margin-top:26.55pt;width:44.4pt;height:47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" filled="f" stroked="f">
              <v:textbox style="layout-flow:vertical-ideographic">
                <w:txbxContent>
                  <w:p w14:paraId="4A2CE57D" w14:textId="29EB15E7" w:rsidR="004E4CA9" w:rsidRPr="0057705A" w:rsidRDefault="004E4CA9" w:rsidP="004F0795">
                    <w:pPr>
                      <w:spacing w:before="0"/>
                      <w:jc w:val="left"/>
                      <w:rPr>
                        <w:lang w:val="en-GB"/>
                      </w:rPr>
                    </w:pPr>
                    <w:r w:rsidRPr="0057705A">
                      <w:rPr>
                        <w:lang w:val="en-US"/>
                      </w:rPr>
                      <w:fldChar w:fldCharType="begin"/>
                    </w:r>
                    <w:r w:rsidRPr="0057705A">
                      <w:rPr>
                        <w:lang w:val="en-US"/>
                      </w:rPr>
                      <w:instrText xml:space="preserve"> DOCPROPERTY  "Part II"  \* MERGEFORMAT </w:instrText>
                    </w:r>
                    <w:r w:rsidRPr="0057705A">
                      <w:rPr>
                        <w:lang w:val="en-US"/>
                      </w:rPr>
                      <w:fldChar w:fldCharType="separate"/>
                    </w:r>
                    <w:r w:rsidR="006A0076">
                      <w:rPr>
                        <w:lang w:val="en-US"/>
                      </w:rPr>
                      <w:t>II</w:t>
                    </w:r>
                    <w:r w:rsidRPr="0057705A">
                      <w:rPr>
                        <w:lang w:val="en-US"/>
                      </w:rPr>
                      <w:fldChar w:fldCharType="end"/>
                    </w:r>
                    <w:r w:rsidRPr="0057705A">
                      <w:rPr>
                        <w:lang w:val="en-US"/>
                      </w:rPr>
                      <w:t>-</w:t>
                    </w:r>
                    <w:r w:rsidRPr="0057705A">
                      <w:fldChar w:fldCharType="begin"/>
                    </w:r>
                    <w:r w:rsidRPr="0057705A">
                      <w:rPr>
                        <w:lang w:val="en-US"/>
                      </w:rPr>
                      <w:instrText xml:space="preserve"> PAGE  \* MERGEFORMAT </w:instrText>
                    </w:r>
                    <w:r w:rsidRPr="0057705A">
                      <w:fldChar w:fldCharType="separate"/>
                    </w:r>
                    <w:r>
                      <w:rPr>
                        <w:noProof/>
                        <w:lang w:val="en-US"/>
                      </w:rPr>
                      <w:t>54</w:t>
                    </w:r>
                    <w:r w:rsidRPr="0057705A">
                      <w:fldChar w:fldCharType="end"/>
                    </w:r>
                    <w:r>
                      <w:tab/>
                    </w:r>
                    <w:r w:rsidRPr="006035C5">
                      <w:rPr>
                        <w:b/>
                        <w:bCs/>
                        <w:lang w:val="en-US"/>
                      </w:rPr>
                      <w:t>WTSA-20</w:t>
                    </w:r>
                    <w:r w:rsidRPr="00CE7F47">
                      <w:rPr>
                        <w:b/>
                        <w:bCs/>
                        <w:lang w:val="en-US"/>
                      </w:rPr>
                      <w:t xml:space="preserve"> Proceedings – </w:t>
                    </w:r>
                    <w:r w:rsidRPr="00CE7F47">
                      <w:rPr>
                        <w:b/>
                        <w:bCs/>
                      </w:rPr>
                      <w:fldChar w:fldCharType="begin"/>
                    </w:r>
                    <w:r w:rsidRPr="00CE7F47">
                      <w:rPr>
                        <w:b/>
                        <w:bCs/>
                      </w:rPr>
                      <w:instrText xml:space="preserve"> DOCPROPERTY "Footer 2" \* MERGEFORMAT </w:instrText>
                    </w:r>
                    <w:r w:rsidRPr="00CE7F47">
                      <w:rPr>
                        <w:b/>
                        <w:bCs/>
                      </w:rPr>
                      <w:fldChar w:fldCharType="separate"/>
                    </w:r>
                    <w:r w:rsidR="006A0076" w:rsidRPr="006A0076">
                      <w:rPr>
                        <w:b/>
                        <w:bCs/>
                        <w:lang w:val="en-US"/>
                      </w:rPr>
                      <w:t>Part II – Recommendation</w:t>
                    </w:r>
                    <w:r w:rsidRPr="00CE7F47">
                      <w:rPr>
                        <w:b/>
                        <w:bCs/>
                        <w:lang w:val="en-US"/>
                      </w:rPr>
                      <w:fldChar w:fldCharType="end"/>
                    </w:r>
                    <w:r w:rsidRPr="00CE7F47">
                      <w:rPr>
                        <w:b/>
                        <w:bCs/>
                      </w:rPr>
                      <w:t xml:space="preserve"> ITU-T</w:t>
                    </w:r>
                    <w:r w:rsidRPr="00CE7F47">
                      <w:rPr>
                        <w:b/>
                        <w:bCs/>
                        <w:lang w:val="en-US"/>
                      </w:rPr>
                      <w:t xml:space="preserve"> </w:t>
                    </w:r>
                    <w:r w:rsidRPr="00CE7F47">
                      <w:rPr>
                        <w:b/>
                        <w:bCs/>
                      </w:rPr>
                      <w:fldChar w:fldCharType="begin"/>
                    </w:r>
                    <w:r w:rsidRPr="00CE7F47">
                      <w:rPr>
                        <w:b/>
                        <w:bCs/>
                        <w:lang w:val="en-US"/>
                      </w:rPr>
                      <w:instrText>styleref href</w:instrText>
                    </w:r>
                    <w:r w:rsidRPr="00CE7F47">
                      <w:rPr>
                        <w:b/>
                        <w:bCs/>
                      </w:rPr>
                      <w:fldChar w:fldCharType="separate"/>
                    </w:r>
                    <w:r w:rsidR="006A0076">
                      <w:rPr>
                        <w:b/>
                        <w:bCs/>
                        <w:noProof/>
                        <w:lang w:val="en-US"/>
                      </w:rPr>
                      <w:t>A.6</w:t>
                    </w:r>
                    <w:r w:rsidRPr="00CE7F47">
                      <w:rPr>
                        <w:b/>
                        <w:bCs/>
                      </w:rPr>
                      <w:fldChar w:fldCharType="end"/>
                    </w:r>
                  </w:p>
                </w:txbxContent>
              </v:textbox>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47678" w14:textId="05829F47" w:rsidR="004E4CA9" w:rsidRPr="00C72A8E" w:rsidRDefault="004E4CA9" w:rsidP="008C3E8D"/>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EB26B" w14:textId="77777777" w:rsidR="004E4CA9" w:rsidRPr="00851FC5" w:rsidRDefault="004E4CA9" w:rsidP="008C3E8D">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14384" w14:textId="77777777" w:rsidR="004E4CA9" w:rsidRPr="00851FC5" w:rsidRDefault="004E4CA9" w:rsidP="008C3E8D">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0E49E" w14:textId="77777777" w:rsidR="004E4CA9" w:rsidRPr="00851FC5" w:rsidRDefault="004E4CA9" w:rsidP="008C3E8D">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20B09" w14:textId="77777777" w:rsidR="004E4CA9" w:rsidRPr="00851FC5" w:rsidRDefault="004E4CA9" w:rsidP="008C3E8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8A344" w14:textId="77777777" w:rsidR="004E4CA9" w:rsidRDefault="004E4CA9">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3BD8F" w14:textId="77777777" w:rsidR="004E4CA9" w:rsidRPr="00851FC5" w:rsidRDefault="004E4CA9" w:rsidP="008C3E8D">
    <w:pPr>
      <w:pStyle w:val="Header"/>
    </w:pPr>
    <w:r>
      <w:rPr>
        <w:noProof/>
        <w:lang w:val="en-US" w:eastAsia="zh-CN"/>
      </w:rPr>
      <mc:AlternateContent>
        <mc:Choice Requires="wps">
          <w:drawing>
            <wp:anchor distT="0" distB="0" distL="114300" distR="114300" simplePos="0" relativeHeight="251677696" behindDoc="0" locked="0" layoutInCell="1" allowOverlap="1" wp14:anchorId="3F0AB983" wp14:editId="197BBF7E">
              <wp:simplePos x="0" y="0"/>
              <wp:positionH relativeFrom="margin">
                <wp:posOffset>-640080</wp:posOffset>
              </wp:positionH>
              <wp:positionV relativeFrom="paragraph">
                <wp:posOffset>584723</wp:posOffset>
              </wp:positionV>
              <wp:extent cx="563982" cy="6086247"/>
              <wp:effectExtent l="0" t="0" r="0" b="0"/>
              <wp:wrapNone/>
              <wp:docPr id="3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2" cy="60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C993B" w14:textId="6C408AA8" w:rsidR="004E4CA9" w:rsidRPr="000D3B09" w:rsidRDefault="004E4CA9" w:rsidP="000D3B09">
                          <w:pPr>
                            <w:spacing w:before="0"/>
                            <w:jc w:val="left"/>
                            <w:rPr>
                              <w:b/>
                              <w:bCs/>
                              <w:lang w:val="en-US"/>
                            </w:rPr>
                          </w:pPr>
                          <w:r>
                            <w:rPr>
                              <w:b/>
                              <w:bCs/>
                            </w:rPr>
                            <w:tab/>
                          </w:r>
                          <w:r>
                            <w:rPr>
                              <w:b/>
                              <w:bCs/>
                            </w:rPr>
                            <w:tab/>
                          </w:r>
                          <w:r>
                            <w:rPr>
                              <w:b/>
                              <w:bCs/>
                            </w:rPr>
                            <w:tab/>
                          </w:r>
                          <w:r w:rsidRPr="000D3B09">
                            <w:rPr>
                              <w:b/>
                              <w:bCs/>
                            </w:rPr>
                            <w:tab/>
                          </w:r>
                          <w:r w:rsidRPr="000D3B09">
                            <w:rPr>
                              <w:b/>
                              <w:bCs/>
                            </w:rPr>
                            <w:tab/>
                          </w:r>
                          <w:r w:rsidRPr="000D3B09">
                            <w:rPr>
                              <w:b/>
                              <w:bCs/>
                              <w:lang w:val="en-US"/>
                            </w:rPr>
                            <w:t xml:space="preserve">WTSA-20 Proceedings – </w:t>
                          </w:r>
                          <w:r w:rsidRPr="000D3B09">
                            <w:rPr>
                              <w:b/>
                              <w:bCs/>
                            </w:rPr>
                            <w:fldChar w:fldCharType="begin"/>
                          </w:r>
                          <w:r w:rsidRPr="000D3B09">
                            <w:rPr>
                              <w:b/>
                              <w:bCs/>
                            </w:rPr>
                            <w:instrText xml:space="preserve"> DOCPROPERTY "Footer 2" \* MERGEFORMAT </w:instrText>
                          </w:r>
                          <w:r w:rsidRPr="000D3B09">
                            <w:rPr>
                              <w:b/>
                              <w:bCs/>
                            </w:rPr>
                            <w:fldChar w:fldCharType="separate"/>
                          </w:r>
                          <w:r w:rsidR="006A0076" w:rsidRPr="006A0076">
                            <w:rPr>
                              <w:b/>
                              <w:bCs/>
                              <w:lang w:val="en-US"/>
                            </w:rPr>
                            <w:t>Part II – Recommendation</w:t>
                          </w:r>
                          <w:r w:rsidRPr="000D3B09">
                            <w:rPr>
                              <w:b/>
                              <w:bCs/>
                              <w:lang w:val="en-US"/>
                            </w:rPr>
                            <w:fldChar w:fldCharType="end"/>
                          </w:r>
                          <w:r w:rsidRPr="000D3B09">
                            <w:rPr>
                              <w:b/>
                              <w:bCs/>
                            </w:rPr>
                            <w:t xml:space="preserve"> ITU-T</w:t>
                          </w:r>
                          <w:r w:rsidRPr="000D3B09">
                            <w:rPr>
                              <w:b/>
                              <w:bCs/>
                              <w:lang w:val="en-US"/>
                            </w:rPr>
                            <w:t xml:space="preserve"> </w:t>
                          </w:r>
                          <w:r w:rsidRPr="000D3B09">
                            <w:rPr>
                              <w:b/>
                              <w:bCs/>
                            </w:rPr>
                            <w:fldChar w:fldCharType="begin"/>
                          </w:r>
                          <w:r w:rsidRPr="000D3B09">
                            <w:rPr>
                              <w:b/>
                              <w:bCs/>
                              <w:lang w:val="en-US"/>
                            </w:rPr>
                            <w:instrText>styleref href</w:instrText>
                          </w:r>
                          <w:r w:rsidRPr="000D3B09">
                            <w:rPr>
                              <w:b/>
                              <w:bCs/>
                            </w:rPr>
                            <w:fldChar w:fldCharType="separate"/>
                          </w:r>
                          <w:r w:rsidR="006A0076">
                            <w:rPr>
                              <w:b/>
                              <w:bCs/>
                              <w:noProof/>
                              <w:lang w:val="en-US"/>
                            </w:rPr>
                            <w:t>A.8</w:t>
                          </w:r>
                          <w:r w:rsidRPr="000D3B09">
                            <w:rPr>
                              <w:b/>
                              <w:bCs/>
                              <w:lang w:val="en-US"/>
                            </w:rPr>
                            <w:fldChar w:fldCharType="end"/>
                          </w:r>
                          <w:r w:rsidRPr="000D3B09">
                            <w:rPr>
                              <w:b/>
                              <w:bCs/>
                              <w:lang w:val="en-US"/>
                            </w:rPr>
                            <w:tab/>
                          </w:r>
                          <w:r w:rsidRPr="000D3B09">
                            <w:rPr>
                              <w:lang w:val="en-US"/>
                            </w:rPr>
                            <w:fldChar w:fldCharType="begin"/>
                          </w:r>
                          <w:r w:rsidRPr="000D3B09">
                            <w:rPr>
                              <w:lang w:val="en-US"/>
                            </w:rPr>
                            <w:instrText xml:space="preserve"> DOCPROPERTY  "Part II"  \* MERGEFORMAT </w:instrText>
                          </w:r>
                          <w:r w:rsidRPr="000D3B09">
                            <w:rPr>
                              <w:lang w:val="en-US"/>
                            </w:rPr>
                            <w:fldChar w:fldCharType="separate"/>
                          </w:r>
                          <w:r w:rsidR="006A0076">
                            <w:rPr>
                              <w:lang w:val="en-US"/>
                            </w:rPr>
                            <w:t>II</w:t>
                          </w:r>
                          <w:r w:rsidRPr="000D3B09">
                            <w:rPr>
                              <w:lang w:val="en-US"/>
                            </w:rPr>
                            <w:fldChar w:fldCharType="end"/>
                          </w:r>
                          <w:r w:rsidRPr="000D3B09">
                            <w:rPr>
                              <w:lang w:val="en-US"/>
                            </w:rPr>
                            <w:t>-</w:t>
                          </w:r>
                          <w:r w:rsidRPr="000D3B09">
                            <w:fldChar w:fldCharType="begin"/>
                          </w:r>
                          <w:r w:rsidRPr="000D3B09">
                            <w:rPr>
                              <w:lang w:val="en-US"/>
                            </w:rPr>
                            <w:instrText xml:space="preserve"> PAGE  \* MERGEFORMAT </w:instrText>
                          </w:r>
                          <w:r w:rsidRPr="000D3B09">
                            <w:fldChar w:fldCharType="separate"/>
                          </w:r>
                          <w:r w:rsidRPr="00292204">
                            <w:rPr>
                              <w:noProof/>
                            </w:rPr>
                            <w:t>73</w:t>
                          </w:r>
                          <w:r w:rsidRPr="000D3B09">
                            <w:rPr>
                              <w:lang w:val="en-US"/>
                            </w:rPr>
                            <w:fldChar w:fldCharType="end"/>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AB983" id="_x0000_t202" coordsize="21600,21600" o:spt="202" path="m,l,21600r21600,l21600,xe">
              <v:stroke joinstyle="miter"/>
              <v:path gradientshapeok="t" o:connecttype="rect"/>
            </v:shapetype>
            <v:shape id="_x0000_s1028" type="#_x0000_t202" style="position:absolute;left:0;text-align:left;margin-left:-50.4pt;margin-top:46.05pt;width:44.4pt;height:47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" filled="f" stroked="f">
              <v:textbox style="layout-flow:vertical-ideographic">
                <w:txbxContent>
                  <w:p w14:paraId="328C993B" w14:textId="6C408AA8" w:rsidR="004E4CA9" w:rsidRPr="000D3B09" w:rsidRDefault="004E4CA9" w:rsidP="000D3B09">
                    <w:pPr>
                      <w:spacing w:before="0"/>
                      <w:jc w:val="left"/>
                      <w:rPr>
                        <w:b/>
                        <w:bCs/>
                        <w:lang w:val="en-US"/>
                      </w:rPr>
                    </w:pPr>
                    <w:r>
                      <w:rPr>
                        <w:b/>
                        <w:bCs/>
                      </w:rPr>
                      <w:tab/>
                    </w:r>
                    <w:r>
                      <w:rPr>
                        <w:b/>
                        <w:bCs/>
                      </w:rPr>
                      <w:tab/>
                    </w:r>
                    <w:r>
                      <w:rPr>
                        <w:b/>
                        <w:bCs/>
                      </w:rPr>
                      <w:tab/>
                    </w:r>
                    <w:r w:rsidRPr="000D3B09">
                      <w:rPr>
                        <w:b/>
                        <w:bCs/>
                      </w:rPr>
                      <w:tab/>
                    </w:r>
                    <w:r w:rsidRPr="000D3B09">
                      <w:rPr>
                        <w:b/>
                        <w:bCs/>
                      </w:rPr>
                      <w:tab/>
                    </w:r>
                    <w:r w:rsidRPr="000D3B09">
                      <w:rPr>
                        <w:b/>
                        <w:bCs/>
                        <w:lang w:val="en-US"/>
                      </w:rPr>
                      <w:t xml:space="preserve">WTSA-20 Proceedings – </w:t>
                    </w:r>
                    <w:r w:rsidRPr="000D3B09">
                      <w:rPr>
                        <w:b/>
                        <w:bCs/>
                      </w:rPr>
                      <w:fldChar w:fldCharType="begin"/>
                    </w:r>
                    <w:r w:rsidRPr="000D3B09">
                      <w:rPr>
                        <w:b/>
                        <w:bCs/>
                      </w:rPr>
                      <w:instrText xml:space="preserve"> DOCPROPERTY "Footer 2" \* MERGEFORMAT </w:instrText>
                    </w:r>
                    <w:r w:rsidRPr="000D3B09">
                      <w:rPr>
                        <w:b/>
                        <w:bCs/>
                      </w:rPr>
                      <w:fldChar w:fldCharType="separate"/>
                    </w:r>
                    <w:r w:rsidR="006A0076" w:rsidRPr="006A0076">
                      <w:rPr>
                        <w:b/>
                        <w:bCs/>
                        <w:lang w:val="en-US"/>
                      </w:rPr>
                      <w:t>Part II – Recommendation</w:t>
                    </w:r>
                    <w:r w:rsidRPr="000D3B09">
                      <w:rPr>
                        <w:b/>
                        <w:bCs/>
                        <w:lang w:val="en-US"/>
                      </w:rPr>
                      <w:fldChar w:fldCharType="end"/>
                    </w:r>
                    <w:r w:rsidRPr="000D3B09">
                      <w:rPr>
                        <w:b/>
                        <w:bCs/>
                      </w:rPr>
                      <w:t xml:space="preserve"> ITU-T</w:t>
                    </w:r>
                    <w:r w:rsidRPr="000D3B09">
                      <w:rPr>
                        <w:b/>
                        <w:bCs/>
                        <w:lang w:val="en-US"/>
                      </w:rPr>
                      <w:t xml:space="preserve"> </w:t>
                    </w:r>
                    <w:r w:rsidRPr="000D3B09">
                      <w:rPr>
                        <w:b/>
                        <w:bCs/>
                      </w:rPr>
                      <w:fldChar w:fldCharType="begin"/>
                    </w:r>
                    <w:r w:rsidRPr="000D3B09">
                      <w:rPr>
                        <w:b/>
                        <w:bCs/>
                        <w:lang w:val="en-US"/>
                      </w:rPr>
                      <w:instrText>styleref href</w:instrText>
                    </w:r>
                    <w:r w:rsidRPr="000D3B09">
                      <w:rPr>
                        <w:b/>
                        <w:bCs/>
                      </w:rPr>
                      <w:fldChar w:fldCharType="separate"/>
                    </w:r>
                    <w:r w:rsidR="006A0076">
                      <w:rPr>
                        <w:b/>
                        <w:bCs/>
                        <w:noProof/>
                        <w:lang w:val="en-US"/>
                      </w:rPr>
                      <w:t>A.8</w:t>
                    </w:r>
                    <w:r w:rsidRPr="000D3B09">
                      <w:rPr>
                        <w:b/>
                        <w:bCs/>
                        <w:lang w:val="en-US"/>
                      </w:rPr>
                      <w:fldChar w:fldCharType="end"/>
                    </w:r>
                    <w:r w:rsidRPr="000D3B09">
                      <w:rPr>
                        <w:b/>
                        <w:bCs/>
                        <w:lang w:val="en-US"/>
                      </w:rPr>
                      <w:tab/>
                    </w:r>
                    <w:r w:rsidRPr="000D3B09">
                      <w:rPr>
                        <w:lang w:val="en-US"/>
                      </w:rPr>
                      <w:fldChar w:fldCharType="begin"/>
                    </w:r>
                    <w:r w:rsidRPr="000D3B09">
                      <w:rPr>
                        <w:lang w:val="en-US"/>
                      </w:rPr>
                      <w:instrText xml:space="preserve"> DOCPROPERTY  "Part II"  \* MERGEFORMAT </w:instrText>
                    </w:r>
                    <w:r w:rsidRPr="000D3B09">
                      <w:rPr>
                        <w:lang w:val="en-US"/>
                      </w:rPr>
                      <w:fldChar w:fldCharType="separate"/>
                    </w:r>
                    <w:r w:rsidR="006A0076">
                      <w:rPr>
                        <w:lang w:val="en-US"/>
                      </w:rPr>
                      <w:t>II</w:t>
                    </w:r>
                    <w:r w:rsidRPr="000D3B09">
                      <w:rPr>
                        <w:lang w:val="en-US"/>
                      </w:rPr>
                      <w:fldChar w:fldCharType="end"/>
                    </w:r>
                    <w:r w:rsidRPr="000D3B09">
                      <w:rPr>
                        <w:lang w:val="en-US"/>
                      </w:rPr>
                      <w:t>-</w:t>
                    </w:r>
                    <w:r w:rsidRPr="000D3B09">
                      <w:fldChar w:fldCharType="begin"/>
                    </w:r>
                    <w:r w:rsidRPr="000D3B09">
                      <w:rPr>
                        <w:lang w:val="en-US"/>
                      </w:rPr>
                      <w:instrText xml:space="preserve"> PAGE  \* MERGEFORMAT </w:instrText>
                    </w:r>
                    <w:r w:rsidRPr="000D3B09">
                      <w:fldChar w:fldCharType="separate"/>
                    </w:r>
                    <w:r w:rsidRPr="00292204">
                      <w:rPr>
                        <w:noProof/>
                      </w:rPr>
                      <w:t>73</w:t>
                    </w:r>
                    <w:r w:rsidRPr="000D3B09">
                      <w:rPr>
                        <w:lang w:val="en-US"/>
                      </w:rPr>
                      <w:fldChar w:fldCharType="end"/>
                    </w:r>
                  </w:p>
                </w:txbxContent>
              </v:textbox>
              <w10:wrap anchorx="margin"/>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87DFB" w14:textId="77777777" w:rsidR="004E4CA9" w:rsidRPr="00851FC5" w:rsidRDefault="004E4CA9" w:rsidP="008C3E8D">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41197" w14:textId="77777777" w:rsidR="004E4CA9" w:rsidRPr="00851FC5" w:rsidRDefault="004E4CA9" w:rsidP="008C3E8D">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DFC34" w14:textId="77777777" w:rsidR="004E4CA9" w:rsidRPr="005E59B1" w:rsidRDefault="004E4CA9" w:rsidP="008C3E8D">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8CD4C" w14:textId="77777777" w:rsidR="004E4CA9" w:rsidRPr="00C72D5C" w:rsidRDefault="004E4CA9" w:rsidP="008C3E8D">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12922" w14:textId="77777777" w:rsidR="004E4CA9" w:rsidRDefault="004E4CA9">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40312" w14:textId="77777777" w:rsidR="004E4CA9" w:rsidRDefault="004E4CA9">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604B8" w14:textId="77777777" w:rsidR="004E4CA9" w:rsidRDefault="004E4CA9">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65364" w14:textId="77777777" w:rsidR="004E4CA9" w:rsidRDefault="004E4CA9">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80E9C" w14:textId="77777777" w:rsidR="004E4CA9" w:rsidRPr="009A6F9D" w:rsidRDefault="004E4CA9" w:rsidP="008C3E8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349BB" w14:textId="77777777" w:rsidR="004E4CA9" w:rsidRDefault="004E4CA9"/>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7800B" w14:textId="77777777" w:rsidR="004E4CA9" w:rsidRPr="009A6F9D" w:rsidRDefault="004E4CA9" w:rsidP="008C3E8D">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0BB4B" w14:textId="77777777" w:rsidR="004E4CA9" w:rsidRPr="00B94CFF" w:rsidRDefault="004E4CA9" w:rsidP="008C3E8D">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C0532" w14:textId="77777777" w:rsidR="004E4CA9" w:rsidRPr="00B94CFF" w:rsidRDefault="004E4CA9" w:rsidP="008C3E8D">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90D59" w14:textId="77777777" w:rsidR="004E4CA9" w:rsidRDefault="004E4CA9">
    <w:pPr>
      <w:ind w:right="360" w:firstLine="360"/>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33E31" w14:textId="77777777" w:rsidR="004E4CA9" w:rsidRDefault="004E4CA9">
    <w:pPr>
      <w:ind w:right="360" w:firstLine="360"/>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0C683" w14:textId="77777777" w:rsidR="004E4CA9" w:rsidRDefault="004E4CA9">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C9D83" w14:textId="77777777" w:rsidR="004E4CA9" w:rsidRPr="00B72497" w:rsidRDefault="004E4CA9" w:rsidP="008C3E8D">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76A18" w14:textId="77777777" w:rsidR="004E4CA9" w:rsidRPr="00B72497" w:rsidRDefault="004E4CA9" w:rsidP="008C3E8D">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35654" w14:textId="77777777" w:rsidR="004E4CA9" w:rsidRDefault="004E4CA9">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86427" w14:textId="77777777" w:rsidR="004E4CA9" w:rsidRPr="00C56E9C" w:rsidRDefault="004E4CA9" w:rsidP="008C3E8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3E755" w14:textId="77777777" w:rsidR="004E4CA9" w:rsidRPr="00896F54" w:rsidRDefault="004E4CA9" w:rsidP="00896F54">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26118" w14:textId="77777777" w:rsidR="004E4CA9" w:rsidRPr="00C56E9C" w:rsidRDefault="004E4CA9" w:rsidP="008C3E8D">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235F3" w14:textId="77777777" w:rsidR="004E4CA9" w:rsidRPr="00C56E9C" w:rsidRDefault="004E4CA9" w:rsidP="008C3E8D">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A117B" w14:textId="77777777" w:rsidR="004E4CA9" w:rsidRPr="00C56E9C" w:rsidRDefault="004E4CA9" w:rsidP="008C3E8D">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62545" w14:textId="77777777" w:rsidR="004E4CA9" w:rsidRPr="00C56E9C" w:rsidRDefault="004E4CA9" w:rsidP="008C3E8D">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0A42E" w14:textId="77777777" w:rsidR="004E4CA9" w:rsidRPr="00C56E9C" w:rsidRDefault="004E4CA9" w:rsidP="008C3E8D">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12D11" w14:textId="77777777" w:rsidR="004E4CA9" w:rsidRPr="00C56E9C" w:rsidRDefault="004E4CA9" w:rsidP="008C3E8D">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0E107" w14:textId="77777777" w:rsidR="004E4CA9" w:rsidRPr="00C56E9C" w:rsidRDefault="004E4CA9" w:rsidP="008C3E8D">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5D44C" w14:textId="77777777" w:rsidR="004E4CA9" w:rsidRPr="00C56E9C" w:rsidRDefault="004E4CA9" w:rsidP="008C3E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49F3A" w14:textId="77777777" w:rsidR="004E4CA9" w:rsidRDefault="004E4CA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810A5" w14:textId="77777777" w:rsidR="004E4CA9" w:rsidRDefault="004E4CA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9803D" w14:textId="77777777" w:rsidR="004E4CA9" w:rsidRDefault="004E4CA9"/>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55347" w14:textId="77777777" w:rsidR="004E4CA9" w:rsidRPr="00896F54" w:rsidRDefault="004E4CA9" w:rsidP="00896F5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71B32" w14:textId="77777777" w:rsidR="004E4CA9" w:rsidRDefault="004E4CA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66FB9" w14:textId="77777777" w:rsidR="004E4CA9" w:rsidRDefault="004E4CA9"/>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7BE40" w14:textId="77777777" w:rsidR="004E4CA9" w:rsidRPr="00896F54" w:rsidRDefault="004E4CA9" w:rsidP="00896F5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5DF2C" w14:textId="77777777" w:rsidR="004E4CA9" w:rsidRDefault="004E4CA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12978" w14:textId="77777777" w:rsidR="004E4CA9" w:rsidRDefault="004E4CA9"/>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8CD94" w14:textId="77777777" w:rsidR="004E4CA9" w:rsidRDefault="004E4CA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E5C53" w14:textId="77777777" w:rsidR="004E4CA9" w:rsidRDefault="004E4CA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2BE33" w14:textId="77777777" w:rsidR="004E4CA9" w:rsidRDefault="004E4CA9"/>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3CF7D" w14:textId="77777777" w:rsidR="004E4CA9" w:rsidRPr="00896F54" w:rsidRDefault="004E4CA9" w:rsidP="00896F5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66EE7" w14:textId="77777777" w:rsidR="004E4CA9" w:rsidRDefault="004E4CA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8E82B" w14:textId="77777777" w:rsidR="004E4CA9" w:rsidRDefault="004E4CA9"/>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9900C" w14:textId="77777777" w:rsidR="004E4CA9" w:rsidRDefault="004E4CA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6C8E7" w14:textId="77777777" w:rsidR="004E4CA9" w:rsidRDefault="004E4CA9"/>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3CA96" w14:textId="77777777" w:rsidR="004E4CA9" w:rsidRDefault="004E4CA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6E735" w14:textId="77777777" w:rsidR="004E4CA9" w:rsidRDefault="004E4CA9"/>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880FF" w14:textId="77777777" w:rsidR="004E4CA9" w:rsidRDefault="004E4CA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225F4" w14:textId="77777777" w:rsidR="004E4CA9" w:rsidRDefault="004E4CA9"/>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669E9" w14:textId="77777777" w:rsidR="004E4CA9" w:rsidRPr="00896F54" w:rsidRDefault="004E4CA9" w:rsidP="00896F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2F9D3" w14:textId="77777777" w:rsidR="004E4CA9" w:rsidRPr="00896F54" w:rsidRDefault="004E4CA9" w:rsidP="00896F5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CDF33" w14:textId="77777777" w:rsidR="004E4CA9" w:rsidRDefault="004E4CA9">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98A99" w14:textId="77777777" w:rsidR="004E4CA9" w:rsidRDefault="004E4CA9"/>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064C1" w14:textId="77777777" w:rsidR="004E4CA9" w:rsidRDefault="004E4CA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6C7F3" w14:textId="77777777" w:rsidR="004E4CA9" w:rsidRDefault="004E4CA9">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9380A" w14:textId="77777777" w:rsidR="004E4CA9" w:rsidRDefault="004E4CA9"/>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F5B0C" w14:textId="77777777" w:rsidR="004E4CA9" w:rsidRDefault="004E4CA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6C875" w14:textId="77777777" w:rsidR="004E4CA9" w:rsidRDefault="004E4CA9"/>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EE9FF" w14:textId="77777777" w:rsidR="004E4CA9" w:rsidRPr="00896F54" w:rsidRDefault="004E4CA9" w:rsidP="00896F5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BB875" w14:textId="77777777" w:rsidR="004E4CA9" w:rsidRDefault="004E4CA9">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54D37" w14:textId="77777777" w:rsidR="004E4CA9" w:rsidRDefault="004E4CA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254F5" w14:textId="77777777" w:rsidR="004E4CA9" w:rsidRDefault="004E4CA9">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C391D" w14:textId="77777777" w:rsidR="004E4CA9" w:rsidRPr="00896F54" w:rsidRDefault="004E4CA9" w:rsidP="00896F54">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FEF1B" w14:textId="77777777" w:rsidR="004E4CA9" w:rsidRDefault="004E4CA9">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9E649" w14:textId="77777777" w:rsidR="004E4CA9" w:rsidRDefault="004E4CA9"/>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71C14" w14:textId="77777777" w:rsidR="004E4CA9" w:rsidRPr="00896F54" w:rsidRDefault="004E4CA9" w:rsidP="00896F54">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6A28D" w14:textId="77777777" w:rsidR="004E4CA9" w:rsidRDefault="004E4CA9">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F72C1" w14:textId="77777777" w:rsidR="004E4CA9" w:rsidRDefault="004E4CA9"/>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CAB47" w14:textId="77777777" w:rsidR="004E4CA9" w:rsidRPr="00896F54" w:rsidRDefault="004E4CA9" w:rsidP="00896F5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29F2C" w14:textId="77777777" w:rsidR="004E4CA9" w:rsidRDefault="004E4CA9">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6E552" w14:textId="77777777" w:rsidR="004E4CA9" w:rsidRDefault="004E4CA9"/>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4D4BD" w14:textId="77777777" w:rsidR="004E4CA9" w:rsidRPr="00896F54" w:rsidRDefault="004E4CA9" w:rsidP="00896F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E5D54" w14:textId="77777777" w:rsidR="004E4CA9" w:rsidRDefault="004E4CA9"/>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04875" w14:textId="77777777" w:rsidR="004E4CA9" w:rsidRDefault="004E4CA9">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40B99" w14:textId="77777777" w:rsidR="004E4CA9" w:rsidRDefault="004E4CA9"/>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15DB8" w14:textId="77777777" w:rsidR="004E4CA9" w:rsidRPr="00896F54" w:rsidRDefault="004E4CA9" w:rsidP="00896F54">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D5FAA" w14:textId="77777777" w:rsidR="004E4CA9" w:rsidRDefault="004E4CA9">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50A46" w14:textId="77777777" w:rsidR="004E4CA9" w:rsidRDefault="004E4CA9"/>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147D0" w14:textId="77777777" w:rsidR="004E4CA9" w:rsidRPr="00896F54" w:rsidRDefault="004E4CA9" w:rsidP="00896F54">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F104C" w14:textId="77777777" w:rsidR="004E4CA9" w:rsidRDefault="004E4CA9">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3A683" w14:textId="77777777" w:rsidR="004E4CA9" w:rsidRDefault="004E4CA9"/>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F33A6" w14:textId="77777777" w:rsidR="004E4CA9" w:rsidRPr="00896F54" w:rsidRDefault="004E4CA9" w:rsidP="00896F54">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B6EC4" w14:textId="77777777" w:rsidR="004E4CA9" w:rsidRDefault="004E4CA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F83F8" w14:textId="77777777" w:rsidR="004E4CA9" w:rsidRPr="00896F54" w:rsidRDefault="004E4CA9" w:rsidP="00896F54">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C2C12" w14:textId="77777777" w:rsidR="004E4CA9" w:rsidRDefault="004E4CA9"/>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82E9F" w14:textId="77777777" w:rsidR="004E4CA9" w:rsidRPr="00896F54" w:rsidRDefault="004E4CA9" w:rsidP="00896F54">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BA780" w14:textId="77777777" w:rsidR="004E4CA9" w:rsidRDefault="004E4CA9">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5353E" w14:textId="77777777" w:rsidR="004E4CA9" w:rsidRDefault="004E4CA9"/>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8736F" w14:textId="77777777" w:rsidR="004E4CA9" w:rsidRPr="00896F54" w:rsidRDefault="004E4CA9" w:rsidP="00896F54">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1BF93" w14:textId="77777777" w:rsidR="004E4CA9" w:rsidRDefault="004E4CA9">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0B2FF" w14:textId="77777777" w:rsidR="004E4CA9" w:rsidRDefault="004E4CA9"/>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F8EF8" w14:textId="77777777" w:rsidR="004E4CA9" w:rsidRPr="00896F54" w:rsidRDefault="004E4CA9" w:rsidP="00896F54">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D962F" w14:textId="77777777" w:rsidR="004E4CA9" w:rsidRDefault="004E4CA9">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C26B1" w14:textId="77777777" w:rsidR="004E4CA9" w:rsidRDefault="004E4CA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F1A60" w14:textId="77777777" w:rsidR="004E4CA9" w:rsidRDefault="004E4CA9">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D82E1" w14:textId="77777777" w:rsidR="004E4CA9" w:rsidRPr="00896F54" w:rsidRDefault="004E4CA9" w:rsidP="00896F54">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89D77" w14:textId="77777777" w:rsidR="004E4CA9" w:rsidRDefault="004E4CA9">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59D68" w14:textId="77777777" w:rsidR="004E4CA9" w:rsidRDefault="004E4CA9"/>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447D6" w14:textId="77777777" w:rsidR="004E4CA9" w:rsidRPr="00896F54" w:rsidRDefault="004E4CA9" w:rsidP="00896F54">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0F19B" w14:textId="77777777" w:rsidR="004E4CA9" w:rsidRDefault="004E4CA9">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1EB50" w14:textId="77777777" w:rsidR="004E4CA9" w:rsidRDefault="004E4CA9"/>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A26F9" w14:textId="77777777" w:rsidR="004E4CA9" w:rsidRPr="00896F54" w:rsidRDefault="004E4CA9" w:rsidP="00896F54">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B70B2" w14:textId="77777777" w:rsidR="004E4CA9" w:rsidRDefault="004E4CA9">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EA123" w14:textId="77777777" w:rsidR="004E4CA9" w:rsidRDefault="004E4CA9"/>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42BA9" w14:textId="77777777" w:rsidR="004E4CA9" w:rsidRPr="00896F54" w:rsidRDefault="004E4CA9" w:rsidP="00896F5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D67C2" w14:textId="77777777" w:rsidR="004E4CA9" w:rsidRDefault="004E4CA9"/>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DA552" w14:textId="77777777" w:rsidR="004E4CA9" w:rsidRDefault="004E4CA9">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DE3B3" w14:textId="77777777" w:rsidR="004E4CA9" w:rsidRDefault="004E4CA9"/>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828D6" w14:textId="77777777" w:rsidR="004E4CA9" w:rsidRPr="00896F54" w:rsidRDefault="004E4CA9" w:rsidP="00896F54">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DA889" w14:textId="77777777" w:rsidR="004E4CA9" w:rsidRDefault="004E4CA9">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7E9B5" w14:textId="77777777" w:rsidR="004E4CA9" w:rsidRDefault="004E4CA9">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FEF4C" w14:textId="77777777" w:rsidR="004E4CA9" w:rsidRDefault="004E4CA9"/>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C9C28" w14:textId="77777777" w:rsidR="004E4CA9" w:rsidRPr="00896F54" w:rsidRDefault="004E4CA9" w:rsidP="00896F54">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DC513" w14:textId="77777777" w:rsidR="004E4CA9" w:rsidRDefault="004E4CA9">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46114" w14:textId="77777777" w:rsidR="004E4CA9" w:rsidRDefault="004E4CA9"/>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14629" w14:textId="77777777" w:rsidR="004E4CA9" w:rsidRPr="00896F54" w:rsidRDefault="004E4CA9" w:rsidP="00896F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976F2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1F072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0E71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37468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46B0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EE30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6C44F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632CB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84BC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52DE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13"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026468C7"/>
    <w:multiLevelType w:val="hybridMultilevel"/>
    <w:tmpl w:val="89E23AEA"/>
    <w:lvl w:ilvl="0" w:tplc="04090019">
      <w:start w:val="1"/>
      <w:numFmt w:val="lowerLetter"/>
      <w:lvlText w:val="%1."/>
      <w:lvlJc w:val="left"/>
      <w:pPr>
        <w:ind w:left="828" w:hanging="360"/>
      </w:pPr>
    </w:lvl>
    <w:lvl w:ilvl="1" w:tplc="AEEE95D0">
      <w:start w:val="1"/>
      <w:numFmt w:val="lowerRoman"/>
      <w:lvlText w:val="%2."/>
      <w:lvlJc w:val="right"/>
      <w:pPr>
        <w:ind w:left="1548" w:hanging="360"/>
      </w:pPr>
      <w:rPr>
        <w:lang w:val="en-GB"/>
      </w:rPr>
    </w:lvl>
    <w:lvl w:ilvl="2" w:tplc="0409001B">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6" w15:restartNumberingAfterBreak="0">
    <w:nsid w:val="02CD27D4"/>
    <w:multiLevelType w:val="hybridMultilevel"/>
    <w:tmpl w:val="452641FE"/>
    <w:lvl w:ilvl="0" w:tplc="1F208C98">
      <w:start w:val="1"/>
      <w:numFmt w:val="decimal"/>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3BD21DF"/>
    <w:multiLevelType w:val="singleLevel"/>
    <w:tmpl w:val="2498543E"/>
    <w:lvl w:ilvl="0">
      <w:start w:val="1"/>
      <w:numFmt w:val="decimal"/>
      <w:lvlText w:val="%1"/>
      <w:legacy w:legacy="1" w:legacySpace="0" w:legacyIndent="283"/>
      <w:lvlJc w:val="left"/>
      <w:pPr>
        <w:ind w:left="283" w:hanging="283"/>
      </w:pPr>
      <w:rPr>
        <w:rFonts w:cs="Times New Roman"/>
        <w:b/>
        <w:i w:val="0"/>
      </w:rPr>
    </w:lvl>
  </w:abstractNum>
  <w:abstractNum w:abstractNumId="18" w15:restartNumberingAfterBreak="0">
    <w:nsid w:val="047A77C5"/>
    <w:multiLevelType w:val="hybridMultilevel"/>
    <w:tmpl w:val="4F168CC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7C78FE"/>
    <w:multiLevelType w:val="hybridMultilevel"/>
    <w:tmpl w:val="A404B164"/>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0F83544B"/>
    <w:multiLevelType w:val="hybridMultilevel"/>
    <w:tmpl w:val="B5424E00"/>
    <w:lvl w:ilvl="0" w:tplc="19A63A02">
      <w:start w:val="22"/>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1" w15:restartNumberingAfterBreak="0">
    <w:nsid w:val="10D27D5F"/>
    <w:multiLevelType w:val="hybridMultilevel"/>
    <w:tmpl w:val="D5548896"/>
    <w:lvl w:ilvl="0" w:tplc="A678F9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195EAC"/>
    <w:multiLevelType w:val="hybridMultilevel"/>
    <w:tmpl w:val="1FF445C6"/>
    <w:lvl w:ilvl="0" w:tplc="312E07C8">
      <w:start w:val="1"/>
      <w:numFmt w:val="decimal"/>
      <w:lvlText w:val="%1)"/>
      <w:lvlJc w:val="left"/>
      <w:pPr>
        <w:ind w:left="360" w:hanging="360"/>
      </w:pPr>
      <w:rPr>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13781EE7"/>
    <w:multiLevelType w:val="hybridMultilevel"/>
    <w:tmpl w:val="96C6C8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8912C3"/>
    <w:multiLevelType w:val="hybridMultilevel"/>
    <w:tmpl w:val="89E23AEA"/>
    <w:lvl w:ilvl="0" w:tplc="04090019">
      <w:start w:val="1"/>
      <w:numFmt w:val="lowerLetter"/>
      <w:lvlText w:val="%1."/>
      <w:lvlJc w:val="left"/>
      <w:pPr>
        <w:ind w:left="828" w:hanging="360"/>
      </w:pPr>
    </w:lvl>
    <w:lvl w:ilvl="1" w:tplc="AEEE95D0">
      <w:start w:val="1"/>
      <w:numFmt w:val="lowerRoman"/>
      <w:lvlText w:val="%2."/>
      <w:lvlJc w:val="right"/>
      <w:pPr>
        <w:ind w:left="1548" w:hanging="360"/>
      </w:pPr>
      <w:rPr>
        <w:lang w:val="en-GB"/>
      </w:rPr>
    </w:lvl>
    <w:lvl w:ilvl="2" w:tplc="0409001B">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25" w15:restartNumberingAfterBreak="0">
    <w:nsid w:val="1BAA00A3"/>
    <w:multiLevelType w:val="hybridMultilevel"/>
    <w:tmpl w:val="575CBB0E"/>
    <w:lvl w:ilvl="0" w:tplc="7AC076C8">
      <w:start w:val="1"/>
      <w:numFmt w:val="bullet"/>
      <w:lvlText w:val=""/>
      <w:lvlJc w:val="left"/>
      <w:pPr>
        <w:tabs>
          <w:tab w:val="num" w:pos="1154"/>
        </w:tabs>
        <w:ind w:left="1154" w:hanging="360"/>
      </w:pPr>
      <w:rPr>
        <w:rFonts w:ascii="Symbol" w:hAnsi="Symbol" w:hint="default"/>
        <w:color w:val="auto"/>
        <w:sz w:val="20"/>
      </w:rPr>
    </w:lvl>
    <w:lvl w:ilvl="1" w:tplc="04090003" w:tentative="1">
      <w:start w:val="1"/>
      <w:numFmt w:val="bullet"/>
      <w:lvlText w:val="o"/>
      <w:lvlJc w:val="left"/>
      <w:pPr>
        <w:tabs>
          <w:tab w:val="num" w:pos="1802"/>
        </w:tabs>
        <w:ind w:left="1802" w:hanging="360"/>
      </w:pPr>
      <w:rPr>
        <w:rFonts w:ascii="Courier New" w:hAnsi="Courier New" w:cs="Courier New" w:hint="default"/>
      </w:rPr>
    </w:lvl>
    <w:lvl w:ilvl="2" w:tplc="04090005" w:tentative="1">
      <w:start w:val="1"/>
      <w:numFmt w:val="bullet"/>
      <w:lvlText w:val=""/>
      <w:lvlJc w:val="left"/>
      <w:pPr>
        <w:tabs>
          <w:tab w:val="num" w:pos="2522"/>
        </w:tabs>
        <w:ind w:left="2522" w:hanging="360"/>
      </w:pPr>
      <w:rPr>
        <w:rFonts w:ascii="Wingdings" w:hAnsi="Wingdings" w:hint="default"/>
      </w:rPr>
    </w:lvl>
    <w:lvl w:ilvl="3" w:tplc="04090001" w:tentative="1">
      <w:start w:val="1"/>
      <w:numFmt w:val="bullet"/>
      <w:lvlText w:val=""/>
      <w:lvlJc w:val="left"/>
      <w:pPr>
        <w:tabs>
          <w:tab w:val="num" w:pos="3242"/>
        </w:tabs>
        <w:ind w:left="3242" w:hanging="360"/>
      </w:pPr>
      <w:rPr>
        <w:rFonts w:ascii="Symbol" w:hAnsi="Symbol" w:hint="default"/>
      </w:rPr>
    </w:lvl>
    <w:lvl w:ilvl="4" w:tplc="04090003" w:tentative="1">
      <w:start w:val="1"/>
      <w:numFmt w:val="bullet"/>
      <w:lvlText w:val="o"/>
      <w:lvlJc w:val="left"/>
      <w:pPr>
        <w:tabs>
          <w:tab w:val="num" w:pos="3962"/>
        </w:tabs>
        <w:ind w:left="3962" w:hanging="360"/>
      </w:pPr>
      <w:rPr>
        <w:rFonts w:ascii="Courier New" w:hAnsi="Courier New" w:cs="Courier New" w:hint="default"/>
      </w:rPr>
    </w:lvl>
    <w:lvl w:ilvl="5" w:tplc="04090005" w:tentative="1">
      <w:start w:val="1"/>
      <w:numFmt w:val="bullet"/>
      <w:lvlText w:val=""/>
      <w:lvlJc w:val="left"/>
      <w:pPr>
        <w:tabs>
          <w:tab w:val="num" w:pos="4682"/>
        </w:tabs>
        <w:ind w:left="4682" w:hanging="360"/>
      </w:pPr>
      <w:rPr>
        <w:rFonts w:ascii="Wingdings" w:hAnsi="Wingdings" w:hint="default"/>
      </w:rPr>
    </w:lvl>
    <w:lvl w:ilvl="6" w:tplc="04090001" w:tentative="1">
      <w:start w:val="1"/>
      <w:numFmt w:val="bullet"/>
      <w:lvlText w:val=""/>
      <w:lvlJc w:val="left"/>
      <w:pPr>
        <w:tabs>
          <w:tab w:val="num" w:pos="5402"/>
        </w:tabs>
        <w:ind w:left="5402" w:hanging="360"/>
      </w:pPr>
      <w:rPr>
        <w:rFonts w:ascii="Symbol" w:hAnsi="Symbol" w:hint="default"/>
      </w:rPr>
    </w:lvl>
    <w:lvl w:ilvl="7" w:tplc="04090003" w:tentative="1">
      <w:start w:val="1"/>
      <w:numFmt w:val="bullet"/>
      <w:lvlText w:val="o"/>
      <w:lvlJc w:val="left"/>
      <w:pPr>
        <w:tabs>
          <w:tab w:val="num" w:pos="6122"/>
        </w:tabs>
        <w:ind w:left="6122" w:hanging="360"/>
      </w:pPr>
      <w:rPr>
        <w:rFonts w:ascii="Courier New" w:hAnsi="Courier New" w:cs="Courier New" w:hint="default"/>
      </w:rPr>
    </w:lvl>
    <w:lvl w:ilvl="8" w:tplc="04090005" w:tentative="1">
      <w:start w:val="1"/>
      <w:numFmt w:val="bullet"/>
      <w:lvlText w:val=""/>
      <w:lvlJc w:val="left"/>
      <w:pPr>
        <w:tabs>
          <w:tab w:val="num" w:pos="6842"/>
        </w:tabs>
        <w:ind w:left="6842" w:hanging="360"/>
      </w:pPr>
      <w:rPr>
        <w:rFonts w:ascii="Wingdings" w:hAnsi="Wingdings" w:hint="default"/>
      </w:rPr>
    </w:lvl>
  </w:abstractNum>
  <w:abstractNum w:abstractNumId="26" w15:restartNumberingAfterBreak="0">
    <w:nsid w:val="1D476A9F"/>
    <w:multiLevelType w:val="hybridMultilevel"/>
    <w:tmpl w:val="2A44C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5B0B6B"/>
    <w:multiLevelType w:val="hybridMultilevel"/>
    <w:tmpl w:val="7BCEF316"/>
    <w:lvl w:ilvl="0" w:tplc="D4288E3E">
      <w:numFmt w:val="bullet"/>
      <w:lvlText w:val="–"/>
      <w:lvlJc w:val="left"/>
      <w:pPr>
        <w:ind w:left="360" w:hanging="360"/>
      </w:pPr>
      <w:rPr>
        <w:rFonts w:ascii="Times New Roman" w:eastAsia="Times New Roman" w:hAnsi="Times New Roman" w:cs="Times New Roma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387268A"/>
    <w:multiLevelType w:val="multilevel"/>
    <w:tmpl w:val="0409001F"/>
    <w:styleLink w:val="1"/>
    <w:lvl w:ilvl="0">
      <w:start w:val="4"/>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15:restartNumberingAfterBreak="0">
    <w:nsid w:val="252820E5"/>
    <w:multiLevelType w:val="hybridMultilevel"/>
    <w:tmpl w:val="C2D86D8E"/>
    <w:lvl w:ilvl="0" w:tplc="D4288E3E">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D63EBF"/>
    <w:multiLevelType w:val="hybridMultilevel"/>
    <w:tmpl w:val="663A5454"/>
    <w:lvl w:ilvl="0" w:tplc="D4288E3E">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2A7071"/>
    <w:multiLevelType w:val="hybridMultilevel"/>
    <w:tmpl w:val="F984C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9F71AFD"/>
    <w:multiLevelType w:val="hybridMultilevel"/>
    <w:tmpl w:val="09A8D1CC"/>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3" w15:restartNumberingAfterBreak="0">
    <w:nsid w:val="32407C32"/>
    <w:multiLevelType w:val="hybridMultilevel"/>
    <w:tmpl w:val="3E3266A6"/>
    <w:lvl w:ilvl="0" w:tplc="F3A81AC4">
      <w:start w:val="1"/>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15:restartNumberingAfterBreak="0">
    <w:nsid w:val="36CE315D"/>
    <w:multiLevelType w:val="multilevel"/>
    <w:tmpl w:val="F19E05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3B352542"/>
    <w:multiLevelType w:val="hybridMultilevel"/>
    <w:tmpl w:val="13006BE4"/>
    <w:lvl w:ilvl="0" w:tplc="8D2EC340">
      <w:numFmt w:val="bullet"/>
      <w:lvlText w:val="−"/>
      <w:lvlJc w:val="left"/>
      <w:pPr>
        <w:ind w:left="720" w:hanging="360"/>
      </w:pPr>
      <w:rPr>
        <w:rFonts w:ascii="Garamond" w:eastAsia="MS Mincho"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C3172D"/>
    <w:multiLevelType w:val="hybridMultilevel"/>
    <w:tmpl w:val="A49C97B0"/>
    <w:lvl w:ilvl="0" w:tplc="109EBAB6">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2D07576"/>
    <w:multiLevelType w:val="hybridMultilevel"/>
    <w:tmpl w:val="02109440"/>
    <w:lvl w:ilvl="0" w:tplc="8D2EC340">
      <w:numFmt w:val="bullet"/>
      <w:lvlText w:val="−"/>
      <w:lvlJc w:val="left"/>
      <w:pPr>
        <w:ind w:left="720" w:hanging="360"/>
      </w:pPr>
      <w:rPr>
        <w:rFonts w:ascii="Garamond" w:eastAsia="MS Mincho"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8B7B55"/>
    <w:multiLevelType w:val="hybridMultilevel"/>
    <w:tmpl w:val="F0E06C6E"/>
    <w:lvl w:ilvl="0" w:tplc="E7CE4C50">
      <w:start w:val="1"/>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43A66F3F"/>
    <w:multiLevelType w:val="multilevel"/>
    <w:tmpl w:val="CB46C060"/>
    <w:lvl w:ilvl="0">
      <w:start w:val="1"/>
      <w:numFmt w:val="decimal"/>
      <w:lvlText w:val="%1"/>
      <w:lvlJc w:val="left"/>
      <w:pPr>
        <w:ind w:left="4827" w:hanging="432"/>
      </w:pPr>
      <w:rPr>
        <w:b/>
        <w:bCs/>
      </w:rPr>
    </w:lvl>
    <w:lvl w:ilvl="1">
      <w:start w:val="1"/>
      <w:numFmt w:val="decimal"/>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5440933"/>
    <w:multiLevelType w:val="hybridMultilevel"/>
    <w:tmpl w:val="C29C77EC"/>
    <w:lvl w:ilvl="0" w:tplc="AFB2E7E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8D2FA9"/>
    <w:multiLevelType w:val="hybridMultilevel"/>
    <w:tmpl w:val="89E23AEA"/>
    <w:lvl w:ilvl="0" w:tplc="04090019">
      <w:start w:val="1"/>
      <w:numFmt w:val="lowerLetter"/>
      <w:lvlText w:val="%1."/>
      <w:lvlJc w:val="left"/>
      <w:pPr>
        <w:ind w:left="828" w:hanging="360"/>
      </w:pPr>
    </w:lvl>
    <w:lvl w:ilvl="1" w:tplc="AEEE95D0">
      <w:start w:val="1"/>
      <w:numFmt w:val="lowerRoman"/>
      <w:lvlText w:val="%2."/>
      <w:lvlJc w:val="right"/>
      <w:pPr>
        <w:ind w:left="1548" w:hanging="360"/>
      </w:pPr>
      <w:rPr>
        <w:lang w:val="en-GB"/>
      </w:rPr>
    </w:lvl>
    <w:lvl w:ilvl="2" w:tplc="0409001B">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42" w15:restartNumberingAfterBreak="0">
    <w:nsid w:val="4825684F"/>
    <w:multiLevelType w:val="hybridMultilevel"/>
    <w:tmpl w:val="D46A7906"/>
    <w:lvl w:ilvl="0" w:tplc="08090001">
      <w:start w:val="1"/>
      <w:numFmt w:val="bullet"/>
      <w:lvlText w:val=""/>
      <w:lvlJc w:val="left"/>
      <w:pPr>
        <w:ind w:left="-198" w:hanging="360"/>
      </w:pPr>
      <w:rPr>
        <w:rFonts w:ascii="Symbol" w:hAnsi="Symbol" w:hint="default"/>
      </w:rPr>
    </w:lvl>
    <w:lvl w:ilvl="1" w:tplc="08090003">
      <w:start w:val="1"/>
      <w:numFmt w:val="bullet"/>
      <w:lvlText w:val="o"/>
      <w:lvlJc w:val="left"/>
      <w:pPr>
        <w:ind w:left="522" w:hanging="360"/>
      </w:pPr>
      <w:rPr>
        <w:rFonts w:ascii="Courier New" w:hAnsi="Courier New" w:cs="Courier New" w:hint="default"/>
      </w:rPr>
    </w:lvl>
    <w:lvl w:ilvl="2" w:tplc="08090005" w:tentative="1">
      <w:start w:val="1"/>
      <w:numFmt w:val="bullet"/>
      <w:lvlText w:val=""/>
      <w:lvlJc w:val="left"/>
      <w:pPr>
        <w:ind w:left="1242" w:hanging="360"/>
      </w:pPr>
      <w:rPr>
        <w:rFonts w:ascii="Wingdings" w:hAnsi="Wingdings" w:hint="default"/>
      </w:rPr>
    </w:lvl>
    <w:lvl w:ilvl="3" w:tplc="08090001" w:tentative="1">
      <w:start w:val="1"/>
      <w:numFmt w:val="bullet"/>
      <w:lvlText w:val=""/>
      <w:lvlJc w:val="left"/>
      <w:pPr>
        <w:ind w:left="1962" w:hanging="360"/>
      </w:pPr>
      <w:rPr>
        <w:rFonts w:ascii="Symbol" w:hAnsi="Symbol" w:hint="default"/>
      </w:rPr>
    </w:lvl>
    <w:lvl w:ilvl="4" w:tplc="08090003" w:tentative="1">
      <w:start w:val="1"/>
      <w:numFmt w:val="bullet"/>
      <w:lvlText w:val="o"/>
      <w:lvlJc w:val="left"/>
      <w:pPr>
        <w:ind w:left="2682" w:hanging="360"/>
      </w:pPr>
      <w:rPr>
        <w:rFonts w:ascii="Courier New" w:hAnsi="Courier New" w:cs="Courier New" w:hint="default"/>
      </w:rPr>
    </w:lvl>
    <w:lvl w:ilvl="5" w:tplc="08090005" w:tentative="1">
      <w:start w:val="1"/>
      <w:numFmt w:val="bullet"/>
      <w:lvlText w:val=""/>
      <w:lvlJc w:val="left"/>
      <w:pPr>
        <w:ind w:left="3402" w:hanging="360"/>
      </w:pPr>
      <w:rPr>
        <w:rFonts w:ascii="Wingdings" w:hAnsi="Wingdings" w:hint="default"/>
      </w:rPr>
    </w:lvl>
    <w:lvl w:ilvl="6" w:tplc="08090001" w:tentative="1">
      <w:start w:val="1"/>
      <w:numFmt w:val="bullet"/>
      <w:lvlText w:val=""/>
      <w:lvlJc w:val="left"/>
      <w:pPr>
        <w:ind w:left="4122" w:hanging="360"/>
      </w:pPr>
      <w:rPr>
        <w:rFonts w:ascii="Symbol" w:hAnsi="Symbol" w:hint="default"/>
      </w:rPr>
    </w:lvl>
    <w:lvl w:ilvl="7" w:tplc="08090003" w:tentative="1">
      <w:start w:val="1"/>
      <w:numFmt w:val="bullet"/>
      <w:lvlText w:val="o"/>
      <w:lvlJc w:val="left"/>
      <w:pPr>
        <w:ind w:left="4842" w:hanging="360"/>
      </w:pPr>
      <w:rPr>
        <w:rFonts w:ascii="Courier New" w:hAnsi="Courier New" w:cs="Courier New" w:hint="default"/>
      </w:rPr>
    </w:lvl>
    <w:lvl w:ilvl="8" w:tplc="08090005" w:tentative="1">
      <w:start w:val="1"/>
      <w:numFmt w:val="bullet"/>
      <w:lvlText w:val=""/>
      <w:lvlJc w:val="left"/>
      <w:pPr>
        <w:ind w:left="5562" w:hanging="360"/>
      </w:pPr>
      <w:rPr>
        <w:rFonts w:ascii="Wingdings" w:hAnsi="Wingdings" w:hint="default"/>
      </w:rPr>
    </w:lvl>
  </w:abstractNum>
  <w:abstractNum w:abstractNumId="43" w15:restartNumberingAfterBreak="0">
    <w:nsid w:val="4BEC63B7"/>
    <w:multiLevelType w:val="hybridMultilevel"/>
    <w:tmpl w:val="594411C0"/>
    <w:lvl w:ilvl="0" w:tplc="AF0C04A6">
      <w:numFmt w:val="bullet"/>
      <w:lvlText w:val=""/>
      <w:lvlJc w:val="left"/>
      <w:pPr>
        <w:ind w:left="720" w:hanging="720"/>
      </w:pPr>
      <w:rPr>
        <w:rFonts w:ascii="Symbol" w:eastAsia="Times New Roman" w:hAnsi="Symbol" w:cs="Times New Roman" w:hint="default"/>
      </w:rPr>
    </w:lvl>
    <w:lvl w:ilvl="1" w:tplc="D34C8868">
      <w:numFmt w:val="bullet"/>
      <w:lvlText w:val="-"/>
      <w:lvlJc w:val="left"/>
      <w:pPr>
        <w:ind w:left="1080" w:hanging="360"/>
      </w:pPr>
      <w:rPr>
        <w:rFonts w:ascii="Calibri" w:eastAsia="SimSun" w:hAnsi="Calibri" w:cs="Calibr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5BC01F68"/>
    <w:multiLevelType w:val="singleLevel"/>
    <w:tmpl w:val="0409000F"/>
    <w:name w:val="Heading"/>
    <w:lvl w:ilvl="0">
      <w:start w:val="1"/>
      <w:numFmt w:val="decimal"/>
      <w:lvlText w:val="%1."/>
      <w:lvlJc w:val="left"/>
      <w:pPr>
        <w:tabs>
          <w:tab w:val="num" w:pos="360"/>
        </w:tabs>
        <w:ind w:left="360" w:hanging="360"/>
      </w:pPr>
      <w:rPr>
        <w:rFonts w:cs="Times New Roman"/>
      </w:rPr>
    </w:lvl>
  </w:abstractNum>
  <w:abstractNum w:abstractNumId="45" w15:restartNumberingAfterBreak="0">
    <w:nsid w:val="684E4662"/>
    <w:multiLevelType w:val="hybridMultilevel"/>
    <w:tmpl w:val="388A6594"/>
    <w:lvl w:ilvl="0" w:tplc="D23A7BDC">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9A0FA8"/>
    <w:multiLevelType w:val="multilevel"/>
    <w:tmpl w:val="C6820584"/>
    <w:lvl w:ilvl="0">
      <w:start w:val="1"/>
      <w:numFmt w:val="decimal"/>
      <w:lvlText w:val="%1"/>
      <w:lvlJc w:val="left"/>
      <w:pPr>
        <w:tabs>
          <w:tab w:val="num" w:pos="795"/>
        </w:tabs>
        <w:ind w:left="795" w:hanging="795"/>
      </w:pPr>
      <w:rPr>
        <w:rFonts w:cs="Times New Roman" w:hint="default"/>
        <w:b/>
      </w:rPr>
    </w:lvl>
    <w:lvl w:ilvl="1">
      <w:start w:val="5"/>
      <w:numFmt w:val="decimal"/>
      <w:lvlText w:val="%1.%2"/>
      <w:lvlJc w:val="left"/>
      <w:pPr>
        <w:tabs>
          <w:tab w:val="num" w:pos="795"/>
        </w:tabs>
        <w:ind w:left="795" w:hanging="795"/>
      </w:pPr>
      <w:rPr>
        <w:rFonts w:cs="Times New Roman" w:hint="default"/>
        <w:b/>
      </w:rPr>
    </w:lvl>
    <w:lvl w:ilvl="2">
      <w:start w:val="1"/>
      <w:numFmt w:val="decimal"/>
      <w:lvlText w:val="%1.%2.%3"/>
      <w:lvlJc w:val="left"/>
      <w:pPr>
        <w:tabs>
          <w:tab w:val="num" w:pos="795"/>
        </w:tabs>
        <w:ind w:left="795" w:hanging="795"/>
      </w:pPr>
      <w:rPr>
        <w:rFonts w:cs="Times New Roman" w:hint="default"/>
        <w:b/>
      </w:rPr>
    </w:lvl>
    <w:lvl w:ilvl="3">
      <w:start w:val="1"/>
      <w:numFmt w:val="decimal"/>
      <w:lvlText w:val="%1.%2.%3.%4"/>
      <w:lvlJc w:val="left"/>
      <w:pPr>
        <w:tabs>
          <w:tab w:val="num" w:pos="795"/>
        </w:tabs>
        <w:ind w:left="795" w:hanging="795"/>
      </w:pPr>
      <w:rPr>
        <w:rFonts w:cs="Times New Roman" w:hint="default"/>
        <w:b/>
      </w:rPr>
    </w:lvl>
    <w:lvl w:ilvl="4">
      <w:start w:val="1"/>
      <w:numFmt w:val="decimal"/>
      <w:lvlText w:val="%1.%2.%3.%4.%5"/>
      <w:lvlJc w:val="left"/>
      <w:pPr>
        <w:tabs>
          <w:tab w:val="num" w:pos="795"/>
        </w:tabs>
        <w:ind w:left="795" w:hanging="795"/>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47" w15:restartNumberingAfterBreak="0">
    <w:nsid w:val="72127CD6"/>
    <w:multiLevelType w:val="singleLevel"/>
    <w:tmpl w:val="DAE2B19C"/>
    <w:lvl w:ilvl="0">
      <w:start w:val="1"/>
      <w:numFmt w:val="bullet"/>
      <w:lvlText w:val="–"/>
      <w:lvlJc w:val="left"/>
      <w:pPr>
        <w:tabs>
          <w:tab w:val="num" w:pos="1184"/>
        </w:tabs>
        <w:ind w:left="1184" w:hanging="390"/>
      </w:pPr>
      <w:rPr>
        <w:rFonts w:hint="default"/>
      </w:rPr>
    </w:lvl>
  </w:abstractNum>
  <w:abstractNum w:abstractNumId="48" w15:restartNumberingAfterBreak="0">
    <w:nsid w:val="7AAC733B"/>
    <w:multiLevelType w:val="hybridMultilevel"/>
    <w:tmpl w:val="9DF2FDB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D12679B"/>
    <w:multiLevelType w:val="hybridMultilevel"/>
    <w:tmpl w:val="03006B4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lvl w:ilvl="0">
        <w:start w:val="1"/>
        <w:numFmt w:val="decimal"/>
        <w:lvlText w:val="%1"/>
        <w:legacy w:legacy="1" w:legacySpace="0" w:legacyIndent="283"/>
        <w:lvlJc w:val="left"/>
        <w:pPr>
          <w:ind w:left="283" w:hanging="283"/>
        </w:pPr>
        <w:rPr>
          <w:rFonts w:cs="Times New Roman"/>
          <w:b/>
          <w:i w:val="0"/>
        </w:rPr>
      </w:lvl>
    </w:lvlOverride>
  </w:num>
  <w:num w:numId="3">
    <w:abstractNumId w:val="47"/>
  </w:num>
  <w:num w:numId="4">
    <w:abstractNumId w:val="4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5"/>
  </w:num>
  <w:num w:numId="16">
    <w:abstractNumId w:val="34"/>
  </w:num>
  <w:num w:numId="17">
    <w:abstractNumId w:val="41"/>
  </w:num>
  <w:num w:numId="18">
    <w:abstractNumId w:val="15"/>
  </w:num>
  <w:num w:numId="19">
    <w:abstractNumId w:val="23"/>
  </w:num>
  <w:num w:numId="20">
    <w:abstractNumId w:val="24"/>
  </w:num>
  <w:num w:numId="21">
    <w:abstractNumId w:val="21"/>
  </w:num>
  <w:num w:numId="22">
    <w:abstractNumId w:val="30"/>
  </w:num>
  <w:num w:numId="23">
    <w:abstractNumId w:val="27"/>
  </w:num>
  <w:num w:numId="24">
    <w:abstractNumId w:val="29"/>
  </w:num>
  <w:num w:numId="25">
    <w:abstractNumId w:val="42"/>
  </w:num>
  <w:num w:numId="26">
    <w:abstractNumId w:val="31"/>
  </w:num>
  <w:num w:numId="27">
    <w:abstractNumId w:val="19"/>
  </w:num>
  <w:num w:numId="28">
    <w:abstractNumId w:val="43"/>
  </w:num>
  <w:num w:numId="29">
    <w:abstractNumId w:val="20"/>
  </w:num>
  <w:num w:numId="30">
    <w:abstractNumId w:val="22"/>
  </w:num>
  <w:num w:numId="31">
    <w:abstractNumId w:val="26"/>
  </w:num>
  <w:num w:numId="32">
    <w:abstractNumId w:val="33"/>
  </w:num>
  <w:num w:numId="33">
    <w:abstractNumId w:val="32"/>
  </w:num>
  <w:num w:numId="3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5">
    <w:abstractNumId w:val="38"/>
  </w:num>
  <w:num w:numId="36">
    <w:abstractNumId w:val="39"/>
  </w:num>
  <w:num w:numId="37">
    <w:abstractNumId w:val="45"/>
  </w:num>
  <w:num w:numId="38">
    <w:abstractNumId w:val="49"/>
  </w:num>
  <w:num w:numId="39">
    <w:abstractNumId w:val="28"/>
  </w:num>
  <w:num w:numId="40">
    <w:abstractNumId w:val="16"/>
  </w:num>
  <w:num w:numId="41">
    <w:abstractNumId w:val="18"/>
  </w:num>
  <w:num w:numId="42">
    <w:abstractNumId w:val="48"/>
  </w:num>
  <w:num w:numId="43">
    <w:abstractNumId w:val="35"/>
  </w:num>
  <w:num w:numId="44">
    <w:abstractNumId w:val="37"/>
  </w:num>
  <w:num w:numId="45">
    <w:abstractNumId w:val="36"/>
  </w:num>
  <w:num w:numId="46">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PS_Field_author" w:val="ITU"/>
    <w:docVar w:name="TPS_Field_Color" w:val="Blue"/>
    <w:docVar w:name="TPS_Field_Copyright year" w:val="2022"/>
    <w:docVar w:name="TPS_Field_Cover Sector" w:val=" "/>
    <w:docVar w:name="TPS_Field_Cover Series name" w:val=" "/>
    <w:docVar w:name="TPS_Field_description" w:val=" "/>
    <w:docVar w:name="TPS_Field_DPS number" w:val=" "/>
    <w:docVar w:name="TPS_Field_ISBN" w:val=" "/>
    <w:docVar w:name="TPS_Field_keywords" w:val=" "/>
    <w:docVar w:name="TPS_Field_Language" w:val="en"/>
    <w:docVar w:name="TPS_Field_Photo credits" w:val=" "/>
    <w:docVar w:name="TPS_Field_Subtitle report" w:val=" "/>
    <w:docVar w:name="TPS_Field_Title report" w:val="Proceedings of the World Telecommunication Standardization Assembly (WTSA-20)"/>
    <w:docVar w:name="TPS_Field_Title report date" w:val=" "/>
    <w:docVar w:name="TPS_LastUsedCharacterStyleName" w:val="Colored bold"/>
    <w:docVar w:name="TPS_LastUsedParagraphStyleName" w:val="Normal"/>
    <w:docVar w:name="TPS_LastUsedWorkflowName" w:val="Workflows/ITU BDT Report E-F-S PDF version 2.typefi_workflow"/>
    <w:docVar w:name="TPS_TSS_1" w:val="&lt;tss&gt;&lt;filename&gt;Workflows/ITU BDT Report E-F-S PDF version 2.typefi_workflow&lt;/filename&gt;&lt;retrieved&gt;2022-08-21T11:36:45.006311900Z&lt;/retrieved&gt;&lt;server&gt;http://typefi8.itu.int:8080&lt;/server&gt;&lt;customer&gt;&lt;/customer&gt;&lt;templates&gt;&lt;filename&gt;Templates/BDT Report EFS/bdt_report_template_PDF-v2.indd&lt;/filename&gt;&lt;/templates&gt;&lt;fields&gt;&lt;name&gt;author&lt;/name&gt;&lt;type&gt;text&lt;/type&gt;&lt;/fields&gt;&lt;fields&gt;&lt;name&gt;Color&lt;/name&gt;&lt;type&gt;text&lt;/type&gt;&lt;/fields&gt;&lt;fields&gt;&lt;name&gt;Copyright year&lt;/name&gt;&lt;type&gt;text&lt;/type&gt;&lt;/fields&gt;&lt;fields&gt;&lt;name&gt;Cover Sector&lt;/name&gt;&lt;type&gt;text&lt;/type&gt;&lt;/fields&gt;&lt;fields&gt;&lt;name&gt;Cover Series name&lt;/name&gt;&lt;type&gt;text&lt;/type&gt;&lt;/fields&gt;&lt;fields&gt;&lt;name&gt;description&lt;/name&gt;&lt;type&gt;text&lt;/type&gt;&lt;/fields&gt;&lt;fields&gt;&lt;name&gt;DPS number&lt;/name&gt;&lt;type&gt;text&lt;/type&gt;&lt;/fields&gt;&lt;fields&gt;&lt;name&gt;ISBN&lt;/name&gt;&lt;type&gt;text&lt;/type&gt;&lt;/fields&gt;&lt;fields&gt;&lt;name&gt;keywords&lt;/name&gt;&lt;type&gt;text&lt;/type&gt;&lt;/fields&gt;&lt;fields&gt;&lt;name&gt;Language&lt;/name&gt;&lt;type&gt;text&lt;/type&gt;&lt;/fields&gt;&lt;fields&gt;&lt;name&gt;Photo credits&lt;/name&gt;&lt;type&gt;text&lt;/type&gt;&lt;/fields&gt;&lt;fields&gt;&lt;name&gt;Subtitle report&lt;/name&gt;&lt;type&gt;text&lt;/type&gt;&lt;/fields&gt;&lt;fields&gt;&lt;name&gt;Title report&lt;/name&gt;&lt;type&gt;text&lt;/type&gt;&lt;/fields&gt;&lt;fields&gt;&lt;name&gt;Title report date&lt;/name&gt;&lt;type&gt;text&lt;/type&gt;&lt;/fields&gt;&lt;conditions&gt;&lt;name&gt;PDF only&lt;/name&gt;&lt;status&gt;true&lt;/status&gt;&lt;color&gt;#abe1fd&lt;/color&gt;&lt;/conditions&gt;&lt;conditions&gt;&lt;name&gt;EPUB only&lt;/name&gt;&lt;status&gt;false&lt;/status&gt;&lt;color&gt;#a0c4d3&lt;/color&gt;&lt;/conditions&gt;&lt;sections&gt;&lt;name&gt;Acknowledgements-ITU-Copyright-FreePub&lt;/name&gt;&lt;type&gt;mainStory&lt;/type&gt;&lt;spreads&gt;Ack-Acknowledgement-Copyright-FreePub&lt;/spreads&gt;&lt;/sections&gt;&lt;sections&gt;&lt;name&gt;Acknowledgements-ITU-Copyright-FreePub-NoVerticalLines&lt;/name&gt;&lt;type&gt;mainStory&lt;/type&gt;&lt;spreads&gt;Ack-Acknowledgement-Copyright-FreePub-NoVertLines&lt;/spreads&gt;&lt;/sections&gt;&lt;sections&gt;&lt;name&gt;Acknowledgements-ITU-Copyright-SoldPub&lt;/name&gt;&lt;type&gt;mainStory&lt;/type&gt;&lt;spreads&gt;Ack-Acknowledgement&lt;/spreads&gt;&lt;/sections&gt;&lt;sections&gt;&lt;name&gt;Acknowledgements-ITU-Copyright-SoldPub-NoVerticalLines&lt;/name&gt;&lt;type&gt;mainStory&lt;/type&gt;&lt;spreads&gt;Ack-Acknowledment NoVertLines&lt;/spreads&gt;&lt;/sections&gt;&lt;sections&gt;&lt;name&gt;Acknowledgements-long-ITU-Copyright-FreePub&lt;/name&gt;&lt;type&gt;mainStory&lt;/type&gt;&lt;spreads&gt;Ack-Acknowledgement-long-Copyright-FreePub&lt;/spreads&gt;&lt;/sections&gt;&lt;sections&gt;&lt;name&gt;Acknowledgements-long-ITU-Copyright-SoldPub&lt;/name&gt;&lt;type&gt;mainStory&lt;/type&gt;&lt;spreads&gt;Ackl-Acknowledgements long&lt;/spreads&gt;&lt;/sections&gt;&lt;sections&gt;&lt;name&gt;Acknowlegements-long-no-copyright&lt;/name&gt;&lt;type&gt;mainStory&lt;/type&gt;&lt;spreads&gt;Ack-Acknowlegement_no_copyright&lt;/spreads&gt;&lt;/sections&gt;&lt;sections&gt;&lt;name&gt;Acknowlegements-long-no-copyright-NoVerticalLines&lt;/name&gt;&lt;type&gt;mainStory&lt;/type&gt;&lt;spreads&gt;Ack-Acknowlegement_no_copyright&lt;/spreads&gt;&lt;/sections&gt;&lt;sections&gt;&lt;name&gt;Acknowlegements-no-copyright&lt;/name&gt;&lt;type&gt;mainStory&lt;/type&gt;&lt;spreads&gt;Ack-Acknowlegement_no_copyright VerticalLines&lt;/spreads&gt;&lt;/sections&gt;&lt;sections&gt;&lt;name&gt;Acknowlegements-no-copyright-NoVerticalLines&lt;/name&gt;&lt;type&gt;mainStory&lt;/type&gt;&lt;spreads&gt;Ack-Acknowlegement_no_copyright&lt;/spreads&gt;&lt;spreads&gt;Ack-Acknowlegement_no_copyright&lt;/spreads&gt;&lt;/sections&gt;&lt;sections&gt;&lt;name&gt;Back_Cover&lt;/name&gt;&lt;type&gt;mainStory&lt;/type&gt;&lt;sectionElements&gt;&lt;name&gt;Cover&lt;/name&gt;&lt;frames&gt;&lt;type&gt;imageFrame&lt;/type&gt;&lt;/frames&gt;&lt;/sectionElements&gt;&lt;spreads&gt;Cov-Back Cover&lt;/spreads&gt;&lt;/sections&gt;&lt;sections&gt;&lt;name&gt;Back_Cover_Generated-All-sector&lt;/name&gt;&lt;type&gt;mainStory&lt;/type&gt;&lt;sectionElements&gt;&lt;name&gt;ISBN&lt;/name&gt;&lt;frames&gt;&lt;type&gt;imageFrame&lt;/type&gt;&lt;/frames&gt;&lt;/sectionElements&gt;&lt;spreads&gt;Cov4-Generic generated back cover&lt;/spreads&gt;&lt;/sections&gt;&lt;sections&gt;&lt;name&gt;Back_Cover_Generated-BDT&lt;/name&gt;&lt;type&gt;mainStory&lt;/type&gt;&lt;sectionElements&gt;&lt;name&gt;ISBN&lt;/name&gt;&lt;frames&gt;&lt;type&gt;imageFrame&lt;/type&gt;&lt;/frames&gt;&lt;/sectionElements&gt;&lt;spreads&gt;Cov4-BDT Generated Back Cover&lt;/spreads&gt;&lt;/sections&gt;&lt;sections&gt;&lt;name&gt;Back_matter&lt;/name&gt;&lt;type&gt;mainStory&lt;/type&gt;&lt;spreads&gt;BM-Back matter opener&lt;/spreads&gt;&lt;spreads&gt;BMI-Back matter inside pages&lt;/spreads&gt;&lt;/sections&gt;&lt;sections&gt;&lt;name&gt;Cover&lt;/name&gt;&lt;type&gt;mainStory&lt;/type&gt;&lt;sectionElements&gt;&lt;name&gt;Cover&lt;/name&gt;&lt;frames&gt;&lt;type&gt;imageFrame&lt;/type&gt;&lt;/frames&gt;&lt;/sectionElements&gt;&lt;spreads&gt;COV-Cover&lt;/spreads&gt;&lt;/sections&gt;&lt;sections&gt;&lt;name&gt;Cover 3 - BDT Field Offices&lt;/name&gt;&lt;type&gt;mainStory&lt;/type&gt;&lt;spreads&gt;COV3-BDT Regional offices&lt;/spreads&gt;&lt;/sections&gt;&lt;sections&gt;&lt;name&gt;Cover_Generated&lt;/name&gt;&lt;type&gt;mainStory&lt;/type&gt;&lt;sectionElements&gt;&lt;name&gt;Cover Additional logo&lt;/name&gt;&lt;frames&gt;&lt;type&gt;contentFrame&lt;/type&gt;&lt;/frames&gt;&lt;/sectionElements&gt;&lt;sectionElements&gt;&lt;name&gt;Cover Main Title&lt;/name&gt;&lt;frames&gt;&lt;type&gt;contentFrame&lt;/type&gt;&lt;/frames&gt;&lt;/sectionElements&gt;&lt;sectionElements&gt;&lt;name&gt;Cover image&lt;/name&gt;&lt;frames&gt;&lt;type&gt;imageFrame&lt;/type&gt;&lt;/frames&gt;&lt;/sectionElements&gt;&lt;spreads&gt;Cov1-Generated Front Cover&lt;/spreads&gt;&lt;/sections&gt;&lt;sections&gt;&lt;name&gt;Cover_Generated-small-titles&lt;/name&gt;&lt;type&gt;mainStory&lt;/type&gt;&lt;sectionElements&gt;&lt;name&gt;Cover Additional logo&lt;/name&gt;&lt;frames&gt;&lt;type&gt;contentFrame&lt;/type&gt;&lt;/frames&gt;&lt;/sectionElements&gt;&lt;sectionElements&gt;&lt;name&gt;Cover Main Title&lt;/name&gt;&lt;frames&gt;&lt;type&gt;contentFrame&lt;/type&gt;&lt;/frames&gt;&lt;/sectionElements&gt;&lt;sectionElements&gt;&lt;name&gt;Cover image&lt;/name&gt;&lt;frames&gt;&lt;type&gt;imageFrame&lt;/type&gt;&lt;/frames&gt;&lt;/sectionElements&gt;&lt;spreads&gt;Cov1-Cover title small size&lt;/spreads&gt;&lt;/sections&gt;&lt;sections&gt;&lt;name&gt;Endnotes&lt;/name&gt;&lt;type&gt;mainStory&lt;/type&gt;&lt;spreads&gt;End-Endnotes&lt;/spreads&gt;&lt;spreads&gt;End-Endnotes cont&lt;/spreads&gt;&lt;/sections&gt;&lt;sections&gt;&lt;name&gt;Endnotes front matter&lt;/name&gt;&lt;type&gt;mainStory&lt;/type&gt;&lt;spreads&gt;End-Endnotes&lt;/spreads&gt;&lt;spreads&gt;End-Endnotes cont&lt;/spreads&gt;&lt;/sections&gt;&lt;sections&gt;&lt;name&gt;Front_Matter_2cols_left_right_no_header&lt;/name&gt;&lt;type&gt;mainStory&lt;/type&gt;&lt;spreads&gt;FM-Front_Matter_2cols_left_right_no_header&lt;/spreads&gt;&lt;/sections&gt;&lt;sections&gt;&lt;name&gt;Front_Matter_left_right&lt;/name&gt;&lt;type&gt;mainStory&lt;/type&gt;&lt;spreads&gt;FM-Front Matter Header VerticalLines&lt;/spreads&gt;&lt;spreads&gt;FM-Front matter Cont VerticalLines&lt;/spreads&gt;&lt;/sections&gt;&lt;sections&gt;&lt;name&gt;Front_Matter_left_right_NoVerticalLines&lt;/name&gt;&lt;type&gt;mainStory&lt;/type&gt;&lt;spreads&gt;FM-Front Matter NoHeader&lt;/spreads&gt;&lt;/sections&gt;&lt;sections&gt;&lt;name&gt;Front_Matter_no_header&lt;/name&gt;&lt;type&gt;mainStory&lt;/type&gt;&lt;spreads&gt;FM-Front matter Cont VerticalLines&lt;/spreads&gt;&lt;/sections&gt;&lt;sections&gt;&lt;name&gt;Front_Matter_right&lt;/name&gt;&lt;type&gt;mainStory&lt;/type&gt;&lt;spreads&gt;FM-Front Matter Header VerticalLines&lt;/spreads&gt;&lt;spreads&gt;FM-Front matter Cont VerticalLines&lt;/spreads&gt;&lt;/sections&gt;&lt;sections&gt;&lt;name&gt;Front_Matter_right_NoVerticalLines&lt;/name&gt;&lt;type&gt;mainStory&lt;/type&gt;&lt;spreads&gt;FM-Front Matter NoHeader&lt;/spreads&gt;&lt;spreads&gt;FM-Front Matter NoHeader&lt;/spreads&gt;&lt;/sections&gt;&lt;sections&gt;&lt;name&gt;Glossary&lt;/name&gt;&lt;type&gt;mainStory&lt;/type&gt;&lt;spreads&gt;G-Glossary&lt;/spreads&gt;&lt;/sections&gt;&lt;sections&gt;&lt;name&gt;Inside Pages 2-cols&lt;/name&gt;&lt;type&gt;mainStory&lt;/type&gt;&lt;spreads&gt;IP2C-Inside pages 2cols VerticalLines&lt;/spreads&gt;&lt;/sections&gt;&lt;sections&gt;&lt;name&gt;Inside pages 2-cols ChapName&lt;/name&gt;&lt;type&gt;mainStory&lt;/type&gt;&lt;fields&gt;&lt;type&gt;text&lt;/type&gt;&lt;name&gt;Chapter Name&lt;/name&gt;&lt;/fields&gt;&lt;spreads&gt;IP2C-Inside pages 2-cols ChapName VerticalLines&lt;/spreads&gt;&lt;/sections&gt;&lt;sections&gt;&lt;name&gt;Inside Pages 2-cols NoVerticalLines&lt;/name&gt;&lt;type&gt;mainStory&lt;/type&gt;&lt;spreads&gt;IP2C-Inside pages 2cols&lt;/spreads&gt;&lt;/sections&gt;&lt;sections&gt;&lt;name&gt;Inside_cover_left&lt;/name&gt;&lt;type&gt;mainStory&lt;/type&gt;&lt;sectionElements&gt;&lt;name&gt;Cover&lt;/name&gt;&lt;frames&gt;&lt;type&gt;imageFrame&lt;/type&gt;&lt;/frames&gt;&lt;/sectionElements&gt;&lt;spreads&gt;Cov-Inside_cover&lt;/spreads&gt;&lt;/sections&gt;&lt;sections&gt;&lt;name&gt;Inside_cover_left_right&lt;/name&gt;&lt;type&gt;mainStory&lt;/type&gt;&lt;sectionElements&gt;&lt;name&gt;Cover&lt;/name&gt;&lt;frames&gt;&lt;type&gt;imageFrame&lt;/type&gt;&lt;/frames&gt;&lt;/sectionElements&gt;&lt;spreads&gt;Cov-Inside_cover&lt;/spreads&gt;&lt;/sections&gt;&lt;sections&gt;&lt;name&gt;Inside_cover_right&lt;/name&gt;&lt;type&gt;mainStory&lt;/type&gt;&lt;sectionElements&gt;&lt;name&gt;Cover&lt;/name&gt;&lt;frames&gt;&lt;type&gt;imageFrame&lt;/type&gt;&lt;/frames&gt;&lt;/sectionElements&gt;&lt;spreads&gt;Cov-Inside_cover&lt;/spreads&gt;&lt;/sections&gt;&lt;sections&gt;&lt;name&gt;Main_chapter&lt;/name&gt;&lt;type&gt;mainStory&lt;/type&gt;&lt;spreads&gt;CO-Chapter opener VerticalLines&lt;/spreads&gt;&lt;spreads&gt;IP-Inside pages-VerticalLines&lt;/spreads&gt;&lt;/sections&gt;&lt;sections&gt;&lt;name&gt;Main_chapter-1st-page-text-centred-vertically&lt;/name&gt;&lt;type&gt;mainStory&lt;/type&gt;&lt;spreads&gt;CO-Chapter opener-vertically centered&lt;/spreads&gt;&lt;spreads&gt;CO-Chapter opener-page justified&lt;/spreads&gt;&lt;/sections&gt;&lt;sections&gt;&lt;name&gt;Main_chapter-cont-page-justified&lt;/name&gt;&lt;type&gt;mainStory&lt;/type&gt;&lt;fields&gt;&lt;type&gt;text&lt;/type&gt;&lt;name&gt;Running header&lt;/name&gt;&lt;/fields&gt;&lt;spreads&gt;CO-Chapter opener-page justified&lt;/spreads&gt;&lt;/sections&gt;&lt;sections&gt;&lt;name&gt;Main_chapter-odd-page-justified&lt;/name&gt;&lt;type&gt;mainStory&lt;/type&gt;&lt;fields&gt;&lt;type&gt;text&lt;/type&gt;&lt;name&gt;Running header&lt;/name&gt;&lt;/fields&gt;&lt;spreads&gt;CO-Chapter opener-page justified&lt;/spreads&gt;&lt;spreads&gt;CO-Chapter opener-page justified&lt;/spreads&gt;&lt;/sections&gt;&lt;sections&gt;&lt;name&gt;Main_chapter-odd-text-centred-vertically&lt;/name&gt;&lt;type&gt;mainStory&lt;/type&gt;&lt;spreads&gt;CO-Chapter opener-vertically centered&lt;/spreads&gt;&lt;spreads&gt;CO-Chapter opener-page justified&lt;/spreads&gt;&lt;/sections&gt;&lt;sections&gt;&lt;name&gt;Main_chapter-odd-top-justified&lt;/name&gt;&lt;type&gt;mainStory&lt;/type&gt;&lt;fields&gt;&lt;type&gt;text&lt;/type&gt;&lt;name&gt;Running header&lt;/name&gt;&lt;/fields&gt;&lt;spreads&gt;CO-Chapter opener-top justified&lt;/spreads&gt;&lt;spreads&gt;CO-Chapter opener-top justified&lt;/spreads&gt;&lt;/sections&gt;&lt;sections&gt;&lt;name&gt;Main_chapter_chapter_name_Left_Right&lt;/name&gt;&lt;type&gt;mainStory&lt;/type&gt;&lt;fields&gt;&lt;type&gt;text&lt;/type&gt;&lt;name&gt;Chapter Name&lt;/name&gt;&lt;/fields&gt;&lt;spreads&gt;CO-Chapter Opener ChapName VerticalLines&lt;/spreads&gt;&lt;spreads&gt;IP-Inside pages ChapName VerticalLines&lt;/spreads&gt;&lt;/sections&gt;&lt;sections&gt;&lt;name&gt;Main_chapter_chapter_name_Left_Right_NoVerticallLines&lt;/name&gt;&lt;type&gt;mainStory&lt;/type&gt;&lt;fields&gt;&lt;type&gt;text&lt;/type&gt;&lt;name&gt;Chapter Name&lt;/name&gt;&lt;/fields&gt;&lt;spreads&gt;CO-Chapter Opener Chapter name&lt;/spreads&gt;&lt;spreads&gt;IP-Inside pages Chapter name&lt;/spreads&gt;&lt;/sections&gt;&lt;sections&gt;&lt;name&gt;Main_chapter_chapter_name_Right&lt;/name&gt;&lt;type&gt;mainStory&lt;/type&gt;&lt;fields&gt;&lt;type&gt;text&lt;/type&gt;&lt;name&gt;Chapter Name&lt;/name&gt;&lt;/fields&gt;&lt;spreads&gt;CO-Chapter Opener ChapName VerticalLines&lt;/spreads&gt;&lt;spreads&gt;IP-Inside pages ChapName VerticalLines&lt;/spreads&gt;&lt;/sections&gt;&lt;sections&gt;&lt;name&gt;Main_chapter_chapter_name_Right_NoVerticalLines&lt;/name&gt;&lt;type&gt;mainStory&lt;/type&gt;&lt;fields&gt;&lt;type&gt;text&lt;/type&gt;&lt;name&gt;Chapter Name&lt;/name&gt;&lt;/fields&gt;&lt;spreads&gt;CO-Chapter Opener Chapter name&lt;/spreads&gt;&lt;spreads&gt;IP-Inside pages Chapter name&lt;/spreads&gt;&lt;/sections&gt;&lt;sections&gt;&lt;name&gt;Main_chapter_column_bar&lt;/name&gt;&lt;type&gt;mainStory&lt;/type&gt;&lt;fields&gt;&lt;type&gt;text&lt;/type&gt;&lt;name&gt;Chapter no&lt;/name&gt;&lt;/fields&gt;&lt;sectionElements&gt;&lt;name&gt;Chapter title&lt;/name&gt;&lt;frames&gt;&lt;type&gt;contentFrame&lt;/type&gt;&lt;/frames&gt;&lt;/sectionElements&gt;&lt;spreads&gt;CO-Chapter opener-column&lt;/spreads&gt;&lt;spreads&gt;IP-Inside pages&lt;/spreads&gt;&lt;/sections&gt;&lt;sections&gt;&lt;name&gt;Main_chapter_column_bar_cont_LR&lt;/name&gt;&lt;type&gt;mainStory&lt;/type&gt;&lt;fields&gt;&lt;type&gt;text&lt;/type&gt;&lt;name&gt;Chapter no&lt;/name&gt;&lt;/fields&gt;&lt;sectionElements&gt;&lt;name&gt;Chapter title&lt;/name&gt;&lt;frames&gt;&lt;type&gt;contentFrame&lt;/type&gt;&lt;/frames&gt;&lt;/sectionElements&gt;&lt;spreads&gt;CO-Chapter opener-column&lt;/spreads&gt;&lt;spreads&gt;IP-Inside pages&lt;/spreads&gt;&lt;/sections&gt;&lt;sections&gt;&lt;name&gt;Main_chapter_cont&lt;/name&gt;&lt;type&gt;mainStory&lt;/type&gt;&lt;spreads&gt;CO-Chapter opener VerticalLines&lt;/spreads&gt;&lt;spreads&gt;IP-Inside pages-VerticalLines&lt;/spreads&gt;&lt;/sections&gt;&lt;sections&gt;&lt;name&gt;Main_chapter_cont_ITU-D-Questions_NoVerticalLines&lt;/name&gt;&lt;type&gt;mainStory&lt;/type&gt;&lt;spreads&gt;CO-Chapter opener ITU-D Question&lt;/spreads&gt;&lt;/sections&gt;&lt;sections&gt;&lt;name&gt;Main_chapter_cont_NoVerticalLines&lt;/name&gt;&lt;type&gt;mainStory&lt;/type&gt;&lt;spreads&gt;IP-Inside pages&lt;/spreads&gt;&lt;/sections&gt;&lt;sections&gt;&lt;name&gt;Main_chapter_ITU-D-Questions_NoVerticalLines&lt;/name&gt;&lt;type&gt;mainStory&lt;/type&gt;&lt;spreads&gt;CO-Chapter opener ITU-D Question&lt;/spreads&gt;&lt;spreads&gt;CO-Chapter opener ITU-D Question&lt;/spreads&gt;&lt;/sections&gt;&lt;sections&gt;&lt;name&gt;Main_chapter_NoVerticalLines&lt;/name&gt;&lt;type&gt;mainStory&lt;/type&gt;&lt;spreads&gt;CO-Chapter opener&lt;/spreads&gt;&lt;spreads&gt;IP-Inside pages&lt;/spreads&gt;&lt;/sections&gt;&lt;sections&gt;&lt;name&gt;Page no header no footer&lt;/name&gt;&lt;type&gt;mainStory&lt;/type&gt;&lt;spreads&gt;FM-Page no head no footer&lt;/spreads&gt;&lt;/sections&gt;&lt;sections&gt;&lt;name&gt;Page no header no footer-Right&lt;/name&gt;&lt;type&gt;mainStory&lt;/type&gt;&lt;spreads&gt;FM-Page no head no footer&lt;/spreads&gt;&lt;spreads&gt;FM-Page no head no footer&lt;/spreads&gt;&lt;/sections&gt;&lt;sections&gt;&lt;name&gt;Publishers_note&lt;/name&gt;&lt;type&gt;mainStory&lt;/type&gt;&lt;sectionElements&gt;&lt;name&gt;Title_box&lt;/name&gt;&lt;frames&gt;&lt;type&gt;contentFrame&lt;/type&gt;&lt;/frames&gt;&lt;/sectionElements&gt;&lt;spreads&gt;Pub-Publishers note&lt;/spreads&gt;&lt;spreads&gt;Pub-Publishers note continued&lt;/spreads&gt;&lt;/sections&gt;&lt;sections&gt;&lt;name&gt;Table_of_Contents&lt;/name&gt;&lt;type&gt;toc&lt;/type&gt;&lt;spreads&gt;ToC-Table of contents VerticalLines&lt;/spreads&gt;&lt;spreads&gt;ToC-Table of contents Cont VerticalLines&lt;/spreads&gt;&lt;/sections&gt;&lt;sections&gt;&lt;name&gt;Table_of_Contents_NoVerticalLines&lt;/name&gt;&lt;type&gt;toc&lt;/type&gt;&lt;spreads&gt;ToC-Table of contents&lt;/spreads&gt;&lt;spreads&gt;ToC-Table of contents contd&lt;/spreads&gt;&lt;/sections&gt;&lt;sections&gt;&lt;name&gt;Title_page&lt;/name&gt;&lt;type&gt;mainStory&lt;/type&gt;&lt;sectionElements&gt;&lt;name&gt;Supplement title&lt;/name&gt;&lt;frames&gt;&lt;type&gt;contentFrame&lt;/type&gt;&lt;/frames&gt;&lt;/sectionElements&gt;&lt;spreads&gt;T-Title VerticalLines&lt;/spreads&gt;&lt;/sections&gt;&lt;sections&gt;&lt;name&gt;Title_page ITU UNESCO&lt;/name&gt;&lt;type&gt;mainStory&lt;/type&gt;&lt;spreads&gt;T-Title ITU UNESCO&lt;/spreads&gt;&lt;/sections&gt;&lt;sections&gt;&lt;name&gt;Title_page ITU UNESCO UNICEF&lt;/name&gt;&lt;type&gt;mainStory&lt;/type&gt;&lt;spreads&gt;T-Title ITU UNESCO UNICEF&lt;/spreads&gt;&lt;/sections&gt;&lt;sections&gt;&lt;name&gt;Title_page NoVerticalLines&lt;/name&gt;&lt;type&gt;mainStory&lt;/type&gt;&lt;sectionElements&gt;&lt;name&gt;Partnership&lt;/name&gt;&lt;frames&gt;&lt;type&gt;contentFrame&lt;/type&gt;&lt;/frames&gt;&lt;/sectionElements&gt;&lt;sectionElements&gt;&lt;name&gt;Supplement title&lt;/name&gt;&lt;frames&gt;&lt;type&gt;contentFrame&lt;/type&gt;&lt;/frames&gt;&lt;/sectionElements&gt;&lt;spreads&gt;T-Title&lt;/spreads&gt;&lt;/sections&gt;&lt;sections&gt;&lt;name&gt;Title_page NoVerticalLines using styles&lt;/name&gt;&lt;type&gt;mainStory&lt;/type&gt;&lt;sectionElements&gt;&lt;name&gt;Partnership&lt;/name&gt;&lt;frames&gt;&lt;type&gt;contentFrame&lt;/type&gt;&lt;/frames&gt;&lt;/sectionElements&gt;&lt;sectionElements&gt;&lt;name&gt;Supplement title&lt;/name&gt;&lt;frames&gt;&lt;type&gt;contentFrame&lt;/type&gt;&lt;/frames&gt;&lt;/sectionElements&gt;&lt;spreads&gt;T-Title page using styles&lt;/spreads&gt;&lt;/sections&gt;&lt;sections&gt;&lt;name&gt;Title_page_ITU-D-Questions_long_title&lt;/name&gt;&lt;type&gt;mainStory&lt;/type&gt;&lt;sectionElements&gt;&lt;name&gt;Partnership&lt;/name&gt;&lt;frames&gt;&lt;type&gt;contentFrame&lt;/type&gt;&lt;/frames&gt;&lt;/sectionElements&gt;&lt;sectionElements&gt;&lt;name&gt;Supplement title&lt;/name&gt;&lt;frames&gt;&lt;type&gt;contentFrame&lt;/type&gt;&lt;/frames&gt;&lt;/sectionElements&gt;&lt;spreads&gt;T-Title page ITU-D Questions long title&lt;/spreads&gt;&lt;/sections&gt;&lt;sections&gt;&lt;name&gt;Title_page_ITU-D-Questions_NoVerticalLines&lt;/name&gt;&lt;type&gt;mainStory&lt;/type&gt;&lt;sectionElements&gt;&lt;name&gt;Partnership&lt;/name&gt;&lt;frames&gt;&lt;type&gt;contentFrame&lt;/type&gt;&lt;/frames&gt;&lt;/sectionElements&gt;&lt;sectionElements&gt;&lt;name&gt;Supplement title&lt;/name&gt;&lt;frames&gt;&lt;type&gt;contentFrame&lt;/type&gt;&lt;/frames&gt;&lt;/sectionElements&gt;&lt;spreads&gt;T-Title page ITU-D Questions SG Reports&lt;/spreads&gt;&lt;/sections&gt;&lt;paragraphStyles&gt;&lt;name&gt;Acknowledgements&lt;/name&gt;&lt;nextStyle&gt;Acknowledgements&lt;/nextStyle&gt;&lt;/paragraphStyles&gt;&lt;paragraphStyles&gt;&lt;name&gt;Alternative text&lt;/name&gt;&lt;nextStyle&gt;Alternative text&lt;/nextStyle&gt;&lt;/paragraphStyles&gt;&lt;paragraphStyles&gt;&lt;name&gt;Annex_No&lt;/name&gt;&lt;nextStyle&gt;Normal&lt;/nextStyle&gt;&lt;/paragraphStyles&gt;&lt;paragraphStyles&gt;&lt;name&gt;Annex_No_Title&lt;/name&gt;&lt;nextStyle&gt;Normal&lt;/nextStyle&gt;&lt;/paragraphStyles&gt;&lt;paragraphStyles&gt;&lt;name&gt;Annex_title&lt;/name&gt;&lt;nextStyle&gt;Normal&lt;/nextStyle&gt;&lt;/paragraphStyles&gt;&lt;paragraphStyles&gt;&lt;name&gt;Appendix_No&lt;/name&gt;&lt;nextStyle&gt;Normal&lt;/nextStyle&gt;&lt;/paragraphStyles&gt;&lt;paragraphStyles&gt;&lt;name&gt;Appendix_NoTitle&lt;/name&gt;&lt;nextStyle&gt;Normal&lt;/nextStyle&gt;&lt;/paragraphStyles&gt;&lt;paragraphStyles&gt;&lt;name&gt;Appendix_ref&lt;/name&gt;&lt;nextStyle&gt;Appendix_ref&lt;/nextStyle&gt;&lt;/paragraphStyles&gt;&lt;paragraphStyles&gt;&lt;name&gt;Appendix_title&lt;/name&gt;&lt;nextStyle&gt;Normal&lt;/nextStyle&gt;&lt;/paragraphStyles&gt;&lt;paragraphStyles&gt;&lt;name&gt;APX_chapter_title&lt;/name&gt;&lt;nextStyle&gt;APX_chapter_title&lt;/nextStyle&gt;&lt;/paragraphStyles&gt;&lt;paragraphStyles&gt;&lt;name&gt;APX_heading 1&lt;/name&gt;&lt;nextStyle&gt;Normal&lt;/nextStyle&gt;&lt;/paragraphStyles&gt;&lt;paragraphStyles&gt;&lt;name&gt;APX_heading 2&lt;/name&gt;&lt;nextStyle&gt;Normal&lt;/nextStyle&gt;&lt;/paragraphStyles&gt;&lt;paragraphStyles&gt;&lt;name&gt;Biblio-Entry&lt;/name&gt;&lt;nextStyle&gt;Biblio-Entry&lt;/nextStyle&gt;&lt;/paragraphStyles&gt;&lt;paragraphStyles&gt;&lt;name&gt;Box shading text&lt;/name&gt;&lt;nextStyle&gt;Box shading text&lt;/nextStyle&gt;&lt;/paragraphStyles&gt;&lt;paragraphStyles&gt;&lt;name&gt;Box shading title&lt;/name&gt;&lt;nextStyle&gt;Normal&lt;/nextStyle&gt;&lt;/paragraphStyles&gt;&lt;paragraphStyles&gt;&lt;name&gt;Box text&lt;/name&gt;&lt;nextStyle&gt;Box text&lt;/nextStyle&gt;&lt;/paragraphStyles&gt;&lt;paragraphStyles&gt;&lt;name&gt;Box title&lt;/name&gt;&lt;nextStyle&gt;Normal&lt;/nextStyle&gt;&lt;/paragraphStyles&gt;&lt;paragraphStyles&gt;&lt;name&gt;Box title centered&lt;/name&gt;&lt;nextStyle&gt;Normal&lt;/nextStyle&gt;&lt;/paragraphStyles&gt;&lt;paragraphStyles&gt;&lt;name&gt;Box title small&lt;/name&gt;&lt;nextStyle&gt;Normal&lt;/nextStyle&gt;&lt;/paragraphStyles&gt;&lt;paragraphStyles&gt;&lt;name&gt;Box_external&lt;/name&gt;&lt;nextStyle&gt;Box_external&lt;/nextStyle&gt;&lt;/paragraphStyles&gt;&lt;paragraphStyles&gt;&lt;name&gt;Bullet list 1&lt;/name&gt;&lt;nextStyle&gt;Bullet list 1&lt;/nextStyle&gt;&lt;/paragraphStyles&gt;&lt;paragraphStyles&gt;&lt;name&gt;Bullet list 1 keep next&lt;/name&gt;&lt;nextStyle&gt;Bullet list 1 keep next&lt;/nextStyle&gt;&lt;/paragraphStyles&gt;&lt;paragraphStyles&gt;&lt;name&gt;Bullet list 1 not justified&lt;/name&gt;&lt;nextStyle&gt;Bullet list 1 not justified&lt;/nextStyle&gt;&lt;/paragraphStyles&gt;&lt;paragraphStyles&gt;&lt;name&gt;Bullet list 2&lt;/name&gt;&lt;nextStyle&gt;Bullet list 2&lt;/nextStyle&gt;&lt;/paragraphStyles&gt;&lt;paragraphStyles&gt;&lt;name&gt;Bullet list 3&lt;/name&gt;&lt;nextStyle&gt;Bullet list 3&lt;/nextStyle&gt;&lt;/paragraphStyles&gt;&lt;paragraphStyles&gt;&lt;name&gt;Call&lt;/name&gt;&lt;nextStyle&gt;Call&lt;/nextStyle&gt;&lt;/paragraphStyles&gt;&lt;paragraphStyles&gt;&lt;name&gt;Chap_no&lt;/name&gt;&lt;nextStyle&gt;Chap_no&lt;/nextStyle&gt;&lt;/paragraphStyles&gt;&lt;paragraphStyles&gt;&lt;name&gt;Chap_No&lt;/name&gt;&lt;nextStyle&gt;Chap_No&lt;/nextStyle&gt;&lt;/paragraphStyles&gt;&lt;paragraphStyles&gt;&lt;name&gt;Chap_title&lt;/name&gt;&lt;nextStyle&gt;Chap_title&lt;/nextStyle&gt;&lt;/paragraphStyles&gt;&lt;paragraphStyles&gt;&lt;name&gt;Chapt bar title&lt;/name&gt;&lt;nextStyle&gt;Chapt bar title&lt;/nextStyle&gt;&lt;/paragraphStyles&gt;&lt;paragraphStyles&gt;&lt;name&gt;Chapt title&lt;/name&gt;&lt;nextStyle&gt;Chapt title&lt;/nextStyle&gt;&lt;/paragraphStyles&gt;&lt;paragraphStyles&gt;&lt;name&gt;Chapt title no indent&lt;/name&gt;&lt;nextStyle&gt;Chapt title no indent&lt;/nextStyle&gt;&lt;/paragraphStyles&gt;&lt;paragraphStyles&gt;&lt;name&gt;Chapt title Right Aligned&lt;/name&gt;&lt;nextStyle&gt;Chapt title Right Aligned&lt;/nextStyle&gt;&lt;/paragraphStyles&gt;&lt;paragraphStyles&gt;&lt;name&gt;Chapt title with underline&lt;/name&gt;&lt;nextStyle&gt;Chapt title with underline&lt;/nextStyle&gt;&lt;/paragraphStyles&gt;&lt;paragraphStyles&gt;&lt;name&gt;Chapter no&lt;/name&gt;&lt;nextStyle&gt;Chapter no&lt;/nextStyle&gt;&lt;/paragraphStyles&gt;&lt;paragraphStyles&gt;&lt;name&gt;Continued&lt;/name&gt;&lt;nextStyle&gt;Normal&lt;/nextStyle&gt;&lt;/paragraphStyles&gt;&lt;paragraphStyles&gt;&lt;name&gt;Copyright&lt;/name&gt;&lt;nextStyle&gt;Copyright&lt;/nextStyle&gt;&lt;/paragraphStyles&gt;&lt;paragraphStyles&gt;&lt;name&gt;Cover partner logo text&lt;/name&gt;&lt;nextStyle&gt;Cover partner logo text&lt;/nextStyle&gt;&lt;/paragraphStyles&gt;&lt;paragraphStyles&gt;&lt;name&gt;Cover Series title&lt;/name&gt;&lt;nextStyle&gt;Cover Series title&lt;/nextStyle&gt;&lt;/paragraphStyles&gt;&lt;paragraphStyles&gt;&lt;name&gt;Cover Subtitle report&lt;/name&gt;&lt;nextStyle&gt;Cover Subtitle report&lt;/nextStyle&gt;&lt;/paragraphStyles&gt;&lt;paragraphStyles&gt;&lt;name&gt;Cover Subtitle report small&lt;/name&gt;&lt;nextStyle&gt;Cover Subtitle report small&lt;/nextStyle&gt;&lt;/paragraphStyles&gt;&lt;paragraphStyles&gt;&lt;name&gt;Cover Title report&lt;/name&gt;&lt;nextStyle&gt;Cover Subtitle report&lt;/nextStyle&gt;&lt;/paragraphStyles&gt;&lt;paragraphStyles&gt;&lt;name&gt;Cover Title report date&lt;/name&gt;&lt;nextStyle&gt;Cover Title report date&lt;/nextStyle&gt;&lt;/paragraphStyles&gt;&lt;paragraphStyles&gt;&lt;name&gt;Cover Title report date small&lt;/name&gt;&lt;nextStyle&gt;Cover Title report date small&lt;/nextStyle&gt;&lt;/paragraphStyles&gt;&lt;paragraphStyles&gt;&lt;name&gt;Cover Title report small&lt;/name&gt;&lt;nextStyle&gt;Cover Subtitle report&lt;/nextStyle&gt;&lt;/paragraphStyles&gt;&lt;paragraphStyles&gt;&lt;name&gt;Dec_No&lt;/name&gt;&lt;nextStyle&gt;Normal&lt;/nextStyle&gt;&lt;/paragraphStyles&gt;&lt;paragraphStyles&gt;&lt;name&gt;Dec_title&lt;/name&gt;&lt;nextStyle&gt;Normal&lt;/nextStyle&gt;&lt;/paragraphStyles&gt;&lt;paragraphStyles&gt;&lt;name&gt;Endnote Text&lt;/name&gt;&lt;nextStyle&gt;Endnote Text&lt;/nextStyle&gt;&lt;/paragraphStyles&gt;&lt;paragraphStyles&gt;&lt;name&gt;Endnote Text justified&lt;/name&gt;&lt;nextStyle&gt;Endnote Text justified&lt;/nextStyle&gt;&lt;/paragraphStyles&gt;&lt;paragraphStyles&gt;&lt;name&gt;enumlev1&lt;/name&gt;&lt;nextStyle&gt;enumlev1&lt;/nextStyle&gt;&lt;/paragraphStyles&gt;&lt;paragraphStyles&gt;&lt;name&gt;enumlev2&lt;/name&gt;&lt;nextStyle&gt;enumlev2&lt;/nextStyle&gt;&lt;/paragraphStyles&gt;&lt;paragraphStyles&gt;&lt;name&gt;enumlev3&lt;/name&gt;&lt;nextStyle&gt;enumlev3&lt;/nextStyle&gt;&lt;/paragraphStyles&gt;&lt;paragraphStyles&gt;&lt;name&gt;Figure&lt;/name&gt;&lt;nextStyle&gt;Figure&lt;/nextStyle&gt;&lt;/paragraphStyles&gt;&lt;paragraphStyles&gt;&lt;name&gt;Figure NoTitle&lt;/name&gt;&lt;nextStyle&gt;Normal&lt;/nextStyle&gt;&lt;/paragraphStyles&gt;&lt;paragraphStyles&gt;&lt;name&gt;Figure title&lt;/name&gt;&lt;nextStyle&gt;Normal&lt;/nextStyle&gt;&lt;/paragraphStyles&gt;&lt;paragraphStyles&gt;&lt;name&gt;Figure title centered&lt;/name&gt;&lt;nextStyle&gt;Normal&lt;/nextStyle&gt;&lt;/paragraphStyles&gt;&lt;paragraphStyles&gt;&lt;name&gt;Figure title small&lt;/name&gt;&lt;nextStyle&gt;Normal&lt;/nextStyle&gt;&lt;/paragraphStyles&gt;&lt;paragraphStyles&gt;&lt;name&gt;Figure title Span columns&lt;/name&gt;&lt;nextStyle&gt;Normal&lt;/nextStyle&gt;&lt;/paragraphStyles&gt;&lt;paragraphStyles&gt;&lt;name&gt;Figure_legend&lt;/name&gt;&lt;nextStyle&gt;Figure_legend&lt;/nextStyle&gt;&lt;/paragraphStyles&gt;&lt;paragraphStyles&gt;&lt;name&gt;Figure_title&lt;/name&gt;&lt;nextStyle&gt;Normal&lt;/nextStyle&gt;&lt;/paragraphStyles&gt;&lt;paragraphStyles&gt;&lt;name&gt;Footnote Text&lt;/name&gt;&lt;nextStyle&gt;Footnote Text&lt;/nextStyle&gt;&lt;/paragraphStyles&gt;&lt;paragraphStyles&gt;&lt;name&gt;Footnote Text 8pt&lt;/name&gt;&lt;nextStyle&gt;Footnote Text 8pt&lt;/nextStyle&gt;&lt;/paragraphStyles&gt;&lt;paragraphStyles&gt;&lt;name&gt;Footnote Text justified&lt;/name&gt;&lt;nextStyle&gt;Footnote Text justified&lt;/nextStyle&gt;&lt;/paragraphStyles&gt;&lt;paragraphStyles&gt;&lt;name&gt;Footnote Text not justified&lt;/name&gt;&lt;nextStyle&gt;Footnote Text not justified&lt;/nextStyle&gt;&lt;/paragraphStyles&gt;&lt;paragraphStyles&gt;&lt;name&gt;Formal&lt;/name&gt;&lt;nextStyle&gt;Formal&lt;/nextStyle&gt;&lt;/paragraphStyles&gt;&lt;paragraphStyles&gt;&lt;name&gt;Front_Matter_Title_Left_Aligned&lt;/name&gt;&lt;nextStyle&gt;Front_Matter_Title_Left_Aligned&lt;/nextStyle&gt;&lt;/paragraphStyles&gt;&lt;paragraphStyles&gt;&lt;name&gt;Front_Matter_Title_Right_Aligned&lt;/name&gt;&lt;nextStyle&gt;Front_Matter_Title_Right_Aligned&lt;/nextStyle&gt;&lt;/paragraphStyles&gt;&lt;paragraphStyles&gt;&lt;name&gt;Glossary_term&lt;/name&gt;&lt;nextStyle&gt;Glossary_term&lt;/nextStyle&gt;&lt;/paragraphStyles&gt;&lt;paragraphStyles&gt;&lt;name&gt;Heading 1&lt;/name&gt;&lt;nextStyle&gt;Normal&lt;/nextStyle&gt;&lt;/paragraphStyles&gt;&lt;paragraphStyles&gt;&lt;name&gt;Heading 1 next page&lt;/name&gt;&lt;nextStyle&gt;Normal&lt;/nextStyle&gt;&lt;/paragraphStyles&gt;&lt;paragraphStyles&gt;&lt;name&gt;Heading 1 next page no indent&lt;/name&gt;&lt;nextStyle&gt;Normal&lt;/nextStyle&gt;&lt;/paragraphStyles&gt;&lt;paragraphStyles&gt;&lt;name&gt;Heading 1 no indent&lt;/name&gt;&lt;nextStyle&gt;Normal&lt;/nextStyle&gt;&lt;/paragraphStyles&gt;&lt;paragraphStyles&gt;&lt;name&gt;Heading 2&lt;/name&gt;&lt;nextStyle&gt;Normal&lt;/nextStyle&gt;&lt;/paragraphStyles&gt;&lt;paragraphStyles&gt;&lt;name&gt;Heading 2 next page&lt;/name&gt;&lt;nextStyle&gt;Normal&lt;/nextStyle&gt;&lt;/paragraphStyles&gt;&lt;paragraphStyles&gt;&lt;name&gt;Heading 2 next page no indent&lt;/name&gt;&lt;nextStyle&gt;Normal&lt;/nextStyle&gt;&lt;/paragraphStyles&gt;&lt;paragraphStyles&gt;&lt;name&gt;Heading 2 no indent&lt;/name&gt;&lt;nextStyle&gt;Normal&lt;/nextStyle&gt;&lt;/paragraphStyles&gt;&lt;paragraphStyles&gt;&lt;name&gt;Heading 3&lt;/name&gt;&lt;nextStyle&gt;Normal&lt;/nextStyle&gt;&lt;/paragraphStyles&gt;&lt;paragraphStyles&gt;&lt;name&gt;Heading 3 next page&lt;/name&gt;&lt;nextStyle&gt;Normal&lt;/nextStyle&gt;&lt;/paragraphStyles&gt;&lt;paragraphStyles&gt;&lt;name&gt;Heading 3 no indent&lt;/name&gt;&lt;nextStyle&gt;Normal&lt;/nextStyle&gt;&lt;/paragraphStyles&gt;&lt;paragraphStyles&gt;&lt;name&gt;Heading 4&lt;/name&gt;&lt;nextStyle&gt;Heading 4&lt;/nextStyle&gt;&lt;/paragraphStyles&gt;&lt;paragraphStyles&gt;&lt;name&gt;Heading 4 next page&lt;/name&gt;&lt;nextStyle&gt;Heading 4 next page&lt;/nextStyle&gt;&lt;/paragraphStyles&gt;&lt;paragraphStyles&gt;&lt;name&gt;Heading 5&lt;/name&gt;&lt;nextStyle&gt;Heading 5&lt;/nextStyle&gt;&lt;/paragraphStyles&gt;&lt;paragraphStyles&gt;&lt;name&gt;Heading 5 next page&lt;/name&gt;&lt;nextStyle&gt;Heading 5 next page&lt;/nextStyle&gt;&lt;/paragraphStyles&gt;&lt;paragraphStyles&gt;&lt;name&gt;Heading b&lt;/name&gt;&lt;nextStyle&gt;Heading b&lt;/nextStyle&gt;&lt;/paragraphStyles&gt;&lt;paragraphStyles&gt;&lt;name&gt;Heading bold-colored&lt;/name&gt;&lt;nextStyle&gt;Heading bold-colored&lt;/nextStyle&gt;&lt;/paragraphStyles&gt;&lt;paragraphStyles&gt;&lt;name&gt;Heading_b&lt;/name&gt;&lt;nextStyle&gt;Heading_b&lt;/nextStyle&gt;&lt;/paragraphStyles&gt;&lt;paragraphStyles&gt;&lt;name&gt;Heading_bcolor&lt;/name&gt;&lt;nextStyle&gt;Heading_bcolor&lt;/nextStyle&gt;&lt;/paragraphStyles&gt;&lt;paragraphStyles&gt;&lt;name&gt;Heading_i&lt;/name&gt;&lt;nextStyle&gt;Heading_i&lt;/nextStyle&gt;&lt;/paragraphStyles&gt;&lt;paragraphStyles&gt;&lt;name&gt;List Paragraph&lt;/name&gt;&lt;nextStyle&gt;List Paragraph&lt;/nextStyle&gt;&lt;/paragraphStyles&gt;&lt;paragraphStyles&gt;&lt;name&gt;Normal&lt;/name&gt;&lt;nextStyle&gt;Normal&lt;/nextStyle&gt;&lt;/paragraphStyles&gt;&lt;paragraphStyles&gt;&lt;name&gt;Normal 16pt&lt;/name&gt;&lt;nextStyle&gt;Normal 16pt&lt;/nextStyle&gt;&lt;/paragraphStyles&gt;&lt;paragraphStyles&gt;&lt;name&gt;Normal 36pt&lt;/name&gt;&lt;nextStyle&gt;Normal 36pt&lt;/nextStyle&gt;&lt;/paragraphStyles&gt;&lt;paragraphStyles&gt;&lt;name&gt;Normal after title&lt;/name&gt;&lt;nextStyle&gt;Normal after title&lt;/nextStyle&gt;&lt;/paragraphStyles&gt;&lt;paragraphStyles&gt;&lt;name&gt;Normal bullet list 1&lt;/name&gt;&lt;nextStyle&gt;Normal bullet list 1&lt;/nextStyle&gt;&lt;/paragraphStyles&gt;&lt;paragraphStyles&gt;&lt;name&gt;Normal center aligned&lt;/name&gt;&lt;nextStyle&gt;Normal center aligned&lt;/nextStyle&gt;&lt;/paragraphStyles&gt;&lt;paragraphStyles&gt;&lt;name&gt;Normal half space after&lt;/name&gt;&lt;nextStyle&gt;Normal half space after&lt;/nextStyle&gt;&lt;/paragraphStyles&gt;&lt;paragraphStyles&gt;&lt;name&gt;Normal Heading 1&lt;/name&gt;&lt;nextStyle&gt;Normal&lt;/nextStyle&gt;&lt;/paragraphStyles&gt;&lt;paragraphStyles&gt;&lt;name&gt;Normal Heading 1 centred&lt;/name&gt;&lt;nextStyle&gt;Normal&lt;/nextStyle&gt;&lt;/paragraphStyles&gt;&lt;paragraphStyles&gt;&lt;name&gt;Normal Heading 1 right align&lt;/name&gt;&lt;nextStyle&gt;Normal&lt;/nextStyle&gt;&lt;/paragraphStyles&gt;&lt;paragraphStyles&gt;&lt;name&gt;Normal indent 1&lt;/name&gt;&lt;nextStyle&gt;Normal indent 1&lt;/nextStyle&gt;&lt;/paragraphStyles&gt;&lt;paragraphStyles&gt;&lt;name&gt;Normal indent 2&lt;/name&gt;&lt;nextStyle&gt;Normal indent 2&lt;/nextStyle&gt;&lt;/paragraphStyles&gt;&lt;paragraphStyles&gt;&lt;name&gt;Normal next page&lt;/name&gt;&lt;nextStyle&gt;Normal next page&lt;/nextStyle&gt;&lt;/paragraphStyles&gt;&lt;paragraphStyles&gt;&lt;name&gt;Normal not justified&lt;/name&gt;&lt;nextStyle&gt;Normal not justified&lt;/nextStyle&gt;&lt;/paragraphStyles&gt;&lt;paragraphStyles&gt;&lt;name&gt;Normal right aligned&lt;/name&gt;&lt;nextStyle&gt;Normal right aligned&lt;/nextStyle&gt;&lt;/paragraphStyles&gt;&lt;paragraphStyles&gt;&lt;name&gt;Normal Span columns&lt;/name&gt;&lt;nextStyle&gt;Normal Span columns&lt;/nextStyle&gt;&lt;/paragraphStyles&gt;&lt;paragraphStyles&gt;&lt;name&gt;Normal_after_title&lt;/name&gt;&lt;nextStyle&gt;Normal_after_title&lt;/nextStyle&gt;&lt;/paragraphStyles&gt;&lt;paragraphStyles&gt;&lt;name&gt;Note&lt;/name&gt;&lt;nextStyle&gt;Note&lt;/nextStyle&gt;&lt;/paragraphStyles&gt;&lt;paragraphStyles&gt;&lt;name&gt;Note 2&lt;/name&gt;&lt;nextStyle&gt;Note 2&lt;/nextStyle&gt;&lt;/paragraphStyles&gt;&lt;paragraphStyles&gt;&lt;name&gt;Objective_title&lt;/name&gt;&lt;nextStyle&gt;Normal&lt;/nextStyle&gt;&lt;/paragraphStyles&gt;&lt;paragraphStyles&gt;&lt;name&gt;Opinion_ref&lt;/name&gt;&lt;nextStyle&gt;Opinion_ref&lt;/nextStyle&gt;&lt;/paragraphStyles&gt;&lt;paragraphStyles&gt;&lt;name&gt;Other list title&lt;/name&gt;&lt;nextStyle&gt;Normal&lt;/nextStyle&gt;&lt;/paragraphStyles&gt;&lt;paragraphStyles&gt;&lt;name&gt;Part_No&lt;/name&gt;&lt;nextStyle&gt;Part_No&lt;/nextStyle&gt;&lt;/paragraphStyles&gt;&lt;paragraphStyles&gt;&lt;name&gt;PART_No_Titlecolor&lt;/name&gt;&lt;nextStyle&gt;Normal&lt;/nextStyle&gt;&lt;/paragraphStyles&gt;&lt;paragraphStyles&gt;&lt;name&gt;Partnership title and logo&lt;/name&gt;&lt;nextStyle&gt;Partnership title and logo&lt;/nextStyle&gt;&lt;/paragraphStyles&gt;&lt;paragraphStyles&gt;&lt;name&gt;Proposal&lt;/name&gt;&lt;nextStyle&gt;Normal&lt;/nextStyle&gt;&lt;/paragraphStyles&gt;&lt;paragraphStyles&gt;&lt;name&gt;Publishers note title&lt;/name&gt;&lt;nextStyle&gt;Publishers note title&lt;/nextStyle&gt;&lt;/paragraphStyles&gt;&lt;paragraphStyles&gt;&lt;name&gt;Question_No&lt;/name&gt;&lt;nextStyle&gt;Normal&lt;/nextStyle&gt;&lt;/paragraphStyles&gt;&lt;paragraphStyles&gt;&lt;name&gt;Question_title&lt;/name&gt;&lt;nextStyle&gt;Normal&lt;/nextStyle&gt;&lt;/paragraphStyles&gt;&lt;paragraphStyles&gt;&lt;name&gt;Reasons&lt;/name&gt;&lt;nextStyle&gt;Reasons&lt;/nextStyle&gt;&lt;/paragraphStyles&gt;&lt;paragraphStyles&gt;&lt;name&gt;Rec_No&lt;/name&gt;&lt;nextStyle&gt;Normal&lt;/nextStyle&gt;&lt;/paragraphStyles&gt;&lt;paragraphStyles&gt;&lt;name&gt;Rec_ref&lt;/name&gt;&lt;nextStyle&gt;Rec_ref&lt;/nextStyle&gt;&lt;/paragraphStyles&gt;&lt;paragraphStyles&gt;&lt;name&gt;Rec_title&lt;/name&gt;&lt;nextStyle&gt;Normal&lt;/nextStyle&gt;&lt;/paragraphStyles&gt;&lt;paragraphStyles&gt;&lt;name&gt;Ref_text&lt;/name&gt;&lt;nextStyle&gt;Ref_text&lt;/nextStyle&gt;&lt;/paragraphStyles&gt;&lt;paragraphStyles&gt;&lt;name&gt;Res_No&lt;/name&gt;&lt;nextStyle&gt;Normal&lt;/nextStyle&gt;&lt;/paragraphStyles&gt;&lt;paragraphStyles&gt;&lt;name&gt;Res_ref&lt;/name&gt;&lt;nextStyle&gt;Res_ref&lt;/nextStyle&gt;&lt;/paragraphStyles&gt;&lt;paragraphStyles&gt;&lt;name&gt;Res_title&lt;/name&gt;&lt;nextStyle&gt;Normal&lt;/nextStyle&gt;&lt;/paragraphStyles&gt;&lt;paragraphStyles&gt;&lt;name&gt;Section_No&lt;/name&gt;&lt;nextStyle&gt;Normal&lt;/nextStyle&gt;&lt;/paragraphStyles&gt;&lt;paragraphStyles&gt;&lt;name&gt;Section_title&lt;/name&gt;&lt;nextStyle&gt;Normal&lt;/nextStyle&gt;&lt;/paragraphStyles&gt;&lt;paragraphStyles&gt;&lt;name&gt;Section_titlecolor&lt;/name&gt;&lt;nextStyle&gt;Normal&lt;/nextStyle&gt;&lt;/paragraphStyles&gt;&lt;paragraphStyles&gt;&lt;name&gt;Series name&lt;/name&gt;&lt;nextStyle&gt;Series name&lt;/nextStyle&gt;&lt;/paragraphStyles&gt;&lt;paragraphStyles&gt;&lt;name&gt;Sign part&lt;/name&gt;&lt;nextStyle&gt;Sign part&lt;/nextStyle&gt;&lt;/paragraphStyles&gt;&lt;paragraphStyles&gt;&lt;name&gt;Sign_country&lt;/name&gt;&lt;nextStyle&gt;Sign_country&lt;/nextStyle&gt;&lt;/paragraphStyles&gt;&lt;paragraphStyles&gt;&lt;name&gt;Source text&lt;/name&gt;&lt;nextStyle&gt;Source text&lt;/nextStyle&gt;&lt;/paragraphStyles&gt;&lt;paragraphStyles&gt;&lt;name&gt;Span 2 columns 10pt&lt;/name&gt;&lt;nextStyle&gt;Span 2 columns 10pt&lt;/nextStyle&gt;&lt;/paragraphStyles&gt;&lt;paragraphStyles&gt;&lt;name&gt;Subtitle report&lt;/name&gt;&lt;nextStyle&gt;Subtitle report&lt;/nextStyle&gt;&lt;/paragraphStyles&gt;&lt;paragraphStyles&gt;&lt;name&gt;Table bullet&lt;/name&gt;&lt;nextStyle&gt;Table bullet&lt;/nextStyle&gt;&lt;/paragraphStyles&gt;&lt;paragraphStyles&gt;&lt;name&gt;Table bullet 2&lt;/name&gt;&lt;nextStyle&gt;Table bullet 2&lt;/nextStyle&gt;&lt;/paragraphStyles&gt;&lt;paragraphStyles&gt;&lt;name&gt;Table bullet 3&lt;/name&gt;&lt;nextStyle&gt;Table bullet 3&lt;/nextStyle&gt;&lt;/paragraphStyles&gt;&lt;paragraphStyles&gt;&lt;name&gt;Table bullet 6pt&lt;/name&gt;&lt;nextStyle&gt;Table bullet 6pt&lt;/nextStyle&gt;&lt;/paragraphStyles&gt;&lt;paragraphStyles&gt;&lt;name&gt;Table bullet small&lt;/name&gt;&lt;nextStyle&gt;Table bullet small&lt;/nextStyle&gt;&lt;/paragraphStyles&gt;&lt;paragraphStyles&gt;&lt;name&gt;Table head&lt;/name&gt;&lt;nextStyle&gt;Table head&lt;/nextStyle&gt;&lt;/paragraphStyles&gt;&lt;paragraphStyles&gt;&lt;name&gt;Table head 7pt white centred&lt;/name&gt;&lt;nextStyle&gt;Table head 7pt white centred&lt;/nextStyle&gt;&lt;/paragraphStyles&gt;&lt;paragraphStyles&gt;&lt;name&gt;Table head centred&lt;/name&gt;&lt;nextStyle&gt;Table head centred&lt;/nextStyle&gt;&lt;/paragraphStyles&gt;&lt;paragraphStyles&gt;&lt;name&gt;Table head right&lt;/name&gt;&lt;nextStyle&gt;Table head right&lt;/nextStyle&gt;&lt;/paragraphStyles&gt;&lt;paragraphStyles&gt;&lt;name&gt;Table head small&lt;/name&gt;&lt;nextStyle&gt;Table head small&lt;/nextStyle&gt;&lt;/paragraphStyles&gt;&lt;paragraphStyles&gt;&lt;name&gt;Table head small right align white&lt;/name&gt;&lt;nextStyle&gt;Table head small right align white&lt;/nextStyle&gt;&lt;/paragraphStyles&gt;&lt;paragraphStyles&gt;&lt;name&gt;Table head small white&lt;/name&gt;&lt;nextStyle&gt;Table head small white&lt;/nextStyle&gt;&lt;/paragraphStyles&gt;&lt;paragraphStyles&gt;&lt;name&gt;Table head small white centred&lt;/name&gt;&lt;nextStyle&gt;Table head small white centred&lt;/nextStyle&gt;&lt;/paragraphStyles&gt;&lt;paragraphStyles&gt;&lt;name&gt;Table head white&lt;/name&gt;&lt;nextStyle&gt;Table head white&lt;/nextStyle&gt;&lt;/paragraphStyles&gt;&lt;paragraphStyles&gt;&lt;name&gt;Table head white centred&lt;/name&gt;&lt;nextStyle&gt;Table head white centred&lt;/nextStyle&gt;&lt;/paragraphStyles&gt;&lt;paragraphStyles&gt;&lt;name&gt;Table head white centred 6pt&lt;/name&gt;&lt;nextStyle&gt;Table head white centred 6pt&lt;/nextStyle&gt;&lt;/paragraphStyles&gt;&lt;paragraphStyles&gt;&lt;name&gt;Table head white right&lt;/name&gt;&lt;nextStyle&gt;Table head white right&lt;/nextStyle&gt;&lt;/paragraphStyles&gt;&lt;paragraphStyles&gt;&lt;name&gt;Table NoTitle&lt;/name&gt;&lt;nextStyle&gt;Normal&lt;/nextStyle&gt;&lt;/paragraphStyles&gt;&lt;paragraphStyles&gt;&lt;name&gt;Table text&lt;/name&gt;&lt;nextStyle&gt;Table text&lt;/nextStyle&gt;&lt;/paragraphStyles&gt;&lt;paragraphStyles&gt;&lt;name&gt;Table text 6pt&lt;/name&gt;&lt;nextStyle&gt;Table text 6pt&lt;/nextStyle&gt;&lt;/paragraphStyles&gt;&lt;paragraphStyles&gt;&lt;name&gt;Table text 7pt&lt;/name&gt;&lt;nextStyle&gt;Table text 7pt&lt;/nextStyle&gt;&lt;/paragraphStyles&gt;&lt;paragraphStyles&gt;&lt;name&gt;Table text 8pt&lt;/name&gt;&lt;nextStyle&gt;Table text 8pt&lt;/nextStyle&gt;&lt;/paragraphStyles&gt;&lt;paragraphStyles&gt;&lt;name&gt;Table text blue-light-shade&lt;/name&gt;&lt;nextStyle&gt;Table text blue-light-shade&lt;/nextStyle&gt;&lt;/paragraphStyles&gt;&lt;paragraphStyles&gt;&lt;name&gt;Table text blue-shade&lt;/name&gt;&lt;nextStyle&gt;Table text blue-shade&lt;/nextStyle&gt;&lt;/paragraphStyles&gt;&lt;paragraphStyles&gt;&lt;name&gt;Table text centred&lt;/name&gt;&lt;nextStyle&gt;Table text centred&lt;/nextStyle&gt;&lt;/paragraphStyles&gt;&lt;paragraphStyles&gt;&lt;name&gt;Table text centred blue-shade&lt;/name&gt;&lt;nextStyle&gt;Table text centred blue-shade&lt;/nextStyle&gt;&lt;/paragraphStyles&gt;&lt;paragraphStyles&gt;&lt;name&gt;Table text centred red-shade&lt;/name&gt;&lt;nextStyle&gt;Table text centred red-shade&lt;/nextStyle&gt;&lt;/paragraphStyles&gt;&lt;paragraphStyles&gt;&lt;name&gt;Table text centred shade&lt;/name&gt;&lt;nextStyle&gt;Table text centred shade&lt;/nextStyle&gt;&lt;/paragraphStyles&gt;&lt;paragraphStyles&gt;&lt;name&gt;Table text gray-shade&lt;/name&gt;&lt;nextStyle&gt;Table text gray-shade&lt;/nextStyle&gt;&lt;/paragraphStyles&gt;&lt;paragraphStyles&gt;&lt;name&gt;Table text green-shade&lt;/name&gt;&lt;nextStyle&gt;Table text green-shade&lt;/nextStyle&gt;&lt;/paragraphStyles&gt;&lt;paragraphStyles&gt;&lt;name&gt;Table text orange-shade&lt;/name&gt;&lt;nextStyle&gt;Table text orange-shade&lt;/nextStyle&gt;&lt;/paragraphStyles&gt;&lt;paragraphStyles&gt;&lt;name&gt;Table text red-light-shade&lt;/name&gt;&lt;nextStyle&gt;Table text red-light-shade&lt;/nextStyle&gt;&lt;/paragraphStyles&gt;&lt;paragraphStyles&gt;&lt;name&gt;Table text red-shade&lt;/name&gt;&lt;nextStyle&gt;Table text red-shade&lt;/nextStyle&gt;&lt;/paragraphStyles&gt;&lt;paragraphStyles&gt;&lt;name&gt;Table text right aligned&lt;/name&gt;&lt;nextStyle&gt;Table text right aligned&lt;/nextStyle&gt;&lt;/paragraphStyles&gt;&lt;paragraphStyles&gt;&lt;name&gt;Table text right aligned shade&lt;/name&gt;&lt;nextStyle&gt;Table text right aligned shade&lt;/nextStyle&gt;&lt;/paragraphStyles&gt;&lt;paragraphStyles&gt;&lt;name&gt;Table text shade&lt;/name&gt;&lt;nextStyle&gt;Table text shade&lt;/nextStyle&gt;&lt;/paragraphStyles&gt;&lt;paragraphStyles&gt;&lt;name&gt;Table text small&lt;/name&gt;&lt;nextStyle&gt;Table text small&lt;/nextStyle&gt;&lt;/paragraphStyles&gt;&lt;paragraphStyles&gt;&lt;name&gt;Table text small bullet&lt;/name&gt;&lt;nextStyle&gt;Table text small bullet&lt;/nextStyle&gt;&lt;/paragraphStyles&gt;&lt;paragraphStyles&gt;&lt;name&gt;Table text small centred&lt;/name&gt;&lt;nextStyle&gt;Table text small centred&lt;/nextStyle&gt;&lt;/paragraphStyles&gt;&lt;paragraphStyles&gt;&lt;name&gt;Table text small right aligned&lt;/name&gt;&lt;nextStyle&gt;Table text small right aligned&lt;/nextStyle&gt;&lt;/paragraphStyles&gt;&lt;paragraphStyles&gt;&lt;name&gt;Table text yellow-light-shade&lt;/name&gt;&lt;nextStyle&gt;Table text yellow-light-shade&lt;/nextStyle&gt;&lt;/paragraphStyles&gt;&lt;paragraphStyles&gt;&lt;name&gt;Table text yellow-shade&lt;/name&gt;&lt;nextStyle&gt;Table text yellow-shade&lt;/nextStyle&gt;&lt;/paragraphStyles&gt;&lt;paragraphStyles&gt;&lt;name&gt;Table title&lt;/name&gt;&lt;nextStyle&gt;Normal&lt;/nextStyle&gt;&lt;/paragraphStyles&gt;&lt;paragraphStyles&gt;&lt;name&gt;Table title next page&lt;/name&gt;&lt;nextStyle&gt;Normal&lt;/nextStyle&gt;&lt;/paragraphStyles&gt;&lt;paragraphStyles&gt;&lt;name&gt;Table title small&lt;/name&gt;&lt;nextStyle&gt;Normal&lt;/nextStyle&gt;&lt;/paragraphStyles&gt;&lt;paragraphStyles&gt;&lt;name&gt;Table_head&lt;/name&gt;&lt;nextStyle&gt;Table_head&lt;/nextStyle&gt;&lt;/paragraphStyles&gt;&lt;paragraphStyles&gt;&lt;name&gt;Table_No&lt;/name&gt;&lt;nextStyle&gt;Normal&lt;/nextStyle&gt;&lt;/paragraphStyles&gt;&lt;paragraphStyles&gt;&lt;name&gt;Table_text&lt;/name&gt;&lt;nextStyle&gt;Table_text&lt;/nextStyle&gt;&lt;/paragraphStyles&gt;&lt;paragraphStyles&gt;&lt;name&gt;Table_title&lt;/name&gt;&lt;nextStyle&gt;Normal&lt;/nextStyle&gt;&lt;/paragraphStyles&gt;&lt;paragraphStyles&gt;&lt;name&gt;Title report&lt;/name&gt;&lt;nextStyle&gt;Title report&lt;/nextStyle&gt;&lt;/paragraphStyles&gt;&lt;paragraphStyles&gt;&lt;name&gt;Title report date&lt;/name&gt;&lt;nextStyle&gt;Title report date&lt;/nextStyle&gt;&lt;/paragraphStyles&gt;&lt;paragraphStyles&gt;&lt;name&gt;TOC list of figures&lt;/name&gt;&lt;nextStyle&gt;Normal&lt;/nextStyle&gt;&lt;/paragraphStyles&gt;&lt;paragraphStyles&gt;&lt;name&gt;TOC Title&lt;/name&gt;&lt;nextStyle&gt;Normal&lt;/nextStyle&gt;&lt;/paragraphStyles&gt;&lt;charStyles&gt;7.5pt&lt;/charStyles&gt;&lt;charStyles&gt;8pt&lt;/charStyles&gt;&lt;charStyles&gt;16pt&lt;/charStyles&gt;&lt;charStyles&gt;Arabic&lt;/charStyles&gt;&lt;charStyles&gt;Blue&lt;/charStyles&gt;&lt;charStyles&gt;Bold&lt;/charStyles&gt;&lt;charStyles&gt;Bold italic&lt;/charStyles&gt;&lt;charStyles&gt;Bold underline&lt;/charStyles&gt;&lt;charStyles&gt;Calibri&lt;/charStyles&gt;&lt;charStyles&gt;Calibri hyperlink&lt;/charStyles&gt;&lt;charStyles&gt;Chinese&lt;/charStyles&gt;&lt;charStyles&gt;Colored - Normal&lt;/charStyles&gt;&lt;charStyles&gt;Colored bold&lt;/charStyles&gt;&lt;charStyles&gt;Colored bold italic&lt;/charStyles&gt;&lt;charStyles&gt;Colored italic&lt;/charStyles&gt;&lt;charStyles&gt;Endnote Reference&lt;/charStyles&gt;&lt;charStyles&gt;Endnote text no&lt;/charStyles&gt;&lt;charStyles&gt;Footnote Reference&lt;/charStyles&gt;&lt;charStyles&gt;Footnote text no&lt;/charStyles&gt;&lt;charStyles&gt;Green&lt;/charStyles&gt;&lt;charStyles&gt;href&lt;/charStyles&gt;&lt;charStyles&gt;Hyperlink&lt;/charStyles&gt;&lt;charStyles&gt;Hyperlink bold italic&lt;/charStyles&gt;&lt;charStyles&gt;Italic&lt;/charStyles&gt;&lt;charStyles&gt;ITU Blue&lt;/charStyles&gt;&lt;charStyles&gt;MS Gothic&lt;/charStyles&gt;&lt;charStyles&gt;No break&lt;/charStyles&gt;&lt;charStyles&gt;Purple&lt;/charStyles&gt;&lt;charStyles&gt;Red&lt;/charStyles&gt;&lt;charStyles&gt;Red italic&lt;/charStyles&gt;&lt;charStyles&gt;Red bold italic&lt;/charStyles&gt;&lt;charStyles&gt;Green bold italic&lt;/charStyles&gt;&lt;charStyles&gt;Strong&lt;/charStyles&gt;&lt;charStyles&gt;Symbol&lt;/charStyles&gt;&lt;charStyles&gt;Symbol italic&lt;/charStyles&gt;&lt;charStyles&gt;Underline&lt;/charStyles&gt;&lt;charStyles&gt;White&lt;/charStyles&gt;&lt;charStyles&gt;Wingdings&lt;/charStyles&gt;&lt;charStyles&gt;Wingdings 2&lt;/charStyles&gt;&lt;tables&gt;Border only&lt;/tables&gt;&lt;tables&gt;Invisible table&lt;/tables&gt;&lt;tables&gt;Colored with white lines&lt;/tables&gt;&lt;tables&gt;Colored with white lines 6pt&lt;/tables&gt;&lt;tables&gt;Horizontal lines&lt;/tables&gt;&lt;tables&gt;Simple table&lt;/tables&gt;&lt;tables&gt;Table&lt;/tables&gt;&lt;tables&gt;Colored with Grey lines&lt;/tables&gt;&lt;tables&gt;Colored with Grey lines 6pt&lt;/tables&gt;&lt;placedElements&gt;&lt;name&gt;Chapter title&lt;/name&gt;&lt;/placedElements&gt;&lt;placedElements&gt;&lt;name&gt;Cover&lt;/name&gt;&lt;/placedElements&gt;&lt;placedElements&gt;&lt;name&gt;Cover Additional logo&lt;/name&gt;&lt;paragraphStyle&gt;Cover partner logo text&lt;/paragraphStyle&gt;&lt;/placedElements&gt;&lt;placedElements&gt;&lt;name&gt;Cover image&lt;/name&gt;&lt;/placedElements&gt;&lt;placedElements&gt;&lt;name&gt;Cover Main Title&lt;/name&gt;&lt;/placedElements&gt;&lt;placedElements&gt;&lt;name&gt;Figure within box&lt;/name&gt;&lt;/placedElements&gt;&lt;placedElements&gt;&lt;name&gt;ISBN&lt;/name&gt;&lt;/placedElements&gt;&lt;placedElements&gt;&lt;name&gt;Partnership&lt;/name&gt;&lt;/placedElements&gt;&lt;placedElements&gt;&lt;name&gt;Source text&lt;/name&gt;&lt;/placedElements&gt;&lt;placedElements&gt;&lt;name&gt;Supplement title&lt;/name&gt;&lt;/placedElements&gt;&lt;placedElements&gt;&lt;name&gt;Title page using styles-Title report, Subtitle report and Title report date&lt;/name&gt;&lt;/placedElements&gt;&lt;placedElements&gt;&lt;name&gt;Title_box&lt;/name&gt;&lt;/placedElements&gt;&lt;inlineElements&gt;&lt;name&gt;Box&lt;/name&gt;&lt;frames&gt;&lt;type&gt;contentFrame&lt;/type&gt;&lt;/frames&gt;&lt;/inlineElements&gt;&lt;inlineElements&gt;&lt;name&gt;Box colored&lt;/name&gt;&lt;frames&gt;&lt;type&gt;contentFrame&lt;/type&gt;&lt;/frames&gt;&lt;/inlineElements&gt;&lt;inlineElements&gt;&lt;name&gt;Box with figure center&lt;/name&gt;&lt;frames&gt;&lt;type&gt;element&lt;/type&gt;&lt;name&gt;Figure within box&lt;/name&gt;&lt;frames&gt;&lt;type&gt;imageFrame&lt;/type&gt;&lt;/frames&gt;&lt;/frames&gt;&lt;frames&gt;&lt;type&gt;element&lt;/type&gt;&lt;name&gt;Source text&lt;/name&gt;&lt;frames&gt;&lt;type&gt;contentFrame&lt;/type&gt;&lt;/frames&gt;&lt;/frames&gt;&lt;frames&gt;&lt;type&gt;contentFrame&lt;/type&gt;&lt;/frames&gt;&lt;/inlineElements&gt;&lt;inlineElements&gt;&lt;name&gt;Box with figure left&lt;/name&gt;&lt;frames&gt;&lt;type&gt;contentFrame&lt;/type&gt;&lt;/frames&gt;&lt;frames&gt;&lt;type&gt;element&lt;/type&gt;&lt;name&gt;Figure within box&lt;/name&gt;&lt;frames&gt;&lt;type&gt;imageFrame&lt;/type&gt;&lt;/frames&gt;&lt;/frames&gt;&lt;/inlineElements&gt;&lt;inlineElements&gt;&lt;name&gt;Box with figure left wrap&lt;/name&gt;&lt;frames&gt;&lt;type&gt;contentFrame&lt;/type&gt;&lt;/frames&gt;&lt;frames&gt;&lt;type&gt;element&lt;/type&gt;&lt;name&gt;Figure within box&lt;/name&gt;&lt;frames&gt;&lt;type&gt;imageFrame&lt;/type&gt;&lt;/frames&gt;&lt;frames&gt;&lt;type&gt;contentFrame&lt;/type&gt;&lt;/frames&gt;&lt;/frames&gt;&lt;/inlineElements&gt;&lt;inlineElements&gt;&lt;name&gt;Box with figure right wrap&lt;/name&gt;&lt;frames&gt;&lt;type&gt;contentFrame&lt;/type&gt;&lt;/frames&gt;&lt;frames&gt;&lt;type&gt;element&lt;/type&gt;&lt;name&gt;Figure within box&lt;/name&gt;&lt;frames&gt;&lt;type&gt;imageFrame&lt;/type&gt;&lt;/frames&gt;&lt;frames&gt;&lt;type&gt;contentFrame&lt;/type&gt;&lt;/frames&gt;&lt;/frames&gt;&lt;/inlineElements&gt;&lt;inlineElements&gt;&lt;name&gt;Figure&lt;/name&gt;&lt;frames&gt;&lt;type&gt;imageFrame&lt;/type&gt;&lt;/frames&gt;&lt;/inlineElements&gt;&lt;inlineElements&gt;&lt;name&gt;Figure_ppt&lt;/name&gt;&lt;frames&gt;&lt;type&gt;imageFrame&lt;/type&gt;&lt;/frames&gt;&lt;/inlineElements&gt;&lt;inlineElements&gt;&lt;name&gt;Frame 2column inline&lt;/name&gt;&lt;frames&gt;&lt;type&gt;contentFrame&lt;/type&gt;&lt;/frames&gt;&lt;/inlineElements&gt;&lt;inlineElements&gt;&lt;name&gt;Logo 1&lt;/name&gt;&lt;paragraphStyle&gt;Cover partner logo text&lt;/paragraphStyle&gt;&lt;/inlineElements&gt;&lt;inlineElements&gt;&lt;name&gt;Logo 2&lt;/name&gt;&lt;paragraphStyle&gt;Cover partner logo text&lt;/paragraphStyle&gt;&lt;/inlineElements&gt;&lt;inlineElements&gt;&lt;name&gt;WTSA Frame 2column inline&lt;/name&gt;&lt;frames&gt;&lt;type&gt;contentFrame&lt;/type&gt;&lt;/frames&gt;&lt;/inlineElements&gt;&lt;floatingElements&gt;&lt;name&gt;Box colored floating&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Box element floating&lt;/name&gt;&lt;frames&gt;&lt;type&gt;contentFrame&lt;/type&gt;&lt;/frames&gt;&lt;variants&gt;&lt;keyword&gt;Bottom&lt;/keyword&gt;&lt;frames&gt;&lt;type&gt;contentFrame&lt;/type&gt;&lt;/frames&gt;&lt;/variants&gt;&lt;variants&gt;&lt;keyword&gt;Top&lt;/keyword&gt;&lt;frames&gt;&lt;type&gt;contentFrame&lt;/type&gt;&lt;/frames&gt;&lt;/variants&gt;&lt;variants&gt;&lt;keyword&gt;Top or Bottom&lt;/keyword&gt;&lt;frames&gt;&lt;type&gt;contentFrame&lt;/type&gt;&lt;/frames&gt;&lt;/variants&gt;&lt;/floatingElements&gt;&lt;floatingElements&gt;&lt;name&gt;Content_wrap&lt;/name&gt;&lt;frames&gt;&lt;type&gt;contentFrame&lt;/type&gt;&lt;/frames&gt;&lt;variants&gt;&lt;keyword&gt;Left&lt;/keyword&gt;&lt;frames&gt;&lt;type&gt;contentFrame&lt;/type&gt;&lt;/frames&gt;&lt;/variants&gt;&lt;variants&gt;&lt;keyword&gt;Right&lt;/keyword&gt;&lt;frames&gt;&lt;type&gt;contentFrame&lt;/type&gt;&lt;/frames&gt;&lt;/variants&gt;&lt;/floatingElements&gt;&lt;floatingElements&gt;&lt;name&gt;Figure element Floating&lt;/name&gt;&lt;frames&gt;&lt;type&gt;contentFrame&lt;/type&gt;&lt;/frames&gt;&lt;variants&gt;&lt;keyword&gt;Bottom&lt;/keyword&gt;&lt;frames&gt;&lt;type&gt;contentFrame&lt;/type&gt;&lt;/frames&gt;&lt;/variants&gt;&lt;variants&gt;&lt;keyword&gt;Top&lt;/keyword&gt;&lt;frames&gt;&lt;type&gt;contentFrame&lt;/type&gt;&lt;/frames&gt;&lt;/variants&gt;&lt;variants&gt;&lt;keyword&gt;Top or Bottom&lt;/keyword&gt;&lt;frames&gt;&lt;type&gt;contentFrame&lt;/type&gt;&lt;/frames&gt;&lt;/variants&gt;&lt;/floatingElements&gt;&lt;floatingElements&gt;&lt;name&gt;Figure_wrap&lt;/name&gt;&lt;frames&gt;&lt;type&gt;imageFrame&lt;/type&gt;&lt;/frames&gt;&lt;variants&gt;&lt;keyword&gt;Left&lt;/keyword&gt;&lt;frames&gt;&lt;type&gt;imageFrame&lt;/type&gt;&lt;/frames&gt;&lt;/variants&gt;&lt;variants&gt;&lt;keyword&gt;Right&lt;/keyword&gt;&lt;frames&gt;&lt;type&gt;imageFrame&lt;/type&gt;&lt;/frames&gt;&lt;/variants&gt;&lt;/floatingElements&gt;&lt;floatingElements&gt;&lt;name&gt;Full-page-image&lt;/name&gt;&lt;frames&gt;&lt;type&gt;imageFrame&lt;/type&gt;&lt;/frames&gt;&lt;variants&gt;&lt;keyword&gt;Top&lt;/keyword&gt;&lt;frames&gt;&lt;type&gt;imageFrame&lt;/type&gt;&lt;/frames&gt;&lt;/variants&gt;&lt;/floatingElements&gt;&lt;floatingElements&gt;&lt;name&gt;Image alt-text&lt;/name&gt;&lt;frames&gt;&lt;type&gt;contentFrame&lt;/type&gt;&lt;/frames&gt;&lt;/floatingElements&gt;&lt;floatingElements&gt;&lt;name&gt;Image scaling&lt;/name&gt;&lt;frames&gt;&lt;type&gt;contentFrame&lt;/type&gt;&lt;/frames&gt;&lt;/floatingElements&gt;&lt;floatingElements&gt;&lt;name&gt;Table element 2column&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Table element landscape&lt;/name&gt;&lt;frames&gt;&lt;type&gt;contentFrame&lt;/type&gt;&lt;/frames&gt;&lt;variants&gt;&lt;keyword&gt;landscape&lt;/keyword&gt;&lt;frames&gt;&lt;type&gt;contentFrame&lt;/type&gt;&lt;/frames&gt;&lt;/variants&gt;&lt;/floatingElements&gt;&lt;floatingElements&gt;&lt;name&gt;WTSA Table element 2column&lt;/name&gt;&lt;frames&gt;&lt;type&gt;contentFrame&lt;/type&gt;&lt;/frames&gt;&lt;variants&gt;&lt;keyword&gt;Bottom&lt;/keyword&gt;&lt;frames&gt;&lt;type&gt;contentFrame&lt;/type&gt;&lt;/frames&gt;&lt;/variants&gt;&lt;variants&gt;&lt;keyword&gt;Top&lt;/keyword&gt;&lt;frames&gt;&lt;type&gt;contentFrame&lt;/type&gt;&lt;/frames&gt;&lt;/variants&gt;&lt;/floatingElements&gt;&lt;crossReferenceFormatDefinitions&gt;Full Paragraph &amp;amp; Page Number&lt;/crossReferenceFormatDefinitions&gt;&lt;crossReferenceFormatDefinitions&gt;Full Paragraph&lt;/crossReferenceFormatDefinitions&gt;&lt;crossReferenceFormatDefinitions&gt;Paragraph Text &amp;amp; Page Number&lt;/crossReferenceFormatDefinitions&gt;&lt;crossReferenceFormatDefinitions&gt;Paragraph Text&lt;/crossReferenceFormatDefinitions&gt;&lt;crossReferenceFormatDefinitions&gt;Paragraph Number &amp;amp; Page Number&lt;/crossReferenceFormatDefinitions&gt;&lt;crossReferenceFormatDefinitions&gt;Paragraph Number&lt;/crossReferenceFormatDefinitions&gt;&lt;crossReferenceFormatDefinitions&gt;Text Anchor Name &amp;amp; Page Number&lt;/crossReferenceFormatDefinitions&gt;&lt;crossReferenceFormatDefinitions&gt;Text Anchor Name&lt;/crossReferenceFormatDefinitions&gt;&lt;crossReferenceFormatDefinitions&gt;Page Number&lt;/crossReferenceFormatDefinitions&gt;&lt;tocStyles&gt;[Default]&lt;/tocStyles&gt;&lt;tocStyles&gt;Main TOC - 3 levels&lt;/tocStyles&gt;&lt;tocStyles&gt;Tables&lt;/tocStyles&gt;&lt;tocStyles&gt;Figures&lt;/tocStyles&gt;&lt;tocStyles&gt;Other list&lt;/tocStyles&gt;&lt;tocStyles&gt;Boxes&lt;/tocStyles&gt;&lt;tocStyles&gt;Main TOC&lt;/tocStyles&gt;&lt;tocStyles&gt;WTSA TOC&lt;/tocStyles&gt;&lt;spreads&gt;&lt;name&gt;Cov1-Generated Front Cover&lt;/name&gt;&lt;pages&gt;&lt;frames&gt;&lt;type&gt;mainStoryFrame&lt;/type&gt;&lt;/frames&gt;&lt;frames&gt;&lt;type&gt;element&lt;/type&gt;&lt;/frames&gt;&lt;frames&gt;&lt;type&gt;element&lt;/type&gt;&lt;/frames&gt;&lt;frames&gt;&lt;type&gt;element&lt;/type&gt;&lt;/frames&gt;&lt;/pages&gt;&lt;/spreads&gt;&lt;spreads&gt;&lt;name&gt;Cov4-BDT Generated Back Cover&lt;/name&gt;&lt;pages&gt;&lt;frames&gt;&lt;type&gt;element&lt;/type&gt;&lt;/frames&gt;&lt;/pages&gt;&lt;/spreads&gt;&lt;spreads&gt;&lt;name&gt;Cov4-BDT Generated Back Cover BACKUP&lt;/name&gt;&lt;pages&gt;&lt;frames&gt;&lt;type&gt;element&lt;/type&gt;&lt;/frames&gt;&lt;/pages&gt;&lt;/spreads&gt;&lt;spreads&gt;&lt;name&gt;COV-Cover&lt;/name&gt;&lt;pages&gt;&lt;frames&gt;&lt;type&gt;element&lt;/type&gt;&lt;/frames&gt;&lt;/pages&gt;&lt;/spreads&gt;&lt;spreads&gt;&lt;name&gt;Cov-Back Cover&lt;/name&gt;&lt;pages&gt;&lt;frames&gt;&lt;type&gt;mainStoryFrame&lt;/type&gt;&lt;/frames&gt;&lt;frames&gt;&lt;type&gt;element&lt;/type&gt;&lt;/frames&gt;&lt;/pages&gt;&lt;/spreads&gt;&lt;spreads&gt;&lt;name&gt;Cov-Inside_cover&lt;/name&gt;&lt;pages&gt;&lt;frames&gt;&lt;type&gt;mainStoryFrame&lt;/type&gt;&lt;/frames&gt;&lt;frames&gt;&lt;type&gt;element&lt;/type&gt;&lt;/frames&gt;&lt;/pages&gt;&lt;/spreads&gt;&lt;spreads&gt;&lt;name&gt;T-Title&lt;/name&gt;&lt;pages /&gt;&lt;pages&gt;&lt;frames&gt;&lt;type&gt;mainStoryFrame&lt;/type&gt;&lt;/frames&gt;&lt;frames&gt;&lt;type&gt;element&lt;/type&gt;&lt;/frames&gt;&lt;frames&gt;&lt;type&gt;element&lt;/type&gt;&lt;/frames&gt;&lt;/pages&gt;&lt;/spreads&gt;&lt;spreads&gt;&lt;name&gt;T-Title VerticalLines&lt;/name&gt;&lt;pages /&gt;&lt;pages&gt;&lt;frames&gt;&lt;type&gt;mainStoryFrame&lt;/type&gt;&lt;/frames&gt;&lt;frames&gt;&lt;type&gt;element&lt;/type&gt;&lt;/frames&gt;&lt;/pages&gt;&lt;/spreads&gt;&lt;spreads&gt;&lt;name&gt;Ack-Acknowledgement&lt;/name&gt;&lt;pages&gt;&lt;frames&gt;&lt;type&gt;mainStoryFrame&lt;/type&gt;&lt;/frames&gt;&lt;/pages&gt;&lt;pages /&gt;&lt;/spreads&gt;&lt;spreads&gt;&lt;name&gt;Ack-Acknowledgement-Copyright-FreePub&lt;/name&gt;&lt;pages&gt;&lt;frames&gt;&lt;type&gt;mainStoryFrame&lt;/type&gt;&lt;/frames&gt;&lt;/pages&gt;&lt;pages /&gt;&lt;/spreads&gt;&lt;spreads&gt;&lt;name&gt;Ackl-Acknowledgements long&lt;/name&gt;&lt;pages&gt;&lt;frames&gt;&lt;type&gt;mainStoryFrame&lt;/type&gt;&lt;/frames&gt;&lt;/pages&gt;&lt;pages&gt;&lt;frames&gt;&lt;type&gt;mainStoryFrame&lt;/type&gt;&lt;/frames&gt;&lt;/pages&gt;&lt;/spreads&gt;&lt;spreads&gt;&lt;name&gt;Ack-Acknowledgement-long-Copyright-FreePub&lt;/name&gt;&lt;pages&gt;&lt;frames&gt;&lt;type&gt;mainStoryFrame&lt;/type&gt;&lt;/frames&gt;&lt;/pages&gt;&lt;pages&gt;&lt;frames&gt;&lt;type&gt;mainStoryFrame&lt;/type&gt;&lt;/frames&gt;&lt;/pages&gt;&lt;/spreads&gt;&lt;spreads&gt;&lt;name&gt;Ack-Acknowlegement_no_copyright&lt;/name&gt;&lt;pages&gt;&lt;frames&gt;&lt;type&gt;mainStoryFrame&lt;/type&gt;&lt;/frames&gt;&lt;/pages&gt;&lt;pages&gt;&lt;frames&gt;&lt;type&gt;mainStoryFrame&lt;/type&gt;&lt;/frames&gt;&lt;/pages&gt;&lt;/spreads&gt;&lt;spreads&gt;&lt;name&gt;Ack-Acknowlegement_no_copyright VerticalLines&lt;/name&gt;&lt;pages&gt;&lt;frames&gt;&lt;type&gt;mainStoryFrame&lt;/type&gt;&lt;/frames&gt;&lt;/pages&gt;&lt;pages&gt;&lt;frames&gt;&lt;type&gt;mainStoryFrame&lt;/type&gt;&lt;/frames&gt;&lt;/pages&gt;&lt;/spreads&gt;&lt;spreads&gt;&lt;name&gt;ToC-Table of contents&lt;/name&gt;&lt;pages&gt;&lt;frames&gt;&lt;type&gt;tocFrame&lt;/type&gt;&lt;/frames&gt;&lt;/pages&gt;&lt;pages&gt;&lt;frames&gt;&lt;type&gt;tocFrame&lt;/type&gt;&lt;/frames&gt;&lt;/pages&gt;&lt;/spreads&gt;&lt;spreads&gt;&lt;name&gt;ToC-Table of contents VerticalLines&lt;/name&gt;&lt;pages&gt;&lt;frames&gt;&lt;type&gt;tocFrame&lt;/type&gt;&lt;/frames&gt;&lt;/pages&gt;&lt;pages&gt;&lt;frames&gt;&lt;type&gt;tocFrame&lt;/type&gt;&lt;/frames&gt;&lt;/pages&gt;&lt;/spreads&gt;&lt;spreads&gt;&lt;name&gt;ToC-Table of contents languages&lt;/name&gt;&lt;pages&gt;&lt;frames&gt;&lt;type&gt;tocFrame&lt;/type&gt;&lt;/frames&gt;&lt;/pages&gt;&lt;pages&gt;&lt;frames&gt;&lt;type&gt;tocFrame&lt;/type&gt;&lt;/frames&gt;&lt;/pages&gt;&lt;/spreads&gt;&lt;spreads&gt;&lt;name&gt;ToC-Table of contents contd&lt;/name&gt;&lt;pages&gt;&lt;frames&gt;&lt;type&gt;tocFrame&lt;/type&gt;&lt;/frames&gt;&lt;/pages&gt;&lt;pages&gt;&lt;frames&gt;&lt;type&gt;tocFrame&lt;/type&gt;&lt;/frames&gt;&lt;/pages&gt;&lt;/spreads&gt;&lt;spreads&gt;&lt;name&gt;ToC-Table of contents Cont VerticalLines&lt;/name&gt;&lt;pages&gt;&lt;frames&gt;&lt;type&gt;tocFrame&lt;/type&gt;&lt;/frames&gt;&lt;/pages&gt;&lt;pages&gt;&lt;frames&gt;&lt;type&gt;tocFrame&lt;/type&gt;&lt;/frames&gt;&lt;/pages&gt;&lt;/spreads&gt;&lt;spreads&gt;&lt;name&gt;Pub-Publishers note&lt;/name&gt;&lt;pages&gt;&lt;frames&gt;&lt;type&gt;mainStoryFrame&lt;/type&gt;&lt;/frames&gt;&lt;frames&gt;&lt;type&gt;element&lt;/type&gt;&lt;/frames&gt;&lt;/pages&gt;&lt;pages&gt;&lt;frames&gt;&lt;type&gt;mainStoryFrame&lt;/type&gt;&lt;/frames&gt;&lt;frames&gt;&lt;type&gt;element&lt;/type&gt;&lt;/frames&gt;&lt;/pages&gt;&lt;/spreads&gt;&lt;spreads&gt;&lt;name&gt;Pub-Publishers note continued&lt;/name&gt;&lt;pages&gt;&lt;frames&gt;&lt;type&gt;mainStoryFrame&lt;/type&gt;&lt;/frames&gt;&lt;/pages&gt;&lt;pages&gt;&lt;frames&gt;&lt;type&gt;mainStoryFrame&lt;/type&gt;&lt;/frames&gt;&lt;/pages&gt;&lt;/spreads&gt;&lt;spreads&gt;&lt;name&gt;FM-Front matter&lt;/name&gt;&lt;pages&gt;&lt;frames&gt;&lt;type&gt;mainStoryFrame&lt;/type&gt;&lt;/frames&gt;&lt;/pages&gt;&lt;pages&gt;&lt;frames&gt;&lt;type&gt;mainStoryFrame&lt;/type&gt;&lt;/frames&gt;&lt;/pages&gt;&lt;/spreads&gt;&lt;spreads&gt;&lt;name&gt;FM-Front Matter NoHeader&lt;/name&gt;&lt;pages&gt;&lt;frames&gt;&lt;type&gt;mainStoryFrame&lt;/type&gt;&lt;/frames&gt;&lt;/pages&gt;&lt;pages&gt;&lt;frames&gt;&lt;type&gt;mainStoryFrame&lt;/type&gt;&lt;/frames&gt;&lt;/pages&gt;&lt;/spreads&gt;&lt;spreads&gt;&lt;name&gt;FM-Front Matter Header VerticalLines&lt;/name&gt;&lt;pages&gt;&lt;frames&gt;&lt;type&gt;mainStoryFrame&lt;/type&gt;&lt;/frames&gt;&lt;/pages&gt;&lt;pages&gt;&lt;frames&gt;&lt;type&gt;mainStoryFrame&lt;/type&gt;&lt;/frames&gt;&lt;/pages&gt;&lt;/spreads&gt;&lt;spreads&gt;&lt;name&gt;FM-Front matter Cont&lt;/name&gt;&lt;pages&gt;&lt;frames&gt;&lt;type&gt;mainStoryFrame&lt;/type&gt;&lt;/frames&gt;&lt;/pages&gt;&lt;pages&gt;&lt;frames&gt;&lt;type&gt;mainStoryFrame&lt;/type&gt;&lt;/frames&gt;&lt;/pages&gt;&lt;/spreads&gt;&lt;spreads&gt;&lt;name&gt;FM-Front matter Cont VerticalLines&lt;/name&gt;&lt;pages&gt;&lt;frames&gt;&lt;type&gt;mainStoryFrame&lt;/type&gt;&lt;/frames&gt;&lt;/pages&gt;&lt;pages&gt;&lt;frames&gt;&lt;type&gt;mainStoryFrame&lt;/type&gt;&lt;/frames&gt;&lt;/pages&gt;&lt;/spreads&gt;&lt;spreads&gt;&lt;name&gt;CO-Chapter opener&lt;/name&gt;&lt;pages&gt;&lt;frames&gt;&lt;type&gt;mainStoryFrame&lt;/type&gt;&lt;/frames&gt;&lt;/pages&gt;&lt;pages&gt;&lt;frames&gt;&lt;type&gt;mainStoryFrame&lt;/type&gt;&lt;/frames&gt;&lt;/pages&gt;&lt;/spreads&gt;&lt;spreads&gt;&lt;name&gt;CO-Chapter opener VerticalLines&lt;/name&gt;&lt;pages&gt;&lt;frames&gt;&lt;type&gt;mainStoryFrame&lt;/type&gt;&lt;/frames&gt;&lt;/pages&gt;&lt;pages&gt;&lt;frames&gt;&lt;type&gt;mainStoryFrame&lt;/type&gt;&lt;/frames&gt;&lt;/pages&gt;&lt;/spreads&gt;&lt;spreads&gt;&lt;name&gt;CO-Chapter Opener ChapName VerticalLines&lt;/name&gt;&lt;pages&gt;&lt;frames&gt;&lt;type&gt;mainStoryFrame&lt;/type&gt;&lt;/frames&gt;&lt;/pages&gt;&lt;pages&gt;&lt;frames&gt;&lt;type&gt;mainStoryFrame&lt;/type&gt;&lt;/frames&gt;&lt;/pages&gt;&lt;/spreads&gt;&lt;spreads&gt;&lt;name&gt;CO-Chapter Opener Chapter name&lt;/name&gt;&lt;pages&gt;&lt;frames&gt;&lt;type&gt;mainStoryFrame&lt;/type&gt;&lt;/frames&gt;&lt;/pages&gt;&lt;pages&gt;&lt;frames&gt;&lt;type&gt;mainStoryFrame&lt;/type&gt;&lt;/frames&gt;&lt;/pages&gt;&lt;/spreads&gt;&lt;spreads&gt;&lt;name&gt;CO-Chapter opener-column&lt;/name&gt;&lt;pages&gt;&lt;frames&gt;&lt;type&gt;mainStoryFrame&lt;/type&gt;&lt;/frames&gt;&lt;frames&gt;&lt;type&gt;element&lt;/type&gt;&lt;/frames&gt;&lt;/pages&gt;&lt;pages&gt;&lt;frames&gt;&lt;type&gt;mainStoryFrame&lt;/type&gt;&lt;/frames&gt;&lt;frames&gt;&lt;type&gt;element&lt;/type&gt;&lt;/frames&gt;&lt;/pages&gt;&lt;/spreads&gt;&lt;spreads&gt;&lt;name&gt;IP-Inside pages&lt;/name&gt;&lt;pages&gt;&lt;frames&gt;&lt;type&gt;mainStoryFrame&lt;/type&gt;&lt;/frames&gt;&lt;/pages&gt;&lt;pages&gt;&lt;frames&gt;&lt;type&gt;mainStoryFrame&lt;/type&gt;&lt;/frames&gt;&lt;/pages&gt;&lt;/spreads&gt;&lt;spreads&gt;&lt;name&gt;IP-Inside pages Chapter name&lt;/name&gt;&lt;pages&gt;&lt;frames&gt;&lt;type&gt;mainStoryFrame&lt;/type&gt;&lt;/frames&gt;&lt;/pages&gt;&lt;pages&gt;&lt;frames&gt;&lt;type&gt;mainStoryFrame&lt;/type&gt;&lt;/frames&gt;&lt;/pages&gt;&lt;/spreads&gt;&lt;spreads&gt;&lt;name&gt;IP-Inside pages-VerticalLines&lt;/name&gt;&lt;pages&gt;&lt;frames&gt;&lt;type&gt;mainStoryFrame&lt;/type&gt;&lt;/frames&gt;&lt;/pages&gt;&lt;pages&gt;&lt;frames&gt;&lt;type&gt;mainStoryFrame&lt;/type&gt;&lt;/frames&gt;&lt;/pages&gt;&lt;/spreads&gt;&lt;spreads&gt;&lt;name&gt;IP-Inside pages ChapName VerticalLines&lt;/name&gt;&lt;pages&gt;&lt;frames&gt;&lt;type&gt;mainStoryFrame&lt;/type&gt;&lt;/frames&gt;&lt;/pages&gt;&lt;pages&gt;&lt;frames&gt;&lt;type&gt;mainStoryFrame&lt;/type&gt;&lt;/frames&gt;&lt;/pages&gt;&lt;/spreads&gt;&lt;spreads&gt;&lt;name&gt;IP2C-Inside pages 2cols&lt;/name&gt;&lt;pages&gt;&lt;frames&gt;&lt;type&gt;mainStoryFrame&lt;/type&gt;&lt;/frames&gt;&lt;/pages&gt;&lt;pages&gt;&lt;frames&gt;&lt;type&gt;mainStoryFrame&lt;/type&gt;&lt;/frames&gt;&lt;/pages&gt;&lt;/spreads&gt;&lt;spreads&gt;&lt;name&gt;IP2C-Inside pages 2cols VerticalLines&lt;/name&gt;&lt;pages&gt;&lt;frames&gt;&lt;type&gt;mainStoryFrame&lt;/type&gt;&lt;/frames&gt;&lt;/pages&gt;&lt;pages&gt;&lt;frames&gt;&lt;type&gt;mainStoryFrame&lt;/type&gt;&lt;/frames&gt;&lt;/pages&gt;&lt;/spreads&gt;&lt;spreads&gt;&lt;name&gt;IP2C-Inside pages 2-cols ChapName VerticalLines&lt;/name&gt;&lt;pages&gt;&lt;frames&gt;&lt;type&gt;mainStoryFrame&lt;/type&gt;&lt;/frames&gt;&lt;/pages&gt;&lt;pages&gt;&lt;frames&gt;&lt;type&gt;mainStoryFrame&lt;/type&gt;&lt;/frames&gt;&lt;/pages&gt;&lt;/spreads&gt;&lt;spreads&gt;&lt;name&gt;BM-Back matter opener&lt;/name&gt;&lt;pages /&gt;&lt;pages&gt;&lt;frames&gt;&lt;type&gt;mainStoryFrame&lt;/type&gt;&lt;/frames&gt;&lt;/pages&gt;&lt;/spreads&gt;&lt;spreads&gt;&lt;name&gt;BMI-Back matter inside pages&lt;/name&gt;&lt;pages&gt;&lt;frames&gt;&lt;type&gt;mainStoryFrame&lt;/type&gt;&lt;/frames&gt;&lt;/pages&gt;&lt;pages&gt;&lt;frames&gt;&lt;type&gt;mainStoryFrame&lt;/type&gt;&lt;/frames&gt;&lt;/pages&gt;&lt;/spreads&gt;&lt;spreads&gt;&lt;name&gt;G-Glossary&lt;/name&gt;&lt;pages&gt;&lt;frames&gt;&lt;type&gt;mainStoryFrame&lt;/type&gt;&lt;/frames&gt;&lt;/pages&gt;&lt;pages&gt;&lt;frames&gt;&lt;type&gt;mainStoryFrame&lt;/type&gt;&lt;/frames&gt;&lt;/pages&gt;&lt;/spreads&gt;&lt;spreads&gt;&lt;name&gt;T-Tables&lt;/name&gt;&lt;pages /&gt;&lt;pages /&gt;&lt;/spreads&gt;&lt;spreads&gt;&lt;name&gt;T-Tables-2&lt;/name&gt;&lt;pages /&gt;&lt;pages /&gt;&lt;/spreads&gt;&lt;spreads&gt;&lt;name&gt;X-Table element landscape&lt;/name&gt;&lt;pages /&gt;&lt;pages /&gt;&lt;/spreads&gt;&lt;spreads&gt;&lt;name&gt;X-Table Elements&lt;/name&gt;&lt;pages /&gt;&lt;pages /&gt;&lt;/spreads&gt;&lt;spreads&gt;&lt;name&gt;X-Elements&lt;/name&gt;&lt;pages /&gt;&lt;pages /&gt;&lt;/spreads&gt;&lt;spreads&gt;&lt;name&gt;X-Elements-2&lt;/name&gt;&lt;pages /&gt;&lt;pages /&gt;&lt;/spreads&gt;&lt;spreads&gt;&lt;name&gt;X-Elements-3&lt;/name&gt;&lt;pages&gt;&lt;frames&gt;&lt;type&gt;element&lt;/type&gt;&lt;/frames&gt;&lt;frames&gt;&lt;type&gt;element&lt;/type&gt;&lt;/frames&gt;&lt;/pages&gt;&lt;pages&gt;&lt;frames&gt;&lt;type&gt;element&lt;/type&gt;&lt;/frames&gt;&lt;frames&gt;&lt;type&gt;element&lt;/type&gt;&lt;/frames&gt;&lt;/pages&gt;&lt;/spreads&gt;&lt;spreads&gt;&lt;name&gt;X-Elements 4&lt;/name&gt;&lt;pages&gt;&lt;frames&gt;&lt;type&gt;element&lt;/type&gt;&lt;/frames&gt;&lt;frames&gt;&lt;type&gt;element&lt;/type&gt;&lt;/frames&gt;&lt;/pages&gt;&lt;pages /&gt;&lt;/spreads&gt;&lt;spreads&gt;&lt;name&gt;X-Elements-5&lt;/name&gt;&lt;pages /&gt;&lt;pages /&gt;&lt;/spreads&gt;&lt;spreads&gt;&lt;name&gt;X-Elements-6&lt;/name&gt;&lt;pages /&gt;&lt;pages&gt;&lt;frames&gt;&lt;type&gt;element&lt;/type&gt;&lt;/frames&gt;&lt;/pages&gt;&lt;/spreads&gt;&lt;spreads&gt;&lt;name&gt;Z-Conditional keeps&lt;/name&gt;&lt;pages /&gt;&lt;pages /&gt;&lt;/spreads&gt;&lt;spreads&gt;&lt;name&gt;Z-Conditional spacing&lt;/name&gt;&lt;pages /&gt;&lt;pages /&gt;&lt;/spreads&gt;&lt;spreads&gt;&lt;name&gt;Z-Color configuration&lt;/name&gt;&lt;pages /&gt;&lt;pages /&gt;&lt;/spreads&gt;&lt;spreads&gt;&lt;name&gt;Z-GREP configuration&lt;/name&gt;&lt;pages /&gt;&lt;pages /&gt;&lt;/spreads&gt;&lt;spreads&gt;&lt;name&gt;Z-Language configuration&lt;/name&gt;&lt;pages /&gt;&lt;pages /&gt;&lt;/spreads&gt;&lt;spreads&gt;&lt;name&gt;Z-Typefitter Pro configuration&lt;/name&gt;&lt;pages /&gt;&lt;pages /&gt;&lt;/spreads&gt;&lt;spreads&gt;&lt;name&gt;A-Master&lt;/name&gt;&lt;pages&gt;&lt;frames&gt;&lt;type&gt;tocFrame&lt;/type&gt;&lt;/frames&gt;&lt;/pages&gt;&lt;pages&gt;&lt;frames&gt;&lt;type&gt;tocFrame&lt;/type&gt;&lt;/frames&gt;&lt;/pages&gt;&lt;/spreads&gt;&lt;spreads&gt;&lt;name&gt;End-Endnotes cont&lt;/name&gt;&lt;pages&gt;&lt;frames&gt;&lt;type&gt;mainStoryFrame&lt;/type&gt;&lt;/frames&gt;&lt;/pages&gt;&lt;pages&gt;&lt;frames&gt;&lt;type&gt;mainStoryFrame&lt;/type&gt;&lt;/frames&gt;&lt;/pages&gt;&lt;/spreads&gt;&lt;spreads&gt;&lt;name&gt;End-Endnotes&lt;/name&gt;&lt;pages&gt;&lt;frames&gt;&lt;type&gt;mainStoryFrame&lt;/type&gt;&lt;/frames&gt;&lt;/pages&gt;&lt;pages&gt;&lt;frames&gt;&lt;type&gt;mainStoryFrame&lt;/type&gt;&lt;/frames&gt;&lt;/pages&gt;&lt;/spreads&gt;&lt;spreads&gt;&lt;name&gt;FM-Front_Matter_2cols_left_right_no_header&lt;/name&gt;&lt;pages&gt;&lt;frames&gt;&lt;type&gt;mainStoryFrame&lt;/type&gt;&lt;/frames&gt;&lt;/pages&gt;&lt;pages&gt;&lt;frames&gt;&lt;type&gt;mainStoryFrame&lt;/type&gt;&lt;/frames&gt;&lt;/pages&gt;&lt;/spreads&gt;&lt;spreads&gt;&lt;name&gt;T-Title ITU UNESCO&lt;/name&gt;&lt;pages /&gt;&lt;pages&gt;&lt;frames&gt;&lt;type&gt;mainStoryFrame&lt;/type&gt;&lt;/frames&gt;&lt;/pages&gt;&lt;/spreads&gt;&lt;spreads&gt;&lt;name&gt;T-Title ITU UNESCO UNICEF&lt;/name&gt;&lt;pages /&gt;&lt;pages&gt;&lt;frames&gt;&lt;type&gt;mainStoryFrame&lt;/type&gt;&lt;/frames&gt;&lt;/pages&gt;&lt;/spreads&gt;&lt;spreads&gt;&lt;name&gt;Ack-Acknowledment NoVertLines&lt;/name&gt;&lt;pages&gt;&lt;frames&gt;&lt;type&gt;mainStoryFrame&lt;/type&gt;&lt;/frames&gt;&lt;/pages&gt;&lt;pages /&gt;&lt;/spreads&gt;&lt;spreads&gt;&lt;name&gt;Ack-Acknowledgement-Copyright-FreePub-NoVertLines&lt;/name&gt;&lt;pages&gt;&lt;frames&gt;&lt;type&gt;mainStoryFrame&lt;/type&gt;&lt;/frames&gt;&lt;/pages&gt;&lt;pages /&gt;&lt;/spreads&gt;&lt;spreads&gt;&lt;name&gt;Cov4-Generic Back Cover&lt;/name&gt;&lt;pages&gt;&lt;frames&gt;&lt;type&gt;element&lt;/type&gt;&lt;/frames&gt;&lt;/pages&gt;&lt;/spreads&gt;&lt;spreads&gt;&lt;name&gt;T-Title page ITU-D Questions SG Reports&lt;/name&gt;&lt;pages /&gt;&lt;pages&gt;&lt;frames&gt;&lt;type&gt;mainStoryFrame&lt;/type&gt;&lt;/frames&gt;&lt;frames&gt;&lt;type&gt;element&lt;/type&gt;&lt;/frames&gt;&lt;frames&gt;&lt;type&gt;element&lt;/type&gt;&lt;/frames&gt;&lt;/pages&gt;&lt;/spreads&gt;&lt;spreads&gt;&lt;name&gt;CO-Chapter opener ITU-D Question&lt;/name&gt;&lt;pages&gt;&lt;frames&gt;&lt;type&gt;mainStoryFrame&lt;/type&gt;&lt;/frames&gt;&lt;/pages&gt;&lt;pages&gt;&lt;frames&gt;&lt;type&gt;mainStoryFrame&lt;/type&gt;&lt;/frames&gt;&lt;/pages&gt;&lt;/spreads&gt;&lt;spreads&gt;&lt;name&gt;COV3-BDT Regional offices&lt;/name&gt;&lt;pages /&gt;&lt;/spreads&gt;&lt;spreads&gt;&lt;name&gt;T-Title page ITU-D Questions long title&lt;/name&gt;&lt;pages /&gt;&lt;pages&gt;&lt;frames&gt;&lt;type&gt;mainStoryFrame&lt;/type&gt;&lt;/frames&gt;&lt;frames&gt;&lt;type&gt;element&lt;/type&gt;&lt;/frames&gt;&lt;frames&gt;&lt;type&gt;element&lt;/type&gt;&lt;/frames&gt;&lt;/pages&gt;&lt;/spreads&gt;&lt;spreads&gt;&lt;name&gt;Cov4-Generic generated back cover&lt;/name&gt;&lt;pages&gt;&lt;frames&gt;&lt;type&gt;element&lt;/type&gt;&lt;/frames&gt;&lt;/pages&gt;&lt;/spreads&gt;&lt;spreads&gt;&lt;name&gt;Cov1-Cover title small size&lt;/name&gt;&lt;pages&gt;&lt;frames&gt;&lt;type&gt;element&lt;/type&gt;&lt;/frames&gt;&lt;frames&gt;&lt;type&gt;element&lt;/type&gt;&lt;/frames&gt;&lt;frames&gt;&lt;type&gt;element&lt;/type&gt;&lt;/frames&gt;&lt;/pages&gt;&lt;/spreads&gt;&lt;spreads&gt;&lt;name&gt;End-Endnotes backup&lt;/name&gt;&lt;pages&gt;&lt;frames&gt;&lt;type&gt;mainStoryFrame&lt;/type&gt;&lt;/frames&gt;&lt;/pages&gt;&lt;pages&gt;&lt;frames&gt;&lt;type&gt;mainStoryFrame&lt;/type&gt;&lt;/frames&gt;&lt;/pages&gt;&lt;/spreads&gt;&lt;spreads&gt;&lt;name&gt;T-Title page using styles&lt;/name&gt;&lt;pages /&gt;&lt;pages&gt;&lt;frames&gt;&lt;type&gt;mainStoryFrame&lt;/type&gt;&lt;/frames&gt;&lt;frames&gt;&lt;type&gt;element&lt;/type&gt;&lt;/frames&gt;&lt;frames&gt;&lt;type&gt;element&lt;/type&gt;&lt;/frames&gt;&lt;/pages&gt;&lt;/spreads&gt;&lt;spreads&gt;&lt;name&gt;CO-Chapter opener-vertically centered&lt;/name&gt;&lt;pages&gt;&lt;frames&gt;&lt;type&gt;mainStoryFrame&lt;/type&gt;&lt;/frames&gt;&lt;/pages&gt;&lt;pages&gt;&lt;frames&gt;&lt;type&gt;mainStoryFrame&lt;/type&gt;&lt;/frames&gt;&lt;/pages&gt;&lt;/spreads&gt;&lt;spreads&gt;&lt;name&gt;CO-Chapter opener-page justified&lt;/name&gt;&lt;pages&gt;&lt;frames&gt;&lt;type&gt;mainStoryFrame&lt;/type&gt;&lt;/frames&gt;&lt;/pages&gt;&lt;pages&gt;&lt;frames&gt;&lt;type&gt;mainStoryFrame&lt;/type&gt;&lt;/frames&gt;&lt;/pages&gt;&lt;/spreads&gt;&lt;spreads&gt;&lt;name&gt;FM-Page no head no footer&lt;/name&gt;&lt;pages&gt;&lt;frames&gt;&lt;type&gt;mainStoryFrame&lt;/type&gt;&lt;/frames&gt;&lt;/pages&gt;&lt;pages&gt;&lt;frames&gt;&lt;type&gt;mainStoryFrame&lt;/type&gt;&lt;/frames&gt;&lt;/pages&gt;&lt;/spreads&gt;&lt;spreads&gt;&lt;name&gt;CO-Chapter opener-top justified&lt;/name&gt;&lt;pages&gt;&lt;frames&gt;&lt;type&gt;mainStoryFrame&lt;/type&gt;&lt;/frames&gt;&lt;/pages&gt;&lt;pages&gt;&lt;frames&gt;&lt;type&gt;mainStoryFrame&lt;/type&gt;&lt;/frames&gt;&lt;/pages&gt;&lt;/spreads&gt;&lt;/tss&gt;"/>
  </w:docVars>
  <w:rsids>
    <w:rsidRoot w:val="00AE4C26"/>
    <w:rsid w:val="000002F0"/>
    <w:rsid w:val="00000F83"/>
    <w:rsid w:val="00001053"/>
    <w:rsid w:val="0000128D"/>
    <w:rsid w:val="00002A48"/>
    <w:rsid w:val="000042ED"/>
    <w:rsid w:val="00006C17"/>
    <w:rsid w:val="000103ED"/>
    <w:rsid w:val="00010909"/>
    <w:rsid w:val="000110BB"/>
    <w:rsid w:val="00011D78"/>
    <w:rsid w:val="000122AF"/>
    <w:rsid w:val="00015E15"/>
    <w:rsid w:val="00017B45"/>
    <w:rsid w:val="00020888"/>
    <w:rsid w:val="00021C1A"/>
    <w:rsid w:val="00023463"/>
    <w:rsid w:val="0002430C"/>
    <w:rsid w:val="00027A9E"/>
    <w:rsid w:val="00033D10"/>
    <w:rsid w:val="0003503D"/>
    <w:rsid w:val="0003648F"/>
    <w:rsid w:val="000413DE"/>
    <w:rsid w:val="00042906"/>
    <w:rsid w:val="00042B1A"/>
    <w:rsid w:val="00046711"/>
    <w:rsid w:val="0004766B"/>
    <w:rsid w:val="00050FB9"/>
    <w:rsid w:val="00055A02"/>
    <w:rsid w:val="00055A80"/>
    <w:rsid w:val="00055CCD"/>
    <w:rsid w:val="000579ED"/>
    <w:rsid w:val="0006074E"/>
    <w:rsid w:val="00065D9E"/>
    <w:rsid w:val="00067214"/>
    <w:rsid w:val="00067F74"/>
    <w:rsid w:val="0007059B"/>
    <w:rsid w:val="000723B1"/>
    <w:rsid w:val="00073A0D"/>
    <w:rsid w:val="00073C64"/>
    <w:rsid w:val="000800C2"/>
    <w:rsid w:val="000807B9"/>
    <w:rsid w:val="00082B43"/>
    <w:rsid w:val="00087413"/>
    <w:rsid w:val="000902DB"/>
    <w:rsid w:val="00090319"/>
    <w:rsid w:val="000908E1"/>
    <w:rsid w:val="00092298"/>
    <w:rsid w:val="00095F28"/>
    <w:rsid w:val="000976A0"/>
    <w:rsid w:val="000A1956"/>
    <w:rsid w:val="000A617D"/>
    <w:rsid w:val="000B071B"/>
    <w:rsid w:val="000B2168"/>
    <w:rsid w:val="000B23D9"/>
    <w:rsid w:val="000B47CD"/>
    <w:rsid w:val="000B5A36"/>
    <w:rsid w:val="000C22AE"/>
    <w:rsid w:val="000C351F"/>
    <w:rsid w:val="000C616A"/>
    <w:rsid w:val="000C7518"/>
    <w:rsid w:val="000D378F"/>
    <w:rsid w:val="000D3B09"/>
    <w:rsid w:val="000D3CE4"/>
    <w:rsid w:val="000D5219"/>
    <w:rsid w:val="000D68FC"/>
    <w:rsid w:val="000D6DAE"/>
    <w:rsid w:val="000E4393"/>
    <w:rsid w:val="000E4AE6"/>
    <w:rsid w:val="000E56DD"/>
    <w:rsid w:val="000E65F8"/>
    <w:rsid w:val="000E794D"/>
    <w:rsid w:val="000E7F27"/>
    <w:rsid w:val="000F0384"/>
    <w:rsid w:val="000F07B3"/>
    <w:rsid w:val="000F08D5"/>
    <w:rsid w:val="000F13AD"/>
    <w:rsid w:val="000F595C"/>
    <w:rsid w:val="000F6F1A"/>
    <w:rsid w:val="001016DB"/>
    <w:rsid w:val="00104595"/>
    <w:rsid w:val="0010493D"/>
    <w:rsid w:val="00105F75"/>
    <w:rsid w:val="0011124B"/>
    <w:rsid w:val="001112A6"/>
    <w:rsid w:val="00111630"/>
    <w:rsid w:val="00112889"/>
    <w:rsid w:val="001179D4"/>
    <w:rsid w:val="00117AFC"/>
    <w:rsid w:val="001207F4"/>
    <w:rsid w:val="001228CA"/>
    <w:rsid w:val="00123BFA"/>
    <w:rsid w:val="0012432B"/>
    <w:rsid w:val="00124D27"/>
    <w:rsid w:val="0012578F"/>
    <w:rsid w:val="0012784B"/>
    <w:rsid w:val="00127E72"/>
    <w:rsid w:val="001309FB"/>
    <w:rsid w:val="00132AD9"/>
    <w:rsid w:val="00135E8B"/>
    <w:rsid w:val="00136CB0"/>
    <w:rsid w:val="00140B07"/>
    <w:rsid w:val="001445E1"/>
    <w:rsid w:val="001475D0"/>
    <w:rsid w:val="00153048"/>
    <w:rsid w:val="00153ECC"/>
    <w:rsid w:val="00156070"/>
    <w:rsid w:val="0015743B"/>
    <w:rsid w:val="0015743C"/>
    <w:rsid w:val="00160E13"/>
    <w:rsid w:val="001626A8"/>
    <w:rsid w:val="00164B3C"/>
    <w:rsid w:val="00170D20"/>
    <w:rsid w:val="001718FC"/>
    <w:rsid w:val="001809B2"/>
    <w:rsid w:val="00180CAB"/>
    <w:rsid w:val="0018130E"/>
    <w:rsid w:val="00181E1A"/>
    <w:rsid w:val="00181F30"/>
    <w:rsid w:val="0018228C"/>
    <w:rsid w:val="0018357F"/>
    <w:rsid w:val="0018537B"/>
    <w:rsid w:val="001854E6"/>
    <w:rsid w:val="00187596"/>
    <w:rsid w:val="001930D2"/>
    <w:rsid w:val="00194E3E"/>
    <w:rsid w:val="001A38D1"/>
    <w:rsid w:val="001B2C2B"/>
    <w:rsid w:val="001B4241"/>
    <w:rsid w:val="001B4A76"/>
    <w:rsid w:val="001B4FA3"/>
    <w:rsid w:val="001C1AD5"/>
    <w:rsid w:val="001C5240"/>
    <w:rsid w:val="001C604C"/>
    <w:rsid w:val="001D04A5"/>
    <w:rsid w:val="001D48FF"/>
    <w:rsid w:val="001D5909"/>
    <w:rsid w:val="001D654C"/>
    <w:rsid w:val="001E2B47"/>
    <w:rsid w:val="001E337A"/>
    <w:rsid w:val="001E5707"/>
    <w:rsid w:val="001E7EDE"/>
    <w:rsid w:val="001F278B"/>
    <w:rsid w:val="001F27CF"/>
    <w:rsid w:val="001F3B49"/>
    <w:rsid w:val="001F506B"/>
    <w:rsid w:val="001F5410"/>
    <w:rsid w:val="00202A50"/>
    <w:rsid w:val="00202D49"/>
    <w:rsid w:val="00204B68"/>
    <w:rsid w:val="00207FEE"/>
    <w:rsid w:val="002133B9"/>
    <w:rsid w:val="0021355D"/>
    <w:rsid w:val="002140AD"/>
    <w:rsid w:val="00214EF4"/>
    <w:rsid w:val="002204D5"/>
    <w:rsid w:val="002206DB"/>
    <w:rsid w:val="002210D5"/>
    <w:rsid w:val="00222754"/>
    <w:rsid w:val="002239A5"/>
    <w:rsid w:val="00227040"/>
    <w:rsid w:val="002343E9"/>
    <w:rsid w:val="00237B40"/>
    <w:rsid w:val="00240527"/>
    <w:rsid w:val="002462EF"/>
    <w:rsid w:val="002467E8"/>
    <w:rsid w:val="00246C17"/>
    <w:rsid w:val="0025040B"/>
    <w:rsid w:val="00251D45"/>
    <w:rsid w:val="002523E7"/>
    <w:rsid w:val="002549AE"/>
    <w:rsid w:val="00255E73"/>
    <w:rsid w:val="002575E6"/>
    <w:rsid w:val="00260DE7"/>
    <w:rsid w:val="0026281C"/>
    <w:rsid w:val="00264036"/>
    <w:rsid w:val="00267338"/>
    <w:rsid w:val="00270E31"/>
    <w:rsid w:val="00271978"/>
    <w:rsid w:val="00273C61"/>
    <w:rsid w:val="002742C3"/>
    <w:rsid w:val="00275860"/>
    <w:rsid w:val="00280EA6"/>
    <w:rsid w:val="00283ED6"/>
    <w:rsid w:val="00284BB1"/>
    <w:rsid w:val="0028642B"/>
    <w:rsid w:val="00292204"/>
    <w:rsid w:val="00296ED8"/>
    <w:rsid w:val="002A6B36"/>
    <w:rsid w:val="002A706F"/>
    <w:rsid w:val="002B0276"/>
    <w:rsid w:val="002B0D37"/>
    <w:rsid w:val="002B0F14"/>
    <w:rsid w:val="002C182C"/>
    <w:rsid w:val="002C1970"/>
    <w:rsid w:val="002C26D3"/>
    <w:rsid w:val="002C2FAF"/>
    <w:rsid w:val="002C3215"/>
    <w:rsid w:val="002C53F2"/>
    <w:rsid w:val="002D4B22"/>
    <w:rsid w:val="002D5607"/>
    <w:rsid w:val="002D5E14"/>
    <w:rsid w:val="002D60B1"/>
    <w:rsid w:val="002E3EE8"/>
    <w:rsid w:val="002E401C"/>
    <w:rsid w:val="002E629A"/>
    <w:rsid w:val="002E7F82"/>
    <w:rsid w:val="002F08CF"/>
    <w:rsid w:val="002F433F"/>
    <w:rsid w:val="002F7194"/>
    <w:rsid w:val="002F74FB"/>
    <w:rsid w:val="0030044E"/>
    <w:rsid w:val="00301BAA"/>
    <w:rsid w:val="00302EF6"/>
    <w:rsid w:val="00303F4E"/>
    <w:rsid w:val="0030446A"/>
    <w:rsid w:val="00305384"/>
    <w:rsid w:val="003066E3"/>
    <w:rsid w:val="00307636"/>
    <w:rsid w:val="00310DD3"/>
    <w:rsid w:val="00314BF6"/>
    <w:rsid w:val="003200C1"/>
    <w:rsid w:val="00324B00"/>
    <w:rsid w:val="00325339"/>
    <w:rsid w:val="00325BCB"/>
    <w:rsid w:val="00326FEC"/>
    <w:rsid w:val="00327885"/>
    <w:rsid w:val="0033090C"/>
    <w:rsid w:val="00330E2F"/>
    <w:rsid w:val="00331B2F"/>
    <w:rsid w:val="00332BEE"/>
    <w:rsid w:val="003338CD"/>
    <w:rsid w:val="00333DDD"/>
    <w:rsid w:val="0033524E"/>
    <w:rsid w:val="00336CC6"/>
    <w:rsid w:val="003370B7"/>
    <w:rsid w:val="003374BB"/>
    <w:rsid w:val="00340428"/>
    <w:rsid w:val="00341BDB"/>
    <w:rsid w:val="00343D6C"/>
    <w:rsid w:val="00345DE8"/>
    <w:rsid w:val="00347C85"/>
    <w:rsid w:val="003544C6"/>
    <w:rsid w:val="00354504"/>
    <w:rsid w:val="00360E4F"/>
    <w:rsid w:val="00362599"/>
    <w:rsid w:val="00363973"/>
    <w:rsid w:val="00364202"/>
    <w:rsid w:val="0036692F"/>
    <w:rsid w:val="00366EC0"/>
    <w:rsid w:val="003678F3"/>
    <w:rsid w:val="00371031"/>
    <w:rsid w:val="00372187"/>
    <w:rsid w:val="0037311B"/>
    <w:rsid w:val="00374965"/>
    <w:rsid w:val="00377674"/>
    <w:rsid w:val="00380B40"/>
    <w:rsid w:val="0038237B"/>
    <w:rsid w:val="003868AE"/>
    <w:rsid w:val="00387B29"/>
    <w:rsid w:val="003A2A77"/>
    <w:rsid w:val="003B19CF"/>
    <w:rsid w:val="003B1AF9"/>
    <w:rsid w:val="003B5427"/>
    <w:rsid w:val="003C1BBF"/>
    <w:rsid w:val="003C1D11"/>
    <w:rsid w:val="003C356A"/>
    <w:rsid w:val="003C3FD9"/>
    <w:rsid w:val="003C55F0"/>
    <w:rsid w:val="003D116F"/>
    <w:rsid w:val="003D118E"/>
    <w:rsid w:val="003D2178"/>
    <w:rsid w:val="003D46D7"/>
    <w:rsid w:val="003D4979"/>
    <w:rsid w:val="003D6458"/>
    <w:rsid w:val="003D7A8C"/>
    <w:rsid w:val="003E10DD"/>
    <w:rsid w:val="003E1DE4"/>
    <w:rsid w:val="003E2B29"/>
    <w:rsid w:val="003E301D"/>
    <w:rsid w:val="003E4A75"/>
    <w:rsid w:val="003E72C4"/>
    <w:rsid w:val="003F067B"/>
    <w:rsid w:val="003F142E"/>
    <w:rsid w:val="003F293E"/>
    <w:rsid w:val="003F5B2D"/>
    <w:rsid w:val="003F7A36"/>
    <w:rsid w:val="00406201"/>
    <w:rsid w:val="004127D9"/>
    <w:rsid w:val="00415D42"/>
    <w:rsid w:val="004240DC"/>
    <w:rsid w:val="00427615"/>
    <w:rsid w:val="00427C06"/>
    <w:rsid w:val="004348C7"/>
    <w:rsid w:val="0043545D"/>
    <w:rsid w:val="0044573F"/>
    <w:rsid w:val="00447BC2"/>
    <w:rsid w:val="004502FD"/>
    <w:rsid w:val="00453000"/>
    <w:rsid w:val="00454EC4"/>
    <w:rsid w:val="004568D2"/>
    <w:rsid w:val="004612A7"/>
    <w:rsid w:val="004621FC"/>
    <w:rsid w:val="00462F6A"/>
    <w:rsid w:val="0046315B"/>
    <w:rsid w:val="004633E1"/>
    <w:rsid w:val="00467305"/>
    <w:rsid w:val="00467578"/>
    <w:rsid w:val="004755A5"/>
    <w:rsid w:val="00477445"/>
    <w:rsid w:val="004831FF"/>
    <w:rsid w:val="004852A7"/>
    <w:rsid w:val="0048772A"/>
    <w:rsid w:val="00495C1E"/>
    <w:rsid w:val="004A0742"/>
    <w:rsid w:val="004A3010"/>
    <w:rsid w:val="004A58A4"/>
    <w:rsid w:val="004A6E75"/>
    <w:rsid w:val="004B02DF"/>
    <w:rsid w:val="004B363C"/>
    <w:rsid w:val="004B3777"/>
    <w:rsid w:val="004B7CB1"/>
    <w:rsid w:val="004C4664"/>
    <w:rsid w:val="004C57AB"/>
    <w:rsid w:val="004C79F2"/>
    <w:rsid w:val="004D01BB"/>
    <w:rsid w:val="004D0519"/>
    <w:rsid w:val="004D41C3"/>
    <w:rsid w:val="004D45BD"/>
    <w:rsid w:val="004D4768"/>
    <w:rsid w:val="004D492D"/>
    <w:rsid w:val="004D562C"/>
    <w:rsid w:val="004E0F36"/>
    <w:rsid w:val="004E28FA"/>
    <w:rsid w:val="004E3740"/>
    <w:rsid w:val="004E4CA9"/>
    <w:rsid w:val="004E583C"/>
    <w:rsid w:val="004E5CF4"/>
    <w:rsid w:val="004E61E1"/>
    <w:rsid w:val="004E7E8F"/>
    <w:rsid w:val="004F0795"/>
    <w:rsid w:val="004F2E56"/>
    <w:rsid w:val="004F4C4C"/>
    <w:rsid w:val="004F593A"/>
    <w:rsid w:val="004F6B7B"/>
    <w:rsid w:val="00501F47"/>
    <w:rsid w:val="00504D1F"/>
    <w:rsid w:val="00506C8D"/>
    <w:rsid w:val="00514A48"/>
    <w:rsid w:val="00514D9A"/>
    <w:rsid w:val="0051604C"/>
    <w:rsid w:val="00516ACC"/>
    <w:rsid w:val="005173CA"/>
    <w:rsid w:val="005174E9"/>
    <w:rsid w:val="00522F9B"/>
    <w:rsid w:val="00523689"/>
    <w:rsid w:val="00524246"/>
    <w:rsid w:val="00524FB2"/>
    <w:rsid w:val="0053053A"/>
    <w:rsid w:val="005357E6"/>
    <w:rsid w:val="005365A0"/>
    <w:rsid w:val="005367D4"/>
    <w:rsid w:val="00543776"/>
    <w:rsid w:val="00544147"/>
    <w:rsid w:val="005569CA"/>
    <w:rsid w:val="00557FF7"/>
    <w:rsid w:val="0056087F"/>
    <w:rsid w:val="00562EF2"/>
    <w:rsid w:val="00563DA9"/>
    <w:rsid w:val="00563E83"/>
    <w:rsid w:val="00565B70"/>
    <w:rsid w:val="00566AA6"/>
    <w:rsid w:val="0057306F"/>
    <w:rsid w:val="0057474A"/>
    <w:rsid w:val="00574CFF"/>
    <w:rsid w:val="00575B25"/>
    <w:rsid w:val="0057705A"/>
    <w:rsid w:val="00586615"/>
    <w:rsid w:val="005875A9"/>
    <w:rsid w:val="005955C9"/>
    <w:rsid w:val="005963AD"/>
    <w:rsid w:val="00596570"/>
    <w:rsid w:val="005A1653"/>
    <w:rsid w:val="005A50F5"/>
    <w:rsid w:val="005B4BB3"/>
    <w:rsid w:val="005B4DCF"/>
    <w:rsid w:val="005B7479"/>
    <w:rsid w:val="005C582D"/>
    <w:rsid w:val="005C5DB2"/>
    <w:rsid w:val="005D0927"/>
    <w:rsid w:val="005D1D45"/>
    <w:rsid w:val="005E253C"/>
    <w:rsid w:val="005E731C"/>
    <w:rsid w:val="005F047D"/>
    <w:rsid w:val="005F3447"/>
    <w:rsid w:val="005F36BB"/>
    <w:rsid w:val="005F3BBF"/>
    <w:rsid w:val="005F6FCD"/>
    <w:rsid w:val="00601999"/>
    <w:rsid w:val="006035C5"/>
    <w:rsid w:val="006045D7"/>
    <w:rsid w:val="0060653E"/>
    <w:rsid w:val="00607108"/>
    <w:rsid w:val="00607675"/>
    <w:rsid w:val="00610BAF"/>
    <w:rsid w:val="00611CD0"/>
    <w:rsid w:val="00612190"/>
    <w:rsid w:val="006135F2"/>
    <w:rsid w:val="00613B0B"/>
    <w:rsid w:val="006148DE"/>
    <w:rsid w:val="00617655"/>
    <w:rsid w:val="00620EEE"/>
    <w:rsid w:val="006216CC"/>
    <w:rsid w:val="00623B06"/>
    <w:rsid w:val="00625D88"/>
    <w:rsid w:val="00631549"/>
    <w:rsid w:val="0063344A"/>
    <w:rsid w:val="006349FF"/>
    <w:rsid w:val="00634C28"/>
    <w:rsid w:val="0063546B"/>
    <w:rsid w:val="00641435"/>
    <w:rsid w:val="006425B4"/>
    <w:rsid w:val="00645883"/>
    <w:rsid w:val="0065003E"/>
    <w:rsid w:val="00650B96"/>
    <w:rsid w:val="00653C1B"/>
    <w:rsid w:val="00660CC8"/>
    <w:rsid w:val="006610E9"/>
    <w:rsid w:val="006629A2"/>
    <w:rsid w:val="00663C93"/>
    <w:rsid w:val="006642DA"/>
    <w:rsid w:val="00665F6E"/>
    <w:rsid w:val="00666015"/>
    <w:rsid w:val="00667039"/>
    <w:rsid w:val="0066753F"/>
    <w:rsid w:val="006676BB"/>
    <w:rsid w:val="006678D7"/>
    <w:rsid w:val="00672047"/>
    <w:rsid w:val="00674BFD"/>
    <w:rsid w:val="00677347"/>
    <w:rsid w:val="006775F1"/>
    <w:rsid w:val="00693D4F"/>
    <w:rsid w:val="00695DEC"/>
    <w:rsid w:val="00697453"/>
    <w:rsid w:val="00697B35"/>
    <w:rsid w:val="00697D23"/>
    <w:rsid w:val="006A0076"/>
    <w:rsid w:val="006B0459"/>
    <w:rsid w:val="006B1517"/>
    <w:rsid w:val="006B23B8"/>
    <w:rsid w:val="006B40DA"/>
    <w:rsid w:val="006B53A7"/>
    <w:rsid w:val="006B5987"/>
    <w:rsid w:val="006C09AC"/>
    <w:rsid w:val="006C4B66"/>
    <w:rsid w:val="006C50D8"/>
    <w:rsid w:val="006C6557"/>
    <w:rsid w:val="006C70C1"/>
    <w:rsid w:val="006C7AB9"/>
    <w:rsid w:val="006C7D8C"/>
    <w:rsid w:val="006D65D7"/>
    <w:rsid w:val="006D7C8E"/>
    <w:rsid w:val="006E036A"/>
    <w:rsid w:val="006E13C5"/>
    <w:rsid w:val="006E2908"/>
    <w:rsid w:val="006E55E5"/>
    <w:rsid w:val="006E6036"/>
    <w:rsid w:val="006F1E90"/>
    <w:rsid w:val="006F1E99"/>
    <w:rsid w:val="006F6222"/>
    <w:rsid w:val="006F6B09"/>
    <w:rsid w:val="00700325"/>
    <w:rsid w:val="007035DA"/>
    <w:rsid w:val="007038A3"/>
    <w:rsid w:val="00704263"/>
    <w:rsid w:val="007046DF"/>
    <w:rsid w:val="00706D36"/>
    <w:rsid w:val="00707551"/>
    <w:rsid w:val="007116DC"/>
    <w:rsid w:val="0071403C"/>
    <w:rsid w:val="00715578"/>
    <w:rsid w:val="00720F3C"/>
    <w:rsid w:val="0072488D"/>
    <w:rsid w:val="0072511F"/>
    <w:rsid w:val="00726885"/>
    <w:rsid w:val="007268A1"/>
    <w:rsid w:val="007277B1"/>
    <w:rsid w:val="007318D7"/>
    <w:rsid w:val="00732DB3"/>
    <w:rsid w:val="00734C7A"/>
    <w:rsid w:val="00736267"/>
    <w:rsid w:val="0073630D"/>
    <w:rsid w:val="00736DCB"/>
    <w:rsid w:val="0074102F"/>
    <w:rsid w:val="00744ADC"/>
    <w:rsid w:val="007510AD"/>
    <w:rsid w:val="007532F2"/>
    <w:rsid w:val="007550BF"/>
    <w:rsid w:val="00757522"/>
    <w:rsid w:val="00760AA2"/>
    <w:rsid w:val="00762F07"/>
    <w:rsid w:val="00765A87"/>
    <w:rsid w:val="00766DAF"/>
    <w:rsid w:val="00767E5B"/>
    <w:rsid w:val="00770DDC"/>
    <w:rsid w:val="007757C0"/>
    <w:rsid w:val="00780423"/>
    <w:rsid w:val="00781741"/>
    <w:rsid w:val="007821EC"/>
    <w:rsid w:val="00783A00"/>
    <w:rsid w:val="00783EB8"/>
    <w:rsid w:val="0078499C"/>
    <w:rsid w:val="00785964"/>
    <w:rsid w:val="00786852"/>
    <w:rsid w:val="0079078D"/>
    <w:rsid w:val="007928CF"/>
    <w:rsid w:val="007958DD"/>
    <w:rsid w:val="00795C3C"/>
    <w:rsid w:val="00795C53"/>
    <w:rsid w:val="007A0C68"/>
    <w:rsid w:val="007A2428"/>
    <w:rsid w:val="007A3B76"/>
    <w:rsid w:val="007A5B8D"/>
    <w:rsid w:val="007B423D"/>
    <w:rsid w:val="007B65A1"/>
    <w:rsid w:val="007B7C3F"/>
    <w:rsid w:val="007C461B"/>
    <w:rsid w:val="007D080E"/>
    <w:rsid w:val="007D0A83"/>
    <w:rsid w:val="007D14D7"/>
    <w:rsid w:val="007D2FB0"/>
    <w:rsid w:val="007D3773"/>
    <w:rsid w:val="007D66BD"/>
    <w:rsid w:val="007D7127"/>
    <w:rsid w:val="007E0240"/>
    <w:rsid w:val="007E2821"/>
    <w:rsid w:val="007E40EA"/>
    <w:rsid w:val="007E52B2"/>
    <w:rsid w:val="007E7CC8"/>
    <w:rsid w:val="007F1508"/>
    <w:rsid w:val="007F32A3"/>
    <w:rsid w:val="007F4651"/>
    <w:rsid w:val="007F7EB9"/>
    <w:rsid w:val="00804FBA"/>
    <w:rsid w:val="00805B55"/>
    <w:rsid w:val="0080691A"/>
    <w:rsid w:val="008075CD"/>
    <w:rsid w:val="00811A3C"/>
    <w:rsid w:val="00814920"/>
    <w:rsid w:val="00820507"/>
    <w:rsid w:val="008254A1"/>
    <w:rsid w:val="00830EEC"/>
    <w:rsid w:val="008322F8"/>
    <w:rsid w:val="00832413"/>
    <w:rsid w:val="00832A81"/>
    <w:rsid w:val="00832D78"/>
    <w:rsid w:val="00835853"/>
    <w:rsid w:val="00836CC5"/>
    <w:rsid w:val="008409B4"/>
    <w:rsid w:val="00840F7A"/>
    <w:rsid w:val="00843D88"/>
    <w:rsid w:val="00843E9E"/>
    <w:rsid w:val="00844859"/>
    <w:rsid w:val="00844A3F"/>
    <w:rsid w:val="0084553A"/>
    <w:rsid w:val="00851E30"/>
    <w:rsid w:val="00851F87"/>
    <w:rsid w:val="0085423C"/>
    <w:rsid w:val="008547D7"/>
    <w:rsid w:val="0086659C"/>
    <w:rsid w:val="00867E13"/>
    <w:rsid w:val="00874C36"/>
    <w:rsid w:val="0087500D"/>
    <w:rsid w:val="008776A7"/>
    <w:rsid w:val="00881972"/>
    <w:rsid w:val="00882D7C"/>
    <w:rsid w:val="0088751E"/>
    <w:rsid w:val="00891A1C"/>
    <w:rsid w:val="00891BFA"/>
    <w:rsid w:val="00892720"/>
    <w:rsid w:val="008930E6"/>
    <w:rsid w:val="00894B49"/>
    <w:rsid w:val="008968B6"/>
    <w:rsid w:val="00896F54"/>
    <w:rsid w:val="008A1180"/>
    <w:rsid w:val="008A3310"/>
    <w:rsid w:val="008A6E79"/>
    <w:rsid w:val="008A70C9"/>
    <w:rsid w:val="008B09DE"/>
    <w:rsid w:val="008B24CC"/>
    <w:rsid w:val="008B4CF6"/>
    <w:rsid w:val="008B56BB"/>
    <w:rsid w:val="008B6CB5"/>
    <w:rsid w:val="008C1407"/>
    <w:rsid w:val="008C1F68"/>
    <w:rsid w:val="008C3E8D"/>
    <w:rsid w:val="008C64D3"/>
    <w:rsid w:val="008C77CA"/>
    <w:rsid w:val="008C7FC3"/>
    <w:rsid w:val="008D11FC"/>
    <w:rsid w:val="008D1F93"/>
    <w:rsid w:val="008D43E8"/>
    <w:rsid w:val="008D6D8D"/>
    <w:rsid w:val="008E01A0"/>
    <w:rsid w:val="008E1AC8"/>
    <w:rsid w:val="008E2FF5"/>
    <w:rsid w:val="008E3979"/>
    <w:rsid w:val="008F7A95"/>
    <w:rsid w:val="0090083B"/>
    <w:rsid w:val="009016C7"/>
    <w:rsid w:val="00902779"/>
    <w:rsid w:val="009033A7"/>
    <w:rsid w:val="0090426B"/>
    <w:rsid w:val="009055E3"/>
    <w:rsid w:val="00905B41"/>
    <w:rsid w:val="00910F3B"/>
    <w:rsid w:val="00911CD4"/>
    <w:rsid w:val="00911FC8"/>
    <w:rsid w:val="0091274E"/>
    <w:rsid w:val="00915FD2"/>
    <w:rsid w:val="00916468"/>
    <w:rsid w:val="00924F80"/>
    <w:rsid w:val="0092606C"/>
    <w:rsid w:val="0092650E"/>
    <w:rsid w:val="009269CA"/>
    <w:rsid w:val="00926C76"/>
    <w:rsid w:val="009270A4"/>
    <w:rsid w:val="00931C08"/>
    <w:rsid w:val="00931EE1"/>
    <w:rsid w:val="009330E7"/>
    <w:rsid w:val="00933143"/>
    <w:rsid w:val="00933EF1"/>
    <w:rsid w:val="009344F2"/>
    <w:rsid w:val="00934946"/>
    <w:rsid w:val="00944265"/>
    <w:rsid w:val="0094767A"/>
    <w:rsid w:val="0095090C"/>
    <w:rsid w:val="00952EBD"/>
    <w:rsid w:val="009542EA"/>
    <w:rsid w:val="00954A84"/>
    <w:rsid w:val="009567E8"/>
    <w:rsid w:val="009630C1"/>
    <w:rsid w:val="009639B0"/>
    <w:rsid w:val="00963DA8"/>
    <w:rsid w:val="009643B9"/>
    <w:rsid w:val="00967D4D"/>
    <w:rsid w:val="0097362C"/>
    <w:rsid w:val="00974C0C"/>
    <w:rsid w:val="00974EEA"/>
    <w:rsid w:val="00974F3E"/>
    <w:rsid w:val="009755D7"/>
    <w:rsid w:val="0097725E"/>
    <w:rsid w:val="009808BD"/>
    <w:rsid w:val="00980EF2"/>
    <w:rsid w:val="00987626"/>
    <w:rsid w:val="0099195D"/>
    <w:rsid w:val="0099367C"/>
    <w:rsid w:val="00993BFE"/>
    <w:rsid w:val="00996F27"/>
    <w:rsid w:val="009A0106"/>
    <w:rsid w:val="009A0C53"/>
    <w:rsid w:val="009A2D3B"/>
    <w:rsid w:val="009A7354"/>
    <w:rsid w:val="009B463F"/>
    <w:rsid w:val="009B6AED"/>
    <w:rsid w:val="009C0A13"/>
    <w:rsid w:val="009C2357"/>
    <w:rsid w:val="009C3FC1"/>
    <w:rsid w:val="009C470F"/>
    <w:rsid w:val="009C62A3"/>
    <w:rsid w:val="009C68F4"/>
    <w:rsid w:val="009D10A5"/>
    <w:rsid w:val="009D2170"/>
    <w:rsid w:val="009D26AE"/>
    <w:rsid w:val="009D5149"/>
    <w:rsid w:val="009D62E0"/>
    <w:rsid w:val="009E0CF9"/>
    <w:rsid w:val="009E1520"/>
    <w:rsid w:val="009E2E48"/>
    <w:rsid w:val="009E2FDE"/>
    <w:rsid w:val="009E40E5"/>
    <w:rsid w:val="009E6CF8"/>
    <w:rsid w:val="009F1917"/>
    <w:rsid w:val="009F30F3"/>
    <w:rsid w:val="009F40F8"/>
    <w:rsid w:val="009F47B7"/>
    <w:rsid w:val="009F5181"/>
    <w:rsid w:val="009F7009"/>
    <w:rsid w:val="00A00360"/>
    <w:rsid w:val="00A01A91"/>
    <w:rsid w:val="00A04C6C"/>
    <w:rsid w:val="00A05618"/>
    <w:rsid w:val="00A10525"/>
    <w:rsid w:val="00A128FB"/>
    <w:rsid w:val="00A14888"/>
    <w:rsid w:val="00A15AAA"/>
    <w:rsid w:val="00A167AE"/>
    <w:rsid w:val="00A17F90"/>
    <w:rsid w:val="00A23B6F"/>
    <w:rsid w:val="00A24E9A"/>
    <w:rsid w:val="00A26B1A"/>
    <w:rsid w:val="00A3015E"/>
    <w:rsid w:val="00A32B1B"/>
    <w:rsid w:val="00A40F38"/>
    <w:rsid w:val="00A41102"/>
    <w:rsid w:val="00A4302E"/>
    <w:rsid w:val="00A4766C"/>
    <w:rsid w:val="00A510AF"/>
    <w:rsid w:val="00A6176D"/>
    <w:rsid w:val="00A62532"/>
    <w:rsid w:val="00A65D98"/>
    <w:rsid w:val="00A70CA3"/>
    <w:rsid w:val="00A71E98"/>
    <w:rsid w:val="00A7240D"/>
    <w:rsid w:val="00A739CD"/>
    <w:rsid w:val="00A73AED"/>
    <w:rsid w:val="00A75DA4"/>
    <w:rsid w:val="00A7613B"/>
    <w:rsid w:val="00A779C0"/>
    <w:rsid w:val="00A81B03"/>
    <w:rsid w:val="00A83D3D"/>
    <w:rsid w:val="00A92B9E"/>
    <w:rsid w:val="00A94367"/>
    <w:rsid w:val="00A9538A"/>
    <w:rsid w:val="00A960BF"/>
    <w:rsid w:val="00A97332"/>
    <w:rsid w:val="00AA1264"/>
    <w:rsid w:val="00AA1E9F"/>
    <w:rsid w:val="00AA2D89"/>
    <w:rsid w:val="00AA3B42"/>
    <w:rsid w:val="00AA6CEE"/>
    <w:rsid w:val="00AA7AFA"/>
    <w:rsid w:val="00AB1B95"/>
    <w:rsid w:val="00AB2B5A"/>
    <w:rsid w:val="00AB424D"/>
    <w:rsid w:val="00AB45F0"/>
    <w:rsid w:val="00AB4A8D"/>
    <w:rsid w:val="00AB6530"/>
    <w:rsid w:val="00AC1010"/>
    <w:rsid w:val="00AC3331"/>
    <w:rsid w:val="00AC355A"/>
    <w:rsid w:val="00AC3A13"/>
    <w:rsid w:val="00AC491A"/>
    <w:rsid w:val="00AC4AF1"/>
    <w:rsid w:val="00AD0C2E"/>
    <w:rsid w:val="00AD0CF0"/>
    <w:rsid w:val="00AD2483"/>
    <w:rsid w:val="00AD329F"/>
    <w:rsid w:val="00AD3F86"/>
    <w:rsid w:val="00AD54B0"/>
    <w:rsid w:val="00AD56E1"/>
    <w:rsid w:val="00AE0ADB"/>
    <w:rsid w:val="00AE3066"/>
    <w:rsid w:val="00AE44D3"/>
    <w:rsid w:val="00AE4C26"/>
    <w:rsid w:val="00AF2E14"/>
    <w:rsid w:val="00AF6CDF"/>
    <w:rsid w:val="00B01910"/>
    <w:rsid w:val="00B051AD"/>
    <w:rsid w:val="00B05AF6"/>
    <w:rsid w:val="00B1268A"/>
    <w:rsid w:val="00B150A9"/>
    <w:rsid w:val="00B16EF7"/>
    <w:rsid w:val="00B20C0F"/>
    <w:rsid w:val="00B236F8"/>
    <w:rsid w:val="00B23929"/>
    <w:rsid w:val="00B245CA"/>
    <w:rsid w:val="00B25E47"/>
    <w:rsid w:val="00B2654E"/>
    <w:rsid w:val="00B26A9D"/>
    <w:rsid w:val="00B26F5B"/>
    <w:rsid w:val="00B3059C"/>
    <w:rsid w:val="00B32442"/>
    <w:rsid w:val="00B33A7A"/>
    <w:rsid w:val="00B33CAA"/>
    <w:rsid w:val="00B348EA"/>
    <w:rsid w:val="00B34FD1"/>
    <w:rsid w:val="00B427E9"/>
    <w:rsid w:val="00B42EF2"/>
    <w:rsid w:val="00B438FA"/>
    <w:rsid w:val="00B444A8"/>
    <w:rsid w:val="00B44C10"/>
    <w:rsid w:val="00B47F75"/>
    <w:rsid w:val="00B50B8A"/>
    <w:rsid w:val="00B50CB4"/>
    <w:rsid w:val="00B50D4E"/>
    <w:rsid w:val="00B50F17"/>
    <w:rsid w:val="00B5252E"/>
    <w:rsid w:val="00B52CA7"/>
    <w:rsid w:val="00B532A2"/>
    <w:rsid w:val="00B55470"/>
    <w:rsid w:val="00B55C16"/>
    <w:rsid w:val="00B56BC0"/>
    <w:rsid w:val="00B57351"/>
    <w:rsid w:val="00B6009B"/>
    <w:rsid w:val="00B611A9"/>
    <w:rsid w:val="00B62576"/>
    <w:rsid w:val="00B66120"/>
    <w:rsid w:val="00B6696D"/>
    <w:rsid w:val="00B67290"/>
    <w:rsid w:val="00B67A9D"/>
    <w:rsid w:val="00B67E1E"/>
    <w:rsid w:val="00B70F9F"/>
    <w:rsid w:val="00B71C3F"/>
    <w:rsid w:val="00B71E23"/>
    <w:rsid w:val="00B72FCD"/>
    <w:rsid w:val="00B73379"/>
    <w:rsid w:val="00B73B62"/>
    <w:rsid w:val="00B80940"/>
    <w:rsid w:val="00B82460"/>
    <w:rsid w:val="00B82D41"/>
    <w:rsid w:val="00B83778"/>
    <w:rsid w:val="00B92804"/>
    <w:rsid w:val="00B92E1B"/>
    <w:rsid w:val="00B96278"/>
    <w:rsid w:val="00B97700"/>
    <w:rsid w:val="00B97E2C"/>
    <w:rsid w:val="00BA4C8F"/>
    <w:rsid w:val="00BA623A"/>
    <w:rsid w:val="00BA62E8"/>
    <w:rsid w:val="00BB0648"/>
    <w:rsid w:val="00BB0DB7"/>
    <w:rsid w:val="00BB34EA"/>
    <w:rsid w:val="00BB3989"/>
    <w:rsid w:val="00BB4E9D"/>
    <w:rsid w:val="00BB656D"/>
    <w:rsid w:val="00BC0429"/>
    <w:rsid w:val="00BC053D"/>
    <w:rsid w:val="00BC06E3"/>
    <w:rsid w:val="00BC0882"/>
    <w:rsid w:val="00BC281C"/>
    <w:rsid w:val="00BD2768"/>
    <w:rsid w:val="00BD286B"/>
    <w:rsid w:val="00BD4379"/>
    <w:rsid w:val="00BD45B7"/>
    <w:rsid w:val="00BD5B76"/>
    <w:rsid w:val="00BE3849"/>
    <w:rsid w:val="00BE58E6"/>
    <w:rsid w:val="00BE5A02"/>
    <w:rsid w:val="00BE6629"/>
    <w:rsid w:val="00BE6899"/>
    <w:rsid w:val="00BE6C60"/>
    <w:rsid w:val="00BE7421"/>
    <w:rsid w:val="00BE790A"/>
    <w:rsid w:val="00BF0162"/>
    <w:rsid w:val="00BF278E"/>
    <w:rsid w:val="00BF406E"/>
    <w:rsid w:val="00BF610E"/>
    <w:rsid w:val="00BF70DE"/>
    <w:rsid w:val="00C022DF"/>
    <w:rsid w:val="00C04E52"/>
    <w:rsid w:val="00C12517"/>
    <w:rsid w:val="00C12E70"/>
    <w:rsid w:val="00C15D5E"/>
    <w:rsid w:val="00C17B46"/>
    <w:rsid w:val="00C212AE"/>
    <w:rsid w:val="00C21E0C"/>
    <w:rsid w:val="00C23EEB"/>
    <w:rsid w:val="00C27A94"/>
    <w:rsid w:val="00C30006"/>
    <w:rsid w:val="00C32858"/>
    <w:rsid w:val="00C32CE0"/>
    <w:rsid w:val="00C32F69"/>
    <w:rsid w:val="00C420AF"/>
    <w:rsid w:val="00C42785"/>
    <w:rsid w:val="00C4692A"/>
    <w:rsid w:val="00C46A9A"/>
    <w:rsid w:val="00C47505"/>
    <w:rsid w:val="00C5126D"/>
    <w:rsid w:val="00C512E5"/>
    <w:rsid w:val="00C53AF4"/>
    <w:rsid w:val="00C5485E"/>
    <w:rsid w:val="00C55789"/>
    <w:rsid w:val="00C612BD"/>
    <w:rsid w:val="00C64078"/>
    <w:rsid w:val="00C663E5"/>
    <w:rsid w:val="00C707AF"/>
    <w:rsid w:val="00C721BE"/>
    <w:rsid w:val="00C72AF4"/>
    <w:rsid w:val="00C73094"/>
    <w:rsid w:val="00C736C4"/>
    <w:rsid w:val="00C75AF1"/>
    <w:rsid w:val="00C777D4"/>
    <w:rsid w:val="00C82E8E"/>
    <w:rsid w:val="00C82FE8"/>
    <w:rsid w:val="00C85DAE"/>
    <w:rsid w:val="00C91A38"/>
    <w:rsid w:val="00C9394D"/>
    <w:rsid w:val="00C95099"/>
    <w:rsid w:val="00C95A4E"/>
    <w:rsid w:val="00C96099"/>
    <w:rsid w:val="00C96C1E"/>
    <w:rsid w:val="00CA1F38"/>
    <w:rsid w:val="00CA3B81"/>
    <w:rsid w:val="00CA7DA2"/>
    <w:rsid w:val="00CB3236"/>
    <w:rsid w:val="00CB4278"/>
    <w:rsid w:val="00CB432A"/>
    <w:rsid w:val="00CC133D"/>
    <w:rsid w:val="00CC2B36"/>
    <w:rsid w:val="00CC5E14"/>
    <w:rsid w:val="00CC5E3B"/>
    <w:rsid w:val="00CD10C2"/>
    <w:rsid w:val="00CD3865"/>
    <w:rsid w:val="00CD4A69"/>
    <w:rsid w:val="00CE24A2"/>
    <w:rsid w:val="00CE44D6"/>
    <w:rsid w:val="00CE61E6"/>
    <w:rsid w:val="00CE6CB8"/>
    <w:rsid w:val="00CE767E"/>
    <w:rsid w:val="00CE7F47"/>
    <w:rsid w:val="00CF024D"/>
    <w:rsid w:val="00CF082D"/>
    <w:rsid w:val="00CF1240"/>
    <w:rsid w:val="00CF4D92"/>
    <w:rsid w:val="00D00068"/>
    <w:rsid w:val="00D041A0"/>
    <w:rsid w:val="00D05613"/>
    <w:rsid w:val="00D06E5A"/>
    <w:rsid w:val="00D106CE"/>
    <w:rsid w:val="00D106E5"/>
    <w:rsid w:val="00D20887"/>
    <w:rsid w:val="00D21CE2"/>
    <w:rsid w:val="00D244EB"/>
    <w:rsid w:val="00D24BD0"/>
    <w:rsid w:val="00D26ECC"/>
    <w:rsid w:val="00D30119"/>
    <w:rsid w:val="00D316C7"/>
    <w:rsid w:val="00D34519"/>
    <w:rsid w:val="00D3624D"/>
    <w:rsid w:val="00D4292A"/>
    <w:rsid w:val="00D43D1A"/>
    <w:rsid w:val="00D4474F"/>
    <w:rsid w:val="00D457B6"/>
    <w:rsid w:val="00D47922"/>
    <w:rsid w:val="00D50046"/>
    <w:rsid w:val="00D52154"/>
    <w:rsid w:val="00D530D2"/>
    <w:rsid w:val="00D54881"/>
    <w:rsid w:val="00D54D2E"/>
    <w:rsid w:val="00D559E0"/>
    <w:rsid w:val="00D55E8F"/>
    <w:rsid w:val="00D575CF"/>
    <w:rsid w:val="00D61203"/>
    <w:rsid w:val="00D612DF"/>
    <w:rsid w:val="00D6176B"/>
    <w:rsid w:val="00D630B7"/>
    <w:rsid w:val="00D659EE"/>
    <w:rsid w:val="00D66950"/>
    <w:rsid w:val="00D76D88"/>
    <w:rsid w:val="00D76E36"/>
    <w:rsid w:val="00D823D3"/>
    <w:rsid w:val="00D8497D"/>
    <w:rsid w:val="00D945EB"/>
    <w:rsid w:val="00D94D9E"/>
    <w:rsid w:val="00D955E5"/>
    <w:rsid w:val="00DA074C"/>
    <w:rsid w:val="00DA0E6E"/>
    <w:rsid w:val="00DA147D"/>
    <w:rsid w:val="00DA34CC"/>
    <w:rsid w:val="00DA3E67"/>
    <w:rsid w:val="00DA50A3"/>
    <w:rsid w:val="00DA7D60"/>
    <w:rsid w:val="00DB0C89"/>
    <w:rsid w:val="00DB2704"/>
    <w:rsid w:val="00DB2AF8"/>
    <w:rsid w:val="00DB3F06"/>
    <w:rsid w:val="00DB5592"/>
    <w:rsid w:val="00DB6A21"/>
    <w:rsid w:val="00DB6AE6"/>
    <w:rsid w:val="00DC6CED"/>
    <w:rsid w:val="00DD35EA"/>
    <w:rsid w:val="00DD4E99"/>
    <w:rsid w:val="00DE0BE7"/>
    <w:rsid w:val="00DE1739"/>
    <w:rsid w:val="00DE2756"/>
    <w:rsid w:val="00DE48B4"/>
    <w:rsid w:val="00DF2C1C"/>
    <w:rsid w:val="00DF4D27"/>
    <w:rsid w:val="00DF652F"/>
    <w:rsid w:val="00DF76FA"/>
    <w:rsid w:val="00E00CB0"/>
    <w:rsid w:val="00E03ABC"/>
    <w:rsid w:val="00E03E02"/>
    <w:rsid w:val="00E05993"/>
    <w:rsid w:val="00E0653B"/>
    <w:rsid w:val="00E07070"/>
    <w:rsid w:val="00E1318F"/>
    <w:rsid w:val="00E135A5"/>
    <w:rsid w:val="00E14B21"/>
    <w:rsid w:val="00E154E2"/>
    <w:rsid w:val="00E17366"/>
    <w:rsid w:val="00E22A7E"/>
    <w:rsid w:val="00E251BD"/>
    <w:rsid w:val="00E26627"/>
    <w:rsid w:val="00E26914"/>
    <w:rsid w:val="00E26CD1"/>
    <w:rsid w:val="00E27EDE"/>
    <w:rsid w:val="00E300EC"/>
    <w:rsid w:val="00E3036A"/>
    <w:rsid w:val="00E326F1"/>
    <w:rsid w:val="00E327AD"/>
    <w:rsid w:val="00E34F37"/>
    <w:rsid w:val="00E36F7A"/>
    <w:rsid w:val="00E40280"/>
    <w:rsid w:val="00E476B0"/>
    <w:rsid w:val="00E51820"/>
    <w:rsid w:val="00E52818"/>
    <w:rsid w:val="00E55F4E"/>
    <w:rsid w:val="00E56BAB"/>
    <w:rsid w:val="00E64A6B"/>
    <w:rsid w:val="00E65235"/>
    <w:rsid w:val="00E65293"/>
    <w:rsid w:val="00E67297"/>
    <w:rsid w:val="00E67B5F"/>
    <w:rsid w:val="00E716C4"/>
    <w:rsid w:val="00E74C56"/>
    <w:rsid w:val="00E758D6"/>
    <w:rsid w:val="00E82452"/>
    <w:rsid w:val="00E83C1C"/>
    <w:rsid w:val="00E856C8"/>
    <w:rsid w:val="00E908A9"/>
    <w:rsid w:val="00E90DD4"/>
    <w:rsid w:val="00E9470B"/>
    <w:rsid w:val="00E96B11"/>
    <w:rsid w:val="00E96C27"/>
    <w:rsid w:val="00E96E4D"/>
    <w:rsid w:val="00EA36DB"/>
    <w:rsid w:val="00EB2A2B"/>
    <w:rsid w:val="00EC4D73"/>
    <w:rsid w:val="00EC53E2"/>
    <w:rsid w:val="00ED0610"/>
    <w:rsid w:val="00ED26F5"/>
    <w:rsid w:val="00ED299B"/>
    <w:rsid w:val="00ED32D6"/>
    <w:rsid w:val="00ED477C"/>
    <w:rsid w:val="00EE0741"/>
    <w:rsid w:val="00EE1126"/>
    <w:rsid w:val="00EE188F"/>
    <w:rsid w:val="00EE2AB7"/>
    <w:rsid w:val="00EE2FE2"/>
    <w:rsid w:val="00EE4B7A"/>
    <w:rsid w:val="00EE5BCC"/>
    <w:rsid w:val="00EF1027"/>
    <w:rsid w:val="00EF3124"/>
    <w:rsid w:val="00EF3675"/>
    <w:rsid w:val="00EF50C8"/>
    <w:rsid w:val="00EF7FD5"/>
    <w:rsid w:val="00F0099E"/>
    <w:rsid w:val="00F01EAF"/>
    <w:rsid w:val="00F12607"/>
    <w:rsid w:val="00F1338F"/>
    <w:rsid w:val="00F14495"/>
    <w:rsid w:val="00F15F98"/>
    <w:rsid w:val="00F16808"/>
    <w:rsid w:val="00F2326A"/>
    <w:rsid w:val="00F26640"/>
    <w:rsid w:val="00F270ED"/>
    <w:rsid w:val="00F30437"/>
    <w:rsid w:val="00F32E9A"/>
    <w:rsid w:val="00F34748"/>
    <w:rsid w:val="00F41EB2"/>
    <w:rsid w:val="00F424CF"/>
    <w:rsid w:val="00F4281C"/>
    <w:rsid w:val="00F43626"/>
    <w:rsid w:val="00F505F9"/>
    <w:rsid w:val="00F51398"/>
    <w:rsid w:val="00F519D9"/>
    <w:rsid w:val="00F54727"/>
    <w:rsid w:val="00F54A8C"/>
    <w:rsid w:val="00F55448"/>
    <w:rsid w:val="00F56FFA"/>
    <w:rsid w:val="00F576B9"/>
    <w:rsid w:val="00F624A1"/>
    <w:rsid w:val="00F64BAE"/>
    <w:rsid w:val="00F67E96"/>
    <w:rsid w:val="00F709F6"/>
    <w:rsid w:val="00F738B7"/>
    <w:rsid w:val="00F74276"/>
    <w:rsid w:val="00F74D78"/>
    <w:rsid w:val="00F76163"/>
    <w:rsid w:val="00F770D7"/>
    <w:rsid w:val="00F77227"/>
    <w:rsid w:val="00F82355"/>
    <w:rsid w:val="00F861B7"/>
    <w:rsid w:val="00F86499"/>
    <w:rsid w:val="00F87B16"/>
    <w:rsid w:val="00F91908"/>
    <w:rsid w:val="00F91E67"/>
    <w:rsid w:val="00F97E56"/>
    <w:rsid w:val="00FA0AF5"/>
    <w:rsid w:val="00FA1C23"/>
    <w:rsid w:val="00FA2985"/>
    <w:rsid w:val="00FA5C02"/>
    <w:rsid w:val="00FA70B7"/>
    <w:rsid w:val="00FB0A18"/>
    <w:rsid w:val="00FB2EE9"/>
    <w:rsid w:val="00FB7E21"/>
    <w:rsid w:val="00FC2CD9"/>
    <w:rsid w:val="00FC5D97"/>
    <w:rsid w:val="00FC653A"/>
    <w:rsid w:val="00FC7B36"/>
    <w:rsid w:val="00FD0127"/>
    <w:rsid w:val="00FD0582"/>
    <w:rsid w:val="00FD162E"/>
    <w:rsid w:val="00FD23A9"/>
    <w:rsid w:val="00FD3C79"/>
    <w:rsid w:val="00FD4FBF"/>
    <w:rsid w:val="00FE1953"/>
    <w:rsid w:val="00FE3A51"/>
    <w:rsid w:val="00FE3E1B"/>
    <w:rsid w:val="00FE48AB"/>
    <w:rsid w:val="00FE4C14"/>
    <w:rsid w:val="00FE7AE5"/>
    <w:rsid w:val="00FF0521"/>
    <w:rsid w:val="00FF2798"/>
    <w:rsid w:val="00FF638D"/>
    <w:rsid w:val="00FF66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396E4C49"/>
  <w15:docId w15:val="{4EFD016A-5C5C-47F6-9039-194AE1CE5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1"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qFormat="1"/>
    <w:lsdException w:name="Table Theme" w:semiHidden="1" w:uiPriority="0"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6F5B"/>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rFonts w:ascii="Times New Roman" w:hAnsi="Times New Roman"/>
      <w:sz w:val="22"/>
      <w:lang w:val="fr-FR" w:eastAsia="en-US"/>
    </w:rPr>
  </w:style>
  <w:style w:type="paragraph" w:styleId="Heading1">
    <w:name w:val="heading 1"/>
    <w:basedOn w:val="Normal"/>
    <w:next w:val="Normal"/>
    <w:link w:val="Heading1Char"/>
    <w:qFormat/>
    <w:pPr>
      <w:keepNext/>
      <w:keepLines/>
      <w:spacing w:before="600" w:line="320" w:lineRule="exact"/>
      <w:ind w:left="794" w:hanging="794"/>
      <w:outlineLvl w:val="0"/>
    </w:pPr>
    <w:rPr>
      <w:b/>
      <w:sz w:val="24"/>
    </w:rPr>
  </w:style>
  <w:style w:type="paragraph" w:styleId="Heading2">
    <w:name w:val="heading 2"/>
    <w:basedOn w:val="Heading1"/>
    <w:next w:val="Normal"/>
    <w:link w:val="Heading2Char"/>
    <w:qFormat/>
    <w:pPr>
      <w:spacing w:before="360"/>
      <w:outlineLvl w:val="1"/>
    </w:pPr>
  </w:style>
  <w:style w:type="paragraph" w:styleId="Heading3">
    <w:name w:val="heading 3"/>
    <w:basedOn w:val="Heading1"/>
    <w:next w:val="Normal"/>
    <w:link w:val="Heading3Char"/>
    <w:qFormat/>
    <w:pPr>
      <w:spacing w:before="240"/>
      <w:outlineLvl w:val="2"/>
    </w:pPr>
  </w:style>
  <w:style w:type="paragraph" w:styleId="Heading4">
    <w:name w:val="heading 4"/>
    <w:basedOn w:val="Heading3"/>
    <w:next w:val="Normal"/>
    <w:link w:val="Heading4Char"/>
    <w:qFormat/>
    <w:pPr>
      <w:tabs>
        <w:tab w:val="clear" w:pos="794"/>
        <w:tab w:val="left" w:pos="1021"/>
      </w:tabs>
      <w:ind w:left="1021" w:hanging="1021"/>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uiPriority w:val="1"/>
    <w:qFormat/>
    <w:pPr>
      <w:tabs>
        <w:tab w:val="clear" w:pos="1021"/>
        <w:tab w:val="clear" w:pos="1191"/>
      </w:tabs>
      <w:ind w:left="1588" w:hanging="1588"/>
      <w:outlineLvl w:val="5"/>
    </w:pPr>
  </w:style>
  <w:style w:type="paragraph" w:styleId="Heading7">
    <w:name w:val="heading 7"/>
    <w:basedOn w:val="Heading6"/>
    <w:next w:val="Normal"/>
    <w:link w:val="Heading7Char"/>
    <w:uiPriority w:val="1"/>
    <w:qFormat/>
    <w:pPr>
      <w:outlineLvl w:val="6"/>
    </w:pPr>
  </w:style>
  <w:style w:type="paragraph" w:styleId="Heading8">
    <w:name w:val="heading 8"/>
    <w:basedOn w:val="Heading6"/>
    <w:next w:val="Normal"/>
    <w:link w:val="Heading8Char"/>
    <w:uiPriority w:val="1"/>
    <w:qFormat/>
    <w:pPr>
      <w:outlineLvl w:val="7"/>
    </w:pPr>
  </w:style>
  <w:style w:type="paragraph" w:styleId="Heading9">
    <w:name w:val="heading 9"/>
    <w:basedOn w:val="Heading6"/>
    <w:next w:val="Normal"/>
    <w:link w:val="Heading9Char"/>
    <w:uiPriority w:val="1"/>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059B"/>
    <w:rPr>
      <w:rFonts w:ascii="Times New Roman" w:hAnsi="Times New Roman"/>
      <w:b/>
      <w:sz w:val="24"/>
      <w:lang w:val="fr-FR" w:eastAsia="en-US"/>
    </w:rPr>
  </w:style>
  <w:style w:type="character" w:customStyle="1" w:styleId="Heading2Char">
    <w:name w:val="Heading 2 Char"/>
    <w:basedOn w:val="DefaultParagraphFont"/>
    <w:link w:val="Heading2"/>
    <w:qFormat/>
    <w:rsid w:val="007E52B2"/>
    <w:rPr>
      <w:rFonts w:ascii="Times New Roman" w:hAnsi="Times New Roman"/>
      <w:b/>
      <w:sz w:val="24"/>
      <w:lang w:val="fr-FR" w:eastAsia="en-US"/>
    </w:rPr>
  </w:style>
  <w:style w:type="character" w:customStyle="1" w:styleId="Heading3Char">
    <w:name w:val="Heading 3 Char"/>
    <w:basedOn w:val="DefaultParagraphFont"/>
    <w:link w:val="Heading3"/>
    <w:qFormat/>
    <w:rsid w:val="007E52B2"/>
    <w:rPr>
      <w:rFonts w:ascii="Times New Roman" w:hAnsi="Times New Roman"/>
      <w:b/>
      <w:sz w:val="24"/>
      <w:lang w:val="fr-FR" w:eastAsia="en-US"/>
    </w:rPr>
  </w:style>
  <w:style w:type="character" w:customStyle="1" w:styleId="Heading4Char">
    <w:name w:val="Heading 4 Char"/>
    <w:basedOn w:val="DefaultParagraphFont"/>
    <w:link w:val="Heading4"/>
    <w:rsid w:val="007E52B2"/>
    <w:rPr>
      <w:rFonts w:ascii="Times New Roman" w:hAnsi="Times New Roman"/>
      <w:b/>
      <w:sz w:val="24"/>
      <w:lang w:val="fr-FR" w:eastAsia="en-US"/>
    </w:rPr>
  </w:style>
  <w:style w:type="character" w:customStyle="1" w:styleId="Heading5Char">
    <w:name w:val="Heading 5 Char"/>
    <w:basedOn w:val="DefaultParagraphFont"/>
    <w:link w:val="Heading5"/>
    <w:qFormat/>
    <w:rsid w:val="007E52B2"/>
    <w:rPr>
      <w:rFonts w:ascii="Times New Roman" w:hAnsi="Times New Roman"/>
      <w:b/>
      <w:sz w:val="24"/>
      <w:lang w:val="fr-FR" w:eastAsia="en-US"/>
    </w:rPr>
  </w:style>
  <w:style w:type="character" w:customStyle="1" w:styleId="Heading6Char">
    <w:name w:val="Heading 6 Char"/>
    <w:basedOn w:val="DefaultParagraphFont"/>
    <w:link w:val="Heading6"/>
    <w:rsid w:val="007E52B2"/>
    <w:rPr>
      <w:rFonts w:ascii="Times New Roman" w:hAnsi="Times New Roman"/>
      <w:b/>
      <w:sz w:val="24"/>
      <w:lang w:val="fr-FR" w:eastAsia="en-US"/>
    </w:rPr>
  </w:style>
  <w:style w:type="character" w:customStyle="1" w:styleId="Heading7Char">
    <w:name w:val="Heading 7 Char"/>
    <w:basedOn w:val="DefaultParagraphFont"/>
    <w:link w:val="Heading7"/>
    <w:qFormat/>
    <w:rsid w:val="007E52B2"/>
    <w:rPr>
      <w:rFonts w:ascii="Times New Roman" w:hAnsi="Times New Roman"/>
      <w:b/>
      <w:sz w:val="24"/>
      <w:lang w:val="fr-FR" w:eastAsia="en-US"/>
    </w:rPr>
  </w:style>
  <w:style w:type="character" w:customStyle="1" w:styleId="Heading8Char">
    <w:name w:val="Heading 8 Char"/>
    <w:basedOn w:val="DefaultParagraphFont"/>
    <w:link w:val="Heading8"/>
    <w:qFormat/>
    <w:rsid w:val="007E52B2"/>
    <w:rPr>
      <w:rFonts w:ascii="Times New Roman" w:hAnsi="Times New Roman"/>
      <w:b/>
      <w:sz w:val="24"/>
      <w:lang w:val="fr-FR" w:eastAsia="en-US"/>
    </w:rPr>
  </w:style>
  <w:style w:type="character" w:customStyle="1" w:styleId="Heading9Char">
    <w:name w:val="Heading 9 Char"/>
    <w:basedOn w:val="DefaultParagraphFont"/>
    <w:link w:val="Heading9"/>
    <w:qFormat/>
    <w:rsid w:val="007E52B2"/>
    <w:rPr>
      <w:rFonts w:ascii="Times New Roman" w:hAnsi="Times New Roman"/>
      <w:b/>
      <w:sz w:val="24"/>
      <w:lang w:val="fr-FR" w:eastAsia="en-US"/>
    </w:rPr>
  </w:style>
  <w:style w:type="paragraph" w:styleId="TOC8">
    <w:name w:val="toc 8"/>
    <w:basedOn w:val="TOC4"/>
    <w:uiPriority w:val="39"/>
    <w:pPr>
      <w:ind w:left="1540"/>
    </w:pPr>
  </w:style>
  <w:style w:type="paragraph" w:styleId="TOC4">
    <w:name w:val="toc 4"/>
    <w:basedOn w:val="TOC3"/>
    <w:uiPriority w:val="39"/>
    <w:pPr>
      <w:ind w:left="660"/>
    </w:pPr>
    <w:rPr>
      <w:i w:val="0"/>
      <w:iCs w:val="0"/>
      <w:sz w:val="18"/>
      <w:szCs w:val="21"/>
    </w:rPr>
  </w:style>
  <w:style w:type="paragraph" w:styleId="TOC3">
    <w:name w:val="toc 3"/>
    <w:basedOn w:val="TOC2"/>
    <w:uiPriority w:val="39"/>
    <w:pPr>
      <w:ind w:left="440"/>
    </w:pPr>
    <w:rPr>
      <w:i/>
      <w:iCs/>
      <w:smallCaps w:val="0"/>
    </w:rPr>
  </w:style>
  <w:style w:type="paragraph" w:styleId="TOC2">
    <w:name w:val="toc 2"/>
    <w:basedOn w:val="TOC1"/>
    <w:uiPriority w:val="39"/>
    <w:pPr>
      <w:spacing w:before="0" w:after="0"/>
      <w:ind w:left="220"/>
    </w:pPr>
    <w:rPr>
      <w:b w:val="0"/>
      <w:bCs w:val="0"/>
      <w:caps w:val="0"/>
      <w:smallCaps/>
    </w:rPr>
  </w:style>
  <w:style w:type="paragraph" w:styleId="TOC1">
    <w:name w:val="toc 1"/>
    <w:basedOn w:val="Normal"/>
    <w:uiPriority w:val="39"/>
    <w:rsid w:val="00082B43"/>
    <w:pPr>
      <w:tabs>
        <w:tab w:val="clear" w:pos="794"/>
        <w:tab w:val="clear" w:pos="1191"/>
        <w:tab w:val="clear" w:pos="1588"/>
        <w:tab w:val="clear" w:pos="1985"/>
      </w:tabs>
      <w:spacing w:before="120" w:after="120"/>
      <w:jc w:val="left"/>
    </w:pPr>
    <w:rPr>
      <w:rFonts w:asciiTheme="minorHAnsi" w:hAnsiTheme="minorHAnsi" w:cstheme="minorHAnsi"/>
      <w:b/>
      <w:bCs/>
      <w:caps/>
      <w:sz w:val="20"/>
      <w:szCs w:val="24"/>
    </w:rPr>
  </w:style>
  <w:style w:type="paragraph" w:styleId="TOC7">
    <w:name w:val="toc 7"/>
    <w:basedOn w:val="TOC4"/>
    <w:uiPriority w:val="39"/>
    <w:pPr>
      <w:ind w:left="1320"/>
    </w:pPr>
  </w:style>
  <w:style w:type="paragraph" w:styleId="TOC6">
    <w:name w:val="toc 6"/>
    <w:basedOn w:val="TOC4"/>
    <w:uiPriority w:val="39"/>
    <w:pPr>
      <w:ind w:left="1100"/>
    </w:pPr>
  </w:style>
  <w:style w:type="paragraph" w:styleId="TOC5">
    <w:name w:val="toc 5"/>
    <w:basedOn w:val="TOC4"/>
    <w:uiPriority w:val="39"/>
    <w:pPr>
      <w:ind w:left="880"/>
    </w:pPr>
  </w:style>
  <w:style w:type="paragraph" w:styleId="Footer">
    <w:name w:val="footer"/>
    <w:basedOn w:val="Normal"/>
    <w:link w:val="FooterChar"/>
    <w:uiPriority w:val="1"/>
    <w:pPr>
      <w:tabs>
        <w:tab w:val="clear" w:pos="794"/>
        <w:tab w:val="clear" w:pos="1191"/>
        <w:tab w:val="clear" w:pos="1588"/>
        <w:tab w:val="clear" w:pos="1985"/>
        <w:tab w:val="center" w:pos="4320"/>
        <w:tab w:val="right" w:pos="8640"/>
      </w:tabs>
    </w:pPr>
  </w:style>
  <w:style w:type="character" w:customStyle="1" w:styleId="FooterChar">
    <w:name w:val="Footer Char"/>
    <w:basedOn w:val="DefaultParagraphFont"/>
    <w:link w:val="Footer"/>
    <w:qFormat/>
    <w:rsid w:val="00AA1264"/>
    <w:rPr>
      <w:rFonts w:ascii="Times New Roman" w:hAnsi="Times New Roman"/>
      <w:sz w:val="22"/>
      <w:lang w:val="fr-FR" w:eastAsia="en-US"/>
    </w:rPr>
  </w:style>
  <w:style w:type="paragraph" w:styleId="Header">
    <w:name w:val="header"/>
    <w:basedOn w:val="Normal"/>
    <w:link w:val="HeaderChar"/>
    <w:uiPriority w:val="1"/>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AA1264"/>
    <w:rPr>
      <w:rFonts w:ascii="Times New Roman" w:hAnsi="Times New Roman"/>
      <w:sz w:val="18"/>
      <w:lang w:val="fr-FR" w:eastAsia="en-US"/>
    </w:rPr>
  </w:style>
  <w:style w:type="character" w:styleId="FootnoteReference">
    <w:name w:val="footnote reference"/>
    <w:aliases w:val="Appel note de bas de p,Footnote Reference/"/>
    <w:uiPriority w:val="1"/>
    <w:rsid w:val="00B3059C"/>
    <w:rPr>
      <w:position w:val="6"/>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uiPriority w:val="1"/>
    <w:rsid w:val="0078499C"/>
    <w:pPr>
      <w:keepLines/>
      <w:tabs>
        <w:tab w:val="left" w:pos="255"/>
      </w:tabs>
      <w:ind w:left="255" w:hanging="255"/>
    </w:pPr>
    <w:rPr>
      <w:sz w:val="18"/>
    </w:rPr>
  </w:style>
  <w:style w:type="paragraph" w:customStyle="1" w:styleId="Note">
    <w:name w:val="Note"/>
    <w:basedOn w:val="Normal"/>
    <w:pPr>
      <w:spacing w:before="80" w:line="240" w:lineRule="exact"/>
    </w:pPr>
    <w:rPr>
      <w:sz w:val="2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qFormat/>
    <w:rsid w:val="0078499C"/>
    <w:rPr>
      <w:rFonts w:ascii="Times New Roman" w:hAnsi="Times New Roman"/>
      <w:sz w:val="18"/>
      <w:lang w:val="fr-FR" w:eastAsia="en-US"/>
    </w:rPr>
  </w:style>
  <w:style w:type="paragraph" w:customStyle="1" w:styleId="enumlev1">
    <w:name w:val="enumlev1"/>
    <w:basedOn w:val="Normal"/>
    <w:link w:val="enumlev1Char"/>
    <w:qFormat/>
    <w:pPr>
      <w:spacing w:before="80"/>
      <w:ind w:left="794" w:hanging="794"/>
    </w:pPr>
  </w:style>
  <w:style w:type="character" w:customStyle="1" w:styleId="enumlev1Char">
    <w:name w:val="enumlev1 Char"/>
    <w:link w:val="enumlev1"/>
    <w:qFormat/>
    <w:rsid w:val="003374BB"/>
    <w:rPr>
      <w:sz w:val="22"/>
      <w:lang w:val="fr-FR" w:eastAsia="en-US" w:bidi="ar-SA"/>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uiPriority w:val="99"/>
    <w:pPr>
      <w:tabs>
        <w:tab w:val="clear" w:pos="1191"/>
        <w:tab w:val="clear" w:pos="1588"/>
        <w:tab w:val="clear" w:pos="1985"/>
        <w:tab w:val="center" w:pos="4820"/>
        <w:tab w:val="right" w:pos="9639"/>
      </w:tabs>
      <w:jc w:val="left"/>
    </w:pPr>
  </w:style>
  <w:style w:type="paragraph" w:customStyle="1" w:styleId="toc0">
    <w:name w:val="toc 0"/>
    <w:basedOn w:val="Normal"/>
    <w:next w:val="TOC1"/>
    <w:uiPriority w:val="99"/>
    <w:pPr>
      <w:keepLines/>
      <w:tabs>
        <w:tab w:val="clear" w:pos="794"/>
        <w:tab w:val="clear" w:pos="1191"/>
        <w:tab w:val="clear" w:pos="1588"/>
        <w:tab w:val="clear" w:pos="1985"/>
        <w:tab w:val="right" w:pos="9639"/>
      </w:tabs>
      <w:jc w:val="left"/>
    </w:pPr>
    <w:rPr>
      <w:b/>
    </w:rPr>
  </w:style>
  <w:style w:type="paragraph" w:customStyle="1" w:styleId="ASN1">
    <w:name w:val="ASN.1"/>
    <w:uiPriority w:val="1"/>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uiPriority w:val="39"/>
    <w:pPr>
      <w:ind w:left="1760"/>
    </w:pPr>
    <w:rPr>
      <w:i w:val="0"/>
      <w:iCs w:val="0"/>
      <w:sz w:val="18"/>
      <w:szCs w:val="21"/>
    </w:rPr>
  </w:style>
  <w:style w:type="paragraph" w:customStyle="1" w:styleId="Chaptitle">
    <w:name w:val="Chap_title"/>
    <w:basedOn w:val="Normal"/>
    <w:next w:val="Normalaftertitle"/>
    <w:pPr>
      <w:keepNext/>
      <w:keepLines/>
      <w:tabs>
        <w:tab w:val="clear" w:pos="794"/>
        <w:tab w:val="clear" w:pos="1191"/>
        <w:tab w:val="clear" w:pos="1588"/>
        <w:tab w:val="clear" w:pos="1985"/>
      </w:tabs>
      <w:spacing w:before="480"/>
      <w:jc w:val="center"/>
    </w:pPr>
    <w:rPr>
      <w:b/>
      <w:sz w:val="24"/>
    </w:rPr>
  </w:style>
  <w:style w:type="paragraph" w:customStyle="1" w:styleId="Normalaftertitle">
    <w:name w:val="Normal_after_title"/>
    <w:basedOn w:val="Normal"/>
    <w:next w:val="Normal"/>
    <w:link w:val="NormalaftertitleChar"/>
    <w:pPr>
      <w:spacing w:before="400"/>
    </w:pPr>
  </w:style>
  <w:style w:type="character" w:styleId="PageNumber">
    <w:name w:val="page number"/>
    <w:basedOn w:val="DefaultParagraphFont"/>
    <w:uiPriority w:val="1"/>
  </w:style>
  <w:style w:type="paragraph" w:customStyle="1" w:styleId="Reftitle">
    <w:name w:val="Ref_title"/>
    <w:basedOn w:val="Normal"/>
    <w:next w:val="Reftext"/>
    <w:uiPriority w:val="99"/>
    <w:pPr>
      <w:spacing w:before="480"/>
      <w:jc w:val="center"/>
    </w:pPr>
    <w:rPr>
      <w:b/>
    </w:rPr>
  </w:style>
  <w:style w:type="paragraph" w:customStyle="1" w:styleId="Reftext">
    <w:name w:val="Ref_text"/>
    <w:basedOn w:val="Normal"/>
    <w:pPr>
      <w:ind w:left="794" w:hanging="794"/>
      <w:jc w:val="left"/>
    </w:pPr>
  </w:style>
  <w:style w:type="paragraph" w:styleId="Index1">
    <w:name w:val="index 1"/>
    <w:basedOn w:val="Normal"/>
    <w:next w:val="Normal"/>
    <w:uiPriority w:val="1"/>
    <w:pPr>
      <w:jc w:val="left"/>
    </w:pPr>
  </w:style>
  <w:style w:type="paragraph" w:styleId="BodyTextFirstIndent">
    <w:name w:val="Body Text First Indent"/>
    <w:basedOn w:val="BodyText"/>
    <w:link w:val="BodyTextFirstIndentChar"/>
    <w:uiPriority w:val="1"/>
    <w:rsid w:val="00EE1126"/>
    <w:pPr>
      <w:spacing w:after="120"/>
      <w:ind w:firstLine="210"/>
    </w:pPr>
    <w:rPr>
      <w:rFonts w:ascii="Times New Roman" w:hAnsi="Times New Roman" w:cs="Times New Roman"/>
      <w:b w:val="0"/>
      <w:bCs w:val="0"/>
      <w:sz w:val="22"/>
    </w:rPr>
  </w:style>
  <w:style w:type="paragraph" w:styleId="BodyText">
    <w:name w:val="Body Text"/>
    <w:basedOn w:val="Normal"/>
    <w:link w:val="BodyTextChar"/>
    <w:uiPriority w:val="1"/>
    <w:qFormat/>
    <w:rPr>
      <w:rFonts w:ascii="Arial" w:hAnsi="Arial" w:cs="Arial"/>
      <w:b/>
      <w:bCs/>
      <w:sz w:val="36"/>
    </w:rPr>
  </w:style>
  <w:style w:type="paragraph" w:customStyle="1" w:styleId="AnnexNoTitle">
    <w:name w:val="Annex_NoTitle"/>
    <w:basedOn w:val="Normal"/>
    <w:next w:val="Normalaftertitle"/>
    <w:uiPriority w:val="99"/>
    <w:pPr>
      <w:keepNext/>
      <w:keepLines/>
      <w:spacing w:before="720" w:after="120"/>
      <w:jc w:val="center"/>
    </w:pPr>
    <w:rPr>
      <w:b/>
      <w:sz w:val="24"/>
    </w:rPr>
  </w:style>
  <w:style w:type="character" w:customStyle="1" w:styleId="Appdef">
    <w:name w:val="App_def"/>
    <w:uiPriority w:val="1"/>
    <w:rPr>
      <w:rFonts w:ascii="Times New Roman" w:hAnsi="Times New Roman"/>
      <w:b/>
    </w:rPr>
  </w:style>
  <w:style w:type="character" w:customStyle="1" w:styleId="Appref">
    <w:name w:val="App_ref"/>
    <w:basedOn w:val="DefaultParagraphFont"/>
    <w:uiPriority w:val="1"/>
  </w:style>
  <w:style w:type="paragraph" w:customStyle="1" w:styleId="AppendixNoTitle">
    <w:name w:val="Appendix_NoTitle"/>
    <w:basedOn w:val="AnnexNoTitle"/>
    <w:next w:val="Normalaftertitle"/>
    <w:rsid w:val="00AB6530"/>
    <w:pPr>
      <w:outlineLvl w:val="0"/>
    </w:pPr>
  </w:style>
  <w:style w:type="character" w:customStyle="1" w:styleId="Artdef">
    <w:name w:val="Art_def"/>
    <w:uiPriority w:val="1"/>
    <w:rPr>
      <w:rFonts w:ascii="Times New Roman" w:hAnsi="Times New Roman"/>
      <w:b/>
    </w:rPr>
  </w:style>
  <w:style w:type="paragraph" w:customStyle="1" w:styleId="Artheading">
    <w:name w:val="Art_heading"/>
    <w:basedOn w:val="Normal"/>
    <w:next w:val="Normalaftertitle"/>
    <w:uiPriority w:val="99"/>
    <w:pPr>
      <w:spacing w:before="480"/>
      <w:jc w:val="center"/>
    </w:pPr>
    <w:rPr>
      <w:b/>
      <w:sz w:val="28"/>
    </w:rPr>
  </w:style>
  <w:style w:type="paragraph" w:customStyle="1" w:styleId="ArtNo">
    <w:name w:val="Art_No"/>
    <w:basedOn w:val="Normal"/>
    <w:next w:val="Arttitle"/>
    <w:uiPriority w:val="99"/>
    <w:pPr>
      <w:keepNext/>
      <w:keepLines/>
      <w:spacing w:before="480"/>
      <w:jc w:val="center"/>
    </w:pPr>
    <w:rPr>
      <w:caps/>
      <w:sz w:val="28"/>
    </w:rPr>
  </w:style>
  <w:style w:type="paragraph" w:customStyle="1" w:styleId="Arttitle">
    <w:name w:val="Art_title"/>
    <w:basedOn w:val="Normal"/>
    <w:next w:val="Normalaftertitle"/>
    <w:uiPriority w:val="99"/>
    <w:pPr>
      <w:keepNext/>
      <w:keepLines/>
      <w:spacing w:before="240"/>
      <w:jc w:val="center"/>
    </w:pPr>
    <w:rPr>
      <w:b/>
      <w:sz w:val="28"/>
    </w:rPr>
  </w:style>
  <w:style w:type="character" w:customStyle="1" w:styleId="Artref">
    <w:name w:val="Art_ref"/>
    <w:basedOn w:val="DefaultParagraphFont"/>
    <w:uiPriority w:val="1"/>
  </w:style>
  <w:style w:type="paragraph" w:customStyle="1" w:styleId="Call">
    <w:name w:val="Call"/>
    <w:basedOn w:val="Normal"/>
    <w:next w:val="Normal"/>
    <w:link w:val="CallChar"/>
    <w:rsid w:val="007038A3"/>
    <w:pPr>
      <w:keepNext/>
      <w:keepLines/>
      <w:spacing w:before="240"/>
      <w:ind w:left="794"/>
      <w:jc w:val="left"/>
    </w:pPr>
    <w:rPr>
      <w:i/>
    </w:rPr>
  </w:style>
  <w:style w:type="character" w:customStyle="1" w:styleId="CallChar">
    <w:name w:val="Call Char"/>
    <w:link w:val="Call"/>
    <w:rsid w:val="007038A3"/>
    <w:rPr>
      <w:rFonts w:ascii="Times New Roman" w:hAnsi="Times New Roman"/>
      <w:i/>
      <w:sz w:val="22"/>
      <w:lang w:val="fr-FR" w:eastAsia="en-US"/>
    </w:rPr>
  </w:style>
  <w:style w:type="paragraph" w:customStyle="1" w:styleId="ChapNo">
    <w:name w:val="Chap_No"/>
    <w:basedOn w:val="Normal"/>
    <w:next w:val="Chaptitle"/>
    <w:rsid w:val="007038A3"/>
    <w:pPr>
      <w:keepNext/>
      <w:keepLines/>
      <w:tabs>
        <w:tab w:val="clear" w:pos="794"/>
        <w:tab w:val="clear" w:pos="1191"/>
        <w:tab w:val="clear" w:pos="1588"/>
        <w:tab w:val="clear" w:pos="1985"/>
      </w:tabs>
      <w:spacing w:before="720" w:line="320" w:lineRule="exact"/>
      <w:jc w:val="center"/>
      <w:outlineLvl w:val="0"/>
    </w:pPr>
    <w:rPr>
      <w:b/>
      <w:sz w:val="28"/>
    </w:rPr>
  </w:style>
  <w:style w:type="paragraph" w:customStyle="1" w:styleId="Equationlegend">
    <w:name w:val="Equation_legend"/>
    <w:basedOn w:val="Normal"/>
    <w:uiPriority w:val="99"/>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pPr>
      <w:keepNext/>
      <w:keepLines/>
      <w:spacing w:before="240" w:after="120" w:line="240" w:lineRule="auto"/>
      <w:jc w:val="center"/>
    </w:pPr>
  </w:style>
  <w:style w:type="paragraph" w:customStyle="1" w:styleId="FigureNoTitle">
    <w:name w:val="Figure_NoTitle"/>
    <w:basedOn w:val="Normal"/>
    <w:next w:val="Normalaftertitle"/>
    <w:uiPriority w:val="1"/>
    <w:pPr>
      <w:keepLines/>
      <w:spacing w:before="240" w:after="120"/>
      <w:jc w:val="center"/>
    </w:pPr>
    <w:rPr>
      <w:b/>
    </w:rPr>
  </w:style>
  <w:style w:type="paragraph" w:customStyle="1" w:styleId="Figurewithouttitle">
    <w:name w:val="Figure_without_title"/>
    <w:basedOn w:val="Normal"/>
    <w:next w:val="Normalaftertitle"/>
    <w:uiPriority w:val="99"/>
    <w:pPr>
      <w:keepLines/>
      <w:spacing w:before="240" w:after="120"/>
      <w:jc w:val="center"/>
    </w:pPr>
  </w:style>
  <w:style w:type="paragraph" w:customStyle="1" w:styleId="FirstFooter">
    <w:name w:val="FirstFooter"/>
    <w:basedOn w:val="Normal"/>
    <w:uiPriority w:val="99"/>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uiPriority w:val="99"/>
    <w:rsid w:val="00851F87"/>
    <w:pPr>
      <w:tabs>
        <w:tab w:val="clear" w:pos="794"/>
        <w:tab w:val="clear" w:pos="1191"/>
        <w:tab w:val="clear" w:pos="1588"/>
        <w:tab w:val="clear" w:pos="1985"/>
        <w:tab w:val="left" w:pos="851"/>
        <w:tab w:val="right" w:pos="8789"/>
        <w:tab w:val="right" w:pos="9639"/>
      </w:tabs>
      <w:spacing w:before="0"/>
      <w:jc w:val="left"/>
    </w:pPr>
    <w:rPr>
      <w:b/>
    </w:rPr>
  </w:style>
  <w:style w:type="paragraph" w:customStyle="1" w:styleId="Headingb">
    <w:name w:val="Heading_b"/>
    <w:basedOn w:val="Normal"/>
    <w:next w:val="Normal"/>
    <w:link w:val="HeadingbChar"/>
    <w:qFormat/>
    <w:pPr>
      <w:keepNext/>
      <w:spacing w:before="240"/>
      <w:ind w:left="794" w:hanging="794"/>
    </w:pPr>
    <w:rPr>
      <w:b/>
    </w:rPr>
  </w:style>
  <w:style w:type="paragraph" w:customStyle="1" w:styleId="Headingi">
    <w:name w:val="Heading_i"/>
    <w:basedOn w:val="Normal"/>
    <w:next w:val="Normal"/>
    <w:pPr>
      <w:keepNext/>
      <w:spacing w:before="240"/>
      <w:jc w:val="left"/>
    </w:pPr>
    <w:rPr>
      <w:i/>
    </w:rPr>
  </w:style>
  <w:style w:type="paragraph" w:styleId="Index2">
    <w:name w:val="index 2"/>
    <w:basedOn w:val="Normal"/>
    <w:next w:val="Normal"/>
    <w:uiPriority w:val="1"/>
    <w:pPr>
      <w:ind w:left="284"/>
      <w:jc w:val="left"/>
    </w:pPr>
  </w:style>
  <w:style w:type="paragraph" w:styleId="Index3">
    <w:name w:val="index 3"/>
    <w:basedOn w:val="Normal"/>
    <w:next w:val="Normal"/>
    <w:uiPriority w:val="1"/>
    <w:pPr>
      <w:ind w:left="567"/>
      <w:jc w:val="left"/>
    </w:pPr>
  </w:style>
  <w:style w:type="paragraph" w:customStyle="1" w:styleId="PartNo">
    <w:name w:val="Part_No"/>
    <w:basedOn w:val="Normal"/>
    <w:next w:val="Partref"/>
    <w:pPr>
      <w:keepNext/>
      <w:keepLines/>
      <w:spacing w:before="480" w:after="80"/>
    </w:pPr>
    <w:rPr>
      <w:caps/>
      <w:sz w:val="24"/>
    </w:rPr>
  </w:style>
  <w:style w:type="paragraph" w:customStyle="1" w:styleId="Partref">
    <w:name w:val="Part_ref"/>
    <w:basedOn w:val="Normal"/>
    <w:next w:val="Parttitle"/>
    <w:uiPriority w:val="99"/>
    <w:pPr>
      <w:keepNext/>
      <w:keepLines/>
      <w:spacing w:before="280"/>
      <w:jc w:val="center"/>
    </w:pPr>
  </w:style>
  <w:style w:type="paragraph" w:customStyle="1" w:styleId="Parttitle">
    <w:name w:val="Part_title"/>
    <w:basedOn w:val="Normal"/>
    <w:next w:val="Normalaftertitle"/>
    <w:uiPriority w:val="99"/>
    <w:pPr>
      <w:keepNext/>
      <w:keepLines/>
      <w:spacing w:before="240" w:after="280" w:line="320" w:lineRule="exact"/>
      <w:jc w:val="center"/>
    </w:pPr>
    <w:rPr>
      <w:b/>
      <w:sz w:val="24"/>
    </w:rPr>
  </w:style>
  <w:style w:type="paragraph" w:customStyle="1" w:styleId="Recdate">
    <w:name w:val="Rec_date"/>
    <w:basedOn w:val="Normal"/>
    <w:next w:val="Normalaftertitle"/>
    <w:uiPriority w:val="99"/>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uiPriority w:val="99"/>
  </w:style>
  <w:style w:type="paragraph" w:customStyle="1" w:styleId="RecNo">
    <w:name w:val="Rec_No"/>
    <w:basedOn w:val="Normal"/>
    <w:next w:val="Rectitle"/>
    <w:link w:val="RecNoChar"/>
    <w:rsid w:val="00AB6530"/>
    <w:pPr>
      <w:keepNext/>
      <w:keepLines/>
      <w:spacing w:before="0"/>
      <w:jc w:val="left"/>
      <w:outlineLvl w:val="0"/>
    </w:pPr>
    <w:rPr>
      <w:b/>
      <w:sz w:val="28"/>
    </w:rPr>
  </w:style>
  <w:style w:type="paragraph" w:customStyle="1" w:styleId="Rectitle">
    <w:name w:val="Rec_title"/>
    <w:basedOn w:val="Normal"/>
    <w:next w:val="Normalaftertitle"/>
    <w:pPr>
      <w:keepNext/>
      <w:keepLines/>
      <w:spacing w:before="360" w:line="240" w:lineRule="auto"/>
      <w:jc w:val="center"/>
    </w:pPr>
    <w:rPr>
      <w:b/>
      <w:sz w:val="28"/>
    </w:rPr>
  </w:style>
  <w:style w:type="character" w:customStyle="1" w:styleId="RecNoChar">
    <w:name w:val="Rec_No Char"/>
    <w:link w:val="RecNo"/>
    <w:rsid w:val="00AB6530"/>
    <w:rPr>
      <w:rFonts w:ascii="Times New Roman" w:hAnsi="Times New Roman"/>
      <w:b/>
      <w:sz w:val="28"/>
      <w:lang w:val="fr-FR" w:eastAsia="en-US"/>
    </w:rPr>
  </w:style>
  <w:style w:type="paragraph" w:customStyle="1" w:styleId="QuestionNo">
    <w:name w:val="Question_No"/>
    <w:basedOn w:val="RecNo"/>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uiPriority w:val="99"/>
  </w:style>
  <w:style w:type="paragraph" w:customStyle="1" w:styleId="Recref">
    <w:name w:val="Rec_ref"/>
    <w:basedOn w:val="Normal"/>
    <w:next w:val="Recdate"/>
    <w:qFormat/>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uiPriority w:val="99"/>
  </w:style>
  <w:style w:type="paragraph" w:customStyle="1" w:styleId="RepNo">
    <w:name w:val="Rep_No"/>
    <w:basedOn w:val="RecNo"/>
    <w:next w:val="Reptitle"/>
    <w:uiPriority w:val="99"/>
  </w:style>
  <w:style w:type="paragraph" w:customStyle="1" w:styleId="Reptitle">
    <w:name w:val="Rep_title"/>
    <w:basedOn w:val="Rectitle"/>
    <w:next w:val="Repref"/>
    <w:uiPriority w:val="99"/>
  </w:style>
  <w:style w:type="paragraph" w:customStyle="1" w:styleId="Repref">
    <w:name w:val="Rep_ref"/>
    <w:basedOn w:val="Recref"/>
    <w:next w:val="Repdate"/>
    <w:uiPriority w:val="99"/>
  </w:style>
  <w:style w:type="paragraph" w:customStyle="1" w:styleId="Resdate">
    <w:name w:val="Res_date"/>
    <w:basedOn w:val="Recdate"/>
    <w:next w:val="Normalaftertitle"/>
    <w:uiPriority w:val="99"/>
  </w:style>
  <w:style w:type="character" w:customStyle="1" w:styleId="Resdef">
    <w:name w:val="Res_def"/>
    <w:uiPriority w:val="99"/>
    <w:rPr>
      <w:rFonts w:ascii="Times New Roman" w:hAnsi="Times New Roman"/>
      <w:b/>
    </w:rPr>
  </w:style>
  <w:style w:type="paragraph" w:customStyle="1" w:styleId="ResNo">
    <w:name w:val="Res_No"/>
    <w:basedOn w:val="RecNo"/>
    <w:next w:val="Restitle"/>
    <w:link w:val="ResNoChar"/>
    <w:rsid w:val="007038A3"/>
    <w:pPr>
      <w:tabs>
        <w:tab w:val="clear" w:pos="794"/>
        <w:tab w:val="clear" w:pos="1191"/>
        <w:tab w:val="clear" w:pos="1588"/>
        <w:tab w:val="clear" w:pos="1985"/>
      </w:tabs>
      <w:jc w:val="center"/>
    </w:pPr>
    <w:rPr>
      <w:b w:val="0"/>
      <w:caps/>
    </w:rPr>
  </w:style>
  <w:style w:type="paragraph" w:customStyle="1" w:styleId="Restitle">
    <w:name w:val="Res_title"/>
    <w:basedOn w:val="Rectitle"/>
    <w:next w:val="Resref"/>
    <w:link w:val="RestitleChar"/>
  </w:style>
  <w:style w:type="paragraph" w:customStyle="1" w:styleId="Resref">
    <w:name w:val="Res_ref"/>
    <w:basedOn w:val="Recref"/>
    <w:next w:val="Resdate"/>
    <w:qFormat/>
  </w:style>
  <w:style w:type="character" w:customStyle="1" w:styleId="RestitleChar">
    <w:name w:val="Res_title Char"/>
    <w:link w:val="Restitle"/>
    <w:rsid w:val="003374BB"/>
    <w:rPr>
      <w:b/>
      <w:sz w:val="28"/>
      <w:lang w:val="fr-FR" w:eastAsia="en-US" w:bidi="ar-SA"/>
    </w:rPr>
  </w:style>
  <w:style w:type="character" w:customStyle="1" w:styleId="ResNoChar">
    <w:name w:val="Res_No Char"/>
    <w:link w:val="ResNo"/>
    <w:uiPriority w:val="99"/>
    <w:rsid w:val="007038A3"/>
    <w:rPr>
      <w:rFonts w:ascii="Times New Roman" w:hAnsi="Times New Roman"/>
      <w:caps/>
      <w:sz w:val="28"/>
      <w:lang w:val="fr-FR" w:eastAsia="en-US"/>
    </w:rPr>
  </w:style>
  <w:style w:type="paragraph" w:customStyle="1" w:styleId="SectionNo">
    <w:name w:val="Section_No"/>
    <w:basedOn w:val="Normal"/>
    <w:next w:val="Sectiontitle"/>
    <w:rsid w:val="007038A3"/>
    <w:pPr>
      <w:keepNext/>
      <w:keepLines/>
      <w:spacing w:before="720" w:line="320" w:lineRule="exact"/>
      <w:jc w:val="center"/>
      <w:outlineLvl w:val="0"/>
    </w:pPr>
    <w:rPr>
      <w:caps/>
      <w:sz w:val="28"/>
    </w:rPr>
  </w:style>
  <w:style w:type="paragraph" w:customStyle="1" w:styleId="Sectiontitle">
    <w:name w:val="Section_title"/>
    <w:basedOn w:val="Heading3"/>
    <w:next w:val="Normalaftertitle"/>
    <w:rsid w:val="00202A50"/>
    <w:pPr>
      <w:jc w:val="center"/>
    </w:pPr>
    <w:rPr>
      <w:lang w:val="en-GB"/>
    </w:rPr>
  </w:style>
  <w:style w:type="paragraph" w:customStyle="1" w:styleId="Source">
    <w:name w:val="Source"/>
    <w:basedOn w:val="Normal"/>
    <w:next w:val="Normalaftertitle"/>
    <w:uiPriority w:val="1"/>
    <w:pPr>
      <w:spacing w:before="840" w:after="200"/>
      <w:jc w:val="center"/>
    </w:pPr>
    <w:rPr>
      <w:b/>
      <w:sz w:val="28"/>
    </w:rPr>
  </w:style>
  <w:style w:type="paragraph" w:customStyle="1" w:styleId="SpecialFooter">
    <w:name w:val="Special Footer"/>
    <w:basedOn w:val="Normal"/>
    <w:uiPriority w:val="99"/>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character" w:customStyle="1" w:styleId="Tablefreq">
    <w:name w:val="Table_freq"/>
    <w:uiPriority w:val="1"/>
    <w:rPr>
      <w:b/>
      <w:color w:val="auto"/>
    </w:rPr>
  </w:style>
  <w:style w:type="paragraph" w:customStyle="1" w:styleId="Tablehead">
    <w:name w:val="Table_head"/>
    <w:basedOn w:val="Normal"/>
    <w:next w:val="Tabletext"/>
    <w:rsid w:val="00260DE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rPr>
  </w:style>
  <w:style w:type="paragraph" w:customStyle="1" w:styleId="Tabletext">
    <w:name w:val="Table_text"/>
    <w:basedOn w:val="Normal"/>
    <w:link w:val="TabletextChar"/>
    <w:rsid w:val="00260DE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style>
  <w:style w:type="character" w:customStyle="1" w:styleId="TabletextChar">
    <w:name w:val="Table_text Char"/>
    <w:link w:val="Tabletext"/>
    <w:qFormat/>
    <w:rsid w:val="00260DE7"/>
    <w:rPr>
      <w:rFonts w:ascii="Times New Roman" w:hAnsi="Times New Roman"/>
      <w:sz w:val="22"/>
      <w:lang w:val="fr-FR" w:eastAsia="en-US"/>
    </w:rPr>
  </w:style>
  <w:style w:type="paragraph" w:customStyle="1" w:styleId="Tablelegend">
    <w:name w:val="Table_legend"/>
    <w:basedOn w:val="Normal"/>
    <w:uiPriority w:val="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uiPriority w:val="99"/>
    <w:rsid w:val="00260DE7"/>
    <w:pPr>
      <w:keepNext/>
      <w:keepLines/>
      <w:spacing w:before="360" w:after="120" w:line="240" w:lineRule="exact"/>
      <w:jc w:val="center"/>
    </w:pPr>
    <w:rPr>
      <w:b/>
      <w:sz w:val="24"/>
    </w:rPr>
  </w:style>
  <w:style w:type="paragraph" w:customStyle="1" w:styleId="Title1">
    <w:name w:val="Title 1"/>
    <w:basedOn w:val="Source"/>
    <w:next w:val="Title2"/>
    <w:uiPriority w:val="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1"/>
  </w:style>
  <w:style w:type="paragraph" w:customStyle="1" w:styleId="Title3">
    <w:name w:val="Title 3"/>
    <w:basedOn w:val="Title2"/>
    <w:next w:val="Title4"/>
    <w:uiPriority w:val="99"/>
    <w:rPr>
      <w:caps w:val="0"/>
    </w:rPr>
  </w:style>
  <w:style w:type="paragraph" w:customStyle="1" w:styleId="Title4">
    <w:name w:val="Title 4"/>
    <w:basedOn w:val="Title3"/>
    <w:next w:val="Heading1"/>
    <w:uiPriority w:val="1"/>
    <w:rPr>
      <w:b/>
    </w:rPr>
  </w:style>
  <w:style w:type="paragraph" w:customStyle="1" w:styleId="Section1">
    <w:name w:val="Section_1"/>
    <w:basedOn w:val="Normal"/>
    <w:next w:val="Normal"/>
    <w:uiPriority w:val="9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99"/>
    <w:pPr>
      <w:tabs>
        <w:tab w:val="clear" w:pos="794"/>
        <w:tab w:val="clear" w:pos="1191"/>
        <w:tab w:val="clear" w:pos="1588"/>
        <w:tab w:val="clear" w:pos="1985"/>
      </w:tabs>
      <w:spacing w:before="240"/>
      <w:jc w:val="center"/>
    </w:pPr>
    <w:rPr>
      <w:i/>
    </w:rPr>
  </w:style>
  <w:style w:type="character" w:styleId="Hyperlink">
    <w:name w:val="Hyperlink"/>
    <w:aliases w:val="超级链接,超?级链,CEO_Hyperlink,Style 58,超????,하이퍼링크2,超链接1"/>
    <w:uiPriority w:val="1"/>
    <w:qFormat/>
    <w:rPr>
      <w:color w:val="0000FF"/>
      <w:u w:val="single"/>
    </w:rPr>
  </w:style>
  <w:style w:type="character" w:styleId="FollowedHyperlink">
    <w:name w:val="FollowedHyperlink"/>
    <w:uiPriority w:val="1"/>
    <w:rPr>
      <w:color w:val="800080"/>
      <w:u w:val="single"/>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qFormat/>
    <w:rsid w:val="00A70CA3"/>
    <w:rPr>
      <w:rFonts w:ascii="Times New Roman" w:hAnsi="Times New Roman"/>
      <w:lang w:val="fr-FR" w:eastAsia="en-US"/>
    </w:rPr>
  </w:style>
  <w:style w:type="paragraph" w:styleId="Index5">
    <w:name w:val="index 5"/>
    <w:basedOn w:val="Normal"/>
    <w:next w:val="Normal"/>
    <w:uiPriority w:val="1"/>
    <w:pPr>
      <w:spacing w:before="120" w:line="240" w:lineRule="auto"/>
      <w:ind w:left="1132"/>
      <w:jc w:val="left"/>
    </w:pPr>
    <w:rPr>
      <w:sz w:val="24"/>
      <w:lang w:val="en-GB"/>
    </w:rPr>
  </w:style>
  <w:style w:type="paragraph" w:styleId="Index4">
    <w:name w:val="index 4"/>
    <w:basedOn w:val="Normal"/>
    <w:next w:val="Normal"/>
    <w:uiPriority w:val="1"/>
    <w:pPr>
      <w:spacing w:before="120" w:line="240" w:lineRule="auto"/>
      <w:ind w:left="849"/>
      <w:jc w:val="left"/>
    </w:pPr>
    <w:rPr>
      <w:sz w:val="24"/>
      <w:lang w:val="en-GB"/>
    </w:rPr>
  </w:style>
  <w:style w:type="paragraph" w:styleId="BodyText2">
    <w:name w:val="Body Text 2"/>
    <w:basedOn w:val="Normal"/>
    <w:link w:val="BodyText2Char"/>
    <w:uiPriority w:val="1"/>
    <w:pPr>
      <w:tabs>
        <w:tab w:val="right" w:pos="9639"/>
      </w:tabs>
      <w:spacing w:before="400" w:line="440" w:lineRule="exact"/>
      <w:jc w:val="left"/>
    </w:pPr>
    <w:rPr>
      <w:rFonts w:ascii="Arial" w:hAnsi="Arial" w:cs="Arial"/>
      <w:b/>
      <w:bCs/>
      <w:sz w:val="36"/>
    </w:rPr>
  </w:style>
  <w:style w:type="character" w:customStyle="1" w:styleId="href">
    <w:name w:val="href"/>
    <w:basedOn w:val="DefaultParagraphFont"/>
  </w:style>
  <w:style w:type="paragraph" w:customStyle="1" w:styleId="Head">
    <w:name w:val="Head"/>
    <w:basedOn w:val="Normal"/>
    <w:uiPriority w:val="99"/>
    <w:pPr>
      <w:tabs>
        <w:tab w:val="clear" w:pos="794"/>
        <w:tab w:val="clear" w:pos="1191"/>
        <w:tab w:val="clear" w:pos="1588"/>
        <w:tab w:val="clear" w:pos="1985"/>
        <w:tab w:val="left" w:pos="6663"/>
      </w:tabs>
      <w:spacing w:before="0" w:line="240" w:lineRule="auto"/>
    </w:pPr>
    <w:rPr>
      <w:sz w:val="24"/>
      <w:lang w:val="en-GB"/>
    </w:rPr>
  </w:style>
  <w:style w:type="paragraph" w:customStyle="1" w:styleId="blanc">
    <w:name w:val="blanc"/>
    <w:basedOn w:val="Normal"/>
    <w:uiPriority w:val="1"/>
    <w:pPr>
      <w:tabs>
        <w:tab w:val="clear" w:pos="794"/>
        <w:tab w:val="clear" w:pos="1191"/>
        <w:tab w:val="clear" w:pos="1588"/>
        <w:tab w:val="clear" w:pos="1985"/>
      </w:tabs>
      <w:spacing w:before="0" w:line="240" w:lineRule="auto"/>
      <w:jc w:val="left"/>
    </w:pPr>
    <w:rPr>
      <w:sz w:val="2"/>
      <w:lang w:val="en-US"/>
    </w:rPr>
  </w:style>
  <w:style w:type="paragraph" w:customStyle="1" w:styleId="NormalIndent">
    <w:name w:val="Normal_Indent"/>
    <w:basedOn w:val="Normal"/>
    <w:uiPriority w:val="99"/>
    <w:pPr>
      <w:tabs>
        <w:tab w:val="clear" w:pos="1191"/>
        <w:tab w:val="clear" w:pos="1588"/>
        <w:tab w:val="clear" w:pos="1985"/>
        <w:tab w:val="left" w:pos="2693"/>
        <w:tab w:val="left" w:pos="7655"/>
      </w:tabs>
      <w:spacing w:before="120"/>
      <w:ind w:left="794"/>
      <w:jc w:val="left"/>
    </w:pPr>
  </w:style>
  <w:style w:type="paragraph" w:customStyle="1" w:styleId="Normalaftertitle0">
    <w:name w:val="Normal after title"/>
    <w:basedOn w:val="Normal"/>
    <w:next w:val="Normal"/>
    <w:link w:val="NormalaftertitleChar0"/>
    <w:rsid w:val="004A58A4"/>
    <w:pPr>
      <w:spacing w:before="280" w:line="240" w:lineRule="auto"/>
    </w:pPr>
    <w:rPr>
      <w:lang w:val="en-GB"/>
    </w:rPr>
  </w:style>
  <w:style w:type="character" w:customStyle="1" w:styleId="NormalaftertitleChar0">
    <w:name w:val="Normal after title Char"/>
    <w:link w:val="Normalaftertitle0"/>
    <w:locked/>
    <w:rsid w:val="004A58A4"/>
    <w:rPr>
      <w:rFonts w:ascii="Times New Roman" w:hAnsi="Times New Roman"/>
      <w:sz w:val="22"/>
      <w:lang w:val="en-GB" w:eastAsia="en-US"/>
    </w:rPr>
  </w:style>
  <w:style w:type="character" w:customStyle="1" w:styleId="docdisplay">
    <w:name w:val="doc_display"/>
    <w:basedOn w:val="DefaultParagraphFont"/>
    <w:uiPriority w:val="1"/>
    <w:rsid w:val="00A83D3D"/>
  </w:style>
  <w:style w:type="paragraph" w:customStyle="1" w:styleId="AnnexNo">
    <w:name w:val="Annex_No"/>
    <w:basedOn w:val="Normal"/>
    <w:next w:val="Normal"/>
    <w:rsid w:val="00055CCD"/>
    <w:pPr>
      <w:keepNext/>
      <w:keepLines/>
      <w:spacing w:before="480" w:after="80" w:line="240" w:lineRule="auto"/>
      <w:jc w:val="center"/>
      <w:outlineLvl w:val="1"/>
    </w:pPr>
    <w:rPr>
      <w:caps/>
      <w:sz w:val="28"/>
      <w:lang w:val="en-GB"/>
    </w:rPr>
  </w:style>
  <w:style w:type="character" w:customStyle="1" w:styleId="CharChar">
    <w:name w:val="Char Char"/>
    <w:uiPriority w:val="1"/>
    <w:semiHidden/>
    <w:locked/>
    <w:rsid w:val="009D26AE"/>
    <w:rPr>
      <w:sz w:val="24"/>
      <w:lang w:val="en-GB" w:eastAsia="en-US" w:bidi="ar-SA"/>
    </w:rPr>
  </w:style>
  <w:style w:type="paragraph" w:styleId="BodyTextIndent">
    <w:name w:val="Body Text Indent"/>
    <w:basedOn w:val="Normal"/>
    <w:link w:val="BodyTextIndentChar"/>
    <w:uiPriority w:val="1"/>
    <w:rsid w:val="00EE1126"/>
    <w:pPr>
      <w:spacing w:after="120"/>
      <w:ind w:left="283"/>
    </w:pPr>
  </w:style>
  <w:style w:type="character" w:customStyle="1" w:styleId="BodyTextIndentChar">
    <w:name w:val="Body Text Indent Char"/>
    <w:basedOn w:val="DefaultParagraphFont"/>
    <w:link w:val="BodyTextIndent"/>
    <w:qFormat/>
    <w:rsid w:val="0086659C"/>
    <w:rPr>
      <w:rFonts w:ascii="Times New Roman" w:hAnsi="Times New Roman"/>
      <w:sz w:val="22"/>
      <w:lang w:val="fr-FR" w:eastAsia="en-US"/>
    </w:rPr>
  </w:style>
  <w:style w:type="paragraph" w:styleId="List2">
    <w:name w:val="List 2"/>
    <w:basedOn w:val="Normal"/>
    <w:uiPriority w:val="1"/>
    <w:rsid w:val="00EE1126"/>
    <w:pPr>
      <w:spacing w:before="120" w:line="240" w:lineRule="auto"/>
      <w:ind w:left="566" w:hanging="283"/>
    </w:pPr>
    <w:rPr>
      <w:sz w:val="24"/>
    </w:rPr>
  </w:style>
  <w:style w:type="paragraph" w:styleId="BodyTextIndent2">
    <w:name w:val="Body Text Indent 2"/>
    <w:basedOn w:val="Normal"/>
    <w:link w:val="BodyTextIndent2Char"/>
    <w:uiPriority w:val="1"/>
    <w:rsid w:val="008B4CF6"/>
    <w:pPr>
      <w:spacing w:after="120" w:line="480" w:lineRule="auto"/>
      <w:ind w:left="283"/>
    </w:pPr>
  </w:style>
  <w:style w:type="character" w:customStyle="1" w:styleId="BodyTextIndent2Char">
    <w:name w:val="Body Text Indent 2 Char"/>
    <w:basedOn w:val="DefaultParagraphFont"/>
    <w:link w:val="BodyTextIndent2"/>
    <w:qFormat/>
    <w:rsid w:val="007E52B2"/>
    <w:rPr>
      <w:rFonts w:ascii="Times New Roman" w:hAnsi="Times New Roman"/>
      <w:sz w:val="22"/>
      <w:lang w:val="fr-FR" w:eastAsia="en-US"/>
    </w:rPr>
  </w:style>
  <w:style w:type="paragraph" w:customStyle="1" w:styleId="Formal">
    <w:name w:val="Formal"/>
    <w:basedOn w:val="ASN1"/>
    <w:rsid w:val="008B4CF6"/>
    <w:pPr>
      <w:overflowPunct w:val="0"/>
      <w:autoSpaceDE w:val="0"/>
      <w:autoSpaceDN w:val="0"/>
      <w:adjustRightInd w:val="0"/>
      <w:textAlignment w:val="baseline"/>
    </w:pPr>
    <w:rPr>
      <w:b w:val="0"/>
      <w:lang w:val="en-US"/>
    </w:rPr>
  </w:style>
  <w:style w:type="paragraph" w:customStyle="1" w:styleId="FigureNo">
    <w:name w:val="Figure_No"/>
    <w:basedOn w:val="Normal"/>
    <w:next w:val="Figuretitle"/>
    <w:uiPriority w:val="99"/>
    <w:rsid w:val="000E4393"/>
    <w:pPr>
      <w:keepNext/>
      <w:keepLines/>
      <w:spacing w:before="480" w:after="120" w:line="240" w:lineRule="auto"/>
      <w:jc w:val="center"/>
    </w:pPr>
    <w:rPr>
      <w:caps/>
      <w:sz w:val="24"/>
      <w:lang w:val="en-GB"/>
    </w:rPr>
  </w:style>
  <w:style w:type="paragraph" w:customStyle="1" w:styleId="Figuretitle">
    <w:name w:val="Figure_title"/>
    <w:basedOn w:val="Normal"/>
    <w:next w:val="Normal"/>
    <w:rsid w:val="000E4393"/>
    <w:pPr>
      <w:keepLines/>
      <w:spacing w:before="0" w:after="480" w:line="240" w:lineRule="auto"/>
      <w:jc w:val="center"/>
    </w:pPr>
    <w:rPr>
      <w:rFonts w:ascii="Times New Roman Bold" w:hAnsi="Times New Roman Bold"/>
      <w:b/>
      <w:sz w:val="24"/>
      <w:lang w:val="en-GB"/>
    </w:rPr>
  </w:style>
  <w:style w:type="paragraph" w:customStyle="1" w:styleId="AppendixNo">
    <w:name w:val="Appendix_No"/>
    <w:basedOn w:val="Normal"/>
    <w:next w:val="Normal"/>
    <w:rsid w:val="000E4393"/>
    <w:pPr>
      <w:keepNext/>
      <w:keepLines/>
      <w:spacing w:before="480" w:after="80" w:line="240" w:lineRule="auto"/>
      <w:jc w:val="center"/>
    </w:pPr>
    <w:rPr>
      <w:caps/>
      <w:sz w:val="28"/>
      <w:lang w:val="en-GB"/>
    </w:rPr>
  </w:style>
  <w:style w:type="paragraph" w:customStyle="1" w:styleId="Appendixtitle">
    <w:name w:val="Appendix_title"/>
    <w:basedOn w:val="Normal"/>
    <w:next w:val="Normal"/>
    <w:rsid w:val="000E4393"/>
    <w:pPr>
      <w:keepNext/>
      <w:keepLines/>
      <w:spacing w:before="240" w:after="280" w:line="240" w:lineRule="auto"/>
      <w:jc w:val="center"/>
    </w:pPr>
    <w:rPr>
      <w:rFonts w:ascii="Times New Roman Bold" w:hAnsi="Times New Roman Bold"/>
      <w:b/>
      <w:sz w:val="28"/>
      <w:lang w:val="en-GB"/>
    </w:rPr>
  </w:style>
  <w:style w:type="paragraph" w:customStyle="1" w:styleId="Annextitle">
    <w:name w:val="Annex_title"/>
    <w:basedOn w:val="Normal"/>
    <w:next w:val="Normal"/>
    <w:rsid w:val="00E74C56"/>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hAnsi="Times New Roman Bold"/>
      <w:b/>
      <w:sz w:val="28"/>
      <w:lang w:val="en-GB"/>
    </w:rPr>
  </w:style>
  <w:style w:type="paragraph" w:customStyle="1" w:styleId="Reasons">
    <w:name w:val="Reasons"/>
    <w:basedOn w:val="Normal"/>
    <w:rsid w:val="00275860"/>
    <w:pPr>
      <w:tabs>
        <w:tab w:val="clear" w:pos="794"/>
        <w:tab w:val="clear" w:pos="1191"/>
        <w:tab w:val="left" w:pos="1134"/>
      </w:tabs>
      <w:spacing w:before="120" w:line="240" w:lineRule="auto"/>
      <w:jc w:val="left"/>
    </w:pPr>
    <w:rPr>
      <w:sz w:val="24"/>
      <w:lang w:val="en-GB"/>
    </w:rPr>
  </w:style>
  <w:style w:type="paragraph" w:customStyle="1" w:styleId="Res-ref">
    <w:name w:val="Res-ref"/>
    <w:basedOn w:val="Normal"/>
    <w:uiPriority w:val="1"/>
    <w:qFormat/>
    <w:rsid w:val="0065003E"/>
    <w:pPr>
      <w:keepNext/>
      <w:keepLines/>
      <w:tabs>
        <w:tab w:val="clear" w:pos="794"/>
        <w:tab w:val="clear" w:pos="1191"/>
        <w:tab w:val="clear" w:pos="1588"/>
        <w:tab w:val="clear" w:pos="1985"/>
        <w:tab w:val="left" w:pos="1134"/>
        <w:tab w:val="left" w:pos="1871"/>
        <w:tab w:val="left" w:pos="2268"/>
      </w:tabs>
      <w:spacing w:before="120" w:line="240" w:lineRule="auto"/>
      <w:jc w:val="center"/>
    </w:pPr>
    <w:rPr>
      <w:i/>
      <w:sz w:val="24"/>
      <w:lang w:val="en-US"/>
    </w:rPr>
  </w:style>
  <w:style w:type="paragraph" w:styleId="ListParagraph">
    <w:name w:val="List Paragraph"/>
    <w:aliases w:val="NUMBERED PARAGRAPH,List Paragraph 1,List Paragraph (numbered (a)),Use Case List Paragraph,References,ReferencesCxSpLast,lp1,Bullet List,FooterText,List Paragraph1,numbered,Paragraphe de liste1,Bulletr List Paragraph,Bullet 1"/>
    <w:basedOn w:val="Normal"/>
    <w:link w:val="ListParagraphChar"/>
    <w:uiPriority w:val="1"/>
    <w:qFormat/>
    <w:rsid w:val="00C82E8E"/>
    <w:pPr>
      <w:ind w:left="720"/>
      <w:contextualSpacing/>
    </w:pPr>
  </w:style>
  <w:style w:type="paragraph" w:styleId="CommentSubject">
    <w:name w:val="annotation subject"/>
    <w:basedOn w:val="CommentText"/>
    <w:next w:val="CommentText"/>
    <w:link w:val="CommentSubjectChar"/>
    <w:uiPriority w:val="1"/>
    <w:unhideWhenUsed/>
    <w:rsid w:val="00A70CA3"/>
    <w:pPr>
      <w:spacing w:line="240" w:lineRule="auto"/>
    </w:pPr>
    <w:rPr>
      <w:b/>
      <w:bCs/>
    </w:rPr>
  </w:style>
  <w:style w:type="character" w:customStyle="1" w:styleId="CommentSubjectChar">
    <w:name w:val="Comment Subject Char"/>
    <w:basedOn w:val="CommentTextChar"/>
    <w:link w:val="CommentSubject"/>
    <w:qFormat/>
    <w:rsid w:val="00A70CA3"/>
    <w:rPr>
      <w:rFonts w:ascii="Times New Roman" w:hAnsi="Times New Roman"/>
      <w:b/>
      <w:bCs/>
      <w:lang w:val="fr-FR" w:eastAsia="en-US"/>
    </w:rPr>
  </w:style>
  <w:style w:type="paragraph" w:styleId="Revision">
    <w:name w:val="Revision"/>
    <w:hidden/>
    <w:uiPriority w:val="99"/>
    <w:semiHidden/>
    <w:rsid w:val="00A70CA3"/>
    <w:rPr>
      <w:rFonts w:ascii="Times New Roman" w:hAnsi="Times New Roman"/>
      <w:sz w:val="22"/>
      <w:lang w:val="fr-FR" w:eastAsia="en-US"/>
    </w:rPr>
  </w:style>
  <w:style w:type="paragraph" w:styleId="BalloonText">
    <w:name w:val="Balloon Text"/>
    <w:basedOn w:val="Normal"/>
    <w:link w:val="BalloonTextChar"/>
    <w:uiPriority w:val="1"/>
    <w:unhideWhenUsed/>
    <w:rsid w:val="00A70CA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qFormat/>
    <w:rsid w:val="00A70CA3"/>
    <w:rPr>
      <w:rFonts w:ascii="Segoe UI" w:hAnsi="Segoe UI" w:cs="Segoe UI"/>
      <w:sz w:val="18"/>
      <w:szCs w:val="18"/>
      <w:lang w:val="fr-FR" w:eastAsia="en-US"/>
    </w:rPr>
  </w:style>
  <w:style w:type="paragraph" w:customStyle="1" w:styleId="Opinionref">
    <w:name w:val="Opinion_ref"/>
    <w:basedOn w:val="Normal"/>
    <w:next w:val="Normalaftertitle0"/>
    <w:qFormat/>
    <w:rsid w:val="00F505F9"/>
    <w:pPr>
      <w:tabs>
        <w:tab w:val="clear" w:pos="794"/>
        <w:tab w:val="clear" w:pos="1191"/>
        <w:tab w:val="clear" w:pos="1588"/>
        <w:tab w:val="clear" w:pos="1985"/>
      </w:tabs>
      <w:overflowPunct/>
      <w:autoSpaceDE/>
      <w:autoSpaceDN/>
      <w:adjustRightInd/>
      <w:spacing w:before="0" w:line="240" w:lineRule="auto"/>
      <w:jc w:val="center"/>
      <w:textAlignment w:val="auto"/>
    </w:pPr>
    <w:rPr>
      <w:i/>
      <w:lang w:val="fr-CH"/>
    </w:rPr>
  </w:style>
  <w:style w:type="paragraph" w:customStyle="1" w:styleId="Opiniontitle">
    <w:name w:val="Opinion_title"/>
    <w:basedOn w:val="Restitle"/>
    <w:next w:val="Opinionref"/>
    <w:uiPriority w:val="99"/>
    <w:qFormat/>
    <w:rsid w:val="00F505F9"/>
    <w:pPr>
      <w:tabs>
        <w:tab w:val="clear" w:pos="794"/>
        <w:tab w:val="clear" w:pos="1191"/>
        <w:tab w:val="clear" w:pos="1588"/>
        <w:tab w:val="clear" w:pos="1985"/>
        <w:tab w:val="left" w:pos="1134"/>
        <w:tab w:val="left" w:pos="1871"/>
        <w:tab w:val="left" w:pos="2268"/>
      </w:tabs>
      <w:spacing w:before="240"/>
    </w:pPr>
    <w:rPr>
      <w:rFonts w:ascii="Times New Roman Bold" w:hAnsi="Times New Roman Bold"/>
      <w:lang w:val="en-GB"/>
    </w:rPr>
  </w:style>
  <w:style w:type="paragraph" w:customStyle="1" w:styleId="Annexref">
    <w:name w:val="Annex_ref"/>
    <w:basedOn w:val="Normal"/>
    <w:next w:val="Normal"/>
    <w:uiPriority w:val="99"/>
    <w:rsid w:val="007E52B2"/>
    <w:pPr>
      <w:keepNext/>
      <w:keepLines/>
      <w:spacing w:before="120" w:after="280" w:line="240" w:lineRule="auto"/>
      <w:jc w:val="center"/>
    </w:pPr>
    <w:rPr>
      <w:sz w:val="24"/>
      <w:lang w:val="en-GB"/>
    </w:rPr>
  </w:style>
  <w:style w:type="paragraph" w:customStyle="1" w:styleId="Appendixref">
    <w:name w:val="Appendix_ref"/>
    <w:basedOn w:val="Annexref"/>
    <w:next w:val="Annextitle"/>
    <w:rsid w:val="007E52B2"/>
  </w:style>
  <w:style w:type="paragraph" w:customStyle="1" w:styleId="Proposal">
    <w:name w:val="Proposal"/>
    <w:basedOn w:val="Heading1"/>
    <w:next w:val="Normal"/>
    <w:rsid w:val="007E52B2"/>
    <w:pPr>
      <w:spacing w:before="240" w:line="240" w:lineRule="auto"/>
    </w:pPr>
    <w:rPr>
      <w:rFonts w:hAnsi="Times New Roman Bold"/>
      <w:b w:val="0"/>
      <w:lang w:val="en-GB"/>
    </w:rPr>
  </w:style>
  <w:style w:type="paragraph" w:customStyle="1" w:styleId="HeadingSummary">
    <w:name w:val="HeadingSummary"/>
    <w:basedOn w:val="Normal"/>
    <w:uiPriority w:val="1"/>
    <w:qFormat/>
    <w:rsid w:val="007E52B2"/>
    <w:pPr>
      <w:keepNext/>
      <w:spacing w:line="240" w:lineRule="auto"/>
    </w:pPr>
    <w:rPr>
      <w:rFonts w:ascii="Times New Roman Bold" w:hAnsi="Times New Roman Bold" w:cs="Times New Roman Bold"/>
      <w:b/>
      <w:sz w:val="24"/>
      <w:lang w:val="fr-CH"/>
    </w:rPr>
  </w:style>
  <w:style w:type="table" w:styleId="TableGrid">
    <w:name w:val="Table Grid"/>
    <w:basedOn w:val="TableNormal"/>
    <w:uiPriority w:val="59"/>
    <w:qFormat/>
    <w:rsid w:val="007E52B2"/>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icipants">
    <w:name w:val="Participants"/>
    <w:basedOn w:val="Normal"/>
    <w:uiPriority w:val="99"/>
    <w:rsid w:val="007E52B2"/>
    <w:pPr>
      <w:tabs>
        <w:tab w:val="clear" w:pos="794"/>
        <w:tab w:val="clear" w:pos="1588"/>
      </w:tabs>
      <w:spacing w:before="0" w:line="240" w:lineRule="auto"/>
      <w:ind w:left="1191"/>
    </w:pPr>
    <w:rPr>
      <w:sz w:val="20"/>
    </w:rPr>
  </w:style>
  <w:style w:type="paragraph" w:customStyle="1" w:styleId="Sujet">
    <w:name w:val="Sujet"/>
    <w:basedOn w:val="Normal"/>
    <w:uiPriority w:val="99"/>
    <w:rsid w:val="007E52B2"/>
    <w:pPr>
      <w:tabs>
        <w:tab w:val="clear" w:pos="794"/>
        <w:tab w:val="clear" w:pos="1191"/>
        <w:tab w:val="clear" w:pos="1588"/>
        <w:tab w:val="clear" w:pos="1985"/>
      </w:tabs>
      <w:spacing w:before="136" w:line="240" w:lineRule="auto"/>
      <w:ind w:left="1418"/>
      <w:jc w:val="left"/>
    </w:pPr>
    <w:rPr>
      <w:rFonts w:ascii="Arial" w:hAnsi="Arial"/>
      <w:sz w:val="32"/>
      <w:lang w:val="en-GB"/>
    </w:rPr>
  </w:style>
  <w:style w:type="paragraph" w:customStyle="1" w:styleId="Blanc0">
    <w:name w:val="Blanc"/>
    <w:basedOn w:val="Tabletitle"/>
    <w:next w:val="Tabletext"/>
    <w:uiPriority w:val="99"/>
    <w:rsid w:val="007E52B2"/>
    <w:pPr>
      <w:tabs>
        <w:tab w:val="clear" w:pos="794"/>
        <w:tab w:val="clear" w:pos="1191"/>
        <w:tab w:val="clear" w:pos="1588"/>
        <w:tab w:val="clear" w:pos="1985"/>
      </w:tabs>
      <w:spacing w:before="0" w:after="57" w:line="12" w:lineRule="exact"/>
    </w:pPr>
    <w:rPr>
      <w:b w:val="0"/>
      <w:sz w:val="8"/>
    </w:rPr>
  </w:style>
  <w:style w:type="paragraph" w:customStyle="1" w:styleId="Tabletitle">
    <w:name w:val="Table_title"/>
    <w:basedOn w:val="Normal"/>
    <w:next w:val="Blanc0"/>
    <w:rsid w:val="007E52B2"/>
    <w:pPr>
      <w:keepNext/>
      <w:spacing w:before="240" w:after="113" w:line="240" w:lineRule="auto"/>
      <w:jc w:val="center"/>
    </w:pPr>
    <w:rPr>
      <w:rFonts w:cs="Times New Roman Bold"/>
      <w:b/>
      <w:lang w:val="en-GB"/>
    </w:rPr>
  </w:style>
  <w:style w:type="paragraph" w:customStyle="1" w:styleId="Tablefin">
    <w:name w:val="Table_fin"/>
    <w:basedOn w:val="Normal"/>
    <w:next w:val="Normal"/>
    <w:uiPriority w:val="99"/>
    <w:rsid w:val="007E52B2"/>
    <w:pPr>
      <w:tabs>
        <w:tab w:val="clear" w:pos="794"/>
        <w:tab w:val="clear" w:pos="1191"/>
        <w:tab w:val="clear" w:pos="1588"/>
        <w:tab w:val="clear" w:pos="1985"/>
      </w:tabs>
      <w:spacing w:before="0" w:line="240" w:lineRule="auto"/>
    </w:pPr>
    <w:rPr>
      <w:sz w:val="12"/>
      <w:lang w:val="en-GB"/>
    </w:rPr>
  </w:style>
  <w:style w:type="paragraph" w:customStyle="1" w:styleId="TableNo">
    <w:name w:val="Table_No"/>
    <w:basedOn w:val="Normal"/>
    <w:next w:val="Tabletitle"/>
    <w:rsid w:val="007E52B2"/>
    <w:pPr>
      <w:keepNext/>
      <w:tabs>
        <w:tab w:val="clear" w:pos="794"/>
        <w:tab w:val="clear" w:pos="1191"/>
        <w:tab w:val="clear" w:pos="1588"/>
        <w:tab w:val="clear" w:pos="1985"/>
      </w:tabs>
      <w:spacing w:before="567" w:after="113" w:line="240" w:lineRule="auto"/>
      <w:jc w:val="center"/>
    </w:pPr>
    <w:rPr>
      <w:rFonts w:ascii="Times" w:hAnsi="Times"/>
      <w:sz w:val="20"/>
      <w:lang w:val="en-US"/>
    </w:rPr>
  </w:style>
  <w:style w:type="paragraph" w:customStyle="1" w:styleId="CouvrecNo">
    <w:name w:val="Couv_rec_No"/>
    <w:basedOn w:val="Normal"/>
    <w:uiPriority w:val="99"/>
    <w:rsid w:val="007E52B2"/>
    <w:pPr>
      <w:tabs>
        <w:tab w:val="clear" w:pos="794"/>
        <w:tab w:val="clear" w:pos="1191"/>
        <w:tab w:val="clear" w:pos="1588"/>
        <w:tab w:val="clear" w:pos="1985"/>
      </w:tabs>
      <w:spacing w:before="6" w:line="240" w:lineRule="auto"/>
      <w:ind w:left="1418"/>
    </w:pPr>
    <w:rPr>
      <w:rFonts w:ascii="Arial" w:hAnsi="Arial"/>
      <w:sz w:val="32"/>
      <w:lang w:val="en-GB"/>
    </w:rPr>
  </w:style>
  <w:style w:type="paragraph" w:customStyle="1" w:styleId="Couvrectitle">
    <w:name w:val="Couv_rec_title"/>
    <w:basedOn w:val="Normal"/>
    <w:uiPriority w:val="99"/>
    <w:rsid w:val="007E52B2"/>
    <w:pPr>
      <w:keepNext/>
      <w:keepLines/>
      <w:tabs>
        <w:tab w:val="clear" w:pos="794"/>
        <w:tab w:val="clear" w:pos="1191"/>
        <w:tab w:val="clear" w:pos="1588"/>
        <w:tab w:val="clear" w:pos="1985"/>
      </w:tabs>
      <w:spacing w:before="240" w:line="240" w:lineRule="auto"/>
      <w:ind w:left="1418"/>
      <w:jc w:val="left"/>
    </w:pPr>
    <w:rPr>
      <w:rFonts w:ascii="Arial" w:hAnsi="Arial"/>
      <w:b/>
      <w:sz w:val="36"/>
      <w:lang w:val="en-GB"/>
    </w:rPr>
  </w:style>
  <w:style w:type="paragraph" w:customStyle="1" w:styleId="ASN1continue">
    <w:name w:val="ASN.1_continue"/>
    <w:basedOn w:val="ASN1"/>
    <w:uiPriority w:val="99"/>
    <w:rsid w:val="007E52B2"/>
    <w:pPr>
      <w:tabs>
        <w:tab w:val="clear" w:pos="567"/>
        <w:tab w:val="clear" w:pos="1134"/>
        <w:tab w:val="clear" w:pos="1701"/>
        <w:tab w:val="clear" w:pos="2268"/>
        <w:tab w:val="clear" w:pos="2835"/>
        <w:tab w:val="clear" w:pos="3402"/>
        <w:tab w:val="clear" w:pos="4536"/>
        <w:tab w:val="clear" w:pos="5103"/>
        <w:tab w:val="clear" w:pos="5670"/>
        <w:tab w:val="left" w:pos="794"/>
        <w:tab w:val="left" w:pos="1191"/>
        <w:tab w:val="left" w:pos="1588"/>
        <w:tab w:val="left" w:pos="1985"/>
        <w:tab w:val="left" w:pos="2381"/>
        <w:tab w:val="left" w:pos="2778"/>
        <w:tab w:val="left" w:pos="3175"/>
        <w:tab w:val="left" w:pos="3572"/>
        <w:tab w:val="left" w:pos="4366"/>
        <w:tab w:val="left" w:pos="4763"/>
        <w:tab w:val="left" w:pos="5160"/>
        <w:tab w:val="left" w:pos="5557"/>
        <w:tab w:val="left" w:pos="5954"/>
        <w:tab w:val="left" w:pos="6350"/>
        <w:tab w:val="right" w:pos="9735"/>
      </w:tabs>
      <w:overflowPunct w:val="0"/>
      <w:autoSpaceDE w:val="0"/>
      <w:autoSpaceDN w:val="0"/>
      <w:adjustRightInd w:val="0"/>
      <w:textAlignment w:val="baseline"/>
    </w:pPr>
    <w:rPr>
      <w:rFonts w:ascii="Times New Roman" w:hAnsi="Times New Roman"/>
      <w:noProof w:val="0"/>
      <w:sz w:val="18"/>
      <w:lang w:val="en-GB"/>
    </w:rPr>
  </w:style>
  <w:style w:type="paragraph" w:customStyle="1" w:styleId="Couvnote">
    <w:name w:val="Couv_note"/>
    <w:basedOn w:val="Normal"/>
    <w:uiPriority w:val="99"/>
    <w:rsid w:val="007E52B2"/>
    <w:pPr>
      <w:tabs>
        <w:tab w:val="clear" w:pos="794"/>
        <w:tab w:val="clear" w:pos="1191"/>
        <w:tab w:val="clear" w:pos="1588"/>
        <w:tab w:val="clear" w:pos="1985"/>
        <w:tab w:val="left" w:pos="1134"/>
        <w:tab w:val="left" w:pos="1418"/>
      </w:tabs>
      <w:spacing w:before="200" w:line="240" w:lineRule="auto"/>
    </w:pPr>
    <w:rPr>
      <w:rFonts w:ascii="Arial" w:hAnsi="Arial"/>
      <w:sz w:val="20"/>
      <w:lang w:val="en-GB"/>
    </w:rPr>
  </w:style>
  <w:style w:type="paragraph" w:styleId="Title">
    <w:name w:val="Title"/>
    <w:basedOn w:val="Normal"/>
    <w:next w:val="Normal"/>
    <w:link w:val="TitleChar"/>
    <w:uiPriority w:val="1"/>
    <w:qFormat/>
    <w:rsid w:val="007E52B2"/>
    <w:pPr>
      <w:spacing w:before="840" w:after="480" w:line="240" w:lineRule="auto"/>
      <w:jc w:val="center"/>
    </w:pPr>
    <w:rPr>
      <w:b/>
      <w:sz w:val="24"/>
      <w:lang w:val="en-GB"/>
    </w:rPr>
  </w:style>
  <w:style w:type="character" w:customStyle="1" w:styleId="TitleChar">
    <w:name w:val="Title Char"/>
    <w:basedOn w:val="DefaultParagraphFont"/>
    <w:link w:val="Title"/>
    <w:qFormat/>
    <w:rsid w:val="007E52B2"/>
    <w:rPr>
      <w:rFonts w:ascii="Times New Roman" w:hAnsi="Times New Roman"/>
      <w:b/>
      <w:sz w:val="24"/>
      <w:lang w:val="en-GB" w:eastAsia="en-US"/>
    </w:rPr>
  </w:style>
  <w:style w:type="paragraph" w:customStyle="1" w:styleId="SAP">
    <w:name w:val="SAP"/>
    <w:basedOn w:val="Normal"/>
    <w:uiPriority w:val="99"/>
    <w:rsid w:val="007E52B2"/>
    <w:pPr>
      <w:spacing w:before="960" w:after="240" w:line="240" w:lineRule="auto"/>
      <w:jc w:val="right"/>
    </w:pPr>
    <w:rPr>
      <w:rFonts w:ascii="C39T36Lfz" w:hAnsi="C39T36Lfz"/>
      <w:sz w:val="104"/>
      <w:lang w:val="en-GB"/>
    </w:rPr>
  </w:style>
  <w:style w:type="paragraph" w:customStyle="1" w:styleId="ASN1italic">
    <w:name w:val="ASN.1_italic"/>
    <w:basedOn w:val="ASN1"/>
    <w:uiPriority w:val="99"/>
    <w:rsid w:val="007E52B2"/>
    <w:pPr>
      <w:tabs>
        <w:tab w:val="clear" w:pos="567"/>
        <w:tab w:val="clear" w:pos="1134"/>
        <w:tab w:val="clear" w:pos="1701"/>
        <w:tab w:val="clear" w:pos="2268"/>
        <w:tab w:val="clear" w:pos="2835"/>
        <w:tab w:val="clear" w:pos="3402"/>
        <w:tab w:val="clear" w:pos="4536"/>
        <w:tab w:val="clear" w:pos="5103"/>
        <w:tab w:val="clear" w:pos="5670"/>
        <w:tab w:val="left" w:pos="794"/>
        <w:tab w:val="left" w:pos="1191"/>
        <w:tab w:val="left" w:pos="1588"/>
        <w:tab w:val="left" w:pos="1985"/>
        <w:tab w:val="left" w:pos="2381"/>
        <w:tab w:val="left" w:pos="2778"/>
        <w:tab w:val="left" w:pos="3175"/>
        <w:tab w:val="left" w:pos="3572"/>
        <w:tab w:val="left" w:pos="4366"/>
        <w:tab w:val="left" w:pos="4763"/>
        <w:tab w:val="left" w:pos="5160"/>
        <w:tab w:val="left" w:pos="5557"/>
        <w:tab w:val="left" w:pos="5954"/>
        <w:tab w:val="left" w:pos="6350"/>
        <w:tab w:val="right" w:pos="9735"/>
      </w:tabs>
      <w:overflowPunct w:val="0"/>
      <w:autoSpaceDE w:val="0"/>
      <w:autoSpaceDN w:val="0"/>
      <w:adjustRightInd w:val="0"/>
      <w:textAlignment w:val="baseline"/>
    </w:pPr>
    <w:rPr>
      <w:rFonts w:ascii="Times New Roman" w:hAnsi="Times New Roman"/>
      <w:b w:val="0"/>
      <w:i/>
      <w:noProof w:val="0"/>
      <w:lang w:val="en-GB"/>
    </w:rPr>
  </w:style>
  <w:style w:type="paragraph" w:customStyle="1" w:styleId="Note1">
    <w:name w:val="Note 1"/>
    <w:basedOn w:val="Normal"/>
    <w:uiPriority w:val="1"/>
    <w:rsid w:val="007E52B2"/>
    <w:pPr>
      <w:tabs>
        <w:tab w:val="clear" w:pos="794"/>
        <w:tab w:val="clear" w:pos="1191"/>
        <w:tab w:val="clear" w:pos="1588"/>
        <w:tab w:val="clear" w:pos="1985"/>
      </w:tabs>
      <w:spacing w:before="60" w:line="199" w:lineRule="exact"/>
      <w:ind w:left="284"/>
    </w:pPr>
    <w:rPr>
      <w:sz w:val="20"/>
      <w:lang w:val="en-GB"/>
    </w:rPr>
  </w:style>
  <w:style w:type="paragraph" w:customStyle="1" w:styleId="Note2">
    <w:name w:val="Note 2"/>
    <w:basedOn w:val="Note1"/>
    <w:rsid w:val="00B62576"/>
    <w:pPr>
      <w:ind w:left="851"/>
    </w:pPr>
  </w:style>
  <w:style w:type="paragraph" w:customStyle="1" w:styleId="Note3">
    <w:name w:val="Note 3"/>
    <w:basedOn w:val="Note1"/>
    <w:uiPriority w:val="99"/>
    <w:rsid w:val="007E52B2"/>
    <w:pPr>
      <w:ind w:left="1474"/>
    </w:pPr>
  </w:style>
  <w:style w:type="character" w:customStyle="1" w:styleId="italic">
    <w:name w:val="italic"/>
    <w:basedOn w:val="DefaultParagraphFont"/>
    <w:uiPriority w:val="99"/>
    <w:rsid w:val="007E52B2"/>
    <w:rPr>
      <w:rFonts w:cs="Times New Roman"/>
      <w:i/>
    </w:rPr>
  </w:style>
  <w:style w:type="paragraph" w:customStyle="1" w:styleId="NormalITU">
    <w:name w:val="Normal_ITU"/>
    <w:basedOn w:val="Normal"/>
    <w:uiPriority w:val="99"/>
    <w:rsid w:val="007E52B2"/>
    <w:pPr>
      <w:tabs>
        <w:tab w:val="clear" w:pos="794"/>
        <w:tab w:val="clear" w:pos="1191"/>
        <w:tab w:val="clear" w:pos="1588"/>
        <w:tab w:val="clear" w:pos="1985"/>
      </w:tabs>
      <w:overflowPunct/>
      <w:spacing w:before="120" w:line="240" w:lineRule="auto"/>
      <w:jc w:val="left"/>
      <w:textAlignment w:val="auto"/>
    </w:pPr>
    <w:rPr>
      <w:rFonts w:eastAsia="MS Mincho" w:cs="Arial"/>
      <w:sz w:val="24"/>
      <w:lang w:val="en-US"/>
    </w:rPr>
  </w:style>
  <w:style w:type="character" w:customStyle="1" w:styleId="CommentTextChar1">
    <w:name w:val="Comment Text Char1"/>
    <w:basedOn w:val="DefaultParagraphFont"/>
    <w:uiPriority w:val="99"/>
    <w:semiHidden/>
    <w:locked/>
    <w:rsid w:val="007E52B2"/>
    <w:rPr>
      <w:rFonts w:ascii="Times New Roman" w:hAnsi="Times New Roman" w:cs="Times New Roman"/>
      <w:lang w:val="fr-FR" w:eastAsia="en-US"/>
    </w:rPr>
  </w:style>
  <w:style w:type="paragraph" w:styleId="HTMLPreformatted">
    <w:name w:val="HTML Preformatted"/>
    <w:basedOn w:val="Normal"/>
    <w:link w:val="HTMLPreformattedChar"/>
    <w:uiPriority w:val="1"/>
    <w:rsid w:val="007E52B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line="240" w:lineRule="auto"/>
      <w:jc w:val="left"/>
      <w:textAlignment w:val="auto"/>
    </w:pPr>
    <w:rPr>
      <w:rFonts w:ascii="Courier New" w:eastAsia="SimSun" w:hAnsi="Courier New" w:cs="Courier New"/>
      <w:sz w:val="20"/>
      <w:lang w:eastAsia="zh-CN"/>
    </w:rPr>
  </w:style>
  <w:style w:type="character" w:customStyle="1" w:styleId="HTMLPreformattedChar">
    <w:name w:val="HTML Preformatted Char"/>
    <w:basedOn w:val="DefaultParagraphFont"/>
    <w:link w:val="HTMLPreformatted"/>
    <w:qFormat/>
    <w:rsid w:val="007E52B2"/>
    <w:rPr>
      <w:rFonts w:ascii="Courier New" w:eastAsia="SimSun" w:hAnsi="Courier New" w:cs="Courier New"/>
      <w:lang w:val="fr-FR"/>
    </w:rPr>
  </w:style>
  <w:style w:type="paragraph" w:customStyle="1" w:styleId="Docnumber">
    <w:name w:val="Docnumber"/>
    <w:basedOn w:val="Normal"/>
    <w:link w:val="DocnumberChar"/>
    <w:uiPriority w:val="1"/>
    <w:qFormat/>
    <w:rsid w:val="007E52B2"/>
    <w:pPr>
      <w:spacing w:before="120" w:line="240" w:lineRule="auto"/>
      <w:jc w:val="right"/>
    </w:pPr>
    <w:rPr>
      <w:b/>
      <w:bCs/>
      <w:sz w:val="40"/>
      <w:lang w:val="en-GB"/>
    </w:rPr>
  </w:style>
  <w:style w:type="character" w:customStyle="1" w:styleId="DocnumberChar">
    <w:name w:val="Docnumber Char"/>
    <w:link w:val="Docnumber"/>
    <w:qFormat/>
    <w:rsid w:val="007E52B2"/>
    <w:rPr>
      <w:rFonts w:ascii="Times New Roman" w:hAnsi="Times New Roman"/>
      <w:b/>
      <w:bCs/>
      <w:sz w:val="40"/>
      <w:lang w:val="en-GB" w:eastAsia="en-US"/>
    </w:rPr>
  </w:style>
  <w:style w:type="paragraph" w:customStyle="1" w:styleId="ISOChange">
    <w:name w:val="ISO_Change"/>
    <w:basedOn w:val="Normal"/>
    <w:uiPriority w:val="1"/>
    <w:rsid w:val="007E52B2"/>
    <w:pPr>
      <w:tabs>
        <w:tab w:val="clear" w:pos="794"/>
        <w:tab w:val="clear" w:pos="1191"/>
        <w:tab w:val="clear" w:pos="1588"/>
        <w:tab w:val="clear" w:pos="1985"/>
      </w:tabs>
      <w:overflowPunct/>
      <w:autoSpaceDE/>
      <w:autoSpaceDN/>
      <w:adjustRightInd/>
      <w:spacing w:before="210" w:line="210" w:lineRule="exact"/>
      <w:jc w:val="left"/>
      <w:textAlignment w:val="auto"/>
    </w:pPr>
    <w:rPr>
      <w:rFonts w:ascii="Arial" w:eastAsia="MS Mincho" w:hAnsi="Arial"/>
      <w:sz w:val="18"/>
      <w:lang w:val="en-GB"/>
    </w:rPr>
  </w:style>
  <w:style w:type="character" w:styleId="Strong">
    <w:name w:val="Strong"/>
    <w:basedOn w:val="DefaultParagraphFont"/>
    <w:qFormat/>
    <w:rsid w:val="007E52B2"/>
    <w:rPr>
      <w:b/>
      <w:bCs/>
    </w:rPr>
  </w:style>
  <w:style w:type="paragraph" w:styleId="NoSpacing">
    <w:name w:val="No Spacing"/>
    <w:uiPriority w:val="1"/>
    <w:qFormat/>
    <w:rsid w:val="00284BB1"/>
    <w:rPr>
      <w:rFonts w:asciiTheme="minorHAnsi" w:eastAsiaTheme="minorHAnsi" w:hAnsiTheme="minorHAnsi" w:cstheme="minorBidi"/>
      <w:sz w:val="22"/>
      <w:szCs w:val="22"/>
      <w:lang w:val="en-GB" w:eastAsia="en-US"/>
    </w:rPr>
  </w:style>
  <w:style w:type="character" w:styleId="PlaceholderText">
    <w:name w:val="Placeholder Text"/>
    <w:basedOn w:val="DefaultParagraphFont"/>
    <w:uiPriority w:val="99"/>
    <w:semiHidden/>
    <w:rsid w:val="00284BB1"/>
    <w:rPr>
      <w:color w:val="808080"/>
    </w:rPr>
  </w:style>
  <w:style w:type="paragraph" w:styleId="NormalWeb">
    <w:name w:val="Normal (Web)"/>
    <w:basedOn w:val="Normal"/>
    <w:uiPriority w:val="1"/>
    <w:unhideWhenUsed/>
    <w:rsid w:val="00284BB1"/>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Theme="minorEastAsia"/>
      <w:sz w:val="24"/>
      <w:szCs w:val="24"/>
      <w:lang w:val="en-US" w:eastAsia="zh-CN"/>
    </w:rPr>
  </w:style>
  <w:style w:type="character" w:styleId="Emphasis">
    <w:name w:val="Emphasis"/>
    <w:basedOn w:val="DefaultParagraphFont"/>
    <w:uiPriority w:val="1"/>
    <w:rsid w:val="00284BB1"/>
    <w:rPr>
      <w:i/>
      <w:iCs/>
    </w:rPr>
  </w:style>
  <w:style w:type="paragraph" w:customStyle="1" w:styleId="Normal1">
    <w:name w:val="Normal 1"/>
    <w:basedOn w:val="Normal"/>
    <w:next w:val="Normal"/>
    <w:uiPriority w:val="99"/>
    <w:rsid w:val="00284BB1"/>
    <w:pPr>
      <w:widowControl w:val="0"/>
      <w:tabs>
        <w:tab w:val="clear" w:pos="794"/>
        <w:tab w:val="clear" w:pos="1191"/>
        <w:tab w:val="clear" w:pos="1588"/>
        <w:tab w:val="clear" w:pos="1985"/>
      </w:tabs>
      <w:overflowPunct/>
      <w:autoSpaceDE/>
      <w:autoSpaceDN/>
      <w:adjustRightInd/>
      <w:spacing w:before="0" w:line="528" w:lineRule="atLeast"/>
      <w:ind w:right="1152" w:firstLine="720"/>
      <w:jc w:val="left"/>
      <w:textAlignment w:val="auto"/>
    </w:pPr>
    <w:rPr>
      <w:rFonts w:ascii="Arial" w:eastAsiaTheme="minorEastAsia" w:hAnsi="Arial" w:cs="Arial"/>
      <w:sz w:val="24"/>
      <w:szCs w:val="24"/>
      <w:lang w:val="en-US" w:eastAsia="zh-CN"/>
    </w:rPr>
  </w:style>
  <w:style w:type="paragraph" w:styleId="PlainText">
    <w:name w:val="Plain Text"/>
    <w:basedOn w:val="Normal"/>
    <w:link w:val="PlainTextChar"/>
    <w:uiPriority w:val="1"/>
    <w:unhideWhenUsed/>
    <w:rsid w:val="00284BB1"/>
    <w:pPr>
      <w:tabs>
        <w:tab w:val="clear" w:pos="794"/>
        <w:tab w:val="clear" w:pos="1191"/>
        <w:tab w:val="clear" w:pos="1588"/>
        <w:tab w:val="clear" w:pos="1985"/>
      </w:tabs>
      <w:overflowPunct/>
      <w:autoSpaceDE/>
      <w:autoSpaceDN/>
      <w:adjustRightInd/>
      <w:spacing w:before="0" w:line="240" w:lineRule="auto"/>
      <w:jc w:val="left"/>
      <w:textAlignment w:val="auto"/>
    </w:pPr>
    <w:rPr>
      <w:rFonts w:ascii="Calibri" w:eastAsiaTheme="minorEastAsia" w:hAnsi="Calibri"/>
      <w:sz w:val="24"/>
      <w:szCs w:val="22"/>
      <w:lang w:val="en-US" w:eastAsia="zh-CN"/>
    </w:rPr>
  </w:style>
  <w:style w:type="character" w:customStyle="1" w:styleId="PlainTextChar">
    <w:name w:val="Plain Text Char"/>
    <w:basedOn w:val="DefaultParagraphFont"/>
    <w:link w:val="PlainText"/>
    <w:rsid w:val="00284BB1"/>
    <w:rPr>
      <w:rFonts w:ascii="Calibri" w:eastAsiaTheme="minorEastAsia" w:hAnsi="Calibri"/>
      <w:sz w:val="24"/>
      <w:szCs w:val="22"/>
    </w:rPr>
  </w:style>
  <w:style w:type="paragraph" w:styleId="Subtitle">
    <w:name w:val="Subtitle"/>
    <w:basedOn w:val="Normal"/>
    <w:next w:val="Normal"/>
    <w:link w:val="SubtitleChar"/>
    <w:uiPriority w:val="1"/>
    <w:rsid w:val="00284BB1"/>
    <w:pPr>
      <w:numPr>
        <w:ilvl w:val="1"/>
      </w:numPr>
      <w:tabs>
        <w:tab w:val="clear" w:pos="794"/>
        <w:tab w:val="clear" w:pos="1191"/>
        <w:tab w:val="clear" w:pos="1588"/>
        <w:tab w:val="clear" w:pos="1985"/>
      </w:tabs>
      <w:overflowPunct/>
      <w:autoSpaceDE/>
      <w:autoSpaceDN/>
      <w:adjustRightInd/>
      <w:spacing w:before="120" w:after="160" w:line="240" w:lineRule="auto"/>
      <w:jc w:val="left"/>
      <w:textAlignment w:val="auto"/>
    </w:pPr>
    <w:rPr>
      <w:rFonts w:asciiTheme="minorHAnsi" w:eastAsiaTheme="minorEastAsia" w:hAnsiTheme="minorHAnsi" w:cstheme="minorBidi"/>
      <w:color w:val="5A5A5A" w:themeColor="text1" w:themeTint="A5"/>
      <w:spacing w:val="15"/>
      <w:szCs w:val="22"/>
      <w:lang w:val="en-GB" w:eastAsia="ja-JP"/>
    </w:rPr>
  </w:style>
  <w:style w:type="character" w:customStyle="1" w:styleId="SubtitleChar">
    <w:name w:val="Subtitle Char"/>
    <w:basedOn w:val="DefaultParagraphFont"/>
    <w:link w:val="Subtitle"/>
    <w:qFormat/>
    <w:rsid w:val="00284BB1"/>
    <w:rPr>
      <w:rFonts w:asciiTheme="minorHAnsi" w:eastAsiaTheme="minorEastAsia" w:hAnsiTheme="minorHAnsi" w:cstheme="minorBidi"/>
      <w:color w:val="5A5A5A" w:themeColor="text1" w:themeTint="A5"/>
      <w:spacing w:val="15"/>
      <w:sz w:val="22"/>
      <w:szCs w:val="22"/>
      <w:lang w:val="en-GB" w:eastAsia="ja-JP"/>
    </w:rPr>
  </w:style>
  <w:style w:type="paragraph" w:styleId="Quote">
    <w:name w:val="Quote"/>
    <w:basedOn w:val="Normal"/>
    <w:next w:val="Normal"/>
    <w:link w:val="QuoteChar"/>
    <w:uiPriority w:val="29"/>
    <w:rsid w:val="00284BB1"/>
    <w:pPr>
      <w:tabs>
        <w:tab w:val="clear" w:pos="794"/>
        <w:tab w:val="clear" w:pos="1191"/>
        <w:tab w:val="clear" w:pos="1588"/>
        <w:tab w:val="clear" w:pos="1985"/>
      </w:tabs>
      <w:overflowPunct/>
      <w:autoSpaceDE/>
      <w:autoSpaceDN/>
      <w:adjustRightInd/>
      <w:spacing w:before="200" w:after="160" w:line="240" w:lineRule="auto"/>
      <w:ind w:left="864" w:right="864"/>
      <w:jc w:val="center"/>
      <w:textAlignment w:val="auto"/>
    </w:pPr>
    <w:rPr>
      <w:rFonts w:eastAsiaTheme="minorEastAsia"/>
      <w:i/>
      <w:iCs/>
      <w:color w:val="404040" w:themeColor="text1" w:themeTint="BF"/>
      <w:sz w:val="24"/>
      <w:szCs w:val="24"/>
      <w:lang w:val="en-GB" w:eastAsia="ja-JP"/>
    </w:rPr>
  </w:style>
  <w:style w:type="character" w:customStyle="1" w:styleId="QuoteChar">
    <w:name w:val="Quote Char"/>
    <w:basedOn w:val="DefaultParagraphFont"/>
    <w:link w:val="Quote"/>
    <w:uiPriority w:val="29"/>
    <w:qFormat/>
    <w:rsid w:val="00284BB1"/>
    <w:rPr>
      <w:rFonts w:ascii="Times New Roman" w:eastAsiaTheme="minorEastAsia" w:hAnsi="Times New Roman"/>
      <w:i/>
      <w:iCs/>
      <w:color w:val="404040" w:themeColor="text1" w:themeTint="BF"/>
      <w:sz w:val="24"/>
      <w:szCs w:val="24"/>
      <w:lang w:val="en-GB" w:eastAsia="ja-JP"/>
    </w:rPr>
  </w:style>
  <w:style w:type="paragraph" w:styleId="Caption">
    <w:name w:val="caption"/>
    <w:basedOn w:val="Normal"/>
    <w:next w:val="Normal"/>
    <w:uiPriority w:val="1"/>
    <w:unhideWhenUsed/>
    <w:rsid w:val="00284BB1"/>
    <w:pPr>
      <w:tabs>
        <w:tab w:val="clear" w:pos="794"/>
        <w:tab w:val="clear" w:pos="1191"/>
        <w:tab w:val="clear" w:pos="1588"/>
        <w:tab w:val="clear" w:pos="1985"/>
      </w:tabs>
      <w:overflowPunct/>
      <w:autoSpaceDE/>
      <w:autoSpaceDN/>
      <w:adjustRightInd/>
      <w:spacing w:before="0" w:after="200" w:line="240" w:lineRule="auto"/>
      <w:jc w:val="left"/>
      <w:textAlignment w:val="auto"/>
    </w:pPr>
    <w:rPr>
      <w:rFonts w:eastAsiaTheme="minorEastAsia"/>
      <w:i/>
      <w:iCs/>
      <w:color w:val="1F497D" w:themeColor="text2"/>
      <w:sz w:val="18"/>
      <w:szCs w:val="18"/>
      <w:lang w:val="en-GB" w:eastAsia="ja-JP"/>
    </w:rPr>
  </w:style>
  <w:style w:type="paragraph" w:styleId="EndnoteText">
    <w:name w:val="endnote text"/>
    <w:basedOn w:val="Normal"/>
    <w:link w:val="EndnoteTextChar"/>
    <w:unhideWhenUsed/>
    <w:rsid w:val="00284BB1"/>
    <w:pPr>
      <w:tabs>
        <w:tab w:val="clear" w:pos="794"/>
        <w:tab w:val="clear" w:pos="1191"/>
        <w:tab w:val="clear" w:pos="1588"/>
        <w:tab w:val="clear" w:pos="1985"/>
      </w:tabs>
      <w:overflowPunct/>
      <w:autoSpaceDE/>
      <w:autoSpaceDN/>
      <w:adjustRightInd/>
      <w:spacing w:before="0" w:line="240" w:lineRule="auto"/>
      <w:jc w:val="left"/>
      <w:textAlignment w:val="auto"/>
    </w:pPr>
    <w:rPr>
      <w:rFonts w:eastAsiaTheme="minorEastAsia"/>
      <w:sz w:val="20"/>
      <w:lang w:val="en-GB" w:eastAsia="ja-JP"/>
    </w:rPr>
  </w:style>
  <w:style w:type="character" w:customStyle="1" w:styleId="EndnoteTextChar">
    <w:name w:val="Endnote Text Char"/>
    <w:basedOn w:val="DefaultParagraphFont"/>
    <w:link w:val="EndnoteText"/>
    <w:qFormat/>
    <w:rsid w:val="00284BB1"/>
    <w:rPr>
      <w:rFonts w:ascii="Times New Roman" w:eastAsiaTheme="minorEastAsia" w:hAnsi="Times New Roman"/>
      <w:lang w:val="en-GB" w:eastAsia="ja-JP"/>
    </w:rPr>
  </w:style>
  <w:style w:type="character" w:styleId="EndnoteReference">
    <w:name w:val="endnote reference"/>
    <w:basedOn w:val="DefaultParagraphFont"/>
    <w:unhideWhenUsed/>
    <w:rsid w:val="00284BB1"/>
    <w:rPr>
      <w:vertAlign w:val="superscript"/>
    </w:rPr>
  </w:style>
  <w:style w:type="paragraph" w:customStyle="1" w:styleId="Agendaitem">
    <w:name w:val="Agenda_item"/>
    <w:basedOn w:val="Normal"/>
    <w:next w:val="Normal"/>
    <w:uiPriority w:val="1"/>
    <w:qFormat/>
    <w:rsid w:val="009C0A13"/>
    <w:pPr>
      <w:tabs>
        <w:tab w:val="clear" w:pos="794"/>
        <w:tab w:val="clear" w:pos="1191"/>
        <w:tab w:val="clear" w:pos="1588"/>
        <w:tab w:val="clear" w:pos="1985"/>
        <w:tab w:val="left" w:pos="1134"/>
        <w:tab w:val="left" w:pos="1871"/>
        <w:tab w:val="left" w:pos="2268"/>
      </w:tabs>
      <w:overflowPunct/>
      <w:autoSpaceDE/>
      <w:autoSpaceDN/>
      <w:adjustRightInd/>
      <w:spacing w:before="240" w:line="240" w:lineRule="auto"/>
      <w:jc w:val="center"/>
      <w:textAlignment w:val="auto"/>
    </w:pPr>
    <w:rPr>
      <w:sz w:val="28"/>
      <w:lang w:val="es-ES_tradnl"/>
    </w:rPr>
  </w:style>
  <w:style w:type="paragraph" w:customStyle="1" w:styleId="Normalbeforetable">
    <w:name w:val="Normal before table"/>
    <w:basedOn w:val="Normal"/>
    <w:uiPriority w:val="1"/>
    <w:rsid w:val="009C0A13"/>
    <w:pPr>
      <w:keepNext/>
      <w:tabs>
        <w:tab w:val="clear" w:pos="794"/>
        <w:tab w:val="clear" w:pos="1191"/>
        <w:tab w:val="clear" w:pos="1588"/>
        <w:tab w:val="clear" w:pos="1985"/>
        <w:tab w:val="left" w:pos="851"/>
      </w:tabs>
      <w:overflowPunct/>
      <w:autoSpaceDE/>
      <w:autoSpaceDN/>
      <w:adjustRightInd/>
      <w:spacing w:before="120" w:after="120" w:line="240" w:lineRule="auto"/>
      <w:jc w:val="left"/>
      <w:textAlignment w:val="auto"/>
    </w:pPr>
    <w:rPr>
      <w:rFonts w:eastAsia="????"/>
      <w:sz w:val="24"/>
      <w:szCs w:val="24"/>
      <w:lang w:val="en-GB"/>
    </w:rPr>
  </w:style>
  <w:style w:type="character" w:customStyle="1" w:styleId="UnresolvedMention1">
    <w:name w:val="Unresolved Mention1"/>
    <w:basedOn w:val="DefaultParagraphFont"/>
    <w:uiPriority w:val="99"/>
    <w:semiHidden/>
    <w:unhideWhenUsed/>
    <w:rsid w:val="00AC491A"/>
    <w:rPr>
      <w:color w:val="605E5C"/>
      <w:shd w:val="clear" w:color="auto" w:fill="E1DFDD"/>
    </w:rPr>
  </w:style>
  <w:style w:type="paragraph" w:customStyle="1" w:styleId="Abstract">
    <w:name w:val="Abstract"/>
    <w:basedOn w:val="Normal"/>
    <w:uiPriority w:val="99"/>
    <w:rsid w:val="00AC491A"/>
    <w:pPr>
      <w:spacing w:before="120" w:line="240" w:lineRule="auto"/>
      <w:jc w:val="left"/>
    </w:pPr>
    <w:rPr>
      <w:sz w:val="24"/>
      <w:lang w:val="en-US"/>
    </w:rPr>
  </w:style>
  <w:style w:type="paragraph" w:customStyle="1" w:styleId="Border">
    <w:name w:val="Border"/>
    <w:basedOn w:val="Normal"/>
    <w:uiPriority w:val="99"/>
    <w:rsid w:val="00AC491A"/>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lang w:val="en-GB"/>
    </w:rPr>
  </w:style>
  <w:style w:type="paragraph" w:styleId="NormalIndent0">
    <w:name w:val="Normal Indent"/>
    <w:basedOn w:val="Normal"/>
    <w:uiPriority w:val="1"/>
    <w:rsid w:val="00AC491A"/>
    <w:pPr>
      <w:spacing w:before="120" w:line="240" w:lineRule="auto"/>
      <w:ind w:left="1134"/>
      <w:jc w:val="left"/>
    </w:pPr>
    <w:rPr>
      <w:sz w:val="24"/>
      <w:lang w:val="en-GB"/>
    </w:rPr>
  </w:style>
  <w:style w:type="paragraph" w:customStyle="1" w:styleId="Committee">
    <w:name w:val="Committee"/>
    <w:basedOn w:val="Normal"/>
    <w:uiPriority w:val="99"/>
    <w:qFormat/>
    <w:rsid w:val="00AC491A"/>
    <w:pPr>
      <w:tabs>
        <w:tab w:val="left" w:pos="851"/>
      </w:tabs>
      <w:spacing w:before="0" w:line="240" w:lineRule="atLeast"/>
      <w:jc w:val="left"/>
    </w:pPr>
    <w:rPr>
      <w:rFonts w:ascii="Verdana" w:hAnsi="Verdana" w:cstheme="minorHAnsi"/>
      <w:b/>
      <w:sz w:val="20"/>
      <w:szCs w:val="24"/>
      <w:lang w:val="en-GB"/>
    </w:rPr>
  </w:style>
  <w:style w:type="paragraph" w:customStyle="1" w:styleId="Section3">
    <w:name w:val="Section_3"/>
    <w:basedOn w:val="Section1"/>
    <w:uiPriority w:val="99"/>
    <w:rsid w:val="00AC491A"/>
    <w:pPr>
      <w:tabs>
        <w:tab w:val="left" w:pos="794"/>
        <w:tab w:val="left" w:pos="1191"/>
        <w:tab w:val="left" w:pos="1588"/>
        <w:tab w:val="left" w:pos="1985"/>
        <w:tab w:val="center" w:pos="4820"/>
      </w:tabs>
      <w:spacing w:before="360" w:line="240" w:lineRule="auto"/>
    </w:pPr>
    <w:rPr>
      <w:b w:val="0"/>
      <w:sz w:val="24"/>
      <w:lang w:val="en-GB"/>
    </w:rPr>
  </w:style>
  <w:style w:type="paragraph" w:customStyle="1" w:styleId="Tableref">
    <w:name w:val="Table_ref"/>
    <w:basedOn w:val="Normal"/>
    <w:next w:val="Normal"/>
    <w:uiPriority w:val="1"/>
    <w:rsid w:val="00AC491A"/>
    <w:pPr>
      <w:keepNext/>
      <w:spacing w:before="560" w:line="240" w:lineRule="auto"/>
      <w:jc w:val="center"/>
    </w:pPr>
    <w:rPr>
      <w:sz w:val="20"/>
      <w:lang w:val="en-GB"/>
    </w:rPr>
  </w:style>
  <w:style w:type="paragraph" w:customStyle="1" w:styleId="Normalend">
    <w:name w:val="Normal_end"/>
    <w:basedOn w:val="Normal"/>
    <w:next w:val="Normal"/>
    <w:uiPriority w:val="99"/>
    <w:rsid w:val="00AC491A"/>
    <w:pPr>
      <w:spacing w:before="120" w:line="240" w:lineRule="auto"/>
      <w:jc w:val="left"/>
    </w:pPr>
    <w:rPr>
      <w:sz w:val="24"/>
      <w:lang w:val="en-US"/>
    </w:rPr>
  </w:style>
  <w:style w:type="paragraph" w:customStyle="1" w:styleId="Volumetitle">
    <w:name w:val="Volume_title"/>
    <w:basedOn w:val="Normal"/>
    <w:uiPriority w:val="1"/>
    <w:qFormat/>
    <w:rsid w:val="00AC491A"/>
    <w:pPr>
      <w:spacing w:before="120" w:line="240" w:lineRule="auto"/>
      <w:jc w:val="center"/>
    </w:pPr>
    <w:rPr>
      <w:b/>
      <w:bCs/>
      <w:sz w:val="28"/>
      <w:szCs w:val="28"/>
      <w:lang w:val="en-GB"/>
    </w:rPr>
  </w:style>
  <w:style w:type="paragraph" w:customStyle="1" w:styleId="Part1">
    <w:name w:val="Part_1"/>
    <w:basedOn w:val="Section1"/>
    <w:next w:val="Section1"/>
    <w:uiPriority w:val="99"/>
    <w:rsid w:val="00AC491A"/>
    <w:pPr>
      <w:tabs>
        <w:tab w:val="left" w:pos="794"/>
        <w:tab w:val="left" w:pos="1191"/>
        <w:tab w:val="left" w:pos="1588"/>
        <w:tab w:val="left" w:pos="1985"/>
        <w:tab w:val="center" w:pos="4820"/>
      </w:tabs>
      <w:spacing w:before="360" w:line="240" w:lineRule="auto"/>
    </w:pPr>
    <w:rPr>
      <w:sz w:val="24"/>
      <w:lang w:val="en-GB"/>
    </w:rPr>
  </w:style>
  <w:style w:type="paragraph" w:customStyle="1" w:styleId="TopHeader">
    <w:name w:val="TopHeader"/>
    <w:basedOn w:val="Normal"/>
    <w:uiPriority w:val="1"/>
    <w:rsid w:val="00AC491A"/>
    <w:pPr>
      <w:spacing w:before="120" w:line="240" w:lineRule="auto"/>
      <w:jc w:val="left"/>
    </w:pPr>
    <w:rPr>
      <w:rFonts w:ascii="Verdana" w:hAnsi="Verdana" w:cs="Times New Roman Bold"/>
      <w:b/>
      <w:bCs/>
      <w:sz w:val="24"/>
      <w:szCs w:val="24"/>
      <w:lang w:val="en-GB"/>
    </w:rPr>
  </w:style>
  <w:style w:type="paragraph" w:customStyle="1" w:styleId="OpinionNo">
    <w:name w:val="Opinion_No"/>
    <w:basedOn w:val="ResNo"/>
    <w:next w:val="Normal"/>
    <w:uiPriority w:val="99"/>
    <w:qFormat/>
    <w:rsid w:val="00AC491A"/>
    <w:pPr>
      <w:tabs>
        <w:tab w:val="left" w:pos="794"/>
        <w:tab w:val="left" w:pos="1191"/>
        <w:tab w:val="left" w:pos="1588"/>
        <w:tab w:val="left" w:pos="1985"/>
      </w:tabs>
      <w:spacing w:before="480" w:line="240" w:lineRule="auto"/>
      <w:outlineLvl w:val="9"/>
    </w:pPr>
    <w:rPr>
      <w:rFonts w:hAnsi="Times New Roman Bold"/>
      <w:caps w:val="0"/>
      <w:lang w:val="en-GB"/>
    </w:rPr>
  </w:style>
  <w:style w:type="paragraph" w:customStyle="1" w:styleId="Normalaftertitle00">
    <w:name w:val="Normal after title0"/>
    <w:basedOn w:val="Normal"/>
    <w:next w:val="Normal"/>
    <w:uiPriority w:val="1"/>
    <w:rsid w:val="00AC491A"/>
    <w:pPr>
      <w:spacing w:before="280" w:line="240" w:lineRule="auto"/>
      <w:jc w:val="left"/>
    </w:pPr>
    <w:rPr>
      <w:sz w:val="24"/>
      <w:lang w:val="en-GB"/>
    </w:rPr>
  </w:style>
  <w:style w:type="table" w:customStyle="1" w:styleId="TableGrid3">
    <w:name w:val="Table Grid3"/>
    <w:basedOn w:val="TableNormal"/>
    <w:next w:val="TableGrid"/>
    <w:uiPriority w:val="1"/>
    <w:rsid w:val="00AC491A"/>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C491A"/>
    <w:rPr>
      <w:rFonts w:asciiTheme="minorHAnsi" w:eastAsiaTheme="minorHAnsi" w:hAnsiTheme="minorHAnsi" w:cstheme="minorBidi"/>
      <w:sz w:val="22"/>
      <w:szCs w:val="22"/>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1"/>
    <w:rsid w:val="00AC491A"/>
    <w:rPr>
      <w:rFonts w:ascii="Times" w:eastAsia="Batang"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recolor-2-0">
    <w:name w:val="ms-rtethemeforecolor-2-0"/>
    <w:basedOn w:val="DefaultParagraphFont"/>
    <w:uiPriority w:val="1"/>
    <w:rsid w:val="00AC491A"/>
  </w:style>
  <w:style w:type="paragraph" w:customStyle="1" w:styleId="msonormal0">
    <w:name w:val="msonormal"/>
    <w:basedOn w:val="Normal"/>
    <w:uiPriority w:val="1"/>
    <w:rsid w:val="00AC491A"/>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Batang"/>
      <w:sz w:val="24"/>
      <w:szCs w:val="24"/>
      <w:lang w:val="en-GB" w:eastAsia="en-GB"/>
    </w:rPr>
  </w:style>
  <w:style w:type="paragraph" w:customStyle="1" w:styleId="Default">
    <w:name w:val="Default"/>
    <w:uiPriority w:val="1"/>
    <w:rsid w:val="00AC491A"/>
    <w:pPr>
      <w:autoSpaceDE w:val="0"/>
      <w:autoSpaceDN w:val="0"/>
      <w:adjustRightInd w:val="0"/>
    </w:pPr>
    <w:rPr>
      <w:rFonts w:ascii="Times New Roman" w:eastAsia="Batang" w:hAnsi="Times New Roman"/>
      <w:color w:val="000000"/>
      <w:sz w:val="24"/>
      <w:szCs w:val="24"/>
      <w:lang w:val="en-GB"/>
    </w:rPr>
  </w:style>
  <w:style w:type="paragraph" w:customStyle="1" w:styleId="Normalaftertitle000">
    <w:name w:val="Normal after title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
    <w:name w:val="Normal after title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
    <w:name w:val="Normal after title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
    <w:name w:val="Normal after title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0">
    <w:name w:val="Normal after title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00">
    <w:name w:val="Normal after title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000">
    <w:name w:val="Normal after title0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0000">
    <w:name w:val="Normal after title00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00000">
    <w:name w:val="Normal after title000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000000">
    <w:name w:val="Normal after title0000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TableParagraph">
    <w:name w:val="Table Paragraph"/>
    <w:basedOn w:val="Normal"/>
    <w:uiPriority w:val="1"/>
    <w:qFormat/>
    <w:rsid w:val="00C12517"/>
    <w:pPr>
      <w:spacing w:before="120" w:line="240" w:lineRule="auto"/>
    </w:pPr>
    <w:rPr>
      <w:sz w:val="24"/>
      <w:lang w:val="en-GB"/>
    </w:rPr>
  </w:style>
  <w:style w:type="paragraph" w:styleId="TOCHeading">
    <w:name w:val="TOC Heading"/>
    <w:basedOn w:val="Heading1"/>
    <w:next w:val="Normal"/>
    <w:uiPriority w:val="39"/>
    <w:unhideWhenUsed/>
    <w:qFormat/>
    <w:rsid w:val="00C12517"/>
    <w:pPr>
      <w:spacing w:before="240" w:line="259" w:lineRule="auto"/>
      <w:ind w:left="0"/>
      <w:jc w:val="left"/>
      <w:outlineLvl w:val="9"/>
    </w:pPr>
    <w:rPr>
      <w:rFonts w:asciiTheme="majorHAnsi" w:eastAsiaTheme="majorEastAsia" w:hAnsiTheme="majorHAnsi" w:cstheme="majorBidi"/>
      <w:b w:val="0"/>
      <w:bCs/>
      <w:color w:val="365F91" w:themeColor="accent1" w:themeShade="BF"/>
      <w:sz w:val="32"/>
      <w:szCs w:val="32"/>
      <w:lang w:val="en-GB"/>
    </w:rPr>
  </w:style>
  <w:style w:type="paragraph" w:customStyle="1" w:styleId="LSDeadline">
    <w:name w:val="LSDeadline"/>
    <w:basedOn w:val="Normal"/>
    <w:uiPriority w:val="99"/>
    <w:rsid w:val="00C12517"/>
    <w:pPr>
      <w:spacing w:before="120" w:line="240" w:lineRule="auto"/>
    </w:pPr>
    <w:rPr>
      <w:b/>
      <w:bCs/>
      <w:sz w:val="24"/>
      <w:lang w:val="en-GB"/>
    </w:rPr>
  </w:style>
  <w:style w:type="paragraph" w:customStyle="1" w:styleId="LSForAction">
    <w:name w:val="LSForAction"/>
    <w:basedOn w:val="Normal"/>
    <w:uiPriority w:val="99"/>
    <w:rsid w:val="00C12517"/>
    <w:pPr>
      <w:spacing w:before="120" w:line="240" w:lineRule="auto"/>
    </w:pPr>
    <w:rPr>
      <w:b/>
      <w:bCs/>
      <w:sz w:val="24"/>
      <w:lang w:val="en-GB"/>
    </w:rPr>
  </w:style>
  <w:style w:type="paragraph" w:customStyle="1" w:styleId="LSSource">
    <w:name w:val="LSSource"/>
    <w:basedOn w:val="Normal"/>
    <w:uiPriority w:val="99"/>
    <w:rsid w:val="00C12517"/>
    <w:pPr>
      <w:spacing w:before="120" w:line="240" w:lineRule="auto"/>
    </w:pPr>
    <w:rPr>
      <w:b/>
      <w:bCs/>
      <w:sz w:val="24"/>
      <w:lang w:val="en-GB"/>
    </w:rPr>
  </w:style>
  <w:style w:type="paragraph" w:customStyle="1" w:styleId="LSTitle">
    <w:name w:val="LSTitle"/>
    <w:basedOn w:val="Normal"/>
    <w:link w:val="LSTitleChar"/>
    <w:uiPriority w:val="1"/>
    <w:rsid w:val="00C12517"/>
    <w:pPr>
      <w:spacing w:before="120" w:line="240" w:lineRule="auto"/>
    </w:pPr>
    <w:rPr>
      <w:b/>
      <w:bCs/>
      <w:sz w:val="24"/>
      <w:lang w:val="en-GB"/>
    </w:rPr>
  </w:style>
  <w:style w:type="paragraph" w:customStyle="1" w:styleId="LSForInfo">
    <w:name w:val="LSForInfo"/>
    <w:basedOn w:val="LSForAction"/>
    <w:uiPriority w:val="99"/>
    <w:rsid w:val="00C12517"/>
  </w:style>
  <w:style w:type="character" w:customStyle="1" w:styleId="BodyTextChar">
    <w:name w:val="Body Text Char"/>
    <w:basedOn w:val="DefaultParagraphFont"/>
    <w:link w:val="BodyText"/>
    <w:qFormat/>
    <w:rsid w:val="00C12517"/>
    <w:rPr>
      <w:rFonts w:ascii="Arial" w:hAnsi="Arial" w:cs="Arial"/>
      <w:b/>
      <w:bCs/>
      <w:sz w:val="36"/>
      <w:lang w:val="fr-FR" w:eastAsia="en-US"/>
    </w:rPr>
  </w:style>
  <w:style w:type="character" w:customStyle="1" w:styleId="UnresolvedMention10">
    <w:name w:val="Unresolved Mention1"/>
    <w:basedOn w:val="DefaultParagraphFont"/>
    <w:uiPriority w:val="99"/>
    <w:semiHidden/>
    <w:unhideWhenUsed/>
    <w:rsid w:val="00C12517"/>
    <w:rPr>
      <w:color w:val="605E5C"/>
      <w:shd w:val="clear" w:color="auto" w:fill="E1DFDD"/>
    </w:rPr>
  </w:style>
  <w:style w:type="paragraph" w:customStyle="1" w:styleId="RefText0">
    <w:name w:val="Ref_Text"/>
    <w:basedOn w:val="Normal"/>
    <w:uiPriority w:val="1"/>
    <w:rsid w:val="00C12517"/>
    <w:pPr>
      <w:spacing w:before="120" w:line="240" w:lineRule="auto"/>
      <w:ind w:left="794" w:hanging="794"/>
    </w:pPr>
    <w:rPr>
      <w:sz w:val="24"/>
      <w:lang w:val="en-GB"/>
    </w:rPr>
  </w:style>
  <w:style w:type="paragraph" w:customStyle="1" w:styleId="call0">
    <w:name w:val="call"/>
    <w:basedOn w:val="Normal"/>
    <w:next w:val="Normal"/>
    <w:uiPriority w:val="1"/>
    <w:rsid w:val="00C12517"/>
    <w:pPr>
      <w:keepNext/>
      <w:spacing w:line="240" w:lineRule="auto"/>
      <w:ind w:left="794"/>
    </w:pPr>
    <w:rPr>
      <w:i/>
      <w:sz w:val="24"/>
      <w:lang w:val="en-GB"/>
    </w:rPr>
  </w:style>
  <w:style w:type="paragraph" w:customStyle="1" w:styleId="Rec">
    <w:name w:val="Rec_#"/>
    <w:basedOn w:val="Normal"/>
    <w:next w:val="Normal"/>
    <w:uiPriority w:val="1"/>
    <w:rsid w:val="00C12517"/>
    <w:pPr>
      <w:keepNext/>
      <w:keepLines/>
      <w:spacing w:before="480" w:line="240" w:lineRule="auto"/>
      <w:jc w:val="left"/>
    </w:pPr>
    <w:rPr>
      <w:b/>
      <w:sz w:val="24"/>
      <w:lang w:val="en-GB"/>
    </w:rPr>
  </w:style>
  <w:style w:type="paragraph" w:customStyle="1" w:styleId="RecRef0">
    <w:name w:val="Rec Ref"/>
    <w:basedOn w:val="Normal"/>
    <w:next w:val="Heading1"/>
    <w:uiPriority w:val="1"/>
    <w:rsid w:val="00C12517"/>
    <w:pPr>
      <w:tabs>
        <w:tab w:val="clear" w:pos="794"/>
        <w:tab w:val="clear" w:pos="1191"/>
        <w:tab w:val="clear" w:pos="1588"/>
        <w:tab w:val="clear" w:pos="1985"/>
      </w:tabs>
      <w:spacing w:before="136" w:line="240" w:lineRule="auto"/>
      <w:jc w:val="center"/>
    </w:pPr>
    <w:rPr>
      <w:i/>
      <w:sz w:val="20"/>
      <w:lang w:val="en-GB"/>
    </w:rPr>
  </w:style>
  <w:style w:type="paragraph" w:customStyle="1" w:styleId="Headingpart">
    <w:name w:val="Heading_part"/>
    <w:basedOn w:val="Heading1"/>
    <w:next w:val="Participants"/>
    <w:uiPriority w:val="99"/>
    <w:rsid w:val="00C12517"/>
    <w:pPr>
      <w:spacing w:before="480" w:after="120"/>
    </w:pPr>
    <w:rPr>
      <w:sz w:val="22"/>
    </w:rPr>
  </w:style>
  <w:style w:type="paragraph" w:customStyle="1" w:styleId="Headingparti">
    <w:name w:val="Heading_part_i"/>
    <w:basedOn w:val="Headingpart"/>
    <w:next w:val="Normal"/>
    <w:uiPriority w:val="99"/>
    <w:rsid w:val="00C12517"/>
    <w:pPr>
      <w:spacing w:before="120" w:after="60" w:line="280" w:lineRule="exact"/>
    </w:pPr>
    <w:rPr>
      <w:b w:val="0"/>
      <w:i/>
    </w:rPr>
  </w:style>
  <w:style w:type="paragraph" w:customStyle="1" w:styleId="RecCCITTNo">
    <w:name w:val="Rec_CCITT_No"/>
    <w:basedOn w:val="Normal"/>
    <w:uiPriority w:val="99"/>
    <w:rsid w:val="00C12517"/>
    <w:pPr>
      <w:keepNext/>
      <w:keepLines/>
      <w:tabs>
        <w:tab w:val="clear" w:pos="794"/>
        <w:tab w:val="clear" w:pos="1191"/>
        <w:tab w:val="clear" w:pos="1588"/>
        <w:tab w:val="clear" w:pos="1985"/>
      </w:tabs>
      <w:spacing w:before="0" w:line="240" w:lineRule="auto"/>
      <w:jc w:val="left"/>
    </w:pPr>
    <w:rPr>
      <w:b/>
      <w:sz w:val="24"/>
      <w:lang w:val="en-GB"/>
    </w:rPr>
  </w:style>
  <w:style w:type="paragraph" w:customStyle="1" w:styleId="foot">
    <w:name w:val="foot"/>
    <w:basedOn w:val="Normal"/>
    <w:next w:val="Heading1"/>
    <w:uiPriority w:val="99"/>
    <w:rsid w:val="00C12517"/>
    <w:pPr>
      <w:spacing w:before="0" w:line="240" w:lineRule="auto"/>
    </w:pPr>
    <w:rPr>
      <w:color w:val="FF0000"/>
      <w:sz w:val="20"/>
      <w:lang w:val="en-GB"/>
    </w:rPr>
  </w:style>
  <w:style w:type="paragraph" w:customStyle="1" w:styleId="RecISONo">
    <w:name w:val="Rec_ISO_No"/>
    <w:basedOn w:val="Normal"/>
    <w:uiPriority w:val="99"/>
    <w:rsid w:val="00C12517"/>
    <w:pPr>
      <w:keepNext/>
      <w:keepLines/>
      <w:spacing w:before="720" w:line="240" w:lineRule="auto"/>
      <w:jc w:val="left"/>
    </w:pPr>
    <w:rPr>
      <w:b/>
      <w:sz w:val="20"/>
      <w:lang w:val="en-GB"/>
    </w:rPr>
  </w:style>
  <w:style w:type="paragraph" w:customStyle="1" w:styleId="headingb0">
    <w:name w:val="heading_b"/>
    <w:basedOn w:val="Heading3"/>
    <w:next w:val="Normal"/>
    <w:uiPriority w:val="99"/>
    <w:rsid w:val="00C12517"/>
    <w:pPr>
      <w:tabs>
        <w:tab w:val="clear" w:pos="1191"/>
        <w:tab w:val="clear" w:pos="1588"/>
        <w:tab w:val="clear" w:pos="1985"/>
        <w:tab w:val="left" w:pos="2127"/>
        <w:tab w:val="left" w:pos="2410"/>
        <w:tab w:val="left" w:pos="2921"/>
        <w:tab w:val="left" w:pos="3261"/>
      </w:tabs>
      <w:spacing w:before="160" w:line="240" w:lineRule="auto"/>
      <w:ind w:left="0" w:firstLine="0"/>
      <w:jc w:val="left"/>
      <w:outlineLvl w:val="9"/>
    </w:pPr>
    <w:rPr>
      <w:sz w:val="22"/>
      <w:lang w:val="en-GB"/>
    </w:rPr>
  </w:style>
  <w:style w:type="paragraph" w:customStyle="1" w:styleId="TableLegend0">
    <w:name w:val="Table_Legend"/>
    <w:basedOn w:val="Normal"/>
    <w:next w:val="Normal"/>
    <w:uiPriority w:val="99"/>
    <w:rsid w:val="00C12517"/>
    <w:pPr>
      <w:keepNext/>
      <w:tabs>
        <w:tab w:val="clear" w:pos="794"/>
        <w:tab w:val="clear" w:pos="1191"/>
        <w:tab w:val="clear" w:pos="1588"/>
        <w:tab w:val="clear" w:pos="1985"/>
        <w:tab w:val="left" w:pos="454"/>
      </w:tabs>
      <w:overflowPunct/>
      <w:autoSpaceDE/>
      <w:autoSpaceDN/>
      <w:adjustRightInd/>
      <w:spacing w:before="86" w:line="240" w:lineRule="auto"/>
      <w:textAlignment w:val="auto"/>
    </w:pPr>
    <w:rPr>
      <w:sz w:val="18"/>
      <w:lang w:val="en-GB"/>
    </w:rPr>
  </w:style>
  <w:style w:type="paragraph" w:customStyle="1" w:styleId="AnnexRef0">
    <w:name w:val="Annex_Ref"/>
    <w:basedOn w:val="Normal"/>
    <w:next w:val="Normal"/>
    <w:uiPriority w:val="99"/>
    <w:rsid w:val="00C12517"/>
    <w:pPr>
      <w:overflowPunct/>
      <w:autoSpaceDE/>
      <w:autoSpaceDN/>
      <w:adjustRightInd/>
      <w:spacing w:before="0" w:line="240" w:lineRule="auto"/>
      <w:jc w:val="center"/>
      <w:textAlignment w:val="auto"/>
    </w:pPr>
    <w:rPr>
      <w:sz w:val="20"/>
      <w:lang w:val="en-GB"/>
    </w:rPr>
  </w:style>
  <w:style w:type="paragraph" w:customStyle="1" w:styleId="BODY">
    <w:name w:val=".BODY"/>
    <w:basedOn w:val="Normal"/>
    <w:link w:val="BODYChar"/>
    <w:uiPriority w:val="1"/>
    <w:qFormat/>
    <w:rsid w:val="00C12517"/>
    <w:pPr>
      <w:tabs>
        <w:tab w:val="clear" w:pos="794"/>
        <w:tab w:val="clear" w:pos="1191"/>
        <w:tab w:val="clear" w:pos="1588"/>
        <w:tab w:val="clear" w:pos="1985"/>
      </w:tabs>
      <w:overflowPunct/>
      <w:autoSpaceDE/>
      <w:autoSpaceDN/>
      <w:adjustRightInd/>
      <w:spacing w:before="0" w:after="240" w:line="240" w:lineRule="auto"/>
      <w:jc w:val="left"/>
      <w:textAlignment w:val="auto"/>
    </w:pPr>
    <w:rPr>
      <w:rFonts w:asciiTheme="minorHAnsi" w:eastAsiaTheme="minorHAnsi" w:hAnsiTheme="minorHAnsi" w:cstheme="minorHAnsi"/>
      <w:iCs/>
      <w:szCs w:val="22"/>
      <w:lang w:val="en-GB" w:eastAsia="ar-SA"/>
    </w:rPr>
  </w:style>
  <w:style w:type="character" w:customStyle="1" w:styleId="BODYChar">
    <w:name w:val=".BODY Char"/>
    <w:basedOn w:val="DefaultParagraphFont"/>
    <w:link w:val="BODY"/>
    <w:rsid w:val="00C12517"/>
    <w:rPr>
      <w:rFonts w:asciiTheme="minorHAnsi" w:eastAsiaTheme="minorHAnsi" w:hAnsiTheme="minorHAnsi" w:cstheme="minorHAnsi"/>
      <w:iCs/>
      <w:sz w:val="22"/>
      <w:szCs w:val="22"/>
      <w:lang w:val="en-GB" w:eastAsia="ar-SA"/>
    </w:rPr>
  </w:style>
  <w:style w:type="character" w:customStyle="1" w:styleId="NormalaftertitleChar">
    <w:name w:val="Normal_after_title Char"/>
    <w:basedOn w:val="DefaultParagraphFont"/>
    <w:link w:val="Normalaftertitle"/>
    <w:rsid w:val="00C12517"/>
    <w:rPr>
      <w:rFonts w:ascii="Times New Roman" w:hAnsi="Times New Roman"/>
      <w:sz w:val="22"/>
      <w:lang w:val="fr-FR" w:eastAsia="en-US"/>
    </w:rPr>
  </w:style>
  <w:style w:type="paragraph" w:customStyle="1" w:styleId="TableNotitle0">
    <w:name w:val="Table_No &amp; title"/>
    <w:basedOn w:val="Normal"/>
    <w:next w:val="Tablehead"/>
    <w:uiPriority w:val="1"/>
    <w:qFormat/>
    <w:rsid w:val="00C12517"/>
    <w:pPr>
      <w:keepNext/>
      <w:keepLines/>
      <w:spacing w:before="360" w:after="120" w:line="240" w:lineRule="auto"/>
      <w:jc w:val="center"/>
    </w:pPr>
    <w:rPr>
      <w:b/>
      <w:sz w:val="24"/>
      <w:lang w:val="en-US"/>
    </w:rPr>
  </w:style>
  <w:style w:type="character" w:customStyle="1" w:styleId="ListParagraphChar">
    <w:name w:val="List Paragraph Char"/>
    <w:aliases w:val="NUMBERED PARAGRAPH Char,List Paragraph 1 Char,List Paragraph (numbered (a)) Char,Use Case List Paragraph Char,References Char,ReferencesCxSpLast Char,lp1 Char,Bullet List Char,FooterText Char,List Paragraph1 Char,numbered Char"/>
    <w:link w:val="ListParagraph"/>
    <w:uiPriority w:val="34"/>
    <w:qFormat/>
    <w:rsid w:val="009033A7"/>
    <w:rPr>
      <w:rFonts w:ascii="Times New Roman" w:hAnsi="Times New Roman"/>
      <w:sz w:val="22"/>
      <w:lang w:val="fr-FR" w:eastAsia="en-US"/>
    </w:rPr>
  </w:style>
  <w:style w:type="paragraph" w:customStyle="1" w:styleId="xmsonormal">
    <w:name w:val="x_msonormal"/>
    <w:basedOn w:val="Normal"/>
    <w:uiPriority w:val="1"/>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ascii="Calibri" w:eastAsiaTheme="minorHAnsi" w:hAnsi="Calibri" w:cs="Calibri"/>
      <w:szCs w:val="22"/>
      <w:lang w:val="en-GB" w:eastAsia="en-GB"/>
    </w:rPr>
  </w:style>
  <w:style w:type="paragraph" w:customStyle="1" w:styleId="Questionhistory">
    <w:name w:val="Question_history"/>
    <w:basedOn w:val="Normal"/>
    <w:uiPriority w:val="1"/>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Theme="minorHAnsi"/>
      <w:sz w:val="24"/>
      <w:szCs w:val="24"/>
      <w:lang w:val="en-GB" w:eastAsia="ja-JP"/>
    </w:rPr>
  </w:style>
  <w:style w:type="paragraph" w:customStyle="1" w:styleId="AppArtNo">
    <w:name w:val="App_Art_No"/>
    <w:basedOn w:val="ArtNo"/>
    <w:uiPriority w:val="99"/>
    <w:rsid w:val="009033A7"/>
    <w:pPr>
      <w:tabs>
        <w:tab w:val="clear" w:pos="794"/>
        <w:tab w:val="clear" w:pos="1191"/>
        <w:tab w:val="clear" w:pos="1588"/>
        <w:tab w:val="clear" w:pos="1985"/>
        <w:tab w:val="left" w:pos="1134"/>
        <w:tab w:val="left" w:pos="1871"/>
        <w:tab w:val="left" w:pos="2268"/>
      </w:tabs>
      <w:spacing w:line="240" w:lineRule="auto"/>
    </w:pPr>
    <w:rPr>
      <w:lang w:val="en-GB"/>
    </w:rPr>
  </w:style>
  <w:style w:type="paragraph" w:customStyle="1" w:styleId="AppArttitle">
    <w:name w:val="App_Art_title"/>
    <w:basedOn w:val="Arttitle"/>
    <w:uiPriority w:val="99"/>
    <w:rsid w:val="009033A7"/>
    <w:pPr>
      <w:tabs>
        <w:tab w:val="clear" w:pos="794"/>
        <w:tab w:val="clear" w:pos="1191"/>
        <w:tab w:val="clear" w:pos="1588"/>
        <w:tab w:val="clear" w:pos="1985"/>
        <w:tab w:val="left" w:pos="1134"/>
        <w:tab w:val="left" w:pos="1871"/>
        <w:tab w:val="left" w:pos="2268"/>
      </w:tabs>
      <w:spacing w:line="240" w:lineRule="auto"/>
    </w:pPr>
    <w:rPr>
      <w:lang w:val="en-GB"/>
    </w:rPr>
  </w:style>
  <w:style w:type="paragraph" w:customStyle="1" w:styleId="ApptoAnnex">
    <w:name w:val="App_to_Annex"/>
    <w:basedOn w:val="AppendixNo"/>
    <w:next w:val="Normal"/>
    <w:uiPriority w:val="99"/>
    <w:rsid w:val="009033A7"/>
    <w:pPr>
      <w:tabs>
        <w:tab w:val="clear" w:pos="794"/>
        <w:tab w:val="clear" w:pos="1191"/>
        <w:tab w:val="clear" w:pos="1588"/>
        <w:tab w:val="clear" w:pos="1985"/>
        <w:tab w:val="left" w:pos="1134"/>
        <w:tab w:val="left" w:pos="1871"/>
        <w:tab w:val="left" w:pos="2268"/>
      </w:tabs>
    </w:pPr>
  </w:style>
  <w:style w:type="paragraph" w:customStyle="1" w:styleId="Subsection1">
    <w:name w:val="Subsection_1"/>
    <w:basedOn w:val="Section1"/>
    <w:next w:val="Normalaftertitle0"/>
    <w:uiPriority w:val="99"/>
    <w:rsid w:val="009033A7"/>
    <w:pPr>
      <w:tabs>
        <w:tab w:val="center" w:pos="4820"/>
      </w:tabs>
      <w:spacing w:before="360" w:line="240" w:lineRule="auto"/>
    </w:pPr>
    <w:rPr>
      <w:sz w:val="24"/>
      <w:lang w:val="en-GB"/>
    </w:rPr>
  </w:style>
  <w:style w:type="paragraph" w:customStyle="1" w:styleId="Destination">
    <w:name w:val="Destination"/>
    <w:basedOn w:val="Normal"/>
    <w:uiPriority w:val="1"/>
    <w:rsid w:val="009033A7"/>
    <w:pPr>
      <w:tabs>
        <w:tab w:val="clear" w:pos="794"/>
        <w:tab w:val="clear" w:pos="1191"/>
        <w:tab w:val="clear" w:pos="1588"/>
        <w:tab w:val="clear" w:pos="1985"/>
        <w:tab w:val="left" w:pos="1134"/>
        <w:tab w:val="left" w:pos="1871"/>
        <w:tab w:val="left" w:pos="2268"/>
      </w:tabs>
      <w:spacing w:before="0" w:line="240" w:lineRule="auto"/>
      <w:jc w:val="left"/>
    </w:pPr>
    <w:rPr>
      <w:rFonts w:ascii="Verdana" w:hAnsi="Verdana"/>
      <w:b/>
      <w:sz w:val="20"/>
      <w:lang w:val="en-GB"/>
    </w:rPr>
  </w:style>
  <w:style w:type="character" w:customStyle="1" w:styleId="LSTitleChar">
    <w:name w:val="LSTitle Char"/>
    <w:link w:val="LSTitle"/>
    <w:qFormat/>
    <w:rsid w:val="009033A7"/>
    <w:rPr>
      <w:rFonts w:ascii="Times New Roman" w:hAnsi="Times New Roman"/>
      <w:b/>
      <w:bCs/>
      <w:sz w:val="24"/>
      <w:lang w:val="en-GB" w:eastAsia="en-US"/>
    </w:rPr>
  </w:style>
  <w:style w:type="paragraph" w:customStyle="1" w:styleId="LSForComment">
    <w:name w:val="LSForComment"/>
    <w:basedOn w:val="LSForAction"/>
    <w:uiPriority w:val="99"/>
    <w:rsid w:val="009033A7"/>
    <w:pPr>
      <w:tabs>
        <w:tab w:val="clear" w:pos="794"/>
        <w:tab w:val="clear" w:pos="1191"/>
        <w:tab w:val="clear" w:pos="1588"/>
        <w:tab w:val="clear" w:pos="1985"/>
      </w:tabs>
      <w:overflowPunct/>
      <w:autoSpaceDE/>
      <w:autoSpaceDN/>
      <w:adjustRightInd/>
      <w:jc w:val="left"/>
      <w:textAlignment w:val="auto"/>
    </w:pPr>
    <w:rPr>
      <w:rFonts w:eastAsiaTheme="minorEastAsia"/>
      <w:szCs w:val="24"/>
      <w:lang w:eastAsia="ja-JP"/>
    </w:rPr>
  </w:style>
  <w:style w:type="paragraph" w:customStyle="1" w:styleId="LSnumber">
    <w:name w:val="LSnumber"/>
    <w:basedOn w:val="Normal"/>
    <w:uiPriority w:val="99"/>
    <w:rsid w:val="009033A7"/>
    <w:pPr>
      <w:tabs>
        <w:tab w:val="clear" w:pos="794"/>
        <w:tab w:val="clear" w:pos="1191"/>
        <w:tab w:val="clear" w:pos="1588"/>
        <w:tab w:val="clear" w:pos="1985"/>
      </w:tabs>
      <w:overflowPunct/>
      <w:autoSpaceDE/>
      <w:autoSpaceDN/>
      <w:adjustRightInd/>
      <w:spacing w:before="120" w:line="240" w:lineRule="auto"/>
      <w:jc w:val="right"/>
      <w:textAlignment w:val="auto"/>
    </w:pPr>
    <w:rPr>
      <w:rFonts w:eastAsiaTheme="minorEastAsia"/>
      <w:b/>
      <w:bCs/>
      <w:sz w:val="32"/>
      <w:szCs w:val="32"/>
      <w:lang w:val="en-GB" w:eastAsia="ja-JP"/>
    </w:rPr>
  </w:style>
  <w:style w:type="character" w:customStyle="1" w:styleId="HeadingbChar">
    <w:name w:val="Heading_b Char"/>
    <w:link w:val="Headingb"/>
    <w:qFormat/>
    <w:locked/>
    <w:rsid w:val="009033A7"/>
    <w:rPr>
      <w:rFonts w:ascii="Times New Roman" w:hAnsi="Times New Roman"/>
      <w:b/>
      <w:sz w:val="22"/>
      <w:lang w:val="fr-FR" w:eastAsia="en-US"/>
    </w:rPr>
  </w:style>
  <w:style w:type="paragraph" w:customStyle="1" w:styleId="Headingib">
    <w:name w:val="Heading_ib"/>
    <w:basedOn w:val="Headingi"/>
    <w:next w:val="Normal"/>
    <w:uiPriority w:val="1"/>
    <w:qFormat/>
    <w:rsid w:val="009033A7"/>
    <w:pPr>
      <w:spacing w:before="160" w:line="240" w:lineRule="auto"/>
    </w:pPr>
    <w:rPr>
      <w:rFonts w:eastAsiaTheme="minorEastAsia"/>
      <w:b/>
      <w:bCs/>
      <w:sz w:val="24"/>
      <w:lang w:val="en-GB" w:eastAsia="ja-JP"/>
    </w:rPr>
  </w:style>
  <w:style w:type="paragraph" w:customStyle="1" w:styleId="AnnexNotitle0">
    <w:name w:val="Annex_No &amp; title"/>
    <w:basedOn w:val="Normal"/>
    <w:next w:val="Normal"/>
    <w:link w:val="AnnexNotitleChar"/>
    <w:uiPriority w:val="1"/>
    <w:rsid w:val="009033A7"/>
    <w:pPr>
      <w:keepNext/>
      <w:keepLines/>
      <w:spacing w:before="480" w:line="240" w:lineRule="auto"/>
      <w:jc w:val="center"/>
    </w:pPr>
    <w:rPr>
      <w:b/>
      <w:sz w:val="28"/>
      <w:lang w:val="en-GB"/>
    </w:rPr>
  </w:style>
  <w:style w:type="paragraph" w:customStyle="1" w:styleId="AppendixNotitle0">
    <w:name w:val="Appendix_No &amp; title"/>
    <w:basedOn w:val="AnnexNotitle0"/>
    <w:next w:val="Normal"/>
    <w:uiPriority w:val="1"/>
    <w:rsid w:val="009033A7"/>
  </w:style>
  <w:style w:type="paragraph" w:customStyle="1" w:styleId="CorrectionSeparatorBegin">
    <w:name w:val="Correction Separator Begin"/>
    <w:basedOn w:val="Normal"/>
    <w:uiPriority w:val="1"/>
    <w:rsid w:val="009033A7"/>
    <w:pPr>
      <w:keepNext/>
      <w:pBdr>
        <w:bottom w:val="single" w:sz="12" w:space="1" w:color="auto"/>
      </w:pBdr>
      <w:tabs>
        <w:tab w:val="clear" w:pos="794"/>
        <w:tab w:val="clear" w:pos="1191"/>
        <w:tab w:val="clear" w:pos="1588"/>
        <w:tab w:val="clear" w:pos="1985"/>
      </w:tabs>
      <w:overflowPunct/>
      <w:autoSpaceDE/>
      <w:autoSpaceDN/>
      <w:adjustRightInd/>
      <w:spacing w:before="240" w:after="240" w:line="240" w:lineRule="auto"/>
      <w:ind w:left="1440" w:right="1440"/>
      <w:jc w:val="center"/>
      <w:textAlignment w:val="auto"/>
    </w:pPr>
    <w:rPr>
      <w:b/>
      <w:i/>
      <w:sz w:val="20"/>
      <w:lang w:val="en-US"/>
    </w:rPr>
  </w:style>
  <w:style w:type="paragraph" w:customStyle="1" w:styleId="CorrectionSeparatorEnd">
    <w:name w:val="Correction Separator End"/>
    <w:basedOn w:val="Normal"/>
    <w:uiPriority w:val="1"/>
    <w:rsid w:val="009033A7"/>
    <w:pPr>
      <w:pBdr>
        <w:top w:val="single" w:sz="12" w:space="1" w:color="auto"/>
      </w:pBdr>
      <w:tabs>
        <w:tab w:val="clear" w:pos="794"/>
        <w:tab w:val="clear" w:pos="1191"/>
        <w:tab w:val="clear" w:pos="1588"/>
        <w:tab w:val="clear" w:pos="1985"/>
      </w:tabs>
      <w:overflowPunct/>
      <w:autoSpaceDE/>
      <w:autoSpaceDN/>
      <w:adjustRightInd/>
      <w:spacing w:before="240" w:after="240" w:line="240" w:lineRule="auto"/>
      <w:ind w:left="1440" w:right="1440"/>
      <w:jc w:val="center"/>
      <w:textAlignment w:val="auto"/>
    </w:pPr>
    <w:rPr>
      <w:b/>
      <w:i/>
      <w:sz w:val="20"/>
      <w:lang w:val="en-US"/>
    </w:rPr>
  </w:style>
  <w:style w:type="paragraph" w:customStyle="1" w:styleId="FigureNotitle0">
    <w:name w:val="Figure_No &amp; title"/>
    <w:basedOn w:val="Normal"/>
    <w:next w:val="Normal"/>
    <w:uiPriority w:val="1"/>
    <w:qFormat/>
    <w:rsid w:val="009033A7"/>
    <w:pPr>
      <w:keepLines/>
      <w:spacing w:before="240" w:after="120" w:line="240" w:lineRule="auto"/>
      <w:jc w:val="center"/>
    </w:pPr>
    <w:rPr>
      <w:rFonts w:eastAsiaTheme="minorEastAsia"/>
      <w:b/>
      <w:sz w:val="24"/>
      <w:lang w:val="en-GB" w:eastAsia="ja-JP"/>
    </w:rPr>
  </w:style>
  <w:style w:type="character" w:customStyle="1" w:styleId="ReftextArial9pt">
    <w:name w:val="Ref_text Arial 9 pt"/>
    <w:uiPriority w:val="1"/>
    <w:rsid w:val="009033A7"/>
    <w:rPr>
      <w:rFonts w:ascii="Arial" w:hAnsi="Arial" w:cs="Arial"/>
      <w:sz w:val="18"/>
      <w:szCs w:val="18"/>
    </w:rPr>
  </w:style>
  <w:style w:type="paragraph" w:styleId="TableofFigures">
    <w:name w:val="table of figures"/>
    <w:basedOn w:val="Normal"/>
    <w:next w:val="Normal"/>
    <w:uiPriority w:val="99"/>
    <w:rsid w:val="009033A7"/>
    <w:pPr>
      <w:tabs>
        <w:tab w:val="clear" w:pos="794"/>
        <w:tab w:val="clear" w:pos="1191"/>
        <w:tab w:val="clear" w:pos="1588"/>
        <w:tab w:val="clear" w:pos="1985"/>
        <w:tab w:val="right" w:leader="dot" w:pos="9639"/>
      </w:tabs>
      <w:overflowPunct/>
      <w:autoSpaceDE/>
      <w:autoSpaceDN/>
      <w:adjustRightInd/>
      <w:spacing w:before="120" w:line="240" w:lineRule="auto"/>
      <w:jc w:val="left"/>
      <w:textAlignment w:val="auto"/>
    </w:pPr>
    <w:rPr>
      <w:rFonts w:eastAsia="MS Mincho"/>
      <w:sz w:val="24"/>
      <w:szCs w:val="24"/>
      <w:lang w:val="en-GB" w:eastAsia="ja-JP"/>
    </w:rPr>
  </w:style>
  <w:style w:type="character" w:customStyle="1" w:styleId="AnnexNotitleChar">
    <w:name w:val="Annex_No &amp; title Char"/>
    <w:link w:val="AnnexNotitle0"/>
    <w:qFormat/>
    <w:locked/>
    <w:rsid w:val="009033A7"/>
    <w:rPr>
      <w:rFonts w:ascii="Times New Roman" w:hAnsi="Times New Roman"/>
      <w:b/>
      <w:sz w:val="28"/>
      <w:lang w:val="en-GB" w:eastAsia="en-US"/>
    </w:rPr>
  </w:style>
  <w:style w:type="paragraph" w:styleId="List">
    <w:name w:val="List"/>
    <w:basedOn w:val="Normal"/>
    <w:uiPriority w:val="1"/>
    <w:rsid w:val="009033A7"/>
    <w:pPr>
      <w:tabs>
        <w:tab w:val="clear" w:pos="794"/>
        <w:tab w:val="clear" w:pos="1191"/>
        <w:tab w:val="clear" w:pos="1588"/>
        <w:tab w:val="clear" w:pos="1985"/>
        <w:tab w:val="left" w:pos="1701"/>
        <w:tab w:val="left" w:pos="2127"/>
      </w:tabs>
      <w:overflowPunct/>
      <w:autoSpaceDE/>
      <w:autoSpaceDN/>
      <w:adjustRightInd/>
      <w:spacing w:before="120" w:line="240" w:lineRule="auto"/>
      <w:ind w:left="2127" w:hanging="2127"/>
      <w:jc w:val="left"/>
      <w:textAlignment w:val="auto"/>
    </w:pPr>
    <w:rPr>
      <w:rFonts w:eastAsia="MS Mincho"/>
      <w:sz w:val="24"/>
      <w:szCs w:val="24"/>
      <w:lang w:val="en-GB" w:eastAsia="ja-JP"/>
    </w:rPr>
  </w:style>
  <w:style w:type="paragraph" w:customStyle="1" w:styleId="Address">
    <w:name w:val="Address"/>
    <w:basedOn w:val="Normal"/>
    <w:uiPriority w:val="99"/>
    <w:rsid w:val="009033A7"/>
    <w:pPr>
      <w:tabs>
        <w:tab w:val="clear" w:pos="794"/>
        <w:tab w:val="clear" w:pos="1191"/>
        <w:tab w:val="clear" w:pos="1588"/>
        <w:tab w:val="clear" w:pos="1985"/>
        <w:tab w:val="left" w:pos="4820"/>
        <w:tab w:val="left" w:pos="5529"/>
      </w:tabs>
      <w:overflowPunct/>
      <w:autoSpaceDE/>
      <w:autoSpaceDN/>
      <w:adjustRightInd/>
      <w:spacing w:before="120" w:line="240" w:lineRule="auto"/>
      <w:ind w:left="794"/>
      <w:jc w:val="left"/>
      <w:textAlignment w:val="auto"/>
    </w:pPr>
    <w:rPr>
      <w:rFonts w:eastAsia="MS Mincho"/>
      <w:sz w:val="24"/>
      <w:szCs w:val="24"/>
      <w:lang w:val="en-GB" w:eastAsia="ja-JP"/>
    </w:rPr>
  </w:style>
  <w:style w:type="paragraph" w:customStyle="1" w:styleId="Keywords">
    <w:name w:val="Keywords"/>
    <w:basedOn w:val="Normal"/>
    <w:uiPriority w:val="99"/>
    <w:rsid w:val="009033A7"/>
    <w:pPr>
      <w:tabs>
        <w:tab w:val="clear" w:pos="794"/>
        <w:tab w:val="clear" w:pos="1191"/>
        <w:tab w:val="clear" w:pos="1588"/>
        <w:tab w:val="clear" w:pos="1985"/>
      </w:tabs>
      <w:overflowPunct/>
      <w:autoSpaceDE/>
      <w:autoSpaceDN/>
      <w:adjustRightInd/>
      <w:spacing w:before="120" w:line="240" w:lineRule="auto"/>
      <w:ind w:left="794" w:hanging="794"/>
      <w:jc w:val="left"/>
      <w:textAlignment w:val="auto"/>
    </w:pPr>
    <w:rPr>
      <w:rFonts w:eastAsia="MS Mincho"/>
      <w:sz w:val="24"/>
      <w:szCs w:val="24"/>
      <w:lang w:val="en-GB" w:eastAsia="ja-JP"/>
    </w:rPr>
  </w:style>
  <w:style w:type="paragraph" w:customStyle="1" w:styleId="Qlist">
    <w:name w:val="Qlist"/>
    <w:basedOn w:val="Normal"/>
    <w:uiPriority w:val="99"/>
    <w:rsid w:val="009033A7"/>
    <w:pPr>
      <w:tabs>
        <w:tab w:val="clear" w:pos="794"/>
        <w:tab w:val="clear" w:pos="1191"/>
        <w:tab w:val="clear" w:pos="1588"/>
        <w:tab w:val="clear" w:pos="1985"/>
        <w:tab w:val="left" w:pos="1843"/>
        <w:tab w:val="left" w:pos="2268"/>
      </w:tabs>
      <w:overflowPunct/>
      <w:autoSpaceDE/>
      <w:autoSpaceDN/>
      <w:adjustRightInd/>
      <w:spacing w:before="120" w:line="240" w:lineRule="auto"/>
      <w:ind w:left="2268" w:hanging="2268"/>
      <w:jc w:val="left"/>
      <w:textAlignment w:val="auto"/>
    </w:pPr>
    <w:rPr>
      <w:rFonts w:eastAsia="MS Mincho"/>
      <w:b/>
      <w:sz w:val="24"/>
      <w:szCs w:val="24"/>
      <w:lang w:val="en-GB" w:eastAsia="ja-JP"/>
    </w:rPr>
  </w:style>
  <w:style w:type="paragraph" w:customStyle="1" w:styleId="Normalkeepwithnext">
    <w:name w:val="Normal_keep_with_next"/>
    <w:basedOn w:val="Normal"/>
    <w:uiPriority w:val="99"/>
    <w:rsid w:val="009033A7"/>
    <w:pPr>
      <w:keepNext/>
      <w:tabs>
        <w:tab w:val="clear" w:pos="794"/>
        <w:tab w:val="clear" w:pos="1191"/>
        <w:tab w:val="clear" w:pos="1588"/>
        <w:tab w:val="clear" w:pos="1985"/>
      </w:tabs>
      <w:overflowPunct/>
      <w:autoSpaceDE/>
      <w:autoSpaceDN/>
      <w:adjustRightInd/>
      <w:spacing w:before="120" w:line="240" w:lineRule="auto"/>
      <w:jc w:val="left"/>
      <w:textAlignment w:val="auto"/>
    </w:pPr>
    <w:rPr>
      <w:rFonts w:eastAsia="SimSun"/>
      <w:sz w:val="24"/>
      <w:szCs w:val="24"/>
      <w:lang w:val="en-GB" w:eastAsia="ja-JP"/>
    </w:rPr>
  </w:style>
  <w:style w:type="numbering" w:customStyle="1" w:styleId="1">
    <w:name w:val="スタイル1"/>
    <w:uiPriority w:val="1"/>
    <w:rsid w:val="009033A7"/>
    <w:pPr>
      <w:numPr>
        <w:numId w:val="39"/>
      </w:numPr>
    </w:pPr>
  </w:style>
  <w:style w:type="paragraph" w:customStyle="1" w:styleId="Heading1Centered">
    <w:name w:val="Heading 1 Centered"/>
    <w:basedOn w:val="Heading1"/>
    <w:uiPriority w:val="1"/>
    <w:rsid w:val="009033A7"/>
    <w:pPr>
      <w:spacing w:before="360" w:line="240" w:lineRule="auto"/>
      <w:ind w:left="0" w:firstLine="0"/>
      <w:jc w:val="center"/>
    </w:pPr>
    <w:rPr>
      <w:rFonts w:eastAsia="SimSun"/>
      <w:bCs/>
      <w:lang w:val="en-GB"/>
    </w:rPr>
  </w:style>
  <w:style w:type="paragraph" w:customStyle="1" w:styleId="LSTo">
    <w:name w:val="LSTo"/>
    <w:basedOn w:val="Normal"/>
    <w:uiPriority w:val="1"/>
    <w:rsid w:val="009033A7"/>
    <w:pPr>
      <w:spacing w:before="120" w:line="240" w:lineRule="auto"/>
      <w:jc w:val="left"/>
    </w:pPr>
    <w:rPr>
      <w:rFonts w:eastAsiaTheme="minorHAnsi"/>
      <w:bCs/>
      <w:sz w:val="24"/>
      <w:lang w:val="en-GB" w:eastAsia="ja-JP"/>
    </w:rPr>
  </w:style>
  <w:style w:type="character" w:customStyle="1" w:styleId="ordinary-span-edit2">
    <w:name w:val="ordinary-span-edit2"/>
    <w:uiPriority w:val="1"/>
    <w:rsid w:val="009033A7"/>
  </w:style>
  <w:style w:type="paragraph" w:styleId="MacroText">
    <w:name w:val="macro"/>
    <w:link w:val="MacroTextChar"/>
    <w:uiPriority w:val="1"/>
    <w:unhideWhenUsed/>
    <w:rsid w:val="009033A7"/>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Calibri" w:hAnsi="Consolas"/>
      <w:lang w:val="en-GB" w:eastAsia="ja-JP"/>
    </w:rPr>
  </w:style>
  <w:style w:type="character" w:customStyle="1" w:styleId="MacroTextChar">
    <w:name w:val="Macro Text Char"/>
    <w:basedOn w:val="DefaultParagraphFont"/>
    <w:link w:val="MacroText"/>
    <w:qFormat/>
    <w:rsid w:val="009033A7"/>
    <w:rPr>
      <w:rFonts w:ascii="Consolas" w:eastAsia="Calibri" w:hAnsi="Consolas"/>
      <w:lang w:val="en-GB" w:eastAsia="ja-JP"/>
    </w:rPr>
  </w:style>
  <w:style w:type="paragraph" w:styleId="List3">
    <w:name w:val="List 3"/>
    <w:basedOn w:val="Normal"/>
    <w:uiPriority w:val="1"/>
    <w:unhideWhenUsed/>
    <w:rsid w:val="009033A7"/>
    <w:pPr>
      <w:tabs>
        <w:tab w:val="clear" w:pos="794"/>
        <w:tab w:val="clear" w:pos="1191"/>
        <w:tab w:val="clear" w:pos="1588"/>
        <w:tab w:val="clear" w:pos="1985"/>
      </w:tabs>
      <w:overflowPunct/>
      <w:autoSpaceDE/>
      <w:autoSpaceDN/>
      <w:adjustRightInd/>
      <w:spacing w:before="120" w:line="240" w:lineRule="auto"/>
      <w:ind w:left="849" w:hanging="283"/>
      <w:contextualSpacing/>
      <w:jc w:val="left"/>
      <w:textAlignment w:val="auto"/>
    </w:pPr>
    <w:rPr>
      <w:rFonts w:eastAsia="Calibri"/>
      <w:sz w:val="24"/>
      <w:szCs w:val="24"/>
      <w:lang w:val="en-GB" w:eastAsia="ja-JP"/>
    </w:rPr>
  </w:style>
  <w:style w:type="paragraph" w:styleId="ListNumber2">
    <w:name w:val="List Number 2"/>
    <w:basedOn w:val="Normal"/>
    <w:uiPriority w:val="1"/>
    <w:unhideWhenUsed/>
    <w:rsid w:val="009033A7"/>
    <w:pPr>
      <w:tabs>
        <w:tab w:val="clear" w:pos="794"/>
        <w:tab w:val="clear" w:pos="1191"/>
        <w:tab w:val="clear" w:pos="1588"/>
        <w:tab w:val="clear" w:pos="1985"/>
        <w:tab w:val="left" w:pos="643"/>
      </w:tabs>
      <w:overflowPunct/>
      <w:autoSpaceDE/>
      <w:autoSpaceDN/>
      <w:adjustRightInd/>
      <w:spacing w:before="120" w:line="240" w:lineRule="auto"/>
      <w:ind w:left="643" w:hanging="360"/>
      <w:contextualSpacing/>
      <w:jc w:val="left"/>
      <w:textAlignment w:val="auto"/>
    </w:pPr>
    <w:rPr>
      <w:rFonts w:eastAsia="Calibri"/>
      <w:sz w:val="24"/>
      <w:szCs w:val="24"/>
      <w:lang w:val="en-GB" w:eastAsia="ja-JP"/>
    </w:rPr>
  </w:style>
  <w:style w:type="paragraph" w:styleId="TableofAuthorities">
    <w:name w:val="table of authorities"/>
    <w:basedOn w:val="Normal"/>
    <w:next w:val="Normal"/>
    <w:uiPriority w:val="1"/>
    <w:unhideWhenUsed/>
    <w:rsid w:val="009033A7"/>
    <w:pPr>
      <w:tabs>
        <w:tab w:val="clear" w:pos="794"/>
        <w:tab w:val="clear" w:pos="1191"/>
        <w:tab w:val="clear" w:pos="1588"/>
        <w:tab w:val="clear" w:pos="1985"/>
      </w:tabs>
      <w:overflowPunct/>
      <w:autoSpaceDE/>
      <w:autoSpaceDN/>
      <w:adjustRightInd/>
      <w:spacing w:before="120" w:line="240" w:lineRule="auto"/>
      <w:ind w:left="240" w:hanging="240"/>
      <w:jc w:val="left"/>
      <w:textAlignment w:val="auto"/>
    </w:pPr>
    <w:rPr>
      <w:rFonts w:eastAsia="Calibri"/>
      <w:sz w:val="24"/>
      <w:szCs w:val="24"/>
      <w:lang w:val="en-GB" w:eastAsia="ja-JP"/>
    </w:rPr>
  </w:style>
  <w:style w:type="paragraph" w:styleId="NoteHeading">
    <w:name w:val="Note Heading"/>
    <w:basedOn w:val="Normal"/>
    <w:next w:val="Normal"/>
    <w:link w:val="NoteHeadingChar"/>
    <w:uiPriority w:val="1"/>
    <w:unhideWhenUsed/>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eastAsia="Calibri"/>
      <w:sz w:val="24"/>
      <w:szCs w:val="24"/>
      <w:lang w:val="en-GB" w:eastAsia="ja-JP"/>
    </w:rPr>
  </w:style>
  <w:style w:type="character" w:customStyle="1" w:styleId="NoteHeadingChar">
    <w:name w:val="Note Heading Char"/>
    <w:basedOn w:val="DefaultParagraphFont"/>
    <w:link w:val="NoteHeading"/>
    <w:qFormat/>
    <w:rsid w:val="009033A7"/>
    <w:rPr>
      <w:rFonts w:ascii="Times New Roman" w:eastAsia="Calibri" w:hAnsi="Times New Roman"/>
      <w:sz w:val="24"/>
      <w:szCs w:val="24"/>
      <w:lang w:val="en-GB" w:eastAsia="ja-JP"/>
    </w:rPr>
  </w:style>
  <w:style w:type="paragraph" w:styleId="ListBullet4">
    <w:name w:val="List Bullet 4"/>
    <w:basedOn w:val="Normal"/>
    <w:uiPriority w:val="1"/>
    <w:unhideWhenUsed/>
    <w:rsid w:val="009033A7"/>
    <w:pPr>
      <w:tabs>
        <w:tab w:val="clear" w:pos="794"/>
        <w:tab w:val="clear" w:pos="1191"/>
        <w:tab w:val="clear" w:pos="1588"/>
        <w:tab w:val="clear" w:pos="1985"/>
        <w:tab w:val="left" w:pos="1209"/>
      </w:tabs>
      <w:overflowPunct/>
      <w:autoSpaceDE/>
      <w:autoSpaceDN/>
      <w:adjustRightInd/>
      <w:spacing w:before="120" w:line="240" w:lineRule="auto"/>
      <w:ind w:left="1209" w:hanging="360"/>
      <w:contextualSpacing/>
      <w:jc w:val="left"/>
      <w:textAlignment w:val="auto"/>
    </w:pPr>
    <w:rPr>
      <w:rFonts w:eastAsia="Calibri"/>
      <w:sz w:val="24"/>
      <w:szCs w:val="24"/>
      <w:lang w:val="en-GB" w:eastAsia="ja-JP"/>
    </w:rPr>
  </w:style>
  <w:style w:type="paragraph" w:styleId="Index8">
    <w:name w:val="index 8"/>
    <w:basedOn w:val="Normal"/>
    <w:next w:val="Normal"/>
    <w:uiPriority w:val="1"/>
    <w:unhideWhenUsed/>
    <w:rsid w:val="009033A7"/>
    <w:pPr>
      <w:tabs>
        <w:tab w:val="clear" w:pos="794"/>
        <w:tab w:val="clear" w:pos="1191"/>
        <w:tab w:val="clear" w:pos="1588"/>
        <w:tab w:val="clear" w:pos="1985"/>
      </w:tabs>
      <w:overflowPunct/>
      <w:autoSpaceDE/>
      <w:autoSpaceDN/>
      <w:adjustRightInd/>
      <w:spacing w:before="0" w:line="240" w:lineRule="auto"/>
      <w:ind w:left="1920" w:hanging="240"/>
      <w:jc w:val="left"/>
      <w:textAlignment w:val="auto"/>
    </w:pPr>
    <w:rPr>
      <w:rFonts w:eastAsia="Calibri"/>
      <w:sz w:val="24"/>
      <w:szCs w:val="24"/>
      <w:lang w:val="en-GB" w:eastAsia="ja-JP"/>
    </w:rPr>
  </w:style>
  <w:style w:type="paragraph" w:styleId="E-mailSignature">
    <w:name w:val="E-mail Signature"/>
    <w:basedOn w:val="Normal"/>
    <w:link w:val="E-mailSignatureChar"/>
    <w:uiPriority w:val="1"/>
    <w:unhideWhenUsed/>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eastAsia="Calibri"/>
      <w:sz w:val="24"/>
      <w:szCs w:val="24"/>
      <w:lang w:val="en-GB" w:eastAsia="ja-JP"/>
    </w:rPr>
  </w:style>
  <w:style w:type="character" w:customStyle="1" w:styleId="E-mailSignatureChar">
    <w:name w:val="E-mail Signature Char"/>
    <w:basedOn w:val="DefaultParagraphFont"/>
    <w:link w:val="E-mailSignature"/>
    <w:qFormat/>
    <w:rsid w:val="009033A7"/>
    <w:rPr>
      <w:rFonts w:ascii="Times New Roman" w:eastAsia="Calibri" w:hAnsi="Times New Roman"/>
      <w:sz w:val="24"/>
      <w:szCs w:val="24"/>
      <w:lang w:val="en-GB" w:eastAsia="ja-JP"/>
    </w:rPr>
  </w:style>
  <w:style w:type="paragraph" w:styleId="ListNumber">
    <w:name w:val="List Number"/>
    <w:basedOn w:val="Normal"/>
    <w:uiPriority w:val="1"/>
    <w:unhideWhenUsed/>
    <w:rsid w:val="009033A7"/>
    <w:pPr>
      <w:tabs>
        <w:tab w:val="clear" w:pos="794"/>
        <w:tab w:val="clear" w:pos="1191"/>
        <w:tab w:val="clear" w:pos="1588"/>
        <w:tab w:val="clear" w:pos="1985"/>
        <w:tab w:val="left" w:pos="360"/>
      </w:tabs>
      <w:overflowPunct/>
      <w:autoSpaceDE/>
      <w:autoSpaceDN/>
      <w:adjustRightInd/>
      <w:spacing w:before="120" w:line="240" w:lineRule="auto"/>
      <w:ind w:left="360" w:hanging="360"/>
      <w:contextualSpacing/>
      <w:jc w:val="left"/>
      <w:textAlignment w:val="auto"/>
    </w:pPr>
    <w:rPr>
      <w:rFonts w:eastAsia="Calibri"/>
      <w:sz w:val="24"/>
      <w:szCs w:val="24"/>
      <w:lang w:val="en-GB" w:eastAsia="ja-JP"/>
    </w:rPr>
  </w:style>
  <w:style w:type="paragraph" w:styleId="ListBullet">
    <w:name w:val="List Bullet"/>
    <w:basedOn w:val="Normal"/>
    <w:uiPriority w:val="1"/>
    <w:unhideWhenUsed/>
    <w:rsid w:val="009033A7"/>
    <w:pPr>
      <w:tabs>
        <w:tab w:val="clear" w:pos="794"/>
        <w:tab w:val="clear" w:pos="1191"/>
        <w:tab w:val="clear" w:pos="1588"/>
        <w:tab w:val="clear" w:pos="1985"/>
        <w:tab w:val="left" w:pos="360"/>
      </w:tabs>
      <w:overflowPunct/>
      <w:autoSpaceDE/>
      <w:autoSpaceDN/>
      <w:adjustRightInd/>
      <w:spacing w:before="120" w:line="240" w:lineRule="auto"/>
      <w:ind w:left="360" w:hanging="360"/>
      <w:contextualSpacing/>
      <w:jc w:val="left"/>
      <w:textAlignment w:val="auto"/>
    </w:pPr>
    <w:rPr>
      <w:rFonts w:eastAsia="Calibri"/>
      <w:sz w:val="24"/>
      <w:szCs w:val="24"/>
      <w:lang w:val="en-GB" w:eastAsia="ja-JP"/>
    </w:rPr>
  </w:style>
  <w:style w:type="paragraph" w:styleId="EnvelopeAddress">
    <w:name w:val="envelope address"/>
    <w:basedOn w:val="Normal"/>
    <w:uiPriority w:val="1"/>
    <w:unhideWhenUsed/>
    <w:rsid w:val="009033A7"/>
    <w:pPr>
      <w:framePr w:w="7920" w:h="1980" w:hRule="exact" w:hSpace="180" w:wrap="around" w:hAnchor="page" w:xAlign="center" w:yAlign="bottom"/>
      <w:tabs>
        <w:tab w:val="clear" w:pos="794"/>
        <w:tab w:val="clear" w:pos="1191"/>
        <w:tab w:val="clear" w:pos="1588"/>
        <w:tab w:val="clear" w:pos="1985"/>
      </w:tabs>
      <w:overflowPunct/>
      <w:autoSpaceDE/>
      <w:autoSpaceDN/>
      <w:adjustRightInd/>
      <w:spacing w:before="0" w:line="240" w:lineRule="auto"/>
      <w:ind w:left="2880"/>
      <w:jc w:val="left"/>
      <w:textAlignment w:val="auto"/>
    </w:pPr>
    <w:rPr>
      <w:rFonts w:ascii="Calibri Light" w:eastAsiaTheme="minorHAnsi" w:hAnsi="Calibri Light"/>
      <w:sz w:val="24"/>
      <w:szCs w:val="24"/>
      <w:lang w:val="en-GB" w:eastAsia="ja-JP"/>
    </w:rPr>
  </w:style>
  <w:style w:type="paragraph" w:styleId="DocumentMap">
    <w:name w:val="Document Map"/>
    <w:basedOn w:val="Normal"/>
    <w:link w:val="DocumentMapChar"/>
    <w:uiPriority w:val="1"/>
    <w:unhideWhenUsed/>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ascii="Segoe UI" w:eastAsia="Calibri" w:hAnsi="Segoe UI" w:cs="Segoe UI"/>
      <w:sz w:val="16"/>
      <w:szCs w:val="16"/>
      <w:lang w:val="en-GB" w:eastAsia="ja-JP"/>
    </w:rPr>
  </w:style>
  <w:style w:type="character" w:customStyle="1" w:styleId="DocumentMapChar">
    <w:name w:val="Document Map Char"/>
    <w:basedOn w:val="DefaultParagraphFont"/>
    <w:link w:val="DocumentMap"/>
    <w:qFormat/>
    <w:rsid w:val="009033A7"/>
    <w:rPr>
      <w:rFonts w:ascii="Segoe UI" w:eastAsia="Calibri" w:hAnsi="Segoe UI" w:cs="Segoe UI"/>
      <w:sz w:val="16"/>
      <w:szCs w:val="16"/>
      <w:lang w:val="en-GB" w:eastAsia="ja-JP"/>
    </w:rPr>
  </w:style>
  <w:style w:type="paragraph" w:styleId="TOAHeading">
    <w:name w:val="toa heading"/>
    <w:basedOn w:val="Normal"/>
    <w:next w:val="Normal"/>
    <w:uiPriority w:val="1"/>
    <w:unhideWhenUsed/>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ascii="Calibri Light" w:eastAsiaTheme="minorHAnsi" w:hAnsi="Calibri Light"/>
      <w:b/>
      <w:bCs/>
      <w:sz w:val="24"/>
      <w:szCs w:val="24"/>
      <w:lang w:val="en-GB" w:eastAsia="ja-JP"/>
    </w:rPr>
  </w:style>
  <w:style w:type="paragraph" w:styleId="Index6">
    <w:name w:val="index 6"/>
    <w:basedOn w:val="Normal"/>
    <w:next w:val="Normal"/>
    <w:uiPriority w:val="1"/>
    <w:unhideWhenUsed/>
    <w:rsid w:val="009033A7"/>
    <w:pPr>
      <w:tabs>
        <w:tab w:val="clear" w:pos="794"/>
        <w:tab w:val="clear" w:pos="1191"/>
        <w:tab w:val="clear" w:pos="1588"/>
        <w:tab w:val="clear" w:pos="1985"/>
      </w:tabs>
      <w:overflowPunct/>
      <w:autoSpaceDE/>
      <w:autoSpaceDN/>
      <w:adjustRightInd/>
      <w:spacing w:before="0" w:line="240" w:lineRule="auto"/>
      <w:ind w:left="1440" w:hanging="240"/>
      <w:jc w:val="left"/>
      <w:textAlignment w:val="auto"/>
    </w:pPr>
    <w:rPr>
      <w:rFonts w:eastAsia="Calibri"/>
      <w:sz w:val="24"/>
      <w:szCs w:val="24"/>
      <w:lang w:val="en-GB" w:eastAsia="ja-JP"/>
    </w:rPr>
  </w:style>
  <w:style w:type="paragraph" w:styleId="Salutation">
    <w:name w:val="Salutation"/>
    <w:basedOn w:val="Normal"/>
    <w:next w:val="Normal"/>
    <w:link w:val="SalutationChar"/>
    <w:uiPriority w:val="1"/>
    <w:unhideWhenUsed/>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Calibri"/>
      <w:sz w:val="24"/>
      <w:szCs w:val="24"/>
      <w:lang w:val="en-GB" w:eastAsia="ja-JP"/>
    </w:rPr>
  </w:style>
  <w:style w:type="character" w:customStyle="1" w:styleId="SalutationChar">
    <w:name w:val="Salutation Char"/>
    <w:basedOn w:val="DefaultParagraphFont"/>
    <w:link w:val="Salutation"/>
    <w:qFormat/>
    <w:rsid w:val="009033A7"/>
    <w:rPr>
      <w:rFonts w:ascii="Times New Roman" w:eastAsia="Calibri" w:hAnsi="Times New Roman"/>
      <w:sz w:val="24"/>
      <w:szCs w:val="24"/>
      <w:lang w:val="en-GB" w:eastAsia="ja-JP"/>
    </w:rPr>
  </w:style>
  <w:style w:type="paragraph" w:styleId="BodyText3">
    <w:name w:val="Body Text 3"/>
    <w:basedOn w:val="Normal"/>
    <w:link w:val="BodyText3Char"/>
    <w:uiPriority w:val="1"/>
    <w:unhideWhenUsed/>
    <w:rsid w:val="009033A7"/>
    <w:pPr>
      <w:tabs>
        <w:tab w:val="clear" w:pos="794"/>
        <w:tab w:val="clear" w:pos="1191"/>
        <w:tab w:val="clear" w:pos="1588"/>
        <w:tab w:val="clear" w:pos="1985"/>
      </w:tabs>
      <w:overflowPunct/>
      <w:autoSpaceDE/>
      <w:autoSpaceDN/>
      <w:adjustRightInd/>
      <w:spacing w:before="120" w:after="120" w:line="240" w:lineRule="auto"/>
      <w:jc w:val="left"/>
      <w:textAlignment w:val="auto"/>
    </w:pPr>
    <w:rPr>
      <w:rFonts w:eastAsia="Calibri"/>
      <w:sz w:val="16"/>
      <w:szCs w:val="16"/>
      <w:lang w:val="en-GB" w:eastAsia="ja-JP"/>
    </w:rPr>
  </w:style>
  <w:style w:type="character" w:customStyle="1" w:styleId="BodyText3Char">
    <w:name w:val="Body Text 3 Char"/>
    <w:basedOn w:val="DefaultParagraphFont"/>
    <w:link w:val="BodyText3"/>
    <w:qFormat/>
    <w:rsid w:val="009033A7"/>
    <w:rPr>
      <w:rFonts w:ascii="Times New Roman" w:eastAsia="Calibri" w:hAnsi="Times New Roman"/>
      <w:sz w:val="16"/>
      <w:szCs w:val="16"/>
      <w:lang w:val="en-GB" w:eastAsia="ja-JP"/>
    </w:rPr>
  </w:style>
  <w:style w:type="paragraph" w:styleId="Closing">
    <w:name w:val="Closing"/>
    <w:basedOn w:val="Normal"/>
    <w:link w:val="ClosingChar"/>
    <w:uiPriority w:val="1"/>
    <w:unhideWhenUsed/>
    <w:rsid w:val="009033A7"/>
    <w:pPr>
      <w:tabs>
        <w:tab w:val="clear" w:pos="794"/>
        <w:tab w:val="clear" w:pos="1191"/>
        <w:tab w:val="clear" w:pos="1588"/>
        <w:tab w:val="clear" w:pos="1985"/>
      </w:tabs>
      <w:overflowPunct/>
      <w:autoSpaceDE/>
      <w:autoSpaceDN/>
      <w:adjustRightInd/>
      <w:spacing w:before="0" w:line="240" w:lineRule="auto"/>
      <w:ind w:left="4252"/>
      <w:jc w:val="left"/>
      <w:textAlignment w:val="auto"/>
    </w:pPr>
    <w:rPr>
      <w:rFonts w:eastAsia="Calibri"/>
      <w:sz w:val="24"/>
      <w:szCs w:val="24"/>
      <w:lang w:val="en-GB" w:eastAsia="ja-JP"/>
    </w:rPr>
  </w:style>
  <w:style w:type="character" w:customStyle="1" w:styleId="ClosingChar">
    <w:name w:val="Closing Char"/>
    <w:basedOn w:val="DefaultParagraphFont"/>
    <w:link w:val="Closing"/>
    <w:rsid w:val="009033A7"/>
    <w:rPr>
      <w:rFonts w:ascii="Times New Roman" w:eastAsia="Calibri" w:hAnsi="Times New Roman"/>
      <w:sz w:val="24"/>
      <w:szCs w:val="24"/>
      <w:lang w:val="en-GB" w:eastAsia="ja-JP"/>
    </w:rPr>
  </w:style>
  <w:style w:type="paragraph" w:styleId="ListBullet3">
    <w:name w:val="List Bullet 3"/>
    <w:basedOn w:val="Normal"/>
    <w:uiPriority w:val="1"/>
    <w:unhideWhenUsed/>
    <w:rsid w:val="009033A7"/>
    <w:pPr>
      <w:tabs>
        <w:tab w:val="clear" w:pos="794"/>
        <w:tab w:val="clear" w:pos="1191"/>
        <w:tab w:val="clear" w:pos="1588"/>
        <w:tab w:val="clear" w:pos="1985"/>
        <w:tab w:val="left" w:pos="926"/>
      </w:tabs>
      <w:overflowPunct/>
      <w:autoSpaceDE/>
      <w:autoSpaceDN/>
      <w:adjustRightInd/>
      <w:spacing w:before="120" w:line="240" w:lineRule="auto"/>
      <w:ind w:left="926" w:hanging="360"/>
      <w:contextualSpacing/>
      <w:jc w:val="left"/>
      <w:textAlignment w:val="auto"/>
    </w:pPr>
    <w:rPr>
      <w:rFonts w:eastAsia="Calibri"/>
      <w:sz w:val="24"/>
      <w:szCs w:val="24"/>
      <w:lang w:val="en-GB" w:eastAsia="ja-JP"/>
    </w:rPr>
  </w:style>
  <w:style w:type="paragraph" w:styleId="ListNumber3">
    <w:name w:val="List Number 3"/>
    <w:basedOn w:val="Normal"/>
    <w:uiPriority w:val="1"/>
    <w:unhideWhenUsed/>
    <w:rsid w:val="009033A7"/>
    <w:pPr>
      <w:tabs>
        <w:tab w:val="clear" w:pos="794"/>
        <w:tab w:val="clear" w:pos="1191"/>
        <w:tab w:val="clear" w:pos="1588"/>
        <w:tab w:val="clear" w:pos="1985"/>
        <w:tab w:val="left" w:pos="926"/>
      </w:tabs>
      <w:overflowPunct/>
      <w:autoSpaceDE/>
      <w:autoSpaceDN/>
      <w:adjustRightInd/>
      <w:spacing w:before="120" w:line="240" w:lineRule="auto"/>
      <w:ind w:left="926" w:hanging="360"/>
      <w:contextualSpacing/>
      <w:jc w:val="left"/>
      <w:textAlignment w:val="auto"/>
    </w:pPr>
    <w:rPr>
      <w:rFonts w:eastAsia="Calibri"/>
      <w:sz w:val="24"/>
      <w:szCs w:val="24"/>
      <w:lang w:val="en-GB" w:eastAsia="ja-JP"/>
    </w:rPr>
  </w:style>
  <w:style w:type="paragraph" w:styleId="ListContinue">
    <w:name w:val="List Continue"/>
    <w:basedOn w:val="Normal"/>
    <w:uiPriority w:val="1"/>
    <w:unhideWhenUsed/>
    <w:rsid w:val="009033A7"/>
    <w:pPr>
      <w:tabs>
        <w:tab w:val="clear" w:pos="794"/>
        <w:tab w:val="clear" w:pos="1191"/>
        <w:tab w:val="clear" w:pos="1588"/>
        <w:tab w:val="clear" w:pos="1985"/>
      </w:tabs>
      <w:overflowPunct/>
      <w:autoSpaceDE/>
      <w:autoSpaceDN/>
      <w:adjustRightInd/>
      <w:spacing w:before="120" w:after="120" w:line="240" w:lineRule="auto"/>
      <w:ind w:left="283"/>
      <w:contextualSpacing/>
      <w:jc w:val="left"/>
      <w:textAlignment w:val="auto"/>
    </w:pPr>
    <w:rPr>
      <w:rFonts w:eastAsia="Calibri"/>
      <w:sz w:val="24"/>
      <w:szCs w:val="24"/>
      <w:lang w:val="en-GB" w:eastAsia="ja-JP"/>
    </w:rPr>
  </w:style>
  <w:style w:type="paragraph" w:styleId="BlockText">
    <w:name w:val="Block Text"/>
    <w:basedOn w:val="Normal"/>
    <w:uiPriority w:val="1"/>
    <w:unhideWhenUsed/>
    <w:rsid w:val="009033A7"/>
    <w:pPr>
      <w:pBdr>
        <w:top w:val="single" w:sz="2" w:space="10" w:color="5B9BD5"/>
        <w:left w:val="single" w:sz="2" w:space="10" w:color="5B9BD5"/>
        <w:bottom w:val="single" w:sz="2" w:space="10" w:color="5B9BD5"/>
        <w:right w:val="single" w:sz="2" w:space="10" w:color="5B9BD5"/>
      </w:pBdr>
      <w:tabs>
        <w:tab w:val="clear" w:pos="794"/>
        <w:tab w:val="clear" w:pos="1191"/>
        <w:tab w:val="clear" w:pos="1588"/>
        <w:tab w:val="clear" w:pos="1985"/>
      </w:tabs>
      <w:overflowPunct/>
      <w:autoSpaceDE/>
      <w:autoSpaceDN/>
      <w:adjustRightInd/>
      <w:spacing w:before="120" w:line="240" w:lineRule="auto"/>
      <w:ind w:left="1152" w:right="1152"/>
      <w:jc w:val="left"/>
      <w:textAlignment w:val="auto"/>
    </w:pPr>
    <w:rPr>
      <w:rFonts w:ascii="Calibri" w:eastAsiaTheme="minorHAnsi" w:hAnsi="Calibri" w:cs="Arial"/>
      <w:i/>
      <w:iCs/>
      <w:color w:val="5B9BD5"/>
      <w:sz w:val="24"/>
      <w:szCs w:val="24"/>
      <w:lang w:val="en-GB" w:eastAsia="ja-JP"/>
    </w:rPr>
  </w:style>
  <w:style w:type="paragraph" w:styleId="ListBullet2">
    <w:name w:val="List Bullet 2"/>
    <w:basedOn w:val="Normal"/>
    <w:uiPriority w:val="1"/>
    <w:unhideWhenUsed/>
    <w:rsid w:val="009033A7"/>
    <w:pPr>
      <w:tabs>
        <w:tab w:val="clear" w:pos="794"/>
        <w:tab w:val="clear" w:pos="1191"/>
        <w:tab w:val="clear" w:pos="1588"/>
        <w:tab w:val="clear" w:pos="1985"/>
        <w:tab w:val="left" w:pos="643"/>
      </w:tabs>
      <w:overflowPunct/>
      <w:autoSpaceDE/>
      <w:autoSpaceDN/>
      <w:adjustRightInd/>
      <w:spacing w:before="120" w:line="240" w:lineRule="auto"/>
      <w:ind w:left="643" w:hanging="360"/>
      <w:contextualSpacing/>
      <w:jc w:val="left"/>
      <w:textAlignment w:val="auto"/>
    </w:pPr>
    <w:rPr>
      <w:rFonts w:eastAsia="Calibri"/>
      <w:sz w:val="24"/>
      <w:szCs w:val="24"/>
      <w:lang w:val="en-GB" w:eastAsia="ja-JP"/>
    </w:rPr>
  </w:style>
  <w:style w:type="paragraph" w:styleId="HTMLAddress">
    <w:name w:val="HTML Address"/>
    <w:basedOn w:val="Normal"/>
    <w:link w:val="HTMLAddressChar"/>
    <w:uiPriority w:val="1"/>
    <w:unhideWhenUsed/>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eastAsia="Calibri"/>
      <w:i/>
      <w:iCs/>
      <w:sz w:val="24"/>
      <w:szCs w:val="24"/>
      <w:lang w:val="en-GB" w:eastAsia="ja-JP"/>
    </w:rPr>
  </w:style>
  <w:style w:type="character" w:customStyle="1" w:styleId="HTMLAddressChar">
    <w:name w:val="HTML Address Char"/>
    <w:basedOn w:val="DefaultParagraphFont"/>
    <w:link w:val="HTMLAddress"/>
    <w:qFormat/>
    <w:rsid w:val="009033A7"/>
    <w:rPr>
      <w:rFonts w:ascii="Times New Roman" w:eastAsia="Calibri" w:hAnsi="Times New Roman"/>
      <w:i/>
      <w:iCs/>
      <w:sz w:val="24"/>
      <w:szCs w:val="24"/>
      <w:lang w:val="en-GB" w:eastAsia="ja-JP"/>
    </w:rPr>
  </w:style>
  <w:style w:type="paragraph" w:styleId="ListBullet5">
    <w:name w:val="List Bullet 5"/>
    <w:basedOn w:val="Normal"/>
    <w:uiPriority w:val="1"/>
    <w:unhideWhenUsed/>
    <w:rsid w:val="009033A7"/>
    <w:pPr>
      <w:tabs>
        <w:tab w:val="clear" w:pos="794"/>
        <w:tab w:val="clear" w:pos="1191"/>
        <w:tab w:val="clear" w:pos="1588"/>
        <w:tab w:val="clear" w:pos="1985"/>
        <w:tab w:val="left" w:pos="1492"/>
      </w:tabs>
      <w:overflowPunct/>
      <w:autoSpaceDE/>
      <w:autoSpaceDN/>
      <w:adjustRightInd/>
      <w:spacing w:before="120" w:line="240" w:lineRule="auto"/>
      <w:ind w:left="1492" w:hanging="360"/>
      <w:contextualSpacing/>
      <w:jc w:val="left"/>
      <w:textAlignment w:val="auto"/>
    </w:pPr>
    <w:rPr>
      <w:rFonts w:eastAsia="Calibri"/>
      <w:sz w:val="24"/>
      <w:szCs w:val="24"/>
      <w:lang w:val="en-GB" w:eastAsia="ja-JP"/>
    </w:rPr>
  </w:style>
  <w:style w:type="paragraph" w:styleId="ListNumber4">
    <w:name w:val="List Number 4"/>
    <w:basedOn w:val="Normal"/>
    <w:uiPriority w:val="1"/>
    <w:unhideWhenUsed/>
    <w:rsid w:val="009033A7"/>
    <w:pPr>
      <w:tabs>
        <w:tab w:val="clear" w:pos="794"/>
        <w:tab w:val="clear" w:pos="1191"/>
        <w:tab w:val="clear" w:pos="1588"/>
        <w:tab w:val="clear" w:pos="1985"/>
        <w:tab w:val="left" w:pos="1209"/>
      </w:tabs>
      <w:overflowPunct/>
      <w:autoSpaceDE/>
      <w:autoSpaceDN/>
      <w:adjustRightInd/>
      <w:spacing w:before="120" w:line="240" w:lineRule="auto"/>
      <w:ind w:left="1209" w:hanging="360"/>
      <w:contextualSpacing/>
      <w:jc w:val="left"/>
      <w:textAlignment w:val="auto"/>
    </w:pPr>
    <w:rPr>
      <w:rFonts w:eastAsia="Calibri"/>
      <w:sz w:val="24"/>
      <w:szCs w:val="24"/>
      <w:lang w:val="en-GB" w:eastAsia="ja-JP"/>
    </w:rPr>
  </w:style>
  <w:style w:type="paragraph" w:styleId="Date">
    <w:name w:val="Date"/>
    <w:basedOn w:val="Normal"/>
    <w:next w:val="Normal"/>
    <w:link w:val="DateChar"/>
    <w:uiPriority w:val="1"/>
    <w:unhideWhenUsed/>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Calibri"/>
      <w:sz w:val="24"/>
      <w:szCs w:val="24"/>
      <w:lang w:val="en-GB" w:eastAsia="ja-JP"/>
    </w:rPr>
  </w:style>
  <w:style w:type="character" w:customStyle="1" w:styleId="DateChar">
    <w:name w:val="Date Char"/>
    <w:basedOn w:val="DefaultParagraphFont"/>
    <w:link w:val="Date"/>
    <w:qFormat/>
    <w:rsid w:val="009033A7"/>
    <w:rPr>
      <w:rFonts w:ascii="Times New Roman" w:eastAsia="Calibri" w:hAnsi="Times New Roman"/>
      <w:sz w:val="24"/>
      <w:szCs w:val="24"/>
      <w:lang w:val="en-GB" w:eastAsia="ja-JP"/>
    </w:rPr>
  </w:style>
  <w:style w:type="paragraph" w:styleId="ListContinue5">
    <w:name w:val="List Continue 5"/>
    <w:basedOn w:val="Normal"/>
    <w:uiPriority w:val="1"/>
    <w:unhideWhenUsed/>
    <w:rsid w:val="009033A7"/>
    <w:pPr>
      <w:tabs>
        <w:tab w:val="clear" w:pos="794"/>
        <w:tab w:val="clear" w:pos="1191"/>
        <w:tab w:val="clear" w:pos="1588"/>
        <w:tab w:val="clear" w:pos="1985"/>
      </w:tabs>
      <w:overflowPunct/>
      <w:autoSpaceDE/>
      <w:autoSpaceDN/>
      <w:adjustRightInd/>
      <w:spacing w:before="120" w:after="120" w:line="240" w:lineRule="auto"/>
      <w:ind w:left="1415"/>
      <w:contextualSpacing/>
      <w:jc w:val="left"/>
      <w:textAlignment w:val="auto"/>
    </w:pPr>
    <w:rPr>
      <w:rFonts w:eastAsia="Calibri"/>
      <w:sz w:val="24"/>
      <w:szCs w:val="24"/>
      <w:lang w:val="en-GB" w:eastAsia="ja-JP"/>
    </w:rPr>
  </w:style>
  <w:style w:type="paragraph" w:styleId="EnvelopeReturn">
    <w:name w:val="envelope return"/>
    <w:basedOn w:val="Normal"/>
    <w:uiPriority w:val="1"/>
    <w:unhideWhenUsed/>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ascii="Calibri Light" w:eastAsiaTheme="minorHAnsi" w:hAnsi="Calibri Light"/>
      <w:sz w:val="20"/>
      <w:szCs w:val="24"/>
      <w:lang w:val="en-GB" w:eastAsia="ja-JP"/>
    </w:rPr>
  </w:style>
  <w:style w:type="paragraph" w:styleId="Signature">
    <w:name w:val="Signature"/>
    <w:basedOn w:val="Normal"/>
    <w:link w:val="SignatureChar"/>
    <w:uiPriority w:val="1"/>
    <w:unhideWhenUsed/>
    <w:rsid w:val="009033A7"/>
    <w:pPr>
      <w:tabs>
        <w:tab w:val="clear" w:pos="794"/>
        <w:tab w:val="clear" w:pos="1191"/>
        <w:tab w:val="clear" w:pos="1588"/>
        <w:tab w:val="clear" w:pos="1985"/>
      </w:tabs>
      <w:overflowPunct/>
      <w:autoSpaceDE/>
      <w:autoSpaceDN/>
      <w:adjustRightInd/>
      <w:spacing w:before="0" w:line="240" w:lineRule="auto"/>
      <w:ind w:left="4252"/>
      <w:jc w:val="left"/>
      <w:textAlignment w:val="auto"/>
    </w:pPr>
    <w:rPr>
      <w:rFonts w:eastAsia="Calibri"/>
      <w:sz w:val="24"/>
      <w:szCs w:val="24"/>
      <w:lang w:val="en-GB" w:eastAsia="ja-JP"/>
    </w:rPr>
  </w:style>
  <w:style w:type="character" w:customStyle="1" w:styleId="SignatureChar">
    <w:name w:val="Signature Char"/>
    <w:basedOn w:val="DefaultParagraphFont"/>
    <w:link w:val="Signature"/>
    <w:qFormat/>
    <w:rsid w:val="009033A7"/>
    <w:rPr>
      <w:rFonts w:ascii="Times New Roman" w:eastAsia="Calibri" w:hAnsi="Times New Roman"/>
      <w:sz w:val="24"/>
      <w:szCs w:val="24"/>
      <w:lang w:val="en-GB" w:eastAsia="ja-JP"/>
    </w:rPr>
  </w:style>
  <w:style w:type="paragraph" w:styleId="ListContinue4">
    <w:name w:val="List Continue 4"/>
    <w:basedOn w:val="Normal"/>
    <w:uiPriority w:val="1"/>
    <w:unhideWhenUsed/>
    <w:rsid w:val="009033A7"/>
    <w:pPr>
      <w:tabs>
        <w:tab w:val="clear" w:pos="794"/>
        <w:tab w:val="clear" w:pos="1191"/>
        <w:tab w:val="clear" w:pos="1588"/>
        <w:tab w:val="clear" w:pos="1985"/>
      </w:tabs>
      <w:overflowPunct/>
      <w:autoSpaceDE/>
      <w:autoSpaceDN/>
      <w:adjustRightInd/>
      <w:spacing w:before="120" w:after="120" w:line="240" w:lineRule="auto"/>
      <w:ind w:left="1132"/>
      <w:contextualSpacing/>
      <w:jc w:val="left"/>
      <w:textAlignment w:val="auto"/>
    </w:pPr>
    <w:rPr>
      <w:rFonts w:eastAsia="Calibri"/>
      <w:sz w:val="24"/>
      <w:szCs w:val="24"/>
      <w:lang w:val="en-GB" w:eastAsia="ja-JP"/>
    </w:rPr>
  </w:style>
  <w:style w:type="paragraph" w:styleId="IndexHeading">
    <w:name w:val="index heading"/>
    <w:basedOn w:val="Normal"/>
    <w:next w:val="Index1"/>
    <w:uiPriority w:val="1"/>
    <w:unhideWhenUsed/>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ascii="Calibri Light" w:eastAsiaTheme="minorHAnsi" w:hAnsi="Calibri Light"/>
      <w:b/>
      <w:bCs/>
      <w:sz w:val="24"/>
      <w:szCs w:val="24"/>
      <w:lang w:val="en-GB" w:eastAsia="ja-JP"/>
    </w:rPr>
  </w:style>
  <w:style w:type="paragraph" w:styleId="ListNumber5">
    <w:name w:val="List Number 5"/>
    <w:basedOn w:val="Normal"/>
    <w:uiPriority w:val="1"/>
    <w:unhideWhenUsed/>
    <w:rsid w:val="009033A7"/>
    <w:pPr>
      <w:tabs>
        <w:tab w:val="clear" w:pos="794"/>
        <w:tab w:val="clear" w:pos="1191"/>
        <w:tab w:val="clear" w:pos="1588"/>
        <w:tab w:val="clear" w:pos="1985"/>
        <w:tab w:val="left" w:pos="1492"/>
      </w:tabs>
      <w:overflowPunct/>
      <w:autoSpaceDE/>
      <w:autoSpaceDN/>
      <w:adjustRightInd/>
      <w:spacing w:before="120" w:line="240" w:lineRule="auto"/>
      <w:ind w:left="1492" w:hanging="360"/>
      <w:contextualSpacing/>
      <w:jc w:val="left"/>
      <w:textAlignment w:val="auto"/>
    </w:pPr>
    <w:rPr>
      <w:rFonts w:eastAsia="Calibri"/>
      <w:sz w:val="24"/>
      <w:szCs w:val="24"/>
      <w:lang w:val="en-GB" w:eastAsia="ja-JP"/>
    </w:rPr>
  </w:style>
  <w:style w:type="paragraph" w:styleId="List5">
    <w:name w:val="List 5"/>
    <w:basedOn w:val="Normal"/>
    <w:uiPriority w:val="1"/>
    <w:unhideWhenUsed/>
    <w:rsid w:val="009033A7"/>
    <w:pPr>
      <w:tabs>
        <w:tab w:val="clear" w:pos="794"/>
        <w:tab w:val="clear" w:pos="1191"/>
        <w:tab w:val="clear" w:pos="1588"/>
        <w:tab w:val="clear" w:pos="1985"/>
      </w:tabs>
      <w:overflowPunct/>
      <w:autoSpaceDE/>
      <w:autoSpaceDN/>
      <w:adjustRightInd/>
      <w:spacing w:before="120" w:line="240" w:lineRule="auto"/>
      <w:ind w:left="1415" w:hanging="283"/>
      <w:contextualSpacing/>
      <w:jc w:val="left"/>
      <w:textAlignment w:val="auto"/>
    </w:pPr>
    <w:rPr>
      <w:rFonts w:eastAsia="Calibri"/>
      <w:sz w:val="24"/>
      <w:szCs w:val="24"/>
      <w:lang w:val="en-GB" w:eastAsia="ja-JP"/>
    </w:rPr>
  </w:style>
  <w:style w:type="paragraph" w:styleId="BodyTextIndent3">
    <w:name w:val="Body Text Indent 3"/>
    <w:basedOn w:val="Normal"/>
    <w:link w:val="BodyTextIndent3Char"/>
    <w:uiPriority w:val="1"/>
    <w:unhideWhenUsed/>
    <w:rsid w:val="009033A7"/>
    <w:pPr>
      <w:tabs>
        <w:tab w:val="clear" w:pos="794"/>
        <w:tab w:val="clear" w:pos="1191"/>
        <w:tab w:val="clear" w:pos="1588"/>
        <w:tab w:val="clear" w:pos="1985"/>
      </w:tabs>
      <w:overflowPunct/>
      <w:autoSpaceDE/>
      <w:autoSpaceDN/>
      <w:adjustRightInd/>
      <w:spacing w:before="120" w:after="120" w:line="240" w:lineRule="auto"/>
      <w:ind w:left="283"/>
      <w:jc w:val="left"/>
      <w:textAlignment w:val="auto"/>
    </w:pPr>
    <w:rPr>
      <w:rFonts w:eastAsia="Calibri"/>
      <w:sz w:val="16"/>
      <w:szCs w:val="16"/>
      <w:lang w:val="en-GB" w:eastAsia="ja-JP"/>
    </w:rPr>
  </w:style>
  <w:style w:type="character" w:customStyle="1" w:styleId="BodyTextIndent3Char">
    <w:name w:val="Body Text Indent 3 Char"/>
    <w:basedOn w:val="DefaultParagraphFont"/>
    <w:link w:val="BodyTextIndent3"/>
    <w:qFormat/>
    <w:rsid w:val="009033A7"/>
    <w:rPr>
      <w:rFonts w:ascii="Times New Roman" w:eastAsia="Calibri" w:hAnsi="Times New Roman"/>
      <w:sz w:val="16"/>
      <w:szCs w:val="16"/>
      <w:lang w:val="en-GB" w:eastAsia="ja-JP"/>
    </w:rPr>
  </w:style>
  <w:style w:type="paragraph" w:styleId="Index7">
    <w:name w:val="index 7"/>
    <w:basedOn w:val="Normal"/>
    <w:next w:val="Normal"/>
    <w:uiPriority w:val="1"/>
    <w:unhideWhenUsed/>
    <w:rsid w:val="009033A7"/>
    <w:pPr>
      <w:tabs>
        <w:tab w:val="clear" w:pos="794"/>
        <w:tab w:val="clear" w:pos="1191"/>
        <w:tab w:val="clear" w:pos="1588"/>
        <w:tab w:val="clear" w:pos="1985"/>
      </w:tabs>
      <w:overflowPunct/>
      <w:autoSpaceDE/>
      <w:autoSpaceDN/>
      <w:adjustRightInd/>
      <w:spacing w:before="0" w:line="240" w:lineRule="auto"/>
      <w:ind w:left="1680" w:hanging="240"/>
      <w:jc w:val="left"/>
      <w:textAlignment w:val="auto"/>
    </w:pPr>
    <w:rPr>
      <w:rFonts w:eastAsia="Calibri"/>
      <w:sz w:val="24"/>
      <w:szCs w:val="24"/>
      <w:lang w:val="en-GB" w:eastAsia="ja-JP"/>
    </w:rPr>
  </w:style>
  <w:style w:type="paragraph" w:styleId="Index9">
    <w:name w:val="index 9"/>
    <w:basedOn w:val="Normal"/>
    <w:next w:val="Normal"/>
    <w:uiPriority w:val="1"/>
    <w:unhideWhenUsed/>
    <w:rsid w:val="009033A7"/>
    <w:pPr>
      <w:tabs>
        <w:tab w:val="clear" w:pos="794"/>
        <w:tab w:val="clear" w:pos="1191"/>
        <w:tab w:val="clear" w:pos="1588"/>
        <w:tab w:val="clear" w:pos="1985"/>
      </w:tabs>
      <w:overflowPunct/>
      <w:autoSpaceDE/>
      <w:autoSpaceDN/>
      <w:adjustRightInd/>
      <w:spacing w:before="0" w:line="240" w:lineRule="auto"/>
      <w:ind w:left="2160" w:hanging="240"/>
      <w:jc w:val="left"/>
      <w:textAlignment w:val="auto"/>
    </w:pPr>
    <w:rPr>
      <w:rFonts w:eastAsia="Calibri"/>
      <w:sz w:val="24"/>
      <w:szCs w:val="24"/>
      <w:lang w:val="en-GB" w:eastAsia="ja-JP"/>
    </w:rPr>
  </w:style>
  <w:style w:type="character" w:customStyle="1" w:styleId="BodyText2Char">
    <w:name w:val="Body Text 2 Char"/>
    <w:basedOn w:val="DefaultParagraphFont"/>
    <w:link w:val="BodyText2"/>
    <w:qFormat/>
    <w:rsid w:val="009033A7"/>
    <w:rPr>
      <w:rFonts w:ascii="Arial" w:hAnsi="Arial" w:cs="Arial"/>
      <w:b/>
      <w:bCs/>
      <w:sz w:val="36"/>
      <w:lang w:val="fr-FR" w:eastAsia="en-US"/>
    </w:rPr>
  </w:style>
  <w:style w:type="paragraph" w:styleId="List4">
    <w:name w:val="List 4"/>
    <w:basedOn w:val="Normal"/>
    <w:uiPriority w:val="1"/>
    <w:unhideWhenUsed/>
    <w:rsid w:val="009033A7"/>
    <w:pPr>
      <w:tabs>
        <w:tab w:val="clear" w:pos="794"/>
        <w:tab w:val="clear" w:pos="1191"/>
        <w:tab w:val="clear" w:pos="1588"/>
        <w:tab w:val="clear" w:pos="1985"/>
      </w:tabs>
      <w:overflowPunct/>
      <w:autoSpaceDE/>
      <w:autoSpaceDN/>
      <w:adjustRightInd/>
      <w:spacing w:before="120" w:line="240" w:lineRule="auto"/>
      <w:ind w:left="1132" w:hanging="283"/>
      <w:contextualSpacing/>
      <w:jc w:val="left"/>
      <w:textAlignment w:val="auto"/>
    </w:pPr>
    <w:rPr>
      <w:rFonts w:eastAsia="Calibri"/>
      <w:sz w:val="24"/>
      <w:szCs w:val="24"/>
      <w:lang w:val="en-GB" w:eastAsia="ja-JP"/>
    </w:rPr>
  </w:style>
  <w:style w:type="paragraph" w:styleId="ListContinue2">
    <w:name w:val="List Continue 2"/>
    <w:basedOn w:val="Normal"/>
    <w:uiPriority w:val="1"/>
    <w:unhideWhenUsed/>
    <w:rsid w:val="009033A7"/>
    <w:pPr>
      <w:tabs>
        <w:tab w:val="clear" w:pos="794"/>
        <w:tab w:val="clear" w:pos="1191"/>
        <w:tab w:val="clear" w:pos="1588"/>
        <w:tab w:val="clear" w:pos="1985"/>
      </w:tabs>
      <w:overflowPunct/>
      <w:autoSpaceDE/>
      <w:autoSpaceDN/>
      <w:adjustRightInd/>
      <w:spacing w:before="120" w:after="120" w:line="240" w:lineRule="auto"/>
      <w:ind w:left="566"/>
      <w:contextualSpacing/>
      <w:jc w:val="left"/>
      <w:textAlignment w:val="auto"/>
    </w:pPr>
    <w:rPr>
      <w:rFonts w:eastAsia="Calibri"/>
      <w:sz w:val="24"/>
      <w:szCs w:val="24"/>
      <w:lang w:val="en-GB" w:eastAsia="ja-JP"/>
    </w:rPr>
  </w:style>
  <w:style w:type="paragraph" w:styleId="MessageHeader">
    <w:name w:val="Message Header"/>
    <w:basedOn w:val="Normal"/>
    <w:link w:val="MessageHeaderChar"/>
    <w:uiPriority w:val="1"/>
    <w:unhideWhenUsed/>
    <w:rsid w:val="009033A7"/>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line="240" w:lineRule="auto"/>
      <w:ind w:left="1134" w:hanging="1134"/>
      <w:jc w:val="left"/>
      <w:textAlignment w:val="auto"/>
    </w:pPr>
    <w:rPr>
      <w:rFonts w:ascii="Calibri Light" w:eastAsiaTheme="minorHAnsi" w:hAnsi="Calibri Light"/>
      <w:sz w:val="24"/>
      <w:szCs w:val="24"/>
      <w:lang w:val="en-GB" w:eastAsia="ja-JP"/>
    </w:rPr>
  </w:style>
  <w:style w:type="character" w:customStyle="1" w:styleId="MessageHeaderChar">
    <w:name w:val="Message Header Char"/>
    <w:basedOn w:val="DefaultParagraphFont"/>
    <w:link w:val="MessageHeader"/>
    <w:qFormat/>
    <w:rsid w:val="009033A7"/>
    <w:rPr>
      <w:rFonts w:ascii="Calibri Light" w:eastAsiaTheme="minorHAnsi" w:hAnsi="Calibri Light"/>
      <w:sz w:val="24"/>
      <w:szCs w:val="24"/>
      <w:shd w:val="pct20" w:color="auto" w:fill="auto"/>
      <w:lang w:val="en-GB" w:eastAsia="ja-JP"/>
    </w:rPr>
  </w:style>
  <w:style w:type="paragraph" w:styleId="ListContinue3">
    <w:name w:val="List Continue 3"/>
    <w:basedOn w:val="Normal"/>
    <w:uiPriority w:val="1"/>
    <w:unhideWhenUsed/>
    <w:rsid w:val="009033A7"/>
    <w:pPr>
      <w:tabs>
        <w:tab w:val="clear" w:pos="794"/>
        <w:tab w:val="clear" w:pos="1191"/>
        <w:tab w:val="clear" w:pos="1588"/>
        <w:tab w:val="clear" w:pos="1985"/>
      </w:tabs>
      <w:overflowPunct/>
      <w:autoSpaceDE/>
      <w:autoSpaceDN/>
      <w:adjustRightInd/>
      <w:spacing w:before="120" w:after="120" w:line="240" w:lineRule="auto"/>
      <w:ind w:left="849"/>
      <w:contextualSpacing/>
      <w:jc w:val="left"/>
      <w:textAlignment w:val="auto"/>
    </w:pPr>
    <w:rPr>
      <w:rFonts w:eastAsia="Calibri"/>
      <w:sz w:val="24"/>
      <w:szCs w:val="24"/>
      <w:lang w:val="en-GB" w:eastAsia="ja-JP"/>
    </w:rPr>
  </w:style>
  <w:style w:type="character" w:customStyle="1" w:styleId="BodyTextFirstIndentChar">
    <w:name w:val="Body Text First Indent Char"/>
    <w:basedOn w:val="BodyTextChar"/>
    <w:link w:val="BodyTextFirstIndent"/>
    <w:qFormat/>
    <w:rsid w:val="009033A7"/>
    <w:rPr>
      <w:rFonts w:ascii="Times New Roman" w:hAnsi="Times New Roman" w:cs="Arial"/>
      <w:b w:val="0"/>
      <w:bCs w:val="0"/>
      <w:sz w:val="22"/>
      <w:lang w:val="fr-FR" w:eastAsia="en-US"/>
    </w:rPr>
  </w:style>
  <w:style w:type="paragraph" w:styleId="BodyTextFirstIndent2">
    <w:name w:val="Body Text First Indent 2"/>
    <w:basedOn w:val="BodyTextIndent"/>
    <w:link w:val="BodyTextFirstIndent2Char"/>
    <w:uiPriority w:val="1"/>
    <w:unhideWhenUsed/>
    <w:rsid w:val="009033A7"/>
    <w:pPr>
      <w:tabs>
        <w:tab w:val="clear" w:pos="794"/>
        <w:tab w:val="clear" w:pos="1191"/>
        <w:tab w:val="clear" w:pos="1588"/>
        <w:tab w:val="clear" w:pos="1985"/>
      </w:tabs>
      <w:overflowPunct/>
      <w:autoSpaceDE/>
      <w:autoSpaceDN/>
      <w:adjustRightInd/>
      <w:spacing w:before="120" w:after="0" w:line="240" w:lineRule="auto"/>
      <w:ind w:left="360" w:firstLine="360"/>
      <w:jc w:val="left"/>
      <w:textAlignment w:val="auto"/>
    </w:pPr>
    <w:rPr>
      <w:rFonts w:eastAsia="Calibri"/>
      <w:sz w:val="24"/>
      <w:szCs w:val="24"/>
      <w:lang w:val="en-GB" w:eastAsia="ja-JP"/>
    </w:rPr>
  </w:style>
  <w:style w:type="character" w:customStyle="1" w:styleId="BodyTextFirstIndent2Char">
    <w:name w:val="Body Text First Indent 2 Char"/>
    <w:basedOn w:val="BodyTextIndentChar"/>
    <w:link w:val="BodyTextFirstIndent2"/>
    <w:qFormat/>
    <w:rsid w:val="009033A7"/>
    <w:rPr>
      <w:rFonts w:ascii="Times New Roman" w:eastAsia="Calibri" w:hAnsi="Times New Roman"/>
      <w:sz w:val="24"/>
      <w:szCs w:val="24"/>
      <w:lang w:val="en-GB" w:eastAsia="ja-JP"/>
    </w:rPr>
  </w:style>
  <w:style w:type="character" w:styleId="LineNumber">
    <w:name w:val="line number"/>
    <w:basedOn w:val="DefaultParagraphFont"/>
    <w:uiPriority w:val="1"/>
    <w:unhideWhenUsed/>
    <w:rsid w:val="009033A7"/>
  </w:style>
  <w:style w:type="character" w:styleId="HTMLDefinition">
    <w:name w:val="HTML Definition"/>
    <w:uiPriority w:val="1"/>
    <w:unhideWhenUsed/>
    <w:rsid w:val="009033A7"/>
    <w:rPr>
      <w:i/>
      <w:iCs/>
    </w:rPr>
  </w:style>
  <w:style w:type="character" w:styleId="HTMLTypewriter">
    <w:name w:val="HTML Typewriter"/>
    <w:uiPriority w:val="1"/>
    <w:semiHidden/>
    <w:unhideWhenUsed/>
    <w:rsid w:val="009033A7"/>
    <w:rPr>
      <w:rFonts w:ascii="Consolas" w:hAnsi="Consolas"/>
      <w:sz w:val="20"/>
      <w:szCs w:val="20"/>
    </w:rPr>
  </w:style>
  <w:style w:type="character" w:styleId="HTMLAcronym">
    <w:name w:val="HTML Acronym"/>
    <w:basedOn w:val="DefaultParagraphFont"/>
    <w:uiPriority w:val="1"/>
    <w:unhideWhenUsed/>
    <w:rsid w:val="009033A7"/>
  </w:style>
  <w:style w:type="character" w:styleId="HTMLVariable">
    <w:name w:val="HTML Variable"/>
    <w:uiPriority w:val="1"/>
    <w:unhideWhenUsed/>
    <w:rsid w:val="009033A7"/>
    <w:rPr>
      <w:i/>
      <w:iCs/>
    </w:rPr>
  </w:style>
  <w:style w:type="character" w:styleId="HTMLCode">
    <w:name w:val="HTML Code"/>
    <w:uiPriority w:val="1"/>
    <w:unhideWhenUsed/>
    <w:rsid w:val="009033A7"/>
    <w:rPr>
      <w:rFonts w:ascii="Consolas" w:hAnsi="Consolas"/>
      <w:sz w:val="20"/>
      <w:szCs w:val="20"/>
    </w:rPr>
  </w:style>
  <w:style w:type="character" w:styleId="HTMLCite">
    <w:name w:val="HTML Cite"/>
    <w:uiPriority w:val="1"/>
    <w:unhideWhenUsed/>
    <w:rsid w:val="009033A7"/>
    <w:rPr>
      <w:i/>
      <w:iCs/>
    </w:rPr>
  </w:style>
  <w:style w:type="character" w:styleId="HTMLKeyboard">
    <w:name w:val="HTML Keyboard"/>
    <w:uiPriority w:val="1"/>
    <w:unhideWhenUsed/>
    <w:rsid w:val="009033A7"/>
    <w:rPr>
      <w:rFonts w:ascii="Consolas" w:hAnsi="Consolas"/>
      <w:sz w:val="20"/>
      <w:szCs w:val="20"/>
    </w:rPr>
  </w:style>
  <w:style w:type="character" w:styleId="HTMLSample">
    <w:name w:val="HTML Sample"/>
    <w:uiPriority w:val="1"/>
    <w:unhideWhenUsed/>
    <w:rsid w:val="009033A7"/>
    <w:rPr>
      <w:rFonts w:ascii="Consolas" w:hAnsi="Consolas"/>
      <w:sz w:val="24"/>
      <w:szCs w:val="24"/>
    </w:rPr>
  </w:style>
  <w:style w:type="paragraph" w:customStyle="1" w:styleId="Revision1">
    <w:name w:val="Revision1"/>
    <w:uiPriority w:val="99"/>
    <w:semiHidden/>
    <w:rsid w:val="009033A7"/>
    <w:rPr>
      <w:rFonts w:ascii="Times New Roman" w:eastAsia="SimSun" w:hAnsi="Times New Roman"/>
      <w:sz w:val="24"/>
      <w:szCs w:val="24"/>
      <w:lang w:val="en-GB" w:eastAsia="ja-JP"/>
    </w:rPr>
  </w:style>
  <w:style w:type="paragraph" w:customStyle="1" w:styleId="VolumeTitle0">
    <w:name w:val="VolumeTitle"/>
    <w:basedOn w:val="Normal"/>
    <w:uiPriority w:val="99"/>
    <w:semiHidden/>
    <w:rsid w:val="009033A7"/>
    <w:pPr>
      <w:keepNext/>
      <w:keepLines/>
      <w:tabs>
        <w:tab w:val="clear" w:pos="794"/>
        <w:tab w:val="clear" w:pos="1191"/>
        <w:tab w:val="clear" w:pos="1588"/>
        <w:tab w:val="clear" w:pos="1985"/>
      </w:tabs>
      <w:overflowPunct/>
      <w:autoSpaceDE/>
      <w:autoSpaceDN/>
      <w:adjustRightInd/>
      <w:spacing w:before="240" w:line="240" w:lineRule="auto"/>
      <w:jc w:val="center"/>
      <w:textAlignment w:val="auto"/>
    </w:pPr>
    <w:rPr>
      <w:rFonts w:eastAsia="Calibri"/>
      <w:b/>
      <w:sz w:val="48"/>
      <w:szCs w:val="48"/>
      <w:lang w:val="en-GB" w:eastAsia="ja-JP"/>
    </w:rPr>
  </w:style>
  <w:style w:type="paragraph" w:customStyle="1" w:styleId="Bibliography1">
    <w:name w:val="Bibliography1"/>
    <w:basedOn w:val="Normal"/>
    <w:next w:val="Normal"/>
    <w:uiPriority w:val="37"/>
    <w:semiHidden/>
    <w:unhideWhenUsed/>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Calibri"/>
      <w:sz w:val="24"/>
      <w:szCs w:val="24"/>
      <w:lang w:val="en-GB" w:eastAsia="ja-JP"/>
    </w:rPr>
  </w:style>
  <w:style w:type="character" w:customStyle="1" w:styleId="Hashtag1">
    <w:name w:val="Hashtag1"/>
    <w:basedOn w:val="DefaultParagraphFont"/>
    <w:uiPriority w:val="99"/>
    <w:semiHidden/>
    <w:unhideWhenUsed/>
    <w:rsid w:val="009033A7"/>
    <w:rPr>
      <w:color w:val="2B579A"/>
      <w:shd w:val="clear" w:color="auto" w:fill="E1DFDD"/>
    </w:rPr>
  </w:style>
  <w:style w:type="character" w:customStyle="1" w:styleId="Hashtag10">
    <w:name w:val="Hashtag1"/>
    <w:uiPriority w:val="99"/>
    <w:semiHidden/>
    <w:unhideWhenUsed/>
    <w:rsid w:val="009033A7"/>
    <w:rPr>
      <w:color w:val="2B579A"/>
      <w:shd w:val="clear" w:color="auto" w:fill="E1DFDD"/>
    </w:rPr>
  </w:style>
  <w:style w:type="character" w:customStyle="1" w:styleId="IntenseEmphasis1">
    <w:name w:val="Intense Emphasis1"/>
    <w:uiPriority w:val="21"/>
    <w:rsid w:val="009033A7"/>
    <w:rPr>
      <w:i/>
      <w:iCs/>
      <w:color w:val="5B9BD5"/>
    </w:rPr>
  </w:style>
  <w:style w:type="paragraph" w:styleId="IntenseQuote">
    <w:name w:val="Intense Quote"/>
    <w:basedOn w:val="Normal"/>
    <w:next w:val="Normal"/>
    <w:link w:val="IntenseQuoteChar"/>
    <w:uiPriority w:val="30"/>
    <w:rsid w:val="009033A7"/>
    <w:pPr>
      <w:pBdr>
        <w:top w:val="single" w:sz="4" w:space="10" w:color="5B9BD5"/>
        <w:bottom w:val="single" w:sz="4" w:space="10" w:color="5B9BD5"/>
      </w:pBdr>
      <w:tabs>
        <w:tab w:val="clear" w:pos="794"/>
        <w:tab w:val="clear" w:pos="1191"/>
        <w:tab w:val="clear" w:pos="1588"/>
        <w:tab w:val="clear" w:pos="1985"/>
      </w:tabs>
      <w:overflowPunct/>
      <w:autoSpaceDE/>
      <w:autoSpaceDN/>
      <w:adjustRightInd/>
      <w:spacing w:before="360" w:after="360" w:line="240" w:lineRule="auto"/>
      <w:ind w:left="864" w:right="864"/>
      <w:jc w:val="center"/>
      <w:textAlignment w:val="auto"/>
    </w:pPr>
    <w:rPr>
      <w:rFonts w:eastAsia="Calibri"/>
      <w:i/>
      <w:iCs/>
      <w:color w:val="5B9BD5"/>
      <w:sz w:val="24"/>
      <w:szCs w:val="24"/>
      <w:lang w:val="en-GB" w:eastAsia="ja-JP"/>
    </w:rPr>
  </w:style>
  <w:style w:type="character" w:customStyle="1" w:styleId="IntenseQuoteChar">
    <w:name w:val="Intense Quote Char"/>
    <w:basedOn w:val="DefaultParagraphFont"/>
    <w:link w:val="IntenseQuote"/>
    <w:uiPriority w:val="30"/>
    <w:rsid w:val="009033A7"/>
    <w:rPr>
      <w:rFonts w:ascii="Times New Roman" w:eastAsia="Calibri" w:hAnsi="Times New Roman"/>
      <w:i/>
      <w:iCs/>
      <w:color w:val="5B9BD5"/>
      <w:sz w:val="24"/>
      <w:szCs w:val="24"/>
      <w:lang w:val="en-GB" w:eastAsia="ja-JP"/>
    </w:rPr>
  </w:style>
  <w:style w:type="character" w:customStyle="1" w:styleId="IntenseReference1">
    <w:name w:val="Intense Reference1"/>
    <w:uiPriority w:val="32"/>
    <w:rsid w:val="009033A7"/>
    <w:rPr>
      <w:b/>
      <w:bCs/>
      <w:smallCaps/>
      <w:color w:val="5B9BD5"/>
      <w:spacing w:val="5"/>
    </w:rPr>
  </w:style>
  <w:style w:type="character" w:customStyle="1" w:styleId="Mention1">
    <w:name w:val="Mention1"/>
    <w:uiPriority w:val="99"/>
    <w:semiHidden/>
    <w:unhideWhenUsed/>
    <w:rsid w:val="009033A7"/>
    <w:rPr>
      <w:color w:val="2B579A"/>
      <w:shd w:val="clear" w:color="auto" w:fill="E1DFDD"/>
    </w:rPr>
  </w:style>
  <w:style w:type="character" w:customStyle="1" w:styleId="SmartHyperlink1">
    <w:name w:val="Smart Hyperlink1"/>
    <w:uiPriority w:val="99"/>
    <w:semiHidden/>
    <w:unhideWhenUsed/>
    <w:rsid w:val="009033A7"/>
    <w:rPr>
      <w:u w:val="dotted"/>
    </w:rPr>
  </w:style>
  <w:style w:type="character" w:customStyle="1" w:styleId="SmartLink1">
    <w:name w:val="SmartLink1"/>
    <w:uiPriority w:val="99"/>
    <w:semiHidden/>
    <w:unhideWhenUsed/>
    <w:rsid w:val="009033A7"/>
    <w:rPr>
      <w:color w:val="0563C1"/>
      <w:u w:val="single"/>
      <w:shd w:val="clear" w:color="auto" w:fill="E1DFDD"/>
    </w:rPr>
  </w:style>
  <w:style w:type="character" w:customStyle="1" w:styleId="SmartLinkError1">
    <w:name w:val="SmartLinkError1"/>
    <w:uiPriority w:val="99"/>
    <w:semiHidden/>
    <w:unhideWhenUsed/>
    <w:rsid w:val="009033A7"/>
    <w:rPr>
      <w:color w:val="FF0000"/>
    </w:rPr>
  </w:style>
  <w:style w:type="character" w:customStyle="1" w:styleId="SubtleEmphasis1">
    <w:name w:val="Subtle Emphasis1"/>
    <w:uiPriority w:val="19"/>
    <w:rsid w:val="009033A7"/>
    <w:rPr>
      <w:i/>
      <w:iCs/>
      <w:color w:val="404040"/>
    </w:rPr>
  </w:style>
  <w:style w:type="character" w:customStyle="1" w:styleId="SubtleReference1">
    <w:name w:val="Subtle Reference1"/>
    <w:uiPriority w:val="31"/>
    <w:rsid w:val="009033A7"/>
    <w:rPr>
      <w:smallCaps/>
      <w:color w:val="5A5A5A"/>
    </w:rPr>
  </w:style>
  <w:style w:type="paragraph" w:customStyle="1" w:styleId="TOCHeading1">
    <w:name w:val="TOC Heading1"/>
    <w:basedOn w:val="Heading1"/>
    <w:next w:val="Normal"/>
    <w:uiPriority w:val="39"/>
    <w:unhideWhenUsed/>
    <w:rsid w:val="009033A7"/>
    <w:pPr>
      <w:tabs>
        <w:tab w:val="left" w:pos="432"/>
      </w:tabs>
      <w:spacing w:before="360" w:line="240" w:lineRule="auto"/>
      <w:ind w:left="0" w:firstLine="0"/>
      <w:jc w:val="left"/>
      <w:outlineLvl w:val="9"/>
    </w:pPr>
    <w:rPr>
      <w:rFonts w:ascii="Calibri Light" w:eastAsia="SimSun" w:hAnsi="Calibri Light"/>
      <w:b w:val="0"/>
      <w:color w:val="2E74B5"/>
      <w:sz w:val="32"/>
      <w:lang w:val="en-GB"/>
    </w:rPr>
  </w:style>
  <w:style w:type="character" w:customStyle="1" w:styleId="UnresolvedMention11">
    <w:name w:val="Unresolved Mention11"/>
    <w:uiPriority w:val="99"/>
    <w:semiHidden/>
    <w:unhideWhenUsed/>
    <w:rsid w:val="009033A7"/>
    <w:rPr>
      <w:color w:val="605E5C"/>
      <w:shd w:val="clear" w:color="auto" w:fill="E1DFDD"/>
    </w:rPr>
  </w:style>
  <w:style w:type="character" w:customStyle="1" w:styleId="Hashtag2">
    <w:name w:val="Hashtag2"/>
    <w:basedOn w:val="DefaultParagraphFont"/>
    <w:uiPriority w:val="99"/>
    <w:semiHidden/>
    <w:unhideWhenUsed/>
    <w:rsid w:val="009033A7"/>
    <w:rPr>
      <w:color w:val="2B579A"/>
      <w:shd w:val="clear" w:color="auto" w:fill="E1DFDD"/>
    </w:rPr>
  </w:style>
  <w:style w:type="character" w:customStyle="1" w:styleId="Mention2">
    <w:name w:val="Mention2"/>
    <w:basedOn w:val="DefaultParagraphFont"/>
    <w:uiPriority w:val="99"/>
    <w:semiHidden/>
    <w:unhideWhenUsed/>
    <w:rsid w:val="009033A7"/>
    <w:rPr>
      <w:color w:val="2B579A"/>
      <w:shd w:val="clear" w:color="auto" w:fill="E1DFDD"/>
    </w:rPr>
  </w:style>
  <w:style w:type="character" w:customStyle="1" w:styleId="SmartHyperlink2">
    <w:name w:val="Smart Hyperlink2"/>
    <w:basedOn w:val="DefaultParagraphFont"/>
    <w:uiPriority w:val="99"/>
    <w:semiHidden/>
    <w:unhideWhenUsed/>
    <w:rsid w:val="009033A7"/>
    <w:rPr>
      <w:u w:val="dotted"/>
    </w:rPr>
  </w:style>
  <w:style w:type="character" w:customStyle="1" w:styleId="SmartLink2">
    <w:name w:val="SmartLink2"/>
    <w:basedOn w:val="DefaultParagraphFont"/>
    <w:uiPriority w:val="99"/>
    <w:semiHidden/>
    <w:unhideWhenUsed/>
    <w:rsid w:val="009033A7"/>
    <w:rPr>
      <w:color w:val="0000FF" w:themeColor="hyperlink"/>
      <w:u w:val="single"/>
      <w:shd w:val="clear" w:color="auto" w:fill="E1DFDD"/>
    </w:rPr>
  </w:style>
  <w:style w:type="character" w:customStyle="1" w:styleId="SmartLinkError">
    <w:name w:val="Smart Link Error"/>
    <w:basedOn w:val="DefaultParagraphFont"/>
    <w:uiPriority w:val="99"/>
    <w:semiHidden/>
    <w:unhideWhenUsed/>
    <w:rsid w:val="009033A7"/>
    <w:rPr>
      <w:color w:val="FF0000"/>
    </w:rPr>
  </w:style>
  <w:style w:type="character" w:customStyle="1" w:styleId="UnresolvedMention2">
    <w:name w:val="Unresolved Mention2"/>
    <w:basedOn w:val="DefaultParagraphFont"/>
    <w:uiPriority w:val="99"/>
    <w:semiHidden/>
    <w:unhideWhenUsed/>
    <w:rsid w:val="009033A7"/>
    <w:rPr>
      <w:color w:val="605E5C"/>
      <w:shd w:val="clear" w:color="auto" w:fill="E1DFDD"/>
    </w:rPr>
  </w:style>
  <w:style w:type="character" w:customStyle="1" w:styleId="UnresolvedMention3">
    <w:name w:val="Unresolved Mention3"/>
    <w:basedOn w:val="DefaultParagraphFont"/>
    <w:uiPriority w:val="99"/>
    <w:semiHidden/>
    <w:unhideWhenUsed/>
    <w:rsid w:val="009033A7"/>
    <w:rPr>
      <w:color w:val="605E5C"/>
      <w:shd w:val="clear" w:color="auto" w:fill="E1DFDD"/>
    </w:rPr>
  </w:style>
  <w:style w:type="paragraph" w:styleId="Bibliography">
    <w:name w:val="Bibliography"/>
    <w:basedOn w:val="Normal"/>
    <w:next w:val="Normal"/>
    <w:uiPriority w:val="37"/>
    <w:semiHidden/>
    <w:unhideWhenUsed/>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Theme="minorHAnsi"/>
      <w:sz w:val="24"/>
      <w:szCs w:val="24"/>
      <w:lang w:val="en-GB" w:eastAsia="ja-JP"/>
    </w:rPr>
  </w:style>
  <w:style w:type="character" w:styleId="BookTitle">
    <w:name w:val="Book Title"/>
    <w:basedOn w:val="DefaultParagraphFont"/>
    <w:uiPriority w:val="33"/>
    <w:rsid w:val="009033A7"/>
    <w:rPr>
      <w:b/>
      <w:bCs/>
      <w:i/>
      <w:iCs/>
      <w:spacing w:val="5"/>
    </w:rPr>
  </w:style>
  <w:style w:type="character" w:customStyle="1" w:styleId="Hashtag3">
    <w:name w:val="Hashtag3"/>
    <w:basedOn w:val="DefaultParagraphFont"/>
    <w:uiPriority w:val="99"/>
    <w:semiHidden/>
    <w:unhideWhenUsed/>
    <w:rsid w:val="009033A7"/>
    <w:rPr>
      <w:color w:val="2B579A"/>
      <w:shd w:val="clear" w:color="auto" w:fill="E1DFDD"/>
    </w:rPr>
  </w:style>
  <w:style w:type="character" w:styleId="IntenseEmphasis">
    <w:name w:val="Intense Emphasis"/>
    <w:basedOn w:val="DefaultParagraphFont"/>
    <w:uiPriority w:val="21"/>
    <w:rsid w:val="009033A7"/>
    <w:rPr>
      <w:i/>
      <w:iCs/>
      <w:color w:val="4F81BD" w:themeColor="accent1"/>
    </w:rPr>
  </w:style>
  <w:style w:type="character" w:styleId="IntenseReference">
    <w:name w:val="Intense Reference"/>
    <w:basedOn w:val="DefaultParagraphFont"/>
    <w:uiPriority w:val="32"/>
    <w:rsid w:val="009033A7"/>
    <w:rPr>
      <w:b/>
      <w:bCs/>
      <w:smallCaps/>
      <w:color w:val="4F81BD" w:themeColor="accent1"/>
      <w:spacing w:val="5"/>
    </w:rPr>
  </w:style>
  <w:style w:type="character" w:customStyle="1" w:styleId="Mention3">
    <w:name w:val="Mention3"/>
    <w:basedOn w:val="DefaultParagraphFont"/>
    <w:uiPriority w:val="99"/>
    <w:semiHidden/>
    <w:unhideWhenUsed/>
    <w:rsid w:val="009033A7"/>
    <w:rPr>
      <w:color w:val="2B579A"/>
      <w:shd w:val="clear" w:color="auto" w:fill="E1DFDD"/>
    </w:rPr>
  </w:style>
  <w:style w:type="character" w:customStyle="1" w:styleId="SmartHyperlink3">
    <w:name w:val="Smart Hyperlink3"/>
    <w:basedOn w:val="DefaultParagraphFont"/>
    <w:uiPriority w:val="99"/>
    <w:semiHidden/>
    <w:unhideWhenUsed/>
    <w:rsid w:val="009033A7"/>
    <w:rPr>
      <w:u w:val="dotted"/>
    </w:rPr>
  </w:style>
  <w:style w:type="character" w:customStyle="1" w:styleId="SmartLink3">
    <w:name w:val="SmartLink3"/>
    <w:basedOn w:val="DefaultParagraphFont"/>
    <w:uiPriority w:val="99"/>
    <w:semiHidden/>
    <w:unhideWhenUsed/>
    <w:rsid w:val="009033A7"/>
    <w:rPr>
      <w:color w:val="0000FF"/>
      <w:u w:val="single"/>
      <w:shd w:val="clear" w:color="auto" w:fill="F3F2F1"/>
    </w:rPr>
  </w:style>
  <w:style w:type="character" w:styleId="SubtleEmphasis">
    <w:name w:val="Subtle Emphasis"/>
    <w:basedOn w:val="DefaultParagraphFont"/>
    <w:uiPriority w:val="19"/>
    <w:rsid w:val="009033A7"/>
    <w:rPr>
      <w:i/>
      <w:iCs/>
      <w:color w:val="404040" w:themeColor="text1" w:themeTint="BF"/>
    </w:rPr>
  </w:style>
  <w:style w:type="character" w:styleId="SubtleReference">
    <w:name w:val="Subtle Reference"/>
    <w:basedOn w:val="DefaultParagraphFont"/>
    <w:uiPriority w:val="31"/>
    <w:rsid w:val="009033A7"/>
    <w:rPr>
      <w:smallCaps/>
      <w:color w:val="5A5A5A" w:themeColor="text1" w:themeTint="A5"/>
    </w:rPr>
  </w:style>
  <w:style w:type="character" w:customStyle="1" w:styleId="Mention4">
    <w:name w:val="Mention4"/>
    <w:basedOn w:val="DefaultParagraphFont"/>
    <w:uiPriority w:val="99"/>
    <w:semiHidden/>
    <w:unhideWhenUsed/>
    <w:rsid w:val="009033A7"/>
    <w:rPr>
      <w:color w:val="2B579A"/>
      <w:shd w:val="clear" w:color="auto" w:fill="E1DFDD"/>
    </w:rPr>
  </w:style>
  <w:style w:type="character" w:customStyle="1" w:styleId="SmartHyperlink4">
    <w:name w:val="Smart Hyperlink4"/>
    <w:basedOn w:val="DefaultParagraphFont"/>
    <w:uiPriority w:val="99"/>
    <w:semiHidden/>
    <w:unhideWhenUsed/>
    <w:rsid w:val="009033A7"/>
    <w:rPr>
      <w:u w:val="dotted"/>
    </w:rPr>
  </w:style>
  <w:style w:type="character" w:customStyle="1" w:styleId="SmartLink4">
    <w:name w:val="SmartLink4"/>
    <w:basedOn w:val="DefaultParagraphFont"/>
    <w:uiPriority w:val="99"/>
    <w:semiHidden/>
    <w:unhideWhenUsed/>
    <w:rsid w:val="009033A7"/>
    <w:rPr>
      <w:color w:val="0000FF"/>
      <w:u w:val="single"/>
      <w:shd w:val="clear" w:color="auto" w:fill="F3F2F1"/>
    </w:rPr>
  </w:style>
  <w:style w:type="paragraph" w:customStyle="1" w:styleId="Acknowledgements">
    <w:name w:val="Acknowledgements"/>
    <w:basedOn w:val="Normal"/>
    <w:rsid w:val="00726885"/>
    <w:rPr>
      <w:lang w:val="en-GB"/>
    </w:rPr>
  </w:style>
  <w:style w:type="paragraph" w:customStyle="1" w:styleId="Alternativetext">
    <w:name w:val="Alternative text"/>
    <w:basedOn w:val="Normal"/>
    <w:rsid w:val="006E55E5"/>
    <w:pPr>
      <w:jc w:val="center"/>
    </w:pPr>
    <w:rPr>
      <w:i/>
      <w:color w:val="F79646" w:themeColor="accent6"/>
      <w:sz w:val="18"/>
      <w:lang w:val="en-GB"/>
    </w:rPr>
  </w:style>
  <w:style w:type="paragraph" w:customStyle="1" w:styleId="APXchaptertitle">
    <w:name w:val="APX_chapter_title"/>
    <w:basedOn w:val="Normal"/>
    <w:rsid w:val="00726885"/>
    <w:rPr>
      <w:lang w:val="en-GB"/>
    </w:rPr>
  </w:style>
  <w:style w:type="paragraph" w:customStyle="1" w:styleId="APXheading1">
    <w:name w:val="APX_heading 1"/>
    <w:basedOn w:val="Normal"/>
    <w:next w:val="Normal"/>
    <w:rsid w:val="00726885"/>
    <w:rPr>
      <w:lang w:val="en-GB"/>
    </w:rPr>
  </w:style>
  <w:style w:type="paragraph" w:customStyle="1" w:styleId="APXheading2">
    <w:name w:val="APX_heading 2"/>
    <w:basedOn w:val="Normal"/>
    <w:next w:val="Normal"/>
    <w:rsid w:val="00726885"/>
    <w:rPr>
      <w:lang w:val="en-GB"/>
    </w:rPr>
  </w:style>
  <w:style w:type="paragraph" w:customStyle="1" w:styleId="Biblio-Entry">
    <w:name w:val="Biblio-Entry"/>
    <w:basedOn w:val="Normal"/>
    <w:rsid w:val="00726885"/>
    <w:rPr>
      <w:lang w:val="en-GB"/>
    </w:rPr>
  </w:style>
  <w:style w:type="paragraph" w:customStyle="1" w:styleId="Boxshadingtext">
    <w:name w:val="Box shading text"/>
    <w:basedOn w:val="Normal"/>
    <w:rsid w:val="00726885"/>
    <w:rPr>
      <w:lang w:val="en-GB"/>
    </w:rPr>
  </w:style>
  <w:style w:type="paragraph" w:customStyle="1" w:styleId="Boxshadingtitle">
    <w:name w:val="Box shading title"/>
    <w:basedOn w:val="Normal"/>
    <w:next w:val="Normal"/>
    <w:rsid w:val="00726885"/>
    <w:rPr>
      <w:lang w:val="en-GB"/>
    </w:rPr>
  </w:style>
  <w:style w:type="paragraph" w:customStyle="1" w:styleId="Boxtext">
    <w:name w:val="Box text"/>
    <w:basedOn w:val="Normal"/>
    <w:rsid w:val="00726885"/>
    <w:rPr>
      <w:lang w:val="en-GB"/>
    </w:rPr>
  </w:style>
  <w:style w:type="paragraph" w:customStyle="1" w:styleId="Boxtitle">
    <w:name w:val="Box title"/>
    <w:basedOn w:val="Normal"/>
    <w:next w:val="Normal"/>
    <w:rsid w:val="00726885"/>
    <w:rPr>
      <w:lang w:val="en-GB"/>
    </w:rPr>
  </w:style>
  <w:style w:type="paragraph" w:customStyle="1" w:styleId="Boxtitlecentered">
    <w:name w:val="Box title centered"/>
    <w:basedOn w:val="Normal"/>
    <w:next w:val="Normal"/>
    <w:rsid w:val="00726885"/>
    <w:rPr>
      <w:lang w:val="en-GB"/>
    </w:rPr>
  </w:style>
  <w:style w:type="paragraph" w:customStyle="1" w:styleId="Boxtitlesmall">
    <w:name w:val="Box title small"/>
    <w:basedOn w:val="Normal"/>
    <w:next w:val="Normal"/>
    <w:rsid w:val="00726885"/>
    <w:rPr>
      <w:lang w:val="en-GB"/>
    </w:rPr>
  </w:style>
  <w:style w:type="paragraph" w:customStyle="1" w:styleId="Boxexternal">
    <w:name w:val="Box_external"/>
    <w:basedOn w:val="Normal"/>
    <w:rsid w:val="00726885"/>
    <w:rPr>
      <w:lang w:val="en-GB"/>
    </w:rPr>
  </w:style>
  <w:style w:type="paragraph" w:customStyle="1" w:styleId="Bulletlist1">
    <w:name w:val="Bullet list 1"/>
    <w:basedOn w:val="Normal"/>
    <w:rsid w:val="00726885"/>
    <w:rPr>
      <w:lang w:val="en-GB"/>
    </w:rPr>
  </w:style>
  <w:style w:type="paragraph" w:customStyle="1" w:styleId="Bulletlist1keepnext">
    <w:name w:val="Bullet list 1 keep next"/>
    <w:basedOn w:val="Normal"/>
    <w:rsid w:val="00726885"/>
    <w:rPr>
      <w:lang w:val="en-GB"/>
    </w:rPr>
  </w:style>
  <w:style w:type="paragraph" w:customStyle="1" w:styleId="Bulletlist1notjustified">
    <w:name w:val="Bullet list 1 not justified"/>
    <w:basedOn w:val="Normal"/>
    <w:rsid w:val="00726885"/>
    <w:rPr>
      <w:lang w:val="en-GB"/>
    </w:rPr>
  </w:style>
  <w:style w:type="paragraph" w:customStyle="1" w:styleId="Bulletlist2">
    <w:name w:val="Bullet list 2"/>
    <w:basedOn w:val="Normal"/>
    <w:rsid w:val="00726885"/>
    <w:rPr>
      <w:lang w:val="en-GB"/>
    </w:rPr>
  </w:style>
  <w:style w:type="paragraph" w:customStyle="1" w:styleId="Bulletlist3">
    <w:name w:val="Bullet list 3"/>
    <w:basedOn w:val="Normal"/>
    <w:rsid w:val="00726885"/>
    <w:rPr>
      <w:lang w:val="en-GB"/>
    </w:rPr>
  </w:style>
  <w:style w:type="paragraph" w:customStyle="1" w:styleId="Chaptbartitle">
    <w:name w:val="Chapt bar title"/>
    <w:basedOn w:val="Normal"/>
    <w:rsid w:val="00726885"/>
    <w:rPr>
      <w:lang w:val="en-GB"/>
    </w:rPr>
  </w:style>
  <w:style w:type="paragraph" w:customStyle="1" w:styleId="Chapttitle">
    <w:name w:val="Chapt title"/>
    <w:basedOn w:val="Normal"/>
    <w:rsid w:val="00726885"/>
    <w:rPr>
      <w:lang w:val="en-GB"/>
    </w:rPr>
  </w:style>
  <w:style w:type="paragraph" w:customStyle="1" w:styleId="Chapttitlenoindent">
    <w:name w:val="Chapt title no indent"/>
    <w:basedOn w:val="Normal"/>
    <w:rsid w:val="00726885"/>
    <w:rPr>
      <w:lang w:val="en-GB"/>
    </w:rPr>
  </w:style>
  <w:style w:type="paragraph" w:customStyle="1" w:styleId="ChapttitleRightAligned">
    <w:name w:val="Chapt title Right Aligned"/>
    <w:basedOn w:val="Normal"/>
    <w:rsid w:val="00726885"/>
    <w:rPr>
      <w:lang w:val="en-GB"/>
    </w:rPr>
  </w:style>
  <w:style w:type="paragraph" w:customStyle="1" w:styleId="Chapttitlewithunderline">
    <w:name w:val="Chapt title with underline"/>
    <w:basedOn w:val="Normal"/>
    <w:rsid w:val="00726885"/>
    <w:rPr>
      <w:lang w:val="en-GB"/>
    </w:rPr>
  </w:style>
  <w:style w:type="paragraph" w:customStyle="1" w:styleId="Chapterno">
    <w:name w:val="Chapter no"/>
    <w:basedOn w:val="Normal"/>
    <w:rsid w:val="00726885"/>
    <w:rPr>
      <w:lang w:val="en-GB"/>
    </w:rPr>
  </w:style>
  <w:style w:type="paragraph" w:customStyle="1" w:styleId="Continued">
    <w:name w:val="Continued"/>
    <w:basedOn w:val="Normal"/>
    <w:next w:val="Normal"/>
    <w:rsid w:val="00726885"/>
    <w:rPr>
      <w:lang w:val="en-GB"/>
    </w:rPr>
  </w:style>
  <w:style w:type="paragraph" w:customStyle="1" w:styleId="Copyright">
    <w:name w:val="Copyright"/>
    <w:basedOn w:val="Normal"/>
    <w:rsid w:val="00726885"/>
    <w:rPr>
      <w:lang w:val="en-GB"/>
    </w:rPr>
  </w:style>
  <w:style w:type="paragraph" w:customStyle="1" w:styleId="Coverpartnerlogotext">
    <w:name w:val="Cover partner logo text"/>
    <w:basedOn w:val="Normal"/>
    <w:rsid w:val="00726885"/>
    <w:rPr>
      <w:lang w:val="en-GB"/>
    </w:rPr>
  </w:style>
  <w:style w:type="paragraph" w:customStyle="1" w:styleId="CoverSeriestitle">
    <w:name w:val="Cover Series title"/>
    <w:basedOn w:val="Normal"/>
    <w:rsid w:val="00726885"/>
    <w:rPr>
      <w:lang w:val="en-GB"/>
    </w:rPr>
  </w:style>
  <w:style w:type="paragraph" w:customStyle="1" w:styleId="CoverSubtitlereport">
    <w:name w:val="Cover Subtitle report"/>
    <w:basedOn w:val="Normal"/>
    <w:rsid w:val="00726885"/>
    <w:rPr>
      <w:lang w:val="en-GB"/>
    </w:rPr>
  </w:style>
  <w:style w:type="paragraph" w:customStyle="1" w:styleId="CoverSubtitlereportsmall">
    <w:name w:val="Cover Subtitle report small"/>
    <w:basedOn w:val="Normal"/>
    <w:rsid w:val="00726885"/>
    <w:rPr>
      <w:lang w:val="en-GB"/>
    </w:rPr>
  </w:style>
  <w:style w:type="paragraph" w:customStyle="1" w:styleId="CoverTitlereport">
    <w:name w:val="Cover Title report"/>
    <w:basedOn w:val="Normal"/>
    <w:next w:val="CoverSubtitlereport"/>
    <w:rsid w:val="00726885"/>
    <w:rPr>
      <w:lang w:val="en-GB"/>
    </w:rPr>
  </w:style>
  <w:style w:type="paragraph" w:customStyle="1" w:styleId="CoverTitlereportdate">
    <w:name w:val="Cover Title report date"/>
    <w:basedOn w:val="Normal"/>
    <w:rsid w:val="00726885"/>
    <w:rPr>
      <w:lang w:val="en-GB"/>
    </w:rPr>
  </w:style>
  <w:style w:type="paragraph" w:customStyle="1" w:styleId="CoverTitlereportdatesmall">
    <w:name w:val="Cover Title report date small"/>
    <w:basedOn w:val="Normal"/>
    <w:rsid w:val="00726885"/>
    <w:rPr>
      <w:lang w:val="en-GB"/>
    </w:rPr>
  </w:style>
  <w:style w:type="paragraph" w:customStyle="1" w:styleId="CoverTitlereportsmall">
    <w:name w:val="Cover Title report small"/>
    <w:basedOn w:val="Normal"/>
    <w:next w:val="CoverSubtitlereport"/>
    <w:rsid w:val="00726885"/>
    <w:rPr>
      <w:lang w:val="en-GB"/>
    </w:rPr>
  </w:style>
  <w:style w:type="paragraph" w:customStyle="1" w:styleId="EndnoteTextjustified">
    <w:name w:val="Endnote Text justified"/>
    <w:basedOn w:val="Normal"/>
    <w:rsid w:val="00726885"/>
    <w:rPr>
      <w:lang w:val="en-GB"/>
    </w:rPr>
  </w:style>
  <w:style w:type="paragraph" w:customStyle="1" w:styleId="Figuretitle0">
    <w:name w:val="Figure title"/>
    <w:basedOn w:val="Normal"/>
    <w:next w:val="Normal"/>
    <w:rsid w:val="00726885"/>
    <w:rPr>
      <w:lang w:val="en-GB"/>
    </w:rPr>
  </w:style>
  <w:style w:type="paragraph" w:customStyle="1" w:styleId="Figuretitlecentered">
    <w:name w:val="Figure title centered"/>
    <w:basedOn w:val="Normal"/>
    <w:next w:val="Normal"/>
    <w:rsid w:val="00726885"/>
    <w:rPr>
      <w:lang w:val="en-GB"/>
    </w:rPr>
  </w:style>
  <w:style w:type="paragraph" w:customStyle="1" w:styleId="Figuretitlesmall">
    <w:name w:val="Figure title small"/>
    <w:basedOn w:val="Normal"/>
    <w:next w:val="Normal"/>
    <w:rsid w:val="00726885"/>
    <w:rPr>
      <w:lang w:val="en-GB"/>
    </w:rPr>
  </w:style>
  <w:style w:type="paragraph" w:customStyle="1" w:styleId="FiguretitleSpancolumns">
    <w:name w:val="Figure title Span columns"/>
    <w:basedOn w:val="Normal"/>
    <w:next w:val="Normal"/>
    <w:rsid w:val="00726885"/>
    <w:rPr>
      <w:lang w:val="en-GB"/>
    </w:rPr>
  </w:style>
  <w:style w:type="paragraph" w:customStyle="1" w:styleId="FootnoteText8pt">
    <w:name w:val="Footnote Text 8pt"/>
    <w:basedOn w:val="Normal"/>
    <w:rsid w:val="00726885"/>
    <w:rPr>
      <w:lang w:val="en-GB"/>
    </w:rPr>
  </w:style>
  <w:style w:type="paragraph" w:customStyle="1" w:styleId="FootnoteTextnotjustified">
    <w:name w:val="Footnote Text not justified"/>
    <w:basedOn w:val="Normal"/>
    <w:rsid w:val="00726885"/>
    <w:rPr>
      <w:lang w:val="en-GB"/>
    </w:rPr>
  </w:style>
  <w:style w:type="paragraph" w:customStyle="1" w:styleId="FrontMatterTitleLeftAligned">
    <w:name w:val="Front_Matter_Title_Left_Aligned"/>
    <w:basedOn w:val="Normal"/>
    <w:rsid w:val="00726885"/>
    <w:rPr>
      <w:lang w:val="en-GB"/>
    </w:rPr>
  </w:style>
  <w:style w:type="paragraph" w:customStyle="1" w:styleId="FrontMatterTitleRightAligned">
    <w:name w:val="Front_Matter_Title_Right_Aligned"/>
    <w:basedOn w:val="Normal"/>
    <w:rsid w:val="00726885"/>
    <w:rPr>
      <w:lang w:val="en-GB"/>
    </w:rPr>
  </w:style>
  <w:style w:type="paragraph" w:customStyle="1" w:styleId="Glossaryterm">
    <w:name w:val="Glossary_term"/>
    <w:basedOn w:val="Normal"/>
    <w:rsid w:val="00726885"/>
    <w:rPr>
      <w:lang w:val="en-GB"/>
    </w:rPr>
  </w:style>
  <w:style w:type="paragraph" w:customStyle="1" w:styleId="Heading1nextpage">
    <w:name w:val="Heading 1 next page"/>
    <w:basedOn w:val="Normal"/>
    <w:next w:val="Normal"/>
    <w:rsid w:val="00726885"/>
    <w:rPr>
      <w:lang w:val="en-GB"/>
    </w:rPr>
  </w:style>
  <w:style w:type="paragraph" w:customStyle="1" w:styleId="Heading1nextpagenoindent">
    <w:name w:val="Heading 1 next page no indent"/>
    <w:basedOn w:val="Normal"/>
    <w:next w:val="Normal"/>
    <w:rsid w:val="00726885"/>
    <w:rPr>
      <w:lang w:val="en-GB"/>
    </w:rPr>
  </w:style>
  <w:style w:type="paragraph" w:customStyle="1" w:styleId="Heading1noindent">
    <w:name w:val="Heading 1 no indent"/>
    <w:basedOn w:val="Normal"/>
    <w:next w:val="Normal"/>
    <w:rsid w:val="00726885"/>
    <w:rPr>
      <w:lang w:val="en-GB"/>
    </w:rPr>
  </w:style>
  <w:style w:type="paragraph" w:customStyle="1" w:styleId="Heading2nextpage">
    <w:name w:val="Heading 2 next page"/>
    <w:basedOn w:val="Normal"/>
    <w:next w:val="Normal"/>
    <w:rsid w:val="00726885"/>
    <w:rPr>
      <w:lang w:val="en-GB"/>
    </w:rPr>
  </w:style>
  <w:style w:type="paragraph" w:customStyle="1" w:styleId="Heading2nextpagenoindent">
    <w:name w:val="Heading 2 next page no indent"/>
    <w:basedOn w:val="Normal"/>
    <w:next w:val="Normal"/>
    <w:rsid w:val="00726885"/>
    <w:rPr>
      <w:lang w:val="en-GB"/>
    </w:rPr>
  </w:style>
  <w:style w:type="paragraph" w:customStyle="1" w:styleId="Heading2noindent">
    <w:name w:val="Heading 2 no indent"/>
    <w:basedOn w:val="Normal"/>
    <w:next w:val="Normal"/>
    <w:rsid w:val="00726885"/>
    <w:rPr>
      <w:lang w:val="en-GB"/>
    </w:rPr>
  </w:style>
  <w:style w:type="paragraph" w:customStyle="1" w:styleId="Heading3nextpage">
    <w:name w:val="Heading 3 next page"/>
    <w:basedOn w:val="Normal"/>
    <w:next w:val="Normal"/>
    <w:rsid w:val="00726885"/>
    <w:rPr>
      <w:lang w:val="en-GB"/>
    </w:rPr>
  </w:style>
  <w:style w:type="paragraph" w:customStyle="1" w:styleId="Heading4nextpage">
    <w:name w:val="Heading 4 next page"/>
    <w:basedOn w:val="Normal"/>
    <w:rsid w:val="00726885"/>
    <w:rPr>
      <w:lang w:val="en-GB"/>
    </w:rPr>
  </w:style>
  <w:style w:type="paragraph" w:customStyle="1" w:styleId="Heading5nextpage">
    <w:name w:val="Heading 5 next page"/>
    <w:basedOn w:val="Normal"/>
    <w:rsid w:val="00726885"/>
    <w:rPr>
      <w:lang w:val="en-GB"/>
    </w:rPr>
  </w:style>
  <w:style w:type="paragraph" w:customStyle="1" w:styleId="Headingb1">
    <w:name w:val="Heading b"/>
    <w:basedOn w:val="Normal"/>
    <w:rsid w:val="0012432B"/>
    <w:rPr>
      <w:b/>
      <w:lang w:val="en-GB"/>
    </w:rPr>
  </w:style>
  <w:style w:type="paragraph" w:customStyle="1" w:styleId="Headingbold-colored">
    <w:name w:val="Heading bold-colored"/>
    <w:basedOn w:val="Normal"/>
    <w:rsid w:val="00726885"/>
    <w:rPr>
      <w:lang w:val="en-GB"/>
    </w:rPr>
  </w:style>
  <w:style w:type="paragraph" w:customStyle="1" w:styleId="Normalbulletlist1">
    <w:name w:val="Normal bullet list 1"/>
    <w:basedOn w:val="Normal"/>
    <w:rsid w:val="00726885"/>
    <w:rPr>
      <w:lang w:val="en-GB"/>
    </w:rPr>
  </w:style>
  <w:style w:type="paragraph" w:customStyle="1" w:styleId="Normalcenteraligned">
    <w:name w:val="Normal center aligned"/>
    <w:basedOn w:val="Normal"/>
    <w:rsid w:val="00A7240D"/>
    <w:pPr>
      <w:jc w:val="center"/>
    </w:pPr>
    <w:rPr>
      <w:lang w:val="en-GB"/>
    </w:rPr>
  </w:style>
  <w:style w:type="paragraph" w:customStyle="1" w:styleId="NormalHeading1">
    <w:name w:val="Normal Heading 1"/>
    <w:basedOn w:val="Normal"/>
    <w:next w:val="Normal"/>
    <w:rsid w:val="00726885"/>
    <w:rPr>
      <w:lang w:val="en-GB"/>
    </w:rPr>
  </w:style>
  <w:style w:type="paragraph" w:customStyle="1" w:styleId="NormalHeading1rightalign">
    <w:name w:val="Normal Heading 1 right align"/>
    <w:basedOn w:val="Normal"/>
    <w:next w:val="Normal"/>
    <w:rsid w:val="00726885"/>
    <w:rPr>
      <w:lang w:val="en-GB"/>
    </w:rPr>
  </w:style>
  <w:style w:type="paragraph" w:customStyle="1" w:styleId="Normalindent1">
    <w:name w:val="Normal indent 1"/>
    <w:basedOn w:val="Normal"/>
    <w:rsid w:val="00726885"/>
    <w:rPr>
      <w:lang w:val="en-GB"/>
    </w:rPr>
  </w:style>
  <w:style w:type="paragraph" w:customStyle="1" w:styleId="Normalindent2">
    <w:name w:val="Normal indent 2"/>
    <w:basedOn w:val="Normal"/>
    <w:rsid w:val="00726885"/>
    <w:rPr>
      <w:lang w:val="en-GB"/>
    </w:rPr>
  </w:style>
  <w:style w:type="paragraph" w:customStyle="1" w:styleId="Normalnextpage">
    <w:name w:val="Normal next page"/>
    <w:basedOn w:val="Normal"/>
    <w:rsid w:val="00726885"/>
    <w:rPr>
      <w:lang w:val="en-GB"/>
    </w:rPr>
  </w:style>
  <w:style w:type="paragraph" w:customStyle="1" w:styleId="Normalnotjustified">
    <w:name w:val="Normal not justified"/>
    <w:basedOn w:val="Normal"/>
    <w:rsid w:val="00726885"/>
    <w:rPr>
      <w:lang w:val="en-GB"/>
    </w:rPr>
  </w:style>
  <w:style w:type="paragraph" w:customStyle="1" w:styleId="Normalrightaligned">
    <w:name w:val="Normal right aligned"/>
    <w:basedOn w:val="Normal"/>
    <w:rsid w:val="006E55E5"/>
    <w:pPr>
      <w:spacing w:line="240" w:lineRule="auto"/>
      <w:jc w:val="right"/>
    </w:pPr>
    <w:rPr>
      <w:lang w:val="en-GB"/>
    </w:rPr>
  </w:style>
  <w:style w:type="paragraph" w:customStyle="1" w:styleId="NormalSpancolumns">
    <w:name w:val="Normal Span columns"/>
    <w:basedOn w:val="Normal"/>
    <w:rsid w:val="00726885"/>
    <w:rPr>
      <w:lang w:val="en-GB"/>
    </w:rPr>
  </w:style>
  <w:style w:type="paragraph" w:customStyle="1" w:styleId="Otherlisttitle">
    <w:name w:val="Other list title"/>
    <w:basedOn w:val="Normal"/>
    <w:next w:val="Normal"/>
    <w:rsid w:val="00726885"/>
    <w:rPr>
      <w:lang w:val="en-GB"/>
    </w:rPr>
  </w:style>
  <w:style w:type="paragraph" w:customStyle="1" w:styleId="Partnershiptitleandlogo">
    <w:name w:val="Partnership title and logo"/>
    <w:basedOn w:val="Normal"/>
    <w:rsid w:val="00726885"/>
    <w:rPr>
      <w:lang w:val="en-GB"/>
    </w:rPr>
  </w:style>
  <w:style w:type="paragraph" w:customStyle="1" w:styleId="Sourcetext">
    <w:name w:val="Source text"/>
    <w:basedOn w:val="Normal"/>
    <w:rsid w:val="006F1E99"/>
    <w:pPr>
      <w:spacing w:before="80"/>
    </w:pPr>
    <w:rPr>
      <w:sz w:val="18"/>
      <w:lang w:val="en-GB"/>
    </w:rPr>
  </w:style>
  <w:style w:type="paragraph" w:customStyle="1" w:styleId="Span2columns10pt">
    <w:name w:val="Span 2 columns 10pt"/>
    <w:basedOn w:val="Normal"/>
    <w:rsid w:val="00726885"/>
    <w:rPr>
      <w:lang w:val="en-GB"/>
    </w:rPr>
  </w:style>
  <w:style w:type="paragraph" w:customStyle="1" w:styleId="Subtitlereport">
    <w:name w:val="Subtitle report"/>
    <w:basedOn w:val="Normal"/>
    <w:rsid w:val="00726885"/>
    <w:rPr>
      <w:lang w:val="en-GB"/>
    </w:rPr>
  </w:style>
  <w:style w:type="paragraph" w:customStyle="1" w:styleId="Tablebullet">
    <w:name w:val="Table bullet"/>
    <w:basedOn w:val="Normal"/>
    <w:rsid w:val="00726885"/>
    <w:rPr>
      <w:lang w:val="en-GB"/>
    </w:rPr>
  </w:style>
  <w:style w:type="paragraph" w:customStyle="1" w:styleId="Tablebullet2">
    <w:name w:val="Table bullet 2"/>
    <w:basedOn w:val="Normal"/>
    <w:rsid w:val="00726885"/>
    <w:rPr>
      <w:lang w:val="en-GB"/>
    </w:rPr>
  </w:style>
  <w:style w:type="paragraph" w:customStyle="1" w:styleId="Tablebullet3">
    <w:name w:val="Table bullet 3"/>
    <w:basedOn w:val="Normal"/>
    <w:rsid w:val="00726885"/>
    <w:rPr>
      <w:lang w:val="en-GB"/>
    </w:rPr>
  </w:style>
  <w:style w:type="paragraph" w:customStyle="1" w:styleId="Tablebullet6pt">
    <w:name w:val="Table bullet 6pt"/>
    <w:basedOn w:val="Normal"/>
    <w:rsid w:val="00726885"/>
    <w:rPr>
      <w:lang w:val="en-GB"/>
    </w:rPr>
  </w:style>
  <w:style w:type="paragraph" w:customStyle="1" w:styleId="Tablebulletsmall">
    <w:name w:val="Table bullet small"/>
    <w:basedOn w:val="Normal"/>
    <w:rsid w:val="00726885"/>
    <w:rPr>
      <w:lang w:val="en-GB"/>
    </w:rPr>
  </w:style>
  <w:style w:type="paragraph" w:customStyle="1" w:styleId="Tablehead0">
    <w:name w:val="Table head"/>
    <w:basedOn w:val="Normal"/>
    <w:rsid w:val="00726885"/>
    <w:rPr>
      <w:lang w:val="en-GB"/>
    </w:rPr>
  </w:style>
  <w:style w:type="paragraph" w:customStyle="1" w:styleId="Tablehead7ptwhitecentred">
    <w:name w:val="Table head 7pt white centred"/>
    <w:basedOn w:val="Normal"/>
    <w:rsid w:val="00726885"/>
    <w:rPr>
      <w:lang w:val="en-GB"/>
    </w:rPr>
  </w:style>
  <w:style w:type="paragraph" w:customStyle="1" w:styleId="Tableheadcentred">
    <w:name w:val="Table head centred"/>
    <w:basedOn w:val="Normal"/>
    <w:rsid w:val="00726885"/>
    <w:rPr>
      <w:lang w:val="en-GB"/>
    </w:rPr>
  </w:style>
  <w:style w:type="paragraph" w:customStyle="1" w:styleId="Tableheadright">
    <w:name w:val="Table head right"/>
    <w:basedOn w:val="Normal"/>
    <w:rsid w:val="00726885"/>
    <w:rPr>
      <w:lang w:val="en-GB"/>
    </w:rPr>
  </w:style>
  <w:style w:type="paragraph" w:customStyle="1" w:styleId="Tableheadsmall">
    <w:name w:val="Table head small"/>
    <w:basedOn w:val="Normal"/>
    <w:rsid w:val="00726885"/>
    <w:rPr>
      <w:lang w:val="en-GB"/>
    </w:rPr>
  </w:style>
  <w:style w:type="paragraph" w:customStyle="1" w:styleId="Tableheadsmallwhite">
    <w:name w:val="Table head small white"/>
    <w:basedOn w:val="Normal"/>
    <w:rsid w:val="00726885"/>
    <w:rPr>
      <w:lang w:val="en-GB"/>
    </w:rPr>
  </w:style>
  <w:style w:type="paragraph" w:customStyle="1" w:styleId="Tableheadsmallwhitecentred">
    <w:name w:val="Table head small white centred"/>
    <w:basedOn w:val="Normal"/>
    <w:rsid w:val="00726885"/>
    <w:rPr>
      <w:lang w:val="en-GB"/>
    </w:rPr>
  </w:style>
  <w:style w:type="paragraph" w:customStyle="1" w:styleId="Tableheadwhite">
    <w:name w:val="Table head white"/>
    <w:basedOn w:val="Normal"/>
    <w:rsid w:val="005963AD"/>
    <w:rPr>
      <w:b/>
      <w:color w:val="4F81BD" w:themeColor="accent1"/>
      <w:lang w:val="en-GB"/>
    </w:rPr>
  </w:style>
  <w:style w:type="paragraph" w:customStyle="1" w:styleId="Tableheadwhitecentred">
    <w:name w:val="Table head white centred"/>
    <w:basedOn w:val="Normal"/>
    <w:rsid w:val="00B62576"/>
    <w:pPr>
      <w:jc w:val="center"/>
    </w:pPr>
    <w:rPr>
      <w:b/>
      <w:color w:val="404040" w:themeColor="text1" w:themeTint="BF"/>
      <w:lang w:val="en-GB"/>
    </w:rPr>
  </w:style>
  <w:style w:type="paragraph" w:customStyle="1" w:styleId="Tableheadwhitecentred6pt">
    <w:name w:val="Table head white centred 6pt"/>
    <w:basedOn w:val="Normal"/>
    <w:rsid w:val="00726885"/>
    <w:rPr>
      <w:lang w:val="en-GB"/>
    </w:rPr>
  </w:style>
  <w:style w:type="paragraph" w:customStyle="1" w:styleId="Tableheadwhiteright">
    <w:name w:val="Table head white right"/>
    <w:basedOn w:val="Normal"/>
    <w:rsid w:val="00726885"/>
    <w:rPr>
      <w:lang w:val="en-GB"/>
    </w:rPr>
  </w:style>
  <w:style w:type="paragraph" w:customStyle="1" w:styleId="Tabletext0">
    <w:name w:val="Table text"/>
    <w:basedOn w:val="Normal"/>
    <w:rsid w:val="0012432B"/>
    <w:pPr>
      <w:spacing w:before="0" w:line="240" w:lineRule="auto"/>
    </w:pPr>
    <w:rPr>
      <w:sz w:val="20"/>
      <w:lang w:val="en-GB"/>
    </w:rPr>
  </w:style>
  <w:style w:type="paragraph" w:customStyle="1" w:styleId="Tabletext6pt">
    <w:name w:val="Table text 6pt"/>
    <w:basedOn w:val="Normal"/>
    <w:rsid w:val="00726885"/>
    <w:rPr>
      <w:lang w:val="en-GB"/>
    </w:rPr>
  </w:style>
  <w:style w:type="paragraph" w:customStyle="1" w:styleId="Tabletext7pt">
    <w:name w:val="Table text 7pt"/>
    <w:basedOn w:val="Normal"/>
    <w:rsid w:val="00726885"/>
    <w:rPr>
      <w:lang w:val="en-GB"/>
    </w:rPr>
  </w:style>
  <w:style w:type="paragraph" w:customStyle="1" w:styleId="Tabletext8pt">
    <w:name w:val="Table text 8pt"/>
    <w:basedOn w:val="Normal"/>
    <w:rsid w:val="00726885"/>
    <w:rPr>
      <w:lang w:val="en-GB"/>
    </w:rPr>
  </w:style>
  <w:style w:type="paragraph" w:customStyle="1" w:styleId="Tabletextblue-light-shade">
    <w:name w:val="Table text blue-light-shade"/>
    <w:basedOn w:val="Normal"/>
    <w:rsid w:val="00726885"/>
    <w:rPr>
      <w:lang w:val="en-GB"/>
    </w:rPr>
  </w:style>
  <w:style w:type="paragraph" w:customStyle="1" w:styleId="Tabletextblue-shade">
    <w:name w:val="Table text blue-shade"/>
    <w:basedOn w:val="Normal"/>
    <w:rsid w:val="00726885"/>
    <w:rPr>
      <w:lang w:val="en-GB"/>
    </w:rPr>
  </w:style>
  <w:style w:type="paragraph" w:customStyle="1" w:styleId="Tabletextcentred">
    <w:name w:val="Table text centred"/>
    <w:basedOn w:val="Normal"/>
    <w:rsid w:val="00726885"/>
    <w:rPr>
      <w:lang w:val="en-GB"/>
    </w:rPr>
  </w:style>
  <w:style w:type="paragraph" w:customStyle="1" w:styleId="Tabletextcentredshade">
    <w:name w:val="Table text centred shade"/>
    <w:basedOn w:val="Normal"/>
    <w:rsid w:val="00726885"/>
    <w:rPr>
      <w:lang w:val="en-GB"/>
    </w:rPr>
  </w:style>
  <w:style w:type="paragraph" w:customStyle="1" w:styleId="Tabletextgray-shade">
    <w:name w:val="Table text gray-shade"/>
    <w:basedOn w:val="Normal"/>
    <w:rsid w:val="00726885"/>
    <w:rPr>
      <w:lang w:val="en-GB"/>
    </w:rPr>
  </w:style>
  <w:style w:type="paragraph" w:customStyle="1" w:styleId="Tabletextgreen-shade">
    <w:name w:val="Table text green-shade"/>
    <w:basedOn w:val="Normal"/>
    <w:rsid w:val="00726885"/>
    <w:rPr>
      <w:lang w:val="en-GB"/>
    </w:rPr>
  </w:style>
  <w:style w:type="paragraph" w:customStyle="1" w:styleId="Tabletextorange-shade">
    <w:name w:val="Table text orange-shade"/>
    <w:basedOn w:val="Normal"/>
    <w:rsid w:val="00726885"/>
    <w:rPr>
      <w:lang w:val="en-GB"/>
    </w:rPr>
  </w:style>
  <w:style w:type="paragraph" w:customStyle="1" w:styleId="Tabletextred-light-shade">
    <w:name w:val="Table text red-light-shade"/>
    <w:basedOn w:val="Normal"/>
    <w:rsid w:val="00726885"/>
    <w:rPr>
      <w:lang w:val="en-GB"/>
    </w:rPr>
  </w:style>
  <w:style w:type="paragraph" w:customStyle="1" w:styleId="Tabletextred-shade">
    <w:name w:val="Table text red-shade"/>
    <w:basedOn w:val="Normal"/>
    <w:rsid w:val="00726885"/>
    <w:rPr>
      <w:lang w:val="en-GB"/>
    </w:rPr>
  </w:style>
  <w:style w:type="paragraph" w:customStyle="1" w:styleId="Tabletextrightaligned">
    <w:name w:val="Table text right aligned"/>
    <w:basedOn w:val="Normal"/>
    <w:rsid w:val="00726885"/>
    <w:rPr>
      <w:lang w:val="en-GB"/>
    </w:rPr>
  </w:style>
  <w:style w:type="paragraph" w:customStyle="1" w:styleId="Tabletextrightalignedshade">
    <w:name w:val="Table text right aligned shade"/>
    <w:basedOn w:val="Normal"/>
    <w:rsid w:val="00726885"/>
    <w:rPr>
      <w:lang w:val="en-GB"/>
    </w:rPr>
  </w:style>
  <w:style w:type="paragraph" w:customStyle="1" w:styleId="Tabletextshade">
    <w:name w:val="Table text shade"/>
    <w:basedOn w:val="Normal"/>
    <w:rsid w:val="00726885"/>
    <w:rPr>
      <w:lang w:val="en-GB"/>
    </w:rPr>
  </w:style>
  <w:style w:type="paragraph" w:customStyle="1" w:styleId="Tabletextsmall">
    <w:name w:val="Table text small"/>
    <w:basedOn w:val="Normal"/>
    <w:rsid w:val="005365A0"/>
    <w:pPr>
      <w:spacing w:before="0"/>
    </w:pPr>
    <w:rPr>
      <w:sz w:val="18"/>
      <w:lang w:val="en-GB"/>
    </w:rPr>
  </w:style>
  <w:style w:type="paragraph" w:customStyle="1" w:styleId="Tabletextsmallbullet">
    <w:name w:val="Table text small bullet"/>
    <w:basedOn w:val="Normal"/>
    <w:rsid w:val="0078499C"/>
    <w:pPr>
      <w:tabs>
        <w:tab w:val="left" w:pos="284"/>
      </w:tabs>
      <w:spacing w:before="0"/>
      <w:ind w:left="284" w:hanging="284"/>
    </w:pPr>
    <w:rPr>
      <w:sz w:val="20"/>
      <w:lang w:val="en-GB"/>
    </w:rPr>
  </w:style>
  <w:style w:type="paragraph" w:customStyle="1" w:styleId="Tabletextsmallcentred">
    <w:name w:val="Table text small centred"/>
    <w:basedOn w:val="Normal"/>
    <w:rsid w:val="00726885"/>
    <w:rPr>
      <w:lang w:val="en-GB"/>
    </w:rPr>
  </w:style>
  <w:style w:type="paragraph" w:customStyle="1" w:styleId="Tabletextsmallrightaligned">
    <w:name w:val="Table text small right aligned"/>
    <w:basedOn w:val="Normal"/>
    <w:rsid w:val="00726885"/>
    <w:rPr>
      <w:lang w:val="en-GB"/>
    </w:rPr>
  </w:style>
  <w:style w:type="paragraph" w:customStyle="1" w:styleId="Tabletextyellow-light-shade">
    <w:name w:val="Table text yellow-light-shade"/>
    <w:basedOn w:val="Normal"/>
    <w:rsid w:val="00726885"/>
    <w:rPr>
      <w:lang w:val="en-GB"/>
    </w:rPr>
  </w:style>
  <w:style w:type="paragraph" w:customStyle="1" w:styleId="Tabletextyellow-shade">
    <w:name w:val="Table text yellow-shade"/>
    <w:basedOn w:val="Normal"/>
    <w:rsid w:val="00726885"/>
    <w:rPr>
      <w:lang w:val="en-GB"/>
    </w:rPr>
  </w:style>
  <w:style w:type="paragraph" w:customStyle="1" w:styleId="Tabletitle0">
    <w:name w:val="Table title"/>
    <w:basedOn w:val="Normal"/>
    <w:next w:val="Normal"/>
    <w:rsid w:val="00726885"/>
    <w:rPr>
      <w:lang w:val="en-GB"/>
    </w:rPr>
  </w:style>
  <w:style w:type="paragraph" w:customStyle="1" w:styleId="Tabletitlenextpage">
    <w:name w:val="Table title next page"/>
    <w:basedOn w:val="Normal"/>
    <w:next w:val="Normal"/>
    <w:rsid w:val="00726885"/>
    <w:rPr>
      <w:lang w:val="en-GB"/>
    </w:rPr>
  </w:style>
  <w:style w:type="paragraph" w:customStyle="1" w:styleId="Tabletitlesmall">
    <w:name w:val="Table title small"/>
    <w:basedOn w:val="Normal"/>
    <w:next w:val="Normal"/>
    <w:rsid w:val="00726885"/>
    <w:rPr>
      <w:lang w:val="en-GB"/>
    </w:rPr>
  </w:style>
  <w:style w:type="paragraph" w:customStyle="1" w:styleId="Titlereport">
    <w:name w:val="Title report"/>
    <w:basedOn w:val="Normal"/>
    <w:rsid w:val="00726885"/>
    <w:rPr>
      <w:lang w:val="en-GB"/>
    </w:rPr>
  </w:style>
  <w:style w:type="paragraph" w:customStyle="1" w:styleId="Titlereportdate">
    <w:name w:val="Title report date"/>
    <w:basedOn w:val="Normal"/>
    <w:rsid w:val="00726885"/>
    <w:rPr>
      <w:lang w:val="en-GB"/>
    </w:rPr>
  </w:style>
  <w:style w:type="paragraph" w:customStyle="1" w:styleId="TOClistoffigures">
    <w:name w:val="TOC list of figures"/>
    <w:basedOn w:val="Normal"/>
    <w:next w:val="Normal"/>
    <w:rsid w:val="00726885"/>
    <w:rPr>
      <w:lang w:val="en-GB"/>
    </w:rPr>
  </w:style>
  <w:style w:type="paragraph" w:customStyle="1" w:styleId="AnnexNoTitlecolor">
    <w:name w:val="Annex_No_Titlecolor"/>
    <w:basedOn w:val="Normal"/>
    <w:next w:val="Normal"/>
    <w:uiPriority w:val="1"/>
    <w:rsid w:val="00726885"/>
    <w:rPr>
      <w:lang w:val="en-GB"/>
    </w:rPr>
  </w:style>
  <w:style w:type="paragraph" w:customStyle="1" w:styleId="DecNo">
    <w:name w:val="Dec_No"/>
    <w:basedOn w:val="Normal"/>
    <w:next w:val="Normal"/>
    <w:rsid w:val="00726885"/>
    <w:rPr>
      <w:lang w:val="en-GB"/>
    </w:rPr>
  </w:style>
  <w:style w:type="paragraph" w:customStyle="1" w:styleId="Dectitle">
    <w:name w:val="Dec_title"/>
    <w:basedOn w:val="Normal"/>
    <w:next w:val="Normal"/>
    <w:rsid w:val="00726885"/>
    <w:rPr>
      <w:lang w:val="en-GB"/>
    </w:rPr>
  </w:style>
  <w:style w:type="paragraph" w:customStyle="1" w:styleId="FootnoteTextjustified">
    <w:name w:val="Footnote Text justified"/>
    <w:basedOn w:val="Normal"/>
    <w:rsid w:val="00726885"/>
    <w:rPr>
      <w:lang w:val="en-GB"/>
    </w:rPr>
  </w:style>
  <w:style w:type="paragraph" w:customStyle="1" w:styleId="Headingbcolor">
    <w:name w:val="Heading_bcolor"/>
    <w:basedOn w:val="Normal"/>
    <w:rsid w:val="00726885"/>
    <w:rPr>
      <w:lang w:val="en-GB"/>
    </w:rPr>
  </w:style>
  <w:style w:type="paragraph" w:customStyle="1" w:styleId="Normalhalfspaceafter">
    <w:name w:val="Normal half space after"/>
    <w:basedOn w:val="Normal"/>
    <w:rsid w:val="00726885"/>
    <w:rPr>
      <w:lang w:val="en-GB"/>
    </w:rPr>
  </w:style>
  <w:style w:type="paragraph" w:customStyle="1" w:styleId="NormalHeading1centred">
    <w:name w:val="Normal Heading 1 centred"/>
    <w:basedOn w:val="Normal"/>
    <w:next w:val="Normal"/>
    <w:rsid w:val="00726885"/>
    <w:rPr>
      <w:lang w:val="en-GB"/>
    </w:rPr>
  </w:style>
  <w:style w:type="paragraph" w:customStyle="1" w:styleId="Objectivetitle">
    <w:name w:val="Objective_title"/>
    <w:basedOn w:val="Normal"/>
    <w:next w:val="Normal"/>
    <w:rsid w:val="00726885"/>
    <w:rPr>
      <w:lang w:val="en-GB"/>
    </w:rPr>
  </w:style>
  <w:style w:type="paragraph" w:customStyle="1" w:styleId="PARTNoTitlecolor">
    <w:name w:val="PART_No_Titlecolor"/>
    <w:basedOn w:val="Normal"/>
    <w:next w:val="Normal"/>
    <w:rsid w:val="00726885"/>
    <w:rPr>
      <w:lang w:val="en-GB"/>
    </w:rPr>
  </w:style>
  <w:style w:type="paragraph" w:customStyle="1" w:styleId="Publishersnotetitle">
    <w:name w:val="Publishers note title"/>
    <w:basedOn w:val="Normal"/>
    <w:rsid w:val="00726885"/>
    <w:rPr>
      <w:lang w:val="en-GB"/>
    </w:rPr>
  </w:style>
  <w:style w:type="paragraph" w:customStyle="1" w:styleId="Sectiontitlecolor">
    <w:name w:val="Section_titlecolor"/>
    <w:basedOn w:val="ChapNo"/>
    <w:next w:val="Normal"/>
    <w:rsid w:val="005E731C"/>
    <w:rPr>
      <w:lang w:val="en-GB"/>
    </w:rPr>
  </w:style>
  <w:style w:type="paragraph" w:customStyle="1" w:styleId="Seriesname">
    <w:name w:val="Series name"/>
    <w:basedOn w:val="Normal"/>
    <w:rsid w:val="00726885"/>
    <w:rPr>
      <w:lang w:val="en-GB"/>
    </w:rPr>
  </w:style>
  <w:style w:type="paragraph" w:customStyle="1" w:styleId="Signpart">
    <w:name w:val="Sign part"/>
    <w:basedOn w:val="Normal"/>
    <w:rsid w:val="00726885"/>
    <w:rPr>
      <w:lang w:val="en-GB"/>
    </w:rPr>
  </w:style>
  <w:style w:type="paragraph" w:customStyle="1" w:styleId="Signcountry">
    <w:name w:val="Sign_country"/>
    <w:basedOn w:val="Normal"/>
    <w:rsid w:val="00726885"/>
    <w:rPr>
      <w:lang w:val="en-GB"/>
    </w:rPr>
  </w:style>
  <w:style w:type="paragraph" w:customStyle="1" w:styleId="Tableheadsmallrightalignwhite">
    <w:name w:val="Table head small right align white"/>
    <w:basedOn w:val="Normal"/>
    <w:rsid w:val="00726885"/>
    <w:rPr>
      <w:lang w:val="en-GB"/>
    </w:rPr>
  </w:style>
  <w:style w:type="paragraph" w:customStyle="1" w:styleId="Tabletextcentredred-shade">
    <w:name w:val="Table text centred red-shade"/>
    <w:basedOn w:val="Normal"/>
    <w:rsid w:val="00726885"/>
    <w:rPr>
      <w:lang w:val="en-GB"/>
    </w:rPr>
  </w:style>
  <w:style w:type="paragraph" w:customStyle="1" w:styleId="Tabletextcentredblue-shade">
    <w:name w:val="Table text centred blue-shade"/>
    <w:basedOn w:val="Normal"/>
    <w:rsid w:val="00726885"/>
    <w:rPr>
      <w:lang w:val="en-GB"/>
    </w:rPr>
  </w:style>
  <w:style w:type="character" w:customStyle="1" w:styleId="75pt">
    <w:name w:val="7.5pt"/>
    <w:rsid w:val="00726885"/>
    <w:rPr>
      <w:lang w:val="fr-FR"/>
    </w:rPr>
  </w:style>
  <w:style w:type="character" w:customStyle="1" w:styleId="8pt">
    <w:name w:val="8pt"/>
    <w:rsid w:val="00726885"/>
    <w:rPr>
      <w:lang w:val="fr-FR"/>
    </w:rPr>
  </w:style>
  <w:style w:type="character" w:customStyle="1" w:styleId="16pt">
    <w:name w:val="16pt"/>
    <w:rsid w:val="00726885"/>
    <w:rPr>
      <w:lang w:val="fr-FR"/>
    </w:rPr>
  </w:style>
  <w:style w:type="character" w:customStyle="1" w:styleId="Arabic">
    <w:name w:val="Arabic"/>
    <w:rsid w:val="00726885"/>
    <w:rPr>
      <w:lang w:val="fr-FR"/>
    </w:rPr>
  </w:style>
  <w:style w:type="character" w:customStyle="1" w:styleId="Blue">
    <w:name w:val="Blue"/>
    <w:rsid w:val="00726885"/>
    <w:rPr>
      <w:lang w:val="fr-FR"/>
    </w:rPr>
  </w:style>
  <w:style w:type="character" w:customStyle="1" w:styleId="Bold">
    <w:name w:val="Bold"/>
    <w:rsid w:val="00726885"/>
    <w:rPr>
      <w:lang w:val="fr-FR"/>
    </w:rPr>
  </w:style>
  <w:style w:type="character" w:customStyle="1" w:styleId="Bolditalic">
    <w:name w:val="Bold italic"/>
    <w:rsid w:val="00A10525"/>
    <w:rPr>
      <w:b/>
      <w:i/>
      <w:lang w:val="fr-FR"/>
    </w:rPr>
  </w:style>
  <w:style w:type="character" w:customStyle="1" w:styleId="Boldunderline">
    <w:name w:val="Bold underline"/>
    <w:rsid w:val="00726885"/>
    <w:rPr>
      <w:lang w:val="fr-FR"/>
    </w:rPr>
  </w:style>
  <w:style w:type="character" w:customStyle="1" w:styleId="Underline">
    <w:name w:val="Underline"/>
    <w:rsid w:val="00726885"/>
    <w:rPr>
      <w:lang w:val="fr-FR"/>
    </w:rPr>
  </w:style>
  <w:style w:type="character" w:customStyle="1" w:styleId="Calibri">
    <w:name w:val="Calibri"/>
    <w:rsid w:val="00726885"/>
    <w:rPr>
      <w:lang w:val="fr-FR"/>
    </w:rPr>
  </w:style>
  <w:style w:type="character" w:customStyle="1" w:styleId="Chinese">
    <w:name w:val="Chinese"/>
    <w:rsid w:val="00726885"/>
    <w:rPr>
      <w:lang w:val="fr-FR"/>
    </w:rPr>
  </w:style>
  <w:style w:type="character" w:customStyle="1" w:styleId="Colored-Normal">
    <w:name w:val="Colored - Normal"/>
    <w:rsid w:val="00726885"/>
    <w:rPr>
      <w:lang w:val="fr-FR"/>
    </w:rPr>
  </w:style>
  <w:style w:type="character" w:customStyle="1" w:styleId="Coloredbold">
    <w:name w:val="Colored bold"/>
    <w:rsid w:val="00726885"/>
    <w:rPr>
      <w:lang w:val="fr-FR"/>
    </w:rPr>
  </w:style>
  <w:style w:type="character" w:customStyle="1" w:styleId="Coloredbolditalic">
    <w:name w:val="Colored bold italic"/>
    <w:rsid w:val="00726885"/>
    <w:rPr>
      <w:lang w:val="fr-FR"/>
    </w:rPr>
  </w:style>
  <w:style w:type="character" w:customStyle="1" w:styleId="Coloreditalic">
    <w:name w:val="Colored italic"/>
    <w:rsid w:val="00726885"/>
    <w:rPr>
      <w:lang w:val="fr-FR"/>
    </w:rPr>
  </w:style>
  <w:style w:type="character" w:customStyle="1" w:styleId="Endnotetextno">
    <w:name w:val="Endnote text no"/>
    <w:rsid w:val="00726885"/>
    <w:rPr>
      <w:lang w:val="fr-FR"/>
    </w:rPr>
  </w:style>
  <w:style w:type="character" w:customStyle="1" w:styleId="Footnotetextno">
    <w:name w:val="Footnote text no"/>
    <w:rsid w:val="00726885"/>
    <w:rPr>
      <w:lang w:val="fr-FR"/>
    </w:rPr>
  </w:style>
  <w:style w:type="character" w:customStyle="1" w:styleId="Green">
    <w:name w:val="Green"/>
    <w:rsid w:val="00E52818"/>
    <w:rPr>
      <w:color w:val="76923C" w:themeColor="accent3" w:themeShade="BF"/>
      <w:lang w:val="fr-FR"/>
    </w:rPr>
  </w:style>
  <w:style w:type="character" w:customStyle="1" w:styleId="Calibrihyperlink">
    <w:name w:val="Calibri hyperlink"/>
    <w:rsid w:val="00726885"/>
    <w:rPr>
      <w:lang w:val="fr-FR"/>
    </w:rPr>
  </w:style>
  <w:style w:type="character" w:customStyle="1" w:styleId="Italic0">
    <w:name w:val="Italic"/>
    <w:rsid w:val="00805B55"/>
    <w:rPr>
      <w:i/>
      <w:lang w:val="fr-FR"/>
    </w:rPr>
  </w:style>
  <w:style w:type="character" w:customStyle="1" w:styleId="ITUBlue">
    <w:name w:val="ITU Blue"/>
    <w:rsid w:val="00726885"/>
    <w:rPr>
      <w:lang w:val="fr-FR"/>
    </w:rPr>
  </w:style>
  <w:style w:type="character" w:customStyle="1" w:styleId="MSGothic">
    <w:name w:val="MS Gothic"/>
    <w:rsid w:val="00726885"/>
    <w:rPr>
      <w:lang w:val="fr-FR"/>
    </w:rPr>
  </w:style>
  <w:style w:type="character" w:customStyle="1" w:styleId="Nobreak">
    <w:name w:val="No break"/>
    <w:rsid w:val="00726885"/>
    <w:rPr>
      <w:lang w:val="fr-FR"/>
    </w:rPr>
  </w:style>
  <w:style w:type="character" w:customStyle="1" w:styleId="Purple">
    <w:name w:val="Purple"/>
    <w:rsid w:val="00726885"/>
    <w:rPr>
      <w:lang w:val="fr-FR"/>
    </w:rPr>
  </w:style>
  <w:style w:type="character" w:customStyle="1" w:styleId="Red">
    <w:name w:val="Red"/>
    <w:rsid w:val="00785964"/>
    <w:rPr>
      <w:color w:val="FF0000"/>
      <w:lang w:val="fr-FR"/>
    </w:rPr>
  </w:style>
  <w:style w:type="character" w:customStyle="1" w:styleId="Symbol">
    <w:name w:val="Symbol"/>
    <w:rsid w:val="00726885"/>
    <w:rPr>
      <w:lang w:val="fr-FR"/>
    </w:rPr>
  </w:style>
  <w:style w:type="character" w:customStyle="1" w:styleId="Symbolitalic">
    <w:name w:val="Symbol italic"/>
    <w:rsid w:val="00726885"/>
    <w:rPr>
      <w:lang w:val="fr-FR"/>
    </w:rPr>
  </w:style>
  <w:style w:type="character" w:customStyle="1" w:styleId="White">
    <w:name w:val="White"/>
    <w:rsid w:val="00726885"/>
    <w:rPr>
      <w:lang w:val="fr-FR"/>
    </w:rPr>
  </w:style>
  <w:style w:type="character" w:customStyle="1" w:styleId="Wingdings">
    <w:name w:val="Wingdings"/>
    <w:rsid w:val="00726885"/>
    <w:rPr>
      <w:lang w:val="fr-FR"/>
    </w:rPr>
  </w:style>
  <w:style w:type="character" w:customStyle="1" w:styleId="Wingdings2">
    <w:name w:val="Wingdings 2"/>
    <w:rsid w:val="00726885"/>
    <w:rPr>
      <w:lang w:val="fr-FR"/>
    </w:rPr>
  </w:style>
  <w:style w:type="paragraph" w:customStyle="1" w:styleId="TPSSection">
    <w:name w:val="TPS Section"/>
    <w:basedOn w:val="TPSMarkupBase"/>
    <w:next w:val="Normal"/>
    <w:uiPriority w:val="1"/>
    <w:rsid w:val="002E3EE8"/>
    <w:pPr>
      <w:pBdr>
        <w:top w:val="single" w:sz="4" w:space="3" w:color="auto"/>
      </w:pBdr>
      <w:shd w:val="clear" w:color="auto" w:fill="87A982"/>
    </w:pPr>
    <w:rPr>
      <w:b/>
    </w:rPr>
  </w:style>
  <w:style w:type="paragraph" w:customStyle="1" w:styleId="TPSMarkupBase">
    <w:name w:val="TPS Markup Base"/>
    <w:uiPriority w:val="1"/>
    <w:rsid w:val="002E3EE8"/>
    <w:pPr>
      <w:spacing w:line="300" w:lineRule="auto"/>
    </w:pPr>
    <w:rPr>
      <w:rFonts w:ascii="Arial" w:hAnsi="Arial"/>
      <w:color w:val="2F275B"/>
      <w:sz w:val="18"/>
      <w:szCs w:val="24"/>
      <w:lang w:eastAsia="en-US"/>
    </w:rPr>
  </w:style>
  <w:style w:type="paragraph" w:customStyle="1" w:styleId="TPSTOC">
    <w:name w:val="TPS TOC"/>
    <w:basedOn w:val="TPSMarkupBase"/>
    <w:next w:val="Normal"/>
    <w:uiPriority w:val="1"/>
    <w:rsid w:val="0026281C"/>
    <w:pPr>
      <w:pBdr>
        <w:top w:val="single" w:sz="4" w:space="1" w:color="auto"/>
      </w:pBdr>
      <w:shd w:val="clear" w:color="auto" w:fill="92CDDC" w:themeFill="accent5" w:themeFillTint="99"/>
    </w:pPr>
  </w:style>
  <w:style w:type="paragraph" w:customStyle="1" w:styleId="TPSTOCEnd">
    <w:name w:val="TPS TOC End"/>
    <w:basedOn w:val="TPSMarkupBase"/>
    <w:next w:val="Normal"/>
    <w:uiPriority w:val="1"/>
    <w:rsid w:val="0026281C"/>
    <w:pPr>
      <w:pBdr>
        <w:bottom w:val="single" w:sz="4" w:space="1" w:color="auto"/>
      </w:pBdr>
      <w:shd w:val="clear" w:color="auto" w:fill="92CDDC" w:themeFill="accent5" w:themeFillTint="99"/>
    </w:pPr>
  </w:style>
  <w:style w:type="paragraph" w:customStyle="1" w:styleId="TPSTable">
    <w:name w:val="TPS Table"/>
    <w:basedOn w:val="TPSMarkupBase"/>
    <w:next w:val="Normal"/>
    <w:uiPriority w:val="1"/>
    <w:rsid w:val="00A7240D"/>
    <w:pPr>
      <w:pBdr>
        <w:top w:val="single" w:sz="2" w:space="3" w:color="auto"/>
      </w:pBdr>
      <w:shd w:val="clear" w:color="auto" w:fill="C0AB87"/>
    </w:pPr>
    <w:rPr>
      <w:b/>
    </w:rPr>
  </w:style>
  <w:style w:type="paragraph" w:customStyle="1" w:styleId="Normal36pt">
    <w:name w:val="Normal 36pt"/>
    <w:basedOn w:val="Normal"/>
    <w:rsid w:val="006E55E5"/>
    <w:pPr>
      <w:spacing w:line="240" w:lineRule="auto"/>
    </w:pPr>
    <w:rPr>
      <w:rFonts w:ascii="Arial" w:hAnsi="Arial"/>
      <w:b/>
      <w:spacing w:val="40"/>
      <w:sz w:val="72"/>
      <w:lang w:val="en-GB"/>
    </w:rPr>
  </w:style>
  <w:style w:type="paragraph" w:customStyle="1" w:styleId="Normal16pt">
    <w:name w:val="Normal 16pt"/>
    <w:basedOn w:val="Normal"/>
    <w:rsid w:val="00BE5A02"/>
    <w:pPr>
      <w:spacing w:line="240" w:lineRule="auto"/>
      <w:jc w:val="left"/>
    </w:pPr>
    <w:rPr>
      <w:rFonts w:ascii="Arial" w:hAnsi="Arial"/>
      <w:sz w:val="32"/>
      <w:lang w:val="en-GB"/>
    </w:rPr>
  </w:style>
  <w:style w:type="paragraph" w:customStyle="1" w:styleId="TPSElement">
    <w:name w:val="TPS Element"/>
    <w:basedOn w:val="TPSMarkupBase"/>
    <w:next w:val="Normal"/>
    <w:uiPriority w:val="1"/>
    <w:rsid w:val="006E55E5"/>
    <w:pPr>
      <w:pBdr>
        <w:top w:val="single" w:sz="2" w:space="3" w:color="auto"/>
      </w:pBdr>
      <w:shd w:val="clear" w:color="auto" w:fill="C9D5B3"/>
    </w:pPr>
    <w:rPr>
      <w:b/>
    </w:rPr>
  </w:style>
  <w:style w:type="paragraph" w:customStyle="1" w:styleId="TPSElementData">
    <w:name w:val="TPS Element Data"/>
    <w:basedOn w:val="TPSMarkupBase"/>
    <w:next w:val="Normal"/>
    <w:uiPriority w:val="1"/>
    <w:rsid w:val="006E55E5"/>
    <w:pPr>
      <w:shd w:val="clear" w:color="auto" w:fill="C9D5B3"/>
    </w:pPr>
  </w:style>
  <w:style w:type="paragraph" w:customStyle="1" w:styleId="TPSElementEnd">
    <w:name w:val="TPS Element End"/>
    <w:basedOn w:val="TPSMarkupBase"/>
    <w:next w:val="Normal"/>
    <w:uiPriority w:val="1"/>
    <w:rsid w:val="006E55E5"/>
    <w:pPr>
      <w:pBdr>
        <w:bottom w:val="single" w:sz="2" w:space="1" w:color="auto"/>
      </w:pBdr>
      <w:shd w:val="clear" w:color="auto" w:fill="C9D5B3"/>
    </w:pPr>
    <w:rPr>
      <w:b/>
    </w:rPr>
  </w:style>
  <w:style w:type="paragraph" w:customStyle="1" w:styleId="TPSSectionData">
    <w:name w:val="TPS Section Data"/>
    <w:basedOn w:val="TPSMarkupBase"/>
    <w:next w:val="Normal"/>
    <w:uiPriority w:val="1"/>
    <w:rsid w:val="0063546B"/>
    <w:pPr>
      <w:shd w:val="clear" w:color="auto" w:fill="87A982"/>
    </w:pPr>
  </w:style>
  <w:style w:type="paragraph" w:customStyle="1" w:styleId="AnnexNoTitle1">
    <w:name w:val="Annex_No_Title"/>
    <w:basedOn w:val="AnnexNoTitle"/>
    <w:next w:val="Normal"/>
    <w:rsid w:val="00F55448"/>
    <w:rPr>
      <w:lang w:val="en-GB"/>
    </w:rPr>
  </w:style>
  <w:style w:type="paragraph" w:customStyle="1" w:styleId="FigureNoTitle1">
    <w:name w:val="Figure NoTitle"/>
    <w:basedOn w:val="Normal"/>
    <w:next w:val="Normal"/>
    <w:rsid w:val="00F55448"/>
    <w:pPr>
      <w:jc w:val="center"/>
    </w:pPr>
    <w:rPr>
      <w:b/>
      <w:sz w:val="24"/>
      <w:lang w:val="en-GB"/>
    </w:rPr>
  </w:style>
  <w:style w:type="paragraph" w:customStyle="1" w:styleId="TableNoTitle1">
    <w:name w:val="Table NoTitle"/>
    <w:basedOn w:val="Normal"/>
    <w:next w:val="Normal"/>
    <w:rsid w:val="00C96099"/>
    <w:pPr>
      <w:jc w:val="center"/>
    </w:pPr>
    <w:rPr>
      <w:b/>
      <w:lang w:val="en-GB"/>
    </w:rPr>
  </w:style>
  <w:style w:type="paragraph" w:customStyle="1" w:styleId="Heading3noindent">
    <w:name w:val="Heading 3 no indent"/>
    <w:basedOn w:val="Normal"/>
    <w:next w:val="Normal"/>
    <w:rsid w:val="0018357F"/>
  </w:style>
  <w:style w:type="character" w:styleId="UnresolvedMention">
    <w:name w:val="Unresolved Mention"/>
    <w:basedOn w:val="DefaultParagraphFont"/>
    <w:uiPriority w:val="99"/>
    <w:semiHidden/>
    <w:unhideWhenUsed/>
    <w:rsid w:val="0012432B"/>
    <w:rPr>
      <w:color w:val="605E5C"/>
      <w:shd w:val="clear" w:color="auto" w:fill="E1DFDD"/>
    </w:rPr>
  </w:style>
  <w:style w:type="numbering" w:customStyle="1" w:styleId="NoList1">
    <w:name w:val="No List1"/>
    <w:next w:val="NoList"/>
    <w:uiPriority w:val="99"/>
    <w:semiHidden/>
    <w:unhideWhenUsed/>
    <w:rsid w:val="0012432B"/>
  </w:style>
  <w:style w:type="character" w:styleId="Hashtag">
    <w:name w:val="Hashtag"/>
    <w:basedOn w:val="DefaultParagraphFont"/>
    <w:uiPriority w:val="99"/>
    <w:semiHidden/>
    <w:unhideWhenUsed/>
    <w:rsid w:val="0012432B"/>
    <w:rPr>
      <w:color w:val="2B579A"/>
      <w:shd w:val="clear" w:color="auto" w:fill="E1DFDD"/>
    </w:rPr>
  </w:style>
  <w:style w:type="character" w:styleId="Mention">
    <w:name w:val="Mention"/>
    <w:basedOn w:val="DefaultParagraphFont"/>
    <w:uiPriority w:val="99"/>
    <w:semiHidden/>
    <w:unhideWhenUsed/>
    <w:rsid w:val="0012432B"/>
    <w:rPr>
      <w:color w:val="2B579A"/>
      <w:shd w:val="clear" w:color="auto" w:fill="E1DFDD"/>
    </w:rPr>
  </w:style>
  <w:style w:type="character" w:styleId="SmartHyperlink">
    <w:name w:val="Smart Hyperlink"/>
    <w:basedOn w:val="DefaultParagraphFont"/>
    <w:uiPriority w:val="99"/>
    <w:semiHidden/>
    <w:unhideWhenUsed/>
    <w:rsid w:val="0012432B"/>
    <w:rPr>
      <w:u w:val="dotted"/>
    </w:rPr>
  </w:style>
  <w:style w:type="character" w:styleId="SmartLink">
    <w:name w:val="Smart Link"/>
    <w:basedOn w:val="DefaultParagraphFont"/>
    <w:uiPriority w:val="99"/>
    <w:semiHidden/>
    <w:unhideWhenUsed/>
    <w:rsid w:val="0012432B"/>
    <w:rPr>
      <w:color w:val="0000FF"/>
      <w:u w:val="single"/>
      <w:shd w:val="clear" w:color="auto" w:fill="F3F2F1"/>
    </w:rPr>
  </w:style>
  <w:style w:type="character" w:customStyle="1" w:styleId="TPSClickField">
    <w:name w:val="TPS Click Field"/>
    <w:uiPriority w:val="1"/>
    <w:rsid w:val="0012432B"/>
    <w:rPr>
      <w:rFonts w:ascii="Arial" w:hAnsi="Arial"/>
      <w:i/>
      <w:noProof w:val="0"/>
      <w:color w:val="0000FF"/>
      <w:sz w:val="18"/>
      <w:szCs w:val="24"/>
      <w:lang w:val="en-AU"/>
    </w:rPr>
  </w:style>
  <w:style w:type="character" w:customStyle="1" w:styleId="Reditalic">
    <w:name w:val="Red italic"/>
    <w:rsid w:val="00B16EF7"/>
    <w:rPr>
      <w:color w:val="FF0000"/>
      <w:lang w:val="fr-FR"/>
    </w:rPr>
  </w:style>
  <w:style w:type="character" w:customStyle="1" w:styleId="Redbolditalic">
    <w:name w:val="Red bold italic"/>
    <w:rsid w:val="00202D49"/>
    <w:rPr>
      <w:b/>
      <w:i/>
      <w:color w:val="FF0000"/>
      <w:lang w:val="fr-FR"/>
    </w:rPr>
  </w:style>
  <w:style w:type="character" w:customStyle="1" w:styleId="Greenbolditalic">
    <w:name w:val="Green bold italic"/>
    <w:rsid w:val="00202D49"/>
    <w:rPr>
      <w:b/>
      <w:i/>
      <w:color w:val="76923C" w:themeColor="accent3" w:themeShade="BF"/>
      <w:lang w:val="fr-FR"/>
    </w:rPr>
  </w:style>
  <w:style w:type="character" w:customStyle="1" w:styleId="Hyperlinkbolditalic">
    <w:name w:val="Hyperlink bold italic"/>
    <w:rsid w:val="00CE6CB8"/>
    <w:rPr>
      <w:b/>
      <w:i/>
      <w:color w:val="0070C0"/>
      <w:lang w:val="fr-FR"/>
    </w:rPr>
  </w:style>
  <w:style w:type="paragraph" w:customStyle="1" w:styleId="TOCTitle">
    <w:name w:val="TOC Title"/>
    <w:basedOn w:val="Normal"/>
    <w:next w:val="Normal"/>
    <w:rsid w:val="00377674"/>
    <w:rPr>
      <w:bCs/>
      <w:lang w:val="en-GB"/>
    </w:rPr>
  </w:style>
  <w:style w:type="paragraph" w:customStyle="1" w:styleId="Chapno0">
    <w:name w:val="Chap_no"/>
    <w:basedOn w:val="Normal"/>
    <w:rsid w:val="006F6B09"/>
    <w:pPr>
      <w:jc w:val="left"/>
    </w:pPr>
  </w:style>
  <w:style w:type="character" w:customStyle="1" w:styleId="TPSTEMP">
    <w:name w:val="%TPS_TEMP%"/>
    <w:basedOn w:val="DefaultParagraphFont"/>
    <w:rsid w:val="005D0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8.xml"/><Relationship Id="rId671" Type="http://schemas.openxmlformats.org/officeDocument/2006/relationships/hyperlink" Target="https://www.itu.int/md/T17-WTSA.20-C-0065/en" TargetMode="External"/><Relationship Id="rId769" Type="http://schemas.openxmlformats.org/officeDocument/2006/relationships/hyperlink" Target="https://www.itu.int/dms_pub/itu-t/md/17/wtsa.20/c/T17-WTSA.20-C-0040!A11!MSW-E.docx" TargetMode="External"/><Relationship Id="rId21" Type="http://schemas.openxmlformats.org/officeDocument/2006/relationships/header" Target="header4.xml"/><Relationship Id="rId324" Type="http://schemas.openxmlformats.org/officeDocument/2006/relationships/footer" Target="footer167.xml"/><Relationship Id="rId531" Type="http://schemas.openxmlformats.org/officeDocument/2006/relationships/hyperlink" Target="https://www.itu.int/md/T17-WTSA.20-220301-TD-GEN-0004" TargetMode="External"/><Relationship Id="rId629" Type="http://schemas.openxmlformats.org/officeDocument/2006/relationships/hyperlink" Target="https://www.itu.int/md/T17-WTSA.20-C-0055" TargetMode="External"/><Relationship Id="rId170" Type="http://schemas.openxmlformats.org/officeDocument/2006/relationships/footer" Target="footer85.xml"/><Relationship Id="rId836" Type="http://schemas.openxmlformats.org/officeDocument/2006/relationships/hyperlink" Target="https://www.itu.int/md/dologin_md.asp?lang=en&amp;id=T17-WTSA.20-C-0036!A13-L1!MSW-E" TargetMode="External"/><Relationship Id="rId268" Type="http://schemas.openxmlformats.org/officeDocument/2006/relationships/footer" Target="footer137.xml"/><Relationship Id="rId475" Type="http://schemas.openxmlformats.org/officeDocument/2006/relationships/hyperlink" Target="http://www.rfc-editor.org/pubprocess.html" TargetMode="External"/><Relationship Id="rId682" Type="http://schemas.openxmlformats.org/officeDocument/2006/relationships/hyperlink" Target="https://www.itu.int/md/T17-WTSA.20-220301-TD-GEN-0082/en" TargetMode="External"/><Relationship Id="rId903" Type="http://schemas.openxmlformats.org/officeDocument/2006/relationships/hyperlink" Target="https://www.itu.int/md/T17-WTSA.20-220301-TD-GEN-0085/en" TargetMode="External"/><Relationship Id="rId32" Type="http://schemas.openxmlformats.org/officeDocument/2006/relationships/footer" Target="footer11.xml"/><Relationship Id="rId128" Type="http://schemas.openxmlformats.org/officeDocument/2006/relationships/footer" Target="footer64.xml"/><Relationship Id="rId335" Type="http://schemas.openxmlformats.org/officeDocument/2006/relationships/header" Target="header147.xml"/><Relationship Id="rId542" Type="http://schemas.openxmlformats.org/officeDocument/2006/relationships/hyperlink" Target="https://www.itu.int/md/T17-WTSA.20-C-0041" TargetMode="External"/><Relationship Id="rId181" Type="http://schemas.openxmlformats.org/officeDocument/2006/relationships/header" Target="header75.xml"/><Relationship Id="rId402" Type="http://schemas.openxmlformats.org/officeDocument/2006/relationships/footer" Target="footer207.xml"/><Relationship Id="rId847" Type="http://schemas.openxmlformats.org/officeDocument/2006/relationships/hyperlink" Target="https://www.itu.int/md/T17-WTSA.20-C-0014/en" TargetMode="External"/><Relationship Id="rId279" Type="http://schemas.openxmlformats.org/officeDocument/2006/relationships/footer" Target="footer144.xml"/><Relationship Id="rId486" Type="http://schemas.openxmlformats.org/officeDocument/2006/relationships/hyperlink" Target="http://itu.int/ITU-T/studygroups/templates/index.html" TargetMode="External"/><Relationship Id="rId693" Type="http://schemas.openxmlformats.org/officeDocument/2006/relationships/hyperlink" Target="https://www.itu.int/md/T17-WTSA.20-C-0069/en" TargetMode="External"/><Relationship Id="rId707" Type="http://schemas.openxmlformats.org/officeDocument/2006/relationships/hyperlink" Target="https://www.itu.int/md/T17-WTSA.20-C-0052/en" TargetMode="External"/><Relationship Id="rId914" Type="http://schemas.openxmlformats.org/officeDocument/2006/relationships/hyperlink" Target="https://www.itu.int/md/T17-WTSA.20-220301-TD-GEN-0082/en" TargetMode="External"/><Relationship Id="rId43" Type="http://schemas.openxmlformats.org/officeDocument/2006/relationships/footer" Target="footer17.xml"/><Relationship Id="rId139" Type="http://schemas.openxmlformats.org/officeDocument/2006/relationships/header" Target="header54.xml"/><Relationship Id="rId346" Type="http://schemas.openxmlformats.org/officeDocument/2006/relationships/footer" Target="footer179.xml"/><Relationship Id="rId553" Type="http://schemas.openxmlformats.org/officeDocument/2006/relationships/hyperlink" Target="https://www.itu.int/md/T17-WTSA.20-C-0001" TargetMode="External"/><Relationship Id="rId760" Type="http://schemas.openxmlformats.org/officeDocument/2006/relationships/hyperlink" Target="https://www.itu.int/md/meetingdoc.asp?lang=en&amp;parent=T17-WTSA.20-C-0085" TargetMode="External"/><Relationship Id="rId192" Type="http://schemas.openxmlformats.org/officeDocument/2006/relationships/footer" Target="footer96.xml"/><Relationship Id="rId206" Type="http://schemas.openxmlformats.org/officeDocument/2006/relationships/footer" Target="footer103.xml"/><Relationship Id="rId413" Type="http://schemas.openxmlformats.org/officeDocument/2006/relationships/oleObject" Target="embeddings/oleObject7.bin"/><Relationship Id="rId858" Type="http://schemas.openxmlformats.org/officeDocument/2006/relationships/hyperlink" Target="https://www.itu.int/md/T17-WTSA.20-C-0018/en" TargetMode="External"/><Relationship Id="rId497" Type="http://schemas.openxmlformats.org/officeDocument/2006/relationships/hyperlink" Target="http://www.itu.int/en/ITU-T/jca/ahf" TargetMode="External"/><Relationship Id="rId620" Type="http://schemas.openxmlformats.org/officeDocument/2006/relationships/hyperlink" Target="https://www.itu.int/md/T17-WTSA.20-C-0018" TargetMode="External"/><Relationship Id="rId718" Type="http://schemas.openxmlformats.org/officeDocument/2006/relationships/hyperlink" Target="https://www.itu.int/dms_pub/itu-t/md/17/wtsa.20/c/T17-WTSA.20-C-0040!A5!MSW-E.docx" TargetMode="External"/><Relationship Id="rId925" Type="http://schemas.openxmlformats.org/officeDocument/2006/relationships/hyperlink" Target="https://www.itu.int/md/meetingdoc.asp?lang=en&amp;parent=T17-WTSA.20-C-0082" TargetMode="External"/><Relationship Id="rId357" Type="http://schemas.openxmlformats.org/officeDocument/2006/relationships/image" Target="media/image7.png"/><Relationship Id="rId54" Type="http://schemas.openxmlformats.org/officeDocument/2006/relationships/header" Target="header16.xml"/><Relationship Id="rId217" Type="http://schemas.openxmlformats.org/officeDocument/2006/relationships/header" Target="header93.xml"/><Relationship Id="rId564" Type="http://schemas.openxmlformats.org/officeDocument/2006/relationships/hyperlink" Target="https://www.itu.int/md/T17-WTSA.20-C-0001" TargetMode="External"/><Relationship Id="rId771" Type="http://schemas.openxmlformats.org/officeDocument/2006/relationships/hyperlink" Target="https://www.itu.int/md/dologin_md.asp?lang=en&amp;id=T17-WTSA.20-C-0038!A25-L1!MSW-E" TargetMode="External"/><Relationship Id="rId869" Type="http://schemas.openxmlformats.org/officeDocument/2006/relationships/hyperlink" Target="https://www.itu.int/md/T17-WTSA.20-C-0018/en" TargetMode="External"/><Relationship Id="rId424" Type="http://schemas.openxmlformats.org/officeDocument/2006/relationships/hyperlink" Target="http://itu.int/rec/T-REC-A" TargetMode="External"/><Relationship Id="rId631" Type="http://schemas.openxmlformats.org/officeDocument/2006/relationships/hyperlink" Target="https://www.itu.int/md/T17-WTSA.20-C-0085" TargetMode="External"/><Relationship Id="rId729" Type="http://schemas.openxmlformats.org/officeDocument/2006/relationships/hyperlink" Target="https://www.itu.int/md/dologin_md.asp?lang=en&amp;id=T17-WTSA.20-C-0039!A24-L1!MSW-E" TargetMode="External"/><Relationship Id="rId270" Type="http://schemas.openxmlformats.org/officeDocument/2006/relationships/header" Target="header116.xml"/><Relationship Id="rId936" Type="http://schemas.openxmlformats.org/officeDocument/2006/relationships/image" Target="media/image26.png"/><Relationship Id="rId65" Type="http://schemas.openxmlformats.org/officeDocument/2006/relationships/header" Target="header21.xml"/><Relationship Id="rId130" Type="http://schemas.openxmlformats.org/officeDocument/2006/relationships/header" Target="header50.xml"/><Relationship Id="rId368" Type="http://schemas.openxmlformats.org/officeDocument/2006/relationships/header" Target="header159.xml"/><Relationship Id="rId575" Type="http://schemas.openxmlformats.org/officeDocument/2006/relationships/hyperlink" Target="https://www.itu.int/md/T17-WTSA.20-C-0019" TargetMode="External"/><Relationship Id="rId782" Type="http://schemas.openxmlformats.org/officeDocument/2006/relationships/hyperlink" Target="https://www.itu.int/md/meetingdoc.asp?lang=en&amp;parent=T17-WTSA.20-C-0092" TargetMode="External"/><Relationship Id="rId228" Type="http://schemas.openxmlformats.org/officeDocument/2006/relationships/footer" Target="footer115.xml"/><Relationship Id="rId435" Type="http://schemas.openxmlformats.org/officeDocument/2006/relationships/customXml" Target="ink/ink1.xml"/><Relationship Id="rId642" Type="http://schemas.openxmlformats.org/officeDocument/2006/relationships/hyperlink" Target="https://www.itu.int/md/T17-WTSA.20-ADM-0033" TargetMode="External"/><Relationship Id="rId281" Type="http://schemas.openxmlformats.org/officeDocument/2006/relationships/footer" Target="footer145.xml"/><Relationship Id="rId502" Type="http://schemas.openxmlformats.org/officeDocument/2006/relationships/hyperlink" Target="http://www.itu.int/ITU-T/go/authors-guide/" TargetMode="External"/><Relationship Id="rId76" Type="http://schemas.openxmlformats.org/officeDocument/2006/relationships/footer" Target="footer34.xml"/><Relationship Id="rId141" Type="http://schemas.openxmlformats.org/officeDocument/2006/relationships/header" Target="header55.xml"/><Relationship Id="rId379" Type="http://schemas.openxmlformats.org/officeDocument/2006/relationships/footer" Target="footer197.xml"/><Relationship Id="rId586" Type="http://schemas.openxmlformats.org/officeDocument/2006/relationships/hyperlink" Target="https://www.itu.int/md/dologin_md.asp?lang=en&amp;id=T17-WTSA.20-C-0035!A33-L1!MSW-E" TargetMode="External"/><Relationship Id="rId793" Type="http://schemas.openxmlformats.org/officeDocument/2006/relationships/hyperlink" Target="https://www.itu.int/md/meetingdoc.asp?lang=en&amp;parent=T17-WTSA.20-C-0067" TargetMode="External"/><Relationship Id="rId807" Type="http://schemas.openxmlformats.org/officeDocument/2006/relationships/hyperlink" Target="https://www.itu.int/md/meetingdoc.asp?lang=en&amp;parent=T17-WTSA.20-C-0087" TargetMode="External"/><Relationship Id="rId7" Type="http://schemas.openxmlformats.org/officeDocument/2006/relationships/endnotes" Target="endnotes.xml"/><Relationship Id="rId239" Type="http://schemas.openxmlformats.org/officeDocument/2006/relationships/header" Target="header103.xml"/><Relationship Id="rId446" Type="http://schemas.openxmlformats.org/officeDocument/2006/relationships/image" Target="media/image22.png"/><Relationship Id="rId653" Type="http://schemas.openxmlformats.org/officeDocument/2006/relationships/hyperlink" Target="https://www.itu.int/md/T17-WTSA.20-C-0104" TargetMode="External"/><Relationship Id="rId292" Type="http://schemas.openxmlformats.org/officeDocument/2006/relationships/footer" Target="footer151.xml"/><Relationship Id="rId306" Type="http://schemas.openxmlformats.org/officeDocument/2006/relationships/footer" Target="footer158.xml"/><Relationship Id="rId860" Type="http://schemas.openxmlformats.org/officeDocument/2006/relationships/hyperlink" Target="https://www.itu.int/md/T17-WTSA.20-C-0022/en" TargetMode="External"/><Relationship Id="rId87" Type="http://schemas.openxmlformats.org/officeDocument/2006/relationships/footer" Target="footer40.xml"/><Relationship Id="rId513" Type="http://schemas.openxmlformats.org/officeDocument/2006/relationships/footer" Target="footer228.xml"/><Relationship Id="rId597" Type="http://schemas.openxmlformats.org/officeDocument/2006/relationships/hyperlink" Target="https://www.itu.int/md/T17-WTSA.20-C-0062" TargetMode="External"/><Relationship Id="rId720" Type="http://schemas.openxmlformats.org/officeDocument/2006/relationships/hyperlink" Target="https://www.itu.int/md/T17-WTSA.20-C-0024" TargetMode="External"/><Relationship Id="rId818" Type="http://schemas.openxmlformats.org/officeDocument/2006/relationships/hyperlink" Target="https://www.itu.int/md/T17-WTSA.20-C-0001/en" TargetMode="External"/><Relationship Id="rId152" Type="http://schemas.openxmlformats.org/officeDocument/2006/relationships/footer" Target="footer76.xml"/><Relationship Id="rId457" Type="http://schemas.openxmlformats.org/officeDocument/2006/relationships/header" Target="header181.xml"/><Relationship Id="rId664" Type="http://schemas.openxmlformats.org/officeDocument/2006/relationships/hyperlink" Target="https://www.itu.int/md/T17-WTSA.20-C-0032/en" TargetMode="External"/><Relationship Id="rId871" Type="http://schemas.openxmlformats.org/officeDocument/2006/relationships/hyperlink" Target="https://www.itu.int/md/T17-WTSA.20-C-0022/en" TargetMode="External"/><Relationship Id="rId14" Type="http://schemas.openxmlformats.org/officeDocument/2006/relationships/header" Target="header2.xml"/><Relationship Id="rId317" Type="http://schemas.openxmlformats.org/officeDocument/2006/relationships/header" Target="header138.xml"/><Relationship Id="rId524" Type="http://schemas.openxmlformats.org/officeDocument/2006/relationships/footer" Target="footer235.xml"/><Relationship Id="rId731" Type="http://schemas.openxmlformats.org/officeDocument/2006/relationships/hyperlink" Target="https://www.itu.int/md/meetingdoc.asp?lang=en&amp;parent=T17-WTSA.20-C-0085" TargetMode="External"/><Relationship Id="rId98" Type="http://schemas.openxmlformats.org/officeDocument/2006/relationships/header" Target="header36.xml"/><Relationship Id="rId163" Type="http://schemas.openxmlformats.org/officeDocument/2006/relationships/header" Target="header66.xml"/><Relationship Id="rId370" Type="http://schemas.openxmlformats.org/officeDocument/2006/relationships/footer" Target="footer192.xml"/><Relationship Id="rId829" Type="http://schemas.openxmlformats.org/officeDocument/2006/relationships/hyperlink" Target="https://www.itu.int/md/T17-WTSA.20-C-0027/en" TargetMode="External"/><Relationship Id="rId230" Type="http://schemas.openxmlformats.org/officeDocument/2006/relationships/header" Target="header99.xml"/><Relationship Id="rId468" Type="http://schemas.openxmlformats.org/officeDocument/2006/relationships/hyperlink" Target="http://datatracker.ietf.org/wg/" TargetMode="External"/><Relationship Id="rId675" Type="http://schemas.openxmlformats.org/officeDocument/2006/relationships/hyperlink" Target="https://www.itu.int/md/T17-WTSA.20-C-0069/en" TargetMode="External"/><Relationship Id="rId882" Type="http://schemas.openxmlformats.org/officeDocument/2006/relationships/hyperlink" Target="https://www.itu.int/md/meetingdoc.asp?lang=en&amp;parent=T17-WTSA.20-C-0075" TargetMode="External"/><Relationship Id="rId25" Type="http://schemas.openxmlformats.org/officeDocument/2006/relationships/footer" Target="footer10.xml"/><Relationship Id="rId328" Type="http://schemas.openxmlformats.org/officeDocument/2006/relationships/header" Target="header143.xml"/><Relationship Id="rId535" Type="http://schemas.openxmlformats.org/officeDocument/2006/relationships/hyperlink" Target="https://www.itu.int/md/T17-WTSA.20-220301-TD-GEN-0001" TargetMode="External"/><Relationship Id="rId742" Type="http://schemas.openxmlformats.org/officeDocument/2006/relationships/hyperlink" Target="https://www.itu.int/md/dologin_md.asp?lang=en&amp;id=T17-WTSA.20-C-0039!A14-L1!MSW-E" TargetMode="External"/><Relationship Id="rId174" Type="http://schemas.openxmlformats.org/officeDocument/2006/relationships/footer" Target="footer87.xml"/><Relationship Id="rId381" Type="http://schemas.openxmlformats.org/officeDocument/2006/relationships/header" Target="header164.xml"/><Relationship Id="rId602" Type="http://schemas.openxmlformats.org/officeDocument/2006/relationships/hyperlink" Target="https://www.itu.int/md/T17-WTSA.20-ADM-0031" TargetMode="External"/><Relationship Id="rId241" Type="http://schemas.openxmlformats.org/officeDocument/2006/relationships/header" Target="header104.xml"/><Relationship Id="rId479" Type="http://schemas.openxmlformats.org/officeDocument/2006/relationships/hyperlink" Target="http://itu.int/ITU-T" TargetMode="External"/><Relationship Id="rId686" Type="http://schemas.openxmlformats.org/officeDocument/2006/relationships/hyperlink" Target="https://www.itu.int/md/T17-WTSA.20-220301-TD-GEN-0085/en" TargetMode="External"/><Relationship Id="rId893" Type="http://schemas.openxmlformats.org/officeDocument/2006/relationships/hyperlink" Target="https://www.itu.int/md/meetingdoc.asp?lang=en&amp;parent=T17-WTSA.20-C-0079" TargetMode="External"/><Relationship Id="rId907" Type="http://schemas.openxmlformats.org/officeDocument/2006/relationships/hyperlink" Target="https://www.itu.int/md/T17-WTSA.20-220301-TD-GEN-0039/en" TargetMode="External"/><Relationship Id="rId36" Type="http://schemas.openxmlformats.org/officeDocument/2006/relationships/header" Target="header7.xml"/><Relationship Id="rId283" Type="http://schemas.openxmlformats.org/officeDocument/2006/relationships/footer" Target="footer146.xml"/><Relationship Id="rId339" Type="http://schemas.openxmlformats.org/officeDocument/2006/relationships/footer" Target="footer175.xml"/><Relationship Id="rId490" Type="http://schemas.openxmlformats.org/officeDocument/2006/relationships/footer" Target="footer223.xml"/><Relationship Id="rId504" Type="http://schemas.openxmlformats.org/officeDocument/2006/relationships/hyperlink" Target="http://www.itu.int/pub/T-RES-T.1-2012" TargetMode="External"/><Relationship Id="rId546" Type="http://schemas.openxmlformats.org/officeDocument/2006/relationships/hyperlink" Target="https://www.itu.int/md/T17-WTSA.20-C-0024" TargetMode="External"/><Relationship Id="rId711" Type="http://schemas.openxmlformats.org/officeDocument/2006/relationships/hyperlink" Target="https://www.itu.int/md/meetingdoc.asp?lang=en&amp;parent=T17-WTSA.20-220301-TD-GEN-0001" TargetMode="External"/><Relationship Id="rId753" Type="http://schemas.openxmlformats.org/officeDocument/2006/relationships/hyperlink" Target="https://www.itu.int/md/meetingdoc.asp?lang=en&amp;parent=T17-WTSA.20-C-0067" TargetMode="External"/><Relationship Id="rId78" Type="http://schemas.openxmlformats.org/officeDocument/2006/relationships/footer" Target="footer35.xml"/><Relationship Id="rId101" Type="http://schemas.openxmlformats.org/officeDocument/2006/relationships/header" Target="header37.xml"/><Relationship Id="rId143" Type="http://schemas.openxmlformats.org/officeDocument/2006/relationships/footer" Target="footer71.xml"/><Relationship Id="rId185" Type="http://schemas.openxmlformats.org/officeDocument/2006/relationships/footer" Target="footer92.xml"/><Relationship Id="rId350" Type="http://schemas.openxmlformats.org/officeDocument/2006/relationships/footer" Target="footer182.xml"/><Relationship Id="rId406" Type="http://schemas.openxmlformats.org/officeDocument/2006/relationships/footer" Target="footer209.xml"/><Relationship Id="rId588" Type="http://schemas.openxmlformats.org/officeDocument/2006/relationships/hyperlink" Target="https://www.itu.int/md/T17-WTSA.20-ADM-0030" TargetMode="External"/><Relationship Id="rId795" Type="http://schemas.openxmlformats.org/officeDocument/2006/relationships/hyperlink" Target="https://www.itu.int/md/meetingdoc.asp?lang=en&amp;parent=T17-WTSA.20-C-0087" TargetMode="External"/><Relationship Id="rId809" Type="http://schemas.openxmlformats.org/officeDocument/2006/relationships/hyperlink" Target="https://www.itu.int/md/meetingdoc.asp?lang=en&amp;parent=T17-WTSA.20-220301-TD-GEN-0004" TargetMode="External"/><Relationship Id="rId9" Type="http://schemas.openxmlformats.org/officeDocument/2006/relationships/footer" Target="footer1.xml"/><Relationship Id="rId210" Type="http://schemas.openxmlformats.org/officeDocument/2006/relationships/footer" Target="footer105.xml"/><Relationship Id="rId392" Type="http://schemas.openxmlformats.org/officeDocument/2006/relationships/oleObject" Target="embeddings/oleObject1.bin"/><Relationship Id="rId448" Type="http://schemas.openxmlformats.org/officeDocument/2006/relationships/header" Target="header177.xml"/><Relationship Id="rId613" Type="http://schemas.openxmlformats.org/officeDocument/2006/relationships/hyperlink" Target="https://www.itu.int/md/T17-WTSA.20-C-0004" TargetMode="External"/><Relationship Id="rId655" Type="http://schemas.openxmlformats.org/officeDocument/2006/relationships/hyperlink" Target="https://www.itu.int/md/T17-WTSA.20-220301-TD-GEN-0001/en" TargetMode="External"/><Relationship Id="rId697" Type="http://schemas.openxmlformats.org/officeDocument/2006/relationships/hyperlink" Target="https://www.itu.int/md/T17-WTSA.20-C-0069/en" TargetMode="External"/><Relationship Id="rId820" Type="http://schemas.openxmlformats.org/officeDocument/2006/relationships/hyperlink" Target="https://www.itu.int/md/T17-WTSA.20-C-0005/en" TargetMode="External"/><Relationship Id="rId862" Type="http://schemas.openxmlformats.org/officeDocument/2006/relationships/hyperlink" Target="https://www.itu.int/md/T17-WTSA.20-C-0004/en" TargetMode="External"/><Relationship Id="rId918" Type="http://schemas.openxmlformats.org/officeDocument/2006/relationships/hyperlink" Target="https://www.itu.int/md/meetingdoc.asp?lang=en&amp;parent=T17-WTSA.20-C-0062" TargetMode="External"/><Relationship Id="rId252" Type="http://schemas.openxmlformats.org/officeDocument/2006/relationships/footer" Target="footer127.xml"/><Relationship Id="rId294" Type="http://schemas.openxmlformats.org/officeDocument/2006/relationships/header" Target="header127.xml"/><Relationship Id="rId308" Type="http://schemas.openxmlformats.org/officeDocument/2006/relationships/header" Target="header133.xml"/><Relationship Id="rId515" Type="http://schemas.openxmlformats.org/officeDocument/2006/relationships/header" Target="header194.xml"/><Relationship Id="rId722" Type="http://schemas.openxmlformats.org/officeDocument/2006/relationships/hyperlink" Target="https://www.itu.int/md/dologin_md.asp?lang=en&amp;id=T17-WTSA.20-C-0036!A2-L1!MSW-E" TargetMode="External"/><Relationship Id="rId47" Type="http://schemas.openxmlformats.org/officeDocument/2006/relationships/header" Target="header12.xml"/><Relationship Id="rId89" Type="http://schemas.openxmlformats.org/officeDocument/2006/relationships/footer" Target="footer41.xml"/><Relationship Id="rId112" Type="http://schemas.openxmlformats.org/officeDocument/2006/relationships/header" Target="header42.xml"/><Relationship Id="rId154" Type="http://schemas.openxmlformats.org/officeDocument/2006/relationships/header" Target="header62.xml"/><Relationship Id="rId361" Type="http://schemas.openxmlformats.org/officeDocument/2006/relationships/header" Target="header156.xml"/><Relationship Id="rId557" Type="http://schemas.openxmlformats.org/officeDocument/2006/relationships/hyperlink" Target="https://www.itu.int/md/T17-WTSA.20-C-0009" TargetMode="External"/><Relationship Id="rId599" Type="http://schemas.openxmlformats.org/officeDocument/2006/relationships/hyperlink" Target="https://www.itu.int/md/T17-WTSA.20-C-0064" TargetMode="External"/><Relationship Id="rId764" Type="http://schemas.openxmlformats.org/officeDocument/2006/relationships/hyperlink" Target="https://www.itu.int/dms_pub/itu-t/md/17/wtsa.20/c/T17-WTSA.20-C-0040!A27!MSW-E.docx" TargetMode="External"/><Relationship Id="rId196" Type="http://schemas.openxmlformats.org/officeDocument/2006/relationships/header" Target="header83.xml"/><Relationship Id="rId417" Type="http://schemas.openxmlformats.org/officeDocument/2006/relationships/footer" Target="footer210.xml"/><Relationship Id="rId459" Type="http://schemas.openxmlformats.org/officeDocument/2006/relationships/footer" Target="footer216.xml"/><Relationship Id="rId624" Type="http://schemas.openxmlformats.org/officeDocument/2006/relationships/hyperlink" Target="https://www.itu.int/md/T17-WTSA.20-C-0078" TargetMode="External"/><Relationship Id="rId666" Type="http://schemas.openxmlformats.org/officeDocument/2006/relationships/hyperlink" Target="https://www.itu.int/md/T17-WTSA.20-220301-TD-GEN-0015/en" TargetMode="External"/><Relationship Id="rId831" Type="http://schemas.openxmlformats.org/officeDocument/2006/relationships/hyperlink" Target="https://www.itu.int/dms_pub/itu-t/md/17/wtsa.20/c/T17-WTSA.20-C-0040!A28!MSW-E.docx" TargetMode="External"/><Relationship Id="rId873" Type="http://schemas.openxmlformats.org/officeDocument/2006/relationships/hyperlink" Target="https://www.itu.int/md/dologin_md.asp?lang=en&amp;id=T17-WTSA.20-C-0035!A33-L1!MSW-E" TargetMode="External"/><Relationship Id="rId16" Type="http://schemas.openxmlformats.org/officeDocument/2006/relationships/footer" Target="footer4.xml"/><Relationship Id="rId221" Type="http://schemas.openxmlformats.org/officeDocument/2006/relationships/header" Target="header94.xml"/><Relationship Id="rId263" Type="http://schemas.openxmlformats.org/officeDocument/2006/relationships/header" Target="header114.xml"/><Relationship Id="rId319" Type="http://schemas.openxmlformats.org/officeDocument/2006/relationships/footer" Target="footer165.xml"/><Relationship Id="rId470" Type="http://schemas.openxmlformats.org/officeDocument/2006/relationships/hyperlink" Target="https://datatracker.ietf.org/liaison/" TargetMode="External"/><Relationship Id="rId526" Type="http://schemas.openxmlformats.org/officeDocument/2006/relationships/hyperlink" Target="https://www.itu.int/md/meetingdoc.asp?lang=en&amp;parent=T17-WTSA.20-INF-0001" TargetMode="External"/><Relationship Id="rId929" Type="http://schemas.openxmlformats.org/officeDocument/2006/relationships/hyperlink" Target="https://www.itu.int/md/meetingdoc.asp?lang=en&amp;parent=T17-WTSA.20-C-0026" TargetMode="External"/><Relationship Id="rId58" Type="http://schemas.openxmlformats.org/officeDocument/2006/relationships/footer" Target="footer25.xml"/><Relationship Id="rId123" Type="http://schemas.openxmlformats.org/officeDocument/2006/relationships/header" Target="header46.xml"/><Relationship Id="rId330" Type="http://schemas.openxmlformats.org/officeDocument/2006/relationships/footer" Target="footer170.xml"/><Relationship Id="rId568" Type="http://schemas.openxmlformats.org/officeDocument/2006/relationships/hyperlink" Target="https://www.itu.int/md/T17-WTSA.20-C-0009" TargetMode="External"/><Relationship Id="rId733" Type="http://schemas.openxmlformats.org/officeDocument/2006/relationships/hyperlink" Target="https://www.itu.int/md/dologin_md.asp?lang=en&amp;id=T17-WTSA.20-C-0037!A4-L1!MSW-E" TargetMode="External"/><Relationship Id="rId775" Type="http://schemas.openxmlformats.org/officeDocument/2006/relationships/hyperlink" Target="https://www.itu.int/md/dologin_md.asp?lang=en&amp;id=T17-WTSA.20-C-0035!A30-L1!MSW-E" TargetMode="External"/><Relationship Id="rId940" Type="http://schemas.openxmlformats.org/officeDocument/2006/relationships/theme" Target="theme/theme1.xml"/><Relationship Id="rId165" Type="http://schemas.openxmlformats.org/officeDocument/2006/relationships/header" Target="header67.xml"/><Relationship Id="rId372" Type="http://schemas.openxmlformats.org/officeDocument/2006/relationships/footer" Target="footer194.xml"/><Relationship Id="rId428" Type="http://schemas.openxmlformats.org/officeDocument/2006/relationships/hyperlink" Target="http://itu.int" TargetMode="External"/><Relationship Id="rId635" Type="http://schemas.openxmlformats.org/officeDocument/2006/relationships/hyperlink" Target="https://www.itu.int/md/T17-WTSA.20-C-0100" TargetMode="External"/><Relationship Id="rId677" Type="http://schemas.openxmlformats.org/officeDocument/2006/relationships/hyperlink" Target="https://www.itu.int/md/T17-WTSA.20-C-0068/en" TargetMode="External"/><Relationship Id="rId800" Type="http://schemas.openxmlformats.org/officeDocument/2006/relationships/hyperlink" Target="http://www.itu.int/md/T13-WTSA.16-C-0094/en" TargetMode="External"/><Relationship Id="rId842" Type="http://schemas.openxmlformats.org/officeDocument/2006/relationships/hyperlink" Target="https://www.itu.int/md/T17-WTSA.20-C-0004/en" TargetMode="External"/><Relationship Id="rId232" Type="http://schemas.openxmlformats.org/officeDocument/2006/relationships/footer" Target="footer117.xml"/><Relationship Id="rId274" Type="http://schemas.openxmlformats.org/officeDocument/2006/relationships/footer" Target="footer141.xml"/><Relationship Id="rId481" Type="http://schemas.openxmlformats.org/officeDocument/2006/relationships/hyperlink" Target="http://itu.int/ITU-T/studygroups/comNN/" TargetMode="External"/><Relationship Id="rId702" Type="http://schemas.openxmlformats.org/officeDocument/2006/relationships/hyperlink" Target="https://www.itu.int/md/T17-WTSA.20-220301-TD-GEN-0039/en" TargetMode="External"/><Relationship Id="rId884" Type="http://schemas.openxmlformats.org/officeDocument/2006/relationships/hyperlink" Target="https://www.itu.int/md/meetingdoc.asp?lang=en&amp;parent=T17-WTSA.20-C-0068" TargetMode="External"/><Relationship Id="rId27" Type="http://schemas.openxmlformats.org/officeDocument/2006/relationships/package" Target="embeddings/Microsoft_Visio_Drawing11.vsdx"/><Relationship Id="rId69" Type="http://schemas.openxmlformats.org/officeDocument/2006/relationships/header" Target="header23.xml"/><Relationship Id="rId134" Type="http://schemas.openxmlformats.org/officeDocument/2006/relationships/footer" Target="footer67.xml"/><Relationship Id="rId537" Type="http://schemas.openxmlformats.org/officeDocument/2006/relationships/hyperlink" Target="https://www.itu.int/dms_pub/itu-t/md/17/wtsa.20/c/T17-WTSA.20-C-0037!A6!MSW-E.docx" TargetMode="External"/><Relationship Id="rId579" Type="http://schemas.openxmlformats.org/officeDocument/2006/relationships/hyperlink" Target="https://www.itu.int/md/T17-WTSA.20-C-0019" TargetMode="External"/><Relationship Id="rId744" Type="http://schemas.openxmlformats.org/officeDocument/2006/relationships/hyperlink" Target="https://www.itu.int/dms_pub/itu-t/md/17/wtsa.20/c/T17-WTSA.20-C-0040!A22!MSW-E.docx" TargetMode="External"/><Relationship Id="rId786" Type="http://schemas.openxmlformats.org/officeDocument/2006/relationships/hyperlink" Target="https://www.itu.int/dms_pub/itu-t/md/17/wtsa.20/c/T17-WTSA.20-C-0040!A26!MSW-E.docx" TargetMode="External"/><Relationship Id="rId80" Type="http://schemas.openxmlformats.org/officeDocument/2006/relationships/header" Target="header28.xml"/><Relationship Id="rId176" Type="http://schemas.openxmlformats.org/officeDocument/2006/relationships/footer" Target="footer88.xml"/><Relationship Id="rId341" Type="http://schemas.openxmlformats.org/officeDocument/2006/relationships/header" Target="header150.xml"/><Relationship Id="rId383" Type="http://schemas.openxmlformats.org/officeDocument/2006/relationships/footer" Target="footer199.xml"/><Relationship Id="rId439" Type="http://schemas.openxmlformats.org/officeDocument/2006/relationships/image" Target="media/image16.wmf"/><Relationship Id="rId590" Type="http://schemas.openxmlformats.org/officeDocument/2006/relationships/hyperlink" Target="https://www.itu.int/md/T17-WTSA.20-C-0068" TargetMode="External"/><Relationship Id="rId604" Type="http://schemas.openxmlformats.org/officeDocument/2006/relationships/hyperlink" Target="https://www.itu.int/md/T17-WTSA.20-C-0078" TargetMode="External"/><Relationship Id="rId646" Type="http://schemas.openxmlformats.org/officeDocument/2006/relationships/hyperlink" Target="https://www.itu.int/md/T17-WTSA.20-C-0101" TargetMode="External"/><Relationship Id="rId811" Type="http://schemas.openxmlformats.org/officeDocument/2006/relationships/hyperlink" Target="https://www.itu.int/md/meetingdoc.asp?lang=en&amp;parent=T17-WTSA.20-220301-TD-GEN-0001" TargetMode="External"/><Relationship Id="rId201" Type="http://schemas.openxmlformats.org/officeDocument/2006/relationships/header" Target="header85.xml"/><Relationship Id="rId243" Type="http://schemas.openxmlformats.org/officeDocument/2006/relationships/footer" Target="footer122.xml"/><Relationship Id="rId285" Type="http://schemas.openxmlformats.org/officeDocument/2006/relationships/header" Target="header122.xml"/><Relationship Id="rId450" Type="http://schemas.openxmlformats.org/officeDocument/2006/relationships/footer" Target="footer212.xml"/><Relationship Id="rId506" Type="http://schemas.openxmlformats.org/officeDocument/2006/relationships/image" Target="media/image24.png"/><Relationship Id="rId688" Type="http://schemas.openxmlformats.org/officeDocument/2006/relationships/hyperlink" Target="https://www.itu.int/md/T17-WTSA.20-C-0065/en" TargetMode="External"/><Relationship Id="rId853" Type="http://schemas.openxmlformats.org/officeDocument/2006/relationships/hyperlink" Target="https://www.itu.int/md/T17-WTSA.20-C-0004/en" TargetMode="External"/><Relationship Id="rId895" Type="http://schemas.openxmlformats.org/officeDocument/2006/relationships/hyperlink" Target="https://www.itu.int/md/meetingdoc.asp?lang=en&amp;parent=T17-WTSA.20-C-0079" TargetMode="External"/><Relationship Id="rId909" Type="http://schemas.openxmlformats.org/officeDocument/2006/relationships/hyperlink" Target="https://www.itu.int/md/meetingdoc.asp?lang=en&amp;parent=T17-WTSA.20-220301-TD-GEN-0062" TargetMode="External"/><Relationship Id="rId38" Type="http://schemas.openxmlformats.org/officeDocument/2006/relationships/footer" Target="footer15.xml"/><Relationship Id="rId103" Type="http://schemas.openxmlformats.org/officeDocument/2006/relationships/header" Target="header38.xml"/><Relationship Id="rId310" Type="http://schemas.openxmlformats.org/officeDocument/2006/relationships/header" Target="header134.xml"/><Relationship Id="rId492" Type="http://schemas.openxmlformats.org/officeDocument/2006/relationships/hyperlink" Target="http://www.itu.int/md/T13-SG16-150209-TD-WP2-0367/en" TargetMode="External"/><Relationship Id="rId548" Type="http://schemas.openxmlformats.org/officeDocument/2006/relationships/hyperlink" Target="https://www.itu.int/md/T17-WTSA.20-C-0026" TargetMode="External"/><Relationship Id="rId713" Type="http://schemas.openxmlformats.org/officeDocument/2006/relationships/hyperlink" Target="https://www.itu.int/md/meetingdoc.asp?lang=en&amp;parent=T17-WTSA.20-220301-TD-GEN-0029" TargetMode="External"/><Relationship Id="rId755" Type="http://schemas.openxmlformats.org/officeDocument/2006/relationships/hyperlink" Target="https://www.itu.int/md/dologin_md.asp?lang=en&amp;id=T17-WTSA.20-C-0037!A14-L1!MSW-E" TargetMode="External"/><Relationship Id="rId797" Type="http://schemas.openxmlformats.org/officeDocument/2006/relationships/hyperlink" Target="https://www.itu.int/md/meetingdoc.asp?lang=en&amp;parent=T17-WTSA.20-C-0095" TargetMode="External"/><Relationship Id="rId920" Type="http://schemas.openxmlformats.org/officeDocument/2006/relationships/hyperlink" Target="https://www.itu.int/md/meetingdoc.asp?lang=en&amp;parent=T17-WTSA.20-C-0064" TargetMode="External"/><Relationship Id="rId91" Type="http://schemas.openxmlformats.org/officeDocument/2006/relationships/header" Target="header33.xml"/><Relationship Id="rId145" Type="http://schemas.openxmlformats.org/officeDocument/2006/relationships/header" Target="header57.xml"/><Relationship Id="rId187" Type="http://schemas.openxmlformats.org/officeDocument/2006/relationships/header" Target="header78.xml"/><Relationship Id="rId352" Type="http://schemas.openxmlformats.org/officeDocument/2006/relationships/header" Target="header154.xml"/><Relationship Id="rId394" Type="http://schemas.openxmlformats.org/officeDocument/2006/relationships/header" Target="header169.xml"/><Relationship Id="rId408" Type="http://schemas.openxmlformats.org/officeDocument/2006/relationships/oleObject" Target="embeddings/oleObject2.bin"/><Relationship Id="rId615" Type="http://schemas.openxmlformats.org/officeDocument/2006/relationships/hyperlink" Target="https://www.itu.int/md/T17-WTSA.20-C-0008" TargetMode="External"/><Relationship Id="rId822" Type="http://schemas.openxmlformats.org/officeDocument/2006/relationships/hyperlink" Target="https://www.itu.int/md/T17-WTSA.20-C-0009/en" TargetMode="External"/><Relationship Id="rId212" Type="http://schemas.openxmlformats.org/officeDocument/2006/relationships/footer" Target="footer106.xml"/><Relationship Id="rId254" Type="http://schemas.openxmlformats.org/officeDocument/2006/relationships/footer" Target="footer128.xml"/><Relationship Id="rId657" Type="http://schemas.openxmlformats.org/officeDocument/2006/relationships/hyperlink" Target="https://www.itu.int/md/T17-WTSA.20-ADM-0004/en" TargetMode="External"/><Relationship Id="rId699" Type="http://schemas.openxmlformats.org/officeDocument/2006/relationships/hyperlink" Target="https://www.itu.int/md/T17-WTSA.20-C-0069/en" TargetMode="External"/><Relationship Id="rId864" Type="http://schemas.openxmlformats.org/officeDocument/2006/relationships/hyperlink" Target="https://www.itu.int/md/T17-WTSA.20-C-0008/en" TargetMode="External"/><Relationship Id="rId49" Type="http://schemas.openxmlformats.org/officeDocument/2006/relationships/footer" Target="footer20.xml"/><Relationship Id="rId114" Type="http://schemas.openxmlformats.org/officeDocument/2006/relationships/footer" Target="footer56.xml"/><Relationship Id="rId296" Type="http://schemas.openxmlformats.org/officeDocument/2006/relationships/footer" Target="footer153.xml"/><Relationship Id="rId461" Type="http://schemas.openxmlformats.org/officeDocument/2006/relationships/footer" Target="footer218.xml"/><Relationship Id="rId517" Type="http://schemas.openxmlformats.org/officeDocument/2006/relationships/footer" Target="footer230.xml"/><Relationship Id="rId559" Type="http://schemas.openxmlformats.org/officeDocument/2006/relationships/hyperlink" Target="https://www.itu.int/md/T17-WTSA.20-C-0013" TargetMode="External"/><Relationship Id="rId724" Type="http://schemas.openxmlformats.org/officeDocument/2006/relationships/hyperlink" Target="https://www.itu.int/md/meetingdoc.asp?lang=en&amp;parent=T17-WTSA.20-C-0095" TargetMode="External"/><Relationship Id="rId766" Type="http://schemas.openxmlformats.org/officeDocument/2006/relationships/hyperlink" Target="https://www.itu.int/md/dologin_md.asp?lang=en&amp;id=T17-WTSA.20-C-0039!A17-L1!MSW-E" TargetMode="External"/><Relationship Id="rId931" Type="http://schemas.openxmlformats.org/officeDocument/2006/relationships/hyperlink" Target="https://www.itu.int/md/T17-WTSA.20-C-0029/en" TargetMode="External"/><Relationship Id="rId60" Type="http://schemas.openxmlformats.org/officeDocument/2006/relationships/header" Target="header19.xml"/><Relationship Id="rId156" Type="http://schemas.openxmlformats.org/officeDocument/2006/relationships/footer" Target="footer78.xml"/><Relationship Id="rId198" Type="http://schemas.openxmlformats.org/officeDocument/2006/relationships/footer" Target="footer99.xml"/><Relationship Id="rId321" Type="http://schemas.openxmlformats.org/officeDocument/2006/relationships/footer" Target="footer166.xml"/><Relationship Id="rId363" Type="http://schemas.openxmlformats.org/officeDocument/2006/relationships/footer" Target="footer189.xml"/><Relationship Id="rId419" Type="http://schemas.openxmlformats.org/officeDocument/2006/relationships/hyperlink" Target="http://itu.int/en/ITU-T/studygroups/Pages/templates.aspx" TargetMode="External"/><Relationship Id="rId570" Type="http://schemas.openxmlformats.org/officeDocument/2006/relationships/hyperlink" Target="https://www.itu.int/md/T17-WTSA.20-C-0013" TargetMode="External"/><Relationship Id="rId626" Type="http://schemas.openxmlformats.org/officeDocument/2006/relationships/hyperlink" Target="https://www.itu.int/md/T17-WTSA.20-C-0083" TargetMode="External"/><Relationship Id="rId223" Type="http://schemas.openxmlformats.org/officeDocument/2006/relationships/header" Target="header95.xml"/><Relationship Id="rId430" Type="http://schemas.openxmlformats.org/officeDocument/2006/relationships/image" Target="media/image11.wmf"/><Relationship Id="rId668" Type="http://schemas.openxmlformats.org/officeDocument/2006/relationships/hyperlink" Target="https://www.itu.int/md/T17-WTSA.20-C-0049/en" TargetMode="External"/><Relationship Id="rId833" Type="http://schemas.openxmlformats.org/officeDocument/2006/relationships/hyperlink" Target="https://www.itu.int/md/dologin_md.asp?lang=en&amp;id=T17-WTSA.20-C-0036!A13-L1!MSW-E" TargetMode="External"/><Relationship Id="rId875" Type="http://schemas.openxmlformats.org/officeDocument/2006/relationships/hyperlink" Target="https://www.itu.int/md/meetingdoc.asp?lang=en&amp;parent=T17-WTSA.20-C-0073" TargetMode="External"/><Relationship Id="rId18" Type="http://schemas.openxmlformats.org/officeDocument/2006/relationships/footer" Target="footer6.xml"/><Relationship Id="rId265" Type="http://schemas.openxmlformats.org/officeDocument/2006/relationships/footer" Target="footer135.xml"/><Relationship Id="rId472" Type="http://schemas.openxmlformats.org/officeDocument/2006/relationships/hyperlink" Target="http://itu.int/ITU-T/go/ref-ietf-isoc" TargetMode="External"/><Relationship Id="rId528" Type="http://schemas.openxmlformats.org/officeDocument/2006/relationships/hyperlink" Target="https://www.itu.int/md/T17-WTSA.20-ADM-0003" TargetMode="External"/><Relationship Id="rId735" Type="http://schemas.openxmlformats.org/officeDocument/2006/relationships/hyperlink" Target="https://www.itu.int/md/dologin_md.asp?lang=en&amp;id=T17-WTSA.20-C-0039!A25-L1!MSW-E" TargetMode="External"/><Relationship Id="rId900" Type="http://schemas.openxmlformats.org/officeDocument/2006/relationships/hyperlink" Target="https://www.itu.int/md/meetingdoc.asp?lang=en&amp;parent=T17-WTSA.20-C-0079" TargetMode="External"/><Relationship Id="rId125" Type="http://schemas.openxmlformats.org/officeDocument/2006/relationships/footer" Target="footer62.xml"/><Relationship Id="rId167" Type="http://schemas.openxmlformats.org/officeDocument/2006/relationships/footer" Target="footer83.xml"/><Relationship Id="rId332" Type="http://schemas.openxmlformats.org/officeDocument/2006/relationships/header" Target="header145.xml"/><Relationship Id="rId374" Type="http://schemas.openxmlformats.org/officeDocument/2006/relationships/header" Target="header161.xml"/><Relationship Id="rId581" Type="http://schemas.openxmlformats.org/officeDocument/2006/relationships/hyperlink" Target="https://www.itu.int/dms_pub/itu-t/md/17/wtsa.20/c/T17-WTSA.20-C-0039!A32!MSW-E.docx" TargetMode="External"/><Relationship Id="rId777" Type="http://schemas.openxmlformats.org/officeDocument/2006/relationships/hyperlink" Target="https://www.itu.int/dms_pub/itu-t/md/17/wtsa.20/c/T17-WTSA.20-C-0040!A19" TargetMode="External"/><Relationship Id="rId71" Type="http://schemas.openxmlformats.org/officeDocument/2006/relationships/header" Target="header24.xml"/><Relationship Id="rId234" Type="http://schemas.openxmlformats.org/officeDocument/2006/relationships/footer" Target="footer118.xml"/><Relationship Id="rId637" Type="http://schemas.openxmlformats.org/officeDocument/2006/relationships/hyperlink" Target="https://www.itu.int/md/T17-WTSA.20-C-0087" TargetMode="External"/><Relationship Id="rId679" Type="http://schemas.openxmlformats.org/officeDocument/2006/relationships/hyperlink" Target="https://www.itu.int/md/T17-WTSA.20-C-0069/en" TargetMode="External"/><Relationship Id="rId802" Type="http://schemas.openxmlformats.org/officeDocument/2006/relationships/hyperlink" Target="https://www.itu.int/md/meetingdoc.asp?lang=en&amp;parent=T17-WTSA.20-C-0085" TargetMode="External"/><Relationship Id="rId844" Type="http://schemas.openxmlformats.org/officeDocument/2006/relationships/hyperlink" Target="https://www.itu.int/md/T17-WTSA.20-C-0008/en" TargetMode="External"/><Relationship Id="rId886" Type="http://schemas.openxmlformats.org/officeDocument/2006/relationships/hyperlink" Target="https://www.itu.int/md/T17-WTSA.20-220301-TD-GEN-0066/en" TargetMode="External"/><Relationship Id="rId2" Type="http://schemas.openxmlformats.org/officeDocument/2006/relationships/numbering" Target="numbering.xml"/><Relationship Id="rId29" Type="http://schemas.openxmlformats.org/officeDocument/2006/relationships/package" Target="embeddings/Microsoft_Visio_Drawing122.vsdx"/><Relationship Id="rId276" Type="http://schemas.openxmlformats.org/officeDocument/2006/relationships/footer" Target="footer142.xml"/><Relationship Id="rId441" Type="http://schemas.openxmlformats.org/officeDocument/2006/relationships/image" Target="media/image18.png"/><Relationship Id="rId483" Type="http://schemas.openxmlformats.org/officeDocument/2006/relationships/hyperlink" Target="http://itu.int/en/ITU-T/focusgroups/Pages/default.aspx" TargetMode="External"/><Relationship Id="rId539" Type="http://schemas.openxmlformats.org/officeDocument/2006/relationships/hyperlink" Target="https://www.itu.int/dms_pub/itu-t/md/17/wtsa.20/c/T17-WTSA.20-C-0039!A1!MSW-E.docx" TargetMode="External"/><Relationship Id="rId690" Type="http://schemas.openxmlformats.org/officeDocument/2006/relationships/image" Target="media/image25.png"/><Relationship Id="rId704" Type="http://schemas.openxmlformats.org/officeDocument/2006/relationships/hyperlink" Target="https://www.itu.int/md/T17-WTSA.20-C-0069/en" TargetMode="External"/><Relationship Id="rId746" Type="http://schemas.openxmlformats.org/officeDocument/2006/relationships/hyperlink" Target="https://www.itu.int/md/meetingdoc.asp?lang=en&amp;parent=T17-WTSA.20-C-0056" TargetMode="External"/><Relationship Id="rId911" Type="http://schemas.openxmlformats.org/officeDocument/2006/relationships/hyperlink" Target="https://www.itu.int/md/meetingdoc.asp?lang=en&amp;parent=T17-WTSA.20-220301-TD-GEN-0076" TargetMode="External"/><Relationship Id="rId40" Type="http://schemas.openxmlformats.org/officeDocument/2006/relationships/footer" Target="footer16.xml"/><Relationship Id="rId136" Type="http://schemas.openxmlformats.org/officeDocument/2006/relationships/header" Target="header53.xml"/><Relationship Id="rId178" Type="http://schemas.openxmlformats.org/officeDocument/2006/relationships/header" Target="header74.xml"/><Relationship Id="rId301" Type="http://schemas.openxmlformats.org/officeDocument/2006/relationships/footer" Target="footer156.xml"/><Relationship Id="rId343" Type="http://schemas.openxmlformats.org/officeDocument/2006/relationships/footer" Target="footer177.xml"/><Relationship Id="rId550" Type="http://schemas.openxmlformats.org/officeDocument/2006/relationships/hyperlink" Target="https://www.itu.int/md/T17-WTSA.20-C-0028/en" TargetMode="External"/><Relationship Id="rId788" Type="http://schemas.openxmlformats.org/officeDocument/2006/relationships/hyperlink" Target="https://www.itu.int/md/meetingdoc.asp?lang=en&amp;parent=T17-WTSA.20-C-0092" TargetMode="External"/><Relationship Id="rId82" Type="http://schemas.openxmlformats.org/officeDocument/2006/relationships/header" Target="header29.xml"/><Relationship Id="rId203" Type="http://schemas.openxmlformats.org/officeDocument/2006/relationships/footer" Target="footer101.xml"/><Relationship Id="rId385" Type="http://schemas.openxmlformats.org/officeDocument/2006/relationships/hyperlink" Target="http://itu.int/go/trecauthguide" TargetMode="External"/><Relationship Id="rId592" Type="http://schemas.openxmlformats.org/officeDocument/2006/relationships/hyperlink" Target="https://www.itu.int/md/T17-WTSA.20-220301-TD-GEN-0077" TargetMode="External"/><Relationship Id="rId606" Type="http://schemas.openxmlformats.org/officeDocument/2006/relationships/hyperlink" Target="https://www.itu.int/md/T17-WTSA.20-C-0066" TargetMode="External"/><Relationship Id="rId648" Type="http://schemas.openxmlformats.org/officeDocument/2006/relationships/hyperlink" Target="https://www.itu.int/md/T17-WTSA.20-C-0096" TargetMode="External"/><Relationship Id="rId813" Type="http://schemas.openxmlformats.org/officeDocument/2006/relationships/hyperlink" Target="https://www.itu.int/md/meetingdoc.asp?lang=en&amp;parent=T17-WTSA.20-C-0050" TargetMode="External"/><Relationship Id="rId855" Type="http://schemas.openxmlformats.org/officeDocument/2006/relationships/hyperlink" Target="https://www.itu.int/md/T17-WTSA.20-C-0012/en" TargetMode="External"/><Relationship Id="rId245" Type="http://schemas.openxmlformats.org/officeDocument/2006/relationships/header" Target="header106.xml"/><Relationship Id="rId287" Type="http://schemas.openxmlformats.org/officeDocument/2006/relationships/header" Target="header123.xml"/><Relationship Id="rId410" Type="http://schemas.openxmlformats.org/officeDocument/2006/relationships/oleObject" Target="embeddings/oleObject4.bin"/><Relationship Id="rId452" Type="http://schemas.openxmlformats.org/officeDocument/2006/relationships/image" Target="media/image23.png"/><Relationship Id="rId494" Type="http://schemas.openxmlformats.org/officeDocument/2006/relationships/hyperlink" Target="http://www.itu.int/net/about/basic-texts/rules.aspx" TargetMode="External"/><Relationship Id="rId508" Type="http://schemas.openxmlformats.org/officeDocument/2006/relationships/header" Target="header191.xml"/><Relationship Id="rId715" Type="http://schemas.openxmlformats.org/officeDocument/2006/relationships/hyperlink" Target="https://www.itu.int/md/dologin_md.asp?lang=en&amp;id=T17-WTSA.20-C-0037!A1-L1!MSW-E" TargetMode="External"/><Relationship Id="rId897" Type="http://schemas.openxmlformats.org/officeDocument/2006/relationships/hyperlink" Target="https://www.itu.int/md/T17-WTSA.20-220301-TD-GEN-0065/en" TargetMode="External"/><Relationship Id="rId922" Type="http://schemas.openxmlformats.org/officeDocument/2006/relationships/hyperlink" Target="https://www.itu.int/md/meetingdoc.asp?lang=en&amp;parent=T17-WTSA.20-C-0050" TargetMode="External"/><Relationship Id="rId105" Type="http://schemas.openxmlformats.org/officeDocument/2006/relationships/footer" Target="footer50.xml"/><Relationship Id="rId147" Type="http://schemas.openxmlformats.org/officeDocument/2006/relationships/header" Target="header58.xml"/><Relationship Id="rId312" Type="http://schemas.openxmlformats.org/officeDocument/2006/relationships/footer" Target="footer161.xml"/><Relationship Id="rId354" Type="http://schemas.openxmlformats.org/officeDocument/2006/relationships/footer" Target="footer184.xml"/><Relationship Id="rId757" Type="http://schemas.openxmlformats.org/officeDocument/2006/relationships/hyperlink" Target="https://www.itu.int/md/dologin_md.asp?lang=en&amp;id=T17-WTSA.20-C-0039!A29-L1!MSW-E" TargetMode="External"/><Relationship Id="rId799" Type="http://schemas.openxmlformats.org/officeDocument/2006/relationships/hyperlink" Target="https://www.itu.int/md/meetingdoc.asp?lang=en&amp;parent=T17-WTSA.20-C-0092" TargetMode="External"/><Relationship Id="rId51" Type="http://schemas.openxmlformats.org/officeDocument/2006/relationships/header" Target="header14.xml"/><Relationship Id="rId93" Type="http://schemas.openxmlformats.org/officeDocument/2006/relationships/header" Target="header34.xml"/><Relationship Id="rId189" Type="http://schemas.openxmlformats.org/officeDocument/2006/relationships/header" Target="header79.xml"/><Relationship Id="rId396" Type="http://schemas.openxmlformats.org/officeDocument/2006/relationships/footer" Target="footer204.xml"/><Relationship Id="rId561" Type="http://schemas.openxmlformats.org/officeDocument/2006/relationships/hyperlink" Target="https://www.itu.int/md/T17-WTSA.20-C-0017" TargetMode="External"/><Relationship Id="rId617" Type="http://schemas.openxmlformats.org/officeDocument/2006/relationships/hyperlink" Target="https://www.itu.int/md/T17-WTSA.20-C-0012" TargetMode="External"/><Relationship Id="rId659" Type="http://schemas.openxmlformats.org/officeDocument/2006/relationships/hyperlink" Target="https://www.itu.int/md/T17-WTSA.20-C-0033/en" TargetMode="External"/><Relationship Id="rId824" Type="http://schemas.openxmlformats.org/officeDocument/2006/relationships/hyperlink" Target="https://www.itu.int/md/T17-WTSA.20-C-0013/en" TargetMode="External"/><Relationship Id="rId866" Type="http://schemas.openxmlformats.org/officeDocument/2006/relationships/hyperlink" Target="https://www.itu.int/md/T17-WTSA.20-C-0012/en" TargetMode="External"/><Relationship Id="rId214" Type="http://schemas.openxmlformats.org/officeDocument/2006/relationships/header" Target="header92.xml"/><Relationship Id="rId256" Type="http://schemas.openxmlformats.org/officeDocument/2006/relationships/header" Target="header111.xml"/><Relationship Id="rId298" Type="http://schemas.openxmlformats.org/officeDocument/2006/relationships/footer" Target="footer154.xml"/><Relationship Id="rId421" Type="http://schemas.openxmlformats.org/officeDocument/2006/relationships/hyperlink" Target="http://iso.org/iso/jtc1_home" TargetMode="External"/><Relationship Id="rId463" Type="http://schemas.openxmlformats.org/officeDocument/2006/relationships/header" Target="header184.xml"/><Relationship Id="rId519" Type="http://schemas.openxmlformats.org/officeDocument/2006/relationships/header" Target="header196.xml"/><Relationship Id="rId670" Type="http://schemas.openxmlformats.org/officeDocument/2006/relationships/hyperlink" Target="https://www.itu.int/md/T17-WTSA.20-C-0073/en" TargetMode="External"/><Relationship Id="rId116" Type="http://schemas.openxmlformats.org/officeDocument/2006/relationships/header" Target="header43.xml"/><Relationship Id="rId158" Type="http://schemas.openxmlformats.org/officeDocument/2006/relationships/footer" Target="footer79.xml"/><Relationship Id="rId323" Type="http://schemas.openxmlformats.org/officeDocument/2006/relationships/header" Target="header141.xml"/><Relationship Id="rId530" Type="http://schemas.openxmlformats.org/officeDocument/2006/relationships/hyperlink" Target="https://www.itu.int/md/T17-WTSA.20-220301-TD-GEN-0005" TargetMode="External"/><Relationship Id="rId726" Type="http://schemas.openxmlformats.org/officeDocument/2006/relationships/hyperlink" Target="https://www.itu.int/md/meetingdoc.asp?lang=en&amp;parent=T17-WTSA.20-C-0085" TargetMode="External"/><Relationship Id="rId768" Type="http://schemas.openxmlformats.org/officeDocument/2006/relationships/hyperlink" Target="https://www.itu.int/md/meetingdoc.asp?lang=en&amp;parent=T17-WTSA.20-C-0099" TargetMode="External"/><Relationship Id="rId933" Type="http://schemas.openxmlformats.org/officeDocument/2006/relationships/hyperlink" Target="https://www.itu.int/md/T17-WTSA.20-220301-TD-GEN-0002/en" TargetMode="External"/><Relationship Id="rId20" Type="http://schemas.openxmlformats.org/officeDocument/2006/relationships/header" Target="header3.xml"/><Relationship Id="rId62" Type="http://schemas.openxmlformats.org/officeDocument/2006/relationships/footer" Target="footer27.xml"/><Relationship Id="rId365" Type="http://schemas.openxmlformats.org/officeDocument/2006/relationships/header" Target="header158.xml"/><Relationship Id="rId572" Type="http://schemas.openxmlformats.org/officeDocument/2006/relationships/hyperlink" Target="https://www.itu.int/md/T17-WTSA.20-C-0017" TargetMode="External"/><Relationship Id="rId628" Type="http://schemas.openxmlformats.org/officeDocument/2006/relationships/hyperlink" Target="https://www.itu.int/md/T17-WTSA.20-C-0088" TargetMode="External"/><Relationship Id="rId835" Type="http://schemas.openxmlformats.org/officeDocument/2006/relationships/hyperlink" Target="https://www.itu.int/dms_pub/itu-t/md/17/wtsa.20/c/T17-WTSA.20-C-0040!A28!MSW-E.docx" TargetMode="External"/><Relationship Id="rId225" Type="http://schemas.openxmlformats.org/officeDocument/2006/relationships/footer" Target="footer113.xml"/><Relationship Id="rId267" Type="http://schemas.openxmlformats.org/officeDocument/2006/relationships/footer" Target="footer136.xml"/><Relationship Id="rId432" Type="http://schemas.openxmlformats.org/officeDocument/2006/relationships/image" Target="media/image13.png"/><Relationship Id="rId474" Type="http://schemas.openxmlformats.org/officeDocument/2006/relationships/hyperlink" Target="http://trac.tools.ietf.org/bof/trac/" TargetMode="External"/><Relationship Id="rId877" Type="http://schemas.openxmlformats.org/officeDocument/2006/relationships/hyperlink" Target="https://www.itu.int/md/meetingdoc.asp?lang=en&amp;parent=T17-WTSA.20-C-0075" TargetMode="External"/><Relationship Id="rId127" Type="http://schemas.openxmlformats.org/officeDocument/2006/relationships/header" Target="header48.xml"/><Relationship Id="rId681" Type="http://schemas.openxmlformats.org/officeDocument/2006/relationships/hyperlink" Target="https://www.itu.int/md/T17-WTSA.20-C-0069/en" TargetMode="External"/><Relationship Id="rId737" Type="http://schemas.openxmlformats.org/officeDocument/2006/relationships/hyperlink" Target="https://www.itu.int/md/meetingdoc.asp?lang=en&amp;parent=T17-WTSA.20-C-0092" TargetMode="External"/><Relationship Id="rId779" Type="http://schemas.openxmlformats.org/officeDocument/2006/relationships/hyperlink" Target="https://www.itu.int/md/T17-WTSA.20-C-0025" TargetMode="External"/><Relationship Id="rId902" Type="http://schemas.openxmlformats.org/officeDocument/2006/relationships/hyperlink" Target="https://www.itu.int/md/T17-WTSA.20-220301-TD-GEN-0072/en" TargetMode="External"/><Relationship Id="rId31" Type="http://schemas.openxmlformats.org/officeDocument/2006/relationships/image" Target="media/image6.png"/><Relationship Id="rId73" Type="http://schemas.openxmlformats.org/officeDocument/2006/relationships/footer" Target="footer32.xml"/><Relationship Id="rId169" Type="http://schemas.openxmlformats.org/officeDocument/2006/relationships/header" Target="header69.xml"/><Relationship Id="rId334" Type="http://schemas.openxmlformats.org/officeDocument/2006/relationships/header" Target="header146.xml"/><Relationship Id="rId376" Type="http://schemas.openxmlformats.org/officeDocument/2006/relationships/footer" Target="footer196.xml"/><Relationship Id="rId541" Type="http://schemas.openxmlformats.org/officeDocument/2006/relationships/hyperlink" Target="https://www.itu.int/md/T17-WTSA.20-C-0046" TargetMode="External"/><Relationship Id="rId583" Type="http://schemas.openxmlformats.org/officeDocument/2006/relationships/hyperlink" Target="https://www.itu.int/md/T17-WTSA.20-C-0050" TargetMode="External"/><Relationship Id="rId639" Type="http://schemas.openxmlformats.org/officeDocument/2006/relationships/hyperlink" Target="https://www.itu.int/md/T17-WTSA.20-C-0095" TargetMode="External"/><Relationship Id="rId790" Type="http://schemas.openxmlformats.org/officeDocument/2006/relationships/hyperlink" Target="https://www.itu.int/md/dologin_md.asp?lang=en&amp;id=T17-WTSA.20-C-0039!A20-L1!MSW-E" TargetMode="External"/><Relationship Id="rId804" Type="http://schemas.openxmlformats.org/officeDocument/2006/relationships/hyperlink" Target="https://www.itu.int/md/meetingdoc.asp?lang=en&amp;parent=T17-WTSA.20-C-0092" TargetMode="External"/><Relationship Id="rId4" Type="http://schemas.openxmlformats.org/officeDocument/2006/relationships/settings" Target="settings.xml"/><Relationship Id="rId180" Type="http://schemas.openxmlformats.org/officeDocument/2006/relationships/footer" Target="footer90.xml"/><Relationship Id="rId236" Type="http://schemas.openxmlformats.org/officeDocument/2006/relationships/header" Target="header102.xml"/><Relationship Id="rId278" Type="http://schemas.openxmlformats.org/officeDocument/2006/relationships/footer" Target="footer143.xml"/><Relationship Id="rId401" Type="http://schemas.openxmlformats.org/officeDocument/2006/relationships/footer" Target="footer206.xml"/><Relationship Id="rId443" Type="http://schemas.openxmlformats.org/officeDocument/2006/relationships/image" Target="media/image20.png"/><Relationship Id="rId650" Type="http://schemas.openxmlformats.org/officeDocument/2006/relationships/hyperlink" Target="https://www.itu.int/md/T17-WTSA.20-C-0090" TargetMode="External"/><Relationship Id="rId846" Type="http://schemas.openxmlformats.org/officeDocument/2006/relationships/hyperlink" Target="https://www.itu.int/md/T17-WTSA.20-C-0012/en" TargetMode="External"/><Relationship Id="rId888" Type="http://schemas.openxmlformats.org/officeDocument/2006/relationships/hyperlink" Target="https://www.itu.int/md/T17-WTSA.20-220301-TD-GEN-0081/en" TargetMode="External"/><Relationship Id="rId303" Type="http://schemas.openxmlformats.org/officeDocument/2006/relationships/footer" Target="footer157.xml"/><Relationship Id="rId485" Type="http://schemas.openxmlformats.org/officeDocument/2006/relationships/hyperlink" Target="http://itu.int/ITU-T/go/author-guide" TargetMode="External"/><Relationship Id="rId692" Type="http://schemas.openxmlformats.org/officeDocument/2006/relationships/hyperlink" Target="https://www.itu.int/md/T17-WTSA.20-C-0069/en" TargetMode="External"/><Relationship Id="rId706" Type="http://schemas.openxmlformats.org/officeDocument/2006/relationships/hyperlink" Target="https://www.itu.int/md/T17-WTSA.20-220301-TD-GEN-0068/en" TargetMode="External"/><Relationship Id="rId748" Type="http://schemas.openxmlformats.org/officeDocument/2006/relationships/hyperlink" Target="https://www.itu.int/md/dologin_md.asp?lang=en&amp;id=T17-WTSA.20-C-0036!A8-L1!MSW-E" TargetMode="External"/><Relationship Id="rId913" Type="http://schemas.openxmlformats.org/officeDocument/2006/relationships/hyperlink" Target="https://www.itu.int/md/dologin_md.asp?lang=en&amp;id=T17-WTSA.20-C-0036!A30-L1!MSW-E" TargetMode="External"/><Relationship Id="rId42" Type="http://schemas.openxmlformats.org/officeDocument/2006/relationships/header" Target="header10.xml"/><Relationship Id="rId84" Type="http://schemas.openxmlformats.org/officeDocument/2006/relationships/footer" Target="footer38.xml"/><Relationship Id="rId138" Type="http://schemas.openxmlformats.org/officeDocument/2006/relationships/footer" Target="footer69.xml"/><Relationship Id="rId345" Type="http://schemas.openxmlformats.org/officeDocument/2006/relationships/footer" Target="footer178.xml"/><Relationship Id="rId387" Type="http://schemas.openxmlformats.org/officeDocument/2006/relationships/header" Target="header167.xml"/><Relationship Id="rId510" Type="http://schemas.openxmlformats.org/officeDocument/2006/relationships/footer" Target="footer226.xml"/><Relationship Id="rId552" Type="http://schemas.openxmlformats.org/officeDocument/2006/relationships/hyperlink" Target="https://www.itu.int/md/T17-WTSA.20-C-0034" TargetMode="External"/><Relationship Id="rId594" Type="http://schemas.openxmlformats.org/officeDocument/2006/relationships/hyperlink" Target="https://www.itu.int/md/T17-WTSA.20-C-0050" TargetMode="External"/><Relationship Id="rId608" Type="http://schemas.openxmlformats.org/officeDocument/2006/relationships/hyperlink" Target="https://www.itu.int/md/T17-WTSA.20-C-0082" TargetMode="External"/><Relationship Id="rId815" Type="http://schemas.openxmlformats.org/officeDocument/2006/relationships/hyperlink" Target="https://www.itu.int/md/meetingdoc.asp?lang=en&amp;parent=T17-WTSA.20-C-0070" TargetMode="External"/><Relationship Id="rId191" Type="http://schemas.openxmlformats.org/officeDocument/2006/relationships/footer" Target="footer95.xml"/><Relationship Id="rId205" Type="http://schemas.openxmlformats.org/officeDocument/2006/relationships/header" Target="header87.xml"/><Relationship Id="rId247" Type="http://schemas.openxmlformats.org/officeDocument/2006/relationships/header" Target="header107.xml"/><Relationship Id="rId412" Type="http://schemas.openxmlformats.org/officeDocument/2006/relationships/oleObject" Target="embeddings/oleObject6.bin"/><Relationship Id="rId857" Type="http://schemas.openxmlformats.org/officeDocument/2006/relationships/hyperlink" Target="https://www.itu.int/md/T17-WTSA.20-C-0016/en" TargetMode="External"/><Relationship Id="rId899" Type="http://schemas.openxmlformats.org/officeDocument/2006/relationships/hyperlink" Target="https://www.itu.int/md/T17-WTSA.20-220301-TD-GEN-0074/en" TargetMode="External"/><Relationship Id="rId107" Type="http://schemas.openxmlformats.org/officeDocument/2006/relationships/header" Target="header40.xml"/><Relationship Id="rId289" Type="http://schemas.openxmlformats.org/officeDocument/2006/relationships/footer" Target="footer149.xml"/><Relationship Id="rId454" Type="http://schemas.openxmlformats.org/officeDocument/2006/relationships/header" Target="header180.xml"/><Relationship Id="rId496" Type="http://schemas.openxmlformats.org/officeDocument/2006/relationships/hyperlink" Target="http://www.itu.int/pub/T-RES-T.32-2012" TargetMode="External"/><Relationship Id="rId661" Type="http://schemas.openxmlformats.org/officeDocument/2006/relationships/hyperlink" Target="https://www.itu.int/md/T17-WTSA.20-220301-TD-GEN-0008/en" TargetMode="External"/><Relationship Id="rId717" Type="http://schemas.openxmlformats.org/officeDocument/2006/relationships/hyperlink" Target="https://www.itu.int/md/dologin_md.asp?lang=en&amp;id=T17-WTSA.20-C-0038!A3-L1!MSW-E" TargetMode="External"/><Relationship Id="rId759" Type="http://schemas.openxmlformats.org/officeDocument/2006/relationships/hyperlink" Target="https://www.itu.int/md/T17-WTSA.20-C-0024" TargetMode="External"/><Relationship Id="rId924" Type="http://schemas.openxmlformats.org/officeDocument/2006/relationships/hyperlink" Target="https://www.itu.int/md/meetingdoc.asp?lang=en&amp;parent=T17-WTSA.20-C-0070" TargetMode="External"/><Relationship Id="rId11" Type="http://schemas.openxmlformats.org/officeDocument/2006/relationships/header" Target="header1.xml"/><Relationship Id="rId53" Type="http://schemas.openxmlformats.org/officeDocument/2006/relationships/header" Target="header15.xml"/><Relationship Id="rId149" Type="http://schemas.openxmlformats.org/officeDocument/2006/relationships/footer" Target="footer74.xml"/><Relationship Id="rId314" Type="http://schemas.openxmlformats.org/officeDocument/2006/relationships/header" Target="header136.xml"/><Relationship Id="rId356" Type="http://schemas.openxmlformats.org/officeDocument/2006/relationships/hyperlink" Target="mailto:jj@abcco.com" TargetMode="External"/><Relationship Id="rId398" Type="http://schemas.openxmlformats.org/officeDocument/2006/relationships/footer" Target="footer205.xml"/><Relationship Id="rId521" Type="http://schemas.openxmlformats.org/officeDocument/2006/relationships/footer" Target="footer233.xml"/><Relationship Id="rId563" Type="http://schemas.openxmlformats.org/officeDocument/2006/relationships/hyperlink" Target="https://www.itu.int/md/T17-WTSA.20-220301-TD-GEN-0007" TargetMode="External"/><Relationship Id="rId619" Type="http://schemas.openxmlformats.org/officeDocument/2006/relationships/hyperlink" Target="https://www.itu.int/md/T17-WTSA.20-C-0016" TargetMode="External"/><Relationship Id="rId770" Type="http://schemas.openxmlformats.org/officeDocument/2006/relationships/hyperlink" Target="https://www.itu.int/md/meetingdoc.asp?lang=en&amp;parent=T17-WTSA.20-C-0092" TargetMode="External"/><Relationship Id="rId95" Type="http://schemas.openxmlformats.org/officeDocument/2006/relationships/footer" Target="footer45.xml"/><Relationship Id="rId160" Type="http://schemas.openxmlformats.org/officeDocument/2006/relationships/header" Target="header65.xml"/><Relationship Id="rId216" Type="http://schemas.openxmlformats.org/officeDocument/2006/relationships/footer" Target="footer108.xml"/><Relationship Id="rId423" Type="http://schemas.openxmlformats.org/officeDocument/2006/relationships/hyperlink" Target="http://itu.int/publ/T-Res/" TargetMode="External"/><Relationship Id="rId826" Type="http://schemas.openxmlformats.org/officeDocument/2006/relationships/hyperlink" Target="https://www.itu.int/md/T17-WTSA.20-C-0017/en" TargetMode="External"/><Relationship Id="rId868" Type="http://schemas.openxmlformats.org/officeDocument/2006/relationships/hyperlink" Target="https://www.itu.int/md/T17-WTSA.20-C-0016/en" TargetMode="External"/><Relationship Id="rId258" Type="http://schemas.openxmlformats.org/officeDocument/2006/relationships/footer" Target="footer131.xml"/><Relationship Id="rId465" Type="http://schemas.openxmlformats.org/officeDocument/2006/relationships/footer" Target="footer220.xml"/><Relationship Id="rId630" Type="http://schemas.openxmlformats.org/officeDocument/2006/relationships/hyperlink" Target="https://www.itu.int/md/T17-WTSA.20-C-0088" TargetMode="External"/><Relationship Id="rId672" Type="http://schemas.openxmlformats.org/officeDocument/2006/relationships/hyperlink" Target="https://www.itu.int/md/T17-WTSA.20-C-0073/en" TargetMode="External"/><Relationship Id="rId728" Type="http://schemas.openxmlformats.org/officeDocument/2006/relationships/hyperlink" Target="https://www.itu.int/md/dologin_md.asp?lang=en&amp;id=T17-WTSA.20-C-0037!A3-L1!MSW-E" TargetMode="External"/><Relationship Id="rId935" Type="http://schemas.openxmlformats.org/officeDocument/2006/relationships/footer" Target="footer238.xml"/><Relationship Id="rId22" Type="http://schemas.openxmlformats.org/officeDocument/2006/relationships/footer" Target="footer8.xml"/><Relationship Id="rId64" Type="http://schemas.openxmlformats.org/officeDocument/2006/relationships/footer" Target="footer28.xml"/><Relationship Id="rId118" Type="http://schemas.openxmlformats.org/officeDocument/2006/relationships/header" Target="header44.xml"/><Relationship Id="rId325" Type="http://schemas.openxmlformats.org/officeDocument/2006/relationships/footer" Target="footer168.xml"/><Relationship Id="rId367" Type="http://schemas.openxmlformats.org/officeDocument/2006/relationships/footer" Target="footer191.xml"/><Relationship Id="rId532" Type="http://schemas.openxmlformats.org/officeDocument/2006/relationships/hyperlink" Target="https://www.itu.int/md/T17-WTSA.20-220301-TD-GEN-0005" TargetMode="External"/><Relationship Id="rId574" Type="http://schemas.openxmlformats.org/officeDocument/2006/relationships/hyperlink" Target="https://www.itu.int/md/T17-WTSA.20-C-0048" TargetMode="External"/><Relationship Id="rId171" Type="http://schemas.openxmlformats.org/officeDocument/2006/relationships/header" Target="header70.xml"/><Relationship Id="rId227" Type="http://schemas.openxmlformats.org/officeDocument/2006/relationships/header" Target="header97.xml"/><Relationship Id="rId781" Type="http://schemas.openxmlformats.org/officeDocument/2006/relationships/hyperlink" Target="https://www.itu.int/dms_pub/itu-t/md/17/wtsa.20/c/T17-WTSA.20-C-0036!A11-R1!MSW-E.docx" TargetMode="External"/><Relationship Id="rId837" Type="http://schemas.openxmlformats.org/officeDocument/2006/relationships/hyperlink" Target="https://www.itu.int/md/meetingdoc.asp?lang=en&amp;parent=T17-WTSA.20-220301-TD-GEN-0046" TargetMode="External"/><Relationship Id="rId879" Type="http://schemas.openxmlformats.org/officeDocument/2006/relationships/hyperlink" Target="https://www.itu.int/md/meetingdoc.asp?lang=en&amp;parent=T17-WTSA.20-C-0068" TargetMode="External"/><Relationship Id="rId269" Type="http://schemas.openxmlformats.org/officeDocument/2006/relationships/footer" Target="footer138.xml"/><Relationship Id="rId434" Type="http://schemas.openxmlformats.org/officeDocument/2006/relationships/image" Target="media/image15.png"/><Relationship Id="rId476" Type="http://schemas.openxmlformats.org/officeDocument/2006/relationships/hyperlink" Target="https://datatracker.ietf.org/liaison/" TargetMode="External"/><Relationship Id="rId641" Type="http://schemas.openxmlformats.org/officeDocument/2006/relationships/hyperlink" Target="https://www.itu.int/md/meetingdoc.asp?lang=en&amp;parent=T17-TSAG-190923-TD-GEN-0577" TargetMode="External"/><Relationship Id="rId683" Type="http://schemas.openxmlformats.org/officeDocument/2006/relationships/hyperlink" Target="https://www.itu.int/md/T17-WTSA.20-220301-TD-GEN-0039/en" TargetMode="External"/><Relationship Id="rId739" Type="http://schemas.openxmlformats.org/officeDocument/2006/relationships/hyperlink" Target="https://www.itu.int/md/dologin_md.asp?lang=en&amp;id=T17-WTSA.20-C-0036!A4-L1!MSW-E" TargetMode="External"/><Relationship Id="rId890" Type="http://schemas.openxmlformats.org/officeDocument/2006/relationships/hyperlink" Target="https://www.itu.int/md/meetingdoc.asp?lang=en&amp;parent=T17-WTSA.20-C-0068" TargetMode="External"/><Relationship Id="rId904" Type="http://schemas.openxmlformats.org/officeDocument/2006/relationships/hyperlink" Target="https://www.itu.int/md/meetingdoc.asp?lang=en&amp;parent=T17-WTSA.20-C-0079" TargetMode="External"/><Relationship Id="rId33" Type="http://schemas.openxmlformats.org/officeDocument/2006/relationships/footer" Target="footer12.xml"/><Relationship Id="rId129" Type="http://schemas.openxmlformats.org/officeDocument/2006/relationships/header" Target="header49.xml"/><Relationship Id="rId280" Type="http://schemas.openxmlformats.org/officeDocument/2006/relationships/header" Target="header120.xml"/><Relationship Id="rId336" Type="http://schemas.openxmlformats.org/officeDocument/2006/relationships/footer" Target="footer173.xml"/><Relationship Id="rId501" Type="http://schemas.openxmlformats.org/officeDocument/2006/relationships/footer" Target="footer225.xml"/><Relationship Id="rId543" Type="http://schemas.openxmlformats.org/officeDocument/2006/relationships/hyperlink" Target="https://www.itu.int/md/T17-WTSA.20-C-0042" TargetMode="External"/><Relationship Id="rId75" Type="http://schemas.openxmlformats.org/officeDocument/2006/relationships/header" Target="header26.xml"/><Relationship Id="rId140" Type="http://schemas.openxmlformats.org/officeDocument/2006/relationships/footer" Target="footer70.xml"/><Relationship Id="rId182" Type="http://schemas.openxmlformats.org/officeDocument/2006/relationships/footer" Target="footer91.xml"/><Relationship Id="rId378" Type="http://schemas.openxmlformats.org/officeDocument/2006/relationships/header" Target="header163.xml"/><Relationship Id="rId403" Type="http://schemas.openxmlformats.org/officeDocument/2006/relationships/header" Target="header173.xml"/><Relationship Id="rId585" Type="http://schemas.openxmlformats.org/officeDocument/2006/relationships/hyperlink" Target="https://www.itu.int/md/T17-WTSA.20-C-0050" TargetMode="External"/><Relationship Id="rId750" Type="http://schemas.openxmlformats.org/officeDocument/2006/relationships/hyperlink" Target="https://www.itu.int/dms_pub/itu-t/md/17/wtsa.20/c/T17-WTSA.20-C-0040!A29!MSW-E.docx" TargetMode="External"/><Relationship Id="rId792" Type="http://schemas.openxmlformats.org/officeDocument/2006/relationships/hyperlink" Target="https://www.itu.int/dms_pub/itu-t/md/17/wtsa.20/c/T17-WTSA.20-C-0040!A27!MSW-E.docx" TargetMode="External"/><Relationship Id="rId806" Type="http://schemas.openxmlformats.org/officeDocument/2006/relationships/hyperlink" Target="https://www.itu.int/md/meetingdoc.asp?lang=en&amp;parent=T17-WTSA.20-C-0092" TargetMode="External"/><Relationship Id="rId848" Type="http://schemas.openxmlformats.org/officeDocument/2006/relationships/hyperlink" Target="https://www.itu.int/md/T17-WTSA.20-C-0016/en" TargetMode="External"/><Relationship Id="rId6" Type="http://schemas.openxmlformats.org/officeDocument/2006/relationships/footnotes" Target="footnotes.xml"/><Relationship Id="rId238" Type="http://schemas.openxmlformats.org/officeDocument/2006/relationships/footer" Target="footer120.xml"/><Relationship Id="rId445" Type="http://schemas.openxmlformats.org/officeDocument/2006/relationships/image" Target="media/image21.png"/><Relationship Id="rId487" Type="http://schemas.openxmlformats.org/officeDocument/2006/relationships/header" Target="header186.xml"/><Relationship Id="rId610" Type="http://schemas.openxmlformats.org/officeDocument/2006/relationships/hyperlink" Target="https://www.itu.int/md/T17-WTSA.20-C-0075" TargetMode="External"/><Relationship Id="rId652" Type="http://schemas.openxmlformats.org/officeDocument/2006/relationships/hyperlink" Target="https://www.itu.int/md/T17-WTSA.20-C-0091" TargetMode="External"/><Relationship Id="rId694" Type="http://schemas.openxmlformats.org/officeDocument/2006/relationships/hyperlink" Target="https://www.itu.int/md/T17-WTSA.20-C-0069/en" TargetMode="External"/><Relationship Id="rId708" Type="http://schemas.openxmlformats.org/officeDocument/2006/relationships/hyperlink" Target="https://www.itu.int/md/T17-WTSA.20-220301-TD-GEN-0066/en" TargetMode="External"/><Relationship Id="rId915" Type="http://schemas.openxmlformats.org/officeDocument/2006/relationships/hyperlink" Target="https://www.itu.int/dms_pub/itu-t/md/17/wtsa.20/c/T17-WTSA.20-C-0040!A18!MSW-E.docx" TargetMode="External"/><Relationship Id="rId291" Type="http://schemas.openxmlformats.org/officeDocument/2006/relationships/header" Target="header125.xml"/><Relationship Id="rId305" Type="http://schemas.openxmlformats.org/officeDocument/2006/relationships/header" Target="header132.xml"/><Relationship Id="rId347" Type="http://schemas.openxmlformats.org/officeDocument/2006/relationships/footer" Target="footer180.xml"/><Relationship Id="rId512" Type="http://schemas.openxmlformats.org/officeDocument/2006/relationships/header" Target="header193.xml"/><Relationship Id="rId44" Type="http://schemas.openxmlformats.org/officeDocument/2006/relationships/footer" Target="footer18.xml"/><Relationship Id="rId86" Type="http://schemas.openxmlformats.org/officeDocument/2006/relationships/header" Target="header31.xml"/><Relationship Id="rId151" Type="http://schemas.openxmlformats.org/officeDocument/2006/relationships/header" Target="header60.xml"/><Relationship Id="rId389" Type="http://schemas.openxmlformats.org/officeDocument/2006/relationships/footer" Target="footer202.xml"/><Relationship Id="rId554" Type="http://schemas.openxmlformats.org/officeDocument/2006/relationships/hyperlink" Target="https://www.itu.int/md/T17-WTSA.20-C-0003" TargetMode="External"/><Relationship Id="rId596" Type="http://schemas.openxmlformats.org/officeDocument/2006/relationships/hyperlink" Target="https://www.itu.int/md/T17-WTSA.20-C-0070" TargetMode="External"/><Relationship Id="rId761" Type="http://schemas.openxmlformats.org/officeDocument/2006/relationships/hyperlink" Target="https://www.itu.int/md/meetingdoc.asp?lang=en&amp;parent=T17-WTSA.20-C-0055" TargetMode="External"/><Relationship Id="rId817" Type="http://schemas.openxmlformats.org/officeDocument/2006/relationships/hyperlink" Target="https://www.itu.int/md/T17-WTSA.20-C-0027/en" TargetMode="External"/><Relationship Id="rId859" Type="http://schemas.openxmlformats.org/officeDocument/2006/relationships/hyperlink" Target="https://www.itu.int/md/T17-WTSA.20-C-0020/en" TargetMode="External"/><Relationship Id="rId193" Type="http://schemas.openxmlformats.org/officeDocument/2006/relationships/header" Target="header81.xml"/><Relationship Id="rId207" Type="http://schemas.openxmlformats.org/officeDocument/2006/relationships/header" Target="header88.xml"/><Relationship Id="rId249" Type="http://schemas.openxmlformats.org/officeDocument/2006/relationships/footer" Target="footer125.xml"/><Relationship Id="rId414" Type="http://schemas.openxmlformats.org/officeDocument/2006/relationships/hyperlink" Target="https://www.itu.int/oth/T0A0F000004" TargetMode="External"/><Relationship Id="rId456" Type="http://schemas.openxmlformats.org/officeDocument/2006/relationships/footer" Target="footer215.xml"/><Relationship Id="rId498" Type="http://schemas.openxmlformats.org/officeDocument/2006/relationships/header" Target="header189.xml"/><Relationship Id="rId621" Type="http://schemas.openxmlformats.org/officeDocument/2006/relationships/hyperlink" Target="https://www.itu.int/md/T17-WTSA.20-C-0020" TargetMode="External"/><Relationship Id="rId663" Type="http://schemas.openxmlformats.org/officeDocument/2006/relationships/hyperlink" Target="https://www.itu.int/md/T17-WTSA.20-220301-TD-GEN-0016/en" TargetMode="External"/><Relationship Id="rId870" Type="http://schemas.openxmlformats.org/officeDocument/2006/relationships/hyperlink" Target="https://www.itu.int/md/T17-WTSA.20-C-0020/en" TargetMode="External"/><Relationship Id="rId13" Type="http://schemas.openxmlformats.org/officeDocument/2006/relationships/image" Target="media/image3.png"/><Relationship Id="rId109" Type="http://schemas.openxmlformats.org/officeDocument/2006/relationships/header" Target="header41.xml"/><Relationship Id="rId260" Type="http://schemas.openxmlformats.org/officeDocument/2006/relationships/header" Target="header112.xml"/><Relationship Id="rId316" Type="http://schemas.openxmlformats.org/officeDocument/2006/relationships/header" Target="header137.xml"/><Relationship Id="rId523" Type="http://schemas.openxmlformats.org/officeDocument/2006/relationships/footer" Target="footer234.xml"/><Relationship Id="rId719" Type="http://schemas.openxmlformats.org/officeDocument/2006/relationships/hyperlink" Target="https://www.itu.int/md/T17-WTSA.20-C-0045" TargetMode="External"/><Relationship Id="rId926" Type="http://schemas.openxmlformats.org/officeDocument/2006/relationships/hyperlink" Target="https://www.itu.int/md/meetingdoc.asp?lang=en&amp;parent=T17-WTSA.20-C-0023" TargetMode="External"/><Relationship Id="rId55" Type="http://schemas.openxmlformats.org/officeDocument/2006/relationships/footer" Target="footer23.xml"/><Relationship Id="rId97" Type="http://schemas.openxmlformats.org/officeDocument/2006/relationships/footer" Target="footer46.xml"/><Relationship Id="rId120" Type="http://schemas.openxmlformats.org/officeDocument/2006/relationships/footer" Target="footer60.xml"/><Relationship Id="rId358" Type="http://schemas.openxmlformats.org/officeDocument/2006/relationships/footer" Target="footer186.xml"/><Relationship Id="rId565" Type="http://schemas.openxmlformats.org/officeDocument/2006/relationships/hyperlink" Target="https://www.itu.int/md/T17-WTSA.20-C-0003" TargetMode="External"/><Relationship Id="rId730" Type="http://schemas.openxmlformats.org/officeDocument/2006/relationships/hyperlink" Target="https://www.itu.int/md/dologin_md.asp?lang=en&amp;id=T17-WTSA.20-C-0040!A6-L1!MSW-E" TargetMode="External"/><Relationship Id="rId772" Type="http://schemas.openxmlformats.org/officeDocument/2006/relationships/hyperlink" Target="https://www.itu.int/md/dologin_md.asp?lang=en&amp;id=T17-WTSA.20-C-0039!A17-L1!MSW-E" TargetMode="External"/><Relationship Id="rId828" Type="http://schemas.openxmlformats.org/officeDocument/2006/relationships/hyperlink" Target="https://www.itu.int/md/T17-WTSA.20-C-0021/en" TargetMode="External"/><Relationship Id="rId162" Type="http://schemas.openxmlformats.org/officeDocument/2006/relationships/footer" Target="footer81.xml"/><Relationship Id="rId218" Type="http://schemas.openxmlformats.org/officeDocument/2006/relationships/footer" Target="footer109.xml"/><Relationship Id="rId425" Type="http://schemas.openxmlformats.org/officeDocument/2006/relationships/hyperlink" Target="http://iso.org" TargetMode="External"/><Relationship Id="rId467" Type="http://schemas.openxmlformats.org/officeDocument/2006/relationships/footer" Target="footer221.xml"/><Relationship Id="rId632" Type="http://schemas.openxmlformats.org/officeDocument/2006/relationships/hyperlink" Target="https://www.itu.int/md/T17-WTSA.20-C-0055" TargetMode="External"/><Relationship Id="rId271" Type="http://schemas.openxmlformats.org/officeDocument/2006/relationships/footer" Target="footer139.xml"/><Relationship Id="rId674" Type="http://schemas.openxmlformats.org/officeDocument/2006/relationships/hyperlink" Target="https://www.itu.int/md/T17-WTSA.20-C-0069/en" TargetMode="External"/><Relationship Id="rId881" Type="http://schemas.openxmlformats.org/officeDocument/2006/relationships/hyperlink" Target="https://www.itu.int/md/meetingdoc.asp?lang=en&amp;parent=T17-WTSA.20-C-0072" TargetMode="External"/><Relationship Id="rId937" Type="http://schemas.openxmlformats.org/officeDocument/2006/relationships/footer" Target="footer239.xml"/><Relationship Id="rId24" Type="http://schemas.openxmlformats.org/officeDocument/2006/relationships/header" Target="header5.xml"/><Relationship Id="rId66" Type="http://schemas.openxmlformats.org/officeDocument/2006/relationships/header" Target="header22.xml"/><Relationship Id="rId131" Type="http://schemas.openxmlformats.org/officeDocument/2006/relationships/footer" Target="footer65.xml"/><Relationship Id="rId327" Type="http://schemas.openxmlformats.org/officeDocument/2006/relationships/footer" Target="footer169.xml"/><Relationship Id="rId369" Type="http://schemas.openxmlformats.org/officeDocument/2006/relationships/header" Target="header160.xml"/><Relationship Id="rId534" Type="http://schemas.openxmlformats.org/officeDocument/2006/relationships/hyperlink" Target="https://www.itu.int/md/T17-WTSA.20-220301-TD-GEN-0003" TargetMode="External"/><Relationship Id="rId576" Type="http://schemas.openxmlformats.org/officeDocument/2006/relationships/hyperlink" Target="https://www.itu.int/md/T17-WTSA.20-C-0021" TargetMode="External"/><Relationship Id="rId741" Type="http://schemas.openxmlformats.org/officeDocument/2006/relationships/hyperlink" Target="https://www.itu.int/dms_pub/itu-t/md/17/wtsa.20/c/T17-WTSA.20-C-0040!A23!MSW-E.docx" TargetMode="External"/><Relationship Id="rId783" Type="http://schemas.openxmlformats.org/officeDocument/2006/relationships/hyperlink" Target="https://www.itu.int/md/dologin_md.asp?lang=en&amp;id=T17-WTSA.20-C-0038!A18-L1!MSW-E" TargetMode="External"/><Relationship Id="rId839" Type="http://schemas.openxmlformats.org/officeDocument/2006/relationships/hyperlink" Target="https://www.itu.int/md/meetingdoc.asp?lang=en&amp;parent=T17-WTSA.20-220301-TD-GEN-0046" TargetMode="External"/><Relationship Id="rId173" Type="http://schemas.openxmlformats.org/officeDocument/2006/relationships/footer" Target="footer86.xml"/><Relationship Id="rId229" Type="http://schemas.openxmlformats.org/officeDocument/2006/relationships/header" Target="header98.xml"/><Relationship Id="rId380" Type="http://schemas.openxmlformats.org/officeDocument/2006/relationships/footer" Target="footer198.xml"/><Relationship Id="rId601" Type="http://schemas.openxmlformats.org/officeDocument/2006/relationships/hyperlink" Target="https://www.itu.int/md/T17-WTSA.20-C-0068" TargetMode="External"/><Relationship Id="rId643" Type="http://schemas.openxmlformats.org/officeDocument/2006/relationships/hyperlink" Target="https://www.itu.int/md/T17-WTSA.20-C-0078" TargetMode="External"/><Relationship Id="rId240" Type="http://schemas.openxmlformats.org/officeDocument/2006/relationships/footer" Target="footer121.xml"/><Relationship Id="rId478" Type="http://schemas.openxmlformats.org/officeDocument/2006/relationships/hyperlink" Target="http://www.ietf.org/tao.html" TargetMode="External"/><Relationship Id="rId685" Type="http://schemas.openxmlformats.org/officeDocument/2006/relationships/hyperlink" Target="https://www.itu.int/md/T17-WTSA.20-C-0069/en" TargetMode="External"/><Relationship Id="rId850" Type="http://schemas.openxmlformats.org/officeDocument/2006/relationships/hyperlink" Target="https://www.itu.int/md/T17-WTSA.20-C-0020/en" TargetMode="External"/><Relationship Id="rId892" Type="http://schemas.openxmlformats.org/officeDocument/2006/relationships/hyperlink" Target="https://www.itu.int/md/meetingdoc.asp?lang=en&amp;parent=T17-WTSA.20-C-0068" TargetMode="External"/><Relationship Id="rId906" Type="http://schemas.openxmlformats.org/officeDocument/2006/relationships/hyperlink" Target="https://www.itu.int/md/meetingdoc.asp?lang=en&amp;parent=T17-WTSA.20-C-0056" TargetMode="External"/><Relationship Id="rId35" Type="http://schemas.openxmlformats.org/officeDocument/2006/relationships/header" Target="header6.xml"/><Relationship Id="rId77" Type="http://schemas.openxmlformats.org/officeDocument/2006/relationships/header" Target="header27.xml"/><Relationship Id="rId100" Type="http://schemas.openxmlformats.org/officeDocument/2006/relationships/footer" Target="footer48.xml"/><Relationship Id="rId282" Type="http://schemas.openxmlformats.org/officeDocument/2006/relationships/header" Target="header121.xml"/><Relationship Id="rId338" Type="http://schemas.openxmlformats.org/officeDocument/2006/relationships/header" Target="header148.xml"/><Relationship Id="rId503" Type="http://schemas.openxmlformats.org/officeDocument/2006/relationships/hyperlink" Target="http://www.itu.int/en/ITU-T/ipr" TargetMode="External"/><Relationship Id="rId545" Type="http://schemas.openxmlformats.org/officeDocument/2006/relationships/hyperlink" Target="https://www.itu.int/md/T17-WTSA.20-C-0023" TargetMode="External"/><Relationship Id="rId587" Type="http://schemas.openxmlformats.org/officeDocument/2006/relationships/hyperlink" Target="https://www.itu.int/md/meetingdoc.asp?lang=en&amp;parent=T17-WTSA.20-INF-0003" TargetMode="External"/><Relationship Id="rId710" Type="http://schemas.openxmlformats.org/officeDocument/2006/relationships/hyperlink" Target="https://www.itu.int/md/meetingdoc.asp?lang=en&amp;parent=T17-WTSA.20-220301-TD-GEN-0004" TargetMode="External"/><Relationship Id="rId752" Type="http://schemas.openxmlformats.org/officeDocument/2006/relationships/hyperlink" Target="https://www.itu.int/md/dologin_md.asp?lang=en&amp;id=T17-WTSA.20-C-0039!A2-L1!MSW-E" TargetMode="External"/><Relationship Id="rId808" Type="http://schemas.openxmlformats.org/officeDocument/2006/relationships/hyperlink" Target="https://www.itu.int/md/meetingdoc.asp?lang=en&amp;parent=T17-WTSA.20-C-0092" TargetMode="External"/><Relationship Id="rId8" Type="http://schemas.openxmlformats.org/officeDocument/2006/relationships/image" Target="media/image1.png"/><Relationship Id="rId142" Type="http://schemas.openxmlformats.org/officeDocument/2006/relationships/header" Target="header56.xml"/><Relationship Id="rId184" Type="http://schemas.openxmlformats.org/officeDocument/2006/relationships/header" Target="header77.xml"/><Relationship Id="rId391" Type="http://schemas.openxmlformats.org/officeDocument/2006/relationships/image" Target="media/image9.emf"/><Relationship Id="rId405" Type="http://schemas.openxmlformats.org/officeDocument/2006/relationships/footer" Target="footer208.xml"/><Relationship Id="rId447" Type="http://schemas.openxmlformats.org/officeDocument/2006/relationships/hyperlink" Target="https://www.iso.org/directives-and-policies.html" TargetMode="External"/><Relationship Id="rId612" Type="http://schemas.openxmlformats.org/officeDocument/2006/relationships/hyperlink" Target="https://www.itu.int/md/T17-WTSA.20-C-0002" TargetMode="External"/><Relationship Id="rId794" Type="http://schemas.openxmlformats.org/officeDocument/2006/relationships/hyperlink" Target="https://www.itu.int/md/dologin_md.asp?lang=en&amp;id=T17-WTSA.20-C-0038!A16-L1!MSW-E" TargetMode="External"/><Relationship Id="rId251" Type="http://schemas.openxmlformats.org/officeDocument/2006/relationships/header" Target="header109.xml"/><Relationship Id="rId489" Type="http://schemas.openxmlformats.org/officeDocument/2006/relationships/footer" Target="footer222.xml"/><Relationship Id="rId654" Type="http://schemas.openxmlformats.org/officeDocument/2006/relationships/hyperlink" Target="https://www.itu.int/md/T17-WTSA.20-220301-TD-GEN-0003/en" TargetMode="External"/><Relationship Id="rId696" Type="http://schemas.openxmlformats.org/officeDocument/2006/relationships/hyperlink" Target="https://www.itu.int/md/T17-WTSA.20-C-0068/en" TargetMode="External"/><Relationship Id="rId861" Type="http://schemas.openxmlformats.org/officeDocument/2006/relationships/hyperlink" Target="https://www.itu.int/md/T17-WTSA.20-C-0002/en" TargetMode="External"/><Relationship Id="rId917" Type="http://schemas.openxmlformats.org/officeDocument/2006/relationships/hyperlink" Target="https://www.itu.int/dms_pub/itu-t/md/17/wtsa.20/c/T17-WTSA.20-C-0038!A1!MSW-E.docx" TargetMode="External"/><Relationship Id="rId46" Type="http://schemas.openxmlformats.org/officeDocument/2006/relationships/footer" Target="footer19.xml"/><Relationship Id="rId293" Type="http://schemas.openxmlformats.org/officeDocument/2006/relationships/header" Target="header126.xml"/><Relationship Id="rId307" Type="http://schemas.openxmlformats.org/officeDocument/2006/relationships/footer" Target="footer159.xml"/><Relationship Id="rId349" Type="http://schemas.openxmlformats.org/officeDocument/2006/relationships/footer" Target="footer181.xml"/><Relationship Id="rId514" Type="http://schemas.openxmlformats.org/officeDocument/2006/relationships/footer" Target="footer229.xml"/><Relationship Id="rId556" Type="http://schemas.openxmlformats.org/officeDocument/2006/relationships/hyperlink" Target="https://www.itu.int/md/T17-WTSA.20-C-0007" TargetMode="External"/><Relationship Id="rId721" Type="http://schemas.openxmlformats.org/officeDocument/2006/relationships/hyperlink" Target="https://www.itu.int/md/meetingdoc.asp?lang=en&amp;parent=T17-WTSA.20-C-0094" TargetMode="External"/><Relationship Id="rId763" Type="http://schemas.openxmlformats.org/officeDocument/2006/relationships/hyperlink" Target="https://www.itu.int/md/dologin_md.asp?lang=en&amp;id=T17-WTSA.20-C-0039!A22-L1!MSW-E" TargetMode="External"/><Relationship Id="rId88" Type="http://schemas.openxmlformats.org/officeDocument/2006/relationships/header" Target="header32.xml"/><Relationship Id="rId111" Type="http://schemas.openxmlformats.org/officeDocument/2006/relationships/footer" Target="footer54.xml"/><Relationship Id="rId153" Type="http://schemas.openxmlformats.org/officeDocument/2006/relationships/header" Target="header61.xml"/><Relationship Id="rId195" Type="http://schemas.openxmlformats.org/officeDocument/2006/relationships/header" Target="header82.xml"/><Relationship Id="rId209" Type="http://schemas.openxmlformats.org/officeDocument/2006/relationships/footer" Target="footer104.xml"/><Relationship Id="rId360" Type="http://schemas.openxmlformats.org/officeDocument/2006/relationships/header" Target="header155.xml"/><Relationship Id="rId416" Type="http://schemas.openxmlformats.org/officeDocument/2006/relationships/header" Target="header176.xml"/><Relationship Id="rId598" Type="http://schemas.openxmlformats.org/officeDocument/2006/relationships/hyperlink" Target="https://www.itu.int/md/T17-WTSA.20-C-0063" TargetMode="External"/><Relationship Id="rId819" Type="http://schemas.openxmlformats.org/officeDocument/2006/relationships/hyperlink" Target="https://www.itu.int/md/T17-WTSA.20-C-0003/en" TargetMode="External"/><Relationship Id="rId220" Type="http://schemas.openxmlformats.org/officeDocument/2006/relationships/footer" Target="footer111.xml"/><Relationship Id="rId458" Type="http://schemas.openxmlformats.org/officeDocument/2006/relationships/header" Target="header182.xml"/><Relationship Id="rId623" Type="http://schemas.openxmlformats.org/officeDocument/2006/relationships/hyperlink" Target="https://www.itu.int/md/T17-WTSA.20-ADM-0032" TargetMode="External"/><Relationship Id="rId665" Type="http://schemas.openxmlformats.org/officeDocument/2006/relationships/hyperlink" Target="https://www.itu.int/md/T17-WTSA.20-C-0029/en" TargetMode="External"/><Relationship Id="rId830" Type="http://schemas.openxmlformats.org/officeDocument/2006/relationships/hyperlink" Target="https://www.itu.int/md/dologin_md.asp?lang=en&amp;id=T17-WTSA.20-C-0038!A30-L1!MSW-E" TargetMode="External"/><Relationship Id="rId872" Type="http://schemas.openxmlformats.org/officeDocument/2006/relationships/hyperlink" Target="https://www.itu.int/md/dologin_md.asp?lang=en&amp;id=T17-WTSA.20-C-0035!A33-L1!MSW-E" TargetMode="External"/><Relationship Id="rId928" Type="http://schemas.openxmlformats.org/officeDocument/2006/relationships/hyperlink" Target="https://www.itu.int/md/meetingdoc.asp?lang=en&amp;parent=T17-WTSA.20-C-0025" TargetMode="External"/><Relationship Id="rId15" Type="http://schemas.openxmlformats.org/officeDocument/2006/relationships/footer" Target="footer3.xml"/><Relationship Id="rId57" Type="http://schemas.openxmlformats.org/officeDocument/2006/relationships/header" Target="header17.xml"/><Relationship Id="rId262" Type="http://schemas.openxmlformats.org/officeDocument/2006/relationships/header" Target="header113.xml"/><Relationship Id="rId318" Type="http://schemas.openxmlformats.org/officeDocument/2006/relationships/footer" Target="footer164.xml"/><Relationship Id="rId525" Type="http://schemas.openxmlformats.org/officeDocument/2006/relationships/footer" Target="footer236.xml"/><Relationship Id="rId567" Type="http://schemas.openxmlformats.org/officeDocument/2006/relationships/hyperlink" Target="https://www.itu.int/md/T17-WTSA.20-C-0007" TargetMode="External"/><Relationship Id="rId732" Type="http://schemas.openxmlformats.org/officeDocument/2006/relationships/hyperlink" Target="https://www.itu.int/md/dologin_md.asp?lang=en&amp;id=T17-WTSA.20-C-0036!A3-L1!MSW-E" TargetMode="External"/><Relationship Id="rId99" Type="http://schemas.openxmlformats.org/officeDocument/2006/relationships/footer" Target="footer47.xml"/><Relationship Id="rId122" Type="http://schemas.openxmlformats.org/officeDocument/2006/relationships/footer" Target="footer61.xml"/><Relationship Id="rId164" Type="http://schemas.openxmlformats.org/officeDocument/2006/relationships/footer" Target="footer82.xml"/><Relationship Id="rId371" Type="http://schemas.openxmlformats.org/officeDocument/2006/relationships/footer" Target="footer193.xml"/><Relationship Id="rId774" Type="http://schemas.openxmlformats.org/officeDocument/2006/relationships/hyperlink" Target="https://www.itu.int/md/dologin_md.asp?lang=en&amp;id=T17-WTSA.20-C-0039!A32-L1!MSW-E" TargetMode="External"/><Relationship Id="rId427" Type="http://schemas.openxmlformats.org/officeDocument/2006/relationships/hyperlink" Target="http://jtc1.org" TargetMode="External"/><Relationship Id="rId469" Type="http://schemas.openxmlformats.org/officeDocument/2006/relationships/hyperlink" Target="mailto:iesg@ietf.org" TargetMode="External"/><Relationship Id="rId634" Type="http://schemas.openxmlformats.org/officeDocument/2006/relationships/hyperlink" Target="https://www.itu.int/md/T17-WTSA.20-C-0094" TargetMode="External"/><Relationship Id="rId676" Type="http://schemas.openxmlformats.org/officeDocument/2006/relationships/hyperlink" Target="https://www.itu.int/md/T17-WTSA.20-C-0069/en" TargetMode="External"/><Relationship Id="rId841" Type="http://schemas.openxmlformats.org/officeDocument/2006/relationships/hyperlink" Target="https://www.itu.int/md/T17-WTSA.20-C-0002/en" TargetMode="External"/><Relationship Id="rId883" Type="http://schemas.openxmlformats.org/officeDocument/2006/relationships/hyperlink" Target="https://www.itu.int/md/meetingdoc.asp?lang=en&amp;parent=T17-WTSA.20-C-0075" TargetMode="External"/><Relationship Id="rId26" Type="http://schemas.openxmlformats.org/officeDocument/2006/relationships/image" Target="media/image4.emf"/><Relationship Id="rId231" Type="http://schemas.openxmlformats.org/officeDocument/2006/relationships/footer" Target="footer116.xml"/><Relationship Id="rId273" Type="http://schemas.openxmlformats.org/officeDocument/2006/relationships/footer" Target="footer140.xml"/><Relationship Id="rId329" Type="http://schemas.openxmlformats.org/officeDocument/2006/relationships/header" Target="header144.xml"/><Relationship Id="rId480" Type="http://schemas.openxmlformats.org/officeDocument/2006/relationships/hyperlink" Target="http://itu.int/itu-t/recommendations/" TargetMode="External"/><Relationship Id="rId536" Type="http://schemas.openxmlformats.org/officeDocument/2006/relationships/hyperlink" Target="https://www.itu.int/dms_pub/itu-t/md/17/wtsa.20/c/T17-WTSA.20-C-0036!A5-R1!MSW-E.docx" TargetMode="External"/><Relationship Id="rId701" Type="http://schemas.openxmlformats.org/officeDocument/2006/relationships/hyperlink" Target="https://www.itu.int/md/T17-WTSA.20-220301-TD-GEN-0082/en" TargetMode="External"/><Relationship Id="rId939" Type="http://schemas.openxmlformats.org/officeDocument/2006/relationships/glossaryDocument" Target="glossary/document.xml"/><Relationship Id="rId68" Type="http://schemas.openxmlformats.org/officeDocument/2006/relationships/footer" Target="footer30.xml"/><Relationship Id="rId133" Type="http://schemas.openxmlformats.org/officeDocument/2006/relationships/header" Target="header51.xml"/><Relationship Id="rId175" Type="http://schemas.openxmlformats.org/officeDocument/2006/relationships/header" Target="header72.xml"/><Relationship Id="rId340" Type="http://schemas.openxmlformats.org/officeDocument/2006/relationships/header" Target="header149.xml"/><Relationship Id="rId578" Type="http://schemas.openxmlformats.org/officeDocument/2006/relationships/hyperlink" Target="https://www.itu.int/md/T17-WTSA.20-220301-TD-GEN-0007" TargetMode="External"/><Relationship Id="rId743" Type="http://schemas.openxmlformats.org/officeDocument/2006/relationships/hyperlink" Target="https://www.itu.int/md/meetingdoc.asp?lang=en&amp;parent=T17-WTSA.20-C-0092" TargetMode="External"/><Relationship Id="rId785" Type="http://schemas.openxmlformats.org/officeDocument/2006/relationships/hyperlink" Target="https://www.itu.int/md/T17-WTSA.20-C-0025" TargetMode="External"/><Relationship Id="rId200" Type="http://schemas.openxmlformats.org/officeDocument/2006/relationships/footer" Target="footer100.xml"/><Relationship Id="rId382" Type="http://schemas.openxmlformats.org/officeDocument/2006/relationships/header" Target="header165.xml"/><Relationship Id="rId438" Type="http://schemas.openxmlformats.org/officeDocument/2006/relationships/image" Target="media/image150.png"/><Relationship Id="rId603" Type="http://schemas.openxmlformats.org/officeDocument/2006/relationships/hyperlink" Target="https://www.itu.int/md/T17-WTSA.20-C-0073" TargetMode="External"/><Relationship Id="rId645" Type="http://schemas.openxmlformats.org/officeDocument/2006/relationships/hyperlink" Target="https://www.itu.int/md/T17-WTSA.20-C-0098" TargetMode="External"/><Relationship Id="rId687" Type="http://schemas.openxmlformats.org/officeDocument/2006/relationships/hyperlink" Target="https://www.itu.int/md/S22-CL-C-0063/en" TargetMode="External"/><Relationship Id="rId810" Type="http://schemas.openxmlformats.org/officeDocument/2006/relationships/hyperlink" Target="https://www.itu.int/md/meetingdoc.asp?lang=en&amp;parent=T17-WTSA.20-220301-TD-GEN-0004" TargetMode="External"/><Relationship Id="rId852" Type="http://schemas.openxmlformats.org/officeDocument/2006/relationships/hyperlink" Target="https://www.itu.int/md/T17-WTSA.20-C-0002/en" TargetMode="External"/><Relationship Id="rId908" Type="http://schemas.openxmlformats.org/officeDocument/2006/relationships/hyperlink" Target="https://www.itu.int/md/meetingdoc.asp?lang=en&amp;parent=T17-WTSA.20-C-0086" TargetMode="External"/><Relationship Id="rId242" Type="http://schemas.openxmlformats.org/officeDocument/2006/relationships/header" Target="header105.xml"/><Relationship Id="rId284" Type="http://schemas.openxmlformats.org/officeDocument/2006/relationships/footer" Target="footer147.xml"/><Relationship Id="rId491" Type="http://schemas.openxmlformats.org/officeDocument/2006/relationships/header" Target="header188.xml"/><Relationship Id="rId505" Type="http://schemas.openxmlformats.org/officeDocument/2006/relationships/hyperlink" Target="http://www.itu.int/pub/T-RES-T.18-2012" TargetMode="External"/><Relationship Id="rId712" Type="http://schemas.openxmlformats.org/officeDocument/2006/relationships/hyperlink" Target="https://www.itu.int/md/meetingdoc.asp?lang=en&amp;parent=T17-WTSA.20-220301-TD-GEN-0012" TargetMode="External"/><Relationship Id="rId894" Type="http://schemas.openxmlformats.org/officeDocument/2006/relationships/hyperlink" Target="https://www.itu.int/md/meetingdoc.asp?lang=en&amp;parent=T17-WTSA.20-C-0079" TargetMode="External"/><Relationship Id="rId37" Type="http://schemas.openxmlformats.org/officeDocument/2006/relationships/footer" Target="footer14.xml"/><Relationship Id="rId79" Type="http://schemas.openxmlformats.org/officeDocument/2006/relationships/footer" Target="footer36.xml"/><Relationship Id="rId102" Type="http://schemas.openxmlformats.org/officeDocument/2006/relationships/footer" Target="footer49.xml"/><Relationship Id="rId144" Type="http://schemas.openxmlformats.org/officeDocument/2006/relationships/footer" Target="footer72.xml"/><Relationship Id="rId547" Type="http://schemas.openxmlformats.org/officeDocument/2006/relationships/hyperlink" Target="https://www.itu.int/md/T17-WTSA.20-C-0025" TargetMode="External"/><Relationship Id="rId589" Type="http://schemas.openxmlformats.org/officeDocument/2006/relationships/hyperlink" Target="https://www.itu.int/md/T17-WTSA.20-C-0061" TargetMode="External"/><Relationship Id="rId754" Type="http://schemas.openxmlformats.org/officeDocument/2006/relationships/hyperlink" Target="https://www.itu.int/md/dologin_md.asp?lang=en&amp;id=T17-WTSA.20-C-0035!A7-L1!MSW-E" TargetMode="External"/><Relationship Id="rId796" Type="http://schemas.openxmlformats.org/officeDocument/2006/relationships/hyperlink" Target="https://www.itu.int/md/meetingdoc.asp?lang=en&amp;parent=T17-WTSA.20-C-0094" TargetMode="External"/><Relationship Id="rId90" Type="http://schemas.openxmlformats.org/officeDocument/2006/relationships/footer" Target="footer42.xml"/><Relationship Id="rId186" Type="http://schemas.openxmlformats.org/officeDocument/2006/relationships/footer" Target="footer93.xml"/><Relationship Id="rId351" Type="http://schemas.openxmlformats.org/officeDocument/2006/relationships/header" Target="header153.xml"/><Relationship Id="rId393" Type="http://schemas.openxmlformats.org/officeDocument/2006/relationships/header" Target="header168.xml"/><Relationship Id="rId407" Type="http://schemas.openxmlformats.org/officeDocument/2006/relationships/image" Target="media/image10.png"/><Relationship Id="rId449" Type="http://schemas.openxmlformats.org/officeDocument/2006/relationships/header" Target="header178.xml"/><Relationship Id="rId614" Type="http://schemas.openxmlformats.org/officeDocument/2006/relationships/hyperlink" Target="https://www.itu.int/md/T17-WTSA.20-C-0006" TargetMode="External"/><Relationship Id="rId656" Type="http://schemas.openxmlformats.org/officeDocument/2006/relationships/hyperlink" Target="https://www.itu.int/md/T17-WTSA.20-220301-TD-GEN-0004/en" TargetMode="External"/><Relationship Id="rId821" Type="http://schemas.openxmlformats.org/officeDocument/2006/relationships/hyperlink" Target="https://www.itu.int/md/T17-WTSA.20-C-0007/en" TargetMode="External"/><Relationship Id="rId863" Type="http://schemas.openxmlformats.org/officeDocument/2006/relationships/hyperlink" Target="https://www.itu.int/md/T17-WTSA.20-C-0006/en" TargetMode="External"/><Relationship Id="rId211" Type="http://schemas.openxmlformats.org/officeDocument/2006/relationships/header" Target="header90.xml"/><Relationship Id="rId253" Type="http://schemas.openxmlformats.org/officeDocument/2006/relationships/header" Target="header110.xml"/><Relationship Id="rId295" Type="http://schemas.openxmlformats.org/officeDocument/2006/relationships/footer" Target="footer152.xml"/><Relationship Id="rId309" Type="http://schemas.openxmlformats.org/officeDocument/2006/relationships/footer" Target="footer160.xml"/><Relationship Id="rId460" Type="http://schemas.openxmlformats.org/officeDocument/2006/relationships/footer" Target="footer217.xml"/><Relationship Id="rId516" Type="http://schemas.openxmlformats.org/officeDocument/2006/relationships/header" Target="header195.xml"/><Relationship Id="rId698" Type="http://schemas.openxmlformats.org/officeDocument/2006/relationships/hyperlink" Target="https://www.itu.int/md/T17-WTSA.20-C-0069/en" TargetMode="External"/><Relationship Id="rId919" Type="http://schemas.openxmlformats.org/officeDocument/2006/relationships/hyperlink" Target="https://www.itu.int/md/meetingdoc.asp?lang=en&amp;parent=T17-WTSA.20-C-0063" TargetMode="External"/><Relationship Id="rId48" Type="http://schemas.openxmlformats.org/officeDocument/2006/relationships/header" Target="header13.xml"/><Relationship Id="rId113" Type="http://schemas.openxmlformats.org/officeDocument/2006/relationships/footer" Target="footer55.xml"/><Relationship Id="rId320" Type="http://schemas.openxmlformats.org/officeDocument/2006/relationships/header" Target="header139.xml"/><Relationship Id="rId558" Type="http://schemas.openxmlformats.org/officeDocument/2006/relationships/hyperlink" Target="https://www.itu.int/md/T17-WTSA.20-C-0011" TargetMode="External"/><Relationship Id="rId723" Type="http://schemas.openxmlformats.org/officeDocument/2006/relationships/hyperlink" Target="https://www.itu.int/dms_pub/itu-t/md/17/wtsa.20/c/T17-WTSA.20-C-0040!A24!MSW-E.docx" TargetMode="External"/><Relationship Id="rId765" Type="http://schemas.openxmlformats.org/officeDocument/2006/relationships/hyperlink" Target="https://www.itu.int/md/dologin_md.asp?lang=en&amp;id=T17-WTSA.20-C-0038!A25-L1!MSW-E" TargetMode="External"/><Relationship Id="rId930" Type="http://schemas.openxmlformats.org/officeDocument/2006/relationships/hyperlink" Target="https://www.itu.int/md/T17-WTSA.20-C-0028/en" TargetMode="External"/><Relationship Id="rId155" Type="http://schemas.openxmlformats.org/officeDocument/2006/relationships/footer" Target="footer77.xml"/><Relationship Id="rId197" Type="http://schemas.openxmlformats.org/officeDocument/2006/relationships/footer" Target="footer98.xml"/><Relationship Id="rId362" Type="http://schemas.openxmlformats.org/officeDocument/2006/relationships/footer" Target="footer188.xml"/><Relationship Id="rId418" Type="http://schemas.openxmlformats.org/officeDocument/2006/relationships/footer" Target="footer211.xml"/><Relationship Id="rId625" Type="http://schemas.openxmlformats.org/officeDocument/2006/relationships/hyperlink" Target="https://www.itu.int/md/T17-WTSA.20-C-0098" TargetMode="External"/><Relationship Id="rId832" Type="http://schemas.openxmlformats.org/officeDocument/2006/relationships/hyperlink" Target="https://www.itu.int/md/dologin_md.asp?lang=en&amp;id=T17-WTSA.20-C-0037!A2-L1!MSW-E" TargetMode="External"/><Relationship Id="rId222" Type="http://schemas.openxmlformats.org/officeDocument/2006/relationships/footer" Target="footer112.xml"/><Relationship Id="rId264" Type="http://schemas.openxmlformats.org/officeDocument/2006/relationships/footer" Target="footer134.xml"/><Relationship Id="rId471" Type="http://schemas.openxmlformats.org/officeDocument/2006/relationships/hyperlink" Target="https://datatracker.ietf.org/idst/upload.cgi" TargetMode="External"/><Relationship Id="rId667" Type="http://schemas.openxmlformats.org/officeDocument/2006/relationships/hyperlink" Target="https://www.itu.int/md/T17-WTSA.20-C-0033/en" TargetMode="External"/><Relationship Id="rId874" Type="http://schemas.openxmlformats.org/officeDocument/2006/relationships/hyperlink" Target="https://www.itu.int/md/dologin_md.asp?lang=en&amp;id=T17-WTSA.20-C-0035!A33-L1!MSW-E" TargetMode="External"/><Relationship Id="rId17" Type="http://schemas.openxmlformats.org/officeDocument/2006/relationships/footer" Target="footer5.xml"/><Relationship Id="rId59" Type="http://schemas.openxmlformats.org/officeDocument/2006/relationships/header" Target="header18.xml"/><Relationship Id="rId124" Type="http://schemas.openxmlformats.org/officeDocument/2006/relationships/header" Target="header47.xml"/><Relationship Id="rId527" Type="http://schemas.openxmlformats.org/officeDocument/2006/relationships/hyperlink" Target="https://www.itu.int/md/T17-WTSA.20-C-0047" TargetMode="External"/><Relationship Id="rId569" Type="http://schemas.openxmlformats.org/officeDocument/2006/relationships/hyperlink" Target="https://www.itu.int/md/T17-WTSA.20-C-0011" TargetMode="External"/><Relationship Id="rId734" Type="http://schemas.openxmlformats.org/officeDocument/2006/relationships/hyperlink" Target="https://www.itu.int/md/dologin_md.asp?lang=en&amp;id=T17-WTSA.20-C-0038!A2-L1!MSW-E" TargetMode="External"/><Relationship Id="rId776" Type="http://schemas.openxmlformats.org/officeDocument/2006/relationships/hyperlink" Target="https://www.itu.int/md/dologin_md.asp?lang=en&amp;id=T17-WTSA.20-C-0038!A17-L1!MSW-E" TargetMode="External"/><Relationship Id="rId70" Type="http://schemas.openxmlformats.org/officeDocument/2006/relationships/footer" Target="footer31.xml"/><Relationship Id="rId166" Type="http://schemas.openxmlformats.org/officeDocument/2006/relationships/header" Target="header68.xml"/><Relationship Id="rId331" Type="http://schemas.openxmlformats.org/officeDocument/2006/relationships/footer" Target="footer171.xml"/><Relationship Id="rId373" Type="http://schemas.openxmlformats.org/officeDocument/2006/relationships/image" Target="media/image8.png"/><Relationship Id="rId429" Type="http://schemas.openxmlformats.org/officeDocument/2006/relationships/hyperlink" Target="http://jtc1.org/" TargetMode="External"/><Relationship Id="rId580" Type="http://schemas.openxmlformats.org/officeDocument/2006/relationships/hyperlink" Target="https://www.itu.int/md/T17-WTSA.20-C-0021" TargetMode="External"/><Relationship Id="rId636" Type="http://schemas.openxmlformats.org/officeDocument/2006/relationships/hyperlink" Target="https://www.itu.int/md/T17-WTSA.20-C-0044" TargetMode="External"/><Relationship Id="rId801" Type="http://schemas.openxmlformats.org/officeDocument/2006/relationships/hyperlink" Target="https://www.itu.int/md/meetingdoc.asp?lang=en&amp;parent=T17-WTSA.20-C-0056" TargetMode="External"/><Relationship Id="rId1" Type="http://schemas.openxmlformats.org/officeDocument/2006/relationships/customXml" Target="../customXml/item1.xml"/><Relationship Id="rId233" Type="http://schemas.openxmlformats.org/officeDocument/2006/relationships/header" Target="header100.xml"/><Relationship Id="rId440" Type="http://schemas.openxmlformats.org/officeDocument/2006/relationships/image" Target="media/image17.png"/><Relationship Id="rId678" Type="http://schemas.openxmlformats.org/officeDocument/2006/relationships/hyperlink" Target="https://www.itu.int/md/T17-WTSA.20-C-0069/en" TargetMode="External"/><Relationship Id="rId843" Type="http://schemas.openxmlformats.org/officeDocument/2006/relationships/hyperlink" Target="https://www.itu.int/md/T17-WTSA.20-C-0006/en" TargetMode="External"/><Relationship Id="rId885" Type="http://schemas.openxmlformats.org/officeDocument/2006/relationships/hyperlink" Target="https://www.itu.int/md/meetingdoc.asp?lang=en&amp;parent=T17-WTSA.20-C-0075" TargetMode="External"/><Relationship Id="rId28" Type="http://schemas.openxmlformats.org/officeDocument/2006/relationships/image" Target="media/image5.emf"/><Relationship Id="rId275" Type="http://schemas.openxmlformats.org/officeDocument/2006/relationships/header" Target="header118.xml"/><Relationship Id="rId300" Type="http://schemas.openxmlformats.org/officeDocument/2006/relationships/footer" Target="footer155.xml"/><Relationship Id="rId482" Type="http://schemas.openxmlformats.org/officeDocument/2006/relationships/hyperlink" Target="http://itu.int/en/ITU-T/ipr/Pages/default.aspx" TargetMode="External"/><Relationship Id="rId538" Type="http://schemas.openxmlformats.org/officeDocument/2006/relationships/hyperlink" Target="https://www.itu.int/dms_pub/itu-t/md/17/wtsa.20/c/T17-WTSA.20-C-0038!A3!MSW-E.docx" TargetMode="External"/><Relationship Id="rId703" Type="http://schemas.openxmlformats.org/officeDocument/2006/relationships/hyperlink" Target="https://www.itu.int/md/T17-WTSA.20-220301-TD-GEN-0066/en" TargetMode="External"/><Relationship Id="rId745" Type="http://schemas.openxmlformats.org/officeDocument/2006/relationships/hyperlink" Target="http://www.itu.int/md/T13-WTSA.16-C-0094/en" TargetMode="External"/><Relationship Id="rId910" Type="http://schemas.openxmlformats.org/officeDocument/2006/relationships/hyperlink" Target="https://www.itu.int/md/meetingdoc.asp?lang=en&amp;parent=T17-WTSA.20-220301-TD-GEN-0062" TargetMode="External"/><Relationship Id="rId81" Type="http://schemas.openxmlformats.org/officeDocument/2006/relationships/footer" Target="footer37.xml"/><Relationship Id="rId135" Type="http://schemas.openxmlformats.org/officeDocument/2006/relationships/header" Target="header52.xml"/><Relationship Id="rId177" Type="http://schemas.openxmlformats.org/officeDocument/2006/relationships/header" Target="header73.xml"/><Relationship Id="rId342" Type="http://schemas.openxmlformats.org/officeDocument/2006/relationships/footer" Target="footer176.xml"/><Relationship Id="rId384" Type="http://schemas.openxmlformats.org/officeDocument/2006/relationships/footer" Target="footer200.xml"/><Relationship Id="rId591" Type="http://schemas.openxmlformats.org/officeDocument/2006/relationships/hyperlink" Target="https://www.itu.int/md/T17-WTSA.20-C-0069" TargetMode="External"/><Relationship Id="rId605" Type="http://schemas.openxmlformats.org/officeDocument/2006/relationships/hyperlink" Target="https://www.itu.int/md/T17-WTSA.20-C-0081" TargetMode="External"/><Relationship Id="rId787" Type="http://schemas.openxmlformats.org/officeDocument/2006/relationships/hyperlink" Target="https://www.itu.int/dms_pub/itu-t/md/17/wtsa.20/c/T17-WTSA.20-C-0025!!MSW-E.docx" TargetMode="External"/><Relationship Id="rId812" Type="http://schemas.openxmlformats.org/officeDocument/2006/relationships/hyperlink" Target="https://www.itu.int/md/meetingdoc.asp?lang=en&amp;parent=T17-WTSA.20-220301-TD-GEN-0009" TargetMode="External"/><Relationship Id="rId202" Type="http://schemas.openxmlformats.org/officeDocument/2006/relationships/header" Target="header86.xml"/><Relationship Id="rId244" Type="http://schemas.openxmlformats.org/officeDocument/2006/relationships/footer" Target="footer123.xml"/><Relationship Id="rId647" Type="http://schemas.openxmlformats.org/officeDocument/2006/relationships/hyperlink" Target="https://www.itu.int/md/T17-WTSA.20-C-0099" TargetMode="External"/><Relationship Id="rId689" Type="http://schemas.openxmlformats.org/officeDocument/2006/relationships/hyperlink" Target="https://www.itu.int/md/T17-WTSA.20-220301-TD-GEN-0026/en" TargetMode="External"/><Relationship Id="rId854" Type="http://schemas.openxmlformats.org/officeDocument/2006/relationships/hyperlink" Target="https://www.itu.int/md/T17-WTSA.20-C-0010/en" TargetMode="External"/><Relationship Id="rId896" Type="http://schemas.openxmlformats.org/officeDocument/2006/relationships/hyperlink" Target="https://www.itu.int/md/meetingdoc.asp?lang=en&amp;parent=T17-WTSA.20-C-0079" TargetMode="External"/><Relationship Id="rId39" Type="http://schemas.openxmlformats.org/officeDocument/2006/relationships/header" Target="header8.xml"/><Relationship Id="rId286" Type="http://schemas.openxmlformats.org/officeDocument/2006/relationships/footer" Target="footer148.xml"/><Relationship Id="rId451" Type="http://schemas.openxmlformats.org/officeDocument/2006/relationships/footer" Target="footer213.xml"/><Relationship Id="rId493" Type="http://schemas.openxmlformats.org/officeDocument/2006/relationships/hyperlink" Target="http://www.itu.int/md/T13-SG16-150209-TD-WP2-0365/en" TargetMode="External"/><Relationship Id="rId507" Type="http://schemas.openxmlformats.org/officeDocument/2006/relationships/hyperlink" Target="http://itu.int/en/ITU-T/ipr" TargetMode="External"/><Relationship Id="rId549" Type="http://schemas.openxmlformats.org/officeDocument/2006/relationships/hyperlink" Target="https://www.itu.int/md/T17-WTSA.20-C-0030" TargetMode="External"/><Relationship Id="rId714" Type="http://schemas.openxmlformats.org/officeDocument/2006/relationships/hyperlink" Target="https://www.itu.int/md/dologin_md.asp?lang=en&amp;id=T17-WTSA.20-C-0036!A1-L1!MSW-E" TargetMode="External"/><Relationship Id="rId756" Type="http://schemas.openxmlformats.org/officeDocument/2006/relationships/hyperlink" Target="https://www.itu.int/md/dologin_md.asp?lang=en&amp;id=T17-WTSA.20-C-0038!A9-L1!MSW-E" TargetMode="External"/><Relationship Id="rId921" Type="http://schemas.openxmlformats.org/officeDocument/2006/relationships/hyperlink" Target="https://www.itu.int/md/meetingdoc.asp?lang=en&amp;parent=T17-WTSA.20-C-0066" TargetMode="External"/><Relationship Id="rId50" Type="http://schemas.openxmlformats.org/officeDocument/2006/relationships/footer" Target="footer21.xml"/><Relationship Id="rId104" Type="http://schemas.openxmlformats.org/officeDocument/2006/relationships/header" Target="header39.xml"/><Relationship Id="rId146" Type="http://schemas.openxmlformats.org/officeDocument/2006/relationships/footer" Target="footer73.xml"/><Relationship Id="rId188" Type="http://schemas.openxmlformats.org/officeDocument/2006/relationships/footer" Target="footer94.xml"/><Relationship Id="rId311" Type="http://schemas.openxmlformats.org/officeDocument/2006/relationships/header" Target="header135.xml"/><Relationship Id="rId353" Type="http://schemas.openxmlformats.org/officeDocument/2006/relationships/footer" Target="footer183.xml"/><Relationship Id="rId395" Type="http://schemas.openxmlformats.org/officeDocument/2006/relationships/footer" Target="footer203.xml"/><Relationship Id="rId409" Type="http://schemas.openxmlformats.org/officeDocument/2006/relationships/oleObject" Target="embeddings/oleObject3.bin"/><Relationship Id="rId560" Type="http://schemas.openxmlformats.org/officeDocument/2006/relationships/hyperlink" Target="https://www.itu.int/md/T17-WTSA.20-C-0015" TargetMode="External"/><Relationship Id="rId798" Type="http://schemas.openxmlformats.org/officeDocument/2006/relationships/hyperlink" Target="https://www.itu.int/md/meetingdoc.asp?lang=en&amp;parent=T17-WTSA.20-C-0085" TargetMode="External"/><Relationship Id="rId92" Type="http://schemas.openxmlformats.org/officeDocument/2006/relationships/footer" Target="footer43.xml"/><Relationship Id="rId213" Type="http://schemas.openxmlformats.org/officeDocument/2006/relationships/header" Target="header91.xml"/><Relationship Id="rId420" Type="http://schemas.openxmlformats.org/officeDocument/2006/relationships/hyperlink" Target="http://itu.int/en/ITU-T/info/Pages/resources.aspx" TargetMode="External"/><Relationship Id="rId616" Type="http://schemas.openxmlformats.org/officeDocument/2006/relationships/hyperlink" Target="https://www.itu.int/md/T17-WTSA.20-C-0010" TargetMode="External"/><Relationship Id="rId658" Type="http://schemas.openxmlformats.org/officeDocument/2006/relationships/hyperlink" Target="https://www.itu.int/md/T17-WTSA.20-ADM-0021/en" TargetMode="External"/><Relationship Id="rId823" Type="http://schemas.openxmlformats.org/officeDocument/2006/relationships/hyperlink" Target="https://www.itu.int/md/T17-WTSA.20-C-0011/en" TargetMode="External"/><Relationship Id="rId865" Type="http://schemas.openxmlformats.org/officeDocument/2006/relationships/hyperlink" Target="https://www.itu.int/md/T17-WTSA.20-C-0010/en" TargetMode="External"/><Relationship Id="rId255" Type="http://schemas.openxmlformats.org/officeDocument/2006/relationships/footer" Target="footer129.xml"/><Relationship Id="rId297" Type="http://schemas.openxmlformats.org/officeDocument/2006/relationships/header" Target="header128.xml"/><Relationship Id="rId462" Type="http://schemas.openxmlformats.org/officeDocument/2006/relationships/header" Target="header183.xml"/><Relationship Id="rId518" Type="http://schemas.openxmlformats.org/officeDocument/2006/relationships/footer" Target="footer231.xml"/><Relationship Id="rId725" Type="http://schemas.openxmlformats.org/officeDocument/2006/relationships/hyperlink" Target="https://www.itu.int/md/dologin_md.asp?lang=en&amp;id=T17-WTSA.20-C-0039!A28-L1!MSW-E" TargetMode="External"/><Relationship Id="rId932" Type="http://schemas.openxmlformats.org/officeDocument/2006/relationships/hyperlink" Target="https://www.itu.int/md/meetingdoc.asp?lang=en&amp;parent=T17-WTSA.20-C-0105" TargetMode="External"/><Relationship Id="rId115" Type="http://schemas.openxmlformats.org/officeDocument/2006/relationships/footer" Target="footer57.xml"/><Relationship Id="rId157" Type="http://schemas.openxmlformats.org/officeDocument/2006/relationships/header" Target="header63.xml"/><Relationship Id="rId322" Type="http://schemas.openxmlformats.org/officeDocument/2006/relationships/header" Target="header140.xml"/><Relationship Id="rId364" Type="http://schemas.openxmlformats.org/officeDocument/2006/relationships/header" Target="header157.xml"/><Relationship Id="rId767" Type="http://schemas.openxmlformats.org/officeDocument/2006/relationships/hyperlink" Target="https://www.itu.int/md/T17-WTSA.20-220301-TD-GEN-0084/en" TargetMode="External"/><Relationship Id="rId61" Type="http://schemas.openxmlformats.org/officeDocument/2006/relationships/footer" Target="footer26.xml"/><Relationship Id="rId199" Type="http://schemas.openxmlformats.org/officeDocument/2006/relationships/header" Target="header84.xml"/><Relationship Id="rId571" Type="http://schemas.openxmlformats.org/officeDocument/2006/relationships/hyperlink" Target="https://www.itu.int/md/T17-WTSA.20-C-0015" TargetMode="External"/><Relationship Id="rId627" Type="http://schemas.openxmlformats.org/officeDocument/2006/relationships/hyperlink" Target="https://www.itu.int/md/T17-WTSA.20-C-0055" TargetMode="External"/><Relationship Id="rId669" Type="http://schemas.openxmlformats.org/officeDocument/2006/relationships/hyperlink" Target="https://www.itu.int/md/T17-WTSA.20-C-0065/en" TargetMode="External"/><Relationship Id="rId834" Type="http://schemas.openxmlformats.org/officeDocument/2006/relationships/hyperlink" Target="https://www.itu.int/md/dologin_md.asp?lang=en&amp;id=T17-WTSA.20-C-0038!A30-L1!MSW-E" TargetMode="External"/><Relationship Id="rId876" Type="http://schemas.openxmlformats.org/officeDocument/2006/relationships/hyperlink" Target="https://www.itu.int/md/meetingdoc.asp?lang=en&amp;parent=T17-WTSA.20-C-0056" TargetMode="External"/><Relationship Id="rId19" Type="http://schemas.openxmlformats.org/officeDocument/2006/relationships/footer" Target="footer7.xml"/><Relationship Id="rId224" Type="http://schemas.openxmlformats.org/officeDocument/2006/relationships/header" Target="header96.xml"/><Relationship Id="rId266" Type="http://schemas.openxmlformats.org/officeDocument/2006/relationships/header" Target="header115.xml"/><Relationship Id="rId431" Type="http://schemas.openxmlformats.org/officeDocument/2006/relationships/image" Target="media/image12.wmf"/><Relationship Id="rId473" Type="http://schemas.openxmlformats.org/officeDocument/2006/relationships/hyperlink" Target="http://www.ietf.org/dyn/wg/charter.html" TargetMode="External"/><Relationship Id="rId529" Type="http://schemas.openxmlformats.org/officeDocument/2006/relationships/hyperlink" Target="https://www.itu.int/md/T17-WTSA.20-220301-TD-GEN-0005" TargetMode="External"/><Relationship Id="rId680" Type="http://schemas.openxmlformats.org/officeDocument/2006/relationships/hyperlink" Target="https://www.itu.int/md/T17-WTSA.20-C-0069/en" TargetMode="External"/><Relationship Id="rId736" Type="http://schemas.openxmlformats.org/officeDocument/2006/relationships/hyperlink" Target="http://www.itu.int/net4/proposals/WTSA16/Detail/Index?idProposal=37758" TargetMode="External"/><Relationship Id="rId901" Type="http://schemas.openxmlformats.org/officeDocument/2006/relationships/hyperlink" Target="https://www.itu.int/md/T17-WTSA.20-220301-TD-GEN-0064/en" TargetMode="External"/><Relationship Id="rId30" Type="http://schemas.openxmlformats.org/officeDocument/2006/relationships/hyperlink" Target="https://www.itu.int/en/ITU-T/ipr/" TargetMode="External"/><Relationship Id="rId126" Type="http://schemas.openxmlformats.org/officeDocument/2006/relationships/footer" Target="footer63.xml"/><Relationship Id="rId168" Type="http://schemas.openxmlformats.org/officeDocument/2006/relationships/footer" Target="footer84.xml"/><Relationship Id="rId333" Type="http://schemas.openxmlformats.org/officeDocument/2006/relationships/footer" Target="footer172.xml"/><Relationship Id="rId540" Type="http://schemas.openxmlformats.org/officeDocument/2006/relationships/hyperlink" Target="https://www.itu.int/dms_pub/itu-t/md/17/wtsa.20/c/T17-WTSA.20-C-0040!A1!MSW-E.docx" TargetMode="External"/><Relationship Id="rId778" Type="http://schemas.openxmlformats.org/officeDocument/2006/relationships/hyperlink" Target="https://www.itu.int/md/dologin_md.asp?lang=en&amp;id=T17-WTSA.20-C-0036!A10-L1!MSW-E" TargetMode="External"/><Relationship Id="rId72" Type="http://schemas.openxmlformats.org/officeDocument/2006/relationships/header" Target="header25.xml"/><Relationship Id="rId375" Type="http://schemas.openxmlformats.org/officeDocument/2006/relationships/footer" Target="footer195.xml"/><Relationship Id="rId582" Type="http://schemas.openxmlformats.org/officeDocument/2006/relationships/hyperlink" Target="https://www.itu.int/md/dologin_md.asp?lang=en&amp;id=T17-WTSA.20-C-0039!A32-L1!MSW-E" TargetMode="External"/><Relationship Id="rId638" Type="http://schemas.openxmlformats.org/officeDocument/2006/relationships/hyperlink" Target="https://www.itu.int/md/T17-WTSA.20-C-0092" TargetMode="External"/><Relationship Id="rId803" Type="http://schemas.openxmlformats.org/officeDocument/2006/relationships/hyperlink" Target="https://www.itu.int/md/meetingdoc.asp?lang=en&amp;parent=T17-WTSA.20-C-0085" TargetMode="External"/><Relationship Id="rId845" Type="http://schemas.openxmlformats.org/officeDocument/2006/relationships/hyperlink" Target="https://www.itu.int/md/T17-WTSA.20-C-0010/en" TargetMode="External"/><Relationship Id="rId3" Type="http://schemas.openxmlformats.org/officeDocument/2006/relationships/styles" Target="styles.xml"/><Relationship Id="rId235" Type="http://schemas.openxmlformats.org/officeDocument/2006/relationships/header" Target="header101.xml"/><Relationship Id="rId277" Type="http://schemas.openxmlformats.org/officeDocument/2006/relationships/header" Target="header119.xml"/><Relationship Id="rId400" Type="http://schemas.openxmlformats.org/officeDocument/2006/relationships/header" Target="header172.xml"/><Relationship Id="rId442" Type="http://schemas.openxmlformats.org/officeDocument/2006/relationships/image" Target="media/image19.png"/><Relationship Id="rId484" Type="http://schemas.openxmlformats.org/officeDocument/2006/relationships/hyperlink" Target="http://itu.int/publ/T-RES/en" TargetMode="External"/><Relationship Id="rId705" Type="http://schemas.openxmlformats.org/officeDocument/2006/relationships/hyperlink" Target="https://www.itu.int/md/T17-WTSA.20-220301-TD-GEN-0085/en" TargetMode="External"/><Relationship Id="rId887" Type="http://schemas.openxmlformats.org/officeDocument/2006/relationships/hyperlink" Target="https://www.itu.int/md/meetingdoc.asp?lang=en&amp;parent=T17-WTSA.20-C-0068" TargetMode="External"/><Relationship Id="rId137" Type="http://schemas.openxmlformats.org/officeDocument/2006/relationships/footer" Target="footer68.xml"/><Relationship Id="rId302" Type="http://schemas.openxmlformats.org/officeDocument/2006/relationships/header" Target="header130.xml"/><Relationship Id="rId344" Type="http://schemas.openxmlformats.org/officeDocument/2006/relationships/header" Target="header151.xml"/><Relationship Id="rId691" Type="http://schemas.openxmlformats.org/officeDocument/2006/relationships/hyperlink" Target="https://www.itu.int/md/T17-WTSA.20-C-0073/en" TargetMode="External"/><Relationship Id="rId747" Type="http://schemas.openxmlformats.org/officeDocument/2006/relationships/hyperlink" Target="https://www.itu.int/md/dologin_md.asp?lang=en&amp;id=T17-WTSA.20-C-0035!A12-L1!MSW-E" TargetMode="External"/><Relationship Id="rId789" Type="http://schemas.openxmlformats.org/officeDocument/2006/relationships/hyperlink" Target="https://www.itu.int/md/dologin_md.asp?lang=en&amp;id=T17-WTSA.20-C-0038!A19-L1!MSW-E" TargetMode="External"/><Relationship Id="rId912" Type="http://schemas.openxmlformats.org/officeDocument/2006/relationships/hyperlink" Target="https://www.itu.int/md/T17-WTSA.20-220301-TD-GEN-0052/en" TargetMode="External"/><Relationship Id="rId41" Type="http://schemas.openxmlformats.org/officeDocument/2006/relationships/header" Target="header9.xml"/><Relationship Id="rId83" Type="http://schemas.openxmlformats.org/officeDocument/2006/relationships/header" Target="header30.xml"/><Relationship Id="rId179" Type="http://schemas.openxmlformats.org/officeDocument/2006/relationships/footer" Target="footer89.xml"/><Relationship Id="rId386" Type="http://schemas.openxmlformats.org/officeDocument/2006/relationships/header" Target="header166.xml"/><Relationship Id="rId551" Type="http://schemas.openxmlformats.org/officeDocument/2006/relationships/hyperlink" Target="https://www.itu.int/dms_pub/itu-t/md/17/wtsa.20/c/T17-WTSA.20-C-0028!A1!PDF-E.pdf" TargetMode="External"/><Relationship Id="rId593" Type="http://schemas.openxmlformats.org/officeDocument/2006/relationships/hyperlink" Target="https://www.itu.int/md/T17-WTSA.20-C-0030" TargetMode="External"/><Relationship Id="rId607" Type="http://schemas.openxmlformats.org/officeDocument/2006/relationships/hyperlink" Target="https://www.itu.int/md/T17-WTSA.20-C-0070" TargetMode="External"/><Relationship Id="rId649" Type="http://schemas.openxmlformats.org/officeDocument/2006/relationships/hyperlink" Target="https://www.itu.int/md/T17-WTSA.20-C-0093" TargetMode="External"/><Relationship Id="rId814" Type="http://schemas.openxmlformats.org/officeDocument/2006/relationships/hyperlink" Target="https://www.itu.int/md/meetingdoc.asp?lang=en&amp;parent=T17-WTSA.20-C-0051" TargetMode="External"/><Relationship Id="rId856" Type="http://schemas.openxmlformats.org/officeDocument/2006/relationships/hyperlink" Target="https://www.itu.int/md/T17-WTSA.20-C-0014/en" TargetMode="External"/><Relationship Id="rId190" Type="http://schemas.openxmlformats.org/officeDocument/2006/relationships/header" Target="header80.xml"/><Relationship Id="rId204" Type="http://schemas.openxmlformats.org/officeDocument/2006/relationships/footer" Target="footer102.xml"/><Relationship Id="rId246" Type="http://schemas.openxmlformats.org/officeDocument/2006/relationships/footer" Target="footer124.xml"/><Relationship Id="rId288" Type="http://schemas.openxmlformats.org/officeDocument/2006/relationships/header" Target="header124.xml"/><Relationship Id="rId411" Type="http://schemas.openxmlformats.org/officeDocument/2006/relationships/oleObject" Target="embeddings/oleObject5.bin"/><Relationship Id="rId453" Type="http://schemas.openxmlformats.org/officeDocument/2006/relationships/header" Target="header179.xml"/><Relationship Id="rId509" Type="http://schemas.openxmlformats.org/officeDocument/2006/relationships/header" Target="header192.xml"/><Relationship Id="rId660" Type="http://schemas.openxmlformats.org/officeDocument/2006/relationships/hyperlink" Target="https://www.itu.int/md/T17-WTSA.20-220301-TD-GEN-0008/en" TargetMode="External"/><Relationship Id="rId898" Type="http://schemas.openxmlformats.org/officeDocument/2006/relationships/hyperlink" Target="https://www.itu.int/md/meetingdoc.asp?lang=en&amp;parent=T17-WTSA.20-C-0079" TargetMode="External"/><Relationship Id="rId106" Type="http://schemas.openxmlformats.org/officeDocument/2006/relationships/footer" Target="footer51.xml"/><Relationship Id="rId313" Type="http://schemas.openxmlformats.org/officeDocument/2006/relationships/footer" Target="footer162.xml"/><Relationship Id="rId495" Type="http://schemas.openxmlformats.org/officeDocument/2006/relationships/hyperlink" Target="http://www.itu.int/dms_pub/itu-s/opb/conf/S-CONF-ACTF-2014-PDF-E.pdf" TargetMode="External"/><Relationship Id="rId716" Type="http://schemas.openxmlformats.org/officeDocument/2006/relationships/hyperlink" Target="https://www.itu.int/md/dologin_md.asp?lang=en&amp;id=T17-WTSA.20-C-0038!A20-R1-L1!MSW-E" TargetMode="External"/><Relationship Id="rId758" Type="http://schemas.openxmlformats.org/officeDocument/2006/relationships/hyperlink" Target="https://www.itu.int/md/dologin_md.asp?lang=en&amp;id=T17-WTSA.20-C-0040!A3-L1!MSW-E" TargetMode="External"/><Relationship Id="rId923" Type="http://schemas.openxmlformats.org/officeDocument/2006/relationships/hyperlink" Target="https://www.itu.int/md/meetingdoc.asp?lang=en&amp;parent=T17-WTSA.20-C-0051" TargetMode="External"/><Relationship Id="rId10" Type="http://schemas.openxmlformats.org/officeDocument/2006/relationships/footer" Target="footer2.xml"/><Relationship Id="rId52" Type="http://schemas.openxmlformats.org/officeDocument/2006/relationships/footer" Target="footer22.xml"/><Relationship Id="rId94" Type="http://schemas.openxmlformats.org/officeDocument/2006/relationships/footer" Target="footer44.xml"/><Relationship Id="rId148" Type="http://schemas.openxmlformats.org/officeDocument/2006/relationships/header" Target="header59.xml"/><Relationship Id="rId355" Type="http://schemas.openxmlformats.org/officeDocument/2006/relationships/footer" Target="footer185.xml"/><Relationship Id="rId397" Type="http://schemas.openxmlformats.org/officeDocument/2006/relationships/header" Target="header170.xml"/><Relationship Id="rId520" Type="http://schemas.openxmlformats.org/officeDocument/2006/relationships/footer" Target="footer232.xml"/><Relationship Id="rId562" Type="http://schemas.openxmlformats.org/officeDocument/2006/relationships/hyperlink" Target="https://www.itu.int/en/ITU-T/wtsa20/presentations" TargetMode="External"/><Relationship Id="rId618" Type="http://schemas.openxmlformats.org/officeDocument/2006/relationships/hyperlink" Target="https://www.itu.int/md/T17-WTSA.20-C-0014" TargetMode="External"/><Relationship Id="rId825" Type="http://schemas.openxmlformats.org/officeDocument/2006/relationships/hyperlink" Target="https://www.itu.int/md/T17-WTSA.20-C-0015/en" TargetMode="External"/><Relationship Id="rId215" Type="http://schemas.openxmlformats.org/officeDocument/2006/relationships/footer" Target="footer107.xml"/><Relationship Id="rId257" Type="http://schemas.openxmlformats.org/officeDocument/2006/relationships/footer" Target="footer130.xml"/><Relationship Id="rId422" Type="http://schemas.openxmlformats.org/officeDocument/2006/relationships/hyperlink" Target="http://itu.int" TargetMode="External"/><Relationship Id="rId464" Type="http://schemas.openxmlformats.org/officeDocument/2006/relationships/footer" Target="footer219.xml"/><Relationship Id="rId867" Type="http://schemas.openxmlformats.org/officeDocument/2006/relationships/hyperlink" Target="https://www.itu.int/md/T17-WTSA.20-C-0014/en" TargetMode="External"/><Relationship Id="rId299" Type="http://schemas.openxmlformats.org/officeDocument/2006/relationships/header" Target="header129.xml"/><Relationship Id="rId727" Type="http://schemas.openxmlformats.org/officeDocument/2006/relationships/hyperlink" Target="https://www.itu.int/md/dologin_md.asp?lang=en&amp;id=T17-WTSA.20-C-0035!A1-L1!MSW-E" TargetMode="External"/><Relationship Id="rId934" Type="http://schemas.openxmlformats.org/officeDocument/2006/relationships/footer" Target="footer237.xml"/><Relationship Id="rId63" Type="http://schemas.openxmlformats.org/officeDocument/2006/relationships/header" Target="header20.xml"/><Relationship Id="rId159" Type="http://schemas.openxmlformats.org/officeDocument/2006/relationships/header" Target="header64.xml"/><Relationship Id="rId366" Type="http://schemas.openxmlformats.org/officeDocument/2006/relationships/footer" Target="footer190.xml"/><Relationship Id="rId573" Type="http://schemas.openxmlformats.org/officeDocument/2006/relationships/hyperlink" Target="https://www.itu.int/md/T17-WTSA.20-ADM-0014" TargetMode="External"/><Relationship Id="rId780" Type="http://schemas.openxmlformats.org/officeDocument/2006/relationships/hyperlink" Target="https://www.itu.int/md/dologin_md.asp?lang=en&amp;id=T17-WTSA.20-C-0038!A15-L1!MSW-E" TargetMode="External"/><Relationship Id="rId226" Type="http://schemas.openxmlformats.org/officeDocument/2006/relationships/footer" Target="footer114.xml"/><Relationship Id="rId433" Type="http://schemas.openxmlformats.org/officeDocument/2006/relationships/image" Target="media/image14.png"/><Relationship Id="rId878" Type="http://schemas.openxmlformats.org/officeDocument/2006/relationships/hyperlink" Target="https://www.itu.int/md/meetingdoc.asp?lang=en&amp;parent=T17-WTSA.20-C-0079" TargetMode="External"/><Relationship Id="rId640" Type="http://schemas.openxmlformats.org/officeDocument/2006/relationships/hyperlink" Target="https://www.itu.int/md/T17-WTSA.20-C-0097" TargetMode="External"/><Relationship Id="rId738" Type="http://schemas.openxmlformats.org/officeDocument/2006/relationships/hyperlink" Target="https://www.itu.int/md/dologin_md.asp?lang=en&amp;id=T17-WTSA.20-C-0035!A4-L1!MSW-E" TargetMode="External"/><Relationship Id="rId74" Type="http://schemas.openxmlformats.org/officeDocument/2006/relationships/footer" Target="footer33.xml"/><Relationship Id="rId377" Type="http://schemas.openxmlformats.org/officeDocument/2006/relationships/header" Target="header162.xml"/><Relationship Id="rId500" Type="http://schemas.openxmlformats.org/officeDocument/2006/relationships/footer" Target="footer224.xml"/><Relationship Id="rId584" Type="http://schemas.openxmlformats.org/officeDocument/2006/relationships/hyperlink" Target="https://www.itu.int/md/T17-WTSA.20-C-0051" TargetMode="External"/><Relationship Id="rId805" Type="http://schemas.openxmlformats.org/officeDocument/2006/relationships/hyperlink" Target="https://www.itu.int/md/meetingdoc.asp?lang=en&amp;parent=T17-WTSA.20-C-0099" TargetMode="External"/><Relationship Id="rId5" Type="http://schemas.openxmlformats.org/officeDocument/2006/relationships/webSettings" Target="webSettings.xml"/><Relationship Id="rId237" Type="http://schemas.openxmlformats.org/officeDocument/2006/relationships/footer" Target="footer119.xml"/><Relationship Id="rId791" Type="http://schemas.openxmlformats.org/officeDocument/2006/relationships/hyperlink" Target="https://www.itu.int/dms_pub/itu-t/md/17/wtsa.20/c/T17-WTSA.20-C-0036!A12-R1!MSW-E.docx" TargetMode="External"/><Relationship Id="rId889" Type="http://schemas.openxmlformats.org/officeDocument/2006/relationships/hyperlink" Target="https://www.itu.int/md/meetingdoc.asp?lang=en&amp;parent=T17-WTSA.20-C-0075" TargetMode="External"/><Relationship Id="rId444" Type="http://schemas.openxmlformats.org/officeDocument/2006/relationships/hyperlink" Target="http://itu.int/en/ITU-T/ipr" TargetMode="External"/><Relationship Id="rId651" Type="http://schemas.openxmlformats.org/officeDocument/2006/relationships/hyperlink" Target="https://www.itu.int/md/T17-WTSA.20-C-0091" TargetMode="External"/><Relationship Id="rId749" Type="http://schemas.openxmlformats.org/officeDocument/2006/relationships/hyperlink" Target="https://www.itu.int/md/dologin_md.asp?lang=en&amp;id=T17-WTSA.20-C-0037!A10-L1!MSW-E" TargetMode="External"/><Relationship Id="rId290" Type="http://schemas.openxmlformats.org/officeDocument/2006/relationships/footer" Target="footer150.xml"/><Relationship Id="rId304" Type="http://schemas.openxmlformats.org/officeDocument/2006/relationships/header" Target="header131.xml"/><Relationship Id="rId388" Type="http://schemas.openxmlformats.org/officeDocument/2006/relationships/footer" Target="footer201.xml"/><Relationship Id="rId511" Type="http://schemas.openxmlformats.org/officeDocument/2006/relationships/footer" Target="footer227.xml"/><Relationship Id="rId609" Type="http://schemas.openxmlformats.org/officeDocument/2006/relationships/hyperlink" Target="https://www.itu.int/md/T17-WTSA.20-C-0072" TargetMode="External"/><Relationship Id="rId85" Type="http://schemas.openxmlformats.org/officeDocument/2006/relationships/footer" Target="footer39.xml"/><Relationship Id="rId150" Type="http://schemas.openxmlformats.org/officeDocument/2006/relationships/footer" Target="footer75.xml"/><Relationship Id="rId595" Type="http://schemas.openxmlformats.org/officeDocument/2006/relationships/hyperlink" Target="https://www.itu.int/md/T17-WTSA.20-C-0066" TargetMode="External"/><Relationship Id="rId816" Type="http://schemas.openxmlformats.org/officeDocument/2006/relationships/hyperlink" Target="https://www.itu.int/md/meetingdoc.asp?lang=en&amp;parent=T17-WTSA.20-C-0082" TargetMode="External"/><Relationship Id="rId248" Type="http://schemas.openxmlformats.org/officeDocument/2006/relationships/header" Target="header108.xml"/><Relationship Id="rId455" Type="http://schemas.openxmlformats.org/officeDocument/2006/relationships/footer" Target="footer214.xml"/><Relationship Id="rId662" Type="http://schemas.openxmlformats.org/officeDocument/2006/relationships/hyperlink" Target="https://www.itu.int/md/T17-WTSA.20-C-0049/en" TargetMode="External"/><Relationship Id="rId12" Type="http://schemas.openxmlformats.org/officeDocument/2006/relationships/image" Target="media/image2.png"/><Relationship Id="rId108" Type="http://schemas.openxmlformats.org/officeDocument/2006/relationships/footer" Target="footer52.xml"/><Relationship Id="rId315" Type="http://schemas.openxmlformats.org/officeDocument/2006/relationships/footer" Target="footer163.xml"/><Relationship Id="rId522" Type="http://schemas.openxmlformats.org/officeDocument/2006/relationships/header" Target="header197.xml"/><Relationship Id="rId96" Type="http://schemas.openxmlformats.org/officeDocument/2006/relationships/header" Target="header35.xml"/><Relationship Id="rId161" Type="http://schemas.openxmlformats.org/officeDocument/2006/relationships/footer" Target="footer80.xml"/><Relationship Id="rId399" Type="http://schemas.openxmlformats.org/officeDocument/2006/relationships/header" Target="header171.xml"/><Relationship Id="rId827" Type="http://schemas.openxmlformats.org/officeDocument/2006/relationships/hyperlink" Target="https://www.itu.int/md/T17-WTSA.20-C-0019/en" TargetMode="External"/><Relationship Id="rId259" Type="http://schemas.openxmlformats.org/officeDocument/2006/relationships/footer" Target="footer132.xml"/><Relationship Id="rId466" Type="http://schemas.openxmlformats.org/officeDocument/2006/relationships/header" Target="header185.xml"/><Relationship Id="rId673" Type="http://schemas.openxmlformats.org/officeDocument/2006/relationships/hyperlink" Target="https://www.itu.int/md/T17-WTSA.20-C-0069/en" TargetMode="External"/><Relationship Id="rId880" Type="http://schemas.openxmlformats.org/officeDocument/2006/relationships/hyperlink" Target="https://www.itu.int/md/meetingdoc.asp?lang=en&amp;parent=T17-WTSA.20-C-0077" TargetMode="External"/><Relationship Id="rId23" Type="http://schemas.openxmlformats.org/officeDocument/2006/relationships/footer" Target="footer9.xml"/><Relationship Id="rId119" Type="http://schemas.openxmlformats.org/officeDocument/2006/relationships/footer" Target="footer59.xml"/><Relationship Id="rId326" Type="http://schemas.openxmlformats.org/officeDocument/2006/relationships/header" Target="header142.xml"/><Relationship Id="rId533" Type="http://schemas.openxmlformats.org/officeDocument/2006/relationships/hyperlink" Target="https://www.itu.int/md/T17-WTSA.20-220301-TD-GEN-0006" TargetMode="External"/><Relationship Id="rId740" Type="http://schemas.openxmlformats.org/officeDocument/2006/relationships/hyperlink" Target="https://www.itu.int/md/dologin_md.asp?lang=en&amp;id=T17-WTSA.20-C-0037!A5-L1!MSW-E" TargetMode="External"/><Relationship Id="rId838" Type="http://schemas.openxmlformats.org/officeDocument/2006/relationships/hyperlink" Target="https://www.itu.int/md/meetingdoc.asp?lang=en&amp;parent=T17-WTSA.20-220301-TD-GEN-0046" TargetMode="External"/><Relationship Id="rId172" Type="http://schemas.openxmlformats.org/officeDocument/2006/relationships/header" Target="header71.xml"/><Relationship Id="rId477" Type="http://schemas.openxmlformats.org/officeDocument/2006/relationships/hyperlink" Target="http://www.ietf.org/ipr/" TargetMode="External"/><Relationship Id="rId600" Type="http://schemas.openxmlformats.org/officeDocument/2006/relationships/hyperlink" Target="https://www.itu.int/md/T17-WTSA.20-C-0056" TargetMode="External"/><Relationship Id="rId684" Type="http://schemas.openxmlformats.org/officeDocument/2006/relationships/hyperlink" Target="https://www.itu.int/md/T17-WTSA.20-220301-TD-GEN-0066/en" TargetMode="External"/><Relationship Id="rId337" Type="http://schemas.openxmlformats.org/officeDocument/2006/relationships/footer" Target="footer174.xml"/><Relationship Id="rId891" Type="http://schemas.openxmlformats.org/officeDocument/2006/relationships/hyperlink" Target="https://www.itu.int/md/meetingdoc.asp?lang=en&amp;parent=T17-WTSA.20-C-0075" TargetMode="External"/><Relationship Id="rId905" Type="http://schemas.openxmlformats.org/officeDocument/2006/relationships/hyperlink" Target="https://www.itu.int/md/T17-WTSA.20-220301-TD-GEN-0083/en" TargetMode="External"/><Relationship Id="rId34" Type="http://schemas.openxmlformats.org/officeDocument/2006/relationships/footer" Target="footer13.xml"/><Relationship Id="rId544" Type="http://schemas.openxmlformats.org/officeDocument/2006/relationships/hyperlink" Target="https://www.itu.int/md/T17-WTSA.20-C-0043" TargetMode="External"/><Relationship Id="rId751" Type="http://schemas.openxmlformats.org/officeDocument/2006/relationships/hyperlink" Target="https://www.itu.int/md/meetingdoc.asp?lang=en&amp;parent=T17-WTSA.20-C-0085" TargetMode="External"/><Relationship Id="rId849" Type="http://schemas.openxmlformats.org/officeDocument/2006/relationships/hyperlink" Target="https://www.itu.int/md/T17-WTSA.20-C-0018/en" TargetMode="External"/><Relationship Id="rId183" Type="http://schemas.openxmlformats.org/officeDocument/2006/relationships/header" Target="header76.xml"/><Relationship Id="rId390" Type="http://schemas.openxmlformats.org/officeDocument/2006/relationships/hyperlink" Target="https://www.itu.int/ipr" TargetMode="External"/><Relationship Id="rId404" Type="http://schemas.openxmlformats.org/officeDocument/2006/relationships/header" Target="header174.xml"/><Relationship Id="rId611" Type="http://schemas.openxmlformats.org/officeDocument/2006/relationships/hyperlink" Target="https://www.itu.int/md/T17-WTSA.20-C-0079" TargetMode="External"/><Relationship Id="rId250" Type="http://schemas.openxmlformats.org/officeDocument/2006/relationships/footer" Target="footer126.xml"/><Relationship Id="rId488" Type="http://schemas.openxmlformats.org/officeDocument/2006/relationships/header" Target="header187.xml"/><Relationship Id="rId695" Type="http://schemas.openxmlformats.org/officeDocument/2006/relationships/hyperlink" Target="https://www.itu.int/md/T17-WTSA.20-C-0069/en" TargetMode="External"/><Relationship Id="rId709" Type="http://schemas.openxmlformats.org/officeDocument/2006/relationships/hyperlink" Target="https://www.itu.int/md/meetingdoc.asp?lang=en&amp;parent=T17-WTSA.20-220301-TD-GEN-0004" TargetMode="External"/><Relationship Id="rId916" Type="http://schemas.openxmlformats.org/officeDocument/2006/relationships/hyperlink" Target="https://www.itu.int/dms_pub/itu-t/md/17/wtsa.20/c/T17-WTSA.20-C-0040!A18!MSW-E.docx" TargetMode="External"/><Relationship Id="rId45" Type="http://schemas.openxmlformats.org/officeDocument/2006/relationships/header" Target="header11.xml"/><Relationship Id="rId110" Type="http://schemas.openxmlformats.org/officeDocument/2006/relationships/footer" Target="footer53.xml"/><Relationship Id="rId348" Type="http://schemas.openxmlformats.org/officeDocument/2006/relationships/header" Target="header152.xml"/><Relationship Id="rId555" Type="http://schemas.openxmlformats.org/officeDocument/2006/relationships/hyperlink" Target="https://www.itu.int/md/T17-WTSA.20-C-0005" TargetMode="External"/><Relationship Id="rId762" Type="http://schemas.openxmlformats.org/officeDocument/2006/relationships/hyperlink" Target="https://www.itu.int/md/dologin_md.asp?lang=en&amp;id=T17-WTSA.20-C-0035!A16-L1!MSW-E" TargetMode="External"/><Relationship Id="rId194" Type="http://schemas.openxmlformats.org/officeDocument/2006/relationships/footer" Target="footer97.xml"/><Relationship Id="rId208" Type="http://schemas.openxmlformats.org/officeDocument/2006/relationships/header" Target="header89.xml"/><Relationship Id="rId415" Type="http://schemas.openxmlformats.org/officeDocument/2006/relationships/header" Target="header175.xml"/><Relationship Id="rId622" Type="http://schemas.openxmlformats.org/officeDocument/2006/relationships/hyperlink" Target="https://www.itu.int/md/T17-WTSA.20-C-0022" TargetMode="External"/><Relationship Id="rId261" Type="http://schemas.openxmlformats.org/officeDocument/2006/relationships/footer" Target="footer133.xml"/><Relationship Id="rId499" Type="http://schemas.openxmlformats.org/officeDocument/2006/relationships/header" Target="header190.xml"/><Relationship Id="rId927" Type="http://schemas.openxmlformats.org/officeDocument/2006/relationships/hyperlink" Target="https://www.itu.int/md/meetingdoc.asp?lang=en&amp;parent=T17-WTSA.20-C-0024" TargetMode="External"/><Relationship Id="rId56" Type="http://schemas.openxmlformats.org/officeDocument/2006/relationships/footer" Target="footer24.xml"/><Relationship Id="rId359" Type="http://schemas.openxmlformats.org/officeDocument/2006/relationships/footer" Target="footer187.xml"/><Relationship Id="rId566" Type="http://schemas.openxmlformats.org/officeDocument/2006/relationships/hyperlink" Target="https://www.itu.int/md/T17-WTSA.20-C-0005" TargetMode="External"/><Relationship Id="rId773" Type="http://schemas.openxmlformats.org/officeDocument/2006/relationships/hyperlink" Target="https://www.itu.int/md/dologin_md.asp?lang=en&amp;id=T17-WTSA.20-C-0038!A35-L1!MSW-E" TargetMode="External"/><Relationship Id="rId121" Type="http://schemas.openxmlformats.org/officeDocument/2006/relationships/header" Target="header45.xml"/><Relationship Id="rId219" Type="http://schemas.openxmlformats.org/officeDocument/2006/relationships/footer" Target="footer110.xml"/><Relationship Id="rId426" Type="http://schemas.openxmlformats.org/officeDocument/2006/relationships/hyperlink" Target="http://iec.ch/" TargetMode="External"/><Relationship Id="rId633" Type="http://schemas.openxmlformats.org/officeDocument/2006/relationships/hyperlink" Target="https://www.itu.int/md/T17-WTSA.20-C-0086" TargetMode="External"/><Relationship Id="rId840" Type="http://schemas.openxmlformats.org/officeDocument/2006/relationships/hyperlink" Target="https://www.itu.int/md/meetingdoc.asp?lang=en&amp;parent=T17-WTSA.20-C-0072" TargetMode="External"/><Relationship Id="rId938" Type="http://schemas.openxmlformats.org/officeDocument/2006/relationships/fontTable" Target="fontTable.xml"/><Relationship Id="rId67" Type="http://schemas.openxmlformats.org/officeDocument/2006/relationships/footer" Target="footer29.xml"/><Relationship Id="rId272" Type="http://schemas.openxmlformats.org/officeDocument/2006/relationships/header" Target="header117.xml"/><Relationship Id="rId577" Type="http://schemas.openxmlformats.org/officeDocument/2006/relationships/hyperlink" Target="https://www.itu.int/en/ITU-T/wtsa20/presentations" TargetMode="External"/><Relationship Id="rId700" Type="http://schemas.openxmlformats.org/officeDocument/2006/relationships/hyperlink" Target="https://www.itu.int/md/T17-WTSA.20-C-0069/en" TargetMode="External"/><Relationship Id="rId132" Type="http://schemas.openxmlformats.org/officeDocument/2006/relationships/footer" Target="footer66.xml"/><Relationship Id="rId784" Type="http://schemas.openxmlformats.org/officeDocument/2006/relationships/hyperlink" Target="https://www.itu.int/dms_pub/itu-t/md/17/wtsa.20/c/T17-WTSA.20-C-0040!A25!MSW-E.docx" TargetMode="External"/><Relationship Id="rId644" Type="http://schemas.openxmlformats.org/officeDocument/2006/relationships/hyperlink" Target="https://www.itu.int/md/T17-WTSA.20-C-0078" TargetMode="External"/><Relationship Id="rId851" Type="http://schemas.openxmlformats.org/officeDocument/2006/relationships/hyperlink" Target="https://www.itu.int/md/T17-WTSA.20-C-0022/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ipr" TargetMode="External"/><Relationship Id="rId3" Type="http://schemas.openxmlformats.org/officeDocument/2006/relationships/hyperlink" Target="https://www.itu.int/ipr" TargetMode="External"/><Relationship Id="rId7" Type="http://schemas.openxmlformats.org/officeDocument/2006/relationships/hyperlink" Target="https://www.itu.int/en/ITU-T/about/groups/Documents/Rules-for-presentation-ITU-T-ISO-IEC.pdf" TargetMode="External"/><Relationship Id="rId2" Type="http://schemas.openxmlformats.org/officeDocument/2006/relationships/hyperlink" Target="https://www.itu.int/ipr" TargetMode="External"/><Relationship Id="rId1" Type="http://schemas.openxmlformats.org/officeDocument/2006/relationships/hyperlink" Target="http://www.itu.int/rec/T-REC-A" TargetMode="External"/><Relationship Id="rId6" Type="http://schemas.openxmlformats.org/officeDocument/2006/relationships/hyperlink" Target="http://handle.itu.int/11.1002/plink/8306947125" TargetMode="External"/><Relationship Id="rId5" Type="http://schemas.openxmlformats.org/officeDocument/2006/relationships/hyperlink" Target="https://www.itu.int/ipr" TargetMode="External"/><Relationship Id="rId10" Type="http://schemas.openxmlformats.org/officeDocument/2006/relationships/hyperlink" Target="https://www.itu.int/ipr" TargetMode="External"/><Relationship Id="rId4" Type="http://schemas.openxmlformats.org/officeDocument/2006/relationships/hyperlink" Target="https://www.itu.int/en/ITU-T/extcoop/Pages/sdo.aspx" TargetMode="External"/><Relationship Id="rId9" Type="http://schemas.openxmlformats.org/officeDocument/2006/relationships/hyperlink" Target="http://handle.itu.int/11.1002/plink/830694712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6FC61A1A85F49489FB3E1C78AB98485"/>
        <w:category>
          <w:name w:val="General"/>
          <w:gallery w:val="placeholder"/>
        </w:category>
        <w:types>
          <w:type w:val="bbPlcHdr"/>
        </w:types>
        <w:behaviors>
          <w:behavior w:val="content"/>
        </w:behaviors>
        <w:guid w:val="{11773874-7DA7-4790-883A-C8193116CF3E}"/>
      </w:docPartPr>
      <w:docPartBody>
        <w:p w:rsidR="008E210E" w:rsidRDefault="0073743F" w:rsidP="0073743F">
          <w:pPr>
            <w:pStyle w:val="A6FC61A1A85F49489FB3E1C78AB98485"/>
          </w:pPr>
          <w:r w:rsidRPr="00AD4C4A">
            <w:rPr>
              <w:i/>
              <w:color w:val="808080"/>
            </w:rPr>
            <w:t>[Insert clear description of the document considered for incorporation, e.g., type of document, title, number, version, date, etc.]</w:t>
          </w:r>
        </w:p>
      </w:docPartBody>
    </w:docPart>
    <w:docPart>
      <w:docPartPr>
        <w:name w:val="4929DC1ECEFA43D9906F5034A53D52B0"/>
        <w:category>
          <w:name w:val="General"/>
          <w:gallery w:val="placeholder"/>
        </w:category>
        <w:types>
          <w:type w:val="bbPlcHdr"/>
        </w:types>
        <w:behaviors>
          <w:behavior w:val="content"/>
        </w:behaviors>
        <w:guid w:val="{7F220B6E-405E-411A-A23F-49EA20257DFC}"/>
      </w:docPartPr>
      <w:docPartBody>
        <w:p w:rsidR="008E210E" w:rsidRDefault="0073743F" w:rsidP="0073743F">
          <w:pPr>
            <w:pStyle w:val="4929DC1ECEFA43D9906F5034A53D52B0"/>
          </w:pPr>
          <w:r w:rsidRPr="00AD4C4A">
            <w:rPr>
              <w:bCs/>
              <w:i/>
              <w:color w:val="808080"/>
            </w:rPr>
            <w:t>[Choose status of approval from the drop-down list]</w:t>
          </w:r>
        </w:p>
      </w:docPartBody>
    </w:docPart>
    <w:docPart>
      <w:docPartPr>
        <w:name w:val="F3A1DCE224614F67BCBA7EDC203E1C65"/>
        <w:category>
          <w:name w:val="General"/>
          <w:gallery w:val="placeholder"/>
        </w:category>
        <w:types>
          <w:type w:val="bbPlcHdr"/>
        </w:types>
        <w:behaviors>
          <w:behavior w:val="content"/>
        </w:behaviors>
        <w:guid w:val="{56633A4D-5FB9-41E2-8D33-73DFE9BCC3F3}"/>
      </w:docPartPr>
      <w:docPartBody>
        <w:p w:rsidR="008E210E" w:rsidRDefault="0073743F" w:rsidP="0073743F">
          <w:pPr>
            <w:pStyle w:val="F3A1DCE224614F67BCBA7EDC203E1C65"/>
          </w:pPr>
          <w:r w:rsidRPr="00AD4C4A">
            <w:rPr>
              <w:i/>
              <w:color w:val="808080"/>
            </w:rPr>
            <w:t>[Insert justification, including why it is inappropriate to reference the text in the draft ITU-T Recommendation or other draft ITU-T document]</w:t>
          </w:r>
        </w:p>
      </w:docPartBody>
    </w:docPart>
    <w:docPart>
      <w:docPartPr>
        <w:name w:val="BE84678935E24700B80BB1F1E216D1F6"/>
        <w:category>
          <w:name w:val="General"/>
          <w:gallery w:val="placeholder"/>
        </w:category>
        <w:types>
          <w:type w:val="bbPlcHdr"/>
        </w:types>
        <w:behaviors>
          <w:behavior w:val="content"/>
        </w:behaviors>
        <w:guid w:val="{064A0C76-7D49-4C98-A916-5BB209BAFF3F}"/>
      </w:docPartPr>
      <w:docPartBody>
        <w:p w:rsidR="008E210E" w:rsidRDefault="0073743F" w:rsidP="0073743F">
          <w:pPr>
            <w:pStyle w:val="BE84678935E24700B80BB1F1E216D1F6"/>
          </w:pPr>
          <w:r w:rsidRPr="00AD4C4A">
            <w:rPr>
              <w:i/>
              <w:color w:val="808080"/>
            </w:rPr>
            <w:t>[Insert other information that might be useful in describing the "quality" of the document, e.g.</w:t>
          </w:r>
          <w:r>
            <w:rPr>
              <w:i/>
              <w:color w:val="808080"/>
            </w:rPr>
            <w:t>,</w:t>
          </w:r>
          <w:r w:rsidRPr="00AD4C4A">
            <w:rPr>
              <w:i/>
              <w:color w:val="808080"/>
            </w:rPr>
            <w:t xml:space="preserve"> whether products have been implemented using it, whether conformance requirements are clear, whether the specification is readily and widely available]</w:t>
          </w:r>
        </w:p>
      </w:docPartBody>
    </w:docPart>
    <w:docPart>
      <w:docPartPr>
        <w:name w:val="FA78D1CED44A4A50BD41787DABE558E2"/>
        <w:category>
          <w:name w:val="General"/>
          <w:gallery w:val="placeholder"/>
        </w:category>
        <w:types>
          <w:type w:val="bbPlcHdr"/>
        </w:types>
        <w:behaviors>
          <w:behavior w:val="content"/>
        </w:behaviors>
        <w:guid w:val="{7A00E23B-2C01-4FB7-B7C1-A84216E4E8BD}"/>
      </w:docPartPr>
      <w:docPartBody>
        <w:p w:rsidR="008E210E" w:rsidRDefault="0073743F" w:rsidP="0073743F">
          <w:pPr>
            <w:pStyle w:val="FA78D1CED44A4A50BD41787DABE558E2"/>
          </w:pPr>
          <w:r w:rsidRPr="00AD4C4A">
            <w:rPr>
              <w:i/>
              <w:color w:val="808080"/>
            </w:rPr>
            <w:t>[Insert degree of stability or maturity, e.g.</w:t>
          </w:r>
          <w:r>
            <w:rPr>
              <w:i/>
              <w:color w:val="808080"/>
            </w:rPr>
            <w:t>,</w:t>
          </w:r>
          <w:r w:rsidRPr="00AD4C4A">
            <w:rPr>
              <w:i/>
              <w:color w:val="808080"/>
            </w:rPr>
            <w:t xml:space="preserve"> length of time it has existed]</w:t>
          </w:r>
        </w:p>
      </w:docPartBody>
    </w:docPart>
    <w:docPart>
      <w:docPartPr>
        <w:name w:val="05DD5F3591F541FB8572BD038F27EA0A"/>
        <w:category>
          <w:name w:val="General"/>
          <w:gallery w:val="placeholder"/>
        </w:category>
        <w:types>
          <w:type w:val="bbPlcHdr"/>
        </w:types>
        <w:behaviors>
          <w:behavior w:val="content"/>
        </w:behaviors>
        <w:guid w:val="{2216C605-F3C4-473F-8822-8F336CEF688F}"/>
      </w:docPartPr>
      <w:docPartBody>
        <w:p w:rsidR="008E210E" w:rsidRDefault="0073743F" w:rsidP="0073743F">
          <w:pPr>
            <w:pStyle w:val="05DD5F3591F541FB8572BD038F27EA0A"/>
          </w:pPr>
          <w:r w:rsidRPr="00AD4C4A">
            <w:rPr>
              <w:i/>
              <w:color w:val="808080"/>
            </w:rPr>
            <w:t>[Insert relationship]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39T36Lfz">
    <w:altName w:val="Symbol"/>
    <w:charset w:val="02"/>
    <w:family w:val="auto"/>
    <w:pitch w:val="variable"/>
    <w:sig w:usb0="00000000" w:usb1="10000000" w:usb2="00000000" w:usb3="00000000" w:csb0="80000000" w:csb1="00000000"/>
  </w:font>
  <w:font w:name="????">
    <w:altName w:val="MS Gothic"/>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0"/>
    <w:family w:val="swiss"/>
    <w:pitch w:val="variable"/>
    <w:sig w:usb0="F7FFAFFF" w:usb1="E9DFFFFF" w:usb2="0000003F" w:usb3="00000000" w:csb0="003F01FF" w:csb1="00000000"/>
  </w:font>
  <w:font w:name="Avenir Next LT Pro">
    <w:charset w:val="00"/>
    <w:family w:val="swiss"/>
    <w:pitch w:val="variable"/>
    <w:sig w:usb0="800000EF" w:usb1="5000204A"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charset w:val="00"/>
    <w:family w:val="auto"/>
    <w:pitch w:val="default"/>
    <w:sig w:usb0="00000003" w:usb1="00000000" w:usb2="00000000" w:usb3="00000000" w:csb0="00000001" w:csb1="00000000"/>
  </w:font>
  <w:font w:name="System">
    <w:altName w:val="Calibri"/>
    <w:panose1 w:val="00000000000000000000"/>
    <w:charset w:val="00"/>
    <w:family w:val="swiss"/>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raditional Arabic">
    <w:altName w:val="Times New Roman"/>
    <w:charset w:val="B2"/>
    <w:family w:val="roman"/>
    <w:pitch w:val="variable"/>
    <w:sig w:usb0="00002003" w:usb1="80000000" w:usb2="00000008" w:usb3="00000000" w:csb0="00000041"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43F"/>
    <w:rsid w:val="000351D0"/>
    <w:rsid w:val="000353BA"/>
    <w:rsid w:val="00076DEA"/>
    <w:rsid w:val="001E0E9D"/>
    <w:rsid w:val="001F4E2E"/>
    <w:rsid w:val="00226AC6"/>
    <w:rsid w:val="00271603"/>
    <w:rsid w:val="003626E5"/>
    <w:rsid w:val="0036600C"/>
    <w:rsid w:val="004D3857"/>
    <w:rsid w:val="00510E39"/>
    <w:rsid w:val="005B58C5"/>
    <w:rsid w:val="005C7966"/>
    <w:rsid w:val="006A7134"/>
    <w:rsid w:val="007315DE"/>
    <w:rsid w:val="0073743F"/>
    <w:rsid w:val="007B22A6"/>
    <w:rsid w:val="008559C6"/>
    <w:rsid w:val="00895D6C"/>
    <w:rsid w:val="008E210E"/>
    <w:rsid w:val="009032E5"/>
    <w:rsid w:val="009433CC"/>
    <w:rsid w:val="00A929FC"/>
    <w:rsid w:val="00B25315"/>
    <w:rsid w:val="00CB3E56"/>
    <w:rsid w:val="00CF7FE4"/>
    <w:rsid w:val="00D21972"/>
    <w:rsid w:val="00D543B6"/>
    <w:rsid w:val="00EC7C31"/>
    <w:rsid w:val="00FF11B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FC61A1A85F49489FB3E1C78AB98485">
    <w:name w:val="A6FC61A1A85F49489FB3E1C78AB98485"/>
    <w:rsid w:val="0073743F"/>
  </w:style>
  <w:style w:type="paragraph" w:customStyle="1" w:styleId="4929DC1ECEFA43D9906F5034A53D52B0">
    <w:name w:val="4929DC1ECEFA43D9906F5034A53D52B0"/>
    <w:rsid w:val="0073743F"/>
  </w:style>
  <w:style w:type="paragraph" w:customStyle="1" w:styleId="F3A1DCE224614F67BCBA7EDC203E1C65">
    <w:name w:val="F3A1DCE224614F67BCBA7EDC203E1C65"/>
    <w:rsid w:val="0073743F"/>
  </w:style>
  <w:style w:type="paragraph" w:customStyle="1" w:styleId="BE84678935E24700B80BB1F1E216D1F6">
    <w:name w:val="BE84678935E24700B80BB1F1E216D1F6"/>
    <w:rsid w:val="0073743F"/>
  </w:style>
  <w:style w:type="paragraph" w:customStyle="1" w:styleId="FA78D1CED44A4A50BD41787DABE558E2">
    <w:name w:val="FA78D1CED44A4A50BD41787DABE558E2"/>
    <w:rsid w:val="0073743F"/>
  </w:style>
  <w:style w:type="paragraph" w:customStyle="1" w:styleId="05DD5F3591F541FB8572BD038F27EA0A">
    <w:name w:val="05DD5F3591F541FB8572BD038F27EA0A"/>
    <w:rsid w:val="007374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ink/ink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09-03-29T15:52:33.90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5CF8B-65C0-413E-8565-045868764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TotalTime>
  <Pages>560</Pages>
  <Words>190080</Words>
  <Characters>990322</Characters>
  <Application>Microsoft Office Word</Application>
  <DocSecurity>0</DocSecurity>
  <Lines>34149</Lines>
  <Paragraphs>21859</Paragraphs>
  <ScaleCrop>false</ScaleCrop>
  <HeadingPairs>
    <vt:vector size="2" baseType="variant">
      <vt:variant>
        <vt:lpstr>Title</vt:lpstr>
      </vt:variant>
      <vt:variant>
        <vt:i4>1</vt:i4>
      </vt:variant>
    </vt:vector>
  </HeadingPairs>
  <TitlesOfParts>
    <vt:vector size="1" baseType="lpstr">
      <vt:lpstr>ITU-T Rec.</vt:lpstr>
    </vt:vector>
  </TitlesOfParts>
  <Company>ITU</Company>
  <LinksUpToDate>false</LinksUpToDate>
  <CharactersWithSpaces>1158543</CharactersWithSpaces>
  <SharedDoc>false</SharedDoc>
  <HLinks>
    <vt:vector size="6" baseType="variant">
      <vt:variant>
        <vt:i4>5832781</vt:i4>
      </vt:variant>
      <vt:variant>
        <vt:i4>2</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Adea, Maynard</dc:creator>
  <cp:keywords/>
  <dc:description>Yammouni, 08/06/2022, ITU51013804</dc:description>
  <cp:lastModifiedBy>Gachet, Christelle</cp:lastModifiedBy>
  <cp:revision>43</cp:revision>
  <cp:lastPrinted>2022-09-15T13:18:00Z</cp:lastPrinted>
  <dcterms:created xsi:type="dcterms:W3CDTF">2022-08-17T09:40:00Z</dcterms:created>
  <dcterms:modified xsi:type="dcterms:W3CDTF">2022-09-15T13:27:00Z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I – Resolution</vt:lpwstr>
  </property>
  <property fmtid="{D5CDD505-2E9C-101B-9397-08002B2CF9AE}" pid="7" name="Footer 2">
    <vt:lpwstr>Part II – Recommendation</vt:lpwstr>
  </property>
  <property fmtid="{D5CDD505-2E9C-101B-9397-08002B2CF9AE}" pid="8" name="Footer 3">
    <vt:lpwstr>Part III – Chairmen and vice-chairmen</vt:lpwstr>
  </property>
  <property fmtid="{D5CDD505-2E9C-101B-9397-08002B2CF9AE}" pid="9" name="Footer 4">
    <vt:lpwstr>Part IV – Titles of Questions approved</vt:lpwstr>
  </property>
  <property fmtid="{D5CDD505-2E9C-101B-9397-08002B2CF9AE}" pid="10" name="Part I">
    <vt:lpwstr>I</vt:lpwstr>
  </property>
  <property fmtid="{D5CDD505-2E9C-101B-9397-08002B2CF9AE}" pid="11" name="Part II">
    <vt:lpwstr>II</vt:lpwstr>
  </property>
  <property fmtid="{D5CDD505-2E9C-101B-9397-08002B2CF9AE}" pid="12" name="Part III">
    <vt:lpwstr>III</vt:lpwstr>
  </property>
  <property fmtid="{D5CDD505-2E9C-101B-9397-08002B2CF9AE}" pid="13" name="Part IV">
    <vt:lpwstr>IV</vt:lpwstr>
  </property>
  <property fmtid="{D5CDD505-2E9C-101B-9397-08002B2CF9AE}" pid="14" name="Part V">
    <vt:lpwstr>V</vt:lpwstr>
  </property>
  <property fmtid="{D5CDD505-2E9C-101B-9397-08002B2CF9AE}" pid="15" name="Footer 5">
    <vt:lpwstr>Part V – Reports and documents</vt:lpwstr>
  </property>
  <property fmtid="{D5CDD505-2E9C-101B-9397-08002B2CF9AE}" pid="16" name="Language">
    <vt:lpwstr>English</vt:lpwstr>
  </property>
  <property fmtid="{D5CDD505-2E9C-101B-9397-08002B2CF9AE}" pid="17" name="Typist">
    <vt:lpwstr>Yammouni</vt:lpwstr>
  </property>
  <property fmtid="{D5CDD505-2E9C-101B-9397-08002B2CF9AE}" pid="18" name="Date completed">
    <vt:lpwstr>08 June 2022</vt:lpwstr>
  </property>
</Properties>
</file>